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5000" w:type="pct"/>
        <w:tblCellMar>
          <w:left w:w="0" w:type="dxa"/>
          <w:right w:w="0" w:type="dxa"/>
        </w:tblCellMar>
        <w:tblLook w:val="04A0" w:firstRow="1" w:lastRow="0" w:firstColumn="1" w:lastColumn="0" w:noHBand="0" w:noVBand="1"/>
      </w:tblPr>
      <w:tblGrid>
        <w:gridCol w:w="9916"/>
      </w:tblGrid>
      <w:tr w:rsidR="008B264B" w:rsidRPr="008B264B" w14:paraId="0F37D380" w14:textId="77777777" w:rsidTr="008B264B">
        <w:tc>
          <w:tcPr>
            <w:tcW w:w="16935" w:type="dxa"/>
            <w:tcBorders>
              <w:top w:val="single" w:sz="2" w:space="0" w:color="auto"/>
              <w:left w:val="single" w:sz="2" w:space="0" w:color="auto"/>
              <w:bottom w:val="single" w:sz="2" w:space="0" w:color="auto"/>
              <w:right w:val="single" w:sz="2" w:space="0" w:color="auto"/>
            </w:tcBorders>
            <w:shd w:val="clear" w:color="auto" w:fill="auto"/>
            <w:hideMark/>
          </w:tcPr>
          <w:p w14:paraId="569AE45E" w14:textId="77777777" w:rsidR="008B264B" w:rsidRPr="008B264B" w:rsidRDefault="008B264B" w:rsidP="008B264B">
            <w:pPr>
              <w:spacing w:before="300" w:after="0" w:line="240" w:lineRule="auto"/>
              <w:ind w:left="450" w:right="450"/>
              <w:jc w:val="center"/>
              <w:rPr>
                <w:rFonts w:ascii="Times New Roman" w:eastAsia="Times New Roman" w:hAnsi="Times New Roman" w:cs="Times New Roman"/>
                <w:sz w:val="24"/>
                <w:szCs w:val="24"/>
                <w:lang/>
              </w:rPr>
            </w:pPr>
            <w:bookmarkStart w:id="0" w:name="_GoBack"/>
            <w:r w:rsidRPr="008B264B">
              <w:rPr>
                <w:rFonts w:ascii="Times New Roman" w:eastAsia="Times New Roman" w:hAnsi="Times New Roman" w:cs="Times New Roman"/>
                <w:b/>
                <w:bCs/>
                <w:i/>
                <w:iCs/>
                <w:color w:val="000000"/>
                <w:spacing w:val="60"/>
                <w:sz w:val="40"/>
                <w:szCs w:val="40"/>
                <w:lang/>
              </w:rPr>
              <w:t>ПОДАТКОВИЙ КОДЕКС УКРАЇНИ</w:t>
            </w:r>
            <w:bookmarkEnd w:id="0"/>
          </w:p>
        </w:tc>
      </w:tr>
    </w:tbl>
    <w:p w14:paraId="6BB997CF"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 w:name="n68"/>
      <w:bookmarkEnd w:id="1"/>
      <w:r w:rsidRPr="008B264B">
        <w:rPr>
          <w:rFonts w:ascii="Times New Roman" w:eastAsia="Times New Roman" w:hAnsi="Times New Roman" w:cs="Times New Roman"/>
          <w:b/>
          <w:bCs/>
          <w:color w:val="000000"/>
          <w:sz w:val="24"/>
          <w:szCs w:val="24"/>
          <w:lang/>
        </w:rPr>
        <w:t>(Відомості Верховної Ради України (ВВР), 2011, № 13-14, № 15-16, № 17, ст.112)</w:t>
      </w:r>
    </w:p>
    <w:p w14:paraId="4A01D6E3" w14:textId="77777777" w:rsidR="008B264B" w:rsidRPr="008B264B" w:rsidRDefault="008B264B" w:rsidP="008B264B">
      <w:pPr>
        <w:spacing w:before="150" w:after="300" w:line="240" w:lineRule="auto"/>
        <w:ind w:left="450" w:right="450"/>
        <w:rPr>
          <w:rFonts w:ascii="Times New Roman" w:eastAsia="Times New Roman" w:hAnsi="Times New Roman" w:cs="Times New Roman"/>
          <w:color w:val="000000"/>
          <w:sz w:val="24"/>
          <w:szCs w:val="24"/>
          <w:lang/>
        </w:rPr>
      </w:pPr>
      <w:bookmarkStart w:id="2" w:name="n69"/>
      <w:bookmarkEnd w:id="2"/>
      <w:r w:rsidRPr="008B264B">
        <w:rPr>
          <w:rFonts w:ascii="Times New Roman" w:eastAsia="Times New Roman" w:hAnsi="Times New Roman" w:cs="Times New Roman"/>
          <w:color w:val="000000"/>
          <w:sz w:val="24"/>
          <w:szCs w:val="24"/>
          <w:lang/>
        </w:rPr>
        <w:t>{Із змінами, внесеними згідно із Законами</w:t>
      </w:r>
      <w:r w:rsidRPr="008B264B">
        <w:rPr>
          <w:rFonts w:ascii="Times New Roman" w:eastAsia="Times New Roman" w:hAnsi="Times New Roman" w:cs="Times New Roman"/>
          <w:color w:val="000000"/>
          <w:sz w:val="24"/>
          <w:szCs w:val="24"/>
          <w:lang/>
        </w:rPr>
        <w:br/>
      </w:r>
      <w:hyperlink r:id="rId5" w:tgtFrame="_blank" w:history="1">
        <w:r w:rsidRPr="008B264B">
          <w:rPr>
            <w:rFonts w:ascii="Times New Roman" w:eastAsia="Times New Roman" w:hAnsi="Times New Roman" w:cs="Times New Roman"/>
            <w:color w:val="0000FF"/>
            <w:sz w:val="24"/>
            <w:szCs w:val="24"/>
            <w:u w:val="single"/>
            <w:lang/>
          </w:rPr>
          <w:t>№ 2856-VI від 23.12.2010</w:t>
        </w:r>
      </w:hyperlink>
      <w:r w:rsidRPr="008B264B">
        <w:rPr>
          <w:rFonts w:ascii="Times New Roman" w:eastAsia="Times New Roman" w:hAnsi="Times New Roman" w:cs="Times New Roman"/>
          <w:color w:val="000000"/>
          <w:sz w:val="24"/>
          <w:szCs w:val="24"/>
          <w:lang/>
        </w:rPr>
        <w:t>, ВВР, 2011, № 29, ст.272</w:t>
      </w:r>
      <w:r w:rsidRPr="008B264B">
        <w:rPr>
          <w:rFonts w:ascii="Times New Roman" w:eastAsia="Times New Roman" w:hAnsi="Times New Roman" w:cs="Times New Roman"/>
          <w:color w:val="000000"/>
          <w:sz w:val="24"/>
          <w:szCs w:val="24"/>
          <w:lang/>
        </w:rPr>
        <w:br/>
      </w:r>
      <w:hyperlink r:id="rId6" w:tgtFrame="_blank" w:history="1">
        <w:r w:rsidRPr="008B264B">
          <w:rPr>
            <w:rFonts w:ascii="Times New Roman" w:eastAsia="Times New Roman" w:hAnsi="Times New Roman" w:cs="Times New Roman"/>
            <w:color w:val="0000FF"/>
            <w:sz w:val="24"/>
            <w:szCs w:val="24"/>
            <w:u w:val="single"/>
            <w:lang/>
          </w:rPr>
          <w:t>№ 3205-VI від 07.04.2011</w:t>
        </w:r>
      </w:hyperlink>
      <w:r w:rsidRPr="008B264B">
        <w:rPr>
          <w:rFonts w:ascii="Times New Roman" w:eastAsia="Times New Roman" w:hAnsi="Times New Roman" w:cs="Times New Roman"/>
          <w:color w:val="000000"/>
          <w:sz w:val="24"/>
          <w:szCs w:val="24"/>
          <w:lang/>
        </w:rPr>
        <w:t>, ВВР, 2011, № 41, ст.413</w:t>
      </w:r>
      <w:r w:rsidRPr="008B264B">
        <w:rPr>
          <w:rFonts w:ascii="Times New Roman" w:eastAsia="Times New Roman" w:hAnsi="Times New Roman" w:cs="Times New Roman"/>
          <w:color w:val="000000"/>
          <w:sz w:val="24"/>
          <w:szCs w:val="24"/>
          <w:lang/>
        </w:rPr>
        <w:br/>
      </w:r>
      <w:hyperlink r:id="rId7" w:tgtFrame="_blank" w:history="1">
        <w:r w:rsidRPr="008B264B">
          <w:rPr>
            <w:rFonts w:ascii="Times New Roman" w:eastAsia="Times New Roman" w:hAnsi="Times New Roman" w:cs="Times New Roman"/>
            <w:color w:val="0000FF"/>
            <w:sz w:val="24"/>
            <w:szCs w:val="24"/>
            <w:u w:val="single"/>
            <w:lang/>
          </w:rPr>
          <w:t>№ 3221-VI від 07.04.2011</w:t>
        </w:r>
      </w:hyperlink>
      <w:r w:rsidRPr="008B264B">
        <w:rPr>
          <w:rFonts w:ascii="Times New Roman" w:eastAsia="Times New Roman" w:hAnsi="Times New Roman" w:cs="Times New Roman"/>
          <w:color w:val="000000"/>
          <w:sz w:val="24"/>
          <w:szCs w:val="24"/>
          <w:lang/>
        </w:rPr>
        <w:t>, ВВР, 2011, № 42, ст.428</w:t>
      </w:r>
      <w:r w:rsidRPr="008B264B">
        <w:rPr>
          <w:rFonts w:ascii="Times New Roman" w:eastAsia="Times New Roman" w:hAnsi="Times New Roman" w:cs="Times New Roman"/>
          <w:color w:val="000000"/>
          <w:sz w:val="24"/>
          <w:szCs w:val="24"/>
          <w:lang/>
        </w:rPr>
        <w:br/>
      </w:r>
      <w:hyperlink r:id="rId8" w:tgtFrame="_blank" w:history="1">
        <w:r w:rsidRPr="008B264B">
          <w:rPr>
            <w:rFonts w:ascii="Times New Roman" w:eastAsia="Times New Roman" w:hAnsi="Times New Roman" w:cs="Times New Roman"/>
            <w:color w:val="0000FF"/>
            <w:sz w:val="24"/>
            <w:szCs w:val="24"/>
            <w:u w:val="single"/>
            <w:lang/>
          </w:rPr>
          <w:t>№ 3292-VI від 21.04.2011</w:t>
        </w:r>
      </w:hyperlink>
      <w:r w:rsidRPr="008B264B">
        <w:rPr>
          <w:rFonts w:ascii="Times New Roman" w:eastAsia="Times New Roman" w:hAnsi="Times New Roman" w:cs="Times New Roman"/>
          <w:color w:val="000000"/>
          <w:sz w:val="24"/>
          <w:szCs w:val="24"/>
          <w:lang/>
        </w:rPr>
        <w:t>, ВВР, 2011, № 44, ст.469</w:t>
      </w:r>
      <w:r w:rsidRPr="008B264B">
        <w:rPr>
          <w:rFonts w:ascii="Times New Roman" w:eastAsia="Times New Roman" w:hAnsi="Times New Roman" w:cs="Times New Roman"/>
          <w:color w:val="000000"/>
          <w:sz w:val="24"/>
          <w:szCs w:val="24"/>
          <w:lang/>
        </w:rPr>
        <w:br/>
      </w:r>
      <w:hyperlink r:id="rId9" w:tgtFrame="_blank" w:history="1">
        <w:r w:rsidRPr="008B264B">
          <w:rPr>
            <w:rFonts w:ascii="Times New Roman" w:eastAsia="Times New Roman" w:hAnsi="Times New Roman" w:cs="Times New Roman"/>
            <w:color w:val="0000FF"/>
            <w:sz w:val="24"/>
            <w:szCs w:val="24"/>
            <w:u w:val="single"/>
            <w:lang/>
          </w:rPr>
          <w:t>№ 3320-VI від 12.05.2011</w:t>
        </w:r>
      </w:hyperlink>
      <w:r w:rsidRPr="008B264B">
        <w:rPr>
          <w:rFonts w:ascii="Times New Roman" w:eastAsia="Times New Roman" w:hAnsi="Times New Roman" w:cs="Times New Roman"/>
          <w:color w:val="000000"/>
          <w:sz w:val="24"/>
          <w:szCs w:val="24"/>
          <w:lang/>
        </w:rPr>
        <w:t>, ВВР, 2011, № 45, ст.477</w:t>
      </w:r>
      <w:r w:rsidRPr="008B264B">
        <w:rPr>
          <w:rFonts w:ascii="Times New Roman" w:eastAsia="Times New Roman" w:hAnsi="Times New Roman" w:cs="Times New Roman"/>
          <w:color w:val="000000"/>
          <w:sz w:val="24"/>
          <w:szCs w:val="24"/>
          <w:lang/>
        </w:rPr>
        <w:br/>
      </w:r>
      <w:hyperlink r:id="rId10" w:tgtFrame="_blank" w:history="1">
        <w:r w:rsidRPr="008B264B">
          <w:rPr>
            <w:rFonts w:ascii="Times New Roman" w:eastAsia="Times New Roman" w:hAnsi="Times New Roman" w:cs="Times New Roman"/>
            <w:color w:val="0000FF"/>
            <w:sz w:val="24"/>
            <w:szCs w:val="24"/>
            <w:u w:val="single"/>
            <w:lang/>
          </w:rPr>
          <w:t>№ 3387-VI від 19.05.2011</w:t>
        </w:r>
      </w:hyperlink>
      <w:r w:rsidRPr="008B264B">
        <w:rPr>
          <w:rFonts w:ascii="Times New Roman" w:eastAsia="Times New Roman" w:hAnsi="Times New Roman" w:cs="Times New Roman"/>
          <w:color w:val="000000"/>
          <w:sz w:val="24"/>
          <w:szCs w:val="24"/>
          <w:lang/>
        </w:rPr>
        <w:t>, ВВР, 2011, № 47, ст.529</w:t>
      </w:r>
      <w:r w:rsidRPr="008B264B">
        <w:rPr>
          <w:rFonts w:ascii="Times New Roman" w:eastAsia="Times New Roman" w:hAnsi="Times New Roman" w:cs="Times New Roman"/>
          <w:color w:val="000000"/>
          <w:sz w:val="24"/>
          <w:szCs w:val="24"/>
          <w:lang/>
        </w:rPr>
        <w:br/>
      </w:r>
      <w:hyperlink r:id="rId11" w:tgtFrame="_blank" w:history="1">
        <w:r w:rsidRPr="008B264B">
          <w:rPr>
            <w:rFonts w:ascii="Times New Roman" w:eastAsia="Times New Roman" w:hAnsi="Times New Roman" w:cs="Times New Roman"/>
            <w:color w:val="0000FF"/>
            <w:sz w:val="24"/>
            <w:szCs w:val="24"/>
            <w:u w:val="single"/>
            <w:lang/>
          </w:rPr>
          <w:t>№ 3609-VI від 07.07.2011</w:t>
        </w:r>
      </w:hyperlink>
      <w:r w:rsidRPr="008B264B">
        <w:rPr>
          <w:rFonts w:ascii="Times New Roman" w:eastAsia="Times New Roman" w:hAnsi="Times New Roman" w:cs="Times New Roman"/>
          <w:color w:val="000000"/>
          <w:sz w:val="24"/>
          <w:szCs w:val="24"/>
          <w:lang/>
        </w:rPr>
        <w:t>, ВВР, 2012, № 6, ст.50</w:t>
      </w:r>
      <w:r w:rsidRPr="008B264B">
        <w:rPr>
          <w:rFonts w:ascii="Times New Roman" w:eastAsia="Times New Roman" w:hAnsi="Times New Roman" w:cs="Times New Roman"/>
          <w:color w:val="000000"/>
          <w:sz w:val="24"/>
          <w:szCs w:val="24"/>
          <w:lang/>
        </w:rPr>
        <w:br/>
      </w:r>
      <w:hyperlink r:id="rId12" w:tgtFrame="_blank" w:history="1">
        <w:r w:rsidRPr="008B264B">
          <w:rPr>
            <w:rFonts w:ascii="Times New Roman" w:eastAsia="Times New Roman" w:hAnsi="Times New Roman" w:cs="Times New Roman"/>
            <w:color w:val="0000FF"/>
            <w:sz w:val="24"/>
            <w:szCs w:val="24"/>
            <w:u w:val="single"/>
            <w:lang/>
          </w:rPr>
          <w:t>№ 3610-VI від 07.07.2011</w:t>
        </w:r>
      </w:hyperlink>
      <w:r w:rsidRPr="008B264B">
        <w:rPr>
          <w:rFonts w:ascii="Times New Roman" w:eastAsia="Times New Roman" w:hAnsi="Times New Roman" w:cs="Times New Roman"/>
          <w:color w:val="000000"/>
          <w:sz w:val="24"/>
          <w:szCs w:val="24"/>
          <w:lang/>
        </w:rPr>
        <w:t>, ВВР, 2012, № 7, ст.53</w:t>
      </w:r>
      <w:r w:rsidRPr="008B264B">
        <w:rPr>
          <w:rFonts w:ascii="Times New Roman" w:eastAsia="Times New Roman" w:hAnsi="Times New Roman" w:cs="Times New Roman"/>
          <w:color w:val="000000"/>
          <w:sz w:val="24"/>
          <w:szCs w:val="24"/>
          <w:lang/>
        </w:rPr>
        <w:br/>
      </w:r>
      <w:hyperlink r:id="rId13" w:tgtFrame="_blank" w:history="1">
        <w:r w:rsidRPr="008B264B">
          <w:rPr>
            <w:rFonts w:ascii="Times New Roman" w:eastAsia="Times New Roman" w:hAnsi="Times New Roman" w:cs="Times New Roman"/>
            <w:color w:val="0000FF"/>
            <w:sz w:val="24"/>
            <w:szCs w:val="24"/>
            <w:u w:val="single"/>
            <w:lang/>
          </w:rPr>
          <w:t>№ 3675-VI від 08.07.2011</w:t>
        </w:r>
      </w:hyperlink>
      <w:r w:rsidRPr="008B264B">
        <w:rPr>
          <w:rFonts w:ascii="Times New Roman" w:eastAsia="Times New Roman" w:hAnsi="Times New Roman" w:cs="Times New Roman"/>
          <w:color w:val="000000"/>
          <w:sz w:val="24"/>
          <w:szCs w:val="24"/>
          <w:lang/>
        </w:rPr>
        <w:t>, ВВР, 2012, № 14, ст.88</w:t>
      </w:r>
      <w:r w:rsidRPr="008B264B">
        <w:rPr>
          <w:rFonts w:ascii="Times New Roman" w:eastAsia="Times New Roman" w:hAnsi="Times New Roman" w:cs="Times New Roman"/>
          <w:color w:val="000000"/>
          <w:sz w:val="24"/>
          <w:szCs w:val="24"/>
          <w:lang/>
        </w:rPr>
        <w:br/>
      </w:r>
      <w:hyperlink r:id="rId14" w:tgtFrame="_blank" w:history="1">
        <w:r w:rsidRPr="008B264B">
          <w:rPr>
            <w:rFonts w:ascii="Times New Roman" w:eastAsia="Times New Roman" w:hAnsi="Times New Roman" w:cs="Times New Roman"/>
            <w:color w:val="0000FF"/>
            <w:sz w:val="24"/>
            <w:szCs w:val="24"/>
            <w:u w:val="single"/>
            <w:lang/>
          </w:rPr>
          <w:t>№ 3741-VI від 20.09.2011</w:t>
        </w:r>
      </w:hyperlink>
      <w:r w:rsidRPr="008B264B">
        <w:rPr>
          <w:rFonts w:ascii="Times New Roman" w:eastAsia="Times New Roman" w:hAnsi="Times New Roman" w:cs="Times New Roman"/>
          <w:color w:val="000000"/>
          <w:sz w:val="24"/>
          <w:szCs w:val="24"/>
          <w:lang/>
        </w:rPr>
        <w:t>, ВВР, 2012, № 19-20, ст.174</w:t>
      </w:r>
      <w:r w:rsidRPr="008B264B">
        <w:rPr>
          <w:rFonts w:ascii="Times New Roman" w:eastAsia="Times New Roman" w:hAnsi="Times New Roman" w:cs="Times New Roman"/>
          <w:color w:val="000000"/>
          <w:sz w:val="24"/>
          <w:szCs w:val="24"/>
          <w:lang/>
        </w:rPr>
        <w:br/>
      </w:r>
      <w:hyperlink r:id="rId15" w:tgtFrame="_blank" w:history="1">
        <w:r w:rsidRPr="008B264B">
          <w:rPr>
            <w:rFonts w:ascii="Times New Roman" w:eastAsia="Times New Roman" w:hAnsi="Times New Roman" w:cs="Times New Roman"/>
            <w:color w:val="0000FF"/>
            <w:sz w:val="24"/>
            <w:szCs w:val="24"/>
            <w:u w:val="single"/>
            <w:lang/>
          </w:rPr>
          <w:t>№ 4014-VI від 04.11.2011</w:t>
        </w:r>
      </w:hyperlink>
      <w:r w:rsidRPr="008B264B">
        <w:rPr>
          <w:rFonts w:ascii="Times New Roman" w:eastAsia="Times New Roman" w:hAnsi="Times New Roman" w:cs="Times New Roman"/>
          <w:color w:val="000000"/>
          <w:sz w:val="24"/>
          <w:szCs w:val="24"/>
          <w:lang/>
        </w:rPr>
        <w:t>, ВВР, 2012, № 24, ст.248</w:t>
      </w:r>
      <w:r w:rsidRPr="008B264B">
        <w:rPr>
          <w:rFonts w:ascii="Times New Roman" w:eastAsia="Times New Roman" w:hAnsi="Times New Roman" w:cs="Times New Roman"/>
          <w:color w:val="000000"/>
          <w:sz w:val="24"/>
          <w:szCs w:val="24"/>
          <w:lang/>
        </w:rPr>
        <w:br/>
      </w:r>
      <w:hyperlink r:id="rId16" w:tgtFrame="_blank" w:history="1">
        <w:r w:rsidRPr="008B264B">
          <w:rPr>
            <w:rFonts w:ascii="Times New Roman" w:eastAsia="Times New Roman" w:hAnsi="Times New Roman" w:cs="Times New Roman"/>
            <w:color w:val="0000FF"/>
            <w:sz w:val="24"/>
            <w:szCs w:val="24"/>
            <w:u w:val="single"/>
            <w:lang/>
          </w:rPr>
          <w:t>№ 4057-VI від 17.11.2011</w:t>
        </w:r>
      </w:hyperlink>
      <w:r w:rsidRPr="008B264B">
        <w:rPr>
          <w:rFonts w:ascii="Times New Roman" w:eastAsia="Times New Roman" w:hAnsi="Times New Roman" w:cs="Times New Roman"/>
          <w:color w:val="000000"/>
          <w:sz w:val="24"/>
          <w:szCs w:val="24"/>
          <w:lang/>
        </w:rPr>
        <w:t>, ВВР, 2012, № 27, ст.278}</w:t>
      </w:r>
    </w:p>
    <w:p w14:paraId="439D91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 w:name="n70"/>
      <w:bookmarkEnd w:id="3"/>
      <w:r w:rsidRPr="008B264B">
        <w:rPr>
          <w:rFonts w:ascii="Times New Roman" w:eastAsia="Times New Roman" w:hAnsi="Times New Roman" w:cs="Times New Roman"/>
          <w:i/>
          <w:iCs/>
          <w:color w:val="000000"/>
          <w:sz w:val="24"/>
          <w:szCs w:val="24"/>
          <w:lang/>
        </w:rPr>
        <w:t>{Офіційне тлумачення до Кодексу див. в </w:t>
      </w:r>
      <w:hyperlink r:id="rId17" w:tgtFrame="_blank" w:history="1">
        <w:r w:rsidRPr="008B264B">
          <w:rPr>
            <w:rFonts w:ascii="Times New Roman" w:eastAsia="Times New Roman" w:hAnsi="Times New Roman" w:cs="Times New Roman"/>
            <w:i/>
            <w:iCs/>
            <w:color w:val="0000FF"/>
            <w:sz w:val="24"/>
            <w:szCs w:val="24"/>
            <w:u w:val="single"/>
            <w:lang/>
          </w:rPr>
          <w:t>Рішенні Конституційного Суду № 18-рп/2011 від 14.12.2011</w:t>
        </w:r>
      </w:hyperlink>
      <w:r w:rsidRPr="008B264B">
        <w:rPr>
          <w:rFonts w:ascii="Times New Roman" w:eastAsia="Times New Roman" w:hAnsi="Times New Roman" w:cs="Times New Roman"/>
          <w:i/>
          <w:iCs/>
          <w:color w:val="000000"/>
          <w:sz w:val="24"/>
          <w:szCs w:val="24"/>
          <w:lang/>
        </w:rPr>
        <w:t>}</w:t>
      </w:r>
    </w:p>
    <w:p w14:paraId="0EE440A2" w14:textId="77777777" w:rsidR="008B264B" w:rsidRPr="008B264B" w:rsidRDefault="008B264B" w:rsidP="008B264B">
      <w:pPr>
        <w:spacing w:before="150" w:after="300" w:line="240" w:lineRule="auto"/>
        <w:ind w:left="450" w:right="450"/>
        <w:rPr>
          <w:rFonts w:ascii="Times New Roman" w:eastAsia="Times New Roman" w:hAnsi="Times New Roman" w:cs="Times New Roman"/>
          <w:color w:val="000000"/>
          <w:sz w:val="24"/>
          <w:szCs w:val="24"/>
          <w:lang/>
        </w:rPr>
      </w:pPr>
      <w:bookmarkStart w:id="4" w:name="n71"/>
      <w:bookmarkEnd w:id="4"/>
      <w:r w:rsidRPr="008B264B">
        <w:rPr>
          <w:rFonts w:ascii="Times New Roman" w:eastAsia="Times New Roman" w:hAnsi="Times New Roman" w:cs="Times New Roman"/>
          <w:color w:val="000000"/>
          <w:sz w:val="24"/>
          <w:szCs w:val="24"/>
          <w:lang/>
        </w:rPr>
        <w:t>{Із змінами, внесеними згідно із Законами</w:t>
      </w:r>
      <w:r w:rsidRPr="008B264B">
        <w:rPr>
          <w:rFonts w:ascii="Times New Roman" w:eastAsia="Times New Roman" w:hAnsi="Times New Roman" w:cs="Times New Roman"/>
          <w:color w:val="000000"/>
          <w:sz w:val="24"/>
          <w:szCs w:val="24"/>
          <w:lang/>
        </w:rPr>
        <w:br/>
      </w:r>
      <w:hyperlink r:id="rId18" w:anchor="n3" w:tgtFrame="_blank" w:history="1">
        <w:r w:rsidRPr="008B264B">
          <w:rPr>
            <w:rFonts w:ascii="Times New Roman" w:eastAsia="Times New Roman" w:hAnsi="Times New Roman" w:cs="Times New Roman"/>
            <w:color w:val="0000FF"/>
            <w:sz w:val="24"/>
            <w:szCs w:val="24"/>
            <w:u w:val="single"/>
            <w:lang/>
          </w:rPr>
          <w:t>№ 4212-VI від 22.12.2011</w:t>
        </w:r>
      </w:hyperlink>
      <w:r w:rsidRPr="008B264B">
        <w:rPr>
          <w:rFonts w:ascii="Times New Roman" w:eastAsia="Times New Roman" w:hAnsi="Times New Roman" w:cs="Times New Roman"/>
          <w:color w:val="000000"/>
          <w:sz w:val="24"/>
          <w:szCs w:val="24"/>
          <w:lang/>
        </w:rPr>
        <w:t>, ВВР, 2012, № 32-33, ст.413</w:t>
      </w:r>
      <w:r w:rsidRPr="008B264B">
        <w:rPr>
          <w:rFonts w:ascii="Times New Roman" w:eastAsia="Times New Roman" w:hAnsi="Times New Roman" w:cs="Times New Roman"/>
          <w:color w:val="000000"/>
          <w:sz w:val="24"/>
          <w:szCs w:val="24"/>
          <w:lang/>
        </w:rPr>
        <w:br/>
      </w:r>
      <w:hyperlink r:id="rId19" w:tgtFrame="_blank" w:history="1">
        <w:r w:rsidRPr="008B264B">
          <w:rPr>
            <w:rFonts w:ascii="Times New Roman" w:eastAsia="Times New Roman" w:hAnsi="Times New Roman" w:cs="Times New Roman"/>
            <w:color w:val="0000FF"/>
            <w:sz w:val="24"/>
            <w:szCs w:val="24"/>
            <w:u w:val="single"/>
            <w:lang/>
          </w:rPr>
          <w:t>№ 4220-VI від 22.12.2011</w:t>
        </w:r>
      </w:hyperlink>
      <w:r w:rsidRPr="008B264B">
        <w:rPr>
          <w:rFonts w:ascii="Times New Roman" w:eastAsia="Times New Roman" w:hAnsi="Times New Roman" w:cs="Times New Roman"/>
          <w:color w:val="000000"/>
          <w:sz w:val="24"/>
          <w:szCs w:val="24"/>
          <w:lang/>
        </w:rPr>
        <w:t>, ВВР, 2012, № 29, ст.345</w:t>
      </w:r>
      <w:r w:rsidRPr="008B264B">
        <w:rPr>
          <w:rFonts w:ascii="Times New Roman" w:eastAsia="Times New Roman" w:hAnsi="Times New Roman" w:cs="Times New Roman"/>
          <w:color w:val="000000"/>
          <w:sz w:val="24"/>
          <w:szCs w:val="24"/>
          <w:lang/>
        </w:rPr>
        <w:br/>
      </w:r>
      <w:hyperlink r:id="rId20" w:tgtFrame="_blank" w:history="1">
        <w:r w:rsidRPr="008B264B">
          <w:rPr>
            <w:rFonts w:ascii="Times New Roman" w:eastAsia="Times New Roman" w:hAnsi="Times New Roman" w:cs="Times New Roman"/>
            <w:color w:val="0000FF"/>
            <w:sz w:val="24"/>
            <w:szCs w:val="24"/>
            <w:u w:val="single"/>
            <w:lang/>
          </w:rPr>
          <w:t>№ 4235-VI від 22.12.2011</w:t>
        </w:r>
      </w:hyperlink>
      <w:r w:rsidRPr="008B264B">
        <w:rPr>
          <w:rFonts w:ascii="Times New Roman" w:eastAsia="Times New Roman" w:hAnsi="Times New Roman" w:cs="Times New Roman"/>
          <w:color w:val="000000"/>
          <w:sz w:val="24"/>
          <w:szCs w:val="24"/>
          <w:lang/>
        </w:rPr>
        <w:t>, ВВР, 2012, № 38, ст.456</w:t>
      </w:r>
      <w:r w:rsidRPr="008B264B">
        <w:rPr>
          <w:rFonts w:ascii="Times New Roman" w:eastAsia="Times New Roman" w:hAnsi="Times New Roman" w:cs="Times New Roman"/>
          <w:color w:val="000000"/>
          <w:sz w:val="24"/>
          <w:szCs w:val="24"/>
          <w:lang/>
        </w:rPr>
        <w:br/>
      </w:r>
      <w:hyperlink r:id="rId21" w:tgtFrame="_blank" w:history="1">
        <w:r w:rsidRPr="008B264B">
          <w:rPr>
            <w:rFonts w:ascii="Times New Roman" w:eastAsia="Times New Roman" w:hAnsi="Times New Roman" w:cs="Times New Roman"/>
            <w:color w:val="0000FF"/>
            <w:sz w:val="24"/>
            <w:szCs w:val="24"/>
            <w:u w:val="single"/>
            <w:lang/>
          </w:rPr>
          <w:t>№ 4238-VI від 22.12.2011</w:t>
        </w:r>
      </w:hyperlink>
      <w:r w:rsidRPr="008B264B">
        <w:rPr>
          <w:rFonts w:ascii="Times New Roman" w:eastAsia="Times New Roman" w:hAnsi="Times New Roman" w:cs="Times New Roman"/>
          <w:color w:val="000000"/>
          <w:sz w:val="24"/>
          <w:szCs w:val="24"/>
          <w:lang/>
        </w:rPr>
        <w:t>, ВВР, 2012, № 39, ст.460</w:t>
      </w:r>
      <w:r w:rsidRPr="008B264B">
        <w:rPr>
          <w:rFonts w:ascii="Times New Roman" w:eastAsia="Times New Roman" w:hAnsi="Times New Roman" w:cs="Times New Roman"/>
          <w:color w:val="000000"/>
          <w:sz w:val="24"/>
          <w:szCs w:val="24"/>
          <w:lang/>
        </w:rPr>
        <w:br/>
      </w:r>
      <w:hyperlink r:id="rId22" w:tgtFrame="_blank" w:history="1">
        <w:r w:rsidRPr="008B264B">
          <w:rPr>
            <w:rFonts w:ascii="Times New Roman" w:eastAsia="Times New Roman" w:hAnsi="Times New Roman" w:cs="Times New Roman"/>
            <w:color w:val="0000FF"/>
            <w:sz w:val="24"/>
            <w:szCs w:val="24"/>
            <w:u w:val="single"/>
            <w:lang/>
          </w:rPr>
          <w:t>№ 4268-VI від 22.12.2011</w:t>
        </w:r>
      </w:hyperlink>
      <w:r w:rsidRPr="008B264B">
        <w:rPr>
          <w:rFonts w:ascii="Times New Roman" w:eastAsia="Times New Roman" w:hAnsi="Times New Roman" w:cs="Times New Roman"/>
          <w:color w:val="000000"/>
          <w:sz w:val="24"/>
          <w:szCs w:val="24"/>
          <w:lang/>
        </w:rPr>
        <w:t>, ВВР, 2012, № 30, ст.356</w:t>
      </w:r>
      <w:r w:rsidRPr="008B264B">
        <w:rPr>
          <w:rFonts w:ascii="Times New Roman" w:eastAsia="Times New Roman" w:hAnsi="Times New Roman" w:cs="Times New Roman"/>
          <w:color w:val="000000"/>
          <w:sz w:val="24"/>
          <w:szCs w:val="24"/>
          <w:lang/>
        </w:rPr>
        <w:br/>
      </w:r>
      <w:hyperlink r:id="rId23" w:tgtFrame="_blank" w:history="1">
        <w:r w:rsidRPr="008B264B">
          <w:rPr>
            <w:rFonts w:ascii="Times New Roman" w:eastAsia="Times New Roman" w:hAnsi="Times New Roman" w:cs="Times New Roman"/>
            <w:color w:val="0000FF"/>
            <w:sz w:val="24"/>
            <w:szCs w:val="24"/>
            <w:u w:val="single"/>
            <w:lang/>
          </w:rPr>
          <w:t>№ 4279-VI від 22.12.2011</w:t>
        </w:r>
      </w:hyperlink>
      <w:r w:rsidRPr="008B264B">
        <w:rPr>
          <w:rFonts w:ascii="Times New Roman" w:eastAsia="Times New Roman" w:hAnsi="Times New Roman" w:cs="Times New Roman"/>
          <w:color w:val="000000"/>
          <w:sz w:val="24"/>
          <w:szCs w:val="24"/>
          <w:lang/>
        </w:rPr>
        <w:t>, ВВР, 2012, № 31, ст.389</w:t>
      </w:r>
      <w:r w:rsidRPr="008B264B">
        <w:rPr>
          <w:rFonts w:ascii="Times New Roman" w:eastAsia="Times New Roman" w:hAnsi="Times New Roman" w:cs="Times New Roman"/>
          <w:color w:val="000000"/>
          <w:sz w:val="24"/>
          <w:szCs w:val="24"/>
          <w:lang/>
        </w:rPr>
        <w:br/>
      </w:r>
      <w:hyperlink r:id="rId24" w:anchor="n3" w:tgtFrame="_blank" w:history="1">
        <w:r w:rsidRPr="008B264B">
          <w:rPr>
            <w:rFonts w:ascii="Times New Roman" w:eastAsia="Times New Roman" w:hAnsi="Times New Roman" w:cs="Times New Roman"/>
            <w:color w:val="0000FF"/>
            <w:sz w:val="24"/>
            <w:szCs w:val="24"/>
            <w:u w:val="single"/>
            <w:lang/>
          </w:rPr>
          <w:t>№ 4453-VI від 23.02.2012</w:t>
        </w:r>
      </w:hyperlink>
      <w:r w:rsidRPr="008B264B">
        <w:rPr>
          <w:rFonts w:ascii="Times New Roman" w:eastAsia="Times New Roman" w:hAnsi="Times New Roman" w:cs="Times New Roman"/>
          <w:color w:val="000000"/>
          <w:sz w:val="24"/>
          <w:szCs w:val="24"/>
          <w:lang/>
        </w:rPr>
        <w:t>, ВВР, 2012, № 49, ст.559</w:t>
      </w:r>
      <w:r w:rsidRPr="008B264B">
        <w:rPr>
          <w:rFonts w:ascii="Times New Roman" w:eastAsia="Times New Roman" w:hAnsi="Times New Roman" w:cs="Times New Roman"/>
          <w:color w:val="000000"/>
          <w:sz w:val="24"/>
          <w:szCs w:val="24"/>
          <w:lang/>
        </w:rPr>
        <w:br/>
      </w:r>
      <w:hyperlink r:id="rId25" w:anchor="n3" w:tgtFrame="_blank" w:history="1">
        <w:r w:rsidRPr="008B264B">
          <w:rPr>
            <w:rFonts w:ascii="Times New Roman" w:eastAsia="Times New Roman" w:hAnsi="Times New Roman" w:cs="Times New Roman"/>
            <w:color w:val="0000FF"/>
            <w:sz w:val="24"/>
            <w:szCs w:val="24"/>
            <w:u w:val="single"/>
            <w:lang/>
          </w:rPr>
          <w:t>№ 4652-VI від 13.04.2012</w:t>
        </w:r>
      </w:hyperlink>
      <w:r w:rsidRPr="008B264B">
        <w:rPr>
          <w:rFonts w:ascii="Times New Roman" w:eastAsia="Times New Roman" w:hAnsi="Times New Roman" w:cs="Times New Roman"/>
          <w:color w:val="000000"/>
          <w:sz w:val="24"/>
          <w:szCs w:val="24"/>
          <w:lang/>
        </w:rPr>
        <w:t>, ВВР, 2013, № 21, ст.208</w:t>
      </w:r>
      <w:r w:rsidRPr="008B264B">
        <w:rPr>
          <w:rFonts w:ascii="Times New Roman" w:eastAsia="Times New Roman" w:hAnsi="Times New Roman" w:cs="Times New Roman"/>
          <w:color w:val="000000"/>
          <w:sz w:val="24"/>
          <w:szCs w:val="24"/>
          <w:lang/>
        </w:rPr>
        <w:br/>
      </w:r>
      <w:hyperlink r:id="rId26" w:anchor="n3" w:tgtFrame="_blank" w:history="1">
        <w:r w:rsidRPr="008B264B">
          <w:rPr>
            <w:rFonts w:ascii="Times New Roman" w:eastAsia="Times New Roman" w:hAnsi="Times New Roman" w:cs="Times New Roman"/>
            <w:color w:val="0000FF"/>
            <w:sz w:val="24"/>
            <w:szCs w:val="24"/>
            <w:u w:val="single"/>
            <w:lang/>
          </w:rPr>
          <w:t>№ 4661-VI від 24.04.2012</w:t>
        </w:r>
      </w:hyperlink>
      <w:r w:rsidRPr="008B264B">
        <w:rPr>
          <w:rFonts w:ascii="Times New Roman" w:eastAsia="Times New Roman" w:hAnsi="Times New Roman" w:cs="Times New Roman"/>
          <w:color w:val="000000"/>
          <w:sz w:val="24"/>
          <w:szCs w:val="24"/>
          <w:lang/>
        </w:rPr>
        <w:t>, ВВР, 2013, № 7, ст.64</w:t>
      </w:r>
      <w:r w:rsidRPr="008B264B">
        <w:rPr>
          <w:rFonts w:ascii="Times New Roman" w:eastAsia="Times New Roman" w:hAnsi="Times New Roman" w:cs="Times New Roman"/>
          <w:color w:val="000000"/>
          <w:sz w:val="24"/>
          <w:szCs w:val="24"/>
          <w:lang/>
        </w:rPr>
        <w:br/>
      </w:r>
      <w:hyperlink r:id="rId27" w:tgtFrame="_blank" w:history="1">
        <w:r w:rsidRPr="008B264B">
          <w:rPr>
            <w:rFonts w:ascii="Times New Roman" w:eastAsia="Times New Roman" w:hAnsi="Times New Roman" w:cs="Times New Roman"/>
            <w:color w:val="0000FF"/>
            <w:sz w:val="24"/>
            <w:szCs w:val="24"/>
            <w:u w:val="single"/>
            <w:lang/>
          </w:rPr>
          <w:t>№ 4677-VI від 15.05.2012</w:t>
        </w:r>
      </w:hyperlink>
      <w:r w:rsidRPr="008B264B">
        <w:rPr>
          <w:rFonts w:ascii="Times New Roman" w:eastAsia="Times New Roman" w:hAnsi="Times New Roman" w:cs="Times New Roman"/>
          <w:color w:val="000000"/>
          <w:sz w:val="24"/>
          <w:szCs w:val="24"/>
          <w:lang/>
        </w:rPr>
        <w:t>, ВВР, 2013, № 8, ст.71}</w:t>
      </w:r>
    </w:p>
    <w:p w14:paraId="65904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 w:name="n72"/>
      <w:bookmarkEnd w:id="5"/>
      <w:r w:rsidRPr="008B264B">
        <w:rPr>
          <w:rFonts w:ascii="Times New Roman" w:eastAsia="Times New Roman" w:hAnsi="Times New Roman" w:cs="Times New Roman"/>
          <w:i/>
          <w:iCs/>
          <w:color w:val="000000"/>
          <w:sz w:val="24"/>
          <w:szCs w:val="24"/>
          <w:lang/>
        </w:rPr>
        <w:t>{Щодо визнання конституційними окремих положень див. </w:t>
      </w:r>
      <w:hyperlink r:id="rId28" w:anchor="n3" w:tgtFrame="_blank" w:history="1">
        <w:r w:rsidRPr="008B264B">
          <w:rPr>
            <w:rFonts w:ascii="Times New Roman" w:eastAsia="Times New Roman" w:hAnsi="Times New Roman" w:cs="Times New Roman"/>
            <w:i/>
            <w:iCs/>
            <w:color w:val="0000FF"/>
            <w:sz w:val="24"/>
            <w:szCs w:val="24"/>
            <w:u w:val="single"/>
            <w:lang/>
          </w:rPr>
          <w:t>Рішення Конституційного Суду № 13-рп/2012 від 12.06.2012</w:t>
        </w:r>
      </w:hyperlink>
      <w:r w:rsidRPr="008B264B">
        <w:rPr>
          <w:rFonts w:ascii="Times New Roman" w:eastAsia="Times New Roman" w:hAnsi="Times New Roman" w:cs="Times New Roman"/>
          <w:i/>
          <w:iCs/>
          <w:color w:val="000000"/>
          <w:sz w:val="24"/>
          <w:szCs w:val="24"/>
          <w:lang/>
        </w:rPr>
        <w:t>}</w:t>
      </w:r>
    </w:p>
    <w:p w14:paraId="6BBB1BEC" w14:textId="77777777" w:rsidR="008B264B" w:rsidRPr="008B264B" w:rsidRDefault="008B264B" w:rsidP="008B264B">
      <w:pPr>
        <w:spacing w:before="150" w:after="300" w:line="240" w:lineRule="auto"/>
        <w:ind w:left="450" w:right="450"/>
        <w:rPr>
          <w:rFonts w:ascii="Times New Roman" w:eastAsia="Times New Roman" w:hAnsi="Times New Roman" w:cs="Times New Roman"/>
          <w:color w:val="000000"/>
          <w:sz w:val="24"/>
          <w:szCs w:val="24"/>
          <w:lang/>
        </w:rPr>
      </w:pPr>
      <w:bookmarkStart w:id="6" w:name="n73"/>
      <w:bookmarkEnd w:id="6"/>
      <w:r w:rsidRPr="008B264B">
        <w:rPr>
          <w:rFonts w:ascii="Times New Roman" w:eastAsia="Times New Roman" w:hAnsi="Times New Roman" w:cs="Times New Roman"/>
          <w:color w:val="000000"/>
          <w:sz w:val="24"/>
          <w:szCs w:val="24"/>
          <w:lang/>
        </w:rPr>
        <w:t>{Із змінами, внесеними згідно із Законами</w:t>
      </w:r>
      <w:r w:rsidRPr="008B264B">
        <w:rPr>
          <w:rFonts w:ascii="Times New Roman" w:eastAsia="Times New Roman" w:hAnsi="Times New Roman" w:cs="Times New Roman"/>
          <w:color w:val="000000"/>
          <w:sz w:val="24"/>
          <w:szCs w:val="24"/>
          <w:lang/>
        </w:rPr>
        <w:br/>
      </w:r>
      <w:hyperlink r:id="rId29" w:anchor="n3" w:tgtFrame="_blank" w:history="1">
        <w:r w:rsidRPr="008B264B">
          <w:rPr>
            <w:rFonts w:ascii="Times New Roman" w:eastAsia="Times New Roman" w:hAnsi="Times New Roman" w:cs="Times New Roman"/>
            <w:color w:val="0000FF"/>
            <w:sz w:val="24"/>
            <w:szCs w:val="24"/>
            <w:u w:val="single"/>
            <w:lang/>
          </w:rPr>
          <w:t>№ 4834-VI від 24.05.2012</w:t>
        </w:r>
      </w:hyperlink>
      <w:r w:rsidRPr="008B264B">
        <w:rPr>
          <w:rFonts w:ascii="Times New Roman" w:eastAsia="Times New Roman" w:hAnsi="Times New Roman" w:cs="Times New Roman"/>
          <w:color w:val="000000"/>
          <w:sz w:val="24"/>
          <w:szCs w:val="24"/>
          <w:lang/>
        </w:rPr>
        <w:t>, ВВР, 2013, № 16, ст.136</w:t>
      </w:r>
      <w:r w:rsidRPr="008B264B">
        <w:rPr>
          <w:rFonts w:ascii="Times New Roman" w:eastAsia="Times New Roman" w:hAnsi="Times New Roman" w:cs="Times New Roman"/>
          <w:color w:val="000000"/>
          <w:sz w:val="24"/>
          <w:szCs w:val="24"/>
          <w:lang/>
        </w:rPr>
        <w:br/>
      </w:r>
      <w:hyperlink r:id="rId30" w:anchor="n3" w:tgtFrame="_blank" w:history="1">
        <w:r w:rsidRPr="008B264B">
          <w:rPr>
            <w:rFonts w:ascii="Times New Roman" w:eastAsia="Times New Roman" w:hAnsi="Times New Roman" w:cs="Times New Roman"/>
            <w:color w:val="0000FF"/>
            <w:sz w:val="24"/>
            <w:szCs w:val="24"/>
            <w:u w:val="single"/>
            <w:lang/>
          </w:rPr>
          <w:t>№ 4915-VI від 07.06.2012</w:t>
        </w:r>
      </w:hyperlink>
      <w:r w:rsidRPr="008B264B">
        <w:rPr>
          <w:rFonts w:ascii="Times New Roman" w:eastAsia="Times New Roman" w:hAnsi="Times New Roman" w:cs="Times New Roman"/>
          <w:color w:val="000000"/>
          <w:sz w:val="24"/>
          <w:szCs w:val="24"/>
          <w:lang/>
        </w:rPr>
        <w:t>, ВВР, 2013, № 18, ст.167</w:t>
      </w:r>
      <w:r w:rsidRPr="008B264B">
        <w:rPr>
          <w:rFonts w:ascii="Times New Roman" w:eastAsia="Times New Roman" w:hAnsi="Times New Roman" w:cs="Times New Roman"/>
          <w:color w:val="000000"/>
          <w:sz w:val="24"/>
          <w:szCs w:val="24"/>
          <w:lang/>
        </w:rPr>
        <w:br/>
      </w:r>
      <w:hyperlink r:id="rId31" w:anchor="n3" w:tgtFrame="_blank" w:history="1">
        <w:r w:rsidRPr="008B264B">
          <w:rPr>
            <w:rFonts w:ascii="Times New Roman" w:eastAsia="Times New Roman" w:hAnsi="Times New Roman" w:cs="Times New Roman"/>
            <w:color w:val="0000FF"/>
            <w:sz w:val="24"/>
            <w:szCs w:val="24"/>
            <w:u w:val="single"/>
            <w:lang/>
          </w:rPr>
          <w:t>№ 5019-VI від 21.06.2012</w:t>
        </w:r>
      </w:hyperlink>
      <w:r w:rsidRPr="008B264B">
        <w:rPr>
          <w:rFonts w:ascii="Times New Roman" w:eastAsia="Times New Roman" w:hAnsi="Times New Roman" w:cs="Times New Roman"/>
          <w:color w:val="000000"/>
          <w:sz w:val="24"/>
          <w:szCs w:val="24"/>
          <w:lang/>
        </w:rPr>
        <w:t>, ВВР, 2013, № 22, ст.213</w:t>
      </w:r>
      <w:r w:rsidRPr="008B264B">
        <w:rPr>
          <w:rFonts w:ascii="Times New Roman" w:eastAsia="Times New Roman" w:hAnsi="Times New Roman" w:cs="Times New Roman"/>
          <w:color w:val="000000"/>
          <w:sz w:val="24"/>
          <w:szCs w:val="24"/>
          <w:lang/>
        </w:rPr>
        <w:br/>
      </w:r>
      <w:hyperlink r:id="rId32" w:anchor="n3" w:tgtFrame="_blank" w:history="1">
        <w:r w:rsidRPr="008B264B">
          <w:rPr>
            <w:rFonts w:ascii="Times New Roman" w:eastAsia="Times New Roman" w:hAnsi="Times New Roman" w:cs="Times New Roman"/>
            <w:color w:val="0000FF"/>
            <w:sz w:val="24"/>
            <w:szCs w:val="24"/>
            <w:u w:val="single"/>
            <w:lang/>
          </w:rPr>
          <w:t>№ 5043-VI від 04.07.2012</w:t>
        </w:r>
      </w:hyperlink>
      <w:r w:rsidRPr="008B264B">
        <w:rPr>
          <w:rFonts w:ascii="Times New Roman" w:eastAsia="Times New Roman" w:hAnsi="Times New Roman" w:cs="Times New Roman"/>
          <w:color w:val="000000"/>
          <w:sz w:val="24"/>
          <w:szCs w:val="24"/>
          <w:lang/>
        </w:rPr>
        <w:t>, ВВР, 2013, № 25, ст.248</w:t>
      </w:r>
      <w:r w:rsidRPr="008B264B">
        <w:rPr>
          <w:rFonts w:ascii="Times New Roman" w:eastAsia="Times New Roman" w:hAnsi="Times New Roman" w:cs="Times New Roman"/>
          <w:color w:val="000000"/>
          <w:sz w:val="24"/>
          <w:szCs w:val="24"/>
          <w:lang/>
        </w:rPr>
        <w:br/>
      </w:r>
      <w:hyperlink r:id="rId33" w:anchor="n3" w:tgtFrame="_blank" w:history="1">
        <w:r w:rsidRPr="008B264B">
          <w:rPr>
            <w:rFonts w:ascii="Times New Roman" w:eastAsia="Times New Roman" w:hAnsi="Times New Roman" w:cs="Times New Roman"/>
            <w:color w:val="0000FF"/>
            <w:sz w:val="24"/>
            <w:szCs w:val="24"/>
            <w:u w:val="single"/>
            <w:lang/>
          </w:rPr>
          <w:t>№ 5073-VI від 05.07.2012</w:t>
        </w:r>
      </w:hyperlink>
      <w:r w:rsidRPr="008B264B">
        <w:rPr>
          <w:rFonts w:ascii="Times New Roman" w:eastAsia="Times New Roman" w:hAnsi="Times New Roman" w:cs="Times New Roman"/>
          <w:color w:val="000000"/>
          <w:sz w:val="24"/>
          <w:szCs w:val="24"/>
          <w:lang/>
        </w:rPr>
        <w:t>, ВВР, 2013, № 25, ст.252</w:t>
      </w:r>
      <w:r w:rsidRPr="008B264B">
        <w:rPr>
          <w:rFonts w:ascii="Times New Roman" w:eastAsia="Times New Roman" w:hAnsi="Times New Roman" w:cs="Times New Roman"/>
          <w:color w:val="000000"/>
          <w:sz w:val="24"/>
          <w:szCs w:val="24"/>
          <w:lang/>
        </w:rPr>
        <w:br/>
      </w:r>
      <w:hyperlink r:id="rId34" w:anchor="n3" w:tgtFrame="_blank" w:history="1">
        <w:r w:rsidRPr="008B264B">
          <w:rPr>
            <w:rFonts w:ascii="Times New Roman" w:eastAsia="Times New Roman" w:hAnsi="Times New Roman" w:cs="Times New Roman"/>
            <w:color w:val="0000FF"/>
            <w:sz w:val="24"/>
            <w:szCs w:val="24"/>
            <w:u w:val="single"/>
            <w:lang/>
          </w:rPr>
          <w:t>№ 5074-VI від 05.07.2012</w:t>
        </w:r>
      </w:hyperlink>
      <w:r w:rsidRPr="008B264B">
        <w:rPr>
          <w:rFonts w:ascii="Times New Roman" w:eastAsia="Times New Roman" w:hAnsi="Times New Roman" w:cs="Times New Roman"/>
          <w:color w:val="000000"/>
          <w:sz w:val="24"/>
          <w:szCs w:val="24"/>
          <w:lang/>
        </w:rPr>
        <w:t>, ВВР, 2013, № 30, ст.339</w:t>
      </w:r>
      <w:r w:rsidRPr="008B264B">
        <w:rPr>
          <w:rFonts w:ascii="Times New Roman" w:eastAsia="Times New Roman" w:hAnsi="Times New Roman" w:cs="Times New Roman"/>
          <w:color w:val="000000"/>
          <w:sz w:val="24"/>
          <w:szCs w:val="24"/>
          <w:lang/>
        </w:rPr>
        <w:br/>
      </w:r>
      <w:hyperlink r:id="rId35" w:anchor="n3" w:tgtFrame="_blank" w:history="1">
        <w:r w:rsidRPr="008B264B">
          <w:rPr>
            <w:rFonts w:ascii="Times New Roman" w:eastAsia="Times New Roman" w:hAnsi="Times New Roman" w:cs="Times New Roman"/>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ВВР, 2013, № 33, ст.435</w:t>
      </w:r>
      <w:r w:rsidRPr="008B264B">
        <w:rPr>
          <w:rFonts w:ascii="Times New Roman" w:eastAsia="Times New Roman" w:hAnsi="Times New Roman" w:cs="Times New Roman"/>
          <w:color w:val="000000"/>
          <w:sz w:val="24"/>
          <w:szCs w:val="24"/>
          <w:lang/>
        </w:rPr>
        <w:br/>
      </w:r>
      <w:hyperlink r:id="rId36" w:anchor="n3" w:tgtFrame="_blank" w:history="1">
        <w:r w:rsidRPr="008B264B">
          <w:rPr>
            <w:rFonts w:ascii="Times New Roman" w:eastAsia="Times New Roman" w:hAnsi="Times New Roman" w:cs="Times New Roman"/>
            <w:color w:val="0000FF"/>
            <w:sz w:val="24"/>
            <w:szCs w:val="24"/>
            <w:u w:val="single"/>
            <w:lang/>
          </w:rPr>
          <w:t>№ 5091-VI від 05.07.2012</w:t>
        </w:r>
      </w:hyperlink>
      <w:r w:rsidRPr="008B264B">
        <w:rPr>
          <w:rFonts w:ascii="Times New Roman" w:eastAsia="Times New Roman" w:hAnsi="Times New Roman" w:cs="Times New Roman"/>
          <w:color w:val="000000"/>
          <w:sz w:val="24"/>
          <w:szCs w:val="24"/>
          <w:lang/>
        </w:rPr>
        <w:t>, ВВР, 2013, № 32, ст.406</w:t>
      </w:r>
      <w:r w:rsidRPr="008B264B">
        <w:rPr>
          <w:rFonts w:ascii="Times New Roman" w:eastAsia="Times New Roman" w:hAnsi="Times New Roman" w:cs="Times New Roman"/>
          <w:color w:val="000000"/>
          <w:sz w:val="24"/>
          <w:szCs w:val="24"/>
          <w:lang/>
        </w:rPr>
        <w:br/>
      </w:r>
      <w:hyperlink r:id="rId37" w:anchor="n3" w:tgtFrame="_blank" w:history="1">
        <w:r w:rsidRPr="008B264B">
          <w:rPr>
            <w:rFonts w:ascii="Times New Roman" w:eastAsia="Times New Roman" w:hAnsi="Times New Roman" w:cs="Times New Roman"/>
            <w:color w:val="0000FF"/>
            <w:sz w:val="24"/>
            <w:szCs w:val="24"/>
            <w:u w:val="single"/>
            <w:lang/>
          </w:rPr>
          <w:t>№ 5180-VI від 06.07.2012</w:t>
        </w:r>
      </w:hyperlink>
      <w:r w:rsidRPr="008B264B">
        <w:rPr>
          <w:rFonts w:ascii="Times New Roman" w:eastAsia="Times New Roman" w:hAnsi="Times New Roman" w:cs="Times New Roman"/>
          <w:color w:val="000000"/>
          <w:sz w:val="24"/>
          <w:szCs w:val="24"/>
          <w:lang/>
        </w:rPr>
        <w:t>, ВВР, 2013, № 30, ст.348</w:t>
      </w:r>
      <w:r w:rsidRPr="008B264B">
        <w:rPr>
          <w:rFonts w:ascii="Times New Roman" w:eastAsia="Times New Roman" w:hAnsi="Times New Roman" w:cs="Times New Roman"/>
          <w:color w:val="000000"/>
          <w:sz w:val="24"/>
          <w:szCs w:val="24"/>
          <w:lang/>
        </w:rPr>
        <w:br/>
      </w:r>
      <w:hyperlink r:id="rId38" w:anchor="n228" w:tgtFrame="_blank" w:history="1">
        <w:r w:rsidRPr="008B264B">
          <w:rPr>
            <w:rFonts w:ascii="Times New Roman" w:eastAsia="Times New Roman" w:hAnsi="Times New Roman" w:cs="Times New Roman"/>
            <w:color w:val="0000FF"/>
            <w:sz w:val="24"/>
            <w:szCs w:val="24"/>
            <w:u w:val="single"/>
            <w:lang/>
          </w:rPr>
          <w:t>№ 5203-VI від 06.09.2012</w:t>
        </w:r>
      </w:hyperlink>
      <w:r w:rsidRPr="008B264B">
        <w:rPr>
          <w:rFonts w:ascii="Times New Roman" w:eastAsia="Times New Roman" w:hAnsi="Times New Roman" w:cs="Times New Roman"/>
          <w:color w:val="000000"/>
          <w:sz w:val="24"/>
          <w:szCs w:val="24"/>
          <w:lang/>
        </w:rPr>
        <w:t>, ВВР, 2013, № 32, ст.409</w:t>
      </w:r>
      <w:r w:rsidRPr="008B264B">
        <w:rPr>
          <w:rFonts w:ascii="Times New Roman" w:eastAsia="Times New Roman" w:hAnsi="Times New Roman" w:cs="Times New Roman"/>
          <w:color w:val="000000"/>
          <w:sz w:val="24"/>
          <w:szCs w:val="24"/>
          <w:lang/>
        </w:rPr>
        <w:br/>
      </w:r>
      <w:hyperlink r:id="rId39" w:anchor="n3" w:tgtFrame="_blank" w:history="1">
        <w:r w:rsidRPr="008B264B">
          <w:rPr>
            <w:rFonts w:ascii="Times New Roman" w:eastAsia="Times New Roman" w:hAnsi="Times New Roman" w:cs="Times New Roman"/>
            <w:color w:val="0000FF"/>
            <w:sz w:val="24"/>
            <w:szCs w:val="24"/>
            <w:u w:val="single"/>
            <w:lang/>
          </w:rPr>
          <w:t>№ 5211-VI від 06.09.2012</w:t>
        </w:r>
      </w:hyperlink>
      <w:r w:rsidRPr="008B264B">
        <w:rPr>
          <w:rFonts w:ascii="Times New Roman" w:eastAsia="Times New Roman" w:hAnsi="Times New Roman" w:cs="Times New Roman"/>
          <w:color w:val="000000"/>
          <w:sz w:val="24"/>
          <w:szCs w:val="24"/>
          <w:lang/>
        </w:rPr>
        <w:t>, ВВР, 2013, № 33, ст.438</w:t>
      </w:r>
      <w:r w:rsidRPr="008B264B">
        <w:rPr>
          <w:rFonts w:ascii="Times New Roman" w:eastAsia="Times New Roman" w:hAnsi="Times New Roman" w:cs="Times New Roman"/>
          <w:color w:val="000000"/>
          <w:sz w:val="24"/>
          <w:szCs w:val="24"/>
          <w:lang/>
        </w:rPr>
        <w:br/>
      </w:r>
      <w:hyperlink r:id="rId40" w:anchor="n3" w:tgtFrame="_blank" w:history="1">
        <w:r w:rsidRPr="008B264B">
          <w:rPr>
            <w:rFonts w:ascii="Times New Roman" w:eastAsia="Times New Roman" w:hAnsi="Times New Roman" w:cs="Times New Roman"/>
            <w:color w:val="0000FF"/>
            <w:sz w:val="24"/>
            <w:szCs w:val="24"/>
            <w:u w:val="single"/>
            <w:lang/>
          </w:rPr>
          <w:t>№ 5412-VI від 02.10.2012</w:t>
        </w:r>
      </w:hyperlink>
      <w:r w:rsidRPr="008B264B">
        <w:rPr>
          <w:rFonts w:ascii="Times New Roman" w:eastAsia="Times New Roman" w:hAnsi="Times New Roman" w:cs="Times New Roman"/>
          <w:color w:val="000000"/>
          <w:sz w:val="24"/>
          <w:szCs w:val="24"/>
          <w:lang/>
        </w:rPr>
        <w:t>, ВВР, 2013, № 43, ст.617</w:t>
      </w:r>
      <w:r w:rsidRPr="008B264B">
        <w:rPr>
          <w:rFonts w:ascii="Times New Roman" w:eastAsia="Times New Roman" w:hAnsi="Times New Roman" w:cs="Times New Roman"/>
          <w:color w:val="000000"/>
          <w:sz w:val="24"/>
          <w:szCs w:val="24"/>
          <w:lang/>
        </w:rPr>
        <w:br/>
      </w:r>
      <w:hyperlink r:id="rId41" w:anchor="n3" w:tgtFrame="_blank" w:history="1">
        <w:r w:rsidRPr="008B264B">
          <w:rPr>
            <w:rFonts w:ascii="Times New Roman" w:eastAsia="Times New Roman" w:hAnsi="Times New Roman" w:cs="Times New Roman"/>
            <w:color w:val="0000FF"/>
            <w:sz w:val="24"/>
            <w:szCs w:val="24"/>
            <w:u w:val="single"/>
            <w:lang/>
          </w:rPr>
          <w:t>№ 5413-VI від 02.10.2012</w:t>
        </w:r>
      </w:hyperlink>
      <w:r w:rsidRPr="008B264B">
        <w:rPr>
          <w:rFonts w:ascii="Times New Roman" w:eastAsia="Times New Roman" w:hAnsi="Times New Roman" w:cs="Times New Roman"/>
          <w:color w:val="000000"/>
          <w:sz w:val="24"/>
          <w:szCs w:val="24"/>
          <w:lang/>
        </w:rPr>
        <w:t>, ВВР, 2013, № 43, ст.618</w:t>
      </w:r>
      <w:r w:rsidRPr="008B264B">
        <w:rPr>
          <w:rFonts w:ascii="Times New Roman" w:eastAsia="Times New Roman" w:hAnsi="Times New Roman" w:cs="Times New Roman"/>
          <w:color w:val="000000"/>
          <w:sz w:val="24"/>
          <w:szCs w:val="24"/>
          <w:lang/>
        </w:rPr>
        <w:br/>
      </w:r>
      <w:hyperlink r:id="rId42" w:anchor="n3" w:tgtFrame="_blank" w:history="1">
        <w:r w:rsidRPr="008B264B">
          <w:rPr>
            <w:rFonts w:ascii="Times New Roman" w:eastAsia="Times New Roman" w:hAnsi="Times New Roman" w:cs="Times New Roman"/>
            <w:color w:val="0000FF"/>
            <w:sz w:val="24"/>
            <w:szCs w:val="24"/>
            <w:u w:val="single"/>
            <w:lang/>
          </w:rPr>
          <w:t>№ 5414-VI від 02.10.2012</w:t>
        </w:r>
      </w:hyperlink>
      <w:r w:rsidRPr="008B264B">
        <w:rPr>
          <w:rFonts w:ascii="Times New Roman" w:eastAsia="Times New Roman" w:hAnsi="Times New Roman" w:cs="Times New Roman"/>
          <w:color w:val="000000"/>
          <w:sz w:val="24"/>
          <w:szCs w:val="24"/>
          <w:lang/>
        </w:rPr>
        <w:t>, ВВР, 2013, № 41, ст.553</w:t>
      </w:r>
      <w:r w:rsidRPr="008B264B">
        <w:rPr>
          <w:rFonts w:ascii="Times New Roman" w:eastAsia="Times New Roman" w:hAnsi="Times New Roman" w:cs="Times New Roman"/>
          <w:color w:val="000000"/>
          <w:sz w:val="24"/>
          <w:szCs w:val="24"/>
          <w:lang/>
        </w:rPr>
        <w:br/>
      </w:r>
      <w:hyperlink r:id="rId43" w:tgtFrame="_blank" w:history="1">
        <w:r w:rsidRPr="008B264B">
          <w:rPr>
            <w:rFonts w:ascii="Times New Roman" w:eastAsia="Times New Roman" w:hAnsi="Times New Roman" w:cs="Times New Roman"/>
            <w:color w:val="0000FF"/>
            <w:sz w:val="24"/>
            <w:szCs w:val="24"/>
            <w:u w:val="single"/>
            <w:lang/>
          </w:rPr>
          <w:t>№ 5471-VI від 06.11.2012</w:t>
        </w:r>
      </w:hyperlink>
      <w:r w:rsidRPr="008B264B">
        <w:rPr>
          <w:rFonts w:ascii="Times New Roman" w:eastAsia="Times New Roman" w:hAnsi="Times New Roman" w:cs="Times New Roman"/>
          <w:color w:val="000000"/>
          <w:sz w:val="24"/>
          <w:szCs w:val="24"/>
          <w:lang/>
        </w:rPr>
        <w:t>, ВВР, 2013, № 49, ст.686</w:t>
      </w:r>
      <w:r w:rsidRPr="008B264B">
        <w:rPr>
          <w:rFonts w:ascii="Times New Roman" w:eastAsia="Times New Roman" w:hAnsi="Times New Roman" w:cs="Times New Roman"/>
          <w:color w:val="000000"/>
          <w:sz w:val="24"/>
          <w:szCs w:val="24"/>
          <w:lang/>
        </w:rPr>
        <w:br/>
      </w:r>
      <w:hyperlink r:id="rId44" w:tgtFrame="_blank" w:history="1">
        <w:r w:rsidRPr="008B264B">
          <w:rPr>
            <w:rFonts w:ascii="Times New Roman" w:eastAsia="Times New Roman" w:hAnsi="Times New Roman" w:cs="Times New Roman"/>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ВВР, 2014, № 8, ст.89</w:t>
      </w:r>
      <w:r w:rsidRPr="008B264B">
        <w:rPr>
          <w:rFonts w:ascii="Times New Roman" w:eastAsia="Times New Roman" w:hAnsi="Times New Roman" w:cs="Times New Roman"/>
          <w:color w:val="000000"/>
          <w:sz w:val="24"/>
          <w:szCs w:val="24"/>
          <w:lang/>
        </w:rPr>
        <w:br/>
      </w:r>
      <w:hyperlink r:id="rId45" w:anchor="n102" w:tgtFrame="_blank" w:history="1">
        <w:r w:rsidRPr="008B264B">
          <w:rPr>
            <w:rFonts w:ascii="Times New Roman" w:eastAsia="Times New Roman" w:hAnsi="Times New Roman" w:cs="Times New Roman"/>
            <w:color w:val="0000FF"/>
            <w:sz w:val="24"/>
            <w:szCs w:val="24"/>
            <w:u w:val="single"/>
            <w:lang/>
          </w:rPr>
          <w:t>№ 5515-VI від 06.12.2012</w:t>
        </w:r>
      </w:hyperlink>
      <w:r w:rsidRPr="008B264B">
        <w:rPr>
          <w:rFonts w:ascii="Times New Roman" w:eastAsia="Times New Roman" w:hAnsi="Times New Roman" w:cs="Times New Roman"/>
          <w:color w:val="000000"/>
          <w:sz w:val="24"/>
          <w:szCs w:val="24"/>
          <w:lang/>
        </w:rPr>
        <w:t>, ВВР, 2013, № 5-6, ст.60</w:t>
      </w:r>
      <w:r w:rsidRPr="008B264B">
        <w:rPr>
          <w:rFonts w:ascii="Times New Roman" w:eastAsia="Times New Roman" w:hAnsi="Times New Roman" w:cs="Times New Roman"/>
          <w:color w:val="000000"/>
          <w:sz w:val="24"/>
          <w:szCs w:val="24"/>
          <w:lang/>
        </w:rPr>
        <w:br/>
      </w:r>
      <w:hyperlink r:id="rId46" w:tgtFrame="_blank" w:history="1">
        <w:r w:rsidRPr="008B264B">
          <w:rPr>
            <w:rFonts w:ascii="Times New Roman" w:eastAsia="Times New Roman" w:hAnsi="Times New Roman" w:cs="Times New Roman"/>
            <w:color w:val="0000FF"/>
            <w:sz w:val="24"/>
            <w:szCs w:val="24"/>
            <w:u w:val="single"/>
            <w:lang/>
          </w:rPr>
          <w:t>№ 5519-VI від 06.12.2012</w:t>
        </w:r>
      </w:hyperlink>
      <w:r w:rsidRPr="008B264B">
        <w:rPr>
          <w:rFonts w:ascii="Times New Roman" w:eastAsia="Times New Roman" w:hAnsi="Times New Roman" w:cs="Times New Roman"/>
          <w:color w:val="000000"/>
          <w:sz w:val="24"/>
          <w:szCs w:val="24"/>
          <w:lang/>
        </w:rPr>
        <w:t>, ВВР, 2014, № 8, ст.91</w:t>
      </w:r>
      <w:r w:rsidRPr="008B264B">
        <w:rPr>
          <w:rFonts w:ascii="Times New Roman" w:eastAsia="Times New Roman" w:hAnsi="Times New Roman" w:cs="Times New Roman"/>
          <w:color w:val="000000"/>
          <w:sz w:val="24"/>
          <w:szCs w:val="24"/>
          <w:lang/>
        </w:rPr>
        <w:br/>
      </w:r>
      <w:hyperlink r:id="rId47" w:anchor="n2" w:tgtFrame="_blank" w:history="1">
        <w:r w:rsidRPr="008B264B">
          <w:rPr>
            <w:rFonts w:ascii="Times New Roman" w:eastAsia="Times New Roman" w:hAnsi="Times New Roman" w:cs="Times New Roman"/>
            <w:color w:val="0000FF"/>
            <w:sz w:val="24"/>
            <w:szCs w:val="24"/>
            <w:u w:val="single"/>
            <w:lang/>
          </w:rPr>
          <w:t>№ 403-VII від 04.07.2013</w:t>
        </w:r>
      </w:hyperlink>
      <w:r w:rsidRPr="008B264B">
        <w:rPr>
          <w:rFonts w:ascii="Times New Roman" w:eastAsia="Times New Roman" w:hAnsi="Times New Roman" w:cs="Times New Roman"/>
          <w:color w:val="000000"/>
          <w:sz w:val="24"/>
          <w:szCs w:val="24"/>
          <w:lang/>
        </w:rPr>
        <w:t>, ВВР, 2014, № 20-21, ст.709</w:t>
      </w:r>
      <w:r w:rsidRPr="008B264B">
        <w:rPr>
          <w:rFonts w:ascii="Times New Roman" w:eastAsia="Times New Roman" w:hAnsi="Times New Roman" w:cs="Times New Roman"/>
          <w:color w:val="000000"/>
          <w:sz w:val="24"/>
          <w:szCs w:val="24"/>
          <w:lang/>
        </w:rPr>
        <w:br/>
      </w:r>
      <w:hyperlink r:id="rId48" w:anchor="n2" w:tgtFrame="_blank" w:history="1">
        <w:r w:rsidRPr="008B264B">
          <w:rPr>
            <w:rFonts w:ascii="Times New Roman" w:eastAsia="Times New Roman" w:hAnsi="Times New Roman" w:cs="Times New Roman"/>
            <w:color w:val="0000FF"/>
            <w:sz w:val="24"/>
            <w:szCs w:val="24"/>
            <w:u w:val="single"/>
            <w:lang/>
          </w:rPr>
          <w:t>№ 404-VII від 04.07.2013</w:t>
        </w:r>
      </w:hyperlink>
      <w:r w:rsidRPr="008B264B">
        <w:rPr>
          <w:rFonts w:ascii="Times New Roman" w:eastAsia="Times New Roman" w:hAnsi="Times New Roman" w:cs="Times New Roman"/>
          <w:color w:val="000000"/>
          <w:sz w:val="24"/>
          <w:szCs w:val="24"/>
          <w:lang/>
        </w:rPr>
        <w:t>, ВВР, 2014, № 20-21, ст.710</w:t>
      </w:r>
      <w:r w:rsidRPr="008B264B">
        <w:rPr>
          <w:rFonts w:ascii="Times New Roman" w:eastAsia="Times New Roman" w:hAnsi="Times New Roman" w:cs="Times New Roman"/>
          <w:color w:val="000000"/>
          <w:sz w:val="24"/>
          <w:szCs w:val="24"/>
          <w:lang/>
        </w:rPr>
        <w:br/>
      </w:r>
      <w:hyperlink r:id="rId49" w:anchor="n13" w:tgtFrame="_blank" w:history="1">
        <w:r w:rsidRPr="008B264B">
          <w:rPr>
            <w:rFonts w:ascii="Times New Roman" w:eastAsia="Times New Roman" w:hAnsi="Times New Roman" w:cs="Times New Roman"/>
            <w:color w:val="0000FF"/>
            <w:sz w:val="24"/>
            <w:szCs w:val="24"/>
            <w:u w:val="single"/>
            <w:lang/>
          </w:rPr>
          <w:t>№ 407-VII від 04.07.2013</w:t>
        </w:r>
      </w:hyperlink>
      <w:r w:rsidRPr="008B264B">
        <w:rPr>
          <w:rFonts w:ascii="Times New Roman" w:eastAsia="Times New Roman" w:hAnsi="Times New Roman" w:cs="Times New Roman"/>
          <w:color w:val="000000"/>
          <w:sz w:val="24"/>
          <w:szCs w:val="24"/>
          <w:lang/>
        </w:rPr>
        <w:t>, ВВР, 2014, № 20-21, ст.713</w:t>
      </w:r>
      <w:r w:rsidRPr="008B264B">
        <w:rPr>
          <w:rFonts w:ascii="Times New Roman" w:eastAsia="Times New Roman" w:hAnsi="Times New Roman" w:cs="Times New Roman"/>
          <w:color w:val="000000"/>
          <w:sz w:val="24"/>
          <w:szCs w:val="24"/>
          <w:lang/>
        </w:rPr>
        <w:br/>
      </w:r>
      <w:hyperlink r:id="rId50" w:anchor="n2" w:tgtFrame="_blank" w:history="1">
        <w:r w:rsidRPr="008B264B">
          <w:rPr>
            <w:rFonts w:ascii="Times New Roman" w:eastAsia="Times New Roman" w:hAnsi="Times New Roman" w:cs="Times New Roman"/>
            <w:color w:val="0000FF"/>
            <w:sz w:val="24"/>
            <w:szCs w:val="24"/>
            <w:u w:val="single"/>
            <w:lang/>
          </w:rPr>
          <w:t>№ 408-VII від 04.07.2013</w:t>
        </w:r>
      </w:hyperlink>
      <w:r w:rsidRPr="008B264B">
        <w:rPr>
          <w:rFonts w:ascii="Times New Roman" w:eastAsia="Times New Roman" w:hAnsi="Times New Roman" w:cs="Times New Roman"/>
          <w:color w:val="000000"/>
          <w:sz w:val="24"/>
          <w:szCs w:val="24"/>
          <w:lang/>
        </w:rPr>
        <w:t>, ВВР, 2014, № 20-21, ст.714</w:t>
      </w:r>
      <w:r w:rsidRPr="008B264B">
        <w:rPr>
          <w:rFonts w:ascii="Times New Roman" w:eastAsia="Times New Roman" w:hAnsi="Times New Roman" w:cs="Times New Roman"/>
          <w:color w:val="000000"/>
          <w:sz w:val="24"/>
          <w:szCs w:val="24"/>
          <w:lang/>
        </w:rPr>
        <w:br/>
      </w:r>
      <w:hyperlink r:id="rId51" w:anchor="n2" w:tgtFrame="_blank" w:history="1">
        <w:r w:rsidRPr="008B264B">
          <w:rPr>
            <w:rFonts w:ascii="Times New Roman" w:eastAsia="Times New Roman" w:hAnsi="Times New Roman" w:cs="Times New Roman"/>
            <w:color w:val="0000FF"/>
            <w:sz w:val="24"/>
            <w:szCs w:val="24"/>
            <w:u w:val="single"/>
            <w:lang/>
          </w:rPr>
          <w:t>№ 422-VII від 04.07.2013</w:t>
        </w:r>
      </w:hyperlink>
      <w:r w:rsidRPr="008B264B">
        <w:rPr>
          <w:rFonts w:ascii="Times New Roman" w:eastAsia="Times New Roman" w:hAnsi="Times New Roman" w:cs="Times New Roman"/>
          <w:color w:val="000000"/>
          <w:sz w:val="24"/>
          <w:szCs w:val="24"/>
          <w:lang/>
        </w:rPr>
        <w:t>, ВВР, 2014, № 20-21, ст.720</w:t>
      </w:r>
      <w:r w:rsidRPr="008B264B">
        <w:rPr>
          <w:rFonts w:ascii="Times New Roman" w:eastAsia="Times New Roman" w:hAnsi="Times New Roman" w:cs="Times New Roman"/>
          <w:color w:val="000000"/>
          <w:sz w:val="24"/>
          <w:szCs w:val="24"/>
          <w:lang/>
        </w:rPr>
        <w:br/>
      </w:r>
      <w:hyperlink r:id="rId52" w:anchor="n2" w:tgtFrame="_blank" w:history="1">
        <w:r w:rsidRPr="008B264B">
          <w:rPr>
            <w:rFonts w:ascii="Times New Roman" w:eastAsia="Times New Roman" w:hAnsi="Times New Roman" w:cs="Times New Roman"/>
            <w:color w:val="0000FF"/>
            <w:sz w:val="24"/>
            <w:szCs w:val="24"/>
            <w:u w:val="single"/>
            <w:lang/>
          </w:rPr>
          <w:t>№ 427-VII від 03.09.2013</w:t>
        </w:r>
      </w:hyperlink>
      <w:r w:rsidRPr="008B264B">
        <w:rPr>
          <w:rFonts w:ascii="Times New Roman" w:eastAsia="Times New Roman" w:hAnsi="Times New Roman" w:cs="Times New Roman"/>
          <w:color w:val="000000"/>
          <w:sz w:val="24"/>
          <w:szCs w:val="24"/>
          <w:lang/>
        </w:rPr>
        <w:t>, ВВР, 2014, № 20-21, ст.722</w:t>
      </w:r>
      <w:r w:rsidRPr="008B264B">
        <w:rPr>
          <w:rFonts w:ascii="Times New Roman" w:eastAsia="Times New Roman" w:hAnsi="Times New Roman" w:cs="Times New Roman"/>
          <w:color w:val="000000"/>
          <w:sz w:val="24"/>
          <w:szCs w:val="24"/>
          <w:lang/>
        </w:rPr>
        <w:br/>
      </w:r>
      <w:hyperlink r:id="rId53" w:anchor="n2" w:tgtFrame="_blank" w:history="1">
        <w:r w:rsidRPr="008B264B">
          <w:rPr>
            <w:rFonts w:ascii="Times New Roman" w:eastAsia="Times New Roman" w:hAnsi="Times New Roman" w:cs="Times New Roman"/>
            <w:color w:val="0000FF"/>
            <w:sz w:val="24"/>
            <w:szCs w:val="24"/>
            <w:u w:val="single"/>
            <w:lang/>
          </w:rPr>
          <w:t>№ 443-VII від 05.09.2013</w:t>
        </w:r>
      </w:hyperlink>
      <w:r w:rsidRPr="008B264B">
        <w:rPr>
          <w:rFonts w:ascii="Times New Roman" w:eastAsia="Times New Roman" w:hAnsi="Times New Roman" w:cs="Times New Roman"/>
          <w:color w:val="000000"/>
          <w:sz w:val="24"/>
          <w:szCs w:val="24"/>
          <w:lang/>
        </w:rPr>
        <w:t>, ВВР, 2014, № 20-21, ст.728</w:t>
      </w:r>
      <w:r w:rsidRPr="008B264B">
        <w:rPr>
          <w:rFonts w:ascii="Times New Roman" w:eastAsia="Times New Roman" w:hAnsi="Times New Roman" w:cs="Times New Roman"/>
          <w:color w:val="000000"/>
          <w:sz w:val="24"/>
          <w:szCs w:val="24"/>
          <w:lang/>
        </w:rPr>
        <w:br/>
      </w:r>
      <w:hyperlink r:id="rId54" w:tgtFrame="_blank" w:history="1">
        <w:r w:rsidRPr="008B264B">
          <w:rPr>
            <w:rFonts w:ascii="Times New Roman" w:eastAsia="Times New Roman" w:hAnsi="Times New Roman" w:cs="Times New Roman"/>
            <w:color w:val="0000FF"/>
            <w:sz w:val="24"/>
            <w:szCs w:val="24"/>
            <w:u w:val="single"/>
            <w:lang/>
          </w:rPr>
          <w:t>№ 657-VII від 24.10.2013</w:t>
        </w:r>
      </w:hyperlink>
      <w:r w:rsidRPr="008B264B">
        <w:rPr>
          <w:rFonts w:ascii="Times New Roman" w:eastAsia="Times New Roman" w:hAnsi="Times New Roman" w:cs="Times New Roman"/>
          <w:color w:val="000000"/>
          <w:sz w:val="24"/>
          <w:szCs w:val="24"/>
          <w:lang/>
        </w:rPr>
        <w:t>, ВВР, 2014, № 22, ст.778</w:t>
      </w:r>
      <w:r w:rsidRPr="008B264B">
        <w:rPr>
          <w:rFonts w:ascii="Times New Roman" w:eastAsia="Times New Roman" w:hAnsi="Times New Roman" w:cs="Times New Roman"/>
          <w:color w:val="000000"/>
          <w:sz w:val="24"/>
          <w:szCs w:val="24"/>
          <w:lang/>
        </w:rPr>
        <w:br/>
      </w:r>
      <w:hyperlink r:id="rId55" w:anchor="n2" w:tgtFrame="_blank" w:history="1">
        <w:r w:rsidRPr="008B264B">
          <w:rPr>
            <w:rFonts w:ascii="Times New Roman" w:eastAsia="Times New Roman" w:hAnsi="Times New Roman" w:cs="Times New Roman"/>
            <w:color w:val="0000FF"/>
            <w:sz w:val="24"/>
            <w:szCs w:val="24"/>
            <w:u w:val="single"/>
            <w:lang/>
          </w:rPr>
          <w:t>№ 713-VII від 19.12.2013</w:t>
        </w:r>
      </w:hyperlink>
      <w:r w:rsidRPr="008B264B">
        <w:rPr>
          <w:rFonts w:ascii="Times New Roman" w:eastAsia="Times New Roman" w:hAnsi="Times New Roman" w:cs="Times New Roman"/>
          <w:color w:val="000000"/>
          <w:sz w:val="24"/>
          <w:szCs w:val="24"/>
          <w:lang/>
        </w:rPr>
        <w:t>, ВВР, 2014, № 22, ст.797</w:t>
      </w:r>
      <w:r w:rsidRPr="008B264B">
        <w:rPr>
          <w:rFonts w:ascii="Times New Roman" w:eastAsia="Times New Roman" w:hAnsi="Times New Roman" w:cs="Times New Roman"/>
          <w:color w:val="000000"/>
          <w:sz w:val="24"/>
          <w:szCs w:val="24"/>
          <w:lang/>
        </w:rPr>
        <w:br/>
      </w:r>
      <w:hyperlink r:id="rId56" w:anchor="n2" w:tgtFrame="_blank" w:history="1">
        <w:r w:rsidRPr="008B264B">
          <w:rPr>
            <w:rFonts w:ascii="Times New Roman" w:eastAsia="Times New Roman" w:hAnsi="Times New Roman" w:cs="Times New Roman"/>
            <w:color w:val="0000FF"/>
            <w:sz w:val="24"/>
            <w:szCs w:val="24"/>
            <w:u w:val="single"/>
            <w:lang/>
          </w:rPr>
          <w:t>№ 719-VII від 16.01.2014</w:t>
        </w:r>
      </w:hyperlink>
      <w:r w:rsidRPr="008B264B">
        <w:rPr>
          <w:rFonts w:ascii="Times New Roman" w:eastAsia="Times New Roman" w:hAnsi="Times New Roman" w:cs="Times New Roman"/>
          <w:color w:val="000000"/>
          <w:sz w:val="24"/>
          <w:szCs w:val="24"/>
          <w:lang/>
        </w:rPr>
        <w:t>, ВВР, 2014, № 9, ст.93</w:t>
      </w:r>
      <w:r w:rsidRPr="008B264B">
        <w:rPr>
          <w:rFonts w:ascii="Times New Roman" w:eastAsia="Times New Roman" w:hAnsi="Times New Roman" w:cs="Times New Roman"/>
          <w:color w:val="000000"/>
          <w:sz w:val="24"/>
          <w:szCs w:val="24"/>
          <w:lang/>
        </w:rPr>
        <w:br/>
      </w:r>
      <w:hyperlink r:id="rId57" w:anchor="n217" w:tgtFrame="_blank" w:history="1">
        <w:r w:rsidRPr="008B264B">
          <w:rPr>
            <w:rFonts w:ascii="Times New Roman" w:eastAsia="Times New Roman" w:hAnsi="Times New Roman" w:cs="Times New Roman"/>
            <w:color w:val="0000FF"/>
            <w:sz w:val="24"/>
            <w:szCs w:val="24"/>
            <w:u w:val="single"/>
            <w:lang/>
          </w:rPr>
          <w:t>№ 721-VII від 16.01.2014</w:t>
        </w:r>
      </w:hyperlink>
      <w:r w:rsidRPr="008B264B">
        <w:rPr>
          <w:rFonts w:ascii="Times New Roman" w:eastAsia="Times New Roman" w:hAnsi="Times New Roman" w:cs="Times New Roman"/>
          <w:color w:val="000000"/>
          <w:sz w:val="24"/>
          <w:szCs w:val="24"/>
          <w:lang/>
        </w:rPr>
        <w:t>, ВВР, 2014, № 22, ст.801 - втратив чинність на підставі Закону </w:t>
      </w:r>
      <w:hyperlink r:id="rId58" w:anchor="n6" w:tgtFrame="_blank" w:history="1">
        <w:r w:rsidRPr="008B264B">
          <w:rPr>
            <w:rFonts w:ascii="Times New Roman" w:eastAsia="Times New Roman" w:hAnsi="Times New Roman" w:cs="Times New Roman"/>
            <w:color w:val="0000FF"/>
            <w:sz w:val="24"/>
            <w:szCs w:val="24"/>
            <w:u w:val="single"/>
            <w:lang/>
          </w:rPr>
          <w:t>№ 732-VII від 28.01.2014</w:t>
        </w:r>
      </w:hyperlink>
      <w:r w:rsidRPr="008B264B">
        <w:rPr>
          <w:rFonts w:ascii="Times New Roman" w:eastAsia="Times New Roman" w:hAnsi="Times New Roman" w:cs="Times New Roman"/>
          <w:color w:val="000000"/>
          <w:sz w:val="24"/>
          <w:szCs w:val="24"/>
          <w:lang/>
        </w:rPr>
        <w:br/>
      </w:r>
      <w:hyperlink r:id="rId59" w:anchor="n2" w:tgtFrame="_blank" w:history="1">
        <w:r w:rsidRPr="008B264B">
          <w:rPr>
            <w:rFonts w:ascii="Times New Roman" w:eastAsia="Times New Roman" w:hAnsi="Times New Roman" w:cs="Times New Roman"/>
            <w:color w:val="0000FF"/>
            <w:sz w:val="24"/>
            <w:szCs w:val="24"/>
            <w:u w:val="single"/>
            <w:lang/>
          </w:rPr>
          <w:t>№ 727-VII від 16.01.2014</w:t>
        </w:r>
      </w:hyperlink>
      <w:r w:rsidRPr="008B264B">
        <w:rPr>
          <w:rFonts w:ascii="Times New Roman" w:eastAsia="Times New Roman" w:hAnsi="Times New Roman" w:cs="Times New Roman"/>
          <w:color w:val="000000"/>
          <w:sz w:val="24"/>
          <w:szCs w:val="24"/>
          <w:lang/>
        </w:rPr>
        <w:t>, ВВР, 2014, № 22, ст.807 - втратив чинність на підставі Закону </w:t>
      </w:r>
      <w:hyperlink r:id="rId60" w:anchor="n12" w:tgtFrame="_blank" w:history="1">
        <w:r w:rsidRPr="008B264B">
          <w:rPr>
            <w:rFonts w:ascii="Times New Roman" w:eastAsia="Times New Roman" w:hAnsi="Times New Roman" w:cs="Times New Roman"/>
            <w:color w:val="0000FF"/>
            <w:sz w:val="24"/>
            <w:szCs w:val="24"/>
            <w:u w:val="single"/>
            <w:lang/>
          </w:rPr>
          <w:t>№ 732-VII від 28.01.2014</w:t>
        </w:r>
      </w:hyperlink>
      <w:r w:rsidRPr="008B264B">
        <w:rPr>
          <w:rFonts w:ascii="Times New Roman" w:eastAsia="Times New Roman" w:hAnsi="Times New Roman" w:cs="Times New Roman"/>
          <w:color w:val="000000"/>
          <w:sz w:val="24"/>
          <w:szCs w:val="24"/>
          <w:lang/>
        </w:rPr>
        <w:br/>
      </w:r>
      <w:hyperlink r:id="rId61" w:anchor="n2" w:tgtFrame="_blank" w:history="1">
        <w:r w:rsidRPr="008B264B">
          <w:rPr>
            <w:rFonts w:ascii="Times New Roman" w:eastAsia="Times New Roman" w:hAnsi="Times New Roman" w:cs="Times New Roman"/>
            <w:color w:val="0000FF"/>
            <w:sz w:val="24"/>
            <w:szCs w:val="24"/>
            <w:u w:val="single"/>
            <w:lang/>
          </w:rPr>
          <w:t>№ 736-VII від 28.01.2014</w:t>
        </w:r>
      </w:hyperlink>
      <w:r w:rsidRPr="008B264B">
        <w:rPr>
          <w:rFonts w:ascii="Times New Roman" w:eastAsia="Times New Roman" w:hAnsi="Times New Roman" w:cs="Times New Roman"/>
          <w:color w:val="000000"/>
          <w:sz w:val="24"/>
          <w:szCs w:val="24"/>
          <w:lang/>
        </w:rPr>
        <w:t>, ВВР, 2014, № 22, ст.815</w:t>
      </w:r>
      <w:r w:rsidRPr="008B264B">
        <w:rPr>
          <w:rFonts w:ascii="Times New Roman" w:eastAsia="Times New Roman" w:hAnsi="Times New Roman" w:cs="Times New Roman"/>
          <w:color w:val="000000"/>
          <w:sz w:val="24"/>
          <w:szCs w:val="24"/>
          <w:lang/>
        </w:rPr>
        <w:br/>
      </w:r>
      <w:hyperlink r:id="rId62" w:anchor="n177" w:tgtFrame="_blank" w:history="1">
        <w:r w:rsidRPr="008B264B">
          <w:rPr>
            <w:rFonts w:ascii="Times New Roman" w:eastAsia="Times New Roman" w:hAnsi="Times New Roman" w:cs="Times New Roman"/>
            <w:color w:val="0000FF"/>
            <w:sz w:val="24"/>
            <w:szCs w:val="24"/>
            <w:u w:val="single"/>
            <w:lang/>
          </w:rPr>
          <w:t>№ 767-VII від 23.02.2014</w:t>
        </w:r>
      </w:hyperlink>
      <w:r w:rsidRPr="008B264B">
        <w:rPr>
          <w:rFonts w:ascii="Times New Roman" w:eastAsia="Times New Roman" w:hAnsi="Times New Roman" w:cs="Times New Roman"/>
          <w:color w:val="000000"/>
          <w:sz w:val="24"/>
          <w:szCs w:val="24"/>
          <w:lang/>
        </w:rPr>
        <w:t>, ВВР, 2014, № 17, ст.593</w:t>
      </w:r>
      <w:r w:rsidRPr="008B264B">
        <w:rPr>
          <w:rFonts w:ascii="Times New Roman" w:eastAsia="Times New Roman" w:hAnsi="Times New Roman" w:cs="Times New Roman"/>
          <w:color w:val="000000"/>
          <w:sz w:val="24"/>
          <w:szCs w:val="24"/>
          <w:lang/>
        </w:rPr>
        <w:br/>
      </w:r>
      <w:hyperlink r:id="rId63" w:anchor="n1051" w:tgtFrame="_blank" w:history="1">
        <w:r w:rsidRPr="008B264B">
          <w:rPr>
            <w:rFonts w:ascii="Times New Roman" w:eastAsia="Times New Roman" w:hAnsi="Times New Roman" w:cs="Times New Roman"/>
            <w:color w:val="0000FF"/>
            <w:sz w:val="24"/>
            <w:szCs w:val="24"/>
            <w:u w:val="single"/>
            <w:lang/>
          </w:rPr>
          <w:t>№ 879-VII від 13.03.2014</w:t>
        </w:r>
      </w:hyperlink>
      <w:r w:rsidRPr="008B264B">
        <w:rPr>
          <w:rFonts w:ascii="Times New Roman" w:eastAsia="Times New Roman" w:hAnsi="Times New Roman" w:cs="Times New Roman"/>
          <w:color w:val="000000"/>
          <w:sz w:val="24"/>
          <w:szCs w:val="24"/>
          <w:lang/>
        </w:rPr>
        <w:t>, ВВР, 2014, № 16, ст.582</w:t>
      </w:r>
      <w:r w:rsidRPr="008B264B">
        <w:rPr>
          <w:rFonts w:ascii="Times New Roman" w:eastAsia="Times New Roman" w:hAnsi="Times New Roman" w:cs="Times New Roman"/>
          <w:color w:val="000000"/>
          <w:sz w:val="24"/>
          <w:szCs w:val="24"/>
          <w:lang/>
        </w:rPr>
        <w:br/>
      </w:r>
      <w:hyperlink r:id="rId64" w:anchor="n5" w:tgtFrame="_blank" w:history="1">
        <w:r w:rsidRPr="008B264B">
          <w:rPr>
            <w:rFonts w:ascii="Times New Roman" w:eastAsia="Times New Roman" w:hAnsi="Times New Roman" w:cs="Times New Roman"/>
            <w:color w:val="0000FF"/>
            <w:sz w:val="24"/>
            <w:szCs w:val="24"/>
            <w:u w:val="single"/>
            <w:lang/>
          </w:rPr>
          <w:t>№ 1166-VII від 27.03.2014</w:t>
        </w:r>
      </w:hyperlink>
      <w:r w:rsidRPr="008B264B">
        <w:rPr>
          <w:rFonts w:ascii="Times New Roman" w:eastAsia="Times New Roman" w:hAnsi="Times New Roman" w:cs="Times New Roman"/>
          <w:color w:val="000000"/>
          <w:sz w:val="24"/>
          <w:szCs w:val="24"/>
          <w:lang/>
        </w:rPr>
        <w:t>, ВВР, 2014, № 20-21, ст.745</w:t>
      </w:r>
      <w:r w:rsidRPr="008B264B">
        <w:rPr>
          <w:rFonts w:ascii="Times New Roman" w:eastAsia="Times New Roman" w:hAnsi="Times New Roman" w:cs="Times New Roman"/>
          <w:color w:val="000000"/>
          <w:sz w:val="24"/>
          <w:szCs w:val="24"/>
          <w:lang/>
        </w:rPr>
        <w:br/>
      </w:r>
      <w:hyperlink r:id="rId65" w:anchor="n2" w:tgtFrame="_blank" w:history="1">
        <w:r w:rsidRPr="008B264B">
          <w:rPr>
            <w:rFonts w:ascii="Times New Roman" w:eastAsia="Times New Roman" w:hAnsi="Times New Roman" w:cs="Times New Roman"/>
            <w:color w:val="0000FF"/>
            <w:sz w:val="24"/>
            <w:szCs w:val="24"/>
            <w:u w:val="single"/>
            <w:lang/>
          </w:rPr>
          <w:t>№ 1191-VII від 08.04.2014</w:t>
        </w:r>
      </w:hyperlink>
      <w:r w:rsidRPr="008B264B">
        <w:rPr>
          <w:rFonts w:ascii="Times New Roman" w:eastAsia="Times New Roman" w:hAnsi="Times New Roman" w:cs="Times New Roman"/>
          <w:color w:val="000000"/>
          <w:sz w:val="24"/>
          <w:szCs w:val="24"/>
          <w:lang/>
        </w:rPr>
        <w:t>, ВВР, 2014, № 23, ст.872</w:t>
      </w:r>
      <w:r w:rsidRPr="008B264B">
        <w:rPr>
          <w:rFonts w:ascii="Times New Roman" w:eastAsia="Times New Roman" w:hAnsi="Times New Roman" w:cs="Times New Roman"/>
          <w:color w:val="000000"/>
          <w:sz w:val="24"/>
          <w:szCs w:val="24"/>
          <w:lang/>
        </w:rPr>
        <w:br/>
      </w:r>
      <w:hyperlink r:id="rId66" w:anchor="n2" w:tgtFrame="_blank" w:history="1">
        <w:r w:rsidRPr="008B264B">
          <w:rPr>
            <w:rFonts w:ascii="Times New Roman" w:eastAsia="Times New Roman" w:hAnsi="Times New Roman" w:cs="Times New Roman"/>
            <w:color w:val="0000FF"/>
            <w:sz w:val="24"/>
            <w:szCs w:val="24"/>
            <w:u w:val="single"/>
            <w:lang/>
          </w:rPr>
          <w:t>№ 1200-VII від 10.04.2014</w:t>
        </w:r>
      </w:hyperlink>
      <w:r w:rsidRPr="008B264B">
        <w:rPr>
          <w:rFonts w:ascii="Times New Roman" w:eastAsia="Times New Roman" w:hAnsi="Times New Roman" w:cs="Times New Roman"/>
          <w:color w:val="000000"/>
          <w:sz w:val="24"/>
          <w:szCs w:val="24"/>
          <w:lang/>
        </w:rPr>
        <w:t>, ВВР, 2014, № 24, ст.884</w:t>
      </w:r>
      <w:r w:rsidRPr="008B264B">
        <w:rPr>
          <w:rFonts w:ascii="Times New Roman" w:eastAsia="Times New Roman" w:hAnsi="Times New Roman" w:cs="Times New Roman"/>
          <w:color w:val="000000"/>
          <w:sz w:val="24"/>
          <w:szCs w:val="24"/>
          <w:lang/>
        </w:rPr>
        <w:br/>
      </w:r>
      <w:hyperlink r:id="rId67" w:anchor="n2" w:tgtFrame="_blank" w:history="1">
        <w:r w:rsidRPr="008B264B">
          <w:rPr>
            <w:rFonts w:ascii="Times New Roman" w:eastAsia="Times New Roman" w:hAnsi="Times New Roman" w:cs="Times New Roman"/>
            <w:color w:val="0000FF"/>
            <w:sz w:val="24"/>
            <w:szCs w:val="24"/>
            <w:u w:val="single"/>
            <w:lang/>
          </w:rPr>
          <w:t>№ 1260-VII від 13.05.2014</w:t>
        </w:r>
      </w:hyperlink>
      <w:r w:rsidRPr="008B264B">
        <w:rPr>
          <w:rFonts w:ascii="Times New Roman" w:eastAsia="Times New Roman" w:hAnsi="Times New Roman" w:cs="Times New Roman"/>
          <w:color w:val="000000"/>
          <w:sz w:val="24"/>
          <w:szCs w:val="24"/>
          <w:lang/>
        </w:rPr>
        <w:t>, ВВР, 2014, № 27, ст.913</w:t>
      </w:r>
      <w:r w:rsidRPr="008B264B">
        <w:rPr>
          <w:rFonts w:ascii="Times New Roman" w:eastAsia="Times New Roman" w:hAnsi="Times New Roman" w:cs="Times New Roman"/>
          <w:color w:val="000000"/>
          <w:sz w:val="24"/>
          <w:szCs w:val="24"/>
          <w:lang/>
        </w:rPr>
        <w:br/>
      </w:r>
      <w:hyperlink r:id="rId68" w:anchor="n26" w:tgtFrame="_blank" w:history="1">
        <w:r w:rsidRPr="008B264B">
          <w:rPr>
            <w:rFonts w:ascii="Times New Roman" w:eastAsia="Times New Roman" w:hAnsi="Times New Roman" w:cs="Times New Roman"/>
            <w:color w:val="0000FF"/>
            <w:sz w:val="24"/>
            <w:szCs w:val="24"/>
            <w:u w:val="single"/>
            <w:lang/>
          </w:rPr>
          <w:t>№ 1275-VII від 20.05.2014</w:t>
        </w:r>
      </w:hyperlink>
      <w:r w:rsidRPr="008B264B">
        <w:rPr>
          <w:rFonts w:ascii="Times New Roman" w:eastAsia="Times New Roman" w:hAnsi="Times New Roman" w:cs="Times New Roman"/>
          <w:color w:val="000000"/>
          <w:sz w:val="24"/>
          <w:szCs w:val="24"/>
          <w:lang/>
        </w:rPr>
        <w:t>, ВВР, 2014, № 29, ст.942</w:t>
      </w:r>
      <w:r w:rsidRPr="008B264B">
        <w:rPr>
          <w:rFonts w:ascii="Times New Roman" w:eastAsia="Times New Roman" w:hAnsi="Times New Roman" w:cs="Times New Roman"/>
          <w:color w:val="000000"/>
          <w:sz w:val="24"/>
          <w:szCs w:val="24"/>
          <w:lang/>
        </w:rPr>
        <w:br/>
      </w:r>
      <w:hyperlink r:id="rId69" w:anchor="n2" w:tgtFrame="_blank" w:history="1">
        <w:r w:rsidRPr="008B264B">
          <w:rPr>
            <w:rFonts w:ascii="Times New Roman" w:eastAsia="Times New Roman" w:hAnsi="Times New Roman" w:cs="Times New Roman"/>
            <w:color w:val="0000FF"/>
            <w:sz w:val="24"/>
            <w:szCs w:val="24"/>
            <w:u w:val="single"/>
            <w:lang/>
          </w:rPr>
          <w:t>№ 1561-VII від 01.07.2014</w:t>
        </w:r>
      </w:hyperlink>
      <w:r w:rsidRPr="008B264B">
        <w:rPr>
          <w:rFonts w:ascii="Times New Roman" w:eastAsia="Times New Roman" w:hAnsi="Times New Roman" w:cs="Times New Roman"/>
          <w:color w:val="000000"/>
          <w:sz w:val="24"/>
          <w:szCs w:val="24"/>
          <w:lang/>
        </w:rPr>
        <w:t>, ВВР, 2014, № 34, ст.1175</w:t>
      </w:r>
      <w:r w:rsidRPr="008B264B">
        <w:rPr>
          <w:rFonts w:ascii="Times New Roman" w:eastAsia="Times New Roman" w:hAnsi="Times New Roman" w:cs="Times New Roman"/>
          <w:color w:val="000000"/>
          <w:sz w:val="24"/>
          <w:szCs w:val="24"/>
          <w:lang/>
        </w:rPr>
        <w:br/>
      </w:r>
      <w:hyperlink r:id="rId70" w:anchor="n5" w:tgtFrame="_blank" w:history="1">
        <w:r w:rsidRPr="008B264B">
          <w:rPr>
            <w:rFonts w:ascii="Times New Roman" w:eastAsia="Times New Roman" w:hAnsi="Times New Roman" w:cs="Times New Roman"/>
            <w:color w:val="0000FF"/>
            <w:sz w:val="24"/>
            <w:szCs w:val="24"/>
            <w:u w:val="single"/>
            <w:lang/>
          </w:rPr>
          <w:t>№ 1588-VII від 04.07.2014</w:t>
        </w:r>
      </w:hyperlink>
      <w:r w:rsidRPr="008B264B">
        <w:rPr>
          <w:rFonts w:ascii="Times New Roman" w:eastAsia="Times New Roman" w:hAnsi="Times New Roman" w:cs="Times New Roman"/>
          <w:color w:val="000000"/>
          <w:sz w:val="24"/>
          <w:szCs w:val="24"/>
          <w:lang/>
        </w:rPr>
        <w:t>, ВВР, 2014, № 36, ст.1183</w:t>
      </w:r>
      <w:r w:rsidRPr="008B264B">
        <w:rPr>
          <w:rFonts w:ascii="Times New Roman" w:eastAsia="Times New Roman" w:hAnsi="Times New Roman" w:cs="Times New Roman"/>
          <w:color w:val="000000"/>
          <w:sz w:val="24"/>
          <w:szCs w:val="24"/>
          <w:lang/>
        </w:rPr>
        <w:br/>
      </w:r>
      <w:hyperlink r:id="rId71" w:anchor="n6" w:tgtFrame="_blank" w:history="1">
        <w:r w:rsidRPr="008B264B">
          <w:rPr>
            <w:rFonts w:ascii="Times New Roman" w:eastAsia="Times New Roman" w:hAnsi="Times New Roman" w:cs="Times New Roman"/>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ВВР, 2014, № 39, ст.2006</w:t>
      </w:r>
      <w:r w:rsidRPr="008B264B">
        <w:rPr>
          <w:rFonts w:ascii="Times New Roman" w:eastAsia="Times New Roman" w:hAnsi="Times New Roman" w:cs="Times New Roman"/>
          <w:color w:val="000000"/>
          <w:sz w:val="24"/>
          <w:szCs w:val="24"/>
          <w:lang/>
        </w:rPr>
        <w:br/>
      </w:r>
      <w:hyperlink r:id="rId72" w:anchor="n211" w:tgtFrame="_blank" w:history="1">
        <w:r w:rsidRPr="008B264B">
          <w:rPr>
            <w:rFonts w:ascii="Times New Roman" w:eastAsia="Times New Roman" w:hAnsi="Times New Roman" w:cs="Times New Roman"/>
            <w:color w:val="0000FF"/>
            <w:sz w:val="24"/>
            <w:szCs w:val="24"/>
            <w:u w:val="single"/>
            <w:lang/>
          </w:rPr>
          <w:t>№ 1636-VII від 12.08.2014</w:t>
        </w:r>
      </w:hyperlink>
      <w:r w:rsidRPr="008B264B">
        <w:rPr>
          <w:rFonts w:ascii="Times New Roman" w:eastAsia="Times New Roman" w:hAnsi="Times New Roman" w:cs="Times New Roman"/>
          <w:color w:val="000000"/>
          <w:sz w:val="24"/>
          <w:szCs w:val="24"/>
          <w:lang/>
        </w:rPr>
        <w:t>, ВВР, 2014, № 43, ст.2030</w:t>
      </w:r>
      <w:r w:rsidRPr="008B264B">
        <w:rPr>
          <w:rFonts w:ascii="Times New Roman" w:eastAsia="Times New Roman" w:hAnsi="Times New Roman" w:cs="Times New Roman"/>
          <w:color w:val="000000"/>
          <w:sz w:val="24"/>
          <w:szCs w:val="24"/>
          <w:lang/>
        </w:rPr>
        <w:br/>
      </w:r>
      <w:hyperlink r:id="rId73" w:anchor="n6" w:tgtFrame="_blank" w:history="1">
        <w:r w:rsidRPr="008B264B">
          <w:rPr>
            <w:rFonts w:ascii="Times New Roman" w:eastAsia="Times New Roman" w:hAnsi="Times New Roman" w:cs="Times New Roman"/>
            <w:color w:val="0000FF"/>
            <w:sz w:val="24"/>
            <w:szCs w:val="24"/>
            <w:u w:val="single"/>
            <w:lang/>
          </w:rPr>
          <w:t>№ 1638-VII від 12.08.2014</w:t>
        </w:r>
      </w:hyperlink>
      <w:r w:rsidRPr="008B264B">
        <w:rPr>
          <w:rFonts w:ascii="Times New Roman" w:eastAsia="Times New Roman" w:hAnsi="Times New Roman" w:cs="Times New Roman"/>
          <w:color w:val="000000"/>
          <w:sz w:val="24"/>
          <w:szCs w:val="24"/>
          <w:lang/>
        </w:rPr>
        <w:t>, ВВР, 2014, № 40, ст.2017</w:t>
      </w:r>
      <w:r w:rsidRPr="008B264B">
        <w:rPr>
          <w:rFonts w:ascii="Times New Roman" w:eastAsia="Times New Roman" w:hAnsi="Times New Roman" w:cs="Times New Roman"/>
          <w:color w:val="000000"/>
          <w:sz w:val="24"/>
          <w:szCs w:val="24"/>
          <w:lang/>
        </w:rPr>
        <w:br/>
      </w:r>
      <w:hyperlink r:id="rId74" w:anchor="n2" w:tgtFrame="_blank" w:history="1">
        <w:r w:rsidRPr="008B264B">
          <w:rPr>
            <w:rFonts w:ascii="Times New Roman" w:eastAsia="Times New Roman" w:hAnsi="Times New Roman" w:cs="Times New Roman"/>
            <w:color w:val="0000FF"/>
            <w:sz w:val="24"/>
            <w:szCs w:val="24"/>
            <w:u w:val="single"/>
            <w:lang/>
          </w:rPr>
          <w:t>№ 1654-VII від 14.08.2014</w:t>
        </w:r>
      </w:hyperlink>
      <w:r w:rsidRPr="008B264B">
        <w:rPr>
          <w:rFonts w:ascii="Times New Roman" w:eastAsia="Times New Roman" w:hAnsi="Times New Roman" w:cs="Times New Roman"/>
          <w:color w:val="000000"/>
          <w:sz w:val="24"/>
          <w:szCs w:val="24"/>
          <w:lang/>
        </w:rPr>
        <w:t>, ВВР, 2014, № 40, ст.2020</w:t>
      </w:r>
      <w:r w:rsidRPr="008B264B">
        <w:rPr>
          <w:rFonts w:ascii="Times New Roman" w:eastAsia="Times New Roman" w:hAnsi="Times New Roman" w:cs="Times New Roman"/>
          <w:color w:val="000000"/>
          <w:sz w:val="24"/>
          <w:szCs w:val="24"/>
          <w:lang/>
        </w:rPr>
        <w:br/>
      </w:r>
      <w:hyperlink r:id="rId75" w:anchor="n2" w:tgtFrame="_blank" w:history="1">
        <w:r w:rsidRPr="008B264B">
          <w:rPr>
            <w:rFonts w:ascii="Times New Roman" w:eastAsia="Times New Roman" w:hAnsi="Times New Roman" w:cs="Times New Roman"/>
            <w:color w:val="0000FF"/>
            <w:sz w:val="24"/>
            <w:szCs w:val="24"/>
            <w:u w:val="single"/>
            <w:lang/>
          </w:rPr>
          <w:t>№ 1658-VII від 02.09.2014</w:t>
        </w:r>
      </w:hyperlink>
      <w:r w:rsidRPr="008B264B">
        <w:rPr>
          <w:rFonts w:ascii="Times New Roman" w:eastAsia="Times New Roman" w:hAnsi="Times New Roman" w:cs="Times New Roman"/>
          <w:color w:val="000000"/>
          <w:sz w:val="24"/>
          <w:szCs w:val="24"/>
          <w:lang/>
        </w:rPr>
        <w:t>, ВВР, 2014, № 41-42, ст.2027</w:t>
      </w:r>
      <w:r w:rsidRPr="008B264B">
        <w:rPr>
          <w:rFonts w:ascii="Times New Roman" w:eastAsia="Times New Roman" w:hAnsi="Times New Roman" w:cs="Times New Roman"/>
          <w:color w:val="000000"/>
          <w:sz w:val="24"/>
          <w:szCs w:val="24"/>
          <w:lang/>
        </w:rPr>
        <w:br/>
      </w:r>
      <w:hyperlink r:id="rId76" w:anchor="n5" w:tgtFrame="_blank" w:history="1">
        <w:r w:rsidRPr="008B264B">
          <w:rPr>
            <w:rFonts w:ascii="Times New Roman" w:eastAsia="Times New Roman" w:hAnsi="Times New Roman" w:cs="Times New Roman"/>
            <w:color w:val="0000FF"/>
            <w:sz w:val="24"/>
            <w:szCs w:val="24"/>
            <w:u w:val="single"/>
            <w:lang/>
          </w:rPr>
          <w:t>№ 1668-VII від 02.09.2014</w:t>
        </w:r>
      </w:hyperlink>
      <w:r w:rsidRPr="008B264B">
        <w:rPr>
          <w:rFonts w:ascii="Times New Roman" w:eastAsia="Times New Roman" w:hAnsi="Times New Roman" w:cs="Times New Roman"/>
          <w:color w:val="000000"/>
          <w:sz w:val="24"/>
          <w:szCs w:val="24"/>
          <w:lang/>
        </w:rPr>
        <w:t>, ВВР, 2014, № 41-42, ст.2028</w:t>
      </w:r>
      <w:r w:rsidRPr="008B264B">
        <w:rPr>
          <w:rFonts w:ascii="Times New Roman" w:eastAsia="Times New Roman" w:hAnsi="Times New Roman" w:cs="Times New Roman"/>
          <w:color w:val="000000"/>
          <w:sz w:val="24"/>
          <w:szCs w:val="24"/>
          <w:lang/>
        </w:rPr>
        <w:br/>
      </w:r>
      <w:hyperlink r:id="rId77" w:anchor="n2" w:tgtFrame="_blank" w:history="1">
        <w:r w:rsidRPr="008B264B">
          <w:rPr>
            <w:rFonts w:ascii="Times New Roman" w:eastAsia="Times New Roman" w:hAnsi="Times New Roman" w:cs="Times New Roman"/>
            <w:color w:val="0000FF"/>
            <w:sz w:val="24"/>
            <w:szCs w:val="24"/>
            <w:u w:val="single"/>
            <w:lang/>
          </w:rPr>
          <w:t>№ 1690-VII від 07.10.2014</w:t>
        </w:r>
      </w:hyperlink>
      <w:r w:rsidRPr="008B264B">
        <w:rPr>
          <w:rFonts w:ascii="Times New Roman" w:eastAsia="Times New Roman" w:hAnsi="Times New Roman" w:cs="Times New Roman"/>
          <w:color w:val="000000"/>
          <w:sz w:val="24"/>
          <w:szCs w:val="24"/>
          <w:lang/>
        </w:rPr>
        <w:t>, ВВР, 2014, № 48, ст.2053</w:t>
      </w:r>
      <w:r w:rsidRPr="008B264B">
        <w:rPr>
          <w:rFonts w:ascii="Times New Roman" w:eastAsia="Times New Roman" w:hAnsi="Times New Roman" w:cs="Times New Roman"/>
          <w:color w:val="000000"/>
          <w:sz w:val="24"/>
          <w:szCs w:val="24"/>
          <w:lang/>
        </w:rPr>
        <w:br/>
      </w:r>
      <w:hyperlink r:id="rId78" w:tgtFrame="_blank" w:history="1">
        <w:r w:rsidRPr="008B264B">
          <w:rPr>
            <w:rFonts w:ascii="Times New Roman" w:eastAsia="Times New Roman" w:hAnsi="Times New Roman" w:cs="Times New Roman"/>
            <w:color w:val="0000FF"/>
            <w:sz w:val="24"/>
            <w:szCs w:val="24"/>
            <w:u w:val="single"/>
            <w:lang/>
          </w:rPr>
          <w:t>№ 54-VIII від 25.12.2014</w:t>
        </w:r>
      </w:hyperlink>
      <w:r w:rsidRPr="008B264B">
        <w:rPr>
          <w:rFonts w:ascii="Times New Roman" w:eastAsia="Times New Roman" w:hAnsi="Times New Roman" w:cs="Times New Roman"/>
          <w:color w:val="000000"/>
          <w:sz w:val="24"/>
          <w:szCs w:val="24"/>
          <w:lang/>
        </w:rPr>
        <w:t>, ВВР, 2015, № 4, ст.16</w:t>
      </w:r>
      <w:r w:rsidRPr="008B264B">
        <w:rPr>
          <w:rFonts w:ascii="Times New Roman" w:eastAsia="Times New Roman" w:hAnsi="Times New Roman" w:cs="Times New Roman"/>
          <w:color w:val="000000"/>
          <w:sz w:val="24"/>
          <w:szCs w:val="24"/>
          <w:lang/>
        </w:rPr>
        <w:br/>
      </w:r>
      <w:hyperlink r:id="rId79" w:anchor="n5" w:tgtFrame="_blank" w:history="1">
        <w:r w:rsidRPr="008B264B">
          <w:rPr>
            <w:rFonts w:ascii="Times New Roman" w:eastAsia="Times New Roman" w:hAnsi="Times New Roman" w:cs="Times New Roman"/>
            <w:color w:val="0000FF"/>
            <w:sz w:val="24"/>
            <w:szCs w:val="24"/>
            <w:u w:val="single"/>
            <w:lang/>
          </w:rPr>
          <w:t>№ 63-VIII від 25.12.2014</w:t>
        </w:r>
      </w:hyperlink>
      <w:r w:rsidRPr="008B264B">
        <w:rPr>
          <w:rFonts w:ascii="Times New Roman" w:eastAsia="Times New Roman" w:hAnsi="Times New Roman" w:cs="Times New Roman"/>
          <w:color w:val="000000"/>
          <w:sz w:val="24"/>
          <w:szCs w:val="24"/>
          <w:lang/>
        </w:rPr>
        <w:t>, ВВР, 2015, № 6, ст.38</w:t>
      </w:r>
      <w:r w:rsidRPr="008B264B">
        <w:rPr>
          <w:rFonts w:ascii="Times New Roman" w:eastAsia="Times New Roman" w:hAnsi="Times New Roman" w:cs="Times New Roman"/>
          <w:color w:val="000000"/>
          <w:sz w:val="24"/>
          <w:szCs w:val="24"/>
          <w:lang/>
        </w:rPr>
        <w:br/>
      </w:r>
      <w:hyperlink r:id="rId80" w:anchor="n2" w:tgtFrame="_blank" w:history="1">
        <w:r w:rsidRPr="008B264B">
          <w:rPr>
            <w:rFonts w:ascii="Times New Roman" w:eastAsia="Times New Roman" w:hAnsi="Times New Roman" w:cs="Times New Roman"/>
            <w:color w:val="0000FF"/>
            <w:sz w:val="24"/>
            <w:szCs w:val="24"/>
            <w:u w:val="single"/>
            <w:lang/>
          </w:rPr>
          <w:t>№ 71-VIII від 28.12.2014</w:t>
        </w:r>
      </w:hyperlink>
      <w:r w:rsidRPr="008B264B">
        <w:rPr>
          <w:rFonts w:ascii="Times New Roman" w:eastAsia="Times New Roman" w:hAnsi="Times New Roman" w:cs="Times New Roman"/>
          <w:color w:val="000000"/>
          <w:sz w:val="24"/>
          <w:szCs w:val="24"/>
          <w:lang/>
        </w:rPr>
        <w:t>, ВВР, 2015, № 7-8, № 9, ст.55</w:t>
      </w:r>
      <w:r w:rsidRPr="008B264B">
        <w:rPr>
          <w:rFonts w:ascii="Times New Roman" w:eastAsia="Times New Roman" w:hAnsi="Times New Roman" w:cs="Times New Roman"/>
          <w:color w:val="000000"/>
          <w:sz w:val="24"/>
          <w:szCs w:val="24"/>
          <w:lang/>
        </w:rPr>
        <w:br/>
      </w:r>
      <w:hyperlink r:id="rId81" w:anchor="n5" w:tgtFrame="_blank" w:history="1">
        <w:r w:rsidRPr="008B264B">
          <w:rPr>
            <w:rFonts w:ascii="Times New Roman" w:eastAsia="Times New Roman" w:hAnsi="Times New Roman" w:cs="Times New Roman"/>
            <w:color w:val="0000FF"/>
            <w:sz w:val="24"/>
            <w:szCs w:val="24"/>
            <w:u w:val="single"/>
            <w:lang/>
          </w:rPr>
          <w:t>№ 72-VIII від 28.12.2014</w:t>
        </w:r>
      </w:hyperlink>
      <w:r w:rsidRPr="008B264B">
        <w:rPr>
          <w:rFonts w:ascii="Times New Roman" w:eastAsia="Times New Roman" w:hAnsi="Times New Roman" w:cs="Times New Roman"/>
          <w:color w:val="000000"/>
          <w:sz w:val="24"/>
          <w:szCs w:val="24"/>
          <w:lang/>
        </w:rPr>
        <w:t>, ВВР, 2015, № 10, ст.56</w:t>
      </w:r>
      <w:r w:rsidRPr="008B264B">
        <w:rPr>
          <w:rFonts w:ascii="Times New Roman" w:eastAsia="Times New Roman" w:hAnsi="Times New Roman" w:cs="Times New Roman"/>
          <w:color w:val="000000"/>
          <w:sz w:val="24"/>
          <w:szCs w:val="24"/>
          <w:lang/>
        </w:rPr>
        <w:br/>
      </w:r>
      <w:hyperlink r:id="rId82" w:anchor="n2" w:tgtFrame="_blank" w:history="1">
        <w:r w:rsidRPr="008B264B">
          <w:rPr>
            <w:rFonts w:ascii="Times New Roman" w:eastAsia="Times New Roman" w:hAnsi="Times New Roman" w:cs="Times New Roman"/>
            <w:color w:val="0000FF"/>
            <w:sz w:val="24"/>
            <w:szCs w:val="24"/>
            <w:u w:val="single"/>
            <w:lang/>
          </w:rPr>
          <w:t>№ 206-VIII від 13.02.2015</w:t>
        </w:r>
      </w:hyperlink>
      <w:r w:rsidRPr="008B264B">
        <w:rPr>
          <w:rFonts w:ascii="Times New Roman" w:eastAsia="Times New Roman" w:hAnsi="Times New Roman" w:cs="Times New Roman"/>
          <w:color w:val="000000"/>
          <w:sz w:val="24"/>
          <w:szCs w:val="24"/>
          <w:lang/>
        </w:rPr>
        <w:t>, ВВР, 2015, № 17, ст.119</w:t>
      </w:r>
      <w:r w:rsidRPr="008B264B">
        <w:rPr>
          <w:rFonts w:ascii="Times New Roman" w:eastAsia="Times New Roman" w:hAnsi="Times New Roman" w:cs="Times New Roman"/>
          <w:color w:val="000000"/>
          <w:sz w:val="24"/>
          <w:szCs w:val="24"/>
          <w:lang/>
        </w:rPr>
        <w:br/>
      </w:r>
      <w:hyperlink r:id="rId83" w:anchor="n2" w:tgtFrame="_blank" w:history="1">
        <w:r w:rsidRPr="008B264B">
          <w:rPr>
            <w:rFonts w:ascii="Times New Roman" w:eastAsia="Times New Roman" w:hAnsi="Times New Roman" w:cs="Times New Roman"/>
            <w:color w:val="0000FF"/>
            <w:sz w:val="24"/>
            <w:szCs w:val="24"/>
            <w:u w:val="single"/>
            <w:lang/>
          </w:rPr>
          <w:t>№ 211-VIII від 02.03.2015</w:t>
        </w:r>
      </w:hyperlink>
      <w:r w:rsidRPr="008B264B">
        <w:rPr>
          <w:rFonts w:ascii="Times New Roman" w:eastAsia="Times New Roman" w:hAnsi="Times New Roman" w:cs="Times New Roman"/>
          <w:color w:val="000000"/>
          <w:sz w:val="24"/>
          <w:szCs w:val="24"/>
          <w:lang/>
        </w:rPr>
        <w:t>, ВВР, 2015, № 16, ст.115</w:t>
      </w:r>
      <w:r w:rsidRPr="008B264B">
        <w:rPr>
          <w:rFonts w:ascii="Times New Roman" w:eastAsia="Times New Roman" w:hAnsi="Times New Roman" w:cs="Times New Roman"/>
          <w:color w:val="000000"/>
          <w:sz w:val="24"/>
          <w:szCs w:val="24"/>
          <w:lang/>
        </w:rPr>
        <w:br/>
      </w:r>
      <w:hyperlink r:id="rId84" w:anchor="n2" w:tgtFrame="_blank" w:history="1">
        <w:r w:rsidRPr="008B264B">
          <w:rPr>
            <w:rFonts w:ascii="Times New Roman" w:eastAsia="Times New Roman" w:hAnsi="Times New Roman" w:cs="Times New Roman"/>
            <w:color w:val="0000FF"/>
            <w:sz w:val="24"/>
            <w:szCs w:val="24"/>
            <w:u w:val="single"/>
            <w:lang/>
          </w:rPr>
          <w:t>№ 215-VIII від 02.03.2015</w:t>
        </w:r>
      </w:hyperlink>
      <w:r w:rsidRPr="008B264B">
        <w:rPr>
          <w:rFonts w:ascii="Times New Roman" w:eastAsia="Times New Roman" w:hAnsi="Times New Roman" w:cs="Times New Roman"/>
          <w:color w:val="000000"/>
          <w:sz w:val="24"/>
          <w:szCs w:val="24"/>
          <w:lang/>
        </w:rPr>
        <w:t>, ВВР, 2015, № 17, ст.121</w:t>
      </w:r>
      <w:r w:rsidRPr="008B264B">
        <w:rPr>
          <w:rFonts w:ascii="Times New Roman" w:eastAsia="Times New Roman" w:hAnsi="Times New Roman" w:cs="Times New Roman"/>
          <w:color w:val="000000"/>
          <w:sz w:val="24"/>
          <w:szCs w:val="24"/>
          <w:lang/>
        </w:rPr>
        <w:br/>
      </w:r>
      <w:hyperlink r:id="rId85" w:anchor="n2" w:tgtFrame="_blank" w:history="1">
        <w:r w:rsidRPr="008B264B">
          <w:rPr>
            <w:rFonts w:ascii="Times New Roman" w:eastAsia="Times New Roman" w:hAnsi="Times New Roman" w:cs="Times New Roman"/>
            <w:color w:val="0000FF"/>
            <w:sz w:val="24"/>
            <w:szCs w:val="24"/>
            <w:u w:val="single"/>
            <w:lang/>
          </w:rPr>
          <w:t>№ 263-VIII від 18.03.2015</w:t>
        </w:r>
      </w:hyperlink>
      <w:r w:rsidRPr="008B264B">
        <w:rPr>
          <w:rFonts w:ascii="Times New Roman" w:eastAsia="Times New Roman" w:hAnsi="Times New Roman" w:cs="Times New Roman"/>
          <w:color w:val="000000"/>
          <w:sz w:val="24"/>
          <w:szCs w:val="24"/>
          <w:lang/>
        </w:rPr>
        <w:t>, ВВР, 2015, № 22, ст.149</w:t>
      </w:r>
      <w:r w:rsidRPr="008B264B">
        <w:rPr>
          <w:rFonts w:ascii="Times New Roman" w:eastAsia="Times New Roman" w:hAnsi="Times New Roman" w:cs="Times New Roman"/>
          <w:color w:val="000000"/>
          <w:sz w:val="24"/>
          <w:szCs w:val="24"/>
          <w:lang/>
        </w:rPr>
        <w:br/>
      </w:r>
      <w:hyperlink r:id="rId86" w:anchor="n2" w:tgtFrame="_blank" w:history="1">
        <w:r w:rsidRPr="008B264B">
          <w:rPr>
            <w:rFonts w:ascii="Times New Roman" w:eastAsia="Times New Roman" w:hAnsi="Times New Roman" w:cs="Times New Roman"/>
            <w:color w:val="0000FF"/>
            <w:sz w:val="24"/>
            <w:szCs w:val="24"/>
            <w:u w:val="single"/>
            <w:lang/>
          </w:rPr>
          <w:t>№ 321-VIII від 09.04.2015</w:t>
        </w:r>
      </w:hyperlink>
      <w:r w:rsidRPr="008B264B">
        <w:rPr>
          <w:rFonts w:ascii="Times New Roman" w:eastAsia="Times New Roman" w:hAnsi="Times New Roman" w:cs="Times New Roman"/>
          <w:color w:val="000000"/>
          <w:sz w:val="24"/>
          <w:szCs w:val="24"/>
          <w:lang/>
        </w:rPr>
        <w:t>, ВВР, 2015, № 25, ст.193</w:t>
      </w:r>
      <w:r w:rsidRPr="008B264B">
        <w:rPr>
          <w:rFonts w:ascii="Times New Roman" w:eastAsia="Times New Roman" w:hAnsi="Times New Roman" w:cs="Times New Roman"/>
          <w:color w:val="000000"/>
          <w:sz w:val="24"/>
          <w:szCs w:val="24"/>
          <w:lang/>
        </w:rPr>
        <w:br/>
      </w:r>
      <w:hyperlink r:id="rId87" w:anchor="n2" w:tgtFrame="_blank" w:history="1">
        <w:r w:rsidRPr="008B264B">
          <w:rPr>
            <w:rFonts w:ascii="Times New Roman" w:eastAsia="Times New Roman" w:hAnsi="Times New Roman" w:cs="Times New Roman"/>
            <w:color w:val="0000FF"/>
            <w:sz w:val="24"/>
            <w:szCs w:val="24"/>
            <w:u w:val="single"/>
            <w:lang/>
          </w:rPr>
          <w:t>№ 332-VIII від 09.04.2015</w:t>
        </w:r>
      </w:hyperlink>
      <w:r w:rsidRPr="008B264B">
        <w:rPr>
          <w:rFonts w:ascii="Times New Roman" w:eastAsia="Times New Roman" w:hAnsi="Times New Roman" w:cs="Times New Roman"/>
          <w:color w:val="000000"/>
          <w:sz w:val="24"/>
          <w:szCs w:val="24"/>
          <w:lang/>
        </w:rPr>
        <w:t>, ВВР, 2015, № 25, ст.197</w:t>
      </w:r>
      <w:r w:rsidRPr="008B264B">
        <w:rPr>
          <w:rFonts w:ascii="Times New Roman" w:eastAsia="Times New Roman" w:hAnsi="Times New Roman" w:cs="Times New Roman"/>
          <w:color w:val="000000"/>
          <w:sz w:val="24"/>
          <w:szCs w:val="24"/>
          <w:lang/>
        </w:rPr>
        <w:br/>
      </w:r>
      <w:hyperlink r:id="rId88" w:anchor="n2" w:tgtFrame="_blank" w:history="1">
        <w:r w:rsidRPr="008B264B">
          <w:rPr>
            <w:rFonts w:ascii="Times New Roman" w:eastAsia="Times New Roman" w:hAnsi="Times New Roman" w:cs="Times New Roman"/>
            <w:color w:val="0000FF"/>
            <w:sz w:val="24"/>
            <w:szCs w:val="24"/>
            <w:u w:val="single"/>
            <w:lang/>
          </w:rPr>
          <w:t>№ 344-VIII від 21.04.2015</w:t>
        </w:r>
      </w:hyperlink>
      <w:r w:rsidRPr="008B264B">
        <w:rPr>
          <w:rFonts w:ascii="Times New Roman" w:eastAsia="Times New Roman" w:hAnsi="Times New Roman" w:cs="Times New Roman"/>
          <w:color w:val="000000"/>
          <w:sz w:val="24"/>
          <w:szCs w:val="24"/>
          <w:lang/>
        </w:rPr>
        <w:t>, ВВР, 2015, № 28, ст.240</w:t>
      </w:r>
      <w:r w:rsidRPr="008B264B">
        <w:rPr>
          <w:rFonts w:ascii="Times New Roman" w:eastAsia="Times New Roman" w:hAnsi="Times New Roman" w:cs="Times New Roman"/>
          <w:color w:val="000000"/>
          <w:sz w:val="24"/>
          <w:szCs w:val="24"/>
          <w:lang/>
        </w:rPr>
        <w:br/>
      </w:r>
      <w:hyperlink r:id="rId89" w:anchor="n2" w:tgtFrame="_blank" w:history="1">
        <w:r w:rsidRPr="008B264B">
          <w:rPr>
            <w:rFonts w:ascii="Times New Roman" w:eastAsia="Times New Roman" w:hAnsi="Times New Roman" w:cs="Times New Roman"/>
            <w:color w:val="0000FF"/>
            <w:sz w:val="24"/>
            <w:szCs w:val="24"/>
            <w:u w:val="single"/>
            <w:lang/>
          </w:rPr>
          <w:t>№ 364-VIII від 23.04.2015</w:t>
        </w:r>
      </w:hyperlink>
      <w:r w:rsidRPr="008B264B">
        <w:rPr>
          <w:rFonts w:ascii="Times New Roman" w:eastAsia="Times New Roman" w:hAnsi="Times New Roman" w:cs="Times New Roman"/>
          <w:color w:val="000000"/>
          <w:sz w:val="24"/>
          <w:szCs w:val="24"/>
          <w:lang/>
        </w:rPr>
        <w:t>, ВВР, 2015, № 26, ст.222</w:t>
      </w:r>
      <w:r w:rsidRPr="008B264B">
        <w:rPr>
          <w:rFonts w:ascii="Times New Roman" w:eastAsia="Times New Roman" w:hAnsi="Times New Roman" w:cs="Times New Roman"/>
          <w:color w:val="000000"/>
          <w:sz w:val="24"/>
          <w:szCs w:val="24"/>
          <w:lang/>
        </w:rPr>
        <w:br/>
      </w:r>
      <w:hyperlink r:id="rId90" w:anchor="n2" w:tgtFrame="_blank" w:history="1">
        <w:r w:rsidRPr="008B264B">
          <w:rPr>
            <w:rFonts w:ascii="Times New Roman" w:eastAsia="Times New Roman" w:hAnsi="Times New Roman" w:cs="Times New Roman"/>
            <w:color w:val="0000FF"/>
            <w:sz w:val="24"/>
            <w:szCs w:val="24"/>
            <w:u w:val="single"/>
            <w:lang/>
          </w:rPr>
          <w:t>№ 366-VIII від 23.04.2015</w:t>
        </w:r>
      </w:hyperlink>
      <w:r w:rsidRPr="008B264B">
        <w:rPr>
          <w:rFonts w:ascii="Times New Roman" w:eastAsia="Times New Roman" w:hAnsi="Times New Roman" w:cs="Times New Roman"/>
          <w:color w:val="000000"/>
          <w:sz w:val="24"/>
          <w:szCs w:val="24"/>
          <w:lang/>
        </w:rPr>
        <w:t>, ВВР, 2015, № 28, ст.243</w:t>
      </w:r>
      <w:r w:rsidRPr="008B264B">
        <w:rPr>
          <w:rFonts w:ascii="Times New Roman" w:eastAsia="Times New Roman" w:hAnsi="Times New Roman" w:cs="Times New Roman"/>
          <w:color w:val="000000"/>
          <w:sz w:val="24"/>
          <w:szCs w:val="24"/>
          <w:lang/>
        </w:rPr>
        <w:br/>
      </w:r>
      <w:hyperlink r:id="rId91" w:anchor="n2" w:tgtFrame="_blank" w:history="1">
        <w:r w:rsidRPr="008B264B">
          <w:rPr>
            <w:rFonts w:ascii="Times New Roman" w:eastAsia="Times New Roman" w:hAnsi="Times New Roman" w:cs="Times New Roman"/>
            <w:color w:val="0000FF"/>
            <w:sz w:val="24"/>
            <w:szCs w:val="24"/>
            <w:u w:val="single"/>
            <w:lang/>
          </w:rPr>
          <w:t>№ 381-VIII від 12.05.2015</w:t>
        </w:r>
      </w:hyperlink>
      <w:r w:rsidRPr="008B264B">
        <w:rPr>
          <w:rFonts w:ascii="Times New Roman" w:eastAsia="Times New Roman" w:hAnsi="Times New Roman" w:cs="Times New Roman"/>
          <w:color w:val="000000"/>
          <w:sz w:val="24"/>
          <w:szCs w:val="24"/>
          <w:lang/>
        </w:rPr>
        <w:t>, ВВР, 2015, № 28, ст.247</w:t>
      </w:r>
      <w:r w:rsidRPr="008B264B">
        <w:rPr>
          <w:rFonts w:ascii="Times New Roman" w:eastAsia="Times New Roman" w:hAnsi="Times New Roman" w:cs="Times New Roman"/>
          <w:color w:val="000000"/>
          <w:sz w:val="24"/>
          <w:szCs w:val="24"/>
          <w:lang/>
        </w:rPr>
        <w:br/>
      </w:r>
      <w:hyperlink r:id="rId92" w:anchor="n2" w:tgtFrame="_blank" w:history="1">
        <w:r w:rsidRPr="008B264B">
          <w:rPr>
            <w:rFonts w:ascii="Times New Roman" w:eastAsia="Times New Roman" w:hAnsi="Times New Roman" w:cs="Times New Roman"/>
            <w:color w:val="0000FF"/>
            <w:sz w:val="24"/>
            <w:szCs w:val="24"/>
            <w:u w:val="single"/>
            <w:lang/>
          </w:rPr>
          <w:t>№ 420-VIII від 14.05.2015</w:t>
        </w:r>
      </w:hyperlink>
      <w:r w:rsidRPr="008B264B">
        <w:rPr>
          <w:rFonts w:ascii="Times New Roman" w:eastAsia="Times New Roman" w:hAnsi="Times New Roman" w:cs="Times New Roman"/>
          <w:color w:val="000000"/>
          <w:sz w:val="24"/>
          <w:szCs w:val="24"/>
          <w:lang/>
        </w:rPr>
        <w:t>, ВВР, 2015, № 29, ст.263</w:t>
      </w:r>
      <w:r w:rsidRPr="008B264B">
        <w:rPr>
          <w:rFonts w:ascii="Times New Roman" w:eastAsia="Times New Roman" w:hAnsi="Times New Roman" w:cs="Times New Roman"/>
          <w:color w:val="000000"/>
          <w:sz w:val="24"/>
          <w:szCs w:val="24"/>
          <w:lang/>
        </w:rPr>
        <w:br/>
      </w:r>
      <w:hyperlink r:id="rId93" w:anchor="n2" w:tgtFrame="_blank" w:history="1">
        <w:r w:rsidRPr="008B264B">
          <w:rPr>
            <w:rFonts w:ascii="Times New Roman" w:eastAsia="Times New Roman" w:hAnsi="Times New Roman" w:cs="Times New Roman"/>
            <w:color w:val="0000FF"/>
            <w:sz w:val="24"/>
            <w:szCs w:val="24"/>
            <w:u w:val="single"/>
            <w:lang/>
          </w:rPr>
          <w:t>№ 482-VIII від 22.05.2015</w:t>
        </w:r>
      </w:hyperlink>
      <w:r w:rsidRPr="008B264B">
        <w:rPr>
          <w:rFonts w:ascii="Times New Roman" w:eastAsia="Times New Roman" w:hAnsi="Times New Roman" w:cs="Times New Roman"/>
          <w:color w:val="000000"/>
          <w:sz w:val="24"/>
          <w:szCs w:val="24"/>
          <w:lang/>
        </w:rPr>
        <w:t>, ВВР, 2015, № 26, ст.225</w:t>
      </w:r>
      <w:r w:rsidRPr="008B264B">
        <w:rPr>
          <w:rFonts w:ascii="Times New Roman" w:eastAsia="Times New Roman" w:hAnsi="Times New Roman" w:cs="Times New Roman"/>
          <w:color w:val="000000"/>
          <w:sz w:val="24"/>
          <w:szCs w:val="24"/>
          <w:lang/>
        </w:rPr>
        <w:br/>
      </w:r>
      <w:hyperlink r:id="rId94" w:anchor="n2" w:tgtFrame="_blank" w:history="1">
        <w:r w:rsidRPr="008B264B">
          <w:rPr>
            <w:rFonts w:ascii="Times New Roman" w:eastAsia="Times New Roman" w:hAnsi="Times New Roman" w:cs="Times New Roman"/>
            <w:color w:val="0000FF"/>
            <w:sz w:val="24"/>
            <w:szCs w:val="24"/>
            <w:u w:val="single"/>
            <w:lang/>
          </w:rPr>
          <w:t>№ 548-VIII від 18.06.2015</w:t>
        </w:r>
      </w:hyperlink>
      <w:r w:rsidRPr="008B264B">
        <w:rPr>
          <w:rFonts w:ascii="Times New Roman" w:eastAsia="Times New Roman" w:hAnsi="Times New Roman" w:cs="Times New Roman"/>
          <w:color w:val="000000"/>
          <w:sz w:val="24"/>
          <w:szCs w:val="24"/>
          <w:lang/>
        </w:rPr>
        <w:t>, ВВР, 2015, № 32, ст.317</w:t>
      </w:r>
      <w:r w:rsidRPr="008B264B">
        <w:rPr>
          <w:rFonts w:ascii="Times New Roman" w:eastAsia="Times New Roman" w:hAnsi="Times New Roman" w:cs="Times New Roman"/>
          <w:color w:val="000000"/>
          <w:sz w:val="24"/>
          <w:szCs w:val="24"/>
          <w:lang/>
        </w:rPr>
        <w:br/>
      </w:r>
      <w:hyperlink r:id="rId95" w:anchor="n2" w:tgtFrame="_blank" w:history="1">
        <w:r w:rsidRPr="008B264B">
          <w:rPr>
            <w:rFonts w:ascii="Times New Roman" w:eastAsia="Times New Roman" w:hAnsi="Times New Roman" w:cs="Times New Roman"/>
            <w:color w:val="0000FF"/>
            <w:sz w:val="24"/>
            <w:szCs w:val="24"/>
            <w:u w:val="single"/>
            <w:lang/>
          </w:rPr>
          <w:t>№ 555-VIII від 30.06.2015</w:t>
        </w:r>
      </w:hyperlink>
      <w:r w:rsidRPr="008B264B">
        <w:rPr>
          <w:rFonts w:ascii="Times New Roman" w:eastAsia="Times New Roman" w:hAnsi="Times New Roman" w:cs="Times New Roman"/>
          <w:color w:val="000000"/>
          <w:sz w:val="24"/>
          <w:szCs w:val="24"/>
          <w:lang/>
        </w:rPr>
        <w:t>, ВВР, 2015, № 34, ст.334</w:t>
      </w:r>
      <w:r w:rsidRPr="008B264B">
        <w:rPr>
          <w:rFonts w:ascii="Times New Roman" w:eastAsia="Times New Roman" w:hAnsi="Times New Roman" w:cs="Times New Roman"/>
          <w:color w:val="000000"/>
          <w:sz w:val="24"/>
          <w:szCs w:val="24"/>
          <w:lang/>
        </w:rPr>
        <w:br/>
      </w:r>
      <w:hyperlink r:id="rId96" w:anchor="n2" w:tgtFrame="_blank" w:history="1">
        <w:r w:rsidRPr="008B264B">
          <w:rPr>
            <w:rFonts w:ascii="Times New Roman" w:eastAsia="Times New Roman" w:hAnsi="Times New Roman" w:cs="Times New Roman"/>
            <w:color w:val="0000FF"/>
            <w:sz w:val="24"/>
            <w:szCs w:val="24"/>
            <w:u w:val="single"/>
            <w:lang/>
          </w:rPr>
          <w:t>№ 557-VIII від 30.06.2015</w:t>
        </w:r>
      </w:hyperlink>
      <w:r w:rsidRPr="008B264B">
        <w:rPr>
          <w:rFonts w:ascii="Times New Roman" w:eastAsia="Times New Roman" w:hAnsi="Times New Roman" w:cs="Times New Roman"/>
          <w:color w:val="000000"/>
          <w:sz w:val="24"/>
          <w:szCs w:val="24"/>
          <w:lang/>
        </w:rPr>
        <w:t>, ВВР, 2015, № 35, ст.338</w:t>
      </w:r>
      <w:r w:rsidRPr="008B264B">
        <w:rPr>
          <w:rFonts w:ascii="Times New Roman" w:eastAsia="Times New Roman" w:hAnsi="Times New Roman" w:cs="Times New Roman"/>
          <w:color w:val="000000"/>
          <w:sz w:val="24"/>
          <w:szCs w:val="24"/>
          <w:lang/>
        </w:rPr>
        <w:br/>
      </w:r>
      <w:hyperlink r:id="rId97" w:anchor="n5" w:tgtFrame="_blank" w:history="1">
        <w:r w:rsidRPr="008B264B">
          <w:rPr>
            <w:rFonts w:ascii="Times New Roman" w:eastAsia="Times New Roman" w:hAnsi="Times New Roman" w:cs="Times New Roman"/>
            <w:color w:val="0000FF"/>
            <w:sz w:val="24"/>
            <w:szCs w:val="24"/>
            <w:u w:val="single"/>
            <w:lang/>
          </w:rPr>
          <w:t>№ 569-VIII від 01.07.2015</w:t>
        </w:r>
      </w:hyperlink>
      <w:r w:rsidRPr="008B264B">
        <w:rPr>
          <w:rFonts w:ascii="Times New Roman" w:eastAsia="Times New Roman" w:hAnsi="Times New Roman" w:cs="Times New Roman"/>
          <w:color w:val="000000"/>
          <w:sz w:val="24"/>
          <w:szCs w:val="24"/>
          <w:lang/>
        </w:rPr>
        <w:t>, ВВР, 2015, № 33, ст.327</w:t>
      </w:r>
      <w:r w:rsidRPr="008B264B">
        <w:rPr>
          <w:rFonts w:ascii="Times New Roman" w:eastAsia="Times New Roman" w:hAnsi="Times New Roman" w:cs="Times New Roman"/>
          <w:color w:val="000000"/>
          <w:sz w:val="24"/>
          <w:szCs w:val="24"/>
          <w:lang/>
        </w:rPr>
        <w:br/>
      </w:r>
      <w:hyperlink r:id="rId98" w:anchor="n2" w:tgtFrame="_blank" w:history="1">
        <w:r w:rsidRPr="008B264B">
          <w:rPr>
            <w:rFonts w:ascii="Times New Roman" w:eastAsia="Times New Roman" w:hAnsi="Times New Roman" w:cs="Times New Roman"/>
            <w:color w:val="0000FF"/>
            <w:sz w:val="24"/>
            <w:szCs w:val="24"/>
            <w:u w:val="single"/>
            <w:lang/>
          </w:rPr>
          <w:t>№ 609-VIII від 15.07.2015</w:t>
        </w:r>
      </w:hyperlink>
      <w:r w:rsidRPr="008B264B">
        <w:rPr>
          <w:rFonts w:ascii="Times New Roman" w:eastAsia="Times New Roman" w:hAnsi="Times New Roman" w:cs="Times New Roman"/>
          <w:color w:val="000000"/>
          <w:sz w:val="24"/>
          <w:szCs w:val="24"/>
          <w:lang/>
        </w:rPr>
        <w:t>, ВВР, 2015, № 40-41, ст.380</w:t>
      </w:r>
      <w:r w:rsidRPr="008B264B">
        <w:rPr>
          <w:rFonts w:ascii="Times New Roman" w:eastAsia="Times New Roman" w:hAnsi="Times New Roman" w:cs="Times New Roman"/>
          <w:color w:val="000000"/>
          <w:sz w:val="24"/>
          <w:szCs w:val="24"/>
          <w:lang/>
        </w:rPr>
        <w:br/>
      </w:r>
      <w:hyperlink r:id="rId99" w:anchor="n2" w:tgtFrame="_blank" w:history="1">
        <w:r w:rsidRPr="008B264B">
          <w:rPr>
            <w:rFonts w:ascii="Times New Roman" w:eastAsia="Times New Roman" w:hAnsi="Times New Roman" w:cs="Times New Roman"/>
            <w:color w:val="0000FF"/>
            <w:sz w:val="24"/>
            <w:szCs w:val="24"/>
            <w:u w:val="single"/>
            <w:lang/>
          </w:rPr>
          <w:t>№ 643-VIII від 16.07.2015</w:t>
        </w:r>
      </w:hyperlink>
      <w:r w:rsidRPr="008B264B">
        <w:rPr>
          <w:rFonts w:ascii="Times New Roman" w:eastAsia="Times New Roman" w:hAnsi="Times New Roman" w:cs="Times New Roman"/>
          <w:color w:val="000000"/>
          <w:sz w:val="24"/>
          <w:szCs w:val="24"/>
          <w:lang/>
        </w:rPr>
        <w:t>, ВВР, 2015, № 40-41, ст.381</w:t>
      </w:r>
      <w:r w:rsidRPr="008B264B">
        <w:rPr>
          <w:rFonts w:ascii="Times New Roman" w:eastAsia="Times New Roman" w:hAnsi="Times New Roman" w:cs="Times New Roman"/>
          <w:color w:val="000000"/>
          <w:sz w:val="24"/>
          <w:szCs w:val="24"/>
          <w:lang/>
        </w:rPr>
        <w:br/>
      </w:r>
      <w:hyperlink r:id="rId100" w:anchor="n2" w:tgtFrame="_blank" w:history="1">
        <w:r w:rsidRPr="008B264B">
          <w:rPr>
            <w:rFonts w:ascii="Times New Roman" w:eastAsia="Times New Roman" w:hAnsi="Times New Roman" w:cs="Times New Roman"/>
            <w:color w:val="0000FF"/>
            <w:sz w:val="24"/>
            <w:szCs w:val="24"/>
            <w:u w:val="single"/>
            <w:lang/>
          </w:rPr>
          <w:t>№ 652-VIII від 17.07.2015</w:t>
        </w:r>
      </w:hyperlink>
      <w:r w:rsidRPr="008B264B">
        <w:rPr>
          <w:rFonts w:ascii="Times New Roman" w:eastAsia="Times New Roman" w:hAnsi="Times New Roman" w:cs="Times New Roman"/>
          <w:color w:val="000000"/>
          <w:sz w:val="24"/>
          <w:szCs w:val="24"/>
          <w:lang/>
        </w:rPr>
        <w:t>, ВВР, 2015, № 42, ст.384</w:t>
      </w:r>
      <w:r w:rsidRPr="008B264B">
        <w:rPr>
          <w:rFonts w:ascii="Times New Roman" w:eastAsia="Times New Roman" w:hAnsi="Times New Roman" w:cs="Times New Roman"/>
          <w:color w:val="000000"/>
          <w:sz w:val="24"/>
          <w:szCs w:val="24"/>
          <w:lang/>
        </w:rPr>
        <w:br/>
      </w:r>
      <w:hyperlink r:id="rId101" w:anchor="n2" w:tgtFrame="_blank" w:history="1">
        <w:r w:rsidRPr="008B264B">
          <w:rPr>
            <w:rFonts w:ascii="Times New Roman" w:eastAsia="Times New Roman" w:hAnsi="Times New Roman" w:cs="Times New Roman"/>
            <w:color w:val="0000FF"/>
            <w:sz w:val="24"/>
            <w:szCs w:val="24"/>
            <w:u w:val="single"/>
            <w:lang/>
          </w:rPr>
          <w:t>№ 653-VIII від 17.07.2015</w:t>
        </w:r>
      </w:hyperlink>
      <w:r w:rsidRPr="008B264B">
        <w:rPr>
          <w:rFonts w:ascii="Times New Roman" w:eastAsia="Times New Roman" w:hAnsi="Times New Roman" w:cs="Times New Roman"/>
          <w:color w:val="000000"/>
          <w:sz w:val="24"/>
          <w:szCs w:val="24"/>
          <w:lang/>
        </w:rPr>
        <w:t>, ВВР, 2015, № 37-38, ст.370</w:t>
      </w:r>
      <w:r w:rsidRPr="008B264B">
        <w:rPr>
          <w:rFonts w:ascii="Times New Roman" w:eastAsia="Times New Roman" w:hAnsi="Times New Roman" w:cs="Times New Roman"/>
          <w:color w:val="000000"/>
          <w:sz w:val="24"/>
          <w:szCs w:val="24"/>
          <w:lang/>
        </w:rPr>
        <w:br/>
      </w:r>
      <w:hyperlink r:id="rId102" w:anchor="n2" w:tgtFrame="_blank" w:history="1">
        <w:r w:rsidRPr="008B264B">
          <w:rPr>
            <w:rFonts w:ascii="Times New Roman" w:eastAsia="Times New Roman" w:hAnsi="Times New Roman" w:cs="Times New Roman"/>
            <w:color w:val="0000FF"/>
            <w:sz w:val="24"/>
            <w:szCs w:val="24"/>
            <w:u w:val="single"/>
            <w:lang/>
          </w:rPr>
          <w:t>№ 654-VIII від 17.07.2015</w:t>
        </w:r>
      </w:hyperlink>
      <w:r w:rsidRPr="008B264B">
        <w:rPr>
          <w:rFonts w:ascii="Times New Roman" w:eastAsia="Times New Roman" w:hAnsi="Times New Roman" w:cs="Times New Roman"/>
          <w:color w:val="000000"/>
          <w:sz w:val="24"/>
          <w:szCs w:val="24"/>
          <w:lang/>
        </w:rPr>
        <w:t>, ВВР, 2015, № 45, ст.398</w:t>
      </w:r>
      <w:r w:rsidRPr="008B264B">
        <w:rPr>
          <w:rFonts w:ascii="Times New Roman" w:eastAsia="Times New Roman" w:hAnsi="Times New Roman" w:cs="Times New Roman"/>
          <w:color w:val="000000"/>
          <w:sz w:val="24"/>
          <w:szCs w:val="24"/>
          <w:lang/>
        </w:rPr>
        <w:br/>
      </w:r>
      <w:hyperlink r:id="rId103" w:anchor="n2" w:tgtFrame="_blank" w:history="1">
        <w:r w:rsidRPr="008B264B">
          <w:rPr>
            <w:rFonts w:ascii="Times New Roman" w:eastAsia="Times New Roman" w:hAnsi="Times New Roman" w:cs="Times New Roman"/>
            <w:color w:val="0000FF"/>
            <w:sz w:val="24"/>
            <w:szCs w:val="24"/>
            <w:u w:val="single"/>
            <w:lang/>
          </w:rPr>
          <w:t>№ 655-VIII від 17.07.2015</w:t>
        </w:r>
      </w:hyperlink>
      <w:r w:rsidRPr="008B264B">
        <w:rPr>
          <w:rFonts w:ascii="Times New Roman" w:eastAsia="Times New Roman" w:hAnsi="Times New Roman" w:cs="Times New Roman"/>
          <w:color w:val="000000"/>
          <w:sz w:val="24"/>
          <w:szCs w:val="24"/>
          <w:lang/>
        </w:rPr>
        <w:t>, ВВР, 2015, № 39, ст.378</w:t>
      </w:r>
      <w:r w:rsidRPr="008B264B">
        <w:rPr>
          <w:rFonts w:ascii="Times New Roman" w:eastAsia="Times New Roman" w:hAnsi="Times New Roman" w:cs="Times New Roman"/>
          <w:color w:val="000000"/>
          <w:sz w:val="24"/>
          <w:szCs w:val="24"/>
          <w:lang/>
        </w:rPr>
        <w:br/>
      </w:r>
      <w:hyperlink r:id="rId104" w:anchor="n2" w:tgtFrame="_blank" w:history="1">
        <w:r w:rsidRPr="008B264B">
          <w:rPr>
            <w:rFonts w:ascii="Times New Roman" w:eastAsia="Times New Roman" w:hAnsi="Times New Roman" w:cs="Times New Roman"/>
            <w:color w:val="0000FF"/>
            <w:sz w:val="24"/>
            <w:szCs w:val="24"/>
            <w:u w:val="single"/>
            <w:lang/>
          </w:rPr>
          <w:t>№ 702-VIII від 17.09.2015</w:t>
        </w:r>
      </w:hyperlink>
      <w:r w:rsidRPr="008B264B">
        <w:rPr>
          <w:rFonts w:ascii="Times New Roman" w:eastAsia="Times New Roman" w:hAnsi="Times New Roman" w:cs="Times New Roman"/>
          <w:color w:val="000000"/>
          <w:sz w:val="24"/>
          <w:szCs w:val="24"/>
          <w:lang/>
        </w:rPr>
        <w:t>, ВВР, 2015, № 46, ст.427</w:t>
      </w:r>
      <w:r w:rsidRPr="008B264B">
        <w:rPr>
          <w:rFonts w:ascii="Times New Roman" w:eastAsia="Times New Roman" w:hAnsi="Times New Roman" w:cs="Times New Roman"/>
          <w:color w:val="000000"/>
          <w:sz w:val="24"/>
          <w:szCs w:val="24"/>
          <w:lang/>
        </w:rPr>
        <w:br/>
      </w:r>
      <w:hyperlink r:id="rId105" w:anchor="n2" w:tgtFrame="_blank" w:history="1">
        <w:r w:rsidRPr="008B264B">
          <w:rPr>
            <w:rFonts w:ascii="Times New Roman" w:eastAsia="Times New Roman" w:hAnsi="Times New Roman" w:cs="Times New Roman"/>
            <w:color w:val="0000FF"/>
            <w:sz w:val="24"/>
            <w:szCs w:val="24"/>
            <w:u w:val="single"/>
            <w:lang/>
          </w:rPr>
          <w:t>№ 812-VIII від 24.11.2015</w:t>
        </w:r>
      </w:hyperlink>
      <w:r w:rsidRPr="008B264B">
        <w:rPr>
          <w:rFonts w:ascii="Times New Roman" w:eastAsia="Times New Roman" w:hAnsi="Times New Roman" w:cs="Times New Roman"/>
          <w:color w:val="000000"/>
          <w:sz w:val="24"/>
          <w:szCs w:val="24"/>
          <w:lang/>
        </w:rPr>
        <w:t>, ВВР, 2016, № 1, ст.5</w:t>
      </w:r>
      <w:r w:rsidRPr="008B264B">
        <w:rPr>
          <w:rFonts w:ascii="Times New Roman" w:eastAsia="Times New Roman" w:hAnsi="Times New Roman" w:cs="Times New Roman"/>
          <w:color w:val="000000"/>
          <w:sz w:val="24"/>
          <w:szCs w:val="24"/>
          <w:lang/>
        </w:rPr>
        <w:br/>
      </w:r>
      <w:hyperlink r:id="rId106" w:anchor="n5" w:tgtFrame="_blank" w:history="1">
        <w:r w:rsidRPr="008B264B">
          <w:rPr>
            <w:rFonts w:ascii="Times New Roman" w:eastAsia="Times New Roman" w:hAnsi="Times New Roman" w:cs="Times New Roman"/>
            <w:color w:val="0000FF"/>
            <w:sz w:val="24"/>
            <w:szCs w:val="24"/>
            <w:u w:val="single"/>
            <w:lang/>
          </w:rPr>
          <w:t>№ 903-VIII від 23.12.2015</w:t>
        </w:r>
      </w:hyperlink>
      <w:r w:rsidRPr="008B264B">
        <w:rPr>
          <w:rFonts w:ascii="Times New Roman" w:eastAsia="Times New Roman" w:hAnsi="Times New Roman" w:cs="Times New Roman"/>
          <w:color w:val="000000"/>
          <w:sz w:val="24"/>
          <w:szCs w:val="24"/>
          <w:lang/>
        </w:rPr>
        <w:t>, ВВР, 2016, № 5, ст.48</w:t>
      </w:r>
      <w:r w:rsidRPr="008B264B">
        <w:rPr>
          <w:rFonts w:ascii="Times New Roman" w:eastAsia="Times New Roman" w:hAnsi="Times New Roman" w:cs="Times New Roman"/>
          <w:color w:val="000000"/>
          <w:sz w:val="24"/>
          <w:szCs w:val="24"/>
          <w:lang/>
        </w:rPr>
        <w:br/>
      </w:r>
      <w:hyperlink r:id="rId107" w:anchor="n5" w:tgtFrame="_blank" w:history="1">
        <w:r w:rsidRPr="008B264B">
          <w:rPr>
            <w:rFonts w:ascii="Times New Roman" w:eastAsia="Times New Roman" w:hAnsi="Times New Roman" w:cs="Times New Roman"/>
            <w:color w:val="0000FF"/>
            <w:sz w:val="24"/>
            <w:szCs w:val="24"/>
            <w:u w:val="single"/>
            <w:lang/>
          </w:rPr>
          <w:t>№ 909-VIII від 24.12.2015</w:t>
        </w:r>
      </w:hyperlink>
      <w:r w:rsidRPr="008B264B">
        <w:rPr>
          <w:rFonts w:ascii="Times New Roman" w:eastAsia="Times New Roman" w:hAnsi="Times New Roman" w:cs="Times New Roman"/>
          <w:color w:val="000000"/>
          <w:sz w:val="24"/>
          <w:szCs w:val="24"/>
          <w:lang/>
        </w:rPr>
        <w:t>, ВВР, 2016, № 5, ст.47</w:t>
      </w:r>
      <w:r w:rsidRPr="008B264B">
        <w:rPr>
          <w:rFonts w:ascii="Times New Roman" w:eastAsia="Times New Roman" w:hAnsi="Times New Roman" w:cs="Times New Roman"/>
          <w:color w:val="000000"/>
          <w:sz w:val="24"/>
          <w:szCs w:val="24"/>
          <w:lang/>
        </w:rPr>
        <w:br/>
      </w:r>
      <w:hyperlink r:id="rId108" w:anchor="n2" w:tgtFrame="_blank" w:history="1">
        <w:r w:rsidRPr="008B264B">
          <w:rPr>
            <w:rFonts w:ascii="Times New Roman" w:eastAsia="Times New Roman" w:hAnsi="Times New Roman" w:cs="Times New Roman"/>
            <w:color w:val="0000FF"/>
            <w:sz w:val="24"/>
            <w:szCs w:val="24"/>
            <w:u w:val="single"/>
            <w:lang/>
          </w:rPr>
          <w:t>№ 1084-VIII від 12.04.2016</w:t>
        </w:r>
      </w:hyperlink>
      <w:r w:rsidRPr="008B264B">
        <w:rPr>
          <w:rFonts w:ascii="Times New Roman" w:eastAsia="Times New Roman" w:hAnsi="Times New Roman" w:cs="Times New Roman"/>
          <w:color w:val="000000"/>
          <w:sz w:val="24"/>
          <w:szCs w:val="24"/>
          <w:lang/>
        </w:rPr>
        <w:t>, ВВР, 2016, № 22, ст.451</w:t>
      </w:r>
      <w:r w:rsidRPr="008B264B">
        <w:rPr>
          <w:rFonts w:ascii="Times New Roman" w:eastAsia="Times New Roman" w:hAnsi="Times New Roman" w:cs="Times New Roman"/>
          <w:color w:val="000000"/>
          <w:sz w:val="24"/>
          <w:szCs w:val="24"/>
          <w:lang/>
        </w:rPr>
        <w:br/>
      </w:r>
      <w:hyperlink r:id="rId109" w:anchor="n2" w:tgtFrame="_blank" w:history="1">
        <w:r w:rsidRPr="008B264B">
          <w:rPr>
            <w:rFonts w:ascii="Times New Roman" w:eastAsia="Times New Roman" w:hAnsi="Times New Roman" w:cs="Times New Roman"/>
            <w:color w:val="0000FF"/>
            <w:sz w:val="24"/>
            <w:szCs w:val="24"/>
            <w:u w:val="single"/>
            <w:lang/>
          </w:rPr>
          <w:t>№ 1411-VIII від 02.06.2016</w:t>
        </w:r>
      </w:hyperlink>
      <w:r w:rsidRPr="008B264B">
        <w:rPr>
          <w:rFonts w:ascii="Times New Roman" w:eastAsia="Times New Roman" w:hAnsi="Times New Roman" w:cs="Times New Roman"/>
          <w:color w:val="000000"/>
          <w:sz w:val="24"/>
          <w:szCs w:val="24"/>
          <w:lang/>
        </w:rPr>
        <w:t>, ВВР, 2016, № 26, ст.520</w:t>
      </w:r>
      <w:r w:rsidRPr="008B264B">
        <w:rPr>
          <w:rFonts w:ascii="Times New Roman" w:eastAsia="Times New Roman" w:hAnsi="Times New Roman" w:cs="Times New Roman"/>
          <w:color w:val="000000"/>
          <w:sz w:val="24"/>
          <w:szCs w:val="24"/>
          <w:lang/>
        </w:rPr>
        <w:br/>
      </w:r>
      <w:hyperlink r:id="rId110" w:anchor="n2" w:tgtFrame="_blank" w:history="1">
        <w:r w:rsidRPr="008B264B">
          <w:rPr>
            <w:rFonts w:ascii="Times New Roman" w:eastAsia="Times New Roman" w:hAnsi="Times New Roman" w:cs="Times New Roman"/>
            <w:color w:val="0000FF"/>
            <w:sz w:val="24"/>
            <w:szCs w:val="24"/>
            <w:u w:val="single"/>
            <w:lang/>
          </w:rPr>
          <w:t>№ 1389-VIII від 31.05.2016</w:t>
        </w:r>
      </w:hyperlink>
      <w:r w:rsidRPr="008B264B">
        <w:rPr>
          <w:rFonts w:ascii="Times New Roman" w:eastAsia="Times New Roman" w:hAnsi="Times New Roman" w:cs="Times New Roman"/>
          <w:color w:val="000000"/>
          <w:sz w:val="24"/>
          <w:szCs w:val="24"/>
          <w:lang/>
        </w:rPr>
        <w:t>, ВВР, 2016, № 31, ст.544</w:t>
      </w:r>
      <w:r w:rsidRPr="008B264B">
        <w:rPr>
          <w:rFonts w:ascii="Times New Roman" w:eastAsia="Times New Roman" w:hAnsi="Times New Roman" w:cs="Times New Roman"/>
          <w:color w:val="000000"/>
          <w:sz w:val="24"/>
          <w:szCs w:val="24"/>
          <w:lang/>
        </w:rPr>
        <w:br/>
      </w:r>
      <w:hyperlink r:id="rId111" w:anchor="n2" w:tgtFrame="_blank" w:history="1">
        <w:r w:rsidRPr="008B264B">
          <w:rPr>
            <w:rFonts w:ascii="Times New Roman" w:eastAsia="Times New Roman" w:hAnsi="Times New Roman" w:cs="Times New Roman"/>
            <w:color w:val="0000FF"/>
            <w:sz w:val="24"/>
            <w:szCs w:val="24"/>
            <w:u w:val="single"/>
            <w:lang/>
          </w:rPr>
          <w:t>№ 1665-VIII від 06.10.2016</w:t>
        </w:r>
      </w:hyperlink>
      <w:r w:rsidRPr="008B264B">
        <w:rPr>
          <w:rFonts w:ascii="Times New Roman" w:eastAsia="Times New Roman" w:hAnsi="Times New Roman" w:cs="Times New Roman"/>
          <w:color w:val="000000"/>
          <w:sz w:val="24"/>
          <w:szCs w:val="24"/>
          <w:lang/>
        </w:rPr>
        <w:t>, ВВР, 2016, № 47, ст.799</w:t>
      </w:r>
      <w:r w:rsidRPr="008B264B">
        <w:rPr>
          <w:rFonts w:ascii="Times New Roman" w:eastAsia="Times New Roman" w:hAnsi="Times New Roman" w:cs="Times New Roman"/>
          <w:color w:val="000000"/>
          <w:sz w:val="24"/>
          <w:szCs w:val="24"/>
          <w:lang/>
        </w:rPr>
        <w:br/>
      </w:r>
      <w:hyperlink r:id="rId112" w:anchor="n2" w:tgtFrame="_blank" w:history="1">
        <w:r w:rsidRPr="008B264B">
          <w:rPr>
            <w:rFonts w:ascii="Times New Roman" w:eastAsia="Times New Roman" w:hAnsi="Times New Roman" w:cs="Times New Roman"/>
            <w:color w:val="0000FF"/>
            <w:sz w:val="24"/>
            <w:szCs w:val="24"/>
            <w:u w:val="single"/>
            <w:lang/>
          </w:rPr>
          <w:t>№ 1667-VIII від 06.10.2016</w:t>
        </w:r>
      </w:hyperlink>
      <w:r w:rsidRPr="008B264B">
        <w:rPr>
          <w:rFonts w:ascii="Times New Roman" w:eastAsia="Times New Roman" w:hAnsi="Times New Roman" w:cs="Times New Roman"/>
          <w:color w:val="000000"/>
          <w:sz w:val="24"/>
          <w:szCs w:val="24"/>
          <w:lang/>
        </w:rPr>
        <w:t>, ВВР, 2016, № 49-50, ст.830</w:t>
      </w:r>
      <w:r w:rsidRPr="008B264B">
        <w:rPr>
          <w:rFonts w:ascii="Times New Roman" w:eastAsia="Times New Roman" w:hAnsi="Times New Roman" w:cs="Times New Roman"/>
          <w:color w:val="000000"/>
          <w:sz w:val="24"/>
          <w:szCs w:val="24"/>
          <w:lang/>
        </w:rPr>
        <w:br/>
      </w:r>
      <w:hyperlink r:id="rId113" w:anchor="n5" w:tgtFrame="_blank" w:history="1">
        <w:r w:rsidRPr="008B264B">
          <w:rPr>
            <w:rFonts w:ascii="Times New Roman" w:eastAsia="Times New Roman" w:hAnsi="Times New Roman" w:cs="Times New Roman"/>
            <w:color w:val="0000FF"/>
            <w:sz w:val="24"/>
            <w:szCs w:val="24"/>
            <w:u w:val="single"/>
            <w:lang/>
          </w:rPr>
          <w:t>№ 1791-VIII від 20.12.2016</w:t>
        </w:r>
      </w:hyperlink>
      <w:r w:rsidRPr="008B264B">
        <w:rPr>
          <w:rFonts w:ascii="Times New Roman" w:eastAsia="Times New Roman" w:hAnsi="Times New Roman" w:cs="Times New Roman"/>
          <w:color w:val="000000"/>
          <w:sz w:val="24"/>
          <w:szCs w:val="24"/>
          <w:lang/>
        </w:rPr>
        <w:t>, ВВР, 2017, № 4, ст.42</w:t>
      </w:r>
      <w:r w:rsidRPr="008B264B">
        <w:rPr>
          <w:rFonts w:ascii="Times New Roman" w:eastAsia="Times New Roman" w:hAnsi="Times New Roman" w:cs="Times New Roman"/>
          <w:color w:val="000000"/>
          <w:sz w:val="24"/>
          <w:szCs w:val="24"/>
          <w:lang/>
        </w:rPr>
        <w:br/>
      </w:r>
      <w:hyperlink r:id="rId114" w:anchor="n2" w:tgtFrame="_blank" w:history="1">
        <w:r w:rsidRPr="008B264B">
          <w:rPr>
            <w:rFonts w:ascii="Times New Roman" w:eastAsia="Times New Roman" w:hAnsi="Times New Roman" w:cs="Times New Roman"/>
            <w:color w:val="0000FF"/>
            <w:sz w:val="24"/>
            <w:szCs w:val="24"/>
            <w:u w:val="single"/>
            <w:lang/>
          </w:rPr>
          <w:t>№ 1795-VIII від 20.12.2016</w:t>
        </w:r>
      </w:hyperlink>
      <w:r w:rsidRPr="008B264B">
        <w:rPr>
          <w:rFonts w:ascii="Times New Roman" w:eastAsia="Times New Roman" w:hAnsi="Times New Roman" w:cs="Times New Roman"/>
          <w:color w:val="000000"/>
          <w:sz w:val="24"/>
          <w:szCs w:val="24"/>
          <w:lang/>
        </w:rPr>
        <w:t>, ВВР, 2017, № 4, ст.44</w:t>
      </w:r>
      <w:r w:rsidRPr="008B264B">
        <w:rPr>
          <w:rFonts w:ascii="Times New Roman" w:eastAsia="Times New Roman" w:hAnsi="Times New Roman" w:cs="Times New Roman"/>
          <w:color w:val="000000"/>
          <w:sz w:val="24"/>
          <w:szCs w:val="24"/>
          <w:lang/>
        </w:rPr>
        <w:br/>
      </w:r>
      <w:hyperlink r:id="rId115" w:anchor="n2" w:tgtFrame="_blank" w:history="1">
        <w:r w:rsidRPr="008B264B">
          <w:rPr>
            <w:rFonts w:ascii="Times New Roman" w:eastAsia="Times New Roman" w:hAnsi="Times New Roman" w:cs="Times New Roman"/>
            <w:color w:val="0000FF"/>
            <w:sz w:val="24"/>
            <w:szCs w:val="24"/>
            <w:u w:val="single"/>
            <w:lang/>
          </w:rPr>
          <w:t>№ 1797-VIII від 21.12.2016</w:t>
        </w:r>
      </w:hyperlink>
      <w:r w:rsidRPr="008B264B">
        <w:rPr>
          <w:rFonts w:ascii="Times New Roman" w:eastAsia="Times New Roman" w:hAnsi="Times New Roman" w:cs="Times New Roman"/>
          <w:color w:val="000000"/>
          <w:sz w:val="24"/>
          <w:szCs w:val="24"/>
          <w:lang/>
        </w:rPr>
        <w:t>, ВВР, 2017, № 5-6, ст.48</w:t>
      </w:r>
      <w:r w:rsidRPr="008B264B">
        <w:rPr>
          <w:rFonts w:ascii="Times New Roman" w:eastAsia="Times New Roman" w:hAnsi="Times New Roman" w:cs="Times New Roman"/>
          <w:color w:val="000000"/>
          <w:sz w:val="24"/>
          <w:szCs w:val="24"/>
          <w:lang/>
        </w:rPr>
        <w:br/>
      </w:r>
      <w:hyperlink r:id="rId116" w:anchor="n2" w:tgtFrame="_blank" w:history="1">
        <w:r w:rsidRPr="008B264B">
          <w:rPr>
            <w:rFonts w:ascii="Times New Roman" w:eastAsia="Times New Roman" w:hAnsi="Times New Roman" w:cs="Times New Roman"/>
            <w:color w:val="0000FF"/>
            <w:sz w:val="24"/>
            <w:szCs w:val="24"/>
            <w:u w:val="single"/>
            <w:lang/>
          </w:rPr>
          <w:t>№ 1910-VIII від 23.02.2017</w:t>
        </w:r>
      </w:hyperlink>
      <w:r w:rsidRPr="008B264B">
        <w:rPr>
          <w:rFonts w:ascii="Times New Roman" w:eastAsia="Times New Roman" w:hAnsi="Times New Roman" w:cs="Times New Roman"/>
          <w:color w:val="000000"/>
          <w:sz w:val="24"/>
          <w:szCs w:val="24"/>
          <w:lang/>
        </w:rPr>
        <w:t>, ВВР, 2017, № 14, ст.158</w:t>
      </w:r>
      <w:r w:rsidRPr="008B264B">
        <w:rPr>
          <w:rFonts w:ascii="Times New Roman" w:eastAsia="Times New Roman" w:hAnsi="Times New Roman" w:cs="Times New Roman"/>
          <w:color w:val="000000"/>
          <w:sz w:val="24"/>
          <w:szCs w:val="24"/>
          <w:lang/>
        </w:rPr>
        <w:br/>
      </w:r>
      <w:hyperlink r:id="rId117" w:anchor="n2" w:tgtFrame="_blank" w:history="1">
        <w:r w:rsidRPr="008B264B">
          <w:rPr>
            <w:rFonts w:ascii="Times New Roman" w:eastAsia="Times New Roman" w:hAnsi="Times New Roman" w:cs="Times New Roman"/>
            <w:color w:val="0000FF"/>
            <w:sz w:val="24"/>
            <w:szCs w:val="24"/>
            <w:u w:val="single"/>
            <w:lang/>
          </w:rPr>
          <w:t>№ 1988-VIII від 23.03.2017</w:t>
        </w:r>
      </w:hyperlink>
      <w:r w:rsidRPr="008B264B">
        <w:rPr>
          <w:rFonts w:ascii="Times New Roman" w:eastAsia="Times New Roman" w:hAnsi="Times New Roman" w:cs="Times New Roman"/>
          <w:color w:val="000000"/>
          <w:sz w:val="24"/>
          <w:szCs w:val="24"/>
          <w:lang/>
        </w:rPr>
        <w:t>, ВВР, 2017, № 17, ст.214</w:t>
      </w:r>
      <w:r w:rsidRPr="008B264B">
        <w:rPr>
          <w:rFonts w:ascii="Times New Roman" w:eastAsia="Times New Roman" w:hAnsi="Times New Roman" w:cs="Times New Roman"/>
          <w:color w:val="000000"/>
          <w:sz w:val="24"/>
          <w:szCs w:val="24"/>
          <w:lang/>
        </w:rPr>
        <w:br/>
      </w:r>
      <w:hyperlink r:id="rId118" w:anchor="n2" w:tgtFrame="_blank" w:history="1">
        <w:r w:rsidRPr="008B264B">
          <w:rPr>
            <w:rFonts w:ascii="Times New Roman" w:eastAsia="Times New Roman" w:hAnsi="Times New Roman" w:cs="Times New Roman"/>
            <w:color w:val="0000FF"/>
            <w:sz w:val="24"/>
            <w:szCs w:val="24"/>
            <w:u w:val="single"/>
            <w:lang/>
          </w:rPr>
          <w:t>№ 1989-VIII від 23.03.2017</w:t>
        </w:r>
      </w:hyperlink>
      <w:r w:rsidRPr="008B264B">
        <w:rPr>
          <w:rFonts w:ascii="Times New Roman" w:eastAsia="Times New Roman" w:hAnsi="Times New Roman" w:cs="Times New Roman"/>
          <w:color w:val="000000"/>
          <w:sz w:val="24"/>
          <w:szCs w:val="24"/>
          <w:lang/>
        </w:rPr>
        <w:t>, ВВР, 2017, № 17, ст.215</w:t>
      </w:r>
      <w:r w:rsidRPr="008B264B">
        <w:rPr>
          <w:rFonts w:ascii="Times New Roman" w:eastAsia="Times New Roman" w:hAnsi="Times New Roman" w:cs="Times New Roman"/>
          <w:color w:val="000000"/>
          <w:sz w:val="24"/>
          <w:szCs w:val="24"/>
          <w:lang/>
        </w:rPr>
        <w:br/>
      </w:r>
      <w:hyperlink r:id="rId119" w:anchor="n2" w:tgtFrame="_blank" w:history="1">
        <w:r w:rsidRPr="008B264B">
          <w:rPr>
            <w:rFonts w:ascii="Times New Roman" w:eastAsia="Times New Roman" w:hAnsi="Times New Roman" w:cs="Times New Roman"/>
            <w:color w:val="0000FF"/>
            <w:sz w:val="24"/>
            <w:szCs w:val="24"/>
            <w:u w:val="single"/>
            <w:lang/>
          </w:rPr>
          <w:t>№ 2143-VIII від 13.07.2017</w:t>
        </w:r>
      </w:hyperlink>
      <w:r w:rsidRPr="008B264B">
        <w:rPr>
          <w:rFonts w:ascii="Times New Roman" w:eastAsia="Times New Roman" w:hAnsi="Times New Roman" w:cs="Times New Roman"/>
          <w:color w:val="000000"/>
          <w:sz w:val="24"/>
          <w:szCs w:val="24"/>
          <w:lang/>
        </w:rPr>
        <w:t>, ВВР, 2017, № 33, ст.362</w:t>
      </w:r>
      <w:r w:rsidRPr="008B264B">
        <w:rPr>
          <w:rFonts w:ascii="Times New Roman" w:eastAsia="Times New Roman" w:hAnsi="Times New Roman" w:cs="Times New Roman"/>
          <w:color w:val="000000"/>
          <w:sz w:val="24"/>
          <w:szCs w:val="24"/>
          <w:lang/>
        </w:rPr>
        <w:br/>
      </w:r>
      <w:hyperlink r:id="rId120" w:anchor="n2" w:tgtFrame="_blank" w:history="1">
        <w:r w:rsidRPr="008B264B">
          <w:rPr>
            <w:rFonts w:ascii="Times New Roman" w:eastAsia="Times New Roman" w:hAnsi="Times New Roman" w:cs="Times New Roman"/>
            <w:color w:val="0000FF"/>
            <w:sz w:val="24"/>
            <w:szCs w:val="24"/>
            <w:u w:val="single"/>
            <w:lang/>
          </w:rPr>
          <w:t>№ 2146-VIII від 07.09.2017</w:t>
        </w:r>
      </w:hyperlink>
      <w:r w:rsidRPr="008B264B">
        <w:rPr>
          <w:rFonts w:ascii="Times New Roman" w:eastAsia="Times New Roman" w:hAnsi="Times New Roman" w:cs="Times New Roman"/>
          <w:color w:val="000000"/>
          <w:sz w:val="24"/>
          <w:szCs w:val="24"/>
          <w:lang/>
        </w:rPr>
        <w:t>, ВВР, 2017, № 38-39, ст.381</w:t>
      </w:r>
      <w:r w:rsidRPr="008B264B">
        <w:rPr>
          <w:rFonts w:ascii="Times New Roman" w:eastAsia="Times New Roman" w:hAnsi="Times New Roman" w:cs="Times New Roman"/>
          <w:color w:val="000000"/>
          <w:sz w:val="24"/>
          <w:szCs w:val="24"/>
          <w:lang/>
        </w:rPr>
        <w:br/>
      </w:r>
      <w:hyperlink r:id="rId121" w:anchor="n2" w:tgtFrame="_blank" w:history="1">
        <w:r w:rsidRPr="008B264B">
          <w:rPr>
            <w:rFonts w:ascii="Times New Roman" w:eastAsia="Times New Roman" w:hAnsi="Times New Roman" w:cs="Times New Roman"/>
            <w:color w:val="0000FF"/>
            <w:sz w:val="24"/>
            <w:szCs w:val="24"/>
            <w:u w:val="single"/>
            <w:lang/>
          </w:rPr>
          <w:t>№ 2176-VIII від 07.11.2017</w:t>
        </w:r>
      </w:hyperlink>
      <w:r w:rsidRPr="008B264B">
        <w:rPr>
          <w:rFonts w:ascii="Times New Roman" w:eastAsia="Times New Roman" w:hAnsi="Times New Roman" w:cs="Times New Roman"/>
          <w:color w:val="000000"/>
          <w:sz w:val="24"/>
          <w:szCs w:val="24"/>
          <w:lang/>
        </w:rPr>
        <w:t>, ВВР, 2017, № 49-50, ст.437</w:t>
      </w:r>
      <w:r w:rsidRPr="008B264B">
        <w:rPr>
          <w:rFonts w:ascii="Times New Roman" w:eastAsia="Times New Roman" w:hAnsi="Times New Roman" w:cs="Times New Roman"/>
          <w:color w:val="000000"/>
          <w:sz w:val="24"/>
          <w:szCs w:val="24"/>
          <w:lang/>
        </w:rPr>
        <w:br/>
      </w:r>
      <w:hyperlink r:id="rId122" w:anchor="n2" w:tgtFrame="_blank" w:history="1">
        <w:r w:rsidRPr="008B264B">
          <w:rPr>
            <w:rFonts w:ascii="Times New Roman" w:eastAsia="Times New Roman" w:hAnsi="Times New Roman" w:cs="Times New Roman"/>
            <w:color w:val="0000FF"/>
            <w:sz w:val="24"/>
            <w:szCs w:val="24"/>
            <w:u w:val="single"/>
            <w:lang/>
          </w:rPr>
          <w:t>№ 2198-VIII від 09.11.2017</w:t>
        </w:r>
      </w:hyperlink>
      <w:r w:rsidRPr="008B264B">
        <w:rPr>
          <w:rFonts w:ascii="Times New Roman" w:eastAsia="Times New Roman" w:hAnsi="Times New Roman" w:cs="Times New Roman"/>
          <w:color w:val="000000"/>
          <w:sz w:val="24"/>
          <w:szCs w:val="24"/>
          <w:lang/>
        </w:rPr>
        <w:t>, ВВР, 2017, № 49-50, ст.442</w:t>
      </w:r>
      <w:r w:rsidRPr="008B264B">
        <w:rPr>
          <w:rFonts w:ascii="Times New Roman" w:eastAsia="Times New Roman" w:hAnsi="Times New Roman" w:cs="Times New Roman"/>
          <w:color w:val="000000"/>
          <w:sz w:val="24"/>
          <w:szCs w:val="24"/>
          <w:lang/>
        </w:rPr>
        <w:br/>
      </w:r>
      <w:hyperlink r:id="rId123" w:anchor="n2" w:tgtFrame="_blank" w:history="1">
        <w:r w:rsidRPr="008B264B">
          <w:rPr>
            <w:rFonts w:ascii="Times New Roman" w:eastAsia="Times New Roman" w:hAnsi="Times New Roman" w:cs="Times New Roman"/>
            <w:color w:val="0000FF"/>
            <w:sz w:val="24"/>
            <w:szCs w:val="24"/>
            <w:u w:val="single"/>
            <w:lang/>
          </w:rPr>
          <w:t>№ 2245-VIII від 07.12.2017</w:t>
        </w:r>
      </w:hyperlink>
      <w:r w:rsidRPr="008B264B">
        <w:rPr>
          <w:rFonts w:ascii="Times New Roman" w:eastAsia="Times New Roman" w:hAnsi="Times New Roman" w:cs="Times New Roman"/>
          <w:color w:val="000000"/>
          <w:sz w:val="24"/>
          <w:szCs w:val="24"/>
          <w:lang/>
        </w:rPr>
        <w:t>, ВВР, 2018, № 8, ст.46}</w:t>
      </w:r>
    </w:p>
    <w:p w14:paraId="042B273F" w14:textId="77777777" w:rsidR="008B264B" w:rsidRPr="008B264B" w:rsidRDefault="008B264B" w:rsidP="008B264B">
      <w:pPr>
        <w:spacing w:before="150" w:after="300" w:line="240" w:lineRule="auto"/>
        <w:ind w:left="450" w:right="450"/>
        <w:rPr>
          <w:rFonts w:ascii="Times New Roman" w:eastAsia="Times New Roman" w:hAnsi="Times New Roman" w:cs="Times New Roman"/>
          <w:color w:val="000000"/>
          <w:sz w:val="24"/>
          <w:szCs w:val="24"/>
          <w:lang/>
        </w:rPr>
      </w:pPr>
      <w:bookmarkStart w:id="7" w:name="n15105"/>
      <w:bookmarkEnd w:id="7"/>
      <w:r w:rsidRPr="008B264B">
        <w:rPr>
          <w:rFonts w:ascii="Times New Roman" w:eastAsia="Times New Roman" w:hAnsi="Times New Roman" w:cs="Times New Roman"/>
          <w:color w:val="000000"/>
          <w:sz w:val="24"/>
          <w:szCs w:val="24"/>
          <w:lang/>
        </w:rPr>
        <w:t>{Щодо визнання неконституційними окремих положень див. Рішення Конституційного Суду</w:t>
      </w:r>
      <w:r w:rsidRPr="008B264B">
        <w:rPr>
          <w:rFonts w:ascii="Times New Roman" w:eastAsia="Times New Roman" w:hAnsi="Times New Roman" w:cs="Times New Roman"/>
          <w:color w:val="000000"/>
          <w:sz w:val="24"/>
          <w:szCs w:val="24"/>
          <w:lang/>
        </w:rPr>
        <w:br/>
      </w:r>
      <w:hyperlink r:id="rId124" w:anchor="n2" w:tgtFrame="_blank" w:history="1">
        <w:r w:rsidRPr="008B264B">
          <w:rPr>
            <w:rFonts w:ascii="Times New Roman" w:eastAsia="Times New Roman" w:hAnsi="Times New Roman" w:cs="Times New Roman"/>
            <w:color w:val="0000FF"/>
            <w:sz w:val="24"/>
            <w:szCs w:val="24"/>
            <w:u w:val="single"/>
            <w:lang/>
          </w:rPr>
          <w:t>№ 1-р/2018 від 27.02.2018</w:t>
        </w:r>
      </w:hyperlink>
      <w:r w:rsidRPr="008B264B">
        <w:rPr>
          <w:rFonts w:ascii="Times New Roman" w:eastAsia="Times New Roman" w:hAnsi="Times New Roman" w:cs="Times New Roman"/>
          <w:color w:val="000000"/>
          <w:sz w:val="24"/>
          <w:szCs w:val="24"/>
          <w:lang/>
        </w:rPr>
        <w:t>}</w:t>
      </w:r>
    </w:p>
    <w:p w14:paraId="068D4EC4" w14:textId="77777777" w:rsidR="008B264B" w:rsidRPr="008B264B" w:rsidRDefault="008B264B" w:rsidP="008B264B">
      <w:pPr>
        <w:spacing w:before="150" w:after="300" w:line="240" w:lineRule="auto"/>
        <w:ind w:left="450" w:right="450"/>
        <w:rPr>
          <w:rFonts w:ascii="Times New Roman" w:eastAsia="Times New Roman" w:hAnsi="Times New Roman" w:cs="Times New Roman"/>
          <w:color w:val="000000"/>
          <w:sz w:val="24"/>
          <w:szCs w:val="24"/>
          <w:lang/>
        </w:rPr>
      </w:pPr>
      <w:bookmarkStart w:id="8" w:name="n15811"/>
      <w:bookmarkEnd w:id="8"/>
      <w:r w:rsidRPr="008B264B">
        <w:rPr>
          <w:rFonts w:ascii="Times New Roman" w:eastAsia="Times New Roman" w:hAnsi="Times New Roman" w:cs="Times New Roman"/>
          <w:color w:val="000000"/>
          <w:sz w:val="24"/>
          <w:szCs w:val="24"/>
          <w:lang/>
        </w:rPr>
        <w:t>{Із змінами, внесеними згідно із Законами</w:t>
      </w:r>
      <w:r w:rsidRPr="008B264B">
        <w:rPr>
          <w:rFonts w:ascii="Times New Roman" w:eastAsia="Times New Roman" w:hAnsi="Times New Roman" w:cs="Times New Roman"/>
          <w:color w:val="000000"/>
          <w:sz w:val="24"/>
          <w:szCs w:val="24"/>
          <w:lang/>
        </w:rPr>
        <w:br/>
      </w:r>
      <w:hyperlink r:id="rId125" w:anchor="n2" w:tgtFrame="_blank" w:history="1">
        <w:r w:rsidRPr="008B264B">
          <w:rPr>
            <w:rFonts w:ascii="Times New Roman" w:eastAsia="Times New Roman" w:hAnsi="Times New Roman" w:cs="Times New Roman"/>
            <w:color w:val="0000FF"/>
            <w:sz w:val="24"/>
            <w:szCs w:val="24"/>
            <w:u w:val="single"/>
            <w:lang/>
          </w:rPr>
          <w:t>№ 2374-VIII від 22.03.2018</w:t>
        </w:r>
      </w:hyperlink>
      <w:r w:rsidRPr="008B264B">
        <w:rPr>
          <w:rFonts w:ascii="Times New Roman" w:eastAsia="Times New Roman" w:hAnsi="Times New Roman" w:cs="Times New Roman"/>
          <w:color w:val="000000"/>
          <w:sz w:val="24"/>
          <w:szCs w:val="24"/>
          <w:lang/>
        </w:rPr>
        <w:t>, ВВР, 2018, № 17, ст.157</w:t>
      </w:r>
      <w:r w:rsidRPr="008B264B">
        <w:rPr>
          <w:rFonts w:ascii="Times New Roman" w:eastAsia="Times New Roman" w:hAnsi="Times New Roman" w:cs="Times New Roman"/>
          <w:color w:val="000000"/>
          <w:sz w:val="24"/>
          <w:szCs w:val="24"/>
          <w:lang/>
        </w:rPr>
        <w:br/>
      </w:r>
      <w:hyperlink r:id="rId126" w:anchor="n2" w:tgtFrame="_blank" w:history="1">
        <w:r w:rsidRPr="008B264B">
          <w:rPr>
            <w:rFonts w:ascii="Times New Roman" w:eastAsia="Times New Roman" w:hAnsi="Times New Roman" w:cs="Times New Roman"/>
            <w:color w:val="0000FF"/>
            <w:sz w:val="24"/>
            <w:szCs w:val="24"/>
            <w:u w:val="single"/>
            <w:lang/>
          </w:rPr>
          <w:t>№ 2440-VIII від 22.05.2018</w:t>
        </w:r>
      </w:hyperlink>
      <w:r w:rsidRPr="008B264B">
        <w:rPr>
          <w:rFonts w:ascii="Times New Roman" w:eastAsia="Times New Roman" w:hAnsi="Times New Roman" w:cs="Times New Roman"/>
          <w:color w:val="000000"/>
          <w:sz w:val="24"/>
          <w:szCs w:val="24"/>
          <w:lang/>
        </w:rPr>
        <w:t>, ВВР, 2018, № 39, ст.284</w:t>
      </w:r>
      <w:r w:rsidRPr="008B264B">
        <w:rPr>
          <w:rFonts w:ascii="Times New Roman" w:eastAsia="Times New Roman" w:hAnsi="Times New Roman" w:cs="Times New Roman"/>
          <w:color w:val="000000"/>
          <w:sz w:val="24"/>
          <w:szCs w:val="24"/>
          <w:lang/>
        </w:rPr>
        <w:br/>
      </w:r>
      <w:hyperlink r:id="rId127" w:anchor="n2" w:tgtFrame="_blank" w:history="1">
        <w:r w:rsidRPr="008B264B">
          <w:rPr>
            <w:rFonts w:ascii="Times New Roman" w:eastAsia="Times New Roman" w:hAnsi="Times New Roman" w:cs="Times New Roman"/>
            <w:color w:val="0000FF"/>
            <w:sz w:val="24"/>
            <w:szCs w:val="24"/>
            <w:u w:val="single"/>
            <w:lang/>
          </w:rPr>
          <w:t>№ 2463-VIII від 19.06.2018</w:t>
        </w:r>
      </w:hyperlink>
      <w:r w:rsidRPr="008B264B">
        <w:rPr>
          <w:rFonts w:ascii="Times New Roman" w:eastAsia="Times New Roman" w:hAnsi="Times New Roman" w:cs="Times New Roman"/>
          <w:color w:val="000000"/>
          <w:sz w:val="24"/>
          <w:szCs w:val="24"/>
          <w:lang/>
        </w:rPr>
        <w:t>, ВВР, 2018, № 29, ст.235</w:t>
      </w:r>
      <w:r w:rsidRPr="008B264B">
        <w:rPr>
          <w:rFonts w:ascii="Times New Roman" w:eastAsia="Times New Roman" w:hAnsi="Times New Roman" w:cs="Times New Roman"/>
          <w:color w:val="000000"/>
          <w:sz w:val="24"/>
          <w:szCs w:val="24"/>
          <w:lang/>
        </w:rPr>
        <w:br/>
      </w:r>
      <w:hyperlink r:id="rId128" w:anchor="n2" w:tgtFrame="_blank" w:history="1">
        <w:r w:rsidRPr="008B264B">
          <w:rPr>
            <w:rFonts w:ascii="Times New Roman" w:eastAsia="Times New Roman" w:hAnsi="Times New Roman" w:cs="Times New Roman"/>
            <w:color w:val="0000FF"/>
            <w:sz w:val="24"/>
            <w:szCs w:val="24"/>
            <w:u w:val="single"/>
            <w:lang/>
          </w:rPr>
          <w:t>№ 2477-VIII від 03.07.2018</w:t>
        </w:r>
      </w:hyperlink>
      <w:r w:rsidRPr="008B264B">
        <w:rPr>
          <w:rFonts w:ascii="Times New Roman" w:eastAsia="Times New Roman" w:hAnsi="Times New Roman" w:cs="Times New Roman"/>
          <w:color w:val="000000"/>
          <w:sz w:val="24"/>
          <w:szCs w:val="24"/>
          <w:lang/>
        </w:rPr>
        <w:t>, ВВР, 2018, № 36, ст.273</w:t>
      </w:r>
      <w:r w:rsidRPr="008B264B">
        <w:rPr>
          <w:rFonts w:ascii="Times New Roman" w:eastAsia="Times New Roman" w:hAnsi="Times New Roman" w:cs="Times New Roman"/>
          <w:color w:val="000000"/>
          <w:sz w:val="24"/>
          <w:szCs w:val="24"/>
          <w:lang/>
        </w:rPr>
        <w:br/>
      </w:r>
      <w:hyperlink r:id="rId129" w:anchor="n5" w:tgtFrame="_blank" w:history="1">
        <w:r w:rsidRPr="008B264B">
          <w:rPr>
            <w:rFonts w:ascii="Times New Roman" w:eastAsia="Times New Roman" w:hAnsi="Times New Roman" w:cs="Times New Roman"/>
            <w:color w:val="0000FF"/>
            <w:sz w:val="24"/>
            <w:szCs w:val="24"/>
            <w:u w:val="single"/>
            <w:lang/>
          </w:rPr>
          <w:t>№ 2497-VIII від 10.07.2018</w:t>
        </w:r>
      </w:hyperlink>
      <w:r w:rsidRPr="008B264B">
        <w:rPr>
          <w:rFonts w:ascii="Times New Roman" w:eastAsia="Times New Roman" w:hAnsi="Times New Roman" w:cs="Times New Roman"/>
          <w:color w:val="000000"/>
          <w:sz w:val="24"/>
          <w:szCs w:val="24"/>
          <w:lang/>
        </w:rPr>
        <w:t>, ВВР, 2018, № 37, ст.276</w:t>
      </w:r>
      <w:r w:rsidRPr="008B264B">
        <w:rPr>
          <w:rFonts w:ascii="Times New Roman" w:eastAsia="Times New Roman" w:hAnsi="Times New Roman" w:cs="Times New Roman"/>
          <w:color w:val="000000"/>
          <w:sz w:val="24"/>
          <w:szCs w:val="24"/>
          <w:lang/>
        </w:rPr>
        <w:br/>
      </w:r>
      <w:hyperlink r:id="rId130" w:anchor="n228" w:tgtFrame="_blank" w:history="1">
        <w:r w:rsidRPr="008B264B">
          <w:rPr>
            <w:rFonts w:ascii="Times New Roman" w:eastAsia="Times New Roman" w:hAnsi="Times New Roman" w:cs="Times New Roman"/>
            <w:color w:val="0000FF"/>
            <w:sz w:val="24"/>
            <w:szCs w:val="24"/>
            <w:u w:val="single"/>
            <w:lang/>
          </w:rPr>
          <w:t>№ 2530-VIII від 06.09.2018</w:t>
        </w:r>
      </w:hyperlink>
      <w:r w:rsidRPr="008B264B">
        <w:rPr>
          <w:rFonts w:ascii="Times New Roman" w:eastAsia="Times New Roman" w:hAnsi="Times New Roman" w:cs="Times New Roman"/>
          <w:color w:val="000000"/>
          <w:sz w:val="24"/>
          <w:szCs w:val="24"/>
          <w:lang/>
        </w:rPr>
        <w:t>, ВВР, 2018, № 41, ст.320</w:t>
      </w:r>
      <w:r w:rsidRPr="008B264B">
        <w:rPr>
          <w:rFonts w:ascii="Times New Roman" w:eastAsia="Times New Roman" w:hAnsi="Times New Roman" w:cs="Times New Roman"/>
          <w:color w:val="000000"/>
          <w:sz w:val="24"/>
          <w:szCs w:val="24"/>
          <w:lang/>
        </w:rPr>
        <w:br/>
      </w:r>
      <w:hyperlink r:id="rId131" w:anchor="n2" w:tgtFrame="_blank" w:history="1">
        <w:r w:rsidRPr="008B264B">
          <w:rPr>
            <w:rFonts w:ascii="Times New Roman" w:eastAsia="Times New Roman" w:hAnsi="Times New Roman" w:cs="Times New Roman"/>
            <w:color w:val="0000FF"/>
            <w:sz w:val="24"/>
            <w:szCs w:val="24"/>
            <w:u w:val="single"/>
            <w:lang/>
          </w:rPr>
          <w:t>№ 2611-VIII від 08.11.2018</w:t>
        </w:r>
      </w:hyperlink>
      <w:r w:rsidRPr="008B264B">
        <w:rPr>
          <w:rFonts w:ascii="Times New Roman" w:eastAsia="Times New Roman" w:hAnsi="Times New Roman" w:cs="Times New Roman"/>
          <w:color w:val="000000"/>
          <w:sz w:val="24"/>
          <w:szCs w:val="24"/>
          <w:lang/>
        </w:rPr>
        <w:t>, ВВР, 2018, № 41, ст.320</w:t>
      </w:r>
      <w:r w:rsidRPr="008B264B">
        <w:rPr>
          <w:rFonts w:ascii="Times New Roman" w:eastAsia="Times New Roman" w:hAnsi="Times New Roman" w:cs="Times New Roman"/>
          <w:color w:val="000000"/>
          <w:sz w:val="24"/>
          <w:szCs w:val="24"/>
          <w:lang/>
        </w:rPr>
        <w:br/>
      </w:r>
      <w:hyperlink r:id="rId132" w:anchor="n5" w:tgtFrame="_blank" w:history="1">
        <w:r w:rsidRPr="008B264B">
          <w:rPr>
            <w:rFonts w:ascii="Times New Roman" w:eastAsia="Times New Roman" w:hAnsi="Times New Roman" w:cs="Times New Roman"/>
            <w:color w:val="0000FF"/>
            <w:sz w:val="24"/>
            <w:szCs w:val="24"/>
            <w:u w:val="single"/>
            <w:lang/>
          </w:rPr>
          <w:t>№ 2628-VIII від 23.11.2018</w:t>
        </w:r>
      </w:hyperlink>
      <w:r w:rsidRPr="008B264B">
        <w:rPr>
          <w:rFonts w:ascii="Times New Roman" w:eastAsia="Times New Roman" w:hAnsi="Times New Roman" w:cs="Times New Roman"/>
          <w:color w:val="000000"/>
          <w:sz w:val="24"/>
          <w:szCs w:val="24"/>
          <w:lang/>
        </w:rPr>
        <w:t>, ВВР, 2018, № 49, ст.399</w:t>
      </w:r>
      <w:r w:rsidRPr="008B264B">
        <w:rPr>
          <w:rFonts w:ascii="Times New Roman" w:eastAsia="Times New Roman" w:hAnsi="Times New Roman" w:cs="Times New Roman"/>
          <w:color w:val="000000"/>
          <w:sz w:val="24"/>
          <w:szCs w:val="24"/>
          <w:lang/>
        </w:rPr>
        <w:br/>
      </w:r>
      <w:hyperlink r:id="rId133" w:anchor="n2" w:tgtFrame="_blank" w:history="1">
        <w:r w:rsidRPr="008B264B">
          <w:rPr>
            <w:rFonts w:ascii="Times New Roman" w:eastAsia="Times New Roman" w:hAnsi="Times New Roman" w:cs="Times New Roman"/>
            <w:color w:val="0000FF"/>
            <w:sz w:val="24"/>
            <w:szCs w:val="24"/>
            <w:u w:val="single"/>
            <w:lang/>
          </w:rPr>
          <w:t>№ 2725-VIII від 16.05.2019</w:t>
        </w:r>
      </w:hyperlink>
      <w:r w:rsidRPr="008B264B">
        <w:rPr>
          <w:rFonts w:ascii="Times New Roman" w:eastAsia="Times New Roman" w:hAnsi="Times New Roman" w:cs="Times New Roman"/>
          <w:color w:val="000000"/>
          <w:sz w:val="24"/>
          <w:szCs w:val="24"/>
          <w:lang/>
        </w:rPr>
        <w:t>, ВВР, 2019, № 22, ст.85</w:t>
      </w:r>
      <w:r w:rsidRPr="008B264B">
        <w:rPr>
          <w:rFonts w:ascii="Times New Roman" w:eastAsia="Times New Roman" w:hAnsi="Times New Roman" w:cs="Times New Roman"/>
          <w:color w:val="000000"/>
          <w:sz w:val="24"/>
          <w:szCs w:val="24"/>
          <w:lang/>
        </w:rPr>
        <w:br/>
      </w:r>
      <w:hyperlink r:id="rId134" w:anchor="n2" w:tgtFrame="_blank" w:history="1">
        <w:r w:rsidRPr="008B264B">
          <w:rPr>
            <w:rFonts w:ascii="Times New Roman" w:eastAsia="Times New Roman" w:hAnsi="Times New Roman" w:cs="Times New Roman"/>
            <w:color w:val="0000FF"/>
            <w:sz w:val="24"/>
            <w:szCs w:val="24"/>
            <w:u w:val="single"/>
            <w:lang/>
          </w:rPr>
          <w:t>№ 129-IX від 20.09.2019</w:t>
        </w:r>
      </w:hyperlink>
      <w:r w:rsidRPr="008B264B">
        <w:rPr>
          <w:rFonts w:ascii="Times New Roman" w:eastAsia="Times New Roman" w:hAnsi="Times New Roman" w:cs="Times New Roman"/>
          <w:color w:val="000000"/>
          <w:sz w:val="24"/>
          <w:szCs w:val="24"/>
          <w:lang/>
        </w:rPr>
        <w:t>, ВВР, 2019, № 46, ст.297</w:t>
      </w:r>
      <w:r w:rsidRPr="008B264B">
        <w:rPr>
          <w:rFonts w:ascii="Times New Roman" w:eastAsia="Times New Roman" w:hAnsi="Times New Roman" w:cs="Times New Roman"/>
          <w:color w:val="000000"/>
          <w:sz w:val="24"/>
          <w:szCs w:val="24"/>
          <w:lang/>
        </w:rPr>
        <w:br/>
      </w:r>
      <w:hyperlink r:id="rId135" w:anchor="n2" w:tgtFrame="_blank" w:history="1">
        <w:r w:rsidRPr="008B264B">
          <w:rPr>
            <w:rFonts w:ascii="Times New Roman" w:eastAsia="Times New Roman" w:hAnsi="Times New Roman" w:cs="Times New Roman"/>
            <w:color w:val="0000FF"/>
            <w:sz w:val="24"/>
            <w:szCs w:val="24"/>
            <w:u w:val="single"/>
            <w:lang/>
          </w:rPr>
          <w:t>№ 314-IX від 03.12.2019</w:t>
        </w:r>
      </w:hyperlink>
      <w:r w:rsidRPr="008B264B">
        <w:rPr>
          <w:rFonts w:ascii="Times New Roman" w:eastAsia="Times New Roman" w:hAnsi="Times New Roman" w:cs="Times New Roman"/>
          <w:color w:val="000000"/>
          <w:sz w:val="24"/>
          <w:szCs w:val="24"/>
          <w:lang/>
        </w:rPr>
        <w:br/>
      </w:r>
      <w:hyperlink r:id="rId136" w:anchor="n2" w:tgtFrame="_blank" w:history="1">
        <w:r w:rsidRPr="008B264B">
          <w:rPr>
            <w:rFonts w:ascii="Times New Roman" w:eastAsia="Times New Roman" w:hAnsi="Times New Roman" w:cs="Times New Roman"/>
            <w:color w:val="0000FF"/>
            <w:sz w:val="24"/>
            <w:szCs w:val="24"/>
            <w:u w:val="single"/>
            <w:lang/>
          </w:rPr>
          <w:t>№ 323-IX від 03.12.2019</w:t>
        </w:r>
      </w:hyperlink>
      <w:r w:rsidRPr="008B264B">
        <w:rPr>
          <w:rFonts w:ascii="Times New Roman" w:eastAsia="Times New Roman" w:hAnsi="Times New Roman" w:cs="Times New Roman"/>
          <w:color w:val="000000"/>
          <w:sz w:val="24"/>
          <w:szCs w:val="24"/>
          <w:lang/>
        </w:rPr>
        <w:br/>
      </w:r>
      <w:hyperlink r:id="rId137" w:anchor="n2" w:tgtFrame="_blank" w:history="1">
        <w:r w:rsidRPr="008B264B">
          <w:rPr>
            <w:rFonts w:ascii="Times New Roman" w:eastAsia="Times New Roman" w:hAnsi="Times New Roman" w:cs="Times New Roman"/>
            <w:color w:val="0000FF"/>
            <w:sz w:val="24"/>
            <w:szCs w:val="24"/>
            <w:u w:val="single"/>
            <w:lang/>
          </w:rPr>
          <w:t>№ 344-IX від 05.12.2019</w:t>
        </w:r>
      </w:hyperlink>
      <w:r w:rsidRPr="008B264B">
        <w:rPr>
          <w:rFonts w:ascii="Times New Roman" w:eastAsia="Times New Roman" w:hAnsi="Times New Roman" w:cs="Times New Roman"/>
          <w:color w:val="000000"/>
          <w:sz w:val="24"/>
          <w:szCs w:val="24"/>
          <w:lang/>
        </w:rPr>
        <w:br/>
      </w:r>
      <w:hyperlink r:id="rId138" w:anchor="n2" w:tgtFrame="_blank" w:history="1">
        <w:r w:rsidRPr="008B264B">
          <w:rPr>
            <w:rFonts w:ascii="Times New Roman" w:eastAsia="Times New Roman" w:hAnsi="Times New Roman" w:cs="Times New Roman"/>
            <w:color w:val="0000FF"/>
            <w:sz w:val="24"/>
            <w:szCs w:val="24"/>
            <w:u w:val="single"/>
            <w:lang/>
          </w:rPr>
          <w:t>№ 354-IX від 05.12.2019</w:t>
        </w:r>
      </w:hyperlink>
      <w:r w:rsidRPr="008B264B">
        <w:rPr>
          <w:rFonts w:ascii="Times New Roman" w:eastAsia="Times New Roman" w:hAnsi="Times New Roman" w:cs="Times New Roman"/>
          <w:color w:val="000000"/>
          <w:sz w:val="24"/>
          <w:szCs w:val="24"/>
          <w:lang/>
        </w:rPr>
        <w:br/>
      </w:r>
      <w:hyperlink r:id="rId139" w:anchor="n5" w:tgtFrame="_blank" w:history="1">
        <w:r w:rsidRPr="008B264B">
          <w:rPr>
            <w:rFonts w:ascii="Times New Roman" w:eastAsia="Times New Roman" w:hAnsi="Times New Roman" w:cs="Times New Roman"/>
            <w:color w:val="0000FF"/>
            <w:sz w:val="24"/>
            <w:szCs w:val="24"/>
            <w:u w:val="single"/>
            <w:lang/>
          </w:rPr>
          <w:t>№ 391-IX від 18.12.2019</w:t>
        </w:r>
      </w:hyperlink>
      <w:r w:rsidRPr="008B264B">
        <w:rPr>
          <w:rFonts w:ascii="Times New Roman" w:eastAsia="Times New Roman" w:hAnsi="Times New Roman" w:cs="Times New Roman"/>
          <w:color w:val="000000"/>
          <w:sz w:val="24"/>
          <w:szCs w:val="24"/>
          <w:lang/>
        </w:rPr>
        <w:br/>
      </w:r>
      <w:hyperlink r:id="rId140" w:anchor="n2" w:tgtFrame="_blank" w:history="1">
        <w:r w:rsidRPr="008B264B">
          <w:rPr>
            <w:rFonts w:ascii="Times New Roman" w:eastAsia="Times New Roman" w:hAnsi="Times New Roman" w:cs="Times New Roman"/>
            <w:color w:val="0000FF"/>
            <w:sz w:val="24"/>
            <w:szCs w:val="24"/>
            <w:u w:val="single"/>
            <w:lang/>
          </w:rPr>
          <w:t>№ 425-IX від 20.12.2019</w:t>
        </w:r>
      </w:hyperlink>
      <w:r w:rsidRPr="008B264B">
        <w:rPr>
          <w:rFonts w:ascii="Times New Roman" w:eastAsia="Times New Roman" w:hAnsi="Times New Roman" w:cs="Times New Roman"/>
          <w:color w:val="000000"/>
          <w:sz w:val="24"/>
          <w:szCs w:val="24"/>
          <w:lang/>
        </w:rPr>
        <w:t>}</w:t>
      </w:r>
    </w:p>
    <w:p w14:paraId="761375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 w:name="n74"/>
      <w:bookmarkEnd w:id="9"/>
      <w:r w:rsidRPr="008B264B">
        <w:rPr>
          <w:rFonts w:ascii="Times New Roman" w:eastAsia="Times New Roman" w:hAnsi="Times New Roman" w:cs="Times New Roman"/>
          <w:i/>
          <w:iCs/>
          <w:color w:val="000000"/>
          <w:sz w:val="24"/>
          <w:szCs w:val="24"/>
          <w:lang/>
        </w:rPr>
        <w:t>{У тексті Кодексу:</w:t>
      </w:r>
    </w:p>
    <w:p w14:paraId="638F36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 w:name="n8890"/>
      <w:bookmarkEnd w:id="10"/>
      <w:r w:rsidRPr="008B264B">
        <w:rPr>
          <w:rFonts w:ascii="Times New Roman" w:eastAsia="Times New Roman" w:hAnsi="Times New Roman" w:cs="Times New Roman"/>
          <w:i/>
          <w:iCs/>
          <w:color w:val="000000"/>
          <w:sz w:val="24"/>
          <w:szCs w:val="24"/>
          <w:lang/>
        </w:rPr>
        <w:t>слова "центральний орган державної податкової служби", "центральний орган державної податкової служби України" в усіх відмінках замінено словами "центральний орган виконавчої влади, що забезпечує формування державної фінансової політики" у відповідному відмінку;</w:t>
      </w:r>
    </w:p>
    <w:p w14:paraId="0834EE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 w:name="n75"/>
      <w:bookmarkEnd w:id="11"/>
      <w:r w:rsidRPr="008B264B">
        <w:rPr>
          <w:rFonts w:ascii="Times New Roman" w:eastAsia="Times New Roman" w:hAnsi="Times New Roman" w:cs="Times New Roman"/>
          <w:i/>
          <w:iCs/>
          <w:color w:val="000000"/>
          <w:sz w:val="24"/>
          <w:szCs w:val="24"/>
          <w:lang/>
        </w:rPr>
        <w:lastRenderedPageBreak/>
        <w:t>слова "Міністерство фінансів України" в усіх відмінках замінено словами "центральний орган виконавчої влади, що забезпечує формування державної фінансової політики" у відповідному відмінку;</w:t>
      </w:r>
    </w:p>
    <w:p w14:paraId="71BCA9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 w:name="n76"/>
      <w:bookmarkEnd w:id="12"/>
      <w:r w:rsidRPr="008B264B">
        <w:rPr>
          <w:rFonts w:ascii="Times New Roman" w:eastAsia="Times New Roman" w:hAnsi="Times New Roman" w:cs="Times New Roman"/>
          <w:i/>
          <w:iCs/>
          <w:color w:val="000000"/>
          <w:sz w:val="24"/>
          <w:szCs w:val="24"/>
          <w:lang/>
        </w:rPr>
        <w:t>слова "орган Державного казначейства України", "орган Державного казначейства" в усіх відмінках і числах замінено словами "орган, що здійснює казначейське обслуговування бюджетних коштів" у відповідному відмінку та числі;</w:t>
      </w:r>
    </w:p>
    <w:p w14:paraId="6DC10C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 w:name="n77"/>
      <w:bookmarkEnd w:id="13"/>
      <w:r w:rsidRPr="008B264B">
        <w:rPr>
          <w:rFonts w:ascii="Times New Roman" w:eastAsia="Times New Roman" w:hAnsi="Times New Roman" w:cs="Times New Roman"/>
          <w:i/>
          <w:iCs/>
          <w:color w:val="000000"/>
          <w:sz w:val="24"/>
          <w:szCs w:val="24"/>
          <w:lang/>
        </w:rPr>
        <w:t>слова "орган державної митної служби" в усіх відмінках замінено словами "митний орган" у відповідному відмінку;</w:t>
      </w:r>
    </w:p>
    <w:p w14:paraId="2212A7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 w:name="n78"/>
      <w:bookmarkEnd w:id="14"/>
      <w:r w:rsidRPr="008B264B">
        <w:rPr>
          <w:rFonts w:ascii="Times New Roman" w:eastAsia="Times New Roman" w:hAnsi="Times New Roman" w:cs="Times New Roman"/>
          <w:i/>
          <w:iCs/>
          <w:color w:val="000000"/>
          <w:sz w:val="24"/>
          <w:szCs w:val="24"/>
          <w:lang/>
        </w:rPr>
        <w:t>слова "спеціально уповноважений центральний орган виконавчої влади в галузі митної справи" в усіх відмінках замінено словами "центральний орган виконавчої влади, що реалізує державну політику у сфері митної справи" у відповідному відмінку;</w:t>
      </w:r>
    </w:p>
    <w:p w14:paraId="40ABB2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 w:name="n79"/>
      <w:bookmarkEnd w:id="15"/>
      <w:r w:rsidRPr="008B264B">
        <w:rPr>
          <w:rFonts w:ascii="Times New Roman" w:eastAsia="Times New Roman" w:hAnsi="Times New Roman" w:cs="Times New Roman"/>
          <w:i/>
          <w:iCs/>
          <w:color w:val="000000"/>
          <w:sz w:val="24"/>
          <w:szCs w:val="24"/>
          <w:lang/>
        </w:rPr>
        <w:t>слова "центральний орган виконавчої влади, що забезпечує реалізацію державної економічної політики" в усіх відмінках замінено словами "центральний орган виконавчої влади, що забезпечує формування державної політики у сфері економічного розвитку" у відповідному відмінку;</w:t>
      </w:r>
    </w:p>
    <w:p w14:paraId="15FD84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 w:name="n80"/>
      <w:bookmarkEnd w:id="16"/>
      <w:r w:rsidRPr="008B264B">
        <w:rPr>
          <w:rFonts w:ascii="Times New Roman" w:eastAsia="Times New Roman" w:hAnsi="Times New Roman" w:cs="Times New Roman"/>
          <w:i/>
          <w:iCs/>
          <w:color w:val="000000"/>
          <w:sz w:val="24"/>
          <w:szCs w:val="24"/>
          <w:lang/>
        </w:rPr>
        <w:t>слова "центральний орган виконавчої влади з питань земельних ресурсів" у всіх відмінках і числах замінено словами "центральний орган виконавчої влади, що реалізує державну політику у сфері земельних відносин" у відповідному відмінку і числі згідно із Законом </w:t>
      </w:r>
      <w:hyperlink r:id="rId141" w:anchor="n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9C56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 w:name="n8886"/>
      <w:bookmarkEnd w:id="17"/>
      <w:r w:rsidRPr="008B264B">
        <w:rPr>
          <w:rFonts w:ascii="Times New Roman" w:eastAsia="Times New Roman" w:hAnsi="Times New Roman" w:cs="Times New Roman"/>
          <w:i/>
          <w:iCs/>
          <w:color w:val="000000"/>
          <w:sz w:val="24"/>
          <w:szCs w:val="24"/>
          <w:lang/>
        </w:rPr>
        <w:t>{У тексті Кодексу:</w:t>
      </w:r>
    </w:p>
    <w:p w14:paraId="64882B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 w:name="n8887"/>
      <w:bookmarkEnd w:id="18"/>
      <w:r w:rsidRPr="008B264B">
        <w:rPr>
          <w:rFonts w:ascii="Times New Roman" w:eastAsia="Times New Roman" w:hAnsi="Times New Roman" w:cs="Times New Roman"/>
          <w:i/>
          <w:iCs/>
          <w:color w:val="000000"/>
          <w:sz w:val="24"/>
          <w:szCs w:val="24"/>
          <w:lang/>
        </w:rPr>
        <w:t>слова "в органі державної податкової служби" в усіх відмінках і числах замінено словами "у контролюючому органі" у відповідному відмінку і числі, а слова "орган державної податкової служби, митний орган", "орган державної податкової служби", "орган податкової служби", "податковий орган", "державна податкова служба", "митний орган" в усіх відмінках і числах - словами "контролюючий орган" у відповідному відмінку і числі;</w:t>
      </w:r>
    </w:p>
    <w:p w14:paraId="56F6D8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 w:name="n8888"/>
      <w:bookmarkEnd w:id="19"/>
      <w:r w:rsidRPr="008B264B">
        <w:rPr>
          <w:rFonts w:ascii="Times New Roman" w:eastAsia="Times New Roman" w:hAnsi="Times New Roman" w:cs="Times New Roman"/>
          <w:i/>
          <w:iCs/>
          <w:color w:val="000000"/>
          <w:sz w:val="24"/>
          <w:szCs w:val="24"/>
          <w:lang/>
        </w:rPr>
        <w:t>слова "центральний орган виконавчої влади, що реалізує державну податкову політику, та центральний орган виконавчої влади, що реалізує державну політику у сфері митної справи", "центральний орган виконавчої влади, що реалізує державну податкову політику", "центральний орган виконавчої влади, що забезпечує формування державної фінансової політики", "центральний орган виконавчої влади, що реалізує державну політику у сфері митної справи" в усіх відмінках замінено словами "центральний орган виконавчої влади, що забезпечує формування та реалізує державну податкову і митну політику" у відповідному відмінку;</w:t>
      </w:r>
    </w:p>
    <w:p w14:paraId="56D5DF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 w:name="n8889"/>
      <w:bookmarkEnd w:id="20"/>
      <w:r w:rsidRPr="008B264B">
        <w:rPr>
          <w:rFonts w:ascii="Times New Roman" w:eastAsia="Times New Roman" w:hAnsi="Times New Roman" w:cs="Times New Roman"/>
          <w:i/>
          <w:iCs/>
          <w:color w:val="000000"/>
          <w:sz w:val="24"/>
          <w:szCs w:val="24"/>
          <w:lang/>
        </w:rPr>
        <w:t>слова "податків, зборів (обов’язкових платежів)" в усіх відмінках і числах замінено словами "податків, зборів, платежів" у відповідному відмінку і числі згідно із Законом </w:t>
      </w:r>
      <w:hyperlink r:id="rId142" w:anchor="n25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5E3EC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 w:name="n15836"/>
      <w:bookmarkEnd w:id="21"/>
      <w:r w:rsidRPr="008B264B">
        <w:rPr>
          <w:rFonts w:ascii="Times New Roman" w:eastAsia="Times New Roman" w:hAnsi="Times New Roman" w:cs="Times New Roman"/>
          <w:i/>
          <w:iCs/>
          <w:color w:val="000000"/>
          <w:sz w:val="24"/>
          <w:szCs w:val="24"/>
          <w:lang/>
        </w:rPr>
        <w:t>{У тексті Кодексу слова "інвалід", "дитина-інвалід", "громадські організації інвалідів" в усіх відмінках і числах замінено відповідно словами "особа з інвалідністю", "дитина з інвалідністю", "громадські об’єднання осіб з інвалідністю" у відповідному відмінку і числі згідно із Законом </w:t>
      </w:r>
      <w:hyperlink r:id="rId143" w:anchor="n15"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73F01E8D"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2" w:name="n130"/>
      <w:bookmarkEnd w:id="22"/>
      <w:r w:rsidRPr="008B264B">
        <w:rPr>
          <w:rFonts w:ascii="Times New Roman" w:eastAsia="Times New Roman" w:hAnsi="Times New Roman" w:cs="Times New Roman"/>
          <w:b/>
          <w:bCs/>
          <w:color w:val="000000"/>
          <w:sz w:val="28"/>
          <w:szCs w:val="28"/>
          <w:lang/>
        </w:rPr>
        <w:t>РОЗДІЛ I. ЗАГАЛЬНІ ПОЛОЖЕННЯ</w:t>
      </w:r>
    </w:p>
    <w:p w14:paraId="5DD0F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 w:name="n131"/>
      <w:bookmarkEnd w:id="23"/>
      <w:r w:rsidRPr="008B264B">
        <w:rPr>
          <w:rFonts w:ascii="Times New Roman" w:eastAsia="Times New Roman" w:hAnsi="Times New Roman" w:cs="Times New Roman"/>
          <w:b/>
          <w:bCs/>
          <w:color w:val="000000"/>
          <w:sz w:val="24"/>
          <w:szCs w:val="24"/>
          <w:lang/>
        </w:rPr>
        <w:t>Стаття 1.</w:t>
      </w:r>
      <w:r w:rsidRPr="008B264B">
        <w:rPr>
          <w:rFonts w:ascii="Times New Roman" w:eastAsia="Times New Roman" w:hAnsi="Times New Roman" w:cs="Times New Roman"/>
          <w:color w:val="000000"/>
          <w:sz w:val="24"/>
          <w:szCs w:val="24"/>
          <w:lang/>
        </w:rPr>
        <w:t> Сфера дії Податкового кодексу України</w:t>
      </w:r>
    </w:p>
    <w:p w14:paraId="344DD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 w:name="n132"/>
      <w:bookmarkEnd w:id="24"/>
      <w:r w:rsidRPr="008B264B">
        <w:rPr>
          <w:rFonts w:ascii="Times New Roman" w:eastAsia="Times New Roman" w:hAnsi="Times New Roman" w:cs="Times New Roman"/>
          <w:color w:val="000000"/>
          <w:sz w:val="24"/>
          <w:szCs w:val="24"/>
          <w:lang/>
        </w:rPr>
        <w:t>1.1. Податковий кодекс України регулює відносини, що виникають у сфері справляння податків і зборів, зокрема визначає вичерпний перелік податків та зборів, що справляються в Україні, та порядок їх адміністрування, платників податків та зборів, їх права та обов’язки, компетенцію контролюючих органів, повноваження і обов’язки їх посадових осіб під час адміністрування податків, а також відповідальність за порушення податкового законодавства.</w:t>
      </w:r>
    </w:p>
    <w:p w14:paraId="288E25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 w:name="n133"/>
      <w:bookmarkEnd w:id="25"/>
      <w:r w:rsidRPr="008B264B">
        <w:rPr>
          <w:rFonts w:ascii="Times New Roman" w:eastAsia="Times New Roman" w:hAnsi="Times New Roman" w:cs="Times New Roman"/>
          <w:color w:val="000000"/>
          <w:sz w:val="24"/>
          <w:szCs w:val="24"/>
          <w:lang/>
        </w:rPr>
        <w:lastRenderedPageBreak/>
        <w:t>Цим Кодексом визначаються функції та правові основи діяльності контролюючих органів, визначених </w:t>
      </w:r>
      <w:hyperlink r:id="rId144" w:anchor="n8773" w:history="1">
        <w:r w:rsidRPr="008B264B">
          <w:rPr>
            <w:rFonts w:ascii="Times New Roman" w:eastAsia="Times New Roman" w:hAnsi="Times New Roman" w:cs="Times New Roman"/>
            <w:color w:val="0000FF"/>
            <w:sz w:val="24"/>
            <w:szCs w:val="24"/>
            <w:u w:val="single"/>
            <w:lang/>
          </w:rPr>
          <w:t>пунктом 41.1</w:t>
        </w:r>
      </w:hyperlink>
      <w:r w:rsidRPr="008B264B">
        <w:rPr>
          <w:rFonts w:ascii="Times New Roman" w:eastAsia="Times New Roman" w:hAnsi="Times New Roman" w:cs="Times New Roman"/>
          <w:color w:val="000000"/>
          <w:sz w:val="24"/>
          <w:szCs w:val="24"/>
          <w:lang/>
        </w:rPr>
        <w:t> статті 41 цього Кодексу, та центрального органу виконавчої влади, що забезпечує формування та реалізує державну фінансову політику.</w:t>
      </w:r>
    </w:p>
    <w:p w14:paraId="703F40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 w:name="n9662"/>
      <w:bookmarkEnd w:id="26"/>
      <w:r w:rsidRPr="008B264B">
        <w:rPr>
          <w:rFonts w:ascii="Times New Roman" w:eastAsia="Times New Roman" w:hAnsi="Times New Roman" w:cs="Times New Roman"/>
          <w:i/>
          <w:iCs/>
          <w:color w:val="000000"/>
          <w:sz w:val="24"/>
          <w:szCs w:val="24"/>
          <w:lang/>
        </w:rPr>
        <w:t>{Пункт 1.1 статті 1 із змінами, внесеними згідно із Законами </w:t>
      </w:r>
      <w:hyperlink r:id="rId145" w:anchor="n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46" w:anchor="n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47" w:anchor="n218" w:tgtFrame="_blank" w:history="1">
        <w:r w:rsidRPr="008B264B">
          <w:rPr>
            <w:rFonts w:ascii="Times New Roman" w:eastAsia="Times New Roman" w:hAnsi="Times New Roman" w:cs="Times New Roman"/>
            <w:i/>
            <w:iCs/>
            <w:color w:val="0000FF"/>
            <w:sz w:val="24"/>
            <w:szCs w:val="24"/>
            <w:u w:val="single"/>
            <w:lang/>
          </w:rPr>
          <w:t>№ 721-VII від 16.01.2014</w:t>
        </w:r>
      </w:hyperlink>
      <w:r w:rsidRPr="008B264B">
        <w:rPr>
          <w:rFonts w:ascii="Times New Roman" w:eastAsia="Times New Roman" w:hAnsi="Times New Roman" w:cs="Times New Roman"/>
          <w:i/>
          <w:iCs/>
          <w:color w:val="000000"/>
          <w:sz w:val="24"/>
          <w:szCs w:val="24"/>
          <w:lang/>
        </w:rPr>
        <w:t> - втратив чинність на підставі Закону </w:t>
      </w:r>
      <w:hyperlink r:id="rId148" w:anchor="n6" w:tgtFrame="_blank" w:history="1">
        <w:r w:rsidRPr="008B264B">
          <w:rPr>
            <w:rFonts w:ascii="Times New Roman" w:eastAsia="Times New Roman" w:hAnsi="Times New Roman" w:cs="Times New Roman"/>
            <w:i/>
            <w:iCs/>
            <w:color w:val="0000FF"/>
            <w:sz w:val="24"/>
            <w:szCs w:val="24"/>
            <w:u w:val="single"/>
            <w:lang/>
          </w:rPr>
          <w:t>№ 732-VII від 28.01.2014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9" w:anchor="n178" w:tgtFrame="_blank" w:history="1">
        <w:r w:rsidRPr="008B264B">
          <w:rPr>
            <w:rFonts w:ascii="Times New Roman" w:eastAsia="Times New Roman" w:hAnsi="Times New Roman" w:cs="Times New Roman"/>
            <w:i/>
            <w:iCs/>
            <w:color w:val="0000FF"/>
            <w:sz w:val="24"/>
            <w:szCs w:val="24"/>
            <w:u w:val="single"/>
            <w:lang/>
          </w:rPr>
          <w:t>№ 767-VII від 23.02.2014</w:t>
        </w:r>
      </w:hyperlink>
      <w:r w:rsidRPr="008B264B">
        <w:rPr>
          <w:rFonts w:ascii="Times New Roman" w:eastAsia="Times New Roman" w:hAnsi="Times New Roman" w:cs="Times New Roman"/>
          <w:i/>
          <w:iCs/>
          <w:color w:val="000000"/>
          <w:sz w:val="24"/>
          <w:szCs w:val="24"/>
          <w:lang/>
        </w:rPr>
        <w:t>; в редакції Закону </w:t>
      </w:r>
      <w:hyperlink r:id="rId150" w:anchor="n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93E6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 w:name="n135"/>
      <w:bookmarkEnd w:id="27"/>
      <w:r w:rsidRPr="008B264B">
        <w:rPr>
          <w:rFonts w:ascii="Times New Roman" w:eastAsia="Times New Roman" w:hAnsi="Times New Roman" w:cs="Times New Roman"/>
          <w:color w:val="000000"/>
          <w:sz w:val="24"/>
          <w:szCs w:val="24"/>
          <w:lang/>
        </w:rPr>
        <w:t>1.2. Правила оподаткування товарів, що переміщуються через митний кордон України, визначаються цим Кодексом, крім правил оподаткування товарів митом, які встановлюються </w:t>
      </w:r>
      <w:hyperlink r:id="rId151"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та іншими законами з питань митної справи.</w:t>
      </w:r>
    </w:p>
    <w:p w14:paraId="55F9E7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 w:name="n136"/>
      <w:bookmarkEnd w:id="28"/>
      <w:r w:rsidRPr="008B264B">
        <w:rPr>
          <w:rFonts w:ascii="Times New Roman" w:eastAsia="Times New Roman" w:hAnsi="Times New Roman" w:cs="Times New Roman"/>
          <w:i/>
          <w:iCs/>
          <w:color w:val="000000"/>
          <w:sz w:val="24"/>
          <w:szCs w:val="24"/>
          <w:lang/>
        </w:rPr>
        <w:t>{Пункт 1.2 статті 1 в редакції Закону </w:t>
      </w:r>
      <w:hyperlink r:id="rId152" w:anchor="n7"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6F326E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 w:name="n137"/>
      <w:bookmarkEnd w:id="29"/>
      <w:r w:rsidRPr="008B264B">
        <w:rPr>
          <w:rFonts w:ascii="Times New Roman" w:eastAsia="Times New Roman" w:hAnsi="Times New Roman" w:cs="Times New Roman"/>
          <w:color w:val="000000"/>
          <w:sz w:val="24"/>
          <w:szCs w:val="24"/>
          <w:lang/>
        </w:rPr>
        <w:t>1.3. Цей Кодекс не регулює питання погашення податкових зобов'язань або стягнення податкового боргу з осіб, на яких поширюються судові процедури, визначені </w:t>
      </w:r>
      <w:hyperlink r:id="rId153" w:anchor="n3" w:tgtFrame="_blank" w:history="1">
        <w:r w:rsidRPr="008B264B">
          <w:rPr>
            <w:rFonts w:ascii="Times New Roman" w:eastAsia="Times New Roman" w:hAnsi="Times New Roman" w:cs="Times New Roman"/>
            <w:color w:val="0000FF"/>
            <w:sz w:val="24"/>
            <w:szCs w:val="24"/>
            <w:u w:val="single"/>
            <w:lang/>
          </w:rPr>
          <w:t>Законом України "Про відновлення платоспроможності боржника або визнання його банкрутом"</w:t>
        </w:r>
      </w:hyperlink>
      <w:r w:rsidRPr="008B264B">
        <w:rPr>
          <w:rFonts w:ascii="Times New Roman" w:eastAsia="Times New Roman" w:hAnsi="Times New Roman" w:cs="Times New Roman"/>
          <w:color w:val="000000"/>
          <w:sz w:val="24"/>
          <w:szCs w:val="24"/>
          <w:lang/>
        </w:rPr>
        <w:t>, з банків, на які поширюються норми </w:t>
      </w:r>
      <w:hyperlink r:id="rId154" w:tgtFrame="_blank" w:history="1">
        <w:r w:rsidRPr="008B264B">
          <w:rPr>
            <w:rFonts w:ascii="Times New Roman" w:eastAsia="Times New Roman" w:hAnsi="Times New Roman" w:cs="Times New Roman"/>
            <w:color w:val="0000FF"/>
            <w:sz w:val="24"/>
            <w:szCs w:val="24"/>
            <w:u w:val="single"/>
            <w:lang/>
          </w:rPr>
          <w:t>Закону України "Про систему гарантування вкладів фізичних осіб"</w:t>
        </w:r>
      </w:hyperlink>
      <w:r w:rsidRPr="008B264B">
        <w:rPr>
          <w:rFonts w:ascii="Times New Roman" w:eastAsia="Times New Roman" w:hAnsi="Times New Roman" w:cs="Times New Roman"/>
          <w:color w:val="000000"/>
          <w:sz w:val="24"/>
          <w:szCs w:val="24"/>
          <w:lang/>
        </w:rPr>
        <w:t>, проведення комплексних перевірок з метою виявлення фінансових рахунків та погашення зобов'язань зі сплати єдиного внеску на загальнообов'язкове державне соціальне страхування, зборів на обов’язкове державне пенсійне страхування з окремих видів господарських операцій.</w:t>
      </w:r>
    </w:p>
    <w:p w14:paraId="7CC5A7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 w:name="n8669"/>
      <w:bookmarkEnd w:id="30"/>
      <w:r w:rsidRPr="008B264B">
        <w:rPr>
          <w:rFonts w:ascii="Times New Roman" w:eastAsia="Times New Roman" w:hAnsi="Times New Roman" w:cs="Times New Roman"/>
          <w:i/>
          <w:iCs/>
          <w:color w:val="000000"/>
          <w:sz w:val="24"/>
          <w:szCs w:val="24"/>
          <w:lang/>
        </w:rPr>
        <w:t>{Пункт 1.3 статті 1 із змінами, внесеними згідно із Законами </w:t>
      </w:r>
      <w:hyperlink r:id="rId155" w:anchor="n1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56" w:anchor="n7"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w:t>
      </w:r>
      <w:hyperlink r:id="rId157" w:anchor="n6"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45BA77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 w:name="n9829"/>
      <w:bookmarkEnd w:id="31"/>
      <w:r w:rsidRPr="008B264B">
        <w:rPr>
          <w:rFonts w:ascii="Times New Roman" w:eastAsia="Times New Roman" w:hAnsi="Times New Roman" w:cs="Times New Roman"/>
          <w:color w:val="000000"/>
          <w:sz w:val="24"/>
          <w:szCs w:val="24"/>
          <w:lang/>
        </w:rPr>
        <w:t>1.4. Встановлення і скасування зборів на обов’язкове державне пенсійне страхування з окремих видів господарських операцій, їх розмірів та механізмів справляння здійснюються відповідно до </w:t>
      </w:r>
      <w:hyperlink r:id="rId158"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збір на обов’язкове державне пенсійне страхування".</w:t>
      </w:r>
    </w:p>
    <w:p w14:paraId="1D785C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 w:name="n9828"/>
      <w:bookmarkEnd w:id="32"/>
      <w:r w:rsidRPr="008B264B">
        <w:rPr>
          <w:rFonts w:ascii="Times New Roman" w:eastAsia="Times New Roman" w:hAnsi="Times New Roman" w:cs="Times New Roman"/>
          <w:i/>
          <w:iCs/>
          <w:color w:val="000000"/>
          <w:sz w:val="24"/>
          <w:szCs w:val="24"/>
          <w:lang/>
        </w:rPr>
        <w:t>{Статтю 1 доповнено пунктом 1.4 згідно із Законом </w:t>
      </w:r>
      <w:hyperlink r:id="rId159" w:anchor="n8"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2D8AAA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 w:name="n138"/>
      <w:bookmarkEnd w:id="33"/>
      <w:r w:rsidRPr="008B264B">
        <w:rPr>
          <w:rFonts w:ascii="Times New Roman" w:eastAsia="Times New Roman" w:hAnsi="Times New Roman" w:cs="Times New Roman"/>
          <w:b/>
          <w:bCs/>
          <w:color w:val="000000"/>
          <w:sz w:val="24"/>
          <w:szCs w:val="24"/>
          <w:lang/>
        </w:rPr>
        <w:t>Стаття 2.</w:t>
      </w:r>
      <w:r w:rsidRPr="008B264B">
        <w:rPr>
          <w:rFonts w:ascii="Times New Roman" w:eastAsia="Times New Roman" w:hAnsi="Times New Roman" w:cs="Times New Roman"/>
          <w:color w:val="000000"/>
          <w:sz w:val="24"/>
          <w:szCs w:val="24"/>
          <w:lang/>
        </w:rPr>
        <w:t> Внесення змін до Податкового кодексу України</w:t>
      </w:r>
    </w:p>
    <w:p w14:paraId="3BB279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 w:name="n139"/>
      <w:bookmarkEnd w:id="34"/>
      <w:r w:rsidRPr="008B264B">
        <w:rPr>
          <w:rFonts w:ascii="Times New Roman" w:eastAsia="Times New Roman" w:hAnsi="Times New Roman" w:cs="Times New Roman"/>
          <w:color w:val="000000"/>
          <w:sz w:val="24"/>
          <w:szCs w:val="24"/>
          <w:lang/>
        </w:rPr>
        <w:t>2.1. Зміна положень цього Кодексу може здійснюватися виключно шляхом внесення змін до цього Кодексу.</w:t>
      </w:r>
    </w:p>
    <w:p w14:paraId="48ECD1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 w:name="n140"/>
      <w:bookmarkEnd w:id="35"/>
      <w:r w:rsidRPr="008B264B">
        <w:rPr>
          <w:rFonts w:ascii="Times New Roman" w:eastAsia="Times New Roman" w:hAnsi="Times New Roman" w:cs="Times New Roman"/>
          <w:b/>
          <w:bCs/>
          <w:color w:val="000000"/>
          <w:sz w:val="24"/>
          <w:szCs w:val="24"/>
          <w:lang/>
        </w:rPr>
        <w:t>Стаття 3.</w:t>
      </w:r>
      <w:r w:rsidRPr="008B264B">
        <w:rPr>
          <w:rFonts w:ascii="Times New Roman" w:eastAsia="Times New Roman" w:hAnsi="Times New Roman" w:cs="Times New Roman"/>
          <w:color w:val="000000"/>
          <w:sz w:val="24"/>
          <w:szCs w:val="24"/>
          <w:lang/>
        </w:rPr>
        <w:t> Податкове законодавство України</w:t>
      </w:r>
    </w:p>
    <w:p w14:paraId="402C76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 w:name="n141"/>
      <w:bookmarkEnd w:id="36"/>
      <w:r w:rsidRPr="008B264B">
        <w:rPr>
          <w:rFonts w:ascii="Times New Roman" w:eastAsia="Times New Roman" w:hAnsi="Times New Roman" w:cs="Times New Roman"/>
          <w:color w:val="000000"/>
          <w:sz w:val="24"/>
          <w:szCs w:val="24"/>
          <w:lang/>
        </w:rPr>
        <w:t>3.1. Податкове законодавство України складається з </w:t>
      </w:r>
      <w:hyperlink r:id="rId160" w:anchor="n1654" w:tgtFrame="_blank" w:history="1">
        <w:r w:rsidRPr="008B264B">
          <w:rPr>
            <w:rFonts w:ascii="Times New Roman" w:eastAsia="Times New Roman" w:hAnsi="Times New Roman" w:cs="Times New Roman"/>
            <w:color w:val="0000FF"/>
            <w:sz w:val="24"/>
            <w:szCs w:val="24"/>
            <w:u w:val="single"/>
            <w:lang/>
          </w:rPr>
          <w:t>Конституції України</w:t>
        </w:r>
      </w:hyperlink>
      <w:r w:rsidRPr="008B264B">
        <w:rPr>
          <w:rFonts w:ascii="Times New Roman" w:eastAsia="Times New Roman" w:hAnsi="Times New Roman" w:cs="Times New Roman"/>
          <w:color w:val="000000"/>
          <w:sz w:val="24"/>
          <w:szCs w:val="24"/>
          <w:lang/>
        </w:rPr>
        <w:t>; цього Кодексу; </w:t>
      </w:r>
      <w:hyperlink r:id="rId161"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 та інших законів з питань митної справи у частині регулювання правовідносин, що виникають у зв'язку з оподаткуванням митом операцій з переміщення товарів через митний кордон України (далі - законами з питань митної справи); чинних міжнародних договорів, згода на обов'язковість яких надана Верховною Радою України і якими регулюються питання оподаткування; нормативно-правових актів, прийнятих на підставі та на виконання цього Кодексу та законів з питань митної справи; рішень Верховної Ради Автономної Республіки Крим, органів місцевого самоврядування з питань місцевих податків та зборів, прийнятих за правилами, встановленими цим Кодексом.</w:t>
      </w:r>
    </w:p>
    <w:p w14:paraId="04BDB1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 w:name="n142"/>
      <w:bookmarkEnd w:id="37"/>
      <w:r w:rsidRPr="008B264B">
        <w:rPr>
          <w:rFonts w:ascii="Times New Roman" w:eastAsia="Times New Roman" w:hAnsi="Times New Roman" w:cs="Times New Roman"/>
          <w:i/>
          <w:iCs/>
          <w:color w:val="000000"/>
          <w:sz w:val="24"/>
          <w:szCs w:val="24"/>
          <w:lang/>
        </w:rPr>
        <w:t>{Пункт 3.1 статті 3 із змінами, внесеними згідно із Законом </w:t>
      </w:r>
      <w:hyperlink r:id="rId162" w:anchor="n9"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C5514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 w:name="n143"/>
      <w:bookmarkEnd w:id="38"/>
      <w:r w:rsidRPr="008B264B">
        <w:rPr>
          <w:rFonts w:ascii="Times New Roman" w:eastAsia="Times New Roman" w:hAnsi="Times New Roman" w:cs="Times New Roman"/>
          <w:color w:val="000000"/>
          <w:sz w:val="24"/>
          <w:szCs w:val="24"/>
          <w:lang/>
        </w:rPr>
        <w:t>3.2. Якщо міжнародним договором, згода на обов'язковість якого надана Верховною Радою України, встановлено інші правила, ніж ті, що передбачені цим Кодексом, застосовуються правила міжнародного договору.</w:t>
      </w:r>
    </w:p>
    <w:p w14:paraId="66F9D1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 w:name="n144"/>
      <w:bookmarkEnd w:id="39"/>
      <w:r w:rsidRPr="008B264B">
        <w:rPr>
          <w:rFonts w:ascii="Times New Roman" w:eastAsia="Times New Roman" w:hAnsi="Times New Roman" w:cs="Times New Roman"/>
          <w:b/>
          <w:bCs/>
          <w:color w:val="000000"/>
          <w:sz w:val="24"/>
          <w:szCs w:val="24"/>
          <w:lang/>
        </w:rPr>
        <w:t>Стаття 4.</w:t>
      </w:r>
      <w:r w:rsidRPr="008B264B">
        <w:rPr>
          <w:rFonts w:ascii="Times New Roman" w:eastAsia="Times New Roman" w:hAnsi="Times New Roman" w:cs="Times New Roman"/>
          <w:color w:val="000000"/>
          <w:sz w:val="24"/>
          <w:szCs w:val="24"/>
          <w:lang/>
        </w:rPr>
        <w:t> Основні засади податкового законодавства України</w:t>
      </w:r>
    </w:p>
    <w:p w14:paraId="18E146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 w:name="n145"/>
      <w:bookmarkEnd w:id="40"/>
      <w:r w:rsidRPr="008B264B">
        <w:rPr>
          <w:rFonts w:ascii="Times New Roman" w:eastAsia="Times New Roman" w:hAnsi="Times New Roman" w:cs="Times New Roman"/>
          <w:color w:val="000000"/>
          <w:sz w:val="24"/>
          <w:szCs w:val="24"/>
          <w:lang/>
        </w:rPr>
        <w:t>4.1. Податкове законодавство України ґрунтується на таких принципах:</w:t>
      </w:r>
    </w:p>
    <w:p w14:paraId="15672A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 w:name="n146"/>
      <w:bookmarkEnd w:id="41"/>
      <w:r w:rsidRPr="008B264B">
        <w:rPr>
          <w:rFonts w:ascii="Times New Roman" w:eastAsia="Times New Roman" w:hAnsi="Times New Roman" w:cs="Times New Roman"/>
          <w:color w:val="000000"/>
          <w:sz w:val="24"/>
          <w:szCs w:val="24"/>
          <w:lang/>
        </w:rPr>
        <w:t>4.1.1. загальність оподаткування - кожна особа зобов'язана сплачувати встановлені цим Кодексом, законами з питань митної справи податки та збори, платником яких вона є згідно з положеннями цього Кодексу;</w:t>
      </w:r>
    </w:p>
    <w:p w14:paraId="31DFEB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 w:name="n147"/>
      <w:bookmarkEnd w:id="42"/>
      <w:r w:rsidRPr="008B264B">
        <w:rPr>
          <w:rFonts w:ascii="Times New Roman" w:eastAsia="Times New Roman" w:hAnsi="Times New Roman" w:cs="Times New Roman"/>
          <w:color w:val="000000"/>
          <w:sz w:val="24"/>
          <w:szCs w:val="24"/>
          <w:lang/>
        </w:rPr>
        <w:lastRenderedPageBreak/>
        <w:t>4.1.2. рівність усіх платників перед законом, недопущення будь-яких проявів податкової дискримінації - забезпечення однакового підходу до всіх платників податків незалежно від соціальної, расової, національної, релігійної приналежності, форми власності юридичної особи, громадянства фізичної особи, місця походження капіталу;</w:t>
      </w:r>
    </w:p>
    <w:p w14:paraId="765F5E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 w:name="n148"/>
      <w:bookmarkEnd w:id="43"/>
      <w:r w:rsidRPr="008B264B">
        <w:rPr>
          <w:rFonts w:ascii="Times New Roman" w:eastAsia="Times New Roman" w:hAnsi="Times New Roman" w:cs="Times New Roman"/>
          <w:color w:val="000000"/>
          <w:sz w:val="24"/>
          <w:szCs w:val="24"/>
          <w:lang/>
        </w:rPr>
        <w:t>4.1.3. невідворотність настання визначеної законом відповідальності у разі порушення податкового законодавства;</w:t>
      </w:r>
    </w:p>
    <w:p w14:paraId="43AD94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 w:name="n149"/>
      <w:bookmarkEnd w:id="44"/>
      <w:r w:rsidRPr="008B264B">
        <w:rPr>
          <w:rFonts w:ascii="Times New Roman" w:eastAsia="Times New Roman" w:hAnsi="Times New Roman" w:cs="Times New Roman"/>
          <w:color w:val="000000"/>
          <w:sz w:val="24"/>
          <w:szCs w:val="24"/>
          <w:lang/>
        </w:rPr>
        <w:t>4.1.4. презумпція правомірності рішень платника податку в разі, якщо норма закону чи іншого нормативно-правового акта, виданого на підставі закону, або якщо норми різних законів чи різних нормативно-правових актів припускають неоднозначне (множинне) трактування прав та обов'язків платників податків або контролюючих органів, внаслідок чого є можливість прийняти рішення на користь як платника податків, так і контролюючого органу;</w:t>
      </w:r>
    </w:p>
    <w:p w14:paraId="753196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 w:name="n150"/>
      <w:bookmarkEnd w:id="45"/>
      <w:r w:rsidRPr="008B264B">
        <w:rPr>
          <w:rFonts w:ascii="Times New Roman" w:eastAsia="Times New Roman" w:hAnsi="Times New Roman" w:cs="Times New Roman"/>
          <w:color w:val="000000"/>
          <w:sz w:val="24"/>
          <w:szCs w:val="24"/>
          <w:lang/>
        </w:rPr>
        <w:t>4.1.5. фіскальна достатність - встановлення податків та зборів з урахуванням необхідності досягнення збалансованості витрат бюджету з його надходженнями;</w:t>
      </w:r>
    </w:p>
    <w:p w14:paraId="0A72D7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 w:name="n151"/>
      <w:bookmarkEnd w:id="46"/>
      <w:r w:rsidRPr="008B264B">
        <w:rPr>
          <w:rFonts w:ascii="Times New Roman" w:eastAsia="Times New Roman" w:hAnsi="Times New Roman" w:cs="Times New Roman"/>
          <w:color w:val="000000"/>
          <w:sz w:val="24"/>
          <w:szCs w:val="24"/>
          <w:lang/>
        </w:rPr>
        <w:t>4.1.6. соціальна справедливість - установлення податків та зборів відповідно до платоспроможності платників податків;</w:t>
      </w:r>
    </w:p>
    <w:p w14:paraId="72BA21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 w:name="n152"/>
      <w:bookmarkEnd w:id="47"/>
      <w:r w:rsidRPr="008B264B">
        <w:rPr>
          <w:rFonts w:ascii="Times New Roman" w:eastAsia="Times New Roman" w:hAnsi="Times New Roman" w:cs="Times New Roman"/>
          <w:color w:val="000000"/>
          <w:sz w:val="24"/>
          <w:szCs w:val="24"/>
          <w:lang/>
        </w:rPr>
        <w:t>4.1.7. економічність оподаткування - установлення податків та зборів, обсяг надходжень від сплати яких до бюджету значно перевищує витрати на їх адміністрування;</w:t>
      </w:r>
    </w:p>
    <w:p w14:paraId="699C64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 w:name="n153"/>
      <w:bookmarkEnd w:id="48"/>
      <w:r w:rsidRPr="008B264B">
        <w:rPr>
          <w:rFonts w:ascii="Times New Roman" w:eastAsia="Times New Roman" w:hAnsi="Times New Roman" w:cs="Times New Roman"/>
          <w:color w:val="000000"/>
          <w:sz w:val="24"/>
          <w:szCs w:val="24"/>
          <w:lang/>
        </w:rPr>
        <w:t>4.1.8. нейтральність оподаткування - установлення податків та зборів у спосіб, який не впливає на збільшення або зменшення конкурентоздатності платника податків;</w:t>
      </w:r>
    </w:p>
    <w:p w14:paraId="2FCD76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 w:name="n154"/>
      <w:bookmarkEnd w:id="49"/>
      <w:r w:rsidRPr="008B264B">
        <w:rPr>
          <w:rFonts w:ascii="Times New Roman" w:eastAsia="Times New Roman" w:hAnsi="Times New Roman" w:cs="Times New Roman"/>
          <w:color w:val="000000"/>
          <w:sz w:val="24"/>
          <w:szCs w:val="24"/>
          <w:lang/>
        </w:rPr>
        <w:t>4.1.9. стабільність - зміни до будь-яких елементів податків та зборів не можуть вноситися пізніш як за шість місяців до початку нового бюджетного періоду, в якому будуть діяти нові правила та ставки. Податки та збори, їх ставки, а також податкові пільги не можуть змінюватися протягом бюджетного року;</w:t>
      </w:r>
    </w:p>
    <w:p w14:paraId="7852F8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 w:name="n155"/>
      <w:bookmarkEnd w:id="50"/>
      <w:r w:rsidRPr="008B264B">
        <w:rPr>
          <w:rFonts w:ascii="Times New Roman" w:eastAsia="Times New Roman" w:hAnsi="Times New Roman" w:cs="Times New Roman"/>
          <w:color w:val="000000"/>
          <w:sz w:val="24"/>
          <w:szCs w:val="24"/>
          <w:lang/>
        </w:rPr>
        <w:t>4.1.10. рівномірність та зручність сплати - установлення строків сплати податків та зборів, виходячи із необхідності забезпечення своєчасного надходження коштів до бюджетів для здійснення витрат бюджету та зручності їх сплати платниками;</w:t>
      </w:r>
    </w:p>
    <w:p w14:paraId="220E6D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 w:name="n156"/>
      <w:bookmarkEnd w:id="51"/>
      <w:r w:rsidRPr="008B264B">
        <w:rPr>
          <w:rFonts w:ascii="Times New Roman" w:eastAsia="Times New Roman" w:hAnsi="Times New Roman" w:cs="Times New Roman"/>
          <w:color w:val="000000"/>
          <w:sz w:val="24"/>
          <w:szCs w:val="24"/>
          <w:lang/>
        </w:rPr>
        <w:t>4.1.11. єдиний підхід до встановлення податків та зборів - визначення на законодавчому рівні усіх обов'язкових елементів податку.</w:t>
      </w:r>
    </w:p>
    <w:p w14:paraId="1E9690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 w:name="n157"/>
      <w:bookmarkEnd w:id="52"/>
      <w:r w:rsidRPr="008B264B">
        <w:rPr>
          <w:rFonts w:ascii="Times New Roman" w:eastAsia="Times New Roman" w:hAnsi="Times New Roman" w:cs="Times New Roman"/>
          <w:color w:val="000000"/>
          <w:sz w:val="24"/>
          <w:szCs w:val="24"/>
          <w:lang/>
        </w:rPr>
        <w:t>4.2. Загальнодержавні, місцеві податки та збори, справляння яких не передбачено цим Кодексом, сплаті не підлягають.</w:t>
      </w:r>
    </w:p>
    <w:p w14:paraId="113E38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 w:name="n158"/>
      <w:bookmarkEnd w:id="53"/>
      <w:r w:rsidRPr="008B264B">
        <w:rPr>
          <w:rFonts w:ascii="Times New Roman" w:eastAsia="Times New Roman" w:hAnsi="Times New Roman" w:cs="Times New Roman"/>
          <w:color w:val="000000"/>
          <w:sz w:val="24"/>
          <w:szCs w:val="24"/>
          <w:lang/>
        </w:rPr>
        <w:t>4.3. Податкові періоди та строки сплати податків та зборів установлюються, виходячи з необхідності забезпечення своєчасного надходження коштів до бюджетів, з урахуванням зручності виконання платником податкового обов'язку та зменшення витрат на адміністрування податків та зборів.</w:t>
      </w:r>
    </w:p>
    <w:p w14:paraId="1B06B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 w:name="n159"/>
      <w:bookmarkEnd w:id="54"/>
      <w:r w:rsidRPr="008B264B">
        <w:rPr>
          <w:rFonts w:ascii="Times New Roman" w:eastAsia="Times New Roman" w:hAnsi="Times New Roman" w:cs="Times New Roman"/>
          <w:color w:val="000000"/>
          <w:sz w:val="24"/>
          <w:szCs w:val="24"/>
          <w:lang/>
        </w:rPr>
        <w:t>4.4. Установлення і скасування податків та зборів, а також пільг їх платникам здійснюються відповідно до цього Кодексу Верховною Радою України, а також Верховною Радою Автономної Республіки Крим, сільськими, селищними, міськими радами та радами об’єднаних територіальних громад, що створені згідно із законом та перспективним планом формування територій громад у межах їх повноважень, визначених </w:t>
      </w:r>
      <w:hyperlink r:id="rId163" w:tgtFrame="_blank" w:history="1">
        <w:r w:rsidRPr="008B264B">
          <w:rPr>
            <w:rFonts w:ascii="Times New Roman" w:eastAsia="Times New Roman" w:hAnsi="Times New Roman" w:cs="Times New Roman"/>
            <w:color w:val="0000FF"/>
            <w:sz w:val="24"/>
            <w:szCs w:val="24"/>
            <w:u w:val="single"/>
            <w:lang/>
          </w:rPr>
          <w:t>Конституцією України</w:t>
        </w:r>
      </w:hyperlink>
      <w:r w:rsidRPr="008B264B">
        <w:rPr>
          <w:rFonts w:ascii="Times New Roman" w:eastAsia="Times New Roman" w:hAnsi="Times New Roman" w:cs="Times New Roman"/>
          <w:color w:val="000000"/>
          <w:sz w:val="24"/>
          <w:szCs w:val="24"/>
          <w:lang/>
        </w:rPr>
        <w:t> та законами України.</w:t>
      </w:r>
    </w:p>
    <w:p w14:paraId="6B3992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 w:name="n12643"/>
      <w:bookmarkEnd w:id="55"/>
      <w:r w:rsidRPr="008B264B">
        <w:rPr>
          <w:rFonts w:ascii="Times New Roman" w:eastAsia="Times New Roman" w:hAnsi="Times New Roman" w:cs="Times New Roman"/>
          <w:i/>
          <w:iCs/>
          <w:color w:val="000000"/>
          <w:sz w:val="24"/>
          <w:szCs w:val="24"/>
          <w:lang/>
        </w:rPr>
        <w:t>{Пункт 4.4 статті 4 в редакції Закону </w:t>
      </w:r>
      <w:hyperlink r:id="rId164" w:anchor="n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AA520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 w:name="n160"/>
      <w:bookmarkEnd w:id="56"/>
      <w:r w:rsidRPr="008B264B">
        <w:rPr>
          <w:rFonts w:ascii="Times New Roman" w:eastAsia="Times New Roman" w:hAnsi="Times New Roman" w:cs="Times New Roman"/>
          <w:color w:val="000000"/>
          <w:sz w:val="24"/>
          <w:szCs w:val="24"/>
          <w:lang/>
        </w:rPr>
        <w:t>4.5. При встановленні або розширенні існуючих податкових пільг такі пільги застосовуються з наступного бюджетного року.</w:t>
      </w:r>
    </w:p>
    <w:p w14:paraId="4BCEE5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 w:name="n161"/>
      <w:bookmarkEnd w:id="57"/>
      <w:r w:rsidRPr="008B264B">
        <w:rPr>
          <w:rFonts w:ascii="Times New Roman" w:eastAsia="Times New Roman" w:hAnsi="Times New Roman" w:cs="Times New Roman"/>
          <w:i/>
          <w:iCs/>
          <w:color w:val="000000"/>
          <w:sz w:val="24"/>
          <w:szCs w:val="24"/>
          <w:lang/>
        </w:rPr>
        <w:t>{Статтю 4 доповнено пунктом 4.5 згідно із Законом </w:t>
      </w:r>
      <w:hyperlink r:id="rId16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5B3664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 w:name="n162"/>
      <w:bookmarkEnd w:id="58"/>
      <w:r w:rsidRPr="008B264B">
        <w:rPr>
          <w:rFonts w:ascii="Times New Roman" w:eastAsia="Times New Roman" w:hAnsi="Times New Roman" w:cs="Times New Roman"/>
          <w:b/>
          <w:bCs/>
          <w:color w:val="000000"/>
          <w:sz w:val="24"/>
          <w:szCs w:val="24"/>
          <w:lang/>
        </w:rPr>
        <w:t>Стаття 5.</w:t>
      </w:r>
      <w:r w:rsidRPr="008B264B">
        <w:rPr>
          <w:rFonts w:ascii="Times New Roman" w:eastAsia="Times New Roman" w:hAnsi="Times New Roman" w:cs="Times New Roman"/>
          <w:color w:val="000000"/>
          <w:sz w:val="24"/>
          <w:szCs w:val="24"/>
          <w:lang/>
        </w:rPr>
        <w:t> Співвідношення податкового законодавства з іншими законодавчими актами</w:t>
      </w:r>
    </w:p>
    <w:p w14:paraId="50B7FD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 w:name="n163"/>
      <w:bookmarkEnd w:id="59"/>
      <w:r w:rsidRPr="008B264B">
        <w:rPr>
          <w:rFonts w:ascii="Times New Roman" w:eastAsia="Times New Roman" w:hAnsi="Times New Roman" w:cs="Times New Roman"/>
          <w:color w:val="000000"/>
          <w:sz w:val="24"/>
          <w:szCs w:val="24"/>
          <w:lang/>
        </w:rPr>
        <w:lastRenderedPageBreak/>
        <w:t>5.1. Поняття, правила та положення, установлені цим Кодексом та законами з питань митної справи, застосовуються виключно для регулювання відносин, передбачених </w:t>
      </w:r>
      <w:hyperlink r:id="rId166" w:anchor="n131" w:history="1">
        <w:r w:rsidRPr="008B264B">
          <w:rPr>
            <w:rFonts w:ascii="Times New Roman" w:eastAsia="Times New Roman" w:hAnsi="Times New Roman" w:cs="Times New Roman"/>
            <w:color w:val="0000FF"/>
            <w:sz w:val="24"/>
            <w:szCs w:val="24"/>
            <w:u w:val="single"/>
            <w:lang/>
          </w:rPr>
          <w:t>статтею 1</w:t>
        </w:r>
      </w:hyperlink>
      <w:r w:rsidRPr="008B264B">
        <w:rPr>
          <w:rFonts w:ascii="Times New Roman" w:eastAsia="Times New Roman" w:hAnsi="Times New Roman" w:cs="Times New Roman"/>
          <w:color w:val="000000"/>
          <w:sz w:val="24"/>
          <w:szCs w:val="24"/>
          <w:lang/>
        </w:rPr>
        <w:t> цього Кодексу.</w:t>
      </w:r>
    </w:p>
    <w:p w14:paraId="3D81DE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 w:name="n164"/>
      <w:bookmarkEnd w:id="60"/>
      <w:r w:rsidRPr="008B264B">
        <w:rPr>
          <w:rFonts w:ascii="Times New Roman" w:eastAsia="Times New Roman" w:hAnsi="Times New Roman" w:cs="Times New Roman"/>
          <w:color w:val="000000"/>
          <w:sz w:val="24"/>
          <w:szCs w:val="24"/>
          <w:lang/>
        </w:rPr>
        <w:t>5.2. У разі якщо поняття, терміни, правила та положення інших актів суперечать поняттям, термінам, правилам та положенням цього Кодексу, для регулювання відносин оподаткування застосовуються поняття, терміни, правила та положення цього Кодексу.</w:t>
      </w:r>
    </w:p>
    <w:p w14:paraId="3A4DD5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 w:name="n165"/>
      <w:bookmarkEnd w:id="61"/>
      <w:r w:rsidRPr="008B264B">
        <w:rPr>
          <w:rFonts w:ascii="Times New Roman" w:eastAsia="Times New Roman" w:hAnsi="Times New Roman" w:cs="Times New Roman"/>
          <w:color w:val="000000"/>
          <w:sz w:val="24"/>
          <w:szCs w:val="24"/>
          <w:lang/>
        </w:rPr>
        <w:t>5.3. Інші терміни, що застосовуються у цьому Кодексі і не визначаються ним, використовуються у значенні, встановленому іншими законами.</w:t>
      </w:r>
    </w:p>
    <w:p w14:paraId="571056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 w:name="n166"/>
      <w:bookmarkEnd w:id="62"/>
      <w:r w:rsidRPr="008B264B">
        <w:rPr>
          <w:rFonts w:ascii="Times New Roman" w:eastAsia="Times New Roman" w:hAnsi="Times New Roman" w:cs="Times New Roman"/>
          <w:b/>
          <w:bCs/>
          <w:color w:val="000000"/>
          <w:sz w:val="24"/>
          <w:szCs w:val="24"/>
          <w:lang/>
        </w:rPr>
        <w:t>Стаття 6.</w:t>
      </w:r>
      <w:r w:rsidRPr="008B264B">
        <w:rPr>
          <w:rFonts w:ascii="Times New Roman" w:eastAsia="Times New Roman" w:hAnsi="Times New Roman" w:cs="Times New Roman"/>
          <w:color w:val="000000"/>
          <w:sz w:val="24"/>
          <w:szCs w:val="24"/>
          <w:lang/>
        </w:rPr>
        <w:t> Поняття податку та збору</w:t>
      </w:r>
    </w:p>
    <w:p w14:paraId="28E249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 w:name="n167"/>
      <w:bookmarkEnd w:id="63"/>
      <w:r w:rsidRPr="008B264B">
        <w:rPr>
          <w:rFonts w:ascii="Times New Roman" w:eastAsia="Times New Roman" w:hAnsi="Times New Roman" w:cs="Times New Roman"/>
          <w:color w:val="000000"/>
          <w:sz w:val="24"/>
          <w:szCs w:val="24"/>
          <w:lang/>
        </w:rPr>
        <w:t>6.1. Податком є обов'язковий, безумовний платіж до відповідного бюджету, що справляється з платників податку відповідно до цього Кодексу.</w:t>
      </w:r>
    </w:p>
    <w:p w14:paraId="0C385F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 w:name="n168"/>
      <w:bookmarkEnd w:id="64"/>
      <w:r w:rsidRPr="008B264B">
        <w:rPr>
          <w:rFonts w:ascii="Times New Roman" w:eastAsia="Times New Roman" w:hAnsi="Times New Roman" w:cs="Times New Roman"/>
          <w:color w:val="000000"/>
          <w:sz w:val="24"/>
          <w:szCs w:val="24"/>
          <w:lang/>
        </w:rPr>
        <w:t>6.2. Збором (платою, внеском) є обов'язковий платіж до відповідного бюджету, що справляється з платників зборів, з умовою отримання ними спеціальної вигоди, у тому числі внаслідок вчинення на користь таких осіб державними органами, органами місцевого самоврядування, іншими уповноваженими органами та особами юридично значимих дій.</w:t>
      </w:r>
    </w:p>
    <w:p w14:paraId="69AFD9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 w:name="n169"/>
      <w:bookmarkEnd w:id="65"/>
      <w:r w:rsidRPr="008B264B">
        <w:rPr>
          <w:rFonts w:ascii="Times New Roman" w:eastAsia="Times New Roman" w:hAnsi="Times New Roman" w:cs="Times New Roman"/>
          <w:color w:val="000000"/>
          <w:sz w:val="24"/>
          <w:szCs w:val="24"/>
          <w:lang/>
        </w:rPr>
        <w:t>6.3. Сукупність загальнодержавних та місцевих податків та зборів, що справляються в установленому цим Кодексом порядку, становить податкову систему України.</w:t>
      </w:r>
    </w:p>
    <w:p w14:paraId="1A3D34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 w:name="n170"/>
      <w:bookmarkEnd w:id="66"/>
      <w:r w:rsidRPr="008B264B">
        <w:rPr>
          <w:rFonts w:ascii="Times New Roman" w:eastAsia="Times New Roman" w:hAnsi="Times New Roman" w:cs="Times New Roman"/>
          <w:b/>
          <w:bCs/>
          <w:color w:val="000000"/>
          <w:sz w:val="24"/>
          <w:szCs w:val="24"/>
          <w:lang/>
        </w:rPr>
        <w:t>Стаття 7.</w:t>
      </w:r>
      <w:r w:rsidRPr="008B264B">
        <w:rPr>
          <w:rFonts w:ascii="Times New Roman" w:eastAsia="Times New Roman" w:hAnsi="Times New Roman" w:cs="Times New Roman"/>
          <w:color w:val="000000"/>
          <w:sz w:val="24"/>
          <w:szCs w:val="24"/>
          <w:lang/>
        </w:rPr>
        <w:t> Загальні засади встановлення податків і зборів</w:t>
      </w:r>
    </w:p>
    <w:p w14:paraId="39104C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 w:name="n171"/>
      <w:bookmarkEnd w:id="67"/>
      <w:r w:rsidRPr="008B264B">
        <w:rPr>
          <w:rFonts w:ascii="Times New Roman" w:eastAsia="Times New Roman" w:hAnsi="Times New Roman" w:cs="Times New Roman"/>
          <w:color w:val="000000"/>
          <w:sz w:val="24"/>
          <w:szCs w:val="24"/>
          <w:lang/>
        </w:rPr>
        <w:t>7.1. Під час встановлення податку обов'язково визначаються такі елементи:</w:t>
      </w:r>
    </w:p>
    <w:p w14:paraId="415C58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 w:name="n172"/>
      <w:bookmarkEnd w:id="68"/>
      <w:r w:rsidRPr="008B264B">
        <w:rPr>
          <w:rFonts w:ascii="Times New Roman" w:eastAsia="Times New Roman" w:hAnsi="Times New Roman" w:cs="Times New Roman"/>
          <w:color w:val="000000"/>
          <w:sz w:val="24"/>
          <w:szCs w:val="24"/>
          <w:lang/>
        </w:rPr>
        <w:t>7.1.1. платники податку;</w:t>
      </w:r>
    </w:p>
    <w:p w14:paraId="0EB589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 w:name="n173"/>
      <w:bookmarkEnd w:id="69"/>
      <w:r w:rsidRPr="008B264B">
        <w:rPr>
          <w:rFonts w:ascii="Times New Roman" w:eastAsia="Times New Roman" w:hAnsi="Times New Roman" w:cs="Times New Roman"/>
          <w:color w:val="000000"/>
          <w:sz w:val="24"/>
          <w:szCs w:val="24"/>
          <w:lang/>
        </w:rPr>
        <w:t>7.1.2. об'єкт оподаткування;</w:t>
      </w:r>
    </w:p>
    <w:p w14:paraId="657343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 w:name="n174"/>
      <w:bookmarkEnd w:id="70"/>
      <w:r w:rsidRPr="008B264B">
        <w:rPr>
          <w:rFonts w:ascii="Times New Roman" w:eastAsia="Times New Roman" w:hAnsi="Times New Roman" w:cs="Times New Roman"/>
          <w:color w:val="000000"/>
          <w:sz w:val="24"/>
          <w:szCs w:val="24"/>
          <w:lang/>
        </w:rPr>
        <w:t>7.1.3. база оподаткування;</w:t>
      </w:r>
    </w:p>
    <w:p w14:paraId="11E026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 w:name="n175"/>
      <w:bookmarkEnd w:id="71"/>
      <w:r w:rsidRPr="008B264B">
        <w:rPr>
          <w:rFonts w:ascii="Times New Roman" w:eastAsia="Times New Roman" w:hAnsi="Times New Roman" w:cs="Times New Roman"/>
          <w:color w:val="000000"/>
          <w:sz w:val="24"/>
          <w:szCs w:val="24"/>
          <w:lang/>
        </w:rPr>
        <w:t>7.1.4. ставка податку;</w:t>
      </w:r>
    </w:p>
    <w:p w14:paraId="5F341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 w:name="n176"/>
      <w:bookmarkEnd w:id="72"/>
      <w:r w:rsidRPr="008B264B">
        <w:rPr>
          <w:rFonts w:ascii="Times New Roman" w:eastAsia="Times New Roman" w:hAnsi="Times New Roman" w:cs="Times New Roman"/>
          <w:color w:val="000000"/>
          <w:sz w:val="24"/>
          <w:szCs w:val="24"/>
          <w:lang/>
        </w:rPr>
        <w:t>7.1.5. порядок обчислення податку;</w:t>
      </w:r>
    </w:p>
    <w:p w14:paraId="6C8254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 w:name="n177"/>
      <w:bookmarkEnd w:id="73"/>
      <w:r w:rsidRPr="008B264B">
        <w:rPr>
          <w:rFonts w:ascii="Times New Roman" w:eastAsia="Times New Roman" w:hAnsi="Times New Roman" w:cs="Times New Roman"/>
          <w:color w:val="000000"/>
          <w:sz w:val="24"/>
          <w:szCs w:val="24"/>
          <w:lang/>
        </w:rPr>
        <w:t>7.1.6. податковий період;</w:t>
      </w:r>
    </w:p>
    <w:p w14:paraId="5EF2F5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 w:name="n178"/>
      <w:bookmarkEnd w:id="74"/>
      <w:r w:rsidRPr="008B264B">
        <w:rPr>
          <w:rFonts w:ascii="Times New Roman" w:eastAsia="Times New Roman" w:hAnsi="Times New Roman" w:cs="Times New Roman"/>
          <w:color w:val="000000"/>
          <w:sz w:val="24"/>
          <w:szCs w:val="24"/>
          <w:lang/>
        </w:rPr>
        <w:t>7.1.7. строк та порядок сплати податку;</w:t>
      </w:r>
    </w:p>
    <w:p w14:paraId="29C1EE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 w:name="n179"/>
      <w:bookmarkEnd w:id="75"/>
      <w:r w:rsidRPr="008B264B">
        <w:rPr>
          <w:rFonts w:ascii="Times New Roman" w:eastAsia="Times New Roman" w:hAnsi="Times New Roman" w:cs="Times New Roman"/>
          <w:color w:val="000000"/>
          <w:sz w:val="24"/>
          <w:szCs w:val="24"/>
          <w:lang/>
        </w:rPr>
        <w:t>7.1.8. строк та порядок подання звітності про обчислення і сплату податку.</w:t>
      </w:r>
    </w:p>
    <w:p w14:paraId="0FD515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 w:name="n180"/>
      <w:bookmarkEnd w:id="76"/>
      <w:r w:rsidRPr="008B264B">
        <w:rPr>
          <w:rFonts w:ascii="Times New Roman" w:eastAsia="Times New Roman" w:hAnsi="Times New Roman" w:cs="Times New Roman"/>
          <w:color w:val="000000"/>
          <w:sz w:val="24"/>
          <w:szCs w:val="24"/>
          <w:lang/>
        </w:rPr>
        <w:t>7.2. Під час встановлення податку можуть передбачатися податкові пільги та порядок їх застосування.</w:t>
      </w:r>
    </w:p>
    <w:p w14:paraId="7CA987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 w:name="n181"/>
      <w:bookmarkEnd w:id="77"/>
      <w:r w:rsidRPr="008B264B">
        <w:rPr>
          <w:rFonts w:ascii="Times New Roman" w:eastAsia="Times New Roman" w:hAnsi="Times New Roman" w:cs="Times New Roman"/>
          <w:color w:val="000000"/>
          <w:sz w:val="24"/>
          <w:szCs w:val="24"/>
          <w:lang/>
        </w:rPr>
        <w:t>7.3. Будь-які питання щодо оподаткування регулюються цим Кодексом і не можуть встановлюватися або змінюватися іншими законами України, крім законів, що містять виключно положення щодо внесення змін до цього Кодексу та/або положення, які встановлюють відповідальність за порушення норм податкового законодавства.</w:t>
      </w:r>
    </w:p>
    <w:p w14:paraId="0EBF8D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 w:name="n182"/>
      <w:bookmarkEnd w:id="78"/>
      <w:r w:rsidRPr="008B264B">
        <w:rPr>
          <w:rFonts w:ascii="Times New Roman" w:eastAsia="Times New Roman" w:hAnsi="Times New Roman" w:cs="Times New Roman"/>
          <w:color w:val="000000"/>
          <w:sz w:val="24"/>
          <w:szCs w:val="24"/>
          <w:lang/>
        </w:rPr>
        <w:t>7.4. Елементи податку, визначені в пункті 7.1 цієї статті, підстави для надання податкових пільг та порядок їх застосування визначаються виключно цим Кодексом.</w:t>
      </w:r>
    </w:p>
    <w:p w14:paraId="659689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 w:name="n183"/>
      <w:bookmarkEnd w:id="79"/>
      <w:r w:rsidRPr="008B264B">
        <w:rPr>
          <w:rFonts w:ascii="Times New Roman" w:eastAsia="Times New Roman" w:hAnsi="Times New Roman" w:cs="Times New Roman"/>
          <w:b/>
          <w:bCs/>
          <w:color w:val="000000"/>
          <w:sz w:val="24"/>
          <w:szCs w:val="24"/>
          <w:lang/>
        </w:rPr>
        <w:t>Стаття 8.</w:t>
      </w:r>
      <w:r w:rsidRPr="008B264B">
        <w:rPr>
          <w:rFonts w:ascii="Times New Roman" w:eastAsia="Times New Roman" w:hAnsi="Times New Roman" w:cs="Times New Roman"/>
          <w:color w:val="000000"/>
          <w:sz w:val="24"/>
          <w:szCs w:val="24"/>
          <w:lang/>
        </w:rPr>
        <w:t> Види податків та зборів</w:t>
      </w:r>
    </w:p>
    <w:p w14:paraId="5B3525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 w:name="n184"/>
      <w:bookmarkEnd w:id="80"/>
      <w:r w:rsidRPr="008B264B">
        <w:rPr>
          <w:rFonts w:ascii="Times New Roman" w:eastAsia="Times New Roman" w:hAnsi="Times New Roman" w:cs="Times New Roman"/>
          <w:color w:val="000000"/>
          <w:sz w:val="24"/>
          <w:szCs w:val="24"/>
          <w:lang/>
        </w:rPr>
        <w:t>8.1. В Україні встановлюються загальнодержавні та місцеві податки та збори.</w:t>
      </w:r>
    </w:p>
    <w:p w14:paraId="20D979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 w:name="n185"/>
      <w:bookmarkEnd w:id="81"/>
      <w:r w:rsidRPr="008B264B">
        <w:rPr>
          <w:rFonts w:ascii="Times New Roman" w:eastAsia="Times New Roman" w:hAnsi="Times New Roman" w:cs="Times New Roman"/>
          <w:color w:val="000000"/>
          <w:sz w:val="24"/>
          <w:szCs w:val="24"/>
          <w:lang/>
        </w:rPr>
        <w:t>8.2. До загальнодержавних належать податки та збори, що встановлені цим Кодексом і є обов'язковими до сплати на усій території України, крім випадків, передбачених цим Кодексом.</w:t>
      </w:r>
    </w:p>
    <w:p w14:paraId="52095B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 w:name="n186"/>
      <w:bookmarkEnd w:id="82"/>
      <w:r w:rsidRPr="008B264B">
        <w:rPr>
          <w:rFonts w:ascii="Times New Roman" w:eastAsia="Times New Roman" w:hAnsi="Times New Roman" w:cs="Times New Roman"/>
          <w:color w:val="000000"/>
          <w:sz w:val="24"/>
          <w:szCs w:val="24"/>
          <w:lang/>
        </w:rPr>
        <w:t xml:space="preserve">8.3. До місцевих належать податки та збори, що встановлені відповідно до переліку і в межах граничних розмірів ставок, визначених цим Кодексом, рішеннями сільських, селищних, міських рад та рад об’єднаних територіальних громад, що створені згідно із законом та перспективним </w:t>
      </w:r>
      <w:r w:rsidRPr="008B264B">
        <w:rPr>
          <w:rFonts w:ascii="Times New Roman" w:eastAsia="Times New Roman" w:hAnsi="Times New Roman" w:cs="Times New Roman"/>
          <w:color w:val="000000"/>
          <w:sz w:val="24"/>
          <w:szCs w:val="24"/>
          <w:lang/>
        </w:rPr>
        <w:lastRenderedPageBreak/>
        <w:t>планом формування територій громад, у межах їх повноважень і є обов’язковими до сплати на території відповідних територіальних громад.</w:t>
      </w:r>
    </w:p>
    <w:p w14:paraId="4C15AB1D"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83" w:name="n10408"/>
      <w:bookmarkEnd w:id="83"/>
      <w:r w:rsidRPr="008B264B">
        <w:rPr>
          <w:rFonts w:ascii="Times New Roman" w:eastAsia="Times New Roman" w:hAnsi="Times New Roman" w:cs="Times New Roman"/>
          <w:i/>
          <w:iCs/>
          <w:color w:val="000000"/>
          <w:sz w:val="24"/>
          <w:szCs w:val="24"/>
          <w:lang/>
        </w:rPr>
        <w:t>{Пункт 8.3 статті 8 в редакції Законів </w:t>
      </w:r>
      <w:hyperlink r:id="rId167" w:anchor="n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168" w:anchor="n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6524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 w:name="n187"/>
      <w:bookmarkEnd w:id="84"/>
      <w:r w:rsidRPr="008B264B">
        <w:rPr>
          <w:rFonts w:ascii="Times New Roman" w:eastAsia="Times New Roman" w:hAnsi="Times New Roman" w:cs="Times New Roman"/>
          <w:b/>
          <w:bCs/>
          <w:color w:val="000000"/>
          <w:sz w:val="24"/>
          <w:szCs w:val="24"/>
          <w:lang/>
        </w:rPr>
        <w:t>Стаття 9.</w:t>
      </w:r>
      <w:r w:rsidRPr="008B264B">
        <w:rPr>
          <w:rFonts w:ascii="Times New Roman" w:eastAsia="Times New Roman" w:hAnsi="Times New Roman" w:cs="Times New Roman"/>
          <w:color w:val="000000"/>
          <w:sz w:val="24"/>
          <w:szCs w:val="24"/>
          <w:lang/>
        </w:rPr>
        <w:t> Загальнодержавні податки та збори</w:t>
      </w:r>
    </w:p>
    <w:p w14:paraId="4D7ED3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 w:name="n188"/>
      <w:bookmarkEnd w:id="85"/>
      <w:r w:rsidRPr="008B264B">
        <w:rPr>
          <w:rFonts w:ascii="Times New Roman" w:eastAsia="Times New Roman" w:hAnsi="Times New Roman" w:cs="Times New Roman"/>
          <w:color w:val="000000"/>
          <w:sz w:val="24"/>
          <w:szCs w:val="24"/>
          <w:lang/>
        </w:rPr>
        <w:t>9.1. До загальнодержавних податків належать:</w:t>
      </w:r>
    </w:p>
    <w:p w14:paraId="157BA6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 w:name="n10410"/>
      <w:bookmarkEnd w:id="86"/>
      <w:r w:rsidRPr="008B264B">
        <w:rPr>
          <w:rFonts w:ascii="Times New Roman" w:eastAsia="Times New Roman" w:hAnsi="Times New Roman" w:cs="Times New Roman"/>
          <w:color w:val="000000"/>
          <w:sz w:val="24"/>
          <w:szCs w:val="24"/>
          <w:lang/>
        </w:rPr>
        <w:t>9.1.1. податок на прибуток підприємств;</w:t>
      </w:r>
    </w:p>
    <w:p w14:paraId="43A7C6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 w:name="n10411"/>
      <w:bookmarkEnd w:id="87"/>
      <w:r w:rsidRPr="008B264B">
        <w:rPr>
          <w:rFonts w:ascii="Times New Roman" w:eastAsia="Times New Roman" w:hAnsi="Times New Roman" w:cs="Times New Roman"/>
          <w:color w:val="000000"/>
          <w:sz w:val="24"/>
          <w:szCs w:val="24"/>
          <w:lang/>
        </w:rPr>
        <w:t>9.1.2. податок на доходи фізичних осіб;</w:t>
      </w:r>
    </w:p>
    <w:p w14:paraId="167986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 w:name="n10412"/>
      <w:bookmarkEnd w:id="88"/>
      <w:r w:rsidRPr="008B264B">
        <w:rPr>
          <w:rFonts w:ascii="Times New Roman" w:eastAsia="Times New Roman" w:hAnsi="Times New Roman" w:cs="Times New Roman"/>
          <w:color w:val="000000"/>
          <w:sz w:val="24"/>
          <w:szCs w:val="24"/>
          <w:lang/>
        </w:rPr>
        <w:t>9.1.3. податок на додану вартість;</w:t>
      </w:r>
    </w:p>
    <w:p w14:paraId="4F264C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 w:name="n10413"/>
      <w:bookmarkEnd w:id="89"/>
      <w:r w:rsidRPr="008B264B">
        <w:rPr>
          <w:rFonts w:ascii="Times New Roman" w:eastAsia="Times New Roman" w:hAnsi="Times New Roman" w:cs="Times New Roman"/>
          <w:color w:val="000000"/>
          <w:sz w:val="24"/>
          <w:szCs w:val="24"/>
          <w:lang/>
        </w:rPr>
        <w:t>9.1.4. акцизний податок;</w:t>
      </w:r>
    </w:p>
    <w:p w14:paraId="0B60FC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 w:name="n10414"/>
      <w:bookmarkEnd w:id="90"/>
      <w:r w:rsidRPr="008B264B">
        <w:rPr>
          <w:rFonts w:ascii="Times New Roman" w:eastAsia="Times New Roman" w:hAnsi="Times New Roman" w:cs="Times New Roman"/>
          <w:color w:val="000000"/>
          <w:sz w:val="24"/>
          <w:szCs w:val="24"/>
          <w:lang/>
        </w:rPr>
        <w:t>9.1.5. екологічний податок;</w:t>
      </w:r>
    </w:p>
    <w:p w14:paraId="22D03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 w:name="n10415"/>
      <w:bookmarkEnd w:id="91"/>
      <w:r w:rsidRPr="008B264B">
        <w:rPr>
          <w:rFonts w:ascii="Times New Roman" w:eastAsia="Times New Roman" w:hAnsi="Times New Roman" w:cs="Times New Roman"/>
          <w:color w:val="000000"/>
          <w:sz w:val="24"/>
          <w:szCs w:val="24"/>
          <w:lang/>
        </w:rPr>
        <w:t>9.1.6. рентна плата;</w:t>
      </w:r>
    </w:p>
    <w:p w14:paraId="2836B7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 w:name="n10416"/>
      <w:bookmarkEnd w:id="92"/>
      <w:r w:rsidRPr="008B264B">
        <w:rPr>
          <w:rFonts w:ascii="Times New Roman" w:eastAsia="Times New Roman" w:hAnsi="Times New Roman" w:cs="Times New Roman"/>
          <w:color w:val="000000"/>
          <w:sz w:val="24"/>
          <w:szCs w:val="24"/>
          <w:lang/>
        </w:rPr>
        <w:t>9.1.7. мито.</w:t>
      </w:r>
    </w:p>
    <w:p w14:paraId="563050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 w:name="n10409"/>
      <w:bookmarkEnd w:id="93"/>
      <w:r w:rsidRPr="008B264B">
        <w:rPr>
          <w:rFonts w:ascii="Times New Roman" w:eastAsia="Times New Roman" w:hAnsi="Times New Roman" w:cs="Times New Roman"/>
          <w:i/>
          <w:iCs/>
          <w:color w:val="000000"/>
          <w:sz w:val="24"/>
          <w:szCs w:val="24"/>
          <w:lang/>
        </w:rPr>
        <w:t>{Пункт 9.1 статті 9 із змінами, внесеними згідно із Законом </w:t>
      </w:r>
      <w:hyperlink r:id="rId169" w:anchor="n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170" w:anchor="n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6870F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 w:name="n207"/>
      <w:bookmarkEnd w:id="94"/>
      <w:r w:rsidRPr="008B264B">
        <w:rPr>
          <w:rFonts w:ascii="Times New Roman" w:eastAsia="Times New Roman" w:hAnsi="Times New Roman" w:cs="Times New Roman"/>
          <w:color w:val="000000"/>
          <w:sz w:val="24"/>
          <w:szCs w:val="24"/>
          <w:lang/>
        </w:rPr>
        <w:t>9.2. Відносини, пов'язані з установленням та справлянням мита, регулюються митним законодавством, якщо інше не передбачено цим Кодексом.</w:t>
      </w:r>
    </w:p>
    <w:p w14:paraId="565DB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 w:name="n208"/>
      <w:bookmarkEnd w:id="95"/>
      <w:r w:rsidRPr="008B264B">
        <w:rPr>
          <w:rFonts w:ascii="Times New Roman" w:eastAsia="Times New Roman" w:hAnsi="Times New Roman" w:cs="Times New Roman"/>
          <w:color w:val="000000"/>
          <w:sz w:val="24"/>
          <w:szCs w:val="24"/>
          <w:lang/>
        </w:rPr>
        <w:t>9.3. Зарахування загальнодержавних податків та зборів до державного і місцевих бюджетів здійснюється відповідно до </w:t>
      </w:r>
      <w:hyperlink r:id="rId171"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w:t>
      </w:r>
    </w:p>
    <w:p w14:paraId="6557E6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 w:name="n209"/>
      <w:bookmarkEnd w:id="96"/>
      <w:r w:rsidRPr="008B264B">
        <w:rPr>
          <w:rFonts w:ascii="Times New Roman" w:eastAsia="Times New Roman" w:hAnsi="Times New Roman" w:cs="Times New Roman"/>
          <w:color w:val="000000"/>
          <w:sz w:val="24"/>
          <w:szCs w:val="24"/>
          <w:lang/>
        </w:rPr>
        <w:t>9.4. Установлення загальнодержавних податків та зборів, не передбачених цим Кодексом, забороняється.</w:t>
      </w:r>
    </w:p>
    <w:p w14:paraId="7842F7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 w:name="n210"/>
      <w:bookmarkEnd w:id="97"/>
      <w:r w:rsidRPr="008B264B">
        <w:rPr>
          <w:rFonts w:ascii="Times New Roman" w:eastAsia="Times New Roman" w:hAnsi="Times New Roman" w:cs="Times New Roman"/>
          <w:b/>
          <w:bCs/>
          <w:color w:val="000000"/>
          <w:sz w:val="24"/>
          <w:szCs w:val="24"/>
          <w:lang/>
        </w:rPr>
        <w:t>Стаття 10.</w:t>
      </w:r>
      <w:r w:rsidRPr="008B264B">
        <w:rPr>
          <w:rFonts w:ascii="Times New Roman" w:eastAsia="Times New Roman" w:hAnsi="Times New Roman" w:cs="Times New Roman"/>
          <w:color w:val="000000"/>
          <w:sz w:val="24"/>
          <w:szCs w:val="24"/>
          <w:lang/>
        </w:rPr>
        <w:t> Місцеві податки</w:t>
      </w:r>
    </w:p>
    <w:p w14:paraId="3C2B33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 w:name="n211"/>
      <w:bookmarkEnd w:id="98"/>
      <w:r w:rsidRPr="008B264B">
        <w:rPr>
          <w:rFonts w:ascii="Times New Roman" w:eastAsia="Times New Roman" w:hAnsi="Times New Roman" w:cs="Times New Roman"/>
          <w:color w:val="000000"/>
          <w:sz w:val="24"/>
          <w:szCs w:val="24"/>
          <w:lang/>
        </w:rPr>
        <w:t>10.1. До місцевих податків належать:</w:t>
      </w:r>
    </w:p>
    <w:p w14:paraId="605BC1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 w:name="n10418"/>
      <w:bookmarkEnd w:id="99"/>
      <w:r w:rsidRPr="008B264B">
        <w:rPr>
          <w:rFonts w:ascii="Times New Roman" w:eastAsia="Times New Roman" w:hAnsi="Times New Roman" w:cs="Times New Roman"/>
          <w:color w:val="000000"/>
          <w:sz w:val="24"/>
          <w:szCs w:val="24"/>
          <w:lang/>
        </w:rPr>
        <w:t>10.1.1. податок на майно;</w:t>
      </w:r>
    </w:p>
    <w:p w14:paraId="3B080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 w:name="n10419"/>
      <w:bookmarkEnd w:id="100"/>
      <w:r w:rsidRPr="008B264B">
        <w:rPr>
          <w:rFonts w:ascii="Times New Roman" w:eastAsia="Times New Roman" w:hAnsi="Times New Roman" w:cs="Times New Roman"/>
          <w:color w:val="000000"/>
          <w:sz w:val="24"/>
          <w:szCs w:val="24"/>
          <w:lang/>
        </w:rPr>
        <w:t>10.1.2. єдиний податок.</w:t>
      </w:r>
    </w:p>
    <w:p w14:paraId="3E10AB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 w:name="n10420"/>
      <w:bookmarkEnd w:id="101"/>
      <w:r w:rsidRPr="008B264B">
        <w:rPr>
          <w:rFonts w:ascii="Times New Roman" w:eastAsia="Times New Roman" w:hAnsi="Times New Roman" w:cs="Times New Roman"/>
          <w:color w:val="000000"/>
          <w:sz w:val="24"/>
          <w:szCs w:val="24"/>
          <w:lang/>
        </w:rPr>
        <w:t>10.2. До місцевих зборів належать:</w:t>
      </w:r>
    </w:p>
    <w:p w14:paraId="208480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 w:name="n10421"/>
      <w:bookmarkEnd w:id="102"/>
      <w:r w:rsidRPr="008B264B">
        <w:rPr>
          <w:rFonts w:ascii="Times New Roman" w:eastAsia="Times New Roman" w:hAnsi="Times New Roman" w:cs="Times New Roman"/>
          <w:color w:val="000000"/>
          <w:sz w:val="24"/>
          <w:szCs w:val="24"/>
          <w:lang/>
        </w:rPr>
        <w:t>10.2.1. збір за місця для паркування транспортних засобів;</w:t>
      </w:r>
    </w:p>
    <w:p w14:paraId="164342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 w:name="n10422"/>
      <w:bookmarkEnd w:id="103"/>
      <w:r w:rsidRPr="008B264B">
        <w:rPr>
          <w:rFonts w:ascii="Times New Roman" w:eastAsia="Times New Roman" w:hAnsi="Times New Roman" w:cs="Times New Roman"/>
          <w:color w:val="000000"/>
          <w:sz w:val="24"/>
          <w:szCs w:val="24"/>
          <w:lang/>
        </w:rPr>
        <w:t>10.2.2. туристичний збір.</w:t>
      </w:r>
    </w:p>
    <w:p w14:paraId="2D5F41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 w:name="n10423"/>
      <w:bookmarkEnd w:id="104"/>
      <w:r w:rsidRPr="008B264B">
        <w:rPr>
          <w:rFonts w:ascii="Times New Roman" w:eastAsia="Times New Roman" w:hAnsi="Times New Roman" w:cs="Times New Roman"/>
          <w:color w:val="000000"/>
          <w:sz w:val="24"/>
          <w:szCs w:val="24"/>
          <w:lang/>
        </w:rPr>
        <w:t>10.2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Місцеві ради обов’язково установлюють єдиний податок та податок на майно (в частині транспортного податку та плати за землю, крім земельного податку за лісові землі).</w:t>
      </w:r>
    </w:p>
    <w:p w14:paraId="3A6B20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 w:name="n15207"/>
      <w:bookmarkEnd w:id="105"/>
      <w:r w:rsidRPr="008B264B">
        <w:rPr>
          <w:rFonts w:ascii="Times New Roman" w:eastAsia="Times New Roman" w:hAnsi="Times New Roman" w:cs="Times New Roman"/>
          <w:i/>
          <w:iCs/>
          <w:color w:val="000000"/>
          <w:sz w:val="24"/>
          <w:szCs w:val="24"/>
          <w:lang/>
        </w:rPr>
        <w:t>{Пункт статті 10 в редакції Закону </w:t>
      </w:r>
      <w:hyperlink r:id="rId172" w:anchor="n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AC5B5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 w:name="n10424"/>
      <w:bookmarkEnd w:id="106"/>
      <w:r w:rsidRPr="008B264B">
        <w:rPr>
          <w:rFonts w:ascii="Times New Roman" w:eastAsia="Times New Roman" w:hAnsi="Times New Roman" w:cs="Times New Roman"/>
          <w:color w:val="000000"/>
          <w:sz w:val="24"/>
          <w:szCs w:val="24"/>
          <w:lang/>
        </w:rPr>
        <w:t>10.3. Місцеві ради в межах повноважень, визначених цим Кодексом, вирішують питання відповідно до вимог цього Кодексу щодо встановлення податку на майно (в частині податку на нерухоме майно, відмінне від земельної ділянки) та встановлення збору за місця для паркування транспортних засобів, туристичного збору та земельного податку за лісові землі.</w:t>
      </w:r>
    </w:p>
    <w:p w14:paraId="4DCC0E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 w:name="n15208"/>
      <w:bookmarkEnd w:id="107"/>
      <w:r w:rsidRPr="008B264B">
        <w:rPr>
          <w:rFonts w:ascii="Times New Roman" w:eastAsia="Times New Roman" w:hAnsi="Times New Roman" w:cs="Times New Roman"/>
          <w:i/>
          <w:iCs/>
          <w:color w:val="000000"/>
          <w:sz w:val="24"/>
          <w:szCs w:val="24"/>
          <w:lang/>
        </w:rPr>
        <w:t>{Пункт 10.3 статті 10 із змінами, внесеними згідно із Законом </w:t>
      </w:r>
      <w:hyperlink r:id="rId173" w:anchor="n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843CA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 w:name="n10425"/>
      <w:bookmarkEnd w:id="108"/>
      <w:r w:rsidRPr="008B264B">
        <w:rPr>
          <w:rFonts w:ascii="Times New Roman" w:eastAsia="Times New Roman" w:hAnsi="Times New Roman" w:cs="Times New Roman"/>
          <w:color w:val="000000"/>
          <w:sz w:val="24"/>
          <w:szCs w:val="24"/>
          <w:lang/>
        </w:rPr>
        <w:t>10.4. Установлення місцевих податків та зборів, не передбачених цим Кодексом, забороняється.</w:t>
      </w:r>
    </w:p>
    <w:p w14:paraId="4BCE08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 w:name="n10426"/>
      <w:bookmarkEnd w:id="109"/>
      <w:r w:rsidRPr="008B264B">
        <w:rPr>
          <w:rFonts w:ascii="Times New Roman" w:eastAsia="Times New Roman" w:hAnsi="Times New Roman" w:cs="Times New Roman"/>
          <w:color w:val="000000"/>
          <w:sz w:val="24"/>
          <w:szCs w:val="24"/>
          <w:lang/>
        </w:rPr>
        <w:t>10.5. Зарахування місцевих податків та зборів до відповідних місцевих бюджетів здійснюється відповідно до </w:t>
      </w:r>
      <w:hyperlink r:id="rId174"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w:t>
      </w:r>
    </w:p>
    <w:p w14:paraId="3A3174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 w:name="n10417"/>
      <w:bookmarkEnd w:id="110"/>
      <w:r w:rsidRPr="008B264B">
        <w:rPr>
          <w:rFonts w:ascii="Times New Roman" w:eastAsia="Times New Roman" w:hAnsi="Times New Roman" w:cs="Times New Roman"/>
          <w:i/>
          <w:iCs/>
          <w:color w:val="000000"/>
          <w:sz w:val="24"/>
          <w:szCs w:val="24"/>
          <w:lang/>
        </w:rPr>
        <w:lastRenderedPageBreak/>
        <w:t>{Стаття 10 в редакції Закону </w:t>
      </w:r>
      <w:hyperlink r:id="rId175" w:anchor="n1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64A78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 w:name="n222"/>
      <w:bookmarkEnd w:id="111"/>
      <w:r w:rsidRPr="008B264B">
        <w:rPr>
          <w:rFonts w:ascii="Times New Roman" w:eastAsia="Times New Roman" w:hAnsi="Times New Roman" w:cs="Times New Roman"/>
          <w:b/>
          <w:bCs/>
          <w:color w:val="000000"/>
          <w:sz w:val="24"/>
          <w:szCs w:val="24"/>
          <w:lang/>
        </w:rPr>
        <w:t>Стаття 11.</w:t>
      </w:r>
      <w:r w:rsidRPr="008B264B">
        <w:rPr>
          <w:rFonts w:ascii="Times New Roman" w:eastAsia="Times New Roman" w:hAnsi="Times New Roman" w:cs="Times New Roman"/>
          <w:color w:val="000000"/>
          <w:sz w:val="24"/>
          <w:szCs w:val="24"/>
          <w:lang/>
        </w:rPr>
        <w:t> Спеціальні податкові режими</w:t>
      </w:r>
    </w:p>
    <w:p w14:paraId="41FF35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 w:name="n223"/>
      <w:bookmarkEnd w:id="112"/>
      <w:r w:rsidRPr="008B264B">
        <w:rPr>
          <w:rFonts w:ascii="Times New Roman" w:eastAsia="Times New Roman" w:hAnsi="Times New Roman" w:cs="Times New Roman"/>
          <w:color w:val="000000"/>
          <w:sz w:val="24"/>
          <w:szCs w:val="24"/>
          <w:lang/>
        </w:rPr>
        <w:t>11.1. Спеціальні податкові режими встановлюються та застосовуються у випадках і порядку, визначених виключно цим Кодексом.</w:t>
      </w:r>
    </w:p>
    <w:p w14:paraId="76A220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 w:name="n224"/>
      <w:bookmarkEnd w:id="113"/>
      <w:r w:rsidRPr="008B264B">
        <w:rPr>
          <w:rFonts w:ascii="Times New Roman" w:eastAsia="Times New Roman" w:hAnsi="Times New Roman" w:cs="Times New Roman"/>
          <w:color w:val="000000"/>
          <w:sz w:val="24"/>
          <w:szCs w:val="24"/>
          <w:lang/>
        </w:rPr>
        <w:t>11.2. Спеціальний податковий режим - система заходів, що визначає особливий порядок оподаткування окремих категорій господарюючих суб'єктів.</w:t>
      </w:r>
    </w:p>
    <w:p w14:paraId="44D0B7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 w:name="n225"/>
      <w:bookmarkEnd w:id="114"/>
      <w:r w:rsidRPr="008B264B">
        <w:rPr>
          <w:rFonts w:ascii="Times New Roman" w:eastAsia="Times New Roman" w:hAnsi="Times New Roman" w:cs="Times New Roman"/>
          <w:color w:val="000000"/>
          <w:sz w:val="24"/>
          <w:szCs w:val="24"/>
          <w:lang/>
        </w:rPr>
        <w:t>11.3. Спеціальний податковий режим може передбачати особливий порядок визначення елементів податку та збору, звільнення від сплати окремих податків та зборів.</w:t>
      </w:r>
    </w:p>
    <w:p w14:paraId="16226C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 w:name="n226"/>
      <w:bookmarkEnd w:id="115"/>
      <w:r w:rsidRPr="008B264B">
        <w:rPr>
          <w:rFonts w:ascii="Times New Roman" w:eastAsia="Times New Roman" w:hAnsi="Times New Roman" w:cs="Times New Roman"/>
          <w:color w:val="000000"/>
          <w:sz w:val="24"/>
          <w:szCs w:val="24"/>
          <w:lang/>
        </w:rPr>
        <w:t>11.4. Не визнаються спеціальними режимами податкові режими, не визначені такими цим Кодексом.</w:t>
      </w:r>
    </w:p>
    <w:p w14:paraId="41ACB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 w:name="n227"/>
      <w:bookmarkEnd w:id="116"/>
      <w:r w:rsidRPr="008B264B">
        <w:rPr>
          <w:rFonts w:ascii="Times New Roman" w:eastAsia="Times New Roman" w:hAnsi="Times New Roman" w:cs="Times New Roman"/>
          <w:b/>
          <w:bCs/>
          <w:color w:val="000000"/>
          <w:sz w:val="24"/>
          <w:szCs w:val="24"/>
          <w:lang/>
        </w:rPr>
        <w:t>Стаття 12.</w:t>
      </w:r>
      <w:r w:rsidRPr="008B264B">
        <w:rPr>
          <w:rFonts w:ascii="Times New Roman" w:eastAsia="Times New Roman" w:hAnsi="Times New Roman" w:cs="Times New Roman"/>
          <w:color w:val="000000"/>
          <w:sz w:val="24"/>
          <w:szCs w:val="24"/>
          <w:lang/>
        </w:rPr>
        <w:t> Повноваження Верховної Ради України, Верховної Ради Автономної Республіки Крим, сільських, селищних, міських рад та рад об’єднаних територіальних громад, що створені згідно із законом та перспективним планом формування територій громад, щодо податків та зборів</w:t>
      </w:r>
    </w:p>
    <w:p w14:paraId="1B11AF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 w:name="n12644"/>
      <w:bookmarkEnd w:id="117"/>
      <w:r w:rsidRPr="008B264B">
        <w:rPr>
          <w:rFonts w:ascii="Times New Roman" w:eastAsia="Times New Roman" w:hAnsi="Times New Roman" w:cs="Times New Roman"/>
          <w:i/>
          <w:iCs/>
          <w:color w:val="000000"/>
          <w:sz w:val="24"/>
          <w:szCs w:val="24"/>
          <w:lang/>
        </w:rPr>
        <w:t>{Назва статті 12 в редакції Закону </w:t>
      </w:r>
      <w:hyperlink r:id="rId176" w:anchor="n1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07403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 w:name="n228"/>
      <w:bookmarkEnd w:id="118"/>
      <w:r w:rsidRPr="008B264B">
        <w:rPr>
          <w:rFonts w:ascii="Times New Roman" w:eastAsia="Times New Roman" w:hAnsi="Times New Roman" w:cs="Times New Roman"/>
          <w:color w:val="000000"/>
          <w:sz w:val="24"/>
          <w:szCs w:val="24"/>
          <w:lang/>
        </w:rPr>
        <w:t>12.1. Верховна Рада України встановлює на території України загальнодержавні податки та збори і визначає:</w:t>
      </w:r>
    </w:p>
    <w:p w14:paraId="4DB221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 w:name="n229"/>
      <w:bookmarkEnd w:id="119"/>
      <w:r w:rsidRPr="008B264B">
        <w:rPr>
          <w:rFonts w:ascii="Times New Roman" w:eastAsia="Times New Roman" w:hAnsi="Times New Roman" w:cs="Times New Roman"/>
          <w:color w:val="000000"/>
          <w:sz w:val="24"/>
          <w:szCs w:val="24"/>
          <w:lang/>
        </w:rPr>
        <w:t>12.1.1. перелік загальнодержавних податків та зборів;</w:t>
      </w:r>
    </w:p>
    <w:p w14:paraId="45CDB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 w:name="n230"/>
      <w:bookmarkEnd w:id="120"/>
      <w:r w:rsidRPr="008B264B">
        <w:rPr>
          <w:rFonts w:ascii="Times New Roman" w:eastAsia="Times New Roman" w:hAnsi="Times New Roman" w:cs="Times New Roman"/>
          <w:color w:val="000000"/>
          <w:sz w:val="24"/>
          <w:szCs w:val="24"/>
          <w:lang/>
        </w:rPr>
        <w:t>12.1.2. перелік місцевих податків та зборів, установлення яких належить до компетенції сільських, селищних, міських рад та рад об’єднаних територіальних громад, що створені згідно із законом та перспективним планом формування територій громад;</w:t>
      </w:r>
    </w:p>
    <w:p w14:paraId="008CBB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 w:name="n12645"/>
      <w:bookmarkEnd w:id="121"/>
      <w:r w:rsidRPr="008B264B">
        <w:rPr>
          <w:rFonts w:ascii="Times New Roman" w:eastAsia="Times New Roman" w:hAnsi="Times New Roman" w:cs="Times New Roman"/>
          <w:i/>
          <w:iCs/>
          <w:color w:val="000000"/>
          <w:sz w:val="24"/>
          <w:szCs w:val="24"/>
          <w:lang/>
        </w:rPr>
        <w:t>{Підпункт 12.1.2 пункту 12.1 статті 12 із змінами, внесеними згідно із Законом </w:t>
      </w:r>
      <w:hyperlink r:id="rId177" w:anchor="n1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1F4CF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 w:name="n231"/>
      <w:bookmarkEnd w:id="122"/>
      <w:r w:rsidRPr="008B264B">
        <w:rPr>
          <w:rFonts w:ascii="Times New Roman" w:eastAsia="Times New Roman" w:hAnsi="Times New Roman" w:cs="Times New Roman"/>
          <w:color w:val="000000"/>
          <w:sz w:val="24"/>
          <w:szCs w:val="24"/>
          <w:lang/>
        </w:rPr>
        <w:t>12.1.3. положення, визначені в </w:t>
      </w:r>
      <w:hyperlink r:id="rId178" w:anchor="n171" w:history="1">
        <w:r w:rsidRPr="008B264B">
          <w:rPr>
            <w:rFonts w:ascii="Times New Roman" w:eastAsia="Times New Roman" w:hAnsi="Times New Roman" w:cs="Times New Roman"/>
            <w:color w:val="0000FF"/>
            <w:sz w:val="24"/>
            <w:szCs w:val="24"/>
            <w:u w:val="single"/>
            <w:lang/>
          </w:rPr>
          <w:t>пунктах 7.1</w:t>
        </w:r>
      </w:hyperlink>
      <w:r w:rsidRPr="008B264B">
        <w:rPr>
          <w:rFonts w:ascii="Times New Roman" w:eastAsia="Times New Roman" w:hAnsi="Times New Roman" w:cs="Times New Roman"/>
          <w:color w:val="000000"/>
          <w:sz w:val="24"/>
          <w:szCs w:val="24"/>
          <w:lang/>
        </w:rPr>
        <w:t>, </w:t>
      </w:r>
      <w:hyperlink r:id="rId179" w:anchor="n180" w:history="1">
        <w:r w:rsidRPr="008B264B">
          <w:rPr>
            <w:rFonts w:ascii="Times New Roman" w:eastAsia="Times New Roman" w:hAnsi="Times New Roman" w:cs="Times New Roman"/>
            <w:color w:val="0000FF"/>
            <w:sz w:val="24"/>
            <w:szCs w:val="24"/>
            <w:u w:val="single"/>
            <w:lang/>
          </w:rPr>
          <w:t>7.2 статті 7</w:t>
        </w:r>
      </w:hyperlink>
      <w:r w:rsidRPr="008B264B">
        <w:rPr>
          <w:rFonts w:ascii="Times New Roman" w:eastAsia="Times New Roman" w:hAnsi="Times New Roman" w:cs="Times New Roman"/>
          <w:color w:val="000000"/>
          <w:sz w:val="24"/>
          <w:szCs w:val="24"/>
          <w:lang/>
        </w:rPr>
        <w:t> цього Кодексу щодо загальнодержавних податків та зборів;</w:t>
      </w:r>
    </w:p>
    <w:p w14:paraId="17CAAB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 w:name="n232"/>
      <w:bookmarkEnd w:id="123"/>
      <w:r w:rsidRPr="008B264B">
        <w:rPr>
          <w:rFonts w:ascii="Times New Roman" w:eastAsia="Times New Roman" w:hAnsi="Times New Roman" w:cs="Times New Roman"/>
          <w:color w:val="000000"/>
          <w:sz w:val="24"/>
          <w:szCs w:val="24"/>
          <w:lang/>
        </w:rPr>
        <w:t>12.1.4. положення, визначені в пунктах 7.1, 7.2 статті 7 цього Кодексу щодо місцевих податків та зборів.</w:t>
      </w:r>
    </w:p>
    <w:p w14:paraId="55125B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 w:name="n233"/>
      <w:bookmarkEnd w:id="124"/>
      <w:r w:rsidRPr="008B264B">
        <w:rPr>
          <w:rFonts w:ascii="Times New Roman" w:eastAsia="Times New Roman" w:hAnsi="Times New Roman" w:cs="Times New Roman"/>
          <w:color w:val="000000"/>
          <w:sz w:val="24"/>
          <w:szCs w:val="24"/>
          <w:lang/>
        </w:rPr>
        <w:t>12.2. До повноважень Верховної Ради Автономної Республіки Крим належать:</w:t>
      </w:r>
    </w:p>
    <w:p w14:paraId="3C3BBA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 w:name="n234"/>
      <w:bookmarkEnd w:id="125"/>
      <w:r w:rsidRPr="008B264B">
        <w:rPr>
          <w:rFonts w:ascii="Times New Roman" w:eastAsia="Times New Roman" w:hAnsi="Times New Roman" w:cs="Times New Roman"/>
          <w:color w:val="000000"/>
          <w:sz w:val="24"/>
          <w:szCs w:val="24"/>
          <w:lang/>
        </w:rPr>
        <w:t>12.2.1. установлення на території Автономної Республіки Крим рентної плати за користування надрами для видобування корисних копалин (крім рентної плати за користування надрами для видобування корисних копалин загальнодержавного значення), рентної плати за користування надрами в цілях, не пов’язаних з видобуванням корисних копалин, у межах їх граничних ставок, визначених цим Кодексом;</w:t>
      </w:r>
    </w:p>
    <w:p w14:paraId="5A767D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 w:name="n10427"/>
      <w:bookmarkEnd w:id="126"/>
      <w:r w:rsidRPr="008B264B">
        <w:rPr>
          <w:rFonts w:ascii="Times New Roman" w:eastAsia="Times New Roman" w:hAnsi="Times New Roman" w:cs="Times New Roman"/>
          <w:i/>
          <w:iCs/>
          <w:color w:val="000000"/>
          <w:sz w:val="24"/>
          <w:szCs w:val="24"/>
          <w:lang/>
        </w:rPr>
        <w:t>{Підпункт 12.2.1 пункту 12.2 статті 12 в редакції Закону </w:t>
      </w:r>
      <w:hyperlink r:id="rId180" w:anchor="n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EC24F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 w:name="n235"/>
      <w:bookmarkEnd w:id="127"/>
      <w:r w:rsidRPr="008B264B">
        <w:rPr>
          <w:rFonts w:ascii="Times New Roman" w:eastAsia="Times New Roman" w:hAnsi="Times New Roman" w:cs="Times New Roman"/>
          <w:color w:val="000000"/>
          <w:sz w:val="24"/>
          <w:szCs w:val="24"/>
          <w:lang/>
        </w:rPr>
        <w:t>12.2.2. зміна розміру ставок рентної плати, передбаченої підпунктом 12.2.1 цього пункту, у межах її граничних ставок, визначених цим Кодексом, у порядку, встановленому цим Кодексом;</w:t>
      </w:r>
    </w:p>
    <w:p w14:paraId="4F7CD9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 w:name="n10428"/>
      <w:bookmarkEnd w:id="128"/>
      <w:r w:rsidRPr="008B264B">
        <w:rPr>
          <w:rFonts w:ascii="Times New Roman" w:eastAsia="Times New Roman" w:hAnsi="Times New Roman" w:cs="Times New Roman"/>
          <w:i/>
          <w:iCs/>
          <w:color w:val="000000"/>
          <w:sz w:val="24"/>
          <w:szCs w:val="24"/>
          <w:lang/>
        </w:rPr>
        <w:t>{Підпункт 12.2.2 пункту 12.2 статті 12 в редакції Закону </w:t>
      </w:r>
      <w:hyperlink r:id="rId181" w:anchor="n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AEC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 w:name="n236"/>
      <w:bookmarkEnd w:id="129"/>
      <w:r w:rsidRPr="008B264B">
        <w:rPr>
          <w:rFonts w:ascii="Times New Roman" w:eastAsia="Times New Roman" w:hAnsi="Times New Roman" w:cs="Times New Roman"/>
          <w:color w:val="000000"/>
          <w:sz w:val="24"/>
          <w:szCs w:val="24"/>
          <w:lang/>
        </w:rPr>
        <w:t>12.2.3. визначення розміру і надання додаткових податкових пільг у межах сум, що надходять до бюджету Автономної Республіки Крим відповідно до </w:t>
      </w:r>
      <w:hyperlink r:id="rId182" w:anchor="n1096" w:tgtFrame="_blank" w:history="1">
        <w:r w:rsidRPr="008B264B">
          <w:rPr>
            <w:rFonts w:ascii="Times New Roman" w:eastAsia="Times New Roman" w:hAnsi="Times New Roman" w:cs="Times New Roman"/>
            <w:color w:val="0000FF"/>
            <w:sz w:val="24"/>
            <w:szCs w:val="24"/>
            <w:u w:val="single"/>
            <w:lang/>
          </w:rPr>
          <w:t>статті 69 Бюджетного кодексу України</w:t>
        </w:r>
      </w:hyperlink>
      <w:r w:rsidRPr="008B264B">
        <w:rPr>
          <w:rFonts w:ascii="Times New Roman" w:eastAsia="Times New Roman" w:hAnsi="Times New Roman" w:cs="Times New Roman"/>
          <w:color w:val="000000"/>
          <w:sz w:val="24"/>
          <w:szCs w:val="24"/>
          <w:lang/>
        </w:rPr>
        <w:t>.</w:t>
      </w:r>
    </w:p>
    <w:p w14:paraId="620ACA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 w:name="n237"/>
      <w:bookmarkEnd w:id="130"/>
      <w:r w:rsidRPr="008B264B">
        <w:rPr>
          <w:rFonts w:ascii="Times New Roman" w:eastAsia="Times New Roman" w:hAnsi="Times New Roman" w:cs="Times New Roman"/>
          <w:color w:val="000000"/>
          <w:sz w:val="24"/>
          <w:szCs w:val="24"/>
          <w:lang/>
        </w:rPr>
        <w:t>12.3. Сільські, селищні, міські ради та ради об’єднаних територіальних громад, що створені згідно із законом та перспективним планом формування територій громад, в межах своїх повноважень приймають рішення про встановлення місцевих податків та зборів.</w:t>
      </w:r>
    </w:p>
    <w:p w14:paraId="530877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 w:name="n12646"/>
      <w:bookmarkEnd w:id="131"/>
      <w:r w:rsidRPr="008B264B">
        <w:rPr>
          <w:rFonts w:ascii="Times New Roman" w:eastAsia="Times New Roman" w:hAnsi="Times New Roman" w:cs="Times New Roman"/>
          <w:i/>
          <w:iCs/>
          <w:color w:val="000000"/>
          <w:sz w:val="24"/>
          <w:szCs w:val="24"/>
          <w:lang/>
        </w:rPr>
        <w:lastRenderedPageBreak/>
        <w:t>{Абзац перший пункту 12.3 статті 12 із змінами, внесеними згідно із Законом </w:t>
      </w:r>
      <w:hyperlink r:id="rId183" w:anchor="n1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6CB4D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 w:name="n238"/>
      <w:bookmarkEnd w:id="132"/>
      <w:r w:rsidRPr="008B264B">
        <w:rPr>
          <w:rFonts w:ascii="Times New Roman" w:eastAsia="Times New Roman" w:hAnsi="Times New Roman" w:cs="Times New Roman"/>
          <w:color w:val="000000"/>
          <w:sz w:val="24"/>
          <w:szCs w:val="24"/>
          <w:lang/>
        </w:rPr>
        <w:t>12.3.1. Встановлення місцевих податків та зборів здійснюється у порядку, визначеному цим Кодексом.</w:t>
      </w:r>
    </w:p>
    <w:p w14:paraId="406992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 w:name="n239"/>
      <w:bookmarkEnd w:id="133"/>
      <w:r w:rsidRPr="008B264B">
        <w:rPr>
          <w:rFonts w:ascii="Times New Roman" w:eastAsia="Times New Roman" w:hAnsi="Times New Roman" w:cs="Times New Roman"/>
          <w:color w:val="000000"/>
          <w:sz w:val="24"/>
          <w:szCs w:val="24"/>
          <w:lang/>
        </w:rPr>
        <w:t>12.3.2. При прийнятті рішення про встановлення місцевих податків та зборів обов'язково визначаються об'єкт оподаткування, платник податків і зборів, розмір ставки, податковий період та інші обов'язкові елементи, визначенні </w:t>
      </w:r>
      <w:hyperlink r:id="rId184" w:anchor="n170" w:history="1">
        <w:r w:rsidRPr="008B264B">
          <w:rPr>
            <w:rFonts w:ascii="Times New Roman" w:eastAsia="Times New Roman" w:hAnsi="Times New Roman" w:cs="Times New Roman"/>
            <w:color w:val="0000FF"/>
            <w:sz w:val="24"/>
            <w:szCs w:val="24"/>
            <w:u w:val="single"/>
            <w:lang/>
          </w:rPr>
          <w:t>статтею 7</w:t>
        </w:r>
      </w:hyperlink>
      <w:r w:rsidRPr="008B264B">
        <w:rPr>
          <w:rFonts w:ascii="Times New Roman" w:eastAsia="Times New Roman" w:hAnsi="Times New Roman" w:cs="Times New Roman"/>
          <w:color w:val="000000"/>
          <w:sz w:val="24"/>
          <w:szCs w:val="24"/>
          <w:lang/>
        </w:rPr>
        <w:t> цього Кодексу з дотриманням критеріїв, встановлених </w:t>
      </w:r>
      <w:hyperlink r:id="rId185" w:anchor="n6340" w:history="1">
        <w:r w:rsidRPr="008B264B">
          <w:rPr>
            <w:rFonts w:ascii="Times New Roman" w:eastAsia="Times New Roman" w:hAnsi="Times New Roman" w:cs="Times New Roman"/>
            <w:color w:val="0000FF"/>
            <w:sz w:val="24"/>
            <w:szCs w:val="24"/>
            <w:u w:val="single"/>
            <w:lang/>
          </w:rPr>
          <w:t>розділом XII</w:t>
        </w:r>
      </w:hyperlink>
      <w:r w:rsidRPr="008B264B">
        <w:rPr>
          <w:rFonts w:ascii="Times New Roman" w:eastAsia="Times New Roman" w:hAnsi="Times New Roman" w:cs="Times New Roman"/>
          <w:color w:val="000000"/>
          <w:sz w:val="24"/>
          <w:szCs w:val="24"/>
          <w:lang/>
        </w:rPr>
        <w:t> цього Кодексу для відповідного місцевого податку чи збору.</w:t>
      </w:r>
    </w:p>
    <w:p w14:paraId="2D16BE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 w:name="n240"/>
      <w:bookmarkEnd w:id="134"/>
      <w:r w:rsidRPr="008B264B">
        <w:rPr>
          <w:rFonts w:ascii="Times New Roman" w:eastAsia="Times New Roman" w:hAnsi="Times New Roman" w:cs="Times New Roman"/>
          <w:color w:val="000000"/>
          <w:sz w:val="24"/>
          <w:szCs w:val="24"/>
          <w:lang/>
        </w:rPr>
        <w:t>12.3.3. Копія прийнятого рішення про встановлення місцевих податків чи зборів або про внесення змін до них надсилається в електронному вигляді у десятиденний строк з дня прийняття до контролюючого органу, в якому перебувають на обліку платники відповідних місцевих податків та зборів, але не пізніше 1 липня року, що передує бюджетному періоду, в якому планується застосовування встановлюваних місцевих податків та зборів або змін до них.</w:t>
      </w:r>
    </w:p>
    <w:p w14:paraId="5C93F9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 w:name="n14723"/>
      <w:bookmarkEnd w:id="135"/>
      <w:r w:rsidRPr="008B264B">
        <w:rPr>
          <w:rFonts w:ascii="Times New Roman" w:eastAsia="Times New Roman" w:hAnsi="Times New Roman" w:cs="Times New Roman"/>
          <w:color w:val="000000"/>
          <w:sz w:val="24"/>
          <w:szCs w:val="24"/>
          <w:lang/>
        </w:rPr>
        <w:t>Контролюючі органи не пізніше 10 липня поточного року складають зведену інформацію про розмір та дату встановлення ставок місцевих податків та зборів на відповідних територіях та подають її в електронній формі центральному органу виконавчої влади, що реалізує державну податкову та митну політику.</w:t>
      </w:r>
    </w:p>
    <w:p w14:paraId="33E882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 w:name="n15210"/>
      <w:bookmarkEnd w:id="136"/>
      <w:r w:rsidRPr="008B264B">
        <w:rPr>
          <w:rFonts w:ascii="Times New Roman" w:eastAsia="Times New Roman" w:hAnsi="Times New Roman" w:cs="Times New Roman"/>
          <w:color w:val="000000"/>
          <w:sz w:val="24"/>
          <w:szCs w:val="24"/>
          <w:lang/>
        </w:rPr>
        <w:t>Контролюючі органи відповідно до </w:t>
      </w:r>
      <w:hyperlink r:id="rId186"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 подають органам місцевого самоврядування у розрізі джерел доходів звітність:</w:t>
      </w:r>
    </w:p>
    <w:p w14:paraId="79D1C4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 w:name="n15216"/>
      <w:bookmarkEnd w:id="137"/>
      <w:r w:rsidRPr="008B264B">
        <w:rPr>
          <w:rFonts w:ascii="Times New Roman" w:eastAsia="Times New Roman" w:hAnsi="Times New Roman" w:cs="Times New Roman"/>
          <w:i/>
          <w:iCs/>
          <w:color w:val="000000"/>
          <w:sz w:val="24"/>
          <w:szCs w:val="24"/>
          <w:lang/>
        </w:rPr>
        <w:t>{Підпункт 12.3.3 пункту 12.3 статті 12 доповнено новим абзацом згідно із Законом </w:t>
      </w:r>
      <w:hyperlink r:id="rId187" w:anchor="n1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F7105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 w:name="n15211"/>
      <w:bookmarkEnd w:id="138"/>
      <w:r w:rsidRPr="008B264B">
        <w:rPr>
          <w:rFonts w:ascii="Times New Roman" w:eastAsia="Times New Roman" w:hAnsi="Times New Roman" w:cs="Times New Roman"/>
          <w:color w:val="000000"/>
          <w:sz w:val="24"/>
          <w:szCs w:val="24"/>
          <w:lang/>
        </w:rPr>
        <w:t>про суми нарахованих та сплачених податків і зборів, суми податкового боргу та надмірно сплачених до місцевих бюджетів податків і зборів на відповідних територіях - щомісячно, не пізніше 10 числа місяця, що настає за звітним;</w:t>
      </w:r>
    </w:p>
    <w:p w14:paraId="2DF804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 w:name="n15215"/>
      <w:bookmarkEnd w:id="139"/>
      <w:r w:rsidRPr="008B264B">
        <w:rPr>
          <w:rFonts w:ascii="Times New Roman" w:eastAsia="Times New Roman" w:hAnsi="Times New Roman" w:cs="Times New Roman"/>
          <w:i/>
          <w:iCs/>
          <w:color w:val="000000"/>
          <w:sz w:val="24"/>
          <w:szCs w:val="24"/>
          <w:lang/>
        </w:rPr>
        <w:t>{Підпункт 12.3.3 пункту 12.3 статті 12 доповнено новим абзацом згідно із Законом </w:t>
      </w:r>
      <w:hyperlink r:id="rId188" w:anchor="n1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EC9E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 w:name="n15212"/>
      <w:bookmarkEnd w:id="140"/>
      <w:r w:rsidRPr="008B264B">
        <w:rPr>
          <w:rFonts w:ascii="Times New Roman" w:eastAsia="Times New Roman" w:hAnsi="Times New Roman" w:cs="Times New Roman"/>
          <w:color w:val="000000"/>
          <w:sz w:val="24"/>
          <w:szCs w:val="24"/>
          <w:lang/>
        </w:rPr>
        <w:t>про суми списаного податкового боргу; розстрочені і відстрочені суми податкового боргу і грошових зобов’язань платників податків; суми наданих податкових пільг, включаючи втрати доходів бюджету від їх надання - щокварталу, не пізніше 25 днів після закінчення звітного кварталу.</w:t>
      </w:r>
    </w:p>
    <w:p w14:paraId="431AF9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 w:name="n15214"/>
      <w:bookmarkEnd w:id="141"/>
      <w:r w:rsidRPr="008B264B">
        <w:rPr>
          <w:rFonts w:ascii="Times New Roman" w:eastAsia="Times New Roman" w:hAnsi="Times New Roman" w:cs="Times New Roman"/>
          <w:i/>
          <w:iCs/>
          <w:color w:val="000000"/>
          <w:sz w:val="24"/>
          <w:szCs w:val="24"/>
          <w:lang/>
        </w:rPr>
        <w:t>{Підпункт 12.3.3 пункту 12.3 статті 12 доповнено новим абзацом згідно із Законом </w:t>
      </w:r>
      <w:hyperlink r:id="rId189" w:anchor="n1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CD6D4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 w:name="n15213"/>
      <w:bookmarkEnd w:id="142"/>
      <w:r w:rsidRPr="008B264B">
        <w:rPr>
          <w:rFonts w:ascii="Times New Roman" w:eastAsia="Times New Roman" w:hAnsi="Times New Roman" w:cs="Times New Roman"/>
          <w:color w:val="000000"/>
          <w:sz w:val="24"/>
          <w:szCs w:val="24"/>
          <w:lang/>
        </w:rPr>
        <w:t>Зазначена звітність по платниках надається контролюючим органом за запитом органу місцевого самоврядування.</w:t>
      </w:r>
    </w:p>
    <w:p w14:paraId="58B423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 w:name="n15209"/>
      <w:bookmarkEnd w:id="143"/>
      <w:r w:rsidRPr="008B264B">
        <w:rPr>
          <w:rFonts w:ascii="Times New Roman" w:eastAsia="Times New Roman" w:hAnsi="Times New Roman" w:cs="Times New Roman"/>
          <w:i/>
          <w:iCs/>
          <w:color w:val="000000"/>
          <w:sz w:val="24"/>
          <w:szCs w:val="24"/>
          <w:lang/>
        </w:rPr>
        <w:t>{Підпункт 12.3.3 пункту 12.3 статті 12 доповнено новим абзацом згідно із Законом </w:t>
      </w:r>
      <w:hyperlink r:id="rId190" w:anchor="n1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1BC18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 w:name="n14724"/>
      <w:bookmarkEnd w:id="144"/>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податкову та митну політику, не пізніше 15 липня поточного року оприлюднює на своєму офіційному веб-сайті зведену інформацію про розмір та дату встановлення ставок місцевих податків та зборів на відповідних територіях.</w:t>
      </w:r>
    </w:p>
    <w:p w14:paraId="77F43A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 w:name="n14725"/>
      <w:bookmarkEnd w:id="145"/>
      <w:r w:rsidRPr="008B264B">
        <w:rPr>
          <w:rFonts w:ascii="Times New Roman" w:eastAsia="Times New Roman" w:hAnsi="Times New Roman" w:cs="Times New Roman"/>
          <w:color w:val="000000"/>
          <w:sz w:val="24"/>
          <w:szCs w:val="24"/>
          <w:lang/>
        </w:rPr>
        <w:t>Орган місцевого самоврядування у десятиденний строк з дня затвердження технічної документації з нормативної грошової оцінки земель направляє в електронній формі до контролюючого органу інформацію про нормативну грошову оцінку земель.</w:t>
      </w:r>
    </w:p>
    <w:p w14:paraId="6F6640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 w:name="n14726"/>
      <w:bookmarkEnd w:id="146"/>
      <w:r w:rsidRPr="008B264B">
        <w:rPr>
          <w:rFonts w:ascii="Times New Roman" w:eastAsia="Times New Roman" w:hAnsi="Times New Roman" w:cs="Times New Roman"/>
          <w:color w:val="000000"/>
          <w:sz w:val="24"/>
          <w:szCs w:val="24"/>
          <w:lang/>
        </w:rPr>
        <w:t>Контролюючі органи не пізніше 10 липня поточного року складають зведену інформацію про нормативну грошову оцінку земель.</w:t>
      </w:r>
    </w:p>
    <w:p w14:paraId="40CA2F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 w:name="n14727"/>
      <w:bookmarkEnd w:id="147"/>
      <w:r w:rsidRPr="008B264B">
        <w:rPr>
          <w:rFonts w:ascii="Times New Roman" w:eastAsia="Times New Roman" w:hAnsi="Times New Roman" w:cs="Times New Roman"/>
          <w:color w:val="000000"/>
          <w:sz w:val="24"/>
          <w:szCs w:val="24"/>
          <w:lang/>
        </w:rPr>
        <w:lastRenderedPageBreak/>
        <w:t>Центральний орган виконавчої влади, що реалізує державну податкову та митну політику, не пізніше 15 липня поточного року оприлюднює на своєму офіційному веб-сайті зведену інформацію про проведену нормативну грошову оцінку земель.</w:t>
      </w:r>
    </w:p>
    <w:p w14:paraId="277D4D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 w:name="n14722"/>
      <w:bookmarkEnd w:id="148"/>
      <w:r w:rsidRPr="008B264B">
        <w:rPr>
          <w:rFonts w:ascii="Times New Roman" w:eastAsia="Times New Roman" w:hAnsi="Times New Roman" w:cs="Times New Roman"/>
          <w:i/>
          <w:iCs/>
          <w:color w:val="000000"/>
          <w:sz w:val="24"/>
          <w:szCs w:val="24"/>
          <w:lang/>
        </w:rPr>
        <w:t>{Підпункт 12.3.3 пункту 12.3 статті 12 в редакції Закону </w:t>
      </w:r>
      <w:hyperlink r:id="rId191" w:anchor="n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D1931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 w:name="n241"/>
      <w:bookmarkEnd w:id="149"/>
      <w:r w:rsidRPr="008B264B">
        <w:rPr>
          <w:rFonts w:ascii="Times New Roman" w:eastAsia="Times New Roman" w:hAnsi="Times New Roman" w:cs="Times New Roman"/>
          <w:color w:val="000000"/>
          <w:sz w:val="24"/>
          <w:szCs w:val="24"/>
          <w:lang/>
        </w:rPr>
        <w:t>12.3.4. Рішення про встановлення місцевих податків та зборів офіційно оприлюднюється відповідним органом місцевого самоврядування до 15 липня року, що передує бюджетному періоду, в якому планується застосовування встановлюваних місцевих податків та зборів або змін (плановий період). В іншому разі норми відповідних рішень застосовуються не раніше початку бюджетного періоду, що настає за плановим періодом.</w:t>
      </w:r>
    </w:p>
    <w:p w14:paraId="1A7D6A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 w:name="n242"/>
      <w:bookmarkEnd w:id="150"/>
      <w:r w:rsidRPr="008B264B">
        <w:rPr>
          <w:rFonts w:ascii="Times New Roman" w:eastAsia="Times New Roman" w:hAnsi="Times New Roman" w:cs="Times New Roman"/>
          <w:color w:val="000000"/>
          <w:sz w:val="24"/>
          <w:szCs w:val="24"/>
          <w:lang/>
        </w:rPr>
        <w:t>12.3.5. У разі якщо сільська, селищна, міська рада або рада об’єднаних територіальних громад, що створена згідно із законом та перспективним планом формування територій громад, не прийняла рішення про встановлення відповідних місцевих податків і зборів, що є обов’язковими згідно з нормами цього Кодексу, такі податки до прийняття рішення справляються виходячи з норм цього Кодексу із застосуванням їх мінімальних ставок, а плата за землю справляється із застосуванням ставок, які діяли до 31 грудня року, що передує бюджетному періоду, в якому планується застосування плати за землю.</w:t>
      </w:r>
    </w:p>
    <w:p w14:paraId="5873D8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 w:name="n10429"/>
      <w:bookmarkEnd w:id="151"/>
      <w:r w:rsidRPr="008B264B">
        <w:rPr>
          <w:rFonts w:ascii="Times New Roman" w:eastAsia="Times New Roman" w:hAnsi="Times New Roman" w:cs="Times New Roman"/>
          <w:i/>
          <w:iCs/>
          <w:color w:val="000000"/>
          <w:sz w:val="24"/>
          <w:szCs w:val="24"/>
          <w:lang/>
        </w:rPr>
        <w:t>{Підпункт 12.3.5 пункту 12.3 статті 12 в редакції Законів </w:t>
      </w:r>
      <w:hyperlink r:id="rId192" w:anchor="n3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193" w:anchor="n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F3748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 w:name="n243"/>
      <w:bookmarkEnd w:id="152"/>
      <w:r w:rsidRPr="008B264B">
        <w:rPr>
          <w:rFonts w:ascii="Times New Roman" w:eastAsia="Times New Roman" w:hAnsi="Times New Roman" w:cs="Times New Roman"/>
          <w:color w:val="000000"/>
          <w:sz w:val="24"/>
          <w:szCs w:val="24"/>
          <w:lang/>
        </w:rPr>
        <w:t>12.3.6. Центральний орган виконавчої влади, що забезпечує формування та реалізує державну фінансову політику, затверджує форми податкових декларацій (розрахунків) з місцевих податків та зборів згідно з порядком, встановленим цим Кодексом, а у разі потреби надає методичні рекомендації щодо їх заповнення.</w:t>
      </w:r>
    </w:p>
    <w:p w14:paraId="36D8A6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 w:name="n13401"/>
      <w:bookmarkEnd w:id="153"/>
      <w:r w:rsidRPr="008B264B">
        <w:rPr>
          <w:rFonts w:ascii="Times New Roman" w:eastAsia="Times New Roman" w:hAnsi="Times New Roman" w:cs="Times New Roman"/>
          <w:i/>
          <w:iCs/>
          <w:color w:val="000000"/>
          <w:sz w:val="24"/>
          <w:szCs w:val="24"/>
          <w:lang/>
        </w:rPr>
        <w:t>{Підпункт 12.3.6 пункту 12.3 статті 12 із змінами, внесеними згідно із Законом </w:t>
      </w:r>
      <w:hyperlink r:id="rId19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6C4F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 w:name="n244"/>
      <w:bookmarkEnd w:id="154"/>
      <w:r w:rsidRPr="008B264B">
        <w:rPr>
          <w:rFonts w:ascii="Times New Roman" w:eastAsia="Times New Roman" w:hAnsi="Times New Roman" w:cs="Times New Roman"/>
          <w:color w:val="000000"/>
          <w:sz w:val="24"/>
          <w:szCs w:val="24"/>
          <w:lang/>
        </w:rPr>
        <w:t>12.3.7. Не дозволяється сільським, селищним, міським радам та радам об’єднаних територіальних громад, що створені згідно із законом та перспективним планом формування територій громад, встановлювати індивідуальні пільгові ставки місцевих податків та зборів для окремих юридичних осіб та фізичних осіб - підприємців і фізичних осіб або звільняти їх від сплати таких податків та зборів.</w:t>
      </w:r>
    </w:p>
    <w:p w14:paraId="46455A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 w:name="n12647"/>
      <w:bookmarkEnd w:id="155"/>
      <w:r w:rsidRPr="008B264B">
        <w:rPr>
          <w:rFonts w:ascii="Times New Roman" w:eastAsia="Times New Roman" w:hAnsi="Times New Roman" w:cs="Times New Roman"/>
          <w:i/>
          <w:iCs/>
          <w:color w:val="000000"/>
          <w:sz w:val="24"/>
          <w:szCs w:val="24"/>
          <w:lang/>
        </w:rPr>
        <w:t>{Підпункт 12.3.7 пункту 12.3 статті 12 в редакції Закону </w:t>
      </w:r>
      <w:hyperlink r:id="rId195" w:anchor="n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DADC6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 w:name="n245"/>
      <w:bookmarkEnd w:id="156"/>
      <w:r w:rsidRPr="008B264B">
        <w:rPr>
          <w:rFonts w:ascii="Times New Roman" w:eastAsia="Times New Roman" w:hAnsi="Times New Roman" w:cs="Times New Roman"/>
          <w:color w:val="000000"/>
          <w:sz w:val="24"/>
          <w:szCs w:val="24"/>
          <w:lang/>
        </w:rPr>
        <w:t>12.4. До повноважень сільських, селищних, міських рад та рад об’єднаних територіальних громад, що створені згідно із законом та перспективним планом формування територій громад, щодо податків та зборів належать:</w:t>
      </w:r>
    </w:p>
    <w:p w14:paraId="3E9898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 w:name="n12648"/>
      <w:bookmarkEnd w:id="157"/>
      <w:r w:rsidRPr="008B264B">
        <w:rPr>
          <w:rFonts w:ascii="Times New Roman" w:eastAsia="Times New Roman" w:hAnsi="Times New Roman" w:cs="Times New Roman"/>
          <w:i/>
          <w:iCs/>
          <w:color w:val="000000"/>
          <w:sz w:val="24"/>
          <w:szCs w:val="24"/>
          <w:lang/>
        </w:rPr>
        <w:t>{Абзац перший пункту 12.4 статті 12 в редакції Закону </w:t>
      </w:r>
      <w:hyperlink r:id="rId196" w:anchor="n2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F2C70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 w:name="n246"/>
      <w:bookmarkEnd w:id="158"/>
      <w:r w:rsidRPr="008B264B">
        <w:rPr>
          <w:rFonts w:ascii="Times New Roman" w:eastAsia="Times New Roman" w:hAnsi="Times New Roman" w:cs="Times New Roman"/>
          <w:color w:val="000000"/>
          <w:sz w:val="24"/>
          <w:szCs w:val="24"/>
          <w:lang/>
        </w:rPr>
        <w:t>12.4.1. встановлення ставок місцевих податків та зборів в межах ставок, визначених цим Кодексом;</w:t>
      </w:r>
    </w:p>
    <w:p w14:paraId="66F457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 w:name="n10430"/>
      <w:bookmarkEnd w:id="159"/>
      <w:r w:rsidRPr="008B264B">
        <w:rPr>
          <w:rFonts w:ascii="Times New Roman" w:eastAsia="Times New Roman" w:hAnsi="Times New Roman" w:cs="Times New Roman"/>
          <w:i/>
          <w:iCs/>
          <w:color w:val="000000"/>
          <w:sz w:val="24"/>
          <w:szCs w:val="24"/>
          <w:lang/>
        </w:rPr>
        <w:t>{Підпункт 12.4.1 пункту 12.4 статті 12 в редакції Закону </w:t>
      </w:r>
      <w:hyperlink r:id="rId197" w:anchor="n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6C75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 w:name="n247"/>
      <w:bookmarkEnd w:id="160"/>
      <w:r w:rsidRPr="008B264B">
        <w:rPr>
          <w:rFonts w:ascii="Times New Roman" w:eastAsia="Times New Roman" w:hAnsi="Times New Roman" w:cs="Times New Roman"/>
          <w:color w:val="000000"/>
          <w:sz w:val="24"/>
          <w:szCs w:val="24"/>
          <w:lang/>
        </w:rPr>
        <w:t>12.4.2. визначення переліку податкових агентів згідно із </w:t>
      </w:r>
      <w:hyperlink r:id="rId198" w:anchor="n6524" w:history="1">
        <w:r w:rsidRPr="008B264B">
          <w:rPr>
            <w:rFonts w:ascii="Times New Roman" w:eastAsia="Times New Roman" w:hAnsi="Times New Roman" w:cs="Times New Roman"/>
            <w:color w:val="0000FF"/>
            <w:sz w:val="24"/>
            <w:szCs w:val="24"/>
            <w:u w:val="single"/>
            <w:lang/>
          </w:rPr>
          <w:t>статтею 268</w:t>
        </w:r>
      </w:hyperlink>
      <w:r w:rsidRPr="008B264B">
        <w:rPr>
          <w:rFonts w:ascii="Times New Roman" w:eastAsia="Times New Roman" w:hAnsi="Times New Roman" w:cs="Times New Roman"/>
          <w:color w:val="000000"/>
          <w:sz w:val="24"/>
          <w:szCs w:val="24"/>
          <w:lang/>
        </w:rPr>
        <w:t> цього Кодексу;</w:t>
      </w:r>
    </w:p>
    <w:p w14:paraId="694E66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 w:name="n248"/>
      <w:bookmarkEnd w:id="161"/>
      <w:r w:rsidRPr="008B264B">
        <w:rPr>
          <w:rFonts w:ascii="Times New Roman" w:eastAsia="Times New Roman" w:hAnsi="Times New Roman" w:cs="Times New Roman"/>
          <w:color w:val="000000"/>
          <w:sz w:val="24"/>
          <w:szCs w:val="24"/>
          <w:lang/>
        </w:rPr>
        <w:t>12.4.3. до початку наступного бюджетного періоду прийняття рішення про встановлення місцевих податків та зборів, зміну розміру їх ставок, об'єкта оподаткування, порядку справляння чи надання податкових пільг, яке тягне за собою зміну податкових зобов'язань платників податків та яке набирає чинності з початку бюджетного періоду.</w:t>
      </w:r>
    </w:p>
    <w:p w14:paraId="7FBF56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 w:name="n10432"/>
      <w:bookmarkEnd w:id="162"/>
      <w:r w:rsidRPr="008B264B">
        <w:rPr>
          <w:rFonts w:ascii="Times New Roman" w:eastAsia="Times New Roman" w:hAnsi="Times New Roman" w:cs="Times New Roman"/>
          <w:i/>
          <w:iCs/>
          <w:color w:val="000000"/>
          <w:sz w:val="24"/>
          <w:szCs w:val="24"/>
          <w:lang/>
        </w:rPr>
        <w:t>{Підпункт 12.4.4 пункту 12.4 статті 12 виключено на підставі Закону </w:t>
      </w:r>
      <w:hyperlink r:id="rId199" w:anchor="n2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A76A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 w:name="n249"/>
      <w:bookmarkEnd w:id="163"/>
      <w:r w:rsidRPr="008B264B">
        <w:rPr>
          <w:rFonts w:ascii="Times New Roman" w:eastAsia="Times New Roman" w:hAnsi="Times New Roman" w:cs="Times New Roman"/>
          <w:color w:val="000000"/>
          <w:sz w:val="24"/>
          <w:szCs w:val="24"/>
          <w:lang/>
        </w:rPr>
        <w:lastRenderedPageBreak/>
        <w:t>12.5. Офіційно оприлюднене рішення про встановлення місцевих податків та зборів є нормативно-правовим актом з питань оподаткування місцевими податками та зборами, який набирає чинності з урахуванням строків, передбачених </w:t>
      </w:r>
      <w:hyperlink r:id="rId200" w:anchor="n241" w:history="1">
        <w:r w:rsidRPr="008B264B">
          <w:rPr>
            <w:rFonts w:ascii="Times New Roman" w:eastAsia="Times New Roman" w:hAnsi="Times New Roman" w:cs="Times New Roman"/>
            <w:color w:val="0000FF"/>
            <w:sz w:val="24"/>
            <w:szCs w:val="24"/>
            <w:u w:val="single"/>
            <w:lang/>
          </w:rPr>
          <w:t>підпунктом 12.3.4</w:t>
        </w:r>
      </w:hyperlink>
      <w:r w:rsidRPr="008B264B">
        <w:rPr>
          <w:rFonts w:ascii="Times New Roman" w:eastAsia="Times New Roman" w:hAnsi="Times New Roman" w:cs="Times New Roman"/>
          <w:color w:val="000000"/>
          <w:sz w:val="24"/>
          <w:szCs w:val="24"/>
          <w:lang/>
        </w:rPr>
        <w:t> цієї статті.</w:t>
      </w:r>
    </w:p>
    <w:p w14:paraId="655CD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 w:name="n14729"/>
      <w:bookmarkEnd w:id="164"/>
      <w:r w:rsidRPr="008B264B">
        <w:rPr>
          <w:rFonts w:ascii="Times New Roman" w:eastAsia="Times New Roman" w:hAnsi="Times New Roman" w:cs="Times New Roman"/>
          <w:color w:val="000000"/>
          <w:sz w:val="24"/>
          <w:szCs w:val="24"/>
          <w:lang/>
        </w:rPr>
        <w:t>Платники місцевих податків та зборів при визначенні своїх податкових зобов’язань можуть використовувати зведену інформацію, розміщену на офіційному веб-сайті центрального органу виконавчої влади, що реалізує державну податкову та митну політику. Такі платники звільняються від відповідальності у разі, якщо у зведеній інформації, розміщеній на офіційному веб-сайті, виявлено помилку, що містить розбіжності між даними контролюючих органів та даними офіційно оприлюдненого рішення про встановлення місцевих податків та зборів. У такому разі до таких платників податку штрафні санкції та пеня, передбачені цим Кодексом за порушення податкового та іншого законодавства, контроль за дотриманням якого покладено на контролюючі органи, що спричинені такою помилкою, не застосовуються, підстав для притягнення платника податків та/або його посадових осіб до відповідальності немає.</w:t>
      </w:r>
    </w:p>
    <w:p w14:paraId="3707B2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 w:name="n14728"/>
      <w:bookmarkEnd w:id="165"/>
      <w:r w:rsidRPr="008B264B">
        <w:rPr>
          <w:rFonts w:ascii="Times New Roman" w:eastAsia="Times New Roman" w:hAnsi="Times New Roman" w:cs="Times New Roman"/>
          <w:i/>
          <w:iCs/>
          <w:color w:val="000000"/>
          <w:sz w:val="24"/>
          <w:szCs w:val="24"/>
          <w:lang/>
        </w:rPr>
        <w:t>{Пункт 12.5 статті 12 доповнено абзацом другим згідно із Законом </w:t>
      </w:r>
      <w:hyperlink r:id="rId201" w:anchor="n1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D47BC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 w:name="n250"/>
      <w:bookmarkEnd w:id="166"/>
      <w:r w:rsidRPr="008B264B">
        <w:rPr>
          <w:rFonts w:ascii="Times New Roman" w:eastAsia="Times New Roman" w:hAnsi="Times New Roman" w:cs="Times New Roman"/>
          <w:b/>
          <w:bCs/>
          <w:color w:val="000000"/>
          <w:sz w:val="24"/>
          <w:szCs w:val="24"/>
          <w:lang/>
        </w:rPr>
        <w:t>Стаття 13.</w:t>
      </w:r>
      <w:r w:rsidRPr="008B264B">
        <w:rPr>
          <w:rFonts w:ascii="Times New Roman" w:eastAsia="Times New Roman" w:hAnsi="Times New Roman" w:cs="Times New Roman"/>
          <w:color w:val="000000"/>
          <w:sz w:val="24"/>
          <w:szCs w:val="24"/>
          <w:lang/>
        </w:rPr>
        <w:t> Усунення подвійного оподаткування</w:t>
      </w:r>
    </w:p>
    <w:p w14:paraId="0422D0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 w:name="n251"/>
      <w:bookmarkEnd w:id="167"/>
      <w:r w:rsidRPr="008B264B">
        <w:rPr>
          <w:rFonts w:ascii="Times New Roman" w:eastAsia="Times New Roman" w:hAnsi="Times New Roman" w:cs="Times New Roman"/>
          <w:color w:val="000000"/>
          <w:sz w:val="24"/>
          <w:szCs w:val="24"/>
          <w:lang/>
        </w:rPr>
        <w:t>13.1. Доходи, отримані резидентом України (крім фізичних осіб) з джерел за межами України, враховуються під час визначення його об'єкта та/або бази оподаткування у повному обсязі.</w:t>
      </w:r>
    </w:p>
    <w:p w14:paraId="46B4EB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 w:name="n252"/>
      <w:bookmarkEnd w:id="168"/>
      <w:r w:rsidRPr="008B264B">
        <w:rPr>
          <w:rFonts w:ascii="Times New Roman" w:eastAsia="Times New Roman" w:hAnsi="Times New Roman" w:cs="Times New Roman"/>
          <w:color w:val="000000"/>
          <w:sz w:val="24"/>
          <w:szCs w:val="24"/>
          <w:lang/>
        </w:rPr>
        <w:t>13.2. При визначенні об'єкта та/або бази оподаткування витрати, здійснені резидентом України (крім фізичних осіб) у зв'язку з отриманням доходів з джерел походження за межами України, враховуються у порядку і розмірах, встановлених цим Кодексом.</w:t>
      </w:r>
    </w:p>
    <w:p w14:paraId="25CA1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 w:name="n253"/>
      <w:bookmarkEnd w:id="169"/>
      <w:r w:rsidRPr="008B264B">
        <w:rPr>
          <w:rFonts w:ascii="Times New Roman" w:eastAsia="Times New Roman" w:hAnsi="Times New Roman" w:cs="Times New Roman"/>
          <w:color w:val="000000"/>
          <w:sz w:val="24"/>
          <w:szCs w:val="24"/>
          <w:lang/>
        </w:rPr>
        <w:t>13.3. Доходи, отримані фізичною особою - резидентом з джерел походження за межами України, включаються до складу загального річного оподаткованого доходу, крім доходів, що не підлягають оподаткуванню в Україні відповідно до положень цього Кодексу чи міжнародного договору, згода на обов'язковість якого надана Верховною Радою України.</w:t>
      </w:r>
    </w:p>
    <w:p w14:paraId="561DFE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 w:name="n254"/>
      <w:bookmarkEnd w:id="170"/>
      <w:r w:rsidRPr="008B264B">
        <w:rPr>
          <w:rFonts w:ascii="Times New Roman" w:eastAsia="Times New Roman" w:hAnsi="Times New Roman" w:cs="Times New Roman"/>
          <w:color w:val="000000"/>
          <w:sz w:val="24"/>
          <w:szCs w:val="24"/>
          <w:lang/>
        </w:rPr>
        <w:t>13.4. Суми податків та зборів, сплачені за межами України, зараховуються під час розрахунку податків та зборів в Україні за правилами, встановленими цим Кодексом.</w:t>
      </w:r>
    </w:p>
    <w:p w14:paraId="57C766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 w:name="n255"/>
      <w:bookmarkEnd w:id="171"/>
      <w:r w:rsidRPr="008B264B">
        <w:rPr>
          <w:rFonts w:ascii="Times New Roman" w:eastAsia="Times New Roman" w:hAnsi="Times New Roman" w:cs="Times New Roman"/>
          <w:color w:val="000000"/>
          <w:sz w:val="24"/>
          <w:szCs w:val="24"/>
          <w:lang/>
        </w:rPr>
        <w:t>13.5. Для отримання права на зарахування податків та зборів, сплачених за межами України, платник зобов'язаний отримати від державного органу країни, де отримується такий дохід (прибуток), уповноваженого справляти такий податок, довідку про суму сплаченого податку та збору, а також про базу та/або об'єкт оподаткування. Зазначена довідка підлягає легалізації у відповідній країні, відповідній закордонній дипломатичній установі України, якщо інше не передбачено чинними міжнародними договорами України.</w:t>
      </w:r>
    </w:p>
    <w:p w14:paraId="17C5BC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 w:name="n256"/>
      <w:bookmarkEnd w:id="172"/>
      <w:r w:rsidRPr="008B264B">
        <w:rPr>
          <w:rFonts w:ascii="Times New Roman" w:eastAsia="Times New Roman" w:hAnsi="Times New Roman" w:cs="Times New Roman"/>
          <w:b/>
          <w:bCs/>
          <w:color w:val="000000"/>
          <w:sz w:val="24"/>
          <w:szCs w:val="24"/>
          <w:lang/>
        </w:rPr>
        <w:t>Стаття 14.</w:t>
      </w:r>
      <w:r w:rsidRPr="008B264B">
        <w:rPr>
          <w:rFonts w:ascii="Times New Roman" w:eastAsia="Times New Roman" w:hAnsi="Times New Roman" w:cs="Times New Roman"/>
          <w:color w:val="000000"/>
          <w:sz w:val="24"/>
          <w:szCs w:val="24"/>
          <w:lang/>
        </w:rPr>
        <w:t> Визначення понять</w:t>
      </w:r>
    </w:p>
    <w:p w14:paraId="17E962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 w:name="n257"/>
      <w:bookmarkEnd w:id="173"/>
      <w:r w:rsidRPr="008B264B">
        <w:rPr>
          <w:rFonts w:ascii="Times New Roman" w:eastAsia="Times New Roman" w:hAnsi="Times New Roman" w:cs="Times New Roman"/>
          <w:color w:val="000000"/>
          <w:sz w:val="24"/>
          <w:szCs w:val="24"/>
          <w:lang/>
        </w:rPr>
        <w:t>14.1. У цьому Кодексі поняття вживаються в такому значенні:</w:t>
      </w:r>
    </w:p>
    <w:p w14:paraId="6F7130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 w:name="n258"/>
      <w:bookmarkEnd w:id="174"/>
      <w:r w:rsidRPr="008B264B">
        <w:rPr>
          <w:rFonts w:ascii="Times New Roman" w:eastAsia="Times New Roman" w:hAnsi="Times New Roman" w:cs="Times New Roman"/>
          <w:color w:val="000000"/>
          <w:sz w:val="24"/>
          <w:szCs w:val="24"/>
          <w:lang/>
        </w:rPr>
        <w:t>14.1.1. аваль - вексельне поручительство, згідно з яким банк бере на себе відповідальність перед векселедержателем за виконання векселедавцем оплати податкового векселя, яке оформляється шляхом проставляння гарантійного напису банку на кожному примірнику податкового векселя;</w:t>
      </w:r>
    </w:p>
    <w:p w14:paraId="646766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 w:name="n8671"/>
      <w:bookmarkEnd w:id="175"/>
      <w:r w:rsidRPr="008B264B">
        <w:rPr>
          <w:rFonts w:ascii="Times New Roman" w:eastAsia="Times New Roman" w:hAnsi="Times New Roman" w:cs="Times New Roman"/>
          <w:color w:val="000000"/>
          <w:sz w:val="24"/>
          <w:szCs w:val="24"/>
          <w:lang/>
        </w:rPr>
        <w:t>14.1.1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адміністрування податків, зборів, митних платежів, єдиного внеску на загальнообов’язкове державне соціальне страхування (далі - єдиний внесок) та інших платежів відповідно до законодавства, контроль за дотриманням якого покладено на контролюючі органи (далі - податків, зборів, платежів) - це сукупність рішень та процедур контролюючих органів і дій їх посадових осіб, що визначають інституційну структуру податкових та митних відносин, організовують ідентифікацію, облік платників податків і платників єдиного внеску та об’єктів оподаткування, забезпечують сервісне обслуговування платників податків, організацію та контроль за сплатою податків, зборів, платежів відповідно до порядку, встановленого законом;</w:t>
      </w:r>
    </w:p>
    <w:p w14:paraId="6DE468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 w:name="n8670"/>
      <w:bookmarkEnd w:id="176"/>
      <w:r w:rsidRPr="008B264B">
        <w:rPr>
          <w:rFonts w:ascii="Times New Roman" w:eastAsia="Times New Roman" w:hAnsi="Times New Roman" w:cs="Times New Roman"/>
          <w:i/>
          <w:iCs/>
          <w:color w:val="000000"/>
          <w:sz w:val="24"/>
          <w:szCs w:val="24"/>
          <w:lang/>
        </w:rPr>
        <w:lastRenderedPageBreak/>
        <w:t>{Пункт 14.1 статті 14 доповнено підпунктом 14.1.1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02" w:anchor="n13"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E8F2D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 w:name="n15218"/>
      <w:bookmarkEnd w:id="177"/>
      <w:r w:rsidRPr="008B264B">
        <w:rPr>
          <w:rFonts w:ascii="Times New Roman" w:eastAsia="Times New Roman" w:hAnsi="Times New Roman" w:cs="Times New Roman"/>
          <w:color w:val="000000"/>
          <w:sz w:val="24"/>
          <w:szCs w:val="24"/>
          <w:lang/>
        </w:rPr>
        <w:t>14.1.1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актив з права користування - визнаний орендарем згідно з вимогами міжнародних стандартів фінансової звітності актив, який представляє право орендаря використовувати базовий актив протягом строку оренди;</w:t>
      </w:r>
    </w:p>
    <w:p w14:paraId="05D349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 w:name="n15217"/>
      <w:bookmarkEnd w:id="178"/>
      <w:r w:rsidRPr="008B264B">
        <w:rPr>
          <w:rFonts w:ascii="Times New Roman" w:eastAsia="Times New Roman" w:hAnsi="Times New Roman" w:cs="Times New Roman"/>
          <w:i/>
          <w:iCs/>
          <w:color w:val="000000"/>
          <w:sz w:val="24"/>
          <w:szCs w:val="24"/>
          <w:lang/>
        </w:rPr>
        <w:t>{Пункт 14.1 статті 14 доповнено підпунктом 14.1.1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203" w:anchor="n1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5AECE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 w:name="n259"/>
      <w:bookmarkEnd w:id="179"/>
      <w:r w:rsidRPr="008B264B">
        <w:rPr>
          <w:rFonts w:ascii="Times New Roman" w:eastAsia="Times New Roman" w:hAnsi="Times New Roman" w:cs="Times New Roman"/>
          <w:i/>
          <w:iCs/>
          <w:color w:val="000000"/>
          <w:sz w:val="24"/>
          <w:szCs w:val="24"/>
          <w:lang/>
        </w:rPr>
        <w:t>{Підпункт  14.1.2 пункту 14.1 статті 14 виключено на підставі Закону </w:t>
      </w:r>
      <w:hyperlink r:id="rId204" w:anchor="n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E28AD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 w:name="n260"/>
      <w:bookmarkEnd w:id="180"/>
      <w:r w:rsidRPr="008B264B">
        <w:rPr>
          <w:rFonts w:ascii="Times New Roman" w:eastAsia="Times New Roman" w:hAnsi="Times New Roman" w:cs="Times New Roman"/>
          <w:color w:val="000000"/>
          <w:sz w:val="24"/>
          <w:szCs w:val="24"/>
          <w:lang/>
        </w:rPr>
        <w:t>14.1.3. амортизація - систематичний розподіл вартості основних засобів, інших необоротних та нематеріальних активів, що амортизується, протягом строку їх корисного використання (експлуатації);</w:t>
      </w:r>
    </w:p>
    <w:p w14:paraId="2983AC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 w:name="n261"/>
      <w:bookmarkEnd w:id="181"/>
      <w:r w:rsidRPr="008B264B">
        <w:rPr>
          <w:rFonts w:ascii="Times New Roman" w:eastAsia="Times New Roman" w:hAnsi="Times New Roman" w:cs="Times New Roman"/>
          <w:color w:val="000000"/>
          <w:sz w:val="24"/>
          <w:szCs w:val="24"/>
          <w:lang/>
        </w:rPr>
        <w:t>14.1.4. акцизний податок - непрямий податок на споживання окремих видів товарів (продукції), визначених цим Кодексом як підакцизні, що включається до ціни таких товарів (продукції);</w:t>
      </w:r>
    </w:p>
    <w:p w14:paraId="3B818A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 w:name="n262"/>
      <w:bookmarkEnd w:id="182"/>
      <w:r w:rsidRPr="008B264B">
        <w:rPr>
          <w:rFonts w:ascii="Times New Roman" w:eastAsia="Times New Roman" w:hAnsi="Times New Roman" w:cs="Times New Roman"/>
          <w:i/>
          <w:iCs/>
          <w:color w:val="000000"/>
          <w:sz w:val="24"/>
          <w:szCs w:val="24"/>
          <w:lang/>
        </w:rPr>
        <w:t>{Підпункт 14.1.4 пункту 14.1 статті 14 із змінами, внесеними згідно із Законами </w:t>
      </w:r>
      <w:hyperlink r:id="rId205"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w:t>
      </w:r>
      <w:hyperlink r:id="rId206" w:anchor="n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3BA9C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 w:name="n263"/>
      <w:bookmarkEnd w:id="183"/>
      <w:r w:rsidRPr="008B264B">
        <w:rPr>
          <w:rFonts w:ascii="Times New Roman" w:eastAsia="Times New Roman" w:hAnsi="Times New Roman" w:cs="Times New Roman"/>
          <w:color w:val="000000"/>
          <w:sz w:val="24"/>
          <w:szCs w:val="24"/>
          <w:lang/>
        </w:rPr>
        <w:t>14.1.5. алкогольні напої - продукти, одержані шляхом спиртового бродіння цукровмісних матеріалів або виготовлені на основі харчових спиртів з вмістом спирту етилового понад 0,5 відсотка об'ємних одиниць, які зазначені у товарних позиціях 2203, 2204, 2205, 2206 (крім квасу "живого" бродіння), 2208 згідно з </w:t>
      </w:r>
      <w:hyperlink r:id="rId20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i/>
          <w:iCs/>
          <w:color w:val="000000"/>
          <w:sz w:val="24"/>
          <w:szCs w:val="24"/>
          <w:lang/>
        </w:rPr>
        <w:t>, </w:t>
      </w:r>
      <w:r w:rsidRPr="008B264B">
        <w:rPr>
          <w:rFonts w:ascii="Times New Roman" w:eastAsia="Times New Roman" w:hAnsi="Times New Roman" w:cs="Times New Roman"/>
          <w:color w:val="000000"/>
          <w:sz w:val="24"/>
          <w:szCs w:val="24"/>
          <w:lang/>
        </w:rPr>
        <w:t>а також з вмістом спирту етилового 8,5 відсотка об’ємних одиниць та більше, які зазначені у товарних позиціях 2103 90 30 00, 2106 90 згідно з </w:t>
      </w:r>
      <w:hyperlink r:id="rId208" w:anchor="n474"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913D4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 w:name="n10066"/>
      <w:bookmarkEnd w:id="184"/>
      <w:r w:rsidRPr="008B264B">
        <w:rPr>
          <w:rFonts w:ascii="Times New Roman" w:eastAsia="Times New Roman" w:hAnsi="Times New Roman" w:cs="Times New Roman"/>
          <w:i/>
          <w:iCs/>
          <w:color w:val="000000"/>
          <w:sz w:val="24"/>
          <w:szCs w:val="24"/>
          <w:lang/>
        </w:rPr>
        <w:t>{Підпункт 14.1.5 пункту 14.1 статті 14 із змінами, внесеними згідно із Законами </w:t>
      </w:r>
      <w:hyperlink r:id="rId209" w:anchor="n7"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w:t>
      </w:r>
      <w:hyperlink r:id="rId210" w:anchor="n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11" w:anchor="n1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8C6CE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 w:name="n264"/>
      <w:bookmarkEnd w:id="185"/>
      <w:r w:rsidRPr="008B264B">
        <w:rPr>
          <w:rFonts w:ascii="Times New Roman" w:eastAsia="Times New Roman" w:hAnsi="Times New Roman" w:cs="Times New Roman"/>
          <w:color w:val="000000"/>
          <w:sz w:val="24"/>
          <w:szCs w:val="24"/>
          <w:lang/>
        </w:rPr>
        <w:t>14.1.6. акцизний склад - це:</w:t>
      </w:r>
    </w:p>
    <w:p w14:paraId="2DE243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 w:name="n265"/>
      <w:bookmarkEnd w:id="186"/>
      <w:r w:rsidRPr="008B264B">
        <w:rPr>
          <w:rFonts w:ascii="Times New Roman" w:eastAsia="Times New Roman" w:hAnsi="Times New Roman" w:cs="Times New Roman"/>
          <w:color w:val="000000"/>
          <w:sz w:val="24"/>
          <w:szCs w:val="24"/>
          <w:lang/>
        </w:rPr>
        <w:t>а) спеціально обладнані приміщення на обмеженій території (далі - приміщення), розташовані на митній території України, де під контролем постійних представників контролюючого органу розпорядник акцизного складу провадить свою господарську діяльність шляхом вироблення, оброблення (перероблення), змішування, розливу, пакування, фасування, зберігання, одержання чи видачі, а також реалізації спирту етилового, горілки та лікеро-горілчаних виробів;</w:t>
      </w:r>
    </w:p>
    <w:p w14:paraId="5C4E6E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 w:name="n15467"/>
      <w:bookmarkEnd w:id="187"/>
      <w:r w:rsidRPr="008B264B">
        <w:rPr>
          <w:rFonts w:ascii="Times New Roman" w:eastAsia="Times New Roman" w:hAnsi="Times New Roman" w:cs="Times New Roman"/>
          <w:color w:val="000000"/>
          <w:sz w:val="24"/>
          <w:szCs w:val="24"/>
          <w:lang/>
        </w:rPr>
        <w:t>б) приміщення або територія на митній території України, де розпорядник акцизного складу провадить свою господарську діяльність шляхом вироблення, оброблення (перероблення), змішування, розливу, навантаження-розвантаження, зберігання, реалізації пального.</w:t>
      </w:r>
    </w:p>
    <w:p w14:paraId="47F6C1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 w:name="n15468"/>
      <w:bookmarkEnd w:id="188"/>
      <w:r w:rsidRPr="008B264B">
        <w:rPr>
          <w:rFonts w:ascii="Times New Roman" w:eastAsia="Times New Roman" w:hAnsi="Times New Roman" w:cs="Times New Roman"/>
          <w:color w:val="000000"/>
          <w:sz w:val="24"/>
          <w:szCs w:val="24"/>
          <w:lang/>
        </w:rPr>
        <w:t>Не є акцизним складом:</w:t>
      </w:r>
    </w:p>
    <w:p w14:paraId="606449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 w:name="n15469"/>
      <w:bookmarkEnd w:id="189"/>
      <w:r w:rsidRPr="008B264B">
        <w:rPr>
          <w:rFonts w:ascii="Times New Roman" w:eastAsia="Times New Roman" w:hAnsi="Times New Roman" w:cs="Times New Roman"/>
          <w:color w:val="000000"/>
          <w:sz w:val="24"/>
          <w:szCs w:val="24"/>
          <w:lang/>
        </w:rPr>
        <w:t>а) приміщення відокремлених підрозділів розпорядника акцизного складу, які використовуються ним виключно для пакування, фасування, зберігання, одержання чи видачі маркованих марками акцизного податку горілки та лікеро-горілчаних виробів, відвантажених з акцизного складу, а також для здійснення оптової та/або роздрібної торгівлі відповідно до отриманої розпорядником акцизного складу ліцензії;</w:t>
      </w:r>
    </w:p>
    <w:p w14:paraId="025BE9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 w:name="n15470"/>
      <w:bookmarkEnd w:id="190"/>
      <w:r w:rsidRPr="008B264B">
        <w:rPr>
          <w:rFonts w:ascii="Times New Roman" w:eastAsia="Times New Roman" w:hAnsi="Times New Roman" w:cs="Times New Roman"/>
          <w:color w:val="000000"/>
          <w:sz w:val="24"/>
          <w:szCs w:val="24"/>
          <w:lang/>
        </w:rPr>
        <w:t xml:space="preserve">б) приміщення або територія, на кожній з яких загальна місткість розташованих ємностей для навантаження-розвантаження та зберігання пального не перевищує 200 кубічних метрів, а суб’єкт господарювання (крім платника єдиного податку четвертої групи) - власник або користувач такого приміщення або території отримує протягом календарного року пальне в обсягах, що не перевищують 1000 кубічних метрів (без урахування обсягу пального, отриманого через паливороздавальні колонки в місцях роздрібної торгівлі пальним, на які отримано </w:t>
      </w:r>
      <w:r w:rsidRPr="008B264B">
        <w:rPr>
          <w:rFonts w:ascii="Times New Roman" w:eastAsia="Times New Roman" w:hAnsi="Times New Roman" w:cs="Times New Roman"/>
          <w:color w:val="000000"/>
          <w:sz w:val="24"/>
          <w:szCs w:val="24"/>
          <w:lang/>
        </w:rPr>
        <w:lastRenderedPageBreak/>
        <w:t>відповідні ліцензії), та використовує пальне виключно для потреб власного споживання чи промислової переробки і не здійснює операцій з реалізації та зберігання пального іншим особам.</w:t>
      </w:r>
    </w:p>
    <w:p w14:paraId="1B151E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 w:name="n15895"/>
      <w:bookmarkEnd w:id="191"/>
      <w:r w:rsidRPr="008B264B">
        <w:rPr>
          <w:rFonts w:ascii="Times New Roman" w:eastAsia="Times New Roman" w:hAnsi="Times New Roman" w:cs="Times New Roman"/>
          <w:color w:val="000000"/>
          <w:sz w:val="24"/>
          <w:szCs w:val="24"/>
          <w:lang/>
        </w:rPr>
        <w:t>Критерій, визначений цим підпунктом, щодо загальної місткості ємностей для навантаження-розвантаження та зберігання пального не застосовується до ємностей суб’єктів господарювання, які є розпорядниками хоча б одного акцизного складу;</w:t>
      </w:r>
    </w:p>
    <w:p w14:paraId="1430D2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 w:name="n15894"/>
      <w:bookmarkEnd w:id="192"/>
      <w:r w:rsidRPr="008B264B">
        <w:rPr>
          <w:rFonts w:ascii="Times New Roman" w:eastAsia="Times New Roman" w:hAnsi="Times New Roman" w:cs="Times New Roman"/>
          <w:i/>
          <w:iCs/>
          <w:color w:val="000000"/>
          <w:sz w:val="24"/>
          <w:szCs w:val="24"/>
          <w:lang/>
        </w:rPr>
        <w:t>{Підпункт 14.1.6 пункту 14.1 статті 14 доповнено новим абзацом згідно із Законом </w:t>
      </w:r>
      <w:hyperlink r:id="rId212" w:anchor="n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0185B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 w:name="n15471"/>
      <w:bookmarkEnd w:id="193"/>
      <w:r w:rsidRPr="008B264B">
        <w:rPr>
          <w:rFonts w:ascii="Times New Roman" w:eastAsia="Times New Roman" w:hAnsi="Times New Roman" w:cs="Times New Roman"/>
          <w:color w:val="000000"/>
          <w:sz w:val="24"/>
          <w:szCs w:val="24"/>
          <w:lang/>
        </w:rPr>
        <w:t>в) приміщення або територія незалежно від загальної місткості розташованих ємностей для навантаження-розвантаження та зберігання пального, власником або користувачем яких є суб’єкт господарювання - платник єдиного податку четвертої групи, який отримує протягом календарного року пальне в обсягах, що не перевищують 10000 кубічних метрів (без урахування обсягу пального, отриманого через паливороздавальні колонки в місцях роздрібної торгівлі пальним, на які отримано відповідні ліцензії), та використовує пальне виключно для потреб власного споживання і не здійснює операцій з реалізації та зберігання пального іншим особам;</w:t>
      </w:r>
    </w:p>
    <w:p w14:paraId="317897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 w:name="n15472"/>
      <w:bookmarkEnd w:id="194"/>
      <w:r w:rsidRPr="008B264B">
        <w:rPr>
          <w:rFonts w:ascii="Times New Roman" w:eastAsia="Times New Roman" w:hAnsi="Times New Roman" w:cs="Times New Roman"/>
          <w:color w:val="000000"/>
          <w:sz w:val="24"/>
          <w:szCs w:val="24"/>
          <w:lang/>
        </w:rPr>
        <w:t>г) паливний бак як ємність для зберігання пального безпосередньо в транспортному засобі або обладнанні чи пристрої;</w:t>
      </w:r>
    </w:p>
    <w:p w14:paraId="7A684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 w:name="n15896"/>
      <w:bookmarkEnd w:id="195"/>
      <w:r w:rsidRPr="008B264B">
        <w:rPr>
          <w:rFonts w:ascii="Times New Roman" w:eastAsia="Times New Roman" w:hAnsi="Times New Roman" w:cs="Times New Roman"/>
          <w:i/>
          <w:iCs/>
          <w:color w:val="000000"/>
          <w:sz w:val="24"/>
          <w:szCs w:val="24"/>
          <w:lang/>
        </w:rPr>
        <w:t>{Абзац дев’ятий підпункту 14.1.6 пункту 14.1 статті 14 із змінами, внесеними згідно із Законом </w:t>
      </w:r>
      <w:hyperlink r:id="rId213" w:anchor="n1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D502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 w:name="n15898"/>
      <w:bookmarkEnd w:id="196"/>
      <w:r w:rsidRPr="008B264B">
        <w:rPr>
          <w:rFonts w:ascii="Times New Roman" w:eastAsia="Times New Roman" w:hAnsi="Times New Roman" w:cs="Times New Roman"/>
          <w:color w:val="000000"/>
          <w:sz w:val="24"/>
          <w:szCs w:val="24"/>
          <w:lang/>
        </w:rPr>
        <w:t>ґ) приміщення або територія, у тому числі платника податку, де зберігається або реалізується виключно пальне у споживчій тарі ємністю до 5 літрів включно, отримане від виробника або особи, яка здійснила його розлив у таку тару;</w:t>
      </w:r>
    </w:p>
    <w:p w14:paraId="568C05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 w:name="n15897"/>
      <w:bookmarkEnd w:id="197"/>
      <w:r w:rsidRPr="008B264B">
        <w:rPr>
          <w:rFonts w:ascii="Times New Roman" w:eastAsia="Times New Roman" w:hAnsi="Times New Roman" w:cs="Times New Roman"/>
          <w:i/>
          <w:iCs/>
          <w:color w:val="000000"/>
          <w:sz w:val="24"/>
          <w:szCs w:val="24"/>
          <w:lang/>
        </w:rPr>
        <w:t>{Підпункт 14.1.6 пункту 14.1 статті 14 доповнено абзацом десятим згідно із Законом </w:t>
      </w:r>
      <w:hyperlink r:id="rId214" w:anchor="n1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4CDB6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 w:name="n12278"/>
      <w:bookmarkEnd w:id="198"/>
      <w:r w:rsidRPr="008B264B">
        <w:rPr>
          <w:rFonts w:ascii="Times New Roman" w:eastAsia="Times New Roman" w:hAnsi="Times New Roman" w:cs="Times New Roman"/>
          <w:i/>
          <w:iCs/>
          <w:color w:val="000000"/>
          <w:sz w:val="24"/>
          <w:szCs w:val="24"/>
          <w:lang/>
        </w:rPr>
        <w:t>{Підпункт 14.1.6 пункту 14.1 статті 14 із змінами, внесеними згідно із Законами </w:t>
      </w:r>
      <w:hyperlink r:id="rId215" w:anchor="n4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1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Законів </w:t>
      </w:r>
      <w:hyperlink r:id="rId217" w:anchor="n2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18" w:anchor="n1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2E27A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 w:name="n15474"/>
      <w:bookmarkEnd w:id="199"/>
      <w:r w:rsidRPr="008B264B">
        <w:rPr>
          <w:rFonts w:ascii="Times New Roman" w:eastAsia="Times New Roman" w:hAnsi="Times New Roman" w:cs="Times New Roman"/>
          <w:color w:val="000000"/>
          <w:sz w:val="24"/>
          <w:szCs w:val="24"/>
          <w:lang/>
        </w:rPr>
        <w:t>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акцизний склад пересувний - транспортний засіб (автомобільний, залізничний, морський, річковий, повітряний, магістральний трубопровід), на якому переміщується та/або зберігається пальне або спирт етиловий на митній території України.</w:t>
      </w:r>
    </w:p>
    <w:p w14:paraId="7590A9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 w:name="n15475"/>
      <w:bookmarkEnd w:id="200"/>
      <w:r w:rsidRPr="008B264B">
        <w:rPr>
          <w:rFonts w:ascii="Times New Roman" w:eastAsia="Times New Roman" w:hAnsi="Times New Roman" w:cs="Times New Roman"/>
          <w:color w:val="000000"/>
          <w:sz w:val="24"/>
          <w:szCs w:val="24"/>
          <w:lang/>
        </w:rPr>
        <w:t>Транспортний засіб набуває статусу акцизного складу пересувного протягом періоду його використання для:</w:t>
      </w:r>
    </w:p>
    <w:p w14:paraId="49CF3A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 w:name="n15476"/>
      <w:bookmarkEnd w:id="201"/>
      <w:r w:rsidRPr="008B264B">
        <w:rPr>
          <w:rFonts w:ascii="Times New Roman" w:eastAsia="Times New Roman" w:hAnsi="Times New Roman" w:cs="Times New Roman"/>
          <w:color w:val="000000"/>
          <w:sz w:val="24"/>
          <w:szCs w:val="24"/>
          <w:lang/>
        </w:rPr>
        <w:t>а) переміщення в ньому митною територією України пального або спирту етилового, що реалізується (крім пального або спирту етилового, що переміщується митною територією України прохідним транзитом або внутрішнім транзитом, визначеним </w:t>
      </w:r>
      <w:hyperlink r:id="rId219" w:anchor="n1173" w:tgtFrame="_blank" w:history="1">
        <w:r w:rsidRPr="008B264B">
          <w:rPr>
            <w:rFonts w:ascii="Times New Roman" w:eastAsia="Times New Roman" w:hAnsi="Times New Roman" w:cs="Times New Roman"/>
            <w:color w:val="0000FF"/>
            <w:sz w:val="24"/>
            <w:szCs w:val="24"/>
            <w:u w:val="single"/>
            <w:lang/>
          </w:rPr>
          <w:t>підпунктом "а" </w:t>
        </w:r>
      </w:hyperlink>
      <w:r w:rsidRPr="008B264B">
        <w:rPr>
          <w:rFonts w:ascii="Times New Roman" w:eastAsia="Times New Roman" w:hAnsi="Times New Roman" w:cs="Times New Roman"/>
          <w:color w:val="000000"/>
          <w:sz w:val="24"/>
          <w:szCs w:val="24"/>
          <w:lang/>
        </w:rPr>
        <w:t>пункту 2 частини другої статті 91 Митного кодексу України);</w:t>
      </w:r>
    </w:p>
    <w:p w14:paraId="2DF696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 w:name="n15477"/>
      <w:bookmarkEnd w:id="202"/>
      <w:r w:rsidRPr="008B264B">
        <w:rPr>
          <w:rFonts w:ascii="Times New Roman" w:eastAsia="Times New Roman" w:hAnsi="Times New Roman" w:cs="Times New Roman"/>
          <w:color w:val="000000"/>
          <w:sz w:val="24"/>
          <w:szCs w:val="24"/>
          <w:lang/>
        </w:rPr>
        <w:t>б) зберігання в ньому пального або спирту етилового на митній території України;</w:t>
      </w:r>
    </w:p>
    <w:p w14:paraId="67F6A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 w:name="n15478"/>
      <w:bookmarkEnd w:id="203"/>
      <w:r w:rsidRPr="008B264B">
        <w:rPr>
          <w:rFonts w:ascii="Times New Roman" w:eastAsia="Times New Roman" w:hAnsi="Times New Roman" w:cs="Times New Roman"/>
          <w:color w:val="000000"/>
          <w:sz w:val="24"/>
          <w:szCs w:val="24"/>
          <w:lang/>
        </w:rPr>
        <w:t>в) ввезення пального або спирту етилового на митну територію України, з якого сплачено акцизний податок або на умовах, визначених </w:t>
      </w:r>
      <w:hyperlink r:id="rId220"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w:t>
      </w:r>
    </w:p>
    <w:p w14:paraId="7B8C6E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 w:name="n15900"/>
      <w:bookmarkEnd w:id="204"/>
      <w:r w:rsidRPr="008B264B">
        <w:rPr>
          <w:rFonts w:ascii="Times New Roman" w:eastAsia="Times New Roman" w:hAnsi="Times New Roman" w:cs="Times New Roman"/>
          <w:color w:val="000000"/>
          <w:sz w:val="24"/>
          <w:szCs w:val="24"/>
          <w:lang/>
        </w:rPr>
        <w:t>Транспортний засіб, в якому переміщується та/або зберігається пальне або спирт етиловий, право власності на які належить декільком розпорядникам акцизного складу пересувного, є декількома акцизними складами пересувними, кількість яких дорівнює кількості власників пального або спирту етилового, що переміщується та/або зберігається в такому транспортному засобі.</w:t>
      </w:r>
    </w:p>
    <w:p w14:paraId="558824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 w:name="n15902"/>
      <w:bookmarkEnd w:id="205"/>
      <w:r w:rsidRPr="008B264B">
        <w:rPr>
          <w:rFonts w:ascii="Times New Roman" w:eastAsia="Times New Roman" w:hAnsi="Times New Roman" w:cs="Times New Roman"/>
          <w:i/>
          <w:iCs/>
          <w:color w:val="000000"/>
          <w:sz w:val="24"/>
          <w:szCs w:val="24"/>
          <w:lang/>
        </w:rPr>
        <w:t>{Підпункт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доповнено новим абзацом згідно із Законом </w:t>
      </w:r>
      <w:hyperlink r:id="rId221" w:anchor="n1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2E7A1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 w:name="n15901"/>
      <w:bookmarkEnd w:id="206"/>
      <w:r w:rsidRPr="008B264B">
        <w:rPr>
          <w:rFonts w:ascii="Times New Roman" w:eastAsia="Times New Roman" w:hAnsi="Times New Roman" w:cs="Times New Roman"/>
          <w:color w:val="000000"/>
          <w:sz w:val="24"/>
          <w:szCs w:val="24"/>
          <w:lang/>
        </w:rPr>
        <w:lastRenderedPageBreak/>
        <w:t>Транспортний засіб, в якому переміщується та/або зберігається пальне або спирт етиловий, право власності на які переходить від одного суб’єкта господарювання до іншого, вважається іншим акцизним складом пересувним.</w:t>
      </w:r>
    </w:p>
    <w:p w14:paraId="6B3DFB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 w:name="n15899"/>
      <w:bookmarkEnd w:id="207"/>
      <w:r w:rsidRPr="008B264B">
        <w:rPr>
          <w:rFonts w:ascii="Times New Roman" w:eastAsia="Times New Roman" w:hAnsi="Times New Roman" w:cs="Times New Roman"/>
          <w:i/>
          <w:iCs/>
          <w:color w:val="000000"/>
          <w:sz w:val="24"/>
          <w:szCs w:val="24"/>
          <w:lang/>
        </w:rPr>
        <w:t>{Підпункт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доповнено новим абзацом згідно із Законом </w:t>
      </w:r>
      <w:hyperlink r:id="rId222" w:anchor="n1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3EF6E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 w:name="n15479"/>
      <w:bookmarkEnd w:id="208"/>
      <w:r w:rsidRPr="008B264B">
        <w:rPr>
          <w:rFonts w:ascii="Times New Roman" w:eastAsia="Times New Roman" w:hAnsi="Times New Roman" w:cs="Times New Roman"/>
          <w:color w:val="000000"/>
          <w:sz w:val="24"/>
          <w:szCs w:val="24"/>
          <w:lang/>
        </w:rPr>
        <w:t>Не є акцизним складом пересувним:</w:t>
      </w:r>
    </w:p>
    <w:p w14:paraId="53702E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 w:name="n15903"/>
      <w:bookmarkEnd w:id="209"/>
      <w:r w:rsidRPr="008B264B">
        <w:rPr>
          <w:rFonts w:ascii="Times New Roman" w:eastAsia="Times New Roman" w:hAnsi="Times New Roman" w:cs="Times New Roman"/>
          <w:i/>
          <w:iCs/>
          <w:color w:val="000000"/>
          <w:sz w:val="24"/>
          <w:szCs w:val="24"/>
          <w:lang/>
        </w:rPr>
        <w:t>{Абзац восьмий підпункту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 редакції Закону </w:t>
      </w:r>
      <w:hyperlink r:id="rId223" w:anchor="n1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1B0D4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 w:name="n15905"/>
      <w:bookmarkEnd w:id="210"/>
      <w:r w:rsidRPr="008B264B">
        <w:rPr>
          <w:rFonts w:ascii="Times New Roman" w:eastAsia="Times New Roman" w:hAnsi="Times New Roman" w:cs="Times New Roman"/>
          <w:color w:val="000000"/>
          <w:sz w:val="24"/>
          <w:szCs w:val="24"/>
          <w:lang/>
        </w:rPr>
        <w:t>транспортний засіб, що використовується суб’єктом господарювання, який не є розпорядником акцизного складу та платником акцизного податку, для переміщення на митній території України власного пального або спирту етилового для потреб власного споживання чи промислової переробки;</w:t>
      </w:r>
    </w:p>
    <w:p w14:paraId="47D40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 w:name="n15907"/>
      <w:bookmarkEnd w:id="211"/>
      <w:r w:rsidRPr="008B264B">
        <w:rPr>
          <w:rFonts w:ascii="Times New Roman" w:eastAsia="Times New Roman" w:hAnsi="Times New Roman" w:cs="Times New Roman"/>
          <w:i/>
          <w:iCs/>
          <w:color w:val="000000"/>
          <w:sz w:val="24"/>
          <w:szCs w:val="24"/>
          <w:lang/>
        </w:rPr>
        <w:t>{Абзац підпункту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 редакції Закону </w:t>
      </w:r>
      <w:hyperlink r:id="rId224" w:anchor="n1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B7082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 w:name="n15906"/>
      <w:bookmarkEnd w:id="212"/>
      <w:r w:rsidRPr="008B264B">
        <w:rPr>
          <w:rFonts w:ascii="Times New Roman" w:eastAsia="Times New Roman" w:hAnsi="Times New Roman" w:cs="Times New Roman"/>
          <w:color w:val="000000"/>
          <w:sz w:val="24"/>
          <w:szCs w:val="24"/>
          <w:lang/>
        </w:rPr>
        <w:t>паливний бак транспортного засобу;</w:t>
      </w:r>
    </w:p>
    <w:p w14:paraId="163CE4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 w:name="n15904"/>
      <w:bookmarkEnd w:id="213"/>
      <w:r w:rsidRPr="008B264B">
        <w:rPr>
          <w:rFonts w:ascii="Times New Roman" w:eastAsia="Times New Roman" w:hAnsi="Times New Roman" w:cs="Times New Roman"/>
          <w:i/>
          <w:iCs/>
          <w:color w:val="000000"/>
          <w:sz w:val="24"/>
          <w:szCs w:val="24"/>
          <w:lang/>
        </w:rPr>
        <w:t>{Абзац підпункту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 редакції Закону </w:t>
      </w:r>
      <w:hyperlink r:id="rId225" w:anchor="n1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907E1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 w:name="n15473"/>
      <w:bookmarkEnd w:id="214"/>
      <w:r w:rsidRPr="008B264B">
        <w:rPr>
          <w:rFonts w:ascii="Times New Roman" w:eastAsia="Times New Roman" w:hAnsi="Times New Roman" w:cs="Times New Roman"/>
          <w:i/>
          <w:iCs/>
          <w:color w:val="000000"/>
          <w:sz w:val="24"/>
          <w:szCs w:val="24"/>
          <w:lang/>
        </w:rPr>
        <w:t>{Пункт 14.1 статті 14 доповнено підпунктом 14.1.6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26" w:anchor="n2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E7181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 w:name="n267"/>
      <w:bookmarkEnd w:id="215"/>
      <w:r w:rsidRPr="008B264B">
        <w:rPr>
          <w:rFonts w:ascii="Times New Roman" w:eastAsia="Times New Roman" w:hAnsi="Times New Roman" w:cs="Times New Roman"/>
          <w:color w:val="000000"/>
          <w:sz w:val="24"/>
          <w:szCs w:val="24"/>
          <w:lang/>
        </w:rPr>
        <w:t>14.1.7. оскарження рішень контролюючих органів - оскарження платником податку податкового повідомлення - рішення про визначення сум грошового зобов'язання платника податків або будь-якого рішення контролюючого органу в порядку і строки, які встановлені цим Кодексом за процедурами адміністративного оскарження, або в судовому порядку;</w:t>
      </w:r>
    </w:p>
    <w:p w14:paraId="6382FD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 w:name="n268"/>
      <w:bookmarkEnd w:id="216"/>
      <w:r w:rsidRPr="008B264B">
        <w:rPr>
          <w:rFonts w:ascii="Times New Roman" w:eastAsia="Times New Roman" w:hAnsi="Times New Roman" w:cs="Times New Roman"/>
          <w:color w:val="000000"/>
          <w:sz w:val="24"/>
          <w:szCs w:val="24"/>
          <w:lang/>
        </w:rPr>
        <w:t>14.1.8. аукціон (публічні торги) - публічний спосіб продажу активів з метою отримання максимальної виручки від продажу активів у визначений час і в установленому місці;</w:t>
      </w:r>
    </w:p>
    <w:p w14:paraId="3343C8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 w:name="n269"/>
      <w:bookmarkEnd w:id="217"/>
      <w:r w:rsidRPr="008B264B">
        <w:rPr>
          <w:rFonts w:ascii="Times New Roman" w:eastAsia="Times New Roman" w:hAnsi="Times New Roman" w:cs="Times New Roman"/>
          <w:color w:val="000000"/>
          <w:sz w:val="24"/>
          <w:szCs w:val="24"/>
          <w:lang/>
        </w:rPr>
        <w:t>14.1.9. залишкова вартість основних засобів, інших необоротних та нематеріальних активів для цілей розділу III - сума залишкової вартості таких засобів та активів, яка визначається як різниця між первісною вартістю і сумою розрахованої амортизації відповідно до положень </w:t>
      </w:r>
      <w:hyperlink r:id="rId227" w:anchor="n2502" w:history="1">
        <w:r w:rsidRPr="008B264B">
          <w:rPr>
            <w:rFonts w:ascii="Times New Roman" w:eastAsia="Times New Roman" w:hAnsi="Times New Roman" w:cs="Times New Roman"/>
            <w:color w:val="0000FF"/>
            <w:sz w:val="24"/>
            <w:szCs w:val="24"/>
            <w:u w:val="single"/>
            <w:lang/>
          </w:rPr>
          <w:t>розділу III</w:t>
        </w:r>
      </w:hyperlink>
      <w:r w:rsidRPr="008B264B">
        <w:rPr>
          <w:rFonts w:ascii="Times New Roman" w:eastAsia="Times New Roman" w:hAnsi="Times New Roman" w:cs="Times New Roman"/>
          <w:color w:val="000000"/>
          <w:sz w:val="24"/>
          <w:szCs w:val="24"/>
          <w:lang/>
        </w:rPr>
        <w:t> цього Кодексу;</w:t>
      </w:r>
    </w:p>
    <w:p w14:paraId="4A7E2E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 w:name="n10434"/>
      <w:bookmarkEnd w:id="218"/>
      <w:r w:rsidRPr="008B264B">
        <w:rPr>
          <w:rFonts w:ascii="Times New Roman" w:eastAsia="Times New Roman" w:hAnsi="Times New Roman" w:cs="Times New Roman"/>
          <w:i/>
          <w:iCs/>
          <w:color w:val="000000"/>
          <w:sz w:val="24"/>
          <w:szCs w:val="24"/>
          <w:lang/>
        </w:rPr>
        <w:t>{Підпункт 14.1.9 пункту 14.1 статті 14 в редакції Закону </w:t>
      </w:r>
      <w:hyperlink r:id="rId228" w:anchor="n4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BBE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 w:name="n270"/>
      <w:bookmarkEnd w:id="219"/>
      <w:r w:rsidRPr="008B264B">
        <w:rPr>
          <w:rFonts w:ascii="Times New Roman" w:eastAsia="Times New Roman" w:hAnsi="Times New Roman" w:cs="Times New Roman"/>
          <w:color w:val="000000"/>
          <w:sz w:val="24"/>
          <w:szCs w:val="24"/>
          <w:lang/>
        </w:rPr>
        <w:t>14.1.10. бартерна (товарообмінна) операція - господарська операція, яка передбачає проведення розрахунків за товари (роботи, послуги) у негрошовій формі в рамках одного договору;</w:t>
      </w:r>
    </w:p>
    <w:p w14:paraId="74C8BC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 w:name="n271"/>
      <w:bookmarkEnd w:id="220"/>
      <w:r w:rsidRPr="008B264B">
        <w:rPr>
          <w:rFonts w:ascii="Times New Roman" w:eastAsia="Times New Roman" w:hAnsi="Times New Roman" w:cs="Times New Roman"/>
          <w:color w:val="000000"/>
          <w:sz w:val="24"/>
          <w:szCs w:val="24"/>
          <w:lang/>
        </w:rPr>
        <w:t>14.1.11. безнадійна заборгованість - заборгованість, що відповідає одній з таких ознак:</w:t>
      </w:r>
    </w:p>
    <w:p w14:paraId="54000C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 w:name="n10436"/>
      <w:bookmarkEnd w:id="221"/>
      <w:r w:rsidRPr="008B264B">
        <w:rPr>
          <w:rFonts w:ascii="Times New Roman" w:eastAsia="Times New Roman" w:hAnsi="Times New Roman" w:cs="Times New Roman"/>
          <w:color w:val="000000"/>
          <w:sz w:val="24"/>
          <w:szCs w:val="24"/>
          <w:lang/>
        </w:rPr>
        <w:t>а) заборгованість за зобов’язаннями, щодо яких минув строк позовної давності;</w:t>
      </w:r>
    </w:p>
    <w:p w14:paraId="20EB25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 w:name="n10437"/>
      <w:bookmarkEnd w:id="222"/>
      <w:r w:rsidRPr="008B264B">
        <w:rPr>
          <w:rFonts w:ascii="Times New Roman" w:eastAsia="Times New Roman" w:hAnsi="Times New Roman" w:cs="Times New Roman"/>
          <w:color w:val="000000"/>
          <w:sz w:val="24"/>
          <w:szCs w:val="24"/>
          <w:lang/>
        </w:rPr>
        <w:t>б) прострочена заборгованість померлої фізичної особи, за відсутності у неї спадкового майна, на яке може бути звернено стягнення;</w:t>
      </w:r>
    </w:p>
    <w:p w14:paraId="77FCD6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 w:name="n10438"/>
      <w:bookmarkEnd w:id="223"/>
      <w:r w:rsidRPr="008B264B">
        <w:rPr>
          <w:rFonts w:ascii="Times New Roman" w:eastAsia="Times New Roman" w:hAnsi="Times New Roman" w:cs="Times New Roman"/>
          <w:color w:val="000000"/>
          <w:sz w:val="24"/>
          <w:szCs w:val="24"/>
          <w:lang/>
        </w:rPr>
        <w:t>в) прострочена заборгованість осіб, які у судовому порядку визнані безвісно відсутніми, оголошені померлими;</w:t>
      </w:r>
    </w:p>
    <w:p w14:paraId="39B279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 w:name="n10439"/>
      <w:bookmarkEnd w:id="224"/>
      <w:r w:rsidRPr="008B264B">
        <w:rPr>
          <w:rFonts w:ascii="Times New Roman" w:eastAsia="Times New Roman" w:hAnsi="Times New Roman" w:cs="Times New Roman"/>
          <w:i/>
          <w:iCs/>
          <w:color w:val="000000"/>
          <w:sz w:val="24"/>
          <w:szCs w:val="24"/>
          <w:lang/>
        </w:rPr>
        <w:t>{Підпункт "г" підпункту 14.1.11 пункту 14.1 статті 14 виключено на підставі Закону </w:t>
      </w:r>
      <w:hyperlink r:id="rId229" w:anchor="n1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EFD89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 w:name="n10440"/>
      <w:bookmarkEnd w:id="225"/>
      <w:r w:rsidRPr="008B264B">
        <w:rPr>
          <w:rFonts w:ascii="Times New Roman" w:eastAsia="Times New Roman" w:hAnsi="Times New Roman" w:cs="Times New Roman"/>
          <w:color w:val="000000"/>
          <w:sz w:val="24"/>
          <w:szCs w:val="24"/>
          <w:lang/>
        </w:rPr>
        <w:t xml:space="preserve">ґ) прострочена понад 180 днів заборгованість особи, розмір сукупних вимог кредитора за якою не перевищує мінімально встановленого законодавством розміру безспірних вимог кредитора для порушення провадження у справі про банкрутство, а для фізичних осіб - заборгованість, що не перевищує 25 відсотків мінімальної заробітної плати (у розрахунку на рік), </w:t>
      </w:r>
      <w:r w:rsidRPr="008B264B">
        <w:rPr>
          <w:rFonts w:ascii="Times New Roman" w:eastAsia="Times New Roman" w:hAnsi="Times New Roman" w:cs="Times New Roman"/>
          <w:color w:val="000000"/>
          <w:sz w:val="24"/>
          <w:szCs w:val="24"/>
          <w:lang/>
        </w:rPr>
        <w:lastRenderedPageBreak/>
        <w:t>встановленої на 1 січня звітного податкового року (у разі відсутності законодавчо затвердженої процедури банкрутства фізичних осіб);</w:t>
      </w:r>
    </w:p>
    <w:p w14:paraId="2F943A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 w:name="n12574"/>
      <w:bookmarkEnd w:id="226"/>
      <w:r w:rsidRPr="008B264B">
        <w:rPr>
          <w:rFonts w:ascii="Times New Roman" w:eastAsia="Times New Roman" w:hAnsi="Times New Roman" w:cs="Times New Roman"/>
          <w:i/>
          <w:iCs/>
          <w:color w:val="000000"/>
          <w:sz w:val="24"/>
          <w:szCs w:val="24"/>
          <w:lang/>
        </w:rPr>
        <w:t>{Підпункт "ґ" підпункту 14.1.11 пункту 14.1 статті 14 в редакції Закону </w:t>
      </w:r>
      <w:hyperlink r:id="rId230" w:anchor="n8"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1" w:anchor="n8"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в редакції Закону </w:t>
      </w:r>
      <w:hyperlink r:id="rId232" w:anchor="n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9BCA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 w:name="n10441"/>
      <w:bookmarkEnd w:id="227"/>
      <w:r w:rsidRPr="008B264B">
        <w:rPr>
          <w:rFonts w:ascii="Times New Roman" w:eastAsia="Times New Roman" w:hAnsi="Times New Roman" w:cs="Times New Roman"/>
          <w:color w:val="000000"/>
          <w:sz w:val="24"/>
          <w:szCs w:val="24"/>
          <w:lang/>
        </w:rPr>
        <w:t>д) актив у вигляді корпоративних прав або не боргових цінних паперів, емітента яких визнано банкрутом або припинено як юридичну особу у зв’язку з його ліквідацією;</w:t>
      </w:r>
    </w:p>
    <w:p w14:paraId="47A142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 w:name="n10442"/>
      <w:bookmarkEnd w:id="228"/>
      <w:r w:rsidRPr="008B264B">
        <w:rPr>
          <w:rFonts w:ascii="Times New Roman" w:eastAsia="Times New Roman" w:hAnsi="Times New Roman" w:cs="Times New Roman"/>
          <w:color w:val="000000"/>
          <w:sz w:val="24"/>
          <w:szCs w:val="24"/>
          <w:lang/>
        </w:rPr>
        <w:t>е) сума залишкового призового фонду лотереї станом на 31 грудня кожного року;</w:t>
      </w:r>
    </w:p>
    <w:p w14:paraId="10928C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 w:name="n10443"/>
      <w:bookmarkEnd w:id="229"/>
      <w:r w:rsidRPr="008B264B">
        <w:rPr>
          <w:rFonts w:ascii="Times New Roman" w:eastAsia="Times New Roman" w:hAnsi="Times New Roman" w:cs="Times New Roman"/>
          <w:color w:val="000000"/>
          <w:sz w:val="24"/>
          <w:szCs w:val="24"/>
          <w:lang/>
        </w:rPr>
        <w:t>є) прострочена заборгованість фізичної або юридичної особи, не погашена внаслідок недостатності майна зазначеної особи, за умови, що дії щодо примусового стягнення майна боржника не призвели до повного погашення заборгованості;</w:t>
      </w:r>
    </w:p>
    <w:p w14:paraId="61248F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 w:name="n12575"/>
      <w:bookmarkEnd w:id="230"/>
      <w:r w:rsidRPr="008B264B">
        <w:rPr>
          <w:rFonts w:ascii="Times New Roman" w:eastAsia="Times New Roman" w:hAnsi="Times New Roman" w:cs="Times New Roman"/>
          <w:i/>
          <w:iCs/>
          <w:color w:val="000000"/>
          <w:sz w:val="24"/>
          <w:szCs w:val="24"/>
          <w:lang/>
        </w:rPr>
        <w:t>{Підпункт "є" підпункту 14.1.11 пункту 14.1 статті 14 в редакції Закону </w:t>
      </w:r>
      <w:hyperlink r:id="rId233" w:anchor="n8"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529A22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 w:name="n10444"/>
      <w:bookmarkEnd w:id="231"/>
      <w:r w:rsidRPr="008B264B">
        <w:rPr>
          <w:rFonts w:ascii="Times New Roman" w:eastAsia="Times New Roman" w:hAnsi="Times New Roman" w:cs="Times New Roman"/>
          <w:color w:val="000000"/>
          <w:sz w:val="24"/>
          <w:szCs w:val="24"/>
          <w:lang/>
        </w:rPr>
        <w:t>ж) заборгованість, стягнення якої стало неможливим у зв’язку з дією обставин непереборної сили, стихійного лиха (форс-мажорних обставин), підтверджених у порядку, передбаченому законодавством;</w:t>
      </w:r>
    </w:p>
    <w:p w14:paraId="7E1996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 w:name="n12577"/>
      <w:bookmarkEnd w:id="232"/>
      <w:r w:rsidRPr="008B264B">
        <w:rPr>
          <w:rFonts w:ascii="Times New Roman" w:eastAsia="Times New Roman" w:hAnsi="Times New Roman" w:cs="Times New Roman"/>
          <w:color w:val="000000"/>
          <w:sz w:val="24"/>
          <w:szCs w:val="24"/>
          <w:lang/>
        </w:rPr>
        <w:t>з) заборгованість суб’єктів господарювання, визнаних банкрутами у встановленому законом порядку або припинених як юридичні особи у зв’язку з їх ліквідацією;</w:t>
      </w:r>
    </w:p>
    <w:p w14:paraId="36A713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 w:name="n12576"/>
      <w:bookmarkEnd w:id="233"/>
      <w:r w:rsidRPr="008B264B">
        <w:rPr>
          <w:rFonts w:ascii="Times New Roman" w:eastAsia="Times New Roman" w:hAnsi="Times New Roman" w:cs="Times New Roman"/>
          <w:i/>
          <w:iCs/>
          <w:color w:val="000000"/>
          <w:sz w:val="24"/>
          <w:szCs w:val="24"/>
          <w:lang/>
        </w:rPr>
        <w:t>{Підпункт 14.1.11 пункту 14.1 статті 14 доповнено підпунктом "з" згідно із Законом </w:t>
      </w:r>
      <w:hyperlink r:id="rId234" w:anchor="n11"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4296DE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 w:name="n13315"/>
      <w:bookmarkEnd w:id="234"/>
      <w:r w:rsidRPr="008B264B">
        <w:rPr>
          <w:rFonts w:ascii="Times New Roman" w:eastAsia="Times New Roman" w:hAnsi="Times New Roman" w:cs="Times New Roman"/>
          <w:color w:val="000000"/>
          <w:sz w:val="24"/>
          <w:szCs w:val="24"/>
          <w:lang/>
        </w:rPr>
        <w:t>До безнадійної заборгованості банків може бути віднесена сума боргу за фінансовим кредитом, у тому числі сума основної заборгованості та/або сума нарахованих доходів, за яким прострочення погашення суми боргу (його частини) становить понад 360 днів, крім боргу за фінансовими кредитами осіб:</w:t>
      </w:r>
    </w:p>
    <w:p w14:paraId="30F57A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 w:name="n13321"/>
      <w:bookmarkEnd w:id="235"/>
      <w:r w:rsidRPr="008B264B">
        <w:rPr>
          <w:rFonts w:ascii="Times New Roman" w:eastAsia="Times New Roman" w:hAnsi="Times New Roman" w:cs="Times New Roman"/>
          <w:i/>
          <w:iCs/>
          <w:color w:val="000000"/>
          <w:sz w:val="24"/>
          <w:szCs w:val="24"/>
          <w:lang/>
        </w:rPr>
        <w:t>{Підпункт 14.1.11 пункту 14.1 статті 14 доповнено абзацом дванадцятим згідно із Законом </w:t>
      </w:r>
      <w:hyperlink r:id="rId235" w:anchor="n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46D7F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 w:name="n13316"/>
      <w:bookmarkEnd w:id="236"/>
      <w:r w:rsidRPr="008B264B">
        <w:rPr>
          <w:rFonts w:ascii="Times New Roman" w:eastAsia="Times New Roman" w:hAnsi="Times New Roman" w:cs="Times New Roman"/>
          <w:color w:val="000000"/>
          <w:sz w:val="24"/>
          <w:szCs w:val="24"/>
          <w:lang/>
        </w:rPr>
        <w:t>пов’язаних з таким кредитором;</w:t>
      </w:r>
    </w:p>
    <w:p w14:paraId="07BA66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 w:name="n13320"/>
      <w:bookmarkEnd w:id="237"/>
      <w:r w:rsidRPr="008B264B">
        <w:rPr>
          <w:rFonts w:ascii="Times New Roman" w:eastAsia="Times New Roman" w:hAnsi="Times New Roman" w:cs="Times New Roman"/>
          <w:i/>
          <w:iCs/>
          <w:color w:val="000000"/>
          <w:sz w:val="24"/>
          <w:szCs w:val="24"/>
          <w:lang/>
        </w:rPr>
        <w:t>{Підпункт 14.1.11 пункту 14.1 статті 14 доповнено абзацом тринадцятим згідно із Законом </w:t>
      </w:r>
      <w:hyperlink r:id="rId236" w:anchor="n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4E8C9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 w:name="n13317"/>
      <w:bookmarkEnd w:id="238"/>
      <w:r w:rsidRPr="008B264B">
        <w:rPr>
          <w:rFonts w:ascii="Times New Roman" w:eastAsia="Times New Roman" w:hAnsi="Times New Roman" w:cs="Times New Roman"/>
          <w:color w:val="000000"/>
          <w:sz w:val="24"/>
          <w:szCs w:val="24"/>
          <w:lang/>
        </w:rPr>
        <w:t>які перебувають з таким кредитором у трудових відносинах;</w:t>
      </w:r>
    </w:p>
    <w:p w14:paraId="41992E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 w:name="n13319"/>
      <w:bookmarkEnd w:id="239"/>
      <w:r w:rsidRPr="008B264B">
        <w:rPr>
          <w:rFonts w:ascii="Times New Roman" w:eastAsia="Times New Roman" w:hAnsi="Times New Roman" w:cs="Times New Roman"/>
          <w:i/>
          <w:iCs/>
          <w:color w:val="000000"/>
          <w:sz w:val="24"/>
          <w:szCs w:val="24"/>
          <w:lang/>
        </w:rPr>
        <w:t>{Підпункт 14.1.11 пункту 14.1 статті 14 доповнено абзацом чотирнадцятим згідно із Законом </w:t>
      </w:r>
      <w:hyperlink r:id="rId237" w:anchor="n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C98A9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 w:name="n13318"/>
      <w:bookmarkEnd w:id="240"/>
      <w:r w:rsidRPr="008B264B">
        <w:rPr>
          <w:rFonts w:ascii="Times New Roman" w:eastAsia="Times New Roman" w:hAnsi="Times New Roman" w:cs="Times New Roman"/>
          <w:color w:val="000000"/>
          <w:sz w:val="24"/>
          <w:szCs w:val="24"/>
          <w:lang/>
        </w:rPr>
        <w:t>які перебували з таким кредитором у трудових відносинах, та період між датою звільнення таких осіб та датою прощення їхньої заборгованості не перевищує три роки";</w:t>
      </w:r>
    </w:p>
    <w:p w14:paraId="77B33E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 w:name="n13314"/>
      <w:bookmarkEnd w:id="241"/>
      <w:r w:rsidRPr="008B264B">
        <w:rPr>
          <w:rFonts w:ascii="Times New Roman" w:eastAsia="Times New Roman" w:hAnsi="Times New Roman" w:cs="Times New Roman"/>
          <w:i/>
          <w:iCs/>
          <w:color w:val="000000"/>
          <w:sz w:val="24"/>
          <w:szCs w:val="24"/>
          <w:lang/>
        </w:rPr>
        <w:t>{Підпункт 14.1.11 пункту 14.1 статті 14 доповнено абзацом п’ятнадцятим згідно із Законом </w:t>
      </w:r>
      <w:hyperlink r:id="rId238" w:anchor="n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27B15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 w:name="n10435"/>
      <w:bookmarkEnd w:id="242"/>
      <w:r w:rsidRPr="008B264B">
        <w:rPr>
          <w:rFonts w:ascii="Times New Roman" w:eastAsia="Times New Roman" w:hAnsi="Times New Roman" w:cs="Times New Roman"/>
          <w:i/>
          <w:iCs/>
          <w:color w:val="000000"/>
          <w:sz w:val="24"/>
          <w:szCs w:val="24"/>
          <w:lang/>
        </w:rPr>
        <w:t>{Підпункт 14.1.11 пункту 14.1 статті 14 із змінами, внесеними згідно із Законами </w:t>
      </w:r>
      <w:hyperlink r:id="rId23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40" w:anchor="n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241" w:anchor="n4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7023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 w:name="n280"/>
      <w:bookmarkEnd w:id="243"/>
      <w:r w:rsidRPr="008B264B">
        <w:rPr>
          <w:rFonts w:ascii="Times New Roman" w:eastAsia="Times New Roman" w:hAnsi="Times New Roman" w:cs="Times New Roman"/>
          <w:color w:val="000000"/>
          <w:sz w:val="24"/>
          <w:szCs w:val="24"/>
          <w:lang/>
        </w:rPr>
        <w:t>14.1.12. базова ставка фрахту - сума фрахту, включаючи витрати з навантаження, розвантаження, перевантаження та складування (схову) товарів, збільшена на суму витрат за рейс судна або іншого транспортного засобу, сплачуваних (відшкодовуваних) фрахтувальником згідно з укладеним договором фрахтування;</w:t>
      </w:r>
    </w:p>
    <w:p w14:paraId="6C2E8E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 w:name="n281"/>
      <w:bookmarkEnd w:id="244"/>
      <w:r w:rsidRPr="008B264B">
        <w:rPr>
          <w:rFonts w:ascii="Times New Roman" w:eastAsia="Times New Roman" w:hAnsi="Times New Roman" w:cs="Times New Roman"/>
          <w:color w:val="000000"/>
          <w:sz w:val="24"/>
          <w:szCs w:val="24"/>
          <w:lang/>
        </w:rPr>
        <w:t>14.1.13. безоплатно надані товари, роботи, послуги:</w:t>
      </w:r>
    </w:p>
    <w:p w14:paraId="51148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 w:name="n282"/>
      <w:bookmarkEnd w:id="245"/>
      <w:r w:rsidRPr="008B264B">
        <w:rPr>
          <w:rFonts w:ascii="Times New Roman" w:eastAsia="Times New Roman" w:hAnsi="Times New Roman" w:cs="Times New Roman"/>
          <w:color w:val="000000"/>
          <w:sz w:val="24"/>
          <w:szCs w:val="24"/>
          <w:lang/>
        </w:rPr>
        <w:lastRenderedPageBreak/>
        <w:t>а) товари, що надаються згідно з договорами дарування, іншими договорами, за якими не передбачається грошова або інша компенсація вартості таких товарів чи їх повернення, або без укладення таких договорів;</w:t>
      </w:r>
    </w:p>
    <w:p w14:paraId="1CB964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 w:name="n283"/>
      <w:bookmarkEnd w:id="246"/>
      <w:r w:rsidRPr="008B264B">
        <w:rPr>
          <w:rFonts w:ascii="Times New Roman" w:eastAsia="Times New Roman" w:hAnsi="Times New Roman" w:cs="Times New Roman"/>
          <w:color w:val="000000"/>
          <w:sz w:val="24"/>
          <w:szCs w:val="24"/>
          <w:lang/>
        </w:rPr>
        <w:t>б) роботи (послуги), що виконуються (надаються) без висування вимоги щодо компенсації їх вартості;</w:t>
      </w:r>
    </w:p>
    <w:p w14:paraId="0F5B7A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 w:name="n284"/>
      <w:bookmarkEnd w:id="247"/>
      <w:r w:rsidRPr="008B264B">
        <w:rPr>
          <w:rFonts w:ascii="Times New Roman" w:eastAsia="Times New Roman" w:hAnsi="Times New Roman" w:cs="Times New Roman"/>
          <w:color w:val="000000"/>
          <w:sz w:val="24"/>
          <w:szCs w:val="24"/>
          <w:lang/>
        </w:rPr>
        <w:t>в) товари, передані юридичній чи фізичній особі на відповідальне зберігання і використані нею;</w:t>
      </w:r>
    </w:p>
    <w:p w14:paraId="437E70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 w:name="n285"/>
      <w:bookmarkEnd w:id="248"/>
      <w:r w:rsidRPr="008B264B">
        <w:rPr>
          <w:rFonts w:ascii="Times New Roman" w:eastAsia="Times New Roman" w:hAnsi="Times New Roman" w:cs="Times New Roman"/>
          <w:color w:val="000000"/>
          <w:sz w:val="24"/>
          <w:szCs w:val="24"/>
          <w:lang/>
        </w:rPr>
        <w:t>14.1.14. біоетанол - спирт етиловий зневоджений, який виготовлений з біомаси або із спирту етилового-сирцю для використання як біопаливо або біокомпонент та належить до товарної позиції 2207 згідно з </w:t>
      </w:r>
      <w:hyperlink r:id="rId242"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64A912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 w:name="n15219"/>
      <w:bookmarkEnd w:id="249"/>
      <w:r w:rsidRPr="008B264B">
        <w:rPr>
          <w:rFonts w:ascii="Times New Roman" w:eastAsia="Times New Roman" w:hAnsi="Times New Roman" w:cs="Times New Roman"/>
          <w:i/>
          <w:iCs/>
          <w:color w:val="000000"/>
          <w:sz w:val="24"/>
          <w:szCs w:val="24"/>
          <w:lang/>
        </w:rPr>
        <w:t>{Підпункт 14.1.14 пункту 14.1 статті 14 із змінами, внесеними згідно із Законом </w:t>
      </w:r>
      <w:hyperlink r:id="rId243" w:anchor="n3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52FD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 w:name="n286"/>
      <w:bookmarkEnd w:id="250"/>
      <w:r w:rsidRPr="008B264B">
        <w:rPr>
          <w:rFonts w:ascii="Times New Roman" w:eastAsia="Times New Roman" w:hAnsi="Times New Roman" w:cs="Times New Roman"/>
          <w:color w:val="000000"/>
          <w:sz w:val="24"/>
          <w:szCs w:val="24"/>
          <w:lang/>
        </w:rPr>
        <w:t>14.1.15. будівлі - земельні поліпшення, що складаються з несучих та огороджувальних або сполучених (несуче-огороджувальних) конструкцій, які утворюють наземні або підземні приміщення, призначені для проживання або перебування людей, розміщення майна, тварин, рослин, збереження інших матеріальних цінностей, провадження економічної діяльності;</w:t>
      </w:r>
    </w:p>
    <w:p w14:paraId="56C3C4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 w:name="n287"/>
      <w:bookmarkEnd w:id="251"/>
      <w:r w:rsidRPr="008B264B">
        <w:rPr>
          <w:rFonts w:ascii="Times New Roman" w:eastAsia="Times New Roman" w:hAnsi="Times New Roman" w:cs="Times New Roman"/>
          <w:color w:val="000000"/>
          <w:sz w:val="24"/>
          <w:szCs w:val="24"/>
          <w:lang/>
        </w:rPr>
        <w:t>14.1.16. виробнича дотація з бюджету - фінансова допомога з боку держави, що надається суб'єкту господарювання на безповоротній основі з метою зміцнення його фінансово-економічного становища та/або для забезпечення виробництва товарів, виконання робіт, надання послуг;</w:t>
      </w:r>
    </w:p>
    <w:p w14:paraId="2F4D94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 w:name="n288"/>
      <w:bookmarkEnd w:id="252"/>
      <w:r w:rsidRPr="008B264B">
        <w:rPr>
          <w:rFonts w:ascii="Times New Roman" w:eastAsia="Times New Roman" w:hAnsi="Times New Roman" w:cs="Times New Roman"/>
          <w:color w:val="000000"/>
          <w:sz w:val="24"/>
          <w:szCs w:val="24"/>
          <w:lang/>
        </w:rPr>
        <w:t>14.1.17. бюджетна установа - у значенні, наведеному у </w:t>
      </w:r>
      <w:hyperlink r:id="rId244" w:tgtFrame="_blank" w:history="1">
        <w:r w:rsidRPr="008B264B">
          <w:rPr>
            <w:rFonts w:ascii="Times New Roman" w:eastAsia="Times New Roman" w:hAnsi="Times New Roman" w:cs="Times New Roman"/>
            <w:color w:val="0000FF"/>
            <w:sz w:val="24"/>
            <w:szCs w:val="24"/>
            <w:u w:val="single"/>
            <w:lang/>
          </w:rPr>
          <w:t>Бюджетному кодексі України</w:t>
        </w:r>
      </w:hyperlink>
      <w:r w:rsidRPr="008B264B">
        <w:rPr>
          <w:rFonts w:ascii="Times New Roman" w:eastAsia="Times New Roman" w:hAnsi="Times New Roman" w:cs="Times New Roman"/>
          <w:color w:val="000000"/>
          <w:sz w:val="24"/>
          <w:szCs w:val="24"/>
          <w:lang/>
        </w:rPr>
        <w:t>;</w:t>
      </w:r>
    </w:p>
    <w:p w14:paraId="4E37D8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 w:name="n289"/>
      <w:bookmarkEnd w:id="253"/>
      <w:r w:rsidRPr="008B264B">
        <w:rPr>
          <w:rFonts w:ascii="Times New Roman" w:eastAsia="Times New Roman" w:hAnsi="Times New Roman" w:cs="Times New Roman"/>
          <w:color w:val="000000"/>
          <w:sz w:val="24"/>
          <w:szCs w:val="24"/>
          <w:lang/>
        </w:rPr>
        <w:t>14.1.18. бюджетне відшкодування - відшкодування від'ємного значення податку на додану вартість на підставі підтвердження правомірності сум бюджетного відшкодування податку на додану вартість за результатами перевірки платника;</w:t>
      </w:r>
    </w:p>
    <w:p w14:paraId="4F78A6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 w:name="n13488"/>
      <w:bookmarkEnd w:id="254"/>
      <w:r w:rsidRPr="008B264B">
        <w:rPr>
          <w:rFonts w:ascii="Times New Roman" w:eastAsia="Times New Roman" w:hAnsi="Times New Roman" w:cs="Times New Roman"/>
          <w:i/>
          <w:iCs/>
          <w:color w:val="000000"/>
          <w:sz w:val="24"/>
          <w:szCs w:val="24"/>
          <w:lang/>
        </w:rPr>
        <w:t>{Підпункт 14.1.18 пункту 14.1 статті 14 із змінами, внесеними згідно із Законом </w:t>
      </w:r>
      <w:hyperlink r:id="rId245" w:anchor="n1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8AD3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 w:name="n290"/>
      <w:bookmarkEnd w:id="255"/>
      <w:r w:rsidRPr="008B264B">
        <w:rPr>
          <w:rFonts w:ascii="Times New Roman" w:eastAsia="Times New Roman" w:hAnsi="Times New Roman" w:cs="Times New Roman"/>
          <w:i/>
          <w:iCs/>
          <w:color w:val="000000"/>
          <w:sz w:val="24"/>
          <w:szCs w:val="24"/>
          <w:lang/>
        </w:rPr>
        <w:t>{Підпункт 14.1.19 виключено на підставі Закону </w:t>
      </w:r>
      <w:hyperlink r:id="rId246" w:anchor="n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EF0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 w:name="n291"/>
      <w:bookmarkEnd w:id="256"/>
      <w:r w:rsidRPr="008B264B">
        <w:rPr>
          <w:rFonts w:ascii="Times New Roman" w:eastAsia="Times New Roman" w:hAnsi="Times New Roman" w:cs="Times New Roman"/>
          <w:i/>
          <w:iCs/>
          <w:color w:val="000000"/>
          <w:sz w:val="24"/>
          <w:szCs w:val="24"/>
          <w:lang/>
        </w:rPr>
        <w:t>{Підпункт 14.1.20 виключено на підставі Закону </w:t>
      </w:r>
      <w:hyperlink r:id="rId247" w:anchor="n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77566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 w:name="n292"/>
      <w:bookmarkEnd w:id="257"/>
      <w:r w:rsidRPr="008B264B">
        <w:rPr>
          <w:rFonts w:ascii="Times New Roman" w:eastAsia="Times New Roman" w:hAnsi="Times New Roman" w:cs="Times New Roman"/>
          <w:i/>
          <w:iCs/>
          <w:color w:val="000000"/>
          <w:sz w:val="24"/>
          <w:szCs w:val="24"/>
          <w:lang/>
        </w:rPr>
        <w:t>{Підпункт 14.1.21 виключено на підставі Закону </w:t>
      </w:r>
      <w:hyperlink r:id="rId248" w:anchor="n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DF74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 w:name="n293"/>
      <w:bookmarkEnd w:id="258"/>
      <w:r w:rsidRPr="008B264B">
        <w:rPr>
          <w:rFonts w:ascii="Times New Roman" w:eastAsia="Times New Roman" w:hAnsi="Times New Roman" w:cs="Times New Roman"/>
          <w:color w:val="000000"/>
          <w:sz w:val="24"/>
          <w:szCs w:val="24"/>
          <w:lang/>
        </w:rPr>
        <w:t>14.1.21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Ввезення товарів на митну територію України, вивезення товарів за межі митної території України - сукупність дій, пов'язаних із переміщенням товарів через митний кордон України у будь-який спосіб у відповідному напрямку, відповідно до </w:t>
      </w:r>
      <w:hyperlink r:id="rId249"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w:t>
      </w:r>
    </w:p>
    <w:p w14:paraId="7200B0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 w:name="n294"/>
      <w:bookmarkEnd w:id="259"/>
      <w:r w:rsidRPr="008B264B">
        <w:rPr>
          <w:rFonts w:ascii="Times New Roman" w:eastAsia="Times New Roman" w:hAnsi="Times New Roman" w:cs="Times New Roman"/>
          <w:i/>
          <w:iCs/>
          <w:color w:val="000000"/>
          <w:sz w:val="24"/>
          <w:szCs w:val="24"/>
          <w:lang/>
        </w:rPr>
        <w:t>{Пункт 14.1 статті 14 доповнено підпунктом 14.1.21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50" w:anchor="n11"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1F92F7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 w:name="n295"/>
      <w:bookmarkEnd w:id="260"/>
      <w:r w:rsidRPr="008B264B">
        <w:rPr>
          <w:rFonts w:ascii="Times New Roman" w:eastAsia="Times New Roman" w:hAnsi="Times New Roman" w:cs="Times New Roman"/>
          <w:color w:val="000000"/>
          <w:sz w:val="24"/>
          <w:szCs w:val="24"/>
          <w:lang/>
        </w:rPr>
        <w:t>14.1.22. векселедавець для цілей </w:t>
      </w:r>
      <w:hyperlink r:id="rId251" w:anchor="n3610" w:history="1">
        <w:r w:rsidRPr="008B264B">
          <w:rPr>
            <w:rFonts w:ascii="Times New Roman" w:eastAsia="Times New Roman" w:hAnsi="Times New Roman" w:cs="Times New Roman"/>
            <w:color w:val="0000FF"/>
            <w:sz w:val="24"/>
            <w:szCs w:val="24"/>
            <w:u w:val="single"/>
            <w:lang/>
          </w:rPr>
          <w:t>розділу VI</w:t>
        </w:r>
      </w:hyperlink>
      <w:r w:rsidRPr="008B264B">
        <w:rPr>
          <w:rFonts w:ascii="Times New Roman" w:eastAsia="Times New Roman" w:hAnsi="Times New Roman" w:cs="Times New Roman"/>
          <w:color w:val="000000"/>
          <w:sz w:val="24"/>
          <w:szCs w:val="24"/>
          <w:lang/>
        </w:rPr>
        <w:t> цього Кодексу - суб'єкт господарювання - виробник, який одержує:</w:t>
      </w:r>
    </w:p>
    <w:p w14:paraId="642489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 w:name="n296"/>
      <w:bookmarkEnd w:id="261"/>
      <w:r w:rsidRPr="008B264B">
        <w:rPr>
          <w:rFonts w:ascii="Times New Roman" w:eastAsia="Times New Roman" w:hAnsi="Times New Roman" w:cs="Times New Roman"/>
          <w:color w:val="000000"/>
          <w:sz w:val="24"/>
          <w:szCs w:val="24"/>
          <w:lang/>
        </w:rPr>
        <w:t>з акцизного складу спирт етиловий для виробництва алкогольних напоїв, визначених </w:t>
      </w:r>
      <w:hyperlink r:id="rId252" w:anchor="n5611" w:history="1">
        <w:r w:rsidRPr="008B264B">
          <w:rPr>
            <w:rFonts w:ascii="Times New Roman" w:eastAsia="Times New Roman" w:hAnsi="Times New Roman" w:cs="Times New Roman"/>
            <w:color w:val="0000FF"/>
            <w:sz w:val="24"/>
            <w:szCs w:val="24"/>
            <w:u w:val="single"/>
            <w:lang/>
          </w:rPr>
          <w:t>статтею 225</w:t>
        </w:r>
      </w:hyperlink>
      <w:r w:rsidRPr="008B264B">
        <w:rPr>
          <w:rFonts w:ascii="Times New Roman" w:eastAsia="Times New Roman" w:hAnsi="Times New Roman" w:cs="Times New Roman"/>
          <w:color w:val="000000"/>
          <w:sz w:val="24"/>
          <w:szCs w:val="24"/>
          <w:lang/>
        </w:rPr>
        <w:t>, а також для виробництва окремих видів продукції, визначених </w:t>
      </w:r>
      <w:hyperlink r:id="rId253" w:anchor="n5677" w:history="1">
        <w:r w:rsidRPr="008B264B">
          <w:rPr>
            <w:rFonts w:ascii="Times New Roman" w:eastAsia="Times New Roman" w:hAnsi="Times New Roman" w:cs="Times New Roman"/>
            <w:color w:val="0000FF"/>
            <w:sz w:val="24"/>
            <w:szCs w:val="24"/>
            <w:u w:val="single"/>
            <w:lang/>
          </w:rPr>
          <w:t>пунктом 229.1</w:t>
        </w:r>
      </w:hyperlink>
      <w:r w:rsidRPr="008B264B">
        <w:rPr>
          <w:rFonts w:ascii="Times New Roman" w:eastAsia="Times New Roman" w:hAnsi="Times New Roman" w:cs="Times New Roman"/>
          <w:color w:val="000000"/>
          <w:sz w:val="24"/>
          <w:szCs w:val="24"/>
          <w:lang/>
        </w:rPr>
        <w:t> статті 229 розділу VI цього Кодексу;</w:t>
      </w:r>
    </w:p>
    <w:p w14:paraId="68CB1E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 w:name="n297"/>
      <w:bookmarkEnd w:id="262"/>
      <w:r w:rsidRPr="008B264B">
        <w:rPr>
          <w:rFonts w:ascii="Times New Roman" w:eastAsia="Times New Roman" w:hAnsi="Times New Roman" w:cs="Times New Roman"/>
          <w:color w:val="000000"/>
          <w:sz w:val="24"/>
          <w:szCs w:val="24"/>
          <w:lang/>
        </w:rPr>
        <w:t>з нафтопереробного підприємства або ввозить на митну територію України нафтопродукти, речовини, що використовуються як компоненти моторних палив, для їх використання залежно від напряму, визначеного </w:t>
      </w:r>
      <w:hyperlink r:id="rId254" w:anchor="n5711" w:history="1">
        <w:r w:rsidRPr="008B264B">
          <w:rPr>
            <w:rFonts w:ascii="Times New Roman" w:eastAsia="Times New Roman" w:hAnsi="Times New Roman" w:cs="Times New Roman"/>
            <w:color w:val="0000FF"/>
            <w:sz w:val="24"/>
            <w:szCs w:val="24"/>
            <w:u w:val="single"/>
            <w:lang/>
          </w:rPr>
          <w:t>пунктами 229.2-229.8</w:t>
        </w:r>
      </w:hyperlink>
      <w:r w:rsidRPr="008B264B">
        <w:rPr>
          <w:rFonts w:ascii="Times New Roman" w:eastAsia="Times New Roman" w:hAnsi="Times New Roman" w:cs="Times New Roman"/>
          <w:color w:val="000000"/>
          <w:sz w:val="24"/>
          <w:szCs w:val="24"/>
          <w:lang/>
        </w:rPr>
        <w:t> статті 229 розділу VI цього Кодексу;</w:t>
      </w:r>
    </w:p>
    <w:p w14:paraId="534F05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 w:name="n15220"/>
      <w:bookmarkEnd w:id="263"/>
      <w:r w:rsidRPr="008B264B">
        <w:rPr>
          <w:rFonts w:ascii="Times New Roman" w:eastAsia="Times New Roman" w:hAnsi="Times New Roman" w:cs="Times New Roman"/>
          <w:i/>
          <w:iCs/>
          <w:color w:val="000000"/>
          <w:sz w:val="24"/>
          <w:szCs w:val="24"/>
          <w:lang/>
        </w:rPr>
        <w:t>{Абзац третій підпункту 14.1.22 пункту 14.1 статті 14 в редакції Закону </w:t>
      </w:r>
      <w:hyperlink r:id="rId255" w:anchor="n3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9814D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 w:name="n298"/>
      <w:bookmarkEnd w:id="264"/>
      <w:r w:rsidRPr="008B264B">
        <w:rPr>
          <w:rFonts w:ascii="Times New Roman" w:eastAsia="Times New Roman" w:hAnsi="Times New Roman" w:cs="Times New Roman"/>
          <w:i/>
          <w:iCs/>
          <w:color w:val="000000"/>
          <w:sz w:val="24"/>
          <w:szCs w:val="24"/>
          <w:lang/>
        </w:rPr>
        <w:lastRenderedPageBreak/>
        <w:t>{Підпункт 14.1.22 пункту 14.1 статті 14 в редакції Закону </w:t>
      </w:r>
      <w:hyperlink r:id="rId25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096D8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 w:name="n299"/>
      <w:bookmarkEnd w:id="265"/>
      <w:r w:rsidRPr="008B264B">
        <w:rPr>
          <w:rFonts w:ascii="Times New Roman" w:eastAsia="Times New Roman" w:hAnsi="Times New Roman" w:cs="Times New Roman"/>
          <w:color w:val="000000"/>
          <w:sz w:val="24"/>
          <w:szCs w:val="24"/>
          <w:lang/>
        </w:rPr>
        <w:t>14.1.23. векселедержатель для цілей </w:t>
      </w:r>
      <w:hyperlink r:id="rId257" w:anchor="n5400" w:history="1">
        <w:r w:rsidRPr="008B264B">
          <w:rPr>
            <w:rFonts w:ascii="Times New Roman" w:eastAsia="Times New Roman" w:hAnsi="Times New Roman" w:cs="Times New Roman"/>
            <w:color w:val="0000FF"/>
            <w:sz w:val="24"/>
            <w:szCs w:val="24"/>
            <w:u w:val="single"/>
            <w:lang/>
          </w:rPr>
          <w:t>розділу VI</w:t>
        </w:r>
      </w:hyperlink>
      <w:r w:rsidRPr="008B264B">
        <w:rPr>
          <w:rFonts w:ascii="Times New Roman" w:eastAsia="Times New Roman" w:hAnsi="Times New Roman" w:cs="Times New Roman"/>
          <w:color w:val="000000"/>
          <w:sz w:val="24"/>
          <w:szCs w:val="24"/>
          <w:lang/>
        </w:rPr>
        <w:t> - контролюючий орган за місцем реєстрації векселедавця;</w:t>
      </w:r>
    </w:p>
    <w:p w14:paraId="05FAE1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 w:name="n300"/>
      <w:bookmarkEnd w:id="266"/>
      <w:r w:rsidRPr="008B264B">
        <w:rPr>
          <w:rFonts w:ascii="Times New Roman" w:eastAsia="Times New Roman" w:hAnsi="Times New Roman" w:cs="Times New Roman"/>
          <w:color w:val="000000"/>
          <w:sz w:val="24"/>
          <w:szCs w:val="24"/>
          <w:lang/>
        </w:rPr>
        <w:t>14.1.24. великий платник податків - юридична особа або постійне представництво нерезидента на території України, у якої обсяг доходу від усіх видів діяльності за останні чотири послідовні податкові (звітні) квартали перевищує еквівалент 50 мільйонів євро, визначений за середньозваженим офіційним курсом Національного банку України за той самий період, або загальна сума податків, зборів, платежів, сплачених до Державного бюджету України, контроль за справлянням яких покладено на контролюючі органи, за такий самий період перевищує еквівалент 1 мільйона євро, визначений за середньозваженим офіційним курсом Національного банку України за той самий період, у разі якщо сума таких податків, зборів, платежів, крім митних платежів, перевищує еквівалент 500 тисяч євро;</w:t>
      </w:r>
    </w:p>
    <w:p w14:paraId="049CC7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 w:name="n8674"/>
      <w:bookmarkEnd w:id="267"/>
      <w:r w:rsidRPr="008B264B">
        <w:rPr>
          <w:rFonts w:ascii="Times New Roman" w:eastAsia="Times New Roman" w:hAnsi="Times New Roman" w:cs="Times New Roman"/>
          <w:i/>
          <w:iCs/>
          <w:color w:val="000000"/>
          <w:sz w:val="24"/>
          <w:szCs w:val="24"/>
          <w:lang/>
        </w:rPr>
        <w:t>{Підпункт 14.1.24 пункту 14.1 статті 14 із змінами, внесеними згідно із Законом </w:t>
      </w:r>
      <w:hyperlink r:id="rId258" w:anchor="n1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Законів </w:t>
      </w:r>
      <w:hyperlink r:id="rId259" w:anchor="n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60" w:anchor="n1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DAC98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 w:name="n301"/>
      <w:bookmarkEnd w:id="268"/>
      <w:r w:rsidRPr="008B264B">
        <w:rPr>
          <w:rFonts w:ascii="Times New Roman" w:eastAsia="Times New Roman" w:hAnsi="Times New Roman" w:cs="Times New Roman"/>
          <w:i/>
          <w:iCs/>
          <w:color w:val="000000"/>
          <w:sz w:val="24"/>
          <w:szCs w:val="24"/>
          <w:lang/>
        </w:rPr>
        <w:t>{Підпункт 14.1.25 пункту 14.1 статті 14 виключено на підставі Закону </w:t>
      </w:r>
      <w:hyperlink r:id="rId261" w:anchor="n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150C1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 w:name="n302"/>
      <w:bookmarkEnd w:id="269"/>
      <w:r w:rsidRPr="008B264B">
        <w:rPr>
          <w:rFonts w:ascii="Times New Roman" w:eastAsia="Times New Roman" w:hAnsi="Times New Roman" w:cs="Times New Roman"/>
          <w:color w:val="000000"/>
          <w:sz w:val="24"/>
          <w:szCs w:val="24"/>
          <w:lang/>
        </w:rPr>
        <w:t>14.1.26. виноробна продукція - вина виноградні натуральні, вина натуральні кріплені, шампанські, ігристі, газовані, вермути, бренді, сусло виноградне та інші виноматеріали, коньяки, інші алкогольні напої з винограду, плодів та ягід;</w:t>
      </w:r>
    </w:p>
    <w:p w14:paraId="022687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 w:name="n303"/>
      <w:bookmarkEnd w:id="270"/>
      <w:r w:rsidRPr="008B264B">
        <w:rPr>
          <w:rFonts w:ascii="Times New Roman" w:eastAsia="Times New Roman" w:hAnsi="Times New Roman" w:cs="Times New Roman"/>
          <w:i/>
          <w:iCs/>
          <w:color w:val="000000"/>
          <w:sz w:val="24"/>
          <w:szCs w:val="24"/>
          <w:lang/>
        </w:rPr>
        <w:t>{Підпункт 14.1.27 виключено на підставі Закону </w:t>
      </w:r>
      <w:hyperlink r:id="rId262" w:anchor="n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1A80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 w:name="n304"/>
      <w:bookmarkEnd w:id="271"/>
      <w:r w:rsidRPr="008B264B">
        <w:rPr>
          <w:rFonts w:ascii="Times New Roman" w:eastAsia="Times New Roman" w:hAnsi="Times New Roman" w:cs="Times New Roman"/>
          <w:color w:val="000000"/>
          <w:sz w:val="24"/>
          <w:szCs w:val="24"/>
          <w:lang/>
        </w:rPr>
        <w:t>14.1.28. вироблена продукція - загальний обсяг продукції, видобутої відповідно до угоди про розподіл продукції і доставленої в пункт виміру;</w:t>
      </w:r>
    </w:p>
    <w:p w14:paraId="62D228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 w:name="n12650"/>
      <w:bookmarkEnd w:id="272"/>
      <w:r w:rsidRPr="008B264B">
        <w:rPr>
          <w:rFonts w:ascii="Times New Roman" w:eastAsia="Times New Roman" w:hAnsi="Times New Roman" w:cs="Times New Roman"/>
          <w:color w:val="000000"/>
          <w:sz w:val="24"/>
          <w:szCs w:val="24"/>
          <w:lang/>
        </w:rPr>
        <w:t>14.1.28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виробництво підакцизних товарів (продукції) - технологічний процес, в тому числі змішування, здійснення якого внаслідок зміни форми, властивостей або складу сировини, напівфабрикатів або готової продукції призводить до отримання підакцизних товарів (продукції, у тому числі сировини), надання таким товарам інших властивостей, що призводить або не призводить до збільшення обсягів таких товарів;</w:t>
      </w:r>
    </w:p>
    <w:p w14:paraId="3377CD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 w:name="n12649"/>
      <w:bookmarkEnd w:id="273"/>
      <w:r w:rsidRPr="008B264B">
        <w:rPr>
          <w:rFonts w:ascii="Times New Roman" w:eastAsia="Times New Roman" w:hAnsi="Times New Roman" w:cs="Times New Roman"/>
          <w:i/>
          <w:iCs/>
          <w:color w:val="000000"/>
          <w:sz w:val="24"/>
          <w:szCs w:val="24"/>
          <w:lang/>
        </w:rPr>
        <w:t>{Пункт 14.1 статті 14 доповнено підпунктом 14.1.28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63" w:anchor="n2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6187D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 w:name="n305"/>
      <w:bookmarkEnd w:id="274"/>
      <w:r w:rsidRPr="008B264B">
        <w:rPr>
          <w:rFonts w:ascii="Times New Roman" w:eastAsia="Times New Roman" w:hAnsi="Times New Roman" w:cs="Times New Roman"/>
          <w:color w:val="000000"/>
          <w:sz w:val="24"/>
          <w:szCs w:val="24"/>
          <w:lang/>
        </w:rPr>
        <w:t>14.1.29. відновлювальні джерела енергії - джерела вітрової, сонячної, геотермальної енергії, енергії хвиль та припливів, гідроенергії, енергії біомаси, газу з органічних відходів, газу каналізаційно-очисних станцій, біогазів;</w:t>
      </w:r>
    </w:p>
    <w:p w14:paraId="4499DD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 w:name="n306"/>
      <w:bookmarkEnd w:id="275"/>
      <w:r w:rsidRPr="008B264B">
        <w:rPr>
          <w:rFonts w:ascii="Times New Roman" w:eastAsia="Times New Roman" w:hAnsi="Times New Roman" w:cs="Times New Roman"/>
          <w:color w:val="000000"/>
          <w:sz w:val="24"/>
          <w:szCs w:val="24"/>
          <w:lang/>
        </w:rPr>
        <w:t>14.1.30. відокремлені підрозділи - у значенні, визначеному </w:t>
      </w:r>
      <w:hyperlink r:id="rId264" w:tgtFrame="_blank" w:history="1">
        <w:r w:rsidRPr="008B264B">
          <w:rPr>
            <w:rFonts w:ascii="Times New Roman" w:eastAsia="Times New Roman" w:hAnsi="Times New Roman" w:cs="Times New Roman"/>
            <w:color w:val="0000FF"/>
            <w:sz w:val="24"/>
            <w:szCs w:val="24"/>
            <w:u w:val="single"/>
            <w:lang/>
          </w:rPr>
          <w:t>Цивільним кодексом України</w:t>
        </w:r>
      </w:hyperlink>
      <w:r w:rsidRPr="008B264B">
        <w:rPr>
          <w:rFonts w:ascii="Times New Roman" w:eastAsia="Times New Roman" w:hAnsi="Times New Roman" w:cs="Times New Roman"/>
          <w:color w:val="000000"/>
          <w:sz w:val="24"/>
          <w:szCs w:val="24"/>
          <w:lang/>
        </w:rPr>
        <w:t>. Для </w:t>
      </w:r>
      <w:hyperlink r:id="rId265"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у визначенні </w:t>
      </w:r>
      <w:hyperlink r:id="rId266" w:tgtFrame="_blank" w:history="1">
        <w:r w:rsidRPr="008B264B">
          <w:rPr>
            <w:rFonts w:ascii="Times New Roman" w:eastAsia="Times New Roman" w:hAnsi="Times New Roman" w:cs="Times New Roman"/>
            <w:color w:val="0000FF"/>
            <w:sz w:val="24"/>
            <w:szCs w:val="24"/>
            <w:u w:val="single"/>
            <w:lang/>
          </w:rPr>
          <w:t>Господарського кодексу України</w:t>
        </w:r>
      </w:hyperlink>
      <w:r w:rsidRPr="008B264B">
        <w:rPr>
          <w:rFonts w:ascii="Times New Roman" w:eastAsia="Times New Roman" w:hAnsi="Times New Roman" w:cs="Times New Roman"/>
          <w:color w:val="000000"/>
          <w:sz w:val="24"/>
          <w:szCs w:val="24"/>
          <w:lang/>
        </w:rPr>
        <w:t>;</w:t>
      </w:r>
    </w:p>
    <w:p w14:paraId="5DCD32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 w:name="n307"/>
      <w:bookmarkEnd w:id="276"/>
      <w:r w:rsidRPr="008B264B">
        <w:rPr>
          <w:rFonts w:ascii="Times New Roman" w:eastAsia="Times New Roman" w:hAnsi="Times New Roman" w:cs="Times New Roman"/>
          <w:i/>
          <w:iCs/>
          <w:color w:val="000000"/>
          <w:sz w:val="24"/>
          <w:szCs w:val="24"/>
          <w:lang/>
        </w:rPr>
        <w:t>{Підпункт 14.1.30 пункту 14.1 статті 14 із змінами, внесеними згідно із Законами </w:t>
      </w:r>
      <w:hyperlink r:id="rId267" w:anchor="n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268" w:anchor="n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205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 w:name="n308"/>
      <w:bookmarkEnd w:id="277"/>
      <w:r w:rsidRPr="008B264B">
        <w:rPr>
          <w:rFonts w:ascii="Times New Roman" w:eastAsia="Times New Roman" w:hAnsi="Times New Roman" w:cs="Times New Roman"/>
          <w:color w:val="000000"/>
          <w:sz w:val="24"/>
          <w:szCs w:val="24"/>
          <w:lang/>
        </w:rPr>
        <w:t>14.1.31. відчуження майна - будь-які дії платника податків, унаслідок вчинення яких такий платник податків у порядку, передбаченому законом, втрачає право власності на майно, що належить такому платнику податків, або право користування, зокрема, природними ресурсами, що у визначеному законодавством порядку надані йому в користування;</w:t>
      </w:r>
    </w:p>
    <w:p w14:paraId="07E55B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 w:name="n8675"/>
      <w:bookmarkEnd w:id="278"/>
      <w:r w:rsidRPr="008B264B">
        <w:rPr>
          <w:rFonts w:ascii="Times New Roman" w:eastAsia="Times New Roman" w:hAnsi="Times New Roman" w:cs="Times New Roman"/>
          <w:i/>
          <w:iCs/>
          <w:color w:val="000000"/>
          <w:sz w:val="24"/>
          <w:szCs w:val="24"/>
          <w:lang/>
        </w:rPr>
        <w:t>{Підпункт 14.1.31 пункту 14.1 статті 14 із змінами, внесеними згідно із Законом </w:t>
      </w:r>
      <w:hyperlink r:id="rId269" w:anchor="n1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04E87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 w:name="n309"/>
      <w:bookmarkEnd w:id="279"/>
      <w:r w:rsidRPr="008B264B">
        <w:rPr>
          <w:rFonts w:ascii="Times New Roman" w:eastAsia="Times New Roman" w:hAnsi="Times New Roman" w:cs="Times New Roman"/>
          <w:color w:val="000000"/>
          <w:sz w:val="24"/>
          <w:szCs w:val="24"/>
          <w:lang/>
        </w:rPr>
        <w:t xml:space="preserve">14.1.32. відповідальне зберігання - господарська операція, що здійснюється платником податків і передбачає передачу згідно з договорами схову матеріальних цінностей на зберігання іншій фізичній чи юридичній особі без права використання у господарському обороті такої особи </w:t>
      </w:r>
      <w:r w:rsidRPr="008B264B">
        <w:rPr>
          <w:rFonts w:ascii="Times New Roman" w:eastAsia="Times New Roman" w:hAnsi="Times New Roman" w:cs="Times New Roman"/>
          <w:color w:val="000000"/>
          <w:sz w:val="24"/>
          <w:szCs w:val="24"/>
          <w:lang/>
        </w:rPr>
        <w:lastRenderedPageBreak/>
        <w:t>з подальшим поверненням таких матеріальних цінностей платнику податків без зміни якісних або кількісних характеристик;</w:t>
      </w:r>
    </w:p>
    <w:p w14:paraId="65BE20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 w:name="n8676"/>
      <w:bookmarkEnd w:id="280"/>
      <w:r w:rsidRPr="008B264B">
        <w:rPr>
          <w:rFonts w:ascii="Times New Roman" w:eastAsia="Times New Roman" w:hAnsi="Times New Roman" w:cs="Times New Roman"/>
          <w:i/>
          <w:iCs/>
          <w:color w:val="000000"/>
          <w:sz w:val="24"/>
          <w:szCs w:val="24"/>
          <w:lang/>
        </w:rPr>
        <w:t>{Підпункт 14.1.32 пункту 14.1 статті 14 із змінами, внесеними згідно із Законом </w:t>
      </w:r>
      <w:hyperlink r:id="rId270" w:anchor="n1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49FBC6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 w:name="n310"/>
      <w:bookmarkEnd w:id="281"/>
      <w:r w:rsidRPr="008B264B">
        <w:rPr>
          <w:rFonts w:ascii="Times New Roman" w:eastAsia="Times New Roman" w:hAnsi="Times New Roman" w:cs="Times New Roman"/>
          <w:i/>
          <w:iCs/>
          <w:color w:val="000000"/>
          <w:sz w:val="24"/>
          <w:szCs w:val="24"/>
          <w:lang/>
        </w:rPr>
        <w:t>{Підпункт 14.1.33 виключено на підставі Закону </w:t>
      </w:r>
      <w:hyperlink r:id="rId271" w:anchor="n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B020C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 w:name="n313"/>
      <w:bookmarkEnd w:id="282"/>
      <w:r w:rsidRPr="008B264B">
        <w:rPr>
          <w:rFonts w:ascii="Times New Roman" w:eastAsia="Times New Roman" w:hAnsi="Times New Roman" w:cs="Times New Roman"/>
          <w:color w:val="000000"/>
          <w:sz w:val="24"/>
          <w:szCs w:val="24"/>
          <w:lang/>
        </w:rPr>
        <w:t>14.1.34. власники земельних ділянок - юридичні та фізичні особи (резиденти і нерезиденти), які відповідно до закону набули права власності на землю в Україні, а також територіальні громади та держава щодо земель комунальної та державної власності відповідно;</w:t>
      </w:r>
    </w:p>
    <w:p w14:paraId="78A0BE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 w:name="n314"/>
      <w:bookmarkEnd w:id="283"/>
      <w:r w:rsidRPr="008B264B">
        <w:rPr>
          <w:rFonts w:ascii="Times New Roman" w:eastAsia="Times New Roman" w:hAnsi="Times New Roman" w:cs="Times New Roman"/>
          <w:color w:val="000000"/>
          <w:sz w:val="24"/>
          <w:szCs w:val="24"/>
          <w:lang/>
        </w:rPr>
        <w:t>14.1.35. вуглеводнева сировина - нафта, природний газ (у тому числі нафтовий (попутний) газ, газ (метан) вугільних родовищ, газ сланцевих товщ, газ центрально-басейнового типу, газ колекторів щільних порід), газовий конденсат, що є товарною продукцією;</w:t>
      </w:r>
    </w:p>
    <w:p w14:paraId="49B14F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 w:name="n315"/>
      <w:bookmarkEnd w:id="284"/>
      <w:r w:rsidRPr="008B264B">
        <w:rPr>
          <w:rFonts w:ascii="Times New Roman" w:eastAsia="Times New Roman" w:hAnsi="Times New Roman" w:cs="Times New Roman"/>
          <w:i/>
          <w:iCs/>
          <w:color w:val="000000"/>
          <w:sz w:val="24"/>
          <w:szCs w:val="24"/>
          <w:lang/>
        </w:rPr>
        <w:t>{Підпункт 14.1.35 пункту 14.1 статті 14 із змінами, внесеними згідно із Законом </w:t>
      </w:r>
      <w:hyperlink r:id="rId272" w:anchor="n1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235D0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 w:name="n316"/>
      <w:bookmarkEnd w:id="285"/>
      <w:r w:rsidRPr="008B264B">
        <w:rPr>
          <w:rFonts w:ascii="Times New Roman" w:eastAsia="Times New Roman" w:hAnsi="Times New Roman" w:cs="Times New Roman"/>
          <w:color w:val="000000"/>
          <w:sz w:val="24"/>
          <w:szCs w:val="24"/>
          <w:lang/>
        </w:rPr>
        <w:t>14.1.36. господарська діяльність - діяльність особи, що пов'язана з виробництвом (виготовленням) та/або реалізацією товарів, виконанням робіт, наданням послуг, спрямована на отримання доходу і проводиться такою особою самостійно та/або через свої відокремлені підрозділи, а також через будь-яку іншу особу, що діє на користь першої особи, зокрема за договорами комісії, доручення та агентськими договорами;</w:t>
      </w:r>
    </w:p>
    <w:p w14:paraId="5586C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 w:name="n317"/>
      <w:bookmarkEnd w:id="286"/>
      <w:r w:rsidRPr="008B264B">
        <w:rPr>
          <w:rFonts w:ascii="Times New Roman" w:eastAsia="Times New Roman" w:hAnsi="Times New Roman" w:cs="Times New Roman"/>
          <w:color w:val="000000"/>
          <w:sz w:val="24"/>
          <w:szCs w:val="24"/>
          <w:lang/>
        </w:rPr>
        <w:t>14.1.37. господарська діяльність гірничого підприємства з видобування корисних копалин для цілей </w:t>
      </w:r>
      <w:hyperlink r:id="rId273" w:anchor="n6117" w:history="1">
        <w:r w:rsidRPr="008B264B">
          <w:rPr>
            <w:rFonts w:ascii="Times New Roman" w:eastAsia="Times New Roman" w:hAnsi="Times New Roman" w:cs="Times New Roman"/>
            <w:color w:val="0000FF"/>
            <w:sz w:val="24"/>
            <w:szCs w:val="24"/>
            <w:u w:val="single"/>
            <w:lang/>
          </w:rPr>
          <w:t>розділу </w:t>
        </w:r>
      </w:hyperlink>
      <w:hyperlink r:id="rId274" w:anchor="n6117" w:history="1">
        <w:r w:rsidRPr="008B264B">
          <w:rPr>
            <w:rFonts w:ascii="Times New Roman" w:eastAsia="Times New Roman" w:hAnsi="Times New Roman" w:cs="Times New Roman"/>
            <w:color w:val="0000FF"/>
            <w:sz w:val="24"/>
            <w:szCs w:val="24"/>
            <w:u w:val="single"/>
            <w:lang/>
          </w:rPr>
          <w:t>IX</w:t>
        </w:r>
      </w:hyperlink>
      <w:r w:rsidRPr="008B264B">
        <w:rPr>
          <w:rFonts w:ascii="Times New Roman" w:eastAsia="Times New Roman" w:hAnsi="Times New Roman" w:cs="Times New Roman"/>
          <w:color w:val="000000"/>
          <w:sz w:val="24"/>
          <w:szCs w:val="24"/>
          <w:lang/>
        </w:rPr>
        <w:t> цього Кодексу - діяльність гірничого підприємства, яка охоплює процеси добування та первинної переробки корисних копалин;</w:t>
      </w:r>
    </w:p>
    <w:p w14:paraId="2FE5AE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 w:name="n10445"/>
      <w:bookmarkEnd w:id="287"/>
      <w:r w:rsidRPr="008B264B">
        <w:rPr>
          <w:rFonts w:ascii="Times New Roman" w:eastAsia="Times New Roman" w:hAnsi="Times New Roman" w:cs="Times New Roman"/>
          <w:i/>
          <w:iCs/>
          <w:color w:val="000000"/>
          <w:sz w:val="24"/>
          <w:szCs w:val="24"/>
          <w:lang/>
        </w:rPr>
        <w:t>{Підпункт 14.1.37 пункту 14.1 статті 14 із змінами, внесеними згідно із Законами </w:t>
      </w:r>
      <w:hyperlink r:id="rId275" w:anchor="n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76" w:anchor="n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5F32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 w:name="n9659"/>
      <w:bookmarkEnd w:id="288"/>
      <w:r w:rsidRPr="008B264B">
        <w:rPr>
          <w:rFonts w:ascii="Times New Roman" w:eastAsia="Times New Roman" w:hAnsi="Times New Roman" w:cs="Times New Roman"/>
          <w:i/>
          <w:iCs/>
          <w:color w:val="000000"/>
          <w:sz w:val="24"/>
          <w:szCs w:val="24"/>
          <w:lang/>
        </w:rPr>
        <w:t>{Підпункт 14.1.37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виключено на підставі Закону </w:t>
      </w:r>
      <w:hyperlink r:id="rId277" w:anchor="n179" w:tgtFrame="_blank" w:history="1">
        <w:r w:rsidRPr="008B264B">
          <w:rPr>
            <w:rFonts w:ascii="Times New Roman" w:eastAsia="Times New Roman" w:hAnsi="Times New Roman" w:cs="Times New Roman"/>
            <w:i/>
            <w:iCs/>
            <w:color w:val="0000FF"/>
            <w:sz w:val="24"/>
            <w:szCs w:val="24"/>
            <w:u w:val="single"/>
            <w:lang/>
          </w:rPr>
          <w:t>№ 767-VII від 23.02.2014</w:t>
        </w:r>
      </w:hyperlink>
      <w:r w:rsidRPr="008B264B">
        <w:rPr>
          <w:rFonts w:ascii="Times New Roman" w:eastAsia="Times New Roman" w:hAnsi="Times New Roman" w:cs="Times New Roman"/>
          <w:i/>
          <w:iCs/>
          <w:color w:val="000000"/>
          <w:sz w:val="24"/>
          <w:szCs w:val="24"/>
          <w:lang/>
        </w:rPr>
        <w:t>}</w:t>
      </w:r>
    </w:p>
    <w:p w14:paraId="741B7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 w:name="n318"/>
      <w:bookmarkEnd w:id="289"/>
      <w:r w:rsidRPr="008B264B">
        <w:rPr>
          <w:rFonts w:ascii="Times New Roman" w:eastAsia="Times New Roman" w:hAnsi="Times New Roman" w:cs="Times New Roman"/>
          <w:color w:val="000000"/>
          <w:sz w:val="24"/>
          <w:szCs w:val="24"/>
          <w:lang/>
        </w:rPr>
        <w:t>14.1.38. грошове зобов'язання в міжнародних правовідносинах - зобов'язання платника податків сплатити до бюджету іноземної держави відповідну суму коштів у порядку та строки, визначені законодавством такої іноземної держави;</w:t>
      </w:r>
    </w:p>
    <w:p w14:paraId="5CBA69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 w:name="n319"/>
      <w:bookmarkEnd w:id="290"/>
      <w:r w:rsidRPr="008B264B">
        <w:rPr>
          <w:rFonts w:ascii="Times New Roman" w:eastAsia="Times New Roman" w:hAnsi="Times New Roman" w:cs="Times New Roman"/>
          <w:color w:val="000000"/>
          <w:sz w:val="24"/>
          <w:szCs w:val="24"/>
          <w:lang/>
        </w:rPr>
        <w:t>14.1.39. грошове зобов'язання платника податків - сума коштів, яку платник податків повинен сплатити до відповідного бюджету як податкове зобов'язання та/або штрафну (фінансову) санкцію, що справляється з платника податків у зв'язку з порушенням ним вимог податкового законодавства та іншого законодавства, контроль за дотриманням якого покладено на контролюючі органи, а також санкції за порушення законодавства у сфері зовнішньоекономічної діяльності;</w:t>
      </w:r>
    </w:p>
    <w:p w14:paraId="766D53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 w:name="n320"/>
      <w:bookmarkEnd w:id="291"/>
      <w:r w:rsidRPr="008B264B">
        <w:rPr>
          <w:rFonts w:ascii="Times New Roman" w:eastAsia="Times New Roman" w:hAnsi="Times New Roman" w:cs="Times New Roman"/>
          <w:i/>
          <w:iCs/>
          <w:color w:val="000000"/>
          <w:sz w:val="24"/>
          <w:szCs w:val="24"/>
          <w:lang/>
        </w:rPr>
        <w:t>{Підпункт 14.1.39 пункту 14.1 статті 14 із змінами, внесеними згідно із Законом </w:t>
      </w:r>
      <w:hyperlink r:id="rId2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B1BAC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 w:name="n321"/>
      <w:bookmarkEnd w:id="292"/>
      <w:r w:rsidRPr="008B264B">
        <w:rPr>
          <w:rFonts w:ascii="Times New Roman" w:eastAsia="Times New Roman" w:hAnsi="Times New Roman" w:cs="Times New Roman"/>
          <w:color w:val="000000"/>
          <w:sz w:val="24"/>
          <w:szCs w:val="24"/>
          <w:lang/>
        </w:rPr>
        <w:t>14.1.40. гудвіл (вартість ділової репутації) - нематеріальний актив, вартість якого визначається як різниця між ринковою ціною та балансовою вартістю активів підприємства як цілісного майнового комплексу, що виникає в результаті використання кращих управлінських якостей, домінуючої позиції на ринку товарів, послуг, нових технологій тощо. Вартість гудвілу не підлягає амортизації і не враховується під час визначення витрат платника податку, щодо активів якого виник такий гудвіл;</w:t>
      </w:r>
    </w:p>
    <w:p w14:paraId="4FC3D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 w:name="n322"/>
      <w:bookmarkEnd w:id="293"/>
      <w:r w:rsidRPr="008B264B">
        <w:rPr>
          <w:rFonts w:ascii="Times New Roman" w:eastAsia="Times New Roman" w:hAnsi="Times New Roman" w:cs="Times New Roman"/>
          <w:color w:val="000000"/>
          <w:sz w:val="24"/>
          <w:szCs w:val="24"/>
          <w:lang/>
        </w:rPr>
        <w:t>14.1.41. давальницька сировина - сировина, матеріали, напівфабрикати, комплектуючі вироби, енергоносії, що є власністю одного суб'єкта господарювання (замовника) і передаються іншому суб'єкту господарювання (виробнику) для виробництва готової продукції, з подальшим переданням або поверненням такої продукції або її частини їх власникові або за його дорученням іншій особі.</w:t>
      </w:r>
    </w:p>
    <w:p w14:paraId="286A87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 w:name="n323"/>
      <w:bookmarkEnd w:id="294"/>
      <w:r w:rsidRPr="008B264B">
        <w:rPr>
          <w:rFonts w:ascii="Times New Roman" w:eastAsia="Times New Roman" w:hAnsi="Times New Roman" w:cs="Times New Roman"/>
          <w:i/>
          <w:iCs/>
          <w:color w:val="000000"/>
          <w:sz w:val="24"/>
          <w:szCs w:val="24"/>
          <w:lang/>
        </w:rPr>
        <w:lastRenderedPageBreak/>
        <w:t>{Абзац другий підпункту 14.1.41 пункту 14.1 статті 14 виключено на підставі Закону </w:t>
      </w:r>
      <w:hyperlink r:id="rId279" w:anchor="n13"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19E054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 w:name="n324"/>
      <w:bookmarkEnd w:id="295"/>
      <w:r w:rsidRPr="008B264B">
        <w:rPr>
          <w:rFonts w:ascii="Times New Roman" w:eastAsia="Times New Roman" w:hAnsi="Times New Roman" w:cs="Times New Roman"/>
          <w:color w:val="000000"/>
          <w:sz w:val="24"/>
          <w:szCs w:val="24"/>
          <w:lang/>
        </w:rPr>
        <w:t>14.1.42. дані державного земельного кадастру - сукупність відомостей і документів про місце розташування та правовий режим земельних ділянок, їх оцінку, класифікацію земель, кількісну та якісну характеристики, розподіл серед власників землі та землекористувачів, підготовлених відповідно до закону;</w:t>
      </w:r>
    </w:p>
    <w:p w14:paraId="4E2963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 w:name="n325"/>
      <w:bookmarkEnd w:id="296"/>
      <w:r w:rsidRPr="008B264B">
        <w:rPr>
          <w:rFonts w:ascii="Times New Roman" w:eastAsia="Times New Roman" w:hAnsi="Times New Roman" w:cs="Times New Roman"/>
          <w:color w:val="000000"/>
          <w:sz w:val="24"/>
          <w:szCs w:val="24"/>
          <w:lang/>
        </w:rPr>
        <w:t>14.1.43. дебітор - особа, у якої внаслідок минулих подій утворилася заборгованість перед іншою особою у формі певної суми коштів, їх еквіваленту або інших активів;</w:t>
      </w:r>
    </w:p>
    <w:p w14:paraId="24D712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 w:name="n326"/>
      <w:bookmarkEnd w:id="297"/>
      <w:r w:rsidRPr="008B264B">
        <w:rPr>
          <w:rFonts w:ascii="Times New Roman" w:eastAsia="Times New Roman" w:hAnsi="Times New Roman" w:cs="Times New Roman"/>
          <w:color w:val="000000"/>
          <w:sz w:val="24"/>
          <w:szCs w:val="24"/>
          <w:lang/>
        </w:rPr>
        <w:t>14.1.44. депозит (вклад) - кошти, які надаються фізичними чи юридичними особами в управління резиденту, визначеному фінансовою організацією згідно із законодавством України, або нерезиденту на строк або на вимогу та під процент на умовах видачі на першу вимогу або повернення зі спливом встановленого договором строку. Залучення депозитів може здійснюватися у формі випуску (емісії) ощадних (депозитних) сертифікатів. Правила здійснення депозитних операцій встановлюються: для банківських депозитів - Національним банком України відповідно до законодавства; для депозитів (внесків) до інших фінансових установ - державним органом, визначеним законом;</w:t>
      </w:r>
    </w:p>
    <w:p w14:paraId="69F544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 w:name="n13493"/>
      <w:bookmarkEnd w:id="298"/>
      <w:r w:rsidRPr="008B264B">
        <w:rPr>
          <w:rFonts w:ascii="Times New Roman" w:eastAsia="Times New Roman" w:hAnsi="Times New Roman" w:cs="Times New Roman"/>
          <w:color w:val="000000"/>
          <w:sz w:val="24"/>
          <w:szCs w:val="24"/>
          <w:lang/>
        </w:rPr>
        <w:t>14.1.44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державні цінні папери - облігації внутрішніх і зовнішніх державних позик та казначейські зобов’язання України, розміщені центральним органом виконавчої влади, що забезпечує формування та реалізує державну фінансову політику;</w:t>
      </w:r>
    </w:p>
    <w:p w14:paraId="01493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 w:name="n13492"/>
      <w:bookmarkEnd w:id="299"/>
      <w:r w:rsidRPr="008B264B">
        <w:rPr>
          <w:rFonts w:ascii="Times New Roman" w:eastAsia="Times New Roman" w:hAnsi="Times New Roman" w:cs="Times New Roman"/>
          <w:i/>
          <w:iCs/>
          <w:color w:val="000000"/>
          <w:sz w:val="24"/>
          <w:szCs w:val="24"/>
          <w:lang/>
        </w:rPr>
        <w:t>{Пункт 14.1 статті 14 доповнено підпунктом 14.1.44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80" w:anchor="n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1" w:anchor="n6" w:tgtFrame="_blank" w:history="1">
        <w:r w:rsidRPr="008B264B">
          <w:rPr>
            <w:rFonts w:ascii="Times New Roman" w:eastAsia="Times New Roman" w:hAnsi="Times New Roman" w:cs="Times New Roman"/>
            <w:i/>
            <w:iCs/>
            <w:color w:val="0000FF"/>
            <w:sz w:val="24"/>
            <w:szCs w:val="24"/>
            <w:u w:val="single"/>
            <w:lang/>
          </w:rPr>
          <w:t>№ 2146-VIII від 07.09.2017</w:t>
        </w:r>
      </w:hyperlink>
      <w:r w:rsidRPr="008B264B">
        <w:rPr>
          <w:rFonts w:ascii="Times New Roman" w:eastAsia="Times New Roman" w:hAnsi="Times New Roman" w:cs="Times New Roman"/>
          <w:i/>
          <w:iCs/>
          <w:color w:val="000000"/>
          <w:sz w:val="24"/>
          <w:szCs w:val="24"/>
          <w:lang/>
        </w:rPr>
        <w:t>}</w:t>
      </w:r>
    </w:p>
    <w:p w14:paraId="71BC91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 w:name="n327"/>
      <w:bookmarkEnd w:id="300"/>
      <w:r w:rsidRPr="008B264B">
        <w:rPr>
          <w:rFonts w:ascii="Times New Roman" w:eastAsia="Times New Roman" w:hAnsi="Times New Roman" w:cs="Times New Roman"/>
          <w:color w:val="000000"/>
          <w:sz w:val="24"/>
          <w:szCs w:val="24"/>
          <w:lang/>
        </w:rPr>
        <w:t>14.1.45. дериватив - документ, що засвідчує право та/або зобов’язання придбати чи продати у майбутньому цінні папери, матеріальні або нематеріальні активи, а також кошти на визначених ним умовах. Порядок випуску та обігу деривативів установлюється законодавством.</w:t>
      </w:r>
    </w:p>
    <w:p w14:paraId="6A2AD2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 w:name="n13494"/>
      <w:bookmarkEnd w:id="301"/>
      <w:r w:rsidRPr="008B264B">
        <w:rPr>
          <w:rFonts w:ascii="Times New Roman" w:eastAsia="Times New Roman" w:hAnsi="Times New Roman" w:cs="Times New Roman"/>
          <w:i/>
          <w:iCs/>
          <w:color w:val="000000"/>
          <w:sz w:val="24"/>
          <w:szCs w:val="24"/>
          <w:lang/>
        </w:rPr>
        <w:t>{Абзац перший підпункту 14.1.45 пункту 14.1 статті 14 в редакції Закону </w:t>
      </w:r>
      <w:hyperlink r:id="rId282" w:anchor="n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3" w:anchor="n3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7D00E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 w:name="n328"/>
      <w:bookmarkEnd w:id="302"/>
      <w:r w:rsidRPr="008B264B">
        <w:rPr>
          <w:rFonts w:ascii="Times New Roman" w:eastAsia="Times New Roman" w:hAnsi="Times New Roman" w:cs="Times New Roman"/>
          <w:color w:val="000000"/>
          <w:sz w:val="24"/>
          <w:szCs w:val="24"/>
          <w:lang/>
        </w:rPr>
        <w:t>До деривативів належать:</w:t>
      </w:r>
    </w:p>
    <w:p w14:paraId="53CD1C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 w:name="n329"/>
      <w:bookmarkEnd w:id="303"/>
      <w:r w:rsidRPr="008B264B">
        <w:rPr>
          <w:rFonts w:ascii="Times New Roman" w:eastAsia="Times New Roman" w:hAnsi="Times New Roman" w:cs="Times New Roman"/>
          <w:color w:val="000000"/>
          <w:sz w:val="24"/>
          <w:szCs w:val="24"/>
          <w:lang/>
        </w:rPr>
        <w:t>14.1.45.1. своп - цивільно-правова угода про здійснення обміну потоками платежів (готівкових або безготівкових) чи іншими активами, розрахованими на підставі ціни (котирування) базового активу, в тому числі процентних ставок, в межах суми, визначеної договором на конкретну дату платежів (дату проведення розрахунків) протягом дії контракту;</w:t>
      </w:r>
    </w:p>
    <w:p w14:paraId="7ED43C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 w:name="n15222"/>
      <w:bookmarkEnd w:id="304"/>
      <w:r w:rsidRPr="008B264B">
        <w:rPr>
          <w:rFonts w:ascii="Times New Roman" w:eastAsia="Times New Roman" w:hAnsi="Times New Roman" w:cs="Times New Roman"/>
          <w:i/>
          <w:iCs/>
          <w:color w:val="000000"/>
          <w:sz w:val="24"/>
          <w:szCs w:val="24"/>
          <w:lang/>
        </w:rPr>
        <w:t>{Підпункт 14.1.45.1 підпункту 14.1.45 пункту 14.1 статті 14 із змінами, внесеними згідно із Законом </w:t>
      </w:r>
      <w:hyperlink r:id="rId284" w:anchor="n4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F26A8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 w:name="n330"/>
      <w:bookmarkEnd w:id="305"/>
      <w:r w:rsidRPr="008B264B">
        <w:rPr>
          <w:rFonts w:ascii="Times New Roman" w:eastAsia="Times New Roman" w:hAnsi="Times New Roman" w:cs="Times New Roman"/>
          <w:color w:val="000000"/>
          <w:sz w:val="24"/>
          <w:szCs w:val="24"/>
          <w:lang/>
        </w:rPr>
        <w:t>14.1.45.2. опціон - цивільно-правовий договір, згідно з яким одна сторона контракту одержує право на придбання (продаж) базового активу, а інша сторона бере на себе безумовне зобов'язання продати (придбати) базовий актив у майбутньому протягом строку дії опціону чи на встановлену дату (дату виконання) за визначеною під час укладання такого контракту ціною базового активу. За умовами опціону покупець виплачує продавцю премію опціону;</w:t>
      </w:r>
    </w:p>
    <w:p w14:paraId="7912AA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 w:name="n331"/>
      <w:bookmarkEnd w:id="306"/>
      <w:r w:rsidRPr="008B264B">
        <w:rPr>
          <w:rFonts w:ascii="Times New Roman" w:eastAsia="Times New Roman" w:hAnsi="Times New Roman" w:cs="Times New Roman"/>
          <w:color w:val="000000"/>
          <w:sz w:val="24"/>
          <w:szCs w:val="24"/>
          <w:lang/>
        </w:rPr>
        <w:t>14.1.45.3. форвардний контракт - цивільно-правовий договір, за яким продавець зобов'язується у майбутньому в установлений строк передати базовий актив у власність покупця на визначених умовах, а покупець зобов'язується прийняти в установлений строк базовий актив і сплатити за нього ціну, визначену таким договором. Форвардний контракт виконується шляхом постачання базового активу та його оплати коштами або проведення між сторонами контракту грошових розрахунків без постачання базового активу.</w:t>
      </w:r>
    </w:p>
    <w:p w14:paraId="5C182A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 w:name="n15223"/>
      <w:bookmarkEnd w:id="307"/>
      <w:r w:rsidRPr="008B264B">
        <w:rPr>
          <w:rFonts w:ascii="Times New Roman" w:eastAsia="Times New Roman" w:hAnsi="Times New Roman" w:cs="Times New Roman"/>
          <w:i/>
          <w:iCs/>
          <w:color w:val="000000"/>
          <w:sz w:val="24"/>
          <w:szCs w:val="24"/>
          <w:lang/>
        </w:rPr>
        <w:t>{Абзац перший підпункту 14.1.45.3 підпункту 14.1.45 пункту 14.1 статті 14 із змінами, внесеними згідно із Законом </w:t>
      </w:r>
      <w:hyperlink r:id="rId285" w:anchor="n4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61FED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 w:name="n332"/>
      <w:bookmarkEnd w:id="308"/>
      <w:r w:rsidRPr="008B264B">
        <w:rPr>
          <w:rFonts w:ascii="Times New Roman" w:eastAsia="Times New Roman" w:hAnsi="Times New Roman" w:cs="Times New Roman"/>
          <w:color w:val="000000"/>
          <w:sz w:val="24"/>
          <w:szCs w:val="24"/>
          <w:lang/>
        </w:rPr>
        <w:t>Усі умови форварду визначаються сторонами контракту під час його укладення.</w:t>
      </w:r>
    </w:p>
    <w:p w14:paraId="31F50A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 w:name="n333"/>
      <w:bookmarkEnd w:id="309"/>
      <w:r w:rsidRPr="008B264B">
        <w:rPr>
          <w:rFonts w:ascii="Times New Roman" w:eastAsia="Times New Roman" w:hAnsi="Times New Roman" w:cs="Times New Roman"/>
          <w:color w:val="000000"/>
          <w:sz w:val="24"/>
          <w:szCs w:val="24"/>
          <w:lang/>
        </w:rPr>
        <w:lastRenderedPageBreak/>
        <w:t>Укладення форвардів та їх обіг здійснюються поза організатором торгівлі стандартизованими строковими контрактами;</w:t>
      </w:r>
    </w:p>
    <w:p w14:paraId="209EF5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 w:name="n13495"/>
      <w:bookmarkEnd w:id="310"/>
      <w:r w:rsidRPr="008B264B">
        <w:rPr>
          <w:rFonts w:ascii="Times New Roman" w:eastAsia="Times New Roman" w:hAnsi="Times New Roman" w:cs="Times New Roman"/>
          <w:i/>
          <w:iCs/>
          <w:color w:val="000000"/>
          <w:sz w:val="24"/>
          <w:szCs w:val="24"/>
          <w:lang/>
        </w:rPr>
        <w:t>{Підпункт 14.1.45.3 підпункту 14.1.45 пункту 14.1 статті 14 із змінами, внесеними згідно із Законом </w:t>
      </w:r>
      <w:hyperlink r:id="rId286" w:anchor="n2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D48CE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 w:name="n334"/>
      <w:bookmarkEnd w:id="311"/>
      <w:r w:rsidRPr="008B264B">
        <w:rPr>
          <w:rFonts w:ascii="Times New Roman" w:eastAsia="Times New Roman" w:hAnsi="Times New Roman" w:cs="Times New Roman"/>
          <w:color w:val="000000"/>
          <w:sz w:val="24"/>
          <w:szCs w:val="24"/>
          <w:lang/>
        </w:rPr>
        <w:t>14.1.45.4. ф'ючерсний контракт (ф'ючерс) - стандартизований строковий контракт, за яким продавець зобов'язується у майбутньому в установлений строк (дата виконання зобов'язань за ф'ючерсним контрактом) передати базовий актив у власність покупця на визначених специфікацією умовах, а покупець зобов'язується прийняти базовий актив і сплатити за нього ціну, визначену сторонами контракту на дату його укладення.</w:t>
      </w:r>
    </w:p>
    <w:p w14:paraId="3D2FAF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 w:name="n335"/>
      <w:bookmarkEnd w:id="312"/>
      <w:r w:rsidRPr="008B264B">
        <w:rPr>
          <w:rFonts w:ascii="Times New Roman" w:eastAsia="Times New Roman" w:hAnsi="Times New Roman" w:cs="Times New Roman"/>
          <w:color w:val="000000"/>
          <w:sz w:val="24"/>
          <w:szCs w:val="24"/>
          <w:lang/>
        </w:rPr>
        <w:t>Ф'ючерсний контракт виконується відповідно до його специфікації шляхом постачання базового активу та його оплати коштами або проведення між сторонами контракту грошових розрахунків без постачання базового активу.</w:t>
      </w:r>
    </w:p>
    <w:p w14:paraId="69604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 w:name="n336"/>
      <w:bookmarkEnd w:id="313"/>
      <w:r w:rsidRPr="008B264B">
        <w:rPr>
          <w:rFonts w:ascii="Times New Roman" w:eastAsia="Times New Roman" w:hAnsi="Times New Roman" w:cs="Times New Roman"/>
          <w:color w:val="000000"/>
          <w:sz w:val="24"/>
          <w:szCs w:val="24"/>
          <w:lang/>
        </w:rPr>
        <w:t>Виконання зобов'язань за ф'ючерсом забезпечується шляхом створення відповідних умов організатором торгівлі стандартизованими строковими контрактами;</w:t>
      </w:r>
    </w:p>
    <w:p w14:paraId="2E030C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 w:name="n337"/>
      <w:bookmarkEnd w:id="314"/>
      <w:r w:rsidRPr="008B264B">
        <w:rPr>
          <w:rFonts w:ascii="Times New Roman" w:eastAsia="Times New Roman" w:hAnsi="Times New Roman" w:cs="Times New Roman"/>
          <w:color w:val="000000"/>
          <w:sz w:val="24"/>
          <w:szCs w:val="24"/>
          <w:lang/>
        </w:rPr>
        <w:t>14.1.46. діяльність у сфері розваг - господарська діяльність юридичних осіб та фізичних осіб - підприємців, що полягає у проведенні лотерей, а також розважальних ігор, участь в яких не передбачає одержання її учасниками грошових або майнових призів (виграшів), зокрема більярд, кегельбан, боулінг, настільні ігри, дитячі відеоігри тощо;</w:t>
      </w:r>
    </w:p>
    <w:p w14:paraId="4614E6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 w:name="n338"/>
      <w:bookmarkEnd w:id="315"/>
      <w:r w:rsidRPr="008B264B">
        <w:rPr>
          <w:rFonts w:ascii="Times New Roman" w:eastAsia="Times New Roman" w:hAnsi="Times New Roman" w:cs="Times New Roman"/>
          <w:color w:val="000000"/>
          <w:sz w:val="24"/>
          <w:szCs w:val="24"/>
          <w:lang/>
        </w:rPr>
        <w:t>14.1.47. додаткові блага - кошти, матеріальні чи нематеріальні цінності, послуги, інші види доходу, що виплачуються (надаються) платнику податку податковим агентом, якщо такий дохід не є заробітною платою та не пов'язаний з виконанням обов'язків трудового найму або не є винагородою за цивільно-правовими договорами (угодами), укладеними з таким платником податку (крім випадків, прямо передбачених нормами </w:t>
      </w:r>
      <w:hyperlink r:id="rId287"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w:t>
      </w:r>
    </w:p>
    <w:p w14:paraId="2AE056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 w:name="n339"/>
      <w:bookmarkEnd w:id="316"/>
      <w:r w:rsidRPr="008B264B">
        <w:rPr>
          <w:rFonts w:ascii="Times New Roman" w:eastAsia="Times New Roman" w:hAnsi="Times New Roman" w:cs="Times New Roman"/>
          <w:color w:val="000000"/>
          <w:sz w:val="24"/>
          <w:szCs w:val="24"/>
          <w:lang/>
        </w:rPr>
        <w:t>14.1.48. заробітна плата для цілей </w:t>
      </w:r>
      <w:hyperlink r:id="rId288"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основна та додаткова заробітна плата, інші заохочувальні та компенсаційні виплати, які виплачуються (надаються) платнику податку у зв'язку з відносинами трудового найму згідно із законом;</w:t>
      </w:r>
    </w:p>
    <w:p w14:paraId="7B71A5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 w:name="n340"/>
      <w:bookmarkEnd w:id="317"/>
      <w:r w:rsidRPr="008B264B">
        <w:rPr>
          <w:rFonts w:ascii="Times New Roman" w:eastAsia="Times New Roman" w:hAnsi="Times New Roman" w:cs="Times New Roman"/>
          <w:color w:val="000000"/>
          <w:sz w:val="24"/>
          <w:szCs w:val="24"/>
          <w:lang/>
        </w:rPr>
        <w:t>14.1.49. дивіденди - платіж, що здійснюється юридичною особою, у тому числі емітентом корпоративних прав, інвестиційних сертифікатів чи інших цінних паперів на користь власника таких корпоративних прав, інвестиційних сертифікатів та інших цінних паперів, що засвідчують право власності інвестора на частку (пай) у майні (активах) емітента, у зв’язку з розподілом частини його прибутку, розрахованого за правилами бухгалтерського обліку.</w:t>
      </w:r>
    </w:p>
    <w:p w14:paraId="51E89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 w:name="n13497"/>
      <w:bookmarkEnd w:id="318"/>
      <w:r w:rsidRPr="008B264B">
        <w:rPr>
          <w:rFonts w:ascii="Times New Roman" w:eastAsia="Times New Roman" w:hAnsi="Times New Roman" w:cs="Times New Roman"/>
          <w:color w:val="000000"/>
          <w:sz w:val="24"/>
          <w:szCs w:val="24"/>
          <w:lang/>
        </w:rPr>
        <w:t>Для цілей оподаткування до дивідендів прирівнюється також платіж у грошовій формі, що здійснюється юридичною особою на користь її засновника та/або учасника (учасників) у зв’язку з розподілом чистого прибутку (його частини);</w:t>
      </w:r>
    </w:p>
    <w:p w14:paraId="638EBF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 w:name="n13496"/>
      <w:bookmarkEnd w:id="319"/>
      <w:r w:rsidRPr="008B264B">
        <w:rPr>
          <w:rFonts w:ascii="Times New Roman" w:eastAsia="Times New Roman" w:hAnsi="Times New Roman" w:cs="Times New Roman"/>
          <w:i/>
          <w:iCs/>
          <w:color w:val="000000"/>
          <w:sz w:val="24"/>
          <w:szCs w:val="24"/>
          <w:lang/>
        </w:rPr>
        <w:t>{Підпункт 14.1.49 пункту 14.1 статті 14 доповнено абзацом другим згідно із Законом </w:t>
      </w:r>
      <w:hyperlink r:id="rId289" w:anchor="n2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65507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 w:name="n10446"/>
      <w:bookmarkEnd w:id="320"/>
      <w:r w:rsidRPr="008B264B">
        <w:rPr>
          <w:rFonts w:ascii="Times New Roman" w:eastAsia="Times New Roman" w:hAnsi="Times New Roman" w:cs="Times New Roman"/>
          <w:i/>
          <w:iCs/>
          <w:color w:val="000000"/>
          <w:sz w:val="24"/>
          <w:szCs w:val="24"/>
          <w:lang/>
        </w:rPr>
        <w:t>{Підпункт 14.1.49 пункту 14.1 статті 14 в редакції Закону </w:t>
      </w:r>
      <w:hyperlink r:id="rId290" w:anchor="n6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91" w:anchor="n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711C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 w:name="n342"/>
      <w:bookmarkEnd w:id="321"/>
      <w:r w:rsidRPr="008B264B">
        <w:rPr>
          <w:rFonts w:ascii="Times New Roman" w:eastAsia="Times New Roman" w:hAnsi="Times New Roman" w:cs="Times New Roman"/>
          <w:color w:val="000000"/>
          <w:sz w:val="24"/>
          <w:szCs w:val="24"/>
          <w:lang/>
        </w:rPr>
        <w:t>14.1.50. добавки на основі біоетанолу - біокомпоненти моторного палива, отримані шляхом синтезу із застосуванням біоетанолу або змішуванням біоетанолу з органічними сполуками та паливом, одержаними з вуглеводневої сировини, в яких вміст біоетанолу відповідає вимогам нормативних документів та які належать до біопалива;</w:t>
      </w:r>
    </w:p>
    <w:p w14:paraId="3FF582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 w:name="n343"/>
      <w:bookmarkEnd w:id="322"/>
      <w:r w:rsidRPr="008B264B">
        <w:rPr>
          <w:rFonts w:ascii="Times New Roman" w:eastAsia="Times New Roman" w:hAnsi="Times New Roman" w:cs="Times New Roman"/>
          <w:color w:val="000000"/>
          <w:sz w:val="24"/>
          <w:szCs w:val="24"/>
          <w:lang/>
        </w:rPr>
        <w:t>14.1.51. добування корисних копалин - сукупність технологічних операцій з вилучення, у тому числі з покладів дна водойм, та переміщення, у тому числі тимчасове зберігання, на поверхню частини надр (гірничих порід, рудної сировини тощо), що вміщує корисні копалини;</w:t>
      </w:r>
    </w:p>
    <w:p w14:paraId="48A72E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 w:name="n344"/>
      <w:bookmarkEnd w:id="323"/>
      <w:r w:rsidRPr="008B264B">
        <w:rPr>
          <w:rFonts w:ascii="Times New Roman" w:eastAsia="Times New Roman" w:hAnsi="Times New Roman" w:cs="Times New Roman"/>
          <w:color w:val="000000"/>
          <w:sz w:val="24"/>
          <w:szCs w:val="24"/>
          <w:lang/>
        </w:rPr>
        <w:t xml:space="preserve">14.1.52. договір довгострокового страхування життя - договір страхування життя строком на п'ять і більше років, який передбачає страхову виплату одноразово або у вигляді ануїтету, якщо </w:t>
      </w:r>
      <w:r w:rsidRPr="008B264B">
        <w:rPr>
          <w:rFonts w:ascii="Times New Roman" w:eastAsia="Times New Roman" w:hAnsi="Times New Roman" w:cs="Times New Roman"/>
          <w:color w:val="000000"/>
          <w:sz w:val="24"/>
          <w:szCs w:val="24"/>
          <w:lang/>
        </w:rPr>
        <w:lastRenderedPageBreak/>
        <w:t>застрахована особа дожила до закінчення терміну дії договору страхування чи події, передбаченої у договорі страхування, або досягла віку, визначеного договором. Такий договір не може передбачати часткових виплат протягом перших п'яти років його дії, крім тих, що здійснюються у разі настання страхових випадків, пов'язаних із смертю чи хворобою застрахованої особи або нещасним випадком, що призвело до встановлення застрахованій особі інвалідності I або II групи чи встановлення інвалідності особі, яка не досягла вісімнадцятирічного віку. При цьому платник податку - роботодавець не може бути вигодонабувачем за такими договорами страхування життя;</w:t>
      </w:r>
    </w:p>
    <w:p w14:paraId="50A79B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 w:name="n10448"/>
      <w:bookmarkEnd w:id="324"/>
      <w:r w:rsidRPr="008B264B">
        <w:rPr>
          <w:rFonts w:ascii="Times New Roman" w:eastAsia="Times New Roman" w:hAnsi="Times New Roman" w:cs="Times New Roman"/>
          <w:color w:val="000000"/>
          <w:sz w:val="24"/>
          <w:szCs w:val="24"/>
          <w:lang/>
        </w:rPr>
        <w:t>14.1.52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договір добровільного медичного страхування - договір страхування, який передбачає страхову виплату, що здійснюється закладам охорони здоров’я у разі настання страхового випадку, пов’язаного із хворобою застрахованої особи або нещасним випадком. Такий договір має також передбачати мінімальний строк його дії один рік та повернення страхових платежів виключно страхувальнику при достроковому розірванні договору;</w:t>
      </w:r>
    </w:p>
    <w:p w14:paraId="4904AC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 w:name="n10450"/>
      <w:bookmarkEnd w:id="325"/>
      <w:r w:rsidRPr="008B264B">
        <w:rPr>
          <w:rFonts w:ascii="Times New Roman" w:eastAsia="Times New Roman" w:hAnsi="Times New Roman" w:cs="Times New Roman"/>
          <w:i/>
          <w:iCs/>
          <w:color w:val="000000"/>
          <w:sz w:val="24"/>
          <w:szCs w:val="24"/>
          <w:lang/>
        </w:rPr>
        <w:t>{Пункт 14.1 статті 14 доповнено підпунктом 14.1.52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92" w:anchor="n6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351FD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 w:name="n10449"/>
      <w:bookmarkEnd w:id="326"/>
      <w:r w:rsidRPr="008B264B">
        <w:rPr>
          <w:rFonts w:ascii="Times New Roman" w:eastAsia="Times New Roman" w:hAnsi="Times New Roman" w:cs="Times New Roman"/>
          <w:color w:val="000000"/>
          <w:sz w:val="24"/>
          <w:szCs w:val="24"/>
          <w:lang/>
        </w:rPr>
        <w:t>14.1.52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договір страхування додаткової пенсії - це договір страхування, який передбачає обов’язок страховика щодо здійснення страхової виплати (виплат) та/або виплат у вигляді ануїтету в разі досягнення застрахованою особою пенсійного віку, визначеного за заявою застрахованої особи у договорі страхування відповідно до законодавства з урахуванням того, що такий пенсійний вік не може бути меншим більше ніж на 10 років від пенсійного віку, який надає право на пенсію за загальнообов’язковим державним пенсійним страхуванням. Дострокове припинення договору до досягнення застрахованою особою зазначеного в договорі пенсійного віку неможливе, крім випадків: наявності медично підтвердженого критичного стану здоров’я (онкозахворювання, інсульт тощо) або встановлення застрахованій особі інвалідності I або II групи; виїзду страхувальника та/або застрахованої особи на постійне проживання за межі України; смерті застрахованої особи. Вигодонабувачем за таким договором може бути лише застрахована особа або спадкоємці відповідно до законодавства. Особливості зміни страховика за договором страхування додаткової пенсії встановлюються відповідно до закону;</w:t>
      </w:r>
    </w:p>
    <w:p w14:paraId="0B7806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 w:name="n10447"/>
      <w:bookmarkEnd w:id="327"/>
      <w:r w:rsidRPr="008B264B">
        <w:rPr>
          <w:rFonts w:ascii="Times New Roman" w:eastAsia="Times New Roman" w:hAnsi="Times New Roman" w:cs="Times New Roman"/>
          <w:i/>
          <w:iCs/>
          <w:color w:val="000000"/>
          <w:sz w:val="24"/>
          <w:szCs w:val="24"/>
          <w:lang/>
        </w:rPr>
        <w:t>{Пункт 14.1 статті 14 доповнено підпунктом 14.1.52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293" w:anchor="n6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6A9A9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 w:name="n345"/>
      <w:bookmarkEnd w:id="328"/>
      <w:r w:rsidRPr="008B264B">
        <w:rPr>
          <w:rFonts w:ascii="Times New Roman" w:eastAsia="Times New Roman" w:hAnsi="Times New Roman" w:cs="Times New Roman"/>
          <w:color w:val="000000"/>
          <w:sz w:val="24"/>
          <w:szCs w:val="24"/>
          <w:lang/>
        </w:rPr>
        <w:t>14.1.53. документ іноземної держави, за яким здійснюється стягнення суми податкового боргу в міжнародних правовідносинах - рішення компетентного органу іноземної держави про нарахування податкового боргу до бюджету такої держави, що на запит зазначеного компетентного органу відповідно до міжнародного договору України підлягає виконанню на території України;</w:t>
      </w:r>
    </w:p>
    <w:p w14:paraId="05D3F6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 w:name="n346"/>
      <w:bookmarkEnd w:id="329"/>
      <w:r w:rsidRPr="008B264B">
        <w:rPr>
          <w:rFonts w:ascii="Times New Roman" w:eastAsia="Times New Roman" w:hAnsi="Times New Roman" w:cs="Times New Roman"/>
          <w:color w:val="000000"/>
          <w:sz w:val="24"/>
          <w:szCs w:val="24"/>
          <w:lang/>
        </w:rPr>
        <w:t>14.1.54. дохід з джерелом їх походження з України - будь-який дохід, отриманий резидентами або нерезидентами, у тому числі від будь-яких видів їх діяльності на території України (включаючи виплату (нарахування) винагороди іноземними роботодавцями), її континентальному шельфі, у виключній (морській) економічній зоні, у тому числі, але не виключно, доходи у вигляді:</w:t>
      </w:r>
    </w:p>
    <w:p w14:paraId="2F9D0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 w:name="n347"/>
      <w:bookmarkEnd w:id="330"/>
      <w:r w:rsidRPr="008B264B">
        <w:rPr>
          <w:rFonts w:ascii="Times New Roman" w:eastAsia="Times New Roman" w:hAnsi="Times New Roman" w:cs="Times New Roman"/>
          <w:color w:val="000000"/>
          <w:sz w:val="24"/>
          <w:szCs w:val="24"/>
          <w:lang/>
        </w:rPr>
        <w:t>а) процентів, дивідендів, роялті та будь-яких інших пасивних (інвестиційних) доходів, сплачених резидентами України;</w:t>
      </w:r>
    </w:p>
    <w:p w14:paraId="36749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 w:name="n348"/>
      <w:bookmarkEnd w:id="331"/>
      <w:r w:rsidRPr="008B264B">
        <w:rPr>
          <w:rFonts w:ascii="Times New Roman" w:eastAsia="Times New Roman" w:hAnsi="Times New Roman" w:cs="Times New Roman"/>
          <w:color w:val="000000"/>
          <w:sz w:val="24"/>
          <w:szCs w:val="24"/>
          <w:lang/>
        </w:rPr>
        <w:t>б) доходів від надання резидентам або нерезидентам в оренду (користування) майна, розташованого в Україні, включаючи рухомий склад транспорту, приписаного до розташованих в Україні портів;</w:t>
      </w:r>
    </w:p>
    <w:p w14:paraId="330911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 w:name="n349"/>
      <w:bookmarkEnd w:id="332"/>
      <w:r w:rsidRPr="008B264B">
        <w:rPr>
          <w:rFonts w:ascii="Times New Roman" w:eastAsia="Times New Roman" w:hAnsi="Times New Roman" w:cs="Times New Roman"/>
          <w:color w:val="000000"/>
          <w:sz w:val="24"/>
          <w:szCs w:val="24"/>
          <w:lang/>
        </w:rPr>
        <w:t>в) доходів від продажу рухомого та нерухомого майна, доходів від відчуження корпоративних прав, цінних паперів, у тому числі акцій українських емітентів;</w:t>
      </w:r>
    </w:p>
    <w:p w14:paraId="7DE1C5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 w:name="n350"/>
      <w:bookmarkEnd w:id="333"/>
      <w:r w:rsidRPr="008B264B">
        <w:rPr>
          <w:rFonts w:ascii="Times New Roman" w:eastAsia="Times New Roman" w:hAnsi="Times New Roman" w:cs="Times New Roman"/>
          <w:color w:val="000000"/>
          <w:sz w:val="24"/>
          <w:szCs w:val="24"/>
          <w:lang/>
        </w:rPr>
        <w:t>г) доходів, отриманих у вигляді внесків та премій на страхування і перестрахування ризиків на території України;</w:t>
      </w:r>
    </w:p>
    <w:p w14:paraId="596A2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 w:name="n351"/>
      <w:bookmarkEnd w:id="334"/>
      <w:r w:rsidRPr="008B264B">
        <w:rPr>
          <w:rFonts w:ascii="Times New Roman" w:eastAsia="Times New Roman" w:hAnsi="Times New Roman" w:cs="Times New Roman"/>
          <w:color w:val="000000"/>
          <w:sz w:val="24"/>
          <w:szCs w:val="24"/>
          <w:lang/>
        </w:rPr>
        <w:lastRenderedPageBreak/>
        <w:t>ґ) доходів страховиків - резидентів від страхування ризиків страхувальників - резидентів за межами України;</w:t>
      </w:r>
    </w:p>
    <w:p w14:paraId="5778F1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 w:name="n352"/>
      <w:bookmarkEnd w:id="335"/>
      <w:r w:rsidRPr="008B264B">
        <w:rPr>
          <w:rFonts w:ascii="Times New Roman" w:eastAsia="Times New Roman" w:hAnsi="Times New Roman" w:cs="Times New Roman"/>
          <w:color w:val="000000"/>
          <w:sz w:val="24"/>
          <w:szCs w:val="24"/>
          <w:lang/>
        </w:rPr>
        <w:t>д) інших доходів від діяльності, у тому числі пов'язаних з повною або частковою переуступкою прав та обов'язків за угодами про розподіл продукції на митній території України або на територіях, що перебувають під контролем контролюючих органів (у зонах митного контролю, на спеціалізованих ліцензійних митних складах тощо);</w:t>
      </w:r>
    </w:p>
    <w:p w14:paraId="55D868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 w:name="n353"/>
      <w:bookmarkEnd w:id="336"/>
      <w:r w:rsidRPr="008B264B">
        <w:rPr>
          <w:rFonts w:ascii="Times New Roman" w:eastAsia="Times New Roman" w:hAnsi="Times New Roman" w:cs="Times New Roman"/>
          <w:color w:val="000000"/>
          <w:sz w:val="24"/>
          <w:szCs w:val="24"/>
          <w:lang/>
        </w:rPr>
        <w:t>е) спадщини, подарунків, виграшів, призів;</w:t>
      </w:r>
    </w:p>
    <w:p w14:paraId="6A2CBC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 w:name="n354"/>
      <w:bookmarkEnd w:id="337"/>
      <w:r w:rsidRPr="008B264B">
        <w:rPr>
          <w:rFonts w:ascii="Times New Roman" w:eastAsia="Times New Roman" w:hAnsi="Times New Roman" w:cs="Times New Roman"/>
          <w:color w:val="000000"/>
          <w:sz w:val="24"/>
          <w:szCs w:val="24"/>
          <w:lang/>
        </w:rPr>
        <w:t>є) заробітної плати, інших виплат та винагород, виплачених відповідно до умов трудового та цивільно-правового договору;</w:t>
      </w:r>
    </w:p>
    <w:p w14:paraId="513B07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 w:name="n355"/>
      <w:bookmarkEnd w:id="338"/>
      <w:r w:rsidRPr="008B264B">
        <w:rPr>
          <w:rFonts w:ascii="Times New Roman" w:eastAsia="Times New Roman" w:hAnsi="Times New Roman" w:cs="Times New Roman"/>
          <w:color w:val="000000"/>
          <w:sz w:val="24"/>
          <w:szCs w:val="24"/>
          <w:lang/>
        </w:rPr>
        <w:t>ж) доходів від зайняття підприємницькою та незалежною професійною діяльністю;</w:t>
      </w:r>
    </w:p>
    <w:p w14:paraId="60ADB3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 w:name="n356"/>
      <w:bookmarkEnd w:id="339"/>
      <w:r w:rsidRPr="008B264B">
        <w:rPr>
          <w:rFonts w:ascii="Times New Roman" w:eastAsia="Times New Roman" w:hAnsi="Times New Roman" w:cs="Times New Roman"/>
          <w:color w:val="000000"/>
          <w:sz w:val="24"/>
          <w:szCs w:val="24"/>
          <w:lang/>
        </w:rPr>
        <w:t>14.1.55. дохід, отриманий з джерел за межами України, - будь-який дохід, отриманий резидентами, у тому числі від будь-яких видів їх діяльності за межами митної території України, включаючи проценти, дивіденди, роялті та будь-які інші види пасивних доходів, спадщину, подарунки, виграші, призи, доходи від виконання робіт (надання послуг) за цивільно-правовими та трудовими договорами, від надання резидентам в оренду (користування) майна, розташованого за межами України, включаючи рухомий склад транспорту, приписаного до розташованих за межами України портів, доходи від продажу майна, розташованого за межами України, дохід від відчуження інвестиційних активів, у тому числі корпоративних прав, цінних паперів тощо; інші доходи від будь-яких видів діяльності за межами митної території України або територій, непідконтрольних контролюючим органам;</w:t>
      </w:r>
    </w:p>
    <w:p w14:paraId="02C079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 w:name="n357"/>
      <w:bookmarkEnd w:id="340"/>
      <w:r w:rsidRPr="008B264B">
        <w:rPr>
          <w:rFonts w:ascii="Times New Roman" w:eastAsia="Times New Roman" w:hAnsi="Times New Roman" w:cs="Times New Roman"/>
          <w:i/>
          <w:iCs/>
          <w:color w:val="000000"/>
          <w:sz w:val="24"/>
          <w:szCs w:val="24"/>
          <w:lang/>
        </w:rPr>
        <w:t>{Підпункт 14.1.56 пункту 14.1 статті 14 виключено на підставі Закону </w:t>
      </w:r>
      <w:hyperlink r:id="rId294" w:anchor="n6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D116C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 w:name="n13499"/>
      <w:bookmarkEnd w:id="341"/>
      <w:r w:rsidRPr="008B264B">
        <w:rPr>
          <w:rFonts w:ascii="Times New Roman" w:eastAsia="Times New Roman" w:hAnsi="Times New Roman" w:cs="Times New Roman"/>
          <w:color w:val="000000"/>
          <w:sz w:val="24"/>
          <w:szCs w:val="24"/>
          <w:lang/>
        </w:rPr>
        <w:t>14.1.56. електронна адреса - адреса електронної пошти платника податків, що складається з ідентифікатора, позначки "@" та доменного імені, що використовується платником податків для листування з державними, у тому числі контролюючими, органами та повідомляється шляхом внесення адреси електронної пошти до облікових даних платника податків, зокрема в електронному кабінеті;</w:t>
      </w:r>
    </w:p>
    <w:p w14:paraId="108060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 w:name="n13498"/>
      <w:bookmarkEnd w:id="342"/>
      <w:r w:rsidRPr="008B264B">
        <w:rPr>
          <w:rFonts w:ascii="Times New Roman" w:eastAsia="Times New Roman" w:hAnsi="Times New Roman" w:cs="Times New Roman"/>
          <w:i/>
          <w:iCs/>
          <w:color w:val="000000"/>
          <w:sz w:val="24"/>
          <w:szCs w:val="24"/>
          <w:lang/>
        </w:rPr>
        <w:t>{До пункту 14.1 статті 14 включено підпункт 14.1.56 згідно із Законом </w:t>
      </w:r>
      <w:hyperlink r:id="rId295" w:anchor="n3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FF6E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 w:name="n13501"/>
      <w:bookmarkEnd w:id="343"/>
      <w:r w:rsidRPr="008B264B">
        <w:rPr>
          <w:rFonts w:ascii="Times New Roman" w:eastAsia="Times New Roman" w:hAnsi="Times New Roman" w:cs="Times New Roman"/>
          <w:color w:val="000000"/>
          <w:sz w:val="24"/>
          <w:szCs w:val="24"/>
          <w:lang/>
        </w:rPr>
        <w:t>14.1.56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електронна ідентифікація - процедура використання ідентифікаційних даних особи в електронній формі, які однозначно визначають фізичну особу, юридичну особу або представника фізичної чи юридичної особи. Дозволені для використання технології для ідентифікації платників податків в електронному кабінеті платника податків визначаються центральним органом виконавчої влади, що забезпечує формування та реалізує державну фінансову політику;</w:t>
      </w:r>
    </w:p>
    <w:p w14:paraId="0D3BC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 w:name="n13509"/>
      <w:bookmarkEnd w:id="344"/>
      <w:r w:rsidRPr="008B264B">
        <w:rPr>
          <w:rFonts w:ascii="Times New Roman" w:eastAsia="Times New Roman" w:hAnsi="Times New Roman" w:cs="Times New Roman"/>
          <w:i/>
          <w:iCs/>
          <w:color w:val="000000"/>
          <w:sz w:val="24"/>
          <w:szCs w:val="24"/>
          <w:lang/>
        </w:rPr>
        <w:t>{Пункт 14.1 статті 14 доповнено підпунктом 14.1.56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96" w:anchor="n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297"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48BF74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 w:name="n13502"/>
      <w:bookmarkEnd w:id="345"/>
      <w:r w:rsidRPr="008B264B">
        <w:rPr>
          <w:rFonts w:ascii="Times New Roman" w:eastAsia="Times New Roman" w:hAnsi="Times New Roman" w:cs="Times New Roman"/>
          <w:color w:val="000000"/>
          <w:sz w:val="24"/>
          <w:szCs w:val="24"/>
          <w:lang/>
        </w:rPr>
        <w:t>14.1.56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електронний кабінет - електронна система взаємовідносин між платниками податків та державними, у тому числі контролюючими, органами з питань реалізації їхніх прав та обов’язків, передбачених цим Кодексом, що складається з:</w:t>
      </w:r>
    </w:p>
    <w:p w14:paraId="73EFC5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 w:name="n13503"/>
      <w:bookmarkEnd w:id="346"/>
      <w:r w:rsidRPr="008B264B">
        <w:rPr>
          <w:rFonts w:ascii="Times New Roman" w:eastAsia="Times New Roman" w:hAnsi="Times New Roman" w:cs="Times New Roman"/>
          <w:color w:val="000000"/>
          <w:sz w:val="24"/>
          <w:szCs w:val="24"/>
          <w:lang/>
        </w:rPr>
        <w:t>апаратно-програмного комплексу;</w:t>
      </w:r>
    </w:p>
    <w:p w14:paraId="50670D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 w:name="n13504"/>
      <w:bookmarkEnd w:id="347"/>
      <w:r w:rsidRPr="008B264B">
        <w:rPr>
          <w:rFonts w:ascii="Times New Roman" w:eastAsia="Times New Roman" w:hAnsi="Times New Roman" w:cs="Times New Roman"/>
          <w:color w:val="000000"/>
          <w:sz w:val="24"/>
          <w:szCs w:val="24"/>
          <w:lang/>
        </w:rPr>
        <w:t>портального рішення для користувачів - платників податків, робота в якому здійснюється он-лайн (через Інтернет у режимі реального часу) та не вимагає обов’язкового використання спеціалізованого клієнтського застосування;</w:t>
      </w:r>
    </w:p>
    <w:p w14:paraId="1C70D9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 w:name="n13505"/>
      <w:bookmarkEnd w:id="348"/>
      <w:r w:rsidRPr="008B264B">
        <w:rPr>
          <w:rFonts w:ascii="Times New Roman" w:eastAsia="Times New Roman" w:hAnsi="Times New Roman" w:cs="Times New Roman"/>
          <w:color w:val="000000"/>
          <w:sz w:val="24"/>
          <w:szCs w:val="24"/>
          <w:lang/>
        </w:rPr>
        <w:t>портального рішення для користувачів - державних, у тому числі контролюючих, органів;</w:t>
      </w:r>
    </w:p>
    <w:p w14:paraId="30643D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 w:name="n13506"/>
      <w:bookmarkEnd w:id="349"/>
      <w:r w:rsidRPr="008B264B">
        <w:rPr>
          <w:rFonts w:ascii="Times New Roman" w:eastAsia="Times New Roman" w:hAnsi="Times New Roman" w:cs="Times New Roman"/>
          <w:color w:val="000000"/>
          <w:sz w:val="24"/>
          <w:szCs w:val="24"/>
          <w:lang/>
        </w:rPr>
        <w:lastRenderedPageBreak/>
        <w:t>програмного інтерфейсу (API), що дає змогу реалізувати повноту функціоналу електронного кабінету;</w:t>
      </w:r>
    </w:p>
    <w:p w14:paraId="10AB39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 w:name="n13507"/>
      <w:bookmarkEnd w:id="350"/>
      <w:r w:rsidRPr="008B264B">
        <w:rPr>
          <w:rFonts w:ascii="Times New Roman" w:eastAsia="Times New Roman" w:hAnsi="Times New Roman" w:cs="Times New Roman"/>
          <w:color w:val="000000"/>
          <w:sz w:val="24"/>
          <w:szCs w:val="24"/>
          <w:lang/>
        </w:rPr>
        <w:t>інших засобів інформаційних, телекомунікаційних, інформаційно-телекомунікаційних систем.</w:t>
      </w:r>
    </w:p>
    <w:bookmarkStart w:id="351" w:name="n13508"/>
    <w:bookmarkEnd w:id="351"/>
    <w:p w14:paraId="13CE8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"https://zakon.rada.gov.ua/laws/show/z0942-17" \l "n16"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функціонування електронного кабінету</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визначається центральним органом виконавчої влади, що забезпечує формування та реалізує державну фінансову політику;</w:t>
      </w:r>
    </w:p>
    <w:p w14:paraId="764693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 w:name="n13500"/>
      <w:bookmarkEnd w:id="352"/>
      <w:r w:rsidRPr="008B264B">
        <w:rPr>
          <w:rFonts w:ascii="Times New Roman" w:eastAsia="Times New Roman" w:hAnsi="Times New Roman" w:cs="Times New Roman"/>
          <w:i/>
          <w:iCs/>
          <w:color w:val="000000"/>
          <w:sz w:val="24"/>
          <w:szCs w:val="24"/>
          <w:lang/>
        </w:rPr>
        <w:t>{Пункт 14.1 статті 14 доповнено підпунктом 14.1.56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298" w:anchor="n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C934B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 w:name="n358"/>
      <w:bookmarkEnd w:id="353"/>
      <w:r w:rsidRPr="008B264B">
        <w:rPr>
          <w:rFonts w:ascii="Times New Roman" w:eastAsia="Times New Roman" w:hAnsi="Times New Roman" w:cs="Times New Roman"/>
          <w:color w:val="000000"/>
          <w:sz w:val="24"/>
          <w:szCs w:val="24"/>
          <w:lang/>
        </w:rPr>
        <w:t>14.1.57. екологічний податок - загальнодержавний обов'язковий платіж, що справляється з фактичних обсягів викидів у атмосферне повітря, скидів у водні об'єкти забруднюючих речовин, розміщення відходів, фактичного обсягу радіоактивних відходів, що тимчасово зберігаються їх виробниками, фактичного обсягу утворених радіоактивних відходів та з фактичного обсягу радіоактивних відходів, накопичених до 1 квітня 2009 року;</w:t>
      </w:r>
    </w:p>
    <w:p w14:paraId="09C000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 w:name="n9267"/>
      <w:bookmarkEnd w:id="354"/>
      <w:r w:rsidRPr="008B264B">
        <w:rPr>
          <w:rFonts w:ascii="Times New Roman" w:eastAsia="Times New Roman" w:hAnsi="Times New Roman" w:cs="Times New Roman"/>
          <w:i/>
          <w:iCs/>
          <w:color w:val="000000"/>
          <w:sz w:val="24"/>
          <w:szCs w:val="24"/>
          <w:lang/>
        </w:rPr>
        <w:t>{Підпункт 14.1.57 пункту 14.1 статті 14 із змінами, внесеними згідно із Законами </w:t>
      </w:r>
      <w:hyperlink r:id="rId299" w:anchor="n7"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300" w:anchor="n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25D408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 w:name="n359"/>
      <w:bookmarkEnd w:id="355"/>
      <w:r w:rsidRPr="008B264B">
        <w:rPr>
          <w:rFonts w:ascii="Times New Roman" w:eastAsia="Times New Roman" w:hAnsi="Times New Roman" w:cs="Times New Roman"/>
          <w:color w:val="000000"/>
          <w:sz w:val="24"/>
          <w:szCs w:val="24"/>
          <w:lang/>
        </w:rPr>
        <w:t>14.1.58. емісійний дохід - сума перевищення надходжень, отриманих емітентом від емісії (випуску) власних акцій (інших корпоративних прав) та інвестиційних сертифікатів, над номінальною вартістю таких акцій (інших корпоративних прав) та інвестиційних сертифікатів (під час їх первинного розміщення), або над ціною зворотного викупу під час наступних розміщень інвестиційних сертифікатів та акцій інвестиційних фондів;</w:t>
      </w:r>
    </w:p>
    <w:p w14:paraId="525719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 w:name="n360"/>
      <w:bookmarkEnd w:id="356"/>
      <w:r w:rsidRPr="008B264B">
        <w:rPr>
          <w:rFonts w:ascii="Times New Roman" w:eastAsia="Times New Roman" w:hAnsi="Times New Roman" w:cs="Times New Roman"/>
          <w:color w:val="000000"/>
          <w:sz w:val="24"/>
          <w:szCs w:val="24"/>
          <w:lang/>
        </w:rPr>
        <w:t>14.1.59. житлово-комунальні підприємства - суб'єкти господарювання, які безпосередньо виробляють, створюють та/або надають житлово-комунальні послуги (застосовується до </w:t>
      </w:r>
      <w:hyperlink r:id="rId301" w:anchor="n6117" w:history="1">
        <w:r w:rsidRPr="008B264B">
          <w:rPr>
            <w:rFonts w:ascii="Times New Roman" w:eastAsia="Times New Roman" w:hAnsi="Times New Roman" w:cs="Times New Roman"/>
            <w:color w:val="0000FF"/>
            <w:sz w:val="24"/>
            <w:szCs w:val="24"/>
            <w:u w:val="single"/>
            <w:lang/>
          </w:rPr>
          <w:t>розділу </w:t>
        </w:r>
      </w:hyperlink>
      <w:hyperlink r:id="rId302" w:anchor="n6117" w:history="1">
        <w:r w:rsidRPr="008B264B">
          <w:rPr>
            <w:rFonts w:ascii="Times New Roman" w:eastAsia="Times New Roman" w:hAnsi="Times New Roman" w:cs="Times New Roman"/>
            <w:color w:val="0000FF"/>
            <w:sz w:val="24"/>
            <w:szCs w:val="24"/>
            <w:u w:val="single"/>
            <w:lang/>
          </w:rPr>
          <w:t>IX</w:t>
        </w:r>
      </w:hyperlink>
      <w:r w:rsidRPr="008B264B">
        <w:rPr>
          <w:rFonts w:ascii="Times New Roman" w:eastAsia="Times New Roman" w:hAnsi="Times New Roman" w:cs="Times New Roman"/>
          <w:color w:val="000000"/>
          <w:sz w:val="24"/>
          <w:szCs w:val="24"/>
          <w:lang/>
        </w:rPr>
        <w:t> цього Кодексу);</w:t>
      </w:r>
    </w:p>
    <w:p w14:paraId="727084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 w:name="n10451"/>
      <w:bookmarkEnd w:id="357"/>
      <w:r w:rsidRPr="008B264B">
        <w:rPr>
          <w:rFonts w:ascii="Times New Roman" w:eastAsia="Times New Roman" w:hAnsi="Times New Roman" w:cs="Times New Roman"/>
          <w:i/>
          <w:iCs/>
          <w:color w:val="000000"/>
          <w:sz w:val="24"/>
          <w:szCs w:val="24"/>
          <w:lang/>
        </w:rPr>
        <w:t>{Підпункт 14.1.59 пункту 14.1 статті 14 із змінами, внесеними згідно із Законом </w:t>
      </w:r>
      <w:hyperlink r:id="rId303" w:anchor="n6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9E54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 w:name="n361"/>
      <w:bookmarkEnd w:id="358"/>
      <w:r w:rsidRPr="008B264B">
        <w:rPr>
          <w:rFonts w:ascii="Times New Roman" w:eastAsia="Times New Roman" w:hAnsi="Times New Roman" w:cs="Times New Roman"/>
          <w:color w:val="000000"/>
          <w:sz w:val="24"/>
          <w:szCs w:val="24"/>
          <w:lang/>
        </w:rPr>
        <w:t>14.1.60. єдиний реєстр податкових накладних - реєстр відомостей щодо </w:t>
      </w:r>
      <w:hyperlink r:id="rId304"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 розрахунків коригування, який ведеться центральним органом виконавчої влади, що реалізує державну податкову та митну політику, в електронному вигляді згідно з наданими платниками податку на додану вартість електронними документами;</w:t>
      </w:r>
    </w:p>
    <w:p w14:paraId="121BF4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 w:name="n362"/>
      <w:bookmarkEnd w:id="359"/>
      <w:r w:rsidRPr="008B264B">
        <w:rPr>
          <w:rFonts w:ascii="Times New Roman" w:eastAsia="Times New Roman" w:hAnsi="Times New Roman" w:cs="Times New Roman"/>
          <w:i/>
          <w:iCs/>
          <w:color w:val="000000"/>
          <w:sz w:val="24"/>
          <w:szCs w:val="24"/>
          <w:lang/>
        </w:rPr>
        <w:t>{Підпункт 14.1.60 пункту 14.1 статті 14 із змінами, внесеними згідно з Законом </w:t>
      </w:r>
      <w:hyperlink r:id="rId305" w:anchor="n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306" w:anchor="n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6FBE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 w:name="n12652"/>
      <w:bookmarkEnd w:id="360"/>
      <w:r w:rsidRPr="008B264B">
        <w:rPr>
          <w:rFonts w:ascii="Times New Roman" w:eastAsia="Times New Roman" w:hAnsi="Times New Roman" w:cs="Times New Roman"/>
          <w:color w:val="000000"/>
          <w:sz w:val="24"/>
          <w:szCs w:val="24"/>
          <w:lang/>
        </w:rPr>
        <w:t>14.1.60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Єдиний реєстр акцизних накладних - реєстр відомостей щодо акцизних накладних, який ведеться центральним органом виконавчої влади, що реалізує державну податкову і митну політику, в електронному вигляді згідно з наданими платниками акцизного податку електронними документами;</w:t>
      </w:r>
    </w:p>
    <w:p w14:paraId="3ADB76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 w:name="n12651"/>
      <w:bookmarkEnd w:id="361"/>
      <w:r w:rsidRPr="008B264B">
        <w:rPr>
          <w:rFonts w:ascii="Times New Roman" w:eastAsia="Times New Roman" w:hAnsi="Times New Roman" w:cs="Times New Roman"/>
          <w:i/>
          <w:iCs/>
          <w:color w:val="000000"/>
          <w:sz w:val="24"/>
          <w:szCs w:val="24"/>
          <w:lang/>
        </w:rPr>
        <w:t>{Пункт 14.1 статті 14 доповнено підпунктом 14.1.60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07" w:anchor="n2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05855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 w:name="n14731"/>
      <w:bookmarkEnd w:id="362"/>
      <w:r w:rsidRPr="008B264B">
        <w:rPr>
          <w:rFonts w:ascii="Times New Roman" w:eastAsia="Times New Roman" w:hAnsi="Times New Roman" w:cs="Times New Roman"/>
          <w:color w:val="000000"/>
          <w:sz w:val="24"/>
          <w:szCs w:val="24"/>
          <w:lang/>
        </w:rPr>
        <w:t>14.1.60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{Підпункт 14.1.60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пункту 14.1 статті 14 набирає чинності з 1 січня 2025 року - див. </w:t>
      </w:r>
      <w:hyperlink r:id="rId308" w:anchor="n581" w:tgtFrame="_blank" w:history="1">
        <w:r w:rsidRPr="008B264B">
          <w:rPr>
            <w:rFonts w:ascii="Times New Roman" w:eastAsia="Times New Roman" w:hAnsi="Times New Roman" w:cs="Times New Roman"/>
            <w:i/>
            <w:iCs/>
            <w:color w:val="0000FF"/>
            <w:sz w:val="24"/>
            <w:szCs w:val="24"/>
            <w:u w:val="single"/>
            <w:lang/>
          </w:rPr>
          <w:t>пункт 1 розділу II</w:t>
        </w:r>
      </w:hyperlink>
      <w:r w:rsidRPr="008B264B">
        <w:rPr>
          <w:rFonts w:ascii="Times New Roman" w:eastAsia="Times New Roman" w:hAnsi="Times New Roman" w:cs="Times New Roman"/>
          <w:i/>
          <w:iCs/>
          <w:color w:val="000000"/>
          <w:sz w:val="24"/>
          <w:szCs w:val="24"/>
          <w:lang/>
        </w:rPr>
        <w:t> Закону № 2245-VIII від 07.12.2017}</w:t>
      </w:r>
      <w:r w:rsidRPr="008B264B">
        <w:rPr>
          <w:rFonts w:ascii="Times New Roman" w:eastAsia="Times New Roman" w:hAnsi="Times New Roman" w:cs="Times New Roman"/>
          <w:color w:val="000000"/>
          <w:sz w:val="24"/>
          <w:szCs w:val="24"/>
          <w:lang/>
        </w:rPr>
        <w:t> Загальна сума податкових зобов’язань з акцизного податку на сигарети - річна сума податкових зобов’язань з акцизного податку всіх платників акцизного податку з товарів за кодами згідно з </w:t>
      </w:r>
      <w:hyperlink r:id="rId309" w:anchor="n57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2402 20 90 10, 2402 20 90 20, реалізованих виробниками на митній території України та ввезених імпортерами на митну територію України, визначених у деклараціях акцизного податку за січень - грудень звітного року, в розрахунку на 1000 штук.</w:t>
      </w:r>
    </w:p>
    <w:p w14:paraId="27CC64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 w:name="n14732"/>
      <w:bookmarkEnd w:id="363"/>
      <w:r w:rsidRPr="008B264B">
        <w:rPr>
          <w:rFonts w:ascii="Times New Roman" w:eastAsia="Times New Roman" w:hAnsi="Times New Roman" w:cs="Times New Roman"/>
          <w:color w:val="000000"/>
          <w:sz w:val="24"/>
          <w:szCs w:val="24"/>
          <w:lang/>
        </w:rPr>
        <w:t xml:space="preserve">Центральний орган виконавчої влади, що реалізує державну податкову та митну політику, визначає за даними декларацій акцизного податку та оприлюднює на своєму офіційному веб-сайті не пізніше 1 березня року, що настає за звітним, загальну суму податкових зобов’язань з </w:t>
      </w:r>
      <w:r w:rsidRPr="008B264B">
        <w:rPr>
          <w:rFonts w:ascii="Times New Roman" w:eastAsia="Times New Roman" w:hAnsi="Times New Roman" w:cs="Times New Roman"/>
          <w:color w:val="000000"/>
          <w:sz w:val="24"/>
          <w:szCs w:val="24"/>
          <w:lang/>
        </w:rPr>
        <w:lastRenderedPageBreak/>
        <w:t>акцизного податку на сигарети, середньозважену роздрібну ціну продажу сигарет та показник (у відсотках), що характеризує частку загальної суми податкових зобов’язань з акцизного податку у середньозваженій роздрібній ціні продажу сигарет.</w:t>
      </w:r>
    </w:p>
    <w:p w14:paraId="6748B3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 w:name="n14733"/>
      <w:bookmarkEnd w:id="364"/>
      <w:r w:rsidRPr="008B264B">
        <w:rPr>
          <w:rFonts w:ascii="Times New Roman" w:eastAsia="Times New Roman" w:hAnsi="Times New Roman" w:cs="Times New Roman"/>
          <w:color w:val="000000"/>
          <w:sz w:val="24"/>
          <w:szCs w:val="24"/>
          <w:lang/>
        </w:rPr>
        <w:t>Частка загальної суми податкових зобов’язань з акцизного податку у середньозваженій роздрібній ціні продажу сигарет розраховується за такою формулою:</w:t>
      </w:r>
    </w:p>
    <w:p w14:paraId="6B213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 w:name="n14734"/>
      <w:bookmarkStart w:id="366" w:name="n14735"/>
      <w:bookmarkEnd w:id="365"/>
      <w:bookmarkEnd w:id="366"/>
      <w:r w:rsidRPr="008B264B">
        <w:rPr>
          <w:rFonts w:ascii="Times New Roman" w:eastAsia="Times New Roman" w:hAnsi="Times New Roman" w:cs="Times New Roman"/>
          <w:color w:val="000000"/>
          <w:sz w:val="24"/>
          <w:szCs w:val="24"/>
          <w:lang/>
        </w:rPr>
        <w:t>де Част. - частка загальної суми податкових зобов’язань у середньозваженій роздрібній ціні продажу сигарет;</w:t>
      </w:r>
    </w:p>
    <w:p w14:paraId="73A9F5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 w:name="n14736"/>
      <w:bookmarkEnd w:id="367"/>
      <w:r w:rsidRPr="008B264B">
        <w:rPr>
          <w:rFonts w:ascii="Times New Roman" w:eastAsia="Times New Roman" w:hAnsi="Times New Roman" w:cs="Times New Roman"/>
          <w:color w:val="000000"/>
          <w:sz w:val="24"/>
          <w:szCs w:val="24"/>
          <w:lang/>
        </w:rPr>
        <w:t>Ціна</w:t>
      </w:r>
      <w:r w:rsidRPr="008B264B">
        <w:rPr>
          <w:rFonts w:ascii="Times New Roman" w:eastAsia="Times New Roman" w:hAnsi="Times New Roman" w:cs="Times New Roman"/>
          <w:b/>
          <w:bCs/>
          <w:color w:val="000000"/>
          <w:sz w:val="16"/>
          <w:szCs w:val="16"/>
          <w:vertAlign w:val="subscript"/>
          <w:lang/>
        </w:rPr>
        <w:t>сер.зваж.</w:t>
      </w:r>
      <w:r w:rsidRPr="008B264B">
        <w:rPr>
          <w:rFonts w:ascii="Times New Roman" w:eastAsia="Times New Roman" w:hAnsi="Times New Roman" w:cs="Times New Roman"/>
          <w:color w:val="000000"/>
          <w:sz w:val="24"/>
          <w:szCs w:val="24"/>
          <w:lang/>
        </w:rPr>
        <w:t> - середньозважена роздрібна ціна продажу сигарет;</w:t>
      </w:r>
    </w:p>
    <w:p w14:paraId="5A4769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 w:name="n14737"/>
      <w:bookmarkEnd w:id="368"/>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подат.зобов.</w:t>
      </w:r>
      <w:r w:rsidRPr="008B264B">
        <w:rPr>
          <w:rFonts w:ascii="Times New Roman" w:eastAsia="Times New Roman" w:hAnsi="Times New Roman" w:cs="Times New Roman"/>
          <w:color w:val="000000"/>
          <w:sz w:val="24"/>
          <w:szCs w:val="24"/>
          <w:lang/>
        </w:rPr>
        <w:t> - загальна сума податкових зобов’язань з акцизного податку на сигарети.</w:t>
      </w:r>
    </w:p>
    <w:p w14:paraId="00B87D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 w:name="n14730"/>
      <w:bookmarkEnd w:id="369"/>
      <w:r w:rsidRPr="008B264B">
        <w:rPr>
          <w:rFonts w:ascii="Times New Roman" w:eastAsia="Times New Roman" w:hAnsi="Times New Roman" w:cs="Times New Roman"/>
          <w:i/>
          <w:iCs/>
          <w:color w:val="000000"/>
          <w:sz w:val="24"/>
          <w:szCs w:val="24"/>
          <w:lang/>
        </w:rPr>
        <w:t>{Пункт 14.1 статті 14 доповнено підпунктом 14.1.60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310" w:anchor="n2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0A7D2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 w:name="n363"/>
      <w:bookmarkEnd w:id="370"/>
      <w:r w:rsidRPr="008B264B">
        <w:rPr>
          <w:rFonts w:ascii="Times New Roman" w:eastAsia="Times New Roman" w:hAnsi="Times New Roman" w:cs="Times New Roman"/>
          <w:color w:val="000000"/>
          <w:sz w:val="24"/>
          <w:szCs w:val="24"/>
          <w:lang/>
        </w:rPr>
        <w:t>14.1.61. заходи нетарифного регулювання:</w:t>
      </w:r>
    </w:p>
    <w:p w14:paraId="01531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 w:name="n364"/>
      <w:bookmarkEnd w:id="371"/>
      <w:r w:rsidRPr="008B264B">
        <w:rPr>
          <w:rFonts w:ascii="Times New Roman" w:eastAsia="Times New Roman" w:hAnsi="Times New Roman" w:cs="Times New Roman"/>
          <w:color w:val="000000"/>
          <w:sz w:val="24"/>
          <w:szCs w:val="24"/>
          <w:lang/>
        </w:rPr>
        <w:t>1 - ліцензування і квотування зовнішньоекономічних операцій;</w:t>
      </w:r>
    </w:p>
    <w:p w14:paraId="6B84B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 w:name="n365"/>
      <w:bookmarkEnd w:id="372"/>
      <w:r w:rsidRPr="008B264B">
        <w:rPr>
          <w:rFonts w:ascii="Times New Roman" w:eastAsia="Times New Roman" w:hAnsi="Times New Roman" w:cs="Times New Roman"/>
          <w:color w:val="000000"/>
          <w:sz w:val="24"/>
          <w:szCs w:val="24"/>
          <w:lang/>
        </w:rPr>
        <w:t>2 - застосування спеціальних заходів щодо імпорту товарів в Україну;</w:t>
      </w:r>
    </w:p>
    <w:p w14:paraId="5E0675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 w:name="n366"/>
      <w:bookmarkEnd w:id="373"/>
      <w:r w:rsidRPr="008B264B">
        <w:rPr>
          <w:rFonts w:ascii="Times New Roman" w:eastAsia="Times New Roman" w:hAnsi="Times New Roman" w:cs="Times New Roman"/>
          <w:color w:val="000000"/>
          <w:sz w:val="24"/>
          <w:szCs w:val="24"/>
          <w:lang/>
        </w:rPr>
        <w:t>3 - процедура реєстрації зовнішньоекономічних контрактів;</w:t>
      </w:r>
    </w:p>
    <w:p w14:paraId="38CEAD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 w:name="n367"/>
      <w:bookmarkEnd w:id="374"/>
      <w:r w:rsidRPr="008B264B">
        <w:rPr>
          <w:rFonts w:ascii="Times New Roman" w:eastAsia="Times New Roman" w:hAnsi="Times New Roman" w:cs="Times New Roman"/>
          <w:color w:val="000000"/>
          <w:sz w:val="24"/>
          <w:szCs w:val="24"/>
          <w:lang/>
        </w:rPr>
        <w:t>4 - процедура видачі ліцензій на право імпорту, експорту - спирту, алкогольних напоїв та тютюнових виробів;</w:t>
      </w:r>
    </w:p>
    <w:p w14:paraId="6BE370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 w:name="n368"/>
      <w:bookmarkEnd w:id="375"/>
      <w:r w:rsidRPr="008B264B">
        <w:rPr>
          <w:rFonts w:ascii="Times New Roman" w:eastAsia="Times New Roman" w:hAnsi="Times New Roman" w:cs="Times New Roman"/>
          <w:color w:val="000000"/>
          <w:sz w:val="24"/>
          <w:szCs w:val="24"/>
          <w:lang/>
        </w:rPr>
        <w:t>5 - дозвільна система служби експортного контролю;</w:t>
      </w:r>
    </w:p>
    <w:p w14:paraId="0F6680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 w:name="n369"/>
      <w:bookmarkEnd w:id="376"/>
      <w:r w:rsidRPr="008B264B">
        <w:rPr>
          <w:rFonts w:ascii="Times New Roman" w:eastAsia="Times New Roman" w:hAnsi="Times New Roman" w:cs="Times New Roman"/>
          <w:color w:val="000000"/>
          <w:sz w:val="24"/>
          <w:szCs w:val="24"/>
          <w:lang/>
        </w:rPr>
        <w:t>6 - сертифікація товарів, що ввозяться в Україну;</w:t>
      </w:r>
    </w:p>
    <w:p w14:paraId="6A6AF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 w:name="n370"/>
      <w:bookmarkEnd w:id="377"/>
      <w:r w:rsidRPr="008B264B">
        <w:rPr>
          <w:rFonts w:ascii="Times New Roman" w:eastAsia="Times New Roman" w:hAnsi="Times New Roman" w:cs="Times New Roman"/>
          <w:color w:val="000000"/>
          <w:sz w:val="24"/>
          <w:szCs w:val="24"/>
          <w:lang/>
        </w:rPr>
        <w:t>7 - дозвільна система органів державної влади, що здійснюють санітарно-епідеміологічний, ветеринарний, фітосанітарний, екологічний та інші види контролю;</w:t>
      </w:r>
    </w:p>
    <w:p w14:paraId="25A2CE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 w:name="n371"/>
      <w:bookmarkEnd w:id="378"/>
      <w:r w:rsidRPr="008B264B">
        <w:rPr>
          <w:rFonts w:ascii="Times New Roman" w:eastAsia="Times New Roman" w:hAnsi="Times New Roman" w:cs="Times New Roman"/>
          <w:color w:val="000000"/>
          <w:sz w:val="24"/>
          <w:szCs w:val="24"/>
          <w:lang/>
        </w:rPr>
        <w:t>8 - реєстрація лікарських засобів, виробів медичного призначення, імунобіологічних препаратів, харчових добавок;</w:t>
      </w:r>
    </w:p>
    <w:p w14:paraId="71C812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 w:name="n372"/>
      <w:bookmarkEnd w:id="379"/>
      <w:r w:rsidRPr="008B264B">
        <w:rPr>
          <w:rFonts w:ascii="Times New Roman" w:eastAsia="Times New Roman" w:hAnsi="Times New Roman" w:cs="Times New Roman"/>
          <w:color w:val="000000"/>
          <w:sz w:val="24"/>
          <w:szCs w:val="24"/>
          <w:lang/>
        </w:rPr>
        <w:t>9 - застосування державного пробірного контролю;</w:t>
      </w:r>
    </w:p>
    <w:p w14:paraId="237ABE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 w:name="n373"/>
      <w:bookmarkEnd w:id="380"/>
      <w:r w:rsidRPr="008B264B">
        <w:rPr>
          <w:rFonts w:ascii="Times New Roman" w:eastAsia="Times New Roman" w:hAnsi="Times New Roman" w:cs="Times New Roman"/>
          <w:i/>
          <w:iCs/>
          <w:color w:val="000000"/>
          <w:sz w:val="24"/>
          <w:szCs w:val="24"/>
          <w:lang/>
        </w:rPr>
        <w:t>{Підпункт 14.1.62 пункту 14.1 статті 14 виключено на підставі Закону </w:t>
      </w:r>
      <w:hyperlink r:id="rId311"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6F578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 w:name="n374"/>
      <w:bookmarkEnd w:id="381"/>
      <w:r w:rsidRPr="008B264B">
        <w:rPr>
          <w:rFonts w:ascii="Times New Roman" w:eastAsia="Times New Roman" w:hAnsi="Times New Roman" w:cs="Times New Roman"/>
          <w:i/>
          <w:iCs/>
          <w:color w:val="000000"/>
          <w:sz w:val="24"/>
          <w:szCs w:val="24"/>
          <w:lang/>
        </w:rPr>
        <w:t>{Підпункт 14.1.63 пункту 14.1 статті 14 виключено на підставі Закону </w:t>
      </w:r>
      <w:hyperlink r:id="rId312"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1FF7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 w:name="n375"/>
      <w:bookmarkEnd w:id="382"/>
      <w:r w:rsidRPr="008B264B">
        <w:rPr>
          <w:rFonts w:ascii="Times New Roman" w:eastAsia="Times New Roman" w:hAnsi="Times New Roman" w:cs="Times New Roman"/>
          <w:i/>
          <w:iCs/>
          <w:color w:val="000000"/>
          <w:sz w:val="24"/>
          <w:szCs w:val="24"/>
          <w:lang/>
        </w:rPr>
        <w:t>{Підпункт 14.1.64 пункту 14.1 статті 14 виключено на підставі Закону </w:t>
      </w:r>
      <w:hyperlink r:id="rId313"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F60D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 w:name="n376"/>
      <w:bookmarkEnd w:id="383"/>
      <w:r w:rsidRPr="008B264B">
        <w:rPr>
          <w:rFonts w:ascii="Times New Roman" w:eastAsia="Times New Roman" w:hAnsi="Times New Roman" w:cs="Times New Roman"/>
          <w:i/>
          <w:iCs/>
          <w:color w:val="000000"/>
          <w:sz w:val="24"/>
          <w:szCs w:val="24"/>
          <w:lang/>
        </w:rPr>
        <w:t>{Підпункт 14.1.65 пункту 14.1 статті 14 виключено на підставі Закону </w:t>
      </w:r>
      <w:hyperlink r:id="rId314"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39AA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 w:name="n377"/>
      <w:bookmarkEnd w:id="384"/>
      <w:r w:rsidRPr="008B264B">
        <w:rPr>
          <w:rFonts w:ascii="Times New Roman" w:eastAsia="Times New Roman" w:hAnsi="Times New Roman" w:cs="Times New Roman"/>
          <w:i/>
          <w:iCs/>
          <w:color w:val="000000"/>
          <w:sz w:val="24"/>
          <w:szCs w:val="24"/>
          <w:lang/>
        </w:rPr>
        <w:t>{Підпункт 14.1.66 пункту 14.1 статті 14 виключено на підставі Закону </w:t>
      </w:r>
      <w:hyperlink r:id="rId315"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C5066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 w:name="n378"/>
      <w:bookmarkEnd w:id="385"/>
      <w:r w:rsidRPr="008B264B">
        <w:rPr>
          <w:rFonts w:ascii="Times New Roman" w:eastAsia="Times New Roman" w:hAnsi="Times New Roman" w:cs="Times New Roman"/>
          <w:i/>
          <w:iCs/>
          <w:color w:val="000000"/>
          <w:sz w:val="24"/>
          <w:szCs w:val="24"/>
          <w:lang/>
        </w:rPr>
        <w:t>{Підпункт 14.1.67 пункту 14.1 статті 14 виключено на підставі Закону </w:t>
      </w:r>
      <w:hyperlink r:id="rId316"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3689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 w:name="n383"/>
      <w:bookmarkEnd w:id="386"/>
      <w:r w:rsidRPr="008B264B">
        <w:rPr>
          <w:rFonts w:ascii="Times New Roman" w:eastAsia="Times New Roman" w:hAnsi="Times New Roman" w:cs="Times New Roman"/>
          <w:i/>
          <w:iCs/>
          <w:color w:val="000000"/>
          <w:sz w:val="24"/>
          <w:szCs w:val="24"/>
          <w:lang/>
        </w:rPr>
        <w:t>{Підпункт 14.1.68 пункту 14.1 статті 14 виключено на підставі Закону </w:t>
      </w:r>
      <w:hyperlink r:id="rId317" w:anchor="n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E6793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 w:name="n384"/>
      <w:bookmarkEnd w:id="387"/>
      <w:r w:rsidRPr="008B264B">
        <w:rPr>
          <w:rFonts w:ascii="Times New Roman" w:eastAsia="Times New Roman" w:hAnsi="Times New Roman" w:cs="Times New Roman"/>
          <w:i/>
          <w:iCs/>
          <w:color w:val="000000"/>
          <w:sz w:val="24"/>
          <w:szCs w:val="24"/>
          <w:lang/>
        </w:rPr>
        <w:t>{Підпункт 14.1.69 пункту 14.1 статті 14 виключено на підставі Закону </w:t>
      </w:r>
      <w:hyperlink r:id="rId318" w:anchor="n7"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w:t>
      </w:r>
    </w:p>
    <w:p w14:paraId="769091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 w:name="n385"/>
      <w:bookmarkEnd w:id="388"/>
      <w:r w:rsidRPr="008B264B">
        <w:rPr>
          <w:rFonts w:ascii="Times New Roman" w:eastAsia="Times New Roman" w:hAnsi="Times New Roman" w:cs="Times New Roman"/>
          <w:i/>
          <w:iCs/>
          <w:color w:val="000000"/>
          <w:sz w:val="24"/>
          <w:szCs w:val="24"/>
          <w:lang/>
        </w:rPr>
        <w:lastRenderedPageBreak/>
        <w:t>{Підпункт 14.1.70 пункту 14.1 статті 14 виключено на підставі Закону </w:t>
      </w:r>
      <w:hyperlink r:id="rId319" w:anchor="n7"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w:t>
      </w:r>
    </w:p>
    <w:p w14:paraId="2325C7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 w:name="n386"/>
      <w:bookmarkEnd w:id="389"/>
      <w:r w:rsidRPr="008B264B">
        <w:rPr>
          <w:rFonts w:ascii="Times New Roman" w:eastAsia="Times New Roman" w:hAnsi="Times New Roman" w:cs="Times New Roman"/>
          <w:color w:val="000000"/>
          <w:sz w:val="24"/>
          <w:szCs w:val="24"/>
          <w:lang/>
        </w:rPr>
        <w:t>14.1.71. звичайна ціна - ціна товарів (робіт, послуг), визначена сторонами договору, якщо інше не встановлено цим Кодексом. Якщо не доведено зворотне, вважається, що така звичайна ціна відповідає рівню ринкових цін. Це визначення не поширюється на операції, що визнаються контрольованими відповідно до статті 39 цього Кодексу.</w:t>
      </w:r>
    </w:p>
    <w:p w14:paraId="7B599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 w:name="n10839"/>
      <w:bookmarkEnd w:id="390"/>
      <w:r w:rsidRPr="008B264B">
        <w:rPr>
          <w:rFonts w:ascii="Times New Roman" w:eastAsia="Times New Roman" w:hAnsi="Times New Roman" w:cs="Times New Roman"/>
          <w:i/>
          <w:iCs/>
          <w:color w:val="000000"/>
          <w:sz w:val="24"/>
          <w:szCs w:val="24"/>
          <w:lang/>
        </w:rPr>
        <w:t>{Абзац перший підпункту 14.1.71 пункту 14.1 статті 14 із змінами, внесеними згідно з Законом </w:t>
      </w:r>
      <w:hyperlink r:id="rId320" w:anchor="n7"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382AC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 w:name="n8895"/>
      <w:bookmarkEnd w:id="391"/>
      <w:r w:rsidRPr="008B264B">
        <w:rPr>
          <w:rFonts w:ascii="Times New Roman" w:eastAsia="Times New Roman" w:hAnsi="Times New Roman" w:cs="Times New Roman"/>
          <w:color w:val="000000"/>
          <w:sz w:val="24"/>
          <w:szCs w:val="24"/>
          <w:lang/>
        </w:rPr>
        <w:t>У разі якщо ціни (націнки) на товари (роботи, послуги) підлягають державному регулюванню згідно із законодавством, звичайною вважається ціна, встановлена відповідно до правил такого регулювання. Це положення не поширюється на випадки, коли встановлюється мінімальна ціна продажу або індикативна ціна. У такому разі звичайною ціною вважається ціна, визначена сторонами договору, але не нижче за мінімальну або індикативну ціну.</w:t>
      </w:r>
    </w:p>
    <w:p w14:paraId="5B7D10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 w:name="n12487"/>
      <w:bookmarkEnd w:id="392"/>
      <w:r w:rsidRPr="008B264B">
        <w:rPr>
          <w:rFonts w:ascii="Times New Roman" w:eastAsia="Times New Roman" w:hAnsi="Times New Roman" w:cs="Times New Roman"/>
          <w:i/>
          <w:iCs/>
          <w:color w:val="000000"/>
          <w:sz w:val="24"/>
          <w:szCs w:val="24"/>
          <w:lang/>
        </w:rPr>
        <w:t>{Абзац другий підпункту 14.1.71 пункту 14.1 статті 14 із змінами, внесеними згідно з Законом </w:t>
      </w:r>
      <w:hyperlink r:id="rId321" w:anchor="n8"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67FFD0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 w:name="n8896"/>
      <w:bookmarkEnd w:id="393"/>
      <w:r w:rsidRPr="008B264B">
        <w:rPr>
          <w:rFonts w:ascii="Times New Roman" w:eastAsia="Times New Roman" w:hAnsi="Times New Roman" w:cs="Times New Roman"/>
          <w:color w:val="000000"/>
          <w:sz w:val="24"/>
          <w:szCs w:val="24"/>
          <w:lang/>
        </w:rPr>
        <w:t>Якщо під час здійснення операції обов’язковим є проведення оцінки, вартість об’єкта оцінки є підставою для визначення звичайної ціни для цілей оподаткування.</w:t>
      </w:r>
    </w:p>
    <w:p w14:paraId="5BE729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 w:name="n12488"/>
      <w:bookmarkEnd w:id="394"/>
      <w:r w:rsidRPr="008B264B">
        <w:rPr>
          <w:rFonts w:ascii="Times New Roman" w:eastAsia="Times New Roman" w:hAnsi="Times New Roman" w:cs="Times New Roman"/>
          <w:i/>
          <w:iCs/>
          <w:color w:val="000000"/>
          <w:sz w:val="24"/>
          <w:szCs w:val="24"/>
          <w:lang/>
        </w:rPr>
        <w:t>{Абзац третій підпункту 14.1.71 пункту 14.1 статті 14 із змінами, внесеними згідно з Законом </w:t>
      </w:r>
      <w:hyperlink r:id="rId322" w:anchor="n9"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4E3427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 w:name="n8897"/>
      <w:bookmarkEnd w:id="395"/>
      <w:r w:rsidRPr="008B264B">
        <w:rPr>
          <w:rFonts w:ascii="Times New Roman" w:eastAsia="Times New Roman" w:hAnsi="Times New Roman" w:cs="Times New Roman"/>
          <w:color w:val="000000"/>
          <w:sz w:val="24"/>
          <w:szCs w:val="24"/>
          <w:lang/>
        </w:rPr>
        <w:t>Під час проведення аукціону (публічних торгів) звичайною вважається ціна, яка склалася за результатами такого аукціону (публічних торгів), обов’язковість проведення якого передбачено законом.</w:t>
      </w:r>
    </w:p>
    <w:p w14:paraId="41D788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 w:name="n8898"/>
      <w:bookmarkEnd w:id="396"/>
      <w:r w:rsidRPr="008B264B">
        <w:rPr>
          <w:rFonts w:ascii="Times New Roman" w:eastAsia="Times New Roman" w:hAnsi="Times New Roman" w:cs="Times New Roman"/>
          <w:color w:val="000000"/>
          <w:sz w:val="24"/>
          <w:szCs w:val="24"/>
          <w:lang/>
        </w:rPr>
        <w:t>Якщо постачання товарів (робіт, послуг) здійснюється на підставі форвардного або ф’ючерсного контракту, звичайною ціною є ціна, яка відповідає форвардній або ф’ючерсній ціні на дату укладення такого контракту.</w:t>
      </w:r>
    </w:p>
    <w:p w14:paraId="04A370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 w:name="n12489"/>
      <w:bookmarkEnd w:id="397"/>
      <w:r w:rsidRPr="008B264B">
        <w:rPr>
          <w:rFonts w:ascii="Times New Roman" w:eastAsia="Times New Roman" w:hAnsi="Times New Roman" w:cs="Times New Roman"/>
          <w:i/>
          <w:iCs/>
          <w:color w:val="000000"/>
          <w:sz w:val="24"/>
          <w:szCs w:val="24"/>
          <w:lang/>
        </w:rPr>
        <w:t>{Абзац п'ятий підпункту 14.1.71 пункту 14.1 статті 14 із змінами, внесеними згідно з Законом </w:t>
      </w:r>
      <w:hyperlink r:id="rId323" w:anchor="n10"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0D1616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 w:name="n8899"/>
      <w:bookmarkEnd w:id="398"/>
      <w:r w:rsidRPr="008B264B">
        <w:rPr>
          <w:rFonts w:ascii="Times New Roman" w:eastAsia="Times New Roman" w:hAnsi="Times New Roman" w:cs="Times New Roman"/>
          <w:color w:val="000000"/>
          <w:sz w:val="24"/>
          <w:szCs w:val="24"/>
          <w:lang/>
        </w:rPr>
        <w:t>Якщо продаж (відчуження) товарів, у тому числі майна, переданого у заставу позичальником з метою забезпечення вимог кредитора, здійснюється у примусовому порядку згідно із законодавством, звичайною ціною є ціна, сформована під час такого продажу;</w:t>
      </w:r>
    </w:p>
    <w:p w14:paraId="23681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 w:name="n8894"/>
      <w:bookmarkEnd w:id="399"/>
      <w:r w:rsidRPr="008B264B">
        <w:rPr>
          <w:rFonts w:ascii="Times New Roman" w:eastAsia="Times New Roman" w:hAnsi="Times New Roman" w:cs="Times New Roman"/>
          <w:i/>
          <w:iCs/>
          <w:color w:val="000000"/>
          <w:sz w:val="24"/>
          <w:szCs w:val="24"/>
          <w:lang/>
        </w:rPr>
        <w:t>{Підпункт 14.1.71 пункту 14.1 статті 14 в редакції Закону </w:t>
      </w:r>
      <w:hyperlink r:id="rId324" w:anchor="n8"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w:t>
      </w:r>
    </w:p>
    <w:p w14:paraId="6ABCC6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 w:name="n387"/>
      <w:bookmarkEnd w:id="400"/>
      <w:r w:rsidRPr="008B264B">
        <w:rPr>
          <w:rFonts w:ascii="Times New Roman" w:eastAsia="Times New Roman" w:hAnsi="Times New Roman" w:cs="Times New Roman"/>
          <w:color w:val="000000"/>
          <w:sz w:val="24"/>
          <w:szCs w:val="24"/>
          <w:lang/>
        </w:rPr>
        <w:t>14.1.72. земельний податок - обов'язковий платіж, що справляється з власників земельних ділянок та земельних часток (паїв), а також постійних землекористувачів (далі - податок для цілей розділу XII цього Кодексу);</w:t>
      </w:r>
    </w:p>
    <w:p w14:paraId="67165C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 w:name="n10452"/>
      <w:bookmarkEnd w:id="401"/>
      <w:r w:rsidRPr="008B264B">
        <w:rPr>
          <w:rFonts w:ascii="Times New Roman" w:eastAsia="Times New Roman" w:hAnsi="Times New Roman" w:cs="Times New Roman"/>
          <w:i/>
          <w:iCs/>
          <w:color w:val="000000"/>
          <w:sz w:val="24"/>
          <w:szCs w:val="24"/>
          <w:lang/>
        </w:rPr>
        <w:t>{Підпункт 14.1.72 пункту 14.1 статті 14 із змінами, внесеними згідно із Законом </w:t>
      </w:r>
      <w:hyperlink r:id="rId325" w:anchor="n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FDE1D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 w:name="n388"/>
      <w:bookmarkEnd w:id="402"/>
      <w:r w:rsidRPr="008B264B">
        <w:rPr>
          <w:rFonts w:ascii="Times New Roman" w:eastAsia="Times New Roman" w:hAnsi="Times New Roman" w:cs="Times New Roman"/>
          <w:color w:val="000000"/>
          <w:sz w:val="24"/>
          <w:szCs w:val="24"/>
          <w:lang/>
        </w:rPr>
        <w:t>14.1.73. землекористувачі - юридичні та фізичні особи (резиденти і нерезиденти), яким відповідно до закону надані у користування земельні ділянки державної та комунальної власності, у тому числі на умовах оренди;</w:t>
      </w:r>
    </w:p>
    <w:p w14:paraId="670E5E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 w:name="n389"/>
      <w:bookmarkEnd w:id="403"/>
      <w:r w:rsidRPr="008B264B">
        <w:rPr>
          <w:rFonts w:ascii="Times New Roman" w:eastAsia="Times New Roman" w:hAnsi="Times New Roman" w:cs="Times New Roman"/>
          <w:color w:val="000000"/>
          <w:sz w:val="24"/>
          <w:szCs w:val="24"/>
          <w:lang/>
        </w:rPr>
        <w:t>14.1.74. земельна ділянка - частина земної поверхні з установленими межами, певним місцем розташування, цільовим (господарським) призначенням та з визначеними щодо неї правами;</w:t>
      </w:r>
    </w:p>
    <w:p w14:paraId="2D4F5D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 w:name="n390"/>
      <w:bookmarkEnd w:id="404"/>
      <w:r w:rsidRPr="008B264B">
        <w:rPr>
          <w:rFonts w:ascii="Times New Roman" w:eastAsia="Times New Roman" w:hAnsi="Times New Roman" w:cs="Times New Roman"/>
          <w:color w:val="000000"/>
          <w:sz w:val="24"/>
          <w:szCs w:val="24"/>
          <w:lang/>
        </w:rPr>
        <w:t xml:space="preserve">14.1.75. земельне поліпшення - результати будь-яких заходів, що призводять до зміни якісних характеристик земельної ділянки та її вартості. До земельних поліпшень належать матеріальні об'єкти, розташовані у межах земельної ділянки, переміщення яких є неможливим без їх знецінення та зміни призначення, а також результати господарської діяльності або </w:t>
      </w:r>
      <w:r w:rsidRPr="008B264B">
        <w:rPr>
          <w:rFonts w:ascii="Times New Roman" w:eastAsia="Times New Roman" w:hAnsi="Times New Roman" w:cs="Times New Roman"/>
          <w:color w:val="000000"/>
          <w:sz w:val="24"/>
          <w:szCs w:val="24"/>
          <w:lang/>
        </w:rPr>
        <w:lastRenderedPageBreak/>
        <w:t>проведення певного виду робіт (зміна рельєфу, поліпшення ґрунтів, розміщення посівів, багаторічних насаджень, інженерної інфраструктури тощо);</w:t>
      </w:r>
    </w:p>
    <w:p w14:paraId="58C51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 w:name="n391"/>
      <w:bookmarkEnd w:id="405"/>
      <w:r w:rsidRPr="008B264B">
        <w:rPr>
          <w:rFonts w:ascii="Times New Roman" w:eastAsia="Times New Roman" w:hAnsi="Times New Roman" w:cs="Times New Roman"/>
          <w:color w:val="000000"/>
          <w:sz w:val="24"/>
          <w:szCs w:val="24"/>
          <w:lang/>
        </w:rPr>
        <w:t>14.1.76. землі сільськогосподарського призначення - землі, надані для виробництва сільськогосподарської продукції, здійснення сільськогосподарської науково-дослідної та навчальної діяльності, розміщення відповідної виробничої інфраструктури, у тому числі інфраструктури оптових ринків сільськогосподарської продукції, або призначені для цих цілей;</w:t>
      </w:r>
    </w:p>
    <w:p w14:paraId="1B5884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 w:name="n392"/>
      <w:bookmarkEnd w:id="406"/>
      <w:r w:rsidRPr="008B264B">
        <w:rPr>
          <w:rFonts w:ascii="Times New Roman" w:eastAsia="Times New Roman" w:hAnsi="Times New Roman" w:cs="Times New Roman"/>
          <w:color w:val="000000"/>
          <w:sz w:val="24"/>
          <w:szCs w:val="24"/>
          <w:lang/>
        </w:rPr>
        <w:t>14.1.77. землі сільськогосподарського призначення для цілей </w:t>
      </w:r>
      <w:hyperlink r:id="rId326" w:anchor="n6944" w:history="1">
        <w:r w:rsidRPr="008B264B">
          <w:rPr>
            <w:rFonts w:ascii="Times New Roman" w:eastAsia="Times New Roman" w:hAnsi="Times New Roman" w:cs="Times New Roman"/>
            <w:color w:val="0000FF"/>
            <w:sz w:val="24"/>
            <w:szCs w:val="24"/>
            <w:u w:val="single"/>
            <w:lang/>
          </w:rPr>
          <w:t>глави 1 розділу XIV</w:t>
        </w:r>
      </w:hyperlink>
      <w:r w:rsidRPr="008B264B">
        <w:rPr>
          <w:rFonts w:ascii="Times New Roman" w:eastAsia="Times New Roman" w:hAnsi="Times New Roman" w:cs="Times New Roman"/>
          <w:color w:val="000000"/>
          <w:sz w:val="24"/>
          <w:szCs w:val="24"/>
          <w:lang/>
        </w:rPr>
        <w:t> цього Кодексу - землі, надані для виробництва сільськогосподарської продукції;</w:t>
      </w:r>
    </w:p>
    <w:p w14:paraId="2DE3B9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 w:name="n10453"/>
      <w:bookmarkEnd w:id="407"/>
      <w:r w:rsidRPr="008B264B">
        <w:rPr>
          <w:rFonts w:ascii="Times New Roman" w:eastAsia="Times New Roman" w:hAnsi="Times New Roman" w:cs="Times New Roman"/>
          <w:i/>
          <w:iCs/>
          <w:color w:val="000000"/>
          <w:sz w:val="24"/>
          <w:szCs w:val="24"/>
          <w:lang/>
        </w:rPr>
        <w:t>{Підпункт 14.1.77 пункту 14.1 статті 14 із змінами, внесеними згідно із Законом </w:t>
      </w:r>
      <w:hyperlink r:id="rId327" w:anchor="n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44C53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 w:name="n393"/>
      <w:bookmarkEnd w:id="408"/>
      <w:r w:rsidRPr="008B264B">
        <w:rPr>
          <w:rFonts w:ascii="Times New Roman" w:eastAsia="Times New Roman" w:hAnsi="Times New Roman" w:cs="Times New Roman"/>
          <w:color w:val="000000"/>
          <w:sz w:val="24"/>
          <w:szCs w:val="24"/>
          <w:lang/>
        </w:rPr>
        <w:t>14.1.78. землі житлової та громадської забудови - земельні ділянки в межах населених пунктів, які використовуються для розміщення житлової забудови, громадських будівель і споруд, інших об'єктів загального користування;</w:t>
      </w:r>
    </w:p>
    <w:p w14:paraId="4F2845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 w:name="n394"/>
      <w:bookmarkEnd w:id="409"/>
      <w:r w:rsidRPr="008B264B">
        <w:rPr>
          <w:rFonts w:ascii="Times New Roman" w:eastAsia="Times New Roman" w:hAnsi="Times New Roman" w:cs="Times New Roman"/>
          <w:color w:val="000000"/>
          <w:sz w:val="24"/>
          <w:szCs w:val="24"/>
          <w:lang/>
        </w:rPr>
        <w:t>14.1.78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землі залізничного транспорту - до земель залізничного транспорту належать землі смуг відведення залізниць під залізничним полотном та його облаштуванням, станціями з усіма будівлями і спорудами енергетичного, локомотивного, вагонного, колійного, вантажного і пасажирського господарства, сигналізації та зв'язку, водопостачання, каналізації; під захисними та укріплювальними насадженнями, службовими, культурно-побутовими будівлями та іншими спорудами, необхідними для забезпечення роботи залізничного транспорту;</w:t>
      </w:r>
    </w:p>
    <w:p w14:paraId="5703CF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 w:name="n395"/>
      <w:bookmarkEnd w:id="410"/>
      <w:r w:rsidRPr="008B264B">
        <w:rPr>
          <w:rFonts w:ascii="Times New Roman" w:eastAsia="Times New Roman" w:hAnsi="Times New Roman" w:cs="Times New Roman"/>
          <w:i/>
          <w:iCs/>
          <w:color w:val="000000"/>
          <w:sz w:val="24"/>
          <w:szCs w:val="24"/>
          <w:lang/>
        </w:rPr>
        <w:t>{Пункт 14.1 статті 14 доповнено підпунктом 14.1.78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2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8320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 w:name="n396"/>
      <w:bookmarkEnd w:id="411"/>
      <w:r w:rsidRPr="008B264B">
        <w:rPr>
          <w:rFonts w:ascii="Times New Roman" w:eastAsia="Times New Roman" w:hAnsi="Times New Roman" w:cs="Times New Roman"/>
          <w:color w:val="000000"/>
          <w:sz w:val="24"/>
          <w:szCs w:val="24"/>
          <w:lang/>
        </w:rPr>
        <w:t>14.1.79. значні запаси корисних копалин - запаси корисних копалин, розмір яких перевищує незначні запаси корисних копалин;</w:t>
      </w:r>
    </w:p>
    <w:p w14:paraId="4372B9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 w:name="n397"/>
      <w:bookmarkEnd w:id="412"/>
      <w:r w:rsidRPr="008B264B">
        <w:rPr>
          <w:rFonts w:ascii="Times New Roman" w:eastAsia="Times New Roman" w:hAnsi="Times New Roman" w:cs="Times New Roman"/>
          <w:color w:val="000000"/>
          <w:sz w:val="24"/>
          <w:szCs w:val="24"/>
          <w:lang/>
        </w:rPr>
        <w:t>14.1.80. ідентичні товари (роботи, послуги) - товари (роботи, послуги), що мають однакові характерні для них основні ознаки.</w:t>
      </w:r>
    </w:p>
    <w:p w14:paraId="2343D1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 w:name="n398"/>
      <w:bookmarkEnd w:id="413"/>
      <w:r w:rsidRPr="008B264B">
        <w:rPr>
          <w:rFonts w:ascii="Times New Roman" w:eastAsia="Times New Roman" w:hAnsi="Times New Roman" w:cs="Times New Roman"/>
          <w:color w:val="000000"/>
          <w:sz w:val="24"/>
          <w:szCs w:val="24"/>
          <w:lang/>
        </w:rPr>
        <w:t>При цьому під ідентичними розуміються товари, що мають однакові ознаки з оцінюваними товарами, у тому числі такі, як:</w:t>
      </w:r>
    </w:p>
    <w:p w14:paraId="7BCDA4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 w:name="n399"/>
      <w:bookmarkEnd w:id="414"/>
      <w:r w:rsidRPr="008B264B">
        <w:rPr>
          <w:rFonts w:ascii="Times New Roman" w:eastAsia="Times New Roman" w:hAnsi="Times New Roman" w:cs="Times New Roman"/>
          <w:color w:val="000000"/>
          <w:sz w:val="24"/>
          <w:szCs w:val="24"/>
          <w:lang/>
        </w:rPr>
        <w:t>фізичні характеристики;</w:t>
      </w:r>
    </w:p>
    <w:p w14:paraId="1B2686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 w:name="n400"/>
      <w:bookmarkEnd w:id="415"/>
      <w:r w:rsidRPr="008B264B">
        <w:rPr>
          <w:rFonts w:ascii="Times New Roman" w:eastAsia="Times New Roman" w:hAnsi="Times New Roman" w:cs="Times New Roman"/>
          <w:color w:val="000000"/>
          <w:sz w:val="24"/>
          <w:szCs w:val="24"/>
          <w:lang/>
        </w:rPr>
        <w:t>якість та репутація на ринку;</w:t>
      </w:r>
    </w:p>
    <w:p w14:paraId="300E67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 w:name="n401"/>
      <w:bookmarkEnd w:id="416"/>
      <w:r w:rsidRPr="008B264B">
        <w:rPr>
          <w:rFonts w:ascii="Times New Roman" w:eastAsia="Times New Roman" w:hAnsi="Times New Roman" w:cs="Times New Roman"/>
          <w:color w:val="000000"/>
          <w:sz w:val="24"/>
          <w:szCs w:val="24"/>
          <w:lang/>
        </w:rPr>
        <w:t>країна виробництва (походження);</w:t>
      </w:r>
    </w:p>
    <w:p w14:paraId="33A84A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 w:name="n402"/>
      <w:bookmarkEnd w:id="417"/>
      <w:r w:rsidRPr="008B264B">
        <w:rPr>
          <w:rFonts w:ascii="Times New Roman" w:eastAsia="Times New Roman" w:hAnsi="Times New Roman" w:cs="Times New Roman"/>
          <w:color w:val="000000"/>
          <w:sz w:val="24"/>
          <w:szCs w:val="24"/>
          <w:lang/>
        </w:rPr>
        <w:t>виробник;</w:t>
      </w:r>
    </w:p>
    <w:p w14:paraId="5A50DA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 w:name="n403"/>
      <w:bookmarkEnd w:id="418"/>
      <w:r w:rsidRPr="008B264B">
        <w:rPr>
          <w:rFonts w:ascii="Times New Roman" w:eastAsia="Times New Roman" w:hAnsi="Times New Roman" w:cs="Times New Roman"/>
          <w:color w:val="000000"/>
          <w:sz w:val="24"/>
          <w:szCs w:val="24"/>
          <w:lang/>
        </w:rPr>
        <w:t>14.1.81. інвестиції - господарські операції, які передбачають придбання основних засобів, нематеріальних активів, корпоративних прав та/або цінних паперів в обмін на кошти або майно. Інвестиції поділяються на:</w:t>
      </w:r>
    </w:p>
    <w:p w14:paraId="6AD727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 w:name="n404"/>
      <w:bookmarkEnd w:id="419"/>
      <w:r w:rsidRPr="008B264B">
        <w:rPr>
          <w:rFonts w:ascii="Times New Roman" w:eastAsia="Times New Roman" w:hAnsi="Times New Roman" w:cs="Times New Roman"/>
          <w:color w:val="000000"/>
          <w:sz w:val="24"/>
          <w:szCs w:val="24"/>
          <w:lang/>
        </w:rPr>
        <w:t>а) капітальні інвестиції - господарські операції, що передбачають придбання будинків, споруд, інших об'єктів нерухомої власності, інших основних засобів і нематеріальних активів, що підлягають амортизації відповідно до норм цього Кодексу;</w:t>
      </w:r>
    </w:p>
    <w:p w14:paraId="5B0FD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 w:name="n405"/>
      <w:bookmarkEnd w:id="420"/>
      <w:r w:rsidRPr="008B264B">
        <w:rPr>
          <w:rFonts w:ascii="Times New Roman" w:eastAsia="Times New Roman" w:hAnsi="Times New Roman" w:cs="Times New Roman"/>
          <w:color w:val="000000"/>
          <w:sz w:val="24"/>
          <w:szCs w:val="24"/>
          <w:lang/>
        </w:rPr>
        <w:t>б) фінансові інвестиції - господарські операції, що передбачають придбання корпоративних прав, цінних паперів, деривативів та/або інших фінансових інструментів. Фінансові інвестиції поділяються на:</w:t>
      </w:r>
    </w:p>
    <w:p w14:paraId="097932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 w:name="n406"/>
      <w:bookmarkEnd w:id="421"/>
      <w:r w:rsidRPr="008B264B">
        <w:rPr>
          <w:rFonts w:ascii="Times New Roman" w:eastAsia="Times New Roman" w:hAnsi="Times New Roman" w:cs="Times New Roman"/>
          <w:color w:val="000000"/>
          <w:sz w:val="24"/>
          <w:szCs w:val="24"/>
          <w:lang/>
        </w:rPr>
        <w:t>прямі інвестиції - господарські операції, що передбачають внесення коштів або майна в обмін на корпоративні права, емітовані юридичною особою при їх розміщенні такою особою;</w:t>
      </w:r>
    </w:p>
    <w:p w14:paraId="09848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 w:name="n407"/>
      <w:bookmarkEnd w:id="422"/>
      <w:r w:rsidRPr="008B264B">
        <w:rPr>
          <w:rFonts w:ascii="Times New Roman" w:eastAsia="Times New Roman" w:hAnsi="Times New Roman" w:cs="Times New Roman"/>
          <w:color w:val="000000"/>
          <w:sz w:val="24"/>
          <w:szCs w:val="24"/>
          <w:lang/>
        </w:rPr>
        <w:t>портфельні інвестиції - господарські операції, що передбачають купівлю цінних паперів, деривативів та інших фінансових активів за кошти на фондовому ринку або біржовому товарному ринку;</w:t>
      </w:r>
    </w:p>
    <w:p w14:paraId="3B5081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 w:name="n408"/>
      <w:bookmarkEnd w:id="423"/>
      <w:r w:rsidRPr="008B264B">
        <w:rPr>
          <w:rFonts w:ascii="Times New Roman" w:eastAsia="Times New Roman" w:hAnsi="Times New Roman" w:cs="Times New Roman"/>
          <w:color w:val="000000"/>
          <w:sz w:val="24"/>
          <w:szCs w:val="24"/>
          <w:lang/>
        </w:rPr>
        <w:lastRenderedPageBreak/>
        <w:t>в) реінвестиції - господарські операції, що передбачають здійснення капітальних або фінансових інвестицій за рахунок прибутку, отриманого від інвестиційних операцій;</w:t>
      </w:r>
    </w:p>
    <w:p w14:paraId="1A8765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 w:name="n13511"/>
      <w:bookmarkEnd w:id="424"/>
      <w:r w:rsidRPr="008B264B">
        <w:rPr>
          <w:rFonts w:ascii="Times New Roman" w:eastAsia="Times New Roman" w:hAnsi="Times New Roman" w:cs="Times New Roman"/>
          <w:color w:val="000000"/>
          <w:sz w:val="24"/>
          <w:szCs w:val="24"/>
          <w:lang/>
        </w:rPr>
        <w:t>14.1.81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інвестиційний прибуток для цілей </w:t>
      </w:r>
      <w:hyperlink r:id="rId329"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дохід у вигляді позитивної різниці між доходом, отриманим платником податку від проведення операцій з цінними паперами з урахуванням курсової різниці, деривативами та корпоративними правами, випущеними в інших, ніж цінні папери, формах, та витратами на придбання таких інвестиційних активів;</w:t>
      </w:r>
    </w:p>
    <w:p w14:paraId="573A9C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 w:name="n13510"/>
      <w:bookmarkEnd w:id="425"/>
      <w:r w:rsidRPr="008B264B">
        <w:rPr>
          <w:rFonts w:ascii="Times New Roman" w:eastAsia="Times New Roman" w:hAnsi="Times New Roman" w:cs="Times New Roman"/>
          <w:i/>
          <w:iCs/>
          <w:color w:val="000000"/>
          <w:sz w:val="24"/>
          <w:szCs w:val="24"/>
          <w:lang/>
        </w:rPr>
        <w:t>{Пункт 14.1 статті 14 доповнено підпунктом 14.1.81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30" w:anchor="n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E880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 w:name="n409"/>
      <w:bookmarkEnd w:id="426"/>
      <w:r w:rsidRPr="008B264B">
        <w:rPr>
          <w:rFonts w:ascii="Times New Roman" w:eastAsia="Times New Roman" w:hAnsi="Times New Roman" w:cs="Times New Roman"/>
          <w:color w:val="000000"/>
          <w:sz w:val="24"/>
          <w:szCs w:val="24"/>
          <w:lang/>
        </w:rPr>
        <w:t>14.1.82. інвестиційна складова - кошти, передбачені в тарифі на виробництво, передачу та постачання електричної енергії, виробництво, транспортування та постачання теплової енергії, а також транспортування, зберігання та постачання природного газу ліцензіата як частина прибутку, що залишається в розпорядженні суб'єкта господарювання для цільового фінансування видатків, пов'язаних із відновленням, реконструкцією, модернізацією основних засобів (у тому числі заходів з підвищення безпеки та дотримання екологічних норм) та будівництвом нових об'єктів підприємств паливно-енергетичного комплексу, перелік яких встановлюється Кабінетом Міністрів України;</w:t>
      </w:r>
    </w:p>
    <w:p w14:paraId="44854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 w:name="n9463"/>
      <w:bookmarkEnd w:id="427"/>
      <w:r w:rsidRPr="008B264B">
        <w:rPr>
          <w:rFonts w:ascii="Times New Roman" w:eastAsia="Times New Roman" w:hAnsi="Times New Roman" w:cs="Times New Roman"/>
          <w:i/>
          <w:iCs/>
          <w:color w:val="000000"/>
          <w:sz w:val="24"/>
          <w:szCs w:val="24"/>
          <w:lang/>
        </w:rPr>
        <w:t>{Підпункт 14.1.82 пункту 14.1 статті 14 із змінами, внесеними згідно із Законом </w:t>
      </w:r>
      <w:hyperlink r:id="rId331" w:anchor="n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72798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 w:name="n410"/>
      <w:bookmarkEnd w:id="428"/>
      <w:r w:rsidRPr="008B264B">
        <w:rPr>
          <w:rFonts w:ascii="Times New Roman" w:eastAsia="Times New Roman" w:hAnsi="Times New Roman" w:cs="Times New Roman"/>
          <w:color w:val="000000"/>
          <w:sz w:val="24"/>
          <w:szCs w:val="24"/>
          <w:lang/>
        </w:rPr>
        <w:t>14.1.83. термін "інвестор" для цілей оподаткування відповідно до </w:t>
      </w:r>
      <w:hyperlink r:id="rId332" w:anchor="n7662" w:history="1">
        <w:r w:rsidRPr="008B264B">
          <w:rPr>
            <w:rFonts w:ascii="Times New Roman" w:eastAsia="Times New Roman" w:hAnsi="Times New Roman" w:cs="Times New Roman"/>
            <w:color w:val="0000FF"/>
            <w:sz w:val="24"/>
            <w:szCs w:val="24"/>
            <w:u w:val="single"/>
            <w:lang/>
          </w:rPr>
          <w:t>розділу XVIII</w:t>
        </w:r>
      </w:hyperlink>
      <w:r w:rsidRPr="008B264B">
        <w:rPr>
          <w:rFonts w:ascii="Times New Roman" w:eastAsia="Times New Roman" w:hAnsi="Times New Roman" w:cs="Times New Roman"/>
          <w:color w:val="000000"/>
          <w:sz w:val="24"/>
          <w:szCs w:val="24"/>
          <w:lang/>
        </w:rPr>
        <w:t> цього Кодексу вживається у значенні, наведеному в </w:t>
      </w:r>
      <w:hyperlink r:id="rId333" w:tgtFrame="_blank" w:history="1">
        <w:r w:rsidRPr="008B264B">
          <w:rPr>
            <w:rFonts w:ascii="Times New Roman" w:eastAsia="Times New Roman" w:hAnsi="Times New Roman" w:cs="Times New Roman"/>
            <w:color w:val="0000FF"/>
            <w:sz w:val="24"/>
            <w:szCs w:val="24"/>
            <w:u w:val="single"/>
            <w:lang/>
          </w:rPr>
          <w:t>Законі України "Про угоди про розподіл продукції"</w:t>
        </w:r>
      </w:hyperlink>
      <w:r w:rsidRPr="008B264B">
        <w:rPr>
          <w:rFonts w:ascii="Times New Roman" w:eastAsia="Times New Roman" w:hAnsi="Times New Roman" w:cs="Times New Roman"/>
          <w:color w:val="000000"/>
          <w:sz w:val="24"/>
          <w:szCs w:val="24"/>
          <w:lang/>
        </w:rPr>
        <w:t>.</w:t>
      </w:r>
    </w:p>
    <w:p w14:paraId="552236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 w:name="n411"/>
      <w:bookmarkEnd w:id="429"/>
      <w:r w:rsidRPr="008B264B">
        <w:rPr>
          <w:rFonts w:ascii="Times New Roman" w:eastAsia="Times New Roman" w:hAnsi="Times New Roman" w:cs="Times New Roman"/>
          <w:color w:val="000000"/>
          <w:sz w:val="24"/>
          <w:szCs w:val="24"/>
          <w:lang/>
        </w:rPr>
        <w:t>При укладанні багатосторонньої угоди інвесторами визначається оператор угоди, на якого покладаються функції, передбачені </w:t>
      </w:r>
      <w:hyperlink r:id="rId334" w:tgtFrame="_blank" w:history="1">
        <w:r w:rsidRPr="008B264B">
          <w:rPr>
            <w:rFonts w:ascii="Times New Roman" w:eastAsia="Times New Roman" w:hAnsi="Times New Roman" w:cs="Times New Roman"/>
            <w:color w:val="0000FF"/>
            <w:sz w:val="24"/>
            <w:szCs w:val="24"/>
            <w:u w:val="single"/>
            <w:lang/>
          </w:rPr>
          <w:t>Законом України "Про угоди про розподіл продукції"</w:t>
        </w:r>
      </w:hyperlink>
      <w:r w:rsidRPr="008B264B">
        <w:rPr>
          <w:rFonts w:ascii="Times New Roman" w:eastAsia="Times New Roman" w:hAnsi="Times New Roman" w:cs="Times New Roman"/>
          <w:color w:val="000000"/>
          <w:sz w:val="24"/>
          <w:szCs w:val="24"/>
          <w:lang/>
        </w:rPr>
        <w:t>, у тому числі ведення обліку і сплати податкових зобов’язань у порядку, визначеному угодою.</w:t>
      </w:r>
    </w:p>
    <w:p w14:paraId="1C996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 w:name="n9380"/>
      <w:bookmarkEnd w:id="430"/>
      <w:r w:rsidRPr="008B264B">
        <w:rPr>
          <w:rFonts w:ascii="Times New Roman" w:eastAsia="Times New Roman" w:hAnsi="Times New Roman" w:cs="Times New Roman"/>
          <w:i/>
          <w:iCs/>
          <w:color w:val="000000"/>
          <w:sz w:val="24"/>
          <w:szCs w:val="24"/>
          <w:lang/>
        </w:rPr>
        <w:t>{Абзац другий підпункту 14.1.83 пункту 14.1 статті 14 із змінами, внесеними згідно із Законами </w:t>
      </w:r>
      <w:hyperlink r:id="rId335" w:anchor="n8"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336" w:anchor="n8"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4526BB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 w:name="n412"/>
      <w:bookmarkEnd w:id="431"/>
      <w:r w:rsidRPr="008B264B">
        <w:rPr>
          <w:rFonts w:ascii="Times New Roman" w:eastAsia="Times New Roman" w:hAnsi="Times New Roman" w:cs="Times New Roman"/>
          <w:color w:val="000000"/>
          <w:sz w:val="24"/>
          <w:szCs w:val="24"/>
          <w:lang/>
        </w:rPr>
        <w:t>У разі створення інвестором - нерезидентом для виконання угоди постійного представництва на території України представництво для цілей оподаткування розглядається як інвестор (оператор).</w:t>
      </w:r>
    </w:p>
    <w:p w14:paraId="79EB7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 w:name="n10309"/>
      <w:bookmarkEnd w:id="432"/>
      <w:r w:rsidRPr="008B264B">
        <w:rPr>
          <w:rFonts w:ascii="Times New Roman" w:eastAsia="Times New Roman" w:hAnsi="Times New Roman" w:cs="Times New Roman"/>
          <w:i/>
          <w:iCs/>
          <w:color w:val="000000"/>
          <w:sz w:val="24"/>
          <w:szCs w:val="24"/>
          <w:lang/>
        </w:rPr>
        <w:t>{Абзац третій підпункту 14.1.83 пункту 14.1 статті 14 із змінами, внесеними згідно із Законом </w:t>
      </w:r>
      <w:hyperlink r:id="rId337" w:anchor="n9"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595701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 w:name="n413"/>
      <w:bookmarkEnd w:id="433"/>
      <w:r w:rsidRPr="008B264B">
        <w:rPr>
          <w:rFonts w:ascii="Times New Roman" w:eastAsia="Times New Roman" w:hAnsi="Times New Roman" w:cs="Times New Roman"/>
          <w:color w:val="000000"/>
          <w:sz w:val="24"/>
          <w:szCs w:val="24"/>
          <w:lang/>
        </w:rPr>
        <w:t>У статтях цього Кодексу, якими регулюється оподаткування при виконанні угоди про розподіл продукції, під терміном "інвестор (оператор)" розуміється "інвестор" при виконанні угоди про розподіл продукції за участю одного інвестора та "інвестор та/або оператор" - при виконанні багатосторонньої угоди про розподіл продукції за участю кількох інвесторів залежно від умов такої багатосторонньої угоди.</w:t>
      </w:r>
    </w:p>
    <w:p w14:paraId="79E6D6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 w:name="n10310"/>
      <w:bookmarkEnd w:id="434"/>
      <w:r w:rsidRPr="008B264B">
        <w:rPr>
          <w:rFonts w:ascii="Times New Roman" w:eastAsia="Times New Roman" w:hAnsi="Times New Roman" w:cs="Times New Roman"/>
          <w:i/>
          <w:iCs/>
          <w:color w:val="000000"/>
          <w:sz w:val="24"/>
          <w:szCs w:val="24"/>
          <w:lang/>
        </w:rPr>
        <w:t>{Абзац четвертий підпункту 14.1.83 пункту 14.1 статті 14 в редакції Закону </w:t>
      </w:r>
      <w:hyperlink r:id="rId338" w:anchor="n10"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27B0A8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 w:name="n414"/>
      <w:bookmarkEnd w:id="435"/>
      <w:r w:rsidRPr="008B264B">
        <w:rPr>
          <w:rFonts w:ascii="Times New Roman" w:eastAsia="Times New Roman" w:hAnsi="Times New Roman" w:cs="Times New Roman"/>
          <w:i/>
          <w:iCs/>
          <w:color w:val="000000"/>
          <w:sz w:val="24"/>
          <w:szCs w:val="24"/>
          <w:lang/>
        </w:rPr>
        <w:t>{Підпункт 14.1.83 пункту 14.1 статті 14 в редакції Закону </w:t>
      </w:r>
      <w:hyperlink r:id="rId339" w:anchor="n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F3800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 w:name="n415"/>
      <w:bookmarkEnd w:id="436"/>
      <w:r w:rsidRPr="008B264B">
        <w:rPr>
          <w:rFonts w:ascii="Times New Roman" w:eastAsia="Times New Roman" w:hAnsi="Times New Roman" w:cs="Times New Roman"/>
          <w:color w:val="000000"/>
          <w:sz w:val="24"/>
          <w:szCs w:val="24"/>
          <w:lang/>
        </w:rPr>
        <w:t>14.1.84.  інші терміни для цілей розділу III використовуються у значеннях, визначених </w:t>
      </w:r>
      <w:hyperlink r:id="rId34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бухгалтерський облік та фінансову звітність в Україні", національними положеннями (стандартами) бухгалтерського обліку і міжнародними стандартами фінансової звітності, введеними в дію відповідно до законодавства.</w:t>
      </w:r>
    </w:p>
    <w:p w14:paraId="628A6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 w:name="n10454"/>
      <w:bookmarkEnd w:id="437"/>
      <w:r w:rsidRPr="008B264B">
        <w:rPr>
          <w:rFonts w:ascii="Times New Roman" w:eastAsia="Times New Roman" w:hAnsi="Times New Roman" w:cs="Times New Roman"/>
          <w:i/>
          <w:iCs/>
          <w:color w:val="000000"/>
          <w:sz w:val="24"/>
          <w:szCs w:val="24"/>
          <w:lang/>
        </w:rPr>
        <w:t>{Підпункт 14.1.84 пункту 14.1 статті 14 в редакції Закону </w:t>
      </w:r>
      <w:hyperlink r:id="rId341" w:anchor="n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2A0AE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 w:name="n416"/>
      <w:bookmarkEnd w:id="438"/>
      <w:r w:rsidRPr="008B264B">
        <w:rPr>
          <w:rFonts w:ascii="Times New Roman" w:eastAsia="Times New Roman" w:hAnsi="Times New Roman" w:cs="Times New Roman"/>
          <w:color w:val="000000"/>
          <w:sz w:val="24"/>
          <w:szCs w:val="24"/>
          <w:lang/>
        </w:rPr>
        <w:lastRenderedPageBreak/>
        <w:t>14.1.85. інжиніринг - надання послуг (виконання робіт) із складення технічних завдань, проектних пропозицій, проведення наукових досліджень і техніко-економічних обстежень, виконання інженерно-розвідувальних робіт з будівництва об'єктів, розроблення технічної документації, проектування та конструкторського опрацювання об'єктів техніки і технології, надання консультації та авторського нагляду під час монтажних та пусконалагоджувальних робіт, а також надання консультацій, пов'язаних із такими послугами (роботами);</w:t>
      </w:r>
    </w:p>
    <w:p w14:paraId="194F53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 w:name="n417"/>
      <w:bookmarkEnd w:id="439"/>
      <w:r w:rsidRPr="008B264B">
        <w:rPr>
          <w:rFonts w:ascii="Times New Roman" w:eastAsia="Times New Roman" w:hAnsi="Times New Roman" w:cs="Times New Roman"/>
          <w:color w:val="000000"/>
          <w:sz w:val="24"/>
          <w:szCs w:val="24"/>
          <w:lang/>
        </w:rPr>
        <w:t>14.1.86. інститути спільного інвестування (далі - ІСІ) - інвестиційні фонди та взаємні фонди інвестиційних компаній, корпоративні інвестиційні фонди та пайові інвестиційні фонди, створені відповідно до законодавства;</w:t>
      </w:r>
    </w:p>
    <w:p w14:paraId="13518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 w:name="n418"/>
      <w:bookmarkEnd w:id="440"/>
      <w:r w:rsidRPr="008B264B">
        <w:rPr>
          <w:rFonts w:ascii="Times New Roman" w:eastAsia="Times New Roman" w:hAnsi="Times New Roman" w:cs="Times New Roman"/>
          <w:color w:val="000000"/>
          <w:sz w:val="24"/>
          <w:szCs w:val="24"/>
          <w:lang/>
        </w:rPr>
        <w:t>14.1.87. іпотечний житловий кредит - фінансовий кредит, що надається фізичній особі банківською чи іншою фінансовою установою відповідно до закону строком не менш як на п'ять повних календарних років для фінансування витрат, пов'язаних з придбанням квартири (кімнати) чи житлового будинку (його частини) або будівництвом житлового будинку (його частини), що надаються у власність позичальника, з прийняттям кредитором такого житла (землі, що знаходиться під таким житловим будинком, у тому числі присадибної ділянки) у заставу;</w:t>
      </w:r>
    </w:p>
    <w:p w14:paraId="392FB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 w:name="n419"/>
      <w:bookmarkEnd w:id="441"/>
      <w:r w:rsidRPr="008B264B">
        <w:rPr>
          <w:rFonts w:ascii="Times New Roman" w:eastAsia="Times New Roman" w:hAnsi="Times New Roman" w:cs="Times New Roman"/>
          <w:color w:val="000000"/>
          <w:sz w:val="24"/>
          <w:szCs w:val="24"/>
          <w:lang/>
        </w:rPr>
        <w:t>14.1.88. іпотечний сертифікат (у тому числі іпотечний сертифікат участі та іпотечний сертифікат з фіксованою дохідністю) - іпотечний цінний папір, забезпечений іпотечними активами або іпотеками відповідно до закону;</w:t>
      </w:r>
    </w:p>
    <w:p w14:paraId="75F2E2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 w:name="n420"/>
      <w:bookmarkEnd w:id="442"/>
      <w:r w:rsidRPr="008B264B">
        <w:rPr>
          <w:rFonts w:ascii="Times New Roman" w:eastAsia="Times New Roman" w:hAnsi="Times New Roman" w:cs="Times New Roman"/>
          <w:color w:val="000000"/>
          <w:sz w:val="24"/>
          <w:szCs w:val="24"/>
          <w:lang/>
        </w:rPr>
        <w:t>14.1.89. консолідований іпотечний борг - зобов'язання за договорами про іпотечний кредит, реформовані кредитодавцем відповідно до закону;</w:t>
      </w:r>
    </w:p>
    <w:p w14:paraId="01E7A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 w:name="n421"/>
      <w:bookmarkEnd w:id="443"/>
      <w:r w:rsidRPr="008B264B">
        <w:rPr>
          <w:rFonts w:ascii="Times New Roman" w:eastAsia="Times New Roman" w:hAnsi="Times New Roman" w:cs="Times New Roman"/>
          <w:color w:val="000000"/>
          <w:sz w:val="24"/>
          <w:szCs w:val="24"/>
          <w:lang/>
        </w:rPr>
        <w:t>14.1.89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термін "кооперативні виплати" вживається у значенні, наведеному в </w:t>
      </w:r>
      <w:hyperlink r:id="rId342" w:tgtFrame="_blank" w:history="1">
        <w:r w:rsidRPr="008B264B">
          <w:rPr>
            <w:rFonts w:ascii="Times New Roman" w:eastAsia="Times New Roman" w:hAnsi="Times New Roman" w:cs="Times New Roman"/>
            <w:color w:val="0000FF"/>
            <w:sz w:val="24"/>
            <w:szCs w:val="24"/>
            <w:u w:val="single"/>
            <w:lang/>
          </w:rPr>
          <w:t>Законі України "Про кооперацію"</w:t>
        </w:r>
      </w:hyperlink>
      <w:r w:rsidRPr="008B264B">
        <w:rPr>
          <w:rFonts w:ascii="Times New Roman" w:eastAsia="Times New Roman" w:hAnsi="Times New Roman" w:cs="Times New Roman"/>
          <w:color w:val="000000"/>
          <w:sz w:val="24"/>
          <w:szCs w:val="24"/>
          <w:lang/>
        </w:rPr>
        <w:t>;</w:t>
      </w:r>
    </w:p>
    <w:p w14:paraId="2EFBEA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 w:name="n422"/>
      <w:bookmarkEnd w:id="444"/>
      <w:r w:rsidRPr="008B264B">
        <w:rPr>
          <w:rFonts w:ascii="Times New Roman" w:eastAsia="Times New Roman" w:hAnsi="Times New Roman" w:cs="Times New Roman"/>
          <w:i/>
          <w:iCs/>
          <w:color w:val="000000"/>
          <w:sz w:val="24"/>
          <w:szCs w:val="24"/>
          <w:lang/>
        </w:rPr>
        <w:t>{Пункт 14.1 статті 14 доповнено підпунктом 14.1.89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43" w:anchor="n1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44" w:anchor="n1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1577C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 w:name="n423"/>
      <w:bookmarkEnd w:id="445"/>
      <w:r w:rsidRPr="008B264B">
        <w:rPr>
          <w:rFonts w:ascii="Times New Roman" w:eastAsia="Times New Roman" w:hAnsi="Times New Roman" w:cs="Times New Roman"/>
          <w:color w:val="000000"/>
          <w:sz w:val="24"/>
          <w:szCs w:val="24"/>
          <w:lang/>
        </w:rPr>
        <w:t>14.1.90. корпоративні права - права особи, частка якої визначається у статутному капіталі (майні) господарської організації, що включають правомочності на участь цієї особи в управлінні господарською організацією, отримання певної частки прибутку (дивідендів) даної організації та активів у разі ліквідації останньої відповідно до закону, а також інші правомочності, передбачені законом та статутними документами;</w:t>
      </w:r>
    </w:p>
    <w:p w14:paraId="6446F8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 w:name="n13512"/>
      <w:bookmarkEnd w:id="446"/>
      <w:r w:rsidRPr="008B264B">
        <w:rPr>
          <w:rFonts w:ascii="Times New Roman" w:eastAsia="Times New Roman" w:hAnsi="Times New Roman" w:cs="Times New Roman"/>
          <w:i/>
          <w:iCs/>
          <w:color w:val="000000"/>
          <w:sz w:val="24"/>
          <w:szCs w:val="24"/>
          <w:lang/>
        </w:rPr>
        <w:t>{Підпункт 14.1.90 пункту 14.1 статті 14 із змінами, внесеними згідно із Законом </w:t>
      </w:r>
      <w:hyperlink r:id="rId345" w:anchor="n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B238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 w:name="n424"/>
      <w:bookmarkEnd w:id="447"/>
      <w:r w:rsidRPr="008B264B">
        <w:rPr>
          <w:rFonts w:ascii="Times New Roman" w:eastAsia="Times New Roman" w:hAnsi="Times New Roman" w:cs="Times New Roman"/>
          <w:color w:val="000000"/>
          <w:sz w:val="24"/>
          <w:szCs w:val="24"/>
          <w:lang/>
        </w:rPr>
        <w:t>14.1.91. корисні копалини - природні мінеральні утворення органічного і неорганічного походження у надрах, у тому числі будь-які підземні води, а також техногенні мінеральні утворення в місцях видалення відходів виробництва та втрат продуктів переробки мінеральної сировини, які можуть бути використані у сфері матеріального виробництва і споживання безпосередньо або після первинної переробки;</w:t>
      </w:r>
    </w:p>
    <w:p w14:paraId="7D262D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 w:name="n425"/>
      <w:bookmarkEnd w:id="448"/>
      <w:r w:rsidRPr="008B264B">
        <w:rPr>
          <w:rFonts w:ascii="Times New Roman" w:eastAsia="Times New Roman" w:hAnsi="Times New Roman" w:cs="Times New Roman"/>
          <w:i/>
          <w:iCs/>
          <w:color w:val="000000"/>
          <w:sz w:val="24"/>
          <w:szCs w:val="24"/>
          <w:lang/>
        </w:rPr>
        <w:t>{Підпункт 14.1.92 пункту 14.1 статті 14 виключено на підставі Закону </w:t>
      </w:r>
      <w:hyperlink r:id="rId346" w:anchor="n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C9C02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 w:name="n426"/>
      <w:bookmarkEnd w:id="449"/>
      <w:r w:rsidRPr="008B264B">
        <w:rPr>
          <w:rFonts w:ascii="Times New Roman" w:eastAsia="Times New Roman" w:hAnsi="Times New Roman" w:cs="Times New Roman"/>
          <w:color w:val="000000"/>
          <w:sz w:val="24"/>
          <w:szCs w:val="24"/>
          <w:lang/>
        </w:rPr>
        <w:t>14.1.93. кошти - гривня або іноземна валюта;</w:t>
      </w:r>
    </w:p>
    <w:p w14:paraId="481C99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 w:name="n427"/>
      <w:bookmarkEnd w:id="450"/>
      <w:r w:rsidRPr="008B264B">
        <w:rPr>
          <w:rFonts w:ascii="Times New Roman" w:eastAsia="Times New Roman" w:hAnsi="Times New Roman" w:cs="Times New Roman"/>
          <w:color w:val="000000"/>
          <w:sz w:val="24"/>
          <w:szCs w:val="24"/>
          <w:lang/>
        </w:rPr>
        <w:t>14.1.94. компенсаційна продукція - частина виробленої продукції, що передається у власність інвестора в рахунок компенсації його витрат;</w:t>
      </w:r>
    </w:p>
    <w:p w14:paraId="0C3B7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 w:name="n428"/>
      <w:bookmarkEnd w:id="451"/>
      <w:r w:rsidRPr="008B264B">
        <w:rPr>
          <w:rFonts w:ascii="Times New Roman" w:eastAsia="Times New Roman" w:hAnsi="Times New Roman" w:cs="Times New Roman"/>
          <w:color w:val="000000"/>
          <w:sz w:val="24"/>
          <w:szCs w:val="24"/>
          <w:lang/>
        </w:rPr>
        <w:t>14.1.95. кредитор - юридична або фізична особа, яка має підтверджені у встановленому порядку вимоги щодо грошових зобов'язань до боржника, у тому числі щодо виплати заборгованості із заробітної плати працівникам боржника, а також контролюючі органи - щодо податків та зборів;</w:t>
      </w:r>
    </w:p>
    <w:p w14:paraId="5FE817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 w:name="n429"/>
      <w:bookmarkEnd w:id="452"/>
      <w:r w:rsidRPr="008B264B">
        <w:rPr>
          <w:rFonts w:ascii="Times New Roman" w:eastAsia="Times New Roman" w:hAnsi="Times New Roman" w:cs="Times New Roman"/>
          <w:color w:val="000000"/>
          <w:sz w:val="24"/>
          <w:szCs w:val="24"/>
          <w:lang/>
        </w:rPr>
        <w:lastRenderedPageBreak/>
        <w:t>14.1.96. кузови, що використовувалися для транспортних засобів, визначених у товарній позиції 8703 згідно з </w:t>
      </w:r>
      <w:hyperlink r:id="rId34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 кузови, які вже були встановлені на транспортних засобах або з моменту виготовлення яких минуло більше одного року;</w:t>
      </w:r>
    </w:p>
    <w:p w14:paraId="65D904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 w:name="n13514"/>
      <w:bookmarkEnd w:id="453"/>
      <w:r w:rsidRPr="008B264B">
        <w:rPr>
          <w:rFonts w:ascii="Times New Roman" w:eastAsia="Times New Roman" w:hAnsi="Times New Roman" w:cs="Times New Roman"/>
          <w:color w:val="000000"/>
          <w:sz w:val="24"/>
          <w:szCs w:val="24"/>
          <w:lang/>
        </w:rPr>
        <w:t>14.1.96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курсова різниця для цілей </w:t>
      </w:r>
      <w:hyperlink r:id="rId348"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позитивна різниця між офіційним обмінним курсом іноземної валюти до гривні, установленим Національним банком України на день придбання та на день продажу (погашення, іншого відчуження) цінного паперу, у разі якщо такий цінний папір номінований в іноземній валюті;</w:t>
      </w:r>
    </w:p>
    <w:p w14:paraId="517B50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 w:name="n13513"/>
      <w:bookmarkEnd w:id="454"/>
      <w:r w:rsidRPr="008B264B">
        <w:rPr>
          <w:rFonts w:ascii="Times New Roman" w:eastAsia="Times New Roman" w:hAnsi="Times New Roman" w:cs="Times New Roman"/>
          <w:i/>
          <w:iCs/>
          <w:color w:val="000000"/>
          <w:sz w:val="24"/>
          <w:szCs w:val="24"/>
          <w:lang/>
        </w:rPr>
        <w:t>{Пункт 14.1 статті 14 доповнено підпунктом 14.1.96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49" w:anchor="n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D33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 w:name="n430"/>
      <w:bookmarkEnd w:id="455"/>
      <w:r w:rsidRPr="008B264B">
        <w:rPr>
          <w:rFonts w:ascii="Times New Roman" w:eastAsia="Times New Roman" w:hAnsi="Times New Roman" w:cs="Times New Roman"/>
          <w:color w:val="000000"/>
          <w:sz w:val="24"/>
          <w:szCs w:val="24"/>
          <w:lang/>
        </w:rPr>
        <w:t>14.1.97. лізингова (орендна) операція - господарська операція (крім операцій з фрахтування (чартеру) морських суден та інших транспортних засобів) фізичної чи юридичної особи (орендодавця), що передбачає надання основних засобів у користування іншим фізичним чи юридичним особам (орендарям) за плату та на визначений строк.</w:t>
      </w:r>
    </w:p>
    <w:p w14:paraId="7CF91D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 w:name="n9464"/>
      <w:bookmarkEnd w:id="456"/>
      <w:r w:rsidRPr="008B264B">
        <w:rPr>
          <w:rFonts w:ascii="Times New Roman" w:eastAsia="Times New Roman" w:hAnsi="Times New Roman" w:cs="Times New Roman"/>
          <w:i/>
          <w:iCs/>
          <w:color w:val="000000"/>
          <w:sz w:val="24"/>
          <w:szCs w:val="24"/>
          <w:lang/>
        </w:rPr>
        <w:t>{Абзац перший підпункту 14.1.97 пункту 14.1 статті 14 із змінами, внесеними згідно із Законом </w:t>
      </w:r>
      <w:hyperlink r:id="rId350" w:anchor="n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BEEA0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 w:name="n431"/>
      <w:bookmarkEnd w:id="457"/>
      <w:r w:rsidRPr="008B264B">
        <w:rPr>
          <w:rFonts w:ascii="Times New Roman" w:eastAsia="Times New Roman" w:hAnsi="Times New Roman" w:cs="Times New Roman"/>
          <w:color w:val="000000"/>
          <w:sz w:val="24"/>
          <w:szCs w:val="24"/>
          <w:lang/>
        </w:rPr>
        <w:t>Лізингові (орендні) операції здійснюються у вигляді оперативного лізингу (оренди), фінансового лізингу (оренди), зворотного лізингу (оренди), оренди житла з викупом, оренди земельних ділянок та оренди будівель, у тому числі житлових приміщень.</w:t>
      </w:r>
    </w:p>
    <w:p w14:paraId="0C906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 w:name="n432"/>
      <w:bookmarkEnd w:id="458"/>
      <w:r w:rsidRPr="008B264B">
        <w:rPr>
          <w:rFonts w:ascii="Times New Roman" w:eastAsia="Times New Roman" w:hAnsi="Times New Roman" w:cs="Times New Roman"/>
          <w:color w:val="000000"/>
          <w:sz w:val="24"/>
          <w:szCs w:val="24"/>
          <w:lang/>
        </w:rPr>
        <w:t>Лізингові операції поділяються на:</w:t>
      </w:r>
    </w:p>
    <w:p w14:paraId="1B722F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 w:name="n433"/>
      <w:bookmarkEnd w:id="459"/>
      <w:r w:rsidRPr="008B264B">
        <w:rPr>
          <w:rFonts w:ascii="Times New Roman" w:eastAsia="Times New Roman" w:hAnsi="Times New Roman" w:cs="Times New Roman"/>
          <w:color w:val="000000"/>
          <w:sz w:val="24"/>
          <w:szCs w:val="24"/>
          <w:lang/>
        </w:rPr>
        <w:t>а) оперативний лізинг (оренда) - господарська операція фізичної або юридичної особи, що передбачає передачу орендарю основного фонду, придбаного або виготовленого орендодавцем, на умовах інших, ніж ті, що передбачаються фінансовим лізингом (орендою);</w:t>
      </w:r>
    </w:p>
    <w:p w14:paraId="069E1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 w:name="n434"/>
      <w:bookmarkEnd w:id="460"/>
      <w:r w:rsidRPr="008B264B">
        <w:rPr>
          <w:rFonts w:ascii="Times New Roman" w:eastAsia="Times New Roman" w:hAnsi="Times New Roman" w:cs="Times New Roman"/>
          <w:color w:val="000000"/>
          <w:sz w:val="24"/>
          <w:szCs w:val="24"/>
          <w:lang/>
        </w:rPr>
        <w:t>б) фінансовий лізинг (оренда) - господарська операція, що здійснюється фізичною або юридичною особою і передбачає передачу орендарю майна, яке є основним засобом згідно з цим Кодексом і придбане або виготовлене орендодавцем, а також усіх ризиків та винагород, пов'язаних з правом користування та володіння об'єктом лізингу.</w:t>
      </w:r>
    </w:p>
    <w:p w14:paraId="7AFD7C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 w:name="n435"/>
      <w:bookmarkEnd w:id="461"/>
      <w:r w:rsidRPr="008B264B">
        <w:rPr>
          <w:rFonts w:ascii="Times New Roman" w:eastAsia="Times New Roman" w:hAnsi="Times New Roman" w:cs="Times New Roman"/>
          <w:color w:val="000000"/>
          <w:sz w:val="24"/>
          <w:szCs w:val="24"/>
          <w:lang/>
        </w:rPr>
        <w:t>Лізинг (оренда) вважається фінансовим, якщо лізинговий (орендний) договір містить одну з таких умов:</w:t>
      </w:r>
    </w:p>
    <w:p w14:paraId="699CAA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 w:name="n436"/>
      <w:bookmarkEnd w:id="462"/>
      <w:r w:rsidRPr="008B264B">
        <w:rPr>
          <w:rFonts w:ascii="Times New Roman" w:eastAsia="Times New Roman" w:hAnsi="Times New Roman" w:cs="Times New Roman"/>
          <w:color w:val="000000"/>
          <w:sz w:val="24"/>
          <w:szCs w:val="24"/>
          <w:lang/>
        </w:rPr>
        <w:t>об'єкт лізингу передається на строк, протягом якого амортизується не менш як 75 відсотків його первісної вартості, а орендар зобов'язаний на підставі лізингового договору та протягом строку його дії придбати об'єкт лізингу з наступним переходом права власності від орендодавця до орендаря за ціною, визначеною у такому лізинговому договорі;</w:t>
      </w:r>
    </w:p>
    <w:p w14:paraId="3A51AF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 w:name="n437"/>
      <w:bookmarkEnd w:id="463"/>
      <w:r w:rsidRPr="008B264B">
        <w:rPr>
          <w:rFonts w:ascii="Times New Roman" w:eastAsia="Times New Roman" w:hAnsi="Times New Roman" w:cs="Times New Roman"/>
          <w:i/>
          <w:iCs/>
          <w:color w:val="000000"/>
          <w:sz w:val="24"/>
          <w:szCs w:val="24"/>
          <w:lang/>
        </w:rPr>
        <w:t>{Абзац сьомий підпункту 14.1.97 пункту 14.1 статті 14 в редакції Закону </w:t>
      </w:r>
      <w:hyperlink r:id="rId351" w:anchor="n1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AC3B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 w:name="n438"/>
      <w:bookmarkEnd w:id="464"/>
      <w:r w:rsidRPr="008B264B">
        <w:rPr>
          <w:rFonts w:ascii="Times New Roman" w:eastAsia="Times New Roman" w:hAnsi="Times New Roman" w:cs="Times New Roman"/>
          <w:color w:val="000000"/>
          <w:sz w:val="24"/>
          <w:szCs w:val="24"/>
          <w:lang/>
        </w:rPr>
        <w:t>балансова (залишкова) вартість об'єкта лізингу на момент закінчення дії лізингового договору, передбаченого таким договором, становить не більш як 25 відсотків первісної вартості ціни такого об'єкта лізингу, що діє на початок строку дії лізингового договору;</w:t>
      </w:r>
    </w:p>
    <w:p w14:paraId="7115CA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 w:name="n439"/>
      <w:bookmarkEnd w:id="465"/>
      <w:r w:rsidRPr="008B264B">
        <w:rPr>
          <w:rFonts w:ascii="Times New Roman" w:eastAsia="Times New Roman" w:hAnsi="Times New Roman" w:cs="Times New Roman"/>
          <w:color w:val="000000"/>
          <w:sz w:val="24"/>
          <w:szCs w:val="24"/>
          <w:lang/>
        </w:rPr>
        <w:t>сума лізингових (орендних) платежів з початку строку оренди дорівнює первісній вартості об'єкта лізингу або перевищує її;</w:t>
      </w:r>
    </w:p>
    <w:p w14:paraId="6C0F57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 w:name="n440"/>
      <w:bookmarkEnd w:id="466"/>
      <w:r w:rsidRPr="008B264B">
        <w:rPr>
          <w:rFonts w:ascii="Times New Roman" w:eastAsia="Times New Roman" w:hAnsi="Times New Roman" w:cs="Times New Roman"/>
          <w:color w:val="000000"/>
          <w:sz w:val="24"/>
          <w:szCs w:val="24"/>
          <w:lang/>
        </w:rPr>
        <w:t>майно, що передається у фінансовий лізинг, виготовлене за замовленням лізингоотримувача (орендаря) та після закінчення дії лізингового договору не може бути використаним іншими особами, крім лізингоотримувача (орендаря), виходячи з його технологічних та якісних характеристик.</w:t>
      </w:r>
    </w:p>
    <w:p w14:paraId="23A554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 w:name="n441"/>
      <w:bookmarkEnd w:id="467"/>
      <w:r w:rsidRPr="008B264B">
        <w:rPr>
          <w:rFonts w:ascii="Times New Roman" w:eastAsia="Times New Roman" w:hAnsi="Times New Roman" w:cs="Times New Roman"/>
          <w:color w:val="000000"/>
          <w:sz w:val="24"/>
          <w:szCs w:val="24"/>
          <w:lang/>
        </w:rPr>
        <w:t xml:space="preserve">Під терміном "строк фінансового лізингу" слід розуміти передбачений лізинговим договором строк, який розпочинається з дати передання ризиків, пов'язаних із зберіганням або використанням майна, чи права на отримання будь-яких вигод чи винагород, пов'язаних з його </w:t>
      </w:r>
      <w:r w:rsidRPr="008B264B">
        <w:rPr>
          <w:rFonts w:ascii="Times New Roman" w:eastAsia="Times New Roman" w:hAnsi="Times New Roman" w:cs="Times New Roman"/>
          <w:color w:val="000000"/>
          <w:sz w:val="24"/>
          <w:szCs w:val="24"/>
          <w:lang/>
        </w:rPr>
        <w:lastRenderedPageBreak/>
        <w:t>використанням, або будь-яких інших прав, що слідують з прав на володіння, користування або розпоряджання таким майном, лізингоотримувачу (орендарю) та закінчується строком закінчення дії лізингового договору, включаючи будь-який період, протягом якого лізингоотримувач має право прийняти одноосібне рішення про продовження строку лізингу згідно з умовами договору.</w:t>
      </w:r>
    </w:p>
    <w:p w14:paraId="18AF91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 w:name="n442"/>
      <w:bookmarkEnd w:id="468"/>
      <w:r w:rsidRPr="008B264B">
        <w:rPr>
          <w:rFonts w:ascii="Times New Roman" w:eastAsia="Times New Roman" w:hAnsi="Times New Roman" w:cs="Times New Roman"/>
          <w:color w:val="000000"/>
          <w:sz w:val="24"/>
          <w:szCs w:val="24"/>
          <w:lang/>
        </w:rPr>
        <w:t>Незалежно від того, регулюється господарська операція нормами цього підпункту чи ні, сторони договору мають право під час укладення договору (правочину) визначити таку операцію як оперативний лізинг без права подальшої зміни статусу такої операції до закінчення дії відповідного договору;</w:t>
      </w:r>
    </w:p>
    <w:p w14:paraId="2268DF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 w:name="n443"/>
      <w:bookmarkEnd w:id="469"/>
      <w:r w:rsidRPr="008B264B">
        <w:rPr>
          <w:rFonts w:ascii="Times New Roman" w:eastAsia="Times New Roman" w:hAnsi="Times New Roman" w:cs="Times New Roman"/>
          <w:color w:val="000000"/>
          <w:sz w:val="24"/>
          <w:szCs w:val="24"/>
          <w:lang/>
        </w:rPr>
        <w:t>в) зворотний лізинг (оренда) - господарська операція, що здійснюється фізичною чи юридичною особою і передбачає продаж основних засобів фінансовій організації з одночасним зворотним отриманням таких основних засобів такою фізичною чи юридичною особою в оперативний або фінансовий лізинг;</w:t>
      </w:r>
    </w:p>
    <w:p w14:paraId="2C5C94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 w:name="n444"/>
      <w:bookmarkEnd w:id="470"/>
      <w:r w:rsidRPr="008B264B">
        <w:rPr>
          <w:rFonts w:ascii="Times New Roman" w:eastAsia="Times New Roman" w:hAnsi="Times New Roman" w:cs="Times New Roman"/>
          <w:color w:val="000000"/>
          <w:sz w:val="24"/>
          <w:szCs w:val="24"/>
          <w:lang/>
        </w:rPr>
        <w:t>г) оренда житлових приміщень - операція, що передбачає надання житлового будинку, квартири або їх частини її власником у користування орендарю на визначений строк для цільового використання за орендну плату;</w:t>
      </w:r>
    </w:p>
    <w:p w14:paraId="76B425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 w:name="n445"/>
      <w:bookmarkEnd w:id="471"/>
      <w:r w:rsidRPr="008B264B">
        <w:rPr>
          <w:rFonts w:ascii="Times New Roman" w:eastAsia="Times New Roman" w:hAnsi="Times New Roman" w:cs="Times New Roman"/>
          <w:color w:val="000000"/>
          <w:sz w:val="24"/>
          <w:szCs w:val="24"/>
          <w:lang/>
        </w:rPr>
        <w:t>ґ) оренда житла з викупом - господарська операція юридичної особи, що передбачає відповідно до договору оренди житла з викупом передання другій стороні - фізичній особі (особі-орендарю) майнових прав на нерухомість, будівництво якої не завершено та/або житло за плату на довготривалий (до 30 років) строк, після закінчення якого або достроково, за умови повної сплати орендних платежів та відсутності інших обтяжень та обмежень на таке житло, житло переходить у власність орендаря. Оренда житла з викупом може передбачати відступлення права вимоги на платежі за договором оренди житла з викупом;</w:t>
      </w:r>
    </w:p>
    <w:p w14:paraId="780019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 w:name="n446"/>
      <w:bookmarkEnd w:id="472"/>
      <w:r w:rsidRPr="008B264B">
        <w:rPr>
          <w:rFonts w:ascii="Times New Roman" w:eastAsia="Times New Roman" w:hAnsi="Times New Roman" w:cs="Times New Roman"/>
          <w:color w:val="000000"/>
          <w:sz w:val="24"/>
          <w:szCs w:val="24"/>
          <w:lang/>
        </w:rPr>
        <w:t>14.1.98. лісові землі - земельні ділянки, на яких розташовані лісові ділянки;</w:t>
      </w:r>
    </w:p>
    <w:p w14:paraId="36D3DA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 w:name="n447"/>
      <w:bookmarkEnd w:id="473"/>
      <w:r w:rsidRPr="008B264B">
        <w:rPr>
          <w:rFonts w:ascii="Times New Roman" w:eastAsia="Times New Roman" w:hAnsi="Times New Roman" w:cs="Times New Roman"/>
          <w:color w:val="000000"/>
          <w:sz w:val="24"/>
          <w:szCs w:val="24"/>
          <w:lang/>
        </w:rPr>
        <w:t>14.1.99. ліцензія - у значенні, наведеному в </w:t>
      </w:r>
      <w:hyperlink r:id="rId352" w:tgtFrame="_blank" w:history="1">
        <w:r w:rsidRPr="008B264B">
          <w:rPr>
            <w:rFonts w:ascii="Times New Roman" w:eastAsia="Times New Roman" w:hAnsi="Times New Roman" w:cs="Times New Roman"/>
            <w:color w:val="0000FF"/>
            <w:sz w:val="24"/>
            <w:szCs w:val="24"/>
            <w:u w:val="single"/>
            <w:lang/>
          </w:rPr>
          <w:t>Господарському кодексі України</w:t>
        </w:r>
      </w:hyperlink>
      <w:r w:rsidRPr="008B264B">
        <w:rPr>
          <w:rFonts w:ascii="Times New Roman" w:eastAsia="Times New Roman" w:hAnsi="Times New Roman" w:cs="Times New Roman"/>
          <w:color w:val="000000"/>
          <w:sz w:val="24"/>
          <w:szCs w:val="24"/>
          <w:lang/>
        </w:rPr>
        <w:t>;</w:t>
      </w:r>
    </w:p>
    <w:p w14:paraId="7862D4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 w:name="n448"/>
      <w:bookmarkEnd w:id="474"/>
      <w:r w:rsidRPr="008B264B">
        <w:rPr>
          <w:rFonts w:ascii="Times New Roman" w:eastAsia="Times New Roman" w:hAnsi="Times New Roman" w:cs="Times New Roman"/>
          <w:color w:val="000000"/>
          <w:sz w:val="24"/>
          <w:szCs w:val="24"/>
          <w:lang/>
        </w:rPr>
        <w:t>14.1.100. ломбардна операція - операція, що здійснюється фізичною чи юридичною особою, з отримання коштів від юридичної особи, що є фінансовою установою, згідно із законодавством України, під заставу товарів або валютних цінностей. Ломбардні операції є різновидом кредиту під заставу;</w:t>
      </w:r>
    </w:p>
    <w:p w14:paraId="028B00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 w:name="n449"/>
      <w:bookmarkEnd w:id="475"/>
      <w:r w:rsidRPr="008B264B">
        <w:rPr>
          <w:rFonts w:ascii="Times New Roman" w:eastAsia="Times New Roman" w:hAnsi="Times New Roman" w:cs="Times New Roman"/>
          <w:color w:val="000000"/>
          <w:sz w:val="24"/>
          <w:szCs w:val="24"/>
          <w:lang/>
        </w:rPr>
        <w:t>14.1.101. лотерея - масова гра незалежно від її назви, умовами проведення якої передбачається розіграш призового (виграшного) фонду між її гравцями, приз (виграш) в якій має випадковий характер і територія проведення якої не обмежується одним приміщенням (будівлею). Діяльність з проведення лотерей регулюється спеціальним законом. Не вважаються лотереєю ігри, що проводяться на безоплатних засадах юридичними особами та фізичними особами - підприємцями і мають на меті рекламування їх товару (платної послуги), сприяння їх продажу (наданню) за умови, що організатори цих ігор витрачають на їх проведення свій прибуток (дохід);</w:t>
      </w:r>
    </w:p>
    <w:p w14:paraId="2998B5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 w:name="n450"/>
      <w:bookmarkEnd w:id="476"/>
      <w:r w:rsidRPr="008B264B">
        <w:rPr>
          <w:rFonts w:ascii="Times New Roman" w:eastAsia="Times New Roman" w:hAnsi="Times New Roman" w:cs="Times New Roman"/>
          <w:color w:val="000000"/>
          <w:sz w:val="24"/>
          <w:szCs w:val="24"/>
          <w:lang/>
        </w:rPr>
        <w:t>14.1.102. магазин безмитної торгівлі - заклад торгівлі товарами, що знаходяться в митному режимі безмитної торгівлі відповідно до </w:t>
      </w:r>
      <w:hyperlink r:id="rId353" w:anchor="n1445" w:tgtFrame="_blank" w:history="1">
        <w:r w:rsidRPr="008B264B">
          <w:rPr>
            <w:rFonts w:ascii="Times New Roman" w:eastAsia="Times New Roman" w:hAnsi="Times New Roman" w:cs="Times New Roman"/>
            <w:color w:val="0000FF"/>
            <w:sz w:val="24"/>
            <w:szCs w:val="24"/>
            <w:u w:val="single"/>
            <w:lang/>
          </w:rPr>
          <w:t>глав 22</w:t>
        </w:r>
      </w:hyperlink>
      <w:r w:rsidRPr="008B264B">
        <w:rPr>
          <w:rFonts w:ascii="Times New Roman" w:eastAsia="Times New Roman" w:hAnsi="Times New Roman" w:cs="Times New Roman"/>
          <w:color w:val="000000"/>
          <w:sz w:val="24"/>
          <w:szCs w:val="24"/>
          <w:lang/>
        </w:rPr>
        <w:t> та </w:t>
      </w:r>
      <w:hyperlink r:id="rId354" w:anchor="n3484" w:tgtFrame="_blank" w:history="1">
        <w:r w:rsidRPr="008B264B">
          <w:rPr>
            <w:rFonts w:ascii="Times New Roman" w:eastAsia="Times New Roman" w:hAnsi="Times New Roman" w:cs="Times New Roman"/>
            <w:color w:val="0000FF"/>
            <w:sz w:val="24"/>
            <w:szCs w:val="24"/>
            <w:u w:val="single"/>
            <w:lang/>
          </w:rPr>
          <w:t>60 Митного кодексу України</w:t>
        </w:r>
      </w:hyperlink>
      <w:r w:rsidRPr="008B264B">
        <w:rPr>
          <w:rFonts w:ascii="Times New Roman" w:eastAsia="Times New Roman" w:hAnsi="Times New Roman" w:cs="Times New Roman"/>
          <w:color w:val="000000"/>
          <w:sz w:val="24"/>
          <w:szCs w:val="24"/>
          <w:lang/>
        </w:rPr>
        <w:t>;</w:t>
      </w:r>
    </w:p>
    <w:p w14:paraId="6286AC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 w:name="n451"/>
      <w:bookmarkEnd w:id="477"/>
      <w:r w:rsidRPr="008B264B">
        <w:rPr>
          <w:rFonts w:ascii="Times New Roman" w:eastAsia="Times New Roman" w:hAnsi="Times New Roman" w:cs="Times New Roman"/>
          <w:i/>
          <w:iCs/>
          <w:color w:val="000000"/>
          <w:sz w:val="24"/>
          <w:szCs w:val="24"/>
          <w:lang/>
        </w:rPr>
        <w:t>{Підпункт 14.1.102 пункту 14.1 статті 14 із змінами, внесеними згідно із Законом </w:t>
      </w:r>
      <w:hyperlink r:id="rId35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356" w:anchor="n14"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639CE4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 w:name="n452"/>
      <w:bookmarkEnd w:id="478"/>
      <w:r w:rsidRPr="008B264B">
        <w:rPr>
          <w:rFonts w:ascii="Times New Roman" w:eastAsia="Times New Roman" w:hAnsi="Times New Roman" w:cs="Times New Roman"/>
          <w:color w:val="000000"/>
          <w:sz w:val="24"/>
          <w:szCs w:val="24"/>
          <w:lang/>
        </w:rPr>
        <w:t>14.1.103. материнські компанії - юридичні особи, які є власниками інших юридичних осіб або здійснюють контроль над такими юридичними особами, як пов'язані особи;</w:t>
      </w:r>
    </w:p>
    <w:p w14:paraId="1504B9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 w:name="n453"/>
      <w:bookmarkEnd w:id="479"/>
      <w:r w:rsidRPr="008B264B">
        <w:rPr>
          <w:rFonts w:ascii="Times New Roman" w:eastAsia="Times New Roman" w:hAnsi="Times New Roman" w:cs="Times New Roman"/>
          <w:color w:val="000000"/>
          <w:sz w:val="24"/>
          <w:szCs w:val="24"/>
          <w:lang/>
        </w:rPr>
        <w:t>14.1.104. майданчики для платного паркування - площа території (землі), що належить на правах власності територіальній громаді або державі, на якій відповідно до рішення органу місцевого самоврядування здійснюється платне паркування транспортних засобів;</w:t>
      </w:r>
    </w:p>
    <w:p w14:paraId="715A58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 w:name="n454"/>
      <w:bookmarkEnd w:id="480"/>
      <w:r w:rsidRPr="008B264B">
        <w:rPr>
          <w:rFonts w:ascii="Times New Roman" w:eastAsia="Times New Roman" w:hAnsi="Times New Roman" w:cs="Times New Roman"/>
          <w:color w:val="000000"/>
          <w:sz w:val="24"/>
          <w:szCs w:val="24"/>
          <w:lang/>
        </w:rPr>
        <w:t>14.1.105. майно - у значенні, наведеному в </w:t>
      </w:r>
      <w:hyperlink r:id="rId357" w:tgtFrame="_blank" w:history="1">
        <w:r w:rsidRPr="008B264B">
          <w:rPr>
            <w:rFonts w:ascii="Times New Roman" w:eastAsia="Times New Roman" w:hAnsi="Times New Roman" w:cs="Times New Roman"/>
            <w:color w:val="0000FF"/>
            <w:sz w:val="24"/>
            <w:szCs w:val="24"/>
            <w:u w:val="single"/>
            <w:lang/>
          </w:rPr>
          <w:t>Цивільному кодексі України</w:t>
        </w:r>
      </w:hyperlink>
      <w:r w:rsidRPr="008B264B">
        <w:rPr>
          <w:rFonts w:ascii="Times New Roman" w:eastAsia="Times New Roman" w:hAnsi="Times New Roman" w:cs="Times New Roman"/>
          <w:color w:val="000000"/>
          <w:sz w:val="24"/>
          <w:szCs w:val="24"/>
          <w:lang/>
        </w:rPr>
        <w:t>;</w:t>
      </w:r>
    </w:p>
    <w:p w14:paraId="320F84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 w:name="n455"/>
      <w:bookmarkEnd w:id="481"/>
      <w:r w:rsidRPr="008B264B">
        <w:rPr>
          <w:rFonts w:ascii="Times New Roman" w:eastAsia="Times New Roman" w:hAnsi="Times New Roman" w:cs="Times New Roman"/>
          <w:color w:val="000000"/>
          <w:sz w:val="24"/>
          <w:szCs w:val="24"/>
          <w:lang/>
        </w:rPr>
        <w:lastRenderedPageBreak/>
        <w:t>14.1.106. максимальні роздрібні ціни - ціни, встановлені на підакцизні товари (продукцію з урахуванням усіх видів податків (зборів). Акцизний податок з реалізованих суб’єктами господарювання роздрібної торгівлі підакцизних товарів не включається до максимальної роздрібної ціни.</w:t>
      </w:r>
    </w:p>
    <w:p w14:paraId="1861C6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 w:name="n10456"/>
      <w:bookmarkEnd w:id="482"/>
      <w:r w:rsidRPr="008B264B">
        <w:rPr>
          <w:rFonts w:ascii="Times New Roman" w:eastAsia="Times New Roman" w:hAnsi="Times New Roman" w:cs="Times New Roman"/>
          <w:color w:val="000000"/>
          <w:sz w:val="24"/>
          <w:szCs w:val="24"/>
          <w:lang/>
        </w:rPr>
        <w:t>Максимальні роздрібні ціни на підакцизні товари (продукцію) встановлюються виробниками або імпортерами товарів (продукції) шляхом декларування таких цін у порядку, встановленому цим Кодексом. Продаж суб’єктами господарювання роздрібної торгівлі підакцизних товарів, на які встановлюються максимальні роздрібні ціни, не може здійснюватися за цінами, вищими за максимальні роздрібні ціни, збільшені на суму акцизного податку з роздрібної торгівлі підакцизних товарів;</w:t>
      </w:r>
    </w:p>
    <w:p w14:paraId="7A156E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 w:name="n10455"/>
      <w:bookmarkEnd w:id="483"/>
      <w:r w:rsidRPr="008B264B">
        <w:rPr>
          <w:rFonts w:ascii="Times New Roman" w:eastAsia="Times New Roman" w:hAnsi="Times New Roman" w:cs="Times New Roman"/>
          <w:i/>
          <w:iCs/>
          <w:color w:val="000000"/>
          <w:sz w:val="24"/>
          <w:szCs w:val="24"/>
          <w:lang/>
        </w:rPr>
        <w:t>{Підпункт 14.1.106 пункту 14.1 статті 14 в редакції Закону </w:t>
      </w:r>
      <w:hyperlink r:id="rId358" w:anchor="n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34313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 w:name="n456"/>
      <w:bookmarkEnd w:id="484"/>
      <w:r w:rsidRPr="008B264B">
        <w:rPr>
          <w:rFonts w:ascii="Times New Roman" w:eastAsia="Times New Roman" w:hAnsi="Times New Roman" w:cs="Times New Roman"/>
          <w:color w:val="000000"/>
          <w:sz w:val="24"/>
          <w:szCs w:val="24"/>
          <w:lang/>
        </w:rPr>
        <w:t>14.1.107. марка акцизного податку - спеціальний знак для маркування алкогольних напоїв та тютюнових виробів, віднесений до документів суворого обліку, який підтверджує сплату акцизного податку, легальність ввезення та реалізації на території України цих виробів;</w:t>
      </w:r>
    </w:p>
    <w:p w14:paraId="5F4A21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 w:name="n457"/>
      <w:bookmarkEnd w:id="485"/>
      <w:r w:rsidRPr="008B264B">
        <w:rPr>
          <w:rFonts w:ascii="Times New Roman" w:eastAsia="Times New Roman" w:hAnsi="Times New Roman" w:cs="Times New Roman"/>
          <w:color w:val="000000"/>
          <w:sz w:val="24"/>
          <w:szCs w:val="24"/>
          <w:lang/>
        </w:rPr>
        <w:t>14.1.108. маркетингові послуги (маркетинг) - послуги, що забезпечують функціонування діяльності платника податків у сфері вивчання ринку, стимулювання збуту продукції (робіт, послуг), політики цін, організації та управлінні руху продукції (робіт, послуг) до споживача та післяпродажного обслуговування споживача в межах господарської діяльності такого платника податків. До маркетингових послуг належать, у тому числі: послуги з розміщення продукції платника податку в місцях продажу, послуги з вивчення, дослідження та аналізу споживчого попиту, внесення продукції (робіт, послуг) платника податку до інформаційних баз продажу, послуги зі збору та розповсюдження інформації про продукцію (роботи, послуги);</w:t>
      </w:r>
    </w:p>
    <w:p w14:paraId="3A05B2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 w:name="n458"/>
      <w:bookmarkEnd w:id="486"/>
      <w:r w:rsidRPr="008B264B">
        <w:rPr>
          <w:rFonts w:ascii="Times New Roman" w:eastAsia="Times New Roman" w:hAnsi="Times New Roman" w:cs="Times New Roman"/>
          <w:color w:val="000000"/>
          <w:sz w:val="24"/>
          <w:szCs w:val="24"/>
          <w:lang/>
        </w:rPr>
        <w:t>14.1.109. маркування алкогольних напоїв та тютюнових виробів - наклеювання марки акцизного податку на пляшку (упаковку) алкогольного напою чи пачку (упаковку) тютюнового виробу в порядку, визначеному Кабінетом Міністрів України щодо виробництва, зберігання та продажу марок акцизного податку;</w:t>
      </w:r>
    </w:p>
    <w:p w14:paraId="078BCA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 w:name="n459"/>
      <w:bookmarkEnd w:id="487"/>
      <w:r w:rsidRPr="008B264B">
        <w:rPr>
          <w:rFonts w:ascii="Times New Roman" w:eastAsia="Times New Roman" w:hAnsi="Times New Roman" w:cs="Times New Roman"/>
          <w:i/>
          <w:iCs/>
          <w:color w:val="000000"/>
          <w:sz w:val="24"/>
          <w:szCs w:val="24"/>
          <w:lang/>
        </w:rPr>
        <w:t>{Підпункт 14.1.110 пункту 14.1 статті 14 виключено на підставі Закону </w:t>
      </w:r>
      <w:hyperlink r:id="rId359" w:anchor="n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EB2C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 w:name="n13516"/>
      <w:bookmarkEnd w:id="488"/>
      <w:r w:rsidRPr="008B264B">
        <w:rPr>
          <w:rFonts w:ascii="Times New Roman" w:eastAsia="Times New Roman" w:hAnsi="Times New Roman" w:cs="Times New Roman"/>
          <w:color w:val="000000"/>
          <w:sz w:val="24"/>
          <w:szCs w:val="24"/>
          <w:lang/>
        </w:rPr>
        <w:t>14.1.110. методолог електронного кабінету - центральний орган виконавчої влади, що реалізує державну податкову та митну політику;</w:t>
      </w:r>
    </w:p>
    <w:p w14:paraId="111D12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 w:name="n13515"/>
      <w:bookmarkEnd w:id="489"/>
      <w:r w:rsidRPr="008B264B">
        <w:rPr>
          <w:rFonts w:ascii="Times New Roman" w:eastAsia="Times New Roman" w:hAnsi="Times New Roman" w:cs="Times New Roman"/>
          <w:i/>
          <w:iCs/>
          <w:color w:val="000000"/>
          <w:sz w:val="24"/>
          <w:szCs w:val="24"/>
          <w:lang/>
        </w:rPr>
        <w:t>{До пункту 14.1 статті 14 включено підпункт 14.1.110 згідно із Законом </w:t>
      </w:r>
      <w:hyperlink r:id="rId360" w:anchor="n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655B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 w:name="n460"/>
      <w:bookmarkEnd w:id="490"/>
      <w:r w:rsidRPr="008B264B">
        <w:rPr>
          <w:rFonts w:ascii="Times New Roman" w:eastAsia="Times New Roman" w:hAnsi="Times New Roman" w:cs="Times New Roman"/>
          <w:i/>
          <w:iCs/>
          <w:color w:val="000000"/>
          <w:sz w:val="24"/>
          <w:szCs w:val="24"/>
          <w:lang/>
        </w:rPr>
        <w:t>{Підпункт 14.1.111 пункту 14.1 статті 14 виключено на підставі Закону </w:t>
      </w:r>
      <w:hyperlink r:id="rId361" w:anchor="n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6B21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 w:name="n13518"/>
      <w:bookmarkEnd w:id="491"/>
      <w:r w:rsidRPr="008B264B">
        <w:rPr>
          <w:rFonts w:ascii="Times New Roman" w:eastAsia="Times New Roman" w:hAnsi="Times New Roman" w:cs="Times New Roman"/>
          <w:color w:val="000000"/>
          <w:sz w:val="24"/>
          <w:szCs w:val="24"/>
          <w:lang/>
        </w:rPr>
        <w:t>14.1.111. методологічна помилка електронного кабінету - невідповідність методології та/або алгоритмів роботи електронного кабінету положенням податкового законодавства, яка призводить до помилки, в тому числі в розрахунку об’єкта оподаткування, суми податку, суми надмірної сплати податку, суми пені, штрафних санкцій, показників формули обрахунку, які використовуються в електронних системах адміністрування, інших показників, що впливають на права та обов’язки платників податків;</w:t>
      </w:r>
    </w:p>
    <w:p w14:paraId="62FBEC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 w:name="n13517"/>
      <w:bookmarkEnd w:id="492"/>
      <w:r w:rsidRPr="008B264B">
        <w:rPr>
          <w:rFonts w:ascii="Times New Roman" w:eastAsia="Times New Roman" w:hAnsi="Times New Roman" w:cs="Times New Roman"/>
          <w:i/>
          <w:iCs/>
          <w:color w:val="000000"/>
          <w:sz w:val="24"/>
          <w:szCs w:val="24"/>
          <w:lang/>
        </w:rPr>
        <w:t>{До пункту 14.1 статті 14 включено підпункт 14.1.111 згідно із Законом </w:t>
      </w:r>
      <w:hyperlink r:id="rId362" w:anchor="n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BDB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 w:name="n461"/>
      <w:bookmarkEnd w:id="493"/>
      <w:r w:rsidRPr="008B264B">
        <w:rPr>
          <w:rFonts w:ascii="Times New Roman" w:eastAsia="Times New Roman" w:hAnsi="Times New Roman" w:cs="Times New Roman"/>
          <w:color w:val="000000"/>
          <w:sz w:val="24"/>
          <w:szCs w:val="24"/>
          <w:lang/>
        </w:rPr>
        <w:t>14.1.112. мінеральна сировина - товарна продукція гірничого підприємства, що є результатом його господарської діяльності з видобутку корисних копалин, у тому числі шляхом виконання господарських договорів про послуги з давальницькою сировиною, і за якісними характеристиками відповідає вимогам установлених законодавством стандартів або вимогам договорів;</w:t>
      </w:r>
    </w:p>
    <w:p w14:paraId="0A94E0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 w:name="n462"/>
      <w:bookmarkEnd w:id="494"/>
      <w:r w:rsidRPr="008B264B">
        <w:rPr>
          <w:rFonts w:ascii="Times New Roman" w:eastAsia="Times New Roman" w:hAnsi="Times New Roman" w:cs="Times New Roman"/>
          <w:i/>
          <w:iCs/>
          <w:color w:val="000000"/>
          <w:sz w:val="24"/>
          <w:szCs w:val="24"/>
          <w:lang/>
        </w:rPr>
        <w:lastRenderedPageBreak/>
        <w:t>{Абзац другий підпункту 14.1.112 виключено на підставі Закону </w:t>
      </w:r>
      <w:hyperlink r:id="rId363" w:anchor="n7"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0C7A1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 w:name="n13489"/>
      <w:bookmarkEnd w:id="495"/>
      <w:r w:rsidRPr="008B264B">
        <w:rPr>
          <w:rFonts w:ascii="Times New Roman" w:eastAsia="Times New Roman" w:hAnsi="Times New Roman" w:cs="Times New Roman"/>
          <w:i/>
          <w:iCs/>
          <w:color w:val="000000"/>
          <w:sz w:val="24"/>
          <w:szCs w:val="24"/>
          <w:lang/>
        </w:rPr>
        <w:t>{Підпункт 14.1.112 пункту 14.1 статті 14 із змінами, внесеними згідно із Законом </w:t>
      </w:r>
      <w:hyperlink r:id="rId364" w:anchor="n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234A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 w:name="n463"/>
      <w:bookmarkEnd w:id="496"/>
      <w:r w:rsidRPr="008B264B">
        <w:rPr>
          <w:rFonts w:ascii="Times New Roman" w:eastAsia="Times New Roman" w:hAnsi="Times New Roman" w:cs="Times New Roman"/>
          <w:color w:val="000000"/>
          <w:sz w:val="24"/>
          <w:szCs w:val="24"/>
          <w:lang/>
        </w:rPr>
        <w:t>14.1.113. митні платежі - податки, що відповідно до цього Кодексу або митного законодавства справляються під час переміщення або у зв'язку з переміщенням товарів через митний кордон України та контроль за справлянням яких покладено на контролюючі органи;</w:t>
      </w:r>
    </w:p>
    <w:p w14:paraId="3BF59F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 w:name="n464"/>
      <w:bookmarkEnd w:id="497"/>
      <w:r w:rsidRPr="008B264B">
        <w:rPr>
          <w:rFonts w:ascii="Times New Roman" w:eastAsia="Times New Roman" w:hAnsi="Times New Roman" w:cs="Times New Roman"/>
          <w:color w:val="000000"/>
          <w:sz w:val="24"/>
          <w:szCs w:val="24"/>
          <w:lang/>
        </w:rPr>
        <w:t>14.1.113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митні режими - вживається у значенні, наведеному в </w:t>
      </w:r>
      <w:hyperlink r:id="rId365" w:tgtFrame="_blank" w:history="1">
        <w:r w:rsidRPr="008B264B">
          <w:rPr>
            <w:rFonts w:ascii="Times New Roman" w:eastAsia="Times New Roman" w:hAnsi="Times New Roman" w:cs="Times New Roman"/>
            <w:color w:val="0000FF"/>
            <w:sz w:val="24"/>
            <w:szCs w:val="24"/>
            <w:u w:val="single"/>
            <w:lang/>
          </w:rPr>
          <w:t>Митному кодексі України</w:t>
        </w:r>
      </w:hyperlink>
      <w:r w:rsidRPr="008B264B">
        <w:rPr>
          <w:rFonts w:ascii="Times New Roman" w:eastAsia="Times New Roman" w:hAnsi="Times New Roman" w:cs="Times New Roman"/>
          <w:color w:val="000000"/>
          <w:sz w:val="24"/>
          <w:szCs w:val="24"/>
          <w:lang/>
        </w:rPr>
        <w:t>;</w:t>
      </w:r>
    </w:p>
    <w:p w14:paraId="59060E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 w:name="n465"/>
      <w:bookmarkEnd w:id="498"/>
      <w:r w:rsidRPr="008B264B">
        <w:rPr>
          <w:rFonts w:ascii="Times New Roman" w:eastAsia="Times New Roman" w:hAnsi="Times New Roman" w:cs="Times New Roman"/>
          <w:i/>
          <w:iCs/>
          <w:color w:val="000000"/>
          <w:sz w:val="24"/>
          <w:szCs w:val="24"/>
          <w:lang/>
        </w:rPr>
        <w:t>{Пункт 14.1 статті 14 доповнено підпунктом 14.1.113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66" w:anchor="n1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5873EE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 w:name="n466"/>
      <w:bookmarkEnd w:id="499"/>
      <w:r w:rsidRPr="008B264B">
        <w:rPr>
          <w:rFonts w:ascii="Times New Roman" w:eastAsia="Times New Roman" w:hAnsi="Times New Roman" w:cs="Times New Roman"/>
          <w:color w:val="000000"/>
          <w:sz w:val="24"/>
          <w:szCs w:val="24"/>
          <w:lang/>
        </w:rPr>
        <w:t>14.1.113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міжнародні поштові відправлення, міжнародні експрес-відправлення, несупроводжуваний багаж, особисті речі, ручна поклажа, супроводжуваний багаж - вживаються у значеннях, наведених у </w:t>
      </w:r>
      <w:hyperlink r:id="rId367" w:tgtFrame="_blank" w:history="1">
        <w:r w:rsidRPr="008B264B">
          <w:rPr>
            <w:rFonts w:ascii="Times New Roman" w:eastAsia="Times New Roman" w:hAnsi="Times New Roman" w:cs="Times New Roman"/>
            <w:color w:val="0000FF"/>
            <w:sz w:val="24"/>
            <w:szCs w:val="24"/>
            <w:u w:val="single"/>
            <w:lang/>
          </w:rPr>
          <w:t>Митному кодексі України</w:t>
        </w:r>
      </w:hyperlink>
      <w:r w:rsidRPr="008B264B">
        <w:rPr>
          <w:rFonts w:ascii="Times New Roman" w:eastAsia="Times New Roman" w:hAnsi="Times New Roman" w:cs="Times New Roman"/>
          <w:color w:val="000000"/>
          <w:sz w:val="24"/>
          <w:szCs w:val="24"/>
          <w:lang/>
        </w:rPr>
        <w:t>;</w:t>
      </w:r>
    </w:p>
    <w:p w14:paraId="7287E4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 w:name="n467"/>
      <w:bookmarkEnd w:id="500"/>
      <w:r w:rsidRPr="008B264B">
        <w:rPr>
          <w:rFonts w:ascii="Times New Roman" w:eastAsia="Times New Roman" w:hAnsi="Times New Roman" w:cs="Times New Roman"/>
          <w:i/>
          <w:iCs/>
          <w:color w:val="000000"/>
          <w:sz w:val="24"/>
          <w:szCs w:val="24"/>
          <w:lang/>
        </w:rPr>
        <w:t>{Пункт 14.1 статті 14 доповнено підпунктом 14.1.113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368" w:anchor="n1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624914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 w:name="n468"/>
      <w:bookmarkEnd w:id="501"/>
      <w:r w:rsidRPr="008B264B">
        <w:rPr>
          <w:rFonts w:ascii="Times New Roman" w:eastAsia="Times New Roman" w:hAnsi="Times New Roman" w:cs="Times New Roman"/>
          <w:color w:val="000000"/>
          <w:sz w:val="24"/>
          <w:szCs w:val="24"/>
          <w:lang/>
        </w:rPr>
        <w:t>14.1.114. мінімальне акцизне податкове зобов'язання - мінімальна величина податкового зобов'язання зі сплати акцизного податку з сигарет, виражена у твердій сумі за 1000 штук сигарет одного найменування, реалізованих на митній території України чи ввезених на митну територію України;</w:t>
      </w:r>
    </w:p>
    <w:p w14:paraId="2893D7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 w:name="n8673"/>
      <w:bookmarkEnd w:id="502"/>
      <w:r w:rsidRPr="008B264B">
        <w:rPr>
          <w:rFonts w:ascii="Times New Roman" w:eastAsia="Times New Roman" w:hAnsi="Times New Roman" w:cs="Times New Roman"/>
          <w:i/>
          <w:iCs/>
          <w:color w:val="000000"/>
          <w:sz w:val="24"/>
          <w:szCs w:val="24"/>
          <w:lang/>
        </w:rPr>
        <w:t>{Підпункт 14.1.114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пункту 14.1 статті 14 виключено на підставі Закону </w:t>
      </w:r>
      <w:hyperlink r:id="rId369" w:anchor="n7"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AB65F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 w:name="n469"/>
      <w:bookmarkEnd w:id="503"/>
      <w:r w:rsidRPr="008B264B">
        <w:rPr>
          <w:rFonts w:ascii="Times New Roman" w:eastAsia="Times New Roman" w:hAnsi="Times New Roman" w:cs="Times New Roman"/>
          <w:color w:val="000000"/>
          <w:sz w:val="24"/>
          <w:szCs w:val="24"/>
          <w:lang/>
        </w:rPr>
        <w:t>14.1.115. надміру сплачені грошові зобов'язання - суми коштів, які на певну дату зараховані до відповідного бюджету понад нараховані суми грошових зобов'язань, граничний строк сплати яких настав на таку дату;</w:t>
      </w:r>
    </w:p>
    <w:p w14:paraId="5167D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 w:name="n470"/>
      <w:bookmarkEnd w:id="504"/>
      <w:r w:rsidRPr="008B264B">
        <w:rPr>
          <w:rFonts w:ascii="Times New Roman" w:eastAsia="Times New Roman" w:hAnsi="Times New Roman" w:cs="Times New Roman"/>
          <w:color w:val="000000"/>
          <w:sz w:val="24"/>
          <w:szCs w:val="24"/>
          <w:lang/>
        </w:rPr>
        <w:t>14.1.116. недержавне пенсійне забезпечення - пенсійне забезпечення, яке здійснюється недержавними пенсійними фондами, страховими організаціями та банками відповідно до</w:t>
      </w:r>
      <w:hyperlink r:id="rId370" w:tgtFrame="_blank" w:history="1">
        <w:r w:rsidRPr="008B264B">
          <w:rPr>
            <w:rFonts w:ascii="Times New Roman" w:eastAsia="Times New Roman" w:hAnsi="Times New Roman" w:cs="Times New Roman"/>
            <w:color w:val="0000FF"/>
            <w:sz w:val="24"/>
            <w:szCs w:val="24"/>
            <w:u w:val="single"/>
            <w:lang/>
          </w:rPr>
          <w:t> Закону України</w:t>
        </w:r>
      </w:hyperlink>
      <w:r w:rsidRPr="008B264B">
        <w:rPr>
          <w:rFonts w:ascii="Times New Roman" w:eastAsia="Times New Roman" w:hAnsi="Times New Roman" w:cs="Times New Roman"/>
          <w:color w:val="000000"/>
          <w:sz w:val="24"/>
          <w:szCs w:val="24"/>
          <w:lang/>
        </w:rPr>
        <w:t> "Про недержавне пенсійне забезпечення" та/або страховими організаціями за договорами страхування довічної пенсії відповідно до </w:t>
      </w:r>
      <w:hyperlink r:id="rId37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загальнообов’язкове державне пенсійне страхування" та/або страховиками за договорами страхування додаткової пенсії відповідно до </w:t>
      </w:r>
      <w:hyperlink r:id="rId372" w:anchor="n10449" w:history="1">
        <w:r w:rsidRPr="008B264B">
          <w:rPr>
            <w:rFonts w:ascii="Times New Roman" w:eastAsia="Times New Roman" w:hAnsi="Times New Roman" w:cs="Times New Roman"/>
            <w:color w:val="0000FF"/>
            <w:sz w:val="24"/>
            <w:szCs w:val="24"/>
            <w:u w:val="single"/>
            <w:lang/>
          </w:rPr>
          <w:t>підпункту 14.1.52</w:t>
        </w:r>
      </w:hyperlink>
      <w:hyperlink r:id="rId373" w:anchor="n10449"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пункту 14.1 статті 14 цього Кодексу;</w:t>
      </w:r>
    </w:p>
    <w:p w14:paraId="173BE8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 w:name="n10457"/>
      <w:bookmarkEnd w:id="505"/>
      <w:r w:rsidRPr="008B264B">
        <w:rPr>
          <w:rFonts w:ascii="Times New Roman" w:eastAsia="Times New Roman" w:hAnsi="Times New Roman" w:cs="Times New Roman"/>
          <w:i/>
          <w:iCs/>
          <w:color w:val="000000"/>
          <w:sz w:val="24"/>
          <w:szCs w:val="24"/>
          <w:lang/>
        </w:rPr>
        <w:t>{Підпункт 14.1.116 пункту 14.1 статті 14 в редакції Закону </w:t>
      </w:r>
      <w:hyperlink r:id="rId374" w:anchor="n7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045D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 w:name="n471"/>
      <w:bookmarkEnd w:id="506"/>
      <w:r w:rsidRPr="008B264B">
        <w:rPr>
          <w:rFonts w:ascii="Times New Roman" w:eastAsia="Times New Roman" w:hAnsi="Times New Roman" w:cs="Times New Roman"/>
          <w:i/>
          <w:iCs/>
          <w:color w:val="000000"/>
          <w:sz w:val="24"/>
          <w:szCs w:val="24"/>
          <w:lang/>
        </w:rPr>
        <w:t>{Підпункт 14.1.117 пункту 14.1 статті 14 виключено на підставі Закону </w:t>
      </w:r>
      <w:hyperlink r:id="rId375" w:anchor="n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2E926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 w:name="n474"/>
      <w:bookmarkEnd w:id="507"/>
      <w:r w:rsidRPr="008B264B">
        <w:rPr>
          <w:rFonts w:ascii="Times New Roman" w:eastAsia="Times New Roman" w:hAnsi="Times New Roman" w:cs="Times New Roman"/>
          <w:color w:val="000000"/>
          <w:sz w:val="24"/>
          <w:szCs w:val="24"/>
          <w:lang/>
        </w:rPr>
        <w:t>14.1.118. незначні запаси корисних копалин - запаси корисних копалин, що визначаються за </w:t>
      </w:r>
      <w:hyperlink r:id="rId376" w:tgtFrame="_blank" w:history="1">
        <w:r w:rsidRPr="008B264B">
          <w:rPr>
            <w:rFonts w:ascii="Times New Roman" w:eastAsia="Times New Roman" w:hAnsi="Times New Roman" w:cs="Times New Roman"/>
            <w:color w:val="0000FF"/>
            <w:sz w:val="24"/>
            <w:szCs w:val="24"/>
            <w:u w:val="single"/>
            <w:lang/>
          </w:rPr>
          <w:t>критеріями</w:t>
        </w:r>
      </w:hyperlink>
      <w:r w:rsidRPr="008B264B">
        <w:rPr>
          <w:rFonts w:ascii="Times New Roman" w:eastAsia="Times New Roman" w:hAnsi="Times New Roman" w:cs="Times New Roman"/>
          <w:color w:val="000000"/>
          <w:sz w:val="24"/>
          <w:szCs w:val="24"/>
          <w:lang/>
        </w:rPr>
        <w:t>, які встановлюються Кабінетом Міністрів України;</w:t>
      </w:r>
    </w:p>
    <w:p w14:paraId="056B40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 w:name="n475"/>
      <w:bookmarkEnd w:id="508"/>
      <w:r w:rsidRPr="008B264B">
        <w:rPr>
          <w:rFonts w:ascii="Times New Roman" w:eastAsia="Times New Roman" w:hAnsi="Times New Roman" w:cs="Times New Roman"/>
          <w:color w:val="000000"/>
          <w:sz w:val="24"/>
          <w:szCs w:val="24"/>
          <w:lang/>
        </w:rPr>
        <w:t>14.1.119. нелісові землі - земельні ділянки, зайняті чагарниками, комунікаціями, сільськогосподарськими угіддями, водами і болотами, малопродуктивними землями тощо;</w:t>
      </w:r>
    </w:p>
    <w:p w14:paraId="7E861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 w:name="n476"/>
      <w:bookmarkEnd w:id="509"/>
      <w:r w:rsidRPr="008B264B">
        <w:rPr>
          <w:rFonts w:ascii="Times New Roman" w:eastAsia="Times New Roman" w:hAnsi="Times New Roman" w:cs="Times New Roman"/>
          <w:i/>
          <w:iCs/>
          <w:color w:val="000000"/>
          <w:sz w:val="24"/>
          <w:szCs w:val="24"/>
          <w:lang/>
        </w:rPr>
        <w:t>{Підпункт 14.1.120 пункту 14.1 статті 14 виключено на підставі Закону </w:t>
      </w:r>
      <w:hyperlink r:id="rId377" w:anchor="n5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7B1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 w:name="n477"/>
      <w:bookmarkEnd w:id="510"/>
      <w:r w:rsidRPr="008B264B">
        <w:rPr>
          <w:rFonts w:ascii="Times New Roman" w:eastAsia="Times New Roman" w:hAnsi="Times New Roman" w:cs="Times New Roman"/>
          <w:color w:val="000000"/>
          <w:sz w:val="24"/>
          <w:szCs w:val="24"/>
          <w:lang/>
        </w:rPr>
        <w:t>14.1.121. неприбуткові підприємства, установи та організації - неприбуткові підприємства, установи та організації, які не є платниками податку на прибуток підприємств відповідно до </w:t>
      </w:r>
      <w:hyperlink r:id="rId378" w:anchor="n12538" w:history="1">
        <w:r w:rsidRPr="008B264B">
          <w:rPr>
            <w:rFonts w:ascii="Times New Roman" w:eastAsia="Times New Roman" w:hAnsi="Times New Roman" w:cs="Times New Roman"/>
            <w:color w:val="0000FF"/>
            <w:sz w:val="24"/>
            <w:szCs w:val="24"/>
            <w:u w:val="single"/>
            <w:lang/>
          </w:rPr>
          <w:t>пункту 133.4</w:t>
        </w:r>
      </w:hyperlink>
      <w:r w:rsidRPr="008B264B">
        <w:rPr>
          <w:rFonts w:ascii="Times New Roman" w:eastAsia="Times New Roman" w:hAnsi="Times New Roman" w:cs="Times New Roman"/>
          <w:color w:val="000000"/>
          <w:sz w:val="24"/>
          <w:szCs w:val="24"/>
          <w:lang/>
        </w:rPr>
        <w:t> статті 133 цього Кодексу;</w:t>
      </w:r>
    </w:p>
    <w:p w14:paraId="0185C8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 w:name="n12525"/>
      <w:bookmarkEnd w:id="511"/>
      <w:r w:rsidRPr="008B264B">
        <w:rPr>
          <w:rFonts w:ascii="Times New Roman" w:eastAsia="Times New Roman" w:hAnsi="Times New Roman" w:cs="Times New Roman"/>
          <w:i/>
          <w:iCs/>
          <w:color w:val="000000"/>
          <w:sz w:val="24"/>
          <w:szCs w:val="24"/>
          <w:lang/>
        </w:rPr>
        <w:t>{Підпункт 14.1.121 пункту 14.1 статті 14 в редакції Закону </w:t>
      </w:r>
      <w:hyperlink r:id="rId379" w:anchor="n6"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046060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 w:name="n478"/>
      <w:bookmarkEnd w:id="512"/>
      <w:r w:rsidRPr="008B264B">
        <w:rPr>
          <w:rFonts w:ascii="Times New Roman" w:eastAsia="Times New Roman" w:hAnsi="Times New Roman" w:cs="Times New Roman"/>
          <w:color w:val="000000"/>
          <w:sz w:val="24"/>
          <w:szCs w:val="24"/>
          <w:lang/>
        </w:rPr>
        <w:t>14.1.122. нерезиденти - це:</w:t>
      </w:r>
    </w:p>
    <w:p w14:paraId="00711D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 w:name="n479"/>
      <w:bookmarkEnd w:id="513"/>
      <w:r w:rsidRPr="008B264B">
        <w:rPr>
          <w:rFonts w:ascii="Times New Roman" w:eastAsia="Times New Roman" w:hAnsi="Times New Roman" w:cs="Times New Roman"/>
          <w:color w:val="000000"/>
          <w:sz w:val="24"/>
          <w:szCs w:val="24"/>
          <w:lang/>
        </w:rPr>
        <w:lastRenderedPageBreak/>
        <w:t>а) іноземні компанії, організації, утворені відповідно до законодавства інших держав, їх зареєстровані (акредитовані або легалізовані) відповідно до законодавства України філії, представництва та інші відокремлені підрозділи з місцезнаходженням на території України;</w:t>
      </w:r>
    </w:p>
    <w:p w14:paraId="0E7789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 w:name="n480"/>
      <w:bookmarkEnd w:id="514"/>
      <w:r w:rsidRPr="008B264B">
        <w:rPr>
          <w:rFonts w:ascii="Times New Roman" w:eastAsia="Times New Roman" w:hAnsi="Times New Roman" w:cs="Times New Roman"/>
          <w:color w:val="000000"/>
          <w:sz w:val="24"/>
          <w:szCs w:val="24"/>
          <w:lang/>
        </w:rPr>
        <w:t>б) дипломатичні представництва, консульські установи та інші офіційні представництва інших держав і міжнародних організацій в Україні;</w:t>
      </w:r>
    </w:p>
    <w:p w14:paraId="1AE9E1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 w:name="n481"/>
      <w:bookmarkEnd w:id="515"/>
      <w:r w:rsidRPr="008B264B">
        <w:rPr>
          <w:rFonts w:ascii="Times New Roman" w:eastAsia="Times New Roman" w:hAnsi="Times New Roman" w:cs="Times New Roman"/>
          <w:color w:val="000000"/>
          <w:sz w:val="24"/>
          <w:szCs w:val="24"/>
          <w:lang/>
        </w:rPr>
        <w:t>в) фізичні особи, які не є резидентами України.</w:t>
      </w:r>
    </w:p>
    <w:p w14:paraId="197B22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 w:name="n15838"/>
      <w:bookmarkEnd w:id="516"/>
      <w:r w:rsidRPr="008B264B">
        <w:rPr>
          <w:rFonts w:ascii="Times New Roman" w:eastAsia="Times New Roman" w:hAnsi="Times New Roman" w:cs="Times New Roman"/>
          <w:color w:val="000000"/>
          <w:sz w:val="24"/>
          <w:szCs w:val="24"/>
          <w:lang/>
        </w:rPr>
        <w:t>Якщо відповідно до вимог укладеного Україною міжнародного договору, що містить положення про обмін інформацією для податкових цілей, згода на обов’язковість якого надана Верховною Радою України, або укладеного на його підставі міжвідомчого договору та цього Кодексу фінансовий агент зобов’язаний перевіряти та встановлювати, резидентом якої держави є власник або контролер власника фінансового рахунка, положення цього підпункту застосовуються в частині, що не суперечить правилам міжнародного договору;</w:t>
      </w:r>
    </w:p>
    <w:p w14:paraId="23D72F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 w:name="n15837"/>
      <w:bookmarkEnd w:id="517"/>
      <w:r w:rsidRPr="008B264B">
        <w:rPr>
          <w:rFonts w:ascii="Times New Roman" w:eastAsia="Times New Roman" w:hAnsi="Times New Roman" w:cs="Times New Roman"/>
          <w:i/>
          <w:iCs/>
          <w:color w:val="000000"/>
          <w:sz w:val="24"/>
          <w:szCs w:val="24"/>
          <w:lang/>
        </w:rPr>
        <w:t>{Підпункт 14.1.122 пункту 14.1 статті 14 доповнено абзацом п'ятим згідно із Законом </w:t>
      </w:r>
      <w:hyperlink r:id="rId380" w:anchor="n8"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11563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 w:name="n13520"/>
      <w:bookmarkEnd w:id="518"/>
      <w:r w:rsidRPr="008B264B">
        <w:rPr>
          <w:rFonts w:ascii="Times New Roman" w:eastAsia="Times New Roman" w:hAnsi="Times New Roman" w:cs="Times New Roman"/>
          <w:color w:val="000000"/>
          <w:sz w:val="24"/>
          <w:szCs w:val="24"/>
          <w:lang/>
        </w:rPr>
        <w:t>14.1.122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нерезиденти, що мають офшорний статус, - нерезиденти, розташовані на території офшорних зон, крім нерезидентів, які надали платнику податку виписку з правоустановчих документів, легалізовану у встановленому законодавством порядку, що свідчить про звичайний (неофшорний) статус такого нерезидента;</w:t>
      </w:r>
    </w:p>
    <w:p w14:paraId="33FB07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 w:name="n13519"/>
      <w:bookmarkEnd w:id="519"/>
      <w:r w:rsidRPr="008B264B">
        <w:rPr>
          <w:rFonts w:ascii="Times New Roman" w:eastAsia="Times New Roman" w:hAnsi="Times New Roman" w:cs="Times New Roman"/>
          <w:i/>
          <w:iCs/>
          <w:color w:val="000000"/>
          <w:sz w:val="24"/>
          <w:szCs w:val="24"/>
          <w:lang/>
        </w:rPr>
        <w:t>{Пункт 14.1 статті 14 доповнено підпунктом 14.1.122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81" w:anchor="n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640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 w:name="n482"/>
      <w:bookmarkEnd w:id="520"/>
      <w:r w:rsidRPr="008B264B">
        <w:rPr>
          <w:rFonts w:ascii="Times New Roman" w:eastAsia="Times New Roman" w:hAnsi="Times New Roman" w:cs="Times New Roman"/>
          <w:color w:val="000000"/>
          <w:sz w:val="24"/>
          <w:szCs w:val="24"/>
          <w:lang/>
        </w:rPr>
        <w:t>14.1.123. несільськогосподарські угіддя - господарські шляхи і прогони, полезахисні лісові смуги та інші захисні насадження, крім віднесених до земель лісогосподарського призначення, землі під господарськими будівлями і дворами, землі під інфраструктурою оптових ринків сільськогосподарської продукції, землі тимчасової консервації тощо;</w:t>
      </w:r>
    </w:p>
    <w:p w14:paraId="57C123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 w:name="n483"/>
      <w:bookmarkEnd w:id="521"/>
      <w:r w:rsidRPr="008B264B">
        <w:rPr>
          <w:rFonts w:ascii="Times New Roman" w:eastAsia="Times New Roman" w:hAnsi="Times New Roman" w:cs="Times New Roman"/>
          <w:color w:val="000000"/>
          <w:sz w:val="24"/>
          <w:szCs w:val="24"/>
          <w:lang/>
        </w:rPr>
        <w:t>14.1.124. новий транспортний засіб - транспортний засіб, що не має актів державної реєстрації уповноважених органів, у тому числі іноземних, які дають право на його експлуатацію;</w:t>
      </w:r>
    </w:p>
    <w:p w14:paraId="277DFD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 w:name="n14739"/>
      <w:bookmarkEnd w:id="522"/>
      <w:r w:rsidRPr="008B264B">
        <w:rPr>
          <w:rFonts w:ascii="Times New Roman" w:eastAsia="Times New Roman" w:hAnsi="Times New Roman" w:cs="Times New Roman"/>
          <w:color w:val="000000"/>
          <w:sz w:val="24"/>
          <w:szCs w:val="24"/>
          <w:lang/>
        </w:rPr>
        <w:t>14.1.124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нова свердловина (в цілях реалізації положень </w:t>
      </w:r>
      <w:hyperlink r:id="rId382" w:anchor="n6117" w:history="1">
        <w:r w:rsidRPr="008B264B">
          <w:rPr>
            <w:rFonts w:ascii="Times New Roman" w:eastAsia="Times New Roman" w:hAnsi="Times New Roman" w:cs="Times New Roman"/>
            <w:color w:val="0000FF"/>
            <w:sz w:val="24"/>
            <w:szCs w:val="24"/>
            <w:u w:val="single"/>
            <w:lang/>
          </w:rPr>
          <w:t>розділу IX</w:t>
        </w:r>
      </w:hyperlink>
      <w:r w:rsidRPr="008B264B">
        <w:rPr>
          <w:rFonts w:ascii="Times New Roman" w:eastAsia="Times New Roman" w:hAnsi="Times New Roman" w:cs="Times New Roman"/>
          <w:color w:val="000000"/>
          <w:sz w:val="24"/>
          <w:szCs w:val="24"/>
          <w:lang/>
        </w:rPr>
        <w:t> цього Кодексу) - свердловина, буріння якої розпочато від денної поверхні суходолу (рівня нуль метрів згідно з проектом свердловини) після 1 січня 2018 року, що підтверджується актом про введення в експлуатацію бурової установки;</w:t>
      </w:r>
    </w:p>
    <w:p w14:paraId="27737F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 w:name="n14738"/>
      <w:bookmarkEnd w:id="523"/>
      <w:r w:rsidRPr="008B264B">
        <w:rPr>
          <w:rFonts w:ascii="Times New Roman" w:eastAsia="Times New Roman" w:hAnsi="Times New Roman" w:cs="Times New Roman"/>
          <w:i/>
          <w:iCs/>
          <w:color w:val="000000"/>
          <w:sz w:val="24"/>
          <w:szCs w:val="24"/>
          <w:lang/>
        </w:rPr>
        <w:t>{Пункт 14.1 статті 14 доповнено підпунктом 14.1.124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83" w:anchor="n2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4" w:anchor="n6"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14E5B3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 w:name="n484"/>
      <w:bookmarkEnd w:id="524"/>
      <w:r w:rsidRPr="008B264B">
        <w:rPr>
          <w:rFonts w:ascii="Times New Roman" w:eastAsia="Times New Roman" w:hAnsi="Times New Roman" w:cs="Times New Roman"/>
          <w:color w:val="000000"/>
          <w:sz w:val="24"/>
          <w:szCs w:val="24"/>
          <w:lang/>
        </w:rPr>
        <w:t>14.1.125. нормативна грошова оцінка земельних ділянок для цілей </w:t>
      </w:r>
      <w:hyperlink r:id="rId385" w:anchor="n6340" w:history="1">
        <w:r w:rsidRPr="008B264B">
          <w:rPr>
            <w:rFonts w:ascii="Times New Roman" w:eastAsia="Times New Roman" w:hAnsi="Times New Roman" w:cs="Times New Roman"/>
            <w:color w:val="0000FF"/>
            <w:sz w:val="24"/>
            <w:szCs w:val="24"/>
            <w:u w:val="single"/>
            <w:lang/>
          </w:rPr>
          <w:t>розділу XII</w:t>
        </w:r>
      </w:hyperlink>
      <w:r w:rsidRPr="008B264B">
        <w:rPr>
          <w:rFonts w:ascii="Times New Roman" w:eastAsia="Times New Roman" w:hAnsi="Times New Roman" w:cs="Times New Roman"/>
          <w:color w:val="000000"/>
          <w:sz w:val="24"/>
          <w:szCs w:val="24"/>
          <w:lang/>
        </w:rPr>
        <w:t>, </w:t>
      </w:r>
      <w:hyperlink r:id="rId386" w:anchor="n6944" w:history="1">
        <w:r w:rsidRPr="008B264B">
          <w:rPr>
            <w:rFonts w:ascii="Times New Roman" w:eastAsia="Times New Roman" w:hAnsi="Times New Roman" w:cs="Times New Roman"/>
            <w:color w:val="0000FF"/>
            <w:sz w:val="24"/>
            <w:szCs w:val="24"/>
            <w:u w:val="single"/>
            <w:lang/>
          </w:rPr>
          <w:t>глави 1 розділу XIV</w:t>
        </w:r>
      </w:hyperlink>
      <w:r w:rsidRPr="008B264B">
        <w:rPr>
          <w:rFonts w:ascii="Times New Roman" w:eastAsia="Times New Roman" w:hAnsi="Times New Roman" w:cs="Times New Roman"/>
          <w:color w:val="000000"/>
          <w:sz w:val="24"/>
          <w:szCs w:val="24"/>
          <w:lang/>
        </w:rPr>
        <w:t> цього Кодексу - капіталізований рентний дохід із земельної ділянки, визначений відповідно до законодавства центральним органом виконавчої влади, що реалізує державну політику у сфері земельних відносин;</w:t>
      </w:r>
    </w:p>
    <w:p w14:paraId="4B1DB2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 w:name="n10458"/>
      <w:bookmarkEnd w:id="525"/>
      <w:r w:rsidRPr="008B264B">
        <w:rPr>
          <w:rFonts w:ascii="Times New Roman" w:eastAsia="Times New Roman" w:hAnsi="Times New Roman" w:cs="Times New Roman"/>
          <w:i/>
          <w:iCs/>
          <w:color w:val="000000"/>
          <w:sz w:val="24"/>
          <w:szCs w:val="24"/>
          <w:lang/>
        </w:rPr>
        <w:t>{Підпункт 14.1.125 пункту 14.1 статті 14 із змінами, внесеними згідно із Законом </w:t>
      </w:r>
      <w:hyperlink r:id="rId387" w:anchor="n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D464A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 w:name="n15225"/>
      <w:bookmarkEnd w:id="526"/>
      <w:r w:rsidRPr="008B264B">
        <w:rPr>
          <w:rFonts w:ascii="Times New Roman" w:eastAsia="Times New Roman" w:hAnsi="Times New Roman" w:cs="Times New Roman"/>
          <w:color w:val="000000"/>
          <w:sz w:val="24"/>
          <w:szCs w:val="24"/>
          <w:lang/>
        </w:rPr>
        <w:t>14.1.125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норматив витрат на виплати страховим посередникам - гранично допустима величина будь-яких виплат (винагород) страховим посередникам та іншим особам за надані послуги щодо укладання (пролонгації) договорів страхування, встановлена для цілей цього Кодексу за методикою, визначеною уповноваженим органом, що здійснює державне регулювання у сфері ринків фінансових послуг, за погодженням з центральним органом виконавчої влади, що забезпечує формування та реалізує державну фінансову політику;</w:t>
      </w:r>
    </w:p>
    <w:p w14:paraId="1C9EBC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 w:name="n15224"/>
      <w:bookmarkEnd w:id="527"/>
      <w:r w:rsidRPr="008B264B">
        <w:rPr>
          <w:rFonts w:ascii="Times New Roman" w:eastAsia="Times New Roman" w:hAnsi="Times New Roman" w:cs="Times New Roman"/>
          <w:i/>
          <w:iCs/>
          <w:color w:val="000000"/>
          <w:sz w:val="24"/>
          <w:szCs w:val="24"/>
          <w:lang/>
        </w:rPr>
        <w:t>{Пункт 14.1 статті 14 доповнено підпунктом 14.1.125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88" w:anchor="n4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0B647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 w:name="n485"/>
      <w:bookmarkEnd w:id="528"/>
      <w:r w:rsidRPr="008B264B">
        <w:rPr>
          <w:rFonts w:ascii="Times New Roman" w:eastAsia="Times New Roman" w:hAnsi="Times New Roman" w:cs="Times New Roman"/>
          <w:color w:val="000000"/>
          <w:sz w:val="24"/>
          <w:szCs w:val="24"/>
          <w:lang/>
        </w:rPr>
        <w:lastRenderedPageBreak/>
        <w:t>14.1.126. обсяг видобутої вуглеводневої сировини:</w:t>
      </w:r>
    </w:p>
    <w:p w14:paraId="3BDBEE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 w:name="n486"/>
      <w:bookmarkEnd w:id="529"/>
      <w:r w:rsidRPr="008B264B">
        <w:rPr>
          <w:rFonts w:ascii="Times New Roman" w:eastAsia="Times New Roman" w:hAnsi="Times New Roman" w:cs="Times New Roman"/>
          <w:color w:val="000000"/>
          <w:sz w:val="24"/>
          <w:szCs w:val="24"/>
          <w:lang/>
        </w:rPr>
        <w:t>а) для цілей </w:t>
      </w:r>
      <w:hyperlink r:id="rId389" w:anchor="n6117" w:history="1">
        <w:r w:rsidRPr="008B264B">
          <w:rPr>
            <w:rFonts w:ascii="Times New Roman" w:eastAsia="Times New Roman" w:hAnsi="Times New Roman" w:cs="Times New Roman"/>
            <w:color w:val="0000FF"/>
            <w:sz w:val="24"/>
            <w:szCs w:val="24"/>
            <w:u w:val="single"/>
            <w:lang/>
          </w:rPr>
          <w:t>розділу </w:t>
        </w:r>
      </w:hyperlink>
      <w:hyperlink r:id="rId390" w:anchor="n6117" w:history="1">
        <w:r w:rsidRPr="008B264B">
          <w:rPr>
            <w:rFonts w:ascii="Times New Roman" w:eastAsia="Times New Roman" w:hAnsi="Times New Roman" w:cs="Times New Roman"/>
            <w:color w:val="0000FF"/>
            <w:sz w:val="24"/>
            <w:szCs w:val="24"/>
            <w:u w:val="single"/>
            <w:lang/>
          </w:rPr>
          <w:t>IX</w:t>
        </w:r>
      </w:hyperlink>
      <w:r w:rsidRPr="008B264B">
        <w:rPr>
          <w:rFonts w:ascii="Times New Roman" w:eastAsia="Times New Roman" w:hAnsi="Times New Roman" w:cs="Times New Roman"/>
          <w:color w:val="000000"/>
          <w:sz w:val="24"/>
          <w:szCs w:val="24"/>
          <w:lang/>
        </w:rPr>
        <w:t> - обсяг нафти, природного газу (у тому числі супутнього (нафтового) газу), газового конденсату у значенні, наведеному в підпункті 14.1.128 цієї статті, що у порядку визначеному в правилах видобування вуглеводневої сировини, взятий на облік безпосередньо після пунктів їх підготовки із застосуванням засобів приладового обліку;</w:t>
      </w:r>
    </w:p>
    <w:p w14:paraId="7F512E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 w:name="n10459"/>
      <w:bookmarkEnd w:id="530"/>
      <w:r w:rsidRPr="008B264B">
        <w:rPr>
          <w:rFonts w:ascii="Times New Roman" w:eastAsia="Times New Roman" w:hAnsi="Times New Roman" w:cs="Times New Roman"/>
          <w:i/>
          <w:iCs/>
          <w:color w:val="000000"/>
          <w:sz w:val="24"/>
          <w:szCs w:val="24"/>
          <w:lang/>
        </w:rPr>
        <w:t>{Підпункт "а" підпункту 14.1.126 пункту 14.1 статті 14 із змінами, внесеними згідно із Законом </w:t>
      </w:r>
      <w:hyperlink r:id="rId391" w:anchor="n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8119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 w:name="n487"/>
      <w:bookmarkEnd w:id="531"/>
      <w:r w:rsidRPr="008B264B">
        <w:rPr>
          <w:rFonts w:ascii="Times New Roman" w:eastAsia="Times New Roman" w:hAnsi="Times New Roman" w:cs="Times New Roman"/>
          <w:color w:val="000000"/>
          <w:sz w:val="24"/>
          <w:szCs w:val="24"/>
          <w:lang/>
        </w:rPr>
        <w:t>б) для цілей </w:t>
      </w:r>
      <w:hyperlink r:id="rId392" w:anchor="n6749" w:history="1">
        <w:r w:rsidRPr="008B264B">
          <w:rPr>
            <w:rFonts w:ascii="Times New Roman" w:eastAsia="Times New Roman" w:hAnsi="Times New Roman" w:cs="Times New Roman"/>
            <w:color w:val="0000FF"/>
            <w:sz w:val="24"/>
            <w:szCs w:val="24"/>
            <w:u w:val="single"/>
            <w:lang/>
          </w:rPr>
          <w:t>розділу XVIII</w:t>
        </w:r>
      </w:hyperlink>
      <w:r w:rsidRPr="008B264B">
        <w:rPr>
          <w:rFonts w:ascii="Times New Roman" w:eastAsia="Times New Roman" w:hAnsi="Times New Roman" w:cs="Times New Roman"/>
          <w:color w:val="000000"/>
          <w:sz w:val="24"/>
          <w:szCs w:val="24"/>
          <w:lang/>
        </w:rPr>
        <w:t> - вироблена продукція у значенні, наведеному в </w:t>
      </w:r>
      <w:hyperlink r:id="rId393" w:tgtFrame="_blank" w:history="1">
        <w:r w:rsidRPr="008B264B">
          <w:rPr>
            <w:rFonts w:ascii="Times New Roman" w:eastAsia="Times New Roman" w:hAnsi="Times New Roman" w:cs="Times New Roman"/>
            <w:color w:val="0000FF"/>
            <w:sz w:val="24"/>
            <w:szCs w:val="24"/>
            <w:u w:val="single"/>
            <w:lang/>
          </w:rPr>
          <w:t>Законі України "Про угоди про розподіл продукції"</w:t>
        </w:r>
      </w:hyperlink>
      <w:r w:rsidRPr="008B264B">
        <w:rPr>
          <w:rFonts w:ascii="Times New Roman" w:eastAsia="Times New Roman" w:hAnsi="Times New Roman" w:cs="Times New Roman"/>
          <w:color w:val="000000"/>
          <w:sz w:val="24"/>
          <w:szCs w:val="24"/>
          <w:lang/>
        </w:rPr>
        <w:t>. У випадках, коли вироблена продукція обліковується та використовується інвестором як паливо або сировина, обсяг видобутої вуглеводневої сировини визначається в порядку, передбаченому підпунктом "а" цього пункту;</w:t>
      </w:r>
    </w:p>
    <w:p w14:paraId="3BB1A0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 w:name="n488"/>
      <w:bookmarkEnd w:id="532"/>
      <w:r w:rsidRPr="008B264B">
        <w:rPr>
          <w:rFonts w:ascii="Times New Roman" w:eastAsia="Times New Roman" w:hAnsi="Times New Roman" w:cs="Times New Roman"/>
          <w:i/>
          <w:iCs/>
          <w:color w:val="000000"/>
          <w:sz w:val="24"/>
          <w:szCs w:val="24"/>
          <w:lang/>
        </w:rPr>
        <w:t>{Підпункт 14.1.126 пункту 14.1 статті 14 в редакції Законів </w:t>
      </w:r>
      <w:hyperlink r:id="rId394" w:anchor="n1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w:t>
      </w:r>
      <w:hyperlink r:id="rId395" w:anchor="n8"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286D3E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 w:name="n489"/>
      <w:bookmarkEnd w:id="533"/>
      <w:r w:rsidRPr="008B264B">
        <w:rPr>
          <w:rFonts w:ascii="Times New Roman" w:eastAsia="Times New Roman" w:hAnsi="Times New Roman" w:cs="Times New Roman"/>
          <w:color w:val="000000"/>
          <w:sz w:val="24"/>
          <w:szCs w:val="24"/>
          <w:lang/>
        </w:rPr>
        <w:t>14.1.127. обсяг вантажу - обсяг за договором між перевізником та вантажовідправником, що підлягає транспортуванню (переміщенню) засобами трубопровідного транспорту згідно з істотними умовами (обсяги, строки та відповідні маршрути) відповідного договору з надання транспортних послуг;</w:t>
      </w:r>
    </w:p>
    <w:p w14:paraId="01F142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 w:name="n490"/>
      <w:bookmarkEnd w:id="534"/>
      <w:r w:rsidRPr="008B264B">
        <w:rPr>
          <w:rFonts w:ascii="Times New Roman" w:eastAsia="Times New Roman" w:hAnsi="Times New Roman" w:cs="Times New Roman"/>
          <w:color w:val="000000"/>
          <w:sz w:val="24"/>
          <w:szCs w:val="24"/>
          <w:lang/>
        </w:rPr>
        <w:t>14.1.128. обсяг видобутих корисних копалин (мінеральної сировини) - обсяг товарної продукції гірничого підприємства, що відповідно до </w:t>
      </w:r>
      <w:hyperlink r:id="rId396" w:tgtFrame="_blank" w:history="1">
        <w:r w:rsidRPr="008B264B">
          <w:rPr>
            <w:rFonts w:ascii="Times New Roman" w:eastAsia="Times New Roman" w:hAnsi="Times New Roman" w:cs="Times New Roman"/>
            <w:color w:val="0000FF"/>
            <w:sz w:val="24"/>
            <w:szCs w:val="24"/>
            <w:u w:val="single"/>
            <w:lang/>
          </w:rPr>
          <w:t>Положення (стандарту) бухгалтерського обліку 9 "Запаси"</w:t>
        </w:r>
      </w:hyperlink>
      <w:r w:rsidRPr="008B264B">
        <w:rPr>
          <w:rFonts w:ascii="Times New Roman" w:eastAsia="Times New Roman" w:hAnsi="Times New Roman" w:cs="Times New Roman"/>
          <w:color w:val="000000"/>
          <w:sz w:val="24"/>
          <w:szCs w:val="24"/>
          <w:lang/>
        </w:rPr>
        <w:t> обліковується гірничим підприємством як запаси - активи, вартість яких може бути достовірно визначена, для яких існує імовірність отримання їх власником - суб'єктом господарювання економічної вигоди, пов'язаної з їх використанням, та які складаються з: сировини, призначеної для обслуговування виробництва, у тому числі шляхом виконання господарських договорів про послуги з давальницькою сировиною, та адміністративних потреб; готової продукції, що виготовлена на гірничому підприємстві, у тому числі шляхом виконання господарських договорів про послуги з давальницькою сировиною, призначена для продажу і відповідає технічним та якісним характеристикам, передбаченим договором або іншим нормативно-правовим актом;</w:t>
      </w:r>
    </w:p>
    <w:p w14:paraId="1F9985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 w:name="n13490"/>
      <w:bookmarkEnd w:id="535"/>
      <w:r w:rsidRPr="008B264B">
        <w:rPr>
          <w:rFonts w:ascii="Times New Roman" w:eastAsia="Times New Roman" w:hAnsi="Times New Roman" w:cs="Times New Roman"/>
          <w:i/>
          <w:iCs/>
          <w:color w:val="000000"/>
          <w:sz w:val="24"/>
          <w:szCs w:val="24"/>
          <w:lang/>
        </w:rPr>
        <w:t>{Підпункт 14.1.128 пункту 14.1 статті 14 із змінами, внесеними згідно із Законом </w:t>
      </w:r>
      <w:hyperlink r:id="rId397" w:anchor="n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9704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 w:name="n491"/>
      <w:bookmarkEnd w:id="536"/>
      <w:r w:rsidRPr="008B264B">
        <w:rPr>
          <w:rFonts w:ascii="Times New Roman" w:eastAsia="Times New Roman" w:hAnsi="Times New Roman" w:cs="Times New Roman"/>
          <w:color w:val="000000"/>
          <w:sz w:val="24"/>
          <w:szCs w:val="24"/>
          <w:lang/>
        </w:rPr>
        <w:t>14.1.129. об’єкти житлової нерухомості - будівлі, віднесені відповідно до законодавства до житлового фонду, дачні та садові будинки;</w:t>
      </w:r>
    </w:p>
    <w:p w14:paraId="3F98CF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 w:name="n10461"/>
      <w:bookmarkEnd w:id="537"/>
      <w:r w:rsidRPr="008B264B">
        <w:rPr>
          <w:rFonts w:ascii="Times New Roman" w:eastAsia="Times New Roman" w:hAnsi="Times New Roman" w:cs="Times New Roman"/>
          <w:color w:val="000000"/>
          <w:sz w:val="24"/>
          <w:szCs w:val="24"/>
          <w:lang/>
        </w:rPr>
        <w:t>14.1.129.1. Будівлі, віднесені до житлового фонду, поділяються на такі типи:</w:t>
      </w:r>
    </w:p>
    <w:p w14:paraId="6467E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 w:name="n10462"/>
      <w:bookmarkEnd w:id="538"/>
      <w:r w:rsidRPr="008B264B">
        <w:rPr>
          <w:rFonts w:ascii="Times New Roman" w:eastAsia="Times New Roman" w:hAnsi="Times New Roman" w:cs="Times New Roman"/>
          <w:color w:val="000000"/>
          <w:sz w:val="24"/>
          <w:szCs w:val="24"/>
          <w:lang/>
        </w:rPr>
        <w:t>а) житловий будинок - будівля капітального типу, споруджена з дотриманням вимог, встановлених законом, іншими нормативно-правовими актами, і призначена для постійного у ній проживання. Житлові будинки поділяються на житлові будинки садибного типу та житлові будинки квартирного типу різної поверховості. Житловий будинок садибного типу - житловий будинок, розташований на окремій земельній ділянці, який складається із житлових та допоміжних (нежитлових) приміщень;</w:t>
      </w:r>
    </w:p>
    <w:p w14:paraId="0268F0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 w:name="n10463"/>
      <w:bookmarkEnd w:id="539"/>
      <w:r w:rsidRPr="008B264B">
        <w:rPr>
          <w:rFonts w:ascii="Times New Roman" w:eastAsia="Times New Roman" w:hAnsi="Times New Roman" w:cs="Times New Roman"/>
          <w:color w:val="000000"/>
          <w:sz w:val="24"/>
          <w:szCs w:val="24"/>
          <w:lang/>
        </w:rPr>
        <w:t>б) прибудова до житлового будинку - частина будинку, розташована поза контуром його капітальних зовнішніх стін, і яка має з основною частиною будинку одну (або більше) спільну капітальну стіну;</w:t>
      </w:r>
    </w:p>
    <w:p w14:paraId="0ED316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 w:name="n10464"/>
      <w:bookmarkEnd w:id="540"/>
      <w:r w:rsidRPr="008B264B">
        <w:rPr>
          <w:rFonts w:ascii="Times New Roman" w:eastAsia="Times New Roman" w:hAnsi="Times New Roman" w:cs="Times New Roman"/>
          <w:color w:val="000000"/>
          <w:sz w:val="24"/>
          <w:szCs w:val="24"/>
          <w:lang/>
        </w:rPr>
        <w:t>в) квартира - ізольоване помешкання в житловому будинку, призначене та придатне для постійного у ньому проживання;</w:t>
      </w:r>
    </w:p>
    <w:p w14:paraId="530704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 w:name="n10465"/>
      <w:bookmarkEnd w:id="541"/>
      <w:r w:rsidRPr="008B264B">
        <w:rPr>
          <w:rFonts w:ascii="Times New Roman" w:eastAsia="Times New Roman" w:hAnsi="Times New Roman" w:cs="Times New Roman"/>
          <w:color w:val="000000"/>
          <w:sz w:val="24"/>
          <w:szCs w:val="24"/>
          <w:lang/>
        </w:rPr>
        <w:t>г) котедж - одно-, півтораповерховий будинок невеликої житлової площі для постійного чи тимчасового проживання з присадибною ділянкою;</w:t>
      </w:r>
    </w:p>
    <w:p w14:paraId="4F43D9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 w:name="n10466"/>
      <w:bookmarkEnd w:id="542"/>
      <w:r w:rsidRPr="008B264B">
        <w:rPr>
          <w:rFonts w:ascii="Times New Roman" w:eastAsia="Times New Roman" w:hAnsi="Times New Roman" w:cs="Times New Roman"/>
          <w:color w:val="000000"/>
          <w:sz w:val="24"/>
          <w:szCs w:val="24"/>
          <w:lang/>
        </w:rPr>
        <w:lastRenderedPageBreak/>
        <w:t>ґ) кімнати у багатосімейних (комунальних) квартирах - ізольовані помешкання в квартирі, в якій мешкають двоє чи більше квартиронаймачів;</w:t>
      </w:r>
    </w:p>
    <w:p w14:paraId="79053F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 w:name="n10467"/>
      <w:bookmarkEnd w:id="543"/>
      <w:r w:rsidRPr="008B264B">
        <w:rPr>
          <w:rFonts w:ascii="Times New Roman" w:eastAsia="Times New Roman" w:hAnsi="Times New Roman" w:cs="Times New Roman"/>
          <w:color w:val="000000"/>
          <w:sz w:val="24"/>
          <w:szCs w:val="24"/>
          <w:lang/>
        </w:rPr>
        <w:t>14.1.129.2. садовий будинок - будинок для літнього (сезонного) використання, який в питаннях нормування площі забудови, зовнішніх конструкцій та інженерного обладнання не відповідає нормативам, установленим для житлових будинків;</w:t>
      </w:r>
    </w:p>
    <w:p w14:paraId="5971D1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 w:name="n10468"/>
      <w:bookmarkEnd w:id="544"/>
      <w:r w:rsidRPr="008B264B">
        <w:rPr>
          <w:rFonts w:ascii="Times New Roman" w:eastAsia="Times New Roman" w:hAnsi="Times New Roman" w:cs="Times New Roman"/>
          <w:color w:val="000000"/>
          <w:sz w:val="24"/>
          <w:szCs w:val="24"/>
          <w:lang/>
        </w:rPr>
        <w:t>14.1.129.3. дачний будинок - житловий будинок для використання протягом року з метою позаміського відпочинку;</w:t>
      </w:r>
    </w:p>
    <w:p w14:paraId="7E7CC9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 w:name="n10460"/>
      <w:bookmarkEnd w:id="545"/>
      <w:r w:rsidRPr="008B264B">
        <w:rPr>
          <w:rFonts w:ascii="Times New Roman" w:eastAsia="Times New Roman" w:hAnsi="Times New Roman" w:cs="Times New Roman"/>
          <w:i/>
          <w:iCs/>
          <w:color w:val="000000"/>
          <w:sz w:val="24"/>
          <w:szCs w:val="24"/>
          <w:lang/>
        </w:rPr>
        <w:t>{Підпункт 14.1.129 пункту 14.1 статті 14 в редакції Закону </w:t>
      </w:r>
      <w:hyperlink r:id="rId398" w:anchor="n8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4461B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 w:name="n10470"/>
      <w:bookmarkEnd w:id="546"/>
      <w:r w:rsidRPr="008B264B">
        <w:rPr>
          <w:rFonts w:ascii="Times New Roman" w:eastAsia="Times New Roman" w:hAnsi="Times New Roman" w:cs="Times New Roman"/>
          <w:color w:val="000000"/>
          <w:sz w:val="24"/>
          <w:szCs w:val="24"/>
          <w:lang/>
        </w:rPr>
        <w:t>14.1.129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об’єкти нежитлової нерухомості - будівлі, приміщення, що не віднесені відповідно до законодавства до житлового фонду. У нежитловій нерухомості виділяють:</w:t>
      </w:r>
    </w:p>
    <w:p w14:paraId="60A83C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 w:name="n10471"/>
      <w:bookmarkEnd w:id="547"/>
      <w:r w:rsidRPr="008B264B">
        <w:rPr>
          <w:rFonts w:ascii="Times New Roman" w:eastAsia="Times New Roman" w:hAnsi="Times New Roman" w:cs="Times New Roman"/>
          <w:color w:val="000000"/>
          <w:sz w:val="24"/>
          <w:szCs w:val="24"/>
          <w:lang/>
        </w:rPr>
        <w:t>а) будівлі готельні - готелі, мотелі, кемпінги, пансіонати, ресторани та бари, туристичні бази, гірські притулки, табори для відпочинку, будинки відпочинку;</w:t>
      </w:r>
    </w:p>
    <w:p w14:paraId="312A1D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 w:name="n10472"/>
      <w:bookmarkEnd w:id="548"/>
      <w:r w:rsidRPr="008B264B">
        <w:rPr>
          <w:rFonts w:ascii="Times New Roman" w:eastAsia="Times New Roman" w:hAnsi="Times New Roman" w:cs="Times New Roman"/>
          <w:color w:val="000000"/>
          <w:sz w:val="24"/>
          <w:szCs w:val="24"/>
          <w:lang/>
        </w:rPr>
        <w:t>б) будівлі офісні - будівлі фінансового обслуговування, адміністративно-побутові будівлі, будівлі для конторських та адміністративних цілей;</w:t>
      </w:r>
    </w:p>
    <w:p w14:paraId="37BB19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 w:name="n10473"/>
      <w:bookmarkEnd w:id="549"/>
      <w:r w:rsidRPr="008B264B">
        <w:rPr>
          <w:rFonts w:ascii="Times New Roman" w:eastAsia="Times New Roman" w:hAnsi="Times New Roman" w:cs="Times New Roman"/>
          <w:color w:val="000000"/>
          <w:sz w:val="24"/>
          <w:szCs w:val="24"/>
          <w:lang/>
        </w:rPr>
        <w:t>в) будівлі торговельні - торгові центри, універмаги, магазини, криті ринки, павільйони та зали для ярмарків, станції технічного обслуговування автомобілів, їдальні, кафе, закусочні, бази та склади підприємств торгівлі й громадського харчування, будівлі підприємств побутового обслуговування;</w:t>
      </w:r>
    </w:p>
    <w:p w14:paraId="1FD05D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 w:name="n10474"/>
      <w:bookmarkEnd w:id="550"/>
      <w:r w:rsidRPr="008B264B">
        <w:rPr>
          <w:rFonts w:ascii="Times New Roman" w:eastAsia="Times New Roman" w:hAnsi="Times New Roman" w:cs="Times New Roman"/>
          <w:color w:val="000000"/>
          <w:sz w:val="24"/>
          <w:szCs w:val="24"/>
          <w:lang/>
        </w:rPr>
        <w:t>г) гаражі - гаражі (наземні й підземні) та криті автомобільні стоянки;</w:t>
      </w:r>
    </w:p>
    <w:p w14:paraId="1792E2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 w:name="n10475"/>
      <w:bookmarkEnd w:id="551"/>
      <w:r w:rsidRPr="008B264B">
        <w:rPr>
          <w:rFonts w:ascii="Times New Roman" w:eastAsia="Times New Roman" w:hAnsi="Times New Roman" w:cs="Times New Roman"/>
          <w:color w:val="000000"/>
          <w:sz w:val="24"/>
          <w:szCs w:val="24"/>
          <w:lang/>
        </w:rPr>
        <w:t>ґ) будівлі промислові та склади;</w:t>
      </w:r>
    </w:p>
    <w:p w14:paraId="79049A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 w:name="n10476"/>
      <w:bookmarkEnd w:id="552"/>
      <w:r w:rsidRPr="008B264B">
        <w:rPr>
          <w:rFonts w:ascii="Times New Roman" w:eastAsia="Times New Roman" w:hAnsi="Times New Roman" w:cs="Times New Roman"/>
          <w:color w:val="000000"/>
          <w:sz w:val="24"/>
          <w:szCs w:val="24"/>
          <w:lang/>
        </w:rPr>
        <w:t>д) будівлі для публічних виступів (казино, ігорні будинки);</w:t>
      </w:r>
    </w:p>
    <w:p w14:paraId="40B86C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 w:name="n10477"/>
      <w:bookmarkEnd w:id="553"/>
      <w:r w:rsidRPr="008B264B">
        <w:rPr>
          <w:rFonts w:ascii="Times New Roman" w:eastAsia="Times New Roman" w:hAnsi="Times New Roman" w:cs="Times New Roman"/>
          <w:color w:val="000000"/>
          <w:sz w:val="24"/>
          <w:szCs w:val="24"/>
          <w:lang/>
        </w:rPr>
        <w:t>е) господарські (присадибні) будівлі - допоміжні (нежитлові) приміщення, до яких належать сараї, хліви, гаражі, літні кухні, майстерні, вбиральні, погреби, навіси, котельні, бойлерні, трансформаторні підстанції тощо;</w:t>
      </w:r>
    </w:p>
    <w:p w14:paraId="7E298A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 w:name="n10478"/>
      <w:bookmarkEnd w:id="554"/>
      <w:r w:rsidRPr="008B264B">
        <w:rPr>
          <w:rFonts w:ascii="Times New Roman" w:eastAsia="Times New Roman" w:hAnsi="Times New Roman" w:cs="Times New Roman"/>
          <w:color w:val="000000"/>
          <w:sz w:val="24"/>
          <w:szCs w:val="24"/>
          <w:lang/>
        </w:rPr>
        <w:t>є) інші будівлі;</w:t>
      </w:r>
    </w:p>
    <w:p w14:paraId="1AB46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 w:name="n10469"/>
      <w:bookmarkEnd w:id="555"/>
      <w:r w:rsidRPr="008B264B">
        <w:rPr>
          <w:rFonts w:ascii="Times New Roman" w:eastAsia="Times New Roman" w:hAnsi="Times New Roman" w:cs="Times New Roman"/>
          <w:i/>
          <w:iCs/>
          <w:color w:val="000000"/>
          <w:sz w:val="24"/>
          <w:szCs w:val="24"/>
          <w:lang/>
        </w:rPr>
        <w:t>{Пункт 14.1 статті 14 доповнено підпунктом 14.1.129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99" w:anchor="n9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53062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 w:name="n500"/>
      <w:bookmarkEnd w:id="556"/>
      <w:r w:rsidRPr="008B264B">
        <w:rPr>
          <w:rFonts w:ascii="Times New Roman" w:eastAsia="Times New Roman" w:hAnsi="Times New Roman" w:cs="Times New Roman"/>
          <w:color w:val="000000"/>
          <w:sz w:val="24"/>
          <w:szCs w:val="24"/>
          <w:lang/>
        </w:rPr>
        <w:t>14.1.130. одиниця площі оподатковуваної земельної ділянки:</w:t>
      </w:r>
    </w:p>
    <w:p w14:paraId="7C44D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 w:name="n501"/>
      <w:bookmarkEnd w:id="557"/>
      <w:r w:rsidRPr="008B264B">
        <w:rPr>
          <w:rFonts w:ascii="Times New Roman" w:eastAsia="Times New Roman" w:hAnsi="Times New Roman" w:cs="Times New Roman"/>
          <w:color w:val="000000"/>
          <w:sz w:val="24"/>
          <w:szCs w:val="24"/>
          <w:lang/>
        </w:rPr>
        <w:t>у межах населеного пункту - 1 (один) метр квадратний (кв. метр);</w:t>
      </w:r>
    </w:p>
    <w:p w14:paraId="770AE3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 w:name="n502"/>
      <w:bookmarkEnd w:id="558"/>
      <w:r w:rsidRPr="008B264B">
        <w:rPr>
          <w:rFonts w:ascii="Times New Roman" w:eastAsia="Times New Roman" w:hAnsi="Times New Roman" w:cs="Times New Roman"/>
          <w:color w:val="000000"/>
          <w:sz w:val="24"/>
          <w:szCs w:val="24"/>
          <w:lang/>
        </w:rPr>
        <w:t>за межами населеного пункту - 1 (один) гектар (га);</w:t>
      </w:r>
    </w:p>
    <w:p w14:paraId="77D2D4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 w:name="n503"/>
      <w:bookmarkEnd w:id="559"/>
      <w:r w:rsidRPr="008B264B">
        <w:rPr>
          <w:rFonts w:ascii="Times New Roman" w:eastAsia="Times New Roman" w:hAnsi="Times New Roman" w:cs="Times New Roman"/>
          <w:color w:val="000000"/>
          <w:sz w:val="24"/>
          <w:szCs w:val="24"/>
          <w:lang/>
        </w:rPr>
        <w:t>14.1.131. однорідні (подібні) товари (роботи, послуги) - товари (роботи, послуги), що не є ідентичними, але мають схожі характеристики і складаються із схожих компонентів, у результаті чого виконують однакові функції порівняно з товарами, що оцінюються, та вважаються комерційно взаємозамінними.</w:t>
      </w:r>
    </w:p>
    <w:p w14:paraId="6E3574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 w:name="n504"/>
      <w:bookmarkEnd w:id="560"/>
      <w:r w:rsidRPr="008B264B">
        <w:rPr>
          <w:rFonts w:ascii="Times New Roman" w:eastAsia="Times New Roman" w:hAnsi="Times New Roman" w:cs="Times New Roman"/>
          <w:color w:val="000000"/>
          <w:sz w:val="24"/>
          <w:szCs w:val="24"/>
          <w:lang/>
        </w:rPr>
        <w:t>Для визначення товарів однорідними (подібними) враховуються такі ознаки:</w:t>
      </w:r>
    </w:p>
    <w:p w14:paraId="13CF67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 w:name="n505"/>
      <w:bookmarkEnd w:id="561"/>
      <w:r w:rsidRPr="008B264B">
        <w:rPr>
          <w:rFonts w:ascii="Times New Roman" w:eastAsia="Times New Roman" w:hAnsi="Times New Roman" w:cs="Times New Roman"/>
          <w:color w:val="000000"/>
          <w:sz w:val="24"/>
          <w:szCs w:val="24"/>
          <w:lang/>
        </w:rPr>
        <w:t>якість та ділова репутація на ринку;</w:t>
      </w:r>
    </w:p>
    <w:p w14:paraId="16D17A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 w:name="n506"/>
      <w:bookmarkEnd w:id="562"/>
      <w:r w:rsidRPr="008B264B">
        <w:rPr>
          <w:rFonts w:ascii="Times New Roman" w:eastAsia="Times New Roman" w:hAnsi="Times New Roman" w:cs="Times New Roman"/>
          <w:color w:val="000000"/>
          <w:sz w:val="24"/>
          <w:szCs w:val="24"/>
          <w:lang/>
        </w:rPr>
        <w:t>наявність торговельної марки;</w:t>
      </w:r>
    </w:p>
    <w:p w14:paraId="7D4DF2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 w:name="n507"/>
      <w:bookmarkEnd w:id="563"/>
      <w:r w:rsidRPr="008B264B">
        <w:rPr>
          <w:rFonts w:ascii="Times New Roman" w:eastAsia="Times New Roman" w:hAnsi="Times New Roman" w:cs="Times New Roman"/>
          <w:color w:val="000000"/>
          <w:sz w:val="24"/>
          <w:szCs w:val="24"/>
          <w:lang/>
        </w:rPr>
        <w:t>країна виробництва (походження);</w:t>
      </w:r>
    </w:p>
    <w:p w14:paraId="325A35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 w:name="n508"/>
      <w:bookmarkEnd w:id="564"/>
      <w:r w:rsidRPr="008B264B">
        <w:rPr>
          <w:rFonts w:ascii="Times New Roman" w:eastAsia="Times New Roman" w:hAnsi="Times New Roman" w:cs="Times New Roman"/>
          <w:color w:val="000000"/>
          <w:sz w:val="24"/>
          <w:szCs w:val="24"/>
          <w:lang/>
        </w:rPr>
        <w:t>виробник;</w:t>
      </w:r>
    </w:p>
    <w:p w14:paraId="49C77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 w:name="n509"/>
      <w:bookmarkEnd w:id="565"/>
      <w:r w:rsidRPr="008B264B">
        <w:rPr>
          <w:rFonts w:ascii="Times New Roman" w:eastAsia="Times New Roman" w:hAnsi="Times New Roman" w:cs="Times New Roman"/>
          <w:color w:val="000000"/>
          <w:sz w:val="24"/>
          <w:szCs w:val="24"/>
          <w:lang/>
        </w:rPr>
        <w:t>рік виробництва;</w:t>
      </w:r>
    </w:p>
    <w:p w14:paraId="05589C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 w:name="n510"/>
      <w:bookmarkEnd w:id="566"/>
      <w:r w:rsidRPr="008B264B">
        <w:rPr>
          <w:rFonts w:ascii="Times New Roman" w:eastAsia="Times New Roman" w:hAnsi="Times New Roman" w:cs="Times New Roman"/>
          <w:color w:val="000000"/>
          <w:sz w:val="24"/>
          <w:szCs w:val="24"/>
          <w:lang/>
        </w:rPr>
        <w:t>новий чи вживаний;</w:t>
      </w:r>
    </w:p>
    <w:p w14:paraId="337B70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 w:name="n511"/>
      <w:bookmarkEnd w:id="567"/>
      <w:r w:rsidRPr="008B264B">
        <w:rPr>
          <w:rFonts w:ascii="Times New Roman" w:eastAsia="Times New Roman" w:hAnsi="Times New Roman" w:cs="Times New Roman"/>
          <w:color w:val="000000"/>
          <w:sz w:val="24"/>
          <w:szCs w:val="24"/>
          <w:lang/>
        </w:rPr>
        <w:lastRenderedPageBreak/>
        <w:t>термін придатності;</w:t>
      </w:r>
    </w:p>
    <w:p w14:paraId="21A7C6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 w:name="n512"/>
      <w:bookmarkEnd w:id="568"/>
      <w:r w:rsidRPr="008B264B">
        <w:rPr>
          <w:rFonts w:ascii="Times New Roman" w:eastAsia="Times New Roman" w:hAnsi="Times New Roman" w:cs="Times New Roman"/>
          <w:i/>
          <w:iCs/>
          <w:color w:val="000000"/>
          <w:sz w:val="24"/>
          <w:szCs w:val="24"/>
          <w:lang/>
        </w:rPr>
        <w:t>{Підпункт 14.1.132 пункту 14.1 статті 14 виключено на підставі Закону </w:t>
      </w:r>
      <w:hyperlink r:id="rId400" w:anchor="n10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C66DD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 w:name="n513"/>
      <w:bookmarkEnd w:id="569"/>
      <w:r w:rsidRPr="008B264B">
        <w:rPr>
          <w:rFonts w:ascii="Times New Roman" w:eastAsia="Times New Roman" w:hAnsi="Times New Roman" w:cs="Times New Roman"/>
          <w:color w:val="000000"/>
          <w:sz w:val="24"/>
          <w:szCs w:val="24"/>
          <w:lang/>
        </w:rPr>
        <w:t>14.1.133. операційний (банківський) день - частина робочого дня, протягом якої приймаються документи на переказ та на їх відкликання і, за наявності технічної можливості, здійснюється їх обробка, передача та виконання;</w:t>
      </w:r>
    </w:p>
    <w:p w14:paraId="515B01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 w:name="n514"/>
      <w:bookmarkEnd w:id="570"/>
      <w:r w:rsidRPr="008B264B">
        <w:rPr>
          <w:rFonts w:ascii="Times New Roman" w:eastAsia="Times New Roman" w:hAnsi="Times New Roman" w:cs="Times New Roman"/>
          <w:color w:val="000000"/>
          <w:sz w:val="24"/>
          <w:szCs w:val="24"/>
          <w:lang/>
        </w:rPr>
        <w:t>14.1.134. операція з давальницькою сировиною - операція з переробки (обробки, збагачення чи використання) давальницької сировини (незалежно від кількості замовників і виконавців, а також етапів (операцій)) з метою одержання готової продукції за відповідну плату. До операцій з давальницькою сировиною належать операції, в яких сировина замовника на конкретному етапі її переробки становить не менш як 20 відсотків загальної вартості готової продукції;</w:t>
      </w:r>
    </w:p>
    <w:p w14:paraId="2B488E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 w:name="n515"/>
      <w:bookmarkEnd w:id="571"/>
      <w:r w:rsidRPr="008B264B">
        <w:rPr>
          <w:rFonts w:ascii="Times New Roman" w:eastAsia="Times New Roman" w:hAnsi="Times New Roman" w:cs="Times New Roman"/>
          <w:color w:val="000000"/>
          <w:sz w:val="24"/>
          <w:szCs w:val="24"/>
          <w:lang/>
        </w:rPr>
        <w:t>14.1.135. оподаткування для цілей </w:t>
      </w:r>
      <w:hyperlink r:id="rId401" w:anchor="n6117" w:history="1">
        <w:r w:rsidRPr="008B264B">
          <w:rPr>
            <w:rFonts w:ascii="Times New Roman" w:eastAsia="Times New Roman" w:hAnsi="Times New Roman" w:cs="Times New Roman"/>
            <w:color w:val="0000FF"/>
            <w:sz w:val="24"/>
            <w:szCs w:val="24"/>
            <w:u w:val="single"/>
            <w:lang/>
          </w:rPr>
          <w:t>розділу IX</w:t>
        </w:r>
      </w:hyperlink>
      <w:r w:rsidRPr="008B264B">
        <w:rPr>
          <w:rFonts w:ascii="Times New Roman" w:eastAsia="Times New Roman" w:hAnsi="Times New Roman" w:cs="Times New Roman"/>
          <w:color w:val="000000"/>
          <w:sz w:val="24"/>
          <w:szCs w:val="24"/>
          <w:lang/>
        </w:rPr>
        <w:t> цього Кодексу - оподаткування рентною платою за користування надрами для видобування корисних копалин, оподаткування рентною платою за користування надрами в цілях, не пов’язаних з видобуванням корисних копалин, оподаткування рентною платою за користування радіочастотним ресурсом України, оподаткування рентною платою за спеціальне використання води, оподаткування рентною платою за спеціальне використання лісових ресурсів, оподаткування рентною платою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w:t>
      </w:r>
    </w:p>
    <w:p w14:paraId="199C74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 w:name="n10479"/>
      <w:bookmarkEnd w:id="572"/>
      <w:r w:rsidRPr="008B264B">
        <w:rPr>
          <w:rFonts w:ascii="Times New Roman" w:eastAsia="Times New Roman" w:hAnsi="Times New Roman" w:cs="Times New Roman"/>
          <w:i/>
          <w:iCs/>
          <w:color w:val="000000"/>
          <w:sz w:val="24"/>
          <w:szCs w:val="24"/>
          <w:lang/>
        </w:rPr>
        <w:t>{Підпункт 14.1.135 пункту 14.1 статті 14 в редакції Закону </w:t>
      </w:r>
      <w:hyperlink r:id="rId402" w:anchor="n1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03" w:anchor="n3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23878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 w:name="n516"/>
      <w:bookmarkEnd w:id="573"/>
      <w:r w:rsidRPr="008B264B">
        <w:rPr>
          <w:rFonts w:ascii="Times New Roman" w:eastAsia="Times New Roman" w:hAnsi="Times New Roman" w:cs="Times New Roman"/>
          <w:color w:val="000000"/>
          <w:sz w:val="24"/>
          <w:szCs w:val="24"/>
          <w:lang/>
        </w:rPr>
        <w:t>14.1.136. орендна плата за земельні ділянки державної і комунальної власності - обов'язковий платіж, який орендар вносить орендодавцеві за користування земельною ділянкою (далі у </w:t>
      </w:r>
      <w:hyperlink r:id="rId404" w:anchor="n6340" w:history="1">
        <w:r w:rsidRPr="008B264B">
          <w:rPr>
            <w:rFonts w:ascii="Times New Roman" w:eastAsia="Times New Roman" w:hAnsi="Times New Roman" w:cs="Times New Roman"/>
            <w:color w:val="0000FF"/>
            <w:sz w:val="24"/>
            <w:szCs w:val="24"/>
            <w:u w:val="single"/>
            <w:lang/>
          </w:rPr>
          <w:t>розділі </w:t>
        </w:r>
      </w:hyperlink>
      <w:hyperlink r:id="rId405" w:anchor="n6340" w:history="1">
        <w:r w:rsidRPr="008B264B">
          <w:rPr>
            <w:rFonts w:ascii="Times New Roman" w:eastAsia="Times New Roman" w:hAnsi="Times New Roman" w:cs="Times New Roman"/>
            <w:color w:val="0000FF"/>
            <w:sz w:val="24"/>
            <w:szCs w:val="24"/>
            <w:u w:val="single"/>
            <w:lang/>
          </w:rPr>
          <w:t>XII</w:t>
        </w:r>
      </w:hyperlink>
      <w:r w:rsidRPr="008B264B">
        <w:rPr>
          <w:rFonts w:ascii="Times New Roman" w:eastAsia="Times New Roman" w:hAnsi="Times New Roman" w:cs="Times New Roman"/>
          <w:color w:val="000000"/>
          <w:sz w:val="24"/>
          <w:szCs w:val="24"/>
          <w:lang/>
        </w:rPr>
        <w:t> - орендна плата);</w:t>
      </w:r>
    </w:p>
    <w:p w14:paraId="6B8390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 w:name="n10480"/>
      <w:bookmarkEnd w:id="574"/>
      <w:r w:rsidRPr="008B264B">
        <w:rPr>
          <w:rFonts w:ascii="Times New Roman" w:eastAsia="Times New Roman" w:hAnsi="Times New Roman" w:cs="Times New Roman"/>
          <w:i/>
          <w:iCs/>
          <w:color w:val="000000"/>
          <w:sz w:val="24"/>
          <w:szCs w:val="24"/>
          <w:lang/>
        </w:rPr>
        <w:t>{Підпункт 14.1.136 пункту 14.1 статті 14 із змінами, внесеними згідно із Законом </w:t>
      </w:r>
      <w:hyperlink r:id="rId406" w:anchor="n10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4D98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 w:name="n517"/>
      <w:bookmarkEnd w:id="575"/>
      <w:r w:rsidRPr="008B264B">
        <w:rPr>
          <w:rFonts w:ascii="Times New Roman" w:eastAsia="Times New Roman" w:hAnsi="Times New Roman" w:cs="Times New Roman"/>
          <w:color w:val="000000"/>
          <w:sz w:val="24"/>
          <w:szCs w:val="24"/>
          <w:lang/>
        </w:rPr>
        <w:t>14.1.137. орган стягнення - державний орган, уповноважений здійснювати заходи щодо забезпечення погашення податкового боргу в межах повноважень, встановлених цим Кодексом та іншими законами України;</w:t>
      </w:r>
    </w:p>
    <w:p w14:paraId="08ED30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 w:name="n13522"/>
      <w:bookmarkEnd w:id="576"/>
      <w:r w:rsidRPr="008B264B">
        <w:rPr>
          <w:rFonts w:ascii="Times New Roman" w:eastAsia="Times New Roman" w:hAnsi="Times New Roman" w:cs="Times New Roman"/>
          <w:color w:val="000000"/>
          <w:sz w:val="24"/>
          <w:szCs w:val="24"/>
          <w:lang/>
        </w:rPr>
        <w:t>14.1.137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уповноважена особа контролюючого органу - посадова (службова) особа контролюючого органу, уповноважена керівником такого органу на виконання певних його функцій в порядку, передбаченому цим Кодексом;</w:t>
      </w:r>
    </w:p>
    <w:p w14:paraId="0E638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 w:name="n13521"/>
      <w:bookmarkEnd w:id="577"/>
      <w:r w:rsidRPr="008B264B">
        <w:rPr>
          <w:rFonts w:ascii="Times New Roman" w:eastAsia="Times New Roman" w:hAnsi="Times New Roman" w:cs="Times New Roman"/>
          <w:i/>
          <w:iCs/>
          <w:color w:val="000000"/>
          <w:sz w:val="24"/>
          <w:szCs w:val="24"/>
          <w:lang/>
        </w:rPr>
        <w:t>{Пункт 14.1 статті 14 доповнено підпунктом 14.1.137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07" w:anchor="n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37CF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 w:name="n518"/>
      <w:bookmarkEnd w:id="578"/>
      <w:r w:rsidRPr="008B264B">
        <w:rPr>
          <w:rFonts w:ascii="Times New Roman" w:eastAsia="Times New Roman" w:hAnsi="Times New Roman" w:cs="Times New Roman"/>
          <w:color w:val="000000"/>
          <w:sz w:val="24"/>
          <w:szCs w:val="24"/>
          <w:lang/>
        </w:rPr>
        <w:t>14.1.138. основні засоби - матеріальні активи, у тому числі запаси корисних копалин наданих у користування ділянок надр (крім вартості землі, незавершених капітальних інвестицій, автомобільних доріг загального користування, бібліотечних і архівних фондів, матеріальних активів, вартість яких не перевищує 6000 гривень, невиробничих основних засобів і нематеріальних активів), що призначаються платником податку для використання у господарській діяльності платника податку, вартість яких перевищує 6000 гривень і поступово зменшується у зв'язку з фізичним або моральним зносом та очікуваний строк корисного використання (експлуатації) яких з дати введення в експлуатацію становить понад один рік (або операційний цикл, якщо він довший за рік);</w:t>
      </w:r>
    </w:p>
    <w:p w14:paraId="471797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 w:name="n12578"/>
      <w:bookmarkEnd w:id="579"/>
      <w:r w:rsidRPr="008B264B">
        <w:rPr>
          <w:rFonts w:ascii="Times New Roman" w:eastAsia="Times New Roman" w:hAnsi="Times New Roman" w:cs="Times New Roman"/>
          <w:i/>
          <w:iCs/>
          <w:color w:val="000000"/>
          <w:sz w:val="24"/>
          <w:szCs w:val="24"/>
          <w:lang/>
        </w:rPr>
        <w:t>{Підпункт 14.1.138 пункту 14.1 статті 14 із змінами, внесеними згідно із Законом </w:t>
      </w:r>
      <w:hyperlink r:id="rId408" w:anchor="n13"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6F2E53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 w:name="n519"/>
      <w:bookmarkEnd w:id="580"/>
      <w:r w:rsidRPr="008B264B">
        <w:rPr>
          <w:rFonts w:ascii="Times New Roman" w:eastAsia="Times New Roman" w:hAnsi="Times New Roman" w:cs="Times New Roman"/>
          <w:color w:val="000000"/>
          <w:sz w:val="24"/>
          <w:szCs w:val="24"/>
          <w:lang/>
        </w:rPr>
        <w:t>14.1.139. особа для цілей </w:t>
      </w:r>
      <w:hyperlink r:id="rId409"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 будь-яка із зазначених нижче осіб:</w:t>
      </w:r>
    </w:p>
    <w:p w14:paraId="5F35C0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 w:name="n520"/>
      <w:bookmarkEnd w:id="581"/>
      <w:r w:rsidRPr="008B264B">
        <w:rPr>
          <w:rFonts w:ascii="Times New Roman" w:eastAsia="Times New Roman" w:hAnsi="Times New Roman" w:cs="Times New Roman"/>
          <w:color w:val="000000"/>
          <w:sz w:val="24"/>
          <w:szCs w:val="24"/>
          <w:lang/>
        </w:rPr>
        <w:lastRenderedPageBreak/>
        <w:t>а) юридична особа, створена відповідно до закону у будь-якій організаційно-правовій формі, у тому числі підприємство з іноземними інвестиціями, яка:</w:t>
      </w:r>
    </w:p>
    <w:p w14:paraId="2C152C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 w:name="n521"/>
      <w:bookmarkEnd w:id="582"/>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0"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347E8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 w:name="n522"/>
      <w:bookmarkEnd w:id="583"/>
      <w:r w:rsidRPr="008B264B">
        <w:rPr>
          <w:rFonts w:ascii="Times New Roman" w:eastAsia="Times New Roman" w:hAnsi="Times New Roman" w:cs="Times New Roman"/>
          <w:color w:val="000000"/>
          <w:sz w:val="24"/>
          <w:szCs w:val="24"/>
          <w:lang/>
        </w:rPr>
        <w:t>або є платником податків і зборів, встановлених цим Кодексом, крім єдиного податку;</w:t>
      </w:r>
    </w:p>
    <w:p w14:paraId="38B176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 w:name="n523"/>
      <w:bookmarkEnd w:id="584"/>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1"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B25F5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 w:name="n524"/>
      <w:bookmarkEnd w:id="585"/>
      <w:r w:rsidRPr="008B264B">
        <w:rPr>
          <w:rFonts w:ascii="Times New Roman" w:eastAsia="Times New Roman" w:hAnsi="Times New Roman" w:cs="Times New Roman"/>
          <w:color w:val="000000"/>
          <w:sz w:val="24"/>
          <w:szCs w:val="24"/>
          <w:lang/>
        </w:rPr>
        <w:t>або є платником єдиного податку за ставкою, що передбачає сплату податку на додану вартість;</w:t>
      </w:r>
    </w:p>
    <w:p w14:paraId="4A3E6C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 w:name="n525"/>
      <w:bookmarkEnd w:id="586"/>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2"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13" w:anchor="n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1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57E83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 w:name="n526"/>
      <w:bookmarkEnd w:id="587"/>
      <w:r w:rsidRPr="008B264B">
        <w:rPr>
          <w:rFonts w:ascii="Times New Roman" w:eastAsia="Times New Roman" w:hAnsi="Times New Roman" w:cs="Times New Roman"/>
          <w:color w:val="000000"/>
          <w:sz w:val="24"/>
          <w:szCs w:val="24"/>
          <w:lang/>
        </w:rPr>
        <w:t>або є платником єдиного податку за ставкою, що передбачає включення податку на додану вартість до складу єдиного податку, і добровільно переходить у встановленому цим Кодексом порядку на сплату єдиного податку за ставкою, що передбачає сплату податку на додану вартість;</w:t>
      </w:r>
    </w:p>
    <w:p w14:paraId="028BFB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 w:name="n527"/>
      <w:bookmarkEnd w:id="588"/>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5"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16" w:anchor="n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1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4F3720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 w:name="n528"/>
      <w:bookmarkEnd w:id="589"/>
      <w:r w:rsidRPr="008B264B">
        <w:rPr>
          <w:rFonts w:ascii="Times New Roman" w:eastAsia="Times New Roman" w:hAnsi="Times New Roman" w:cs="Times New Roman"/>
          <w:color w:val="000000"/>
          <w:sz w:val="24"/>
          <w:szCs w:val="24"/>
          <w:lang/>
        </w:rPr>
        <w:t>б) фізична особа - підприємець, яка:</w:t>
      </w:r>
    </w:p>
    <w:p w14:paraId="10DD7F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 w:name="n529"/>
      <w:bookmarkEnd w:id="590"/>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8"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C6CC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 w:name="n530"/>
      <w:bookmarkEnd w:id="591"/>
      <w:r w:rsidRPr="008B264B">
        <w:rPr>
          <w:rFonts w:ascii="Times New Roman" w:eastAsia="Times New Roman" w:hAnsi="Times New Roman" w:cs="Times New Roman"/>
          <w:color w:val="000000"/>
          <w:sz w:val="24"/>
          <w:szCs w:val="24"/>
          <w:lang/>
        </w:rPr>
        <w:t>або є платником податків і зборів, встановлених цим Кодексом, крім єдиного податку;</w:t>
      </w:r>
    </w:p>
    <w:p w14:paraId="14814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 w:name="n531"/>
      <w:bookmarkEnd w:id="592"/>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19"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F0BAF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 w:name="n532"/>
      <w:bookmarkEnd w:id="593"/>
      <w:r w:rsidRPr="008B264B">
        <w:rPr>
          <w:rFonts w:ascii="Times New Roman" w:eastAsia="Times New Roman" w:hAnsi="Times New Roman" w:cs="Times New Roman"/>
          <w:color w:val="000000"/>
          <w:sz w:val="24"/>
          <w:szCs w:val="24"/>
          <w:lang/>
        </w:rPr>
        <w:t>або є платником єдиного податку за ставкою, що передбачає сплату податку на додану вартість;</w:t>
      </w:r>
    </w:p>
    <w:p w14:paraId="3E6A1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 w:name="n533"/>
      <w:bookmarkEnd w:id="594"/>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20"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21" w:anchor="n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2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0616A7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 w:name="n534"/>
      <w:bookmarkEnd w:id="595"/>
      <w:r w:rsidRPr="008B264B">
        <w:rPr>
          <w:rFonts w:ascii="Times New Roman" w:eastAsia="Times New Roman" w:hAnsi="Times New Roman" w:cs="Times New Roman"/>
          <w:color w:val="000000"/>
          <w:sz w:val="24"/>
          <w:szCs w:val="24"/>
          <w:lang/>
        </w:rPr>
        <w:t>або є платником єдиного податку за ставкою, що передбачає включення податку на додану вартість до складу єдиного податку, і добровільно переходить у встановленому цим Кодексом порядку на сплату єдиного податку за ставкою, що передбачає сплату податку на додану вартість;</w:t>
      </w:r>
    </w:p>
    <w:p w14:paraId="2E3283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 w:name="n535"/>
      <w:bookmarkEnd w:id="596"/>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23"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24" w:anchor="n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2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2DD6B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 w:name="n536"/>
      <w:bookmarkEnd w:id="597"/>
      <w:r w:rsidRPr="008B264B">
        <w:rPr>
          <w:rFonts w:ascii="Times New Roman" w:eastAsia="Times New Roman" w:hAnsi="Times New Roman" w:cs="Times New Roman"/>
          <w:color w:val="000000"/>
          <w:sz w:val="24"/>
          <w:szCs w:val="24"/>
          <w:lang/>
        </w:rPr>
        <w:t>в) юридична особа, фізична особа, фізична особа - підприємець, яка ввозить товари на митну територію України;</w:t>
      </w:r>
    </w:p>
    <w:p w14:paraId="6372A1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 w:name="n537"/>
      <w:bookmarkEnd w:id="598"/>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Закону </w:t>
      </w:r>
      <w:hyperlink r:id="rId426"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FB1A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 w:name="n538"/>
      <w:bookmarkEnd w:id="599"/>
      <w:r w:rsidRPr="008B264B">
        <w:rPr>
          <w:rFonts w:ascii="Times New Roman" w:eastAsia="Times New Roman" w:hAnsi="Times New Roman" w:cs="Times New Roman"/>
          <w:color w:val="000000"/>
          <w:sz w:val="24"/>
          <w:szCs w:val="24"/>
          <w:lang/>
        </w:rPr>
        <w:t>г) постійне представництво;</w:t>
      </w:r>
    </w:p>
    <w:p w14:paraId="1D0621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 w:name="n539"/>
      <w:bookmarkEnd w:id="600"/>
      <w:r w:rsidRPr="008B264B">
        <w:rPr>
          <w:rFonts w:ascii="Times New Roman" w:eastAsia="Times New Roman" w:hAnsi="Times New Roman" w:cs="Times New Roman"/>
          <w:i/>
          <w:iCs/>
          <w:color w:val="000000"/>
          <w:sz w:val="24"/>
          <w:szCs w:val="24"/>
          <w:lang/>
        </w:rPr>
        <w:t>{Абзац підпункту 14.1.139 пункту 14.1 статті 14 в редакції Законів </w:t>
      </w:r>
      <w:hyperlink r:id="rId427" w:anchor="n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28"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0F36E0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 w:name="n540"/>
      <w:bookmarkEnd w:id="601"/>
      <w:r w:rsidRPr="008B264B">
        <w:rPr>
          <w:rFonts w:ascii="Times New Roman" w:eastAsia="Times New Roman" w:hAnsi="Times New Roman" w:cs="Times New Roman"/>
          <w:color w:val="000000"/>
          <w:sz w:val="24"/>
          <w:szCs w:val="24"/>
          <w:lang/>
        </w:rPr>
        <w:lastRenderedPageBreak/>
        <w:t>ґ) інвестор (оператор) відповідно до угоди про розподіл продукції, на якого покладено ведення податкового обліку з податку на додану вартість за угодою про розподіл продукції.</w:t>
      </w:r>
    </w:p>
    <w:p w14:paraId="475274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 w:name="n541"/>
      <w:bookmarkEnd w:id="602"/>
      <w:r w:rsidRPr="008B264B">
        <w:rPr>
          <w:rFonts w:ascii="Times New Roman" w:eastAsia="Times New Roman" w:hAnsi="Times New Roman" w:cs="Times New Roman"/>
          <w:i/>
          <w:iCs/>
          <w:color w:val="000000"/>
          <w:sz w:val="24"/>
          <w:szCs w:val="24"/>
          <w:lang/>
        </w:rPr>
        <w:t>{Підпункт 14.1.139 пункту 14.1 статті 14 доповнено новим абзацом згідно із Законом </w:t>
      </w:r>
      <w:hyperlink r:id="rId429" w:anchor="n1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30" w:anchor="n9"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431" w:anchor="n12"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41490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 w:name="n542"/>
      <w:bookmarkEnd w:id="603"/>
      <w:r w:rsidRPr="008B264B">
        <w:rPr>
          <w:rFonts w:ascii="Times New Roman" w:eastAsia="Times New Roman" w:hAnsi="Times New Roman" w:cs="Times New Roman"/>
          <w:color w:val="000000"/>
          <w:sz w:val="24"/>
          <w:szCs w:val="24"/>
          <w:lang/>
        </w:rPr>
        <w:t>Для цілей оподаткування дві чи більше особи, які здійснюють спільну діяльність без утворення юридичної особи, вважаються окремою особою у межах такої діяльності.</w:t>
      </w:r>
    </w:p>
    <w:p w14:paraId="28B30F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 w:name="n543"/>
      <w:bookmarkEnd w:id="604"/>
      <w:r w:rsidRPr="008B264B">
        <w:rPr>
          <w:rFonts w:ascii="Times New Roman" w:eastAsia="Times New Roman" w:hAnsi="Times New Roman" w:cs="Times New Roman"/>
          <w:color w:val="000000"/>
          <w:sz w:val="24"/>
          <w:szCs w:val="24"/>
          <w:lang/>
        </w:rPr>
        <w:t>Облік результатів спільної діяльності ведеться платником податку, уповноваженим на це іншими сторонами згідно з умовами договору, окремо від обліку господарських результатів такого платника податку.</w:t>
      </w:r>
    </w:p>
    <w:p w14:paraId="7874EC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 w:name="n544"/>
      <w:bookmarkEnd w:id="605"/>
      <w:r w:rsidRPr="008B264B">
        <w:rPr>
          <w:rFonts w:ascii="Times New Roman" w:eastAsia="Times New Roman" w:hAnsi="Times New Roman" w:cs="Times New Roman"/>
          <w:color w:val="000000"/>
          <w:sz w:val="24"/>
          <w:szCs w:val="24"/>
          <w:lang/>
        </w:rPr>
        <w:t>Для цілей оподаткування господарські відносини між учасниками спільної діяльності прирівнюються до відносин на основі окремих цивільно-правових договорів.</w:t>
      </w:r>
    </w:p>
    <w:p w14:paraId="389A1D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 w:name="n545"/>
      <w:bookmarkEnd w:id="606"/>
      <w:r w:rsidRPr="008B264B">
        <w:rPr>
          <w:rFonts w:ascii="Times New Roman" w:eastAsia="Times New Roman" w:hAnsi="Times New Roman" w:cs="Times New Roman"/>
          <w:color w:val="000000"/>
          <w:sz w:val="24"/>
          <w:szCs w:val="24"/>
          <w:lang/>
        </w:rPr>
        <w:t>Порядок податкового обліку та звітності про результати спільної діяльності встановлюється центральним органом виконавчої влади, що забезпечує формування та реалізує державну податкову і митну політику;</w:t>
      </w:r>
    </w:p>
    <w:p w14:paraId="0B6464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 w:name="n546"/>
      <w:bookmarkEnd w:id="607"/>
      <w:r w:rsidRPr="008B264B">
        <w:rPr>
          <w:rFonts w:ascii="Times New Roman" w:eastAsia="Times New Roman" w:hAnsi="Times New Roman" w:cs="Times New Roman"/>
          <w:i/>
          <w:iCs/>
          <w:color w:val="000000"/>
          <w:sz w:val="24"/>
          <w:szCs w:val="24"/>
          <w:lang/>
        </w:rPr>
        <w:t>{Підпункт 14.1.139 пункту 14.1 статті 14 із змінами, внесеними згідно із Законом </w:t>
      </w:r>
      <w:hyperlink r:id="rId432"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257630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 w:name="n547"/>
      <w:bookmarkEnd w:id="608"/>
      <w:r w:rsidRPr="008B264B">
        <w:rPr>
          <w:rFonts w:ascii="Times New Roman" w:eastAsia="Times New Roman" w:hAnsi="Times New Roman" w:cs="Times New Roman"/>
          <w:color w:val="000000"/>
          <w:sz w:val="24"/>
          <w:szCs w:val="24"/>
          <w:lang/>
        </w:rPr>
        <w:t>14.1.140. офіційний валютний курс (валютний курс) - у значенні, наведеному в </w:t>
      </w:r>
      <w:hyperlink r:id="rId433" w:tgtFrame="_blank" w:history="1">
        <w:r w:rsidRPr="008B264B">
          <w:rPr>
            <w:rFonts w:ascii="Times New Roman" w:eastAsia="Times New Roman" w:hAnsi="Times New Roman" w:cs="Times New Roman"/>
            <w:color w:val="0000FF"/>
            <w:sz w:val="24"/>
            <w:szCs w:val="24"/>
            <w:u w:val="single"/>
            <w:lang/>
          </w:rPr>
          <w:t>Законі України "Про Національний банк України"</w:t>
        </w:r>
      </w:hyperlink>
      <w:r w:rsidRPr="008B264B">
        <w:rPr>
          <w:rFonts w:ascii="Times New Roman" w:eastAsia="Times New Roman" w:hAnsi="Times New Roman" w:cs="Times New Roman"/>
          <w:color w:val="000000"/>
          <w:sz w:val="24"/>
          <w:szCs w:val="24"/>
          <w:lang/>
        </w:rPr>
        <w:t>;</w:t>
      </w:r>
    </w:p>
    <w:p w14:paraId="4230D7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 w:name="n548"/>
      <w:bookmarkEnd w:id="609"/>
      <w:r w:rsidRPr="008B264B">
        <w:rPr>
          <w:rFonts w:ascii="Times New Roman" w:eastAsia="Times New Roman" w:hAnsi="Times New Roman" w:cs="Times New Roman"/>
          <w:color w:val="000000"/>
          <w:sz w:val="24"/>
          <w:szCs w:val="24"/>
          <w:lang/>
        </w:rPr>
        <w:t>14.1.141. паливо моторне сумішеве - види палива, отримані в результаті змішування палива, одержаного з нафтової сировини, з біоетанолом та добавками на основі біоетанолу, біодизелю або іншими біокомпонентами, вміст яких відповідає вимогам нормативних документів на паливо моторне сумішеве;</w:t>
      </w:r>
    </w:p>
    <w:p w14:paraId="66D1D4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 w:name="n12655"/>
      <w:bookmarkEnd w:id="610"/>
      <w:r w:rsidRPr="008B264B">
        <w:rPr>
          <w:rFonts w:ascii="Times New Roman" w:eastAsia="Times New Roman" w:hAnsi="Times New Roman" w:cs="Times New Roman"/>
          <w:color w:val="000000"/>
          <w:sz w:val="24"/>
          <w:szCs w:val="24"/>
          <w:lang/>
        </w:rPr>
        <w:t>14.1.141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пальне - нафтопродукти, скраплений газ, паливо моторне альтернативне, паливо моторне сумішеве, речовини, що використовуються як компоненти моторних палив, інші товари, зазначені у </w:t>
      </w:r>
      <w:hyperlink r:id="rId434"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w:t>
      </w:r>
    </w:p>
    <w:p w14:paraId="1ADB37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 w:name="n12654"/>
      <w:bookmarkEnd w:id="611"/>
      <w:r w:rsidRPr="008B264B">
        <w:rPr>
          <w:rFonts w:ascii="Times New Roman" w:eastAsia="Times New Roman" w:hAnsi="Times New Roman" w:cs="Times New Roman"/>
          <w:i/>
          <w:iCs/>
          <w:color w:val="000000"/>
          <w:sz w:val="24"/>
          <w:szCs w:val="24"/>
          <w:lang/>
        </w:rPr>
        <w:t>{Пункт 14.1 статті 14 доповнено підпунктом 14.1.141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35" w:anchor="n3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6E8E4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 w:name="n549"/>
      <w:bookmarkEnd w:id="612"/>
      <w:r w:rsidRPr="008B264B">
        <w:rPr>
          <w:rFonts w:ascii="Times New Roman" w:eastAsia="Times New Roman" w:hAnsi="Times New Roman" w:cs="Times New Roman"/>
          <w:color w:val="000000"/>
          <w:sz w:val="24"/>
          <w:szCs w:val="24"/>
          <w:lang/>
        </w:rPr>
        <w:t>14.1.142. пересувне джерело забруднення - транспортний засіб, рух якого супроводжується викидом в атмосферу забруднюючих речовин;</w:t>
      </w:r>
    </w:p>
    <w:p w14:paraId="0F8A2F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 w:name="n550"/>
      <w:bookmarkEnd w:id="613"/>
      <w:r w:rsidRPr="008B264B">
        <w:rPr>
          <w:rFonts w:ascii="Times New Roman" w:eastAsia="Times New Roman" w:hAnsi="Times New Roman" w:cs="Times New Roman"/>
          <w:color w:val="000000"/>
          <w:sz w:val="24"/>
          <w:szCs w:val="24"/>
          <w:lang/>
        </w:rPr>
        <w:t>14.1.143. передавальні пристрої - земельні поліпшення, створені для виконання спеціальних функцій з передачі енергії, речовини, сигналу, інформації тощо будь-якого походження та виду на відстань (лінії електропередачі, трубопроводи, водопроводи, теплові та газові мережі, лінії зв'язку тощо);</w:t>
      </w:r>
    </w:p>
    <w:p w14:paraId="434600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 w:name="n551"/>
      <w:bookmarkEnd w:id="614"/>
      <w:r w:rsidRPr="008B264B">
        <w:rPr>
          <w:rFonts w:ascii="Times New Roman" w:eastAsia="Times New Roman" w:hAnsi="Times New Roman" w:cs="Times New Roman"/>
          <w:color w:val="000000"/>
          <w:sz w:val="24"/>
          <w:szCs w:val="24"/>
          <w:lang/>
        </w:rPr>
        <w:t>14.1.144. пиво - насичений діоксидом вуглецю пінистий алкогольний напій із вмістом спирту етилового від 0,5 відсотка об’ємних одиниць, отриманий під час бродіння охмеленого сусла пивними дріжджами, що відноситься до товарної групи </w:t>
      </w:r>
      <w:hyperlink r:id="rId436"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за кодом 2203;</w:t>
      </w:r>
    </w:p>
    <w:p w14:paraId="6F97CD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 w:name="n12300"/>
      <w:bookmarkEnd w:id="615"/>
      <w:r w:rsidRPr="008B264B">
        <w:rPr>
          <w:rFonts w:ascii="Times New Roman" w:eastAsia="Times New Roman" w:hAnsi="Times New Roman" w:cs="Times New Roman"/>
          <w:i/>
          <w:iCs/>
          <w:color w:val="000000"/>
          <w:sz w:val="24"/>
          <w:szCs w:val="24"/>
          <w:lang/>
        </w:rPr>
        <w:t>{Підпункт 14.1.144 пункту 14.1 статті 14 в редакції Закону </w:t>
      </w:r>
      <w:hyperlink r:id="rId437" w:anchor="n10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DA5E6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 w:name="n13524"/>
      <w:bookmarkEnd w:id="616"/>
      <w:r w:rsidRPr="008B264B">
        <w:rPr>
          <w:rFonts w:ascii="Times New Roman" w:eastAsia="Times New Roman" w:hAnsi="Times New Roman" w:cs="Times New Roman"/>
          <w:color w:val="000000"/>
          <w:sz w:val="24"/>
          <w:szCs w:val="24"/>
          <w:lang/>
        </w:rPr>
        <w:t>14.1.144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документ для цілей цього Кодексу - документ, створений у паперовій або електронній формі з дотриманням вимог законів України </w:t>
      </w:r>
      <w:hyperlink r:id="rId438"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439"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 складення та/або подання, та/або надіслання якого передбачається цим Кодексом, іншими нормативно-правовими актами, прийнятими на підставі та на виконання цього Кодексу, та/або пов’язане з реалізацією прав та обов’язків платника податків, та/або контролюючих органів згідно із нормами цього Кодексу;</w:t>
      </w:r>
    </w:p>
    <w:p w14:paraId="5097D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 w:name="n13523"/>
      <w:bookmarkEnd w:id="617"/>
      <w:r w:rsidRPr="008B264B">
        <w:rPr>
          <w:rFonts w:ascii="Times New Roman" w:eastAsia="Times New Roman" w:hAnsi="Times New Roman" w:cs="Times New Roman"/>
          <w:i/>
          <w:iCs/>
          <w:color w:val="000000"/>
          <w:sz w:val="24"/>
          <w:szCs w:val="24"/>
          <w:lang/>
        </w:rPr>
        <w:t>{Пункт 14.1 статті 14 доповнено підпунктом 14.1.144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40" w:anchor="n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41" w:anchor="n8"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6B8A8C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 w:name="n552"/>
      <w:bookmarkEnd w:id="618"/>
      <w:r w:rsidRPr="008B264B">
        <w:rPr>
          <w:rFonts w:ascii="Times New Roman" w:eastAsia="Times New Roman" w:hAnsi="Times New Roman" w:cs="Times New Roman"/>
          <w:color w:val="000000"/>
          <w:sz w:val="24"/>
          <w:szCs w:val="24"/>
          <w:lang/>
        </w:rPr>
        <w:lastRenderedPageBreak/>
        <w:t>14.1.145. підакцизні товари (продукція) - товари за кодами згідно з УКТ ЗЕД, на які цим Кодексом встановлено ставки акцизного податку;</w:t>
      </w:r>
    </w:p>
    <w:p w14:paraId="3D3FAE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 w:name="n553"/>
      <w:bookmarkEnd w:id="619"/>
      <w:r w:rsidRPr="008B264B">
        <w:rPr>
          <w:rFonts w:ascii="Times New Roman" w:eastAsia="Times New Roman" w:hAnsi="Times New Roman" w:cs="Times New Roman"/>
          <w:i/>
          <w:iCs/>
          <w:color w:val="000000"/>
          <w:sz w:val="24"/>
          <w:szCs w:val="24"/>
          <w:lang/>
        </w:rPr>
        <w:t>{Підпункт 14.1.146 пункту 14.1 статті 14 виключено на підставі Закону </w:t>
      </w:r>
      <w:hyperlink r:id="rId442" w:anchor="n10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F071F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 w:name="n15840"/>
      <w:bookmarkEnd w:id="620"/>
      <w:r w:rsidRPr="008B264B">
        <w:rPr>
          <w:rFonts w:ascii="Times New Roman" w:eastAsia="Times New Roman" w:hAnsi="Times New Roman" w:cs="Times New Roman"/>
          <w:color w:val="000000"/>
          <w:sz w:val="24"/>
          <w:szCs w:val="24"/>
          <w:lang/>
        </w:rPr>
        <w:t>14.1.146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підзвітний рахунок - фінансовий рахунок, що відповідає одному з таких критеріїв:</w:t>
      </w:r>
    </w:p>
    <w:p w14:paraId="5F4C3A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 w:name="n15841"/>
      <w:bookmarkEnd w:id="621"/>
      <w:r w:rsidRPr="008B264B">
        <w:rPr>
          <w:rFonts w:ascii="Times New Roman" w:eastAsia="Times New Roman" w:hAnsi="Times New Roman" w:cs="Times New Roman"/>
          <w:color w:val="000000"/>
          <w:sz w:val="24"/>
          <w:szCs w:val="24"/>
          <w:lang/>
        </w:rPr>
        <w:t>власником фінансового рахунка є фізична особа - нерезидент;</w:t>
      </w:r>
    </w:p>
    <w:p w14:paraId="0A6D7E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 w:name="n15842"/>
      <w:bookmarkEnd w:id="622"/>
      <w:r w:rsidRPr="008B264B">
        <w:rPr>
          <w:rFonts w:ascii="Times New Roman" w:eastAsia="Times New Roman" w:hAnsi="Times New Roman" w:cs="Times New Roman"/>
          <w:color w:val="000000"/>
          <w:sz w:val="24"/>
          <w:szCs w:val="24"/>
          <w:lang/>
        </w:rPr>
        <w:t>власником фінансового рахунка є юридична особа - нерезидент або представництво нерезидента - юридичної особи;</w:t>
      </w:r>
    </w:p>
    <w:p w14:paraId="25A41F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 w:name="n15843"/>
      <w:bookmarkEnd w:id="623"/>
      <w:r w:rsidRPr="008B264B">
        <w:rPr>
          <w:rFonts w:ascii="Times New Roman" w:eastAsia="Times New Roman" w:hAnsi="Times New Roman" w:cs="Times New Roman"/>
          <w:color w:val="000000"/>
          <w:sz w:val="24"/>
          <w:szCs w:val="24"/>
          <w:lang/>
        </w:rPr>
        <w:t>власником фінансового рахунка є юридична особа, яка не є фінансовим агентом та кінцевим бенефіціарним власником (контролером) якої є фізична особа - нерезидент.</w:t>
      </w:r>
    </w:p>
    <w:p w14:paraId="246BBB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 w:name="n15844"/>
      <w:bookmarkEnd w:id="624"/>
      <w:r w:rsidRPr="008B264B">
        <w:rPr>
          <w:rFonts w:ascii="Times New Roman" w:eastAsia="Times New Roman" w:hAnsi="Times New Roman" w:cs="Times New Roman"/>
          <w:color w:val="000000"/>
          <w:sz w:val="24"/>
          <w:szCs w:val="24"/>
          <w:lang/>
        </w:rPr>
        <w:t>Для цілей цього Кодексу власником підзвітного рахунка вважається будь-яка особа, яка:</w:t>
      </w:r>
    </w:p>
    <w:p w14:paraId="540B87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 w:name="n15845"/>
      <w:bookmarkEnd w:id="625"/>
      <w:r w:rsidRPr="008B264B">
        <w:rPr>
          <w:rFonts w:ascii="Times New Roman" w:eastAsia="Times New Roman" w:hAnsi="Times New Roman" w:cs="Times New Roman"/>
          <w:color w:val="000000"/>
          <w:sz w:val="24"/>
          <w:szCs w:val="24"/>
          <w:lang/>
        </w:rPr>
        <w:t>а) звертається за наданням послуг до фінансового агента;</w:t>
      </w:r>
    </w:p>
    <w:p w14:paraId="594723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 w:name="n15846"/>
      <w:bookmarkEnd w:id="626"/>
      <w:r w:rsidRPr="008B264B">
        <w:rPr>
          <w:rFonts w:ascii="Times New Roman" w:eastAsia="Times New Roman" w:hAnsi="Times New Roman" w:cs="Times New Roman"/>
          <w:color w:val="000000"/>
          <w:sz w:val="24"/>
          <w:szCs w:val="24"/>
          <w:lang/>
        </w:rPr>
        <w:t>б) користується послугами фінансового агента;</w:t>
      </w:r>
    </w:p>
    <w:p w14:paraId="191D72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 w:name="n15847"/>
      <w:bookmarkEnd w:id="627"/>
      <w:r w:rsidRPr="008B264B">
        <w:rPr>
          <w:rFonts w:ascii="Times New Roman" w:eastAsia="Times New Roman" w:hAnsi="Times New Roman" w:cs="Times New Roman"/>
          <w:color w:val="000000"/>
          <w:sz w:val="24"/>
          <w:szCs w:val="24"/>
          <w:lang/>
        </w:rPr>
        <w:t>в) є стороною договору (для фінансових агентів, перелік яких встановлений відповідним регулятором ринків фінансових послуг, у межах повноважень, визначених </w:t>
      </w:r>
      <w:hyperlink r:id="rId443" w:anchor="n371" w:tgtFrame="_blank" w:history="1">
        <w:r w:rsidRPr="008B264B">
          <w:rPr>
            <w:rFonts w:ascii="Times New Roman" w:eastAsia="Times New Roman" w:hAnsi="Times New Roman" w:cs="Times New Roman"/>
            <w:color w:val="0000FF"/>
            <w:sz w:val="24"/>
            <w:szCs w:val="24"/>
            <w:u w:val="single"/>
            <w:lang/>
          </w:rPr>
          <w:t>статтею 21</w:t>
        </w:r>
      </w:hyperlink>
      <w:r w:rsidRPr="008B264B">
        <w:rPr>
          <w:rFonts w:ascii="Times New Roman" w:eastAsia="Times New Roman" w:hAnsi="Times New Roman" w:cs="Times New Roman"/>
          <w:color w:val="000000"/>
          <w:sz w:val="24"/>
          <w:szCs w:val="24"/>
          <w:lang/>
        </w:rPr>
        <w:t> Закону України "Про фінансові послуги та державне регулювання ринків фінансових послуг", а також у випадках, передбачених </w:t>
      </w:r>
      <w:hyperlink r:id="rId444" w:anchor="n1065" w:tgtFrame="_blank" w:history="1">
        <w:r w:rsidRPr="008B264B">
          <w:rPr>
            <w:rFonts w:ascii="Times New Roman" w:eastAsia="Times New Roman" w:hAnsi="Times New Roman" w:cs="Times New Roman"/>
            <w:color w:val="0000FF"/>
            <w:sz w:val="24"/>
            <w:szCs w:val="24"/>
            <w:u w:val="single"/>
            <w:lang/>
          </w:rPr>
          <w:t>статтею 64</w:t>
        </w:r>
      </w:hyperlink>
      <w:r w:rsidRPr="008B264B">
        <w:rPr>
          <w:rFonts w:ascii="Times New Roman" w:eastAsia="Times New Roman" w:hAnsi="Times New Roman" w:cs="Times New Roman"/>
          <w:color w:val="000000"/>
          <w:sz w:val="24"/>
          <w:szCs w:val="24"/>
          <w:lang/>
        </w:rPr>
        <w:t> Закону України "Про банки і банківську діяльність").</w:t>
      </w:r>
    </w:p>
    <w:p w14:paraId="19B219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 w:name="n15848"/>
      <w:bookmarkEnd w:id="628"/>
      <w:r w:rsidRPr="008B264B">
        <w:rPr>
          <w:rFonts w:ascii="Times New Roman" w:eastAsia="Times New Roman" w:hAnsi="Times New Roman" w:cs="Times New Roman"/>
          <w:color w:val="000000"/>
          <w:sz w:val="24"/>
          <w:szCs w:val="24"/>
          <w:lang/>
        </w:rPr>
        <w:t>Для цілей цього Кодексу термін </w:t>
      </w:r>
      <w:hyperlink r:id="rId445" w:anchor="n40" w:tgtFrame="_blank" w:history="1">
        <w:r w:rsidRPr="008B264B">
          <w:rPr>
            <w:rFonts w:ascii="Times New Roman" w:eastAsia="Times New Roman" w:hAnsi="Times New Roman" w:cs="Times New Roman"/>
            <w:color w:val="0000FF"/>
            <w:sz w:val="24"/>
            <w:szCs w:val="24"/>
            <w:u w:val="single"/>
            <w:lang/>
          </w:rPr>
          <w:t>"кінцевий бенефіціарний власник (контролер)"</w:t>
        </w:r>
      </w:hyperlink>
      <w:r w:rsidRPr="008B264B">
        <w:rPr>
          <w:rFonts w:ascii="Times New Roman" w:eastAsia="Times New Roman" w:hAnsi="Times New Roman" w:cs="Times New Roman"/>
          <w:color w:val="000000"/>
          <w:sz w:val="24"/>
          <w:szCs w:val="24"/>
          <w:lang/>
        </w:rPr>
        <w:t> вживається у значенні, наведеному в Законі України "Про запобігання та протидію легалізації (відмиванню) доходів, одержаних злочинним шляхом, фінансуванню тероризму та фінансуванню розповсюдження зброї масового знищення".</w:t>
      </w:r>
    </w:p>
    <w:p w14:paraId="609154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 w:name="n15849"/>
      <w:bookmarkEnd w:id="629"/>
      <w:r w:rsidRPr="008B264B">
        <w:rPr>
          <w:rFonts w:ascii="Times New Roman" w:eastAsia="Times New Roman" w:hAnsi="Times New Roman" w:cs="Times New Roman"/>
          <w:color w:val="000000"/>
          <w:sz w:val="24"/>
          <w:szCs w:val="24"/>
          <w:lang/>
        </w:rPr>
        <w:t>Якщо міжнародним договором, що містить положення про обмін інформацією для податкових цілей, згода на обов’язковість якого надана Верховною Радою України, або укладеним на його підставі міжвідомчим договором встановлені інші правила визначення підзвітного рахунка, положення цього Кодексу застосовуються з урахуванням правил міжнародного договору. Перелік таких міжнародних договорів оприлюднюється на офіційному веб-сайті центрального органу виконавчої влади, що реалізує державну податкову політику;</w:t>
      </w:r>
    </w:p>
    <w:p w14:paraId="426396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 w:name="n15839"/>
      <w:bookmarkEnd w:id="630"/>
      <w:r w:rsidRPr="008B264B">
        <w:rPr>
          <w:rFonts w:ascii="Times New Roman" w:eastAsia="Times New Roman" w:hAnsi="Times New Roman" w:cs="Times New Roman"/>
          <w:i/>
          <w:iCs/>
          <w:color w:val="000000"/>
          <w:sz w:val="24"/>
          <w:szCs w:val="24"/>
          <w:lang/>
        </w:rPr>
        <w:t>{Пункт 14.1 статті 14 доповнено підпунктом 14.1.146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46" w:anchor="n10"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018726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 w:name="n554"/>
      <w:bookmarkEnd w:id="631"/>
      <w:r w:rsidRPr="008B264B">
        <w:rPr>
          <w:rFonts w:ascii="Times New Roman" w:eastAsia="Times New Roman" w:hAnsi="Times New Roman" w:cs="Times New Roman"/>
          <w:color w:val="000000"/>
          <w:sz w:val="24"/>
          <w:szCs w:val="24"/>
          <w:lang/>
        </w:rPr>
        <w:t>14.1.147. плата за землю - обов’язковий платіж у складі податку на майно, що справляється у формі земельного податку або орендної плати за земельні ділянки державної і комунальної власності;</w:t>
      </w:r>
    </w:p>
    <w:p w14:paraId="38D19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 w:name="n10482"/>
      <w:bookmarkEnd w:id="632"/>
      <w:r w:rsidRPr="008B264B">
        <w:rPr>
          <w:rFonts w:ascii="Times New Roman" w:eastAsia="Times New Roman" w:hAnsi="Times New Roman" w:cs="Times New Roman"/>
          <w:i/>
          <w:iCs/>
          <w:color w:val="000000"/>
          <w:sz w:val="24"/>
          <w:szCs w:val="24"/>
          <w:lang/>
        </w:rPr>
        <w:t>{Підпункт 14.1.147 пункту 14.1 статті 14 в редакції Закону </w:t>
      </w:r>
      <w:hyperlink r:id="rId447" w:anchor="n1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48" w:anchor="n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D14C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 w:name="n555"/>
      <w:bookmarkEnd w:id="633"/>
      <w:r w:rsidRPr="008B264B">
        <w:rPr>
          <w:rFonts w:ascii="Times New Roman" w:eastAsia="Times New Roman" w:hAnsi="Times New Roman" w:cs="Times New Roman"/>
          <w:color w:val="000000"/>
          <w:sz w:val="24"/>
          <w:szCs w:val="24"/>
          <w:lang/>
        </w:rPr>
        <w:t>14.1.148. плата за марки акцизного податку - плата, що вноситься вітчизняними виробниками та імпортерами алкогольних напоїв і тютюнових виробів за покриття витрат з виробництва, зберігання та реалізації марок акцизного податку. Розмір плати за марки акцизного податку встановлюється Кабінетом Міністрів України;</w:t>
      </w:r>
    </w:p>
    <w:p w14:paraId="2A5FF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 w:name="n556"/>
      <w:bookmarkEnd w:id="634"/>
      <w:r w:rsidRPr="008B264B">
        <w:rPr>
          <w:rFonts w:ascii="Times New Roman" w:eastAsia="Times New Roman" w:hAnsi="Times New Roman" w:cs="Times New Roman"/>
          <w:color w:val="000000"/>
          <w:sz w:val="24"/>
          <w:szCs w:val="24"/>
          <w:lang/>
        </w:rPr>
        <w:t>14.1.149. платник рентної плати для цілей </w:t>
      </w:r>
      <w:hyperlink r:id="rId449" w:anchor="n6117" w:history="1">
        <w:r w:rsidRPr="008B264B">
          <w:rPr>
            <w:rFonts w:ascii="Times New Roman" w:eastAsia="Times New Roman" w:hAnsi="Times New Roman" w:cs="Times New Roman"/>
            <w:color w:val="0000FF"/>
            <w:sz w:val="24"/>
            <w:szCs w:val="24"/>
            <w:u w:val="single"/>
            <w:lang/>
          </w:rPr>
          <w:t>розділу IX</w:t>
        </w:r>
      </w:hyperlink>
      <w:r w:rsidRPr="008B264B">
        <w:rPr>
          <w:rFonts w:ascii="Times New Roman" w:eastAsia="Times New Roman" w:hAnsi="Times New Roman" w:cs="Times New Roman"/>
          <w:color w:val="000000"/>
          <w:sz w:val="24"/>
          <w:szCs w:val="24"/>
          <w:lang/>
        </w:rPr>
        <w:t> цього Кодексу - платник рентної плати за користування надрами для видобування корисних копалин, платник рентної плати за користування надрами в цілях, не пов’язаних з видобуванням корисних копалин, платник рентної плати за користування радіочастотним ресурсом України, платник рентної плати за спеціальне використання води, платник рентної плати за спеціальне використання лісових ресурсів, платник рентної плати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w:t>
      </w:r>
    </w:p>
    <w:p w14:paraId="3F2911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 w:name="n10483"/>
      <w:bookmarkEnd w:id="635"/>
      <w:r w:rsidRPr="008B264B">
        <w:rPr>
          <w:rFonts w:ascii="Times New Roman" w:eastAsia="Times New Roman" w:hAnsi="Times New Roman" w:cs="Times New Roman"/>
          <w:i/>
          <w:iCs/>
          <w:color w:val="000000"/>
          <w:sz w:val="24"/>
          <w:szCs w:val="24"/>
          <w:lang/>
        </w:rPr>
        <w:lastRenderedPageBreak/>
        <w:t>{Підпункт 14.1.149 пункту 14.1 статті 14 в редакції Закону </w:t>
      </w:r>
      <w:hyperlink r:id="rId450" w:anchor="n11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51" w:anchor="n3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58DCA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 w:name="n557"/>
      <w:bookmarkEnd w:id="636"/>
      <w:r w:rsidRPr="008B264B">
        <w:rPr>
          <w:rFonts w:ascii="Times New Roman" w:eastAsia="Times New Roman" w:hAnsi="Times New Roman" w:cs="Times New Roman"/>
          <w:color w:val="000000"/>
          <w:sz w:val="24"/>
          <w:szCs w:val="24"/>
          <w:lang/>
        </w:rPr>
        <w:t>14.1.150. первинна переробка (збагачення) мінеральної сировини як вид господарської діяльності гірничого підприємства включає сукупність операцій збирання, дроблення або мелення, сушку, класифікацію (сортування), брикетування, збагачення фізико-хімічними методами (без якісної зміни мінеральних форм корисних копалин, їх агрегатно-фазового стану, кристалохімічної структури), за виключенням агломерації/грудкування руди з термічною обробкою, агломерацію та збагачення фізико-хімічними методами, а також може включати переробні технології, що є спеціальними видами робіт з добування корисних копалин (підземна газифікація та виплавляння, хімічне та бактеріальне вилуговування, дражна та гідравлічна розробка розсипних родовищ, гідравлічний транспорт гірничих порід покладів дна водойм);</w:t>
      </w:r>
    </w:p>
    <w:p w14:paraId="4B9AA2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 w:name="n9663"/>
      <w:bookmarkEnd w:id="637"/>
      <w:r w:rsidRPr="008B264B">
        <w:rPr>
          <w:rFonts w:ascii="Times New Roman" w:eastAsia="Times New Roman" w:hAnsi="Times New Roman" w:cs="Times New Roman"/>
          <w:i/>
          <w:iCs/>
          <w:color w:val="000000"/>
          <w:sz w:val="24"/>
          <w:szCs w:val="24"/>
          <w:lang/>
        </w:rPr>
        <w:t>{Підпункт 14.1.150 пункту 14.1 статті 14 із змінами, внесеними згідно із Законами </w:t>
      </w:r>
      <w:hyperlink r:id="rId452" w:anchor="n12"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453" w:anchor="n11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54" w:anchor="n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55A3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 w:name="n558"/>
      <w:bookmarkEnd w:id="638"/>
      <w:r w:rsidRPr="008B264B">
        <w:rPr>
          <w:rFonts w:ascii="Times New Roman" w:eastAsia="Times New Roman" w:hAnsi="Times New Roman" w:cs="Times New Roman"/>
          <w:i/>
          <w:iCs/>
          <w:color w:val="000000"/>
          <w:sz w:val="24"/>
          <w:szCs w:val="24"/>
          <w:lang/>
        </w:rPr>
        <w:t>{Підпункт 14.1.151 пункту 14.1 статті 14 виключено на підставі Закону </w:t>
      </w:r>
      <w:hyperlink r:id="rId455"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E7DEE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 w:name="n559"/>
      <w:bookmarkEnd w:id="639"/>
      <w:r w:rsidRPr="008B264B">
        <w:rPr>
          <w:rFonts w:ascii="Times New Roman" w:eastAsia="Times New Roman" w:hAnsi="Times New Roman" w:cs="Times New Roman"/>
          <w:color w:val="000000"/>
          <w:sz w:val="24"/>
          <w:szCs w:val="24"/>
          <w:lang/>
        </w:rPr>
        <w:t>14.1.152. погашення податкового боргу - зменшення абсолютного значення суми такого боргу, підтверджене відповідним документом;</w:t>
      </w:r>
    </w:p>
    <w:p w14:paraId="60372B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 w:name="n560"/>
      <w:bookmarkEnd w:id="640"/>
      <w:r w:rsidRPr="008B264B">
        <w:rPr>
          <w:rFonts w:ascii="Times New Roman" w:eastAsia="Times New Roman" w:hAnsi="Times New Roman" w:cs="Times New Roman"/>
          <w:color w:val="000000"/>
          <w:sz w:val="24"/>
          <w:szCs w:val="24"/>
          <w:lang/>
        </w:rPr>
        <w:t>14.1.153. податкова вимога - письмова вимога контролюючого органу до платника податків щодо погашення суми податкового боргу;</w:t>
      </w:r>
    </w:p>
    <w:p w14:paraId="3F9E68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 w:name="n561"/>
      <w:bookmarkEnd w:id="641"/>
      <w:r w:rsidRPr="008B264B">
        <w:rPr>
          <w:rFonts w:ascii="Times New Roman" w:eastAsia="Times New Roman" w:hAnsi="Times New Roman" w:cs="Times New Roman"/>
          <w:color w:val="000000"/>
          <w:sz w:val="24"/>
          <w:szCs w:val="24"/>
          <w:lang/>
        </w:rPr>
        <w:t>14.1.154. податковий борг в міжнародних правовідносинах - грошове зобов'язання з урахуванням штрафних санкцій, пені за їх наявності та витрат, пов'язаних з його стягненням, несплачене в установлений строк, що на підставі відповідного документа іноземної держави є предметом стягнення, яке може бути звернуто відповідно до міжнародного договору України;</w:t>
      </w:r>
    </w:p>
    <w:p w14:paraId="3B0A22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 w:name="n562"/>
      <w:bookmarkEnd w:id="642"/>
      <w:r w:rsidRPr="008B264B">
        <w:rPr>
          <w:rFonts w:ascii="Times New Roman" w:eastAsia="Times New Roman" w:hAnsi="Times New Roman" w:cs="Times New Roman"/>
          <w:color w:val="000000"/>
          <w:sz w:val="24"/>
          <w:szCs w:val="24"/>
          <w:lang/>
        </w:rPr>
        <w:t>14.1.155. податкова застава - спосіб забезпечення сплати платником податків грошового зобов'язання та пені, не сплачених таким платником у строк, визначений цим Кодексом. Податкова застава виникає на підставах, встановлених цим Кодексом.</w:t>
      </w:r>
    </w:p>
    <w:p w14:paraId="0ECCCF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 w:name="n563"/>
      <w:bookmarkEnd w:id="643"/>
      <w:r w:rsidRPr="008B264B">
        <w:rPr>
          <w:rFonts w:ascii="Times New Roman" w:eastAsia="Times New Roman" w:hAnsi="Times New Roman" w:cs="Times New Roman"/>
          <w:color w:val="000000"/>
          <w:sz w:val="24"/>
          <w:szCs w:val="24"/>
          <w:lang/>
        </w:rPr>
        <w:t>У разі невиконання платником податків грошового зобов'язання, забезпеченого податковою заставою, орган стягнення у порядку, визначеному цим Кодексом, звертає стягнення на майно такого платника, що є предметом податкової застави;</w:t>
      </w:r>
    </w:p>
    <w:p w14:paraId="623FE2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 w:name="n564"/>
      <w:bookmarkEnd w:id="644"/>
      <w:r w:rsidRPr="008B264B">
        <w:rPr>
          <w:rFonts w:ascii="Times New Roman" w:eastAsia="Times New Roman" w:hAnsi="Times New Roman" w:cs="Times New Roman"/>
          <w:color w:val="000000"/>
          <w:sz w:val="24"/>
          <w:szCs w:val="24"/>
          <w:lang/>
        </w:rPr>
        <w:t>14.1.156. податкове зобов'язання - сума коштів, яку платник податків, у тому числі податковий агент, повинен сплатити до відповідного бюджету як податок або збір на підставі, в порядку та строки, визначені податковим законодавством (у тому числі сума коштів, визначена платником податків у податковому векселі та не сплачена в установлений законом строк);</w:t>
      </w:r>
    </w:p>
    <w:p w14:paraId="47F03C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 w:name="n565"/>
      <w:bookmarkEnd w:id="645"/>
      <w:r w:rsidRPr="008B264B">
        <w:rPr>
          <w:rFonts w:ascii="Times New Roman" w:eastAsia="Times New Roman" w:hAnsi="Times New Roman" w:cs="Times New Roman"/>
          <w:color w:val="000000"/>
          <w:sz w:val="24"/>
          <w:szCs w:val="24"/>
          <w:lang/>
        </w:rPr>
        <w:t>14.1.157. податкове повідомлення-рішення - письмове повідомлення контролюючого органу (рішення) про обов'язок платника податків сплатити суму грошового зобов'язання, визначену контролюючим органом у випадках, передбачених цим Кодексом та іншими законодавчими актами, контроль за виконанням яких покладено на контролюючі органи, або внести відповідні зміни до податкової звітності;</w:t>
      </w:r>
    </w:p>
    <w:p w14:paraId="6658E3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 w:name="n566"/>
      <w:bookmarkEnd w:id="646"/>
      <w:r w:rsidRPr="008B264B">
        <w:rPr>
          <w:rFonts w:ascii="Times New Roman" w:eastAsia="Times New Roman" w:hAnsi="Times New Roman" w:cs="Times New Roman"/>
          <w:color w:val="000000"/>
          <w:sz w:val="24"/>
          <w:szCs w:val="24"/>
          <w:lang/>
        </w:rPr>
        <w:t>14.1.158. податкове повідомлення в міжнародних правовідносинах - письмове повідомлення контролюючого органу про обов'язок платника податків сплатити суму грошового зобов'язання, визначену документом іноземної держави, за яким здійснюється погашення такої суми грошового зобов'язання відповідно до міжнародного договору України;</w:t>
      </w:r>
    </w:p>
    <w:p w14:paraId="7B2828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 w:name="n567"/>
      <w:bookmarkEnd w:id="647"/>
      <w:r w:rsidRPr="008B264B">
        <w:rPr>
          <w:rFonts w:ascii="Times New Roman" w:eastAsia="Times New Roman" w:hAnsi="Times New Roman" w:cs="Times New Roman"/>
          <w:color w:val="000000"/>
          <w:sz w:val="24"/>
          <w:szCs w:val="24"/>
          <w:lang/>
        </w:rPr>
        <w:t>14.1.159. пов’язані особи - юридичні та/або фізичні особи, відносини між якими можуть впливати на умови або економічні результати їх діяльності чи діяльності осіб, яких вони представляють, з урахуванням таких критеріїв:</w:t>
      </w:r>
    </w:p>
    <w:p w14:paraId="4E9A5E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 w:name="n10842"/>
      <w:bookmarkEnd w:id="648"/>
      <w:r w:rsidRPr="008B264B">
        <w:rPr>
          <w:rFonts w:ascii="Times New Roman" w:eastAsia="Times New Roman" w:hAnsi="Times New Roman" w:cs="Times New Roman"/>
          <w:color w:val="000000"/>
          <w:sz w:val="24"/>
          <w:szCs w:val="24"/>
          <w:lang/>
        </w:rPr>
        <w:t>а) для юридичних осіб:</w:t>
      </w:r>
    </w:p>
    <w:p w14:paraId="132657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 w:name="n10843"/>
      <w:bookmarkEnd w:id="649"/>
      <w:r w:rsidRPr="008B264B">
        <w:rPr>
          <w:rFonts w:ascii="Times New Roman" w:eastAsia="Times New Roman" w:hAnsi="Times New Roman" w:cs="Times New Roman"/>
          <w:color w:val="000000"/>
          <w:sz w:val="24"/>
          <w:szCs w:val="24"/>
          <w:lang/>
        </w:rPr>
        <w:lastRenderedPageBreak/>
        <w:t>одна юридична особа безпосередньо та/або опосередковано (через пов’язаних осіб) володіє корпоративними правами іншої юридичної особи у розмірі 20 і більше відсотків;</w:t>
      </w:r>
    </w:p>
    <w:p w14:paraId="4102BD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 w:name="n10844"/>
      <w:bookmarkEnd w:id="650"/>
      <w:r w:rsidRPr="008B264B">
        <w:rPr>
          <w:rFonts w:ascii="Times New Roman" w:eastAsia="Times New Roman" w:hAnsi="Times New Roman" w:cs="Times New Roman"/>
          <w:color w:val="000000"/>
          <w:sz w:val="24"/>
          <w:szCs w:val="24"/>
          <w:lang/>
        </w:rPr>
        <w:t>одна і та сама юридична або фізична особа безпосередньо та/або опосередковано володіє корпоративними правами у кожній такій юридичній особі у розмірі 20 і більше відсотків;</w:t>
      </w:r>
    </w:p>
    <w:p w14:paraId="212A88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 w:name="n10845"/>
      <w:bookmarkEnd w:id="651"/>
      <w:r w:rsidRPr="008B264B">
        <w:rPr>
          <w:rFonts w:ascii="Times New Roman" w:eastAsia="Times New Roman" w:hAnsi="Times New Roman" w:cs="Times New Roman"/>
          <w:color w:val="000000"/>
          <w:sz w:val="24"/>
          <w:szCs w:val="24"/>
          <w:lang/>
        </w:rPr>
        <w:t>одна і та сама юридична або фізична особа приймає рішення щодо призначення (обрання) одноособових виконавчих органів кожної такої юридичної особи;</w:t>
      </w:r>
    </w:p>
    <w:p w14:paraId="77CFA1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 w:name="n10846"/>
      <w:bookmarkEnd w:id="652"/>
      <w:r w:rsidRPr="008B264B">
        <w:rPr>
          <w:rFonts w:ascii="Times New Roman" w:eastAsia="Times New Roman" w:hAnsi="Times New Roman" w:cs="Times New Roman"/>
          <w:color w:val="000000"/>
          <w:sz w:val="24"/>
          <w:szCs w:val="24"/>
          <w:lang/>
        </w:rPr>
        <w:t>одна і та сама юридична або фізична особа приймає рішення щодо призначення (обрання) 50 і більше відсотків складу колегіального виконавчого органу або наглядової ради кожної такої юридичної особи;</w:t>
      </w:r>
    </w:p>
    <w:p w14:paraId="7383DF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 w:name="n10847"/>
      <w:bookmarkEnd w:id="653"/>
      <w:r w:rsidRPr="008B264B">
        <w:rPr>
          <w:rFonts w:ascii="Times New Roman" w:eastAsia="Times New Roman" w:hAnsi="Times New Roman" w:cs="Times New Roman"/>
          <w:color w:val="000000"/>
          <w:sz w:val="24"/>
          <w:szCs w:val="24"/>
          <w:lang/>
        </w:rPr>
        <w:t>принаймні 50 відсотків складу колегіального виконавчого органу та/або наглядової ради кожної такої юридичної особи складають одні і ті самі фізичні особи;</w:t>
      </w:r>
    </w:p>
    <w:p w14:paraId="251F73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 w:name="n10848"/>
      <w:bookmarkEnd w:id="654"/>
      <w:r w:rsidRPr="008B264B">
        <w:rPr>
          <w:rFonts w:ascii="Times New Roman" w:eastAsia="Times New Roman" w:hAnsi="Times New Roman" w:cs="Times New Roman"/>
          <w:color w:val="000000"/>
          <w:sz w:val="24"/>
          <w:szCs w:val="24"/>
          <w:lang/>
        </w:rPr>
        <w:t>одноособові виконавчі органи таких юридичних осіб призначені (обрані) за рішенням однієї і тієї самої особи (власника або уповноваженого ним органу);</w:t>
      </w:r>
    </w:p>
    <w:p w14:paraId="429254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 w:name="n10849"/>
      <w:bookmarkEnd w:id="655"/>
      <w:r w:rsidRPr="008B264B">
        <w:rPr>
          <w:rFonts w:ascii="Times New Roman" w:eastAsia="Times New Roman" w:hAnsi="Times New Roman" w:cs="Times New Roman"/>
          <w:color w:val="000000"/>
          <w:sz w:val="24"/>
          <w:szCs w:val="24"/>
          <w:lang/>
        </w:rPr>
        <w:t>юридична особа має повноваження на призначення (обрання) одноособового виконавчого органу такої юридичної особи або на призначення (обрання) 50 і більше відсотків складу її колегіального виконавчого органу або наглядової ради;</w:t>
      </w:r>
    </w:p>
    <w:p w14:paraId="02C818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 w:name="n14741"/>
      <w:bookmarkEnd w:id="656"/>
      <w:r w:rsidRPr="008B264B">
        <w:rPr>
          <w:rFonts w:ascii="Times New Roman" w:eastAsia="Times New Roman" w:hAnsi="Times New Roman" w:cs="Times New Roman"/>
          <w:color w:val="000000"/>
          <w:sz w:val="24"/>
          <w:szCs w:val="24"/>
          <w:lang/>
        </w:rPr>
        <w:t>кінцевим бенефіціарним власником (контролером) таких юридичних осіб є одна і та сама фізична особа;</w:t>
      </w:r>
    </w:p>
    <w:p w14:paraId="5155D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 w:name="n14743"/>
      <w:bookmarkEnd w:id="657"/>
      <w:r w:rsidRPr="008B264B">
        <w:rPr>
          <w:rFonts w:ascii="Times New Roman" w:eastAsia="Times New Roman" w:hAnsi="Times New Roman" w:cs="Times New Roman"/>
          <w:i/>
          <w:iCs/>
          <w:color w:val="000000"/>
          <w:sz w:val="24"/>
          <w:szCs w:val="24"/>
          <w:lang/>
        </w:rPr>
        <w:t>{Підпункт "а" підпункту 14.1.159 пункту 14.1 статті 14 доповнено новим абзацом згідно із Законом </w:t>
      </w:r>
      <w:hyperlink r:id="rId456" w:anchor="n3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43ABB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 w:name="n14742"/>
      <w:bookmarkEnd w:id="658"/>
      <w:r w:rsidRPr="008B264B">
        <w:rPr>
          <w:rFonts w:ascii="Times New Roman" w:eastAsia="Times New Roman" w:hAnsi="Times New Roman" w:cs="Times New Roman"/>
          <w:color w:val="000000"/>
          <w:sz w:val="24"/>
          <w:szCs w:val="24"/>
          <w:lang/>
        </w:rPr>
        <w:t>повноваження одноособового виконавчого органу таких юридичних осіб здійснює одна і та сама особа;</w:t>
      </w:r>
    </w:p>
    <w:p w14:paraId="3C2AA4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 w:name="n14740"/>
      <w:bookmarkEnd w:id="659"/>
      <w:r w:rsidRPr="008B264B">
        <w:rPr>
          <w:rFonts w:ascii="Times New Roman" w:eastAsia="Times New Roman" w:hAnsi="Times New Roman" w:cs="Times New Roman"/>
          <w:i/>
          <w:iCs/>
          <w:color w:val="000000"/>
          <w:sz w:val="24"/>
          <w:szCs w:val="24"/>
          <w:lang/>
        </w:rPr>
        <w:t>{Підпункт "а" підпункту 14.1.159 пункту 14.1 статті 14 доповнено новим абзацом згідно із Законом </w:t>
      </w:r>
      <w:hyperlink r:id="rId457" w:anchor="n3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AEB3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 w:name="n10850"/>
      <w:bookmarkEnd w:id="660"/>
      <w:r w:rsidRPr="008B264B">
        <w:rPr>
          <w:rFonts w:ascii="Times New Roman" w:eastAsia="Times New Roman" w:hAnsi="Times New Roman" w:cs="Times New Roman"/>
          <w:color w:val="000000"/>
          <w:sz w:val="24"/>
          <w:szCs w:val="24"/>
          <w:lang/>
        </w:rPr>
        <w:t>сума всіх кредитів (позик), поворотної фінансової допомоги від однієї юридичної особи та/або кредитів (позик), поворотної фінансової допомоги від інших юридичних осіб, гарантованих однією юридичною особою, стосовно іншої юридичної особи перевищує суму власного капіталу більше ніж у 3,5 раза (для фінансових установ та компаній, що провадять виключно лізингову діяльність, - більше ніж у 10 разів). При цьому сума таких кредитів (позик), поворотної фінансової допомоги та власного капіталу визначається як середнє арифметичне значення (на початок та кінець звітного періоду). Положення цього абзацу не поширюються на суму кредитів (позик), залучених під державні гарантії;</w:t>
      </w:r>
    </w:p>
    <w:p w14:paraId="3C7D3A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 w:name="n12490"/>
      <w:bookmarkEnd w:id="661"/>
      <w:r w:rsidRPr="008B264B">
        <w:rPr>
          <w:rFonts w:ascii="Times New Roman" w:eastAsia="Times New Roman" w:hAnsi="Times New Roman" w:cs="Times New Roman"/>
          <w:i/>
          <w:iCs/>
          <w:color w:val="000000"/>
          <w:sz w:val="24"/>
          <w:szCs w:val="24"/>
          <w:lang/>
        </w:rPr>
        <w:t>{Абзац підпункту "а" підпункту 14.1.159 пункту 14.1 статті 14 із змінами, внесеними згідно з Законами </w:t>
      </w:r>
      <w:hyperlink r:id="rId458" w:anchor="n1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459" w:anchor="n3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B4369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 w:name="n10851"/>
      <w:bookmarkEnd w:id="662"/>
      <w:r w:rsidRPr="008B264B">
        <w:rPr>
          <w:rFonts w:ascii="Times New Roman" w:eastAsia="Times New Roman" w:hAnsi="Times New Roman" w:cs="Times New Roman"/>
          <w:color w:val="000000"/>
          <w:sz w:val="24"/>
          <w:szCs w:val="24"/>
          <w:lang/>
        </w:rPr>
        <w:t>б) для фізичної особи та юридичної особи:</w:t>
      </w:r>
    </w:p>
    <w:p w14:paraId="542DBC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 w:name="n10852"/>
      <w:bookmarkEnd w:id="663"/>
      <w:r w:rsidRPr="008B264B">
        <w:rPr>
          <w:rFonts w:ascii="Times New Roman" w:eastAsia="Times New Roman" w:hAnsi="Times New Roman" w:cs="Times New Roman"/>
          <w:color w:val="000000"/>
          <w:sz w:val="24"/>
          <w:szCs w:val="24"/>
          <w:lang/>
        </w:rPr>
        <w:t>фізична особа безпосередньо та/або опосередковано (через пов’язаних осіб) володіє корпоративними правами юридичної особи у розмірі 20 і більше відсотків;</w:t>
      </w:r>
    </w:p>
    <w:p w14:paraId="7999B8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 w:name="n10853"/>
      <w:bookmarkEnd w:id="664"/>
      <w:r w:rsidRPr="008B264B">
        <w:rPr>
          <w:rFonts w:ascii="Times New Roman" w:eastAsia="Times New Roman" w:hAnsi="Times New Roman" w:cs="Times New Roman"/>
          <w:color w:val="000000"/>
          <w:sz w:val="24"/>
          <w:szCs w:val="24"/>
          <w:lang/>
        </w:rPr>
        <w:t>фізична особа має право призначати (обирати) одноособовий виконавчий орган такої юридичної особи або призначати (обирати) не менш як 50 відсотків складу її колегіального виконавчого органу або наглядової ради;</w:t>
      </w:r>
    </w:p>
    <w:p w14:paraId="1954A8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 w:name="n10854"/>
      <w:bookmarkEnd w:id="665"/>
      <w:r w:rsidRPr="008B264B">
        <w:rPr>
          <w:rFonts w:ascii="Times New Roman" w:eastAsia="Times New Roman" w:hAnsi="Times New Roman" w:cs="Times New Roman"/>
          <w:color w:val="000000"/>
          <w:sz w:val="24"/>
          <w:szCs w:val="24"/>
          <w:lang/>
        </w:rPr>
        <w:t>фізична особа здійснює повноваження одноособового виконавчого органу в такій юридичній особі;</w:t>
      </w:r>
    </w:p>
    <w:p w14:paraId="5FC10C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 w:name="n10855"/>
      <w:bookmarkEnd w:id="666"/>
      <w:r w:rsidRPr="008B264B">
        <w:rPr>
          <w:rFonts w:ascii="Times New Roman" w:eastAsia="Times New Roman" w:hAnsi="Times New Roman" w:cs="Times New Roman"/>
          <w:color w:val="000000"/>
          <w:sz w:val="24"/>
          <w:szCs w:val="24"/>
          <w:lang/>
        </w:rPr>
        <w:t>фізична особа має повноваження на призначення (обрання) одноособового виконавчого органу такої юридичної особи або на призначення (обрання) 50 і більше відсотків складу її колегіального виконавчого органу або наглядової ради;</w:t>
      </w:r>
    </w:p>
    <w:p w14:paraId="0C004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 w:name="n14745"/>
      <w:bookmarkEnd w:id="667"/>
      <w:r w:rsidRPr="008B264B">
        <w:rPr>
          <w:rFonts w:ascii="Times New Roman" w:eastAsia="Times New Roman" w:hAnsi="Times New Roman" w:cs="Times New Roman"/>
          <w:color w:val="000000"/>
          <w:sz w:val="24"/>
          <w:szCs w:val="24"/>
          <w:lang/>
        </w:rPr>
        <w:lastRenderedPageBreak/>
        <w:t>фізична особа є кінцевим бенефіціарним власником (контролером) юридичної особи;</w:t>
      </w:r>
    </w:p>
    <w:p w14:paraId="03097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 w:name="n14744"/>
      <w:bookmarkEnd w:id="668"/>
      <w:r w:rsidRPr="008B264B">
        <w:rPr>
          <w:rFonts w:ascii="Times New Roman" w:eastAsia="Times New Roman" w:hAnsi="Times New Roman" w:cs="Times New Roman"/>
          <w:i/>
          <w:iCs/>
          <w:color w:val="000000"/>
          <w:sz w:val="24"/>
          <w:szCs w:val="24"/>
          <w:lang/>
        </w:rPr>
        <w:t>{Підпункт "б" підпункту 14.1.159 пункту 14.1 статті 14 доповнено новим абзацом згідно із Законом </w:t>
      </w:r>
      <w:hyperlink r:id="rId460" w:anchor="n3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DC42D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 w:name="n10856"/>
      <w:bookmarkEnd w:id="669"/>
      <w:r w:rsidRPr="008B264B">
        <w:rPr>
          <w:rFonts w:ascii="Times New Roman" w:eastAsia="Times New Roman" w:hAnsi="Times New Roman" w:cs="Times New Roman"/>
          <w:color w:val="000000"/>
          <w:sz w:val="24"/>
          <w:szCs w:val="24"/>
          <w:lang/>
        </w:rPr>
        <w:t>сума всіх кредитів (позик), поворотної фінансової допомоги від фізичної особи, наданих юридичній особі, та/або будь-яких кредитів (позик), поворотної фінансової допомоги від інших фізичних осіб, наданих юридичній особі, які надаються під гарантії цієї фізичної особи, перевищують суму власного капіталу більше ніж у 3,5 раза (для фінансових установ та компаній, що провадять виключно лізингову діяльність, - більше ніж у 10 разів). При цьому сума таких кредитів (позик), поворотної фінансової допомоги та власного капіталу визначається як середнє арифметичне значення (на початок та кінець звітного періоду);</w:t>
      </w:r>
    </w:p>
    <w:p w14:paraId="0A2287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 w:name="n12491"/>
      <w:bookmarkEnd w:id="670"/>
      <w:r w:rsidRPr="008B264B">
        <w:rPr>
          <w:rFonts w:ascii="Times New Roman" w:eastAsia="Times New Roman" w:hAnsi="Times New Roman" w:cs="Times New Roman"/>
          <w:i/>
          <w:iCs/>
          <w:color w:val="000000"/>
          <w:sz w:val="24"/>
          <w:szCs w:val="24"/>
          <w:lang/>
        </w:rPr>
        <w:t>{Абзац підпункту "б" підпункту 14.1.159 пункту 14.1 статті 14 із змінами, внесеними згідно з Законом </w:t>
      </w:r>
      <w:hyperlink r:id="rId461" w:anchor="n1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69ACD0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 w:name="n10857"/>
      <w:bookmarkEnd w:id="671"/>
      <w:r w:rsidRPr="008B264B">
        <w:rPr>
          <w:rFonts w:ascii="Times New Roman" w:eastAsia="Times New Roman" w:hAnsi="Times New Roman" w:cs="Times New Roman"/>
          <w:color w:val="000000"/>
          <w:sz w:val="24"/>
          <w:szCs w:val="24"/>
          <w:lang/>
        </w:rPr>
        <w:t>в) для фізичних осіб - чоловік (дружина), батьки (у тому числі усиновлювачі), діти (повнолітні/неповнолітні, у тому числі усиновлені), повнорідні та неповнорідні брати і сестри, опікун, піклувальник, дитина, над якою встановлено опіку чи піклування.</w:t>
      </w:r>
    </w:p>
    <w:p w14:paraId="25B8C5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 w:name="n10858"/>
      <w:bookmarkEnd w:id="672"/>
      <w:r w:rsidRPr="008B264B">
        <w:rPr>
          <w:rFonts w:ascii="Times New Roman" w:eastAsia="Times New Roman" w:hAnsi="Times New Roman" w:cs="Times New Roman"/>
          <w:color w:val="000000"/>
          <w:sz w:val="24"/>
          <w:szCs w:val="24"/>
          <w:lang/>
        </w:rPr>
        <w:t>Усі корпоративні права, які належать (безпосередньо та/або опосередковано) юридичній особі в іншій юридичній особі, є сумою часток корпоративних прав, які:</w:t>
      </w:r>
    </w:p>
    <w:p w14:paraId="3C7009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 w:name="n10859"/>
      <w:bookmarkEnd w:id="673"/>
      <w:r w:rsidRPr="008B264B">
        <w:rPr>
          <w:rFonts w:ascii="Times New Roman" w:eastAsia="Times New Roman" w:hAnsi="Times New Roman" w:cs="Times New Roman"/>
          <w:color w:val="000000"/>
          <w:sz w:val="24"/>
          <w:szCs w:val="24"/>
          <w:lang/>
        </w:rPr>
        <w:t>безпосередньо належать такій юридичній особі в іншій юридичній особі;</w:t>
      </w:r>
    </w:p>
    <w:p w14:paraId="313358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 w:name="n10860"/>
      <w:bookmarkEnd w:id="674"/>
      <w:r w:rsidRPr="008B264B">
        <w:rPr>
          <w:rFonts w:ascii="Times New Roman" w:eastAsia="Times New Roman" w:hAnsi="Times New Roman" w:cs="Times New Roman"/>
          <w:color w:val="000000"/>
          <w:sz w:val="24"/>
          <w:szCs w:val="24"/>
          <w:lang/>
        </w:rPr>
        <w:t>належать будь-якій із пов’язаних сторін такої юридичної особи в іншій юридичній особі.</w:t>
      </w:r>
    </w:p>
    <w:p w14:paraId="19CB9E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 w:name="n10861"/>
      <w:bookmarkEnd w:id="675"/>
      <w:r w:rsidRPr="008B264B">
        <w:rPr>
          <w:rFonts w:ascii="Times New Roman" w:eastAsia="Times New Roman" w:hAnsi="Times New Roman" w:cs="Times New Roman"/>
          <w:color w:val="000000"/>
          <w:sz w:val="24"/>
          <w:szCs w:val="24"/>
          <w:lang/>
        </w:rPr>
        <w:t>Для цілей визначення, чи володіє фізична особа безпосередньо та/або опосередковано корпоративними правами у розмірі 20 і більше відсотків у юридичній особі, усі корпоративні права, які належать (безпосередньо та/або опосередковано) фізичній особі, є сумою часток корпоративних прав, які:</w:t>
      </w:r>
    </w:p>
    <w:p w14:paraId="339EBF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 w:name="n10862"/>
      <w:bookmarkEnd w:id="676"/>
      <w:r w:rsidRPr="008B264B">
        <w:rPr>
          <w:rFonts w:ascii="Times New Roman" w:eastAsia="Times New Roman" w:hAnsi="Times New Roman" w:cs="Times New Roman"/>
          <w:color w:val="000000"/>
          <w:sz w:val="24"/>
          <w:szCs w:val="24"/>
          <w:lang/>
        </w:rPr>
        <w:t>безпосередньо належать такій фізичній особі в юридичній особі;</w:t>
      </w:r>
    </w:p>
    <w:p w14:paraId="6C2E13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 w:name="n10863"/>
      <w:bookmarkEnd w:id="677"/>
      <w:r w:rsidRPr="008B264B">
        <w:rPr>
          <w:rFonts w:ascii="Times New Roman" w:eastAsia="Times New Roman" w:hAnsi="Times New Roman" w:cs="Times New Roman"/>
          <w:color w:val="000000"/>
          <w:sz w:val="24"/>
          <w:szCs w:val="24"/>
          <w:lang/>
        </w:rPr>
        <w:t>належать будь-яким пов’язаним особам такої фізичної особи у зазначеній юридичній особі.</w:t>
      </w:r>
    </w:p>
    <w:p w14:paraId="3EABC9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 w:name="n14747"/>
      <w:bookmarkEnd w:id="678"/>
      <w:r w:rsidRPr="008B264B">
        <w:rPr>
          <w:rFonts w:ascii="Times New Roman" w:eastAsia="Times New Roman" w:hAnsi="Times New Roman" w:cs="Times New Roman"/>
          <w:color w:val="000000"/>
          <w:sz w:val="24"/>
          <w:szCs w:val="24"/>
          <w:lang/>
        </w:rPr>
        <w:t>Якщо фізична особа визнається пов’язаною з іншими особами відповідно до цього підпункту, такі особи визнаються пов’язаними між собою.</w:t>
      </w:r>
    </w:p>
    <w:p w14:paraId="5F57BD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 w:name="n14746"/>
      <w:bookmarkEnd w:id="679"/>
      <w:r w:rsidRPr="008B264B">
        <w:rPr>
          <w:rFonts w:ascii="Times New Roman" w:eastAsia="Times New Roman" w:hAnsi="Times New Roman" w:cs="Times New Roman"/>
          <w:i/>
          <w:iCs/>
          <w:color w:val="000000"/>
          <w:sz w:val="24"/>
          <w:szCs w:val="24"/>
          <w:lang/>
        </w:rPr>
        <w:t>{Підпункт "в" підпункту 14.1.159 пункту 14.1 статті 14 доповнено новим абзацом згідно із Законом </w:t>
      </w:r>
      <w:hyperlink r:id="rId462" w:anchor="n3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410F9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 w:name="n10864"/>
      <w:bookmarkEnd w:id="680"/>
      <w:r w:rsidRPr="008B264B">
        <w:rPr>
          <w:rFonts w:ascii="Times New Roman" w:eastAsia="Times New Roman" w:hAnsi="Times New Roman" w:cs="Times New Roman"/>
          <w:color w:val="000000"/>
          <w:sz w:val="24"/>
          <w:szCs w:val="24"/>
          <w:lang/>
        </w:rPr>
        <w:t>Розмір частки володіння корпоративними правами розраховується у разі:</w:t>
      </w:r>
    </w:p>
    <w:p w14:paraId="5A2F9E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 w:name="n10865"/>
      <w:bookmarkEnd w:id="681"/>
      <w:r w:rsidRPr="008B264B">
        <w:rPr>
          <w:rFonts w:ascii="Times New Roman" w:eastAsia="Times New Roman" w:hAnsi="Times New Roman" w:cs="Times New Roman"/>
          <w:color w:val="000000"/>
          <w:sz w:val="24"/>
          <w:szCs w:val="24"/>
          <w:lang/>
        </w:rPr>
        <w:t>опосередкованого володіння (в одному ланцюгу) - шляхом множення часток володіння корпоративними правами;</w:t>
      </w:r>
    </w:p>
    <w:p w14:paraId="6FF0A1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 w:name="n10866"/>
      <w:bookmarkEnd w:id="682"/>
      <w:r w:rsidRPr="008B264B">
        <w:rPr>
          <w:rFonts w:ascii="Times New Roman" w:eastAsia="Times New Roman" w:hAnsi="Times New Roman" w:cs="Times New Roman"/>
          <w:color w:val="000000"/>
          <w:sz w:val="24"/>
          <w:szCs w:val="24"/>
          <w:lang/>
        </w:rPr>
        <w:t>володіння через кілька ланцюгів - шляхом підсумовування часток володіння корпоративними правами в кожному ланцюгу.</w:t>
      </w:r>
    </w:p>
    <w:p w14:paraId="7D7DBA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 w:name="n10867"/>
      <w:bookmarkEnd w:id="683"/>
      <w:r w:rsidRPr="008B264B">
        <w:rPr>
          <w:rFonts w:ascii="Times New Roman" w:eastAsia="Times New Roman" w:hAnsi="Times New Roman" w:cs="Times New Roman"/>
          <w:color w:val="000000"/>
          <w:sz w:val="24"/>
          <w:szCs w:val="24"/>
          <w:lang/>
        </w:rPr>
        <w:t>У разі коли частка володіння корпоративними правами кожної особи в наступній юридичній особі в ланцюгу становить 20 і більше відсотків, усі особи такого ланцюга є пов’язаними (незалежно від результатів множення).</w:t>
      </w:r>
    </w:p>
    <w:p w14:paraId="5B7060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 w:name="n14748"/>
      <w:bookmarkEnd w:id="684"/>
      <w:r w:rsidRPr="008B264B">
        <w:rPr>
          <w:rFonts w:ascii="Times New Roman" w:eastAsia="Times New Roman" w:hAnsi="Times New Roman" w:cs="Times New Roman"/>
          <w:i/>
          <w:iCs/>
          <w:color w:val="000000"/>
          <w:sz w:val="24"/>
          <w:szCs w:val="24"/>
          <w:lang/>
        </w:rPr>
        <w:t>{Абзац дванадцятий підпункту "в" підпункту 14.1.159 пункту 14.1 статті 14 із змінами, внесеними згідно із Законом </w:t>
      </w:r>
      <w:hyperlink r:id="rId463" w:anchor="n4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124E2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 w:name="n10868"/>
      <w:bookmarkEnd w:id="685"/>
      <w:r w:rsidRPr="008B264B">
        <w:rPr>
          <w:rFonts w:ascii="Times New Roman" w:eastAsia="Times New Roman" w:hAnsi="Times New Roman" w:cs="Times New Roman"/>
          <w:color w:val="000000"/>
          <w:sz w:val="24"/>
          <w:szCs w:val="24"/>
          <w:lang/>
        </w:rPr>
        <w:t>Пряма або опосередкована участь держави в юридичних особах не є підставою для визнання таких юридичних осіб пов’язаними. Такі платники податків можуть бути визнані пов’язаними з інших підстав, передбачених цим підпунктом.</w:t>
      </w:r>
    </w:p>
    <w:p w14:paraId="7F2456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 w:name="n10869"/>
      <w:bookmarkEnd w:id="686"/>
      <w:r w:rsidRPr="008B264B">
        <w:rPr>
          <w:rFonts w:ascii="Times New Roman" w:eastAsia="Times New Roman" w:hAnsi="Times New Roman" w:cs="Times New Roman"/>
          <w:color w:val="000000"/>
          <w:sz w:val="24"/>
          <w:szCs w:val="24"/>
          <w:lang/>
        </w:rPr>
        <w:t xml:space="preserve">За наявності обставин, зазначених в абзаці першому цього підпункту, юридичні та/або фізичні особи, які є сторонами господарської операції, мають право самостійно визнати себе для </w:t>
      </w:r>
      <w:r w:rsidRPr="008B264B">
        <w:rPr>
          <w:rFonts w:ascii="Times New Roman" w:eastAsia="Times New Roman" w:hAnsi="Times New Roman" w:cs="Times New Roman"/>
          <w:color w:val="000000"/>
          <w:sz w:val="24"/>
          <w:szCs w:val="24"/>
          <w:lang/>
        </w:rPr>
        <w:lastRenderedPageBreak/>
        <w:t>цілей оподаткування пов’язаними особами з підстав, не передбачених у підпунктах "а" - "в" цього підпункту.</w:t>
      </w:r>
    </w:p>
    <w:p w14:paraId="301769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 w:name="n12492"/>
      <w:bookmarkEnd w:id="687"/>
      <w:r w:rsidRPr="008B264B">
        <w:rPr>
          <w:rFonts w:ascii="Times New Roman" w:eastAsia="Times New Roman" w:hAnsi="Times New Roman" w:cs="Times New Roman"/>
          <w:i/>
          <w:iCs/>
          <w:color w:val="000000"/>
          <w:sz w:val="24"/>
          <w:szCs w:val="24"/>
          <w:lang/>
        </w:rPr>
        <w:t>{Абзац підпункту 14.1.159 пункту 14.1 статті 14 в редакції Закону </w:t>
      </w:r>
      <w:hyperlink r:id="rId464" w:anchor="n13"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0D44D7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 w:name="n10870"/>
      <w:bookmarkEnd w:id="688"/>
      <w:r w:rsidRPr="008B264B">
        <w:rPr>
          <w:rFonts w:ascii="Times New Roman" w:eastAsia="Times New Roman" w:hAnsi="Times New Roman" w:cs="Times New Roman"/>
          <w:color w:val="000000"/>
          <w:sz w:val="24"/>
          <w:szCs w:val="24"/>
          <w:lang/>
        </w:rPr>
        <w:t>Контролюючий орган в судовому порядку може довести на основі фактів і обставин, що одна юридична або фізична особа здійснювала фактичний контроль за бізнес-рішеннями іншої юридичної особи та/або що та сама фізична або юридична особа здійснювала фактичний контроль за бізнес-рішеннями кожної юридичної особи.</w:t>
      </w:r>
    </w:p>
    <w:p w14:paraId="250F9E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 w:name="n13525"/>
      <w:bookmarkEnd w:id="689"/>
      <w:r w:rsidRPr="008B264B">
        <w:rPr>
          <w:rFonts w:ascii="Times New Roman" w:eastAsia="Times New Roman" w:hAnsi="Times New Roman" w:cs="Times New Roman"/>
          <w:i/>
          <w:iCs/>
          <w:color w:val="000000"/>
          <w:sz w:val="24"/>
          <w:szCs w:val="24"/>
          <w:lang/>
        </w:rPr>
        <w:t>{Абзац підпункту 14.1.159 пункту 14.1 статті 14 із змінами, внесеними згідно із Законами </w:t>
      </w:r>
      <w:hyperlink r:id="rId465" w:anchor="n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466" w:anchor="n4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33930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 w:name="n8900"/>
      <w:bookmarkEnd w:id="690"/>
      <w:r w:rsidRPr="008B264B">
        <w:rPr>
          <w:rFonts w:ascii="Times New Roman" w:eastAsia="Times New Roman" w:hAnsi="Times New Roman" w:cs="Times New Roman"/>
          <w:i/>
          <w:iCs/>
          <w:color w:val="000000"/>
          <w:sz w:val="24"/>
          <w:szCs w:val="24"/>
          <w:lang/>
        </w:rPr>
        <w:t>{Підпункт 14.1.159 пункту 14.1 статті 14 в редакції Закону </w:t>
      </w:r>
      <w:hyperlink r:id="rId467" w:anchor="n8"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8" w:anchor="n1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469" w:anchor="n8"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240511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 w:name="n580"/>
      <w:bookmarkEnd w:id="691"/>
      <w:r w:rsidRPr="008B264B">
        <w:rPr>
          <w:rFonts w:ascii="Times New Roman" w:eastAsia="Times New Roman" w:hAnsi="Times New Roman" w:cs="Times New Roman"/>
          <w:color w:val="000000"/>
          <w:sz w:val="24"/>
          <w:szCs w:val="24"/>
          <w:lang/>
        </w:rPr>
        <w:t>14.1.160. пенсійний внесок - кошти, внесені до недержавного пенсійного фонду, страхової організації або на пенсійний депозитний рахунок до банківської установи у межах недержавного пенсійного забезпечення чи сплачені до Накопичувального пенсійного фонду загальнообов'язкового державного пенсійного страхування (далі - Накопичувальний фонд) відповідно до закону. Для цілей оподаткування пенсійний внесок не є єдиним внеском на загальнообов'язкове державне соціальне страхування;</w:t>
      </w:r>
    </w:p>
    <w:p w14:paraId="716C3F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 w:name="n581"/>
      <w:bookmarkEnd w:id="692"/>
      <w:r w:rsidRPr="008B264B">
        <w:rPr>
          <w:rFonts w:ascii="Times New Roman" w:eastAsia="Times New Roman" w:hAnsi="Times New Roman" w:cs="Times New Roman"/>
          <w:color w:val="000000"/>
          <w:sz w:val="24"/>
          <w:szCs w:val="24"/>
          <w:lang/>
        </w:rPr>
        <w:t>14.1.161. пенсійний вклад - кошти, внесені на пенсійний депозитний рахунок, відкритий у банківській установі згідно з договором пенсійного вкладу відповідно до закону;</w:t>
      </w:r>
    </w:p>
    <w:p w14:paraId="60C8E2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 w:name="n582"/>
      <w:bookmarkEnd w:id="693"/>
      <w:r w:rsidRPr="008B264B">
        <w:rPr>
          <w:rFonts w:ascii="Times New Roman" w:eastAsia="Times New Roman" w:hAnsi="Times New Roman" w:cs="Times New Roman"/>
          <w:color w:val="000000"/>
          <w:sz w:val="24"/>
          <w:szCs w:val="24"/>
          <w:lang/>
        </w:rPr>
        <w:t>14.1.162. пеня - сума коштів у вигляді відсотків, нарахована на суми грошових зобов’язань у встановлених цим Кодексом випадках та не сплачена у встановлені законодавством строки;</w:t>
      </w:r>
    </w:p>
    <w:p w14:paraId="15A451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 w:name="n13526"/>
      <w:bookmarkEnd w:id="694"/>
      <w:r w:rsidRPr="008B264B">
        <w:rPr>
          <w:rFonts w:ascii="Times New Roman" w:eastAsia="Times New Roman" w:hAnsi="Times New Roman" w:cs="Times New Roman"/>
          <w:i/>
          <w:iCs/>
          <w:color w:val="000000"/>
          <w:sz w:val="24"/>
          <w:szCs w:val="24"/>
          <w:lang/>
        </w:rPr>
        <w:t>{Підпункт 14.1.162 пункту 14.1 статті 14 в редакції Закону </w:t>
      </w:r>
      <w:hyperlink r:id="rId470" w:anchor="n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CB58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 w:name="n583"/>
      <w:bookmarkEnd w:id="695"/>
      <w:r w:rsidRPr="008B264B">
        <w:rPr>
          <w:rFonts w:ascii="Times New Roman" w:eastAsia="Times New Roman" w:hAnsi="Times New Roman" w:cs="Times New Roman"/>
          <w:color w:val="000000"/>
          <w:sz w:val="24"/>
          <w:szCs w:val="24"/>
          <w:lang/>
        </w:rPr>
        <w:t>14.1.163. перша реєстрація транспортного засобу - реєстрація транспортного засобу, яка здійснюється уповноваженими державними органами України щодо цього транспортного засобу в Україні вперше;</w:t>
      </w:r>
    </w:p>
    <w:p w14:paraId="2300E4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 w:name="n584"/>
      <w:bookmarkEnd w:id="696"/>
      <w:r w:rsidRPr="008B264B">
        <w:rPr>
          <w:rFonts w:ascii="Times New Roman" w:eastAsia="Times New Roman" w:hAnsi="Times New Roman" w:cs="Times New Roman"/>
          <w:color w:val="000000"/>
          <w:sz w:val="24"/>
          <w:szCs w:val="24"/>
          <w:lang/>
        </w:rPr>
        <w:t>14.1.164. план - графік документальних виїзних перевірок - перелік платників податків, що підлягають плановій перевірці контролюючими органами у відповідний період календарного року;</w:t>
      </w:r>
    </w:p>
    <w:p w14:paraId="745BF4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 w:name="n585"/>
      <w:bookmarkEnd w:id="697"/>
      <w:r w:rsidRPr="008B264B">
        <w:rPr>
          <w:rFonts w:ascii="Times New Roman" w:eastAsia="Times New Roman" w:hAnsi="Times New Roman" w:cs="Times New Roman"/>
          <w:color w:val="000000"/>
          <w:sz w:val="24"/>
          <w:szCs w:val="24"/>
          <w:lang/>
        </w:rPr>
        <w:t>14.1.165. податок, платник податку, оподаткування, оподатковуваний прибуток для цілей </w:t>
      </w:r>
      <w:hyperlink r:id="rId471" w:anchor="n2502" w:history="1">
        <w:r w:rsidRPr="008B264B">
          <w:rPr>
            <w:rFonts w:ascii="Times New Roman" w:eastAsia="Times New Roman" w:hAnsi="Times New Roman" w:cs="Times New Roman"/>
            <w:color w:val="0000FF"/>
            <w:sz w:val="24"/>
            <w:szCs w:val="24"/>
            <w:u w:val="single"/>
            <w:lang/>
          </w:rPr>
          <w:t>розділу III</w:t>
        </w:r>
      </w:hyperlink>
      <w:r w:rsidRPr="008B264B">
        <w:rPr>
          <w:rFonts w:ascii="Times New Roman" w:eastAsia="Times New Roman" w:hAnsi="Times New Roman" w:cs="Times New Roman"/>
          <w:color w:val="000000"/>
          <w:sz w:val="24"/>
          <w:szCs w:val="24"/>
          <w:lang/>
        </w:rPr>
        <w:t> цього Кодексу - податок на прибуток підприємств, платник податку на прибуток підприємств, оподаткування податком на прибуток підприємств, прибуток, який підлягає оподаткуванню;</w:t>
      </w:r>
    </w:p>
    <w:p w14:paraId="06C0A6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 w:name="n586"/>
      <w:bookmarkEnd w:id="698"/>
      <w:r w:rsidRPr="008B264B">
        <w:rPr>
          <w:rFonts w:ascii="Times New Roman" w:eastAsia="Times New Roman" w:hAnsi="Times New Roman" w:cs="Times New Roman"/>
          <w:color w:val="000000"/>
          <w:sz w:val="24"/>
          <w:szCs w:val="24"/>
          <w:lang/>
        </w:rPr>
        <w:t>14.1.166. податок, платник податку, оподаткування, оподатковуваний дохід для цілей </w:t>
      </w:r>
      <w:hyperlink r:id="rId472"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податок на доходи фізичних осіб, платник податку на доходи фізичних осіб, оподаткування податком на доходи фізичних осіб, дохід фізичної особи, який підлягає оподаткуванню;</w:t>
      </w:r>
    </w:p>
    <w:p w14:paraId="27AD28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 w:name="n587"/>
      <w:bookmarkEnd w:id="699"/>
      <w:r w:rsidRPr="008B264B">
        <w:rPr>
          <w:rFonts w:ascii="Times New Roman" w:eastAsia="Times New Roman" w:hAnsi="Times New Roman" w:cs="Times New Roman"/>
          <w:color w:val="000000"/>
          <w:sz w:val="24"/>
          <w:szCs w:val="24"/>
          <w:lang/>
        </w:rPr>
        <w:t>14.1.167. виключено;</w:t>
      </w:r>
    </w:p>
    <w:p w14:paraId="38F533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 w:name="n588"/>
      <w:bookmarkEnd w:id="700"/>
      <w:r w:rsidRPr="008B264B">
        <w:rPr>
          <w:rFonts w:ascii="Times New Roman" w:eastAsia="Times New Roman" w:hAnsi="Times New Roman" w:cs="Times New Roman"/>
          <w:color w:val="000000"/>
          <w:sz w:val="24"/>
          <w:szCs w:val="24"/>
          <w:lang/>
        </w:rPr>
        <w:t>14.1.167. операція РЕПО - операція купівлі (продажу) цінних паперів із зобов'язанням зворотного їх продажу (купівлі) через визначений строк за заздалегідь обумовленою ціною, що здійснюється на основі єдиного договору РЕПО. В цілях цього Кодексу строк між датами виконання першої та другої частин операції РЕПО (строк РЕПО) не може перевищувати одного року;</w:t>
      </w:r>
    </w:p>
    <w:p w14:paraId="31CED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 w:name="n589"/>
      <w:bookmarkEnd w:id="701"/>
      <w:r w:rsidRPr="008B264B">
        <w:rPr>
          <w:rFonts w:ascii="Times New Roman" w:eastAsia="Times New Roman" w:hAnsi="Times New Roman" w:cs="Times New Roman"/>
          <w:i/>
          <w:iCs/>
          <w:color w:val="000000"/>
          <w:sz w:val="24"/>
          <w:szCs w:val="24"/>
          <w:lang/>
        </w:rPr>
        <w:t>{До пункту 14.1 статті 14 включено підпункт 14.1.167 згідно із Законом </w:t>
      </w:r>
      <w:hyperlink r:id="rId47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8467C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 w:name="n590"/>
      <w:bookmarkEnd w:id="702"/>
      <w:r w:rsidRPr="008B264B">
        <w:rPr>
          <w:rFonts w:ascii="Times New Roman" w:eastAsia="Times New Roman" w:hAnsi="Times New Roman" w:cs="Times New Roman"/>
          <w:i/>
          <w:iCs/>
          <w:color w:val="000000"/>
          <w:sz w:val="24"/>
          <w:szCs w:val="24"/>
          <w:lang/>
        </w:rPr>
        <w:lastRenderedPageBreak/>
        <w:t>{Підпункт 14.1.168 пункту 14.1 статті 14 виключено на підставі Закону </w:t>
      </w:r>
      <w:hyperlink r:id="rId474"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32011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 w:name="n591"/>
      <w:bookmarkEnd w:id="703"/>
      <w:r w:rsidRPr="008B264B">
        <w:rPr>
          <w:rFonts w:ascii="Times New Roman" w:eastAsia="Times New Roman" w:hAnsi="Times New Roman" w:cs="Times New Roman"/>
          <w:i/>
          <w:iCs/>
          <w:color w:val="000000"/>
          <w:sz w:val="24"/>
          <w:szCs w:val="24"/>
          <w:lang/>
        </w:rPr>
        <w:t>{Підпункт 14.1.169 пункту 14.1 статті 14 виключено на підставі Закону </w:t>
      </w:r>
      <w:hyperlink r:id="rId475"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03FD2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 w:name="n592"/>
      <w:bookmarkEnd w:id="704"/>
      <w:r w:rsidRPr="008B264B">
        <w:rPr>
          <w:rFonts w:ascii="Times New Roman" w:eastAsia="Times New Roman" w:hAnsi="Times New Roman" w:cs="Times New Roman"/>
          <w:color w:val="000000"/>
          <w:sz w:val="24"/>
          <w:szCs w:val="24"/>
          <w:lang/>
        </w:rPr>
        <w:t>14.1.170. податкова знижка для фізичних осіб, які не є суб'єктами господарювання, - документально підтверджена сума (вартість) витрат платника податку - резидента у зв'язку з придбанням товарів (робіт, послуг) у резидентів - фізичних або юридичних осіб протягом звітного року, на яку дозволяється зменшення його загального річного оподатковуваного доходу, одержаного за наслідками такого звітного року у вигляді заробітної плати, у випадках, визначених цим Кодексом;</w:t>
      </w:r>
    </w:p>
    <w:p w14:paraId="1B739D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 w:name="n593"/>
      <w:bookmarkEnd w:id="705"/>
      <w:r w:rsidRPr="008B264B">
        <w:rPr>
          <w:rFonts w:ascii="Times New Roman" w:eastAsia="Times New Roman" w:hAnsi="Times New Roman" w:cs="Times New Roman"/>
          <w:color w:val="000000"/>
          <w:sz w:val="24"/>
          <w:szCs w:val="24"/>
          <w:lang/>
        </w:rPr>
        <w:t>14.1.171. податкова інформація - у значенні, визначеному </w:t>
      </w:r>
      <w:hyperlink r:id="rId476" w:tgtFrame="_blank" w:history="1">
        <w:r w:rsidRPr="008B264B">
          <w:rPr>
            <w:rFonts w:ascii="Times New Roman" w:eastAsia="Times New Roman" w:hAnsi="Times New Roman" w:cs="Times New Roman"/>
            <w:color w:val="0000FF"/>
            <w:sz w:val="24"/>
            <w:szCs w:val="24"/>
            <w:u w:val="single"/>
            <w:lang/>
          </w:rPr>
          <w:t>Законом України "Про інформацію"</w:t>
        </w:r>
      </w:hyperlink>
      <w:r w:rsidRPr="008B264B">
        <w:rPr>
          <w:rFonts w:ascii="Times New Roman" w:eastAsia="Times New Roman" w:hAnsi="Times New Roman" w:cs="Times New Roman"/>
          <w:color w:val="000000"/>
          <w:sz w:val="24"/>
          <w:szCs w:val="24"/>
          <w:lang/>
        </w:rPr>
        <w:t>;</w:t>
      </w:r>
    </w:p>
    <w:p w14:paraId="3D72F2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 w:name="n594"/>
      <w:bookmarkEnd w:id="706"/>
      <w:r w:rsidRPr="008B264B">
        <w:rPr>
          <w:rFonts w:ascii="Times New Roman" w:eastAsia="Times New Roman" w:hAnsi="Times New Roman" w:cs="Times New Roman"/>
          <w:color w:val="000000"/>
          <w:sz w:val="24"/>
          <w:szCs w:val="24"/>
          <w:lang/>
        </w:rPr>
        <w:t>14.1.172. податкова консультація - індивідуальна податкова консультація та узагальнююча податкова консультація, що надаються в порядку, передбаченому цим Кодексом;</w:t>
      </w:r>
    </w:p>
    <w:p w14:paraId="7DC13C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 w:name="n9466"/>
      <w:bookmarkEnd w:id="707"/>
      <w:r w:rsidRPr="008B264B">
        <w:rPr>
          <w:rFonts w:ascii="Times New Roman" w:eastAsia="Times New Roman" w:hAnsi="Times New Roman" w:cs="Times New Roman"/>
          <w:i/>
          <w:iCs/>
          <w:color w:val="000000"/>
          <w:sz w:val="24"/>
          <w:szCs w:val="24"/>
          <w:lang/>
        </w:rPr>
        <w:t>{Підпункт 14.1.172 пункту 14.1 статті 14 із змінами, внесеними згідно із Законом </w:t>
      </w:r>
      <w:hyperlink r:id="rId477" w:anchor="n1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478" w:anchor="n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4674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 w:name="n13528"/>
      <w:bookmarkEnd w:id="708"/>
      <w:r w:rsidRPr="008B264B">
        <w:rPr>
          <w:rFonts w:ascii="Times New Roman" w:eastAsia="Times New Roman" w:hAnsi="Times New Roman" w:cs="Times New Roman"/>
          <w:color w:val="000000"/>
          <w:sz w:val="24"/>
          <w:szCs w:val="24"/>
          <w:lang/>
        </w:rPr>
        <w:t>14.1.172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індивідуальна податкова консультація - роз’яснення контролюючого органу, надане платнику податків щодо практичного використання окремих норм податкового та іншого законодавства, контроль за дотриманням якого покладено на контролюючий орган, та зареєстроване в єдиному реєстрі індивідуальних податкових консультацій;</w:t>
      </w:r>
    </w:p>
    <w:p w14:paraId="1EFE2D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 w:name="n13527"/>
      <w:bookmarkEnd w:id="709"/>
      <w:r w:rsidRPr="008B264B">
        <w:rPr>
          <w:rFonts w:ascii="Times New Roman" w:eastAsia="Times New Roman" w:hAnsi="Times New Roman" w:cs="Times New Roman"/>
          <w:i/>
          <w:iCs/>
          <w:color w:val="000000"/>
          <w:sz w:val="24"/>
          <w:szCs w:val="24"/>
          <w:lang/>
        </w:rPr>
        <w:t>{Пункт 14.1 статті 14 доповнено підпунктом 14.1.172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79" w:anchor="n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302A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 w:name="n595"/>
      <w:bookmarkEnd w:id="710"/>
      <w:r w:rsidRPr="008B264B">
        <w:rPr>
          <w:rFonts w:ascii="Times New Roman" w:eastAsia="Times New Roman" w:hAnsi="Times New Roman" w:cs="Times New Roman"/>
          <w:color w:val="000000"/>
          <w:sz w:val="24"/>
          <w:szCs w:val="24"/>
          <w:lang/>
        </w:rPr>
        <w:t>14.1.173. виключено;</w:t>
      </w:r>
    </w:p>
    <w:p w14:paraId="0AE8C0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 w:name="n596"/>
      <w:bookmarkEnd w:id="711"/>
      <w:r w:rsidRPr="008B264B">
        <w:rPr>
          <w:rFonts w:ascii="Times New Roman" w:eastAsia="Times New Roman" w:hAnsi="Times New Roman" w:cs="Times New Roman"/>
          <w:color w:val="000000"/>
          <w:sz w:val="24"/>
          <w:szCs w:val="24"/>
          <w:lang/>
        </w:rPr>
        <w:t>14.1.173. узагальнююча податкова консультація - оприлюднення позиції центрального органу виконавчої влади, що забезпечує формування та реалізує державну фінансову політику, щодо практичного використання окремих норм податкового та іншого законодавства, контроль за дотриманням якого покладено на контролюючі органи, що склалася за результатами узагальнення індивідуальних податкових консультацій, наданих контролюючими органами платникам податків, та/або у разі виявлення обставин, що свідчать про неоднозначність окремих норм такого законодавства;</w:t>
      </w:r>
    </w:p>
    <w:p w14:paraId="1E1D21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 w:name="n597"/>
      <w:bookmarkEnd w:id="712"/>
      <w:r w:rsidRPr="008B264B">
        <w:rPr>
          <w:rFonts w:ascii="Times New Roman" w:eastAsia="Times New Roman" w:hAnsi="Times New Roman" w:cs="Times New Roman"/>
          <w:i/>
          <w:iCs/>
          <w:color w:val="000000"/>
          <w:sz w:val="24"/>
          <w:szCs w:val="24"/>
          <w:lang/>
        </w:rPr>
        <w:t>{До пункту 14.1 статті 14 включено підпункт 14.1.173 згідно із Законом </w:t>
      </w:r>
      <w:hyperlink r:id="rId48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Законів </w:t>
      </w:r>
      <w:hyperlink r:id="rId481" w:anchor="n1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w:t>
      </w:r>
      <w:hyperlink r:id="rId482" w:anchor="n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AD00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 w:name="n598"/>
      <w:bookmarkEnd w:id="713"/>
      <w:r w:rsidRPr="008B264B">
        <w:rPr>
          <w:rFonts w:ascii="Times New Roman" w:eastAsia="Times New Roman" w:hAnsi="Times New Roman" w:cs="Times New Roman"/>
          <w:i/>
          <w:iCs/>
          <w:color w:val="000000"/>
          <w:sz w:val="24"/>
          <w:szCs w:val="24"/>
          <w:lang/>
        </w:rPr>
        <w:t>{Підпункт 14.1.174 пункту 14.1 статті 14 виключено на підставі Закону </w:t>
      </w:r>
      <w:hyperlink r:id="rId48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DEA03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 w:name="n599"/>
      <w:bookmarkEnd w:id="714"/>
      <w:r w:rsidRPr="008B264B">
        <w:rPr>
          <w:rFonts w:ascii="Times New Roman" w:eastAsia="Times New Roman" w:hAnsi="Times New Roman" w:cs="Times New Roman"/>
          <w:color w:val="000000"/>
          <w:sz w:val="24"/>
          <w:szCs w:val="24"/>
          <w:lang/>
        </w:rPr>
        <w:t>14.1.175. податковий борг - сума узгодженого грошового зобов’язання, не сплаченого платником податків у встановлений цим Кодексом строк, та непогашеної пені, нарахованої у порядку, визначеному цим Кодексом;</w:t>
      </w:r>
    </w:p>
    <w:p w14:paraId="05A52E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 w:name="n600"/>
      <w:bookmarkEnd w:id="715"/>
      <w:r w:rsidRPr="008B264B">
        <w:rPr>
          <w:rFonts w:ascii="Times New Roman" w:eastAsia="Times New Roman" w:hAnsi="Times New Roman" w:cs="Times New Roman"/>
          <w:i/>
          <w:iCs/>
          <w:color w:val="000000"/>
          <w:sz w:val="24"/>
          <w:szCs w:val="24"/>
          <w:lang/>
        </w:rPr>
        <w:t>{Підпункт 14.1.175 пункту 14.1 статті 14 в редакції Законів </w:t>
      </w:r>
      <w:hyperlink r:id="rId48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85" w:anchor="n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CFE86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 w:name="n601"/>
      <w:bookmarkEnd w:id="716"/>
      <w:r w:rsidRPr="008B264B">
        <w:rPr>
          <w:rFonts w:ascii="Times New Roman" w:eastAsia="Times New Roman" w:hAnsi="Times New Roman" w:cs="Times New Roman"/>
          <w:color w:val="000000"/>
          <w:sz w:val="24"/>
          <w:szCs w:val="24"/>
          <w:lang/>
        </w:rPr>
        <w:t>14.1.176. податковий вексель, авальований банком (податкова розписка) (далі - податковий вексель для цілей </w:t>
      </w:r>
      <w:hyperlink r:id="rId486" w:anchor="n5400" w:history="1">
        <w:r w:rsidRPr="008B264B">
          <w:rPr>
            <w:rFonts w:ascii="Times New Roman" w:eastAsia="Times New Roman" w:hAnsi="Times New Roman" w:cs="Times New Roman"/>
            <w:color w:val="0000FF"/>
            <w:sz w:val="24"/>
            <w:szCs w:val="24"/>
            <w:u w:val="single"/>
            <w:lang/>
          </w:rPr>
          <w:t>розділу VI</w:t>
        </w:r>
      </w:hyperlink>
      <w:r w:rsidRPr="008B264B">
        <w:rPr>
          <w:rFonts w:ascii="Times New Roman" w:eastAsia="Times New Roman" w:hAnsi="Times New Roman" w:cs="Times New Roman"/>
          <w:color w:val="000000"/>
          <w:sz w:val="24"/>
          <w:szCs w:val="24"/>
          <w:lang/>
        </w:rPr>
        <w:t> цього Кодексу), - простий вексель, авальований банком, що видається векселедавцем: до отримання з акцизного складу спирту етилового, до отримання з нафтопереробного підприємства нафтопродуктів, речовин, що використовуються як компоненти моторних палив, або до ввезення нафтопродуктів на митну територію України і є забезпеченням виконання ним зобов'язання сплатити суму акцизного податку у строк, визначений </w:t>
      </w:r>
      <w:hyperlink r:id="rId487" w:anchor="n5611" w:history="1">
        <w:r w:rsidRPr="008B264B">
          <w:rPr>
            <w:rFonts w:ascii="Times New Roman" w:eastAsia="Times New Roman" w:hAnsi="Times New Roman" w:cs="Times New Roman"/>
            <w:color w:val="0000FF"/>
            <w:sz w:val="24"/>
            <w:szCs w:val="24"/>
            <w:u w:val="single"/>
            <w:lang/>
          </w:rPr>
          <w:t>статтями 225</w:t>
        </w:r>
      </w:hyperlink>
      <w:r w:rsidRPr="008B264B">
        <w:rPr>
          <w:rFonts w:ascii="Times New Roman" w:eastAsia="Times New Roman" w:hAnsi="Times New Roman" w:cs="Times New Roman"/>
          <w:color w:val="000000"/>
          <w:sz w:val="24"/>
          <w:szCs w:val="24"/>
          <w:lang/>
        </w:rPr>
        <w:t>, </w:t>
      </w:r>
      <w:hyperlink r:id="rId488" w:anchor="n5676" w:history="1">
        <w:r w:rsidRPr="008B264B">
          <w:rPr>
            <w:rFonts w:ascii="Times New Roman" w:eastAsia="Times New Roman" w:hAnsi="Times New Roman" w:cs="Times New Roman"/>
            <w:color w:val="0000FF"/>
            <w:sz w:val="24"/>
            <w:szCs w:val="24"/>
            <w:u w:val="single"/>
            <w:lang/>
          </w:rPr>
          <w:t>229</w:t>
        </w:r>
      </w:hyperlink>
      <w:r w:rsidRPr="008B264B">
        <w:rPr>
          <w:rFonts w:ascii="Times New Roman" w:eastAsia="Times New Roman" w:hAnsi="Times New Roman" w:cs="Times New Roman"/>
          <w:color w:val="000000"/>
          <w:sz w:val="24"/>
          <w:szCs w:val="24"/>
          <w:lang/>
        </w:rPr>
        <w:t> цього Кодексу;</w:t>
      </w:r>
    </w:p>
    <w:p w14:paraId="3B68F9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 w:name="n15226"/>
      <w:bookmarkEnd w:id="717"/>
      <w:r w:rsidRPr="008B264B">
        <w:rPr>
          <w:rFonts w:ascii="Times New Roman" w:eastAsia="Times New Roman" w:hAnsi="Times New Roman" w:cs="Times New Roman"/>
          <w:i/>
          <w:iCs/>
          <w:color w:val="000000"/>
          <w:sz w:val="24"/>
          <w:szCs w:val="24"/>
          <w:lang/>
        </w:rPr>
        <w:lastRenderedPageBreak/>
        <w:t>{Підпункт 14.1.176 пункту 14.1 статті 14 із змінами, внесеними згідно із Законом </w:t>
      </w:r>
      <w:hyperlink r:id="rId489" w:anchor="n4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54276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 w:name="n602"/>
      <w:bookmarkEnd w:id="718"/>
      <w:r w:rsidRPr="008B264B">
        <w:rPr>
          <w:rFonts w:ascii="Times New Roman" w:eastAsia="Times New Roman" w:hAnsi="Times New Roman" w:cs="Times New Roman"/>
          <w:i/>
          <w:iCs/>
          <w:color w:val="000000"/>
          <w:sz w:val="24"/>
          <w:szCs w:val="24"/>
          <w:lang/>
        </w:rPr>
        <w:t>{Підпункт 14.1.176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виключено на підставі Закону </w:t>
      </w:r>
      <w:hyperlink r:id="rId490" w:anchor="n6" w:tgtFrame="_blank" w:history="1">
        <w:r w:rsidRPr="008B264B">
          <w:rPr>
            <w:rFonts w:ascii="Times New Roman" w:eastAsia="Times New Roman" w:hAnsi="Times New Roman" w:cs="Times New Roman"/>
            <w:i/>
            <w:iCs/>
            <w:color w:val="0000FF"/>
            <w:sz w:val="24"/>
            <w:szCs w:val="24"/>
            <w:u w:val="single"/>
            <w:lang/>
          </w:rPr>
          <w:t>№ 407-VII від 04.07.2013</w:t>
        </w:r>
      </w:hyperlink>
      <w:r w:rsidRPr="008B264B">
        <w:rPr>
          <w:rFonts w:ascii="Times New Roman" w:eastAsia="Times New Roman" w:hAnsi="Times New Roman" w:cs="Times New Roman"/>
          <w:i/>
          <w:iCs/>
          <w:color w:val="000000"/>
          <w:sz w:val="24"/>
          <w:szCs w:val="24"/>
          <w:lang/>
        </w:rPr>
        <w:t>}</w:t>
      </w:r>
    </w:p>
    <w:p w14:paraId="21C10D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 w:name="n613"/>
      <w:bookmarkEnd w:id="719"/>
      <w:r w:rsidRPr="008B264B">
        <w:rPr>
          <w:rFonts w:ascii="Times New Roman" w:eastAsia="Times New Roman" w:hAnsi="Times New Roman" w:cs="Times New Roman"/>
          <w:color w:val="000000"/>
          <w:sz w:val="24"/>
          <w:szCs w:val="24"/>
          <w:lang/>
        </w:rPr>
        <w:t>14.1.177. податковий пост - пост, що утворюється на території підприємств, де виробляються продукти з використанням підакцизних товарів, на які встановлено нульову ставку податку, що визначені у </w:t>
      </w:r>
      <w:hyperlink r:id="rId491" w:anchor="n5676" w:history="1">
        <w:r w:rsidRPr="008B264B">
          <w:rPr>
            <w:rFonts w:ascii="Times New Roman" w:eastAsia="Times New Roman" w:hAnsi="Times New Roman" w:cs="Times New Roman"/>
            <w:color w:val="0000FF"/>
            <w:sz w:val="24"/>
            <w:szCs w:val="24"/>
            <w:u w:val="single"/>
            <w:lang/>
          </w:rPr>
          <w:t>статті </w:t>
        </w:r>
      </w:hyperlink>
      <w:hyperlink r:id="rId492" w:anchor="n5676" w:history="1">
        <w:r w:rsidRPr="008B264B">
          <w:rPr>
            <w:rFonts w:ascii="Times New Roman" w:eastAsia="Times New Roman" w:hAnsi="Times New Roman" w:cs="Times New Roman"/>
            <w:color w:val="0000FF"/>
            <w:sz w:val="24"/>
            <w:szCs w:val="24"/>
            <w:u w:val="single"/>
            <w:lang/>
          </w:rPr>
          <w:t>229</w:t>
        </w:r>
      </w:hyperlink>
      <w:r w:rsidRPr="008B264B">
        <w:rPr>
          <w:rFonts w:ascii="Times New Roman" w:eastAsia="Times New Roman" w:hAnsi="Times New Roman" w:cs="Times New Roman"/>
          <w:color w:val="000000"/>
          <w:sz w:val="24"/>
          <w:szCs w:val="24"/>
          <w:lang/>
        </w:rPr>
        <w:t> цього Кодексу. На податковому посту здійснюють постійний безпосередній контроль постійні представники контролюючого органу за місцем його розташування;</w:t>
      </w:r>
    </w:p>
    <w:p w14:paraId="063E93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 w:name="n10240"/>
      <w:bookmarkEnd w:id="720"/>
      <w:r w:rsidRPr="008B264B">
        <w:rPr>
          <w:rFonts w:ascii="Times New Roman" w:eastAsia="Times New Roman" w:hAnsi="Times New Roman" w:cs="Times New Roman"/>
          <w:i/>
          <w:iCs/>
          <w:color w:val="000000"/>
          <w:sz w:val="24"/>
          <w:szCs w:val="24"/>
          <w:lang/>
        </w:rPr>
        <w:t>{Підпункт 14.1.177 пункту 14.1 статті 14 із змінами, внесеними згідно із Законом </w:t>
      </w:r>
      <w:hyperlink r:id="rId493" w:anchor="n7"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29BB22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 w:name="n614"/>
      <w:bookmarkEnd w:id="721"/>
      <w:r w:rsidRPr="008B264B">
        <w:rPr>
          <w:rFonts w:ascii="Times New Roman" w:eastAsia="Times New Roman" w:hAnsi="Times New Roman" w:cs="Times New Roman"/>
          <w:color w:val="000000"/>
          <w:sz w:val="24"/>
          <w:szCs w:val="24"/>
          <w:lang/>
        </w:rPr>
        <w:t>14.1.178. податок на додану вартість - непрямий податок, який нараховується та сплачується відповідно до норм </w:t>
      </w:r>
      <w:hyperlink r:id="rId494"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w:t>
      </w:r>
    </w:p>
    <w:p w14:paraId="0B38E8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 w:name="n615"/>
      <w:bookmarkEnd w:id="722"/>
      <w:r w:rsidRPr="008B264B">
        <w:rPr>
          <w:rFonts w:ascii="Times New Roman" w:eastAsia="Times New Roman" w:hAnsi="Times New Roman" w:cs="Times New Roman"/>
          <w:color w:val="000000"/>
          <w:sz w:val="24"/>
          <w:szCs w:val="24"/>
          <w:lang/>
        </w:rPr>
        <w:t>14.1.179. податкове зобов'язання для цілей </w:t>
      </w:r>
      <w:hyperlink r:id="rId495"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 загальна сума податку на додану вартість, одержана (нарахована) платником податку в звітному (податковому) періоді;</w:t>
      </w:r>
    </w:p>
    <w:p w14:paraId="212EB6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 w:name="n616"/>
      <w:bookmarkEnd w:id="723"/>
      <w:r w:rsidRPr="008B264B">
        <w:rPr>
          <w:rFonts w:ascii="Times New Roman" w:eastAsia="Times New Roman" w:hAnsi="Times New Roman" w:cs="Times New Roman"/>
          <w:color w:val="000000"/>
          <w:sz w:val="24"/>
          <w:szCs w:val="24"/>
          <w:lang/>
        </w:rPr>
        <w:t>14.1.180. податковий агент щодо податку на доходи фізичних осіб - юридична особа (її філія, відділення, інший відокремлений підрозділ), самозайнята особа, представництво нерезидента - юридичної особи, інвестор (оператор) за угодою про розподіл продукції, які незалежно від організаційно-правового статусу та способу оподаткування іншими податками та/або форми нарахування (виплати, надання) доходу (у грошовій або негрошовій формі) зобов'язані нараховувати, утримувати та сплачувати податок, передбачений </w:t>
      </w:r>
      <w:hyperlink r:id="rId496"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 до бюджету від імені та за рахунок фізичної особи з доходів, що виплачуються такій особі, вести податковий облік, подавати податкову звітність контролюючим органам та нести відповідальність за порушення його норм в порядку, передбаченому </w:t>
      </w:r>
      <w:hyperlink r:id="rId497" w:anchor="n821" w:history="1">
        <w:r w:rsidRPr="008B264B">
          <w:rPr>
            <w:rFonts w:ascii="Times New Roman" w:eastAsia="Times New Roman" w:hAnsi="Times New Roman" w:cs="Times New Roman"/>
            <w:color w:val="0000FF"/>
            <w:sz w:val="24"/>
            <w:szCs w:val="24"/>
            <w:u w:val="single"/>
            <w:lang/>
          </w:rPr>
          <w:t>статтею 18</w:t>
        </w:r>
      </w:hyperlink>
      <w:r w:rsidRPr="008B264B">
        <w:rPr>
          <w:rFonts w:ascii="Times New Roman" w:eastAsia="Times New Roman" w:hAnsi="Times New Roman" w:cs="Times New Roman"/>
          <w:color w:val="000000"/>
          <w:sz w:val="24"/>
          <w:szCs w:val="24"/>
          <w:lang/>
        </w:rPr>
        <w:t> та </w:t>
      </w:r>
      <w:hyperlink r:id="rId498"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w:t>
      </w:r>
    </w:p>
    <w:p w14:paraId="182784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 w:name="n617"/>
      <w:bookmarkEnd w:id="724"/>
      <w:r w:rsidRPr="008B264B">
        <w:rPr>
          <w:rFonts w:ascii="Times New Roman" w:eastAsia="Times New Roman" w:hAnsi="Times New Roman" w:cs="Times New Roman"/>
          <w:i/>
          <w:iCs/>
          <w:color w:val="000000"/>
          <w:sz w:val="24"/>
          <w:szCs w:val="24"/>
          <w:lang/>
        </w:rPr>
        <w:t>{Підпункт 14.1.180 пункту 14.1 статті 14 із змінами, внесеними згідно із Законом </w:t>
      </w:r>
      <w:hyperlink r:id="rId499" w:anchor="n2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F0F4A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 w:name="n618"/>
      <w:bookmarkEnd w:id="725"/>
      <w:r w:rsidRPr="008B264B">
        <w:rPr>
          <w:rFonts w:ascii="Times New Roman" w:eastAsia="Times New Roman" w:hAnsi="Times New Roman" w:cs="Times New Roman"/>
          <w:color w:val="000000"/>
          <w:sz w:val="24"/>
          <w:szCs w:val="24"/>
          <w:lang/>
        </w:rPr>
        <w:t>14.1.181. податковий кредит - сума, на яку платник податку на додану вартість має право зменшити податкове зобов'язання звітного (податкового) періоду, визначена згідно з </w:t>
      </w:r>
      <w:hyperlink r:id="rId500"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цього Кодексу;</w:t>
      </w:r>
    </w:p>
    <w:p w14:paraId="48AAA7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 w:name="n619"/>
      <w:bookmarkEnd w:id="726"/>
      <w:r w:rsidRPr="008B264B">
        <w:rPr>
          <w:rFonts w:ascii="Times New Roman" w:eastAsia="Times New Roman" w:hAnsi="Times New Roman" w:cs="Times New Roman"/>
          <w:color w:val="000000"/>
          <w:sz w:val="24"/>
          <w:szCs w:val="24"/>
          <w:lang/>
        </w:rPr>
        <w:t>14.1.182. помилково сплачені грошові зобов'язання - суми коштів, які на певну дату надійшли до відповідного бюджету від юридичних осіб (їх філій, відділень, інших відокремлених підрозділів, що не мають статусу юридичної особи) або фізичних осіб (які мають статус суб'єктів підприємницької діяльності або не мають такого статусу), що не є платниками таких грошових зобов'язань;</w:t>
      </w:r>
    </w:p>
    <w:p w14:paraId="55F29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 w:name="n13530"/>
      <w:bookmarkEnd w:id="727"/>
      <w:r w:rsidRPr="008B264B">
        <w:rPr>
          <w:rFonts w:ascii="Times New Roman" w:eastAsia="Times New Roman" w:hAnsi="Times New Roman" w:cs="Times New Roman"/>
          <w:color w:val="000000"/>
          <w:sz w:val="24"/>
          <w:szCs w:val="24"/>
          <w:lang/>
        </w:rPr>
        <w:t>14.1.182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технічна помилка - помилка, вада або дефект у програмному забезпеченні або програмних складових, програмно-апаратному устаткуванні, каналах зв’язку, функціонуванні кваліфікованого електронного підпису чи печатки, що викликає в ньому/них неправильний або неочікуваний результат, або призводить до неочікуваної роботи, або унеможливлює роботу електронного кабінету;</w:t>
      </w:r>
    </w:p>
    <w:p w14:paraId="567E7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 w:name="n13529"/>
      <w:bookmarkEnd w:id="728"/>
      <w:r w:rsidRPr="008B264B">
        <w:rPr>
          <w:rFonts w:ascii="Times New Roman" w:eastAsia="Times New Roman" w:hAnsi="Times New Roman" w:cs="Times New Roman"/>
          <w:i/>
          <w:iCs/>
          <w:color w:val="000000"/>
          <w:sz w:val="24"/>
          <w:szCs w:val="24"/>
          <w:lang/>
        </w:rPr>
        <w:t>{Пункт 14.1 статті 14 доповнено підпунктом 14.1.182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01" w:anchor="n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2" w:anchor="n9"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BDFC7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 w:name="n620"/>
      <w:bookmarkEnd w:id="729"/>
      <w:r w:rsidRPr="008B264B">
        <w:rPr>
          <w:rFonts w:ascii="Times New Roman" w:eastAsia="Times New Roman" w:hAnsi="Times New Roman" w:cs="Times New Roman"/>
          <w:color w:val="000000"/>
          <w:sz w:val="24"/>
          <w:szCs w:val="24"/>
          <w:lang/>
        </w:rPr>
        <w:t xml:space="preserve">14.1.183. послуга з надання персоналу - господарська або цивільно-правова угода, відповідно до якої особа, що надає послугу (резидент або нерезидент), направляє у розпорядження іншої особи (резидента або нерезидента) одну або декількох фізичних осіб для виконання визначених цією угодою функцій. Угода про надання персоналу може передбачати укладання зазначеними фізичними особами трудової угоди або трудового контракту із особою, у розпорядження якої </w:t>
      </w:r>
      <w:r w:rsidRPr="008B264B">
        <w:rPr>
          <w:rFonts w:ascii="Times New Roman" w:eastAsia="Times New Roman" w:hAnsi="Times New Roman" w:cs="Times New Roman"/>
          <w:color w:val="000000"/>
          <w:sz w:val="24"/>
          <w:szCs w:val="24"/>
          <w:lang/>
        </w:rPr>
        <w:lastRenderedPageBreak/>
        <w:t>вони направлені. Інші умови надання персоналу (у тому числі винагорода особи, що надає послугу) визначаються угодою сторін;</w:t>
      </w:r>
    </w:p>
    <w:p w14:paraId="630465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 w:name="n621"/>
      <w:bookmarkEnd w:id="730"/>
      <w:r w:rsidRPr="008B264B">
        <w:rPr>
          <w:rFonts w:ascii="Times New Roman" w:eastAsia="Times New Roman" w:hAnsi="Times New Roman" w:cs="Times New Roman"/>
          <w:i/>
          <w:iCs/>
          <w:color w:val="000000"/>
          <w:sz w:val="24"/>
          <w:szCs w:val="24"/>
          <w:lang/>
        </w:rPr>
        <w:t>{Підпункт 14.1.184 пункту 14.1 статті 14 виключено на підставі Закону </w:t>
      </w:r>
      <w:hyperlink r:id="rId503"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B87F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 w:name="n622"/>
      <w:bookmarkEnd w:id="731"/>
      <w:r w:rsidRPr="008B264B">
        <w:rPr>
          <w:rFonts w:ascii="Times New Roman" w:eastAsia="Times New Roman" w:hAnsi="Times New Roman" w:cs="Times New Roman"/>
          <w:color w:val="000000"/>
          <w:sz w:val="24"/>
          <w:szCs w:val="24"/>
          <w:lang/>
        </w:rPr>
        <w:t>14.1.185. постачання послуг - будь-яка операція, що не є постачанням товарів, чи інша операція з передачі права на об'єкти права інтелектуальної власності та інші нематеріальні активи чи надання інших майнових прав стосовно таких об'єктів права інтелектуальної власності, а також надання послуг, що споживаються в процесі вчинення певної дії або провадження певної діяльності.</w:t>
      </w:r>
    </w:p>
    <w:p w14:paraId="52EE21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 w:name="n623"/>
      <w:bookmarkEnd w:id="732"/>
      <w:r w:rsidRPr="008B264B">
        <w:rPr>
          <w:rFonts w:ascii="Times New Roman" w:eastAsia="Times New Roman" w:hAnsi="Times New Roman" w:cs="Times New Roman"/>
          <w:color w:val="000000"/>
          <w:sz w:val="24"/>
          <w:szCs w:val="24"/>
          <w:lang/>
        </w:rPr>
        <w:t>З метою оподаткування постачанням послуг, зокрема є:</w:t>
      </w:r>
    </w:p>
    <w:p w14:paraId="147CDD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 w:name="n624"/>
      <w:bookmarkEnd w:id="733"/>
      <w:r w:rsidRPr="008B264B">
        <w:rPr>
          <w:rFonts w:ascii="Times New Roman" w:eastAsia="Times New Roman" w:hAnsi="Times New Roman" w:cs="Times New Roman"/>
          <w:color w:val="000000"/>
          <w:sz w:val="24"/>
          <w:szCs w:val="24"/>
          <w:lang/>
        </w:rPr>
        <w:t>а) досягнення домовленості утримуватися від певної дії або від конкуренції з третьою особою чи надання дозволу на будь-яку дію за умови укладення договору;</w:t>
      </w:r>
    </w:p>
    <w:p w14:paraId="153CCE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 w:name="n625"/>
      <w:bookmarkEnd w:id="734"/>
      <w:r w:rsidRPr="008B264B">
        <w:rPr>
          <w:rFonts w:ascii="Times New Roman" w:eastAsia="Times New Roman" w:hAnsi="Times New Roman" w:cs="Times New Roman"/>
          <w:color w:val="000000"/>
          <w:sz w:val="24"/>
          <w:szCs w:val="24"/>
          <w:lang/>
        </w:rPr>
        <w:t>б) постачання послуг за рішенням органу державної влади чи органу місцевого самоврядування або в примусовому порядку;</w:t>
      </w:r>
    </w:p>
    <w:p w14:paraId="58B99A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 w:name="n626"/>
      <w:bookmarkEnd w:id="735"/>
      <w:r w:rsidRPr="008B264B">
        <w:rPr>
          <w:rFonts w:ascii="Times New Roman" w:eastAsia="Times New Roman" w:hAnsi="Times New Roman" w:cs="Times New Roman"/>
          <w:color w:val="000000"/>
          <w:sz w:val="24"/>
          <w:szCs w:val="24"/>
          <w:lang/>
        </w:rPr>
        <w:t>в) постачання послуг іншій особі на безоплатній основі;</w:t>
      </w:r>
    </w:p>
    <w:p w14:paraId="637BE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 w:name="n627"/>
      <w:bookmarkEnd w:id="736"/>
      <w:r w:rsidRPr="008B264B">
        <w:rPr>
          <w:rFonts w:ascii="Times New Roman" w:eastAsia="Times New Roman" w:hAnsi="Times New Roman" w:cs="Times New Roman"/>
          <w:color w:val="000000"/>
          <w:sz w:val="24"/>
          <w:szCs w:val="24"/>
          <w:lang/>
        </w:rPr>
        <w:t>г) передача результатів виконаних робіт, наданих послуг платнику податку, уповноваженому згідно з договором вести облік результатів спільної діяльності без утворення юридичної особи, а також їх повернення таким платником податку після закінчення спільної діяльності;</w:t>
      </w:r>
    </w:p>
    <w:p w14:paraId="2441B8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 w:name="n628"/>
      <w:bookmarkEnd w:id="737"/>
      <w:r w:rsidRPr="008B264B">
        <w:rPr>
          <w:rFonts w:ascii="Times New Roman" w:eastAsia="Times New Roman" w:hAnsi="Times New Roman" w:cs="Times New Roman"/>
          <w:color w:val="000000"/>
          <w:sz w:val="24"/>
          <w:szCs w:val="24"/>
          <w:lang/>
        </w:rPr>
        <w:t>ґ) передача (внесення) виконаних робіт, наданих послуг як вклад у спільну діяльність без утворення юридичної особи, а також повернення послуг;</w:t>
      </w:r>
    </w:p>
    <w:p w14:paraId="086243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 w:name="n629"/>
      <w:bookmarkEnd w:id="738"/>
      <w:r w:rsidRPr="008B264B">
        <w:rPr>
          <w:rFonts w:ascii="Times New Roman" w:eastAsia="Times New Roman" w:hAnsi="Times New Roman" w:cs="Times New Roman"/>
          <w:color w:val="000000"/>
          <w:sz w:val="24"/>
          <w:szCs w:val="24"/>
          <w:lang/>
        </w:rPr>
        <w:t>д) постачання послуг з розміщення знаку відповідної торгової марки або самого товару чи послуги в кінофільмі, серіалі або телевізійній програмі, які є візуальними (глядачі лише бачать продукт або знак торговельної марки, продукт чи торговельна марка згадується у розмові персонажа; товар, послуга чи торговельна марка органічно вплітаються в сюжет і є його частиною);</w:t>
      </w:r>
    </w:p>
    <w:p w14:paraId="3CD4FD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 w:name="n630"/>
      <w:bookmarkEnd w:id="739"/>
      <w:r w:rsidRPr="008B264B">
        <w:rPr>
          <w:rFonts w:ascii="Times New Roman" w:eastAsia="Times New Roman" w:hAnsi="Times New Roman" w:cs="Times New Roman"/>
          <w:color w:val="000000"/>
          <w:sz w:val="24"/>
          <w:szCs w:val="24"/>
          <w:lang/>
        </w:rPr>
        <w:t>14.1.186. податок; оподаткування; платник податку; оподатковувана операція для цілей </w:t>
      </w:r>
      <w:hyperlink r:id="rId504"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 відповідно податок на додану вартість; оподаткування податком на додану вартість; платник податку на додану вартість; операція, яка підлягає оподаткуванню податком на додану вартість;</w:t>
      </w:r>
    </w:p>
    <w:p w14:paraId="5220CE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 w:name="n631"/>
      <w:bookmarkEnd w:id="740"/>
      <w:r w:rsidRPr="008B264B">
        <w:rPr>
          <w:rFonts w:ascii="Times New Roman" w:eastAsia="Times New Roman" w:hAnsi="Times New Roman" w:cs="Times New Roman"/>
          <w:color w:val="000000"/>
          <w:sz w:val="24"/>
          <w:szCs w:val="24"/>
          <w:lang/>
        </w:rPr>
        <w:t>14.1.187. податок, платник податку, оподаткування, ставка податку для цілей </w:t>
      </w:r>
      <w:hyperlink r:id="rId505" w:anchor="n5400" w:history="1">
        <w:r w:rsidRPr="008B264B">
          <w:rPr>
            <w:rFonts w:ascii="Times New Roman" w:eastAsia="Times New Roman" w:hAnsi="Times New Roman" w:cs="Times New Roman"/>
            <w:color w:val="0000FF"/>
            <w:sz w:val="24"/>
            <w:szCs w:val="24"/>
            <w:u w:val="single"/>
            <w:lang/>
          </w:rPr>
          <w:t>розділу VI</w:t>
        </w:r>
      </w:hyperlink>
      <w:r w:rsidRPr="008B264B">
        <w:rPr>
          <w:rFonts w:ascii="Times New Roman" w:eastAsia="Times New Roman" w:hAnsi="Times New Roman" w:cs="Times New Roman"/>
          <w:color w:val="000000"/>
          <w:sz w:val="24"/>
          <w:szCs w:val="24"/>
          <w:lang/>
        </w:rPr>
        <w:t> цього Кодексу - акцизний податок, платник акцизного податку, оподаткування акцизним податком, ставка акцизного податку;</w:t>
      </w:r>
    </w:p>
    <w:p w14:paraId="4FA918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 w:name="n632"/>
      <w:bookmarkEnd w:id="741"/>
      <w:r w:rsidRPr="008B264B">
        <w:rPr>
          <w:rFonts w:ascii="Times New Roman" w:eastAsia="Times New Roman" w:hAnsi="Times New Roman" w:cs="Times New Roman"/>
          <w:i/>
          <w:iCs/>
          <w:color w:val="000000"/>
          <w:sz w:val="24"/>
          <w:szCs w:val="24"/>
          <w:lang/>
        </w:rPr>
        <w:t>{Підпункт 14.1.188 пункту 14.1 статті 14 виключено на підставі Закону </w:t>
      </w:r>
      <w:hyperlink r:id="rId506"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525B9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 w:name="n633"/>
      <w:bookmarkEnd w:id="742"/>
      <w:r w:rsidRPr="008B264B">
        <w:rPr>
          <w:rFonts w:ascii="Times New Roman" w:eastAsia="Times New Roman" w:hAnsi="Times New Roman" w:cs="Times New Roman"/>
          <w:i/>
          <w:iCs/>
          <w:color w:val="000000"/>
          <w:sz w:val="24"/>
          <w:szCs w:val="24"/>
          <w:lang/>
        </w:rPr>
        <w:t>{Підпункт 14.1.189 пункту 14.1 статті 14 виключено на підставі Закону </w:t>
      </w:r>
      <w:hyperlink r:id="rId507"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35CD7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 w:name="n634"/>
      <w:bookmarkEnd w:id="743"/>
      <w:r w:rsidRPr="008B264B">
        <w:rPr>
          <w:rFonts w:ascii="Times New Roman" w:eastAsia="Times New Roman" w:hAnsi="Times New Roman" w:cs="Times New Roman"/>
          <w:color w:val="000000"/>
          <w:sz w:val="24"/>
          <w:szCs w:val="24"/>
          <w:lang/>
        </w:rPr>
        <w:t>14.1.190. покупець марок акцизного податку - суб'єкт господарювання, який відповідно до законодавства України є платником акцизного податку з алкогольних напоїв та тютюнових виробів;</w:t>
      </w:r>
    </w:p>
    <w:p w14:paraId="0BC08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 w:name="n635"/>
      <w:bookmarkEnd w:id="744"/>
      <w:r w:rsidRPr="008B264B">
        <w:rPr>
          <w:rFonts w:ascii="Times New Roman" w:eastAsia="Times New Roman" w:hAnsi="Times New Roman" w:cs="Times New Roman"/>
          <w:color w:val="000000"/>
          <w:sz w:val="24"/>
          <w:szCs w:val="24"/>
          <w:lang/>
        </w:rPr>
        <w:t>14.1.191. постачання товарів - будь-яка передача права на розпоряджання товарами як власник, у тому числі продаж, обмін чи дарування такого товару, а також постачання товарів за рішенням суду.</w:t>
      </w:r>
    </w:p>
    <w:p w14:paraId="74538A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 w:name="n636"/>
      <w:bookmarkEnd w:id="745"/>
      <w:r w:rsidRPr="008B264B">
        <w:rPr>
          <w:rFonts w:ascii="Times New Roman" w:eastAsia="Times New Roman" w:hAnsi="Times New Roman" w:cs="Times New Roman"/>
          <w:color w:val="000000"/>
          <w:sz w:val="24"/>
          <w:szCs w:val="24"/>
          <w:lang/>
        </w:rPr>
        <w:t>З метою застосування терміна "постачання товарів" електрична та теплова енергія, газ, пар, вода, повітря, охолоджене чи кондиційоване, вважаються товаром.</w:t>
      </w:r>
    </w:p>
    <w:p w14:paraId="43ECAD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 w:name="n637"/>
      <w:bookmarkEnd w:id="746"/>
      <w:r w:rsidRPr="008B264B">
        <w:rPr>
          <w:rFonts w:ascii="Times New Roman" w:eastAsia="Times New Roman" w:hAnsi="Times New Roman" w:cs="Times New Roman"/>
          <w:color w:val="000000"/>
          <w:sz w:val="24"/>
          <w:szCs w:val="24"/>
          <w:lang/>
        </w:rPr>
        <w:t>Постачанням товарів також вважаються:</w:t>
      </w:r>
    </w:p>
    <w:p w14:paraId="69BA44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 w:name="n638"/>
      <w:bookmarkEnd w:id="747"/>
      <w:r w:rsidRPr="008B264B">
        <w:rPr>
          <w:rFonts w:ascii="Times New Roman" w:eastAsia="Times New Roman" w:hAnsi="Times New Roman" w:cs="Times New Roman"/>
          <w:color w:val="000000"/>
          <w:sz w:val="24"/>
          <w:szCs w:val="24"/>
          <w:lang/>
        </w:rPr>
        <w:lastRenderedPageBreak/>
        <w:t>а) фактична передача матеріальних активів іншій особі на підставі договору про фінансовий лізинг (повернення матеріальних активів згідно з договором про фінансовий лізинг) чи іншої домовленості, відповідно до якої оплата відстрочена, але право власності на матеріальні активи передається не пізніше дати здійснення останнього платежу;</w:t>
      </w:r>
    </w:p>
    <w:p w14:paraId="29DBD1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 w:name="n639"/>
      <w:bookmarkEnd w:id="748"/>
      <w:r w:rsidRPr="008B264B">
        <w:rPr>
          <w:rFonts w:ascii="Times New Roman" w:eastAsia="Times New Roman" w:hAnsi="Times New Roman" w:cs="Times New Roman"/>
          <w:color w:val="000000"/>
          <w:sz w:val="24"/>
          <w:szCs w:val="24"/>
          <w:lang/>
        </w:rPr>
        <w:t>б) передача права власності на матеріальні активи за рішенням органу державної влади або органу місцевого самоврядування чи відповідно до законодавства;</w:t>
      </w:r>
    </w:p>
    <w:p w14:paraId="70F7B8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 w:name="n640"/>
      <w:bookmarkEnd w:id="749"/>
      <w:r w:rsidRPr="008B264B">
        <w:rPr>
          <w:rFonts w:ascii="Times New Roman" w:eastAsia="Times New Roman" w:hAnsi="Times New Roman" w:cs="Times New Roman"/>
          <w:color w:val="000000"/>
          <w:sz w:val="24"/>
          <w:szCs w:val="24"/>
          <w:lang/>
        </w:rPr>
        <w:t>в) будь-яка із зазначених дій платника податку щодо матеріальних активів, якщо платник податку мав право на віднесення сум податку до податкового кредиту у разі придбання зазначеного майна чи його частини (безоплатна передача майна іншій особі; передача майна у межах балансу платника податку, що використовується у господарській діяльності платника податку для його подальшого використання з метою, не пов'язаною із господарською діяльністю такого платника податку; передача у межах балансу платника податку майна, що планувалося для використання в оподатковуваних операціях, для його використання в операціях, що звільняються від оподаткування або не підлягають оподаткуванню);</w:t>
      </w:r>
    </w:p>
    <w:p w14:paraId="6A608E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 w:name="n641"/>
      <w:bookmarkEnd w:id="750"/>
      <w:r w:rsidRPr="008B264B">
        <w:rPr>
          <w:rFonts w:ascii="Times New Roman" w:eastAsia="Times New Roman" w:hAnsi="Times New Roman" w:cs="Times New Roman"/>
          <w:color w:val="000000"/>
          <w:sz w:val="24"/>
          <w:szCs w:val="24"/>
          <w:lang/>
        </w:rPr>
        <w:t>г) передача (внесення) товарів (у тому числі необоротних активів) як вклад у спільну діяльність без утворення юридичної особи, а також їх повернення;</w:t>
      </w:r>
    </w:p>
    <w:p w14:paraId="154A98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 w:name="n642"/>
      <w:bookmarkEnd w:id="751"/>
      <w:r w:rsidRPr="008B264B">
        <w:rPr>
          <w:rFonts w:ascii="Times New Roman" w:eastAsia="Times New Roman" w:hAnsi="Times New Roman" w:cs="Times New Roman"/>
          <w:i/>
          <w:iCs/>
          <w:color w:val="000000"/>
          <w:sz w:val="24"/>
          <w:szCs w:val="24"/>
          <w:lang/>
        </w:rPr>
        <w:t>{Підпункт "ґ" підпункту 14.1.191 пункту 14.1 статті 14 виключено на підставі Закону </w:t>
      </w:r>
      <w:hyperlink r:id="rId508" w:anchor="n2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9C99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 w:name="n643"/>
      <w:bookmarkEnd w:id="752"/>
      <w:r w:rsidRPr="008B264B">
        <w:rPr>
          <w:rFonts w:ascii="Times New Roman" w:eastAsia="Times New Roman" w:hAnsi="Times New Roman" w:cs="Times New Roman"/>
          <w:color w:val="000000"/>
          <w:sz w:val="24"/>
          <w:szCs w:val="24"/>
          <w:lang/>
        </w:rPr>
        <w:t>д) ліквідація платником податку за власним бажанням необоротних активів, які перебувають у такого платника;</w:t>
      </w:r>
    </w:p>
    <w:p w14:paraId="76B69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 w:name="n644"/>
      <w:bookmarkEnd w:id="753"/>
      <w:r w:rsidRPr="008B264B">
        <w:rPr>
          <w:rFonts w:ascii="Times New Roman" w:eastAsia="Times New Roman" w:hAnsi="Times New Roman" w:cs="Times New Roman"/>
          <w:color w:val="000000"/>
          <w:sz w:val="24"/>
          <w:szCs w:val="24"/>
          <w:lang/>
        </w:rPr>
        <w:t>е) передача товарів згідно з договором, за яким сплачується комісія (винагорода) за продаж чи купівлю.</w:t>
      </w:r>
    </w:p>
    <w:p w14:paraId="563F19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 w:name="n645"/>
      <w:bookmarkEnd w:id="754"/>
      <w:r w:rsidRPr="008B264B">
        <w:rPr>
          <w:rFonts w:ascii="Times New Roman" w:eastAsia="Times New Roman" w:hAnsi="Times New Roman" w:cs="Times New Roman"/>
          <w:color w:val="000000"/>
          <w:sz w:val="24"/>
          <w:szCs w:val="24"/>
          <w:lang/>
        </w:rPr>
        <w:t>Не є постачанням товарів випадки, коли основні виробничі засоби або невиробничі засоби ліквідуються у зв'язку з їх знищенням або зруйнуванням внаслідок дії обставин непереборної сили, а також в інших випадках, коли така ліквідація здійснюється без згоди платника податку, у тому числі в разі викрадення необоротних активів, або коли платник податку надає контролюючому органу відповідний документ про знищення, розібрання або перетворення необоротних активів в інший спосіб, внаслідок чого необоротний актив не може використовуватися за первісним призначенням;</w:t>
      </w:r>
    </w:p>
    <w:p w14:paraId="4DCF22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 w:name="n646"/>
      <w:bookmarkEnd w:id="755"/>
      <w:r w:rsidRPr="008B264B">
        <w:rPr>
          <w:rFonts w:ascii="Times New Roman" w:eastAsia="Times New Roman" w:hAnsi="Times New Roman" w:cs="Times New Roman"/>
          <w:i/>
          <w:iCs/>
          <w:color w:val="000000"/>
          <w:sz w:val="24"/>
          <w:szCs w:val="24"/>
          <w:lang/>
        </w:rPr>
        <w:t>{Підпункт 14.1.192 пункту 14.1 статті 14 виключено на підставі Закону </w:t>
      </w:r>
      <w:hyperlink r:id="rId509" w:anchor="n1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E5DEB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 w:name="n647"/>
      <w:bookmarkEnd w:id="756"/>
      <w:r w:rsidRPr="008B264B">
        <w:rPr>
          <w:rFonts w:ascii="Times New Roman" w:eastAsia="Times New Roman" w:hAnsi="Times New Roman" w:cs="Times New Roman"/>
          <w:color w:val="000000"/>
          <w:sz w:val="24"/>
          <w:szCs w:val="24"/>
          <w:lang/>
        </w:rPr>
        <w:t>14.1.193. постійне представництво - постійне місце діяльності, через яке повністю або частково проводиться господарська діяльність нерезидента в Україні, зокрема: місце управління; філія; офіс; фабрика; майстерня; установка або споруда для розвідки природних ресурсів; шахта, нафтова/газова свердловина, кар’єр чи будь-яке інше місце видобутку природних ресурсів; склад або приміщення, що використовується для доставки товарів, сервер.</w:t>
      </w:r>
    </w:p>
    <w:p w14:paraId="142E51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 w:name="n10485"/>
      <w:bookmarkEnd w:id="757"/>
      <w:r w:rsidRPr="008B264B">
        <w:rPr>
          <w:rFonts w:ascii="Times New Roman" w:eastAsia="Times New Roman" w:hAnsi="Times New Roman" w:cs="Times New Roman"/>
          <w:color w:val="000000"/>
          <w:sz w:val="24"/>
          <w:szCs w:val="24"/>
          <w:lang/>
        </w:rPr>
        <w:t>З метою оподаткування термін "постійне представництво" включає будівельний майданчик, будівельний, складальний або монтажний об’єкт чи пов’язану з ними наглядову діяльність, якщо тривалість робіт, пов’язана з таким майданчиком, об’єктом чи діяльністю, перевищує шість місяців; надання послуг нерезидентом (крім послуг з надання персоналу), у тому числі консультаційних, через співробітників або інший персонал, найнятий ним для таких цілей, але якщо така діяльність провадиться (в рамках одного проекту або проекту, що пов’язаний з ним) в Україні протягом періоду або періодів, загальна тривалість яких становить більш як шість місяців, у будь-якому дванадцятимісячному періоді; резидентів, які мають повноваження: діяти від імені виключно такого нерезидента (проведення переговорів щодо суттєвих умов та/або укладення договорів (контрактів) від імені цього нерезидента), що призводить до виникнення у цього нерезидента цивільних прав та обов’язків; та/або утримувати (зберігати) запаси товарів, що належать нерезиденту, із складу яких здійснюється поставка товару від імені нерезидента, крім резидентів, що мають статус складу тимчасового зберігання або митного ліцензійного складу.</w:t>
      </w:r>
    </w:p>
    <w:p w14:paraId="500801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 w:name="n10486"/>
      <w:bookmarkEnd w:id="758"/>
      <w:r w:rsidRPr="008B264B">
        <w:rPr>
          <w:rFonts w:ascii="Times New Roman" w:eastAsia="Times New Roman" w:hAnsi="Times New Roman" w:cs="Times New Roman"/>
          <w:color w:val="000000"/>
          <w:sz w:val="24"/>
          <w:szCs w:val="24"/>
          <w:lang/>
        </w:rPr>
        <w:lastRenderedPageBreak/>
        <w:t>Постійним представництвом не є використання будівель або споруд виключно з метою зберігання, демонстрації або доставки товарів чи виробів, що належать нерезиденту; зберігання запасів товарів або виробів, що належать нерезиденту, виключно з метою зберігання або демонстрації; зберігання запасів товарів або виробів, що належать нерезиденту, виключно з метою переробки іншим підприємством; утримання постійного місця діяльності виключно з метою закупівлі товарів чи виробів або для збирання інформації для нерезидента; направлення у розпорядження особи фізичних осіб у межах виконання угод про послуги з надання персоналу; утримання постійного місця діяльності виключно з метою провадження для нерезидента будь-якої іншої діяльності, яка має підготовчий або допоміжний характер;</w:t>
      </w:r>
    </w:p>
    <w:p w14:paraId="5E28A0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 w:name="n10484"/>
      <w:bookmarkEnd w:id="759"/>
      <w:r w:rsidRPr="008B264B">
        <w:rPr>
          <w:rFonts w:ascii="Times New Roman" w:eastAsia="Times New Roman" w:hAnsi="Times New Roman" w:cs="Times New Roman"/>
          <w:i/>
          <w:iCs/>
          <w:color w:val="000000"/>
          <w:sz w:val="24"/>
          <w:szCs w:val="24"/>
          <w:lang/>
        </w:rPr>
        <w:t>{Підпункт 14.1.193 пункту 14.1 статті 14 із змінами, внесеними згідно із Законом </w:t>
      </w:r>
      <w:hyperlink r:id="rId51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511" w:anchor="n11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7A801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 w:name="n651"/>
      <w:bookmarkEnd w:id="760"/>
      <w:r w:rsidRPr="008B264B">
        <w:rPr>
          <w:rFonts w:ascii="Times New Roman" w:eastAsia="Times New Roman" w:hAnsi="Times New Roman" w:cs="Times New Roman"/>
          <w:color w:val="000000"/>
          <w:sz w:val="24"/>
          <w:szCs w:val="24"/>
          <w:lang/>
        </w:rPr>
        <w:t>14.1.194. постійний представник (представники) контролюючого органу на акцизному складі - призначена наказом контролюючого органу за місцем розташування акцизного складу посадова особа, яка здійснює постійний безпосередній контроль за дотриманням установленого порядку виробництва, оброблення (перероблення), змішування, розливу, пакування, фасування, зберігання, одержання чи видачі підакцизних товарів (продукції) у порядку, затвердженому центральним органом виконавчої влади, що забезпечує формування та реалізує державну фінансову політику;</w:t>
      </w:r>
    </w:p>
    <w:p w14:paraId="633C6B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 w:name="n13402"/>
      <w:bookmarkEnd w:id="761"/>
      <w:r w:rsidRPr="008B264B">
        <w:rPr>
          <w:rFonts w:ascii="Times New Roman" w:eastAsia="Times New Roman" w:hAnsi="Times New Roman" w:cs="Times New Roman"/>
          <w:i/>
          <w:iCs/>
          <w:color w:val="000000"/>
          <w:sz w:val="24"/>
          <w:szCs w:val="24"/>
          <w:lang/>
        </w:rPr>
        <w:t>{Підпункт 14.1.194 пункту 14.1 статті 14 із змінами, внесеними згідно із Законом </w:t>
      </w:r>
      <w:hyperlink r:id="rId51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007D2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 w:name="n652"/>
      <w:bookmarkEnd w:id="762"/>
      <w:r w:rsidRPr="008B264B">
        <w:rPr>
          <w:rFonts w:ascii="Times New Roman" w:eastAsia="Times New Roman" w:hAnsi="Times New Roman" w:cs="Times New Roman"/>
          <w:color w:val="000000"/>
          <w:sz w:val="24"/>
          <w:szCs w:val="24"/>
          <w:lang/>
        </w:rPr>
        <w:t>14.1.195. працівник - фізична особа, яка безпосередньо власною працею виконує трудову функцію згідно з укладеним з роботодавцем трудовим договором (контрактом) відповідно до закону;</w:t>
      </w:r>
    </w:p>
    <w:p w14:paraId="6716FF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 w:name="n653"/>
      <w:bookmarkEnd w:id="763"/>
      <w:r w:rsidRPr="008B264B">
        <w:rPr>
          <w:rFonts w:ascii="Times New Roman" w:eastAsia="Times New Roman" w:hAnsi="Times New Roman" w:cs="Times New Roman"/>
          <w:color w:val="000000"/>
          <w:sz w:val="24"/>
          <w:szCs w:val="24"/>
          <w:lang/>
        </w:rPr>
        <w:t>14.1.196. прибуткова продукція для цілей </w:t>
      </w:r>
      <w:hyperlink r:id="rId513" w:anchor="n7662" w:history="1">
        <w:r w:rsidRPr="008B264B">
          <w:rPr>
            <w:rFonts w:ascii="Times New Roman" w:eastAsia="Times New Roman" w:hAnsi="Times New Roman" w:cs="Times New Roman"/>
            <w:color w:val="0000FF"/>
            <w:sz w:val="24"/>
            <w:szCs w:val="24"/>
            <w:u w:val="single"/>
            <w:lang/>
          </w:rPr>
          <w:t>розділу XVIII</w:t>
        </w:r>
      </w:hyperlink>
      <w:r w:rsidRPr="008B264B">
        <w:rPr>
          <w:rFonts w:ascii="Times New Roman" w:eastAsia="Times New Roman" w:hAnsi="Times New Roman" w:cs="Times New Roman"/>
          <w:color w:val="000000"/>
          <w:sz w:val="24"/>
          <w:szCs w:val="24"/>
          <w:lang/>
        </w:rPr>
        <w:t> цього Кодексу - частина виробленої продукції, що розподіляється між інвестором і державою та визначається як різниця між виробленою і компенсаційною продукцією;</w:t>
      </w:r>
    </w:p>
    <w:p w14:paraId="7856EA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 w:name="n654"/>
      <w:bookmarkEnd w:id="764"/>
      <w:r w:rsidRPr="008B264B">
        <w:rPr>
          <w:rFonts w:ascii="Times New Roman" w:eastAsia="Times New Roman" w:hAnsi="Times New Roman" w:cs="Times New Roman"/>
          <w:color w:val="000000"/>
          <w:sz w:val="24"/>
          <w:szCs w:val="24"/>
          <w:lang/>
        </w:rPr>
        <w:t>14.1.197. проведення лотереї - господарська діяльність, яка включає в себе прийняття сплати участі у лотереї (ставок), проведення розіграшів призового (виграшного) фонду лотереї, виплату виграшів (видачу призів), а також інші операції, що забезпечують проведення лотереї;</w:t>
      </w:r>
    </w:p>
    <w:p w14:paraId="396BB9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 w:name="n655"/>
      <w:bookmarkEnd w:id="765"/>
      <w:r w:rsidRPr="008B264B">
        <w:rPr>
          <w:rFonts w:ascii="Times New Roman" w:eastAsia="Times New Roman" w:hAnsi="Times New Roman" w:cs="Times New Roman"/>
          <w:color w:val="000000"/>
          <w:sz w:val="24"/>
          <w:szCs w:val="24"/>
          <w:lang/>
        </w:rPr>
        <w:t>14.1.198. продавець марок акцизного податку - контролюючі органи;</w:t>
      </w:r>
    </w:p>
    <w:p w14:paraId="74BFF6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 w:name="n656"/>
      <w:bookmarkEnd w:id="766"/>
      <w:r w:rsidRPr="008B264B">
        <w:rPr>
          <w:rFonts w:ascii="Times New Roman" w:eastAsia="Times New Roman" w:hAnsi="Times New Roman" w:cs="Times New Roman"/>
          <w:color w:val="000000"/>
          <w:sz w:val="24"/>
          <w:szCs w:val="24"/>
          <w:lang/>
        </w:rPr>
        <w:t>14.1.199. продукція для цілей </w:t>
      </w:r>
      <w:hyperlink r:id="rId514" w:anchor="n7662" w:history="1">
        <w:r w:rsidRPr="008B264B">
          <w:rPr>
            <w:rFonts w:ascii="Times New Roman" w:eastAsia="Times New Roman" w:hAnsi="Times New Roman" w:cs="Times New Roman"/>
            <w:color w:val="0000FF"/>
            <w:sz w:val="24"/>
            <w:szCs w:val="24"/>
            <w:u w:val="single"/>
            <w:lang/>
          </w:rPr>
          <w:t>розділу XVIII</w:t>
        </w:r>
      </w:hyperlink>
      <w:r w:rsidRPr="008B264B">
        <w:rPr>
          <w:rFonts w:ascii="Times New Roman" w:eastAsia="Times New Roman" w:hAnsi="Times New Roman" w:cs="Times New Roman"/>
          <w:color w:val="000000"/>
          <w:sz w:val="24"/>
          <w:szCs w:val="24"/>
          <w:lang/>
        </w:rPr>
        <w:t> цього Кодексу - корисні копалини загальнодержавного та місцевого значення (мінеральна сировина), що видобуваються (виробляються) під час розробки родовищ корисних копалин;</w:t>
      </w:r>
    </w:p>
    <w:p w14:paraId="0350F0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 w:name="n657"/>
      <w:bookmarkEnd w:id="767"/>
      <w:r w:rsidRPr="008B264B">
        <w:rPr>
          <w:rFonts w:ascii="Times New Roman" w:eastAsia="Times New Roman" w:hAnsi="Times New Roman" w:cs="Times New Roman"/>
          <w:color w:val="000000"/>
          <w:sz w:val="24"/>
          <w:szCs w:val="24"/>
          <w:lang/>
        </w:rPr>
        <w:t>14.1.200. призовий (виграшний) фонд - сукупність виграшів (призів), а саме коштів, майна, майнових прав, які підлягають виплаті (видачі) гравцям у разі їх виграшу в лотерею відповідно до оприлюднених умов її випуску та проведення;</w:t>
      </w:r>
    </w:p>
    <w:p w14:paraId="53237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 w:name="n658"/>
      <w:bookmarkEnd w:id="768"/>
      <w:r w:rsidRPr="008B264B">
        <w:rPr>
          <w:rFonts w:ascii="Times New Roman" w:eastAsia="Times New Roman" w:hAnsi="Times New Roman" w:cs="Times New Roman"/>
          <w:i/>
          <w:iCs/>
          <w:color w:val="000000"/>
          <w:sz w:val="24"/>
          <w:szCs w:val="24"/>
          <w:lang/>
        </w:rPr>
        <w:t>{Підпункт 14.1.201 пункту 14.1 статті 14 виключено на підставі Закону </w:t>
      </w:r>
      <w:hyperlink r:id="rId515" w:anchor="n1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2D8AB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 w:name="n660"/>
      <w:bookmarkEnd w:id="769"/>
      <w:r w:rsidRPr="008B264B">
        <w:rPr>
          <w:rFonts w:ascii="Times New Roman" w:eastAsia="Times New Roman" w:hAnsi="Times New Roman" w:cs="Times New Roman"/>
          <w:color w:val="000000"/>
          <w:sz w:val="24"/>
          <w:szCs w:val="24"/>
          <w:lang/>
        </w:rPr>
        <w:t>14.1.202. продаж (реалізація) товарів - будь-які операції, що здійснюються згідно з договорами купівлі-продажу, міни, поставки та іншими господарськими, цивільно-правовими договорами, які передбачають передачу прав власності на такі товари за плату або компенсацію незалежно від строків її надання, а також операції з безоплатного надання товарів. Не вважаються продажем товарів операції з надання товарів у межах договорів комісії (консигнації), поруки, схову (відповідального зберігання), доручення, довірчого управління, оперативного лізингу (оренди), інших цивільно-правових договорів, які не передбачають передачі прав власності на такі товари;</w:t>
      </w:r>
    </w:p>
    <w:p w14:paraId="1D3F4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 w:name="n661"/>
      <w:bookmarkEnd w:id="770"/>
      <w:r w:rsidRPr="008B264B">
        <w:rPr>
          <w:rFonts w:ascii="Times New Roman" w:eastAsia="Times New Roman" w:hAnsi="Times New Roman" w:cs="Times New Roman"/>
          <w:color w:val="000000"/>
          <w:sz w:val="24"/>
          <w:szCs w:val="24"/>
          <w:lang/>
        </w:rPr>
        <w:t xml:space="preserve">14.1.203. продаж результатів робіт (послуг) - будь-які операції господарського, цивільно-правового характеру з виконання робіт, надання послуг, надання права на користування або </w:t>
      </w:r>
      <w:r w:rsidRPr="008B264B">
        <w:rPr>
          <w:rFonts w:ascii="Times New Roman" w:eastAsia="Times New Roman" w:hAnsi="Times New Roman" w:cs="Times New Roman"/>
          <w:color w:val="000000"/>
          <w:sz w:val="24"/>
          <w:szCs w:val="24"/>
          <w:lang/>
        </w:rPr>
        <w:lastRenderedPageBreak/>
        <w:t>розпоряджання товарами, у тому числі нематеріальними активами та іншими об'єктами власності, що не є товарами, за умови компенсації їх вартості, а також операції з безоплатного надання результатів робіт (послуг). Продаж результатів робіт (послуг) включає, зокрема, надання права на користування товарами за договорами оперативного лізингу (оренди), продажу, передачі права відповідно до авторських або ліцензійних договорів, а також інші способи передачі об'єктів авторського права, патентів, знаків для товарів і послуг, інших об'єктів права інтелектуальної, у тому числі промислової власності;</w:t>
      </w:r>
    </w:p>
    <w:p w14:paraId="1F1020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 w:name="n662"/>
      <w:bookmarkEnd w:id="771"/>
      <w:r w:rsidRPr="008B264B">
        <w:rPr>
          <w:rFonts w:ascii="Times New Roman" w:eastAsia="Times New Roman" w:hAnsi="Times New Roman" w:cs="Times New Roman"/>
          <w:color w:val="000000"/>
          <w:sz w:val="24"/>
          <w:szCs w:val="24"/>
          <w:lang/>
        </w:rPr>
        <w:t>14.1.204. простий вексель, авальований банком, - цінний папір, який посвідчує безумовне грошове зобов'язання векселедавця або його наказ банку сплатити після настання строку платежу визначену суму векселедержателю.</w:t>
      </w:r>
    </w:p>
    <w:p w14:paraId="48BE1D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 w:name="n663"/>
      <w:bookmarkEnd w:id="772"/>
      <w:r w:rsidRPr="008B264B">
        <w:rPr>
          <w:rFonts w:ascii="Times New Roman" w:eastAsia="Times New Roman" w:hAnsi="Times New Roman" w:cs="Times New Roman"/>
          <w:color w:val="000000"/>
          <w:sz w:val="24"/>
          <w:szCs w:val="24"/>
          <w:lang/>
        </w:rPr>
        <w:t>Вексель засвідчує безумовне грошове зобов'язання векселедавця сплатити до Державного бюджету України відповідну суму коштів і є податковим зобов'язанням, визначеним векселедавцем самостійно і узгодженим з дня взяття на облік векселя контролюючим органом за місцезнаходженням векселедавця, а в разі, якщо законодавством передбачено відстрочення із сплати митних платежів, - з дня митного оформлення товарів у відповідний режим;</w:t>
      </w:r>
    </w:p>
    <w:p w14:paraId="406DC6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 w:name="n664"/>
      <w:bookmarkEnd w:id="773"/>
      <w:r w:rsidRPr="008B264B">
        <w:rPr>
          <w:rFonts w:ascii="Times New Roman" w:eastAsia="Times New Roman" w:hAnsi="Times New Roman" w:cs="Times New Roman"/>
          <w:color w:val="000000"/>
          <w:sz w:val="24"/>
          <w:szCs w:val="24"/>
          <w:lang/>
        </w:rPr>
        <w:t>14.1.205. прибудинкова територія - територія навколо багатоквартирного будинку, визначена на підставі відповідної містобудівної та землевпорядної документації в межах відповідної земельної ділянки, на якій розташовані багатоквартирний будинок і належні до нього будівлі і споруди, та необхідна для обслуговування багатоквартирного будинку та забезпечення задоволення житлових, соціальних і побутових потреб власників (співвласників) та наймачів (орендарів) квартир, а також нежитлових приміщень, розташованих у багатоквартирному будинку;</w:t>
      </w:r>
    </w:p>
    <w:p w14:paraId="4E55C4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 w:name="n665"/>
      <w:bookmarkEnd w:id="774"/>
      <w:r w:rsidRPr="008B264B">
        <w:rPr>
          <w:rFonts w:ascii="Times New Roman" w:eastAsia="Times New Roman" w:hAnsi="Times New Roman" w:cs="Times New Roman"/>
          <w:i/>
          <w:iCs/>
          <w:color w:val="000000"/>
          <w:sz w:val="24"/>
          <w:szCs w:val="24"/>
          <w:lang/>
        </w:rPr>
        <w:t>{Підпункт 14.1.205 пункту 14.1 статті 14 в редакції Закону </w:t>
      </w:r>
      <w:hyperlink r:id="rId516" w:anchor="n2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B6952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 w:name="n666"/>
      <w:bookmarkEnd w:id="775"/>
      <w:r w:rsidRPr="008B264B">
        <w:rPr>
          <w:rFonts w:ascii="Times New Roman" w:eastAsia="Times New Roman" w:hAnsi="Times New Roman" w:cs="Times New Roman"/>
          <w:color w:val="000000"/>
          <w:sz w:val="24"/>
          <w:szCs w:val="24"/>
          <w:lang/>
        </w:rPr>
        <w:t>14.1.206. проценти - дохід, який сплачується (нараховується) позичальником на користь кредитора як плата за використання залучених на визначений або невизначений строк коштів або майна.</w:t>
      </w:r>
    </w:p>
    <w:p w14:paraId="2296F7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 w:name="n667"/>
      <w:bookmarkEnd w:id="776"/>
      <w:r w:rsidRPr="008B264B">
        <w:rPr>
          <w:rFonts w:ascii="Times New Roman" w:eastAsia="Times New Roman" w:hAnsi="Times New Roman" w:cs="Times New Roman"/>
          <w:color w:val="000000"/>
          <w:sz w:val="24"/>
          <w:szCs w:val="24"/>
          <w:lang/>
        </w:rPr>
        <w:t>До процентів включаються:</w:t>
      </w:r>
    </w:p>
    <w:p w14:paraId="14B3B5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 w:name="n668"/>
      <w:bookmarkEnd w:id="777"/>
      <w:r w:rsidRPr="008B264B">
        <w:rPr>
          <w:rFonts w:ascii="Times New Roman" w:eastAsia="Times New Roman" w:hAnsi="Times New Roman" w:cs="Times New Roman"/>
          <w:color w:val="000000"/>
          <w:sz w:val="24"/>
          <w:szCs w:val="24"/>
          <w:lang/>
        </w:rPr>
        <w:t>а) платіж за використання коштів або товарів (робіт, послуг), отриманих у кредит;</w:t>
      </w:r>
    </w:p>
    <w:p w14:paraId="4D467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 w:name="n669"/>
      <w:bookmarkEnd w:id="778"/>
      <w:r w:rsidRPr="008B264B">
        <w:rPr>
          <w:rFonts w:ascii="Times New Roman" w:eastAsia="Times New Roman" w:hAnsi="Times New Roman" w:cs="Times New Roman"/>
          <w:color w:val="000000"/>
          <w:sz w:val="24"/>
          <w:szCs w:val="24"/>
          <w:lang/>
        </w:rPr>
        <w:t>б) платіж за використання коштів, залучених у депозит;</w:t>
      </w:r>
    </w:p>
    <w:p w14:paraId="2394CB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 w:name="n670"/>
      <w:bookmarkEnd w:id="779"/>
      <w:r w:rsidRPr="008B264B">
        <w:rPr>
          <w:rFonts w:ascii="Times New Roman" w:eastAsia="Times New Roman" w:hAnsi="Times New Roman" w:cs="Times New Roman"/>
          <w:color w:val="000000"/>
          <w:sz w:val="24"/>
          <w:szCs w:val="24"/>
          <w:lang/>
        </w:rPr>
        <w:t>в) платіж за придбання товарів у розстрочку;</w:t>
      </w:r>
    </w:p>
    <w:p w14:paraId="1E4834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 w:name="n671"/>
      <w:bookmarkEnd w:id="780"/>
      <w:r w:rsidRPr="008B264B">
        <w:rPr>
          <w:rFonts w:ascii="Times New Roman" w:eastAsia="Times New Roman" w:hAnsi="Times New Roman" w:cs="Times New Roman"/>
          <w:color w:val="000000"/>
          <w:sz w:val="24"/>
          <w:szCs w:val="24"/>
          <w:lang/>
        </w:rPr>
        <w:t>г) платіж за користування майном згідно з договорами фінансового лізингу (оренди) (без урахування частини лізингового платежу, що надається в рахунок компенсації частини вартості об'єкта фінансового лізингу);</w:t>
      </w:r>
    </w:p>
    <w:p w14:paraId="531B58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 w:name="n672"/>
      <w:bookmarkEnd w:id="781"/>
      <w:r w:rsidRPr="008B264B">
        <w:rPr>
          <w:rFonts w:ascii="Times New Roman" w:eastAsia="Times New Roman" w:hAnsi="Times New Roman" w:cs="Times New Roman"/>
          <w:color w:val="000000"/>
          <w:sz w:val="24"/>
          <w:szCs w:val="24"/>
          <w:lang/>
        </w:rPr>
        <w:t>ґ) винагорода (дохід) орендодавця як частина орендного платежу за договором оренди житла з викупом, сплачена фізичною особою платнику податку, на користь якого відступлено право на отримання таких платежів.</w:t>
      </w:r>
    </w:p>
    <w:p w14:paraId="5B184E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 w:name="n673"/>
      <w:bookmarkEnd w:id="782"/>
      <w:r w:rsidRPr="008B264B">
        <w:rPr>
          <w:rFonts w:ascii="Times New Roman" w:eastAsia="Times New Roman" w:hAnsi="Times New Roman" w:cs="Times New Roman"/>
          <w:color w:val="000000"/>
          <w:sz w:val="24"/>
          <w:szCs w:val="24"/>
          <w:lang/>
        </w:rPr>
        <w:t>Проценти нараховуються у вигляді відсотків на основну суму заборгованості чи вартості майна або у вигляді фіксованих сум. У разі якщо залучення коштів здійснюється шляхом продажу облігацій, казначейських зобов'язань чи ощадних (депозитних) сертифікатів, емітованих позичальником, або шляхом врахування векселів та здійснення операцій з придбання цінних паперів із зворотним викупом, сума процентів визначається шляхом нарахування їх на номінал такого цінного паперу, виплати фіксованої премії чи виграшу або шляхом визначення різниці між ціною розміщення (продажу) та ціною погашення (зворотного викупу) такого цінного паперу.</w:t>
      </w:r>
    </w:p>
    <w:p w14:paraId="4E774A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 w:name="n674"/>
      <w:bookmarkEnd w:id="783"/>
      <w:r w:rsidRPr="008B264B">
        <w:rPr>
          <w:rFonts w:ascii="Times New Roman" w:eastAsia="Times New Roman" w:hAnsi="Times New Roman" w:cs="Times New Roman"/>
          <w:color w:val="000000"/>
          <w:sz w:val="24"/>
          <w:szCs w:val="24"/>
          <w:lang/>
        </w:rPr>
        <w:t>Платежі за іншими цивільно-правовими договорами незалежно від того, встановлені вони в абсолютних (фіксованих) цінах або у відсотках суми договору або іншої вартісної бази, не є процентами;</w:t>
      </w:r>
    </w:p>
    <w:p w14:paraId="51637B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 w:name="n675"/>
      <w:bookmarkEnd w:id="784"/>
      <w:r w:rsidRPr="008B264B">
        <w:rPr>
          <w:rFonts w:ascii="Times New Roman" w:eastAsia="Times New Roman" w:hAnsi="Times New Roman" w:cs="Times New Roman"/>
          <w:color w:val="000000"/>
          <w:sz w:val="24"/>
          <w:szCs w:val="24"/>
          <w:lang/>
        </w:rPr>
        <w:lastRenderedPageBreak/>
        <w:t>14.1.207. пункт виміру - пункт, у якому відповідно до угоди про розподіл продукції проводиться вимір виробленої продукції та її розподіл на компенсаційну та прибуткову;</w:t>
      </w:r>
    </w:p>
    <w:p w14:paraId="708D66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 w:name="n676"/>
      <w:bookmarkEnd w:id="785"/>
      <w:r w:rsidRPr="008B264B">
        <w:rPr>
          <w:rFonts w:ascii="Times New Roman" w:eastAsia="Times New Roman" w:hAnsi="Times New Roman" w:cs="Times New Roman"/>
          <w:i/>
          <w:iCs/>
          <w:color w:val="000000"/>
          <w:sz w:val="24"/>
          <w:szCs w:val="24"/>
          <w:lang/>
        </w:rPr>
        <w:t>{Підпункт 14.1.208 пункту 14.1 статті 14 виключено на підставі Закону </w:t>
      </w:r>
      <w:hyperlink r:id="rId517" w:anchor="n1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96D3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 w:name="n678"/>
      <w:bookmarkEnd w:id="786"/>
      <w:r w:rsidRPr="008B264B">
        <w:rPr>
          <w:rFonts w:ascii="Times New Roman" w:eastAsia="Times New Roman" w:hAnsi="Times New Roman" w:cs="Times New Roman"/>
          <w:color w:val="000000"/>
          <w:sz w:val="24"/>
          <w:szCs w:val="24"/>
          <w:lang/>
        </w:rPr>
        <w:t>14.1.209. пункт приймання (відправлення) та призначення - пункт, що для відповідного вантажу визначається як прикордонний пункт, перевалювальний комплекс, пункт тимчасового зберігання вантажу, у тому числі підземне сховище природного газу, на території України до його переміщення за межі держави, пункт переробки вантажу на території України до переміщення вантажу за її межі;</w:t>
      </w:r>
    </w:p>
    <w:p w14:paraId="643BA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 w:name="n679"/>
      <w:bookmarkEnd w:id="787"/>
      <w:r w:rsidRPr="008B264B">
        <w:rPr>
          <w:rFonts w:ascii="Times New Roman" w:eastAsia="Times New Roman" w:hAnsi="Times New Roman" w:cs="Times New Roman"/>
          <w:i/>
          <w:iCs/>
          <w:color w:val="000000"/>
          <w:sz w:val="24"/>
          <w:szCs w:val="24"/>
          <w:lang/>
        </w:rPr>
        <w:t>{Підпункт 14.1.210 пункту 14.1 статті 14 виключено на підставі Закону </w:t>
      </w:r>
      <w:hyperlink r:id="rId51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FD2B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 w:name="n680"/>
      <w:bookmarkEnd w:id="788"/>
      <w:r w:rsidRPr="008B264B">
        <w:rPr>
          <w:rFonts w:ascii="Times New Roman" w:eastAsia="Times New Roman" w:hAnsi="Times New Roman" w:cs="Times New Roman"/>
          <w:i/>
          <w:iCs/>
          <w:color w:val="000000"/>
          <w:sz w:val="24"/>
          <w:szCs w:val="24"/>
          <w:lang/>
        </w:rPr>
        <w:t>{Підпункт 14.1.211 пункту 14.1 статті 14 виключено на підставі Закону </w:t>
      </w:r>
      <w:hyperlink r:id="rId519" w:anchor="n1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2999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 w:name="n688"/>
      <w:bookmarkEnd w:id="789"/>
      <w:r w:rsidRPr="008B264B">
        <w:rPr>
          <w:rFonts w:ascii="Times New Roman" w:eastAsia="Times New Roman" w:hAnsi="Times New Roman" w:cs="Times New Roman"/>
          <w:color w:val="000000"/>
          <w:sz w:val="24"/>
          <w:szCs w:val="24"/>
          <w:lang/>
        </w:rPr>
        <w:t>14.1.212. реалізація підакцизних товарів (продукції) - будь-які операції на митній території України, що передбачають відвантаження підакцизних товарів (продукції) згідно з договорами купівлі-продажу, міни, поставки та іншими господарськими, цивільно-правовими договорами з передачею прав власності або без такої, за плату (компенсацію) або без такої, незалежно від строків її надання, а також безоплатного відвантаження товарів, у тому числі з давальницької сировини, реалізація суб’єктами господарювання роздрібної торгівлі підакцизних товарів.</w:t>
      </w:r>
    </w:p>
    <w:p w14:paraId="23FB84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 w:name="n10487"/>
      <w:bookmarkEnd w:id="790"/>
      <w:r w:rsidRPr="008B264B">
        <w:rPr>
          <w:rFonts w:ascii="Times New Roman" w:eastAsia="Times New Roman" w:hAnsi="Times New Roman" w:cs="Times New Roman"/>
          <w:i/>
          <w:iCs/>
          <w:color w:val="000000"/>
          <w:sz w:val="24"/>
          <w:szCs w:val="24"/>
          <w:lang/>
        </w:rPr>
        <w:t>{Абзац перший підпункту 14.1.212 пункту 14.1 статті 14 із змінами, внесеними згідно із Законом </w:t>
      </w:r>
      <w:hyperlink r:id="rId520" w:anchor="n12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1746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 w:name="n10489"/>
      <w:bookmarkEnd w:id="791"/>
      <w:r w:rsidRPr="008B264B">
        <w:rPr>
          <w:rFonts w:ascii="Times New Roman" w:eastAsia="Times New Roman" w:hAnsi="Times New Roman" w:cs="Times New Roman"/>
          <w:color w:val="000000"/>
          <w:sz w:val="24"/>
          <w:szCs w:val="24"/>
          <w:lang/>
        </w:rPr>
        <w:t>Реалізація пального або спирту етилового для цілей </w:t>
      </w:r>
      <w:hyperlink r:id="rId521" w:anchor="n5400" w:history="1">
        <w:r w:rsidRPr="008B264B">
          <w:rPr>
            <w:rFonts w:ascii="Times New Roman" w:eastAsia="Times New Roman" w:hAnsi="Times New Roman" w:cs="Times New Roman"/>
            <w:color w:val="0000FF"/>
            <w:sz w:val="24"/>
            <w:szCs w:val="24"/>
            <w:u w:val="single"/>
            <w:lang/>
          </w:rPr>
          <w:t>розділу VI</w:t>
        </w:r>
      </w:hyperlink>
      <w:r w:rsidRPr="008B264B">
        <w:rPr>
          <w:rFonts w:ascii="Times New Roman" w:eastAsia="Times New Roman" w:hAnsi="Times New Roman" w:cs="Times New Roman"/>
          <w:color w:val="000000"/>
          <w:sz w:val="24"/>
          <w:szCs w:val="24"/>
          <w:lang/>
        </w:rPr>
        <w:t> цього Кодексу - будь-які операції з фізичної передачі (відпуску, відвантаження) пального або спирту етилового з переходом права власності на таке пальне або спирт етиловий чи без такого переходу, за плату (компенсацію) чи без такої плати на митній території України з акцизного складу/акцизного складу пересувного:</w:t>
      </w:r>
    </w:p>
    <w:p w14:paraId="2EF647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 w:name="n10488"/>
      <w:bookmarkEnd w:id="792"/>
      <w:r w:rsidRPr="008B264B">
        <w:rPr>
          <w:rFonts w:ascii="Times New Roman" w:eastAsia="Times New Roman" w:hAnsi="Times New Roman" w:cs="Times New Roman"/>
          <w:i/>
          <w:iCs/>
          <w:color w:val="000000"/>
          <w:sz w:val="24"/>
          <w:szCs w:val="24"/>
          <w:lang/>
        </w:rPr>
        <w:t>{Підпункт 14.1.212 пункту 14.1 статті 14 доповнено абзацом другим згідно із Законом </w:t>
      </w:r>
      <w:hyperlink r:id="rId522" w:anchor="n1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523" w:anchor="n3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24" w:anchor="n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525"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91CF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 w:name="n15481"/>
      <w:bookmarkEnd w:id="793"/>
      <w:r w:rsidRPr="008B264B">
        <w:rPr>
          <w:rFonts w:ascii="Times New Roman" w:eastAsia="Times New Roman" w:hAnsi="Times New Roman" w:cs="Times New Roman"/>
          <w:color w:val="000000"/>
          <w:sz w:val="24"/>
          <w:szCs w:val="24"/>
          <w:lang/>
        </w:rPr>
        <w:t>до акцизного складу;</w:t>
      </w:r>
    </w:p>
    <w:p w14:paraId="284B10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 w:name="n15495"/>
      <w:bookmarkEnd w:id="794"/>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26"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2D1D2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 w:name="n15482"/>
      <w:bookmarkEnd w:id="795"/>
      <w:r w:rsidRPr="008B264B">
        <w:rPr>
          <w:rFonts w:ascii="Times New Roman" w:eastAsia="Times New Roman" w:hAnsi="Times New Roman" w:cs="Times New Roman"/>
          <w:color w:val="000000"/>
          <w:sz w:val="24"/>
          <w:szCs w:val="24"/>
          <w:lang/>
        </w:rPr>
        <w:t>до акцизного складу пересувного;</w:t>
      </w:r>
    </w:p>
    <w:p w14:paraId="2696EC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 w:name="n15494"/>
      <w:bookmarkEnd w:id="796"/>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27"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6F9E3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 w:name="n15483"/>
      <w:bookmarkEnd w:id="797"/>
      <w:r w:rsidRPr="008B264B">
        <w:rPr>
          <w:rFonts w:ascii="Times New Roman" w:eastAsia="Times New Roman" w:hAnsi="Times New Roman" w:cs="Times New Roman"/>
          <w:color w:val="000000"/>
          <w:sz w:val="24"/>
          <w:szCs w:val="24"/>
          <w:lang/>
        </w:rPr>
        <w:t>для власного споживання чи промислової переробки;</w:t>
      </w:r>
    </w:p>
    <w:p w14:paraId="3BA30C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 w:name="n15493"/>
      <w:bookmarkEnd w:id="798"/>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28"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92DE1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 w:name="n15484"/>
      <w:bookmarkEnd w:id="799"/>
      <w:r w:rsidRPr="008B264B">
        <w:rPr>
          <w:rFonts w:ascii="Times New Roman" w:eastAsia="Times New Roman" w:hAnsi="Times New Roman" w:cs="Times New Roman"/>
          <w:color w:val="000000"/>
          <w:sz w:val="24"/>
          <w:szCs w:val="24"/>
          <w:lang/>
        </w:rPr>
        <w:t>будь-яким іншим особам.</w:t>
      </w:r>
    </w:p>
    <w:p w14:paraId="702F94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 w:name="n15492"/>
      <w:bookmarkEnd w:id="800"/>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29"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C6A9A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 w:name="n15485"/>
      <w:bookmarkEnd w:id="801"/>
      <w:r w:rsidRPr="008B264B">
        <w:rPr>
          <w:rFonts w:ascii="Times New Roman" w:eastAsia="Times New Roman" w:hAnsi="Times New Roman" w:cs="Times New Roman"/>
          <w:color w:val="000000"/>
          <w:sz w:val="24"/>
          <w:szCs w:val="24"/>
          <w:lang/>
        </w:rPr>
        <w:t>Поняття "реалізація спирту етилового" застосовується виключно для суб’єктів господарювання, що здійснюють діяльність з виробництва спирту етилового.</w:t>
      </w:r>
    </w:p>
    <w:p w14:paraId="50A80B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 w:name="n15491"/>
      <w:bookmarkEnd w:id="802"/>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30"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9CC39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 w:name="n15486"/>
      <w:bookmarkEnd w:id="803"/>
      <w:r w:rsidRPr="008B264B">
        <w:rPr>
          <w:rFonts w:ascii="Times New Roman" w:eastAsia="Times New Roman" w:hAnsi="Times New Roman" w:cs="Times New Roman"/>
          <w:color w:val="000000"/>
          <w:sz w:val="24"/>
          <w:szCs w:val="24"/>
          <w:lang/>
        </w:rPr>
        <w:lastRenderedPageBreak/>
        <w:t>Не вважаються реалізацією пального операції з фізичної передачі (відпуску, відвантаження) пального на митній території України:</w:t>
      </w:r>
    </w:p>
    <w:p w14:paraId="0AD182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 w:name="n15490"/>
      <w:bookmarkEnd w:id="804"/>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31"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2988C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 w:name="n15487"/>
      <w:bookmarkEnd w:id="805"/>
      <w:r w:rsidRPr="008B264B">
        <w:rPr>
          <w:rFonts w:ascii="Times New Roman" w:eastAsia="Times New Roman" w:hAnsi="Times New Roman" w:cs="Times New Roman"/>
          <w:color w:val="000000"/>
          <w:sz w:val="24"/>
          <w:szCs w:val="24"/>
          <w:lang/>
        </w:rPr>
        <w:t>у споживчій тарі ємністю до 5 літрів (включно), крім операцій з реалізації такого пального його виробниками;</w:t>
      </w:r>
    </w:p>
    <w:p w14:paraId="515A77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 w:name="n15489"/>
      <w:bookmarkEnd w:id="806"/>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32"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69DFC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 w:name="n15488"/>
      <w:bookmarkEnd w:id="807"/>
      <w:r w:rsidRPr="008B264B">
        <w:rPr>
          <w:rFonts w:ascii="Times New Roman" w:eastAsia="Times New Roman" w:hAnsi="Times New Roman" w:cs="Times New Roman"/>
          <w:color w:val="000000"/>
          <w:sz w:val="24"/>
          <w:szCs w:val="24"/>
          <w:lang/>
        </w:rPr>
        <w:t>при використанні пального суб'єктами господарювання, які не є розпорядниками акцизного складу/акцизного складу пересувного, що передано (відпущено, відвантажено) платником акцизного податку таким суб'єктам господарювання виключно для потреб власного споживання чи промислової переробки.</w:t>
      </w:r>
    </w:p>
    <w:p w14:paraId="45F4B4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 w:name="n15480"/>
      <w:bookmarkEnd w:id="808"/>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Законів </w:t>
      </w:r>
      <w:hyperlink r:id="rId533" w:anchor="n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534" w:anchor="n2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7CBB8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 w:name="n15909"/>
      <w:bookmarkEnd w:id="809"/>
      <w:r w:rsidRPr="008B264B">
        <w:rPr>
          <w:rFonts w:ascii="Times New Roman" w:eastAsia="Times New Roman" w:hAnsi="Times New Roman" w:cs="Times New Roman"/>
          <w:color w:val="000000"/>
          <w:sz w:val="24"/>
          <w:szCs w:val="24"/>
          <w:lang/>
        </w:rPr>
        <w:t>До власного споживання також відносяться операції із заправлення пальним за договорами підряду при одночасному виконанні таких умов:</w:t>
      </w:r>
    </w:p>
    <w:p w14:paraId="3D69AA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 w:name="n15921"/>
      <w:bookmarkEnd w:id="810"/>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35"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9B44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 w:name="n15910"/>
      <w:bookmarkEnd w:id="811"/>
      <w:r w:rsidRPr="008B264B">
        <w:rPr>
          <w:rFonts w:ascii="Times New Roman" w:eastAsia="Times New Roman" w:hAnsi="Times New Roman" w:cs="Times New Roman"/>
          <w:color w:val="000000"/>
          <w:sz w:val="24"/>
          <w:szCs w:val="24"/>
          <w:lang/>
        </w:rPr>
        <w:t>а) замовники за договорами підряду не здійснюють реалізацію пального іншим особам, крім реалізації бензолу поза межами митної території України в митному режимі експорту;</w:t>
      </w:r>
    </w:p>
    <w:p w14:paraId="34286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 w:name="n15920"/>
      <w:bookmarkEnd w:id="812"/>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36"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C362C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 w:name="n15911"/>
      <w:bookmarkEnd w:id="813"/>
      <w:r w:rsidRPr="008B264B">
        <w:rPr>
          <w:rFonts w:ascii="Times New Roman" w:eastAsia="Times New Roman" w:hAnsi="Times New Roman" w:cs="Times New Roman"/>
          <w:color w:val="000000"/>
          <w:sz w:val="24"/>
          <w:szCs w:val="24"/>
          <w:lang/>
        </w:rPr>
        <w:t>б) заправлення здійснюється в паливний бак машин, механізмів, техніки та обладнання для агропромислового комплексу, паливний бак транспортних засобів спеціального призначення або паливний бак спеціального обладнання чи пристрою, які:</w:t>
      </w:r>
    </w:p>
    <w:p w14:paraId="155D35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 w:name="n15919"/>
      <w:bookmarkEnd w:id="814"/>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37"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3DC45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 w:name="n15912"/>
      <w:bookmarkEnd w:id="815"/>
      <w:r w:rsidRPr="008B264B">
        <w:rPr>
          <w:rFonts w:ascii="Times New Roman" w:eastAsia="Times New Roman" w:hAnsi="Times New Roman" w:cs="Times New Roman"/>
          <w:color w:val="000000"/>
          <w:sz w:val="24"/>
          <w:szCs w:val="24"/>
          <w:lang/>
        </w:rPr>
        <w:t>призначені для виконання робіт на землях сільськогосподарського або лісового призначення, на землях, наданих гірничим підприємствам для видобування корисних копалин та розробки родовищ корисних копалин, а також для виконання робіт з будівництва доріг;</w:t>
      </w:r>
    </w:p>
    <w:p w14:paraId="245D73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 w:name="n15918"/>
      <w:bookmarkEnd w:id="816"/>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38"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022CF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 w:name="n15913"/>
      <w:bookmarkEnd w:id="817"/>
      <w:r w:rsidRPr="008B264B">
        <w:rPr>
          <w:rFonts w:ascii="Times New Roman" w:eastAsia="Times New Roman" w:hAnsi="Times New Roman" w:cs="Times New Roman"/>
          <w:color w:val="000000"/>
          <w:sz w:val="24"/>
          <w:szCs w:val="24"/>
          <w:lang/>
        </w:rPr>
        <w:t>належать іншим особам;</w:t>
      </w:r>
    </w:p>
    <w:p w14:paraId="428DC1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 w:name="n15917"/>
      <w:bookmarkEnd w:id="818"/>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39"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33419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 w:name="n15914"/>
      <w:bookmarkEnd w:id="819"/>
      <w:r w:rsidRPr="008B264B">
        <w:rPr>
          <w:rFonts w:ascii="Times New Roman" w:eastAsia="Times New Roman" w:hAnsi="Times New Roman" w:cs="Times New Roman"/>
          <w:color w:val="000000"/>
          <w:sz w:val="24"/>
          <w:szCs w:val="24"/>
          <w:lang/>
        </w:rPr>
        <w:t>виконують роботи протягом строку дії договору підряду виключно на зазначених у цьому пункті землях, що перебувають у власності або користуванні замовника;</w:t>
      </w:r>
    </w:p>
    <w:p w14:paraId="10C3B8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 w:name="n15916"/>
      <w:bookmarkEnd w:id="820"/>
      <w:r w:rsidRPr="008B264B">
        <w:rPr>
          <w:rFonts w:ascii="Times New Roman" w:eastAsia="Times New Roman" w:hAnsi="Times New Roman" w:cs="Times New Roman"/>
          <w:i/>
          <w:iCs/>
          <w:color w:val="000000"/>
          <w:sz w:val="24"/>
          <w:szCs w:val="24"/>
          <w:lang/>
        </w:rPr>
        <w:t>{Підпункт 14.1.212 пункту 14.1 статті 14 доповнено новим абзацом згідно із Законом </w:t>
      </w:r>
      <w:hyperlink r:id="rId540"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F7EF8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 w:name="n15915"/>
      <w:bookmarkEnd w:id="821"/>
      <w:r w:rsidRPr="008B264B">
        <w:rPr>
          <w:rFonts w:ascii="Times New Roman" w:eastAsia="Times New Roman" w:hAnsi="Times New Roman" w:cs="Times New Roman"/>
          <w:color w:val="000000"/>
          <w:sz w:val="24"/>
          <w:szCs w:val="24"/>
          <w:lang/>
        </w:rPr>
        <w:t>в) транспортні засоби, що здійснюють заправлення в паливний бак машин, механізмів, техніки та обладнання для агропромислового комплексу, у паливний бак транспортних засобів спеціального призначення або в паливний бак спеціального обладнання чи пристрою, зазначені в підпункті "б" цього підпункту, повинні бути обладнані витратомірами-лічильниками на кожному місці відпуску пального наливом з такого транспортного засобу.</w:t>
      </w:r>
    </w:p>
    <w:p w14:paraId="0521CD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 w:name="n15908"/>
      <w:bookmarkEnd w:id="822"/>
      <w:r w:rsidRPr="008B264B">
        <w:rPr>
          <w:rFonts w:ascii="Times New Roman" w:eastAsia="Times New Roman" w:hAnsi="Times New Roman" w:cs="Times New Roman"/>
          <w:i/>
          <w:iCs/>
          <w:color w:val="000000"/>
          <w:sz w:val="24"/>
          <w:szCs w:val="24"/>
          <w:lang/>
        </w:rPr>
        <w:lastRenderedPageBreak/>
        <w:t>{Підпункт 14.1.212 пункту 14.1 статті 14 доповнено новим абзацом згідно із Законом </w:t>
      </w:r>
      <w:hyperlink r:id="rId541" w:anchor="n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CC959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 w:name="n12658"/>
      <w:bookmarkEnd w:id="823"/>
      <w:r w:rsidRPr="008B264B">
        <w:rPr>
          <w:rFonts w:ascii="Times New Roman" w:eastAsia="Times New Roman" w:hAnsi="Times New Roman" w:cs="Times New Roman"/>
          <w:color w:val="000000"/>
          <w:sz w:val="24"/>
          <w:szCs w:val="24"/>
          <w:lang/>
        </w:rPr>
        <w:t>Реалізація суб’єктами господарювання роздрібної торгівлі підакцизних товарів - продаж пива, алкогольних напоїв, тютюнових виробів, тютюну та промислових замінників тютюну безпосередньо громадянам та іншим кінцевим споживачам для їх особистого некомерційного використання незалежно від форми розрахунків, у тому числі на розлив у ресторанах, кафе, барах, інших об’єктах громадського харчування;</w:t>
      </w:r>
    </w:p>
    <w:p w14:paraId="537833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 w:name="n12657"/>
      <w:bookmarkEnd w:id="824"/>
      <w:r w:rsidRPr="008B264B">
        <w:rPr>
          <w:rFonts w:ascii="Times New Roman" w:eastAsia="Times New Roman" w:hAnsi="Times New Roman" w:cs="Times New Roman"/>
          <w:i/>
          <w:iCs/>
          <w:color w:val="000000"/>
          <w:sz w:val="24"/>
          <w:szCs w:val="24"/>
          <w:lang/>
        </w:rPr>
        <w:t>{Абзац підпункту 14.1.212 пункту 14.1 статті 14 в редакції Закону </w:t>
      </w:r>
      <w:hyperlink r:id="rId542" w:anchor="n3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43" w:anchor="n14"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55A3A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 w:name="n689"/>
      <w:bookmarkEnd w:id="825"/>
      <w:r w:rsidRPr="008B264B">
        <w:rPr>
          <w:rFonts w:ascii="Times New Roman" w:eastAsia="Times New Roman" w:hAnsi="Times New Roman" w:cs="Times New Roman"/>
          <w:color w:val="000000"/>
          <w:sz w:val="24"/>
          <w:szCs w:val="24"/>
          <w:lang/>
        </w:rPr>
        <w:t>14.1.213. резиденти - це:</w:t>
      </w:r>
    </w:p>
    <w:p w14:paraId="317BD4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 w:name="n690"/>
      <w:bookmarkEnd w:id="826"/>
      <w:r w:rsidRPr="008B264B">
        <w:rPr>
          <w:rFonts w:ascii="Times New Roman" w:eastAsia="Times New Roman" w:hAnsi="Times New Roman" w:cs="Times New Roman"/>
          <w:color w:val="000000"/>
          <w:sz w:val="24"/>
          <w:szCs w:val="24"/>
          <w:lang/>
        </w:rPr>
        <w:t>а) юридичні особи та їх відокремлені особи, які утворені та провадять свою діяльність відповідно до законодавства України з місцезнаходженням як на її території, так і за її межами;</w:t>
      </w:r>
    </w:p>
    <w:p w14:paraId="769D7A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 w:name="n691"/>
      <w:bookmarkEnd w:id="827"/>
      <w:r w:rsidRPr="008B264B">
        <w:rPr>
          <w:rFonts w:ascii="Times New Roman" w:eastAsia="Times New Roman" w:hAnsi="Times New Roman" w:cs="Times New Roman"/>
          <w:color w:val="000000"/>
          <w:sz w:val="24"/>
          <w:szCs w:val="24"/>
          <w:lang/>
        </w:rPr>
        <w:t>б) дипломатичні представництва, консульські установи та інші офіційні представництва України за кордоном, які мають дипломатичні привілеї та імунітет;</w:t>
      </w:r>
    </w:p>
    <w:p w14:paraId="126CB0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 w:name="n692"/>
      <w:bookmarkEnd w:id="828"/>
      <w:r w:rsidRPr="008B264B">
        <w:rPr>
          <w:rFonts w:ascii="Times New Roman" w:eastAsia="Times New Roman" w:hAnsi="Times New Roman" w:cs="Times New Roman"/>
          <w:color w:val="000000"/>
          <w:sz w:val="24"/>
          <w:szCs w:val="24"/>
          <w:lang/>
        </w:rPr>
        <w:t>в) фізична особа - резидент - фізична особа, яка має місце проживання в Україні.</w:t>
      </w:r>
    </w:p>
    <w:p w14:paraId="6EC1F9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 w:name="n693"/>
      <w:bookmarkEnd w:id="829"/>
      <w:r w:rsidRPr="008B264B">
        <w:rPr>
          <w:rFonts w:ascii="Times New Roman" w:eastAsia="Times New Roman" w:hAnsi="Times New Roman" w:cs="Times New Roman"/>
          <w:color w:val="000000"/>
          <w:sz w:val="24"/>
          <w:szCs w:val="24"/>
          <w:lang/>
        </w:rPr>
        <w:t>У разі якщо фізична особа має місце проживання також в іноземній державі, вона вважається резидентом, якщо така особа має місце постійного проживання в Україні; якщо особа має місце постійного проживання також в іноземній державі, вона вважається резидентом, якщо має більш тісні особисті чи економічні зв'язки (центр життєвих інтересів) в Україні. У разі якщо державу, в якій фізична особа має центр життєвих інтересів, не можна визначити, або якщо фізична особа не має місця постійного проживання у жодній з держав, вона вважається резидентом, якщо перебуває в Україні не менше 183 днів (включаючи день приїзду та від'їзду) протягом періоду або періодів податкового року.</w:t>
      </w:r>
    </w:p>
    <w:p w14:paraId="229016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 w:name="n694"/>
      <w:bookmarkEnd w:id="830"/>
      <w:r w:rsidRPr="008B264B">
        <w:rPr>
          <w:rFonts w:ascii="Times New Roman" w:eastAsia="Times New Roman" w:hAnsi="Times New Roman" w:cs="Times New Roman"/>
          <w:color w:val="000000"/>
          <w:sz w:val="24"/>
          <w:szCs w:val="24"/>
          <w:lang/>
        </w:rPr>
        <w:t>Достатньою (але не виключною) умовою визначення місця знаходження центру життєвих інтересів фізичної особи є місце постійного проживання членів її сім'ї або її реєстрації як суб'єкта підприємницької діяльності.</w:t>
      </w:r>
    </w:p>
    <w:p w14:paraId="0CA9E9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 w:name="n695"/>
      <w:bookmarkEnd w:id="831"/>
      <w:r w:rsidRPr="008B264B">
        <w:rPr>
          <w:rFonts w:ascii="Times New Roman" w:eastAsia="Times New Roman" w:hAnsi="Times New Roman" w:cs="Times New Roman"/>
          <w:color w:val="000000"/>
          <w:sz w:val="24"/>
          <w:szCs w:val="24"/>
          <w:lang/>
        </w:rPr>
        <w:t>Якщо неможливо визначити резидентський статус фізичної особи, використовуючи попередні положення цього підпункту, фізична особа вважається резидентом, якщо вона є громадянином України.</w:t>
      </w:r>
    </w:p>
    <w:p w14:paraId="6D634C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 w:name="n696"/>
      <w:bookmarkEnd w:id="832"/>
      <w:r w:rsidRPr="008B264B">
        <w:rPr>
          <w:rFonts w:ascii="Times New Roman" w:eastAsia="Times New Roman" w:hAnsi="Times New Roman" w:cs="Times New Roman"/>
          <w:color w:val="000000"/>
          <w:sz w:val="24"/>
          <w:szCs w:val="24"/>
          <w:lang/>
        </w:rPr>
        <w:t>Якщо всупереч закону фізична особа - громадянин України має також громадянство іншої країни, то з метою оподаткування цим податком така особа вважається громадянином України, який не має права на залік податків, сплачених за кордоном, передбаченого цим Кодексом або нормами міжнародних угод України.</w:t>
      </w:r>
    </w:p>
    <w:p w14:paraId="158DB0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 w:name="n697"/>
      <w:bookmarkEnd w:id="833"/>
      <w:r w:rsidRPr="008B264B">
        <w:rPr>
          <w:rFonts w:ascii="Times New Roman" w:eastAsia="Times New Roman" w:hAnsi="Times New Roman" w:cs="Times New Roman"/>
          <w:color w:val="000000"/>
          <w:sz w:val="24"/>
          <w:szCs w:val="24"/>
          <w:lang/>
        </w:rPr>
        <w:t>Якщо фізична особа є особою без громадянства і на неї не поширюються положення абзаців першого - четвертого цього підпункту, то її статус визначається згідно з нормами міжнародного права.</w:t>
      </w:r>
    </w:p>
    <w:p w14:paraId="77C54E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 w:name="n698"/>
      <w:bookmarkEnd w:id="834"/>
      <w:r w:rsidRPr="008B264B">
        <w:rPr>
          <w:rFonts w:ascii="Times New Roman" w:eastAsia="Times New Roman" w:hAnsi="Times New Roman" w:cs="Times New Roman"/>
          <w:color w:val="000000"/>
          <w:sz w:val="24"/>
          <w:szCs w:val="24"/>
          <w:lang/>
        </w:rPr>
        <w:t>Достатньою підставою для визначення особи резидентом є самостійне визначення нею основного місця проживання на території України у порядку, встановленому цим Кодексом, або її реєстрація як самозайнятої особи.</w:t>
      </w:r>
    </w:p>
    <w:p w14:paraId="6763E8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 w:name="n699"/>
      <w:bookmarkEnd w:id="835"/>
      <w:r w:rsidRPr="008B264B">
        <w:rPr>
          <w:rFonts w:ascii="Times New Roman" w:eastAsia="Times New Roman" w:hAnsi="Times New Roman" w:cs="Times New Roman"/>
          <w:color w:val="000000"/>
          <w:sz w:val="24"/>
          <w:szCs w:val="24"/>
          <w:lang/>
        </w:rPr>
        <w:t>У разі якщо у </w:t>
      </w:r>
      <w:hyperlink r:id="rId544" w:anchor="n3610" w:history="1">
        <w:r w:rsidRPr="008B264B">
          <w:rPr>
            <w:rFonts w:ascii="Times New Roman" w:eastAsia="Times New Roman" w:hAnsi="Times New Roman" w:cs="Times New Roman"/>
            <w:color w:val="0000FF"/>
            <w:sz w:val="24"/>
            <w:szCs w:val="24"/>
            <w:u w:val="single"/>
            <w:lang/>
          </w:rPr>
          <w:t>розділі IV</w:t>
        </w:r>
      </w:hyperlink>
      <w:r w:rsidRPr="008B264B">
        <w:rPr>
          <w:rFonts w:ascii="Times New Roman" w:eastAsia="Times New Roman" w:hAnsi="Times New Roman" w:cs="Times New Roman"/>
          <w:color w:val="000000"/>
          <w:sz w:val="24"/>
          <w:szCs w:val="24"/>
          <w:lang/>
        </w:rPr>
        <w:t> цього Кодексу використовується термін "резидент" у відповідних відмінках, під цим терміном розуміється "фізична особа - резидент";</w:t>
      </w:r>
    </w:p>
    <w:p w14:paraId="7ECF7F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 w:name="n9468"/>
      <w:bookmarkEnd w:id="836"/>
      <w:r w:rsidRPr="008B264B">
        <w:rPr>
          <w:rFonts w:ascii="Times New Roman" w:eastAsia="Times New Roman" w:hAnsi="Times New Roman" w:cs="Times New Roman"/>
          <w:i/>
          <w:iCs/>
          <w:color w:val="000000"/>
          <w:sz w:val="24"/>
          <w:szCs w:val="24"/>
          <w:lang/>
        </w:rPr>
        <w:t>{Абзац дванадцятий підпункту 14.1.213 пункту 14.1 статті 14 виключено на підставі Закону </w:t>
      </w:r>
      <w:hyperlink r:id="rId545" w:anchor="n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604F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 w:name="n700"/>
      <w:bookmarkEnd w:id="837"/>
      <w:r w:rsidRPr="008B264B">
        <w:rPr>
          <w:rFonts w:ascii="Times New Roman" w:eastAsia="Times New Roman" w:hAnsi="Times New Roman" w:cs="Times New Roman"/>
          <w:i/>
          <w:iCs/>
          <w:color w:val="000000"/>
          <w:sz w:val="24"/>
          <w:szCs w:val="24"/>
          <w:lang/>
        </w:rPr>
        <w:t>{Підпункт 14.1.214 пункту 14.1 статті 14 виключено на підставі Закону </w:t>
      </w:r>
      <w:hyperlink r:id="rId546" w:anchor="n2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EE63A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 w:name="n701"/>
      <w:bookmarkEnd w:id="838"/>
      <w:r w:rsidRPr="008B264B">
        <w:rPr>
          <w:rFonts w:ascii="Times New Roman" w:eastAsia="Times New Roman" w:hAnsi="Times New Roman" w:cs="Times New Roman"/>
          <w:i/>
          <w:iCs/>
          <w:color w:val="000000"/>
          <w:sz w:val="24"/>
          <w:szCs w:val="24"/>
          <w:lang/>
        </w:rPr>
        <w:lastRenderedPageBreak/>
        <w:t>{Підпункт 14.1.215 пункту 14.1 статті 14 виключено на підставі Закону </w:t>
      </w:r>
      <w:hyperlink r:id="rId547" w:anchor="n12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4D8B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 w:name="n702"/>
      <w:bookmarkEnd w:id="839"/>
      <w:r w:rsidRPr="008B264B">
        <w:rPr>
          <w:rFonts w:ascii="Times New Roman" w:eastAsia="Times New Roman" w:hAnsi="Times New Roman" w:cs="Times New Roman"/>
          <w:color w:val="000000"/>
          <w:sz w:val="24"/>
          <w:szCs w:val="24"/>
          <w:lang/>
        </w:rPr>
        <w:t>14.1.216. рециркулюючий газ - природний газ, який повернуто (закачано) в один або декілька нафтогазоносних покладів такого родовища (свердловини) для підтримання в них необхідних пластового тиску або пластової енергії відповідно до затверджених в установленому законодавством порядку центральним органом виконавчої влади, що забезпечує формування державної політики у нафтогазовому комплексі проекту промислової або дослідно-промислової розробки родовища (покладу), а також до комплексного проекту його облаштування.</w:t>
      </w:r>
    </w:p>
    <w:p w14:paraId="76FA9A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 w:name="n703"/>
      <w:bookmarkEnd w:id="840"/>
      <w:r w:rsidRPr="008B264B">
        <w:rPr>
          <w:rFonts w:ascii="Times New Roman" w:eastAsia="Times New Roman" w:hAnsi="Times New Roman" w:cs="Times New Roman"/>
          <w:i/>
          <w:iCs/>
          <w:color w:val="000000"/>
          <w:sz w:val="24"/>
          <w:szCs w:val="24"/>
          <w:lang/>
        </w:rPr>
        <w:t>{Абзац перший підпункту 14.1.216 пункту 14.1 статті 14 із змінами, внесеними згідно з Законом </w:t>
      </w:r>
      <w:hyperlink r:id="rId548" w:anchor="n1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712D4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 w:name="n704"/>
      <w:bookmarkEnd w:id="841"/>
      <w:r w:rsidRPr="008B264B">
        <w:rPr>
          <w:rFonts w:ascii="Times New Roman" w:eastAsia="Times New Roman" w:hAnsi="Times New Roman" w:cs="Times New Roman"/>
          <w:color w:val="000000"/>
          <w:sz w:val="24"/>
          <w:szCs w:val="24"/>
          <w:lang/>
        </w:rPr>
        <w:t>Джерелом походження рециркулюючого газу може бути природний газ: видобутий надрокористувачем із наданої йому в користування ділянки нафтогазоносних надр, для якої відповідним проектом передбачено повернення такого газу в надра; видобутий на іншій, ніж зазначена вище, ділянці надр, що контролюється надрокористувачем та переданий (із внесенням відповідної рентної плати) ним для використання на такому родовищі; придбаний надрокористувачем у третіх осіб для використання на такому родовищі;</w:t>
      </w:r>
    </w:p>
    <w:p w14:paraId="786F9E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 w:name="n705"/>
      <w:bookmarkEnd w:id="842"/>
      <w:r w:rsidRPr="008B264B">
        <w:rPr>
          <w:rFonts w:ascii="Times New Roman" w:eastAsia="Times New Roman" w:hAnsi="Times New Roman" w:cs="Times New Roman"/>
          <w:color w:val="000000"/>
          <w:sz w:val="24"/>
          <w:szCs w:val="24"/>
          <w:lang/>
        </w:rPr>
        <w:t>14.1.217. рентна плата - загальнодержавний податок, який справляється за користування надрами для видобування корисних копалин; за користування надрами в цілях, не пов’язаних з видобуванням корисних копалин; за користування радіочастотним ресурсом України; за спеціальне використання води; за спеціальне використання лісових ресурсів;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w:t>
      </w:r>
    </w:p>
    <w:p w14:paraId="6D243A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 w:name="n10490"/>
      <w:bookmarkEnd w:id="843"/>
      <w:r w:rsidRPr="008B264B">
        <w:rPr>
          <w:rFonts w:ascii="Times New Roman" w:eastAsia="Times New Roman" w:hAnsi="Times New Roman" w:cs="Times New Roman"/>
          <w:i/>
          <w:iCs/>
          <w:color w:val="000000"/>
          <w:sz w:val="24"/>
          <w:szCs w:val="24"/>
          <w:lang/>
        </w:rPr>
        <w:t>{Підпункт 14.1.217 пункту 14.1 статті 14 в редакції Закону </w:t>
      </w:r>
      <w:hyperlink r:id="rId549" w:anchor="n12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50" w:anchor="n3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1F1E2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 w:name="n706"/>
      <w:bookmarkEnd w:id="844"/>
      <w:r w:rsidRPr="008B264B">
        <w:rPr>
          <w:rFonts w:ascii="Times New Roman" w:eastAsia="Times New Roman" w:hAnsi="Times New Roman" w:cs="Times New Roman"/>
          <w:color w:val="000000"/>
          <w:sz w:val="24"/>
          <w:szCs w:val="24"/>
          <w:lang/>
        </w:rPr>
        <w:t>14.1.218. ринок товарів (робіт, послуг) - сфера обігу товарів (робіт, послуг), що визначається виходячи з можливості покупця (продавця) без значних додаткових витрат придбати (реалізувати) товар (роботи, послуги) на найближчій для покупця (продавця) території;</w:t>
      </w:r>
    </w:p>
    <w:p w14:paraId="579ABC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 w:name="n707"/>
      <w:bookmarkEnd w:id="845"/>
      <w:r w:rsidRPr="008B264B">
        <w:rPr>
          <w:rFonts w:ascii="Times New Roman" w:eastAsia="Times New Roman" w:hAnsi="Times New Roman" w:cs="Times New Roman"/>
          <w:color w:val="000000"/>
          <w:sz w:val="24"/>
          <w:szCs w:val="24"/>
          <w:lang/>
        </w:rPr>
        <w:t>14.1.219. ринкова ціна - ціна, за якою товари (роботи, послуги) передаються іншому власнику за умови, що продавець бажає передати такі товари (роботи, послуги), а покупець бажає їх отримати на добровільній основі, обидві сторони є взаємно незалежними юридично та фактично, володіють достатньою інформацією про такі товари (роботи, послуги), а також ціни, які склалися на ринку ідентичних (а за їх відсутності - однорідних) товарів (робіт, послуг) у порівняних економічних (комерційних) умовах;</w:t>
      </w:r>
    </w:p>
    <w:p w14:paraId="664E46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 w:name="n708"/>
      <w:bookmarkEnd w:id="846"/>
      <w:r w:rsidRPr="008B264B">
        <w:rPr>
          <w:rFonts w:ascii="Times New Roman" w:eastAsia="Times New Roman" w:hAnsi="Times New Roman" w:cs="Times New Roman"/>
          <w:color w:val="000000"/>
          <w:sz w:val="24"/>
          <w:szCs w:val="24"/>
          <w:lang/>
        </w:rPr>
        <w:t>14.1.220. рік виготовлення транспортного засобу - календарна дата виготовлення транспортного засобу (день, місяць, рік); для транспортних засобів, календарну дату виготовлення яких визначити неможливо, - 1 січня року виготовлення, зазначеного в реєстраційних документах;</w:t>
      </w:r>
    </w:p>
    <w:p w14:paraId="63F979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 w:name="n709"/>
      <w:bookmarkEnd w:id="847"/>
      <w:r w:rsidRPr="008B264B">
        <w:rPr>
          <w:rFonts w:ascii="Times New Roman" w:eastAsia="Times New Roman" w:hAnsi="Times New Roman" w:cs="Times New Roman"/>
          <w:color w:val="000000"/>
          <w:sz w:val="24"/>
          <w:szCs w:val="24"/>
          <w:lang/>
        </w:rPr>
        <w:t>14.1.221. ризик - ймовірність недекларування (неповного декларування) платником податків податкових зобов'язань, невиконання платником податків іншого законодавства, контроль за яким покладено на контролюючі органи;</w:t>
      </w:r>
    </w:p>
    <w:p w14:paraId="74AC19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 w:name="n710"/>
      <w:bookmarkEnd w:id="848"/>
      <w:r w:rsidRPr="008B264B">
        <w:rPr>
          <w:rFonts w:ascii="Times New Roman" w:eastAsia="Times New Roman" w:hAnsi="Times New Roman" w:cs="Times New Roman"/>
          <w:color w:val="000000"/>
          <w:sz w:val="24"/>
          <w:szCs w:val="24"/>
          <w:lang/>
        </w:rPr>
        <w:t>14.1.222. роботодавець - юридична особа (її філія, відділення, інший відокремлений підрозділ чи її представництво) або самозайнята особа, яка використовує найману працю фізичних осіб на підставі укладених трудових договорів (контрактів) та несе обов'язки із сплати їм заробітної плати, а також нарахування, утримання та сплати податку на доходи фізичних осіб до бюджету, нарахувань на фонд оплати праці, інші обов'язки, передбачені законами.</w:t>
      </w:r>
    </w:p>
    <w:p w14:paraId="094EF0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 w:name="n711"/>
      <w:bookmarkEnd w:id="849"/>
      <w:r w:rsidRPr="008B264B">
        <w:rPr>
          <w:rFonts w:ascii="Times New Roman" w:eastAsia="Times New Roman" w:hAnsi="Times New Roman" w:cs="Times New Roman"/>
          <w:color w:val="000000"/>
          <w:sz w:val="24"/>
          <w:szCs w:val="24"/>
          <w:lang/>
        </w:rPr>
        <w:t>Для цілей </w:t>
      </w:r>
      <w:hyperlink r:id="rId551"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xml:space="preserve"> цього Кодексу до роботодавця прирівнюються юридична особа (її філія, відділення, інший відокремлений підрозділ чи її представництво), постійне представництво нерезидента або самозайнята особа, які нараховують (виплачують) дохід за </w:t>
      </w:r>
      <w:r w:rsidRPr="008B264B">
        <w:rPr>
          <w:rFonts w:ascii="Times New Roman" w:eastAsia="Times New Roman" w:hAnsi="Times New Roman" w:cs="Times New Roman"/>
          <w:color w:val="000000"/>
          <w:sz w:val="24"/>
          <w:szCs w:val="24"/>
          <w:lang/>
        </w:rPr>
        <w:lastRenderedPageBreak/>
        <w:t>виконання роботи та/або надання послуги згідно із цивільно-правовим договором у разі, якщо буде встановлено, що відносини за таким договором фактично є трудовими;</w:t>
      </w:r>
    </w:p>
    <w:p w14:paraId="3471E7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 w:name="n712"/>
      <w:bookmarkEnd w:id="850"/>
      <w:r w:rsidRPr="008B264B">
        <w:rPr>
          <w:rFonts w:ascii="Times New Roman" w:eastAsia="Times New Roman" w:hAnsi="Times New Roman" w:cs="Times New Roman"/>
          <w:color w:val="000000"/>
          <w:sz w:val="24"/>
          <w:szCs w:val="24"/>
          <w:lang/>
        </w:rPr>
        <w:t>14.1.223. розміщення відходів - постійне (остаточне) перебування або захоронення відходів у спеціально відведених для цього місцях чи об'єктах (місцях розміщення відходів, сховищах, полігонах, комплексах, спорудах, ділянках надр тощо), на використання яких отримано дозволи уповноважених органів;</w:t>
      </w:r>
    </w:p>
    <w:p w14:paraId="10D61D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 w:name="n713"/>
      <w:bookmarkEnd w:id="851"/>
      <w:r w:rsidRPr="008B264B">
        <w:rPr>
          <w:rFonts w:ascii="Times New Roman" w:eastAsia="Times New Roman" w:hAnsi="Times New Roman" w:cs="Times New Roman"/>
          <w:i/>
          <w:iCs/>
          <w:color w:val="000000"/>
          <w:sz w:val="24"/>
          <w:szCs w:val="24"/>
          <w:lang/>
        </w:rPr>
        <w:t>{Підпункт 14.1.223 пункту 14.1 статті 14 із змінами, внесеними згідно із Законами </w:t>
      </w:r>
      <w:hyperlink r:id="rId552" w:anchor="n2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553" w:anchor="n1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1247D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 w:name="n714"/>
      <w:bookmarkEnd w:id="852"/>
      <w:r w:rsidRPr="008B264B">
        <w:rPr>
          <w:rFonts w:ascii="Times New Roman" w:eastAsia="Times New Roman" w:hAnsi="Times New Roman" w:cs="Times New Roman"/>
          <w:color w:val="000000"/>
          <w:sz w:val="24"/>
          <w:szCs w:val="24"/>
          <w:lang/>
        </w:rPr>
        <w:t>14.1.224. розпорядник акцизного складу - суб’єкт господарювання, який одержав ліцензію на право виробництва спирту етилового, алкогольних напоїв, зареєстрований платником акцизного податку, або суб’єкт господарювання - платник акцизного податку, який здійснює виробництво, оброблення (перероблення), змішування, розлив, навантаження-розвантаження, зберігання, реалізацію пального на акцизному складі та має документи, що підтверджують право власності або користування приміщеннями та/або територією, що відносяться до акцизного складу;</w:t>
      </w:r>
    </w:p>
    <w:p w14:paraId="6FFF7B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 w:name="n12279"/>
      <w:bookmarkEnd w:id="853"/>
      <w:r w:rsidRPr="008B264B">
        <w:rPr>
          <w:rFonts w:ascii="Times New Roman" w:eastAsia="Times New Roman" w:hAnsi="Times New Roman" w:cs="Times New Roman"/>
          <w:i/>
          <w:iCs/>
          <w:color w:val="000000"/>
          <w:sz w:val="24"/>
          <w:szCs w:val="24"/>
          <w:lang/>
        </w:rPr>
        <w:t>{Підпункт 14.1.224 пункту 14.1 статті 14 із змінами, внесеними згідно із Законом </w:t>
      </w:r>
      <w:hyperlink r:id="rId554" w:anchor="n1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Законів </w:t>
      </w:r>
      <w:hyperlink r:id="rId555" w:anchor="n3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556" w:anchor="n5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72599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 w:name="n15497"/>
      <w:bookmarkEnd w:id="854"/>
      <w:r w:rsidRPr="008B264B">
        <w:rPr>
          <w:rFonts w:ascii="Times New Roman" w:eastAsia="Times New Roman" w:hAnsi="Times New Roman" w:cs="Times New Roman"/>
          <w:color w:val="000000"/>
          <w:sz w:val="24"/>
          <w:szCs w:val="24"/>
          <w:lang/>
        </w:rPr>
        <w:t>14.1.224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розпорядник акцизного складу пересувного - суб’єкт господарювання - платник акцизного податку, який є власником пального або здійснює діяльність з виробництва спирту етилового та який з використанням транспортного засобу незалежно від того, кому належить такий транспортний засіб:</w:t>
      </w:r>
    </w:p>
    <w:p w14:paraId="3882CB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 w:name="n15498"/>
      <w:bookmarkEnd w:id="855"/>
      <w:r w:rsidRPr="008B264B">
        <w:rPr>
          <w:rFonts w:ascii="Times New Roman" w:eastAsia="Times New Roman" w:hAnsi="Times New Roman" w:cs="Times New Roman"/>
          <w:color w:val="000000"/>
          <w:sz w:val="24"/>
          <w:szCs w:val="24"/>
          <w:lang/>
        </w:rPr>
        <w:t>реалізує або зберігає пальне або спирт етиловий;</w:t>
      </w:r>
    </w:p>
    <w:p w14:paraId="0CC46D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 w:name="n15499"/>
      <w:bookmarkEnd w:id="856"/>
      <w:r w:rsidRPr="008B264B">
        <w:rPr>
          <w:rFonts w:ascii="Times New Roman" w:eastAsia="Times New Roman" w:hAnsi="Times New Roman" w:cs="Times New Roman"/>
          <w:color w:val="000000"/>
          <w:sz w:val="24"/>
          <w:szCs w:val="24"/>
          <w:lang/>
        </w:rPr>
        <w:t>ввозить пальне на митну територію Україні, з якого сплачено акцизний податок або на умовах, визначених </w:t>
      </w:r>
      <w:hyperlink r:id="rId557"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w:t>
      </w:r>
    </w:p>
    <w:p w14:paraId="669FDB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 w:name="n15927"/>
      <w:bookmarkEnd w:id="857"/>
      <w:r w:rsidRPr="008B264B">
        <w:rPr>
          <w:rFonts w:ascii="Times New Roman" w:eastAsia="Times New Roman" w:hAnsi="Times New Roman" w:cs="Times New Roman"/>
          <w:color w:val="000000"/>
          <w:sz w:val="24"/>
          <w:szCs w:val="24"/>
          <w:lang/>
        </w:rPr>
        <w:t>При переході від одного суб’єкта господарювання до іншого права власності на пальне або спирт етиловий, що переміщується та/або зберігається у транспортному засобі, відбувається зміна розпорядника акцизного складу пересувного.</w:t>
      </w:r>
    </w:p>
    <w:p w14:paraId="1DB9B6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 w:name="n15922"/>
      <w:bookmarkEnd w:id="858"/>
      <w:r w:rsidRPr="008B264B">
        <w:rPr>
          <w:rFonts w:ascii="Times New Roman" w:eastAsia="Times New Roman" w:hAnsi="Times New Roman" w:cs="Times New Roman"/>
          <w:i/>
          <w:iCs/>
          <w:color w:val="000000"/>
          <w:sz w:val="24"/>
          <w:szCs w:val="24"/>
          <w:lang/>
        </w:rPr>
        <w:t>{Підпункт 14.1.224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доповнено новим абзацом згідно із Законом </w:t>
      </w:r>
      <w:hyperlink r:id="rId558" w:anchor="n3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88FF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 w:name="n15500"/>
      <w:bookmarkEnd w:id="859"/>
      <w:r w:rsidRPr="008B264B">
        <w:rPr>
          <w:rFonts w:ascii="Times New Roman" w:eastAsia="Times New Roman" w:hAnsi="Times New Roman" w:cs="Times New Roman"/>
          <w:color w:val="000000"/>
          <w:sz w:val="24"/>
          <w:szCs w:val="24"/>
          <w:lang/>
        </w:rPr>
        <w:t>Не є розпорядником акцизного складу пересувного суб’єкт господарювання (перевізник, експедитор), який здійснює транспортування пального або спирту етилового;</w:t>
      </w:r>
    </w:p>
    <w:p w14:paraId="47522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 w:name="n15496"/>
      <w:bookmarkEnd w:id="860"/>
      <w:r w:rsidRPr="008B264B">
        <w:rPr>
          <w:rFonts w:ascii="Times New Roman" w:eastAsia="Times New Roman" w:hAnsi="Times New Roman" w:cs="Times New Roman"/>
          <w:i/>
          <w:iCs/>
          <w:color w:val="000000"/>
          <w:sz w:val="24"/>
          <w:szCs w:val="24"/>
          <w:lang/>
        </w:rPr>
        <w:t>{Пункт 14.1 статті 14 доповнено підпунктом 14.1.224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59" w:anchor="n5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5E233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 w:name="n715"/>
      <w:bookmarkEnd w:id="861"/>
      <w:r w:rsidRPr="008B264B">
        <w:rPr>
          <w:rFonts w:ascii="Times New Roman" w:eastAsia="Times New Roman" w:hAnsi="Times New Roman" w:cs="Times New Roman"/>
          <w:color w:val="000000"/>
          <w:sz w:val="24"/>
          <w:szCs w:val="24"/>
          <w:lang/>
        </w:rPr>
        <w:t>14.1.225. роялті - будь-який платіж, отриманий як винагорода за використання або за надання права на використання об’єкта права інтелектуальної власності, а саме на будь-які літературні твори, твори мистецтва або науки, включаючи комп’ютерні програми, інші записи на носіях інформації, відео- або аудіокасети, кінематографічні фільми або плівки для радіо- чи телевізійного мовлення, передачі (програми) організацій мовлення, інші аудіовізуальні твори, будь-які права, які охороняються патентом, будь-які зареєстровані торговельні марки (знаки на товари і послуги), права інтелектуальної власності на дизайн, секретне креслення, модель, формулу, процес, права інтелектуальної власності на інформацію щодо промислового, комерційного або наукового досвіду (ноу-хау).</w:t>
      </w:r>
    </w:p>
    <w:p w14:paraId="41E626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 w:name="n10493"/>
      <w:bookmarkEnd w:id="862"/>
      <w:r w:rsidRPr="008B264B">
        <w:rPr>
          <w:rFonts w:ascii="Times New Roman" w:eastAsia="Times New Roman" w:hAnsi="Times New Roman" w:cs="Times New Roman"/>
          <w:color w:val="000000"/>
          <w:sz w:val="24"/>
          <w:szCs w:val="24"/>
          <w:lang/>
        </w:rPr>
        <w:t>Не вважаються роялті платежі, отримані:</w:t>
      </w:r>
    </w:p>
    <w:p w14:paraId="355854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 w:name="n10494"/>
      <w:bookmarkEnd w:id="863"/>
      <w:r w:rsidRPr="008B264B">
        <w:rPr>
          <w:rFonts w:ascii="Times New Roman" w:eastAsia="Times New Roman" w:hAnsi="Times New Roman" w:cs="Times New Roman"/>
          <w:color w:val="000000"/>
          <w:sz w:val="24"/>
          <w:szCs w:val="24"/>
          <w:lang/>
        </w:rPr>
        <w:t>як винагорода за використання комп’ютерної програми, якщо умови використання обмежені функціональним призначенням такої програми та її відтворення обмежене кількістю копій, необхідних для такого використання (використання "кінцевим споживачем");</w:t>
      </w:r>
    </w:p>
    <w:p w14:paraId="18B74D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 w:name="n10495"/>
      <w:bookmarkEnd w:id="864"/>
      <w:r w:rsidRPr="008B264B">
        <w:rPr>
          <w:rFonts w:ascii="Times New Roman" w:eastAsia="Times New Roman" w:hAnsi="Times New Roman" w:cs="Times New Roman"/>
          <w:color w:val="000000"/>
          <w:sz w:val="24"/>
          <w:szCs w:val="24"/>
          <w:lang/>
        </w:rPr>
        <w:lastRenderedPageBreak/>
        <w:t>за придбання примірників (копій, екземплярів) об’єктів інтелектуальної власності, у тому числі в електронній формі, для використання за своїм функціональним призначенням для кінцевого споживання або для перепродажу такого примірника (копії, екземпляра);</w:t>
      </w:r>
    </w:p>
    <w:p w14:paraId="4B36FA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 w:name="n10496"/>
      <w:bookmarkEnd w:id="865"/>
      <w:r w:rsidRPr="008B264B">
        <w:rPr>
          <w:rFonts w:ascii="Times New Roman" w:eastAsia="Times New Roman" w:hAnsi="Times New Roman" w:cs="Times New Roman"/>
          <w:color w:val="000000"/>
          <w:sz w:val="24"/>
          <w:szCs w:val="24"/>
          <w:lang/>
        </w:rPr>
        <w:t>за придбання речей (у тому числі носіїв інформації), в яких втілені або на яких містяться об’єкти права інтелектуальної власності, визначені в абзаці першому цього підпункту, у користування, володіння та/або розпорядження особи;</w:t>
      </w:r>
    </w:p>
    <w:p w14:paraId="172AB3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 w:name="n10497"/>
      <w:bookmarkEnd w:id="866"/>
      <w:r w:rsidRPr="008B264B">
        <w:rPr>
          <w:rFonts w:ascii="Times New Roman" w:eastAsia="Times New Roman" w:hAnsi="Times New Roman" w:cs="Times New Roman"/>
          <w:color w:val="000000"/>
          <w:sz w:val="24"/>
          <w:szCs w:val="24"/>
          <w:lang/>
        </w:rPr>
        <w:t>за передачу прав на об’єкти права інтелектуальної власності, якщо умови передачі прав на об’єкт права інтелектуальної власності надають право особі, яка отримує такі права, продати або здійснити відчуження в інший спосіб права інтелектуальної власності або оприлюднити (розголосити) секретні креслення, моделі, формули, процеси, права інтелектуальної власності на інформацію щодо промислового, комерційного або наукового досвіду (ноу-хау), крім випадків, коли таке оприлюднення (розголошення) є обов’язковим згідно із законодавством України;</w:t>
      </w:r>
    </w:p>
    <w:p w14:paraId="5C27B3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 w:name="n14749"/>
      <w:bookmarkEnd w:id="867"/>
      <w:r w:rsidRPr="008B264B">
        <w:rPr>
          <w:rFonts w:ascii="Times New Roman" w:eastAsia="Times New Roman" w:hAnsi="Times New Roman" w:cs="Times New Roman"/>
          <w:color w:val="000000"/>
          <w:sz w:val="24"/>
          <w:szCs w:val="24"/>
          <w:lang/>
        </w:rPr>
        <w:t>за передачу права на розповсюдження примірників програмної продукції без права на їх відтворення або якщо їх відтворення обмежено використанням кінцевим споживачем;</w:t>
      </w:r>
    </w:p>
    <w:p w14:paraId="7A1C9C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 w:name="n10492"/>
      <w:bookmarkEnd w:id="868"/>
      <w:r w:rsidRPr="008B264B">
        <w:rPr>
          <w:rFonts w:ascii="Times New Roman" w:eastAsia="Times New Roman" w:hAnsi="Times New Roman" w:cs="Times New Roman"/>
          <w:i/>
          <w:iCs/>
          <w:color w:val="000000"/>
          <w:sz w:val="24"/>
          <w:szCs w:val="24"/>
          <w:lang/>
        </w:rPr>
        <w:t>{Підпункт 14.1.225 пункту 14.1 статті 14 із змінами, внесеними згідно із Законом </w:t>
      </w:r>
      <w:hyperlink r:id="rId56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Законів </w:t>
      </w:r>
      <w:hyperlink r:id="rId561" w:anchor="n1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562" w:anchor="n4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6BEA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 w:name="n719"/>
      <w:bookmarkEnd w:id="869"/>
      <w:r w:rsidRPr="008B264B">
        <w:rPr>
          <w:rFonts w:ascii="Times New Roman" w:eastAsia="Times New Roman" w:hAnsi="Times New Roman" w:cs="Times New Roman"/>
          <w:color w:val="000000"/>
          <w:sz w:val="24"/>
          <w:szCs w:val="24"/>
          <w:lang/>
        </w:rPr>
        <w:t>14.1.226. самозайнята особа - платник податку, який є фізичною особою - підприємцем або провадить незалежну професійну діяльність за умови, що така особа не є працівником в межах такої підприємницької чи незалежної професійної діяльності.</w:t>
      </w:r>
    </w:p>
    <w:p w14:paraId="4C1439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 w:name="n720"/>
      <w:bookmarkEnd w:id="870"/>
      <w:r w:rsidRPr="008B264B">
        <w:rPr>
          <w:rFonts w:ascii="Times New Roman" w:eastAsia="Times New Roman" w:hAnsi="Times New Roman" w:cs="Times New Roman"/>
          <w:color w:val="000000"/>
          <w:sz w:val="24"/>
          <w:szCs w:val="24"/>
          <w:lang/>
        </w:rPr>
        <w:t>Незалежна професійна діяльність - участь фізичної особи у науковій, літературній, артистичній, художній, освітній або викладацькій діяльності, діяльність лікарів, приватних нотаріусів, приватних виконавців, адвокатів, арбітражних керуючих (розпорядників майна, керуючих санацією, ліквідаторів), аудиторів, бухгалтерів, оцінщиків, інженерів чи архітекторів, особи, зайнятої релігійною (місіонерською) діяльністю, іншою подібною діяльністю за умови, що така особа не є працівником або фізичною особою - підприємцем та використовує найману працю не більш як чотирьох фізичних осіб;</w:t>
      </w:r>
    </w:p>
    <w:p w14:paraId="3EF6C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 w:name="n721"/>
      <w:bookmarkEnd w:id="871"/>
      <w:r w:rsidRPr="008B264B">
        <w:rPr>
          <w:rFonts w:ascii="Times New Roman" w:eastAsia="Times New Roman" w:hAnsi="Times New Roman" w:cs="Times New Roman"/>
          <w:i/>
          <w:iCs/>
          <w:color w:val="000000"/>
          <w:sz w:val="24"/>
          <w:szCs w:val="24"/>
          <w:lang/>
        </w:rPr>
        <w:t>{Абзац другий підпункту 14.1.226 пункту 14.1 статті 14 із змінами, внесеними згідно із Законами </w:t>
      </w:r>
      <w:hyperlink r:id="rId563" w:anchor="n1689" w:tgtFrame="_blank" w:history="1">
        <w:r w:rsidRPr="008B264B">
          <w:rPr>
            <w:rFonts w:ascii="Times New Roman" w:eastAsia="Times New Roman" w:hAnsi="Times New Roman" w:cs="Times New Roman"/>
            <w:i/>
            <w:iCs/>
            <w:color w:val="0000FF"/>
            <w:sz w:val="24"/>
            <w:szCs w:val="24"/>
            <w:u w:val="single"/>
            <w:lang/>
          </w:rPr>
          <w:t>№ 4212-VI від 22.12.2011</w:t>
        </w:r>
      </w:hyperlink>
      <w:r w:rsidRPr="008B264B">
        <w:rPr>
          <w:rFonts w:ascii="Times New Roman" w:eastAsia="Times New Roman" w:hAnsi="Times New Roman" w:cs="Times New Roman"/>
          <w:i/>
          <w:iCs/>
          <w:color w:val="000000"/>
          <w:sz w:val="24"/>
          <w:szCs w:val="24"/>
          <w:lang/>
        </w:rPr>
        <w:t>, </w:t>
      </w:r>
      <w:hyperlink r:id="rId564" w:anchor="n1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C12C6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 w:name="n13532"/>
      <w:bookmarkEnd w:id="872"/>
      <w:r w:rsidRPr="008B264B">
        <w:rPr>
          <w:rFonts w:ascii="Times New Roman" w:eastAsia="Times New Roman" w:hAnsi="Times New Roman" w:cs="Times New Roman"/>
          <w:color w:val="000000"/>
          <w:sz w:val="24"/>
          <w:szCs w:val="24"/>
          <w:lang/>
        </w:rPr>
        <w:t>14.1.226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сервісне обслуговування платників - надання адміністративних, консультаційних, довідкових, інформаційних, електронних та інших послуг, пов’язаних з реалізацією прав та обов’язків платника відповідно до вимог податкового та іншого законодавства, контроль за дотриманням якого покладено на контролюючий орган;</w:t>
      </w:r>
    </w:p>
    <w:p w14:paraId="175C7E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 w:name="n13531"/>
      <w:bookmarkEnd w:id="873"/>
      <w:r w:rsidRPr="008B264B">
        <w:rPr>
          <w:rFonts w:ascii="Times New Roman" w:eastAsia="Times New Roman" w:hAnsi="Times New Roman" w:cs="Times New Roman"/>
          <w:i/>
          <w:iCs/>
          <w:color w:val="000000"/>
          <w:sz w:val="24"/>
          <w:szCs w:val="24"/>
          <w:lang/>
        </w:rPr>
        <w:t>{Пункт 14.1 статті 14 доповнено підпунктом 14.1.226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65" w:anchor="n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262D3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 w:name="n722"/>
      <w:bookmarkEnd w:id="874"/>
      <w:r w:rsidRPr="008B264B">
        <w:rPr>
          <w:rFonts w:ascii="Times New Roman" w:eastAsia="Times New Roman" w:hAnsi="Times New Roman" w:cs="Times New Roman"/>
          <w:color w:val="000000"/>
          <w:sz w:val="24"/>
          <w:szCs w:val="24"/>
          <w:lang/>
        </w:rPr>
        <w:t>14.1.227. середньооблікова кількість працівників - кількість працівників у юридичних осіб, визначена за методикою, затвердженою центральним органом виконавчої влади, що забезпечує формування державної політики у сфері статистики, з урахуванням усіх найманих працівників і осіб, що працюють за цивільно-правовими договорами та за сумісництвом більш як один календарний місяць, а також найманих працівників представництв, філій, відділень та інших відокремлених підрозділів в еквіваленті повної зайнятості, крім найманих працівників, які перебувають у відпустці у зв'язку з вагітністю та пологами та у відпустці по догляду за дитиною до досягнення нею передбаченого законодавством віку;</w:t>
      </w:r>
    </w:p>
    <w:p w14:paraId="345DA4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 w:name="n723"/>
      <w:bookmarkEnd w:id="875"/>
      <w:r w:rsidRPr="008B264B">
        <w:rPr>
          <w:rFonts w:ascii="Times New Roman" w:eastAsia="Times New Roman" w:hAnsi="Times New Roman" w:cs="Times New Roman"/>
          <w:i/>
          <w:iCs/>
          <w:color w:val="000000"/>
          <w:sz w:val="24"/>
          <w:szCs w:val="24"/>
          <w:lang/>
        </w:rPr>
        <w:t>{Підпункт 14.1.227 пункту 14.1 статті 14 із змінами, внесеними згідно із Законами </w:t>
      </w:r>
      <w:hyperlink r:id="rId566"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w:t>
      </w:r>
      <w:hyperlink r:id="rId567" w:anchor="n3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568" w:anchor="n1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77E7F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 w:name="n14751"/>
      <w:bookmarkEnd w:id="876"/>
      <w:r w:rsidRPr="008B264B">
        <w:rPr>
          <w:rFonts w:ascii="Times New Roman" w:eastAsia="Times New Roman" w:hAnsi="Times New Roman" w:cs="Times New Roman"/>
          <w:color w:val="000000"/>
          <w:sz w:val="24"/>
          <w:szCs w:val="24"/>
          <w:lang/>
        </w:rPr>
        <w:t>14.1.227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{Підпункт 14.1.227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набирає чинності з 1 січня 2025 року - див. </w:t>
      </w:r>
      <w:hyperlink r:id="rId569" w:anchor="n581" w:tgtFrame="_blank" w:history="1">
        <w:r w:rsidRPr="008B264B">
          <w:rPr>
            <w:rFonts w:ascii="Times New Roman" w:eastAsia="Times New Roman" w:hAnsi="Times New Roman" w:cs="Times New Roman"/>
            <w:i/>
            <w:iCs/>
            <w:color w:val="0000FF"/>
            <w:sz w:val="24"/>
            <w:szCs w:val="24"/>
            <w:u w:val="single"/>
            <w:lang/>
          </w:rPr>
          <w:t>пункт 1 розділу II</w:t>
        </w:r>
      </w:hyperlink>
      <w:r w:rsidRPr="008B264B">
        <w:rPr>
          <w:rFonts w:ascii="Times New Roman" w:eastAsia="Times New Roman" w:hAnsi="Times New Roman" w:cs="Times New Roman"/>
          <w:i/>
          <w:iCs/>
          <w:color w:val="000000"/>
          <w:sz w:val="24"/>
          <w:szCs w:val="24"/>
          <w:lang/>
        </w:rPr>
        <w:t> Закону № 2245-VIII від 07.12.2017}</w:t>
      </w:r>
      <w:r w:rsidRPr="008B264B">
        <w:rPr>
          <w:rFonts w:ascii="Times New Roman" w:eastAsia="Times New Roman" w:hAnsi="Times New Roman" w:cs="Times New Roman"/>
          <w:color w:val="000000"/>
          <w:sz w:val="24"/>
          <w:szCs w:val="24"/>
          <w:lang/>
        </w:rPr>
        <w:t xml:space="preserve">  середньозважена роздрібна ціна продажу сигарет - ціна, розрахована із суми загальної вартості всіх сигарет, реалізованих виробниками на митній території України та ввезених імпортерами на митну територію України </w:t>
      </w:r>
      <w:r w:rsidRPr="008B264B">
        <w:rPr>
          <w:rFonts w:ascii="Times New Roman" w:eastAsia="Times New Roman" w:hAnsi="Times New Roman" w:cs="Times New Roman"/>
          <w:color w:val="000000"/>
          <w:sz w:val="24"/>
          <w:szCs w:val="24"/>
          <w:lang/>
        </w:rPr>
        <w:lastRenderedPageBreak/>
        <w:t>за період з 1 січня до 31 грудня звітного року, поділеної на суму загальної кількості реалізованих виробниками та ввезених імпортерами сигарет за той самий період, визначеної у деклараціях акцизного податку за січень - грудень звітного року, в розрахунку на 1000 штук.</w:t>
      </w:r>
    </w:p>
    <w:p w14:paraId="1AF305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 w:name="n14753"/>
      <w:bookmarkEnd w:id="877"/>
      <w:r w:rsidRPr="008B264B">
        <w:rPr>
          <w:rFonts w:ascii="Times New Roman" w:eastAsia="Times New Roman" w:hAnsi="Times New Roman" w:cs="Times New Roman"/>
          <w:i/>
          <w:iCs/>
          <w:color w:val="000000"/>
          <w:sz w:val="24"/>
          <w:szCs w:val="24"/>
          <w:lang/>
        </w:rPr>
        <w:t>{Пункт 14.1 статті 14 доповнено підпунктом 14.1.227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70" w:anchor="n5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8187A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 w:name="n14752"/>
      <w:bookmarkEnd w:id="878"/>
      <w:r w:rsidRPr="008B264B">
        <w:rPr>
          <w:rFonts w:ascii="Times New Roman" w:eastAsia="Times New Roman" w:hAnsi="Times New Roman" w:cs="Times New Roman"/>
          <w:color w:val="000000"/>
          <w:sz w:val="24"/>
          <w:szCs w:val="24"/>
          <w:lang/>
        </w:rPr>
        <w:t>14.1.227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синдикований фінансовий кредит - кошти, що надаються кількома банками-резидентами та/або банками-нерезидентами, або нерезидентами, що кваліфікуються як банківська установа згідно із законодавством країни перебування нерезидента, або резидентами та/або нерезидентами, які мають згідно з відповідним законодавством статус небанківських фінансових установ, а також іноземною державою або її офіційними агентствами, міжнародними фінансовими організаціями та іншими кредиторами-нерезидентами (учасники синдикату кредиторів) у межах одного кредитного договору в певних частках юридичним особам на визначений строк для цільового використання та під процент. Виплата доходу учасникам синдикату кредиторів може здійснюватися через агента, номінального утримувача (номінального власника) або посередника щодо такого доходу;</w:t>
      </w:r>
    </w:p>
    <w:p w14:paraId="5E31FD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 w:name="n14750"/>
      <w:bookmarkEnd w:id="879"/>
      <w:r w:rsidRPr="008B264B">
        <w:rPr>
          <w:rFonts w:ascii="Times New Roman" w:eastAsia="Times New Roman" w:hAnsi="Times New Roman" w:cs="Times New Roman"/>
          <w:i/>
          <w:iCs/>
          <w:color w:val="000000"/>
          <w:sz w:val="24"/>
          <w:szCs w:val="24"/>
          <w:lang/>
        </w:rPr>
        <w:t>{Пункт 14.1 статті 14 доповнено підпунктом 14.1.227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571" w:anchor="n5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EC93C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 w:name="n724"/>
      <w:bookmarkEnd w:id="880"/>
      <w:r w:rsidRPr="008B264B">
        <w:rPr>
          <w:rFonts w:ascii="Times New Roman" w:eastAsia="Times New Roman" w:hAnsi="Times New Roman" w:cs="Times New Roman"/>
          <w:i/>
          <w:iCs/>
          <w:color w:val="000000"/>
          <w:sz w:val="24"/>
          <w:szCs w:val="24"/>
          <w:lang/>
        </w:rPr>
        <w:t>{Підпункт 14.1.228 пункту 14.1 статті 14 виключено на підставі Закону </w:t>
      </w:r>
      <w:hyperlink r:id="rId572" w:anchor="n1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320F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 w:name="n725"/>
      <w:bookmarkEnd w:id="881"/>
      <w:r w:rsidRPr="008B264B">
        <w:rPr>
          <w:rFonts w:ascii="Times New Roman" w:eastAsia="Times New Roman" w:hAnsi="Times New Roman" w:cs="Times New Roman"/>
          <w:color w:val="000000"/>
          <w:sz w:val="24"/>
          <w:szCs w:val="24"/>
          <w:lang/>
        </w:rPr>
        <w:t>14.1.229. спеціально відведені автостоянки - площа території (землі), що належить на правах власності територіальній громаді або державі, яка визначається органами місцевого самоврядування із встановленням правил щодо відповідальності за збереження транспортного засобу.</w:t>
      </w:r>
    </w:p>
    <w:p w14:paraId="209634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 w:name="n726"/>
      <w:bookmarkEnd w:id="882"/>
      <w:r w:rsidRPr="008B264B">
        <w:rPr>
          <w:rFonts w:ascii="Times New Roman" w:eastAsia="Times New Roman" w:hAnsi="Times New Roman" w:cs="Times New Roman"/>
          <w:color w:val="000000"/>
          <w:sz w:val="24"/>
          <w:szCs w:val="24"/>
          <w:lang/>
        </w:rPr>
        <w:t>До спеціально відведених автостоянок можуть належати комунальні гаражі, стоянки, паркінги (будівлі, споруди, їх частини), які побудовані за рахунок коштів місцевого бюджету з метою здійснення організації паркування транспортних засобів.</w:t>
      </w:r>
    </w:p>
    <w:p w14:paraId="3D7353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 w:name="n727"/>
      <w:bookmarkEnd w:id="883"/>
      <w:r w:rsidRPr="008B264B">
        <w:rPr>
          <w:rFonts w:ascii="Times New Roman" w:eastAsia="Times New Roman" w:hAnsi="Times New Roman" w:cs="Times New Roman"/>
          <w:color w:val="000000"/>
          <w:sz w:val="24"/>
          <w:szCs w:val="24"/>
          <w:lang/>
        </w:rPr>
        <w:t>Не належать до спеціально відведених автостоянок гаражі, автостоянки, власники або користувачі яких є платниками земельного податку або орендної плати за земельні ділянки державної і комунальної власності, а також земельні ділянки, що належать до прибудинкових територій;</w:t>
      </w:r>
    </w:p>
    <w:p w14:paraId="0C6901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 w:name="n728"/>
      <w:bookmarkEnd w:id="884"/>
      <w:r w:rsidRPr="008B264B">
        <w:rPr>
          <w:rFonts w:ascii="Times New Roman" w:eastAsia="Times New Roman" w:hAnsi="Times New Roman" w:cs="Times New Roman"/>
          <w:color w:val="000000"/>
          <w:sz w:val="24"/>
          <w:szCs w:val="24"/>
          <w:lang/>
        </w:rPr>
        <w:t>14.1.230. стаціонарне джерело забруднення - підприємство, цех, агрегат, установка або інший нерухомий об'єкт, що зберігає свої просторові координати протягом певного часу і здійснює викиди забруднюючих речовин в атмосферу та/або скиди забруднюючих речовин у водні об'єкти;</w:t>
      </w:r>
    </w:p>
    <w:p w14:paraId="3379AB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 w:name="n729"/>
      <w:bookmarkEnd w:id="885"/>
      <w:r w:rsidRPr="008B264B">
        <w:rPr>
          <w:rFonts w:ascii="Times New Roman" w:eastAsia="Times New Roman" w:hAnsi="Times New Roman" w:cs="Times New Roman"/>
          <w:color w:val="000000"/>
          <w:sz w:val="24"/>
          <w:szCs w:val="24"/>
          <w:lang/>
        </w:rPr>
        <w:t>14.1.231. розумна економічна причина (ділова мета) - причина, яка може бути наявна лише за умови, що платник податків має намір одержати економічний ефект у результаті господарської діяльності;</w:t>
      </w:r>
    </w:p>
    <w:p w14:paraId="5DB009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 w:name="n730"/>
      <w:bookmarkEnd w:id="886"/>
      <w:r w:rsidRPr="008B264B">
        <w:rPr>
          <w:rFonts w:ascii="Times New Roman" w:eastAsia="Times New Roman" w:hAnsi="Times New Roman" w:cs="Times New Roman"/>
          <w:color w:val="000000"/>
          <w:sz w:val="24"/>
          <w:szCs w:val="24"/>
          <w:lang/>
        </w:rPr>
        <w:t>14.1.232. сертифікат фонду операцій з нерухомістю - цінний папір, що засвідчує право його власника на отримання доходу від інвестування в операції з нерухомістю відповідно до закону;</w:t>
      </w:r>
    </w:p>
    <w:p w14:paraId="45671B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 w:name="n731"/>
      <w:bookmarkEnd w:id="887"/>
      <w:r w:rsidRPr="008B264B">
        <w:rPr>
          <w:rFonts w:ascii="Times New Roman" w:eastAsia="Times New Roman" w:hAnsi="Times New Roman" w:cs="Times New Roman"/>
          <w:color w:val="000000"/>
          <w:sz w:val="24"/>
          <w:szCs w:val="24"/>
          <w:lang/>
        </w:rPr>
        <w:t>14.1.233. сільськогосподарські угіддя - рілля, багаторічні насадження, сіножаті, пасовища та перелоги;</w:t>
      </w:r>
    </w:p>
    <w:p w14:paraId="1F897E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 w:name="n732"/>
      <w:bookmarkEnd w:id="888"/>
      <w:r w:rsidRPr="008B264B">
        <w:rPr>
          <w:rFonts w:ascii="Times New Roman" w:eastAsia="Times New Roman" w:hAnsi="Times New Roman" w:cs="Times New Roman"/>
          <w:color w:val="000000"/>
          <w:sz w:val="24"/>
          <w:szCs w:val="24"/>
          <w:lang/>
        </w:rPr>
        <w:t>14.1.234. сільськогосподарська продукція (сільськогосподарські товари) для цілей </w:t>
      </w:r>
      <w:hyperlink r:id="rId573" w:anchor="n6944" w:history="1">
        <w:r w:rsidRPr="008B264B">
          <w:rPr>
            <w:rFonts w:ascii="Times New Roman" w:eastAsia="Times New Roman" w:hAnsi="Times New Roman" w:cs="Times New Roman"/>
            <w:color w:val="0000FF"/>
            <w:sz w:val="24"/>
            <w:szCs w:val="24"/>
            <w:u w:val="single"/>
            <w:lang/>
          </w:rPr>
          <w:t>глави 1</w:t>
        </w:r>
      </w:hyperlink>
      <w:hyperlink r:id="rId574" w:anchor="n6944" w:history="1">
        <w:r w:rsidRPr="008B264B">
          <w:rPr>
            <w:rFonts w:ascii="Times New Roman" w:eastAsia="Times New Roman" w:hAnsi="Times New Roman" w:cs="Times New Roman"/>
            <w:color w:val="0000FF"/>
            <w:sz w:val="24"/>
            <w:szCs w:val="24"/>
            <w:u w:val="single"/>
            <w:lang/>
          </w:rPr>
          <w:t> розділу XIV</w:t>
        </w:r>
      </w:hyperlink>
      <w:r w:rsidRPr="008B264B">
        <w:rPr>
          <w:rFonts w:ascii="Times New Roman" w:eastAsia="Times New Roman" w:hAnsi="Times New Roman" w:cs="Times New Roman"/>
          <w:color w:val="000000"/>
          <w:sz w:val="24"/>
          <w:szCs w:val="24"/>
          <w:lang/>
        </w:rPr>
        <w:t> цього Кодексу - продукція/товари, що підпадають під визначення груп 1-24 </w:t>
      </w:r>
      <w:hyperlink r:id="rId575"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якщо при цьому такі товари (продукція) вирощуються, відгодовуються, виловлюються, збираються, виготовляються, виробляються, переробляються безпосередньо виробником цих товарів (продукції), а також продукти обробки та переробки цих товарів (продукції), якщо вони були придбані або вироблені на власних або орендованих потужностях (площах) для продажу, переробки або внутрішньогосподарського споживання;</w:t>
      </w:r>
    </w:p>
    <w:p w14:paraId="78CAFF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 w:name="n10498"/>
      <w:bookmarkEnd w:id="889"/>
      <w:r w:rsidRPr="008B264B">
        <w:rPr>
          <w:rFonts w:ascii="Times New Roman" w:eastAsia="Times New Roman" w:hAnsi="Times New Roman" w:cs="Times New Roman"/>
          <w:i/>
          <w:iCs/>
          <w:color w:val="000000"/>
          <w:sz w:val="24"/>
          <w:szCs w:val="24"/>
          <w:lang/>
        </w:rPr>
        <w:lastRenderedPageBreak/>
        <w:t>{Підпункт 14.1.234 пункту 14.1 статті 14 із змінами, внесеними згідно із Законом </w:t>
      </w:r>
      <w:hyperlink r:id="rId576" w:anchor="n1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EBA14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 w:name="n733"/>
      <w:bookmarkEnd w:id="890"/>
      <w:r w:rsidRPr="008B264B">
        <w:rPr>
          <w:rFonts w:ascii="Times New Roman" w:eastAsia="Times New Roman" w:hAnsi="Times New Roman" w:cs="Times New Roman"/>
          <w:color w:val="000000"/>
          <w:sz w:val="24"/>
          <w:szCs w:val="24"/>
          <w:lang/>
        </w:rPr>
        <w:t>14.1.235. сільськогосподарський товаровиробник для цілей </w:t>
      </w:r>
      <w:hyperlink r:id="rId577" w:anchor="n6944" w:history="1">
        <w:r w:rsidRPr="008B264B">
          <w:rPr>
            <w:rFonts w:ascii="Times New Roman" w:eastAsia="Times New Roman" w:hAnsi="Times New Roman" w:cs="Times New Roman"/>
            <w:color w:val="0000FF"/>
            <w:sz w:val="24"/>
            <w:szCs w:val="24"/>
            <w:u w:val="single"/>
            <w:lang/>
          </w:rPr>
          <w:t>глави 1</w:t>
        </w:r>
      </w:hyperlink>
      <w:hyperlink r:id="rId578" w:anchor="n6944" w:history="1">
        <w:r w:rsidRPr="008B264B">
          <w:rPr>
            <w:rFonts w:ascii="Times New Roman" w:eastAsia="Times New Roman" w:hAnsi="Times New Roman" w:cs="Times New Roman"/>
            <w:color w:val="0000FF"/>
            <w:sz w:val="24"/>
            <w:szCs w:val="24"/>
            <w:u w:val="single"/>
            <w:lang/>
          </w:rPr>
          <w:t> розділу XIV</w:t>
        </w:r>
      </w:hyperlink>
      <w:r w:rsidRPr="008B264B">
        <w:rPr>
          <w:rFonts w:ascii="Times New Roman" w:eastAsia="Times New Roman" w:hAnsi="Times New Roman" w:cs="Times New Roman"/>
          <w:color w:val="000000"/>
          <w:sz w:val="24"/>
          <w:szCs w:val="24"/>
          <w:lang/>
        </w:rPr>
        <w:t> цього Кодексу - юридична особа незалежно від організаційно-правової форми або фізична особа - підприємець, яка займається виробництвом сільськогосподарської продукції та/або розведенням, вирощуванням та виловом риби у внутрішніх водоймах (озерах, ставках та водосховищах) та її переробкою на власних чи орендованих потужностях, у тому числі власновиробленої сировини на давальницьких умовах, та здійснює операції з її постачання.</w:t>
      </w:r>
    </w:p>
    <w:p w14:paraId="63C24A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 w:name="n10501"/>
      <w:bookmarkEnd w:id="891"/>
      <w:r w:rsidRPr="008B264B">
        <w:rPr>
          <w:rFonts w:ascii="Times New Roman" w:eastAsia="Times New Roman" w:hAnsi="Times New Roman" w:cs="Times New Roman"/>
          <w:i/>
          <w:iCs/>
          <w:color w:val="000000"/>
          <w:sz w:val="24"/>
          <w:szCs w:val="24"/>
          <w:lang/>
        </w:rPr>
        <w:t>{Абзац другий підпункту 14.1.235 пункту 14.1 статті 14 виключено на підставі Закону </w:t>
      </w:r>
      <w:hyperlink r:id="rId579" w:anchor="n3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FA66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 w:name="n10499"/>
      <w:bookmarkEnd w:id="892"/>
      <w:r w:rsidRPr="008B264B">
        <w:rPr>
          <w:rFonts w:ascii="Times New Roman" w:eastAsia="Times New Roman" w:hAnsi="Times New Roman" w:cs="Times New Roman"/>
          <w:i/>
          <w:iCs/>
          <w:color w:val="000000"/>
          <w:sz w:val="24"/>
          <w:szCs w:val="24"/>
          <w:lang/>
        </w:rPr>
        <w:t>{Підпункт 14.1.235 пункту 14.1 статті 14 із змінами, внесеними згідно із Законами </w:t>
      </w:r>
      <w:hyperlink r:id="rId580" w:anchor="n1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581" w:anchor="n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1D3FE8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 w:name="n734"/>
      <w:bookmarkEnd w:id="893"/>
      <w:r w:rsidRPr="008B264B">
        <w:rPr>
          <w:rFonts w:ascii="Times New Roman" w:eastAsia="Times New Roman" w:hAnsi="Times New Roman" w:cs="Times New Roman"/>
          <w:i/>
          <w:iCs/>
          <w:color w:val="000000"/>
          <w:sz w:val="24"/>
          <w:szCs w:val="24"/>
          <w:lang/>
        </w:rPr>
        <w:t>{Підпункт 14.1.236 пункту 14.1 статті 14 виключено на підставі Закону </w:t>
      </w:r>
      <w:hyperlink r:id="rId58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7D08C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 w:name="n735"/>
      <w:bookmarkEnd w:id="894"/>
      <w:r w:rsidRPr="008B264B">
        <w:rPr>
          <w:rFonts w:ascii="Times New Roman" w:eastAsia="Times New Roman" w:hAnsi="Times New Roman" w:cs="Times New Roman"/>
          <w:color w:val="000000"/>
          <w:sz w:val="24"/>
          <w:szCs w:val="24"/>
          <w:lang/>
        </w:rPr>
        <w:t>14.1.237. спирт етиловий - всі види ректифікованого та дистильованого спирту етилового, біоетанол, інші види спирту етилового, зазначені у товарних позиціях 2207 та 2208 згідно з </w:t>
      </w:r>
      <w:hyperlink r:id="rId583"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6B29A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 w:name="n15227"/>
      <w:bookmarkEnd w:id="895"/>
      <w:r w:rsidRPr="008B264B">
        <w:rPr>
          <w:rFonts w:ascii="Times New Roman" w:eastAsia="Times New Roman" w:hAnsi="Times New Roman" w:cs="Times New Roman"/>
          <w:i/>
          <w:iCs/>
          <w:color w:val="000000"/>
          <w:sz w:val="24"/>
          <w:szCs w:val="24"/>
          <w:lang/>
        </w:rPr>
        <w:t>{Підпункт 14.1.237 пункту 14.1 статті 14 в редакції Закону </w:t>
      </w:r>
      <w:hyperlink r:id="rId584" w:anchor="n6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CDA2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 w:name="n736"/>
      <w:bookmarkEnd w:id="896"/>
      <w:r w:rsidRPr="008B264B">
        <w:rPr>
          <w:rFonts w:ascii="Times New Roman" w:eastAsia="Times New Roman" w:hAnsi="Times New Roman" w:cs="Times New Roman"/>
          <w:color w:val="000000"/>
          <w:sz w:val="24"/>
          <w:szCs w:val="24"/>
          <w:lang/>
        </w:rPr>
        <w:t>14.1.238. споруди - земельні поліпшення, що не належать до будівель і призначені для виконання спеціальних технічних функцій;</w:t>
      </w:r>
    </w:p>
    <w:p w14:paraId="770CB3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 w:name="n737"/>
      <w:bookmarkEnd w:id="897"/>
      <w:r w:rsidRPr="008B264B">
        <w:rPr>
          <w:rFonts w:ascii="Times New Roman" w:eastAsia="Times New Roman" w:hAnsi="Times New Roman" w:cs="Times New Roman"/>
          <w:color w:val="000000"/>
          <w:sz w:val="24"/>
          <w:szCs w:val="24"/>
          <w:lang/>
        </w:rPr>
        <w:t>14.1.239. виключено;</w:t>
      </w:r>
    </w:p>
    <w:p w14:paraId="3D52A7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 w:name="n738"/>
      <w:bookmarkEnd w:id="898"/>
      <w:r w:rsidRPr="008B264B">
        <w:rPr>
          <w:rFonts w:ascii="Times New Roman" w:eastAsia="Times New Roman" w:hAnsi="Times New Roman" w:cs="Times New Roman"/>
          <w:color w:val="000000"/>
          <w:sz w:val="24"/>
          <w:szCs w:val="24"/>
          <w:lang/>
        </w:rPr>
        <w:t>14.1.240. ставка земельного податку для цілей </w:t>
      </w:r>
      <w:hyperlink r:id="rId585" w:anchor="n6340" w:history="1">
        <w:r w:rsidRPr="008B264B">
          <w:rPr>
            <w:rFonts w:ascii="Times New Roman" w:eastAsia="Times New Roman" w:hAnsi="Times New Roman" w:cs="Times New Roman"/>
            <w:color w:val="0000FF"/>
            <w:sz w:val="24"/>
            <w:szCs w:val="24"/>
            <w:u w:val="single"/>
            <w:lang/>
          </w:rPr>
          <w:t>розділу XII</w:t>
        </w:r>
      </w:hyperlink>
      <w:r w:rsidRPr="008B264B">
        <w:rPr>
          <w:rFonts w:ascii="Times New Roman" w:eastAsia="Times New Roman" w:hAnsi="Times New Roman" w:cs="Times New Roman"/>
          <w:color w:val="000000"/>
          <w:sz w:val="24"/>
          <w:szCs w:val="24"/>
          <w:lang/>
        </w:rPr>
        <w:t> цього Кодексу - законодавчо визначений річний розмір плати за одиницю площі оподатковуваної земельної ділянки;</w:t>
      </w:r>
    </w:p>
    <w:p w14:paraId="26EC3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 w:name="n10502"/>
      <w:bookmarkEnd w:id="899"/>
      <w:r w:rsidRPr="008B264B">
        <w:rPr>
          <w:rFonts w:ascii="Times New Roman" w:eastAsia="Times New Roman" w:hAnsi="Times New Roman" w:cs="Times New Roman"/>
          <w:i/>
          <w:iCs/>
          <w:color w:val="000000"/>
          <w:sz w:val="24"/>
          <w:szCs w:val="24"/>
          <w:lang/>
        </w:rPr>
        <w:t>{Підпункт 14.1.240 пункту 14.1 статті 14 в редакції Закону </w:t>
      </w:r>
      <w:hyperlink r:id="rId586" w:anchor="n13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F8A9A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 w:name="n739"/>
      <w:bookmarkEnd w:id="900"/>
      <w:r w:rsidRPr="008B264B">
        <w:rPr>
          <w:rFonts w:ascii="Times New Roman" w:eastAsia="Times New Roman" w:hAnsi="Times New Roman" w:cs="Times New Roman"/>
          <w:color w:val="000000"/>
          <w:sz w:val="24"/>
          <w:szCs w:val="24"/>
          <w:lang/>
        </w:rPr>
        <w:t>14.1.241. суб'єкт владних повноважень - у значенні, визначеному </w:t>
      </w:r>
      <w:hyperlink r:id="rId587" w:tgtFrame="_blank" w:history="1">
        <w:r w:rsidRPr="008B264B">
          <w:rPr>
            <w:rFonts w:ascii="Times New Roman" w:eastAsia="Times New Roman" w:hAnsi="Times New Roman" w:cs="Times New Roman"/>
            <w:color w:val="0000FF"/>
            <w:sz w:val="24"/>
            <w:szCs w:val="24"/>
            <w:u w:val="single"/>
            <w:lang/>
          </w:rPr>
          <w:t>Кодексом адміністративного судочинства України</w:t>
        </w:r>
      </w:hyperlink>
      <w:r w:rsidRPr="008B264B">
        <w:rPr>
          <w:rFonts w:ascii="Times New Roman" w:eastAsia="Times New Roman" w:hAnsi="Times New Roman" w:cs="Times New Roman"/>
          <w:color w:val="000000"/>
          <w:sz w:val="24"/>
          <w:szCs w:val="24"/>
          <w:lang/>
        </w:rPr>
        <w:t>;</w:t>
      </w:r>
    </w:p>
    <w:p w14:paraId="13513D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 w:name="n740"/>
      <w:bookmarkEnd w:id="901"/>
      <w:r w:rsidRPr="008B264B">
        <w:rPr>
          <w:rFonts w:ascii="Times New Roman" w:eastAsia="Times New Roman" w:hAnsi="Times New Roman" w:cs="Times New Roman"/>
          <w:i/>
          <w:iCs/>
          <w:color w:val="000000"/>
          <w:sz w:val="24"/>
          <w:szCs w:val="24"/>
          <w:lang/>
        </w:rPr>
        <w:t>{Підпункт 14.1.242 пункту 14.1 статті 14 виключено на підставі Закону </w:t>
      </w:r>
      <w:hyperlink r:id="rId588" w:anchor="n19"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2EBE9A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 w:name="n13534"/>
      <w:bookmarkEnd w:id="902"/>
      <w:r w:rsidRPr="008B264B">
        <w:rPr>
          <w:rFonts w:ascii="Times New Roman" w:eastAsia="Times New Roman" w:hAnsi="Times New Roman" w:cs="Times New Roman"/>
          <w:color w:val="000000"/>
          <w:sz w:val="24"/>
          <w:szCs w:val="24"/>
          <w:lang/>
        </w:rPr>
        <w:t>14.1.242. технічний адміністратор електронного кабінету (далі - технічний адміністратор) - центральний орган виконавчої влади, що реалізує державну податкову та митну політику, що здійснює заходи із розробки, створення, впровадження та супроводження програмного забезпечення електронного кабінету, відповідає за виконання всіх етапів життєвого циклу такого програмного забезпечення, за його технічне і технологічне забезпечення, впровадження, функціонування, оновлення, модифікацію, усунення помилок, забезпечення цілісності та автентичності вихідного програмного коду; здійснює технічні та технологічні заходи з надання, блокування та анулювання доступу до електронного кабінету, відповідає за збереження та захист даних цих електронних сервісів;</w:t>
      </w:r>
    </w:p>
    <w:p w14:paraId="6127E3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 w:name="n13533"/>
      <w:bookmarkEnd w:id="903"/>
      <w:r w:rsidRPr="008B264B">
        <w:rPr>
          <w:rFonts w:ascii="Times New Roman" w:eastAsia="Times New Roman" w:hAnsi="Times New Roman" w:cs="Times New Roman"/>
          <w:i/>
          <w:iCs/>
          <w:color w:val="000000"/>
          <w:sz w:val="24"/>
          <w:szCs w:val="24"/>
          <w:lang/>
        </w:rPr>
        <w:t>{До пункту 14.1 статті 14 включено підпункт 14.1.242 згідно із Законом </w:t>
      </w:r>
      <w:hyperlink r:id="rId589" w:anchor="n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24E6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 w:name="n741"/>
      <w:bookmarkEnd w:id="904"/>
      <w:r w:rsidRPr="008B264B">
        <w:rPr>
          <w:rFonts w:ascii="Times New Roman" w:eastAsia="Times New Roman" w:hAnsi="Times New Roman" w:cs="Times New Roman"/>
          <w:i/>
          <w:iCs/>
          <w:color w:val="000000"/>
          <w:sz w:val="24"/>
          <w:szCs w:val="24"/>
          <w:lang/>
        </w:rPr>
        <w:t>{Підпункт 14.1.243 пункту 14.1 статті 14 виключено на підставі Закону </w:t>
      </w:r>
      <w:hyperlink r:id="rId590" w:anchor="n1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4B103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 w:name="n745"/>
      <w:bookmarkEnd w:id="905"/>
      <w:r w:rsidRPr="008B264B">
        <w:rPr>
          <w:rFonts w:ascii="Times New Roman" w:eastAsia="Times New Roman" w:hAnsi="Times New Roman" w:cs="Times New Roman"/>
          <w:color w:val="000000"/>
          <w:sz w:val="24"/>
          <w:szCs w:val="24"/>
          <w:lang/>
        </w:rPr>
        <w:t>14.1.244. товари - матеріальні та нематеріальні активи, у тому числі земельні ділянки, земельні частки (паї), а також цінні папери та деривативи, що використовуються у будь-яких операціях, крім операцій з їх випуску (емісії) та погашення.</w:t>
      </w:r>
    </w:p>
    <w:p w14:paraId="35E563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 w:name="n746"/>
      <w:bookmarkEnd w:id="906"/>
      <w:r w:rsidRPr="008B264B">
        <w:rPr>
          <w:rFonts w:ascii="Times New Roman" w:eastAsia="Times New Roman" w:hAnsi="Times New Roman" w:cs="Times New Roman"/>
          <w:color w:val="000000"/>
          <w:sz w:val="24"/>
          <w:szCs w:val="24"/>
          <w:lang/>
        </w:rPr>
        <w:lastRenderedPageBreak/>
        <w:t>В цілях оподаткування операцій з переміщення майна та енергії через митний кордон України термін "товари" вживається у значенні, визначеному </w:t>
      </w:r>
      <w:hyperlink r:id="rId591"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3C27E7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 w:name="n747"/>
      <w:bookmarkEnd w:id="907"/>
      <w:r w:rsidRPr="008B264B">
        <w:rPr>
          <w:rFonts w:ascii="Times New Roman" w:eastAsia="Times New Roman" w:hAnsi="Times New Roman" w:cs="Times New Roman"/>
          <w:color w:val="000000"/>
          <w:sz w:val="24"/>
          <w:szCs w:val="24"/>
          <w:lang/>
        </w:rPr>
        <w:t>14.1.245. товарний кредит - товари (роботи, послуги), що передаються резидентом або нерезидентом у власність юридичних чи фізичних осіб на умовах договору, що передбачає відстрочення остаточних розрахунків на визначений строк та під процент. Товарний кредит передбачає передачу права власності на товари (роботи, послуги) покупцеві (замовникові) у момент підписання договору або в момент фізичного отримання товарів (робіт, послуг) таким покупцем (замовником), незалежно від часу погашення заборгованості;</w:t>
      </w:r>
    </w:p>
    <w:p w14:paraId="61E1ED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 w:name="n748"/>
      <w:bookmarkEnd w:id="908"/>
      <w:r w:rsidRPr="008B264B">
        <w:rPr>
          <w:rFonts w:ascii="Times New Roman" w:eastAsia="Times New Roman" w:hAnsi="Times New Roman" w:cs="Times New Roman"/>
          <w:i/>
          <w:iCs/>
          <w:color w:val="000000"/>
          <w:sz w:val="24"/>
          <w:szCs w:val="24"/>
          <w:lang/>
        </w:rPr>
        <w:t>{Підпункт 14.1.246 пункту 14.1 статті 14 виключено на підставі Закону </w:t>
      </w:r>
      <w:hyperlink r:id="rId592" w:anchor="n1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36FE0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 w:name="n749"/>
      <w:bookmarkEnd w:id="909"/>
      <w:r w:rsidRPr="008B264B">
        <w:rPr>
          <w:rFonts w:ascii="Times New Roman" w:eastAsia="Times New Roman" w:hAnsi="Times New Roman" w:cs="Times New Roman"/>
          <w:color w:val="000000"/>
          <w:sz w:val="24"/>
          <w:szCs w:val="24"/>
          <w:lang/>
        </w:rPr>
        <w:t>14.1.247. торгівля валютними цінностями - операції, пов'язані з переходом права власності на національну валюту України, іноземну валюту, платіжні документи та інші цінні папери, виражені у національній валюті України, в іноземній валюті або банківських металах, банківські метали;</w:t>
      </w:r>
    </w:p>
    <w:p w14:paraId="660B24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 w:name="n750"/>
      <w:bookmarkEnd w:id="910"/>
      <w:r w:rsidRPr="008B264B">
        <w:rPr>
          <w:rFonts w:ascii="Times New Roman" w:eastAsia="Times New Roman" w:hAnsi="Times New Roman" w:cs="Times New Roman"/>
          <w:color w:val="000000"/>
          <w:sz w:val="24"/>
          <w:szCs w:val="24"/>
          <w:lang/>
        </w:rPr>
        <w:t>14.1.248. торгівля іноземною валютою - валютні операції, пов'язані з переходом права власності на валютні цінності, за винятком операцій, що здійснюються між резидентами за умови, що такими валютними цінностями є національна валюта України, цінні папери та чеки, виражені у національній валюті України;</w:t>
      </w:r>
    </w:p>
    <w:p w14:paraId="54736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 w:name="n751"/>
      <w:bookmarkEnd w:id="911"/>
      <w:r w:rsidRPr="008B264B">
        <w:rPr>
          <w:rFonts w:ascii="Times New Roman" w:eastAsia="Times New Roman" w:hAnsi="Times New Roman" w:cs="Times New Roman"/>
          <w:color w:val="000000"/>
          <w:sz w:val="24"/>
          <w:szCs w:val="24"/>
          <w:lang/>
        </w:rPr>
        <w:t>14.1.249. торгівля у розстрочку - господарська операція, яка передбачає продаж резидентом або нерезидентом товарів фізичним чи юридичним особам на умовах розстрочення кінцевого розрахунку, на визначений строк та під процент.</w:t>
      </w:r>
    </w:p>
    <w:p w14:paraId="69D562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 w:name="n752"/>
      <w:bookmarkEnd w:id="912"/>
      <w:r w:rsidRPr="008B264B">
        <w:rPr>
          <w:rFonts w:ascii="Times New Roman" w:eastAsia="Times New Roman" w:hAnsi="Times New Roman" w:cs="Times New Roman"/>
          <w:color w:val="000000"/>
          <w:sz w:val="24"/>
          <w:szCs w:val="24"/>
          <w:lang/>
        </w:rPr>
        <w:t>Торгівля у розстрочку передбачає передачу товарів у розпорядження покупця в момент здійснення першого внеску (завдатку) з передачею права власності на такі товари після кінцевого розрахунку.</w:t>
      </w:r>
    </w:p>
    <w:bookmarkStart w:id="913" w:name="n753"/>
    <w:bookmarkEnd w:id="913"/>
    <w:p w14:paraId="3A3F8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"https://zakon.rada.gov.ua/laws/show/383-2011-%D0%BF"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Правила торгівлі у розстрочку фізичним особам</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установлюються Кабінетом Міністрів України;</w:t>
      </w:r>
    </w:p>
    <w:p w14:paraId="320242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 w:name="n754"/>
      <w:bookmarkEnd w:id="914"/>
      <w:r w:rsidRPr="008B264B">
        <w:rPr>
          <w:rFonts w:ascii="Times New Roman" w:eastAsia="Times New Roman" w:hAnsi="Times New Roman" w:cs="Times New Roman"/>
          <w:i/>
          <w:iCs/>
          <w:color w:val="000000"/>
          <w:sz w:val="24"/>
          <w:szCs w:val="24"/>
          <w:lang/>
        </w:rPr>
        <w:t>{Підпункт 14.1.250 пункту 14.1 статті 14 виключено на підставі Закону </w:t>
      </w:r>
      <w:hyperlink r:id="rId593" w:anchor="n1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BCE0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 w:name="n755"/>
      <w:bookmarkEnd w:id="915"/>
      <w:r w:rsidRPr="008B264B">
        <w:rPr>
          <w:rFonts w:ascii="Times New Roman" w:eastAsia="Times New Roman" w:hAnsi="Times New Roman" w:cs="Times New Roman"/>
          <w:color w:val="000000"/>
          <w:sz w:val="24"/>
          <w:szCs w:val="24"/>
          <w:lang/>
        </w:rPr>
        <w:t>14.1.251. транспортні засоби, що використовувалися, - транспортні засоби, на які уповноваженими державними органами, в тому числі іноземними, видані реєстраційні документи, що дають право експлуатувати такі транспортні засоби;</w:t>
      </w:r>
    </w:p>
    <w:p w14:paraId="37F28A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 w:name="n8916"/>
      <w:bookmarkEnd w:id="916"/>
      <w:r w:rsidRPr="008B264B">
        <w:rPr>
          <w:rFonts w:ascii="Times New Roman" w:eastAsia="Times New Roman" w:hAnsi="Times New Roman" w:cs="Times New Roman"/>
          <w:i/>
          <w:iCs/>
          <w:color w:val="000000"/>
          <w:sz w:val="24"/>
          <w:szCs w:val="24"/>
          <w:lang/>
        </w:rPr>
        <w:t>{Підпункт 14.1.251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пункту 14.1 статті 14 виключено на підставі Закону </w:t>
      </w:r>
      <w:hyperlink r:id="rId594" w:anchor="n39"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6EA605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 w:name="n756"/>
      <w:bookmarkEnd w:id="917"/>
      <w:r w:rsidRPr="008B264B">
        <w:rPr>
          <w:rFonts w:ascii="Times New Roman" w:eastAsia="Times New Roman" w:hAnsi="Times New Roman" w:cs="Times New Roman"/>
          <w:color w:val="000000"/>
          <w:sz w:val="24"/>
          <w:szCs w:val="24"/>
          <w:lang/>
        </w:rPr>
        <w:t>14.1.252. тютюнові вироби - сигарети з фільтром або без фільтру, цигарки, сигари, сигарили, а також люльковий, нюхальний, смоктальний, жувальний тютюн, махорка та інші вироби з тютюну чи його замінників для куріння, нюхання, смоктання чи жування;</w:t>
      </w:r>
    </w:p>
    <w:p w14:paraId="722F2E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 w:name="n757"/>
      <w:bookmarkEnd w:id="918"/>
      <w:r w:rsidRPr="008B264B">
        <w:rPr>
          <w:rFonts w:ascii="Times New Roman" w:eastAsia="Times New Roman" w:hAnsi="Times New Roman" w:cs="Times New Roman"/>
          <w:color w:val="000000"/>
          <w:sz w:val="24"/>
          <w:szCs w:val="24"/>
          <w:lang/>
        </w:rPr>
        <w:t>14.1.253. умовне звільнення від оподаткування митними платежами - звільнення від сплати митних платежів, застосування якого передбачає дотримання певних умов та обмежень під час використання товарів і транспортних засобів комерційного призначення, розпорядження ними після їх випуску;</w:t>
      </w:r>
    </w:p>
    <w:p w14:paraId="170BC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 w:name="n758"/>
      <w:bookmarkEnd w:id="919"/>
      <w:r w:rsidRPr="008B264B">
        <w:rPr>
          <w:rFonts w:ascii="Times New Roman" w:eastAsia="Times New Roman" w:hAnsi="Times New Roman" w:cs="Times New Roman"/>
          <w:color w:val="000000"/>
          <w:sz w:val="24"/>
          <w:szCs w:val="24"/>
          <w:lang/>
        </w:rPr>
        <w:t>14.1.254. умовне звільнення від оподаткування податком на додану вартість та акцизним податком у разі ввезення товарів на митну територію України - звільнення (умовне повне або умовне часткове) від сплати нарахованого податкового зобов'язання у разі розміщення товарів у митних режимах, що передбачають звільнення від оподаткування за умови дотримання вимог митного режиму, встановлених </w:t>
      </w:r>
      <w:hyperlink r:id="rId595"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396A0D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 w:name="n759"/>
      <w:bookmarkEnd w:id="920"/>
      <w:r w:rsidRPr="008B264B">
        <w:rPr>
          <w:rFonts w:ascii="Times New Roman" w:eastAsia="Times New Roman" w:hAnsi="Times New Roman" w:cs="Times New Roman"/>
          <w:i/>
          <w:iCs/>
          <w:color w:val="000000"/>
          <w:sz w:val="24"/>
          <w:szCs w:val="24"/>
          <w:lang/>
        </w:rPr>
        <w:t>{Підпункт 14.1.254 пункту 14.1 статті 14 в редакції Закону </w:t>
      </w:r>
      <w:hyperlink r:id="rId596" w:anchor="n20"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4A37C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 w:name="n760"/>
      <w:bookmarkEnd w:id="921"/>
      <w:r w:rsidRPr="008B264B">
        <w:rPr>
          <w:rFonts w:ascii="Times New Roman" w:eastAsia="Times New Roman" w:hAnsi="Times New Roman" w:cs="Times New Roman"/>
          <w:color w:val="000000"/>
          <w:sz w:val="24"/>
          <w:szCs w:val="24"/>
          <w:lang/>
        </w:rPr>
        <w:lastRenderedPageBreak/>
        <w:t>14.1.255. відступлення права вимоги - операція з переуступки кредитором прав вимоги боргу третьої особи новому кредитору з попередньою або наступною компенсацією вартості такого боргу кредитору або без такої компенсації;</w:t>
      </w:r>
    </w:p>
    <w:p w14:paraId="7EEE2B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 w:name="n761"/>
      <w:bookmarkEnd w:id="922"/>
      <w:r w:rsidRPr="008B264B">
        <w:rPr>
          <w:rFonts w:ascii="Times New Roman" w:eastAsia="Times New Roman" w:hAnsi="Times New Roman" w:cs="Times New Roman"/>
          <w:i/>
          <w:iCs/>
          <w:color w:val="000000"/>
          <w:sz w:val="24"/>
          <w:szCs w:val="24"/>
          <w:lang/>
        </w:rPr>
        <w:t>{Підпункт 14.1.256 пункту 14.1 статті 14 виключено на підставі Закону </w:t>
      </w:r>
      <w:hyperlink r:id="rId597" w:anchor="n1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1FB44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 w:name="n762"/>
      <w:bookmarkEnd w:id="923"/>
      <w:r w:rsidRPr="008B264B">
        <w:rPr>
          <w:rFonts w:ascii="Times New Roman" w:eastAsia="Times New Roman" w:hAnsi="Times New Roman" w:cs="Times New Roman"/>
          <w:color w:val="000000"/>
          <w:sz w:val="24"/>
          <w:szCs w:val="24"/>
          <w:lang/>
        </w:rPr>
        <w:t>14.1.257. фінансова допомога - фінансова допомога, надана на безповоротній або поворотній основі.</w:t>
      </w:r>
    </w:p>
    <w:p w14:paraId="6F7247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 w:name="n763"/>
      <w:bookmarkEnd w:id="924"/>
      <w:r w:rsidRPr="008B264B">
        <w:rPr>
          <w:rFonts w:ascii="Times New Roman" w:eastAsia="Times New Roman" w:hAnsi="Times New Roman" w:cs="Times New Roman"/>
          <w:color w:val="000000"/>
          <w:sz w:val="24"/>
          <w:szCs w:val="24"/>
          <w:lang/>
        </w:rPr>
        <w:t>Безповоротна фінансова допомога - це:</w:t>
      </w:r>
    </w:p>
    <w:p w14:paraId="0E36E0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 w:name="n764"/>
      <w:bookmarkEnd w:id="925"/>
      <w:r w:rsidRPr="008B264B">
        <w:rPr>
          <w:rFonts w:ascii="Times New Roman" w:eastAsia="Times New Roman" w:hAnsi="Times New Roman" w:cs="Times New Roman"/>
          <w:color w:val="000000"/>
          <w:sz w:val="24"/>
          <w:szCs w:val="24"/>
          <w:lang/>
        </w:rPr>
        <w:t>сума коштів, передана платнику податків згідно з договорами дарування, іншими подібними договорами або без укладення таких договорів;</w:t>
      </w:r>
    </w:p>
    <w:p w14:paraId="6A5502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 w:name="n765"/>
      <w:bookmarkEnd w:id="926"/>
      <w:r w:rsidRPr="008B264B">
        <w:rPr>
          <w:rFonts w:ascii="Times New Roman" w:eastAsia="Times New Roman" w:hAnsi="Times New Roman" w:cs="Times New Roman"/>
          <w:color w:val="000000"/>
          <w:sz w:val="24"/>
          <w:szCs w:val="24"/>
          <w:lang/>
        </w:rPr>
        <w:t>сума безнадійної заборгованості, відшкодована кредитору позичальником після списання такої безнадійної заборгованості;</w:t>
      </w:r>
    </w:p>
    <w:p w14:paraId="5A57F7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 w:name="n766"/>
      <w:bookmarkEnd w:id="927"/>
      <w:r w:rsidRPr="008B264B">
        <w:rPr>
          <w:rFonts w:ascii="Times New Roman" w:eastAsia="Times New Roman" w:hAnsi="Times New Roman" w:cs="Times New Roman"/>
          <w:color w:val="000000"/>
          <w:sz w:val="24"/>
          <w:szCs w:val="24"/>
          <w:lang/>
        </w:rPr>
        <w:t>сума заборгованості одного платника податків перед іншим платником податків, що не стягнута після закінчення строку позовної давності;</w:t>
      </w:r>
    </w:p>
    <w:p w14:paraId="7BBD57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 w:name="n767"/>
      <w:bookmarkEnd w:id="928"/>
      <w:r w:rsidRPr="008B264B">
        <w:rPr>
          <w:rFonts w:ascii="Times New Roman" w:eastAsia="Times New Roman" w:hAnsi="Times New Roman" w:cs="Times New Roman"/>
          <w:color w:val="000000"/>
          <w:sz w:val="24"/>
          <w:szCs w:val="24"/>
          <w:lang/>
        </w:rPr>
        <w:t>основна сума кредиту або депозиту, що надані платнику податків без встановлення строків повернення такої основної суми, за винятком кредитів, наданих під безстрокові облігації, та депозитів до запитання у банківських установах, а також сума процентів, нарахованих на таку основну суму, але не сплачених (списаних).</w:t>
      </w:r>
    </w:p>
    <w:p w14:paraId="29C0E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 w:name="n768"/>
      <w:bookmarkEnd w:id="929"/>
      <w:r w:rsidRPr="008B264B">
        <w:rPr>
          <w:rFonts w:ascii="Times New Roman" w:eastAsia="Times New Roman" w:hAnsi="Times New Roman" w:cs="Times New Roman"/>
          <w:i/>
          <w:iCs/>
          <w:color w:val="000000"/>
          <w:sz w:val="24"/>
          <w:szCs w:val="24"/>
          <w:lang/>
        </w:rPr>
        <w:t>{Абзац сьомий підпункту 14.1.257 пункту 14.1 статті 14 виключено на підставі Закону </w:t>
      </w:r>
      <w:hyperlink r:id="rId598" w:anchor="n1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6D0E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 w:name="n769"/>
      <w:bookmarkEnd w:id="930"/>
      <w:r w:rsidRPr="008B264B">
        <w:rPr>
          <w:rFonts w:ascii="Times New Roman" w:eastAsia="Times New Roman" w:hAnsi="Times New Roman" w:cs="Times New Roman"/>
          <w:color w:val="000000"/>
          <w:sz w:val="24"/>
          <w:szCs w:val="24"/>
          <w:lang/>
        </w:rPr>
        <w:t>Поворотна фінансова допомога - сума коштів, що надійшла платнику податків у користування за договором, який не передбачає нарахування процентів або надання інших видів компенсацій у вигляді плати за користування такими коштами, та є обов'язковою до повернення;</w:t>
      </w:r>
    </w:p>
    <w:p w14:paraId="3ADCCA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 w:name="n15851"/>
      <w:bookmarkEnd w:id="931"/>
      <w:r w:rsidRPr="008B264B">
        <w:rPr>
          <w:rFonts w:ascii="Times New Roman" w:eastAsia="Times New Roman" w:hAnsi="Times New Roman" w:cs="Times New Roman"/>
          <w:color w:val="000000"/>
          <w:sz w:val="24"/>
          <w:szCs w:val="24"/>
          <w:lang/>
        </w:rPr>
        <w:t>14.1.257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фінансовий агент - банк або небанківська фінансова установа, які відповідно до вимог цього Кодексу та інших актів законодавства зобов’язані подавати звіт про підзвітні рахунки центральному органу виконавчої влади, що реалізує державну податкову політику, та нести відповідальність за порушення покладених на них обов’язків у порядку, встановленому законодавством. Регулятори ринків фінансових послуг у межах повноважень, визначених </w:t>
      </w:r>
      <w:hyperlink r:id="rId599" w:anchor="n371" w:tgtFrame="_blank" w:history="1">
        <w:r w:rsidRPr="008B264B">
          <w:rPr>
            <w:rFonts w:ascii="Times New Roman" w:eastAsia="Times New Roman" w:hAnsi="Times New Roman" w:cs="Times New Roman"/>
            <w:color w:val="0000FF"/>
            <w:sz w:val="24"/>
            <w:szCs w:val="24"/>
            <w:u w:val="single"/>
            <w:lang/>
          </w:rPr>
          <w:t>статтею 21</w:t>
        </w:r>
      </w:hyperlink>
      <w:r w:rsidRPr="008B264B">
        <w:rPr>
          <w:rFonts w:ascii="Times New Roman" w:eastAsia="Times New Roman" w:hAnsi="Times New Roman" w:cs="Times New Roman"/>
          <w:color w:val="000000"/>
          <w:sz w:val="24"/>
          <w:szCs w:val="24"/>
          <w:lang/>
        </w:rPr>
        <w:t> Закону України "Про фінансові послуги та державне регулювання ринків фінансових послуг", встановлюють переліки небанківських фінансових установ, які зобов’язані виконувати обов’язки фінансових агентів відповідно до вимог міжнародних договорів, що містять положення про обмін інформацією для податкових цілей, згода на обов’язковість яких надана Верховною Радою України, або укладених на їх підставі міжвідомчих договорів. Не є фінансовими агентами особи, звільнені від надання інформації про підзвітні рахунки відповідно до </w:t>
      </w:r>
      <w:hyperlink r:id="rId600" w:tgtFrame="_blank" w:history="1">
        <w:r w:rsidRPr="008B264B">
          <w:rPr>
            <w:rFonts w:ascii="Times New Roman" w:eastAsia="Times New Roman" w:hAnsi="Times New Roman" w:cs="Times New Roman"/>
            <w:color w:val="0000FF"/>
            <w:sz w:val="24"/>
            <w:szCs w:val="24"/>
            <w:u w:val="single"/>
            <w:lang/>
          </w:rPr>
          <w:t>Угоди між Урядом України та Урядом Сполучених Штатів Америки для поліпшення виконання податкових правил й застосування положень Закону США "Про податкові вимоги до іноземних рахунків" (FATCA)</w:t>
        </w:r>
      </w:hyperlink>
      <w:r w:rsidRPr="008B264B">
        <w:rPr>
          <w:rFonts w:ascii="Times New Roman" w:eastAsia="Times New Roman" w:hAnsi="Times New Roman" w:cs="Times New Roman"/>
          <w:color w:val="000000"/>
          <w:sz w:val="24"/>
          <w:szCs w:val="24"/>
          <w:lang/>
        </w:rPr>
        <w:t>, а також іншого міжнародного договору, що містить положення про обмін інформацією для податкових цілей, згода на обов’язковість якого надана Верховною Радою України, або укладеного на його підставі міжвідомчого договору;</w:t>
      </w:r>
    </w:p>
    <w:p w14:paraId="434F75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 w:name="n15850"/>
      <w:bookmarkEnd w:id="932"/>
      <w:r w:rsidRPr="008B264B">
        <w:rPr>
          <w:rFonts w:ascii="Times New Roman" w:eastAsia="Times New Roman" w:hAnsi="Times New Roman" w:cs="Times New Roman"/>
          <w:i/>
          <w:iCs/>
          <w:color w:val="000000"/>
          <w:sz w:val="24"/>
          <w:szCs w:val="24"/>
          <w:lang/>
        </w:rPr>
        <w:t>{Пункт 14.1 статті 14 доповнено підпунктом 14.1.257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01" w:anchor="n10"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5A61FD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 w:name="n770"/>
      <w:bookmarkEnd w:id="933"/>
      <w:r w:rsidRPr="008B264B">
        <w:rPr>
          <w:rFonts w:ascii="Times New Roman" w:eastAsia="Times New Roman" w:hAnsi="Times New Roman" w:cs="Times New Roman"/>
          <w:color w:val="000000"/>
          <w:sz w:val="24"/>
          <w:szCs w:val="24"/>
          <w:lang/>
        </w:rPr>
        <w:t>14.1.258. фінансовий кредит - кошти, що надаються банком-резидентом або нерезидентом, що кваліфікується як банківська установа згідно із законодавством країни перебування нерезидента, або резидентами і нерезидентами, які мають згідно з відповідним законодавством статус небанківських фінансових установ, а також іноземною державою або його офіційними агентствами, міжнародними фінансовими організаціями та іншими кредиторами - нерезидентами юридичній чи фізичній особі на визначений строк для цільового використання та під процент;</w:t>
      </w:r>
    </w:p>
    <w:p w14:paraId="7C445C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 w:name="n15853"/>
      <w:bookmarkEnd w:id="934"/>
      <w:r w:rsidRPr="008B264B">
        <w:rPr>
          <w:rFonts w:ascii="Times New Roman" w:eastAsia="Times New Roman" w:hAnsi="Times New Roman" w:cs="Times New Roman"/>
          <w:color w:val="000000"/>
          <w:sz w:val="24"/>
          <w:szCs w:val="24"/>
          <w:lang/>
        </w:rPr>
        <w:lastRenderedPageBreak/>
        <w:t>14.1.258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фінансовий рахунок - рахунок, відкритий фінансовим агентом, або договір, укладений фінансовим агентом. Для цілей цього Кодексу до фінансових рахунків включаються банківські рахунки, рахунки у цінних паперах, інші види рахунків, договори, які відповідають критеріям, визначеним міжнародним договором, що містить положення про обмін інформацією для податкових цілей, згода на обов’язковість якого надана Верховною Радою України, або укладеним на його підставі міжвідомчим договором;</w:t>
      </w:r>
    </w:p>
    <w:p w14:paraId="65A7DC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 w:name="n15852"/>
      <w:bookmarkEnd w:id="935"/>
      <w:r w:rsidRPr="008B264B">
        <w:rPr>
          <w:rFonts w:ascii="Times New Roman" w:eastAsia="Times New Roman" w:hAnsi="Times New Roman" w:cs="Times New Roman"/>
          <w:i/>
          <w:iCs/>
          <w:color w:val="000000"/>
          <w:sz w:val="24"/>
          <w:szCs w:val="24"/>
          <w:lang/>
        </w:rPr>
        <w:t>{Пункт 14.1 статті 14 доповнено підпунктом 14.1.258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02" w:anchor="n10"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73BFA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 w:name="n771"/>
      <w:bookmarkEnd w:id="936"/>
      <w:r w:rsidRPr="008B264B">
        <w:rPr>
          <w:rFonts w:ascii="Times New Roman" w:eastAsia="Times New Roman" w:hAnsi="Times New Roman" w:cs="Times New Roman"/>
          <w:color w:val="000000"/>
          <w:sz w:val="24"/>
          <w:szCs w:val="24"/>
          <w:lang/>
        </w:rPr>
        <w:t>14.1.259. фонд банківського управління - кошти учасників фондів банківського управління та інші активи, що перебувають у довірчому управлінні уповноваженого банку відповідно до закону;</w:t>
      </w:r>
    </w:p>
    <w:p w14:paraId="1ACCAE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 w:name="n772"/>
      <w:bookmarkEnd w:id="937"/>
      <w:r w:rsidRPr="008B264B">
        <w:rPr>
          <w:rFonts w:ascii="Times New Roman" w:eastAsia="Times New Roman" w:hAnsi="Times New Roman" w:cs="Times New Roman"/>
          <w:color w:val="000000"/>
          <w:sz w:val="24"/>
          <w:szCs w:val="24"/>
          <w:lang/>
        </w:rPr>
        <w:t>14.1.260. фрахт - винагорода (компенсація), що сплачується за договорами перевезення, найму або піднайму судна або транспортного засобу (їх частин) для:</w:t>
      </w:r>
    </w:p>
    <w:p w14:paraId="394D66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 w:name="n773"/>
      <w:bookmarkEnd w:id="938"/>
      <w:r w:rsidRPr="008B264B">
        <w:rPr>
          <w:rFonts w:ascii="Times New Roman" w:eastAsia="Times New Roman" w:hAnsi="Times New Roman" w:cs="Times New Roman"/>
          <w:color w:val="000000"/>
          <w:sz w:val="24"/>
          <w:szCs w:val="24"/>
          <w:lang/>
        </w:rPr>
        <w:t>перевезення вантажів та пасажирів морськими або повітряними суднами;</w:t>
      </w:r>
    </w:p>
    <w:p w14:paraId="69658F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 w:name="n774"/>
      <w:bookmarkEnd w:id="939"/>
      <w:r w:rsidRPr="008B264B">
        <w:rPr>
          <w:rFonts w:ascii="Times New Roman" w:eastAsia="Times New Roman" w:hAnsi="Times New Roman" w:cs="Times New Roman"/>
          <w:color w:val="000000"/>
          <w:sz w:val="24"/>
          <w:szCs w:val="24"/>
          <w:lang/>
        </w:rPr>
        <w:t>перевезення вантажів залізничним або автомобільним транспортом;</w:t>
      </w:r>
    </w:p>
    <w:p w14:paraId="783F7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 w:name="n775"/>
      <w:bookmarkEnd w:id="940"/>
      <w:r w:rsidRPr="008B264B">
        <w:rPr>
          <w:rFonts w:ascii="Times New Roman" w:eastAsia="Times New Roman" w:hAnsi="Times New Roman" w:cs="Times New Roman"/>
          <w:color w:val="000000"/>
          <w:sz w:val="24"/>
          <w:szCs w:val="24"/>
          <w:lang/>
        </w:rPr>
        <w:t>14.1.261. цільове призначення земельної ділянки - використання земельної ділянки за призначенням, визначеним на підставі документації із землеустрою у встановленому законодавством порядку;</w:t>
      </w:r>
    </w:p>
    <w:p w14:paraId="364DEE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 w:name="n776"/>
      <w:bookmarkEnd w:id="941"/>
      <w:r w:rsidRPr="008B264B">
        <w:rPr>
          <w:rFonts w:ascii="Times New Roman" w:eastAsia="Times New Roman" w:hAnsi="Times New Roman" w:cs="Times New Roman"/>
          <w:color w:val="000000"/>
          <w:sz w:val="24"/>
          <w:szCs w:val="24"/>
          <w:lang/>
        </w:rPr>
        <w:t>14.1.262. частка сільськогосподарського товаровиробництва для цілей </w:t>
      </w:r>
      <w:hyperlink r:id="rId603" w:anchor="n6944" w:history="1">
        <w:r w:rsidRPr="008B264B">
          <w:rPr>
            <w:rFonts w:ascii="Times New Roman" w:eastAsia="Times New Roman" w:hAnsi="Times New Roman" w:cs="Times New Roman"/>
            <w:color w:val="0000FF"/>
            <w:sz w:val="24"/>
            <w:szCs w:val="24"/>
            <w:u w:val="single"/>
            <w:lang/>
          </w:rPr>
          <w:t>глави 1 розділу XIV</w:t>
        </w:r>
      </w:hyperlink>
      <w:r w:rsidRPr="008B264B">
        <w:rPr>
          <w:rFonts w:ascii="Times New Roman" w:eastAsia="Times New Roman" w:hAnsi="Times New Roman" w:cs="Times New Roman"/>
          <w:color w:val="000000"/>
          <w:sz w:val="24"/>
          <w:szCs w:val="24"/>
          <w:lang/>
        </w:rPr>
        <w:t> цього Кодексу - питома вага доходу сільськогосподарського товаровиробника, отриманого від реалізації сільськогосподарської продукції власного виробництва та продуктів її переробки, у загальній сумі його доходу, що враховується під час визначення права такого товаровиробника на реєстрацію як платника податку;</w:t>
      </w:r>
    </w:p>
    <w:p w14:paraId="66CA79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 w:name="n10503"/>
      <w:bookmarkEnd w:id="942"/>
      <w:r w:rsidRPr="008B264B">
        <w:rPr>
          <w:rFonts w:ascii="Times New Roman" w:eastAsia="Times New Roman" w:hAnsi="Times New Roman" w:cs="Times New Roman"/>
          <w:i/>
          <w:iCs/>
          <w:color w:val="000000"/>
          <w:sz w:val="24"/>
          <w:szCs w:val="24"/>
          <w:lang/>
        </w:rPr>
        <w:t>{Підпункт 14.1.262 пункту 14.1 статті 14 із змінами, внесеними згідно із Законом </w:t>
      </w:r>
      <w:hyperlink r:id="rId604" w:anchor="n1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0A514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 w:name="n777"/>
      <w:bookmarkEnd w:id="943"/>
      <w:r w:rsidRPr="008B264B">
        <w:rPr>
          <w:rFonts w:ascii="Times New Roman" w:eastAsia="Times New Roman" w:hAnsi="Times New Roman" w:cs="Times New Roman"/>
          <w:color w:val="000000"/>
          <w:sz w:val="24"/>
          <w:szCs w:val="24"/>
          <w:lang/>
        </w:rPr>
        <w:t>14.1.263. членами сім’ї фізичної особи першого ступеня споріднення для цілей </w:t>
      </w:r>
      <w:hyperlink r:id="rId605"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вважаються її батьки, її чоловік або дружина, діти такої фізичної особи, у тому числі усиновлені.</w:t>
      </w:r>
    </w:p>
    <w:p w14:paraId="581402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 w:name="n14613"/>
      <w:bookmarkEnd w:id="944"/>
      <w:r w:rsidRPr="008B264B">
        <w:rPr>
          <w:rFonts w:ascii="Times New Roman" w:eastAsia="Times New Roman" w:hAnsi="Times New Roman" w:cs="Times New Roman"/>
          <w:color w:val="000000"/>
          <w:sz w:val="24"/>
          <w:szCs w:val="24"/>
          <w:lang/>
        </w:rPr>
        <w:t>Членами сім’ї фізичної особи другого ступеня споріднення для цілей розділу IV цього Кодексу вважаються її рідні брати та сестри, її баба та дід з боку матері  і з боку батька, онуки.</w:t>
      </w:r>
    </w:p>
    <w:p w14:paraId="12A84F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 w:name="n14612"/>
      <w:bookmarkEnd w:id="945"/>
      <w:r w:rsidRPr="008B264B">
        <w:rPr>
          <w:rFonts w:ascii="Times New Roman" w:eastAsia="Times New Roman" w:hAnsi="Times New Roman" w:cs="Times New Roman"/>
          <w:i/>
          <w:iCs/>
          <w:color w:val="000000"/>
          <w:sz w:val="24"/>
          <w:szCs w:val="24"/>
          <w:lang/>
        </w:rPr>
        <w:t>{Підпункт 14.1.263 пункту 14.1 статті 14 в редакції Закону </w:t>
      </w:r>
      <w:hyperlink r:id="rId606" w:anchor="n6"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5E05D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 w:name="n778"/>
      <w:bookmarkEnd w:id="946"/>
      <w:r w:rsidRPr="008B264B">
        <w:rPr>
          <w:rFonts w:ascii="Times New Roman" w:eastAsia="Times New Roman" w:hAnsi="Times New Roman" w:cs="Times New Roman"/>
          <w:color w:val="000000"/>
          <w:sz w:val="24"/>
          <w:szCs w:val="24"/>
          <w:lang/>
        </w:rPr>
        <w:t>14.1.264. хронометраж - процес спостереження за веденням господарської діяльності платника податків, який здійснюється під час проведення фактичних перевірок та застосовується контролюючими органами з метою встановлення реальних показників щодо діяльності платника податків, яка здійснюється на відповідному місці її провадження;</w:t>
      </w:r>
    </w:p>
    <w:p w14:paraId="20DB68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 w:name="n779"/>
      <w:bookmarkEnd w:id="947"/>
      <w:r w:rsidRPr="008B264B">
        <w:rPr>
          <w:rFonts w:ascii="Times New Roman" w:eastAsia="Times New Roman" w:hAnsi="Times New Roman" w:cs="Times New Roman"/>
          <w:color w:val="000000"/>
          <w:sz w:val="24"/>
          <w:szCs w:val="24"/>
          <w:lang/>
        </w:rPr>
        <w:t>14.1.265. штрафна санкція (фінансова санкція, штраф) - плата у вигляді фіксованої суми та/або відсотків, що справляється з платника податків у зв'язку з порушенням ним вимог податкового законодавства та іншого законодавства, контроль за дотриманням яких покладено на контролюючі органи, а також штрафні санкції за порушення у сфері зовнішньоекономічної діяльності;</w:t>
      </w:r>
    </w:p>
    <w:p w14:paraId="1C38BC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 w:name="n780"/>
      <w:bookmarkEnd w:id="948"/>
      <w:r w:rsidRPr="008B264B">
        <w:rPr>
          <w:rFonts w:ascii="Times New Roman" w:eastAsia="Times New Roman" w:hAnsi="Times New Roman" w:cs="Times New Roman"/>
          <w:color w:val="000000"/>
          <w:sz w:val="24"/>
          <w:szCs w:val="24"/>
          <w:lang/>
        </w:rPr>
        <w:t>14.1.266. касовий метод для цілей оподаткування згідно з </w:t>
      </w:r>
      <w:hyperlink r:id="rId607"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xml:space="preserve"> цього Кодексу - метод податкового обліку, за яким дата виникнення податкових зобов'язань визначається як дата зарахування (отримання) коштів на банківський рахунок (у касу) платника податку або дата отримання інших видів компенсацій вартості поставлених (або тих, що підлягають поставці) ним товарів (послуг), а дата віднесення сум податку до податкового кредиту визначається як дата </w:t>
      </w:r>
      <w:r w:rsidRPr="008B264B">
        <w:rPr>
          <w:rFonts w:ascii="Times New Roman" w:eastAsia="Times New Roman" w:hAnsi="Times New Roman" w:cs="Times New Roman"/>
          <w:color w:val="000000"/>
          <w:sz w:val="24"/>
          <w:szCs w:val="24"/>
          <w:lang/>
        </w:rPr>
        <w:lastRenderedPageBreak/>
        <w:t>списання коштів з банківського рахунку (видачі з каси) платника податку або дата надання інших видів компенсацій вартості поставлених (або тих, що підлягають поставці) йому товарів (послуг);</w:t>
      </w:r>
    </w:p>
    <w:p w14:paraId="4795E4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 w:name="n14754"/>
      <w:bookmarkEnd w:id="949"/>
      <w:r w:rsidRPr="008B264B">
        <w:rPr>
          <w:rFonts w:ascii="Times New Roman" w:eastAsia="Times New Roman" w:hAnsi="Times New Roman" w:cs="Times New Roman"/>
          <w:i/>
          <w:iCs/>
          <w:color w:val="000000"/>
          <w:sz w:val="24"/>
          <w:szCs w:val="24"/>
          <w:lang/>
        </w:rPr>
        <w:t>{Підпункт 14.1.266 пункту 14.1 статті 14 із змінами, внесеними згідно із Законом </w:t>
      </w:r>
      <w:hyperlink r:id="rId608" w:anchor="n5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C690A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 w:name="n781"/>
      <w:bookmarkEnd w:id="950"/>
      <w:r w:rsidRPr="008B264B">
        <w:rPr>
          <w:rFonts w:ascii="Times New Roman" w:eastAsia="Times New Roman" w:hAnsi="Times New Roman" w:cs="Times New Roman"/>
          <w:color w:val="000000"/>
          <w:sz w:val="24"/>
          <w:szCs w:val="24"/>
          <w:lang/>
        </w:rPr>
        <w:t>14.1.267. позика - грошові кошти, що надаються резидентами, які є фінансовими установами, або нерезидентами, крім нерезидентів, які мають офшорний статус, позичальнику на визначений строк із зобов'язанням їх повернення та сплатою процентів за користування сумою позики;</w:t>
      </w:r>
    </w:p>
    <w:p w14:paraId="44C105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 w:name="n782"/>
      <w:bookmarkEnd w:id="951"/>
      <w:r w:rsidRPr="008B264B">
        <w:rPr>
          <w:rFonts w:ascii="Times New Roman" w:eastAsia="Times New Roman" w:hAnsi="Times New Roman" w:cs="Times New Roman"/>
          <w:color w:val="000000"/>
          <w:sz w:val="24"/>
          <w:szCs w:val="24"/>
          <w:lang/>
        </w:rPr>
        <w:t>14.1.268. пасивні доходи для цілей </w:t>
      </w:r>
      <w:hyperlink r:id="rId609"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 доходи, отримані у вигляді:</w:t>
      </w:r>
    </w:p>
    <w:p w14:paraId="3BF667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 w:name="n13536"/>
      <w:bookmarkEnd w:id="952"/>
      <w:r w:rsidRPr="008B264B">
        <w:rPr>
          <w:rFonts w:ascii="Times New Roman" w:eastAsia="Times New Roman" w:hAnsi="Times New Roman" w:cs="Times New Roman"/>
          <w:color w:val="000000"/>
          <w:sz w:val="24"/>
          <w:szCs w:val="24"/>
          <w:lang/>
        </w:rPr>
        <w:t>процентів на поточний або депозитний (вкладний) банківський рахунок, на вклад (депозит) у кредитних спілках, інших процентів (у тому числі дисконтних доходів);</w:t>
      </w:r>
    </w:p>
    <w:p w14:paraId="76F2EF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 w:name="n13537"/>
      <w:bookmarkEnd w:id="953"/>
      <w:r w:rsidRPr="008B264B">
        <w:rPr>
          <w:rFonts w:ascii="Times New Roman" w:eastAsia="Times New Roman" w:hAnsi="Times New Roman" w:cs="Times New Roman"/>
          <w:color w:val="000000"/>
          <w:sz w:val="24"/>
          <w:szCs w:val="24"/>
          <w:lang/>
        </w:rPr>
        <w:t>процентного або дисконтного доходу за іменним ощадним (депозитним) сертифікатом;</w:t>
      </w:r>
    </w:p>
    <w:p w14:paraId="60E06A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 w:name="n13538"/>
      <w:bookmarkEnd w:id="954"/>
      <w:r w:rsidRPr="008B264B">
        <w:rPr>
          <w:rFonts w:ascii="Times New Roman" w:eastAsia="Times New Roman" w:hAnsi="Times New Roman" w:cs="Times New Roman"/>
          <w:color w:val="000000"/>
          <w:sz w:val="24"/>
          <w:szCs w:val="24"/>
          <w:lang/>
        </w:rPr>
        <w:t>плати (відсотків), що розподіляється відповідно до пайових членських внесків членів кредитної спілки;</w:t>
      </w:r>
    </w:p>
    <w:p w14:paraId="1C60B1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 w:name="n13539"/>
      <w:bookmarkEnd w:id="955"/>
      <w:r w:rsidRPr="008B264B">
        <w:rPr>
          <w:rFonts w:ascii="Times New Roman" w:eastAsia="Times New Roman" w:hAnsi="Times New Roman" w:cs="Times New Roman"/>
          <w:color w:val="000000"/>
          <w:sz w:val="24"/>
          <w:szCs w:val="24"/>
          <w:lang/>
        </w:rPr>
        <w:t>доходу, який виплачується компанією, що управляє активами інституту спільного інвестування, на розміщені активи відповідно до закону, включаючи дохід, що виплачується (нараховується) емітентом у результаті викупу (погашення) цінних паперів інституту спільного інвестування, який визначається як різниця між сумою, отриманою від викупу, та сумою коштів або вартістю майна, сплаченою платником податку продавцю (у тому числі емітенту) у зв’язку з придбанням таких цінних паперів, як компенсація їх вартості;</w:t>
      </w:r>
    </w:p>
    <w:p w14:paraId="44992C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 w:name="n13540"/>
      <w:bookmarkEnd w:id="956"/>
      <w:r w:rsidRPr="008B264B">
        <w:rPr>
          <w:rFonts w:ascii="Times New Roman" w:eastAsia="Times New Roman" w:hAnsi="Times New Roman" w:cs="Times New Roman"/>
          <w:color w:val="000000"/>
          <w:sz w:val="24"/>
          <w:szCs w:val="24"/>
          <w:lang/>
        </w:rPr>
        <w:t>доходу за іпотечними цінними паперами (іпотечними облігаціями та сертифікатами) відповідно до закону;</w:t>
      </w:r>
    </w:p>
    <w:p w14:paraId="434ED7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 w:name="n13541"/>
      <w:bookmarkEnd w:id="957"/>
      <w:r w:rsidRPr="008B264B">
        <w:rPr>
          <w:rFonts w:ascii="Times New Roman" w:eastAsia="Times New Roman" w:hAnsi="Times New Roman" w:cs="Times New Roman"/>
          <w:color w:val="000000"/>
          <w:sz w:val="24"/>
          <w:szCs w:val="24"/>
          <w:lang/>
        </w:rPr>
        <w:t>відсотків (дисконту), отриманих власником облігації від їх емітента відповідно до закону;</w:t>
      </w:r>
    </w:p>
    <w:p w14:paraId="42ABE9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 w:name="n13542"/>
      <w:bookmarkEnd w:id="958"/>
      <w:r w:rsidRPr="008B264B">
        <w:rPr>
          <w:rFonts w:ascii="Times New Roman" w:eastAsia="Times New Roman" w:hAnsi="Times New Roman" w:cs="Times New Roman"/>
          <w:color w:val="000000"/>
          <w:sz w:val="24"/>
          <w:szCs w:val="24"/>
          <w:lang/>
        </w:rPr>
        <w:t>доходу за сертифікатом фонду операцій з нерухомістю та доходу, отриманого платником податку в результаті викупу (погашення) управителем сертифікатів фонду операцій з нерухомістю в порядку, визначеному проспектом емісії сертифікатів;</w:t>
      </w:r>
    </w:p>
    <w:p w14:paraId="5818C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 w:name="n13543"/>
      <w:bookmarkEnd w:id="959"/>
      <w:r w:rsidRPr="008B264B">
        <w:rPr>
          <w:rFonts w:ascii="Times New Roman" w:eastAsia="Times New Roman" w:hAnsi="Times New Roman" w:cs="Times New Roman"/>
          <w:color w:val="000000"/>
          <w:sz w:val="24"/>
          <w:szCs w:val="24"/>
          <w:lang/>
        </w:rPr>
        <w:t>інвестиційного прибутку, включаючи прибуток від операцій з державними цінними паперами та з борговими зобов’язаннями Національного банку України з урахуванням курсової різниці;</w:t>
      </w:r>
    </w:p>
    <w:p w14:paraId="4A2059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 w:name="n13544"/>
      <w:bookmarkEnd w:id="960"/>
      <w:r w:rsidRPr="008B264B">
        <w:rPr>
          <w:rFonts w:ascii="Times New Roman" w:eastAsia="Times New Roman" w:hAnsi="Times New Roman" w:cs="Times New Roman"/>
          <w:color w:val="000000"/>
          <w:sz w:val="24"/>
          <w:szCs w:val="24"/>
          <w:lang/>
        </w:rPr>
        <w:t>роялті;</w:t>
      </w:r>
    </w:p>
    <w:p w14:paraId="56106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1" w:name="n13545"/>
      <w:bookmarkEnd w:id="961"/>
      <w:r w:rsidRPr="008B264B">
        <w:rPr>
          <w:rFonts w:ascii="Times New Roman" w:eastAsia="Times New Roman" w:hAnsi="Times New Roman" w:cs="Times New Roman"/>
          <w:color w:val="000000"/>
          <w:sz w:val="24"/>
          <w:szCs w:val="24"/>
          <w:lang/>
        </w:rPr>
        <w:t>дивідендів;</w:t>
      </w:r>
    </w:p>
    <w:p w14:paraId="4F3424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2" w:name="n13546"/>
      <w:bookmarkEnd w:id="962"/>
      <w:r w:rsidRPr="008B264B">
        <w:rPr>
          <w:rFonts w:ascii="Times New Roman" w:eastAsia="Times New Roman" w:hAnsi="Times New Roman" w:cs="Times New Roman"/>
          <w:color w:val="000000"/>
          <w:sz w:val="24"/>
          <w:szCs w:val="24"/>
          <w:lang/>
        </w:rPr>
        <w:t>страхових виплат і відшкодувань;</w:t>
      </w:r>
    </w:p>
    <w:p w14:paraId="1E6167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3" w:name="n13535"/>
      <w:bookmarkEnd w:id="963"/>
      <w:r w:rsidRPr="008B264B">
        <w:rPr>
          <w:rFonts w:ascii="Times New Roman" w:eastAsia="Times New Roman" w:hAnsi="Times New Roman" w:cs="Times New Roman"/>
          <w:i/>
          <w:iCs/>
          <w:color w:val="000000"/>
          <w:sz w:val="24"/>
          <w:szCs w:val="24"/>
          <w:lang/>
        </w:rPr>
        <w:t>{Підпункт 14.1.268 пункту 14.1 статті 14 в редакції Закону </w:t>
      </w:r>
      <w:hyperlink r:id="rId610" w:anchor="n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D154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 w:name="n10505"/>
      <w:bookmarkEnd w:id="964"/>
      <w:r w:rsidRPr="008B264B">
        <w:rPr>
          <w:rFonts w:ascii="Times New Roman" w:eastAsia="Times New Roman" w:hAnsi="Times New Roman" w:cs="Times New Roman"/>
          <w:color w:val="000000"/>
          <w:sz w:val="24"/>
          <w:szCs w:val="24"/>
          <w:lang/>
        </w:rPr>
        <w:t>14.1.269. Platts - міжнародна, глобальна уніфікована система інформаційного моніторингу за динамікою ринку та ціноутворенням у галузі добувної та паливно-енергетичної промисловості;</w:t>
      </w:r>
    </w:p>
    <w:p w14:paraId="0E96D6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 w:name="n10507"/>
      <w:bookmarkEnd w:id="965"/>
      <w:r w:rsidRPr="008B264B">
        <w:rPr>
          <w:rFonts w:ascii="Times New Roman" w:eastAsia="Times New Roman" w:hAnsi="Times New Roman" w:cs="Times New Roman"/>
          <w:i/>
          <w:iCs/>
          <w:color w:val="000000"/>
          <w:sz w:val="24"/>
          <w:szCs w:val="24"/>
          <w:lang/>
        </w:rPr>
        <w:t>{Пункт 14.1 статті 14 доповнено підпунктом 14.1.269 згідно із Законом </w:t>
      </w:r>
      <w:hyperlink r:id="rId611" w:anchor="n1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BBB66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 w:name="n10506"/>
      <w:bookmarkEnd w:id="966"/>
      <w:r w:rsidRPr="008B264B">
        <w:rPr>
          <w:rFonts w:ascii="Times New Roman" w:eastAsia="Times New Roman" w:hAnsi="Times New Roman" w:cs="Times New Roman"/>
          <w:color w:val="000000"/>
          <w:sz w:val="24"/>
          <w:szCs w:val="24"/>
          <w:lang/>
        </w:rPr>
        <w:t>14.1.270. показники Platts - індекси, що офіційно визначені світовим інформаційним агентством Platts та є базою для використання суб’єктами господарської діяльності";</w:t>
      </w:r>
    </w:p>
    <w:p w14:paraId="6F6617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 w:name="n10504"/>
      <w:bookmarkEnd w:id="967"/>
      <w:r w:rsidRPr="008B264B">
        <w:rPr>
          <w:rFonts w:ascii="Times New Roman" w:eastAsia="Times New Roman" w:hAnsi="Times New Roman" w:cs="Times New Roman"/>
          <w:i/>
          <w:iCs/>
          <w:color w:val="000000"/>
          <w:sz w:val="24"/>
          <w:szCs w:val="24"/>
          <w:lang/>
        </w:rPr>
        <w:t>{Пункт 14.1 статті 14 доповнено підпунктом 14.1.270 згідно із Законом </w:t>
      </w:r>
      <w:hyperlink r:id="rId612" w:anchor="n1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AC2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 w:name="n13548"/>
      <w:bookmarkEnd w:id="968"/>
      <w:r w:rsidRPr="008B264B">
        <w:rPr>
          <w:rFonts w:ascii="Times New Roman" w:eastAsia="Times New Roman" w:hAnsi="Times New Roman" w:cs="Times New Roman"/>
          <w:color w:val="000000"/>
          <w:sz w:val="24"/>
          <w:szCs w:val="24"/>
          <w:lang/>
        </w:rPr>
        <w:t xml:space="preserve">14.1.271. дохід суб’єктів, які здійснюють випуск та проведення лотерей, від операцій з випуску та проведення лотерей складається з доходу, що залишився після формування призового </w:t>
      </w:r>
      <w:r w:rsidRPr="008B264B">
        <w:rPr>
          <w:rFonts w:ascii="Times New Roman" w:eastAsia="Times New Roman" w:hAnsi="Times New Roman" w:cs="Times New Roman"/>
          <w:color w:val="000000"/>
          <w:sz w:val="24"/>
          <w:szCs w:val="24"/>
          <w:lang/>
        </w:rPr>
        <w:lastRenderedPageBreak/>
        <w:t>(виграшного) фонду та суми безнадійної заборгованості, визначеної </w:t>
      </w:r>
      <w:hyperlink r:id="rId613" w:anchor="n10442" w:history="1">
        <w:r w:rsidRPr="008B264B">
          <w:rPr>
            <w:rFonts w:ascii="Times New Roman" w:eastAsia="Times New Roman" w:hAnsi="Times New Roman" w:cs="Times New Roman"/>
            <w:color w:val="0000FF"/>
            <w:sz w:val="24"/>
            <w:szCs w:val="24"/>
            <w:u w:val="single"/>
            <w:lang/>
          </w:rPr>
          <w:t>підпунктом "е"</w:t>
        </w:r>
      </w:hyperlink>
      <w:r w:rsidRPr="008B264B">
        <w:rPr>
          <w:rFonts w:ascii="Times New Roman" w:eastAsia="Times New Roman" w:hAnsi="Times New Roman" w:cs="Times New Roman"/>
          <w:color w:val="000000"/>
          <w:sz w:val="24"/>
          <w:szCs w:val="24"/>
          <w:lang/>
        </w:rPr>
        <w:t> підпункту 14.1.11 цього пункту.</w:t>
      </w:r>
    </w:p>
    <w:p w14:paraId="7A3E9A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 w:name="n13549"/>
      <w:bookmarkEnd w:id="969"/>
      <w:r w:rsidRPr="008B264B">
        <w:rPr>
          <w:rFonts w:ascii="Times New Roman" w:eastAsia="Times New Roman" w:hAnsi="Times New Roman" w:cs="Times New Roman"/>
          <w:color w:val="000000"/>
          <w:sz w:val="24"/>
          <w:szCs w:val="24"/>
          <w:lang/>
        </w:rPr>
        <w:t>Дохід суб’єктів, які здійснюють випуск та проведення лотерей, що залишився після формування призового (виграшного) фонду, - частина коштів, що становить різницю між загальною сумою доходів, отриманих від прийняття ставок у лотерею, та сумою сформованого призового (виграшного) фонду лотереї відповідно до умов її проведення.</w:t>
      </w:r>
    </w:p>
    <w:p w14:paraId="4EB409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 w:name="n13550"/>
      <w:bookmarkEnd w:id="970"/>
      <w:r w:rsidRPr="008B264B">
        <w:rPr>
          <w:rFonts w:ascii="Times New Roman" w:eastAsia="Times New Roman" w:hAnsi="Times New Roman" w:cs="Times New Roman"/>
          <w:color w:val="000000"/>
          <w:sz w:val="24"/>
          <w:szCs w:val="24"/>
          <w:lang/>
        </w:rPr>
        <w:t>Для цілей цього підпункту під загальною сумою доходів, отриманих від прийняття ставок у лотерею, розуміється сума грошових коштів, отриманих у готівковій та/або безготівковій формі в касу та/або на рахунки оператора лотерей;</w:t>
      </w:r>
    </w:p>
    <w:p w14:paraId="6BE98D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 w:name="n13547"/>
      <w:bookmarkEnd w:id="971"/>
      <w:r w:rsidRPr="008B264B">
        <w:rPr>
          <w:rFonts w:ascii="Times New Roman" w:eastAsia="Times New Roman" w:hAnsi="Times New Roman" w:cs="Times New Roman"/>
          <w:i/>
          <w:iCs/>
          <w:color w:val="000000"/>
          <w:sz w:val="24"/>
          <w:szCs w:val="24"/>
          <w:lang/>
        </w:rPr>
        <w:t>{Пункт 14.1 статті 14 доповнено підпунктом 14.1.271 згідно із Законом </w:t>
      </w:r>
      <w:hyperlink r:id="rId614" w:anchor="n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F32E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 w:name="n14756"/>
      <w:bookmarkEnd w:id="972"/>
      <w:r w:rsidRPr="008B264B">
        <w:rPr>
          <w:rFonts w:ascii="Times New Roman" w:eastAsia="Times New Roman" w:hAnsi="Times New Roman" w:cs="Times New Roman"/>
          <w:color w:val="000000"/>
          <w:sz w:val="24"/>
          <w:szCs w:val="24"/>
          <w:lang/>
        </w:rPr>
        <w:t>14.1.272. квас "живого" бродіння - напій із вмістом спирту етилового не більше 1,2 відсотка об’ємних одиниць, отриманий під час бродіння квасного сусла, що відноситься до товарних позицій 2202 та 2206 згідно з </w:t>
      </w:r>
      <w:hyperlink r:id="rId615"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015348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 w:name="n14755"/>
      <w:bookmarkEnd w:id="973"/>
      <w:r w:rsidRPr="008B264B">
        <w:rPr>
          <w:rFonts w:ascii="Times New Roman" w:eastAsia="Times New Roman" w:hAnsi="Times New Roman" w:cs="Times New Roman"/>
          <w:i/>
          <w:iCs/>
          <w:color w:val="000000"/>
          <w:sz w:val="24"/>
          <w:szCs w:val="24"/>
          <w:lang/>
        </w:rPr>
        <w:t>{Пункт 14.1 статті 14 доповнено підпунктом 14.1.272 згідно із Законом </w:t>
      </w:r>
      <w:hyperlink r:id="rId616" w:anchor="n5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310DD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 w:name="n15229"/>
      <w:bookmarkEnd w:id="974"/>
      <w:r w:rsidRPr="008B264B">
        <w:rPr>
          <w:rFonts w:ascii="Times New Roman" w:eastAsia="Times New Roman" w:hAnsi="Times New Roman" w:cs="Times New Roman"/>
          <w:i/>
          <w:iCs/>
          <w:color w:val="000000"/>
          <w:sz w:val="24"/>
          <w:szCs w:val="24"/>
          <w:lang/>
        </w:rPr>
        <w:t>{Підпункт 14.1.273 пункту 14.1 статті 14 виключено на підставі Закону </w:t>
      </w:r>
      <w:hyperlink r:id="rId617" w:anchor="n6"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691E59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 w:name="n15231"/>
      <w:bookmarkEnd w:id="975"/>
      <w:r w:rsidRPr="008B264B">
        <w:rPr>
          <w:rFonts w:ascii="Times New Roman" w:eastAsia="Times New Roman" w:hAnsi="Times New Roman" w:cs="Times New Roman"/>
          <w:i/>
          <w:iCs/>
          <w:color w:val="000000"/>
          <w:sz w:val="24"/>
          <w:szCs w:val="24"/>
          <w:lang/>
        </w:rPr>
        <w:t>{Підпункт 14.1.274 пункту 14.1 статті 14 виключено на підставі Закону </w:t>
      </w:r>
      <w:hyperlink r:id="rId618" w:anchor="n6"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4C5DC7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 w:name="n15232"/>
      <w:bookmarkEnd w:id="976"/>
      <w:r w:rsidRPr="008B264B">
        <w:rPr>
          <w:rFonts w:ascii="Times New Roman" w:eastAsia="Times New Roman" w:hAnsi="Times New Roman" w:cs="Times New Roman"/>
          <w:i/>
          <w:iCs/>
          <w:color w:val="000000"/>
          <w:sz w:val="24"/>
          <w:szCs w:val="24"/>
          <w:lang/>
        </w:rPr>
        <w:t>{Підпункт 14.1.275 пункту 14.1 статті 14 виключено на підставі Закону </w:t>
      </w:r>
      <w:hyperlink r:id="rId619" w:anchor="n6"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44CE32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 w:name="n15233"/>
      <w:bookmarkEnd w:id="977"/>
      <w:r w:rsidRPr="008B264B">
        <w:rPr>
          <w:rFonts w:ascii="Times New Roman" w:eastAsia="Times New Roman" w:hAnsi="Times New Roman" w:cs="Times New Roman"/>
          <w:i/>
          <w:iCs/>
          <w:color w:val="000000"/>
          <w:sz w:val="24"/>
          <w:szCs w:val="24"/>
          <w:lang/>
        </w:rPr>
        <w:t>{Підпункт 14.1.276 пункту 14.1 статті 14 виключено на підставі Закону </w:t>
      </w:r>
      <w:hyperlink r:id="rId620" w:anchor="n6"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356E0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 w:name="n15234"/>
      <w:bookmarkEnd w:id="978"/>
      <w:r w:rsidRPr="008B264B">
        <w:rPr>
          <w:rFonts w:ascii="Times New Roman" w:eastAsia="Times New Roman" w:hAnsi="Times New Roman" w:cs="Times New Roman"/>
          <w:color w:val="000000"/>
          <w:sz w:val="24"/>
          <w:szCs w:val="24"/>
          <w:lang/>
        </w:rPr>
        <w:t>14.1.277. внутрішній туризм для цілей </w:t>
      </w:r>
      <w:hyperlink r:id="rId621" w:anchor="n6340" w:history="1">
        <w:r w:rsidRPr="008B264B">
          <w:rPr>
            <w:rFonts w:ascii="Times New Roman" w:eastAsia="Times New Roman" w:hAnsi="Times New Roman" w:cs="Times New Roman"/>
            <w:color w:val="0000FF"/>
            <w:sz w:val="24"/>
            <w:szCs w:val="24"/>
            <w:u w:val="single"/>
            <w:lang/>
          </w:rPr>
          <w:t>розділу XII</w:t>
        </w:r>
      </w:hyperlink>
      <w:r w:rsidRPr="008B264B">
        <w:rPr>
          <w:rFonts w:ascii="Times New Roman" w:eastAsia="Times New Roman" w:hAnsi="Times New Roman" w:cs="Times New Roman"/>
          <w:color w:val="000000"/>
          <w:sz w:val="24"/>
          <w:szCs w:val="24"/>
          <w:lang/>
        </w:rPr>
        <w:t> цього Кодексу - переміщення в межах території України громадян України та/або осіб, які постійно проживають на території України, в пізнавальних, професійно-ділових чи інших цілях.</w:t>
      </w:r>
    </w:p>
    <w:p w14:paraId="5A685B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 w:name="n15235"/>
      <w:bookmarkEnd w:id="979"/>
      <w:r w:rsidRPr="008B264B">
        <w:rPr>
          <w:rFonts w:ascii="Times New Roman" w:eastAsia="Times New Roman" w:hAnsi="Times New Roman" w:cs="Times New Roman"/>
          <w:color w:val="000000"/>
          <w:sz w:val="24"/>
          <w:szCs w:val="24"/>
          <w:lang/>
        </w:rPr>
        <w:t>В’їзний туризм для цілей </w:t>
      </w:r>
      <w:hyperlink r:id="rId622" w:anchor="n6340" w:history="1">
        <w:r w:rsidRPr="008B264B">
          <w:rPr>
            <w:rFonts w:ascii="Times New Roman" w:eastAsia="Times New Roman" w:hAnsi="Times New Roman" w:cs="Times New Roman"/>
            <w:color w:val="0000FF"/>
            <w:sz w:val="24"/>
            <w:szCs w:val="24"/>
            <w:u w:val="single"/>
            <w:lang/>
          </w:rPr>
          <w:t>розділу XII</w:t>
        </w:r>
      </w:hyperlink>
      <w:r w:rsidRPr="008B264B">
        <w:rPr>
          <w:rFonts w:ascii="Times New Roman" w:eastAsia="Times New Roman" w:hAnsi="Times New Roman" w:cs="Times New Roman"/>
          <w:color w:val="000000"/>
          <w:sz w:val="24"/>
          <w:szCs w:val="24"/>
          <w:lang/>
        </w:rPr>
        <w:t> цього Кодексу - прибуття на територію України та/або переміщення в межах території України осіб, які постійно не проживають на території України, в пізнавальних, професійно-ділових чи інших цілях.</w:t>
      </w:r>
    </w:p>
    <w:p w14:paraId="709255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 w:name="n15228"/>
      <w:bookmarkEnd w:id="980"/>
      <w:r w:rsidRPr="008B264B">
        <w:rPr>
          <w:rFonts w:ascii="Times New Roman" w:eastAsia="Times New Roman" w:hAnsi="Times New Roman" w:cs="Times New Roman"/>
          <w:i/>
          <w:iCs/>
          <w:color w:val="000000"/>
          <w:sz w:val="24"/>
          <w:szCs w:val="24"/>
          <w:lang/>
        </w:rPr>
        <w:t>{Пункт 14.1 статті 14 доповнено підпунктом 14.1.277 згідно із Законом </w:t>
      </w:r>
      <w:hyperlink r:id="rId623" w:anchor="n6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8ED35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 w:name="n783"/>
      <w:bookmarkEnd w:id="981"/>
      <w:r w:rsidRPr="008B264B">
        <w:rPr>
          <w:rFonts w:ascii="Times New Roman" w:eastAsia="Times New Roman" w:hAnsi="Times New Roman" w:cs="Times New Roman"/>
          <w:color w:val="000000"/>
          <w:sz w:val="24"/>
          <w:szCs w:val="24"/>
          <w:lang/>
        </w:rPr>
        <w:t>14.2. Для цілей цього Кодексу до цінних паперів прирівнюються боргові зобов'язання Національного банку України.</w:t>
      </w:r>
    </w:p>
    <w:p w14:paraId="7F32C1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 w:name="n784"/>
      <w:bookmarkEnd w:id="982"/>
      <w:r w:rsidRPr="008B264B">
        <w:rPr>
          <w:rFonts w:ascii="Times New Roman" w:eastAsia="Times New Roman" w:hAnsi="Times New Roman" w:cs="Times New Roman"/>
          <w:i/>
          <w:iCs/>
          <w:color w:val="000000"/>
          <w:sz w:val="24"/>
          <w:szCs w:val="24"/>
          <w:lang/>
        </w:rPr>
        <w:t>{Статтю 14 доповнено пунктом 14.2 згідно із Законом </w:t>
      </w:r>
      <w:hyperlink r:id="rId624"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w:t>
      </w:r>
    </w:p>
    <w:p w14:paraId="5934C2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 w:name="n785"/>
      <w:bookmarkEnd w:id="983"/>
      <w:r w:rsidRPr="008B264B">
        <w:rPr>
          <w:rFonts w:ascii="Times New Roman" w:eastAsia="Times New Roman" w:hAnsi="Times New Roman" w:cs="Times New Roman"/>
          <w:b/>
          <w:bCs/>
          <w:color w:val="000000"/>
          <w:sz w:val="24"/>
          <w:szCs w:val="24"/>
          <w:lang/>
        </w:rPr>
        <w:t>Стаття 15.</w:t>
      </w:r>
      <w:r w:rsidRPr="008B264B">
        <w:rPr>
          <w:rFonts w:ascii="Times New Roman" w:eastAsia="Times New Roman" w:hAnsi="Times New Roman" w:cs="Times New Roman"/>
          <w:color w:val="000000"/>
          <w:sz w:val="24"/>
          <w:szCs w:val="24"/>
          <w:lang/>
        </w:rPr>
        <w:t> Платники податків</w:t>
      </w:r>
    </w:p>
    <w:p w14:paraId="580751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 w:name="n786"/>
      <w:bookmarkEnd w:id="984"/>
      <w:r w:rsidRPr="008B264B">
        <w:rPr>
          <w:rFonts w:ascii="Times New Roman" w:eastAsia="Times New Roman" w:hAnsi="Times New Roman" w:cs="Times New Roman"/>
          <w:color w:val="000000"/>
          <w:sz w:val="24"/>
          <w:szCs w:val="24"/>
          <w:lang/>
        </w:rPr>
        <w:t>15.1. Платниками податків визнаються фізичні особи (резиденти і нерезиденти України), юридичні особи (резиденти і нерезиденти України) та їх відокремлені підрозділи, які мають, одержують (передають) об'єкти оподаткування або провадять діяльність (операції), що є об'єктом оподаткування згідно з цим Кодексом або податковими законами, і на яких покладено обов'язок із сплати податків та зборів згідно з цим Кодексом.</w:t>
      </w:r>
    </w:p>
    <w:p w14:paraId="2BD0CD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 w:name="n787"/>
      <w:bookmarkEnd w:id="985"/>
      <w:r w:rsidRPr="008B264B">
        <w:rPr>
          <w:rFonts w:ascii="Times New Roman" w:eastAsia="Times New Roman" w:hAnsi="Times New Roman" w:cs="Times New Roman"/>
          <w:color w:val="000000"/>
          <w:sz w:val="24"/>
          <w:szCs w:val="24"/>
          <w:lang/>
        </w:rPr>
        <w:t>15.2. Кожний з платників податків може бути платником податку за одним або кількома податками та зборами.</w:t>
      </w:r>
    </w:p>
    <w:p w14:paraId="046070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 w:name="n788"/>
      <w:bookmarkEnd w:id="986"/>
      <w:r w:rsidRPr="008B264B">
        <w:rPr>
          <w:rFonts w:ascii="Times New Roman" w:eastAsia="Times New Roman" w:hAnsi="Times New Roman" w:cs="Times New Roman"/>
          <w:b/>
          <w:bCs/>
          <w:color w:val="000000"/>
          <w:sz w:val="24"/>
          <w:szCs w:val="24"/>
          <w:lang/>
        </w:rPr>
        <w:t>Стаття 16.</w:t>
      </w:r>
      <w:r w:rsidRPr="008B264B">
        <w:rPr>
          <w:rFonts w:ascii="Times New Roman" w:eastAsia="Times New Roman" w:hAnsi="Times New Roman" w:cs="Times New Roman"/>
          <w:color w:val="000000"/>
          <w:sz w:val="24"/>
          <w:szCs w:val="24"/>
          <w:lang/>
        </w:rPr>
        <w:t> Обов'язки платника податків</w:t>
      </w:r>
    </w:p>
    <w:p w14:paraId="02D2E3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 w:name="n789"/>
      <w:bookmarkEnd w:id="987"/>
      <w:r w:rsidRPr="008B264B">
        <w:rPr>
          <w:rFonts w:ascii="Times New Roman" w:eastAsia="Times New Roman" w:hAnsi="Times New Roman" w:cs="Times New Roman"/>
          <w:color w:val="000000"/>
          <w:sz w:val="24"/>
          <w:szCs w:val="24"/>
          <w:lang/>
        </w:rPr>
        <w:lastRenderedPageBreak/>
        <w:t>16.1. Платник податків зобов'язаний:</w:t>
      </w:r>
    </w:p>
    <w:p w14:paraId="6F7705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 w:name="n790"/>
      <w:bookmarkEnd w:id="988"/>
      <w:r w:rsidRPr="008B264B">
        <w:rPr>
          <w:rFonts w:ascii="Times New Roman" w:eastAsia="Times New Roman" w:hAnsi="Times New Roman" w:cs="Times New Roman"/>
          <w:color w:val="000000"/>
          <w:sz w:val="24"/>
          <w:szCs w:val="24"/>
          <w:lang/>
        </w:rPr>
        <w:t>16.1.1. стати на облік у контролюючих органах в порядку, встановленому законодавством України;</w:t>
      </w:r>
    </w:p>
    <w:p w14:paraId="442847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 w:name="n791"/>
      <w:bookmarkEnd w:id="989"/>
      <w:r w:rsidRPr="008B264B">
        <w:rPr>
          <w:rFonts w:ascii="Times New Roman" w:eastAsia="Times New Roman" w:hAnsi="Times New Roman" w:cs="Times New Roman"/>
          <w:color w:val="000000"/>
          <w:sz w:val="24"/>
          <w:szCs w:val="24"/>
          <w:lang/>
        </w:rPr>
        <w:t>16.1.2. вести в установленому порядку облік доходів і витрат, складати звітність, що стосується обчислення і сплати податків та зборів;</w:t>
      </w:r>
    </w:p>
    <w:p w14:paraId="584339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 w:name="n792"/>
      <w:bookmarkEnd w:id="990"/>
      <w:r w:rsidRPr="008B264B">
        <w:rPr>
          <w:rFonts w:ascii="Times New Roman" w:eastAsia="Times New Roman" w:hAnsi="Times New Roman" w:cs="Times New Roman"/>
          <w:color w:val="000000"/>
          <w:sz w:val="24"/>
          <w:szCs w:val="24"/>
          <w:lang/>
        </w:rPr>
        <w:t>16.1.3. подавати до контролюючих органів у порядку, встановленому податковим та митним законодавством, декларації, звітність та інші документи, пов'язані з обчисленням і сплатою податків та зборів;</w:t>
      </w:r>
    </w:p>
    <w:p w14:paraId="26019A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 w:name="n793"/>
      <w:bookmarkEnd w:id="991"/>
      <w:r w:rsidRPr="008B264B">
        <w:rPr>
          <w:rFonts w:ascii="Times New Roman" w:eastAsia="Times New Roman" w:hAnsi="Times New Roman" w:cs="Times New Roman"/>
          <w:color w:val="000000"/>
          <w:sz w:val="24"/>
          <w:szCs w:val="24"/>
          <w:lang/>
        </w:rPr>
        <w:t>16.1.4. сплачувати податки та збори в строки та у розмірах, встановлених цим Кодексом та законами з питань митної справи;</w:t>
      </w:r>
    </w:p>
    <w:p w14:paraId="2696A0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 w:name="n794"/>
      <w:bookmarkEnd w:id="992"/>
      <w:r w:rsidRPr="008B264B">
        <w:rPr>
          <w:rFonts w:ascii="Times New Roman" w:eastAsia="Times New Roman" w:hAnsi="Times New Roman" w:cs="Times New Roman"/>
          <w:color w:val="000000"/>
          <w:sz w:val="24"/>
          <w:szCs w:val="24"/>
          <w:lang/>
        </w:rPr>
        <w:t>16.1.5. подавати на належним чином оформлену письмову вимогу контролюючих органів (у випадках, визначених законодавством) документи з обліку доходів, витрат та інших показників, пов'язаних із визначенням об'єктів оподаткування (податкових зобов'язань), первинні документи, регістри бухгалтерського обліку, фінансову звітність, інші документи, пов'язані з обчисленням та сплатою податків та зборів. У письмовій вимозі обов'язково зазначаються конкретний перелік документів, які повинен надати платник податків, та підстави для їх надання;</w:t>
      </w:r>
    </w:p>
    <w:p w14:paraId="7B8AED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 w:name="n795"/>
      <w:bookmarkEnd w:id="993"/>
      <w:r w:rsidRPr="008B264B">
        <w:rPr>
          <w:rFonts w:ascii="Times New Roman" w:eastAsia="Times New Roman" w:hAnsi="Times New Roman" w:cs="Times New Roman"/>
          <w:color w:val="000000"/>
          <w:sz w:val="24"/>
          <w:szCs w:val="24"/>
          <w:lang/>
        </w:rPr>
        <w:t>16.1.6. подавати контролюючим органам інформацію, відомості про суми коштів, не сплачених до бюджету в зв'язку з отриманням податкових пільг (суми отриманих пільг) та напрями їх використання (щодо умовних податкових пільг - пільг, що надаються за умови використання коштів, вивільнених у суб'єкта господарювання внаслідок надання пільги, у визначеному державою порядку);</w:t>
      </w:r>
    </w:p>
    <w:p w14:paraId="1BD1D8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 w:name="n796"/>
      <w:bookmarkEnd w:id="994"/>
      <w:r w:rsidRPr="008B264B">
        <w:rPr>
          <w:rFonts w:ascii="Times New Roman" w:eastAsia="Times New Roman" w:hAnsi="Times New Roman" w:cs="Times New Roman"/>
          <w:color w:val="000000"/>
          <w:sz w:val="24"/>
          <w:szCs w:val="24"/>
          <w:lang/>
        </w:rPr>
        <w:t>16.1.7. подавати контролюючим органам інформацію в порядку, у строки та в обсягах, встановлених податковим законодавством;</w:t>
      </w:r>
    </w:p>
    <w:p w14:paraId="5C685F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 w:name="n797"/>
      <w:bookmarkEnd w:id="995"/>
      <w:r w:rsidRPr="008B264B">
        <w:rPr>
          <w:rFonts w:ascii="Times New Roman" w:eastAsia="Times New Roman" w:hAnsi="Times New Roman" w:cs="Times New Roman"/>
          <w:color w:val="000000"/>
          <w:sz w:val="24"/>
          <w:szCs w:val="24"/>
          <w:lang/>
        </w:rPr>
        <w:t>16.1.8. виконувати законні вимоги контролюючих органів щодо усунення виявлених порушень законів з питань оподаткування та митної справи і підписувати акти (довідки) про проведення перевірки;</w:t>
      </w:r>
    </w:p>
    <w:p w14:paraId="2B3600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 w:name="n798"/>
      <w:bookmarkEnd w:id="996"/>
      <w:r w:rsidRPr="008B264B">
        <w:rPr>
          <w:rFonts w:ascii="Times New Roman" w:eastAsia="Times New Roman" w:hAnsi="Times New Roman" w:cs="Times New Roman"/>
          <w:color w:val="000000"/>
          <w:sz w:val="24"/>
          <w:szCs w:val="24"/>
          <w:lang/>
        </w:rPr>
        <w:t>16.1.9. не перешкоджати законній діяльності посадової особи контролюючого органу під час виконання нею службових обов'язків та виконувати законні вимоги такої посадової особи;</w:t>
      </w:r>
    </w:p>
    <w:p w14:paraId="51C718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 w:name="n799"/>
      <w:bookmarkEnd w:id="997"/>
      <w:r w:rsidRPr="008B264B">
        <w:rPr>
          <w:rFonts w:ascii="Times New Roman" w:eastAsia="Times New Roman" w:hAnsi="Times New Roman" w:cs="Times New Roman"/>
          <w:color w:val="000000"/>
          <w:sz w:val="24"/>
          <w:szCs w:val="24"/>
          <w:lang/>
        </w:rPr>
        <w:t>16.1.10. повідомляти контролюючим органам за місцем обліку такого платника про його ліквідацію або реорганізацію протягом трьох робочих днів з дня прийняття відповідного рішення (крім випадків, коли обов'язок здійснювати таке повідомлення покладено законом на орган державної реєстрації);</w:t>
      </w:r>
    </w:p>
    <w:p w14:paraId="5DF51F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 w:name="n800"/>
      <w:bookmarkEnd w:id="998"/>
      <w:r w:rsidRPr="008B264B">
        <w:rPr>
          <w:rFonts w:ascii="Times New Roman" w:eastAsia="Times New Roman" w:hAnsi="Times New Roman" w:cs="Times New Roman"/>
          <w:color w:val="000000"/>
          <w:sz w:val="24"/>
          <w:szCs w:val="24"/>
          <w:lang/>
        </w:rPr>
        <w:t>16.1.11. повідомляти контролюючі органи про зміну місцезнаходження юридичної особи та зміну місця проживання фізичної особи - підприємця;</w:t>
      </w:r>
    </w:p>
    <w:p w14:paraId="1FC07B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 w:name="n801"/>
      <w:bookmarkEnd w:id="999"/>
      <w:r w:rsidRPr="008B264B">
        <w:rPr>
          <w:rFonts w:ascii="Times New Roman" w:eastAsia="Times New Roman" w:hAnsi="Times New Roman" w:cs="Times New Roman"/>
          <w:color w:val="000000"/>
          <w:sz w:val="24"/>
          <w:szCs w:val="24"/>
          <w:lang/>
        </w:rPr>
        <w:t>16.1.12. забезпечувати збереження документів, пов'язаних з виконанням податкового обов'язку, протягом строків, установлених цим Кодексом;</w:t>
      </w:r>
    </w:p>
    <w:p w14:paraId="363FE2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 w:name="n802"/>
      <w:bookmarkEnd w:id="1000"/>
      <w:r w:rsidRPr="008B264B">
        <w:rPr>
          <w:rFonts w:ascii="Times New Roman" w:eastAsia="Times New Roman" w:hAnsi="Times New Roman" w:cs="Times New Roman"/>
          <w:color w:val="000000"/>
          <w:sz w:val="24"/>
          <w:szCs w:val="24"/>
          <w:lang/>
        </w:rPr>
        <w:t>16.1.13. допускати посадових осіб контролюючого органу під час проведення ними перевірок до обстеження приміщень, територій (крім житла громадян), що використовуються для одержання доходів чи пов'язані з утриманням об'єктів оподаткування, а також для проведення перевірок з питань обчислення і сплати податків та зборів у випадках, встановлених цим Кодексом.</w:t>
      </w:r>
    </w:p>
    <w:p w14:paraId="4BF24E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 w:name="n803"/>
      <w:bookmarkEnd w:id="1001"/>
      <w:r w:rsidRPr="008B264B">
        <w:rPr>
          <w:rFonts w:ascii="Times New Roman" w:eastAsia="Times New Roman" w:hAnsi="Times New Roman" w:cs="Times New Roman"/>
          <w:i/>
          <w:iCs/>
          <w:color w:val="000000"/>
          <w:sz w:val="24"/>
          <w:szCs w:val="24"/>
          <w:lang/>
        </w:rPr>
        <w:t xml:space="preserve">{Положення підпункту 16.1.13 пункту 16.1 статті 16, згідно з яким платник податків зобов'язаний допускати посадових осіб контролюючого органу під час проведення ними перевірок до обстеження приміщень, територій (крім житла громадян), що використовуються для одержання доходів чи пов'язані з утриманням об'єктів оподаткування, а також для проведення перевірок з питань обчислення і сплати податків та зборів у випадках, встановлених цим </w:t>
      </w:r>
      <w:r w:rsidRPr="008B264B">
        <w:rPr>
          <w:rFonts w:ascii="Times New Roman" w:eastAsia="Times New Roman" w:hAnsi="Times New Roman" w:cs="Times New Roman"/>
          <w:i/>
          <w:iCs/>
          <w:color w:val="000000"/>
          <w:sz w:val="24"/>
          <w:szCs w:val="24"/>
          <w:lang/>
        </w:rPr>
        <w:lastRenderedPageBreak/>
        <w:t>Кодексом визнано конституційним згідно з </w:t>
      </w:r>
      <w:hyperlink r:id="rId625" w:anchor="n52" w:tgtFrame="_blank" w:history="1">
        <w:r w:rsidRPr="008B264B">
          <w:rPr>
            <w:rFonts w:ascii="Times New Roman" w:eastAsia="Times New Roman" w:hAnsi="Times New Roman" w:cs="Times New Roman"/>
            <w:i/>
            <w:iCs/>
            <w:color w:val="0000FF"/>
            <w:sz w:val="24"/>
            <w:szCs w:val="24"/>
            <w:u w:val="single"/>
            <w:lang/>
          </w:rPr>
          <w:t>Рішенням Конституційного Суду </w:t>
        </w:r>
      </w:hyperlink>
      <w:hyperlink r:id="rId626" w:anchor="n52" w:tgtFrame="_blank" w:history="1">
        <w:r w:rsidRPr="008B264B">
          <w:rPr>
            <w:rFonts w:ascii="Times New Roman" w:eastAsia="Times New Roman" w:hAnsi="Times New Roman" w:cs="Times New Roman"/>
            <w:i/>
            <w:iCs/>
            <w:color w:val="0000FF"/>
            <w:sz w:val="24"/>
            <w:szCs w:val="24"/>
            <w:u w:val="single"/>
            <w:lang/>
          </w:rPr>
          <w:t>№ 13-рп/2012 від 12.06.2012</w:t>
        </w:r>
      </w:hyperlink>
      <w:r w:rsidRPr="008B264B">
        <w:rPr>
          <w:rFonts w:ascii="Times New Roman" w:eastAsia="Times New Roman" w:hAnsi="Times New Roman" w:cs="Times New Roman"/>
          <w:i/>
          <w:iCs/>
          <w:color w:val="000000"/>
          <w:sz w:val="24"/>
          <w:szCs w:val="24"/>
          <w:lang/>
        </w:rPr>
        <w:t>}</w:t>
      </w:r>
    </w:p>
    <w:p w14:paraId="29C710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 w:name="n13552"/>
      <w:bookmarkEnd w:id="1002"/>
      <w:r w:rsidRPr="008B264B">
        <w:rPr>
          <w:rFonts w:ascii="Times New Roman" w:eastAsia="Times New Roman" w:hAnsi="Times New Roman" w:cs="Times New Roman"/>
          <w:color w:val="000000"/>
          <w:sz w:val="24"/>
          <w:szCs w:val="24"/>
          <w:lang/>
        </w:rPr>
        <w:t>16.1.14. використовувати електронний кабінет для листування з контролюючими органами в електронній формі у разі подання звітності в електронній формі, а також після проходження електронної ідентифікації он-лайн в електронному кабінеті, крім платників податків, які відмовилися від використання електронного кабінету в порядку, встановленому цим Кодексом, та платників податків, які не визначили спосіб взаємодії із контролюючим органом.</w:t>
      </w:r>
    </w:p>
    <w:p w14:paraId="54E236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 w:name="n13551"/>
      <w:bookmarkEnd w:id="1003"/>
      <w:r w:rsidRPr="008B264B">
        <w:rPr>
          <w:rFonts w:ascii="Times New Roman" w:eastAsia="Times New Roman" w:hAnsi="Times New Roman" w:cs="Times New Roman"/>
          <w:i/>
          <w:iCs/>
          <w:color w:val="000000"/>
          <w:sz w:val="24"/>
          <w:szCs w:val="24"/>
          <w:lang/>
        </w:rPr>
        <w:t>{Пункт 16.1 статті 16 доповнено підпунктом 16.1.14 згідно із Законом </w:t>
      </w:r>
      <w:hyperlink r:id="rId627" w:anchor="n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628"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055A9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 w:name="n804"/>
      <w:bookmarkEnd w:id="1004"/>
      <w:r w:rsidRPr="008B264B">
        <w:rPr>
          <w:rFonts w:ascii="Times New Roman" w:eastAsia="Times New Roman" w:hAnsi="Times New Roman" w:cs="Times New Roman"/>
          <w:b/>
          <w:bCs/>
          <w:color w:val="000000"/>
          <w:sz w:val="24"/>
          <w:szCs w:val="24"/>
          <w:lang/>
        </w:rPr>
        <w:t>Стаття 17.</w:t>
      </w:r>
      <w:r w:rsidRPr="008B264B">
        <w:rPr>
          <w:rFonts w:ascii="Times New Roman" w:eastAsia="Times New Roman" w:hAnsi="Times New Roman" w:cs="Times New Roman"/>
          <w:color w:val="000000"/>
          <w:sz w:val="24"/>
          <w:szCs w:val="24"/>
          <w:lang/>
        </w:rPr>
        <w:t> Права платника податків</w:t>
      </w:r>
    </w:p>
    <w:p w14:paraId="7FA597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 w:name="n805"/>
      <w:bookmarkEnd w:id="1005"/>
      <w:r w:rsidRPr="008B264B">
        <w:rPr>
          <w:rFonts w:ascii="Times New Roman" w:eastAsia="Times New Roman" w:hAnsi="Times New Roman" w:cs="Times New Roman"/>
          <w:color w:val="000000"/>
          <w:sz w:val="24"/>
          <w:szCs w:val="24"/>
          <w:lang/>
        </w:rPr>
        <w:t>17.1. Платник податків має право:</w:t>
      </w:r>
    </w:p>
    <w:p w14:paraId="0EC1C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 w:name="n806"/>
      <w:bookmarkEnd w:id="1006"/>
      <w:r w:rsidRPr="008B264B">
        <w:rPr>
          <w:rFonts w:ascii="Times New Roman" w:eastAsia="Times New Roman" w:hAnsi="Times New Roman" w:cs="Times New Roman"/>
          <w:color w:val="000000"/>
          <w:sz w:val="24"/>
          <w:szCs w:val="24"/>
          <w:lang/>
        </w:rPr>
        <w:t>17.1.1. безоплатно отримувати у контролюючих органах, у тому числі і через мережу Інтернет, інформацію про податки та збори і нормативно-правові акти, що їх регулюють, порядок обліку та сплати податків та зборів, права та обов'язки платників податків, повноваження контролюючих органів та їх посадових осіб щодо здійснення податкового контролю;</w:t>
      </w:r>
    </w:p>
    <w:p w14:paraId="3C0379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 w:name="n807"/>
      <w:bookmarkEnd w:id="1007"/>
      <w:r w:rsidRPr="008B264B">
        <w:rPr>
          <w:rFonts w:ascii="Times New Roman" w:eastAsia="Times New Roman" w:hAnsi="Times New Roman" w:cs="Times New Roman"/>
          <w:i/>
          <w:iCs/>
          <w:color w:val="000000"/>
          <w:sz w:val="24"/>
          <w:szCs w:val="24"/>
          <w:lang/>
        </w:rPr>
        <w:t>{Підпункт 17.1.1 пункту 17.1 статті 17 із змінами, внесеними згідно з Законами </w:t>
      </w:r>
      <w:hyperlink r:id="rId629" w:anchor="n1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630" w:anchor="n1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C651B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 w:name="n808"/>
      <w:bookmarkEnd w:id="1008"/>
      <w:r w:rsidRPr="008B264B">
        <w:rPr>
          <w:rFonts w:ascii="Times New Roman" w:eastAsia="Times New Roman" w:hAnsi="Times New Roman" w:cs="Times New Roman"/>
          <w:color w:val="000000"/>
          <w:sz w:val="24"/>
          <w:szCs w:val="24"/>
          <w:lang/>
        </w:rPr>
        <w:t>17.1.2. представляти свої інтереси в контролюючих органах самостійно, через податкового агента або уповноваженого представника;</w:t>
      </w:r>
    </w:p>
    <w:p w14:paraId="7DD4F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 w:name="n809"/>
      <w:bookmarkEnd w:id="1009"/>
      <w:r w:rsidRPr="008B264B">
        <w:rPr>
          <w:rFonts w:ascii="Times New Roman" w:eastAsia="Times New Roman" w:hAnsi="Times New Roman" w:cs="Times New Roman"/>
          <w:color w:val="000000"/>
          <w:sz w:val="24"/>
          <w:szCs w:val="24"/>
          <w:lang/>
        </w:rPr>
        <w:t>17.1.3. обирати самостійно, якщо інше не встановлено цим Кодексом, метод ведення обліку доходів і витрат;</w:t>
      </w:r>
    </w:p>
    <w:p w14:paraId="6E93C8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 w:name="n810"/>
      <w:bookmarkEnd w:id="1010"/>
      <w:r w:rsidRPr="008B264B">
        <w:rPr>
          <w:rFonts w:ascii="Times New Roman" w:eastAsia="Times New Roman" w:hAnsi="Times New Roman" w:cs="Times New Roman"/>
          <w:color w:val="000000"/>
          <w:sz w:val="24"/>
          <w:szCs w:val="24"/>
          <w:lang/>
        </w:rPr>
        <w:t>17.1.4. користуватися податковими пільгами за наявності підстав у порядку, встановленому цим Кодексом;</w:t>
      </w:r>
    </w:p>
    <w:p w14:paraId="368C00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 w:name="n811"/>
      <w:bookmarkEnd w:id="1011"/>
      <w:r w:rsidRPr="008B264B">
        <w:rPr>
          <w:rFonts w:ascii="Times New Roman" w:eastAsia="Times New Roman" w:hAnsi="Times New Roman" w:cs="Times New Roman"/>
          <w:color w:val="000000"/>
          <w:sz w:val="24"/>
          <w:szCs w:val="24"/>
          <w:lang/>
        </w:rPr>
        <w:t>17.1.5. одержувати відстрочення, розстрочення сплати податків або податковий кредит в порядку і на умовах, встановлених цим Кодексом;</w:t>
      </w:r>
    </w:p>
    <w:p w14:paraId="33FECA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 w:name="n812"/>
      <w:bookmarkEnd w:id="1012"/>
      <w:r w:rsidRPr="008B264B">
        <w:rPr>
          <w:rFonts w:ascii="Times New Roman" w:eastAsia="Times New Roman" w:hAnsi="Times New Roman" w:cs="Times New Roman"/>
          <w:color w:val="000000"/>
          <w:sz w:val="24"/>
          <w:szCs w:val="24"/>
          <w:lang/>
        </w:rPr>
        <w:t>17.1.6. бути присутнім під час проведення перевірок та надавати пояснення з питань, що виникають під час таких перевірок, ознайомлюватися та отримувати акти (довідки) перевірок, проведених контролюючими органами, перед підписанням актів (довідок) про проведення перевірки, у разі наявності зауважень щодо змісту (тексту) складених актів (довідок) підписувати їх із застереженням та подавати контролюючому органу письмові заперечення в порядку, встановленому цим Кодексом;</w:t>
      </w:r>
    </w:p>
    <w:p w14:paraId="50AFC0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 w:name="n813"/>
      <w:bookmarkEnd w:id="1013"/>
      <w:r w:rsidRPr="008B264B">
        <w:rPr>
          <w:rFonts w:ascii="Times New Roman" w:eastAsia="Times New Roman" w:hAnsi="Times New Roman" w:cs="Times New Roman"/>
          <w:i/>
          <w:iCs/>
          <w:color w:val="000000"/>
          <w:sz w:val="24"/>
          <w:szCs w:val="24"/>
          <w:lang/>
        </w:rPr>
        <w:t>{Підпункт 17.1.6 пункту 17.1 статті 17 із змінами, внесеними згідно із Законом </w:t>
      </w:r>
      <w:hyperlink r:id="rId631" w:anchor="n3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16F41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 w:name="n814"/>
      <w:bookmarkEnd w:id="1014"/>
      <w:r w:rsidRPr="008B264B">
        <w:rPr>
          <w:rFonts w:ascii="Times New Roman" w:eastAsia="Times New Roman" w:hAnsi="Times New Roman" w:cs="Times New Roman"/>
          <w:color w:val="000000"/>
          <w:sz w:val="24"/>
          <w:szCs w:val="24"/>
          <w:lang/>
        </w:rPr>
        <w:t>17.1.7. оскаржувати в порядку, встановленому цим Кодексом, рішення, дії (бездіяльність) контролюючих органів (посадових осіб), у тому числі індивідуальну податкову консультацію, яка йому надана, а також узагальнюючу податкову консультацію;</w:t>
      </w:r>
    </w:p>
    <w:p w14:paraId="243374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 w:name="n9469"/>
      <w:bookmarkEnd w:id="1015"/>
      <w:r w:rsidRPr="008B264B">
        <w:rPr>
          <w:rFonts w:ascii="Times New Roman" w:eastAsia="Times New Roman" w:hAnsi="Times New Roman" w:cs="Times New Roman"/>
          <w:i/>
          <w:iCs/>
          <w:color w:val="000000"/>
          <w:sz w:val="24"/>
          <w:szCs w:val="24"/>
          <w:lang/>
        </w:rPr>
        <w:t>{Підпункт 17.1.7 пункту 17.1 статті 17 із змінами, внесеними згідно із Законами </w:t>
      </w:r>
      <w:hyperlink r:id="rId632" w:anchor="n1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633" w:anchor="n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50C12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 w:name="n815"/>
      <w:bookmarkEnd w:id="1016"/>
      <w:r w:rsidRPr="008B264B">
        <w:rPr>
          <w:rFonts w:ascii="Times New Roman" w:eastAsia="Times New Roman" w:hAnsi="Times New Roman" w:cs="Times New Roman"/>
          <w:color w:val="000000"/>
          <w:sz w:val="24"/>
          <w:szCs w:val="24"/>
          <w:lang/>
        </w:rPr>
        <w:t>17.1.8. вимагати від контролюючих органів проведення перевірки відомостей та фактів, що можуть свідчити на користь платника податків;</w:t>
      </w:r>
    </w:p>
    <w:p w14:paraId="1B3D21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 w:name="n816"/>
      <w:bookmarkEnd w:id="1017"/>
      <w:r w:rsidRPr="008B264B">
        <w:rPr>
          <w:rFonts w:ascii="Times New Roman" w:eastAsia="Times New Roman" w:hAnsi="Times New Roman" w:cs="Times New Roman"/>
          <w:color w:val="000000"/>
          <w:sz w:val="24"/>
          <w:szCs w:val="24"/>
          <w:lang/>
        </w:rPr>
        <w:t>17.1.9. на нерозголошення контролюючим органом (посадовими особами) відомостей про такого платника без його письмової згоди та відомостей, що становлять конфіденційну інформацію, державну, комерційну чи банківську таємницю та стали відомі під час виконання посадовими особами службових обов'язків, крім випадків, коли це прямо передбачено законами;</w:t>
      </w:r>
    </w:p>
    <w:p w14:paraId="132DF4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 w:name="n817"/>
      <w:bookmarkEnd w:id="1018"/>
      <w:r w:rsidRPr="008B264B">
        <w:rPr>
          <w:rFonts w:ascii="Times New Roman" w:eastAsia="Times New Roman" w:hAnsi="Times New Roman" w:cs="Times New Roman"/>
          <w:color w:val="000000"/>
          <w:sz w:val="24"/>
          <w:szCs w:val="24"/>
          <w:lang/>
        </w:rPr>
        <w:lastRenderedPageBreak/>
        <w:t>17.1.10. на залік чи повернення надміру сплачених, а також надміру стягнутих сум податків та зборів, пені, штрафів у порядку, встановленому цим Кодексом;</w:t>
      </w:r>
    </w:p>
    <w:p w14:paraId="6513D8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 w:name="n818"/>
      <w:bookmarkEnd w:id="1019"/>
      <w:r w:rsidRPr="008B264B">
        <w:rPr>
          <w:rFonts w:ascii="Times New Roman" w:eastAsia="Times New Roman" w:hAnsi="Times New Roman" w:cs="Times New Roman"/>
          <w:color w:val="000000"/>
          <w:sz w:val="24"/>
          <w:szCs w:val="24"/>
          <w:lang/>
        </w:rPr>
        <w:t>17.1.11. на повне відшкодування збитків (шкоди), заподіяних незаконними діями (бездіяльністю) контролюючих органів (їх посадових осіб), у встановленому законом порядку;</w:t>
      </w:r>
    </w:p>
    <w:p w14:paraId="457887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 w:name="n819"/>
      <w:bookmarkEnd w:id="1020"/>
      <w:r w:rsidRPr="008B264B">
        <w:rPr>
          <w:rFonts w:ascii="Times New Roman" w:eastAsia="Times New Roman" w:hAnsi="Times New Roman" w:cs="Times New Roman"/>
          <w:i/>
          <w:iCs/>
          <w:color w:val="000000"/>
          <w:sz w:val="24"/>
          <w:szCs w:val="24"/>
          <w:lang/>
        </w:rPr>
        <w:t>{Підпункт 17.1.12 пункту 17.1 статті 17 виключено на підставі Закону </w:t>
      </w:r>
      <w:hyperlink r:id="rId634" w:anchor="n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F8E3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 w:name="n13554"/>
      <w:bookmarkEnd w:id="1021"/>
      <w:r w:rsidRPr="008B264B">
        <w:rPr>
          <w:rFonts w:ascii="Times New Roman" w:eastAsia="Times New Roman" w:hAnsi="Times New Roman" w:cs="Times New Roman"/>
          <w:color w:val="000000"/>
          <w:sz w:val="24"/>
          <w:szCs w:val="24"/>
          <w:lang/>
        </w:rPr>
        <w:t>17.1.13. самостійно обирати спосіб взаємодії з контролюючим органом в електронній формі через електронний кабінет, якщо інше не встановлено цим Кодексом;</w:t>
      </w:r>
    </w:p>
    <w:p w14:paraId="563939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 w:name="n13558"/>
      <w:bookmarkEnd w:id="1022"/>
      <w:r w:rsidRPr="008B264B">
        <w:rPr>
          <w:rFonts w:ascii="Times New Roman" w:eastAsia="Times New Roman" w:hAnsi="Times New Roman" w:cs="Times New Roman"/>
          <w:i/>
          <w:iCs/>
          <w:color w:val="000000"/>
          <w:sz w:val="24"/>
          <w:szCs w:val="24"/>
          <w:lang/>
        </w:rPr>
        <w:t>{Пункт 17.1 статті 17 доповнено підпунктом 17.1.13 згідно із Законом </w:t>
      </w:r>
      <w:hyperlink r:id="rId635" w:anchor="n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636"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C6DC3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 w:name="n13555"/>
      <w:bookmarkEnd w:id="1023"/>
      <w:r w:rsidRPr="008B264B">
        <w:rPr>
          <w:rFonts w:ascii="Times New Roman" w:eastAsia="Times New Roman" w:hAnsi="Times New Roman" w:cs="Times New Roman"/>
          <w:color w:val="000000"/>
          <w:sz w:val="24"/>
          <w:szCs w:val="24"/>
          <w:lang/>
        </w:rPr>
        <w:t>17.1.14. реалізовувати через електронний кабінет права та обов’язки, передбачені цим Кодексом та які можуть бути реалізовані в електронній формі засобами електронного зв’язку;</w:t>
      </w:r>
    </w:p>
    <w:p w14:paraId="49FB8F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 w:name="n13557"/>
      <w:bookmarkEnd w:id="1024"/>
      <w:r w:rsidRPr="008B264B">
        <w:rPr>
          <w:rFonts w:ascii="Times New Roman" w:eastAsia="Times New Roman" w:hAnsi="Times New Roman" w:cs="Times New Roman"/>
          <w:i/>
          <w:iCs/>
          <w:color w:val="000000"/>
          <w:sz w:val="24"/>
          <w:szCs w:val="24"/>
          <w:lang/>
        </w:rPr>
        <w:t>{Пункт 17.1 статті 17 доповнено підпунктом 17.1.14 згідно із Законом </w:t>
      </w:r>
      <w:hyperlink r:id="rId637" w:anchor="n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638"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52B305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 w:name="n13556"/>
      <w:bookmarkEnd w:id="1025"/>
      <w:r w:rsidRPr="008B264B">
        <w:rPr>
          <w:rFonts w:ascii="Times New Roman" w:eastAsia="Times New Roman" w:hAnsi="Times New Roman" w:cs="Times New Roman"/>
          <w:color w:val="000000"/>
          <w:sz w:val="24"/>
          <w:szCs w:val="24"/>
          <w:lang/>
        </w:rPr>
        <w:t>17.1.15. подавати декларацію та інші документи в паперовій формі у разі виникнення технічних проблем у роботі електронного кабінету (наявність помилки має бути підтверджена у порядку, встановленому методологом електронного кабінету або судом).</w:t>
      </w:r>
    </w:p>
    <w:p w14:paraId="38F93A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 w:name="n13553"/>
      <w:bookmarkEnd w:id="1026"/>
      <w:r w:rsidRPr="008B264B">
        <w:rPr>
          <w:rFonts w:ascii="Times New Roman" w:eastAsia="Times New Roman" w:hAnsi="Times New Roman" w:cs="Times New Roman"/>
          <w:i/>
          <w:iCs/>
          <w:color w:val="000000"/>
          <w:sz w:val="24"/>
          <w:szCs w:val="24"/>
          <w:lang/>
        </w:rPr>
        <w:t>{Пункт 17.1 статті 17 доповнено підпунктом 17.1.15 згідно із Законом </w:t>
      </w:r>
      <w:hyperlink r:id="rId639" w:anchor="n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4497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 w:name="n820"/>
      <w:bookmarkEnd w:id="1027"/>
      <w:r w:rsidRPr="008B264B">
        <w:rPr>
          <w:rFonts w:ascii="Times New Roman" w:eastAsia="Times New Roman" w:hAnsi="Times New Roman" w:cs="Times New Roman"/>
          <w:color w:val="000000"/>
          <w:sz w:val="24"/>
          <w:szCs w:val="24"/>
          <w:lang/>
        </w:rPr>
        <w:t>17.2. Платник податку має також інші права, передбачені законом.</w:t>
      </w:r>
    </w:p>
    <w:p w14:paraId="7E6BA9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 w:name="n821"/>
      <w:bookmarkEnd w:id="1028"/>
      <w:r w:rsidRPr="008B264B">
        <w:rPr>
          <w:rFonts w:ascii="Times New Roman" w:eastAsia="Times New Roman" w:hAnsi="Times New Roman" w:cs="Times New Roman"/>
          <w:b/>
          <w:bCs/>
          <w:color w:val="000000"/>
          <w:sz w:val="24"/>
          <w:szCs w:val="24"/>
          <w:lang/>
        </w:rPr>
        <w:t>Стаття 18.</w:t>
      </w:r>
      <w:r w:rsidRPr="008B264B">
        <w:rPr>
          <w:rFonts w:ascii="Times New Roman" w:eastAsia="Times New Roman" w:hAnsi="Times New Roman" w:cs="Times New Roman"/>
          <w:color w:val="000000"/>
          <w:sz w:val="24"/>
          <w:szCs w:val="24"/>
          <w:lang/>
        </w:rPr>
        <w:t> Податкові агенти</w:t>
      </w:r>
    </w:p>
    <w:p w14:paraId="034D9F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 w:name="n822"/>
      <w:bookmarkEnd w:id="1029"/>
      <w:r w:rsidRPr="008B264B">
        <w:rPr>
          <w:rFonts w:ascii="Times New Roman" w:eastAsia="Times New Roman" w:hAnsi="Times New Roman" w:cs="Times New Roman"/>
          <w:color w:val="000000"/>
          <w:sz w:val="24"/>
          <w:szCs w:val="24"/>
          <w:lang/>
        </w:rPr>
        <w:t>18.1. Податковим агентом визнається особа, на яку цим Кодексом покладається обов'язок з обчислення, утримання з доходів, що нараховуються (виплачуються, надаються) платнику, та перерахування податків до відповідного бюджету від імені та за рахунок коштів платника податків.</w:t>
      </w:r>
    </w:p>
    <w:p w14:paraId="53DA3F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 w:name="n823"/>
      <w:bookmarkEnd w:id="1030"/>
      <w:r w:rsidRPr="008B264B">
        <w:rPr>
          <w:rFonts w:ascii="Times New Roman" w:eastAsia="Times New Roman" w:hAnsi="Times New Roman" w:cs="Times New Roman"/>
          <w:color w:val="000000"/>
          <w:sz w:val="24"/>
          <w:szCs w:val="24"/>
          <w:lang/>
        </w:rPr>
        <w:t>18.2. Податкові агенти прирівнюються до платників податку і мають права та виконують обов'язки, встановлені цим Кодексом для платників податків.</w:t>
      </w:r>
    </w:p>
    <w:p w14:paraId="76D19C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 w:name="n824"/>
      <w:bookmarkEnd w:id="1031"/>
      <w:r w:rsidRPr="008B264B">
        <w:rPr>
          <w:rFonts w:ascii="Times New Roman" w:eastAsia="Times New Roman" w:hAnsi="Times New Roman" w:cs="Times New Roman"/>
          <w:b/>
          <w:bCs/>
          <w:color w:val="000000"/>
          <w:sz w:val="24"/>
          <w:szCs w:val="24"/>
          <w:lang/>
        </w:rPr>
        <w:t>Стаття 19.</w:t>
      </w:r>
      <w:r w:rsidRPr="008B264B">
        <w:rPr>
          <w:rFonts w:ascii="Times New Roman" w:eastAsia="Times New Roman" w:hAnsi="Times New Roman" w:cs="Times New Roman"/>
          <w:color w:val="000000"/>
          <w:sz w:val="24"/>
          <w:szCs w:val="24"/>
          <w:lang/>
        </w:rPr>
        <w:t> Представники платника податків</w:t>
      </w:r>
    </w:p>
    <w:p w14:paraId="626895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 w:name="n825"/>
      <w:bookmarkEnd w:id="1032"/>
      <w:r w:rsidRPr="008B264B">
        <w:rPr>
          <w:rFonts w:ascii="Times New Roman" w:eastAsia="Times New Roman" w:hAnsi="Times New Roman" w:cs="Times New Roman"/>
          <w:color w:val="000000"/>
          <w:sz w:val="24"/>
          <w:szCs w:val="24"/>
          <w:lang/>
        </w:rPr>
        <w:t>19.1. Платник податків веде справи, пов'язані зі сплатою податків, особисто або через свого представника. Особиста участь платника податків в податкових відносинах не позбавляє його права мати свого представника, як і участь податкового представника не позбавляє платника податків права на особисту участь у таких відносинах.</w:t>
      </w:r>
    </w:p>
    <w:p w14:paraId="614675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 w:name="n826"/>
      <w:bookmarkEnd w:id="1033"/>
      <w:r w:rsidRPr="008B264B">
        <w:rPr>
          <w:rFonts w:ascii="Times New Roman" w:eastAsia="Times New Roman" w:hAnsi="Times New Roman" w:cs="Times New Roman"/>
          <w:color w:val="000000"/>
          <w:sz w:val="24"/>
          <w:szCs w:val="24"/>
          <w:lang/>
        </w:rPr>
        <w:t>19.2. Представниками платника податків визнаються особи, які можуть здійснювати представництво його законних інтересів та ведення справ, пов'язаних із сплатою податків, на підставі закону або довіреності. Довіреність, видана платником податків - фізичною особою на представництво його інтересів та ведення справ, пов'язаних із сплатою податків, має бути засвідчена відповідно до чинного законодавства.</w:t>
      </w:r>
    </w:p>
    <w:p w14:paraId="670F7A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 w:name="n827"/>
      <w:bookmarkEnd w:id="1034"/>
      <w:r w:rsidRPr="008B264B">
        <w:rPr>
          <w:rFonts w:ascii="Times New Roman" w:eastAsia="Times New Roman" w:hAnsi="Times New Roman" w:cs="Times New Roman"/>
          <w:color w:val="000000"/>
          <w:sz w:val="24"/>
          <w:szCs w:val="24"/>
          <w:lang/>
        </w:rPr>
        <w:t>19.3. Представник платника податків користується правами, встановленими цим Кодексом для платників податків.</w:t>
      </w:r>
    </w:p>
    <w:p w14:paraId="57DEEE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 w:name="n828"/>
      <w:bookmarkEnd w:id="1035"/>
      <w:r w:rsidRPr="008B264B">
        <w:rPr>
          <w:rFonts w:ascii="Times New Roman" w:eastAsia="Times New Roman" w:hAnsi="Times New Roman" w:cs="Times New Roman"/>
          <w:b/>
          <w:bCs/>
          <w:color w:val="000000"/>
          <w:sz w:val="24"/>
          <w:szCs w:val="24"/>
          <w:lang/>
        </w:rPr>
        <w:t>Стаття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Функції контролюючих органів</w:t>
      </w:r>
    </w:p>
    <w:p w14:paraId="1E789F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 w:name="n8677"/>
      <w:bookmarkEnd w:id="1036"/>
      <w:r w:rsidRPr="008B264B">
        <w:rPr>
          <w:rFonts w:ascii="Times New Roman" w:eastAsia="Times New Roman" w:hAnsi="Times New Roman" w:cs="Times New Roman"/>
          <w:color w:val="000000"/>
          <w:sz w:val="24"/>
          <w:szCs w:val="24"/>
          <w:lang/>
        </w:rPr>
        <w:lastRenderedPageBreak/>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Контролюючі органи виконують такі функції, крім особливостей, передбачених для державних податкових інспекцій </w:t>
      </w:r>
      <w:hyperlink r:id="rId640" w:anchor="n13582" w:history="1">
        <w:r w:rsidRPr="008B264B">
          <w:rPr>
            <w:rFonts w:ascii="Times New Roman" w:eastAsia="Times New Roman" w:hAnsi="Times New Roman" w:cs="Times New Roman"/>
            <w:color w:val="0000FF"/>
            <w:sz w:val="24"/>
            <w:szCs w:val="24"/>
            <w:u w:val="single"/>
            <w:lang/>
          </w:rPr>
          <w:t>статтею 19</w:t>
        </w:r>
      </w:hyperlink>
      <w:hyperlink r:id="rId641" w:anchor="n1358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3</w:t>
        </w:r>
      </w:hyperlink>
      <w:r w:rsidRPr="008B264B">
        <w:rPr>
          <w:rFonts w:ascii="Times New Roman" w:eastAsia="Times New Roman" w:hAnsi="Times New Roman" w:cs="Times New Roman"/>
          <w:color w:val="000000"/>
          <w:sz w:val="24"/>
          <w:szCs w:val="24"/>
          <w:lang/>
        </w:rPr>
        <w:t> цього Кодексу:</w:t>
      </w:r>
    </w:p>
    <w:p w14:paraId="149078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 w:name="n13559"/>
      <w:bookmarkEnd w:id="1037"/>
      <w:r w:rsidRPr="008B264B">
        <w:rPr>
          <w:rFonts w:ascii="Times New Roman" w:eastAsia="Times New Roman" w:hAnsi="Times New Roman" w:cs="Times New Roman"/>
          <w:i/>
          <w:iCs/>
          <w:color w:val="000000"/>
          <w:sz w:val="24"/>
          <w:szCs w:val="24"/>
          <w:lang/>
        </w:rPr>
        <w:t>{Пункт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42" w:anchor="n1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7E87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 w:name="n8678"/>
      <w:bookmarkEnd w:id="103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 здійснюють адміністрування податків, зборів, платежів, у тому числі проводять відповідно до законодавства перевірки та звірки платників податків;</w:t>
      </w:r>
    </w:p>
    <w:p w14:paraId="6212FB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 w:name="n13560"/>
      <w:bookmarkEnd w:id="1039"/>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.1.1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43" w:anchor="n1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D48D5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 w:name="n8679"/>
      <w:bookmarkEnd w:id="1040"/>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 контролюють своєчасність подання платниками податків та платниками єдиного внеску передбаченої законом звітності (декларацій, розрахунків та інших документів, пов’язаних з обчисленням і сплатою податків, зборів, платежів), своєчасність, достовірність, повноту нарахування та сплати податків, зборів, платежів;</w:t>
      </w:r>
    </w:p>
    <w:p w14:paraId="3E2C6B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 w:name="n8680"/>
      <w:bookmarkEnd w:id="104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 надають адміністративні послуги платникам податків,  зборів, платежів;</w:t>
      </w:r>
    </w:p>
    <w:p w14:paraId="492E91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 w:name="n8681"/>
      <w:bookmarkEnd w:id="1042"/>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 здійснюють контроль за встановленими законом строками проведення розрахунків в іноземній валюті, за додержанням порядку приймання готівки для подальшого переказу (крім приймання готівки банками), за дотриманням суб’єктами господарювання установлених законодавством обов’язкових вимог щодо забезпечення можливості розрахунків за товари (послуги) з використанням електронних платіжних засобів, порядку проведення готівкових розрахунків за товари (послуги), проведення розрахункових операцій, а також за наявністю ліцензій на провадження видів господарської діяльності, що підлягають ліцензуванню відповідно до закону, наявністю торгових патентів;</w:t>
      </w:r>
    </w:p>
    <w:p w14:paraId="1A8138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 w:name="n8682"/>
      <w:bookmarkEnd w:id="104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.1.5. здійснюють контроль за додержанням виконавчими органами сільських, селищних рад та рад об’єднаних територіальних громад, що створені згідно із законом та перспективним планом формування територій громад, порядку прийняття та обліку податків і зборів від платників податків, своєчасністю і повнотою перерахування зазначених сум до бюджету;</w:t>
      </w:r>
    </w:p>
    <w:p w14:paraId="6A6497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 w:name="n12659"/>
      <w:bookmarkEnd w:id="1044"/>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.1.5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44" w:anchor="n4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0120E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 w:name="n8683"/>
      <w:bookmarkEnd w:id="1045"/>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.1.6. здійснюють контроль за правомірністю бюджетного відшкодування податку на додану вартість;</w:t>
      </w:r>
    </w:p>
    <w:p w14:paraId="3FC835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 w:name="n8684"/>
      <w:bookmarkEnd w:id="104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.1.7. реєструють та ведуть облік платників податків, осіб, які здійснюють операції з товарами, що перебувають під митним контролем, об’єктів оподаткування та об’єктів, пов’язаних з оподаткуванням, проводять диференціацію платників податків;</w:t>
      </w:r>
    </w:p>
    <w:p w14:paraId="7EAA98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 w:name="n8685"/>
      <w:bookmarkEnd w:id="1047"/>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.1.8. забезпечують достовірність та повноту обліку платників податків та платників єдиного внеску, суб’єктів зовнішньоекономічної діяльності, об’єктів оподаткування та об’єктів, пов’язаних з оподаткуванням;</w:t>
      </w:r>
    </w:p>
    <w:p w14:paraId="71B07B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 w:name="n8686"/>
      <w:bookmarkEnd w:id="104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.1.9. формують та ведуть Державний реєстр фізичних осіб - платників податків, Єдиний банк даних про платників податків - юридичних осіб, реєстри, ведення яких покладено законодавством на контролюючі органи;</w:t>
      </w:r>
    </w:p>
    <w:p w14:paraId="1A7100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 w:name="n13323"/>
      <w:bookmarkEnd w:id="104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формують та ведуть Реєстр отримувачів бюджетної дотації для розвитку сільськогосподарських товаровиробників та стимулювання виробництва сільськогосподарської продукції відповідно до </w:t>
      </w:r>
      <w:hyperlink r:id="rId645"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сільського господарства України;</w:t>
      </w:r>
    </w:p>
    <w:p w14:paraId="7C3881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 w:name="n13322"/>
      <w:bookmarkEnd w:id="1050"/>
      <w:r w:rsidRPr="008B264B">
        <w:rPr>
          <w:rFonts w:ascii="Times New Roman" w:eastAsia="Times New Roman" w:hAnsi="Times New Roman" w:cs="Times New Roman"/>
          <w:i/>
          <w:iCs/>
          <w:color w:val="000000"/>
          <w:sz w:val="24"/>
          <w:szCs w:val="24"/>
          <w:lang/>
        </w:rPr>
        <w:t>{Пункт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підпунктом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46" w:anchor="n1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ECDF5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 w:name="n8687"/>
      <w:bookmarkEnd w:id="105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.1.10. забезпечують ведення обліку податків, зборів, платежів;</w:t>
      </w:r>
    </w:p>
    <w:p w14:paraId="5E57D6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 w:name="n8688"/>
      <w:bookmarkEnd w:id="1052"/>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.1.11. забезпечують перегляд рішень контролюючих органів нижчого рівня у встановленому законодавством порядку;</w:t>
      </w:r>
    </w:p>
    <w:p w14:paraId="6AC62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 w:name="n8689"/>
      <w:bookmarkEnd w:id="1053"/>
      <w:r w:rsidRPr="008B264B">
        <w:rPr>
          <w:rFonts w:ascii="Times New Roman" w:eastAsia="Times New Roman" w:hAnsi="Times New Roman" w:cs="Times New Roman"/>
          <w:color w:val="000000"/>
          <w:sz w:val="24"/>
          <w:szCs w:val="24"/>
          <w:lang/>
        </w:rPr>
        <w:lastRenderedPageBreak/>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.1.12. вирішують відповідно до </w:t>
      </w:r>
      <w:hyperlink r:id="rId647"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 питання щодо реалізації компромісу;</w:t>
      </w:r>
    </w:p>
    <w:p w14:paraId="4F325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 w:name="n8690"/>
      <w:bookmarkEnd w:id="1054"/>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.1.13. здійснюють ліцензування діяльності суб’єктів господарювання з виробництва спирту, алкогольних напоїв і тютюнових виробів, оптової торгівлі спиртом, оптової та роздрібної торгівлі алкогольними напоями і тютюновими виробами та контроль за таким виробництвом;</w:t>
      </w:r>
    </w:p>
    <w:p w14:paraId="58AC3E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 w:name="n8691"/>
      <w:bookmarkEnd w:id="1055"/>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.1.14. здійснюють контроль у сфері виробництва, обігу та реалізації підакцизних товарів, контроль за їх цільовим використанням, забезпечують міжгалузеву координацію у цій сфері;</w:t>
      </w:r>
    </w:p>
    <w:p w14:paraId="62E6BE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 w:name="n8692"/>
      <w:bookmarkEnd w:id="105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.1.15. забезпечують контроль за прийняттям декларацій про максимальні роздрібні ціни на підакцизні товари (продукцію), встановлені виробником або імпортером, та узагальненням відомостей, зазначених у таких деклараціях, для організації роботи та контролю за повнотою обчислення і сплати акцизного податку;</w:t>
      </w:r>
    </w:p>
    <w:p w14:paraId="49167E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 w:name="n8693"/>
      <w:bookmarkEnd w:id="1057"/>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.1.16. здійснюють заходи щодо запобігання та виявлення порушень законодавства у сфері виробництва та обігу спирту, алкогольних напоїв і тютюнових виробів та пального;</w:t>
      </w:r>
    </w:p>
    <w:p w14:paraId="7F0F06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 w:name="n15241"/>
      <w:bookmarkEnd w:id="1058"/>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.1.16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48" w:anchor="n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E7A8C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 w:name="n8694"/>
      <w:bookmarkEnd w:id="105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.1.17. проводять роботу щодо боротьби з незаконним виробництвом, переміщенням, обігом спирту, алкогольних напоїв і тютюнових виробів та пального;</w:t>
      </w:r>
    </w:p>
    <w:p w14:paraId="3E6B6A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 w:name="n15242"/>
      <w:bookmarkEnd w:id="1060"/>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.1.17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49" w:anchor="n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9EEF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 w:name="n8695"/>
      <w:bookmarkEnd w:id="106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.1.18. організовують роботу, пов’язану із замовленням марок акцизного податку, їх зберіганням, продажем, відбором зразків, з метою проведення експертизи щодо їх автентичності та здійснюють контроль за наявністю таких марок на пляшках (упаковках) з алкогольними напоями і пачках (упаковках) тютюнових виробів під час їх транспортування, зберігання і реалізації;</w:t>
      </w:r>
    </w:p>
    <w:p w14:paraId="201C0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 w:name="n8696"/>
      <w:bookmarkEnd w:id="1062"/>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.1.19. забезпечують контроль за дотриманням суб’єктами господарювання, які провадять роздрібну торгівлю тютюновими виробами, вимог законодавства щодо максимальних роздрібних цін на тютюнові вироби, встановлених виробниками або імпортерами таких виробів;</w:t>
      </w:r>
    </w:p>
    <w:p w14:paraId="6EDAB5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 w:name="n8697"/>
      <w:bookmarkEnd w:id="106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.1.20. забезпечують контроль за дотриманням суб’єктами господарювання, які провадять оптову або роздрібну торгівлю алкогольними напоями, вимог законодавства щодо мінімальних оптово-відпускних або роздрібних цін на такі напої;</w:t>
      </w:r>
    </w:p>
    <w:p w14:paraId="5777A5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 w:name="n8698"/>
      <w:bookmarkEnd w:id="1064"/>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.1.21. організовують роботу та здійснюють контроль за застосуванням арешту майна платника податків, що має податковий борг, та/або зупинення видаткових операцій на його рахунках у банку;</w:t>
      </w:r>
    </w:p>
    <w:p w14:paraId="24256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 w:name="n8699"/>
      <w:bookmarkEnd w:id="1065"/>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.1.22. здійснюють погашення податкового боргу, стягнення своєчасно ненарахованих та/або несплачених сум єдиного внеску та інших платежів;</w:t>
      </w:r>
    </w:p>
    <w:p w14:paraId="493D7D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 w:name="n8700"/>
      <w:bookmarkEnd w:id="106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.1.23. організовують роботу з виявлення, обліку, зберігання, оцінки та розпорядження безхазяйним майном та іншим майном, що переходить у власність держави, а також з обліку, попередньої оцінки, зберігання майна, вилученого та конфіскованого за порушення митного і податкового законодавства;</w:t>
      </w:r>
    </w:p>
    <w:p w14:paraId="56FA4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 w:name="n8701"/>
      <w:bookmarkEnd w:id="1067"/>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.1.24. здійснюють відстрочення, розстрочення та реструктуризацію грошових зобов’язань та/або податкового боргу, недоїмки із сплати єдиного внеску, а також списання безнадійного податкового боргу;</w:t>
      </w:r>
    </w:p>
    <w:p w14:paraId="59E4BB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 w:name="n8702"/>
      <w:bookmarkEnd w:id="106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.1.25. розробляють та надають пропозиції щодо нормативно-правових актів з питань, що належать до компетенції контролюючих органів;</w:t>
      </w:r>
    </w:p>
    <w:p w14:paraId="36E70C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 w:name="n13561"/>
      <w:bookmarkEnd w:id="1069"/>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.1.25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50" w:anchor="n10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8DA3C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 w:name="n8703"/>
      <w:bookmarkEnd w:id="1070"/>
      <w:r w:rsidRPr="008B264B">
        <w:rPr>
          <w:rFonts w:ascii="Times New Roman" w:eastAsia="Times New Roman" w:hAnsi="Times New Roman" w:cs="Times New Roman"/>
          <w:i/>
          <w:iCs/>
          <w:color w:val="000000"/>
          <w:sz w:val="24"/>
          <w:szCs w:val="24"/>
          <w:lang/>
        </w:rPr>
        <w:lastRenderedPageBreak/>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.1.26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651" w:anchor="n1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75DE5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 w:name="n8704"/>
      <w:bookmarkEnd w:id="107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.1.27. забезпечують розвиток, впровадження та технічне супроводження інформаційно-телекомунікаційних систем і технологій, автоматизацію процедур, зокрема організацію впровадження електронних сервісів для суб’єктів господарювання контролюючими органами;</w:t>
      </w:r>
    </w:p>
    <w:p w14:paraId="784757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 w:name="n13609"/>
      <w:bookmarkEnd w:id="1072"/>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.1.27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52"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653"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3E54C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 w:name="n8705"/>
      <w:bookmarkEnd w:id="107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.1.28. надають індивідуальні податкові консультації, інформаційно-довідкові послуги з питань податкового та іншого законодавства, контроль за додержанням якого покладено на контролюючі органи;</w:t>
      </w:r>
    </w:p>
    <w:p w14:paraId="6EC00B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 w:name="n13563"/>
      <w:bookmarkEnd w:id="1074"/>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.1.28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54"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887C0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 w:name="n8706"/>
      <w:bookmarkEnd w:id="1075"/>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.1.29. забезпечують інформування громадськості про реалізацію державної податкової і митної політики;</w:t>
      </w:r>
    </w:p>
    <w:p w14:paraId="6AFA0C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 w:name="n8707"/>
      <w:bookmarkEnd w:id="107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.1.30. розробляють пропозиції до проектів міжнародних договорів України з питань оподаткування та забезпечують виконання укладених міжнародних договорів;</w:t>
      </w:r>
    </w:p>
    <w:p w14:paraId="15C104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 w:name="n8708"/>
      <w:bookmarkEnd w:id="1077"/>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.1.31. надають центральному органу виконавчої влади, що забезпечує формування та реалізує державну фінансову політику, узагальнену практику застосування законодавства з питань оподаткування, законодавства з питань сплати єдиного внеску;</w:t>
      </w:r>
    </w:p>
    <w:p w14:paraId="28E2C6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 w:name="n9470"/>
      <w:bookmarkEnd w:id="1078"/>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.1.31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Законів </w:t>
      </w:r>
      <w:hyperlink r:id="rId655" w:anchor="n1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656"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EEEB0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 w:name="n8709"/>
      <w:bookmarkEnd w:id="107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.1.32. організовують взаємодію та обмін інформацією з державними органами інших держав згідно із законодавством, міжнародними договорами України, здійснюють міжнародне співробітництво у податковій і митній сферах;</w:t>
      </w:r>
    </w:p>
    <w:p w14:paraId="45FAC8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 w:name="n8710"/>
      <w:bookmarkEnd w:id="1080"/>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.1.33. подають центральному органу виконавчої влади, що забезпечує формування та реалізує державну фінансову політику, та центральному органу виконавчої влади, що реалізує державну політику у сфері казначейського обслуговування бюджетних коштів, звіти та інформацію про надходження податків, зборів, платежів, контроль за справлянням яких покладено на контролюючі органи;</w:t>
      </w:r>
    </w:p>
    <w:p w14:paraId="40FA63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 w:name="n13403"/>
      <w:bookmarkEnd w:id="1081"/>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.1.33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5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0D611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 w:name="n8711"/>
      <w:bookmarkEnd w:id="1082"/>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.1.34. забезпечують визначення в установлених цим Кодексом, іншими законами України випадках сум податкових та грошових зобов’язань платників податків, застосування і своєчасне стягнення сум передбачених законом штрафних (фінансових) санкцій (штрафів) за порушення податкового, валютного та іншого законодавства, контроль за дотриманням якого покладено на контролюючі органи;</w:t>
      </w:r>
    </w:p>
    <w:p w14:paraId="0F6DB4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 w:name="n8712"/>
      <w:bookmarkEnd w:id="108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.1.35. вживають заходів до виявлення, аналізу та перевірки фінансових операцій, які можуть бути пов’язані з легалізацією (відмиванням) доходів, одержаних злочинним шляхом, або фінансуванням тероризму, щодо відповідності законодавству;</w:t>
      </w:r>
    </w:p>
    <w:p w14:paraId="7EBE32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 w:name="n8713"/>
      <w:bookmarkEnd w:id="1084"/>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.1.36. забезпечують іншим державним органам у встановлених законом випадках доступ до інформації з баз даних центрального органу виконавчої влади, що реалізує державну податкову і митну політику;</w:t>
      </w:r>
    </w:p>
    <w:p w14:paraId="61AC04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 w:name="n13564"/>
      <w:bookmarkEnd w:id="1085"/>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.1.36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58"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F3565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 w:name="n8714"/>
      <w:bookmarkEnd w:id="108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.1.37. здійснюють контроль та забезпечують надання допомоги у стягненні податкового боргу в міжнародних правовідносинах за запитами компетентних органів іноземних держав;</w:t>
      </w:r>
    </w:p>
    <w:p w14:paraId="5E860E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 w:name="n8715"/>
      <w:bookmarkEnd w:id="1087"/>
      <w:r w:rsidRPr="008B264B">
        <w:rPr>
          <w:rFonts w:ascii="Times New Roman" w:eastAsia="Times New Roman" w:hAnsi="Times New Roman" w:cs="Times New Roman"/>
          <w:color w:val="000000"/>
          <w:sz w:val="24"/>
          <w:szCs w:val="24"/>
          <w:lang/>
        </w:rPr>
        <w:lastRenderedPageBreak/>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.1.38. забезпечують стягнення сум простроченої заборгованості суб’єктів господарювання перед державою (Автономною Республікою Крим чи територіальною громадою міста) за кредитами (позиками), залученими державою (Автономною Республікою Крим чи територіальною громадою міста) або під державні (місцеві) гарантії, а також за кредитами із бюджету в порядку, визначеному цим Кодексом та іншими законами України;</w:t>
      </w:r>
    </w:p>
    <w:p w14:paraId="57EAA9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 w:name="n8716"/>
      <w:bookmarkEnd w:id="108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.1.39. здійснюють відомчий контроль та внутрішній аудит за додержанням вимог законодавства і виконанням службових обов’язків у контролюючих органах, на підприємствах, в установах, організаціях, що належать до сфери їх управління;</w:t>
      </w:r>
    </w:p>
    <w:p w14:paraId="607263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 w:name="n8717"/>
      <w:bookmarkEnd w:id="108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.1.40. організовують збір податкової інформації та вносять її до інформаційних баз даних центрального органу виконавчої влади, що реалізує державну податкову та митну політику;</w:t>
      </w:r>
    </w:p>
    <w:p w14:paraId="1F661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 w:name="n13565"/>
      <w:bookmarkEnd w:id="1090"/>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.1.40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59"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E281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 w:name="n8718"/>
      <w:bookmarkEnd w:id="109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.1.41. організовує інформаційно-аналітичне забезпечення та організовує автоматизацію процесів адміністрування контролюючими органами;</w:t>
      </w:r>
    </w:p>
    <w:p w14:paraId="71A1AD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 w:name="n13566"/>
      <w:bookmarkEnd w:id="1092"/>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.1.41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60"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94E0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 w:name="n8719"/>
      <w:bookmarkEnd w:id="109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.1.42. погоджують рішення Національної комісії з цінних паперів та фондового ринку щодо встановлення ознак фіктивності емітента цінних паперів, а також щодо встановлення порядку визначення емітента цінних паперів таким, що відповідає ознакам фіктивності;</w:t>
      </w:r>
    </w:p>
    <w:p w14:paraId="04857C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 w:name="n8720"/>
      <w:bookmarkEnd w:id="1094"/>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.1.43. здійснюють моніторинг виконання показників розрахунків з бюджетом та державними цільовими фондами, затверджених фінансовими планами державних підприємств, господарських організацій, у статутному капіталі яких є корпоративні права, що належать державі, їхніми дочірніми підприємствами;</w:t>
      </w:r>
    </w:p>
    <w:p w14:paraId="1009E2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 w:name="n13567"/>
      <w:bookmarkEnd w:id="1095"/>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.1.43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61"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482D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 w:name="n8721"/>
      <w:bookmarkEnd w:id="109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.1.44. надають кваліфіковані електронні довірчі послуги (як відокремлені пункти реєстрації кваліфікованого надавача електронних довірчих послуг центрального органу виконавчої влади, що реалізує державну податкову і митну політику);</w:t>
      </w:r>
    </w:p>
    <w:p w14:paraId="7A0C40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 w:name="n15790"/>
      <w:bookmarkEnd w:id="1097"/>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.1.44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62" w:anchor="n10"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31255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 w:name="n8722"/>
      <w:bookmarkEnd w:id="109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.1.45. звертаються до суду у випадках, передбачених законодавством;</w:t>
      </w:r>
    </w:p>
    <w:p w14:paraId="317525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 w:name="n8723"/>
      <w:bookmarkEnd w:id="109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.1.46. використовують під час виконання своїх посадових (службових) обов’язків податкову інформацію з інформаційно-телекомунікаційних систем та інших джерел, отриману в порядку та спосіб, визначений цим Кодексом;</w:t>
      </w:r>
    </w:p>
    <w:p w14:paraId="7639ED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 w:name="n13568"/>
      <w:bookmarkEnd w:id="1100"/>
      <w:r w:rsidRPr="008B264B">
        <w:rPr>
          <w:rFonts w:ascii="Times New Roman" w:eastAsia="Times New Roman" w:hAnsi="Times New Roman" w:cs="Times New Roman"/>
          <w:i/>
          <w:iCs/>
          <w:color w:val="000000"/>
          <w:sz w:val="24"/>
          <w:szCs w:val="24"/>
          <w:lang/>
        </w:rPr>
        <w:t>{Підпункт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.1.46 пункту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663" w:anchor="n1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6737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 w:name="n13570"/>
      <w:bookmarkEnd w:id="110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.1.47. надають консультації платникам податків щодо користування інформаційно-телекомунікаційними системами під час сплати податків, зборів;</w:t>
      </w:r>
    </w:p>
    <w:p w14:paraId="3DB748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2" w:name="n13572"/>
      <w:bookmarkEnd w:id="1102"/>
      <w:r w:rsidRPr="008B264B">
        <w:rPr>
          <w:rFonts w:ascii="Times New Roman" w:eastAsia="Times New Roman" w:hAnsi="Times New Roman" w:cs="Times New Roman"/>
          <w:i/>
          <w:iCs/>
          <w:color w:val="000000"/>
          <w:sz w:val="24"/>
          <w:szCs w:val="24"/>
          <w:lang/>
        </w:rPr>
        <w:t>{Пункт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підпунктом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.1.47 згідно із Законом </w:t>
      </w:r>
      <w:hyperlink r:id="rId664" w:anchor="n1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75CB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3" w:name="n13571"/>
      <w:bookmarkEnd w:id="110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.1.48. здійснюють інші функції, визначені законом.</w:t>
      </w:r>
    </w:p>
    <w:p w14:paraId="310E81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4" w:name="n13569"/>
      <w:bookmarkEnd w:id="1104"/>
      <w:r w:rsidRPr="008B264B">
        <w:rPr>
          <w:rFonts w:ascii="Times New Roman" w:eastAsia="Times New Roman" w:hAnsi="Times New Roman" w:cs="Times New Roman"/>
          <w:i/>
          <w:iCs/>
          <w:color w:val="000000"/>
          <w:sz w:val="24"/>
          <w:szCs w:val="24"/>
          <w:lang/>
        </w:rPr>
        <w:t>{Пункт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підпунктом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.1.48 згідно із Законом </w:t>
      </w:r>
      <w:hyperlink r:id="rId665" w:anchor="n1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4932A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5" w:name="n871"/>
      <w:bookmarkEnd w:id="1105"/>
      <w:r w:rsidRPr="008B264B">
        <w:rPr>
          <w:rFonts w:ascii="Times New Roman" w:eastAsia="Times New Roman" w:hAnsi="Times New Roman" w:cs="Times New Roman"/>
          <w:i/>
          <w:iCs/>
          <w:color w:val="000000"/>
          <w:sz w:val="24"/>
          <w:szCs w:val="24"/>
          <w:lang/>
        </w:rPr>
        <w:t>{Кодекс доповнено статтею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66" w:anchor="n1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67"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Закону </w:t>
      </w:r>
      <w:hyperlink r:id="rId668" w:anchor="n1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CDB65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6" w:name="n13574"/>
      <w:bookmarkEnd w:id="1106"/>
      <w:r w:rsidRPr="008B264B">
        <w:rPr>
          <w:rFonts w:ascii="Times New Roman" w:eastAsia="Times New Roman" w:hAnsi="Times New Roman" w:cs="Times New Roman"/>
          <w:b/>
          <w:bCs/>
          <w:color w:val="000000"/>
          <w:sz w:val="24"/>
          <w:szCs w:val="24"/>
          <w:lang/>
        </w:rPr>
        <w:t>Стаття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Функції центрального органу виконавчої влади, що забезпечує формування та реалізує державну фінансову політику, в частині забезпечення формування та реалізації податкової та митної політики</w:t>
      </w:r>
    </w:p>
    <w:p w14:paraId="37D7C5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7" w:name="n13575"/>
      <w:bookmarkEnd w:id="1107"/>
      <w:r w:rsidRPr="008B264B">
        <w:rPr>
          <w:rFonts w:ascii="Times New Roman" w:eastAsia="Times New Roman" w:hAnsi="Times New Roman" w:cs="Times New Roman"/>
          <w:color w:val="000000"/>
          <w:sz w:val="24"/>
          <w:szCs w:val="24"/>
          <w:lang/>
        </w:rPr>
        <w:lastRenderedPageBreak/>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 Центральний орган виконавчої влади, що забезпечує формування та реалізує державну фінансову політику, в частині забезпечення формування та реалізації податкової та митної політики виконує такі функції:</w:t>
      </w:r>
    </w:p>
    <w:p w14:paraId="6BBE00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8" w:name="n13576"/>
      <w:bookmarkEnd w:id="110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.1.1. здійснює координацію діяльності контролюючих органів;</w:t>
      </w:r>
    </w:p>
    <w:p w14:paraId="731D6C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9" w:name="n13577"/>
      <w:bookmarkEnd w:id="110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.1.2. затверджує нормативно-правові акти з питань, що належать до компетенції контролюючих органів;</w:t>
      </w:r>
    </w:p>
    <w:p w14:paraId="4ACBB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0" w:name="n13578"/>
      <w:bookmarkEnd w:id="1110"/>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.1.3. прогнозує, аналізує надходження податків, зборів, платежів, визначених Податковим та </w:t>
      </w:r>
      <w:hyperlink r:id="rId669" w:tgtFrame="_blank" w:history="1">
        <w:r w:rsidRPr="008B264B">
          <w:rPr>
            <w:rFonts w:ascii="Times New Roman" w:eastAsia="Times New Roman" w:hAnsi="Times New Roman" w:cs="Times New Roman"/>
            <w:color w:val="0000FF"/>
            <w:sz w:val="24"/>
            <w:szCs w:val="24"/>
            <w:u w:val="single"/>
            <w:lang/>
          </w:rPr>
          <w:t>Митним</w:t>
        </w:r>
      </w:hyperlink>
      <w:r w:rsidRPr="008B264B">
        <w:rPr>
          <w:rFonts w:ascii="Times New Roman" w:eastAsia="Times New Roman" w:hAnsi="Times New Roman" w:cs="Times New Roman"/>
          <w:color w:val="000000"/>
          <w:sz w:val="24"/>
          <w:szCs w:val="24"/>
          <w:lang/>
        </w:rPr>
        <w:t> кодексами України, </w:t>
      </w:r>
      <w:hyperlink r:id="rId67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збір та облік єдиного внеску на загальнообов’язкове державне соціальне страхування", джерела податкових надходжень, вивчає вплив макроекономічних показників, законодавства, угод про вступ до міжнародних організацій, інших міжнародних договорів України на надходження податків, зборів, платежів, надає пропозиції щодо збільшення їх обсягу та зменшення втрат бюджету;</w:t>
      </w:r>
    </w:p>
    <w:p w14:paraId="058A2A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1" w:name="n13579"/>
      <w:bookmarkEnd w:id="1111"/>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.1.4. узагальнює практику застосування законодавства з питань оподаткування, законодавства з питань сплати єдиного внеску, розробляє проекти нормативно-правових актів;</w:t>
      </w:r>
    </w:p>
    <w:p w14:paraId="2087F4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2" w:name="n13580"/>
      <w:bookmarkEnd w:id="1112"/>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.1.5. видає узагальнюючі податкові консультації відповідно до цього Кодексу;</w:t>
      </w:r>
    </w:p>
    <w:p w14:paraId="1AAF13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3" w:name="n13581"/>
      <w:bookmarkEnd w:id="1113"/>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.1.6. виконує інші функції, передбачені законом.</w:t>
      </w:r>
    </w:p>
    <w:p w14:paraId="498355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4" w:name="n13588"/>
      <w:bookmarkEnd w:id="1114"/>
      <w:r w:rsidRPr="008B264B">
        <w:rPr>
          <w:rFonts w:ascii="Times New Roman" w:eastAsia="Times New Roman" w:hAnsi="Times New Roman" w:cs="Times New Roman"/>
          <w:i/>
          <w:iCs/>
          <w:color w:val="000000"/>
          <w:sz w:val="24"/>
          <w:szCs w:val="24"/>
          <w:lang/>
        </w:rPr>
        <w:t>{Кодекс доповнено статтею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671" w:anchor="n1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E7C66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5" w:name="n13582"/>
      <w:bookmarkEnd w:id="1115"/>
      <w:r w:rsidRPr="008B264B">
        <w:rPr>
          <w:rFonts w:ascii="Times New Roman" w:eastAsia="Times New Roman" w:hAnsi="Times New Roman" w:cs="Times New Roman"/>
          <w:b/>
          <w:bCs/>
          <w:color w:val="000000"/>
          <w:sz w:val="24"/>
          <w:szCs w:val="24"/>
          <w:lang/>
        </w:rPr>
        <w:t>Стаття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Функції державних податкових інспекцій</w:t>
      </w:r>
    </w:p>
    <w:p w14:paraId="156BD9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6" w:name="n13583"/>
      <w:bookmarkEnd w:id="1116"/>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.1. Державні податкові інспекції:</w:t>
      </w:r>
    </w:p>
    <w:p w14:paraId="65906A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7" w:name="n13584"/>
      <w:bookmarkEnd w:id="1117"/>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.1.1. здійснюють сервісне обслуговування платників податків;</w:t>
      </w:r>
    </w:p>
    <w:p w14:paraId="704F3A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8" w:name="n13585"/>
      <w:bookmarkEnd w:id="1118"/>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.1.2. здійснюють реєстрацію та ведення обліку платників податків та платників єдиного внеску, об’єктів оподаткування та об’єктів, пов’язаних з оподаткуванням;</w:t>
      </w:r>
    </w:p>
    <w:p w14:paraId="2A8514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19" w:name="n13586"/>
      <w:bookmarkEnd w:id="1119"/>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.1.3. формують та ведуть Державний реєстр фізичних осіб - платників податків, Єдиний банк даних про платників податків - юридичних осіб, реєстри, ведення яких покладено законодавством на контролюючі органи;</w:t>
      </w:r>
    </w:p>
    <w:p w14:paraId="4E741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0" w:name="n13587"/>
      <w:bookmarkEnd w:id="1120"/>
      <w:r w:rsidRPr="008B264B">
        <w:rPr>
          <w:rFonts w:ascii="Times New Roman" w:eastAsia="Times New Roman" w:hAnsi="Times New Roman" w:cs="Times New Roman"/>
          <w:color w:val="000000"/>
          <w:sz w:val="24"/>
          <w:szCs w:val="24"/>
          <w:lang/>
        </w:rPr>
        <w:t>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.1.4. виконують інші функції сервісного обслуговування платників податків, визначені законом.</w:t>
      </w:r>
    </w:p>
    <w:p w14:paraId="5798E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1" w:name="n13573"/>
      <w:bookmarkEnd w:id="1121"/>
      <w:r w:rsidRPr="008B264B">
        <w:rPr>
          <w:rFonts w:ascii="Times New Roman" w:eastAsia="Times New Roman" w:hAnsi="Times New Roman" w:cs="Times New Roman"/>
          <w:i/>
          <w:iCs/>
          <w:color w:val="000000"/>
          <w:sz w:val="24"/>
          <w:szCs w:val="24"/>
          <w:lang/>
        </w:rPr>
        <w:t>{Кодекс доповнено статтею 19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i/>
          <w:iCs/>
          <w:color w:val="000000"/>
          <w:sz w:val="24"/>
          <w:szCs w:val="24"/>
          <w:lang/>
        </w:rPr>
        <w:t> згідно із Законом </w:t>
      </w:r>
      <w:hyperlink r:id="rId672" w:anchor="n1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EF786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2" w:name="n872"/>
      <w:bookmarkEnd w:id="1122"/>
      <w:r w:rsidRPr="008B264B">
        <w:rPr>
          <w:rFonts w:ascii="Times New Roman" w:eastAsia="Times New Roman" w:hAnsi="Times New Roman" w:cs="Times New Roman"/>
          <w:b/>
          <w:bCs/>
          <w:color w:val="000000"/>
          <w:sz w:val="24"/>
          <w:szCs w:val="24"/>
          <w:lang/>
        </w:rPr>
        <w:t>Стаття 20.</w:t>
      </w:r>
      <w:r w:rsidRPr="008B264B">
        <w:rPr>
          <w:rFonts w:ascii="Times New Roman" w:eastAsia="Times New Roman" w:hAnsi="Times New Roman" w:cs="Times New Roman"/>
          <w:color w:val="000000"/>
          <w:sz w:val="24"/>
          <w:szCs w:val="24"/>
          <w:lang/>
        </w:rPr>
        <w:t> Права контролюючих органів</w:t>
      </w:r>
    </w:p>
    <w:p w14:paraId="18ED05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3" w:name="n8727"/>
      <w:bookmarkEnd w:id="1123"/>
      <w:r w:rsidRPr="008B264B">
        <w:rPr>
          <w:rFonts w:ascii="Times New Roman" w:eastAsia="Times New Roman" w:hAnsi="Times New Roman" w:cs="Times New Roman"/>
          <w:color w:val="000000"/>
          <w:sz w:val="24"/>
          <w:szCs w:val="24"/>
          <w:lang/>
        </w:rPr>
        <w:t>20.1. Контролюючі органи мають право:</w:t>
      </w:r>
    </w:p>
    <w:p w14:paraId="57F3FE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4" w:name="n8728"/>
      <w:bookmarkEnd w:id="1124"/>
      <w:r w:rsidRPr="008B264B">
        <w:rPr>
          <w:rFonts w:ascii="Times New Roman" w:eastAsia="Times New Roman" w:hAnsi="Times New Roman" w:cs="Times New Roman"/>
          <w:color w:val="000000"/>
          <w:sz w:val="24"/>
          <w:szCs w:val="24"/>
          <w:lang/>
        </w:rPr>
        <w:t>20.1.1. запрошувати платників податків, зборів, платежів або їхніх представників для перевірки правильності нарахування та своєчасності сплати податків, зборів, платежів, дотримання вимог законодавства з інших питань, у тому числі законодавства у сфері запобігання та протидії легалізації (відмиванню) доходів, одержаних злочинним шляхом, або фінансуванню тероризму, контроль за додержанням якого покладено на контролюючі органи. Письмові повідомлення про такі запрошення надсилаються в порядку, встановленому </w:t>
      </w:r>
      <w:hyperlink r:id="rId673"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 не пізніше ніж за 10 календарних днів до дня запрошення, в яких зазначаються підстави запрошення, дата і час, на які запрошується платник податків (представник платника податків);</w:t>
      </w:r>
    </w:p>
    <w:p w14:paraId="467491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5" w:name="n13589"/>
      <w:bookmarkEnd w:id="1125"/>
      <w:r w:rsidRPr="008B264B">
        <w:rPr>
          <w:rFonts w:ascii="Times New Roman" w:eastAsia="Times New Roman" w:hAnsi="Times New Roman" w:cs="Times New Roman"/>
          <w:i/>
          <w:iCs/>
          <w:color w:val="000000"/>
          <w:sz w:val="24"/>
          <w:szCs w:val="24"/>
          <w:lang/>
        </w:rPr>
        <w:t>{Підпункт 20.1.1 пункту 20.1 статті 20 в редакції Закону </w:t>
      </w:r>
      <w:hyperlink r:id="rId674" w:anchor="n1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000A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6" w:name="n8729"/>
      <w:bookmarkEnd w:id="1126"/>
      <w:r w:rsidRPr="008B264B">
        <w:rPr>
          <w:rFonts w:ascii="Times New Roman" w:eastAsia="Times New Roman" w:hAnsi="Times New Roman" w:cs="Times New Roman"/>
          <w:color w:val="000000"/>
          <w:sz w:val="24"/>
          <w:szCs w:val="24"/>
          <w:lang/>
        </w:rPr>
        <w:t xml:space="preserve">20.1.2. для здійснення функцій, визначених законом, отримувати безоплатно від платників податків, у тому числі благодійних та інших неприбуткових організацій, усіх форм власності у порядку, визначеному законодавством, довідки, копії документів, засвідчені підписом платника або його посадовою особою та скріплені печаткою (за наявності), про фінансово-господарську діяльність, отримані доходи, видатки платників податків та іншу інформацію, пов’язану з </w:t>
      </w:r>
      <w:r w:rsidRPr="008B264B">
        <w:rPr>
          <w:rFonts w:ascii="Times New Roman" w:eastAsia="Times New Roman" w:hAnsi="Times New Roman" w:cs="Times New Roman"/>
          <w:color w:val="000000"/>
          <w:sz w:val="24"/>
          <w:szCs w:val="24"/>
          <w:lang/>
        </w:rPr>
        <w:lastRenderedPageBreak/>
        <w:t>обчисленням та сплатою податків, зборів, платежів, про дотримання вимог законодавства, здійснення контролю за яким покладено на контролюючі органи, а також фінансову і статистичну звітність у порядку та на підставах, визначених законом;</w:t>
      </w:r>
    </w:p>
    <w:p w14:paraId="79AD8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7" w:name="n8730"/>
      <w:bookmarkEnd w:id="1127"/>
      <w:r w:rsidRPr="008B264B">
        <w:rPr>
          <w:rFonts w:ascii="Times New Roman" w:eastAsia="Times New Roman" w:hAnsi="Times New Roman" w:cs="Times New Roman"/>
          <w:color w:val="000000"/>
          <w:sz w:val="24"/>
          <w:szCs w:val="24"/>
          <w:lang/>
        </w:rPr>
        <w:t>20.1.3. отримувати безоплатно від державних органів, органів місцевого самоврядування, підприємств, установ та організацій усіх форм власності та їх посадових осіб, у тому числі від органів, які забезпечують ведення відповідних державних реєстрів (кадастрів), інформацію, документи і матеріали;</w:t>
      </w:r>
    </w:p>
    <w:p w14:paraId="124C82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8" w:name="n8731"/>
      <w:bookmarkEnd w:id="1128"/>
      <w:r w:rsidRPr="008B264B">
        <w:rPr>
          <w:rFonts w:ascii="Times New Roman" w:eastAsia="Times New Roman" w:hAnsi="Times New Roman" w:cs="Times New Roman"/>
          <w:color w:val="000000"/>
          <w:sz w:val="24"/>
          <w:szCs w:val="24"/>
          <w:lang/>
        </w:rPr>
        <w:t>20.1.4. проводити відповідно до законодавства перевірки і звірки платників податків (крім Національного банку України), у тому числі після проведення процедур митного контролю та/або митного оформлення;</w:t>
      </w:r>
    </w:p>
    <w:p w14:paraId="1C43C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29" w:name="n8732"/>
      <w:bookmarkEnd w:id="1129"/>
      <w:r w:rsidRPr="008B264B">
        <w:rPr>
          <w:rFonts w:ascii="Times New Roman" w:eastAsia="Times New Roman" w:hAnsi="Times New Roman" w:cs="Times New Roman"/>
          <w:color w:val="000000"/>
          <w:sz w:val="24"/>
          <w:szCs w:val="24"/>
          <w:lang/>
        </w:rPr>
        <w:t>20.1.5. отримувати безоплатно від платників податків, а також від установ Національного банку України, банків та інших фінансових установ довідки у порядку, встановленому </w:t>
      </w:r>
      <w:hyperlink r:id="rId675" w:tgtFrame="_blank" w:history="1">
        <w:r w:rsidRPr="008B264B">
          <w:rPr>
            <w:rFonts w:ascii="Times New Roman" w:eastAsia="Times New Roman" w:hAnsi="Times New Roman" w:cs="Times New Roman"/>
            <w:color w:val="0000FF"/>
            <w:sz w:val="24"/>
            <w:szCs w:val="24"/>
            <w:u w:val="single"/>
            <w:lang/>
          </w:rPr>
          <w:t>Законом України "Про банки і банківську діяльність"</w:t>
        </w:r>
      </w:hyperlink>
      <w:r w:rsidRPr="008B264B">
        <w:rPr>
          <w:rFonts w:ascii="Times New Roman" w:eastAsia="Times New Roman" w:hAnsi="Times New Roman" w:cs="Times New Roman"/>
          <w:color w:val="000000"/>
          <w:sz w:val="24"/>
          <w:szCs w:val="24"/>
          <w:lang/>
        </w:rPr>
        <w:t> та цим Кодексом, довідки та/або копії документів про наявність банківських рахунків, а на підставі рішення суду - інформацію про обсяг та обіг коштів на рахунках, у тому числі про ненадходження в установлені строки валютної виручки від суб’єктів господарювання, інформацію про договори боржника про зберігання цінностей або надання боржнику в майновий найм (оренду) індивідуального банківського сейфа, що охороняється банком;</w:t>
      </w:r>
    </w:p>
    <w:p w14:paraId="6F147B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0" w:name="n13590"/>
      <w:bookmarkEnd w:id="1130"/>
      <w:r w:rsidRPr="008B264B">
        <w:rPr>
          <w:rFonts w:ascii="Times New Roman" w:eastAsia="Times New Roman" w:hAnsi="Times New Roman" w:cs="Times New Roman"/>
          <w:i/>
          <w:iCs/>
          <w:color w:val="000000"/>
          <w:sz w:val="24"/>
          <w:szCs w:val="24"/>
          <w:lang/>
        </w:rPr>
        <w:t>{Підпункт 20.1.5 пункту 20.1 статті 20 із змінами, внесеними згідно із Законом </w:t>
      </w:r>
      <w:hyperlink r:id="rId676" w:anchor="n13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D517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1" w:name="n8733"/>
      <w:bookmarkEnd w:id="1131"/>
      <w:r w:rsidRPr="008B264B">
        <w:rPr>
          <w:rFonts w:ascii="Times New Roman" w:eastAsia="Times New Roman" w:hAnsi="Times New Roman" w:cs="Times New Roman"/>
          <w:color w:val="000000"/>
          <w:sz w:val="24"/>
          <w:szCs w:val="24"/>
          <w:lang/>
        </w:rPr>
        <w:t>20.1.6. запитувати та вивчати під час проведення перевірок первинні документи, що використовуються в бухгалтерському обліку, регістри, фінансову, статистичну та іншу звітність, пов’язану з обчисленням і сплатою податків, зборів, платежів, виконанням вимог законодавства, контроль за додержанням якого покладено на контролюючі органи;</w:t>
      </w:r>
    </w:p>
    <w:p w14:paraId="2CE63D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2" w:name="n8734"/>
      <w:bookmarkEnd w:id="1132"/>
      <w:r w:rsidRPr="008B264B">
        <w:rPr>
          <w:rFonts w:ascii="Times New Roman" w:eastAsia="Times New Roman" w:hAnsi="Times New Roman" w:cs="Times New Roman"/>
          <w:color w:val="000000"/>
          <w:sz w:val="24"/>
          <w:szCs w:val="24"/>
          <w:lang/>
        </w:rPr>
        <w:t>20.1.7. отримувати від платників податків, платників єдиного внеску та надавати у межах, передбачених законом, документи в електронному вигляді;</w:t>
      </w:r>
    </w:p>
    <w:p w14:paraId="17C904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3" w:name="n8735"/>
      <w:bookmarkEnd w:id="1133"/>
      <w:r w:rsidRPr="008B264B">
        <w:rPr>
          <w:rFonts w:ascii="Times New Roman" w:eastAsia="Times New Roman" w:hAnsi="Times New Roman" w:cs="Times New Roman"/>
          <w:color w:val="000000"/>
          <w:sz w:val="24"/>
          <w:szCs w:val="24"/>
          <w:lang/>
        </w:rPr>
        <w:t>20.1.8. під час проведення перевірок у платників податків - фізичних осіб, а також у посадових осіб платників податків - юридичних осіб та платників єдиного внеску перевіряти документи, що посвідчують особу, а також документи, що підтверджують посаду посадових осіб та/або осіб, які фактично здійснюють розрахункові операції;</w:t>
      </w:r>
    </w:p>
    <w:p w14:paraId="15B27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4" w:name="n8736"/>
      <w:bookmarkEnd w:id="1134"/>
      <w:r w:rsidRPr="008B264B">
        <w:rPr>
          <w:rFonts w:ascii="Times New Roman" w:eastAsia="Times New Roman" w:hAnsi="Times New Roman" w:cs="Times New Roman"/>
          <w:color w:val="000000"/>
          <w:sz w:val="24"/>
          <w:szCs w:val="24"/>
          <w:lang/>
        </w:rPr>
        <w:t>20.1.9. вимагати під час проведення перевірок від платників податків, що перевіряються, проведення інвентаризації основних засобів, товарно-матеріальних цінностей, коштів, зняття залишків товарно-матеріальних цінностей, готівки;</w:t>
      </w:r>
    </w:p>
    <w:p w14:paraId="7BBB3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5" w:name="n13591"/>
      <w:bookmarkEnd w:id="1135"/>
      <w:r w:rsidRPr="008B264B">
        <w:rPr>
          <w:rFonts w:ascii="Times New Roman" w:eastAsia="Times New Roman" w:hAnsi="Times New Roman" w:cs="Times New Roman"/>
          <w:i/>
          <w:iCs/>
          <w:color w:val="000000"/>
          <w:sz w:val="24"/>
          <w:szCs w:val="24"/>
          <w:lang/>
        </w:rPr>
        <w:t>{Підпункт 20.1.9 пункту 20.1 статті 20 в редакції Закону </w:t>
      </w:r>
      <w:hyperlink r:id="rId677" w:anchor="n1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88AD5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6" w:name="n8737"/>
      <w:bookmarkEnd w:id="1136"/>
      <w:r w:rsidRPr="008B264B">
        <w:rPr>
          <w:rFonts w:ascii="Times New Roman" w:eastAsia="Times New Roman" w:hAnsi="Times New Roman" w:cs="Times New Roman"/>
          <w:color w:val="000000"/>
          <w:sz w:val="24"/>
          <w:szCs w:val="24"/>
          <w:lang/>
        </w:rPr>
        <w:t>20.1.10. здійснювати контроль за додержанням законодавства з питань регулювання обігу готівки (крім банків), порядку проведення готівкових розрахунків за товари (послуги), за наявністю ліцензій на провадження видів господарської діяльності, що підлягають ліцензуванню відповідно до закону, торгових патентів, за додержанням порядку приймання готівки для подальшого переказу (крім приймання готівки банками), за дотриманням суб’єктами господарювання установлених законодавством обов’язкових вимог щодо забезпечення можливості розрахунків за товари (послуги) з використанням електронних платіжних засобів;</w:t>
      </w:r>
    </w:p>
    <w:p w14:paraId="61209E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7" w:name="n8738"/>
      <w:bookmarkEnd w:id="1137"/>
      <w:r w:rsidRPr="008B264B">
        <w:rPr>
          <w:rFonts w:ascii="Times New Roman" w:eastAsia="Times New Roman" w:hAnsi="Times New Roman" w:cs="Times New Roman"/>
          <w:color w:val="000000"/>
          <w:sz w:val="24"/>
          <w:szCs w:val="24"/>
          <w:lang/>
        </w:rPr>
        <w:t>20.1.11. проводити контрольні розрахункові операції до початку перевірки платника податків щодо дотримання ним порядку проведення готівкових розрахунків та застосування реєстраторів розрахункових операцій. Товари, отримані службовими (посадовими) особами контролюючих органів під час проведення контрольної розрахункової операції, підлягають поверненню платнику податків у непошкодженому вигляді. У разі неможливості повернення такого товару відшкодування витрат здійснюється відповідно до законодавства з питань захисту прав споживачів;</w:t>
      </w:r>
    </w:p>
    <w:p w14:paraId="3B7F93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8" w:name="n8739"/>
      <w:bookmarkEnd w:id="1138"/>
      <w:r w:rsidRPr="008B264B">
        <w:rPr>
          <w:rFonts w:ascii="Times New Roman" w:eastAsia="Times New Roman" w:hAnsi="Times New Roman" w:cs="Times New Roman"/>
          <w:color w:val="000000"/>
          <w:sz w:val="24"/>
          <w:szCs w:val="24"/>
          <w:lang/>
        </w:rPr>
        <w:lastRenderedPageBreak/>
        <w:t>20.1.12. вимагати під час проведення перевірок від посадових або службових осіб платника податків залучення повноважних осіб для спільного з працівниками контролюючого органу зняття показань внутрішніх та зовнішніх лічильників, якими обладнані технічні пристрої, що використовуються у процесі провадження діяльності, що перевіряється;</w:t>
      </w:r>
    </w:p>
    <w:p w14:paraId="28569F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39" w:name="n8740"/>
      <w:bookmarkEnd w:id="1139"/>
      <w:r w:rsidRPr="008B264B">
        <w:rPr>
          <w:rFonts w:ascii="Times New Roman" w:eastAsia="Times New Roman" w:hAnsi="Times New Roman" w:cs="Times New Roman"/>
          <w:color w:val="000000"/>
          <w:sz w:val="24"/>
          <w:szCs w:val="24"/>
          <w:lang/>
        </w:rPr>
        <w:t>20.1.13. доступу під час проведення перевірок до територій, приміщень (крім житла громадян) та іншого майна, що використовуються для провадження господарської діяльності та/або є об’єктами оподаткування, або використовуються для отримання доходів (прибутку), або пов’язані з іншими об’єктами оподаткування та/або можуть бути джерелом погашення податкового боргу;</w:t>
      </w:r>
    </w:p>
    <w:p w14:paraId="1E2665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0" w:name="n8741"/>
      <w:bookmarkEnd w:id="1140"/>
      <w:r w:rsidRPr="008B264B">
        <w:rPr>
          <w:rFonts w:ascii="Times New Roman" w:eastAsia="Times New Roman" w:hAnsi="Times New Roman" w:cs="Times New Roman"/>
          <w:color w:val="000000"/>
          <w:sz w:val="24"/>
          <w:szCs w:val="24"/>
          <w:lang/>
        </w:rPr>
        <w:t>20.1.14. у разі виявлення порушення вимог податкового чи іншого законодавства України, контроль за дотриманням якого покладено на контролюючі органи, надсилати платникам податків письмові запити щодо надання засвідчених належним чином копій документів;</w:t>
      </w:r>
    </w:p>
    <w:p w14:paraId="420D26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1" w:name="n8742"/>
      <w:bookmarkEnd w:id="1141"/>
      <w:r w:rsidRPr="008B264B">
        <w:rPr>
          <w:rFonts w:ascii="Times New Roman" w:eastAsia="Times New Roman" w:hAnsi="Times New Roman" w:cs="Times New Roman"/>
          <w:color w:val="000000"/>
          <w:sz w:val="24"/>
          <w:szCs w:val="24"/>
          <w:lang/>
        </w:rPr>
        <w:t>20.1.15. вимагати під час проведення перевірок від керівників та інших посадових осіб підприємств, установ та організацій, а також фізичних осіб - підприємців та фізичних осіб, які провадять незалежну професійну діяльність, усунення виявлених порушень законодавства;</w:t>
      </w:r>
    </w:p>
    <w:p w14:paraId="0D8F3B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2" w:name="n8743"/>
      <w:bookmarkEnd w:id="1142"/>
      <w:r w:rsidRPr="008B264B">
        <w:rPr>
          <w:rFonts w:ascii="Times New Roman" w:eastAsia="Times New Roman" w:hAnsi="Times New Roman" w:cs="Times New Roman"/>
          <w:color w:val="000000"/>
          <w:sz w:val="24"/>
          <w:szCs w:val="24"/>
          <w:lang/>
        </w:rPr>
        <w:t>20.1.16. користуватися у службових справах засобами зв’язку, що належать платникам податків, з їх дозволу або з дозволу посадових осіб таких платників;</w:t>
      </w:r>
    </w:p>
    <w:p w14:paraId="4ADAA3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3" w:name="n8744"/>
      <w:bookmarkEnd w:id="1143"/>
      <w:r w:rsidRPr="008B264B">
        <w:rPr>
          <w:rFonts w:ascii="Times New Roman" w:eastAsia="Times New Roman" w:hAnsi="Times New Roman" w:cs="Times New Roman"/>
          <w:color w:val="000000"/>
          <w:sz w:val="24"/>
          <w:szCs w:val="24"/>
          <w:lang/>
        </w:rPr>
        <w:t>20.1.17. залучати у разі потреби фахівців, експертів та перекладачів, застосовувати під час виконання податковим керуючим повноважень, визначених цим Кодексом, фотозйомку та відеозапис;</w:t>
      </w:r>
    </w:p>
    <w:p w14:paraId="40D126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4" w:name="n13592"/>
      <w:bookmarkEnd w:id="1144"/>
      <w:r w:rsidRPr="008B264B">
        <w:rPr>
          <w:rFonts w:ascii="Times New Roman" w:eastAsia="Times New Roman" w:hAnsi="Times New Roman" w:cs="Times New Roman"/>
          <w:i/>
          <w:iCs/>
          <w:color w:val="000000"/>
          <w:sz w:val="24"/>
          <w:szCs w:val="24"/>
          <w:lang/>
        </w:rPr>
        <w:t>{Підпункт 20.1.17 пункту 20.1 статті 20 в редакції Закону </w:t>
      </w:r>
      <w:hyperlink r:id="rId678" w:anchor="n1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2CF37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5" w:name="n8745"/>
      <w:bookmarkEnd w:id="1145"/>
      <w:r w:rsidRPr="008B264B">
        <w:rPr>
          <w:rFonts w:ascii="Times New Roman" w:eastAsia="Times New Roman" w:hAnsi="Times New Roman" w:cs="Times New Roman"/>
          <w:color w:val="000000"/>
          <w:sz w:val="24"/>
          <w:szCs w:val="24"/>
          <w:lang/>
        </w:rPr>
        <w:t>20.1.18. визначати у порядку, встановленому цим Кодексом, суми податкових та грошових зобов’язань платників податків;</w:t>
      </w:r>
    </w:p>
    <w:p w14:paraId="527ED4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6" w:name="n8746"/>
      <w:bookmarkEnd w:id="1146"/>
      <w:r w:rsidRPr="008B264B">
        <w:rPr>
          <w:rFonts w:ascii="Times New Roman" w:eastAsia="Times New Roman" w:hAnsi="Times New Roman" w:cs="Times New Roman"/>
          <w:color w:val="000000"/>
          <w:sz w:val="24"/>
          <w:szCs w:val="24"/>
          <w:lang/>
        </w:rPr>
        <w:t>20.1.19. застосовувати до платників податків передбачені законом фінансові (штрафні) санкції (штрафи) за порушення податкового чи іншого законодавства, контроль за додержанням якого покладено на контролюючі органи; стягувати до бюджетів та державних цільових фондів суми грошових зобов’язань та/або податкового боргу у випадках, порядку та розмірі, встановлених цим Кодексом та іншими законами України; стягувати суми недоїмки із сплати єдиного внеску; стягувати суми простроченої заборгованості суб’єктів господарювання перед державою (Автономною Республікою Крим чи територіальною громадою міста) за кредитами (позиками), залученими державою (Автономною Республікою Крим чи територіальною громадою міста) або під державні (місцеві) гарантії, а також за кредитами із бюджету в порядку, визначеному цим Кодексом та іншими законами України;</w:t>
      </w:r>
    </w:p>
    <w:p w14:paraId="66B374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7" w:name="n8747"/>
      <w:bookmarkEnd w:id="1147"/>
      <w:r w:rsidRPr="008B264B">
        <w:rPr>
          <w:rFonts w:ascii="Times New Roman" w:eastAsia="Times New Roman" w:hAnsi="Times New Roman" w:cs="Times New Roman"/>
          <w:color w:val="000000"/>
          <w:sz w:val="24"/>
          <w:szCs w:val="24"/>
          <w:lang/>
        </w:rPr>
        <w:t>20.1.20. одержувати безоплатно необхідні відомості для ведення Єдиного реєстру податкових накладних, Єдиного реєстру акцизних накладних, формування інформаційного фонду Державного реєстру фізичних осіб - платників податків від платників податків, а також Національного банку України та його установ - про суми доходів, виплачених фізичним особам, та утриманих з них податків, зборів, платежів; від органів, уповноважених проводити державну реєстрацію суб’єктів, видавати ліцензії на провадження видів господарської діяльності, що підлягають ліцензуванню відповідно до закону, - про державну реєстрацію та видачу ліцензій суб’єктам господарської діяльності; від органів, що здійснюють реєстрацію фізичних осіб, - про громадян, які прибули на проживання до відповідного населеного пункту чи вибули з нього; від органів державної реєстрації актів цивільного стану - про фізичних осіб, які померли; інформацію, необхідну для забезпечення реєстрації та обліку платників податків, об’єктів оподаткування та об’єктів, пов’язаних з оподаткуванням;</w:t>
      </w:r>
    </w:p>
    <w:p w14:paraId="0D7AF5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8" w:name="n12660"/>
      <w:bookmarkEnd w:id="1148"/>
      <w:r w:rsidRPr="008B264B">
        <w:rPr>
          <w:rFonts w:ascii="Times New Roman" w:eastAsia="Times New Roman" w:hAnsi="Times New Roman" w:cs="Times New Roman"/>
          <w:i/>
          <w:iCs/>
          <w:color w:val="000000"/>
          <w:sz w:val="24"/>
          <w:szCs w:val="24"/>
          <w:lang/>
        </w:rPr>
        <w:t>{Підпункт 20.1.20 пункту 20.1 статті 20 із змінами, внесеними згідно із Законом </w:t>
      </w:r>
      <w:hyperlink r:id="rId679" w:anchor="n4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12140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49" w:name="n8748"/>
      <w:bookmarkEnd w:id="1149"/>
      <w:r w:rsidRPr="008B264B">
        <w:rPr>
          <w:rFonts w:ascii="Times New Roman" w:eastAsia="Times New Roman" w:hAnsi="Times New Roman" w:cs="Times New Roman"/>
          <w:color w:val="000000"/>
          <w:sz w:val="24"/>
          <w:szCs w:val="24"/>
          <w:lang/>
        </w:rPr>
        <w:lastRenderedPageBreak/>
        <w:t>20.1.21. одержувати безоплатно від органів статистики дані, необхідні для використання у проведенні аналізу фінансово-господарської діяльності підприємств, установ, організацій усіх форм власності;</w:t>
      </w:r>
    </w:p>
    <w:p w14:paraId="33AA90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0" w:name="n8749"/>
      <w:bookmarkEnd w:id="1150"/>
      <w:r w:rsidRPr="008B264B">
        <w:rPr>
          <w:rFonts w:ascii="Times New Roman" w:eastAsia="Times New Roman" w:hAnsi="Times New Roman" w:cs="Times New Roman"/>
          <w:color w:val="000000"/>
          <w:sz w:val="24"/>
          <w:szCs w:val="24"/>
          <w:lang/>
        </w:rPr>
        <w:t>20.1.22. отримувати від нотаріусів за письмовим запитом інформацію про вступ фізичної особи у права спадкоємця з обов’язковим зазначенням повних даних про таку особу та даних про майно, отримане за правом спадкування;</w:t>
      </w:r>
    </w:p>
    <w:p w14:paraId="317069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1" w:name="n8750"/>
      <w:bookmarkEnd w:id="1151"/>
      <w:r w:rsidRPr="008B264B">
        <w:rPr>
          <w:rFonts w:ascii="Times New Roman" w:eastAsia="Times New Roman" w:hAnsi="Times New Roman" w:cs="Times New Roman"/>
          <w:color w:val="000000"/>
          <w:sz w:val="24"/>
          <w:szCs w:val="24"/>
          <w:lang/>
        </w:rPr>
        <w:t>20.1.23. надавати відповідно до закону інформацію з Державного реєстру фізичних осіб - платників податків та Державного реєстру страхувальників органам державної влади, Пенсійному фонду України та органам фондів загальнообов’язкового державного соціального страхування;</w:t>
      </w:r>
    </w:p>
    <w:p w14:paraId="408DD0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2" w:name="n8751"/>
      <w:bookmarkEnd w:id="1152"/>
      <w:r w:rsidRPr="008B264B">
        <w:rPr>
          <w:rFonts w:ascii="Times New Roman" w:eastAsia="Times New Roman" w:hAnsi="Times New Roman" w:cs="Times New Roman"/>
          <w:color w:val="000000"/>
          <w:sz w:val="24"/>
          <w:szCs w:val="24"/>
          <w:lang/>
        </w:rPr>
        <w:t>20.1.24. отримувати безоплатно від органів, що забезпечують ведення відповідних державних реєстрів (кадастрів), інформацію, необхідну для здійснення повноважень контролюючих органів щодо забезпечення погашення податкового боргу платника податків. У випадках, передбачених законом, податковий керуючий має право на безпосередній доступ до інформації про боржників, які містяться в державних базах даних і реєстрах, у тому числі електронних. Строк надання інформаційних довідок цими органами на письмові запити контролюючих органів не може перевищувати п’яти робочих днів з дня отримання таких запитів;</w:t>
      </w:r>
    </w:p>
    <w:p w14:paraId="1B8CC0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3" w:name="n13593"/>
      <w:bookmarkEnd w:id="1153"/>
      <w:r w:rsidRPr="008B264B">
        <w:rPr>
          <w:rFonts w:ascii="Times New Roman" w:eastAsia="Times New Roman" w:hAnsi="Times New Roman" w:cs="Times New Roman"/>
          <w:i/>
          <w:iCs/>
          <w:color w:val="000000"/>
          <w:sz w:val="24"/>
          <w:szCs w:val="24"/>
          <w:lang/>
        </w:rPr>
        <w:t>{Підпункт 20.1.24 пункту 20.1 статті 20 із змінами, внесеними згідно із Законом </w:t>
      </w:r>
      <w:hyperlink r:id="rId680" w:anchor="n1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BF7F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4" w:name="n8752"/>
      <w:bookmarkEnd w:id="1154"/>
      <w:r w:rsidRPr="008B264B">
        <w:rPr>
          <w:rFonts w:ascii="Times New Roman" w:eastAsia="Times New Roman" w:hAnsi="Times New Roman" w:cs="Times New Roman"/>
          <w:color w:val="000000"/>
          <w:sz w:val="24"/>
          <w:szCs w:val="24"/>
          <w:lang/>
        </w:rPr>
        <w:t>20.1.25. приймати рішення про зміну основного місця обліку та переведення великих платників податків на облік у контролюючі органи, що здійснюють податкове супроводження великих платників податків, знімати їх з обліку і переводити до інших контролюючих органів;</w:t>
      </w:r>
    </w:p>
    <w:p w14:paraId="2A8095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5" w:name="n8753"/>
      <w:bookmarkEnd w:id="1155"/>
      <w:r w:rsidRPr="008B264B">
        <w:rPr>
          <w:rFonts w:ascii="Times New Roman" w:eastAsia="Times New Roman" w:hAnsi="Times New Roman" w:cs="Times New Roman"/>
          <w:color w:val="000000"/>
          <w:sz w:val="24"/>
          <w:szCs w:val="24"/>
          <w:lang/>
        </w:rPr>
        <w:t>20.1.26. користуватися інформаційними базами даних державних органів, державними, у тому числі урядовими, системами зв’язку і комунікацій, мережами спеціального зв’язку та іншими технічними засобами відповідно до закону;</w:t>
      </w:r>
    </w:p>
    <w:p w14:paraId="21E800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6" w:name="n8754"/>
      <w:bookmarkEnd w:id="1156"/>
      <w:r w:rsidRPr="008B264B">
        <w:rPr>
          <w:rFonts w:ascii="Times New Roman" w:eastAsia="Times New Roman" w:hAnsi="Times New Roman" w:cs="Times New Roman"/>
          <w:color w:val="000000"/>
          <w:sz w:val="24"/>
          <w:szCs w:val="24"/>
          <w:lang/>
        </w:rPr>
        <w:t>20.1.27. застосовувати до фінансових установ, які не подали відповідним контролюючим органам в установлений законом строк повідомлення про відкриття або закриття рахунків платників податків або розпочали здійснення видаткових операцій за рахунком платника податків до отримання повідомлення відповідного контролюючого органу про взяття рахунка на облік у такого органу, фінансові (штрафні) санкції (штрафи) в установленому цим Кодексом розмірі;</w:t>
      </w:r>
    </w:p>
    <w:p w14:paraId="5C54B4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7" w:name="n8755"/>
      <w:bookmarkEnd w:id="1157"/>
      <w:r w:rsidRPr="008B264B">
        <w:rPr>
          <w:rFonts w:ascii="Times New Roman" w:eastAsia="Times New Roman" w:hAnsi="Times New Roman" w:cs="Times New Roman"/>
          <w:color w:val="000000"/>
          <w:sz w:val="24"/>
          <w:szCs w:val="24"/>
          <w:lang/>
        </w:rPr>
        <w:t>20.1.28. стягувати з банків та інших фінансових установ пеню за несвоєчасне виконання ними рішень суду та доручень платників податків про сплату податків, зборів, платежів;</w:t>
      </w:r>
    </w:p>
    <w:p w14:paraId="38ACBE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8" w:name="n8756"/>
      <w:bookmarkEnd w:id="1158"/>
      <w:r w:rsidRPr="008B264B">
        <w:rPr>
          <w:rFonts w:ascii="Times New Roman" w:eastAsia="Times New Roman" w:hAnsi="Times New Roman" w:cs="Times New Roman"/>
          <w:color w:val="000000"/>
          <w:sz w:val="24"/>
          <w:szCs w:val="24"/>
          <w:lang/>
        </w:rPr>
        <w:t>20.1.29. приймати рішення про розстрочення та відстрочення грошових зобов’язань або податкового боргу, а також про списання безнадійного податкового боргу у порядку, передбаченому законодавством;</w:t>
      </w:r>
    </w:p>
    <w:p w14:paraId="561665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59" w:name="n8757"/>
      <w:bookmarkEnd w:id="1159"/>
      <w:r w:rsidRPr="008B264B">
        <w:rPr>
          <w:rFonts w:ascii="Times New Roman" w:eastAsia="Times New Roman" w:hAnsi="Times New Roman" w:cs="Times New Roman"/>
          <w:color w:val="000000"/>
          <w:sz w:val="24"/>
          <w:szCs w:val="24"/>
          <w:lang/>
        </w:rPr>
        <w:t>20.1.30. звертатися до суду, у тому числі подавати позови до підприємств, установ, організацій та фізичних осіб, щодо визнання оспорюванних правочинів недійсними та застосування визначених законодавством заходів, пов’язаних із визнанням правочинів недійсними, а також щодо стягнення в дохід держави коштів, отриманих за нікчемними договорами;</w:t>
      </w:r>
    </w:p>
    <w:p w14:paraId="34440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0" w:name="n8758"/>
      <w:bookmarkEnd w:id="1160"/>
      <w:r w:rsidRPr="008B264B">
        <w:rPr>
          <w:rFonts w:ascii="Times New Roman" w:eastAsia="Times New Roman" w:hAnsi="Times New Roman" w:cs="Times New Roman"/>
          <w:color w:val="000000"/>
          <w:sz w:val="24"/>
          <w:szCs w:val="24"/>
          <w:lang/>
        </w:rPr>
        <w:t>20.1.31. звертатися до суду щодо зупинення видаткових операцій платника податків на рахунках такого платника податків у банках та інших фінансових установах (крім операцій з видачі заробітної плати та сплати податків, зборів, єдиного внеску, а також визначених контролюючим органом грошових зобов’язань платника податків, погашення податкового боргу), у тому числі при недопущенні посадових осіб контролюючих органів до обстеження територій та приміщень;</w:t>
      </w:r>
    </w:p>
    <w:p w14:paraId="2FE0E7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1" w:name="n8759"/>
      <w:bookmarkEnd w:id="1161"/>
      <w:r w:rsidRPr="008B264B">
        <w:rPr>
          <w:rFonts w:ascii="Times New Roman" w:eastAsia="Times New Roman" w:hAnsi="Times New Roman" w:cs="Times New Roman"/>
          <w:color w:val="000000"/>
          <w:sz w:val="24"/>
          <w:szCs w:val="24"/>
          <w:lang/>
        </w:rPr>
        <w:lastRenderedPageBreak/>
        <w:t>20.1.32. звертатися до суду, якщо платник податків перешкоджає виконанню податковим керуючим повноважень, визначених цим Кодексом, щодо зупинення видаткових операцій на рахунках платника податків шляхом накладення арешту на цінні папери та/або кошти та інші цінності такого платника податків, що знаходяться в банку (крім операцій з видачі заробітної плати та сплати податків, зборів, єдиного внеску, а також визначених контролюючим органом грошових зобов’язань платника податків, погашення податкового боргу), та зобов’язання такого платника податків виконати законні вимоги податкового керуючого, передбачені цим Кодексом;</w:t>
      </w:r>
    </w:p>
    <w:p w14:paraId="6216AC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2" w:name="n8760"/>
      <w:bookmarkEnd w:id="1162"/>
      <w:r w:rsidRPr="008B264B">
        <w:rPr>
          <w:rFonts w:ascii="Times New Roman" w:eastAsia="Times New Roman" w:hAnsi="Times New Roman" w:cs="Times New Roman"/>
          <w:color w:val="000000"/>
          <w:sz w:val="24"/>
          <w:szCs w:val="24"/>
          <w:lang/>
        </w:rPr>
        <w:t>20.1.33. звертатися до суду щодо накладення арешту на кошти та інші цінності, що знаходяться в банку, платника податків, який має податковий борг, у разі якщо у такого платника податків відсутнє майно та/або його балансова вартість менша суми податкового боргу, та/або таке майно не може бути джерелом погашення податкового боргу;</w:t>
      </w:r>
    </w:p>
    <w:p w14:paraId="1AD7F2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3" w:name="n8761"/>
      <w:bookmarkEnd w:id="1163"/>
      <w:r w:rsidRPr="008B264B">
        <w:rPr>
          <w:rFonts w:ascii="Times New Roman" w:eastAsia="Times New Roman" w:hAnsi="Times New Roman" w:cs="Times New Roman"/>
          <w:color w:val="000000"/>
          <w:sz w:val="24"/>
          <w:szCs w:val="24"/>
          <w:lang/>
        </w:rPr>
        <w:t>20.1.34. звертатися до суду щодо стягнення коштів платника податків, який має податковий борг, з рахунків у банках, що обслуговують такого платника податків, на суму податкового боргу або його частини;</w:t>
      </w:r>
    </w:p>
    <w:p w14:paraId="696F61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4" w:name="n8762"/>
      <w:bookmarkEnd w:id="1164"/>
      <w:r w:rsidRPr="008B264B">
        <w:rPr>
          <w:rFonts w:ascii="Times New Roman" w:eastAsia="Times New Roman" w:hAnsi="Times New Roman" w:cs="Times New Roman"/>
          <w:color w:val="000000"/>
          <w:sz w:val="24"/>
          <w:szCs w:val="24"/>
          <w:lang/>
        </w:rPr>
        <w:t>20.1.35. звертатися до суду щодо стягнення з дебіторів платника податків, який має податковий борг, сум дебіторської заборгованості, строк погашення якої настав та право вимоги якої переведено на контролюючий орган, у рахунок погашення податкового боргу такого платника податків;</w:t>
      </w:r>
    </w:p>
    <w:p w14:paraId="710DA2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5" w:name="n13595"/>
      <w:bookmarkEnd w:id="1165"/>
      <w:r w:rsidRPr="008B264B">
        <w:rPr>
          <w:rFonts w:ascii="Times New Roman" w:eastAsia="Times New Roman" w:hAnsi="Times New Roman" w:cs="Times New Roman"/>
          <w:color w:val="000000"/>
          <w:sz w:val="24"/>
          <w:szCs w:val="24"/>
          <w:lang/>
        </w:rPr>
        <w:t>20.1.35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звертатися до суду щодо зобов’язання платника податків, який має податковий борг, укласти договір щодо переведення права вимоги дебіторської заборгованості цього платника на контролюючий орган;</w:t>
      </w:r>
    </w:p>
    <w:p w14:paraId="331894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6" w:name="n13594"/>
      <w:bookmarkEnd w:id="1166"/>
      <w:r w:rsidRPr="008B264B">
        <w:rPr>
          <w:rFonts w:ascii="Times New Roman" w:eastAsia="Times New Roman" w:hAnsi="Times New Roman" w:cs="Times New Roman"/>
          <w:i/>
          <w:iCs/>
          <w:color w:val="000000"/>
          <w:sz w:val="24"/>
          <w:szCs w:val="24"/>
          <w:lang/>
        </w:rPr>
        <w:t>{Пункт 20.1 статті 20 доповнено підпунктом 20.1.35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81" w:anchor="n1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0FD51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7" w:name="n8763"/>
      <w:bookmarkEnd w:id="1167"/>
      <w:r w:rsidRPr="008B264B">
        <w:rPr>
          <w:rFonts w:ascii="Times New Roman" w:eastAsia="Times New Roman" w:hAnsi="Times New Roman" w:cs="Times New Roman"/>
          <w:color w:val="000000"/>
          <w:sz w:val="24"/>
          <w:szCs w:val="24"/>
          <w:lang/>
        </w:rPr>
        <w:t>20.1.36. звертатися до суду щодо нарахування та сплати податкових зобов’язань, коригування від’ємного значення об’єкта оподаткування або інших показників податкової звітності у результаті застосування звичайних цін;</w:t>
      </w:r>
    </w:p>
    <w:p w14:paraId="211BDA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8" w:name="n8764"/>
      <w:bookmarkEnd w:id="1168"/>
      <w:r w:rsidRPr="008B264B">
        <w:rPr>
          <w:rFonts w:ascii="Times New Roman" w:eastAsia="Times New Roman" w:hAnsi="Times New Roman" w:cs="Times New Roman"/>
          <w:color w:val="000000"/>
          <w:sz w:val="24"/>
          <w:szCs w:val="24"/>
          <w:lang/>
        </w:rPr>
        <w:t>20.1.37. звертатися до суду щодо припинення юридичної особи та припинення фізичною особою - підприємцем підприємницької діяльності та/або про визнання недійсними установчих (засновницьких) документів суб’єктів господарювання;</w:t>
      </w:r>
    </w:p>
    <w:p w14:paraId="44A8E4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69" w:name="n8765"/>
      <w:bookmarkEnd w:id="1169"/>
      <w:r w:rsidRPr="008B264B">
        <w:rPr>
          <w:rFonts w:ascii="Times New Roman" w:eastAsia="Times New Roman" w:hAnsi="Times New Roman" w:cs="Times New Roman"/>
          <w:color w:val="000000"/>
          <w:sz w:val="24"/>
          <w:szCs w:val="24"/>
          <w:lang/>
        </w:rPr>
        <w:t>20.1.38. звертатися до суду із заявою про вилучення оригіналів первинних фінансово-господарських та бухгалтерських документів у випадках, передбачених цим Кодексом;</w:t>
      </w:r>
    </w:p>
    <w:p w14:paraId="1E549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0" w:name="n8766"/>
      <w:bookmarkEnd w:id="1170"/>
      <w:r w:rsidRPr="008B264B">
        <w:rPr>
          <w:rFonts w:ascii="Times New Roman" w:eastAsia="Times New Roman" w:hAnsi="Times New Roman" w:cs="Times New Roman"/>
          <w:color w:val="000000"/>
          <w:sz w:val="24"/>
          <w:szCs w:val="24"/>
          <w:lang/>
        </w:rPr>
        <w:t>20.1.39. звертатися до суду із заявами щодо порушення справ про банкрутство;</w:t>
      </w:r>
    </w:p>
    <w:p w14:paraId="2F2C5F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1" w:name="n8767"/>
      <w:bookmarkEnd w:id="1171"/>
      <w:r w:rsidRPr="008B264B">
        <w:rPr>
          <w:rFonts w:ascii="Times New Roman" w:eastAsia="Times New Roman" w:hAnsi="Times New Roman" w:cs="Times New Roman"/>
          <w:color w:val="000000"/>
          <w:sz w:val="24"/>
          <w:szCs w:val="24"/>
          <w:lang/>
        </w:rPr>
        <w:t>20.1.40. звертатися до суду щодо застосування санкцій, пов’язаних із забороною організації і проведення азартних ігор на території України;</w:t>
      </w:r>
    </w:p>
    <w:p w14:paraId="546A86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2" w:name="n10873"/>
      <w:bookmarkEnd w:id="1172"/>
      <w:r w:rsidRPr="008B264B">
        <w:rPr>
          <w:rFonts w:ascii="Times New Roman" w:eastAsia="Times New Roman" w:hAnsi="Times New Roman" w:cs="Times New Roman"/>
          <w:color w:val="000000"/>
          <w:sz w:val="24"/>
          <w:szCs w:val="24"/>
          <w:lang/>
        </w:rPr>
        <w:t>20.1.40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звертатися до суду щодо визнання осіб пов’язаними на основі фактів і обставин, що одна особа здійснювала фактичний контроль за бізнес-рішеннями іншої юридичної особи та/або що та сама фізична або юридична особа здійснювала фактичний контроль за бізнес-рішеннями кожної юридичної особи;</w:t>
      </w:r>
    </w:p>
    <w:p w14:paraId="15BEB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3" w:name="n10871"/>
      <w:bookmarkEnd w:id="1173"/>
      <w:r w:rsidRPr="008B264B">
        <w:rPr>
          <w:rFonts w:ascii="Times New Roman" w:eastAsia="Times New Roman" w:hAnsi="Times New Roman" w:cs="Times New Roman"/>
          <w:i/>
          <w:iCs/>
          <w:color w:val="000000"/>
          <w:sz w:val="24"/>
          <w:szCs w:val="24"/>
          <w:lang/>
        </w:rPr>
        <w:t>{Пункт 20.1 статті 20 доповнено пунктом 20.1.40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згідно із Законом </w:t>
      </w:r>
      <w:hyperlink r:id="rId682" w:anchor="n40"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 в редакції Закону </w:t>
      </w:r>
      <w:hyperlink r:id="rId683" w:anchor="n5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F94B3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4" w:name="n15244"/>
      <w:bookmarkEnd w:id="1174"/>
      <w:r w:rsidRPr="008B264B">
        <w:rPr>
          <w:rFonts w:ascii="Times New Roman" w:eastAsia="Times New Roman" w:hAnsi="Times New Roman" w:cs="Times New Roman"/>
          <w:color w:val="000000"/>
          <w:sz w:val="24"/>
          <w:szCs w:val="24"/>
          <w:lang/>
        </w:rPr>
        <w:t>20.1.40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звертатися до суду щодо вилучення в дохід держави (конфіскацію) пального або спирту етилового, транспортних засобів, ємностей та обладнання у разі виявлення фактів, зазначених у </w:t>
      </w:r>
      <w:hyperlink r:id="rId684" w:anchor="n5666" w:history="1">
        <w:r w:rsidRPr="008B264B">
          <w:rPr>
            <w:rFonts w:ascii="Times New Roman" w:eastAsia="Times New Roman" w:hAnsi="Times New Roman" w:cs="Times New Roman"/>
            <w:color w:val="0000FF"/>
            <w:sz w:val="24"/>
            <w:szCs w:val="24"/>
            <w:u w:val="single"/>
            <w:lang/>
          </w:rPr>
          <w:t>статті 228</w:t>
        </w:r>
      </w:hyperlink>
      <w:r w:rsidRPr="008B264B">
        <w:rPr>
          <w:rFonts w:ascii="Times New Roman" w:eastAsia="Times New Roman" w:hAnsi="Times New Roman" w:cs="Times New Roman"/>
          <w:color w:val="000000"/>
          <w:sz w:val="24"/>
          <w:szCs w:val="24"/>
          <w:lang/>
        </w:rPr>
        <w:t> цього Кодексу;</w:t>
      </w:r>
    </w:p>
    <w:p w14:paraId="16C4A5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5" w:name="n15243"/>
      <w:bookmarkEnd w:id="1175"/>
      <w:r w:rsidRPr="008B264B">
        <w:rPr>
          <w:rFonts w:ascii="Times New Roman" w:eastAsia="Times New Roman" w:hAnsi="Times New Roman" w:cs="Times New Roman"/>
          <w:i/>
          <w:iCs/>
          <w:color w:val="000000"/>
          <w:sz w:val="24"/>
          <w:szCs w:val="24"/>
          <w:lang/>
        </w:rPr>
        <w:t>{Пункт 20.1 статті 20 доповнено пунктом 20.1.40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2 </w:t>
      </w:r>
      <w:r w:rsidRPr="008B264B">
        <w:rPr>
          <w:rFonts w:ascii="Times New Roman" w:eastAsia="Times New Roman" w:hAnsi="Times New Roman" w:cs="Times New Roman"/>
          <w:i/>
          <w:iCs/>
          <w:color w:val="000000"/>
          <w:sz w:val="24"/>
          <w:szCs w:val="24"/>
          <w:lang/>
        </w:rPr>
        <w:t>згідно із Законом </w:t>
      </w:r>
      <w:hyperlink r:id="rId685" w:anchor="n7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1141A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6" w:name="n8768"/>
      <w:bookmarkEnd w:id="1176"/>
      <w:r w:rsidRPr="008B264B">
        <w:rPr>
          <w:rFonts w:ascii="Times New Roman" w:eastAsia="Times New Roman" w:hAnsi="Times New Roman" w:cs="Times New Roman"/>
          <w:color w:val="000000"/>
          <w:sz w:val="24"/>
          <w:szCs w:val="24"/>
          <w:lang/>
        </w:rPr>
        <w:lastRenderedPageBreak/>
        <w:t>20.1.41. складати стосовно платників податків - фізичних осіб та посадових осіб платників податків - юридичних осіб протоколи про адміністративні правопорушення та виносити постанови у справах про адміністративні правопорушення у порядку, встановленому законом;</w:t>
      </w:r>
    </w:p>
    <w:p w14:paraId="4B519B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7" w:name="n8769"/>
      <w:bookmarkEnd w:id="1177"/>
      <w:r w:rsidRPr="008B264B">
        <w:rPr>
          <w:rFonts w:ascii="Times New Roman" w:eastAsia="Times New Roman" w:hAnsi="Times New Roman" w:cs="Times New Roman"/>
          <w:color w:val="000000"/>
          <w:sz w:val="24"/>
          <w:szCs w:val="24"/>
          <w:lang/>
        </w:rPr>
        <w:t>20.1.42. проводити аналіз та здійснювати управління ризиками з метою визначення форм та обсягів податкового і митного контролю;</w:t>
      </w:r>
    </w:p>
    <w:p w14:paraId="14C92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8" w:name="n10510"/>
      <w:bookmarkEnd w:id="1178"/>
      <w:r w:rsidRPr="008B264B">
        <w:rPr>
          <w:rFonts w:ascii="Times New Roman" w:eastAsia="Times New Roman" w:hAnsi="Times New Roman" w:cs="Times New Roman"/>
          <w:color w:val="000000"/>
          <w:sz w:val="24"/>
          <w:szCs w:val="24"/>
          <w:lang/>
        </w:rPr>
        <w:t>20.1.43. проводити у визначеному законодавством порядку перевірку показників, пов’язаних із визначенням об’єктів оподаткування та із своєчасністю, достовірністю, повнотою нарахування та сплатою усіх передбачених цим Кодексом податків та зборів, виконанням законодавства з інших питань, контроль за дотриманням якого покладено на контролюючі органи;</w:t>
      </w:r>
    </w:p>
    <w:p w14:paraId="03A1F9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79" w:name="n10512"/>
      <w:bookmarkEnd w:id="1179"/>
      <w:r w:rsidRPr="008B264B">
        <w:rPr>
          <w:rFonts w:ascii="Times New Roman" w:eastAsia="Times New Roman" w:hAnsi="Times New Roman" w:cs="Times New Roman"/>
          <w:i/>
          <w:iCs/>
          <w:color w:val="000000"/>
          <w:sz w:val="24"/>
          <w:szCs w:val="24"/>
          <w:lang/>
        </w:rPr>
        <w:t>{Пункт 20.1 статті 20 доповнено новим підпунктом 20.1.43 згідно із Законом </w:t>
      </w:r>
      <w:hyperlink r:id="rId686" w:anchor="n1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687" w:anchor="n1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7E397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0" w:name="n10511"/>
      <w:bookmarkEnd w:id="1180"/>
      <w:r w:rsidRPr="008B264B">
        <w:rPr>
          <w:rFonts w:ascii="Times New Roman" w:eastAsia="Times New Roman" w:hAnsi="Times New Roman" w:cs="Times New Roman"/>
          <w:color w:val="000000"/>
          <w:sz w:val="24"/>
          <w:szCs w:val="24"/>
          <w:lang/>
        </w:rPr>
        <w:t>20.1.44. проводити перевірку правильності та повноти визначення фінансового результату до оподаткування згідно з бухгалтерським обліком відповідно до національних положень (стандартів) бухгалтерського обліку або міжнародних стандартів фінансової звітності;</w:t>
      </w:r>
    </w:p>
    <w:p w14:paraId="7131B9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1" w:name="n10509"/>
      <w:bookmarkEnd w:id="1181"/>
      <w:r w:rsidRPr="008B264B">
        <w:rPr>
          <w:rFonts w:ascii="Times New Roman" w:eastAsia="Times New Roman" w:hAnsi="Times New Roman" w:cs="Times New Roman"/>
          <w:i/>
          <w:iCs/>
          <w:color w:val="000000"/>
          <w:sz w:val="24"/>
          <w:szCs w:val="24"/>
          <w:lang/>
        </w:rPr>
        <w:t>{Пункт 20.1 статті 20 доповнено новим підпунктом 20.1.44 згідно із Законом </w:t>
      </w:r>
      <w:hyperlink r:id="rId688" w:anchor="n1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89" w:anchor="n1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B77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2" w:name="n8770"/>
      <w:bookmarkEnd w:id="1182"/>
      <w:r w:rsidRPr="008B264B">
        <w:rPr>
          <w:rFonts w:ascii="Times New Roman" w:eastAsia="Times New Roman" w:hAnsi="Times New Roman" w:cs="Times New Roman"/>
          <w:color w:val="000000"/>
          <w:sz w:val="24"/>
          <w:szCs w:val="24"/>
          <w:lang/>
        </w:rPr>
        <w:t>20.1.45. здійснювати щоденну обробку даних та інформації електронного кабінету, необхідних для виконання покладених на них функцій з адміністрування податкового законодавства та законодавства з інших питань, контроль за дотриманням якого покладено на контролюючий орган, що включає, зокрема, прийняття, обробку та аналіз документів та даних платників податків, здійснення повноважень, передбачених законом, які можуть бути реалізовані в електронній формі за допомогою засобів електронного зв’язку;</w:t>
      </w:r>
    </w:p>
    <w:p w14:paraId="680D4C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3" w:name="n13596"/>
      <w:bookmarkEnd w:id="1183"/>
      <w:r w:rsidRPr="008B264B">
        <w:rPr>
          <w:rFonts w:ascii="Times New Roman" w:eastAsia="Times New Roman" w:hAnsi="Times New Roman" w:cs="Times New Roman"/>
          <w:i/>
          <w:iCs/>
          <w:color w:val="000000"/>
          <w:sz w:val="24"/>
          <w:szCs w:val="24"/>
          <w:lang/>
        </w:rPr>
        <w:t>{Підпункт 20.1.45 пункту 20.1 статті 20 в редакції Закону </w:t>
      </w:r>
      <w:hyperlink r:id="rId690" w:anchor="n1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4B81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4" w:name="n13598"/>
      <w:bookmarkEnd w:id="1184"/>
      <w:r w:rsidRPr="008B264B">
        <w:rPr>
          <w:rFonts w:ascii="Times New Roman" w:eastAsia="Times New Roman" w:hAnsi="Times New Roman" w:cs="Times New Roman"/>
          <w:color w:val="000000"/>
          <w:sz w:val="24"/>
          <w:szCs w:val="24"/>
          <w:lang/>
        </w:rPr>
        <w:t>20.1.46. здійснювати інші повноваження, передбачені законом.</w:t>
      </w:r>
    </w:p>
    <w:p w14:paraId="28B0E7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5" w:name="n13597"/>
      <w:bookmarkEnd w:id="1185"/>
      <w:r w:rsidRPr="008B264B">
        <w:rPr>
          <w:rFonts w:ascii="Times New Roman" w:eastAsia="Times New Roman" w:hAnsi="Times New Roman" w:cs="Times New Roman"/>
          <w:i/>
          <w:iCs/>
          <w:color w:val="000000"/>
          <w:sz w:val="24"/>
          <w:szCs w:val="24"/>
          <w:lang/>
        </w:rPr>
        <w:t>{Пункт 20.1 статті 20 доповнено підпунктом 20.1.46 згідно із Законом </w:t>
      </w:r>
      <w:hyperlink r:id="rId691" w:anchor="n1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B675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6" w:name="n13600"/>
      <w:bookmarkEnd w:id="1186"/>
      <w:r w:rsidRPr="008B264B">
        <w:rPr>
          <w:rFonts w:ascii="Times New Roman" w:eastAsia="Times New Roman" w:hAnsi="Times New Roman" w:cs="Times New Roman"/>
          <w:color w:val="000000"/>
          <w:sz w:val="24"/>
          <w:szCs w:val="24"/>
          <w:lang/>
        </w:rPr>
        <w:t>20.2. Центральний орган виконавчої влади, що реалізує державну податкову і митну політику, приймає рішення про реєстрацію/відмову в реєстрації </w:t>
      </w:r>
      <w:hyperlink r:id="rId692"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/розрахунків коригування в Єдиному реєстрі податкових накладних у порядку, визначеному центральним органом виконавчої влади, що забезпечує формування та реалізує державну фінансову політику.</w:t>
      </w:r>
    </w:p>
    <w:p w14:paraId="63CF52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7" w:name="n13608"/>
      <w:bookmarkEnd w:id="1187"/>
      <w:r w:rsidRPr="008B264B">
        <w:rPr>
          <w:rFonts w:ascii="Times New Roman" w:eastAsia="Times New Roman" w:hAnsi="Times New Roman" w:cs="Times New Roman"/>
          <w:i/>
          <w:iCs/>
          <w:color w:val="000000"/>
          <w:sz w:val="24"/>
          <w:szCs w:val="24"/>
          <w:lang/>
        </w:rPr>
        <w:t>{Статтю 20 доповнено пунктом 20.2 згідно із Законом</w:t>
      </w:r>
      <w:hyperlink r:id="rId693" w:anchor="n1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9876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8" w:name="n13601"/>
      <w:bookmarkEnd w:id="1188"/>
      <w:r w:rsidRPr="008B264B">
        <w:rPr>
          <w:rFonts w:ascii="Times New Roman" w:eastAsia="Times New Roman" w:hAnsi="Times New Roman" w:cs="Times New Roman"/>
          <w:color w:val="000000"/>
          <w:sz w:val="24"/>
          <w:szCs w:val="24"/>
          <w:lang/>
        </w:rPr>
        <w:t>20.3. Контролюючим органам забороняється вимагати від платника податків надання:</w:t>
      </w:r>
    </w:p>
    <w:p w14:paraId="2B044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89" w:name="n13602"/>
      <w:bookmarkEnd w:id="1189"/>
      <w:r w:rsidRPr="008B264B">
        <w:rPr>
          <w:rFonts w:ascii="Times New Roman" w:eastAsia="Times New Roman" w:hAnsi="Times New Roman" w:cs="Times New Roman"/>
          <w:color w:val="000000"/>
          <w:sz w:val="24"/>
          <w:szCs w:val="24"/>
          <w:lang/>
        </w:rPr>
        <w:t>інформації, що була отримана контролюючим органом раніше в установленому законом порядку, в тому числі інформації, що міститься та опрацьовується в інформаційних базах, що ведуться відповідно до </w:t>
      </w:r>
      <w:hyperlink r:id="rId694" w:anchor="n1747" w:history="1">
        <w:r w:rsidRPr="008B264B">
          <w:rPr>
            <w:rFonts w:ascii="Times New Roman" w:eastAsia="Times New Roman" w:hAnsi="Times New Roman" w:cs="Times New Roman"/>
            <w:color w:val="0000FF"/>
            <w:sz w:val="24"/>
            <w:szCs w:val="24"/>
            <w:u w:val="single"/>
            <w:lang/>
          </w:rPr>
          <w:t>статті 74</w:t>
        </w:r>
      </w:hyperlink>
      <w:r w:rsidRPr="008B264B">
        <w:rPr>
          <w:rFonts w:ascii="Times New Roman" w:eastAsia="Times New Roman" w:hAnsi="Times New Roman" w:cs="Times New Roman"/>
          <w:color w:val="000000"/>
          <w:sz w:val="24"/>
          <w:szCs w:val="24"/>
          <w:lang/>
        </w:rPr>
        <w:t> цього Кодексу;</w:t>
      </w:r>
    </w:p>
    <w:p w14:paraId="5ECAA8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0" w:name="n13603"/>
      <w:bookmarkEnd w:id="1190"/>
      <w:r w:rsidRPr="008B264B">
        <w:rPr>
          <w:rFonts w:ascii="Times New Roman" w:eastAsia="Times New Roman" w:hAnsi="Times New Roman" w:cs="Times New Roman"/>
          <w:color w:val="000000"/>
          <w:sz w:val="24"/>
          <w:szCs w:val="24"/>
          <w:lang/>
        </w:rPr>
        <w:t>документів, у яких містяться відомості, внесені до відповідних інформаційних баз, що ведуться відповідно до </w:t>
      </w:r>
      <w:hyperlink r:id="rId695" w:anchor="n1747" w:history="1">
        <w:r w:rsidRPr="008B264B">
          <w:rPr>
            <w:rFonts w:ascii="Times New Roman" w:eastAsia="Times New Roman" w:hAnsi="Times New Roman" w:cs="Times New Roman"/>
            <w:color w:val="0000FF"/>
            <w:sz w:val="24"/>
            <w:szCs w:val="24"/>
            <w:u w:val="single"/>
            <w:lang/>
          </w:rPr>
          <w:t>статті 74</w:t>
        </w:r>
      </w:hyperlink>
      <w:r w:rsidRPr="008B264B">
        <w:rPr>
          <w:rFonts w:ascii="Times New Roman" w:eastAsia="Times New Roman" w:hAnsi="Times New Roman" w:cs="Times New Roman"/>
          <w:color w:val="000000"/>
          <w:sz w:val="24"/>
          <w:szCs w:val="24"/>
          <w:lang/>
        </w:rPr>
        <w:t> цього Кодексу.</w:t>
      </w:r>
    </w:p>
    <w:p w14:paraId="1FB073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1" w:name="n13607"/>
      <w:bookmarkEnd w:id="1191"/>
      <w:r w:rsidRPr="008B264B">
        <w:rPr>
          <w:rFonts w:ascii="Times New Roman" w:eastAsia="Times New Roman" w:hAnsi="Times New Roman" w:cs="Times New Roman"/>
          <w:i/>
          <w:iCs/>
          <w:color w:val="000000"/>
          <w:sz w:val="24"/>
          <w:szCs w:val="24"/>
          <w:lang/>
        </w:rPr>
        <w:t>{Статтю 20 доповнено пунктом 20.3 згідно із Законом</w:t>
      </w:r>
      <w:hyperlink r:id="rId696" w:anchor="n1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4BC6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2" w:name="n13604"/>
      <w:bookmarkEnd w:id="1192"/>
      <w:r w:rsidRPr="008B264B">
        <w:rPr>
          <w:rFonts w:ascii="Times New Roman" w:eastAsia="Times New Roman" w:hAnsi="Times New Roman" w:cs="Times New Roman"/>
          <w:color w:val="000000"/>
          <w:sz w:val="24"/>
          <w:szCs w:val="24"/>
          <w:lang/>
        </w:rPr>
        <w:t>20.4. Керівник контролюючого органу має право надавати посадовим (службовим) особам такого органу повноваження на виконання певних функцій, передбачених цим Кодексом, законодавством з питань сплати єдиного внеску, законодавством з інших питань, контроль за дотриманням якого покладено на контролюючі органи, за погодженням з керівником центрального органу виконавчої влади, що реалізує державну податкову та митну політику.</w:t>
      </w:r>
    </w:p>
    <w:p w14:paraId="29023D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3" w:name="n13605"/>
      <w:bookmarkEnd w:id="1193"/>
      <w:r w:rsidRPr="008B264B">
        <w:rPr>
          <w:rFonts w:ascii="Times New Roman" w:eastAsia="Times New Roman" w:hAnsi="Times New Roman" w:cs="Times New Roman"/>
          <w:color w:val="000000"/>
          <w:sz w:val="24"/>
          <w:szCs w:val="24"/>
          <w:lang/>
        </w:rPr>
        <w:lastRenderedPageBreak/>
        <w:t>Керівник центрального органу виконавчої влади, що реалізує державну податкову та митну політику, має право надавати посадовим (службовим) особам такого органу повноваження на виконання певних функцій, передбачених цим Кодексом, законодавством з питань сплати єдиного внеску, іншим законодавством, контроль за дотримання якого покладено на контролюючі органи.</w:t>
      </w:r>
    </w:p>
    <w:p w14:paraId="560E8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4" w:name="n13606"/>
      <w:bookmarkEnd w:id="1194"/>
      <w:r w:rsidRPr="008B264B">
        <w:rPr>
          <w:rFonts w:ascii="Times New Roman" w:eastAsia="Times New Roman" w:hAnsi="Times New Roman" w:cs="Times New Roman"/>
          <w:color w:val="000000"/>
          <w:sz w:val="24"/>
          <w:szCs w:val="24"/>
          <w:lang/>
        </w:rPr>
        <w:t>Кабінет Міністрів України може встановити обмеження для надання керівниками контролюючих органів повноважень на виконання певних функцій посадовим (службовим) особам такого органу.</w:t>
      </w:r>
    </w:p>
    <w:p w14:paraId="064757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5" w:name="n13599"/>
      <w:bookmarkEnd w:id="1195"/>
      <w:r w:rsidRPr="008B264B">
        <w:rPr>
          <w:rFonts w:ascii="Times New Roman" w:eastAsia="Times New Roman" w:hAnsi="Times New Roman" w:cs="Times New Roman"/>
          <w:i/>
          <w:iCs/>
          <w:color w:val="000000"/>
          <w:sz w:val="24"/>
          <w:szCs w:val="24"/>
          <w:lang/>
        </w:rPr>
        <w:t>{Статтю 20 доповнено пунктом 20.4 згідно із Законом</w:t>
      </w:r>
      <w:hyperlink r:id="rId697" w:anchor="n1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FECA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6" w:name="n8724"/>
      <w:bookmarkEnd w:id="1196"/>
      <w:r w:rsidRPr="008B264B">
        <w:rPr>
          <w:rFonts w:ascii="Times New Roman" w:eastAsia="Times New Roman" w:hAnsi="Times New Roman" w:cs="Times New Roman"/>
          <w:i/>
          <w:iCs/>
          <w:color w:val="000000"/>
          <w:sz w:val="24"/>
          <w:szCs w:val="24"/>
          <w:lang/>
        </w:rPr>
        <w:t>{Стаття 20 із змінами, внесеними згідно із Законами </w:t>
      </w:r>
      <w:hyperlink r:id="rId698"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w:t>
      </w:r>
      <w:hyperlink r:id="rId69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700" w:anchor="n3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701" w:anchor="n6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702"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Закону </w:t>
      </w:r>
      <w:hyperlink r:id="rId703" w:anchor="n1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3E9B2C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7" w:name="n929"/>
      <w:bookmarkEnd w:id="1197"/>
      <w:r w:rsidRPr="008B264B">
        <w:rPr>
          <w:rFonts w:ascii="Times New Roman" w:eastAsia="Times New Roman" w:hAnsi="Times New Roman" w:cs="Times New Roman"/>
          <w:b/>
          <w:bCs/>
          <w:color w:val="000000"/>
          <w:sz w:val="24"/>
          <w:szCs w:val="24"/>
          <w:lang/>
        </w:rPr>
        <w:t>Стаття 21.</w:t>
      </w:r>
      <w:r w:rsidRPr="008B264B">
        <w:rPr>
          <w:rFonts w:ascii="Times New Roman" w:eastAsia="Times New Roman" w:hAnsi="Times New Roman" w:cs="Times New Roman"/>
          <w:color w:val="000000"/>
          <w:sz w:val="24"/>
          <w:szCs w:val="24"/>
          <w:lang/>
        </w:rPr>
        <w:t> Обов'язки і відповідальність посадових та службових осіб контролюючих органів</w:t>
      </w:r>
    </w:p>
    <w:p w14:paraId="62152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8" w:name="n14758"/>
      <w:bookmarkEnd w:id="1198"/>
      <w:r w:rsidRPr="008B264B">
        <w:rPr>
          <w:rFonts w:ascii="Times New Roman" w:eastAsia="Times New Roman" w:hAnsi="Times New Roman" w:cs="Times New Roman"/>
          <w:i/>
          <w:iCs/>
          <w:color w:val="000000"/>
          <w:sz w:val="24"/>
          <w:szCs w:val="24"/>
          <w:lang/>
        </w:rPr>
        <w:t>{Назва статті 21 із змінами, внесеними згідно із Законом </w:t>
      </w:r>
      <w:hyperlink r:id="rId704" w:anchor="n6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03E2C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99" w:name="n930"/>
      <w:bookmarkEnd w:id="1199"/>
      <w:r w:rsidRPr="008B264B">
        <w:rPr>
          <w:rFonts w:ascii="Times New Roman" w:eastAsia="Times New Roman" w:hAnsi="Times New Roman" w:cs="Times New Roman"/>
          <w:color w:val="000000"/>
          <w:sz w:val="24"/>
          <w:szCs w:val="24"/>
          <w:lang/>
        </w:rPr>
        <w:t>21.1. Посадові та службові особи контролюючих органів зобов'язані:</w:t>
      </w:r>
    </w:p>
    <w:p w14:paraId="4C465E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0" w:name="n14759"/>
      <w:bookmarkEnd w:id="1200"/>
      <w:r w:rsidRPr="008B264B">
        <w:rPr>
          <w:rFonts w:ascii="Times New Roman" w:eastAsia="Times New Roman" w:hAnsi="Times New Roman" w:cs="Times New Roman"/>
          <w:i/>
          <w:iCs/>
          <w:color w:val="000000"/>
          <w:sz w:val="24"/>
          <w:szCs w:val="24"/>
          <w:lang/>
        </w:rPr>
        <w:t>{Абзац перший пункту 21.1 статті 21 із змінами, внесеними згідно із Законом </w:t>
      </w:r>
      <w:hyperlink r:id="rId705" w:anchor="n6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2A3E4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1" w:name="n931"/>
      <w:bookmarkEnd w:id="1201"/>
      <w:r w:rsidRPr="008B264B">
        <w:rPr>
          <w:rFonts w:ascii="Times New Roman" w:eastAsia="Times New Roman" w:hAnsi="Times New Roman" w:cs="Times New Roman"/>
          <w:color w:val="000000"/>
          <w:sz w:val="24"/>
          <w:szCs w:val="24"/>
          <w:lang/>
        </w:rPr>
        <w:t>21.1.1. дотримуватися </w:t>
      </w:r>
      <w:hyperlink r:id="rId706" w:anchor="n1654" w:tgtFrame="_blank" w:history="1">
        <w:r w:rsidRPr="008B264B">
          <w:rPr>
            <w:rFonts w:ascii="Times New Roman" w:eastAsia="Times New Roman" w:hAnsi="Times New Roman" w:cs="Times New Roman"/>
            <w:color w:val="0000FF"/>
            <w:sz w:val="24"/>
            <w:szCs w:val="24"/>
            <w:u w:val="single"/>
            <w:lang/>
          </w:rPr>
          <w:t>Конституції України</w:t>
        </w:r>
      </w:hyperlink>
      <w:r w:rsidRPr="008B264B">
        <w:rPr>
          <w:rFonts w:ascii="Times New Roman" w:eastAsia="Times New Roman" w:hAnsi="Times New Roman" w:cs="Times New Roman"/>
          <w:color w:val="000000"/>
          <w:sz w:val="24"/>
          <w:szCs w:val="24"/>
          <w:lang/>
        </w:rPr>
        <w:t> та діяти виключно у відповідності з цим Кодексом та іншими законами України, іншими нормативними актами;</w:t>
      </w:r>
    </w:p>
    <w:p w14:paraId="248EB0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2" w:name="n932"/>
      <w:bookmarkEnd w:id="1202"/>
      <w:r w:rsidRPr="008B264B">
        <w:rPr>
          <w:rFonts w:ascii="Times New Roman" w:eastAsia="Times New Roman" w:hAnsi="Times New Roman" w:cs="Times New Roman"/>
          <w:color w:val="000000"/>
          <w:sz w:val="24"/>
          <w:szCs w:val="24"/>
          <w:lang/>
        </w:rPr>
        <w:t>21.1.2. забезпечувати сумлінне виконання покладених на контролюючі органи функцій;</w:t>
      </w:r>
    </w:p>
    <w:p w14:paraId="110863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3" w:name="n933"/>
      <w:bookmarkEnd w:id="1203"/>
      <w:r w:rsidRPr="008B264B">
        <w:rPr>
          <w:rFonts w:ascii="Times New Roman" w:eastAsia="Times New Roman" w:hAnsi="Times New Roman" w:cs="Times New Roman"/>
          <w:color w:val="000000"/>
          <w:sz w:val="24"/>
          <w:szCs w:val="24"/>
          <w:lang/>
        </w:rPr>
        <w:t>21.1.3. забезпечувати ефективну роботу та виконання завдань контролюючих органів відповідно до їх повноважень;</w:t>
      </w:r>
    </w:p>
    <w:p w14:paraId="09DBC4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4" w:name="n934"/>
      <w:bookmarkEnd w:id="1204"/>
      <w:r w:rsidRPr="008B264B">
        <w:rPr>
          <w:rFonts w:ascii="Times New Roman" w:eastAsia="Times New Roman" w:hAnsi="Times New Roman" w:cs="Times New Roman"/>
          <w:color w:val="000000"/>
          <w:sz w:val="24"/>
          <w:szCs w:val="24"/>
          <w:lang/>
        </w:rPr>
        <w:t>21.1.4. не допускати порушень прав та охоронюваних законом інтересів громадян, підприємств, установ, організацій;</w:t>
      </w:r>
    </w:p>
    <w:p w14:paraId="4F09D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5" w:name="n935"/>
      <w:bookmarkEnd w:id="1205"/>
      <w:r w:rsidRPr="008B264B">
        <w:rPr>
          <w:rFonts w:ascii="Times New Roman" w:eastAsia="Times New Roman" w:hAnsi="Times New Roman" w:cs="Times New Roman"/>
          <w:color w:val="000000"/>
          <w:sz w:val="24"/>
          <w:szCs w:val="24"/>
          <w:lang/>
        </w:rPr>
        <w:t>21.1.5. коректно та уважно ставитися до платників податків, їх представників та інших учасників відносин, що виникають під час реалізації норм цього Кодексу та інших законів, не принижувати їх честі та гідності;</w:t>
      </w:r>
    </w:p>
    <w:p w14:paraId="47A65C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6" w:name="n936"/>
      <w:bookmarkEnd w:id="1206"/>
      <w:r w:rsidRPr="008B264B">
        <w:rPr>
          <w:rFonts w:ascii="Times New Roman" w:eastAsia="Times New Roman" w:hAnsi="Times New Roman" w:cs="Times New Roman"/>
          <w:color w:val="000000"/>
          <w:sz w:val="24"/>
          <w:szCs w:val="24"/>
          <w:lang/>
        </w:rPr>
        <w:t>21.1.6. не допускати розголошення інформації з обмеженим доступом, що одержується, використовується, зберігається під час реалізації функцій, покладених на контролюючі органи;</w:t>
      </w:r>
    </w:p>
    <w:p w14:paraId="5430E7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7" w:name="n937"/>
      <w:bookmarkEnd w:id="1207"/>
      <w:r w:rsidRPr="008B264B">
        <w:rPr>
          <w:rFonts w:ascii="Times New Roman" w:eastAsia="Times New Roman" w:hAnsi="Times New Roman" w:cs="Times New Roman"/>
          <w:color w:val="000000"/>
          <w:sz w:val="24"/>
          <w:szCs w:val="24"/>
          <w:lang/>
        </w:rPr>
        <w:t>21.1.7. надавати органам державної влади та органам місцевого самоврядування на їх письмовий запит відкриту податкову інформацію в порядку, встановленому законом;</w:t>
      </w:r>
    </w:p>
    <w:p w14:paraId="73232D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8" w:name="n13611"/>
      <w:bookmarkEnd w:id="1208"/>
      <w:r w:rsidRPr="008B264B">
        <w:rPr>
          <w:rFonts w:ascii="Times New Roman" w:eastAsia="Times New Roman" w:hAnsi="Times New Roman" w:cs="Times New Roman"/>
          <w:color w:val="000000"/>
          <w:sz w:val="24"/>
          <w:szCs w:val="24"/>
          <w:lang/>
        </w:rPr>
        <w:t>21.1.8. оприлюднювати на офіційному веб-сайті центрального органу виконавчої влади, що реалізує державну податкову і митну політику, перелік уповноважених осіб контролюючого органу та переданих таким особам функцій у випадках, передбачених цим Кодексом;</w:t>
      </w:r>
    </w:p>
    <w:p w14:paraId="27A7B9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09" w:name="n13615"/>
      <w:bookmarkEnd w:id="1209"/>
      <w:r w:rsidRPr="008B264B">
        <w:rPr>
          <w:rFonts w:ascii="Times New Roman" w:eastAsia="Times New Roman" w:hAnsi="Times New Roman" w:cs="Times New Roman"/>
          <w:i/>
          <w:iCs/>
          <w:color w:val="000000"/>
          <w:sz w:val="24"/>
          <w:szCs w:val="24"/>
          <w:lang/>
        </w:rPr>
        <w:t>{Пункт 21.1 статті 21 доповнено підпунктом 21.1.8 згідно із Законом </w:t>
      </w:r>
      <w:hyperlink r:id="rId707" w:anchor="n1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8830E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0" w:name="n15097"/>
      <w:bookmarkEnd w:id="1210"/>
      <w:r w:rsidRPr="008B264B">
        <w:rPr>
          <w:rFonts w:ascii="Times New Roman" w:eastAsia="Times New Roman" w:hAnsi="Times New Roman" w:cs="Times New Roman"/>
          <w:color w:val="000000"/>
          <w:sz w:val="24"/>
          <w:szCs w:val="24"/>
          <w:lang/>
        </w:rPr>
        <w:t>21.1.9. використовувати дані та інформацію, отримані через електронний кабінет, необхідні для виконання покладених на них функцій з адміністрування податків, зборів, митних платежів та реалізації податкової і митної політики в межах наданих їм повноважень;</w:t>
      </w:r>
    </w:p>
    <w:p w14:paraId="06E08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1" w:name="n15096"/>
      <w:bookmarkEnd w:id="1211"/>
      <w:r w:rsidRPr="008B264B">
        <w:rPr>
          <w:rFonts w:ascii="Times New Roman" w:eastAsia="Times New Roman" w:hAnsi="Times New Roman" w:cs="Times New Roman"/>
          <w:i/>
          <w:iCs/>
          <w:color w:val="000000"/>
          <w:sz w:val="24"/>
          <w:szCs w:val="24"/>
          <w:lang/>
        </w:rPr>
        <w:t>{Пункт 21.1 статті 21 доповнено підпунктом 21.1.9 згідно із Законом </w:t>
      </w:r>
      <w:hyperlink r:id="rId708" w:anchor="n1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709"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FBD82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2" w:name="n13613"/>
      <w:bookmarkEnd w:id="1212"/>
      <w:r w:rsidRPr="008B264B">
        <w:rPr>
          <w:rFonts w:ascii="Times New Roman" w:eastAsia="Times New Roman" w:hAnsi="Times New Roman" w:cs="Times New Roman"/>
          <w:color w:val="000000"/>
          <w:sz w:val="24"/>
          <w:szCs w:val="24"/>
          <w:lang/>
        </w:rPr>
        <w:lastRenderedPageBreak/>
        <w:t>21.1.10. вносити до інформаційних баз даних інформацію з документів, отриманих від платників податків у паперовій формі, а також інформацію про взаємодію з платниками податків, отриману в іншій формі.</w:t>
      </w:r>
    </w:p>
    <w:p w14:paraId="5442F3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3" w:name="n13610"/>
      <w:bookmarkEnd w:id="1213"/>
      <w:r w:rsidRPr="008B264B">
        <w:rPr>
          <w:rFonts w:ascii="Times New Roman" w:eastAsia="Times New Roman" w:hAnsi="Times New Roman" w:cs="Times New Roman"/>
          <w:i/>
          <w:iCs/>
          <w:color w:val="000000"/>
          <w:sz w:val="24"/>
          <w:szCs w:val="24"/>
          <w:lang/>
        </w:rPr>
        <w:t>{Пункт 21.1 статті 21 доповнено підпунктом 21.1.10 згідно із Законом </w:t>
      </w:r>
      <w:hyperlink r:id="rId710" w:anchor="n1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94F6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4" w:name="n938"/>
      <w:bookmarkEnd w:id="1214"/>
      <w:r w:rsidRPr="008B264B">
        <w:rPr>
          <w:rFonts w:ascii="Times New Roman" w:eastAsia="Times New Roman" w:hAnsi="Times New Roman" w:cs="Times New Roman"/>
          <w:color w:val="000000"/>
          <w:sz w:val="24"/>
          <w:szCs w:val="24"/>
          <w:lang/>
        </w:rPr>
        <w:t>21.2. За невиконання або неналежне виконання своїх обов'язків посадові (службові) особи контролюючих органів несуть відповідальність згідно із законом.</w:t>
      </w:r>
    </w:p>
    <w:p w14:paraId="18BFD0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5" w:name="n13616"/>
      <w:bookmarkEnd w:id="1215"/>
      <w:r w:rsidRPr="008B264B">
        <w:rPr>
          <w:rFonts w:ascii="Times New Roman" w:eastAsia="Times New Roman" w:hAnsi="Times New Roman" w:cs="Times New Roman"/>
          <w:i/>
          <w:iCs/>
          <w:color w:val="000000"/>
          <w:sz w:val="24"/>
          <w:szCs w:val="24"/>
          <w:lang/>
        </w:rPr>
        <w:t>{Пункт 21.2 статті 21 із змінами, внесеними згідно із Законом </w:t>
      </w:r>
      <w:hyperlink r:id="rId711" w:anchor="n1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A146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6" w:name="n13618"/>
      <w:bookmarkEnd w:id="1216"/>
      <w:r w:rsidRPr="008B264B">
        <w:rPr>
          <w:rFonts w:ascii="Times New Roman" w:eastAsia="Times New Roman" w:hAnsi="Times New Roman" w:cs="Times New Roman"/>
          <w:color w:val="000000"/>
          <w:sz w:val="24"/>
          <w:szCs w:val="24"/>
          <w:lang/>
        </w:rPr>
        <w:t>21.2.1. за прийняття неправомірного рішення, яким визначаються податкові (грошові) зобов’язання платнику податків, посадова (службова) особа контролюючого органу, яка прийняла таке рішення, а також безпосередній керівник такої посадової особи несуть відповідальність згідно із законом.</w:t>
      </w:r>
    </w:p>
    <w:p w14:paraId="7314D0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7" w:name="n13619"/>
      <w:bookmarkEnd w:id="1217"/>
      <w:r w:rsidRPr="008B264B">
        <w:rPr>
          <w:rFonts w:ascii="Times New Roman" w:eastAsia="Times New Roman" w:hAnsi="Times New Roman" w:cs="Times New Roman"/>
          <w:color w:val="000000"/>
          <w:sz w:val="24"/>
          <w:szCs w:val="24"/>
          <w:lang/>
        </w:rPr>
        <w:t>Повторне протягом останніх дванадцяти місяців прийняття неправомірного рішення, яким визначаються податкові (грошові) зобов’язання платників податків, посадовою (службовою) особою контролюючого органу, яка прийняла таке рішення, є підставою для застосування до такої посадової (службової) особи дисциплінарного стягнення у порядку, передбаченому законом.</w:t>
      </w:r>
    </w:p>
    <w:p w14:paraId="009ED8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8" w:name="n13617"/>
      <w:bookmarkEnd w:id="1218"/>
      <w:r w:rsidRPr="008B264B">
        <w:rPr>
          <w:rFonts w:ascii="Times New Roman" w:eastAsia="Times New Roman" w:hAnsi="Times New Roman" w:cs="Times New Roman"/>
          <w:i/>
          <w:iCs/>
          <w:color w:val="000000"/>
          <w:sz w:val="24"/>
          <w:szCs w:val="24"/>
          <w:lang/>
        </w:rPr>
        <w:t>{Пункт 21.2 статті 21 доповнено підпунктом 21.2.1 згідно із Законом </w:t>
      </w:r>
      <w:hyperlink r:id="rId712" w:anchor="n1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8D541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19" w:name="n939"/>
      <w:bookmarkEnd w:id="1219"/>
      <w:r w:rsidRPr="008B264B">
        <w:rPr>
          <w:rFonts w:ascii="Times New Roman" w:eastAsia="Times New Roman" w:hAnsi="Times New Roman" w:cs="Times New Roman"/>
          <w:color w:val="000000"/>
          <w:sz w:val="24"/>
          <w:szCs w:val="24"/>
          <w:lang/>
        </w:rPr>
        <w:t>21.3. Шкода, завдана платнику податків неправомірними рішеннями, діями чи бездіяльністю посадової або службової особи контролюючого органу, відшкодовується за рахунок коштів державного бюджету, передбачених для фінансування цього органу, незалежно від вини цієї особи.</w:t>
      </w:r>
    </w:p>
    <w:p w14:paraId="583DAB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0" w:name="n14760"/>
      <w:bookmarkEnd w:id="1220"/>
      <w:r w:rsidRPr="008B264B">
        <w:rPr>
          <w:rFonts w:ascii="Times New Roman" w:eastAsia="Times New Roman" w:hAnsi="Times New Roman" w:cs="Times New Roman"/>
          <w:i/>
          <w:iCs/>
          <w:color w:val="000000"/>
          <w:sz w:val="24"/>
          <w:szCs w:val="24"/>
          <w:lang/>
        </w:rPr>
        <w:t>{Пункт 21.3 статті 21 в редакції Закону </w:t>
      </w:r>
      <w:hyperlink r:id="rId713" w:anchor="n6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0ED26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1" w:name="n14762"/>
      <w:bookmarkEnd w:id="1221"/>
      <w:r w:rsidRPr="008B264B">
        <w:rPr>
          <w:rFonts w:ascii="Times New Roman" w:eastAsia="Times New Roman" w:hAnsi="Times New Roman" w:cs="Times New Roman"/>
          <w:color w:val="000000"/>
          <w:sz w:val="24"/>
          <w:szCs w:val="24"/>
          <w:lang/>
        </w:rPr>
        <w:t>21.4. Посадова або службова особа контролюючого органу несе перед державою відповідальність в порядку регресу в розмірі виплаченого з бюджету відшкодування через неправомірні рішення, дії чи бездіяльність цієї посадової (службової) особи.</w:t>
      </w:r>
    </w:p>
    <w:p w14:paraId="34F5BF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2" w:name="n14761"/>
      <w:bookmarkEnd w:id="1222"/>
      <w:r w:rsidRPr="008B264B">
        <w:rPr>
          <w:rFonts w:ascii="Times New Roman" w:eastAsia="Times New Roman" w:hAnsi="Times New Roman" w:cs="Times New Roman"/>
          <w:i/>
          <w:iCs/>
          <w:color w:val="000000"/>
          <w:sz w:val="24"/>
          <w:szCs w:val="24"/>
          <w:lang/>
        </w:rPr>
        <w:t>{Статтю 21 доповнено пунктом 21.4 згідно із Законом </w:t>
      </w:r>
      <w:hyperlink r:id="rId714" w:anchor="n6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2CC83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3" w:name="n940"/>
      <w:bookmarkEnd w:id="1223"/>
      <w:r w:rsidRPr="008B264B">
        <w:rPr>
          <w:rFonts w:ascii="Times New Roman" w:eastAsia="Times New Roman" w:hAnsi="Times New Roman" w:cs="Times New Roman"/>
          <w:b/>
          <w:bCs/>
          <w:color w:val="000000"/>
          <w:sz w:val="24"/>
          <w:szCs w:val="24"/>
          <w:lang/>
        </w:rPr>
        <w:t>Стаття 22.</w:t>
      </w:r>
      <w:r w:rsidRPr="008B264B">
        <w:rPr>
          <w:rFonts w:ascii="Times New Roman" w:eastAsia="Times New Roman" w:hAnsi="Times New Roman" w:cs="Times New Roman"/>
          <w:color w:val="000000"/>
          <w:sz w:val="24"/>
          <w:szCs w:val="24"/>
          <w:lang/>
        </w:rPr>
        <w:t> Об'єкт оподаткування</w:t>
      </w:r>
    </w:p>
    <w:p w14:paraId="0AE739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4" w:name="n941"/>
      <w:bookmarkEnd w:id="1224"/>
      <w:r w:rsidRPr="008B264B">
        <w:rPr>
          <w:rFonts w:ascii="Times New Roman" w:eastAsia="Times New Roman" w:hAnsi="Times New Roman" w:cs="Times New Roman"/>
          <w:color w:val="000000"/>
          <w:sz w:val="24"/>
          <w:szCs w:val="24"/>
          <w:lang/>
        </w:rPr>
        <w:t>22.1. Об'єктом оподаткування можуть бути майно, товари, дохід (прибуток) або його частина, обороти з реалізації товарів (робіт, послуг), операції з постачання товарів (робіт, послуг) та інші об'єкти, визначені податковим законодавством, з наявністю яких податкове законодавство пов'язує виникнення у платника податкового обов'язку.</w:t>
      </w:r>
    </w:p>
    <w:p w14:paraId="63A48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5" w:name="n942"/>
      <w:bookmarkEnd w:id="1225"/>
      <w:r w:rsidRPr="008B264B">
        <w:rPr>
          <w:rFonts w:ascii="Times New Roman" w:eastAsia="Times New Roman" w:hAnsi="Times New Roman" w:cs="Times New Roman"/>
          <w:b/>
          <w:bCs/>
          <w:color w:val="000000"/>
          <w:sz w:val="24"/>
          <w:szCs w:val="24"/>
          <w:lang/>
        </w:rPr>
        <w:t>Стаття 23.</w:t>
      </w:r>
      <w:r w:rsidRPr="008B264B">
        <w:rPr>
          <w:rFonts w:ascii="Times New Roman" w:eastAsia="Times New Roman" w:hAnsi="Times New Roman" w:cs="Times New Roman"/>
          <w:color w:val="000000"/>
          <w:sz w:val="24"/>
          <w:szCs w:val="24"/>
          <w:lang/>
        </w:rPr>
        <w:t> База оподаткування</w:t>
      </w:r>
    </w:p>
    <w:p w14:paraId="3A6F17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6" w:name="n943"/>
      <w:bookmarkEnd w:id="1226"/>
      <w:r w:rsidRPr="008B264B">
        <w:rPr>
          <w:rFonts w:ascii="Times New Roman" w:eastAsia="Times New Roman" w:hAnsi="Times New Roman" w:cs="Times New Roman"/>
          <w:color w:val="000000"/>
          <w:sz w:val="24"/>
          <w:szCs w:val="24"/>
          <w:lang/>
        </w:rPr>
        <w:t>23.1. Базою оподаткування визнаються конкретні вартісні, фізичні або інші характеристики певного об'єкта оподаткування.</w:t>
      </w:r>
    </w:p>
    <w:p w14:paraId="52EA0D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7" w:name="n944"/>
      <w:bookmarkEnd w:id="1227"/>
      <w:r w:rsidRPr="008B264B">
        <w:rPr>
          <w:rFonts w:ascii="Times New Roman" w:eastAsia="Times New Roman" w:hAnsi="Times New Roman" w:cs="Times New Roman"/>
          <w:color w:val="000000"/>
          <w:sz w:val="24"/>
          <w:szCs w:val="24"/>
          <w:lang/>
        </w:rPr>
        <w:t>База оподаткування - це фізичний, вартісний чи інший характерний вираз об'єкта оподаткування, до якого застосовується податкова ставка і який використовується для визначення розміру податкового зобов'язання.</w:t>
      </w:r>
    </w:p>
    <w:p w14:paraId="7813A5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8" w:name="n945"/>
      <w:bookmarkEnd w:id="1228"/>
      <w:r w:rsidRPr="008B264B">
        <w:rPr>
          <w:rFonts w:ascii="Times New Roman" w:eastAsia="Times New Roman" w:hAnsi="Times New Roman" w:cs="Times New Roman"/>
          <w:color w:val="000000"/>
          <w:sz w:val="24"/>
          <w:szCs w:val="24"/>
          <w:lang/>
        </w:rPr>
        <w:t>23.2. База оподаткування і порядок її визначення встановлюються цим Кодексом для кожного податку окремо.</w:t>
      </w:r>
    </w:p>
    <w:p w14:paraId="24B5E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29" w:name="n946"/>
      <w:bookmarkEnd w:id="1229"/>
      <w:r w:rsidRPr="008B264B">
        <w:rPr>
          <w:rFonts w:ascii="Times New Roman" w:eastAsia="Times New Roman" w:hAnsi="Times New Roman" w:cs="Times New Roman"/>
          <w:color w:val="000000"/>
          <w:sz w:val="24"/>
          <w:szCs w:val="24"/>
          <w:lang/>
        </w:rPr>
        <w:t>23.3. У випадках, передбачених цим Кодексом, один об'єкт оподаткування може утворювати кілька баз оподаткування для різних податків.</w:t>
      </w:r>
    </w:p>
    <w:p w14:paraId="70C613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0" w:name="n947"/>
      <w:bookmarkEnd w:id="1230"/>
      <w:r w:rsidRPr="008B264B">
        <w:rPr>
          <w:rFonts w:ascii="Times New Roman" w:eastAsia="Times New Roman" w:hAnsi="Times New Roman" w:cs="Times New Roman"/>
          <w:color w:val="000000"/>
          <w:sz w:val="24"/>
          <w:szCs w:val="24"/>
          <w:lang/>
        </w:rPr>
        <w:lastRenderedPageBreak/>
        <w:t>23.4. У випадках, передбачених цим Кодексом, конкретна вартісна, фізична або інша характеристика певного об'єкта оподаткування може бути базою оподаткування для різних податків.</w:t>
      </w:r>
    </w:p>
    <w:p w14:paraId="79F7B9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1" w:name="n948"/>
      <w:bookmarkEnd w:id="1231"/>
      <w:r w:rsidRPr="008B264B">
        <w:rPr>
          <w:rFonts w:ascii="Times New Roman" w:eastAsia="Times New Roman" w:hAnsi="Times New Roman" w:cs="Times New Roman"/>
          <w:b/>
          <w:bCs/>
          <w:color w:val="000000"/>
          <w:sz w:val="24"/>
          <w:szCs w:val="24"/>
          <w:lang/>
        </w:rPr>
        <w:t>Стаття 24.</w:t>
      </w:r>
      <w:r w:rsidRPr="008B264B">
        <w:rPr>
          <w:rFonts w:ascii="Times New Roman" w:eastAsia="Times New Roman" w:hAnsi="Times New Roman" w:cs="Times New Roman"/>
          <w:color w:val="000000"/>
          <w:sz w:val="24"/>
          <w:szCs w:val="24"/>
          <w:lang/>
        </w:rPr>
        <w:t> Одиниця виміру бази оподаткування</w:t>
      </w:r>
    </w:p>
    <w:p w14:paraId="2F86D4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2" w:name="n949"/>
      <w:bookmarkEnd w:id="1232"/>
      <w:r w:rsidRPr="008B264B">
        <w:rPr>
          <w:rFonts w:ascii="Times New Roman" w:eastAsia="Times New Roman" w:hAnsi="Times New Roman" w:cs="Times New Roman"/>
          <w:color w:val="000000"/>
          <w:sz w:val="24"/>
          <w:szCs w:val="24"/>
          <w:lang/>
        </w:rPr>
        <w:t>24.1. Одиницею виміру бази оподаткування визнається конкретна вартісна, фізична або інша характеристика бази оподаткування або її частини, щодо якої застосовується ставка податку.</w:t>
      </w:r>
    </w:p>
    <w:p w14:paraId="629029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3" w:name="n950"/>
      <w:bookmarkEnd w:id="1233"/>
      <w:r w:rsidRPr="008B264B">
        <w:rPr>
          <w:rFonts w:ascii="Times New Roman" w:eastAsia="Times New Roman" w:hAnsi="Times New Roman" w:cs="Times New Roman"/>
          <w:color w:val="000000"/>
          <w:sz w:val="24"/>
          <w:szCs w:val="24"/>
          <w:lang/>
        </w:rPr>
        <w:t>24.2. Одиниця виміру бази оподаткування є єдиною для розрахунку і обліку податку.</w:t>
      </w:r>
    </w:p>
    <w:p w14:paraId="4F96B2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4" w:name="n951"/>
      <w:bookmarkEnd w:id="1234"/>
      <w:r w:rsidRPr="008B264B">
        <w:rPr>
          <w:rFonts w:ascii="Times New Roman" w:eastAsia="Times New Roman" w:hAnsi="Times New Roman" w:cs="Times New Roman"/>
          <w:color w:val="000000"/>
          <w:sz w:val="24"/>
          <w:szCs w:val="24"/>
          <w:lang/>
        </w:rPr>
        <w:t>24.3. Одній базі оподаткування повинна відповідати одна одиниця виміру бази оподаткування.</w:t>
      </w:r>
    </w:p>
    <w:p w14:paraId="634806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5" w:name="n952"/>
      <w:bookmarkEnd w:id="1235"/>
      <w:r w:rsidRPr="008B264B">
        <w:rPr>
          <w:rFonts w:ascii="Times New Roman" w:eastAsia="Times New Roman" w:hAnsi="Times New Roman" w:cs="Times New Roman"/>
          <w:b/>
          <w:bCs/>
          <w:color w:val="000000"/>
          <w:sz w:val="24"/>
          <w:szCs w:val="24"/>
          <w:lang/>
        </w:rPr>
        <w:t>Стаття 25.</w:t>
      </w:r>
      <w:r w:rsidRPr="008B264B">
        <w:rPr>
          <w:rFonts w:ascii="Times New Roman" w:eastAsia="Times New Roman" w:hAnsi="Times New Roman" w:cs="Times New Roman"/>
          <w:color w:val="000000"/>
          <w:sz w:val="24"/>
          <w:szCs w:val="24"/>
          <w:lang/>
        </w:rPr>
        <w:t> Ставка податку</w:t>
      </w:r>
    </w:p>
    <w:p w14:paraId="5D2462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6" w:name="n953"/>
      <w:bookmarkEnd w:id="1236"/>
      <w:r w:rsidRPr="008B264B">
        <w:rPr>
          <w:rFonts w:ascii="Times New Roman" w:eastAsia="Times New Roman" w:hAnsi="Times New Roman" w:cs="Times New Roman"/>
          <w:color w:val="000000"/>
          <w:sz w:val="24"/>
          <w:szCs w:val="24"/>
          <w:lang/>
        </w:rPr>
        <w:t>25.1. Ставкою податку визнається розмір податкових нарахувань на (від) одиницю (одиниці) виміру бази оподаткування.</w:t>
      </w:r>
    </w:p>
    <w:p w14:paraId="57D150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7" w:name="n954"/>
      <w:bookmarkEnd w:id="1237"/>
      <w:r w:rsidRPr="008B264B">
        <w:rPr>
          <w:rFonts w:ascii="Times New Roman" w:eastAsia="Times New Roman" w:hAnsi="Times New Roman" w:cs="Times New Roman"/>
          <w:b/>
          <w:bCs/>
          <w:color w:val="000000"/>
          <w:sz w:val="24"/>
          <w:szCs w:val="24"/>
          <w:lang/>
        </w:rPr>
        <w:t>Стаття 26.</w:t>
      </w:r>
      <w:r w:rsidRPr="008B264B">
        <w:rPr>
          <w:rFonts w:ascii="Times New Roman" w:eastAsia="Times New Roman" w:hAnsi="Times New Roman" w:cs="Times New Roman"/>
          <w:color w:val="000000"/>
          <w:sz w:val="24"/>
          <w:szCs w:val="24"/>
          <w:lang/>
        </w:rPr>
        <w:t> Базова (основна) ставка податку</w:t>
      </w:r>
    </w:p>
    <w:p w14:paraId="140754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8" w:name="n955"/>
      <w:bookmarkEnd w:id="1238"/>
      <w:r w:rsidRPr="008B264B">
        <w:rPr>
          <w:rFonts w:ascii="Times New Roman" w:eastAsia="Times New Roman" w:hAnsi="Times New Roman" w:cs="Times New Roman"/>
          <w:color w:val="000000"/>
          <w:sz w:val="24"/>
          <w:szCs w:val="24"/>
          <w:lang/>
        </w:rPr>
        <w:t>26.1. Базовою (основною) ставкою податку визначається ставка, що визначена такою для окремого податку відповідним розділом цього Кодексу.</w:t>
      </w:r>
    </w:p>
    <w:p w14:paraId="782FF9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39" w:name="n956"/>
      <w:bookmarkEnd w:id="1239"/>
      <w:r w:rsidRPr="008B264B">
        <w:rPr>
          <w:rFonts w:ascii="Times New Roman" w:eastAsia="Times New Roman" w:hAnsi="Times New Roman" w:cs="Times New Roman"/>
          <w:color w:val="000000"/>
          <w:sz w:val="24"/>
          <w:szCs w:val="24"/>
          <w:lang/>
        </w:rPr>
        <w:t>26.2. У випадках, передбачених цим Кодексом, під час обчислення одного і того самого податку можуть використовуватися декілька базових (основних) ставок.</w:t>
      </w:r>
    </w:p>
    <w:p w14:paraId="638ECB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0" w:name="n957"/>
      <w:bookmarkEnd w:id="1240"/>
      <w:r w:rsidRPr="008B264B">
        <w:rPr>
          <w:rFonts w:ascii="Times New Roman" w:eastAsia="Times New Roman" w:hAnsi="Times New Roman" w:cs="Times New Roman"/>
          <w:b/>
          <w:bCs/>
          <w:color w:val="000000"/>
          <w:sz w:val="24"/>
          <w:szCs w:val="24"/>
          <w:lang/>
        </w:rPr>
        <w:t>Стаття 27.</w:t>
      </w:r>
      <w:r w:rsidRPr="008B264B">
        <w:rPr>
          <w:rFonts w:ascii="Times New Roman" w:eastAsia="Times New Roman" w:hAnsi="Times New Roman" w:cs="Times New Roman"/>
          <w:color w:val="000000"/>
          <w:sz w:val="24"/>
          <w:szCs w:val="24"/>
          <w:lang/>
        </w:rPr>
        <w:t> Гранична ставка податку</w:t>
      </w:r>
    </w:p>
    <w:p w14:paraId="782B20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1" w:name="n958"/>
      <w:bookmarkEnd w:id="1241"/>
      <w:r w:rsidRPr="008B264B">
        <w:rPr>
          <w:rFonts w:ascii="Times New Roman" w:eastAsia="Times New Roman" w:hAnsi="Times New Roman" w:cs="Times New Roman"/>
          <w:color w:val="000000"/>
          <w:sz w:val="24"/>
          <w:szCs w:val="24"/>
          <w:lang/>
        </w:rPr>
        <w:t>27.1. Граничною ставкою податку визнається максимальний або мінімальний розмір ставки за певним податком, встановлений цим Кодексом.</w:t>
      </w:r>
    </w:p>
    <w:p w14:paraId="298C83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2" w:name="n959"/>
      <w:bookmarkEnd w:id="1242"/>
      <w:r w:rsidRPr="008B264B">
        <w:rPr>
          <w:rFonts w:ascii="Times New Roman" w:eastAsia="Times New Roman" w:hAnsi="Times New Roman" w:cs="Times New Roman"/>
          <w:b/>
          <w:bCs/>
          <w:color w:val="000000"/>
          <w:sz w:val="24"/>
          <w:szCs w:val="24"/>
          <w:lang/>
        </w:rPr>
        <w:t>Стаття 28.</w:t>
      </w:r>
      <w:r w:rsidRPr="008B264B">
        <w:rPr>
          <w:rFonts w:ascii="Times New Roman" w:eastAsia="Times New Roman" w:hAnsi="Times New Roman" w:cs="Times New Roman"/>
          <w:color w:val="000000"/>
          <w:sz w:val="24"/>
          <w:szCs w:val="24"/>
          <w:lang/>
        </w:rPr>
        <w:t> Абсолютна та відносна ставки податку</w:t>
      </w:r>
    </w:p>
    <w:p w14:paraId="0EA1C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3" w:name="n960"/>
      <w:bookmarkEnd w:id="1243"/>
      <w:r w:rsidRPr="008B264B">
        <w:rPr>
          <w:rFonts w:ascii="Times New Roman" w:eastAsia="Times New Roman" w:hAnsi="Times New Roman" w:cs="Times New Roman"/>
          <w:color w:val="000000"/>
          <w:sz w:val="24"/>
          <w:szCs w:val="24"/>
          <w:lang/>
        </w:rPr>
        <w:t>28.1. Абсолютною (специфічною) є ставка податку, згідно з якою розмір податкових нарахувань встановлюється як фіксована величина стосовно кожної одиниці виміру бази оподаткування.</w:t>
      </w:r>
    </w:p>
    <w:p w14:paraId="709364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4" w:name="n961"/>
      <w:bookmarkEnd w:id="1244"/>
      <w:r w:rsidRPr="008B264B">
        <w:rPr>
          <w:rFonts w:ascii="Times New Roman" w:eastAsia="Times New Roman" w:hAnsi="Times New Roman" w:cs="Times New Roman"/>
          <w:color w:val="000000"/>
          <w:sz w:val="24"/>
          <w:szCs w:val="24"/>
          <w:lang/>
        </w:rPr>
        <w:t>28.2. Відносною (адвалорною) визнається ставка податку, згідно з якою розмір податкових нарахувань встановлюється у відсотковому або кратному відношенні до одиниці вартісного виміру бази оподаткування.</w:t>
      </w:r>
    </w:p>
    <w:p w14:paraId="617F87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5" w:name="n962"/>
      <w:bookmarkEnd w:id="1245"/>
      <w:r w:rsidRPr="008B264B">
        <w:rPr>
          <w:rFonts w:ascii="Times New Roman" w:eastAsia="Times New Roman" w:hAnsi="Times New Roman" w:cs="Times New Roman"/>
          <w:b/>
          <w:bCs/>
          <w:color w:val="000000"/>
          <w:sz w:val="24"/>
          <w:szCs w:val="24"/>
          <w:lang/>
        </w:rPr>
        <w:t>Стаття 29.</w:t>
      </w:r>
      <w:r w:rsidRPr="008B264B">
        <w:rPr>
          <w:rFonts w:ascii="Times New Roman" w:eastAsia="Times New Roman" w:hAnsi="Times New Roman" w:cs="Times New Roman"/>
          <w:color w:val="000000"/>
          <w:sz w:val="24"/>
          <w:szCs w:val="24"/>
          <w:lang/>
        </w:rPr>
        <w:t> Обчислення суми податку</w:t>
      </w:r>
    </w:p>
    <w:p w14:paraId="7473A4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6" w:name="n963"/>
      <w:bookmarkEnd w:id="1246"/>
      <w:r w:rsidRPr="008B264B">
        <w:rPr>
          <w:rFonts w:ascii="Times New Roman" w:eastAsia="Times New Roman" w:hAnsi="Times New Roman" w:cs="Times New Roman"/>
          <w:color w:val="000000"/>
          <w:sz w:val="24"/>
          <w:szCs w:val="24"/>
          <w:lang/>
        </w:rPr>
        <w:t>29.1. Обчислення суми податку здійснюється шляхом множення бази оподаткування на ставку податку із/без застосуванням відповідних коефіцієнтів.</w:t>
      </w:r>
    </w:p>
    <w:p w14:paraId="138403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7" w:name="n964"/>
      <w:bookmarkEnd w:id="1247"/>
      <w:r w:rsidRPr="008B264B">
        <w:rPr>
          <w:rFonts w:ascii="Times New Roman" w:eastAsia="Times New Roman" w:hAnsi="Times New Roman" w:cs="Times New Roman"/>
          <w:color w:val="000000"/>
          <w:sz w:val="24"/>
          <w:szCs w:val="24"/>
          <w:lang/>
        </w:rPr>
        <w:t>29.2. Специфічні ставки, фіксовані ставки та показники, встановлені цим Кодексом у вартісному вимірі, підлягають індексації в порядку, визначеному цим Кодексом.</w:t>
      </w:r>
    </w:p>
    <w:p w14:paraId="4A8F2C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8" w:name="n965"/>
      <w:bookmarkEnd w:id="1248"/>
      <w:r w:rsidRPr="008B264B">
        <w:rPr>
          <w:rFonts w:ascii="Times New Roman" w:eastAsia="Times New Roman" w:hAnsi="Times New Roman" w:cs="Times New Roman"/>
          <w:b/>
          <w:bCs/>
          <w:color w:val="000000"/>
          <w:sz w:val="24"/>
          <w:szCs w:val="24"/>
          <w:lang/>
        </w:rPr>
        <w:t>Стаття 30.</w:t>
      </w:r>
      <w:r w:rsidRPr="008B264B">
        <w:rPr>
          <w:rFonts w:ascii="Times New Roman" w:eastAsia="Times New Roman" w:hAnsi="Times New Roman" w:cs="Times New Roman"/>
          <w:color w:val="000000"/>
          <w:sz w:val="24"/>
          <w:szCs w:val="24"/>
          <w:lang/>
        </w:rPr>
        <w:t> Податкові пільги</w:t>
      </w:r>
    </w:p>
    <w:p w14:paraId="719E39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49" w:name="n966"/>
      <w:bookmarkEnd w:id="1249"/>
      <w:r w:rsidRPr="008B264B">
        <w:rPr>
          <w:rFonts w:ascii="Times New Roman" w:eastAsia="Times New Roman" w:hAnsi="Times New Roman" w:cs="Times New Roman"/>
          <w:color w:val="000000"/>
          <w:sz w:val="24"/>
          <w:szCs w:val="24"/>
          <w:lang/>
        </w:rPr>
        <w:t>30.1. Податкова пільга - передбачене податковим та митним законодавством звільнення платника податків від обов'язку щодо нарахування та сплати податку та збору, сплата ним податку та збору в меншому розмірі за наявності підстав, визначених </w:t>
      </w:r>
      <w:hyperlink r:id="rId715" w:anchor="n967" w:history="1">
        <w:r w:rsidRPr="008B264B">
          <w:rPr>
            <w:rFonts w:ascii="Times New Roman" w:eastAsia="Times New Roman" w:hAnsi="Times New Roman" w:cs="Times New Roman"/>
            <w:color w:val="0000FF"/>
            <w:sz w:val="24"/>
            <w:szCs w:val="24"/>
            <w:u w:val="single"/>
            <w:lang/>
          </w:rPr>
          <w:t>пунктом 30.2</w:t>
        </w:r>
      </w:hyperlink>
      <w:r w:rsidRPr="008B264B">
        <w:rPr>
          <w:rFonts w:ascii="Times New Roman" w:eastAsia="Times New Roman" w:hAnsi="Times New Roman" w:cs="Times New Roman"/>
          <w:color w:val="000000"/>
          <w:sz w:val="24"/>
          <w:szCs w:val="24"/>
          <w:lang/>
        </w:rPr>
        <w:t> цієї статті.</w:t>
      </w:r>
    </w:p>
    <w:p w14:paraId="5E0903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0" w:name="n967"/>
      <w:bookmarkEnd w:id="1250"/>
      <w:r w:rsidRPr="008B264B">
        <w:rPr>
          <w:rFonts w:ascii="Times New Roman" w:eastAsia="Times New Roman" w:hAnsi="Times New Roman" w:cs="Times New Roman"/>
          <w:color w:val="000000"/>
          <w:sz w:val="24"/>
          <w:szCs w:val="24"/>
          <w:lang/>
        </w:rPr>
        <w:t>30.2. Підставами для надання податкових пільг є особливості, що характеризують певну групу платників податків, вид їх діяльності, об'єкт оподаткування або характер та суспільне значення здійснюваних ними витрат.</w:t>
      </w:r>
    </w:p>
    <w:p w14:paraId="1AEA99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1" w:name="n968"/>
      <w:bookmarkEnd w:id="1251"/>
      <w:r w:rsidRPr="008B264B">
        <w:rPr>
          <w:rFonts w:ascii="Times New Roman" w:eastAsia="Times New Roman" w:hAnsi="Times New Roman" w:cs="Times New Roman"/>
          <w:color w:val="000000"/>
          <w:sz w:val="24"/>
          <w:szCs w:val="24"/>
          <w:lang/>
        </w:rPr>
        <w:t>30.3. Платник податків вправі використовувати податкову пільгу з моменту виникнення відповідних підстав для її застосування і протягом усього строку її дії.</w:t>
      </w:r>
    </w:p>
    <w:p w14:paraId="35067A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2" w:name="n969"/>
      <w:bookmarkEnd w:id="1252"/>
      <w:r w:rsidRPr="008B264B">
        <w:rPr>
          <w:rFonts w:ascii="Times New Roman" w:eastAsia="Times New Roman" w:hAnsi="Times New Roman" w:cs="Times New Roman"/>
          <w:color w:val="000000"/>
          <w:sz w:val="24"/>
          <w:szCs w:val="24"/>
          <w:lang/>
        </w:rPr>
        <w:lastRenderedPageBreak/>
        <w:t>30.4. Платник податків вправі відмовитися від використання податкової пільги (крім податкових пільг з податку на додану вартість) чи зупинити її використання на один або декілька податкових періодів, якщо інше не передбачено цим Кодексом. Податкові пільги, не використані платником податків, не можуть бути перенесені на інші податкові періоди, зараховані в рахунок майбутніх платежів з податків та зборів або відшкодовані з бюджету.</w:t>
      </w:r>
    </w:p>
    <w:p w14:paraId="549489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3" w:name="n15245"/>
      <w:bookmarkEnd w:id="1253"/>
      <w:r w:rsidRPr="008B264B">
        <w:rPr>
          <w:rFonts w:ascii="Times New Roman" w:eastAsia="Times New Roman" w:hAnsi="Times New Roman" w:cs="Times New Roman"/>
          <w:i/>
          <w:iCs/>
          <w:color w:val="000000"/>
          <w:sz w:val="24"/>
          <w:szCs w:val="24"/>
          <w:lang/>
        </w:rPr>
        <w:t>{Пункт 30.4 статті 30 із змінами, внесеними згідно із Законом </w:t>
      </w:r>
      <w:hyperlink r:id="rId716" w:anchor="n7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15FB0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4" w:name="n970"/>
      <w:bookmarkEnd w:id="1254"/>
      <w:r w:rsidRPr="008B264B">
        <w:rPr>
          <w:rFonts w:ascii="Times New Roman" w:eastAsia="Times New Roman" w:hAnsi="Times New Roman" w:cs="Times New Roman"/>
          <w:color w:val="000000"/>
          <w:sz w:val="24"/>
          <w:szCs w:val="24"/>
          <w:lang/>
        </w:rPr>
        <w:t>30.5. Податкові пільги, порядок та підстави їх надання встановлюються з урахуванням вимог законодавства України про захист економічної конкуренції виключно цим Кодексом, рішеннями Верховної Ради Автономної Республіки Крим та органів місцевого самоврядування, прийнятими відповідно до цього Кодексу.</w:t>
      </w:r>
    </w:p>
    <w:p w14:paraId="2EF4DC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5" w:name="n971"/>
      <w:bookmarkEnd w:id="1255"/>
      <w:r w:rsidRPr="008B264B">
        <w:rPr>
          <w:rFonts w:ascii="Times New Roman" w:eastAsia="Times New Roman" w:hAnsi="Times New Roman" w:cs="Times New Roman"/>
          <w:color w:val="000000"/>
          <w:sz w:val="24"/>
          <w:szCs w:val="24"/>
          <w:lang/>
        </w:rPr>
        <w:t>30.6. Суми податку та збору, не сплачені суб'єктом господарювання до бюджету у зв'язку з отриманням податкових пільг, обліковуються таким суб'єктом - платником податків. Облік зазначених коштів ведеться в </w:t>
      </w:r>
      <w:hyperlink r:id="rId717"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Кабінетом Міністрів України.</w:t>
      </w:r>
    </w:p>
    <w:p w14:paraId="02CD0C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6" w:name="n972"/>
      <w:bookmarkEnd w:id="1256"/>
      <w:r w:rsidRPr="008B264B">
        <w:rPr>
          <w:rFonts w:ascii="Times New Roman" w:eastAsia="Times New Roman" w:hAnsi="Times New Roman" w:cs="Times New Roman"/>
          <w:color w:val="000000"/>
          <w:sz w:val="24"/>
          <w:szCs w:val="24"/>
          <w:lang/>
        </w:rPr>
        <w:t>30.7. Контролюючі органи складають зведену інформацію про суми податкових пільг юридичних осіб та фізичних осіб - підприємців та визначають втрати доходів бюджету внаслідок надання податкових пільг.</w:t>
      </w:r>
    </w:p>
    <w:p w14:paraId="0F665E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7" w:name="n973"/>
      <w:bookmarkEnd w:id="1257"/>
      <w:r w:rsidRPr="008B264B">
        <w:rPr>
          <w:rFonts w:ascii="Times New Roman" w:eastAsia="Times New Roman" w:hAnsi="Times New Roman" w:cs="Times New Roman"/>
          <w:color w:val="000000"/>
          <w:sz w:val="24"/>
          <w:szCs w:val="24"/>
          <w:lang/>
        </w:rPr>
        <w:t>30.8. Контролюючі органи здійснюють контроль за правильністю надання та обліку податкових пільг, а також їх цільовим використанням, за наявності законодавчого визначення напрямів використання (щодо умовних податкових пільг) та своєчасним поверненням коштів, не сплачених до бюджету внаслідок надання пільги, у разі її надання на поворотній основі. Податкові пільги, використані не за призначенням чи несвоєчасно повернуті, повертаються до відповідного бюджету з нарахуванням пені в розмірі 120 відсотків річних облікової ставки Національного банку України.</w:t>
      </w:r>
    </w:p>
    <w:p w14:paraId="653100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8" w:name="n974"/>
      <w:bookmarkEnd w:id="1258"/>
      <w:r w:rsidRPr="008B264B">
        <w:rPr>
          <w:rFonts w:ascii="Times New Roman" w:eastAsia="Times New Roman" w:hAnsi="Times New Roman" w:cs="Times New Roman"/>
          <w:color w:val="000000"/>
          <w:sz w:val="24"/>
          <w:szCs w:val="24"/>
          <w:lang/>
        </w:rPr>
        <w:t>30.9. Податкова пільга надається шляхом:</w:t>
      </w:r>
    </w:p>
    <w:p w14:paraId="23E7E2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59" w:name="n975"/>
      <w:bookmarkEnd w:id="1259"/>
      <w:r w:rsidRPr="008B264B">
        <w:rPr>
          <w:rFonts w:ascii="Times New Roman" w:eastAsia="Times New Roman" w:hAnsi="Times New Roman" w:cs="Times New Roman"/>
          <w:color w:val="000000"/>
          <w:sz w:val="24"/>
          <w:szCs w:val="24"/>
          <w:lang/>
        </w:rPr>
        <w:t>а) податкового вирахування (знижки), що зменшує базу оподаткування до нарахування податку та збору;</w:t>
      </w:r>
    </w:p>
    <w:p w14:paraId="11F785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0" w:name="n976"/>
      <w:bookmarkEnd w:id="1260"/>
      <w:r w:rsidRPr="008B264B">
        <w:rPr>
          <w:rFonts w:ascii="Times New Roman" w:eastAsia="Times New Roman" w:hAnsi="Times New Roman" w:cs="Times New Roman"/>
          <w:color w:val="000000"/>
          <w:sz w:val="24"/>
          <w:szCs w:val="24"/>
          <w:lang/>
        </w:rPr>
        <w:t>б) зменшення податкового зобов'язання після нарахування податку та збору;</w:t>
      </w:r>
    </w:p>
    <w:p w14:paraId="5FBE60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1" w:name="n977"/>
      <w:bookmarkEnd w:id="1261"/>
      <w:r w:rsidRPr="008B264B">
        <w:rPr>
          <w:rFonts w:ascii="Times New Roman" w:eastAsia="Times New Roman" w:hAnsi="Times New Roman" w:cs="Times New Roman"/>
          <w:color w:val="000000"/>
          <w:sz w:val="24"/>
          <w:szCs w:val="24"/>
          <w:lang/>
        </w:rPr>
        <w:t>в) встановлення зниженої ставки податку та збору;</w:t>
      </w:r>
    </w:p>
    <w:p w14:paraId="258EC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2" w:name="n978"/>
      <w:bookmarkEnd w:id="1262"/>
      <w:r w:rsidRPr="008B264B">
        <w:rPr>
          <w:rFonts w:ascii="Times New Roman" w:eastAsia="Times New Roman" w:hAnsi="Times New Roman" w:cs="Times New Roman"/>
          <w:color w:val="000000"/>
          <w:sz w:val="24"/>
          <w:szCs w:val="24"/>
          <w:lang/>
        </w:rPr>
        <w:t>г) звільнення від сплати податку та збору.</w:t>
      </w:r>
    </w:p>
    <w:p w14:paraId="706ACD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3" w:name="n979"/>
      <w:bookmarkEnd w:id="1263"/>
      <w:r w:rsidRPr="008B264B">
        <w:rPr>
          <w:rFonts w:ascii="Times New Roman" w:eastAsia="Times New Roman" w:hAnsi="Times New Roman" w:cs="Times New Roman"/>
          <w:b/>
          <w:bCs/>
          <w:color w:val="000000"/>
          <w:sz w:val="24"/>
          <w:szCs w:val="24"/>
          <w:lang/>
        </w:rPr>
        <w:t>Стаття 31.</w:t>
      </w:r>
      <w:r w:rsidRPr="008B264B">
        <w:rPr>
          <w:rFonts w:ascii="Times New Roman" w:eastAsia="Times New Roman" w:hAnsi="Times New Roman" w:cs="Times New Roman"/>
          <w:color w:val="000000"/>
          <w:sz w:val="24"/>
          <w:szCs w:val="24"/>
          <w:lang/>
        </w:rPr>
        <w:t> Строк сплати податку та збору</w:t>
      </w:r>
    </w:p>
    <w:p w14:paraId="4C6131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4" w:name="n980"/>
      <w:bookmarkEnd w:id="1264"/>
      <w:r w:rsidRPr="008B264B">
        <w:rPr>
          <w:rFonts w:ascii="Times New Roman" w:eastAsia="Times New Roman" w:hAnsi="Times New Roman" w:cs="Times New Roman"/>
          <w:color w:val="000000"/>
          <w:sz w:val="24"/>
          <w:szCs w:val="24"/>
          <w:lang/>
        </w:rPr>
        <w:t>31.1. Строком сплати податку та збору визнається період, що розпочинається з моменту виникнення податкового обов'язку платника податку із сплати конкретного виду податку і завершується останнім днем строку, протягом якого такий податок чи збір повинен бути сплачений у порядку, визначеному податковим законодавством. Податок чи збір, що не був сплачений у визначений строк, вважається не сплаченим своєчасно.</w:t>
      </w:r>
    </w:p>
    <w:p w14:paraId="47B8AC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5" w:name="n981"/>
      <w:bookmarkEnd w:id="1265"/>
      <w:r w:rsidRPr="008B264B">
        <w:rPr>
          <w:rFonts w:ascii="Times New Roman" w:eastAsia="Times New Roman" w:hAnsi="Times New Roman" w:cs="Times New Roman"/>
          <w:color w:val="000000"/>
          <w:sz w:val="24"/>
          <w:szCs w:val="24"/>
          <w:lang/>
        </w:rPr>
        <w:t>Момент виникнення податкового обов'язку платника податків, у тому числі податкового агента, визначається календарною датою.</w:t>
      </w:r>
    </w:p>
    <w:p w14:paraId="12D19A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6" w:name="n982"/>
      <w:bookmarkEnd w:id="1266"/>
      <w:r w:rsidRPr="008B264B">
        <w:rPr>
          <w:rFonts w:ascii="Times New Roman" w:eastAsia="Times New Roman" w:hAnsi="Times New Roman" w:cs="Times New Roman"/>
          <w:color w:val="000000"/>
          <w:sz w:val="24"/>
          <w:szCs w:val="24"/>
          <w:lang/>
        </w:rPr>
        <w:t>31.2. Строк сплати податку та збору обчислюється роками, кварталами, місяцями, декадами, тижнями, днями або вказівкою на подію, що повинна настати або відбутися.</w:t>
      </w:r>
    </w:p>
    <w:p w14:paraId="0E207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7" w:name="n983"/>
      <w:bookmarkEnd w:id="1267"/>
      <w:r w:rsidRPr="008B264B">
        <w:rPr>
          <w:rFonts w:ascii="Times New Roman" w:eastAsia="Times New Roman" w:hAnsi="Times New Roman" w:cs="Times New Roman"/>
          <w:color w:val="000000"/>
          <w:sz w:val="24"/>
          <w:szCs w:val="24"/>
          <w:lang/>
        </w:rPr>
        <w:t>31.3. Строк сплати податку та збору встановлюється відповідно до податкового законодавства для кожного податку окремо. Зміна платником податку, податковим агентом або представником платника податку чи контролюючим органом встановленого строку сплати податку та збору забороняється, крім випадків, передбачених цим Кодексом.</w:t>
      </w:r>
    </w:p>
    <w:p w14:paraId="0F8744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8" w:name="n984"/>
      <w:bookmarkEnd w:id="1268"/>
      <w:r w:rsidRPr="008B264B">
        <w:rPr>
          <w:rFonts w:ascii="Times New Roman" w:eastAsia="Times New Roman" w:hAnsi="Times New Roman" w:cs="Times New Roman"/>
          <w:b/>
          <w:bCs/>
          <w:color w:val="000000"/>
          <w:sz w:val="24"/>
          <w:szCs w:val="24"/>
          <w:lang/>
        </w:rPr>
        <w:t>Стаття 32.</w:t>
      </w:r>
      <w:r w:rsidRPr="008B264B">
        <w:rPr>
          <w:rFonts w:ascii="Times New Roman" w:eastAsia="Times New Roman" w:hAnsi="Times New Roman" w:cs="Times New Roman"/>
          <w:color w:val="000000"/>
          <w:sz w:val="24"/>
          <w:szCs w:val="24"/>
          <w:lang/>
        </w:rPr>
        <w:t> Зміна строку сплати податку та збору</w:t>
      </w:r>
    </w:p>
    <w:p w14:paraId="5350DF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69" w:name="n985"/>
      <w:bookmarkEnd w:id="1269"/>
      <w:r w:rsidRPr="008B264B">
        <w:rPr>
          <w:rFonts w:ascii="Times New Roman" w:eastAsia="Times New Roman" w:hAnsi="Times New Roman" w:cs="Times New Roman"/>
          <w:color w:val="000000"/>
          <w:sz w:val="24"/>
          <w:szCs w:val="24"/>
          <w:lang/>
        </w:rPr>
        <w:lastRenderedPageBreak/>
        <w:t>32.1. Зміна строку сплати податку та збору здійснюється шляхом перенесення встановленого податковим законодавством строку сплати податку та збору або його частини на більш пізній строк.</w:t>
      </w:r>
    </w:p>
    <w:p w14:paraId="60AA66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0" w:name="n986"/>
      <w:bookmarkEnd w:id="1270"/>
      <w:r w:rsidRPr="008B264B">
        <w:rPr>
          <w:rFonts w:ascii="Times New Roman" w:eastAsia="Times New Roman" w:hAnsi="Times New Roman" w:cs="Times New Roman"/>
          <w:color w:val="000000"/>
          <w:sz w:val="24"/>
          <w:szCs w:val="24"/>
          <w:lang/>
        </w:rPr>
        <w:t>32.2. Зміна строку сплати податку здійснюється у формі:</w:t>
      </w:r>
    </w:p>
    <w:p w14:paraId="042379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1" w:name="n987"/>
      <w:bookmarkEnd w:id="1271"/>
      <w:r w:rsidRPr="008B264B">
        <w:rPr>
          <w:rFonts w:ascii="Times New Roman" w:eastAsia="Times New Roman" w:hAnsi="Times New Roman" w:cs="Times New Roman"/>
          <w:color w:val="000000"/>
          <w:sz w:val="24"/>
          <w:szCs w:val="24"/>
          <w:lang/>
        </w:rPr>
        <w:t>відстрочки;</w:t>
      </w:r>
    </w:p>
    <w:p w14:paraId="5FF73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2" w:name="n988"/>
      <w:bookmarkEnd w:id="1272"/>
      <w:r w:rsidRPr="008B264B">
        <w:rPr>
          <w:rFonts w:ascii="Times New Roman" w:eastAsia="Times New Roman" w:hAnsi="Times New Roman" w:cs="Times New Roman"/>
          <w:color w:val="000000"/>
          <w:sz w:val="24"/>
          <w:szCs w:val="24"/>
          <w:lang/>
        </w:rPr>
        <w:t>розстрочки;</w:t>
      </w:r>
    </w:p>
    <w:p w14:paraId="2AEDAA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3" w:name="n9471"/>
      <w:bookmarkEnd w:id="1273"/>
      <w:r w:rsidRPr="008B264B">
        <w:rPr>
          <w:rFonts w:ascii="Times New Roman" w:eastAsia="Times New Roman" w:hAnsi="Times New Roman" w:cs="Times New Roman"/>
          <w:i/>
          <w:iCs/>
          <w:color w:val="000000"/>
          <w:sz w:val="24"/>
          <w:szCs w:val="24"/>
          <w:lang/>
        </w:rPr>
        <w:t>{Пункт 32.2 статті 32 із змінами, внесеними згідно із Законом </w:t>
      </w:r>
      <w:hyperlink r:id="rId718" w:anchor="n1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AA0E9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4" w:name="n990"/>
      <w:bookmarkEnd w:id="1274"/>
      <w:r w:rsidRPr="008B264B">
        <w:rPr>
          <w:rFonts w:ascii="Times New Roman" w:eastAsia="Times New Roman" w:hAnsi="Times New Roman" w:cs="Times New Roman"/>
          <w:color w:val="000000"/>
          <w:sz w:val="24"/>
          <w:szCs w:val="24"/>
          <w:lang/>
        </w:rPr>
        <w:t>32.3. Зміна строку сплати податку не скасовує діючого і не створює нового податкового обов'язку.</w:t>
      </w:r>
    </w:p>
    <w:p w14:paraId="0A24B9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5" w:name="n991"/>
      <w:bookmarkEnd w:id="1275"/>
      <w:r w:rsidRPr="008B264B">
        <w:rPr>
          <w:rFonts w:ascii="Times New Roman" w:eastAsia="Times New Roman" w:hAnsi="Times New Roman" w:cs="Times New Roman"/>
          <w:b/>
          <w:bCs/>
          <w:color w:val="000000"/>
          <w:sz w:val="24"/>
          <w:szCs w:val="24"/>
          <w:lang/>
        </w:rPr>
        <w:t>Стаття 33.</w:t>
      </w:r>
      <w:r w:rsidRPr="008B264B">
        <w:rPr>
          <w:rFonts w:ascii="Times New Roman" w:eastAsia="Times New Roman" w:hAnsi="Times New Roman" w:cs="Times New Roman"/>
          <w:color w:val="000000"/>
          <w:sz w:val="24"/>
          <w:szCs w:val="24"/>
          <w:lang/>
        </w:rPr>
        <w:t> Податковий період</w:t>
      </w:r>
    </w:p>
    <w:p w14:paraId="3DDFB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6" w:name="n992"/>
      <w:bookmarkEnd w:id="1276"/>
      <w:r w:rsidRPr="008B264B">
        <w:rPr>
          <w:rFonts w:ascii="Times New Roman" w:eastAsia="Times New Roman" w:hAnsi="Times New Roman" w:cs="Times New Roman"/>
          <w:color w:val="000000"/>
          <w:sz w:val="24"/>
          <w:szCs w:val="24"/>
          <w:lang/>
        </w:rPr>
        <w:t>33.1. Податковим періодом визнається встановлений цим Кодексом період часу, з урахуванням якого відбувається обчислення та сплата окремих видів податків та зборів.</w:t>
      </w:r>
    </w:p>
    <w:p w14:paraId="4B1995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7" w:name="n993"/>
      <w:bookmarkEnd w:id="1277"/>
      <w:r w:rsidRPr="008B264B">
        <w:rPr>
          <w:rFonts w:ascii="Times New Roman" w:eastAsia="Times New Roman" w:hAnsi="Times New Roman" w:cs="Times New Roman"/>
          <w:color w:val="000000"/>
          <w:sz w:val="24"/>
          <w:szCs w:val="24"/>
          <w:lang/>
        </w:rPr>
        <w:t>33.2. Податковий період може складатися з кількох звітних періодів.</w:t>
      </w:r>
    </w:p>
    <w:p w14:paraId="2F7D03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8" w:name="n994"/>
      <w:bookmarkEnd w:id="1278"/>
      <w:r w:rsidRPr="008B264B">
        <w:rPr>
          <w:rFonts w:ascii="Times New Roman" w:eastAsia="Times New Roman" w:hAnsi="Times New Roman" w:cs="Times New Roman"/>
          <w:color w:val="000000"/>
          <w:sz w:val="24"/>
          <w:szCs w:val="24"/>
          <w:lang/>
        </w:rPr>
        <w:t>33.3. Базовий податковий (звітний) період - період, за який платник податків зобов'язаний здійснювати розрахунки податків, подавати податкові декларації (звіти, розрахунки) та сплачувати до бюджету суми податків та зборів, крім випадків, передбачених цим Кодексом, коли контролюючий орган зобов'язаний самостійно визначити суму податкового зобов'язання платника податку.</w:t>
      </w:r>
    </w:p>
    <w:p w14:paraId="69FCB7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79" w:name="n995"/>
      <w:bookmarkEnd w:id="1279"/>
      <w:r w:rsidRPr="008B264B">
        <w:rPr>
          <w:rFonts w:ascii="Times New Roman" w:eastAsia="Times New Roman" w:hAnsi="Times New Roman" w:cs="Times New Roman"/>
          <w:b/>
          <w:bCs/>
          <w:color w:val="000000"/>
          <w:sz w:val="24"/>
          <w:szCs w:val="24"/>
          <w:lang/>
        </w:rPr>
        <w:t>Стаття 34.</w:t>
      </w:r>
      <w:r w:rsidRPr="008B264B">
        <w:rPr>
          <w:rFonts w:ascii="Times New Roman" w:eastAsia="Times New Roman" w:hAnsi="Times New Roman" w:cs="Times New Roman"/>
          <w:color w:val="000000"/>
          <w:sz w:val="24"/>
          <w:szCs w:val="24"/>
          <w:lang/>
        </w:rPr>
        <w:t> Види податкового періоду</w:t>
      </w:r>
    </w:p>
    <w:p w14:paraId="1F24B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0" w:name="n996"/>
      <w:bookmarkEnd w:id="1280"/>
      <w:r w:rsidRPr="008B264B">
        <w:rPr>
          <w:rFonts w:ascii="Times New Roman" w:eastAsia="Times New Roman" w:hAnsi="Times New Roman" w:cs="Times New Roman"/>
          <w:color w:val="000000"/>
          <w:sz w:val="24"/>
          <w:szCs w:val="24"/>
          <w:lang/>
        </w:rPr>
        <w:t>34.1. Податковим періодом може бути:</w:t>
      </w:r>
    </w:p>
    <w:p w14:paraId="5E9122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1" w:name="n997"/>
      <w:bookmarkEnd w:id="1281"/>
      <w:r w:rsidRPr="008B264B">
        <w:rPr>
          <w:rFonts w:ascii="Times New Roman" w:eastAsia="Times New Roman" w:hAnsi="Times New Roman" w:cs="Times New Roman"/>
          <w:color w:val="000000"/>
          <w:sz w:val="24"/>
          <w:szCs w:val="24"/>
          <w:lang/>
        </w:rPr>
        <w:t>34.1.1. календарний рік;</w:t>
      </w:r>
    </w:p>
    <w:p w14:paraId="00EC5C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2" w:name="n998"/>
      <w:bookmarkEnd w:id="1282"/>
      <w:r w:rsidRPr="008B264B">
        <w:rPr>
          <w:rFonts w:ascii="Times New Roman" w:eastAsia="Times New Roman" w:hAnsi="Times New Roman" w:cs="Times New Roman"/>
          <w:color w:val="000000"/>
          <w:sz w:val="24"/>
          <w:szCs w:val="24"/>
          <w:lang/>
        </w:rPr>
        <w:t>34.1.2. календарне півріччя;</w:t>
      </w:r>
    </w:p>
    <w:p w14:paraId="06B5E9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3" w:name="n999"/>
      <w:bookmarkEnd w:id="1283"/>
      <w:r w:rsidRPr="008B264B">
        <w:rPr>
          <w:rFonts w:ascii="Times New Roman" w:eastAsia="Times New Roman" w:hAnsi="Times New Roman" w:cs="Times New Roman"/>
          <w:color w:val="000000"/>
          <w:sz w:val="24"/>
          <w:szCs w:val="24"/>
          <w:lang/>
        </w:rPr>
        <w:t>34.1.3. календарні три квартали;</w:t>
      </w:r>
    </w:p>
    <w:p w14:paraId="0BD0B7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4" w:name="n1000"/>
      <w:bookmarkEnd w:id="1284"/>
      <w:r w:rsidRPr="008B264B">
        <w:rPr>
          <w:rFonts w:ascii="Times New Roman" w:eastAsia="Times New Roman" w:hAnsi="Times New Roman" w:cs="Times New Roman"/>
          <w:i/>
          <w:iCs/>
          <w:color w:val="000000"/>
          <w:sz w:val="24"/>
          <w:szCs w:val="24"/>
          <w:lang/>
        </w:rPr>
        <w:t>{Підпункт 34.1.3 пункту 34.1 статті 34 в редакції Закону </w:t>
      </w:r>
      <w:hyperlink r:id="rId719" w:anchor="n3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10F4D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5" w:name="n1001"/>
      <w:bookmarkEnd w:id="1285"/>
      <w:r w:rsidRPr="008B264B">
        <w:rPr>
          <w:rFonts w:ascii="Times New Roman" w:eastAsia="Times New Roman" w:hAnsi="Times New Roman" w:cs="Times New Roman"/>
          <w:color w:val="000000"/>
          <w:sz w:val="24"/>
          <w:szCs w:val="24"/>
          <w:lang/>
        </w:rPr>
        <w:t>34.1.4. календарний квартал;</w:t>
      </w:r>
    </w:p>
    <w:p w14:paraId="231F6F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6" w:name="n1002"/>
      <w:bookmarkEnd w:id="1286"/>
      <w:r w:rsidRPr="008B264B">
        <w:rPr>
          <w:rFonts w:ascii="Times New Roman" w:eastAsia="Times New Roman" w:hAnsi="Times New Roman" w:cs="Times New Roman"/>
          <w:i/>
          <w:iCs/>
          <w:color w:val="000000"/>
          <w:sz w:val="24"/>
          <w:szCs w:val="24"/>
          <w:lang/>
        </w:rPr>
        <w:t>{Підпункт 34.1.4 пункту 34.1 статті 34 в редакції Закону </w:t>
      </w:r>
      <w:hyperlink r:id="rId720" w:anchor="n3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7FA16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7" w:name="n1003"/>
      <w:bookmarkEnd w:id="1287"/>
      <w:r w:rsidRPr="008B264B">
        <w:rPr>
          <w:rFonts w:ascii="Times New Roman" w:eastAsia="Times New Roman" w:hAnsi="Times New Roman" w:cs="Times New Roman"/>
          <w:color w:val="000000"/>
          <w:sz w:val="24"/>
          <w:szCs w:val="24"/>
          <w:lang/>
        </w:rPr>
        <w:t>34.1.5. календарний місяць;</w:t>
      </w:r>
    </w:p>
    <w:p w14:paraId="20503C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8" w:name="n1004"/>
      <w:bookmarkEnd w:id="1288"/>
      <w:r w:rsidRPr="008B264B">
        <w:rPr>
          <w:rFonts w:ascii="Times New Roman" w:eastAsia="Times New Roman" w:hAnsi="Times New Roman" w:cs="Times New Roman"/>
          <w:i/>
          <w:iCs/>
          <w:color w:val="000000"/>
          <w:sz w:val="24"/>
          <w:szCs w:val="24"/>
          <w:lang/>
        </w:rPr>
        <w:t>{Підпункт 34.1.5 пункту 34.1 статті 34 в редакції Закону </w:t>
      </w:r>
      <w:hyperlink r:id="rId721" w:anchor="n3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1349A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89" w:name="n1005"/>
      <w:bookmarkEnd w:id="1289"/>
      <w:r w:rsidRPr="008B264B">
        <w:rPr>
          <w:rFonts w:ascii="Times New Roman" w:eastAsia="Times New Roman" w:hAnsi="Times New Roman" w:cs="Times New Roman"/>
          <w:color w:val="000000"/>
          <w:sz w:val="24"/>
          <w:szCs w:val="24"/>
          <w:lang/>
        </w:rPr>
        <w:t>34.1.6. календарний день.</w:t>
      </w:r>
    </w:p>
    <w:p w14:paraId="1A08C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0" w:name="n1006"/>
      <w:bookmarkEnd w:id="1290"/>
      <w:r w:rsidRPr="008B264B">
        <w:rPr>
          <w:rFonts w:ascii="Times New Roman" w:eastAsia="Times New Roman" w:hAnsi="Times New Roman" w:cs="Times New Roman"/>
          <w:i/>
          <w:iCs/>
          <w:color w:val="000000"/>
          <w:sz w:val="24"/>
          <w:szCs w:val="24"/>
          <w:lang/>
        </w:rPr>
        <w:t>{Підпункт 34.1.6 пункту 34.1 статті 34 в редакції Закону </w:t>
      </w:r>
      <w:hyperlink r:id="rId722" w:anchor="n3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EF29C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1" w:name="n1007"/>
      <w:bookmarkEnd w:id="1291"/>
      <w:r w:rsidRPr="008B264B">
        <w:rPr>
          <w:rFonts w:ascii="Times New Roman" w:eastAsia="Times New Roman" w:hAnsi="Times New Roman" w:cs="Times New Roman"/>
          <w:i/>
          <w:iCs/>
          <w:color w:val="000000"/>
          <w:sz w:val="24"/>
          <w:szCs w:val="24"/>
          <w:lang/>
        </w:rPr>
        <w:t>{Пункт 34.1 статті 34 в редакції Закону </w:t>
      </w:r>
      <w:hyperlink r:id="rId72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C609D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2" w:name="n1008"/>
      <w:bookmarkEnd w:id="1292"/>
      <w:r w:rsidRPr="008B264B">
        <w:rPr>
          <w:rFonts w:ascii="Times New Roman" w:eastAsia="Times New Roman" w:hAnsi="Times New Roman" w:cs="Times New Roman"/>
          <w:b/>
          <w:bCs/>
          <w:color w:val="000000"/>
          <w:sz w:val="24"/>
          <w:szCs w:val="24"/>
          <w:lang/>
        </w:rPr>
        <w:t>Стаття 35.</w:t>
      </w:r>
      <w:r w:rsidRPr="008B264B">
        <w:rPr>
          <w:rFonts w:ascii="Times New Roman" w:eastAsia="Times New Roman" w:hAnsi="Times New Roman" w:cs="Times New Roman"/>
          <w:color w:val="000000"/>
          <w:sz w:val="24"/>
          <w:szCs w:val="24"/>
          <w:lang/>
        </w:rPr>
        <w:t> Порядок сплати податків та зборів</w:t>
      </w:r>
    </w:p>
    <w:p w14:paraId="417829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3" w:name="n1009"/>
      <w:bookmarkEnd w:id="1293"/>
      <w:r w:rsidRPr="008B264B">
        <w:rPr>
          <w:rFonts w:ascii="Times New Roman" w:eastAsia="Times New Roman" w:hAnsi="Times New Roman" w:cs="Times New Roman"/>
          <w:color w:val="000000"/>
          <w:sz w:val="24"/>
          <w:szCs w:val="24"/>
          <w:lang/>
        </w:rPr>
        <w:t>35.1. Сплата податків та зборів здійснюється в грошовій формі у національній валюті України, крім випадків, передбачених цим Кодексом або законами з питань митної справи.</w:t>
      </w:r>
    </w:p>
    <w:p w14:paraId="39ECE1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4" w:name="n1010"/>
      <w:bookmarkEnd w:id="1294"/>
      <w:r w:rsidRPr="008B264B">
        <w:rPr>
          <w:rFonts w:ascii="Times New Roman" w:eastAsia="Times New Roman" w:hAnsi="Times New Roman" w:cs="Times New Roman"/>
          <w:color w:val="000000"/>
          <w:sz w:val="24"/>
          <w:szCs w:val="24"/>
          <w:lang/>
        </w:rPr>
        <w:t>35.2. Сплата податків та зборів здійснюється в готівковій або безготівковій формі, крім випадків, передбачених цим Кодексом або законами з питань митної справи.</w:t>
      </w:r>
    </w:p>
    <w:p w14:paraId="4F9AAA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5" w:name="n1011"/>
      <w:bookmarkEnd w:id="1295"/>
      <w:r w:rsidRPr="008B264B">
        <w:rPr>
          <w:rFonts w:ascii="Times New Roman" w:eastAsia="Times New Roman" w:hAnsi="Times New Roman" w:cs="Times New Roman"/>
          <w:color w:val="000000"/>
          <w:sz w:val="24"/>
          <w:szCs w:val="24"/>
          <w:lang/>
        </w:rPr>
        <w:t>35.3. Порядок сплати податків та зборів встановлюється цим Кодексом або законами з питань митної справи для кожного податку окремо.</w:t>
      </w:r>
    </w:p>
    <w:p w14:paraId="7B9465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6" w:name="n10514"/>
      <w:bookmarkEnd w:id="1296"/>
      <w:r w:rsidRPr="008B264B">
        <w:rPr>
          <w:rFonts w:ascii="Times New Roman" w:eastAsia="Times New Roman" w:hAnsi="Times New Roman" w:cs="Times New Roman"/>
          <w:color w:val="000000"/>
          <w:sz w:val="24"/>
          <w:szCs w:val="24"/>
          <w:lang/>
        </w:rPr>
        <w:t>35.4. Щомісячно на офіційному сайті центрального органу виконавчої влади, що реалізує державну податкову політику, оприлюднюється:</w:t>
      </w:r>
    </w:p>
    <w:bookmarkStart w:id="1297" w:name="n10515"/>
    <w:bookmarkEnd w:id="1297"/>
    <w:p w14:paraId="06FC63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lastRenderedPageBreak/>
        <w:fldChar w:fldCharType="begin"/>
      </w:r>
      <w:r w:rsidRPr="008B264B">
        <w:rPr>
          <w:rFonts w:ascii="Times New Roman" w:eastAsia="Times New Roman" w:hAnsi="Times New Roman" w:cs="Times New Roman"/>
          <w:color w:val="000000"/>
          <w:sz w:val="24"/>
          <w:szCs w:val="24"/>
          <w:lang/>
        </w:rPr>
        <w:instrText xml:space="preserve"> HYPERLINK "https://zakon.rada.gov.ua/laws/show/z0223-15" \l "n18"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інформація</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щодо сплати податків суб’єктами природних монополій та суб’єктами господарювання, які є платниками рентної плати за користування надрами;</w:t>
      </w:r>
    </w:p>
    <w:bookmarkStart w:id="1298" w:name="n10516"/>
    <w:bookmarkEnd w:id="1298"/>
    <w:p w14:paraId="1B7287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"https://zakon.rada.gov.ua/laws/show/z0223-15" \l "n23"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інформація</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щодо суб’єктів господарювання, які мають податковий борг, із зазначенням керівників таких суб’єктів господарювання, та сум податкового боргу в розрізі платежів та територіальних органів центрального органу виконавчої влади, що реалізує державну податкову і митну політику, із зазначенням керівників таких територіальних органів.</w:t>
      </w:r>
    </w:p>
    <w:p w14:paraId="13D1B0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299" w:name="n10517"/>
      <w:bookmarkEnd w:id="1299"/>
      <w:r w:rsidRPr="008B264B">
        <w:rPr>
          <w:rFonts w:ascii="Times New Roman" w:eastAsia="Times New Roman" w:hAnsi="Times New Roman" w:cs="Times New Roman"/>
          <w:color w:val="000000"/>
          <w:sz w:val="24"/>
          <w:szCs w:val="24"/>
          <w:lang/>
        </w:rPr>
        <w:t>Форма такої інформації та </w:t>
      </w:r>
      <w:hyperlink r:id="rId724" w:anchor="n29"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її оприлюднення встановлюються центральним органом виконавчої влади, що забезпечує формування державної податкової політики.</w:t>
      </w:r>
    </w:p>
    <w:p w14:paraId="6E681C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0" w:name="n10513"/>
      <w:bookmarkEnd w:id="1300"/>
      <w:r w:rsidRPr="008B264B">
        <w:rPr>
          <w:rFonts w:ascii="Times New Roman" w:eastAsia="Times New Roman" w:hAnsi="Times New Roman" w:cs="Times New Roman"/>
          <w:i/>
          <w:iCs/>
          <w:color w:val="000000"/>
          <w:sz w:val="24"/>
          <w:szCs w:val="24"/>
          <w:lang/>
        </w:rPr>
        <w:t>{Статтю 35 доповнено пунктом 35.4 згідно із Законом </w:t>
      </w:r>
      <w:hyperlink r:id="rId725" w:anchor="n1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2C95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1" w:name="n1012"/>
      <w:bookmarkEnd w:id="1301"/>
      <w:r w:rsidRPr="008B264B">
        <w:rPr>
          <w:rFonts w:ascii="Times New Roman" w:eastAsia="Times New Roman" w:hAnsi="Times New Roman" w:cs="Times New Roman"/>
          <w:b/>
          <w:bCs/>
          <w:color w:val="000000"/>
          <w:sz w:val="24"/>
          <w:szCs w:val="24"/>
          <w:lang/>
        </w:rPr>
        <w:t>Стаття 36.</w:t>
      </w:r>
      <w:r w:rsidRPr="008B264B">
        <w:rPr>
          <w:rFonts w:ascii="Times New Roman" w:eastAsia="Times New Roman" w:hAnsi="Times New Roman" w:cs="Times New Roman"/>
          <w:color w:val="000000"/>
          <w:sz w:val="24"/>
          <w:szCs w:val="24"/>
          <w:lang/>
        </w:rPr>
        <w:t> Податковий обов'язок</w:t>
      </w:r>
    </w:p>
    <w:p w14:paraId="6868E6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2" w:name="n1013"/>
      <w:bookmarkEnd w:id="1302"/>
      <w:r w:rsidRPr="008B264B">
        <w:rPr>
          <w:rFonts w:ascii="Times New Roman" w:eastAsia="Times New Roman" w:hAnsi="Times New Roman" w:cs="Times New Roman"/>
          <w:color w:val="000000"/>
          <w:sz w:val="24"/>
          <w:szCs w:val="24"/>
          <w:lang/>
        </w:rPr>
        <w:t>36.1. Податковим обов'язком визнається обов'язок платника податку обчислити, задекларувати та/або сплатити суму податку та збору в порядку і строки, визначені цим Кодексом, законами з питань митної справи.</w:t>
      </w:r>
    </w:p>
    <w:p w14:paraId="1B6048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3" w:name="n1014"/>
      <w:bookmarkEnd w:id="1303"/>
      <w:r w:rsidRPr="008B264B">
        <w:rPr>
          <w:rFonts w:ascii="Times New Roman" w:eastAsia="Times New Roman" w:hAnsi="Times New Roman" w:cs="Times New Roman"/>
          <w:color w:val="000000"/>
          <w:sz w:val="24"/>
          <w:szCs w:val="24"/>
          <w:lang/>
        </w:rPr>
        <w:t>36.2. Податковий обов'язок виникає у платника за кожним податком та збором.</w:t>
      </w:r>
    </w:p>
    <w:p w14:paraId="57CDC5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4" w:name="n1015"/>
      <w:bookmarkEnd w:id="1304"/>
      <w:r w:rsidRPr="008B264B">
        <w:rPr>
          <w:rFonts w:ascii="Times New Roman" w:eastAsia="Times New Roman" w:hAnsi="Times New Roman" w:cs="Times New Roman"/>
          <w:color w:val="000000"/>
          <w:sz w:val="24"/>
          <w:szCs w:val="24"/>
          <w:lang/>
        </w:rPr>
        <w:t>36.3. Податковий обов'язок є безумовним і першочерговим стосовно інших неподаткових обов'язків платника податків, крім випадків, передбачених законом.</w:t>
      </w:r>
    </w:p>
    <w:p w14:paraId="0C22DC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5" w:name="n1016"/>
      <w:bookmarkEnd w:id="1305"/>
      <w:r w:rsidRPr="008B264B">
        <w:rPr>
          <w:rFonts w:ascii="Times New Roman" w:eastAsia="Times New Roman" w:hAnsi="Times New Roman" w:cs="Times New Roman"/>
          <w:color w:val="000000"/>
          <w:sz w:val="24"/>
          <w:szCs w:val="24"/>
          <w:lang/>
        </w:rPr>
        <w:t>36.4. Виконання податкового обов'язку може здійснюватися платником податків самостійно або за допомогою свого представника чи податкового агента.</w:t>
      </w:r>
    </w:p>
    <w:p w14:paraId="30617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6" w:name="n1017"/>
      <w:bookmarkEnd w:id="1306"/>
      <w:r w:rsidRPr="008B264B">
        <w:rPr>
          <w:rFonts w:ascii="Times New Roman" w:eastAsia="Times New Roman" w:hAnsi="Times New Roman" w:cs="Times New Roman"/>
          <w:color w:val="000000"/>
          <w:sz w:val="24"/>
          <w:szCs w:val="24"/>
          <w:lang/>
        </w:rPr>
        <w:t>36.5. Відповідальність за невиконання або неналежне виконання податкового обов'язку несе платник податків, крім випадків, визначених цим Кодексом або законами з питань митної справи.</w:t>
      </w:r>
    </w:p>
    <w:p w14:paraId="25EC7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7" w:name="n1018"/>
      <w:bookmarkEnd w:id="1307"/>
      <w:r w:rsidRPr="008B264B">
        <w:rPr>
          <w:rFonts w:ascii="Times New Roman" w:eastAsia="Times New Roman" w:hAnsi="Times New Roman" w:cs="Times New Roman"/>
          <w:b/>
          <w:bCs/>
          <w:color w:val="000000"/>
          <w:sz w:val="24"/>
          <w:szCs w:val="24"/>
          <w:lang/>
        </w:rPr>
        <w:t>Стаття 37.</w:t>
      </w:r>
      <w:r w:rsidRPr="008B264B">
        <w:rPr>
          <w:rFonts w:ascii="Times New Roman" w:eastAsia="Times New Roman" w:hAnsi="Times New Roman" w:cs="Times New Roman"/>
          <w:color w:val="000000"/>
          <w:sz w:val="24"/>
          <w:szCs w:val="24"/>
          <w:lang/>
        </w:rPr>
        <w:t> Виникнення, зміна і припинення податкового обов'язку</w:t>
      </w:r>
    </w:p>
    <w:p w14:paraId="7BB3C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8" w:name="n1019"/>
      <w:bookmarkEnd w:id="1308"/>
      <w:r w:rsidRPr="008B264B">
        <w:rPr>
          <w:rFonts w:ascii="Times New Roman" w:eastAsia="Times New Roman" w:hAnsi="Times New Roman" w:cs="Times New Roman"/>
          <w:color w:val="000000"/>
          <w:sz w:val="24"/>
          <w:szCs w:val="24"/>
          <w:lang/>
        </w:rPr>
        <w:t>37.1. Підстави для виникнення, зміни і припинення податкового обов'язку, порядок і умови його виконання встановлюються цим Кодексом або законами з питань митної справи.</w:t>
      </w:r>
    </w:p>
    <w:p w14:paraId="3B581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09" w:name="n1020"/>
      <w:bookmarkEnd w:id="1309"/>
      <w:r w:rsidRPr="008B264B">
        <w:rPr>
          <w:rFonts w:ascii="Times New Roman" w:eastAsia="Times New Roman" w:hAnsi="Times New Roman" w:cs="Times New Roman"/>
          <w:color w:val="000000"/>
          <w:sz w:val="24"/>
          <w:szCs w:val="24"/>
          <w:lang/>
        </w:rPr>
        <w:t>37.2. Податковий обов'язок виникає у платника податку з моменту настання обставин, з якими цей Кодекс та закони з питань митної справи пов'язує сплату ним податку.</w:t>
      </w:r>
    </w:p>
    <w:p w14:paraId="3D5853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0" w:name="n1021"/>
      <w:bookmarkEnd w:id="1310"/>
      <w:r w:rsidRPr="008B264B">
        <w:rPr>
          <w:rFonts w:ascii="Times New Roman" w:eastAsia="Times New Roman" w:hAnsi="Times New Roman" w:cs="Times New Roman"/>
          <w:color w:val="000000"/>
          <w:sz w:val="24"/>
          <w:szCs w:val="24"/>
          <w:lang/>
        </w:rPr>
        <w:t>37.3. Підставами для припинення податкового обов'язку, крім його виконання, є:</w:t>
      </w:r>
    </w:p>
    <w:p w14:paraId="008C3A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1" w:name="n1022"/>
      <w:bookmarkEnd w:id="1311"/>
      <w:r w:rsidRPr="008B264B">
        <w:rPr>
          <w:rFonts w:ascii="Times New Roman" w:eastAsia="Times New Roman" w:hAnsi="Times New Roman" w:cs="Times New Roman"/>
          <w:color w:val="000000"/>
          <w:sz w:val="24"/>
          <w:szCs w:val="24"/>
          <w:lang/>
        </w:rPr>
        <w:t>37.3.1. ліквідація юридичної особи;</w:t>
      </w:r>
    </w:p>
    <w:p w14:paraId="1EA094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2" w:name="n1023"/>
      <w:bookmarkEnd w:id="1312"/>
      <w:r w:rsidRPr="008B264B">
        <w:rPr>
          <w:rFonts w:ascii="Times New Roman" w:eastAsia="Times New Roman" w:hAnsi="Times New Roman" w:cs="Times New Roman"/>
          <w:color w:val="000000"/>
          <w:sz w:val="24"/>
          <w:szCs w:val="24"/>
          <w:lang/>
        </w:rPr>
        <w:t>37.3.2. смерть фізичної особи, визнання її недієздатною або безвісно відсутньою;</w:t>
      </w:r>
    </w:p>
    <w:p w14:paraId="1160AB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3" w:name="n1024"/>
      <w:bookmarkEnd w:id="1313"/>
      <w:r w:rsidRPr="008B264B">
        <w:rPr>
          <w:rFonts w:ascii="Times New Roman" w:eastAsia="Times New Roman" w:hAnsi="Times New Roman" w:cs="Times New Roman"/>
          <w:color w:val="000000"/>
          <w:sz w:val="24"/>
          <w:szCs w:val="24"/>
          <w:lang/>
        </w:rPr>
        <w:t>37.3.3. втрата особою ознак платника податку, які визначені цим Кодексом;</w:t>
      </w:r>
    </w:p>
    <w:p w14:paraId="44920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4" w:name="n1025"/>
      <w:bookmarkEnd w:id="1314"/>
      <w:r w:rsidRPr="008B264B">
        <w:rPr>
          <w:rFonts w:ascii="Times New Roman" w:eastAsia="Times New Roman" w:hAnsi="Times New Roman" w:cs="Times New Roman"/>
          <w:color w:val="000000"/>
          <w:sz w:val="24"/>
          <w:szCs w:val="24"/>
          <w:lang/>
        </w:rPr>
        <w:t>37.3.4. скасування податкового обов'язку у передбачений законодавством спосіб.</w:t>
      </w:r>
    </w:p>
    <w:p w14:paraId="31EB2F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5" w:name="n1026"/>
      <w:bookmarkEnd w:id="1315"/>
      <w:r w:rsidRPr="008B264B">
        <w:rPr>
          <w:rFonts w:ascii="Times New Roman" w:eastAsia="Times New Roman" w:hAnsi="Times New Roman" w:cs="Times New Roman"/>
          <w:b/>
          <w:bCs/>
          <w:color w:val="000000"/>
          <w:sz w:val="24"/>
          <w:szCs w:val="24"/>
          <w:lang/>
        </w:rPr>
        <w:t>Стаття 38.</w:t>
      </w:r>
      <w:r w:rsidRPr="008B264B">
        <w:rPr>
          <w:rFonts w:ascii="Times New Roman" w:eastAsia="Times New Roman" w:hAnsi="Times New Roman" w:cs="Times New Roman"/>
          <w:color w:val="000000"/>
          <w:sz w:val="24"/>
          <w:szCs w:val="24"/>
          <w:lang/>
        </w:rPr>
        <w:t> Виконання податкового обов'язку</w:t>
      </w:r>
    </w:p>
    <w:p w14:paraId="2679B7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6" w:name="n1027"/>
      <w:bookmarkEnd w:id="1316"/>
      <w:r w:rsidRPr="008B264B">
        <w:rPr>
          <w:rFonts w:ascii="Times New Roman" w:eastAsia="Times New Roman" w:hAnsi="Times New Roman" w:cs="Times New Roman"/>
          <w:color w:val="000000"/>
          <w:sz w:val="24"/>
          <w:szCs w:val="24"/>
          <w:lang/>
        </w:rPr>
        <w:t>38.1. Виконанням податкового обов'язку визнається сплата в повному обсязі платником відповідних сум податкових зобов'язань у встановлений податковим законодавством строк.</w:t>
      </w:r>
    </w:p>
    <w:p w14:paraId="26849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7" w:name="n1028"/>
      <w:bookmarkEnd w:id="1317"/>
      <w:r w:rsidRPr="008B264B">
        <w:rPr>
          <w:rFonts w:ascii="Times New Roman" w:eastAsia="Times New Roman" w:hAnsi="Times New Roman" w:cs="Times New Roman"/>
          <w:color w:val="000000"/>
          <w:sz w:val="24"/>
          <w:szCs w:val="24"/>
          <w:lang/>
        </w:rPr>
        <w:t>38.2. Сплата податку та збору здійснюється платником податку безпосередньо, а у випадках, передбачених податковим законодавством, - податковим агентом, або представником платника податку.</w:t>
      </w:r>
    </w:p>
    <w:p w14:paraId="4733E7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8" w:name="n1029"/>
      <w:bookmarkEnd w:id="1318"/>
      <w:r w:rsidRPr="008B264B">
        <w:rPr>
          <w:rFonts w:ascii="Times New Roman" w:eastAsia="Times New Roman" w:hAnsi="Times New Roman" w:cs="Times New Roman"/>
          <w:i/>
          <w:iCs/>
          <w:color w:val="000000"/>
          <w:sz w:val="24"/>
          <w:szCs w:val="24"/>
          <w:lang/>
        </w:rPr>
        <w:t>{Пункт 38.2 статті 38 із змінами, внесеними згідно із Законом </w:t>
      </w:r>
      <w:hyperlink r:id="rId72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D4D51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19" w:name="n1030"/>
      <w:bookmarkEnd w:id="1319"/>
      <w:r w:rsidRPr="008B264B">
        <w:rPr>
          <w:rFonts w:ascii="Times New Roman" w:eastAsia="Times New Roman" w:hAnsi="Times New Roman" w:cs="Times New Roman"/>
          <w:color w:val="000000"/>
          <w:sz w:val="24"/>
          <w:szCs w:val="24"/>
          <w:lang/>
        </w:rPr>
        <w:t>38.3. Спосіб, порядок та строки виконання податкового обов'язку встановлюються цим Кодексом та законами з питань митної справи.</w:t>
      </w:r>
    </w:p>
    <w:p w14:paraId="0A4F30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0" w:name="n1031"/>
      <w:bookmarkEnd w:id="1320"/>
      <w:r w:rsidRPr="008B264B">
        <w:rPr>
          <w:rFonts w:ascii="Times New Roman" w:eastAsia="Times New Roman" w:hAnsi="Times New Roman" w:cs="Times New Roman"/>
          <w:b/>
          <w:bCs/>
          <w:color w:val="000000"/>
          <w:sz w:val="24"/>
          <w:szCs w:val="24"/>
          <w:lang/>
        </w:rPr>
        <w:t>Стаття 39.</w:t>
      </w:r>
      <w:r w:rsidRPr="008B264B">
        <w:rPr>
          <w:rFonts w:ascii="Times New Roman" w:eastAsia="Times New Roman" w:hAnsi="Times New Roman" w:cs="Times New Roman"/>
          <w:color w:val="000000"/>
          <w:sz w:val="24"/>
          <w:szCs w:val="24"/>
          <w:lang/>
        </w:rPr>
        <w:t> Трансфертне ціноутворення</w:t>
      </w:r>
    </w:p>
    <w:p w14:paraId="1AF428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1" w:name="n10876"/>
      <w:bookmarkEnd w:id="1321"/>
      <w:r w:rsidRPr="008B264B">
        <w:rPr>
          <w:rFonts w:ascii="Times New Roman" w:eastAsia="Times New Roman" w:hAnsi="Times New Roman" w:cs="Times New Roman"/>
          <w:color w:val="000000"/>
          <w:sz w:val="24"/>
          <w:szCs w:val="24"/>
          <w:lang/>
        </w:rPr>
        <w:t>39.1. Принцип "витягнутої руки"</w:t>
      </w:r>
    </w:p>
    <w:p w14:paraId="23C5DA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2" w:name="n10877"/>
      <w:bookmarkEnd w:id="1322"/>
      <w:r w:rsidRPr="008B264B">
        <w:rPr>
          <w:rFonts w:ascii="Times New Roman" w:eastAsia="Times New Roman" w:hAnsi="Times New Roman" w:cs="Times New Roman"/>
          <w:color w:val="000000"/>
          <w:sz w:val="24"/>
          <w:szCs w:val="24"/>
          <w:lang/>
        </w:rPr>
        <w:lastRenderedPageBreak/>
        <w:t>39.1.1. Платник податку, який бере участь у контрольованій операції, повинен визначати обсяг його оподатковуваного прибутку відповідно до принципу "витягнутої руки".</w:t>
      </w:r>
    </w:p>
    <w:p w14:paraId="78605D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3" w:name="n10878"/>
      <w:bookmarkEnd w:id="1323"/>
      <w:r w:rsidRPr="008B264B">
        <w:rPr>
          <w:rFonts w:ascii="Times New Roman" w:eastAsia="Times New Roman" w:hAnsi="Times New Roman" w:cs="Times New Roman"/>
          <w:color w:val="000000"/>
          <w:sz w:val="24"/>
          <w:szCs w:val="24"/>
          <w:lang/>
        </w:rPr>
        <w:t>39.1.2. Обсяг оподатковуваного прибутку, отриманого платником податку, який бере участь в одній чи більше контрольованих операціях, вважається таким, що відповідає принципу "витягнутої руки", якщо умови зазначених операцій не відрізняються від умов, що застосовуються між непов’язаними особами у співставних неконтрольованих операціях.</w:t>
      </w:r>
    </w:p>
    <w:p w14:paraId="23F0C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4" w:name="n10879"/>
      <w:bookmarkEnd w:id="1324"/>
      <w:r w:rsidRPr="008B264B">
        <w:rPr>
          <w:rFonts w:ascii="Times New Roman" w:eastAsia="Times New Roman" w:hAnsi="Times New Roman" w:cs="Times New Roman"/>
          <w:color w:val="000000"/>
          <w:sz w:val="24"/>
          <w:szCs w:val="24"/>
          <w:lang/>
        </w:rPr>
        <w:t>39.1.3. Якщо умови в одній чи більше контрольованих операціях не відповідають принципу "витягнутої руки", прибуток, який був би нарахований платнику податків в умовах контрольованої операції, що відповідає зазначеному принципу, включається до оподатковуваного прибутку платника податку.</w:t>
      </w:r>
    </w:p>
    <w:p w14:paraId="6760B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5" w:name="n10880"/>
      <w:bookmarkEnd w:id="1325"/>
      <w:r w:rsidRPr="008B264B">
        <w:rPr>
          <w:rFonts w:ascii="Times New Roman" w:eastAsia="Times New Roman" w:hAnsi="Times New Roman" w:cs="Times New Roman"/>
          <w:color w:val="000000"/>
          <w:sz w:val="24"/>
          <w:szCs w:val="24"/>
          <w:lang/>
        </w:rPr>
        <w:t>39.1.4. Встановлення відповідності умов контрольованої операції принципу "витягнутої руки" проводиться за методами, визначеними пунктом 39.3 цієї статті, з метою перевірки правильності, повноти нарахування та сплати податку на прибуток підприємств.</w:t>
      </w:r>
    </w:p>
    <w:p w14:paraId="0535C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6" w:name="n12493"/>
      <w:bookmarkEnd w:id="1326"/>
      <w:r w:rsidRPr="008B264B">
        <w:rPr>
          <w:rFonts w:ascii="Times New Roman" w:eastAsia="Times New Roman" w:hAnsi="Times New Roman" w:cs="Times New Roman"/>
          <w:i/>
          <w:iCs/>
          <w:color w:val="000000"/>
          <w:sz w:val="24"/>
          <w:szCs w:val="24"/>
          <w:lang/>
        </w:rPr>
        <w:t>{Підпункт 39.1.4 пункту 39.1 статті 39 із змінами, внесеними згідно з Законом </w:t>
      </w:r>
      <w:hyperlink r:id="rId727" w:anchor="n16"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7B7A2C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7" w:name="n10881"/>
      <w:bookmarkEnd w:id="1327"/>
      <w:r w:rsidRPr="008B264B">
        <w:rPr>
          <w:rFonts w:ascii="Times New Roman" w:eastAsia="Times New Roman" w:hAnsi="Times New Roman" w:cs="Times New Roman"/>
          <w:color w:val="000000"/>
          <w:sz w:val="24"/>
          <w:szCs w:val="24"/>
          <w:lang/>
        </w:rPr>
        <w:t>39.2. Контрольовані операції</w:t>
      </w:r>
    </w:p>
    <w:p w14:paraId="190EF9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8" w:name="n10882"/>
      <w:bookmarkEnd w:id="1328"/>
      <w:r w:rsidRPr="008B264B">
        <w:rPr>
          <w:rFonts w:ascii="Times New Roman" w:eastAsia="Times New Roman" w:hAnsi="Times New Roman" w:cs="Times New Roman"/>
          <w:color w:val="000000"/>
          <w:sz w:val="24"/>
          <w:szCs w:val="24"/>
          <w:lang/>
        </w:rPr>
        <w:t>39.2.1. Засади визначення операцій контрольованими:</w:t>
      </w:r>
    </w:p>
    <w:p w14:paraId="6E82A0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29" w:name="n12494"/>
      <w:bookmarkEnd w:id="1329"/>
      <w:r w:rsidRPr="008B264B">
        <w:rPr>
          <w:rFonts w:ascii="Times New Roman" w:eastAsia="Times New Roman" w:hAnsi="Times New Roman" w:cs="Times New Roman"/>
          <w:i/>
          <w:iCs/>
          <w:color w:val="000000"/>
          <w:sz w:val="24"/>
          <w:szCs w:val="24"/>
          <w:lang/>
        </w:rPr>
        <w:t>{Абзац перший підпункту 39.2.1 пункту 39.2 статті 39 в редакції Законів </w:t>
      </w:r>
      <w:hyperlink r:id="rId728" w:anchor="n19"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729" w:anchor="n1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62EE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0" w:name="n10883"/>
      <w:bookmarkEnd w:id="1330"/>
      <w:r w:rsidRPr="008B264B">
        <w:rPr>
          <w:rFonts w:ascii="Times New Roman" w:eastAsia="Times New Roman" w:hAnsi="Times New Roman" w:cs="Times New Roman"/>
          <w:color w:val="000000"/>
          <w:sz w:val="24"/>
          <w:szCs w:val="24"/>
          <w:lang/>
        </w:rPr>
        <w:t>39.2.1.1. Контрольованими операціями є господарські операції платника податків, що можуть впливати на об’єкт оподаткування податком на прибуток підприємств платника податків, а саме:</w:t>
      </w:r>
    </w:p>
    <w:p w14:paraId="025E83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1" w:name="n10884"/>
      <w:bookmarkEnd w:id="1331"/>
      <w:r w:rsidRPr="008B264B">
        <w:rPr>
          <w:rFonts w:ascii="Times New Roman" w:eastAsia="Times New Roman" w:hAnsi="Times New Roman" w:cs="Times New Roman"/>
          <w:color w:val="000000"/>
          <w:sz w:val="24"/>
          <w:szCs w:val="24"/>
          <w:lang/>
        </w:rPr>
        <w:t>а) господарські операції, що здійснюються з пов’язаними особами - нерезидентами, в тому числі у випадках, визначених </w:t>
      </w:r>
      <w:hyperlink r:id="rId730" w:anchor="n10904" w:history="1">
        <w:r w:rsidRPr="008B264B">
          <w:rPr>
            <w:rFonts w:ascii="Times New Roman" w:eastAsia="Times New Roman" w:hAnsi="Times New Roman" w:cs="Times New Roman"/>
            <w:color w:val="0000FF"/>
            <w:sz w:val="24"/>
            <w:szCs w:val="24"/>
            <w:u w:val="single"/>
            <w:lang/>
          </w:rPr>
          <w:t>підпунктом 39.2.1.5</w:t>
        </w:r>
      </w:hyperlink>
      <w:r w:rsidRPr="008B264B">
        <w:rPr>
          <w:rFonts w:ascii="Times New Roman" w:eastAsia="Times New Roman" w:hAnsi="Times New Roman" w:cs="Times New Roman"/>
          <w:color w:val="000000"/>
          <w:sz w:val="24"/>
          <w:szCs w:val="24"/>
          <w:lang/>
        </w:rPr>
        <w:t> цього підпункту;</w:t>
      </w:r>
    </w:p>
    <w:p w14:paraId="7EEF73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2" w:name="n10885"/>
      <w:bookmarkEnd w:id="1332"/>
      <w:r w:rsidRPr="008B264B">
        <w:rPr>
          <w:rFonts w:ascii="Times New Roman" w:eastAsia="Times New Roman" w:hAnsi="Times New Roman" w:cs="Times New Roman"/>
          <w:color w:val="000000"/>
          <w:sz w:val="24"/>
          <w:szCs w:val="24"/>
          <w:lang/>
        </w:rPr>
        <w:t>б) зовнішньоекономічні господарські операції з продажу та/або придбання товарів та/або послуг через комісіонерів-нерезидентів;</w:t>
      </w:r>
    </w:p>
    <w:p w14:paraId="43213B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3" w:name="n13620"/>
      <w:bookmarkEnd w:id="1333"/>
      <w:r w:rsidRPr="008B264B">
        <w:rPr>
          <w:rFonts w:ascii="Times New Roman" w:eastAsia="Times New Roman" w:hAnsi="Times New Roman" w:cs="Times New Roman"/>
          <w:color w:val="000000"/>
          <w:sz w:val="24"/>
          <w:szCs w:val="24"/>
          <w:lang/>
        </w:rPr>
        <w:t>в) господарські операції, що здійснюються з нерезидентами, зареєстрованими у державах (на територіях), включених до </w:t>
      </w:r>
      <w:hyperlink r:id="rId731" w:anchor="n10" w:tgtFrame="_blank" w:history="1">
        <w:r w:rsidRPr="008B264B">
          <w:rPr>
            <w:rFonts w:ascii="Times New Roman" w:eastAsia="Times New Roman" w:hAnsi="Times New Roman" w:cs="Times New Roman"/>
            <w:color w:val="0000FF"/>
            <w:sz w:val="24"/>
            <w:szCs w:val="24"/>
            <w:u w:val="single"/>
            <w:lang/>
          </w:rPr>
          <w:t>переліку держав (територій)</w:t>
        </w:r>
      </w:hyperlink>
      <w:r w:rsidRPr="008B264B">
        <w:rPr>
          <w:rFonts w:ascii="Times New Roman" w:eastAsia="Times New Roman" w:hAnsi="Times New Roman" w:cs="Times New Roman"/>
          <w:color w:val="000000"/>
          <w:sz w:val="24"/>
          <w:szCs w:val="24"/>
          <w:lang/>
        </w:rPr>
        <w:t>, затвердженого Кабінетом Міністрів України відповідно до підпункту 39.2.1.2 цього підпункту, або які є резидентами цих держав;</w:t>
      </w:r>
    </w:p>
    <w:p w14:paraId="6CFCD4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4" w:name="n13621"/>
      <w:bookmarkEnd w:id="1334"/>
      <w:r w:rsidRPr="008B264B">
        <w:rPr>
          <w:rFonts w:ascii="Times New Roman" w:eastAsia="Times New Roman" w:hAnsi="Times New Roman" w:cs="Times New Roman"/>
          <w:color w:val="000000"/>
          <w:sz w:val="24"/>
          <w:szCs w:val="24"/>
          <w:lang/>
        </w:rPr>
        <w:t>г) господарські операції, що здійснюються з нерезидентами, які не сплачують податок на прибуток (корпоративний податок), у тому числі з доходів, отриманих за межами держави реєстрації таких нерезидентів, та/або не є податковими резидентами держави, в якій вони зареєстровані як юридичні особи. </w:t>
      </w:r>
      <w:hyperlink r:id="rId732" w:anchor="n8" w:tgtFrame="_blank" w:history="1">
        <w:r w:rsidRPr="008B264B">
          <w:rPr>
            <w:rFonts w:ascii="Times New Roman" w:eastAsia="Times New Roman" w:hAnsi="Times New Roman" w:cs="Times New Roman"/>
            <w:color w:val="0000FF"/>
            <w:sz w:val="24"/>
            <w:szCs w:val="24"/>
            <w:u w:val="single"/>
            <w:lang/>
          </w:rPr>
          <w:t>Перелік організаційно-правових форм таких нерезидентів</w:t>
        </w:r>
      </w:hyperlink>
      <w:r w:rsidRPr="008B264B">
        <w:rPr>
          <w:rFonts w:ascii="Times New Roman" w:eastAsia="Times New Roman" w:hAnsi="Times New Roman" w:cs="Times New Roman"/>
          <w:color w:val="000000"/>
          <w:sz w:val="24"/>
          <w:szCs w:val="24"/>
          <w:lang/>
        </w:rPr>
        <w:t> в розрізі держав (територій) затверджується Кабінетом Міністрів України.</w:t>
      </w:r>
    </w:p>
    <w:p w14:paraId="3A6527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5" w:name="n14764"/>
      <w:bookmarkEnd w:id="1335"/>
      <w:r w:rsidRPr="008B264B">
        <w:rPr>
          <w:rFonts w:ascii="Times New Roman" w:eastAsia="Times New Roman" w:hAnsi="Times New Roman" w:cs="Times New Roman"/>
          <w:color w:val="000000"/>
          <w:sz w:val="24"/>
          <w:szCs w:val="24"/>
          <w:lang/>
        </w:rPr>
        <w:t>У разі внесення змін до </w:t>
      </w:r>
      <w:hyperlink r:id="rId733" w:anchor="n8" w:tgtFrame="_blank" w:history="1">
        <w:r w:rsidRPr="008B264B">
          <w:rPr>
            <w:rFonts w:ascii="Times New Roman" w:eastAsia="Times New Roman" w:hAnsi="Times New Roman" w:cs="Times New Roman"/>
            <w:color w:val="0000FF"/>
            <w:sz w:val="24"/>
            <w:szCs w:val="24"/>
            <w:u w:val="single"/>
            <w:lang/>
          </w:rPr>
          <w:t>переліку організаційно-правових форм нерезидентів у розрізі держав (територій)</w:t>
        </w:r>
      </w:hyperlink>
      <w:r w:rsidRPr="008B264B">
        <w:rPr>
          <w:rFonts w:ascii="Times New Roman" w:eastAsia="Times New Roman" w:hAnsi="Times New Roman" w:cs="Times New Roman"/>
          <w:color w:val="000000"/>
          <w:sz w:val="24"/>
          <w:szCs w:val="24"/>
          <w:lang/>
        </w:rPr>
        <w:t>, затвердженого Кабінетом Міністрів України відповідно до цього підпункту, вони набирають чинності з 1 січня звітного року, що настає за календарним роком, у якому внесено такі зміни;</w:t>
      </w:r>
    </w:p>
    <w:p w14:paraId="559CDF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6" w:name="n14763"/>
      <w:bookmarkEnd w:id="1336"/>
      <w:r w:rsidRPr="008B264B">
        <w:rPr>
          <w:rFonts w:ascii="Times New Roman" w:eastAsia="Times New Roman" w:hAnsi="Times New Roman" w:cs="Times New Roman"/>
          <w:i/>
          <w:iCs/>
          <w:color w:val="000000"/>
          <w:sz w:val="24"/>
          <w:szCs w:val="24"/>
          <w:lang/>
        </w:rPr>
        <w:t>{Підпункт "г" підпункту 39.2.1.1 підпункту 39.2.1 пункту 39.2 статті 39 доповнено абзацом другим згідно із Законом </w:t>
      </w:r>
      <w:hyperlink r:id="rId734" w:anchor="n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E31A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7" w:name="n15247"/>
      <w:bookmarkEnd w:id="1337"/>
      <w:r w:rsidRPr="008B264B">
        <w:rPr>
          <w:rFonts w:ascii="Times New Roman" w:eastAsia="Times New Roman" w:hAnsi="Times New Roman" w:cs="Times New Roman"/>
          <w:color w:val="000000"/>
          <w:sz w:val="24"/>
          <w:szCs w:val="24"/>
          <w:lang/>
        </w:rPr>
        <w:t>Якщо нерезидентом, організаційно-правова форма якого включена до переліку, затвердженого Кабінетом Міністрів України відповідно до підпункту "г" цього підпункту, у звітному році сплачувався податок на прибуток (корпоративний податок), господарські операції платника податків з таким нерезидентом за відсутності критеріїв, визначених підпунктами "а" - "в" цього підпункту, визнаються неконтрольованими;</w:t>
      </w:r>
    </w:p>
    <w:p w14:paraId="523FC4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8" w:name="n15246"/>
      <w:bookmarkEnd w:id="1338"/>
      <w:r w:rsidRPr="008B264B">
        <w:rPr>
          <w:rFonts w:ascii="Times New Roman" w:eastAsia="Times New Roman" w:hAnsi="Times New Roman" w:cs="Times New Roman"/>
          <w:i/>
          <w:iCs/>
          <w:color w:val="000000"/>
          <w:sz w:val="24"/>
          <w:szCs w:val="24"/>
          <w:lang/>
        </w:rPr>
        <w:lastRenderedPageBreak/>
        <w:t>{Підпункт "г" підпункту 39.2.1.1 підпункту 39.2.1 пункту 39.2 статті 39 доповнено абзацом третім згідно із Законом </w:t>
      </w:r>
      <w:hyperlink r:id="rId735" w:anchor="n8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3605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39" w:name="n14766"/>
      <w:bookmarkEnd w:id="1339"/>
      <w:r w:rsidRPr="008B264B">
        <w:rPr>
          <w:rFonts w:ascii="Times New Roman" w:eastAsia="Times New Roman" w:hAnsi="Times New Roman" w:cs="Times New Roman"/>
          <w:color w:val="000000"/>
          <w:sz w:val="24"/>
          <w:szCs w:val="24"/>
          <w:lang/>
        </w:rPr>
        <w:t>ґ) господарські операції (у тому числі внутрішньогосподарські розрахунки), що здійснюються між нерезидентом та його постійним представництвом в Україні.</w:t>
      </w:r>
    </w:p>
    <w:p w14:paraId="52172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0" w:name="n14765"/>
      <w:bookmarkEnd w:id="1340"/>
      <w:r w:rsidRPr="008B264B">
        <w:rPr>
          <w:rFonts w:ascii="Times New Roman" w:eastAsia="Times New Roman" w:hAnsi="Times New Roman" w:cs="Times New Roman"/>
          <w:i/>
          <w:iCs/>
          <w:color w:val="000000"/>
          <w:sz w:val="24"/>
          <w:szCs w:val="24"/>
          <w:lang/>
        </w:rPr>
        <w:t>{Підпункт 39.2.1.1 підпункту 39.2.1 пункту 39.2 статті 39 доповнено підпунктом "ґ" згідно із Законом </w:t>
      </w:r>
      <w:hyperlink r:id="rId736" w:anchor="n7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в редакції Закону </w:t>
      </w:r>
      <w:hyperlink r:id="rId737" w:anchor="n8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DEC97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1" w:name="n13622"/>
      <w:bookmarkEnd w:id="1341"/>
      <w:r w:rsidRPr="008B264B">
        <w:rPr>
          <w:rFonts w:ascii="Times New Roman" w:eastAsia="Times New Roman" w:hAnsi="Times New Roman" w:cs="Times New Roman"/>
          <w:color w:val="000000"/>
          <w:sz w:val="24"/>
          <w:szCs w:val="24"/>
          <w:lang/>
        </w:rPr>
        <w:t>Якщо нерезидентом, організаційно-правова форма якого включена до переліку, затвердженого Кабінетом Міністрів України відповідно до підпункту "г" цього підпункту, у звітному році сплачувався податок на прибуток (корпоративний податок), господарські операції платника податків з ним за відсутності критеріїв, визначених підпунктами "а"-"в" цього підпункту, визнаються неконтрольованими.</w:t>
      </w:r>
    </w:p>
    <w:p w14:paraId="586FA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2" w:name="n12495"/>
      <w:bookmarkEnd w:id="1342"/>
      <w:r w:rsidRPr="008B264B">
        <w:rPr>
          <w:rFonts w:ascii="Times New Roman" w:eastAsia="Times New Roman" w:hAnsi="Times New Roman" w:cs="Times New Roman"/>
          <w:i/>
          <w:iCs/>
          <w:color w:val="000000"/>
          <w:sz w:val="24"/>
          <w:szCs w:val="24"/>
          <w:lang/>
        </w:rPr>
        <w:t>{Підпункт 39.2.1.1 підпункту 39.2.1 пункту 39.2 статті 39 в редакції Законів </w:t>
      </w:r>
      <w:hyperlink r:id="rId738" w:anchor="n2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739" w:anchor="n1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AED2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3" w:name="n10886"/>
      <w:bookmarkEnd w:id="1343"/>
      <w:r w:rsidRPr="008B264B">
        <w:rPr>
          <w:rFonts w:ascii="Times New Roman" w:eastAsia="Times New Roman" w:hAnsi="Times New Roman" w:cs="Times New Roman"/>
          <w:color w:val="000000"/>
          <w:sz w:val="24"/>
          <w:szCs w:val="24"/>
          <w:lang/>
        </w:rPr>
        <w:t>39.2.1.2. Під час визначення переліку держав (територій) для цілей підпункту "в" підпункту 39.2.1.1 цього підпункту Кабінет Міністрів України враховує такі критерії:</w:t>
      </w:r>
    </w:p>
    <w:p w14:paraId="46D9CC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4" w:name="n13623"/>
      <w:bookmarkEnd w:id="1344"/>
      <w:r w:rsidRPr="008B264B">
        <w:rPr>
          <w:rFonts w:ascii="Times New Roman" w:eastAsia="Times New Roman" w:hAnsi="Times New Roman" w:cs="Times New Roman"/>
          <w:color w:val="000000"/>
          <w:sz w:val="24"/>
          <w:szCs w:val="24"/>
          <w:lang/>
        </w:rPr>
        <w:t>держави (території), у яких ставка податку на прибуток підприємств (корпоративний податок) на 5 і більше відсоткових пунктів нижча, ніж в Україні, або які надають суб’єктам господарювання пільгові режими оподаткування, або в яких особливості розрахунку бази оподаткування фактично дозволяють суб’єктам господарювання не сплачувати податок на прибуток підприємств (корпоративний податок) або сплачувати його за ставкою, на 5 і більше відсоткових пунктів нижчою, ніж в Україні;</w:t>
      </w:r>
    </w:p>
    <w:p w14:paraId="2C8736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5" w:name="n13624"/>
      <w:bookmarkEnd w:id="1345"/>
      <w:r w:rsidRPr="008B264B">
        <w:rPr>
          <w:rFonts w:ascii="Times New Roman" w:eastAsia="Times New Roman" w:hAnsi="Times New Roman" w:cs="Times New Roman"/>
          <w:color w:val="000000"/>
          <w:sz w:val="24"/>
          <w:szCs w:val="24"/>
          <w:lang/>
        </w:rPr>
        <w:t>держави, з якими Україною не укладені міжнародні договори з положеннями про обмін інформацією;</w:t>
      </w:r>
    </w:p>
    <w:p w14:paraId="5A3050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6" w:name="n13625"/>
      <w:bookmarkEnd w:id="1346"/>
      <w:r w:rsidRPr="008B264B">
        <w:rPr>
          <w:rFonts w:ascii="Times New Roman" w:eastAsia="Times New Roman" w:hAnsi="Times New Roman" w:cs="Times New Roman"/>
          <w:color w:val="000000"/>
          <w:sz w:val="24"/>
          <w:szCs w:val="24"/>
          <w:lang/>
        </w:rPr>
        <w:t>держави, компетентні органи яких не забезпечують своєчасний та повний обмін податковою та фінансовою інформацією на запити центрального органу виконавчої влади, що реалізує державну податкову та митну політику.</w:t>
      </w:r>
    </w:p>
    <w:p w14:paraId="0A96EE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7" w:name="n10887"/>
      <w:bookmarkEnd w:id="1347"/>
      <w:r w:rsidRPr="008B264B">
        <w:rPr>
          <w:rFonts w:ascii="Times New Roman" w:eastAsia="Times New Roman" w:hAnsi="Times New Roman" w:cs="Times New Roman"/>
          <w:color w:val="000000"/>
          <w:sz w:val="24"/>
          <w:szCs w:val="24"/>
          <w:lang/>
        </w:rPr>
        <w:t>Операції з контрагентом, зареєстрованим у державі (на території), включеній до зазначеного переліку, визнаються контрольованими з 1 січня звітного року, наступного за календарним роком, у якому держави (території) було включено до такого переліку.</w:t>
      </w:r>
    </w:p>
    <w:p w14:paraId="5B43D9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8" w:name="n12496"/>
      <w:bookmarkEnd w:id="1348"/>
      <w:r w:rsidRPr="008B264B">
        <w:rPr>
          <w:rFonts w:ascii="Times New Roman" w:eastAsia="Times New Roman" w:hAnsi="Times New Roman" w:cs="Times New Roman"/>
          <w:i/>
          <w:iCs/>
          <w:color w:val="000000"/>
          <w:sz w:val="24"/>
          <w:szCs w:val="24"/>
          <w:lang/>
        </w:rPr>
        <w:t>{Підпункт 39.2.1.2 підпункту 39.2.1 пункту 39.2 статті 39 в редакції Законів </w:t>
      </w:r>
      <w:hyperlink r:id="rId740" w:anchor="n2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741" w:anchor="n1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742" w:anchor="n7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4EE85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49" w:name="n10892"/>
      <w:bookmarkEnd w:id="1349"/>
      <w:r w:rsidRPr="008B264B">
        <w:rPr>
          <w:rFonts w:ascii="Times New Roman" w:eastAsia="Times New Roman" w:hAnsi="Times New Roman" w:cs="Times New Roman"/>
          <w:color w:val="000000"/>
          <w:sz w:val="24"/>
          <w:szCs w:val="24"/>
          <w:lang/>
        </w:rPr>
        <w:t>39.2.1.3. Для контрольованих операцій з вивезення у митному режимі експорту та/або ввезення у митному режимі імпорту товарів, що мають біржове котирування, встановлення відповідності умов контрольованої операції принципу "витягнутої руки" з метою оподаткування доходів (прибутку, виручки) платників податків, що є сторонами контрольованої операції, здійснюється за методом порівняльної неконтрольованої ціни.</w:t>
      </w:r>
    </w:p>
    <w:p w14:paraId="5D902B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0" w:name="n12497"/>
      <w:bookmarkEnd w:id="1350"/>
      <w:r w:rsidRPr="008B264B">
        <w:rPr>
          <w:rFonts w:ascii="Times New Roman" w:eastAsia="Times New Roman" w:hAnsi="Times New Roman" w:cs="Times New Roman"/>
          <w:i/>
          <w:iCs/>
          <w:color w:val="000000"/>
          <w:sz w:val="24"/>
          <w:szCs w:val="24"/>
          <w:lang/>
        </w:rPr>
        <w:t>{Абзац перший підпункту 39.2.1.3 підпункту 39.2.1 пункту 39.2 статті 39 в редакції Закону </w:t>
      </w:r>
      <w:hyperlink r:id="rId743" w:anchor="n3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7EE069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1" w:name="n10893"/>
      <w:bookmarkEnd w:id="1351"/>
      <w:r w:rsidRPr="008B264B">
        <w:rPr>
          <w:rFonts w:ascii="Times New Roman" w:eastAsia="Times New Roman" w:hAnsi="Times New Roman" w:cs="Times New Roman"/>
          <w:color w:val="000000"/>
          <w:sz w:val="24"/>
          <w:szCs w:val="24"/>
          <w:lang/>
        </w:rPr>
        <w:t>Для встановлення відповідності умов контрольованих операцій принципу "витягнутої руки" використовується діапазон цін на такі товари, що склалися на товарній біржі. </w:t>
      </w:r>
      <w:hyperlink r:id="rId744" w:anchor="n9"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товарів, що мають біржове котирування, та світових товарних бірж для кожної групи товарів визначається Кабінетом Міністрів України. Діапазон цін розраховується згідно з порядком, визначеним в абзаці четвертому </w:t>
      </w:r>
      <w:hyperlink r:id="rId745" w:anchor="n10997" w:history="1">
        <w:r w:rsidRPr="008B264B">
          <w:rPr>
            <w:rFonts w:ascii="Times New Roman" w:eastAsia="Times New Roman" w:hAnsi="Times New Roman" w:cs="Times New Roman"/>
            <w:color w:val="0000FF"/>
            <w:sz w:val="24"/>
            <w:szCs w:val="24"/>
            <w:u w:val="single"/>
            <w:lang/>
          </w:rPr>
          <w:t>підпункту 39.3.2.3</w:t>
        </w:r>
      </w:hyperlink>
      <w:r w:rsidRPr="008B264B">
        <w:rPr>
          <w:rFonts w:ascii="Times New Roman" w:eastAsia="Times New Roman" w:hAnsi="Times New Roman" w:cs="Times New Roman"/>
          <w:color w:val="000000"/>
          <w:sz w:val="24"/>
          <w:szCs w:val="24"/>
          <w:lang/>
        </w:rPr>
        <w:t xml:space="preserve"> цієї статті, на підставі біржових котирувань відповідного товару за декаду, що передує проведенню контрольованої операції, а в разі контрольованої операції, яка здійснюється на підставі форвардного або ф’ючерсного контракту, - на підставі форвардних або ф’ючерсних біржових котирувань відповідного товару за декаду, що передує даті укладення відповідного форвардного або ф’ючерсного контракту, за умови що платник податків </w:t>
      </w:r>
      <w:r w:rsidRPr="008B264B">
        <w:rPr>
          <w:rFonts w:ascii="Times New Roman" w:eastAsia="Times New Roman" w:hAnsi="Times New Roman" w:cs="Times New Roman"/>
          <w:color w:val="000000"/>
          <w:sz w:val="24"/>
          <w:szCs w:val="24"/>
          <w:lang/>
        </w:rPr>
        <w:lastRenderedPageBreak/>
        <w:t>повідомить центральний орган виконавчої влади, що реалізує податкову та митну політику, про укладення такого контракту з використанням засобів електронного зв’язку в електронній формі з дотриманням вимог законів України </w:t>
      </w:r>
      <w:hyperlink r:id="rId746"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747"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 протягом 10 робочих днів з дня укладення відповідного форвардного або ф’ючерсного контракту. </w:t>
      </w:r>
      <w:hyperlink r:id="rId748" w:anchor="n18" w:tgtFrame="_blank" w:history="1">
        <w:r w:rsidRPr="008B264B">
          <w:rPr>
            <w:rFonts w:ascii="Times New Roman" w:eastAsia="Times New Roman" w:hAnsi="Times New Roman" w:cs="Times New Roman"/>
            <w:color w:val="0000FF"/>
            <w:sz w:val="24"/>
            <w:szCs w:val="24"/>
            <w:u w:val="single"/>
            <w:lang/>
          </w:rPr>
          <w:t>Форма</w:t>
        </w:r>
      </w:hyperlink>
      <w:r w:rsidRPr="008B264B">
        <w:rPr>
          <w:rFonts w:ascii="Times New Roman" w:eastAsia="Times New Roman" w:hAnsi="Times New Roman" w:cs="Times New Roman"/>
          <w:color w:val="000000"/>
          <w:sz w:val="24"/>
          <w:szCs w:val="24"/>
          <w:lang/>
        </w:rPr>
        <w:t> такого повідомлення затверджується центральним органом виконавчої влади, що забезпечує формування та реалізує державну фінансову політику.</w:t>
      </w:r>
    </w:p>
    <w:p w14:paraId="02306B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2" w:name="n12498"/>
      <w:bookmarkEnd w:id="1352"/>
      <w:r w:rsidRPr="008B264B">
        <w:rPr>
          <w:rFonts w:ascii="Times New Roman" w:eastAsia="Times New Roman" w:hAnsi="Times New Roman" w:cs="Times New Roman"/>
          <w:i/>
          <w:iCs/>
          <w:color w:val="000000"/>
          <w:sz w:val="24"/>
          <w:szCs w:val="24"/>
          <w:lang/>
        </w:rPr>
        <w:t>{Абзац другий підпункту 39.2.1.3 підпункту 39.2.1 пункту 39.2 статті 39 в редакції Закону </w:t>
      </w:r>
      <w:hyperlink r:id="rId749" w:anchor="n3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750" w:anchor="n18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94DF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3" w:name="n10894"/>
      <w:bookmarkEnd w:id="1353"/>
      <w:r w:rsidRPr="008B264B">
        <w:rPr>
          <w:rFonts w:ascii="Times New Roman" w:eastAsia="Times New Roman" w:hAnsi="Times New Roman" w:cs="Times New Roman"/>
          <w:color w:val="000000"/>
          <w:sz w:val="24"/>
          <w:szCs w:val="24"/>
          <w:lang/>
        </w:rPr>
        <w:t>Зазначені ціни підлягають коригуванню з урахуванням обсягу контрольованої операції, умов оплати та постачання товарів, якісних характеристик, транспортних витрат.</w:t>
      </w:r>
    </w:p>
    <w:p w14:paraId="684C3B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4" w:name="n12499"/>
      <w:bookmarkEnd w:id="1354"/>
      <w:r w:rsidRPr="008B264B">
        <w:rPr>
          <w:rFonts w:ascii="Times New Roman" w:eastAsia="Times New Roman" w:hAnsi="Times New Roman" w:cs="Times New Roman"/>
          <w:i/>
          <w:iCs/>
          <w:color w:val="000000"/>
          <w:sz w:val="24"/>
          <w:szCs w:val="24"/>
          <w:lang/>
        </w:rPr>
        <w:t>{Абзац третій підпункту 39.2.1.3 підпункту 39.2.1 пункту 39.2 статті 39 в редакції Закону </w:t>
      </w:r>
      <w:hyperlink r:id="rId751" w:anchor="n3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4F8DEB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5" w:name="n10895"/>
      <w:bookmarkEnd w:id="1355"/>
      <w:r w:rsidRPr="008B264B">
        <w:rPr>
          <w:rFonts w:ascii="Times New Roman" w:eastAsia="Times New Roman" w:hAnsi="Times New Roman" w:cs="Times New Roman"/>
          <w:color w:val="000000"/>
          <w:sz w:val="24"/>
          <w:szCs w:val="24"/>
          <w:lang/>
        </w:rPr>
        <w:t>У разі застосування платником податків для встановлення відповідності умов таких операцій принципу "витягнутої руки" методів, зазначених у </w:t>
      </w:r>
      <w:hyperlink r:id="rId752" w:anchor="n10981" w:history="1">
        <w:r w:rsidRPr="008B264B">
          <w:rPr>
            <w:rFonts w:ascii="Times New Roman" w:eastAsia="Times New Roman" w:hAnsi="Times New Roman" w:cs="Times New Roman"/>
            <w:color w:val="0000FF"/>
            <w:sz w:val="24"/>
            <w:szCs w:val="24"/>
            <w:u w:val="single"/>
            <w:lang/>
          </w:rPr>
          <w:t>підпунктах 39.3.1.2-39.3.1.5</w:t>
        </w:r>
      </w:hyperlink>
      <w:r w:rsidRPr="008B264B">
        <w:rPr>
          <w:rFonts w:ascii="Times New Roman" w:eastAsia="Times New Roman" w:hAnsi="Times New Roman" w:cs="Times New Roman"/>
          <w:color w:val="000000"/>
          <w:sz w:val="24"/>
          <w:szCs w:val="24"/>
          <w:lang/>
        </w:rPr>
        <w:t> підпункту 39.3.1 пункту 39.3 статті 39 цього Кодексу, платник податків повинен до 1 травня року, що настає за звітним, подати до контролюючого органу, в якому він перебуває на обліку, письмову інформацію в довільній формі, в якій зазначаються дані про всіх пов’язаних з платником податків осіб, які брали участь у ланцюгу купівлі-продажу таких товарів (до першого непов’язаного контрагента).</w:t>
      </w:r>
    </w:p>
    <w:p w14:paraId="12A288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6" w:name="n10896"/>
      <w:bookmarkEnd w:id="1356"/>
      <w:r w:rsidRPr="008B264B">
        <w:rPr>
          <w:rFonts w:ascii="Times New Roman" w:eastAsia="Times New Roman" w:hAnsi="Times New Roman" w:cs="Times New Roman"/>
          <w:color w:val="000000"/>
          <w:sz w:val="24"/>
          <w:szCs w:val="24"/>
          <w:lang/>
        </w:rPr>
        <w:t>Інформація повинна містити дані про рівень показників рентабельності пов’язаних осіб, які є найбільш доцільними виходячи із фактів та обставин здійснення операції, відповідно до застосованого платником податків методу встановлення відповідності умов контрольованої операції принципу "витягнутої руки".</w:t>
      </w:r>
    </w:p>
    <w:p w14:paraId="004BFC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7" w:name="n13626"/>
      <w:bookmarkEnd w:id="1357"/>
      <w:r w:rsidRPr="008B264B">
        <w:rPr>
          <w:rFonts w:ascii="Times New Roman" w:eastAsia="Times New Roman" w:hAnsi="Times New Roman" w:cs="Times New Roman"/>
          <w:i/>
          <w:iCs/>
          <w:color w:val="000000"/>
          <w:sz w:val="24"/>
          <w:szCs w:val="24"/>
          <w:lang/>
        </w:rPr>
        <w:t>{Абзац п'ятий підпункту 39.2.1.3 підпункту 39.2.1 пункту 39.2 статті 39 із змінами, внесеними згідно із Законом </w:t>
      </w:r>
      <w:hyperlink r:id="rId753" w:anchor="n1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E1CD7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8" w:name="n10897"/>
      <w:bookmarkEnd w:id="1358"/>
      <w:r w:rsidRPr="008B264B">
        <w:rPr>
          <w:rFonts w:ascii="Times New Roman" w:eastAsia="Times New Roman" w:hAnsi="Times New Roman" w:cs="Times New Roman"/>
          <w:color w:val="000000"/>
          <w:sz w:val="24"/>
          <w:szCs w:val="24"/>
          <w:lang/>
        </w:rPr>
        <w:t>У разі коли платник податків не подасть таку інформацію або подана інформація не містить усіх даних, достатніх для перевірки відповідності умов контрольованої операції принципу "витягнутої руки", контролюючий орган має право визначити рівень ціни контрольованої операції, що відповідає принципу "витягнутої руки", за методом порівняльної неконтрольованої ціни самостійно.</w:t>
      </w:r>
    </w:p>
    <w:p w14:paraId="337C46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59" w:name="n10898"/>
      <w:bookmarkEnd w:id="1359"/>
      <w:r w:rsidRPr="008B264B">
        <w:rPr>
          <w:rFonts w:ascii="Times New Roman" w:eastAsia="Times New Roman" w:hAnsi="Times New Roman" w:cs="Times New Roman"/>
          <w:color w:val="000000"/>
          <w:sz w:val="24"/>
          <w:szCs w:val="24"/>
          <w:lang/>
        </w:rPr>
        <w:t>39.2.1.4. Господарською операцією для цілей трансфертного ціноутворення є всі види операцій, договорів або домовленостей, документально підтверджених або непідтверджених, що можуть впливати на об’єкт оподаткування податком на прибуток підприємств платника податків, зокрема, але не виключно:</w:t>
      </w:r>
    </w:p>
    <w:p w14:paraId="41B692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0" w:name="n10899"/>
      <w:bookmarkEnd w:id="1360"/>
      <w:r w:rsidRPr="008B264B">
        <w:rPr>
          <w:rFonts w:ascii="Times New Roman" w:eastAsia="Times New Roman" w:hAnsi="Times New Roman" w:cs="Times New Roman"/>
          <w:color w:val="000000"/>
          <w:sz w:val="24"/>
          <w:szCs w:val="24"/>
          <w:lang/>
        </w:rPr>
        <w:t>а) операції з товарами, такими як сировина, готова продукція тощо;</w:t>
      </w:r>
    </w:p>
    <w:p w14:paraId="141499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1" w:name="n10900"/>
      <w:bookmarkEnd w:id="1361"/>
      <w:r w:rsidRPr="008B264B">
        <w:rPr>
          <w:rFonts w:ascii="Times New Roman" w:eastAsia="Times New Roman" w:hAnsi="Times New Roman" w:cs="Times New Roman"/>
          <w:color w:val="000000"/>
          <w:sz w:val="24"/>
          <w:szCs w:val="24"/>
          <w:lang/>
        </w:rPr>
        <w:t>б) операції з придбання (продажу) послуг;</w:t>
      </w:r>
    </w:p>
    <w:p w14:paraId="753F99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2" w:name="n10901"/>
      <w:bookmarkEnd w:id="1362"/>
      <w:r w:rsidRPr="008B264B">
        <w:rPr>
          <w:rFonts w:ascii="Times New Roman" w:eastAsia="Times New Roman" w:hAnsi="Times New Roman" w:cs="Times New Roman"/>
          <w:color w:val="000000"/>
          <w:sz w:val="24"/>
          <w:szCs w:val="24"/>
          <w:lang/>
        </w:rPr>
        <w:t>в) операції з нематеріальними активами, такими як роялті, ліцензії, плата за використання патентів, товарних знаків, ноу-хау тощо, а також з будь-якими іншими об’єктами інтелектуальної власності;</w:t>
      </w:r>
    </w:p>
    <w:p w14:paraId="23E53C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3" w:name="n10902"/>
      <w:bookmarkEnd w:id="1363"/>
      <w:r w:rsidRPr="008B264B">
        <w:rPr>
          <w:rFonts w:ascii="Times New Roman" w:eastAsia="Times New Roman" w:hAnsi="Times New Roman" w:cs="Times New Roman"/>
          <w:color w:val="000000"/>
          <w:sz w:val="24"/>
          <w:szCs w:val="24"/>
          <w:lang/>
        </w:rPr>
        <w:t>г) фінансові операції, включаючи лізинг, участь в інвестиціях, кредитах, комісії за гарантію тощо;</w:t>
      </w:r>
    </w:p>
    <w:p w14:paraId="2C5A67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4" w:name="n10903"/>
      <w:bookmarkEnd w:id="1364"/>
      <w:r w:rsidRPr="008B264B">
        <w:rPr>
          <w:rFonts w:ascii="Times New Roman" w:eastAsia="Times New Roman" w:hAnsi="Times New Roman" w:cs="Times New Roman"/>
          <w:color w:val="000000"/>
          <w:sz w:val="24"/>
          <w:szCs w:val="24"/>
          <w:lang/>
        </w:rPr>
        <w:t>ґ) операції з купівлі чи продажу корпоративних прав, акцій або інших інвестицій, купівлі чи продажу довгострокових матеріальних і нематеріальних активів;</w:t>
      </w:r>
    </w:p>
    <w:p w14:paraId="2339E5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5" w:name="n14768"/>
      <w:bookmarkEnd w:id="1365"/>
      <w:r w:rsidRPr="008B264B">
        <w:rPr>
          <w:rFonts w:ascii="Times New Roman" w:eastAsia="Times New Roman" w:hAnsi="Times New Roman" w:cs="Times New Roman"/>
          <w:color w:val="000000"/>
          <w:sz w:val="24"/>
          <w:szCs w:val="24"/>
          <w:lang/>
        </w:rPr>
        <w:t>д) операції (у тому числі внутрішньогосподарські розрахунки), що здійснюються між нерезидентом та його постійним представництвом в Україні.</w:t>
      </w:r>
    </w:p>
    <w:p w14:paraId="7F1B4C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6" w:name="n15248"/>
      <w:bookmarkEnd w:id="1366"/>
      <w:r w:rsidRPr="008B264B">
        <w:rPr>
          <w:rFonts w:ascii="Times New Roman" w:eastAsia="Times New Roman" w:hAnsi="Times New Roman" w:cs="Times New Roman"/>
          <w:i/>
          <w:iCs/>
          <w:color w:val="000000"/>
          <w:sz w:val="24"/>
          <w:szCs w:val="24"/>
          <w:lang/>
        </w:rPr>
        <w:lastRenderedPageBreak/>
        <w:t>{Підпункт 39.2.1.4 підпункту 39.2.1 пункту 39.2 статті 39 із змінами, внесеними згідно із Законами </w:t>
      </w:r>
      <w:hyperlink r:id="rId754" w:anchor="n36"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755" w:anchor="n18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756" w:anchor="n8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в редакції Закону </w:t>
      </w:r>
      <w:hyperlink r:id="rId757" w:anchor="n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5552B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7" w:name="n10904"/>
      <w:bookmarkEnd w:id="1367"/>
      <w:r w:rsidRPr="008B264B">
        <w:rPr>
          <w:rFonts w:ascii="Times New Roman" w:eastAsia="Times New Roman" w:hAnsi="Times New Roman" w:cs="Times New Roman"/>
          <w:color w:val="000000"/>
          <w:sz w:val="24"/>
          <w:szCs w:val="24"/>
          <w:lang/>
        </w:rPr>
        <w:t>39.2.1.5. Якщо в ланцюгу господарських операцій між платником податків та нерезидентом, передбачених </w:t>
      </w:r>
      <w:hyperlink r:id="rId758" w:anchor="n10883" w:history="1">
        <w:r w:rsidRPr="008B264B">
          <w:rPr>
            <w:rFonts w:ascii="Times New Roman" w:eastAsia="Times New Roman" w:hAnsi="Times New Roman" w:cs="Times New Roman"/>
            <w:color w:val="0000FF"/>
            <w:sz w:val="24"/>
            <w:szCs w:val="24"/>
            <w:u w:val="single"/>
            <w:lang/>
          </w:rPr>
          <w:t>підпунктом 39.2.1.1</w:t>
        </w:r>
      </w:hyperlink>
      <w:r w:rsidRPr="008B264B">
        <w:rPr>
          <w:rFonts w:ascii="Times New Roman" w:eastAsia="Times New Roman" w:hAnsi="Times New Roman" w:cs="Times New Roman"/>
          <w:color w:val="000000"/>
          <w:sz w:val="24"/>
          <w:szCs w:val="24"/>
          <w:lang/>
        </w:rPr>
        <w:t> цього пункту, право власності на предмет (результат) такої операції перш ніж перейти від платника податків до такого нерезидента (у разі експортних операцій) або перш ніж перейти від такого нерезидента до платника податків (у разі імпортних операцій) переходить до однієї або декількох осіб і операція між відповідним резидентом та жодною з таких осіб не визнавалася платником податку контрольованою операцією, така операція вважається контрольованою операцією між платником податків та таким нерезидентом, якщо особи, до яких перейшло право власності:</w:t>
      </w:r>
    </w:p>
    <w:p w14:paraId="3F7272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8" w:name="n10905"/>
      <w:bookmarkEnd w:id="1368"/>
      <w:r w:rsidRPr="008B264B">
        <w:rPr>
          <w:rFonts w:ascii="Times New Roman" w:eastAsia="Times New Roman" w:hAnsi="Times New Roman" w:cs="Times New Roman"/>
          <w:color w:val="000000"/>
          <w:sz w:val="24"/>
          <w:szCs w:val="24"/>
          <w:lang/>
        </w:rPr>
        <w:t>не виконують у такій сукупності операцій істотних функцій, пов’язаних з придбанням (продажем) товарів (робіт, послуг);</w:t>
      </w:r>
    </w:p>
    <w:p w14:paraId="249761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69" w:name="n10906"/>
      <w:bookmarkEnd w:id="1369"/>
      <w:r w:rsidRPr="008B264B">
        <w:rPr>
          <w:rFonts w:ascii="Times New Roman" w:eastAsia="Times New Roman" w:hAnsi="Times New Roman" w:cs="Times New Roman"/>
          <w:color w:val="000000"/>
          <w:sz w:val="24"/>
          <w:szCs w:val="24"/>
          <w:lang/>
        </w:rPr>
        <w:t>не використовують у такій сукупності операцій істотних активів та/або не приймають на себе істотних ризиків для організації придбання (продажу) товарів (робіт, послуг).</w:t>
      </w:r>
    </w:p>
    <w:p w14:paraId="5E915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0" w:name="n10907"/>
      <w:bookmarkEnd w:id="1370"/>
      <w:r w:rsidRPr="008B264B">
        <w:rPr>
          <w:rFonts w:ascii="Times New Roman" w:eastAsia="Times New Roman" w:hAnsi="Times New Roman" w:cs="Times New Roman"/>
          <w:color w:val="000000"/>
          <w:sz w:val="24"/>
          <w:szCs w:val="24"/>
          <w:lang/>
        </w:rPr>
        <w:t>Для цілей цього підпункту:</w:t>
      </w:r>
    </w:p>
    <w:p w14:paraId="07CDA8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1" w:name="n14771"/>
      <w:bookmarkEnd w:id="1371"/>
      <w:r w:rsidRPr="008B264B">
        <w:rPr>
          <w:rFonts w:ascii="Times New Roman" w:eastAsia="Times New Roman" w:hAnsi="Times New Roman" w:cs="Times New Roman"/>
          <w:color w:val="000000"/>
          <w:sz w:val="24"/>
          <w:szCs w:val="24"/>
          <w:lang/>
        </w:rPr>
        <w:t>під істотними функціями розуміються функції, які платник податків та нерезидент - сторони контрольованої операції не могли б виконати самостійно у своїй звичайній діяльності без залучення інших осіб та використання активів таких осіб;</w:t>
      </w:r>
    </w:p>
    <w:p w14:paraId="77CF4C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2" w:name="n14772"/>
      <w:bookmarkEnd w:id="1372"/>
      <w:r w:rsidRPr="008B264B">
        <w:rPr>
          <w:rFonts w:ascii="Times New Roman" w:eastAsia="Times New Roman" w:hAnsi="Times New Roman" w:cs="Times New Roman"/>
          <w:color w:val="000000"/>
          <w:sz w:val="24"/>
          <w:szCs w:val="24"/>
          <w:lang/>
        </w:rPr>
        <w:t>під істотними активами розуміються активи, використання яких є необхідним під час здійснення таких операцій та які відсутні у платника податків та нерезидента - сторін контрольованої операції;</w:t>
      </w:r>
    </w:p>
    <w:p w14:paraId="66B5BA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3" w:name="n14773"/>
      <w:bookmarkEnd w:id="1373"/>
      <w:r w:rsidRPr="008B264B">
        <w:rPr>
          <w:rFonts w:ascii="Times New Roman" w:eastAsia="Times New Roman" w:hAnsi="Times New Roman" w:cs="Times New Roman"/>
          <w:color w:val="000000"/>
          <w:sz w:val="24"/>
          <w:szCs w:val="24"/>
          <w:lang/>
        </w:rPr>
        <w:t>під істотними ризиками розуміються ризики, прийняття яких є обов’язковим для ділової практики таких операцій";</w:t>
      </w:r>
    </w:p>
    <w:p w14:paraId="64CBA2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4" w:name="n14769"/>
      <w:bookmarkEnd w:id="1374"/>
      <w:r w:rsidRPr="008B264B">
        <w:rPr>
          <w:rFonts w:ascii="Times New Roman" w:eastAsia="Times New Roman" w:hAnsi="Times New Roman" w:cs="Times New Roman"/>
          <w:i/>
          <w:iCs/>
          <w:color w:val="000000"/>
          <w:sz w:val="24"/>
          <w:szCs w:val="24"/>
          <w:lang/>
        </w:rPr>
        <w:t>{Підпункт 39.2.1.5 підпункту 39.2.1 пункту 39.2 статті 39 із змінами, внесеними згідно із Законами </w:t>
      </w:r>
      <w:hyperlink r:id="rId759" w:anchor="n39"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760" w:anchor="n1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Законів </w:t>
      </w:r>
      <w:hyperlink r:id="rId761" w:anchor="n8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762" w:anchor="n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3274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5" w:name="n10908"/>
      <w:bookmarkEnd w:id="1375"/>
      <w:r w:rsidRPr="008B264B">
        <w:rPr>
          <w:rFonts w:ascii="Times New Roman" w:eastAsia="Times New Roman" w:hAnsi="Times New Roman" w:cs="Times New Roman"/>
          <w:color w:val="000000"/>
          <w:sz w:val="24"/>
          <w:szCs w:val="24"/>
          <w:lang/>
        </w:rPr>
        <w:t>39.2.1.6. Неконтрольовані операції - будь-які господарські операції, не передбачені </w:t>
      </w:r>
      <w:hyperlink r:id="rId763" w:anchor="n10883" w:history="1">
        <w:r w:rsidRPr="008B264B">
          <w:rPr>
            <w:rFonts w:ascii="Times New Roman" w:eastAsia="Times New Roman" w:hAnsi="Times New Roman" w:cs="Times New Roman"/>
            <w:color w:val="0000FF"/>
            <w:sz w:val="24"/>
            <w:szCs w:val="24"/>
            <w:u w:val="single"/>
            <w:lang/>
          </w:rPr>
          <w:t>підпунктами 39.2.1.1</w:t>
        </w:r>
      </w:hyperlink>
      <w:r w:rsidRPr="008B264B">
        <w:rPr>
          <w:rFonts w:ascii="Times New Roman" w:eastAsia="Times New Roman" w:hAnsi="Times New Roman" w:cs="Times New Roman"/>
          <w:color w:val="000000"/>
          <w:sz w:val="24"/>
          <w:szCs w:val="24"/>
          <w:lang/>
        </w:rPr>
        <w:t> і </w:t>
      </w:r>
      <w:hyperlink r:id="rId764" w:anchor="n10904" w:history="1">
        <w:r w:rsidRPr="008B264B">
          <w:rPr>
            <w:rFonts w:ascii="Times New Roman" w:eastAsia="Times New Roman" w:hAnsi="Times New Roman" w:cs="Times New Roman"/>
            <w:color w:val="0000FF"/>
            <w:sz w:val="24"/>
            <w:szCs w:val="24"/>
            <w:u w:val="single"/>
            <w:lang/>
          </w:rPr>
          <w:t>39.2.1.5</w:t>
        </w:r>
      </w:hyperlink>
      <w:r w:rsidRPr="008B264B">
        <w:rPr>
          <w:rFonts w:ascii="Times New Roman" w:eastAsia="Times New Roman" w:hAnsi="Times New Roman" w:cs="Times New Roman"/>
          <w:color w:val="000000"/>
          <w:sz w:val="24"/>
          <w:szCs w:val="24"/>
          <w:lang/>
        </w:rPr>
        <w:t> підпункту 39.2.1 цього пункту, що здійснюються між непов’язаними особами.</w:t>
      </w:r>
    </w:p>
    <w:p w14:paraId="4437B5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6" w:name="n12503"/>
      <w:bookmarkEnd w:id="1376"/>
      <w:r w:rsidRPr="008B264B">
        <w:rPr>
          <w:rFonts w:ascii="Times New Roman" w:eastAsia="Times New Roman" w:hAnsi="Times New Roman" w:cs="Times New Roman"/>
          <w:i/>
          <w:iCs/>
          <w:color w:val="000000"/>
          <w:sz w:val="24"/>
          <w:szCs w:val="24"/>
          <w:lang/>
        </w:rPr>
        <w:t>{Підпункт 39.2.1.6 підпункту 39.2.1 пункту 39.2 статті 39 в редакції Закону </w:t>
      </w:r>
      <w:hyperlink r:id="rId765" w:anchor="n4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766" w:anchor="n1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829D2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7" w:name="n10914"/>
      <w:bookmarkEnd w:id="1377"/>
      <w:r w:rsidRPr="008B264B">
        <w:rPr>
          <w:rFonts w:ascii="Times New Roman" w:eastAsia="Times New Roman" w:hAnsi="Times New Roman" w:cs="Times New Roman"/>
          <w:color w:val="000000"/>
          <w:sz w:val="24"/>
          <w:szCs w:val="24"/>
          <w:lang/>
        </w:rPr>
        <w:t>39.2.1.7. Господарські операції, передбачені </w:t>
      </w:r>
      <w:hyperlink r:id="rId767" w:anchor="n10883" w:history="1">
        <w:r w:rsidRPr="008B264B">
          <w:rPr>
            <w:rFonts w:ascii="Times New Roman" w:eastAsia="Times New Roman" w:hAnsi="Times New Roman" w:cs="Times New Roman"/>
            <w:color w:val="0000FF"/>
            <w:sz w:val="24"/>
            <w:szCs w:val="24"/>
            <w:u w:val="single"/>
            <w:lang/>
          </w:rPr>
          <w:t>підпунктами 39.2.1.1</w:t>
        </w:r>
      </w:hyperlink>
      <w:r w:rsidRPr="008B264B">
        <w:rPr>
          <w:rFonts w:ascii="Times New Roman" w:eastAsia="Times New Roman" w:hAnsi="Times New Roman" w:cs="Times New Roman"/>
          <w:color w:val="000000"/>
          <w:sz w:val="24"/>
          <w:szCs w:val="24"/>
          <w:lang/>
        </w:rPr>
        <w:t> (крім операцій, що здійснюються між нерезидентом та його постійним представництвом в Україні) і </w:t>
      </w:r>
      <w:hyperlink r:id="rId768" w:anchor="n10904" w:history="1">
        <w:r w:rsidRPr="008B264B">
          <w:rPr>
            <w:rFonts w:ascii="Times New Roman" w:eastAsia="Times New Roman" w:hAnsi="Times New Roman" w:cs="Times New Roman"/>
            <w:color w:val="0000FF"/>
            <w:sz w:val="24"/>
            <w:szCs w:val="24"/>
            <w:u w:val="single"/>
            <w:lang/>
          </w:rPr>
          <w:t>39.2.1.5</w:t>
        </w:r>
      </w:hyperlink>
      <w:r w:rsidRPr="008B264B">
        <w:rPr>
          <w:rFonts w:ascii="Times New Roman" w:eastAsia="Times New Roman" w:hAnsi="Times New Roman" w:cs="Times New Roman"/>
          <w:color w:val="000000"/>
          <w:sz w:val="24"/>
          <w:szCs w:val="24"/>
          <w:lang/>
        </w:rPr>
        <w:t> цього підпункту, визнаються контрольованими, якщо одночасно виконуються такі умови:</w:t>
      </w:r>
    </w:p>
    <w:p w14:paraId="676BE8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8" w:name="n10915"/>
      <w:bookmarkEnd w:id="1378"/>
      <w:r w:rsidRPr="008B264B">
        <w:rPr>
          <w:rFonts w:ascii="Times New Roman" w:eastAsia="Times New Roman" w:hAnsi="Times New Roman" w:cs="Times New Roman"/>
          <w:color w:val="000000"/>
          <w:sz w:val="24"/>
          <w:szCs w:val="24"/>
          <w:lang/>
        </w:rPr>
        <w:t>річний дохід платника податків від будь-якої діяльності, визначений за правилами бухгалтерського обліку, перевищує 150 мільйонів гривень (за вирахуванням непрямих податків) за відповідний податковий (звітний) рік;</w:t>
      </w:r>
    </w:p>
    <w:p w14:paraId="31CE13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79" w:name="n10916"/>
      <w:bookmarkEnd w:id="1379"/>
      <w:r w:rsidRPr="008B264B">
        <w:rPr>
          <w:rFonts w:ascii="Times New Roman" w:eastAsia="Times New Roman" w:hAnsi="Times New Roman" w:cs="Times New Roman"/>
          <w:color w:val="000000"/>
          <w:sz w:val="24"/>
          <w:szCs w:val="24"/>
          <w:lang/>
        </w:rPr>
        <w:t>обсяг таких господарських операцій платника податків з кожним контрагентом, визначений за правилами бухгалтерського обліку, перевищує 10 мільйонів гривень (за вирахуванням непрямих податків) за відповідний податковий (звітний) рік.</w:t>
      </w:r>
    </w:p>
    <w:p w14:paraId="49BBD8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0" w:name="n14775"/>
      <w:bookmarkEnd w:id="1380"/>
      <w:r w:rsidRPr="008B264B">
        <w:rPr>
          <w:rFonts w:ascii="Times New Roman" w:eastAsia="Times New Roman" w:hAnsi="Times New Roman" w:cs="Times New Roman"/>
          <w:color w:val="000000"/>
          <w:sz w:val="24"/>
          <w:szCs w:val="24"/>
          <w:lang/>
        </w:rPr>
        <w:t>Господарські операції, що здійснюються між нерезидентом та його постійним представництвом в Україні, визнаються контрольованими, якщо обсяг таких господарських операцій, визначений за правилами бухгалтерського обліку, перевищує 10 мільйонів гривень (за вирахуванням непрямих податків) за відповідний податковий (звітний) рік.</w:t>
      </w:r>
    </w:p>
    <w:p w14:paraId="4676C0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1" w:name="n12504"/>
      <w:bookmarkEnd w:id="1381"/>
      <w:r w:rsidRPr="008B264B">
        <w:rPr>
          <w:rFonts w:ascii="Times New Roman" w:eastAsia="Times New Roman" w:hAnsi="Times New Roman" w:cs="Times New Roman"/>
          <w:i/>
          <w:iCs/>
          <w:color w:val="000000"/>
          <w:sz w:val="24"/>
          <w:szCs w:val="24"/>
          <w:lang/>
        </w:rPr>
        <w:lastRenderedPageBreak/>
        <w:t>{Підпункт 39.2.1.7 підпункту 39.2.1 пункту 39.1 статті 39 в редакції Закону </w:t>
      </w:r>
      <w:hyperlink r:id="rId769" w:anchor="n4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770" w:anchor="n1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771" w:anchor="n8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4C4A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2" w:name="n12506"/>
      <w:bookmarkEnd w:id="1382"/>
      <w:r w:rsidRPr="008B264B">
        <w:rPr>
          <w:rFonts w:ascii="Times New Roman" w:eastAsia="Times New Roman" w:hAnsi="Times New Roman" w:cs="Times New Roman"/>
          <w:color w:val="000000"/>
          <w:sz w:val="24"/>
          <w:szCs w:val="24"/>
          <w:lang/>
        </w:rPr>
        <w:t>39.2.1.8. Умови, за яких господарські операції визнаються такими, що відповідають принципу "витягнутої руки":</w:t>
      </w:r>
    </w:p>
    <w:p w14:paraId="16CCE8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3" w:name="n12507"/>
      <w:bookmarkEnd w:id="1383"/>
      <w:r w:rsidRPr="008B264B">
        <w:rPr>
          <w:rFonts w:ascii="Times New Roman" w:eastAsia="Times New Roman" w:hAnsi="Times New Roman" w:cs="Times New Roman"/>
          <w:color w:val="000000"/>
          <w:sz w:val="24"/>
          <w:szCs w:val="24"/>
          <w:lang/>
        </w:rPr>
        <w:t>якщо ціни (націнки) на товари (роботи, послуги) підлягають державному регулюванню згідно із законодавством, ціна вважається такою, що відповідає принципу "витягнутої руки", якщо вона встановлена відповідно до правил такого регулювання. Це положення не поширюється на випадки, коли встановлюється мінімальна (максимальна) ціна (націнка) продажу або індикативна ціна. У такому разі ціна операції, що відповідає принципу "витягнутої руки", визначається відповідно до цієї статті, але не може бути меншою за мінімальну ціну (націнку) або індикативну ціну та більшою за максимальну ціну (націнку);</w:t>
      </w:r>
    </w:p>
    <w:p w14:paraId="4DFF9D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4" w:name="n13630"/>
      <w:bookmarkEnd w:id="1384"/>
      <w:r w:rsidRPr="008B264B">
        <w:rPr>
          <w:rFonts w:ascii="Times New Roman" w:eastAsia="Times New Roman" w:hAnsi="Times New Roman" w:cs="Times New Roman"/>
          <w:i/>
          <w:iCs/>
          <w:color w:val="000000"/>
          <w:sz w:val="24"/>
          <w:szCs w:val="24"/>
          <w:lang/>
        </w:rPr>
        <w:t>{Абзац другий підпункту 39.2.1.8 підпункту 39.2.1 пункту 39.2 статті 39 із змінами, внесеними згідно із Законом </w:t>
      </w:r>
      <w:hyperlink r:id="rId772" w:anchor="n1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5ABF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5" w:name="n12508"/>
      <w:bookmarkEnd w:id="1385"/>
      <w:r w:rsidRPr="008B264B">
        <w:rPr>
          <w:rFonts w:ascii="Times New Roman" w:eastAsia="Times New Roman" w:hAnsi="Times New Roman" w:cs="Times New Roman"/>
          <w:color w:val="000000"/>
          <w:sz w:val="24"/>
          <w:szCs w:val="24"/>
          <w:lang/>
        </w:rPr>
        <w:t>якщо під час здійснення операції обов’язковим є проведення оцінки, вартість об’єкта оцінки є підставою для встановлення відповідності принципу "витягнутої руки" для цілей оподаткування;</w:t>
      </w:r>
    </w:p>
    <w:p w14:paraId="4E65FE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6" w:name="n12509"/>
      <w:bookmarkEnd w:id="1386"/>
      <w:r w:rsidRPr="008B264B">
        <w:rPr>
          <w:rFonts w:ascii="Times New Roman" w:eastAsia="Times New Roman" w:hAnsi="Times New Roman" w:cs="Times New Roman"/>
          <w:color w:val="000000"/>
          <w:sz w:val="24"/>
          <w:szCs w:val="24"/>
          <w:lang/>
        </w:rPr>
        <w:t>у разі проведення аукціону (публічних торгів), обов’язковість проведення якого визначена законом, умови, які склалися за результатами такого аукціону (публічних торгів), визнаються такими, що відповідають принципу "витягнутої руки";</w:t>
      </w:r>
    </w:p>
    <w:p w14:paraId="39E1D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7" w:name="n12510"/>
      <w:bookmarkEnd w:id="1387"/>
      <w:r w:rsidRPr="008B264B">
        <w:rPr>
          <w:rFonts w:ascii="Times New Roman" w:eastAsia="Times New Roman" w:hAnsi="Times New Roman" w:cs="Times New Roman"/>
          <w:color w:val="000000"/>
          <w:sz w:val="24"/>
          <w:szCs w:val="24"/>
          <w:lang/>
        </w:rPr>
        <w:t>якщо продаж (відчуження) товарів, у тому числі майна, переданого у заставу позичальником з метою забезпечення вимог кредитора, здійснюється у примусовому порядку згідно із законодавством, умови, сформовані під час такого продажу, визнаються такими, що відповідають принципу "витягнутої руки".</w:t>
      </w:r>
    </w:p>
    <w:p w14:paraId="2755CD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8" w:name="n12505"/>
      <w:bookmarkEnd w:id="1388"/>
      <w:r w:rsidRPr="008B264B">
        <w:rPr>
          <w:rFonts w:ascii="Times New Roman" w:eastAsia="Times New Roman" w:hAnsi="Times New Roman" w:cs="Times New Roman"/>
          <w:i/>
          <w:iCs/>
          <w:color w:val="000000"/>
          <w:sz w:val="24"/>
          <w:szCs w:val="24"/>
          <w:lang/>
        </w:rPr>
        <w:t>{Підпункт 39.2.1 пункту 39.2 статті 39 доповнено підпунктом 39.2.1.8 згідно із Законом </w:t>
      </w:r>
      <w:hyperlink r:id="rId773" w:anchor="n46"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21ABF1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89" w:name="n14777"/>
      <w:bookmarkEnd w:id="1389"/>
      <w:r w:rsidRPr="008B264B">
        <w:rPr>
          <w:rFonts w:ascii="Times New Roman" w:eastAsia="Times New Roman" w:hAnsi="Times New Roman" w:cs="Times New Roman"/>
          <w:color w:val="000000"/>
          <w:sz w:val="24"/>
          <w:szCs w:val="24"/>
          <w:lang/>
        </w:rPr>
        <w:t>39.2.1.9. Обсяг господарських операцій платника податків для цілей </w:t>
      </w:r>
      <w:hyperlink r:id="rId774" w:anchor="n10914" w:history="1">
        <w:r w:rsidRPr="008B264B">
          <w:rPr>
            <w:rFonts w:ascii="Times New Roman" w:eastAsia="Times New Roman" w:hAnsi="Times New Roman" w:cs="Times New Roman"/>
            <w:color w:val="0000FF"/>
            <w:sz w:val="24"/>
            <w:szCs w:val="24"/>
            <w:u w:val="single"/>
            <w:lang/>
          </w:rPr>
          <w:t>підпункту 39.2.1.7</w:t>
        </w:r>
      </w:hyperlink>
      <w:r w:rsidRPr="008B264B">
        <w:rPr>
          <w:rFonts w:ascii="Times New Roman" w:eastAsia="Times New Roman" w:hAnsi="Times New Roman" w:cs="Times New Roman"/>
          <w:color w:val="000000"/>
          <w:sz w:val="24"/>
          <w:szCs w:val="24"/>
          <w:lang/>
        </w:rPr>
        <w:t> цього підпункту обраховується за цінами, що відповідають принципу "витягнутої руки".</w:t>
      </w:r>
    </w:p>
    <w:p w14:paraId="5C5560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0" w:name="n14776"/>
      <w:bookmarkEnd w:id="1390"/>
      <w:r w:rsidRPr="008B264B">
        <w:rPr>
          <w:rFonts w:ascii="Times New Roman" w:eastAsia="Times New Roman" w:hAnsi="Times New Roman" w:cs="Times New Roman"/>
          <w:i/>
          <w:iCs/>
          <w:color w:val="000000"/>
          <w:sz w:val="24"/>
          <w:szCs w:val="24"/>
          <w:lang/>
        </w:rPr>
        <w:t>{Підпункт 39.2.1 пункту 39.2 статті 39 доповнено підпунктом 39.2.1.9 згідно із Законом </w:t>
      </w:r>
      <w:hyperlink r:id="rId775" w:anchor="n9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2764B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1" w:name="n10917"/>
      <w:bookmarkEnd w:id="1391"/>
      <w:r w:rsidRPr="008B264B">
        <w:rPr>
          <w:rFonts w:ascii="Times New Roman" w:eastAsia="Times New Roman" w:hAnsi="Times New Roman" w:cs="Times New Roman"/>
          <w:color w:val="000000"/>
          <w:sz w:val="24"/>
          <w:szCs w:val="24"/>
          <w:lang/>
        </w:rPr>
        <w:t>39.2.2. Зіставлення комерційних та фінансових умов операцій</w:t>
      </w:r>
    </w:p>
    <w:p w14:paraId="1F4066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2" w:name="n10918"/>
      <w:bookmarkEnd w:id="1392"/>
      <w:r w:rsidRPr="008B264B">
        <w:rPr>
          <w:rFonts w:ascii="Times New Roman" w:eastAsia="Times New Roman" w:hAnsi="Times New Roman" w:cs="Times New Roman"/>
          <w:color w:val="000000"/>
          <w:sz w:val="24"/>
          <w:szCs w:val="24"/>
          <w:lang/>
        </w:rPr>
        <w:t>39.2.2.1. Для цілей цього Кодексу контрольовані операції визнаються зіставними з неконтрольованими, якщо:</w:t>
      </w:r>
    </w:p>
    <w:p w14:paraId="04A96F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3" w:name="n10919"/>
      <w:bookmarkEnd w:id="1393"/>
      <w:r w:rsidRPr="008B264B">
        <w:rPr>
          <w:rFonts w:ascii="Times New Roman" w:eastAsia="Times New Roman" w:hAnsi="Times New Roman" w:cs="Times New Roman"/>
          <w:color w:val="000000"/>
          <w:sz w:val="24"/>
          <w:szCs w:val="24"/>
          <w:lang/>
        </w:rPr>
        <w:t>немає значних відмінностей між ними, що можуть істотно вплинути на фінансовий результат під час застосування відповідного методу трансфертного ціноутворення;</w:t>
      </w:r>
    </w:p>
    <w:p w14:paraId="731BFF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4" w:name="n10920"/>
      <w:bookmarkEnd w:id="1394"/>
      <w:r w:rsidRPr="008B264B">
        <w:rPr>
          <w:rFonts w:ascii="Times New Roman" w:eastAsia="Times New Roman" w:hAnsi="Times New Roman" w:cs="Times New Roman"/>
          <w:color w:val="000000"/>
          <w:sz w:val="24"/>
          <w:szCs w:val="24"/>
          <w:lang/>
        </w:rPr>
        <w:t>такі відмінності можуть бути усунені шляхом коригування умов та фінансових результатів контрольованої або неконтрольованої операції для уникнення впливу таких відмінностей на зіставність.</w:t>
      </w:r>
    </w:p>
    <w:p w14:paraId="1434E4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5" w:name="n13631"/>
      <w:bookmarkEnd w:id="1395"/>
      <w:r w:rsidRPr="008B264B">
        <w:rPr>
          <w:rFonts w:ascii="Times New Roman" w:eastAsia="Times New Roman" w:hAnsi="Times New Roman" w:cs="Times New Roman"/>
          <w:i/>
          <w:iCs/>
          <w:color w:val="000000"/>
          <w:sz w:val="24"/>
          <w:szCs w:val="24"/>
          <w:lang/>
        </w:rPr>
        <w:t>{Абзац третій підпункту 39.2.2.1 підпункту 39.2.2 пункту 39.2 статті 39 із змінами, внесеними згідно із Законом </w:t>
      </w:r>
      <w:hyperlink r:id="rId776" w:anchor="n19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2F33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6" w:name="n10921"/>
      <w:bookmarkEnd w:id="1396"/>
      <w:r w:rsidRPr="008B264B">
        <w:rPr>
          <w:rFonts w:ascii="Times New Roman" w:eastAsia="Times New Roman" w:hAnsi="Times New Roman" w:cs="Times New Roman"/>
          <w:color w:val="000000"/>
          <w:sz w:val="24"/>
          <w:szCs w:val="24"/>
          <w:lang/>
        </w:rPr>
        <w:t>39.2.2.2. Під час визначення зіставності операцій аналізуються такі елементи контрольованої та зіставних операцій:</w:t>
      </w:r>
    </w:p>
    <w:p w14:paraId="49E530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7" w:name="n10922"/>
      <w:bookmarkEnd w:id="1397"/>
      <w:r w:rsidRPr="008B264B">
        <w:rPr>
          <w:rFonts w:ascii="Times New Roman" w:eastAsia="Times New Roman" w:hAnsi="Times New Roman" w:cs="Times New Roman"/>
          <w:color w:val="000000"/>
          <w:sz w:val="24"/>
          <w:szCs w:val="24"/>
          <w:lang/>
        </w:rPr>
        <w:t>характеристика товарів (робіт, послуг), які є предметом операції;</w:t>
      </w:r>
    </w:p>
    <w:p w14:paraId="7877E8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8" w:name="n10923"/>
      <w:bookmarkEnd w:id="1398"/>
      <w:r w:rsidRPr="008B264B">
        <w:rPr>
          <w:rFonts w:ascii="Times New Roman" w:eastAsia="Times New Roman" w:hAnsi="Times New Roman" w:cs="Times New Roman"/>
          <w:color w:val="000000"/>
          <w:sz w:val="24"/>
          <w:szCs w:val="24"/>
          <w:lang/>
        </w:rPr>
        <w:lastRenderedPageBreak/>
        <w:t>функції, які виконуються сторонами операції, активи, що ними використовуються, умови розподілу між сторонами операції ризиків та вигод, розподіл відповідальності між сторонами операції та інші умови операції (далі - функціональний аналіз);</w:t>
      </w:r>
    </w:p>
    <w:p w14:paraId="2B1E6E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399" w:name="n10924"/>
      <w:bookmarkEnd w:id="1399"/>
      <w:r w:rsidRPr="008B264B">
        <w:rPr>
          <w:rFonts w:ascii="Times New Roman" w:eastAsia="Times New Roman" w:hAnsi="Times New Roman" w:cs="Times New Roman"/>
          <w:color w:val="000000"/>
          <w:sz w:val="24"/>
          <w:szCs w:val="24"/>
          <w:lang/>
        </w:rPr>
        <w:t>стала практика відносин та умови договорів, укладених між сторонами операції, які істотно впливають на ціни товарів (робіт, послуг);</w:t>
      </w:r>
    </w:p>
    <w:p w14:paraId="4973D1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0" w:name="n10925"/>
      <w:bookmarkEnd w:id="1400"/>
      <w:r w:rsidRPr="008B264B">
        <w:rPr>
          <w:rFonts w:ascii="Times New Roman" w:eastAsia="Times New Roman" w:hAnsi="Times New Roman" w:cs="Times New Roman"/>
          <w:color w:val="000000"/>
          <w:sz w:val="24"/>
          <w:szCs w:val="24"/>
          <w:lang/>
        </w:rPr>
        <w:t>економічні умови діяльності сторін операції, включаючи аналіз відповідних ринків товарів (робіт, послуг), які істотно впливають на ціни товарів (робіт, послуг);</w:t>
      </w:r>
    </w:p>
    <w:p w14:paraId="7B4118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1" w:name="n10926"/>
      <w:bookmarkEnd w:id="1401"/>
      <w:r w:rsidRPr="008B264B">
        <w:rPr>
          <w:rFonts w:ascii="Times New Roman" w:eastAsia="Times New Roman" w:hAnsi="Times New Roman" w:cs="Times New Roman"/>
          <w:color w:val="000000"/>
          <w:sz w:val="24"/>
          <w:szCs w:val="24"/>
          <w:lang/>
        </w:rPr>
        <w:t>бізнес-стратегії сторін операції (за наявності), які істотно впливають на ціни товарів (робіт, послуг).</w:t>
      </w:r>
    </w:p>
    <w:p w14:paraId="0B4CF1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2" w:name="n13633"/>
      <w:bookmarkEnd w:id="1402"/>
      <w:r w:rsidRPr="008B264B">
        <w:rPr>
          <w:rFonts w:ascii="Times New Roman" w:eastAsia="Times New Roman" w:hAnsi="Times New Roman" w:cs="Times New Roman"/>
          <w:color w:val="000000"/>
          <w:sz w:val="24"/>
          <w:szCs w:val="24"/>
          <w:lang/>
        </w:rPr>
        <w:t>У разі відсутності або недостатності інформації про окремі неконтрольовані операції для визначення показників рентабельності може використовуватися фінансова інформація юридичних осіб, які здійснюють діяльність, зіставну із контрольованою операцією, за умови наявності інформації про те, що зазначені юридичні особи не здійснюють операції з пов’язаними особами.</w:t>
      </w:r>
    </w:p>
    <w:p w14:paraId="21CC0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3" w:name="n13635"/>
      <w:bookmarkEnd w:id="1403"/>
      <w:r w:rsidRPr="008B264B">
        <w:rPr>
          <w:rFonts w:ascii="Times New Roman" w:eastAsia="Times New Roman" w:hAnsi="Times New Roman" w:cs="Times New Roman"/>
          <w:i/>
          <w:iCs/>
          <w:color w:val="000000"/>
          <w:sz w:val="24"/>
          <w:szCs w:val="24"/>
          <w:lang/>
        </w:rPr>
        <w:t>{Підпункт 39.2.2.2 підпункту 39.2.2 пункту 39.2 статті 39 доповнено абзацом сьомим згідно із Законом </w:t>
      </w:r>
      <w:hyperlink r:id="rId777" w:anchor="n2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778" w:anchor="n9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C871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4" w:name="n13634"/>
      <w:bookmarkEnd w:id="1404"/>
      <w:r w:rsidRPr="008B264B">
        <w:rPr>
          <w:rFonts w:ascii="Times New Roman" w:eastAsia="Times New Roman" w:hAnsi="Times New Roman" w:cs="Times New Roman"/>
          <w:color w:val="000000"/>
          <w:sz w:val="24"/>
          <w:szCs w:val="24"/>
          <w:lang/>
        </w:rPr>
        <w:t>Визначення зіставності юридичних осіб здійснюється з урахуванням їх галузевої специфіки та відповідних видів діяльності, що здійснюються ними в зіставних з контрольованою операцією економічних (комерційних) умовах.</w:t>
      </w:r>
    </w:p>
    <w:p w14:paraId="54EBE8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5" w:name="n13632"/>
      <w:bookmarkEnd w:id="1405"/>
      <w:r w:rsidRPr="008B264B">
        <w:rPr>
          <w:rFonts w:ascii="Times New Roman" w:eastAsia="Times New Roman" w:hAnsi="Times New Roman" w:cs="Times New Roman"/>
          <w:i/>
          <w:iCs/>
          <w:color w:val="000000"/>
          <w:sz w:val="24"/>
          <w:szCs w:val="24"/>
          <w:lang/>
        </w:rPr>
        <w:t>{Підпункт 39.2.2.2 підпункту 39.2.2 пункту 39.2 статті 39 доповнено абзацом восьмим згідно із Законом </w:t>
      </w:r>
      <w:hyperlink r:id="rId779" w:anchor="n2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3CA6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6" w:name="n10927"/>
      <w:bookmarkEnd w:id="1406"/>
      <w:r w:rsidRPr="008B264B">
        <w:rPr>
          <w:rFonts w:ascii="Times New Roman" w:eastAsia="Times New Roman" w:hAnsi="Times New Roman" w:cs="Times New Roman"/>
          <w:color w:val="000000"/>
          <w:sz w:val="24"/>
          <w:szCs w:val="24"/>
          <w:lang/>
        </w:rPr>
        <w:t>39.2.2.3. Визначення зіставності комерційних та/або фінансових умов операцій з умовами контрольованої операції може здійснюватися, зокрема, але не виключно, за результатами аналізу:</w:t>
      </w:r>
    </w:p>
    <w:p w14:paraId="26DB8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7" w:name="n10928"/>
      <w:bookmarkEnd w:id="1407"/>
      <w:r w:rsidRPr="008B264B">
        <w:rPr>
          <w:rFonts w:ascii="Times New Roman" w:eastAsia="Times New Roman" w:hAnsi="Times New Roman" w:cs="Times New Roman"/>
          <w:color w:val="000000"/>
          <w:sz w:val="24"/>
          <w:szCs w:val="24"/>
          <w:lang/>
        </w:rPr>
        <w:t>кількості товарів, обсягу виконаних робіт (наданих послуг);</w:t>
      </w:r>
    </w:p>
    <w:p w14:paraId="4F6B1A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8" w:name="n10929"/>
      <w:bookmarkEnd w:id="1408"/>
      <w:r w:rsidRPr="008B264B">
        <w:rPr>
          <w:rFonts w:ascii="Times New Roman" w:eastAsia="Times New Roman" w:hAnsi="Times New Roman" w:cs="Times New Roman"/>
          <w:color w:val="000000"/>
          <w:sz w:val="24"/>
          <w:szCs w:val="24"/>
          <w:lang/>
        </w:rPr>
        <w:t>строків виконання господарських зобов’язань;</w:t>
      </w:r>
    </w:p>
    <w:p w14:paraId="5AF2CE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09" w:name="n10930"/>
      <w:bookmarkEnd w:id="1409"/>
      <w:r w:rsidRPr="008B264B">
        <w:rPr>
          <w:rFonts w:ascii="Times New Roman" w:eastAsia="Times New Roman" w:hAnsi="Times New Roman" w:cs="Times New Roman"/>
          <w:color w:val="000000"/>
          <w:sz w:val="24"/>
          <w:szCs w:val="24"/>
          <w:lang/>
        </w:rPr>
        <w:t>умов проведення платежів під час здійснення операції;</w:t>
      </w:r>
    </w:p>
    <w:p w14:paraId="2FD5D2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0" w:name="n10931"/>
      <w:bookmarkEnd w:id="1410"/>
      <w:r w:rsidRPr="008B264B">
        <w:rPr>
          <w:rFonts w:ascii="Times New Roman" w:eastAsia="Times New Roman" w:hAnsi="Times New Roman" w:cs="Times New Roman"/>
          <w:color w:val="000000"/>
          <w:sz w:val="24"/>
          <w:szCs w:val="24"/>
          <w:lang/>
        </w:rPr>
        <w:t>офіційного курсу гривні до іноземної валюти, встановленого Національним банком України, у разі використання такої валюти у розрахунках під час здійснення операції, зміни такого курсу;</w:t>
      </w:r>
    </w:p>
    <w:p w14:paraId="3908E0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1" w:name="n10932"/>
      <w:bookmarkEnd w:id="1411"/>
      <w:r w:rsidRPr="008B264B">
        <w:rPr>
          <w:rFonts w:ascii="Times New Roman" w:eastAsia="Times New Roman" w:hAnsi="Times New Roman" w:cs="Times New Roman"/>
          <w:color w:val="000000"/>
          <w:sz w:val="24"/>
          <w:szCs w:val="24"/>
          <w:lang/>
        </w:rPr>
        <w:t>розміру звичайних надбавок чи знижок до ціни товарів (робіт, послуг), зокрема знижок, зумовлених сезонними та іншими коливаннями споживчого попиту на товари (роботи, послуги), втратою товарами споживчих якостей, закінченням (наближенням дати закінчення) строку зберігання (придатності, реалізації), збутом неліквідних або низьколіквідних товарів;</w:t>
      </w:r>
    </w:p>
    <w:p w14:paraId="248FEC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2" w:name="n10933"/>
      <w:bookmarkEnd w:id="1412"/>
      <w:r w:rsidRPr="008B264B">
        <w:rPr>
          <w:rFonts w:ascii="Times New Roman" w:eastAsia="Times New Roman" w:hAnsi="Times New Roman" w:cs="Times New Roman"/>
          <w:color w:val="000000"/>
          <w:sz w:val="24"/>
          <w:szCs w:val="24"/>
          <w:lang/>
        </w:rPr>
        <w:t>розподілу прав та обов’язків між сторонами операції, визначених за результатами функціонального аналізу.</w:t>
      </w:r>
    </w:p>
    <w:p w14:paraId="407141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3" w:name="n10934"/>
      <w:bookmarkEnd w:id="1413"/>
      <w:r w:rsidRPr="008B264B">
        <w:rPr>
          <w:rFonts w:ascii="Times New Roman" w:eastAsia="Times New Roman" w:hAnsi="Times New Roman" w:cs="Times New Roman"/>
          <w:color w:val="000000"/>
          <w:sz w:val="24"/>
          <w:szCs w:val="24"/>
          <w:lang/>
        </w:rPr>
        <w:t>39.2.2.4. Аналіз функцій, які виконуються сторонами операції, під час визначення зіставності комерційних та/або фінансових умов операцій з умовами контрольованої та неконтрольованих операцій може проводитися з урахуванням матеріальних та нематеріальних активів, що перебувають у розпорядженні сторін операції та використовуються в цілях отримання доходу.</w:t>
      </w:r>
    </w:p>
    <w:p w14:paraId="53F216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4" w:name="n10935"/>
      <w:bookmarkEnd w:id="1414"/>
      <w:r w:rsidRPr="008B264B">
        <w:rPr>
          <w:rFonts w:ascii="Times New Roman" w:eastAsia="Times New Roman" w:hAnsi="Times New Roman" w:cs="Times New Roman"/>
          <w:color w:val="000000"/>
          <w:sz w:val="24"/>
          <w:szCs w:val="24"/>
          <w:lang/>
        </w:rPr>
        <w:t>До таких функцій, зокрема, але не виключно, належать:</w:t>
      </w:r>
    </w:p>
    <w:p w14:paraId="0965F3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5" w:name="n10936"/>
      <w:bookmarkEnd w:id="1415"/>
      <w:r w:rsidRPr="008B264B">
        <w:rPr>
          <w:rFonts w:ascii="Times New Roman" w:eastAsia="Times New Roman" w:hAnsi="Times New Roman" w:cs="Times New Roman"/>
          <w:color w:val="000000"/>
          <w:sz w:val="24"/>
          <w:szCs w:val="24"/>
          <w:lang/>
        </w:rPr>
        <w:t>дизайн і технологічне розроблення товарів;</w:t>
      </w:r>
    </w:p>
    <w:p w14:paraId="27322C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6" w:name="n10937"/>
      <w:bookmarkEnd w:id="1416"/>
      <w:r w:rsidRPr="008B264B">
        <w:rPr>
          <w:rFonts w:ascii="Times New Roman" w:eastAsia="Times New Roman" w:hAnsi="Times New Roman" w:cs="Times New Roman"/>
          <w:color w:val="000000"/>
          <w:sz w:val="24"/>
          <w:szCs w:val="24"/>
          <w:lang/>
        </w:rPr>
        <w:t>виробництво товарів;</w:t>
      </w:r>
    </w:p>
    <w:p w14:paraId="4AE313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7" w:name="n10938"/>
      <w:bookmarkEnd w:id="1417"/>
      <w:r w:rsidRPr="008B264B">
        <w:rPr>
          <w:rFonts w:ascii="Times New Roman" w:eastAsia="Times New Roman" w:hAnsi="Times New Roman" w:cs="Times New Roman"/>
          <w:color w:val="000000"/>
          <w:sz w:val="24"/>
          <w:szCs w:val="24"/>
          <w:lang/>
        </w:rPr>
        <w:t>складення товарів чи їх компонентів;</w:t>
      </w:r>
    </w:p>
    <w:p w14:paraId="045EDC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8" w:name="n10939"/>
      <w:bookmarkEnd w:id="1418"/>
      <w:r w:rsidRPr="008B264B">
        <w:rPr>
          <w:rFonts w:ascii="Times New Roman" w:eastAsia="Times New Roman" w:hAnsi="Times New Roman" w:cs="Times New Roman"/>
          <w:color w:val="000000"/>
          <w:sz w:val="24"/>
          <w:szCs w:val="24"/>
          <w:lang/>
        </w:rPr>
        <w:lastRenderedPageBreak/>
        <w:t>монтаж та/або установлення обладнання;</w:t>
      </w:r>
    </w:p>
    <w:p w14:paraId="462BA7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19" w:name="n10940"/>
      <w:bookmarkEnd w:id="1419"/>
      <w:r w:rsidRPr="008B264B">
        <w:rPr>
          <w:rFonts w:ascii="Times New Roman" w:eastAsia="Times New Roman" w:hAnsi="Times New Roman" w:cs="Times New Roman"/>
          <w:color w:val="000000"/>
          <w:sz w:val="24"/>
          <w:szCs w:val="24"/>
          <w:lang/>
        </w:rPr>
        <w:t>проведення науково-дослідних та дослідно-конструкторських робіт;</w:t>
      </w:r>
    </w:p>
    <w:p w14:paraId="13B835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0" w:name="n10941"/>
      <w:bookmarkEnd w:id="1420"/>
      <w:r w:rsidRPr="008B264B">
        <w:rPr>
          <w:rFonts w:ascii="Times New Roman" w:eastAsia="Times New Roman" w:hAnsi="Times New Roman" w:cs="Times New Roman"/>
          <w:color w:val="000000"/>
          <w:sz w:val="24"/>
          <w:szCs w:val="24"/>
          <w:lang/>
        </w:rPr>
        <w:t>придбання товарно-матеріальних цінностей;</w:t>
      </w:r>
    </w:p>
    <w:p w14:paraId="1CF86A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1" w:name="n10942"/>
      <w:bookmarkEnd w:id="1421"/>
      <w:r w:rsidRPr="008B264B">
        <w:rPr>
          <w:rFonts w:ascii="Times New Roman" w:eastAsia="Times New Roman" w:hAnsi="Times New Roman" w:cs="Times New Roman"/>
          <w:color w:val="000000"/>
          <w:sz w:val="24"/>
          <w:szCs w:val="24"/>
          <w:lang/>
        </w:rPr>
        <w:t>здійснення оптового чи роздрібного продажу;</w:t>
      </w:r>
    </w:p>
    <w:p w14:paraId="012A22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2" w:name="n10943"/>
      <w:bookmarkEnd w:id="1422"/>
      <w:r w:rsidRPr="008B264B">
        <w:rPr>
          <w:rFonts w:ascii="Times New Roman" w:eastAsia="Times New Roman" w:hAnsi="Times New Roman" w:cs="Times New Roman"/>
          <w:color w:val="000000"/>
          <w:sz w:val="24"/>
          <w:szCs w:val="24"/>
          <w:lang/>
        </w:rPr>
        <w:t>надання послуг з ремонту, гарантійного обслуговування;</w:t>
      </w:r>
    </w:p>
    <w:p w14:paraId="487B12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3" w:name="n10944"/>
      <w:bookmarkEnd w:id="1423"/>
      <w:r w:rsidRPr="008B264B">
        <w:rPr>
          <w:rFonts w:ascii="Times New Roman" w:eastAsia="Times New Roman" w:hAnsi="Times New Roman" w:cs="Times New Roman"/>
          <w:color w:val="000000"/>
          <w:sz w:val="24"/>
          <w:szCs w:val="24"/>
          <w:lang/>
        </w:rPr>
        <w:t>маркетинг, реклама товарів (робіт, послуг);</w:t>
      </w:r>
    </w:p>
    <w:p w14:paraId="348CE4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4" w:name="n10945"/>
      <w:bookmarkEnd w:id="1424"/>
      <w:r w:rsidRPr="008B264B">
        <w:rPr>
          <w:rFonts w:ascii="Times New Roman" w:eastAsia="Times New Roman" w:hAnsi="Times New Roman" w:cs="Times New Roman"/>
          <w:color w:val="000000"/>
          <w:sz w:val="24"/>
          <w:szCs w:val="24"/>
          <w:lang/>
        </w:rPr>
        <w:t>зберігання товарів;</w:t>
      </w:r>
    </w:p>
    <w:p w14:paraId="1C2F26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5" w:name="n10946"/>
      <w:bookmarkEnd w:id="1425"/>
      <w:r w:rsidRPr="008B264B">
        <w:rPr>
          <w:rFonts w:ascii="Times New Roman" w:eastAsia="Times New Roman" w:hAnsi="Times New Roman" w:cs="Times New Roman"/>
          <w:color w:val="000000"/>
          <w:sz w:val="24"/>
          <w:szCs w:val="24"/>
          <w:lang/>
        </w:rPr>
        <w:t>транспортування товарів;</w:t>
      </w:r>
    </w:p>
    <w:p w14:paraId="57D7B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6" w:name="n10947"/>
      <w:bookmarkEnd w:id="1426"/>
      <w:r w:rsidRPr="008B264B">
        <w:rPr>
          <w:rFonts w:ascii="Times New Roman" w:eastAsia="Times New Roman" w:hAnsi="Times New Roman" w:cs="Times New Roman"/>
          <w:color w:val="000000"/>
          <w:sz w:val="24"/>
          <w:szCs w:val="24"/>
          <w:lang/>
        </w:rPr>
        <w:t>страхування;</w:t>
      </w:r>
    </w:p>
    <w:p w14:paraId="09E21B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7" w:name="n10948"/>
      <w:bookmarkEnd w:id="1427"/>
      <w:r w:rsidRPr="008B264B">
        <w:rPr>
          <w:rFonts w:ascii="Times New Roman" w:eastAsia="Times New Roman" w:hAnsi="Times New Roman" w:cs="Times New Roman"/>
          <w:color w:val="000000"/>
          <w:sz w:val="24"/>
          <w:szCs w:val="24"/>
          <w:lang/>
        </w:rPr>
        <w:t>надання консультацій, інформаційне обслуговування;</w:t>
      </w:r>
    </w:p>
    <w:p w14:paraId="42584F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8" w:name="n10949"/>
      <w:bookmarkEnd w:id="1428"/>
      <w:r w:rsidRPr="008B264B">
        <w:rPr>
          <w:rFonts w:ascii="Times New Roman" w:eastAsia="Times New Roman" w:hAnsi="Times New Roman" w:cs="Times New Roman"/>
          <w:color w:val="000000"/>
          <w:sz w:val="24"/>
          <w:szCs w:val="24"/>
          <w:lang/>
        </w:rPr>
        <w:t>ведення бухгалтерського обліку;</w:t>
      </w:r>
    </w:p>
    <w:p w14:paraId="50E4B5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29" w:name="n10950"/>
      <w:bookmarkEnd w:id="1429"/>
      <w:r w:rsidRPr="008B264B">
        <w:rPr>
          <w:rFonts w:ascii="Times New Roman" w:eastAsia="Times New Roman" w:hAnsi="Times New Roman" w:cs="Times New Roman"/>
          <w:color w:val="000000"/>
          <w:sz w:val="24"/>
          <w:szCs w:val="24"/>
          <w:lang/>
        </w:rPr>
        <w:t>юридичне обслуговування;</w:t>
      </w:r>
    </w:p>
    <w:p w14:paraId="7124D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0" w:name="n10951"/>
      <w:bookmarkEnd w:id="1430"/>
      <w:r w:rsidRPr="008B264B">
        <w:rPr>
          <w:rFonts w:ascii="Times New Roman" w:eastAsia="Times New Roman" w:hAnsi="Times New Roman" w:cs="Times New Roman"/>
          <w:color w:val="000000"/>
          <w:sz w:val="24"/>
          <w:szCs w:val="24"/>
          <w:lang/>
        </w:rPr>
        <w:t>надання персоналу;</w:t>
      </w:r>
    </w:p>
    <w:p w14:paraId="2D37D2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1" w:name="n10952"/>
      <w:bookmarkEnd w:id="1431"/>
      <w:r w:rsidRPr="008B264B">
        <w:rPr>
          <w:rFonts w:ascii="Times New Roman" w:eastAsia="Times New Roman" w:hAnsi="Times New Roman" w:cs="Times New Roman"/>
          <w:color w:val="000000"/>
          <w:sz w:val="24"/>
          <w:szCs w:val="24"/>
          <w:lang/>
        </w:rPr>
        <w:t>надання агентських, довірчих, комісійних та інших подібних посередницьких послуг з продажу товарів (робіт, послуг);</w:t>
      </w:r>
    </w:p>
    <w:p w14:paraId="51995E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2" w:name="n10953"/>
      <w:bookmarkEnd w:id="1432"/>
      <w:r w:rsidRPr="008B264B">
        <w:rPr>
          <w:rFonts w:ascii="Times New Roman" w:eastAsia="Times New Roman" w:hAnsi="Times New Roman" w:cs="Times New Roman"/>
          <w:color w:val="000000"/>
          <w:sz w:val="24"/>
          <w:szCs w:val="24"/>
          <w:lang/>
        </w:rPr>
        <w:t>здійснення контролю якості;</w:t>
      </w:r>
    </w:p>
    <w:p w14:paraId="03BA35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3" w:name="n10954"/>
      <w:bookmarkEnd w:id="1433"/>
      <w:r w:rsidRPr="008B264B">
        <w:rPr>
          <w:rFonts w:ascii="Times New Roman" w:eastAsia="Times New Roman" w:hAnsi="Times New Roman" w:cs="Times New Roman"/>
          <w:color w:val="000000"/>
          <w:sz w:val="24"/>
          <w:szCs w:val="24"/>
          <w:lang/>
        </w:rPr>
        <w:t>навчання та/або професійна підготовка, перепідготовка або підвищення кваліфікації персоналу;</w:t>
      </w:r>
    </w:p>
    <w:p w14:paraId="19B37B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4" w:name="n10955"/>
      <w:bookmarkEnd w:id="1434"/>
      <w:r w:rsidRPr="008B264B">
        <w:rPr>
          <w:rFonts w:ascii="Times New Roman" w:eastAsia="Times New Roman" w:hAnsi="Times New Roman" w:cs="Times New Roman"/>
          <w:color w:val="000000"/>
          <w:sz w:val="24"/>
          <w:szCs w:val="24"/>
          <w:lang/>
        </w:rPr>
        <w:t>організація збуту товарів (робіт, послуг) із залученням третіх осіб, які мають досвід відповідної роботи;</w:t>
      </w:r>
    </w:p>
    <w:p w14:paraId="159E2B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5" w:name="n10956"/>
      <w:bookmarkEnd w:id="1435"/>
      <w:r w:rsidRPr="008B264B">
        <w:rPr>
          <w:rFonts w:ascii="Times New Roman" w:eastAsia="Times New Roman" w:hAnsi="Times New Roman" w:cs="Times New Roman"/>
          <w:color w:val="000000"/>
          <w:sz w:val="24"/>
          <w:szCs w:val="24"/>
          <w:lang/>
        </w:rPr>
        <w:t>здійснення стратегічного управління, у тому числі визначення цінової політики, стратегії виробництва та реалізації товарів (робіт, послуг), обсягів продажу та асортименту товарів (робіт, послуг), їх споживчих якостей, а також здійснення оперативного управління.</w:t>
      </w:r>
    </w:p>
    <w:p w14:paraId="6FFD1E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6" w:name="n15250"/>
      <w:bookmarkEnd w:id="1436"/>
      <w:r w:rsidRPr="008B264B">
        <w:rPr>
          <w:rFonts w:ascii="Times New Roman" w:eastAsia="Times New Roman" w:hAnsi="Times New Roman" w:cs="Times New Roman"/>
          <w:color w:val="000000"/>
          <w:sz w:val="24"/>
          <w:szCs w:val="24"/>
          <w:lang/>
        </w:rPr>
        <w:t>Визначення та аналіз функцій, які виконуються сторонами операції, здійснюються на підставі укладених договорів, даних бухгалтерського обліку, фактичних дій сторін операції та фактичних обставин її проведення відповідно до суті операції.</w:t>
      </w:r>
    </w:p>
    <w:p w14:paraId="5C8F96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7" w:name="n15249"/>
      <w:bookmarkEnd w:id="1437"/>
      <w:r w:rsidRPr="008B264B">
        <w:rPr>
          <w:rFonts w:ascii="Times New Roman" w:eastAsia="Times New Roman" w:hAnsi="Times New Roman" w:cs="Times New Roman"/>
          <w:i/>
          <w:iCs/>
          <w:color w:val="000000"/>
          <w:sz w:val="24"/>
          <w:szCs w:val="24"/>
          <w:lang/>
        </w:rPr>
        <w:t>{Підпункт 39.2.2.4 підпункту 39.2.2 пункту 39.2 статті 39 доповнено абзацом двадцять четвертим згідно із Законом </w:t>
      </w:r>
      <w:hyperlink r:id="rId780" w:anchor="n10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BA039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8" w:name="n10957"/>
      <w:bookmarkEnd w:id="1438"/>
      <w:r w:rsidRPr="008B264B">
        <w:rPr>
          <w:rFonts w:ascii="Times New Roman" w:eastAsia="Times New Roman" w:hAnsi="Times New Roman" w:cs="Times New Roman"/>
          <w:color w:val="000000"/>
          <w:sz w:val="24"/>
          <w:szCs w:val="24"/>
          <w:lang/>
        </w:rPr>
        <w:t>39.2.2.5. Під час визначення зіставності комерційних та/або фінансових умов зіставних операцій з умовами контрольованої операції також можуть враховуватися ризики сторін операції, пов’язані з провадженням господарської діяльності, що впливають на умови операції, зокрема, але не виключно, такі:</w:t>
      </w:r>
    </w:p>
    <w:p w14:paraId="1CC542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39" w:name="n10958"/>
      <w:bookmarkEnd w:id="1439"/>
      <w:r w:rsidRPr="008B264B">
        <w:rPr>
          <w:rFonts w:ascii="Times New Roman" w:eastAsia="Times New Roman" w:hAnsi="Times New Roman" w:cs="Times New Roman"/>
          <w:color w:val="000000"/>
          <w:sz w:val="24"/>
          <w:szCs w:val="24"/>
          <w:lang/>
        </w:rPr>
        <w:t>виробничі ризики, включаючи ризик неповного завантаження виробничих потужностей;</w:t>
      </w:r>
    </w:p>
    <w:p w14:paraId="56A498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0" w:name="n10959"/>
      <w:bookmarkEnd w:id="1440"/>
      <w:r w:rsidRPr="008B264B">
        <w:rPr>
          <w:rFonts w:ascii="Times New Roman" w:eastAsia="Times New Roman" w:hAnsi="Times New Roman" w:cs="Times New Roman"/>
          <w:color w:val="000000"/>
          <w:sz w:val="24"/>
          <w:szCs w:val="24"/>
          <w:lang/>
        </w:rPr>
        <w:t>ризик зміни ринкових цін на придбані матеріали та вироблену продукцію внаслідок зміни економічної кон’юнктури, інших ринкових умов;</w:t>
      </w:r>
    </w:p>
    <w:p w14:paraId="03896D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1" w:name="n10960"/>
      <w:bookmarkEnd w:id="1441"/>
      <w:r w:rsidRPr="008B264B">
        <w:rPr>
          <w:rFonts w:ascii="Times New Roman" w:eastAsia="Times New Roman" w:hAnsi="Times New Roman" w:cs="Times New Roman"/>
          <w:color w:val="000000"/>
          <w:sz w:val="24"/>
          <w:szCs w:val="24"/>
          <w:lang/>
        </w:rPr>
        <w:t>ризик знецінення виробничих запасів, втрати товарами споживчих якостей;</w:t>
      </w:r>
    </w:p>
    <w:p w14:paraId="4A4003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2" w:name="n10961"/>
      <w:bookmarkEnd w:id="1442"/>
      <w:r w:rsidRPr="008B264B">
        <w:rPr>
          <w:rFonts w:ascii="Times New Roman" w:eastAsia="Times New Roman" w:hAnsi="Times New Roman" w:cs="Times New Roman"/>
          <w:color w:val="000000"/>
          <w:sz w:val="24"/>
          <w:szCs w:val="24"/>
          <w:lang/>
        </w:rPr>
        <w:t>ризики, пов’язані із втратою майна чи майнових прав;</w:t>
      </w:r>
    </w:p>
    <w:p w14:paraId="14C48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3" w:name="n10962"/>
      <w:bookmarkEnd w:id="1443"/>
      <w:r w:rsidRPr="008B264B">
        <w:rPr>
          <w:rFonts w:ascii="Times New Roman" w:eastAsia="Times New Roman" w:hAnsi="Times New Roman" w:cs="Times New Roman"/>
          <w:color w:val="000000"/>
          <w:sz w:val="24"/>
          <w:szCs w:val="24"/>
          <w:lang/>
        </w:rPr>
        <w:t>ризики, пов’язані із зміною офіційного курсу гривні до іноземної валюти, встановленого Національним банком України, процентних ставок, кредитні ризики;</w:t>
      </w:r>
    </w:p>
    <w:p w14:paraId="539162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4" w:name="n10963"/>
      <w:bookmarkEnd w:id="1444"/>
      <w:r w:rsidRPr="008B264B">
        <w:rPr>
          <w:rFonts w:ascii="Times New Roman" w:eastAsia="Times New Roman" w:hAnsi="Times New Roman" w:cs="Times New Roman"/>
          <w:color w:val="000000"/>
          <w:sz w:val="24"/>
          <w:szCs w:val="24"/>
          <w:lang/>
        </w:rPr>
        <w:lastRenderedPageBreak/>
        <w:t>ризик, пов’язаний з відсутністю результатів проведення науково-дослідних та дослідно-конструкторських робіт;</w:t>
      </w:r>
    </w:p>
    <w:p w14:paraId="0B842A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5" w:name="n10964"/>
      <w:bookmarkEnd w:id="1445"/>
      <w:r w:rsidRPr="008B264B">
        <w:rPr>
          <w:rFonts w:ascii="Times New Roman" w:eastAsia="Times New Roman" w:hAnsi="Times New Roman" w:cs="Times New Roman"/>
          <w:color w:val="000000"/>
          <w:sz w:val="24"/>
          <w:szCs w:val="24"/>
          <w:lang/>
        </w:rPr>
        <w:t>інвестиційні ризики, пов’язані з можливими фінансовими втратами внаслідок помилок, допущених під час здійснення інвестицій, включаючи вибір об’єкта інвестування;</w:t>
      </w:r>
    </w:p>
    <w:p w14:paraId="686994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6" w:name="n10965"/>
      <w:bookmarkEnd w:id="1446"/>
      <w:r w:rsidRPr="008B264B">
        <w:rPr>
          <w:rFonts w:ascii="Times New Roman" w:eastAsia="Times New Roman" w:hAnsi="Times New Roman" w:cs="Times New Roman"/>
          <w:color w:val="000000"/>
          <w:sz w:val="24"/>
          <w:szCs w:val="24"/>
          <w:lang/>
        </w:rPr>
        <w:t>ризик заподіяння шкоди навколишньому природному середовищу;</w:t>
      </w:r>
    </w:p>
    <w:p w14:paraId="357EFA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7" w:name="n10966"/>
      <w:bookmarkEnd w:id="1447"/>
      <w:r w:rsidRPr="008B264B">
        <w:rPr>
          <w:rFonts w:ascii="Times New Roman" w:eastAsia="Times New Roman" w:hAnsi="Times New Roman" w:cs="Times New Roman"/>
          <w:color w:val="000000"/>
          <w:sz w:val="24"/>
          <w:szCs w:val="24"/>
          <w:lang/>
        </w:rPr>
        <w:t>підприємницькі (комерційні) ризики, пов’язані із здійсненням стратегічного управління, включаючи цінову політику та стратегію виробництва і реалізації товарів (робіт, послуг);</w:t>
      </w:r>
    </w:p>
    <w:p w14:paraId="635091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8" w:name="n10967"/>
      <w:bookmarkEnd w:id="1448"/>
      <w:r w:rsidRPr="008B264B">
        <w:rPr>
          <w:rFonts w:ascii="Times New Roman" w:eastAsia="Times New Roman" w:hAnsi="Times New Roman" w:cs="Times New Roman"/>
          <w:color w:val="000000"/>
          <w:sz w:val="24"/>
          <w:szCs w:val="24"/>
          <w:lang/>
        </w:rPr>
        <w:t>ризик зниження рівня споживчого попиту на товари (роботи, послуги).</w:t>
      </w:r>
    </w:p>
    <w:p w14:paraId="24FA00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49" w:name="n10968"/>
      <w:bookmarkEnd w:id="1449"/>
      <w:r w:rsidRPr="008B264B">
        <w:rPr>
          <w:rFonts w:ascii="Times New Roman" w:eastAsia="Times New Roman" w:hAnsi="Times New Roman" w:cs="Times New Roman"/>
          <w:color w:val="000000"/>
          <w:sz w:val="24"/>
          <w:szCs w:val="24"/>
          <w:lang/>
        </w:rPr>
        <w:t>39.2.2.6. Під час визначення зіставності характеристик ринків товарів (робіт, послуг) можуть враховуватися, зокрема, але не виключно, такі фактори:</w:t>
      </w:r>
    </w:p>
    <w:p w14:paraId="25F496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0" w:name="n10969"/>
      <w:bookmarkEnd w:id="1450"/>
      <w:r w:rsidRPr="008B264B">
        <w:rPr>
          <w:rFonts w:ascii="Times New Roman" w:eastAsia="Times New Roman" w:hAnsi="Times New Roman" w:cs="Times New Roman"/>
          <w:color w:val="000000"/>
          <w:sz w:val="24"/>
          <w:szCs w:val="24"/>
          <w:lang/>
        </w:rPr>
        <w:t>географічне місцезнаходження ринків та їх обсяги;</w:t>
      </w:r>
    </w:p>
    <w:p w14:paraId="3342D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1" w:name="n10970"/>
      <w:bookmarkEnd w:id="1451"/>
      <w:r w:rsidRPr="008B264B">
        <w:rPr>
          <w:rFonts w:ascii="Times New Roman" w:eastAsia="Times New Roman" w:hAnsi="Times New Roman" w:cs="Times New Roman"/>
          <w:color w:val="000000"/>
          <w:sz w:val="24"/>
          <w:szCs w:val="24"/>
          <w:lang/>
        </w:rPr>
        <w:t>наявність конкуренції на ринках, відносна конкурентоспроможність продавців та покупців на ринку;</w:t>
      </w:r>
    </w:p>
    <w:p w14:paraId="26B231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2" w:name="n10971"/>
      <w:bookmarkEnd w:id="1452"/>
      <w:r w:rsidRPr="008B264B">
        <w:rPr>
          <w:rFonts w:ascii="Times New Roman" w:eastAsia="Times New Roman" w:hAnsi="Times New Roman" w:cs="Times New Roman"/>
          <w:color w:val="000000"/>
          <w:sz w:val="24"/>
          <w:szCs w:val="24"/>
          <w:lang/>
        </w:rPr>
        <w:t>наявність на ринку однорідних (подібних) товарів (робіт, послуг);</w:t>
      </w:r>
    </w:p>
    <w:p w14:paraId="1D2007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3" w:name="n10972"/>
      <w:bookmarkEnd w:id="1453"/>
      <w:r w:rsidRPr="008B264B">
        <w:rPr>
          <w:rFonts w:ascii="Times New Roman" w:eastAsia="Times New Roman" w:hAnsi="Times New Roman" w:cs="Times New Roman"/>
          <w:color w:val="000000"/>
          <w:sz w:val="24"/>
          <w:szCs w:val="24"/>
          <w:lang/>
        </w:rPr>
        <w:t>попит та пропозиція на ринку, а також купівельна спроможність споживачів;</w:t>
      </w:r>
    </w:p>
    <w:p w14:paraId="70DA38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4" w:name="n10973"/>
      <w:bookmarkEnd w:id="1454"/>
      <w:r w:rsidRPr="008B264B">
        <w:rPr>
          <w:rFonts w:ascii="Times New Roman" w:eastAsia="Times New Roman" w:hAnsi="Times New Roman" w:cs="Times New Roman"/>
          <w:color w:val="000000"/>
          <w:sz w:val="24"/>
          <w:szCs w:val="24"/>
          <w:lang/>
        </w:rPr>
        <w:t>рівень державного регулювання ринкових процесів;</w:t>
      </w:r>
    </w:p>
    <w:p w14:paraId="7EC1B4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5" w:name="n10974"/>
      <w:bookmarkEnd w:id="1455"/>
      <w:r w:rsidRPr="008B264B">
        <w:rPr>
          <w:rFonts w:ascii="Times New Roman" w:eastAsia="Times New Roman" w:hAnsi="Times New Roman" w:cs="Times New Roman"/>
          <w:color w:val="000000"/>
          <w:sz w:val="24"/>
          <w:szCs w:val="24"/>
          <w:lang/>
        </w:rPr>
        <w:t>рівень розвитку виробничої і транспортної інфраструктури;</w:t>
      </w:r>
    </w:p>
    <w:p w14:paraId="6839CD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6" w:name="n10975"/>
      <w:bookmarkEnd w:id="1456"/>
      <w:r w:rsidRPr="008B264B">
        <w:rPr>
          <w:rFonts w:ascii="Times New Roman" w:eastAsia="Times New Roman" w:hAnsi="Times New Roman" w:cs="Times New Roman"/>
          <w:color w:val="000000"/>
          <w:sz w:val="24"/>
          <w:szCs w:val="24"/>
          <w:lang/>
        </w:rPr>
        <w:t>інші характеристики ринку, що впливають на ціни товарів (робіт, послуг).</w:t>
      </w:r>
    </w:p>
    <w:p w14:paraId="0C91C1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7" w:name="n10976"/>
      <w:bookmarkEnd w:id="1457"/>
      <w:r w:rsidRPr="008B264B">
        <w:rPr>
          <w:rFonts w:ascii="Times New Roman" w:eastAsia="Times New Roman" w:hAnsi="Times New Roman" w:cs="Times New Roman"/>
          <w:color w:val="000000"/>
          <w:sz w:val="24"/>
          <w:szCs w:val="24"/>
          <w:lang/>
        </w:rPr>
        <w:t>39.2.2.7. Під час визначення зіставності комерційних та/або фінансових умов зіставних операцій з умовами контрольованої операції може проводитися аналіз комерційних стратегій сторін операцій, до яких, зокрема, але не виключно, належать стратегії, спрямовані на оновлення та удосконалення власної продукції, вихід на нові ринки збуту товарів (робіт, послуг).</w:t>
      </w:r>
    </w:p>
    <w:p w14:paraId="4EC861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8" w:name="n10977"/>
      <w:bookmarkEnd w:id="1458"/>
      <w:r w:rsidRPr="008B264B">
        <w:rPr>
          <w:rFonts w:ascii="Times New Roman" w:eastAsia="Times New Roman" w:hAnsi="Times New Roman" w:cs="Times New Roman"/>
          <w:i/>
          <w:iCs/>
          <w:color w:val="000000"/>
          <w:sz w:val="24"/>
          <w:szCs w:val="24"/>
          <w:lang/>
        </w:rPr>
        <w:t>{Підпункт 39.2.2.8 підпункту 39.2.2 пункту 39.2 статті 39 виключено на підставі Закону </w:t>
      </w:r>
      <w:hyperlink r:id="rId781" w:anchor="n5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784EA0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59" w:name="n15252"/>
      <w:bookmarkEnd w:id="1459"/>
      <w:r w:rsidRPr="008B264B">
        <w:rPr>
          <w:rFonts w:ascii="Times New Roman" w:eastAsia="Times New Roman" w:hAnsi="Times New Roman" w:cs="Times New Roman"/>
          <w:color w:val="000000"/>
          <w:sz w:val="24"/>
          <w:szCs w:val="24"/>
          <w:lang/>
        </w:rPr>
        <w:t>39.2.2.9. Під час визначення зіставності комерційних та/або фінансових умов зіставних операцій з умовами контрольованої операції також можуть враховуватися характеристики активів, використаних сторонами у контрольованій операції, зокрема, але не виключно:</w:t>
      </w:r>
    </w:p>
    <w:p w14:paraId="7B793C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0" w:name="n15253"/>
      <w:bookmarkEnd w:id="1460"/>
      <w:r w:rsidRPr="008B264B">
        <w:rPr>
          <w:rFonts w:ascii="Times New Roman" w:eastAsia="Times New Roman" w:hAnsi="Times New Roman" w:cs="Times New Roman"/>
          <w:color w:val="000000"/>
          <w:sz w:val="24"/>
          <w:szCs w:val="24"/>
          <w:lang/>
        </w:rPr>
        <w:t>тип активу (виробниче обладнання, нематеріальні активи, фінансові активи тощо);</w:t>
      </w:r>
    </w:p>
    <w:p w14:paraId="750318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1" w:name="n15254"/>
      <w:bookmarkEnd w:id="1461"/>
      <w:r w:rsidRPr="008B264B">
        <w:rPr>
          <w:rFonts w:ascii="Times New Roman" w:eastAsia="Times New Roman" w:hAnsi="Times New Roman" w:cs="Times New Roman"/>
          <w:color w:val="000000"/>
          <w:sz w:val="24"/>
          <w:szCs w:val="24"/>
          <w:lang/>
        </w:rPr>
        <w:t>природа активу (вік, ринкова вартість, розташування, наявність прав захисту тощо).</w:t>
      </w:r>
    </w:p>
    <w:p w14:paraId="12CF8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2" w:name="n15255"/>
      <w:bookmarkEnd w:id="1462"/>
      <w:r w:rsidRPr="008B264B">
        <w:rPr>
          <w:rFonts w:ascii="Times New Roman" w:eastAsia="Times New Roman" w:hAnsi="Times New Roman" w:cs="Times New Roman"/>
          <w:color w:val="000000"/>
          <w:sz w:val="24"/>
          <w:szCs w:val="24"/>
          <w:lang/>
        </w:rPr>
        <w:t>Визначення та аналіз впливу нематеріальних активів на умови контрольованої та зіставних операцій здійснюються з урахуванням, зокрема, але не виключно:</w:t>
      </w:r>
    </w:p>
    <w:p w14:paraId="3E89FD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3" w:name="n15256"/>
      <w:bookmarkEnd w:id="1463"/>
      <w:r w:rsidRPr="008B264B">
        <w:rPr>
          <w:rFonts w:ascii="Times New Roman" w:eastAsia="Times New Roman" w:hAnsi="Times New Roman" w:cs="Times New Roman"/>
          <w:color w:val="000000"/>
          <w:sz w:val="24"/>
          <w:szCs w:val="24"/>
          <w:lang/>
        </w:rPr>
        <w:t>юридичного володіння нематеріальними активами та договірних умов їх використання;</w:t>
      </w:r>
    </w:p>
    <w:p w14:paraId="4ED44F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4" w:name="n15257"/>
      <w:bookmarkEnd w:id="1464"/>
      <w:r w:rsidRPr="008B264B">
        <w:rPr>
          <w:rFonts w:ascii="Times New Roman" w:eastAsia="Times New Roman" w:hAnsi="Times New Roman" w:cs="Times New Roman"/>
          <w:color w:val="000000"/>
          <w:sz w:val="24"/>
          <w:szCs w:val="24"/>
          <w:lang/>
        </w:rPr>
        <w:t>категорії та характеристики нематеріальних активів (ексклюзивність, ступінь і тривалість правового захисту, географічна сфера застосування, термін корисного використання, стадія розробки тощо);</w:t>
      </w:r>
    </w:p>
    <w:p w14:paraId="41ED45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5" w:name="n15258"/>
      <w:bookmarkEnd w:id="1465"/>
      <w:r w:rsidRPr="008B264B">
        <w:rPr>
          <w:rFonts w:ascii="Times New Roman" w:eastAsia="Times New Roman" w:hAnsi="Times New Roman" w:cs="Times New Roman"/>
          <w:color w:val="000000"/>
          <w:sz w:val="24"/>
          <w:szCs w:val="24"/>
          <w:lang/>
        </w:rPr>
        <w:t>договірної та фактичної діяльності сторін, пов’язаної з розробкою, вдосконаленням, підтримкою, захистом і експлуатацією таких активів.</w:t>
      </w:r>
    </w:p>
    <w:p w14:paraId="468046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6" w:name="n15262"/>
      <w:bookmarkEnd w:id="1466"/>
      <w:r w:rsidRPr="008B264B">
        <w:rPr>
          <w:rFonts w:ascii="Times New Roman" w:eastAsia="Times New Roman" w:hAnsi="Times New Roman" w:cs="Times New Roman"/>
          <w:i/>
          <w:iCs/>
          <w:color w:val="000000"/>
          <w:sz w:val="24"/>
          <w:szCs w:val="24"/>
          <w:lang/>
        </w:rPr>
        <w:t>{Підпункт 39.2.2 пункту 39.2 статті 39 доповнено підпунктом 39.2.2.9 згідно із Законом </w:t>
      </w:r>
      <w:hyperlink r:id="rId782" w:anchor="n10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21D20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7" w:name="n15259"/>
      <w:bookmarkEnd w:id="1467"/>
      <w:r w:rsidRPr="008B264B">
        <w:rPr>
          <w:rFonts w:ascii="Times New Roman" w:eastAsia="Times New Roman" w:hAnsi="Times New Roman" w:cs="Times New Roman"/>
          <w:color w:val="000000"/>
          <w:sz w:val="24"/>
          <w:szCs w:val="24"/>
          <w:lang/>
        </w:rPr>
        <w:t xml:space="preserve">39.2.2.10. Якщо фактичні умови здійсненої контрольованої операції не відповідають умовам укладеного (письмового) договору та/або фактичні дії сторін контрольованої операції і фактичні обставини її проведення відрізняються від умов такого договору, комерційні та/або фінансові </w:t>
      </w:r>
      <w:r w:rsidRPr="008B264B">
        <w:rPr>
          <w:rFonts w:ascii="Times New Roman" w:eastAsia="Times New Roman" w:hAnsi="Times New Roman" w:cs="Times New Roman"/>
          <w:color w:val="000000"/>
          <w:sz w:val="24"/>
          <w:szCs w:val="24"/>
          <w:lang/>
        </w:rPr>
        <w:lastRenderedPageBreak/>
        <w:t>характеристики контрольованої операції для цілей трансфертного ціноутворення визначаються згідно з фактичними діями сторін операції та фактичними умовами її проведення.</w:t>
      </w:r>
    </w:p>
    <w:p w14:paraId="72624E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8" w:name="n15261"/>
      <w:bookmarkEnd w:id="1468"/>
      <w:r w:rsidRPr="008B264B">
        <w:rPr>
          <w:rFonts w:ascii="Times New Roman" w:eastAsia="Times New Roman" w:hAnsi="Times New Roman" w:cs="Times New Roman"/>
          <w:i/>
          <w:iCs/>
          <w:color w:val="000000"/>
          <w:sz w:val="24"/>
          <w:szCs w:val="24"/>
          <w:lang/>
        </w:rPr>
        <w:t>{Підпункт 39.2.2 пункту 39.2 статті 39 доповнено підпунктом 39.2.2.10 згідно із Законом </w:t>
      </w:r>
      <w:hyperlink r:id="rId783" w:anchor="n10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06130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69" w:name="n15260"/>
      <w:bookmarkEnd w:id="1469"/>
      <w:r w:rsidRPr="008B264B">
        <w:rPr>
          <w:rFonts w:ascii="Times New Roman" w:eastAsia="Times New Roman" w:hAnsi="Times New Roman" w:cs="Times New Roman"/>
          <w:color w:val="000000"/>
          <w:sz w:val="24"/>
          <w:szCs w:val="24"/>
          <w:lang/>
        </w:rPr>
        <w:t>39.2.2.11. Якщо контрольована операція фактично здійснена, але документально не оформлена (не підтверджена), для цілей трансфертного ціноутворення вона має розглядатися згідно з фактичною поведінкою сторін операції та фактичними умовами її проведення, зокрема, враховуються функції, які фактично виконувалися сторонами операції, активи, які фактично використовувалися, і ризики, які фактично прийняла на себе та контролювала кожна із сторін.</w:t>
      </w:r>
    </w:p>
    <w:p w14:paraId="6B8099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0" w:name="n15251"/>
      <w:bookmarkEnd w:id="1470"/>
      <w:r w:rsidRPr="008B264B">
        <w:rPr>
          <w:rFonts w:ascii="Times New Roman" w:eastAsia="Times New Roman" w:hAnsi="Times New Roman" w:cs="Times New Roman"/>
          <w:i/>
          <w:iCs/>
          <w:color w:val="000000"/>
          <w:sz w:val="24"/>
          <w:szCs w:val="24"/>
          <w:lang/>
        </w:rPr>
        <w:t>{Підпункт 39.2.2 пункту 39.2 статті 39 доповнено підпунктом 39.2.2.11 згідно із Законом </w:t>
      </w:r>
      <w:hyperlink r:id="rId784" w:anchor="n10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F98A3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1" w:name="n10978"/>
      <w:bookmarkEnd w:id="1471"/>
      <w:r w:rsidRPr="008B264B">
        <w:rPr>
          <w:rFonts w:ascii="Times New Roman" w:eastAsia="Times New Roman" w:hAnsi="Times New Roman" w:cs="Times New Roman"/>
          <w:color w:val="000000"/>
          <w:sz w:val="24"/>
          <w:szCs w:val="24"/>
          <w:lang/>
        </w:rPr>
        <w:t>39.3. Методи встановлення відповідності умов контрольованої операції принципу "витягнутої руки"</w:t>
      </w:r>
    </w:p>
    <w:p w14:paraId="5DC5BD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2" w:name="n10979"/>
      <w:bookmarkEnd w:id="1472"/>
      <w:r w:rsidRPr="008B264B">
        <w:rPr>
          <w:rFonts w:ascii="Times New Roman" w:eastAsia="Times New Roman" w:hAnsi="Times New Roman" w:cs="Times New Roman"/>
          <w:color w:val="000000"/>
          <w:sz w:val="24"/>
          <w:szCs w:val="24"/>
          <w:lang/>
        </w:rPr>
        <w:t>39.3.1. Встановлення відповідності умов контрольованої операції принципу "витягнутої руки" здійснюється за одним із таких методів:</w:t>
      </w:r>
    </w:p>
    <w:p w14:paraId="05F8E5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3" w:name="n10980"/>
      <w:bookmarkEnd w:id="1473"/>
      <w:r w:rsidRPr="008B264B">
        <w:rPr>
          <w:rFonts w:ascii="Times New Roman" w:eastAsia="Times New Roman" w:hAnsi="Times New Roman" w:cs="Times New Roman"/>
          <w:color w:val="000000"/>
          <w:sz w:val="24"/>
          <w:szCs w:val="24"/>
          <w:lang/>
        </w:rPr>
        <w:t>39.3.1.1. порівняльної неконтрольованої ціни;</w:t>
      </w:r>
    </w:p>
    <w:p w14:paraId="38766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4" w:name="n10981"/>
      <w:bookmarkEnd w:id="1474"/>
      <w:r w:rsidRPr="008B264B">
        <w:rPr>
          <w:rFonts w:ascii="Times New Roman" w:eastAsia="Times New Roman" w:hAnsi="Times New Roman" w:cs="Times New Roman"/>
          <w:color w:val="000000"/>
          <w:sz w:val="24"/>
          <w:szCs w:val="24"/>
          <w:lang/>
        </w:rPr>
        <w:t>39.3.1.2. ціни перепродажу;</w:t>
      </w:r>
    </w:p>
    <w:p w14:paraId="3206C4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5" w:name="n10982"/>
      <w:bookmarkEnd w:id="1475"/>
      <w:r w:rsidRPr="008B264B">
        <w:rPr>
          <w:rFonts w:ascii="Times New Roman" w:eastAsia="Times New Roman" w:hAnsi="Times New Roman" w:cs="Times New Roman"/>
          <w:color w:val="000000"/>
          <w:sz w:val="24"/>
          <w:szCs w:val="24"/>
          <w:lang/>
        </w:rPr>
        <w:t>39.3.1.3. "витрати плюс";</w:t>
      </w:r>
    </w:p>
    <w:p w14:paraId="48BE6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6" w:name="n10983"/>
      <w:bookmarkEnd w:id="1476"/>
      <w:r w:rsidRPr="008B264B">
        <w:rPr>
          <w:rFonts w:ascii="Times New Roman" w:eastAsia="Times New Roman" w:hAnsi="Times New Roman" w:cs="Times New Roman"/>
          <w:color w:val="000000"/>
          <w:sz w:val="24"/>
          <w:szCs w:val="24"/>
          <w:lang/>
        </w:rPr>
        <w:t>39.3.1.4. чистого прибутку;</w:t>
      </w:r>
    </w:p>
    <w:p w14:paraId="4AB48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7" w:name="n10984"/>
      <w:bookmarkEnd w:id="1477"/>
      <w:r w:rsidRPr="008B264B">
        <w:rPr>
          <w:rFonts w:ascii="Times New Roman" w:eastAsia="Times New Roman" w:hAnsi="Times New Roman" w:cs="Times New Roman"/>
          <w:color w:val="000000"/>
          <w:sz w:val="24"/>
          <w:szCs w:val="24"/>
          <w:lang/>
        </w:rPr>
        <w:t>39.3.1.5. розподілення прибутку.</w:t>
      </w:r>
    </w:p>
    <w:p w14:paraId="0BECEB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8" w:name="n10985"/>
      <w:bookmarkEnd w:id="1478"/>
      <w:r w:rsidRPr="008B264B">
        <w:rPr>
          <w:rFonts w:ascii="Times New Roman" w:eastAsia="Times New Roman" w:hAnsi="Times New Roman" w:cs="Times New Roman"/>
          <w:color w:val="000000"/>
          <w:sz w:val="24"/>
          <w:szCs w:val="24"/>
          <w:lang/>
        </w:rPr>
        <w:t>39.3.2. Критерії використання методів встановлення відповідності умов контрольованої операції принципу "витягнутої руки"</w:t>
      </w:r>
    </w:p>
    <w:p w14:paraId="1B0907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79" w:name="n10986"/>
      <w:bookmarkEnd w:id="1479"/>
      <w:r w:rsidRPr="008B264B">
        <w:rPr>
          <w:rFonts w:ascii="Times New Roman" w:eastAsia="Times New Roman" w:hAnsi="Times New Roman" w:cs="Times New Roman"/>
          <w:color w:val="000000"/>
          <w:sz w:val="24"/>
          <w:szCs w:val="24"/>
          <w:lang/>
        </w:rPr>
        <w:t>39.3.2.1. Відповідність умов контрольованої операції принципу "витягнутої руки" визначається за допомогою застосування методу трансфертного ціноутворення, який є найбільш доцільним до фактів та обставин здійснення контрольованої операції.</w:t>
      </w:r>
    </w:p>
    <w:p w14:paraId="446C0E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0" w:name="n13636"/>
      <w:bookmarkEnd w:id="1480"/>
      <w:r w:rsidRPr="008B264B">
        <w:rPr>
          <w:rFonts w:ascii="Times New Roman" w:eastAsia="Times New Roman" w:hAnsi="Times New Roman" w:cs="Times New Roman"/>
          <w:i/>
          <w:iCs/>
          <w:color w:val="000000"/>
          <w:sz w:val="24"/>
          <w:szCs w:val="24"/>
          <w:lang/>
        </w:rPr>
        <w:t>{Абзац перший підпункту 39.3.2.1 підпункту 39.3.2 пункту 39.3 статті 39 із змінами, внесеними згідно із Законом </w:t>
      </w:r>
      <w:hyperlink r:id="rId785" w:anchor="n2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74C8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1" w:name="n10987"/>
      <w:bookmarkEnd w:id="1481"/>
      <w:r w:rsidRPr="008B264B">
        <w:rPr>
          <w:rFonts w:ascii="Times New Roman" w:eastAsia="Times New Roman" w:hAnsi="Times New Roman" w:cs="Times New Roman"/>
          <w:color w:val="000000"/>
          <w:sz w:val="24"/>
          <w:szCs w:val="24"/>
          <w:lang/>
        </w:rPr>
        <w:t>Найбільш доцільний метод трансфертного ціноутворення обирається з урахуванням таких критеріїв:</w:t>
      </w:r>
    </w:p>
    <w:p w14:paraId="1B49F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2" w:name="n13637"/>
      <w:bookmarkEnd w:id="1482"/>
      <w:r w:rsidRPr="008B264B">
        <w:rPr>
          <w:rFonts w:ascii="Times New Roman" w:eastAsia="Times New Roman" w:hAnsi="Times New Roman" w:cs="Times New Roman"/>
          <w:i/>
          <w:iCs/>
          <w:color w:val="000000"/>
          <w:sz w:val="24"/>
          <w:szCs w:val="24"/>
          <w:lang/>
        </w:rPr>
        <w:t>{Абзац другий підпункту 39.3.2.1 підпункту 39.3.2 пункту 39.3 статті 39 в редакції Закону </w:t>
      </w:r>
      <w:hyperlink r:id="rId786" w:anchor="n2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42A4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3" w:name="n10988"/>
      <w:bookmarkEnd w:id="1483"/>
      <w:r w:rsidRPr="008B264B">
        <w:rPr>
          <w:rFonts w:ascii="Times New Roman" w:eastAsia="Times New Roman" w:hAnsi="Times New Roman" w:cs="Times New Roman"/>
          <w:color w:val="000000"/>
          <w:sz w:val="24"/>
          <w:szCs w:val="24"/>
          <w:lang/>
        </w:rPr>
        <w:t>доцільності обраного методу відповідно до характеру контрольованої операції, що визначається, зокрема, на основі результатів функціонального аналізу контрольованої операції (з урахуванням виконуваних функцій, використовуваних активів і понесених ризиків);</w:t>
      </w:r>
    </w:p>
    <w:p w14:paraId="3ABE5F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4" w:name="n10989"/>
      <w:bookmarkEnd w:id="1484"/>
      <w:r w:rsidRPr="008B264B">
        <w:rPr>
          <w:rFonts w:ascii="Times New Roman" w:eastAsia="Times New Roman" w:hAnsi="Times New Roman" w:cs="Times New Roman"/>
          <w:color w:val="000000"/>
          <w:sz w:val="24"/>
          <w:szCs w:val="24"/>
          <w:lang/>
        </w:rPr>
        <w:t>наявності повної та достовірної інформації, необхідної для застосування обраного методу та/або методів трансфертного ціноутворення;</w:t>
      </w:r>
    </w:p>
    <w:p w14:paraId="346068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5" w:name="n10990"/>
      <w:bookmarkEnd w:id="1485"/>
      <w:r w:rsidRPr="008B264B">
        <w:rPr>
          <w:rFonts w:ascii="Times New Roman" w:eastAsia="Times New Roman" w:hAnsi="Times New Roman" w:cs="Times New Roman"/>
          <w:color w:val="000000"/>
          <w:sz w:val="24"/>
          <w:szCs w:val="24"/>
          <w:lang/>
        </w:rPr>
        <w:t>ступеня зіставності між контрольованими і неконтрольованими операціями, включаючи надійність коригувань зіставності, якщо такі застосовуються, які можуть використовуватися для усунення розбіжностей між такими операціями.</w:t>
      </w:r>
    </w:p>
    <w:p w14:paraId="71A789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6" w:name="n13638"/>
      <w:bookmarkEnd w:id="1486"/>
      <w:r w:rsidRPr="008B264B">
        <w:rPr>
          <w:rFonts w:ascii="Times New Roman" w:eastAsia="Times New Roman" w:hAnsi="Times New Roman" w:cs="Times New Roman"/>
          <w:i/>
          <w:iCs/>
          <w:color w:val="000000"/>
          <w:sz w:val="24"/>
          <w:szCs w:val="24"/>
          <w:lang/>
        </w:rPr>
        <w:t>{Абзац п'ятий підпункту 39.3.2.1 підпункту 39.3.2 пункту 39.3 статті 39 із змінами, внесеними згідно із Законом </w:t>
      </w:r>
      <w:hyperlink r:id="rId787" w:anchor="n20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4BF4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7" w:name="n10991"/>
      <w:bookmarkEnd w:id="1487"/>
      <w:r w:rsidRPr="008B264B">
        <w:rPr>
          <w:rFonts w:ascii="Times New Roman" w:eastAsia="Times New Roman" w:hAnsi="Times New Roman" w:cs="Times New Roman"/>
          <w:color w:val="000000"/>
          <w:sz w:val="24"/>
          <w:szCs w:val="24"/>
          <w:lang/>
        </w:rPr>
        <w:t xml:space="preserve">Платник податку з урахуванням зазначених критеріїв використовує будь-який метод, який він вважає найбільш доцільним, однак у разі, коли існує можливість застосування і методу </w:t>
      </w:r>
      <w:r w:rsidRPr="008B264B">
        <w:rPr>
          <w:rFonts w:ascii="Times New Roman" w:eastAsia="Times New Roman" w:hAnsi="Times New Roman" w:cs="Times New Roman"/>
          <w:color w:val="000000"/>
          <w:sz w:val="24"/>
          <w:szCs w:val="24"/>
          <w:lang/>
        </w:rPr>
        <w:lastRenderedPageBreak/>
        <w:t>порівняльної неконтрольованої ціни, і будь-якого іншого методу, застосовується метод порівняльної неконтрольованої ціни.</w:t>
      </w:r>
    </w:p>
    <w:p w14:paraId="53EE65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8" w:name="n10992"/>
      <w:bookmarkEnd w:id="1488"/>
      <w:r w:rsidRPr="008B264B">
        <w:rPr>
          <w:rFonts w:ascii="Times New Roman" w:eastAsia="Times New Roman" w:hAnsi="Times New Roman" w:cs="Times New Roman"/>
          <w:color w:val="000000"/>
          <w:sz w:val="24"/>
          <w:szCs w:val="24"/>
          <w:lang/>
        </w:rPr>
        <w:t>У разі коли з урахуванням таких критеріїв метод ціни перепродажу або метод "витрати плюс" та метод чистого прибутку або розподілення прибутку можуть застосовуватися платником податку з однаковою надійністю, застосовується метод ціни перепродажу або метод "витрати плюс".</w:t>
      </w:r>
    </w:p>
    <w:p w14:paraId="7BC44A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89" w:name="n13639"/>
      <w:bookmarkEnd w:id="1489"/>
      <w:r w:rsidRPr="008B264B">
        <w:rPr>
          <w:rFonts w:ascii="Times New Roman" w:eastAsia="Times New Roman" w:hAnsi="Times New Roman" w:cs="Times New Roman"/>
          <w:i/>
          <w:iCs/>
          <w:color w:val="000000"/>
          <w:sz w:val="24"/>
          <w:szCs w:val="24"/>
          <w:lang/>
        </w:rPr>
        <w:t>{Абзац сьомий підпункту 39.3.2.1 підпункту 39.3.2 пункту 39.3 статті 39 із змінами, внесеними згідно із Законом </w:t>
      </w:r>
      <w:hyperlink r:id="rId788" w:anchor="n2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7978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0" w:name="n10993"/>
      <w:bookmarkEnd w:id="1490"/>
      <w:r w:rsidRPr="008B264B">
        <w:rPr>
          <w:rFonts w:ascii="Times New Roman" w:eastAsia="Times New Roman" w:hAnsi="Times New Roman" w:cs="Times New Roman"/>
          <w:color w:val="000000"/>
          <w:sz w:val="24"/>
          <w:szCs w:val="24"/>
          <w:lang/>
        </w:rPr>
        <w:t>Платник податку може не застосовувати більше одного методу для визначення того, чи відповідають умови контрольованої операції принципу "витягнутої руки".</w:t>
      </w:r>
    </w:p>
    <w:p w14:paraId="33173D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1" w:name="n10994"/>
      <w:bookmarkEnd w:id="1491"/>
      <w:r w:rsidRPr="008B264B">
        <w:rPr>
          <w:rFonts w:ascii="Times New Roman" w:eastAsia="Times New Roman" w:hAnsi="Times New Roman" w:cs="Times New Roman"/>
          <w:color w:val="000000"/>
          <w:sz w:val="24"/>
          <w:szCs w:val="24"/>
          <w:lang/>
        </w:rPr>
        <w:t>Якщо платник податків використав метод, що відповідає положенням цієї статті, встановлення контролюючим органом відповідності умов контрольованих операцій платника податків принципу "витягнутої руки" базується на тому методі трансфертного ціноутворення, який застосовується платником податків, за винятком випадків, коли контролюючий орган обґрунтує, що метод, який застосовується платником податків, не є найбільш доцільним.</w:t>
      </w:r>
    </w:p>
    <w:p w14:paraId="1DA790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2" w:name="n13640"/>
      <w:bookmarkEnd w:id="1492"/>
      <w:r w:rsidRPr="008B264B">
        <w:rPr>
          <w:rFonts w:ascii="Times New Roman" w:eastAsia="Times New Roman" w:hAnsi="Times New Roman" w:cs="Times New Roman"/>
          <w:i/>
          <w:iCs/>
          <w:color w:val="000000"/>
          <w:sz w:val="24"/>
          <w:szCs w:val="24"/>
          <w:lang/>
        </w:rPr>
        <w:t>{Абзац дев'ятий підпункту 39.3.2.1 підпункту 39.3.2 пункту 39.3 статті 39 із змінами, внесеними згідно із Законом </w:t>
      </w:r>
      <w:hyperlink r:id="rId789" w:anchor="n2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5FD5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3" w:name="n13642"/>
      <w:bookmarkEnd w:id="1493"/>
      <w:r w:rsidRPr="008B264B">
        <w:rPr>
          <w:rFonts w:ascii="Times New Roman" w:eastAsia="Times New Roman" w:hAnsi="Times New Roman" w:cs="Times New Roman"/>
          <w:color w:val="000000"/>
          <w:sz w:val="24"/>
          <w:szCs w:val="24"/>
          <w:lang/>
        </w:rPr>
        <w:t>Контролюючий орган не має права застосовувати під час встановлення відповідності умов контрольованих операцій платника податків принципу "витягнутої руки" інший метод трансфертного ціноутворення, ніж зазначений у договорі про попереднє узгодження ціноутворення.</w:t>
      </w:r>
    </w:p>
    <w:p w14:paraId="3781BB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4" w:name="n13641"/>
      <w:bookmarkEnd w:id="1494"/>
      <w:r w:rsidRPr="008B264B">
        <w:rPr>
          <w:rFonts w:ascii="Times New Roman" w:eastAsia="Times New Roman" w:hAnsi="Times New Roman" w:cs="Times New Roman"/>
          <w:i/>
          <w:iCs/>
          <w:color w:val="000000"/>
          <w:sz w:val="24"/>
          <w:szCs w:val="24"/>
          <w:lang/>
        </w:rPr>
        <w:t>{Підпункт 39.3.2.1 підпункту 39.3.2 пункту 39.3 статті 39 доповнено абзацом десятим згідно із Законом </w:t>
      </w:r>
      <w:hyperlink r:id="rId790" w:anchor="n21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70F42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5" w:name="n10995"/>
      <w:bookmarkEnd w:id="1495"/>
      <w:r w:rsidRPr="008B264B">
        <w:rPr>
          <w:rFonts w:ascii="Times New Roman" w:eastAsia="Times New Roman" w:hAnsi="Times New Roman" w:cs="Times New Roman"/>
          <w:color w:val="000000"/>
          <w:sz w:val="24"/>
          <w:szCs w:val="24"/>
          <w:lang/>
        </w:rPr>
        <w:t>39.3.2.2. Якщо під час застосування методів трансфертного ціноутворення порівняння ціни або рентабельності в контрольованій операції проводиться з цінами або показниками рентабельності кількох зіставних неконтрольованих операцій або юридичних осіб, які не здійснюють операції з пов’язаними особами, обов’язково використовується діапазон цін (рентабельності).</w:t>
      </w:r>
    </w:p>
    <w:p w14:paraId="6F64DF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6" w:name="n13643"/>
      <w:bookmarkEnd w:id="1496"/>
      <w:r w:rsidRPr="008B264B">
        <w:rPr>
          <w:rFonts w:ascii="Times New Roman" w:eastAsia="Times New Roman" w:hAnsi="Times New Roman" w:cs="Times New Roman"/>
          <w:i/>
          <w:iCs/>
          <w:color w:val="000000"/>
          <w:sz w:val="24"/>
          <w:szCs w:val="24"/>
          <w:lang/>
        </w:rPr>
        <w:t>{Підпункт 39.3.2.2 підпункту 39.3.2 пункту 39.3 статті 39 в редакції Закону </w:t>
      </w:r>
      <w:hyperlink r:id="rId791" w:anchor="n2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BD003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7" w:name="n10997"/>
      <w:bookmarkEnd w:id="1497"/>
      <w:r w:rsidRPr="008B264B">
        <w:rPr>
          <w:rFonts w:ascii="Times New Roman" w:eastAsia="Times New Roman" w:hAnsi="Times New Roman" w:cs="Times New Roman"/>
          <w:color w:val="000000"/>
          <w:sz w:val="24"/>
          <w:szCs w:val="24"/>
          <w:lang/>
        </w:rPr>
        <w:t>39.3.2.3. Якщо ціна в контрольованій операції або відповідний показник рентабельності контрольованої операції перебуває:</w:t>
      </w:r>
    </w:p>
    <w:p w14:paraId="46220B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8" w:name="n10998"/>
      <w:bookmarkEnd w:id="1498"/>
      <w:r w:rsidRPr="008B264B">
        <w:rPr>
          <w:rFonts w:ascii="Times New Roman" w:eastAsia="Times New Roman" w:hAnsi="Times New Roman" w:cs="Times New Roman"/>
          <w:color w:val="000000"/>
          <w:sz w:val="24"/>
          <w:szCs w:val="24"/>
          <w:lang/>
        </w:rPr>
        <w:t>в межах діапазону, вважається, що умови контрольованої операції відповідають принципу "витягнутої руки";</w:t>
      </w:r>
    </w:p>
    <w:p w14:paraId="2329B9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499" w:name="n12511"/>
      <w:bookmarkEnd w:id="1499"/>
      <w:r w:rsidRPr="008B264B">
        <w:rPr>
          <w:rFonts w:ascii="Times New Roman" w:eastAsia="Times New Roman" w:hAnsi="Times New Roman" w:cs="Times New Roman"/>
          <w:i/>
          <w:iCs/>
          <w:color w:val="000000"/>
          <w:sz w:val="24"/>
          <w:szCs w:val="24"/>
          <w:lang/>
        </w:rPr>
        <w:t>{Абзац другий підпункту 39.3.2.3 підпункту 39.3.2 пункту 39.3 статті 39 із змінами, внесеними згідно із Законом </w:t>
      </w:r>
      <w:hyperlink r:id="rId792" w:anchor="n54"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12CF09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0" w:name="n10999"/>
      <w:bookmarkEnd w:id="1500"/>
      <w:r w:rsidRPr="008B264B">
        <w:rPr>
          <w:rFonts w:ascii="Times New Roman" w:eastAsia="Times New Roman" w:hAnsi="Times New Roman" w:cs="Times New Roman"/>
          <w:color w:val="000000"/>
          <w:sz w:val="24"/>
          <w:szCs w:val="24"/>
          <w:lang/>
        </w:rPr>
        <w:t>поза межами діапазону цін (рентабельності), розрахунок податкових зобов’язань платника податків у контрольованій операції проводиться відповідно до ціни (показника рентабельності), яка (який) дорівнює значенню медіани такого діапазону (крім випадків проведення платниками податків самостійного коригування відповідно до </w:t>
      </w:r>
      <w:hyperlink r:id="rId793" w:anchor="n11130" w:history="1">
        <w:r w:rsidRPr="008B264B">
          <w:rPr>
            <w:rFonts w:ascii="Times New Roman" w:eastAsia="Times New Roman" w:hAnsi="Times New Roman" w:cs="Times New Roman"/>
            <w:color w:val="0000FF"/>
            <w:sz w:val="24"/>
            <w:szCs w:val="24"/>
            <w:u w:val="single"/>
            <w:lang/>
          </w:rPr>
          <w:t>підпункту 39.5.4</w:t>
        </w:r>
      </w:hyperlink>
      <w:r w:rsidRPr="008B264B">
        <w:rPr>
          <w:rFonts w:ascii="Times New Roman" w:eastAsia="Times New Roman" w:hAnsi="Times New Roman" w:cs="Times New Roman"/>
          <w:color w:val="000000"/>
          <w:sz w:val="24"/>
          <w:szCs w:val="24"/>
          <w:lang/>
        </w:rPr>
        <w:t> пункту 39.5 цієї статті).</w:t>
      </w:r>
    </w:p>
    <w:p w14:paraId="2BA586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1" w:name="n13644"/>
      <w:bookmarkEnd w:id="1501"/>
      <w:r w:rsidRPr="008B264B">
        <w:rPr>
          <w:rFonts w:ascii="Times New Roman" w:eastAsia="Times New Roman" w:hAnsi="Times New Roman" w:cs="Times New Roman"/>
          <w:i/>
          <w:iCs/>
          <w:color w:val="000000"/>
          <w:sz w:val="24"/>
          <w:szCs w:val="24"/>
          <w:lang/>
        </w:rPr>
        <w:t>{Підпункт 39.3.2.3 підпункту 39.3.2 пункту 39.3 статті 39 в редакції Закону </w:t>
      </w:r>
      <w:hyperlink r:id="rId794" w:anchor="n2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bookmarkStart w:id="1502" w:name="n11000"/>
    <w:bookmarkEnd w:id="1502"/>
    <w:p w14:paraId="0826A6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"https://zakon.rada.gov.ua/laws/show/381-2015-%D0%BF" \l "n9"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розрахунку діапазону цін (рентабельності) та медіани діапазону цін (рентабельності) затверджується Кабінетом Міністрів України.</w:t>
      </w:r>
    </w:p>
    <w:p w14:paraId="4DD09A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3" w:name="n11001"/>
      <w:bookmarkEnd w:id="1503"/>
      <w:r w:rsidRPr="008B264B">
        <w:rPr>
          <w:rFonts w:ascii="Times New Roman" w:eastAsia="Times New Roman" w:hAnsi="Times New Roman" w:cs="Times New Roman"/>
          <w:color w:val="000000"/>
          <w:sz w:val="24"/>
          <w:szCs w:val="24"/>
          <w:lang/>
        </w:rPr>
        <w:t>Застосування для цілей оподаткування медіани діапазону цін (рентабельності) здійснюється за умови, що це не призведе до зменшення суми податку, що підлягає сплаті до бюджету.</w:t>
      </w:r>
    </w:p>
    <w:p w14:paraId="56CA0F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4" w:name="n11002"/>
      <w:bookmarkEnd w:id="1504"/>
      <w:r w:rsidRPr="008B264B">
        <w:rPr>
          <w:rFonts w:ascii="Times New Roman" w:eastAsia="Times New Roman" w:hAnsi="Times New Roman" w:cs="Times New Roman"/>
          <w:color w:val="000000"/>
          <w:sz w:val="24"/>
          <w:szCs w:val="24"/>
          <w:lang/>
        </w:rPr>
        <w:lastRenderedPageBreak/>
        <w:t>39.3.2.4. Вибір показника рентабельності може здійснюватися з урахуванням, зокрема, але не виключно, таких факторів:</w:t>
      </w:r>
    </w:p>
    <w:p w14:paraId="20C72D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5" w:name="n11003"/>
      <w:bookmarkEnd w:id="1505"/>
      <w:r w:rsidRPr="008B264B">
        <w:rPr>
          <w:rFonts w:ascii="Times New Roman" w:eastAsia="Times New Roman" w:hAnsi="Times New Roman" w:cs="Times New Roman"/>
          <w:color w:val="000000"/>
          <w:sz w:val="24"/>
          <w:szCs w:val="24"/>
          <w:lang/>
        </w:rPr>
        <w:t>виду діяльності сторони контрольованої операції;</w:t>
      </w:r>
    </w:p>
    <w:p w14:paraId="142455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6" w:name="n11004"/>
      <w:bookmarkEnd w:id="1506"/>
      <w:r w:rsidRPr="008B264B">
        <w:rPr>
          <w:rFonts w:ascii="Times New Roman" w:eastAsia="Times New Roman" w:hAnsi="Times New Roman" w:cs="Times New Roman"/>
          <w:color w:val="000000"/>
          <w:sz w:val="24"/>
          <w:szCs w:val="24"/>
          <w:lang/>
        </w:rPr>
        <w:t>розподілу функцій, ризиків, активів сторін;</w:t>
      </w:r>
    </w:p>
    <w:p w14:paraId="50F98D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7" w:name="n11005"/>
      <w:bookmarkEnd w:id="1507"/>
      <w:r w:rsidRPr="008B264B">
        <w:rPr>
          <w:rFonts w:ascii="Times New Roman" w:eastAsia="Times New Roman" w:hAnsi="Times New Roman" w:cs="Times New Roman"/>
          <w:color w:val="000000"/>
          <w:sz w:val="24"/>
          <w:szCs w:val="24"/>
          <w:lang/>
        </w:rPr>
        <w:t>економічної обґрунтованості обраного показника;</w:t>
      </w:r>
    </w:p>
    <w:p w14:paraId="10B9F5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8" w:name="n11006"/>
      <w:bookmarkEnd w:id="1508"/>
      <w:r w:rsidRPr="008B264B">
        <w:rPr>
          <w:rFonts w:ascii="Times New Roman" w:eastAsia="Times New Roman" w:hAnsi="Times New Roman" w:cs="Times New Roman"/>
          <w:color w:val="000000"/>
          <w:sz w:val="24"/>
          <w:szCs w:val="24"/>
          <w:lang/>
        </w:rPr>
        <w:t>незалежності показника від доходів та/або витрат, визнаних в операціях між пов’язаними сторонами, та/або в контрольованих операціях.</w:t>
      </w:r>
    </w:p>
    <w:p w14:paraId="491C93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09" w:name="n15263"/>
      <w:bookmarkEnd w:id="1509"/>
      <w:r w:rsidRPr="008B264B">
        <w:rPr>
          <w:rFonts w:ascii="Times New Roman" w:eastAsia="Times New Roman" w:hAnsi="Times New Roman" w:cs="Times New Roman"/>
          <w:i/>
          <w:iCs/>
          <w:color w:val="000000"/>
          <w:sz w:val="24"/>
          <w:szCs w:val="24"/>
          <w:lang/>
        </w:rPr>
        <w:t>{Абзац п'ятий підпункту 39.3.2.4 підпункту 39.3.2 пункту 39.3 статті 39 із змінами, внесеними згідно із Законом </w:t>
      </w:r>
      <w:hyperlink r:id="rId795" w:anchor="n11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840B4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0" w:name="n11007"/>
      <w:bookmarkEnd w:id="1510"/>
      <w:r w:rsidRPr="008B264B">
        <w:rPr>
          <w:rFonts w:ascii="Times New Roman" w:eastAsia="Times New Roman" w:hAnsi="Times New Roman" w:cs="Times New Roman"/>
          <w:color w:val="000000"/>
          <w:sz w:val="24"/>
          <w:szCs w:val="24"/>
          <w:lang/>
        </w:rPr>
        <w:t>39.3.2.5. Під час визначення рівня рентабельності контрольованих операцій можуть бути використані фінансові показники, які забезпечують встановлення відповідності умов контрольованої операції принципу "витягнутої руки", зокрема, але не виключно:</w:t>
      </w:r>
    </w:p>
    <w:p w14:paraId="156BC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1" w:name="n11008"/>
      <w:bookmarkEnd w:id="1511"/>
      <w:r w:rsidRPr="008B264B">
        <w:rPr>
          <w:rFonts w:ascii="Times New Roman" w:eastAsia="Times New Roman" w:hAnsi="Times New Roman" w:cs="Times New Roman"/>
          <w:color w:val="000000"/>
          <w:sz w:val="24"/>
          <w:szCs w:val="24"/>
          <w:lang/>
        </w:rPr>
        <w:t>а) валова рентабельність, що визначається як відношення валового прибутку до чистого доходу (виручки) від реалізації товарів (робіт, послуг), розрахованого без урахування акцизного податку, мита, податку на додану вартість, інших податків та зборів;</w:t>
      </w:r>
    </w:p>
    <w:p w14:paraId="61E453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2" w:name="n11009"/>
      <w:bookmarkEnd w:id="1512"/>
      <w:r w:rsidRPr="008B264B">
        <w:rPr>
          <w:rFonts w:ascii="Times New Roman" w:eastAsia="Times New Roman" w:hAnsi="Times New Roman" w:cs="Times New Roman"/>
          <w:color w:val="000000"/>
          <w:sz w:val="24"/>
          <w:szCs w:val="24"/>
          <w:lang/>
        </w:rPr>
        <w:t>б) валова рентабельність собівартості, що визначається як відношення валового прибутку до собівартості реалізованих товарів (робіт, послуг);</w:t>
      </w:r>
    </w:p>
    <w:p w14:paraId="0F5912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3" w:name="n11010"/>
      <w:bookmarkEnd w:id="1513"/>
      <w:r w:rsidRPr="008B264B">
        <w:rPr>
          <w:rFonts w:ascii="Times New Roman" w:eastAsia="Times New Roman" w:hAnsi="Times New Roman" w:cs="Times New Roman"/>
          <w:color w:val="000000"/>
          <w:sz w:val="24"/>
          <w:szCs w:val="24"/>
          <w:lang/>
        </w:rPr>
        <w:t>в) чиста рентабельність, що визначається як відношення прибутку від операційної діяльності до чистого доходу (виручки) від реалізації товарів (робіт, послуг), розрахованого без урахування акцизного податку, мита, податку на додану вартість, інших податків та зборів;</w:t>
      </w:r>
    </w:p>
    <w:p w14:paraId="6717BD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4" w:name="n11011"/>
      <w:bookmarkEnd w:id="1514"/>
      <w:r w:rsidRPr="008B264B">
        <w:rPr>
          <w:rFonts w:ascii="Times New Roman" w:eastAsia="Times New Roman" w:hAnsi="Times New Roman" w:cs="Times New Roman"/>
          <w:color w:val="000000"/>
          <w:sz w:val="24"/>
          <w:szCs w:val="24"/>
          <w:lang/>
        </w:rPr>
        <w:t>г) чиста рентабельність витрат, що визначається як відношення прибутку від операційної діяльності до суми собівартості реалізованих товарів (робіт, послуг) та операційних витрат (адміністративних витрат, витрат на збут та інших), пов’язаних з реалізацією товарів (робіт, послуг);</w:t>
      </w:r>
    </w:p>
    <w:p w14:paraId="14C0F9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5" w:name="n11012"/>
      <w:bookmarkEnd w:id="1515"/>
      <w:r w:rsidRPr="008B264B">
        <w:rPr>
          <w:rFonts w:ascii="Times New Roman" w:eastAsia="Times New Roman" w:hAnsi="Times New Roman" w:cs="Times New Roman"/>
          <w:color w:val="000000"/>
          <w:sz w:val="24"/>
          <w:szCs w:val="24"/>
          <w:lang/>
        </w:rPr>
        <w:t>ґ) рентабельність операційних витрат, що визначається як відношення валового прибутку до операційних витрат (адміністративних витрат, витрат на збут та інших), пов’язаних з реалізацією товарів (робіт, послуг);</w:t>
      </w:r>
    </w:p>
    <w:p w14:paraId="4A1E7C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6" w:name="n11013"/>
      <w:bookmarkEnd w:id="1516"/>
      <w:r w:rsidRPr="008B264B">
        <w:rPr>
          <w:rFonts w:ascii="Times New Roman" w:eastAsia="Times New Roman" w:hAnsi="Times New Roman" w:cs="Times New Roman"/>
          <w:color w:val="000000"/>
          <w:sz w:val="24"/>
          <w:szCs w:val="24"/>
          <w:lang/>
        </w:rPr>
        <w:t>д) рентабельність активів, що визначається як відношення прибутку від операційної діяльності до поточної ринкової вартості необоротних та оборотних активів (крім поточних фінансових інвестицій і грошових коштів та їх еквівалентів), що прямо або опосередковано використовуються у контрольованій операції. У разі відсутності необхідної інформації про поточну ринкову вартість активів рентабельність активів може визначатися на основі даних бухгалтерської звітності;</w:t>
      </w:r>
    </w:p>
    <w:p w14:paraId="0EA0D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7" w:name="n11014"/>
      <w:bookmarkEnd w:id="1517"/>
      <w:r w:rsidRPr="008B264B">
        <w:rPr>
          <w:rFonts w:ascii="Times New Roman" w:eastAsia="Times New Roman" w:hAnsi="Times New Roman" w:cs="Times New Roman"/>
          <w:color w:val="000000"/>
          <w:sz w:val="24"/>
          <w:szCs w:val="24"/>
          <w:lang/>
        </w:rPr>
        <w:t>е) рентабельність капіталу, що визначається як відношення прибутку від операційної діяльності до капіталу (сума необоротних та оборотних активів, крім поточних фінансових інвестицій і грошових коштів та їх еквівалентів, крім поточних зобов’язань).</w:t>
      </w:r>
    </w:p>
    <w:p w14:paraId="4B5F4E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8" w:name="n12512"/>
      <w:bookmarkEnd w:id="1518"/>
      <w:r w:rsidRPr="008B264B">
        <w:rPr>
          <w:rFonts w:ascii="Times New Roman" w:eastAsia="Times New Roman" w:hAnsi="Times New Roman" w:cs="Times New Roman"/>
          <w:i/>
          <w:iCs/>
          <w:color w:val="000000"/>
          <w:sz w:val="24"/>
          <w:szCs w:val="24"/>
          <w:lang/>
        </w:rPr>
        <w:t>{Підпункт 39.3.2.5 підпункту 39.3.2 пункту 39.3 статті 39 в редакції Закону </w:t>
      </w:r>
      <w:hyperlink r:id="rId796" w:anchor="n55"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224AAE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19" w:name="n11015"/>
      <w:bookmarkEnd w:id="1519"/>
      <w:r w:rsidRPr="008B264B">
        <w:rPr>
          <w:rFonts w:ascii="Times New Roman" w:eastAsia="Times New Roman" w:hAnsi="Times New Roman" w:cs="Times New Roman"/>
          <w:color w:val="000000"/>
          <w:sz w:val="24"/>
          <w:szCs w:val="24"/>
          <w:lang/>
        </w:rPr>
        <w:t>39.3.2.6. Показники рентабельності для цілей цієї статті визначаються на підставі даних бухгалтерського обліку та фінансової звітності, відображених за національними положеннями (стандартами) бухгалтерського обліку або міжнародними стандартами відповідно до стандартів бухгалтерського обліку та фінансової звітності, що використовуються в Україні, з відповідним коригуванням для забезпечення зіставності показників.</w:t>
      </w:r>
    </w:p>
    <w:p w14:paraId="2616DF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0" w:name="n13645"/>
      <w:bookmarkEnd w:id="1520"/>
      <w:r w:rsidRPr="008B264B">
        <w:rPr>
          <w:rFonts w:ascii="Times New Roman" w:eastAsia="Times New Roman" w:hAnsi="Times New Roman" w:cs="Times New Roman"/>
          <w:i/>
          <w:iCs/>
          <w:color w:val="000000"/>
          <w:sz w:val="24"/>
          <w:szCs w:val="24"/>
          <w:lang/>
        </w:rPr>
        <w:t>{Підпункт 39.3.2.6 підпункту 39.3.2 пункту 39.3 статті 39 із змінами, внесеними згідно із Законом </w:t>
      </w:r>
      <w:hyperlink r:id="rId797" w:anchor="n2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8A91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1" w:name="n11016"/>
      <w:bookmarkEnd w:id="1521"/>
      <w:r w:rsidRPr="008B264B">
        <w:rPr>
          <w:rFonts w:ascii="Times New Roman" w:eastAsia="Times New Roman" w:hAnsi="Times New Roman" w:cs="Times New Roman"/>
          <w:color w:val="000000"/>
          <w:sz w:val="24"/>
          <w:szCs w:val="24"/>
          <w:lang/>
        </w:rPr>
        <w:lastRenderedPageBreak/>
        <w:t>39.3.2.7. У разі застосування методів, зазначених у </w:t>
      </w:r>
      <w:hyperlink r:id="rId798" w:anchor="n10981" w:history="1">
        <w:r w:rsidRPr="008B264B">
          <w:rPr>
            <w:rFonts w:ascii="Times New Roman" w:eastAsia="Times New Roman" w:hAnsi="Times New Roman" w:cs="Times New Roman"/>
            <w:color w:val="0000FF"/>
            <w:sz w:val="24"/>
            <w:szCs w:val="24"/>
            <w:u w:val="single"/>
            <w:lang/>
          </w:rPr>
          <w:t>підпунктах 39.3.1.2-39.3.1.4</w:t>
        </w:r>
      </w:hyperlink>
      <w:r w:rsidRPr="008B264B">
        <w:rPr>
          <w:rFonts w:ascii="Times New Roman" w:eastAsia="Times New Roman" w:hAnsi="Times New Roman" w:cs="Times New Roman"/>
          <w:color w:val="000000"/>
          <w:sz w:val="24"/>
          <w:szCs w:val="24"/>
          <w:lang/>
        </w:rPr>
        <w:t> підпункту 39.3.1 пункту 39.3 цієї статті, здійснюється вибір сторони, для якої перевіряється показник відповідно до обраного методу трансфертного ціноутворення (далі - сторона, що досліджується).</w:t>
      </w:r>
    </w:p>
    <w:p w14:paraId="1CF0D9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2" w:name="n11017"/>
      <w:bookmarkEnd w:id="1522"/>
      <w:r w:rsidRPr="008B264B">
        <w:rPr>
          <w:rFonts w:ascii="Times New Roman" w:eastAsia="Times New Roman" w:hAnsi="Times New Roman" w:cs="Times New Roman"/>
          <w:color w:val="000000"/>
          <w:sz w:val="24"/>
          <w:szCs w:val="24"/>
          <w:lang/>
        </w:rPr>
        <w:t>Вибір сторони, що досліджується, повинен здійснюватися відповідно до виконаних кожною стороною контрольованої операції функцій, використаних під час здійснення контрольованих операцій активів та прийнятих економічних (комерційних) ризиків, пов’язаних із здійсненням такої операції.</w:t>
      </w:r>
    </w:p>
    <w:p w14:paraId="5ED0D4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3" w:name="n11018"/>
      <w:bookmarkEnd w:id="1523"/>
      <w:r w:rsidRPr="008B264B">
        <w:rPr>
          <w:rFonts w:ascii="Times New Roman" w:eastAsia="Times New Roman" w:hAnsi="Times New Roman" w:cs="Times New Roman"/>
          <w:color w:val="000000"/>
          <w:sz w:val="24"/>
          <w:szCs w:val="24"/>
          <w:lang/>
        </w:rPr>
        <w:t>Під час вибору сторони, що досліджується, аналізується застосовність обраного методу (комбінації методів) до кожної із сторін контрольованої операції. Стороною, що досліджується, обирається сторона:</w:t>
      </w:r>
    </w:p>
    <w:p w14:paraId="0C6D7B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4" w:name="n11019"/>
      <w:bookmarkEnd w:id="1524"/>
      <w:r w:rsidRPr="008B264B">
        <w:rPr>
          <w:rFonts w:ascii="Times New Roman" w:eastAsia="Times New Roman" w:hAnsi="Times New Roman" w:cs="Times New Roman"/>
          <w:color w:val="000000"/>
          <w:sz w:val="24"/>
          <w:szCs w:val="24"/>
          <w:lang/>
        </w:rPr>
        <w:t>щодо якої застосування такого методу (комбінації методів) є найбільш обґрунтованим;</w:t>
      </w:r>
    </w:p>
    <w:p w14:paraId="5F1FC6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5" w:name="n11020"/>
      <w:bookmarkEnd w:id="1525"/>
      <w:r w:rsidRPr="008B264B">
        <w:rPr>
          <w:rFonts w:ascii="Times New Roman" w:eastAsia="Times New Roman" w:hAnsi="Times New Roman" w:cs="Times New Roman"/>
          <w:color w:val="000000"/>
          <w:sz w:val="24"/>
          <w:szCs w:val="24"/>
          <w:lang/>
        </w:rPr>
        <w:t>для якої можна знайти найбільш зіставні операції та/або зіставні особи;</w:t>
      </w:r>
    </w:p>
    <w:p w14:paraId="61132A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6" w:name="n15265"/>
      <w:bookmarkEnd w:id="1526"/>
      <w:r w:rsidRPr="008B264B">
        <w:rPr>
          <w:rFonts w:ascii="Times New Roman" w:eastAsia="Times New Roman" w:hAnsi="Times New Roman" w:cs="Times New Roman"/>
          <w:color w:val="000000"/>
          <w:sz w:val="24"/>
          <w:szCs w:val="24"/>
          <w:lang/>
        </w:rPr>
        <w:t>щодо якої є найбільш повна та документально підтверджена інформація про фінансові показники контрольованої операції, які використовуються для розрахунку показників рентабельності, передбачених </w:t>
      </w:r>
      <w:hyperlink r:id="rId799" w:anchor="n11007" w:history="1">
        <w:r w:rsidRPr="008B264B">
          <w:rPr>
            <w:rFonts w:ascii="Times New Roman" w:eastAsia="Times New Roman" w:hAnsi="Times New Roman" w:cs="Times New Roman"/>
            <w:color w:val="0000FF"/>
            <w:sz w:val="24"/>
            <w:szCs w:val="24"/>
            <w:u w:val="single"/>
            <w:lang/>
          </w:rPr>
          <w:t>підпунктом 39.3.2.5</w:t>
        </w:r>
      </w:hyperlink>
      <w:r w:rsidRPr="008B264B">
        <w:rPr>
          <w:rFonts w:ascii="Times New Roman" w:eastAsia="Times New Roman" w:hAnsi="Times New Roman" w:cs="Times New Roman"/>
          <w:color w:val="000000"/>
          <w:sz w:val="24"/>
          <w:szCs w:val="24"/>
          <w:lang/>
        </w:rPr>
        <w:t> цього підпункту;</w:t>
      </w:r>
    </w:p>
    <w:p w14:paraId="375C37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7" w:name="n15264"/>
      <w:bookmarkEnd w:id="1527"/>
      <w:r w:rsidRPr="008B264B">
        <w:rPr>
          <w:rFonts w:ascii="Times New Roman" w:eastAsia="Times New Roman" w:hAnsi="Times New Roman" w:cs="Times New Roman"/>
          <w:i/>
          <w:iCs/>
          <w:color w:val="000000"/>
          <w:sz w:val="24"/>
          <w:szCs w:val="24"/>
          <w:lang/>
        </w:rPr>
        <w:t>{Підпункт 39.3.2.7 підпункту 39.3.2 пункту 39.2 статті 39 доповнено новим абзацом згідно із Законом </w:t>
      </w:r>
      <w:hyperlink r:id="rId800" w:anchor="n11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7C57B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8" w:name="n11021"/>
      <w:bookmarkEnd w:id="1528"/>
      <w:r w:rsidRPr="008B264B">
        <w:rPr>
          <w:rFonts w:ascii="Times New Roman" w:eastAsia="Times New Roman" w:hAnsi="Times New Roman" w:cs="Times New Roman"/>
          <w:color w:val="000000"/>
          <w:sz w:val="24"/>
          <w:szCs w:val="24"/>
          <w:lang/>
        </w:rPr>
        <w:t>яка:</w:t>
      </w:r>
    </w:p>
    <w:p w14:paraId="1E1DC4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29" w:name="n11022"/>
      <w:bookmarkEnd w:id="1529"/>
      <w:r w:rsidRPr="008B264B">
        <w:rPr>
          <w:rFonts w:ascii="Times New Roman" w:eastAsia="Times New Roman" w:hAnsi="Times New Roman" w:cs="Times New Roman"/>
          <w:color w:val="000000"/>
          <w:sz w:val="24"/>
          <w:szCs w:val="24"/>
          <w:lang/>
        </w:rPr>
        <w:t>виконує найменш складні функції щодо контрольованої операції;</w:t>
      </w:r>
    </w:p>
    <w:p w14:paraId="76FE53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0" w:name="n11023"/>
      <w:bookmarkEnd w:id="1530"/>
      <w:r w:rsidRPr="008B264B">
        <w:rPr>
          <w:rFonts w:ascii="Times New Roman" w:eastAsia="Times New Roman" w:hAnsi="Times New Roman" w:cs="Times New Roman"/>
          <w:color w:val="000000"/>
          <w:sz w:val="24"/>
          <w:szCs w:val="24"/>
          <w:lang/>
        </w:rPr>
        <w:t>приймає найменші економічні (комерційні) ризики стосовно контрольованої операції;</w:t>
      </w:r>
    </w:p>
    <w:p w14:paraId="15DE81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1" w:name="n11024"/>
      <w:bookmarkEnd w:id="1531"/>
      <w:r w:rsidRPr="008B264B">
        <w:rPr>
          <w:rFonts w:ascii="Times New Roman" w:eastAsia="Times New Roman" w:hAnsi="Times New Roman" w:cs="Times New Roman"/>
          <w:color w:val="000000"/>
          <w:sz w:val="24"/>
          <w:szCs w:val="24"/>
          <w:lang/>
        </w:rPr>
        <w:t>не володіє об’єктами нематеріальних активів, які мають значний вплив на рівень рентабельності.</w:t>
      </w:r>
    </w:p>
    <w:p w14:paraId="1419F1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2" w:name="n11025"/>
      <w:bookmarkEnd w:id="1532"/>
      <w:r w:rsidRPr="008B264B">
        <w:rPr>
          <w:rFonts w:ascii="Times New Roman" w:eastAsia="Times New Roman" w:hAnsi="Times New Roman" w:cs="Times New Roman"/>
          <w:color w:val="000000"/>
          <w:sz w:val="24"/>
          <w:szCs w:val="24"/>
          <w:lang/>
        </w:rPr>
        <w:t>У разі здійснення зовнішньоекономічних операцій сторона, для якої перевіряється показник відповідно до обраного методу трансфертного ціноутворення, не обов’язково повинна бути резидентом.</w:t>
      </w:r>
    </w:p>
    <w:p w14:paraId="425930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3" w:name="n13646"/>
      <w:bookmarkEnd w:id="1533"/>
      <w:r w:rsidRPr="008B264B">
        <w:rPr>
          <w:rFonts w:ascii="Times New Roman" w:eastAsia="Times New Roman" w:hAnsi="Times New Roman" w:cs="Times New Roman"/>
          <w:i/>
          <w:iCs/>
          <w:color w:val="000000"/>
          <w:sz w:val="24"/>
          <w:szCs w:val="24"/>
          <w:lang/>
        </w:rPr>
        <w:t>{Підпункт 39.3.2.7 підпункту 39.3.2 пункту 39.3 статті 39 із змінами, внесеними згідно із Законом </w:t>
      </w:r>
      <w:hyperlink r:id="rId801" w:anchor="n2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B3B4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4" w:name="n13648"/>
      <w:bookmarkEnd w:id="1534"/>
      <w:r w:rsidRPr="008B264B">
        <w:rPr>
          <w:rFonts w:ascii="Times New Roman" w:eastAsia="Times New Roman" w:hAnsi="Times New Roman" w:cs="Times New Roman"/>
          <w:color w:val="000000"/>
          <w:sz w:val="24"/>
          <w:szCs w:val="24"/>
          <w:lang/>
        </w:rPr>
        <w:t>39.3.2.8. Під час визначення діапазону рентабельності використовується:</w:t>
      </w:r>
    </w:p>
    <w:p w14:paraId="7329D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5" w:name="n13649"/>
      <w:bookmarkEnd w:id="1535"/>
      <w:r w:rsidRPr="008B264B">
        <w:rPr>
          <w:rFonts w:ascii="Times New Roman" w:eastAsia="Times New Roman" w:hAnsi="Times New Roman" w:cs="Times New Roman"/>
          <w:color w:val="000000"/>
          <w:sz w:val="24"/>
          <w:szCs w:val="24"/>
          <w:lang/>
        </w:rPr>
        <w:t>інформація про зіставні неконтрольовані операції згідно з підпунктом "а" підпункту 39.5.3.1 підпункту 39.5.3 пункту 39.5 цієї статті, здійснені протягом звітного (податкового) періоду (року), в якому здійснена контрольована операція; або</w:t>
      </w:r>
    </w:p>
    <w:p w14:paraId="27BFAF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6" w:name="n13650"/>
      <w:bookmarkEnd w:id="1536"/>
      <w:r w:rsidRPr="008B264B">
        <w:rPr>
          <w:rFonts w:ascii="Times New Roman" w:eastAsia="Times New Roman" w:hAnsi="Times New Roman" w:cs="Times New Roman"/>
          <w:color w:val="000000"/>
          <w:sz w:val="24"/>
          <w:szCs w:val="24"/>
          <w:lang/>
        </w:rPr>
        <w:t>інформація про зіставних юридичних осіб на підставі даних бухгалтерського обліку та фінансової звітності, відображених за національними положеннями (стандартами) бухгалтерського обліку або міжнародними стандартами фінансової звітності, згідно з підпунктом "б" підпункту 39.5.3.1 підпункту 39.5.3 пункту 39.5 цієї статті за звітний (податковий) період (рік), у якому здійснена контрольована операція, або за декілька податкових періодів (років).</w:t>
      </w:r>
    </w:p>
    <w:p w14:paraId="7FC63E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7" w:name="n13651"/>
      <w:bookmarkEnd w:id="1537"/>
      <w:r w:rsidRPr="008B264B">
        <w:rPr>
          <w:rFonts w:ascii="Times New Roman" w:eastAsia="Times New Roman" w:hAnsi="Times New Roman" w:cs="Times New Roman"/>
          <w:color w:val="000000"/>
          <w:sz w:val="24"/>
          <w:szCs w:val="24"/>
          <w:lang/>
        </w:rPr>
        <w:t>Під час використання декількох податкових періодів (років) розраховується середньозважене значення показника рентабельності для зіставної особи.</w:t>
      </w:r>
    </w:p>
    <w:bookmarkStart w:id="1538" w:name="n13652"/>
    <w:bookmarkEnd w:id="1538"/>
    <w:p w14:paraId="736707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"https://zakon.rada.gov.ua/laws/show/191-2017-%D0%BF" \l "n8"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визначення середньозваженого значення показника рентабельності</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визначається Кабінетом Міністрів України.</w:t>
      </w:r>
    </w:p>
    <w:p w14:paraId="529096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39" w:name="n13657"/>
      <w:bookmarkEnd w:id="1539"/>
      <w:r w:rsidRPr="008B264B">
        <w:rPr>
          <w:rFonts w:ascii="Times New Roman" w:eastAsia="Times New Roman" w:hAnsi="Times New Roman" w:cs="Times New Roman"/>
          <w:i/>
          <w:iCs/>
          <w:color w:val="000000"/>
          <w:sz w:val="24"/>
          <w:szCs w:val="24"/>
          <w:lang/>
        </w:rPr>
        <w:t>{Підпункт 39.3.2 пункту 39.3 статті 39 доповнено підпунктом 39.3.2.8 згідно із Законом </w:t>
      </w:r>
      <w:hyperlink r:id="rId802" w:anchor="n2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F051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0" w:name="n13653"/>
      <w:bookmarkEnd w:id="1540"/>
      <w:r w:rsidRPr="008B264B">
        <w:rPr>
          <w:rFonts w:ascii="Times New Roman" w:eastAsia="Times New Roman" w:hAnsi="Times New Roman" w:cs="Times New Roman"/>
          <w:color w:val="000000"/>
          <w:sz w:val="24"/>
          <w:szCs w:val="24"/>
          <w:lang/>
        </w:rPr>
        <w:lastRenderedPageBreak/>
        <w:t>39.3.2.9. Інформація про зіставних юридичних осіб для розрахунку фінансових показників, зазначених у </w:t>
      </w:r>
      <w:hyperlink r:id="rId803" w:anchor="n11007" w:history="1">
        <w:r w:rsidRPr="008B264B">
          <w:rPr>
            <w:rFonts w:ascii="Times New Roman" w:eastAsia="Times New Roman" w:hAnsi="Times New Roman" w:cs="Times New Roman"/>
            <w:color w:val="0000FF"/>
            <w:sz w:val="24"/>
            <w:szCs w:val="24"/>
            <w:u w:val="single"/>
            <w:lang/>
          </w:rPr>
          <w:t>підпункті 39.3.2.5</w:t>
        </w:r>
      </w:hyperlink>
      <w:r w:rsidRPr="008B264B">
        <w:rPr>
          <w:rFonts w:ascii="Times New Roman" w:eastAsia="Times New Roman" w:hAnsi="Times New Roman" w:cs="Times New Roman"/>
          <w:color w:val="000000"/>
          <w:sz w:val="24"/>
          <w:szCs w:val="24"/>
          <w:lang/>
        </w:rPr>
        <w:t> цього підпункту, використовується у разі одночасного дотримання таких умов:</w:t>
      </w:r>
    </w:p>
    <w:p w14:paraId="11780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1" w:name="n14778"/>
      <w:bookmarkEnd w:id="1541"/>
      <w:r w:rsidRPr="008B264B">
        <w:rPr>
          <w:rFonts w:ascii="Times New Roman" w:eastAsia="Times New Roman" w:hAnsi="Times New Roman" w:cs="Times New Roman"/>
          <w:i/>
          <w:iCs/>
          <w:color w:val="000000"/>
          <w:sz w:val="24"/>
          <w:szCs w:val="24"/>
          <w:lang/>
        </w:rPr>
        <w:t>{Абзац перший підпункту 39.3.2.9 підпункт 39.3.2 пункту 39.3 статті 39 в редакції Закону </w:t>
      </w:r>
      <w:hyperlink r:id="rId804" w:anchor="n10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50395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2" w:name="n13654"/>
      <w:bookmarkEnd w:id="1542"/>
      <w:r w:rsidRPr="008B264B">
        <w:rPr>
          <w:rFonts w:ascii="Times New Roman" w:eastAsia="Times New Roman" w:hAnsi="Times New Roman" w:cs="Times New Roman"/>
          <w:color w:val="000000"/>
          <w:sz w:val="24"/>
          <w:szCs w:val="24"/>
          <w:lang/>
        </w:rPr>
        <w:t>1) якщо зіставна юридична особа проводить діяльність, зіставну з діяльністю сторони контрольованої операції, що досліджується, та виконує зіставні функції, пов’язані з такою діяльністю. Зіставлення діяльності визначається, зокрема, але не виключно, з урахуванням видів економічної діяльності згідно з </w:t>
      </w:r>
      <w:hyperlink r:id="rId805"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 а також міжнародними класифікаторами;</w:t>
      </w:r>
    </w:p>
    <w:p w14:paraId="3594C1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3" w:name="n14779"/>
      <w:bookmarkEnd w:id="1543"/>
      <w:r w:rsidRPr="008B264B">
        <w:rPr>
          <w:rFonts w:ascii="Times New Roman" w:eastAsia="Times New Roman" w:hAnsi="Times New Roman" w:cs="Times New Roman"/>
          <w:i/>
          <w:iCs/>
          <w:color w:val="000000"/>
          <w:sz w:val="24"/>
          <w:szCs w:val="24"/>
          <w:lang/>
        </w:rPr>
        <w:t>{Абзац другий підпункту 39.3.2.9 підпункт 39.3.2 пункту 39.3 статті 39 в редакції Закону </w:t>
      </w:r>
      <w:hyperlink r:id="rId806" w:anchor="n10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6C711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4" w:name="n13655"/>
      <w:bookmarkEnd w:id="1544"/>
      <w:r w:rsidRPr="008B264B">
        <w:rPr>
          <w:rFonts w:ascii="Times New Roman" w:eastAsia="Times New Roman" w:hAnsi="Times New Roman" w:cs="Times New Roman"/>
          <w:color w:val="000000"/>
          <w:sz w:val="24"/>
          <w:szCs w:val="24"/>
          <w:lang/>
        </w:rPr>
        <w:t>2) якщо зіставна юридична особа не має збитків за даними бухгалтерської (фінансової) звітності більш ніж в одному звітному періоді у періодах, які використовуються для розрахунку відповідних фінансових показників;</w:t>
      </w:r>
    </w:p>
    <w:p w14:paraId="3DF1F7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5" w:name="n13656"/>
      <w:bookmarkEnd w:id="1545"/>
      <w:r w:rsidRPr="008B264B">
        <w:rPr>
          <w:rFonts w:ascii="Times New Roman" w:eastAsia="Times New Roman" w:hAnsi="Times New Roman" w:cs="Times New Roman"/>
          <w:color w:val="000000"/>
          <w:sz w:val="24"/>
          <w:szCs w:val="24"/>
          <w:lang/>
        </w:rPr>
        <w:t>3) якщо зіставна юридична особа не володіє прямо та/або опосередковано корпоративними правами іншої юридичної особи з часткою такої участі більше 20 відсотків або не має як учасника (акціонера) юридичну особу з часткою прямої (опосередкованої) участі більше 20 відсотків.</w:t>
      </w:r>
    </w:p>
    <w:p w14:paraId="06AEC8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6" w:name="n13647"/>
      <w:bookmarkEnd w:id="1546"/>
      <w:r w:rsidRPr="008B264B">
        <w:rPr>
          <w:rFonts w:ascii="Times New Roman" w:eastAsia="Times New Roman" w:hAnsi="Times New Roman" w:cs="Times New Roman"/>
          <w:i/>
          <w:iCs/>
          <w:color w:val="000000"/>
          <w:sz w:val="24"/>
          <w:szCs w:val="24"/>
          <w:lang/>
        </w:rPr>
        <w:t>{Підпункт 39.3.2 пункту 39.3 статті 39 доповнено підпунктом 39.3.2.9 згідно із Законом </w:t>
      </w:r>
      <w:hyperlink r:id="rId807" w:anchor="n2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49DD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7" w:name="n11026"/>
      <w:bookmarkEnd w:id="1547"/>
      <w:r w:rsidRPr="008B264B">
        <w:rPr>
          <w:rFonts w:ascii="Times New Roman" w:eastAsia="Times New Roman" w:hAnsi="Times New Roman" w:cs="Times New Roman"/>
          <w:color w:val="000000"/>
          <w:sz w:val="24"/>
          <w:szCs w:val="24"/>
          <w:lang/>
        </w:rPr>
        <w:t>39.3.3. Метод порівняльної неконтрольованої ціни</w:t>
      </w:r>
    </w:p>
    <w:p w14:paraId="7EBB7E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8" w:name="n11027"/>
      <w:bookmarkEnd w:id="1548"/>
      <w:r w:rsidRPr="008B264B">
        <w:rPr>
          <w:rFonts w:ascii="Times New Roman" w:eastAsia="Times New Roman" w:hAnsi="Times New Roman" w:cs="Times New Roman"/>
          <w:color w:val="000000"/>
          <w:sz w:val="24"/>
          <w:szCs w:val="24"/>
          <w:lang/>
        </w:rPr>
        <w:t>39.3.3.1. Метод порівняльної неконтрольованої ціни полягає у порівнянні ціни, застосованої у контрольованій операції, з ціною у зіставній (зіставних) неконтрольованій (неконтрольованих) операції (операціях), які фактично здійснені платником податків (іншими особами) або на підставі інформації, отриманої з джерел, визначених </w:t>
      </w:r>
      <w:hyperlink r:id="rId808" w:anchor="n11124" w:history="1">
        <w:r w:rsidRPr="008B264B">
          <w:rPr>
            <w:rFonts w:ascii="Times New Roman" w:eastAsia="Times New Roman" w:hAnsi="Times New Roman" w:cs="Times New Roman"/>
            <w:color w:val="0000FF"/>
            <w:sz w:val="24"/>
            <w:szCs w:val="24"/>
            <w:u w:val="single"/>
            <w:lang/>
          </w:rPr>
          <w:t>підпунктом 39.5.3</w:t>
        </w:r>
      </w:hyperlink>
      <w:r w:rsidRPr="008B264B">
        <w:rPr>
          <w:rFonts w:ascii="Times New Roman" w:eastAsia="Times New Roman" w:hAnsi="Times New Roman" w:cs="Times New Roman"/>
          <w:color w:val="000000"/>
          <w:sz w:val="24"/>
          <w:szCs w:val="24"/>
          <w:lang/>
        </w:rPr>
        <w:t> пункту 39.5 цієї статті.</w:t>
      </w:r>
    </w:p>
    <w:p w14:paraId="7A0248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49" w:name="n13658"/>
      <w:bookmarkEnd w:id="1549"/>
      <w:r w:rsidRPr="008B264B">
        <w:rPr>
          <w:rFonts w:ascii="Times New Roman" w:eastAsia="Times New Roman" w:hAnsi="Times New Roman" w:cs="Times New Roman"/>
          <w:i/>
          <w:iCs/>
          <w:color w:val="000000"/>
          <w:sz w:val="24"/>
          <w:szCs w:val="24"/>
          <w:lang/>
        </w:rPr>
        <w:t>{Підпункт 39.3.3.1 підпункту 39.3.3 пункту 39.3 статті 39 в редакції Закону </w:t>
      </w:r>
      <w:hyperlink r:id="rId809" w:anchor="n23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A28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0" w:name="n11028"/>
      <w:bookmarkEnd w:id="1550"/>
      <w:r w:rsidRPr="008B264B">
        <w:rPr>
          <w:rFonts w:ascii="Times New Roman" w:eastAsia="Times New Roman" w:hAnsi="Times New Roman" w:cs="Times New Roman"/>
          <w:i/>
          <w:iCs/>
          <w:color w:val="000000"/>
          <w:sz w:val="24"/>
          <w:szCs w:val="24"/>
          <w:lang/>
        </w:rPr>
        <w:t>{Підпункт 39.3.3.2 підпункту 39.3.3 пункту 39.3 статті 39 виключено на підставі Закону </w:t>
      </w:r>
      <w:hyperlink r:id="rId810" w:anchor="n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A23A9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1" w:name="n11029"/>
      <w:bookmarkEnd w:id="1551"/>
      <w:r w:rsidRPr="008B264B">
        <w:rPr>
          <w:rFonts w:ascii="Times New Roman" w:eastAsia="Times New Roman" w:hAnsi="Times New Roman" w:cs="Times New Roman"/>
          <w:color w:val="000000"/>
          <w:sz w:val="24"/>
          <w:szCs w:val="24"/>
          <w:lang/>
        </w:rPr>
        <w:t>39.3.3.3. Порівняння ціни контрольованої операції з ціною зіставних неконтрольованих операцій проводиться на підставі інформації про ціни, застосовані протягом періоду, який аналізується, зокрема інформації про ціни на найближчу до дня здійснення контрольованої операції дату.</w:t>
      </w:r>
    </w:p>
    <w:p w14:paraId="3526D0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2" w:name="n13659"/>
      <w:bookmarkEnd w:id="1552"/>
      <w:r w:rsidRPr="008B264B">
        <w:rPr>
          <w:rFonts w:ascii="Times New Roman" w:eastAsia="Times New Roman" w:hAnsi="Times New Roman" w:cs="Times New Roman"/>
          <w:color w:val="000000"/>
          <w:sz w:val="24"/>
          <w:szCs w:val="24"/>
          <w:lang/>
        </w:rPr>
        <w:t>У разі здійснення контрольованої операції на підставі форвардного або ф’ючерсного контракту порівняння цін проводиться на підставі інформації про форвардні або ф’ючерсні ціни на найближчу до дати укладення відповідного форвардного або ф’ючерсного контракту дату (за умови, що платник податків повідомить центральний орган виконавчої влади, що реалізує податкову та митну політику, про укладення такого контракту засобами електронного зв’язку в електронній формі з дотриманням вимог законів України </w:t>
      </w:r>
      <w:hyperlink r:id="rId811"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812"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 протягом 10 робочих днів з дня укладення відповідного форвардного або ф’ючерсного контракту).</w:t>
      </w:r>
    </w:p>
    <w:bookmarkStart w:id="1553" w:name="n14781"/>
    <w:bookmarkEnd w:id="1553"/>
    <w:p w14:paraId="2D1F50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"https://zakon.rada.gov.ua/laws/show/z0547-18" \l "n18"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такого повідомлення та </w:t>
      </w:r>
      <w:hyperlink r:id="rId813" w:anchor="n22"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його подання затверджуються центральним органом виконавчої влади, що забезпечує формування та реалізує державну фінансову політику.</w:t>
      </w:r>
    </w:p>
    <w:p w14:paraId="2557F4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4" w:name="n14780"/>
      <w:bookmarkEnd w:id="1554"/>
      <w:r w:rsidRPr="008B264B">
        <w:rPr>
          <w:rFonts w:ascii="Times New Roman" w:eastAsia="Times New Roman" w:hAnsi="Times New Roman" w:cs="Times New Roman"/>
          <w:i/>
          <w:iCs/>
          <w:color w:val="000000"/>
          <w:sz w:val="24"/>
          <w:szCs w:val="24"/>
          <w:lang/>
        </w:rPr>
        <w:t>{Підпункт 39.3.3.3 підпункт 39.3.3 пункту 39.3 статті 39 доповнено абзацом третім згідно із Законом </w:t>
      </w:r>
      <w:hyperlink r:id="rId814" w:anchor="n10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A4BFF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5" w:name="n12513"/>
      <w:bookmarkEnd w:id="1555"/>
      <w:r w:rsidRPr="008B264B">
        <w:rPr>
          <w:rFonts w:ascii="Times New Roman" w:eastAsia="Times New Roman" w:hAnsi="Times New Roman" w:cs="Times New Roman"/>
          <w:i/>
          <w:iCs/>
          <w:color w:val="000000"/>
          <w:sz w:val="24"/>
          <w:szCs w:val="24"/>
          <w:lang/>
        </w:rPr>
        <w:t>{Підпункт 39.3.3.3 підпункту 39.3.3 пункту 39.3 статті 39 із змінами, внесеними згідно із Законом </w:t>
      </w:r>
      <w:hyperlink r:id="rId815" w:anchor="n64"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в редакції Закону </w:t>
      </w:r>
      <w:hyperlink r:id="rId816" w:anchor="n2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0A746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6" w:name="n11030"/>
      <w:bookmarkEnd w:id="1556"/>
      <w:r w:rsidRPr="008B264B">
        <w:rPr>
          <w:rFonts w:ascii="Times New Roman" w:eastAsia="Times New Roman" w:hAnsi="Times New Roman" w:cs="Times New Roman"/>
          <w:color w:val="000000"/>
          <w:sz w:val="24"/>
          <w:szCs w:val="24"/>
          <w:lang/>
        </w:rPr>
        <w:lastRenderedPageBreak/>
        <w:t>39.3.4. Метод ціни перепродажу</w:t>
      </w:r>
    </w:p>
    <w:p w14:paraId="7C59B6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7" w:name="n11031"/>
      <w:bookmarkEnd w:id="1557"/>
      <w:r w:rsidRPr="008B264B">
        <w:rPr>
          <w:rFonts w:ascii="Times New Roman" w:eastAsia="Times New Roman" w:hAnsi="Times New Roman" w:cs="Times New Roman"/>
          <w:color w:val="000000"/>
          <w:sz w:val="24"/>
          <w:szCs w:val="24"/>
          <w:lang/>
        </w:rPr>
        <w:t>39.3.4.1. Метод ціни перепродажу полягає у порівнянні валової рентабельності від перепродажу товарів (робіт, послуг), придбаних у контрольованій операції, з валовою рентабельністю від перепродажу товарів (робіт, послуг), яка отримується у зіставних неконтрольованих операціях.</w:t>
      </w:r>
    </w:p>
    <w:p w14:paraId="18AE33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8" w:name="n13660"/>
      <w:bookmarkEnd w:id="1558"/>
      <w:r w:rsidRPr="008B264B">
        <w:rPr>
          <w:rFonts w:ascii="Times New Roman" w:eastAsia="Times New Roman" w:hAnsi="Times New Roman" w:cs="Times New Roman"/>
          <w:i/>
          <w:iCs/>
          <w:color w:val="000000"/>
          <w:sz w:val="24"/>
          <w:szCs w:val="24"/>
          <w:lang/>
        </w:rPr>
        <w:t>{Підпункт 39.3.4.1 підпункту 39.3.4 пункту 39.3 статті 39 в редакції Закону </w:t>
      </w:r>
      <w:hyperlink r:id="rId817" w:anchor="n23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DFDE2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59" w:name="n11032"/>
      <w:bookmarkEnd w:id="1559"/>
      <w:r w:rsidRPr="008B264B">
        <w:rPr>
          <w:rFonts w:ascii="Times New Roman" w:eastAsia="Times New Roman" w:hAnsi="Times New Roman" w:cs="Times New Roman"/>
          <w:color w:val="000000"/>
          <w:sz w:val="24"/>
          <w:szCs w:val="24"/>
          <w:lang/>
        </w:rPr>
        <w:t>39.3.4.2. Метод ціни перепродажу може використовуватися, зокрема, але не виключно, якщо під час перепродажу товару здійснюються такі операції:</w:t>
      </w:r>
    </w:p>
    <w:p w14:paraId="3FE811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0" w:name="n13661"/>
      <w:bookmarkEnd w:id="1560"/>
      <w:r w:rsidRPr="008B264B">
        <w:rPr>
          <w:rFonts w:ascii="Times New Roman" w:eastAsia="Times New Roman" w:hAnsi="Times New Roman" w:cs="Times New Roman"/>
          <w:i/>
          <w:iCs/>
          <w:color w:val="000000"/>
          <w:sz w:val="24"/>
          <w:szCs w:val="24"/>
          <w:lang/>
        </w:rPr>
        <w:t>{Абзац перший підпункту 39.3.4.2 підпункту 39.3.4 пункту 39.3 статті 39 із змінами, внесеними згідно із Законом </w:t>
      </w:r>
      <w:hyperlink r:id="rId818" w:anchor="n2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E639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1" w:name="n11033"/>
      <w:bookmarkEnd w:id="1561"/>
      <w:r w:rsidRPr="008B264B">
        <w:rPr>
          <w:rFonts w:ascii="Times New Roman" w:eastAsia="Times New Roman" w:hAnsi="Times New Roman" w:cs="Times New Roman"/>
          <w:color w:val="000000"/>
          <w:sz w:val="24"/>
          <w:szCs w:val="24"/>
          <w:lang/>
        </w:rPr>
        <w:t>підготовка товару до перепродажу та його транспортування (поділ товарів на партії, формування поставок, сортування, перепакування);</w:t>
      </w:r>
    </w:p>
    <w:p w14:paraId="4F2FB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2" w:name="n11034"/>
      <w:bookmarkEnd w:id="1562"/>
      <w:r w:rsidRPr="008B264B">
        <w:rPr>
          <w:rFonts w:ascii="Times New Roman" w:eastAsia="Times New Roman" w:hAnsi="Times New Roman" w:cs="Times New Roman"/>
          <w:color w:val="000000"/>
          <w:sz w:val="24"/>
          <w:szCs w:val="24"/>
          <w:lang/>
        </w:rPr>
        <w:t>змішування товарів, якщо характеристики кінцевої продукції (напівфабрикатів) істотно не відрізняються від характеристик змішуваних товарів.</w:t>
      </w:r>
    </w:p>
    <w:p w14:paraId="75D12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3" w:name="n11035"/>
      <w:bookmarkEnd w:id="1563"/>
      <w:r w:rsidRPr="008B264B">
        <w:rPr>
          <w:rFonts w:ascii="Times New Roman" w:eastAsia="Times New Roman" w:hAnsi="Times New Roman" w:cs="Times New Roman"/>
          <w:color w:val="000000"/>
          <w:sz w:val="24"/>
          <w:szCs w:val="24"/>
          <w:lang/>
        </w:rPr>
        <w:t>39.3.5. Метод "витрати плюс"</w:t>
      </w:r>
    </w:p>
    <w:p w14:paraId="742A26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4" w:name="n11036"/>
      <w:bookmarkEnd w:id="1564"/>
      <w:r w:rsidRPr="008B264B">
        <w:rPr>
          <w:rFonts w:ascii="Times New Roman" w:eastAsia="Times New Roman" w:hAnsi="Times New Roman" w:cs="Times New Roman"/>
          <w:color w:val="000000"/>
          <w:sz w:val="24"/>
          <w:szCs w:val="24"/>
          <w:lang/>
        </w:rPr>
        <w:t>39.3.5.1. Метод "витрати плюс" полягає у порівнянні валової рентабельності собівартості продажу товарів (робіт, послуг) у контрольованій операції з аналогічним показником рентабельності у зіставних неконтрольованих операціях.</w:t>
      </w:r>
    </w:p>
    <w:p w14:paraId="100541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5" w:name="n13662"/>
      <w:bookmarkEnd w:id="1565"/>
      <w:r w:rsidRPr="008B264B">
        <w:rPr>
          <w:rFonts w:ascii="Times New Roman" w:eastAsia="Times New Roman" w:hAnsi="Times New Roman" w:cs="Times New Roman"/>
          <w:i/>
          <w:iCs/>
          <w:color w:val="000000"/>
          <w:sz w:val="24"/>
          <w:szCs w:val="24"/>
          <w:lang/>
        </w:rPr>
        <w:t>{Підпункт 39.3.5.1 підпункту 39.3.5 пункту 39.3 статті 39 в редакції Закону </w:t>
      </w:r>
      <w:hyperlink r:id="rId819" w:anchor="n2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9FC4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6" w:name="n11037"/>
      <w:bookmarkEnd w:id="1566"/>
      <w:r w:rsidRPr="008B264B">
        <w:rPr>
          <w:rFonts w:ascii="Times New Roman" w:eastAsia="Times New Roman" w:hAnsi="Times New Roman" w:cs="Times New Roman"/>
          <w:color w:val="000000"/>
          <w:sz w:val="24"/>
          <w:szCs w:val="24"/>
          <w:lang/>
        </w:rPr>
        <w:t>39.3.5.2. Метод "витрати плюс" може застосовуватися, зокрема, але не виключно, під час:</w:t>
      </w:r>
    </w:p>
    <w:p w14:paraId="7050F9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7" w:name="n11038"/>
      <w:bookmarkEnd w:id="1567"/>
      <w:r w:rsidRPr="008B264B">
        <w:rPr>
          <w:rFonts w:ascii="Times New Roman" w:eastAsia="Times New Roman" w:hAnsi="Times New Roman" w:cs="Times New Roman"/>
          <w:color w:val="000000"/>
          <w:sz w:val="24"/>
          <w:szCs w:val="24"/>
          <w:lang/>
        </w:rPr>
        <w:t>виконання робіт (надання послуг) особами, які є пов’язаними з отримувачами результатів таких робіт (послуг);</w:t>
      </w:r>
    </w:p>
    <w:p w14:paraId="6D8656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8" w:name="n11039"/>
      <w:bookmarkEnd w:id="1568"/>
      <w:r w:rsidRPr="008B264B">
        <w:rPr>
          <w:rFonts w:ascii="Times New Roman" w:eastAsia="Times New Roman" w:hAnsi="Times New Roman" w:cs="Times New Roman"/>
          <w:color w:val="000000"/>
          <w:sz w:val="24"/>
          <w:szCs w:val="24"/>
          <w:lang/>
        </w:rPr>
        <w:t>операцій з продажу товарів, сировини або напівфабрикатів за договорами між пов’язаними особами;</w:t>
      </w:r>
    </w:p>
    <w:p w14:paraId="55B36C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69" w:name="n13663"/>
      <w:bookmarkEnd w:id="1569"/>
      <w:r w:rsidRPr="008B264B">
        <w:rPr>
          <w:rFonts w:ascii="Times New Roman" w:eastAsia="Times New Roman" w:hAnsi="Times New Roman" w:cs="Times New Roman"/>
          <w:i/>
          <w:iCs/>
          <w:color w:val="000000"/>
          <w:sz w:val="24"/>
          <w:szCs w:val="24"/>
          <w:lang/>
        </w:rPr>
        <w:t>{Абзац третій підпункту 39.3.5.2 підпункту 39.3.5 пункту 39.3 статті 39 із змінами, внесеними згідно із Законом </w:t>
      </w:r>
      <w:hyperlink r:id="rId820" w:anchor="n2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4954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0" w:name="n11040"/>
      <w:bookmarkEnd w:id="1570"/>
      <w:r w:rsidRPr="008B264B">
        <w:rPr>
          <w:rFonts w:ascii="Times New Roman" w:eastAsia="Times New Roman" w:hAnsi="Times New Roman" w:cs="Times New Roman"/>
          <w:color w:val="000000"/>
          <w:sz w:val="24"/>
          <w:szCs w:val="24"/>
          <w:lang/>
        </w:rPr>
        <w:t>операцій з продажу товарів (робіт, послуг) за довгостроковими договорами (контрактами) між пов’язаними особами.</w:t>
      </w:r>
    </w:p>
    <w:p w14:paraId="1B3623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1" w:name="n13664"/>
      <w:bookmarkEnd w:id="1571"/>
      <w:r w:rsidRPr="008B264B">
        <w:rPr>
          <w:rFonts w:ascii="Times New Roman" w:eastAsia="Times New Roman" w:hAnsi="Times New Roman" w:cs="Times New Roman"/>
          <w:i/>
          <w:iCs/>
          <w:color w:val="000000"/>
          <w:sz w:val="24"/>
          <w:szCs w:val="24"/>
          <w:lang/>
        </w:rPr>
        <w:t>{Абзац четвертий підпункту 39.3.5.2 підпункту 39.3.5 пункту 39.3 статті 39 із змінами, внесеними згідно із Законом </w:t>
      </w:r>
      <w:hyperlink r:id="rId821" w:anchor="n2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705ED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2" w:name="n11041"/>
      <w:bookmarkEnd w:id="1572"/>
      <w:r w:rsidRPr="008B264B">
        <w:rPr>
          <w:rFonts w:ascii="Times New Roman" w:eastAsia="Times New Roman" w:hAnsi="Times New Roman" w:cs="Times New Roman"/>
          <w:color w:val="000000"/>
          <w:sz w:val="24"/>
          <w:szCs w:val="24"/>
          <w:lang/>
        </w:rPr>
        <w:t>39.3.6. Метод чистого прибутку</w:t>
      </w:r>
    </w:p>
    <w:p w14:paraId="096566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3" w:name="n11042"/>
      <w:bookmarkEnd w:id="1573"/>
      <w:r w:rsidRPr="008B264B">
        <w:rPr>
          <w:rFonts w:ascii="Times New Roman" w:eastAsia="Times New Roman" w:hAnsi="Times New Roman" w:cs="Times New Roman"/>
          <w:color w:val="000000"/>
          <w:sz w:val="24"/>
          <w:szCs w:val="24"/>
          <w:lang/>
        </w:rPr>
        <w:t>39.3.6.1. Метод чистого прибутку полягає у порівнянні відповідного фінансового показника рентабельності у контрольованій операції (чистого прибутку на основі відповідної бази (витрати, продаж, активи) або показника рентабельності операційних витрат) з відповідним показником рентабельності у зіставній (зіставних) неконтрольованій (неконтрольованих) операції (операціях).</w:t>
      </w:r>
    </w:p>
    <w:p w14:paraId="121E9E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4" w:name="n13665"/>
      <w:bookmarkEnd w:id="1574"/>
      <w:r w:rsidRPr="008B264B">
        <w:rPr>
          <w:rFonts w:ascii="Times New Roman" w:eastAsia="Times New Roman" w:hAnsi="Times New Roman" w:cs="Times New Roman"/>
          <w:i/>
          <w:iCs/>
          <w:color w:val="000000"/>
          <w:sz w:val="24"/>
          <w:szCs w:val="24"/>
          <w:lang/>
        </w:rPr>
        <w:t>{Підпункт 39.3.6.1 підпункту 39.3.6 пункту 39.3 статті 39 в редакції Закону </w:t>
      </w:r>
      <w:hyperlink r:id="rId822" w:anchor="n2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AEC7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5" w:name="n13667"/>
      <w:bookmarkEnd w:id="1575"/>
      <w:r w:rsidRPr="008B264B">
        <w:rPr>
          <w:rFonts w:ascii="Times New Roman" w:eastAsia="Times New Roman" w:hAnsi="Times New Roman" w:cs="Times New Roman"/>
          <w:color w:val="000000"/>
          <w:sz w:val="24"/>
          <w:szCs w:val="24"/>
          <w:lang/>
        </w:rPr>
        <w:t xml:space="preserve">39.3.6.2. Метод чистого прибутку використовується, зокрема, у разі відсутності або недостатності інформації, на підставі якої можна обґрунтовано зробити висновок про достатній рівень зіставності умов контрольованої операції з умовами зіставної (зіставних) </w:t>
      </w:r>
      <w:r w:rsidRPr="008B264B">
        <w:rPr>
          <w:rFonts w:ascii="Times New Roman" w:eastAsia="Times New Roman" w:hAnsi="Times New Roman" w:cs="Times New Roman"/>
          <w:color w:val="000000"/>
          <w:sz w:val="24"/>
          <w:szCs w:val="24"/>
          <w:lang/>
        </w:rPr>
        <w:lastRenderedPageBreak/>
        <w:t>неконтрольованої (неконтрольованих) операції (операцій) під час використання методів, визначених </w:t>
      </w:r>
      <w:hyperlink r:id="rId823" w:anchor="n11026" w:history="1">
        <w:r w:rsidRPr="008B264B">
          <w:rPr>
            <w:rFonts w:ascii="Times New Roman" w:eastAsia="Times New Roman" w:hAnsi="Times New Roman" w:cs="Times New Roman"/>
            <w:color w:val="0000FF"/>
            <w:sz w:val="24"/>
            <w:szCs w:val="24"/>
            <w:u w:val="single"/>
            <w:lang/>
          </w:rPr>
          <w:t>підпунктами 39.3.3-39.3.5</w:t>
        </w:r>
      </w:hyperlink>
      <w:r w:rsidRPr="008B264B">
        <w:rPr>
          <w:rFonts w:ascii="Times New Roman" w:eastAsia="Times New Roman" w:hAnsi="Times New Roman" w:cs="Times New Roman"/>
          <w:color w:val="000000"/>
          <w:sz w:val="24"/>
          <w:szCs w:val="24"/>
          <w:lang/>
        </w:rPr>
        <w:t> пункту 39.3 цієї статті.</w:t>
      </w:r>
    </w:p>
    <w:p w14:paraId="3B1739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6" w:name="n13666"/>
      <w:bookmarkEnd w:id="1576"/>
      <w:r w:rsidRPr="008B264B">
        <w:rPr>
          <w:rFonts w:ascii="Times New Roman" w:eastAsia="Times New Roman" w:hAnsi="Times New Roman" w:cs="Times New Roman"/>
          <w:i/>
          <w:iCs/>
          <w:color w:val="000000"/>
          <w:sz w:val="24"/>
          <w:szCs w:val="24"/>
          <w:lang/>
        </w:rPr>
        <w:t>{Підпункт 39.3.6 пункту 39.3 статті 39 доповнено підпунктом 39.3.6.2 згідно із Законом </w:t>
      </w:r>
      <w:hyperlink r:id="rId824" w:anchor="n2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0306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7" w:name="n11043"/>
      <w:bookmarkEnd w:id="1577"/>
      <w:r w:rsidRPr="008B264B">
        <w:rPr>
          <w:rFonts w:ascii="Times New Roman" w:eastAsia="Times New Roman" w:hAnsi="Times New Roman" w:cs="Times New Roman"/>
          <w:color w:val="000000"/>
          <w:sz w:val="24"/>
          <w:szCs w:val="24"/>
          <w:lang/>
        </w:rPr>
        <w:t>39.3.7. Метод розподілення прибутку</w:t>
      </w:r>
    </w:p>
    <w:p w14:paraId="601E53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8" w:name="n11044"/>
      <w:bookmarkEnd w:id="1578"/>
      <w:r w:rsidRPr="008B264B">
        <w:rPr>
          <w:rFonts w:ascii="Times New Roman" w:eastAsia="Times New Roman" w:hAnsi="Times New Roman" w:cs="Times New Roman"/>
          <w:color w:val="000000"/>
          <w:sz w:val="24"/>
          <w:szCs w:val="24"/>
          <w:lang/>
        </w:rPr>
        <w:t>39.3.7.1. Метод розподілення прибутку полягає у виділенні кожній особі, що бере участь у контрольованій (контрольованих) операції (операціях), частини загального прибутку (або збитку), отриманого за результатами здійснення такої операції, яку б інша непов’язана особа отримала від участі у зіставній (зіставних) неконтрольованій (неконтрольованих) операції (операціях).</w:t>
      </w:r>
    </w:p>
    <w:p w14:paraId="0676CD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79" w:name="n13668"/>
      <w:bookmarkEnd w:id="1579"/>
      <w:r w:rsidRPr="008B264B">
        <w:rPr>
          <w:rFonts w:ascii="Times New Roman" w:eastAsia="Times New Roman" w:hAnsi="Times New Roman" w:cs="Times New Roman"/>
          <w:i/>
          <w:iCs/>
          <w:color w:val="000000"/>
          <w:sz w:val="24"/>
          <w:szCs w:val="24"/>
          <w:lang/>
        </w:rPr>
        <w:t>{Підпункт 39.3.7.1 підпункту 39.3.7 пункту 39.3 статті 39 в редакції Закону </w:t>
      </w:r>
      <w:hyperlink r:id="rId825" w:anchor="n25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A5B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0" w:name="n11045"/>
      <w:bookmarkEnd w:id="1580"/>
      <w:r w:rsidRPr="008B264B">
        <w:rPr>
          <w:rFonts w:ascii="Times New Roman" w:eastAsia="Times New Roman" w:hAnsi="Times New Roman" w:cs="Times New Roman"/>
          <w:color w:val="000000"/>
          <w:sz w:val="24"/>
          <w:szCs w:val="24"/>
          <w:lang/>
        </w:rPr>
        <w:t>39.3.7.2. Якщо сторони контрольованих операцій, сукупний прибуток яких підлягає розподіленню з урахуванням положень підпункту 39.3.7 цього пункту, ведуть бухгалтерський облік та фінансову звітність на підставі різних форм та методів бухгалтерського обліку, для цілей застосування методу розподілення прибутку бухгалтерська і фінансова звітність повинна бути приведена у відповідність з єдиними методологічними засадами бухгалтерського обліку.</w:t>
      </w:r>
    </w:p>
    <w:p w14:paraId="6F78A7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1" w:name="n11046"/>
      <w:bookmarkEnd w:id="1581"/>
      <w:r w:rsidRPr="008B264B">
        <w:rPr>
          <w:rFonts w:ascii="Times New Roman" w:eastAsia="Times New Roman" w:hAnsi="Times New Roman" w:cs="Times New Roman"/>
          <w:color w:val="000000"/>
          <w:sz w:val="24"/>
          <w:szCs w:val="24"/>
          <w:lang/>
        </w:rPr>
        <w:t>39.3.7.3. Метод розподілення прибутку може використовуватися, зокрема, але не виключно, у разі наявності:</w:t>
      </w:r>
    </w:p>
    <w:p w14:paraId="02AC9B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2" w:name="n11047"/>
      <w:bookmarkEnd w:id="1582"/>
      <w:r w:rsidRPr="008B264B">
        <w:rPr>
          <w:rFonts w:ascii="Times New Roman" w:eastAsia="Times New Roman" w:hAnsi="Times New Roman" w:cs="Times New Roman"/>
          <w:color w:val="000000"/>
          <w:sz w:val="24"/>
          <w:szCs w:val="24"/>
          <w:lang/>
        </w:rPr>
        <w:t>істотного взаємозв’язку між контрольованими операціями та іншими операціями, що здійснюються сторонами контрольованої операції з пов’язаними з ними особами;</w:t>
      </w:r>
    </w:p>
    <w:p w14:paraId="32C7D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3" w:name="n11048"/>
      <w:bookmarkEnd w:id="1583"/>
      <w:r w:rsidRPr="008B264B">
        <w:rPr>
          <w:rFonts w:ascii="Times New Roman" w:eastAsia="Times New Roman" w:hAnsi="Times New Roman" w:cs="Times New Roman"/>
          <w:color w:val="000000"/>
          <w:sz w:val="24"/>
          <w:szCs w:val="24"/>
          <w:lang/>
        </w:rPr>
        <w:t>у сторін контрольованої операції прав на володіння (користування) об’єктами нематеріальних активів, що істотно впливають на рівень рентабельності, отриманої сторонами контрольованої операції за результатами здійснення такої контрольованої операції.</w:t>
      </w:r>
    </w:p>
    <w:p w14:paraId="388AB2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4" w:name="n13669"/>
      <w:bookmarkEnd w:id="1584"/>
      <w:r w:rsidRPr="008B264B">
        <w:rPr>
          <w:rFonts w:ascii="Times New Roman" w:eastAsia="Times New Roman" w:hAnsi="Times New Roman" w:cs="Times New Roman"/>
          <w:i/>
          <w:iCs/>
          <w:color w:val="000000"/>
          <w:sz w:val="24"/>
          <w:szCs w:val="24"/>
          <w:lang/>
        </w:rPr>
        <w:t>{Абзац третій підпункту 39.3.7.3 підпункту 39.3.7 пункту 39.3 статті 39 в редакції Закону </w:t>
      </w:r>
      <w:hyperlink r:id="rId826" w:anchor="n2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EDD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5" w:name="n11049"/>
      <w:bookmarkEnd w:id="1585"/>
      <w:r w:rsidRPr="008B264B">
        <w:rPr>
          <w:rFonts w:ascii="Times New Roman" w:eastAsia="Times New Roman" w:hAnsi="Times New Roman" w:cs="Times New Roman"/>
          <w:color w:val="000000"/>
          <w:sz w:val="24"/>
          <w:szCs w:val="24"/>
          <w:lang/>
        </w:rPr>
        <w:t>39.3.7.4. Розподілення прибутку між сторонами контрольованих операцій проводиться на підставі результатів оцінки їх внеску в сукупний прибуток відповідно до критеріїв, що базуються на об’єктивних даних та підтверджуються інформацією у зіставних операціях та/або внутрішніми даними сторін контрольованих операцій з урахуванням виконаних кожною з таких сторін функцій, використаних під час здійснення контрольованих операцій активів та прийнятих економічних (комерційних) ризиків, пов’язаних з таким здійсненням.</w:t>
      </w:r>
    </w:p>
    <w:p w14:paraId="2F6194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6" w:name="n13670"/>
      <w:bookmarkEnd w:id="1586"/>
      <w:r w:rsidRPr="008B264B">
        <w:rPr>
          <w:rFonts w:ascii="Times New Roman" w:eastAsia="Times New Roman" w:hAnsi="Times New Roman" w:cs="Times New Roman"/>
          <w:i/>
          <w:iCs/>
          <w:color w:val="000000"/>
          <w:sz w:val="24"/>
          <w:szCs w:val="24"/>
          <w:lang/>
        </w:rPr>
        <w:t>{Підпункт 39.3.7.4 підпункту 39.3.7 пункту 39.3 статті 39 із змінами, внесеними згідно із Законом </w:t>
      </w:r>
      <w:hyperlink r:id="rId827" w:anchor="n2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7E52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7" w:name="n11050"/>
      <w:bookmarkEnd w:id="1587"/>
      <w:r w:rsidRPr="008B264B">
        <w:rPr>
          <w:rFonts w:ascii="Times New Roman" w:eastAsia="Times New Roman" w:hAnsi="Times New Roman" w:cs="Times New Roman"/>
          <w:color w:val="000000"/>
          <w:sz w:val="24"/>
          <w:szCs w:val="24"/>
          <w:lang/>
        </w:rPr>
        <w:t>39.3.7.5. Для цілей підпункту 39.3.7 цього пункту сукупним прибутком всіх сторін контрольованих операцій є сума прибутку від таких контрольованих операцій всіх сторін контрольованих операцій за період, що аналізується. При цьому залишковий прибуток (збиток) визначається як різниця між сукупним прибутком (збитком), отриманим за результатами здійснення контрольованих операцій, та сумою розрахункового прибутку (збитку) всіх сторін контрольованих операцій.</w:t>
      </w:r>
    </w:p>
    <w:p w14:paraId="022AE0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8" w:name="n11051"/>
      <w:bookmarkEnd w:id="1588"/>
      <w:r w:rsidRPr="008B264B">
        <w:rPr>
          <w:rFonts w:ascii="Times New Roman" w:eastAsia="Times New Roman" w:hAnsi="Times New Roman" w:cs="Times New Roman"/>
          <w:color w:val="000000"/>
          <w:sz w:val="24"/>
          <w:szCs w:val="24"/>
          <w:lang/>
        </w:rPr>
        <w:t>39.3.7.6. Розрахунковий прибуток (збиток) визначається на основі методів, передбачених </w:t>
      </w:r>
      <w:hyperlink r:id="rId828" w:anchor="n10981" w:history="1">
        <w:r w:rsidRPr="008B264B">
          <w:rPr>
            <w:rFonts w:ascii="Times New Roman" w:eastAsia="Times New Roman" w:hAnsi="Times New Roman" w:cs="Times New Roman"/>
            <w:color w:val="0000FF"/>
            <w:sz w:val="24"/>
            <w:szCs w:val="24"/>
            <w:u w:val="single"/>
            <w:lang/>
          </w:rPr>
          <w:t>підпунктами 39.3.1.2-39.3.1.4</w:t>
        </w:r>
      </w:hyperlink>
      <w:r w:rsidRPr="008B264B">
        <w:rPr>
          <w:rFonts w:ascii="Times New Roman" w:eastAsia="Times New Roman" w:hAnsi="Times New Roman" w:cs="Times New Roman"/>
          <w:color w:val="000000"/>
          <w:sz w:val="24"/>
          <w:szCs w:val="24"/>
          <w:lang/>
        </w:rPr>
        <w:t> підпункту 39.3.1 цього пункту, для кожної особи, що є стороною контрольованих операцій, на основі діапазону цін товарів (робіт, послуг) або показників рентабельності для кожної сторони з урахуванням виконаних такою стороною функцій, використаних активів та прийнятих комерційних ризиків, що є типовими для зіставних операцій.</w:t>
      </w:r>
    </w:p>
    <w:p w14:paraId="41E22E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89" w:name="n13671"/>
      <w:bookmarkEnd w:id="1589"/>
      <w:r w:rsidRPr="008B264B">
        <w:rPr>
          <w:rFonts w:ascii="Times New Roman" w:eastAsia="Times New Roman" w:hAnsi="Times New Roman" w:cs="Times New Roman"/>
          <w:i/>
          <w:iCs/>
          <w:color w:val="000000"/>
          <w:sz w:val="24"/>
          <w:szCs w:val="24"/>
          <w:lang/>
        </w:rPr>
        <w:lastRenderedPageBreak/>
        <w:t>{Підпункт 39.3.7.6 підпункту 39.3.7 пункту 39.3 статті 39 із змінами, внесеними згідно із Законом </w:t>
      </w:r>
      <w:hyperlink r:id="rId829" w:anchor="n2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2D7D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0" w:name="n11052"/>
      <w:bookmarkEnd w:id="1590"/>
      <w:r w:rsidRPr="008B264B">
        <w:rPr>
          <w:rFonts w:ascii="Times New Roman" w:eastAsia="Times New Roman" w:hAnsi="Times New Roman" w:cs="Times New Roman"/>
          <w:color w:val="000000"/>
          <w:sz w:val="24"/>
          <w:szCs w:val="24"/>
          <w:lang/>
        </w:rPr>
        <w:t>39.3.7.7. Визначення підсумкової величини прибутку (збитку) кожної сторони контрольованих операцій здійснюється шляхом підсумовування відповідних розрахункового прибутку (збитку) і залишкового прибутку (збитку).</w:t>
      </w:r>
    </w:p>
    <w:p w14:paraId="7546C3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1" w:name="n11053"/>
      <w:bookmarkEnd w:id="1591"/>
      <w:r w:rsidRPr="008B264B">
        <w:rPr>
          <w:rFonts w:ascii="Times New Roman" w:eastAsia="Times New Roman" w:hAnsi="Times New Roman" w:cs="Times New Roman"/>
          <w:color w:val="000000"/>
          <w:sz w:val="24"/>
          <w:szCs w:val="24"/>
          <w:lang/>
        </w:rPr>
        <w:t>39.3.7.8. Для розподілу між сторонами контрольованих операцій сукупного або залишкового прибутку (збитку) всіх сторін зазначених операцій можуть враховуватися, зокрема, але не виключно, такі показники:</w:t>
      </w:r>
    </w:p>
    <w:p w14:paraId="36C8C8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2" w:name="n11054"/>
      <w:bookmarkEnd w:id="1592"/>
      <w:r w:rsidRPr="008B264B">
        <w:rPr>
          <w:rFonts w:ascii="Times New Roman" w:eastAsia="Times New Roman" w:hAnsi="Times New Roman" w:cs="Times New Roman"/>
          <w:color w:val="000000"/>
          <w:sz w:val="24"/>
          <w:szCs w:val="24"/>
          <w:lang/>
        </w:rPr>
        <w:t>розмір витрат, понесених кожною із сторін контрольованих операцій у зв’язку із створенням нематеріальних активів, використання яких впливає на розмір фактично отриманого прибутку (збитку) від контрольованих операцій;</w:t>
      </w:r>
    </w:p>
    <w:p w14:paraId="4FD3B1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3" w:name="n11055"/>
      <w:bookmarkEnd w:id="1593"/>
      <w:r w:rsidRPr="008B264B">
        <w:rPr>
          <w:rFonts w:ascii="Times New Roman" w:eastAsia="Times New Roman" w:hAnsi="Times New Roman" w:cs="Times New Roman"/>
          <w:color w:val="000000"/>
          <w:sz w:val="24"/>
          <w:szCs w:val="24"/>
          <w:lang/>
        </w:rPr>
        <w:t>характеристика персоналу, залученого кожною стороною контрольованих операцій, включаючи його чисельність і кваліфікацію; витрачений персоналом час; обсяг витрат на оплату праці, що мають вплив на розмір фактично отриманого прибутку (понесеного збитку) кожною стороною контрольованих операцій;</w:t>
      </w:r>
    </w:p>
    <w:p w14:paraId="0744FE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4" w:name="n11056"/>
      <w:bookmarkEnd w:id="1594"/>
      <w:r w:rsidRPr="008B264B">
        <w:rPr>
          <w:rFonts w:ascii="Times New Roman" w:eastAsia="Times New Roman" w:hAnsi="Times New Roman" w:cs="Times New Roman"/>
          <w:color w:val="000000"/>
          <w:sz w:val="24"/>
          <w:szCs w:val="24"/>
          <w:lang/>
        </w:rPr>
        <w:t>ринкова вартість активів, що були використані кожною стороною контрольованих операцій та мали вплив на розмір фактично отриманого прибутку (збитку) контрольованих операцій;</w:t>
      </w:r>
    </w:p>
    <w:p w14:paraId="7CE0C1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5" w:name="n11057"/>
      <w:bookmarkEnd w:id="1595"/>
      <w:r w:rsidRPr="008B264B">
        <w:rPr>
          <w:rFonts w:ascii="Times New Roman" w:eastAsia="Times New Roman" w:hAnsi="Times New Roman" w:cs="Times New Roman"/>
          <w:color w:val="000000"/>
          <w:sz w:val="24"/>
          <w:szCs w:val="24"/>
          <w:lang/>
        </w:rPr>
        <w:t>інші показники, які пов’язані з виконанням функцій, використанням активів, прийнятими комерційними ризиками та розміром фактично отриманого прибутку (збитку) кожною стороною контрольованих операцій.</w:t>
      </w:r>
    </w:p>
    <w:p w14:paraId="555F12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6" w:name="n13673"/>
      <w:bookmarkEnd w:id="1596"/>
      <w:r w:rsidRPr="008B264B">
        <w:rPr>
          <w:rFonts w:ascii="Times New Roman" w:eastAsia="Times New Roman" w:hAnsi="Times New Roman" w:cs="Times New Roman"/>
          <w:color w:val="000000"/>
          <w:sz w:val="24"/>
          <w:szCs w:val="24"/>
          <w:lang/>
        </w:rPr>
        <w:t>39.3.8. Платник податку має право визначити відповідність умов контрольованої операції принципу "витягнутої руки" за сукупністю декількох контрольованих операцій із однією особою, поєднаних за принципом групування.</w:t>
      </w:r>
    </w:p>
    <w:p w14:paraId="3B563C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7" w:name="n13674"/>
      <w:bookmarkEnd w:id="1597"/>
      <w:r w:rsidRPr="008B264B">
        <w:rPr>
          <w:rFonts w:ascii="Times New Roman" w:eastAsia="Times New Roman" w:hAnsi="Times New Roman" w:cs="Times New Roman"/>
          <w:color w:val="000000"/>
          <w:sz w:val="24"/>
          <w:szCs w:val="24"/>
          <w:lang/>
        </w:rPr>
        <w:t>Принцип групування передбачає можливість об’єднання операцій для застосування методів встановлення відповідності умов контрольованої операції принципу "витягнутої руки", зазначених у </w:t>
      </w:r>
      <w:hyperlink r:id="rId830" w:anchor="n11030" w:history="1">
        <w:r w:rsidRPr="008B264B">
          <w:rPr>
            <w:rFonts w:ascii="Times New Roman" w:eastAsia="Times New Roman" w:hAnsi="Times New Roman" w:cs="Times New Roman"/>
            <w:color w:val="0000FF"/>
            <w:sz w:val="24"/>
            <w:szCs w:val="24"/>
            <w:u w:val="single"/>
            <w:lang/>
          </w:rPr>
          <w:t>підпунктах 39.3.4-39.3.7</w:t>
        </w:r>
      </w:hyperlink>
      <w:r w:rsidRPr="008B264B">
        <w:rPr>
          <w:rFonts w:ascii="Times New Roman" w:eastAsia="Times New Roman" w:hAnsi="Times New Roman" w:cs="Times New Roman"/>
          <w:color w:val="000000"/>
          <w:sz w:val="24"/>
          <w:szCs w:val="24"/>
          <w:lang/>
        </w:rPr>
        <w:t> пункту 39.3 цієї статті, в тому числі для розрахунку показників рентабельності, встановлених </w:t>
      </w:r>
      <w:hyperlink r:id="rId831" w:anchor="n11007" w:history="1">
        <w:r w:rsidRPr="008B264B">
          <w:rPr>
            <w:rFonts w:ascii="Times New Roman" w:eastAsia="Times New Roman" w:hAnsi="Times New Roman" w:cs="Times New Roman"/>
            <w:color w:val="0000FF"/>
            <w:sz w:val="24"/>
            <w:szCs w:val="24"/>
            <w:u w:val="single"/>
            <w:lang/>
          </w:rPr>
          <w:t>підпунктом 39.3.2.5</w:t>
        </w:r>
      </w:hyperlink>
      <w:r w:rsidRPr="008B264B">
        <w:rPr>
          <w:rFonts w:ascii="Times New Roman" w:eastAsia="Times New Roman" w:hAnsi="Times New Roman" w:cs="Times New Roman"/>
          <w:color w:val="000000"/>
          <w:sz w:val="24"/>
          <w:szCs w:val="24"/>
          <w:lang/>
        </w:rPr>
        <w:t> підпункту 39.3.2 пункту 39.3 цієї статті, у разі якщо такі операції є тісно взаємопов’язаними чи є продовженням одна одної або мають безперервний чи регулярний характер. До таких операцій, зокрема, можуть належати:</w:t>
      </w:r>
    </w:p>
    <w:p w14:paraId="766A3E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8" w:name="n13675"/>
      <w:bookmarkEnd w:id="1598"/>
      <w:r w:rsidRPr="008B264B">
        <w:rPr>
          <w:rFonts w:ascii="Times New Roman" w:eastAsia="Times New Roman" w:hAnsi="Times New Roman" w:cs="Times New Roman"/>
          <w:color w:val="000000"/>
          <w:sz w:val="24"/>
          <w:szCs w:val="24"/>
          <w:lang/>
        </w:rPr>
        <w:t>придбання (продаж) товарів (робіт, послуг) за довгостроковими договорами, зокрема, операції за якими здійснюються протягом усього звітного (податкового) періоду;</w:t>
      </w:r>
    </w:p>
    <w:p w14:paraId="64FD1D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599" w:name="n13676"/>
      <w:bookmarkEnd w:id="1599"/>
      <w:r w:rsidRPr="008B264B">
        <w:rPr>
          <w:rFonts w:ascii="Times New Roman" w:eastAsia="Times New Roman" w:hAnsi="Times New Roman" w:cs="Times New Roman"/>
          <w:color w:val="000000"/>
          <w:sz w:val="24"/>
          <w:szCs w:val="24"/>
          <w:lang/>
        </w:rPr>
        <w:t>передача (отримання) прав на використання різних нематеріальних активів, пов’язаних із одним товаром (послугою);</w:t>
      </w:r>
    </w:p>
    <w:p w14:paraId="5D5B1C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0" w:name="n13677"/>
      <w:bookmarkEnd w:id="1600"/>
      <w:r w:rsidRPr="008B264B">
        <w:rPr>
          <w:rFonts w:ascii="Times New Roman" w:eastAsia="Times New Roman" w:hAnsi="Times New Roman" w:cs="Times New Roman"/>
          <w:color w:val="000000"/>
          <w:sz w:val="24"/>
          <w:szCs w:val="24"/>
          <w:lang/>
        </w:rPr>
        <w:t>придбання (продаж) серії тісно пов’язаних продуктів (продуктової групи) та/або послуг;</w:t>
      </w:r>
    </w:p>
    <w:p w14:paraId="0B6F6C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1" w:name="n13678"/>
      <w:bookmarkEnd w:id="1601"/>
      <w:r w:rsidRPr="008B264B">
        <w:rPr>
          <w:rFonts w:ascii="Times New Roman" w:eastAsia="Times New Roman" w:hAnsi="Times New Roman" w:cs="Times New Roman"/>
          <w:color w:val="000000"/>
          <w:sz w:val="24"/>
          <w:szCs w:val="24"/>
          <w:lang/>
        </w:rPr>
        <w:t>придбання (продаж) різних товарів (робіт, послуг) за умови, що один товар (робота, послуга) або одна група товарів (робіт, послуг) створює попит на інший товар (роботу, послугу) або групу товарів (робіт, послуг).</w:t>
      </w:r>
    </w:p>
    <w:p w14:paraId="4C9F94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2" w:name="n13680"/>
      <w:bookmarkEnd w:id="1602"/>
      <w:r w:rsidRPr="008B264B">
        <w:rPr>
          <w:rFonts w:ascii="Times New Roman" w:eastAsia="Times New Roman" w:hAnsi="Times New Roman" w:cs="Times New Roman"/>
          <w:i/>
          <w:iCs/>
          <w:color w:val="000000"/>
          <w:sz w:val="24"/>
          <w:szCs w:val="24"/>
          <w:lang/>
        </w:rPr>
        <w:t>{Пункт 39.3 статті 39 доповнено підпунктом 39.3.8 згідно із Законом </w:t>
      </w:r>
      <w:hyperlink r:id="rId832" w:anchor="n2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10B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3" w:name="n13679"/>
      <w:bookmarkEnd w:id="1603"/>
      <w:r w:rsidRPr="008B264B">
        <w:rPr>
          <w:rFonts w:ascii="Times New Roman" w:eastAsia="Times New Roman" w:hAnsi="Times New Roman" w:cs="Times New Roman"/>
          <w:color w:val="000000"/>
          <w:sz w:val="24"/>
          <w:szCs w:val="24"/>
          <w:lang/>
        </w:rPr>
        <w:t>39.3.9. Під час розрахунку показника рентабельності щодо окремої контрольованої операції (сукупності згрупованих контрольованих операцій відповідно до підпункту 39.3.8 цього пункту) для визначення операційних витрат та доходів, безпосередньо пов’язаних з такою операцією, використовується найбільш обґрунтований алгоритм розподілу, що відповідає економічній суті контрольованої операції та характеру понесених витрат чи отриманих доходів.</w:t>
      </w:r>
    </w:p>
    <w:p w14:paraId="189C43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4" w:name="n13672"/>
      <w:bookmarkEnd w:id="1604"/>
      <w:r w:rsidRPr="008B264B">
        <w:rPr>
          <w:rFonts w:ascii="Times New Roman" w:eastAsia="Times New Roman" w:hAnsi="Times New Roman" w:cs="Times New Roman"/>
          <w:i/>
          <w:iCs/>
          <w:color w:val="000000"/>
          <w:sz w:val="24"/>
          <w:szCs w:val="24"/>
          <w:lang/>
        </w:rPr>
        <w:t>{Пункт 39.3 статті 39 доповнено підпунктом 39.3.9 згідно із Законом </w:t>
      </w:r>
      <w:hyperlink r:id="rId833" w:anchor="n2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DE583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5" w:name="n11058"/>
      <w:bookmarkEnd w:id="1605"/>
      <w:r w:rsidRPr="008B264B">
        <w:rPr>
          <w:rFonts w:ascii="Times New Roman" w:eastAsia="Times New Roman" w:hAnsi="Times New Roman" w:cs="Times New Roman"/>
          <w:color w:val="000000"/>
          <w:sz w:val="24"/>
          <w:szCs w:val="24"/>
          <w:lang/>
        </w:rPr>
        <w:lastRenderedPageBreak/>
        <w:t>39.4. Складення та подання звітності для податкового контролю</w:t>
      </w:r>
    </w:p>
    <w:p w14:paraId="29021B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6" w:name="n13681"/>
      <w:bookmarkEnd w:id="1606"/>
      <w:r w:rsidRPr="008B264B">
        <w:rPr>
          <w:rFonts w:ascii="Times New Roman" w:eastAsia="Times New Roman" w:hAnsi="Times New Roman" w:cs="Times New Roman"/>
          <w:i/>
          <w:iCs/>
          <w:color w:val="000000"/>
          <w:sz w:val="24"/>
          <w:szCs w:val="24"/>
          <w:lang/>
        </w:rPr>
        <w:t>{Абзац перший пункту 39.4 статті 39 в редакції Закону </w:t>
      </w:r>
      <w:hyperlink r:id="rId834" w:anchor="n2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0DFE4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7" w:name="n11059"/>
      <w:bookmarkEnd w:id="1607"/>
      <w:r w:rsidRPr="008B264B">
        <w:rPr>
          <w:rFonts w:ascii="Times New Roman" w:eastAsia="Times New Roman" w:hAnsi="Times New Roman" w:cs="Times New Roman"/>
          <w:color w:val="000000"/>
          <w:sz w:val="24"/>
          <w:szCs w:val="24"/>
          <w:lang/>
        </w:rPr>
        <w:t>39.4.1. Для цілей податкового контролю за трансфертним ціноутворенням звітним періодом є календарний рік.</w:t>
      </w:r>
    </w:p>
    <w:p w14:paraId="384ADA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8" w:name="n11060"/>
      <w:bookmarkEnd w:id="1608"/>
      <w:r w:rsidRPr="008B264B">
        <w:rPr>
          <w:rFonts w:ascii="Times New Roman" w:eastAsia="Times New Roman" w:hAnsi="Times New Roman" w:cs="Times New Roman"/>
          <w:color w:val="000000"/>
          <w:sz w:val="24"/>
          <w:szCs w:val="24"/>
          <w:lang/>
        </w:rPr>
        <w:t>39.4.2.  Платники податків, які у звітному році здійснювали контрольовані операції, зобов’язані подавати звіт про контрольовані операції центральному органу виконавчої влади, що реалізує державну податкову і митну політику, до 1 жовтня року, що настає за звітним, засобами електронного зв’язку в електронній формі з дотриманням вимог законів України </w:t>
      </w:r>
      <w:hyperlink r:id="rId835"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836"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2AB9B7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09" w:name="n11061"/>
      <w:bookmarkEnd w:id="1609"/>
      <w:r w:rsidRPr="008B264B">
        <w:rPr>
          <w:rFonts w:ascii="Times New Roman" w:eastAsia="Times New Roman" w:hAnsi="Times New Roman" w:cs="Times New Roman"/>
          <w:color w:val="000000"/>
          <w:sz w:val="24"/>
          <w:szCs w:val="24"/>
          <w:lang/>
        </w:rPr>
        <w:t>У звіті про контрольовані операції зазначається інформація про всі контрольовані операції, здійснені платником податків у звітному періоді.</w:t>
      </w:r>
    </w:p>
    <w:p w14:paraId="31BFBF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0" w:name="n11062"/>
      <w:bookmarkEnd w:id="1610"/>
      <w:r w:rsidRPr="008B264B">
        <w:rPr>
          <w:rFonts w:ascii="Times New Roman" w:eastAsia="Times New Roman" w:hAnsi="Times New Roman" w:cs="Times New Roman"/>
          <w:color w:val="000000"/>
          <w:sz w:val="24"/>
          <w:szCs w:val="24"/>
          <w:lang/>
        </w:rPr>
        <w:t>У разі якщо платником податку виявлено, що у раніше поданому звіті про контрольовані операції інформація надана не в повному обсязі, містить помилки або недоліки, такий платник податків має право подати:</w:t>
      </w:r>
    </w:p>
    <w:p w14:paraId="2411FE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1" w:name="n13683"/>
      <w:bookmarkEnd w:id="1611"/>
      <w:r w:rsidRPr="008B264B">
        <w:rPr>
          <w:rFonts w:ascii="Times New Roman" w:eastAsia="Times New Roman" w:hAnsi="Times New Roman" w:cs="Times New Roman"/>
          <w:color w:val="000000"/>
          <w:sz w:val="24"/>
          <w:szCs w:val="24"/>
          <w:lang/>
        </w:rPr>
        <w:t>новий звіт до закінчення граничного строку подання звіту про контрольовані операції за такий самий звітний період;</w:t>
      </w:r>
    </w:p>
    <w:p w14:paraId="616C3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2" w:name="n13684"/>
      <w:bookmarkEnd w:id="1612"/>
      <w:r w:rsidRPr="008B264B">
        <w:rPr>
          <w:rFonts w:ascii="Times New Roman" w:eastAsia="Times New Roman" w:hAnsi="Times New Roman" w:cs="Times New Roman"/>
          <w:color w:val="000000"/>
          <w:sz w:val="24"/>
          <w:szCs w:val="24"/>
          <w:lang/>
        </w:rPr>
        <w:t>уточнюючий звіт у разі його подання після закінчення граничного строку для відповідного звітного періоду.</w:t>
      </w:r>
    </w:p>
    <w:p w14:paraId="0EF2BC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3" w:name="n13685"/>
      <w:bookmarkEnd w:id="1613"/>
      <w:r w:rsidRPr="008B264B">
        <w:rPr>
          <w:rFonts w:ascii="Times New Roman" w:eastAsia="Times New Roman" w:hAnsi="Times New Roman" w:cs="Times New Roman"/>
          <w:color w:val="000000"/>
          <w:sz w:val="24"/>
          <w:szCs w:val="24"/>
          <w:lang/>
        </w:rPr>
        <w:t>Подання платником податку уточнюючого звіту про контрольовані операції не звільняє від відповідальності, передбаченої </w:t>
      </w:r>
      <w:hyperlink r:id="rId837" w:anchor="n9241" w:history="1">
        <w:r w:rsidRPr="008B264B">
          <w:rPr>
            <w:rFonts w:ascii="Times New Roman" w:eastAsia="Times New Roman" w:hAnsi="Times New Roman" w:cs="Times New Roman"/>
            <w:color w:val="0000FF"/>
            <w:sz w:val="24"/>
            <w:szCs w:val="24"/>
            <w:u w:val="single"/>
            <w:lang/>
          </w:rPr>
          <w:t>підпунктами 120.3</w:t>
        </w:r>
      </w:hyperlink>
      <w:r w:rsidRPr="008B264B">
        <w:rPr>
          <w:rFonts w:ascii="Times New Roman" w:eastAsia="Times New Roman" w:hAnsi="Times New Roman" w:cs="Times New Roman"/>
          <w:color w:val="000000"/>
          <w:sz w:val="24"/>
          <w:szCs w:val="24"/>
          <w:lang/>
        </w:rPr>
        <w:t> та </w:t>
      </w:r>
      <w:hyperlink r:id="rId838" w:anchor="n14012" w:history="1">
        <w:r w:rsidRPr="008B264B">
          <w:rPr>
            <w:rFonts w:ascii="Times New Roman" w:eastAsia="Times New Roman" w:hAnsi="Times New Roman" w:cs="Times New Roman"/>
            <w:color w:val="0000FF"/>
            <w:sz w:val="24"/>
            <w:szCs w:val="24"/>
            <w:u w:val="single"/>
            <w:lang/>
          </w:rPr>
          <w:t>120.4</w:t>
        </w:r>
      </w:hyperlink>
      <w:r w:rsidRPr="008B264B">
        <w:rPr>
          <w:rFonts w:ascii="Times New Roman" w:eastAsia="Times New Roman" w:hAnsi="Times New Roman" w:cs="Times New Roman"/>
          <w:color w:val="000000"/>
          <w:sz w:val="24"/>
          <w:szCs w:val="24"/>
          <w:lang/>
        </w:rPr>
        <w:t> статті 120 цього Кодексу.</w:t>
      </w:r>
    </w:p>
    <w:p w14:paraId="11328A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4" w:name="n14782"/>
      <w:bookmarkEnd w:id="1614"/>
      <w:r w:rsidRPr="008B264B">
        <w:rPr>
          <w:rFonts w:ascii="Times New Roman" w:eastAsia="Times New Roman" w:hAnsi="Times New Roman" w:cs="Times New Roman"/>
          <w:i/>
          <w:iCs/>
          <w:color w:val="000000"/>
          <w:sz w:val="24"/>
          <w:szCs w:val="24"/>
          <w:lang/>
        </w:rPr>
        <w:t>{Абзац шостий підпункту 39.4.2 пункту 39.3 статті 39 із змінами, внесеними із Законом </w:t>
      </w:r>
      <w:hyperlink r:id="rId839" w:anchor="n10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AF6E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5" w:name="n13686"/>
      <w:bookmarkEnd w:id="1615"/>
      <w:r w:rsidRPr="008B264B">
        <w:rPr>
          <w:rFonts w:ascii="Times New Roman" w:eastAsia="Times New Roman" w:hAnsi="Times New Roman" w:cs="Times New Roman"/>
          <w:color w:val="000000"/>
          <w:sz w:val="24"/>
          <w:szCs w:val="24"/>
          <w:lang/>
        </w:rPr>
        <w:t>Платник податків під час проведення документальних перевірок не має права подавати уточнюючий звіт про контрольовані операції.</w:t>
      </w:r>
    </w:p>
    <w:bookmarkStart w:id="1616" w:name="n13687"/>
    <w:bookmarkEnd w:id="1616"/>
    <w:p w14:paraId="4D5FE7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"https://zakon.rada.gov.ua/laws/show/z0187-16" \l "n17"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840" w:anchor="n21" w:tgtFrame="_blank" w:history="1">
        <w:r w:rsidRPr="008B264B">
          <w:rPr>
            <w:rFonts w:ascii="Times New Roman" w:eastAsia="Times New Roman" w:hAnsi="Times New Roman" w:cs="Times New Roman"/>
            <w:color w:val="0000FF"/>
            <w:sz w:val="24"/>
            <w:szCs w:val="24"/>
            <w:u w:val="single"/>
            <w:lang/>
          </w:rPr>
          <w:t>порядок складання звіту про контрольовані операції</w:t>
        </w:r>
      </w:hyperlink>
      <w:r w:rsidRPr="008B264B">
        <w:rPr>
          <w:rFonts w:ascii="Times New Roman" w:eastAsia="Times New Roman" w:hAnsi="Times New Roman" w:cs="Times New Roman"/>
          <w:color w:val="000000"/>
          <w:sz w:val="24"/>
          <w:szCs w:val="24"/>
          <w:lang/>
        </w:rPr>
        <w:t> встановлюються центральним органом виконавчої влади, що забезпечує формування та реалізацію державної фінансової політики.</w:t>
      </w:r>
    </w:p>
    <w:p w14:paraId="733E9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7" w:name="n13682"/>
      <w:bookmarkEnd w:id="1617"/>
      <w:r w:rsidRPr="008B264B">
        <w:rPr>
          <w:rFonts w:ascii="Times New Roman" w:eastAsia="Times New Roman" w:hAnsi="Times New Roman" w:cs="Times New Roman"/>
          <w:i/>
          <w:iCs/>
          <w:color w:val="000000"/>
          <w:sz w:val="24"/>
          <w:szCs w:val="24"/>
          <w:lang/>
        </w:rPr>
        <w:t>{Підпункт 39.4.2 пункту 39.4 статті 39 із змінами, внесеними згідно із Законом </w:t>
      </w:r>
      <w:hyperlink r:id="rId841" w:anchor="n66"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в редакції Закону </w:t>
      </w:r>
      <w:hyperlink r:id="rId842" w:anchor="n2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7492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8" w:name="n11063"/>
      <w:bookmarkEnd w:id="1618"/>
      <w:r w:rsidRPr="008B264B">
        <w:rPr>
          <w:rFonts w:ascii="Times New Roman" w:eastAsia="Times New Roman" w:hAnsi="Times New Roman" w:cs="Times New Roman"/>
          <w:color w:val="000000"/>
          <w:sz w:val="24"/>
          <w:szCs w:val="24"/>
          <w:lang/>
        </w:rPr>
        <w:t>39.4.3. Платники податків, що здійснюють контрольовані операції, повинні складати та зберігати документацію з трансфертного ціноутворення за кожний звітний період.</w:t>
      </w:r>
    </w:p>
    <w:p w14:paraId="6A22F8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19" w:name="n13688"/>
      <w:bookmarkEnd w:id="1619"/>
      <w:r w:rsidRPr="008B264B">
        <w:rPr>
          <w:rFonts w:ascii="Times New Roman" w:eastAsia="Times New Roman" w:hAnsi="Times New Roman" w:cs="Times New Roman"/>
          <w:i/>
          <w:iCs/>
          <w:color w:val="000000"/>
          <w:sz w:val="24"/>
          <w:szCs w:val="24"/>
          <w:lang/>
        </w:rPr>
        <w:t>{Підпункт 39.4.3 пункту 39.4 статті 39 в редакції Закону </w:t>
      </w:r>
      <w:hyperlink r:id="rId843" w:anchor="n2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AA05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0" w:name="n11064"/>
      <w:bookmarkEnd w:id="1620"/>
      <w:r w:rsidRPr="008B264B">
        <w:rPr>
          <w:rFonts w:ascii="Times New Roman" w:eastAsia="Times New Roman" w:hAnsi="Times New Roman" w:cs="Times New Roman"/>
          <w:color w:val="000000"/>
          <w:sz w:val="24"/>
          <w:szCs w:val="24"/>
          <w:lang/>
        </w:rPr>
        <w:t>39.4.4. На запит центрального органу виконавчої влади, що реалізує державну податкову і митну політику, платники податків протягом 30 календарних днів з дня отримання запиту подають документацію з трансфертного ціноутворення щодо контрольованих операцій, зазначених у запиті.</w:t>
      </w:r>
    </w:p>
    <w:p w14:paraId="479AEE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1" w:name="n15267"/>
      <w:bookmarkEnd w:id="1621"/>
      <w:r w:rsidRPr="008B264B">
        <w:rPr>
          <w:rFonts w:ascii="Times New Roman" w:eastAsia="Times New Roman" w:hAnsi="Times New Roman" w:cs="Times New Roman"/>
          <w:color w:val="000000"/>
          <w:sz w:val="24"/>
          <w:szCs w:val="24"/>
          <w:lang/>
        </w:rPr>
        <w:t>Документація з трансфертного ціноутворення подається платником податків до контролюючого органу, зазначеного у запиті.</w:t>
      </w:r>
    </w:p>
    <w:p w14:paraId="1DC760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2" w:name="n13689"/>
      <w:bookmarkEnd w:id="1622"/>
      <w:r w:rsidRPr="008B264B">
        <w:rPr>
          <w:rFonts w:ascii="Times New Roman" w:eastAsia="Times New Roman" w:hAnsi="Times New Roman" w:cs="Times New Roman"/>
          <w:i/>
          <w:iCs/>
          <w:color w:val="000000"/>
          <w:sz w:val="24"/>
          <w:szCs w:val="24"/>
          <w:lang/>
        </w:rPr>
        <w:t>{Підпункт 39.4.4 пункту 39.4 статті 39 із змінами, внесеними згідно із Законом </w:t>
      </w:r>
      <w:hyperlink r:id="rId844" w:anchor="n2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845" w:anchor="n11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4C438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3" w:name="n11065"/>
      <w:bookmarkEnd w:id="1623"/>
      <w:r w:rsidRPr="008B264B">
        <w:rPr>
          <w:rFonts w:ascii="Times New Roman" w:eastAsia="Times New Roman" w:hAnsi="Times New Roman" w:cs="Times New Roman"/>
          <w:color w:val="000000"/>
          <w:sz w:val="24"/>
          <w:szCs w:val="24"/>
          <w:lang/>
        </w:rPr>
        <w:t>39.4.5. Запит надсилається не раніше 1 жовтня року, що настає за календарним роком, в якому таку контрольовану операцію (операції) було здійснено.</w:t>
      </w:r>
    </w:p>
    <w:p w14:paraId="76C45A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4" w:name="n14783"/>
      <w:bookmarkEnd w:id="1624"/>
      <w:r w:rsidRPr="008B264B">
        <w:rPr>
          <w:rFonts w:ascii="Times New Roman" w:eastAsia="Times New Roman" w:hAnsi="Times New Roman" w:cs="Times New Roman"/>
          <w:i/>
          <w:iCs/>
          <w:color w:val="000000"/>
          <w:sz w:val="24"/>
          <w:szCs w:val="24"/>
          <w:lang/>
        </w:rPr>
        <w:t>{Підпункт 39.4.5 пункту 39.3 статті 39 в редакції Закону </w:t>
      </w:r>
      <w:hyperlink r:id="rId846" w:anchor="n10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5E12E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5" w:name="n11066"/>
      <w:bookmarkEnd w:id="1625"/>
      <w:r w:rsidRPr="008B264B">
        <w:rPr>
          <w:rFonts w:ascii="Times New Roman" w:eastAsia="Times New Roman" w:hAnsi="Times New Roman" w:cs="Times New Roman"/>
          <w:color w:val="000000"/>
          <w:sz w:val="24"/>
          <w:szCs w:val="24"/>
          <w:lang/>
        </w:rPr>
        <w:lastRenderedPageBreak/>
        <w:t>39.4.6. Документація з трансфертного ціноутворення (сукупність документів або єдиний документ, складений у довільній формі) повинна містити таку інформацію:</w:t>
      </w:r>
    </w:p>
    <w:p w14:paraId="0ABC47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6" w:name="n14784"/>
      <w:bookmarkEnd w:id="1626"/>
      <w:r w:rsidRPr="008B264B">
        <w:rPr>
          <w:rFonts w:ascii="Times New Roman" w:eastAsia="Times New Roman" w:hAnsi="Times New Roman" w:cs="Times New Roman"/>
          <w:i/>
          <w:iCs/>
          <w:color w:val="000000"/>
          <w:sz w:val="24"/>
          <w:szCs w:val="24"/>
          <w:lang/>
        </w:rPr>
        <w:t>{Абзац перший підпункту 39.4.6 пункту 39.3 статті 39 в редакції Закону </w:t>
      </w:r>
      <w:hyperlink r:id="rId847" w:anchor="n1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40D0F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7" w:name="n13691"/>
      <w:bookmarkEnd w:id="1627"/>
      <w:r w:rsidRPr="008B264B">
        <w:rPr>
          <w:rFonts w:ascii="Times New Roman" w:eastAsia="Times New Roman" w:hAnsi="Times New Roman" w:cs="Times New Roman"/>
          <w:color w:val="000000"/>
          <w:sz w:val="24"/>
          <w:szCs w:val="24"/>
          <w:lang/>
        </w:rPr>
        <w:t>а) дані про особу (осіб), яка є стороною контрольованої операції, та про пов’язаних осіб платника податків (у звітному періоді, в якому здійснювалася контрольована операція, та на момент подання документації), а саме:</w:t>
      </w:r>
    </w:p>
    <w:p w14:paraId="3423A7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8" w:name="n13692"/>
      <w:bookmarkEnd w:id="1628"/>
      <w:r w:rsidRPr="008B264B">
        <w:rPr>
          <w:rFonts w:ascii="Times New Roman" w:eastAsia="Times New Roman" w:hAnsi="Times New Roman" w:cs="Times New Roman"/>
          <w:color w:val="000000"/>
          <w:sz w:val="24"/>
          <w:szCs w:val="24"/>
          <w:lang/>
        </w:rPr>
        <w:t>контрагента (контрагентів) контрольованої операції;</w:t>
      </w:r>
    </w:p>
    <w:p w14:paraId="56DDC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29" w:name="n13693"/>
      <w:bookmarkEnd w:id="1629"/>
      <w:r w:rsidRPr="008B264B">
        <w:rPr>
          <w:rFonts w:ascii="Times New Roman" w:eastAsia="Times New Roman" w:hAnsi="Times New Roman" w:cs="Times New Roman"/>
          <w:color w:val="000000"/>
          <w:sz w:val="24"/>
          <w:szCs w:val="24"/>
          <w:lang/>
        </w:rPr>
        <w:t>осіб, які безпосередньо (опосередковано) володіють корпоративними правами платника податків у розмірі 20 і більше відсотків;</w:t>
      </w:r>
    </w:p>
    <w:p w14:paraId="145DC9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0" w:name="n13694"/>
      <w:bookmarkEnd w:id="1630"/>
      <w:r w:rsidRPr="008B264B">
        <w:rPr>
          <w:rFonts w:ascii="Times New Roman" w:eastAsia="Times New Roman" w:hAnsi="Times New Roman" w:cs="Times New Roman"/>
          <w:color w:val="000000"/>
          <w:sz w:val="24"/>
          <w:szCs w:val="24"/>
          <w:lang/>
        </w:rPr>
        <w:t>осіб, корпоративними правами яких у розмірі 20 і більше відсотків безпосередньо (опосередковано) володіє платник податків.</w:t>
      </w:r>
    </w:p>
    <w:p w14:paraId="6D0602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1" w:name="n13695"/>
      <w:bookmarkEnd w:id="1631"/>
      <w:r w:rsidRPr="008B264B">
        <w:rPr>
          <w:rFonts w:ascii="Times New Roman" w:eastAsia="Times New Roman" w:hAnsi="Times New Roman" w:cs="Times New Roman"/>
          <w:color w:val="000000"/>
          <w:sz w:val="24"/>
          <w:szCs w:val="24"/>
          <w:lang/>
        </w:rPr>
        <w:t>Дані повинні бути такими, що дають змогу ідентифікувати таких пов’язаних осіб (включаючи найменування держав (територій), податковими резидентами яких є такі особи, код особи, встановлений у державі (країні) їх реєстрації) та розкривати інформацію щодо критеріїв визнання таких осіб пов’язаними;</w:t>
      </w:r>
    </w:p>
    <w:p w14:paraId="1A8EDB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2" w:name="n14785"/>
      <w:bookmarkEnd w:id="1632"/>
      <w:r w:rsidRPr="008B264B">
        <w:rPr>
          <w:rFonts w:ascii="Times New Roman" w:eastAsia="Times New Roman" w:hAnsi="Times New Roman" w:cs="Times New Roman"/>
          <w:i/>
          <w:iCs/>
          <w:color w:val="000000"/>
          <w:sz w:val="24"/>
          <w:szCs w:val="24"/>
          <w:lang/>
        </w:rPr>
        <w:t>{Підпункт "а" підпункту 39.4.6 пункту 39.3 статті 39 в редакції Закону </w:t>
      </w:r>
      <w:hyperlink r:id="rId848" w:anchor="n1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57D40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3" w:name="n13696"/>
      <w:bookmarkEnd w:id="1633"/>
      <w:r w:rsidRPr="008B264B">
        <w:rPr>
          <w:rFonts w:ascii="Times New Roman" w:eastAsia="Times New Roman" w:hAnsi="Times New Roman" w:cs="Times New Roman"/>
          <w:color w:val="000000"/>
          <w:sz w:val="24"/>
          <w:szCs w:val="24"/>
          <w:lang/>
        </w:rPr>
        <w:t>б) загальний опис діяльності групи компаній (включаючи материнську компанію та її дочірні підприємства), у тому числі організаційну структуру групи, опис господарської діяльності групи, політику трансфертного ціноутворення, інформацію про осіб, яким платник податків надає місцеві управлінські звіти (назва держави, на території якої такі особи утримують свої головні офіси);</w:t>
      </w:r>
    </w:p>
    <w:p w14:paraId="61230E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4" w:name="n14786"/>
      <w:bookmarkEnd w:id="1634"/>
      <w:r w:rsidRPr="008B264B">
        <w:rPr>
          <w:rFonts w:ascii="Times New Roman" w:eastAsia="Times New Roman" w:hAnsi="Times New Roman" w:cs="Times New Roman"/>
          <w:i/>
          <w:iCs/>
          <w:color w:val="000000"/>
          <w:sz w:val="24"/>
          <w:szCs w:val="24"/>
          <w:lang/>
        </w:rPr>
        <w:t>{Підпункт "б" підпункту 39.4.6 пункту 39.3 статті 39 в редакції Закону </w:t>
      </w:r>
      <w:hyperlink r:id="rId849" w:anchor="n1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8F359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5" w:name="n13697"/>
      <w:bookmarkEnd w:id="1635"/>
      <w:r w:rsidRPr="008B264B">
        <w:rPr>
          <w:rFonts w:ascii="Times New Roman" w:eastAsia="Times New Roman" w:hAnsi="Times New Roman" w:cs="Times New Roman"/>
          <w:color w:val="000000"/>
          <w:sz w:val="24"/>
          <w:szCs w:val="24"/>
          <w:lang/>
        </w:rPr>
        <w:t>в) опис структури управління платника податків, схема його організаційної структури із зазначенням загальної кількості працюючих осіб та в розрізі окремих підрозділів платника податків станом на дату операції або на кінець звітного періоду;</w:t>
      </w:r>
    </w:p>
    <w:p w14:paraId="4ABF2D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6" w:name="n14787"/>
      <w:bookmarkEnd w:id="1636"/>
      <w:r w:rsidRPr="008B264B">
        <w:rPr>
          <w:rFonts w:ascii="Times New Roman" w:eastAsia="Times New Roman" w:hAnsi="Times New Roman" w:cs="Times New Roman"/>
          <w:i/>
          <w:iCs/>
          <w:color w:val="000000"/>
          <w:sz w:val="24"/>
          <w:szCs w:val="24"/>
          <w:lang/>
        </w:rPr>
        <w:t>{Підпункт "в" підпункту 39.4.6 пункту 39.3 статті 39 в редакції Закону </w:t>
      </w:r>
      <w:hyperlink r:id="rId850" w:anchor="n1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3422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7" w:name="n13698"/>
      <w:bookmarkEnd w:id="1637"/>
      <w:r w:rsidRPr="008B264B">
        <w:rPr>
          <w:rFonts w:ascii="Times New Roman" w:eastAsia="Times New Roman" w:hAnsi="Times New Roman" w:cs="Times New Roman"/>
          <w:color w:val="000000"/>
          <w:sz w:val="24"/>
          <w:szCs w:val="24"/>
          <w:lang/>
        </w:rPr>
        <w:t>г) опис діяльності та стратегії ділової активності, що провадиться платником податків, зокрема, економічні умови діяльності, аналіз відповідних ринків товарів (робіт, послуг), на яких проводить свою діяльність платник податків, основні конкуренти;</w:t>
      </w:r>
    </w:p>
    <w:p w14:paraId="3B4989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8" w:name="n13699"/>
      <w:bookmarkEnd w:id="1638"/>
      <w:r w:rsidRPr="008B264B">
        <w:rPr>
          <w:rFonts w:ascii="Times New Roman" w:eastAsia="Times New Roman" w:hAnsi="Times New Roman" w:cs="Times New Roman"/>
          <w:color w:val="000000"/>
          <w:sz w:val="24"/>
          <w:szCs w:val="24"/>
          <w:lang/>
        </w:rPr>
        <w:t>ґ) відомості про участь платника податків у реструктуризації бізнесу або передачі нематеріальних активів у звітному або попередньому році з поясненням аспектів цих операцій, що вплинули або впливають на діяльність платника податків;</w:t>
      </w:r>
    </w:p>
    <w:p w14:paraId="0F39DE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39" w:name="n13700"/>
      <w:bookmarkEnd w:id="1639"/>
      <w:r w:rsidRPr="008B264B">
        <w:rPr>
          <w:rFonts w:ascii="Times New Roman" w:eastAsia="Times New Roman" w:hAnsi="Times New Roman" w:cs="Times New Roman"/>
          <w:color w:val="000000"/>
          <w:sz w:val="24"/>
          <w:szCs w:val="24"/>
          <w:lang/>
        </w:rPr>
        <w:t>д) опис контрольованої операції та копії відповідних договорів (контрактів);</w:t>
      </w:r>
    </w:p>
    <w:p w14:paraId="3A1746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0" w:name="n13701"/>
      <w:bookmarkEnd w:id="1640"/>
      <w:r w:rsidRPr="008B264B">
        <w:rPr>
          <w:rFonts w:ascii="Times New Roman" w:eastAsia="Times New Roman" w:hAnsi="Times New Roman" w:cs="Times New Roman"/>
          <w:color w:val="000000"/>
          <w:sz w:val="24"/>
          <w:szCs w:val="24"/>
          <w:lang/>
        </w:rPr>
        <w:t>е) опис товарів (робіт, послуг), включаючи фізичні характеристики, якість і репутацію на ринку, країну походження і виробника, наявність товарного знаку та іншу інформацію, пов’язану з якісними характеристиками товару (роботи, послуги);</w:t>
      </w:r>
    </w:p>
    <w:p w14:paraId="29FE57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1" w:name="n13702"/>
      <w:bookmarkEnd w:id="1641"/>
      <w:r w:rsidRPr="008B264B">
        <w:rPr>
          <w:rFonts w:ascii="Times New Roman" w:eastAsia="Times New Roman" w:hAnsi="Times New Roman" w:cs="Times New Roman"/>
          <w:color w:val="000000"/>
          <w:sz w:val="24"/>
          <w:szCs w:val="24"/>
          <w:lang/>
        </w:rPr>
        <w:t>є) відомості про фактично проведені розрахунки у контрольованій операції (сума та валюта платежів, дата, платіжні документи);</w:t>
      </w:r>
    </w:p>
    <w:p w14:paraId="1D80D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2" w:name="n13703"/>
      <w:bookmarkEnd w:id="1642"/>
      <w:r w:rsidRPr="008B264B">
        <w:rPr>
          <w:rFonts w:ascii="Times New Roman" w:eastAsia="Times New Roman" w:hAnsi="Times New Roman" w:cs="Times New Roman"/>
          <w:color w:val="000000"/>
          <w:sz w:val="24"/>
          <w:szCs w:val="24"/>
          <w:lang/>
        </w:rPr>
        <w:t>ж) чинники, які вплинули на формування та встановлення ціни, зокрема бізнес-стратегії сторін операції (за наявності), які істотно впливають на ціни товарів (робіт, послуг);</w:t>
      </w:r>
    </w:p>
    <w:p w14:paraId="721C49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3" w:name="n13704"/>
      <w:bookmarkEnd w:id="1643"/>
      <w:r w:rsidRPr="008B264B">
        <w:rPr>
          <w:rFonts w:ascii="Times New Roman" w:eastAsia="Times New Roman" w:hAnsi="Times New Roman" w:cs="Times New Roman"/>
          <w:color w:val="000000"/>
          <w:sz w:val="24"/>
          <w:szCs w:val="24"/>
          <w:lang/>
        </w:rPr>
        <w:lastRenderedPageBreak/>
        <w:t>з) функціональний аналіз контрольованої операції: відомості про функції осіб, що є сторонами (беруть участь) у контрольованій операції, про використані ними активи, пов’язані з такою контрольованою операцією, та економічні (комерційні) ризики, які такі особи враховували під час здійснення контрольованої операції;</w:t>
      </w:r>
    </w:p>
    <w:p w14:paraId="422FCD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4" w:name="n13705"/>
      <w:bookmarkEnd w:id="1644"/>
      <w:r w:rsidRPr="008B264B">
        <w:rPr>
          <w:rFonts w:ascii="Times New Roman" w:eastAsia="Times New Roman" w:hAnsi="Times New Roman" w:cs="Times New Roman"/>
          <w:color w:val="000000"/>
          <w:sz w:val="24"/>
          <w:szCs w:val="24"/>
          <w:lang/>
        </w:rPr>
        <w:t>и) економічний та порівняльний аналіз:</w:t>
      </w:r>
    </w:p>
    <w:p w14:paraId="3EF2B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5" w:name="n13706"/>
      <w:bookmarkEnd w:id="1645"/>
      <w:r w:rsidRPr="008B264B">
        <w:rPr>
          <w:rFonts w:ascii="Times New Roman" w:eastAsia="Times New Roman" w:hAnsi="Times New Roman" w:cs="Times New Roman"/>
          <w:color w:val="000000"/>
          <w:sz w:val="24"/>
          <w:szCs w:val="24"/>
          <w:lang/>
        </w:rPr>
        <w:t>суму отриманих доходів (прибутку) та/або суму понесених витрат (збитку) внаслідок здійснення контрольованої операції, рівень рентабельності;</w:t>
      </w:r>
    </w:p>
    <w:p w14:paraId="0028C9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6" w:name="n13707"/>
      <w:bookmarkEnd w:id="1646"/>
      <w:r w:rsidRPr="008B264B">
        <w:rPr>
          <w:rFonts w:ascii="Times New Roman" w:eastAsia="Times New Roman" w:hAnsi="Times New Roman" w:cs="Times New Roman"/>
          <w:color w:val="000000"/>
          <w:sz w:val="24"/>
          <w:szCs w:val="24"/>
          <w:lang/>
        </w:rPr>
        <w:t>обґрунтування вибору методу, який застосовано для визначення відповідності умов контрольованої операції принципу "витягнутої руки", фінансового показника згідно з </w:t>
      </w:r>
      <w:hyperlink r:id="rId851" w:anchor="n11007" w:history="1">
        <w:r w:rsidRPr="008B264B">
          <w:rPr>
            <w:rFonts w:ascii="Times New Roman" w:eastAsia="Times New Roman" w:hAnsi="Times New Roman" w:cs="Times New Roman"/>
            <w:color w:val="0000FF"/>
            <w:sz w:val="24"/>
            <w:szCs w:val="24"/>
            <w:u w:val="single"/>
            <w:lang/>
          </w:rPr>
          <w:t>підпунктом 39.3.2.5</w:t>
        </w:r>
      </w:hyperlink>
      <w:r w:rsidRPr="008B264B">
        <w:rPr>
          <w:rFonts w:ascii="Times New Roman" w:eastAsia="Times New Roman" w:hAnsi="Times New Roman" w:cs="Times New Roman"/>
          <w:color w:val="000000"/>
          <w:sz w:val="24"/>
          <w:szCs w:val="24"/>
          <w:lang/>
        </w:rPr>
        <w:t> підпункту 39.3.2 пункту 39.3 цієї статті та сторони, що досліджувалася згідно з </w:t>
      </w:r>
      <w:hyperlink r:id="rId852" w:anchor="n11016" w:history="1">
        <w:r w:rsidRPr="008B264B">
          <w:rPr>
            <w:rFonts w:ascii="Times New Roman" w:eastAsia="Times New Roman" w:hAnsi="Times New Roman" w:cs="Times New Roman"/>
            <w:color w:val="0000FF"/>
            <w:sz w:val="24"/>
            <w:szCs w:val="24"/>
            <w:u w:val="single"/>
            <w:lang/>
          </w:rPr>
          <w:t>підпунктом 39.3.2.7</w:t>
        </w:r>
      </w:hyperlink>
      <w:r w:rsidRPr="008B264B">
        <w:rPr>
          <w:rFonts w:ascii="Times New Roman" w:eastAsia="Times New Roman" w:hAnsi="Times New Roman" w:cs="Times New Roman"/>
          <w:color w:val="000000"/>
          <w:sz w:val="24"/>
          <w:szCs w:val="24"/>
          <w:lang/>
        </w:rPr>
        <w:t> підпункту 39.3.2 пункту 39.3 цієї статті;</w:t>
      </w:r>
    </w:p>
    <w:p w14:paraId="37BFBA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7" w:name="n13708"/>
      <w:bookmarkEnd w:id="1647"/>
      <w:r w:rsidRPr="008B264B">
        <w:rPr>
          <w:rFonts w:ascii="Times New Roman" w:eastAsia="Times New Roman" w:hAnsi="Times New Roman" w:cs="Times New Roman"/>
          <w:color w:val="000000"/>
          <w:sz w:val="24"/>
          <w:szCs w:val="24"/>
          <w:lang/>
        </w:rPr>
        <w:t>обґрунтування вибору та інформація про зіставні операції (зіставних осіб) і джерела інформації, які використовувалися для аналізу;</w:t>
      </w:r>
    </w:p>
    <w:p w14:paraId="51567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8" w:name="n15268"/>
      <w:bookmarkEnd w:id="1648"/>
      <w:r w:rsidRPr="008B264B">
        <w:rPr>
          <w:rFonts w:ascii="Times New Roman" w:eastAsia="Times New Roman" w:hAnsi="Times New Roman" w:cs="Times New Roman"/>
          <w:color w:val="000000"/>
          <w:sz w:val="24"/>
          <w:szCs w:val="24"/>
          <w:lang/>
        </w:rPr>
        <w:t>обґрунтування використання під час визначення діапазону рентабельності відповідно до </w:t>
      </w:r>
      <w:hyperlink r:id="rId853" w:anchor="n13648" w:history="1">
        <w:r w:rsidRPr="008B264B">
          <w:rPr>
            <w:rFonts w:ascii="Times New Roman" w:eastAsia="Times New Roman" w:hAnsi="Times New Roman" w:cs="Times New Roman"/>
            <w:color w:val="0000FF"/>
            <w:sz w:val="24"/>
            <w:szCs w:val="24"/>
            <w:u w:val="single"/>
            <w:lang/>
          </w:rPr>
          <w:t>підпункту 39.3.2.8</w:t>
        </w:r>
      </w:hyperlink>
      <w:r w:rsidRPr="008B264B">
        <w:rPr>
          <w:rFonts w:ascii="Times New Roman" w:eastAsia="Times New Roman" w:hAnsi="Times New Roman" w:cs="Times New Roman"/>
          <w:color w:val="000000"/>
          <w:sz w:val="24"/>
          <w:szCs w:val="24"/>
          <w:lang/>
        </w:rPr>
        <w:t> підпункту 39.3.2 пункту 39.3 цієї статті інформації за декілька податкових періодів (років) та розрахунок середньозваженого значення показника рентабельності;</w:t>
      </w:r>
    </w:p>
    <w:p w14:paraId="7D64AB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49" w:name="n15266"/>
      <w:bookmarkEnd w:id="1649"/>
      <w:r w:rsidRPr="008B264B">
        <w:rPr>
          <w:rFonts w:ascii="Times New Roman" w:eastAsia="Times New Roman" w:hAnsi="Times New Roman" w:cs="Times New Roman"/>
          <w:i/>
          <w:iCs/>
          <w:color w:val="000000"/>
          <w:sz w:val="24"/>
          <w:szCs w:val="24"/>
          <w:lang/>
        </w:rPr>
        <w:t>{Підпункт "и" підпункту 39.4.6 пункту 39.4 статті 39 доповнено новим абзацом згідно із Законом </w:t>
      </w:r>
      <w:hyperlink r:id="rId854" w:anchor="n12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A20EB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0" w:name="n13709"/>
      <w:bookmarkEnd w:id="1650"/>
      <w:r w:rsidRPr="008B264B">
        <w:rPr>
          <w:rFonts w:ascii="Times New Roman" w:eastAsia="Times New Roman" w:hAnsi="Times New Roman" w:cs="Times New Roman"/>
          <w:color w:val="000000"/>
          <w:sz w:val="24"/>
          <w:szCs w:val="24"/>
          <w:lang/>
        </w:rPr>
        <w:t>розрахунок діапазону цін (рентабельності);</w:t>
      </w:r>
    </w:p>
    <w:p w14:paraId="7BE59E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1" w:name="n13710"/>
      <w:bookmarkEnd w:id="1651"/>
      <w:r w:rsidRPr="008B264B">
        <w:rPr>
          <w:rFonts w:ascii="Times New Roman" w:eastAsia="Times New Roman" w:hAnsi="Times New Roman" w:cs="Times New Roman"/>
          <w:color w:val="000000"/>
          <w:sz w:val="24"/>
          <w:szCs w:val="24"/>
          <w:lang/>
        </w:rPr>
        <w:t>опис та розрахунок проведених коригувань згідно з </w:t>
      </w:r>
      <w:hyperlink r:id="rId855" w:anchor="n10918" w:history="1">
        <w:r w:rsidRPr="008B264B">
          <w:rPr>
            <w:rFonts w:ascii="Times New Roman" w:eastAsia="Times New Roman" w:hAnsi="Times New Roman" w:cs="Times New Roman"/>
            <w:color w:val="0000FF"/>
            <w:sz w:val="24"/>
            <w:szCs w:val="24"/>
            <w:u w:val="single"/>
            <w:lang/>
          </w:rPr>
          <w:t>підпунктом 39.2.2.1</w:t>
        </w:r>
      </w:hyperlink>
      <w:r w:rsidRPr="008B264B">
        <w:rPr>
          <w:rFonts w:ascii="Times New Roman" w:eastAsia="Times New Roman" w:hAnsi="Times New Roman" w:cs="Times New Roman"/>
          <w:color w:val="000000"/>
          <w:sz w:val="24"/>
          <w:szCs w:val="24"/>
          <w:lang/>
        </w:rPr>
        <w:t> підпункту 39.2.2 пункту 39.2 цієї статті.</w:t>
      </w:r>
    </w:p>
    <w:p w14:paraId="32FA78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2" w:name="n14789"/>
      <w:bookmarkEnd w:id="1652"/>
      <w:r w:rsidRPr="008B264B">
        <w:rPr>
          <w:rFonts w:ascii="Times New Roman" w:eastAsia="Times New Roman" w:hAnsi="Times New Roman" w:cs="Times New Roman"/>
          <w:color w:val="000000"/>
          <w:sz w:val="24"/>
          <w:szCs w:val="24"/>
          <w:lang/>
        </w:rPr>
        <w:t>Фінансові показники, що використовувалися під час розрахунку показників рентабельності контрольованої операції, мають бути підтверджені даними бухгалтерського обліку та фінансової звітності сторони контрольованої операції, що досліджувалася згідно з </w:t>
      </w:r>
      <w:hyperlink r:id="rId856" w:anchor="n11016" w:history="1">
        <w:r w:rsidRPr="008B264B">
          <w:rPr>
            <w:rFonts w:ascii="Times New Roman" w:eastAsia="Times New Roman" w:hAnsi="Times New Roman" w:cs="Times New Roman"/>
            <w:color w:val="0000FF"/>
            <w:sz w:val="24"/>
            <w:szCs w:val="24"/>
            <w:u w:val="single"/>
            <w:lang/>
          </w:rPr>
          <w:t>підпунктом 39.3.2.7</w:t>
        </w:r>
      </w:hyperlink>
      <w:r w:rsidRPr="008B264B">
        <w:rPr>
          <w:rFonts w:ascii="Times New Roman" w:eastAsia="Times New Roman" w:hAnsi="Times New Roman" w:cs="Times New Roman"/>
          <w:color w:val="000000"/>
          <w:sz w:val="24"/>
          <w:szCs w:val="24"/>
          <w:lang/>
        </w:rPr>
        <w:t> підпункту 39.3.2 пункту 39.3 цієї статті.</w:t>
      </w:r>
    </w:p>
    <w:p w14:paraId="4DF2C7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3" w:name="n14788"/>
      <w:bookmarkEnd w:id="1653"/>
      <w:r w:rsidRPr="008B264B">
        <w:rPr>
          <w:rFonts w:ascii="Times New Roman" w:eastAsia="Times New Roman" w:hAnsi="Times New Roman" w:cs="Times New Roman"/>
          <w:i/>
          <w:iCs/>
          <w:color w:val="000000"/>
          <w:sz w:val="24"/>
          <w:szCs w:val="24"/>
          <w:lang/>
        </w:rPr>
        <w:t>{Підпункт "и" підпункту 39.4.6 пункту 39.3 статті 39 доповнено новим абзацом згідно із Законом </w:t>
      </w:r>
      <w:hyperlink r:id="rId857" w:anchor="n11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5CC17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4" w:name="n13711"/>
      <w:bookmarkEnd w:id="1654"/>
      <w:r w:rsidRPr="008B264B">
        <w:rPr>
          <w:rFonts w:ascii="Times New Roman" w:eastAsia="Times New Roman" w:hAnsi="Times New Roman" w:cs="Times New Roman"/>
          <w:color w:val="000000"/>
          <w:sz w:val="24"/>
          <w:szCs w:val="24"/>
          <w:lang/>
        </w:rPr>
        <w:t>У разі якщо стороною контрольованої операції здійснюється постачання (продаж) товарів, робіт, послуг, інших предметів за контрольованими операціями декільком особам, і для цілей встановлення відповідності умов контрольованих операцій принципу "витягнутої руки" здійснюється порівняння показника рентабельності такого постачальника, документація має містити опис алгоритму розподілу витрат постачальника, понесених для здійснення таких операцій, які враховуються під час розрахунку показника рентабельності. Такий опис має містити інформацію про економічне обґрунтування вибору алгоритму розподілу витрат, методику його застосування, а також фактичний розрахунок, здійснений відповідно до обраної методики;</w:t>
      </w:r>
    </w:p>
    <w:p w14:paraId="31A0A7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5" w:name="n13712"/>
      <w:bookmarkEnd w:id="1655"/>
      <w:r w:rsidRPr="008B264B">
        <w:rPr>
          <w:rFonts w:ascii="Times New Roman" w:eastAsia="Times New Roman" w:hAnsi="Times New Roman" w:cs="Times New Roman"/>
          <w:color w:val="000000"/>
          <w:sz w:val="24"/>
          <w:szCs w:val="24"/>
          <w:lang/>
        </w:rPr>
        <w:t>і) відомості про проведене платником податку самостійне пропорційне коригування податкової бази та сум податку відповідно до </w:t>
      </w:r>
      <w:hyperlink r:id="rId858" w:anchor="n11130" w:history="1">
        <w:r w:rsidRPr="008B264B">
          <w:rPr>
            <w:rFonts w:ascii="Times New Roman" w:eastAsia="Times New Roman" w:hAnsi="Times New Roman" w:cs="Times New Roman"/>
            <w:color w:val="0000FF"/>
            <w:sz w:val="24"/>
            <w:szCs w:val="24"/>
            <w:u w:val="single"/>
            <w:lang/>
          </w:rPr>
          <w:t>підпунктів 39.5.4</w:t>
        </w:r>
      </w:hyperlink>
      <w:r w:rsidRPr="008B264B">
        <w:rPr>
          <w:rFonts w:ascii="Times New Roman" w:eastAsia="Times New Roman" w:hAnsi="Times New Roman" w:cs="Times New Roman"/>
          <w:color w:val="000000"/>
          <w:sz w:val="24"/>
          <w:szCs w:val="24"/>
          <w:lang/>
        </w:rPr>
        <w:t> і </w:t>
      </w:r>
      <w:hyperlink r:id="rId859" w:anchor="n11133" w:history="1">
        <w:r w:rsidRPr="008B264B">
          <w:rPr>
            <w:rFonts w:ascii="Times New Roman" w:eastAsia="Times New Roman" w:hAnsi="Times New Roman" w:cs="Times New Roman"/>
            <w:color w:val="0000FF"/>
            <w:sz w:val="24"/>
            <w:szCs w:val="24"/>
            <w:u w:val="single"/>
            <w:lang/>
          </w:rPr>
          <w:t>39.5.5</w:t>
        </w:r>
      </w:hyperlink>
      <w:r w:rsidRPr="008B264B">
        <w:rPr>
          <w:rFonts w:ascii="Times New Roman" w:eastAsia="Times New Roman" w:hAnsi="Times New Roman" w:cs="Times New Roman"/>
          <w:color w:val="000000"/>
          <w:sz w:val="24"/>
          <w:szCs w:val="24"/>
          <w:lang/>
        </w:rPr>
        <w:t> пункту 39.5 цієї статті (у разі його проведення);</w:t>
      </w:r>
    </w:p>
    <w:p w14:paraId="7B5446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6" w:name="n13690"/>
      <w:bookmarkEnd w:id="1656"/>
      <w:r w:rsidRPr="008B264B">
        <w:rPr>
          <w:rFonts w:ascii="Times New Roman" w:eastAsia="Times New Roman" w:hAnsi="Times New Roman" w:cs="Times New Roman"/>
          <w:i/>
          <w:iCs/>
          <w:color w:val="000000"/>
          <w:sz w:val="24"/>
          <w:szCs w:val="24"/>
          <w:lang/>
        </w:rPr>
        <w:t>{Підпункт 39.4.6 пункту 39.4 статті 39 в редакції Закону </w:t>
      </w:r>
      <w:hyperlink r:id="rId860" w:anchor="n2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10B4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7" w:name="n11080"/>
      <w:bookmarkEnd w:id="1657"/>
      <w:r w:rsidRPr="008B264B">
        <w:rPr>
          <w:rFonts w:ascii="Times New Roman" w:eastAsia="Times New Roman" w:hAnsi="Times New Roman" w:cs="Times New Roman"/>
          <w:color w:val="000000"/>
          <w:sz w:val="24"/>
          <w:szCs w:val="24"/>
          <w:lang/>
        </w:rPr>
        <w:t>39.4.7. Документація з трансфертного ціноутворення подається платником податків до контролюючого органу, зазначеного у запиті центрального органу виконавчої влади, що реалізує державну податкову і митну політику.</w:t>
      </w:r>
    </w:p>
    <w:p w14:paraId="7AF98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8" w:name="n13713"/>
      <w:bookmarkEnd w:id="1658"/>
      <w:r w:rsidRPr="008B264B">
        <w:rPr>
          <w:rFonts w:ascii="Times New Roman" w:eastAsia="Times New Roman" w:hAnsi="Times New Roman" w:cs="Times New Roman"/>
          <w:i/>
          <w:iCs/>
          <w:color w:val="000000"/>
          <w:sz w:val="24"/>
          <w:szCs w:val="24"/>
          <w:lang/>
        </w:rPr>
        <w:t>{Підпункт 39.4.7 пункту 39.4 статті 39 в редакції Закону </w:t>
      </w:r>
      <w:hyperlink r:id="rId861" w:anchor="n2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1684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59" w:name="n11081"/>
      <w:bookmarkEnd w:id="1659"/>
      <w:r w:rsidRPr="008B264B">
        <w:rPr>
          <w:rFonts w:ascii="Times New Roman" w:eastAsia="Times New Roman" w:hAnsi="Times New Roman" w:cs="Times New Roman"/>
          <w:color w:val="000000"/>
          <w:sz w:val="24"/>
          <w:szCs w:val="24"/>
          <w:lang/>
        </w:rPr>
        <w:t>39.4.8. У разі коли подана платником податків документація з трансфертного ціноутворення не містить інформацію в обсязі, зазначеному в </w:t>
      </w:r>
      <w:hyperlink r:id="rId862" w:anchor="n11066" w:history="1">
        <w:r w:rsidRPr="008B264B">
          <w:rPr>
            <w:rFonts w:ascii="Times New Roman" w:eastAsia="Times New Roman" w:hAnsi="Times New Roman" w:cs="Times New Roman"/>
            <w:color w:val="0000FF"/>
            <w:sz w:val="24"/>
            <w:szCs w:val="24"/>
            <w:u w:val="single"/>
            <w:lang/>
          </w:rPr>
          <w:t>підпункті 39.4.6</w:t>
        </w:r>
      </w:hyperlink>
      <w:r w:rsidRPr="008B264B">
        <w:rPr>
          <w:rFonts w:ascii="Times New Roman" w:eastAsia="Times New Roman" w:hAnsi="Times New Roman" w:cs="Times New Roman"/>
          <w:color w:val="000000"/>
          <w:sz w:val="24"/>
          <w:szCs w:val="24"/>
          <w:lang/>
        </w:rPr>
        <w:t xml:space="preserve"> цього пункту, або належного обґрунтування відповідності умов контрольованої операції принципу "витягнутої руки", </w:t>
      </w:r>
      <w:r w:rsidRPr="008B264B">
        <w:rPr>
          <w:rFonts w:ascii="Times New Roman" w:eastAsia="Times New Roman" w:hAnsi="Times New Roman" w:cs="Times New Roman"/>
          <w:color w:val="000000"/>
          <w:sz w:val="24"/>
          <w:szCs w:val="24"/>
          <w:lang/>
        </w:rPr>
        <w:lastRenderedPageBreak/>
        <w:t>центральний орган виконавчої влади, що реалізує державну податкову і митну політику, надсилає такому платнику податків запит з вимогою додатково подати протягом 30 календарних днів з моменту його отримання інформацію відповідно до підпункту 39.4.6 цього пункту та/або обґрунтування відповідності умов контрольованої операції принципу "витягнутої руки".</w:t>
      </w:r>
    </w:p>
    <w:p w14:paraId="29BD5B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0" w:name="n13715"/>
      <w:bookmarkEnd w:id="1660"/>
      <w:r w:rsidRPr="008B264B">
        <w:rPr>
          <w:rFonts w:ascii="Times New Roman" w:eastAsia="Times New Roman" w:hAnsi="Times New Roman" w:cs="Times New Roman"/>
          <w:color w:val="000000"/>
          <w:sz w:val="24"/>
          <w:szCs w:val="24"/>
          <w:lang/>
        </w:rPr>
        <w:t>Зазначена додаткова інформація або обґрунтування відповідності умов контрольованої операції принципу "витягнутої руки" є невід’ємною частиною документації з трансфертного ціноутворення.</w:t>
      </w:r>
    </w:p>
    <w:p w14:paraId="606B29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1" w:name="n13714"/>
      <w:bookmarkEnd w:id="1661"/>
      <w:r w:rsidRPr="008B264B">
        <w:rPr>
          <w:rFonts w:ascii="Times New Roman" w:eastAsia="Times New Roman" w:hAnsi="Times New Roman" w:cs="Times New Roman"/>
          <w:i/>
          <w:iCs/>
          <w:color w:val="000000"/>
          <w:sz w:val="24"/>
          <w:szCs w:val="24"/>
          <w:lang/>
        </w:rPr>
        <w:t>{Підпункт 39.4.8 пункту 39.4 статті 39 доповнено абзацом другим згідно із Законом </w:t>
      </w:r>
      <w:hyperlink r:id="rId863" w:anchor="n30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A2770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2" w:name="n12514"/>
      <w:bookmarkEnd w:id="1662"/>
      <w:r w:rsidRPr="008B264B">
        <w:rPr>
          <w:rFonts w:ascii="Times New Roman" w:eastAsia="Times New Roman" w:hAnsi="Times New Roman" w:cs="Times New Roman"/>
          <w:i/>
          <w:iCs/>
          <w:color w:val="000000"/>
          <w:sz w:val="24"/>
          <w:szCs w:val="24"/>
          <w:lang/>
        </w:rPr>
        <w:t>{Підпункт 39.4.8 пункту 39.4 статті 39 із змінами, внесеними згідно із Законом </w:t>
      </w:r>
      <w:hyperlink r:id="rId864" w:anchor="n67"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2618A4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3" w:name="n11082"/>
      <w:bookmarkEnd w:id="1663"/>
      <w:r w:rsidRPr="008B264B">
        <w:rPr>
          <w:rFonts w:ascii="Times New Roman" w:eastAsia="Times New Roman" w:hAnsi="Times New Roman" w:cs="Times New Roman"/>
          <w:color w:val="000000"/>
          <w:sz w:val="24"/>
          <w:szCs w:val="24"/>
          <w:lang/>
        </w:rPr>
        <w:t>39.4.9. Документація з трансфертного ціноутворення подається державною мовою. У разі подання разом з документацією документів, викладених іноземною мовою, платник податків одночасно подає переклад таких документів державною мовою.</w:t>
      </w:r>
    </w:p>
    <w:p w14:paraId="1A5C94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4" w:name="n11083"/>
      <w:bookmarkEnd w:id="1664"/>
      <w:r w:rsidRPr="008B264B">
        <w:rPr>
          <w:rFonts w:ascii="Times New Roman" w:eastAsia="Times New Roman" w:hAnsi="Times New Roman" w:cs="Times New Roman"/>
          <w:color w:val="000000"/>
          <w:sz w:val="24"/>
          <w:szCs w:val="24"/>
          <w:lang/>
        </w:rPr>
        <w:t>39.5. Податковий контроль за встановленням відповідності умов контрольованих операцій принципу "витягнутої руки"</w:t>
      </w:r>
    </w:p>
    <w:p w14:paraId="6CC9F7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5" w:name="n11084"/>
      <w:bookmarkEnd w:id="1665"/>
      <w:r w:rsidRPr="008B264B">
        <w:rPr>
          <w:rFonts w:ascii="Times New Roman" w:eastAsia="Times New Roman" w:hAnsi="Times New Roman" w:cs="Times New Roman"/>
          <w:color w:val="000000"/>
          <w:sz w:val="24"/>
          <w:szCs w:val="24"/>
          <w:lang/>
        </w:rPr>
        <w:t>39.5.1. Податковий контроль за встановленням відповідності умов контрольованих операцій принципу "витягнутої руки" здійснюється шляхом моніторингу контрольованих операцій, опитування з питань трансфертного ціноутворення та проведення перевірок з питань дотримання платником податків принципу "витягнутої руки".</w:t>
      </w:r>
    </w:p>
    <w:p w14:paraId="1B382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6" w:name="n12515"/>
      <w:bookmarkEnd w:id="1666"/>
      <w:r w:rsidRPr="008B264B">
        <w:rPr>
          <w:rFonts w:ascii="Times New Roman" w:eastAsia="Times New Roman" w:hAnsi="Times New Roman" w:cs="Times New Roman"/>
          <w:i/>
          <w:iCs/>
          <w:color w:val="000000"/>
          <w:sz w:val="24"/>
          <w:szCs w:val="24"/>
          <w:lang/>
        </w:rPr>
        <w:t>{Абзац перший підпункту 39.5.1 пункту 39.5 статті 39 в редакції Законів </w:t>
      </w:r>
      <w:hyperlink r:id="rId865" w:anchor="n70"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866" w:anchor="n30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5955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7" w:name="n11085"/>
      <w:bookmarkEnd w:id="1667"/>
      <w:r w:rsidRPr="008B264B">
        <w:rPr>
          <w:rFonts w:ascii="Times New Roman" w:eastAsia="Times New Roman" w:hAnsi="Times New Roman" w:cs="Times New Roman"/>
          <w:color w:val="000000"/>
          <w:sz w:val="24"/>
          <w:szCs w:val="24"/>
          <w:lang/>
        </w:rPr>
        <w:t>39.5.1.1. Моніторинг умов контрольованих операцій здійснюється шляхом аналізу звітів про контрольовані операції, документації з трансфертного ціноутворення, отриманих, зокрема, на підставі запитів, надісланих відповідно до </w:t>
      </w:r>
      <w:hyperlink r:id="rId867" w:anchor="n11064" w:history="1">
        <w:r w:rsidRPr="008B264B">
          <w:rPr>
            <w:rFonts w:ascii="Times New Roman" w:eastAsia="Times New Roman" w:hAnsi="Times New Roman" w:cs="Times New Roman"/>
            <w:color w:val="0000FF"/>
            <w:sz w:val="24"/>
            <w:szCs w:val="24"/>
            <w:u w:val="single"/>
            <w:lang/>
          </w:rPr>
          <w:t>підпунктів 39.4.4</w:t>
        </w:r>
      </w:hyperlink>
      <w:r w:rsidRPr="008B264B">
        <w:rPr>
          <w:rFonts w:ascii="Times New Roman" w:eastAsia="Times New Roman" w:hAnsi="Times New Roman" w:cs="Times New Roman"/>
          <w:color w:val="000000"/>
          <w:sz w:val="24"/>
          <w:szCs w:val="24"/>
          <w:lang/>
        </w:rPr>
        <w:t> та </w:t>
      </w:r>
      <w:hyperlink r:id="rId868" w:anchor="n11081" w:history="1">
        <w:r w:rsidRPr="008B264B">
          <w:rPr>
            <w:rFonts w:ascii="Times New Roman" w:eastAsia="Times New Roman" w:hAnsi="Times New Roman" w:cs="Times New Roman"/>
            <w:color w:val="0000FF"/>
            <w:sz w:val="24"/>
            <w:szCs w:val="24"/>
            <w:u w:val="single"/>
            <w:lang/>
          </w:rPr>
          <w:t>39.4.8</w:t>
        </w:r>
      </w:hyperlink>
      <w:r w:rsidRPr="008B264B">
        <w:rPr>
          <w:rFonts w:ascii="Times New Roman" w:eastAsia="Times New Roman" w:hAnsi="Times New Roman" w:cs="Times New Roman"/>
          <w:color w:val="000000"/>
          <w:sz w:val="24"/>
          <w:szCs w:val="24"/>
          <w:lang/>
        </w:rPr>
        <w:t> пункту 39.4 цієї статті, будь-яких інших інформаційних джерел, та шляхом отримання податкової інформації відповідно до </w:t>
      </w:r>
      <w:hyperlink r:id="rId869" w:anchor="n1715" w:history="1">
        <w:r w:rsidRPr="008B264B">
          <w:rPr>
            <w:rFonts w:ascii="Times New Roman" w:eastAsia="Times New Roman" w:hAnsi="Times New Roman" w:cs="Times New Roman"/>
            <w:color w:val="0000FF"/>
            <w:sz w:val="24"/>
            <w:szCs w:val="24"/>
            <w:u w:val="single"/>
            <w:lang/>
          </w:rPr>
          <w:t>статті 73</w:t>
        </w:r>
      </w:hyperlink>
      <w:r w:rsidRPr="008B264B">
        <w:rPr>
          <w:rFonts w:ascii="Times New Roman" w:eastAsia="Times New Roman" w:hAnsi="Times New Roman" w:cs="Times New Roman"/>
          <w:color w:val="000000"/>
          <w:sz w:val="24"/>
          <w:szCs w:val="24"/>
          <w:lang/>
        </w:rPr>
        <w:t> цього Кодексу.</w:t>
      </w:r>
    </w:p>
    <w:p w14:paraId="5F3A83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8" w:name="n13716"/>
      <w:bookmarkEnd w:id="1668"/>
      <w:r w:rsidRPr="008B264B">
        <w:rPr>
          <w:rFonts w:ascii="Times New Roman" w:eastAsia="Times New Roman" w:hAnsi="Times New Roman" w:cs="Times New Roman"/>
          <w:i/>
          <w:iCs/>
          <w:color w:val="000000"/>
          <w:sz w:val="24"/>
          <w:szCs w:val="24"/>
          <w:lang/>
        </w:rPr>
        <w:t>{Абзац перший підпункту 39.5.1.1 підпункту 39.5.1 пункту 39.5 статті 39 в редакції Закону </w:t>
      </w:r>
      <w:hyperlink r:id="rId870" w:anchor="n3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D007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69" w:name="n11086"/>
      <w:bookmarkEnd w:id="1669"/>
      <w:r w:rsidRPr="008B264B">
        <w:rPr>
          <w:rFonts w:ascii="Times New Roman" w:eastAsia="Times New Roman" w:hAnsi="Times New Roman" w:cs="Times New Roman"/>
          <w:color w:val="000000"/>
          <w:sz w:val="24"/>
          <w:szCs w:val="24"/>
          <w:lang/>
        </w:rPr>
        <w:t>З метою встановлення відповідності умов контрольованих операцій принципу "витягнутої руки" посадові особи контролюючого органу, під час проведення аналізу звітів про контрольовані операції та/або документації з трансфертного ціноутворення, поданих платником податків відповідно до </w:t>
      </w:r>
      <w:hyperlink r:id="rId871"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цієї статті, мають право проводити опитування уповноважених осіб та/або працівників платника податків.</w:t>
      </w:r>
    </w:p>
    <w:p w14:paraId="61BD51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0" w:name="n13717"/>
      <w:bookmarkEnd w:id="1670"/>
      <w:r w:rsidRPr="008B264B">
        <w:rPr>
          <w:rFonts w:ascii="Times New Roman" w:eastAsia="Times New Roman" w:hAnsi="Times New Roman" w:cs="Times New Roman"/>
          <w:i/>
          <w:iCs/>
          <w:color w:val="000000"/>
          <w:sz w:val="24"/>
          <w:szCs w:val="24"/>
          <w:lang/>
        </w:rPr>
        <w:t>{Абзац другий підпункту 39.5.1.1 підпункту 39.5.1 пункту 39.5 статті 39 із змінами, внесеними згідно із Законом </w:t>
      </w:r>
      <w:hyperlink r:id="rId872" w:anchor="n3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6FB19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1" w:name="n11087"/>
      <w:bookmarkEnd w:id="1671"/>
      <w:r w:rsidRPr="008B264B">
        <w:rPr>
          <w:rFonts w:ascii="Times New Roman" w:eastAsia="Times New Roman" w:hAnsi="Times New Roman" w:cs="Times New Roman"/>
          <w:color w:val="000000"/>
          <w:sz w:val="24"/>
          <w:szCs w:val="24"/>
          <w:lang/>
        </w:rPr>
        <w:t>Порядок проведення моніторингу контрольованих операцій та опитування встановлюється центральним органом виконавчої влади, що забезпечує формування та реалізує державну фінансову політику.</w:t>
      </w:r>
    </w:p>
    <w:p w14:paraId="5A0A57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2" w:name="n13404"/>
      <w:bookmarkEnd w:id="1672"/>
      <w:r w:rsidRPr="008B264B">
        <w:rPr>
          <w:rFonts w:ascii="Times New Roman" w:eastAsia="Times New Roman" w:hAnsi="Times New Roman" w:cs="Times New Roman"/>
          <w:i/>
          <w:iCs/>
          <w:color w:val="000000"/>
          <w:sz w:val="24"/>
          <w:szCs w:val="24"/>
          <w:lang/>
        </w:rPr>
        <w:t>{Абзац третій підпункту 39.5.1.1 підпункту 39.5.1 пункту 39.5 статті 39 із змінами, внесеними згідно із Законом </w:t>
      </w:r>
      <w:hyperlink r:id="rId87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9BDC7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3" w:name="n11088"/>
      <w:bookmarkEnd w:id="1673"/>
      <w:r w:rsidRPr="008B264B">
        <w:rPr>
          <w:rFonts w:ascii="Times New Roman" w:eastAsia="Times New Roman" w:hAnsi="Times New Roman" w:cs="Times New Roman"/>
          <w:color w:val="000000"/>
          <w:sz w:val="24"/>
          <w:szCs w:val="24"/>
          <w:lang/>
        </w:rPr>
        <w:t>39.5.1.2. У разі якщо контролюючий орган під час виконання функцій податкового контролю виявив факти проведення платником податків контрольованих операцій, звіт про які відповідно до підпункту 39.4.2 пункту 39.4 цієї статті не подано, він надсилає повідомлення про виявлені контрольовані операції центральному органу виконавчої влади, що реалізує державну податкову і митну політику. Повідомлення надсилається засобами електронного зв’язку не пізніше 5 робочих днів із дня виявлення таких операцій.</w:t>
      </w:r>
    </w:p>
    <w:p w14:paraId="60ABFD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4" w:name="n12517"/>
      <w:bookmarkEnd w:id="1674"/>
      <w:r w:rsidRPr="008B264B">
        <w:rPr>
          <w:rFonts w:ascii="Times New Roman" w:eastAsia="Times New Roman" w:hAnsi="Times New Roman" w:cs="Times New Roman"/>
          <w:color w:val="000000"/>
          <w:sz w:val="24"/>
          <w:szCs w:val="24"/>
          <w:lang/>
        </w:rPr>
        <w:lastRenderedPageBreak/>
        <w:t>Днем виявлення контролюючим органом фактів проведення платником податків контрольованих операцій, звіт про які відповідно до підпункту 39.4.2 пункту 39.4 цієї статті не подано, є дата складання акта документальної перевірки, в якому зафіксовано такий факт.</w:t>
      </w:r>
    </w:p>
    <w:p w14:paraId="4118DF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5" w:name="n13718"/>
      <w:bookmarkEnd w:id="1675"/>
      <w:r w:rsidRPr="008B264B">
        <w:rPr>
          <w:rFonts w:ascii="Times New Roman" w:eastAsia="Times New Roman" w:hAnsi="Times New Roman" w:cs="Times New Roman"/>
          <w:i/>
          <w:iCs/>
          <w:color w:val="000000"/>
          <w:sz w:val="24"/>
          <w:szCs w:val="24"/>
          <w:lang/>
        </w:rPr>
        <w:t>{Абзац другий підпункту 39.5.1.2 підпункту 39.5.1 пункту 39.5 статті 39 в редакції Закону </w:t>
      </w:r>
      <w:hyperlink r:id="rId874" w:anchor="n3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47E4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6" w:name="n12516"/>
      <w:bookmarkEnd w:id="1676"/>
      <w:r w:rsidRPr="008B264B">
        <w:rPr>
          <w:rFonts w:ascii="Times New Roman" w:eastAsia="Times New Roman" w:hAnsi="Times New Roman" w:cs="Times New Roman"/>
          <w:i/>
          <w:iCs/>
          <w:color w:val="000000"/>
          <w:sz w:val="24"/>
          <w:szCs w:val="24"/>
          <w:lang/>
        </w:rPr>
        <w:t>{Підпункт 39.5.1.2 підпункту 39.5.1 пункту 39.5 статті 39 в редакції Закону </w:t>
      </w:r>
      <w:hyperlink r:id="rId875" w:anchor="n7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4B16DB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7" w:name="n11089"/>
      <w:bookmarkEnd w:id="1677"/>
      <w:r w:rsidRPr="008B264B">
        <w:rPr>
          <w:rFonts w:ascii="Times New Roman" w:eastAsia="Times New Roman" w:hAnsi="Times New Roman" w:cs="Times New Roman"/>
          <w:color w:val="000000"/>
          <w:sz w:val="24"/>
          <w:szCs w:val="24"/>
          <w:lang/>
        </w:rPr>
        <w:t>39.5.2. Перевірка з питань дотримання платником податків принципу "витягнутої руки" проводиться відповідно до положень </w:t>
      </w:r>
      <w:hyperlink r:id="rId876" w:anchor="n1752" w:history="1">
        <w:r w:rsidRPr="008B264B">
          <w:rPr>
            <w:rFonts w:ascii="Times New Roman" w:eastAsia="Times New Roman" w:hAnsi="Times New Roman" w:cs="Times New Roman"/>
            <w:color w:val="0000FF"/>
            <w:sz w:val="24"/>
            <w:szCs w:val="24"/>
            <w:u w:val="single"/>
            <w:lang/>
          </w:rPr>
          <w:t>глави 8</w:t>
        </w:r>
      </w:hyperlink>
      <w:r w:rsidRPr="008B264B">
        <w:rPr>
          <w:rFonts w:ascii="Times New Roman" w:eastAsia="Times New Roman" w:hAnsi="Times New Roman" w:cs="Times New Roman"/>
          <w:color w:val="000000"/>
          <w:sz w:val="24"/>
          <w:szCs w:val="24"/>
          <w:lang/>
        </w:rPr>
        <w:t> розділу II цього Кодексу з урахуванням особливостей, визначених цією статтею.</w:t>
      </w:r>
    </w:p>
    <w:p w14:paraId="47028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8" w:name="n13719"/>
      <w:bookmarkEnd w:id="1678"/>
      <w:r w:rsidRPr="008B264B">
        <w:rPr>
          <w:rFonts w:ascii="Times New Roman" w:eastAsia="Times New Roman" w:hAnsi="Times New Roman" w:cs="Times New Roman"/>
          <w:i/>
          <w:iCs/>
          <w:color w:val="000000"/>
          <w:sz w:val="24"/>
          <w:szCs w:val="24"/>
          <w:lang/>
        </w:rPr>
        <w:t>{Абзац перший підпункту 39.5.2 пункту 39.5 статті 39 із змінами, внесеними згідно із Законом </w:t>
      </w:r>
      <w:hyperlink r:id="rId877" w:anchor="n3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11FA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79" w:name="n11090"/>
      <w:bookmarkEnd w:id="1679"/>
      <w:r w:rsidRPr="008B264B">
        <w:rPr>
          <w:rFonts w:ascii="Times New Roman" w:eastAsia="Times New Roman" w:hAnsi="Times New Roman" w:cs="Times New Roman"/>
          <w:color w:val="000000"/>
          <w:sz w:val="24"/>
          <w:szCs w:val="24"/>
          <w:lang/>
        </w:rPr>
        <w:t>39.5.2.1. Перевірка з питань дотримання платником податків принципу "витягнутої руки" може бути проведена контролюючим органом у разі надання платником податків документації з трансфертного ціноутворення відповідно до </w:t>
      </w:r>
      <w:hyperlink r:id="rId878" w:anchor="n11064" w:history="1">
        <w:r w:rsidRPr="008B264B">
          <w:rPr>
            <w:rFonts w:ascii="Times New Roman" w:eastAsia="Times New Roman" w:hAnsi="Times New Roman" w:cs="Times New Roman"/>
            <w:color w:val="0000FF"/>
            <w:sz w:val="24"/>
            <w:szCs w:val="24"/>
            <w:u w:val="single"/>
            <w:lang/>
          </w:rPr>
          <w:t>підпункту 39.4.4</w:t>
        </w:r>
      </w:hyperlink>
      <w:r w:rsidRPr="008B264B">
        <w:rPr>
          <w:rFonts w:ascii="Times New Roman" w:eastAsia="Times New Roman" w:hAnsi="Times New Roman" w:cs="Times New Roman"/>
          <w:color w:val="000000"/>
          <w:sz w:val="24"/>
          <w:szCs w:val="24"/>
          <w:lang/>
        </w:rPr>
        <w:t> пункту 39.4 цієї статті або у разі неподання платником податків чи подання з порушенням вимог </w:t>
      </w:r>
      <w:hyperlink r:id="rId879"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цієї статті звіту про контрольовані операції або документації з трансфертного ціноутворення.</w:t>
      </w:r>
    </w:p>
    <w:p w14:paraId="74D6DF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0" w:name="n12518"/>
      <w:bookmarkEnd w:id="1680"/>
      <w:r w:rsidRPr="008B264B">
        <w:rPr>
          <w:rFonts w:ascii="Times New Roman" w:eastAsia="Times New Roman" w:hAnsi="Times New Roman" w:cs="Times New Roman"/>
          <w:i/>
          <w:iCs/>
          <w:color w:val="000000"/>
          <w:sz w:val="24"/>
          <w:szCs w:val="24"/>
          <w:lang/>
        </w:rPr>
        <w:t>{Підпункт 39.5.2.1 підпункту 39.5.2 пункту 39.5 статті 39 в редакції Законів </w:t>
      </w:r>
      <w:hyperlink r:id="rId880" w:anchor="n76"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881" w:anchor="n3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36F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1" w:name="n11096"/>
      <w:bookmarkEnd w:id="1681"/>
      <w:r w:rsidRPr="008B264B">
        <w:rPr>
          <w:rFonts w:ascii="Times New Roman" w:eastAsia="Times New Roman" w:hAnsi="Times New Roman" w:cs="Times New Roman"/>
          <w:color w:val="000000"/>
          <w:sz w:val="24"/>
          <w:szCs w:val="24"/>
          <w:lang/>
        </w:rPr>
        <w:t>39.5.2.2.</w:t>
      </w:r>
      <w:hyperlink r:id="rId882" w:anchor="n15" w:tgtFrame="_blank" w:history="1">
        <w:r w:rsidRPr="008B264B">
          <w:rPr>
            <w:rFonts w:ascii="Times New Roman" w:eastAsia="Times New Roman" w:hAnsi="Times New Roman" w:cs="Times New Roman"/>
            <w:color w:val="0000FF"/>
            <w:sz w:val="24"/>
            <w:szCs w:val="24"/>
            <w:u w:val="single"/>
            <w:lang/>
          </w:rPr>
          <w:t> Порядок проведення перевірки</w:t>
        </w:r>
      </w:hyperlink>
      <w:r w:rsidRPr="008B264B">
        <w:rPr>
          <w:rFonts w:ascii="Times New Roman" w:eastAsia="Times New Roman" w:hAnsi="Times New Roman" w:cs="Times New Roman"/>
          <w:color w:val="000000"/>
          <w:sz w:val="24"/>
          <w:szCs w:val="24"/>
          <w:lang/>
        </w:rPr>
        <w:t> з питань дотримання платником податків принципу "витягнутої руки" встановлюється центральним органом виконавчої влади, що забезпечує формування та реалізує державну фінансову політику.</w:t>
      </w:r>
    </w:p>
    <w:p w14:paraId="421F69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2" w:name="n13405"/>
      <w:bookmarkEnd w:id="1682"/>
      <w:r w:rsidRPr="008B264B">
        <w:rPr>
          <w:rFonts w:ascii="Times New Roman" w:eastAsia="Times New Roman" w:hAnsi="Times New Roman" w:cs="Times New Roman"/>
          <w:i/>
          <w:iCs/>
          <w:color w:val="000000"/>
          <w:sz w:val="24"/>
          <w:szCs w:val="24"/>
          <w:lang/>
        </w:rPr>
        <w:t>{Підпункт 39.5.2.2 підпункту 39.5.2 пункту 39.5 статті 39 із змінами, внесеними згідно із Законом </w:t>
      </w:r>
      <w:hyperlink r:id="rId88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A268E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3" w:name="n11097"/>
      <w:bookmarkEnd w:id="1683"/>
      <w:r w:rsidRPr="008B264B">
        <w:rPr>
          <w:rFonts w:ascii="Times New Roman" w:eastAsia="Times New Roman" w:hAnsi="Times New Roman" w:cs="Times New Roman"/>
          <w:color w:val="000000"/>
          <w:sz w:val="24"/>
          <w:szCs w:val="24"/>
          <w:lang/>
        </w:rPr>
        <w:t>39.5.2.3. Надання платником податків документів відбувається згідно з вимогами </w:t>
      </w:r>
      <w:hyperlink r:id="rId884" w:anchor="n1915" w:history="1">
        <w:r w:rsidRPr="008B264B">
          <w:rPr>
            <w:rFonts w:ascii="Times New Roman" w:eastAsia="Times New Roman" w:hAnsi="Times New Roman" w:cs="Times New Roman"/>
            <w:color w:val="0000FF"/>
            <w:sz w:val="24"/>
            <w:szCs w:val="24"/>
            <w:u w:val="single"/>
            <w:lang/>
          </w:rPr>
          <w:t>пунктів 85.2</w:t>
        </w:r>
      </w:hyperlink>
      <w:r w:rsidRPr="008B264B">
        <w:rPr>
          <w:rFonts w:ascii="Times New Roman" w:eastAsia="Times New Roman" w:hAnsi="Times New Roman" w:cs="Times New Roman"/>
          <w:color w:val="000000"/>
          <w:sz w:val="24"/>
          <w:szCs w:val="24"/>
          <w:lang/>
        </w:rPr>
        <w:t> і </w:t>
      </w:r>
      <w:hyperlink r:id="rId885" w:anchor="n1921" w:history="1">
        <w:r w:rsidRPr="008B264B">
          <w:rPr>
            <w:rFonts w:ascii="Times New Roman" w:eastAsia="Times New Roman" w:hAnsi="Times New Roman" w:cs="Times New Roman"/>
            <w:color w:val="0000FF"/>
            <w:sz w:val="24"/>
            <w:szCs w:val="24"/>
            <w:u w:val="single"/>
            <w:lang/>
          </w:rPr>
          <w:t>85.3</w:t>
        </w:r>
      </w:hyperlink>
      <w:r w:rsidRPr="008B264B">
        <w:rPr>
          <w:rFonts w:ascii="Times New Roman" w:eastAsia="Times New Roman" w:hAnsi="Times New Roman" w:cs="Times New Roman"/>
          <w:color w:val="000000"/>
          <w:sz w:val="24"/>
          <w:szCs w:val="24"/>
          <w:lang/>
        </w:rPr>
        <w:t> статті 85 цього Кодексу протягом 10 робочих днів з дати початку перевірки.</w:t>
      </w:r>
    </w:p>
    <w:p w14:paraId="443E77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4" w:name="n13720"/>
      <w:bookmarkEnd w:id="1684"/>
      <w:r w:rsidRPr="008B264B">
        <w:rPr>
          <w:rFonts w:ascii="Times New Roman" w:eastAsia="Times New Roman" w:hAnsi="Times New Roman" w:cs="Times New Roman"/>
          <w:i/>
          <w:iCs/>
          <w:color w:val="000000"/>
          <w:sz w:val="24"/>
          <w:szCs w:val="24"/>
          <w:lang/>
        </w:rPr>
        <w:t>{Абзац перший підпункту 39.5.2.3 підпункту 39.5.2 пункту 39.5 статті 39 із змінами, внесеними згідно із Законом </w:t>
      </w:r>
      <w:hyperlink r:id="rId886" w:anchor="n3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6F9C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5" w:name="n11098"/>
      <w:bookmarkEnd w:id="1685"/>
      <w:r w:rsidRPr="008B264B">
        <w:rPr>
          <w:rFonts w:ascii="Times New Roman" w:eastAsia="Times New Roman" w:hAnsi="Times New Roman" w:cs="Times New Roman"/>
          <w:color w:val="000000"/>
          <w:sz w:val="24"/>
          <w:szCs w:val="24"/>
          <w:lang/>
        </w:rPr>
        <w:t>У разі необхідності отримання додаткових документів, що підтверджують здійснення фінансово-господарських операцій під час проведення перевірки, вони надаються платником податків протягом 15 робочих днів з дати отримання запиту контролюючого органу.</w:t>
      </w:r>
    </w:p>
    <w:p w14:paraId="73C60F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6" w:name="n13721"/>
      <w:bookmarkEnd w:id="1686"/>
      <w:r w:rsidRPr="008B264B">
        <w:rPr>
          <w:rFonts w:ascii="Times New Roman" w:eastAsia="Times New Roman" w:hAnsi="Times New Roman" w:cs="Times New Roman"/>
          <w:i/>
          <w:iCs/>
          <w:color w:val="000000"/>
          <w:sz w:val="24"/>
          <w:szCs w:val="24"/>
          <w:lang/>
        </w:rPr>
        <w:t>{Абзац другий підпункту 39.5.2.3 підпункту 39.5.2 пункту 39.5 статті 39 із змінами, внесеними згідно із Законом </w:t>
      </w:r>
      <w:hyperlink r:id="rId887" w:anchor="n3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0442C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7" w:name="n11099"/>
      <w:bookmarkEnd w:id="1687"/>
      <w:r w:rsidRPr="008B264B">
        <w:rPr>
          <w:rFonts w:ascii="Times New Roman" w:eastAsia="Times New Roman" w:hAnsi="Times New Roman" w:cs="Times New Roman"/>
          <w:color w:val="000000"/>
          <w:sz w:val="24"/>
          <w:szCs w:val="24"/>
          <w:lang/>
        </w:rPr>
        <w:t>39.5.2.4. Контролюючий орган не має права проводити більше однієї перевірки з питань дотримання платником податків принципу "витягнутої руки" одного платника податків протягом календарного року. Контролюючий орган не має права повторно проводити перевірку з питань дотримання платником податків принципу "витягнутої руки" платника податків, які вже були перевірені (крім випадків, зазначених у </w:t>
      </w:r>
      <w:hyperlink r:id="rId888" w:anchor="n1795" w:history="1">
        <w:r w:rsidRPr="008B264B">
          <w:rPr>
            <w:rFonts w:ascii="Times New Roman" w:eastAsia="Times New Roman" w:hAnsi="Times New Roman" w:cs="Times New Roman"/>
            <w:color w:val="0000FF"/>
            <w:sz w:val="24"/>
            <w:szCs w:val="24"/>
            <w:u w:val="single"/>
            <w:lang/>
          </w:rPr>
          <w:t>підпунктах 78.1.5</w:t>
        </w:r>
      </w:hyperlink>
      <w:r w:rsidRPr="008B264B">
        <w:rPr>
          <w:rFonts w:ascii="Times New Roman" w:eastAsia="Times New Roman" w:hAnsi="Times New Roman" w:cs="Times New Roman"/>
          <w:color w:val="000000"/>
          <w:sz w:val="24"/>
          <w:szCs w:val="24"/>
          <w:lang/>
        </w:rPr>
        <w:t>, </w:t>
      </w:r>
      <w:hyperlink r:id="rId889" w:anchor="n1803" w:history="1">
        <w:r w:rsidRPr="008B264B">
          <w:rPr>
            <w:rFonts w:ascii="Times New Roman" w:eastAsia="Times New Roman" w:hAnsi="Times New Roman" w:cs="Times New Roman"/>
            <w:color w:val="0000FF"/>
            <w:sz w:val="24"/>
            <w:szCs w:val="24"/>
            <w:u w:val="single"/>
            <w:lang/>
          </w:rPr>
          <w:t>78.1.11</w:t>
        </w:r>
      </w:hyperlink>
      <w:r w:rsidRPr="008B264B">
        <w:rPr>
          <w:rFonts w:ascii="Times New Roman" w:eastAsia="Times New Roman" w:hAnsi="Times New Roman" w:cs="Times New Roman"/>
          <w:color w:val="000000"/>
          <w:sz w:val="24"/>
          <w:szCs w:val="24"/>
          <w:lang/>
        </w:rPr>
        <w:t>, </w:t>
      </w:r>
      <w:hyperlink r:id="rId890" w:anchor="n1805" w:history="1">
        <w:r w:rsidRPr="008B264B">
          <w:rPr>
            <w:rFonts w:ascii="Times New Roman" w:eastAsia="Times New Roman" w:hAnsi="Times New Roman" w:cs="Times New Roman"/>
            <w:color w:val="0000FF"/>
            <w:sz w:val="24"/>
            <w:szCs w:val="24"/>
            <w:u w:val="single"/>
            <w:lang/>
          </w:rPr>
          <w:t>78.1.12</w:t>
        </w:r>
      </w:hyperlink>
      <w:r w:rsidRPr="008B264B">
        <w:rPr>
          <w:rFonts w:ascii="Times New Roman" w:eastAsia="Times New Roman" w:hAnsi="Times New Roman" w:cs="Times New Roman"/>
          <w:color w:val="000000"/>
          <w:sz w:val="24"/>
          <w:szCs w:val="24"/>
          <w:lang/>
        </w:rPr>
        <w:t> пункту 78.1 статті 78 цього Кодексу).</w:t>
      </w:r>
    </w:p>
    <w:p w14:paraId="22651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8" w:name="n13722"/>
      <w:bookmarkEnd w:id="1688"/>
      <w:r w:rsidRPr="008B264B">
        <w:rPr>
          <w:rFonts w:ascii="Times New Roman" w:eastAsia="Times New Roman" w:hAnsi="Times New Roman" w:cs="Times New Roman"/>
          <w:i/>
          <w:iCs/>
          <w:color w:val="000000"/>
          <w:sz w:val="24"/>
          <w:szCs w:val="24"/>
          <w:lang/>
        </w:rPr>
        <w:t>{Підпункт 39.5.2.4 підпункту 39.5.2 пункту 39.5 статті 39 в редакції Закону </w:t>
      </w:r>
      <w:hyperlink r:id="rId891" w:anchor="n3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DA3C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89" w:name="n11100"/>
      <w:bookmarkEnd w:id="1689"/>
      <w:r w:rsidRPr="008B264B">
        <w:rPr>
          <w:rFonts w:ascii="Times New Roman" w:eastAsia="Times New Roman" w:hAnsi="Times New Roman" w:cs="Times New Roman"/>
          <w:i/>
          <w:iCs/>
          <w:color w:val="000000"/>
          <w:sz w:val="24"/>
          <w:szCs w:val="24"/>
          <w:lang/>
        </w:rPr>
        <w:t>{Підпункт 39.5.2.5 підпункту 39.5.2 пункту 39.5 статті 39 виключено на підставі Закону </w:t>
      </w:r>
      <w:hyperlink r:id="rId892" w:anchor="n32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E4C15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0" w:name="n11101"/>
      <w:bookmarkEnd w:id="1690"/>
      <w:r w:rsidRPr="008B264B">
        <w:rPr>
          <w:rFonts w:ascii="Times New Roman" w:eastAsia="Times New Roman" w:hAnsi="Times New Roman" w:cs="Times New Roman"/>
          <w:color w:val="000000"/>
          <w:sz w:val="24"/>
          <w:szCs w:val="24"/>
          <w:lang/>
        </w:rPr>
        <w:t>39.5.2.6. Проведення перевірки з питань дотримання платником податків принципу "витягнутої руки" не перешкоджає проведенню перевірок, визначених </w:t>
      </w:r>
      <w:hyperlink r:id="rId893" w:anchor="n1753" w:history="1">
        <w:r w:rsidRPr="008B264B">
          <w:rPr>
            <w:rFonts w:ascii="Times New Roman" w:eastAsia="Times New Roman" w:hAnsi="Times New Roman" w:cs="Times New Roman"/>
            <w:color w:val="0000FF"/>
            <w:sz w:val="24"/>
            <w:szCs w:val="24"/>
            <w:u w:val="single"/>
            <w:lang/>
          </w:rPr>
          <w:t>статтею 75</w:t>
        </w:r>
      </w:hyperlink>
      <w:r w:rsidRPr="008B264B">
        <w:rPr>
          <w:rFonts w:ascii="Times New Roman" w:eastAsia="Times New Roman" w:hAnsi="Times New Roman" w:cs="Times New Roman"/>
          <w:color w:val="000000"/>
          <w:sz w:val="24"/>
          <w:szCs w:val="24"/>
          <w:lang/>
        </w:rPr>
        <w:t> цього Кодексу.</w:t>
      </w:r>
    </w:p>
    <w:p w14:paraId="67DE16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1" w:name="n14790"/>
      <w:bookmarkEnd w:id="1691"/>
      <w:r w:rsidRPr="008B264B">
        <w:rPr>
          <w:rFonts w:ascii="Times New Roman" w:eastAsia="Times New Roman" w:hAnsi="Times New Roman" w:cs="Times New Roman"/>
          <w:i/>
          <w:iCs/>
          <w:color w:val="000000"/>
          <w:sz w:val="24"/>
          <w:szCs w:val="24"/>
          <w:lang/>
        </w:rPr>
        <w:lastRenderedPageBreak/>
        <w:t>{Підпункт 39.5.2.6 підпункту 39.5.2 пункту 39.5 статті 39 в редакції Закону </w:t>
      </w:r>
      <w:hyperlink r:id="rId894" w:anchor="n12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E0DCB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2" w:name="n11102"/>
      <w:bookmarkEnd w:id="1692"/>
      <w:r w:rsidRPr="008B264B">
        <w:rPr>
          <w:rFonts w:ascii="Times New Roman" w:eastAsia="Times New Roman" w:hAnsi="Times New Roman" w:cs="Times New Roman"/>
          <w:color w:val="000000"/>
          <w:sz w:val="24"/>
          <w:szCs w:val="24"/>
          <w:lang/>
        </w:rPr>
        <w:t>39.5.2.7. Строк проведення перевірки платника податків з питань дотримання принципу "витягнутої руки" обчислюється з дня прийняття рішення про її проведення до дня складення </w:t>
      </w:r>
      <w:hyperlink r:id="rId895" w:anchor="n17" w:tgtFrame="_blank" w:history="1">
        <w:r w:rsidRPr="008B264B">
          <w:rPr>
            <w:rFonts w:ascii="Times New Roman" w:eastAsia="Times New Roman" w:hAnsi="Times New Roman" w:cs="Times New Roman"/>
            <w:color w:val="0000FF"/>
            <w:sz w:val="24"/>
            <w:szCs w:val="24"/>
            <w:u w:val="single"/>
            <w:lang/>
          </w:rPr>
          <w:t>акта (довідки)</w:t>
        </w:r>
      </w:hyperlink>
      <w:r w:rsidRPr="008B264B">
        <w:rPr>
          <w:rFonts w:ascii="Times New Roman" w:eastAsia="Times New Roman" w:hAnsi="Times New Roman" w:cs="Times New Roman"/>
          <w:color w:val="000000"/>
          <w:sz w:val="24"/>
          <w:szCs w:val="24"/>
          <w:lang/>
        </w:rPr>
        <w:t> про проведення такої перевірки.</w:t>
      </w:r>
    </w:p>
    <w:p w14:paraId="0243D6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3" w:name="n15270"/>
      <w:bookmarkEnd w:id="1693"/>
      <w:r w:rsidRPr="008B264B">
        <w:rPr>
          <w:rFonts w:ascii="Times New Roman" w:eastAsia="Times New Roman" w:hAnsi="Times New Roman" w:cs="Times New Roman"/>
          <w:color w:val="000000"/>
          <w:sz w:val="24"/>
          <w:szCs w:val="24"/>
          <w:lang/>
        </w:rPr>
        <w:t>Термін проведення перевірки платника податків з питань дотримання принципу "витягнутої руки" переривається у разі розгляду судом позовів платника податків з питань, пов’язаних з призначенням, проведенням або предметом такої перевірки, до завершення судових процедур.</w:t>
      </w:r>
    </w:p>
    <w:p w14:paraId="7F80E6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4" w:name="n15269"/>
      <w:bookmarkEnd w:id="1694"/>
      <w:r w:rsidRPr="008B264B">
        <w:rPr>
          <w:rFonts w:ascii="Times New Roman" w:eastAsia="Times New Roman" w:hAnsi="Times New Roman" w:cs="Times New Roman"/>
          <w:i/>
          <w:iCs/>
          <w:color w:val="000000"/>
          <w:sz w:val="24"/>
          <w:szCs w:val="24"/>
          <w:lang/>
        </w:rPr>
        <w:t>{Підпункт 39.5.2.7 підпункту 39.5.2 пункту 39.5 статті 39 доповнено абзацом другим згідно із Законом </w:t>
      </w:r>
      <w:hyperlink r:id="rId896" w:anchor="n12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F10A0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5" w:name="n14791"/>
      <w:bookmarkEnd w:id="1695"/>
      <w:r w:rsidRPr="008B264B">
        <w:rPr>
          <w:rFonts w:ascii="Times New Roman" w:eastAsia="Times New Roman" w:hAnsi="Times New Roman" w:cs="Times New Roman"/>
          <w:i/>
          <w:iCs/>
          <w:color w:val="000000"/>
          <w:sz w:val="24"/>
          <w:szCs w:val="24"/>
          <w:lang/>
        </w:rPr>
        <w:t>{Підпункт 39.5.2.7 підпункту 39.5.2 пункту 39.5 статті 39 в редакції Закону </w:t>
      </w:r>
      <w:hyperlink r:id="rId897" w:anchor="n12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BFA53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6" w:name="n11103"/>
      <w:bookmarkEnd w:id="1696"/>
      <w:r w:rsidRPr="008B264B">
        <w:rPr>
          <w:rFonts w:ascii="Times New Roman" w:eastAsia="Times New Roman" w:hAnsi="Times New Roman" w:cs="Times New Roman"/>
          <w:color w:val="000000"/>
          <w:sz w:val="24"/>
          <w:szCs w:val="24"/>
          <w:lang/>
        </w:rPr>
        <w:t>39.5.2.8. Тривалість перевірки з питань дотримання платником податків принципу "витягнутої руки" не повинна перевищувати 18 місяців.</w:t>
      </w:r>
    </w:p>
    <w:p w14:paraId="1D51FB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7" w:name="n11104"/>
      <w:bookmarkEnd w:id="1697"/>
      <w:r w:rsidRPr="008B264B">
        <w:rPr>
          <w:rFonts w:ascii="Times New Roman" w:eastAsia="Times New Roman" w:hAnsi="Times New Roman" w:cs="Times New Roman"/>
          <w:color w:val="000000"/>
          <w:sz w:val="24"/>
          <w:szCs w:val="24"/>
          <w:lang/>
        </w:rPr>
        <w:t>Кожні шість місяців проведення перевірки з питань дотримання платником податків принципу "витягнутої руки" контролюючий орган надає платнику податків інформацію про поточний стан проведення перевірки.</w:t>
      </w:r>
    </w:p>
    <w:p w14:paraId="6D3704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8" w:name="n13723"/>
      <w:bookmarkEnd w:id="1698"/>
      <w:r w:rsidRPr="008B264B">
        <w:rPr>
          <w:rFonts w:ascii="Times New Roman" w:eastAsia="Times New Roman" w:hAnsi="Times New Roman" w:cs="Times New Roman"/>
          <w:i/>
          <w:iCs/>
          <w:color w:val="000000"/>
          <w:sz w:val="24"/>
          <w:szCs w:val="24"/>
          <w:lang/>
        </w:rPr>
        <w:t>{Підпункт 39.5.2.8 підпункту 39.5.2 пункту 39.5 статті 39 в редакції Закону </w:t>
      </w:r>
      <w:hyperlink r:id="rId898" w:anchor="n3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C1FD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699" w:name="n11105"/>
      <w:bookmarkEnd w:id="1699"/>
      <w:r w:rsidRPr="008B264B">
        <w:rPr>
          <w:rFonts w:ascii="Times New Roman" w:eastAsia="Times New Roman" w:hAnsi="Times New Roman" w:cs="Times New Roman"/>
          <w:color w:val="000000"/>
          <w:sz w:val="24"/>
          <w:szCs w:val="24"/>
          <w:lang/>
        </w:rPr>
        <w:t>39.5.2.9. У разі необхідності отримання інформації від іноземних державних органів, проведення експертизи та/або перекладу на українську мову документів, необхідних для дослідження відповідності умов контрольованої операції принципу "витягнутої руки", строк проведення перевірки за рішенням керівника (заступника керівника) центрального органу виконавчої влади, що реалізує державну податкову і митну політику, може бути продовжений на строк, що не перевищує 12 місяців.</w:t>
      </w:r>
    </w:p>
    <w:p w14:paraId="171F78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0" w:name="n11106"/>
      <w:bookmarkEnd w:id="1700"/>
      <w:r w:rsidRPr="008B264B">
        <w:rPr>
          <w:rFonts w:ascii="Times New Roman" w:eastAsia="Times New Roman" w:hAnsi="Times New Roman" w:cs="Times New Roman"/>
          <w:color w:val="000000"/>
          <w:sz w:val="24"/>
          <w:szCs w:val="24"/>
          <w:lang/>
        </w:rPr>
        <w:t>39.5.2.10. Під час перевірки з питань дотримання платником податків принципу "витягнутої руки" можуть бути перевірені господарські операції з урахуванням строку, передбаченого </w:t>
      </w:r>
      <w:hyperlink r:id="rId899" w:anchor="n2288" w:history="1">
        <w:r w:rsidRPr="008B264B">
          <w:rPr>
            <w:rFonts w:ascii="Times New Roman" w:eastAsia="Times New Roman" w:hAnsi="Times New Roman" w:cs="Times New Roman"/>
            <w:color w:val="0000FF"/>
            <w:sz w:val="24"/>
            <w:szCs w:val="24"/>
            <w:u w:val="single"/>
            <w:lang/>
          </w:rPr>
          <w:t>пунктом 102.1</w:t>
        </w:r>
      </w:hyperlink>
      <w:r w:rsidRPr="008B264B">
        <w:rPr>
          <w:rFonts w:ascii="Times New Roman" w:eastAsia="Times New Roman" w:hAnsi="Times New Roman" w:cs="Times New Roman"/>
          <w:color w:val="000000"/>
          <w:sz w:val="24"/>
          <w:szCs w:val="24"/>
          <w:lang/>
        </w:rPr>
        <w:t> статті 102 цього Кодексу.</w:t>
      </w:r>
    </w:p>
    <w:p w14:paraId="2D614D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1" w:name="n13724"/>
      <w:bookmarkEnd w:id="1701"/>
      <w:r w:rsidRPr="008B264B">
        <w:rPr>
          <w:rFonts w:ascii="Times New Roman" w:eastAsia="Times New Roman" w:hAnsi="Times New Roman" w:cs="Times New Roman"/>
          <w:i/>
          <w:iCs/>
          <w:color w:val="000000"/>
          <w:sz w:val="24"/>
          <w:szCs w:val="24"/>
          <w:lang/>
        </w:rPr>
        <w:t>{Підпункт 39.5.2.10 підпункту 39.5.2 пункту 39.5 статті 39 в редакції Закону </w:t>
      </w:r>
      <w:hyperlink r:id="rId900" w:anchor="n3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F1D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2" w:name="n11107"/>
      <w:bookmarkEnd w:id="1702"/>
      <w:r w:rsidRPr="008B264B">
        <w:rPr>
          <w:rFonts w:ascii="Times New Roman" w:eastAsia="Times New Roman" w:hAnsi="Times New Roman" w:cs="Times New Roman"/>
          <w:color w:val="000000"/>
          <w:sz w:val="24"/>
          <w:szCs w:val="24"/>
          <w:lang/>
        </w:rPr>
        <w:t>39.5.2.11. Якщо платник податків використав найбільш доцільний метод встановлення відповідності умов контрольованих операцій принципу "витягнутої руки" згідно з критеріями, передбаченими </w:t>
      </w:r>
      <w:hyperlink r:id="rId901" w:anchor="n10978" w:history="1">
        <w:r w:rsidRPr="008B264B">
          <w:rPr>
            <w:rFonts w:ascii="Times New Roman" w:eastAsia="Times New Roman" w:hAnsi="Times New Roman" w:cs="Times New Roman"/>
            <w:color w:val="0000FF"/>
            <w:sz w:val="24"/>
            <w:szCs w:val="24"/>
            <w:u w:val="single"/>
            <w:lang/>
          </w:rPr>
          <w:t>пунктом 39.3</w:t>
        </w:r>
      </w:hyperlink>
      <w:r w:rsidRPr="008B264B">
        <w:rPr>
          <w:rFonts w:ascii="Times New Roman" w:eastAsia="Times New Roman" w:hAnsi="Times New Roman" w:cs="Times New Roman"/>
          <w:color w:val="000000"/>
          <w:sz w:val="24"/>
          <w:szCs w:val="24"/>
          <w:lang/>
        </w:rPr>
        <w:t> цієї статті, такий метод використовується під час перевірки контролюючим органом.</w:t>
      </w:r>
    </w:p>
    <w:p w14:paraId="41999B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3" w:name="n11108"/>
      <w:bookmarkEnd w:id="1703"/>
      <w:r w:rsidRPr="008B264B">
        <w:rPr>
          <w:rFonts w:ascii="Times New Roman" w:eastAsia="Times New Roman" w:hAnsi="Times New Roman" w:cs="Times New Roman"/>
          <w:color w:val="000000"/>
          <w:sz w:val="24"/>
          <w:szCs w:val="24"/>
          <w:lang/>
        </w:rPr>
        <w:t>Якщо контролюючим органом доведено, що застосований платником податків метод (комбінація методів) не дає змоги найбільш обґрунтовано встановити відповідність умов контрольованої операції принципу "витягнутої руки", він має право застосувати інші методи (комбінацію методів) для встановлення відповідності умов контрольованої операції принципу "витягнутої руки".</w:t>
      </w:r>
    </w:p>
    <w:p w14:paraId="3D0154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4" w:name="n11109"/>
      <w:bookmarkEnd w:id="1704"/>
      <w:r w:rsidRPr="008B264B">
        <w:rPr>
          <w:rFonts w:ascii="Times New Roman" w:eastAsia="Times New Roman" w:hAnsi="Times New Roman" w:cs="Times New Roman"/>
          <w:color w:val="000000"/>
          <w:sz w:val="24"/>
          <w:szCs w:val="24"/>
          <w:lang/>
        </w:rPr>
        <w:t>39.5.2.12. Застосування методів (комбінації методів) встановлення відповідності умов контрольованої операції принципу "витягнутої руки", не встановлених цією статтею, забороняється.</w:t>
      </w:r>
    </w:p>
    <w:p w14:paraId="77084A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5" w:name="n11110"/>
      <w:bookmarkEnd w:id="1705"/>
      <w:r w:rsidRPr="008B264B">
        <w:rPr>
          <w:rFonts w:ascii="Times New Roman" w:eastAsia="Times New Roman" w:hAnsi="Times New Roman" w:cs="Times New Roman"/>
          <w:color w:val="000000"/>
          <w:sz w:val="24"/>
          <w:szCs w:val="24"/>
          <w:lang/>
        </w:rPr>
        <w:t>39.5.2.13. Контролюючий орган, який проводить перевірку з питань дотримання платником податків принципу "витягнутої руки", має право:</w:t>
      </w:r>
    </w:p>
    <w:p w14:paraId="141725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6" w:name="n11111"/>
      <w:bookmarkEnd w:id="1706"/>
      <w:r w:rsidRPr="008B264B">
        <w:rPr>
          <w:rFonts w:ascii="Times New Roman" w:eastAsia="Times New Roman" w:hAnsi="Times New Roman" w:cs="Times New Roman"/>
          <w:color w:val="000000"/>
          <w:sz w:val="24"/>
          <w:szCs w:val="24"/>
          <w:lang/>
        </w:rPr>
        <w:t>а) надсилати запити про надання документів (інформації) щодо контрольованої операції іншим платникам податків відповідно до </w:t>
      </w:r>
      <w:hyperlink r:id="rId902" w:anchor="n1725" w:history="1">
        <w:r w:rsidRPr="008B264B">
          <w:rPr>
            <w:rFonts w:ascii="Times New Roman" w:eastAsia="Times New Roman" w:hAnsi="Times New Roman" w:cs="Times New Roman"/>
            <w:color w:val="0000FF"/>
            <w:sz w:val="24"/>
            <w:szCs w:val="24"/>
            <w:u w:val="single"/>
            <w:lang/>
          </w:rPr>
          <w:t>пункту 73.3</w:t>
        </w:r>
      </w:hyperlink>
      <w:r w:rsidRPr="008B264B">
        <w:rPr>
          <w:rFonts w:ascii="Times New Roman" w:eastAsia="Times New Roman" w:hAnsi="Times New Roman" w:cs="Times New Roman"/>
          <w:color w:val="000000"/>
          <w:sz w:val="24"/>
          <w:szCs w:val="24"/>
          <w:lang/>
        </w:rPr>
        <w:t xml:space="preserve"> статті 73 цього Кодексу, які є сторонами </w:t>
      </w:r>
      <w:r w:rsidRPr="008B264B">
        <w:rPr>
          <w:rFonts w:ascii="Times New Roman" w:eastAsia="Times New Roman" w:hAnsi="Times New Roman" w:cs="Times New Roman"/>
          <w:color w:val="000000"/>
          <w:sz w:val="24"/>
          <w:szCs w:val="24"/>
          <w:lang/>
        </w:rPr>
        <w:lastRenderedPageBreak/>
        <w:t>контрольованої операції, що перевіряється, або були задіяні в ланцюгу постачання товарів (робіт, послуг, інших об’єктів цивільних прав), що є предметом контрольованої операції.</w:t>
      </w:r>
    </w:p>
    <w:p w14:paraId="570CE5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7" w:name="n15271"/>
      <w:bookmarkEnd w:id="1707"/>
      <w:r w:rsidRPr="008B264B">
        <w:rPr>
          <w:rFonts w:ascii="Times New Roman" w:eastAsia="Times New Roman" w:hAnsi="Times New Roman" w:cs="Times New Roman"/>
          <w:color w:val="000000"/>
          <w:sz w:val="24"/>
          <w:szCs w:val="24"/>
          <w:lang/>
        </w:rPr>
        <w:t>У разі ненадання платниками податків, зазначеними у підпункті "а" цього підпункту, документів (інформації) на запит контролюючого органу, який проводить перевірку з питань дотримання платником податків принципу "витягнутої руки", та/або надання неповної інформації контролюючий орган має право провести зустрічну звірку таких платників податків у порядку, передбаченому </w:t>
      </w:r>
      <w:hyperlink r:id="rId903" w:anchor="n1743" w:history="1">
        <w:r w:rsidRPr="008B264B">
          <w:rPr>
            <w:rFonts w:ascii="Times New Roman" w:eastAsia="Times New Roman" w:hAnsi="Times New Roman" w:cs="Times New Roman"/>
            <w:color w:val="0000FF"/>
            <w:sz w:val="24"/>
            <w:szCs w:val="24"/>
            <w:u w:val="single"/>
            <w:lang/>
          </w:rPr>
          <w:t>пунктом 73.5</w:t>
        </w:r>
      </w:hyperlink>
      <w:r w:rsidRPr="008B264B">
        <w:rPr>
          <w:rFonts w:ascii="Times New Roman" w:eastAsia="Times New Roman" w:hAnsi="Times New Roman" w:cs="Times New Roman"/>
          <w:color w:val="000000"/>
          <w:sz w:val="24"/>
          <w:szCs w:val="24"/>
          <w:lang/>
        </w:rPr>
        <w:t> статті 73 цього Кодексу;</w:t>
      </w:r>
    </w:p>
    <w:p w14:paraId="24DB39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8" w:name="n15272"/>
      <w:bookmarkEnd w:id="1708"/>
      <w:r w:rsidRPr="008B264B">
        <w:rPr>
          <w:rFonts w:ascii="Times New Roman" w:eastAsia="Times New Roman" w:hAnsi="Times New Roman" w:cs="Times New Roman"/>
          <w:color w:val="000000"/>
          <w:sz w:val="24"/>
          <w:szCs w:val="24"/>
          <w:lang/>
        </w:rPr>
        <w:t>б) проводити опитування посадових осіб та/або працівників платників податків, які є сторонами контрольованої операції. Платники податків зобов’язані забезпечити можливість посадовим особам, які проводять перевірку з питань дотримання платником податків принципу "витягнутої руки", провести опитування відповідних посадових осіб або працівників;</w:t>
      </w:r>
    </w:p>
    <w:p w14:paraId="094685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09" w:name="n15273"/>
      <w:bookmarkEnd w:id="1709"/>
      <w:r w:rsidRPr="008B264B">
        <w:rPr>
          <w:rFonts w:ascii="Times New Roman" w:eastAsia="Times New Roman" w:hAnsi="Times New Roman" w:cs="Times New Roman"/>
          <w:color w:val="000000"/>
          <w:sz w:val="24"/>
          <w:szCs w:val="24"/>
          <w:lang/>
        </w:rPr>
        <w:t>в) надсилати запити компетентним органам іноземних держав щодо предмета та обставин здійснення контрольованої операції та/або щодо господарської діяльності та фінансової звітності нерезидента - сторони контрольованої операції;</w:t>
      </w:r>
    </w:p>
    <w:p w14:paraId="717AB4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0" w:name="n15274"/>
      <w:bookmarkEnd w:id="1710"/>
      <w:r w:rsidRPr="008B264B">
        <w:rPr>
          <w:rFonts w:ascii="Times New Roman" w:eastAsia="Times New Roman" w:hAnsi="Times New Roman" w:cs="Times New Roman"/>
          <w:color w:val="000000"/>
          <w:sz w:val="24"/>
          <w:szCs w:val="24"/>
          <w:lang/>
        </w:rPr>
        <w:t>г) проводити зустрічі з платником податків (уповноваженими ним особами) для обговорення методології визначення відповідності умов контрольованих операцій принципу "витягнутої руки", застосованої контролюючим органом під час перевірки.</w:t>
      </w:r>
    </w:p>
    <w:p w14:paraId="0B6FE6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1" w:name="n13725"/>
      <w:bookmarkEnd w:id="1711"/>
      <w:r w:rsidRPr="008B264B">
        <w:rPr>
          <w:rFonts w:ascii="Times New Roman" w:eastAsia="Times New Roman" w:hAnsi="Times New Roman" w:cs="Times New Roman"/>
          <w:i/>
          <w:iCs/>
          <w:color w:val="000000"/>
          <w:sz w:val="24"/>
          <w:szCs w:val="24"/>
          <w:lang/>
        </w:rPr>
        <w:t>{Підпункт 39.5.2.13 підпункту 39.5.2 пункту 39.5 статті 39 із змінами, внесеними згідно із Законом </w:t>
      </w:r>
      <w:hyperlink r:id="rId904" w:anchor="n33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05" w:anchor="n12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EE85D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2" w:name="n11112"/>
      <w:bookmarkEnd w:id="1712"/>
      <w:r w:rsidRPr="008B264B">
        <w:rPr>
          <w:rFonts w:ascii="Times New Roman" w:eastAsia="Times New Roman" w:hAnsi="Times New Roman" w:cs="Times New Roman"/>
          <w:color w:val="000000"/>
          <w:sz w:val="24"/>
          <w:szCs w:val="24"/>
          <w:lang/>
        </w:rPr>
        <w:t>39.5.2.14. Результати перевірки з питань дотримання платником податків принципу "витягнутої руки" оформляються у формі акта (довідки), що складається у двох примірниках, підписується посадовими особами, які проводили перевірку та платником податків або його представником.</w:t>
      </w:r>
    </w:p>
    <w:p w14:paraId="134BAF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3" w:name="n13726"/>
      <w:bookmarkEnd w:id="1713"/>
      <w:r w:rsidRPr="008B264B">
        <w:rPr>
          <w:rFonts w:ascii="Times New Roman" w:eastAsia="Times New Roman" w:hAnsi="Times New Roman" w:cs="Times New Roman"/>
          <w:i/>
          <w:iCs/>
          <w:color w:val="000000"/>
          <w:sz w:val="24"/>
          <w:szCs w:val="24"/>
          <w:lang/>
        </w:rPr>
        <w:t>{Підпункт 39.5.2.14 підпункту 39.5.2 пункту 39.5 статті 39 із змінами, внесеними згідно із Законом </w:t>
      </w:r>
      <w:hyperlink r:id="rId906" w:anchor="n33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99DD8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4" w:name="n11113"/>
      <w:bookmarkEnd w:id="1714"/>
      <w:r w:rsidRPr="008B264B">
        <w:rPr>
          <w:rFonts w:ascii="Times New Roman" w:eastAsia="Times New Roman" w:hAnsi="Times New Roman" w:cs="Times New Roman"/>
          <w:color w:val="000000"/>
          <w:sz w:val="24"/>
          <w:szCs w:val="24"/>
          <w:lang/>
        </w:rPr>
        <w:t>39.5.2.15. Якщо за результатами перевірки виявлено, що умови контрольованої операції відрізняються від умов, що відповідають принципу "витягнутої руки", що призвело до невірного розрахунку обсягу оподатковуваного прибутку платника податку та/або заниження суми податку, складається акт перевірки. Якщо такі порушення відсутні, складається довідка.</w:t>
      </w:r>
    </w:p>
    <w:p w14:paraId="178F5F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5" w:name="n13727"/>
      <w:bookmarkEnd w:id="1715"/>
      <w:r w:rsidRPr="008B264B">
        <w:rPr>
          <w:rFonts w:ascii="Times New Roman" w:eastAsia="Times New Roman" w:hAnsi="Times New Roman" w:cs="Times New Roman"/>
          <w:i/>
          <w:iCs/>
          <w:color w:val="000000"/>
          <w:sz w:val="24"/>
          <w:szCs w:val="24"/>
          <w:lang/>
        </w:rPr>
        <w:t>{Підпункт 39.5.2.15 підпункту 39.5.2 пункту 39.5 статті 39 із змінами, внесеними згідно із Законом </w:t>
      </w:r>
      <w:hyperlink r:id="rId907" w:anchor="n3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3FA5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6" w:name="n11114"/>
      <w:bookmarkEnd w:id="1716"/>
      <w:r w:rsidRPr="008B264B">
        <w:rPr>
          <w:rFonts w:ascii="Times New Roman" w:eastAsia="Times New Roman" w:hAnsi="Times New Roman" w:cs="Times New Roman"/>
          <w:color w:val="000000"/>
          <w:sz w:val="24"/>
          <w:szCs w:val="24"/>
          <w:lang/>
        </w:rPr>
        <w:t>39.5.2.16. У разі якщо за результатами перевірок, що не стосуються трансфертного ціноутворення, або платником податків самостійно вже були донараховані податкові зобов’язання на підставі коригування цін та обмежень рівня витрат та доходів за такими операціями, суми донарахованих податкових зобов’язань за результатами такої перевірки та/або самостійного донарахування зараховуються в погашення нарахованих податків за результатами перевірки з питань дотримання платником податків принципу "витягнутої руки".</w:t>
      </w:r>
    </w:p>
    <w:p w14:paraId="0EC9CA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7" w:name="n13728"/>
      <w:bookmarkEnd w:id="1717"/>
      <w:r w:rsidRPr="008B264B">
        <w:rPr>
          <w:rFonts w:ascii="Times New Roman" w:eastAsia="Times New Roman" w:hAnsi="Times New Roman" w:cs="Times New Roman"/>
          <w:i/>
          <w:iCs/>
          <w:color w:val="000000"/>
          <w:sz w:val="24"/>
          <w:szCs w:val="24"/>
          <w:lang/>
        </w:rPr>
        <w:t>{Підпункт 39.5.2.16 підпункту 39.5.2 пункту 39.5 статті 39 в редакції Закону </w:t>
      </w:r>
      <w:hyperlink r:id="rId908" w:anchor="n3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E5FD1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8" w:name="n11115"/>
      <w:bookmarkEnd w:id="1718"/>
      <w:r w:rsidRPr="008B264B">
        <w:rPr>
          <w:rFonts w:ascii="Times New Roman" w:eastAsia="Times New Roman" w:hAnsi="Times New Roman" w:cs="Times New Roman"/>
          <w:color w:val="000000"/>
          <w:sz w:val="24"/>
          <w:szCs w:val="24"/>
          <w:lang/>
        </w:rPr>
        <w:t>39.5.2.17. </w:t>
      </w:r>
      <w:hyperlink r:id="rId909" w:anchor="n17" w:tgtFrame="_blank" w:history="1">
        <w:r w:rsidRPr="008B264B">
          <w:rPr>
            <w:rFonts w:ascii="Times New Roman" w:eastAsia="Times New Roman" w:hAnsi="Times New Roman" w:cs="Times New Roman"/>
            <w:color w:val="0000FF"/>
            <w:sz w:val="24"/>
            <w:szCs w:val="24"/>
            <w:u w:val="single"/>
            <w:lang/>
          </w:rPr>
          <w:t>Форма акта (довідки)</w:t>
        </w:r>
      </w:hyperlink>
      <w:r w:rsidRPr="008B264B">
        <w:rPr>
          <w:rFonts w:ascii="Times New Roman" w:eastAsia="Times New Roman" w:hAnsi="Times New Roman" w:cs="Times New Roman"/>
          <w:color w:val="000000"/>
          <w:sz w:val="24"/>
          <w:szCs w:val="24"/>
          <w:lang/>
        </w:rPr>
        <w:t> про результати перевірки з питань дотримання платником податків принципу "витягнутої руки" та </w:t>
      </w:r>
      <w:hyperlink r:id="rId910" w:anchor="n21" w:tgtFrame="_blank" w:history="1">
        <w:r w:rsidRPr="008B264B">
          <w:rPr>
            <w:rFonts w:ascii="Times New Roman" w:eastAsia="Times New Roman" w:hAnsi="Times New Roman" w:cs="Times New Roman"/>
            <w:color w:val="0000FF"/>
            <w:sz w:val="24"/>
            <w:szCs w:val="24"/>
            <w:u w:val="single"/>
            <w:lang/>
          </w:rPr>
          <w:t>вимоги</w:t>
        </w:r>
      </w:hyperlink>
      <w:r w:rsidRPr="008B264B">
        <w:rPr>
          <w:rFonts w:ascii="Times New Roman" w:eastAsia="Times New Roman" w:hAnsi="Times New Roman" w:cs="Times New Roman"/>
          <w:color w:val="000000"/>
          <w:sz w:val="24"/>
          <w:szCs w:val="24"/>
          <w:lang/>
        </w:rPr>
        <w:t> до його (її) складення встановлюються центральним органом виконавчої влади, що забезпечує формування та реалізує державну фінансову політику.</w:t>
      </w:r>
    </w:p>
    <w:p w14:paraId="6CFA27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19" w:name="n11116"/>
      <w:bookmarkEnd w:id="1719"/>
      <w:r w:rsidRPr="008B264B">
        <w:rPr>
          <w:rFonts w:ascii="Times New Roman" w:eastAsia="Times New Roman" w:hAnsi="Times New Roman" w:cs="Times New Roman"/>
          <w:color w:val="000000"/>
          <w:sz w:val="24"/>
          <w:szCs w:val="24"/>
          <w:lang/>
        </w:rPr>
        <w:t xml:space="preserve">Акт про результати перевірки з питань дотримання платником податків принципу "витягнутої руки" повинен містити документально підтверджені факти відхилення умов контрольованої операції від умов, що відповідають принципу "витягнутої руки", обґрунтування того, що таке відхилення спричинило неправильний розрахунок обсягу оподатковуваного </w:t>
      </w:r>
      <w:r w:rsidRPr="008B264B">
        <w:rPr>
          <w:rFonts w:ascii="Times New Roman" w:eastAsia="Times New Roman" w:hAnsi="Times New Roman" w:cs="Times New Roman"/>
          <w:color w:val="000000"/>
          <w:sz w:val="24"/>
          <w:szCs w:val="24"/>
          <w:lang/>
        </w:rPr>
        <w:lastRenderedPageBreak/>
        <w:t>прибутку платника податку та/або заниження суми податку із наведенням відповідних розрахунків.</w:t>
      </w:r>
    </w:p>
    <w:p w14:paraId="53C60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0" w:name="n13729"/>
      <w:bookmarkEnd w:id="1720"/>
      <w:r w:rsidRPr="008B264B">
        <w:rPr>
          <w:rFonts w:ascii="Times New Roman" w:eastAsia="Times New Roman" w:hAnsi="Times New Roman" w:cs="Times New Roman"/>
          <w:i/>
          <w:iCs/>
          <w:color w:val="000000"/>
          <w:sz w:val="24"/>
          <w:szCs w:val="24"/>
          <w:lang/>
        </w:rPr>
        <w:t>{Підпункт 39.5.2.17 підпункту 39.5.2 пункту 39.5 статті 39 в редакції Закону </w:t>
      </w:r>
      <w:hyperlink r:id="rId911" w:anchor="n3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EB19A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1" w:name="n11117"/>
      <w:bookmarkEnd w:id="1721"/>
      <w:r w:rsidRPr="008B264B">
        <w:rPr>
          <w:rFonts w:ascii="Times New Roman" w:eastAsia="Times New Roman" w:hAnsi="Times New Roman" w:cs="Times New Roman"/>
          <w:color w:val="000000"/>
          <w:sz w:val="24"/>
          <w:szCs w:val="24"/>
          <w:lang/>
        </w:rPr>
        <w:t>39.5.2.18. У разі відмови платника податків або його представника від підписання акта (довідки) про результати перевірки з питань дотримання платником податків принципу "витягнутої руки" посадовими особами контролюючого органу складається відповідний акт, що засвідчує факт такої відмови.</w:t>
      </w:r>
    </w:p>
    <w:p w14:paraId="2E73F1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2" w:name="n13730"/>
      <w:bookmarkEnd w:id="1722"/>
      <w:r w:rsidRPr="008B264B">
        <w:rPr>
          <w:rFonts w:ascii="Times New Roman" w:eastAsia="Times New Roman" w:hAnsi="Times New Roman" w:cs="Times New Roman"/>
          <w:i/>
          <w:iCs/>
          <w:color w:val="000000"/>
          <w:sz w:val="24"/>
          <w:szCs w:val="24"/>
          <w:lang/>
        </w:rPr>
        <w:t>{Підпункт 39.5.2.18 підпункту 39.5.2 пункту 39.5 статті 39 із змінами, внесеними згідно із Законом </w:t>
      </w:r>
      <w:hyperlink r:id="rId912" w:anchor="n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FB4D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3" w:name="n11118"/>
      <w:bookmarkEnd w:id="1723"/>
      <w:r w:rsidRPr="008B264B">
        <w:rPr>
          <w:rFonts w:ascii="Times New Roman" w:eastAsia="Times New Roman" w:hAnsi="Times New Roman" w:cs="Times New Roman"/>
          <w:color w:val="000000"/>
          <w:sz w:val="24"/>
          <w:szCs w:val="24"/>
          <w:lang/>
        </w:rPr>
        <w:t>39.5.2.19. Акт (довідка) перевірки з питань дотримання платником податків принципу "витягнутої руки" повинен бути вручений протягом двох робочих днів з дати його складення платнику податків, щодо якого проводилася перевірка, або його представнику під розписку.</w:t>
      </w:r>
    </w:p>
    <w:p w14:paraId="33CE01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4" w:name="n13731"/>
      <w:bookmarkEnd w:id="1724"/>
      <w:r w:rsidRPr="008B264B">
        <w:rPr>
          <w:rFonts w:ascii="Times New Roman" w:eastAsia="Times New Roman" w:hAnsi="Times New Roman" w:cs="Times New Roman"/>
          <w:i/>
          <w:iCs/>
          <w:color w:val="000000"/>
          <w:sz w:val="24"/>
          <w:szCs w:val="24"/>
          <w:lang/>
        </w:rPr>
        <w:t>{Підпункт 39.5.2.19 підпункту 39.5.2 пункту 39.5 статті 39 із змінами, внесеними згідно із Законом </w:t>
      </w:r>
      <w:hyperlink r:id="rId913" w:anchor="n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1AD4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5" w:name="n11119"/>
      <w:bookmarkEnd w:id="1725"/>
      <w:r w:rsidRPr="008B264B">
        <w:rPr>
          <w:rFonts w:ascii="Times New Roman" w:eastAsia="Times New Roman" w:hAnsi="Times New Roman" w:cs="Times New Roman"/>
          <w:color w:val="000000"/>
          <w:sz w:val="24"/>
          <w:szCs w:val="24"/>
          <w:lang/>
        </w:rPr>
        <w:t>39.5.2.20. У разі незгоди платника податків або його представника з висновками перевірки або фактами та даними, викладеними в акті про результати перевірки з питань дотримання платником податків принципу "витягнутої руки", вони мають право подати свої заперечення протягом 30 днів з дня отримання акта. При цьому платник податків має право подати разом із запереченнями або в погоджений строк документи (їх завірені копії), що підтверджують обґрунтованість заперечень.</w:t>
      </w:r>
    </w:p>
    <w:p w14:paraId="7D5600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6" w:name="n11120"/>
      <w:bookmarkEnd w:id="1726"/>
      <w:r w:rsidRPr="008B264B">
        <w:rPr>
          <w:rFonts w:ascii="Times New Roman" w:eastAsia="Times New Roman" w:hAnsi="Times New Roman" w:cs="Times New Roman"/>
          <w:color w:val="000000"/>
          <w:sz w:val="24"/>
          <w:szCs w:val="24"/>
          <w:lang/>
        </w:rPr>
        <w:t>Такі заперечення розглядаються протягом 30 робочих днів, що настають за днем їх отримання, а платнику податків надсилається відповідь у порядку, визначеному </w:t>
      </w:r>
      <w:hyperlink r:id="rId914"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повідомлень-рішень.</w:t>
      </w:r>
    </w:p>
    <w:p w14:paraId="67516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7" w:name="n13732"/>
      <w:bookmarkEnd w:id="1727"/>
      <w:r w:rsidRPr="008B264B">
        <w:rPr>
          <w:rFonts w:ascii="Times New Roman" w:eastAsia="Times New Roman" w:hAnsi="Times New Roman" w:cs="Times New Roman"/>
          <w:i/>
          <w:iCs/>
          <w:color w:val="000000"/>
          <w:sz w:val="24"/>
          <w:szCs w:val="24"/>
          <w:lang/>
        </w:rPr>
        <w:t>{Підпункт 39.5.2.20 підпункту 39.5.2 пункту 39.5 статті 39 із змінами, внесеними згідно із Законом </w:t>
      </w:r>
      <w:hyperlink r:id="rId915" w:anchor="n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C81D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8" w:name="n11121"/>
      <w:bookmarkEnd w:id="1728"/>
      <w:r w:rsidRPr="008B264B">
        <w:rPr>
          <w:rFonts w:ascii="Times New Roman" w:eastAsia="Times New Roman" w:hAnsi="Times New Roman" w:cs="Times New Roman"/>
          <w:color w:val="000000"/>
          <w:sz w:val="24"/>
          <w:szCs w:val="24"/>
          <w:lang/>
        </w:rPr>
        <w:t>39.5.2.21. Прийняття податкового повідомлення-рішення за результатами перевірки з питань дотримання платником податків принципу "витягнутої руки" здійснюється у порядку, передбаченому </w:t>
      </w:r>
      <w:hyperlink r:id="rId916" w:anchor="n1931" w:history="1">
        <w:r w:rsidRPr="008B264B">
          <w:rPr>
            <w:rFonts w:ascii="Times New Roman" w:eastAsia="Times New Roman" w:hAnsi="Times New Roman" w:cs="Times New Roman"/>
            <w:color w:val="0000FF"/>
            <w:sz w:val="24"/>
            <w:szCs w:val="24"/>
            <w:u w:val="single"/>
            <w:lang/>
          </w:rPr>
          <w:t>статтею 86</w:t>
        </w:r>
      </w:hyperlink>
      <w:r w:rsidRPr="008B264B">
        <w:rPr>
          <w:rFonts w:ascii="Times New Roman" w:eastAsia="Times New Roman" w:hAnsi="Times New Roman" w:cs="Times New Roman"/>
          <w:color w:val="000000"/>
          <w:sz w:val="24"/>
          <w:szCs w:val="24"/>
          <w:lang/>
        </w:rPr>
        <w:t> цього Кодексу, але не раніше закінчення терміну для надання платником заперечень, визначеного</w:t>
      </w:r>
      <w:hyperlink r:id="rId917" w:anchor="n13731" w:history="1">
        <w:r w:rsidRPr="008B264B">
          <w:rPr>
            <w:rFonts w:ascii="Times New Roman" w:eastAsia="Times New Roman" w:hAnsi="Times New Roman" w:cs="Times New Roman"/>
            <w:color w:val="0000FF"/>
            <w:sz w:val="24"/>
            <w:szCs w:val="24"/>
            <w:u w:val="single"/>
            <w:lang/>
          </w:rPr>
          <w:t> підпунктом 39.5.2.20</w:t>
        </w:r>
      </w:hyperlink>
      <w:r w:rsidRPr="008B264B">
        <w:rPr>
          <w:rFonts w:ascii="Times New Roman" w:eastAsia="Times New Roman" w:hAnsi="Times New Roman" w:cs="Times New Roman"/>
          <w:color w:val="000000"/>
          <w:sz w:val="24"/>
          <w:szCs w:val="24"/>
          <w:lang/>
        </w:rPr>
        <w:t> цього пункту.</w:t>
      </w:r>
    </w:p>
    <w:p w14:paraId="7011B7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29" w:name="n12519"/>
      <w:bookmarkEnd w:id="1729"/>
      <w:r w:rsidRPr="008B264B">
        <w:rPr>
          <w:rFonts w:ascii="Times New Roman" w:eastAsia="Times New Roman" w:hAnsi="Times New Roman" w:cs="Times New Roman"/>
          <w:i/>
          <w:iCs/>
          <w:color w:val="000000"/>
          <w:sz w:val="24"/>
          <w:szCs w:val="24"/>
          <w:lang/>
        </w:rPr>
        <w:t>{Підпункт 39.5.2.21 підпункту 39.5.2 пункту 39.5 статті 39 із змінами, внесеними згідно із Законами </w:t>
      </w:r>
      <w:hyperlink r:id="rId918" w:anchor="n8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919" w:anchor="n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BB8A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0" w:name="n11122"/>
      <w:bookmarkEnd w:id="1730"/>
      <w:r w:rsidRPr="008B264B">
        <w:rPr>
          <w:rFonts w:ascii="Times New Roman" w:eastAsia="Times New Roman" w:hAnsi="Times New Roman" w:cs="Times New Roman"/>
          <w:color w:val="000000"/>
          <w:sz w:val="24"/>
          <w:szCs w:val="24"/>
          <w:lang/>
        </w:rPr>
        <w:t>39.5.2.22. Оскарження податкових повідомлень-рішень, прийнятих за результатами перевірки з питань дотримання платником податків принципу "витягнутої руки", здійснюється відповідно до </w:t>
      </w:r>
      <w:hyperlink r:id="rId920" w:anchor="n1321" w:history="1">
        <w:r w:rsidRPr="008B264B">
          <w:rPr>
            <w:rFonts w:ascii="Times New Roman" w:eastAsia="Times New Roman" w:hAnsi="Times New Roman" w:cs="Times New Roman"/>
            <w:color w:val="0000FF"/>
            <w:sz w:val="24"/>
            <w:szCs w:val="24"/>
            <w:u w:val="single"/>
            <w:lang/>
          </w:rPr>
          <w:t>статті 56</w:t>
        </w:r>
      </w:hyperlink>
      <w:r w:rsidRPr="008B264B">
        <w:rPr>
          <w:rFonts w:ascii="Times New Roman" w:eastAsia="Times New Roman" w:hAnsi="Times New Roman" w:cs="Times New Roman"/>
          <w:color w:val="000000"/>
          <w:sz w:val="24"/>
          <w:szCs w:val="24"/>
          <w:lang/>
        </w:rPr>
        <w:t> цього Кодексу.</w:t>
      </w:r>
    </w:p>
    <w:p w14:paraId="1FAF72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1" w:name="n13733"/>
      <w:bookmarkEnd w:id="1731"/>
      <w:r w:rsidRPr="008B264B">
        <w:rPr>
          <w:rFonts w:ascii="Times New Roman" w:eastAsia="Times New Roman" w:hAnsi="Times New Roman" w:cs="Times New Roman"/>
          <w:i/>
          <w:iCs/>
          <w:color w:val="000000"/>
          <w:sz w:val="24"/>
          <w:szCs w:val="24"/>
          <w:lang/>
        </w:rPr>
        <w:t>{Підпункт 39.5.2.22 підпункту 39.5.2 пункту 39.5 статті 39 із змінами, внесеними згідно із Законом </w:t>
      </w:r>
      <w:hyperlink r:id="rId921" w:anchor="n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8D7CA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2" w:name="n11123"/>
      <w:bookmarkEnd w:id="1732"/>
      <w:r w:rsidRPr="008B264B">
        <w:rPr>
          <w:rFonts w:ascii="Times New Roman" w:eastAsia="Times New Roman" w:hAnsi="Times New Roman" w:cs="Times New Roman"/>
          <w:i/>
          <w:iCs/>
          <w:color w:val="000000"/>
          <w:sz w:val="24"/>
          <w:szCs w:val="24"/>
          <w:lang/>
        </w:rPr>
        <w:t>{Підпункт 39.5.2.23 підпункту 39.5.2 пункту 39.5 статті 39 виключено на підставі Закону </w:t>
      </w:r>
      <w:hyperlink r:id="rId922" w:anchor="n33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704A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3" w:name="n11124"/>
      <w:bookmarkEnd w:id="1733"/>
      <w:r w:rsidRPr="008B264B">
        <w:rPr>
          <w:rFonts w:ascii="Times New Roman" w:eastAsia="Times New Roman" w:hAnsi="Times New Roman" w:cs="Times New Roman"/>
          <w:color w:val="000000"/>
          <w:sz w:val="24"/>
          <w:szCs w:val="24"/>
          <w:lang/>
        </w:rPr>
        <w:t>39.5.3. Джерела інформації, що використовуються для встановлення відповідності умов контрольованої операції принципу "витягнутої руки"</w:t>
      </w:r>
    </w:p>
    <w:p w14:paraId="63D452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4" w:name="n11125"/>
      <w:bookmarkEnd w:id="1734"/>
      <w:r w:rsidRPr="008B264B">
        <w:rPr>
          <w:rFonts w:ascii="Times New Roman" w:eastAsia="Times New Roman" w:hAnsi="Times New Roman" w:cs="Times New Roman"/>
          <w:color w:val="000000"/>
          <w:sz w:val="24"/>
          <w:szCs w:val="24"/>
          <w:lang/>
        </w:rPr>
        <w:t>39.5.3.1. Платник податків та контролюючий орган використовують джерела інформації, які містять відомості, що дають можливість зіставити комерційні та фінансові умови операцій згідно з </w:t>
      </w:r>
      <w:hyperlink r:id="rId923" w:anchor="n10917" w:history="1">
        <w:r w:rsidRPr="008B264B">
          <w:rPr>
            <w:rFonts w:ascii="Times New Roman" w:eastAsia="Times New Roman" w:hAnsi="Times New Roman" w:cs="Times New Roman"/>
            <w:color w:val="0000FF"/>
            <w:sz w:val="24"/>
            <w:szCs w:val="24"/>
            <w:u w:val="single"/>
            <w:lang/>
          </w:rPr>
          <w:t>підпунктом 39.2.2</w:t>
        </w:r>
      </w:hyperlink>
      <w:r w:rsidRPr="008B264B">
        <w:rPr>
          <w:rFonts w:ascii="Times New Roman" w:eastAsia="Times New Roman" w:hAnsi="Times New Roman" w:cs="Times New Roman"/>
          <w:color w:val="000000"/>
          <w:sz w:val="24"/>
          <w:szCs w:val="24"/>
          <w:lang/>
        </w:rPr>
        <w:t> пункту 39.2 цієї статті, зокрема:</w:t>
      </w:r>
    </w:p>
    <w:p w14:paraId="637734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5" w:name="n12520"/>
      <w:bookmarkEnd w:id="1735"/>
      <w:r w:rsidRPr="008B264B">
        <w:rPr>
          <w:rFonts w:ascii="Times New Roman" w:eastAsia="Times New Roman" w:hAnsi="Times New Roman" w:cs="Times New Roman"/>
          <w:i/>
          <w:iCs/>
          <w:color w:val="000000"/>
          <w:sz w:val="24"/>
          <w:szCs w:val="24"/>
          <w:lang/>
        </w:rPr>
        <w:t>{Абзац перший підпункту 39.5.3.1 підпункту 39.5.3 пункту 39.5 статті 39 в редакції Закону </w:t>
      </w:r>
      <w:hyperlink r:id="rId924" w:anchor="n8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6F21B3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6" w:name="n11126"/>
      <w:bookmarkEnd w:id="1736"/>
      <w:r w:rsidRPr="008B264B">
        <w:rPr>
          <w:rFonts w:ascii="Times New Roman" w:eastAsia="Times New Roman" w:hAnsi="Times New Roman" w:cs="Times New Roman"/>
          <w:color w:val="000000"/>
          <w:sz w:val="24"/>
          <w:szCs w:val="24"/>
          <w:lang/>
        </w:rPr>
        <w:lastRenderedPageBreak/>
        <w:t>а) інформацію про зіставні неконтрольовані операції платника податків, а також інформацію про зіставні неконтрольовані операції його контрагента - сторони контрольованої операції з непов’язаними особами;</w:t>
      </w:r>
    </w:p>
    <w:p w14:paraId="7AEA41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7" w:name="n12521"/>
      <w:bookmarkEnd w:id="1737"/>
      <w:r w:rsidRPr="008B264B">
        <w:rPr>
          <w:rFonts w:ascii="Times New Roman" w:eastAsia="Times New Roman" w:hAnsi="Times New Roman" w:cs="Times New Roman"/>
          <w:i/>
          <w:iCs/>
          <w:color w:val="000000"/>
          <w:sz w:val="24"/>
          <w:szCs w:val="24"/>
          <w:lang/>
        </w:rPr>
        <w:t>{Абзац другий підпункту 39.5.3.1 підпункту 39.5.3 пункту 39.5 статті 39 в редакції Закону </w:t>
      </w:r>
      <w:hyperlink r:id="rId925" w:anchor="n82"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07CED3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8" w:name="n11127"/>
      <w:bookmarkEnd w:id="1738"/>
      <w:r w:rsidRPr="008B264B">
        <w:rPr>
          <w:rFonts w:ascii="Times New Roman" w:eastAsia="Times New Roman" w:hAnsi="Times New Roman" w:cs="Times New Roman"/>
          <w:color w:val="000000"/>
          <w:sz w:val="24"/>
          <w:szCs w:val="24"/>
          <w:lang/>
        </w:rPr>
        <w:t>б) будь-які інформаційні джерела, що містять відкриту інформацію та надають інформацію про зіставні операції та осіб;</w:t>
      </w:r>
    </w:p>
    <w:p w14:paraId="249AD3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39" w:name="n13734"/>
      <w:bookmarkEnd w:id="1739"/>
      <w:r w:rsidRPr="008B264B">
        <w:rPr>
          <w:rFonts w:ascii="Times New Roman" w:eastAsia="Times New Roman" w:hAnsi="Times New Roman" w:cs="Times New Roman"/>
          <w:i/>
          <w:iCs/>
          <w:color w:val="000000"/>
          <w:sz w:val="24"/>
          <w:szCs w:val="24"/>
          <w:lang/>
        </w:rPr>
        <w:t>{Підпункт "б" підпункту 39.5.3.1 підпункту 39.5.3 пункту 39.5 статті 39 в редакції Закону </w:t>
      </w:r>
      <w:hyperlink r:id="rId926" w:anchor="n3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C153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0" w:name="n13736"/>
      <w:bookmarkEnd w:id="1740"/>
      <w:r w:rsidRPr="008B264B">
        <w:rPr>
          <w:rFonts w:ascii="Times New Roman" w:eastAsia="Times New Roman" w:hAnsi="Times New Roman" w:cs="Times New Roman"/>
          <w:color w:val="000000"/>
          <w:sz w:val="24"/>
          <w:szCs w:val="24"/>
          <w:lang/>
        </w:rPr>
        <w:t>в) інші джерела інформації, з яких інформація отримана платником податків з дотриманням вимог законодавства та які надають інформацію про зіставні операції та осіб, за умови що платник податків надасть таку інформацію контролюючому органу;</w:t>
      </w:r>
    </w:p>
    <w:p w14:paraId="2DBFD4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1" w:name="n13738"/>
      <w:bookmarkEnd w:id="1741"/>
      <w:r w:rsidRPr="008B264B">
        <w:rPr>
          <w:rFonts w:ascii="Times New Roman" w:eastAsia="Times New Roman" w:hAnsi="Times New Roman" w:cs="Times New Roman"/>
          <w:i/>
          <w:iCs/>
          <w:color w:val="000000"/>
          <w:sz w:val="24"/>
          <w:szCs w:val="24"/>
          <w:lang/>
        </w:rPr>
        <w:t>{Підпункт 39.5.3.1 підпункту 39.5.3 пункту 39.5 статті 39 доповнено підпунктом "г" згідно із Законом </w:t>
      </w:r>
      <w:hyperlink r:id="rId927" w:anchor="n3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44FF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2" w:name="n13737"/>
      <w:bookmarkEnd w:id="1742"/>
      <w:r w:rsidRPr="008B264B">
        <w:rPr>
          <w:rFonts w:ascii="Times New Roman" w:eastAsia="Times New Roman" w:hAnsi="Times New Roman" w:cs="Times New Roman"/>
          <w:color w:val="000000"/>
          <w:sz w:val="24"/>
          <w:szCs w:val="24"/>
          <w:lang/>
        </w:rPr>
        <w:t>г) інформацію, отриману контролюючим органом у рамках укладених Україною міжнародних угод.</w:t>
      </w:r>
    </w:p>
    <w:p w14:paraId="791C5A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3" w:name="n13735"/>
      <w:bookmarkEnd w:id="1743"/>
      <w:r w:rsidRPr="008B264B">
        <w:rPr>
          <w:rFonts w:ascii="Times New Roman" w:eastAsia="Times New Roman" w:hAnsi="Times New Roman" w:cs="Times New Roman"/>
          <w:i/>
          <w:iCs/>
          <w:color w:val="000000"/>
          <w:sz w:val="24"/>
          <w:szCs w:val="24"/>
          <w:lang/>
        </w:rPr>
        <w:t>{Підпункт 39.5.3.1 підпункту 39.5.3 пункту 39.5 статті 39 доповнено підпунктом "г" згідно із Законом </w:t>
      </w:r>
      <w:hyperlink r:id="rId928" w:anchor="n3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BD74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4" w:name="n11128"/>
      <w:bookmarkEnd w:id="1744"/>
      <w:r w:rsidRPr="008B264B">
        <w:rPr>
          <w:rFonts w:ascii="Times New Roman" w:eastAsia="Times New Roman" w:hAnsi="Times New Roman" w:cs="Times New Roman"/>
          <w:color w:val="000000"/>
          <w:sz w:val="24"/>
          <w:szCs w:val="24"/>
          <w:lang/>
        </w:rPr>
        <w:t>39.5.3.2. Якщо платник податків з метою встановлення відповідності умов контрольованої операції принципу "витягнутої руки" за методами, визначеними пунктом 39.3 цієї статті, використав джерела інформації, передбачені підпунктом 39.5.3.1 підпункту 39.5.3 цього пункту, контролюючий орган використовує ті самі джерела інформації, якщо не доведено, що інші джерела інформації дають можливість отримати вищий рівень зіставності комерційних та фінансових умов операцій.</w:t>
      </w:r>
    </w:p>
    <w:p w14:paraId="323B8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5" w:name="n11129"/>
      <w:bookmarkEnd w:id="1745"/>
      <w:r w:rsidRPr="008B264B">
        <w:rPr>
          <w:rFonts w:ascii="Times New Roman" w:eastAsia="Times New Roman" w:hAnsi="Times New Roman" w:cs="Times New Roman"/>
          <w:color w:val="000000"/>
          <w:sz w:val="24"/>
          <w:szCs w:val="24"/>
          <w:lang/>
        </w:rPr>
        <w:t>39.5.3.3. Для зіставлення з метою оподаткування умов контрольованих операцій з умовами неконтрольованих операцій контролюючий орган не має права використовувати інформацію, яка не є загальнодоступною (зокрема інформацію, доступ до якої наявний тільки у органів державної влади).</w:t>
      </w:r>
    </w:p>
    <w:p w14:paraId="2FE926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6" w:name="n14793"/>
      <w:bookmarkEnd w:id="1746"/>
      <w:r w:rsidRPr="008B264B">
        <w:rPr>
          <w:rFonts w:ascii="Times New Roman" w:eastAsia="Times New Roman" w:hAnsi="Times New Roman" w:cs="Times New Roman"/>
          <w:color w:val="000000"/>
          <w:sz w:val="24"/>
          <w:szCs w:val="24"/>
          <w:lang/>
        </w:rPr>
        <w:t>Вимоги цього підпункту не стосуються податкової інформації, отриманої контролюючим органом під час проведення перевірки з питань дотримання платником податків принципу "витягнутої руки" відповідно до </w:t>
      </w:r>
      <w:hyperlink r:id="rId929" w:anchor="n11110" w:history="1">
        <w:r w:rsidRPr="008B264B">
          <w:rPr>
            <w:rFonts w:ascii="Times New Roman" w:eastAsia="Times New Roman" w:hAnsi="Times New Roman" w:cs="Times New Roman"/>
            <w:color w:val="0000FF"/>
            <w:sz w:val="24"/>
            <w:szCs w:val="24"/>
            <w:u w:val="single"/>
            <w:lang/>
          </w:rPr>
          <w:t>підпункту 39.5.2.13</w:t>
        </w:r>
      </w:hyperlink>
      <w:r w:rsidRPr="008B264B">
        <w:rPr>
          <w:rFonts w:ascii="Times New Roman" w:eastAsia="Times New Roman" w:hAnsi="Times New Roman" w:cs="Times New Roman"/>
          <w:color w:val="000000"/>
          <w:sz w:val="24"/>
          <w:szCs w:val="24"/>
          <w:lang/>
        </w:rPr>
        <w:t> підпункту 39.5.2 цього пункту.</w:t>
      </w:r>
    </w:p>
    <w:p w14:paraId="1E721A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7" w:name="n14792"/>
      <w:bookmarkEnd w:id="1747"/>
      <w:r w:rsidRPr="008B264B">
        <w:rPr>
          <w:rFonts w:ascii="Times New Roman" w:eastAsia="Times New Roman" w:hAnsi="Times New Roman" w:cs="Times New Roman"/>
          <w:i/>
          <w:iCs/>
          <w:color w:val="000000"/>
          <w:sz w:val="24"/>
          <w:szCs w:val="24"/>
          <w:lang/>
        </w:rPr>
        <w:t>{Підпункт 39.5.3.3 підпункту 39.5.3 пункту 39.5 статті 39 доповнено абзацом другим згідно із Законом </w:t>
      </w:r>
      <w:hyperlink r:id="rId930" w:anchor="n12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A790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8" w:name="n11130"/>
      <w:bookmarkEnd w:id="1748"/>
      <w:r w:rsidRPr="008B264B">
        <w:rPr>
          <w:rFonts w:ascii="Times New Roman" w:eastAsia="Times New Roman" w:hAnsi="Times New Roman" w:cs="Times New Roman"/>
          <w:color w:val="000000"/>
          <w:sz w:val="24"/>
          <w:szCs w:val="24"/>
          <w:lang/>
        </w:rPr>
        <w:t>39.5.4. Самостійне коригування</w:t>
      </w:r>
    </w:p>
    <w:p w14:paraId="2FAD96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49" w:name="n11131"/>
      <w:bookmarkEnd w:id="1749"/>
      <w:r w:rsidRPr="008B264B">
        <w:rPr>
          <w:rFonts w:ascii="Times New Roman" w:eastAsia="Times New Roman" w:hAnsi="Times New Roman" w:cs="Times New Roman"/>
          <w:color w:val="000000"/>
          <w:sz w:val="24"/>
          <w:szCs w:val="24"/>
          <w:lang/>
        </w:rPr>
        <w:t>39.5.4.1. У разі застосування платником податків під час здійснення контрольованих операцій умов, що не відповідають принципу "витягнутої руки", платник податків має право самостійно провести коригування ціни контрольованої операції і сум податкових зобов’язань за умови, що це не призведе до зменшення суми податку, що підлягає сплаті до бюджету:</w:t>
      </w:r>
    </w:p>
    <w:p w14:paraId="316674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0" w:name="n13740"/>
      <w:bookmarkEnd w:id="1750"/>
      <w:r w:rsidRPr="008B264B">
        <w:rPr>
          <w:rFonts w:ascii="Times New Roman" w:eastAsia="Times New Roman" w:hAnsi="Times New Roman" w:cs="Times New Roman"/>
          <w:color w:val="000000"/>
          <w:sz w:val="24"/>
          <w:szCs w:val="24"/>
          <w:lang/>
        </w:rPr>
        <w:t>розрахувавши свої податкові зобов’язання відповідно до:</w:t>
      </w:r>
    </w:p>
    <w:p w14:paraId="4292B8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1" w:name="n13744"/>
      <w:bookmarkEnd w:id="1751"/>
      <w:r w:rsidRPr="008B264B">
        <w:rPr>
          <w:rFonts w:ascii="Times New Roman" w:eastAsia="Times New Roman" w:hAnsi="Times New Roman" w:cs="Times New Roman"/>
          <w:i/>
          <w:iCs/>
          <w:color w:val="000000"/>
          <w:sz w:val="24"/>
          <w:szCs w:val="24"/>
          <w:lang/>
        </w:rPr>
        <w:t>{Підпункт 39.5.4.1 підпункту 39.5.4 пункту 39.5 статті 39 доповнено абзацом другим згідно із Законом </w:t>
      </w:r>
      <w:hyperlink r:id="rId931" w:anchor="n3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AC32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2" w:name="n13741"/>
      <w:bookmarkEnd w:id="1752"/>
      <w:r w:rsidRPr="008B264B">
        <w:rPr>
          <w:rFonts w:ascii="Times New Roman" w:eastAsia="Times New Roman" w:hAnsi="Times New Roman" w:cs="Times New Roman"/>
          <w:color w:val="000000"/>
          <w:sz w:val="24"/>
          <w:szCs w:val="24"/>
          <w:lang/>
        </w:rPr>
        <w:t>максимального значення діапазону цін (рентабельності), якщо ціна/показник рентабельності контрольованої операції була вище максимального значення діапазону цін (рентабельності); та/або</w:t>
      </w:r>
    </w:p>
    <w:p w14:paraId="161665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3" w:name="n13743"/>
      <w:bookmarkEnd w:id="1753"/>
      <w:r w:rsidRPr="008B264B">
        <w:rPr>
          <w:rFonts w:ascii="Times New Roman" w:eastAsia="Times New Roman" w:hAnsi="Times New Roman" w:cs="Times New Roman"/>
          <w:i/>
          <w:iCs/>
          <w:color w:val="000000"/>
          <w:sz w:val="24"/>
          <w:szCs w:val="24"/>
          <w:lang/>
        </w:rPr>
        <w:lastRenderedPageBreak/>
        <w:t>{Підпункт 39.5.4.1 підпункту 39.5.4 пункту 39.5 статті 39 доповнено абзацом третім згідно із Законом </w:t>
      </w:r>
      <w:hyperlink r:id="rId932" w:anchor="n3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43414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4" w:name="n13742"/>
      <w:bookmarkEnd w:id="1754"/>
      <w:r w:rsidRPr="008B264B">
        <w:rPr>
          <w:rFonts w:ascii="Times New Roman" w:eastAsia="Times New Roman" w:hAnsi="Times New Roman" w:cs="Times New Roman"/>
          <w:color w:val="000000"/>
          <w:sz w:val="24"/>
          <w:szCs w:val="24"/>
          <w:lang/>
        </w:rPr>
        <w:t>мінімального значення діапазону цін (рентабельності), якщо ціна/показник рентабельності контрольованої операції була нижче мінімального значення діапазону цін (рентабельності).</w:t>
      </w:r>
    </w:p>
    <w:p w14:paraId="0D1502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5" w:name="n13739"/>
      <w:bookmarkEnd w:id="1755"/>
      <w:r w:rsidRPr="008B264B">
        <w:rPr>
          <w:rFonts w:ascii="Times New Roman" w:eastAsia="Times New Roman" w:hAnsi="Times New Roman" w:cs="Times New Roman"/>
          <w:i/>
          <w:iCs/>
          <w:color w:val="000000"/>
          <w:sz w:val="24"/>
          <w:szCs w:val="24"/>
          <w:lang/>
        </w:rPr>
        <w:t>{Підпункт 39.5.4.1 підпункту 39.5.4 пункту 39.5 статті 39 доповнено абзацом четвертим згідно із Законом </w:t>
      </w:r>
      <w:hyperlink r:id="rId933" w:anchor="n3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0425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6" w:name="n11132"/>
      <w:bookmarkEnd w:id="1756"/>
      <w:r w:rsidRPr="008B264B">
        <w:rPr>
          <w:rFonts w:ascii="Times New Roman" w:eastAsia="Times New Roman" w:hAnsi="Times New Roman" w:cs="Times New Roman"/>
          <w:color w:val="000000"/>
          <w:sz w:val="24"/>
          <w:szCs w:val="24"/>
          <w:lang/>
        </w:rPr>
        <w:t>39.5.4.2. Самостійне коригування є коригуванням платником податків ціни контрольованої операції, за результатами якого розрахована ціна відповідає принципу "витягнутої руки", навіть якщо така ціна відрізняється від фактичної ціни, встановленої під час здійснення контрольованої операції.</w:t>
      </w:r>
    </w:p>
    <w:p w14:paraId="0C2CA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7" w:name="n14795"/>
      <w:bookmarkEnd w:id="1757"/>
      <w:r w:rsidRPr="008B264B">
        <w:rPr>
          <w:rFonts w:ascii="Times New Roman" w:eastAsia="Times New Roman" w:hAnsi="Times New Roman" w:cs="Times New Roman"/>
          <w:color w:val="000000"/>
          <w:sz w:val="24"/>
          <w:szCs w:val="24"/>
          <w:lang/>
        </w:rPr>
        <w:t>Сума податкового зобов’язання, розрахованого за результатами самостійного коригування, підлягає сплаті у строки, визначені </w:t>
      </w:r>
      <w:hyperlink r:id="rId934" w:anchor="n1370" w:history="1">
        <w:r w:rsidRPr="008B264B">
          <w:rPr>
            <w:rFonts w:ascii="Times New Roman" w:eastAsia="Times New Roman" w:hAnsi="Times New Roman" w:cs="Times New Roman"/>
            <w:color w:val="0000FF"/>
            <w:sz w:val="24"/>
            <w:szCs w:val="24"/>
            <w:u w:val="single"/>
            <w:lang/>
          </w:rPr>
          <w:t>статтею 57</w:t>
        </w:r>
      </w:hyperlink>
      <w:r w:rsidRPr="008B264B">
        <w:rPr>
          <w:rFonts w:ascii="Times New Roman" w:eastAsia="Times New Roman" w:hAnsi="Times New Roman" w:cs="Times New Roman"/>
          <w:color w:val="000000"/>
          <w:sz w:val="24"/>
          <w:szCs w:val="24"/>
          <w:lang/>
        </w:rPr>
        <w:t> цього Кодексу.</w:t>
      </w:r>
    </w:p>
    <w:p w14:paraId="28D268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8" w:name="n14794"/>
      <w:bookmarkEnd w:id="1758"/>
      <w:r w:rsidRPr="008B264B">
        <w:rPr>
          <w:rFonts w:ascii="Times New Roman" w:eastAsia="Times New Roman" w:hAnsi="Times New Roman" w:cs="Times New Roman"/>
          <w:i/>
          <w:iCs/>
          <w:color w:val="000000"/>
          <w:sz w:val="24"/>
          <w:szCs w:val="24"/>
          <w:lang/>
        </w:rPr>
        <w:t>{Підпункт 39.5.4.2 підпункту 39.5.4 пункту 39.5 статті 39 доповнено абзацом другим згідно із Законом </w:t>
      </w:r>
      <w:hyperlink r:id="rId935" w:anchor="n13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B031C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59" w:name="n13746"/>
      <w:bookmarkEnd w:id="1759"/>
      <w:r w:rsidRPr="008B264B">
        <w:rPr>
          <w:rFonts w:ascii="Times New Roman" w:eastAsia="Times New Roman" w:hAnsi="Times New Roman" w:cs="Times New Roman"/>
          <w:color w:val="000000"/>
          <w:sz w:val="24"/>
          <w:szCs w:val="24"/>
          <w:lang/>
        </w:rPr>
        <w:t>39.5.4.3. Платник податку не має права проводити самостійне коригування ціни контрольованих операцій та/або сум податкових зобов’язань під час проведення перевірки платника податків з питань дотримання принципу "витягнутої руки" таких контрольованих операцій.</w:t>
      </w:r>
    </w:p>
    <w:p w14:paraId="3176D9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0" w:name="n13745"/>
      <w:bookmarkEnd w:id="1760"/>
      <w:r w:rsidRPr="008B264B">
        <w:rPr>
          <w:rFonts w:ascii="Times New Roman" w:eastAsia="Times New Roman" w:hAnsi="Times New Roman" w:cs="Times New Roman"/>
          <w:i/>
          <w:iCs/>
          <w:color w:val="000000"/>
          <w:sz w:val="24"/>
          <w:szCs w:val="24"/>
          <w:lang/>
        </w:rPr>
        <w:t>{Підпункт 39.5.4 пункту 39.5 статті 39 доповнено підпунктом 39.5.4.3 згідно із Законом </w:t>
      </w:r>
      <w:hyperlink r:id="rId936" w:anchor="n3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37" w:anchor="n13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78871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1" w:name="n11133"/>
      <w:bookmarkEnd w:id="1761"/>
      <w:r w:rsidRPr="008B264B">
        <w:rPr>
          <w:rFonts w:ascii="Times New Roman" w:eastAsia="Times New Roman" w:hAnsi="Times New Roman" w:cs="Times New Roman"/>
          <w:color w:val="000000"/>
          <w:sz w:val="24"/>
          <w:szCs w:val="24"/>
          <w:lang/>
        </w:rPr>
        <w:t>39.5.5. Пропорційне коригування</w:t>
      </w:r>
    </w:p>
    <w:p w14:paraId="08846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2" w:name="n11134"/>
      <w:bookmarkEnd w:id="1762"/>
      <w:r w:rsidRPr="008B264B">
        <w:rPr>
          <w:rFonts w:ascii="Times New Roman" w:eastAsia="Times New Roman" w:hAnsi="Times New Roman" w:cs="Times New Roman"/>
          <w:color w:val="000000"/>
          <w:sz w:val="24"/>
          <w:szCs w:val="24"/>
          <w:lang/>
        </w:rPr>
        <w:t>39.5.5.1. Для цілей цієї статті під пропорційним коригуванням розуміється право однієї сторони контрольованої операції на проведення коригування своїх податкових зобов’язань за результатами коригування податкових зобов’язань іншої сторони контрольованої операції виходячи з умов, що відповідають принципу "витягнутої руки".</w:t>
      </w:r>
    </w:p>
    <w:p w14:paraId="59CA86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3" w:name="n13747"/>
      <w:bookmarkEnd w:id="1763"/>
      <w:r w:rsidRPr="008B264B">
        <w:rPr>
          <w:rFonts w:ascii="Times New Roman" w:eastAsia="Times New Roman" w:hAnsi="Times New Roman" w:cs="Times New Roman"/>
          <w:i/>
          <w:iCs/>
          <w:color w:val="000000"/>
          <w:sz w:val="24"/>
          <w:szCs w:val="24"/>
          <w:lang/>
        </w:rPr>
        <w:t>{Підпункт 39.5.5.1 підпункту 39.5.5 пункту 39.5 статті 39 в редакції Закону </w:t>
      </w:r>
      <w:hyperlink r:id="rId938" w:anchor="n3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9D70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4" w:name="n11135"/>
      <w:bookmarkEnd w:id="1764"/>
      <w:r w:rsidRPr="008B264B">
        <w:rPr>
          <w:rFonts w:ascii="Times New Roman" w:eastAsia="Times New Roman" w:hAnsi="Times New Roman" w:cs="Times New Roman"/>
          <w:i/>
          <w:iCs/>
          <w:color w:val="000000"/>
          <w:sz w:val="24"/>
          <w:szCs w:val="24"/>
          <w:lang/>
        </w:rPr>
        <w:t>{Підпункт 39.5.5.2 підпункту 39.5.5 пункту 39.5 статті 39 виключено на підставі Закону </w:t>
      </w:r>
      <w:hyperlink r:id="rId939"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7E01D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5" w:name="n11136"/>
      <w:bookmarkEnd w:id="1765"/>
      <w:r w:rsidRPr="008B264B">
        <w:rPr>
          <w:rFonts w:ascii="Times New Roman" w:eastAsia="Times New Roman" w:hAnsi="Times New Roman" w:cs="Times New Roman"/>
          <w:i/>
          <w:iCs/>
          <w:color w:val="000000"/>
          <w:sz w:val="24"/>
          <w:szCs w:val="24"/>
          <w:lang/>
        </w:rPr>
        <w:t>{Підпункт 39.5.5.3 підпункту 39.5.5 пункту 39.5 статті 39 виключено на підставі Закону </w:t>
      </w:r>
      <w:hyperlink r:id="rId940"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DD75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6" w:name="n11137"/>
      <w:bookmarkEnd w:id="1766"/>
      <w:r w:rsidRPr="008B264B">
        <w:rPr>
          <w:rFonts w:ascii="Times New Roman" w:eastAsia="Times New Roman" w:hAnsi="Times New Roman" w:cs="Times New Roman"/>
          <w:i/>
          <w:iCs/>
          <w:color w:val="000000"/>
          <w:sz w:val="24"/>
          <w:szCs w:val="24"/>
          <w:lang/>
        </w:rPr>
        <w:t>{Підпункт 39.5.5.4 підпункту 39.5.5 пункту 39.5 статті 39 виключено на підставі Закону </w:t>
      </w:r>
      <w:hyperlink r:id="rId941"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9FE96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7" w:name="n11142"/>
      <w:bookmarkEnd w:id="1767"/>
      <w:r w:rsidRPr="008B264B">
        <w:rPr>
          <w:rFonts w:ascii="Times New Roman" w:eastAsia="Times New Roman" w:hAnsi="Times New Roman" w:cs="Times New Roman"/>
          <w:i/>
          <w:iCs/>
          <w:color w:val="000000"/>
          <w:sz w:val="24"/>
          <w:szCs w:val="24"/>
          <w:lang/>
        </w:rPr>
        <w:t>{Підпункт 39.5.5.5 підпункту 39.5.5 пункту 39.5 статті 39 виключено на підставі Закону </w:t>
      </w:r>
      <w:hyperlink r:id="rId942"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DF39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8" w:name="n11148"/>
      <w:bookmarkEnd w:id="1768"/>
      <w:r w:rsidRPr="008B264B">
        <w:rPr>
          <w:rFonts w:ascii="Times New Roman" w:eastAsia="Times New Roman" w:hAnsi="Times New Roman" w:cs="Times New Roman"/>
          <w:i/>
          <w:iCs/>
          <w:color w:val="000000"/>
          <w:sz w:val="24"/>
          <w:szCs w:val="24"/>
          <w:lang/>
        </w:rPr>
        <w:t>{Підпункт 39.5.5.6 підпункту 39.5.5 пункту 39.5 статті 39 виключено на підставі Закону </w:t>
      </w:r>
      <w:hyperlink r:id="rId943"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CAE07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69" w:name="n11149"/>
      <w:bookmarkEnd w:id="1769"/>
      <w:r w:rsidRPr="008B264B">
        <w:rPr>
          <w:rFonts w:ascii="Times New Roman" w:eastAsia="Times New Roman" w:hAnsi="Times New Roman" w:cs="Times New Roman"/>
          <w:i/>
          <w:iCs/>
          <w:color w:val="000000"/>
          <w:sz w:val="24"/>
          <w:szCs w:val="24"/>
          <w:lang/>
        </w:rPr>
        <w:t>{Підпункт 39.5.5.7 підпункту 39.5.5 пункту 39.5 статті 39 виключено на підставі Закону </w:t>
      </w:r>
      <w:hyperlink r:id="rId944"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6BE3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0" w:name="n11150"/>
      <w:bookmarkEnd w:id="1770"/>
      <w:r w:rsidRPr="008B264B">
        <w:rPr>
          <w:rFonts w:ascii="Times New Roman" w:eastAsia="Times New Roman" w:hAnsi="Times New Roman" w:cs="Times New Roman"/>
          <w:i/>
          <w:iCs/>
          <w:color w:val="000000"/>
          <w:sz w:val="24"/>
          <w:szCs w:val="24"/>
          <w:lang/>
        </w:rPr>
        <w:t>{Підпункт 39.5.5.8 підпункту 39.5.5 пункту 39.5 статті 39 виключено на підставі Закону </w:t>
      </w:r>
      <w:hyperlink r:id="rId945"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112E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1" w:name="n11151"/>
      <w:bookmarkEnd w:id="1771"/>
      <w:r w:rsidRPr="008B264B">
        <w:rPr>
          <w:rFonts w:ascii="Times New Roman" w:eastAsia="Times New Roman" w:hAnsi="Times New Roman" w:cs="Times New Roman"/>
          <w:i/>
          <w:iCs/>
          <w:color w:val="000000"/>
          <w:sz w:val="24"/>
          <w:szCs w:val="24"/>
          <w:lang/>
        </w:rPr>
        <w:t>{Підпункт 39.5.5.9 підпункту 39.5.5 пункту 39.5 статті 39 виключено на підставі Закону </w:t>
      </w:r>
      <w:hyperlink r:id="rId946"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35FF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2" w:name="n11152"/>
      <w:bookmarkEnd w:id="1772"/>
      <w:r w:rsidRPr="008B264B">
        <w:rPr>
          <w:rFonts w:ascii="Times New Roman" w:eastAsia="Times New Roman" w:hAnsi="Times New Roman" w:cs="Times New Roman"/>
          <w:i/>
          <w:iCs/>
          <w:color w:val="000000"/>
          <w:sz w:val="24"/>
          <w:szCs w:val="24"/>
          <w:lang/>
        </w:rPr>
        <w:lastRenderedPageBreak/>
        <w:t>{Підпункт 39.5.5.2 підпункту 39.5.5 пункту 39.5 статті 39 виключено на підставі Закону </w:t>
      </w:r>
      <w:hyperlink r:id="rId947" w:anchor="n3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9D49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3" w:name="n11153"/>
      <w:bookmarkEnd w:id="1773"/>
      <w:r w:rsidRPr="008B264B">
        <w:rPr>
          <w:rFonts w:ascii="Times New Roman" w:eastAsia="Times New Roman" w:hAnsi="Times New Roman" w:cs="Times New Roman"/>
          <w:color w:val="000000"/>
          <w:sz w:val="24"/>
          <w:szCs w:val="24"/>
          <w:lang/>
        </w:rPr>
        <w:t>39.5.5.11. Пропорційне коригування проводиться в порядку і на умовах, що передбачаються міжнародними договорами України про усунення подвійного оподаткування.</w:t>
      </w:r>
    </w:p>
    <w:p w14:paraId="1E0BA8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4" w:name="n13748"/>
      <w:bookmarkEnd w:id="1774"/>
      <w:r w:rsidRPr="008B264B">
        <w:rPr>
          <w:rFonts w:ascii="Times New Roman" w:eastAsia="Times New Roman" w:hAnsi="Times New Roman" w:cs="Times New Roman"/>
          <w:i/>
          <w:iCs/>
          <w:color w:val="000000"/>
          <w:sz w:val="24"/>
          <w:szCs w:val="24"/>
          <w:lang/>
        </w:rPr>
        <w:t>{Підпункт 39.5.5.11 підпункту 39.5.5 пункту 39.5 статті 39 в редакції Закону </w:t>
      </w:r>
      <w:hyperlink r:id="rId948" w:anchor="n3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518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5" w:name="n11154"/>
      <w:bookmarkEnd w:id="1775"/>
      <w:r w:rsidRPr="008B264B">
        <w:rPr>
          <w:rFonts w:ascii="Times New Roman" w:eastAsia="Times New Roman" w:hAnsi="Times New Roman" w:cs="Times New Roman"/>
          <w:color w:val="000000"/>
          <w:sz w:val="24"/>
          <w:szCs w:val="24"/>
          <w:lang/>
        </w:rPr>
        <w:t>39.6. Попереднє узгодження ціноутворення у контрольованих операціях</w:t>
      </w:r>
    </w:p>
    <w:p w14:paraId="13EC4F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6" w:name="n13749"/>
      <w:bookmarkEnd w:id="1776"/>
      <w:r w:rsidRPr="008B264B">
        <w:rPr>
          <w:rFonts w:ascii="Times New Roman" w:eastAsia="Times New Roman" w:hAnsi="Times New Roman" w:cs="Times New Roman"/>
          <w:i/>
          <w:iCs/>
          <w:color w:val="000000"/>
          <w:sz w:val="24"/>
          <w:szCs w:val="24"/>
          <w:lang/>
        </w:rPr>
        <w:t>{Абзац перший пункту 39.6 статті 39 в редакції Закону </w:t>
      </w:r>
      <w:hyperlink r:id="rId949" w:anchor="n3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A69D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7" w:name="n11155"/>
      <w:bookmarkEnd w:id="1777"/>
      <w:r w:rsidRPr="008B264B">
        <w:rPr>
          <w:rFonts w:ascii="Times New Roman" w:eastAsia="Times New Roman" w:hAnsi="Times New Roman" w:cs="Times New Roman"/>
          <w:color w:val="000000"/>
          <w:sz w:val="24"/>
          <w:szCs w:val="24"/>
          <w:lang/>
        </w:rPr>
        <w:t>39.6.1. Великий платник податків має право звернутися до центрального органу виконавчої влади, що реалізує державну податкову та митну політику, із заявою про попереднє узгодження ціноутворення у контрольованих операціях.</w:t>
      </w:r>
    </w:p>
    <w:p w14:paraId="71F094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8" w:name="n13750"/>
      <w:bookmarkEnd w:id="1778"/>
      <w:r w:rsidRPr="008B264B">
        <w:rPr>
          <w:rFonts w:ascii="Times New Roman" w:eastAsia="Times New Roman" w:hAnsi="Times New Roman" w:cs="Times New Roman"/>
          <w:i/>
          <w:iCs/>
          <w:color w:val="000000"/>
          <w:sz w:val="24"/>
          <w:szCs w:val="24"/>
          <w:lang/>
        </w:rPr>
        <w:t>{Абзац перший підпункту 39.6.1 пункту 39.6 статті 39 із змінами, внесеними згідно із Законом </w:t>
      </w:r>
      <w:hyperlink r:id="rId950" w:anchor="n3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51" w:anchor="n13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573C7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79" w:name="n11156"/>
      <w:bookmarkEnd w:id="1779"/>
      <w:r w:rsidRPr="008B264B">
        <w:rPr>
          <w:rFonts w:ascii="Times New Roman" w:eastAsia="Times New Roman" w:hAnsi="Times New Roman" w:cs="Times New Roman"/>
          <w:color w:val="000000"/>
          <w:sz w:val="24"/>
          <w:szCs w:val="24"/>
          <w:lang/>
        </w:rPr>
        <w:t>Попереднє узгодження ціноутворення у контрольованих операціях є процедурою між великим платником податків та центральним органом виконавчої влади, що реалізує державну податкову та митну політику, під час якої узгоджуються критерії для визначення відповідності умов контрольованих операцій, що здійснюються або будуть здійснені великим платником податків, принципу "витягнутої руки" на підставі договору на обмежений строк.</w:t>
      </w:r>
    </w:p>
    <w:p w14:paraId="35C0C1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0" w:name="n13751"/>
      <w:bookmarkEnd w:id="1780"/>
      <w:r w:rsidRPr="008B264B">
        <w:rPr>
          <w:rFonts w:ascii="Times New Roman" w:eastAsia="Times New Roman" w:hAnsi="Times New Roman" w:cs="Times New Roman"/>
          <w:i/>
          <w:iCs/>
          <w:color w:val="000000"/>
          <w:sz w:val="24"/>
          <w:szCs w:val="24"/>
          <w:lang/>
        </w:rPr>
        <w:t>{Абзац другий підпункту 39.6.1 пункту 39.6 статті 39 із змінами, внесеними згідно із Законом </w:t>
      </w:r>
      <w:hyperlink r:id="rId952" w:anchor="n3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53" w:anchor="n13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EDC2E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1" w:name="n11157"/>
      <w:bookmarkEnd w:id="1781"/>
      <w:r w:rsidRPr="008B264B">
        <w:rPr>
          <w:rFonts w:ascii="Times New Roman" w:eastAsia="Times New Roman" w:hAnsi="Times New Roman" w:cs="Times New Roman"/>
          <w:color w:val="000000"/>
          <w:sz w:val="24"/>
          <w:szCs w:val="24"/>
          <w:lang/>
        </w:rPr>
        <w:t>39.6.1.1. Предметом попереднього узгодження ціноутворення можуть бути, зокрема, але не виключно:</w:t>
      </w:r>
    </w:p>
    <w:p w14:paraId="1FEE3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2" w:name="n13752"/>
      <w:bookmarkEnd w:id="1782"/>
      <w:r w:rsidRPr="008B264B">
        <w:rPr>
          <w:rFonts w:ascii="Times New Roman" w:eastAsia="Times New Roman" w:hAnsi="Times New Roman" w:cs="Times New Roman"/>
          <w:i/>
          <w:iCs/>
          <w:color w:val="000000"/>
          <w:sz w:val="24"/>
          <w:szCs w:val="24"/>
          <w:lang/>
        </w:rPr>
        <w:t>{Абзац перший підпункту 39.6.1.1 підпункту 39.6.1 пункту 39.6 статті 39 із змінами, внесеними згідно із Законом </w:t>
      </w:r>
      <w:hyperlink r:id="rId954" w:anchor="n3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EFF0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3" w:name="n11158"/>
      <w:bookmarkEnd w:id="1783"/>
      <w:r w:rsidRPr="008B264B">
        <w:rPr>
          <w:rFonts w:ascii="Times New Roman" w:eastAsia="Times New Roman" w:hAnsi="Times New Roman" w:cs="Times New Roman"/>
          <w:color w:val="000000"/>
          <w:sz w:val="24"/>
          <w:szCs w:val="24"/>
          <w:lang/>
        </w:rPr>
        <w:t>види та/або перелік товарів (робіт, послуг), що є предметом контрольованих операцій;</w:t>
      </w:r>
    </w:p>
    <w:p w14:paraId="3CFB43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4" w:name="n11159"/>
      <w:bookmarkEnd w:id="1784"/>
      <w:r w:rsidRPr="008B264B">
        <w:rPr>
          <w:rFonts w:ascii="Times New Roman" w:eastAsia="Times New Roman" w:hAnsi="Times New Roman" w:cs="Times New Roman"/>
          <w:color w:val="000000"/>
          <w:sz w:val="24"/>
          <w:szCs w:val="24"/>
          <w:lang/>
        </w:rPr>
        <w:t>методи або комбінація методів встановлення відповідності умов контрольованої операції принципу "витягнутої руки";</w:t>
      </w:r>
    </w:p>
    <w:p w14:paraId="0E5048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5" w:name="n11160"/>
      <w:bookmarkEnd w:id="1785"/>
      <w:r w:rsidRPr="008B264B">
        <w:rPr>
          <w:rFonts w:ascii="Times New Roman" w:eastAsia="Times New Roman" w:hAnsi="Times New Roman" w:cs="Times New Roman"/>
          <w:color w:val="000000"/>
          <w:sz w:val="24"/>
          <w:szCs w:val="24"/>
          <w:lang/>
        </w:rPr>
        <w:t>перелік джерел інформації, які передбачається використати для встановлення відповідності умов контрольованих операцій принципу "витягнутої руки";</w:t>
      </w:r>
    </w:p>
    <w:p w14:paraId="39092D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6" w:name="n11161"/>
      <w:bookmarkEnd w:id="1786"/>
      <w:r w:rsidRPr="008B264B">
        <w:rPr>
          <w:rFonts w:ascii="Times New Roman" w:eastAsia="Times New Roman" w:hAnsi="Times New Roman" w:cs="Times New Roman"/>
          <w:color w:val="000000"/>
          <w:sz w:val="24"/>
          <w:szCs w:val="24"/>
          <w:lang/>
        </w:rPr>
        <w:t>строк, на який узгоджуються ціни у контрольованих операціях;</w:t>
      </w:r>
    </w:p>
    <w:p w14:paraId="302BAB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7" w:name="n11162"/>
      <w:bookmarkEnd w:id="1787"/>
      <w:r w:rsidRPr="008B264B">
        <w:rPr>
          <w:rFonts w:ascii="Times New Roman" w:eastAsia="Times New Roman" w:hAnsi="Times New Roman" w:cs="Times New Roman"/>
          <w:color w:val="000000"/>
          <w:sz w:val="24"/>
          <w:szCs w:val="24"/>
          <w:lang/>
        </w:rPr>
        <w:t>допустиме відхилення від встановленого рівня економічних умов здійснення контрольованих операцій;</w:t>
      </w:r>
    </w:p>
    <w:p w14:paraId="1671A8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8" w:name="n11163"/>
      <w:bookmarkEnd w:id="1788"/>
      <w:r w:rsidRPr="008B264B">
        <w:rPr>
          <w:rFonts w:ascii="Times New Roman" w:eastAsia="Times New Roman" w:hAnsi="Times New Roman" w:cs="Times New Roman"/>
          <w:color w:val="000000"/>
          <w:sz w:val="24"/>
          <w:szCs w:val="24"/>
          <w:lang/>
        </w:rPr>
        <w:t>порядок, строки подання та перелік документів, які підтверджують дотримання узгоджених цін у контрольованих операціях.</w:t>
      </w:r>
    </w:p>
    <w:p w14:paraId="215E15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89" w:name="n11164"/>
      <w:bookmarkEnd w:id="1789"/>
      <w:r w:rsidRPr="008B264B">
        <w:rPr>
          <w:rFonts w:ascii="Times New Roman" w:eastAsia="Times New Roman" w:hAnsi="Times New Roman" w:cs="Times New Roman"/>
          <w:color w:val="000000"/>
          <w:sz w:val="24"/>
          <w:szCs w:val="24"/>
          <w:lang/>
        </w:rPr>
        <w:t>39.6.1.2. Інші умови попереднього узгодження ціноутворення у контрольованих операціях визначаються за згодою сторін.</w:t>
      </w:r>
    </w:p>
    <w:p w14:paraId="31765A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0" w:name="n13753"/>
      <w:bookmarkEnd w:id="1790"/>
      <w:r w:rsidRPr="008B264B">
        <w:rPr>
          <w:rFonts w:ascii="Times New Roman" w:eastAsia="Times New Roman" w:hAnsi="Times New Roman" w:cs="Times New Roman"/>
          <w:i/>
          <w:iCs/>
          <w:color w:val="000000"/>
          <w:sz w:val="24"/>
          <w:szCs w:val="24"/>
          <w:lang/>
        </w:rPr>
        <w:t>{Підпункт 39.6.1.2 підпункту 39.6.1 пункту 39.6 статті 39 із змінами, внесеними згідно із Законом </w:t>
      </w:r>
      <w:hyperlink r:id="rId955" w:anchor="n3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56" w:anchor="n13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4798C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1" w:name="n11165"/>
      <w:bookmarkEnd w:id="1791"/>
      <w:r w:rsidRPr="008B264B">
        <w:rPr>
          <w:rFonts w:ascii="Times New Roman" w:eastAsia="Times New Roman" w:hAnsi="Times New Roman" w:cs="Times New Roman"/>
          <w:color w:val="000000"/>
          <w:sz w:val="24"/>
          <w:szCs w:val="24"/>
          <w:lang/>
        </w:rPr>
        <w:t>39.6.2. За результатами попереднього узгодження ціноутворення у контрольованих операціях укладається договір, який підписується керівником великого платника податків або його уповноваженою особою та керівником (заступником керівника) центрального органу виконавчої влади, що реалізує державну податкову та митну політику.</w:t>
      </w:r>
    </w:p>
    <w:p w14:paraId="65FCD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2" w:name="n14796"/>
      <w:bookmarkEnd w:id="1792"/>
      <w:r w:rsidRPr="008B264B">
        <w:rPr>
          <w:rFonts w:ascii="Times New Roman" w:eastAsia="Times New Roman" w:hAnsi="Times New Roman" w:cs="Times New Roman"/>
          <w:i/>
          <w:iCs/>
          <w:color w:val="000000"/>
          <w:sz w:val="24"/>
          <w:szCs w:val="24"/>
          <w:lang/>
        </w:rPr>
        <w:lastRenderedPageBreak/>
        <w:t>{Абзац перший підпункту 39.6.2 пункту 39.6 статті 39 в редакції Закону </w:t>
      </w:r>
      <w:hyperlink r:id="rId957" w:anchor="n14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FD511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3" w:name="n11166"/>
      <w:bookmarkEnd w:id="1793"/>
      <w:r w:rsidRPr="008B264B">
        <w:rPr>
          <w:rFonts w:ascii="Times New Roman" w:eastAsia="Times New Roman" w:hAnsi="Times New Roman" w:cs="Times New Roman"/>
          <w:color w:val="000000"/>
          <w:sz w:val="24"/>
          <w:szCs w:val="24"/>
          <w:lang/>
        </w:rPr>
        <w:t>39.6.2.1. Договір, укладений за результатами попереднього узгодження ціноутворення у контрольованих операціях між великим платником податків та центральним органом виконавчої влади, що реалізує державну податкову та митну політику, має односторонній характер.</w:t>
      </w:r>
    </w:p>
    <w:p w14:paraId="1C07B5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4" w:name="n13754"/>
      <w:bookmarkEnd w:id="1794"/>
      <w:r w:rsidRPr="008B264B">
        <w:rPr>
          <w:rFonts w:ascii="Times New Roman" w:eastAsia="Times New Roman" w:hAnsi="Times New Roman" w:cs="Times New Roman"/>
          <w:i/>
          <w:iCs/>
          <w:color w:val="000000"/>
          <w:sz w:val="24"/>
          <w:szCs w:val="24"/>
          <w:lang/>
        </w:rPr>
        <w:t>{Підпункт 39.6.2.1 підпункту 39.6.2 пункту 39.6 статті 39 із змінами, внесеними згідно із Законом </w:t>
      </w:r>
      <w:hyperlink r:id="rId958" w:anchor="n3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59" w:anchor="n14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EBCD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5" w:name="n11167"/>
      <w:bookmarkEnd w:id="1795"/>
      <w:r w:rsidRPr="008B264B">
        <w:rPr>
          <w:rFonts w:ascii="Times New Roman" w:eastAsia="Times New Roman" w:hAnsi="Times New Roman" w:cs="Times New Roman"/>
          <w:color w:val="000000"/>
          <w:sz w:val="24"/>
          <w:szCs w:val="24"/>
          <w:lang/>
        </w:rPr>
        <w:t>39.6.2.2. У разі залучення до процедури попереднього узгодження ціноутворення у контрольованих операціях іноземного державного органу, уповноваженого адмініструвати податки і збори в державі, резидентом якої є сторона контрольованої операції (за умови наявності міжнародного договору (конвенції) про уникнення подвійного оподаткування між Україною і такою державою), договір, укладений за результатами такого узгодження між великим платником податків та центральним органом виконавчої влади, що реалізує державну податкову та митну політику, має двосторонній характер.</w:t>
      </w:r>
    </w:p>
    <w:p w14:paraId="5E23CC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6" w:name="n14797"/>
      <w:bookmarkEnd w:id="1796"/>
      <w:r w:rsidRPr="008B264B">
        <w:rPr>
          <w:rFonts w:ascii="Times New Roman" w:eastAsia="Times New Roman" w:hAnsi="Times New Roman" w:cs="Times New Roman"/>
          <w:color w:val="000000"/>
          <w:sz w:val="24"/>
          <w:szCs w:val="24"/>
          <w:lang/>
        </w:rPr>
        <w:t>У разі залучення до процедури попереднього узгодження ціноутворення двох і більше державних органів, уповноважених адмініструвати податки і збори в державі, резидентом якої є сторона (сторони) контрольованої операції (за умови наявності міжнародних договорів (конвенцій) про уникнення подвійного оподаткування між Україною і такими державами), договір, укладений за результатами такого узгодження між великим платником податків та центральним органом виконавчої влади, що реалізує державну податкову та митну політику, має багатосторонній характер.</w:t>
      </w:r>
    </w:p>
    <w:p w14:paraId="1E583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7" w:name="n13755"/>
      <w:bookmarkEnd w:id="1797"/>
      <w:r w:rsidRPr="008B264B">
        <w:rPr>
          <w:rFonts w:ascii="Times New Roman" w:eastAsia="Times New Roman" w:hAnsi="Times New Roman" w:cs="Times New Roman"/>
          <w:i/>
          <w:iCs/>
          <w:color w:val="000000"/>
          <w:sz w:val="24"/>
          <w:szCs w:val="24"/>
          <w:lang/>
        </w:rPr>
        <w:t>{Підпункт 39.6.2.2 підпункту 39.6.2 пункту 39.6 статті 39 із змінами, внесеними згідно із Законом </w:t>
      </w:r>
      <w:hyperlink r:id="rId960" w:anchor="n3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61" w:anchor="n14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9F29E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8" w:name="n11168"/>
      <w:bookmarkEnd w:id="1798"/>
      <w:r w:rsidRPr="008B264B">
        <w:rPr>
          <w:rFonts w:ascii="Times New Roman" w:eastAsia="Times New Roman" w:hAnsi="Times New Roman" w:cs="Times New Roman"/>
          <w:i/>
          <w:iCs/>
          <w:color w:val="000000"/>
          <w:sz w:val="24"/>
          <w:szCs w:val="24"/>
          <w:lang/>
        </w:rPr>
        <w:t>{Підпункт 39.6.2.3 підпункту 39.6.2 пункту 39.6 статті 39 виключено на підставі Закону </w:t>
      </w:r>
      <w:hyperlink r:id="rId962" w:anchor="n14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BBEC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799" w:name="n11169"/>
      <w:bookmarkEnd w:id="1799"/>
      <w:r w:rsidRPr="008B264B">
        <w:rPr>
          <w:rFonts w:ascii="Times New Roman" w:eastAsia="Times New Roman" w:hAnsi="Times New Roman" w:cs="Times New Roman"/>
          <w:color w:val="000000"/>
          <w:sz w:val="24"/>
          <w:szCs w:val="24"/>
          <w:lang/>
        </w:rPr>
        <w:t>39.6.2.4. </w:t>
      </w:r>
      <w:hyperlink r:id="rId963" w:anchor="n9" w:tgtFrame="_blank" w:history="1">
        <w:r w:rsidRPr="008B264B">
          <w:rPr>
            <w:rFonts w:ascii="Times New Roman" w:eastAsia="Times New Roman" w:hAnsi="Times New Roman" w:cs="Times New Roman"/>
            <w:color w:val="0000FF"/>
            <w:sz w:val="24"/>
            <w:szCs w:val="24"/>
            <w:u w:val="single"/>
            <w:lang/>
          </w:rPr>
          <w:t>Порядок</w:t>
        </w:r>
      </w:hyperlink>
      <w:hyperlink r:id="rId964" w:anchor="n9" w:tgtFrame="_blank" w:history="1">
        <w:r w:rsidRPr="008B264B">
          <w:rPr>
            <w:rFonts w:ascii="Times New Roman" w:eastAsia="Times New Roman" w:hAnsi="Times New Roman" w:cs="Times New Roman"/>
            <w:color w:val="0000FF"/>
            <w:sz w:val="24"/>
            <w:szCs w:val="24"/>
            <w:u w:val="single"/>
            <w:lang/>
          </w:rPr>
          <w:t> попереднього узгодження ціноутворення у контрольованих операціях</w:t>
        </w:r>
      </w:hyperlink>
      <w:r w:rsidRPr="008B264B">
        <w:rPr>
          <w:rFonts w:ascii="Times New Roman" w:eastAsia="Times New Roman" w:hAnsi="Times New Roman" w:cs="Times New Roman"/>
          <w:color w:val="000000"/>
          <w:sz w:val="24"/>
          <w:szCs w:val="24"/>
          <w:lang/>
        </w:rPr>
        <w:t>, за результатами якого укладаються договори, що мають односторонній, двосторонній та багатосторонній характер, затверджується Кабінетом Міністрів України.</w:t>
      </w:r>
    </w:p>
    <w:p w14:paraId="509067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0" w:name="n11170"/>
      <w:bookmarkEnd w:id="1800"/>
      <w:r w:rsidRPr="008B264B">
        <w:rPr>
          <w:rFonts w:ascii="Times New Roman" w:eastAsia="Times New Roman" w:hAnsi="Times New Roman" w:cs="Times New Roman"/>
          <w:color w:val="000000"/>
          <w:sz w:val="24"/>
          <w:szCs w:val="24"/>
          <w:lang/>
        </w:rPr>
        <w:t>Зазначений порядок має включати, зокрема, але не виключно:</w:t>
      </w:r>
    </w:p>
    <w:p w14:paraId="4ECF41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1" w:name="n14798"/>
      <w:bookmarkEnd w:id="1801"/>
      <w:r w:rsidRPr="008B264B">
        <w:rPr>
          <w:rFonts w:ascii="Times New Roman" w:eastAsia="Times New Roman" w:hAnsi="Times New Roman" w:cs="Times New Roman"/>
          <w:color w:val="000000"/>
          <w:sz w:val="24"/>
          <w:szCs w:val="24"/>
          <w:lang/>
        </w:rPr>
        <w:t>процедуру подання та розгляду заявки про проведення процедури попереднього узгодження ціноутворення у контрольованих операціях;</w:t>
      </w:r>
    </w:p>
    <w:p w14:paraId="000196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2" w:name="n14799"/>
      <w:bookmarkEnd w:id="1802"/>
      <w:r w:rsidRPr="008B264B">
        <w:rPr>
          <w:rFonts w:ascii="Times New Roman" w:eastAsia="Times New Roman" w:hAnsi="Times New Roman" w:cs="Times New Roman"/>
          <w:color w:val="000000"/>
          <w:sz w:val="24"/>
          <w:szCs w:val="24"/>
          <w:lang/>
        </w:rPr>
        <w:t>перелік документів, подання яких є необхідним для проведення процедури попереднього узгодження ціноутворення у контрольованих операціях;</w:t>
      </w:r>
    </w:p>
    <w:p w14:paraId="57FD69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3" w:name="n14800"/>
      <w:bookmarkEnd w:id="1803"/>
      <w:r w:rsidRPr="008B264B">
        <w:rPr>
          <w:rFonts w:ascii="Times New Roman" w:eastAsia="Times New Roman" w:hAnsi="Times New Roman" w:cs="Times New Roman"/>
          <w:color w:val="000000"/>
          <w:sz w:val="24"/>
          <w:szCs w:val="24"/>
          <w:lang/>
        </w:rPr>
        <w:t>підстави для внесення змін до чинного договору, укладеного за результатами попереднього узгодження ціноутворення у контрольованих операціях, продовження строку його дії або дострокового припинення;</w:t>
      </w:r>
    </w:p>
    <w:p w14:paraId="2FC320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4" w:name="n14801"/>
      <w:bookmarkEnd w:id="1804"/>
      <w:r w:rsidRPr="008B264B">
        <w:rPr>
          <w:rFonts w:ascii="Times New Roman" w:eastAsia="Times New Roman" w:hAnsi="Times New Roman" w:cs="Times New Roman"/>
          <w:color w:val="000000"/>
          <w:sz w:val="24"/>
          <w:szCs w:val="24"/>
          <w:lang/>
        </w:rPr>
        <w:t>підстави для припинення процедури попереднього узгодження ціноутворення;</w:t>
      </w:r>
    </w:p>
    <w:p w14:paraId="6BB02C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5" w:name="n14802"/>
      <w:bookmarkEnd w:id="1805"/>
      <w:r w:rsidRPr="008B264B">
        <w:rPr>
          <w:rFonts w:ascii="Times New Roman" w:eastAsia="Times New Roman" w:hAnsi="Times New Roman" w:cs="Times New Roman"/>
          <w:color w:val="000000"/>
          <w:sz w:val="24"/>
          <w:szCs w:val="24"/>
          <w:lang/>
        </w:rPr>
        <w:t>підстави для припинення або продовження строку дії договору про попереднє узгодження ціноутворення.</w:t>
      </w:r>
    </w:p>
    <w:p w14:paraId="60B529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6" w:name="n14803"/>
      <w:bookmarkEnd w:id="1806"/>
      <w:r w:rsidRPr="008B264B">
        <w:rPr>
          <w:rFonts w:ascii="Times New Roman" w:eastAsia="Times New Roman" w:hAnsi="Times New Roman" w:cs="Times New Roman"/>
          <w:i/>
          <w:iCs/>
          <w:color w:val="000000"/>
          <w:sz w:val="24"/>
          <w:szCs w:val="24"/>
          <w:lang/>
        </w:rPr>
        <w:t>{Підпункт 39.6.2.4 підпункту 39.6.2 пункту 39.6 статті 39 із змінами, внесеними згідно із Законом </w:t>
      </w:r>
      <w:hyperlink r:id="rId965" w:anchor="n3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966" w:anchor="n1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1121E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7" w:name="n14805"/>
      <w:bookmarkEnd w:id="1807"/>
      <w:r w:rsidRPr="008B264B">
        <w:rPr>
          <w:rFonts w:ascii="Times New Roman" w:eastAsia="Times New Roman" w:hAnsi="Times New Roman" w:cs="Times New Roman"/>
          <w:color w:val="000000"/>
          <w:sz w:val="24"/>
          <w:szCs w:val="24"/>
          <w:lang/>
        </w:rPr>
        <w:t>39.6.2.5. У разі дотримання умов договору про попереднє узгодження ціноутворення у контрольованих операціях контролюючі органи не мають права приймати рішення про донарахування податкових зобов’язань, штрафів, пені щодо контрольованих операцій, які є предметом такого договору.</w:t>
      </w:r>
    </w:p>
    <w:p w14:paraId="4F2AE9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8" w:name="n14806"/>
      <w:bookmarkEnd w:id="1808"/>
      <w:r w:rsidRPr="008B264B">
        <w:rPr>
          <w:rFonts w:ascii="Times New Roman" w:eastAsia="Times New Roman" w:hAnsi="Times New Roman" w:cs="Times New Roman"/>
          <w:color w:val="000000"/>
          <w:sz w:val="24"/>
          <w:szCs w:val="24"/>
          <w:lang/>
        </w:rPr>
        <w:lastRenderedPageBreak/>
        <w:t>У разі недотримання умов договору про узгодження ціноутворення платником податків такий договір втрачає силу з дати набрання ним чинності. Контролюючі органи мають право приймати рішення про донарахування податкових зобов’язань, штрафів, пені щодо контрольованих операцій, які є предметом такого договору, умови яких не відповідають принципу "витягнутої руки".</w:t>
      </w:r>
    </w:p>
    <w:p w14:paraId="3C3C86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09" w:name="n14811"/>
      <w:bookmarkEnd w:id="1809"/>
      <w:r w:rsidRPr="008B264B">
        <w:rPr>
          <w:rFonts w:ascii="Times New Roman" w:eastAsia="Times New Roman" w:hAnsi="Times New Roman" w:cs="Times New Roman"/>
          <w:i/>
          <w:iCs/>
          <w:color w:val="000000"/>
          <w:sz w:val="24"/>
          <w:szCs w:val="24"/>
          <w:lang/>
        </w:rPr>
        <w:t>{Підпункт 39.6.2 пункту 39.6 статті 39 доповнено підпунктом 39.6.2.5 згідно із Законом </w:t>
      </w:r>
      <w:hyperlink r:id="rId967" w:anchor="n15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90654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0" w:name="n14807"/>
      <w:bookmarkEnd w:id="1810"/>
      <w:r w:rsidRPr="008B264B">
        <w:rPr>
          <w:rFonts w:ascii="Times New Roman" w:eastAsia="Times New Roman" w:hAnsi="Times New Roman" w:cs="Times New Roman"/>
          <w:color w:val="000000"/>
          <w:sz w:val="24"/>
          <w:szCs w:val="24"/>
          <w:lang/>
        </w:rPr>
        <w:t>39.6.2.6. Договір, укладений за результатами попереднього узгодження ціноутворення у контрольованих операціях, набирає чинності з дати, узгодженої центральним органом виконавчої влади, що реалізує державну податкову та митну політику, та великим платником податків залежно від обставин та особливостей контрольованих операцій, які є предметом такого договору.</w:t>
      </w:r>
    </w:p>
    <w:p w14:paraId="02EDA6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1" w:name="n14808"/>
      <w:bookmarkEnd w:id="1811"/>
      <w:r w:rsidRPr="008B264B">
        <w:rPr>
          <w:rFonts w:ascii="Times New Roman" w:eastAsia="Times New Roman" w:hAnsi="Times New Roman" w:cs="Times New Roman"/>
          <w:color w:val="000000"/>
          <w:sz w:val="24"/>
          <w:szCs w:val="24"/>
          <w:lang/>
        </w:rPr>
        <w:t>За згодою сторін дія договору, укладеного за результатами попереднього узгодження ціноутворення у контрольованих операціях, може бути поширена на весь звітний період, в якому укладено такий договір, та/або до звітних періодів, що передують набранню чинності таким договором.</w:t>
      </w:r>
    </w:p>
    <w:p w14:paraId="721D8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2" w:name="n14810"/>
      <w:bookmarkEnd w:id="1812"/>
      <w:r w:rsidRPr="008B264B">
        <w:rPr>
          <w:rFonts w:ascii="Times New Roman" w:eastAsia="Times New Roman" w:hAnsi="Times New Roman" w:cs="Times New Roman"/>
          <w:i/>
          <w:iCs/>
          <w:color w:val="000000"/>
          <w:sz w:val="24"/>
          <w:szCs w:val="24"/>
          <w:lang/>
        </w:rPr>
        <w:t>{Підпункт 39.6.2 пункту 39.6 статті 39 доповнено підпунктом 39.6.2.6 згідно із Законом </w:t>
      </w:r>
      <w:hyperlink r:id="rId968" w:anchor="n15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0F6E7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3" w:name="n14809"/>
      <w:bookmarkEnd w:id="1813"/>
      <w:r w:rsidRPr="008B264B">
        <w:rPr>
          <w:rFonts w:ascii="Times New Roman" w:eastAsia="Times New Roman" w:hAnsi="Times New Roman" w:cs="Times New Roman"/>
          <w:color w:val="000000"/>
          <w:sz w:val="24"/>
          <w:szCs w:val="24"/>
          <w:lang/>
        </w:rPr>
        <w:t>39.6.2.7. У разі дотримання великим платником податків умов договору, укладеного за результатами попереднього узгодження ціноутворення у контрольованих операціях, та за умови незмінності узгоджених критеріїв для визначення відповідності умов контрольованих операцій, що є предметом договору, принципу "витягнутої руки", дія такого договору може бути подовжена на узгоджений сторонами строк.</w:t>
      </w:r>
    </w:p>
    <w:p w14:paraId="4B22D4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4" w:name="n14804"/>
      <w:bookmarkEnd w:id="1814"/>
      <w:r w:rsidRPr="008B264B">
        <w:rPr>
          <w:rFonts w:ascii="Times New Roman" w:eastAsia="Times New Roman" w:hAnsi="Times New Roman" w:cs="Times New Roman"/>
          <w:i/>
          <w:iCs/>
          <w:color w:val="000000"/>
          <w:sz w:val="24"/>
          <w:szCs w:val="24"/>
          <w:lang/>
        </w:rPr>
        <w:t>{Підпункт 39.6.2 пункту 39.6 статті 39 доповнено підпунктом 39.6.2.7 згідно із Законом </w:t>
      </w:r>
      <w:hyperlink r:id="rId969" w:anchor="n15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970" w:anchor="n13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23782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5" w:name="n14813"/>
      <w:bookmarkEnd w:id="1815"/>
      <w:r w:rsidRPr="008B264B">
        <w:rPr>
          <w:rFonts w:ascii="Times New Roman" w:eastAsia="Times New Roman" w:hAnsi="Times New Roman" w:cs="Times New Roman"/>
          <w:color w:val="000000"/>
          <w:sz w:val="24"/>
          <w:szCs w:val="24"/>
          <w:lang/>
        </w:rPr>
        <w:t>39.6.3. Стабільність умов договору, укладеного за результатами попереднього узгодження ціноутворення у контрольованих операціях:</w:t>
      </w:r>
    </w:p>
    <w:p w14:paraId="76A6F9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6" w:name="n14814"/>
      <w:bookmarkEnd w:id="1816"/>
      <w:r w:rsidRPr="008B264B">
        <w:rPr>
          <w:rFonts w:ascii="Times New Roman" w:eastAsia="Times New Roman" w:hAnsi="Times New Roman" w:cs="Times New Roman"/>
          <w:color w:val="000000"/>
          <w:sz w:val="24"/>
          <w:szCs w:val="24"/>
          <w:lang/>
        </w:rPr>
        <w:t>39.6.3.1. Умови договору, укладеного за результатами попереднього узгодження ціноутворення у контрольованих операціях, залишаються незмінними у разі зміни податкового законодавства в частині регулювання відносин, що виникають при укладанні такого договору, внесення до нього змін, припинення його дії або втрати платником податків статусу великого платника податків.</w:t>
      </w:r>
    </w:p>
    <w:p w14:paraId="7EBB5B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7" w:name="n14815"/>
      <w:bookmarkEnd w:id="1817"/>
      <w:r w:rsidRPr="008B264B">
        <w:rPr>
          <w:rFonts w:ascii="Times New Roman" w:eastAsia="Times New Roman" w:hAnsi="Times New Roman" w:cs="Times New Roman"/>
          <w:color w:val="000000"/>
          <w:sz w:val="24"/>
          <w:szCs w:val="24"/>
          <w:lang/>
        </w:rPr>
        <w:t>39.6.3.2. У разі внесення до податкового законодавства змін, що впливають на діяльність великого платника податків та/або на критерії для визначення відповідності умов контрольованих операцій принципу "витягнутої руки", сторони договору, укладеного за результатами попереднього узгодження ціноутворення у контрольованих операціях, мають право внести до його тексту відповідні зміни.</w:t>
      </w:r>
    </w:p>
    <w:p w14:paraId="74B62C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8" w:name="n14816"/>
      <w:bookmarkEnd w:id="1818"/>
      <w:r w:rsidRPr="008B264B">
        <w:rPr>
          <w:rFonts w:ascii="Times New Roman" w:eastAsia="Times New Roman" w:hAnsi="Times New Roman" w:cs="Times New Roman"/>
          <w:color w:val="000000"/>
          <w:sz w:val="24"/>
          <w:szCs w:val="24"/>
          <w:lang/>
        </w:rPr>
        <w:t>У разі незгоди однієї із сторін із запропонованими змінами дія договору припиняється.</w:t>
      </w:r>
    </w:p>
    <w:p w14:paraId="0BC82B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19" w:name="n14812"/>
      <w:bookmarkEnd w:id="1819"/>
      <w:r w:rsidRPr="008B264B">
        <w:rPr>
          <w:rFonts w:ascii="Times New Roman" w:eastAsia="Times New Roman" w:hAnsi="Times New Roman" w:cs="Times New Roman"/>
          <w:i/>
          <w:iCs/>
          <w:color w:val="000000"/>
          <w:sz w:val="24"/>
          <w:szCs w:val="24"/>
          <w:lang/>
        </w:rPr>
        <w:t>{Пункт 39.6 статті 39 доповнено підпунктом 39.6.3 згідно із Законом </w:t>
      </w:r>
      <w:hyperlink r:id="rId971" w:anchor="n16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927B6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0" w:name="n8917"/>
      <w:bookmarkEnd w:id="1820"/>
      <w:r w:rsidRPr="008B264B">
        <w:rPr>
          <w:rFonts w:ascii="Times New Roman" w:eastAsia="Times New Roman" w:hAnsi="Times New Roman" w:cs="Times New Roman"/>
          <w:i/>
          <w:iCs/>
          <w:color w:val="000000"/>
          <w:sz w:val="24"/>
          <w:szCs w:val="24"/>
          <w:lang/>
        </w:rPr>
        <w:t>{Стаття 39 із змінами, внесеними згідно з Законами </w:t>
      </w:r>
      <w:hyperlink r:id="rId972" w:tgtFrame="_blank" w:history="1">
        <w:r w:rsidRPr="008B264B">
          <w:rPr>
            <w:rFonts w:ascii="Times New Roman" w:eastAsia="Times New Roman" w:hAnsi="Times New Roman" w:cs="Times New Roman"/>
            <w:i/>
            <w:iCs/>
            <w:color w:val="0000FF"/>
            <w:sz w:val="24"/>
            <w:szCs w:val="24"/>
            <w:u w:val="single"/>
            <w:lang/>
          </w:rPr>
          <w:t>№ 3610-VI від 07.07.2011</w:t>
        </w:r>
      </w:hyperlink>
      <w:r w:rsidRPr="008B264B">
        <w:rPr>
          <w:rFonts w:ascii="Times New Roman" w:eastAsia="Times New Roman" w:hAnsi="Times New Roman" w:cs="Times New Roman"/>
          <w:i/>
          <w:iCs/>
          <w:color w:val="000000"/>
          <w:sz w:val="24"/>
          <w:szCs w:val="24"/>
          <w:lang/>
        </w:rPr>
        <w:t>, </w:t>
      </w:r>
      <w:hyperlink r:id="rId973" w:anchor="n2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w:t>
      </w:r>
      <w:hyperlink r:id="rId974" w:anchor="n6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975" w:anchor="n32"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976" w:anchor="n1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977" w:anchor="n7" w:tgtFrame="_blank" w:history="1">
        <w:r w:rsidRPr="008B264B">
          <w:rPr>
            <w:rFonts w:ascii="Times New Roman" w:eastAsia="Times New Roman" w:hAnsi="Times New Roman" w:cs="Times New Roman"/>
            <w:i/>
            <w:iCs/>
            <w:color w:val="0000FF"/>
            <w:sz w:val="24"/>
            <w:szCs w:val="24"/>
            <w:u w:val="single"/>
            <w:lang/>
          </w:rPr>
          <w:t>№ 1260-VII від 13.05.2014</w:t>
        </w:r>
      </w:hyperlink>
      <w:r w:rsidRPr="008B264B">
        <w:rPr>
          <w:rFonts w:ascii="Times New Roman" w:eastAsia="Times New Roman" w:hAnsi="Times New Roman" w:cs="Times New Roman"/>
          <w:i/>
          <w:iCs/>
          <w:color w:val="000000"/>
          <w:sz w:val="24"/>
          <w:szCs w:val="24"/>
          <w:lang/>
        </w:rPr>
        <w:t>; в редакції Закону </w:t>
      </w:r>
      <w:hyperlink r:id="rId978" w:anchor="n42"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 текст статті 39 із змінами, внесеними згідно із Законом </w:t>
      </w:r>
      <w:hyperlink r:id="rId979" w:anchor="n12"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23927D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1" w:name="n9831"/>
      <w:bookmarkEnd w:id="1821"/>
      <w:r w:rsidRPr="008B264B">
        <w:rPr>
          <w:rFonts w:ascii="Times New Roman" w:eastAsia="Times New Roman" w:hAnsi="Times New Roman" w:cs="Times New Roman"/>
          <w:b/>
          <w:bCs/>
          <w:color w:val="000000"/>
          <w:sz w:val="24"/>
          <w:szCs w:val="24"/>
          <w:lang/>
        </w:rPr>
        <w:t>Стаття 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Особливості застосування валютних курсів при нарахуванні митних платежів</w:t>
      </w:r>
    </w:p>
    <w:p w14:paraId="45E2F9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2" w:name="n9832"/>
      <w:bookmarkEnd w:id="1822"/>
      <w:r w:rsidRPr="008B264B">
        <w:rPr>
          <w:rFonts w:ascii="Times New Roman" w:eastAsia="Times New Roman" w:hAnsi="Times New Roman" w:cs="Times New Roman"/>
          <w:color w:val="000000"/>
          <w:sz w:val="24"/>
          <w:szCs w:val="24"/>
          <w:lang/>
        </w:rPr>
        <w:lastRenderedPageBreak/>
        <w:t>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Для цілей визначення податкових зобов’язань зі сплати митних платежів застосовується офіційний курс валюти України до іноземної валюти, встановлений Національним банком України, що діє на 0 годин дня подання митної декларації, а у разі, якщо митна декларація не подається, - дня визначення податкових зобов’язань.</w:t>
      </w:r>
    </w:p>
    <w:p w14:paraId="2F7AEB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3" w:name="n9830"/>
      <w:bookmarkEnd w:id="1823"/>
      <w:r w:rsidRPr="008B264B">
        <w:rPr>
          <w:rFonts w:ascii="Times New Roman" w:eastAsia="Times New Roman" w:hAnsi="Times New Roman" w:cs="Times New Roman"/>
          <w:i/>
          <w:iCs/>
          <w:color w:val="000000"/>
          <w:sz w:val="24"/>
          <w:szCs w:val="24"/>
          <w:lang/>
        </w:rPr>
        <w:t>{Розділ I доповнено статтею 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980" w:anchor="n10"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9AA83C5"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824" w:name="n1075"/>
      <w:bookmarkEnd w:id="1824"/>
      <w:r w:rsidRPr="008B264B">
        <w:rPr>
          <w:rFonts w:ascii="Times New Roman" w:eastAsia="Times New Roman" w:hAnsi="Times New Roman" w:cs="Times New Roman"/>
          <w:b/>
          <w:bCs/>
          <w:color w:val="000000"/>
          <w:sz w:val="28"/>
          <w:szCs w:val="28"/>
          <w:lang/>
        </w:rPr>
        <w:t>РОЗДІЛ II. АДМІНІСТРУВАННЯ ПОДАТКІВ, ЗБОРІВ, ПЛАТЕЖІВ</w:t>
      </w:r>
    </w:p>
    <w:p w14:paraId="3D8DDB5B"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825" w:name="n1076"/>
      <w:bookmarkEnd w:id="1825"/>
      <w:r w:rsidRPr="008B264B">
        <w:rPr>
          <w:rFonts w:ascii="Times New Roman" w:eastAsia="Times New Roman" w:hAnsi="Times New Roman" w:cs="Times New Roman"/>
          <w:b/>
          <w:bCs/>
          <w:color w:val="000000"/>
          <w:sz w:val="28"/>
          <w:szCs w:val="28"/>
          <w:lang/>
        </w:rPr>
        <w:t>ГЛАВА 1. ЗАГАЛЬНІ ПОЛОЖЕННЯ</w:t>
      </w:r>
    </w:p>
    <w:p w14:paraId="062514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6" w:name="n1077"/>
      <w:bookmarkEnd w:id="1826"/>
      <w:r w:rsidRPr="008B264B">
        <w:rPr>
          <w:rFonts w:ascii="Times New Roman" w:eastAsia="Times New Roman" w:hAnsi="Times New Roman" w:cs="Times New Roman"/>
          <w:b/>
          <w:bCs/>
          <w:color w:val="000000"/>
          <w:sz w:val="24"/>
          <w:szCs w:val="24"/>
          <w:lang/>
        </w:rPr>
        <w:t>Стаття 40.</w:t>
      </w:r>
      <w:r w:rsidRPr="008B264B">
        <w:rPr>
          <w:rFonts w:ascii="Times New Roman" w:eastAsia="Times New Roman" w:hAnsi="Times New Roman" w:cs="Times New Roman"/>
          <w:color w:val="000000"/>
          <w:sz w:val="24"/>
          <w:szCs w:val="24"/>
          <w:lang/>
        </w:rPr>
        <w:t> Сфера застосування цього розділу</w:t>
      </w:r>
    </w:p>
    <w:p w14:paraId="57827A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7" w:name="n1078"/>
      <w:bookmarkEnd w:id="1827"/>
      <w:r w:rsidRPr="008B264B">
        <w:rPr>
          <w:rFonts w:ascii="Times New Roman" w:eastAsia="Times New Roman" w:hAnsi="Times New Roman" w:cs="Times New Roman"/>
          <w:color w:val="000000"/>
          <w:sz w:val="24"/>
          <w:szCs w:val="24"/>
          <w:lang/>
        </w:rPr>
        <w:t>40.1. Цей розділ визначає порядок адміністрування податків та зборів, визначених у </w:t>
      </w:r>
      <w:hyperlink r:id="rId981" w:anchor="n130" w:history="1">
        <w:r w:rsidRPr="008B264B">
          <w:rPr>
            <w:rFonts w:ascii="Times New Roman" w:eastAsia="Times New Roman" w:hAnsi="Times New Roman" w:cs="Times New Roman"/>
            <w:color w:val="0000FF"/>
            <w:sz w:val="24"/>
            <w:szCs w:val="24"/>
            <w:u w:val="single"/>
            <w:lang/>
          </w:rPr>
          <w:t>розділі I</w:t>
        </w:r>
      </w:hyperlink>
      <w:r w:rsidRPr="008B264B">
        <w:rPr>
          <w:rFonts w:ascii="Times New Roman" w:eastAsia="Times New Roman" w:hAnsi="Times New Roman" w:cs="Times New Roman"/>
          <w:color w:val="000000"/>
          <w:sz w:val="24"/>
          <w:szCs w:val="24"/>
          <w:lang/>
        </w:rPr>
        <w:t> цього Кодексу, а також порядок контролю за дотриманням вимог податкового та іншого законодавства у випадках, коли здійснення такого контролю покладено на контролюючі органи.</w:t>
      </w:r>
    </w:p>
    <w:p w14:paraId="438F3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8" w:name="n1079"/>
      <w:bookmarkEnd w:id="1828"/>
      <w:r w:rsidRPr="008B264B">
        <w:rPr>
          <w:rFonts w:ascii="Times New Roman" w:eastAsia="Times New Roman" w:hAnsi="Times New Roman" w:cs="Times New Roman"/>
          <w:color w:val="000000"/>
          <w:sz w:val="24"/>
          <w:szCs w:val="24"/>
          <w:lang/>
        </w:rPr>
        <w:t>У разі якщо іншими розділами цього Кодексу або законами з питань митної справи визначається спеціальний порядок адміністрування окремих податків, зборів, платежів, використовуються правила, визначені в іншому розділі або законі з питань митної справи.</w:t>
      </w:r>
    </w:p>
    <w:p w14:paraId="678E9D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29" w:name="n1080"/>
      <w:bookmarkEnd w:id="1829"/>
      <w:r w:rsidRPr="008B264B">
        <w:rPr>
          <w:rFonts w:ascii="Times New Roman" w:eastAsia="Times New Roman" w:hAnsi="Times New Roman" w:cs="Times New Roman"/>
          <w:b/>
          <w:bCs/>
          <w:color w:val="000000"/>
          <w:sz w:val="24"/>
          <w:szCs w:val="24"/>
          <w:lang/>
        </w:rPr>
        <w:t>Стаття 41.</w:t>
      </w:r>
      <w:r w:rsidRPr="008B264B">
        <w:rPr>
          <w:rFonts w:ascii="Times New Roman" w:eastAsia="Times New Roman" w:hAnsi="Times New Roman" w:cs="Times New Roman"/>
          <w:color w:val="000000"/>
          <w:sz w:val="24"/>
          <w:szCs w:val="24"/>
          <w:lang/>
        </w:rPr>
        <w:t> Контролюючі органи та органи стягнення</w:t>
      </w:r>
    </w:p>
    <w:p w14:paraId="65391A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0" w:name="n8773"/>
      <w:bookmarkEnd w:id="1830"/>
      <w:r w:rsidRPr="008B264B">
        <w:rPr>
          <w:rFonts w:ascii="Times New Roman" w:eastAsia="Times New Roman" w:hAnsi="Times New Roman" w:cs="Times New Roman"/>
          <w:color w:val="000000"/>
          <w:sz w:val="24"/>
          <w:szCs w:val="24"/>
          <w:lang/>
        </w:rPr>
        <w:t>41.1. Контролюючими органами є центральний орган виконавчої влади, що реалізує державну податкову, державну митну політику, державну політику з адміністрування єдиного внеску, державну політику у сфері боротьби з правопорушеннями під час застосування податкового та митного законодавства, законодавства з питань сплати єдиного внеску та іншого законодавства, контроль за дотриманням якого покладено на контролюючий орган (далі - центральний орган виконавчої влади, що реалізує державну податкову та митну політику), його територіальні органи.</w:t>
      </w:r>
    </w:p>
    <w:p w14:paraId="5AA9A0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1" w:name="n13759"/>
      <w:bookmarkEnd w:id="1831"/>
      <w:r w:rsidRPr="008B264B">
        <w:rPr>
          <w:rFonts w:ascii="Times New Roman" w:eastAsia="Times New Roman" w:hAnsi="Times New Roman" w:cs="Times New Roman"/>
          <w:i/>
          <w:iCs/>
          <w:color w:val="000000"/>
          <w:sz w:val="24"/>
          <w:szCs w:val="24"/>
          <w:lang/>
        </w:rPr>
        <w:t>{Пункт 41.1 статті 41 в редакції Закону </w:t>
      </w:r>
      <w:hyperlink r:id="rId982" w:anchor="n3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84A2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2" w:name="n8775"/>
      <w:bookmarkEnd w:id="1832"/>
      <w:r w:rsidRPr="008B264B">
        <w:rPr>
          <w:rFonts w:ascii="Times New Roman" w:eastAsia="Times New Roman" w:hAnsi="Times New Roman" w:cs="Times New Roman"/>
          <w:color w:val="000000"/>
          <w:sz w:val="24"/>
          <w:szCs w:val="24"/>
          <w:lang/>
        </w:rPr>
        <w:t>41.2. Органами стягнення є виключно контролюючі органи, уповноважені здійснювати заходи щодо забезпечення погашення податкового боргу та недоїмки зі сплати єдиного внеску у межах повноважень, а також державні виконавці у межах своїх повноважень. Стягнення податкового боргу та недоїмки зі сплати єдиного внеску за виконавчими написами нотаріусів не дозволяється.</w:t>
      </w:r>
    </w:p>
    <w:p w14:paraId="53626E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3" w:name="n8776"/>
      <w:bookmarkEnd w:id="1833"/>
      <w:r w:rsidRPr="008B264B">
        <w:rPr>
          <w:rFonts w:ascii="Times New Roman" w:eastAsia="Times New Roman" w:hAnsi="Times New Roman" w:cs="Times New Roman"/>
          <w:color w:val="000000"/>
          <w:sz w:val="24"/>
          <w:szCs w:val="24"/>
          <w:lang/>
        </w:rPr>
        <w:t>41.3. Повноваження і функції контролюючих органів визначаються цим Кодексом, </w:t>
      </w:r>
      <w:hyperlink r:id="rId983"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та законами України.</w:t>
      </w:r>
    </w:p>
    <w:p w14:paraId="02420D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4" w:name="n8777"/>
      <w:bookmarkEnd w:id="1834"/>
      <w:r w:rsidRPr="008B264B">
        <w:rPr>
          <w:rFonts w:ascii="Times New Roman" w:eastAsia="Times New Roman" w:hAnsi="Times New Roman" w:cs="Times New Roman"/>
          <w:color w:val="000000"/>
          <w:sz w:val="24"/>
          <w:szCs w:val="24"/>
          <w:lang/>
        </w:rPr>
        <w:t>Розмежування повноважень і функціональних обов’язків контролюючих органів визначається законодавством України.</w:t>
      </w:r>
    </w:p>
    <w:p w14:paraId="3B1990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5" w:name="n8778"/>
      <w:bookmarkEnd w:id="1835"/>
      <w:r w:rsidRPr="008B264B">
        <w:rPr>
          <w:rFonts w:ascii="Times New Roman" w:eastAsia="Times New Roman" w:hAnsi="Times New Roman" w:cs="Times New Roman"/>
          <w:color w:val="000000"/>
          <w:sz w:val="24"/>
          <w:szCs w:val="24"/>
          <w:lang/>
        </w:rPr>
        <w:t>41.4. Інші державні органи не мають права проводити перевірки своєчасності, достовірності, повноти нарахування та сплати податків і зборів, у тому числі на запит правоохоронних органів.</w:t>
      </w:r>
    </w:p>
    <w:p w14:paraId="5EC0BC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6" w:name="n8771"/>
      <w:bookmarkEnd w:id="1836"/>
      <w:r w:rsidRPr="008B264B">
        <w:rPr>
          <w:rFonts w:ascii="Times New Roman" w:eastAsia="Times New Roman" w:hAnsi="Times New Roman" w:cs="Times New Roman"/>
          <w:i/>
          <w:iCs/>
          <w:color w:val="000000"/>
          <w:sz w:val="24"/>
          <w:szCs w:val="24"/>
          <w:lang/>
        </w:rPr>
        <w:t>{Стаття 41 із змінами, внесеними згідно із Законами </w:t>
      </w:r>
      <w:hyperlink r:id="rId98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985" w:anchor="n2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w:t>
      </w:r>
      <w:hyperlink r:id="rId986" w:anchor="n6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987" w:anchor="n1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319C5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7" w:name="n1091"/>
      <w:bookmarkEnd w:id="1837"/>
      <w:r w:rsidRPr="008B264B">
        <w:rPr>
          <w:rFonts w:ascii="Times New Roman" w:eastAsia="Times New Roman" w:hAnsi="Times New Roman" w:cs="Times New Roman"/>
          <w:b/>
          <w:bCs/>
          <w:color w:val="000000"/>
          <w:sz w:val="24"/>
          <w:szCs w:val="24"/>
          <w:lang/>
        </w:rPr>
        <w:t>Стаття 42.</w:t>
      </w:r>
      <w:r w:rsidRPr="008B264B">
        <w:rPr>
          <w:rFonts w:ascii="Times New Roman" w:eastAsia="Times New Roman" w:hAnsi="Times New Roman" w:cs="Times New Roman"/>
          <w:color w:val="000000"/>
          <w:sz w:val="24"/>
          <w:szCs w:val="24"/>
          <w:lang/>
        </w:rPr>
        <w:t> Листування платників податків та контролюючих органів</w:t>
      </w:r>
    </w:p>
    <w:p w14:paraId="2EBA6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8" w:name="n13760"/>
      <w:bookmarkEnd w:id="1838"/>
      <w:r w:rsidRPr="008B264B">
        <w:rPr>
          <w:rFonts w:ascii="Times New Roman" w:eastAsia="Times New Roman" w:hAnsi="Times New Roman" w:cs="Times New Roman"/>
          <w:i/>
          <w:iCs/>
          <w:color w:val="000000"/>
          <w:sz w:val="24"/>
          <w:szCs w:val="24"/>
          <w:lang/>
        </w:rPr>
        <w:t>{Назва статті 42 в редакції Закону </w:t>
      </w:r>
      <w:hyperlink r:id="rId988" w:anchor="n3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989"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40C89E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39" w:name="n1092"/>
      <w:bookmarkEnd w:id="1839"/>
      <w:r w:rsidRPr="008B264B">
        <w:rPr>
          <w:rFonts w:ascii="Times New Roman" w:eastAsia="Times New Roman" w:hAnsi="Times New Roman" w:cs="Times New Roman"/>
          <w:color w:val="000000"/>
          <w:sz w:val="24"/>
          <w:szCs w:val="24"/>
          <w:lang/>
        </w:rPr>
        <w:t>42.1. Податкові повідомлення - рішення, податкові вимоги або інші документи, адресовані контролюючим органом платнику податків, повинні бути складені у письмовій формі, відповідним чином підписані та у випадках, передбачених законодавством, завірені печаткою такого контролюючого органу.</w:t>
      </w:r>
    </w:p>
    <w:p w14:paraId="6B8019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0" w:name="n1093"/>
      <w:bookmarkEnd w:id="1840"/>
      <w:r w:rsidRPr="008B264B">
        <w:rPr>
          <w:rFonts w:ascii="Times New Roman" w:eastAsia="Times New Roman" w:hAnsi="Times New Roman" w:cs="Times New Roman"/>
          <w:i/>
          <w:iCs/>
          <w:color w:val="000000"/>
          <w:sz w:val="24"/>
          <w:szCs w:val="24"/>
          <w:lang/>
        </w:rPr>
        <w:lastRenderedPageBreak/>
        <w:t>{Пункт 42.1 статті 42 в редакції Закону </w:t>
      </w:r>
      <w:hyperlink r:id="rId99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C6107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1" w:name="n1094"/>
      <w:bookmarkEnd w:id="1841"/>
      <w:r w:rsidRPr="008B264B">
        <w:rPr>
          <w:rFonts w:ascii="Times New Roman" w:eastAsia="Times New Roman" w:hAnsi="Times New Roman" w:cs="Times New Roman"/>
          <w:color w:val="000000"/>
          <w:sz w:val="24"/>
          <w:szCs w:val="24"/>
          <w:lang/>
        </w:rPr>
        <w:t>42.2. Документи вважаються належним чином врученими, якщо вони надіслані у порядку, визначеному пунктом 42.4 цієї статті, надіслані за адресою (місцезнаходженням, податковою адресою) платника податків рекомендованим листом з повідомленням про вручення або особисто вручені платнику податків (його представнику).</w:t>
      </w:r>
    </w:p>
    <w:p w14:paraId="215ED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2" w:name="n15098"/>
      <w:bookmarkEnd w:id="1842"/>
      <w:r w:rsidRPr="008B264B">
        <w:rPr>
          <w:rFonts w:ascii="Times New Roman" w:eastAsia="Times New Roman" w:hAnsi="Times New Roman" w:cs="Times New Roman"/>
          <w:i/>
          <w:iCs/>
          <w:color w:val="000000"/>
          <w:sz w:val="24"/>
          <w:szCs w:val="24"/>
          <w:lang/>
        </w:rPr>
        <w:t>{Пункт 42.2 статті 42 в редакції Закону </w:t>
      </w:r>
      <w:hyperlink r:id="rId991" w:anchor="n3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992"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4E640A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3" w:name="n1095"/>
      <w:bookmarkEnd w:id="1843"/>
      <w:r w:rsidRPr="008B264B">
        <w:rPr>
          <w:rFonts w:ascii="Times New Roman" w:eastAsia="Times New Roman" w:hAnsi="Times New Roman" w:cs="Times New Roman"/>
          <w:color w:val="000000"/>
          <w:sz w:val="24"/>
          <w:szCs w:val="24"/>
          <w:lang/>
        </w:rPr>
        <w:t>42.3. Якщо платник податків у порядку та у строки, визначені </w:t>
      </w:r>
      <w:hyperlink r:id="rId993" w:anchor="n1554" w:history="1">
        <w:r w:rsidRPr="008B264B">
          <w:rPr>
            <w:rFonts w:ascii="Times New Roman" w:eastAsia="Times New Roman" w:hAnsi="Times New Roman" w:cs="Times New Roman"/>
            <w:color w:val="0000FF"/>
            <w:sz w:val="24"/>
            <w:szCs w:val="24"/>
            <w:u w:val="single"/>
            <w:lang/>
          </w:rPr>
          <w:t>статтею 66</w:t>
        </w:r>
      </w:hyperlink>
      <w:r w:rsidRPr="008B264B">
        <w:rPr>
          <w:rFonts w:ascii="Times New Roman" w:eastAsia="Times New Roman" w:hAnsi="Times New Roman" w:cs="Times New Roman"/>
          <w:color w:val="000000"/>
          <w:sz w:val="24"/>
          <w:szCs w:val="24"/>
          <w:lang/>
        </w:rPr>
        <w:t> цього Кодексу, повідомив контролюючий орган про зміну податкової адреси, він на період з дня державної реєстрації зміни податкової адреси до дня внесення змін до облікових даних такого платника податків звільняється від виконання вимог документів, надісланих йому контролюючим органом за попередньою податковою адресою та в подальшому повернених як таких, що не знайшли адресата.</w:t>
      </w:r>
    </w:p>
    <w:p w14:paraId="6EE87D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4" w:name="n1096"/>
      <w:bookmarkEnd w:id="1844"/>
      <w:r w:rsidRPr="008B264B">
        <w:rPr>
          <w:rFonts w:ascii="Times New Roman" w:eastAsia="Times New Roman" w:hAnsi="Times New Roman" w:cs="Times New Roman"/>
          <w:i/>
          <w:iCs/>
          <w:color w:val="000000"/>
          <w:sz w:val="24"/>
          <w:szCs w:val="24"/>
          <w:lang/>
        </w:rPr>
        <w:t>{Пункт 42.3 статті 42 в редакції Закону </w:t>
      </w:r>
      <w:hyperlink r:id="rId99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831E6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5" w:name="n1097"/>
      <w:bookmarkEnd w:id="1845"/>
      <w:r w:rsidRPr="008B264B">
        <w:rPr>
          <w:rFonts w:ascii="Times New Roman" w:eastAsia="Times New Roman" w:hAnsi="Times New Roman" w:cs="Times New Roman"/>
          <w:color w:val="000000"/>
          <w:sz w:val="24"/>
          <w:szCs w:val="24"/>
          <w:lang/>
        </w:rPr>
        <w:t>42.4. Платники податків, які подають звітність в електронній формі та/або пройшли електронну ідентифікацію онлайн в електронному кабінеті, можуть здійснювати листування з контролюючими органами засобами електронного зв’язку в електронній формі з дотриманням вимог законів України </w:t>
      </w:r>
      <w:hyperlink r:id="rId995"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996"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5D6194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6" w:name="n15791"/>
      <w:bookmarkEnd w:id="1846"/>
      <w:r w:rsidRPr="008B264B">
        <w:rPr>
          <w:rFonts w:ascii="Times New Roman" w:eastAsia="Times New Roman" w:hAnsi="Times New Roman" w:cs="Times New Roman"/>
          <w:i/>
          <w:iCs/>
          <w:color w:val="000000"/>
          <w:sz w:val="24"/>
          <w:szCs w:val="24"/>
          <w:lang/>
        </w:rPr>
        <w:t>{Абзац перший пункту 42.4 статті 42 із змінами, внесеними згідно із Законом </w:t>
      </w:r>
      <w:hyperlink r:id="rId997" w:anchor="n14"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03860A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7" w:name="n1098"/>
      <w:bookmarkEnd w:id="1847"/>
      <w:r w:rsidRPr="008B264B">
        <w:rPr>
          <w:rFonts w:ascii="Times New Roman" w:eastAsia="Times New Roman" w:hAnsi="Times New Roman" w:cs="Times New Roman"/>
          <w:color w:val="000000"/>
          <w:sz w:val="24"/>
          <w:szCs w:val="24"/>
          <w:lang/>
        </w:rPr>
        <w:t>Листування контролюючих органів з платниками податків, зазначеними в абзаці першому цього пункту, здійснюється засобами електронного зв’язку в електронній формі з дотриманням вимог законів України </w:t>
      </w:r>
      <w:hyperlink r:id="rId998"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999"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 шляхом надіслання документа в електронний кабінет з одночасним надісланням платнику податків на його електронну адресу (адреси) інформації про вид документа, дату та час його надіслання в електронний кабінет.</w:t>
      </w:r>
    </w:p>
    <w:p w14:paraId="48434D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8" w:name="n15792"/>
      <w:bookmarkEnd w:id="1848"/>
      <w:r w:rsidRPr="008B264B">
        <w:rPr>
          <w:rFonts w:ascii="Times New Roman" w:eastAsia="Times New Roman" w:hAnsi="Times New Roman" w:cs="Times New Roman"/>
          <w:i/>
          <w:iCs/>
          <w:color w:val="000000"/>
          <w:sz w:val="24"/>
          <w:szCs w:val="24"/>
          <w:lang/>
        </w:rPr>
        <w:t>{Абзац другий пункту 42.4 статті 42 із змінами, внесеними згідно із Законом </w:t>
      </w:r>
      <w:hyperlink r:id="rId1000" w:anchor="n15"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5909BF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49" w:name="n15099"/>
      <w:bookmarkEnd w:id="1849"/>
      <w:r w:rsidRPr="008B264B">
        <w:rPr>
          <w:rFonts w:ascii="Times New Roman" w:eastAsia="Times New Roman" w:hAnsi="Times New Roman" w:cs="Times New Roman"/>
          <w:color w:val="000000"/>
          <w:sz w:val="24"/>
          <w:szCs w:val="24"/>
          <w:lang/>
        </w:rPr>
        <w:t>Датою вручення платнику податків документа є дата, зазначена у квитанції про доставку у текстовому форматі, що відправляється з електронного кабінету автоматично та свідчить про дату та час доставки документа платнику податків. У разі якщо доставка документа відбулася після 18 години, датою вручення документа платнику податків вважається наступний робочий день. Якщо доставка відбулася у вихідний чи святковий день, датою вручення документа платнику податків вважається перший робочий день, що настає за вихідним або святковим днем.</w:t>
      </w:r>
    </w:p>
    <w:p w14:paraId="660B00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0" w:name="n15100"/>
      <w:bookmarkEnd w:id="1850"/>
      <w:r w:rsidRPr="008B264B">
        <w:rPr>
          <w:rFonts w:ascii="Times New Roman" w:eastAsia="Times New Roman" w:hAnsi="Times New Roman" w:cs="Times New Roman"/>
          <w:color w:val="000000"/>
          <w:sz w:val="24"/>
          <w:szCs w:val="24"/>
          <w:lang/>
        </w:rPr>
        <w:t>У разі неотримання контролюючим органом квитанції про доставку документа в електронний кабінет протягом двох робочих днів з дня його надіслання такий документ у паперовій формі на третій робочий день з дня відправлення з електронного кабінету надсилається за адресою (місцезнаходженням, податковою адресою) платника податків рекомендованим листом з повідомленням про вручення або особисто вручається платнику податків (його представнику).</w:t>
      </w:r>
    </w:p>
    <w:p w14:paraId="4F2F5C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1" w:name="n15101"/>
      <w:bookmarkEnd w:id="1851"/>
      <w:r w:rsidRPr="008B264B">
        <w:rPr>
          <w:rFonts w:ascii="Times New Roman" w:eastAsia="Times New Roman" w:hAnsi="Times New Roman" w:cs="Times New Roman"/>
          <w:color w:val="000000"/>
          <w:sz w:val="24"/>
          <w:szCs w:val="24"/>
          <w:lang/>
        </w:rPr>
        <w:t>При цьому строк доставки документа в електронний кабінет, визначений абзацом четвертим цього пункту, не зараховується до строку надіслання документів, визначеного цим Кодексом.</w:t>
      </w:r>
    </w:p>
    <w:p w14:paraId="670E33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2" w:name="n15102"/>
      <w:bookmarkEnd w:id="1852"/>
      <w:r w:rsidRPr="008B264B">
        <w:rPr>
          <w:rFonts w:ascii="Times New Roman" w:eastAsia="Times New Roman" w:hAnsi="Times New Roman" w:cs="Times New Roman"/>
          <w:color w:val="000000"/>
          <w:sz w:val="24"/>
          <w:szCs w:val="24"/>
          <w:lang/>
        </w:rPr>
        <w:t xml:space="preserve">У разі якщо пошта не може вручити платнику податків документ через відсутність за місцезнаходженням посадових осіб платника податків, їх відмову прийняти документ, незнаходження фактичного місця розташування (місцезнаходження) платника податків або з </w:t>
      </w:r>
      <w:r w:rsidRPr="008B264B">
        <w:rPr>
          <w:rFonts w:ascii="Times New Roman" w:eastAsia="Times New Roman" w:hAnsi="Times New Roman" w:cs="Times New Roman"/>
          <w:color w:val="000000"/>
          <w:sz w:val="24"/>
          <w:szCs w:val="24"/>
          <w:lang/>
        </w:rPr>
        <w:lastRenderedPageBreak/>
        <w:t>інших причин, документ вважається врученим платнику податків у день, зазначений поштовою службою в повідомленні про вручення із зазначенням причини невручення.</w:t>
      </w:r>
    </w:p>
    <w:p w14:paraId="26DC1D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3" w:name="n15103"/>
      <w:bookmarkEnd w:id="1853"/>
      <w:r w:rsidRPr="008B264B">
        <w:rPr>
          <w:rFonts w:ascii="Times New Roman" w:eastAsia="Times New Roman" w:hAnsi="Times New Roman" w:cs="Times New Roman"/>
          <w:color w:val="000000"/>
          <w:sz w:val="24"/>
          <w:szCs w:val="24"/>
          <w:lang/>
        </w:rPr>
        <w:t>На вимогу платника податків, який отримав документ в електронній формі, контролюючий орган надає такому платнику податків відповідний документ у паперовій формі протягом трьох робочих днів з дня надходження відповідної вимоги (у паперовій або електронній формі) платника податків.</w:t>
      </w:r>
    </w:p>
    <w:p w14:paraId="656D7E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4" w:name="n1099"/>
      <w:bookmarkEnd w:id="1854"/>
      <w:r w:rsidRPr="008B264B">
        <w:rPr>
          <w:rFonts w:ascii="Times New Roman" w:eastAsia="Times New Roman" w:hAnsi="Times New Roman" w:cs="Times New Roman"/>
          <w:i/>
          <w:iCs/>
          <w:color w:val="000000"/>
          <w:sz w:val="24"/>
          <w:szCs w:val="24"/>
          <w:lang/>
        </w:rPr>
        <w:t>{Статтю 42 доповнено пунктом 42.4 згідно із Законом </w:t>
      </w:r>
      <w:hyperlink r:id="rId100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1002" w:anchor="n3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03"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34A09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5" w:name="n13764"/>
      <w:bookmarkEnd w:id="1855"/>
      <w:r w:rsidRPr="008B264B">
        <w:rPr>
          <w:rFonts w:ascii="Times New Roman" w:eastAsia="Times New Roman" w:hAnsi="Times New Roman" w:cs="Times New Roman"/>
          <w:b/>
          <w:bCs/>
          <w:color w:val="000000"/>
          <w:sz w:val="24"/>
          <w:szCs w:val="24"/>
          <w:lang/>
        </w:rPr>
        <w:t>Стаття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Електронний кабінет</w:t>
      </w:r>
    </w:p>
    <w:p w14:paraId="1120C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6" w:name="n13765"/>
      <w:bookmarkEnd w:id="1856"/>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Електронний кабінет створюється та функціонує за такими принципами:</w:t>
      </w:r>
    </w:p>
    <w:p w14:paraId="316872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7" w:name="n13766"/>
      <w:bookmarkEnd w:id="1857"/>
      <w:r w:rsidRPr="008B264B">
        <w:rPr>
          <w:rFonts w:ascii="Times New Roman" w:eastAsia="Times New Roman" w:hAnsi="Times New Roman" w:cs="Times New Roman"/>
          <w:color w:val="000000"/>
          <w:sz w:val="24"/>
          <w:szCs w:val="24"/>
          <w:lang/>
        </w:rPr>
        <w:t>прозорості - обов’язкового оприлюднення методології реалізації положень цього Кодексу в роботі електронного кабінету;</w:t>
      </w:r>
    </w:p>
    <w:p w14:paraId="0F042A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8" w:name="n13767"/>
      <w:bookmarkEnd w:id="1858"/>
      <w:r w:rsidRPr="008B264B">
        <w:rPr>
          <w:rFonts w:ascii="Times New Roman" w:eastAsia="Times New Roman" w:hAnsi="Times New Roman" w:cs="Times New Roman"/>
          <w:color w:val="000000"/>
          <w:sz w:val="24"/>
          <w:szCs w:val="24"/>
          <w:lang/>
        </w:rPr>
        <w:t>контрольованості - забезпечення можливості незалежної перевірки коректності роботи електронного кабінету через тестового платника (платників) на емуляторі, створеному на веб-сайті методолога електронного кабінету на предмет відсутності помилок у програмному забезпеченні, унеможливлення несанкціонованого втручання у роботу програмного забезпечення електронного кабінету, що означає порушення цілісності та автентичності вихідного програмного коду;</w:t>
      </w:r>
    </w:p>
    <w:p w14:paraId="2DCFAC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59" w:name="n13768"/>
      <w:bookmarkEnd w:id="1859"/>
      <w:r w:rsidRPr="008B264B">
        <w:rPr>
          <w:rFonts w:ascii="Times New Roman" w:eastAsia="Times New Roman" w:hAnsi="Times New Roman" w:cs="Times New Roman"/>
          <w:color w:val="000000"/>
          <w:sz w:val="24"/>
          <w:szCs w:val="24"/>
          <w:lang/>
        </w:rPr>
        <w:t>інтеграції із системами, що використовуються платниками податків, - у відкритому, вільному доступі розміщуються API програмного інтерфейсу для електронного обміну даними (EDI - Electronic data interchange);</w:t>
      </w:r>
    </w:p>
    <w:p w14:paraId="132C50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0" w:name="n13769"/>
      <w:bookmarkEnd w:id="1860"/>
      <w:r w:rsidRPr="008B264B">
        <w:rPr>
          <w:rFonts w:ascii="Times New Roman" w:eastAsia="Times New Roman" w:hAnsi="Times New Roman" w:cs="Times New Roman"/>
          <w:color w:val="000000"/>
          <w:sz w:val="24"/>
          <w:szCs w:val="24"/>
          <w:lang/>
        </w:rPr>
        <w:t>своєчасності усунення технічних та/або методологічних помилок - забезпечення оприлюднення на офіційному веб-сайті методолога електронного кабінету реєстру технічних та/або методологічних помилок, виявлених платниками податків, технічним адміністратором та/або методологом електронного кабінету, із визначенням рівня критичності таких помилок та встановленням строків для їх усунення, інформування всіх користувачів електронного кабінету про факт виявлення технічної та/або методологічної помилки, а також про факт її усунення та відновлення роботи електронного кабінету в повному обсязі;</w:t>
      </w:r>
    </w:p>
    <w:p w14:paraId="26201D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1" w:name="n13770"/>
      <w:bookmarkEnd w:id="1861"/>
      <w:r w:rsidRPr="008B264B">
        <w:rPr>
          <w:rFonts w:ascii="Times New Roman" w:eastAsia="Times New Roman" w:hAnsi="Times New Roman" w:cs="Times New Roman"/>
          <w:color w:val="000000"/>
          <w:sz w:val="24"/>
          <w:szCs w:val="24"/>
          <w:lang/>
        </w:rPr>
        <w:t>автоматизованості - максимальної автоматизації процесів створення, прийняття, оброблення, зберігання документів, оброблення та відображення даних (показників) документів та інших облікових даних платника податків;</w:t>
      </w:r>
    </w:p>
    <w:p w14:paraId="390CD5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2" w:name="n13771"/>
      <w:bookmarkEnd w:id="1862"/>
      <w:r w:rsidRPr="008B264B">
        <w:rPr>
          <w:rFonts w:ascii="Times New Roman" w:eastAsia="Times New Roman" w:hAnsi="Times New Roman" w:cs="Times New Roman"/>
          <w:color w:val="000000"/>
          <w:sz w:val="24"/>
          <w:szCs w:val="24"/>
          <w:lang/>
        </w:rPr>
        <w:t>повноти функціоналу - наявності такого інтерфейсу електронного сервісу, який забезпечує можливість реалізації прав та обов’язків платника податків, отримання документів, передбачених законодавством, та інформації, що стосується такого платника податків, онлайн (через Інтернет у режимі реального часу) або через програмний інтерфейс (АРІ), іншими засобами інформаційних, телекомунікаційних, інформаційно-телекомунікаційних систем;</w:t>
      </w:r>
    </w:p>
    <w:p w14:paraId="3C7748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3" w:name="n13772"/>
      <w:bookmarkEnd w:id="1863"/>
      <w:r w:rsidRPr="008B264B">
        <w:rPr>
          <w:rFonts w:ascii="Times New Roman" w:eastAsia="Times New Roman" w:hAnsi="Times New Roman" w:cs="Times New Roman"/>
          <w:color w:val="000000"/>
          <w:sz w:val="24"/>
          <w:szCs w:val="24"/>
          <w:lang/>
        </w:rPr>
        <w:t>спрощення процедури взаємодії платників податків та контролюючого органу та прискорення електронного документообігу між ними;</w:t>
      </w:r>
    </w:p>
    <w:p w14:paraId="4718BB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4" w:name="n13773"/>
      <w:bookmarkEnd w:id="1864"/>
      <w:r w:rsidRPr="008B264B">
        <w:rPr>
          <w:rFonts w:ascii="Times New Roman" w:eastAsia="Times New Roman" w:hAnsi="Times New Roman" w:cs="Times New Roman"/>
          <w:color w:val="000000"/>
          <w:sz w:val="24"/>
          <w:szCs w:val="24"/>
          <w:lang/>
        </w:rPr>
        <w:t>здійснення автоматизованого внесення до журналу всіх дій (подій), що відбуваються в електронному кабінеті, включаючи, зокрема, фіксацію дати і часу відправлення, отримання документів через електронний кабінет та будь-якої зміни даних, доступних в електронному кабінеті, за допомогою кваліфікованої електронної позначки часу. Інформація про дату і час надсилання та отримання документів, іншої кореспонденції з ідентифікацією відправника та отримувача зберігається безстроково і може бути отримана через електронний кабінет у вигляді електронного документа, в тому числі у вигляді квитанції у текстовому форматі;</w:t>
      </w:r>
    </w:p>
    <w:p w14:paraId="1AEB0A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5" w:name="n15793"/>
      <w:bookmarkEnd w:id="1865"/>
      <w:r w:rsidRPr="008B264B">
        <w:rPr>
          <w:rFonts w:ascii="Times New Roman" w:eastAsia="Times New Roman" w:hAnsi="Times New Roman" w:cs="Times New Roman"/>
          <w:i/>
          <w:iCs/>
          <w:color w:val="000000"/>
          <w:sz w:val="24"/>
          <w:szCs w:val="24"/>
          <w:lang/>
        </w:rPr>
        <w:lastRenderedPageBreak/>
        <w:t>{Абзац дев'ятий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04" w:anchor="n17"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602E4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6" w:name="n13774"/>
      <w:bookmarkEnd w:id="1866"/>
      <w:r w:rsidRPr="008B264B">
        <w:rPr>
          <w:rFonts w:ascii="Times New Roman" w:eastAsia="Times New Roman" w:hAnsi="Times New Roman" w:cs="Times New Roman"/>
          <w:color w:val="000000"/>
          <w:sz w:val="24"/>
          <w:szCs w:val="24"/>
          <w:lang/>
        </w:rPr>
        <w:t>заборони втручання, створення обмежень у функціонуванні та/або можливостей у використанні платниками податків електронного кабінету, що передбачені цим Кодексом;</w:t>
      </w:r>
    </w:p>
    <w:p w14:paraId="781450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7" w:name="n13775"/>
      <w:bookmarkEnd w:id="1867"/>
      <w:r w:rsidRPr="008B264B">
        <w:rPr>
          <w:rFonts w:ascii="Times New Roman" w:eastAsia="Times New Roman" w:hAnsi="Times New Roman" w:cs="Times New Roman"/>
          <w:color w:val="000000"/>
          <w:sz w:val="24"/>
          <w:szCs w:val="24"/>
          <w:lang/>
        </w:rPr>
        <w:t>пріоритетності документів, що надходять від державних, у тому числі контролюючих, органів, початок роботи в електронному кабінеті з автоматичного відкриття повідомлень, що надходять від державних органів, та/або блокування можливості надіслання документів платником податків до отримання таким платником податків документів, що надійшли до його електронного кабінету від державних органів.</w:t>
      </w:r>
    </w:p>
    <w:p w14:paraId="3E6BBA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8" w:name="n13776"/>
      <w:bookmarkEnd w:id="1868"/>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Електронний кабінет забезпечує можливість реалізації платниками податків прав та обов’язків, визначених цим Кодексом та нормативно-правовими актами, що прийняті на підставі та на виконання цього Кодексу, законами з питань митної справи, в тому числі, шляхом:</w:t>
      </w:r>
    </w:p>
    <w:p w14:paraId="45DDF8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69" w:name="n13777"/>
      <w:bookmarkEnd w:id="1869"/>
      <w:r w:rsidRPr="008B264B">
        <w:rPr>
          <w:rFonts w:ascii="Times New Roman" w:eastAsia="Times New Roman" w:hAnsi="Times New Roman" w:cs="Times New Roman"/>
          <w:color w:val="000000"/>
          <w:sz w:val="24"/>
          <w:szCs w:val="24"/>
          <w:lang/>
        </w:rPr>
        <w:t>перегляду в режимі реального часу інформації про платника податків, що збирається, використовується та формується контролюючими органами у зв’язку з обліком платників податків та адмініструванням податків, зборів, митних платежів, здійсненням податкового контролю, в тому числі дані оперативного обліку податків та зборів (у тому числі дані інтегрованих карток платників податків), дані системи електронного адміністрування податку на додану вартість, дані системи електронного адміністрування реалізації пального та спирту етилового, а також одержання такої інформації у вигляді документа, який формується автоматизовано шляхом вивантаження відповідної інформації з електронного кабінету із накладенням кваліфікованого електронного підпису посадової особи контролюючого органу та кваліфікованої електронної печатки контролюючого органу із застосуванням засобів кваліфікованого електронного підпису чи печатки, які мають вбудовані апаратно-програмні засоби, що забезпечують захист записаних на них даних від несанкціонованого доступу, від безпосереднього ознайомлення із значенням параметрів особистих ключів та їх копіювання;</w:t>
      </w:r>
    </w:p>
    <w:p w14:paraId="6FA423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0" w:name="n15501"/>
      <w:bookmarkEnd w:id="1870"/>
      <w:r w:rsidRPr="008B264B">
        <w:rPr>
          <w:rFonts w:ascii="Times New Roman" w:eastAsia="Times New Roman" w:hAnsi="Times New Roman" w:cs="Times New Roman"/>
          <w:i/>
          <w:iCs/>
          <w:color w:val="000000"/>
          <w:sz w:val="24"/>
          <w:szCs w:val="24"/>
          <w:lang/>
        </w:rPr>
        <w:t>{Абзац другий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005" w:anchor="n13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color w:val="000000"/>
          <w:sz w:val="24"/>
          <w:szCs w:val="24"/>
          <w:lang/>
        </w:rPr>
        <w:t>, </w:t>
      </w:r>
      <w:hyperlink r:id="rId1006" w:anchor="n19"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06FFF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1" w:name="n13778"/>
      <w:bookmarkEnd w:id="1871"/>
      <w:r w:rsidRPr="008B264B">
        <w:rPr>
          <w:rFonts w:ascii="Times New Roman" w:eastAsia="Times New Roman" w:hAnsi="Times New Roman" w:cs="Times New Roman"/>
          <w:color w:val="000000"/>
          <w:sz w:val="24"/>
          <w:szCs w:val="24"/>
          <w:lang/>
        </w:rPr>
        <w:t>проведення звірки розрахунків платників податків з державним та місцевими бюджетами, а також одержання документа, що підтверджує стан розрахунків, який формується автоматизовано шляхом вивантаження відповідної інформації з електронного кабінету із накладенням кваліфікованого електронного підпису посадової особи контролюючого органу та кваліфікованої електронної печатки контролюючого органу із застосуванням засобів кваліфікованого електронного підпису чи печатки, які мають вбудовані апаратно-програмні засоби, що забезпечують захист записаних на них даних від несанкціонованого доступу, від безпосереднього ознайомлення із значенням параметрів особистих ключів та їх копіювання;</w:t>
      </w:r>
    </w:p>
    <w:p w14:paraId="25B462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2" w:name="n15795"/>
      <w:bookmarkEnd w:id="1872"/>
      <w:r w:rsidRPr="008B264B">
        <w:rPr>
          <w:rFonts w:ascii="Times New Roman" w:eastAsia="Times New Roman" w:hAnsi="Times New Roman" w:cs="Times New Roman"/>
          <w:i/>
          <w:iCs/>
          <w:color w:val="000000"/>
          <w:sz w:val="24"/>
          <w:szCs w:val="24"/>
          <w:lang/>
        </w:rPr>
        <w:t>{Абзац третій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07" w:anchor="n19"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14380F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3" w:name="n13779"/>
      <w:bookmarkEnd w:id="1873"/>
      <w:r w:rsidRPr="008B264B">
        <w:rPr>
          <w:rFonts w:ascii="Times New Roman" w:eastAsia="Times New Roman" w:hAnsi="Times New Roman" w:cs="Times New Roman"/>
          <w:color w:val="000000"/>
          <w:sz w:val="24"/>
          <w:szCs w:val="24"/>
          <w:lang/>
        </w:rPr>
        <w:t>управління сумами помилково та/або надміру сплачених грошових зобов’язань та пені відповідно до положень цього Кодексу;</w:t>
      </w:r>
    </w:p>
    <w:p w14:paraId="45C230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4" w:name="n13780"/>
      <w:bookmarkEnd w:id="1874"/>
      <w:r w:rsidRPr="008B264B">
        <w:rPr>
          <w:rFonts w:ascii="Times New Roman" w:eastAsia="Times New Roman" w:hAnsi="Times New Roman" w:cs="Times New Roman"/>
          <w:color w:val="000000"/>
          <w:sz w:val="24"/>
          <w:szCs w:val="24"/>
          <w:lang/>
        </w:rPr>
        <w:t>автоматизованого визначення обов’язкових для заповнення та подання форм податкової звітності та рахунків для сплати податків і зборів конкретного платника податків;</w:t>
      </w:r>
    </w:p>
    <w:p w14:paraId="45DD4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5" w:name="n13781"/>
      <w:bookmarkEnd w:id="1875"/>
      <w:r w:rsidRPr="008B264B">
        <w:rPr>
          <w:rFonts w:ascii="Times New Roman" w:eastAsia="Times New Roman" w:hAnsi="Times New Roman" w:cs="Times New Roman"/>
          <w:color w:val="000000"/>
          <w:sz w:val="24"/>
          <w:szCs w:val="24"/>
          <w:lang/>
        </w:rPr>
        <w:t>заповнення, перевірки та подання </w:t>
      </w:r>
      <w:hyperlink r:id="rId1008" w:anchor="n20" w:tgtFrame="_blank" w:history="1">
        <w:r w:rsidRPr="008B264B">
          <w:rPr>
            <w:rFonts w:ascii="Times New Roman" w:eastAsia="Times New Roman" w:hAnsi="Times New Roman" w:cs="Times New Roman"/>
            <w:color w:val="0000FF"/>
            <w:sz w:val="24"/>
            <w:szCs w:val="24"/>
            <w:u w:val="single"/>
            <w:lang/>
          </w:rPr>
          <w:t>податкових декларацій</w:t>
        </w:r>
      </w:hyperlink>
      <w:r w:rsidRPr="008B264B">
        <w:rPr>
          <w:rFonts w:ascii="Times New Roman" w:eastAsia="Times New Roman" w:hAnsi="Times New Roman" w:cs="Times New Roman"/>
          <w:color w:val="000000"/>
          <w:sz w:val="24"/>
          <w:szCs w:val="24"/>
          <w:lang/>
        </w:rPr>
        <w:t>, звітності до контролюючого органу;</w:t>
      </w:r>
    </w:p>
    <w:p w14:paraId="560F8A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6" w:name="n13782"/>
      <w:bookmarkEnd w:id="1876"/>
      <w:r w:rsidRPr="008B264B">
        <w:rPr>
          <w:rFonts w:ascii="Times New Roman" w:eastAsia="Times New Roman" w:hAnsi="Times New Roman" w:cs="Times New Roman"/>
          <w:color w:val="000000"/>
          <w:sz w:val="24"/>
          <w:szCs w:val="24"/>
          <w:lang/>
        </w:rPr>
        <w:t>реєстрації, коригування </w:t>
      </w:r>
      <w:hyperlink r:id="rId1009"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/розрахунків в Єдиному реєстрі податкових накладних та акцизних накладних в Єдиному реєстрі акцизних накладних;</w:t>
      </w:r>
    </w:p>
    <w:p w14:paraId="2D42F7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7" w:name="n13783"/>
      <w:bookmarkEnd w:id="1877"/>
      <w:r w:rsidRPr="008B264B">
        <w:rPr>
          <w:rFonts w:ascii="Times New Roman" w:eastAsia="Times New Roman" w:hAnsi="Times New Roman" w:cs="Times New Roman"/>
          <w:color w:val="000000"/>
          <w:sz w:val="24"/>
          <w:szCs w:val="24"/>
          <w:lang/>
        </w:rPr>
        <w:t>перегляду в режимі реального часу інформації про </w:t>
      </w:r>
      <w:hyperlink r:id="rId1010" w:anchor="n20" w:tgtFrame="_blank" w:history="1">
        <w:r w:rsidRPr="008B264B">
          <w:rPr>
            <w:rFonts w:ascii="Times New Roman" w:eastAsia="Times New Roman" w:hAnsi="Times New Roman" w:cs="Times New Roman"/>
            <w:color w:val="0000FF"/>
            <w:sz w:val="24"/>
            <w:szCs w:val="24"/>
            <w:u w:val="single"/>
            <w:lang/>
          </w:rPr>
          <w:t>податкові накладні</w:t>
        </w:r>
      </w:hyperlink>
      <w:r w:rsidRPr="008B264B">
        <w:rPr>
          <w:rFonts w:ascii="Times New Roman" w:eastAsia="Times New Roman" w:hAnsi="Times New Roman" w:cs="Times New Roman"/>
          <w:color w:val="000000"/>
          <w:sz w:val="24"/>
          <w:szCs w:val="24"/>
          <w:lang/>
        </w:rPr>
        <w:t>/розрахунки коригування, реєстрація яких в Єдиному реєстрі податкових накладних зупинена;</w:t>
      </w:r>
    </w:p>
    <w:p w14:paraId="7D1EA1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8" w:name="n13784"/>
      <w:bookmarkEnd w:id="1878"/>
      <w:r w:rsidRPr="008B264B">
        <w:rPr>
          <w:rFonts w:ascii="Times New Roman" w:eastAsia="Times New Roman" w:hAnsi="Times New Roman" w:cs="Times New Roman"/>
          <w:color w:val="000000"/>
          <w:sz w:val="24"/>
          <w:szCs w:val="24"/>
          <w:lang/>
        </w:rPr>
        <w:lastRenderedPageBreak/>
        <w:t>доступу платників податків до системи електронного адміністрування податку на додану вартість у розрізі поточних значень всіх доданків та від’ємників, передбачених </w:t>
      </w:r>
      <w:hyperlink r:id="rId1011" w:anchor="n11312" w:history="1">
        <w:r w:rsidRPr="008B264B">
          <w:rPr>
            <w:rFonts w:ascii="Times New Roman" w:eastAsia="Times New Roman" w:hAnsi="Times New Roman" w:cs="Times New Roman"/>
            <w:color w:val="0000FF"/>
            <w:sz w:val="24"/>
            <w:szCs w:val="24"/>
            <w:u w:val="single"/>
            <w:lang/>
          </w:rPr>
          <w:t>пунктом 200</w:t>
        </w:r>
      </w:hyperlink>
      <w:hyperlink r:id="rId1012"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1013"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в режимі перегляду у реальному часі та доступу до даних Єдиного реєстру податкових накладних, включаючи можливість формування, перевірки та підтвердження </w:t>
      </w:r>
      <w:hyperlink r:id="rId1014"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складених платником податку чи його контрагентами за вчиненими між ними правочинами, для цілей формування податкового кредиту платником податків, перевірки та визначення дати і часу реєстрації таких накладних та/або розрахунків коригування, а також перегляд інформації про незареєстровані податкові накладні та/або розрахунки коригування до них, подані на реєстрацію платником податків, із зазначенням причини відмови у їх реєстрації;</w:t>
      </w:r>
    </w:p>
    <w:p w14:paraId="1B1DF3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79" w:name="n13785"/>
      <w:bookmarkEnd w:id="1879"/>
      <w:r w:rsidRPr="008B264B">
        <w:rPr>
          <w:rFonts w:ascii="Times New Roman" w:eastAsia="Times New Roman" w:hAnsi="Times New Roman" w:cs="Times New Roman"/>
          <w:color w:val="000000"/>
          <w:sz w:val="24"/>
          <w:szCs w:val="24"/>
          <w:lang/>
        </w:rPr>
        <w:t>інформування платників податків про проведення документальної планової перевірки платника податків із зазначенням дати початку проведення такої перевірки, ходу та результатів його перевірок, передбачених цим Кодексом, у тому числі отримання наказу про проведення документальної (планової або позапланової, виїзної або невиїзної) та фактичної перевірки, отримання акта або довідки, яким оформлені результати перевірки;</w:t>
      </w:r>
    </w:p>
    <w:p w14:paraId="670857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0" w:name="n13786"/>
      <w:bookmarkEnd w:id="1880"/>
      <w:r w:rsidRPr="008B264B">
        <w:rPr>
          <w:rFonts w:ascii="Times New Roman" w:eastAsia="Times New Roman" w:hAnsi="Times New Roman" w:cs="Times New Roman"/>
          <w:color w:val="000000"/>
          <w:sz w:val="24"/>
          <w:szCs w:val="24"/>
          <w:lang/>
        </w:rPr>
        <w:t>забезпечення можливості адміністративного оскарження рішень контролюючих органів, у тому числі подання заперечень на акт або довідку, якими оформлені результати перевірки, подання скарги на податкове повідомлення-рішення або інше рішення, дію або бездіяльність контролюючого органу чи посадової особи контролюючого органу, у тому числі рішення про коригування митної вартості, рішення щодо класифікації товарів для митних цілей, про визначення країни походження, рішення щодо підстав для надання податкових пільг тощо;</w:t>
      </w:r>
    </w:p>
    <w:p w14:paraId="460AFC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1" w:name="n13787"/>
      <w:bookmarkEnd w:id="1881"/>
      <w:r w:rsidRPr="008B264B">
        <w:rPr>
          <w:rFonts w:ascii="Times New Roman" w:eastAsia="Times New Roman" w:hAnsi="Times New Roman" w:cs="Times New Roman"/>
          <w:color w:val="000000"/>
          <w:sz w:val="24"/>
          <w:szCs w:val="24"/>
          <w:lang/>
        </w:rPr>
        <w:t>інформування про статус контрагентів за публічно доступними даними інформаційних ресурсів центрального органу виконавчої влади, що забезпечує формування та реалізує державну фінансову політику, інших реєстрів та баз даних, які ведуться згідно з цим Кодексом, включаючи надання інформації про контрагентів платника податків, щодо яких прийнято рішення про ліквідацію юридичної особи, про анулювання реєстрації платника податку на додану вартість або яких притягнуто до відповідальності за порушення законів з питань оподаткування (виключно після остаточного узгодження санкцій та зобов’язань);</w:t>
      </w:r>
    </w:p>
    <w:p w14:paraId="2E94AC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2" w:name="n13788"/>
      <w:bookmarkEnd w:id="1882"/>
      <w:r w:rsidRPr="008B264B">
        <w:rPr>
          <w:rFonts w:ascii="Times New Roman" w:eastAsia="Times New Roman" w:hAnsi="Times New Roman" w:cs="Times New Roman"/>
          <w:color w:val="000000"/>
          <w:sz w:val="24"/>
          <w:szCs w:val="24"/>
          <w:lang/>
        </w:rPr>
        <w:t>взяття на облік, внесення змін до облікових відомостей (включаючи, але не обмежуючись, внесення або зміну інформації про осіб, які мають право підписувати податкову звітність, та кваліфікованих сертифікатів відкритих ключів кваліфікованих електронних підписів та/або печаток (за наявності), зняття з обліку (у тому числі взяття на облік, внесення змін до облікових відомостей та зняття з обліку осіб, які здійснюють операції з товарами у порядку, визначеному </w:t>
      </w:r>
      <w:hyperlink r:id="rId1015"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переходу на спеціальні режими оподаткування та інших реєстраційних дій;</w:t>
      </w:r>
    </w:p>
    <w:p w14:paraId="18B1D1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3" w:name="n15796"/>
      <w:bookmarkEnd w:id="1883"/>
      <w:r w:rsidRPr="008B264B">
        <w:rPr>
          <w:rFonts w:ascii="Times New Roman" w:eastAsia="Times New Roman" w:hAnsi="Times New Roman" w:cs="Times New Roman"/>
          <w:i/>
          <w:iCs/>
          <w:color w:val="000000"/>
          <w:sz w:val="24"/>
          <w:szCs w:val="24"/>
          <w:lang/>
        </w:rPr>
        <w:t>{Абзац тринадцятий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16" w:anchor="n20"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78BC15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4" w:name="n13789"/>
      <w:bookmarkEnd w:id="1884"/>
      <w:r w:rsidRPr="008B264B">
        <w:rPr>
          <w:rFonts w:ascii="Times New Roman" w:eastAsia="Times New Roman" w:hAnsi="Times New Roman" w:cs="Times New Roman"/>
          <w:color w:val="000000"/>
          <w:sz w:val="24"/>
          <w:szCs w:val="24"/>
          <w:lang/>
        </w:rPr>
        <w:t>подання звернень та інших документів для отримання ліцензій, дозволів на поміщення товарів у митні режими, дозволів на провадження митної брокерської діяльності, відкриття та експлуатацію магазинів безмитної торгівлі, митного складу, вільної митної зони комерційного та сервісного типу, складу тимчасового зберігання, вантажного митного комплексу, а також звернень та інших документів з приводу винесення попередніх рішень у порядку та на умовах, передбачених </w:t>
      </w:r>
      <w:hyperlink r:id="rId1017"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6287D2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5" w:name="n13790"/>
      <w:bookmarkEnd w:id="1885"/>
      <w:r w:rsidRPr="008B264B">
        <w:rPr>
          <w:rFonts w:ascii="Times New Roman" w:eastAsia="Times New Roman" w:hAnsi="Times New Roman" w:cs="Times New Roman"/>
          <w:color w:val="000000"/>
          <w:sz w:val="24"/>
          <w:szCs w:val="24"/>
          <w:lang/>
        </w:rPr>
        <w:t>подання звернень та інших документів з метою реєстрації об’єкта інтелектуальної власності у митному реєстрі об’єктів права інтелектуальної власності, отримання повідомлень від митниць про призупинення митного оформлення на підставі даних митного реєстру об’єктів інтелектуальної власності та подальшого листування з правовласником з приводу призупинення такого митного оформлення;</w:t>
      </w:r>
    </w:p>
    <w:p w14:paraId="0FADDB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6" w:name="n13791"/>
      <w:bookmarkEnd w:id="1886"/>
      <w:r w:rsidRPr="008B264B">
        <w:rPr>
          <w:rFonts w:ascii="Times New Roman" w:eastAsia="Times New Roman" w:hAnsi="Times New Roman" w:cs="Times New Roman"/>
          <w:color w:val="000000"/>
          <w:sz w:val="24"/>
          <w:szCs w:val="24"/>
          <w:lang/>
        </w:rPr>
        <w:t>подання заяв та інших документів з метою отримання документів, що підтверджують країну походження, які видаються митницями (зокрема сертифікатів EUR.1);</w:t>
      </w:r>
    </w:p>
    <w:p w14:paraId="1BC8F6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7" w:name="n13792"/>
      <w:bookmarkEnd w:id="1887"/>
      <w:r w:rsidRPr="008B264B">
        <w:rPr>
          <w:rFonts w:ascii="Times New Roman" w:eastAsia="Times New Roman" w:hAnsi="Times New Roman" w:cs="Times New Roman"/>
          <w:color w:val="000000"/>
          <w:sz w:val="24"/>
          <w:szCs w:val="24"/>
          <w:lang/>
        </w:rPr>
        <w:lastRenderedPageBreak/>
        <w:t>реєстрації контролюючим органом реєстраторів розрахункових операцій у разі, якщо така реєстрація передбачена законодавством, подання звітності, пов’язаної із застосуванням реєстратора розрахункових операцій, книг обліку розрахункових операцій та розрахункових книжок, подання електронних копій розрахункових документів і фіскальних звітних чеків, подання інформації про обсяг розрахункових операцій, виконаних у готівковій та/або у безготівковій формі, або про обсяг операцій з купівлі-продажу іноземної валюти тощо;</w:t>
      </w:r>
    </w:p>
    <w:p w14:paraId="0794A6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8" w:name="n13793"/>
      <w:bookmarkEnd w:id="1888"/>
      <w:r w:rsidRPr="008B264B">
        <w:rPr>
          <w:rFonts w:ascii="Times New Roman" w:eastAsia="Times New Roman" w:hAnsi="Times New Roman" w:cs="Times New Roman"/>
          <w:color w:val="000000"/>
          <w:sz w:val="24"/>
          <w:szCs w:val="24"/>
          <w:lang/>
        </w:rPr>
        <w:t>подання повідомлення про технічну та/або методологічну помилку, що виявлена в роботі електронного кабінету;</w:t>
      </w:r>
    </w:p>
    <w:p w14:paraId="6CC412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89" w:name="n13794"/>
      <w:bookmarkEnd w:id="1889"/>
      <w:r w:rsidRPr="008B264B">
        <w:rPr>
          <w:rFonts w:ascii="Times New Roman" w:eastAsia="Times New Roman" w:hAnsi="Times New Roman" w:cs="Times New Roman"/>
          <w:color w:val="000000"/>
          <w:sz w:val="24"/>
          <w:szCs w:val="24"/>
          <w:lang/>
        </w:rPr>
        <w:t>отримання будь-якого документа, що стосується такого платника податків та має бути виданий йому контролюючим органом згідно із законодавством України, або інформації з баз даних про такого платника податків шляхом вивантаження відповідної інформації з електронного кабінету із накладенням кваліфікованого електронного підпису посадової особи контролюючого органу та кваліфікованої електронної печатки контролюючого органу із застосуванням засобів кваліфікованого електронного підпису чи печатки, які мають вбудовані апаратно-програмні засоби, що забезпечують захист записаних на них даних від несанкціонованого доступу, від безпосереднього ознайомлення із значенням параметрів особистих ключів та їх копіювання, з дотриманням вимог законів України </w:t>
      </w:r>
      <w:hyperlink r:id="rId1018"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019"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38F66F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0" w:name="n15797"/>
      <w:bookmarkEnd w:id="1890"/>
      <w:r w:rsidRPr="008B264B">
        <w:rPr>
          <w:rFonts w:ascii="Times New Roman" w:eastAsia="Times New Roman" w:hAnsi="Times New Roman" w:cs="Times New Roman"/>
          <w:i/>
          <w:iCs/>
          <w:color w:val="000000"/>
          <w:sz w:val="24"/>
          <w:szCs w:val="24"/>
          <w:lang/>
        </w:rPr>
        <w:t>{Абзац дев'ятнадцятий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1020" w:anchor="n21"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6110BF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1" w:name="n13795"/>
      <w:bookmarkEnd w:id="1891"/>
      <w:r w:rsidRPr="008B264B">
        <w:rPr>
          <w:rFonts w:ascii="Times New Roman" w:eastAsia="Times New Roman" w:hAnsi="Times New Roman" w:cs="Times New Roman"/>
          <w:color w:val="000000"/>
          <w:sz w:val="24"/>
          <w:szCs w:val="24"/>
          <w:lang/>
        </w:rPr>
        <w:t>забезпечення взаємодії платників податків з контролюючими органами з інших питань, передбачених цим Кодексом, яка може бути реалізована в електронній формі засобами електронного зв’язку.</w:t>
      </w:r>
    </w:p>
    <w:p w14:paraId="5A9D5A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2" w:name="n13796"/>
      <w:bookmarkEnd w:id="1892"/>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Майнові права на програмне забезпечення електронного кабінету є державною власністю.</w:t>
      </w:r>
    </w:p>
    <w:p w14:paraId="61A3CD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3" w:name="n13797"/>
      <w:bookmarkEnd w:id="1893"/>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 Методолог електронного кабінету забезпечує:</w:t>
      </w:r>
    </w:p>
    <w:p w14:paraId="640DF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4" w:name="n13798"/>
      <w:bookmarkEnd w:id="1894"/>
      <w:r w:rsidRPr="008B264B">
        <w:rPr>
          <w:rFonts w:ascii="Times New Roman" w:eastAsia="Times New Roman" w:hAnsi="Times New Roman" w:cs="Times New Roman"/>
          <w:color w:val="000000"/>
          <w:sz w:val="24"/>
          <w:szCs w:val="24"/>
          <w:lang/>
        </w:rPr>
        <w:t>а) визначення методологічних та методичних основ створення та функціонування електронного кабінету;</w:t>
      </w:r>
    </w:p>
    <w:p w14:paraId="082231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5" w:name="n13799"/>
      <w:bookmarkEnd w:id="1895"/>
      <w:r w:rsidRPr="008B264B">
        <w:rPr>
          <w:rFonts w:ascii="Times New Roman" w:eastAsia="Times New Roman" w:hAnsi="Times New Roman" w:cs="Times New Roman"/>
          <w:color w:val="000000"/>
          <w:sz w:val="24"/>
          <w:szCs w:val="24"/>
          <w:lang/>
        </w:rPr>
        <w:t>б) підготовку та затвердження технічного завдання на розроблення, оновлення, модифікацію, усунення помилок програмного забезпечення електронного кабінету;</w:t>
      </w:r>
    </w:p>
    <w:p w14:paraId="22CE01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6" w:name="n13800"/>
      <w:bookmarkEnd w:id="1896"/>
      <w:r w:rsidRPr="008B264B">
        <w:rPr>
          <w:rFonts w:ascii="Times New Roman" w:eastAsia="Times New Roman" w:hAnsi="Times New Roman" w:cs="Times New Roman"/>
          <w:color w:val="000000"/>
          <w:sz w:val="24"/>
          <w:szCs w:val="24"/>
          <w:lang/>
        </w:rPr>
        <w:t>в) затвердження та перевірку алгоритмів роботи програмного забезпечення на відповідність вимогам законодавства;</w:t>
      </w:r>
    </w:p>
    <w:p w14:paraId="541C77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7" w:name="n13801"/>
      <w:bookmarkEnd w:id="1897"/>
      <w:r w:rsidRPr="008B264B">
        <w:rPr>
          <w:rFonts w:ascii="Times New Roman" w:eastAsia="Times New Roman" w:hAnsi="Times New Roman" w:cs="Times New Roman"/>
          <w:color w:val="000000"/>
          <w:sz w:val="24"/>
          <w:szCs w:val="24"/>
          <w:lang/>
        </w:rPr>
        <w:t>г) цілісність та автентичність вихідного програмного коду електронного кабінету;</w:t>
      </w:r>
    </w:p>
    <w:p w14:paraId="63202C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8" w:name="n13802"/>
      <w:bookmarkEnd w:id="1898"/>
      <w:r w:rsidRPr="008B264B">
        <w:rPr>
          <w:rFonts w:ascii="Times New Roman" w:eastAsia="Times New Roman" w:hAnsi="Times New Roman" w:cs="Times New Roman"/>
          <w:color w:val="000000"/>
          <w:sz w:val="24"/>
          <w:szCs w:val="24"/>
          <w:lang/>
        </w:rPr>
        <w:t>ґ) збереження даних, що містяться в електронному кабінеті;</w:t>
      </w:r>
    </w:p>
    <w:p w14:paraId="646A7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899" w:name="n13803"/>
      <w:bookmarkEnd w:id="1899"/>
      <w:r w:rsidRPr="008B264B">
        <w:rPr>
          <w:rFonts w:ascii="Times New Roman" w:eastAsia="Times New Roman" w:hAnsi="Times New Roman" w:cs="Times New Roman"/>
          <w:color w:val="000000"/>
          <w:sz w:val="24"/>
          <w:szCs w:val="24"/>
          <w:lang/>
        </w:rPr>
        <w:t>д) здійснення контролю за збереженням даних, що містяться в електронному кабінеті, за відсутністю технічного втручання в дані або підміни даних в електронному кабінеті;</w:t>
      </w:r>
    </w:p>
    <w:p w14:paraId="62BFF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0" w:name="n13804"/>
      <w:bookmarkEnd w:id="1900"/>
      <w:r w:rsidRPr="008B264B">
        <w:rPr>
          <w:rFonts w:ascii="Times New Roman" w:eastAsia="Times New Roman" w:hAnsi="Times New Roman" w:cs="Times New Roman"/>
          <w:color w:val="000000"/>
          <w:sz w:val="24"/>
          <w:szCs w:val="24"/>
          <w:lang/>
        </w:rPr>
        <w:t>е) встановлення строку усунення технічної та/або методологічної помилки в роботі електронного кабінету з урахуванням критичності виявленої помилки та технічної можливості її усунення;</w:t>
      </w:r>
    </w:p>
    <w:p w14:paraId="7AB4A3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1" w:name="n13805"/>
      <w:bookmarkEnd w:id="1901"/>
      <w:r w:rsidRPr="008B264B">
        <w:rPr>
          <w:rFonts w:ascii="Times New Roman" w:eastAsia="Times New Roman" w:hAnsi="Times New Roman" w:cs="Times New Roman"/>
          <w:color w:val="000000"/>
          <w:sz w:val="24"/>
          <w:szCs w:val="24"/>
          <w:lang/>
        </w:rPr>
        <w:t>є) здійснення інших функцій, необхідних для забезпечення функціонування електронного кабінету.</w:t>
      </w:r>
    </w:p>
    <w:p w14:paraId="7EDEE9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2" w:name="n13806"/>
      <w:bookmarkEnd w:id="1902"/>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 Платник податків стає користувачем електронного кабінету та набуває право подавати звітність в електронній формі і вести листування засобами електронного зв’язку в електронній формі після проходження в електронному кабінеті електронної ідентифікації онлайн з використанням кваліфікованого електронного підпису з дотриманням вимог законів України </w:t>
      </w:r>
      <w:hyperlink r:id="rId1021"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022" w:tgtFrame="_blank" w:history="1">
        <w:r w:rsidRPr="008B264B">
          <w:rPr>
            <w:rFonts w:ascii="Times New Roman" w:eastAsia="Times New Roman" w:hAnsi="Times New Roman" w:cs="Times New Roman"/>
            <w:color w:val="0000FF"/>
            <w:sz w:val="24"/>
            <w:szCs w:val="24"/>
            <w:u w:val="single"/>
            <w:lang/>
          </w:rPr>
          <w:t xml:space="preserve">"Про електронні довірчі </w:t>
        </w:r>
        <w:r w:rsidRPr="008B264B">
          <w:rPr>
            <w:rFonts w:ascii="Times New Roman" w:eastAsia="Times New Roman" w:hAnsi="Times New Roman" w:cs="Times New Roman"/>
            <w:color w:val="0000FF"/>
            <w:sz w:val="24"/>
            <w:szCs w:val="24"/>
            <w:u w:val="single"/>
            <w:lang/>
          </w:rPr>
          <w:lastRenderedPageBreak/>
          <w:t>послуги"</w:t>
        </w:r>
      </w:hyperlink>
      <w:r w:rsidRPr="008B264B">
        <w:rPr>
          <w:rFonts w:ascii="Times New Roman" w:eastAsia="Times New Roman" w:hAnsi="Times New Roman" w:cs="Times New Roman"/>
          <w:color w:val="000000"/>
          <w:sz w:val="24"/>
          <w:szCs w:val="24"/>
          <w:lang/>
        </w:rPr>
        <w:t> або тих сервісів ідентифікації, використання яких дозволяється методологом електронного кабінету.</w:t>
      </w:r>
    </w:p>
    <w:p w14:paraId="48C043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3" w:name="n15798"/>
      <w:bookmarkEnd w:id="1903"/>
      <w:r w:rsidRPr="008B264B">
        <w:rPr>
          <w:rFonts w:ascii="Times New Roman" w:eastAsia="Times New Roman" w:hAnsi="Times New Roman" w:cs="Times New Roman"/>
          <w:i/>
          <w:iCs/>
          <w:color w:val="000000"/>
          <w:sz w:val="24"/>
          <w:szCs w:val="24"/>
          <w:lang/>
        </w:rPr>
        <w:t>{Абзац перший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23" w:anchor="n24"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12DBCE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4" w:name="n13807"/>
      <w:bookmarkEnd w:id="1904"/>
      <w:r w:rsidRPr="008B264B">
        <w:rPr>
          <w:rFonts w:ascii="Times New Roman" w:eastAsia="Times New Roman" w:hAnsi="Times New Roman" w:cs="Times New Roman"/>
          <w:color w:val="000000"/>
          <w:sz w:val="24"/>
          <w:szCs w:val="24"/>
          <w:lang/>
        </w:rPr>
        <w:t>Забороняється вимагати від платника податків вчинення додаткових дій, не передбачених цим пунктом, для того щоб отримати право користування електронним кабінетом.</w:t>
      </w:r>
    </w:p>
    <w:p w14:paraId="157B03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5" w:name="n13808"/>
      <w:bookmarkEnd w:id="1905"/>
      <w:r w:rsidRPr="008B264B">
        <w:rPr>
          <w:rFonts w:ascii="Times New Roman" w:eastAsia="Times New Roman" w:hAnsi="Times New Roman" w:cs="Times New Roman"/>
          <w:color w:val="000000"/>
          <w:sz w:val="24"/>
          <w:szCs w:val="24"/>
          <w:lang/>
        </w:rPr>
        <w:t>Єдиною підставою для відмови у проходженні електронної ідентифікації платника податків в електронному кабінеті є недійсність кваліфікованого електронного підпису такого платника податків, у тому числі у зв’язку із закінченням строку дії відповідного сертифіката відкритого ключа.</w:t>
      </w:r>
    </w:p>
    <w:p w14:paraId="2B322D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6" w:name="n15799"/>
      <w:bookmarkEnd w:id="1906"/>
      <w:r w:rsidRPr="008B264B">
        <w:rPr>
          <w:rFonts w:ascii="Times New Roman" w:eastAsia="Times New Roman" w:hAnsi="Times New Roman" w:cs="Times New Roman"/>
          <w:i/>
          <w:iCs/>
          <w:color w:val="000000"/>
          <w:sz w:val="24"/>
          <w:szCs w:val="24"/>
          <w:lang/>
        </w:rPr>
        <w:t>{Абзац третій пункту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1024" w:anchor="n25"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3EF8E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7" w:name="n13809"/>
      <w:bookmarkEnd w:id="1907"/>
      <w:r w:rsidRPr="008B264B">
        <w:rPr>
          <w:rFonts w:ascii="Times New Roman" w:eastAsia="Times New Roman" w:hAnsi="Times New Roman" w:cs="Times New Roman"/>
          <w:color w:val="000000"/>
          <w:sz w:val="24"/>
          <w:szCs w:val="24"/>
          <w:lang/>
        </w:rPr>
        <w:t>Платник податків, що пройшов ідентифікацію в електронному кабінеті, самостійно визначає спосіб взаємодії з контролюючим органом, а саме в загальному порядку чи в електронній формі, про що робить відповідну позначку в електронному кабінеті з одночасним обов’язковим зазначенням своєї електронної адреси (адрес). У разі зміни електронної адреси платник податків зобов’язаний не пізніше наступного робочого дня внести відповідні зміни до своїх облікових даних в електронному кабінеті.</w:t>
      </w:r>
    </w:p>
    <w:p w14:paraId="6D57B4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8" w:name="n13810"/>
      <w:bookmarkEnd w:id="1908"/>
      <w:r w:rsidRPr="008B264B">
        <w:rPr>
          <w:rFonts w:ascii="Times New Roman" w:eastAsia="Times New Roman" w:hAnsi="Times New Roman" w:cs="Times New Roman"/>
          <w:color w:val="000000"/>
          <w:sz w:val="24"/>
          <w:szCs w:val="24"/>
          <w:lang/>
        </w:rPr>
        <w:t>Починаючи з дня, наступного за днем обрання платником податків електронної форми взаємодії з контролюючим органом через електронний кабінет, крім вихідних та святкових днів, взаємодія між ними, яка може бути реалізована в електронній формі засобами електронного зв’язку, здійснюється через електронний кабінет.</w:t>
      </w:r>
    </w:p>
    <w:p w14:paraId="58A409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09" w:name="n13811"/>
      <w:bookmarkEnd w:id="1909"/>
      <w:r w:rsidRPr="008B264B">
        <w:rPr>
          <w:rFonts w:ascii="Times New Roman" w:eastAsia="Times New Roman" w:hAnsi="Times New Roman" w:cs="Times New Roman"/>
          <w:color w:val="000000"/>
          <w:sz w:val="24"/>
          <w:szCs w:val="24"/>
          <w:lang/>
        </w:rPr>
        <w:t>Платник податків має право в будь-який момент відмовитися від електронної форми взаємодії з контролюючим органом шляхом надіслання відповідного повідомлення через електронний кабінет. Починаючи з дня, наступного за днем надіслання такого повідомлення, взаємодія платника податків з контролюючим органом в електронній формі припиняється і здійснюється в загальному порядку, встановленому цим Кодексом.</w:t>
      </w:r>
    </w:p>
    <w:p w14:paraId="280100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0" w:name="n13819"/>
      <w:bookmarkEnd w:id="1910"/>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25"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49738F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1" w:name="n13812"/>
      <w:bookmarkEnd w:id="1911"/>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.6. Електронний кабінет працює постійно (24 години на дату кожного календарного дня), крім часу, необхідного для його технічного обслуговування. Проведення технічного обслуговування електронного кабінету у день, на який припадає граничний строк подання </w:t>
      </w:r>
      <w:hyperlink r:id="rId1026" w:anchor="n20" w:tgtFrame="_blank" w:history="1">
        <w:r w:rsidRPr="008B264B">
          <w:rPr>
            <w:rFonts w:ascii="Times New Roman" w:eastAsia="Times New Roman" w:hAnsi="Times New Roman" w:cs="Times New Roman"/>
            <w:color w:val="0000FF"/>
            <w:sz w:val="24"/>
            <w:szCs w:val="24"/>
            <w:u w:val="single"/>
            <w:lang/>
          </w:rPr>
          <w:t>податкових декларацій</w:t>
        </w:r>
      </w:hyperlink>
      <w:r w:rsidRPr="008B264B">
        <w:rPr>
          <w:rFonts w:ascii="Times New Roman" w:eastAsia="Times New Roman" w:hAnsi="Times New Roman" w:cs="Times New Roman"/>
          <w:color w:val="000000"/>
          <w:sz w:val="24"/>
          <w:szCs w:val="24"/>
          <w:lang/>
        </w:rPr>
        <w:t>, та з 8 до 20 години будь-якого іншого календарного дня забороняється. Технічне обслуговування електронного кабінету проводиться у порядку, що визначається методологом електронного кабінету.</w:t>
      </w:r>
    </w:p>
    <w:p w14:paraId="71583C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2" w:name="n13820"/>
      <w:bookmarkEnd w:id="1912"/>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27"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111AC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3" w:name="n13813"/>
      <w:bookmarkEnd w:id="1913"/>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.7. У разі виявлення платником податків технічної та/або методологічної помилки у роботі електронного кабінету він має право надіслати через електронний кабінет або в інший спосіб повідомлення про виявлену технічну та/або методологічну помилку. Повідомлення про методологічну помилку надсилається методологу електронного кабінету. Повідомлення про технічну помилку надсилається одночасно методологу електронного кабінету та технічному адміністратору.</w:t>
      </w:r>
    </w:p>
    <w:p w14:paraId="7E10EB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4" w:name="n13821"/>
      <w:bookmarkEnd w:id="1914"/>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.7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28"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A2A4A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5" w:name="n13814"/>
      <w:bookmarkEnd w:id="1915"/>
      <w:r w:rsidRPr="008B264B">
        <w:rPr>
          <w:rFonts w:ascii="Times New Roman" w:eastAsia="Times New Roman" w:hAnsi="Times New Roman" w:cs="Times New Roman"/>
          <w:color w:val="000000"/>
          <w:sz w:val="24"/>
          <w:szCs w:val="24"/>
          <w:lang/>
        </w:rPr>
        <w:lastRenderedPageBreak/>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.8. Методолог електронного кабінету зобов’язаний провести перевірку наявності методологічної помилки протягом 72 годин після надходження повідомлення від платника податків, крім вихідних та святкових днів, про результати якої повідомити платнику податків у цей самий строк. Якщо методолог електронного кабінету визнає наявність методологічної помилки, він зобов’язаний усунути її у строк, що визначається ним з урахуванням критичності виявленої помилки та технічної можливості її усунення. Якщо методологічна помилка призводить до порушення прав платників податків або передбачає притягнення платників податків до відповідальності, методолог надсилає в електронний кабінет та на електронну адресу (адреси) платника податків документ, яким повідомляє про існування методологічної помилки та про час, необхідний для її усунення та відновлення порушених прав платників податків. Про усунення методологічної помилки методолог повідомляє платникам податків шляхом надіслання відповідного документа із повідомленням в електронний кабінет та на електронну адресу (адреси) платників податків.</w:t>
      </w:r>
    </w:p>
    <w:p w14:paraId="737EEA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6" w:name="n13822"/>
      <w:bookmarkEnd w:id="1916"/>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.8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29"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6F202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7" w:name="n13815"/>
      <w:bookmarkEnd w:id="1917"/>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.9. Технічний адміністратор зобов’язаний провести перевірку наявності технічної помилки протягом 72 годин після надходження повідомлення від платника податків, крім вихідних та святкових днів, про результати якої повідомити методологу електронного кабінету та платнику податків у цей самий строк. Якщо технічний адміністратор визнає наявність технічної помилки, він зобов’язаний усунути таку технічну помилку протягом строку, визначеного методологом електронного кабінету, з урахуванням критичності виявленої помилки та технічної можливості її усунення. Якщо технічна помилка призводить до порушення прав платників податків або передбачає притягнення платників податків до відповідальності, технічний адміністратор надсилає в електронний кабінет та на електронну адресу (адреси) платників податків документ, яким повідомляє всім платникам податків про існування технічної помилки та про час, необхідний для її усунення і відновлення порушених прав платників податків. Про усунення технічної помилки технічний адміністратор повідомляє платникам податків шляхом надіслання відповідного документа із повідомленням в електронний кабінет та на електронну адресу (адреси) платників податків.</w:t>
      </w:r>
    </w:p>
    <w:p w14:paraId="6D474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8" w:name="n13823"/>
      <w:bookmarkEnd w:id="1918"/>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.9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30"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35F03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19" w:name="n13816"/>
      <w:bookmarkEnd w:id="1919"/>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.10. Платник податків звільняється від відповідальності у разі, коли у роботі електронного кабінету виявлена технічна та/або методологічна помилка і така помилка визнана технічним адміністратором та/або методологом електронного кабінету або її існування підтверджено рішенням суду. У такому разі штрафні санкції та пеня, передбачені цим Кодексом, за порушення податкового та іншого законодавства, контроль за дотриманням якого покладено на контролюючий орган, що спричинені технічною та/або методологічною помилкою у роботі електронного кабінету, не застосовуються, підстави для притягнення платника податків та/або його посадових осіб до адміністративної, кримінальної відповідальності відсутні. Ненарахування штрафних санкцій та/або пені за порушення, що спричинені технічною та/або методологічною помилкою у роботі електронного кабінету, закріплюється (реалізується) в програмному забезпеченні, яке застосовується для автоматичного розрахунку штрафних санкцій та/або пені за порушення податкового законодавства.</w:t>
      </w:r>
    </w:p>
    <w:p w14:paraId="4F1FCD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0" w:name="n13824"/>
      <w:bookmarkEnd w:id="1920"/>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.10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31"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120AE9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1" w:name="n13817"/>
      <w:bookmarkEnd w:id="1921"/>
      <w:r w:rsidRPr="008B264B">
        <w:rPr>
          <w:rFonts w:ascii="Times New Roman" w:eastAsia="Times New Roman" w:hAnsi="Times New Roman" w:cs="Times New Roman"/>
          <w:color w:val="000000"/>
          <w:sz w:val="24"/>
          <w:szCs w:val="24"/>
          <w:lang/>
        </w:rPr>
        <w:t>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xml:space="preserve">.11. Якщо технічний адміністратор або методолог не надсилає відповіді про результати перевірки повідомлення про технічну та/або методологічну помилку у встановлений цим Кодексом строк або заперечує наявність технічної та/або методологічної помилки у роботі </w:t>
      </w:r>
      <w:r w:rsidRPr="008B264B">
        <w:rPr>
          <w:rFonts w:ascii="Times New Roman" w:eastAsia="Times New Roman" w:hAnsi="Times New Roman" w:cs="Times New Roman"/>
          <w:color w:val="000000"/>
          <w:sz w:val="24"/>
          <w:szCs w:val="24"/>
          <w:lang/>
        </w:rPr>
        <w:lastRenderedPageBreak/>
        <w:t>електронного кабінету, то платник податків має право звернутися до суду за захистом своїх прав та охоронюваних інтересів, про що повідомляє контролюючому органу, технічному адміністратору та методологу електронного кабінету через електронний кабінет. Протягом всього часу судового розгляду такого звернення платника податків забороняється визначати платнику податків грошове зобов’язання, застосовувати штрафні санкції та нараховувати пеню, ініціювати притягнення платника податків та/або його посадових осіб до адміністративної, кримінальної відповідальності за порушення податкового законодавства, що можуть бути спричинені технічною та/або методологічною помилкою у роботі електронного кабінету.</w:t>
      </w:r>
    </w:p>
    <w:p w14:paraId="47B57B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2" w:name="n13825"/>
      <w:bookmarkEnd w:id="1922"/>
      <w:r w:rsidRPr="008B264B">
        <w:rPr>
          <w:rFonts w:ascii="Times New Roman" w:eastAsia="Times New Roman" w:hAnsi="Times New Roman" w:cs="Times New Roman"/>
          <w:i/>
          <w:iCs/>
          <w:color w:val="000000"/>
          <w:sz w:val="24"/>
          <w:szCs w:val="24"/>
          <w:lang/>
        </w:rPr>
        <w:t>{Пункт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.11 статті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32"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1854C1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3" w:name="n13763"/>
      <w:bookmarkEnd w:id="1923"/>
      <w:r w:rsidRPr="008B264B">
        <w:rPr>
          <w:rFonts w:ascii="Times New Roman" w:eastAsia="Times New Roman" w:hAnsi="Times New Roman" w:cs="Times New Roman"/>
          <w:i/>
          <w:iCs/>
          <w:color w:val="000000"/>
          <w:sz w:val="24"/>
          <w:szCs w:val="24"/>
          <w:lang/>
        </w:rPr>
        <w:t>{Кодекс доповнено статтею 42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1033" w:anchor="n38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8B83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4" w:name="n1100"/>
      <w:bookmarkEnd w:id="1924"/>
      <w:r w:rsidRPr="008B264B">
        <w:rPr>
          <w:rFonts w:ascii="Times New Roman" w:eastAsia="Times New Roman" w:hAnsi="Times New Roman" w:cs="Times New Roman"/>
          <w:b/>
          <w:bCs/>
          <w:color w:val="000000"/>
          <w:sz w:val="24"/>
          <w:szCs w:val="24"/>
          <w:lang/>
        </w:rPr>
        <w:t>Стаття 43.</w:t>
      </w:r>
      <w:r w:rsidRPr="008B264B">
        <w:rPr>
          <w:rFonts w:ascii="Times New Roman" w:eastAsia="Times New Roman" w:hAnsi="Times New Roman" w:cs="Times New Roman"/>
          <w:color w:val="000000"/>
          <w:sz w:val="24"/>
          <w:szCs w:val="24"/>
          <w:lang/>
        </w:rPr>
        <w:t> Умови повернення помилково та/або надміру сплачених грошових зобов'язань та пені</w:t>
      </w:r>
    </w:p>
    <w:p w14:paraId="31474A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5" w:name="n13826"/>
      <w:bookmarkEnd w:id="1925"/>
      <w:r w:rsidRPr="008B264B">
        <w:rPr>
          <w:rFonts w:ascii="Times New Roman" w:eastAsia="Times New Roman" w:hAnsi="Times New Roman" w:cs="Times New Roman"/>
          <w:i/>
          <w:iCs/>
          <w:color w:val="000000"/>
          <w:sz w:val="24"/>
          <w:szCs w:val="24"/>
          <w:lang/>
        </w:rPr>
        <w:t>{Назва статті 43 із змінами, внесеними згідно із Законом </w:t>
      </w:r>
      <w:hyperlink r:id="rId1034" w:anchor="n4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0ABB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6" w:name="n1101"/>
      <w:bookmarkEnd w:id="1926"/>
      <w:r w:rsidRPr="008B264B">
        <w:rPr>
          <w:rFonts w:ascii="Times New Roman" w:eastAsia="Times New Roman" w:hAnsi="Times New Roman" w:cs="Times New Roman"/>
          <w:color w:val="000000"/>
          <w:sz w:val="24"/>
          <w:szCs w:val="24"/>
          <w:lang/>
        </w:rPr>
        <w:t>43.1. Помилково та/або надміру сплачені суми грошового зобов'язання підлягають поверненню платнику відповідно до цієї статті та </w:t>
      </w:r>
      <w:hyperlink r:id="rId1035" w:anchor="n2503" w:tgtFrame="_blank" w:history="1">
        <w:r w:rsidRPr="008B264B">
          <w:rPr>
            <w:rFonts w:ascii="Times New Roman" w:eastAsia="Times New Roman" w:hAnsi="Times New Roman" w:cs="Times New Roman"/>
            <w:color w:val="0000FF"/>
            <w:sz w:val="24"/>
            <w:szCs w:val="24"/>
            <w:u w:val="single"/>
            <w:lang/>
          </w:rPr>
          <w:t>статті 301 Митного кодексу України</w:t>
        </w:r>
      </w:hyperlink>
      <w:r w:rsidRPr="008B264B">
        <w:rPr>
          <w:rFonts w:ascii="Times New Roman" w:eastAsia="Times New Roman" w:hAnsi="Times New Roman" w:cs="Times New Roman"/>
          <w:color w:val="000000"/>
          <w:sz w:val="24"/>
          <w:szCs w:val="24"/>
          <w:lang/>
        </w:rPr>
        <w:t>, крім випадків наявності у такого платника податкового боргу.</w:t>
      </w:r>
    </w:p>
    <w:p w14:paraId="11C165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7" w:name="n1102"/>
      <w:bookmarkEnd w:id="1927"/>
      <w:r w:rsidRPr="008B264B">
        <w:rPr>
          <w:rFonts w:ascii="Times New Roman" w:eastAsia="Times New Roman" w:hAnsi="Times New Roman" w:cs="Times New Roman"/>
          <w:i/>
          <w:iCs/>
          <w:color w:val="000000"/>
          <w:sz w:val="24"/>
          <w:szCs w:val="24"/>
          <w:lang/>
        </w:rPr>
        <w:t>{Пункт 43.1 статті 43 із змінами, внесеними згідно із Законом </w:t>
      </w:r>
      <w:hyperlink r:id="rId1036" w:anchor="n2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43684C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8" w:name="n1103"/>
      <w:bookmarkEnd w:id="1928"/>
      <w:r w:rsidRPr="008B264B">
        <w:rPr>
          <w:rFonts w:ascii="Times New Roman" w:eastAsia="Times New Roman" w:hAnsi="Times New Roman" w:cs="Times New Roman"/>
          <w:color w:val="000000"/>
          <w:sz w:val="24"/>
          <w:szCs w:val="24"/>
          <w:lang/>
        </w:rPr>
        <w:t>43.2. У разі наявності у платника податків податкового боргу, повернення помилково та/або надміру сплаченої суми грошового зобов'язання на поточний рахунок такого платника податків в установі банку або шляхом повернення готівковими коштами за чеком, у разі відсутності у платника податків рахунку в банку, проводиться лише після повного погашення такого податкового боргу платником податків.</w:t>
      </w:r>
    </w:p>
    <w:p w14:paraId="1354C3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29" w:name="n1104"/>
      <w:bookmarkEnd w:id="1929"/>
      <w:r w:rsidRPr="008B264B">
        <w:rPr>
          <w:rFonts w:ascii="Times New Roman" w:eastAsia="Times New Roman" w:hAnsi="Times New Roman" w:cs="Times New Roman"/>
          <w:color w:val="000000"/>
          <w:sz w:val="24"/>
          <w:szCs w:val="24"/>
          <w:lang/>
        </w:rPr>
        <w:t>43.3. Обов'язковою умовою для здійснення повернення сум грошового зобов'язання є подання платником податків заяви про таке повернення (крім повернення надміру утриманих (сплачених) сум податку з доходів фізичних осіб, які розраховуються контролюючим органом на підставі поданої платником податків податкової декларації за звітний календарний рік шляхом проведення перерахунку за загальним річним оподатковуваним доходом платника податку) протягом 1095 днів від дня виникнення помилково та/або надміру сплаченої суми.</w:t>
      </w:r>
    </w:p>
    <w:p w14:paraId="35CAD1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0" w:name="n1105"/>
      <w:bookmarkEnd w:id="1930"/>
      <w:r w:rsidRPr="008B264B">
        <w:rPr>
          <w:rFonts w:ascii="Times New Roman" w:eastAsia="Times New Roman" w:hAnsi="Times New Roman" w:cs="Times New Roman"/>
          <w:color w:val="000000"/>
          <w:sz w:val="24"/>
          <w:szCs w:val="24"/>
          <w:lang/>
        </w:rPr>
        <w:t>43.4. Платник податків подає заяву про повернення помилково та/або надміру сплачених грошових зобов’язань та пені у довільній формі, в якій зазначає напрям перерахування коштів: на поточний рахунок платника податків в установі банку; на погашення грошового зобов’язання та/або податкового боргу з інших платежів, контроль за справлянням яких покладено на контролюючі органи, незалежно від виду бюджету; повернення у готівковій формі коштів за чеком у разі відсутності у платника податків рахунка в банку.</w:t>
      </w:r>
    </w:p>
    <w:p w14:paraId="40D847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1" w:name="n12661"/>
      <w:bookmarkEnd w:id="1931"/>
      <w:r w:rsidRPr="008B264B">
        <w:rPr>
          <w:rFonts w:ascii="Times New Roman" w:eastAsia="Times New Roman" w:hAnsi="Times New Roman" w:cs="Times New Roman"/>
          <w:i/>
          <w:iCs/>
          <w:color w:val="000000"/>
          <w:sz w:val="24"/>
          <w:szCs w:val="24"/>
          <w:lang/>
        </w:rPr>
        <w:t>{Пункт 43.4 статті 43 із змінами, внесеними згідно із Законом </w:t>
      </w:r>
      <w:hyperlink r:id="rId1037" w:anchor="n4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1038" w:anchor="n4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3647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2" w:name="n13828"/>
      <w:bookmarkEnd w:id="1932"/>
      <w:r w:rsidRPr="008B264B">
        <w:rPr>
          <w:rFonts w:ascii="Times New Roman" w:eastAsia="Times New Roman" w:hAnsi="Times New Roman" w:cs="Times New Roman"/>
          <w:color w:val="000000"/>
          <w:sz w:val="24"/>
          <w:szCs w:val="24"/>
          <w:lang/>
        </w:rPr>
        <w:t>43.4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У разі повернення надміру сплачених податкових зобов’язань з податку на додану вартість, зарахованих до бюджету з рахунка платника податку в системі електронного адміністрування податку на додану вартість у порядку, визначеному </w:t>
      </w:r>
      <w:hyperlink r:id="rId1039" w:anchor="n11324" w:history="1">
        <w:r w:rsidRPr="008B264B">
          <w:rPr>
            <w:rFonts w:ascii="Times New Roman" w:eastAsia="Times New Roman" w:hAnsi="Times New Roman" w:cs="Times New Roman"/>
            <w:color w:val="0000FF"/>
            <w:sz w:val="24"/>
            <w:szCs w:val="24"/>
            <w:u w:val="single"/>
            <w:lang/>
          </w:rPr>
          <w:t>пунктом 200</w:t>
        </w:r>
      </w:hyperlink>
      <w:hyperlink r:id="rId1040" w:anchor="n11324"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1041" w:anchor="n11324" w:history="1">
        <w:r w:rsidRPr="008B264B">
          <w:rPr>
            <w:rFonts w:ascii="Times New Roman" w:eastAsia="Times New Roman" w:hAnsi="Times New Roman" w:cs="Times New Roman"/>
            <w:color w:val="0000FF"/>
            <w:sz w:val="24"/>
            <w:szCs w:val="24"/>
            <w:u w:val="single"/>
            <w:lang/>
          </w:rPr>
          <w:t>.5</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такі кошти підлягають поверненню виключно на рахунок платника в системі електронного адміністрування податку на додану вартість, а у разі його відсутності на момент звернення платника податків із заявою на повернення надміру сплачених податкових зобов’язань з податку на додану вартість чи на момент фактичного повернення коштів - шляхом перерахування на поточний рахунок платника податків в установі банку.</w:t>
      </w:r>
    </w:p>
    <w:p w14:paraId="715A15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3" w:name="n13827"/>
      <w:bookmarkEnd w:id="1933"/>
      <w:r w:rsidRPr="008B264B">
        <w:rPr>
          <w:rFonts w:ascii="Times New Roman" w:eastAsia="Times New Roman" w:hAnsi="Times New Roman" w:cs="Times New Roman"/>
          <w:i/>
          <w:iCs/>
          <w:color w:val="000000"/>
          <w:sz w:val="24"/>
          <w:szCs w:val="24"/>
          <w:lang/>
        </w:rPr>
        <w:t>{Статтю 43 доповнено пунктом 43.4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1042" w:anchor="n4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EE7F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4" w:name="n1106"/>
      <w:bookmarkEnd w:id="1934"/>
      <w:r w:rsidRPr="008B264B">
        <w:rPr>
          <w:rFonts w:ascii="Times New Roman" w:eastAsia="Times New Roman" w:hAnsi="Times New Roman" w:cs="Times New Roman"/>
          <w:color w:val="000000"/>
          <w:sz w:val="24"/>
          <w:szCs w:val="24"/>
          <w:lang/>
        </w:rPr>
        <w:lastRenderedPageBreak/>
        <w:t>43.5. Контролюючий орган не пізніше ніж за п'ять робочих днів до закінчення двадцятиденного строку з дня подання платником податків заяви готує висновок про повернення відповідних сум коштів з відповідного бюджету та подає його для виконання відповідному органові, що здійснює казначейське обслуговування бюджетних коштів.</w:t>
      </w:r>
    </w:p>
    <w:p w14:paraId="0397D1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5" w:name="n1107"/>
      <w:bookmarkEnd w:id="1935"/>
      <w:r w:rsidRPr="008B264B">
        <w:rPr>
          <w:rFonts w:ascii="Times New Roman" w:eastAsia="Times New Roman" w:hAnsi="Times New Roman" w:cs="Times New Roman"/>
          <w:color w:val="000000"/>
          <w:sz w:val="24"/>
          <w:szCs w:val="24"/>
          <w:lang/>
        </w:rPr>
        <w:t>На підставі отриманого висновку орган, що здійснює казначейське обслуговування бюджетних коштів, протягом п’яти робочих днів здійснює повернення помилково та/або надміру сплачених грошових зобов’язань та пені платникам податків у порядку, встановленому центральним органом виконавчої влади, що забезпечує формування та реалізує державну фінансову політику.</w:t>
      </w:r>
    </w:p>
    <w:p w14:paraId="724EB0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6" w:name="n13829"/>
      <w:bookmarkEnd w:id="1936"/>
      <w:r w:rsidRPr="008B264B">
        <w:rPr>
          <w:rFonts w:ascii="Times New Roman" w:eastAsia="Times New Roman" w:hAnsi="Times New Roman" w:cs="Times New Roman"/>
          <w:i/>
          <w:iCs/>
          <w:color w:val="000000"/>
          <w:sz w:val="24"/>
          <w:szCs w:val="24"/>
          <w:lang/>
        </w:rPr>
        <w:t>{Абзац другий пункту 43.5 статті 43 в редакції Закону </w:t>
      </w:r>
      <w:hyperlink r:id="rId1043" w:anchor="n4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D1BF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7" w:name="n1108"/>
      <w:bookmarkEnd w:id="1937"/>
      <w:r w:rsidRPr="008B264B">
        <w:rPr>
          <w:rFonts w:ascii="Times New Roman" w:eastAsia="Times New Roman" w:hAnsi="Times New Roman" w:cs="Times New Roman"/>
          <w:color w:val="000000"/>
          <w:sz w:val="24"/>
          <w:szCs w:val="24"/>
          <w:lang/>
        </w:rPr>
        <w:t>Контролюючий орган несе відповідальність згідно із законом за несвоєчасність передачі органу, що здійснює казначейське обслуговування бюджетних коштів для виконання висновку про повернення відповідних сум коштів з відповідного бюджету.</w:t>
      </w:r>
    </w:p>
    <w:p w14:paraId="3CAF3C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8" w:name="n1109"/>
      <w:bookmarkEnd w:id="1938"/>
      <w:r w:rsidRPr="008B264B">
        <w:rPr>
          <w:rFonts w:ascii="Times New Roman" w:eastAsia="Times New Roman" w:hAnsi="Times New Roman" w:cs="Times New Roman"/>
          <w:i/>
          <w:iCs/>
          <w:color w:val="000000"/>
          <w:sz w:val="24"/>
          <w:szCs w:val="24"/>
          <w:lang/>
        </w:rPr>
        <w:t>{Пункт 43.5 статті 43 із змінами, внесеними згідно з Законом </w:t>
      </w:r>
      <w:hyperlink r:id="rId1044" w:anchor="n6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29BA5D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39" w:name="n9665"/>
      <w:bookmarkEnd w:id="1939"/>
      <w:r w:rsidRPr="008B264B">
        <w:rPr>
          <w:rFonts w:ascii="Times New Roman" w:eastAsia="Times New Roman" w:hAnsi="Times New Roman" w:cs="Times New Roman"/>
          <w:color w:val="000000"/>
          <w:sz w:val="24"/>
          <w:szCs w:val="24"/>
          <w:lang/>
        </w:rPr>
        <w:t>43.6. Повернення помилково та/або надміру сплачених грошових зобов’язань платникам податків здійснюється з бюджету, у який такі кошти були зараховані.</w:t>
      </w:r>
    </w:p>
    <w:p w14:paraId="6D938A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0" w:name="n9664"/>
      <w:bookmarkEnd w:id="1940"/>
      <w:r w:rsidRPr="008B264B">
        <w:rPr>
          <w:rFonts w:ascii="Times New Roman" w:eastAsia="Times New Roman" w:hAnsi="Times New Roman" w:cs="Times New Roman"/>
          <w:i/>
          <w:iCs/>
          <w:color w:val="000000"/>
          <w:sz w:val="24"/>
          <w:szCs w:val="24"/>
          <w:lang/>
        </w:rPr>
        <w:t>{Статтю 43 доповнено пунктом 43.6 згідно із Законом </w:t>
      </w:r>
      <w:hyperlink r:id="rId1045" w:anchor="n13"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5034AC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1" w:name="n1110"/>
      <w:bookmarkEnd w:id="1941"/>
      <w:r w:rsidRPr="008B264B">
        <w:rPr>
          <w:rFonts w:ascii="Times New Roman" w:eastAsia="Times New Roman" w:hAnsi="Times New Roman" w:cs="Times New Roman"/>
          <w:b/>
          <w:bCs/>
          <w:color w:val="000000"/>
          <w:sz w:val="24"/>
          <w:szCs w:val="24"/>
          <w:lang/>
        </w:rPr>
        <w:t>Стаття 44.</w:t>
      </w:r>
      <w:r w:rsidRPr="008B264B">
        <w:rPr>
          <w:rFonts w:ascii="Times New Roman" w:eastAsia="Times New Roman" w:hAnsi="Times New Roman" w:cs="Times New Roman"/>
          <w:color w:val="000000"/>
          <w:sz w:val="24"/>
          <w:szCs w:val="24"/>
          <w:lang/>
        </w:rPr>
        <w:t> Вимоги до підтвердження даних, визначених у податковій звітності</w:t>
      </w:r>
    </w:p>
    <w:p w14:paraId="0FCBD6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2" w:name="n1111"/>
      <w:bookmarkEnd w:id="1942"/>
      <w:r w:rsidRPr="008B264B">
        <w:rPr>
          <w:rFonts w:ascii="Times New Roman" w:eastAsia="Times New Roman" w:hAnsi="Times New Roman" w:cs="Times New Roman"/>
          <w:color w:val="000000"/>
          <w:sz w:val="24"/>
          <w:szCs w:val="24"/>
          <w:lang/>
        </w:rPr>
        <w:t>44.1. Для цілей оподаткування платники податків зобов'язані вести облік доходів, витрат та інших показників, пов'язаних з визначенням об'єктів оподаткування та/або податкових зобов'язань, на підставі первинних документів, регістрів бухгалтерського обліку, фінансової звітності, інших документів, пов'язаних з обчисленням і сплатою податків і зборів, ведення яких передбачено законодавством.</w:t>
      </w:r>
    </w:p>
    <w:p w14:paraId="19ED87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3" w:name="n1112"/>
      <w:bookmarkEnd w:id="1943"/>
      <w:r w:rsidRPr="008B264B">
        <w:rPr>
          <w:rFonts w:ascii="Times New Roman" w:eastAsia="Times New Roman" w:hAnsi="Times New Roman" w:cs="Times New Roman"/>
          <w:color w:val="000000"/>
          <w:sz w:val="24"/>
          <w:szCs w:val="24"/>
          <w:lang/>
        </w:rPr>
        <w:t>Платникам податків забороняється формування показників податкової звітності, митних декларацій на підставі даних, не підтверджених документами, що визначені абзацом першим цього пункту.</w:t>
      </w:r>
    </w:p>
    <w:p w14:paraId="487E02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4" w:name="n1113"/>
      <w:bookmarkEnd w:id="1944"/>
      <w:r w:rsidRPr="008B264B">
        <w:rPr>
          <w:rFonts w:ascii="Times New Roman" w:eastAsia="Times New Roman" w:hAnsi="Times New Roman" w:cs="Times New Roman"/>
          <w:color w:val="000000"/>
          <w:sz w:val="24"/>
          <w:szCs w:val="24"/>
          <w:lang/>
        </w:rPr>
        <w:t>У випадках, передбачених статтею 216 </w:t>
      </w:r>
      <w:hyperlink r:id="rId1046" w:tgtFrame="_blank" w:history="1">
        <w:r w:rsidRPr="008B264B">
          <w:rPr>
            <w:rFonts w:ascii="Times New Roman" w:eastAsia="Times New Roman" w:hAnsi="Times New Roman" w:cs="Times New Roman"/>
            <w:color w:val="0000FF"/>
            <w:sz w:val="24"/>
            <w:szCs w:val="24"/>
            <w:u w:val="single"/>
            <w:lang/>
          </w:rPr>
          <w:t>Цивільного кодексу України</w:t>
        </w:r>
      </w:hyperlink>
      <w:r w:rsidRPr="008B264B">
        <w:rPr>
          <w:rFonts w:ascii="Times New Roman" w:eastAsia="Times New Roman" w:hAnsi="Times New Roman" w:cs="Times New Roman"/>
          <w:color w:val="000000"/>
          <w:sz w:val="24"/>
          <w:szCs w:val="24"/>
          <w:lang/>
        </w:rPr>
        <w:t>, платники податків мають право вносити відповідні зміни до податкової звітності у порядку, визначеному </w:t>
      </w:r>
      <w:hyperlink r:id="rId1047" w:anchor="n1258" w:history="1">
        <w:r w:rsidRPr="008B264B">
          <w:rPr>
            <w:rFonts w:ascii="Times New Roman" w:eastAsia="Times New Roman" w:hAnsi="Times New Roman" w:cs="Times New Roman"/>
            <w:color w:val="0000FF"/>
            <w:sz w:val="24"/>
            <w:szCs w:val="24"/>
            <w:u w:val="single"/>
            <w:lang/>
          </w:rPr>
          <w:t>статтею 50</w:t>
        </w:r>
      </w:hyperlink>
      <w:r w:rsidRPr="008B264B">
        <w:rPr>
          <w:rFonts w:ascii="Times New Roman" w:eastAsia="Times New Roman" w:hAnsi="Times New Roman" w:cs="Times New Roman"/>
          <w:color w:val="000000"/>
          <w:sz w:val="24"/>
          <w:szCs w:val="24"/>
          <w:lang/>
        </w:rPr>
        <w:t> цього Кодексу.</w:t>
      </w:r>
    </w:p>
    <w:p w14:paraId="25405C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5" w:name="n1114"/>
      <w:bookmarkEnd w:id="1945"/>
      <w:r w:rsidRPr="008B264B">
        <w:rPr>
          <w:rFonts w:ascii="Times New Roman" w:eastAsia="Times New Roman" w:hAnsi="Times New Roman" w:cs="Times New Roman"/>
          <w:i/>
          <w:iCs/>
          <w:color w:val="000000"/>
          <w:sz w:val="24"/>
          <w:szCs w:val="24"/>
          <w:lang/>
        </w:rPr>
        <w:t>{Абзац третій пункту 44.1 статті 44 із змінами, внесеними згідно із Законом </w:t>
      </w:r>
      <w:hyperlink r:id="rId10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11D3B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6" w:name="n1115"/>
      <w:bookmarkEnd w:id="1946"/>
      <w:r w:rsidRPr="008B264B">
        <w:rPr>
          <w:rFonts w:ascii="Times New Roman" w:eastAsia="Times New Roman" w:hAnsi="Times New Roman" w:cs="Times New Roman"/>
          <w:color w:val="000000"/>
          <w:sz w:val="24"/>
          <w:szCs w:val="24"/>
          <w:lang/>
        </w:rPr>
        <w:t>44.2. Для обрахунку об’єкта оподаткування платник податку на прибуток використовує дані бухгалтерського обліку та фінансової звітності щодо доходів, витрат та фінансового результату до оподаткування.</w:t>
      </w:r>
    </w:p>
    <w:p w14:paraId="498597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7" w:name="n10518"/>
      <w:bookmarkEnd w:id="1947"/>
      <w:r w:rsidRPr="008B264B">
        <w:rPr>
          <w:rFonts w:ascii="Times New Roman" w:eastAsia="Times New Roman" w:hAnsi="Times New Roman" w:cs="Times New Roman"/>
          <w:i/>
          <w:iCs/>
          <w:color w:val="000000"/>
          <w:sz w:val="24"/>
          <w:szCs w:val="24"/>
          <w:lang/>
        </w:rPr>
        <w:t>{Абзац перший пункту 44.2 статті 44 в редакції Закону </w:t>
      </w:r>
      <w:hyperlink r:id="rId1049" w:anchor="n15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50E5D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8" w:name="n1116"/>
      <w:bookmarkEnd w:id="1948"/>
      <w:r w:rsidRPr="008B264B">
        <w:rPr>
          <w:rFonts w:ascii="Times New Roman" w:eastAsia="Times New Roman" w:hAnsi="Times New Roman" w:cs="Times New Roman"/>
          <w:color w:val="000000"/>
          <w:sz w:val="24"/>
          <w:szCs w:val="24"/>
          <w:lang/>
        </w:rPr>
        <w:t>Платники податку, які відповідно до </w:t>
      </w:r>
      <w:hyperlink r:id="rId1050" w:tgtFrame="_blank" w:history="1">
        <w:r w:rsidRPr="008B264B">
          <w:rPr>
            <w:rFonts w:ascii="Times New Roman" w:eastAsia="Times New Roman" w:hAnsi="Times New Roman" w:cs="Times New Roman"/>
            <w:color w:val="0000FF"/>
            <w:sz w:val="24"/>
            <w:szCs w:val="24"/>
            <w:u w:val="single"/>
            <w:lang/>
          </w:rPr>
          <w:t>Закону України "Про бухгалтерський облік та фінансову звітність в Україні"</w:t>
        </w:r>
      </w:hyperlink>
      <w:r w:rsidRPr="008B264B">
        <w:rPr>
          <w:rFonts w:ascii="Times New Roman" w:eastAsia="Times New Roman" w:hAnsi="Times New Roman" w:cs="Times New Roman"/>
          <w:color w:val="000000"/>
          <w:sz w:val="24"/>
          <w:szCs w:val="24"/>
          <w:lang/>
        </w:rPr>
        <w:t> застосовують міжнародні стандарти фінансової звітності, ведуть облік доходів і витрат та визначають об’єкт оподаткування з податку на прибуток за такими стандартами з урахуванням положень цього Кодексу. Такі платники податку при застосуванні положень цього Кодексу, в яких міститься посилання на положення (стандарти) бухгалтерського обліку, застосовують відповідні міжнародні стандарти фінансової звітності.</w:t>
      </w:r>
    </w:p>
    <w:p w14:paraId="332BA6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49" w:name="n1117"/>
      <w:bookmarkEnd w:id="1949"/>
      <w:r w:rsidRPr="008B264B">
        <w:rPr>
          <w:rFonts w:ascii="Times New Roman" w:eastAsia="Times New Roman" w:hAnsi="Times New Roman" w:cs="Times New Roman"/>
          <w:i/>
          <w:iCs/>
          <w:color w:val="000000"/>
          <w:sz w:val="24"/>
          <w:szCs w:val="24"/>
          <w:lang/>
        </w:rPr>
        <w:t>{Пункт 44.2 статті 44 доповнено новим абзацом згідно із Законом </w:t>
      </w:r>
      <w:hyperlink r:id="rId105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52" w:anchor="n1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CA29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0" w:name="n1118"/>
      <w:bookmarkEnd w:id="1950"/>
      <w:r w:rsidRPr="008B264B">
        <w:rPr>
          <w:rFonts w:ascii="Times New Roman" w:eastAsia="Times New Roman" w:hAnsi="Times New Roman" w:cs="Times New Roman"/>
          <w:color w:val="000000"/>
          <w:sz w:val="24"/>
          <w:szCs w:val="24"/>
          <w:lang/>
        </w:rPr>
        <w:t>Юридичні особи - платники єдиного податку, які відповідають критеріям, визначеним </w:t>
      </w:r>
      <w:hyperlink r:id="rId1053" w:anchor="n6957" w:history="1">
        <w:r w:rsidRPr="008B264B">
          <w:rPr>
            <w:rFonts w:ascii="Times New Roman" w:eastAsia="Times New Roman" w:hAnsi="Times New Roman" w:cs="Times New Roman"/>
            <w:color w:val="0000FF"/>
            <w:sz w:val="24"/>
            <w:szCs w:val="24"/>
            <w:u w:val="single"/>
            <w:lang/>
          </w:rPr>
          <w:t>підпунктом 3 пункту 291.4</w:t>
        </w:r>
      </w:hyperlink>
      <w:r w:rsidRPr="008B264B">
        <w:rPr>
          <w:rFonts w:ascii="Times New Roman" w:eastAsia="Times New Roman" w:hAnsi="Times New Roman" w:cs="Times New Roman"/>
          <w:color w:val="000000"/>
          <w:sz w:val="24"/>
          <w:szCs w:val="24"/>
          <w:lang/>
        </w:rPr>
        <w:t xml:space="preserve"> статті 291 цього Кодексу, ведуть спрощений бухгалтерський облік доходів та витрат з метою обрахунку об’єкта оподаткування за методикою, </w:t>
      </w:r>
      <w:r w:rsidRPr="008B264B">
        <w:rPr>
          <w:rFonts w:ascii="Times New Roman" w:eastAsia="Times New Roman" w:hAnsi="Times New Roman" w:cs="Times New Roman"/>
          <w:color w:val="000000"/>
          <w:sz w:val="24"/>
          <w:szCs w:val="24"/>
          <w:lang/>
        </w:rPr>
        <w:lastRenderedPageBreak/>
        <w:t>затвердженою центральним органом виконавчої влади, що забезпечує формування та реалізує державну податкову і митну політику.</w:t>
      </w:r>
    </w:p>
    <w:p w14:paraId="74857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1" w:name="n1119"/>
      <w:bookmarkEnd w:id="1951"/>
      <w:r w:rsidRPr="008B264B">
        <w:rPr>
          <w:rFonts w:ascii="Times New Roman" w:eastAsia="Times New Roman" w:hAnsi="Times New Roman" w:cs="Times New Roman"/>
          <w:i/>
          <w:iCs/>
          <w:color w:val="000000"/>
          <w:sz w:val="24"/>
          <w:szCs w:val="24"/>
          <w:lang/>
        </w:rPr>
        <w:t>{Абзац третій пункту 44.2 статті 44 в редакції Закону </w:t>
      </w:r>
      <w:hyperlink r:id="rId1054"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055" w:anchor="n12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Закону </w:t>
      </w:r>
      <w:hyperlink r:id="rId1056" w:anchor="n1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FFAE3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2" w:name="n1120"/>
      <w:bookmarkEnd w:id="1952"/>
      <w:r w:rsidRPr="008B264B">
        <w:rPr>
          <w:rFonts w:ascii="Times New Roman" w:eastAsia="Times New Roman" w:hAnsi="Times New Roman" w:cs="Times New Roman"/>
          <w:i/>
          <w:iCs/>
          <w:color w:val="000000"/>
          <w:sz w:val="24"/>
          <w:szCs w:val="24"/>
          <w:lang/>
        </w:rPr>
        <w:t>{Абзац четвертий пункту 44.2 статті 44 виключено на підставі Закону </w:t>
      </w:r>
      <w:hyperlink r:id="rId1057" w:anchor="n16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6EC30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3" w:name="n1121"/>
      <w:bookmarkEnd w:id="1953"/>
      <w:r w:rsidRPr="008B264B">
        <w:rPr>
          <w:rFonts w:ascii="Times New Roman" w:eastAsia="Times New Roman" w:hAnsi="Times New Roman" w:cs="Times New Roman"/>
          <w:color w:val="000000"/>
          <w:sz w:val="24"/>
          <w:szCs w:val="24"/>
          <w:lang/>
        </w:rPr>
        <w:t>44.3. Платники податків зобов’язані забезпечити зберігання документів, визначених </w:t>
      </w:r>
      <w:hyperlink r:id="rId1058" w:anchor="n1111" w:history="1">
        <w:r w:rsidRPr="008B264B">
          <w:rPr>
            <w:rFonts w:ascii="Times New Roman" w:eastAsia="Times New Roman" w:hAnsi="Times New Roman" w:cs="Times New Roman"/>
            <w:color w:val="0000FF"/>
            <w:sz w:val="24"/>
            <w:szCs w:val="24"/>
            <w:u w:val="single"/>
            <w:lang/>
          </w:rPr>
          <w:t>пунктом 44.1</w:t>
        </w:r>
      </w:hyperlink>
      <w:r w:rsidRPr="008B264B">
        <w:rPr>
          <w:rFonts w:ascii="Times New Roman" w:eastAsia="Times New Roman" w:hAnsi="Times New Roman" w:cs="Times New Roman"/>
          <w:color w:val="000000"/>
          <w:sz w:val="24"/>
          <w:szCs w:val="24"/>
          <w:lang/>
        </w:rPr>
        <w:t> цієї статті, а також документів, пов’язаних із виконанням вимог законодавства, контроль за дотриманням якого покладено на контролюючі органи, протягом не менш як 1095 днів (2555 днів - для документів та інформації, необхідної для здійснення податкового контролю за трансфертним ціноутворенням відповідно до </w:t>
      </w:r>
      <w:hyperlink r:id="rId1059"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з дня подання податкової звітності, для складення якої використовуються зазначені документи, а в разі її неподання - з передбаченого цим Кодексом граничного терміну подання такої звітності.</w:t>
      </w:r>
    </w:p>
    <w:p w14:paraId="7E0E08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4" w:name="n15276"/>
      <w:bookmarkEnd w:id="1954"/>
      <w:r w:rsidRPr="008B264B">
        <w:rPr>
          <w:rFonts w:ascii="Times New Roman" w:eastAsia="Times New Roman" w:hAnsi="Times New Roman" w:cs="Times New Roman"/>
          <w:color w:val="000000"/>
          <w:sz w:val="24"/>
          <w:szCs w:val="24"/>
          <w:lang/>
        </w:rPr>
        <w:t>У разі ліквідації платника податків документи, визначені </w:t>
      </w:r>
      <w:hyperlink r:id="rId1060" w:anchor="n1111" w:history="1">
        <w:r w:rsidRPr="008B264B">
          <w:rPr>
            <w:rFonts w:ascii="Times New Roman" w:eastAsia="Times New Roman" w:hAnsi="Times New Roman" w:cs="Times New Roman"/>
            <w:color w:val="0000FF"/>
            <w:sz w:val="24"/>
            <w:szCs w:val="24"/>
            <w:u w:val="single"/>
            <w:lang/>
          </w:rPr>
          <w:t>пунктом 44.1</w:t>
        </w:r>
      </w:hyperlink>
      <w:r w:rsidRPr="008B264B">
        <w:rPr>
          <w:rFonts w:ascii="Times New Roman" w:eastAsia="Times New Roman" w:hAnsi="Times New Roman" w:cs="Times New Roman"/>
          <w:color w:val="000000"/>
          <w:sz w:val="24"/>
          <w:szCs w:val="24"/>
          <w:lang/>
        </w:rPr>
        <w:t> цієї статті, за період діяльності платника податків не менш як 1095 днів (2555 днів - для документів та інформації, необхідної для здійснення податкового контролю за трансфертним ціноутворенням відповідно до статті 39 цього Кодексу), що передували даті ліквідації платника податків, в установленому законодавством порядку передаються до архіву.</w:t>
      </w:r>
    </w:p>
    <w:p w14:paraId="7B7759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5" w:name="n15275"/>
      <w:bookmarkEnd w:id="1955"/>
      <w:r w:rsidRPr="008B264B">
        <w:rPr>
          <w:rFonts w:ascii="Times New Roman" w:eastAsia="Times New Roman" w:hAnsi="Times New Roman" w:cs="Times New Roman"/>
          <w:i/>
          <w:iCs/>
          <w:color w:val="000000"/>
          <w:sz w:val="24"/>
          <w:szCs w:val="24"/>
          <w:lang/>
        </w:rPr>
        <w:t>{Пункт 44.3 статті 44 доповнено абзацом другим згідно із Законом </w:t>
      </w:r>
      <w:hyperlink r:id="rId1061" w:anchor="n13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CBD2B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6" w:name="n14817"/>
      <w:bookmarkEnd w:id="1956"/>
      <w:r w:rsidRPr="008B264B">
        <w:rPr>
          <w:rFonts w:ascii="Times New Roman" w:eastAsia="Times New Roman" w:hAnsi="Times New Roman" w:cs="Times New Roman"/>
          <w:i/>
          <w:iCs/>
          <w:color w:val="000000"/>
          <w:sz w:val="24"/>
          <w:szCs w:val="24"/>
          <w:lang/>
        </w:rPr>
        <w:t>{Пункт 44.3 статті 44 із змінами, внесеними згідно із Законом </w:t>
      </w:r>
      <w:hyperlink r:id="rId1062" w:anchor="n4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1063" w:anchor="n16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034C4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7" w:name="n1123"/>
      <w:bookmarkEnd w:id="1957"/>
      <w:r w:rsidRPr="008B264B">
        <w:rPr>
          <w:rFonts w:ascii="Times New Roman" w:eastAsia="Times New Roman" w:hAnsi="Times New Roman" w:cs="Times New Roman"/>
          <w:color w:val="000000"/>
          <w:sz w:val="24"/>
          <w:szCs w:val="24"/>
          <w:lang/>
        </w:rPr>
        <w:t>44.4. Якщо документи, визначені у </w:t>
      </w:r>
      <w:hyperlink r:id="rId1064" w:anchor="n1111" w:history="1">
        <w:r w:rsidRPr="008B264B">
          <w:rPr>
            <w:rFonts w:ascii="Times New Roman" w:eastAsia="Times New Roman" w:hAnsi="Times New Roman" w:cs="Times New Roman"/>
            <w:color w:val="0000FF"/>
            <w:sz w:val="24"/>
            <w:szCs w:val="24"/>
            <w:u w:val="single"/>
            <w:lang/>
          </w:rPr>
          <w:t>пункті 44.1</w:t>
        </w:r>
      </w:hyperlink>
      <w:r w:rsidRPr="008B264B">
        <w:rPr>
          <w:rFonts w:ascii="Times New Roman" w:eastAsia="Times New Roman" w:hAnsi="Times New Roman" w:cs="Times New Roman"/>
          <w:color w:val="000000"/>
          <w:sz w:val="24"/>
          <w:szCs w:val="24"/>
          <w:lang/>
        </w:rPr>
        <w:t> цієї статті, пов'язані з предметом перевірки, проведенням процедури адміністративного оскарження прийнятого за її результатами податкового повідомлення-рішення або судового розгляду, такі документи повинні зберігатися до закінчення перевірки та передбаченого законом строку оскарження прийнятих за її результатами рішень та/або вирішення справи судом, але не менше строків, передбачених </w:t>
      </w:r>
      <w:hyperlink r:id="rId1065" w:anchor="n1121" w:history="1">
        <w:r w:rsidRPr="008B264B">
          <w:rPr>
            <w:rFonts w:ascii="Times New Roman" w:eastAsia="Times New Roman" w:hAnsi="Times New Roman" w:cs="Times New Roman"/>
            <w:color w:val="0000FF"/>
            <w:sz w:val="24"/>
            <w:szCs w:val="24"/>
            <w:u w:val="single"/>
            <w:lang/>
          </w:rPr>
          <w:t>пунктом 44.3</w:t>
        </w:r>
      </w:hyperlink>
      <w:r w:rsidRPr="008B264B">
        <w:rPr>
          <w:rFonts w:ascii="Times New Roman" w:eastAsia="Times New Roman" w:hAnsi="Times New Roman" w:cs="Times New Roman"/>
          <w:color w:val="000000"/>
          <w:sz w:val="24"/>
          <w:szCs w:val="24"/>
          <w:lang/>
        </w:rPr>
        <w:t> цієї статті.</w:t>
      </w:r>
    </w:p>
    <w:p w14:paraId="335EAF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8" w:name="n1124"/>
      <w:bookmarkEnd w:id="1958"/>
      <w:r w:rsidRPr="008B264B">
        <w:rPr>
          <w:rFonts w:ascii="Times New Roman" w:eastAsia="Times New Roman" w:hAnsi="Times New Roman" w:cs="Times New Roman"/>
          <w:color w:val="000000"/>
          <w:sz w:val="24"/>
          <w:szCs w:val="24"/>
          <w:lang/>
        </w:rPr>
        <w:t>44.5. У разі втрати, пошкодження або дострокового знищення документів, зазначених в пунктах 44.1 і 44.3 цієї статті, платник податків зобов'язаний у п'ятиденний строк з дня такої події письмово повідомити контролюючий орган за місцем обліку в порядку, встановленому цим Кодексом для подання податкової звітності, та контролюючий орган, яким було здійснено митне оформлення відповідної митної декларації.</w:t>
      </w:r>
    </w:p>
    <w:p w14:paraId="527722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59" w:name="n1125"/>
      <w:bookmarkEnd w:id="1959"/>
      <w:r w:rsidRPr="008B264B">
        <w:rPr>
          <w:rFonts w:ascii="Times New Roman" w:eastAsia="Times New Roman" w:hAnsi="Times New Roman" w:cs="Times New Roman"/>
          <w:color w:val="000000"/>
          <w:sz w:val="24"/>
          <w:szCs w:val="24"/>
          <w:lang/>
        </w:rPr>
        <w:t>Платник податків зобов'язаний відновити втрачені документи протягом 90 календарних днів з дня, що настає за днем надходження повідомлення до контролюючого органу.</w:t>
      </w:r>
    </w:p>
    <w:p w14:paraId="3F6C4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0" w:name="n1126"/>
      <w:bookmarkEnd w:id="1960"/>
      <w:r w:rsidRPr="008B264B">
        <w:rPr>
          <w:rFonts w:ascii="Times New Roman" w:eastAsia="Times New Roman" w:hAnsi="Times New Roman" w:cs="Times New Roman"/>
          <w:color w:val="000000"/>
          <w:sz w:val="24"/>
          <w:szCs w:val="24"/>
          <w:lang/>
        </w:rPr>
        <w:t>У разі неможливості проведення перевірки платника податків у випадках, передбачених цим підпунктом, терміни проведення таких перевірок переносяться до дати відновлення та надання документів до перевірки в межах визначених цим підпунктом строків.</w:t>
      </w:r>
    </w:p>
    <w:p w14:paraId="385FD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1" w:name="n1127"/>
      <w:bookmarkEnd w:id="1961"/>
      <w:r w:rsidRPr="008B264B">
        <w:rPr>
          <w:rFonts w:ascii="Times New Roman" w:eastAsia="Times New Roman" w:hAnsi="Times New Roman" w:cs="Times New Roman"/>
          <w:color w:val="000000"/>
          <w:sz w:val="24"/>
          <w:szCs w:val="24"/>
          <w:lang/>
        </w:rPr>
        <w:t>44.6. У разі якщо до закінчення перевірки або у терміни, визначені в абзаці </w:t>
      </w:r>
      <w:hyperlink r:id="rId1066" w:anchor="n1131" w:history="1">
        <w:r w:rsidRPr="008B264B">
          <w:rPr>
            <w:rFonts w:ascii="Times New Roman" w:eastAsia="Times New Roman" w:hAnsi="Times New Roman" w:cs="Times New Roman"/>
            <w:color w:val="0000FF"/>
            <w:sz w:val="24"/>
            <w:szCs w:val="24"/>
            <w:u w:val="single"/>
            <w:lang/>
          </w:rPr>
          <w:t>другому пункту 44.7</w:t>
        </w:r>
      </w:hyperlink>
      <w:r w:rsidRPr="008B264B">
        <w:rPr>
          <w:rFonts w:ascii="Times New Roman" w:eastAsia="Times New Roman" w:hAnsi="Times New Roman" w:cs="Times New Roman"/>
          <w:color w:val="000000"/>
          <w:sz w:val="24"/>
          <w:szCs w:val="24"/>
          <w:lang/>
        </w:rPr>
        <w:t> цієї статті платник податків не надає посадовим особам контролюючого органу, які проводять перевірку, документи (незалежно від причин такого ненадання, крім випадків виїмки документів або іншого вилучення правоохоронними органами), що підтверджують показники, відображені таким платником податків у податковій звітності, вважається, що такі документи були відсутні у такого платника податків на час складення такої звітності.</w:t>
      </w:r>
    </w:p>
    <w:p w14:paraId="4F5F0E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2" w:name="n1128"/>
      <w:bookmarkEnd w:id="1962"/>
      <w:r w:rsidRPr="008B264B">
        <w:rPr>
          <w:rFonts w:ascii="Times New Roman" w:eastAsia="Times New Roman" w:hAnsi="Times New Roman" w:cs="Times New Roman"/>
          <w:color w:val="000000"/>
          <w:sz w:val="24"/>
          <w:szCs w:val="24"/>
          <w:lang/>
        </w:rPr>
        <w:t xml:space="preserve">Якщо платник податків після закінчення перевірки та до прийняття рішення контролюючим органом за результатами такої перевірки надає документи, що підтверджують показники, відображені таким платником податків у податковій звітності, не надані під час перевірки (у випадках, передбачених абзацами другим і четвертим пункту 44.7 цієї статті), такі документи </w:t>
      </w:r>
      <w:r w:rsidRPr="008B264B">
        <w:rPr>
          <w:rFonts w:ascii="Times New Roman" w:eastAsia="Times New Roman" w:hAnsi="Times New Roman" w:cs="Times New Roman"/>
          <w:color w:val="000000"/>
          <w:sz w:val="24"/>
          <w:szCs w:val="24"/>
          <w:lang/>
        </w:rPr>
        <w:lastRenderedPageBreak/>
        <w:t>повинні бути враховані контролюючим органом під час розгляду ним питання про прийняття рішення.</w:t>
      </w:r>
    </w:p>
    <w:p w14:paraId="0CC09C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3" w:name="n1129"/>
      <w:bookmarkEnd w:id="1963"/>
      <w:r w:rsidRPr="008B264B">
        <w:rPr>
          <w:rFonts w:ascii="Times New Roman" w:eastAsia="Times New Roman" w:hAnsi="Times New Roman" w:cs="Times New Roman"/>
          <w:i/>
          <w:iCs/>
          <w:color w:val="000000"/>
          <w:sz w:val="24"/>
          <w:szCs w:val="24"/>
          <w:lang/>
        </w:rPr>
        <w:t>{Абзац другий пункту 44.6 статті 44 із змінами, внесеними згідно із Законом </w:t>
      </w:r>
      <w:hyperlink r:id="rId106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42F00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4" w:name="n1130"/>
      <w:bookmarkEnd w:id="1964"/>
      <w:r w:rsidRPr="008B264B">
        <w:rPr>
          <w:rFonts w:ascii="Times New Roman" w:eastAsia="Times New Roman" w:hAnsi="Times New Roman" w:cs="Times New Roman"/>
          <w:color w:val="000000"/>
          <w:sz w:val="24"/>
          <w:szCs w:val="24"/>
          <w:lang/>
        </w:rPr>
        <w:t>44.7. У разі якщо посадова особа контролюючого органу, яка здійснює перевірку, відмовляється з будь-яких причин від врахування документів, наданих платником податків під час проведення перевірки, платник податків має право до закінчення перевірки надіслати листом з повідомленням про вручення та з описом вкладеного або надати безпосередньо до контролюючого органу, який проводить перевірку, копії таких документів (засвідчені печаткою платника податків (за наявності печатки) та підписом платника податків - фізичної особи або посадової особи платника податків - юридичної особи).</w:t>
      </w:r>
    </w:p>
    <w:p w14:paraId="2A426C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5" w:name="n13831"/>
      <w:bookmarkEnd w:id="1965"/>
      <w:r w:rsidRPr="008B264B">
        <w:rPr>
          <w:rFonts w:ascii="Times New Roman" w:eastAsia="Times New Roman" w:hAnsi="Times New Roman" w:cs="Times New Roman"/>
          <w:i/>
          <w:iCs/>
          <w:color w:val="000000"/>
          <w:sz w:val="24"/>
          <w:szCs w:val="24"/>
          <w:lang/>
        </w:rPr>
        <w:t>{Абзац перший пункту 44.7 статті 44 із змінами, внесеними згідно із Законом </w:t>
      </w:r>
      <w:hyperlink r:id="rId1068" w:anchor="n4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149F2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6" w:name="n1131"/>
      <w:bookmarkEnd w:id="1966"/>
      <w:r w:rsidRPr="008B264B">
        <w:rPr>
          <w:rFonts w:ascii="Times New Roman" w:eastAsia="Times New Roman" w:hAnsi="Times New Roman" w:cs="Times New Roman"/>
          <w:color w:val="000000"/>
          <w:sz w:val="24"/>
          <w:szCs w:val="24"/>
          <w:lang/>
        </w:rPr>
        <w:t>Протягом 10 робочих днів з дня, наступного за днем отримання акта перевірки, платник податків має право подати контролюючому органу, що проводив перевірку, заперечення та/або додаткові документи, які підтверджують показники, відображені таким платником податків у податковій звітності.</w:t>
      </w:r>
    </w:p>
    <w:p w14:paraId="1CEAC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7" w:name="n1132"/>
      <w:bookmarkEnd w:id="1967"/>
      <w:r w:rsidRPr="008B264B">
        <w:rPr>
          <w:rFonts w:ascii="Times New Roman" w:eastAsia="Times New Roman" w:hAnsi="Times New Roman" w:cs="Times New Roman"/>
          <w:i/>
          <w:iCs/>
          <w:color w:val="000000"/>
          <w:sz w:val="24"/>
          <w:szCs w:val="24"/>
          <w:lang/>
        </w:rPr>
        <w:t>{Абзац другий пункту 44.7 статті 44 із змінами, внесеними згідно з Законами </w:t>
      </w:r>
      <w:hyperlink r:id="rId1069" w:anchor="n6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070" w:anchor="n2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1071" w:anchor="n45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з Законом </w:t>
      </w:r>
      <w:hyperlink r:id="rId1072" w:anchor="n14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5382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8" w:name="n1133"/>
      <w:bookmarkEnd w:id="1968"/>
      <w:r w:rsidRPr="008B264B">
        <w:rPr>
          <w:rFonts w:ascii="Times New Roman" w:eastAsia="Times New Roman" w:hAnsi="Times New Roman" w:cs="Times New Roman"/>
          <w:color w:val="000000"/>
          <w:sz w:val="24"/>
          <w:szCs w:val="24"/>
          <w:lang/>
        </w:rPr>
        <w:t>У разі якщо під час проведення перевірки платник податків надає документи менше ніж за три дні до дня її завершення або коли надіслані у передбаченому абзацом першим цього пункту порядку документи надійшли до контролюючого органу менше ніж за три дні до дня завершення перевірки, проведення перевірки продовжується на строк, визначений </w:t>
      </w:r>
      <w:hyperlink r:id="rId1073" w:anchor="n1865" w:history="1">
        <w:r w:rsidRPr="008B264B">
          <w:rPr>
            <w:rFonts w:ascii="Times New Roman" w:eastAsia="Times New Roman" w:hAnsi="Times New Roman" w:cs="Times New Roman"/>
            <w:color w:val="0000FF"/>
            <w:sz w:val="24"/>
            <w:szCs w:val="24"/>
            <w:u w:val="single"/>
            <w:lang/>
          </w:rPr>
          <w:t>статтею 82</w:t>
        </w:r>
      </w:hyperlink>
      <w:r w:rsidRPr="008B264B">
        <w:rPr>
          <w:rFonts w:ascii="Times New Roman" w:eastAsia="Times New Roman" w:hAnsi="Times New Roman" w:cs="Times New Roman"/>
          <w:color w:val="000000"/>
          <w:sz w:val="24"/>
          <w:szCs w:val="24"/>
          <w:lang/>
        </w:rPr>
        <w:t> цього Кодексу.</w:t>
      </w:r>
    </w:p>
    <w:p w14:paraId="05C8F0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69" w:name="n1134"/>
      <w:bookmarkEnd w:id="1969"/>
      <w:r w:rsidRPr="008B264B">
        <w:rPr>
          <w:rFonts w:ascii="Times New Roman" w:eastAsia="Times New Roman" w:hAnsi="Times New Roman" w:cs="Times New Roman"/>
          <w:color w:val="000000"/>
          <w:sz w:val="24"/>
          <w:szCs w:val="24"/>
          <w:lang/>
        </w:rPr>
        <w:t>У разі якщо надіслані у передбаченому абзацом першим цього пункту порядку документи надійшли до контролюючого органу після завершення перевірки або у разі надання таких документів відповідно до абзацу другого цього пункту, контролюючий орган має право не приймати рішення за результатами проведеної перевірки та призначити позапланову документальну перевірку такого платника податків.</w:t>
      </w:r>
    </w:p>
    <w:p w14:paraId="08C817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0" w:name="n1135"/>
      <w:bookmarkEnd w:id="1970"/>
      <w:r w:rsidRPr="008B264B">
        <w:rPr>
          <w:rFonts w:ascii="Times New Roman" w:eastAsia="Times New Roman" w:hAnsi="Times New Roman" w:cs="Times New Roman"/>
          <w:color w:val="000000"/>
          <w:sz w:val="24"/>
          <w:szCs w:val="24"/>
          <w:lang/>
        </w:rPr>
        <w:t>44.8. Відокремлені підрозділи, які визначені платником окремого податку, повинні вести облік з такого податку за правилами, встановленими цим Кодексом.</w:t>
      </w:r>
    </w:p>
    <w:p w14:paraId="7F42A2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1" w:name="n1136"/>
      <w:bookmarkEnd w:id="1971"/>
      <w:r w:rsidRPr="008B264B">
        <w:rPr>
          <w:rFonts w:ascii="Times New Roman" w:eastAsia="Times New Roman" w:hAnsi="Times New Roman" w:cs="Times New Roman"/>
          <w:b/>
          <w:bCs/>
          <w:color w:val="000000"/>
          <w:sz w:val="24"/>
          <w:szCs w:val="24"/>
          <w:lang/>
        </w:rPr>
        <w:t>Стаття 45.</w:t>
      </w:r>
      <w:r w:rsidRPr="008B264B">
        <w:rPr>
          <w:rFonts w:ascii="Times New Roman" w:eastAsia="Times New Roman" w:hAnsi="Times New Roman" w:cs="Times New Roman"/>
          <w:color w:val="000000"/>
          <w:sz w:val="24"/>
          <w:szCs w:val="24"/>
          <w:lang/>
        </w:rPr>
        <w:t> Податкова адреса</w:t>
      </w:r>
    </w:p>
    <w:p w14:paraId="3A6FF5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2" w:name="n1137"/>
      <w:bookmarkEnd w:id="1972"/>
      <w:r w:rsidRPr="008B264B">
        <w:rPr>
          <w:rFonts w:ascii="Times New Roman" w:eastAsia="Times New Roman" w:hAnsi="Times New Roman" w:cs="Times New Roman"/>
          <w:color w:val="000000"/>
          <w:sz w:val="24"/>
          <w:szCs w:val="24"/>
          <w:lang/>
        </w:rPr>
        <w:t>45.1. Платник податків - фізична особа зобов'язаний визначити свою податкову адресу.</w:t>
      </w:r>
    </w:p>
    <w:p w14:paraId="74337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3" w:name="n1138"/>
      <w:bookmarkEnd w:id="1973"/>
      <w:r w:rsidRPr="008B264B">
        <w:rPr>
          <w:rFonts w:ascii="Times New Roman" w:eastAsia="Times New Roman" w:hAnsi="Times New Roman" w:cs="Times New Roman"/>
          <w:color w:val="000000"/>
          <w:sz w:val="24"/>
          <w:szCs w:val="24"/>
          <w:lang/>
        </w:rPr>
        <w:t>Податковою адресою платника податків - фізичної особи визнається місце її проживання, за яким вона береться на облік як платник податків у контролюючому органі.</w:t>
      </w:r>
    </w:p>
    <w:p w14:paraId="745DE6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4" w:name="n1139"/>
      <w:bookmarkEnd w:id="1974"/>
      <w:r w:rsidRPr="008B264B">
        <w:rPr>
          <w:rFonts w:ascii="Times New Roman" w:eastAsia="Times New Roman" w:hAnsi="Times New Roman" w:cs="Times New Roman"/>
          <w:color w:val="000000"/>
          <w:sz w:val="24"/>
          <w:szCs w:val="24"/>
          <w:lang/>
        </w:rPr>
        <w:t>Платник податків - фізична особа може мати одночасно не більше однієї податкової адреси.</w:t>
      </w:r>
    </w:p>
    <w:p w14:paraId="515A15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5" w:name="n1140"/>
      <w:bookmarkEnd w:id="1975"/>
      <w:r w:rsidRPr="008B264B">
        <w:rPr>
          <w:rFonts w:ascii="Times New Roman" w:eastAsia="Times New Roman" w:hAnsi="Times New Roman" w:cs="Times New Roman"/>
          <w:color w:val="000000"/>
          <w:sz w:val="24"/>
          <w:szCs w:val="24"/>
          <w:lang/>
        </w:rPr>
        <w:t>45.2. Податковою адресою юридичної особи (відокремленого підрозділу юридичної особи) є місцезнаходження такої юридичної особи, відомості про що містяться у Єдиному державному реєстрі юридичних осіб та фізичних осіб - підприємців.</w:t>
      </w:r>
    </w:p>
    <w:p w14:paraId="07F512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6" w:name="n1141"/>
      <w:bookmarkEnd w:id="1976"/>
      <w:r w:rsidRPr="008B264B">
        <w:rPr>
          <w:rFonts w:ascii="Times New Roman" w:eastAsia="Times New Roman" w:hAnsi="Times New Roman" w:cs="Times New Roman"/>
          <w:i/>
          <w:iCs/>
          <w:color w:val="000000"/>
          <w:sz w:val="24"/>
          <w:szCs w:val="24"/>
          <w:lang/>
        </w:rPr>
        <w:t>{Абзац перший пункту 45.2 статті 45 із змінами, внесеними згідно із Законом </w:t>
      </w:r>
      <w:hyperlink r:id="rId1074" w:anchor="n4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FE5B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7" w:name="n1142"/>
      <w:bookmarkEnd w:id="1977"/>
      <w:r w:rsidRPr="008B264B">
        <w:rPr>
          <w:rFonts w:ascii="Times New Roman" w:eastAsia="Times New Roman" w:hAnsi="Times New Roman" w:cs="Times New Roman"/>
          <w:color w:val="000000"/>
          <w:sz w:val="24"/>
          <w:szCs w:val="24"/>
          <w:lang/>
        </w:rPr>
        <w:t>Податковою адресою підприємства, переданого у довірче управління, є місцезнаходження довірчого власника.</w:t>
      </w:r>
    </w:p>
    <w:p w14:paraId="0ABE33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8" w:name="n13833"/>
      <w:bookmarkEnd w:id="1978"/>
      <w:r w:rsidRPr="008B264B">
        <w:rPr>
          <w:rFonts w:ascii="Times New Roman" w:eastAsia="Times New Roman" w:hAnsi="Times New Roman" w:cs="Times New Roman"/>
          <w:color w:val="000000"/>
          <w:sz w:val="24"/>
          <w:szCs w:val="24"/>
          <w:lang/>
        </w:rPr>
        <w:t xml:space="preserve">45.3. Платник податків, який обирає спосіб взаємодії з контролюючим органом засобами електронного зв’язку в електронній формі, зобов’язаний під час обрання способу взаємодії </w:t>
      </w:r>
      <w:r w:rsidRPr="008B264B">
        <w:rPr>
          <w:rFonts w:ascii="Times New Roman" w:eastAsia="Times New Roman" w:hAnsi="Times New Roman" w:cs="Times New Roman"/>
          <w:color w:val="000000"/>
          <w:sz w:val="24"/>
          <w:szCs w:val="24"/>
          <w:lang/>
        </w:rPr>
        <w:lastRenderedPageBreak/>
        <w:t>повідомити контролюючому органу свою електронну адресу (адреси) шляхом внесення цієї інформації до своїх облікових даних через електронний кабінет.</w:t>
      </w:r>
    </w:p>
    <w:p w14:paraId="3DD301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79" w:name="n13832"/>
      <w:bookmarkEnd w:id="1979"/>
      <w:r w:rsidRPr="008B264B">
        <w:rPr>
          <w:rFonts w:ascii="Times New Roman" w:eastAsia="Times New Roman" w:hAnsi="Times New Roman" w:cs="Times New Roman"/>
          <w:i/>
          <w:iCs/>
          <w:color w:val="000000"/>
          <w:sz w:val="24"/>
          <w:szCs w:val="24"/>
          <w:lang/>
        </w:rPr>
        <w:t>{Статтю 45 доповнено пунктом 45.3 згідно із Законом </w:t>
      </w:r>
      <w:hyperlink r:id="rId1075" w:anchor="n4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076"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2FA99CD"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980" w:name="n1143"/>
      <w:bookmarkEnd w:id="1980"/>
      <w:r w:rsidRPr="008B264B">
        <w:rPr>
          <w:rFonts w:ascii="Times New Roman" w:eastAsia="Times New Roman" w:hAnsi="Times New Roman" w:cs="Times New Roman"/>
          <w:b/>
          <w:bCs/>
          <w:color w:val="000000"/>
          <w:sz w:val="28"/>
          <w:szCs w:val="28"/>
          <w:lang/>
        </w:rPr>
        <w:t>ГЛАВА 2. ПОДАТКОВА ЗВІТНІСТЬ</w:t>
      </w:r>
    </w:p>
    <w:p w14:paraId="42EB41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1" w:name="n1144"/>
      <w:bookmarkEnd w:id="1981"/>
      <w:r w:rsidRPr="008B264B">
        <w:rPr>
          <w:rFonts w:ascii="Times New Roman" w:eastAsia="Times New Roman" w:hAnsi="Times New Roman" w:cs="Times New Roman"/>
          <w:b/>
          <w:bCs/>
          <w:color w:val="000000"/>
          <w:sz w:val="24"/>
          <w:szCs w:val="24"/>
          <w:lang/>
        </w:rPr>
        <w:t>Стаття 46.</w:t>
      </w:r>
      <w:r w:rsidRPr="008B264B">
        <w:rPr>
          <w:rFonts w:ascii="Times New Roman" w:eastAsia="Times New Roman" w:hAnsi="Times New Roman" w:cs="Times New Roman"/>
          <w:color w:val="000000"/>
          <w:sz w:val="24"/>
          <w:szCs w:val="24"/>
          <w:lang/>
        </w:rPr>
        <w:t> Податкова декларація (розрахунок)</w:t>
      </w:r>
    </w:p>
    <w:p w14:paraId="5640EC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2" w:name="n1145"/>
      <w:bookmarkEnd w:id="1982"/>
      <w:r w:rsidRPr="008B264B">
        <w:rPr>
          <w:rFonts w:ascii="Times New Roman" w:eastAsia="Times New Roman" w:hAnsi="Times New Roman" w:cs="Times New Roman"/>
          <w:color w:val="000000"/>
          <w:sz w:val="24"/>
          <w:szCs w:val="24"/>
          <w:lang/>
        </w:rPr>
        <w:t>46.1.  </w:t>
      </w:r>
      <w:hyperlink r:id="rId1077" w:anchor="n20" w:tgtFrame="_blank" w:history="1">
        <w:r w:rsidRPr="008B264B">
          <w:rPr>
            <w:rFonts w:ascii="Times New Roman" w:eastAsia="Times New Roman" w:hAnsi="Times New Roman" w:cs="Times New Roman"/>
            <w:color w:val="0000FF"/>
            <w:sz w:val="24"/>
            <w:szCs w:val="24"/>
            <w:u w:val="single"/>
            <w:lang/>
          </w:rPr>
          <w:t>Податкова декларація</w:t>
        </w:r>
      </w:hyperlink>
      <w:r w:rsidRPr="008B264B">
        <w:rPr>
          <w:rFonts w:ascii="Times New Roman" w:eastAsia="Times New Roman" w:hAnsi="Times New Roman" w:cs="Times New Roman"/>
          <w:color w:val="000000"/>
          <w:sz w:val="24"/>
          <w:szCs w:val="24"/>
          <w:lang/>
        </w:rPr>
        <w:t>, розрахунок, звіт (далі - податкова декларація) - документ, що подається платником податків (у тому числі відокремленим підрозділом у випадках, визначених цим Кодексом) контролюючому органу у строки, встановлені законом, на підставі якого здійснюється нарахування та/або сплата податкового зобов’язання або відображаються обсяги операції (операцій), доходів (прибутків), щодо яких податковим та митним законодавством передбачено звільнення платника податку від обов’язку нарахування і сплати податку і збору, чи документ, що свідчить про суми доходу, нарахованого (виплаченого) на користь платників податків - фізичних осіб, суми утриманого та/або сплаченого податку.</w:t>
      </w:r>
    </w:p>
    <w:p w14:paraId="13B7A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3" w:name="n13834"/>
      <w:bookmarkEnd w:id="1983"/>
      <w:r w:rsidRPr="008B264B">
        <w:rPr>
          <w:rFonts w:ascii="Times New Roman" w:eastAsia="Times New Roman" w:hAnsi="Times New Roman" w:cs="Times New Roman"/>
          <w:i/>
          <w:iCs/>
          <w:color w:val="000000"/>
          <w:sz w:val="24"/>
          <w:szCs w:val="24"/>
          <w:lang/>
        </w:rPr>
        <w:t>{Абзац перший пункту 46.1 статті 46 в редакції Закону </w:t>
      </w:r>
      <w:hyperlink r:id="rId1078" w:anchor="n4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0D77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4" w:name="n1146"/>
      <w:bookmarkEnd w:id="1984"/>
      <w:r w:rsidRPr="008B264B">
        <w:rPr>
          <w:rFonts w:ascii="Times New Roman" w:eastAsia="Times New Roman" w:hAnsi="Times New Roman" w:cs="Times New Roman"/>
          <w:color w:val="000000"/>
          <w:sz w:val="24"/>
          <w:szCs w:val="24"/>
          <w:lang/>
        </w:rPr>
        <w:t>Митні декларації прирівнюються до податкових декларацій для цілей нарахування та/або сплати податкових зобов'язань.</w:t>
      </w:r>
    </w:p>
    <w:p w14:paraId="07A7E1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5" w:name="n1147"/>
      <w:bookmarkEnd w:id="1985"/>
      <w:r w:rsidRPr="008B264B">
        <w:rPr>
          <w:rFonts w:ascii="Times New Roman" w:eastAsia="Times New Roman" w:hAnsi="Times New Roman" w:cs="Times New Roman"/>
          <w:color w:val="000000"/>
          <w:sz w:val="24"/>
          <w:szCs w:val="24"/>
          <w:lang/>
        </w:rPr>
        <w:t>Додатки до податкової декларації є її невід'ємною частиною.</w:t>
      </w:r>
    </w:p>
    <w:p w14:paraId="4E83D6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6" w:name="n1148"/>
      <w:bookmarkEnd w:id="1986"/>
      <w:r w:rsidRPr="008B264B">
        <w:rPr>
          <w:rFonts w:ascii="Times New Roman" w:eastAsia="Times New Roman" w:hAnsi="Times New Roman" w:cs="Times New Roman"/>
          <w:color w:val="000000"/>
          <w:sz w:val="24"/>
          <w:szCs w:val="24"/>
          <w:lang/>
        </w:rPr>
        <w:t>46.2. Платник податку на прибуток подає разом з відповідною </w:t>
      </w:r>
      <w:hyperlink r:id="rId1079" w:anchor="n20" w:tgtFrame="_blank" w:history="1">
        <w:r w:rsidRPr="008B264B">
          <w:rPr>
            <w:rFonts w:ascii="Times New Roman" w:eastAsia="Times New Roman" w:hAnsi="Times New Roman" w:cs="Times New Roman"/>
            <w:color w:val="0000FF"/>
            <w:sz w:val="24"/>
            <w:szCs w:val="24"/>
            <w:u w:val="single"/>
            <w:lang/>
          </w:rPr>
          <w:t>податковою декларацією</w:t>
        </w:r>
      </w:hyperlink>
      <w:r w:rsidRPr="008B264B">
        <w:rPr>
          <w:rFonts w:ascii="Times New Roman" w:eastAsia="Times New Roman" w:hAnsi="Times New Roman" w:cs="Times New Roman"/>
          <w:color w:val="000000"/>
          <w:sz w:val="24"/>
          <w:szCs w:val="24"/>
          <w:lang/>
        </w:rPr>
        <w:t> квартальну або річну фінансову звітність у порядку, передбаченому для подання податкової декларації з урахуванням вимог статті 137 цього Кодексу.</w:t>
      </w:r>
    </w:p>
    <w:p w14:paraId="32BE55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7" w:name="n1149"/>
      <w:bookmarkEnd w:id="1987"/>
      <w:r w:rsidRPr="008B264B">
        <w:rPr>
          <w:rFonts w:ascii="Times New Roman" w:eastAsia="Times New Roman" w:hAnsi="Times New Roman" w:cs="Times New Roman"/>
          <w:color w:val="000000"/>
          <w:sz w:val="24"/>
          <w:szCs w:val="24"/>
          <w:lang/>
        </w:rPr>
        <w:t>Фінансова звітність, що складається та подається відповідно до цього пункту платниками податку на прибуток та неприбутковими підприємствами, установами та організаціями, є додатком до </w:t>
      </w:r>
      <w:hyperlink r:id="rId1080" w:anchor="n20" w:tgtFrame="_blank" w:history="1">
        <w:r w:rsidRPr="008B264B">
          <w:rPr>
            <w:rFonts w:ascii="Times New Roman" w:eastAsia="Times New Roman" w:hAnsi="Times New Roman" w:cs="Times New Roman"/>
            <w:color w:val="0000FF"/>
            <w:sz w:val="24"/>
            <w:szCs w:val="24"/>
            <w:u w:val="single"/>
            <w:lang/>
          </w:rPr>
          <w:t>податкової декларації з податку на прибуток</w:t>
        </w:r>
      </w:hyperlink>
      <w:r w:rsidRPr="008B264B">
        <w:rPr>
          <w:rFonts w:ascii="Times New Roman" w:eastAsia="Times New Roman" w:hAnsi="Times New Roman" w:cs="Times New Roman"/>
          <w:color w:val="000000"/>
          <w:sz w:val="24"/>
          <w:szCs w:val="24"/>
          <w:lang/>
        </w:rPr>
        <w:t> (звіту про використання доходів (прибутків) неприбуткової організації) та її невід’ємною частиною.</w:t>
      </w:r>
    </w:p>
    <w:p w14:paraId="4ADA2E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8" w:name="n12527"/>
      <w:bookmarkEnd w:id="1988"/>
      <w:r w:rsidRPr="008B264B">
        <w:rPr>
          <w:rFonts w:ascii="Times New Roman" w:eastAsia="Times New Roman" w:hAnsi="Times New Roman" w:cs="Times New Roman"/>
          <w:color w:val="000000"/>
          <w:sz w:val="24"/>
          <w:szCs w:val="24"/>
          <w:lang/>
        </w:rPr>
        <w:t>Платники податку на прибуток - виробники сільськогосподарської продукції, які обрали річний податковий (звітний) період відповідно до </w:t>
      </w:r>
      <w:hyperlink r:id="rId1081" w:anchor="n10657" w:history="1">
        <w:r w:rsidRPr="008B264B">
          <w:rPr>
            <w:rFonts w:ascii="Times New Roman" w:eastAsia="Times New Roman" w:hAnsi="Times New Roman" w:cs="Times New Roman"/>
            <w:color w:val="0000FF"/>
            <w:sz w:val="24"/>
            <w:szCs w:val="24"/>
            <w:u w:val="single"/>
            <w:lang/>
          </w:rPr>
          <w:t>підпункту 137.4.1</w:t>
        </w:r>
      </w:hyperlink>
      <w:r w:rsidRPr="008B264B">
        <w:rPr>
          <w:rFonts w:ascii="Times New Roman" w:eastAsia="Times New Roman" w:hAnsi="Times New Roman" w:cs="Times New Roman"/>
          <w:color w:val="000000"/>
          <w:sz w:val="24"/>
          <w:szCs w:val="24"/>
          <w:lang/>
        </w:rPr>
        <w:t> пункту 137.4 статті 137 цього Кодексу, складають та подають з відповідною </w:t>
      </w:r>
      <w:hyperlink r:id="rId1082" w:anchor="n20" w:tgtFrame="_blank" w:history="1">
        <w:r w:rsidRPr="008B264B">
          <w:rPr>
            <w:rFonts w:ascii="Times New Roman" w:eastAsia="Times New Roman" w:hAnsi="Times New Roman" w:cs="Times New Roman"/>
            <w:color w:val="0000FF"/>
            <w:sz w:val="24"/>
            <w:szCs w:val="24"/>
            <w:u w:val="single"/>
            <w:lang/>
          </w:rPr>
          <w:t>податковою декларацією</w:t>
        </w:r>
      </w:hyperlink>
      <w:r w:rsidRPr="008B264B">
        <w:rPr>
          <w:rFonts w:ascii="Times New Roman" w:eastAsia="Times New Roman" w:hAnsi="Times New Roman" w:cs="Times New Roman"/>
          <w:color w:val="000000"/>
          <w:sz w:val="24"/>
          <w:szCs w:val="24"/>
          <w:lang/>
        </w:rPr>
        <w:t> фінансову звітність за перше півріччя минулого звітного року, за минулий звітний рік та за перше півріччя поточного звітного року.</w:t>
      </w:r>
    </w:p>
    <w:p w14:paraId="2F4910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89" w:name="n13836"/>
      <w:bookmarkEnd w:id="1989"/>
      <w:r w:rsidRPr="008B264B">
        <w:rPr>
          <w:rFonts w:ascii="Times New Roman" w:eastAsia="Times New Roman" w:hAnsi="Times New Roman" w:cs="Times New Roman"/>
          <w:color w:val="000000"/>
          <w:sz w:val="24"/>
          <w:szCs w:val="24"/>
          <w:lang/>
        </w:rPr>
        <w:t>Неприбуткові підприємства, установи та організації, визначені </w:t>
      </w:r>
      <w:hyperlink r:id="rId1083" w:anchor="n12538" w:history="1">
        <w:r w:rsidRPr="008B264B">
          <w:rPr>
            <w:rFonts w:ascii="Times New Roman" w:eastAsia="Times New Roman" w:hAnsi="Times New Roman" w:cs="Times New Roman"/>
            <w:color w:val="0000FF"/>
            <w:sz w:val="24"/>
            <w:szCs w:val="24"/>
            <w:u w:val="single"/>
            <w:lang/>
          </w:rPr>
          <w:t>пунктом 133.4</w:t>
        </w:r>
      </w:hyperlink>
      <w:r w:rsidRPr="008B264B">
        <w:rPr>
          <w:rFonts w:ascii="Times New Roman" w:eastAsia="Times New Roman" w:hAnsi="Times New Roman" w:cs="Times New Roman"/>
          <w:color w:val="000000"/>
          <w:sz w:val="24"/>
          <w:szCs w:val="24"/>
          <w:lang/>
        </w:rPr>
        <w:t> статті 133 цього Кодексу, подають звіт про використання доходів (прибутків) неприбуткової організації за формою, затвердженою центральним органом виконавчої влади, що забезпечує формування та реалізує державну фінансову політику (професійні спілки, їх об’єднання та організації профспілок, утворені в порядку, визначеному законом, звітують у разі порушень пункту 133.4 статті 133 цього Кодексу), та річну фінансову звітність.</w:t>
      </w:r>
    </w:p>
    <w:p w14:paraId="211561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0" w:name="n13835"/>
      <w:bookmarkEnd w:id="1990"/>
      <w:r w:rsidRPr="008B264B">
        <w:rPr>
          <w:rFonts w:ascii="Times New Roman" w:eastAsia="Times New Roman" w:hAnsi="Times New Roman" w:cs="Times New Roman"/>
          <w:i/>
          <w:iCs/>
          <w:color w:val="000000"/>
          <w:sz w:val="24"/>
          <w:szCs w:val="24"/>
          <w:lang/>
        </w:rPr>
        <w:t>{Пункт 46.2 статті 46 із змінами, внесеними згідно із Законами </w:t>
      </w:r>
      <w:hyperlink r:id="rId1084" w:anchor="n8"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w:t>
      </w:r>
      <w:hyperlink r:id="rId1085" w:anchor="n4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1086" w:anchor="n4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4E6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1" w:name="n1151"/>
      <w:bookmarkEnd w:id="1991"/>
      <w:r w:rsidRPr="008B264B">
        <w:rPr>
          <w:rFonts w:ascii="Times New Roman" w:eastAsia="Times New Roman" w:hAnsi="Times New Roman" w:cs="Times New Roman"/>
          <w:color w:val="000000"/>
          <w:sz w:val="24"/>
          <w:szCs w:val="24"/>
          <w:lang/>
        </w:rPr>
        <w:t>46.3. Якщо згідно з правилами, визначеними цим Кодексом, податкова звітність з окремого податку складається наростаючим підсумком, податкова декларація за результатами останнього податкового періоду року прирівнюється до річної податкової декларації. У такому разі річна податкова декларація не подається.</w:t>
      </w:r>
    </w:p>
    <w:p w14:paraId="7657B0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2" w:name="n1152"/>
      <w:bookmarkEnd w:id="1992"/>
      <w:r w:rsidRPr="008B264B">
        <w:rPr>
          <w:rFonts w:ascii="Times New Roman" w:eastAsia="Times New Roman" w:hAnsi="Times New Roman" w:cs="Times New Roman"/>
          <w:color w:val="000000"/>
          <w:sz w:val="24"/>
          <w:szCs w:val="24"/>
          <w:lang/>
        </w:rPr>
        <w:t xml:space="preserve">46.4. Якщо платник податків вважає, що форма податкової декларації, визначена центральним органом виконавчої влади, що забезпечує формування та реалізує державну фінансову політику, збільшує або зменшує його податкові зобов'язання, всупереч нормам цього </w:t>
      </w:r>
      <w:r w:rsidRPr="008B264B">
        <w:rPr>
          <w:rFonts w:ascii="Times New Roman" w:eastAsia="Times New Roman" w:hAnsi="Times New Roman" w:cs="Times New Roman"/>
          <w:color w:val="000000"/>
          <w:sz w:val="24"/>
          <w:szCs w:val="24"/>
          <w:lang/>
        </w:rPr>
        <w:lastRenderedPageBreak/>
        <w:t>Кодексу з такого податку чи збору, він має право зазначити цей факт у спеціально відведеному місці в податковій декларації.</w:t>
      </w:r>
    </w:p>
    <w:p w14:paraId="1D1250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3" w:name="n1153"/>
      <w:bookmarkEnd w:id="1993"/>
      <w:r w:rsidRPr="008B264B">
        <w:rPr>
          <w:rFonts w:ascii="Times New Roman" w:eastAsia="Times New Roman" w:hAnsi="Times New Roman" w:cs="Times New Roman"/>
          <w:i/>
          <w:iCs/>
          <w:color w:val="000000"/>
          <w:sz w:val="24"/>
          <w:szCs w:val="24"/>
          <w:lang/>
        </w:rPr>
        <w:t>{Абзац перший пункту 46.4 статті 46 із змінами, внесеними згідно з Законами </w:t>
      </w:r>
      <w:hyperlink r:id="rId1087" w:anchor="n7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088"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A683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4" w:name="n1154"/>
      <w:bookmarkEnd w:id="1994"/>
      <w:r w:rsidRPr="008B264B">
        <w:rPr>
          <w:rFonts w:ascii="Times New Roman" w:eastAsia="Times New Roman" w:hAnsi="Times New Roman" w:cs="Times New Roman"/>
          <w:color w:val="000000"/>
          <w:sz w:val="24"/>
          <w:szCs w:val="24"/>
          <w:lang/>
        </w:rPr>
        <w:t>У разі необхідності платник податків може подати разом з такою податковою декларацією доповнення до такої декларації, які складені за довільною формою, що вважатиметься невід'ємною частиною податкової декларації. Таке доповнення подається з поясненням мотивів його подання. Платник податків, який подає звітність в електронній формі, подає таке доповнення в електронній формі.</w:t>
      </w:r>
    </w:p>
    <w:p w14:paraId="292213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5" w:name="n12579"/>
      <w:bookmarkEnd w:id="1995"/>
      <w:r w:rsidRPr="008B264B">
        <w:rPr>
          <w:rFonts w:ascii="Times New Roman" w:eastAsia="Times New Roman" w:hAnsi="Times New Roman" w:cs="Times New Roman"/>
          <w:i/>
          <w:iCs/>
          <w:color w:val="000000"/>
          <w:sz w:val="24"/>
          <w:szCs w:val="24"/>
          <w:lang/>
        </w:rPr>
        <w:t>{Абзац другий пункту 46.4 статті 46 із змінами, внесеними згідно з Законами </w:t>
      </w:r>
      <w:hyperlink r:id="rId1089" w:anchor="n16"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w:t>
      </w:r>
      <w:hyperlink r:id="rId1090" w:anchor="n4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4CE4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6" w:name="n1155"/>
      <w:bookmarkEnd w:id="1996"/>
      <w:r w:rsidRPr="008B264B">
        <w:rPr>
          <w:rFonts w:ascii="Times New Roman" w:eastAsia="Times New Roman" w:hAnsi="Times New Roman" w:cs="Times New Roman"/>
          <w:color w:val="000000"/>
          <w:sz w:val="24"/>
          <w:szCs w:val="24"/>
          <w:lang/>
        </w:rPr>
        <w:t>46.5. Форма податкової декларації встановлюється центральним органом виконавчої влади, що забезпечує формування та реалізує державну податкову і митну політику.</w:t>
      </w:r>
    </w:p>
    <w:p w14:paraId="6FED5B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7" w:name="n1156"/>
      <w:bookmarkEnd w:id="1997"/>
      <w:r w:rsidRPr="008B264B">
        <w:rPr>
          <w:rFonts w:ascii="Times New Roman" w:eastAsia="Times New Roman" w:hAnsi="Times New Roman" w:cs="Times New Roman"/>
          <w:i/>
          <w:iCs/>
          <w:color w:val="000000"/>
          <w:sz w:val="24"/>
          <w:szCs w:val="24"/>
          <w:lang/>
        </w:rPr>
        <w:t>{Абзац перший пункту 46.5 статті 46 із змінами, внесеними згідно з Законом </w:t>
      </w:r>
      <w:hyperlink r:id="rId1091" w:anchor="n7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FE870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8" w:name="n1157"/>
      <w:bookmarkEnd w:id="1998"/>
      <w:r w:rsidRPr="008B264B">
        <w:rPr>
          <w:rFonts w:ascii="Times New Roman" w:eastAsia="Times New Roman" w:hAnsi="Times New Roman" w:cs="Times New Roman"/>
          <w:color w:val="000000"/>
          <w:sz w:val="24"/>
          <w:szCs w:val="24"/>
          <w:lang/>
        </w:rPr>
        <w:t>У такому ж порядку встановлюються форми податкових декларацій з місцевих податків і зборів, що є обов'язковими для застосування їх платниками (податковими агентами).</w:t>
      </w:r>
    </w:p>
    <w:p w14:paraId="1321E6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999" w:name="n1158"/>
      <w:bookmarkEnd w:id="1999"/>
      <w:r w:rsidRPr="008B264B">
        <w:rPr>
          <w:rFonts w:ascii="Times New Roman" w:eastAsia="Times New Roman" w:hAnsi="Times New Roman" w:cs="Times New Roman"/>
          <w:color w:val="000000"/>
          <w:sz w:val="24"/>
          <w:szCs w:val="24"/>
          <w:lang/>
        </w:rPr>
        <w:t>Форма декларації про майновий стан і доходи (податкової декларації) встановлюється з урахуванням особливостей, визначених </w:t>
      </w:r>
      <w:hyperlink r:id="rId1092" w:anchor="n4365" w:history="1">
        <w:r w:rsidRPr="008B264B">
          <w:rPr>
            <w:rFonts w:ascii="Times New Roman" w:eastAsia="Times New Roman" w:hAnsi="Times New Roman" w:cs="Times New Roman"/>
            <w:color w:val="0000FF"/>
            <w:sz w:val="24"/>
            <w:szCs w:val="24"/>
            <w:u w:val="single"/>
            <w:lang/>
          </w:rPr>
          <w:t>пунктом 179.9</w:t>
        </w:r>
      </w:hyperlink>
      <w:r w:rsidRPr="008B264B">
        <w:rPr>
          <w:rFonts w:ascii="Times New Roman" w:eastAsia="Times New Roman" w:hAnsi="Times New Roman" w:cs="Times New Roman"/>
          <w:color w:val="000000"/>
          <w:sz w:val="24"/>
          <w:szCs w:val="24"/>
          <w:lang/>
        </w:rPr>
        <w:t> статті 179 цього Кодексу.</w:t>
      </w:r>
    </w:p>
    <w:bookmarkStart w:id="2000" w:name="n1159"/>
    <w:bookmarkEnd w:id="2000"/>
    <w:p w14:paraId="16A2C6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"https://zakon.rada.gov.ua/laws/show/592-2017-%D0%BF" \l "n15"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спрощеної податкової декларації</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що передбачена </w:t>
      </w:r>
      <w:hyperlink r:id="rId1093" w:anchor="n1208" w:history="1">
        <w:r w:rsidRPr="008B264B">
          <w:rPr>
            <w:rFonts w:ascii="Times New Roman" w:eastAsia="Times New Roman" w:hAnsi="Times New Roman" w:cs="Times New Roman"/>
            <w:color w:val="0000FF"/>
            <w:sz w:val="24"/>
            <w:szCs w:val="24"/>
            <w:u w:val="single"/>
            <w:lang/>
          </w:rPr>
          <w:t>пунктом 49.2</w:t>
        </w:r>
      </w:hyperlink>
      <w:r w:rsidRPr="008B264B">
        <w:rPr>
          <w:rFonts w:ascii="Times New Roman" w:eastAsia="Times New Roman" w:hAnsi="Times New Roman" w:cs="Times New Roman"/>
          <w:color w:val="000000"/>
          <w:sz w:val="24"/>
          <w:szCs w:val="24"/>
          <w:lang/>
        </w:rPr>
        <w:t> статті 49 цього Кодексу, та </w:t>
      </w:r>
      <w:hyperlink r:id="rId1094" w:anchor="n10" w:tgtFrame="_blank" w:history="1">
        <w:r w:rsidRPr="008B264B">
          <w:rPr>
            <w:rFonts w:ascii="Times New Roman" w:eastAsia="Times New Roman" w:hAnsi="Times New Roman" w:cs="Times New Roman"/>
            <w:color w:val="0000FF"/>
            <w:sz w:val="24"/>
            <w:szCs w:val="24"/>
            <w:u w:val="single"/>
            <w:lang/>
          </w:rPr>
          <w:t>порядок переходу платників податків на подання такої декларації</w:t>
        </w:r>
      </w:hyperlink>
      <w:r w:rsidRPr="008B264B">
        <w:rPr>
          <w:rFonts w:ascii="Times New Roman" w:eastAsia="Times New Roman" w:hAnsi="Times New Roman" w:cs="Times New Roman"/>
          <w:color w:val="000000"/>
          <w:sz w:val="24"/>
          <w:szCs w:val="24"/>
          <w:lang/>
        </w:rPr>
        <w:t> встановлюються Кабінетом Міністрів України.</w:t>
      </w:r>
    </w:p>
    <w:p w14:paraId="7DB3DB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1" w:name="n1160"/>
      <w:bookmarkEnd w:id="2001"/>
      <w:r w:rsidRPr="008B264B">
        <w:rPr>
          <w:rFonts w:ascii="Times New Roman" w:eastAsia="Times New Roman" w:hAnsi="Times New Roman" w:cs="Times New Roman"/>
          <w:color w:val="000000"/>
          <w:sz w:val="24"/>
          <w:szCs w:val="24"/>
          <w:lang/>
        </w:rPr>
        <w:t>Форма, порядок та строки подання митної декларації, а також порядок прийняття контролюючим органом митної декларації визначаються з урахуванням вимог митного законодавства України.</w:t>
      </w:r>
    </w:p>
    <w:p w14:paraId="77FADD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2" w:name="n1161"/>
      <w:bookmarkEnd w:id="2002"/>
      <w:r w:rsidRPr="008B264B">
        <w:rPr>
          <w:rFonts w:ascii="Times New Roman" w:eastAsia="Times New Roman" w:hAnsi="Times New Roman" w:cs="Times New Roman"/>
          <w:color w:val="000000"/>
          <w:sz w:val="24"/>
          <w:szCs w:val="24"/>
          <w:lang/>
        </w:rPr>
        <w:t>Державні органи, які встановлюють відповідно до цього пункту форми податкових декларацій, зобов'язані оприлюднити такі форми для використання їх платниками податків.</w:t>
      </w:r>
    </w:p>
    <w:p w14:paraId="6E1189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3" w:name="n1162"/>
      <w:bookmarkEnd w:id="2003"/>
      <w:r w:rsidRPr="008B264B">
        <w:rPr>
          <w:rFonts w:ascii="Times New Roman" w:eastAsia="Times New Roman" w:hAnsi="Times New Roman" w:cs="Times New Roman"/>
          <w:color w:val="000000"/>
          <w:sz w:val="24"/>
          <w:szCs w:val="24"/>
          <w:lang/>
        </w:rPr>
        <w:t>46.6. Якщо в результаті запровадження нового податку або зміни правил оподаткування змінюються форми податкової звітності, центральний орган виконавчої влади, що забезпечує формування та реалізує державну податкову і митну політику, який затвердив такі форми, зобов'язаний оприлюднити нові форми звітності.</w:t>
      </w:r>
    </w:p>
    <w:p w14:paraId="31D46D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4" w:name="n1163"/>
      <w:bookmarkEnd w:id="2004"/>
      <w:r w:rsidRPr="008B264B">
        <w:rPr>
          <w:rFonts w:ascii="Times New Roman" w:eastAsia="Times New Roman" w:hAnsi="Times New Roman" w:cs="Times New Roman"/>
          <w:color w:val="000000"/>
          <w:sz w:val="24"/>
          <w:szCs w:val="24"/>
          <w:lang/>
        </w:rPr>
        <w:t>До визначення нових форм декларацій (розрахунків), які набирають чинності для складання звітності за податковий період, що настає за податковим періодом, у якому відбулося їх оприлюднення, є чинними форми декларацій (розрахунків), чинні до такого визначення.</w:t>
      </w:r>
    </w:p>
    <w:p w14:paraId="3D7CB9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5" w:name="n1164"/>
      <w:bookmarkEnd w:id="2005"/>
      <w:r w:rsidRPr="008B264B">
        <w:rPr>
          <w:rFonts w:ascii="Times New Roman" w:eastAsia="Times New Roman" w:hAnsi="Times New Roman" w:cs="Times New Roman"/>
          <w:i/>
          <w:iCs/>
          <w:color w:val="000000"/>
          <w:sz w:val="24"/>
          <w:szCs w:val="24"/>
          <w:lang/>
        </w:rPr>
        <w:t>{Абзац другий пункту 46.6 статті 46 із змінами, внесеними згідно із Законом </w:t>
      </w:r>
      <w:hyperlink r:id="rId1095" w:anchor="n4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4EA40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6" w:name="n1165"/>
      <w:bookmarkEnd w:id="2006"/>
      <w:r w:rsidRPr="008B264B">
        <w:rPr>
          <w:rFonts w:ascii="Times New Roman" w:eastAsia="Times New Roman" w:hAnsi="Times New Roman" w:cs="Times New Roman"/>
          <w:color w:val="000000"/>
          <w:sz w:val="24"/>
          <w:szCs w:val="24"/>
          <w:lang/>
        </w:rPr>
        <w:t>Після внесення змін до нормативно-правових актів з питань оподаткування центральний орган виконавчої влади, що забезпечує формування та реалізує державну податкову і митну політику, повинен здійснити заходи, пов’язані з оприлюдненням та застосуванням таких змін.</w:t>
      </w:r>
    </w:p>
    <w:p w14:paraId="59C43D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7" w:name="n1166"/>
      <w:bookmarkEnd w:id="2007"/>
      <w:r w:rsidRPr="008B264B">
        <w:rPr>
          <w:rFonts w:ascii="Times New Roman" w:eastAsia="Times New Roman" w:hAnsi="Times New Roman" w:cs="Times New Roman"/>
          <w:i/>
          <w:iCs/>
          <w:color w:val="000000"/>
          <w:sz w:val="24"/>
          <w:szCs w:val="24"/>
          <w:lang/>
        </w:rPr>
        <w:t>{Абзац третій пункту 46.6 статті 46 із змінами, внесеними згідно з Законами </w:t>
      </w:r>
      <w:hyperlink r:id="rId1096" w:anchor="n7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1097" w:anchor="n12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58671A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8" w:name="n1167"/>
      <w:bookmarkEnd w:id="2008"/>
      <w:r w:rsidRPr="008B264B">
        <w:rPr>
          <w:rFonts w:ascii="Times New Roman" w:eastAsia="Times New Roman" w:hAnsi="Times New Roman" w:cs="Times New Roman"/>
          <w:color w:val="000000"/>
          <w:sz w:val="24"/>
          <w:szCs w:val="24"/>
          <w:lang/>
        </w:rPr>
        <w:t>Вимоги </w:t>
      </w:r>
      <w:hyperlink r:id="rId1098" w:anchor="n1144" w:history="1">
        <w:r w:rsidRPr="008B264B">
          <w:rPr>
            <w:rFonts w:ascii="Times New Roman" w:eastAsia="Times New Roman" w:hAnsi="Times New Roman" w:cs="Times New Roman"/>
            <w:color w:val="0000FF"/>
            <w:sz w:val="24"/>
            <w:szCs w:val="24"/>
            <w:u w:val="single"/>
            <w:lang/>
          </w:rPr>
          <w:t>статей 46-50</w:t>
        </w:r>
      </w:hyperlink>
      <w:r w:rsidRPr="008B264B">
        <w:rPr>
          <w:rFonts w:ascii="Times New Roman" w:eastAsia="Times New Roman" w:hAnsi="Times New Roman" w:cs="Times New Roman"/>
          <w:color w:val="000000"/>
          <w:sz w:val="24"/>
          <w:szCs w:val="24"/>
          <w:lang/>
        </w:rPr>
        <w:t> цього Кодексу не поширюються на декларування товарів (продукції), ввезених на митну територію України або вивезених з неї відповідно до митного законодавства України (крім випадків, визначених у цих статтях), а також на декларування відрахувань до соціальних фондів та інше інформаційне декларування, яке містить економічні відомості про суб'єктів оподаткування, що не стосуються обчислення податків.</w:t>
      </w:r>
    </w:p>
    <w:p w14:paraId="066DA7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09" w:name="n1168"/>
      <w:bookmarkEnd w:id="2009"/>
      <w:r w:rsidRPr="008B264B">
        <w:rPr>
          <w:rFonts w:ascii="Times New Roman" w:eastAsia="Times New Roman" w:hAnsi="Times New Roman" w:cs="Times New Roman"/>
          <w:b/>
          <w:bCs/>
          <w:color w:val="000000"/>
          <w:sz w:val="24"/>
          <w:szCs w:val="24"/>
          <w:lang/>
        </w:rPr>
        <w:lastRenderedPageBreak/>
        <w:t>Стаття 47.</w:t>
      </w:r>
      <w:r w:rsidRPr="008B264B">
        <w:rPr>
          <w:rFonts w:ascii="Times New Roman" w:eastAsia="Times New Roman" w:hAnsi="Times New Roman" w:cs="Times New Roman"/>
          <w:color w:val="000000"/>
          <w:sz w:val="24"/>
          <w:szCs w:val="24"/>
          <w:lang/>
        </w:rPr>
        <w:t> Особи, які несуть відповідальність за складення податкової звітності</w:t>
      </w:r>
    </w:p>
    <w:p w14:paraId="37BA2D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0" w:name="n1169"/>
      <w:bookmarkEnd w:id="2010"/>
      <w:r w:rsidRPr="008B264B">
        <w:rPr>
          <w:rFonts w:ascii="Times New Roman" w:eastAsia="Times New Roman" w:hAnsi="Times New Roman" w:cs="Times New Roman"/>
          <w:color w:val="000000"/>
          <w:sz w:val="24"/>
          <w:szCs w:val="24"/>
          <w:lang/>
        </w:rPr>
        <w:t>47.1. Відповідальність за неподання, порушення порядку заповнення документів податкової звітності, порушення строків їх подання контролюючим органам, недостовірність інформації, наведеної у зазначених документах, несуть:</w:t>
      </w:r>
    </w:p>
    <w:p w14:paraId="7C62AB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1" w:name="n1170"/>
      <w:bookmarkEnd w:id="2011"/>
      <w:r w:rsidRPr="008B264B">
        <w:rPr>
          <w:rFonts w:ascii="Times New Roman" w:eastAsia="Times New Roman" w:hAnsi="Times New Roman" w:cs="Times New Roman"/>
          <w:color w:val="000000"/>
          <w:sz w:val="24"/>
          <w:szCs w:val="24"/>
          <w:lang/>
        </w:rPr>
        <w:t>47.1.1. юридичні особи, постійні представництва нерезидентів, які відповідно до цього Кодексу визначені платниками податків, а також їх посадові особи.</w:t>
      </w:r>
    </w:p>
    <w:p w14:paraId="704DA2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2" w:name="n1171"/>
      <w:bookmarkEnd w:id="2012"/>
      <w:r w:rsidRPr="008B264B">
        <w:rPr>
          <w:rFonts w:ascii="Times New Roman" w:eastAsia="Times New Roman" w:hAnsi="Times New Roman" w:cs="Times New Roman"/>
          <w:color w:val="000000"/>
          <w:sz w:val="24"/>
          <w:szCs w:val="24"/>
          <w:lang/>
        </w:rPr>
        <w:t>Відповідальність за порушення податкового законодавства відокремленим підрозділом юридичної особи несе юридична особа, до складу якої він входить;</w:t>
      </w:r>
    </w:p>
    <w:p w14:paraId="6D6BA1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3" w:name="n1172"/>
      <w:bookmarkEnd w:id="2013"/>
      <w:r w:rsidRPr="008B264B">
        <w:rPr>
          <w:rFonts w:ascii="Times New Roman" w:eastAsia="Times New Roman" w:hAnsi="Times New Roman" w:cs="Times New Roman"/>
          <w:color w:val="000000"/>
          <w:sz w:val="24"/>
          <w:szCs w:val="24"/>
          <w:lang/>
        </w:rPr>
        <w:t>47.1.2. фізичні особи - платники податків та їх законні чи уповноважені представники у випадках, передбачених законом;</w:t>
      </w:r>
    </w:p>
    <w:p w14:paraId="551A2F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4" w:name="n1173"/>
      <w:bookmarkEnd w:id="2014"/>
      <w:r w:rsidRPr="008B264B">
        <w:rPr>
          <w:rFonts w:ascii="Times New Roman" w:eastAsia="Times New Roman" w:hAnsi="Times New Roman" w:cs="Times New Roman"/>
          <w:color w:val="000000"/>
          <w:sz w:val="24"/>
          <w:szCs w:val="24"/>
          <w:lang/>
        </w:rPr>
        <w:t>47.1.3. податкові агенти.</w:t>
      </w:r>
    </w:p>
    <w:p w14:paraId="689362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5" w:name="n1174"/>
      <w:bookmarkEnd w:id="2015"/>
      <w:r w:rsidRPr="008B264B">
        <w:rPr>
          <w:rFonts w:ascii="Times New Roman" w:eastAsia="Times New Roman" w:hAnsi="Times New Roman" w:cs="Times New Roman"/>
          <w:b/>
          <w:bCs/>
          <w:color w:val="000000"/>
          <w:sz w:val="24"/>
          <w:szCs w:val="24"/>
          <w:lang/>
        </w:rPr>
        <w:t>Стаття 48.</w:t>
      </w:r>
      <w:r w:rsidRPr="008B264B">
        <w:rPr>
          <w:rFonts w:ascii="Times New Roman" w:eastAsia="Times New Roman" w:hAnsi="Times New Roman" w:cs="Times New Roman"/>
          <w:color w:val="000000"/>
          <w:sz w:val="24"/>
          <w:szCs w:val="24"/>
          <w:lang/>
        </w:rPr>
        <w:t> Складення податкової декларації</w:t>
      </w:r>
    </w:p>
    <w:p w14:paraId="792BF2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6" w:name="n1175"/>
      <w:bookmarkEnd w:id="2016"/>
      <w:r w:rsidRPr="008B264B">
        <w:rPr>
          <w:rFonts w:ascii="Times New Roman" w:eastAsia="Times New Roman" w:hAnsi="Times New Roman" w:cs="Times New Roman"/>
          <w:color w:val="000000"/>
          <w:sz w:val="24"/>
          <w:szCs w:val="24"/>
          <w:lang/>
        </w:rPr>
        <w:t>48.1. Податкова декларація складається за формою, затвердженою в порядку, визначеному положеннями </w:t>
      </w:r>
      <w:hyperlink r:id="rId1099" w:anchor="n1155" w:history="1">
        <w:r w:rsidRPr="008B264B">
          <w:rPr>
            <w:rFonts w:ascii="Times New Roman" w:eastAsia="Times New Roman" w:hAnsi="Times New Roman" w:cs="Times New Roman"/>
            <w:color w:val="0000FF"/>
            <w:sz w:val="24"/>
            <w:szCs w:val="24"/>
            <w:u w:val="single"/>
            <w:lang/>
          </w:rPr>
          <w:t>пункту 46.5</w:t>
        </w:r>
      </w:hyperlink>
      <w:r w:rsidRPr="008B264B">
        <w:rPr>
          <w:rFonts w:ascii="Times New Roman" w:eastAsia="Times New Roman" w:hAnsi="Times New Roman" w:cs="Times New Roman"/>
          <w:color w:val="000000"/>
          <w:sz w:val="24"/>
          <w:szCs w:val="24"/>
          <w:lang/>
        </w:rPr>
        <w:t> статті 46 цього Кодексу та чинному на час її подання.</w:t>
      </w:r>
    </w:p>
    <w:p w14:paraId="260247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7" w:name="n1176"/>
      <w:bookmarkEnd w:id="2017"/>
      <w:r w:rsidRPr="008B264B">
        <w:rPr>
          <w:rFonts w:ascii="Times New Roman" w:eastAsia="Times New Roman" w:hAnsi="Times New Roman" w:cs="Times New Roman"/>
          <w:color w:val="000000"/>
          <w:sz w:val="24"/>
          <w:szCs w:val="24"/>
          <w:lang/>
        </w:rPr>
        <w:t>Форма податкової декларації повинна містити необхідні обов'язкові реквізити і відповідати нормам та змісту відповідних податку та збору.</w:t>
      </w:r>
    </w:p>
    <w:p w14:paraId="40782C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8" w:name="n1177"/>
      <w:bookmarkEnd w:id="2018"/>
      <w:r w:rsidRPr="008B264B">
        <w:rPr>
          <w:rFonts w:ascii="Times New Roman" w:eastAsia="Times New Roman" w:hAnsi="Times New Roman" w:cs="Times New Roman"/>
          <w:color w:val="000000"/>
          <w:sz w:val="24"/>
          <w:szCs w:val="24"/>
          <w:lang/>
        </w:rPr>
        <w:t>48.2. Обов'язкові реквізити - це інформація, яку повинна містити форма податкової декларації та за відсутності якої документ втрачає визначений цим Кодексом статус із настанням передбачених законом юридичних наслідків.</w:t>
      </w:r>
    </w:p>
    <w:p w14:paraId="5D4F03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19" w:name="n1178"/>
      <w:bookmarkEnd w:id="2019"/>
      <w:r w:rsidRPr="008B264B">
        <w:rPr>
          <w:rFonts w:ascii="Times New Roman" w:eastAsia="Times New Roman" w:hAnsi="Times New Roman" w:cs="Times New Roman"/>
          <w:color w:val="000000"/>
          <w:sz w:val="24"/>
          <w:szCs w:val="24"/>
          <w:lang/>
        </w:rPr>
        <w:t>48.3. Податкова декларація повинна містити такі обов'язкові реквізити:</w:t>
      </w:r>
    </w:p>
    <w:p w14:paraId="3B486A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0" w:name="n1179"/>
      <w:bookmarkEnd w:id="2020"/>
      <w:r w:rsidRPr="008B264B">
        <w:rPr>
          <w:rFonts w:ascii="Times New Roman" w:eastAsia="Times New Roman" w:hAnsi="Times New Roman" w:cs="Times New Roman"/>
          <w:color w:val="000000"/>
          <w:sz w:val="24"/>
          <w:szCs w:val="24"/>
          <w:lang/>
        </w:rPr>
        <w:t>тип документа (звітний, уточнюючий, звітний новий);</w:t>
      </w:r>
    </w:p>
    <w:p w14:paraId="6429A8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1" w:name="n1180"/>
      <w:bookmarkEnd w:id="2021"/>
      <w:r w:rsidRPr="008B264B">
        <w:rPr>
          <w:rFonts w:ascii="Times New Roman" w:eastAsia="Times New Roman" w:hAnsi="Times New Roman" w:cs="Times New Roman"/>
          <w:color w:val="000000"/>
          <w:sz w:val="24"/>
          <w:szCs w:val="24"/>
          <w:lang/>
        </w:rPr>
        <w:t>звітний (податковий) період, за який подається податкова декларація;</w:t>
      </w:r>
    </w:p>
    <w:p w14:paraId="2D40A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2" w:name="n1181"/>
      <w:bookmarkEnd w:id="2022"/>
      <w:r w:rsidRPr="008B264B">
        <w:rPr>
          <w:rFonts w:ascii="Times New Roman" w:eastAsia="Times New Roman" w:hAnsi="Times New Roman" w:cs="Times New Roman"/>
          <w:color w:val="000000"/>
          <w:sz w:val="24"/>
          <w:szCs w:val="24"/>
          <w:lang/>
        </w:rPr>
        <w:t>звітний (податковий) період, що уточнюється (для уточнюючого розрахунку);</w:t>
      </w:r>
    </w:p>
    <w:p w14:paraId="23A3C5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3" w:name="n1182"/>
      <w:bookmarkEnd w:id="2023"/>
      <w:r w:rsidRPr="008B264B">
        <w:rPr>
          <w:rFonts w:ascii="Times New Roman" w:eastAsia="Times New Roman" w:hAnsi="Times New Roman" w:cs="Times New Roman"/>
          <w:color w:val="000000"/>
          <w:sz w:val="24"/>
          <w:szCs w:val="24"/>
          <w:lang/>
        </w:rPr>
        <w:t>повне найменування (прізвище, ім'я, по батькові) платника податків згідно з реєстраційними документами;</w:t>
      </w:r>
    </w:p>
    <w:p w14:paraId="5CD035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4" w:name="n1183"/>
      <w:bookmarkEnd w:id="2024"/>
      <w:r w:rsidRPr="008B264B">
        <w:rPr>
          <w:rFonts w:ascii="Times New Roman" w:eastAsia="Times New Roman" w:hAnsi="Times New Roman" w:cs="Times New Roman"/>
          <w:color w:val="000000"/>
          <w:sz w:val="24"/>
          <w:szCs w:val="24"/>
          <w:lang/>
        </w:rPr>
        <w:t>код платника податків згідно з Єдиним державним реєстром підприємств та організацій України або податковий номер;</w:t>
      </w:r>
    </w:p>
    <w:p w14:paraId="3A94D3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5" w:name="n1184"/>
      <w:bookmarkEnd w:id="2025"/>
      <w:r w:rsidRPr="008B264B">
        <w:rPr>
          <w:rFonts w:ascii="Times New Roman" w:eastAsia="Times New Roman" w:hAnsi="Times New Roman" w:cs="Times New Roman"/>
          <w:color w:val="000000"/>
          <w:sz w:val="24"/>
          <w:szCs w:val="24"/>
          <w:lang/>
        </w:rPr>
        <w:t>реєстраційний номер облікової картки платника податків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і мають відмітку у паспорті);</w:t>
      </w:r>
    </w:p>
    <w:p w14:paraId="7A7F82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6" w:name="n1185"/>
      <w:bookmarkEnd w:id="2026"/>
      <w:r w:rsidRPr="008B264B">
        <w:rPr>
          <w:rFonts w:ascii="Times New Roman" w:eastAsia="Times New Roman" w:hAnsi="Times New Roman" w:cs="Times New Roman"/>
          <w:color w:val="000000"/>
          <w:sz w:val="24"/>
          <w:szCs w:val="24"/>
          <w:lang/>
        </w:rPr>
        <w:t>місцезнаходження (місце проживання) платника податків;</w:t>
      </w:r>
    </w:p>
    <w:p w14:paraId="08ADA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7" w:name="n1186"/>
      <w:bookmarkEnd w:id="2027"/>
      <w:r w:rsidRPr="008B264B">
        <w:rPr>
          <w:rFonts w:ascii="Times New Roman" w:eastAsia="Times New Roman" w:hAnsi="Times New Roman" w:cs="Times New Roman"/>
          <w:color w:val="000000"/>
          <w:sz w:val="24"/>
          <w:szCs w:val="24"/>
          <w:lang/>
        </w:rPr>
        <w:t>найменування контролюючого органу, до якого подається звітність;</w:t>
      </w:r>
    </w:p>
    <w:p w14:paraId="095ED9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8" w:name="n1187"/>
      <w:bookmarkEnd w:id="2028"/>
      <w:r w:rsidRPr="008B264B">
        <w:rPr>
          <w:rFonts w:ascii="Times New Roman" w:eastAsia="Times New Roman" w:hAnsi="Times New Roman" w:cs="Times New Roman"/>
          <w:color w:val="000000"/>
          <w:sz w:val="24"/>
          <w:szCs w:val="24"/>
          <w:lang/>
        </w:rPr>
        <w:t>дата подання звіту (або дата заповнення - залежно від форми);</w:t>
      </w:r>
    </w:p>
    <w:p w14:paraId="16DB27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29" w:name="n13838"/>
      <w:bookmarkEnd w:id="2029"/>
      <w:r w:rsidRPr="008B264B">
        <w:rPr>
          <w:rFonts w:ascii="Times New Roman" w:eastAsia="Times New Roman" w:hAnsi="Times New Roman" w:cs="Times New Roman"/>
          <w:color w:val="000000"/>
          <w:sz w:val="24"/>
          <w:szCs w:val="24"/>
          <w:lang/>
        </w:rPr>
        <w:t>інформація про додатки, що додаються до </w:t>
      </w:r>
      <w:hyperlink r:id="rId1100"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та є її невід’ємною частиною;</w:t>
      </w:r>
    </w:p>
    <w:p w14:paraId="708626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0" w:name="n13837"/>
      <w:bookmarkEnd w:id="2030"/>
      <w:r w:rsidRPr="008B264B">
        <w:rPr>
          <w:rFonts w:ascii="Times New Roman" w:eastAsia="Times New Roman" w:hAnsi="Times New Roman" w:cs="Times New Roman"/>
          <w:i/>
          <w:iCs/>
          <w:color w:val="000000"/>
          <w:sz w:val="24"/>
          <w:szCs w:val="24"/>
          <w:lang/>
        </w:rPr>
        <w:t>{Пункт 48.3 статті 48 доповнено новим абзацом згідно із Законом </w:t>
      </w:r>
      <w:hyperlink r:id="rId1101" w:anchor="n4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58572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1" w:name="n1188"/>
      <w:bookmarkEnd w:id="2031"/>
      <w:r w:rsidRPr="008B264B">
        <w:rPr>
          <w:rFonts w:ascii="Times New Roman" w:eastAsia="Times New Roman" w:hAnsi="Times New Roman" w:cs="Times New Roman"/>
          <w:color w:val="000000"/>
          <w:sz w:val="24"/>
          <w:szCs w:val="24"/>
          <w:lang/>
        </w:rPr>
        <w:t>ініціали, прізвища та реєстраційні номери облікових карток або інші відомості, визначені в абзаці сьомому цього пункту, посадових осіб платника податків;</w:t>
      </w:r>
    </w:p>
    <w:p w14:paraId="4B74CB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2" w:name="n1189"/>
      <w:bookmarkEnd w:id="2032"/>
      <w:r w:rsidRPr="008B264B">
        <w:rPr>
          <w:rFonts w:ascii="Times New Roman" w:eastAsia="Times New Roman" w:hAnsi="Times New Roman" w:cs="Times New Roman"/>
          <w:i/>
          <w:iCs/>
          <w:color w:val="000000"/>
          <w:sz w:val="24"/>
          <w:szCs w:val="24"/>
          <w:lang/>
        </w:rPr>
        <w:t>{Абзац пункту 48.3 статті 48 із змінами, внесеними згідно із Законом </w:t>
      </w:r>
      <w:hyperlink r:id="rId1102" w:anchor="n4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AA6B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3" w:name="n1190"/>
      <w:bookmarkEnd w:id="2033"/>
      <w:r w:rsidRPr="008B264B">
        <w:rPr>
          <w:rFonts w:ascii="Times New Roman" w:eastAsia="Times New Roman" w:hAnsi="Times New Roman" w:cs="Times New Roman"/>
          <w:color w:val="000000"/>
          <w:sz w:val="24"/>
          <w:szCs w:val="24"/>
          <w:lang/>
        </w:rPr>
        <w:lastRenderedPageBreak/>
        <w:t>підписи платника податку - фізичної особи та/або посадових осіб платника податку, визначених цим Кодексом, засвідчені печаткою платника податку (за наявності).</w:t>
      </w:r>
    </w:p>
    <w:p w14:paraId="49B460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4" w:name="n1191"/>
      <w:bookmarkEnd w:id="2034"/>
      <w:r w:rsidRPr="008B264B">
        <w:rPr>
          <w:rFonts w:ascii="Times New Roman" w:eastAsia="Times New Roman" w:hAnsi="Times New Roman" w:cs="Times New Roman"/>
          <w:color w:val="000000"/>
          <w:sz w:val="24"/>
          <w:szCs w:val="24"/>
          <w:lang/>
        </w:rPr>
        <w:t>48.4. У окремих випадках, коли це відповідає сутності податку або збору та є необхідним для його адміністрування, форма податкової декларації додатково може містити такі обов'язкові реквізити:</w:t>
      </w:r>
    </w:p>
    <w:p w14:paraId="27E72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5" w:name="n1192"/>
      <w:bookmarkEnd w:id="2035"/>
      <w:r w:rsidRPr="008B264B">
        <w:rPr>
          <w:rFonts w:ascii="Times New Roman" w:eastAsia="Times New Roman" w:hAnsi="Times New Roman" w:cs="Times New Roman"/>
          <w:color w:val="000000"/>
          <w:sz w:val="24"/>
          <w:szCs w:val="24"/>
          <w:lang/>
        </w:rPr>
        <w:t>відмітка про звітування за спеціальним режимом;</w:t>
      </w:r>
    </w:p>
    <w:bookmarkStart w:id="2036" w:name="n1193"/>
    <w:bookmarkEnd w:id="2036"/>
    <w:p w14:paraId="6A4511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"https://zakon.rada.gov.ua/laws/show/va375202-05"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код виду економічної діяльності</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(КВЕД);</w:t>
      </w:r>
    </w:p>
    <w:p w14:paraId="76CAF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7" w:name="n1194"/>
      <w:bookmarkEnd w:id="2037"/>
      <w:r w:rsidRPr="008B264B">
        <w:rPr>
          <w:rFonts w:ascii="Times New Roman" w:eastAsia="Times New Roman" w:hAnsi="Times New Roman" w:cs="Times New Roman"/>
          <w:color w:val="000000"/>
          <w:sz w:val="24"/>
          <w:szCs w:val="24"/>
          <w:lang/>
        </w:rPr>
        <w:t>код органу місцевого самоврядування за КОАТУУ;</w:t>
      </w:r>
    </w:p>
    <w:p w14:paraId="63577F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8" w:name="n1195"/>
      <w:bookmarkEnd w:id="2038"/>
      <w:r w:rsidRPr="008B264B">
        <w:rPr>
          <w:rFonts w:ascii="Times New Roman" w:eastAsia="Times New Roman" w:hAnsi="Times New Roman" w:cs="Times New Roman"/>
          <w:color w:val="000000"/>
          <w:sz w:val="24"/>
          <w:szCs w:val="24"/>
          <w:lang/>
        </w:rPr>
        <w:t>індивідуальний податковий номер згідно з даними реєстру платників податку на додану вартість за звітний (податковий) період;</w:t>
      </w:r>
    </w:p>
    <w:p w14:paraId="2EB4CD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39" w:name="n9474"/>
      <w:bookmarkEnd w:id="2039"/>
      <w:r w:rsidRPr="008B264B">
        <w:rPr>
          <w:rFonts w:ascii="Times New Roman" w:eastAsia="Times New Roman" w:hAnsi="Times New Roman" w:cs="Times New Roman"/>
          <w:i/>
          <w:iCs/>
          <w:color w:val="000000"/>
          <w:sz w:val="24"/>
          <w:szCs w:val="24"/>
          <w:lang/>
        </w:rPr>
        <w:t>{Абзац п'ятий пункту 48.4 статті 48 із змінами, внесеними згідно із Законом </w:t>
      </w:r>
      <w:hyperlink r:id="rId1103" w:anchor="n2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693906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0" w:name="n13840"/>
      <w:bookmarkEnd w:id="2040"/>
      <w:r w:rsidRPr="008B264B">
        <w:rPr>
          <w:rFonts w:ascii="Times New Roman" w:eastAsia="Times New Roman" w:hAnsi="Times New Roman" w:cs="Times New Roman"/>
          <w:color w:val="000000"/>
          <w:sz w:val="24"/>
          <w:szCs w:val="24"/>
          <w:lang/>
        </w:rPr>
        <w:t>дата та номер рішення про включення неприбуткової організації до Реєстру неприбуткових установ та організацій;</w:t>
      </w:r>
    </w:p>
    <w:p w14:paraId="4BB61A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1" w:name="n13848"/>
      <w:bookmarkEnd w:id="2041"/>
      <w:r w:rsidRPr="008B264B">
        <w:rPr>
          <w:rFonts w:ascii="Times New Roman" w:eastAsia="Times New Roman" w:hAnsi="Times New Roman" w:cs="Times New Roman"/>
          <w:i/>
          <w:iCs/>
          <w:color w:val="000000"/>
          <w:sz w:val="24"/>
          <w:szCs w:val="24"/>
          <w:lang/>
        </w:rPr>
        <w:t>{Пункт 48.4 статті 48 доповнено абзацом шостим згідно із Законом </w:t>
      </w:r>
      <w:hyperlink r:id="rId1104" w:anchor="n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13CB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2" w:name="n13841"/>
      <w:bookmarkEnd w:id="2042"/>
      <w:r w:rsidRPr="008B264B">
        <w:rPr>
          <w:rFonts w:ascii="Times New Roman" w:eastAsia="Times New Roman" w:hAnsi="Times New Roman" w:cs="Times New Roman"/>
          <w:color w:val="000000"/>
          <w:sz w:val="24"/>
          <w:szCs w:val="24"/>
          <w:lang/>
        </w:rPr>
        <w:t>ознака неприбутковості організації;</w:t>
      </w:r>
    </w:p>
    <w:p w14:paraId="266B5F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3" w:name="n13847"/>
      <w:bookmarkEnd w:id="2043"/>
      <w:r w:rsidRPr="008B264B">
        <w:rPr>
          <w:rFonts w:ascii="Times New Roman" w:eastAsia="Times New Roman" w:hAnsi="Times New Roman" w:cs="Times New Roman"/>
          <w:i/>
          <w:iCs/>
          <w:color w:val="000000"/>
          <w:sz w:val="24"/>
          <w:szCs w:val="24"/>
          <w:lang/>
        </w:rPr>
        <w:t>{Пункт 48.4 статті 48 доповнено абзацом сьомим згідно із Законом </w:t>
      </w:r>
      <w:hyperlink r:id="rId1105" w:anchor="n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302F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4" w:name="n13842"/>
      <w:bookmarkEnd w:id="2044"/>
      <w:r w:rsidRPr="008B264B">
        <w:rPr>
          <w:rFonts w:ascii="Times New Roman" w:eastAsia="Times New Roman" w:hAnsi="Times New Roman" w:cs="Times New Roman"/>
          <w:color w:val="000000"/>
          <w:sz w:val="24"/>
          <w:szCs w:val="24"/>
          <w:lang/>
        </w:rPr>
        <w:t>повне найменування нерезидента;</w:t>
      </w:r>
    </w:p>
    <w:p w14:paraId="5387D6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5" w:name="n13846"/>
      <w:bookmarkEnd w:id="2045"/>
      <w:r w:rsidRPr="008B264B">
        <w:rPr>
          <w:rFonts w:ascii="Times New Roman" w:eastAsia="Times New Roman" w:hAnsi="Times New Roman" w:cs="Times New Roman"/>
          <w:i/>
          <w:iCs/>
          <w:color w:val="000000"/>
          <w:sz w:val="24"/>
          <w:szCs w:val="24"/>
          <w:lang/>
        </w:rPr>
        <w:t>{Пункт 48.4 статті 48 доповнено абзацом восьмим згідно із Законом </w:t>
      </w:r>
      <w:hyperlink r:id="rId1106" w:anchor="n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2BED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6" w:name="n13843"/>
      <w:bookmarkEnd w:id="2046"/>
      <w:r w:rsidRPr="008B264B">
        <w:rPr>
          <w:rFonts w:ascii="Times New Roman" w:eastAsia="Times New Roman" w:hAnsi="Times New Roman" w:cs="Times New Roman"/>
          <w:color w:val="000000"/>
          <w:sz w:val="24"/>
          <w:szCs w:val="24"/>
          <w:lang/>
        </w:rPr>
        <w:t>місцезнаходження нерезидента;</w:t>
      </w:r>
    </w:p>
    <w:p w14:paraId="39338C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7" w:name="n13845"/>
      <w:bookmarkEnd w:id="2047"/>
      <w:r w:rsidRPr="008B264B">
        <w:rPr>
          <w:rFonts w:ascii="Times New Roman" w:eastAsia="Times New Roman" w:hAnsi="Times New Roman" w:cs="Times New Roman"/>
          <w:i/>
          <w:iCs/>
          <w:color w:val="000000"/>
          <w:sz w:val="24"/>
          <w:szCs w:val="24"/>
          <w:lang/>
        </w:rPr>
        <w:t>{Пункт 48.4 статті 48 доповнено абзацом дев'ятим згідно із Законом </w:t>
      </w:r>
      <w:hyperlink r:id="rId1107" w:anchor="n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99A7D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8" w:name="n13844"/>
      <w:bookmarkEnd w:id="2048"/>
      <w:r w:rsidRPr="008B264B">
        <w:rPr>
          <w:rFonts w:ascii="Times New Roman" w:eastAsia="Times New Roman" w:hAnsi="Times New Roman" w:cs="Times New Roman"/>
          <w:color w:val="000000"/>
          <w:sz w:val="24"/>
          <w:szCs w:val="24"/>
          <w:lang/>
        </w:rPr>
        <w:t>назва та код держави резиденції нерезидента.</w:t>
      </w:r>
    </w:p>
    <w:p w14:paraId="06C6D6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49" w:name="n13839"/>
      <w:bookmarkEnd w:id="2049"/>
      <w:r w:rsidRPr="008B264B">
        <w:rPr>
          <w:rFonts w:ascii="Times New Roman" w:eastAsia="Times New Roman" w:hAnsi="Times New Roman" w:cs="Times New Roman"/>
          <w:i/>
          <w:iCs/>
          <w:color w:val="000000"/>
          <w:sz w:val="24"/>
          <w:szCs w:val="24"/>
          <w:lang/>
        </w:rPr>
        <w:t>{Пункт 48.4 статті 48 доповнено абзацом десятим згідно із Законом </w:t>
      </w:r>
      <w:hyperlink r:id="rId1108" w:anchor="n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50ECF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0" w:name="n1196"/>
      <w:bookmarkEnd w:id="2050"/>
      <w:r w:rsidRPr="008B264B">
        <w:rPr>
          <w:rFonts w:ascii="Times New Roman" w:eastAsia="Times New Roman" w:hAnsi="Times New Roman" w:cs="Times New Roman"/>
          <w:color w:val="000000"/>
          <w:sz w:val="24"/>
          <w:szCs w:val="24"/>
          <w:lang/>
        </w:rPr>
        <w:t>48.5. Податкова декларація повинна бути підписана:</w:t>
      </w:r>
    </w:p>
    <w:p w14:paraId="743831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1" w:name="n1197"/>
      <w:bookmarkEnd w:id="2051"/>
      <w:r w:rsidRPr="008B264B">
        <w:rPr>
          <w:rFonts w:ascii="Times New Roman" w:eastAsia="Times New Roman" w:hAnsi="Times New Roman" w:cs="Times New Roman"/>
          <w:color w:val="000000"/>
          <w:sz w:val="24"/>
          <w:szCs w:val="24"/>
          <w:lang/>
        </w:rPr>
        <w:t>48.5.1. керівником платника податків або уповноваженою особою, а також особою, яка відповідає за ведення бухгалтерського обліку та подання податкової декларації до контролюючого органу. У разі ведення бухгалтерського обліку та подання податкової декларації безпосередньо керівником платника податку така податкова декларація підписується таким керівником;</w:t>
      </w:r>
    </w:p>
    <w:p w14:paraId="2AC1C9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2" w:name="n1198"/>
      <w:bookmarkEnd w:id="2052"/>
      <w:r w:rsidRPr="008B264B">
        <w:rPr>
          <w:rFonts w:ascii="Times New Roman" w:eastAsia="Times New Roman" w:hAnsi="Times New Roman" w:cs="Times New Roman"/>
          <w:i/>
          <w:iCs/>
          <w:color w:val="000000"/>
          <w:sz w:val="24"/>
          <w:szCs w:val="24"/>
          <w:lang/>
        </w:rPr>
        <w:t>{Абзац перший підпункту 48.5.1 пункту 48.5 статті 48 із змінами, внесеними згідно із Законом </w:t>
      </w:r>
      <w:hyperlink r:id="rId1109" w:anchor="n4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75A5A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3" w:name="n1199"/>
      <w:bookmarkEnd w:id="2053"/>
      <w:r w:rsidRPr="008B264B">
        <w:rPr>
          <w:rFonts w:ascii="Times New Roman" w:eastAsia="Times New Roman" w:hAnsi="Times New Roman" w:cs="Times New Roman"/>
          <w:color w:val="000000"/>
          <w:sz w:val="24"/>
          <w:szCs w:val="24"/>
          <w:lang/>
        </w:rPr>
        <w:t>Достатнім підтвердженням справжності документа податкової звітності є наявність оригіналу підпису уповноваженої особи на документі у паперовій формі або наявність накладеного на електронний документ кваліфікованого електронного підпису чи печатки платника податку.</w:t>
      </w:r>
    </w:p>
    <w:p w14:paraId="105882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4" w:name="n1200"/>
      <w:bookmarkEnd w:id="2054"/>
      <w:r w:rsidRPr="008B264B">
        <w:rPr>
          <w:rFonts w:ascii="Times New Roman" w:eastAsia="Times New Roman" w:hAnsi="Times New Roman" w:cs="Times New Roman"/>
          <w:i/>
          <w:iCs/>
          <w:color w:val="000000"/>
          <w:sz w:val="24"/>
          <w:szCs w:val="24"/>
          <w:lang/>
        </w:rPr>
        <w:t>{Підпункт 48.5.1 пункту 48.5 статті 48 доповнено абзацом другим згідно із Законом </w:t>
      </w:r>
      <w:hyperlink r:id="rId111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111" w:anchor="n27"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2E8E2B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5" w:name="n1201"/>
      <w:bookmarkEnd w:id="2055"/>
      <w:r w:rsidRPr="008B264B">
        <w:rPr>
          <w:rFonts w:ascii="Times New Roman" w:eastAsia="Times New Roman" w:hAnsi="Times New Roman" w:cs="Times New Roman"/>
          <w:color w:val="000000"/>
          <w:sz w:val="24"/>
          <w:szCs w:val="24"/>
          <w:lang/>
        </w:rPr>
        <w:lastRenderedPageBreak/>
        <w:t>48.5.2. фізичною особою - платником податків або його представником;</w:t>
      </w:r>
    </w:p>
    <w:p w14:paraId="1F215E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6" w:name="n12580"/>
      <w:bookmarkEnd w:id="2056"/>
      <w:r w:rsidRPr="008B264B">
        <w:rPr>
          <w:rFonts w:ascii="Times New Roman" w:eastAsia="Times New Roman" w:hAnsi="Times New Roman" w:cs="Times New Roman"/>
          <w:i/>
          <w:iCs/>
          <w:color w:val="000000"/>
          <w:sz w:val="24"/>
          <w:szCs w:val="24"/>
          <w:lang/>
        </w:rPr>
        <w:t>{Підпункт 48.5.2 пункту 48.5 статті 48 із змінами, внесеними згідно з Законом </w:t>
      </w:r>
      <w:hyperlink r:id="rId1112" w:anchor="n17"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5E29BF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7" w:name="n1202"/>
      <w:bookmarkEnd w:id="2057"/>
      <w:r w:rsidRPr="008B264B">
        <w:rPr>
          <w:rFonts w:ascii="Times New Roman" w:eastAsia="Times New Roman" w:hAnsi="Times New Roman" w:cs="Times New Roman"/>
          <w:color w:val="000000"/>
          <w:sz w:val="24"/>
          <w:szCs w:val="24"/>
          <w:lang/>
        </w:rPr>
        <w:t>48.5.3. особою, відповідальною за ведення бухгалтерського обліку та подання податкової декларації згідно із договором про спільну діяльність або угодою про розподіл продукції.</w:t>
      </w:r>
    </w:p>
    <w:p w14:paraId="02A659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8" w:name="n1203"/>
      <w:bookmarkEnd w:id="2058"/>
      <w:r w:rsidRPr="008B264B">
        <w:rPr>
          <w:rFonts w:ascii="Times New Roman" w:eastAsia="Times New Roman" w:hAnsi="Times New Roman" w:cs="Times New Roman"/>
          <w:color w:val="000000"/>
          <w:sz w:val="24"/>
          <w:szCs w:val="24"/>
          <w:lang/>
        </w:rPr>
        <w:t>48.6. Якщо податкова декларація подається податковими агентами - юридичними особами, вона повинна бути підписана керівником такого агента та особою, яка відповідає за ведення бухгалтерського обліку та подання податкової декларації такого агента, а якщо податковим агентом є платник податків - фізична особа - таким платником податків.</w:t>
      </w:r>
    </w:p>
    <w:p w14:paraId="42B885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59" w:name="n1204"/>
      <w:bookmarkEnd w:id="2059"/>
      <w:r w:rsidRPr="008B264B">
        <w:rPr>
          <w:rFonts w:ascii="Times New Roman" w:eastAsia="Times New Roman" w:hAnsi="Times New Roman" w:cs="Times New Roman"/>
          <w:color w:val="000000"/>
          <w:sz w:val="24"/>
          <w:szCs w:val="24"/>
          <w:lang/>
        </w:rPr>
        <w:t>48.7. Податкова звітність, складена з порушенням норм цієї статті, не вважається податковою декларацією, крім випадків, встановлених </w:t>
      </w:r>
      <w:hyperlink r:id="rId1113" w:anchor="n1152" w:history="1">
        <w:r w:rsidRPr="008B264B">
          <w:rPr>
            <w:rFonts w:ascii="Times New Roman" w:eastAsia="Times New Roman" w:hAnsi="Times New Roman" w:cs="Times New Roman"/>
            <w:color w:val="0000FF"/>
            <w:sz w:val="24"/>
            <w:szCs w:val="24"/>
            <w:u w:val="single"/>
            <w:lang/>
          </w:rPr>
          <w:t>пунктом 46.4</w:t>
        </w:r>
      </w:hyperlink>
      <w:r w:rsidRPr="008B264B">
        <w:rPr>
          <w:rFonts w:ascii="Times New Roman" w:eastAsia="Times New Roman" w:hAnsi="Times New Roman" w:cs="Times New Roman"/>
          <w:color w:val="000000"/>
          <w:sz w:val="24"/>
          <w:szCs w:val="24"/>
          <w:lang/>
        </w:rPr>
        <w:t> статті 46 цього Кодексу.</w:t>
      </w:r>
    </w:p>
    <w:p w14:paraId="3BF554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0" w:name="n1205"/>
      <w:bookmarkEnd w:id="2060"/>
      <w:r w:rsidRPr="008B264B">
        <w:rPr>
          <w:rFonts w:ascii="Times New Roman" w:eastAsia="Times New Roman" w:hAnsi="Times New Roman" w:cs="Times New Roman"/>
          <w:i/>
          <w:iCs/>
          <w:color w:val="000000"/>
          <w:sz w:val="24"/>
          <w:szCs w:val="24"/>
          <w:lang/>
        </w:rPr>
        <w:t>{Пункт 48.7 статті 48 із змінами, внесеними згідно із Законом </w:t>
      </w:r>
      <w:hyperlink r:id="rId111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DB94B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1" w:name="n1206"/>
      <w:bookmarkEnd w:id="2061"/>
      <w:r w:rsidRPr="008B264B">
        <w:rPr>
          <w:rFonts w:ascii="Times New Roman" w:eastAsia="Times New Roman" w:hAnsi="Times New Roman" w:cs="Times New Roman"/>
          <w:b/>
          <w:bCs/>
          <w:color w:val="000000"/>
          <w:sz w:val="24"/>
          <w:szCs w:val="24"/>
          <w:lang/>
        </w:rPr>
        <w:t>Стаття 49.</w:t>
      </w:r>
      <w:r w:rsidRPr="008B264B">
        <w:rPr>
          <w:rFonts w:ascii="Times New Roman" w:eastAsia="Times New Roman" w:hAnsi="Times New Roman" w:cs="Times New Roman"/>
          <w:color w:val="000000"/>
          <w:sz w:val="24"/>
          <w:szCs w:val="24"/>
          <w:lang/>
        </w:rPr>
        <w:t> Подання податкової декларації до контролюючих органів</w:t>
      </w:r>
    </w:p>
    <w:p w14:paraId="589B53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2" w:name="n1207"/>
      <w:bookmarkEnd w:id="2062"/>
      <w:r w:rsidRPr="008B264B">
        <w:rPr>
          <w:rFonts w:ascii="Times New Roman" w:eastAsia="Times New Roman" w:hAnsi="Times New Roman" w:cs="Times New Roman"/>
          <w:color w:val="000000"/>
          <w:sz w:val="24"/>
          <w:szCs w:val="24"/>
          <w:lang/>
        </w:rPr>
        <w:t>49.1. Податкова декларація подається за звітний період в установлені цим Кодексом строки контролюючому органу, в якому перебуває на обліку платник податків.</w:t>
      </w:r>
    </w:p>
    <w:p w14:paraId="59CEC9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3" w:name="n1208"/>
      <w:bookmarkEnd w:id="2063"/>
      <w:r w:rsidRPr="008B264B">
        <w:rPr>
          <w:rFonts w:ascii="Times New Roman" w:eastAsia="Times New Roman" w:hAnsi="Times New Roman" w:cs="Times New Roman"/>
          <w:color w:val="000000"/>
          <w:sz w:val="24"/>
          <w:szCs w:val="24"/>
          <w:lang/>
        </w:rPr>
        <w:t>49.2. Платник податків зобов’язаний за кожний встановлений цим Кодексом звітний період, в якому виникають об’єкти оподаткування, або у разі наявності показників, які підлягають декларуванню, відповідно до вимог цього Кодексу подавати податкові декларації щодо кожного окремого податку, платником якого він є. Цей абзац застосовується до всіх платників податків, в тому числі платників, які перебувають на спрощеній системі оподаткування обліку та звітності.</w:t>
      </w:r>
    </w:p>
    <w:p w14:paraId="6D0E9C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4" w:name="n10519"/>
      <w:bookmarkEnd w:id="2064"/>
      <w:r w:rsidRPr="008B264B">
        <w:rPr>
          <w:rFonts w:ascii="Times New Roman" w:eastAsia="Times New Roman" w:hAnsi="Times New Roman" w:cs="Times New Roman"/>
          <w:i/>
          <w:iCs/>
          <w:color w:val="000000"/>
          <w:sz w:val="24"/>
          <w:szCs w:val="24"/>
          <w:lang/>
        </w:rPr>
        <w:t>{Абзац перший пункту 49.2 статті 44 в редакції Закону </w:t>
      </w:r>
      <w:hyperlink r:id="rId1115" w:anchor="n16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116" w:anchor="n47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8432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5" w:name="n1209"/>
      <w:bookmarkEnd w:id="2065"/>
      <w:r w:rsidRPr="008B264B">
        <w:rPr>
          <w:rFonts w:ascii="Times New Roman" w:eastAsia="Times New Roman" w:hAnsi="Times New Roman" w:cs="Times New Roman"/>
          <w:color w:val="000000"/>
          <w:sz w:val="24"/>
          <w:szCs w:val="24"/>
          <w:lang/>
        </w:rPr>
        <w:t>Платники податку на прибуток підприємств, які оподатковуються за ставкою нуль відсотків відповідно до </w:t>
      </w:r>
      <w:hyperlink r:id="rId1117" w:anchor="n14457" w:history="1">
        <w:r w:rsidRPr="008B264B">
          <w:rPr>
            <w:rFonts w:ascii="Times New Roman" w:eastAsia="Times New Roman" w:hAnsi="Times New Roman" w:cs="Times New Roman"/>
            <w:color w:val="0000FF"/>
            <w:sz w:val="24"/>
            <w:szCs w:val="24"/>
            <w:u w:val="single"/>
            <w:lang/>
          </w:rPr>
          <w:t>пункту 43</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 подають контролюючим органам декларації (розрахунки) з податку на прибуток підприємств за спрощеною формою у порядку, встановленому цим Кодексом.</w:t>
      </w:r>
    </w:p>
    <w:p w14:paraId="3EA550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6" w:name="n12662"/>
      <w:bookmarkEnd w:id="2066"/>
      <w:r w:rsidRPr="008B264B">
        <w:rPr>
          <w:rFonts w:ascii="Times New Roman" w:eastAsia="Times New Roman" w:hAnsi="Times New Roman" w:cs="Times New Roman"/>
          <w:i/>
          <w:iCs/>
          <w:color w:val="000000"/>
          <w:sz w:val="24"/>
          <w:szCs w:val="24"/>
          <w:lang/>
        </w:rPr>
        <w:t>{Абзац другий пункту 49.2 статті 44 із змінами, внесеними згідно із Законами </w:t>
      </w:r>
      <w:hyperlink r:id="rId1118" w:anchor="n4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1119" w:anchor="n4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FD06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7" w:name="n10521"/>
      <w:bookmarkEnd w:id="2067"/>
      <w:r w:rsidRPr="008B264B">
        <w:rPr>
          <w:rFonts w:ascii="Times New Roman" w:eastAsia="Times New Roman" w:hAnsi="Times New Roman" w:cs="Times New Roman"/>
          <w:color w:val="000000"/>
          <w:sz w:val="24"/>
          <w:szCs w:val="24"/>
          <w:lang/>
        </w:rPr>
        <w:t>49.2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Платники, визначені </w:t>
      </w:r>
      <w:hyperlink r:id="rId1120" w:anchor="n12852" w:history="1">
        <w:r w:rsidRPr="008B264B">
          <w:rPr>
            <w:rFonts w:ascii="Times New Roman" w:eastAsia="Times New Roman" w:hAnsi="Times New Roman" w:cs="Times New Roman"/>
            <w:color w:val="0000FF"/>
            <w:sz w:val="24"/>
            <w:szCs w:val="24"/>
            <w:u w:val="single"/>
            <w:lang/>
          </w:rPr>
          <w:t>підпунктом 212.1.15</w:t>
        </w:r>
      </w:hyperlink>
      <w:r w:rsidRPr="008B264B">
        <w:rPr>
          <w:rFonts w:ascii="Times New Roman" w:eastAsia="Times New Roman" w:hAnsi="Times New Roman" w:cs="Times New Roman"/>
          <w:color w:val="000000"/>
          <w:sz w:val="24"/>
          <w:szCs w:val="24"/>
          <w:lang/>
        </w:rPr>
        <w:t> пункту 212.1 статті 212 цього Кодексу, а також платники, які мають діючі (у тому числі призупинені) ліцензії на право здійснення діяльності з підакцизною продукцією, яка підлягає ліцензуванню згідно із законодавством, зобов’язані за кожний встановлений цим Кодексом звітний період подавати податкові декларації незалежно від того, чи провадили такі платники господарську діяльність у звітному періоді.</w:t>
      </w:r>
    </w:p>
    <w:p w14:paraId="13F8A9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8" w:name="n10520"/>
      <w:bookmarkEnd w:id="2068"/>
      <w:r w:rsidRPr="008B264B">
        <w:rPr>
          <w:rFonts w:ascii="Times New Roman" w:eastAsia="Times New Roman" w:hAnsi="Times New Roman" w:cs="Times New Roman"/>
          <w:i/>
          <w:iCs/>
          <w:color w:val="000000"/>
          <w:sz w:val="24"/>
          <w:szCs w:val="24"/>
          <w:lang/>
        </w:rPr>
        <w:t>{Статтю 49 доповнено пунктом 49.2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1121" w:anchor="n16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122" w:anchor="n4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57EEA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69" w:name="n1210"/>
      <w:bookmarkEnd w:id="2069"/>
      <w:r w:rsidRPr="008B264B">
        <w:rPr>
          <w:rFonts w:ascii="Times New Roman" w:eastAsia="Times New Roman" w:hAnsi="Times New Roman" w:cs="Times New Roman"/>
          <w:color w:val="000000"/>
          <w:sz w:val="24"/>
          <w:szCs w:val="24"/>
          <w:lang/>
        </w:rPr>
        <w:t>49.3. </w:t>
      </w:r>
      <w:hyperlink r:id="rId1123" w:anchor="n20" w:tgtFrame="_blank" w:history="1">
        <w:r w:rsidRPr="008B264B">
          <w:rPr>
            <w:rFonts w:ascii="Times New Roman" w:eastAsia="Times New Roman" w:hAnsi="Times New Roman" w:cs="Times New Roman"/>
            <w:color w:val="0000FF"/>
            <w:sz w:val="24"/>
            <w:szCs w:val="24"/>
            <w:u w:val="single"/>
            <w:lang/>
          </w:rPr>
          <w:t>Податкова декларація</w:t>
        </w:r>
      </w:hyperlink>
      <w:r w:rsidRPr="008B264B">
        <w:rPr>
          <w:rFonts w:ascii="Times New Roman" w:eastAsia="Times New Roman" w:hAnsi="Times New Roman" w:cs="Times New Roman"/>
          <w:color w:val="000000"/>
          <w:sz w:val="24"/>
          <w:szCs w:val="24"/>
          <w:lang/>
        </w:rPr>
        <w:t> подається за вибором платника податків, якщо інше не передбачено цим Кодексом, в один із таких способів:</w:t>
      </w:r>
    </w:p>
    <w:p w14:paraId="30F26C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0" w:name="n1212"/>
      <w:bookmarkEnd w:id="2070"/>
      <w:r w:rsidRPr="008B264B">
        <w:rPr>
          <w:rFonts w:ascii="Times New Roman" w:eastAsia="Times New Roman" w:hAnsi="Times New Roman" w:cs="Times New Roman"/>
          <w:color w:val="000000"/>
          <w:sz w:val="24"/>
          <w:szCs w:val="24"/>
          <w:lang/>
        </w:rPr>
        <w:t>а) особисто платником податків або уповноваженою на це особою;</w:t>
      </w:r>
    </w:p>
    <w:p w14:paraId="5F3BF5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1" w:name="n1213"/>
      <w:bookmarkEnd w:id="2071"/>
      <w:r w:rsidRPr="008B264B">
        <w:rPr>
          <w:rFonts w:ascii="Times New Roman" w:eastAsia="Times New Roman" w:hAnsi="Times New Roman" w:cs="Times New Roman"/>
          <w:color w:val="000000"/>
          <w:sz w:val="24"/>
          <w:szCs w:val="24"/>
          <w:lang/>
        </w:rPr>
        <w:t>б) надсилається поштою з повідомленням про вручення та з описом вкладення;</w:t>
      </w:r>
    </w:p>
    <w:p w14:paraId="1A330A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2" w:name="n1214"/>
      <w:bookmarkEnd w:id="2072"/>
      <w:r w:rsidRPr="008B264B">
        <w:rPr>
          <w:rFonts w:ascii="Times New Roman" w:eastAsia="Times New Roman" w:hAnsi="Times New Roman" w:cs="Times New Roman"/>
          <w:color w:val="000000"/>
          <w:sz w:val="24"/>
          <w:szCs w:val="24"/>
          <w:lang/>
        </w:rPr>
        <w:t>в) засобами електронного зв’язку в електронній формі з дотриманням вимог законів України </w:t>
      </w:r>
      <w:hyperlink r:id="rId1124"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125"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332C2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3" w:name="n15800"/>
      <w:bookmarkEnd w:id="2073"/>
      <w:r w:rsidRPr="008B264B">
        <w:rPr>
          <w:rFonts w:ascii="Times New Roman" w:eastAsia="Times New Roman" w:hAnsi="Times New Roman" w:cs="Times New Roman"/>
          <w:i/>
          <w:iCs/>
          <w:color w:val="000000"/>
          <w:sz w:val="24"/>
          <w:szCs w:val="24"/>
          <w:lang/>
        </w:rPr>
        <w:t>{Підпункт "в" пункту 49.3 статті 49 із змінами, внесеними згідно із Законом </w:t>
      </w:r>
      <w:hyperlink r:id="rId1126" w:anchor="n30"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03800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4" w:name="n13850"/>
      <w:bookmarkEnd w:id="2074"/>
      <w:r w:rsidRPr="008B264B">
        <w:rPr>
          <w:rFonts w:ascii="Times New Roman" w:eastAsia="Times New Roman" w:hAnsi="Times New Roman" w:cs="Times New Roman"/>
          <w:color w:val="000000"/>
          <w:sz w:val="24"/>
          <w:szCs w:val="24"/>
          <w:lang/>
        </w:rPr>
        <w:lastRenderedPageBreak/>
        <w:t>Єдиною підставою для відмови у прийнятті </w:t>
      </w:r>
      <w:hyperlink r:id="rId1127"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засобами електронного зв’язку в електронній формі є недійсність кваліфікованого електронного підпису чи печатки такого платника податків, у тому числі у зв’язку із закінченням строку дії відповідного сертифіката відкритого ключа, за умови що така податкова декларація відповідає всім вимогам електронного документа і надана у форматі, доступному для її технічної обробки.</w:t>
      </w:r>
    </w:p>
    <w:p w14:paraId="3F885B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5" w:name="n15801"/>
      <w:bookmarkEnd w:id="2075"/>
      <w:r w:rsidRPr="008B264B">
        <w:rPr>
          <w:rFonts w:ascii="Times New Roman" w:eastAsia="Times New Roman" w:hAnsi="Times New Roman" w:cs="Times New Roman"/>
          <w:i/>
          <w:iCs/>
          <w:color w:val="000000"/>
          <w:sz w:val="24"/>
          <w:szCs w:val="24"/>
          <w:lang/>
        </w:rPr>
        <w:t>{Абзац п'ятий пункту 49.3 статті 49 із змінами, внесеними згідно із Законом </w:t>
      </w:r>
      <w:hyperlink r:id="rId1128" w:anchor="n31"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6D1E36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6" w:name="n13849"/>
      <w:bookmarkEnd w:id="2076"/>
      <w:r w:rsidRPr="008B264B">
        <w:rPr>
          <w:rFonts w:ascii="Times New Roman" w:eastAsia="Times New Roman" w:hAnsi="Times New Roman" w:cs="Times New Roman"/>
          <w:i/>
          <w:iCs/>
          <w:color w:val="000000"/>
          <w:sz w:val="24"/>
          <w:szCs w:val="24"/>
          <w:lang/>
        </w:rPr>
        <w:t>{Пункт 49.3 статті 49 із змінами, внесеними згідно із Законом </w:t>
      </w:r>
      <w:hyperlink r:id="rId112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1130" w:anchor="n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2330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7" w:name="n1215"/>
      <w:bookmarkEnd w:id="2077"/>
      <w:r w:rsidRPr="008B264B">
        <w:rPr>
          <w:rFonts w:ascii="Times New Roman" w:eastAsia="Times New Roman" w:hAnsi="Times New Roman" w:cs="Times New Roman"/>
          <w:color w:val="000000"/>
          <w:sz w:val="24"/>
          <w:szCs w:val="24"/>
          <w:lang/>
        </w:rPr>
        <w:t>49.4. Платники податків, що належать до великих та середніх підприємств, подають </w:t>
      </w:r>
      <w:hyperlink r:id="rId1131" w:anchor="n20" w:tgtFrame="_blank" w:history="1">
        <w:r w:rsidRPr="008B264B">
          <w:rPr>
            <w:rFonts w:ascii="Times New Roman" w:eastAsia="Times New Roman" w:hAnsi="Times New Roman" w:cs="Times New Roman"/>
            <w:color w:val="0000FF"/>
            <w:sz w:val="24"/>
            <w:szCs w:val="24"/>
            <w:u w:val="single"/>
            <w:lang/>
          </w:rPr>
          <w:t>податкові декларації</w:t>
        </w:r>
      </w:hyperlink>
      <w:r w:rsidRPr="008B264B">
        <w:rPr>
          <w:rFonts w:ascii="Times New Roman" w:eastAsia="Times New Roman" w:hAnsi="Times New Roman" w:cs="Times New Roman"/>
          <w:color w:val="000000"/>
          <w:sz w:val="24"/>
          <w:szCs w:val="24"/>
          <w:lang/>
        </w:rPr>
        <w:t> контролюючому органу в електронній формі з дотриманням вимог законів України </w:t>
      </w:r>
      <w:hyperlink r:id="rId1132"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133"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5002F9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8" w:name="n15802"/>
      <w:bookmarkEnd w:id="2078"/>
      <w:r w:rsidRPr="008B264B">
        <w:rPr>
          <w:rFonts w:ascii="Times New Roman" w:eastAsia="Times New Roman" w:hAnsi="Times New Roman" w:cs="Times New Roman"/>
          <w:i/>
          <w:iCs/>
          <w:color w:val="000000"/>
          <w:sz w:val="24"/>
          <w:szCs w:val="24"/>
          <w:lang/>
        </w:rPr>
        <w:t>{Абзац перший пункту 49.4 статті 49 із змінами, внесеними згідно із Законом </w:t>
      </w:r>
      <w:hyperlink r:id="rId1134" w:anchor="n32"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1D356E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79" w:name="n10523"/>
      <w:bookmarkEnd w:id="2079"/>
      <w:r w:rsidRPr="008B264B">
        <w:rPr>
          <w:rFonts w:ascii="Times New Roman" w:eastAsia="Times New Roman" w:hAnsi="Times New Roman" w:cs="Times New Roman"/>
          <w:color w:val="000000"/>
          <w:sz w:val="24"/>
          <w:szCs w:val="24"/>
          <w:lang/>
        </w:rPr>
        <w:t>Податкова звітність з податку на додану вартість подається в електронній формі контролюючому органу всіма платниками цього податку з дотриманням вимог законів України </w:t>
      </w:r>
      <w:hyperlink r:id="rId1135"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136"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25EF80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0" w:name="n15803"/>
      <w:bookmarkEnd w:id="2080"/>
      <w:r w:rsidRPr="008B264B">
        <w:rPr>
          <w:rFonts w:ascii="Times New Roman" w:eastAsia="Times New Roman" w:hAnsi="Times New Roman" w:cs="Times New Roman"/>
          <w:i/>
          <w:iCs/>
          <w:color w:val="000000"/>
          <w:sz w:val="24"/>
          <w:szCs w:val="24"/>
          <w:lang/>
        </w:rPr>
        <w:t>{Абзац другий пункту 49.4 статті 49 із змінами, внесеними згідно із Законом </w:t>
      </w:r>
      <w:hyperlink r:id="rId1137" w:anchor="n32"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70276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1" w:name="n12664"/>
      <w:bookmarkEnd w:id="2081"/>
      <w:r w:rsidRPr="008B264B">
        <w:rPr>
          <w:rFonts w:ascii="Times New Roman" w:eastAsia="Times New Roman" w:hAnsi="Times New Roman" w:cs="Times New Roman"/>
          <w:color w:val="000000"/>
          <w:sz w:val="24"/>
          <w:szCs w:val="24"/>
          <w:lang/>
        </w:rPr>
        <w:t>У разі припинення договору про визнання електронних документів з підстав, визначених законом, платник податків має право до складення нового договору подавати податкову звітність у спосіб, визначений підпунктами "а" і "б" пункту 49.3 цієї статті.</w:t>
      </w:r>
    </w:p>
    <w:p w14:paraId="33D8F3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2" w:name="n13852"/>
      <w:bookmarkEnd w:id="2082"/>
      <w:r w:rsidRPr="008B264B">
        <w:rPr>
          <w:rFonts w:ascii="Times New Roman" w:eastAsia="Times New Roman" w:hAnsi="Times New Roman" w:cs="Times New Roman"/>
          <w:color w:val="000000"/>
          <w:sz w:val="24"/>
          <w:szCs w:val="24"/>
          <w:lang/>
        </w:rPr>
        <w:t>Контролюючим органам забороняється в односторонньому порядку розривати договір про визнання електронних документів.</w:t>
      </w:r>
    </w:p>
    <w:p w14:paraId="251321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3" w:name="n13851"/>
      <w:bookmarkEnd w:id="2083"/>
      <w:r w:rsidRPr="008B264B">
        <w:rPr>
          <w:rFonts w:ascii="Times New Roman" w:eastAsia="Times New Roman" w:hAnsi="Times New Roman" w:cs="Times New Roman"/>
          <w:i/>
          <w:iCs/>
          <w:color w:val="000000"/>
          <w:sz w:val="24"/>
          <w:szCs w:val="24"/>
          <w:lang/>
        </w:rPr>
        <w:t>{Пункт 49.4 статті 49 із змінами, внесеними згідно із Законами </w:t>
      </w:r>
      <w:hyperlink r:id="rId1138" w:anchor="n1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1139" w:anchor="n4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1140" w:anchor="n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A0905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4" w:name="n8785"/>
      <w:bookmarkEnd w:id="2084"/>
      <w:r w:rsidRPr="008B264B">
        <w:rPr>
          <w:rFonts w:ascii="Times New Roman" w:eastAsia="Times New Roman" w:hAnsi="Times New Roman" w:cs="Times New Roman"/>
          <w:color w:val="000000"/>
          <w:sz w:val="24"/>
          <w:szCs w:val="24"/>
          <w:lang/>
        </w:rPr>
        <w:t>49.4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Кваліфікований надавач електронних довірчих послуг центрального органу виконавчої влади, що реалізує державну податкову і митну політику, безоплатно надає платникам податків кваліфіковані електронні довірчі послуги.</w:t>
      </w:r>
    </w:p>
    <w:p w14:paraId="77172E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5" w:name="n8784"/>
      <w:bookmarkEnd w:id="2085"/>
      <w:r w:rsidRPr="008B264B">
        <w:rPr>
          <w:rFonts w:ascii="Times New Roman" w:eastAsia="Times New Roman" w:hAnsi="Times New Roman" w:cs="Times New Roman"/>
          <w:i/>
          <w:iCs/>
          <w:color w:val="000000"/>
          <w:sz w:val="24"/>
          <w:szCs w:val="24"/>
          <w:lang/>
        </w:rPr>
        <w:t>{Статтю 49 доповнено пунктом 49.4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1141" w:anchor="n124"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Законів </w:t>
      </w:r>
      <w:hyperlink r:id="rId1142" w:anchor="n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143" w:anchor="n33"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F7086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6" w:name="n1216"/>
      <w:bookmarkEnd w:id="2086"/>
      <w:r w:rsidRPr="008B264B">
        <w:rPr>
          <w:rFonts w:ascii="Times New Roman" w:eastAsia="Times New Roman" w:hAnsi="Times New Roman" w:cs="Times New Roman"/>
          <w:color w:val="000000"/>
          <w:sz w:val="24"/>
          <w:szCs w:val="24"/>
          <w:lang/>
        </w:rPr>
        <w:t>49.5. У разі надсилання податкової декларації поштою, платник податку зобов'язаний здійснити таке відправлення на адресу відповідного контролюючого органу не пізніше ніж за п’ять днів до закінчення граничного строку подання податкової декларації, визначеного цією статтею, а при поданні податкової звітності в електронній формі, - не пізніше закінчення останньої години дня, в якому спливає такий граничний строк.</w:t>
      </w:r>
    </w:p>
    <w:p w14:paraId="2AE4CA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7" w:name="n1217"/>
      <w:bookmarkEnd w:id="2087"/>
      <w:r w:rsidRPr="008B264B">
        <w:rPr>
          <w:rFonts w:ascii="Times New Roman" w:eastAsia="Times New Roman" w:hAnsi="Times New Roman" w:cs="Times New Roman"/>
          <w:i/>
          <w:iCs/>
          <w:color w:val="000000"/>
          <w:sz w:val="24"/>
          <w:szCs w:val="24"/>
          <w:lang/>
        </w:rPr>
        <w:t>{Пункт 49.5 статті 49 із змінами, внесеними згідно із Законами </w:t>
      </w:r>
      <w:hyperlink r:id="rId114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145" w:anchor="n18"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262AD7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8" w:name="n1218"/>
      <w:bookmarkEnd w:id="2088"/>
      <w:r w:rsidRPr="008B264B">
        <w:rPr>
          <w:rFonts w:ascii="Times New Roman" w:eastAsia="Times New Roman" w:hAnsi="Times New Roman" w:cs="Times New Roman"/>
          <w:color w:val="000000"/>
          <w:sz w:val="24"/>
          <w:szCs w:val="24"/>
          <w:lang/>
        </w:rPr>
        <w:t>49.6. У разі втрати або зіпсуття поштового відправлення чи затримки його вручення контролюючому органу з вини оператора поштового зв'язку, такий оператор несе відповідальність відповідно до закону. У такому разі платник податків звільняється від будь-якої відповідальності за неподання або несвоєчасне подання такої податкової декларації.</w:t>
      </w:r>
    </w:p>
    <w:p w14:paraId="548C25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89" w:name="n1219"/>
      <w:bookmarkEnd w:id="2089"/>
      <w:r w:rsidRPr="008B264B">
        <w:rPr>
          <w:rFonts w:ascii="Times New Roman" w:eastAsia="Times New Roman" w:hAnsi="Times New Roman" w:cs="Times New Roman"/>
          <w:color w:val="000000"/>
          <w:sz w:val="24"/>
          <w:szCs w:val="24"/>
          <w:lang/>
        </w:rPr>
        <w:t xml:space="preserve">Платник податків протягом п'яти робочих днів з дня отримання повідомлення про втрату або зіпсуття поштового відправлення зобов'язаний надіслати поштою або надати особисто (за його </w:t>
      </w:r>
      <w:r w:rsidRPr="008B264B">
        <w:rPr>
          <w:rFonts w:ascii="Times New Roman" w:eastAsia="Times New Roman" w:hAnsi="Times New Roman" w:cs="Times New Roman"/>
          <w:color w:val="000000"/>
          <w:sz w:val="24"/>
          <w:szCs w:val="24"/>
          <w:lang/>
        </w:rPr>
        <w:lastRenderedPageBreak/>
        <w:t>вибором) контролюючому органу другий примірник податкової декларації разом з копією повідомлення про втрату або зіпсуття поштового відправлення.</w:t>
      </w:r>
    </w:p>
    <w:p w14:paraId="1F8078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0" w:name="n1220"/>
      <w:bookmarkEnd w:id="2090"/>
      <w:r w:rsidRPr="008B264B">
        <w:rPr>
          <w:rFonts w:ascii="Times New Roman" w:eastAsia="Times New Roman" w:hAnsi="Times New Roman" w:cs="Times New Roman"/>
          <w:color w:val="000000"/>
          <w:sz w:val="24"/>
          <w:szCs w:val="24"/>
          <w:lang/>
        </w:rPr>
        <w:t>49.7. Незалежно від факту втрати або зіпсуття такого поштового відправлення чи затримки його вручення платник податків зобов'язаний сплатити суму податкового зобов'язання, самостійно визначену ним у такій податковій декларації, протягом строків, установлених цим Кодексом.</w:t>
      </w:r>
    </w:p>
    <w:p w14:paraId="1EA846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1" w:name="n1221"/>
      <w:bookmarkEnd w:id="2091"/>
      <w:r w:rsidRPr="008B264B">
        <w:rPr>
          <w:rFonts w:ascii="Times New Roman" w:eastAsia="Times New Roman" w:hAnsi="Times New Roman" w:cs="Times New Roman"/>
          <w:color w:val="000000"/>
          <w:sz w:val="24"/>
          <w:szCs w:val="24"/>
          <w:lang/>
        </w:rPr>
        <w:t>49.8. Прийняття податкової декларації є обов'язком контролюючого органу. Під час прийняття податкової декларації уповноважена посадова особа контролюючого органу, в якому перебуває на обліку платник податків, зобов'язана перевірити наявність та достовірність заповнення всіх обов'язкових реквізитів, передбачених </w:t>
      </w:r>
      <w:hyperlink r:id="rId1146" w:anchor="n1178" w:history="1">
        <w:r w:rsidRPr="008B264B">
          <w:rPr>
            <w:rFonts w:ascii="Times New Roman" w:eastAsia="Times New Roman" w:hAnsi="Times New Roman" w:cs="Times New Roman"/>
            <w:color w:val="0000FF"/>
            <w:sz w:val="24"/>
            <w:szCs w:val="24"/>
            <w:u w:val="single"/>
            <w:lang/>
          </w:rPr>
          <w:t>пунктами 48.3</w:t>
        </w:r>
      </w:hyperlink>
      <w:r w:rsidRPr="008B264B">
        <w:rPr>
          <w:rFonts w:ascii="Times New Roman" w:eastAsia="Times New Roman" w:hAnsi="Times New Roman" w:cs="Times New Roman"/>
          <w:color w:val="000000"/>
          <w:sz w:val="24"/>
          <w:szCs w:val="24"/>
          <w:lang/>
        </w:rPr>
        <w:t> та </w:t>
      </w:r>
      <w:hyperlink r:id="rId1147" w:anchor="n1191" w:history="1">
        <w:r w:rsidRPr="008B264B">
          <w:rPr>
            <w:rFonts w:ascii="Times New Roman" w:eastAsia="Times New Roman" w:hAnsi="Times New Roman" w:cs="Times New Roman"/>
            <w:color w:val="0000FF"/>
            <w:sz w:val="24"/>
            <w:szCs w:val="24"/>
            <w:u w:val="single"/>
            <w:lang/>
          </w:rPr>
          <w:t>48.4</w:t>
        </w:r>
      </w:hyperlink>
      <w:r w:rsidRPr="008B264B">
        <w:rPr>
          <w:rFonts w:ascii="Times New Roman" w:eastAsia="Times New Roman" w:hAnsi="Times New Roman" w:cs="Times New Roman"/>
          <w:color w:val="000000"/>
          <w:sz w:val="24"/>
          <w:szCs w:val="24"/>
          <w:lang/>
        </w:rPr>
        <w:t> статті 48 цього Кодексу. Інші показники, зазначені в податковій декларації платника податків, до її прийняття перевірці не підлягають.</w:t>
      </w:r>
    </w:p>
    <w:p w14:paraId="3897A6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2" w:name="n1222"/>
      <w:bookmarkEnd w:id="2092"/>
      <w:r w:rsidRPr="008B264B">
        <w:rPr>
          <w:rFonts w:ascii="Times New Roman" w:eastAsia="Times New Roman" w:hAnsi="Times New Roman" w:cs="Times New Roman"/>
          <w:color w:val="000000"/>
          <w:sz w:val="24"/>
          <w:szCs w:val="24"/>
          <w:lang/>
        </w:rPr>
        <w:t>49.9. За умови дотримання платником податків вимог цієї статті посадова особа контролюючого органу, в якому перебуває на обліку платник податків, зобов'язана зареєструвати податкову декларацію платника датою її фактичного отримання контролюючим органом.</w:t>
      </w:r>
    </w:p>
    <w:p w14:paraId="2CE8AF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3" w:name="n1223"/>
      <w:bookmarkEnd w:id="2093"/>
      <w:r w:rsidRPr="008B264B">
        <w:rPr>
          <w:rFonts w:ascii="Times New Roman" w:eastAsia="Times New Roman" w:hAnsi="Times New Roman" w:cs="Times New Roman"/>
          <w:color w:val="000000"/>
          <w:sz w:val="24"/>
          <w:szCs w:val="24"/>
          <w:lang/>
        </w:rPr>
        <w:t>За умови дотримання вимог, встановлених </w:t>
      </w:r>
      <w:hyperlink r:id="rId1148" w:anchor="n1174" w:history="1">
        <w:r w:rsidRPr="008B264B">
          <w:rPr>
            <w:rFonts w:ascii="Times New Roman" w:eastAsia="Times New Roman" w:hAnsi="Times New Roman" w:cs="Times New Roman"/>
            <w:color w:val="0000FF"/>
            <w:sz w:val="24"/>
            <w:szCs w:val="24"/>
            <w:u w:val="single"/>
            <w:lang/>
          </w:rPr>
          <w:t>статтями 48</w:t>
        </w:r>
      </w:hyperlink>
      <w:r w:rsidRPr="008B264B">
        <w:rPr>
          <w:rFonts w:ascii="Times New Roman" w:eastAsia="Times New Roman" w:hAnsi="Times New Roman" w:cs="Times New Roman"/>
          <w:color w:val="000000"/>
          <w:sz w:val="24"/>
          <w:szCs w:val="24"/>
          <w:lang/>
        </w:rPr>
        <w:t> і </w:t>
      </w:r>
      <w:hyperlink r:id="rId1149" w:anchor="n1206" w:history="1">
        <w:r w:rsidRPr="008B264B">
          <w:rPr>
            <w:rFonts w:ascii="Times New Roman" w:eastAsia="Times New Roman" w:hAnsi="Times New Roman" w:cs="Times New Roman"/>
            <w:color w:val="0000FF"/>
            <w:sz w:val="24"/>
            <w:szCs w:val="24"/>
            <w:u w:val="single"/>
            <w:lang/>
          </w:rPr>
          <w:t>49</w:t>
        </w:r>
      </w:hyperlink>
      <w:r w:rsidRPr="008B264B">
        <w:rPr>
          <w:rFonts w:ascii="Times New Roman" w:eastAsia="Times New Roman" w:hAnsi="Times New Roman" w:cs="Times New Roman"/>
          <w:color w:val="000000"/>
          <w:sz w:val="24"/>
          <w:szCs w:val="24"/>
          <w:lang/>
        </w:rPr>
        <w:t> цього Кодексу податкова декларація, надана платником, також вважається прийнятою:</w:t>
      </w:r>
    </w:p>
    <w:p w14:paraId="75A24F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4" w:name="n1224"/>
      <w:bookmarkEnd w:id="2094"/>
      <w:r w:rsidRPr="008B264B">
        <w:rPr>
          <w:rFonts w:ascii="Times New Roman" w:eastAsia="Times New Roman" w:hAnsi="Times New Roman" w:cs="Times New Roman"/>
          <w:color w:val="000000"/>
          <w:sz w:val="24"/>
          <w:szCs w:val="24"/>
          <w:lang/>
        </w:rPr>
        <w:t>49.9.1. за наявності на всіх аркушах, з яких складається податкова декларація та, за бажанням платника податків, на її копії, відмітки (штампу) контролюючого органу, яким отримана податкова декларація, із зазначенням дати її отримання, або квитанції про отримання податкової декларації у разі її подання засобами електронного зв'язку, або поштового повідомлення з відміткою про вручення контролюючому органу, у разі надсилання податкової декларації поштою;</w:t>
      </w:r>
    </w:p>
    <w:p w14:paraId="6EC6D3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5" w:name="n1225"/>
      <w:bookmarkEnd w:id="2095"/>
      <w:r w:rsidRPr="008B264B">
        <w:rPr>
          <w:rFonts w:ascii="Times New Roman" w:eastAsia="Times New Roman" w:hAnsi="Times New Roman" w:cs="Times New Roman"/>
          <w:color w:val="000000"/>
          <w:sz w:val="24"/>
          <w:szCs w:val="24"/>
          <w:lang/>
        </w:rPr>
        <w:t>49.9.2. у разі, якщо контролюючий орган із дотриманням вимог </w:t>
      </w:r>
      <w:hyperlink r:id="rId1150" w:anchor="n1227" w:history="1">
        <w:r w:rsidRPr="008B264B">
          <w:rPr>
            <w:rFonts w:ascii="Times New Roman" w:eastAsia="Times New Roman" w:hAnsi="Times New Roman" w:cs="Times New Roman"/>
            <w:color w:val="0000FF"/>
            <w:sz w:val="24"/>
            <w:szCs w:val="24"/>
            <w:u w:val="single"/>
            <w:lang/>
          </w:rPr>
          <w:t>пункту 49.11</w:t>
        </w:r>
      </w:hyperlink>
      <w:r w:rsidRPr="008B264B">
        <w:rPr>
          <w:rFonts w:ascii="Times New Roman" w:eastAsia="Times New Roman" w:hAnsi="Times New Roman" w:cs="Times New Roman"/>
          <w:color w:val="000000"/>
          <w:sz w:val="24"/>
          <w:szCs w:val="24"/>
          <w:lang/>
        </w:rPr>
        <w:t> цієї статті не надає платнику податків повідомлення про відмову у прийнятті податкової декларації або у випадках, визначених цим пунктом, не надсилає його платнику податків у встановлений цією статтею строк.</w:t>
      </w:r>
    </w:p>
    <w:p w14:paraId="5CB6E2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6" w:name="n1226"/>
      <w:bookmarkEnd w:id="2096"/>
      <w:r w:rsidRPr="008B264B">
        <w:rPr>
          <w:rFonts w:ascii="Times New Roman" w:eastAsia="Times New Roman" w:hAnsi="Times New Roman" w:cs="Times New Roman"/>
          <w:color w:val="000000"/>
          <w:sz w:val="24"/>
          <w:szCs w:val="24"/>
          <w:lang/>
        </w:rPr>
        <w:t>49.10. Відмова посадової особи контролюючого органу прийняти податкову декларацію з будь-яких причин, не визначених цією статтею, у тому числі висунення будь-яких не визначених цією статтею передумов щодо такого прийняття (включаючи зміну показників такої податкової декларації, зменшення або скасування від'ємного значення об'єктів оподаткування, сум бюджетних відшкодувань, незаконного збільшення податкових зобов'язань тощо) забороняється.</w:t>
      </w:r>
    </w:p>
    <w:p w14:paraId="6F2553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7" w:name="n1227"/>
      <w:bookmarkEnd w:id="2097"/>
      <w:r w:rsidRPr="008B264B">
        <w:rPr>
          <w:rFonts w:ascii="Times New Roman" w:eastAsia="Times New Roman" w:hAnsi="Times New Roman" w:cs="Times New Roman"/>
          <w:color w:val="000000"/>
          <w:sz w:val="24"/>
          <w:szCs w:val="24"/>
          <w:lang/>
        </w:rPr>
        <w:t>49.11. У разі подання платником податків до контролюючого органу податкової декларації, заповненої з порушенням вимог </w:t>
      </w:r>
      <w:hyperlink r:id="rId1151" w:anchor="n1178" w:history="1">
        <w:r w:rsidRPr="008B264B">
          <w:rPr>
            <w:rFonts w:ascii="Times New Roman" w:eastAsia="Times New Roman" w:hAnsi="Times New Roman" w:cs="Times New Roman"/>
            <w:color w:val="0000FF"/>
            <w:sz w:val="24"/>
            <w:szCs w:val="24"/>
            <w:u w:val="single"/>
            <w:lang/>
          </w:rPr>
          <w:t>пунктів 48.3</w:t>
        </w:r>
      </w:hyperlink>
      <w:r w:rsidRPr="008B264B">
        <w:rPr>
          <w:rFonts w:ascii="Times New Roman" w:eastAsia="Times New Roman" w:hAnsi="Times New Roman" w:cs="Times New Roman"/>
          <w:color w:val="000000"/>
          <w:sz w:val="24"/>
          <w:szCs w:val="24"/>
          <w:lang/>
        </w:rPr>
        <w:t> та </w:t>
      </w:r>
      <w:hyperlink r:id="rId1152" w:anchor="n1191" w:history="1">
        <w:r w:rsidRPr="008B264B">
          <w:rPr>
            <w:rFonts w:ascii="Times New Roman" w:eastAsia="Times New Roman" w:hAnsi="Times New Roman" w:cs="Times New Roman"/>
            <w:color w:val="0000FF"/>
            <w:sz w:val="24"/>
            <w:szCs w:val="24"/>
            <w:u w:val="single"/>
            <w:lang/>
          </w:rPr>
          <w:t>48.4 статті 48</w:t>
        </w:r>
      </w:hyperlink>
      <w:r w:rsidRPr="008B264B">
        <w:rPr>
          <w:rFonts w:ascii="Times New Roman" w:eastAsia="Times New Roman" w:hAnsi="Times New Roman" w:cs="Times New Roman"/>
          <w:color w:val="000000"/>
          <w:sz w:val="24"/>
          <w:szCs w:val="24"/>
          <w:lang/>
        </w:rPr>
        <w:t> цього Кодексу, такий контролюючий орган зобов'язаний надати такому платнику податків письмове повідомлення про відмову у прийнятті його податкової декларації із зазначенням причин такої відмови:</w:t>
      </w:r>
    </w:p>
    <w:p w14:paraId="05F158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8" w:name="n1228"/>
      <w:bookmarkEnd w:id="2098"/>
      <w:r w:rsidRPr="008B264B">
        <w:rPr>
          <w:rFonts w:ascii="Times New Roman" w:eastAsia="Times New Roman" w:hAnsi="Times New Roman" w:cs="Times New Roman"/>
          <w:color w:val="000000"/>
          <w:sz w:val="24"/>
          <w:szCs w:val="24"/>
          <w:lang/>
        </w:rPr>
        <w:t>49.11.1. у разі отримання такої податкової декларації, надісланої поштою або засобами електронного зв'язку, - протягом п'яти робочих днів з дня її отримання;</w:t>
      </w:r>
    </w:p>
    <w:p w14:paraId="16DAE5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099" w:name="n1229"/>
      <w:bookmarkEnd w:id="2099"/>
      <w:r w:rsidRPr="008B264B">
        <w:rPr>
          <w:rFonts w:ascii="Times New Roman" w:eastAsia="Times New Roman" w:hAnsi="Times New Roman" w:cs="Times New Roman"/>
          <w:color w:val="000000"/>
          <w:sz w:val="24"/>
          <w:szCs w:val="24"/>
          <w:lang/>
        </w:rPr>
        <w:t>49.11.2. у разі отримання такої податкової декларації особисто від платника податку або його представника - протягом трьох робочих днів з дня її отримання.</w:t>
      </w:r>
    </w:p>
    <w:p w14:paraId="6695FD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0" w:name="n1230"/>
      <w:bookmarkEnd w:id="2100"/>
      <w:r w:rsidRPr="008B264B">
        <w:rPr>
          <w:rFonts w:ascii="Times New Roman" w:eastAsia="Times New Roman" w:hAnsi="Times New Roman" w:cs="Times New Roman"/>
          <w:color w:val="000000"/>
          <w:sz w:val="24"/>
          <w:szCs w:val="24"/>
          <w:lang/>
        </w:rPr>
        <w:t>49.12. У разі отримання відмови контролюючого органу у прийнятті податкової декларації платник податків має право:</w:t>
      </w:r>
    </w:p>
    <w:p w14:paraId="233A86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1" w:name="n1231"/>
      <w:bookmarkEnd w:id="2101"/>
      <w:r w:rsidRPr="008B264B">
        <w:rPr>
          <w:rFonts w:ascii="Times New Roman" w:eastAsia="Times New Roman" w:hAnsi="Times New Roman" w:cs="Times New Roman"/>
          <w:color w:val="000000"/>
          <w:sz w:val="24"/>
          <w:szCs w:val="24"/>
          <w:lang/>
        </w:rPr>
        <w:t>49.12.1. подати податкову декларацію та сплатити штраф у разі порушення строку її подання;</w:t>
      </w:r>
    </w:p>
    <w:p w14:paraId="1758C2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2" w:name="n1232"/>
      <w:bookmarkEnd w:id="2102"/>
      <w:r w:rsidRPr="008B264B">
        <w:rPr>
          <w:rFonts w:ascii="Times New Roman" w:eastAsia="Times New Roman" w:hAnsi="Times New Roman" w:cs="Times New Roman"/>
          <w:color w:val="000000"/>
          <w:sz w:val="24"/>
          <w:szCs w:val="24"/>
          <w:lang/>
        </w:rPr>
        <w:t>49.12.2. оскаржити рішення контролюючого органу у порядку, передбаченому </w:t>
      </w:r>
      <w:hyperlink r:id="rId1153" w:anchor="n1321" w:history="1">
        <w:r w:rsidRPr="008B264B">
          <w:rPr>
            <w:rFonts w:ascii="Times New Roman" w:eastAsia="Times New Roman" w:hAnsi="Times New Roman" w:cs="Times New Roman"/>
            <w:color w:val="0000FF"/>
            <w:sz w:val="24"/>
            <w:szCs w:val="24"/>
            <w:u w:val="single"/>
            <w:lang/>
          </w:rPr>
          <w:t>статтею 56</w:t>
        </w:r>
      </w:hyperlink>
      <w:r w:rsidRPr="008B264B">
        <w:rPr>
          <w:rFonts w:ascii="Times New Roman" w:eastAsia="Times New Roman" w:hAnsi="Times New Roman" w:cs="Times New Roman"/>
          <w:color w:val="000000"/>
          <w:sz w:val="24"/>
          <w:szCs w:val="24"/>
          <w:lang/>
        </w:rPr>
        <w:t> цього Кодексу.</w:t>
      </w:r>
    </w:p>
    <w:p w14:paraId="431EB3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3" w:name="n1233"/>
      <w:bookmarkEnd w:id="2103"/>
      <w:r w:rsidRPr="008B264B">
        <w:rPr>
          <w:rFonts w:ascii="Times New Roman" w:eastAsia="Times New Roman" w:hAnsi="Times New Roman" w:cs="Times New Roman"/>
          <w:color w:val="000000"/>
          <w:sz w:val="24"/>
          <w:szCs w:val="24"/>
          <w:lang/>
        </w:rPr>
        <w:t xml:space="preserve">49.13. У разі якщо в установленому законодавством порядку буде встановлено факт неправомірної відмови контролюючим органом (посадовою особою) у прийнятті податкової </w:t>
      </w:r>
      <w:r w:rsidRPr="008B264B">
        <w:rPr>
          <w:rFonts w:ascii="Times New Roman" w:eastAsia="Times New Roman" w:hAnsi="Times New Roman" w:cs="Times New Roman"/>
          <w:color w:val="000000"/>
          <w:sz w:val="24"/>
          <w:szCs w:val="24"/>
          <w:lang/>
        </w:rPr>
        <w:lastRenderedPageBreak/>
        <w:t>декларації, остання вважається прийнятою у день її фактичного отримання контролюючим органом.</w:t>
      </w:r>
    </w:p>
    <w:p w14:paraId="0BD676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4" w:name="n1234"/>
      <w:bookmarkEnd w:id="2104"/>
      <w:r w:rsidRPr="008B264B">
        <w:rPr>
          <w:rFonts w:ascii="Times New Roman" w:eastAsia="Times New Roman" w:hAnsi="Times New Roman" w:cs="Times New Roman"/>
          <w:color w:val="000000"/>
          <w:sz w:val="24"/>
          <w:szCs w:val="24"/>
          <w:lang/>
        </w:rPr>
        <w:t>49.14. За кожною заявою платника податків щодо порушення посадовою особою контролюючого органу цієї статті в обов'язковому порядку проводиться службове розслідування відповідно до закону.</w:t>
      </w:r>
    </w:p>
    <w:p w14:paraId="3D986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5" w:name="n1235"/>
      <w:bookmarkEnd w:id="2105"/>
      <w:r w:rsidRPr="008B264B">
        <w:rPr>
          <w:rFonts w:ascii="Times New Roman" w:eastAsia="Times New Roman" w:hAnsi="Times New Roman" w:cs="Times New Roman"/>
          <w:color w:val="000000"/>
          <w:sz w:val="24"/>
          <w:szCs w:val="24"/>
          <w:lang/>
        </w:rPr>
        <w:t>За результатами такого розслідування винна посадова особа контролюючого органу притягується до відповідальності відповідно до закону.</w:t>
      </w:r>
    </w:p>
    <w:p w14:paraId="1B0B4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6" w:name="n1236"/>
      <w:bookmarkEnd w:id="2106"/>
      <w:r w:rsidRPr="008B264B">
        <w:rPr>
          <w:rFonts w:ascii="Times New Roman" w:eastAsia="Times New Roman" w:hAnsi="Times New Roman" w:cs="Times New Roman"/>
          <w:color w:val="000000"/>
          <w:sz w:val="24"/>
          <w:szCs w:val="24"/>
          <w:lang/>
        </w:rPr>
        <w:t>49.15. Податкова декларація, надіслана платником податків або його представником поштою або засобами електронного зв'язку, вважається неподаною за умови її заповнення з порушенням норм </w:t>
      </w:r>
      <w:hyperlink r:id="rId1154" w:anchor="n1178" w:history="1">
        <w:r w:rsidRPr="008B264B">
          <w:rPr>
            <w:rFonts w:ascii="Times New Roman" w:eastAsia="Times New Roman" w:hAnsi="Times New Roman" w:cs="Times New Roman"/>
            <w:color w:val="0000FF"/>
            <w:sz w:val="24"/>
            <w:szCs w:val="24"/>
            <w:u w:val="single"/>
            <w:lang/>
          </w:rPr>
          <w:t>пунктів 48.3</w:t>
        </w:r>
      </w:hyperlink>
      <w:r w:rsidRPr="008B264B">
        <w:rPr>
          <w:rFonts w:ascii="Times New Roman" w:eastAsia="Times New Roman" w:hAnsi="Times New Roman" w:cs="Times New Roman"/>
          <w:color w:val="000000"/>
          <w:sz w:val="24"/>
          <w:szCs w:val="24"/>
          <w:lang/>
        </w:rPr>
        <w:t> і </w:t>
      </w:r>
      <w:hyperlink r:id="rId1155" w:anchor="n1191" w:history="1">
        <w:r w:rsidRPr="008B264B">
          <w:rPr>
            <w:rFonts w:ascii="Times New Roman" w:eastAsia="Times New Roman" w:hAnsi="Times New Roman" w:cs="Times New Roman"/>
            <w:color w:val="0000FF"/>
            <w:sz w:val="24"/>
            <w:szCs w:val="24"/>
            <w:u w:val="single"/>
            <w:lang/>
          </w:rPr>
          <w:t>48.4 статті 48</w:t>
        </w:r>
      </w:hyperlink>
      <w:r w:rsidRPr="008B264B">
        <w:rPr>
          <w:rFonts w:ascii="Times New Roman" w:eastAsia="Times New Roman" w:hAnsi="Times New Roman" w:cs="Times New Roman"/>
          <w:color w:val="000000"/>
          <w:sz w:val="24"/>
          <w:szCs w:val="24"/>
          <w:lang/>
        </w:rPr>
        <w:t> цього Кодексу та надсилання контролюючим органом платнику податків письмової відмови у прийнятті його податкової декларації.</w:t>
      </w:r>
    </w:p>
    <w:p w14:paraId="1B44E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7" w:name="n1237"/>
      <w:bookmarkEnd w:id="2107"/>
      <w:r w:rsidRPr="008B264B">
        <w:rPr>
          <w:rFonts w:ascii="Times New Roman" w:eastAsia="Times New Roman" w:hAnsi="Times New Roman" w:cs="Times New Roman"/>
          <w:i/>
          <w:iCs/>
          <w:color w:val="000000"/>
          <w:sz w:val="24"/>
          <w:szCs w:val="24"/>
          <w:lang/>
        </w:rPr>
        <w:t>{Пункт 49.15 статті 49 в редакції Закону </w:t>
      </w:r>
      <w:hyperlink r:id="rId115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DD07A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8" w:name="n1238"/>
      <w:bookmarkEnd w:id="2108"/>
      <w:r w:rsidRPr="008B264B">
        <w:rPr>
          <w:rFonts w:ascii="Times New Roman" w:eastAsia="Times New Roman" w:hAnsi="Times New Roman" w:cs="Times New Roman"/>
          <w:color w:val="000000"/>
          <w:sz w:val="24"/>
          <w:szCs w:val="24"/>
          <w:lang/>
        </w:rPr>
        <w:t>49.16. Незалежно від наявності відмови у прийнятті податкової декларації платник податків зобов'язаний погасити податкове зобов'язання, самостійно визначене ним у такій податковій декларації, протягом строків, установлених цим Кодексом.</w:t>
      </w:r>
    </w:p>
    <w:p w14:paraId="01E91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09" w:name="n15104"/>
      <w:bookmarkEnd w:id="2109"/>
      <w:r w:rsidRPr="008B264B">
        <w:rPr>
          <w:rFonts w:ascii="Times New Roman" w:eastAsia="Times New Roman" w:hAnsi="Times New Roman" w:cs="Times New Roman"/>
          <w:i/>
          <w:iCs/>
          <w:color w:val="000000"/>
          <w:sz w:val="24"/>
          <w:szCs w:val="24"/>
          <w:lang/>
        </w:rPr>
        <w:t>{Пункт 49.17 статті 49 виключено на підставі Закону </w:t>
      </w:r>
      <w:hyperlink r:id="rId1157" w:anchor="n48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 зміна набирає чинності з першого числа місяця, наступного за місяцем впровадження у роботу програмного забезпечення електронного кабінету, але не пізніше 1 січня 2018 року, див. </w:t>
      </w:r>
      <w:hyperlink r:id="rId1158" w:anchor="n1608" w:tgtFrame="_blank" w:history="1">
        <w:r w:rsidRPr="008B264B">
          <w:rPr>
            <w:rFonts w:ascii="Times New Roman" w:eastAsia="Times New Roman" w:hAnsi="Times New Roman" w:cs="Times New Roman"/>
            <w:i/>
            <w:iCs/>
            <w:color w:val="0000FF"/>
            <w:sz w:val="24"/>
            <w:szCs w:val="24"/>
            <w:u w:val="single"/>
            <w:lang/>
          </w:rPr>
          <w:t>абзац другий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66CA1D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0" w:name="n1246"/>
      <w:bookmarkEnd w:id="2110"/>
      <w:r w:rsidRPr="008B264B">
        <w:rPr>
          <w:rFonts w:ascii="Times New Roman" w:eastAsia="Times New Roman" w:hAnsi="Times New Roman" w:cs="Times New Roman"/>
          <w:color w:val="000000"/>
          <w:sz w:val="24"/>
          <w:szCs w:val="24"/>
          <w:lang/>
        </w:rPr>
        <w:t>49.18. Податкові декларації, крім випадків, передбачених цим Кодексом, подаються за базовий звітний (податковий) період, що дорівнює:</w:t>
      </w:r>
    </w:p>
    <w:p w14:paraId="72E871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1" w:name="n1247"/>
      <w:bookmarkEnd w:id="2111"/>
      <w:r w:rsidRPr="008B264B">
        <w:rPr>
          <w:rFonts w:ascii="Times New Roman" w:eastAsia="Times New Roman" w:hAnsi="Times New Roman" w:cs="Times New Roman"/>
          <w:color w:val="000000"/>
          <w:sz w:val="24"/>
          <w:szCs w:val="24"/>
          <w:lang/>
        </w:rPr>
        <w:t>49.18.1. календарному місяцю (у тому числі в разі сплати місячних авансових внесків) - протягом 20 календарних днів, що настають за останнім календарним днем звітного (податкового) місяця;</w:t>
      </w:r>
    </w:p>
    <w:p w14:paraId="5A58AC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2" w:name="n1248"/>
      <w:bookmarkEnd w:id="2112"/>
      <w:r w:rsidRPr="008B264B">
        <w:rPr>
          <w:rFonts w:ascii="Times New Roman" w:eastAsia="Times New Roman" w:hAnsi="Times New Roman" w:cs="Times New Roman"/>
          <w:color w:val="000000"/>
          <w:sz w:val="24"/>
          <w:szCs w:val="24"/>
          <w:lang/>
        </w:rPr>
        <w:t>49.18.2. календарному кварталу або календарному півріччю (у тому числі в разі сплати квартальних або піврічних авансових внесків) - протягом 40 календарних днів, що настають за останнім календарним днем звітного (податкового) кварталу (півріччя);</w:t>
      </w:r>
    </w:p>
    <w:p w14:paraId="16D2FE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3" w:name="n1249"/>
      <w:bookmarkEnd w:id="2113"/>
      <w:r w:rsidRPr="008B264B">
        <w:rPr>
          <w:rFonts w:ascii="Times New Roman" w:eastAsia="Times New Roman" w:hAnsi="Times New Roman" w:cs="Times New Roman"/>
          <w:color w:val="000000"/>
          <w:sz w:val="24"/>
          <w:szCs w:val="24"/>
          <w:lang/>
        </w:rPr>
        <w:t>49.18.3. календарному року, крім випадків, передбачених підпунктами 49.18.4 та 49.18.5 цього пункту - протягом 60 календарних днів, що настають за останнім календарним днем звітного (податкового) року;</w:t>
      </w:r>
    </w:p>
    <w:p w14:paraId="376B73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4" w:name="n1250"/>
      <w:bookmarkEnd w:id="2114"/>
      <w:r w:rsidRPr="008B264B">
        <w:rPr>
          <w:rFonts w:ascii="Times New Roman" w:eastAsia="Times New Roman" w:hAnsi="Times New Roman" w:cs="Times New Roman"/>
          <w:color w:val="000000"/>
          <w:sz w:val="24"/>
          <w:szCs w:val="24"/>
          <w:lang/>
        </w:rPr>
        <w:t>49.18.4. календарному року для платників податку на доходи фізичних осіб - до 1 травня року, що настає за звітним, крім випадків, передбачених </w:t>
      </w:r>
      <w:hyperlink r:id="rId1159"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w:t>
      </w:r>
    </w:p>
    <w:p w14:paraId="303535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5" w:name="n1251"/>
      <w:bookmarkEnd w:id="2115"/>
      <w:r w:rsidRPr="008B264B">
        <w:rPr>
          <w:rFonts w:ascii="Times New Roman" w:eastAsia="Times New Roman" w:hAnsi="Times New Roman" w:cs="Times New Roman"/>
          <w:i/>
          <w:iCs/>
          <w:color w:val="000000"/>
          <w:sz w:val="24"/>
          <w:szCs w:val="24"/>
          <w:lang/>
        </w:rPr>
        <w:t>{Підпункт 49.18.4 пункту 49.18 статті 49 із змінами, внесеними згідно із Законом </w:t>
      </w:r>
      <w:hyperlink r:id="rId1160" w:anchor="n7"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044739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6" w:name="n1252"/>
      <w:bookmarkEnd w:id="2116"/>
      <w:r w:rsidRPr="008B264B">
        <w:rPr>
          <w:rFonts w:ascii="Times New Roman" w:eastAsia="Times New Roman" w:hAnsi="Times New Roman" w:cs="Times New Roman"/>
          <w:color w:val="000000"/>
          <w:sz w:val="24"/>
          <w:szCs w:val="24"/>
          <w:lang/>
        </w:rPr>
        <w:t>49.18.5. календарному року для платників податку на доходи фізичних осіб - підприємців - протягом 40 календарних днів, що настають за останнім календарним днем звітного (податкового) року;</w:t>
      </w:r>
    </w:p>
    <w:p w14:paraId="3B7897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7" w:name="n14819"/>
      <w:bookmarkEnd w:id="2117"/>
      <w:r w:rsidRPr="008B264B">
        <w:rPr>
          <w:rFonts w:ascii="Times New Roman" w:eastAsia="Times New Roman" w:hAnsi="Times New Roman" w:cs="Times New Roman"/>
          <w:color w:val="000000"/>
          <w:sz w:val="24"/>
          <w:szCs w:val="24"/>
          <w:lang/>
        </w:rPr>
        <w:t>49.18.6. календарному року для платників податку на прибуток для податкової декларації, яка розраховується наростаючим підсумком за рік, - протягом 60 календарних днів, що настають за останнім календарним днем звітного (податкового) року.</w:t>
      </w:r>
    </w:p>
    <w:p w14:paraId="1C67D7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8" w:name="n14818"/>
      <w:bookmarkEnd w:id="2118"/>
      <w:r w:rsidRPr="008B264B">
        <w:rPr>
          <w:rFonts w:ascii="Times New Roman" w:eastAsia="Times New Roman" w:hAnsi="Times New Roman" w:cs="Times New Roman"/>
          <w:i/>
          <w:iCs/>
          <w:color w:val="000000"/>
          <w:sz w:val="24"/>
          <w:szCs w:val="24"/>
          <w:lang/>
        </w:rPr>
        <w:t>{Пункт 49.18 статті 49 доповнено підпунктом 49.18.6 згідно із Законом </w:t>
      </w:r>
      <w:hyperlink r:id="rId1161" w:anchor="n17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6BD63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19" w:name="n1253"/>
      <w:bookmarkEnd w:id="2119"/>
      <w:r w:rsidRPr="008B264B">
        <w:rPr>
          <w:rFonts w:ascii="Times New Roman" w:eastAsia="Times New Roman" w:hAnsi="Times New Roman" w:cs="Times New Roman"/>
          <w:color w:val="000000"/>
          <w:sz w:val="24"/>
          <w:szCs w:val="24"/>
          <w:lang/>
        </w:rPr>
        <w:t xml:space="preserve">49.19. Якщо податкова декларація за квартал, півріччя, три квартали або рік розраховується наростаючим підсумком на підставі показників базових податкових періодів, з яких складаються такі квартал, півріччя, три квартали або рік (без урахування авансових внесків), згідно з відповідним розділом цього Кодексу, зазначена податкова декларація подається у строки, </w:t>
      </w:r>
      <w:r w:rsidRPr="008B264B">
        <w:rPr>
          <w:rFonts w:ascii="Times New Roman" w:eastAsia="Times New Roman" w:hAnsi="Times New Roman" w:cs="Times New Roman"/>
          <w:color w:val="000000"/>
          <w:sz w:val="24"/>
          <w:szCs w:val="24"/>
          <w:lang/>
        </w:rPr>
        <w:lastRenderedPageBreak/>
        <w:t>визначені </w:t>
      </w:r>
      <w:hyperlink r:id="rId1162" w:anchor="n1246" w:history="1">
        <w:r w:rsidRPr="008B264B">
          <w:rPr>
            <w:rFonts w:ascii="Times New Roman" w:eastAsia="Times New Roman" w:hAnsi="Times New Roman" w:cs="Times New Roman"/>
            <w:color w:val="0000FF"/>
            <w:sz w:val="24"/>
            <w:szCs w:val="24"/>
            <w:u w:val="single"/>
            <w:lang/>
          </w:rPr>
          <w:t>пунктом 49.18</w:t>
        </w:r>
      </w:hyperlink>
      <w:r w:rsidRPr="008B264B">
        <w:rPr>
          <w:rFonts w:ascii="Times New Roman" w:eastAsia="Times New Roman" w:hAnsi="Times New Roman" w:cs="Times New Roman"/>
          <w:color w:val="000000"/>
          <w:sz w:val="24"/>
          <w:szCs w:val="24"/>
          <w:lang/>
        </w:rPr>
        <w:t> цієї статті для такого базового звітного (податкового) періоду, крім податкової декларації з податку на прибуток, яка розраховується наростаючим підсумком за рік.</w:t>
      </w:r>
    </w:p>
    <w:p w14:paraId="3A917F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0" w:name="n14820"/>
      <w:bookmarkEnd w:id="2120"/>
      <w:r w:rsidRPr="008B264B">
        <w:rPr>
          <w:rFonts w:ascii="Times New Roman" w:eastAsia="Times New Roman" w:hAnsi="Times New Roman" w:cs="Times New Roman"/>
          <w:i/>
          <w:iCs/>
          <w:color w:val="000000"/>
          <w:sz w:val="24"/>
          <w:szCs w:val="24"/>
          <w:lang/>
        </w:rPr>
        <w:t>{Абзац перший пункту 49.19 статті 49 із змінами, внесеними згідно із Законом </w:t>
      </w:r>
      <w:hyperlink r:id="rId1163" w:anchor="n1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ACC6B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1" w:name="n1254"/>
      <w:bookmarkEnd w:id="2121"/>
      <w:r w:rsidRPr="008B264B">
        <w:rPr>
          <w:rFonts w:ascii="Times New Roman" w:eastAsia="Times New Roman" w:hAnsi="Times New Roman" w:cs="Times New Roman"/>
          <w:color w:val="000000"/>
          <w:sz w:val="24"/>
          <w:szCs w:val="24"/>
          <w:lang/>
        </w:rPr>
        <w:t>Для цілей цього Кодексу під терміном "базовий звітний (податковий) період" слід розуміти перший звітний (податковий) період року, визначений відповідним розділом цього Кодексу.</w:t>
      </w:r>
    </w:p>
    <w:p w14:paraId="0F4254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2" w:name="n1255"/>
      <w:bookmarkEnd w:id="2122"/>
      <w:r w:rsidRPr="008B264B">
        <w:rPr>
          <w:rFonts w:ascii="Times New Roman" w:eastAsia="Times New Roman" w:hAnsi="Times New Roman" w:cs="Times New Roman"/>
          <w:color w:val="000000"/>
          <w:sz w:val="24"/>
          <w:szCs w:val="24"/>
          <w:lang/>
        </w:rPr>
        <w:t>49.20. Якщо останній день строку подання податкової декларації припадає на вихідний або святковий день, то останнім днем строку вважається операційний (банківський) день, що настає за вихідним або святковим днем.</w:t>
      </w:r>
    </w:p>
    <w:p w14:paraId="7EAA97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3" w:name="n1256"/>
      <w:bookmarkEnd w:id="2123"/>
      <w:r w:rsidRPr="008B264B">
        <w:rPr>
          <w:rFonts w:ascii="Times New Roman" w:eastAsia="Times New Roman" w:hAnsi="Times New Roman" w:cs="Times New Roman"/>
          <w:color w:val="000000"/>
          <w:sz w:val="24"/>
          <w:szCs w:val="24"/>
          <w:lang/>
        </w:rPr>
        <w:t>Граничні строки подання податкової декларації можуть бути збільшені за правилами та на підставах, які передбачені цим Кодексом.</w:t>
      </w:r>
    </w:p>
    <w:p w14:paraId="718A7E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4" w:name="n1257"/>
      <w:bookmarkEnd w:id="2124"/>
      <w:r w:rsidRPr="008B264B">
        <w:rPr>
          <w:rFonts w:ascii="Times New Roman" w:eastAsia="Times New Roman" w:hAnsi="Times New Roman" w:cs="Times New Roman"/>
          <w:color w:val="000000"/>
          <w:sz w:val="24"/>
          <w:szCs w:val="24"/>
          <w:lang/>
        </w:rPr>
        <w:t>49.21. Якщо згідно з відповідним розділом цього Кодексу з питань окремого податку, збору звітний (податковий) період не встановлено, податкова декларація подається та податкове зобов'язання сплачується у строки, передбачені цим пунктом для місячного базового звітного (податкового) періоду, крім випадків, коли подання податкової декларації не передбачено таким розділом цього Кодексу.</w:t>
      </w:r>
    </w:p>
    <w:p w14:paraId="692F51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5" w:name="n1258"/>
      <w:bookmarkEnd w:id="2125"/>
      <w:r w:rsidRPr="008B264B">
        <w:rPr>
          <w:rFonts w:ascii="Times New Roman" w:eastAsia="Times New Roman" w:hAnsi="Times New Roman" w:cs="Times New Roman"/>
          <w:b/>
          <w:bCs/>
          <w:color w:val="000000"/>
          <w:sz w:val="24"/>
          <w:szCs w:val="24"/>
          <w:lang/>
        </w:rPr>
        <w:t>Стаття 50.</w:t>
      </w:r>
      <w:r w:rsidRPr="008B264B">
        <w:rPr>
          <w:rFonts w:ascii="Times New Roman" w:eastAsia="Times New Roman" w:hAnsi="Times New Roman" w:cs="Times New Roman"/>
          <w:color w:val="000000"/>
          <w:sz w:val="24"/>
          <w:szCs w:val="24"/>
          <w:lang/>
        </w:rPr>
        <w:t> Внесення змін до податкової звітності</w:t>
      </w:r>
    </w:p>
    <w:p w14:paraId="5747D3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6" w:name="n1259"/>
      <w:bookmarkEnd w:id="2126"/>
      <w:r w:rsidRPr="008B264B">
        <w:rPr>
          <w:rFonts w:ascii="Times New Roman" w:eastAsia="Times New Roman" w:hAnsi="Times New Roman" w:cs="Times New Roman"/>
          <w:color w:val="000000"/>
          <w:sz w:val="24"/>
          <w:szCs w:val="24"/>
          <w:lang/>
        </w:rPr>
        <w:t>50.1. У разі якщо у майбутніх податкових періодах (з урахуванням строків давності, визначених </w:t>
      </w:r>
      <w:hyperlink r:id="rId1164"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платник податків самостійно (у тому числі за результатами електронної перевірки) виявляє помилки, що містяться у раніше поданій ним податковій декларації (крім обмежень, визначених цією статтею), він зобов'язаний надіслати уточнюючий розрахунок до такої податкової декларації за формою чинного на час подання уточнюючого розрахунку.</w:t>
      </w:r>
    </w:p>
    <w:p w14:paraId="797F1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7" w:name="n1260"/>
      <w:bookmarkEnd w:id="2127"/>
      <w:r w:rsidRPr="008B264B">
        <w:rPr>
          <w:rFonts w:ascii="Times New Roman" w:eastAsia="Times New Roman" w:hAnsi="Times New Roman" w:cs="Times New Roman"/>
          <w:i/>
          <w:iCs/>
          <w:color w:val="000000"/>
          <w:sz w:val="24"/>
          <w:szCs w:val="24"/>
          <w:lang/>
        </w:rPr>
        <w:t>{Абзац перший пункту 50.1 статті 50 із змінами, внесеними згідно із Законами </w:t>
      </w:r>
      <w:hyperlink r:id="rId116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16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1CB0CB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8" w:name="n1261"/>
      <w:bookmarkEnd w:id="2128"/>
      <w:r w:rsidRPr="008B264B">
        <w:rPr>
          <w:rFonts w:ascii="Times New Roman" w:eastAsia="Times New Roman" w:hAnsi="Times New Roman" w:cs="Times New Roman"/>
          <w:color w:val="000000"/>
          <w:sz w:val="24"/>
          <w:szCs w:val="24"/>
          <w:lang/>
        </w:rPr>
        <w:t>Платник податків має право не подавати такий розрахунок, якщо відповідні уточнені показники зазначаються ним у складі податкової декларації за будь-який наступний податковий період, протягом якого такі помилки були самостійно (у тому числі за результатами електронної перевірки) виявлені.</w:t>
      </w:r>
    </w:p>
    <w:p w14:paraId="457F24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29" w:name="n1262"/>
      <w:bookmarkEnd w:id="2129"/>
      <w:r w:rsidRPr="008B264B">
        <w:rPr>
          <w:rFonts w:ascii="Times New Roman" w:eastAsia="Times New Roman" w:hAnsi="Times New Roman" w:cs="Times New Roman"/>
          <w:i/>
          <w:iCs/>
          <w:color w:val="000000"/>
          <w:sz w:val="24"/>
          <w:szCs w:val="24"/>
          <w:lang/>
        </w:rPr>
        <w:t>{Абзац другий пункту 50.1 статті 50 із змінами, внесеними згідно із Законом </w:t>
      </w:r>
      <w:hyperlink r:id="rId116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39B617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0" w:name="n1263"/>
      <w:bookmarkEnd w:id="2130"/>
      <w:r w:rsidRPr="008B264B">
        <w:rPr>
          <w:rFonts w:ascii="Times New Roman" w:eastAsia="Times New Roman" w:hAnsi="Times New Roman" w:cs="Times New Roman"/>
          <w:color w:val="000000"/>
          <w:sz w:val="24"/>
          <w:szCs w:val="24"/>
          <w:lang/>
        </w:rPr>
        <w:t>Платник податків, який самостійно (у тому числі за результатами електронної перевірки) виявляє факт заниження податкового зобов'язання минулих податкових періодів, зобов'язаний, за винятком випадків, установлених пунктом 50.2 цієї статті:</w:t>
      </w:r>
    </w:p>
    <w:p w14:paraId="19A846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1" w:name="n1264"/>
      <w:bookmarkEnd w:id="2131"/>
      <w:r w:rsidRPr="008B264B">
        <w:rPr>
          <w:rFonts w:ascii="Times New Roman" w:eastAsia="Times New Roman" w:hAnsi="Times New Roman" w:cs="Times New Roman"/>
          <w:i/>
          <w:iCs/>
          <w:color w:val="000000"/>
          <w:sz w:val="24"/>
          <w:szCs w:val="24"/>
          <w:lang/>
        </w:rPr>
        <w:t>{Абзац третій пункту 50.1 статті 50 із змінами, внесеними згідно із Законами </w:t>
      </w:r>
      <w:hyperlink r:id="rId116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16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79353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2" w:name="n1265"/>
      <w:bookmarkEnd w:id="2132"/>
      <w:r w:rsidRPr="008B264B">
        <w:rPr>
          <w:rFonts w:ascii="Times New Roman" w:eastAsia="Times New Roman" w:hAnsi="Times New Roman" w:cs="Times New Roman"/>
          <w:color w:val="000000"/>
          <w:sz w:val="24"/>
          <w:szCs w:val="24"/>
          <w:lang/>
        </w:rPr>
        <w:t>а) або надіслати уточнюючий розрахунок і сплатити суму недоплати та штраф у розмірі трьох відсотків від такої суми до подання такого уточнюючого розрахунку. Цей штраф не застосовується у разі подання уточнюючого розрахунку до </w:t>
      </w:r>
      <w:hyperlink r:id="rId1170" w:anchor="n20" w:tgtFrame="_blank" w:history="1">
        <w:r w:rsidRPr="008B264B">
          <w:rPr>
            <w:rFonts w:ascii="Times New Roman" w:eastAsia="Times New Roman" w:hAnsi="Times New Roman" w:cs="Times New Roman"/>
            <w:color w:val="0000FF"/>
            <w:sz w:val="24"/>
            <w:szCs w:val="24"/>
            <w:u w:val="single"/>
            <w:lang/>
          </w:rPr>
          <w:t>податкової декларації з податку на прибуток підприємств</w:t>
        </w:r>
      </w:hyperlink>
      <w:r w:rsidRPr="008B264B">
        <w:rPr>
          <w:rFonts w:ascii="Times New Roman" w:eastAsia="Times New Roman" w:hAnsi="Times New Roman" w:cs="Times New Roman"/>
          <w:color w:val="000000"/>
          <w:sz w:val="24"/>
          <w:szCs w:val="24"/>
          <w:lang/>
        </w:rPr>
        <w:t> за попередній податковий (звітний) рік з метою здійснення самостійного коригування відповідно до </w:t>
      </w:r>
      <w:hyperlink r:id="rId1171"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у строк не пізніше 1 жовтня року, наступного за звітним;</w:t>
      </w:r>
    </w:p>
    <w:p w14:paraId="19FF26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3" w:name="n13854"/>
      <w:bookmarkEnd w:id="2133"/>
      <w:r w:rsidRPr="008B264B">
        <w:rPr>
          <w:rFonts w:ascii="Times New Roman" w:eastAsia="Times New Roman" w:hAnsi="Times New Roman" w:cs="Times New Roman"/>
          <w:i/>
          <w:iCs/>
          <w:color w:val="000000"/>
          <w:sz w:val="24"/>
          <w:szCs w:val="24"/>
          <w:lang/>
        </w:rPr>
        <w:t>{Абзац четвертий пункту 50.1 статті 50 в редакції Закону </w:t>
      </w:r>
      <w:hyperlink r:id="rId1172" w:anchor="n4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173" w:anchor="n17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C726E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4" w:name="n1266"/>
      <w:bookmarkEnd w:id="2134"/>
      <w:r w:rsidRPr="008B264B">
        <w:rPr>
          <w:rFonts w:ascii="Times New Roman" w:eastAsia="Times New Roman" w:hAnsi="Times New Roman" w:cs="Times New Roman"/>
          <w:color w:val="000000"/>
          <w:sz w:val="24"/>
          <w:szCs w:val="24"/>
          <w:lang/>
        </w:rPr>
        <w:t xml:space="preserve">б) або відобразити суму недоплати у складі декларації з цього податку, що подається за податковий період, наступний за періодом, у якому виявлено факт заниження податкового </w:t>
      </w:r>
      <w:r w:rsidRPr="008B264B">
        <w:rPr>
          <w:rFonts w:ascii="Times New Roman" w:eastAsia="Times New Roman" w:hAnsi="Times New Roman" w:cs="Times New Roman"/>
          <w:color w:val="000000"/>
          <w:sz w:val="24"/>
          <w:szCs w:val="24"/>
          <w:lang/>
        </w:rPr>
        <w:lastRenderedPageBreak/>
        <w:t>зобов'язання, збільшену на суму штрафу у розмірі п'яти відсотків від такої суми, з відповідним збільшенням загальної суми грошового зобов'язання з цього податку.</w:t>
      </w:r>
    </w:p>
    <w:p w14:paraId="7D119F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5" w:name="n1267"/>
      <w:bookmarkEnd w:id="2135"/>
      <w:r w:rsidRPr="008B264B">
        <w:rPr>
          <w:rFonts w:ascii="Times New Roman" w:eastAsia="Times New Roman" w:hAnsi="Times New Roman" w:cs="Times New Roman"/>
          <w:color w:val="000000"/>
          <w:sz w:val="24"/>
          <w:szCs w:val="24"/>
          <w:lang/>
        </w:rPr>
        <w:t>Якщо після подачі декларації за звітний період платник податків подає нову декларацію з виправленими показниками до закінчення граничного строку подання декларації за такий самий звітний період або подає у наступних податкових періодах уточнюючу декларацію внаслідок виконання вимог </w:t>
      </w:r>
      <w:hyperlink r:id="rId1174" w:anchor="n3952" w:history="1">
        <w:r w:rsidRPr="008B264B">
          <w:rPr>
            <w:rFonts w:ascii="Times New Roman" w:eastAsia="Times New Roman" w:hAnsi="Times New Roman" w:cs="Times New Roman"/>
            <w:color w:val="0000FF"/>
            <w:sz w:val="24"/>
            <w:szCs w:val="24"/>
            <w:u w:val="single"/>
            <w:lang/>
          </w:rPr>
          <w:t>пункту 169.4 статті 169</w:t>
        </w:r>
      </w:hyperlink>
      <w:r w:rsidRPr="008B264B">
        <w:rPr>
          <w:rFonts w:ascii="Times New Roman" w:eastAsia="Times New Roman" w:hAnsi="Times New Roman" w:cs="Times New Roman"/>
          <w:color w:val="000000"/>
          <w:sz w:val="24"/>
          <w:szCs w:val="24"/>
          <w:lang/>
        </w:rPr>
        <w:t> цього Кодексу, то штрафи, визначені у цьому пункті, не застосовуються.</w:t>
      </w:r>
    </w:p>
    <w:p w14:paraId="28280E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6" w:name="n9475"/>
      <w:bookmarkEnd w:id="2136"/>
      <w:r w:rsidRPr="008B264B">
        <w:rPr>
          <w:rFonts w:ascii="Times New Roman" w:eastAsia="Times New Roman" w:hAnsi="Times New Roman" w:cs="Times New Roman"/>
          <w:i/>
          <w:iCs/>
          <w:color w:val="000000"/>
          <w:sz w:val="24"/>
          <w:szCs w:val="24"/>
          <w:lang/>
        </w:rPr>
        <w:t>{Абзац шостий пункту 50.1 статті 50 із змінами, внесеними згідно із Законом </w:t>
      </w:r>
      <w:hyperlink r:id="rId1175" w:anchor="n2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3BF91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7" w:name="n1268"/>
      <w:bookmarkEnd w:id="2137"/>
      <w:r w:rsidRPr="008B264B">
        <w:rPr>
          <w:rFonts w:ascii="Times New Roman" w:eastAsia="Times New Roman" w:hAnsi="Times New Roman" w:cs="Times New Roman"/>
          <w:color w:val="000000"/>
          <w:sz w:val="24"/>
          <w:szCs w:val="24"/>
          <w:lang/>
        </w:rPr>
        <w:t>50.2. Платник податків під час проведення документальних планових та позапланових перевірок не має права подавати уточнюючі розрахунки до поданих ним раніше податкових декларацій за будь-який звітний (податковий) період з відповідного податку і збору, який перевіряється контролюючим органом.</w:t>
      </w:r>
    </w:p>
    <w:p w14:paraId="073E6E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8" w:name="n1269"/>
      <w:bookmarkEnd w:id="2138"/>
      <w:r w:rsidRPr="008B264B">
        <w:rPr>
          <w:rFonts w:ascii="Times New Roman" w:eastAsia="Times New Roman" w:hAnsi="Times New Roman" w:cs="Times New Roman"/>
          <w:i/>
          <w:iCs/>
          <w:color w:val="000000"/>
          <w:sz w:val="24"/>
          <w:szCs w:val="24"/>
          <w:lang/>
        </w:rPr>
        <w:t>{Абзац перший пункту 50.2 статті 50 із змінами, внесеними згідно із Законом </w:t>
      </w:r>
      <w:hyperlink r:id="rId117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0115FD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39" w:name="n1270"/>
      <w:bookmarkEnd w:id="2139"/>
      <w:r w:rsidRPr="008B264B">
        <w:rPr>
          <w:rFonts w:ascii="Times New Roman" w:eastAsia="Times New Roman" w:hAnsi="Times New Roman" w:cs="Times New Roman"/>
          <w:color w:val="000000"/>
          <w:sz w:val="24"/>
          <w:szCs w:val="24"/>
          <w:lang/>
        </w:rPr>
        <w:t>Це правило не поширюється на випадки, встановлені </w:t>
      </w:r>
      <w:hyperlink r:id="rId1177" w:anchor="n4292" w:history="1">
        <w:r w:rsidRPr="008B264B">
          <w:rPr>
            <w:rFonts w:ascii="Times New Roman" w:eastAsia="Times New Roman" w:hAnsi="Times New Roman" w:cs="Times New Roman"/>
            <w:color w:val="0000FF"/>
            <w:sz w:val="24"/>
            <w:szCs w:val="24"/>
            <w:u w:val="single"/>
            <w:lang/>
          </w:rPr>
          <w:t>статтею 177</w:t>
        </w:r>
      </w:hyperlink>
      <w:r w:rsidRPr="008B264B">
        <w:rPr>
          <w:rFonts w:ascii="Times New Roman" w:eastAsia="Times New Roman" w:hAnsi="Times New Roman" w:cs="Times New Roman"/>
          <w:color w:val="000000"/>
          <w:sz w:val="24"/>
          <w:szCs w:val="24"/>
          <w:lang/>
        </w:rPr>
        <w:t> цього Кодексу.</w:t>
      </w:r>
    </w:p>
    <w:p w14:paraId="43A099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0" w:name="n1271"/>
      <w:bookmarkEnd w:id="2140"/>
      <w:r w:rsidRPr="008B264B">
        <w:rPr>
          <w:rFonts w:ascii="Times New Roman" w:eastAsia="Times New Roman" w:hAnsi="Times New Roman" w:cs="Times New Roman"/>
          <w:i/>
          <w:iCs/>
          <w:color w:val="000000"/>
          <w:sz w:val="24"/>
          <w:szCs w:val="24"/>
          <w:lang/>
        </w:rPr>
        <w:t>{Пункт 50.2 статті 50 в редакції Закону </w:t>
      </w:r>
      <w:hyperlink r:id="rId11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32BA2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1" w:name="n1272"/>
      <w:bookmarkEnd w:id="2141"/>
      <w:r w:rsidRPr="008B264B">
        <w:rPr>
          <w:rFonts w:ascii="Times New Roman" w:eastAsia="Times New Roman" w:hAnsi="Times New Roman" w:cs="Times New Roman"/>
          <w:color w:val="000000"/>
          <w:sz w:val="24"/>
          <w:szCs w:val="24"/>
          <w:lang/>
        </w:rPr>
        <w:t>50.3. У разі якщо платник податків подає уточнюючий розрахунок до податкової декларації, поданої за період, що перевірявся, або не подає уточнюючий розрахунок протягом 20 робочих днів після дати складення довідки про проведення електронної перевірки, якою встановлено порушення податкового законодавства, відповідний контролюючий орган має право на проведення позапланової перевірки платника податків за відповідний період.</w:t>
      </w:r>
    </w:p>
    <w:p w14:paraId="3C06DA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2" w:name="n1273"/>
      <w:bookmarkEnd w:id="2142"/>
      <w:r w:rsidRPr="008B264B">
        <w:rPr>
          <w:rFonts w:ascii="Times New Roman" w:eastAsia="Times New Roman" w:hAnsi="Times New Roman" w:cs="Times New Roman"/>
          <w:i/>
          <w:iCs/>
          <w:color w:val="000000"/>
          <w:sz w:val="24"/>
          <w:szCs w:val="24"/>
          <w:lang/>
        </w:rPr>
        <w:t>{Пункт 50.3 статті 50 із змінами, внесеними згідно із Законом </w:t>
      </w:r>
      <w:hyperlink r:id="rId117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DF94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3" w:name="n1274"/>
      <w:bookmarkEnd w:id="2143"/>
      <w:r w:rsidRPr="008B264B">
        <w:rPr>
          <w:rFonts w:ascii="Times New Roman" w:eastAsia="Times New Roman" w:hAnsi="Times New Roman" w:cs="Times New Roman"/>
          <w:b/>
          <w:bCs/>
          <w:color w:val="000000"/>
          <w:sz w:val="24"/>
          <w:szCs w:val="24"/>
          <w:lang/>
        </w:rPr>
        <w:t>Стаття 51.</w:t>
      </w:r>
      <w:r w:rsidRPr="008B264B">
        <w:rPr>
          <w:rFonts w:ascii="Times New Roman" w:eastAsia="Times New Roman" w:hAnsi="Times New Roman" w:cs="Times New Roman"/>
          <w:color w:val="000000"/>
          <w:sz w:val="24"/>
          <w:szCs w:val="24"/>
          <w:lang/>
        </w:rPr>
        <w:t> Подання відомостей про суми виплачених доходів платникам податків - фізичним особам</w:t>
      </w:r>
    </w:p>
    <w:p w14:paraId="0F708B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4" w:name="n1275"/>
      <w:bookmarkEnd w:id="2144"/>
      <w:r w:rsidRPr="008B264B">
        <w:rPr>
          <w:rFonts w:ascii="Times New Roman" w:eastAsia="Times New Roman" w:hAnsi="Times New Roman" w:cs="Times New Roman"/>
          <w:color w:val="000000"/>
          <w:sz w:val="24"/>
          <w:szCs w:val="24"/>
          <w:lang/>
        </w:rPr>
        <w:t>51.1. Платники податків, в тому числі податкові агенти, зобов’язані подавати контролюючим органам у строки, встановлені цим Кодексом для податкового кварталу, податковий розрахунок сум доходу, нарахованого (сплаченого) на користь платників податків.</w:t>
      </w:r>
    </w:p>
    <w:p w14:paraId="6B93B7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5" w:name="n1276"/>
      <w:bookmarkEnd w:id="2145"/>
      <w:r w:rsidRPr="008B264B">
        <w:rPr>
          <w:rFonts w:ascii="Times New Roman" w:eastAsia="Times New Roman" w:hAnsi="Times New Roman" w:cs="Times New Roman"/>
          <w:color w:val="000000"/>
          <w:sz w:val="24"/>
          <w:szCs w:val="24"/>
          <w:lang/>
        </w:rPr>
        <w:t>51.2. У визначених цим Кодексом випадках розрахунки подаються в електронному вигляді.</w:t>
      </w:r>
    </w:p>
    <w:p w14:paraId="1CE66B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6" w:name="n10524"/>
      <w:bookmarkEnd w:id="2146"/>
      <w:r w:rsidRPr="008B264B">
        <w:rPr>
          <w:rFonts w:ascii="Times New Roman" w:eastAsia="Times New Roman" w:hAnsi="Times New Roman" w:cs="Times New Roman"/>
          <w:i/>
          <w:iCs/>
          <w:color w:val="000000"/>
          <w:sz w:val="24"/>
          <w:szCs w:val="24"/>
          <w:lang/>
        </w:rPr>
        <w:t>{Стаття 51 в редакції Закону </w:t>
      </w:r>
      <w:hyperlink r:id="rId1180" w:anchor="n1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EAE2C1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147" w:name="n1277"/>
      <w:bookmarkEnd w:id="2147"/>
      <w:r w:rsidRPr="008B264B">
        <w:rPr>
          <w:rFonts w:ascii="Times New Roman" w:eastAsia="Times New Roman" w:hAnsi="Times New Roman" w:cs="Times New Roman"/>
          <w:b/>
          <w:bCs/>
          <w:color w:val="000000"/>
          <w:sz w:val="28"/>
          <w:szCs w:val="28"/>
          <w:lang/>
        </w:rPr>
        <w:t>ГЛАВА 3. ПОДАТКОВІ КОНСУЛЬТАЦІЇ</w:t>
      </w:r>
    </w:p>
    <w:p w14:paraId="0ADDD8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8" w:name="n1278"/>
      <w:bookmarkEnd w:id="2148"/>
      <w:r w:rsidRPr="008B264B">
        <w:rPr>
          <w:rFonts w:ascii="Times New Roman" w:eastAsia="Times New Roman" w:hAnsi="Times New Roman" w:cs="Times New Roman"/>
          <w:b/>
          <w:bCs/>
          <w:color w:val="000000"/>
          <w:sz w:val="24"/>
          <w:szCs w:val="24"/>
          <w:lang/>
        </w:rPr>
        <w:t>Стаття 52.</w:t>
      </w:r>
      <w:r w:rsidRPr="008B264B">
        <w:rPr>
          <w:rFonts w:ascii="Times New Roman" w:eastAsia="Times New Roman" w:hAnsi="Times New Roman" w:cs="Times New Roman"/>
          <w:color w:val="000000"/>
          <w:sz w:val="24"/>
          <w:szCs w:val="24"/>
          <w:lang/>
        </w:rPr>
        <w:t> Податкова консультація</w:t>
      </w:r>
    </w:p>
    <w:p w14:paraId="7BC0D8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49" w:name="n1279"/>
      <w:bookmarkEnd w:id="2149"/>
      <w:r w:rsidRPr="008B264B">
        <w:rPr>
          <w:rFonts w:ascii="Times New Roman" w:eastAsia="Times New Roman" w:hAnsi="Times New Roman" w:cs="Times New Roman"/>
          <w:color w:val="000000"/>
          <w:sz w:val="24"/>
          <w:szCs w:val="24"/>
          <w:lang/>
        </w:rPr>
        <w:t>52.1. За зверненням платників податків контролюючі органи надають їм безоплатно індивідуальні податкові консультації з питань практичного застосування окремих норм податкового та іншого законодавства, контроль за дотриманням якого покладено на контролюючі органи, протягом 25 календарних днів, що настають за днем отримання такого звернення даним контролюючим органом.</w:t>
      </w:r>
    </w:p>
    <w:p w14:paraId="304E97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0" w:name="n14592"/>
      <w:bookmarkEnd w:id="2150"/>
      <w:r w:rsidRPr="008B264B">
        <w:rPr>
          <w:rFonts w:ascii="Times New Roman" w:eastAsia="Times New Roman" w:hAnsi="Times New Roman" w:cs="Times New Roman"/>
          <w:color w:val="000000"/>
          <w:sz w:val="24"/>
          <w:szCs w:val="24"/>
          <w:lang/>
        </w:rPr>
        <w:t>Звернення платників податків на отримання індивідуальної податкової консультації в письмовій формі повинно містити:</w:t>
      </w:r>
    </w:p>
    <w:p w14:paraId="5211F5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1" w:name="n14593"/>
      <w:bookmarkEnd w:id="2151"/>
      <w:r w:rsidRPr="008B264B">
        <w:rPr>
          <w:rFonts w:ascii="Times New Roman" w:eastAsia="Times New Roman" w:hAnsi="Times New Roman" w:cs="Times New Roman"/>
          <w:color w:val="000000"/>
          <w:sz w:val="24"/>
          <w:szCs w:val="24"/>
          <w:lang/>
        </w:rPr>
        <w:t>найменування для юридичної особи або прізвище, ім’я, по батькові для фізичної особи, податкову адресу, а також номер засобу зв’язку та адресу електронної пошти, якщо такі наявні;</w:t>
      </w:r>
    </w:p>
    <w:p w14:paraId="161153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2" w:name="n14594"/>
      <w:bookmarkEnd w:id="2152"/>
      <w:r w:rsidRPr="008B264B">
        <w:rPr>
          <w:rFonts w:ascii="Times New Roman" w:eastAsia="Times New Roman" w:hAnsi="Times New Roman" w:cs="Times New Roman"/>
          <w:color w:val="000000"/>
          <w:sz w:val="24"/>
          <w:szCs w:val="24"/>
          <w:lang/>
        </w:rPr>
        <w:t xml:space="preserve">код згідно з ЄДРПОУ (для юридичних осіб) або реєстраційний номер облікової картки платника податків (для фізичних осіб)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w:t>
      </w:r>
      <w:r w:rsidRPr="008B264B">
        <w:rPr>
          <w:rFonts w:ascii="Times New Roman" w:eastAsia="Times New Roman" w:hAnsi="Times New Roman" w:cs="Times New Roman"/>
          <w:color w:val="000000"/>
          <w:sz w:val="24"/>
          <w:szCs w:val="24"/>
          <w:lang/>
        </w:rPr>
        <w:lastRenderedPageBreak/>
        <w:t>платника податків та офіційно повідомили про це відповідному контролюючому органу і мають відмітку у паспорті);</w:t>
      </w:r>
    </w:p>
    <w:p w14:paraId="31C14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3" w:name="n14595"/>
      <w:bookmarkEnd w:id="2153"/>
      <w:r w:rsidRPr="008B264B">
        <w:rPr>
          <w:rFonts w:ascii="Times New Roman" w:eastAsia="Times New Roman" w:hAnsi="Times New Roman" w:cs="Times New Roman"/>
          <w:color w:val="000000"/>
          <w:sz w:val="24"/>
          <w:szCs w:val="24"/>
          <w:lang/>
        </w:rPr>
        <w:t>зазначення, в чому полягає практична необхідність отримання податкової консультації;</w:t>
      </w:r>
    </w:p>
    <w:p w14:paraId="60260E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4" w:name="n14596"/>
      <w:bookmarkEnd w:id="2154"/>
      <w:r w:rsidRPr="008B264B">
        <w:rPr>
          <w:rFonts w:ascii="Times New Roman" w:eastAsia="Times New Roman" w:hAnsi="Times New Roman" w:cs="Times New Roman"/>
          <w:color w:val="000000"/>
          <w:sz w:val="24"/>
          <w:szCs w:val="24"/>
          <w:lang/>
        </w:rPr>
        <w:t>підпис платника податків;</w:t>
      </w:r>
    </w:p>
    <w:p w14:paraId="2F0809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5" w:name="n14597"/>
      <w:bookmarkEnd w:id="2155"/>
      <w:r w:rsidRPr="008B264B">
        <w:rPr>
          <w:rFonts w:ascii="Times New Roman" w:eastAsia="Times New Roman" w:hAnsi="Times New Roman" w:cs="Times New Roman"/>
          <w:color w:val="000000"/>
          <w:sz w:val="24"/>
          <w:szCs w:val="24"/>
          <w:lang/>
        </w:rPr>
        <w:t>дату підписання звернення.</w:t>
      </w:r>
    </w:p>
    <w:p w14:paraId="625A2B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6" w:name="n14598"/>
      <w:bookmarkEnd w:id="2156"/>
      <w:r w:rsidRPr="008B264B">
        <w:rPr>
          <w:rFonts w:ascii="Times New Roman" w:eastAsia="Times New Roman" w:hAnsi="Times New Roman" w:cs="Times New Roman"/>
          <w:color w:val="000000"/>
          <w:sz w:val="24"/>
          <w:szCs w:val="24"/>
          <w:lang/>
        </w:rPr>
        <w:t>На звернення платника податків, що не відповідає вимогам, зазначеним у цьому пункті, податкова консультація не надається, а надсилається відповідь у порядку та строки, передбачені </w:t>
      </w:r>
      <w:hyperlink r:id="rId1181"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звернення громадян".</w:t>
      </w:r>
    </w:p>
    <w:p w14:paraId="384BC3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7" w:name="n14599"/>
      <w:bookmarkEnd w:id="2157"/>
      <w:r w:rsidRPr="008B264B">
        <w:rPr>
          <w:rFonts w:ascii="Times New Roman" w:eastAsia="Times New Roman" w:hAnsi="Times New Roman" w:cs="Times New Roman"/>
          <w:color w:val="000000"/>
          <w:sz w:val="24"/>
          <w:szCs w:val="24"/>
          <w:lang/>
        </w:rPr>
        <w:t>Уповноважена особа центрального органу виконавчої влади, що реалізує державну податкову і митну політику, може прийняти рішення про продовження строку розгляду звернення на отримання індивідуальної податкової консультації понад 25-денний строк, але не більше 10 календарних днів, та письмово повідомити про це платнику податків до закінчення строку, визначеного абзацом першим цього пункту.</w:t>
      </w:r>
    </w:p>
    <w:p w14:paraId="4D9047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8" w:name="n1281"/>
      <w:bookmarkEnd w:id="2158"/>
      <w:r w:rsidRPr="008B264B">
        <w:rPr>
          <w:rFonts w:ascii="Times New Roman" w:eastAsia="Times New Roman" w:hAnsi="Times New Roman" w:cs="Times New Roman"/>
          <w:color w:val="000000"/>
          <w:sz w:val="24"/>
          <w:szCs w:val="24"/>
          <w:lang/>
        </w:rPr>
        <w:t>52.2. Індивідуальна податкова консультація має індивідуальний характер і може використовуватися виключно платником податків, якому надано таку консультацію.</w:t>
      </w:r>
    </w:p>
    <w:p w14:paraId="330759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59" w:name="n1282"/>
      <w:bookmarkEnd w:id="2159"/>
      <w:r w:rsidRPr="008B264B">
        <w:rPr>
          <w:rFonts w:ascii="Times New Roman" w:eastAsia="Times New Roman" w:hAnsi="Times New Roman" w:cs="Times New Roman"/>
          <w:color w:val="000000"/>
          <w:sz w:val="24"/>
          <w:szCs w:val="24"/>
          <w:lang/>
        </w:rPr>
        <w:t>52.3. За вибором платника податків індивідуальна податкова консультація надається в усній або письмовій формі. Індивідуальна податкова консультація, надана в письмовій формі, обов’язково повинна містити назву - податкова консультація, реєстраційний номер в єдиній базі індивідуальних податкових консультацій, опис питань, що порушуються платником податків, з урахуванням фактичних обставин, зазначених у зверненні платника податків, обґрунтування застосування норм законодавства та висновок з питань практичного використання таких норм законодавства.</w:t>
      </w:r>
    </w:p>
    <w:p w14:paraId="3C108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0" w:name="n1284"/>
      <w:bookmarkEnd w:id="2160"/>
      <w:r w:rsidRPr="008B264B">
        <w:rPr>
          <w:rFonts w:ascii="Times New Roman" w:eastAsia="Times New Roman" w:hAnsi="Times New Roman" w:cs="Times New Roman"/>
          <w:color w:val="000000"/>
          <w:sz w:val="24"/>
          <w:szCs w:val="24"/>
          <w:lang/>
        </w:rPr>
        <w:t>52.4. Індивідуальні податкові консультації надаються:</w:t>
      </w:r>
    </w:p>
    <w:p w14:paraId="619093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1" w:name="n12581"/>
      <w:bookmarkEnd w:id="2161"/>
      <w:r w:rsidRPr="008B264B">
        <w:rPr>
          <w:rFonts w:ascii="Times New Roman" w:eastAsia="Times New Roman" w:hAnsi="Times New Roman" w:cs="Times New Roman"/>
          <w:color w:val="000000"/>
          <w:sz w:val="24"/>
          <w:szCs w:val="24"/>
          <w:lang/>
        </w:rPr>
        <w:t>в усній формі - контролюючими органами та державними податковими інспекціями;</w:t>
      </w:r>
    </w:p>
    <w:p w14:paraId="0268D2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2" w:name="n12582"/>
      <w:bookmarkEnd w:id="2162"/>
      <w:r w:rsidRPr="008B264B">
        <w:rPr>
          <w:rFonts w:ascii="Times New Roman" w:eastAsia="Times New Roman" w:hAnsi="Times New Roman" w:cs="Times New Roman"/>
          <w:color w:val="000000"/>
          <w:sz w:val="24"/>
          <w:szCs w:val="24"/>
          <w:lang/>
        </w:rPr>
        <w:t>у письмовій формі - контролюючими органами в Автономній Республіці Крим, містах Києві та Севастополі, областях, міжрегіональними територіальними органами, центральним органом виконавчої влади, що реалізує державну податкову і митну політику.</w:t>
      </w:r>
    </w:p>
    <w:p w14:paraId="0A5C4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3" w:name="n14600"/>
      <w:bookmarkEnd w:id="2163"/>
      <w:r w:rsidRPr="008B264B">
        <w:rPr>
          <w:rFonts w:ascii="Times New Roman" w:eastAsia="Times New Roman" w:hAnsi="Times New Roman" w:cs="Times New Roman"/>
          <w:color w:val="000000"/>
          <w:sz w:val="24"/>
          <w:szCs w:val="24"/>
          <w:lang/>
        </w:rPr>
        <w:t>Індивідуальна податкова консультація, надана в письмовій формі, підлягає реєстрації в єдиній базі індивідуальних податкових консультацій та розміщенню на офіційному веб-сайті центрального органу виконавчої влади, що реалізує державну податкову та митну політику, без зазначення найменування (прізвища, ім’я, по батькові) платника податків, коду згідно з ЄДРПОУ (реєстраційного номера облікової картки) та його податкової адреси.</w:t>
      </w:r>
    </w:p>
    <w:p w14:paraId="1121A0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4" w:name="n14601"/>
      <w:bookmarkEnd w:id="2164"/>
      <w:r w:rsidRPr="008B264B">
        <w:rPr>
          <w:rFonts w:ascii="Times New Roman" w:eastAsia="Times New Roman" w:hAnsi="Times New Roman" w:cs="Times New Roman"/>
          <w:color w:val="000000"/>
          <w:sz w:val="24"/>
          <w:szCs w:val="24"/>
          <w:lang/>
        </w:rPr>
        <w:t>Доступ до зазначених даних єдиної бази та офіційного веб-сайту є безоплатним та вільним. </w:t>
      </w:r>
      <w:hyperlink r:id="rId1182" w:anchor="n17" w:tgtFrame="_blank" w:history="1">
        <w:r w:rsidRPr="008B264B">
          <w:rPr>
            <w:rFonts w:ascii="Times New Roman" w:eastAsia="Times New Roman" w:hAnsi="Times New Roman" w:cs="Times New Roman"/>
            <w:color w:val="0000FF"/>
            <w:sz w:val="24"/>
            <w:szCs w:val="24"/>
            <w:u w:val="single"/>
            <w:lang/>
          </w:rPr>
          <w:t>Порядок ведення</w:t>
        </w:r>
      </w:hyperlink>
      <w:r w:rsidRPr="008B264B">
        <w:rPr>
          <w:rFonts w:ascii="Times New Roman" w:eastAsia="Times New Roman" w:hAnsi="Times New Roman" w:cs="Times New Roman"/>
          <w:color w:val="000000"/>
          <w:sz w:val="24"/>
          <w:szCs w:val="24"/>
          <w:lang/>
        </w:rPr>
        <w:t> та форма єдиної бази індивідуальних податкових консультацій визначаються центральним органом виконавчої влади, що забезпечує формування та реалізує державну фінансову політику.</w:t>
      </w:r>
    </w:p>
    <w:p w14:paraId="5205BB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5" w:name="n1286"/>
      <w:bookmarkEnd w:id="2165"/>
      <w:r w:rsidRPr="008B264B">
        <w:rPr>
          <w:rFonts w:ascii="Times New Roman" w:eastAsia="Times New Roman" w:hAnsi="Times New Roman" w:cs="Times New Roman"/>
          <w:color w:val="000000"/>
          <w:sz w:val="24"/>
          <w:szCs w:val="24"/>
          <w:lang/>
        </w:rPr>
        <w:t>52.5. Контролюючий орган в Автономній Республіці Крим, містах Києві та Севастополі, областях, міжрегіональний територіальний орган зобов’язаний надіслати центральному органу виконавчої влади, що реалізує державну податкову і митну політику, індивідуальну податкову консультацію протягом 15 календарних днів, що настають за днем отримання звернення платника податків на отримання індивідуальної податкової консультації, для розгляду питання про внесення відомостей про таку консультацію до єдиного реєстру індивідуальних податкових консультацій, про що повідомляє платнику податків у порядку, визначеному </w:t>
      </w:r>
      <w:hyperlink r:id="rId1183"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41017A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6" w:name="n14602"/>
      <w:bookmarkEnd w:id="2166"/>
      <w:r w:rsidRPr="008B264B">
        <w:rPr>
          <w:rFonts w:ascii="Times New Roman" w:eastAsia="Times New Roman" w:hAnsi="Times New Roman" w:cs="Times New Roman"/>
          <w:color w:val="000000"/>
          <w:sz w:val="24"/>
          <w:szCs w:val="24"/>
          <w:lang/>
        </w:rPr>
        <w:t xml:space="preserve">Центральний орган виконавчої влади, що реалізує державну податкову та митну політику, отримавши індивідуальну податкову консультацію від контролюючого органу, який йому підпорядковується, протягом 10 календарних днів, що настають за днем отримання такої </w:t>
      </w:r>
      <w:r w:rsidRPr="008B264B">
        <w:rPr>
          <w:rFonts w:ascii="Times New Roman" w:eastAsia="Times New Roman" w:hAnsi="Times New Roman" w:cs="Times New Roman"/>
          <w:color w:val="000000"/>
          <w:sz w:val="24"/>
          <w:szCs w:val="24"/>
          <w:lang/>
        </w:rPr>
        <w:lastRenderedPageBreak/>
        <w:t>консультації, але не більше 35 календарних днів, що настають за днем отримання контролюючим органом відповідного звернення платників податків, приймає одне із таких рішень:</w:t>
      </w:r>
    </w:p>
    <w:p w14:paraId="70B9E1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7" w:name="n14603"/>
      <w:bookmarkEnd w:id="2167"/>
      <w:r w:rsidRPr="008B264B">
        <w:rPr>
          <w:rFonts w:ascii="Times New Roman" w:eastAsia="Times New Roman" w:hAnsi="Times New Roman" w:cs="Times New Roman"/>
          <w:color w:val="000000"/>
          <w:sz w:val="24"/>
          <w:szCs w:val="24"/>
          <w:lang/>
        </w:rPr>
        <w:t>про внесення відомостей про індивідуальну податкову консультацію до єдиного реєстру індивідуальних податкових консультацій, про що повідомляє протягом одного робочого дня з моменту прийняття рішення контролюючий орган, який йому підпорядковується;</w:t>
      </w:r>
    </w:p>
    <w:p w14:paraId="261939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8" w:name="n14604"/>
      <w:bookmarkEnd w:id="2168"/>
      <w:r w:rsidRPr="008B264B">
        <w:rPr>
          <w:rFonts w:ascii="Times New Roman" w:eastAsia="Times New Roman" w:hAnsi="Times New Roman" w:cs="Times New Roman"/>
          <w:color w:val="000000"/>
          <w:sz w:val="24"/>
          <w:szCs w:val="24"/>
          <w:lang/>
        </w:rPr>
        <w:t>про відмову у внесенні відомостей до єдиного реєстру індивідуальних податкових консультацій, з одночасним наданням платнику податків від свого імені індивідуальної податкової консультації та внесенням відомостей про таку консультацію до зазначеного реєстру, про що повідомляє протягом одного робочого дня з моменту прийняття рішення контролюючий орган, який йому підпорядковується, та платника податків у порядку, визначеному </w:t>
      </w:r>
      <w:hyperlink r:id="rId1184"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30C6ED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69" w:name="n1287"/>
      <w:bookmarkEnd w:id="2169"/>
      <w:r w:rsidRPr="008B264B">
        <w:rPr>
          <w:rFonts w:ascii="Times New Roman" w:eastAsia="Times New Roman" w:hAnsi="Times New Roman" w:cs="Times New Roman"/>
          <w:color w:val="000000"/>
          <w:sz w:val="24"/>
          <w:szCs w:val="24"/>
          <w:lang/>
        </w:rPr>
        <w:t>52.6. Центральний орган виконавчої влади, що забезпечує формування та реалізує державну фінансову політику, проводить періодичне узагальнення індивідуальних податкових консультацій, а також аналізує обставини, що свідчать про неоднозначність окремих норм податкового та іншого законодавства, контроль за дотриманням якого покладено на контролюючі органи, шляхом </w:t>
      </w:r>
      <w:hyperlink r:id="rId1185" w:anchor="n16" w:tgtFrame="_blank" w:history="1">
        <w:r w:rsidRPr="008B264B">
          <w:rPr>
            <w:rFonts w:ascii="Times New Roman" w:eastAsia="Times New Roman" w:hAnsi="Times New Roman" w:cs="Times New Roman"/>
            <w:color w:val="0000FF"/>
            <w:sz w:val="24"/>
            <w:szCs w:val="24"/>
            <w:u w:val="single"/>
            <w:lang/>
          </w:rPr>
          <w:t>надання узагальнюючих податкових консультацій</w:t>
        </w:r>
      </w:hyperlink>
      <w:r w:rsidRPr="008B264B">
        <w:rPr>
          <w:rFonts w:ascii="Times New Roman" w:eastAsia="Times New Roman" w:hAnsi="Times New Roman" w:cs="Times New Roman"/>
          <w:color w:val="000000"/>
          <w:sz w:val="24"/>
          <w:szCs w:val="24"/>
          <w:lang/>
        </w:rPr>
        <w:t>, які затверджуються наказом цього органу.</w:t>
      </w:r>
    </w:p>
    <w:p w14:paraId="5A899C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0" w:name="n14605"/>
      <w:bookmarkEnd w:id="2170"/>
      <w:r w:rsidRPr="008B264B">
        <w:rPr>
          <w:rFonts w:ascii="Times New Roman" w:eastAsia="Times New Roman" w:hAnsi="Times New Roman" w:cs="Times New Roman"/>
          <w:color w:val="000000"/>
          <w:sz w:val="24"/>
          <w:szCs w:val="24"/>
          <w:lang/>
        </w:rPr>
        <w:t>Узагальнюючі податкові консультації підлягають оприлюдненню на офіційному веб-сайті центрального органу виконавчої влади, що забезпечує формування та реалізує державну фінансову політику, протягом п’яти календарних днів з дня їх надання.</w:t>
      </w:r>
    </w:p>
    <w:p w14:paraId="6C47AC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1" w:name="n14591"/>
      <w:bookmarkEnd w:id="2171"/>
      <w:r w:rsidRPr="008B264B">
        <w:rPr>
          <w:rFonts w:ascii="Times New Roman" w:eastAsia="Times New Roman" w:hAnsi="Times New Roman" w:cs="Times New Roman"/>
          <w:i/>
          <w:iCs/>
          <w:color w:val="000000"/>
          <w:sz w:val="24"/>
          <w:szCs w:val="24"/>
          <w:lang/>
        </w:rPr>
        <w:t>{Стаття 52 із змінами, внесеними згідно із Законами </w:t>
      </w:r>
      <w:hyperlink r:id="rId118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187" w:anchor="n5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188"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189" w:anchor="n12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190" w:anchor="n20"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в редакції Закону </w:t>
      </w:r>
      <w:hyperlink r:id="rId1191" w:anchor="n4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4AA19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2" w:name="n1289"/>
      <w:bookmarkEnd w:id="2172"/>
      <w:r w:rsidRPr="008B264B">
        <w:rPr>
          <w:rFonts w:ascii="Times New Roman" w:eastAsia="Times New Roman" w:hAnsi="Times New Roman" w:cs="Times New Roman"/>
          <w:b/>
          <w:bCs/>
          <w:color w:val="000000"/>
          <w:sz w:val="24"/>
          <w:szCs w:val="24"/>
          <w:lang/>
        </w:rPr>
        <w:t>Стаття 53.</w:t>
      </w:r>
      <w:r w:rsidRPr="008B264B">
        <w:rPr>
          <w:rFonts w:ascii="Times New Roman" w:eastAsia="Times New Roman" w:hAnsi="Times New Roman" w:cs="Times New Roman"/>
          <w:color w:val="000000"/>
          <w:sz w:val="24"/>
          <w:szCs w:val="24"/>
          <w:lang/>
        </w:rPr>
        <w:t> Наслідки застосування податкових консультацій</w:t>
      </w:r>
    </w:p>
    <w:p w14:paraId="5C9E7C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3" w:name="n1290"/>
      <w:bookmarkEnd w:id="2173"/>
      <w:r w:rsidRPr="008B264B">
        <w:rPr>
          <w:rFonts w:ascii="Times New Roman" w:eastAsia="Times New Roman" w:hAnsi="Times New Roman" w:cs="Times New Roman"/>
          <w:color w:val="000000"/>
          <w:sz w:val="24"/>
          <w:szCs w:val="24"/>
          <w:lang/>
        </w:rPr>
        <w:t>53.1. Не може бути притягнуто до відповідальності, включаючи фінансової (штрафні санкції та/або пеня), платника податків (податкового агента та/або його посадову особу), який діяв відповідно до індивідуальної податкової консультації, наданої йому у письмовій формі, а також узагальнюючої податкової консультації, за діяння, що містить ознаки податкового правопорушення, зокрема на підставі того, що у подальшому така податкова консультація була змінена або скасована.</w:t>
      </w:r>
    </w:p>
    <w:p w14:paraId="4725ED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4" w:name="n14607"/>
      <w:bookmarkEnd w:id="2174"/>
      <w:r w:rsidRPr="008B264B">
        <w:rPr>
          <w:rFonts w:ascii="Times New Roman" w:eastAsia="Times New Roman" w:hAnsi="Times New Roman" w:cs="Times New Roman"/>
          <w:color w:val="000000"/>
          <w:sz w:val="24"/>
          <w:szCs w:val="24"/>
          <w:lang/>
        </w:rPr>
        <w:t>Положення абзацу першого цього пункту застосовуються до індивідуальної податкової консультації, за умови що вона зареєстрована в єдиній базі індивідуальних податкових консультацій.</w:t>
      </w:r>
    </w:p>
    <w:p w14:paraId="150606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5" w:name="n14608"/>
      <w:bookmarkEnd w:id="2175"/>
      <w:r w:rsidRPr="008B264B">
        <w:rPr>
          <w:rFonts w:ascii="Times New Roman" w:eastAsia="Times New Roman" w:hAnsi="Times New Roman" w:cs="Times New Roman"/>
          <w:color w:val="000000"/>
          <w:sz w:val="24"/>
          <w:szCs w:val="24"/>
          <w:lang/>
        </w:rPr>
        <w:t>У разі коли положення індивідуальної податкової консультації суперечать положенням узагальнюючої податкової консультації, застосовуються положення узагальнюючої податкової консультації.</w:t>
      </w:r>
    </w:p>
    <w:p w14:paraId="2337AA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6" w:name="n14609"/>
      <w:bookmarkEnd w:id="2176"/>
      <w:r w:rsidRPr="008B264B">
        <w:rPr>
          <w:rFonts w:ascii="Times New Roman" w:eastAsia="Times New Roman" w:hAnsi="Times New Roman" w:cs="Times New Roman"/>
          <w:color w:val="000000"/>
          <w:sz w:val="24"/>
          <w:szCs w:val="24"/>
          <w:lang/>
        </w:rPr>
        <w:t>Платник податків та/або податковий агент, які діяли відповідно до податкової консультації, не звільняються від обов’язку сплати податкового зобов’язання, визначеного цим Кодексом.</w:t>
      </w:r>
    </w:p>
    <w:p w14:paraId="298BE3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7" w:name="n1292"/>
      <w:bookmarkEnd w:id="2177"/>
      <w:r w:rsidRPr="008B264B">
        <w:rPr>
          <w:rFonts w:ascii="Times New Roman" w:eastAsia="Times New Roman" w:hAnsi="Times New Roman" w:cs="Times New Roman"/>
          <w:color w:val="000000"/>
          <w:sz w:val="24"/>
          <w:szCs w:val="24"/>
          <w:lang/>
        </w:rPr>
        <w:t>53.2. Платник податків може оскаржити до суду наказ про затвердження узагальнюючої податкової консультації або надану йому індивідуальну податкову консультацію як правовий акт індивідуальної дії, викладені в письмовій формі, які, на думку такого платника податків, суперечать нормам або змісту відповідного податку чи збору.</w:t>
      </w:r>
    </w:p>
    <w:p w14:paraId="76A81A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8" w:name="n14610"/>
      <w:bookmarkEnd w:id="2178"/>
      <w:r w:rsidRPr="008B264B">
        <w:rPr>
          <w:rFonts w:ascii="Times New Roman" w:eastAsia="Times New Roman" w:hAnsi="Times New Roman" w:cs="Times New Roman"/>
          <w:color w:val="000000"/>
          <w:sz w:val="24"/>
          <w:szCs w:val="24"/>
          <w:lang/>
        </w:rPr>
        <w:t>Скасування судом наказу про затвердження узагальнюючої податкової консультації або індивідуальної податкової консультації є підставою для надання нової податкової консультації з урахуванням висновків суду.</w:t>
      </w:r>
    </w:p>
    <w:p w14:paraId="2A072B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79" w:name="n14611"/>
      <w:bookmarkEnd w:id="2179"/>
      <w:r w:rsidRPr="008B264B">
        <w:rPr>
          <w:rFonts w:ascii="Times New Roman" w:eastAsia="Times New Roman" w:hAnsi="Times New Roman" w:cs="Times New Roman"/>
          <w:color w:val="000000"/>
          <w:sz w:val="24"/>
          <w:szCs w:val="24"/>
          <w:lang/>
        </w:rPr>
        <w:t xml:space="preserve">Протягом 30 календарних днів з дня набрання законної сили рішенням суду про скасування наказу про затвердження узагальнюючої податкової консультації або індивідуальної податкової </w:t>
      </w:r>
      <w:r w:rsidRPr="008B264B">
        <w:rPr>
          <w:rFonts w:ascii="Times New Roman" w:eastAsia="Times New Roman" w:hAnsi="Times New Roman" w:cs="Times New Roman"/>
          <w:color w:val="000000"/>
          <w:sz w:val="24"/>
          <w:szCs w:val="24"/>
          <w:lang/>
        </w:rPr>
        <w:lastRenderedPageBreak/>
        <w:t>консультації центральний орган виконавчої влади, що забезпечує формування та реалізує державну фінансову політику, або контролюючий орган з урахуванням висновків суду зобов’язані опублікувати узагальнюючу податкову консультацію або надати платнику податків індивідуальну податкову консультацію.</w:t>
      </w:r>
    </w:p>
    <w:p w14:paraId="701650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0" w:name="n14606"/>
      <w:bookmarkEnd w:id="2180"/>
      <w:r w:rsidRPr="008B264B">
        <w:rPr>
          <w:rFonts w:ascii="Times New Roman" w:eastAsia="Times New Roman" w:hAnsi="Times New Roman" w:cs="Times New Roman"/>
          <w:i/>
          <w:iCs/>
          <w:color w:val="000000"/>
          <w:sz w:val="24"/>
          <w:szCs w:val="24"/>
          <w:lang/>
        </w:rPr>
        <w:t>{Стаття 52 із змінами, внесеними згідно із Законами </w:t>
      </w:r>
      <w:hyperlink r:id="rId119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193" w:anchor="n28"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в редакції Закону </w:t>
      </w:r>
      <w:hyperlink r:id="rId1194" w:anchor="n4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2836B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181" w:name="n1296"/>
      <w:bookmarkEnd w:id="2181"/>
      <w:r w:rsidRPr="008B264B">
        <w:rPr>
          <w:rFonts w:ascii="Times New Roman" w:eastAsia="Times New Roman" w:hAnsi="Times New Roman" w:cs="Times New Roman"/>
          <w:b/>
          <w:bCs/>
          <w:color w:val="000000"/>
          <w:sz w:val="28"/>
          <w:szCs w:val="28"/>
          <w:lang/>
        </w:rPr>
        <w:t>ГЛАВА 4. ВИЗНАЧЕННЯ СУМИ ПОДАТКОВИХ ТА/АБО ГРОШОВИХ ЗОБОВ'ЯЗАНЬ ПЛАТНИКА ПОДАТКІВ, ПОРЯДОК ЇХ СПЛАТИ ТА ОСКАРЖЕННЯ РІШЕНЬ КОНТРОЛЮЮЧИХ ОРГАНІВ</w:t>
      </w:r>
    </w:p>
    <w:p w14:paraId="58C74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2" w:name="n1297"/>
      <w:bookmarkEnd w:id="2182"/>
      <w:r w:rsidRPr="008B264B">
        <w:rPr>
          <w:rFonts w:ascii="Times New Roman" w:eastAsia="Times New Roman" w:hAnsi="Times New Roman" w:cs="Times New Roman"/>
          <w:b/>
          <w:bCs/>
          <w:color w:val="000000"/>
          <w:sz w:val="24"/>
          <w:szCs w:val="24"/>
          <w:lang/>
        </w:rPr>
        <w:t>Стаття 54.</w:t>
      </w:r>
      <w:r w:rsidRPr="008B264B">
        <w:rPr>
          <w:rFonts w:ascii="Times New Roman" w:eastAsia="Times New Roman" w:hAnsi="Times New Roman" w:cs="Times New Roman"/>
          <w:color w:val="000000"/>
          <w:sz w:val="24"/>
          <w:szCs w:val="24"/>
          <w:lang/>
        </w:rPr>
        <w:t> Визначення сум податкових та грошових зобов'язань</w:t>
      </w:r>
    </w:p>
    <w:p w14:paraId="712571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3" w:name="n1298"/>
      <w:bookmarkEnd w:id="2183"/>
      <w:r w:rsidRPr="008B264B">
        <w:rPr>
          <w:rFonts w:ascii="Times New Roman" w:eastAsia="Times New Roman" w:hAnsi="Times New Roman" w:cs="Times New Roman"/>
          <w:color w:val="000000"/>
          <w:sz w:val="24"/>
          <w:szCs w:val="24"/>
          <w:lang/>
        </w:rPr>
        <w:t>54.1. Крім випадків, передбачених податковим законодавством, платник податків самостійно обчислює суму податкового та/або грошового зобов'язання та/або пені, яку зазначає у податковій (митній) декларації або уточнюючому розрахунку, що подається контролюючому органу у строки, встановлені цим Кодексом. Така сума грошового зобов'язання та/або пені вважається узгодженою.</w:t>
      </w:r>
    </w:p>
    <w:p w14:paraId="4483BD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4" w:name="n1299"/>
      <w:bookmarkEnd w:id="2184"/>
      <w:r w:rsidRPr="008B264B">
        <w:rPr>
          <w:rFonts w:ascii="Times New Roman" w:eastAsia="Times New Roman" w:hAnsi="Times New Roman" w:cs="Times New Roman"/>
          <w:i/>
          <w:iCs/>
          <w:color w:val="000000"/>
          <w:sz w:val="24"/>
          <w:szCs w:val="24"/>
          <w:lang/>
        </w:rPr>
        <w:t>{Пункт 54.1 статті 54 із змінами, внесеними згідно із Законом </w:t>
      </w:r>
      <w:hyperlink r:id="rId119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D096C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5" w:name="n1300"/>
      <w:bookmarkEnd w:id="2185"/>
      <w:r w:rsidRPr="008B264B">
        <w:rPr>
          <w:rFonts w:ascii="Times New Roman" w:eastAsia="Times New Roman" w:hAnsi="Times New Roman" w:cs="Times New Roman"/>
          <w:color w:val="000000"/>
          <w:sz w:val="24"/>
          <w:szCs w:val="24"/>
          <w:lang/>
        </w:rPr>
        <w:t>54.2. Грошове зобов'язання щодо суми податкових зобов'язань з податку, що підлягає утриманню та сплаті (перерахуванню) до бюджету в разі нарахування/виплати доходу на користь платника податку - фізичної особи, вважається узгодженим податковим агентом або платником податку, який отримує доходи не від податкового агента, в момент виникнення податкового зобов'язання, який визначається за календарною датою, встановленою </w:t>
      </w:r>
      <w:hyperlink r:id="rId1196"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 для граничного строку сплати податку до відповідного бюджету.</w:t>
      </w:r>
    </w:p>
    <w:p w14:paraId="3D965F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6" w:name="n1301"/>
      <w:bookmarkEnd w:id="2186"/>
      <w:r w:rsidRPr="008B264B">
        <w:rPr>
          <w:rFonts w:ascii="Times New Roman" w:eastAsia="Times New Roman" w:hAnsi="Times New Roman" w:cs="Times New Roman"/>
          <w:color w:val="000000"/>
          <w:sz w:val="24"/>
          <w:szCs w:val="24"/>
          <w:lang/>
        </w:rPr>
        <w:t>54.3. Контролюючий орган зобов'язаний самостійно визначити суму грошових зобов'язань, зменшення (збільшення) суми бюджетного відшкодування та/або зменшення (збільшення) від'ємного значення об'єкта оподаткування податком на прибуток або від'ємного значення суми податку на додану вартість платника податків, передбачених цим Кодексом або іншим законодавством, якщо:</w:t>
      </w:r>
    </w:p>
    <w:p w14:paraId="4CC74D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7" w:name="n1302"/>
      <w:bookmarkEnd w:id="2187"/>
      <w:r w:rsidRPr="008B264B">
        <w:rPr>
          <w:rFonts w:ascii="Times New Roman" w:eastAsia="Times New Roman" w:hAnsi="Times New Roman" w:cs="Times New Roman"/>
          <w:i/>
          <w:iCs/>
          <w:color w:val="000000"/>
          <w:sz w:val="24"/>
          <w:szCs w:val="24"/>
          <w:lang/>
        </w:rPr>
        <w:t>{Абзац перший пункту 54.3 статті 54 із змінами, внесеними згідно із Законом </w:t>
      </w:r>
      <w:hyperlink r:id="rId119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4F710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8" w:name="n1303"/>
      <w:bookmarkEnd w:id="2188"/>
      <w:r w:rsidRPr="008B264B">
        <w:rPr>
          <w:rFonts w:ascii="Times New Roman" w:eastAsia="Times New Roman" w:hAnsi="Times New Roman" w:cs="Times New Roman"/>
          <w:color w:val="000000"/>
          <w:sz w:val="24"/>
          <w:szCs w:val="24"/>
          <w:lang/>
        </w:rPr>
        <w:t>54.3.1. платник податків не подає в установлені строки податкову (митну) декларацію, а при здійсненні заходів податкового контролю встановлено факти здійснення платником податків діяльності, що призвела до виникнення об’єктів оподаткування, наявності показників, які підлягають декларуванню, відповідно до вимог цього Кодексу та наявності діючих (у тому числі призупинених) ліцензій на право здійснення діяльності з підакцизною продукцією, яка підлягає ліцензуванню згідно із законодавством;</w:t>
      </w:r>
    </w:p>
    <w:p w14:paraId="6533CA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89" w:name="n10525"/>
      <w:bookmarkEnd w:id="2189"/>
      <w:r w:rsidRPr="008B264B">
        <w:rPr>
          <w:rFonts w:ascii="Times New Roman" w:eastAsia="Times New Roman" w:hAnsi="Times New Roman" w:cs="Times New Roman"/>
          <w:i/>
          <w:iCs/>
          <w:color w:val="000000"/>
          <w:sz w:val="24"/>
          <w:szCs w:val="24"/>
          <w:lang/>
        </w:rPr>
        <w:t>{Підпункт 54.3.1 пункту 54.3 статті 54 із змінами, внесеними згідно із Законом </w:t>
      </w:r>
      <w:hyperlink r:id="rId1198" w:anchor="n1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EFF1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0" w:name="n1304"/>
      <w:bookmarkEnd w:id="2190"/>
      <w:r w:rsidRPr="008B264B">
        <w:rPr>
          <w:rFonts w:ascii="Times New Roman" w:eastAsia="Times New Roman" w:hAnsi="Times New Roman" w:cs="Times New Roman"/>
          <w:color w:val="000000"/>
          <w:sz w:val="24"/>
          <w:szCs w:val="24"/>
          <w:lang/>
        </w:rPr>
        <w:t>54.3.2. дані перевірок результатів діяльності платника податків, крім електронної перевірки, свідчать про заниження або завищення суми його податкових зобов'язань, суми бюджетного відшкодування та/або від'ємного значення об'єкта оподаткування податком на прибуток або від'ємного значення суми податку на додану вартість платника податків, заявлених у податкових (митних) деклараціях, уточнюючих розрахунках;</w:t>
      </w:r>
    </w:p>
    <w:p w14:paraId="6BA5FB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1" w:name="n1305"/>
      <w:bookmarkEnd w:id="2191"/>
      <w:r w:rsidRPr="008B264B">
        <w:rPr>
          <w:rFonts w:ascii="Times New Roman" w:eastAsia="Times New Roman" w:hAnsi="Times New Roman" w:cs="Times New Roman"/>
          <w:i/>
          <w:iCs/>
          <w:color w:val="000000"/>
          <w:sz w:val="24"/>
          <w:szCs w:val="24"/>
          <w:lang/>
        </w:rPr>
        <w:t>{Підпункт 54.3.2 пункту 54.3 статті 54 із змінами, внесеними згідно із Законами </w:t>
      </w:r>
      <w:hyperlink r:id="rId119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200"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59BF7B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2" w:name="n1306"/>
      <w:bookmarkEnd w:id="2192"/>
      <w:r w:rsidRPr="008B264B">
        <w:rPr>
          <w:rFonts w:ascii="Times New Roman" w:eastAsia="Times New Roman" w:hAnsi="Times New Roman" w:cs="Times New Roman"/>
          <w:color w:val="000000"/>
          <w:sz w:val="24"/>
          <w:szCs w:val="24"/>
          <w:lang/>
        </w:rPr>
        <w:t xml:space="preserve">54.3.3. згідно з податковим та іншим законодавством особою, відповідальною за нарахування сум податкових зобов'язань з окремого податку або збору, застосування штрафних </w:t>
      </w:r>
      <w:r w:rsidRPr="008B264B">
        <w:rPr>
          <w:rFonts w:ascii="Times New Roman" w:eastAsia="Times New Roman" w:hAnsi="Times New Roman" w:cs="Times New Roman"/>
          <w:color w:val="000000"/>
          <w:sz w:val="24"/>
          <w:szCs w:val="24"/>
          <w:lang/>
        </w:rPr>
        <w:lastRenderedPageBreak/>
        <w:t>(фінансових) санкцій та пені, у тому числі за порушення у сфері зовнішньоекономічної діяльності, є контролюючий орган;</w:t>
      </w:r>
    </w:p>
    <w:p w14:paraId="21E3A9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3" w:name="n1307"/>
      <w:bookmarkEnd w:id="2193"/>
      <w:r w:rsidRPr="008B264B">
        <w:rPr>
          <w:rFonts w:ascii="Times New Roman" w:eastAsia="Times New Roman" w:hAnsi="Times New Roman" w:cs="Times New Roman"/>
          <w:i/>
          <w:iCs/>
          <w:color w:val="000000"/>
          <w:sz w:val="24"/>
          <w:szCs w:val="24"/>
          <w:lang/>
        </w:rPr>
        <w:t>{Підпункт 54.3.4 пункту 54.3 статті 54 виключено на підставі Закону </w:t>
      </w:r>
      <w:hyperlink r:id="rId1201" w:anchor="n32"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35F917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4" w:name="n1308"/>
      <w:bookmarkEnd w:id="2194"/>
      <w:r w:rsidRPr="008B264B">
        <w:rPr>
          <w:rFonts w:ascii="Times New Roman" w:eastAsia="Times New Roman" w:hAnsi="Times New Roman" w:cs="Times New Roman"/>
          <w:color w:val="000000"/>
          <w:sz w:val="24"/>
          <w:szCs w:val="24"/>
          <w:lang/>
        </w:rPr>
        <w:t>54.3.5. дані перевірок щодо утримання податків у джерела виплати, в тому числі податкового агента, свідчать про порушення правил нарахування, утримання та сплати до відповідних бюджетів податків і зборів, передбачених цим Кодексом, у тому числі податку на доходи фізичних осіб таким податковим агентом;</w:t>
      </w:r>
    </w:p>
    <w:p w14:paraId="300644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5" w:name="n1309"/>
      <w:bookmarkEnd w:id="2195"/>
      <w:r w:rsidRPr="008B264B">
        <w:rPr>
          <w:rFonts w:ascii="Times New Roman" w:eastAsia="Times New Roman" w:hAnsi="Times New Roman" w:cs="Times New Roman"/>
          <w:color w:val="000000"/>
          <w:sz w:val="24"/>
          <w:szCs w:val="24"/>
          <w:lang/>
        </w:rPr>
        <w:t>54.3.6. результати митного контролю, отримані після закінчення процедури митного оформлення та випуску товарів, свідчать про заниження або завищення податкових зобов'язань, визначених платником податків у митних деклараціях.</w:t>
      </w:r>
    </w:p>
    <w:p w14:paraId="7B8501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6" w:name="n1310"/>
      <w:bookmarkEnd w:id="2196"/>
      <w:r w:rsidRPr="008B264B">
        <w:rPr>
          <w:rFonts w:ascii="Times New Roman" w:eastAsia="Times New Roman" w:hAnsi="Times New Roman" w:cs="Times New Roman"/>
          <w:color w:val="000000"/>
          <w:sz w:val="24"/>
          <w:szCs w:val="24"/>
          <w:lang/>
        </w:rPr>
        <w:t>54.4. У разі надходження від уповноважених органів іноземних держав документально підтверджених відомостей щодо країни походження, вартісних, кількісних або якісних характеристик, які мають значення для оподаткування товарів і предметів при ввезенні (пересиланні) на митну територію України або територію вільної митної зони або вивезенні (пересиланні) товарів і предметів з митної території України або території вільної митної зони, які відрізняються від задекларованих під час митного оформлення, контролюючий орган має право самостійно визначити базу оподаткування та податкові зобов'язання платника податків шляхом проведення дій, визначених </w:t>
      </w:r>
      <w:hyperlink r:id="rId1202" w:anchor="n1301" w:history="1">
        <w:r w:rsidRPr="008B264B">
          <w:rPr>
            <w:rFonts w:ascii="Times New Roman" w:eastAsia="Times New Roman" w:hAnsi="Times New Roman" w:cs="Times New Roman"/>
            <w:color w:val="0000FF"/>
            <w:sz w:val="24"/>
            <w:szCs w:val="24"/>
            <w:u w:val="single"/>
            <w:lang/>
          </w:rPr>
          <w:t>пунктом 54.3</w:t>
        </w:r>
      </w:hyperlink>
      <w:r w:rsidRPr="008B264B">
        <w:rPr>
          <w:rFonts w:ascii="Times New Roman" w:eastAsia="Times New Roman" w:hAnsi="Times New Roman" w:cs="Times New Roman"/>
          <w:color w:val="000000"/>
          <w:sz w:val="24"/>
          <w:szCs w:val="24"/>
          <w:lang/>
        </w:rPr>
        <w:t> цієї статті, на підставі відомостей, зазначених у таких документах.</w:t>
      </w:r>
    </w:p>
    <w:p w14:paraId="388735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7" w:name="n1311"/>
      <w:bookmarkEnd w:id="2197"/>
      <w:r w:rsidRPr="008B264B">
        <w:rPr>
          <w:rFonts w:ascii="Times New Roman" w:eastAsia="Times New Roman" w:hAnsi="Times New Roman" w:cs="Times New Roman"/>
          <w:i/>
          <w:iCs/>
          <w:color w:val="000000"/>
          <w:sz w:val="24"/>
          <w:szCs w:val="24"/>
          <w:lang/>
        </w:rPr>
        <w:t>{Пункт 54.4 статті 54 із змінами, внесеними згідно із Законом </w:t>
      </w:r>
      <w:hyperlink r:id="rId1203" w:anchor="n27"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61C7C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8" w:name="n1312"/>
      <w:bookmarkEnd w:id="2198"/>
      <w:r w:rsidRPr="008B264B">
        <w:rPr>
          <w:rFonts w:ascii="Times New Roman" w:eastAsia="Times New Roman" w:hAnsi="Times New Roman" w:cs="Times New Roman"/>
          <w:color w:val="000000"/>
          <w:sz w:val="24"/>
          <w:szCs w:val="24"/>
          <w:lang/>
        </w:rPr>
        <w:t>54.5. Якщо згідно з нормами цієї статті сума грошового зобов'язання розраховується контролюючим органом, платник податків не несе відповідальності за своєчасність, достовірність і повноту нарахування такої суми, проте несе відповідальність за своєчасне та повне погашення нарахованого узгодженого грошового зобов'язання і має право оскаржити зазначену суму в порядку, встановленому цим Кодексом.</w:t>
      </w:r>
    </w:p>
    <w:p w14:paraId="7DE487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199" w:name="n1313"/>
      <w:bookmarkEnd w:id="2199"/>
      <w:r w:rsidRPr="008B264B">
        <w:rPr>
          <w:rFonts w:ascii="Times New Roman" w:eastAsia="Times New Roman" w:hAnsi="Times New Roman" w:cs="Times New Roman"/>
          <w:b/>
          <w:bCs/>
          <w:color w:val="000000"/>
          <w:sz w:val="24"/>
          <w:szCs w:val="24"/>
          <w:lang/>
        </w:rPr>
        <w:t>Стаття 55.</w:t>
      </w:r>
      <w:r w:rsidRPr="008B264B">
        <w:rPr>
          <w:rFonts w:ascii="Times New Roman" w:eastAsia="Times New Roman" w:hAnsi="Times New Roman" w:cs="Times New Roman"/>
          <w:color w:val="000000"/>
          <w:sz w:val="24"/>
          <w:szCs w:val="24"/>
          <w:lang/>
        </w:rPr>
        <w:t> Скасування рішень контролюючих органів</w:t>
      </w:r>
    </w:p>
    <w:p w14:paraId="433B4A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0" w:name="n1314"/>
      <w:bookmarkEnd w:id="2200"/>
      <w:r w:rsidRPr="008B264B">
        <w:rPr>
          <w:rFonts w:ascii="Times New Roman" w:eastAsia="Times New Roman" w:hAnsi="Times New Roman" w:cs="Times New Roman"/>
          <w:color w:val="000000"/>
          <w:sz w:val="24"/>
          <w:szCs w:val="24"/>
          <w:lang/>
        </w:rPr>
        <w:t>55.1. Податкове повідомлення-рішення про визначення суми грошового зобов'язання платника податків або будь-яке інше рішення контролюючого органу може бути скасоване контролюючим органом вищого рівня під час проведення процедури його адміністративного оскарження та в інших випадках у разі встановлення невідповідності таких рішень актам законодавства.</w:t>
      </w:r>
    </w:p>
    <w:p w14:paraId="54A1ED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1" w:name="n1315"/>
      <w:bookmarkEnd w:id="2201"/>
      <w:r w:rsidRPr="008B264B">
        <w:rPr>
          <w:rFonts w:ascii="Times New Roman" w:eastAsia="Times New Roman" w:hAnsi="Times New Roman" w:cs="Times New Roman"/>
          <w:i/>
          <w:iCs/>
          <w:color w:val="000000"/>
          <w:sz w:val="24"/>
          <w:szCs w:val="24"/>
          <w:lang/>
        </w:rPr>
        <w:t>{Абзац другий пункту 55.1 статті 55 виключено на підставі Закону </w:t>
      </w:r>
      <w:hyperlink r:id="rId1204" w:anchor="n5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3107F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2" w:name="n1316"/>
      <w:bookmarkEnd w:id="2202"/>
      <w:r w:rsidRPr="008B264B">
        <w:rPr>
          <w:rFonts w:ascii="Times New Roman" w:eastAsia="Times New Roman" w:hAnsi="Times New Roman" w:cs="Times New Roman"/>
          <w:color w:val="000000"/>
          <w:sz w:val="24"/>
          <w:szCs w:val="24"/>
          <w:lang/>
        </w:rPr>
        <w:t>55.2. Контролюючими органами вищого рівня є:</w:t>
      </w:r>
    </w:p>
    <w:p w14:paraId="0B0AEC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3" w:name="n8786"/>
      <w:bookmarkEnd w:id="2203"/>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податкову і митну політику, - для контролюючих органів в Автономній Республіці Крим, містах Києві та Севастополі, областях, міжрегіональних територіальних органів та митниць;</w:t>
      </w:r>
    </w:p>
    <w:p w14:paraId="3D1D9B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4" w:name="n13472"/>
      <w:bookmarkEnd w:id="2204"/>
      <w:r w:rsidRPr="008B264B">
        <w:rPr>
          <w:rFonts w:ascii="Times New Roman" w:eastAsia="Times New Roman" w:hAnsi="Times New Roman" w:cs="Times New Roman"/>
          <w:i/>
          <w:iCs/>
          <w:color w:val="000000"/>
          <w:sz w:val="24"/>
          <w:szCs w:val="24"/>
          <w:lang/>
        </w:rPr>
        <w:t>{Абзац другий пункту 55.2 статті 55 із змінами, внесеними згідно із Законом </w:t>
      </w:r>
      <w:hyperlink r:id="rId1205"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E6E9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5" w:name="n8787"/>
      <w:bookmarkEnd w:id="2205"/>
      <w:r w:rsidRPr="008B264B">
        <w:rPr>
          <w:rFonts w:ascii="Times New Roman" w:eastAsia="Times New Roman" w:hAnsi="Times New Roman" w:cs="Times New Roman"/>
          <w:color w:val="000000"/>
          <w:sz w:val="24"/>
          <w:szCs w:val="24"/>
          <w:lang/>
        </w:rPr>
        <w:t>контролюючі органи в Автономній Республіці Крим, містах Києві та Севастополі, областях, міжрегіональні територіальні  органи - для державних податкових інспекцій, які їм підпорядковуються.</w:t>
      </w:r>
    </w:p>
    <w:p w14:paraId="3C918C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6" w:name="n1320"/>
      <w:bookmarkEnd w:id="2206"/>
      <w:r w:rsidRPr="008B264B">
        <w:rPr>
          <w:rFonts w:ascii="Times New Roman" w:eastAsia="Times New Roman" w:hAnsi="Times New Roman" w:cs="Times New Roman"/>
          <w:i/>
          <w:iCs/>
          <w:color w:val="000000"/>
          <w:sz w:val="24"/>
          <w:szCs w:val="24"/>
          <w:lang/>
        </w:rPr>
        <w:t>{Пункт 55.2 статті 55 в редакції Законів </w:t>
      </w:r>
      <w:hyperlink r:id="rId1206" w:anchor="n7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1207" w:anchor="n13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36D1E1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7" w:name="n1321"/>
      <w:bookmarkEnd w:id="2207"/>
      <w:r w:rsidRPr="008B264B">
        <w:rPr>
          <w:rFonts w:ascii="Times New Roman" w:eastAsia="Times New Roman" w:hAnsi="Times New Roman" w:cs="Times New Roman"/>
          <w:b/>
          <w:bCs/>
          <w:color w:val="000000"/>
          <w:sz w:val="24"/>
          <w:szCs w:val="24"/>
          <w:lang/>
        </w:rPr>
        <w:t>Стаття 56.</w:t>
      </w:r>
      <w:r w:rsidRPr="008B264B">
        <w:rPr>
          <w:rFonts w:ascii="Times New Roman" w:eastAsia="Times New Roman" w:hAnsi="Times New Roman" w:cs="Times New Roman"/>
          <w:color w:val="000000"/>
          <w:sz w:val="24"/>
          <w:szCs w:val="24"/>
          <w:lang/>
        </w:rPr>
        <w:t> Оскарження рішень контролюючих органів</w:t>
      </w:r>
    </w:p>
    <w:p w14:paraId="2CC471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8" w:name="n1322"/>
      <w:bookmarkEnd w:id="2208"/>
      <w:r w:rsidRPr="008B264B">
        <w:rPr>
          <w:rFonts w:ascii="Times New Roman" w:eastAsia="Times New Roman" w:hAnsi="Times New Roman" w:cs="Times New Roman"/>
          <w:color w:val="000000"/>
          <w:sz w:val="24"/>
          <w:szCs w:val="24"/>
          <w:lang/>
        </w:rPr>
        <w:lastRenderedPageBreak/>
        <w:t>56.1. Рішення, прийняті контролюючим органом, можуть бути оскаржені в адміністративному або судовому порядку.</w:t>
      </w:r>
    </w:p>
    <w:p w14:paraId="07489C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09" w:name="n1323"/>
      <w:bookmarkEnd w:id="2209"/>
      <w:r w:rsidRPr="008B264B">
        <w:rPr>
          <w:rFonts w:ascii="Times New Roman" w:eastAsia="Times New Roman" w:hAnsi="Times New Roman" w:cs="Times New Roman"/>
          <w:color w:val="000000"/>
          <w:sz w:val="24"/>
          <w:szCs w:val="24"/>
          <w:lang/>
        </w:rPr>
        <w:t>56.2. У разі коли платник податків вважає, що контролюючий орган неправильно визначив суму грошового зобов'язання або прийняв будь-яке інше рішення, що суперечить законодавству або виходить за межі повноважень контролюючого органу, встановлених цим Кодексом або іншими законами України, він має право звернутися до контролюючого органу вищого рівня із </w:t>
      </w:r>
      <w:hyperlink r:id="rId1208" w:anchor="n16" w:tgtFrame="_blank" w:history="1">
        <w:r w:rsidRPr="008B264B">
          <w:rPr>
            <w:rFonts w:ascii="Times New Roman" w:eastAsia="Times New Roman" w:hAnsi="Times New Roman" w:cs="Times New Roman"/>
            <w:color w:val="0000FF"/>
            <w:sz w:val="24"/>
            <w:szCs w:val="24"/>
            <w:u w:val="single"/>
            <w:lang/>
          </w:rPr>
          <w:t>скаргою</w:t>
        </w:r>
      </w:hyperlink>
      <w:r w:rsidRPr="008B264B">
        <w:rPr>
          <w:rFonts w:ascii="Times New Roman" w:eastAsia="Times New Roman" w:hAnsi="Times New Roman" w:cs="Times New Roman"/>
          <w:color w:val="000000"/>
          <w:sz w:val="24"/>
          <w:szCs w:val="24"/>
          <w:lang/>
        </w:rPr>
        <w:t> про перегляд цього рішення.</w:t>
      </w:r>
    </w:p>
    <w:p w14:paraId="07B1B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0" w:name="n1324"/>
      <w:bookmarkEnd w:id="2210"/>
      <w:r w:rsidRPr="008B264B">
        <w:rPr>
          <w:rFonts w:ascii="Times New Roman" w:eastAsia="Times New Roman" w:hAnsi="Times New Roman" w:cs="Times New Roman"/>
          <w:color w:val="000000"/>
          <w:sz w:val="24"/>
          <w:szCs w:val="24"/>
          <w:lang/>
        </w:rPr>
        <w:t>56.3. Скарга подається до контролюючого органу вищого рівня у письмовій формі (за потреби - з належним чином засвідченими копіями документів, розрахунками та доказами, які платник податків вважає за потрібне надати з урахуванням вимог </w:t>
      </w:r>
      <w:hyperlink r:id="rId1209" w:anchor="n1127" w:history="1">
        <w:r w:rsidRPr="008B264B">
          <w:rPr>
            <w:rFonts w:ascii="Times New Roman" w:eastAsia="Times New Roman" w:hAnsi="Times New Roman" w:cs="Times New Roman"/>
            <w:color w:val="0000FF"/>
            <w:sz w:val="24"/>
            <w:szCs w:val="24"/>
            <w:u w:val="single"/>
            <w:lang/>
          </w:rPr>
          <w:t>пункту 44.6 статті 44</w:t>
        </w:r>
      </w:hyperlink>
      <w:r w:rsidRPr="008B264B">
        <w:rPr>
          <w:rFonts w:ascii="Times New Roman" w:eastAsia="Times New Roman" w:hAnsi="Times New Roman" w:cs="Times New Roman"/>
          <w:color w:val="000000"/>
          <w:sz w:val="24"/>
          <w:szCs w:val="24"/>
          <w:lang/>
        </w:rPr>
        <w:t> цього Кодексу) протягом 10 робочих днів, що настають за днем отримання платником податків податкового повідомлення-рішення або іншого рішення контролюючого органу, що оскаржується.</w:t>
      </w:r>
    </w:p>
    <w:p w14:paraId="46EC1B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1" w:name="n15277"/>
      <w:bookmarkEnd w:id="2211"/>
      <w:r w:rsidRPr="008B264B">
        <w:rPr>
          <w:rFonts w:ascii="Times New Roman" w:eastAsia="Times New Roman" w:hAnsi="Times New Roman" w:cs="Times New Roman"/>
          <w:i/>
          <w:iCs/>
          <w:color w:val="000000"/>
          <w:sz w:val="24"/>
          <w:szCs w:val="24"/>
          <w:lang/>
        </w:rPr>
        <w:t>{Абзац перший пункту 56.3 статті 56 із змінами, внесеними згідно із Законом </w:t>
      </w:r>
      <w:hyperlink r:id="rId1210" w:anchor="n14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AF3B4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2" w:name="n8789"/>
      <w:bookmarkEnd w:id="2212"/>
      <w:r w:rsidRPr="008B264B">
        <w:rPr>
          <w:rFonts w:ascii="Times New Roman" w:eastAsia="Times New Roman" w:hAnsi="Times New Roman" w:cs="Times New Roman"/>
          <w:color w:val="000000"/>
          <w:sz w:val="24"/>
          <w:szCs w:val="24"/>
          <w:lang/>
        </w:rPr>
        <w:t>Скарги на рішення державних податкових інспекцій подаються до контролюючих органів в Автономній Республіці Крим, містах Києві та Севастополі, областях, міжрегіональних територіальних органів.</w:t>
      </w:r>
    </w:p>
    <w:p w14:paraId="22629C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3" w:name="n8790"/>
      <w:bookmarkEnd w:id="2213"/>
      <w:r w:rsidRPr="008B264B">
        <w:rPr>
          <w:rFonts w:ascii="Times New Roman" w:eastAsia="Times New Roman" w:hAnsi="Times New Roman" w:cs="Times New Roman"/>
          <w:color w:val="000000"/>
          <w:sz w:val="24"/>
          <w:szCs w:val="24"/>
          <w:lang/>
        </w:rPr>
        <w:t>Скарги на рішення контролюючих органів в Автономній Республіці Крим, містах Києві та Севастополі, областях, міжрегіональних територіальних органів та митниць подаються до центрального органу виконавчої влади, що реалізує державну податкову і митну політику.</w:t>
      </w:r>
    </w:p>
    <w:p w14:paraId="3C099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4" w:name="n13473"/>
      <w:bookmarkEnd w:id="2214"/>
      <w:r w:rsidRPr="008B264B">
        <w:rPr>
          <w:rFonts w:ascii="Times New Roman" w:eastAsia="Times New Roman" w:hAnsi="Times New Roman" w:cs="Times New Roman"/>
          <w:i/>
          <w:iCs/>
          <w:color w:val="000000"/>
          <w:sz w:val="24"/>
          <w:szCs w:val="24"/>
          <w:lang/>
        </w:rPr>
        <w:t>{Абзац третій пункту 56.3 статті 56 із змінами, внесеними згідно із Законом </w:t>
      </w:r>
      <w:hyperlink r:id="rId1211"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1793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5" w:name="n8788"/>
      <w:bookmarkEnd w:id="2215"/>
      <w:r w:rsidRPr="008B264B">
        <w:rPr>
          <w:rFonts w:ascii="Times New Roman" w:eastAsia="Times New Roman" w:hAnsi="Times New Roman" w:cs="Times New Roman"/>
          <w:i/>
          <w:iCs/>
          <w:color w:val="000000"/>
          <w:sz w:val="24"/>
          <w:szCs w:val="24"/>
          <w:lang/>
        </w:rPr>
        <w:t>{Пункт 56.3 статті 56 із змінами, внесеними згідно із Законом </w:t>
      </w:r>
      <w:hyperlink r:id="rId1212" w:anchor="n8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1213" w:anchor="n13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17B05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6" w:name="n1329"/>
      <w:bookmarkEnd w:id="2216"/>
      <w:r w:rsidRPr="008B264B">
        <w:rPr>
          <w:rFonts w:ascii="Times New Roman" w:eastAsia="Times New Roman" w:hAnsi="Times New Roman" w:cs="Times New Roman"/>
          <w:color w:val="000000"/>
          <w:sz w:val="24"/>
          <w:szCs w:val="24"/>
          <w:lang/>
        </w:rPr>
        <w:t>56.4. Під час процедури адміністративного оскарження обов'язок доведення того, що будь-яке нарахування, здійснене контролюючим органом у випадках, визначених цим Кодексом, або будь-яке інше рішення контролюючого органу є правомірним, покладається на контролюючий орган.</w:t>
      </w:r>
    </w:p>
    <w:p w14:paraId="479C79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7" w:name="n1330"/>
      <w:bookmarkEnd w:id="2217"/>
      <w:r w:rsidRPr="008B264B">
        <w:rPr>
          <w:rFonts w:ascii="Times New Roman" w:eastAsia="Times New Roman" w:hAnsi="Times New Roman" w:cs="Times New Roman"/>
          <w:color w:val="000000"/>
          <w:sz w:val="24"/>
          <w:szCs w:val="24"/>
          <w:lang/>
        </w:rPr>
        <w:t>Обов'язок доведення правомірності нарахування або прийняття будь-якого іншого рішення контролюючим органом у судовому оскарженні встановлюється процесуальним законом.</w:t>
      </w:r>
    </w:p>
    <w:p w14:paraId="58E74C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8" w:name="n1331"/>
      <w:bookmarkEnd w:id="2218"/>
      <w:r w:rsidRPr="008B264B">
        <w:rPr>
          <w:rFonts w:ascii="Times New Roman" w:eastAsia="Times New Roman" w:hAnsi="Times New Roman" w:cs="Times New Roman"/>
          <w:color w:val="000000"/>
          <w:sz w:val="24"/>
          <w:szCs w:val="24"/>
          <w:lang/>
        </w:rPr>
        <w:t>56.5. Платник податків одночасно з поданням скарги контролюючому органу вищого рівня зобов'язаний письмово повідомляти контролюючий орган, яким визначено суму грошового зобов'язання або прийнято інше рішення, про оскарження його податкового повідомлення-рішення або будь-якого іншого рішення.</w:t>
      </w:r>
    </w:p>
    <w:p w14:paraId="3C5C91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19" w:name="n1332"/>
      <w:bookmarkEnd w:id="2219"/>
      <w:r w:rsidRPr="008B264B">
        <w:rPr>
          <w:rFonts w:ascii="Times New Roman" w:eastAsia="Times New Roman" w:hAnsi="Times New Roman" w:cs="Times New Roman"/>
          <w:color w:val="000000"/>
          <w:sz w:val="24"/>
          <w:szCs w:val="24"/>
          <w:lang/>
        </w:rPr>
        <w:t>56.6. У разі коли контролюючий орган приймає рішення про повне або часткове незадоволення скарги платника податків, такий платник податків має право звернутися протягом 10 календарних днів, наступних за днем отримання рішення про результати розгляду скарги, зі скаргою до контролюючого органу вищого рівня.</w:t>
      </w:r>
    </w:p>
    <w:p w14:paraId="464481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0" w:name="n1333"/>
      <w:bookmarkEnd w:id="2220"/>
      <w:r w:rsidRPr="008B264B">
        <w:rPr>
          <w:rFonts w:ascii="Times New Roman" w:eastAsia="Times New Roman" w:hAnsi="Times New Roman" w:cs="Times New Roman"/>
          <w:color w:val="000000"/>
          <w:sz w:val="24"/>
          <w:szCs w:val="24"/>
          <w:lang/>
        </w:rPr>
        <w:t>56.7. У разі порушення платником податків вимог </w:t>
      </w:r>
      <w:hyperlink r:id="rId1214" w:anchor="n1324" w:history="1">
        <w:r w:rsidRPr="008B264B">
          <w:rPr>
            <w:rFonts w:ascii="Times New Roman" w:eastAsia="Times New Roman" w:hAnsi="Times New Roman" w:cs="Times New Roman"/>
            <w:color w:val="0000FF"/>
            <w:sz w:val="24"/>
            <w:szCs w:val="24"/>
            <w:u w:val="single"/>
            <w:lang/>
          </w:rPr>
          <w:t>пунктів 56.3</w:t>
        </w:r>
      </w:hyperlink>
      <w:r w:rsidRPr="008B264B">
        <w:rPr>
          <w:rFonts w:ascii="Times New Roman" w:eastAsia="Times New Roman" w:hAnsi="Times New Roman" w:cs="Times New Roman"/>
          <w:color w:val="000000"/>
          <w:sz w:val="24"/>
          <w:szCs w:val="24"/>
          <w:lang/>
        </w:rPr>
        <w:t> і 56.6 подані ним скарги не розглядаються та повертаються йому із зазначенням причин повернення.</w:t>
      </w:r>
    </w:p>
    <w:p w14:paraId="4D2069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1" w:name="n1334"/>
      <w:bookmarkEnd w:id="2221"/>
      <w:r w:rsidRPr="008B264B">
        <w:rPr>
          <w:rFonts w:ascii="Times New Roman" w:eastAsia="Times New Roman" w:hAnsi="Times New Roman" w:cs="Times New Roman"/>
          <w:color w:val="000000"/>
          <w:sz w:val="24"/>
          <w:szCs w:val="24"/>
          <w:lang/>
        </w:rPr>
        <w:t>56.8. Контролюючий орган, який розглядає скаргу платника податків, зобов'язаний прийняти вмотивоване рішення та надіслати його протягом 20 календарних днів, наступних за днем отримання скарги, на адресу платника податків поштою з повідомленням про вручення або надати йому під розписку.</w:t>
      </w:r>
    </w:p>
    <w:p w14:paraId="6F8950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2" w:name="n1335"/>
      <w:bookmarkEnd w:id="2222"/>
      <w:r w:rsidRPr="008B264B">
        <w:rPr>
          <w:rFonts w:ascii="Times New Roman" w:eastAsia="Times New Roman" w:hAnsi="Times New Roman" w:cs="Times New Roman"/>
          <w:color w:val="000000"/>
          <w:sz w:val="24"/>
          <w:szCs w:val="24"/>
          <w:lang/>
        </w:rPr>
        <w:t xml:space="preserve">56.9. Керівник (його заступник або уповноважена особа) контролюючого органу може прийняти рішення про продовження строку розгляду скарги платника податків понад 20-денний </w:t>
      </w:r>
      <w:r w:rsidRPr="008B264B">
        <w:rPr>
          <w:rFonts w:ascii="Times New Roman" w:eastAsia="Times New Roman" w:hAnsi="Times New Roman" w:cs="Times New Roman"/>
          <w:color w:val="000000"/>
          <w:sz w:val="24"/>
          <w:szCs w:val="24"/>
          <w:lang/>
        </w:rPr>
        <w:lastRenderedPageBreak/>
        <w:t>строк, визначений у пункті 56.8 цієї статті, але не більше 60 календарних днів, та письмово повідомити про це платника податків до закінчення строку, визначеного у пункті 56.8 цієї статті.</w:t>
      </w:r>
    </w:p>
    <w:p w14:paraId="01D947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3" w:name="n8791"/>
      <w:bookmarkEnd w:id="2223"/>
      <w:r w:rsidRPr="008B264B">
        <w:rPr>
          <w:rFonts w:ascii="Times New Roman" w:eastAsia="Times New Roman" w:hAnsi="Times New Roman" w:cs="Times New Roman"/>
          <w:i/>
          <w:iCs/>
          <w:color w:val="000000"/>
          <w:sz w:val="24"/>
          <w:szCs w:val="24"/>
          <w:lang/>
        </w:rPr>
        <w:t>{Абзац перший пункту 56.9 статті 56 із змінами, внесеними згідно із Законами </w:t>
      </w:r>
      <w:hyperlink r:id="rId1215" w:anchor="n14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216" w:anchor="n52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7A729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4" w:name="n1336"/>
      <w:bookmarkEnd w:id="2224"/>
      <w:r w:rsidRPr="008B264B">
        <w:rPr>
          <w:rFonts w:ascii="Times New Roman" w:eastAsia="Times New Roman" w:hAnsi="Times New Roman" w:cs="Times New Roman"/>
          <w:color w:val="000000"/>
          <w:sz w:val="24"/>
          <w:szCs w:val="24"/>
          <w:lang/>
        </w:rPr>
        <w:t>Якщо вмотивоване рішення за скаргою платника податків не надсилається платнику податків протягом 20-денного строку або протягом строку, продовженого за рішенням керівника (його заступника або уповноваженої особи) контролюючого органу, така скарга вважається повністю задоволеною на користь платника податків з дня, наступного за останнім днем зазначених строків.</w:t>
      </w:r>
    </w:p>
    <w:p w14:paraId="330042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5" w:name="n8792"/>
      <w:bookmarkEnd w:id="2225"/>
      <w:r w:rsidRPr="008B264B">
        <w:rPr>
          <w:rFonts w:ascii="Times New Roman" w:eastAsia="Times New Roman" w:hAnsi="Times New Roman" w:cs="Times New Roman"/>
          <w:i/>
          <w:iCs/>
          <w:color w:val="000000"/>
          <w:sz w:val="24"/>
          <w:szCs w:val="24"/>
          <w:lang/>
        </w:rPr>
        <w:t>{Абзац другий пункту 56.9 статті 56 із змінами, внесеними згідно із Законами </w:t>
      </w:r>
      <w:hyperlink r:id="rId1217" w:anchor="n142"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218" w:anchor="n5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C11F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6" w:name="n1337"/>
      <w:bookmarkEnd w:id="2226"/>
      <w:r w:rsidRPr="008B264B">
        <w:rPr>
          <w:rFonts w:ascii="Times New Roman" w:eastAsia="Times New Roman" w:hAnsi="Times New Roman" w:cs="Times New Roman"/>
          <w:color w:val="000000"/>
          <w:sz w:val="24"/>
          <w:szCs w:val="24"/>
          <w:lang/>
        </w:rPr>
        <w:t>Скарга вважається також повністю задоволеною на користь платника податків, якщо рішення керівника (його заступника або уповноваженої особи) контролюючого органу про продовження строків її розгляду не було надіслано платнику податків до закінчення 20-денного строку, зазначеного в абзаці першому цього пункту.</w:t>
      </w:r>
    </w:p>
    <w:p w14:paraId="48AFFD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7" w:name="n8793"/>
      <w:bookmarkEnd w:id="2227"/>
      <w:r w:rsidRPr="008B264B">
        <w:rPr>
          <w:rFonts w:ascii="Times New Roman" w:eastAsia="Times New Roman" w:hAnsi="Times New Roman" w:cs="Times New Roman"/>
          <w:i/>
          <w:iCs/>
          <w:color w:val="000000"/>
          <w:sz w:val="24"/>
          <w:szCs w:val="24"/>
          <w:lang/>
        </w:rPr>
        <w:t>{Абзац третій пункту 56.9 статті 56 із змінами, внесеними згідно із Законами </w:t>
      </w:r>
      <w:hyperlink r:id="rId1219" w:anchor="n142"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220" w:anchor="n5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A645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8" w:name="n1338"/>
      <w:bookmarkEnd w:id="2228"/>
      <w:r w:rsidRPr="008B264B">
        <w:rPr>
          <w:rFonts w:ascii="Times New Roman" w:eastAsia="Times New Roman" w:hAnsi="Times New Roman" w:cs="Times New Roman"/>
          <w:color w:val="000000"/>
          <w:sz w:val="24"/>
          <w:szCs w:val="24"/>
          <w:lang/>
        </w:rPr>
        <w:t>56.10. Рішення центрального органу виконавчої влади, що реалізує державну податкову і митну політику, прийняте за розглядом скарги платника податків, є остаточним і не підлягає подальшому адміністративному оскарженню, але може бути оскаржене в судовому порядку.</w:t>
      </w:r>
    </w:p>
    <w:p w14:paraId="5FBC1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29" w:name="n1339"/>
      <w:bookmarkEnd w:id="2229"/>
      <w:r w:rsidRPr="008B264B">
        <w:rPr>
          <w:rFonts w:ascii="Times New Roman" w:eastAsia="Times New Roman" w:hAnsi="Times New Roman" w:cs="Times New Roman"/>
          <w:i/>
          <w:iCs/>
          <w:color w:val="000000"/>
          <w:sz w:val="24"/>
          <w:szCs w:val="24"/>
          <w:lang/>
        </w:rPr>
        <w:t>{Пункт 56.10 статті 56 із змінами, внесеними згідно з Законами </w:t>
      </w:r>
      <w:hyperlink r:id="rId1221" w:anchor="n8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222"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EF50F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0" w:name="n1340"/>
      <w:bookmarkEnd w:id="2230"/>
      <w:r w:rsidRPr="008B264B">
        <w:rPr>
          <w:rFonts w:ascii="Times New Roman" w:eastAsia="Times New Roman" w:hAnsi="Times New Roman" w:cs="Times New Roman"/>
          <w:color w:val="000000"/>
          <w:sz w:val="24"/>
          <w:szCs w:val="24"/>
          <w:lang/>
        </w:rPr>
        <w:t>56.11. Не підлягає оскарженню грошове зобов'язання, самостійно визначене платником податків.</w:t>
      </w:r>
    </w:p>
    <w:p w14:paraId="2A6495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1" w:name="n1341"/>
      <w:bookmarkEnd w:id="2231"/>
      <w:r w:rsidRPr="008B264B">
        <w:rPr>
          <w:rFonts w:ascii="Times New Roman" w:eastAsia="Times New Roman" w:hAnsi="Times New Roman" w:cs="Times New Roman"/>
          <w:i/>
          <w:iCs/>
          <w:color w:val="000000"/>
          <w:sz w:val="24"/>
          <w:szCs w:val="24"/>
          <w:lang/>
        </w:rPr>
        <w:t>{Пункт 56.11 статті 56 із змінами, внесеними згідно із Законом </w:t>
      </w:r>
      <w:hyperlink r:id="rId122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FC0D6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2" w:name="n1342"/>
      <w:bookmarkEnd w:id="2232"/>
      <w:r w:rsidRPr="008B264B">
        <w:rPr>
          <w:rFonts w:ascii="Times New Roman" w:eastAsia="Times New Roman" w:hAnsi="Times New Roman" w:cs="Times New Roman"/>
          <w:color w:val="000000"/>
          <w:sz w:val="24"/>
          <w:szCs w:val="24"/>
          <w:lang/>
        </w:rPr>
        <w:t>56.12. Якщо відповідно до цього Кодексу контролюючий орган самостійно визначає грошове зобов'язання платника податків за причинами, не пов'язаними із порушенням податкового законодавства, такий платник податків має право на адміністративне оскарження рішень контролюючого органу протягом 30 календарних днів, що настають за днем надходження податкового повідомлення-рішення (рішення) контролюючого органу.</w:t>
      </w:r>
    </w:p>
    <w:p w14:paraId="53DFE5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3" w:name="n1343"/>
      <w:bookmarkEnd w:id="2233"/>
      <w:r w:rsidRPr="008B264B">
        <w:rPr>
          <w:rFonts w:ascii="Times New Roman" w:eastAsia="Times New Roman" w:hAnsi="Times New Roman" w:cs="Times New Roman"/>
          <w:color w:val="000000"/>
          <w:sz w:val="24"/>
          <w:szCs w:val="24"/>
          <w:lang/>
        </w:rPr>
        <w:t>56.13. У разі коли останній день строків, зазначених у цій статті, припадає на вихідний або святковий день, останнім днем таких строків вважається перший робочий день, що настає за вихідним або святковим днем.</w:t>
      </w:r>
    </w:p>
    <w:p w14:paraId="4F62C5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4" w:name="n1344"/>
      <w:bookmarkEnd w:id="2234"/>
      <w:r w:rsidRPr="008B264B">
        <w:rPr>
          <w:rFonts w:ascii="Times New Roman" w:eastAsia="Times New Roman" w:hAnsi="Times New Roman" w:cs="Times New Roman"/>
          <w:color w:val="000000"/>
          <w:sz w:val="24"/>
          <w:szCs w:val="24"/>
          <w:lang/>
        </w:rPr>
        <w:t>56.14. Строки подання скарги на податкове повідомлення-рішення або будь-яке інше рішення контролюючого органу можуть бути продовжені за правилами і на підставах, визначених </w:t>
      </w:r>
      <w:hyperlink r:id="rId1224" w:anchor="n2298" w:history="1">
        <w:r w:rsidRPr="008B264B">
          <w:rPr>
            <w:rFonts w:ascii="Times New Roman" w:eastAsia="Times New Roman" w:hAnsi="Times New Roman" w:cs="Times New Roman"/>
            <w:color w:val="0000FF"/>
            <w:sz w:val="24"/>
            <w:szCs w:val="24"/>
            <w:u w:val="single"/>
            <w:lang/>
          </w:rPr>
          <w:t>пунктом 102.6</w:t>
        </w:r>
      </w:hyperlink>
      <w:r w:rsidRPr="008B264B">
        <w:rPr>
          <w:rFonts w:ascii="Times New Roman" w:eastAsia="Times New Roman" w:hAnsi="Times New Roman" w:cs="Times New Roman"/>
          <w:color w:val="000000"/>
          <w:sz w:val="24"/>
          <w:szCs w:val="24"/>
          <w:lang/>
        </w:rPr>
        <w:t> статті 102 цього Кодексу.</w:t>
      </w:r>
    </w:p>
    <w:p w14:paraId="1B4BAF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5" w:name="n1345"/>
      <w:bookmarkEnd w:id="2235"/>
      <w:r w:rsidRPr="008B264B">
        <w:rPr>
          <w:rFonts w:ascii="Times New Roman" w:eastAsia="Times New Roman" w:hAnsi="Times New Roman" w:cs="Times New Roman"/>
          <w:color w:val="000000"/>
          <w:sz w:val="24"/>
          <w:szCs w:val="24"/>
          <w:lang/>
        </w:rPr>
        <w:t>56.15. Скарга, подана із дотриманням строків, визначених </w:t>
      </w:r>
      <w:hyperlink r:id="rId1225" w:anchor="n1324" w:history="1">
        <w:r w:rsidRPr="008B264B">
          <w:rPr>
            <w:rFonts w:ascii="Times New Roman" w:eastAsia="Times New Roman" w:hAnsi="Times New Roman" w:cs="Times New Roman"/>
            <w:color w:val="0000FF"/>
            <w:sz w:val="24"/>
            <w:szCs w:val="24"/>
            <w:u w:val="single"/>
            <w:lang/>
          </w:rPr>
          <w:t>пунктом 56.3</w:t>
        </w:r>
      </w:hyperlink>
      <w:r w:rsidRPr="008B264B">
        <w:rPr>
          <w:rFonts w:ascii="Times New Roman" w:eastAsia="Times New Roman" w:hAnsi="Times New Roman" w:cs="Times New Roman"/>
          <w:color w:val="000000"/>
          <w:sz w:val="24"/>
          <w:szCs w:val="24"/>
          <w:lang/>
        </w:rPr>
        <w:t> цієї статті, зупиняє виконання платником податків грошових зобов'язань, визначених у податковому повідомленні-рішенні (рішенні), на строк від дня подання такої скарги до контролюючого органу до дня закінчення процедури адміністративного оскарження.</w:t>
      </w:r>
    </w:p>
    <w:p w14:paraId="418D34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6" w:name="n1346"/>
      <w:bookmarkEnd w:id="2236"/>
      <w:r w:rsidRPr="008B264B">
        <w:rPr>
          <w:rFonts w:ascii="Times New Roman" w:eastAsia="Times New Roman" w:hAnsi="Times New Roman" w:cs="Times New Roman"/>
          <w:color w:val="000000"/>
          <w:sz w:val="24"/>
          <w:szCs w:val="24"/>
          <w:lang/>
        </w:rPr>
        <w:t>Протягом зазначеного строку податкові вимоги з податку, що оскаржується, не надсилаються, а сума грошового зобов'язання, що оскаржується, вважається неузгодженою.</w:t>
      </w:r>
    </w:p>
    <w:p w14:paraId="611B98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7" w:name="n1347"/>
      <w:bookmarkEnd w:id="2237"/>
      <w:r w:rsidRPr="008B264B">
        <w:rPr>
          <w:rFonts w:ascii="Times New Roman" w:eastAsia="Times New Roman" w:hAnsi="Times New Roman" w:cs="Times New Roman"/>
          <w:color w:val="000000"/>
          <w:sz w:val="24"/>
          <w:szCs w:val="24"/>
          <w:lang/>
        </w:rPr>
        <w:t xml:space="preserve">56.16. Днем подання скарги вважається день фактичного отримання скарги відповідним контролюючим органом, а в разі надсилання скарги поштою - дата отримання відділенням поштового зв'язку від платника податків поштового відправлення із скаргою, яка зазначена </w:t>
      </w:r>
      <w:r w:rsidRPr="008B264B">
        <w:rPr>
          <w:rFonts w:ascii="Times New Roman" w:eastAsia="Times New Roman" w:hAnsi="Times New Roman" w:cs="Times New Roman"/>
          <w:color w:val="000000"/>
          <w:sz w:val="24"/>
          <w:szCs w:val="24"/>
          <w:lang/>
        </w:rPr>
        <w:lastRenderedPageBreak/>
        <w:t>відділенням поштового зв'язку в повідомленні про вручення поштового відправлення або на конверті.</w:t>
      </w:r>
    </w:p>
    <w:p w14:paraId="7AB856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8" w:name="n1348"/>
      <w:bookmarkEnd w:id="2238"/>
      <w:r w:rsidRPr="008B264B">
        <w:rPr>
          <w:rFonts w:ascii="Times New Roman" w:eastAsia="Times New Roman" w:hAnsi="Times New Roman" w:cs="Times New Roman"/>
          <w:color w:val="000000"/>
          <w:sz w:val="24"/>
          <w:szCs w:val="24"/>
          <w:lang/>
        </w:rPr>
        <w:t>56.17. Процедура адміністративного оскарження закінчується:</w:t>
      </w:r>
    </w:p>
    <w:p w14:paraId="0CE400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39" w:name="n1349"/>
      <w:bookmarkEnd w:id="2239"/>
      <w:r w:rsidRPr="008B264B">
        <w:rPr>
          <w:rFonts w:ascii="Times New Roman" w:eastAsia="Times New Roman" w:hAnsi="Times New Roman" w:cs="Times New Roman"/>
          <w:color w:val="000000"/>
          <w:sz w:val="24"/>
          <w:szCs w:val="24"/>
          <w:lang/>
        </w:rPr>
        <w:t>56.17.1. днем, наступним за останнім днем строку, передбаченого для подання скарги на податкове повідомлення-рішення або будь-яке інше рішення відповідного контролюючого органу у разі, коли така скарга не була подана у зазначений строк;</w:t>
      </w:r>
    </w:p>
    <w:p w14:paraId="220458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0" w:name="n1350"/>
      <w:bookmarkEnd w:id="2240"/>
      <w:r w:rsidRPr="008B264B">
        <w:rPr>
          <w:rFonts w:ascii="Times New Roman" w:eastAsia="Times New Roman" w:hAnsi="Times New Roman" w:cs="Times New Roman"/>
          <w:color w:val="000000"/>
          <w:sz w:val="24"/>
          <w:szCs w:val="24"/>
          <w:lang/>
        </w:rPr>
        <w:t>56.17.2. днем отримання платником податків рішення відповідного контролюючого органу про повне задоволення скарги;</w:t>
      </w:r>
    </w:p>
    <w:p w14:paraId="1BC59B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1" w:name="n1351"/>
      <w:bookmarkEnd w:id="2241"/>
      <w:r w:rsidRPr="008B264B">
        <w:rPr>
          <w:rFonts w:ascii="Times New Roman" w:eastAsia="Times New Roman" w:hAnsi="Times New Roman" w:cs="Times New Roman"/>
          <w:color w:val="000000"/>
          <w:sz w:val="24"/>
          <w:szCs w:val="24"/>
          <w:lang/>
        </w:rPr>
        <w:t>56.17.3. днем отримання платником податків рішення центрального органу виконавчої влади, що реалізує державну податкову і митну політику;</w:t>
      </w:r>
    </w:p>
    <w:p w14:paraId="06DEB6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2" w:name="n1352"/>
      <w:bookmarkEnd w:id="2242"/>
      <w:r w:rsidRPr="008B264B">
        <w:rPr>
          <w:rFonts w:ascii="Times New Roman" w:eastAsia="Times New Roman" w:hAnsi="Times New Roman" w:cs="Times New Roman"/>
          <w:i/>
          <w:iCs/>
          <w:color w:val="000000"/>
          <w:sz w:val="24"/>
          <w:szCs w:val="24"/>
          <w:lang/>
        </w:rPr>
        <w:t>{Підпункт 56.17.3 пункту 56.17 статті 56 із змінами, внесеними згідно з Законом </w:t>
      </w:r>
      <w:hyperlink r:id="rId1226" w:anchor="n8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1227" w:anchor="n143"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228"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0002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3" w:name="n1353"/>
      <w:bookmarkEnd w:id="2243"/>
      <w:r w:rsidRPr="008B264B">
        <w:rPr>
          <w:rFonts w:ascii="Times New Roman" w:eastAsia="Times New Roman" w:hAnsi="Times New Roman" w:cs="Times New Roman"/>
          <w:color w:val="000000"/>
          <w:sz w:val="24"/>
          <w:szCs w:val="24"/>
          <w:lang/>
        </w:rPr>
        <w:t>56.17.4. виключено;</w:t>
      </w:r>
    </w:p>
    <w:p w14:paraId="0073FD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4" w:name="n1354"/>
      <w:bookmarkEnd w:id="2244"/>
      <w:r w:rsidRPr="008B264B">
        <w:rPr>
          <w:rFonts w:ascii="Times New Roman" w:eastAsia="Times New Roman" w:hAnsi="Times New Roman" w:cs="Times New Roman"/>
          <w:color w:val="000000"/>
          <w:sz w:val="24"/>
          <w:szCs w:val="24"/>
          <w:lang/>
        </w:rPr>
        <w:t>56.17.5. днем звернення платника податків до контролюючого органу із заявою про розстрочення, відстрочення грошових зобов'язань, що оскаржувались.</w:t>
      </w:r>
    </w:p>
    <w:p w14:paraId="7CC05A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5" w:name="n1355"/>
      <w:bookmarkEnd w:id="2245"/>
      <w:r w:rsidRPr="008B264B">
        <w:rPr>
          <w:rFonts w:ascii="Times New Roman" w:eastAsia="Times New Roman" w:hAnsi="Times New Roman" w:cs="Times New Roman"/>
          <w:color w:val="000000"/>
          <w:sz w:val="24"/>
          <w:szCs w:val="24"/>
          <w:lang/>
        </w:rPr>
        <w:t>День закінчення процедури адміністративного оскарження вважається днем узгодження грошового зобов'язання платника податків.</w:t>
      </w:r>
    </w:p>
    <w:p w14:paraId="7A6D29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6" w:name="n1356"/>
      <w:bookmarkEnd w:id="2246"/>
      <w:r w:rsidRPr="008B264B">
        <w:rPr>
          <w:rFonts w:ascii="Times New Roman" w:eastAsia="Times New Roman" w:hAnsi="Times New Roman" w:cs="Times New Roman"/>
          <w:i/>
          <w:iCs/>
          <w:color w:val="000000"/>
          <w:sz w:val="24"/>
          <w:szCs w:val="24"/>
          <w:lang/>
        </w:rPr>
        <w:t>{Підпункт 56.17.5 пункту 56.17 статті 56 із змінами, внесеними згідно із Законом </w:t>
      </w:r>
      <w:hyperlink r:id="rId122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8E05B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7" w:name="n1357"/>
      <w:bookmarkEnd w:id="2247"/>
      <w:r w:rsidRPr="008B264B">
        <w:rPr>
          <w:rFonts w:ascii="Times New Roman" w:eastAsia="Times New Roman" w:hAnsi="Times New Roman" w:cs="Times New Roman"/>
          <w:color w:val="000000"/>
          <w:sz w:val="24"/>
          <w:szCs w:val="24"/>
          <w:lang/>
        </w:rPr>
        <w:t>56.18. З урахуванням строків давності, визначених </w:t>
      </w:r>
      <w:hyperlink r:id="rId1230"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платник податків має право оскаржити в суді податкове повідомлення - рішення або інше рішення контролюючого органу у будь-який момент після отримання такого рішення.</w:t>
      </w:r>
    </w:p>
    <w:p w14:paraId="621942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8" w:name="n9476"/>
      <w:bookmarkEnd w:id="2248"/>
      <w:r w:rsidRPr="008B264B">
        <w:rPr>
          <w:rFonts w:ascii="Times New Roman" w:eastAsia="Times New Roman" w:hAnsi="Times New Roman" w:cs="Times New Roman"/>
          <w:i/>
          <w:iCs/>
          <w:color w:val="000000"/>
          <w:sz w:val="24"/>
          <w:szCs w:val="24"/>
          <w:lang/>
        </w:rPr>
        <w:t>{Абзац перший пункту 56.18 статті 56 із змінами, внесеними згідно із Законом </w:t>
      </w:r>
      <w:hyperlink r:id="rId1231" w:anchor="n2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E2A2D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49" w:name="n1358"/>
      <w:bookmarkEnd w:id="2249"/>
      <w:r w:rsidRPr="008B264B">
        <w:rPr>
          <w:rFonts w:ascii="Times New Roman" w:eastAsia="Times New Roman" w:hAnsi="Times New Roman" w:cs="Times New Roman"/>
          <w:color w:val="000000"/>
          <w:sz w:val="24"/>
          <w:szCs w:val="24"/>
          <w:lang/>
        </w:rPr>
        <w:t>Рішення контролюючого органу, оскаржене в судовому порядку, не підлягає адміністративному оскарженню.</w:t>
      </w:r>
    </w:p>
    <w:p w14:paraId="332293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0" w:name="n1359"/>
      <w:bookmarkEnd w:id="2250"/>
      <w:r w:rsidRPr="008B264B">
        <w:rPr>
          <w:rFonts w:ascii="Times New Roman" w:eastAsia="Times New Roman" w:hAnsi="Times New Roman" w:cs="Times New Roman"/>
          <w:color w:val="000000"/>
          <w:sz w:val="24"/>
          <w:szCs w:val="24"/>
          <w:lang/>
        </w:rPr>
        <w:t>Процедура адміністративного оскарження вважається досудовим порядком вирішення спору.</w:t>
      </w:r>
    </w:p>
    <w:p w14:paraId="50740E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1" w:name="n1360"/>
      <w:bookmarkEnd w:id="2251"/>
      <w:r w:rsidRPr="008B264B">
        <w:rPr>
          <w:rFonts w:ascii="Times New Roman" w:eastAsia="Times New Roman" w:hAnsi="Times New Roman" w:cs="Times New Roman"/>
          <w:color w:val="000000"/>
          <w:sz w:val="24"/>
          <w:szCs w:val="24"/>
          <w:lang/>
        </w:rPr>
        <w:t>При зверненні платника податків до суду з позовом щодо визнання протиправним та/або скасування рішення контролюючого органу грошове зобов'язання вважається неузгодженим до дня набрання судовим рішенням законної сили.</w:t>
      </w:r>
    </w:p>
    <w:p w14:paraId="0F6385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2" w:name="n13856"/>
      <w:bookmarkEnd w:id="2252"/>
      <w:r w:rsidRPr="008B264B">
        <w:rPr>
          <w:rFonts w:ascii="Times New Roman" w:eastAsia="Times New Roman" w:hAnsi="Times New Roman" w:cs="Times New Roman"/>
          <w:i/>
          <w:iCs/>
          <w:color w:val="000000"/>
          <w:sz w:val="24"/>
          <w:szCs w:val="24"/>
          <w:lang/>
        </w:rPr>
        <w:t>{Абзац четвертий пункту 56.18 статті 56 із змінами, внесеними згідно із Законом </w:t>
      </w:r>
      <w:hyperlink r:id="rId1232" w:anchor="n52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7FB94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3" w:name="n1361"/>
      <w:bookmarkEnd w:id="2253"/>
      <w:r w:rsidRPr="008B264B">
        <w:rPr>
          <w:rFonts w:ascii="Times New Roman" w:eastAsia="Times New Roman" w:hAnsi="Times New Roman" w:cs="Times New Roman"/>
          <w:i/>
          <w:iCs/>
          <w:color w:val="000000"/>
          <w:sz w:val="24"/>
          <w:szCs w:val="24"/>
          <w:lang/>
        </w:rPr>
        <w:t>{Пункт 56.18 статті 56 в редакції Закону </w:t>
      </w:r>
      <w:hyperlink r:id="rId123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97E0C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4" w:name="n1362"/>
      <w:bookmarkEnd w:id="2254"/>
      <w:r w:rsidRPr="008B264B">
        <w:rPr>
          <w:rFonts w:ascii="Times New Roman" w:eastAsia="Times New Roman" w:hAnsi="Times New Roman" w:cs="Times New Roman"/>
          <w:color w:val="000000"/>
          <w:sz w:val="24"/>
          <w:szCs w:val="24"/>
          <w:lang/>
        </w:rPr>
        <w:t>56.19. У разі коли до подання позовної заяви проводилася процедура адміністративного оскарження, платник податків має право оскаржити в суді податкове повідомлення-рішення або інше рішення контролюючого органу про нарахування грошового зобов'язання протягом місяця, що настає за днем закінчення процедури адміністративного оскарження відповідно до </w:t>
      </w:r>
      <w:hyperlink r:id="rId1234" w:anchor="n1348" w:history="1">
        <w:r w:rsidRPr="008B264B">
          <w:rPr>
            <w:rFonts w:ascii="Times New Roman" w:eastAsia="Times New Roman" w:hAnsi="Times New Roman" w:cs="Times New Roman"/>
            <w:color w:val="0000FF"/>
            <w:sz w:val="24"/>
            <w:szCs w:val="24"/>
            <w:u w:val="single"/>
            <w:lang/>
          </w:rPr>
          <w:t>пункту 56.17</w:t>
        </w:r>
      </w:hyperlink>
      <w:r w:rsidRPr="008B264B">
        <w:rPr>
          <w:rFonts w:ascii="Times New Roman" w:eastAsia="Times New Roman" w:hAnsi="Times New Roman" w:cs="Times New Roman"/>
          <w:color w:val="000000"/>
          <w:sz w:val="24"/>
          <w:szCs w:val="24"/>
          <w:lang/>
        </w:rPr>
        <w:t> цієї статті.</w:t>
      </w:r>
    </w:p>
    <w:p w14:paraId="43B86E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5" w:name="n1363"/>
      <w:bookmarkEnd w:id="2255"/>
      <w:r w:rsidRPr="008B264B">
        <w:rPr>
          <w:rFonts w:ascii="Times New Roman" w:eastAsia="Times New Roman" w:hAnsi="Times New Roman" w:cs="Times New Roman"/>
          <w:color w:val="000000"/>
          <w:sz w:val="24"/>
          <w:szCs w:val="24"/>
          <w:lang/>
        </w:rPr>
        <w:t>56.20. Вимоги до оформлення скарги, порядок подання та розгляду скарг встановлюється центральним органом виконавчої влади, що забезпечує формування та реалізує державну фінансову політику.</w:t>
      </w:r>
    </w:p>
    <w:p w14:paraId="15764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6" w:name="n1364"/>
      <w:bookmarkEnd w:id="2256"/>
      <w:r w:rsidRPr="008B264B">
        <w:rPr>
          <w:rFonts w:ascii="Times New Roman" w:eastAsia="Times New Roman" w:hAnsi="Times New Roman" w:cs="Times New Roman"/>
          <w:i/>
          <w:iCs/>
          <w:color w:val="000000"/>
          <w:sz w:val="24"/>
          <w:szCs w:val="24"/>
          <w:lang/>
        </w:rPr>
        <w:lastRenderedPageBreak/>
        <w:t>{Пункт 56.20 статті 56 із змінами, внесеними згідно з Законами </w:t>
      </w:r>
      <w:hyperlink r:id="rId1235" w:anchor="n8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23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4E257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7" w:name="n1365"/>
      <w:bookmarkEnd w:id="2257"/>
      <w:r w:rsidRPr="008B264B">
        <w:rPr>
          <w:rFonts w:ascii="Times New Roman" w:eastAsia="Times New Roman" w:hAnsi="Times New Roman" w:cs="Times New Roman"/>
          <w:color w:val="000000"/>
          <w:sz w:val="24"/>
          <w:szCs w:val="24"/>
          <w:lang/>
        </w:rPr>
        <w:t>56.21. У разі коли норма цього Кодексу чи іншого нормативно-правового акта, виданого на підставі цього Кодексу, або коли норми різних законів чи різних нормативно-правових актів, або коли норми одного і того ж нормативно-правового акта суперечать між собою та припускають неоднозначне (множинне) трактування прав та обов'язків платників податків або контролюючих органів, внаслідок чого є можливість прийняти рішення на користь як платника податків, так і контролюючого органу, рішення приймається на користь платника податків.</w:t>
      </w:r>
    </w:p>
    <w:p w14:paraId="2A5341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8" w:name="n1366"/>
      <w:bookmarkEnd w:id="2258"/>
      <w:r w:rsidRPr="008B264B">
        <w:rPr>
          <w:rFonts w:ascii="Times New Roman" w:eastAsia="Times New Roman" w:hAnsi="Times New Roman" w:cs="Times New Roman"/>
          <w:i/>
          <w:iCs/>
          <w:color w:val="000000"/>
          <w:sz w:val="24"/>
          <w:szCs w:val="24"/>
          <w:lang/>
        </w:rPr>
        <w:t>{Пункт 56.21 статті 56 із змінами, внесеними згідно із Законом </w:t>
      </w:r>
      <w:hyperlink r:id="rId123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707FD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59" w:name="n1367"/>
      <w:bookmarkEnd w:id="2259"/>
      <w:r w:rsidRPr="008B264B">
        <w:rPr>
          <w:rFonts w:ascii="Times New Roman" w:eastAsia="Times New Roman" w:hAnsi="Times New Roman" w:cs="Times New Roman"/>
          <w:color w:val="000000"/>
          <w:sz w:val="24"/>
          <w:szCs w:val="24"/>
          <w:lang/>
        </w:rPr>
        <w:t>56.22. Якщо платник податків оскаржує рішення контролюючого органу в адміністративному порядку та/або до суду, повідомлення особі про підозру у вчиненні кримінального правопорушення щодо ухилення від сплати податків не може ґрунтуватися виключно на цьому рішенні контролюючого органу до закінчення процедури адміністративного оскарження або до остаточного вирішення справи судом.</w:t>
      </w:r>
    </w:p>
    <w:p w14:paraId="688E0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0" w:name="n8794"/>
      <w:bookmarkEnd w:id="2260"/>
      <w:r w:rsidRPr="008B264B">
        <w:rPr>
          <w:rFonts w:ascii="Times New Roman" w:eastAsia="Times New Roman" w:hAnsi="Times New Roman" w:cs="Times New Roman"/>
          <w:i/>
          <w:iCs/>
          <w:color w:val="000000"/>
          <w:sz w:val="24"/>
          <w:szCs w:val="24"/>
          <w:lang/>
        </w:rPr>
        <w:t>{Абзац перший пункту 56.22 статті 56 в редакції Закону </w:t>
      </w:r>
      <w:hyperlink r:id="rId1238" w:anchor="n14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BA9F8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1" w:name="n1368"/>
      <w:bookmarkEnd w:id="2261"/>
      <w:r w:rsidRPr="008B264B">
        <w:rPr>
          <w:rFonts w:ascii="Times New Roman" w:eastAsia="Times New Roman" w:hAnsi="Times New Roman" w:cs="Times New Roman"/>
          <w:color w:val="000000"/>
          <w:sz w:val="24"/>
          <w:szCs w:val="24"/>
          <w:lang/>
        </w:rPr>
        <w:t>Початок досудового розслідування стосовно платника податків або повідомлення про підозру у вчиненні кримінального правопорушення його службовим (посадовим) особам не може бути підставою для зупинення провадження у справі або залишення без розгляду скарги (позову) такого платника податків, поданої до суду в межах процедури оскарження рішень контролюючих органів.</w:t>
      </w:r>
    </w:p>
    <w:p w14:paraId="32A07A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2" w:name="n8795"/>
      <w:bookmarkEnd w:id="2262"/>
      <w:r w:rsidRPr="008B264B">
        <w:rPr>
          <w:rFonts w:ascii="Times New Roman" w:eastAsia="Times New Roman" w:hAnsi="Times New Roman" w:cs="Times New Roman"/>
          <w:i/>
          <w:iCs/>
          <w:color w:val="000000"/>
          <w:sz w:val="24"/>
          <w:szCs w:val="24"/>
          <w:lang/>
        </w:rPr>
        <w:t>{Абзац другий пункту 56.22 статті 56 із змінами, внесеними згідно із Законом </w:t>
      </w:r>
      <w:hyperlink r:id="rId1239" w:anchor="n14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519023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3" w:name="n1369"/>
      <w:bookmarkEnd w:id="2263"/>
      <w:r w:rsidRPr="008B264B">
        <w:rPr>
          <w:rFonts w:ascii="Times New Roman" w:eastAsia="Times New Roman" w:hAnsi="Times New Roman" w:cs="Times New Roman"/>
          <w:i/>
          <w:iCs/>
          <w:color w:val="000000"/>
          <w:sz w:val="24"/>
          <w:szCs w:val="24"/>
          <w:lang/>
        </w:rPr>
        <w:t>{Пункт 56.22 статті 56 із змінами, внесеними згідно із Законом </w:t>
      </w:r>
      <w:hyperlink r:id="rId124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1241" w:anchor="n7"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w:t>
      </w:r>
    </w:p>
    <w:p w14:paraId="21A09D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4" w:name="n13858"/>
      <w:bookmarkEnd w:id="2264"/>
      <w:r w:rsidRPr="008B264B">
        <w:rPr>
          <w:rFonts w:ascii="Times New Roman" w:eastAsia="Times New Roman" w:hAnsi="Times New Roman" w:cs="Times New Roman"/>
          <w:color w:val="000000"/>
          <w:sz w:val="24"/>
          <w:szCs w:val="24"/>
          <w:lang/>
        </w:rPr>
        <w:t>56.23. Оскарження рішення про відмову у реєстрації </w:t>
      </w:r>
      <w:hyperlink r:id="rId1242"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здійснюється у порядку, визначеному цією статтею з урахуванням таких особливостей:</w:t>
      </w:r>
    </w:p>
    <w:p w14:paraId="29CFC2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5" w:name="n13859"/>
      <w:bookmarkEnd w:id="2265"/>
      <w:r w:rsidRPr="008B264B">
        <w:rPr>
          <w:rFonts w:ascii="Times New Roman" w:eastAsia="Times New Roman" w:hAnsi="Times New Roman" w:cs="Times New Roman"/>
          <w:color w:val="000000"/>
          <w:sz w:val="24"/>
          <w:szCs w:val="24"/>
          <w:lang/>
        </w:rPr>
        <w:t>56.23.1 скарга на рішення про відмову у реєстрації </w:t>
      </w:r>
      <w:hyperlink r:id="rId1243"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подається до центрального органу виконавчої влади, що реалізує державну податкову і митну політику;</w:t>
      </w:r>
    </w:p>
    <w:p w14:paraId="225C48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6" w:name="n13860"/>
      <w:bookmarkEnd w:id="2266"/>
      <w:r w:rsidRPr="008B264B">
        <w:rPr>
          <w:rFonts w:ascii="Times New Roman" w:eastAsia="Times New Roman" w:hAnsi="Times New Roman" w:cs="Times New Roman"/>
          <w:color w:val="000000"/>
          <w:sz w:val="24"/>
          <w:szCs w:val="24"/>
          <w:lang/>
        </w:rPr>
        <w:t>56.23.2 скарга на рішення про відмову у реєстрації </w:t>
      </w:r>
      <w:hyperlink r:id="rId1244"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розглядається в </w:t>
      </w:r>
      <w:hyperlink r:id="rId1245" w:anchor="n8"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Кабінетом Міністрів України, комісією центрального органу виконавчої влади, що реалізує державну податкову і митну політику, за участі уповноваженої особи центрального органу виконавчої влади, що забезпечує формування та реалізує державну фінансову політику;</w:t>
      </w:r>
    </w:p>
    <w:p w14:paraId="4945E2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7" w:name="n13861"/>
      <w:bookmarkEnd w:id="2267"/>
      <w:r w:rsidRPr="008B264B">
        <w:rPr>
          <w:rFonts w:ascii="Times New Roman" w:eastAsia="Times New Roman" w:hAnsi="Times New Roman" w:cs="Times New Roman"/>
          <w:color w:val="000000"/>
          <w:sz w:val="24"/>
          <w:szCs w:val="24"/>
          <w:lang/>
        </w:rPr>
        <w:t>56.23.3 скарга на рішення про відмову у реєстрації </w:t>
      </w:r>
      <w:hyperlink r:id="rId1246"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розглядається протягом 10 календарних днів з дня отримання такої скарги центральним органом виконавчої влади, що реалізує державну податкову і митну політику. Термін розгляду скарги не може бути продовженим;</w:t>
      </w:r>
    </w:p>
    <w:p w14:paraId="19106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8" w:name="n13862"/>
      <w:bookmarkEnd w:id="2268"/>
      <w:r w:rsidRPr="008B264B">
        <w:rPr>
          <w:rFonts w:ascii="Times New Roman" w:eastAsia="Times New Roman" w:hAnsi="Times New Roman" w:cs="Times New Roman"/>
          <w:color w:val="000000"/>
          <w:sz w:val="24"/>
          <w:szCs w:val="24"/>
          <w:lang/>
        </w:rPr>
        <w:t>56.23.4 якщо вмотивоване рішення за скаргою платника податків на рішення про відмову у реєстрації </w:t>
      </w:r>
      <w:hyperlink r:id="rId1247"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не надсилається платнику податків протягом 10-денного строку, така скарга вважається повністю задоволеною на користь платника податків з дня, наступного за останнім днем зазначеного строку.</w:t>
      </w:r>
    </w:p>
    <w:p w14:paraId="268896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69" w:name="n13857"/>
      <w:bookmarkEnd w:id="2269"/>
      <w:r w:rsidRPr="008B264B">
        <w:rPr>
          <w:rFonts w:ascii="Times New Roman" w:eastAsia="Times New Roman" w:hAnsi="Times New Roman" w:cs="Times New Roman"/>
          <w:i/>
          <w:iCs/>
          <w:color w:val="000000"/>
          <w:sz w:val="24"/>
          <w:szCs w:val="24"/>
          <w:lang/>
        </w:rPr>
        <w:t>{Статтю 56 доповнено пунктом 56.23 згідно із Законом </w:t>
      </w:r>
      <w:hyperlink r:id="rId1248" w:anchor="n52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0986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0" w:name="n1370"/>
      <w:bookmarkEnd w:id="2270"/>
      <w:r w:rsidRPr="008B264B">
        <w:rPr>
          <w:rFonts w:ascii="Times New Roman" w:eastAsia="Times New Roman" w:hAnsi="Times New Roman" w:cs="Times New Roman"/>
          <w:b/>
          <w:bCs/>
          <w:color w:val="000000"/>
          <w:sz w:val="24"/>
          <w:szCs w:val="24"/>
          <w:lang/>
        </w:rPr>
        <w:t>Стаття 57.</w:t>
      </w:r>
      <w:r w:rsidRPr="008B264B">
        <w:rPr>
          <w:rFonts w:ascii="Times New Roman" w:eastAsia="Times New Roman" w:hAnsi="Times New Roman" w:cs="Times New Roman"/>
          <w:color w:val="000000"/>
          <w:sz w:val="24"/>
          <w:szCs w:val="24"/>
          <w:lang/>
        </w:rPr>
        <w:t> Строки сплати податкового зобов'язання</w:t>
      </w:r>
    </w:p>
    <w:p w14:paraId="4575D4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1" w:name="n1371"/>
      <w:bookmarkEnd w:id="2271"/>
      <w:r w:rsidRPr="008B264B">
        <w:rPr>
          <w:rFonts w:ascii="Times New Roman" w:eastAsia="Times New Roman" w:hAnsi="Times New Roman" w:cs="Times New Roman"/>
          <w:color w:val="000000"/>
          <w:sz w:val="24"/>
          <w:szCs w:val="24"/>
          <w:lang/>
        </w:rPr>
        <w:lastRenderedPageBreak/>
        <w:t>57.1. Платник податків зобов’язаний самостійно сплатити суму податкового зобов’язання, зазначену у поданій ним податковій декларації, протягом 10 календарних днів, що настають за останнім днем відповідного граничного строку, передбаченого цим Кодексом для подання податкової декларації, крім випадків, встановлених цим Кодексом.</w:t>
      </w:r>
    </w:p>
    <w:p w14:paraId="545A2D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2" w:name="n10527"/>
      <w:bookmarkEnd w:id="2272"/>
      <w:r w:rsidRPr="008B264B">
        <w:rPr>
          <w:rFonts w:ascii="Times New Roman" w:eastAsia="Times New Roman" w:hAnsi="Times New Roman" w:cs="Times New Roman"/>
          <w:color w:val="000000"/>
          <w:sz w:val="24"/>
          <w:szCs w:val="24"/>
          <w:lang/>
        </w:rPr>
        <w:t>Податковий агент зобов’язаний сплатити суму податкового зобов’язання (суму нарахованого (утриманого) податку), самостійно визначеного ним з доходу, що виплачується на користь платника податку - фізичної особи та за рахунок такої виплати, у строки, передбачені цим Кодексом.</w:t>
      </w:r>
    </w:p>
    <w:p w14:paraId="2283D4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3" w:name="n10528"/>
      <w:bookmarkEnd w:id="2273"/>
      <w:r w:rsidRPr="008B264B">
        <w:rPr>
          <w:rFonts w:ascii="Times New Roman" w:eastAsia="Times New Roman" w:hAnsi="Times New Roman" w:cs="Times New Roman"/>
          <w:color w:val="000000"/>
          <w:sz w:val="24"/>
          <w:szCs w:val="24"/>
          <w:lang/>
        </w:rPr>
        <w:t>Суму податкового зобов’язання, визначену у митній декларації, платник податків зобов’язаний сплатити до/або на день подання митної декларації.</w:t>
      </w:r>
    </w:p>
    <w:p w14:paraId="368A0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4" w:name="n10529"/>
      <w:bookmarkEnd w:id="2274"/>
      <w:r w:rsidRPr="008B264B">
        <w:rPr>
          <w:rFonts w:ascii="Times New Roman" w:eastAsia="Times New Roman" w:hAnsi="Times New Roman" w:cs="Times New Roman"/>
          <w:i/>
          <w:iCs/>
          <w:color w:val="000000"/>
          <w:sz w:val="24"/>
          <w:szCs w:val="24"/>
          <w:lang/>
        </w:rPr>
        <w:t>{Абзац четвертий пункту 57.1 статті 57 виключено на підставі Закону </w:t>
      </w:r>
      <w:hyperlink r:id="rId1249"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7550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5" w:name="n10530"/>
      <w:bookmarkEnd w:id="2275"/>
      <w:r w:rsidRPr="008B264B">
        <w:rPr>
          <w:rFonts w:ascii="Times New Roman" w:eastAsia="Times New Roman" w:hAnsi="Times New Roman" w:cs="Times New Roman"/>
          <w:i/>
          <w:iCs/>
          <w:color w:val="000000"/>
          <w:sz w:val="24"/>
          <w:szCs w:val="24"/>
          <w:lang/>
        </w:rPr>
        <w:t>{Абзац п'ятий пункту 57.1 статті 57 виключено на підставі Закону </w:t>
      </w:r>
      <w:hyperlink r:id="rId1250"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31004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6" w:name="n10531"/>
      <w:bookmarkEnd w:id="2276"/>
      <w:r w:rsidRPr="008B264B">
        <w:rPr>
          <w:rFonts w:ascii="Times New Roman" w:eastAsia="Times New Roman" w:hAnsi="Times New Roman" w:cs="Times New Roman"/>
          <w:i/>
          <w:iCs/>
          <w:color w:val="000000"/>
          <w:sz w:val="24"/>
          <w:szCs w:val="24"/>
          <w:lang/>
        </w:rPr>
        <w:t>{Абзац шостий пункту 57.1 статті 57 виключено на підставі Закону </w:t>
      </w:r>
      <w:hyperlink r:id="rId1251"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89885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7" w:name="n10532"/>
      <w:bookmarkEnd w:id="2277"/>
      <w:r w:rsidRPr="008B264B">
        <w:rPr>
          <w:rFonts w:ascii="Times New Roman" w:eastAsia="Times New Roman" w:hAnsi="Times New Roman" w:cs="Times New Roman"/>
          <w:i/>
          <w:iCs/>
          <w:color w:val="000000"/>
          <w:sz w:val="24"/>
          <w:szCs w:val="24"/>
          <w:lang/>
        </w:rPr>
        <w:t>{Абзац сьомий пункту 57.1 статті 57 виключено на підставі Закону </w:t>
      </w:r>
      <w:hyperlink r:id="rId1252"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E42B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8" w:name="n10533"/>
      <w:bookmarkEnd w:id="2278"/>
      <w:r w:rsidRPr="008B264B">
        <w:rPr>
          <w:rFonts w:ascii="Times New Roman" w:eastAsia="Times New Roman" w:hAnsi="Times New Roman" w:cs="Times New Roman"/>
          <w:i/>
          <w:iCs/>
          <w:color w:val="000000"/>
          <w:sz w:val="24"/>
          <w:szCs w:val="24"/>
          <w:lang/>
        </w:rPr>
        <w:t>{Абзац восьмий пункту 57.1 статті 57 виключено на підставі Закону </w:t>
      </w:r>
      <w:hyperlink r:id="rId1253"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FF8DB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79" w:name="n12531"/>
      <w:bookmarkEnd w:id="2279"/>
      <w:r w:rsidRPr="008B264B">
        <w:rPr>
          <w:rFonts w:ascii="Times New Roman" w:eastAsia="Times New Roman" w:hAnsi="Times New Roman" w:cs="Times New Roman"/>
          <w:i/>
          <w:iCs/>
          <w:color w:val="000000"/>
          <w:sz w:val="24"/>
          <w:szCs w:val="24"/>
          <w:lang/>
        </w:rPr>
        <w:t>{Абзац дев'ятий пункту 57.1 статті 57 виключено на підставі Закону </w:t>
      </w:r>
      <w:hyperlink r:id="rId1254"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90B71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0" w:name="n10534"/>
      <w:bookmarkEnd w:id="2280"/>
      <w:r w:rsidRPr="008B264B">
        <w:rPr>
          <w:rFonts w:ascii="Times New Roman" w:eastAsia="Times New Roman" w:hAnsi="Times New Roman" w:cs="Times New Roman"/>
          <w:i/>
          <w:iCs/>
          <w:color w:val="000000"/>
          <w:sz w:val="24"/>
          <w:szCs w:val="24"/>
          <w:lang/>
        </w:rPr>
        <w:t>{Абзац десятий пункту 57.1 статті 57 виключено на підставі Закону </w:t>
      </w:r>
      <w:hyperlink r:id="rId1255"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70D83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1" w:name="n10535"/>
      <w:bookmarkEnd w:id="2281"/>
      <w:r w:rsidRPr="008B264B">
        <w:rPr>
          <w:rFonts w:ascii="Times New Roman" w:eastAsia="Times New Roman" w:hAnsi="Times New Roman" w:cs="Times New Roman"/>
          <w:i/>
          <w:iCs/>
          <w:color w:val="000000"/>
          <w:sz w:val="24"/>
          <w:szCs w:val="24"/>
          <w:lang/>
        </w:rPr>
        <w:t>{Абзац одинадцятий пункту 57.1 статті 57 виключено на підставі Закону </w:t>
      </w:r>
      <w:hyperlink r:id="rId1256"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C8A17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2" w:name="n10536"/>
      <w:bookmarkEnd w:id="2282"/>
      <w:r w:rsidRPr="008B264B">
        <w:rPr>
          <w:rFonts w:ascii="Times New Roman" w:eastAsia="Times New Roman" w:hAnsi="Times New Roman" w:cs="Times New Roman"/>
          <w:i/>
          <w:iCs/>
          <w:color w:val="000000"/>
          <w:sz w:val="24"/>
          <w:szCs w:val="24"/>
          <w:lang/>
        </w:rPr>
        <w:t>{Абзац дванадцятий пункту 57.1 статті 57 виключено на підставі Закону </w:t>
      </w:r>
      <w:hyperlink r:id="rId1257" w:anchor="n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8ACAB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3" w:name="n10526"/>
      <w:bookmarkEnd w:id="2283"/>
      <w:r w:rsidRPr="008B264B">
        <w:rPr>
          <w:rFonts w:ascii="Times New Roman" w:eastAsia="Times New Roman" w:hAnsi="Times New Roman" w:cs="Times New Roman"/>
          <w:i/>
          <w:iCs/>
          <w:color w:val="000000"/>
          <w:sz w:val="24"/>
          <w:szCs w:val="24"/>
          <w:lang/>
        </w:rPr>
        <w:t>{Пункт 57.1 статті 57 із змінами, внесеними згідно із Законами </w:t>
      </w:r>
      <w:hyperlink r:id="rId125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259" w:anchor="n9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260" w:anchor="n7" w:tgtFrame="_blank" w:history="1">
        <w:r w:rsidRPr="008B264B">
          <w:rPr>
            <w:rFonts w:ascii="Times New Roman" w:eastAsia="Times New Roman" w:hAnsi="Times New Roman" w:cs="Times New Roman"/>
            <w:i/>
            <w:iCs/>
            <w:color w:val="0000FF"/>
            <w:sz w:val="24"/>
            <w:szCs w:val="24"/>
            <w:u w:val="single"/>
            <w:lang/>
          </w:rPr>
          <w:t>№ 403-VII від 04.07.2013</w:t>
        </w:r>
      </w:hyperlink>
      <w:r w:rsidRPr="008B264B">
        <w:rPr>
          <w:rFonts w:ascii="Times New Roman" w:eastAsia="Times New Roman" w:hAnsi="Times New Roman" w:cs="Times New Roman"/>
          <w:i/>
          <w:iCs/>
          <w:color w:val="000000"/>
          <w:sz w:val="24"/>
          <w:szCs w:val="24"/>
          <w:lang/>
        </w:rPr>
        <w:t>; в редакції Закону </w:t>
      </w:r>
      <w:hyperlink r:id="rId1261" w:anchor="n1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33884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4" w:name="n10538"/>
      <w:bookmarkEnd w:id="2284"/>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Порядок сплати податкового зобов’язання з податку на прибуток при виплаті дивідендів</w:t>
      </w:r>
    </w:p>
    <w:p w14:paraId="6A48CC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5" w:name="n10539"/>
      <w:bookmarkEnd w:id="2285"/>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У разі прийняття рішення щодо виплати дивідендів платник податку на прибуток - емітент корпоративних прав, на які нараховуються дивіденди, проводить зазначені виплати власнику таких корпоративних прав незалежно від того, чи є оподатковуваний прибуток, розрахований за правилами, визначеними статтею 137 цього Кодексу.</w:t>
      </w:r>
    </w:p>
    <w:p w14:paraId="05DA51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6" w:name="n10540"/>
      <w:bookmarkEnd w:id="2286"/>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Крім випадків, передбачених підпунктом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цього пункту, емітент корпоративних прав, який приймає рішення про виплату дивідендів своїм акціонерам (власникам), нараховує та вносить до бюджету авансовий внесок із податку на прибуток.</w:t>
      </w:r>
    </w:p>
    <w:p w14:paraId="2367E1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7" w:name="n10541"/>
      <w:bookmarkEnd w:id="2287"/>
      <w:r w:rsidRPr="008B264B">
        <w:rPr>
          <w:rFonts w:ascii="Times New Roman" w:eastAsia="Times New Roman" w:hAnsi="Times New Roman" w:cs="Times New Roman"/>
          <w:color w:val="000000"/>
          <w:sz w:val="24"/>
          <w:szCs w:val="24"/>
          <w:lang/>
        </w:rPr>
        <w:t>Авансовий внесок розраховується з суми перевищення дивідендів, що підлягають виплаті, над значенням об’єкта оподаткування за відповідний податковий (звітний) рік, за результатами якого виплачуються дивіденди, грошове зобов’язання щодо якого погашене. У разі наявності непогашеного грошового зобов’язання авансовий внесок розраховується зі всієї суми дивідендів, що підлягають виплаті. Авансовий внесок обчислюється за ставкою, встановленою пунктом 136.1 статті 136 цього Кодексу. Сума дивідендів, що підлягає виплаті, не зменшується на суму авансового внеску.</w:t>
      </w:r>
    </w:p>
    <w:p w14:paraId="6353AA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8" w:name="n10542"/>
      <w:bookmarkEnd w:id="2288"/>
      <w:r w:rsidRPr="008B264B">
        <w:rPr>
          <w:rFonts w:ascii="Times New Roman" w:eastAsia="Times New Roman" w:hAnsi="Times New Roman" w:cs="Times New Roman"/>
          <w:color w:val="000000"/>
          <w:sz w:val="24"/>
          <w:szCs w:val="24"/>
          <w:lang/>
        </w:rPr>
        <w:lastRenderedPageBreak/>
        <w:t>При цьому у разі якщо дивіденди виплачуються за неповний календарний рік, то для обрахунку суми зазначеного перевищення використовується значення об’єкту оподаткування, обчислене пропорційно кількості місяців, за які сплачуються дивіденди. Зазначений авансовий внесок вноситься до бюджету до/або одночасно з виплатою дивідендів.</w:t>
      </w:r>
    </w:p>
    <w:p w14:paraId="1BCC4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89" w:name="n10543"/>
      <w:bookmarkEnd w:id="2289"/>
      <w:r w:rsidRPr="008B264B">
        <w:rPr>
          <w:rFonts w:ascii="Times New Roman" w:eastAsia="Times New Roman" w:hAnsi="Times New Roman" w:cs="Times New Roman"/>
          <w:color w:val="000000"/>
          <w:sz w:val="24"/>
          <w:szCs w:val="24"/>
          <w:lang/>
        </w:rPr>
        <w:t>Сума попередньо сплачених протягом податкового (звітного) періоду авансових внесків з податку на прибуток під час виплати дивідендів підлягає зарахуванню у зменшення нарахованого податкового зобов’язання з податку на прибуток, задекларованого у </w:t>
      </w:r>
      <w:hyperlink r:id="rId1262" w:anchor="n20" w:tgtFrame="_blank" w:history="1">
        <w:r w:rsidRPr="008B264B">
          <w:rPr>
            <w:rFonts w:ascii="Times New Roman" w:eastAsia="Times New Roman" w:hAnsi="Times New Roman" w:cs="Times New Roman"/>
            <w:color w:val="0000FF"/>
            <w:sz w:val="24"/>
            <w:szCs w:val="24"/>
            <w:u w:val="single"/>
            <w:lang/>
          </w:rPr>
          <w:t>податковій декларації</w:t>
        </w:r>
      </w:hyperlink>
      <w:r w:rsidRPr="008B264B">
        <w:rPr>
          <w:rFonts w:ascii="Times New Roman" w:eastAsia="Times New Roman" w:hAnsi="Times New Roman" w:cs="Times New Roman"/>
          <w:color w:val="000000"/>
          <w:sz w:val="24"/>
          <w:szCs w:val="24"/>
          <w:lang/>
        </w:rPr>
        <w:t> за такий податковий (звітний) період.</w:t>
      </w:r>
    </w:p>
    <w:p w14:paraId="06221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0" w:name="n13863"/>
      <w:bookmarkEnd w:id="2290"/>
      <w:r w:rsidRPr="008B264B">
        <w:rPr>
          <w:rFonts w:ascii="Times New Roman" w:eastAsia="Times New Roman" w:hAnsi="Times New Roman" w:cs="Times New Roman"/>
          <w:i/>
          <w:iCs/>
          <w:color w:val="000000"/>
          <w:sz w:val="24"/>
          <w:szCs w:val="24"/>
          <w:lang/>
        </w:rPr>
        <w:t>{Абзац четвертий підпункту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в редакції Закону </w:t>
      </w:r>
      <w:hyperlink r:id="rId1263" w:anchor="n5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01C7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1" w:name="n13865"/>
      <w:bookmarkEnd w:id="2291"/>
      <w:r w:rsidRPr="008B264B">
        <w:rPr>
          <w:rFonts w:ascii="Times New Roman" w:eastAsia="Times New Roman" w:hAnsi="Times New Roman" w:cs="Times New Roman"/>
          <w:color w:val="000000"/>
          <w:sz w:val="24"/>
          <w:szCs w:val="24"/>
          <w:lang/>
        </w:rPr>
        <w:t>У разі якщо сума авансового внеску, попередньо сплаченого протягом звітного періоду, перевищує суму нарахованого податкового зобов’язання підприємством - емітентом корпоративних прав за такий податковий (звітний) період, сума такого перевищення переноситься у зменшення податкових зобов’язань наступних податкових (звітних) періодів до повного його погашення, а під час отримання від’ємного значення об’єкта оподаткування такого наступного періоду - на зменшення податкових зобов’язань майбутніх податкових (звітних) періодів до повного його погашення.</w:t>
      </w:r>
    </w:p>
    <w:p w14:paraId="335321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2" w:name="n13864"/>
      <w:bookmarkEnd w:id="2292"/>
      <w:r w:rsidRPr="008B264B">
        <w:rPr>
          <w:rFonts w:ascii="Times New Roman" w:eastAsia="Times New Roman" w:hAnsi="Times New Roman" w:cs="Times New Roman"/>
          <w:i/>
          <w:iCs/>
          <w:color w:val="000000"/>
          <w:sz w:val="24"/>
          <w:szCs w:val="24"/>
          <w:lang/>
        </w:rPr>
        <w:t>{Підпункт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доповнено новим абзацом згідно із Законом </w:t>
      </w:r>
      <w:hyperlink r:id="rId1264" w:anchor="n5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29F1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3" w:name="n10544"/>
      <w:bookmarkEnd w:id="2293"/>
      <w:r w:rsidRPr="008B264B">
        <w:rPr>
          <w:rFonts w:ascii="Times New Roman" w:eastAsia="Times New Roman" w:hAnsi="Times New Roman" w:cs="Times New Roman"/>
          <w:color w:val="000000"/>
          <w:sz w:val="24"/>
          <w:szCs w:val="24"/>
          <w:lang/>
        </w:rPr>
        <w:t>Сума сплачених авансових внесків з податку на прибуток при виплаті дивідендів не підлягає поверненню платнику податків або зарахуванню в рахунок погашення грошових зобов’язань з інших податків і зборів (обов’язкових платежів).</w:t>
      </w:r>
    </w:p>
    <w:p w14:paraId="3F24D2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4" w:name="n10545"/>
      <w:bookmarkEnd w:id="2294"/>
      <w:r w:rsidRPr="008B264B">
        <w:rPr>
          <w:rFonts w:ascii="Times New Roman" w:eastAsia="Times New Roman" w:hAnsi="Times New Roman" w:cs="Times New Roman"/>
          <w:color w:val="000000"/>
          <w:sz w:val="24"/>
          <w:szCs w:val="24"/>
          <w:lang/>
        </w:rPr>
        <w:t>У разі виплати дивідендів у формі, відмінній від грошової (крім випадків, передбачених підпунктом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цього пункту), базою для нарахування авансового внеску згідно з абзацами першим та другим цього підпункту є вартість такої виплати, визначена у рішенні про виплату дивідендів, або вартість такої виплати, розрахована відповідно до принципу "витягнутої руки" в операціях, визнаних відповідно до статті 39 цього Кодексу контрольованими. Обов’язок з нарахування та сплати авансового внеску з податку за визначеною </w:t>
      </w:r>
      <w:hyperlink r:id="rId1265" w:anchor="n10643" w:history="1">
        <w:r w:rsidRPr="008B264B">
          <w:rPr>
            <w:rFonts w:ascii="Times New Roman" w:eastAsia="Times New Roman" w:hAnsi="Times New Roman" w:cs="Times New Roman"/>
            <w:color w:val="0000FF"/>
            <w:sz w:val="24"/>
            <w:szCs w:val="24"/>
            <w:u w:val="single"/>
            <w:lang/>
          </w:rPr>
          <w:t>пунктом 136.1</w:t>
        </w:r>
      </w:hyperlink>
      <w:r w:rsidRPr="008B264B">
        <w:rPr>
          <w:rFonts w:ascii="Times New Roman" w:eastAsia="Times New Roman" w:hAnsi="Times New Roman" w:cs="Times New Roman"/>
          <w:color w:val="000000"/>
          <w:sz w:val="24"/>
          <w:szCs w:val="24"/>
          <w:lang/>
        </w:rPr>
        <w:t> статті 136 цього Кодексу ставкою покладається на будь-якого емітента корпоративних прав (крім платників єдиного податку), що є резидентом, незалежно від того, чи користується такий емітент пільгами із сплати податку, передбаченими цим Кодексом, чи у вигляді застосування ставки податку іншої, ніж встановлена </w:t>
      </w:r>
      <w:hyperlink r:id="rId1266" w:anchor="n10643" w:history="1">
        <w:r w:rsidRPr="008B264B">
          <w:rPr>
            <w:rFonts w:ascii="Times New Roman" w:eastAsia="Times New Roman" w:hAnsi="Times New Roman" w:cs="Times New Roman"/>
            <w:color w:val="0000FF"/>
            <w:sz w:val="24"/>
            <w:szCs w:val="24"/>
            <w:u w:val="single"/>
            <w:lang/>
          </w:rPr>
          <w:t>пунктом 136.1</w:t>
        </w:r>
      </w:hyperlink>
      <w:r w:rsidRPr="008B264B">
        <w:rPr>
          <w:rFonts w:ascii="Times New Roman" w:eastAsia="Times New Roman" w:hAnsi="Times New Roman" w:cs="Times New Roman"/>
          <w:color w:val="000000"/>
          <w:sz w:val="24"/>
          <w:szCs w:val="24"/>
          <w:lang/>
        </w:rPr>
        <w:t> статті 136 цього Кодексу.</w:t>
      </w:r>
    </w:p>
    <w:p w14:paraId="02A25F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5" w:name="n13866"/>
      <w:bookmarkEnd w:id="2295"/>
      <w:r w:rsidRPr="008B264B">
        <w:rPr>
          <w:rFonts w:ascii="Times New Roman" w:eastAsia="Times New Roman" w:hAnsi="Times New Roman" w:cs="Times New Roman"/>
          <w:i/>
          <w:iCs/>
          <w:color w:val="000000"/>
          <w:sz w:val="24"/>
          <w:szCs w:val="24"/>
          <w:lang/>
        </w:rPr>
        <w:t>{Абзац сьомий підпункту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із змінами, внесеними згідно із Законами </w:t>
      </w:r>
      <w:hyperlink r:id="rId1267" w:anchor="n5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268" w:anchor="n17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A34B1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6" w:name="n10546"/>
      <w:bookmarkEnd w:id="2296"/>
      <w:r w:rsidRPr="008B264B">
        <w:rPr>
          <w:rFonts w:ascii="Times New Roman" w:eastAsia="Times New Roman" w:hAnsi="Times New Roman" w:cs="Times New Roman"/>
          <w:color w:val="000000"/>
          <w:sz w:val="24"/>
          <w:szCs w:val="24"/>
          <w:lang/>
        </w:rPr>
        <w:t>Це положення поширюється також на державні некорпоратизовані, казенні або комунальні підприємства, які зараховують суми дивідендів у розмірі, встановленому органом виконавчої влади, до сфери управління якого належать такі підприємства, відповідно до державного або місцевого бюджету.</w:t>
      </w:r>
    </w:p>
    <w:p w14:paraId="427E8C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7" w:name="n10547"/>
      <w:bookmarkEnd w:id="2297"/>
      <w:r w:rsidRPr="008B264B">
        <w:rPr>
          <w:rFonts w:ascii="Times New Roman" w:eastAsia="Times New Roman" w:hAnsi="Times New Roman" w:cs="Times New Roman"/>
          <w:color w:val="000000"/>
          <w:sz w:val="24"/>
          <w:szCs w:val="24"/>
          <w:lang/>
        </w:rPr>
        <w:t>При цьому якщо платіж особою називається дивідендом, такий платіж оподатковується під час виплати згідно з нормами, визначеними згідно з положеннями цього пункту, незалежно від того, чи є особа платником податку.</w:t>
      </w:r>
    </w:p>
    <w:p w14:paraId="0BE6CA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8" w:name="n10548"/>
      <w:bookmarkEnd w:id="2298"/>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Авансовий внесок, передбачений підпунктом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цього пункту, не справляється у разі виплати дивідендів:</w:t>
      </w:r>
    </w:p>
    <w:p w14:paraId="2FE2E1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299" w:name="n10549"/>
      <w:bookmarkEnd w:id="2299"/>
      <w:r w:rsidRPr="008B264B">
        <w:rPr>
          <w:rFonts w:ascii="Times New Roman" w:eastAsia="Times New Roman" w:hAnsi="Times New Roman" w:cs="Times New Roman"/>
          <w:color w:val="000000"/>
          <w:sz w:val="24"/>
          <w:szCs w:val="24"/>
          <w:lang/>
        </w:rPr>
        <w:t>на користь власників корпоративних прав материнської компанії, що сплачуються в межах сум доходів такої компанії, отриманих у вигляді дивідендів від інших осіб. Якщо сума виплат дивідендів на користь власників корпоративних прав материнської компанії перевищує суму отриманих такою компанією дивідендів, дивіденди, сплачені в межах такого перевищення, підлягають оподаткуванню за правилами, встановленими підпунктом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xml:space="preserve">.2 цього пункту. З </w:t>
      </w:r>
      <w:r w:rsidRPr="008B264B">
        <w:rPr>
          <w:rFonts w:ascii="Times New Roman" w:eastAsia="Times New Roman" w:hAnsi="Times New Roman" w:cs="Times New Roman"/>
          <w:color w:val="000000"/>
          <w:sz w:val="24"/>
          <w:szCs w:val="24"/>
          <w:lang/>
        </w:rPr>
        <w:lastRenderedPageBreak/>
        <w:t>метою оподаткування материнська компанія веде наростаючим підсумком облік дивідендів, отриманих нею від інших осіб, та дивідендів, сплачених на користь власників корпоративних прав такої компанії, і відображає у податковій звітності дивіденди в порядку, визначеному центральним органом виконавчої влади, що забезпечує формування та реалізує державну фінансову політику;</w:t>
      </w:r>
    </w:p>
    <w:p w14:paraId="2DF167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0" w:name="n13409"/>
      <w:bookmarkEnd w:id="2300"/>
      <w:r w:rsidRPr="008B264B">
        <w:rPr>
          <w:rFonts w:ascii="Times New Roman" w:eastAsia="Times New Roman" w:hAnsi="Times New Roman" w:cs="Times New Roman"/>
          <w:i/>
          <w:iCs/>
          <w:color w:val="000000"/>
          <w:sz w:val="24"/>
          <w:szCs w:val="24"/>
          <w:lang/>
        </w:rPr>
        <w:t>{Абзац другий підпункту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із змінами, внесеними згідно із Законом </w:t>
      </w:r>
      <w:hyperlink r:id="rId126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0F2E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1" w:name="n10550"/>
      <w:bookmarkEnd w:id="2301"/>
      <w:r w:rsidRPr="008B264B">
        <w:rPr>
          <w:rFonts w:ascii="Times New Roman" w:eastAsia="Times New Roman" w:hAnsi="Times New Roman" w:cs="Times New Roman"/>
          <w:color w:val="000000"/>
          <w:sz w:val="24"/>
          <w:szCs w:val="24"/>
          <w:lang/>
        </w:rPr>
        <w:t>платником податку на прибуток, прибуток якого звільнений від оподаткування відповідно до положень цього Кодексу, у розмірі прибутку, звільненого від оподаткування у період, за який виплачуються дивіденди;</w:t>
      </w:r>
    </w:p>
    <w:p w14:paraId="5E84C8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2" w:name="n10551"/>
      <w:bookmarkEnd w:id="2302"/>
      <w:r w:rsidRPr="008B264B">
        <w:rPr>
          <w:rFonts w:ascii="Times New Roman" w:eastAsia="Times New Roman" w:hAnsi="Times New Roman" w:cs="Times New Roman"/>
          <w:color w:val="000000"/>
          <w:sz w:val="24"/>
          <w:szCs w:val="24"/>
          <w:lang/>
        </w:rPr>
        <w:t>фізичним особам.</w:t>
      </w:r>
    </w:p>
    <w:p w14:paraId="27113F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3" w:name="n10552"/>
      <w:bookmarkEnd w:id="2303"/>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 Виплата дивідендів на користь фізичних осіб (у тому числі нерезидентів) за акціями або корпоративними правами, які мають статус привілейованих або інший статус, що передбачає виплату фіксованого розміру дивідендів чи суми, яка є більшою за суму виплат, розраховану на будь-яку іншу акцію (корпоративне право), емітовану таким платником податку, прирівнюється з метою оподаткування до виплати заробітної плати з відповідним оподаткуванням.</w:t>
      </w:r>
    </w:p>
    <w:p w14:paraId="5BBAEC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4" w:name="n10553"/>
      <w:bookmarkEnd w:id="2304"/>
      <w:r w:rsidRPr="008B264B">
        <w:rPr>
          <w:rFonts w:ascii="Times New Roman" w:eastAsia="Times New Roman" w:hAnsi="Times New Roman" w:cs="Times New Roman"/>
          <w:color w:val="000000"/>
          <w:sz w:val="24"/>
          <w:szCs w:val="24"/>
          <w:lang/>
        </w:rPr>
        <w:t>При цьому така виплата не підлягає оподаткуванню як дивіденди згідно з положеннями </w:t>
      </w:r>
      <w:hyperlink r:id="rId1270"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w:t>
      </w:r>
    </w:p>
    <w:p w14:paraId="2D1F0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5" w:name="n10554"/>
      <w:bookmarkEnd w:id="2305"/>
      <w:r w:rsidRPr="008B264B">
        <w:rPr>
          <w:rFonts w:ascii="Times New Roman" w:eastAsia="Times New Roman" w:hAnsi="Times New Roman" w:cs="Times New Roman"/>
          <w:i/>
          <w:iCs/>
          <w:color w:val="000000"/>
          <w:sz w:val="24"/>
          <w:szCs w:val="24"/>
          <w:lang/>
        </w:rPr>
        <w:t>{Абзац третій підпункту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пункту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виключено на підставі Закону </w:t>
      </w:r>
      <w:hyperlink r:id="rId1271" w:anchor="n5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A157B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6" w:name="n10555"/>
      <w:bookmarkEnd w:id="2306"/>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 Авансовий внесок з податку на прибуток, сплачений у зв’язку з нарахуванням/сплатою дивідендів, є невід’ємною частиною податку на прибуток та не може розцінюватися як податок, який справляється під час репатріації дивідендів (їх сплаті на користь нерезидентів) відповідно до </w:t>
      </w:r>
      <w:hyperlink r:id="rId1272" w:anchor="n10778" w:history="1">
        <w:r w:rsidRPr="008B264B">
          <w:rPr>
            <w:rFonts w:ascii="Times New Roman" w:eastAsia="Times New Roman" w:hAnsi="Times New Roman" w:cs="Times New Roman"/>
            <w:color w:val="0000FF"/>
            <w:sz w:val="24"/>
            <w:szCs w:val="24"/>
            <w:u w:val="single"/>
            <w:lang/>
          </w:rPr>
          <w:t>пункту 141.4</w:t>
        </w:r>
      </w:hyperlink>
      <w:r w:rsidRPr="008B264B">
        <w:rPr>
          <w:rFonts w:ascii="Times New Roman" w:eastAsia="Times New Roman" w:hAnsi="Times New Roman" w:cs="Times New Roman"/>
          <w:color w:val="000000"/>
          <w:sz w:val="24"/>
          <w:szCs w:val="24"/>
          <w:lang/>
        </w:rPr>
        <w:t> статті 141 цього Кодексу або міжнародних договорів України.</w:t>
      </w:r>
    </w:p>
    <w:p w14:paraId="453322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7" w:name="n13868"/>
      <w:bookmarkEnd w:id="2307"/>
      <w:r w:rsidRPr="008B264B">
        <w:rPr>
          <w:rFonts w:ascii="Times New Roman" w:eastAsia="Times New Roman" w:hAnsi="Times New Roman" w:cs="Times New Roman"/>
          <w:color w:val="000000"/>
          <w:sz w:val="24"/>
          <w:szCs w:val="24"/>
          <w:lang/>
        </w:rPr>
        <w:t>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.6 Інститути спільного інвестування звільняються від обов’язку сплати авансових внесків з податку на прибуток у разі виплати дивідендів.</w:t>
      </w:r>
    </w:p>
    <w:p w14:paraId="55B3F0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8" w:name="n13867"/>
      <w:bookmarkEnd w:id="2308"/>
      <w:r w:rsidRPr="008B264B">
        <w:rPr>
          <w:rFonts w:ascii="Times New Roman" w:eastAsia="Times New Roman" w:hAnsi="Times New Roman" w:cs="Times New Roman"/>
          <w:i/>
          <w:iCs/>
          <w:color w:val="000000"/>
          <w:sz w:val="24"/>
          <w:szCs w:val="24"/>
          <w:lang/>
        </w:rPr>
        <w:t>{Пункт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57 доповнено підпунктом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згідно із Законом </w:t>
      </w:r>
      <w:hyperlink r:id="rId1273" w:anchor="n5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1556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09" w:name="n10537"/>
      <w:bookmarkEnd w:id="2309"/>
      <w:r w:rsidRPr="008B264B">
        <w:rPr>
          <w:rFonts w:ascii="Times New Roman" w:eastAsia="Times New Roman" w:hAnsi="Times New Roman" w:cs="Times New Roman"/>
          <w:i/>
          <w:iCs/>
          <w:color w:val="000000"/>
          <w:sz w:val="24"/>
          <w:szCs w:val="24"/>
          <w:lang/>
        </w:rPr>
        <w:t>{Статтю 57 доповнено пунктом 57.1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1274" w:anchor="n1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4A6C7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0" w:name="n1391"/>
      <w:bookmarkEnd w:id="2310"/>
      <w:r w:rsidRPr="008B264B">
        <w:rPr>
          <w:rFonts w:ascii="Times New Roman" w:eastAsia="Times New Roman" w:hAnsi="Times New Roman" w:cs="Times New Roman"/>
          <w:color w:val="000000"/>
          <w:sz w:val="24"/>
          <w:szCs w:val="24"/>
          <w:lang/>
        </w:rPr>
        <w:t>57.2. У разі коли відповідно до цього Кодексу або інших законів України контролюючий орган самостійно визначає податкове зобов'язання платника податків з причин, не пов'язаних з порушенням податкового законодавства, та надсилає (вручає) податкове/податкові повідомлення-рішення про сплату суми/сум платнику податку, такий платник податків зобов'язаний сплатити нараховану суму податкового зобов'язання у строки, визначені в цьому Кодексі та в </w:t>
      </w:r>
      <w:hyperlink r:id="rId1275" w:anchor="n2473" w:tgtFrame="_blank" w:history="1">
        <w:r w:rsidRPr="008B264B">
          <w:rPr>
            <w:rFonts w:ascii="Times New Roman" w:eastAsia="Times New Roman" w:hAnsi="Times New Roman" w:cs="Times New Roman"/>
            <w:color w:val="0000FF"/>
            <w:sz w:val="24"/>
            <w:szCs w:val="24"/>
            <w:u w:val="single"/>
            <w:lang/>
          </w:rPr>
          <w:t>статті 297 Митного кодексу України</w:t>
        </w:r>
      </w:hyperlink>
      <w:r w:rsidRPr="008B264B">
        <w:rPr>
          <w:rFonts w:ascii="Times New Roman" w:eastAsia="Times New Roman" w:hAnsi="Times New Roman" w:cs="Times New Roman"/>
          <w:color w:val="000000"/>
          <w:sz w:val="24"/>
          <w:szCs w:val="24"/>
          <w:lang/>
        </w:rPr>
        <w:t>, а якщо такі строки не визначено, - протягом 30 календарних днів, що настають за днем отримання податкового повідомлення-рішення про таке нарахування.</w:t>
      </w:r>
    </w:p>
    <w:p w14:paraId="5D4BD6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1" w:name="n1392"/>
      <w:bookmarkEnd w:id="2311"/>
      <w:r w:rsidRPr="008B264B">
        <w:rPr>
          <w:rFonts w:ascii="Times New Roman" w:eastAsia="Times New Roman" w:hAnsi="Times New Roman" w:cs="Times New Roman"/>
          <w:i/>
          <w:iCs/>
          <w:color w:val="000000"/>
          <w:sz w:val="24"/>
          <w:szCs w:val="24"/>
          <w:lang/>
        </w:rPr>
        <w:t>{Пункт 57.2 статті 57 із змінами, внесеними згідно із Законами </w:t>
      </w:r>
      <w:hyperlink r:id="rId1276" w:anchor="n28"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w:t>
      </w:r>
      <w:hyperlink r:id="rId1277" w:anchor="n17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16224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2" w:name="n1393"/>
      <w:bookmarkEnd w:id="2312"/>
      <w:r w:rsidRPr="008B264B">
        <w:rPr>
          <w:rFonts w:ascii="Times New Roman" w:eastAsia="Times New Roman" w:hAnsi="Times New Roman" w:cs="Times New Roman"/>
          <w:color w:val="000000"/>
          <w:sz w:val="24"/>
          <w:szCs w:val="24"/>
          <w:lang/>
        </w:rPr>
        <w:t>57.3. У разі визначення грошового зобов'язання контролюючим органом за підставами, зазначеними у </w:t>
      </w:r>
      <w:hyperlink r:id="rId1278" w:anchor="n1303" w:history="1">
        <w:r w:rsidRPr="008B264B">
          <w:rPr>
            <w:rFonts w:ascii="Times New Roman" w:eastAsia="Times New Roman" w:hAnsi="Times New Roman" w:cs="Times New Roman"/>
            <w:color w:val="0000FF"/>
            <w:sz w:val="24"/>
            <w:szCs w:val="24"/>
            <w:u w:val="single"/>
            <w:lang/>
          </w:rPr>
          <w:t>підпунктах </w:t>
        </w:r>
      </w:hyperlink>
      <w:hyperlink r:id="rId1279" w:anchor="n1303" w:history="1">
        <w:r w:rsidRPr="008B264B">
          <w:rPr>
            <w:rFonts w:ascii="Times New Roman" w:eastAsia="Times New Roman" w:hAnsi="Times New Roman" w:cs="Times New Roman"/>
            <w:color w:val="0000FF"/>
            <w:sz w:val="24"/>
            <w:szCs w:val="24"/>
            <w:u w:val="single"/>
            <w:lang/>
          </w:rPr>
          <w:t>54.3.1 - 54.3.6</w:t>
        </w:r>
      </w:hyperlink>
      <w:r w:rsidRPr="008B264B">
        <w:rPr>
          <w:rFonts w:ascii="Times New Roman" w:eastAsia="Times New Roman" w:hAnsi="Times New Roman" w:cs="Times New Roman"/>
          <w:color w:val="000000"/>
          <w:sz w:val="24"/>
          <w:szCs w:val="24"/>
          <w:lang/>
        </w:rPr>
        <w:t> пункту 54.3 статті 54 цього Кодексу, платник податків зобов'язаний сплатити нараховану суму грошового зобов'язання протягом 10 календарних днів, що настають за днем отримання податкового повідомлення-рішення, крім випадків, коли протягом такого строку такий платник податків розпочинає процедуру оскарження рішення контролюючого органу.</w:t>
      </w:r>
    </w:p>
    <w:p w14:paraId="6D11AB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3" w:name="n9477"/>
      <w:bookmarkEnd w:id="2313"/>
      <w:r w:rsidRPr="008B264B">
        <w:rPr>
          <w:rFonts w:ascii="Times New Roman" w:eastAsia="Times New Roman" w:hAnsi="Times New Roman" w:cs="Times New Roman"/>
          <w:i/>
          <w:iCs/>
          <w:color w:val="000000"/>
          <w:sz w:val="24"/>
          <w:szCs w:val="24"/>
          <w:lang/>
        </w:rPr>
        <w:lastRenderedPageBreak/>
        <w:t>{Абзац перший пункту 57.3 статті 57 із змінами, внесеними згідно із Законом </w:t>
      </w:r>
      <w:hyperlink r:id="rId1280" w:anchor="n2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9E0FA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4" w:name="n1394"/>
      <w:bookmarkEnd w:id="2314"/>
      <w:r w:rsidRPr="008B264B">
        <w:rPr>
          <w:rFonts w:ascii="Times New Roman" w:eastAsia="Times New Roman" w:hAnsi="Times New Roman" w:cs="Times New Roman"/>
          <w:color w:val="000000"/>
          <w:sz w:val="24"/>
          <w:szCs w:val="24"/>
          <w:lang/>
        </w:rPr>
        <w:t>У разі оскарження рішення контролюючого органу про нараховану суму грошового зобов'язання платник податків зобов'язаний самостійно погасити узгоджену суму, а також пеню та штрафні санкції за їх наявності протягом 10 календарних днів, наступних за днем такого узгодження.</w:t>
      </w:r>
    </w:p>
    <w:p w14:paraId="26FE69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5" w:name="n10556"/>
      <w:bookmarkEnd w:id="2315"/>
      <w:r w:rsidRPr="008B264B">
        <w:rPr>
          <w:rFonts w:ascii="Times New Roman" w:eastAsia="Times New Roman" w:hAnsi="Times New Roman" w:cs="Times New Roman"/>
          <w:i/>
          <w:iCs/>
          <w:color w:val="000000"/>
          <w:sz w:val="24"/>
          <w:szCs w:val="24"/>
          <w:lang/>
        </w:rPr>
        <w:t>{Пункт 57.3 статті 57 із змінами, внесеними згідно із Законом </w:t>
      </w:r>
      <w:hyperlink r:id="rId1281" w:anchor="n2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92581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6" w:name="n1395"/>
      <w:bookmarkEnd w:id="2316"/>
      <w:r w:rsidRPr="008B264B">
        <w:rPr>
          <w:rFonts w:ascii="Times New Roman" w:eastAsia="Times New Roman" w:hAnsi="Times New Roman" w:cs="Times New Roman"/>
          <w:color w:val="000000"/>
          <w:sz w:val="24"/>
          <w:szCs w:val="24"/>
          <w:lang/>
        </w:rPr>
        <w:t>57.4. Пеня та штрафні санкції, нараховані на суму грошового зобов'язання (її частку), скасовану за результатами адміністративного чи судового оскарження, також підлягають скасуванню, а якщо такі пеня та санкції були сплачені, вони підлягають зарахуванню в рахунок погашення податкового боргу, грошових зобов'язань або поверненню в порядку, встановленому </w:t>
      </w:r>
      <w:hyperlink r:id="rId1282" w:anchor="n1100" w:history="1">
        <w:r w:rsidRPr="008B264B">
          <w:rPr>
            <w:rFonts w:ascii="Times New Roman" w:eastAsia="Times New Roman" w:hAnsi="Times New Roman" w:cs="Times New Roman"/>
            <w:color w:val="0000FF"/>
            <w:sz w:val="24"/>
            <w:szCs w:val="24"/>
            <w:u w:val="single"/>
            <w:lang/>
          </w:rPr>
          <w:t>статтею 43</w:t>
        </w:r>
      </w:hyperlink>
      <w:r w:rsidRPr="008B264B">
        <w:rPr>
          <w:rFonts w:ascii="Times New Roman" w:eastAsia="Times New Roman" w:hAnsi="Times New Roman" w:cs="Times New Roman"/>
          <w:color w:val="000000"/>
          <w:sz w:val="24"/>
          <w:szCs w:val="24"/>
          <w:lang/>
        </w:rPr>
        <w:t> цього Кодексу.</w:t>
      </w:r>
    </w:p>
    <w:p w14:paraId="7ED496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7" w:name="n1396"/>
      <w:bookmarkEnd w:id="2317"/>
      <w:r w:rsidRPr="008B264B">
        <w:rPr>
          <w:rFonts w:ascii="Times New Roman" w:eastAsia="Times New Roman" w:hAnsi="Times New Roman" w:cs="Times New Roman"/>
          <w:color w:val="000000"/>
          <w:sz w:val="24"/>
          <w:szCs w:val="24"/>
          <w:lang/>
        </w:rPr>
        <w:t>57.5. Фізичні особи - платники податків повинні сплачувати податки і збори, що встановлені цим Кодексом, через установи банків та поштові відділення.</w:t>
      </w:r>
    </w:p>
    <w:p w14:paraId="3C942C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8" w:name="n1397"/>
      <w:bookmarkEnd w:id="2318"/>
      <w:r w:rsidRPr="008B264B">
        <w:rPr>
          <w:rFonts w:ascii="Times New Roman" w:eastAsia="Times New Roman" w:hAnsi="Times New Roman" w:cs="Times New Roman"/>
          <w:color w:val="000000"/>
          <w:sz w:val="24"/>
          <w:szCs w:val="24"/>
          <w:lang/>
        </w:rPr>
        <w:t>У разі якщо зазначені особи проживають у сільській (селищній) місцевості, вони можуть сплачувати податки і збори через каси сільських (селищних) рад або рад об’єднаних територіальних громад, що створені згідно із законом та перспективним планом формування територій громад, за квитанцією про прийняття податків і зборів, форма якої встановлюється центральним органом виконавчої влади, що забезпечує формування державної фінансової політики.</w:t>
      </w:r>
    </w:p>
    <w:p w14:paraId="1B7647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19" w:name="n12665"/>
      <w:bookmarkEnd w:id="2319"/>
      <w:r w:rsidRPr="008B264B">
        <w:rPr>
          <w:rFonts w:ascii="Times New Roman" w:eastAsia="Times New Roman" w:hAnsi="Times New Roman" w:cs="Times New Roman"/>
          <w:i/>
          <w:iCs/>
          <w:color w:val="000000"/>
          <w:sz w:val="24"/>
          <w:szCs w:val="24"/>
          <w:lang/>
        </w:rPr>
        <w:t>{Абзац другий пункту 57.5 статті 57 в редакції Закону </w:t>
      </w:r>
      <w:hyperlink r:id="rId1283" w:anchor="n5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3943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0" w:name="n1398"/>
      <w:bookmarkEnd w:id="2320"/>
      <w:r w:rsidRPr="008B264B">
        <w:rPr>
          <w:rFonts w:ascii="Times New Roman" w:eastAsia="Times New Roman" w:hAnsi="Times New Roman" w:cs="Times New Roman"/>
          <w:b/>
          <w:bCs/>
          <w:color w:val="000000"/>
          <w:sz w:val="24"/>
          <w:szCs w:val="24"/>
          <w:lang/>
        </w:rPr>
        <w:t>Стаття 58.</w:t>
      </w:r>
      <w:r w:rsidRPr="008B264B">
        <w:rPr>
          <w:rFonts w:ascii="Times New Roman" w:eastAsia="Times New Roman" w:hAnsi="Times New Roman" w:cs="Times New Roman"/>
          <w:color w:val="000000"/>
          <w:sz w:val="24"/>
          <w:szCs w:val="24"/>
          <w:lang/>
        </w:rPr>
        <w:t> Податкове повідомлення-рішення</w:t>
      </w:r>
    </w:p>
    <w:p w14:paraId="0812A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1" w:name="n1399"/>
      <w:bookmarkEnd w:id="2321"/>
      <w:r w:rsidRPr="008B264B">
        <w:rPr>
          <w:rFonts w:ascii="Times New Roman" w:eastAsia="Times New Roman" w:hAnsi="Times New Roman" w:cs="Times New Roman"/>
          <w:color w:val="000000"/>
          <w:sz w:val="24"/>
          <w:szCs w:val="24"/>
          <w:lang/>
        </w:rPr>
        <w:t>58.1. Контролюючий орган надсилає (вручає) платнику податків податкове повідомлення-рішення, якщо сума грошового зобов’язання платника податків, передбаченого податковим або іншим законодавством, контроль за дотриманням якого покладено на контролюючі органи, розраховується контролюючим органом відповідно до </w:t>
      </w:r>
      <w:hyperlink r:id="rId1284" w:anchor="n1297" w:history="1">
        <w:r w:rsidRPr="008B264B">
          <w:rPr>
            <w:rFonts w:ascii="Times New Roman" w:eastAsia="Times New Roman" w:hAnsi="Times New Roman" w:cs="Times New Roman"/>
            <w:color w:val="0000FF"/>
            <w:sz w:val="24"/>
            <w:szCs w:val="24"/>
            <w:u w:val="single"/>
            <w:lang/>
          </w:rPr>
          <w:t>статті 54</w:t>
        </w:r>
      </w:hyperlink>
      <w:r w:rsidRPr="008B264B">
        <w:rPr>
          <w:rFonts w:ascii="Times New Roman" w:eastAsia="Times New Roman" w:hAnsi="Times New Roman" w:cs="Times New Roman"/>
          <w:color w:val="000000"/>
          <w:sz w:val="24"/>
          <w:szCs w:val="24"/>
          <w:lang/>
        </w:rPr>
        <w:t> цього Кодексу (крім декларування товарів, передбаченого для громадян) або якщо за результатами перевірки контролюючим органом встановлено факт:</w:t>
      </w:r>
    </w:p>
    <w:p w14:paraId="4D9341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2" w:name="n12585"/>
      <w:bookmarkEnd w:id="2322"/>
      <w:r w:rsidRPr="008B264B">
        <w:rPr>
          <w:rFonts w:ascii="Times New Roman" w:eastAsia="Times New Roman" w:hAnsi="Times New Roman" w:cs="Times New Roman"/>
          <w:i/>
          <w:iCs/>
          <w:color w:val="000000"/>
          <w:sz w:val="24"/>
          <w:szCs w:val="24"/>
          <w:lang/>
        </w:rPr>
        <w:t>{Абзац перший пункту 58.1 статті 58 в редакції Закону </w:t>
      </w:r>
      <w:hyperlink r:id="rId1285" w:anchor="n35"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2542E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3" w:name="n12587"/>
      <w:bookmarkEnd w:id="2323"/>
      <w:r w:rsidRPr="008B264B">
        <w:rPr>
          <w:rFonts w:ascii="Times New Roman" w:eastAsia="Times New Roman" w:hAnsi="Times New Roman" w:cs="Times New Roman"/>
          <w:color w:val="000000"/>
          <w:sz w:val="24"/>
          <w:szCs w:val="24"/>
          <w:lang/>
        </w:rPr>
        <w:t>невідповідності суми бюджетного відшкодування сумі, заявленій у податковій декларації;</w:t>
      </w:r>
    </w:p>
    <w:p w14:paraId="13E94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4" w:name="n12591"/>
      <w:bookmarkEnd w:id="2324"/>
      <w:r w:rsidRPr="008B264B">
        <w:rPr>
          <w:rFonts w:ascii="Times New Roman" w:eastAsia="Times New Roman" w:hAnsi="Times New Roman" w:cs="Times New Roman"/>
          <w:i/>
          <w:iCs/>
          <w:color w:val="000000"/>
          <w:sz w:val="24"/>
          <w:szCs w:val="24"/>
          <w:lang/>
        </w:rPr>
        <w:t>{Абзац пункту 58.1 статті 58 в редакції Закону </w:t>
      </w:r>
      <w:hyperlink r:id="rId1286" w:anchor="n35"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764B50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5" w:name="n12588"/>
      <w:bookmarkEnd w:id="2325"/>
      <w:r w:rsidRPr="008B264B">
        <w:rPr>
          <w:rFonts w:ascii="Times New Roman" w:eastAsia="Times New Roman" w:hAnsi="Times New Roman" w:cs="Times New Roman"/>
          <w:color w:val="000000"/>
          <w:sz w:val="24"/>
          <w:szCs w:val="24"/>
          <w:lang/>
        </w:rPr>
        <w:t>завищення розміру задекларованого від’ємного значення об’єкта оподаткування податком на прибуток або від’ємного значення суми податку на додану вартість, розрахованої платником податків відповідно до </w:t>
      </w:r>
      <w:hyperlink r:id="rId1287"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w:t>
      </w:r>
    </w:p>
    <w:p w14:paraId="424E8D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6" w:name="n12590"/>
      <w:bookmarkEnd w:id="2326"/>
      <w:r w:rsidRPr="008B264B">
        <w:rPr>
          <w:rFonts w:ascii="Times New Roman" w:eastAsia="Times New Roman" w:hAnsi="Times New Roman" w:cs="Times New Roman"/>
          <w:i/>
          <w:iCs/>
          <w:color w:val="000000"/>
          <w:sz w:val="24"/>
          <w:szCs w:val="24"/>
          <w:lang/>
        </w:rPr>
        <w:t>{Абзац пункту 58.1 статті 58 в редакції Закону </w:t>
      </w:r>
      <w:hyperlink r:id="rId1288" w:anchor="n35"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5A90D3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7" w:name="n12589"/>
      <w:bookmarkEnd w:id="2327"/>
      <w:r w:rsidRPr="008B264B">
        <w:rPr>
          <w:rFonts w:ascii="Times New Roman" w:eastAsia="Times New Roman" w:hAnsi="Times New Roman" w:cs="Times New Roman"/>
          <w:color w:val="000000"/>
          <w:sz w:val="24"/>
          <w:szCs w:val="24"/>
          <w:lang/>
        </w:rPr>
        <w:t>заниження або завищення суми податкових зобов’язань, заявленої у податковій декларації, або суми податкового кредиту, заявленої у </w:t>
      </w:r>
      <w:hyperlink r:id="rId1289" w:anchor="n19" w:tgtFrame="_blank" w:history="1">
        <w:r w:rsidRPr="008B264B">
          <w:rPr>
            <w:rFonts w:ascii="Times New Roman" w:eastAsia="Times New Roman" w:hAnsi="Times New Roman" w:cs="Times New Roman"/>
            <w:color w:val="0000FF"/>
            <w:sz w:val="24"/>
            <w:szCs w:val="24"/>
            <w:u w:val="single"/>
            <w:lang/>
          </w:rPr>
          <w:t>податковій декларації з податку на додану вартість</w:t>
        </w:r>
      </w:hyperlink>
      <w:r w:rsidRPr="008B264B">
        <w:rPr>
          <w:rFonts w:ascii="Times New Roman" w:eastAsia="Times New Roman" w:hAnsi="Times New Roman" w:cs="Times New Roman"/>
          <w:color w:val="000000"/>
          <w:sz w:val="24"/>
          <w:szCs w:val="24"/>
          <w:lang/>
        </w:rPr>
        <w:t>, крім випадків, коли зазначене заниження або завищення враховано при винесенні інших податкових повідомлень-рішень за результатами перевірки.</w:t>
      </w:r>
    </w:p>
    <w:p w14:paraId="010791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8" w:name="n12586"/>
      <w:bookmarkEnd w:id="2328"/>
      <w:r w:rsidRPr="008B264B">
        <w:rPr>
          <w:rFonts w:ascii="Times New Roman" w:eastAsia="Times New Roman" w:hAnsi="Times New Roman" w:cs="Times New Roman"/>
          <w:i/>
          <w:iCs/>
          <w:color w:val="000000"/>
          <w:sz w:val="24"/>
          <w:szCs w:val="24"/>
          <w:lang/>
        </w:rPr>
        <w:t>{Абзац пункту 58.1 статті 58 в редакції Закону </w:t>
      </w:r>
      <w:hyperlink r:id="rId1290" w:anchor="n35"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1A5E57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29" w:name="n1400"/>
      <w:bookmarkEnd w:id="2329"/>
      <w:r w:rsidRPr="008B264B">
        <w:rPr>
          <w:rFonts w:ascii="Times New Roman" w:eastAsia="Times New Roman" w:hAnsi="Times New Roman" w:cs="Times New Roman"/>
          <w:color w:val="000000"/>
          <w:sz w:val="24"/>
          <w:szCs w:val="24"/>
          <w:lang/>
        </w:rPr>
        <w:t>Податкове повідомлення-рішення містить підставу для такого нарахування (зменшення) податкового зобов'язання та/або зменшення суми бюджетного відшкодування та/або зменшення від'ємного значення об'єкта оподаткування податком на прибуток або від'ємного значення суми податку на додану вартість, або заниження чи завищення суми податкових зобов’язань, заявленої у податковій декларації, або суми податкового кредиту, заявленої у </w:t>
      </w:r>
      <w:hyperlink r:id="rId1291" w:anchor="n19" w:tgtFrame="_blank" w:history="1">
        <w:r w:rsidRPr="008B264B">
          <w:rPr>
            <w:rFonts w:ascii="Times New Roman" w:eastAsia="Times New Roman" w:hAnsi="Times New Roman" w:cs="Times New Roman"/>
            <w:color w:val="0000FF"/>
            <w:sz w:val="24"/>
            <w:szCs w:val="24"/>
            <w:u w:val="single"/>
            <w:lang/>
          </w:rPr>
          <w:t>податковій декларації з податку на додану вартість</w:t>
        </w:r>
      </w:hyperlink>
      <w:r w:rsidRPr="008B264B">
        <w:rPr>
          <w:rFonts w:ascii="Times New Roman" w:eastAsia="Times New Roman" w:hAnsi="Times New Roman" w:cs="Times New Roman"/>
          <w:color w:val="000000"/>
          <w:sz w:val="24"/>
          <w:szCs w:val="24"/>
          <w:lang/>
        </w:rPr>
        <w:t xml:space="preserve">; посилання на норму цього Кодексу та/або іншого закону, контроль </w:t>
      </w:r>
      <w:r w:rsidRPr="008B264B">
        <w:rPr>
          <w:rFonts w:ascii="Times New Roman" w:eastAsia="Times New Roman" w:hAnsi="Times New Roman" w:cs="Times New Roman"/>
          <w:color w:val="000000"/>
          <w:sz w:val="24"/>
          <w:szCs w:val="24"/>
          <w:lang/>
        </w:rPr>
        <w:lastRenderedPageBreak/>
        <w:t>за виконанням якого покладено на контролюючі органи, відповідно до якої був зроблений розрахунок або перерахунок грошових зобов'язань платника податків; суму грошового зобов'язання, що повинен сплатити платник податку; суму зменшеного бюджетного відшкодування та/або зменшення від'ємного значення результатів господарської діяльності або від'ємного значення суми податку на додану вартість; граничні строки сплати грошового зобов'язання та/або строки виправлення платником податків показників податкової звітності; попередження про необхідність складення та реєстрації в Єдиному реєстрі податкових накладних </w:t>
      </w:r>
      <w:hyperlink r:id="rId1292"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до неї або про необхідність виправлення помилок, допущених під час зазначення реквізитів податкової накладної, у випадках, передбачених цим Кодексом; попередження про наслідки несплати грошового зобов'язання або внесення виправлень до показників податкової звітності в установлений строк; граничні строки, передбачені цим Кодексом для оскарження податкового повідомлення-рішення.</w:t>
      </w:r>
    </w:p>
    <w:p w14:paraId="304013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0" w:name="n12592"/>
      <w:bookmarkEnd w:id="2330"/>
      <w:r w:rsidRPr="008B264B">
        <w:rPr>
          <w:rFonts w:ascii="Times New Roman" w:eastAsia="Times New Roman" w:hAnsi="Times New Roman" w:cs="Times New Roman"/>
          <w:i/>
          <w:iCs/>
          <w:color w:val="000000"/>
          <w:sz w:val="24"/>
          <w:szCs w:val="24"/>
          <w:lang/>
        </w:rPr>
        <w:t>{Абзац п'ятий пункту 58.1 статті 58 із змінами, внесеними згідно з Законами </w:t>
      </w:r>
      <w:hyperlink r:id="rId1293" w:anchor="n41"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w:t>
      </w:r>
      <w:hyperlink r:id="rId1294" w:anchor="n5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4959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1" w:name="n1401"/>
      <w:bookmarkEnd w:id="2331"/>
      <w:r w:rsidRPr="008B264B">
        <w:rPr>
          <w:rFonts w:ascii="Times New Roman" w:eastAsia="Times New Roman" w:hAnsi="Times New Roman" w:cs="Times New Roman"/>
          <w:color w:val="000000"/>
          <w:sz w:val="24"/>
          <w:szCs w:val="24"/>
          <w:lang/>
        </w:rPr>
        <w:t>До податкового повідомлення-рішення додається розрахунок податкового зобов'язання (за наявності) та штрафних (фінансових) санкцій.</w:t>
      </w:r>
    </w:p>
    <w:p w14:paraId="09ED2A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2" w:name="n12593"/>
      <w:bookmarkEnd w:id="2332"/>
      <w:r w:rsidRPr="008B264B">
        <w:rPr>
          <w:rFonts w:ascii="Times New Roman" w:eastAsia="Times New Roman" w:hAnsi="Times New Roman" w:cs="Times New Roman"/>
          <w:i/>
          <w:iCs/>
          <w:color w:val="000000"/>
          <w:sz w:val="24"/>
          <w:szCs w:val="24"/>
          <w:lang/>
        </w:rPr>
        <w:t>{Абзац шостий пункту 58.1 статті 58 із змінами, внесеними згідно з Законом </w:t>
      </w:r>
      <w:hyperlink r:id="rId1295" w:anchor="n42"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bookmarkStart w:id="2333" w:name="n1402"/>
    <w:bookmarkEnd w:id="2333"/>
    <w:p w14:paraId="6A7156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"https://zakon.rada.gov.ua/laws/show/z2135-12" \l "n90"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1296" w:anchor="n19"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надіслання податкового повідомлення-рішення і розрахунку грошового зобов'язання визначається центральним органом виконавчої влади, що забезпечує формування та реалізує державну фінансову політику.</w:t>
      </w:r>
    </w:p>
    <w:p w14:paraId="191D82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4" w:name="n1403"/>
      <w:bookmarkEnd w:id="2334"/>
      <w:r w:rsidRPr="008B264B">
        <w:rPr>
          <w:rFonts w:ascii="Times New Roman" w:eastAsia="Times New Roman" w:hAnsi="Times New Roman" w:cs="Times New Roman"/>
          <w:i/>
          <w:iCs/>
          <w:color w:val="000000"/>
          <w:sz w:val="24"/>
          <w:szCs w:val="24"/>
          <w:lang/>
        </w:rPr>
        <w:t>{Абзац пункту 58.1 статті 58 із змінами, внесеними згідно з Законом </w:t>
      </w:r>
      <w:hyperlink r:id="rId1297" w:anchor="n9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1C34E0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5" w:name="n13410"/>
      <w:bookmarkEnd w:id="2335"/>
      <w:r w:rsidRPr="008B264B">
        <w:rPr>
          <w:rFonts w:ascii="Times New Roman" w:eastAsia="Times New Roman" w:hAnsi="Times New Roman" w:cs="Times New Roman"/>
          <w:i/>
          <w:iCs/>
          <w:color w:val="000000"/>
          <w:sz w:val="24"/>
          <w:szCs w:val="24"/>
          <w:lang/>
        </w:rPr>
        <w:t>{Пункт 58.1 статті 58 із змінами, внесеними згідно із Законом </w:t>
      </w:r>
      <w:hyperlink r:id="rId1298"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9706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6" w:name="n1404"/>
      <w:bookmarkEnd w:id="2336"/>
      <w:r w:rsidRPr="008B264B">
        <w:rPr>
          <w:rFonts w:ascii="Times New Roman" w:eastAsia="Times New Roman" w:hAnsi="Times New Roman" w:cs="Times New Roman"/>
          <w:color w:val="000000"/>
          <w:sz w:val="24"/>
          <w:szCs w:val="24"/>
          <w:lang/>
        </w:rPr>
        <w:t>58.2. Податкове повідомлення-рішення надсилається (вручається) за кожним окремим податком, збором та/або разом із штрафними санкціями, передбаченими цим Кодексом, а також за кожною штрафною (фінансовою) санкцією за порушення норм іншого законодавства, контроль за дотриманням якого покладено на такий контролюючий орган, та/або пенею за порушення строків розрахунків у сфері зовнішньоекономічної діяльності.</w:t>
      </w:r>
    </w:p>
    <w:p w14:paraId="43E2D8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7" w:name="n1405"/>
      <w:bookmarkEnd w:id="2337"/>
      <w:r w:rsidRPr="008B264B">
        <w:rPr>
          <w:rFonts w:ascii="Times New Roman" w:eastAsia="Times New Roman" w:hAnsi="Times New Roman" w:cs="Times New Roman"/>
          <w:color w:val="000000"/>
          <w:sz w:val="24"/>
          <w:szCs w:val="24"/>
          <w:lang/>
        </w:rPr>
        <w:t>У разі зменшення (збільшення) контролюючим органом суми бюджетного відшкодування та/або зменшення від'ємного значення об'єкта оподаткування податком на прибуток або від'ємного значення суми податку на додану вартість платнику податків надсилаються (вручаються) окремі податкові повідомлення-рішення.</w:t>
      </w:r>
    </w:p>
    <w:p w14:paraId="709347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8" w:name="n1406"/>
      <w:bookmarkEnd w:id="2338"/>
      <w:r w:rsidRPr="008B264B">
        <w:rPr>
          <w:rFonts w:ascii="Times New Roman" w:eastAsia="Times New Roman" w:hAnsi="Times New Roman" w:cs="Times New Roman"/>
          <w:color w:val="000000"/>
          <w:sz w:val="24"/>
          <w:szCs w:val="24"/>
          <w:lang/>
        </w:rPr>
        <w:t>Контролюючий орган веде реєстр виданих податкових повідомлень-рішень щодо окремих платників податків.</w:t>
      </w:r>
    </w:p>
    <w:p w14:paraId="5D351E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39" w:name="n1407"/>
      <w:bookmarkEnd w:id="2339"/>
      <w:r w:rsidRPr="008B264B">
        <w:rPr>
          <w:rFonts w:ascii="Times New Roman" w:eastAsia="Times New Roman" w:hAnsi="Times New Roman" w:cs="Times New Roman"/>
          <w:color w:val="000000"/>
          <w:sz w:val="24"/>
          <w:szCs w:val="24"/>
          <w:lang/>
        </w:rPr>
        <w:t>58.3. Податкове повідомлення-рішення вважається належним чином врученим платнику податків (крім фізичних осіб), якщо його надіслано у порядку, визначеному </w:t>
      </w:r>
      <w:hyperlink r:id="rId1299"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59D41E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0" w:name="n1408"/>
      <w:bookmarkEnd w:id="2340"/>
      <w:r w:rsidRPr="008B264B">
        <w:rPr>
          <w:rFonts w:ascii="Times New Roman" w:eastAsia="Times New Roman" w:hAnsi="Times New Roman" w:cs="Times New Roman"/>
          <w:i/>
          <w:iCs/>
          <w:color w:val="000000"/>
          <w:sz w:val="24"/>
          <w:szCs w:val="24"/>
          <w:lang/>
        </w:rPr>
        <w:t>{Абзац перший пункту 58.3 статті 58 із змінами, внесеними згідно із Законом </w:t>
      </w:r>
      <w:hyperlink r:id="rId1300" w:anchor="n5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1301" w:anchor="n5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9A434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1" w:name="n1409"/>
      <w:bookmarkEnd w:id="2341"/>
      <w:r w:rsidRPr="008B264B">
        <w:rPr>
          <w:rFonts w:ascii="Times New Roman" w:eastAsia="Times New Roman" w:hAnsi="Times New Roman" w:cs="Times New Roman"/>
          <w:color w:val="000000"/>
          <w:sz w:val="24"/>
          <w:szCs w:val="24"/>
          <w:lang/>
        </w:rPr>
        <w:t>Податкове повідомлення-рішення вважається надісланим (врученим) фізичній особі, якщо його вручено їй особисто чи її представникові, надіслано на адресу за місцем проживання або останнього відомого місцезнаходження фізичної особи з повідомленням про вручення або у порядку, визначеному </w:t>
      </w:r>
      <w:hyperlink r:id="rId1302" w:anchor="n1097" w:history="1">
        <w:r w:rsidRPr="008B264B">
          <w:rPr>
            <w:rFonts w:ascii="Times New Roman" w:eastAsia="Times New Roman" w:hAnsi="Times New Roman" w:cs="Times New Roman"/>
            <w:color w:val="0000FF"/>
            <w:sz w:val="24"/>
            <w:szCs w:val="24"/>
            <w:u w:val="single"/>
            <w:lang/>
          </w:rPr>
          <w:t>пунктом 42.4</w:t>
        </w:r>
      </w:hyperlink>
      <w:r w:rsidRPr="008B264B">
        <w:rPr>
          <w:rFonts w:ascii="Times New Roman" w:eastAsia="Times New Roman" w:hAnsi="Times New Roman" w:cs="Times New Roman"/>
          <w:color w:val="000000"/>
          <w:sz w:val="24"/>
          <w:szCs w:val="24"/>
          <w:lang/>
        </w:rPr>
        <w:t> статті 42 цього Кодексу. У такому самому порядку надсилаються податкові вимоги та рішення про результати розгляду скарг.</w:t>
      </w:r>
    </w:p>
    <w:p w14:paraId="6B793E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2" w:name="n13869"/>
      <w:bookmarkEnd w:id="2342"/>
      <w:r w:rsidRPr="008B264B">
        <w:rPr>
          <w:rFonts w:ascii="Times New Roman" w:eastAsia="Times New Roman" w:hAnsi="Times New Roman" w:cs="Times New Roman"/>
          <w:i/>
          <w:iCs/>
          <w:color w:val="000000"/>
          <w:sz w:val="24"/>
          <w:szCs w:val="24"/>
          <w:lang/>
        </w:rPr>
        <w:t>{Абзац другий пункту 58.3 статті 58 в редакції Закону </w:t>
      </w:r>
      <w:hyperlink r:id="rId1303" w:anchor="n5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62A4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3" w:name="n1410"/>
      <w:bookmarkEnd w:id="2343"/>
      <w:r w:rsidRPr="008B264B">
        <w:rPr>
          <w:rFonts w:ascii="Times New Roman" w:eastAsia="Times New Roman" w:hAnsi="Times New Roman" w:cs="Times New Roman"/>
          <w:color w:val="000000"/>
          <w:sz w:val="24"/>
          <w:szCs w:val="24"/>
          <w:lang/>
        </w:rPr>
        <w:lastRenderedPageBreak/>
        <w:t>У разі коли пошта не може вручити платнику податків податкове повідомлення-рішення або податкові вимоги, або рішення про результати розгляду скарги через відсутність за місцезнаходженням посадових осіб, їх відмову прийняти податкове повідомлення-рішення або податкову вимогу, або рішення про результати розгляду скарги, незнаходження фактичного місця розташування (місцезнаходження) платника податків або з інших причин, податкове повідомлення-рішення або податкова вимога, або рішення про результати розгляду скарги вважаються врученими платнику податків у день, зазначений поштовою службою в повідомленні про вручення із зазначенням причин невручення.</w:t>
      </w:r>
    </w:p>
    <w:p w14:paraId="544BF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4" w:name="n1411"/>
      <w:bookmarkEnd w:id="2344"/>
      <w:r w:rsidRPr="008B264B">
        <w:rPr>
          <w:rFonts w:ascii="Times New Roman" w:eastAsia="Times New Roman" w:hAnsi="Times New Roman" w:cs="Times New Roman"/>
          <w:color w:val="000000"/>
          <w:sz w:val="24"/>
          <w:szCs w:val="24"/>
          <w:lang/>
        </w:rPr>
        <w:t>У разі якщо вручити податкове повідомлення - рішення неможливо через помилку, допущену контролюючим органом, податкове повідомлення - рішення вважається таким, що не вручено платнику податків.</w:t>
      </w:r>
    </w:p>
    <w:p w14:paraId="024A53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5" w:name="n1412"/>
      <w:bookmarkEnd w:id="2345"/>
      <w:r w:rsidRPr="008B264B">
        <w:rPr>
          <w:rFonts w:ascii="Times New Roman" w:eastAsia="Times New Roman" w:hAnsi="Times New Roman" w:cs="Times New Roman"/>
          <w:i/>
          <w:iCs/>
          <w:color w:val="000000"/>
          <w:sz w:val="24"/>
          <w:szCs w:val="24"/>
          <w:lang/>
        </w:rPr>
        <w:t>{Пункт 58.3 статті 58 доповнено абзацом четвертим згідно із Законом </w:t>
      </w:r>
      <w:hyperlink r:id="rId130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867A5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6" w:name="n1413"/>
      <w:bookmarkEnd w:id="2346"/>
      <w:r w:rsidRPr="008B264B">
        <w:rPr>
          <w:rFonts w:ascii="Times New Roman" w:eastAsia="Times New Roman" w:hAnsi="Times New Roman" w:cs="Times New Roman"/>
          <w:i/>
          <w:iCs/>
          <w:color w:val="000000"/>
          <w:sz w:val="24"/>
          <w:szCs w:val="24"/>
          <w:lang/>
        </w:rPr>
        <w:t>{Пункт 58.4 статті 58 виключено на підставі Закону </w:t>
      </w:r>
      <w:hyperlink r:id="rId1305" w:anchor="n43"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3B43DE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7" w:name="n1419"/>
      <w:bookmarkEnd w:id="2347"/>
      <w:r w:rsidRPr="008B264B">
        <w:rPr>
          <w:rFonts w:ascii="Times New Roman" w:eastAsia="Times New Roman" w:hAnsi="Times New Roman" w:cs="Times New Roman"/>
          <w:b/>
          <w:bCs/>
          <w:color w:val="000000"/>
          <w:sz w:val="24"/>
          <w:szCs w:val="24"/>
          <w:lang/>
        </w:rPr>
        <w:t>Стаття 59.</w:t>
      </w:r>
      <w:r w:rsidRPr="008B264B">
        <w:rPr>
          <w:rFonts w:ascii="Times New Roman" w:eastAsia="Times New Roman" w:hAnsi="Times New Roman" w:cs="Times New Roman"/>
          <w:color w:val="000000"/>
          <w:sz w:val="24"/>
          <w:szCs w:val="24"/>
          <w:lang/>
        </w:rPr>
        <w:t> Податкова вимога</w:t>
      </w:r>
    </w:p>
    <w:p w14:paraId="35C6AF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8" w:name="n1420"/>
      <w:bookmarkEnd w:id="2348"/>
      <w:r w:rsidRPr="008B264B">
        <w:rPr>
          <w:rFonts w:ascii="Times New Roman" w:eastAsia="Times New Roman" w:hAnsi="Times New Roman" w:cs="Times New Roman"/>
          <w:color w:val="000000"/>
          <w:sz w:val="24"/>
          <w:szCs w:val="24"/>
          <w:lang/>
        </w:rPr>
        <w:t>59.1. У разі коли у платника податків виник податковий борг, контролюючий орган надсилає (вручає) йому </w:t>
      </w:r>
      <w:hyperlink r:id="rId1306" w:anchor="n32" w:tgtFrame="_blank" w:history="1">
        <w:r w:rsidRPr="008B264B">
          <w:rPr>
            <w:rFonts w:ascii="Times New Roman" w:eastAsia="Times New Roman" w:hAnsi="Times New Roman" w:cs="Times New Roman"/>
            <w:color w:val="0000FF"/>
            <w:sz w:val="24"/>
            <w:szCs w:val="24"/>
            <w:u w:val="single"/>
            <w:lang/>
          </w:rPr>
          <w:t>податкову вимогу</w:t>
        </w:r>
      </w:hyperlink>
      <w:r w:rsidRPr="008B264B">
        <w:rPr>
          <w:rFonts w:ascii="Times New Roman" w:eastAsia="Times New Roman" w:hAnsi="Times New Roman" w:cs="Times New Roman"/>
          <w:color w:val="000000"/>
          <w:sz w:val="24"/>
          <w:szCs w:val="24"/>
          <w:lang/>
        </w:rPr>
        <w:t> в </w:t>
      </w:r>
      <w:hyperlink r:id="rId1307" w:anchor="n16"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для надсилання (вручення) податкового повідомлення-рішення.</w:t>
      </w:r>
    </w:p>
    <w:p w14:paraId="223613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49" w:name="n1421"/>
      <w:bookmarkEnd w:id="2349"/>
      <w:r w:rsidRPr="008B264B">
        <w:rPr>
          <w:rFonts w:ascii="Times New Roman" w:eastAsia="Times New Roman" w:hAnsi="Times New Roman" w:cs="Times New Roman"/>
          <w:color w:val="000000"/>
          <w:sz w:val="24"/>
          <w:szCs w:val="24"/>
          <w:lang/>
        </w:rPr>
        <w:t>Податкова вимога може надсилатися (вручатися) контролюючим органом за місцем обліку платника податків, в якому обліковується податковий борг платника податків.</w:t>
      </w:r>
    </w:p>
    <w:p w14:paraId="0F9D0B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0" w:name="n13871"/>
      <w:bookmarkEnd w:id="2350"/>
      <w:r w:rsidRPr="008B264B">
        <w:rPr>
          <w:rFonts w:ascii="Times New Roman" w:eastAsia="Times New Roman" w:hAnsi="Times New Roman" w:cs="Times New Roman"/>
          <w:color w:val="000000"/>
          <w:sz w:val="24"/>
          <w:szCs w:val="24"/>
          <w:lang/>
        </w:rPr>
        <w:t>Податкова вимога не надсилається (не вручається), якщо загальна сума податкового боргу платника податків не перевищує шістдесяти неоподатковуваних мінімумів доходів громадян. У разі збільшення загальної суми податкового боргу до розміру, що перевищує шістдесят неоподатковуваних мінімумів доходів громадян, контролюючий орган надсилає (вручає) податкову вимогу такому платнику податків.</w:t>
      </w:r>
    </w:p>
    <w:p w14:paraId="16E1E1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1" w:name="n13870"/>
      <w:bookmarkEnd w:id="2351"/>
      <w:r w:rsidRPr="008B264B">
        <w:rPr>
          <w:rFonts w:ascii="Times New Roman" w:eastAsia="Times New Roman" w:hAnsi="Times New Roman" w:cs="Times New Roman"/>
          <w:i/>
          <w:iCs/>
          <w:color w:val="000000"/>
          <w:sz w:val="24"/>
          <w:szCs w:val="24"/>
          <w:lang/>
        </w:rPr>
        <w:t>{Пункт 59.1 статті 59 із змінами, внесеними згідно із Законом </w:t>
      </w:r>
      <w:hyperlink r:id="rId1308" w:anchor="n5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1309" w:anchor="n5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9C3C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2" w:name="n1423"/>
      <w:bookmarkEnd w:id="2352"/>
      <w:r w:rsidRPr="008B264B">
        <w:rPr>
          <w:rFonts w:ascii="Times New Roman" w:eastAsia="Times New Roman" w:hAnsi="Times New Roman" w:cs="Times New Roman"/>
          <w:i/>
          <w:iCs/>
          <w:color w:val="000000"/>
          <w:sz w:val="24"/>
          <w:szCs w:val="24"/>
          <w:lang/>
        </w:rPr>
        <w:t>{Пункт 59.2 статті 59 виключено на підставі Закону </w:t>
      </w:r>
      <w:hyperlink r:id="rId1310" w:anchor="n14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EB70A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3" w:name="n1424"/>
      <w:bookmarkEnd w:id="2353"/>
      <w:r w:rsidRPr="008B264B">
        <w:rPr>
          <w:rFonts w:ascii="Times New Roman" w:eastAsia="Times New Roman" w:hAnsi="Times New Roman" w:cs="Times New Roman"/>
          <w:color w:val="000000"/>
          <w:sz w:val="24"/>
          <w:szCs w:val="24"/>
          <w:lang/>
        </w:rPr>
        <w:t>59.3. Податкова вимога надсилається не раніше першого робочого дня після закінчення граничного строку сплати суми грошового зобов'язання.</w:t>
      </w:r>
    </w:p>
    <w:p w14:paraId="7F196D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4" w:name="n1425"/>
      <w:bookmarkEnd w:id="2354"/>
      <w:r w:rsidRPr="008B264B">
        <w:rPr>
          <w:rFonts w:ascii="Times New Roman" w:eastAsia="Times New Roman" w:hAnsi="Times New Roman" w:cs="Times New Roman"/>
          <w:color w:val="000000"/>
          <w:sz w:val="24"/>
          <w:szCs w:val="24"/>
          <w:lang/>
        </w:rPr>
        <w:t>Податкова вимога повинна містити відомості про факт виникнення грошового зобов'язання та права податкової застави, розмір податкового боргу, який забезпечується податковою заставою, обов'язок погасити податковий борг та можливі наслідки його непогашення в установлений строк, попередження про опис активів, які відповідно до законодавства можуть бути предметом податкової застави, а також про можливі дату та час проведення публічних торгів з їх продажу.</w:t>
      </w:r>
    </w:p>
    <w:p w14:paraId="0D80C0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5" w:name="n1426"/>
      <w:bookmarkEnd w:id="2355"/>
      <w:r w:rsidRPr="008B264B">
        <w:rPr>
          <w:rFonts w:ascii="Times New Roman" w:eastAsia="Times New Roman" w:hAnsi="Times New Roman" w:cs="Times New Roman"/>
          <w:color w:val="000000"/>
          <w:sz w:val="24"/>
          <w:szCs w:val="24"/>
          <w:lang/>
        </w:rPr>
        <w:t>59.4. Податкова вимога надсилається (вручається) також платникам податків, які самостійно подали податкові декларації, але не погасили суми податкових зобов'язань у встановлені цим Кодексом строки, без попереднього надсилання (вручення) податкового повідомлення-рішення.</w:t>
      </w:r>
    </w:p>
    <w:p w14:paraId="1F6BE4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6" w:name="n1427"/>
      <w:bookmarkEnd w:id="2356"/>
      <w:r w:rsidRPr="008B264B">
        <w:rPr>
          <w:rFonts w:ascii="Times New Roman" w:eastAsia="Times New Roman" w:hAnsi="Times New Roman" w:cs="Times New Roman"/>
          <w:i/>
          <w:iCs/>
          <w:color w:val="000000"/>
          <w:sz w:val="24"/>
          <w:szCs w:val="24"/>
          <w:lang/>
        </w:rPr>
        <w:t>{Пункт 59.4 статті 59 із змінами, внесеними згідно із Законом </w:t>
      </w:r>
      <w:hyperlink r:id="rId1311" w:anchor="n5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936F6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7" w:name="n1428"/>
      <w:bookmarkEnd w:id="2357"/>
      <w:r w:rsidRPr="008B264B">
        <w:rPr>
          <w:rFonts w:ascii="Times New Roman" w:eastAsia="Times New Roman" w:hAnsi="Times New Roman" w:cs="Times New Roman"/>
          <w:color w:val="000000"/>
          <w:sz w:val="24"/>
          <w:szCs w:val="24"/>
          <w:lang/>
        </w:rPr>
        <w:t>59.5. У разі якщо у платника податків, якому надіслано (вручено) податкову вимогу, сума податкового боргу збільшується (зменшується), погашенню підлягає вся сума податкового боргу такого платника податку, що існує на день погашення.</w:t>
      </w:r>
    </w:p>
    <w:p w14:paraId="1CACC9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8" w:name="n1429"/>
      <w:bookmarkEnd w:id="2358"/>
      <w:r w:rsidRPr="008B264B">
        <w:rPr>
          <w:rFonts w:ascii="Times New Roman" w:eastAsia="Times New Roman" w:hAnsi="Times New Roman" w:cs="Times New Roman"/>
          <w:color w:val="000000"/>
          <w:sz w:val="24"/>
          <w:szCs w:val="24"/>
          <w:lang/>
        </w:rPr>
        <w:t>У разі якщо після направлення (вручення) податкової вимоги сума податкового боргу змінилася, але податковий борг не був погашений в повному обсязі, податкова вимога додатково не надсилається (не вручається).</w:t>
      </w:r>
    </w:p>
    <w:p w14:paraId="2BB0A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59" w:name="n1430"/>
      <w:bookmarkEnd w:id="2359"/>
      <w:r w:rsidRPr="008B264B">
        <w:rPr>
          <w:rFonts w:ascii="Times New Roman" w:eastAsia="Times New Roman" w:hAnsi="Times New Roman" w:cs="Times New Roman"/>
          <w:i/>
          <w:iCs/>
          <w:color w:val="000000"/>
          <w:sz w:val="24"/>
          <w:szCs w:val="24"/>
          <w:lang/>
        </w:rPr>
        <w:lastRenderedPageBreak/>
        <w:t>{Пункт 59.5 статті 59 в редакції Закону </w:t>
      </w:r>
      <w:hyperlink r:id="rId1312" w:anchor="n5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305E7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0" w:name="n1431"/>
      <w:bookmarkEnd w:id="2360"/>
      <w:r w:rsidRPr="008B264B">
        <w:rPr>
          <w:rFonts w:ascii="Times New Roman" w:eastAsia="Times New Roman" w:hAnsi="Times New Roman" w:cs="Times New Roman"/>
          <w:b/>
          <w:bCs/>
          <w:color w:val="000000"/>
          <w:sz w:val="24"/>
          <w:szCs w:val="24"/>
          <w:lang/>
        </w:rPr>
        <w:t>Стаття 60.</w:t>
      </w:r>
      <w:r w:rsidRPr="008B264B">
        <w:rPr>
          <w:rFonts w:ascii="Times New Roman" w:eastAsia="Times New Roman" w:hAnsi="Times New Roman" w:cs="Times New Roman"/>
          <w:color w:val="000000"/>
          <w:sz w:val="24"/>
          <w:szCs w:val="24"/>
          <w:lang/>
        </w:rPr>
        <w:t> Відкликання податкового повідомлення-рішення і податкової вимоги</w:t>
      </w:r>
    </w:p>
    <w:p w14:paraId="048960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1" w:name="n1432"/>
      <w:bookmarkEnd w:id="2361"/>
      <w:r w:rsidRPr="008B264B">
        <w:rPr>
          <w:rFonts w:ascii="Times New Roman" w:eastAsia="Times New Roman" w:hAnsi="Times New Roman" w:cs="Times New Roman"/>
          <w:color w:val="000000"/>
          <w:sz w:val="24"/>
          <w:szCs w:val="24"/>
          <w:lang/>
        </w:rPr>
        <w:t>60.1. Податкове повідомлення-рішення або податкова вимога вважаються відкликаними, якщо:</w:t>
      </w:r>
    </w:p>
    <w:p w14:paraId="2535E1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2" w:name="n1433"/>
      <w:bookmarkEnd w:id="2362"/>
      <w:r w:rsidRPr="008B264B">
        <w:rPr>
          <w:rFonts w:ascii="Times New Roman" w:eastAsia="Times New Roman" w:hAnsi="Times New Roman" w:cs="Times New Roman"/>
          <w:color w:val="000000"/>
          <w:sz w:val="24"/>
          <w:szCs w:val="24"/>
          <w:lang/>
        </w:rPr>
        <w:t>60.1.1. сума податкового боргу самостійно погашається платником податків або органом стягнення;</w:t>
      </w:r>
    </w:p>
    <w:p w14:paraId="1F247F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3" w:name="n1434"/>
      <w:bookmarkEnd w:id="2363"/>
      <w:r w:rsidRPr="008B264B">
        <w:rPr>
          <w:rFonts w:ascii="Times New Roman" w:eastAsia="Times New Roman" w:hAnsi="Times New Roman" w:cs="Times New Roman"/>
          <w:color w:val="000000"/>
          <w:sz w:val="24"/>
          <w:szCs w:val="24"/>
          <w:lang/>
        </w:rPr>
        <w:t>60.1.2. контролюючий орган скасовує раніше прийняте податкове повідомлення-рішення про нарахування суми грошового зобов'язання або податкову вимогу;</w:t>
      </w:r>
    </w:p>
    <w:p w14:paraId="564D0D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4" w:name="n1435"/>
      <w:bookmarkEnd w:id="2364"/>
      <w:r w:rsidRPr="008B264B">
        <w:rPr>
          <w:rFonts w:ascii="Times New Roman" w:eastAsia="Times New Roman" w:hAnsi="Times New Roman" w:cs="Times New Roman"/>
          <w:color w:val="000000"/>
          <w:sz w:val="24"/>
          <w:szCs w:val="24"/>
          <w:lang/>
        </w:rPr>
        <w:t>60.1.3. контролюючий орган зменшує нараховану суму грошового зобов'язання раніше прийнятого податкового повідомлення-рішення або суму податкового боргу, визначену в податковій вимозі;</w:t>
      </w:r>
    </w:p>
    <w:p w14:paraId="651755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5" w:name="n1436"/>
      <w:bookmarkEnd w:id="2365"/>
      <w:r w:rsidRPr="008B264B">
        <w:rPr>
          <w:rFonts w:ascii="Times New Roman" w:eastAsia="Times New Roman" w:hAnsi="Times New Roman" w:cs="Times New Roman"/>
          <w:color w:val="000000"/>
          <w:sz w:val="24"/>
          <w:szCs w:val="24"/>
          <w:lang/>
        </w:rPr>
        <w:t>60.1.4. рішенням суду, що набрало законної сили, скасовується повідомлення-рішення контролюючого органу або сума податкового боргу, визначена в податковій вимозі;</w:t>
      </w:r>
    </w:p>
    <w:p w14:paraId="4B409B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6" w:name="n1437"/>
      <w:bookmarkEnd w:id="2366"/>
      <w:r w:rsidRPr="008B264B">
        <w:rPr>
          <w:rFonts w:ascii="Times New Roman" w:eastAsia="Times New Roman" w:hAnsi="Times New Roman" w:cs="Times New Roman"/>
          <w:color w:val="000000"/>
          <w:sz w:val="24"/>
          <w:szCs w:val="24"/>
          <w:lang/>
        </w:rPr>
        <w:t>60.1.5. рішенням суду, що набрало законної сили, зменшується сума грошового зобов'язання, визначена у податковому повідомленні-рішенні контролюючого органу, або сума податкового боргу, визначена в податковій вимозі.</w:t>
      </w:r>
    </w:p>
    <w:p w14:paraId="08A43D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7" w:name="n1438"/>
      <w:bookmarkEnd w:id="2367"/>
      <w:r w:rsidRPr="008B264B">
        <w:rPr>
          <w:rFonts w:ascii="Times New Roman" w:eastAsia="Times New Roman" w:hAnsi="Times New Roman" w:cs="Times New Roman"/>
          <w:color w:val="000000"/>
          <w:sz w:val="24"/>
          <w:szCs w:val="24"/>
          <w:lang/>
        </w:rPr>
        <w:t>60.2. У випадках, визначених підпунктом 60.1.1 пункту 60.1 цієї статті, податкова вимога вважається відкликаною у день, протягом якого відбулося погашення суми податкового боргу в повному обсязі.</w:t>
      </w:r>
    </w:p>
    <w:p w14:paraId="1FD7C0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8" w:name="n1439"/>
      <w:bookmarkEnd w:id="2368"/>
      <w:r w:rsidRPr="008B264B">
        <w:rPr>
          <w:rFonts w:ascii="Times New Roman" w:eastAsia="Times New Roman" w:hAnsi="Times New Roman" w:cs="Times New Roman"/>
          <w:color w:val="000000"/>
          <w:sz w:val="24"/>
          <w:szCs w:val="24"/>
          <w:lang/>
        </w:rPr>
        <w:t>60.3. У випадках, визначених підпунктом 60.1.2 пункту 60.1 цієї статті, податкове повідомлення-рішення або податкова вимога вважаються відкликаними з дня прийняття контролюючим органом рішення про скасування такого податкового повідомлення-рішення або податкової вимоги.</w:t>
      </w:r>
    </w:p>
    <w:p w14:paraId="32FAEB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69" w:name="n1440"/>
      <w:bookmarkEnd w:id="2369"/>
      <w:r w:rsidRPr="008B264B">
        <w:rPr>
          <w:rFonts w:ascii="Times New Roman" w:eastAsia="Times New Roman" w:hAnsi="Times New Roman" w:cs="Times New Roman"/>
          <w:color w:val="000000"/>
          <w:sz w:val="24"/>
          <w:szCs w:val="24"/>
          <w:lang/>
        </w:rPr>
        <w:t>60.4. У випадках, визначених підпунктами 60.1.3 і 60.1.5 пункту 60.1 цієї статті, податкове повідомлення-рішення або податкова вимога вважаються відкликаними з дня надходження до платника податків податкового повідомлення-рішення або податкової вимоги, які містять зменшену суму грошового зобов'язання або податкового боргу.</w:t>
      </w:r>
    </w:p>
    <w:p w14:paraId="5F21C2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0" w:name="n1441"/>
      <w:bookmarkEnd w:id="2370"/>
      <w:r w:rsidRPr="008B264B">
        <w:rPr>
          <w:rFonts w:ascii="Times New Roman" w:eastAsia="Times New Roman" w:hAnsi="Times New Roman" w:cs="Times New Roman"/>
          <w:color w:val="000000"/>
          <w:sz w:val="24"/>
          <w:szCs w:val="24"/>
          <w:lang/>
        </w:rPr>
        <w:t>60.5. У випадках, визначених підпунктом 60.1.4 пункту 60.1 цієї статті, податкове повідомлення-рішення або податкова вимога вважаються відкликаними у день набрання законної сили відповідним рішенням суду.</w:t>
      </w:r>
    </w:p>
    <w:p w14:paraId="2D1EB8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1" w:name="n1442"/>
      <w:bookmarkEnd w:id="2371"/>
      <w:r w:rsidRPr="008B264B">
        <w:rPr>
          <w:rFonts w:ascii="Times New Roman" w:eastAsia="Times New Roman" w:hAnsi="Times New Roman" w:cs="Times New Roman"/>
          <w:color w:val="000000"/>
          <w:sz w:val="24"/>
          <w:szCs w:val="24"/>
          <w:lang/>
        </w:rPr>
        <w:t>60.6. Якщо нарахована сума грошового зобов'язання або податкового боргу збільшується внаслідок їх адміністративного оскарження, раніше надіслане (вручене) податкове повідомлення-рішення або податкова вимога не відкликаються. На суму збільшення грошового зобов'язання надсилається окреме податкове повідомлення-рішення, а на суму збільшення податкового боргу окрема податкова вимога не надсилається (не вручається).</w:t>
      </w:r>
    </w:p>
    <w:p w14:paraId="0E99EF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2" w:name="n1443"/>
      <w:bookmarkEnd w:id="2372"/>
      <w:r w:rsidRPr="008B264B">
        <w:rPr>
          <w:rFonts w:ascii="Times New Roman" w:eastAsia="Times New Roman" w:hAnsi="Times New Roman" w:cs="Times New Roman"/>
          <w:i/>
          <w:iCs/>
          <w:color w:val="000000"/>
          <w:sz w:val="24"/>
          <w:szCs w:val="24"/>
          <w:lang/>
        </w:rPr>
        <w:t>{Пункт 60.6 статті 60 із змінами, внесеними згідно із Законом </w:t>
      </w:r>
      <w:hyperlink r:id="rId1313" w:anchor="n6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27D67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3" w:name="n1444"/>
      <w:bookmarkEnd w:id="2373"/>
      <w:r w:rsidRPr="008B264B">
        <w:rPr>
          <w:rFonts w:ascii="Times New Roman" w:eastAsia="Times New Roman" w:hAnsi="Times New Roman" w:cs="Times New Roman"/>
          <w:i/>
          <w:iCs/>
          <w:color w:val="000000"/>
          <w:sz w:val="24"/>
          <w:szCs w:val="24"/>
          <w:lang/>
        </w:rPr>
        <w:t>{Пункт 60.7 статті 60 виключено на підставі Закону </w:t>
      </w:r>
      <w:hyperlink r:id="rId1314" w:anchor="n15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5FFDA0D2"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374" w:name="n1445"/>
      <w:bookmarkEnd w:id="2374"/>
      <w:r w:rsidRPr="008B264B">
        <w:rPr>
          <w:rFonts w:ascii="Times New Roman" w:eastAsia="Times New Roman" w:hAnsi="Times New Roman" w:cs="Times New Roman"/>
          <w:b/>
          <w:bCs/>
          <w:color w:val="000000"/>
          <w:sz w:val="28"/>
          <w:szCs w:val="28"/>
          <w:lang/>
        </w:rPr>
        <w:t>ГЛАВА 5. ПОДАТКОВИЙ КОНТРОЛЬ</w:t>
      </w:r>
    </w:p>
    <w:p w14:paraId="200F72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5" w:name="n1446"/>
      <w:bookmarkEnd w:id="2375"/>
      <w:r w:rsidRPr="008B264B">
        <w:rPr>
          <w:rFonts w:ascii="Times New Roman" w:eastAsia="Times New Roman" w:hAnsi="Times New Roman" w:cs="Times New Roman"/>
          <w:b/>
          <w:bCs/>
          <w:color w:val="000000"/>
          <w:sz w:val="24"/>
          <w:szCs w:val="24"/>
          <w:lang/>
        </w:rPr>
        <w:t>Стаття 61.</w:t>
      </w:r>
      <w:r w:rsidRPr="008B264B">
        <w:rPr>
          <w:rFonts w:ascii="Times New Roman" w:eastAsia="Times New Roman" w:hAnsi="Times New Roman" w:cs="Times New Roman"/>
          <w:color w:val="000000"/>
          <w:sz w:val="24"/>
          <w:szCs w:val="24"/>
          <w:lang/>
        </w:rPr>
        <w:t> Визначення податкового контролю та повноваження органів державної влади щодо його здійснення</w:t>
      </w:r>
    </w:p>
    <w:p w14:paraId="0BA88D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6" w:name="n1447"/>
      <w:bookmarkEnd w:id="2376"/>
      <w:r w:rsidRPr="008B264B">
        <w:rPr>
          <w:rFonts w:ascii="Times New Roman" w:eastAsia="Times New Roman" w:hAnsi="Times New Roman" w:cs="Times New Roman"/>
          <w:color w:val="000000"/>
          <w:sz w:val="24"/>
          <w:szCs w:val="24"/>
          <w:lang/>
        </w:rPr>
        <w:t xml:space="preserve">61.1. Податковий контроль - система заходів, що вживаються контролюючими органами та координуються центральним органом виконавчої влади, що забезпечує формування та реалізує державну фінансову політику, з метою контролю правильності нарахування, повноти і своєчасності сплати податків і зборів, а також дотримання законодавства з питань регулювання </w:t>
      </w:r>
      <w:r w:rsidRPr="008B264B">
        <w:rPr>
          <w:rFonts w:ascii="Times New Roman" w:eastAsia="Times New Roman" w:hAnsi="Times New Roman" w:cs="Times New Roman"/>
          <w:color w:val="000000"/>
          <w:sz w:val="24"/>
          <w:szCs w:val="24"/>
          <w:lang/>
        </w:rPr>
        <w:lastRenderedPageBreak/>
        <w:t>обігу готівки, проведення розрахункових та касових операцій, патентування, ліцензування та іншого законодавства, контроль за дотриманням якого покладено на контролюючі органи.</w:t>
      </w:r>
    </w:p>
    <w:p w14:paraId="5C3697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7" w:name="n1448"/>
      <w:bookmarkEnd w:id="2377"/>
      <w:r w:rsidRPr="008B264B">
        <w:rPr>
          <w:rFonts w:ascii="Times New Roman" w:eastAsia="Times New Roman" w:hAnsi="Times New Roman" w:cs="Times New Roman"/>
          <w:i/>
          <w:iCs/>
          <w:color w:val="000000"/>
          <w:sz w:val="24"/>
          <w:szCs w:val="24"/>
          <w:lang/>
        </w:rPr>
        <w:t>{Абзац перший пункту 61.1 статті 61 із змінами, внесеними згідно із Законом </w:t>
      </w:r>
      <w:hyperlink r:id="rId131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554C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8" w:name="n1449"/>
      <w:bookmarkEnd w:id="2378"/>
      <w:r w:rsidRPr="008B264B">
        <w:rPr>
          <w:rFonts w:ascii="Times New Roman" w:eastAsia="Times New Roman" w:hAnsi="Times New Roman" w:cs="Times New Roman"/>
          <w:i/>
          <w:iCs/>
          <w:color w:val="000000"/>
          <w:sz w:val="24"/>
          <w:szCs w:val="24"/>
          <w:lang/>
        </w:rPr>
        <w:t>{Абзац другий пункту 61.1 статті 61 виключено на підставі Закону </w:t>
      </w:r>
      <w:hyperlink r:id="rId1316" w:anchor="n15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119FF7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79" w:name="n13872"/>
      <w:bookmarkEnd w:id="2379"/>
      <w:r w:rsidRPr="008B264B">
        <w:rPr>
          <w:rFonts w:ascii="Times New Roman" w:eastAsia="Times New Roman" w:hAnsi="Times New Roman" w:cs="Times New Roman"/>
          <w:i/>
          <w:iCs/>
          <w:color w:val="000000"/>
          <w:sz w:val="24"/>
          <w:szCs w:val="24"/>
          <w:lang/>
        </w:rPr>
        <w:t>{Пункт 61.1 статті 61 із змінами, внесеними згідно із Законом </w:t>
      </w:r>
      <w:hyperlink r:id="rId1317" w:anchor="n5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E628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0" w:name="n1450"/>
      <w:bookmarkEnd w:id="2380"/>
      <w:r w:rsidRPr="008B264B">
        <w:rPr>
          <w:rFonts w:ascii="Times New Roman" w:eastAsia="Times New Roman" w:hAnsi="Times New Roman" w:cs="Times New Roman"/>
          <w:color w:val="000000"/>
          <w:sz w:val="24"/>
          <w:szCs w:val="24"/>
          <w:lang/>
        </w:rPr>
        <w:t>61.2. Податковий контроль здійснюється органами, зазначеними у </w:t>
      </w:r>
      <w:hyperlink r:id="rId1318" w:anchor="n1080" w:history="1">
        <w:r w:rsidRPr="008B264B">
          <w:rPr>
            <w:rFonts w:ascii="Times New Roman" w:eastAsia="Times New Roman" w:hAnsi="Times New Roman" w:cs="Times New Roman"/>
            <w:color w:val="0000FF"/>
            <w:sz w:val="24"/>
            <w:szCs w:val="24"/>
            <w:u w:val="single"/>
            <w:lang/>
          </w:rPr>
          <w:t>статті 41</w:t>
        </w:r>
      </w:hyperlink>
      <w:r w:rsidRPr="008B264B">
        <w:rPr>
          <w:rFonts w:ascii="Times New Roman" w:eastAsia="Times New Roman" w:hAnsi="Times New Roman" w:cs="Times New Roman"/>
          <w:color w:val="000000"/>
          <w:sz w:val="24"/>
          <w:szCs w:val="24"/>
          <w:lang/>
        </w:rPr>
        <w:t> цього Кодексу, в межах їх повноважень, встановлених цим Кодексом.</w:t>
      </w:r>
    </w:p>
    <w:p w14:paraId="589CBE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1" w:name="n1451"/>
      <w:bookmarkEnd w:id="2381"/>
      <w:r w:rsidRPr="008B264B">
        <w:rPr>
          <w:rFonts w:ascii="Times New Roman" w:eastAsia="Times New Roman" w:hAnsi="Times New Roman" w:cs="Times New Roman"/>
          <w:color w:val="000000"/>
          <w:sz w:val="24"/>
          <w:szCs w:val="24"/>
          <w:lang/>
        </w:rPr>
        <w:t>61.3. Органи Служби безпеки України, внутрішніх справ, податкової міліції, прокуратури та їх службові (посадові) особи не можуть брати безпосередньої участі у проведенні перевірок, що здійснюються контролюючими органами, та проводити перевірки суб'єктів підприємницької діяльності з питань оподаткування.</w:t>
      </w:r>
    </w:p>
    <w:p w14:paraId="103B19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2" w:name="n13873"/>
      <w:bookmarkEnd w:id="2382"/>
      <w:r w:rsidRPr="008B264B">
        <w:rPr>
          <w:rFonts w:ascii="Times New Roman" w:eastAsia="Times New Roman" w:hAnsi="Times New Roman" w:cs="Times New Roman"/>
          <w:i/>
          <w:iCs/>
          <w:color w:val="000000"/>
          <w:sz w:val="24"/>
          <w:szCs w:val="24"/>
          <w:lang/>
        </w:rPr>
        <w:t>{Пункт 63.1 статті 63 буде викладено в новій редакції відповідно до положень </w:t>
      </w:r>
      <w:hyperlink r:id="rId1319" w:anchor="n1609" w:tgtFrame="_blank" w:history="1">
        <w:r w:rsidRPr="008B264B">
          <w:rPr>
            <w:rFonts w:ascii="Times New Roman" w:eastAsia="Times New Roman" w:hAnsi="Times New Roman" w:cs="Times New Roman"/>
            <w:i/>
            <w:iCs/>
            <w:color w:val="0000FF"/>
            <w:sz w:val="24"/>
            <w:szCs w:val="24"/>
            <w:u w:val="single"/>
            <w:lang/>
          </w:rPr>
          <w:t>абзацу третього</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4656E0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3" w:name="n1452"/>
      <w:bookmarkEnd w:id="2383"/>
      <w:r w:rsidRPr="008B264B">
        <w:rPr>
          <w:rFonts w:ascii="Times New Roman" w:eastAsia="Times New Roman" w:hAnsi="Times New Roman" w:cs="Times New Roman"/>
          <w:b/>
          <w:bCs/>
          <w:color w:val="000000"/>
          <w:sz w:val="24"/>
          <w:szCs w:val="24"/>
          <w:lang/>
        </w:rPr>
        <w:t>Стаття 62.</w:t>
      </w:r>
      <w:r w:rsidRPr="008B264B">
        <w:rPr>
          <w:rFonts w:ascii="Times New Roman" w:eastAsia="Times New Roman" w:hAnsi="Times New Roman" w:cs="Times New Roman"/>
          <w:color w:val="000000"/>
          <w:sz w:val="24"/>
          <w:szCs w:val="24"/>
          <w:lang/>
        </w:rPr>
        <w:t> Способи здійснення податкового контролю</w:t>
      </w:r>
    </w:p>
    <w:p w14:paraId="0DE2A5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4" w:name="n1453"/>
      <w:bookmarkEnd w:id="2384"/>
      <w:r w:rsidRPr="008B264B">
        <w:rPr>
          <w:rFonts w:ascii="Times New Roman" w:eastAsia="Times New Roman" w:hAnsi="Times New Roman" w:cs="Times New Roman"/>
          <w:color w:val="000000"/>
          <w:sz w:val="24"/>
          <w:szCs w:val="24"/>
          <w:lang/>
        </w:rPr>
        <w:t>62.1. Податковий контроль здійснюється шляхом:</w:t>
      </w:r>
    </w:p>
    <w:p w14:paraId="4AE72A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5" w:name="n1454"/>
      <w:bookmarkEnd w:id="2385"/>
      <w:r w:rsidRPr="008B264B">
        <w:rPr>
          <w:rFonts w:ascii="Times New Roman" w:eastAsia="Times New Roman" w:hAnsi="Times New Roman" w:cs="Times New Roman"/>
          <w:color w:val="000000"/>
          <w:sz w:val="24"/>
          <w:szCs w:val="24"/>
          <w:lang/>
        </w:rPr>
        <w:t>62.1.1. ведення обліку платників податків;</w:t>
      </w:r>
    </w:p>
    <w:p w14:paraId="21528B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6" w:name="n1455"/>
      <w:bookmarkEnd w:id="2386"/>
      <w:r w:rsidRPr="008B264B">
        <w:rPr>
          <w:rFonts w:ascii="Times New Roman" w:eastAsia="Times New Roman" w:hAnsi="Times New Roman" w:cs="Times New Roman"/>
          <w:color w:val="000000"/>
          <w:sz w:val="24"/>
          <w:szCs w:val="24"/>
          <w:lang/>
        </w:rPr>
        <w:t>62.1.2. інформаційно-аналітичного забезпечення діяльності контролюючих органів;</w:t>
      </w:r>
    </w:p>
    <w:p w14:paraId="76C673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7" w:name="n1456"/>
      <w:bookmarkEnd w:id="2387"/>
      <w:r w:rsidRPr="008B264B">
        <w:rPr>
          <w:rFonts w:ascii="Times New Roman" w:eastAsia="Times New Roman" w:hAnsi="Times New Roman" w:cs="Times New Roman"/>
          <w:color w:val="000000"/>
          <w:sz w:val="24"/>
          <w:szCs w:val="24"/>
          <w:lang/>
        </w:rPr>
        <w:t>62.1.3. перевірок та звірок відповідно до вимог цього Кодексу, а також перевірок щодо дотримання законодавства, контроль за дотриманням якого покладено на контролюючі органи, у порядку, встановленому законами України, що регулюють відповідну сферу правовідносин.</w:t>
      </w:r>
    </w:p>
    <w:p w14:paraId="365819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8" w:name="n13875"/>
      <w:bookmarkEnd w:id="2388"/>
      <w:r w:rsidRPr="008B264B">
        <w:rPr>
          <w:rFonts w:ascii="Times New Roman" w:eastAsia="Times New Roman" w:hAnsi="Times New Roman" w:cs="Times New Roman"/>
          <w:color w:val="000000"/>
          <w:sz w:val="24"/>
          <w:szCs w:val="24"/>
          <w:lang/>
        </w:rPr>
        <w:t>62.1.4. моніторингу контрольованих операцій та опитування посадових, уповноважених осіб та/або працівників платника податків відповідно до </w:t>
      </w:r>
      <w:hyperlink r:id="rId1320"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w:t>
      </w:r>
    </w:p>
    <w:p w14:paraId="6CC565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89" w:name="n13874"/>
      <w:bookmarkEnd w:id="2389"/>
      <w:r w:rsidRPr="008B264B">
        <w:rPr>
          <w:rFonts w:ascii="Times New Roman" w:eastAsia="Times New Roman" w:hAnsi="Times New Roman" w:cs="Times New Roman"/>
          <w:i/>
          <w:iCs/>
          <w:color w:val="000000"/>
          <w:sz w:val="24"/>
          <w:szCs w:val="24"/>
          <w:lang/>
        </w:rPr>
        <w:t>{Пункт 62.1 статті 62 доповнено підпунктом 62.1.4 згідно із Законом </w:t>
      </w:r>
      <w:hyperlink r:id="rId1321" w:anchor="n5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C779AA"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390" w:name="n1457"/>
      <w:bookmarkEnd w:id="2390"/>
      <w:r w:rsidRPr="008B264B">
        <w:rPr>
          <w:rFonts w:ascii="Times New Roman" w:eastAsia="Times New Roman" w:hAnsi="Times New Roman" w:cs="Times New Roman"/>
          <w:b/>
          <w:bCs/>
          <w:color w:val="000000"/>
          <w:sz w:val="28"/>
          <w:szCs w:val="28"/>
          <w:lang/>
        </w:rPr>
        <w:t>ГЛАВА 6. ОБЛІК ПЛАТНИКІВ ПОДАТКІВ</w:t>
      </w:r>
    </w:p>
    <w:p w14:paraId="5E9354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1" w:name="n1458"/>
      <w:bookmarkEnd w:id="2391"/>
      <w:r w:rsidRPr="008B264B">
        <w:rPr>
          <w:rFonts w:ascii="Times New Roman" w:eastAsia="Times New Roman" w:hAnsi="Times New Roman" w:cs="Times New Roman"/>
          <w:b/>
          <w:bCs/>
          <w:color w:val="000000"/>
          <w:sz w:val="24"/>
          <w:szCs w:val="24"/>
          <w:lang/>
        </w:rPr>
        <w:t>Стаття 63.</w:t>
      </w:r>
      <w:r w:rsidRPr="008B264B">
        <w:rPr>
          <w:rFonts w:ascii="Times New Roman" w:eastAsia="Times New Roman" w:hAnsi="Times New Roman" w:cs="Times New Roman"/>
          <w:color w:val="000000"/>
          <w:sz w:val="24"/>
          <w:szCs w:val="24"/>
          <w:lang/>
        </w:rPr>
        <w:t> Загальні положення щодо обліку платників податків</w:t>
      </w:r>
    </w:p>
    <w:p w14:paraId="5520D2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2" w:name="n1459"/>
      <w:bookmarkEnd w:id="2392"/>
      <w:r w:rsidRPr="008B264B">
        <w:rPr>
          <w:rFonts w:ascii="Times New Roman" w:eastAsia="Times New Roman" w:hAnsi="Times New Roman" w:cs="Times New Roman"/>
          <w:color w:val="000000"/>
          <w:sz w:val="24"/>
          <w:szCs w:val="24"/>
          <w:lang/>
        </w:rPr>
        <w:t>63.1. Облік платників податків ведеться з метою створення умов для здійснення контролюючими органами контролю за правильністю нарахування, своєчасністю і повнотою сплати податків, нарахованих фінансових санкцій, дотримання податкового та іншого законодавства, контроль за дотриманням якого покладено на контролюючі органи.</w:t>
      </w:r>
    </w:p>
    <w:p w14:paraId="673D9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3" w:name="n1460"/>
      <w:bookmarkEnd w:id="2393"/>
      <w:r w:rsidRPr="008B264B">
        <w:rPr>
          <w:rFonts w:ascii="Times New Roman" w:eastAsia="Times New Roman" w:hAnsi="Times New Roman" w:cs="Times New Roman"/>
          <w:color w:val="000000"/>
          <w:sz w:val="24"/>
          <w:szCs w:val="24"/>
          <w:lang/>
        </w:rPr>
        <w:t>63.2. Взяттю на облік або реєстрації у контролюючих органах підлягають всі платники податків.</w:t>
      </w:r>
    </w:p>
    <w:p w14:paraId="3FD8B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4" w:name="n1461"/>
      <w:bookmarkEnd w:id="2394"/>
      <w:r w:rsidRPr="008B264B">
        <w:rPr>
          <w:rFonts w:ascii="Times New Roman" w:eastAsia="Times New Roman" w:hAnsi="Times New Roman" w:cs="Times New Roman"/>
          <w:color w:val="000000"/>
          <w:sz w:val="24"/>
          <w:szCs w:val="24"/>
          <w:lang/>
        </w:rPr>
        <w:t>Взяття на облік у контролюючих органах юридичних осіб, їх відокремлених підрозділів, а також самозайнятих осіб здійснюється незалежно від наявності обов'язку щодо сплати того або іншого податку та збору.</w:t>
      </w:r>
    </w:p>
    <w:p w14:paraId="783B0D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5" w:name="n1462"/>
      <w:bookmarkEnd w:id="2395"/>
      <w:r w:rsidRPr="008B264B">
        <w:rPr>
          <w:rFonts w:ascii="Times New Roman" w:eastAsia="Times New Roman" w:hAnsi="Times New Roman" w:cs="Times New Roman"/>
          <w:color w:val="000000"/>
          <w:sz w:val="24"/>
          <w:szCs w:val="24"/>
          <w:lang/>
        </w:rPr>
        <w:t>63.3. З метою проведення податкового контролю платники податків підлягають реєстрації або взяттю на облік у контролюючих органах за місцезнаходженням юридичних осіб, відокремлених підрозділів юридичних осіб, місцем проживання особи (основне місце обліку), а також за місцем розташування (реєстрації) їх підрозділів, рухомого та нерухомого майна, об'єктів оподаткування або об'єктів, які пов'язані з оподаткуванням або через які провадиться діяльність (неосновне місце обліку).</w:t>
      </w:r>
    </w:p>
    <w:p w14:paraId="0C8F2F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6" w:name="n1463"/>
      <w:bookmarkEnd w:id="2396"/>
      <w:r w:rsidRPr="008B264B">
        <w:rPr>
          <w:rFonts w:ascii="Times New Roman" w:eastAsia="Times New Roman" w:hAnsi="Times New Roman" w:cs="Times New Roman"/>
          <w:color w:val="000000"/>
          <w:sz w:val="24"/>
          <w:szCs w:val="24"/>
          <w:lang/>
        </w:rPr>
        <w:lastRenderedPageBreak/>
        <w:t>Центральний орган виконавчої влади, що реалізує державну податкову і митну політику, може прийняти рішення про зміну основного та неосновного місця обліку великого платника податків.</w:t>
      </w:r>
    </w:p>
    <w:p w14:paraId="6C0CCA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7" w:name="n1464"/>
      <w:bookmarkEnd w:id="2397"/>
      <w:r w:rsidRPr="008B264B">
        <w:rPr>
          <w:rFonts w:ascii="Times New Roman" w:eastAsia="Times New Roman" w:hAnsi="Times New Roman" w:cs="Times New Roman"/>
          <w:i/>
          <w:iCs/>
          <w:color w:val="000000"/>
          <w:sz w:val="24"/>
          <w:szCs w:val="24"/>
          <w:lang/>
        </w:rPr>
        <w:t>{Абзац другий пункту 63.3 статті 63 із змінами, внесеними згідно з Законами </w:t>
      </w:r>
      <w:hyperlink r:id="rId1322" w:anchor="n10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323" w:anchor="n2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324"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325" w:anchor="n17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1D00C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8" w:name="n1465"/>
      <w:bookmarkEnd w:id="2398"/>
      <w:r w:rsidRPr="008B264B">
        <w:rPr>
          <w:rFonts w:ascii="Times New Roman" w:eastAsia="Times New Roman" w:hAnsi="Times New Roman" w:cs="Times New Roman"/>
          <w:color w:val="000000"/>
          <w:sz w:val="24"/>
          <w:szCs w:val="24"/>
          <w:lang/>
        </w:rPr>
        <w:t>Об'єктами оподаткування і об'єктами, пов'язаними з оподаткуванням, є майно та дії, у зв'язку з якими у платника податків виникають обов'язки щодо сплати податків та зборів. Такі об'єкти за кожним видом податку та збору визначаються згідно з відповідним розділом цього Кодексу.</w:t>
      </w:r>
    </w:p>
    <w:p w14:paraId="65833B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399" w:name="n1466"/>
      <w:bookmarkEnd w:id="2399"/>
      <w:r w:rsidRPr="008B264B">
        <w:rPr>
          <w:rFonts w:ascii="Times New Roman" w:eastAsia="Times New Roman" w:hAnsi="Times New Roman" w:cs="Times New Roman"/>
          <w:color w:val="000000"/>
          <w:sz w:val="24"/>
          <w:szCs w:val="24"/>
          <w:lang/>
        </w:rPr>
        <w:t>Платник податків зобов'язаний стати на облік у відповідних контролюючих органах за основним та неосновним місцем обліку, повідомляти про всі об'єкти оподаткування і об'єкти, пов'язані з оподаткуванням, контролюючі органи за основним місцем обліку згідно з порядком обліку платників податків.</w:t>
      </w:r>
    </w:p>
    <w:p w14:paraId="768561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0" w:name="n9478"/>
      <w:bookmarkEnd w:id="2400"/>
      <w:r w:rsidRPr="008B264B">
        <w:rPr>
          <w:rFonts w:ascii="Times New Roman" w:eastAsia="Times New Roman" w:hAnsi="Times New Roman" w:cs="Times New Roman"/>
          <w:i/>
          <w:iCs/>
          <w:color w:val="000000"/>
          <w:sz w:val="24"/>
          <w:szCs w:val="24"/>
          <w:lang/>
        </w:rPr>
        <w:t>{Абзац четвертий пункту 63.3 статті 63 із змінами, внесеними згідно із Законом </w:t>
      </w:r>
      <w:hyperlink r:id="rId1326" w:anchor="n2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5EE65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1" w:name="n1467"/>
      <w:bookmarkEnd w:id="2401"/>
      <w:r w:rsidRPr="008B264B">
        <w:rPr>
          <w:rFonts w:ascii="Times New Roman" w:eastAsia="Times New Roman" w:hAnsi="Times New Roman" w:cs="Times New Roman"/>
          <w:color w:val="000000"/>
          <w:sz w:val="24"/>
          <w:szCs w:val="24"/>
          <w:lang/>
        </w:rPr>
        <w:t>Заява про взяття на облік платника податків за неосновним місцем обліку подається у відповідний контролюючий орган протягом 10 робочих днів після створення відокремленого підрозділу, реєстрації рухомого чи нерухомого майна чи відкриття об'єкта чи підрозділу, через які провадиться діяльність або які підлягають оподаткуванню.</w:t>
      </w:r>
    </w:p>
    <w:p w14:paraId="55AD2B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2" w:name="n1468"/>
      <w:bookmarkEnd w:id="2402"/>
      <w:r w:rsidRPr="008B264B">
        <w:rPr>
          <w:rFonts w:ascii="Times New Roman" w:eastAsia="Times New Roman" w:hAnsi="Times New Roman" w:cs="Times New Roman"/>
          <w:color w:val="000000"/>
          <w:sz w:val="24"/>
          <w:szCs w:val="24"/>
          <w:lang/>
        </w:rPr>
        <w:t>63.4. Взяття на облік платників податків - юридичних осіб та їх відокремлених підрозділів здійснюється після їх державної реєстрації чи включення відомостей про них до відповідних державних реєстрів на умовах, що визначаються законодавчими актами України, крім випадків, визначених цим Кодексом, коли органами реєстрації є контролюючі органи або коли проведення державної реєстрації платника податків у відповідному статусі законодавством не передбачається.</w:t>
      </w:r>
    </w:p>
    <w:p w14:paraId="6F6F41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3" w:name="n1469"/>
      <w:bookmarkEnd w:id="2403"/>
      <w:r w:rsidRPr="008B264B">
        <w:rPr>
          <w:rFonts w:ascii="Times New Roman" w:eastAsia="Times New Roman" w:hAnsi="Times New Roman" w:cs="Times New Roman"/>
          <w:color w:val="000000"/>
          <w:sz w:val="24"/>
          <w:szCs w:val="24"/>
          <w:lang/>
        </w:rPr>
        <w:t>63.5. Всі фізичні особи - платники податків та зборів реєструються у контролюючих органах шляхом включення відомостей про них до Державного реєстру фізичних осіб - платників податків у порядку, визначеному цим Кодексом.</w:t>
      </w:r>
    </w:p>
    <w:p w14:paraId="1A2B55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4" w:name="n1470"/>
      <w:bookmarkEnd w:id="2404"/>
      <w:r w:rsidRPr="008B264B">
        <w:rPr>
          <w:rFonts w:ascii="Times New Roman" w:eastAsia="Times New Roman" w:hAnsi="Times New Roman" w:cs="Times New Roman"/>
          <w:color w:val="000000"/>
          <w:sz w:val="24"/>
          <w:szCs w:val="24"/>
          <w:lang/>
        </w:rPr>
        <w:t>Фізичні особи - підприємці та особи, які мають намір провадити незалежну професійну діяльність, підлягають взяттю на облік як самозайняті особи у контролюючих органах згідно з цим Кодексом.</w:t>
      </w:r>
    </w:p>
    <w:p w14:paraId="0B6958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5" w:name="n1471"/>
      <w:bookmarkEnd w:id="2405"/>
      <w:r w:rsidRPr="008B264B">
        <w:rPr>
          <w:rFonts w:ascii="Times New Roman" w:eastAsia="Times New Roman" w:hAnsi="Times New Roman" w:cs="Times New Roman"/>
          <w:color w:val="000000"/>
          <w:sz w:val="24"/>
          <w:szCs w:val="24"/>
          <w:lang/>
        </w:rPr>
        <w:t>63.6. Облік платників податків у контролюючих органах ведеться за податковими номерами.</w:t>
      </w:r>
    </w:p>
    <w:p w14:paraId="63690C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6" w:name="n1472"/>
      <w:bookmarkEnd w:id="2406"/>
      <w:r w:rsidRPr="008B264B">
        <w:rPr>
          <w:rFonts w:ascii="Times New Roman" w:eastAsia="Times New Roman" w:hAnsi="Times New Roman" w:cs="Times New Roman"/>
          <w:color w:val="000000"/>
          <w:sz w:val="24"/>
          <w:szCs w:val="24"/>
          <w:lang/>
        </w:rPr>
        <w:t>Порядок визначення податкового номера встановлюється центральним органом виконавчої влади, що забезпечує формування та реалізує державну фінансову політику.</w:t>
      </w:r>
    </w:p>
    <w:p w14:paraId="50059D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7" w:name="n1473"/>
      <w:bookmarkEnd w:id="2407"/>
      <w:r w:rsidRPr="008B264B">
        <w:rPr>
          <w:rFonts w:ascii="Times New Roman" w:eastAsia="Times New Roman" w:hAnsi="Times New Roman" w:cs="Times New Roman"/>
          <w:color w:val="000000"/>
          <w:sz w:val="24"/>
          <w:szCs w:val="24"/>
          <w:lang/>
        </w:rPr>
        <w:t>Облік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ведеться за прізвищем, ім'ям, по батькові і серією та номером діючого паспорта. У паспортах зазначених осіб контролюючими органами робиться відмітка про наявність у них права здійснювати будь-які платежі за серією та номером паспорта. Порядок внесення відмітки визначається центральним органом виконавчої влади, що забезпечує формування та реалізує державну фінансову політику.</w:t>
      </w:r>
    </w:p>
    <w:p w14:paraId="0267C3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8" w:name="n13411"/>
      <w:bookmarkEnd w:id="2408"/>
      <w:r w:rsidRPr="008B264B">
        <w:rPr>
          <w:rFonts w:ascii="Times New Roman" w:eastAsia="Times New Roman" w:hAnsi="Times New Roman" w:cs="Times New Roman"/>
          <w:i/>
          <w:iCs/>
          <w:color w:val="000000"/>
          <w:sz w:val="24"/>
          <w:szCs w:val="24"/>
          <w:lang/>
        </w:rPr>
        <w:t>{Пункт 63.6 статті 63 із змінами, внесеними згідно із Законом </w:t>
      </w:r>
      <w:hyperlink r:id="rId132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C80C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09" w:name="n1474"/>
      <w:bookmarkEnd w:id="2409"/>
      <w:r w:rsidRPr="008B264B">
        <w:rPr>
          <w:rFonts w:ascii="Times New Roman" w:eastAsia="Times New Roman" w:hAnsi="Times New Roman" w:cs="Times New Roman"/>
          <w:color w:val="000000"/>
          <w:sz w:val="24"/>
          <w:szCs w:val="24"/>
          <w:lang/>
        </w:rPr>
        <w:t>63.7. Контролюючий орган зазначає податковий номер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і мають відмітку у паспорті) у всіх свідоцтвах, довідках, в інших документах або повідомленнях, що видаються платнику податків або надсилаються йому.</w:t>
      </w:r>
    </w:p>
    <w:p w14:paraId="5285A9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0" w:name="n10557"/>
      <w:bookmarkEnd w:id="2410"/>
      <w:r w:rsidRPr="008B264B">
        <w:rPr>
          <w:rFonts w:ascii="Times New Roman" w:eastAsia="Times New Roman" w:hAnsi="Times New Roman" w:cs="Times New Roman"/>
          <w:i/>
          <w:iCs/>
          <w:color w:val="000000"/>
          <w:sz w:val="24"/>
          <w:szCs w:val="24"/>
          <w:lang/>
        </w:rPr>
        <w:lastRenderedPageBreak/>
        <w:t>{Абзац перший пункту 63.7 статті 63 із змінами, внесеними згідно із Законом </w:t>
      </w:r>
      <w:hyperlink r:id="rId1328" w:anchor="n20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CC752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1" w:name="n1475"/>
      <w:bookmarkEnd w:id="2411"/>
      <w:r w:rsidRPr="008B264B">
        <w:rPr>
          <w:rFonts w:ascii="Times New Roman" w:eastAsia="Times New Roman" w:hAnsi="Times New Roman" w:cs="Times New Roman"/>
          <w:color w:val="000000"/>
          <w:sz w:val="24"/>
          <w:szCs w:val="24"/>
          <w:lang/>
        </w:rPr>
        <w:t>Кожен платник податків зазначає податковий номер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і мають відмітку у паспорті) в усіх податкових деклараціях (розрахунках, звітах), платіжних документах щодо податків і зборів, у фінансових документах, а також в інших випадках, передбачених законодавством.</w:t>
      </w:r>
    </w:p>
    <w:p w14:paraId="35B8D4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2" w:name="n1476"/>
      <w:bookmarkEnd w:id="2412"/>
      <w:r w:rsidRPr="008B264B">
        <w:rPr>
          <w:rFonts w:ascii="Times New Roman" w:eastAsia="Times New Roman" w:hAnsi="Times New Roman" w:cs="Times New Roman"/>
          <w:color w:val="000000"/>
          <w:sz w:val="24"/>
          <w:szCs w:val="24"/>
          <w:lang/>
        </w:rPr>
        <w:t>63.8. Особливості обліку платників податків за окремими податками, а також окремих категорій платників податків установлюються відповідними розділами цього Кодексу.</w:t>
      </w:r>
    </w:p>
    <w:p w14:paraId="0ECAB9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3" w:name="n1477"/>
      <w:bookmarkEnd w:id="2413"/>
      <w:r w:rsidRPr="008B264B">
        <w:rPr>
          <w:rFonts w:ascii="Times New Roman" w:eastAsia="Times New Roman" w:hAnsi="Times New Roman" w:cs="Times New Roman"/>
          <w:color w:val="000000"/>
          <w:sz w:val="24"/>
          <w:szCs w:val="24"/>
          <w:lang/>
        </w:rPr>
        <w:t>63.9. Документи, що подаються платниками податків для взяття на облік у контролюючих органах, перевіряються у порядку, встановленому центральним органом виконавчої влади, що забезпечує формування та реалізує державну фінансову політику, і в разі виявлення помилок або подання недостовірних відомостей повертаються для виправлення. Платники податків, які не подали протягом 5 календарних днів, наступних за днем отримання повернутих документів, виправлених документів для взяття на облік у контролюючих органах або повторно подали такі документи з помилками, несуть відповідальність відповідно до закону.</w:t>
      </w:r>
    </w:p>
    <w:p w14:paraId="123E9C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4" w:name="n13412"/>
      <w:bookmarkEnd w:id="2414"/>
      <w:r w:rsidRPr="008B264B">
        <w:rPr>
          <w:rFonts w:ascii="Times New Roman" w:eastAsia="Times New Roman" w:hAnsi="Times New Roman" w:cs="Times New Roman"/>
          <w:i/>
          <w:iCs/>
          <w:color w:val="000000"/>
          <w:sz w:val="24"/>
          <w:szCs w:val="24"/>
          <w:lang/>
        </w:rPr>
        <w:t>{Пункт 63.9 статті 63 із змінами, внесеними згідно із Законом </w:t>
      </w:r>
      <w:hyperlink r:id="rId132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F8D3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5" w:name="n1478"/>
      <w:bookmarkEnd w:id="2415"/>
      <w:r w:rsidRPr="008B264B">
        <w:rPr>
          <w:rFonts w:ascii="Times New Roman" w:eastAsia="Times New Roman" w:hAnsi="Times New Roman" w:cs="Times New Roman"/>
          <w:color w:val="000000"/>
          <w:sz w:val="24"/>
          <w:szCs w:val="24"/>
          <w:lang/>
        </w:rPr>
        <w:t>63.10. Центральним органом виконавчої влади, що забезпечує формування та реалізує державну фінансову політику, визначаються:</w:t>
      </w:r>
    </w:p>
    <w:p w14:paraId="12C6F4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6" w:name="n13413"/>
      <w:bookmarkEnd w:id="2416"/>
      <w:r w:rsidRPr="008B264B">
        <w:rPr>
          <w:rFonts w:ascii="Times New Roman" w:eastAsia="Times New Roman" w:hAnsi="Times New Roman" w:cs="Times New Roman"/>
          <w:i/>
          <w:iCs/>
          <w:color w:val="000000"/>
          <w:sz w:val="24"/>
          <w:szCs w:val="24"/>
          <w:lang/>
        </w:rPr>
        <w:t>{Пункт 63.10 статті 63 із змінами, внесеними згідно із Законом </w:t>
      </w:r>
      <w:hyperlink r:id="rId1330"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91F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7" w:name="n1479"/>
      <w:bookmarkEnd w:id="2417"/>
      <w:r w:rsidRPr="008B264B">
        <w:rPr>
          <w:rFonts w:ascii="Times New Roman" w:eastAsia="Times New Roman" w:hAnsi="Times New Roman" w:cs="Times New Roman"/>
          <w:color w:val="000000"/>
          <w:sz w:val="24"/>
          <w:szCs w:val="24"/>
          <w:lang/>
        </w:rPr>
        <w:t>63.10.1. порядок обліку платників податків і зборів;</w:t>
      </w:r>
    </w:p>
    <w:p w14:paraId="7B76C9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8" w:name="n1480"/>
      <w:bookmarkEnd w:id="2418"/>
      <w:r w:rsidRPr="008B264B">
        <w:rPr>
          <w:rFonts w:ascii="Times New Roman" w:eastAsia="Times New Roman" w:hAnsi="Times New Roman" w:cs="Times New Roman"/>
          <w:color w:val="000000"/>
          <w:sz w:val="24"/>
          <w:szCs w:val="24"/>
          <w:lang/>
        </w:rPr>
        <w:t>63.10.2. перелік документів, які подаються для взяття на облік платників податків, а також порядок подання таких документів;</w:t>
      </w:r>
    </w:p>
    <w:p w14:paraId="17251E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19" w:name="n1481"/>
      <w:bookmarkEnd w:id="2419"/>
      <w:r w:rsidRPr="008B264B">
        <w:rPr>
          <w:rFonts w:ascii="Times New Roman" w:eastAsia="Times New Roman" w:hAnsi="Times New Roman" w:cs="Times New Roman"/>
          <w:color w:val="000000"/>
          <w:sz w:val="24"/>
          <w:szCs w:val="24"/>
          <w:lang/>
        </w:rPr>
        <w:t>63.10.3. форми заяв, свідоцтв та документів з питань реєстрації та обліку платників податків.</w:t>
      </w:r>
    </w:p>
    <w:p w14:paraId="060AA8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0" w:name="n1482"/>
      <w:bookmarkEnd w:id="2420"/>
      <w:r w:rsidRPr="008B264B">
        <w:rPr>
          <w:rFonts w:ascii="Times New Roman" w:eastAsia="Times New Roman" w:hAnsi="Times New Roman" w:cs="Times New Roman"/>
          <w:color w:val="000000"/>
          <w:sz w:val="24"/>
          <w:szCs w:val="24"/>
          <w:lang/>
        </w:rPr>
        <w:t>63.11. Контролюючі органи забезпечують достовірність даних про платників податків в Єдиному банку даних про платників податків - юридичних осіб та Державному реєстрі фізичних осіб - платників податків, реєстрі платників податку на додану вартість, реєстрі неприбуткових організацій та інших реєстрах, що формуються та ведуться контролюючими органами згідно з цим Кодексом, їх захист від несанкціонованого доступу, оновлення, архівування та відновлення даних.</w:t>
      </w:r>
    </w:p>
    <w:p w14:paraId="61E0E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1" w:name="n1483"/>
      <w:bookmarkEnd w:id="2421"/>
      <w:r w:rsidRPr="008B264B">
        <w:rPr>
          <w:rFonts w:ascii="Times New Roman" w:eastAsia="Times New Roman" w:hAnsi="Times New Roman" w:cs="Times New Roman"/>
          <w:color w:val="000000"/>
          <w:sz w:val="24"/>
          <w:szCs w:val="24"/>
          <w:lang/>
        </w:rPr>
        <w:t>63.12. Інформація, що збирається, використовується та формується контролюючими органами у зв’язку з обліком платників податків, вноситься до інформаційних баз даних.</w:t>
      </w:r>
    </w:p>
    <w:p w14:paraId="0CC034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2" w:name="n13876"/>
      <w:bookmarkEnd w:id="2422"/>
      <w:r w:rsidRPr="008B264B">
        <w:rPr>
          <w:rFonts w:ascii="Times New Roman" w:eastAsia="Times New Roman" w:hAnsi="Times New Roman" w:cs="Times New Roman"/>
          <w:i/>
          <w:iCs/>
          <w:color w:val="000000"/>
          <w:sz w:val="24"/>
          <w:szCs w:val="24"/>
          <w:lang/>
        </w:rPr>
        <w:t>{Пункт 63.12 статті 63 в редакції Закону </w:t>
      </w:r>
      <w:hyperlink r:id="rId1331" w:anchor="n5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A855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3" w:name="n9480"/>
      <w:bookmarkEnd w:id="2423"/>
      <w:r w:rsidRPr="008B264B">
        <w:rPr>
          <w:rFonts w:ascii="Times New Roman" w:eastAsia="Times New Roman" w:hAnsi="Times New Roman" w:cs="Times New Roman"/>
          <w:color w:val="000000"/>
          <w:sz w:val="24"/>
          <w:szCs w:val="24"/>
          <w:lang/>
        </w:rPr>
        <w:t>63.13. З метою постійного забезпечення органів державної влади, органів місцевого самоврядування, юридичних та фізичних осіб інформацією центральний орган виконавчої влади, що реалізує державну податкову і митну політику, оприлюднює на єдиному державному реєстраційному веб-порталі юридичних осіб та фізичних осіб - підприємців та власному офіційному веб-сайті дані про взяття на облік як платників податків юридичних осіб, їх відокремлених підрозділів та самозайнятих осіб не пізніше наступного робочого дня після взяття на облік.</w:t>
      </w:r>
    </w:p>
    <w:p w14:paraId="08E2EF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4" w:name="n13477"/>
      <w:bookmarkEnd w:id="2424"/>
      <w:r w:rsidRPr="008B264B">
        <w:rPr>
          <w:rFonts w:ascii="Times New Roman" w:eastAsia="Times New Roman" w:hAnsi="Times New Roman" w:cs="Times New Roman"/>
          <w:i/>
          <w:iCs/>
          <w:color w:val="000000"/>
          <w:sz w:val="24"/>
          <w:szCs w:val="24"/>
          <w:lang/>
        </w:rPr>
        <w:t>{Абзац перший пункту 63.13 статті 63 із змінами, внесеними згідно із Законом </w:t>
      </w:r>
      <w:hyperlink r:id="rId1332"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07E9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5" w:name="n9481"/>
      <w:bookmarkEnd w:id="2425"/>
      <w:r w:rsidRPr="008B264B">
        <w:rPr>
          <w:rFonts w:ascii="Times New Roman" w:eastAsia="Times New Roman" w:hAnsi="Times New Roman" w:cs="Times New Roman"/>
          <w:color w:val="000000"/>
          <w:sz w:val="24"/>
          <w:szCs w:val="24"/>
          <w:lang/>
        </w:rPr>
        <w:t>Доступ до зазначених веб-порталу та веб-сайту є безоплатним та вільним.</w:t>
      </w:r>
    </w:p>
    <w:p w14:paraId="1B951F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6" w:name="n9482"/>
      <w:bookmarkEnd w:id="2426"/>
      <w:r w:rsidRPr="008B264B">
        <w:rPr>
          <w:rFonts w:ascii="Times New Roman" w:eastAsia="Times New Roman" w:hAnsi="Times New Roman" w:cs="Times New Roman"/>
          <w:color w:val="000000"/>
          <w:sz w:val="24"/>
          <w:szCs w:val="24"/>
          <w:lang/>
        </w:rPr>
        <w:t>Зазначені дані містять такі відомості про платника податків:</w:t>
      </w:r>
    </w:p>
    <w:p w14:paraId="42E369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7" w:name="n9483"/>
      <w:bookmarkEnd w:id="2427"/>
      <w:r w:rsidRPr="008B264B">
        <w:rPr>
          <w:rFonts w:ascii="Times New Roman" w:eastAsia="Times New Roman" w:hAnsi="Times New Roman" w:cs="Times New Roman"/>
          <w:color w:val="000000"/>
          <w:sz w:val="24"/>
          <w:szCs w:val="24"/>
          <w:lang/>
        </w:rPr>
        <w:lastRenderedPageBreak/>
        <w:t>податковий номер (для юридичної особи та її відокремленого підрозділу);</w:t>
      </w:r>
    </w:p>
    <w:p w14:paraId="294874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8" w:name="n9484"/>
      <w:bookmarkEnd w:id="2428"/>
      <w:r w:rsidRPr="008B264B">
        <w:rPr>
          <w:rFonts w:ascii="Times New Roman" w:eastAsia="Times New Roman" w:hAnsi="Times New Roman" w:cs="Times New Roman"/>
          <w:color w:val="000000"/>
          <w:sz w:val="24"/>
          <w:szCs w:val="24"/>
          <w:lang/>
        </w:rPr>
        <w:t>найменування для юридичної особи або прізвище, ім’я, по батькові для фізичної особи;</w:t>
      </w:r>
    </w:p>
    <w:p w14:paraId="5BA136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29" w:name="n9485"/>
      <w:bookmarkEnd w:id="2429"/>
      <w:r w:rsidRPr="008B264B">
        <w:rPr>
          <w:rFonts w:ascii="Times New Roman" w:eastAsia="Times New Roman" w:hAnsi="Times New Roman" w:cs="Times New Roman"/>
          <w:color w:val="000000"/>
          <w:sz w:val="24"/>
          <w:szCs w:val="24"/>
          <w:lang/>
        </w:rPr>
        <w:t>місцезнаходження;</w:t>
      </w:r>
    </w:p>
    <w:p w14:paraId="52AB6E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0" w:name="n9486"/>
      <w:bookmarkEnd w:id="2430"/>
      <w:r w:rsidRPr="008B264B">
        <w:rPr>
          <w:rFonts w:ascii="Times New Roman" w:eastAsia="Times New Roman" w:hAnsi="Times New Roman" w:cs="Times New Roman"/>
          <w:color w:val="000000"/>
          <w:sz w:val="24"/>
          <w:szCs w:val="24"/>
          <w:lang/>
        </w:rPr>
        <w:t>дата та номер запису про взяття на облік;</w:t>
      </w:r>
    </w:p>
    <w:p w14:paraId="15C85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1" w:name="n9487"/>
      <w:bookmarkEnd w:id="2431"/>
      <w:r w:rsidRPr="008B264B">
        <w:rPr>
          <w:rFonts w:ascii="Times New Roman" w:eastAsia="Times New Roman" w:hAnsi="Times New Roman" w:cs="Times New Roman"/>
          <w:color w:val="000000"/>
          <w:sz w:val="24"/>
          <w:szCs w:val="24"/>
          <w:lang/>
        </w:rPr>
        <w:t>найменування та ідентифікаційний код контролюючого органу за основним місцем обліку платника податків;</w:t>
      </w:r>
    </w:p>
    <w:p w14:paraId="40F501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2" w:name="n9488"/>
      <w:bookmarkEnd w:id="2432"/>
      <w:r w:rsidRPr="008B264B">
        <w:rPr>
          <w:rFonts w:ascii="Times New Roman" w:eastAsia="Times New Roman" w:hAnsi="Times New Roman" w:cs="Times New Roman"/>
          <w:color w:val="000000"/>
          <w:sz w:val="24"/>
          <w:szCs w:val="24"/>
          <w:lang/>
        </w:rPr>
        <w:t>відомості про надіслання відповідним контролюючим органом державному реєстратору повідомлень у зв’язку з припиненням юридичної особи чи підприємницької діяльності фізичної особи - підприємця, що передбачені законодавством.</w:t>
      </w:r>
    </w:p>
    <w:p w14:paraId="123BE2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3" w:name="n9479"/>
      <w:bookmarkEnd w:id="2433"/>
      <w:r w:rsidRPr="008B264B">
        <w:rPr>
          <w:rFonts w:ascii="Times New Roman" w:eastAsia="Times New Roman" w:hAnsi="Times New Roman" w:cs="Times New Roman"/>
          <w:i/>
          <w:iCs/>
          <w:color w:val="000000"/>
          <w:sz w:val="24"/>
          <w:szCs w:val="24"/>
          <w:lang/>
        </w:rPr>
        <w:t>{Статтю 63 доповнено пунктом 63.13 згідно із Законом </w:t>
      </w:r>
      <w:hyperlink r:id="rId1333" w:anchor="n3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E610B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4" w:name="n1484"/>
      <w:bookmarkEnd w:id="2434"/>
      <w:r w:rsidRPr="008B264B">
        <w:rPr>
          <w:rFonts w:ascii="Times New Roman" w:eastAsia="Times New Roman" w:hAnsi="Times New Roman" w:cs="Times New Roman"/>
          <w:b/>
          <w:bCs/>
          <w:color w:val="000000"/>
          <w:sz w:val="24"/>
          <w:szCs w:val="24"/>
          <w:lang/>
        </w:rPr>
        <w:t>Стаття 64.</w:t>
      </w:r>
      <w:r w:rsidRPr="008B264B">
        <w:rPr>
          <w:rFonts w:ascii="Times New Roman" w:eastAsia="Times New Roman" w:hAnsi="Times New Roman" w:cs="Times New Roman"/>
          <w:color w:val="000000"/>
          <w:sz w:val="24"/>
          <w:szCs w:val="24"/>
          <w:lang/>
        </w:rPr>
        <w:t> Взяття на облік юридичних осіб та відокремлених підрозділів юридичних осіб</w:t>
      </w:r>
    </w:p>
    <w:p w14:paraId="0BF1D3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5" w:name="n1485"/>
      <w:bookmarkEnd w:id="2435"/>
      <w:r w:rsidRPr="008B264B">
        <w:rPr>
          <w:rFonts w:ascii="Times New Roman" w:eastAsia="Times New Roman" w:hAnsi="Times New Roman" w:cs="Times New Roman"/>
          <w:color w:val="000000"/>
          <w:sz w:val="24"/>
          <w:szCs w:val="24"/>
          <w:lang/>
        </w:rPr>
        <w:t>64.1. Взяття на облік за основним місцем обліку юридичних осіб та їх відокремлених підрозділів як платників податків та зборів у контролюючих органах здійснюється на підставі відомостей з Єдиного державного реєстру юридичних осіб, фізичних осіб - підприємців та громадських формувань, наданих державним реєстратором згідно із </w:t>
      </w:r>
      <w:hyperlink r:id="rId1334"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 не пізніше наступного робочого дня з дня отримання зазначених відомостей контролюючими органами.</w:t>
      </w:r>
    </w:p>
    <w:p w14:paraId="575476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6" w:name="n13877"/>
      <w:bookmarkEnd w:id="2436"/>
      <w:r w:rsidRPr="008B264B">
        <w:rPr>
          <w:rFonts w:ascii="Times New Roman" w:eastAsia="Times New Roman" w:hAnsi="Times New Roman" w:cs="Times New Roman"/>
          <w:i/>
          <w:iCs/>
          <w:color w:val="000000"/>
          <w:sz w:val="24"/>
          <w:szCs w:val="24"/>
          <w:lang/>
        </w:rPr>
        <w:t>{Абзац перший пункту 64.1 статті 64 із змінами, внесеними згідно із Законом </w:t>
      </w:r>
      <w:hyperlink r:id="rId1335" w:anchor="n5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61C7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7" w:name="n1486"/>
      <w:bookmarkEnd w:id="2437"/>
      <w:r w:rsidRPr="008B264B">
        <w:rPr>
          <w:rFonts w:ascii="Times New Roman" w:eastAsia="Times New Roman" w:hAnsi="Times New Roman" w:cs="Times New Roman"/>
          <w:color w:val="000000"/>
          <w:sz w:val="24"/>
          <w:szCs w:val="24"/>
          <w:lang/>
        </w:rPr>
        <w:t>Дані про взяття на облік юридичних осіб та їх відокремлених підрозділів як платників податків і зборів у контролюючих органах передаються до Єдиного державного реєстру юридичних осіб, фізичних осіб - підприємців та громадських формувань у день взяття на облік юридичної особи та відокремленого підрозділу юридичної особи в порядку, встановленому Міністерством юстиції України та центральним органом виконавчої влади, що забезпечує формування та реалізує державну фінансову політику.</w:t>
      </w:r>
    </w:p>
    <w:p w14:paraId="681CDB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8" w:name="n1487"/>
      <w:bookmarkEnd w:id="2438"/>
      <w:r w:rsidRPr="008B264B">
        <w:rPr>
          <w:rFonts w:ascii="Times New Roman" w:eastAsia="Times New Roman" w:hAnsi="Times New Roman" w:cs="Times New Roman"/>
          <w:i/>
          <w:iCs/>
          <w:color w:val="000000"/>
          <w:sz w:val="24"/>
          <w:szCs w:val="24"/>
          <w:lang/>
        </w:rPr>
        <w:t>{Пункт 64.1 статті 64 доповнено абзацом другим згідно із Законом </w:t>
      </w:r>
      <w:hyperlink r:id="rId1336" w:anchor="n6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337" w:anchor="n153"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338"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61E22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39" w:name="n1488"/>
      <w:bookmarkEnd w:id="2439"/>
      <w:r w:rsidRPr="008B264B">
        <w:rPr>
          <w:rFonts w:ascii="Times New Roman" w:eastAsia="Times New Roman" w:hAnsi="Times New Roman" w:cs="Times New Roman"/>
          <w:color w:val="000000"/>
          <w:sz w:val="24"/>
          <w:szCs w:val="24"/>
          <w:lang/>
        </w:rPr>
        <w:t>64.2. Взяття на облік за основним місцем обліку платників податків - юридичних осіб та відокремлених підрозділів юридичних осіб, для яких законом установлені особливості їх державної реєстрації та які не включаються до Єдиного державного реєстру юридичних осіб, фізичних осіб - підприємців та громадських формувань, здійснюється не пізніше наступного робочого дня з дня надходження від них відповідної заяви, яку платник податків зобов'язаний подати у десятиденний строк після державної реєстрації (легалізації, акредитації чи засвідчення факту створення іншим способом).</w:t>
      </w:r>
    </w:p>
    <w:p w14:paraId="3D1DA6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0" w:name="n1489"/>
      <w:bookmarkEnd w:id="2440"/>
      <w:r w:rsidRPr="008B264B">
        <w:rPr>
          <w:rFonts w:ascii="Times New Roman" w:eastAsia="Times New Roman" w:hAnsi="Times New Roman" w:cs="Times New Roman"/>
          <w:i/>
          <w:iCs/>
          <w:color w:val="000000"/>
          <w:sz w:val="24"/>
          <w:szCs w:val="24"/>
          <w:lang/>
        </w:rPr>
        <w:t>{Пункт 64.2 статті 64 із змінами, внесеними згідно із Законами </w:t>
      </w:r>
      <w:hyperlink r:id="rId1339" w:anchor="n6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340" w:anchor="n5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57AB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1" w:name="n1490"/>
      <w:bookmarkEnd w:id="2441"/>
      <w:r w:rsidRPr="008B264B">
        <w:rPr>
          <w:rFonts w:ascii="Times New Roman" w:eastAsia="Times New Roman" w:hAnsi="Times New Roman" w:cs="Times New Roman"/>
          <w:color w:val="000000"/>
          <w:sz w:val="24"/>
          <w:szCs w:val="24"/>
          <w:lang/>
        </w:rPr>
        <w:t>64.3. Взяття на облік юридичних осіб та їх відокремлених підрозділів як платників податків і зборів у контролюючих органах згідно з пунктом 64.1 цієї статті підтверджується випискою з Єдиного державного реєстру юридичних осіб та фізичних осіб - підприємців, яка надсилається (видається) цим юридичним особам та відокремленим підрозділам юридичних осіб у порядку, встановленому </w:t>
      </w:r>
      <w:hyperlink r:id="rId1341"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w:t>
      </w:r>
    </w:p>
    <w:p w14:paraId="4043F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2" w:name="n13878"/>
      <w:bookmarkEnd w:id="2442"/>
      <w:r w:rsidRPr="008B264B">
        <w:rPr>
          <w:rFonts w:ascii="Times New Roman" w:eastAsia="Times New Roman" w:hAnsi="Times New Roman" w:cs="Times New Roman"/>
          <w:i/>
          <w:iCs/>
          <w:color w:val="000000"/>
          <w:sz w:val="24"/>
          <w:szCs w:val="24"/>
          <w:lang/>
        </w:rPr>
        <w:t>{Абзац перший пункту 64.3 статті 64 із змінами, внесеними згідно із Законом </w:t>
      </w:r>
      <w:hyperlink r:id="rId1342" w:anchor="n5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97B21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3" w:name="n1491"/>
      <w:bookmarkEnd w:id="2443"/>
      <w:r w:rsidRPr="008B264B">
        <w:rPr>
          <w:rFonts w:ascii="Times New Roman" w:eastAsia="Times New Roman" w:hAnsi="Times New Roman" w:cs="Times New Roman"/>
          <w:color w:val="000000"/>
          <w:sz w:val="24"/>
          <w:szCs w:val="24"/>
          <w:lang/>
        </w:rPr>
        <w:lastRenderedPageBreak/>
        <w:t>У разі взяття на облік юридичних осіб та їх відокремлених підрозділів як платників податків і зборів у контролюючих органах згідно з пунктом 64.2 цієї статті цим юридичним особам та відокремленим підрозділам юридичних осіб наступного робочого дня з дня взяття на облік за основним місцем обліку надсилається (видається) довідка про взяття на облік.</w:t>
      </w:r>
    </w:p>
    <w:p w14:paraId="53D249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4" w:name="n1492"/>
      <w:bookmarkEnd w:id="2444"/>
      <w:r w:rsidRPr="008B264B">
        <w:rPr>
          <w:rFonts w:ascii="Times New Roman" w:eastAsia="Times New Roman" w:hAnsi="Times New Roman" w:cs="Times New Roman"/>
          <w:i/>
          <w:iCs/>
          <w:color w:val="000000"/>
          <w:sz w:val="24"/>
          <w:szCs w:val="24"/>
          <w:lang/>
        </w:rPr>
        <w:t>{Пункт 64.3 статті 64 в редакції Закону </w:t>
      </w:r>
      <w:hyperlink r:id="rId1343" w:anchor="n6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5665E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5" w:name="n1493"/>
      <w:bookmarkEnd w:id="2445"/>
      <w:r w:rsidRPr="008B264B">
        <w:rPr>
          <w:rFonts w:ascii="Times New Roman" w:eastAsia="Times New Roman" w:hAnsi="Times New Roman" w:cs="Times New Roman"/>
          <w:color w:val="000000"/>
          <w:sz w:val="24"/>
          <w:szCs w:val="24"/>
          <w:lang/>
        </w:rPr>
        <w:t>64.4. Військові частини зобов'язані протягом 10 календарних днів після реєстрації військової частини як суб'єкта господарювання стати на облік у контролюючому органі за місцем своєї дислокації згідно із </w:t>
      </w:r>
      <w:hyperlink r:id="rId1344" w:anchor="n1488" w:history="1">
        <w:r w:rsidRPr="008B264B">
          <w:rPr>
            <w:rFonts w:ascii="Times New Roman" w:eastAsia="Times New Roman" w:hAnsi="Times New Roman" w:cs="Times New Roman"/>
            <w:color w:val="0000FF"/>
            <w:sz w:val="24"/>
            <w:szCs w:val="24"/>
            <w:u w:val="single"/>
            <w:lang/>
          </w:rPr>
          <w:t>пунктом 64.2</w:t>
        </w:r>
      </w:hyperlink>
      <w:r w:rsidRPr="008B264B">
        <w:rPr>
          <w:rFonts w:ascii="Times New Roman" w:eastAsia="Times New Roman" w:hAnsi="Times New Roman" w:cs="Times New Roman"/>
          <w:color w:val="000000"/>
          <w:sz w:val="24"/>
          <w:szCs w:val="24"/>
          <w:lang/>
        </w:rPr>
        <w:t> цієї статті.</w:t>
      </w:r>
    </w:p>
    <w:p w14:paraId="0346CE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6" w:name="n1494"/>
      <w:bookmarkEnd w:id="2446"/>
      <w:r w:rsidRPr="008B264B">
        <w:rPr>
          <w:rFonts w:ascii="Times New Roman" w:eastAsia="Times New Roman" w:hAnsi="Times New Roman" w:cs="Times New Roman"/>
          <w:i/>
          <w:iCs/>
          <w:color w:val="000000"/>
          <w:sz w:val="24"/>
          <w:szCs w:val="24"/>
          <w:lang/>
        </w:rPr>
        <w:t>{Пункт 64.4 статті 64 із змінами, внесеними згідно із Законом </w:t>
      </w:r>
      <w:hyperlink r:id="rId1345"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w:t>
      </w:r>
    </w:p>
    <w:p w14:paraId="4E7648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7" w:name="n1495"/>
      <w:bookmarkEnd w:id="2447"/>
      <w:r w:rsidRPr="008B264B">
        <w:rPr>
          <w:rFonts w:ascii="Times New Roman" w:eastAsia="Times New Roman" w:hAnsi="Times New Roman" w:cs="Times New Roman"/>
          <w:color w:val="000000"/>
          <w:sz w:val="24"/>
          <w:szCs w:val="24"/>
          <w:lang/>
        </w:rPr>
        <w:t>64.5. Підставою для взяття на облік (внесення змін, перереєстрації) відокремленого підрозділу іноземної компанії, організації, у тому числі постійного представництва нерезидента, є належна акредитація (реєстрація, легалізація) такого підрозділу на території України згідно із законом.</w:t>
      </w:r>
    </w:p>
    <w:p w14:paraId="2AD02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8" w:name="n1496"/>
      <w:bookmarkEnd w:id="2448"/>
      <w:r w:rsidRPr="008B264B">
        <w:rPr>
          <w:rFonts w:ascii="Times New Roman" w:eastAsia="Times New Roman" w:hAnsi="Times New Roman" w:cs="Times New Roman"/>
          <w:color w:val="000000"/>
          <w:sz w:val="24"/>
          <w:szCs w:val="24"/>
          <w:lang/>
        </w:rPr>
        <w:t>Для взяття на облік постійні представництва нерезидентів та відокремлені підрозділи іноземних юридичних осіб зобов'язані звернутися протягом 10 календарних днів з дня їх державної реєстрації (акредитації, легалізації) в установленому порядку або до початку провадження господарської діяльності, якщо така реєстрація не є обов'язковою згідно із законодавством, до контролюючих органів за своїм місцезнаходженням. Взяття на облік таких платників податків здійснюється відповідно до </w:t>
      </w:r>
      <w:hyperlink r:id="rId1346" w:anchor="n1488" w:history="1">
        <w:r w:rsidRPr="008B264B">
          <w:rPr>
            <w:rFonts w:ascii="Times New Roman" w:eastAsia="Times New Roman" w:hAnsi="Times New Roman" w:cs="Times New Roman"/>
            <w:color w:val="0000FF"/>
            <w:sz w:val="24"/>
            <w:szCs w:val="24"/>
            <w:u w:val="single"/>
            <w:lang/>
          </w:rPr>
          <w:t>пункту 64.2</w:t>
        </w:r>
      </w:hyperlink>
      <w:r w:rsidRPr="008B264B">
        <w:rPr>
          <w:rFonts w:ascii="Times New Roman" w:eastAsia="Times New Roman" w:hAnsi="Times New Roman" w:cs="Times New Roman"/>
          <w:color w:val="000000"/>
          <w:sz w:val="24"/>
          <w:szCs w:val="24"/>
          <w:lang/>
        </w:rPr>
        <w:t> цієї статті.</w:t>
      </w:r>
    </w:p>
    <w:p w14:paraId="0D8EAD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49" w:name="n1497"/>
      <w:bookmarkEnd w:id="2449"/>
      <w:r w:rsidRPr="008B264B">
        <w:rPr>
          <w:rFonts w:ascii="Times New Roman" w:eastAsia="Times New Roman" w:hAnsi="Times New Roman" w:cs="Times New Roman"/>
          <w:color w:val="000000"/>
          <w:sz w:val="24"/>
          <w:szCs w:val="24"/>
          <w:lang/>
        </w:rPr>
        <w:t>У разі встановлення контролюючим органом за результатами податкового контролю ведення нерезидентом господарської діяльності через постійне представництво на території України без взяття на податковий облік складається акт, який надсилається через компетентний орган України до компетентного органу іноземної держави для організації заходів стягнення.</w:t>
      </w:r>
    </w:p>
    <w:bookmarkStart w:id="2450" w:name="n1498"/>
    <w:bookmarkEnd w:id="2450"/>
    <w:p w14:paraId="35B34E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"https://zakon.rada.gov.ua/laws/show/z1421-17" \l "n15"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зазначеного акта затверджується центральним органом виконавчої влади, що забезпечує формування та реалізує державну фінансову політику.</w:t>
      </w:r>
    </w:p>
    <w:p w14:paraId="3AD31E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1" w:name="n13415"/>
      <w:bookmarkEnd w:id="2451"/>
      <w:r w:rsidRPr="008B264B">
        <w:rPr>
          <w:rFonts w:ascii="Times New Roman" w:eastAsia="Times New Roman" w:hAnsi="Times New Roman" w:cs="Times New Roman"/>
          <w:i/>
          <w:iCs/>
          <w:color w:val="000000"/>
          <w:sz w:val="24"/>
          <w:szCs w:val="24"/>
          <w:lang/>
        </w:rPr>
        <w:t>{Абзац четвертий пункту 64.5 статті 64 із змінами, внесеними згідно із Законом </w:t>
      </w:r>
      <w:hyperlink r:id="rId134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04157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2" w:name="n1499"/>
      <w:bookmarkEnd w:id="2452"/>
      <w:r w:rsidRPr="008B264B">
        <w:rPr>
          <w:rFonts w:ascii="Times New Roman" w:eastAsia="Times New Roman" w:hAnsi="Times New Roman" w:cs="Times New Roman"/>
          <w:i/>
          <w:iCs/>
          <w:color w:val="000000"/>
          <w:sz w:val="24"/>
          <w:szCs w:val="24"/>
          <w:lang/>
        </w:rPr>
        <w:t>{Абзац п'ятий пункту 64.5 статті 64 виключено на підставі Закону </w:t>
      </w:r>
      <w:hyperlink r:id="rId13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5B6DD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3" w:name="n12595"/>
      <w:bookmarkEnd w:id="2453"/>
      <w:r w:rsidRPr="008B264B">
        <w:rPr>
          <w:rFonts w:ascii="Times New Roman" w:eastAsia="Times New Roman" w:hAnsi="Times New Roman" w:cs="Times New Roman"/>
          <w:color w:val="000000"/>
          <w:sz w:val="24"/>
          <w:szCs w:val="24"/>
          <w:lang/>
        </w:rPr>
        <w:t>У разі отримання іноземною компанією або організацією майнових прав на нерухомість або землю в Україні, які підлягають оподаткуванню, якщо спосіб та цілі отримання цього майна не потребують створення такою компанією (організацією) відокремленого підрозділу або постійного представництва нерезидента в Україні, такий нерезидент береться на облік у контролюючому органі за місцезнаходженням відповідного об’єкта після подання таких документів:</w:t>
      </w:r>
    </w:p>
    <w:p w14:paraId="03660B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4" w:name="n12603"/>
      <w:bookmarkEnd w:id="2454"/>
      <w:r w:rsidRPr="008B264B">
        <w:rPr>
          <w:rFonts w:ascii="Times New Roman" w:eastAsia="Times New Roman" w:hAnsi="Times New Roman" w:cs="Times New Roman"/>
          <w:i/>
          <w:iCs/>
          <w:color w:val="000000"/>
          <w:sz w:val="24"/>
          <w:szCs w:val="24"/>
          <w:lang/>
        </w:rPr>
        <w:t>{Пункт 64.5 статті 64 доповнено абзацом п'ятим згідно із Законом </w:t>
      </w:r>
      <w:hyperlink r:id="rId1349" w:anchor="n4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7CC5D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5" w:name="n12596"/>
      <w:bookmarkEnd w:id="2455"/>
      <w:r w:rsidRPr="008B264B">
        <w:rPr>
          <w:rFonts w:ascii="Times New Roman" w:eastAsia="Times New Roman" w:hAnsi="Times New Roman" w:cs="Times New Roman"/>
          <w:color w:val="000000"/>
          <w:sz w:val="24"/>
          <w:szCs w:val="24"/>
          <w:lang/>
        </w:rPr>
        <w:t>заяви за формою, затвердженою центральним органом виконавчої влади, що забезпечує формування та реалізує державну фінансову політику;</w:t>
      </w:r>
    </w:p>
    <w:p w14:paraId="4E0556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6" w:name="n12602"/>
      <w:bookmarkEnd w:id="2456"/>
      <w:r w:rsidRPr="008B264B">
        <w:rPr>
          <w:rFonts w:ascii="Times New Roman" w:eastAsia="Times New Roman" w:hAnsi="Times New Roman" w:cs="Times New Roman"/>
          <w:i/>
          <w:iCs/>
          <w:color w:val="000000"/>
          <w:sz w:val="24"/>
          <w:szCs w:val="24"/>
          <w:lang/>
        </w:rPr>
        <w:t>{Пункт 64.5 статті 64 доповнено абзацом шостим згідно із Законом </w:t>
      </w:r>
      <w:hyperlink r:id="rId1350" w:anchor="n4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3DC22C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7" w:name="n12597"/>
      <w:bookmarkEnd w:id="2457"/>
      <w:r w:rsidRPr="008B264B">
        <w:rPr>
          <w:rFonts w:ascii="Times New Roman" w:eastAsia="Times New Roman" w:hAnsi="Times New Roman" w:cs="Times New Roman"/>
          <w:color w:val="000000"/>
          <w:sz w:val="24"/>
          <w:szCs w:val="24"/>
          <w:lang/>
        </w:rPr>
        <w:t>копії витягу з торговельного, банківського або судового реєстру, виданого в країні реєстрації іноземної компанії, організації та легалізованого в установленому порядку, якщо інше не передбачено міжнародними договорами, згода на обов’язковість яких надана Верховною Радою України, що супроводжується нотаріально засвідченим перекладом українською мовою;</w:t>
      </w:r>
    </w:p>
    <w:p w14:paraId="5D2587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8" w:name="n12601"/>
      <w:bookmarkEnd w:id="2458"/>
      <w:r w:rsidRPr="008B264B">
        <w:rPr>
          <w:rFonts w:ascii="Times New Roman" w:eastAsia="Times New Roman" w:hAnsi="Times New Roman" w:cs="Times New Roman"/>
          <w:i/>
          <w:iCs/>
          <w:color w:val="000000"/>
          <w:sz w:val="24"/>
          <w:szCs w:val="24"/>
          <w:lang/>
        </w:rPr>
        <w:lastRenderedPageBreak/>
        <w:t>{Пункт 64.5 статті 64 доповнено абзацом сьомим згідно із Законом </w:t>
      </w:r>
      <w:hyperlink r:id="rId1351" w:anchor="n4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03D87C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59" w:name="n12598"/>
      <w:bookmarkEnd w:id="2459"/>
      <w:r w:rsidRPr="008B264B">
        <w:rPr>
          <w:rFonts w:ascii="Times New Roman" w:eastAsia="Times New Roman" w:hAnsi="Times New Roman" w:cs="Times New Roman"/>
          <w:color w:val="000000"/>
          <w:sz w:val="24"/>
          <w:szCs w:val="24"/>
          <w:lang/>
        </w:rPr>
        <w:t>нотаріально засвідченої копії правовстановлювальних документів, якими підтверджується право власності на нерухомість або право власності чи користування земельною ділянкою, виданих та зареєстрованих на ім’я нерезидента уповноваженими органами України;</w:t>
      </w:r>
    </w:p>
    <w:p w14:paraId="232B16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0" w:name="n12600"/>
      <w:bookmarkEnd w:id="2460"/>
      <w:r w:rsidRPr="008B264B">
        <w:rPr>
          <w:rFonts w:ascii="Times New Roman" w:eastAsia="Times New Roman" w:hAnsi="Times New Roman" w:cs="Times New Roman"/>
          <w:i/>
          <w:iCs/>
          <w:color w:val="000000"/>
          <w:sz w:val="24"/>
          <w:szCs w:val="24"/>
          <w:lang/>
        </w:rPr>
        <w:t>{Пункт 64.5 статті 64 доповнено абзацом восьмим згідно із Законом </w:t>
      </w:r>
      <w:hyperlink r:id="rId1352" w:anchor="n4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470EEF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1" w:name="n12599"/>
      <w:bookmarkEnd w:id="2461"/>
      <w:r w:rsidRPr="008B264B">
        <w:rPr>
          <w:rFonts w:ascii="Times New Roman" w:eastAsia="Times New Roman" w:hAnsi="Times New Roman" w:cs="Times New Roman"/>
          <w:color w:val="000000"/>
          <w:sz w:val="24"/>
          <w:szCs w:val="24"/>
          <w:lang/>
        </w:rPr>
        <w:t>дані про представника платника податку.</w:t>
      </w:r>
    </w:p>
    <w:p w14:paraId="22F6C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2" w:name="n12594"/>
      <w:bookmarkEnd w:id="2462"/>
      <w:r w:rsidRPr="008B264B">
        <w:rPr>
          <w:rFonts w:ascii="Times New Roman" w:eastAsia="Times New Roman" w:hAnsi="Times New Roman" w:cs="Times New Roman"/>
          <w:i/>
          <w:iCs/>
          <w:color w:val="000000"/>
          <w:sz w:val="24"/>
          <w:szCs w:val="24"/>
          <w:lang/>
        </w:rPr>
        <w:t>{Пункт 64.5 статті 64 доповнено абзацом дев'ятим згідно із Законом </w:t>
      </w:r>
      <w:hyperlink r:id="rId1353" w:anchor="n44"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70B04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3" w:name="n1500"/>
      <w:bookmarkEnd w:id="2463"/>
      <w:r w:rsidRPr="008B264B">
        <w:rPr>
          <w:rFonts w:ascii="Times New Roman" w:eastAsia="Times New Roman" w:hAnsi="Times New Roman" w:cs="Times New Roman"/>
          <w:color w:val="000000"/>
          <w:sz w:val="24"/>
          <w:szCs w:val="24"/>
          <w:lang/>
        </w:rPr>
        <w:t>64.6. На обліку у контролюючих органах повинні перебувати угоди про розподіл продукції, договори управління майном (крім договорів щодо операцій, визначених у другому реченні </w:t>
      </w:r>
      <w:hyperlink r:id="rId1354" w:anchor="n4390" w:history="1">
        <w:r w:rsidRPr="008B264B">
          <w:rPr>
            <w:rFonts w:ascii="Times New Roman" w:eastAsia="Times New Roman" w:hAnsi="Times New Roman" w:cs="Times New Roman"/>
            <w:color w:val="0000FF"/>
            <w:sz w:val="24"/>
            <w:szCs w:val="24"/>
            <w:u w:val="single"/>
            <w:lang/>
          </w:rPr>
          <w:t>абзацу другого підпункту 5</w:t>
        </w:r>
      </w:hyperlink>
      <w:r w:rsidRPr="008B264B">
        <w:rPr>
          <w:rFonts w:ascii="Times New Roman" w:eastAsia="Times New Roman" w:hAnsi="Times New Roman" w:cs="Times New Roman"/>
          <w:color w:val="000000"/>
          <w:sz w:val="24"/>
          <w:szCs w:val="24"/>
          <w:lang/>
        </w:rPr>
        <w:t> пункту 180.1 статті 180 цього Кодексу) та договори про спільну діяльність на території України без створення юридичних осіб, на які поширюються особливості податкового обліку та оподаткування діяльності за такими договорами (угодами), визначені цим Кодексом.</w:t>
      </w:r>
    </w:p>
    <w:p w14:paraId="3575A7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4" w:name="n1501"/>
      <w:bookmarkEnd w:id="2464"/>
      <w:r w:rsidRPr="008B264B">
        <w:rPr>
          <w:rFonts w:ascii="Times New Roman" w:eastAsia="Times New Roman" w:hAnsi="Times New Roman" w:cs="Times New Roman"/>
          <w:i/>
          <w:iCs/>
          <w:color w:val="000000"/>
          <w:sz w:val="24"/>
          <w:szCs w:val="24"/>
          <w:lang/>
        </w:rPr>
        <w:t>{Абзац перший пункту 64.6 статті 64 в редакції Закону </w:t>
      </w:r>
      <w:hyperlink r:id="rId1355" w:anchor="n7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356" w:anchor="n5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DA5B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5" w:name="n1502"/>
      <w:bookmarkEnd w:id="2465"/>
      <w:r w:rsidRPr="008B264B">
        <w:rPr>
          <w:rFonts w:ascii="Times New Roman" w:eastAsia="Times New Roman" w:hAnsi="Times New Roman" w:cs="Times New Roman"/>
          <w:color w:val="000000"/>
          <w:sz w:val="24"/>
          <w:szCs w:val="24"/>
          <w:lang/>
        </w:rPr>
        <w:t>У контролюючих органах не обліковуються договори про спільну діяльність, на які не поширюються особливості податкового обліку та оподаткування спільної діяльності, визначені цим Кодексом. Кожен учасник таких договорів перебуває на обліку у контролюючих органах та виконує обов'язки платника податків самостійно.</w:t>
      </w:r>
    </w:p>
    <w:p w14:paraId="588559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6" w:name="n1503"/>
      <w:bookmarkEnd w:id="2466"/>
      <w:r w:rsidRPr="008B264B">
        <w:rPr>
          <w:rFonts w:ascii="Times New Roman" w:eastAsia="Times New Roman" w:hAnsi="Times New Roman" w:cs="Times New Roman"/>
          <w:i/>
          <w:iCs/>
          <w:color w:val="000000"/>
          <w:sz w:val="24"/>
          <w:szCs w:val="24"/>
          <w:lang/>
        </w:rPr>
        <w:t>{Абзац третій пункту 64.6 статті 64 виключено на підставі Закону </w:t>
      </w:r>
      <w:hyperlink r:id="rId1357" w:anchor="n7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ED965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7" w:name="n1504"/>
      <w:bookmarkEnd w:id="2467"/>
      <w:r w:rsidRPr="008B264B">
        <w:rPr>
          <w:rFonts w:ascii="Times New Roman" w:eastAsia="Times New Roman" w:hAnsi="Times New Roman" w:cs="Times New Roman"/>
          <w:color w:val="000000"/>
          <w:sz w:val="24"/>
          <w:szCs w:val="24"/>
          <w:lang/>
        </w:rPr>
        <w:t>Взяття на облік договору або угоди здійснюється шляхом додаткового взяття на облік управителя майна, учасника договору про спільну діяльність або угоди про розподіл продукції як платника податків - відповідального за утримання та внесення податків до бюджету під час виконання договору або угоди.</w:t>
      </w:r>
    </w:p>
    <w:p w14:paraId="452404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8" w:name="n1505"/>
      <w:bookmarkEnd w:id="2468"/>
      <w:r w:rsidRPr="008B264B">
        <w:rPr>
          <w:rFonts w:ascii="Times New Roman" w:eastAsia="Times New Roman" w:hAnsi="Times New Roman" w:cs="Times New Roman"/>
          <w:i/>
          <w:iCs/>
          <w:color w:val="000000"/>
          <w:sz w:val="24"/>
          <w:szCs w:val="24"/>
          <w:lang/>
        </w:rPr>
        <w:t>{Абзац четвертий пункту 64.6 статті 64 із змінами, внесеними згідно із Законом </w:t>
      </w:r>
      <w:hyperlink r:id="rId1358" w:anchor="n7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1C3F8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69" w:name="n1506"/>
      <w:bookmarkEnd w:id="2469"/>
      <w:r w:rsidRPr="008B264B">
        <w:rPr>
          <w:rFonts w:ascii="Times New Roman" w:eastAsia="Times New Roman" w:hAnsi="Times New Roman" w:cs="Times New Roman"/>
          <w:color w:val="000000"/>
          <w:sz w:val="24"/>
          <w:szCs w:val="24"/>
          <w:lang/>
        </w:rPr>
        <w:t>Заяву про взяття на облік такий платник податків зобов'язаний подати протягом 10 календарних днів після реєстрації договору або угоди або після набрання ним чинності, якщо відповідно до законодавства реєстрація договору не проводиться.</w:t>
      </w:r>
    </w:p>
    <w:p w14:paraId="262993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0" w:name="n1507"/>
      <w:bookmarkEnd w:id="2470"/>
      <w:r w:rsidRPr="008B264B">
        <w:rPr>
          <w:rFonts w:ascii="Times New Roman" w:eastAsia="Times New Roman" w:hAnsi="Times New Roman" w:cs="Times New Roman"/>
          <w:color w:val="000000"/>
          <w:sz w:val="24"/>
          <w:szCs w:val="24"/>
          <w:lang/>
        </w:rPr>
        <w:t>64.7. Центральний орган виконавчої влади, що забезпечує формування та реалізує державну фінансову політику, визначає порядок обліку платників податків у контролюючих органах та </w:t>
      </w:r>
      <w:hyperlink r:id="rId1359" w:anchor="n16" w:tgtFrame="_blank" w:history="1">
        <w:r w:rsidRPr="008B264B">
          <w:rPr>
            <w:rFonts w:ascii="Times New Roman" w:eastAsia="Times New Roman" w:hAnsi="Times New Roman" w:cs="Times New Roman"/>
            <w:color w:val="0000FF"/>
            <w:sz w:val="24"/>
            <w:szCs w:val="24"/>
            <w:u w:val="single"/>
            <w:lang/>
          </w:rPr>
          <w:t>порядок формування Реєстру великих платників податків</w:t>
        </w:r>
      </w:hyperlink>
      <w:r w:rsidRPr="008B264B">
        <w:rPr>
          <w:rFonts w:ascii="Times New Roman" w:eastAsia="Times New Roman" w:hAnsi="Times New Roman" w:cs="Times New Roman"/>
          <w:color w:val="000000"/>
          <w:sz w:val="24"/>
          <w:szCs w:val="24"/>
          <w:lang/>
        </w:rPr>
        <w:t> на відповідний рік з урахуванням критеріїв, визначених цим Кодексом для великих платників податків.</w:t>
      </w:r>
    </w:p>
    <w:p w14:paraId="23FEC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1" w:name="n1508"/>
      <w:bookmarkEnd w:id="2471"/>
      <w:r w:rsidRPr="008B264B">
        <w:rPr>
          <w:rFonts w:ascii="Times New Roman" w:eastAsia="Times New Roman" w:hAnsi="Times New Roman" w:cs="Times New Roman"/>
          <w:i/>
          <w:iCs/>
          <w:color w:val="000000"/>
          <w:sz w:val="24"/>
          <w:szCs w:val="24"/>
          <w:lang/>
        </w:rPr>
        <w:t>{Абзац перший пункту 64.7 із змінами, внесеними згідно із Законами </w:t>
      </w:r>
      <w:hyperlink r:id="rId1360" w:anchor="n7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36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09C2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2" w:name="n1509"/>
      <w:bookmarkEnd w:id="2472"/>
      <w:r w:rsidRPr="008B264B">
        <w:rPr>
          <w:rFonts w:ascii="Times New Roman" w:eastAsia="Times New Roman" w:hAnsi="Times New Roman" w:cs="Times New Roman"/>
          <w:color w:val="000000"/>
          <w:sz w:val="24"/>
          <w:szCs w:val="24"/>
          <w:lang/>
        </w:rPr>
        <w:t>У разі включення платника податків до Реєстру великих платників податків на нього поширюються особливості, визначені цим Кодексом для великих платників податків.</w:t>
      </w:r>
    </w:p>
    <w:p w14:paraId="116B02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3" w:name="n1510"/>
      <w:bookmarkEnd w:id="2473"/>
      <w:r w:rsidRPr="008B264B">
        <w:rPr>
          <w:rFonts w:ascii="Times New Roman" w:eastAsia="Times New Roman" w:hAnsi="Times New Roman" w:cs="Times New Roman"/>
          <w:color w:val="000000"/>
          <w:sz w:val="24"/>
          <w:szCs w:val="24"/>
          <w:lang/>
        </w:rPr>
        <w:t xml:space="preserve">Після включення платника податків до Реєстру великих платників податків та отримання повідомлення центрального органу виконавчої влади, що реалізує державну податкову та митну політику, про таке включення платник податків зобов’язаний стати на облік за основним місцем обліку у контролюючому органі, що здійснює супроводження великих платників податків, з початку податкового періоду (календарного року), на який сформовано Реєстр, та за неосновним </w:t>
      </w:r>
      <w:r w:rsidRPr="008B264B">
        <w:rPr>
          <w:rFonts w:ascii="Times New Roman" w:eastAsia="Times New Roman" w:hAnsi="Times New Roman" w:cs="Times New Roman"/>
          <w:color w:val="000000"/>
          <w:sz w:val="24"/>
          <w:szCs w:val="24"/>
          <w:lang/>
        </w:rPr>
        <w:lastRenderedPageBreak/>
        <w:t>місцем обліку у такому контролюючому органі або його територіальних підрозділах щодо наявних у межах населеного пункту за місцезнаходженням контролюючого органу, що здійснює супроводження великих платників податків, або його територіальних підрозділів об’єктів оподаткування або об’єктів, які пов’язані з оподаткуванням або через які провадиться діяльність такого великого платника податків.</w:t>
      </w:r>
    </w:p>
    <w:p w14:paraId="513E68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4" w:name="n1511"/>
      <w:bookmarkEnd w:id="2474"/>
      <w:r w:rsidRPr="008B264B">
        <w:rPr>
          <w:rFonts w:ascii="Times New Roman" w:eastAsia="Times New Roman" w:hAnsi="Times New Roman" w:cs="Times New Roman"/>
          <w:i/>
          <w:iCs/>
          <w:color w:val="000000"/>
          <w:sz w:val="24"/>
          <w:szCs w:val="24"/>
          <w:lang/>
        </w:rPr>
        <w:t>{Абзац третій пункту 64.7 статті 64 із змінами, внесеними згідно із Законами </w:t>
      </w:r>
      <w:hyperlink r:id="rId1362" w:anchor="n10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363" w:anchor="n15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364" w:anchor="n4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1365" w:anchor="n17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246CD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5" w:name="n1512"/>
      <w:bookmarkEnd w:id="2475"/>
      <w:r w:rsidRPr="008B264B">
        <w:rPr>
          <w:rFonts w:ascii="Times New Roman" w:eastAsia="Times New Roman" w:hAnsi="Times New Roman" w:cs="Times New Roman"/>
          <w:color w:val="000000"/>
          <w:sz w:val="24"/>
          <w:szCs w:val="24"/>
          <w:lang/>
        </w:rPr>
        <w:t>Щодо великих платників податків, які самостійно не стали на облік у контролюючому органі, що здійснює супроводження великих платників податків, або його територіальних підрозділах, центральний орган виконавчої влади, що реалізує державну податкову та митну політику, приймає рішення про зміну основного та неосновного місця обліку таких великих платників податків та переведення їх на облік у контролюючий орган, що здійснює супроводження великих платників податків, та його територіальні підрозділи.</w:t>
      </w:r>
    </w:p>
    <w:p w14:paraId="514AEB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6" w:name="n1513"/>
      <w:bookmarkEnd w:id="2476"/>
      <w:r w:rsidRPr="008B264B">
        <w:rPr>
          <w:rFonts w:ascii="Times New Roman" w:eastAsia="Times New Roman" w:hAnsi="Times New Roman" w:cs="Times New Roman"/>
          <w:i/>
          <w:iCs/>
          <w:color w:val="000000"/>
          <w:sz w:val="24"/>
          <w:szCs w:val="24"/>
          <w:lang/>
        </w:rPr>
        <w:t>{Абзац четвертий пункту 64.7 статті 64 із змінами, внесеними згідно із Законами </w:t>
      </w:r>
      <w:hyperlink r:id="rId1366" w:anchor="n10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367" w:anchor="n15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368" w:anchor="n2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369" w:anchor="n17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23B99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7" w:name="n1514"/>
      <w:bookmarkEnd w:id="2477"/>
      <w:r w:rsidRPr="008B264B">
        <w:rPr>
          <w:rFonts w:ascii="Times New Roman" w:eastAsia="Times New Roman" w:hAnsi="Times New Roman" w:cs="Times New Roman"/>
          <w:color w:val="000000"/>
          <w:sz w:val="24"/>
          <w:szCs w:val="24"/>
          <w:lang/>
        </w:rPr>
        <w:t>У разі відсутності за місцем реєстрації великого платника податків контролюючого органу, що здійснює супроводження великих платників податків, облік такого платника податків за рішенням центрального органу виконавчої влади, що реалізує державну податкову і митну політику, здійснюється або контролюючим органом, що здійснює супроводження великих платників податків, або іншим контролюючим органом.</w:t>
      </w:r>
    </w:p>
    <w:p w14:paraId="037D9B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8" w:name="n1515"/>
      <w:bookmarkEnd w:id="2478"/>
      <w:r w:rsidRPr="008B264B">
        <w:rPr>
          <w:rFonts w:ascii="Times New Roman" w:eastAsia="Times New Roman" w:hAnsi="Times New Roman" w:cs="Times New Roman"/>
          <w:i/>
          <w:iCs/>
          <w:color w:val="000000"/>
          <w:sz w:val="24"/>
          <w:szCs w:val="24"/>
          <w:lang/>
        </w:rPr>
        <w:t>{Абзац п'ятий пункту 64.7 статті 64 із змінами, внесеними згідно із Законами </w:t>
      </w:r>
      <w:hyperlink r:id="rId1370" w:anchor="n10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371" w:anchor="n15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372" w:anchor="n18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4D46C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79" w:name="n1516"/>
      <w:bookmarkEnd w:id="2479"/>
      <w:r w:rsidRPr="008B264B">
        <w:rPr>
          <w:rFonts w:ascii="Times New Roman" w:eastAsia="Times New Roman" w:hAnsi="Times New Roman" w:cs="Times New Roman"/>
          <w:color w:val="000000"/>
          <w:sz w:val="24"/>
          <w:szCs w:val="24"/>
          <w:lang/>
        </w:rPr>
        <w:t>У разі прийняття рішення про переведення великого платника податків на облік у контролюючий орган, що здійснює супроводження великих платників податків, чи інший контролюючий орган відповідні контролюючі органи зобов'язані протягом 20 календарних днів після прийняття такого рішення здійснити взяття на облік/зняття з обліку такого платника податків.</w:t>
      </w:r>
    </w:p>
    <w:p w14:paraId="645FD9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0" w:name="n8798"/>
      <w:bookmarkEnd w:id="2480"/>
      <w:r w:rsidRPr="008B264B">
        <w:rPr>
          <w:rFonts w:ascii="Times New Roman" w:eastAsia="Times New Roman" w:hAnsi="Times New Roman" w:cs="Times New Roman"/>
          <w:i/>
          <w:iCs/>
          <w:color w:val="000000"/>
          <w:sz w:val="24"/>
          <w:szCs w:val="24"/>
          <w:lang/>
        </w:rPr>
        <w:t>{Абзац шостий пункту 64.7 статті 64 із змінами, внесеними згідно із Законом </w:t>
      </w:r>
      <w:hyperlink r:id="rId1373" w:anchor="n15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4C2DD7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1" w:name="n1517"/>
      <w:bookmarkEnd w:id="2481"/>
      <w:r w:rsidRPr="008B264B">
        <w:rPr>
          <w:rFonts w:ascii="Times New Roman" w:eastAsia="Times New Roman" w:hAnsi="Times New Roman" w:cs="Times New Roman"/>
          <w:color w:val="000000"/>
          <w:sz w:val="24"/>
          <w:szCs w:val="24"/>
          <w:lang/>
        </w:rPr>
        <w:t>Великий платник податків, щодо якого центральним органом виконавчої влади, що реалізує державну податкову і митну політику, прийнято рішення про переведення на облік у контролюючий орган, що здійснює супроводження великих платників податків, чи інший контролюючий орган, після взяття його на облік за новим місцем обліку зобов'язаний сплачувати податки за місцем попереднього обліку у контролюючих органах, а подавати податкову звітність та виконувати інші обов'язки, передбачені цим Кодексом, за новим місцем обліку.</w:t>
      </w:r>
    </w:p>
    <w:p w14:paraId="15A97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2" w:name="n1518"/>
      <w:bookmarkEnd w:id="2482"/>
      <w:r w:rsidRPr="008B264B">
        <w:rPr>
          <w:rFonts w:ascii="Times New Roman" w:eastAsia="Times New Roman" w:hAnsi="Times New Roman" w:cs="Times New Roman"/>
          <w:i/>
          <w:iCs/>
          <w:color w:val="000000"/>
          <w:sz w:val="24"/>
          <w:szCs w:val="24"/>
          <w:lang/>
        </w:rPr>
        <w:t>{Абзац сьомий пункту 64.7 статті 64 в редакції Закону </w:t>
      </w:r>
      <w:hyperlink r:id="rId1374" w:tgtFrame="_blank" w:history="1">
        <w:r w:rsidRPr="008B264B">
          <w:rPr>
            <w:rFonts w:ascii="Times New Roman" w:eastAsia="Times New Roman" w:hAnsi="Times New Roman" w:cs="Times New Roman"/>
            <w:i/>
            <w:iCs/>
            <w:color w:val="0000FF"/>
            <w:sz w:val="24"/>
            <w:szCs w:val="24"/>
            <w:u w:val="single"/>
            <w:lang/>
          </w:rPr>
          <w:t>№ 2856-VI від 23.12.2010</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375" w:anchor="n10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376" w:anchor="n15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377" w:anchor="n18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0C396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3" w:name="n1519"/>
      <w:bookmarkEnd w:id="2483"/>
      <w:r w:rsidRPr="008B264B">
        <w:rPr>
          <w:rFonts w:ascii="Times New Roman" w:eastAsia="Times New Roman" w:hAnsi="Times New Roman" w:cs="Times New Roman"/>
          <w:b/>
          <w:bCs/>
          <w:color w:val="000000"/>
          <w:sz w:val="24"/>
          <w:szCs w:val="24"/>
          <w:lang/>
        </w:rPr>
        <w:t>Стаття 65.</w:t>
      </w:r>
      <w:r w:rsidRPr="008B264B">
        <w:rPr>
          <w:rFonts w:ascii="Times New Roman" w:eastAsia="Times New Roman" w:hAnsi="Times New Roman" w:cs="Times New Roman"/>
          <w:color w:val="000000"/>
          <w:sz w:val="24"/>
          <w:szCs w:val="24"/>
          <w:lang/>
        </w:rPr>
        <w:t> Облік самозайнятих осіб</w:t>
      </w:r>
    </w:p>
    <w:p w14:paraId="0A76A2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4" w:name="n1520"/>
      <w:bookmarkEnd w:id="2484"/>
      <w:r w:rsidRPr="008B264B">
        <w:rPr>
          <w:rFonts w:ascii="Times New Roman" w:eastAsia="Times New Roman" w:hAnsi="Times New Roman" w:cs="Times New Roman"/>
          <w:color w:val="000000"/>
          <w:sz w:val="24"/>
          <w:szCs w:val="24"/>
          <w:lang/>
        </w:rPr>
        <w:t>65.1. Взяття на облік фізичних осіб - підприємців у контролюючих органах здійснюється за податковою адресою на підставі відомостей з Єдиного державного реєстру юридичних осіб, фізичних осіб - підприємців та громадських формувань, наданих державним реєстратором згідно із </w:t>
      </w:r>
      <w:hyperlink r:id="rId1378"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w:t>
      </w:r>
    </w:p>
    <w:p w14:paraId="044837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5" w:name="n13879"/>
      <w:bookmarkEnd w:id="2485"/>
      <w:r w:rsidRPr="008B264B">
        <w:rPr>
          <w:rFonts w:ascii="Times New Roman" w:eastAsia="Times New Roman" w:hAnsi="Times New Roman" w:cs="Times New Roman"/>
          <w:i/>
          <w:iCs/>
          <w:color w:val="000000"/>
          <w:sz w:val="24"/>
          <w:szCs w:val="24"/>
          <w:lang/>
        </w:rPr>
        <w:t>{Пункт 65.1 статті 65 в редакції Закону </w:t>
      </w:r>
      <w:hyperlink r:id="rId1379" w:anchor="n5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7C55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6" w:name="n1522"/>
      <w:bookmarkEnd w:id="2486"/>
      <w:r w:rsidRPr="008B264B">
        <w:rPr>
          <w:rFonts w:ascii="Times New Roman" w:eastAsia="Times New Roman" w:hAnsi="Times New Roman" w:cs="Times New Roman"/>
          <w:color w:val="000000"/>
          <w:sz w:val="24"/>
          <w:szCs w:val="24"/>
          <w:lang/>
        </w:rPr>
        <w:lastRenderedPageBreak/>
        <w:t>65.2. Облік самозайнятих осіб здійснюється шляхом внесення до Державного реєстру фізичних осіб - платників податків (далі - Державний реєстр) записів про державну реєстрацію або припинення підприємницької діяльності, незалежної професійної діяльності, перереєстрацію, постановку на облік, зняття з обліку, внесення змін стосовно самозайнятої особи, а також вчинення інших дій, які передбачені Порядком обліку платників податків, зборів.</w:t>
      </w:r>
    </w:p>
    <w:p w14:paraId="79DBE7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7" w:name="n1523"/>
      <w:bookmarkEnd w:id="2487"/>
      <w:r w:rsidRPr="008B264B">
        <w:rPr>
          <w:rFonts w:ascii="Times New Roman" w:eastAsia="Times New Roman" w:hAnsi="Times New Roman" w:cs="Times New Roman"/>
          <w:color w:val="000000"/>
          <w:sz w:val="24"/>
          <w:szCs w:val="24"/>
          <w:lang/>
        </w:rPr>
        <w:t>65.3. Для взяття на облік фізичної особи, яка має намір провадити незалежну професійну діяльність, така особа повинна подати заяву та документи особисто (надіслати рекомендованим листом з описом вкладення) або через уповноважену особу до контролюючого органу за місцем постійного проживання.</w:t>
      </w:r>
    </w:p>
    <w:p w14:paraId="0450D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8" w:name="n1524"/>
      <w:bookmarkEnd w:id="2488"/>
      <w:r w:rsidRPr="008B264B">
        <w:rPr>
          <w:rFonts w:ascii="Times New Roman" w:eastAsia="Times New Roman" w:hAnsi="Times New Roman" w:cs="Times New Roman"/>
          <w:color w:val="000000"/>
          <w:sz w:val="24"/>
          <w:szCs w:val="24"/>
          <w:lang/>
        </w:rPr>
        <w:t>65.4. Контролюючий орган відмовляє в розгляді документів, поданих для взяття на облік особи, яка здійснює незалежну професійну діяльність, у разі:</w:t>
      </w:r>
    </w:p>
    <w:p w14:paraId="2BCA72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89" w:name="n1525"/>
      <w:bookmarkEnd w:id="2489"/>
      <w:r w:rsidRPr="008B264B">
        <w:rPr>
          <w:rFonts w:ascii="Times New Roman" w:eastAsia="Times New Roman" w:hAnsi="Times New Roman" w:cs="Times New Roman"/>
          <w:color w:val="000000"/>
          <w:sz w:val="24"/>
          <w:szCs w:val="24"/>
          <w:lang/>
        </w:rPr>
        <w:t>65.4.1. наявності обмежень на провадження незалежної професійної діяльності, встановлених законодавством;</w:t>
      </w:r>
    </w:p>
    <w:p w14:paraId="10873F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0" w:name="n1526"/>
      <w:bookmarkEnd w:id="2490"/>
      <w:r w:rsidRPr="008B264B">
        <w:rPr>
          <w:rFonts w:ascii="Times New Roman" w:eastAsia="Times New Roman" w:hAnsi="Times New Roman" w:cs="Times New Roman"/>
          <w:color w:val="000000"/>
          <w:sz w:val="24"/>
          <w:szCs w:val="24"/>
          <w:lang/>
        </w:rPr>
        <w:t>65.4.2. коли документи подані за неналежним місцем обліку;</w:t>
      </w:r>
    </w:p>
    <w:p w14:paraId="2F995A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1" w:name="n1527"/>
      <w:bookmarkEnd w:id="2491"/>
      <w:r w:rsidRPr="008B264B">
        <w:rPr>
          <w:rFonts w:ascii="Times New Roman" w:eastAsia="Times New Roman" w:hAnsi="Times New Roman" w:cs="Times New Roman"/>
          <w:color w:val="000000"/>
          <w:sz w:val="24"/>
          <w:szCs w:val="24"/>
          <w:lang/>
        </w:rPr>
        <w:t>65.4.3. коли документи не відповідають встановленим вимогам, подані не в повному обсязі або коли зазначені в різних документах відомості є взаємно невідповідними;</w:t>
      </w:r>
    </w:p>
    <w:p w14:paraId="293DE7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2" w:name="n1528"/>
      <w:bookmarkEnd w:id="2492"/>
      <w:r w:rsidRPr="008B264B">
        <w:rPr>
          <w:rFonts w:ascii="Times New Roman" w:eastAsia="Times New Roman" w:hAnsi="Times New Roman" w:cs="Times New Roman"/>
          <w:color w:val="000000"/>
          <w:sz w:val="24"/>
          <w:szCs w:val="24"/>
          <w:lang/>
        </w:rPr>
        <w:t>65.4.4. коли фізична особа вже взята на облік як самозайнята особа;</w:t>
      </w:r>
    </w:p>
    <w:p w14:paraId="46E449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3" w:name="n1529"/>
      <w:bookmarkEnd w:id="2493"/>
      <w:r w:rsidRPr="008B264B">
        <w:rPr>
          <w:rFonts w:ascii="Times New Roman" w:eastAsia="Times New Roman" w:hAnsi="Times New Roman" w:cs="Times New Roman"/>
          <w:color w:val="000000"/>
          <w:sz w:val="24"/>
          <w:szCs w:val="24"/>
          <w:lang/>
        </w:rPr>
        <w:t>65.4.5. неподання для реєстрації особою, яка має намір провадити незалежну професійну діяльність, свідоцтва про реєстрацію чи іншого документа (дозволу, сертифіката тощо), що підтверджує право фізичної особи на провадження незалежної професійної діяльності.</w:t>
      </w:r>
    </w:p>
    <w:p w14:paraId="3ED8BB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4" w:name="n1530"/>
      <w:bookmarkEnd w:id="2494"/>
      <w:r w:rsidRPr="008B264B">
        <w:rPr>
          <w:rFonts w:ascii="Times New Roman" w:eastAsia="Times New Roman" w:hAnsi="Times New Roman" w:cs="Times New Roman"/>
          <w:color w:val="000000"/>
          <w:sz w:val="24"/>
          <w:szCs w:val="24"/>
          <w:lang/>
        </w:rPr>
        <w:t>Після усунення причин, що були підставою для відмови у взятті на облік самозайнятої особи, фізична особа може повторно подати документи для взяття на облік.</w:t>
      </w:r>
    </w:p>
    <w:p w14:paraId="1BA41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5" w:name="n1531"/>
      <w:bookmarkEnd w:id="2495"/>
      <w:r w:rsidRPr="008B264B">
        <w:rPr>
          <w:rFonts w:ascii="Times New Roman" w:eastAsia="Times New Roman" w:hAnsi="Times New Roman" w:cs="Times New Roman"/>
          <w:color w:val="000000"/>
          <w:sz w:val="24"/>
          <w:szCs w:val="24"/>
          <w:lang/>
        </w:rPr>
        <w:t>65.5. Взяття на облік самозайнятої особи здійснюється контролюючим органом не пізніше наступного робочого дня з дня отримання відповідних відомостей від державного реєстратора (для фізичних осіб - підприємців) або прийняття заяви (для осіб, які провадять незалежну професійну діяльність).</w:t>
      </w:r>
    </w:p>
    <w:p w14:paraId="019CBE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6" w:name="n1532"/>
      <w:bookmarkEnd w:id="2496"/>
      <w:r w:rsidRPr="008B264B">
        <w:rPr>
          <w:rFonts w:ascii="Times New Roman" w:eastAsia="Times New Roman" w:hAnsi="Times New Roman" w:cs="Times New Roman"/>
          <w:color w:val="000000"/>
          <w:sz w:val="24"/>
          <w:szCs w:val="24"/>
          <w:lang/>
        </w:rPr>
        <w:t>Дані про взяття на облік фізичної особи - підприємця передаються до Єдиного державного реєстру юридичних осіб, фізичних осіб - підприємців та громадських формувань у день взяття на облік у порядку, встановленому Міністерством юстиції України та центральним органом виконавчої влади, що забезпечує формування та реалізує державну фінансову політику.</w:t>
      </w:r>
    </w:p>
    <w:p w14:paraId="753DEA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7" w:name="n1534"/>
      <w:bookmarkEnd w:id="2497"/>
      <w:r w:rsidRPr="008B264B">
        <w:rPr>
          <w:rFonts w:ascii="Times New Roman" w:eastAsia="Times New Roman" w:hAnsi="Times New Roman" w:cs="Times New Roman"/>
          <w:color w:val="000000"/>
          <w:sz w:val="24"/>
          <w:szCs w:val="24"/>
          <w:lang/>
        </w:rPr>
        <w:t>Взяття на облік фізичної особи - підприємця підтверджується випискою з Єдиного державного реєстру юридичних осіб, фізичних осіб - підприємців та громадських формувань, що надсилається (видається) фізичній особі - підприємцю у порядку, встановленому </w:t>
      </w:r>
      <w:hyperlink r:id="rId138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w:t>
      </w:r>
    </w:p>
    <w:p w14:paraId="6355C4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8" w:name="n13880"/>
      <w:bookmarkEnd w:id="2498"/>
      <w:r w:rsidRPr="008B264B">
        <w:rPr>
          <w:rFonts w:ascii="Times New Roman" w:eastAsia="Times New Roman" w:hAnsi="Times New Roman" w:cs="Times New Roman"/>
          <w:i/>
          <w:iCs/>
          <w:color w:val="000000"/>
          <w:sz w:val="24"/>
          <w:szCs w:val="24"/>
          <w:lang/>
        </w:rPr>
        <w:t>{Пункт 65.5 статті 65 із змінами, внесеними згідно із Законами </w:t>
      </w:r>
      <w:hyperlink r:id="rId1381" w:anchor="n7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382" w:anchor="n15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Закону </w:t>
      </w:r>
      <w:hyperlink r:id="rId1383" w:anchor="n5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C5909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499" w:name="n1538"/>
      <w:bookmarkEnd w:id="2499"/>
      <w:r w:rsidRPr="008B264B">
        <w:rPr>
          <w:rFonts w:ascii="Times New Roman" w:eastAsia="Times New Roman" w:hAnsi="Times New Roman" w:cs="Times New Roman"/>
          <w:color w:val="000000"/>
          <w:sz w:val="24"/>
          <w:szCs w:val="24"/>
          <w:lang/>
        </w:rPr>
        <w:t>65.6. Видача та заміна довідки про взяття на облік платника податків здійснюється безоплатно.</w:t>
      </w:r>
    </w:p>
    <w:p w14:paraId="2EBF14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0" w:name="n1539"/>
      <w:bookmarkEnd w:id="2500"/>
      <w:r w:rsidRPr="008B264B">
        <w:rPr>
          <w:rFonts w:ascii="Times New Roman" w:eastAsia="Times New Roman" w:hAnsi="Times New Roman" w:cs="Times New Roman"/>
          <w:color w:val="000000"/>
          <w:sz w:val="24"/>
          <w:szCs w:val="24"/>
          <w:lang/>
        </w:rPr>
        <w:t>65.7. Фізичній особі, яка провадить незалежну професійну діяльність, довідка про взяття на облік платника податків видається контролюючим органом із зазначенням строку, якщо такий строк вказаний у свідоцтві про реєстрацію чи іншому документі (дозволі, сертифікаті тощо), що підтверджує право фізичної особи на провадження незалежної професійної діяльності.</w:t>
      </w:r>
    </w:p>
    <w:p w14:paraId="7389BA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1" w:name="n1540"/>
      <w:bookmarkEnd w:id="2501"/>
      <w:r w:rsidRPr="008B264B">
        <w:rPr>
          <w:rFonts w:ascii="Times New Roman" w:eastAsia="Times New Roman" w:hAnsi="Times New Roman" w:cs="Times New Roman"/>
          <w:color w:val="000000"/>
          <w:sz w:val="24"/>
          <w:szCs w:val="24"/>
          <w:lang/>
        </w:rPr>
        <w:t>65.8. Довідка про взяття на облік самозайнятої особи втрачає чинність з моменту виникнення змін у даних про фізичну особу, які зазначаються у такій довідці, та підлягає заміні у контролюючому органі.</w:t>
      </w:r>
    </w:p>
    <w:p w14:paraId="05B224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2" w:name="n1541"/>
      <w:bookmarkEnd w:id="2502"/>
      <w:r w:rsidRPr="008B264B">
        <w:rPr>
          <w:rFonts w:ascii="Times New Roman" w:eastAsia="Times New Roman" w:hAnsi="Times New Roman" w:cs="Times New Roman"/>
          <w:color w:val="000000"/>
          <w:sz w:val="24"/>
          <w:szCs w:val="24"/>
          <w:lang/>
        </w:rPr>
        <w:lastRenderedPageBreak/>
        <w:t>65.9. Самозайняті особи зобов'язані подавати до контролюючих органів за місцем свого обліку відомості про зміну облікових даних протягом місяця з дня виникнення таких змін.</w:t>
      </w:r>
    </w:p>
    <w:p w14:paraId="1E41C9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3" w:name="n1542"/>
      <w:bookmarkEnd w:id="2503"/>
      <w:r w:rsidRPr="008B264B">
        <w:rPr>
          <w:rFonts w:ascii="Times New Roman" w:eastAsia="Times New Roman" w:hAnsi="Times New Roman" w:cs="Times New Roman"/>
          <w:color w:val="000000"/>
          <w:sz w:val="24"/>
          <w:szCs w:val="24"/>
          <w:lang/>
        </w:rPr>
        <w:t>Зміни до відомостей про самозайняту особу, які містяться у Державному реєстрі, набирають чинності з дня внесення відповідного запису до такого реєстру.</w:t>
      </w:r>
    </w:p>
    <w:p w14:paraId="5CD6CB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4" w:name="n1543"/>
      <w:bookmarkEnd w:id="2504"/>
      <w:r w:rsidRPr="008B264B">
        <w:rPr>
          <w:rFonts w:ascii="Times New Roman" w:eastAsia="Times New Roman" w:hAnsi="Times New Roman" w:cs="Times New Roman"/>
          <w:color w:val="000000"/>
          <w:sz w:val="24"/>
          <w:szCs w:val="24"/>
          <w:lang/>
        </w:rPr>
        <w:t>65.10. Внесення до Державного реєстру запису про припинення підприємницької діяльності фізичної особи - підприємця чи незалежної професійної діяльності фізичної особи здійснюється у разі:</w:t>
      </w:r>
    </w:p>
    <w:p w14:paraId="374047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5" w:name="n1544"/>
      <w:bookmarkEnd w:id="2505"/>
      <w:r w:rsidRPr="008B264B">
        <w:rPr>
          <w:rFonts w:ascii="Times New Roman" w:eastAsia="Times New Roman" w:hAnsi="Times New Roman" w:cs="Times New Roman"/>
          <w:color w:val="000000"/>
          <w:sz w:val="24"/>
          <w:szCs w:val="24"/>
          <w:lang/>
        </w:rPr>
        <w:t>65.10.1. визнання фізичної особи недієздатною або обмеження її цивільної дієздатності - з дати набрання законної сили відповідним рішенням суду;</w:t>
      </w:r>
    </w:p>
    <w:p w14:paraId="38084B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6" w:name="n1545"/>
      <w:bookmarkEnd w:id="2506"/>
      <w:r w:rsidRPr="008B264B">
        <w:rPr>
          <w:rFonts w:ascii="Times New Roman" w:eastAsia="Times New Roman" w:hAnsi="Times New Roman" w:cs="Times New Roman"/>
          <w:color w:val="000000"/>
          <w:sz w:val="24"/>
          <w:szCs w:val="24"/>
          <w:lang/>
        </w:rPr>
        <w:t>65.10.2. смерті фізичної особи, у тому числі оголошення такої особи померлою, що підтверджується свідоцтвом про смерть (витягом з Державного реєстру актів цивільного стану громадян, інформацією органу державної реєстрації актів цивільного стану), а також визнання фізичної особи безвісно відсутньою, що підтверджується судовим рішенням;</w:t>
      </w:r>
    </w:p>
    <w:p w14:paraId="31422B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7" w:name="n1546"/>
      <w:bookmarkEnd w:id="2507"/>
      <w:r w:rsidRPr="008B264B">
        <w:rPr>
          <w:rFonts w:ascii="Times New Roman" w:eastAsia="Times New Roman" w:hAnsi="Times New Roman" w:cs="Times New Roman"/>
          <w:color w:val="000000"/>
          <w:sz w:val="24"/>
          <w:szCs w:val="24"/>
          <w:lang/>
        </w:rPr>
        <w:t>65.10.3. внесення до Єдиного державного реєстру юридичних осіб, фізичних осіб - підприємців та громадських формувань запису про державну реєстрацію припинення підприємницької діяльності фізичної особи - підприємця - з дати державної реєстрації припинення підприємницької діяльності фізичної особи - підприємця;</w:t>
      </w:r>
    </w:p>
    <w:p w14:paraId="528F83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8" w:name="n13881"/>
      <w:bookmarkEnd w:id="2508"/>
      <w:r w:rsidRPr="008B264B">
        <w:rPr>
          <w:rFonts w:ascii="Times New Roman" w:eastAsia="Times New Roman" w:hAnsi="Times New Roman" w:cs="Times New Roman"/>
          <w:i/>
          <w:iCs/>
          <w:color w:val="000000"/>
          <w:sz w:val="24"/>
          <w:szCs w:val="24"/>
          <w:lang/>
        </w:rPr>
        <w:t>{Підпункт 65.10.3 пункту 65.10 статті 65 в редакції Закону </w:t>
      </w:r>
      <w:hyperlink r:id="rId1384" w:anchor="n5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BCFC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09" w:name="n1547"/>
      <w:bookmarkEnd w:id="2509"/>
      <w:r w:rsidRPr="008B264B">
        <w:rPr>
          <w:rFonts w:ascii="Times New Roman" w:eastAsia="Times New Roman" w:hAnsi="Times New Roman" w:cs="Times New Roman"/>
          <w:color w:val="000000"/>
          <w:sz w:val="24"/>
          <w:szCs w:val="24"/>
          <w:lang/>
        </w:rPr>
        <w:t>65.10.4. реєстрації припинення незалежної професійної діяльності фізичної особи у відповідному уповноваженому органі - з дати реєстрації;</w:t>
      </w:r>
    </w:p>
    <w:p w14:paraId="7B296E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0" w:name="n1548"/>
      <w:bookmarkEnd w:id="2510"/>
      <w:r w:rsidRPr="008B264B">
        <w:rPr>
          <w:rFonts w:ascii="Times New Roman" w:eastAsia="Times New Roman" w:hAnsi="Times New Roman" w:cs="Times New Roman"/>
          <w:color w:val="000000"/>
          <w:sz w:val="24"/>
          <w:szCs w:val="24"/>
          <w:lang/>
        </w:rPr>
        <w:t>65.10.5. закінчення строку, на який було видано свідоцтво про реєстрацію чи інший документ (дозвіл, сертифікат тощо), - з дати закінчення такого строку;</w:t>
      </w:r>
    </w:p>
    <w:p w14:paraId="7F911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1" w:name="n1549"/>
      <w:bookmarkEnd w:id="2511"/>
      <w:r w:rsidRPr="008B264B">
        <w:rPr>
          <w:rFonts w:ascii="Times New Roman" w:eastAsia="Times New Roman" w:hAnsi="Times New Roman" w:cs="Times New Roman"/>
          <w:color w:val="000000"/>
          <w:sz w:val="24"/>
          <w:szCs w:val="24"/>
          <w:lang/>
        </w:rPr>
        <w:t>65.10.6. заборони судом фізичній особі провадити підприємницьку діяльність або незалежну професійну діяльність - з дати набрання законної сили відповідним рішенням суду, якщо інше не визначене у рішенні суду;</w:t>
      </w:r>
    </w:p>
    <w:p w14:paraId="7CC552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2" w:name="n1550"/>
      <w:bookmarkEnd w:id="2512"/>
      <w:r w:rsidRPr="008B264B">
        <w:rPr>
          <w:rFonts w:ascii="Times New Roman" w:eastAsia="Times New Roman" w:hAnsi="Times New Roman" w:cs="Times New Roman"/>
          <w:color w:val="000000"/>
          <w:sz w:val="24"/>
          <w:szCs w:val="24"/>
          <w:lang/>
        </w:rPr>
        <w:t>65.10.7. наявності обмежень права на провадження підприємницької діяльності або незалежної професійної діяльності, які встановлені законодавством, - з дати надходження відповідних документів до контролюючого органу за місцем обліку фізичної особи, якщо інше не встановлено законом чи рішенням суду;</w:t>
      </w:r>
    </w:p>
    <w:p w14:paraId="38F027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3" w:name="n1551"/>
      <w:bookmarkEnd w:id="2513"/>
      <w:r w:rsidRPr="008B264B">
        <w:rPr>
          <w:rFonts w:ascii="Times New Roman" w:eastAsia="Times New Roman" w:hAnsi="Times New Roman" w:cs="Times New Roman"/>
          <w:color w:val="000000"/>
          <w:sz w:val="24"/>
          <w:szCs w:val="24"/>
          <w:lang/>
        </w:rPr>
        <w:t>65.10.8. анулювання чи скасування згідно із законодавством свідоцтва про реєстрацію чи іншого документа (дозволу, сертифіката тощо), що підтверджує право фізичної особи на провадження підприємницької або незалежної професійної діяльності, - з дати такого анулювання чи скасування.</w:t>
      </w:r>
    </w:p>
    <w:p w14:paraId="70228F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4" w:name="n1552"/>
      <w:bookmarkEnd w:id="2514"/>
      <w:r w:rsidRPr="008B264B">
        <w:rPr>
          <w:rFonts w:ascii="Times New Roman" w:eastAsia="Times New Roman" w:hAnsi="Times New Roman" w:cs="Times New Roman"/>
          <w:color w:val="000000"/>
          <w:sz w:val="24"/>
          <w:szCs w:val="24"/>
          <w:lang/>
        </w:rPr>
        <w:t>Державна реєстрація (реєстрація) припинення підприємницької чи незалежної професійної діяльності фізичної особи або внесення до Державного реєстру запису про припинення такої діяльності фізичною особою не припиняє її зобов'язань, що виникли під час провадження підприємницької чи незалежної професійної діяльності, та не змінює строків, порядків виконання таких зобов'язань та застосування санкцій за їх невиконання.</w:t>
      </w:r>
    </w:p>
    <w:p w14:paraId="78D59F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5" w:name="n1553"/>
      <w:bookmarkEnd w:id="2515"/>
      <w:r w:rsidRPr="008B264B">
        <w:rPr>
          <w:rFonts w:ascii="Times New Roman" w:eastAsia="Times New Roman" w:hAnsi="Times New Roman" w:cs="Times New Roman"/>
          <w:color w:val="000000"/>
          <w:sz w:val="24"/>
          <w:szCs w:val="24"/>
          <w:lang/>
        </w:rPr>
        <w:t>У разі коли після внесення до Державного реєстру запису про припинення підприємницької чи незалежної професійної діяльності фізична особа продовжує провадити таку діяльність, вважається, що вона розпочала таку діяльність без взяття її на облік як самозайнятої особи.</w:t>
      </w:r>
    </w:p>
    <w:p w14:paraId="3647DA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6" w:name="n1554"/>
      <w:bookmarkEnd w:id="2516"/>
      <w:r w:rsidRPr="008B264B">
        <w:rPr>
          <w:rFonts w:ascii="Times New Roman" w:eastAsia="Times New Roman" w:hAnsi="Times New Roman" w:cs="Times New Roman"/>
          <w:b/>
          <w:bCs/>
          <w:color w:val="000000"/>
          <w:sz w:val="24"/>
          <w:szCs w:val="24"/>
          <w:lang/>
        </w:rPr>
        <w:t>Стаття 66.</w:t>
      </w:r>
      <w:r w:rsidRPr="008B264B">
        <w:rPr>
          <w:rFonts w:ascii="Times New Roman" w:eastAsia="Times New Roman" w:hAnsi="Times New Roman" w:cs="Times New Roman"/>
          <w:color w:val="000000"/>
          <w:sz w:val="24"/>
          <w:szCs w:val="24"/>
          <w:lang/>
        </w:rPr>
        <w:t> Внесення змін до облікових даних платників податків, крім фізичних осіб, які не зареєстровані підприємцями та не провадять незалежну професійну діяльність</w:t>
      </w:r>
    </w:p>
    <w:p w14:paraId="7DA5EF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7" w:name="n1555"/>
      <w:bookmarkEnd w:id="2517"/>
      <w:r w:rsidRPr="008B264B">
        <w:rPr>
          <w:rFonts w:ascii="Times New Roman" w:eastAsia="Times New Roman" w:hAnsi="Times New Roman" w:cs="Times New Roman"/>
          <w:i/>
          <w:iCs/>
          <w:color w:val="000000"/>
          <w:sz w:val="24"/>
          <w:szCs w:val="24"/>
          <w:lang/>
        </w:rPr>
        <w:t>{Назва статті 66 із змінами, внесеними згідно із Законом </w:t>
      </w:r>
      <w:hyperlink r:id="rId1385" w:anchor="n8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1E550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8" w:name="n1556"/>
      <w:bookmarkEnd w:id="2518"/>
      <w:r w:rsidRPr="008B264B">
        <w:rPr>
          <w:rFonts w:ascii="Times New Roman" w:eastAsia="Times New Roman" w:hAnsi="Times New Roman" w:cs="Times New Roman"/>
          <w:color w:val="000000"/>
          <w:sz w:val="24"/>
          <w:szCs w:val="24"/>
          <w:lang/>
        </w:rPr>
        <w:t>66.1. Підставами для внесення змін до облікових даних платників податків є:</w:t>
      </w:r>
    </w:p>
    <w:p w14:paraId="355292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19" w:name="n1557"/>
      <w:bookmarkEnd w:id="2519"/>
      <w:r w:rsidRPr="008B264B">
        <w:rPr>
          <w:rFonts w:ascii="Times New Roman" w:eastAsia="Times New Roman" w:hAnsi="Times New Roman" w:cs="Times New Roman"/>
          <w:color w:val="000000"/>
          <w:sz w:val="24"/>
          <w:szCs w:val="24"/>
          <w:lang/>
        </w:rPr>
        <w:lastRenderedPageBreak/>
        <w:t>66.1.1. інформація органів державної реєстрації;</w:t>
      </w:r>
    </w:p>
    <w:p w14:paraId="3BC8D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0" w:name="n1558"/>
      <w:bookmarkEnd w:id="2520"/>
      <w:r w:rsidRPr="008B264B">
        <w:rPr>
          <w:rFonts w:ascii="Times New Roman" w:eastAsia="Times New Roman" w:hAnsi="Times New Roman" w:cs="Times New Roman"/>
          <w:color w:val="000000"/>
          <w:sz w:val="24"/>
          <w:szCs w:val="24"/>
          <w:lang/>
        </w:rPr>
        <w:t>66.1.2. інформація банків та інших фінансових установ про відкриття (закриття) рахунків платників податків;</w:t>
      </w:r>
    </w:p>
    <w:p w14:paraId="233DDB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1" w:name="n1559"/>
      <w:bookmarkEnd w:id="2521"/>
      <w:r w:rsidRPr="008B264B">
        <w:rPr>
          <w:rFonts w:ascii="Times New Roman" w:eastAsia="Times New Roman" w:hAnsi="Times New Roman" w:cs="Times New Roman"/>
          <w:color w:val="000000"/>
          <w:sz w:val="24"/>
          <w:szCs w:val="24"/>
          <w:lang/>
        </w:rPr>
        <w:t>66.1.3. документально підтверджена інформація, що надається платниками податків;</w:t>
      </w:r>
    </w:p>
    <w:p w14:paraId="1724CA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2" w:name="n1560"/>
      <w:bookmarkEnd w:id="2522"/>
      <w:r w:rsidRPr="008B264B">
        <w:rPr>
          <w:rFonts w:ascii="Times New Roman" w:eastAsia="Times New Roman" w:hAnsi="Times New Roman" w:cs="Times New Roman"/>
          <w:color w:val="000000"/>
          <w:sz w:val="24"/>
          <w:szCs w:val="24"/>
          <w:lang/>
        </w:rPr>
        <w:t>66.1.4. інформація суб'єктів інформаційного обміну, уповноважених вчиняти будь-які реєстраційні дії стосовно платника податків;</w:t>
      </w:r>
    </w:p>
    <w:p w14:paraId="79857A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3" w:name="n1561"/>
      <w:bookmarkEnd w:id="2523"/>
      <w:r w:rsidRPr="008B264B">
        <w:rPr>
          <w:rFonts w:ascii="Times New Roman" w:eastAsia="Times New Roman" w:hAnsi="Times New Roman" w:cs="Times New Roman"/>
          <w:color w:val="000000"/>
          <w:sz w:val="24"/>
          <w:szCs w:val="24"/>
          <w:lang/>
        </w:rPr>
        <w:t>66.1.5. рішення суду, що набрало законної сили;</w:t>
      </w:r>
    </w:p>
    <w:p w14:paraId="10C80A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4" w:name="n1562"/>
      <w:bookmarkEnd w:id="2524"/>
      <w:r w:rsidRPr="008B264B">
        <w:rPr>
          <w:rFonts w:ascii="Times New Roman" w:eastAsia="Times New Roman" w:hAnsi="Times New Roman" w:cs="Times New Roman"/>
          <w:color w:val="000000"/>
          <w:sz w:val="24"/>
          <w:szCs w:val="24"/>
          <w:lang/>
        </w:rPr>
        <w:t>66.1.6. дані перевірок платників податків.</w:t>
      </w:r>
    </w:p>
    <w:p w14:paraId="654653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5" w:name="n1563"/>
      <w:bookmarkEnd w:id="2525"/>
      <w:r w:rsidRPr="008B264B">
        <w:rPr>
          <w:rFonts w:ascii="Times New Roman" w:eastAsia="Times New Roman" w:hAnsi="Times New Roman" w:cs="Times New Roman"/>
          <w:color w:val="000000"/>
          <w:sz w:val="24"/>
          <w:szCs w:val="24"/>
          <w:lang/>
        </w:rPr>
        <w:t>66.2. Внесення змін до облікових даних платників податків здійснюється у порядку, встановленому центральним органом виконавчої влади, що забезпечує формування та реалізує державну фінансову політику.</w:t>
      </w:r>
    </w:p>
    <w:p w14:paraId="55FCED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6" w:name="n13417"/>
      <w:bookmarkEnd w:id="2526"/>
      <w:r w:rsidRPr="008B264B">
        <w:rPr>
          <w:rFonts w:ascii="Times New Roman" w:eastAsia="Times New Roman" w:hAnsi="Times New Roman" w:cs="Times New Roman"/>
          <w:i/>
          <w:iCs/>
          <w:color w:val="000000"/>
          <w:sz w:val="24"/>
          <w:szCs w:val="24"/>
          <w:lang/>
        </w:rPr>
        <w:t>{Пункт 66.2 статті 66 із змінами, внесеними згідно із Законом </w:t>
      </w:r>
      <w:hyperlink r:id="rId138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31FBA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7" w:name="n1564"/>
      <w:bookmarkEnd w:id="2527"/>
      <w:r w:rsidRPr="008B264B">
        <w:rPr>
          <w:rFonts w:ascii="Times New Roman" w:eastAsia="Times New Roman" w:hAnsi="Times New Roman" w:cs="Times New Roman"/>
          <w:color w:val="000000"/>
          <w:sz w:val="24"/>
          <w:szCs w:val="24"/>
          <w:lang/>
        </w:rPr>
        <w:t>66.3. У разі проведення державної реєстрації зміни місцезнаходження або місця проживання платника податків, внаслідок якої змінюється адміністративно-територіальна одиниця та контролюючий орган, в якому на обліку перебуває платник податків (далі - адміністративний район), а також у разі зміни податкової адреси платника податків, контролюючими органами за попереднім та новим місцезнаходженням (місцем проживання) платника податків проводяться процедури відповідно зняття з обліку/взяття на облік такого платника податків.</w:t>
      </w:r>
    </w:p>
    <w:p w14:paraId="5342E7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8" w:name="n1565"/>
      <w:bookmarkEnd w:id="2528"/>
      <w:r w:rsidRPr="008B264B">
        <w:rPr>
          <w:rFonts w:ascii="Times New Roman" w:eastAsia="Times New Roman" w:hAnsi="Times New Roman" w:cs="Times New Roman"/>
          <w:color w:val="000000"/>
          <w:sz w:val="24"/>
          <w:szCs w:val="24"/>
          <w:lang/>
        </w:rPr>
        <w:t>Підставою для зняття з обліку платника податків в одному контролюючому органі і взяття на облік в іншому є надходження хоча б до одного з цих органів даних, що свідчать про належну державну реєстрацію таких змін органами державної реєстрації.</w:t>
      </w:r>
    </w:p>
    <w:p w14:paraId="48B5A8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29" w:name="n1566"/>
      <w:bookmarkEnd w:id="2529"/>
      <w:r w:rsidRPr="008B264B">
        <w:rPr>
          <w:rFonts w:ascii="Times New Roman" w:eastAsia="Times New Roman" w:hAnsi="Times New Roman" w:cs="Times New Roman"/>
          <w:color w:val="000000"/>
          <w:sz w:val="24"/>
          <w:szCs w:val="24"/>
          <w:lang/>
        </w:rPr>
        <w:t>У такому разі платник податків, визначений у </w:t>
      </w:r>
      <w:hyperlink r:id="rId1387" w:anchor="n1488" w:history="1">
        <w:r w:rsidRPr="008B264B">
          <w:rPr>
            <w:rFonts w:ascii="Times New Roman" w:eastAsia="Times New Roman" w:hAnsi="Times New Roman" w:cs="Times New Roman"/>
            <w:color w:val="0000FF"/>
            <w:sz w:val="24"/>
            <w:szCs w:val="24"/>
            <w:u w:val="single"/>
            <w:lang/>
          </w:rPr>
          <w:t>пункті 64.2 статті 64</w:t>
        </w:r>
      </w:hyperlink>
      <w:r w:rsidRPr="008B264B">
        <w:rPr>
          <w:rFonts w:ascii="Times New Roman" w:eastAsia="Times New Roman" w:hAnsi="Times New Roman" w:cs="Times New Roman"/>
          <w:color w:val="000000"/>
          <w:sz w:val="24"/>
          <w:szCs w:val="24"/>
          <w:lang/>
        </w:rPr>
        <w:t> цього Кодексу, зобов'язаний подати контролюючому органу за новим місцезнаходженням відповідну заяву у десятиденний строк від дня реєстрації зміни місцезнаходження (місця проживання) згідно з порядком обліку платників податків. У разі неподання такої заяви протягом 10 календарних днів платник податків або посадові особи платника податків несуть відповідальність відповідно до закону.</w:t>
      </w:r>
    </w:p>
    <w:p w14:paraId="7C0297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0" w:name="n9489"/>
      <w:bookmarkEnd w:id="2530"/>
      <w:r w:rsidRPr="008B264B">
        <w:rPr>
          <w:rFonts w:ascii="Times New Roman" w:eastAsia="Times New Roman" w:hAnsi="Times New Roman" w:cs="Times New Roman"/>
          <w:i/>
          <w:iCs/>
          <w:color w:val="000000"/>
          <w:sz w:val="24"/>
          <w:szCs w:val="24"/>
          <w:lang/>
        </w:rPr>
        <w:t>{Абзац третій пункту 66.3 статті 66 із змінами, внесеними згідно із Законом </w:t>
      </w:r>
      <w:hyperlink r:id="rId1388" w:anchor="n4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A8197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1" w:name="n1567"/>
      <w:bookmarkEnd w:id="2531"/>
      <w:r w:rsidRPr="008B264B">
        <w:rPr>
          <w:rFonts w:ascii="Times New Roman" w:eastAsia="Times New Roman" w:hAnsi="Times New Roman" w:cs="Times New Roman"/>
          <w:color w:val="000000"/>
          <w:sz w:val="24"/>
          <w:szCs w:val="24"/>
          <w:lang/>
        </w:rPr>
        <w:t>66.4. Платники податків - юридичні особи та їх відокремлені підрозділи зобов'язані подати контролюючому органу відомості стосовно осіб, відповідальних за ведення бухгалтерського та/або податкового обліку юридичної особи, її відокремлених підрозділів, у 10-денний строк з дня взяття на облік чи виникнення змін у облікових даних платників податків, шляхом подання заяви у порядку, визначеному центральним органом виконавчої влади, що забезпечує формування та реалізує державну фінансову політику. Відповідальність за неподання такої інформації визначається цим Кодексом.</w:t>
      </w:r>
    </w:p>
    <w:p w14:paraId="28AEFF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2" w:name="n13418"/>
      <w:bookmarkEnd w:id="2532"/>
      <w:r w:rsidRPr="008B264B">
        <w:rPr>
          <w:rFonts w:ascii="Times New Roman" w:eastAsia="Times New Roman" w:hAnsi="Times New Roman" w:cs="Times New Roman"/>
          <w:i/>
          <w:iCs/>
          <w:color w:val="000000"/>
          <w:sz w:val="24"/>
          <w:szCs w:val="24"/>
          <w:lang/>
        </w:rPr>
        <w:t>{Пункт 66.4 статті 66 із змінами, внесеними згідно із Законом </w:t>
      </w:r>
      <w:hyperlink r:id="rId138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C8C8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3" w:name="n1568"/>
      <w:bookmarkEnd w:id="2533"/>
      <w:r w:rsidRPr="008B264B">
        <w:rPr>
          <w:rFonts w:ascii="Times New Roman" w:eastAsia="Times New Roman" w:hAnsi="Times New Roman" w:cs="Times New Roman"/>
          <w:color w:val="000000"/>
          <w:sz w:val="24"/>
          <w:szCs w:val="24"/>
          <w:lang/>
        </w:rPr>
        <w:t>66.5. У разі виникнення змін у даних або внесення змін до документів, що подаються для взяття на облік згідно з цією главою, крім змін, які вносяться до Єдиного державного реєстру юридичних осіб, фізичних осіб - підприємців та громадських формувань, та змін, про які платник податків повідомив за основним місцем обліку, платник податків зобов’язаний подати контролюючому органу, в якому він обліковується, уточнені документи протягом 10 календарних днів з дня внесення змін до зазначених документів.</w:t>
      </w:r>
    </w:p>
    <w:p w14:paraId="169C93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4" w:name="n9490"/>
      <w:bookmarkEnd w:id="2534"/>
      <w:r w:rsidRPr="008B264B">
        <w:rPr>
          <w:rFonts w:ascii="Times New Roman" w:eastAsia="Times New Roman" w:hAnsi="Times New Roman" w:cs="Times New Roman"/>
          <w:i/>
          <w:iCs/>
          <w:color w:val="000000"/>
          <w:sz w:val="24"/>
          <w:szCs w:val="24"/>
          <w:lang/>
        </w:rPr>
        <w:t>{Пункт 66.5 статті 66 із змінами, внесеними згідно із Законом </w:t>
      </w:r>
      <w:hyperlink r:id="rId1390" w:anchor="n4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1391" w:anchor="n5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D611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5" w:name="n1569"/>
      <w:bookmarkEnd w:id="2535"/>
      <w:r w:rsidRPr="008B264B">
        <w:rPr>
          <w:rFonts w:ascii="Times New Roman" w:eastAsia="Times New Roman" w:hAnsi="Times New Roman" w:cs="Times New Roman"/>
          <w:b/>
          <w:bCs/>
          <w:color w:val="000000"/>
          <w:sz w:val="24"/>
          <w:szCs w:val="24"/>
          <w:lang/>
        </w:rPr>
        <w:lastRenderedPageBreak/>
        <w:t>Стаття 67.</w:t>
      </w:r>
      <w:r w:rsidRPr="008B264B">
        <w:rPr>
          <w:rFonts w:ascii="Times New Roman" w:eastAsia="Times New Roman" w:hAnsi="Times New Roman" w:cs="Times New Roman"/>
          <w:color w:val="000000"/>
          <w:sz w:val="24"/>
          <w:szCs w:val="24"/>
          <w:lang/>
        </w:rPr>
        <w:t> Підстави та порядок зняття з обліку у контролюючих органах юридичних осіб, їх відокремлених підрозділів та самозайнятих осіб</w:t>
      </w:r>
    </w:p>
    <w:p w14:paraId="226EC2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6" w:name="n1570"/>
      <w:bookmarkEnd w:id="2536"/>
      <w:r w:rsidRPr="008B264B">
        <w:rPr>
          <w:rFonts w:ascii="Times New Roman" w:eastAsia="Times New Roman" w:hAnsi="Times New Roman" w:cs="Times New Roman"/>
          <w:color w:val="000000"/>
          <w:sz w:val="24"/>
          <w:szCs w:val="24"/>
          <w:lang/>
        </w:rPr>
        <w:t>67.1. Підставами для зняття з обліку у контролюючих органах юридичної особи, її відокремлених підрозділів та самозайнятих осіб є:</w:t>
      </w:r>
    </w:p>
    <w:p w14:paraId="0E2781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7" w:name="n1571"/>
      <w:bookmarkEnd w:id="2537"/>
      <w:r w:rsidRPr="008B264B">
        <w:rPr>
          <w:rFonts w:ascii="Times New Roman" w:eastAsia="Times New Roman" w:hAnsi="Times New Roman" w:cs="Times New Roman"/>
          <w:color w:val="000000"/>
          <w:sz w:val="24"/>
          <w:szCs w:val="24"/>
          <w:lang/>
        </w:rPr>
        <w:t>67.1.1. повідомлення чи документальне підтвердження державного реєстратора чи іншого органу державної реєстрації про проведення державної реєстрації припинення юридичної особи, закриття відокремленого підрозділу юридичної особи;</w:t>
      </w:r>
    </w:p>
    <w:p w14:paraId="1C96B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8" w:name="n1572"/>
      <w:bookmarkEnd w:id="2538"/>
      <w:r w:rsidRPr="008B264B">
        <w:rPr>
          <w:rFonts w:ascii="Times New Roman" w:eastAsia="Times New Roman" w:hAnsi="Times New Roman" w:cs="Times New Roman"/>
          <w:i/>
          <w:iCs/>
          <w:color w:val="000000"/>
          <w:sz w:val="24"/>
          <w:szCs w:val="24"/>
          <w:lang/>
        </w:rPr>
        <w:t>{Абзац другий підпункту 67.1.1 пункту 67.1 статті 67 виключено на підставі Закону </w:t>
      </w:r>
      <w:hyperlink r:id="rId1392" w:anchor="n4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C10EF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39" w:name="n1573"/>
      <w:bookmarkEnd w:id="2539"/>
      <w:r w:rsidRPr="008B264B">
        <w:rPr>
          <w:rFonts w:ascii="Times New Roman" w:eastAsia="Times New Roman" w:hAnsi="Times New Roman" w:cs="Times New Roman"/>
          <w:i/>
          <w:iCs/>
          <w:color w:val="000000"/>
          <w:sz w:val="24"/>
          <w:szCs w:val="24"/>
          <w:lang/>
        </w:rPr>
        <w:t>{Абзац третій підпункту 67.1.1 пункту 67.1 статті 67 виключено на підставі Закону </w:t>
      </w:r>
      <w:hyperlink r:id="rId1393" w:anchor="n4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0B9D7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0" w:name="n1574"/>
      <w:bookmarkEnd w:id="2540"/>
      <w:r w:rsidRPr="008B264B">
        <w:rPr>
          <w:rFonts w:ascii="Times New Roman" w:eastAsia="Times New Roman" w:hAnsi="Times New Roman" w:cs="Times New Roman"/>
          <w:color w:val="000000"/>
          <w:sz w:val="24"/>
          <w:szCs w:val="24"/>
          <w:lang/>
        </w:rPr>
        <w:t>67.1.2. наявність хоча б однієї з підстав, визначених </w:t>
      </w:r>
      <w:hyperlink r:id="rId1394" w:anchor="n1543" w:history="1">
        <w:r w:rsidRPr="008B264B">
          <w:rPr>
            <w:rFonts w:ascii="Times New Roman" w:eastAsia="Times New Roman" w:hAnsi="Times New Roman" w:cs="Times New Roman"/>
            <w:color w:val="0000FF"/>
            <w:sz w:val="24"/>
            <w:szCs w:val="24"/>
            <w:u w:val="single"/>
            <w:lang/>
          </w:rPr>
          <w:t>пунктом 65.10</w:t>
        </w:r>
      </w:hyperlink>
      <w:r w:rsidRPr="008B264B">
        <w:rPr>
          <w:rFonts w:ascii="Times New Roman" w:eastAsia="Times New Roman" w:hAnsi="Times New Roman" w:cs="Times New Roman"/>
          <w:color w:val="000000"/>
          <w:sz w:val="24"/>
          <w:szCs w:val="24"/>
          <w:lang/>
        </w:rPr>
        <w:t> статті 65 цього Кодексу для самозайнятої особи.</w:t>
      </w:r>
    </w:p>
    <w:p w14:paraId="449145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1" w:name="n1575"/>
      <w:bookmarkEnd w:id="2541"/>
      <w:r w:rsidRPr="008B264B">
        <w:rPr>
          <w:rFonts w:ascii="Times New Roman" w:eastAsia="Times New Roman" w:hAnsi="Times New Roman" w:cs="Times New Roman"/>
          <w:i/>
          <w:iCs/>
          <w:color w:val="000000"/>
          <w:sz w:val="24"/>
          <w:szCs w:val="24"/>
          <w:lang/>
        </w:rPr>
        <w:t>{Абзац другий підпункту 67.1.2 пункту 67.1 статті 67 виключено на підставі Закону </w:t>
      </w:r>
      <w:hyperlink r:id="rId1395" w:anchor="n4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42BCF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2" w:name="n1576"/>
      <w:bookmarkEnd w:id="2542"/>
      <w:r w:rsidRPr="008B264B">
        <w:rPr>
          <w:rFonts w:ascii="Times New Roman" w:eastAsia="Times New Roman" w:hAnsi="Times New Roman" w:cs="Times New Roman"/>
          <w:i/>
          <w:iCs/>
          <w:color w:val="000000"/>
          <w:sz w:val="24"/>
          <w:szCs w:val="24"/>
          <w:lang/>
        </w:rPr>
        <w:t>{Абзац третій підпункту 67.1.2 пункту 67.1 статті 67 виключено на підставі Закону </w:t>
      </w:r>
      <w:hyperlink r:id="rId1396" w:anchor="n4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6FC620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3" w:name="n1577"/>
      <w:bookmarkEnd w:id="2543"/>
      <w:r w:rsidRPr="008B264B">
        <w:rPr>
          <w:rFonts w:ascii="Times New Roman" w:eastAsia="Times New Roman" w:hAnsi="Times New Roman" w:cs="Times New Roman"/>
          <w:color w:val="000000"/>
          <w:sz w:val="24"/>
          <w:szCs w:val="24"/>
          <w:lang/>
        </w:rPr>
        <w:t>67.2. Контролюючі органи в установленому законом порядку мають право звертатися до суду про винесення судового рішення щодо:</w:t>
      </w:r>
    </w:p>
    <w:p w14:paraId="1EE524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4" w:name="n1578"/>
      <w:bookmarkEnd w:id="2544"/>
      <w:r w:rsidRPr="008B264B">
        <w:rPr>
          <w:rFonts w:ascii="Times New Roman" w:eastAsia="Times New Roman" w:hAnsi="Times New Roman" w:cs="Times New Roman"/>
          <w:color w:val="000000"/>
          <w:sz w:val="24"/>
          <w:szCs w:val="24"/>
          <w:lang/>
        </w:rPr>
        <w:t>припинення юридичних осіб або підприємницької діяльності фізичних осіб - підприємців;</w:t>
      </w:r>
    </w:p>
    <w:p w14:paraId="57B150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5" w:name="n1579"/>
      <w:bookmarkEnd w:id="2545"/>
      <w:r w:rsidRPr="008B264B">
        <w:rPr>
          <w:rFonts w:ascii="Times New Roman" w:eastAsia="Times New Roman" w:hAnsi="Times New Roman" w:cs="Times New Roman"/>
          <w:color w:val="000000"/>
          <w:sz w:val="24"/>
          <w:szCs w:val="24"/>
          <w:lang/>
        </w:rPr>
        <w:t>відміни державної реєстрації припинення юридичних осіб або підприємницької діяльності фізичних осіб - підприємців;</w:t>
      </w:r>
    </w:p>
    <w:p w14:paraId="48780D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6" w:name="n1580"/>
      <w:bookmarkEnd w:id="2546"/>
      <w:r w:rsidRPr="008B264B">
        <w:rPr>
          <w:rFonts w:ascii="Times New Roman" w:eastAsia="Times New Roman" w:hAnsi="Times New Roman" w:cs="Times New Roman"/>
          <w:color w:val="000000"/>
          <w:sz w:val="24"/>
          <w:szCs w:val="24"/>
          <w:lang/>
        </w:rPr>
        <w:t>скасування державної реєстрації змін до установчих документів.</w:t>
      </w:r>
    </w:p>
    <w:p w14:paraId="40B9DB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7" w:name="n1581"/>
      <w:bookmarkEnd w:id="2547"/>
      <w:r w:rsidRPr="008B264B">
        <w:rPr>
          <w:rFonts w:ascii="Times New Roman" w:eastAsia="Times New Roman" w:hAnsi="Times New Roman" w:cs="Times New Roman"/>
          <w:color w:val="000000"/>
          <w:sz w:val="24"/>
          <w:szCs w:val="24"/>
          <w:lang/>
        </w:rPr>
        <w:t>67.3. У разі припинення юридичної особи її відокремлені підрозділи підлягають зняттю з обліку в контролюючих органах.</w:t>
      </w:r>
    </w:p>
    <w:p w14:paraId="352067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8" w:name="n1582"/>
      <w:bookmarkEnd w:id="2548"/>
      <w:r w:rsidRPr="008B264B">
        <w:rPr>
          <w:rFonts w:ascii="Times New Roman" w:eastAsia="Times New Roman" w:hAnsi="Times New Roman" w:cs="Times New Roman"/>
          <w:color w:val="000000"/>
          <w:sz w:val="24"/>
          <w:szCs w:val="24"/>
          <w:lang/>
        </w:rPr>
        <w:t>Порядок зняття з обліку у контролюючих органах юридичних осіб, їх відокремлених підрозділів та самозайнятих осіб встановлюється центральним органом виконавчої влади, що забезпечує формування та реалізує державну фінансову політику.</w:t>
      </w:r>
    </w:p>
    <w:p w14:paraId="373283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49" w:name="n13419"/>
      <w:bookmarkEnd w:id="2549"/>
      <w:r w:rsidRPr="008B264B">
        <w:rPr>
          <w:rFonts w:ascii="Times New Roman" w:eastAsia="Times New Roman" w:hAnsi="Times New Roman" w:cs="Times New Roman"/>
          <w:i/>
          <w:iCs/>
          <w:color w:val="000000"/>
          <w:sz w:val="24"/>
          <w:szCs w:val="24"/>
          <w:lang/>
        </w:rPr>
        <w:t>{Абзац другий пункту 67.3 статті 67 із змінами, внесеними згідно із Законом </w:t>
      </w:r>
      <w:hyperlink r:id="rId139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F89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0" w:name="n1583"/>
      <w:bookmarkEnd w:id="2550"/>
      <w:r w:rsidRPr="008B264B">
        <w:rPr>
          <w:rFonts w:ascii="Times New Roman" w:eastAsia="Times New Roman" w:hAnsi="Times New Roman" w:cs="Times New Roman"/>
          <w:color w:val="000000"/>
          <w:sz w:val="24"/>
          <w:szCs w:val="24"/>
          <w:lang/>
        </w:rPr>
        <w:t>67.4. Договори про спільну діяльність, договори управління майном та угоди про розподіл продукції знімаються з обліку у контролюючих органах після їх припинення, розірвання, закінчення строку дії чи після досягнення мети, для якої вони були укладені, визнання їх недійсними у судовому порядку.</w:t>
      </w:r>
    </w:p>
    <w:p w14:paraId="06F51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1" w:name="n1584"/>
      <w:bookmarkEnd w:id="2551"/>
      <w:r w:rsidRPr="008B264B">
        <w:rPr>
          <w:rFonts w:ascii="Times New Roman" w:eastAsia="Times New Roman" w:hAnsi="Times New Roman" w:cs="Times New Roman"/>
          <w:i/>
          <w:iCs/>
          <w:color w:val="000000"/>
          <w:sz w:val="24"/>
          <w:szCs w:val="24"/>
          <w:lang/>
        </w:rPr>
        <w:t>{Пункт 67.4 статті 67 із змінами, внесеними згідно із Законом </w:t>
      </w:r>
      <w:hyperlink r:id="rId1398" w:anchor="n8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4039F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2" w:name="n1585"/>
      <w:bookmarkEnd w:id="2552"/>
      <w:r w:rsidRPr="008B264B">
        <w:rPr>
          <w:rFonts w:ascii="Times New Roman" w:eastAsia="Times New Roman" w:hAnsi="Times New Roman" w:cs="Times New Roman"/>
          <w:b/>
          <w:bCs/>
          <w:color w:val="000000"/>
          <w:sz w:val="24"/>
          <w:szCs w:val="24"/>
          <w:lang/>
        </w:rPr>
        <w:t>Стаття 68.</w:t>
      </w:r>
      <w:r w:rsidRPr="008B264B">
        <w:rPr>
          <w:rFonts w:ascii="Times New Roman" w:eastAsia="Times New Roman" w:hAnsi="Times New Roman" w:cs="Times New Roman"/>
          <w:color w:val="000000"/>
          <w:sz w:val="24"/>
          <w:szCs w:val="24"/>
          <w:lang/>
        </w:rPr>
        <w:t> Інформація, що подається для обліку платників податків органами державної реєстрації суб'єктів підприємницької діяльності та іншими органами</w:t>
      </w:r>
    </w:p>
    <w:p w14:paraId="1A01BB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3" w:name="n1586"/>
      <w:bookmarkEnd w:id="2553"/>
      <w:r w:rsidRPr="008B264B">
        <w:rPr>
          <w:rFonts w:ascii="Times New Roman" w:eastAsia="Times New Roman" w:hAnsi="Times New Roman" w:cs="Times New Roman"/>
          <w:color w:val="000000"/>
          <w:sz w:val="24"/>
          <w:szCs w:val="24"/>
          <w:lang/>
        </w:rPr>
        <w:t>68.1. Орган державної реєстрації юридичних осіб, фізичних осіб - підприємців та громадських формувань у день державної реєстрації такої особи, державної реєстрації припинення юридичної особи чи підприємницької діяльності фізичної особи - підприємця, внесення будь-яких інших записів до Єдиного державного реєстру юридичних осіб, фізичних осіб - підприємців та громадських формувань повинен передати відповідному контролюючому органу відомості з Єдиного державного реєстру юридичних осіб, фізичних осіб - підприємців та громадських формувань про вчинення реєстраційних дій, передбачених законом.</w:t>
      </w:r>
    </w:p>
    <w:p w14:paraId="4F73FE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4" w:name="n9491"/>
      <w:bookmarkEnd w:id="2554"/>
      <w:r w:rsidRPr="008B264B">
        <w:rPr>
          <w:rFonts w:ascii="Times New Roman" w:eastAsia="Times New Roman" w:hAnsi="Times New Roman" w:cs="Times New Roman"/>
          <w:i/>
          <w:iCs/>
          <w:color w:val="000000"/>
          <w:sz w:val="24"/>
          <w:szCs w:val="24"/>
          <w:lang/>
        </w:rPr>
        <w:lastRenderedPageBreak/>
        <w:t>{Пункт 68.1 статті 68 із змінами, внесеними згідно із Законом </w:t>
      </w:r>
      <w:hyperlink r:id="rId1399" w:anchor="n4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1400" w:anchor="n5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09CC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5" w:name="n1587"/>
      <w:bookmarkEnd w:id="2555"/>
      <w:r w:rsidRPr="008B264B">
        <w:rPr>
          <w:rFonts w:ascii="Times New Roman" w:eastAsia="Times New Roman" w:hAnsi="Times New Roman" w:cs="Times New Roman"/>
          <w:i/>
          <w:iCs/>
          <w:color w:val="000000"/>
          <w:sz w:val="24"/>
          <w:szCs w:val="24"/>
          <w:lang/>
        </w:rPr>
        <w:t>{Пункт 68.2 статті 68 виключено на підставі Закону </w:t>
      </w:r>
      <w:hyperlink r:id="rId1401" w:anchor="n8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306C5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6" w:name="n1588"/>
      <w:bookmarkEnd w:id="2556"/>
      <w:r w:rsidRPr="008B264B">
        <w:rPr>
          <w:rFonts w:ascii="Times New Roman" w:eastAsia="Times New Roman" w:hAnsi="Times New Roman" w:cs="Times New Roman"/>
          <w:color w:val="000000"/>
          <w:sz w:val="24"/>
          <w:szCs w:val="24"/>
          <w:lang/>
        </w:rPr>
        <w:t>68.3. Органи, що ведуть облік або реєстрацію рухомого майна та інших активів, які є об'єктом оподаткування, зобов'язані повідомляти про власників та/або користувачів такого рухомого майна та інших активів, розміщених на відповідній території, або про транспортні засоби, зареєстровані у цих органах, та їх власників контролюючі органи за своїм місцезнаходженням щомісяця, але не пізніше 10 числа наступного місяця. </w:t>
      </w:r>
      <w:hyperlink r:id="rId1402" w:anchor="n8"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такого повідомлення встановлює Кабінет Міністрів України.</w:t>
      </w:r>
    </w:p>
    <w:p w14:paraId="35D115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7" w:name="n1589"/>
      <w:bookmarkEnd w:id="2557"/>
      <w:r w:rsidRPr="008B264B">
        <w:rPr>
          <w:rFonts w:ascii="Times New Roman" w:eastAsia="Times New Roman" w:hAnsi="Times New Roman" w:cs="Times New Roman"/>
          <w:color w:val="000000"/>
          <w:sz w:val="24"/>
          <w:szCs w:val="24"/>
          <w:lang/>
        </w:rPr>
        <w:t>68.4. Державні органи повинні подавати контролюючим органам іншу інформацію у випадках, передбачених цим Кодексом та іншими нормативно-правовими актами України.</w:t>
      </w:r>
    </w:p>
    <w:p w14:paraId="312F07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8" w:name="n1590"/>
      <w:bookmarkEnd w:id="2558"/>
      <w:r w:rsidRPr="008B264B">
        <w:rPr>
          <w:rFonts w:ascii="Times New Roman" w:eastAsia="Times New Roman" w:hAnsi="Times New Roman" w:cs="Times New Roman"/>
          <w:b/>
          <w:bCs/>
          <w:color w:val="000000"/>
          <w:sz w:val="24"/>
          <w:szCs w:val="24"/>
          <w:lang/>
        </w:rPr>
        <w:t>Стаття 69.</w:t>
      </w:r>
      <w:r w:rsidRPr="008B264B">
        <w:rPr>
          <w:rFonts w:ascii="Times New Roman" w:eastAsia="Times New Roman" w:hAnsi="Times New Roman" w:cs="Times New Roman"/>
          <w:color w:val="000000"/>
          <w:sz w:val="24"/>
          <w:szCs w:val="24"/>
          <w:lang/>
        </w:rPr>
        <w:t> Вимоги до відкриття та закриття рахунків платників податків у банках та інших фінансових установах, особливості подання звітності за підзвітними рахунками</w:t>
      </w:r>
    </w:p>
    <w:p w14:paraId="74477B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59" w:name="n15854"/>
      <w:bookmarkEnd w:id="2559"/>
      <w:r w:rsidRPr="008B264B">
        <w:rPr>
          <w:rFonts w:ascii="Times New Roman" w:eastAsia="Times New Roman" w:hAnsi="Times New Roman" w:cs="Times New Roman"/>
          <w:i/>
          <w:iCs/>
          <w:color w:val="000000"/>
          <w:sz w:val="24"/>
          <w:szCs w:val="24"/>
          <w:lang/>
        </w:rPr>
        <w:t>{Назва статті 69 в редакції Закону </w:t>
      </w:r>
      <w:hyperlink r:id="rId1403" w:anchor="n24"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75663C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0" w:name="n1591"/>
      <w:bookmarkEnd w:id="2560"/>
      <w:r w:rsidRPr="008B264B">
        <w:rPr>
          <w:rFonts w:ascii="Times New Roman" w:eastAsia="Times New Roman" w:hAnsi="Times New Roman" w:cs="Times New Roman"/>
          <w:color w:val="000000"/>
          <w:sz w:val="24"/>
          <w:szCs w:val="24"/>
          <w:lang/>
        </w:rPr>
        <w:t>69.1. Банки та інші фінансові установи відкривають поточні та інші рахунки платникам податків - юридичним особам (резидентам і нерезидентам) незалежно від організаційно-правової форми, відокремленим підрозділам та представництвам юридичних осіб, для яких законом установлені особливості їх державної реєстрації та які не включаються до Єдиного державного реєстру юридичних осіб, фізичних осіб - підприємців та громадських формувань, фізичним особам, які провадять незалежну професійну діяльність, за наявності документів, виданих контролюючими органами, що підтверджують взяття їх на облік у таких органах, або виписки з Єдиного державного реєстру юридичних осіб, фізичних осіб - підприємців та громадських формувань (для осіб, взяття на облік яких у контролюючих органах здійснюється на підставі відомостей з Єдиного державного реєстру юридичних осіб, фізичних осіб - підприємців та громадських формувань, наданих державним реєстратором згідно із </w:t>
      </w:r>
      <w:hyperlink r:id="rId1404"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 чи інформації з цього реєстру, отриманої банком відповідно до закону, із зазначенням даних про взяття на облік в контролюючих органах як платника податків.</w:t>
      </w:r>
    </w:p>
    <w:p w14:paraId="6E197B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1" w:name="n1592"/>
      <w:bookmarkEnd w:id="2561"/>
      <w:r w:rsidRPr="008B264B">
        <w:rPr>
          <w:rFonts w:ascii="Times New Roman" w:eastAsia="Times New Roman" w:hAnsi="Times New Roman" w:cs="Times New Roman"/>
          <w:i/>
          <w:iCs/>
          <w:color w:val="000000"/>
          <w:sz w:val="24"/>
          <w:szCs w:val="24"/>
          <w:lang/>
        </w:rPr>
        <w:t>{Пункт 69.1 статті 69 в редакції Закону </w:t>
      </w:r>
      <w:hyperlink r:id="rId1405" w:anchor="n8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06" w:anchor="n6" w:tgtFrame="_blank" w:history="1">
        <w:r w:rsidRPr="008B264B">
          <w:rPr>
            <w:rFonts w:ascii="Times New Roman" w:eastAsia="Times New Roman" w:hAnsi="Times New Roman" w:cs="Times New Roman"/>
            <w:i/>
            <w:iCs/>
            <w:color w:val="0000FF"/>
            <w:sz w:val="24"/>
            <w:szCs w:val="24"/>
            <w:u w:val="single"/>
            <w:lang/>
          </w:rPr>
          <w:t>№ 344-VIII від 21.04.2015</w:t>
        </w:r>
      </w:hyperlink>
      <w:r w:rsidRPr="008B264B">
        <w:rPr>
          <w:rFonts w:ascii="Times New Roman" w:eastAsia="Times New Roman" w:hAnsi="Times New Roman" w:cs="Times New Roman"/>
          <w:i/>
          <w:iCs/>
          <w:color w:val="000000"/>
          <w:sz w:val="24"/>
          <w:szCs w:val="24"/>
          <w:lang/>
        </w:rPr>
        <w:t>; в редакції Закону </w:t>
      </w:r>
      <w:hyperlink r:id="rId1407" w:anchor="n5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93CA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2" w:name="n1593"/>
      <w:bookmarkEnd w:id="2562"/>
      <w:r w:rsidRPr="008B264B">
        <w:rPr>
          <w:rFonts w:ascii="Times New Roman" w:eastAsia="Times New Roman" w:hAnsi="Times New Roman" w:cs="Times New Roman"/>
          <w:color w:val="000000"/>
          <w:sz w:val="24"/>
          <w:szCs w:val="24"/>
          <w:lang/>
        </w:rPr>
        <w:t>69.2. Банки та інші фінансові установи зобов'язані надіслати повідомлення про відкриття або закриття рахунка платника податків - юридичної особи, у тому числі відкритого через його відокремлені підрозділи, чи самозайнятої фізичної особи до контролюючого органу, в якому обліковується платник податків, у день відкриття/закриття рахунка.</w:t>
      </w:r>
    </w:p>
    <w:p w14:paraId="5AD792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3" w:name="n9492"/>
      <w:bookmarkEnd w:id="2563"/>
      <w:r w:rsidRPr="008B264B">
        <w:rPr>
          <w:rFonts w:ascii="Times New Roman" w:eastAsia="Times New Roman" w:hAnsi="Times New Roman" w:cs="Times New Roman"/>
          <w:i/>
          <w:iCs/>
          <w:color w:val="000000"/>
          <w:sz w:val="24"/>
          <w:szCs w:val="24"/>
          <w:lang/>
        </w:rPr>
        <w:t>{Абзац перший пункту 69.2 статті 69 із змінами, внесеними згідно із Законами </w:t>
      </w:r>
      <w:hyperlink r:id="rId1408" w:anchor="n4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409" w:anchor="n7" w:tgtFrame="_blank" w:history="1">
        <w:r w:rsidRPr="008B264B">
          <w:rPr>
            <w:rFonts w:ascii="Times New Roman" w:eastAsia="Times New Roman" w:hAnsi="Times New Roman" w:cs="Times New Roman"/>
            <w:i/>
            <w:iCs/>
            <w:color w:val="0000FF"/>
            <w:sz w:val="24"/>
            <w:szCs w:val="24"/>
            <w:u w:val="single"/>
            <w:lang/>
          </w:rPr>
          <w:t>№ 344-VIII від 21.04.2015</w:t>
        </w:r>
      </w:hyperlink>
      <w:r w:rsidRPr="008B264B">
        <w:rPr>
          <w:rFonts w:ascii="Times New Roman" w:eastAsia="Times New Roman" w:hAnsi="Times New Roman" w:cs="Times New Roman"/>
          <w:i/>
          <w:iCs/>
          <w:color w:val="000000"/>
          <w:sz w:val="24"/>
          <w:szCs w:val="24"/>
          <w:lang/>
        </w:rPr>
        <w:t>}</w:t>
      </w:r>
    </w:p>
    <w:p w14:paraId="1B1A5B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4" w:name="n1594"/>
      <w:bookmarkEnd w:id="2564"/>
      <w:r w:rsidRPr="008B264B">
        <w:rPr>
          <w:rFonts w:ascii="Times New Roman" w:eastAsia="Times New Roman" w:hAnsi="Times New Roman" w:cs="Times New Roman"/>
          <w:color w:val="000000"/>
          <w:sz w:val="24"/>
          <w:szCs w:val="24"/>
          <w:lang/>
        </w:rPr>
        <w:t>У разі відкриття або закриття рахунка платника податків - банку, у тому числі відкритого через його відокремлені підрозділи, повідомлення надсилається в порядку, визначеному цим пунктом, лише в разі відкриття або закриття кореспондентського рахунка.</w:t>
      </w:r>
    </w:p>
    <w:p w14:paraId="5D3A3A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5" w:name="n1595"/>
      <w:bookmarkEnd w:id="2565"/>
      <w:r w:rsidRPr="008B264B">
        <w:rPr>
          <w:rFonts w:ascii="Times New Roman" w:eastAsia="Times New Roman" w:hAnsi="Times New Roman" w:cs="Times New Roman"/>
          <w:color w:val="000000"/>
          <w:sz w:val="24"/>
          <w:szCs w:val="24"/>
          <w:lang/>
        </w:rPr>
        <w:t>У разі відкриття або закриття власного кореспондентського рахунка банки зобов'язані надіслати повідомлення до контролюючого органу, в якому обліковуються, в строки, визначені цим пунктом.</w:t>
      </w:r>
    </w:p>
    <w:p w14:paraId="1DE258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6" w:name="n1596"/>
      <w:bookmarkEnd w:id="2566"/>
      <w:r w:rsidRPr="008B264B">
        <w:rPr>
          <w:rFonts w:ascii="Times New Roman" w:eastAsia="Times New Roman" w:hAnsi="Times New Roman" w:cs="Times New Roman"/>
          <w:color w:val="000000"/>
          <w:sz w:val="24"/>
          <w:szCs w:val="24"/>
          <w:lang/>
        </w:rPr>
        <w:t>69.3. Контролюючий орган не пізніше наступного робочого дня з дня отримання повідомлення від фінансової установи про відкриття рахунка зобов'язаний направити повідомлення про взяття рахунка на облік або відмову у взятті контролюючим органом рахунка на облік із зазначенням підстав у порядку, визначеному цим Кодексом.</w:t>
      </w:r>
    </w:p>
    <w:p w14:paraId="0F643C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7" w:name="n12350"/>
      <w:bookmarkEnd w:id="2567"/>
      <w:r w:rsidRPr="008B264B">
        <w:rPr>
          <w:rFonts w:ascii="Times New Roman" w:eastAsia="Times New Roman" w:hAnsi="Times New Roman" w:cs="Times New Roman"/>
          <w:color w:val="000000"/>
          <w:sz w:val="24"/>
          <w:szCs w:val="24"/>
          <w:lang/>
        </w:rPr>
        <w:lastRenderedPageBreak/>
        <w:t>Якщо контролюючий орган протягом строку, встановленого абзацом першим цього пункту, не направив повідомлення про відмову у взятті рахунка на облік, такий рахунок вважається взятим на облік у контролюючому органі за мовчазною згодою - у час та дату отримання фінансовою установою повідомлення (квитанції) контролюючого органу про підтвердження факту прийняття повідомлення до оброблення згідно з порядком подання повідомлень, встановленим відповідно до пункту 69.5 цієї статті.</w:t>
      </w:r>
    </w:p>
    <w:p w14:paraId="13628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8" w:name="n12349"/>
      <w:bookmarkEnd w:id="2568"/>
      <w:r w:rsidRPr="008B264B">
        <w:rPr>
          <w:rFonts w:ascii="Times New Roman" w:eastAsia="Times New Roman" w:hAnsi="Times New Roman" w:cs="Times New Roman"/>
          <w:i/>
          <w:iCs/>
          <w:color w:val="000000"/>
          <w:sz w:val="24"/>
          <w:szCs w:val="24"/>
          <w:lang/>
        </w:rPr>
        <w:t>{Пункт 69.3 статті 69 доповнено абзацом другим згідно із Законом </w:t>
      </w:r>
      <w:hyperlink r:id="rId1410" w:anchor="n8" w:tgtFrame="_blank" w:history="1">
        <w:r w:rsidRPr="008B264B">
          <w:rPr>
            <w:rFonts w:ascii="Times New Roman" w:eastAsia="Times New Roman" w:hAnsi="Times New Roman" w:cs="Times New Roman"/>
            <w:i/>
            <w:iCs/>
            <w:color w:val="0000FF"/>
            <w:sz w:val="24"/>
            <w:szCs w:val="24"/>
            <w:u w:val="single"/>
            <w:lang/>
          </w:rPr>
          <w:t>№ 344-VIII від 21.04.2015</w:t>
        </w:r>
      </w:hyperlink>
      <w:r w:rsidRPr="008B264B">
        <w:rPr>
          <w:rFonts w:ascii="Times New Roman" w:eastAsia="Times New Roman" w:hAnsi="Times New Roman" w:cs="Times New Roman"/>
          <w:i/>
          <w:iCs/>
          <w:color w:val="000000"/>
          <w:sz w:val="24"/>
          <w:szCs w:val="24"/>
          <w:lang/>
        </w:rPr>
        <w:t>}</w:t>
      </w:r>
    </w:p>
    <w:p w14:paraId="471E9A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69" w:name="n9493"/>
      <w:bookmarkEnd w:id="2569"/>
      <w:r w:rsidRPr="008B264B">
        <w:rPr>
          <w:rFonts w:ascii="Times New Roman" w:eastAsia="Times New Roman" w:hAnsi="Times New Roman" w:cs="Times New Roman"/>
          <w:i/>
          <w:iCs/>
          <w:color w:val="000000"/>
          <w:sz w:val="24"/>
          <w:szCs w:val="24"/>
          <w:lang/>
        </w:rPr>
        <w:t>{Пункт 69.3 статті 69 із змінами, внесеними згідно із Законом </w:t>
      </w:r>
      <w:hyperlink r:id="rId1411" w:anchor="n4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C13BA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0" w:name="n1597"/>
      <w:bookmarkEnd w:id="2570"/>
      <w:r w:rsidRPr="008B264B">
        <w:rPr>
          <w:rFonts w:ascii="Times New Roman" w:eastAsia="Times New Roman" w:hAnsi="Times New Roman" w:cs="Times New Roman"/>
          <w:color w:val="000000"/>
          <w:sz w:val="24"/>
          <w:szCs w:val="24"/>
          <w:lang/>
        </w:rPr>
        <w:t>69.4. Датою початку видаткових операцій за рахунком платника податків, визначеного </w:t>
      </w:r>
      <w:hyperlink r:id="rId1412" w:anchor="n1591" w:history="1">
        <w:r w:rsidRPr="008B264B">
          <w:rPr>
            <w:rFonts w:ascii="Times New Roman" w:eastAsia="Times New Roman" w:hAnsi="Times New Roman" w:cs="Times New Roman"/>
            <w:color w:val="0000FF"/>
            <w:sz w:val="24"/>
            <w:szCs w:val="24"/>
            <w:u w:val="single"/>
            <w:lang/>
          </w:rPr>
          <w:t>пунктом 69.1</w:t>
        </w:r>
      </w:hyperlink>
      <w:r w:rsidRPr="008B264B">
        <w:rPr>
          <w:rFonts w:ascii="Times New Roman" w:eastAsia="Times New Roman" w:hAnsi="Times New Roman" w:cs="Times New Roman"/>
          <w:color w:val="000000"/>
          <w:sz w:val="24"/>
          <w:szCs w:val="24"/>
          <w:lang/>
        </w:rPr>
        <w:t> цієї статті (крім банку), у банках та інших фінансових установах є дата отримання банком або іншою фінансовою установою повідомлення контролюючого органу про взяття рахунка на облік у контролюючих органах або дата, визначена як дата взяття на облік у контролюючому органі за мовчазною згодою згідно з абзацом другим пункту 69.3 цієї статті.</w:t>
      </w:r>
    </w:p>
    <w:p w14:paraId="1BE296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1" w:name="n12351"/>
      <w:bookmarkEnd w:id="2571"/>
      <w:r w:rsidRPr="008B264B">
        <w:rPr>
          <w:rFonts w:ascii="Times New Roman" w:eastAsia="Times New Roman" w:hAnsi="Times New Roman" w:cs="Times New Roman"/>
          <w:i/>
          <w:iCs/>
          <w:color w:val="000000"/>
          <w:sz w:val="24"/>
          <w:szCs w:val="24"/>
          <w:lang/>
        </w:rPr>
        <w:t>{Пункт 69.3 статті 69 із змінами, внесеними згідно із Законом </w:t>
      </w:r>
      <w:hyperlink r:id="rId1413" w:anchor="n10" w:tgtFrame="_blank" w:history="1">
        <w:r w:rsidRPr="008B264B">
          <w:rPr>
            <w:rFonts w:ascii="Times New Roman" w:eastAsia="Times New Roman" w:hAnsi="Times New Roman" w:cs="Times New Roman"/>
            <w:i/>
            <w:iCs/>
            <w:color w:val="0000FF"/>
            <w:sz w:val="24"/>
            <w:szCs w:val="24"/>
            <w:u w:val="single"/>
            <w:lang/>
          </w:rPr>
          <w:t>№ 344-VIII від 21.04.2015</w:t>
        </w:r>
      </w:hyperlink>
      <w:r w:rsidRPr="008B264B">
        <w:rPr>
          <w:rFonts w:ascii="Times New Roman" w:eastAsia="Times New Roman" w:hAnsi="Times New Roman" w:cs="Times New Roman"/>
          <w:i/>
          <w:iCs/>
          <w:color w:val="000000"/>
          <w:sz w:val="24"/>
          <w:szCs w:val="24"/>
          <w:lang/>
        </w:rPr>
        <w:t>}</w:t>
      </w:r>
    </w:p>
    <w:p w14:paraId="5EBEFA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2" w:name="n1598"/>
      <w:bookmarkEnd w:id="2572"/>
      <w:r w:rsidRPr="008B264B">
        <w:rPr>
          <w:rFonts w:ascii="Times New Roman" w:eastAsia="Times New Roman" w:hAnsi="Times New Roman" w:cs="Times New Roman"/>
          <w:color w:val="000000"/>
          <w:sz w:val="24"/>
          <w:szCs w:val="24"/>
          <w:lang/>
        </w:rPr>
        <w:t>69.5. </w:t>
      </w:r>
      <w:hyperlink r:id="rId1414" w:anchor="n14"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подання та форма і зміст повідомлень про відкриття/закриття рахунків платників податків у банках та інших фінансових установах, перелік підстав для відмови контролюючих органів у взятті рахунків на облік визначаються центральним органом виконавчої влади, що забезпечує формування та реалізує державну фінансову політику, за погодженням з відповідними державними органами, які регулюють діяльність фінансових установ.</w:t>
      </w:r>
    </w:p>
    <w:p w14:paraId="5FAD3D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3" w:name="n13420"/>
      <w:bookmarkEnd w:id="2573"/>
      <w:r w:rsidRPr="008B264B">
        <w:rPr>
          <w:rFonts w:ascii="Times New Roman" w:eastAsia="Times New Roman" w:hAnsi="Times New Roman" w:cs="Times New Roman"/>
          <w:i/>
          <w:iCs/>
          <w:color w:val="000000"/>
          <w:sz w:val="24"/>
          <w:szCs w:val="24"/>
          <w:lang/>
        </w:rPr>
        <w:t>{Пункт 69.5 статті 69 із змінами, внесеними згідно із Законом </w:t>
      </w:r>
      <w:hyperlink r:id="rId1415"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41D24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4" w:name="n1599"/>
      <w:bookmarkEnd w:id="2574"/>
      <w:r w:rsidRPr="008B264B">
        <w:rPr>
          <w:rFonts w:ascii="Times New Roman" w:eastAsia="Times New Roman" w:hAnsi="Times New Roman" w:cs="Times New Roman"/>
          <w:color w:val="000000"/>
          <w:sz w:val="24"/>
          <w:szCs w:val="24"/>
          <w:lang/>
        </w:rPr>
        <w:t>69.6. Банки та інші фінансові установи за невиконання норм цієї статті несуть відповідальність, передбачену цим Кодексом.</w:t>
      </w:r>
    </w:p>
    <w:p w14:paraId="3D0C3E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5" w:name="n1600"/>
      <w:bookmarkEnd w:id="2575"/>
      <w:r w:rsidRPr="008B264B">
        <w:rPr>
          <w:rFonts w:ascii="Times New Roman" w:eastAsia="Times New Roman" w:hAnsi="Times New Roman" w:cs="Times New Roman"/>
          <w:i/>
          <w:iCs/>
          <w:color w:val="000000"/>
          <w:sz w:val="24"/>
          <w:szCs w:val="24"/>
          <w:lang/>
        </w:rPr>
        <w:t>{Абзац другий пункту 69.6 статті 69 виключено на підставі Закону </w:t>
      </w:r>
      <w:hyperlink r:id="rId141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9C75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6" w:name="n1601"/>
      <w:bookmarkEnd w:id="2576"/>
      <w:r w:rsidRPr="008B264B">
        <w:rPr>
          <w:rFonts w:ascii="Times New Roman" w:eastAsia="Times New Roman" w:hAnsi="Times New Roman" w:cs="Times New Roman"/>
          <w:color w:val="000000"/>
          <w:sz w:val="24"/>
          <w:szCs w:val="24"/>
          <w:lang/>
        </w:rPr>
        <w:t>69.7. Фізичні особи - підприємці та особи, які провадять незалежну професійну діяльність, зобов'язані повідомляти про свій статус банки та інші фінансові установи, в яких такі особи відкривають рахунки.</w:t>
      </w:r>
    </w:p>
    <w:p w14:paraId="10BA47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7" w:name="n15856"/>
      <w:bookmarkEnd w:id="2577"/>
      <w:r w:rsidRPr="008B264B">
        <w:rPr>
          <w:rFonts w:ascii="Times New Roman" w:eastAsia="Times New Roman" w:hAnsi="Times New Roman" w:cs="Times New Roman"/>
          <w:color w:val="000000"/>
          <w:sz w:val="24"/>
          <w:szCs w:val="24"/>
          <w:lang/>
        </w:rPr>
        <w:t>69.8. Особливості подання звітності за підзвітними рахунками.</w:t>
      </w:r>
    </w:p>
    <w:p w14:paraId="5552E4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8" w:name="n15857"/>
      <w:bookmarkEnd w:id="2578"/>
      <w:r w:rsidRPr="008B264B">
        <w:rPr>
          <w:rFonts w:ascii="Times New Roman" w:eastAsia="Times New Roman" w:hAnsi="Times New Roman" w:cs="Times New Roman"/>
          <w:color w:val="000000"/>
          <w:sz w:val="24"/>
          <w:szCs w:val="24"/>
          <w:lang/>
        </w:rPr>
        <w:t>69.8.1. З метою виявлення підзвітних рахунків фінансові агенти зобов’язані вживати заходів, необхідних для встановлення держави або території, резидентом якої є:</w:t>
      </w:r>
    </w:p>
    <w:p w14:paraId="680B92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79" w:name="n15858"/>
      <w:bookmarkEnd w:id="2579"/>
      <w:r w:rsidRPr="008B264B">
        <w:rPr>
          <w:rFonts w:ascii="Times New Roman" w:eastAsia="Times New Roman" w:hAnsi="Times New Roman" w:cs="Times New Roman"/>
          <w:color w:val="000000"/>
          <w:sz w:val="24"/>
          <w:szCs w:val="24"/>
          <w:lang/>
        </w:rPr>
        <w:t>а) фізична особа - власник фінансового рахунка;</w:t>
      </w:r>
    </w:p>
    <w:p w14:paraId="1F056F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0" w:name="n15859"/>
      <w:bookmarkEnd w:id="2580"/>
      <w:r w:rsidRPr="008B264B">
        <w:rPr>
          <w:rFonts w:ascii="Times New Roman" w:eastAsia="Times New Roman" w:hAnsi="Times New Roman" w:cs="Times New Roman"/>
          <w:color w:val="000000"/>
          <w:sz w:val="24"/>
          <w:szCs w:val="24"/>
          <w:lang/>
        </w:rPr>
        <w:t>б) юридична особа - власник фінансового рахунка;</w:t>
      </w:r>
    </w:p>
    <w:p w14:paraId="2E86E3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1" w:name="n15860"/>
      <w:bookmarkEnd w:id="2581"/>
      <w:r w:rsidRPr="008B264B">
        <w:rPr>
          <w:rFonts w:ascii="Times New Roman" w:eastAsia="Times New Roman" w:hAnsi="Times New Roman" w:cs="Times New Roman"/>
          <w:color w:val="000000"/>
          <w:sz w:val="24"/>
          <w:szCs w:val="24"/>
          <w:lang/>
        </w:rPr>
        <w:t>в) фізична особа - кінцевий бенефіціарний власник (контролер) юридичної особи, яка є власником фінансового рахунка.</w:t>
      </w:r>
    </w:p>
    <w:p w14:paraId="07DCCE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2" w:name="n15861"/>
      <w:bookmarkEnd w:id="2582"/>
      <w:r w:rsidRPr="008B264B">
        <w:rPr>
          <w:rFonts w:ascii="Times New Roman" w:eastAsia="Times New Roman" w:hAnsi="Times New Roman" w:cs="Times New Roman"/>
          <w:color w:val="000000"/>
          <w:sz w:val="24"/>
          <w:szCs w:val="24"/>
          <w:lang/>
        </w:rPr>
        <w:t>Якщо власником фінансового рахунка є фізична особа - нерезидент, такий рахунок вважається підзвітним для такої особи.</w:t>
      </w:r>
    </w:p>
    <w:p w14:paraId="3CFAB2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3" w:name="n15862"/>
      <w:bookmarkEnd w:id="2583"/>
      <w:r w:rsidRPr="008B264B">
        <w:rPr>
          <w:rFonts w:ascii="Times New Roman" w:eastAsia="Times New Roman" w:hAnsi="Times New Roman" w:cs="Times New Roman"/>
          <w:color w:val="000000"/>
          <w:sz w:val="24"/>
          <w:szCs w:val="24"/>
          <w:lang/>
        </w:rPr>
        <w:t>Якщо власником фінансового рахунка є юридична особа - резидент, кінцевим бенефіціарним власником (контролером) якої є нерезидент, такий рахунок вважається підзвітним для такого нерезидента.</w:t>
      </w:r>
    </w:p>
    <w:p w14:paraId="789A4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4" w:name="n15863"/>
      <w:bookmarkEnd w:id="2584"/>
      <w:r w:rsidRPr="008B264B">
        <w:rPr>
          <w:rFonts w:ascii="Times New Roman" w:eastAsia="Times New Roman" w:hAnsi="Times New Roman" w:cs="Times New Roman"/>
          <w:color w:val="000000"/>
          <w:sz w:val="24"/>
          <w:szCs w:val="24"/>
          <w:lang/>
        </w:rPr>
        <w:t>Фінансові агенти встановлюють підзвітність фінансового рахунка за результатами проведення процедури комплексної перевірки.</w:t>
      </w:r>
    </w:p>
    <w:p w14:paraId="52E757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5" w:name="n15864"/>
      <w:bookmarkEnd w:id="2585"/>
      <w:r w:rsidRPr="008B264B">
        <w:rPr>
          <w:rFonts w:ascii="Times New Roman" w:eastAsia="Times New Roman" w:hAnsi="Times New Roman" w:cs="Times New Roman"/>
          <w:color w:val="000000"/>
          <w:sz w:val="24"/>
          <w:szCs w:val="24"/>
          <w:lang/>
        </w:rPr>
        <w:t xml:space="preserve">69.8.2. Фінансові агенти зобов’язані вживати обґрунтованих та належних у відповідних умовах (обставинах) заходів для перевірки статусу податкового резидентства власників </w:t>
      </w:r>
      <w:r w:rsidRPr="008B264B">
        <w:rPr>
          <w:rFonts w:ascii="Times New Roman" w:eastAsia="Times New Roman" w:hAnsi="Times New Roman" w:cs="Times New Roman"/>
          <w:color w:val="000000"/>
          <w:sz w:val="24"/>
          <w:szCs w:val="24"/>
          <w:lang/>
        </w:rPr>
        <w:lastRenderedPageBreak/>
        <w:t>фінансових рахунків та кінцевих бенефіціарних власників (контролерів) таких власників фінансових рахунків.</w:t>
      </w:r>
    </w:p>
    <w:p w14:paraId="100F10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6" w:name="n15865"/>
      <w:bookmarkEnd w:id="2586"/>
      <w:r w:rsidRPr="008B264B">
        <w:rPr>
          <w:rFonts w:ascii="Times New Roman" w:eastAsia="Times New Roman" w:hAnsi="Times New Roman" w:cs="Times New Roman"/>
          <w:color w:val="000000"/>
          <w:sz w:val="24"/>
          <w:szCs w:val="24"/>
          <w:lang/>
        </w:rPr>
        <w:t>На вимогу фінансового агента власники фінансових рахунків зобов’язані надавати йому інформацію та документи про власний статус податкового резидентства та статус податкового резидентства своїх кінцевих бенефіціарних власників (контролерів), а також іншу інформацію і документи, необхідні для звітності за підзвітними рахунками на виконання вимог міжнародного договору, що містить положення про обмін інформацією для податкових цілей, згода на обов’язковість якого надана Верховною Радою України, або укладеного на його підставі міжвідомчого договору. Власники фінансових рахунків зобов’язані протягом 10 робочих днів повідомити фінансовому агенту про зміну відповідного статусу.</w:t>
      </w:r>
    </w:p>
    <w:p w14:paraId="2D00B0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7" w:name="n15866"/>
      <w:bookmarkEnd w:id="2587"/>
      <w:r w:rsidRPr="008B264B">
        <w:rPr>
          <w:rFonts w:ascii="Times New Roman" w:eastAsia="Times New Roman" w:hAnsi="Times New Roman" w:cs="Times New Roman"/>
          <w:color w:val="000000"/>
          <w:sz w:val="24"/>
          <w:szCs w:val="24"/>
          <w:lang/>
        </w:rPr>
        <w:t>За наявності у фінансового агента обґрунтованої, документально підтвердженої підозри, що рахунок належить до підзвітних, фінансовий агент зобов’язаний надіслати на адресу власника рахунка запит з вимогою про надання пояснень та інформації, що стосуються підозри.</w:t>
      </w:r>
    </w:p>
    <w:p w14:paraId="0E8568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8" w:name="n15867"/>
      <w:bookmarkEnd w:id="2588"/>
      <w:r w:rsidRPr="008B264B">
        <w:rPr>
          <w:rFonts w:ascii="Times New Roman" w:eastAsia="Times New Roman" w:hAnsi="Times New Roman" w:cs="Times New Roman"/>
          <w:color w:val="000000"/>
          <w:sz w:val="24"/>
          <w:szCs w:val="24"/>
          <w:lang/>
        </w:rPr>
        <w:t>Ненадання власником рахунка протягом 15 календарних днів з дня отримання запиту фінансового агента запитуваної інформації та/або документів або надання інформації та/або документів, що не спростовують обґрунтованої підозри фінансового агента, є підставою для відмови в подальшому наданні послуг, у тому числі для розірвання договірних відносин з ним. У разі розірвання договірних відносин з власником фінансового рахунка фінансовий агент повертає залишок коштів власнику такого рахунка та не несе відповідальності за спричинені власнику фінансового рахунка збитки, пов’язані з розірванням договірних відносин.</w:t>
      </w:r>
    </w:p>
    <w:p w14:paraId="2F184F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89" w:name="n15868"/>
      <w:bookmarkEnd w:id="2589"/>
      <w:r w:rsidRPr="008B264B">
        <w:rPr>
          <w:rFonts w:ascii="Times New Roman" w:eastAsia="Times New Roman" w:hAnsi="Times New Roman" w:cs="Times New Roman"/>
          <w:color w:val="000000"/>
          <w:sz w:val="24"/>
          <w:szCs w:val="24"/>
          <w:lang/>
        </w:rPr>
        <w:t>69.8.3. Фінансові агенти зобов’язані щороку, до 1 вересня, подавати до центрального органу виконавчої влади, що реалізує державну податкову політику, звіт про підзвітні рахунки.</w:t>
      </w:r>
    </w:p>
    <w:p w14:paraId="52B398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0" w:name="n15869"/>
      <w:bookmarkEnd w:id="2590"/>
      <w:r w:rsidRPr="008B264B">
        <w:rPr>
          <w:rFonts w:ascii="Times New Roman" w:eastAsia="Times New Roman" w:hAnsi="Times New Roman" w:cs="Times New Roman"/>
          <w:color w:val="000000"/>
          <w:sz w:val="24"/>
          <w:szCs w:val="24"/>
          <w:lang/>
        </w:rPr>
        <w:t>Звітним періодом вважається попередній календарний рік, якщо міжнародним договором, що містить положення про обмін інформацією для податкових цілей, згода на обов’язковість якого надана Верховною Радою України, або укладеним на його підставі міжвідомчим договором не встановлені інші правила.</w:t>
      </w:r>
    </w:p>
    <w:p w14:paraId="4EDCE5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1" w:name="n15870"/>
      <w:bookmarkEnd w:id="2591"/>
      <w:r w:rsidRPr="008B264B">
        <w:rPr>
          <w:rFonts w:ascii="Times New Roman" w:eastAsia="Times New Roman" w:hAnsi="Times New Roman" w:cs="Times New Roman"/>
          <w:color w:val="000000"/>
          <w:sz w:val="24"/>
          <w:szCs w:val="24"/>
          <w:lang/>
        </w:rPr>
        <w:t>Форма звіту про підзвітні рахунки, порядок її заповнення і подання фінансовими агентами до центрального органу виконавчої влади, що реалізує державну податкову політику, встановлюються центральним органом виконавчої влади, що забезпечує формування та реалізує державну фінансову політику.</w:t>
      </w:r>
    </w:p>
    <w:p w14:paraId="0B6D2E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2" w:name="n15871"/>
      <w:bookmarkEnd w:id="2592"/>
      <w:r w:rsidRPr="008B264B">
        <w:rPr>
          <w:rFonts w:ascii="Times New Roman" w:eastAsia="Times New Roman" w:hAnsi="Times New Roman" w:cs="Times New Roman"/>
          <w:color w:val="000000"/>
          <w:sz w:val="24"/>
          <w:szCs w:val="24"/>
          <w:lang/>
        </w:rPr>
        <w:t>69.8.4. Якщо фінансовий агент виявив факт надання власником фінансового рахунка недостовірної інформації для встановлення підзвітності такого рахунка, він зобов’язаний відмовити власнику такого фінансового рахунка в подальшому наданні послуг, а також має право розірвати договірні відносини з ним. У разі розірвання договірних відносин з власником фінансового рахунка фінансовий агент повертає залишок коштів власнику такого рахунка та не несе відповідальності за спричинені власнику фінансового рахунка збитки, пов’язані з розірванням договірних відносин.</w:t>
      </w:r>
    </w:p>
    <w:p w14:paraId="76AC44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3" w:name="n15872"/>
      <w:bookmarkEnd w:id="2593"/>
      <w:r w:rsidRPr="008B264B">
        <w:rPr>
          <w:rFonts w:ascii="Times New Roman" w:eastAsia="Times New Roman" w:hAnsi="Times New Roman" w:cs="Times New Roman"/>
          <w:color w:val="000000"/>
          <w:sz w:val="24"/>
          <w:szCs w:val="24"/>
          <w:lang/>
        </w:rPr>
        <w:t>Якщо факт надання власником фінансового рахунка недостовірної інформації виявлено після подання звіту про підзвітні рахунки, фінансовий агент протягом трьох робочих днів з дня виявлення такого факту повідомляє про це центральний орган виконавчої влади, що реалізує державну податкову політику.</w:t>
      </w:r>
    </w:p>
    <w:p w14:paraId="49D2AF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4" w:name="n15873"/>
      <w:bookmarkEnd w:id="2594"/>
      <w:r w:rsidRPr="008B264B">
        <w:rPr>
          <w:rFonts w:ascii="Times New Roman" w:eastAsia="Times New Roman" w:hAnsi="Times New Roman" w:cs="Times New Roman"/>
          <w:color w:val="000000"/>
          <w:sz w:val="24"/>
          <w:szCs w:val="24"/>
          <w:lang/>
        </w:rPr>
        <w:t>69.8.5. Звіт про підзвітні рахунки подається виключно в електронній формі у форматі (стандарті), затвердженому в установленому законодавством порядку, з дотриманням вимог законів України </w:t>
      </w:r>
      <w:hyperlink r:id="rId1417"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1418"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32A2E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5" w:name="n15874"/>
      <w:bookmarkEnd w:id="2595"/>
      <w:r w:rsidRPr="008B264B">
        <w:rPr>
          <w:rFonts w:ascii="Times New Roman" w:eastAsia="Times New Roman" w:hAnsi="Times New Roman" w:cs="Times New Roman"/>
          <w:color w:val="000000"/>
          <w:sz w:val="24"/>
          <w:szCs w:val="24"/>
          <w:lang/>
        </w:rPr>
        <w:t xml:space="preserve">69.8.6. Центральний орган виконавчої влади, що реалізує державну податкову політику, здійснює збір інформації від фінансових агентів, зберігання такої інформації в електронній базі підзвітних рахунків та передачу відомостей компетентному органу іноземної держави чи фінансовому агенту, від якого вона була отримана. Забороняється надання центральним органом </w:t>
      </w:r>
      <w:r w:rsidRPr="008B264B">
        <w:rPr>
          <w:rFonts w:ascii="Times New Roman" w:eastAsia="Times New Roman" w:hAnsi="Times New Roman" w:cs="Times New Roman"/>
          <w:color w:val="000000"/>
          <w:sz w:val="24"/>
          <w:szCs w:val="24"/>
          <w:lang/>
        </w:rPr>
        <w:lastRenderedPageBreak/>
        <w:t>виконавчої влади, що реалізує державну податкову політику, інформації щодо підзвітних рахунків іншим особам, у тому числі судам, правоохоронним чи іншим державним органам, органам місцевого самоврядування, юридичним та фізичним особам (у тому числі тим, про яких надана інформація у звіті про підзвітні рахунки).</w:t>
      </w:r>
    </w:p>
    <w:p w14:paraId="2DD4E9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6" w:name="n15855"/>
      <w:bookmarkEnd w:id="2596"/>
      <w:r w:rsidRPr="008B264B">
        <w:rPr>
          <w:rFonts w:ascii="Times New Roman" w:eastAsia="Times New Roman" w:hAnsi="Times New Roman" w:cs="Times New Roman"/>
          <w:i/>
          <w:iCs/>
          <w:color w:val="000000"/>
          <w:sz w:val="24"/>
          <w:szCs w:val="24"/>
          <w:lang/>
        </w:rPr>
        <w:t>{Статтю 69 доповнено пунктом 69.8 згідно із Законом </w:t>
      </w:r>
      <w:hyperlink r:id="rId1419" w:anchor="n26"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5C0CE5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7" w:name="n1602"/>
      <w:bookmarkEnd w:id="2597"/>
      <w:r w:rsidRPr="008B264B">
        <w:rPr>
          <w:rFonts w:ascii="Times New Roman" w:eastAsia="Times New Roman" w:hAnsi="Times New Roman" w:cs="Times New Roman"/>
          <w:b/>
          <w:bCs/>
          <w:color w:val="000000"/>
          <w:sz w:val="24"/>
          <w:szCs w:val="24"/>
          <w:lang/>
        </w:rPr>
        <w:t>Стаття 70.</w:t>
      </w:r>
      <w:r w:rsidRPr="008B264B">
        <w:rPr>
          <w:rFonts w:ascii="Times New Roman" w:eastAsia="Times New Roman" w:hAnsi="Times New Roman" w:cs="Times New Roman"/>
          <w:color w:val="000000"/>
          <w:sz w:val="24"/>
          <w:szCs w:val="24"/>
          <w:lang/>
        </w:rPr>
        <w:t> Державний реєстр фізичних осіб - платників податків</w:t>
      </w:r>
    </w:p>
    <w:p w14:paraId="75BB07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8" w:name="n1603"/>
      <w:bookmarkEnd w:id="2598"/>
      <w:r w:rsidRPr="008B264B">
        <w:rPr>
          <w:rFonts w:ascii="Times New Roman" w:eastAsia="Times New Roman" w:hAnsi="Times New Roman" w:cs="Times New Roman"/>
          <w:color w:val="000000"/>
          <w:sz w:val="24"/>
          <w:szCs w:val="24"/>
          <w:lang/>
        </w:rPr>
        <w:t>70.1. Центральний орган виконавчої влади, що реалізує державну податкову і митну політику, формує та веде Державний реєстр фізичних осіб - платників податків (далі - Державний реєстр).</w:t>
      </w:r>
    </w:p>
    <w:p w14:paraId="2329D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599" w:name="n1604"/>
      <w:bookmarkEnd w:id="2599"/>
      <w:r w:rsidRPr="008B264B">
        <w:rPr>
          <w:rFonts w:ascii="Times New Roman" w:eastAsia="Times New Roman" w:hAnsi="Times New Roman" w:cs="Times New Roman"/>
          <w:i/>
          <w:iCs/>
          <w:color w:val="000000"/>
          <w:sz w:val="24"/>
          <w:szCs w:val="24"/>
          <w:lang/>
        </w:rPr>
        <w:t>{Абзац перший пункту 70.1 статті 70 із змінами, внесеними згідно з Законами </w:t>
      </w:r>
      <w:hyperlink r:id="rId1420" w:anchor="n10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421"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2BA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0" w:name="n1605"/>
      <w:bookmarkEnd w:id="2600"/>
      <w:r w:rsidRPr="008B264B">
        <w:rPr>
          <w:rFonts w:ascii="Times New Roman" w:eastAsia="Times New Roman" w:hAnsi="Times New Roman" w:cs="Times New Roman"/>
          <w:color w:val="000000"/>
          <w:sz w:val="24"/>
          <w:szCs w:val="24"/>
          <w:lang/>
        </w:rPr>
        <w:t>До Державного реєстру вноситься інформація про осіб, які є:</w:t>
      </w:r>
    </w:p>
    <w:p w14:paraId="002D46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1" w:name="n1606"/>
      <w:bookmarkEnd w:id="2601"/>
      <w:r w:rsidRPr="008B264B">
        <w:rPr>
          <w:rFonts w:ascii="Times New Roman" w:eastAsia="Times New Roman" w:hAnsi="Times New Roman" w:cs="Times New Roman"/>
          <w:color w:val="000000"/>
          <w:sz w:val="24"/>
          <w:szCs w:val="24"/>
          <w:lang/>
        </w:rPr>
        <w:t>громадянами України;</w:t>
      </w:r>
    </w:p>
    <w:p w14:paraId="63F31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2" w:name="n1607"/>
      <w:bookmarkEnd w:id="2602"/>
      <w:r w:rsidRPr="008B264B">
        <w:rPr>
          <w:rFonts w:ascii="Times New Roman" w:eastAsia="Times New Roman" w:hAnsi="Times New Roman" w:cs="Times New Roman"/>
          <w:color w:val="000000"/>
          <w:sz w:val="24"/>
          <w:szCs w:val="24"/>
          <w:lang/>
        </w:rPr>
        <w:t>іноземцями та особами без громадянства, які постійно проживають в Україні;</w:t>
      </w:r>
    </w:p>
    <w:p w14:paraId="7FF4C9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3" w:name="n1608"/>
      <w:bookmarkEnd w:id="2603"/>
      <w:r w:rsidRPr="008B264B">
        <w:rPr>
          <w:rFonts w:ascii="Times New Roman" w:eastAsia="Times New Roman" w:hAnsi="Times New Roman" w:cs="Times New Roman"/>
          <w:color w:val="000000"/>
          <w:sz w:val="24"/>
          <w:szCs w:val="24"/>
          <w:lang/>
        </w:rPr>
        <w:t>іноземцями та особами без громадянства, які не мають постійного місця проживання в Україні, але відповідно до законодавства зобов'язані сплачувати податки в Україні або є засновниками юридичних осіб, створених на території України.</w:t>
      </w:r>
    </w:p>
    <w:p w14:paraId="6CDB76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4" w:name="n1609"/>
      <w:bookmarkEnd w:id="2604"/>
      <w:r w:rsidRPr="008B264B">
        <w:rPr>
          <w:rFonts w:ascii="Times New Roman" w:eastAsia="Times New Roman" w:hAnsi="Times New Roman" w:cs="Times New Roman"/>
          <w:color w:val="000000"/>
          <w:sz w:val="24"/>
          <w:szCs w:val="24"/>
          <w:lang/>
        </w:rPr>
        <w:t>Облік фізичних осіб - платників податків,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ведеться в окремому реєстрі Державного реєстру за прізвищем, ім'ям, по батькові та серією і номером паспорта без використання реєстраційного номера облікової картки.</w:t>
      </w:r>
    </w:p>
    <w:p w14:paraId="3A61AD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5" w:name="n9495"/>
      <w:bookmarkEnd w:id="2605"/>
      <w:r w:rsidRPr="008B264B">
        <w:rPr>
          <w:rFonts w:ascii="Times New Roman" w:eastAsia="Times New Roman" w:hAnsi="Times New Roman" w:cs="Times New Roman"/>
          <w:i/>
          <w:iCs/>
          <w:color w:val="000000"/>
          <w:sz w:val="24"/>
          <w:szCs w:val="24"/>
          <w:lang/>
        </w:rPr>
        <w:t>{Абзац сьомий пункту 70.1 статті 70 виключено на підставі Закону</w:t>
      </w:r>
      <w:r w:rsidRPr="008B264B">
        <w:rPr>
          <w:rFonts w:ascii="Times New Roman" w:eastAsia="Times New Roman" w:hAnsi="Times New Roman" w:cs="Times New Roman"/>
          <w:color w:val="000000"/>
          <w:sz w:val="24"/>
          <w:szCs w:val="24"/>
          <w:lang/>
        </w:rPr>
        <w:t> </w:t>
      </w:r>
      <w:hyperlink r:id="rId1422" w:anchor="n1052" w:tgtFrame="_blank" w:history="1">
        <w:r w:rsidRPr="008B264B">
          <w:rPr>
            <w:rFonts w:ascii="Times New Roman" w:eastAsia="Times New Roman" w:hAnsi="Times New Roman" w:cs="Times New Roman"/>
            <w:i/>
            <w:iCs/>
            <w:color w:val="0000FF"/>
            <w:sz w:val="24"/>
            <w:szCs w:val="24"/>
            <w:u w:val="single"/>
            <w:lang/>
          </w:rPr>
          <w:t>№ 879-VII від 13.03.2014</w:t>
        </w:r>
      </w:hyperlink>
      <w:r w:rsidRPr="008B264B">
        <w:rPr>
          <w:rFonts w:ascii="Times New Roman" w:eastAsia="Times New Roman" w:hAnsi="Times New Roman" w:cs="Times New Roman"/>
          <w:i/>
          <w:iCs/>
          <w:color w:val="000000"/>
          <w:sz w:val="24"/>
          <w:szCs w:val="24"/>
          <w:lang/>
        </w:rPr>
        <w:t>}</w:t>
      </w:r>
    </w:p>
    <w:p w14:paraId="504A64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6" w:name="n1610"/>
      <w:bookmarkEnd w:id="2606"/>
      <w:r w:rsidRPr="008B264B">
        <w:rPr>
          <w:rFonts w:ascii="Times New Roman" w:eastAsia="Times New Roman" w:hAnsi="Times New Roman" w:cs="Times New Roman"/>
          <w:color w:val="000000"/>
          <w:sz w:val="24"/>
          <w:szCs w:val="24"/>
          <w:lang/>
        </w:rPr>
        <w:t>70.2. До облікової картки фізичної особи - платника податків та повідомлення (для фізичних осіб, які через свої релігійні переконання відмовляються від прийняття реєстраційного номера облікової картки платника податків) вноситься така інформація:</w:t>
      </w:r>
    </w:p>
    <w:p w14:paraId="50EBB6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7" w:name="n1611"/>
      <w:bookmarkEnd w:id="2607"/>
      <w:r w:rsidRPr="008B264B">
        <w:rPr>
          <w:rFonts w:ascii="Times New Roman" w:eastAsia="Times New Roman" w:hAnsi="Times New Roman" w:cs="Times New Roman"/>
          <w:color w:val="000000"/>
          <w:sz w:val="24"/>
          <w:szCs w:val="24"/>
          <w:lang/>
        </w:rPr>
        <w:t>70.2.1. прізвище, ім'я та по батькові;</w:t>
      </w:r>
    </w:p>
    <w:p w14:paraId="7DCE16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8" w:name="n1612"/>
      <w:bookmarkEnd w:id="2608"/>
      <w:r w:rsidRPr="008B264B">
        <w:rPr>
          <w:rFonts w:ascii="Times New Roman" w:eastAsia="Times New Roman" w:hAnsi="Times New Roman" w:cs="Times New Roman"/>
          <w:color w:val="000000"/>
          <w:sz w:val="24"/>
          <w:szCs w:val="24"/>
          <w:lang/>
        </w:rPr>
        <w:t>70.2.2. дата народження;</w:t>
      </w:r>
    </w:p>
    <w:p w14:paraId="6641FB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09" w:name="n1613"/>
      <w:bookmarkEnd w:id="2609"/>
      <w:r w:rsidRPr="008B264B">
        <w:rPr>
          <w:rFonts w:ascii="Times New Roman" w:eastAsia="Times New Roman" w:hAnsi="Times New Roman" w:cs="Times New Roman"/>
          <w:color w:val="000000"/>
          <w:sz w:val="24"/>
          <w:szCs w:val="24"/>
          <w:lang/>
        </w:rPr>
        <w:t>70.2.3. місце народження (країна, область, район, населений пункт);</w:t>
      </w:r>
    </w:p>
    <w:p w14:paraId="0C6A7B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0" w:name="n1614"/>
      <w:bookmarkEnd w:id="2610"/>
      <w:r w:rsidRPr="008B264B">
        <w:rPr>
          <w:rFonts w:ascii="Times New Roman" w:eastAsia="Times New Roman" w:hAnsi="Times New Roman" w:cs="Times New Roman"/>
          <w:color w:val="000000"/>
          <w:sz w:val="24"/>
          <w:szCs w:val="24"/>
          <w:lang/>
        </w:rPr>
        <w:t>70.2.4. місце проживання, а для іноземних громадян - також громадянство;</w:t>
      </w:r>
    </w:p>
    <w:p w14:paraId="6C0743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1" w:name="n1615"/>
      <w:bookmarkEnd w:id="2611"/>
      <w:r w:rsidRPr="008B264B">
        <w:rPr>
          <w:rFonts w:ascii="Times New Roman" w:eastAsia="Times New Roman" w:hAnsi="Times New Roman" w:cs="Times New Roman"/>
          <w:color w:val="000000"/>
          <w:sz w:val="24"/>
          <w:szCs w:val="24"/>
          <w:lang/>
        </w:rPr>
        <w:t>70.2.5. серія, номер свідоцтва про народження, паспорта (аналогічні дані іншого документа, що посвідчує особу), ким і коли виданий.</w:t>
      </w:r>
    </w:p>
    <w:p w14:paraId="6DB0C7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2" w:name="n1616"/>
      <w:bookmarkEnd w:id="2612"/>
      <w:r w:rsidRPr="008B264B">
        <w:rPr>
          <w:rFonts w:ascii="Times New Roman" w:eastAsia="Times New Roman" w:hAnsi="Times New Roman" w:cs="Times New Roman"/>
          <w:color w:val="000000"/>
          <w:sz w:val="24"/>
          <w:szCs w:val="24"/>
          <w:lang/>
        </w:rPr>
        <w:t>70.3. До інформаційної бази Державного реєстру включаються такі дані про фізичних осіб:</w:t>
      </w:r>
    </w:p>
    <w:p w14:paraId="31D38C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3" w:name="n1617"/>
      <w:bookmarkEnd w:id="2613"/>
      <w:r w:rsidRPr="008B264B">
        <w:rPr>
          <w:rFonts w:ascii="Times New Roman" w:eastAsia="Times New Roman" w:hAnsi="Times New Roman" w:cs="Times New Roman"/>
          <w:color w:val="000000"/>
          <w:sz w:val="24"/>
          <w:szCs w:val="24"/>
          <w:lang/>
        </w:rPr>
        <w:t>70.3.1. джерела отримання доходів;</w:t>
      </w:r>
    </w:p>
    <w:p w14:paraId="1BC243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4" w:name="n1618"/>
      <w:bookmarkEnd w:id="2614"/>
      <w:r w:rsidRPr="008B264B">
        <w:rPr>
          <w:rFonts w:ascii="Times New Roman" w:eastAsia="Times New Roman" w:hAnsi="Times New Roman" w:cs="Times New Roman"/>
          <w:color w:val="000000"/>
          <w:sz w:val="24"/>
          <w:szCs w:val="24"/>
          <w:lang/>
        </w:rPr>
        <w:t>70.3.2. об'єкти оподаткування;</w:t>
      </w:r>
    </w:p>
    <w:p w14:paraId="06A44B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5" w:name="n1619"/>
      <w:bookmarkEnd w:id="2615"/>
      <w:r w:rsidRPr="008B264B">
        <w:rPr>
          <w:rFonts w:ascii="Times New Roman" w:eastAsia="Times New Roman" w:hAnsi="Times New Roman" w:cs="Times New Roman"/>
          <w:color w:val="000000"/>
          <w:sz w:val="24"/>
          <w:szCs w:val="24"/>
          <w:lang/>
        </w:rPr>
        <w:t>70.3.3. сума нарахованих та/або отриманих доходів;</w:t>
      </w:r>
    </w:p>
    <w:p w14:paraId="67DF6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6" w:name="n1620"/>
      <w:bookmarkEnd w:id="2616"/>
      <w:r w:rsidRPr="008B264B">
        <w:rPr>
          <w:rFonts w:ascii="Times New Roman" w:eastAsia="Times New Roman" w:hAnsi="Times New Roman" w:cs="Times New Roman"/>
          <w:color w:val="000000"/>
          <w:sz w:val="24"/>
          <w:szCs w:val="24"/>
          <w:lang/>
        </w:rPr>
        <w:t>70.3.4. сума нарахованих та/або сплачених податків;</w:t>
      </w:r>
    </w:p>
    <w:p w14:paraId="7FA58A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7" w:name="n1621"/>
      <w:bookmarkEnd w:id="2617"/>
      <w:r w:rsidRPr="008B264B">
        <w:rPr>
          <w:rFonts w:ascii="Times New Roman" w:eastAsia="Times New Roman" w:hAnsi="Times New Roman" w:cs="Times New Roman"/>
          <w:color w:val="000000"/>
          <w:sz w:val="24"/>
          <w:szCs w:val="24"/>
          <w:lang/>
        </w:rPr>
        <w:t>70.3.5. інформація про податкову знижку та податкові пільги платника податків.</w:t>
      </w:r>
    </w:p>
    <w:p w14:paraId="0CCB2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8" w:name="n1622"/>
      <w:bookmarkEnd w:id="2618"/>
      <w:r w:rsidRPr="008B264B">
        <w:rPr>
          <w:rFonts w:ascii="Times New Roman" w:eastAsia="Times New Roman" w:hAnsi="Times New Roman" w:cs="Times New Roman"/>
          <w:color w:val="000000"/>
          <w:sz w:val="24"/>
          <w:szCs w:val="24"/>
          <w:lang/>
        </w:rPr>
        <w:t>70.4. До Державного реєстру вносяться відомості про державну реєстрацію, реєстрацію та взяття на облік фізичних осіб - підприємців і осіб, які провадять незалежну професійну діяльність. Такі відомості включають:</w:t>
      </w:r>
    </w:p>
    <w:p w14:paraId="68FE28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19" w:name="n1623"/>
      <w:bookmarkEnd w:id="2619"/>
      <w:r w:rsidRPr="008B264B">
        <w:rPr>
          <w:rFonts w:ascii="Times New Roman" w:eastAsia="Times New Roman" w:hAnsi="Times New Roman" w:cs="Times New Roman"/>
          <w:color w:val="000000"/>
          <w:sz w:val="24"/>
          <w:szCs w:val="24"/>
          <w:lang/>
        </w:rPr>
        <w:lastRenderedPageBreak/>
        <w:t>70.4.1. дати, номери записів, свідоцтв та інших документів, а також підстави державної реєстрації, реєстрації та взяття на облік, припинення підприємницької чи незалежної професійної діяльності, інші реєстраційні дані;</w:t>
      </w:r>
    </w:p>
    <w:p w14:paraId="797028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0" w:name="n1624"/>
      <w:bookmarkEnd w:id="2620"/>
      <w:r w:rsidRPr="008B264B">
        <w:rPr>
          <w:rFonts w:ascii="Times New Roman" w:eastAsia="Times New Roman" w:hAnsi="Times New Roman" w:cs="Times New Roman"/>
          <w:color w:val="000000"/>
          <w:sz w:val="24"/>
          <w:szCs w:val="24"/>
          <w:lang/>
        </w:rPr>
        <w:t>70.4.2. інформацію про державну реєстрацію, реєстрацію та взяття на облік змін у даних про особу, заміну чи продовження дії довідок про взяття на облік;</w:t>
      </w:r>
    </w:p>
    <w:p w14:paraId="5ED907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1" w:name="n1625"/>
      <w:bookmarkEnd w:id="2621"/>
      <w:r w:rsidRPr="008B264B">
        <w:rPr>
          <w:rFonts w:ascii="Times New Roman" w:eastAsia="Times New Roman" w:hAnsi="Times New Roman" w:cs="Times New Roman"/>
          <w:color w:val="000000"/>
          <w:sz w:val="24"/>
          <w:szCs w:val="24"/>
          <w:lang/>
        </w:rPr>
        <w:t>70.4.3. місце провадження діяльності, телефони та іншу додаткову інформацію для зв'язку з фізичною особою - підприємцем чи особою, яка здійснює незалежну професійну діяльність;</w:t>
      </w:r>
    </w:p>
    <w:p w14:paraId="470C1A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2" w:name="n1626"/>
      <w:bookmarkEnd w:id="2622"/>
      <w:r w:rsidRPr="008B264B">
        <w:rPr>
          <w:rFonts w:ascii="Times New Roman" w:eastAsia="Times New Roman" w:hAnsi="Times New Roman" w:cs="Times New Roman"/>
          <w:color w:val="000000"/>
          <w:sz w:val="24"/>
          <w:szCs w:val="24"/>
          <w:lang/>
        </w:rPr>
        <w:t>70.4.4. види діяльності;</w:t>
      </w:r>
    </w:p>
    <w:p w14:paraId="366796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3" w:name="n1627"/>
      <w:bookmarkEnd w:id="2623"/>
      <w:r w:rsidRPr="008B264B">
        <w:rPr>
          <w:rFonts w:ascii="Times New Roman" w:eastAsia="Times New Roman" w:hAnsi="Times New Roman" w:cs="Times New Roman"/>
          <w:color w:val="000000"/>
          <w:sz w:val="24"/>
          <w:szCs w:val="24"/>
          <w:lang/>
        </w:rPr>
        <w:t>70.4.5. громадянство та номер, що використовується під час оподаткування в країні громадянства, - для іноземців;</w:t>
      </w:r>
    </w:p>
    <w:p w14:paraId="3EF8C2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4" w:name="n1628"/>
      <w:bookmarkEnd w:id="2624"/>
      <w:r w:rsidRPr="008B264B">
        <w:rPr>
          <w:rFonts w:ascii="Times New Roman" w:eastAsia="Times New Roman" w:hAnsi="Times New Roman" w:cs="Times New Roman"/>
          <w:color w:val="000000"/>
          <w:sz w:val="24"/>
          <w:szCs w:val="24"/>
          <w:lang/>
        </w:rPr>
        <w:t>70.4.6. системи оподаткування із зазначенням періодів її дії.</w:t>
      </w:r>
    </w:p>
    <w:p w14:paraId="683BD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5" w:name="n1629"/>
      <w:bookmarkEnd w:id="2625"/>
      <w:r w:rsidRPr="008B264B">
        <w:rPr>
          <w:rFonts w:ascii="Times New Roman" w:eastAsia="Times New Roman" w:hAnsi="Times New Roman" w:cs="Times New Roman"/>
          <w:color w:val="000000"/>
          <w:sz w:val="24"/>
          <w:szCs w:val="24"/>
          <w:lang/>
        </w:rPr>
        <w:t>70.5. Фізична особа - платник податків незалежно від віку (як резидент, так і нерезидент), для якої раніше не формувалася облікова картка платника податків та яка не включена до Державного реєстру, зобов'язана особисто або через законного представника чи уповноважену особу подати відповідному контролюючому органу облікову картку фізичної особи - платника податків, яка є водночас заявою для реєстрації в Державному реєстрі, та пред'явити документ, що посвідчує особу.</w:t>
      </w:r>
    </w:p>
    <w:p w14:paraId="59FC4F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6" w:name="n1630"/>
      <w:bookmarkEnd w:id="2626"/>
      <w:r w:rsidRPr="008B264B">
        <w:rPr>
          <w:rFonts w:ascii="Times New Roman" w:eastAsia="Times New Roman" w:hAnsi="Times New Roman" w:cs="Times New Roman"/>
          <w:color w:val="000000"/>
          <w:sz w:val="24"/>
          <w:szCs w:val="24"/>
          <w:lang/>
        </w:rPr>
        <w:t>Фізична особа - платник податків, яка через свої релігійні переконання відмовляється від прийняття реєстраційного номера облікової картки платника податків, зобов'язана особисто подати відповідному контролюючому органу повідомлення та документи для забезпечення її обліку за прізвищем, ім'ям, по батькові і серією та номером паспорта, а також пред'явити паспорт.</w:t>
      </w:r>
    </w:p>
    <w:p w14:paraId="3F78A7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7" w:name="n1631"/>
      <w:bookmarkEnd w:id="2627"/>
      <w:r w:rsidRPr="008B264B">
        <w:rPr>
          <w:rFonts w:ascii="Times New Roman" w:eastAsia="Times New Roman" w:hAnsi="Times New Roman" w:cs="Times New Roman"/>
          <w:color w:val="000000"/>
          <w:sz w:val="24"/>
          <w:szCs w:val="24"/>
          <w:lang/>
        </w:rPr>
        <w:t>Фізична особа подає облікову картку фізичної особи - платника податків або повідомлення (для фізичних осіб, які через свої релігійні переконання відмовляються від прийняття реєстраційного номера облікової картки платника податків) до контролюючого органу за своєю податковою адресою, а фізична особа, яка не має постійного місця проживання в Україні, - контролюючого органу за місцем отримання доходів або за місцезнаходженням іншого об'єкта оподаткування.</w:t>
      </w:r>
    </w:p>
    <w:p w14:paraId="12ACCF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28" w:name="n1632"/>
      <w:bookmarkEnd w:id="2628"/>
      <w:r w:rsidRPr="008B264B">
        <w:rPr>
          <w:rFonts w:ascii="Times New Roman" w:eastAsia="Times New Roman" w:hAnsi="Times New Roman" w:cs="Times New Roman"/>
          <w:color w:val="000000"/>
          <w:sz w:val="24"/>
          <w:szCs w:val="24"/>
          <w:lang/>
        </w:rPr>
        <w:t>Для заповнення облікової картки фізичної особи - платника податків використовуються дані документа, що посвідчує особу. Для заповнення повідомлення (для фізичних осіб, які через свої релігійні переконання відмовляються від прийняття реєстраційного номера облікової картки платника податків) використовуються дані паспорта.</w:t>
      </w:r>
    </w:p>
    <w:bookmarkStart w:id="2629" w:name="n1633"/>
    <w:bookmarkEnd w:id="2629"/>
    <w:p w14:paraId="0AAF8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"https://zakon.rada.gov.ua/laws/show/z2211-13" \l "n236"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облікової картки фізичної особи - платника податків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1423" w:anchor="n252" w:tgtFrame="_blank" w:history="1">
        <w:r w:rsidRPr="008B264B">
          <w:rPr>
            <w:rFonts w:ascii="Times New Roman" w:eastAsia="Times New Roman" w:hAnsi="Times New Roman" w:cs="Times New Roman"/>
            <w:color w:val="0000FF"/>
            <w:sz w:val="24"/>
            <w:szCs w:val="24"/>
            <w:u w:val="single"/>
            <w:lang/>
          </w:rPr>
          <w:t>повідомлення</w:t>
        </w:r>
      </w:hyperlink>
      <w:r w:rsidRPr="008B264B">
        <w:rPr>
          <w:rFonts w:ascii="Times New Roman" w:eastAsia="Times New Roman" w:hAnsi="Times New Roman" w:cs="Times New Roman"/>
          <w:color w:val="000000"/>
          <w:sz w:val="24"/>
          <w:szCs w:val="24"/>
          <w:lang/>
        </w:rPr>
        <w:t> (для фізичних осіб, які через свої релігійні переконання відмовляються від прийняття реєстраційного номера облікової картки платника податків) і порядок їх подання встановлюються центральним органом виконавчої влади, що забезпечує формування та реалізує державну фінансову політику.</w:t>
      </w:r>
    </w:p>
    <w:p w14:paraId="0A2B05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0" w:name="n13421"/>
      <w:bookmarkEnd w:id="2630"/>
      <w:r w:rsidRPr="008B264B">
        <w:rPr>
          <w:rFonts w:ascii="Times New Roman" w:eastAsia="Times New Roman" w:hAnsi="Times New Roman" w:cs="Times New Roman"/>
          <w:i/>
          <w:iCs/>
          <w:color w:val="000000"/>
          <w:sz w:val="24"/>
          <w:szCs w:val="24"/>
          <w:lang/>
        </w:rPr>
        <w:t>{Абзац п'ятий пункту 70.5 статті 70 із змінами, внесеними згідно із Законом </w:t>
      </w:r>
      <w:hyperlink r:id="rId142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F83E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1" w:name="n1634"/>
      <w:bookmarkEnd w:id="2631"/>
      <w:r w:rsidRPr="008B264B">
        <w:rPr>
          <w:rFonts w:ascii="Times New Roman" w:eastAsia="Times New Roman" w:hAnsi="Times New Roman" w:cs="Times New Roman"/>
          <w:color w:val="000000"/>
          <w:sz w:val="24"/>
          <w:szCs w:val="24"/>
          <w:lang/>
        </w:rPr>
        <w:t>Фізична особа несе відповідальність згідно із законом за достовірність інформації, що подається для реєстрації у Державному реєстрі.</w:t>
      </w:r>
    </w:p>
    <w:p w14:paraId="72F30F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2" w:name="n1635"/>
      <w:bookmarkEnd w:id="2632"/>
      <w:r w:rsidRPr="008B264B">
        <w:rPr>
          <w:rFonts w:ascii="Times New Roman" w:eastAsia="Times New Roman" w:hAnsi="Times New Roman" w:cs="Times New Roman"/>
          <w:color w:val="000000"/>
          <w:sz w:val="24"/>
          <w:szCs w:val="24"/>
          <w:lang/>
        </w:rPr>
        <w:t>70.6. Органи державної реєстрації актів цивільного стану, органи внутрішніх справ, органи, що здійснюють реєстрацію фізичних осіб зобов'язані подавати відповідним контролюючим органам інформацію щодо зміни даних, які включаються до облікової картки фізичної особи - платника податків, щомісяця, але не пізніше 10 числа наступного місяця.</w:t>
      </w:r>
    </w:p>
    <w:p w14:paraId="71A47C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3" w:name="n1636"/>
      <w:bookmarkEnd w:id="2633"/>
      <w:r w:rsidRPr="008B264B">
        <w:rPr>
          <w:rFonts w:ascii="Times New Roman" w:eastAsia="Times New Roman" w:hAnsi="Times New Roman" w:cs="Times New Roman"/>
          <w:i/>
          <w:iCs/>
          <w:color w:val="000000"/>
          <w:sz w:val="24"/>
          <w:szCs w:val="24"/>
          <w:lang/>
        </w:rPr>
        <w:t>{Абзац перший пункту 70.6 статті 70 із змінами, внесеними згідно з Законом </w:t>
      </w:r>
      <w:hyperlink r:id="rId1425" w:anchor="n10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bookmarkStart w:id="2634" w:name="n1637"/>
    <w:bookmarkEnd w:id="2634"/>
    <w:p w14:paraId="4E50DB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lastRenderedPageBreak/>
        <w:fldChar w:fldCharType="begin"/>
      </w:r>
      <w:r w:rsidRPr="008B264B">
        <w:rPr>
          <w:rFonts w:ascii="Times New Roman" w:eastAsia="Times New Roman" w:hAnsi="Times New Roman" w:cs="Times New Roman"/>
          <w:color w:val="000000"/>
          <w:sz w:val="24"/>
          <w:szCs w:val="24"/>
          <w:lang/>
        </w:rPr>
        <w:instrText xml:space="preserve"> HYPERLINK "https://zakon.rada.gov.ua/laws/show/1386-2011-%D0%BF" \l "n8"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подання такої інформації та взаємодії суб'єктів інформаційних відносин визначається Кабінетом Міністрів України.</w:t>
      </w:r>
    </w:p>
    <w:p w14:paraId="0F06B2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5" w:name="n1638"/>
      <w:bookmarkEnd w:id="2635"/>
      <w:r w:rsidRPr="008B264B">
        <w:rPr>
          <w:rFonts w:ascii="Times New Roman" w:eastAsia="Times New Roman" w:hAnsi="Times New Roman" w:cs="Times New Roman"/>
          <w:i/>
          <w:iCs/>
          <w:color w:val="000000"/>
          <w:sz w:val="24"/>
          <w:szCs w:val="24"/>
          <w:lang/>
        </w:rPr>
        <w:t>{Пункт 70.6 статті 70 із змінами, внесеними згідно із Законом </w:t>
      </w:r>
      <w:hyperlink r:id="rId142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EF666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6" w:name="n1639"/>
      <w:bookmarkEnd w:id="2636"/>
      <w:r w:rsidRPr="008B264B">
        <w:rPr>
          <w:rFonts w:ascii="Times New Roman" w:eastAsia="Times New Roman" w:hAnsi="Times New Roman" w:cs="Times New Roman"/>
          <w:color w:val="000000"/>
          <w:sz w:val="24"/>
          <w:szCs w:val="24"/>
          <w:lang/>
        </w:rPr>
        <w:t>70.7. Фізичні особи - платники податків зобов'язані подавати контролюючим органам відомості про зміну даних, які вносяться до облікової картки або повідомлення (для фізичних осіб, які через свої релігійні переконання відмовляються від прийняття реєстраційного номера облікової картки платника податків і мають відмітку у паспорті), протягом місяця з дня виникнення таких змін шляхом подання відповідної заяви за формою та у порядку, визначеними центральним органом виконавчої влади, що забезпечує формування та реалізує державну фінансову політику.</w:t>
      </w:r>
    </w:p>
    <w:p w14:paraId="1DC00F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7" w:name="n13422"/>
      <w:bookmarkEnd w:id="2637"/>
      <w:r w:rsidRPr="008B264B">
        <w:rPr>
          <w:rFonts w:ascii="Times New Roman" w:eastAsia="Times New Roman" w:hAnsi="Times New Roman" w:cs="Times New Roman"/>
          <w:i/>
          <w:iCs/>
          <w:color w:val="000000"/>
          <w:sz w:val="24"/>
          <w:szCs w:val="24"/>
          <w:lang/>
        </w:rPr>
        <w:t>{Пункт 70.7 статті 70 із змінами, внесеними згідно із Законом </w:t>
      </w:r>
      <w:hyperlink r:id="rId142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C2F39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8" w:name="n1640"/>
      <w:bookmarkEnd w:id="2638"/>
      <w:r w:rsidRPr="008B264B">
        <w:rPr>
          <w:rFonts w:ascii="Times New Roman" w:eastAsia="Times New Roman" w:hAnsi="Times New Roman" w:cs="Times New Roman"/>
          <w:color w:val="000000"/>
          <w:sz w:val="24"/>
          <w:szCs w:val="24"/>
          <w:lang/>
        </w:rPr>
        <w:t>70.8. Про проведення державної реєстрації фізичної особи - платника податків у Державному реєстрі та внесення змін до даних, які містяться у Державному реєстрі, центральний орган виконавчої влади, що реалізує державну податкову і митну політику, інформує територіальний орган:</w:t>
      </w:r>
    </w:p>
    <w:p w14:paraId="6AB83E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39" w:name="n1641"/>
      <w:bookmarkEnd w:id="2639"/>
      <w:r w:rsidRPr="008B264B">
        <w:rPr>
          <w:rFonts w:ascii="Times New Roman" w:eastAsia="Times New Roman" w:hAnsi="Times New Roman" w:cs="Times New Roman"/>
          <w:i/>
          <w:iCs/>
          <w:color w:val="000000"/>
          <w:sz w:val="24"/>
          <w:szCs w:val="24"/>
          <w:lang/>
        </w:rPr>
        <w:t>{Пункт 70.8 статті 70 із змінами, внесеними згідно з Законом </w:t>
      </w:r>
      <w:hyperlink r:id="rId1428" w:anchor="n10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1429" w:anchor="n16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30"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94200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0" w:name="n1642"/>
      <w:bookmarkEnd w:id="2640"/>
      <w:r w:rsidRPr="008B264B">
        <w:rPr>
          <w:rFonts w:ascii="Times New Roman" w:eastAsia="Times New Roman" w:hAnsi="Times New Roman" w:cs="Times New Roman"/>
          <w:color w:val="000000"/>
          <w:sz w:val="24"/>
          <w:szCs w:val="24"/>
          <w:lang/>
        </w:rPr>
        <w:t>70.8.1. за місцем обліку фізичної особи;</w:t>
      </w:r>
    </w:p>
    <w:p w14:paraId="341CE5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1" w:name="n1643"/>
      <w:bookmarkEnd w:id="2641"/>
      <w:r w:rsidRPr="008B264B">
        <w:rPr>
          <w:rFonts w:ascii="Times New Roman" w:eastAsia="Times New Roman" w:hAnsi="Times New Roman" w:cs="Times New Roman"/>
          <w:color w:val="000000"/>
          <w:sz w:val="24"/>
          <w:szCs w:val="24"/>
          <w:lang/>
        </w:rPr>
        <w:t>70.8.2. за місцем проживання фізичної особи;</w:t>
      </w:r>
    </w:p>
    <w:p w14:paraId="53AEF1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2" w:name="n1644"/>
      <w:bookmarkEnd w:id="2642"/>
      <w:r w:rsidRPr="008B264B">
        <w:rPr>
          <w:rFonts w:ascii="Times New Roman" w:eastAsia="Times New Roman" w:hAnsi="Times New Roman" w:cs="Times New Roman"/>
          <w:color w:val="000000"/>
          <w:sz w:val="24"/>
          <w:szCs w:val="24"/>
          <w:lang/>
        </w:rPr>
        <w:t>70.8.3. за місцем отримання доходів чи місцезнаходженням іншого об'єкта оподаткування фізичної особи.</w:t>
      </w:r>
    </w:p>
    <w:p w14:paraId="79623B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3" w:name="n1645"/>
      <w:bookmarkEnd w:id="2643"/>
      <w:r w:rsidRPr="008B264B">
        <w:rPr>
          <w:rFonts w:ascii="Times New Roman" w:eastAsia="Times New Roman" w:hAnsi="Times New Roman" w:cs="Times New Roman"/>
          <w:color w:val="000000"/>
          <w:sz w:val="24"/>
          <w:szCs w:val="24"/>
          <w:lang/>
        </w:rPr>
        <w:t>70.9. За зверненням платника податків, його законного представника або уповноваженої особи контролюючий орган видає документ, що засвідчує реєстрацію у Державному реєстрі, крім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відповідний контролюючий орган і мають відмітку у паспорті.</w:t>
      </w:r>
    </w:p>
    <w:p w14:paraId="4897CE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4" w:name="n1646"/>
      <w:bookmarkEnd w:id="2644"/>
      <w:r w:rsidRPr="008B264B">
        <w:rPr>
          <w:rFonts w:ascii="Times New Roman" w:eastAsia="Times New Roman" w:hAnsi="Times New Roman" w:cs="Times New Roman"/>
          <w:color w:val="000000"/>
          <w:sz w:val="24"/>
          <w:szCs w:val="24"/>
          <w:lang/>
        </w:rPr>
        <w:t>У такому документі зазначається реєстраційний номер облікової картки платника податків.</w:t>
      </w:r>
    </w:p>
    <w:bookmarkStart w:id="2645" w:name="n1647"/>
    <w:bookmarkEnd w:id="2645"/>
    <w:p w14:paraId="02DD24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"https://zakon.rada.gov.ua/laws/show/z2007-12" \l "n16"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формування реєстраційного номера облікової картки платника податків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визначається та затверджується центральним органом виконавчої влади, що забезпечує формування та реалізує державну фінансову політику.</w:t>
      </w:r>
    </w:p>
    <w:p w14:paraId="78D35A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6" w:name="n13423"/>
      <w:bookmarkEnd w:id="2646"/>
      <w:r w:rsidRPr="008B264B">
        <w:rPr>
          <w:rFonts w:ascii="Times New Roman" w:eastAsia="Times New Roman" w:hAnsi="Times New Roman" w:cs="Times New Roman"/>
          <w:i/>
          <w:iCs/>
          <w:color w:val="000000"/>
          <w:sz w:val="24"/>
          <w:szCs w:val="24"/>
          <w:lang/>
        </w:rPr>
        <w:t>{Абзац третій пункту 70.9 статті 70 із змінами, внесеними згідно із Законом </w:t>
      </w:r>
      <w:hyperlink r:id="rId143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bookmarkStart w:id="2647" w:name="n1648"/>
    <w:bookmarkEnd w:id="2647"/>
    <w:p w14:paraId="5F3F1A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"https://zakon.rada.gov.ua/laws/show/z2007-12" \l "n218"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документа і порядок його видачі встановлюються центральним органом виконавчої влади, що забезпечує формування та реалізує державну фінансову політику.</w:t>
      </w:r>
    </w:p>
    <w:p w14:paraId="12F8BE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8" w:name="n13424"/>
      <w:bookmarkEnd w:id="2648"/>
      <w:r w:rsidRPr="008B264B">
        <w:rPr>
          <w:rFonts w:ascii="Times New Roman" w:eastAsia="Times New Roman" w:hAnsi="Times New Roman" w:cs="Times New Roman"/>
          <w:i/>
          <w:iCs/>
          <w:color w:val="000000"/>
          <w:sz w:val="24"/>
          <w:szCs w:val="24"/>
          <w:lang/>
        </w:rPr>
        <w:t>{Абзац четвертий пункту 70.9 статті 70 із змінами, внесеними згідно із Законом </w:t>
      </w:r>
      <w:hyperlink r:id="rId143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BE99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49" w:name="n1649"/>
      <w:bookmarkEnd w:id="2649"/>
      <w:r w:rsidRPr="008B264B">
        <w:rPr>
          <w:rFonts w:ascii="Times New Roman" w:eastAsia="Times New Roman" w:hAnsi="Times New Roman" w:cs="Times New Roman"/>
          <w:color w:val="000000"/>
          <w:sz w:val="24"/>
          <w:szCs w:val="24"/>
          <w:lang/>
        </w:rPr>
        <w:t>70.10. Контролюючим органом за місцем проживання фізичної особи - платника податків на прохання такої особи до паспорту можуть бути внесені (сьома, восьма або дев'ята сторінки) дані про реєстраційний номер облікової картки платника податків з Державного реєстру.</w:t>
      </w:r>
    </w:p>
    <w:p w14:paraId="0A0DB1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0" w:name="n1650"/>
      <w:bookmarkEnd w:id="2650"/>
      <w:r w:rsidRPr="008B264B">
        <w:rPr>
          <w:rFonts w:ascii="Times New Roman" w:eastAsia="Times New Roman" w:hAnsi="Times New Roman" w:cs="Times New Roman"/>
          <w:color w:val="000000"/>
          <w:sz w:val="24"/>
          <w:szCs w:val="24"/>
          <w:lang/>
        </w:rPr>
        <w:t>70.11. У разі виявлення недостовірних даних або помилок у поданій обліковій картці або повідомленні (для фізичних осіб, які через свої релігійні переконання відмовляються від прийняття реєстраційного номера облікової картки платника податків) фізичній особі може бути відмовлено у реєстрації та/або внесенні відмітки до паспорта або продовжено строк реєстрації.</w:t>
      </w:r>
    </w:p>
    <w:p w14:paraId="4A555D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1" w:name="n1651"/>
      <w:bookmarkEnd w:id="2651"/>
      <w:r w:rsidRPr="008B264B">
        <w:rPr>
          <w:rFonts w:ascii="Times New Roman" w:eastAsia="Times New Roman" w:hAnsi="Times New Roman" w:cs="Times New Roman"/>
          <w:color w:val="000000"/>
          <w:sz w:val="24"/>
          <w:szCs w:val="24"/>
          <w:lang/>
        </w:rPr>
        <w:lastRenderedPageBreak/>
        <w:t>70.12. Реєстраційний номер облікової картки платника податків або серія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відповідний контролюючий орган і мають відмітку у паспорті) використовуються органами державної влади та органами місцевого самоврядування, юридичними особами незалежно від організаційно-правових форм, включаючи установи Національного банку України, банки та інші фінансові установи, біржі, особами, які провадять незалежну професійну діяльність, фізичними особами - підприємцями, а також фізичними особами в усіх документах, які містять інформацію про об'єкти оподаткування фізичних осіб або про сплату податків, зокрема у разі:</w:t>
      </w:r>
    </w:p>
    <w:p w14:paraId="47E2B1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2" w:name="n1652"/>
      <w:bookmarkEnd w:id="2652"/>
      <w:r w:rsidRPr="008B264B">
        <w:rPr>
          <w:rFonts w:ascii="Times New Roman" w:eastAsia="Times New Roman" w:hAnsi="Times New Roman" w:cs="Times New Roman"/>
          <w:color w:val="000000"/>
          <w:sz w:val="24"/>
          <w:szCs w:val="24"/>
          <w:lang/>
        </w:rPr>
        <w:t>70.12.1. виплати доходів, з яких утримуються податки згідно із законодавством України. Фізичні особи зобов'язані подавати інформацію про реєстраційний номер облікової картки юридичним та фізичним особам, що виплачують їм доходи;</w:t>
      </w:r>
    </w:p>
    <w:p w14:paraId="5EBB89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3" w:name="n1653"/>
      <w:bookmarkEnd w:id="2653"/>
      <w:r w:rsidRPr="008B264B">
        <w:rPr>
          <w:rFonts w:ascii="Times New Roman" w:eastAsia="Times New Roman" w:hAnsi="Times New Roman" w:cs="Times New Roman"/>
          <w:color w:val="000000"/>
          <w:sz w:val="24"/>
          <w:szCs w:val="24"/>
          <w:lang/>
        </w:rPr>
        <w:t>70.12.2. укладення цивільно-правових договорів, предметом яких є об'єкти оподаткування та щодо яких виникають обов'язки щодо сплати податків і зборів;</w:t>
      </w:r>
    </w:p>
    <w:p w14:paraId="5B9383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4" w:name="n1654"/>
      <w:bookmarkEnd w:id="2654"/>
      <w:r w:rsidRPr="008B264B">
        <w:rPr>
          <w:rFonts w:ascii="Times New Roman" w:eastAsia="Times New Roman" w:hAnsi="Times New Roman" w:cs="Times New Roman"/>
          <w:color w:val="000000"/>
          <w:sz w:val="24"/>
          <w:szCs w:val="24"/>
          <w:lang/>
        </w:rPr>
        <w:t>70.12.3. відкриття рахунків у банках або інших фінансових установах, а також у розрахункових документах під час здійснення фізичними особами безготівкових розрахунків;</w:t>
      </w:r>
    </w:p>
    <w:p w14:paraId="452F2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5" w:name="n1655"/>
      <w:bookmarkEnd w:id="2655"/>
      <w:r w:rsidRPr="008B264B">
        <w:rPr>
          <w:rFonts w:ascii="Times New Roman" w:eastAsia="Times New Roman" w:hAnsi="Times New Roman" w:cs="Times New Roman"/>
          <w:color w:val="000000"/>
          <w:sz w:val="24"/>
          <w:szCs w:val="24"/>
          <w:lang/>
        </w:rPr>
        <w:t>70.12.4. заповнення фізичними особами, визначеними у </w:t>
      </w:r>
      <w:hyperlink r:id="rId1433" w:anchor="n1603" w:history="1">
        <w:r w:rsidRPr="008B264B">
          <w:rPr>
            <w:rFonts w:ascii="Times New Roman" w:eastAsia="Times New Roman" w:hAnsi="Times New Roman" w:cs="Times New Roman"/>
            <w:color w:val="0000FF"/>
            <w:sz w:val="24"/>
            <w:szCs w:val="24"/>
            <w:u w:val="single"/>
            <w:lang/>
          </w:rPr>
          <w:t>пункті 70.1</w:t>
        </w:r>
      </w:hyperlink>
      <w:r w:rsidRPr="008B264B">
        <w:rPr>
          <w:rFonts w:ascii="Times New Roman" w:eastAsia="Times New Roman" w:hAnsi="Times New Roman" w:cs="Times New Roman"/>
          <w:color w:val="000000"/>
          <w:sz w:val="24"/>
          <w:szCs w:val="24"/>
          <w:lang/>
        </w:rPr>
        <w:t> цієї статті, митних декларацій під час перетину митного кордону України;</w:t>
      </w:r>
    </w:p>
    <w:p w14:paraId="3C11A3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6" w:name="n1656"/>
      <w:bookmarkEnd w:id="2656"/>
      <w:r w:rsidRPr="008B264B">
        <w:rPr>
          <w:rFonts w:ascii="Times New Roman" w:eastAsia="Times New Roman" w:hAnsi="Times New Roman" w:cs="Times New Roman"/>
          <w:color w:val="000000"/>
          <w:sz w:val="24"/>
          <w:szCs w:val="24"/>
          <w:lang/>
        </w:rPr>
        <w:t>70.12.5. сплати фізичними особами податків і зборів;</w:t>
      </w:r>
    </w:p>
    <w:p w14:paraId="0BB500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7" w:name="n1657"/>
      <w:bookmarkEnd w:id="2657"/>
      <w:r w:rsidRPr="008B264B">
        <w:rPr>
          <w:rFonts w:ascii="Times New Roman" w:eastAsia="Times New Roman" w:hAnsi="Times New Roman" w:cs="Times New Roman"/>
          <w:color w:val="000000"/>
          <w:sz w:val="24"/>
          <w:szCs w:val="24"/>
          <w:lang/>
        </w:rPr>
        <w:t>70.12.6. проведення державної реєстрації фізичних осіб - підприємців або видачі таким особам спеціальних дозволів (ліцензій тощо) на провадження деяких видів господарської діяльності, а також реєстрації незалежної професійної діяльності;</w:t>
      </w:r>
    </w:p>
    <w:p w14:paraId="39E5CB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8" w:name="n10558"/>
      <w:bookmarkEnd w:id="2658"/>
      <w:r w:rsidRPr="008B264B">
        <w:rPr>
          <w:rFonts w:ascii="Times New Roman" w:eastAsia="Times New Roman" w:hAnsi="Times New Roman" w:cs="Times New Roman"/>
          <w:i/>
          <w:iCs/>
          <w:color w:val="000000"/>
          <w:sz w:val="24"/>
          <w:szCs w:val="24"/>
          <w:lang/>
        </w:rPr>
        <w:t>{Підпункт 70.12.6 пункту 70.12 статті 70 із змінами, внесеними згідно із Законом </w:t>
      </w:r>
      <w:hyperlink r:id="rId1434" w:anchor="n21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FC82A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59" w:name="n1658"/>
      <w:bookmarkEnd w:id="2659"/>
      <w:r w:rsidRPr="008B264B">
        <w:rPr>
          <w:rFonts w:ascii="Times New Roman" w:eastAsia="Times New Roman" w:hAnsi="Times New Roman" w:cs="Times New Roman"/>
          <w:color w:val="000000"/>
          <w:sz w:val="24"/>
          <w:szCs w:val="24"/>
          <w:lang/>
        </w:rPr>
        <w:t>70.12.7. реєстрації майна та інших активів фізичних осіб, що є об'єктом оподаткування, або прав на нього;</w:t>
      </w:r>
    </w:p>
    <w:p w14:paraId="7D133E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0" w:name="n1659"/>
      <w:bookmarkEnd w:id="2660"/>
      <w:r w:rsidRPr="008B264B">
        <w:rPr>
          <w:rFonts w:ascii="Times New Roman" w:eastAsia="Times New Roman" w:hAnsi="Times New Roman" w:cs="Times New Roman"/>
          <w:color w:val="000000"/>
          <w:sz w:val="24"/>
          <w:szCs w:val="24"/>
          <w:lang/>
        </w:rPr>
        <w:t>70.12.8. подання контролюючим органам декларацій про доходи, майно та інші активи;</w:t>
      </w:r>
    </w:p>
    <w:p w14:paraId="665A31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1" w:name="n1660"/>
      <w:bookmarkEnd w:id="2661"/>
      <w:r w:rsidRPr="008B264B">
        <w:rPr>
          <w:rFonts w:ascii="Times New Roman" w:eastAsia="Times New Roman" w:hAnsi="Times New Roman" w:cs="Times New Roman"/>
          <w:color w:val="000000"/>
          <w:sz w:val="24"/>
          <w:szCs w:val="24"/>
          <w:lang/>
        </w:rPr>
        <w:t>70.12.9. реєстрації транспортних засобів, що переходять у власність фізичних осіб;</w:t>
      </w:r>
    </w:p>
    <w:p w14:paraId="2D2309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2" w:name="n1661"/>
      <w:bookmarkEnd w:id="2662"/>
      <w:r w:rsidRPr="008B264B">
        <w:rPr>
          <w:rFonts w:ascii="Times New Roman" w:eastAsia="Times New Roman" w:hAnsi="Times New Roman" w:cs="Times New Roman"/>
          <w:color w:val="000000"/>
          <w:sz w:val="24"/>
          <w:szCs w:val="24"/>
          <w:lang/>
        </w:rPr>
        <w:t>70.12.10. оформлення фізичним особам пільг, субсидій та інших соціальних виплат з державних цільових фондів;</w:t>
      </w:r>
    </w:p>
    <w:p w14:paraId="3424F7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3" w:name="n1662"/>
      <w:bookmarkEnd w:id="2663"/>
      <w:r w:rsidRPr="008B264B">
        <w:rPr>
          <w:rFonts w:ascii="Times New Roman" w:eastAsia="Times New Roman" w:hAnsi="Times New Roman" w:cs="Times New Roman"/>
          <w:color w:val="000000"/>
          <w:sz w:val="24"/>
          <w:szCs w:val="24"/>
          <w:lang/>
        </w:rPr>
        <w:t>70.12.11. в інших випадках, визначених законами України та іншими нормативно-правовими актами.</w:t>
      </w:r>
    </w:p>
    <w:p w14:paraId="094104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4" w:name="n1663"/>
      <w:bookmarkEnd w:id="2664"/>
      <w:r w:rsidRPr="008B264B">
        <w:rPr>
          <w:rFonts w:ascii="Times New Roman" w:eastAsia="Times New Roman" w:hAnsi="Times New Roman" w:cs="Times New Roman"/>
          <w:color w:val="000000"/>
          <w:sz w:val="24"/>
          <w:szCs w:val="24"/>
          <w:lang/>
        </w:rPr>
        <w:t>70.13. Документи, пов'язані з проведенням операцій, передбачених </w:t>
      </w:r>
      <w:hyperlink r:id="rId1435" w:anchor="n1651" w:history="1">
        <w:r w:rsidRPr="008B264B">
          <w:rPr>
            <w:rFonts w:ascii="Times New Roman" w:eastAsia="Times New Roman" w:hAnsi="Times New Roman" w:cs="Times New Roman"/>
            <w:color w:val="0000FF"/>
            <w:sz w:val="24"/>
            <w:szCs w:val="24"/>
            <w:u w:val="single"/>
            <w:lang/>
          </w:rPr>
          <w:t>пунктом 70.12</w:t>
        </w:r>
      </w:hyperlink>
      <w:r w:rsidRPr="008B264B">
        <w:rPr>
          <w:rFonts w:ascii="Times New Roman" w:eastAsia="Times New Roman" w:hAnsi="Times New Roman" w:cs="Times New Roman"/>
          <w:color w:val="000000"/>
          <w:sz w:val="24"/>
          <w:szCs w:val="24"/>
          <w:lang/>
        </w:rPr>
        <w:t> цієї статті, які не мають реєстраційного номера облікової картки платника податків або серії та номера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відповідний контролюючий орган і мають відмітку у паспорті), вважаються оформленими з порушенням вимог законодавства України.</w:t>
      </w:r>
    </w:p>
    <w:p w14:paraId="1E5379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5" w:name="n1664"/>
      <w:bookmarkEnd w:id="2665"/>
      <w:r w:rsidRPr="008B264B">
        <w:rPr>
          <w:rFonts w:ascii="Times New Roman" w:eastAsia="Times New Roman" w:hAnsi="Times New Roman" w:cs="Times New Roman"/>
          <w:color w:val="000000"/>
          <w:sz w:val="24"/>
          <w:szCs w:val="24"/>
          <w:lang/>
        </w:rPr>
        <w:t>70.14. Контролюючий орган зазначає реєстраційний номер облікової картки платника податків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відповідний контролюючий орган і мають відмітку у паспорті) у всіх повідомленнях, що надсилаються йому.</w:t>
      </w:r>
    </w:p>
    <w:p w14:paraId="035F7A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6" w:name="n1665"/>
      <w:bookmarkEnd w:id="2666"/>
      <w:r w:rsidRPr="008B264B">
        <w:rPr>
          <w:rFonts w:ascii="Times New Roman" w:eastAsia="Times New Roman" w:hAnsi="Times New Roman" w:cs="Times New Roman"/>
          <w:color w:val="000000"/>
          <w:sz w:val="24"/>
          <w:szCs w:val="24"/>
          <w:lang/>
        </w:rPr>
        <w:t xml:space="preserve">Кожен платник податків зазначає реєстраційний номер своєї облікової картки платника податків або серію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w:t>
      </w:r>
      <w:r w:rsidRPr="008B264B">
        <w:rPr>
          <w:rFonts w:ascii="Times New Roman" w:eastAsia="Times New Roman" w:hAnsi="Times New Roman" w:cs="Times New Roman"/>
          <w:color w:val="000000"/>
          <w:sz w:val="24"/>
          <w:szCs w:val="24"/>
          <w:lang/>
        </w:rPr>
        <w:lastRenderedPageBreak/>
        <w:t>офіційно повідомили про це відповідний контролюючий орган і мають відмітку у паспорті) в усіх звітних або інших документах, а також в інших випадках, передбачених законодавством України.</w:t>
      </w:r>
    </w:p>
    <w:p w14:paraId="00DEAF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7" w:name="n1666"/>
      <w:bookmarkEnd w:id="2667"/>
      <w:r w:rsidRPr="008B264B">
        <w:rPr>
          <w:rFonts w:ascii="Times New Roman" w:eastAsia="Times New Roman" w:hAnsi="Times New Roman" w:cs="Times New Roman"/>
          <w:color w:val="000000"/>
          <w:sz w:val="24"/>
          <w:szCs w:val="24"/>
          <w:lang/>
        </w:rPr>
        <w:t>70.15. Відомості з Державного реєстру:</w:t>
      </w:r>
    </w:p>
    <w:p w14:paraId="79FA8A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8" w:name="n1667"/>
      <w:bookmarkEnd w:id="2668"/>
      <w:r w:rsidRPr="008B264B">
        <w:rPr>
          <w:rFonts w:ascii="Times New Roman" w:eastAsia="Times New Roman" w:hAnsi="Times New Roman" w:cs="Times New Roman"/>
          <w:color w:val="000000"/>
          <w:sz w:val="24"/>
          <w:szCs w:val="24"/>
          <w:lang/>
        </w:rPr>
        <w:t>70.15.1. використовуються контролюючими органами виключно для здійснення контролю за дотриманням податкового законодавства України;</w:t>
      </w:r>
    </w:p>
    <w:p w14:paraId="1BA528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69" w:name="n1668"/>
      <w:bookmarkEnd w:id="2669"/>
      <w:r w:rsidRPr="008B264B">
        <w:rPr>
          <w:rFonts w:ascii="Times New Roman" w:eastAsia="Times New Roman" w:hAnsi="Times New Roman" w:cs="Times New Roman"/>
          <w:color w:val="000000"/>
          <w:sz w:val="24"/>
          <w:szCs w:val="24"/>
          <w:lang/>
        </w:rPr>
        <w:t>70.15.2. є інформацією з обмеженим доступом, крім відомостей про взяття на облік фізичних осіб - підприємців та осіб, які провадять незалежну професійну діяльність.</w:t>
      </w:r>
    </w:p>
    <w:p w14:paraId="2A0B6A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0" w:name="n1669"/>
      <w:bookmarkEnd w:id="2670"/>
      <w:r w:rsidRPr="008B264B">
        <w:rPr>
          <w:rFonts w:ascii="Times New Roman" w:eastAsia="Times New Roman" w:hAnsi="Times New Roman" w:cs="Times New Roman"/>
          <w:color w:val="000000"/>
          <w:sz w:val="24"/>
          <w:szCs w:val="24"/>
          <w:lang/>
        </w:rPr>
        <w:t>70.16. Органи виконавчої влади та органи місцевого самоврядування, самозайняті особи, податкові агенти подають безоплатно в порядку, встановленому Кабінетом Міністрів України, контролюючим органам за своїм місцезнаходженням інформацію про фізичних осіб, що пов’язана з реєстрацією таких осіб як платників податків, нарахуванням, сплатою податків і контролем за дотриманням податкового законодавства України, із зазначенням реєстраційних номерів облікових карток платника податків або серії та номера паспорта (для фізичних осіб, які мають відмітку у паспорті про право здійснювати будь-які платежі за серією та номером паспорта), зокрема:</w:t>
      </w:r>
    </w:p>
    <w:p w14:paraId="131113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1" w:name="n10559"/>
      <w:bookmarkEnd w:id="2671"/>
      <w:r w:rsidRPr="008B264B">
        <w:rPr>
          <w:rFonts w:ascii="Times New Roman" w:eastAsia="Times New Roman" w:hAnsi="Times New Roman" w:cs="Times New Roman"/>
          <w:i/>
          <w:iCs/>
          <w:color w:val="000000"/>
          <w:sz w:val="24"/>
          <w:szCs w:val="24"/>
          <w:lang/>
        </w:rPr>
        <w:t>{Абзац перший пункту 70.16 статті 70 в редакції Закону </w:t>
      </w:r>
      <w:hyperlink r:id="rId1436" w:anchor="n21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11E8D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2" w:name="n1670"/>
      <w:bookmarkEnd w:id="2672"/>
      <w:r w:rsidRPr="008B264B">
        <w:rPr>
          <w:rFonts w:ascii="Times New Roman" w:eastAsia="Times New Roman" w:hAnsi="Times New Roman" w:cs="Times New Roman"/>
          <w:color w:val="000000"/>
          <w:sz w:val="24"/>
          <w:szCs w:val="24"/>
          <w:lang/>
        </w:rPr>
        <w:t>70.16.1. органи виконавчої влади та органи місцевого самоврядування, юридичні особи та фізичні особи - підприємці, податкові агенти - про дату прийняття на роботу або звільнення з роботи фізичних осіб протягом 40 календарних днів, що настають за останнім календарним днем звітного (податкового) кварталу, а також інформацію, передбачену </w:t>
      </w:r>
      <w:hyperlink r:id="rId1437" w:anchor="n1274" w:history="1">
        <w:r w:rsidRPr="008B264B">
          <w:rPr>
            <w:rFonts w:ascii="Times New Roman" w:eastAsia="Times New Roman" w:hAnsi="Times New Roman" w:cs="Times New Roman"/>
            <w:color w:val="0000FF"/>
            <w:sz w:val="24"/>
            <w:szCs w:val="24"/>
            <w:u w:val="single"/>
            <w:lang/>
          </w:rPr>
          <w:t>статтею 51</w:t>
        </w:r>
      </w:hyperlink>
      <w:r w:rsidRPr="008B264B">
        <w:rPr>
          <w:rFonts w:ascii="Times New Roman" w:eastAsia="Times New Roman" w:hAnsi="Times New Roman" w:cs="Times New Roman"/>
          <w:color w:val="000000"/>
          <w:sz w:val="24"/>
          <w:szCs w:val="24"/>
          <w:lang/>
        </w:rPr>
        <w:t> цього Кодексу;</w:t>
      </w:r>
    </w:p>
    <w:p w14:paraId="5C15EC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3" w:name="n1671"/>
      <w:bookmarkEnd w:id="2673"/>
      <w:r w:rsidRPr="008B264B">
        <w:rPr>
          <w:rFonts w:ascii="Times New Roman" w:eastAsia="Times New Roman" w:hAnsi="Times New Roman" w:cs="Times New Roman"/>
          <w:color w:val="000000"/>
          <w:sz w:val="24"/>
          <w:szCs w:val="24"/>
          <w:lang/>
        </w:rPr>
        <w:t>70.16.2. органи, що здійснюють державну реєстрацію транспортних засобів - про транспортні засоби, щодо яких у фізичних осіб виникає або припиняється право власності, щомісяця, але не пізніше 10 числа наступного місяця;</w:t>
      </w:r>
    </w:p>
    <w:p w14:paraId="502E81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4" w:name="n1672"/>
      <w:bookmarkEnd w:id="2674"/>
      <w:r w:rsidRPr="008B264B">
        <w:rPr>
          <w:rFonts w:ascii="Times New Roman" w:eastAsia="Times New Roman" w:hAnsi="Times New Roman" w:cs="Times New Roman"/>
          <w:i/>
          <w:iCs/>
          <w:color w:val="000000"/>
          <w:sz w:val="24"/>
          <w:szCs w:val="24"/>
          <w:lang/>
        </w:rPr>
        <w:t>{Підпункт 70.16.2 пункту 70.16 статті 70 в редакції Закону </w:t>
      </w:r>
      <w:hyperlink r:id="rId1438" w:anchor="n10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39" w:anchor="n7"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232C24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5" w:name="n1673"/>
      <w:bookmarkEnd w:id="2675"/>
      <w:r w:rsidRPr="008B264B">
        <w:rPr>
          <w:rFonts w:ascii="Times New Roman" w:eastAsia="Times New Roman" w:hAnsi="Times New Roman" w:cs="Times New Roman"/>
          <w:color w:val="000000"/>
          <w:sz w:val="24"/>
          <w:szCs w:val="24"/>
          <w:lang/>
        </w:rPr>
        <w:t>70.16.3. органи державної реєстрації морських, річкових та повітряних суден - про судна, щодо яких у фізичних осіб виникає або припиняється право власності, щомісяця, але не пізніше 10 числа наступного місяця;</w:t>
      </w:r>
    </w:p>
    <w:p w14:paraId="6F90C4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6" w:name="n1674"/>
      <w:bookmarkEnd w:id="2676"/>
      <w:r w:rsidRPr="008B264B">
        <w:rPr>
          <w:rFonts w:ascii="Times New Roman" w:eastAsia="Times New Roman" w:hAnsi="Times New Roman" w:cs="Times New Roman"/>
          <w:color w:val="000000"/>
          <w:sz w:val="24"/>
          <w:szCs w:val="24"/>
          <w:lang/>
        </w:rPr>
        <w:t>70.16.4. органи державної реєстрації актів цивільного стану - про фізичних осіб, які померли (для закриття облікових карток), а також про зміну фізичними особами прізвища, імені, по батькові, дати і місця народження щомісяця, але не пізніше 10 числа наступного місяця;</w:t>
      </w:r>
    </w:p>
    <w:p w14:paraId="1FD700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7" w:name="n1675"/>
      <w:bookmarkEnd w:id="2677"/>
      <w:r w:rsidRPr="008B264B">
        <w:rPr>
          <w:rFonts w:ascii="Times New Roman" w:eastAsia="Times New Roman" w:hAnsi="Times New Roman" w:cs="Times New Roman"/>
          <w:i/>
          <w:iCs/>
          <w:color w:val="000000"/>
          <w:sz w:val="24"/>
          <w:szCs w:val="24"/>
          <w:lang/>
        </w:rPr>
        <w:t>{Підпункт 70.16.4 пункту 70.16 статті 70 із змінами, внесеними згідно з Законом </w:t>
      </w:r>
      <w:hyperlink r:id="rId1440" w:anchor="n10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1648D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8" w:name="n1676"/>
      <w:bookmarkEnd w:id="2678"/>
      <w:r w:rsidRPr="008B264B">
        <w:rPr>
          <w:rFonts w:ascii="Times New Roman" w:eastAsia="Times New Roman" w:hAnsi="Times New Roman" w:cs="Times New Roman"/>
          <w:color w:val="000000"/>
          <w:sz w:val="24"/>
          <w:szCs w:val="24"/>
          <w:lang/>
        </w:rPr>
        <w:t>70.16.5. органи, що здійснюють реєстрацію приватної нотаріальної, адвокатської, іншої незалежної професійної діяльності та видають свідоцтва про право на провадження такої діяльності, - про видачу або анулювання реєстраційного посвідчення - у п'ятиденний строк від дня провадження відповідної дії;</w:t>
      </w:r>
    </w:p>
    <w:p w14:paraId="04A960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79" w:name="n1677"/>
      <w:bookmarkEnd w:id="2679"/>
      <w:r w:rsidRPr="008B264B">
        <w:rPr>
          <w:rFonts w:ascii="Times New Roman" w:eastAsia="Times New Roman" w:hAnsi="Times New Roman" w:cs="Times New Roman"/>
          <w:color w:val="000000"/>
          <w:sz w:val="24"/>
          <w:szCs w:val="24"/>
          <w:lang/>
        </w:rPr>
        <w:t>70.16.6. органи державної реєстрації прав на нерухоме майно - про оподатковуване нерухоме майно, щодо якого у фізичних та юридичних осіб виникає або припиняється право власності, у строки та порядку, встановленому </w:t>
      </w:r>
      <w:hyperlink r:id="rId1441" w:anchor="n11840" w:history="1">
        <w:r w:rsidRPr="008B264B">
          <w:rPr>
            <w:rFonts w:ascii="Times New Roman" w:eastAsia="Times New Roman" w:hAnsi="Times New Roman" w:cs="Times New Roman"/>
            <w:color w:val="0000FF"/>
            <w:sz w:val="24"/>
            <w:szCs w:val="24"/>
            <w:u w:val="single"/>
            <w:lang/>
          </w:rPr>
          <w:t>підпунктом 266.7.4</w:t>
        </w:r>
      </w:hyperlink>
      <w:r w:rsidRPr="008B264B">
        <w:rPr>
          <w:rFonts w:ascii="Times New Roman" w:eastAsia="Times New Roman" w:hAnsi="Times New Roman" w:cs="Times New Roman"/>
          <w:color w:val="000000"/>
          <w:sz w:val="24"/>
          <w:szCs w:val="24"/>
          <w:lang/>
        </w:rPr>
        <w:t> пункту 266.7 статті 266 цього Кодексу;</w:t>
      </w:r>
    </w:p>
    <w:p w14:paraId="70DDAA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0" w:name="n1678"/>
      <w:bookmarkEnd w:id="2680"/>
      <w:r w:rsidRPr="008B264B">
        <w:rPr>
          <w:rFonts w:ascii="Times New Roman" w:eastAsia="Times New Roman" w:hAnsi="Times New Roman" w:cs="Times New Roman"/>
          <w:i/>
          <w:iCs/>
          <w:color w:val="000000"/>
          <w:sz w:val="24"/>
          <w:szCs w:val="24"/>
          <w:lang/>
        </w:rPr>
        <w:t>{Підпункт 70.16.6 пункту 70.16 статті 70 із змінами, внесеними згідно із Законами </w:t>
      </w:r>
      <w:hyperlink r:id="rId144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1443" w:anchor="n21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444" w:anchor="n58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DB10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1" w:name="n1679"/>
      <w:bookmarkEnd w:id="2681"/>
      <w:r w:rsidRPr="008B264B">
        <w:rPr>
          <w:rFonts w:ascii="Times New Roman" w:eastAsia="Times New Roman" w:hAnsi="Times New Roman" w:cs="Times New Roman"/>
          <w:color w:val="000000"/>
          <w:sz w:val="24"/>
          <w:szCs w:val="24"/>
          <w:lang/>
        </w:rPr>
        <w:t xml:space="preserve">70.16.7. органи опіки і піклування, виховні, лікувальні заклади, заклади соціального захисту населення та інші заклади, що відповідно до законодавства здійснюють опіку, піклування або управління майном підопічного, зобов'язані повідомляти про встановлення опіки над фізичними особами, визнаними судом недієздатними, опіку, піклування і управління майном малолітніх, </w:t>
      </w:r>
      <w:r w:rsidRPr="008B264B">
        <w:rPr>
          <w:rFonts w:ascii="Times New Roman" w:eastAsia="Times New Roman" w:hAnsi="Times New Roman" w:cs="Times New Roman"/>
          <w:color w:val="000000"/>
          <w:sz w:val="24"/>
          <w:szCs w:val="24"/>
          <w:lang/>
        </w:rPr>
        <w:lastRenderedPageBreak/>
        <w:t>інших неповнолітніх фізичних осіб, фізичних осіб, обмежених судом у дієздатності, дієздатних фізичних осіб, над якими встановлене піклування у формі патронажу, піклування або управління майном фізичних осіб, визнаних судом безвісно відсутніми, а також про подальші зміни, пов'язані із зазначеною опікою, піклуванням або управлінням майном, у контролюючі органи за місцем свого перебування не пізніше, як протягом п'яти календарних днів від дня прийняття відповідного рішення;</w:t>
      </w:r>
    </w:p>
    <w:p w14:paraId="292472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2" w:name="n1680"/>
      <w:bookmarkEnd w:id="2682"/>
      <w:r w:rsidRPr="008B264B">
        <w:rPr>
          <w:rFonts w:ascii="Times New Roman" w:eastAsia="Times New Roman" w:hAnsi="Times New Roman" w:cs="Times New Roman"/>
          <w:color w:val="000000"/>
          <w:sz w:val="24"/>
          <w:szCs w:val="24"/>
          <w:lang/>
        </w:rPr>
        <w:t>70.16.7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органи, що здійснюють реєстрацію фізичних осіб, - про фізичних осіб, які зареєстрували своє місце проживання у відповідному населеному пункті чи місце проживання яких знято з реєстрації в такому населеному пункті, щомісяця, але не пізніше 10 числа наступного місяця, а також про втрачені, викрадені паспорти громадянина України у п’ятиденний строк з дня надходження відповідних заяв фізичних осіб та про паспорти громадянина України померлих громадян щомісяця, але не пізніше 10 числа наступного місяця.</w:t>
      </w:r>
    </w:p>
    <w:p w14:paraId="764265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3" w:name="n1681"/>
      <w:bookmarkEnd w:id="2683"/>
      <w:r w:rsidRPr="008B264B">
        <w:rPr>
          <w:rFonts w:ascii="Times New Roman" w:eastAsia="Times New Roman" w:hAnsi="Times New Roman" w:cs="Times New Roman"/>
          <w:i/>
          <w:iCs/>
          <w:color w:val="000000"/>
          <w:sz w:val="24"/>
          <w:szCs w:val="24"/>
          <w:lang/>
        </w:rPr>
        <w:t>{Пункт 70.16 статті 70 доповнено пунктом 70.16.7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з Законом </w:t>
      </w:r>
      <w:hyperlink r:id="rId1445" w:anchor="n1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C4427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4" w:name="n1682"/>
      <w:bookmarkEnd w:id="2684"/>
      <w:r w:rsidRPr="008B264B">
        <w:rPr>
          <w:rFonts w:ascii="Times New Roman" w:eastAsia="Times New Roman" w:hAnsi="Times New Roman" w:cs="Times New Roman"/>
          <w:color w:val="000000"/>
          <w:sz w:val="24"/>
          <w:szCs w:val="24"/>
          <w:lang/>
        </w:rPr>
        <w:t>70.16.8. інші органи виконавчої влади та органи місцевого самоврядування - інформацію про інші об'єкти оподаткування.</w:t>
      </w:r>
    </w:p>
    <w:p w14:paraId="0D9C9D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5" w:name="n1683"/>
      <w:bookmarkEnd w:id="2685"/>
      <w:r w:rsidRPr="008B264B">
        <w:rPr>
          <w:rFonts w:ascii="Times New Roman" w:eastAsia="Times New Roman" w:hAnsi="Times New Roman" w:cs="Times New Roman"/>
          <w:color w:val="000000"/>
          <w:sz w:val="24"/>
          <w:szCs w:val="24"/>
          <w:lang/>
        </w:rPr>
        <w:t>70.17. Державний реєстр фізичних осіб - платників податків формується на основі Державного реєстру фізичних осіб - платників податків та інших обов'язкових платежів. Обліковим карткам фізичних осіб, які на момент набрання чинності цим Кодексом зареєстровані у Державному реєстрі фізичних осіб - платників податків та інших обов'язкових платежів, присвоюються номери, що відповідають ідентифікаційним номерам платників податків - фізичних осіб. Документи про реєстрацію фізичних осіб у Державному реєстрі фізичних осіб - платників податків та інших обов'язкових платежів, видані контролюючими органами у порядку, визначеному законодавством, що діяло до набрання чинності цим Кодексом, вважаються дійсними для всіх випадків, передбачених для використання реєстраційних номерів облікових карток фізичних осіб, не підлягають обов'язковій заміні та є такими, що засвідчують реєстрацію фізичних осіб у Державному реєстрі фізичних осіб - платників податків.</w:t>
      </w:r>
    </w:p>
    <w:p w14:paraId="4C60C82E"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686" w:name="n1684"/>
      <w:bookmarkEnd w:id="2686"/>
      <w:r w:rsidRPr="008B264B">
        <w:rPr>
          <w:rFonts w:ascii="Times New Roman" w:eastAsia="Times New Roman" w:hAnsi="Times New Roman" w:cs="Times New Roman"/>
          <w:b/>
          <w:bCs/>
          <w:color w:val="000000"/>
          <w:sz w:val="28"/>
          <w:szCs w:val="28"/>
          <w:lang/>
        </w:rPr>
        <w:t>ГЛАВА 7. ІНФОРМАЦІЙНО-АНАЛІТИЧНЕ ЗАБЕЗПЕЧЕННЯ ДІЯЛЬНОСТІ КОНТРОЛЮЮЧИХ ОРГАНІВ</w:t>
      </w:r>
    </w:p>
    <w:p w14:paraId="37EC5C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7" w:name="n1685"/>
      <w:bookmarkEnd w:id="2687"/>
      <w:r w:rsidRPr="008B264B">
        <w:rPr>
          <w:rFonts w:ascii="Times New Roman" w:eastAsia="Times New Roman" w:hAnsi="Times New Roman" w:cs="Times New Roman"/>
          <w:b/>
          <w:bCs/>
          <w:color w:val="000000"/>
          <w:sz w:val="24"/>
          <w:szCs w:val="24"/>
          <w:lang/>
        </w:rPr>
        <w:t>Стаття 71.</w:t>
      </w:r>
      <w:r w:rsidRPr="008B264B">
        <w:rPr>
          <w:rFonts w:ascii="Times New Roman" w:eastAsia="Times New Roman" w:hAnsi="Times New Roman" w:cs="Times New Roman"/>
          <w:color w:val="000000"/>
          <w:sz w:val="24"/>
          <w:szCs w:val="24"/>
          <w:lang/>
        </w:rPr>
        <w:t> Визначення інформаційно-аналітичного забезпечення діяльності контролюючого органу</w:t>
      </w:r>
    </w:p>
    <w:p w14:paraId="01A8B2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8" w:name="n8801"/>
      <w:bookmarkEnd w:id="2688"/>
      <w:r w:rsidRPr="008B264B">
        <w:rPr>
          <w:rFonts w:ascii="Times New Roman" w:eastAsia="Times New Roman" w:hAnsi="Times New Roman" w:cs="Times New Roman"/>
          <w:color w:val="000000"/>
          <w:sz w:val="24"/>
          <w:szCs w:val="24"/>
          <w:lang/>
        </w:rPr>
        <w:t>71.1. Інформаційно-аналітичне забезпечення діяльності контролюючих органів - комплекс заходів, що координується центральним органом виконавчої влади, що забезпечує формування та реалізує державну фінансову політику, щодо збору, опрацювання та використання інформації, необхідної для виконання покладених на контролюючі органи функцій.</w:t>
      </w:r>
    </w:p>
    <w:p w14:paraId="3FC527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89" w:name="n8799"/>
      <w:bookmarkEnd w:id="2689"/>
      <w:r w:rsidRPr="008B264B">
        <w:rPr>
          <w:rFonts w:ascii="Times New Roman" w:eastAsia="Times New Roman" w:hAnsi="Times New Roman" w:cs="Times New Roman"/>
          <w:i/>
          <w:iCs/>
          <w:color w:val="000000"/>
          <w:sz w:val="24"/>
          <w:szCs w:val="24"/>
          <w:lang/>
        </w:rPr>
        <w:t>{Пункт 71.1 статті 71 в редакції Закону </w:t>
      </w:r>
      <w:hyperlink r:id="rId1446" w:anchor="n162"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47" w:anchor="n58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97AB9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0" w:name="n1687"/>
      <w:bookmarkEnd w:id="2690"/>
      <w:r w:rsidRPr="008B264B">
        <w:rPr>
          <w:rFonts w:ascii="Times New Roman" w:eastAsia="Times New Roman" w:hAnsi="Times New Roman" w:cs="Times New Roman"/>
          <w:b/>
          <w:bCs/>
          <w:color w:val="000000"/>
          <w:sz w:val="24"/>
          <w:szCs w:val="24"/>
          <w:lang/>
        </w:rPr>
        <w:t>Стаття 72.</w:t>
      </w:r>
      <w:r w:rsidRPr="008B264B">
        <w:rPr>
          <w:rFonts w:ascii="Times New Roman" w:eastAsia="Times New Roman" w:hAnsi="Times New Roman" w:cs="Times New Roman"/>
          <w:color w:val="000000"/>
          <w:sz w:val="24"/>
          <w:szCs w:val="24"/>
          <w:lang/>
        </w:rPr>
        <w:t> Збір податкової інформації</w:t>
      </w:r>
    </w:p>
    <w:p w14:paraId="4426EA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1" w:name="n1688"/>
      <w:bookmarkEnd w:id="2691"/>
      <w:r w:rsidRPr="008B264B">
        <w:rPr>
          <w:rFonts w:ascii="Times New Roman" w:eastAsia="Times New Roman" w:hAnsi="Times New Roman" w:cs="Times New Roman"/>
          <w:color w:val="000000"/>
          <w:sz w:val="24"/>
          <w:szCs w:val="24"/>
          <w:lang/>
        </w:rPr>
        <w:t>72.1. Для інформаційно-аналітичного забезпечення діяльності контролюючого органу використовується інформація, що надійшла:</w:t>
      </w:r>
    </w:p>
    <w:p w14:paraId="23F37B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2" w:name="n1689"/>
      <w:bookmarkEnd w:id="2692"/>
      <w:r w:rsidRPr="008B264B">
        <w:rPr>
          <w:rFonts w:ascii="Times New Roman" w:eastAsia="Times New Roman" w:hAnsi="Times New Roman" w:cs="Times New Roman"/>
          <w:color w:val="000000"/>
          <w:sz w:val="24"/>
          <w:szCs w:val="24"/>
          <w:lang/>
        </w:rPr>
        <w:t>72.1.1. від платників податків та податкових агентів, зокрема інформація:</w:t>
      </w:r>
    </w:p>
    <w:p w14:paraId="4ECA10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3" w:name="n1690"/>
      <w:bookmarkEnd w:id="2693"/>
      <w:r w:rsidRPr="008B264B">
        <w:rPr>
          <w:rFonts w:ascii="Times New Roman" w:eastAsia="Times New Roman" w:hAnsi="Times New Roman" w:cs="Times New Roman"/>
          <w:color w:val="000000"/>
          <w:sz w:val="24"/>
          <w:szCs w:val="24"/>
          <w:lang/>
        </w:rPr>
        <w:t>72.1.1.1. що міститься в податкових деклараціях, розрахунках, </w:t>
      </w:r>
      <w:hyperlink r:id="rId1448" w:anchor="n18" w:tgtFrame="_blank" w:history="1">
        <w:r w:rsidRPr="008B264B">
          <w:rPr>
            <w:rFonts w:ascii="Times New Roman" w:eastAsia="Times New Roman" w:hAnsi="Times New Roman" w:cs="Times New Roman"/>
            <w:color w:val="0000FF"/>
            <w:sz w:val="24"/>
            <w:szCs w:val="24"/>
            <w:u w:val="single"/>
            <w:lang/>
          </w:rPr>
          <w:t>звітах про використання доходів (прибутків) неприбуткової організації</w:t>
        </w:r>
      </w:hyperlink>
      <w:r w:rsidRPr="008B264B">
        <w:rPr>
          <w:rFonts w:ascii="Times New Roman" w:eastAsia="Times New Roman" w:hAnsi="Times New Roman" w:cs="Times New Roman"/>
          <w:color w:val="000000"/>
          <w:sz w:val="24"/>
          <w:szCs w:val="24"/>
          <w:lang/>
        </w:rPr>
        <w:t>, визначеної пунктом 133.4 статті 133 цього Кодексу, інших звітних документах;</w:t>
      </w:r>
    </w:p>
    <w:p w14:paraId="38F132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4" w:name="n12532"/>
      <w:bookmarkEnd w:id="2694"/>
      <w:r w:rsidRPr="008B264B">
        <w:rPr>
          <w:rFonts w:ascii="Times New Roman" w:eastAsia="Times New Roman" w:hAnsi="Times New Roman" w:cs="Times New Roman"/>
          <w:i/>
          <w:iCs/>
          <w:color w:val="000000"/>
          <w:sz w:val="24"/>
          <w:szCs w:val="24"/>
          <w:lang/>
        </w:rPr>
        <w:t>{Підпункт 72.1.1.1 підпункту 72.1.1 пункту 72.1 статті 72 із змінами, внесеними згідно із Законом </w:t>
      </w:r>
      <w:hyperlink r:id="rId1449" w:anchor="n16"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18208F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5" w:name="n1691"/>
      <w:bookmarkEnd w:id="2695"/>
      <w:r w:rsidRPr="008B264B">
        <w:rPr>
          <w:rFonts w:ascii="Times New Roman" w:eastAsia="Times New Roman" w:hAnsi="Times New Roman" w:cs="Times New Roman"/>
          <w:color w:val="000000"/>
          <w:sz w:val="24"/>
          <w:szCs w:val="24"/>
          <w:lang/>
        </w:rPr>
        <w:lastRenderedPageBreak/>
        <w:t>72.1.1.2. що міститься у наданих великими платниками податків в електронній формі копіях документів з обліку доходів, витрат та інших показників, пов'язаних із визначенням об'єктів оподаткування (податкових зобов'язань), первинних документах, які ведуться в електронній формі, регістрах бухгалтерського обліку, фінансовій звітності, інших документах, пов'язаних з обчисленням та сплатою податків і зборів;</w:t>
      </w:r>
    </w:p>
    <w:p w14:paraId="342BE0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6" w:name="n1692"/>
      <w:bookmarkEnd w:id="2696"/>
      <w:r w:rsidRPr="008B264B">
        <w:rPr>
          <w:rFonts w:ascii="Times New Roman" w:eastAsia="Times New Roman" w:hAnsi="Times New Roman" w:cs="Times New Roman"/>
          <w:i/>
          <w:iCs/>
          <w:color w:val="000000"/>
          <w:sz w:val="24"/>
          <w:szCs w:val="24"/>
          <w:lang/>
        </w:rPr>
        <w:t>{Підпункт 72.1.1.2 підпункту 72.1.1 пункту 72.1 статті 72 із змінами, внесеними згідно із Законом </w:t>
      </w:r>
      <w:hyperlink r:id="rId145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262CB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7" w:name="n1693"/>
      <w:bookmarkEnd w:id="2697"/>
      <w:r w:rsidRPr="008B264B">
        <w:rPr>
          <w:rFonts w:ascii="Times New Roman" w:eastAsia="Times New Roman" w:hAnsi="Times New Roman" w:cs="Times New Roman"/>
          <w:color w:val="000000"/>
          <w:sz w:val="24"/>
          <w:szCs w:val="24"/>
          <w:lang/>
        </w:rPr>
        <w:t>72.1.1.3. про фінансово - господарські операції платників податків;</w:t>
      </w:r>
    </w:p>
    <w:p w14:paraId="732526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8" w:name="n1694"/>
      <w:bookmarkEnd w:id="2698"/>
      <w:r w:rsidRPr="008B264B">
        <w:rPr>
          <w:rFonts w:ascii="Times New Roman" w:eastAsia="Times New Roman" w:hAnsi="Times New Roman" w:cs="Times New Roman"/>
          <w:color w:val="000000"/>
          <w:sz w:val="24"/>
          <w:szCs w:val="24"/>
          <w:lang/>
        </w:rPr>
        <w:t>72.1.1.4. про застосування реєстраторів розрахункових операцій;</w:t>
      </w:r>
    </w:p>
    <w:p w14:paraId="734D1B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699" w:name="n1695"/>
      <w:bookmarkEnd w:id="2699"/>
      <w:r w:rsidRPr="008B264B">
        <w:rPr>
          <w:rFonts w:ascii="Times New Roman" w:eastAsia="Times New Roman" w:hAnsi="Times New Roman" w:cs="Times New Roman"/>
          <w:color w:val="000000"/>
          <w:sz w:val="24"/>
          <w:szCs w:val="24"/>
          <w:lang/>
        </w:rPr>
        <w:t>72.1.2. від органів виконавчої влади, органів місцевого самоврядування та Національного банку України, зокрема інформація:</w:t>
      </w:r>
    </w:p>
    <w:p w14:paraId="7021DF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0" w:name="n1696"/>
      <w:bookmarkEnd w:id="2700"/>
      <w:r w:rsidRPr="008B264B">
        <w:rPr>
          <w:rFonts w:ascii="Times New Roman" w:eastAsia="Times New Roman" w:hAnsi="Times New Roman" w:cs="Times New Roman"/>
          <w:color w:val="000000"/>
          <w:sz w:val="24"/>
          <w:szCs w:val="24"/>
          <w:lang/>
        </w:rPr>
        <w:t>72.1.2.1. про об'єкти оподаткування, що надаються та/або реєструються такими органами. Зазначена інформація повинна містити, зокрема, вид, характеристики, індивідуальні ознаки об'єкта оподаткування (в разі наявності), за якими його можна ідентифікувати;</w:t>
      </w:r>
    </w:p>
    <w:p w14:paraId="5E8A95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1" w:name="n1697"/>
      <w:bookmarkEnd w:id="2701"/>
      <w:r w:rsidRPr="008B264B">
        <w:rPr>
          <w:rFonts w:ascii="Times New Roman" w:eastAsia="Times New Roman" w:hAnsi="Times New Roman" w:cs="Times New Roman"/>
          <w:color w:val="000000"/>
          <w:sz w:val="24"/>
          <w:szCs w:val="24"/>
          <w:lang/>
        </w:rPr>
        <w:t>72.1.2.2. про результати здійснення державного контролю за господарською діяльністю платника податків;</w:t>
      </w:r>
    </w:p>
    <w:p w14:paraId="059E7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2" w:name="n1698"/>
      <w:bookmarkEnd w:id="2702"/>
      <w:r w:rsidRPr="008B264B">
        <w:rPr>
          <w:rFonts w:ascii="Times New Roman" w:eastAsia="Times New Roman" w:hAnsi="Times New Roman" w:cs="Times New Roman"/>
          <w:color w:val="000000"/>
          <w:sz w:val="24"/>
          <w:szCs w:val="24"/>
          <w:lang/>
        </w:rPr>
        <w:t>72.1.2.3. що міститься у звітних документах (крім персоніфікованої статистичної інформації), які подаються платником податків органам виконавчої влади та/або органам місцевого самоврядування;</w:t>
      </w:r>
    </w:p>
    <w:p w14:paraId="2B66EA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3" w:name="n1699"/>
      <w:bookmarkEnd w:id="2703"/>
      <w:r w:rsidRPr="008B264B">
        <w:rPr>
          <w:rFonts w:ascii="Times New Roman" w:eastAsia="Times New Roman" w:hAnsi="Times New Roman" w:cs="Times New Roman"/>
          <w:i/>
          <w:iCs/>
          <w:color w:val="000000"/>
          <w:sz w:val="24"/>
          <w:szCs w:val="24"/>
          <w:lang/>
        </w:rPr>
        <w:t>{Підпункт 72.1.2.3 підпункту 72.1.2 пункту 72.1 статті 72 із змінами, внесеними згідно із Законом </w:t>
      </w:r>
      <w:hyperlink r:id="rId1451" w:anchor="n8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62C36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4" w:name="n1700"/>
      <w:bookmarkEnd w:id="2704"/>
      <w:r w:rsidRPr="008B264B">
        <w:rPr>
          <w:rFonts w:ascii="Times New Roman" w:eastAsia="Times New Roman" w:hAnsi="Times New Roman" w:cs="Times New Roman"/>
          <w:color w:val="000000"/>
          <w:sz w:val="24"/>
          <w:szCs w:val="24"/>
          <w:lang/>
        </w:rPr>
        <w:t>72.1.2.4. про встановлені органами місцевого самоврядування ставки місцевих податків, зборів та надані такими органами податкові пільги;</w:t>
      </w:r>
    </w:p>
    <w:p w14:paraId="09283C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5" w:name="n1701"/>
      <w:bookmarkEnd w:id="2705"/>
      <w:r w:rsidRPr="008B264B">
        <w:rPr>
          <w:rFonts w:ascii="Times New Roman" w:eastAsia="Times New Roman" w:hAnsi="Times New Roman" w:cs="Times New Roman"/>
          <w:color w:val="000000"/>
          <w:sz w:val="24"/>
          <w:szCs w:val="24"/>
          <w:lang/>
        </w:rPr>
        <w:t>72.1.2.5. про дозволи, ліцензії, патенти, свідоцтва на право провадження окремих видів діяльності, яка повинна містити, зокрема:</w:t>
      </w:r>
    </w:p>
    <w:p w14:paraId="67B1BB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6" w:name="n1702"/>
      <w:bookmarkEnd w:id="2706"/>
      <w:r w:rsidRPr="008B264B">
        <w:rPr>
          <w:rFonts w:ascii="Times New Roman" w:eastAsia="Times New Roman" w:hAnsi="Times New Roman" w:cs="Times New Roman"/>
          <w:color w:val="000000"/>
          <w:sz w:val="24"/>
          <w:szCs w:val="24"/>
          <w:lang/>
        </w:rPr>
        <w:t>найменування платника податків, якому видані такі дозволи, ліцензії, патенти;</w:t>
      </w:r>
    </w:p>
    <w:p w14:paraId="287F53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7" w:name="n1703"/>
      <w:bookmarkEnd w:id="2707"/>
      <w:r w:rsidRPr="008B264B">
        <w:rPr>
          <w:rFonts w:ascii="Times New Roman" w:eastAsia="Times New Roman" w:hAnsi="Times New Roman" w:cs="Times New Roman"/>
          <w:color w:val="000000"/>
          <w:sz w:val="24"/>
          <w:szCs w:val="24"/>
          <w:lang/>
        </w:rPr>
        <w:t>податковий номер або реєстраційний номер облікової картки фізичної особи;</w:t>
      </w:r>
    </w:p>
    <w:p w14:paraId="37ACE1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8" w:name="n1704"/>
      <w:bookmarkEnd w:id="2708"/>
      <w:r w:rsidRPr="008B264B">
        <w:rPr>
          <w:rFonts w:ascii="Times New Roman" w:eastAsia="Times New Roman" w:hAnsi="Times New Roman" w:cs="Times New Roman"/>
          <w:color w:val="000000"/>
          <w:sz w:val="24"/>
          <w:szCs w:val="24"/>
          <w:lang/>
        </w:rPr>
        <w:t>вид дозвільного документа;</w:t>
      </w:r>
    </w:p>
    <w:p w14:paraId="7E4990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09" w:name="n1705"/>
      <w:bookmarkEnd w:id="2709"/>
      <w:r w:rsidRPr="008B264B">
        <w:rPr>
          <w:rFonts w:ascii="Times New Roman" w:eastAsia="Times New Roman" w:hAnsi="Times New Roman" w:cs="Times New Roman"/>
          <w:color w:val="000000"/>
          <w:sz w:val="24"/>
          <w:szCs w:val="24"/>
          <w:lang/>
        </w:rPr>
        <w:t>вид діяльності, на провадження якої видано дозвільний документ;</w:t>
      </w:r>
    </w:p>
    <w:p w14:paraId="672E6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0" w:name="n1706"/>
      <w:bookmarkEnd w:id="2710"/>
      <w:r w:rsidRPr="008B264B">
        <w:rPr>
          <w:rFonts w:ascii="Times New Roman" w:eastAsia="Times New Roman" w:hAnsi="Times New Roman" w:cs="Times New Roman"/>
          <w:color w:val="000000"/>
          <w:sz w:val="24"/>
          <w:szCs w:val="24"/>
          <w:lang/>
        </w:rPr>
        <w:t>дату видачі дозвільного документа;</w:t>
      </w:r>
    </w:p>
    <w:p w14:paraId="7AB930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1" w:name="n1707"/>
      <w:bookmarkEnd w:id="2711"/>
      <w:r w:rsidRPr="008B264B">
        <w:rPr>
          <w:rFonts w:ascii="Times New Roman" w:eastAsia="Times New Roman" w:hAnsi="Times New Roman" w:cs="Times New Roman"/>
          <w:color w:val="000000"/>
          <w:sz w:val="24"/>
          <w:szCs w:val="24"/>
          <w:lang/>
        </w:rPr>
        <w:t>строк дії дозвільного документа, інформацію про припинення (зупинення) дії дозвільного документа із зазначенням підстав такого припинення (зупинення);</w:t>
      </w:r>
    </w:p>
    <w:p w14:paraId="2D81DE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2" w:name="n1708"/>
      <w:bookmarkEnd w:id="2712"/>
      <w:r w:rsidRPr="008B264B">
        <w:rPr>
          <w:rFonts w:ascii="Times New Roman" w:eastAsia="Times New Roman" w:hAnsi="Times New Roman" w:cs="Times New Roman"/>
          <w:color w:val="000000"/>
          <w:sz w:val="24"/>
          <w:szCs w:val="24"/>
          <w:lang/>
        </w:rPr>
        <w:t>сплату належних платежів за видачу дозвільного документа;</w:t>
      </w:r>
    </w:p>
    <w:p w14:paraId="6A4904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3" w:name="n1709"/>
      <w:bookmarkEnd w:id="2713"/>
      <w:r w:rsidRPr="008B264B">
        <w:rPr>
          <w:rFonts w:ascii="Times New Roman" w:eastAsia="Times New Roman" w:hAnsi="Times New Roman" w:cs="Times New Roman"/>
          <w:color w:val="000000"/>
          <w:sz w:val="24"/>
          <w:szCs w:val="24"/>
          <w:lang/>
        </w:rPr>
        <w:t>перелік місць провадження діяльності, на яку видано дозвільний документ;</w:t>
      </w:r>
    </w:p>
    <w:p w14:paraId="0E2CE8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4" w:name="n1710"/>
      <w:bookmarkEnd w:id="2714"/>
      <w:r w:rsidRPr="008B264B">
        <w:rPr>
          <w:rFonts w:ascii="Times New Roman" w:eastAsia="Times New Roman" w:hAnsi="Times New Roman" w:cs="Times New Roman"/>
          <w:color w:val="000000"/>
          <w:sz w:val="24"/>
          <w:szCs w:val="24"/>
          <w:lang/>
        </w:rPr>
        <w:t>72.1.2.6. про експортні та імпортні операції платників податків;</w:t>
      </w:r>
    </w:p>
    <w:p w14:paraId="6BDB5E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5" w:name="n1711"/>
      <w:bookmarkEnd w:id="2715"/>
      <w:r w:rsidRPr="008B264B">
        <w:rPr>
          <w:rFonts w:ascii="Times New Roman" w:eastAsia="Times New Roman" w:hAnsi="Times New Roman" w:cs="Times New Roman"/>
          <w:color w:val="000000"/>
          <w:sz w:val="24"/>
          <w:szCs w:val="24"/>
          <w:lang/>
        </w:rPr>
        <w:t>72.1.3. від банків, інших фінансових установ - інформація про наявність та рух коштів на рахунках платника податків, звіти про підзвітні рахунки, подані від фінансових агентів;</w:t>
      </w:r>
    </w:p>
    <w:p w14:paraId="59B9B4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6" w:name="n15875"/>
      <w:bookmarkEnd w:id="2716"/>
      <w:r w:rsidRPr="008B264B">
        <w:rPr>
          <w:rFonts w:ascii="Times New Roman" w:eastAsia="Times New Roman" w:hAnsi="Times New Roman" w:cs="Times New Roman"/>
          <w:i/>
          <w:iCs/>
          <w:color w:val="000000"/>
          <w:sz w:val="24"/>
          <w:szCs w:val="24"/>
          <w:lang/>
        </w:rPr>
        <w:t>{Підпункт 72.1.3 пункту 72.1 статті 72 в редакції Закону </w:t>
      </w:r>
      <w:hyperlink r:id="rId1452" w:anchor="n46"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44533F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7" w:name="n1712"/>
      <w:bookmarkEnd w:id="2717"/>
      <w:r w:rsidRPr="008B264B">
        <w:rPr>
          <w:rFonts w:ascii="Times New Roman" w:eastAsia="Times New Roman" w:hAnsi="Times New Roman" w:cs="Times New Roman"/>
          <w:color w:val="000000"/>
          <w:sz w:val="24"/>
          <w:szCs w:val="24"/>
          <w:lang/>
        </w:rPr>
        <w:t>72.1.4. від органів влади інших держав, міжнародних організацій або нерезидентів;</w:t>
      </w:r>
    </w:p>
    <w:p w14:paraId="48C1C2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8" w:name="n1713"/>
      <w:bookmarkEnd w:id="2718"/>
      <w:r w:rsidRPr="008B264B">
        <w:rPr>
          <w:rFonts w:ascii="Times New Roman" w:eastAsia="Times New Roman" w:hAnsi="Times New Roman" w:cs="Times New Roman"/>
          <w:color w:val="000000"/>
          <w:sz w:val="24"/>
          <w:szCs w:val="24"/>
          <w:lang/>
        </w:rPr>
        <w:t>72.1.5. за наслідками податкового контролю;</w:t>
      </w:r>
    </w:p>
    <w:p w14:paraId="4C60DD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19" w:name="n8802"/>
      <w:bookmarkEnd w:id="2719"/>
      <w:r w:rsidRPr="008B264B">
        <w:rPr>
          <w:rFonts w:ascii="Times New Roman" w:eastAsia="Times New Roman" w:hAnsi="Times New Roman" w:cs="Times New Roman"/>
          <w:i/>
          <w:iCs/>
          <w:color w:val="000000"/>
          <w:sz w:val="24"/>
          <w:szCs w:val="24"/>
          <w:lang/>
        </w:rPr>
        <w:lastRenderedPageBreak/>
        <w:t>{Підпункт 72.1.5 пункту 72.1 статті 72 в редакції Законів </w:t>
      </w:r>
      <w:hyperlink r:id="rId1453" w:anchor="n164"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454" w:anchor="n5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1BE0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0" w:name="n1714"/>
      <w:bookmarkEnd w:id="2720"/>
      <w:r w:rsidRPr="008B264B">
        <w:rPr>
          <w:rFonts w:ascii="Times New Roman" w:eastAsia="Times New Roman" w:hAnsi="Times New Roman" w:cs="Times New Roman"/>
          <w:color w:val="000000"/>
          <w:sz w:val="24"/>
          <w:szCs w:val="24"/>
          <w:lang/>
        </w:rPr>
        <w:t>72.1.6. для інформаційно-аналітичного забезпечення діяльності також використовується інша інформація, оприлюднена як така, що підлягає оприлюдненню відповідно до законодавства та/або добровільно чи за запитом надана контролюючому органу в установленому законом порядку.</w:t>
      </w:r>
    </w:p>
    <w:p w14:paraId="3780DE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1" w:name="n1715"/>
      <w:bookmarkEnd w:id="2721"/>
      <w:r w:rsidRPr="008B264B">
        <w:rPr>
          <w:rFonts w:ascii="Times New Roman" w:eastAsia="Times New Roman" w:hAnsi="Times New Roman" w:cs="Times New Roman"/>
          <w:b/>
          <w:bCs/>
          <w:color w:val="000000"/>
          <w:sz w:val="24"/>
          <w:szCs w:val="24"/>
          <w:lang/>
        </w:rPr>
        <w:t>Стаття 73.</w:t>
      </w:r>
      <w:r w:rsidRPr="008B264B">
        <w:rPr>
          <w:rFonts w:ascii="Times New Roman" w:eastAsia="Times New Roman" w:hAnsi="Times New Roman" w:cs="Times New Roman"/>
          <w:color w:val="000000"/>
          <w:sz w:val="24"/>
          <w:szCs w:val="24"/>
          <w:lang/>
        </w:rPr>
        <w:t> Отримання податкової інформації контролюючими органами</w:t>
      </w:r>
    </w:p>
    <w:p w14:paraId="65ED56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2" w:name="n1716"/>
      <w:bookmarkEnd w:id="2722"/>
      <w:r w:rsidRPr="008B264B">
        <w:rPr>
          <w:rFonts w:ascii="Times New Roman" w:eastAsia="Times New Roman" w:hAnsi="Times New Roman" w:cs="Times New Roman"/>
          <w:color w:val="000000"/>
          <w:sz w:val="24"/>
          <w:szCs w:val="24"/>
          <w:lang/>
        </w:rPr>
        <w:t>73.1. Інформація, визначена у </w:t>
      </w:r>
      <w:hyperlink r:id="rId1455" w:anchor="n1687" w:history="1">
        <w:r w:rsidRPr="008B264B">
          <w:rPr>
            <w:rFonts w:ascii="Times New Roman" w:eastAsia="Times New Roman" w:hAnsi="Times New Roman" w:cs="Times New Roman"/>
            <w:color w:val="0000FF"/>
            <w:sz w:val="24"/>
            <w:szCs w:val="24"/>
            <w:u w:val="single"/>
            <w:lang/>
          </w:rPr>
          <w:t>статті 72</w:t>
        </w:r>
      </w:hyperlink>
      <w:r w:rsidRPr="008B264B">
        <w:rPr>
          <w:rFonts w:ascii="Times New Roman" w:eastAsia="Times New Roman" w:hAnsi="Times New Roman" w:cs="Times New Roman"/>
          <w:color w:val="000000"/>
          <w:sz w:val="24"/>
          <w:szCs w:val="24"/>
          <w:lang/>
        </w:rPr>
        <w:t> цього Кодексу, безоплатно надається контролюючим органам періодично або на окремий письмовий запит контролюючого органу у терміни, визначені пунктом 73.2 цього Кодексу.</w:t>
      </w:r>
    </w:p>
    <w:p w14:paraId="5D2D3F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3" w:name="n1717"/>
      <w:bookmarkEnd w:id="2723"/>
      <w:r w:rsidRPr="008B264B">
        <w:rPr>
          <w:rFonts w:ascii="Times New Roman" w:eastAsia="Times New Roman" w:hAnsi="Times New Roman" w:cs="Times New Roman"/>
          <w:color w:val="000000"/>
          <w:sz w:val="24"/>
          <w:szCs w:val="24"/>
          <w:lang/>
        </w:rPr>
        <w:t>73.2. До інформації, що надається періодично, належить інформація, визначена у </w:t>
      </w:r>
      <w:hyperlink r:id="rId1456" w:anchor="n1690" w:history="1">
        <w:r w:rsidRPr="008B264B">
          <w:rPr>
            <w:rFonts w:ascii="Times New Roman" w:eastAsia="Times New Roman" w:hAnsi="Times New Roman" w:cs="Times New Roman"/>
            <w:color w:val="0000FF"/>
            <w:sz w:val="24"/>
            <w:szCs w:val="24"/>
            <w:u w:val="single"/>
            <w:lang/>
          </w:rPr>
          <w:t>підпунктах </w:t>
        </w:r>
      </w:hyperlink>
      <w:hyperlink r:id="rId1457" w:anchor="n1690" w:history="1">
        <w:r w:rsidRPr="008B264B">
          <w:rPr>
            <w:rFonts w:ascii="Times New Roman" w:eastAsia="Times New Roman" w:hAnsi="Times New Roman" w:cs="Times New Roman"/>
            <w:color w:val="0000FF"/>
            <w:sz w:val="24"/>
            <w:szCs w:val="24"/>
            <w:u w:val="single"/>
            <w:lang/>
          </w:rPr>
          <w:t>72.1.1.1</w:t>
        </w:r>
      </w:hyperlink>
      <w:r w:rsidRPr="008B264B">
        <w:rPr>
          <w:rFonts w:ascii="Times New Roman" w:eastAsia="Times New Roman" w:hAnsi="Times New Roman" w:cs="Times New Roman"/>
          <w:color w:val="000000"/>
          <w:sz w:val="24"/>
          <w:szCs w:val="24"/>
          <w:lang/>
        </w:rPr>
        <w:t>, </w:t>
      </w:r>
      <w:hyperlink r:id="rId1458" w:anchor="n1691" w:history="1">
        <w:r w:rsidRPr="008B264B">
          <w:rPr>
            <w:rFonts w:ascii="Times New Roman" w:eastAsia="Times New Roman" w:hAnsi="Times New Roman" w:cs="Times New Roman"/>
            <w:color w:val="0000FF"/>
            <w:sz w:val="24"/>
            <w:szCs w:val="24"/>
            <w:u w:val="single"/>
            <w:lang/>
          </w:rPr>
          <w:t>72.1.1.2</w:t>
        </w:r>
      </w:hyperlink>
      <w:r w:rsidRPr="008B264B">
        <w:rPr>
          <w:rFonts w:ascii="Times New Roman" w:eastAsia="Times New Roman" w:hAnsi="Times New Roman" w:cs="Times New Roman"/>
          <w:color w:val="000000"/>
          <w:sz w:val="24"/>
          <w:szCs w:val="24"/>
          <w:lang/>
        </w:rPr>
        <w:t>, </w:t>
      </w:r>
      <w:hyperlink r:id="rId1459" w:anchor="n1693" w:history="1">
        <w:r w:rsidRPr="008B264B">
          <w:rPr>
            <w:rFonts w:ascii="Times New Roman" w:eastAsia="Times New Roman" w:hAnsi="Times New Roman" w:cs="Times New Roman"/>
            <w:color w:val="0000FF"/>
            <w:sz w:val="24"/>
            <w:szCs w:val="24"/>
            <w:u w:val="single"/>
            <w:lang/>
          </w:rPr>
          <w:t>72.1.1.3</w:t>
        </w:r>
      </w:hyperlink>
      <w:r w:rsidRPr="008B264B">
        <w:rPr>
          <w:rFonts w:ascii="Times New Roman" w:eastAsia="Times New Roman" w:hAnsi="Times New Roman" w:cs="Times New Roman"/>
          <w:color w:val="000000"/>
          <w:sz w:val="24"/>
          <w:szCs w:val="24"/>
          <w:lang/>
        </w:rPr>
        <w:t> (в частині обов'язку платника податків надавати розшифровку податкового кредиту та податкових зобов'язань у розрізі контрагентів, передбачених </w:t>
      </w:r>
      <w:hyperlink r:id="rId1460"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цього Кодексу), </w:t>
      </w:r>
      <w:hyperlink r:id="rId1461" w:anchor="n1694" w:history="1">
        <w:r w:rsidRPr="008B264B">
          <w:rPr>
            <w:rFonts w:ascii="Times New Roman" w:eastAsia="Times New Roman" w:hAnsi="Times New Roman" w:cs="Times New Roman"/>
            <w:color w:val="0000FF"/>
            <w:sz w:val="24"/>
            <w:szCs w:val="24"/>
            <w:u w:val="single"/>
            <w:lang/>
          </w:rPr>
          <w:t>72.1.1.4</w:t>
        </w:r>
      </w:hyperlink>
      <w:r w:rsidRPr="008B264B">
        <w:rPr>
          <w:rFonts w:ascii="Times New Roman" w:eastAsia="Times New Roman" w:hAnsi="Times New Roman" w:cs="Times New Roman"/>
          <w:color w:val="000000"/>
          <w:sz w:val="24"/>
          <w:szCs w:val="24"/>
          <w:lang/>
        </w:rPr>
        <w:t>, </w:t>
      </w:r>
      <w:hyperlink r:id="rId1462" w:anchor="n1696" w:history="1">
        <w:r w:rsidRPr="008B264B">
          <w:rPr>
            <w:rFonts w:ascii="Times New Roman" w:eastAsia="Times New Roman" w:hAnsi="Times New Roman" w:cs="Times New Roman"/>
            <w:color w:val="0000FF"/>
            <w:sz w:val="24"/>
            <w:szCs w:val="24"/>
            <w:u w:val="single"/>
            <w:lang/>
          </w:rPr>
          <w:t>72.1.2.1</w:t>
        </w:r>
      </w:hyperlink>
      <w:r w:rsidRPr="008B264B">
        <w:rPr>
          <w:rFonts w:ascii="Times New Roman" w:eastAsia="Times New Roman" w:hAnsi="Times New Roman" w:cs="Times New Roman"/>
          <w:color w:val="000000"/>
          <w:sz w:val="24"/>
          <w:szCs w:val="24"/>
          <w:lang/>
        </w:rPr>
        <w:t>, </w:t>
      </w:r>
      <w:hyperlink r:id="rId1463" w:anchor="n1698" w:history="1">
        <w:r w:rsidRPr="008B264B">
          <w:rPr>
            <w:rFonts w:ascii="Times New Roman" w:eastAsia="Times New Roman" w:hAnsi="Times New Roman" w:cs="Times New Roman"/>
            <w:color w:val="0000FF"/>
            <w:sz w:val="24"/>
            <w:szCs w:val="24"/>
            <w:u w:val="single"/>
            <w:lang/>
          </w:rPr>
          <w:t>72.1.2.3</w:t>
        </w:r>
      </w:hyperlink>
      <w:r w:rsidRPr="008B264B">
        <w:rPr>
          <w:rFonts w:ascii="Times New Roman" w:eastAsia="Times New Roman" w:hAnsi="Times New Roman" w:cs="Times New Roman"/>
          <w:color w:val="000000"/>
          <w:sz w:val="24"/>
          <w:szCs w:val="24"/>
          <w:lang/>
        </w:rPr>
        <w:t>, </w:t>
      </w:r>
      <w:hyperlink r:id="rId1464" w:anchor="n1700" w:history="1">
        <w:r w:rsidRPr="008B264B">
          <w:rPr>
            <w:rFonts w:ascii="Times New Roman" w:eastAsia="Times New Roman" w:hAnsi="Times New Roman" w:cs="Times New Roman"/>
            <w:color w:val="0000FF"/>
            <w:sz w:val="24"/>
            <w:szCs w:val="24"/>
            <w:u w:val="single"/>
            <w:lang/>
          </w:rPr>
          <w:t>72.1.2.4</w:t>
        </w:r>
      </w:hyperlink>
      <w:r w:rsidRPr="008B264B">
        <w:rPr>
          <w:rFonts w:ascii="Times New Roman" w:eastAsia="Times New Roman" w:hAnsi="Times New Roman" w:cs="Times New Roman"/>
          <w:color w:val="000000"/>
          <w:sz w:val="24"/>
          <w:szCs w:val="24"/>
          <w:lang/>
        </w:rPr>
        <w:t>, </w:t>
      </w:r>
      <w:hyperlink r:id="rId1465" w:anchor="n1701" w:history="1">
        <w:r w:rsidRPr="008B264B">
          <w:rPr>
            <w:rFonts w:ascii="Times New Roman" w:eastAsia="Times New Roman" w:hAnsi="Times New Roman" w:cs="Times New Roman"/>
            <w:color w:val="0000FF"/>
            <w:sz w:val="24"/>
            <w:szCs w:val="24"/>
            <w:u w:val="single"/>
            <w:lang/>
          </w:rPr>
          <w:t>72.1.2.5</w:t>
        </w:r>
      </w:hyperlink>
      <w:r w:rsidRPr="008B264B">
        <w:rPr>
          <w:rFonts w:ascii="Times New Roman" w:eastAsia="Times New Roman" w:hAnsi="Times New Roman" w:cs="Times New Roman"/>
          <w:color w:val="000000"/>
          <w:sz w:val="24"/>
          <w:szCs w:val="24"/>
          <w:lang/>
        </w:rPr>
        <w:t>, </w:t>
      </w:r>
      <w:hyperlink r:id="rId1466" w:anchor="n1710" w:history="1">
        <w:r w:rsidRPr="008B264B">
          <w:rPr>
            <w:rFonts w:ascii="Times New Roman" w:eastAsia="Times New Roman" w:hAnsi="Times New Roman" w:cs="Times New Roman"/>
            <w:color w:val="0000FF"/>
            <w:sz w:val="24"/>
            <w:szCs w:val="24"/>
            <w:u w:val="single"/>
            <w:lang/>
          </w:rPr>
          <w:t>72.1.2.6</w:t>
        </w:r>
      </w:hyperlink>
      <w:r w:rsidRPr="008B264B">
        <w:rPr>
          <w:rFonts w:ascii="Times New Roman" w:eastAsia="Times New Roman" w:hAnsi="Times New Roman" w:cs="Times New Roman"/>
          <w:color w:val="000000"/>
          <w:sz w:val="24"/>
          <w:szCs w:val="24"/>
          <w:lang/>
        </w:rPr>
        <w:t> підпункту 72.1.2, підпункті 72.1.5 статті 72 цього Кодексу.</w:t>
      </w:r>
    </w:p>
    <w:p w14:paraId="2BE73D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4" w:name="n1718"/>
      <w:bookmarkEnd w:id="2724"/>
      <w:r w:rsidRPr="008B264B">
        <w:rPr>
          <w:rFonts w:ascii="Times New Roman" w:eastAsia="Times New Roman" w:hAnsi="Times New Roman" w:cs="Times New Roman"/>
          <w:color w:val="000000"/>
          <w:sz w:val="24"/>
          <w:szCs w:val="24"/>
          <w:lang/>
        </w:rPr>
        <w:t>У разі коли іншими розділами цього Кодексу не визначено інші строки надання такої інформації:</w:t>
      </w:r>
    </w:p>
    <w:p w14:paraId="6135B9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5" w:name="n1719"/>
      <w:bookmarkEnd w:id="2725"/>
      <w:r w:rsidRPr="008B264B">
        <w:rPr>
          <w:rFonts w:ascii="Times New Roman" w:eastAsia="Times New Roman" w:hAnsi="Times New Roman" w:cs="Times New Roman"/>
          <w:color w:val="000000"/>
          <w:sz w:val="24"/>
          <w:szCs w:val="24"/>
          <w:lang/>
        </w:rPr>
        <w:t>73.2.1. інформація, зазначена у </w:t>
      </w:r>
      <w:hyperlink r:id="rId1467" w:anchor="n1696" w:history="1">
        <w:r w:rsidRPr="008B264B">
          <w:rPr>
            <w:rFonts w:ascii="Times New Roman" w:eastAsia="Times New Roman" w:hAnsi="Times New Roman" w:cs="Times New Roman"/>
            <w:color w:val="0000FF"/>
            <w:sz w:val="24"/>
            <w:szCs w:val="24"/>
            <w:u w:val="single"/>
            <w:lang/>
          </w:rPr>
          <w:t>підпунктах 72.1.2.1</w:t>
        </w:r>
      </w:hyperlink>
      <w:r w:rsidRPr="008B264B">
        <w:rPr>
          <w:rFonts w:ascii="Times New Roman" w:eastAsia="Times New Roman" w:hAnsi="Times New Roman" w:cs="Times New Roman"/>
          <w:color w:val="000000"/>
          <w:sz w:val="24"/>
          <w:szCs w:val="24"/>
          <w:lang/>
        </w:rPr>
        <w:t> та </w:t>
      </w:r>
      <w:hyperlink r:id="rId1468" w:anchor="n1701" w:history="1">
        <w:r w:rsidRPr="008B264B">
          <w:rPr>
            <w:rFonts w:ascii="Times New Roman" w:eastAsia="Times New Roman" w:hAnsi="Times New Roman" w:cs="Times New Roman"/>
            <w:color w:val="0000FF"/>
            <w:sz w:val="24"/>
            <w:szCs w:val="24"/>
            <w:u w:val="single"/>
            <w:lang/>
          </w:rPr>
          <w:t>72.1.2.5</w:t>
        </w:r>
      </w:hyperlink>
      <w:r w:rsidRPr="008B264B">
        <w:rPr>
          <w:rFonts w:ascii="Times New Roman" w:eastAsia="Times New Roman" w:hAnsi="Times New Roman" w:cs="Times New Roman"/>
          <w:color w:val="000000"/>
          <w:sz w:val="24"/>
          <w:szCs w:val="24"/>
          <w:lang/>
        </w:rPr>
        <w:t> підпункту 72.1.2 пункту 72.1 статті 72 цього Кодексу, надається органами виконавчої влади та органами місцевого самоврядування щомісяця протягом 10 календарних днів місяця, що настає за звітним;</w:t>
      </w:r>
    </w:p>
    <w:p w14:paraId="65236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6" w:name="n1720"/>
      <w:bookmarkEnd w:id="2726"/>
      <w:r w:rsidRPr="008B264B">
        <w:rPr>
          <w:rFonts w:ascii="Times New Roman" w:eastAsia="Times New Roman" w:hAnsi="Times New Roman" w:cs="Times New Roman"/>
          <w:color w:val="000000"/>
          <w:sz w:val="24"/>
          <w:szCs w:val="24"/>
          <w:lang/>
        </w:rPr>
        <w:t>73.2.2. інформація, зазначена у </w:t>
      </w:r>
      <w:hyperlink r:id="rId1469" w:anchor="n1698" w:history="1">
        <w:r w:rsidRPr="008B264B">
          <w:rPr>
            <w:rFonts w:ascii="Times New Roman" w:eastAsia="Times New Roman" w:hAnsi="Times New Roman" w:cs="Times New Roman"/>
            <w:color w:val="0000FF"/>
            <w:sz w:val="24"/>
            <w:szCs w:val="24"/>
            <w:u w:val="single"/>
            <w:lang/>
          </w:rPr>
          <w:t>підпункті 72.1.2.3</w:t>
        </w:r>
      </w:hyperlink>
      <w:r w:rsidRPr="008B264B">
        <w:rPr>
          <w:rFonts w:ascii="Times New Roman" w:eastAsia="Times New Roman" w:hAnsi="Times New Roman" w:cs="Times New Roman"/>
          <w:color w:val="000000"/>
          <w:sz w:val="24"/>
          <w:szCs w:val="24"/>
          <w:lang/>
        </w:rPr>
        <w:t> підпункту 72.1.2 пункту 72.1 статті 72 цього Кодексу, надається органами виконавчої влади та органами місцевого самоврядування протягом 10 календарних днів з дня подання такої звітності відповідному органу виконавчої влади або органу місцевого самоврядування. Органами державної статистики інформація надається відповідно до плану державних статистичних спостережень;</w:t>
      </w:r>
    </w:p>
    <w:p w14:paraId="1968DC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7" w:name="n1721"/>
      <w:bookmarkEnd w:id="2727"/>
      <w:r w:rsidRPr="008B264B">
        <w:rPr>
          <w:rFonts w:ascii="Times New Roman" w:eastAsia="Times New Roman" w:hAnsi="Times New Roman" w:cs="Times New Roman"/>
          <w:color w:val="000000"/>
          <w:sz w:val="24"/>
          <w:szCs w:val="24"/>
          <w:lang/>
        </w:rPr>
        <w:t>73.2.3. інформація, зазначена у </w:t>
      </w:r>
      <w:hyperlink r:id="rId1470" w:anchor="n1700" w:history="1">
        <w:r w:rsidRPr="008B264B">
          <w:rPr>
            <w:rFonts w:ascii="Times New Roman" w:eastAsia="Times New Roman" w:hAnsi="Times New Roman" w:cs="Times New Roman"/>
            <w:color w:val="0000FF"/>
            <w:sz w:val="24"/>
            <w:szCs w:val="24"/>
            <w:u w:val="single"/>
            <w:lang/>
          </w:rPr>
          <w:t>підпункті 72.1.2.4</w:t>
        </w:r>
      </w:hyperlink>
      <w:r w:rsidRPr="008B264B">
        <w:rPr>
          <w:rFonts w:ascii="Times New Roman" w:eastAsia="Times New Roman" w:hAnsi="Times New Roman" w:cs="Times New Roman"/>
          <w:color w:val="000000"/>
          <w:sz w:val="24"/>
          <w:szCs w:val="24"/>
          <w:lang/>
        </w:rPr>
        <w:t> підпункту 72.1.2 пункту 72.1 статті 72 цього Кодексу, надається органами місцевого самоврядування не пізніше 10 календарних днів з дати набрання чинності відповідним рішенням;</w:t>
      </w:r>
    </w:p>
    <w:p w14:paraId="66EAD8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28" w:name="n1722"/>
      <w:bookmarkEnd w:id="2728"/>
      <w:r w:rsidRPr="008B264B">
        <w:rPr>
          <w:rFonts w:ascii="Times New Roman" w:eastAsia="Times New Roman" w:hAnsi="Times New Roman" w:cs="Times New Roman"/>
          <w:i/>
          <w:iCs/>
          <w:color w:val="000000"/>
          <w:sz w:val="24"/>
          <w:szCs w:val="24"/>
          <w:lang/>
        </w:rPr>
        <w:t>{Підпункт 73.2.4 пункту 73.2 статті 73 виключено на підставі Закону </w:t>
      </w:r>
      <w:hyperlink r:id="rId1471" w:anchor="n16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bookmarkStart w:id="2729" w:name="n9416"/>
    <w:bookmarkEnd w:id="2729"/>
    <w:p w14:paraId="5A6F13B5"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"https://zakon.rada.gov.ua/laws/show/1245-2010-%D0%BF"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подання інформації контролюючим органам визначається Кабінетом Міністрів України.</w:t>
      </w:r>
    </w:p>
    <w:p w14:paraId="7253EE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0" w:name="n1725"/>
      <w:bookmarkEnd w:id="2730"/>
      <w:r w:rsidRPr="008B264B">
        <w:rPr>
          <w:rFonts w:ascii="Times New Roman" w:eastAsia="Times New Roman" w:hAnsi="Times New Roman" w:cs="Times New Roman"/>
          <w:color w:val="000000"/>
          <w:sz w:val="24"/>
          <w:szCs w:val="24"/>
          <w:lang/>
        </w:rPr>
        <w:t>73.3. Контролюючі органи мають право звернутися до платників податків та інших суб'єктів інформаційних відносин із письмовим запитом про подання інформації (вичерпний перелік та підстави надання якої встановлено законом), необхідної для виконання покладених на контролюючі органи функцій, завдань, та її документального підтвердження.</w:t>
      </w:r>
    </w:p>
    <w:p w14:paraId="18EA01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1" w:name="n1726"/>
      <w:bookmarkEnd w:id="2731"/>
      <w:r w:rsidRPr="008B264B">
        <w:rPr>
          <w:rFonts w:ascii="Times New Roman" w:eastAsia="Times New Roman" w:hAnsi="Times New Roman" w:cs="Times New Roman"/>
          <w:color w:val="000000"/>
          <w:sz w:val="24"/>
          <w:szCs w:val="24"/>
          <w:lang/>
        </w:rPr>
        <w:t>Такий запит підписується керівником (його заступником або уповноваженою особою) контролюючого органу і повинен містити:</w:t>
      </w:r>
    </w:p>
    <w:p w14:paraId="643DCE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2" w:name="n10560"/>
      <w:bookmarkEnd w:id="2732"/>
      <w:r w:rsidRPr="008B264B">
        <w:rPr>
          <w:rFonts w:ascii="Times New Roman" w:eastAsia="Times New Roman" w:hAnsi="Times New Roman" w:cs="Times New Roman"/>
          <w:i/>
          <w:iCs/>
          <w:color w:val="000000"/>
          <w:sz w:val="24"/>
          <w:szCs w:val="24"/>
          <w:lang/>
        </w:rPr>
        <w:t>{Абзац другий пункту 73.3 статті 73 в редакції Закону </w:t>
      </w:r>
      <w:hyperlink r:id="rId1472" w:anchor="n2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473" w:anchor="n5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21F93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3" w:name="n10562"/>
      <w:bookmarkEnd w:id="2733"/>
      <w:r w:rsidRPr="008B264B">
        <w:rPr>
          <w:rFonts w:ascii="Times New Roman" w:eastAsia="Times New Roman" w:hAnsi="Times New Roman" w:cs="Times New Roman"/>
          <w:color w:val="000000"/>
          <w:sz w:val="24"/>
          <w:szCs w:val="24"/>
          <w:lang/>
        </w:rPr>
        <w:t>1) підстави для надіслання запиту відповідно до цього пункту, із зазначенням інформації, яка це підтверджує;</w:t>
      </w:r>
    </w:p>
    <w:p w14:paraId="006C31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4" w:name="n10566"/>
      <w:bookmarkEnd w:id="2734"/>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74" w:anchor="n2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1A8A5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5" w:name="n10563"/>
      <w:bookmarkEnd w:id="2735"/>
      <w:r w:rsidRPr="008B264B">
        <w:rPr>
          <w:rFonts w:ascii="Times New Roman" w:eastAsia="Times New Roman" w:hAnsi="Times New Roman" w:cs="Times New Roman"/>
          <w:color w:val="000000"/>
          <w:sz w:val="24"/>
          <w:szCs w:val="24"/>
          <w:lang/>
        </w:rPr>
        <w:t>2) перелік інформації, яка запитується, та перелік документів, які пропонується надати;</w:t>
      </w:r>
    </w:p>
    <w:p w14:paraId="4DEDAA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6" w:name="n10565"/>
      <w:bookmarkEnd w:id="2736"/>
      <w:r w:rsidRPr="008B264B">
        <w:rPr>
          <w:rFonts w:ascii="Times New Roman" w:eastAsia="Times New Roman" w:hAnsi="Times New Roman" w:cs="Times New Roman"/>
          <w:i/>
          <w:iCs/>
          <w:color w:val="000000"/>
          <w:sz w:val="24"/>
          <w:szCs w:val="24"/>
          <w:lang/>
        </w:rPr>
        <w:lastRenderedPageBreak/>
        <w:t>{Абзац пункту 73.3 статті 73 в редакції Закону </w:t>
      </w:r>
      <w:hyperlink r:id="rId1475" w:anchor="n2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BB6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7" w:name="n10564"/>
      <w:bookmarkEnd w:id="2737"/>
      <w:r w:rsidRPr="008B264B">
        <w:rPr>
          <w:rFonts w:ascii="Times New Roman" w:eastAsia="Times New Roman" w:hAnsi="Times New Roman" w:cs="Times New Roman"/>
          <w:color w:val="000000"/>
          <w:sz w:val="24"/>
          <w:szCs w:val="24"/>
          <w:lang/>
        </w:rPr>
        <w:t>3) печатку контролюючого органу.</w:t>
      </w:r>
    </w:p>
    <w:p w14:paraId="7E5815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8" w:name="n10561"/>
      <w:bookmarkEnd w:id="2738"/>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76" w:anchor="n2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43960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39" w:name="n1727"/>
      <w:bookmarkEnd w:id="2739"/>
      <w:r w:rsidRPr="008B264B">
        <w:rPr>
          <w:rFonts w:ascii="Times New Roman" w:eastAsia="Times New Roman" w:hAnsi="Times New Roman" w:cs="Times New Roman"/>
          <w:color w:val="000000"/>
          <w:sz w:val="24"/>
          <w:szCs w:val="24"/>
          <w:lang/>
        </w:rPr>
        <w:t>Письмовий запит про подання інформації надсилається платнику податків або іншим суб'єктам інформаційних відносин за наявності хоча б однієї з таких підстав:</w:t>
      </w:r>
    </w:p>
    <w:p w14:paraId="78282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0" w:name="n1728"/>
      <w:bookmarkEnd w:id="2740"/>
      <w:r w:rsidRPr="008B264B">
        <w:rPr>
          <w:rFonts w:ascii="Times New Roman" w:eastAsia="Times New Roman" w:hAnsi="Times New Roman" w:cs="Times New Roman"/>
          <w:color w:val="000000"/>
          <w:sz w:val="24"/>
          <w:szCs w:val="24"/>
          <w:lang/>
        </w:rPr>
        <w:t>1) за результатами аналізу податкової інформації, отриманої в установленому законом порядку, виявлено факти, які свідчать про порушення платником податків податкового, валютного законодавства, законодавства у сфері запобігання та протидії легалізації (відмиванню) доходів, одержаних злочинним шляхом, або фінансуванню тероризму та іншого законодавства, контроль за дотриманням якого покладено на контролюючі органи;</w:t>
      </w:r>
    </w:p>
    <w:p w14:paraId="374E56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1" w:name="n1729"/>
      <w:bookmarkEnd w:id="2741"/>
      <w:r w:rsidRPr="008B264B">
        <w:rPr>
          <w:rFonts w:ascii="Times New Roman" w:eastAsia="Times New Roman" w:hAnsi="Times New Roman" w:cs="Times New Roman"/>
          <w:color w:val="000000"/>
          <w:sz w:val="24"/>
          <w:szCs w:val="24"/>
          <w:lang/>
        </w:rPr>
        <w:t>2) для визначення відповідності умов контрольованої операції принципу "витягнутої руки" під час здійснення податкового контролю за трансфертним ціноутворенням відповідно до </w:t>
      </w:r>
      <w:hyperlink r:id="rId1477"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та/або для визначення рівня звичайних цін у випадках, визначених цим Кодексом;</w:t>
      </w:r>
    </w:p>
    <w:p w14:paraId="534D13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2" w:name="n9229"/>
      <w:bookmarkEnd w:id="2742"/>
      <w:r w:rsidRPr="008B264B">
        <w:rPr>
          <w:rFonts w:ascii="Times New Roman" w:eastAsia="Times New Roman" w:hAnsi="Times New Roman" w:cs="Times New Roman"/>
          <w:i/>
          <w:iCs/>
          <w:color w:val="000000"/>
          <w:sz w:val="24"/>
          <w:szCs w:val="24"/>
          <w:lang/>
        </w:rPr>
        <w:t>{Абзац пункту 73.3 статті 73 із змінами, внесеними згідно із Законом </w:t>
      </w:r>
      <w:hyperlink r:id="rId1478" w:anchor="n345"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Закону </w:t>
      </w:r>
      <w:hyperlink r:id="rId1479" w:anchor="n5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EDFD8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3" w:name="n1730"/>
      <w:bookmarkEnd w:id="2743"/>
      <w:r w:rsidRPr="008B264B">
        <w:rPr>
          <w:rFonts w:ascii="Times New Roman" w:eastAsia="Times New Roman" w:hAnsi="Times New Roman" w:cs="Times New Roman"/>
          <w:color w:val="000000"/>
          <w:sz w:val="24"/>
          <w:szCs w:val="24"/>
          <w:lang/>
        </w:rPr>
        <w:t>3) виявлено недостовірність даних, що містяться у податкових деклараціях, поданих платником податків;</w:t>
      </w:r>
    </w:p>
    <w:p w14:paraId="7C7207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4" w:name="n1731"/>
      <w:bookmarkEnd w:id="2744"/>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8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DA14F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5" w:name="n1732"/>
      <w:bookmarkEnd w:id="2745"/>
      <w:r w:rsidRPr="008B264B">
        <w:rPr>
          <w:rFonts w:ascii="Times New Roman" w:eastAsia="Times New Roman" w:hAnsi="Times New Roman" w:cs="Times New Roman"/>
          <w:color w:val="000000"/>
          <w:sz w:val="24"/>
          <w:szCs w:val="24"/>
          <w:lang/>
        </w:rPr>
        <w:t>4) щодо платника податків подано скаргу про ненадання таким платником податків:</w:t>
      </w:r>
    </w:p>
    <w:p w14:paraId="70679B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6" w:name="n1733"/>
      <w:bookmarkEnd w:id="2746"/>
      <w:r w:rsidRPr="008B264B">
        <w:rPr>
          <w:rFonts w:ascii="Times New Roman" w:eastAsia="Times New Roman" w:hAnsi="Times New Roman" w:cs="Times New Roman"/>
          <w:i/>
          <w:iCs/>
          <w:color w:val="000000"/>
          <w:sz w:val="24"/>
          <w:szCs w:val="24"/>
          <w:lang/>
        </w:rPr>
        <w:t>{Абзац пункту 73.3 статті 73 в редакції Законів </w:t>
      </w:r>
      <w:hyperlink r:id="rId148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482" w:anchor="n5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1C5B7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7" w:name="n12668"/>
      <w:bookmarkEnd w:id="2747"/>
      <w:r w:rsidRPr="008B264B">
        <w:rPr>
          <w:rFonts w:ascii="Times New Roman" w:eastAsia="Times New Roman" w:hAnsi="Times New Roman" w:cs="Times New Roman"/>
          <w:color w:val="000000"/>
          <w:sz w:val="24"/>
          <w:szCs w:val="24"/>
          <w:lang/>
        </w:rPr>
        <w:t>податкової накладної покупцю або про допущення продавцем товарів/послуг помилок при зазначенні обов’язкових реквізитів податкової накладної, передбачених пунктом 201.1 статті 201 цього Кодексу, та/або порушення продавцем/покупцем граничних термінів реєстрації в Єдиному реєстрі податкових накладних податкової накладної та/або розрахунку коригування;</w:t>
      </w:r>
    </w:p>
    <w:p w14:paraId="291C70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8" w:name="n12670"/>
      <w:bookmarkEnd w:id="2748"/>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83" w:anchor="n5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314CC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49" w:name="n12669"/>
      <w:bookmarkEnd w:id="2749"/>
      <w:r w:rsidRPr="008B264B">
        <w:rPr>
          <w:rFonts w:ascii="Times New Roman" w:eastAsia="Times New Roman" w:hAnsi="Times New Roman" w:cs="Times New Roman"/>
          <w:color w:val="000000"/>
          <w:sz w:val="24"/>
          <w:szCs w:val="24"/>
          <w:lang/>
        </w:rPr>
        <w:t>акцизної накладної покупцю або про порушення порядку заповнення та/або порядку реєстрації акцизної накладної;</w:t>
      </w:r>
    </w:p>
    <w:p w14:paraId="0FFBB0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0" w:name="n12667"/>
      <w:bookmarkEnd w:id="2750"/>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84" w:anchor="n5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5A49C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1" w:name="n1734"/>
      <w:bookmarkEnd w:id="2751"/>
      <w:r w:rsidRPr="008B264B">
        <w:rPr>
          <w:rFonts w:ascii="Times New Roman" w:eastAsia="Times New Roman" w:hAnsi="Times New Roman" w:cs="Times New Roman"/>
          <w:color w:val="000000"/>
          <w:sz w:val="24"/>
          <w:szCs w:val="24"/>
          <w:lang/>
        </w:rPr>
        <w:t>5) у разі проведення зустрічної звірки;</w:t>
      </w:r>
    </w:p>
    <w:p w14:paraId="5716B4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2" w:name="n1735"/>
      <w:bookmarkEnd w:id="2752"/>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8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D0DC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3" w:name="n15877"/>
      <w:bookmarkEnd w:id="2753"/>
      <w:r w:rsidRPr="008B264B">
        <w:rPr>
          <w:rFonts w:ascii="Times New Roman" w:eastAsia="Times New Roman" w:hAnsi="Times New Roman" w:cs="Times New Roman"/>
          <w:color w:val="000000"/>
          <w:sz w:val="24"/>
          <w:szCs w:val="24"/>
          <w:lang/>
        </w:rPr>
        <w:t>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виявлено недостовірність даних, що містяться у звіті про підзвітні рахунки, поданому фінансовим агентом;</w:t>
      </w:r>
    </w:p>
    <w:p w14:paraId="354D55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4" w:name="n15879"/>
      <w:bookmarkEnd w:id="2754"/>
      <w:r w:rsidRPr="008B264B">
        <w:rPr>
          <w:rFonts w:ascii="Times New Roman" w:eastAsia="Times New Roman" w:hAnsi="Times New Roman" w:cs="Times New Roman"/>
          <w:i/>
          <w:iCs/>
          <w:color w:val="000000"/>
          <w:sz w:val="24"/>
          <w:szCs w:val="24"/>
          <w:lang/>
        </w:rPr>
        <w:t>{Пункт 73.3 статті 73 доповнено новим абзацом згідно із Законом </w:t>
      </w:r>
      <w:hyperlink r:id="rId1486" w:anchor="n50"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72CA2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5" w:name="n15878"/>
      <w:bookmarkEnd w:id="2755"/>
      <w:r w:rsidRPr="008B264B">
        <w:rPr>
          <w:rFonts w:ascii="Times New Roman" w:eastAsia="Times New Roman" w:hAnsi="Times New Roman" w:cs="Times New Roman"/>
          <w:color w:val="000000"/>
          <w:sz w:val="24"/>
          <w:szCs w:val="24"/>
          <w:lang/>
        </w:rPr>
        <w:t>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отримано повідомлення від компетентного органу іноземної держави, з якою Україною укладено міжнародний договір, що містить положення про обмін інформацією для податкових цілей, згода на обов’язковість якого надана Верховною Радою України, або укладених на їх підставі міжвідомчих договорів, про виявлення таким органом помилок, неповних або недостовірних даних, наданих фінансовим агентом щодо підзвітного рахунка особи, яка є резидентом відповідної іноземної держави, або про невиконання фінансовим агентом зобов’язань, передбачених таким міжнародним договором;</w:t>
      </w:r>
    </w:p>
    <w:p w14:paraId="4F9E3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6" w:name="n15876"/>
      <w:bookmarkEnd w:id="2756"/>
      <w:r w:rsidRPr="008B264B">
        <w:rPr>
          <w:rFonts w:ascii="Times New Roman" w:eastAsia="Times New Roman" w:hAnsi="Times New Roman" w:cs="Times New Roman"/>
          <w:i/>
          <w:iCs/>
          <w:color w:val="000000"/>
          <w:sz w:val="24"/>
          <w:szCs w:val="24"/>
          <w:lang/>
        </w:rPr>
        <w:t>{Пункт 73.3 статті 73 доповнено новим абзацом згідно із Законом </w:t>
      </w:r>
      <w:hyperlink r:id="rId1487" w:anchor="n50"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03325E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7" w:name="n1736"/>
      <w:bookmarkEnd w:id="2757"/>
      <w:r w:rsidRPr="008B264B">
        <w:rPr>
          <w:rFonts w:ascii="Times New Roman" w:eastAsia="Times New Roman" w:hAnsi="Times New Roman" w:cs="Times New Roman"/>
          <w:color w:val="000000"/>
          <w:sz w:val="24"/>
          <w:szCs w:val="24"/>
          <w:lang/>
        </w:rPr>
        <w:lastRenderedPageBreak/>
        <w:t>6) в інших випадках, визначених цим Кодексом.</w:t>
      </w:r>
    </w:p>
    <w:p w14:paraId="3E5D53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8" w:name="n1737"/>
      <w:bookmarkEnd w:id="2758"/>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8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D671E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59" w:name="n1738"/>
      <w:bookmarkEnd w:id="2759"/>
      <w:r w:rsidRPr="008B264B">
        <w:rPr>
          <w:rFonts w:ascii="Times New Roman" w:eastAsia="Times New Roman" w:hAnsi="Times New Roman" w:cs="Times New Roman"/>
          <w:color w:val="000000"/>
          <w:sz w:val="24"/>
          <w:szCs w:val="24"/>
          <w:lang/>
        </w:rPr>
        <w:t>Запит вважається належним чином врученим, якщо його надіслано у порядку, визначеному </w:t>
      </w:r>
      <w:hyperlink r:id="rId1489"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17F9B9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0" w:name="n13882"/>
      <w:bookmarkEnd w:id="2760"/>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90" w:anchor="n5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3F4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1" w:name="n1739"/>
      <w:bookmarkEnd w:id="2761"/>
      <w:r w:rsidRPr="008B264B">
        <w:rPr>
          <w:rFonts w:ascii="Times New Roman" w:eastAsia="Times New Roman" w:hAnsi="Times New Roman" w:cs="Times New Roman"/>
          <w:color w:val="000000"/>
          <w:sz w:val="24"/>
          <w:szCs w:val="24"/>
          <w:lang/>
        </w:rPr>
        <w:t>Платники податків та інші суб’єкти інформаційних відносин зобов’язані подавати інформацію, визначену в запиті контролюючого органу, та її документальне підтвердження (крім проведення зустрічної звірки) протягом 15 робочих днів з дня, наступного за днем отримання запиту (якщо інше не передбачено цим Кодексом).</w:t>
      </w:r>
    </w:p>
    <w:p w14:paraId="312670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2" w:name="n13883"/>
      <w:bookmarkEnd w:id="2762"/>
      <w:r w:rsidRPr="008B264B">
        <w:rPr>
          <w:rFonts w:ascii="Times New Roman" w:eastAsia="Times New Roman" w:hAnsi="Times New Roman" w:cs="Times New Roman"/>
          <w:i/>
          <w:iCs/>
          <w:color w:val="000000"/>
          <w:sz w:val="24"/>
          <w:szCs w:val="24"/>
          <w:lang/>
        </w:rPr>
        <w:t>{Абзац пункту 73.3 статті 73 в редакції Закону </w:t>
      </w:r>
      <w:hyperlink r:id="rId1491" w:anchor="n5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AC2F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3" w:name="n13885"/>
      <w:bookmarkEnd w:id="2763"/>
      <w:r w:rsidRPr="008B264B">
        <w:rPr>
          <w:rFonts w:ascii="Times New Roman" w:eastAsia="Times New Roman" w:hAnsi="Times New Roman" w:cs="Times New Roman"/>
          <w:color w:val="000000"/>
          <w:sz w:val="24"/>
          <w:szCs w:val="24"/>
          <w:lang/>
        </w:rPr>
        <w:t>У разі проведення зустрічної звірки платники податків та інші суб’єкти інформаційних відносин зобов’язані подавати інформацію, визначену в запиті контролюючого органу, протягом 10 робочих днів з дня, наступного за днем отримання запиту. Документальне підтвердження цієї інформації на вимогу контролюючого органу може бути надано в електронному або паперовому вигляді на вибір платника податків.</w:t>
      </w:r>
    </w:p>
    <w:p w14:paraId="15B9E3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4" w:name="n13887"/>
      <w:bookmarkEnd w:id="2764"/>
      <w:r w:rsidRPr="008B264B">
        <w:rPr>
          <w:rFonts w:ascii="Times New Roman" w:eastAsia="Times New Roman" w:hAnsi="Times New Roman" w:cs="Times New Roman"/>
          <w:i/>
          <w:iCs/>
          <w:color w:val="000000"/>
          <w:sz w:val="24"/>
          <w:szCs w:val="24"/>
          <w:lang/>
        </w:rPr>
        <w:t>{Пункт 73.3 статті 73 доповнено новим абзацом згідно із Законом </w:t>
      </w:r>
      <w:hyperlink r:id="rId1492" w:anchor="n5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4ECC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5" w:name="n13886"/>
      <w:bookmarkEnd w:id="2765"/>
      <w:r w:rsidRPr="008B264B">
        <w:rPr>
          <w:rFonts w:ascii="Times New Roman" w:eastAsia="Times New Roman" w:hAnsi="Times New Roman" w:cs="Times New Roman"/>
          <w:color w:val="000000"/>
          <w:sz w:val="24"/>
          <w:szCs w:val="24"/>
          <w:lang/>
        </w:rPr>
        <w:t>У разі якщо запит складено з порушенням вимог, визначених абзацами першим - п’ятим цього пункту, платник податків звільняється від обов’язку надавати відповідь на такий запит.</w:t>
      </w:r>
    </w:p>
    <w:p w14:paraId="450795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6" w:name="n13884"/>
      <w:bookmarkEnd w:id="2766"/>
      <w:r w:rsidRPr="008B264B">
        <w:rPr>
          <w:rFonts w:ascii="Times New Roman" w:eastAsia="Times New Roman" w:hAnsi="Times New Roman" w:cs="Times New Roman"/>
          <w:i/>
          <w:iCs/>
          <w:color w:val="000000"/>
          <w:sz w:val="24"/>
          <w:szCs w:val="24"/>
          <w:lang/>
        </w:rPr>
        <w:t>{Пункт 73.3 статті 73 доповнено новим абзацом згідно із Законом </w:t>
      </w:r>
      <w:hyperlink r:id="rId1493" w:anchor="n5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0025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7" w:name="n1740"/>
      <w:bookmarkEnd w:id="2767"/>
      <w:r w:rsidRPr="008B264B">
        <w:rPr>
          <w:rFonts w:ascii="Times New Roman" w:eastAsia="Times New Roman" w:hAnsi="Times New Roman" w:cs="Times New Roman"/>
          <w:color w:val="000000"/>
          <w:sz w:val="24"/>
          <w:szCs w:val="24"/>
          <w:lang/>
        </w:rPr>
        <w:t>Інформація на запит контролюючого органу надається Національним банком України, іншими банками безоплатно у порядку і обсягах, встановлених </w:t>
      </w:r>
      <w:hyperlink r:id="rId1494" w:tgtFrame="_blank" w:history="1">
        <w:r w:rsidRPr="008B264B">
          <w:rPr>
            <w:rFonts w:ascii="Times New Roman" w:eastAsia="Times New Roman" w:hAnsi="Times New Roman" w:cs="Times New Roman"/>
            <w:color w:val="0000FF"/>
            <w:sz w:val="24"/>
            <w:szCs w:val="24"/>
            <w:u w:val="single"/>
            <w:lang/>
          </w:rPr>
          <w:t>Законом України "Про банки і банківську діяльність"</w:t>
        </w:r>
      </w:hyperlink>
      <w:r w:rsidRPr="008B264B">
        <w:rPr>
          <w:rFonts w:ascii="Times New Roman" w:eastAsia="Times New Roman" w:hAnsi="Times New Roman" w:cs="Times New Roman"/>
          <w:color w:val="000000"/>
          <w:sz w:val="24"/>
          <w:szCs w:val="24"/>
          <w:lang/>
        </w:rPr>
        <w:t>.</w:t>
      </w:r>
    </w:p>
    <w:bookmarkStart w:id="2768" w:name="n1741"/>
    <w:bookmarkEnd w:id="2768"/>
    <w:p w14:paraId="53B5EC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"https://zakon.rada.gov.ua/laws/show/1245-2010-%D0%BF"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отримання інформації контролюючими органами за їх письмовим запитом визначається Кабінетом Міністрів України.</w:t>
      </w:r>
    </w:p>
    <w:p w14:paraId="0541C6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69" w:name="n15881"/>
      <w:bookmarkEnd w:id="2769"/>
      <w:r w:rsidRPr="008B264B">
        <w:rPr>
          <w:rFonts w:ascii="Times New Roman" w:eastAsia="Times New Roman" w:hAnsi="Times New Roman" w:cs="Times New Roman"/>
          <w:color w:val="000000"/>
          <w:sz w:val="24"/>
          <w:szCs w:val="24"/>
          <w:lang/>
        </w:rPr>
        <w:t>Інформація на запит центрального органу виконавчої влади, що реалізує державну податкову політику, надається фінансовими агентами безоплатно у порядку та обсягах, визначених міжнародними договорами, що містять положення про обмін інформацією для податкових цілей, згода на обов’язковість яких надана Верховною Радою України, або укладеними на їх підставі міжвідомчими договорами. Порядок розкриття такої інформації банками встановлюється Національним банком України, іншими фінансовими агентами - відповідним регулятором ринків фінансових послуг у межах повноважень, визначених </w:t>
      </w:r>
      <w:hyperlink r:id="rId1495"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фінансові послуги та державне регулювання ринків фінансових послуг", за погодженням з центральним органом виконавчої влади, що забезпечує формування та реалізує державну фінансову політику, та з центральним органом виконавчої влади, що реалізує державну податкову політику.</w:t>
      </w:r>
    </w:p>
    <w:p w14:paraId="47757D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0" w:name="n15880"/>
      <w:bookmarkEnd w:id="2770"/>
      <w:r w:rsidRPr="008B264B">
        <w:rPr>
          <w:rFonts w:ascii="Times New Roman" w:eastAsia="Times New Roman" w:hAnsi="Times New Roman" w:cs="Times New Roman"/>
          <w:i/>
          <w:iCs/>
          <w:color w:val="000000"/>
          <w:sz w:val="24"/>
          <w:szCs w:val="24"/>
          <w:lang/>
        </w:rPr>
        <w:t>{Пункт 73.3 статті 73 доповнено абзацом двадцять третім згідно із Законом </w:t>
      </w:r>
      <w:hyperlink r:id="rId1496" w:anchor="n54"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015959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1" w:name="n1742"/>
      <w:bookmarkEnd w:id="2771"/>
      <w:r w:rsidRPr="008B264B">
        <w:rPr>
          <w:rFonts w:ascii="Times New Roman" w:eastAsia="Times New Roman" w:hAnsi="Times New Roman" w:cs="Times New Roman"/>
          <w:color w:val="000000"/>
          <w:sz w:val="24"/>
          <w:szCs w:val="24"/>
          <w:lang/>
        </w:rPr>
        <w:t>73.4. Інформація про наявність та рух коштів на рахунках платника податків надається в обсягах більших, ніж передбачені пунктом 73.3 цієї статті, банками та іншими фінансовими установами контролюючим органам за рішенням суду. Для отримання такої інформації контролюючий орган звертається до суду.</w:t>
      </w:r>
    </w:p>
    <w:p w14:paraId="5BD99E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2" w:name="n15883"/>
      <w:bookmarkEnd w:id="2772"/>
      <w:r w:rsidRPr="008B264B">
        <w:rPr>
          <w:rFonts w:ascii="Times New Roman" w:eastAsia="Times New Roman" w:hAnsi="Times New Roman" w:cs="Times New Roman"/>
          <w:color w:val="000000"/>
          <w:sz w:val="24"/>
          <w:szCs w:val="24"/>
          <w:lang/>
        </w:rPr>
        <w:t>Правила, встановлені цим пунктом, не застосовуються до запитів про надання банками та іншими фінансовими установами, які визнаються фінансовими агентами, інформації про підзвітні рахунки в обсягах, визначених </w:t>
      </w:r>
      <w:hyperlink r:id="rId1497" w:tgtFrame="_blank" w:history="1">
        <w:r w:rsidRPr="008B264B">
          <w:rPr>
            <w:rFonts w:ascii="Times New Roman" w:eastAsia="Times New Roman" w:hAnsi="Times New Roman" w:cs="Times New Roman"/>
            <w:color w:val="0000FF"/>
            <w:sz w:val="24"/>
            <w:szCs w:val="24"/>
            <w:u w:val="single"/>
            <w:lang/>
          </w:rPr>
          <w:t xml:space="preserve">Угодою між Урядом України та Урядом Сполучених Штатів Америки для поліпшення виконання податкових правил й застосування положень Закону </w:t>
        </w:r>
        <w:r w:rsidRPr="008B264B">
          <w:rPr>
            <w:rFonts w:ascii="Times New Roman" w:eastAsia="Times New Roman" w:hAnsi="Times New Roman" w:cs="Times New Roman"/>
            <w:color w:val="0000FF"/>
            <w:sz w:val="24"/>
            <w:szCs w:val="24"/>
            <w:u w:val="single"/>
            <w:lang/>
          </w:rPr>
          <w:lastRenderedPageBreak/>
          <w:t>США "Про податкові вимоги до іноземних рахунків" (FATCA)</w:t>
        </w:r>
      </w:hyperlink>
      <w:r w:rsidRPr="008B264B">
        <w:rPr>
          <w:rFonts w:ascii="Times New Roman" w:eastAsia="Times New Roman" w:hAnsi="Times New Roman" w:cs="Times New Roman"/>
          <w:color w:val="000000"/>
          <w:sz w:val="24"/>
          <w:szCs w:val="24"/>
          <w:lang/>
        </w:rPr>
        <w:t> та іншими міжнародними договорами, що містять положення про обмін інформацією для податкових цілей, згода на обов’язковість яких надана Верховною Радою України, або укладеними на їх підставі міжвідомчими договорами.</w:t>
      </w:r>
    </w:p>
    <w:p w14:paraId="469C8A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3" w:name="n15882"/>
      <w:bookmarkEnd w:id="2773"/>
      <w:r w:rsidRPr="008B264B">
        <w:rPr>
          <w:rFonts w:ascii="Times New Roman" w:eastAsia="Times New Roman" w:hAnsi="Times New Roman" w:cs="Times New Roman"/>
          <w:i/>
          <w:iCs/>
          <w:color w:val="000000"/>
          <w:sz w:val="24"/>
          <w:szCs w:val="24"/>
          <w:lang/>
        </w:rPr>
        <w:t>{Пункт 73.4 статті 73 доповнено абзацом другим згідно із Законом </w:t>
      </w:r>
      <w:hyperlink r:id="rId1498" w:anchor="n56"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7E6B27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4" w:name="n1743"/>
      <w:bookmarkEnd w:id="2774"/>
      <w:r w:rsidRPr="008B264B">
        <w:rPr>
          <w:rFonts w:ascii="Times New Roman" w:eastAsia="Times New Roman" w:hAnsi="Times New Roman" w:cs="Times New Roman"/>
          <w:color w:val="000000"/>
          <w:sz w:val="24"/>
          <w:szCs w:val="24"/>
          <w:lang/>
        </w:rPr>
        <w:t>73.5. З метою отримання податкової інформації, необхідної у зв’язку з проведенням перевірок, контролюючі органи мають право здійснювати зустрічні звірки даних суб’єктів господарювання щодо платника податків.</w:t>
      </w:r>
    </w:p>
    <w:p w14:paraId="6FE825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5" w:name="n1744"/>
      <w:bookmarkEnd w:id="2775"/>
      <w:r w:rsidRPr="008B264B">
        <w:rPr>
          <w:rFonts w:ascii="Times New Roman" w:eastAsia="Times New Roman" w:hAnsi="Times New Roman" w:cs="Times New Roman"/>
          <w:color w:val="000000"/>
          <w:sz w:val="24"/>
          <w:szCs w:val="24"/>
          <w:lang/>
        </w:rPr>
        <w:t>Під час зустрічної звірки:</w:t>
      </w:r>
    </w:p>
    <w:p w14:paraId="37E963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6" w:name="n14822"/>
      <w:bookmarkEnd w:id="2776"/>
      <w:r w:rsidRPr="008B264B">
        <w:rPr>
          <w:rFonts w:ascii="Times New Roman" w:eastAsia="Times New Roman" w:hAnsi="Times New Roman" w:cs="Times New Roman"/>
          <w:color w:val="000000"/>
          <w:sz w:val="24"/>
          <w:szCs w:val="24"/>
          <w:lang/>
        </w:rPr>
        <w:t>здійснюється зіставлення даних, отриманих від платників податків та інших суб’єктів інформаційних відносин, з метою документального підтвердження господарських відносин з платником податків та зборів, а також підтвердження відносин, виду, обсягу і якості операцій та розрахунків, що здійснювалися між ними, для з’ясування повноти їх відображення в обліку платника податків;</w:t>
      </w:r>
    </w:p>
    <w:p w14:paraId="0F8DF9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7" w:name="n14823"/>
      <w:bookmarkEnd w:id="2777"/>
      <w:r w:rsidRPr="008B264B">
        <w:rPr>
          <w:rFonts w:ascii="Times New Roman" w:eastAsia="Times New Roman" w:hAnsi="Times New Roman" w:cs="Times New Roman"/>
          <w:color w:val="000000"/>
          <w:sz w:val="24"/>
          <w:szCs w:val="24"/>
          <w:lang/>
        </w:rPr>
        <w:t>забезпечується отримання податкової інформації, необхідної для визначення відповідності умов контрольованої операції принципу "витягнутої руки" у випадках, передбачених </w:t>
      </w:r>
      <w:hyperlink r:id="rId1499" w:anchor="n11110" w:history="1">
        <w:r w:rsidRPr="008B264B">
          <w:rPr>
            <w:rFonts w:ascii="Times New Roman" w:eastAsia="Times New Roman" w:hAnsi="Times New Roman" w:cs="Times New Roman"/>
            <w:color w:val="0000FF"/>
            <w:sz w:val="24"/>
            <w:szCs w:val="24"/>
            <w:u w:val="single"/>
            <w:lang/>
          </w:rPr>
          <w:t>підпунктом 39.5.2.13</w:t>
        </w:r>
      </w:hyperlink>
      <w:r w:rsidRPr="008B264B">
        <w:rPr>
          <w:rFonts w:ascii="Times New Roman" w:eastAsia="Times New Roman" w:hAnsi="Times New Roman" w:cs="Times New Roman"/>
          <w:color w:val="000000"/>
          <w:sz w:val="24"/>
          <w:szCs w:val="24"/>
          <w:lang/>
        </w:rPr>
        <w:t> підпункту 39.5.2 пункту 39.5 статті 39 цього Кодексу.</w:t>
      </w:r>
    </w:p>
    <w:p w14:paraId="549D39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78" w:name="n1745"/>
      <w:bookmarkEnd w:id="2778"/>
      <w:r w:rsidRPr="008B264B">
        <w:rPr>
          <w:rFonts w:ascii="Times New Roman" w:eastAsia="Times New Roman" w:hAnsi="Times New Roman" w:cs="Times New Roman"/>
          <w:color w:val="000000"/>
          <w:sz w:val="24"/>
          <w:szCs w:val="24"/>
          <w:lang/>
        </w:rPr>
        <w:t>Під час проведення зустрічної звірки з’ясовуються лише питання, зазначені у письмовому запиті контролюючого органу на проведення зустрічної звірки.</w:t>
      </w:r>
    </w:p>
    <w:bookmarkStart w:id="2779" w:name="n1746"/>
    <w:bookmarkEnd w:id="2779"/>
    <w:p w14:paraId="2EA15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"https://zakon.rada.gov.ua/laws/show/z0370-17" \l "n14"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запиту контролюючого органу на проведення зустрічної звірки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центральним органом виконавчої влади, що забезпечує формування та реалізує державну фінансову політику.</w:t>
      </w:r>
    </w:p>
    <w:p w14:paraId="7D9851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0" w:name="n13889"/>
      <w:bookmarkEnd w:id="2780"/>
      <w:r w:rsidRPr="008B264B">
        <w:rPr>
          <w:rFonts w:ascii="Times New Roman" w:eastAsia="Times New Roman" w:hAnsi="Times New Roman" w:cs="Times New Roman"/>
          <w:color w:val="000000"/>
          <w:sz w:val="24"/>
          <w:szCs w:val="24"/>
          <w:lang/>
        </w:rPr>
        <w:t>Зустрічні звірки не є перевірками і проводяться в порядку, визначеному Кабінетом Міністрів України.</w:t>
      </w:r>
    </w:p>
    <w:p w14:paraId="577F44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1" w:name="n13890"/>
      <w:bookmarkEnd w:id="2781"/>
      <w:r w:rsidRPr="008B264B">
        <w:rPr>
          <w:rFonts w:ascii="Times New Roman" w:eastAsia="Times New Roman" w:hAnsi="Times New Roman" w:cs="Times New Roman"/>
          <w:color w:val="000000"/>
          <w:sz w:val="24"/>
          <w:szCs w:val="24"/>
          <w:lang/>
        </w:rPr>
        <w:t>За результатами зустрічних звірок складається довідка, що надається суб’єкту господарювання у десятиденний строк.</w:t>
      </w:r>
    </w:p>
    <w:p w14:paraId="486689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2" w:name="n13891"/>
      <w:bookmarkEnd w:id="2782"/>
      <w:r w:rsidRPr="008B264B">
        <w:rPr>
          <w:rFonts w:ascii="Times New Roman" w:eastAsia="Times New Roman" w:hAnsi="Times New Roman" w:cs="Times New Roman"/>
          <w:color w:val="000000"/>
          <w:sz w:val="24"/>
          <w:szCs w:val="24"/>
          <w:lang/>
        </w:rPr>
        <w:t>Повторне проведення зустрічних звірок контролюючими органами з одного і того самого питання заборонено.</w:t>
      </w:r>
    </w:p>
    <w:p w14:paraId="20C22E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3" w:name="n13888"/>
      <w:bookmarkEnd w:id="2783"/>
      <w:r w:rsidRPr="008B264B">
        <w:rPr>
          <w:rFonts w:ascii="Times New Roman" w:eastAsia="Times New Roman" w:hAnsi="Times New Roman" w:cs="Times New Roman"/>
          <w:i/>
          <w:iCs/>
          <w:color w:val="000000"/>
          <w:sz w:val="24"/>
          <w:szCs w:val="24"/>
          <w:lang/>
        </w:rPr>
        <w:t>{Пункт 73.5 статті 73 із змінами, внесеними згідно із Законом </w:t>
      </w:r>
      <w:hyperlink r:id="rId1500" w:anchor="n18"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в редакції Законів </w:t>
      </w:r>
      <w:hyperlink r:id="rId1501" w:anchor="n6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502" w:anchor="n18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481D6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4" w:name="n15885"/>
      <w:bookmarkEnd w:id="2784"/>
      <w:r w:rsidRPr="008B264B">
        <w:rPr>
          <w:rFonts w:ascii="Times New Roman" w:eastAsia="Times New Roman" w:hAnsi="Times New Roman" w:cs="Times New Roman"/>
          <w:color w:val="000000"/>
          <w:sz w:val="24"/>
          <w:szCs w:val="24"/>
          <w:lang/>
        </w:rPr>
        <w:t>73.6. Інформація, що надійшла до контролюючих органів від компетентного органу іноземної держави відповідно до міжнародних договорів, що містять положення про обмін інформацією для податкових цілей, згода на обов’язковість яких надана Верховною Радою України, або укладених на їх підставі міжвідомчих договорів, є інформацією з обмеженим доступом.</w:t>
      </w:r>
    </w:p>
    <w:p w14:paraId="14028A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5" w:name="n15884"/>
      <w:bookmarkEnd w:id="2785"/>
      <w:r w:rsidRPr="008B264B">
        <w:rPr>
          <w:rFonts w:ascii="Times New Roman" w:eastAsia="Times New Roman" w:hAnsi="Times New Roman" w:cs="Times New Roman"/>
          <w:i/>
          <w:iCs/>
          <w:color w:val="000000"/>
          <w:sz w:val="24"/>
          <w:szCs w:val="24"/>
          <w:lang/>
        </w:rPr>
        <w:t>{Статтю 73 доповнено пунктом 73.6 згідно із Законом </w:t>
      </w:r>
      <w:hyperlink r:id="rId1503" w:anchor="n58"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408A86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6" w:name="n1747"/>
      <w:bookmarkEnd w:id="2786"/>
      <w:r w:rsidRPr="008B264B">
        <w:rPr>
          <w:rFonts w:ascii="Times New Roman" w:eastAsia="Times New Roman" w:hAnsi="Times New Roman" w:cs="Times New Roman"/>
          <w:b/>
          <w:bCs/>
          <w:color w:val="000000"/>
          <w:sz w:val="24"/>
          <w:szCs w:val="24"/>
          <w:lang/>
        </w:rPr>
        <w:t>Стаття 74.</w:t>
      </w:r>
      <w:r w:rsidRPr="008B264B">
        <w:rPr>
          <w:rFonts w:ascii="Times New Roman" w:eastAsia="Times New Roman" w:hAnsi="Times New Roman" w:cs="Times New Roman"/>
          <w:color w:val="000000"/>
          <w:sz w:val="24"/>
          <w:szCs w:val="24"/>
          <w:lang/>
        </w:rPr>
        <w:t> Обробка та використання податкової інформації</w:t>
      </w:r>
    </w:p>
    <w:p w14:paraId="1D5ECA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7" w:name="n1748"/>
      <w:bookmarkEnd w:id="2787"/>
      <w:r w:rsidRPr="008B264B">
        <w:rPr>
          <w:rFonts w:ascii="Times New Roman" w:eastAsia="Times New Roman" w:hAnsi="Times New Roman" w:cs="Times New Roman"/>
          <w:color w:val="000000"/>
          <w:sz w:val="24"/>
          <w:szCs w:val="24"/>
          <w:lang/>
        </w:rPr>
        <w:t>74.1. Податкова інформація, зібрана відповідно до цього Кодексу, зберігається в базах даних Інформаційних, телекомунікаційних та інформаційно-телекомунікаційних систем (далі - Інформаційні системи) центрального органу виконавчої влади, що реалізує державну податкову та митну політику.</w:t>
      </w:r>
    </w:p>
    <w:p w14:paraId="587D68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8" w:name="n1749"/>
      <w:bookmarkEnd w:id="2788"/>
      <w:r w:rsidRPr="008B264B">
        <w:rPr>
          <w:rFonts w:ascii="Times New Roman" w:eastAsia="Times New Roman" w:hAnsi="Times New Roman" w:cs="Times New Roman"/>
          <w:color w:val="000000"/>
          <w:sz w:val="24"/>
          <w:szCs w:val="24"/>
          <w:lang/>
        </w:rPr>
        <w:t>Інформаційні системи і засоби їх забезпечення, розроблені, виготовлені або придбані центральним органом виконавчої влади, що реалізує державну податкову та митну політику, є державною власністю.</w:t>
      </w:r>
    </w:p>
    <w:p w14:paraId="5E160A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89" w:name="n13893"/>
      <w:bookmarkEnd w:id="2789"/>
      <w:r w:rsidRPr="008B264B">
        <w:rPr>
          <w:rFonts w:ascii="Times New Roman" w:eastAsia="Times New Roman" w:hAnsi="Times New Roman" w:cs="Times New Roman"/>
          <w:color w:val="000000"/>
          <w:sz w:val="24"/>
          <w:szCs w:val="24"/>
          <w:lang/>
        </w:rPr>
        <w:lastRenderedPageBreak/>
        <w:t>Система захисту податкової інформації, що зберігається в базах даних Інформаційних систем, встановлюється центральним органом виконавчої влади, що реалізує державну податкову та митну політику.</w:t>
      </w:r>
    </w:p>
    <w:p w14:paraId="0EA9AF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0" w:name="n13894"/>
      <w:bookmarkEnd w:id="2790"/>
      <w:r w:rsidRPr="008B264B">
        <w:rPr>
          <w:rFonts w:ascii="Times New Roman" w:eastAsia="Times New Roman" w:hAnsi="Times New Roman" w:cs="Times New Roman"/>
          <w:color w:val="000000"/>
          <w:sz w:val="24"/>
          <w:szCs w:val="24"/>
          <w:lang/>
        </w:rPr>
        <w:t>Внесення інформації до баз даних Інформаційних систем та її опрацювання здійснюються контролюючими органами.</w:t>
      </w:r>
    </w:p>
    <w:p w14:paraId="1EAD1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1" w:name="n13895"/>
      <w:bookmarkEnd w:id="2791"/>
      <w:r w:rsidRPr="008B264B">
        <w:rPr>
          <w:rFonts w:ascii="Times New Roman" w:eastAsia="Times New Roman" w:hAnsi="Times New Roman" w:cs="Times New Roman"/>
          <w:color w:val="000000"/>
          <w:sz w:val="24"/>
          <w:szCs w:val="24"/>
          <w:lang/>
        </w:rPr>
        <w:t>Перелік Інформаційних систем визначається центральним органом виконавчої влади, що реалізує державну податкову та митну політику.</w:t>
      </w:r>
    </w:p>
    <w:p w14:paraId="728738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2" w:name="n1751"/>
      <w:bookmarkEnd w:id="2792"/>
      <w:r w:rsidRPr="008B264B">
        <w:rPr>
          <w:rFonts w:ascii="Times New Roman" w:eastAsia="Times New Roman" w:hAnsi="Times New Roman" w:cs="Times New Roman"/>
          <w:i/>
          <w:iCs/>
          <w:color w:val="000000"/>
          <w:sz w:val="24"/>
          <w:szCs w:val="24"/>
          <w:lang/>
        </w:rPr>
        <w:t>{Пункт 74.2 статті 74 виключено на підставі Закону </w:t>
      </w:r>
      <w:hyperlink r:id="rId1504" w:anchor="n19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892ED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3" w:name="n13897"/>
      <w:bookmarkEnd w:id="2793"/>
      <w:r w:rsidRPr="008B264B">
        <w:rPr>
          <w:rFonts w:ascii="Times New Roman" w:eastAsia="Times New Roman" w:hAnsi="Times New Roman" w:cs="Times New Roman"/>
          <w:color w:val="000000"/>
          <w:sz w:val="24"/>
          <w:szCs w:val="24"/>
          <w:lang/>
        </w:rPr>
        <w:t>74.3. Зібрана податкова інформація та результати її опрацювання використовуються для виконання покладених на контролюючі органи функцій та завдань, а також центральним органом виконавчої влади, що забезпечує формування та реалізує державну фінансову політику, для формування та реалізації єдиної державної податкової та митної політики.</w:t>
      </w:r>
    </w:p>
    <w:p w14:paraId="47A63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4" w:name="n13892"/>
      <w:bookmarkEnd w:id="2794"/>
      <w:r w:rsidRPr="008B264B">
        <w:rPr>
          <w:rFonts w:ascii="Times New Roman" w:eastAsia="Times New Roman" w:hAnsi="Times New Roman" w:cs="Times New Roman"/>
          <w:i/>
          <w:iCs/>
          <w:color w:val="000000"/>
          <w:sz w:val="24"/>
          <w:szCs w:val="24"/>
          <w:lang/>
        </w:rPr>
        <w:t>{Стаття 74 із змінами, внесеними згідно з Законом </w:t>
      </w:r>
      <w:hyperlink r:id="rId1505" w:anchor="n11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текст статті 74 в редакції Закону </w:t>
      </w:r>
      <w:hyperlink r:id="rId1506" w:anchor="n60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21FB8F"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2795" w:name="n1752"/>
      <w:bookmarkEnd w:id="2795"/>
      <w:r w:rsidRPr="008B264B">
        <w:rPr>
          <w:rFonts w:ascii="Times New Roman" w:eastAsia="Times New Roman" w:hAnsi="Times New Roman" w:cs="Times New Roman"/>
          <w:b/>
          <w:bCs/>
          <w:color w:val="000000"/>
          <w:sz w:val="28"/>
          <w:szCs w:val="28"/>
          <w:lang/>
        </w:rPr>
        <w:t>ГЛАВА 8. ПЕРЕВІРКИ</w:t>
      </w:r>
    </w:p>
    <w:p w14:paraId="65BC7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6" w:name="n1753"/>
      <w:bookmarkEnd w:id="2796"/>
      <w:r w:rsidRPr="008B264B">
        <w:rPr>
          <w:rFonts w:ascii="Times New Roman" w:eastAsia="Times New Roman" w:hAnsi="Times New Roman" w:cs="Times New Roman"/>
          <w:b/>
          <w:bCs/>
          <w:color w:val="000000"/>
          <w:sz w:val="24"/>
          <w:szCs w:val="24"/>
          <w:lang/>
        </w:rPr>
        <w:t>Стаття 75.</w:t>
      </w:r>
      <w:r w:rsidRPr="008B264B">
        <w:rPr>
          <w:rFonts w:ascii="Times New Roman" w:eastAsia="Times New Roman" w:hAnsi="Times New Roman" w:cs="Times New Roman"/>
          <w:color w:val="000000"/>
          <w:sz w:val="24"/>
          <w:szCs w:val="24"/>
          <w:lang/>
        </w:rPr>
        <w:t> Види перевірок</w:t>
      </w:r>
    </w:p>
    <w:p w14:paraId="09DB38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7" w:name="n1754"/>
      <w:bookmarkEnd w:id="2797"/>
      <w:r w:rsidRPr="008B264B">
        <w:rPr>
          <w:rFonts w:ascii="Times New Roman" w:eastAsia="Times New Roman" w:hAnsi="Times New Roman" w:cs="Times New Roman"/>
          <w:color w:val="000000"/>
          <w:sz w:val="24"/>
          <w:szCs w:val="24"/>
          <w:lang/>
        </w:rPr>
        <w:t>75.1. Контролюючі органи мають право проводити камеральні, документальні (планові або позапланові; виїзні або невиїзні) та фактичні перевірки.</w:t>
      </w:r>
    </w:p>
    <w:p w14:paraId="3A1032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8" w:name="n1755"/>
      <w:bookmarkEnd w:id="2798"/>
      <w:r w:rsidRPr="008B264B">
        <w:rPr>
          <w:rFonts w:ascii="Times New Roman" w:eastAsia="Times New Roman" w:hAnsi="Times New Roman" w:cs="Times New Roman"/>
          <w:color w:val="000000"/>
          <w:sz w:val="24"/>
          <w:szCs w:val="24"/>
          <w:lang/>
        </w:rPr>
        <w:t>Камеральні та документальні перевірки проводяться контролюючими органами в межах їх повноважень виключно у випадках та у порядку, встановлених цим Кодексом, а фактичні перевірки - цим Кодексом та іншими законами України, контроль за дотриманням яких покладено на контролюючі органи.</w:t>
      </w:r>
    </w:p>
    <w:p w14:paraId="1A673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799" w:name="n1756"/>
      <w:bookmarkEnd w:id="2799"/>
      <w:r w:rsidRPr="008B264B">
        <w:rPr>
          <w:rFonts w:ascii="Times New Roman" w:eastAsia="Times New Roman" w:hAnsi="Times New Roman" w:cs="Times New Roman"/>
          <w:color w:val="000000"/>
          <w:sz w:val="24"/>
          <w:szCs w:val="24"/>
          <w:lang/>
        </w:rPr>
        <w:t>75.1.1. Камеральною вважається перевірка, яка проводиться у приміщенні контролюючого органу виключно на підставі даних, зазначених у податкових деклараціях (розрахунках) платника податків та даних системи електронного адміністрування податку на додану вартість (даних центрального органу виконавчої влади, що реалізує державну політику у сфері казначейського обслуговування бюджетних коштів, в якому відкриваються рахунки платників у системі електронного адміністрування податку на додану вартість, даних Єдиного реєстру податкових накладних та даних митних декларацій), а також даних Єдиного реєстру акцизних накладних та даних системи електронного адміністрування реалізації пального та спирту етилового.</w:t>
      </w:r>
    </w:p>
    <w:p w14:paraId="04E6B0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0" w:name="n15502"/>
      <w:bookmarkEnd w:id="2800"/>
      <w:r w:rsidRPr="008B264B">
        <w:rPr>
          <w:rFonts w:ascii="Times New Roman" w:eastAsia="Times New Roman" w:hAnsi="Times New Roman" w:cs="Times New Roman"/>
          <w:i/>
          <w:iCs/>
          <w:color w:val="000000"/>
          <w:sz w:val="24"/>
          <w:szCs w:val="24"/>
          <w:lang/>
        </w:rPr>
        <w:t>{Абзац перший підпункту 75.1.1 пункту 75.1 статті 75 із змінами, внесеними згідно із Законом </w:t>
      </w:r>
      <w:hyperlink r:id="rId1507" w:anchor="n14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0FB7A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1" w:name="n13899"/>
      <w:bookmarkEnd w:id="2801"/>
      <w:r w:rsidRPr="008B264B">
        <w:rPr>
          <w:rFonts w:ascii="Times New Roman" w:eastAsia="Times New Roman" w:hAnsi="Times New Roman" w:cs="Times New Roman"/>
          <w:color w:val="000000"/>
          <w:sz w:val="24"/>
          <w:szCs w:val="24"/>
          <w:lang/>
        </w:rPr>
        <w:t>Предметом камеральної перевірки також може бути своєчасність подання </w:t>
      </w:r>
      <w:hyperlink r:id="rId1508" w:anchor="n20" w:tgtFrame="_blank" w:history="1">
        <w:r w:rsidRPr="008B264B">
          <w:rPr>
            <w:rFonts w:ascii="Times New Roman" w:eastAsia="Times New Roman" w:hAnsi="Times New Roman" w:cs="Times New Roman"/>
            <w:color w:val="0000FF"/>
            <w:sz w:val="24"/>
            <w:szCs w:val="24"/>
            <w:u w:val="single"/>
            <w:lang/>
          </w:rPr>
          <w:t>податкових декларацій</w:t>
        </w:r>
      </w:hyperlink>
      <w:r w:rsidRPr="008B264B">
        <w:rPr>
          <w:rFonts w:ascii="Times New Roman" w:eastAsia="Times New Roman" w:hAnsi="Times New Roman" w:cs="Times New Roman"/>
          <w:color w:val="000000"/>
          <w:sz w:val="24"/>
          <w:szCs w:val="24"/>
          <w:lang/>
        </w:rPr>
        <w:t> (розрахунків) та/або своєчасність реєстрації </w:t>
      </w:r>
      <w:hyperlink r:id="rId1509"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та/або розрахунків коригування до податкових накладних у Єдиному реєстрі податкових накладних, акцизних накладних та/або розрахунків коригування до акцизних накладних у Єдиному реєстрі акцизних накладних, виправлення помилок у податкових накладних та/або своєчасність сплати узгодженої суми податкового (грошового) зобов’язання виключно на підставі даних, що зберігаються (опрацьовуються) у відповідних інформаційних базах.</w:t>
      </w:r>
    </w:p>
    <w:p w14:paraId="6A953D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2" w:name="n13898"/>
      <w:bookmarkEnd w:id="2802"/>
      <w:r w:rsidRPr="008B264B">
        <w:rPr>
          <w:rFonts w:ascii="Times New Roman" w:eastAsia="Times New Roman" w:hAnsi="Times New Roman" w:cs="Times New Roman"/>
          <w:i/>
          <w:iCs/>
          <w:color w:val="000000"/>
          <w:sz w:val="24"/>
          <w:szCs w:val="24"/>
          <w:lang/>
        </w:rPr>
        <w:t>{Підпункт 75.1.1 пункту 75.1 статті 75 доповнено абзацом другим згідно із Законом </w:t>
      </w:r>
      <w:hyperlink r:id="rId1510" w:anchor="n6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76B1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3" w:name="n10567"/>
      <w:bookmarkEnd w:id="2803"/>
      <w:r w:rsidRPr="008B264B">
        <w:rPr>
          <w:rFonts w:ascii="Times New Roman" w:eastAsia="Times New Roman" w:hAnsi="Times New Roman" w:cs="Times New Roman"/>
          <w:i/>
          <w:iCs/>
          <w:color w:val="000000"/>
          <w:sz w:val="24"/>
          <w:szCs w:val="24"/>
          <w:lang/>
        </w:rPr>
        <w:t>{Підпункт 75.1.1 пункту 75.1 статті 75 із змінами, внесеними згідно із Законами </w:t>
      </w:r>
      <w:hyperlink r:id="rId1511" w:anchor="n2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1512" w:anchor="n5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1513" w:anchor="n6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6969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4" w:name="n1757"/>
      <w:bookmarkEnd w:id="2804"/>
      <w:r w:rsidRPr="008B264B">
        <w:rPr>
          <w:rFonts w:ascii="Times New Roman" w:eastAsia="Times New Roman" w:hAnsi="Times New Roman" w:cs="Times New Roman"/>
          <w:color w:val="000000"/>
          <w:sz w:val="24"/>
          <w:szCs w:val="24"/>
          <w:lang/>
        </w:rPr>
        <w:t xml:space="preserve">75.1.2. Документальною перевіркою вважається перевірка, предметом якої є своєчасність, достовірність, повнота нарахування та сплати усіх передбачених цим Кодексом податків та зборів, а також дотримання валютного та іншого законодавства, контроль за дотриманням якого </w:t>
      </w:r>
      <w:r w:rsidRPr="008B264B">
        <w:rPr>
          <w:rFonts w:ascii="Times New Roman" w:eastAsia="Times New Roman" w:hAnsi="Times New Roman" w:cs="Times New Roman"/>
          <w:color w:val="000000"/>
          <w:sz w:val="24"/>
          <w:szCs w:val="24"/>
          <w:lang/>
        </w:rPr>
        <w:lastRenderedPageBreak/>
        <w:t>покладено на контролюючі органи, дотримання роботодавцем законодавства щодо укладення трудового договору, оформлення трудових відносин з працівниками (найманими особами) та яка проводиться на підставі податкових декларацій (розрахунків), фінансової, статистичної та іншої звітності, регістрів податкового та бухгалтерського обліку, ведення яких передбачено законом, первинних документів, які використовуються в бухгалтерському та податковому обліку і пов'язані з нарахуванням і сплатою податків та зборів, виконанням вимог іншого законодавства, контроль за дотриманням якого покладено на контролюючі органи, а також отриманих в установленому законодавством порядку контролюючим органом документів та податкової інформації, у тому числі за результатами перевірок інших платників податків.</w:t>
      </w:r>
    </w:p>
    <w:p w14:paraId="498781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5" w:name="n1758"/>
      <w:bookmarkEnd w:id="2805"/>
      <w:r w:rsidRPr="008B264B">
        <w:rPr>
          <w:rFonts w:ascii="Times New Roman" w:eastAsia="Times New Roman" w:hAnsi="Times New Roman" w:cs="Times New Roman"/>
          <w:color w:val="000000"/>
          <w:sz w:val="24"/>
          <w:szCs w:val="24"/>
          <w:lang/>
        </w:rPr>
        <w:t>Документальна планова перевірка проводиться відповідно до плану-графіка перевірок.</w:t>
      </w:r>
    </w:p>
    <w:p w14:paraId="6E6D9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6" w:name="n9231"/>
      <w:bookmarkEnd w:id="2806"/>
      <w:r w:rsidRPr="008B264B">
        <w:rPr>
          <w:rFonts w:ascii="Times New Roman" w:eastAsia="Times New Roman" w:hAnsi="Times New Roman" w:cs="Times New Roman"/>
          <w:color w:val="000000"/>
          <w:sz w:val="24"/>
          <w:szCs w:val="24"/>
          <w:lang/>
        </w:rPr>
        <w:t>Не може бути предметом планової документальної перевірки питання дотримання платником податків принципу "витягнутої руки", крім випадків перевірки дотримання платником податків вимог </w:t>
      </w:r>
      <w:hyperlink r:id="rId1514" w:anchor="n10727" w:history="1">
        <w:r w:rsidRPr="008B264B">
          <w:rPr>
            <w:rFonts w:ascii="Times New Roman" w:eastAsia="Times New Roman" w:hAnsi="Times New Roman" w:cs="Times New Roman"/>
            <w:color w:val="0000FF"/>
            <w:sz w:val="24"/>
            <w:szCs w:val="24"/>
            <w:u w:val="single"/>
            <w:lang/>
          </w:rPr>
          <w:t>підпунктів 140.5.4</w:t>
        </w:r>
      </w:hyperlink>
      <w:r w:rsidRPr="008B264B">
        <w:rPr>
          <w:rFonts w:ascii="Times New Roman" w:eastAsia="Times New Roman" w:hAnsi="Times New Roman" w:cs="Times New Roman"/>
          <w:color w:val="000000"/>
          <w:sz w:val="24"/>
          <w:szCs w:val="24"/>
          <w:lang/>
        </w:rPr>
        <w:t>, </w:t>
      </w:r>
      <w:hyperlink r:id="rId1515" w:anchor="n10735" w:history="1">
        <w:r w:rsidRPr="008B264B">
          <w:rPr>
            <w:rFonts w:ascii="Times New Roman" w:eastAsia="Times New Roman" w:hAnsi="Times New Roman" w:cs="Times New Roman"/>
            <w:color w:val="0000FF"/>
            <w:sz w:val="24"/>
            <w:szCs w:val="24"/>
            <w:u w:val="single"/>
            <w:lang/>
          </w:rPr>
          <w:t>140.5.6</w:t>
        </w:r>
      </w:hyperlink>
      <w:r w:rsidRPr="008B264B">
        <w:rPr>
          <w:rFonts w:ascii="Times New Roman" w:eastAsia="Times New Roman" w:hAnsi="Times New Roman" w:cs="Times New Roman"/>
          <w:color w:val="000000"/>
          <w:sz w:val="24"/>
          <w:szCs w:val="24"/>
          <w:lang/>
        </w:rPr>
        <w:t> пункту 140.5 статті 140 цього Кодексу.</w:t>
      </w:r>
    </w:p>
    <w:p w14:paraId="7D5604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7" w:name="n9230"/>
      <w:bookmarkEnd w:id="2807"/>
      <w:r w:rsidRPr="008B264B">
        <w:rPr>
          <w:rFonts w:ascii="Times New Roman" w:eastAsia="Times New Roman" w:hAnsi="Times New Roman" w:cs="Times New Roman"/>
          <w:i/>
          <w:iCs/>
          <w:color w:val="000000"/>
          <w:sz w:val="24"/>
          <w:szCs w:val="24"/>
          <w:lang/>
        </w:rPr>
        <w:t>{Підпункт 75.1.2 пункту 75.1 статті 75 доповнено новим абзацом згідно із Законом </w:t>
      </w:r>
      <w:hyperlink r:id="rId1516" w:anchor="n346"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Законів </w:t>
      </w:r>
      <w:hyperlink r:id="rId1517" w:anchor="n6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518" w:anchor="n19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7EB81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8" w:name="n1759"/>
      <w:bookmarkEnd w:id="2808"/>
      <w:r w:rsidRPr="008B264B">
        <w:rPr>
          <w:rFonts w:ascii="Times New Roman" w:eastAsia="Times New Roman" w:hAnsi="Times New Roman" w:cs="Times New Roman"/>
          <w:color w:val="000000"/>
          <w:sz w:val="24"/>
          <w:szCs w:val="24"/>
          <w:lang/>
        </w:rPr>
        <w:t>Документальна позапланова перевірка не передбачається у плані роботи контролюючого органу і проводиться за наявності хоча б однієї з підстав, визначених цим Кодексом.</w:t>
      </w:r>
    </w:p>
    <w:p w14:paraId="50C395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09" w:name="n13900"/>
      <w:bookmarkEnd w:id="2809"/>
      <w:r w:rsidRPr="008B264B">
        <w:rPr>
          <w:rFonts w:ascii="Times New Roman" w:eastAsia="Times New Roman" w:hAnsi="Times New Roman" w:cs="Times New Roman"/>
          <w:i/>
          <w:iCs/>
          <w:color w:val="000000"/>
          <w:sz w:val="24"/>
          <w:szCs w:val="24"/>
          <w:lang/>
        </w:rPr>
        <w:t>{Абзац четвертий підпункту 75.1.2 пункту 75.1 статті 75 із змінами, внесеними згідно із Законом </w:t>
      </w:r>
      <w:hyperlink r:id="rId1519" w:anchor="n62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48B3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0" w:name="n1760"/>
      <w:bookmarkEnd w:id="2810"/>
      <w:r w:rsidRPr="008B264B">
        <w:rPr>
          <w:rFonts w:ascii="Times New Roman" w:eastAsia="Times New Roman" w:hAnsi="Times New Roman" w:cs="Times New Roman"/>
          <w:color w:val="000000"/>
          <w:sz w:val="24"/>
          <w:szCs w:val="24"/>
          <w:lang/>
        </w:rPr>
        <w:t>Документальною виїзною перевіркою вважається перевірка, яка проводиться за місцезнаходженням платника податків чи місцем розташування об'єкта права власності, стосовно якого проводиться така перевірка.</w:t>
      </w:r>
    </w:p>
    <w:p w14:paraId="52291E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1" w:name="n1761"/>
      <w:bookmarkEnd w:id="2811"/>
      <w:r w:rsidRPr="008B264B">
        <w:rPr>
          <w:rFonts w:ascii="Times New Roman" w:eastAsia="Times New Roman" w:hAnsi="Times New Roman" w:cs="Times New Roman"/>
          <w:color w:val="000000"/>
          <w:sz w:val="24"/>
          <w:szCs w:val="24"/>
          <w:lang/>
        </w:rPr>
        <w:t>Документальною невиїзною перевіркою вважається перевірка, яка проводиться в приміщенні контролюючого органу.</w:t>
      </w:r>
    </w:p>
    <w:p w14:paraId="0E8D49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2" w:name="n1762"/>
      <w:bookmarkEnd w:id="2812"/>
      <w:r w:rsidRPr="008B264B">
        <w:rPr>
          <w:rFonts w:ascii="Times New Roman" w:eastAsia="Times New Roman" w:hAnsi="Times New Roman" w:cs="Times New Roman"/>
          <w:color w:val="000000"/>
          <w:sz w:val="24"/>
          <w:szCs w:val="24"/>
          <w:lang/>
        </w:rPr>
        <w:t>Документальною невиїзною позаплановою електронною перевіркою за заявою платника податків (далі - електронна перевірка) вважається перевірка, що проводиться на підставі заяви, поданої платником податків з незначним ступенем ризику, визначеним відповідно до </w:t>
      </w:r>
      <w:hyperlink r:id="rId1520" w:anchor="n1775" w:history="1">
        <w:r w:rsidRPr="008B264B">
          <w:rPr>
            <w:rFonts w:ascii="Times New Roman" w:eastAsia="Times New Roman" w:hAnsi="Times New Roman" w:cs="Times New Roman"/>
            <w:color w:val="0000FF"/>
            <w:sz w:val="24"/>
            <w:szCs w:val="24"/>
            <w:u w:val="single"/>
            <w:lang/>
          </w:rPr>
          <w:t>пункту 77.2</w:t>
        </w:r>
      </w:hyperlink>
      <w:r w:rsidRPr="008B264B">
        <w:rPr>
          <w:rFonts w:ascii="Times New Roman" w:eastAsia="Times New Roman" w:hAnsi="Times New Roman" w:cs="Times New Roman"/>
          <w:color w:val="000000"/>
          <w:sz w:val="24"/>
          <w:szCs w:val="24"/>
          <w:lang/>
        </w:rPr>
        <w:t> статті 77 цього Кодексу, до контролюючого органу, в якому він перебуває на податковому обліку. Заява подається за 10 календарних днів до очікуваного початку проведення електронної перевірки, але не раніше офіційного повідомлення центрального органу виконавчої влади, що реалізує державну податкову і митну політику, про запровадження проведення такої перевірки для відповідних платників податків: які застосовують спрощену систему оподаткування, обліку та звітності; суб’єктів господарювання мікро-, малого; середнього підприємництва; інших платників податків. </w:t>
      </w:r>
      <w:hyperlink r:id="rId1521" w:anchor="n59" w:tgtFrame="_blank" w:history="1">
        <w:r w:rsidRPr="008B264B">
          <w:rPr>
            <w:rFonts w:ascii="Times New Roman" w:eastAsia="Times New Roman" w:hAnsi="Times New Roman" w:cs="Times New Roman"/>
            <w:color w:val="0000FF"/>
            <w:sz w:val="24"/>
            <w:szCs w:val="24"/>
            <w:u w:val="single"/>
            <w:lang/>
          </w:rPr>
          <w:t>Форма заяви</w:t>
        </w:r>
      </w:hyperlink>
      <w:r w:rsidRPr="008B264B">
        <w:rPr>
          <w:rFonts w:ascii="Times New Roman" w:eastAsia="Times New Roman" w:hAnsi="Times New Roman" w:cs="Times New Roman"/>
          <w:color w:val="000000"/>
          <w:sz w:val="24"/>
          <w:szCs w:val="24"/>
          <w:lang/>
        </w:rPr>
        <w:t>, </w:t>
      </w:r>
      <w:hyperlink r:id="rId1522" w:anchor="n14" w:tgtFrame="_blank" w:history="1">
        <w:r w:rsidRPr="008B264B">
          <w:rPr>
            <w:rFonts w:ascii="Times New Roman" w:eastAsia="Times New Roman" w:hAnsi="Times New Roman" w:cs="Times New Roman"/>
            <w:color w:val="0000FF"/>
            <w:sz w:val="24"/>
            <w:szCs w:val="24"/>
            <w:u w:val="single"/>
            <w:lang/>
          </w:rPr>
          <w:t>порядок її подання</w:t>
        </w:r>
      </w:hyperlink>
      <w:r w:rsidRPr="008B264B">
        <w:rPr>
          <w:rFonts w:ascii="Times New Roman" w:eastAsia="Times New Roman" w:hAnsi="Times New Roman" w:cs="Times New Roman"/>
          <w:color w:val="000000"/>
          <w:sz w:val="24"/>
          <w:szCs w:val="24"/>
          <w:lang/>
        </w:rPr>
        <w:t>, прийняття </w:t>
      </w:r>
      <w:hyperlink r:id="rId1523" w:anchor="n62" w:tgtFrame="_blank" w:history="1">
        <w:r w:rsidRPr="008B264B">
          <w:rPr>
            <w:rFonts w:ascii="Times New Roman" w:eastAsia="Times New Roman" w:hAnsi="Times New Roman" w:cs="Times New Roman"/>
            <w:color w:val="0000FF"/>
            <w:sz w:val="24"/>
            <w:szCs w:val="24"/>
            <w:u w:val="single"/>
            <w:lang/>
          </w:rPr>
          <w:t>рішення про проведення електронної перевірки</w:t>
        </w:r>
      </w:hyperlink>
      <w:r w:rsidRPr="008B264B">
        <w:rPr>
          <w:rFonts w:ascii="Times New Roman" w:eastAsia="Times New Roman" w:hAnsi="Times New Roman" w:cs="Times New Roman"/>
          <w:color w:val="000000"/>
          <w:sz w:val="24"/>
          <w:szCs w:val="24"/>
          <w:lang/>
        </w:rPr>
        <w:t> встановлюються центральним органом виконавчої влади, що забезпечує формування та реалізує державну фінансову політику.</w:t>
      </w:r>
    </w:p>
    <w:p w14:paraId="5D54EA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3" w:name="n1763"/>
      <w:bookmarkEnd w:id="2813"/>
      <w:r w:rsidRPr="008B264B">
        <w:rPr>
          <w:rFonts w:ascii="Times New Roman" w:eastAsia="Times New Roman" w:hAnsi="Times New Roman" w:cs="Times New Roman"/>
          <w:i/>
          <w:iCs/>
          <w:color w:val="000000"/>
          <w:sz w:val="24"/>
          <w:szCs w:val="24"/>
          <w:lang/>
        </w:rPr>
        <w:t>{Підпункт 75.1.2 пункту 75.1 статті 75 доповнено абзацом згідно із Законом </w:t>
      </w:r>
      <w:hyperlink r:id="rId152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525" w:anchor="n22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152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527"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BDD6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4" w:name="n1764"/>
      <w:bookmarkEnd w:id="2814"/>
      <w:r w:rsidRPr="008B264B">
        <w:rPr>
          <w:rFonts w:ascii="Times New Roman" w:eastAsia="Times New Roman" w:hAnsi="Times New Roman" w:cs="Times New Roman"/>
          <w:color w:val="000000"/>
          <w:sz w:val="24"/>
          <w:szCs w:val="24"/>
          <w:lang/>
        </w:rPr>
        <w:t>75.1.3. Фактичною вважається перевірка, що здійснюється за місцем фактичного провадження платником податків діяльності, розташування господарських або інших об'єктів права власності такого платника. Така перевірка здійснюється контролюючим органом щодо дотримання норм законодавства з питань регулювання обігу готівки, порядку здійснення платниками податків розрахункових операцій, ведення касових операцій, наявності ліцензій, свідоцтв, у тому числі про виробництво та обіг підакцизних товарів, дотримання роботодавцем законодавства щодо укладення трудового договору, оформлення трудових відносин з працівниками (найманими особами).</w:t>
      </w:r>
    </w:p>
    <w:p w14:paraId="16E1CD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5" w:name="n1765"/>
      <w:bookmarkEnd w:id="2815"/>
      <w:r w:rsidRPr="008B264B">
        <w:rPr>
          <w:rFonts w:ascii="Times New Roman" w:eastAsia="Times New Roman" w:hAnsi="Times New Roman" w:cs="Times New Roman"/>
          <w:i/>
          <w:iCs/>
          <w:color w:val="000000"/>
          <w:sz w:val="24"/>
          <w:szCs w:val="24"/>
          <w:lang/>
        </w:rPr>
        <w:lastRenderedPageBreak/>
        <w:t>{Абзац перший підпункту 75.1.3 пункту 75.1 статті 75 із змінами, внесеними згідно з Законом </w:t>
      </w:r>
      <w:hyperlink r:id="rId1528" w:anchor="n1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F9EC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6" w:name="n1766"/>
      <w:bookmarkEnd w:id="2816"/>
      <w:r w:rsidRPr="008B264B">
        <w:rPr>
          <w:rFonts w:ascii="Times New Roman" w:eastAsia="Times New Roman" w:hAnsi="Times New Roman" w:cs="Times New Roman"/>
          <w:i/>
          <w:iCs/>
          <w:color w:val="000000"/>
          <w:sz w:val="24"/>
          <w:szCs w:val="24"/>
          <w:lang/>
        </w:rPr>
        <w:t>{Абзац другий підпункту 75.1.3 пункту 75.1 статті 75 виключено на підставі Закону </w:t>
      </w:r>
      <w:hyperlink r:id="rId1529" w:anchor="n8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958F6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7" w:name="n1767"/>
      <w:bookmarkEnd w:id="2817"/>
      <w:r w:rsidRPr="008B264B">
        <w:rPr>
          <w:rFonts w:ascii="Times New Roman" w:eastAsia="Times New Roman" w:hAnsi="Times New Roman" w:cs="Times New Roman"/>
          <w:i/>
          <w:iCs/>
          <w:color w:val="000000"/>
          <w:sz w:val="24"/>
          <w:szCs w:val="24"/>
          <w:lang/>
        </w:rPr>
        <w:t>{Підпункт 75.1.3 пункту 75.1 статті 75 із змінами, внесеними згідно із Законами </w:t>
      </w:r>
      <w:hyperlink r:id="rId1530"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w:t>
      </w:r>
      <w:hyperlink r:id="rId153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532" w:anchor="n1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533" w:anchor="n62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F3C8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8" w:name="n1768"/>
      <w:bookmarkEnd w:id="2818"/>
      <w:r w:rsidRPr="008B264B">
        <w:rPr>
          <w:rFonts w:ascii="Times New Roman" w:eastAsia="Times New Roman" w:hAnsi="Times New Roman" w:cs="Times New Roman"/>
          <w:b/>
          <w:bCs/>
          <w:color w:val="000000"/>
          <w:sz w:val="24"/>
          <w:szCs w:val="24"/>
          <w:lang/>
        </w:rPr>
        <w:t>Стаття 76.</w:t>
      </w:r>
      <w:r w:rsidRPr="008B264B">
        <w:rPr>
          <w:rFonts w:ascii="Times New Roman" w:eastAsia="Times New Roman" w:hAnsi="Times New Roman" w:cs="Times New Roman"/>
          <w:color w:val="000000"/>
          <w:sz w:val="24"/>
          <w:szCs w:val="24"/>
          <w:lang/>
        </w:rPr>
        <w:t> Порядок проведення камеральної перевірки</w:t>
      </w:r>
    </w:p>
    <w:p w14:paraId="3768B3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19" w:name="n1769"/>
      <w:bookmarkEnd w:id="2819"/>
      <w:r w:rsidRPr="008B264B">
        <w:rPr>
          <w:rFonts w:ascii="Times New Roman" w:eastAsia="Times New Roman" w:hAnsi="Times New Roman" w:cs="Times New Roman"/>
          <w:color w:val="000000"/>
          <w:sz w:val="24"/>
          <w:szCs w:val="24"/>
          <w:lang/>
        </w:rPr>
        <w:t>76.1. Камеральна перевірка проводиться посадовими особами контролюючого органу без будь-якого спеціального рішення керівника (його заступника або уповноваженої особи) такого органу або направлення на її проведення.</w:t>
      </w:r>
    </w:p>
    <w:p w14:paraId="46ADDD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0" w:name="n13901"/>
      <w:bookmarkEnd w:id="2820"/>
      <w:r w:rsidRPr="008B264B">
        <w:rPr>
          <w:rFonts w:ascii="Times New Roman" w:eastAsia="Times New Roman" w:hAnsi="Times New Roman" w:cs="Times New Roman"/>
          <w:i/>
          <w:iCs/>
          <w:color w:val="000000"/>
          <w:sz w:val="24"/>
          <w:szCs w:val="24"/>
          <w:lang/>
        </w:rPr>
        <w:t>{Абзац перший пункту 76.1 статті 76 із змінами, внесеними згідно із Законом </w:t>
      </w:r>
      <w:hyperlink r:id="rId1534" w:anchor="n62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1FD4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1" w:name="n1770"/>
      <w:bookmarkEnd w:id="2821"/>
      <w:r w:rsidRPr="008B264B">
        <w:rPr>
          <w:rFonts w:ascii="Times New Roman" w:eastAsia="Times New Roman" w:hAnsi="Times New Roman" w:cs="Times New Roman"/>
          <w:color w:val="000000"/>
          <w:sz w:val="24"/>
          <w:szCs w:val="24"/>
          <w:lang/>
        </w:rPr>
        <w:t>Камеральній перевірці підлягає вся податкова звітність суцільним порядком.</w:t>
      </w:r>
    </w:p>
    <w:p w14:paraId="3B15F7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2" w:name="n1771"/>
      <w:bookmarkEnd w:id="2822"/>
      <w:r w:rsidRPr="008B264B">
        <w:rPr>
          <w:rFonts w:ascii="Times New Roman" w:eastAsia="Times New Roman" w:hAnsi="Times New Roman" w:cs="Times New Roman"/>
          <w:color w:val="000000"/>
          <w:sz w:val="24"/>
          <w:szCs w:val="24"/>
          <w:lang/>
        </w:rPr>
        <w:t>Згода платника податків на перевірку та його присутність під час проведення камеральної перевірки не обов'язкова.</w:t>
      </w:r>
    </w:p>
    <w:p w14:paraId="54D2EB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3" w:name="n1772"/>
      <w:bookmarkEnd w:id="2823"/>
      <w:r w:rsidRPr="008B264B">
        <w:rPr>
          <w:rFonts w:ascii="Times New Roman" w:eastAsia="Times New Roman" w:hAnsi="Times New Roman" w:cs="Times New Roman"/>
          <w:color w:val="000000"/>
          <w:sz w:val="24"/>
          <w:szCs w:val="24"/>
          <w:lang/>
        </w:rPr>
        <w:t>76.2. Порядок оформлення результатів камеральної перевірки здійснюється відповідно до вимог </w:t>
      </w:r>
      <w:hyperlink r:id="rId1535" w:anchor="n1931" w:history="1">
        <w:r w:rsidRPr="008B264B">
          <w:rPr>
            <w:rFonts w:ascii="Times New Roman" w:eastAsia="Times New Roman" w:hAnsi="Times New Roman" w:cs="Times New Roman"/>
            <w:color w:val="0000FF"/>
            <w:sz w:val="24"/>
            <w:szCs w:val="24"/>
            <w:u w:val="single"/>
            <w:lang/>
          </w:rPr>
          <w:t>статті 86</w:t>
        </w:r>
      </w:hyperlink>
      <w:r w:rsidRPr="008B264B">
        <w:rPr>
          <w:rFonts w:ascii="Times New Roman" w:eastAsia="Times New Roman" w:hAnsi="Times New Roman" w:cs="Times New Roman"/>
          <w:color w:val="000000"/>
          <w:sz w:val="24"/>
          <w:szCs w:val="24"/>
          <w:lang/>
        </w:rPr>
        <w:t> цього Кодексу.</w:t>
      </w:r>
    </w:p>
    <w:p w14:paraId="3AB462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4" w:name="n13903"/>
      <w:bookmarkEnd w:id="2824"/>
      <w:r w:rsidRPr="008B264B">
        <w:rPr>
          <w:rFonts w:ascii="Times New Roman" w:eastAsia="Times New Roman" w:hAnsi="Times New Roman" w:cs="Times New Roman"/>
          <w:color w:val="000000"/>
          <w:sz w:val="24"/>
          <w:szCs w:val="24"/>
          <w:lang/>
        </w:rPr>
        <w:t>76.3. Камеральна перевірка </w:t>
      </w:r>
      <w:hyperlink r:id="rId1536"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або уточнюючого розрахунку може бути проведена лише протягом 30 календарних днів, що настають за останнім днем граничного строку їх подання, а якщо такі документи були надані пізніше, - за днем їх фактичного подання.</w:t>
      </w:r>
    </w:p>
    <w:p w14:paraId="3525C4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5" w:name="n13904"/>
      <w:bookmarkEnd w:id="2825"/>
      <w:r w:rsidRPr="008B264B">
        <w:rPr>
          <w:rFonts w:ascii="Times New Roman" w:eastAsia="Times New Roman" w:hAnsi="Times New Roman" w:cs="Times New Roman"/>
          <w:color w:val="000000"/>
          <w:sz w:val="24"/>
          <w:szCs w:val="24"/>
          <w:lang/>
        </w:rPr>
        <w:t>Камеральна перевірка з інших питань проводиться з урахуванням строків давності, визначених </w:t>
      </w:r>
      <w:hyperlink r:id="rId1537"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w:t>
      </w:r>
    </w:p>
    <w:p w14:paraId="04DD85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6" w:name="n13902"/>
      <w:bookmarkEnd w:id="2826"/>
      <w:r w:rsidRPr="008B264B">
        <w:rPr>
          <w:rFonts w:ascii="Times New Roman" w:eastAsia="Times New Roman" w:hAnsi="Times New Roman" w:cs="Times New Roman"/>
          <w:i/>
          <w:iCs/>
          <w:color w:val="000000"/>
          <w:sz w:val="24"/>
          <w:szCs w:val="24"/>
          <w:lang/>
        </w:rPr>
        <w:t>{Статтю 76 доповнено пунктом 76.3 згідно із Законом </w:t>
      </w:r>
      <w:hyperlink r:id="rId1538" w:anchor="n62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148F4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7" w:name="n1773"/>
      <w:bookmarkEnd w:id="2827"/>
      <w:r w:rsidRPr="008B264B">
        <w:rPr>
          <w:rFonts w:ascii="Times New Roman" w:eastAsia="Times New Roman" w:hAnsi="Times New Roman" w:cs="Times New Roman"/>
          <w:b/>
          <w:bCs/>
          <w:color w:val="000000"/>
          <w:sz w:val="24"/>
          <w:szCs w:val="24"/>
          <w:lang/>
        </w:rPr>
        <w:t>Стаття 77.</w:t>
      </w:r>
      <w:r w:rsidRPr="008B264B">
        <w:rPr>
          <w:rFonts w:ascii="Times New Roman" w:eastAsia="Times New Roman" w:hAnsi="Times New Roman" w:cs="Times New Roman"/>
          <w:color w:val="000000"/>
          <w:sz w:val="24"/>
          <w:szCs w:val="24"/>
          <w:lang/>
        </w:rPr>
        <w:t> Порядок проведення документальних планових перевірок</w:t>
      </w:r>
    </w:p>
    <w:p w14:paraId="26E7A7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8" w:name="n1774"/>
      <w:bookmarkEnd w:id="2828"/>
      <w:r w:rsidRPr="008B264B">
        <w:rPr>
          <w:rFonts w:ascii="Times New Roman" w:eastAsia="Times New Roman" w:hAnsi="Times New Roman" w:cs="Times New Roman"/>
          <w:color w:val="000000"/>
          <w:sz w:val="24"/>
          <w:szCs w:val="24"/>
          <w:lang/>
        </w:rPr>
        <w:t>77.1. Документальна планова перевірка повинна бути передбачена у плані-графіку проведення планових документальних перевірок.</w:t>
      </w:r>
    </w:p>
    <w:p w14:paraId="20163B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29" w:name="n13906"/>
      <w:bookmarkEnd w:id="2829"/>
      <w:r w:rsidRPr="008B264B">
        <w:rPr>
          <w:rFonts w:ascii="Times New Roman" w:eastAsia="Times New Roman" w:hAnsi="Times New Roman" w:cs="Times New Roman"/>
          <w:color w:val="000000"/>
          <w:sz w:val="24"/>
          <w:szCs w:val="24"/>
          <w:lang/>
        </w:rPr>
        <w:t>План-графік документальних планових перевірок на поточний рік оприлюднюється на офіційному веб-сайті центрального органу виконавчої влади, що реалізує державну податкову та митну політику, до 25 грудня року, що передує року, в якому будуть проводитися такі документальні планові перевірки.</w:t>
      </w:r>
    </w:p>
    <w:p w14:paraId="0FF96F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0" w:name="n13905"/>
      <w:bookmarkEnd w:id="2830"/>
      <w:r w:rsidRPr="008B264B">
        <w:rPr>
          <w:rFonts w:ascii="Times New Roman" w:eastAsia="Times New Roman" w:hAnsi="Times New Roman" w:cs="Times New Roman"/>
          <w:i/>
          <w:iCs/>
          <w:color w:val="000000"/>
          <w:sz w:val="24"/>
          <w:szCs w:val="24"/>
          <w:lang/>
        </w:rPr>
        <w:t>{Пункт 77.1 статті 77 доповнено абзацом другим згідно із Законом </w:t>
      </w:r>
      <w:hyperlink r:id="rId1539" w:anchor="n6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F3DBC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1" w:name="n1775"/>
      <w:bookmarkEnd w:id="2831"/>
      <w:r w:rsidRPr="008B264B">
        <w:rPr>
          <w:rFonts w:ascii="Times New Roman" w:eastAsia="Times New Roman" w:hAnsi="Times New Roman" w:cs="Times New Roman"/>
          <w:color w:val="000000"/>
          <w:sz w:val="24"/>
          <w:szCs w:val="24"/>
          <w:lang/>
        </w:rPr>
        <w:t>77.2. До плану-графіка проведення документальних планових перевірок відбираються платники податків, які мають ризик щодо несплати податків та зборів, невиконання іншого законодавства, контроль за яким покладено на контролюючі органи.</w:t>
      </w:r>
    </w:p>
    <w:p w14:paraId="2E6608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2" w:name="n1776"/>
      <w:bookmarkEnd w:id="2832"/>
      <w:r w:rsidRPr="008B264B">
        <w:rPr>
          <w:rFonts w:ascii="Times New Roman" w:eastAsia="Times New Roman" w:hAnsi="Times New Roman" w:cs="Times New Roman"/>
          <w:color w:val="000000"/>
          <w:sz w:val="24"/>
          <w:szCs w:val="24"/>
          <w:lang/>
        </w:rPr>
        <w:t>Періодичність проведення документальних планових перевірок платників податків визначається залежно від ступеня ризику в діяльності таких платників податків, який поділяється на високий, середній та незначний. Платники податків з незначним ступенем ризику включаються до плану-графіка не частіше, ніж раз на три календарних роки, середнім - не частіше ніж раз на два календарних роки, високим - не частіше одного разу на календарний рік.</w:t>
      </w:r>
    </w:p>
    <w:bookmarkStart w:id="2833" w:name="n1777"/>
    <w:bookmarkEnd w:id="2833"/>
    <w:p w14:paraId="1B5306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"https://zakon.rada.gov.ua/laws/show/z0751-15" \l "n16"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формування та затвердження плану-графіка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перелік ризиків та їх поділ за ступенями встановлюються центральним органом виконавчої влади, що забезпечує формування та реалізує державну фінансову політику.</w:t>
      </w:r>
    </w:p>
    <w:p w14:paraId="5B34C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4" w:name="n1778"/>
      <w:bookmarkEnd w:id="2834"/>
      <w:r w:rsidRPr="008B264B">
        <w:rPr>
          <w:rFonts w:ascii="Times New Roman" w:eastAsia="Times New Roman" w:hAnsi="Times New Roman" w:cs="Times New Roman"/>
          <w:i/>
          <w:iCs/>
          <w:color w:val="000000"/>
          <w:sz w:val="24"/>
          <w:szCs w:val="24"/>
          <w:lang/>
        </w:rPr>
        <w:lastRenderedPageBreak/>
        <w:t>{Абзац третій пункту 77.2 статті 77 із змінами, внесеними згідно з Законами </w:t>
      </w:r>
      <w:hyperlink r:id="rId1540" w:anchor="n11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54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3E8B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5" w:name="n1779"/>
      <w:bookmarkEnd w:id="2835"/>
      <w:r w:rsidRPr="008B264B">
        <w:rPr>
          <w:rFonts w:ascii="Times New Roman" w:eastAsia="Times New Roman" w:hAnsi="Times New Roman" w:cs="Times New Roman"/>
          <w:color w:val="000000"/>
          <w:sz w:val="24"/>
          <w:szCs w:val="24"/>
          <w:lang/>
        </w:rPr>
        <w:t>Платники податків - юридичні особи, що відповідають критеріям, визначеним </w:t>
      </w:r>
      <w:hyperlink r:id="rId1542" w:anchor="n14457" w:history="1">
        <w:r w:rsidRPr="008B264B">
          <w:rPr>
            <w:rFonts w:ascii="Times New Roman" w:eastAsia="Times New Roman" w:hAnsi="Times New Roman" w:cs="Times New Roman"/>
            <w:color w:val="0000FF"/>
            <w:sz w:val="24"/>
            <w:szCs w:val="24"/>
            <w:u w:val="single"/>
            <w:lang/>
          </w:rPr>
          <w:t>пунктом 43</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 та у яких сума сплаченого до бюджету податку на додану вартість становить не менше п'яти відсотків від задекларованого доходу за звітний податковий період, а також самозайняті особи, сума сплачених податків яких становить не менше п'яти відсотків від задекларованого доходу за звітний податковий період, включаються до плану-графіка не частіше, ніж раз на три календарних роки. Зазначена норма не поширюється на таких платників податків у разі порушення ними статей </w:t>
      </w:r>
      <w:hyperlink r:id="rId1543" w:anchor="n1136" w:history="1">
        <w:r w:rsidRPr="008B264B">
          <w:rPr>
            <w:rFonts w:ascii="Times New Roman" w:eastAsia="Times New Roman" w:hAnsi="Times New Roman" w:cs="Times New Roman"/>
            <w:color w:val="0000FF"/>
            <w:sz w:val="24"/>
            <w:szCs w:val="24"/>
            <w:u w:val="single"/>
            <w:lang/>
          </w:rPr>
          <w:t>45</w:t>
        </w:r>
      </w:hyperlink>
      <w:r w:rsidRPr="008B264B">
        <w:rPr>
          <w:rFonts w:ascii="Times New Roman" w:eastAsia="Times New Roman" w:hAnsi="Times New Roman" w:cs="Times New Roman"/>
          <w:color w:val="000000"/>
          <w:sz w:val="24"/>
          <w:szCs w:val="24"/>
          <w:lang/>
        </w:rPr>
        <w:t>, </w:t>
      </w:r>
      <w:hyperlink r:id="rId1544" w:anchor="n1206" w:history="1">
        <w:r w:rsidRPr="008B264B">
          <w:rPr>
            <w:rFonts w:ascii="Times New Roman" w:eastAsia="Times New Roman" w:hAnsi="Times New Roman" w:cs="Times New Roman"/>
            <w:color w:val="0000FF"/>
            <w:sz w:val="24"/>
            <w:szCs w:val="24"/>
            <w:u w:val="single"/>
            <w:lang/>
          </w:rPr>
          <w:t>49</w:t>
        </w:r>
      </w:hyperlink>
      <w:r w:rsidRPr="008B264B">
        <w:rPr>
          <w:rFonts w:ascii="Times New Roman" w:eastAsia="Times New Roman" w:hAnsi="Times New Roman" w:cs="Times New Roman"/>
          <w:color w:val="000000"/>
          <w:sz w:val="24"/>
          <w:szCs w:val="24"/>
          <w:lang/>
        </w:rPr>
        <w:t>, </w:t>
      </w:r>
      <w:hyperlink r:id="rId1545" w:anchor="n1258" w:history="1">
        <w:r w:rsidRPr="008B264B">
          <w:rPr>
            <w:rFonts w:ascii="Times New Roman" w:eastAsia="Times New Roman" w:hAnsi="Times New Roman" w:cs="Times New Roman"/>
            <w:color w:val="0000FF"/>
            <w:sz w:val="24"/>
            <w:szCs w:val="24"/>
            <w:u w:val="single"/>
            <w:lang/>
          </w:rPr>
          <w:t>50</w:t>
        </w:r>
      </w:hyperlink>
      <w:r w:rsidRPr="008B264B">
        <w:rPr>
          <w:rFonts w:ascii="Times New Roman" w:eastAsia="Times New Roman" w:hAnsi="Times New Roman" w:cs="Times New Roman"/>
          <w:color w:val="000000"/>
          <w:sz w:val="24"/>
          <w:szCs w:val="24"/>
          <w:lang/>
        </w:rPr>
        <w:t>, </w:t>
      </w:r>
      <w:hyperlink r:id="rId1546" w:anchor="n1274" w:history="1">
        <w:r w:rsidRPr="008B264B">
          <w:rPr>
            <w:rFonts w:ascii="Times New Roman" w:eastAsia="Times New Roman" w:hAnsi="Times New Roman" w:cs="Times New Roman"/>
            <w:color w:val="0000FF"/>
            <w:sz w:val="24"/>
            <w:szCs w:val="24"/>
            <w:u w:val="single"/>
            <w:lang/>
          </w:rPr>
          <w:t>51</w:t>
        </w:r>
      </w:hyperlink>
      <w:r w:rsidRPr="008B264B">
        <w:rPr>
          <w:rFonts w:ascii="Times New Roman" w:eastAsia="Times New Roman" w:hAnsi="Times New Roman" w:cs="Times New Roman"/>
          <w:color w:val="000000"/>
          <w:sz w:val="24"/>
          <w:szCs w:val="24"/>
          <w:lang/>
        </w:rPr>
        <w:t>, </w:t>
      </w:r>
      <w:hyperlink r:id="rId1547" w:anchor="n1370" w:history="1">
        <w:r w:rsidRPr="008B264B">
          <w:rPr>
            <w:rFonts w:ascii="Times New Roman" w:eastAsia="Times New Roman" w:hAnsi="Times New Roman" w:cs="Times New Roman"/>
            <w:color w:val="0000FF"/>
            <w:sz w:val="24"/>
            <w:szCs w:val="24"/>
            <w:u w:val="single"/>
            <w:lang/>
          </w:rPr>
          <w:t>57</w:t>
        </w:r>
      </w:hyperlink>
      <w:r w:rsidRPr="008B264B">
        <w:rPr>
          <w:rFonts w:ascii="Times New Roman" w:eastAsia="Times New Roman" w:hAnsi="Times New Roman" w:cs="Times New Roman"/>
          <w:color w:val="000000"/>
          <w:sz w:val="24"/>
          <w:szCs w:val="24"/>
          <w:lang/>
        </w:rPr>
        <w:t> цього Кодексу.</w:t>
      </w:r>
    </w:p>
    <w:p w14:paraId="62B6DF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6" w:name="n12671"/>
      <w:bookmarkEnd w:id="2836"/>
      <w:r w:rsidRPr="008B264B">
        <w:rPr>
          <w:rFonts w:ascii="Times New Roman" w:eastAsia="Times New Roman" w:hAnsi="Times New Roman" w:cs="Times New Roman"/>
          <w:i/>
          <w:iCs/>
          <w:color w:val="000000"/>
          <w:sz w:val="24"/>
          <w:szCs w:val="24"/>
          <w:lang/>
        </w:rPr>
        <w:t>{Абзац четвертий пункту 77.2 статті 77 із змінами, внесеними згідно з Законами </w:t>
      </w:r>
      <w:hyperlink r:id="rId1548" w:anchor="n6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1549" w:anchor="n63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C95E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7" w:name="n1780"/>
      <w:bookmarkEnd w:id="2837"/>
      <w:r w:rsidRPr="008B264B">
        <w:rPr>
          <w:rFonts w:ascii="Times New Roman" w:eastAsia="Times New Roman" w:hAnsi="Times New Roman" w:cs="Times New Roman"/>
          <w:color w:val="000000"/>
          <w:sz w:val="24"/>
          <w:szCs w:val="24"/>
          <w:lang/>
        </w:rPr>
        <w:t>77.3. Забороняється проведення документальної планової перевірки за окремими видами зобов'язань перед бюджетами, крім правильності обчислення, повноти і своєчасності сплати митних платежів, податків, зборів та єдиного внеску при виплаті (нарахуванні) доходів фізичним особам, податку з доходів фізичних осіб та зобов'язань за бюджетними позиками і кредитами, що гарантовані бюджетними коштами.</w:t>
      </w:r>
    </w:p>
    <w:p w14:paraId="3CE12E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8" w:name="n13907"/>
      <w:bookmarkEnd w:id="2838"/>
      <w:r w:rsidRPr="008B264B">
        <w:rPr>
          <w:rFonts w:ascii="Times New Roman" w:eastAsia="Times New Roman" w:hAnsi="Times New Roman" w:cs="Times New Roman"/>
          <w:i/>
          <w:iCs/>
          <w:color w:val="000000"/>
          <w:sz w:val="24"/>
          <w:szCs w:val="24"/>
          <w:lang/>
        </w:rPr>
        <w:t>{Пункт 77.3 статті 77 із змінами, внесеними згідно із Законом </w:t>
      </w:r>
      <w:hyperlink r:id="rId1550" w:anchor="n6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CD02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39" w:name="n1781"/>
      <w:bookmarkEnd w:id="2839"/>
      <w:r w:rsidRPr="008B264B">
        <w:rPr>
          <w:rFonts w:ascii="Times New Roman" w:eastAsia="Times New Roman" w:hAnsi="Times New Roman" w:cs="Times New Roman"/>
          <w:color w:val="000000"/>
          <w:sz w:val="24"/>
          <w:szCs w:val="24"/>
          <w:lang/>
        </w:rPr>
        <w:t>77.4. Про проведення документальної планової перевірки керівником (його заступником або уповноваженою особою) контролюючого органу приймається рішення, яке оформлюється наказом.</w:t>
      </w:r>
    </w:p>
    <w:p w14:paraId="44F06E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0" w:name="n13908"/>
      <w:bookmarkEnd w:id="2840"/>
      <w:r w:rsidRPr="008B264B">
        <w:rPr>
          <w:rFonts w:ascii="Times New Roman" w:eastAsia="Times New Roman" w:hAnsi="Times New Roman" w:cs="Times New Roman"/>
          <w:i/>
          <w:iCs/>
          <w:color w:val="000000"/>
          <w:sz w:val="24"/>
          <w:szCs w:val="24"/>
          <w:lang/>
        </w:rPr>
        <w:t>{Абзац перший пункту 77.4 статті 77 із змінами, внесеними згідно із Законом </w:t>
      </w:r>
      <w:hyperlink r:id="rId1551" w:anchor="n6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D589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1" w:name="n1782"/>
      <w:bookmarkEnd w:id="2841"/>
      <w:r w:rsidRPr="008B264B">
        <w:rPr>
          <w:rFonts w:ascii="Times New Roman" w:eastAsia="Times New Roman" w:hAnsi="Times New Roman" w:cs="Times New Roman"/>
          <w:color w:val="000000"/>
          <w:sz w:val="24"/>
          <w:szCs w:val="24"/>
          <w:lang/>
        </w:rPr>
        <w:t>Право на проведення документальної планової перевірки платника податків надається лише у випадку, коли йому не пізніше ніж за 10 календарних днів до дня проведення зазначеної перевірки вручено під розписку або надіслано рекомендованим листом з повідомленням про вручення копію наказу про проведення документальної планової перевірки та письмове повідомлення із зазначенням дати початку проведення такої перевірки.</w:t>
      </w:r>
    </w:p>
    <w:p w14:paraId="58FB68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2" w:name="n1783"/>
      <w:bookmarkEnd w:id="2842"/>
      <w:r w:rsidRPr="008B264B">
        <w:rPr>
          <w:rFonts w:ascii="Times New Roman" w:eastAsia="Times New Roman" w:hAnsi="Times New Roman" w:cs="Times New Roman"/>
          <w:color w:val="000000"/>
          <w:sz w:val="24"/>
          <w:szCs w:val="24"/>
          <w:lang/>
        </w:rPr>
        <w:t>77.5. У разі планування перевірок одного й того самого платника податків контролюючими органами та органами державного фінансового контролю у звітному періоді такі перевірки проводяться зазначеними органами одночасно. </w:t>
      </w:r>
      <w:hyperlink r:id="rId1552" w:anchor="n9" w:tgtFrame="_blank" w:history="1">
        <w:r w:rsidRPr="008B264B">
          <w:rPr>
            <w:rFonts w:ascii="Times New Roman" w:eastAsia="Times New Roman" w:hAnsi="Times New Roman" w:cs="Times New Roman"/>
            <w:color w:val="0000FF"/>
            <w:sz w:val="24"/>
            <w:szCs w:val="24"/>
            <w:u w:val="single"/>
            <w:lang/>
          </w:rPr>
          <w:t>Порядок координації</w:t>
        </w:r>
      </w:hyperlink>
      <w:r w:rsidRPr="008B264B">
        <w:rPr>
          <w:rFonts w:ascii="Times New Roman" w:eastAsia="Times New Roman" w:hAnsi="Times New Roman" w:cs="Times New Roman"/>
          <w:color w:val="000000"/>
          <w:sz w:val="24"/>
          <w:szCs w:val="24"/>
          <w:lang/>
        </w:rPr>
        <w:t> проведення таких перевірок та залучення до перевірок інших органів, передбачених законом, визначається Кабінетом Міністрів України.</w:t>
      </w:r>
    </w:p>
    <w:p w14:paraId="3FF7D1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3" w:name="n8803"/>
      <w:bookmarkEnd w:id="2843"/>
      <w:r w:rsidRPr="008B264B">
        <w:rPr>
          <w:rFonts w:ascii="Times New Roman" w:eastAsia="Times New Roman" w:hAnsi="Times New Roman" w:cs="Times New Roman"/>
          <w:i/>
          <w:iCs/>
          <w:color w:val="000000"/>
          <w:sz w:val="24"/>
          <w:szCs w:val="24"/>
          <w:lang/>
        </w:rPr>
        <w:t>{Пункт 77.5 статті 77 в редакції Закону </w:t>
      </w:r>
      <w:hyperlink r:id="rId1553" w:anchor="n16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1301D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4" w:name="n1784"/>
      <w:bookmarkEnd w:id="2844"/>
      <w:r w:rsidRPr="008B264B">
        <w:rPr>
          <w:rFonts w:ascii="Times New Roman" w:eastAsia="Times New Roman" w:hAnsi="Times New Roman" w:cs="Times New Roman"/>
          <w:color w:val="000000"/>
          <w:sz w:val="24"/>
          <w:szCs w:val="24"/>
          <w:lang/>
        </w:rPr>
        <w:t>77.6. Допуск посадових осіб контролюючих органів до проведення документальної планової виїзної перевірки здійснюється згідно із </w:t>
      </w:r>
      <w:hyperlink r:id="rId1554" w:anchor="n1847" w:history="1">
        <w:r w:rsidRPr="008B264B">
          <w:rPr>
            <w:rFonts w:ascii="Times New Roman" w:eastAsia="Times New Roman" w:hAnsi="Times New Roman" w:cs="Times New Roman"/>
            <w:color w:val="0000FF"/>
            <w:sz w:val="24"/>
            <w:szCs w:val="24"/>
            <w:u w:val="single"/>
            <w:lang/>
          </w:rPr>
          <w:t>статтею 81</w:t>
        </w:r>
      </w:hyperlink>
      <w:r w:rsidRPr="008B264B">
        <w:rPr>
          <w:rFonts w:ascii="Times New Roman" w:eastAsia="Times New Roman" w:hAnsi="Times New Roman" w:cs="Times New Roman"/>
          <w:color w:val="000000"/>
          <w:sz w:val="24"/>
          <w:szCs w:val="24"/>
          <w:lang/>
        </w:rPr>
        <w:t> цього Кодексу. Документальна планова невиїзна перевірка здійснюється у порядку, передбаченому </w:t>
      </w:r>
      <w:hyperlink r:id="rId1555" w:anchor="n1819" w:history="1">
        <w:r w:rsidRPr="008B264B">
          <w:rPr>
            <w:rFonts w:ascii="Times New Roman" w:eastAsia="Times New Roman" w:hAnsi="Times New Roman" w:cs="Times New Roman"/>
            <w:color w:val="0000FF"/>
            <w:sz w:val="24"/>
            <w:szCs w:val="24"/>
            <w:u w:val="single"/>
            <w:lang/>
          </w:rPr>
          <w:t>статтею 79</w:t>
        </w:r>
      </w:hyperlink>
      <w:r w:rsidRPr="008B264B">
        <w:rPr>
          <w:rFonts w:ascii="Times New Roman" w:eastAsia="Times New Roman" w:hAnsi="Times New Roman" w:cs="Times New Roman"/>
          <w:color w:val="000000"/>
          <w:sz w:val="24"/>
          <w:szCs w:val="24"/>
          <w:lang/>
        </w:rPr>
        <w:t> цього Кодексу.</w:t>
      </w:r>
    </w:p>
    <w:p w14:paraId="4DF788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5" w:name="n1785"/>
      <w:bookmarkEnd w:id="2845"/>
      <w:r w:rsidRPr="008B264B">
        <w:rPr>
          <w:rFonts w:ascii="Times New Roman" w:eastAsia="Times New Roman" w:hAnsi="Times New Roman" w:cs="Times New Roman"/>
          <w:color w:val="000000"/>
          <w:sz w:val="24"/>
          <w:szCs w:val="24"/>
          <w:lang/>
        </w:rPr>
        <w:t>77.7. Строки проведення документальної планової перевірки встановлені </w:t>
      </w:r>
      <w:hyperlink r:id="rId1556" w:anchor="n1865" w:history="1">
        <w:r w:rsidRPr="008B264B">
          <w:rPr>
            <w:rFonts w:ascii="Times New Roman" w:eastAsia="Times New Roman" w:hAnsi="Times New Roman" w:cs="Times New Roman"/>
            <w:color w:val="0000FF"/>
            <w:sz w:val="24"/>
            <w:szCs w:val="24"/>
            <w:u w:val="single"/>
            <w:lang/>
          </w:rPr>
          <w:t>статтею 82</w:t>
        </w:r>
      </w:hyperlink>
      <w:r w:rsidRPr="008B264B">
        <w:rPr>
          <w:rFonts w:ascii="Times New Roman" w:eastAsia="Times New Roman" w:hAnsi="Times New Roman" w:cs="Times New Roman"/>
          <w:color w:val="000000"/>
          <w:sz w:val="24"/>
          <w:szCs w:val="24"/>
          <w:lang/>
        </w:rPr>
        <w:t> цього Кодексу.</w:t>
      </w:r>
    </w:p>
    <w:p w14:paraId="2C44F3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6" w:name="n1786"/>
      <w:bookmarkEnd w:id="2846"/>
      <w:r w:rsidRPr="008B264B">
        <w:rPr>
          <w:rFonts w:ascii="Times New Roman" w:eastAsia="Times New Roman" w:hAnsi="Times New Roman" w:cs="Times New Roman"/>
          <w:color w:val="000000"/>
          <w:sz w:val="24"/>
          <w:szCs w:val="24"/>
          <w:lang/>
        </w:rPr>
        <w:t>77.8. Перелік матеріалів, які можуть бути підставою для висновків під час проведення документальної планової перевірки, та порядок надання платниками податків документів для такої перевірки встановлено </w:t>
      </w:r>
      <w:hyperlink r:id="rId1557" w:anchor="n1892" w:history="1">
        <w:r w:rsidRPr="008B264B">
          <w:rPr>
            <w:rFonts w:ascii="Times New Roman" w:eastAsia="Times New Roman" w:hAnsi="Times New Roman" w:cs="Times New Roman"/>
            <w:color w:val="0000FF"/>
            <w:sz w:val="24"/>
            <w:szCs w:val="24"/>
            <w:u w:val="single"/>
            <w:lang/>
          </w:rPr>
          <w:t>статтями 83</w:t>
        </w:r>
      </w:hyperlink>
      <w:r w:rsidRPr="008B264B">
        <w:rPr>
          <w:rFonts w:ascii="Times New Roman" w:eastAsia="Times New Roman" w:hAnsi="Times New Roman" w:cs="Times New Roman"/>
          <w:color w:val="000000"/>
          <w:sz w:val="24"/>
          <w:szCs w:val="24"/>
          <w:lang/>
        </w:rPr>
        <w:t>, </w:t>
      </w:r>
      <w:hyperlink r:id="rId1558" w:anchor="n1913" w:history="1">
        <w:r w:rsidRPr="008B264B">
          <w:rPr>
            <w:rFonts w:ascii="Times New Roman" w:eastAsia="Times New Roman" w:hAnsi="Times New Roman" w:cs="Times New Roman"/>
            <w:color w:val="0000FF"/>
            <w:sz w:val="24"/>
            <w:szCs w:val="24"/>
            <w:u w:val="single"/>
            <w:lang/>
          </w:rPr>
          <w:t>85</w:t>
        </w:r>
      </w:hyperlink>
      <w:r w:rsidRPr="008B264B">
        <w:rPr>
          <w:rFonts w:ascii="Times New Roman" w:eastAsia="Times New Roman" w:hAnsi="Times New Roman" w:cs="Times New Roman"/>
          <w:color w:val="000000"/>
          <w:sz w:val="24"/>
          <w:szCs w:val="24"/>
          <w:lang/>
        </w:rPr>
        <w:t> цього Кодексу.</w:t>
      </w:r>
    </w:p>
    <w:p w14:paraId="6C37BA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7" w:name="n1787"/>
      <w:bookmarkEnd w:id="2847"/>
      <w:r w:rsidRPr="008B264B">
        <w:rPr>
          <w:rFonts w:ascii="Times New Roman" w:eastAsia="Times New Roman" w:hAnsi="Times New Roman" w:cs="Times New Roman"/>
          <w:color w:val="000000"/>
          <w:sz w:val="24"/>
          <w:szCs w:val="24"/>
          <w:lang/>
        </w:rPr>
        <w:t>77.9. Порядок оформлення результатів документальної планової перевірки встановлено </w:t>
      </w:r>
      <w:hyperlink r:id="rId1559" w:anchor="n1931" w:history="1">
        <w:r w:rsidRPr="008B264B">
          <w:rPr>
            <w:rFonts w:ascii="Times New Roman" w:eastAsia="Times New Roman" w:hAnsi="Times New Roman" w:cs="Times New Roman"/>
            <w:color w:val="0000FF"/>
            <w:sz w:val="24"/>
            <w:szCs w:val="24"/>
            <w:u w:val="single"/>
            <w:lang/>
          </w:rPr>
          <w:t>статтею 86</w:t>
        </w:r>
      </w:hyperlink>
      <w:r w:rsidRPr="008B264B">
        <w:rPr>
          <w:rFonts w:ascii="Times New Roman" w:eastAsia="Times New Roman" w:hAnsi="Times New Roman" w:cs="Times New Roman"/>
          <w:color w:val="000000"/>
          <w:sz w:val="24"/>
          <w:szCs w:val="24"/>
          <w:lang/>
        </w:rPr>
        <w:t> цього Кодексу.</w:t>
      </w:r>
    </w:p>
    <w:p w14:paraId="30F4EA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8" w:name="n1788"/>
      <w:bookmarkEnd w:id="2848"/>
      <w:r w:rsidRPr="008B264B">
        <w:rPr>
          <w:rFonts w:ascii="Times New Roman" w:eastAsia="Times New Roman" w:hAnsi="Times New Roman" w:cs="Times New Roman"/>
          <w:b/>
          <w:bCs/>
          <w:color w:val="000000"/>
          <w:sz w:val="24"/>
          <w:szCs w:val="24"/>
          <w:lang/>
        </w:rPr>
        <w:t>Стаття 78.</w:t>
      </w:r>
      <w:r w:rsidRPr="008B264B">
        <w:rPr>
          <w:rFonts w:ascii="Times New Roman" w:eastAsia="Times New Roman" w:hAnsi="Times New Roman" w:cs="Times New Roman"/>
          <w:color w:val="000000"/>
          <w:sz w:val="24"/>
          <w:szCs w:val="24"/>
          <w:lang/>
        </w:rPr>
        <w:t> Порядок проведення документальних позапланових перевірок</w:t>
      </w:r>
    </w:p>
    <w:p w14:paraId="3ED73E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49" w:name="n1789"/>
      <w:bookmarkEnd w:id="2849"/>
      <w:r w:rsidRPr="008B264B">
        <w:rPr>
          <w:rFonts w:ascii="Times New Roman" w:eastAsia="Times New Roman" w:hAnsi="Times New Roman" w:cs="Times New Roman"/>
          <w:color w:val="000000"/>
          <w:sz w:val="24"/>
          <w:szCs w:val="24"/>
          <w:lang/>
        </w:rPr>
        <w:lastRenderedPageBreak/>
        <w:t>78.1. Документальна позапланова перевірка здійснюється за наявності хоча б однієї з таких підстав:</w:t>
      </w:r>
    </w:p>
    <w:p w14:paraId="627630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0" w:name="n1790"/>
      <w:bookmarkEnd w:id="2850"/>
      <w:r w:rsidRPr="008B264B">
        <w:rPr>
          <w:rFonts w:ascii="Times New Roman" w:eastAsia="Times New Roman" w:hAnsi="Times New Roman" w:cs="Times New Roman"/>
          <w:i/>
          <w:iCs/>
          <w:color w:val="000000"/>
          <w:sz w:val="24"/>
          <w:szCs w:val="24"/>
          <w:lang/>
        </w:rPr>
        <w:t>{Абзац перший пункту 78.1 статті 78 із змінами, внесеними згідно із Законами </w:t>
      </w:r>
      <w:hyperlink r:id="rId1560" w:anchor="n8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561" w:anchor="n6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2517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1" w:name="n1791"/>
      <w:bookmarkEnd w:id="2851"/>
      <w:r w:rsidRPr="008B264B">
        <w:rPr>
          <w:rFonts w:ascii="Times New Roman" w:eastAsia="Times New Roman" w:hAnsi="Times New Roman" w:cs="Times New Roman"/>
          <w:color w:val="000000"/>
          <w:sz w:val="24"/>
          <w:szCs w:val="24"/>
          <w:lang/>
        </w:rPr>
        <w:t>78.1.1. отримано податкову інформацію, що свідчить про порушення платником податків валютного, податкового та іншого не врегульованого цим Кодексом законодавства, контроль за дотриманням якого покладено на контролюючі органи, якщо платник податків не надасть пояснення та їх документальні підтвердження на обов’язковий письмовий запит контролюючого органу, в якому зазначаються порушення цим платником податків відповідно валютного, податкового та іншого не врегульованого цим Кодексом законодавства, контроль за дотриманням якого покладено на контролюючі органи, протягом 15 робочих днів з дня, наступного за днем отримання запиту;</w:t>
      </w:r>
    </w:p>
    <w:p w14:paraId="09049C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2" w:name="n9496"/>
      <w:bookmarkEnd w:id="2852"/>
      <w:r w:rsidRPr="008B264B">
        <w:rPr>
          <w:rFonts w:ascii="Times New Roman" w:eastAsia="Times New Roman" w:hAnsi="Times New Roman" w:cs="Times New Roman"/>
          <w:i/>
          <w:iCs/>
          <w:color w:val="000000"/>
          <w:sz w:val="24"/>
          <w:szCs w:val="24"/>
          <w:lang/>
        </w:rPr>
        <w:t>{Підпункт 78.1.1 пункту 78.1 статті 78 із змінами, внесеними згідно із Законами </w:t>
      </w:r>
      <w:hyperlink r:id="rId1562" w:anchor="n5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563" w:anchor="n2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564" w:anchor="n6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565" w:anchor="n6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0495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3" w:name="n1792"/>
      <w:bookmarkEnd w:id="2853"/>
      <w:r w:rsidRPr="008B264B">
        <w:rPr>
          <w:rFonts w:ascii="Times New Roman" w:eastAsia="Times New Roman" w:hAnsi="Times New Roman" w:cs="Times New Roman"/>
          <w:color w:val="000000"/>
          <w:sz w:val="24"/>
          <w:szCs w:val="24"/>
          <w:lang/>
        </w:rPr>
        <w:t>78.1.2. платником податків не подано в установлений законом строк податкову декларацію, розрахунки, звіт про контрольовані операції або документацію з трансфертного ціноутворення, якщо їх подання передбачено законом;</w:t>
      </w:r>
    </w:p>
    <w:p w14:paraId="77D6D7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4" w:name="n10568"/>
      <w:bookmarkEnd w:id="2854"/>
      <w:r w:rsidRPr="008B264B">
        <w:rPr>
          <w:rFonts w:ascii="Times New Roman" w:eastAsia="Times New Roman" w:hAnsi="Times New Roman" w:cs="Times New Roman"/>
          <w:i/>
          <w:iCs/>
          <w:color w:val="000000"/>
          <w:sz w:val="24"/>
          <w:szCs w:val="24"/>
          <w:lang/>
        </w:rPr>
        <w:t>{Підпункт 78.1.2 пункту 78.1 статті 78 із змінами, внесеними згідно із Законом </w:t>
      </w:r>
      <w:hyperlink r:id="rId1566" w:anchor="n22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567" w:anchor="n341"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081A44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5" w:name="n1793"/>
      <w:bookmarkEnd w:id="2855"/>
      <w:r w:rsidRPr="008B264B">
        <w:rPr>
          <w:rFonts w:ascii="Times New Roman" w:eastAsia="Times New Roman" w:hAnsi="Times New Roman" w:cs="Times New Roman"/>
          <w:color w:val="000000"/>
          <w:sz w:val="24"/>
          <w:szCs w:val="24"/>
          <w:lang/>
        </w:rPr>
        <w:t>78.1.3. платником податків подано контролюючому органу уточнюючий розрахунок з відповідного податку за період, який перевірявся контролюючим органом;</w:t>
      </w:r>
    </w:p>
    <w:p w14:paraId="72D131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6" w:name="n1794"/>
      <w:bookmarkEnd w:id="2856"/>
      <w:r w:rsidRPr="008B264B">
        <w:rPr>
          <w:rFonts w:ascii="Times New Roman" w:eastAsia="Times New Roman" w:hAnsi="Times New Roman" w:cs="Times New Roman"/>
          <w:color w:val="000000"/>
          <w:sz w:val="24"/>
          <w:szCs w:val="24"/>
          <w:lang/>
        </w:rPr>
        <w:t>78.1.4. виявлено недостовірність даних, що містяться у податкових деклараціях, поданих платником податків, якщо платник податків не надасть пояснення та їх документальні підтвердження на письмовий запит контролюючого органу, в якому зазначено виявлену недостовірність даних та відповідну декларацію протягом 15 робочих днів з дня, наступного за днем отримання запиту;</w:t>
      </w:r>
    </w:p>
    <w:p w14:paraId="5E5373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7" w:name="n9497"/>
      <w:bookmarkEnd w:id="2857"/>
      <w:r w:rsidRPr="008B264B">
        <w:rPr>
          <w:rFonts w:ascii="Times New Roman" w:eastAsia="Times New Roman" w:hAnsi="Times New Roman" w:cs="Times New Roman"/>
          <w:i/>
          <w:iCs/>
          <w:color w:val="000000"/>
          <w:sz w:val="24"/>
          <w:szCs w:val="24"/>
          <w:lang/>
        </w:rPr>
        <w:t>{Підпункт 78.1.4 пункту 78.1 статті 78 із змінами, внесеними згідно із Законами </w:t>
      </w:r>
      <w:hyperlink r:id="rId1568" w:anchor="n5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569" w:anchor="n6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2911C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8" w:name="n1795"/>
      <w:bookmarkEnd w:id="2858"/>
      <w:r w:rsidRPr="008B264B">
        <w:rPr>
          <w:rFonts w:ascii="Times New Roman" w:eastAsia="Times New Roman" w:hAnsi="Times New Roman" w:cs="Times New Roman"/>
          <w:color w:val="000000"/>
          <w:sz w:val="24"/>
          <w:szCs w:val="24"/>
          <w:lang/>
        </w:rPr>
        <w:t>78.1.5. платником податків подано в установленому порядку контролюючому органу заперечення до акта перевірки та/або додаткові документи в порядку, визначеному </w:t>
      </w:r>
      <w:hyperlink r:id="rId1570"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 або скаргу на прийняте за її результатами податкове повідомлення-рішення, в яких вимагається повний або частковий перегляд результатів відповідної перевірки або скасування прийнятого за її результатами податкового повідомлення-рішення у разі, коли платник податків у своїй скарзі (запереченнях) посилається на обставини, що не були досліджені під час перевірки, та об'єктивний їх розгляд неможливий без проведення перевірки. Така перевірка проводиться виключно з питань, що стали предметом оскарження.</w:t>
      </w:r>
    </w:p>
    <w:p w14:paraId="53ED5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59" w:name="n13911"/>
      <w:bookmarkEnd w:id="2859"/>
      <w:r w:rsidRPr="008B264B">
        <w:rPr>
          <w:rFonts w:ascii="Times New Roman" w:eastAsia="Times New Roman" w:hAnsi="Times New Roman" w:cs="Times New Roman"/>
          <w:color w:val="000000"/>
          <w:sz w:val="24"/>
          <w:szCs w:val="24"/>
          <w:lang/>
        </w:rPr>
        <w:t>Наказ про проведення документальної позапланової перевірки з підстав, зазначених у цьому підпункті, видається:</w:t>
      </w:r>
    </w:p>
    <w:p w14:paraId="548625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0" w:name="n13915"/>
      <w:bookmarkEnd w:id="2860"/>
      <w:r w:rsidRPr="008B264B">
        <w:rPr>
          <w:rFonts w:ascii="Times New Roman" w:eastAsia="Times New Roman" w:hAnsi="Times New Roman" w:cs="Times New Roman"/>
          <w:i/>
          <w:iCs/>
          <w:color w:val="000000"/>
          <w:sz w:val="24"/>
          <w:szCs w:val="24"/>
          <w:lang/>
        </w:rPr>
        <w:t>{Підпункт 78.1.5 пункту 78.1 статті 78 доповнено абзацом другим згідно із Законом </w:t>
      </w:r>
      <w:hyperlink r:id="rId1571" w:anchor="n6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95672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1" w:name="n13912"/>
      <w:bookmarkEnd w:id="2861"/>
      <w:r w:rsidRPr="008B264B">
        <w:rPr>
          <w:rFonts w:ascii="Times New Roman" w:eastAsia="Times New Roman" w:hAnsi="Times New Roman" w:cs="Times New Roman"/>
          <w:color w:val="000000"/>
          <w:sz w:val="24"/>
          <w:szCs w:val="24"/>
          <w:lang/>
        </w:rPr>
        <w:t>у разі розгляду заперечення до акта перевірки та/або додаткових документів у порядку, визначеному </w:t>
      </w:r>
      <w:hyperlink r:id="rId1572"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 - контролюючим органом, який проводив перевірку;</w:t>
      </w:r>
    </w:p>
    <w:p w14:paraId="44796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2" w:name="n13914"/>
      <w:bookmarkEnd w:id="2862"/>
      <w:r w:rsidRPr="008B264B">
        <w:rPr>
          <w:rFonts w:ascii="Times New Roman" w:eastAsia="Times New Roman" w:hAnsi="Times New Roman" w:cs="Times New Roman"/>
          <w:i/>
          <w:iCs/>
          <w:color w:val="000000"/>
          <w:sz w:val="24"/>
          <w:szCs w:val="24"/>
          <w:lang/>
        </w:rPr>
        <w:t>{Підпункт 78.1.5 пункту 78.1 статті 78 доповнено абзацом третім згідно із Законом </w:t>
      </w:r>
      <w:hyperlink r:id="rId1573" w:anchor="n6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CC79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3" w:name="n13913"/>
      <w:bookmarkEnd w:id="2863"/>
      <w:r w:rsidRPr="008B264B">
        <w:rPr>
          <w:rFonts w:ascii="Times New Roman" w:eastAsia="Times New Roman" w:hAnsi="Times New Roman" w:cs="Times New Roman"/>
          <w:color w:val="000000"/>
          <w:sz w:val="24"/>
          <w:szCs w:val="24"/>
          <w:lang/>
        </w:rPr>
        <w:lastRenderedPageBreak/>
        <w:t>під час проведення процедури адміністративного оскарження - контролюючим органом вищого рівня, який розглядає скаргу платника податків;</w:t>
      </w:r>
    </w:p>
    <w:p w14:paraId="3F6271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4" w:name="n13910"/>
      <w:bookmarkEnd w:id="2864"/>
      <w:r w:rsidRPr="008B264B">
        <w:rPr>
          <w:rFonts w:ascii="Times New Roman" w:eastAsia="Times New Roman" w:hAnsi="Times New Roman" w:cs="Times New Roman"/>
          <w:i/>
          <w:iCs/>
          <w:color w:val="000000"/>
          <w:sz w:val="24"/>
          <w:szCs w:val="24"/>
          <w:lang/>
        </w:rPr>
        <w:t>{Підпункт 78.1.5 пункту 78.1 статті 78 доповнено абзацом четвертим згідно із Законом </w:t>
      </w:r>
      <w:hyperlink r:id="rId1574" w:anchor="n6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B853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5" w:name="n13909"/>
      <w:bookmarkEnd w:id="2865"/>
      <w:r w:rsidRPr="008B264B">
        <w:rPr>
          <w:rFonts w:ascii="Times New Roman" w:eastAsia="Times New Roman" w:hAnsi="Times New Roman" w:cs="Times New Roman"/>
          <w:i/>
          <w:iCs/>
          <w:color w:val="000000"/>
          <w:sz w:val="24"/>
          <w:szCs w:val="24"/>
          <w:lang/>
        </w:rPr>
        <w:t>{Підпункт 78.1.5 пункту 78.1 статті 78 із змінами, внесеними згідно із Законом </w:t>
      </w:r>
      <w:hyperlink r:id="rId1575" w:anchor="n6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6F18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6" w:name="n1796"/>
      <w:bookmarkEnd w:id="2866"/>
      <w:r w:rsidRPr="008B264B">
        <w:rPr>
          <w:rFonts w:ascii="Times New Roman" w:eastAsia="Times New Roman" w:hAnsi="Times New Roman" w:cs="Times New Roman"/>
          <w:color w:val="000000"/>
          <w:sz w:val="24"/>
          <w:szCs w:val="24"/>
          <w:lang/>
        </w:rPr>
        <w:t>78.1.6. виключено;</w:t>
      </w:r>
    </w:p>
    <w:p w14:paraId="0104E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7" w:name="n1797"/>
      <w:bookmarkEnd w:id="2867"/>
      <w:r w:rsidRPr="008B264B">
        <w:rPr>
          <w:rFonts w:ascii="Times New Roman" w:eastAsia="Times New Roman" w:hAnsi="Times New Roman" w:cs="Times New Roman"/>
          <w:color w:val="000000"/>
          <w:sz w:val="24"/>
          <w:szCs w:val="24"/>
          <w:lang/>
        </w:rPr>
        <w:t>78.1.7. розпочато процедуру реорганізації юридичної особи (крім перетворення), припинення юридичної особи або підприємницької діяльності фізичної особи - підприємця, закриття постійного представництва чи відокремленого підрозділу юридичної особи, в тому числі іноземної компанії, організації, порушено провадження у справі про визнання банкрутом платника податків або подано заяву про зняття з обліку платника податків;</w:t>
      </w:r>
    </w:p>
    <w:p w14:paraId="33397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8" w:name="n9498"/>
      <w:bookmarkEnd w:id="2868"/>
      <w:r w:rsidRPr="008B264B">
        <w:rPr>
          <w:rFonts w:ascii="Times New Roman" w:eastAsia="Times New Roman" w:hAnsi="Times New Roman" w:cs="Times New Roman"/>
          <w:i/>
          <w:iCs/>
          <w:color w:val="000000"/>
          <w:sz w:val="24"/>
          <w:szCs w:val="24"/>
          <w:lang/>
        </w:rPr>
        <w:t>{Підпункт 78.1.7 пункту 78.1 статті 78 із змінами, внесеними згідно із Законом </w:t>
      </w:r>
      <w:hyperlink r:id="rId1576" w:anchor="n5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EB7A3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69" w:name="n1798"/>
      <w:bookmarkEnd w:id="2869"/>
      <w:r w:rsidRPr="008B264B">
        <w:rPr>
          <w:rFonts w:ascii="Times New Roman" w:eastAsia="Times New Roman" w:hAnsi="Times New Roman" w:cs="Times New Roman"/>
          <w:i/>
          <w:iCs/>
          <w:color w:val="000000"/>
          <w:sz w:val="24"/>
          <w:szCs w:val="24"/>
          <w:lang/>
        </w:rPr>
        <w:t>{Дія підпункту 78.1.8 пункту 78.1 статті 78 призупиняється з 1 липня 2015 року до 1 січня 2017 року - див. </w:t>
      </w:r>
      <w:hyperlink r:id="rId1577" w:anchor="n12129" w:history="1">
        <w:r w:rsidRPr="008B264B">
          <w:rPr>
            <w:rFonts w:ascii="Times New Roman" w:eastAsia="Times New Roman" w:hAnsi="Times New Roman" w:cs="Times New Roman"/>
            <w:i/>
            <w:iCs/>
            <w:color w:val="0000FF"/>
            <w:sz w:val="24"/>
            <w:szCs w:val="24"/>
            <w:u w:val="single"/>
            <w:lang/>
          </w:rPr>
          <w:t>пункт 37</w:t>
        </w:r>
      </w:hyperlink>
      <w:r w:rsidRPr="008B264B">
        <w:rPr>
          <w:rFonts w:ascii="Times New Roman" w:eastAsia="Times New Roman" w:hAnsi="Times New Roman" w:cs="Times New Roman"/>
          <w:i/>
          <w:iCs/>
          <w:color w:val="000000"/>
          <w:sz w:val="24"/>
          <w:szCs w:val="24"/>
          <w:lang/>
        </w:rPr>
        <w:t> підрозділу 2 розділу XX цього Кодексу} </w:t>
      </w:r>
      <w:r w:rsidRPr="008B264B">
        <w:rPr>
          <w:rFonts w:ascii="Times New Roman" w:eastAsia="Times New Roman" w:hAnsi="Times New Roman" w:cs="Times New Roman"/>
          <w:color w:val="000000"/>
          <w:sz w:val="24"/>
          <w:szCs w:val="24"/>
          <w:lang/>
        </w:rPr>
        <w:t>78.1.8. платником подано декларацію, в якій заявлено до відшкодування з бюджету податок на додану вартість, за наявності підстав для перевірки, визначених у </w:t>
      </w:r>
      <w:hyperlink r:id="rId1578" w:anchor="n4379" w:history="1">
        <w:r w:rsidRPr="008B264B">
          <w:rPr>
            <w:rFonts w:ascii="Times New Roman" w:eastAsia="Times New Roman" w:hAnsi="Times New Roman" w:cs="Times New Roman"/>
            <w:color w:val="0000FF"/>
            <w:sz w:val="24"/>
            <w:szCs w:val="24"/>
            <w:u w:val="single"/>
            <w:lang/>
          </w:rPr>
          <w:t>розділі V</w:t>
        </w:r>
      </w:hyperlink>
      <w:r w:rsidRPr="008B264B">
        <w:rPr>
          <w:rFonts w:ascii="Times New Roman" w:eastAsia="Times New Roman" w:hAnsi="Times New Roman" w:cs="Times New Roman"/>
          <w:color w:val="000000"/>
          <w:sz w:val="24"/>
          <w:szCs w:val="24"/>
          <w:lang/>
        </w:rPr>
        <w:t> цього Кодексу, та/або з від'ємним значенням з податку на додану вартість, яке становить більше 100 тис. гривень.</w:t>
      </w:r>
    </w:p>
    <w:p w14:paraId="2604E7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0" w:name="n1799"/>
      <w:bookmarkEnd w:id="2870"/>
      <w:r w:rsidRPr="008B264B">
        <w:rPr>
          <w:rFonts w:ascii="Times New Roman" w:eastAsia="Times New Roman" w:hAnsi="Times New Roman" w:cs="Times New Roman"/>
          <w:color w:val="000000"/>
          <w:sz w:val="24"/>
          <w:szCs w:val="24"/>
          <w:lang/>
        </w:rPr>
        <w:t>Документальна позапланова перевірка з підстав, визначених у цьому підпункті, проводиться виключно щодо законності декларування заявленого до відшкодування з бюджету податку на додану вартість та/або з від'ємного значення з податку на додану вартість, яке становить більше 100 тис. гривень;</w:t>
      </w:r>
    </w:p>
    <w:p w14:paraId="253F32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1" w:name="n1800"/>
      <w:bookmarkEnd w:id="2871"/>
      <w:r w:rsidRPr="008B264B">
        <w:rPr>
          <w:rFonts w:ascii="Times New Roman" w:eastAsia="Times New Roman" w:hAnsi="Times New Roman" w:cs="Times New Roman"/>
          <w:i/>
          <w:iCs/>
          <w:color w:val="000000"/>
          <w:sz w:val="24"/>
          <w:szCs w:val="24"/>
          <w:lang/>
        </w:rPr>
        <w:t>{Абзац другий підпункту 78.1.8 пункту 78.1 статті 78 із змінами, внесеними згідно із Законом </w:t>
      </w:r>
      <w:hyperlink r:id="rId1579" w:anchor="n9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48D64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2" w:name="n1801"/>
      <w:bookmarkEnd w:id="2872"/>
      <w:r w:rsidRPr="008B264B">
        <w:rPr>
          <w:rFonts w:ascii="Times New Roman" w:eastAsia="Times New Roman" w:hAnsi="Times New Roman" w:cs="Times New Roman"/>
          <w:color w:val="000000"/>
          <w:sz w:val="24"/>
          <w:szCs w:val="24"/>
          <w:lang/>
        </w:rPr>
        <w:t>78.1.9. щодо платника податку подано скаргу:</w:t>
      </w:r>
    </w:p>
    <w:p w14:paraId="3F5938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3" w:name="n12672"/>
      <w:bookmarkEnd w:id="2873"/>
      <w:r w:rsidRPr="008B264B">
        <w:rPr>
          <w:rFonts w:ascii="Times New Roman" w:eastAsia="Times New Roman" w:hAnsi="Times New Roman" w:cs="Times New Roman"/>
          <w:color w:val="000000"/>
          <w:sz w:val="24"/>
          <w:szCs w:val="24"/>
          <w:lang/>
        </w:rPr>
        <w:t>про ненадання таким платником податків податкової накладної покупцю або про допущення продавцем товарів/послуг помилок при зазначенні обов’язкових реквізитів податкової накладної, передбачених </w:t>
      </w:r>
      <w:hyperlink r:id="rId1580" w:anchor="n10396" w:history="1">
        <w:r w:rsidRPr="008B264B">
          <w:rPr>
            <w:rFonts w:ascii="Times New Roman" w:eastAsia="Times New Roman" w:hAnsi="Times New Roman" w:cs="Times New Roman"/>
            <w:color w:val="0000FF"/>
            <w:sz w:val="24"/>
            <w:szCs w:val="24"/>
            <w:u w:val="single"/>
            <w:lang/>
          </w:rPr>
          <w:t>пунктом 201.1</w:t>
        </w:r>
      </w:hyperlink>
      <w:r w:rsidRPr="008B264B">
        <w:rPr>
          <w:rFonts w:ascii="Times New Roman" w:eastAsia="Times New Roman" w:hAnsi="Times New Roman" w:cs="Times New Roman"/>
          <w:color w:val="000000"/>
          <w:sz w:val="24"/>
          <w:szCs w:val="24"/>
          <w:lang/>
        </w:rPr>
        <w:t> статті 201 цього Кодексу, та/або порушення продавцем/покупцем граничних термінів реєстрації в Єдиному реєстрі податкових накладних податкової накладної та/або розрахунку коригування у разі ненадання таким платником податків протягом 15 робочих днів з дня, наступного за днем отримання письмового запиту контролюючого органу, в якому зазначається інформація із скарги, пояснень та документального підтвердження на цей запит;</w:t>
      </w:r>
    </w:p>
    <w:p w14:paraId="5CD07E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4" w:name="n13916"/>
      <w:bookmarkEnd w:id="2874"/>
      <w:r w:rsidRPr="008B264B">
        <w:rPr>
          <w:rFonts w:ascii="Times New Roman" w:eastAsia="Times New Roman" w:hAnsi="Times New Roman" w:cs="Times New Roman"/>
          <w:i/>
          <w:iCs/>
          <w:color w:val="000000"/>
          <w:sz w:val="24"/>
          <w:szCs w:val="24"/>
          <w:lang/>
        </w:rPr>
        <w:t>{Абзац другий підпункту 78.1.9 пункту 78.1 статті 78 із змінами, внесеними згідно із Законом </w:t>
      </w:r>
      <w:hyperlink r:id="rId1581" w:anchor="n6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8310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5" w:name="n12673"/>
      <w:bookmarkEnd w:id="2875"/>
      <w:r w:rsidRPr="008B264B">
        <w:rPr>
          <w:rFonts w:ascii="Times New Roman" w:eastAsia="Times New Roman" w:hAnsi="Times New Roman" w:cs="Times New Roman"/>
          <w:color w:val="000000"/>
          <w:sz w:val="24"/>
          <w:szCs w:val="24"/>
          <w:lang/>
        </w:rPr>
        <w:t>або</w:t>
      </w:r>
    </w:p>
    <w:p w14:paraId="501FC2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6" w:name="n12674"/>
      <w:bookmarkEnd w:id="2876"/>
      <w:r w:rsidRPr="008B264B">
        <w:rPr>
          <w:rFonts w:ascii="Times New Roman" w:eastAsia="Times New Roman" w:hAnsi="Times New Roman" w:cs="Times New Roman"/>
          <w:color w:val="000000"/>
          <w:sz w:val="24"/>
          <w:szCs w:val="24"/>
          <w:lang/>
        </w:rPr>
        <w:t>про ненадання таким платником податків акцизної накладної покупцю або про порушення порядку заповнення та/або порядку реєстрації акцизної накладної у разі ненадання таким платником податків протягом 15 робочих днів з дня, наступного за днем отримання письмового запиту контролюючого органу, в якому зазначається інформація із скарги, пояснень та документального підтвердження на цей запит;</w:t>
      </w:r>
    </w:p>
    <w:p w14:paraId="6D800A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7" w:name="n9499"/>
      <w:bookmarkEnd w:id="2877"/>
      <w:r w:rsidRPr="008B264B">
        <w:rPr>
          <w:rFonts w:ascii="Times New Roman" w:eastAsia="Times New Roman" w:hAnsi="Times New Roman" w:cs="Times New Roman"/>
          <w:i/>
          <w:iCs/>
          <w:color w:val="000000"/>
          <w:sz w:val="24"/>
          <w:szCs w:val="24"/>
          <w:lang/>
        </w:rPr>
        <w:t>{Підпункт 78.1.9 пункту 78.1 статті 78 із змінами, внесеними згідно із Законом </w:t>
      </w:r>
      <w:hyperlink r:id="rId1582" w:anchor="n5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1583" w:anchor="n6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584" w:anchor="n6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3046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8" w:name="n1802"/>
      <w:bookmarkEnd w:id="2878"/>
      <w:r w:rsidRPr="008B264B">
        <w:rPr>
          <w:rFonts w:ascii="Times New Roman" w:eastAsia="Times New Roman" w:hAnsi="Times New Roman" w:cs="Times New Roman"/>
          <w:color w:val="000000"/>
          <w:sz w:val="24"/>
          <w:szCs w:val="24"/>
          <w:lang/>
        </w:rPr>
        <w:t>78.1.10. виключено;</w:t>
      </w:r>
    </w:p>
    <w:p w14:paraId="2B1F71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79" w:name="n1803"/>
      <w:bookmarkEnd w:id="2879"/>
      <w:r w:rsidRPr="008B264B">
        <w:rPr>
          <w:rFonts w:ascii="Times New Roman" w:eastAsia="Times New Roman" w:hAnsi="Times New Roman" w:cs="Times New Roman"/>
          <w:color w:val="000000"/>
          <w:sz w:val="24"/>
          <w:szCs w:val="24"/>
          <w:lang/>
        </w:rPr>
        <w:lastRenderedPageBreak/>
        <w:t>78.1.11. отримано судове рішення суду (слідчого судді) про призначення перевірки, винесену ними відповідно до закону;</w:t>
      </w:r>
    </w:p>
    <w:p w14:paraId="704BB0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0" w:name="n1804"/>
      <w:bookmarkEnd w:id="2880"/>
      <w:r w:rsidRPr="008B264B">
        <w:rPr>
          <w:rFonts w:ascii="Times New Roman" w:eastAsia="Times New Roman" w:hAnsi="Times New Roman" w:cs="Times New Roman"/>
          <w:i/>
          <w:iCs/>
          <w:color w:val="000000"/>
          <w:sz w:val="24"/>
          <w:szCs w:val="24"/>
          <w:lang/>
        </w:rPr>
        <w:t>{Підпункт 78.1.11 пункту 78.1 статті 78 в редакції Закону </w:t>
      </w:r>
      <w:hyperlink r:id="rId1585" w:anchor="n17"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586" w:anchor="n6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C025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1" w:name="n1805"/>
      <w:bookmarkEnd w:id="2881"/>
      <w:r w:rsidRPr="008B264B">
        <w:rPr>
          <w:rFonts w:ascii="Times New Roman" w:eastAsia="Times New Roman" w:hAnsi="Times New Roman" w:cs="Times New Roman"/>
          <w:color w:val="000000"/>
          <w:sz w:val="24"/>
          <w:szCs w:val="24"/>
          <w:lang/>
        </w:rPr>
        <w:t>78.1.12. контролюючим органом вищого рівня в порядку контролю за діями або бездіяльністю посадових осіб контролюючого органу нижчого рівня здійснено перевірку документів обов'язкової звітності платника податків або матеріалів документальної перевірки, проведеної контролюючим органом нижчого рівня, і виявлено невідповідність висновків акта перевірки вимогам законодавства або неповне з'ясування під час перевірки питань, що повинні бути з'ясовані під час перевірки для винесення об'єктивного висновку щодо дотримання платником податків вимог законодавства, контроль за дотриманням якого покладено на контролюючі органи.</w:t>
      </w:r>
    </w:p>
    <w:p w14:paraId="4067AB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2" w:name="n1806"/>
      <w:bookmarkEnd w:id="2882"/>
      <w:r w:rsidRPr="008B264B">
        <w:rPr>
          <w:rFonts w:ascii="Times New Roman" w:eastAsia="Times New Roman" w:hAnsi="Times New Roman" w:cs="Times New Roman"/>
          <w:color w:val="000000"/>
          <w:sz w:val="24"/>
          <w:szCs w:val="24"/>
          <w:lang/>
        </w:rPr>
        <w:t>Наказ про проведення документальної позапланової перевірки в цьому випадку приймається контролюючим органом вищого рівня лише у тому разі, коли стосовно посадових осіб контролюючого органу нижчого рівня, які проводили документальну перевірку зазначеного платника податків, розпочато службове розслідування або їм повідомлено про підозру у вчиненні кримінального правопорушення;</w:t>
      </w:r>
    </w:p>
    <w:p w14:paraId="6433A0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3" w:name="n1807"/>
      <w:bookmarkEnd w:id="2883"/>
      <w:r w:rsidRPr="008B264B">
        <w:rPr>
          <w:rFonts w:ascii="Times New Roman" w:eastAsia="Times New Roman" w:hAnsi="Times New Roman" w:cs="Times New Roman"/>
          <w:i/>
          <w:iCs/>
          <w:color w:val="000000"/>
          <w:sz w:val="24"/>
          <w:szCs w:val="24"/>
          <w:lang/>
        </w:rPr>
        <w:t>{Абзац другий підпункту 78.1.12 пункту 78.1 статті 78 із змінами, внесеними згідно із Законами </w:t>
      </w:r>
      <w:hyperlink r:id="rId1587" w:anchor="n19"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 </w:t>
      </w:r>
      <w:hyperlink r:id="rId1588" w:anchor="n65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AA45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4" w:name="n1808"/>
      <w:bookmarkEnd w:id="2884"/>
      <w:r w:rsidRPr="008B264B">
        <w:rPr>
          <w:rFonts w:ascii="Times New Roman" w:eastAsia="Times New Roman" w:hAnsi="Times New Roman" w:cs="Times New Roman"/>
          <w:color w:val="000000"/>
          <w:sz w:val="24"/>
          <w:szCs w:val="24"/>
          <w:lang/>
        </w:rPr>
        <w:t>78.1.13. у разі отримання інформації про ухилення податковим агентом від оподаткування виплаченої (нарахованої) найманим особам (у тому числі без документального оформлення) заробітної плати, пасивних доходів, додаткових благ, інших виплат та відшкодувань, що підлягають оподаткуванню, у тому числі внаслідок неукладення платником податків трудових договорів з найманими особами згідно із законом, а також здійснення особою господарської діяльності без державної реєстрації. Така перевірка проводиться виключно з питань, що стали підставою для проведення такої перевірки;</w:t>
      </w:r>
    </w:p>
    <w:p w14:paraId="3E48A7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5" w:name="n9233"/>
      <w:bookmarkEnd w:id="2885"/>
      <w:r w:rsidRPr="008B264B">
        <w:rPr>
          <w:rFonts w:ascii="Times New Roman" w:eastAsia="Times New Roman" w:hAnsi="Times New Roman" w:cs="Times New Roman"/>
          <w:color w:val="000000"/>
          <w:sz w:val="24"/>
          <w:szCs w:val="24"/>
          <w:lang/>
        </w:rPr>
        <w:t>78.1.14. у разі отримання документально підтвердженої інформації та даних, що свідчать про невідповідність умов контрольованої операції принципу "витягнутої руки" та/або встановлення невідповідності умов контрольованої операції принципу "витягнутої руки" у порядку, передбаченому </w:t>
      </w:r>
      <w:hyperlink r:id="rId1589" w:anchor="n11085" w:history="1">
        <w:r w:rsidRPr="008B264B">
          <w:rPr>
            <w:rFonts w:ascii="Times New Roman" w:eastAsia="Times New Roman" w:hAnsi="Times New Roman" w:cs="Times New Roman"/>
            <w:color w:val="0000FF"/>
            <w:sz w:val="24"/>
            <w:szCs w:val="24"/>
            <w:u w:val="single"/>
            <w:lang/>
          </w:rPr>
          <w:t>підпунктом 39.5.1.1</w:t>
        </w:r>
      </w:hyperlink>
      <w:r w:rsidRPr="008B264B">
        <w:rPr>
          <w:rFonts w:ascii="Times New Roman" w:eastAsia="Times New Roman" w:hAnsi="Times New Roman" w:cs="Times New Roman"/>
          <w:color w:val="000000"/>
          <w:sz w:val="24"/>
          <w:szCs w:val="24"/>
          <w:lang/>
        </w:rPr>
        <w:t> підпункту 39.5.1 пункту 39.5 статті 39 цього Кодексу;</w:t>
      </w:r>
    </w:p>
    <w:p w14:paraId="0450B7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6" w:name="n9235"/>
      <w:bookmarkEnd w:id="2886"/>
      <w:r w:rsidRPr="008B264B">
        <w:rPr>
          <w:rFonts w:ascii="Times New Roman" w:eastAsia="Times New Roman" w:hAnsi="Times New Roman" w:cs="Times New Roman"/>
          <w:i/>
          <w:iCs/>
          <w:color w:val="000000"/>
          <w:sz w:val="24"/>
          <w:szCs w:val="24"/>
          <w:lang/>
        </w:rPr>
        <w:t>{Пункт 78.1 статті 78 доповнено підпунктом 78.1.14 згідно із Законом </w:t>
      </w:r>
      <w:hyperlink r:id="rId1590" w:anchor="n349"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Закону </w:t>
      </w:r>
      <w:hyperlink r:id="rId1591" w:anchor="n343"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278928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7" w:name="n9234"/>
      <w:bookmarkEnd w:id="2887"/>
      <w:r w:rsidRPr="008B264B">
        <w:rPr>
          <w:rFonts w:ascii="Times New Roman" w:eastAsia="Times New Roman" w:hAnsi="Times New Roman" w:cs="Times New Roman"/>
          <w:color w:val="000000"/>
          <w:sz w:val="24"/>
          <w:szCs w:val="24"/>
          <w:lang/>
        </w:rPr>
        <w:t>78.1.15. неподання платником податків або подання з порушенням вимог </w:t>
      </w:r>
      <w:hyperlink r:id="rId1592"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статті 39 цього Кодексу звіту про контрольовані операції та/або документації з трансфертного ціноутворення або у разі встановлення порушень під час моніторингу такого звіту або документації відповідно до вимог </w:t>
      </w:r>
      <w:hyperlink r:id="rId1593" w:anchor="n11058" w:history="1">
        <w:r w:rsidRPr="008B264B">
          <w:rPr>
            <w:rFonts w:ascii="Times New Roman" w:eastAsia="Times New Roman" w:hAnsi="Times New Roman" w:cs="Times New Roman"/>
            <w:color w:val="0000FF"/>
            <w:sz w:val="24"/>
            <w:szCs w:val="24"/>
            <w:u w:val="single"/>
            <w:lang/>
          </w:rPr>
          <w:t>пунктів 39.4</w:t>
        </w:r>
      </w:hyperlink>
      <w:r w:rsidRPr="008B264B">
        <w:rPr>
          <w:rFonts w:ascii="Times New Roman" w:eastAsia="Times New Roman" w:hAnsi="Times New Roman" w:cs="Times New Roman"/>
          <w:color w:val="000000"/>
          <w:sz w:val="24"/>
          <w:szCs w:val="24"/>
          <w:lang/>
        </w:rPr>
        <w:t> і </w:t>
      </w:r>
      <w:hyperlink r:id="rId1594" w:anchor="n11083" w:history="1">
        <w:r w:rsidRPr="008B264B">
          <w:rPr>
            <w:rFonts w:ascii="Times New Roman" w:eastAsia="Times New Roman" w:hAnsi="Times New Roman" w:cs="Times New Roman"/>
            <w:color w:val="0000FF"/>
            <w:sz w:val="24"/>
            <w:szCs w:val="24"/>
            <w:u w:val="single"/>
            <w:lang/>
          </w:rPr>
          <w:t>39.5</w:t>
        </w:r>
      </w:hyperlink>
      <w:r w:rsidRPr="008B264B">
        <w:rPr>
          <w:rFonts w:ascii="Times New Roman" w:eastAsia="Times New Roman" w:hAnsi="Times New Roman" w:cs="Times New Roman"/>
          <w:color w:val="000000"/>
          <w:sz w:val="24"/>
          <w:szCs w:val="24"/>
          <w:lang/>
        </w:rPr>
        <w:t> статті 39 цього Кодексу;</w:t>
      </w:r>
    </w:p>
    <w:p w14:paraId="53DA3A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8" w:name="n9232"/>
      <w:bookmarkEnd w:id="2888"/>
      <w:r w:rsidRPr="008B264B">
        <w:rPr>
          <w:rFonts w:ascii="Times New Roman" w:eastAsia="Times New Roman" w:hAnsi="Times New Roman" w:cs="Times New Roman"/>
          <w:i/>
          <w:iCs/>
          <w:color w:val="000000"/>
          <w:sz w:val="24"/>
          <w:szCs w:val="24"/>
          <w:lang/>
        </w:rPr>
        <w:t>{Пункт 78.1 статті 78 доповнено підпунктом 78.1.15 згідно із Законом </w:t>
      </w:r>
      <w:hyperlink r:id="rId1595" w:anchor="n349"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Закону </w:t>
      </w:r>
      <w:hyperlink r:id="rId1596" w:anchor="n343"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760BC7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89" w:name="n11174"/>
      <w:bookmarkEnd w:id="2889"/>
      <w:r w:rsidRPr="008B264B">
        <w:rPr>
          <w:rFonts w:ascii="Times New Roman" w:eastAsia="Times New Roman" w:hAnsi="Times New Roman" w:cs="Times New Roman"/>
          <w:color w:val="000000"/>
          <w:sz w:val="24"/>
          <w:szCs w:val="24"/>
          <w:lang/>
        </w:rPr>
        <w:t>78.1.16. отримано звіт про контрольовані операції, надісланий платником податків відповідно до </w:t>
      </w:r>
      <w:hyperlink r:id="rId1597"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статті 39 цього Кодексу. У такому разі перевірка проводиться виключно з питань контролю трансфертного ціноутворення;</w:t>
      </w:r>
    </w:p>
    <w:p w14:paraId="3CFA73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0" w:name="n11172"/>
      <w:bookmarkEnd w:id="2890"/>
      <w:r w:rsidRPr="008B264B">
        <w:rPr>
          <w:rFonts w:ascii="Times New Roman" w:eastAsia="Times New Roman" w:hAnsi="Times New Roman" w:cs="Times New Roman"/>
          <w:i/>
          <w:iCs/>
          <w:color w:val="000000"/>
          <w:sz w:val="24"/>
          <w:szCs w:val="24"/>
          <w:lang/>
        </w:rPr>
        <w:t>{Підпункт пункту 78.1 статті 78  в редакції Закону </w:t>
      </w:r>
      <w:hyperlink r:id="rId1598" w:anchor="n343"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6F2082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1" w:name="n10570"/>
      <w:bookmarkEnd w:id="2891"/>
      <w:r w:rsidRPr="008B264B">
        <w:rPr>
          <w:rFonts w:ascii="Times New Roman" w:eastAsia="Times New Roman" w:hAnsi="Times New Roman" w:cs="Times New Roman"/>
          <w:color w:val="000000"/>
          <w:sz w:val="24"/>
          <w:szCs w:val="24"/>
          <w:lang/>
        </w:rPr>
        <w:t>78.1.17. платником податків не подано в установлений </w:t>
      </w:r>
      <w:hyperlink r:id="rId1599" w:anchor="n1272" w:history="1">
        <w:r w:rsidRPr="008B264B">
          <w:rPr>
            <w:rFonts w:ascii="Times New Roman" w:eastAsia="Times New Roman" w:hAnsi="Times New Roman" w:cs="Times New Roman"/>
            <w:color w:val="0000FF"/>
            <w:sz w:val="24"/>
            <w:szCs w:val="24"/>
            <w:u w:val="single"/>
            <w:lang/>
          </w:rPr>
          <w:t>пунктом 50.3</w:t>
        </w:r>
      </w:hyperlink>
      <w:r w:rsidRPr="008B264B">
        <w:rPr>
          <w:rFonts w:ascii="Times New Roman" w:eastAsia="Times New Roman" w:hAnsi="Times New Roman" w:cs="Times New Roman"/>
          <w:color w:val="000000"/>
          <w:sz w:val="24"/>
          <w:szCs w:val="24"/>
          <w:lang/>
        </w:rPr>
        <w:t> статті 50 цього Кодексу строк уточнюючий розрахунок для виправлення помилок, виявлених за результатами електронної перевірки, проведеної за заявою платника податків;</w:t>
      </w:r>
    </w:p>
    <w:p w14:paraId="4D44C2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2" w:name="n10572"/>
      <w:bookmarkEnd w:id="2892"/>
      <w:r w:rsidRPr="008B264B">
        <w:rPr>
          <w:rFonts w:ascii="Times New Roman" w:eastAsia="Times New Roman" w:hAnsi="Times New Roman" w:cs="Times New Roman"/>
          <w:i/>
          <w:iCs/>
          <w:color w:val="000000"/>
          <w:sz w:val="24"/>
          <w:szCs w:val="24"/>
          <w:lang/>
        </w:rPr>
        <w:t>{Пункт 78.1 статті 78 доповнено підпунктом 78.1.17 згідно із Законом </w:t>
      </w:r>
      <w:hyperlink r:id="rId1600" w:anchor="n2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E9CF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3" w:name="n10571"/>
      <w:bookmarkEnd w:id="2893"/>
      <w:r w:rsidRPr="008B264B">
        <w:rPr>
          <w:rFonts w:ascii="Times New Roman" w:eastAsia="Times New Roman" w:hAnsi="Times New Roman" w:cs="Times New Roman"/>
          <w:color w:val="000000"/>
          <w:sz w:val="24"/>
          <w:szCs w:val="24"/>
          <w:lang/>
        </w:rPr>
        <w:lastRenderedPageBreak/>
        <w:t>78.1.18. виявлено розбіжності даних, що містяться у зареєстрованих акцизних накладних/розрахунках коригування в Єдиному реєстрі акцизних накладних та деклараціях з акцизного податку, поданих платником акцизного податку, що реалізує пальне або спирт етиловий;</w:t>
      </w:r>
    </w:p>
    <w:p w14:paraId="61BFE2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4" w:name="n10569"/>
      <w:bookmarkEnd w:id="2894"/>
      <w:r w:rsidRPr="008B264B">
        <w:rPr>
          <w:rFonts w:ascii="Times New Roman" w:eastAsia="Times New Roman" w:hAnsi="Times New Roman" w:cs="Times New Roman"/>
          <w:i/>
          <w:iCs/>
          <w:color w:val="000000"/>
          <w:sz w:val="24"/>
          <w:szCs w:val="24"/>
          <w:lang/>
        </w:rPr>
        <w:t>{Пункт 78.1 статті 78 доповнено підпунктом 78.1.18 згідно із Законом </w:t>
      </w:r>
      <w:hyperlink r:id="rId1601" w:anchor="n2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602" w:anchor="n6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603" w:anchor="n14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97445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5" w:name="n13918"/>
      <w:bookmarkEnd w:id="2895"/>
      <w:r w:rsidRPr="008B264B">
        <w:rPr>
          <w:rFonts w:ascii="Times New Roman" w:eastAsia="Times New Roman" w:hAnsi="Times New Roman" w:cs="Times New Roman"/>
          <w:color w:val="000000"/>
          <w:sz w:val="24"/>
          <w:szCs w:val="24"/>
          <w:lang/>
        </w:rPr>
        <w:t>78.1.19. платником податків не надано для проведення зустрічної звірки інформацію, визначену у запиті контролюючого органу, протягом 10 робочих днів з дня, наступного за днем отримання запиту. Така перевірка проводиться виключно з питань, зазначених у запиті контролюючого органу.</w:t>
      </w:r>
    </w:p>
    <w:p w14:paraId="1C936D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6" w:name="n13917"/>
      <w:bookmarkEnd w:id="2896"/>
      <w:r w:rsidRPr="008B264B">
        <w:rPr>
          <w:rFonts w:ascii="Times New Roman" w:eastAsia="Times New Roman" w:hAnsi="Times New Roman" w:cs="Times New Roman"/>
          <w:i/>
          <w:iCs/>
          <w:color w:val="000000"/>
          <w:sz w:val="24"/>
          <w:szCs w:val="24"/>
          <w:lang/>
        </w:rPr>
        <w:t>{Пункт 78.1 статті 78 доповнено підпунктом 78.1.19 згідно із Законом </w:t>
      </w:r>
      <w:hyperlink r:id="rId1604" w:anchor="n6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E40D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7" w:name="n15929"/>
      <w:bookmarkEnd w:id="2897"/>
      <w:r w:rsidRPr="008B264B">
        <w:rPr>
          <w:rFonts w:ascii="Times New Roman" w:eastAsia="Times New Roman" w:hAnsi="Times New Roman" w:cs="Times New Roman"/>
          <w:color w:val="000000"/>
          <w:sz w:val="24"/>
          <w:szCs w:val="24"/>
          <w:lang/>
        </w:rPr>
        <w:t>78.1.20. платником податку подано заяву про проведення перевірки до поданої заявки на поповнення обсягів залишку пального відповідно до пункту 29 підрозділу 5 розділу XX "Перехідні положення" цього Кодексу.</w:t>
      </w:r>
    </w:p>
    <w:p w14:paraId="6DE788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8" w:name="n15928"/>
      <w:bookmarkEnd w:id="2898"/>
      <w:r w:rsidRPr="008B264B">
        <w:rPr>
          <w:rFonts w:ascii="Times New Roman" w:eastAsia="Times New Roman" w:hAnsi="Times New Roman" w:cs="Times New Roman"/>
          <w:i/>
          <w:iCs/>
          <w:color w:val="000000"/>
          <w:sz w:val="24"/>
          <w:szCs w:val="24"/>
          <w:lang/>
        </w:rPr>
        <w:t>{Пункт 78.1 статті 78 доповнено підпунктом 78.1.20 згідно із Законом </w:t>
      </w:r>
      <w:hyperlink r:id="rId1605" w:anchor="n3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66F40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899" w:name="n1809"/>
      <w:bookmarkEnd w:id="2899"/>
      <w:r w:rsidRPr="008B264B">
        <w:rPr>
          <w:rFonts w:ascii="Times New Roman" w:eastAsia="Times New Roman" w:hAnsi="Times New Roman" w:cs="Times New Roman"/>
          <w:color w:val="000000"/>
          <w:sz w:val="24"/>
          <w:szCs w:val="24"/>
          <w:lang/>
        </w:rPr>
        <w:t>78.2. Обмеження у підставах проведення перевірок платників податків, визначені цим Кодексом, не поширюються на перевірки, що проводяться на звернення такого платника податків, або перевірки, що проводяться у межах кримінального провадження.</w:t>
      </w:r>
    </w:p>
    <w:p w14:paraId="550670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0" w:name="n10574"/>
      <w:bookmarkEnd w:id="2900"/>
      <w:r w:rsidRPr="008B264B">
        <w:rPr>
          <w:rFonts w:ascii="Times New Roman" w:eastAsia="Times New Roman" w:hAnsi="Times New Roman" w:cs="Times New Roman"/>
          <w:color w:val="000000"/>
          <w:sz w:val="24"/>
          <w:szCs w:val="24"/>
          <w:lang/>
        </w:rPr>
        <w:t>Контролюючим органам забороняється проводити документальні позапланові перевірки, які передбачені </w:t>
      </w:r>
      <w:hyperlink r:id="rId1606" w:anchor="n1791" w:history="1">
        <w:r w:rsidRPr="008B264B">
          <w:rPr>
            <w:rFonts w:ascii="Times New Roman" w:eastAsia="Times New Roman" w:hAnsi="Times New Roman" w:cs="Times New Roman"/>
            <w:color w:val="0000FF"/>
            <w:sz w:val="24"/>
            <w:szCs w:val="24"/>
            <w:u w:val="single"/>
            <w:lang/>
          </w:rPr>
          <w:t>підпунктами 78.1.1</w:t>
        </w:r>
      </w:hyperlink>
      <w:r w:rsidRPr="008B264B">
        <w:rPr>
          <w:rFonts w:ascii="Times New Roman" w:eastAsia="Times New Roman" w:hAnsi="Times New Roman" w:cs="Times New Roman"/>
          <w:color w:val="000000"/>
          <w:sz w:val="24"/>
          <w:szCs w:val="24"/>
          <w:lang/>
        </w:rPr>
        <w:t>, </w:t>
      </w:r>
      <w:hyperlink r:id="rId1607" w:anchor="n1794" w:history="1">
        <w:r w:rsidRPr="008B264B">
          <w:rPr>
            <w:rFonts w:ascii="Times New Roman" w:eastAsia="Times New Roman" w:hAnsi="Times New Roman" w:cs="Times New Roman"/>
            <w:color w:val="0000FF"/>
            <w:sz w:val="24"/>
            <w:szCs w:val="24"/>
            <w:u w:val="single"/>
            <w:lang/>
          </w:rPr>
          <w:t>78.1.4</w:t>
        </w:r>
      </w:hyperlink>
      <w:r w:rsidRPr="008B264B">
        <w:rPr>
          <w:rFonts w:ascii="Times New Roman" w:eastAsia="Times New Roman" w:hAnsi="Times New Roman" w:cs="Times New Roman"/>
          <w:color w:val="000000"/>
          <w:sz w:val="24"/>
          <w:szCs w:val="24"/>
          <w:lang/>
        </w:rPr>
        <w:t>, </w:t>
      </w:r>
      <w:hyperlink r:id="rId1608" w:anchor="n1798" w:history="1">
        <w:r w:rsidRPr="008B264B">
          <w:rPr>
            <w:rFonts w:ascii="Times New Roman" w:eastAsia="Times New Roman" w:hAnsi="Times New Roman" w:cs="Times New Roman"/>
            <w:color w:val="0000FF"/>
            <w:sz w:val="24"/>
            <w:szCs w:val="24"/>
            <w:u w:val="single"/>
            <w:lang/>
          </w:rPr>
          <w:t>78.1.8</w:t>
        </w:r>
      </w:hyperlink>
      <w:r w:rsidRPr="008B264B">
        <w:rPr>
          <w:rFonts w:ascii="Times New Roman" w:eastAsia="Times New Roman" w:hAnsi="Times New Roman" w:cs="Times New Roman"/>
          <w:color w:val="000000"/>
          <w:sz w:val="24"/>
          <w:szCs w:val="24"/>
          <w:lang/>
        </w:rPr>
        <w:t> пункту 78.1 статті 78 цього Кодексу, у разі, якщо питання, що є предметом такої перевірки, були охоплені під час попередніх перевірок платника податків.</w:t>
      </w:r>
    </w:p>
    <w:p w14:paraId="7317E5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1" w:name="n10573"/>
      <w:bookmarkEnd w:id="2901"/>
      <w:r w:rsidRPr="008B264B">
        <w:rPr>
          <w:rFonts w:ascii="Times New Roman" w:eastAsia="Times New Roman" w:hAnsi="Times New Roman" w:cs="Times New Roman"/>
          <w:i/>
          <w:iCs/>
          <w:color w:val="000000"/>
          <w:sz w:val="24"/>
          <w:szCs w:val="24"/>
          <w:lang/>
        </w:rPr>
        <w:t>{Пункт 78.2 статті 78 доповнено абзацом другим згідно із Законом </w:t>
      </w:r>
      <w:hyperlink r:id="rId1609" w:anchor="n23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610" w:anchor="n65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6C58B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2" w:name="n1810"/>
      <w:bookmarkEnd w:id="2902"/>
      <w:r w:rsidRPr="008B264B">
        <w:rPr>
          <w:rFonts w:ascii="Times New Roman" w:eastAsia="Times New Roman" w:hAnsi="Times New Roman" w:cs="Times New Roman"/>
          <w:i/>
          <w:iCs/>
          <w:color w:val="000000"/>
          <w:sz w:val="24"/>
          <w:szCs w:val="24"/>
          <w:lang/>
        </w:rPr>
        <w:t>{Пункт 78.2 статті 78 із змінами, внесеними згідно із Законом </w:t>
      </w:r>
      <w:hyperlink r:id="rId1611" w:anchor="n20"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w:t>
      </w:r>
    </w:p>
    <w:p w14:paraId="139017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3" w:name="n1811"/>
      <w:bookmarkEnd w:id="2903"/>
      <w:r w:rsidRPr="008B264B">
        <w:rPr>
          <w:rFonts w:ascii="Times New Roman" w:eastAsia="Times New Roman" w:hAnsi="Times New Roman" w:cs="Times New Roman"/>
          <w:color w:val="000000"/>
          <w:sz w:val="24"/>
          <w:szCs w:val="24"/>
          <w:lang/>
        </w:rPr>
        <w:t>78.3. Працівникам податкової міліції забороняється брати участь у проведенні планових та позапланових виїзних перевірок платників податків, що проводяться контролюючими органами, якщо такі перевірки не пов'язані з веденням оперативно-розшукових справ або здійсненням кримінального провадження стосовно таких платників податків (посадових осіб платників податків), що знаходяться в їх провадженні. Перевірки платників податків податковою міліцією проводяться у межах повноважень, визначених законом, та в порядку, передбаченому </w:t>
      </w:r>
      <w:hyperlink r:id="rId1612" w:tgtFrame="_blank" w:history="1">
        <w:r w:rsidRPr="008B264B">
          <w:rPr>
            <w:rFonts w:ascii="Times New Roman" w:eastAsia="Times New Roman" w:hAnsi="Times New Roman" w:cs="Times New Roman"/>
            <w:color w:val="0000FF"/>
            <w:sz w:val="24"/>
            <w:szCs w:val="24"/>
            <w:u w:val="single"/>
            <w:lang/>
          </w:rPr>
          <w:t>Законом України "Про оперативно-розшукову діяльність"</w:t>
        </w:r>
      </w:hyperlink>
      <w:r w:rsidRPr="008B264B">
        <w:rPr>
          <w:rFonts w:ascii="Times New Roman" w:eastAsia="Times New Roman" w:hAnsi="Times New Roman" w:cs="Times New Roman"/>
          <w:color w:val="000000"/>
          <w:sz w:val="24"/>
          <w:szCs w:val="24"/>
          <w:lang/>
        </w:rPr>
        <w:t>, </w:t>
      </w:r>
      <w:hyperlink r:id="rId1613" w:anchor="n15" w:tgtFrame="_blank" w:history="1">
        <w:r w:rsidRPr="008B264B">
          <w:rPr>
            <w:rFonts w:ascii="Times New Roman" w:eastAsia="Times New Roman" w:hAnsi="Times New Roman" w:cs="Times New Roman"/>
            <w:color w:val="0000FF"/>
            <w:sz w:val="24"/>
            <w:szCs w:val="24"/>
            <w:u w:val="single"/>
            <w:lang/>
          </w:rPr>
          <w:t>Кримінальним процесуальним кодексом України</w:t>
        </w:r>
      </w:hyperlink>
      <w:r w:rsidRPr="008B264B">
        <w:rPr>
          <w:rFonts w:ascii="Times New Roman" w:eastAsia="Times New Roman" w:hAnsi="Times New Roman" w:cs="Times New Roman"/>
          <w:color w:val="000000"/>
          <w:sz w:val="24"/>
          <w:szCs w:val="24"/>
          <w:lang/>
        </w:rPr>
        <w:t> та іншими законами України.</w:t>
      </w:r>
    </w:p>
    <w:p w14:paraId="19D12B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4" w:name="n1812"/>
      <w:bookmarkEnd w:id="2904"/>
      <w:r w:rsidRPr="008B264B">
        <w:rPr>
          <w:rFonts w:ascii="Times New Roman" w:eastAsia="Times New Roman" w:hAnsi="Times New Roman" w:cs="Times New Roman"/>
          <w:i/>
          <w:iCs/>
          <w:color w:val="000000"/>
          <w:sz w:val="24"/>
          <w:szCs w:val="24"/>
          <w:lang/>
        </w:rPr>
        <w:t>{Пункт 78.3 статті 78 в редакції Закону </w:t>
      </w:r>
      <w:hyperlink r:id="rId1614" w:anchor="n21"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w:t>
      </w:r>
    </w:p>
    <w:p w14:paraId="088889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5" w:name="n13919"/>
      <w:bookmarkEnd w:id="2905"/>
      <w:r w:rsidRPr="008B264B">
        <w:rPr>
          <w:rFonts w:ascii="Times New Roman" w:eastAsia="Times New Roman" w:hAnsi="Times New Roman" w:cs="Times New Roman"/>
          <w:i/>
          <w:iCs/>
          <w:color w:val="000000"/>
          <w:sz w:val="24"/>
          <w:szCs w:val="24"/>
          <w:lang/>
        </w:rPr>
        <w:t>{До пункту 78.3 статті 78 будуть внесені зміни відповідно до положень </w:t>
      </w:r>
      <w:hyperlink r:id="rId1615" w:anchor="n1609" w:tgtFrame="_blank" w:history="1">
        <w:r w:rsidRPr="008B264B">
          <w:rPr>
            <w:rFonts w:ascii="Times New Roman" w:eastAsia="Times New Roman" w:hAnsi="Times New Roman" w:cs="Times New Roman"/>
            <w:i/>
            <w:iCs/>
            <w:color w:val="0000FF"/>
            <w:sz w:val="24"/>
            <w:szCs w:val="24"/>
            <w:u w:val="single"/>
            <w:lang/>
          </w:rPr>
          <w:t>абзацу третього</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791916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6" w:name="n1813"/>
      <w:bookmarkEnd w:id="2906"/>
      <w:r w:rsidRPr="008B264B">
        <w:rPr>
          <w:rFonts w:ascii="Times New Roman" w:eastAsia="Times New Roman" w:hAnsi="Times New Roman" w:cs="Times New Roman"/>
          <w:color w:val="000000"/>
          <w:sz w:val="24"/>
          <w:szCs w:val="24"/>
          <w:lang/>
        </w:rPr>
        <w:t>78.4. Про проведення документальної позапланової перевірки керівник (його заступник або уповноважена особа) контролюючого органу приймає рішення, яке оформлюється наказом.</w:t>
      </w:r>
    </w:p>
    <w:p w14:paraId="528D0C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7" w:name="n13920"/>
      <w:bookmarkEnd w:id="2907"/>
      <w:r w:rsidRPr="008B264B">
        <w:rPr>
          <w:rFonts w:ascii="Times New Roman" w:eastAsia="Times New Roman" w:hAnsi="Times New Roman" w:cs="Times New Roman"/>
          <w:i/>
          <w:iCs/>
          <w:color w:val="000000"/>
          <w:sz w:val="24"/>
          <w:szCs w:val="24"/>
          <w:lang/>
        </w:rPr>
        <w:t>{Абзац перший пункту 78.4 статті 78 із змінами, внесеними згідно із Законом </w:t>
      </w:r>
      <w:hyperlink r:id="rId1616" w:anchor="n6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2FA7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8" w:name="n1814"/>
      <w:bookmarkEnd w:id="2908"/>
      <w:r w:rsidRPr="008B264B">
        <w:rPr>
          <w:rFonts w:ascii="Times New Roman" w:eastAsia="Times New Roman" w:hAnsi="Times New Roman" w:cs="Times New Roman"/>
          <w:color w:val="000000"/>
          <w:sz w:val="24"/>
          <w:szCs w:val="24"/>
          <w:lang/>
        </w:rPr>
        <w:t xml:space="preserve">Право на проведення документальної позапланової перевірки платника податків надається лише у випадку, коли йому до початку проведення зазначеної перевірки вручено у порядку, </w:t>
      </w:r>
      <w:r w:rsidRPr="008B264B">
        <w:rPr>
          <w:rFonts w:ascii="Times New Roman" w:eastAsia="Times New Roman" w:hAnsi="Times New Roman" w:cs="Times New Roman"/>
          <w:color w:val="000000"/>
          <w:sz w:val="24"/>
          <w:szCs w:val="24"/>
          <w:lang/>
        </w:rPr>
        <w:lastRenderedPageBreak/>
        <w:t>визначеному </w:t>
      </w:r>
      <w:hyperlink r:id="rId1617"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 копію наказу про проведення документальної позапланової перевірки.</w:t>
      </w:r>
    </w:p>
    <w:p w14:paraId="2749F8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09" w:name="n13921"/>
      <w:bookmarkEnd w:id="2909"/>
      <w:r w:rsidRPr="008B264B">
        <w:rPr>
          <w:rFonts w:ascii="Times New Roman" w:eastAsia="Times New Roman" w:hAnsi="Times New Roman" w:cs="Times New Roman"/>
          <w:i/>
          <w:iCs/>
          <w:color w:val="000000"/>
          <w:sz w:val="24"/>
          <w:szCs w:val="24"/>
          <w:lang/>
        </w:rPr>
        <w:t>{Абзац другий пункту 78.4 статті 78 із змінами, внесеними згідно із Законом </w:t>
      </w:r>
      <w:hyperlink r:id="rId1618" w:anchor="n6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BEED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0" w:name="n1815"/>
      <w:bookmarkEnd w:id="2910"/>
      <w:r w:rsidRPr="008B264B">
        <w:rPr>
          <w:rFonts w:ascii="Times New Roman" w:eastAsia="Times New Roman" w:hAnsi="Times New Roman" w:cs="Times New Roman"/>
          <w:color w:val="000000"/>
          <w:sz w:val="24"/>
          <w:szCs w:val="24"/>
          <w:lang/>
        </w:rPr>
        <w:t>78.5. Допуск посадових осіб контролюючих органів до проведення документальної позапланової виїзної перевірки здійснюється згідно із </w:t>
      </w:r>
      <w:hyperlink r:id="rId1619" w:anchor="n1847" w:history="1">
        <w:r w:rsidRPr="008B264B">
          <w:rPr>
            <w:rFonts w:ascii="Times New Roman" w:eastAsia="Times New Roman" w:hAnsi="Times New Roman" w:cs="Times New Roman"/>
            <w:color w:val="0000FF"/>
            <w:sz w:val="24"/>
            <w:szCs w:val="24"/>
            <w:u w:val="single"/>
            <w:lang/>
          </w:rPr>
          <w:t>статтею 81</w:t>
        </w:r>
      </w:hyperlink>
      <w:r w:rsidRPr="008B264B">
        <w:rPr>
          <w:rFonts w:ascii="Times New Roman" w:eastAsia="Times New Roman" w:hAnsi="Times New Roman" w:cs="Times New Roman"/>
          <w:color w:val="000000"/>
          <w:sz w:val="24"/>
          <w:szCs w:val="24"/>
          <w:lang/>
        </w:rPr>
        <w:t> цього Кодексу. Документальна позапланова невиїзна перевірка здійснюється у порядку, передбаченому </w:t>
      </w:r>
      <w:hyperlink r:id="rId1620" w:anchor="n1819" w:history="1">
        <w:r w:rsidRPr="008B264B">
          <w:rPr>
            <w:rFonts w:ascii="Times New Roman" w:eastAsia="Times New Roman" w:hAnsi="Times New Roman" w:cs="Times New Roman"/>
            <w:color w:val="0000FF"/>
            <w:sz w:val="24"/>
            <w:szCs w:val="24"/>
            <w:u w:val="single"/>
            <w:lang/>
          </w:rPr>
          <w:t>статтею 79</w:t>
        </w:r>
      </w:hyperlink>
      <w:r w:rsidRPr="008B264B">
        <w:rPr>
          <w:rFonts w:ascii="Times New Roman" w:eastAsia="Times New Roman" w:hAnsi="Times New Roman" w:cs="Times New Roman"/>
          <w:color w:val="000000"/>
          <w:sz w:val="24"/>
          <w:szCs w:val="24"/>
          <w:lang/>
        </w:rPr>
        <w:t> цього Кодексу.</w:t>
      </w:r>
    </w:p>
    <w:p w14:paraId="46BBAF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1" w:name="n1816"/>
      <w:bookmarkEnd w:id="2911"/>
      <w:r w:rsidRPr="008B264B">
        <w:rPr>
          <w:rFonts w:ascii="Times New Roman" w:eastAsia="Times New Roman" w:hAnsi="Times New Roman" w:cs="Times New Roman"/>
          <w:color w:val="000000"/>
          <w:sz w:val="24"/>
          <w:szCs w:val="24"/>
          <w:lang/>
        </w:rPr>
        <w:t>78.6. Строки проведення документальної позапланової перевірки встановлені </w:t>
      </w:r>
      <w:hyperlink r:id="rId1621" w:anchor="n1865" w:history="1">
        <w:r w:rsidRPr="008B264B">
          <w:rPr>
            <w:rFonts w:ascii="Times New Roman" w:eastAsia="Times New Roman" w:hAnsi="Times New Roman" w:cs="Times New Roman"/>
            <w:color w:val="0000FF"/>
            <w:sz w:val="24"/>
            <w:szCs w:val="24"/>
            <w:u w:val="single"/>
            <w:lang/>
          </w:rPr>
          <w:t>статтею 82</w:t>
        </w:r>
      </w:hyperlink>
      <w:r w:rsidRPr="008B264B">
        <w:rPr>
          <w:rFonts w:ascii="Times New Roman" w:eastAsia="Times New Roman" w:hAnsi="Times New Roman" w:cs="Times New Roman"/>
          <w:color w:val="000000"/>
          <w:sz w:val="24"/>
          <w:szCs w:val="24"/>
          <w:lang/>
        </w:rPr>
        <w:t> цього Кодексу.</w:t>
      </w:r>
    </w:p>
    <w:p w14:paraId="29586A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2" w:name="n1817"/>
      <w:bookmarkEnd w:id="2912"/>
      <w:r w:rsidRPr="008B264B">
        <w:rPr>
          <w:rFonts w:ascii="Times New Roman" w:eastAsia="Times New Roman" w:hAnsi="Times New Roman" w:cs="Times New Roman"/>
          <w:color w:val="000000"/>
          <w:sz w:val="24"/>
          <w:szCs w:val="24"/>
          <w:lang/>
        </w:rPr>
        <w:t>78.7. Перелік матеріалів, які можуть бути підставою для висновків під час проведення документальної позапланової перевірки, та порядок надання платниками податків документів для такої перевірки встановлено </w:t>
      </w:r>
      <w:hyperlink r:id="rId1622" w:anchor="n1892" w:history="1">
        <w:r w:rsidRPr="008B264B">
          <w:rPr>
            <w:rFonts w:ascii="Times New Roman" w:eastAsia="Times New Roman" w:hAnsi="Times New Roman" w:cs="Times New Roman"/>
            <w:color w:val="0000FF"/>
            <w:sz w:val="24"/>
            <w:szCs w:val="24"/>
            <w:u w:val="single"/>
            <w:lang/>
          </w:rPr>
          <w:t>статтями 83</w:t>
        </w:r>
      </w:hyperlink>
      <w:r w:rsidRPr="008B264B">
        <w:rPr>
          <w:rFonts w:ascii="Times New Roman" w:eastAsia="Times New Roman" w:hAnsi="Times New Roman" w:cs="Times New Roman"/>
          <w:color w:val="000000"/>
          <w:sz w:val="24"/>
          <w:szCs w:val="24"/>
          <w:lang/>
        </w:rPr>
        <w:t>, </w:t>
      </w:r>
      <w:hyperlink r:id="rId1623" w:anchor="n1913" w:history="1">
        <w:r w:rsidRPr="008B264B">
          <w:rPr>
            <w:rFonts w:ascii="Times New Roman" w:eastAsia="Times New Roman" w:hAnsi="Times New Roman" w:cs="Times New Roman"/>
            <w:color w:val="0000FF"/>
            <w:sz w:val="24"/>
            <w:szCs w:val="24"/>
            <w:u w:val="single"/>
            <w:lang/>
          </w:rPr>
          <w:t>85</w:t>
        </w:r>
      </w:hyperlink>
      <w:r w:rsidRPr="008B264B">
        <w:rPr>
          <w:rFonts w:ascii="Times New Roman" w:eastAsia="Times New Roman" w:hAnsi="Times New Roman" w:cs="Times New Roman"/>
          <w:color w:val="000000"/>
          <w:sz w:val="24"/>
          <w:szCs w:val="24"/>
          <w:lang/>
        </w:rPr>
        <w:t> цього Кодексу.</w:t>
      </w:r>
    </w:p>
    <w:p w14:paraId="4000E0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3" w:name="n1818"/>
      <w:bookmarkEnd w:id="2913"/>
      <w:r w:rsidRPr="008B264B">
        <w:rPr>
          <w:rFonts w:ascii="Times New Roman" w:eastAsia="Times New Roman" w:hAnsi="Times New Roman" w:cs="Times New Roman"/>
          <w:color w:val="000000"/>
          <w:sz w:val="24"/>
          <w:szCs w:val="24"/>
          <w:lang/>
        </w:rPr>
        <w:t>78.8. Порядок оформлення результатів документальної позапланової перевірки встановлено </w:t>
      </w:r>
      <w:hyperlink r:id="rId1624" w:anchor="n1931" w:history="1">
        <w:r w:rsidRPr="008B264B">
          <w:rPr>
            <w:rFonts w:ascii="Times New Roman" w:eastAsia="Times New Roman" w:hAnsi="Times New Roman" w:cs="Times New Roman"/>
            <w:color w:val="0000FF"/>
            <w:sz w:val="24"/>
            <w:szCs w:val="24"/>
            <w:u w:val="single"/>
            <w:lang/>
          </w:rPr>
          <w:t>статтею 86</w:t>
        </w:r>
      </w:hyperlink>
      <w:r w:rsidRPr="008B264B">
        <w:rPr>
          <w:rFonts w:ascii="Times New Roman" w:eastAsia="Times New Roman" w:hAnsi="Times New Roman" w:cs="Times New Roman"/>
          <w:color w:val="000000"/>
          <w:sz w:val="24"/>
          <w:szCs w:val="24"/>
          <w:lang/>
        </w:rPr>
        <w:t> цього Кодексу.</w:t>
      </w:r>
    </w:p>
    <w:p w14:paraId="7CB5AD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4" w:name="n11177"/>
      <w:bookmarkEnd w:id="2914"/>
      <w:r w:rsidRPr="008B264B">
        <w:rPr>
          <w:rFonts w:ascii="Times New Roman" w:eastAsia="Times New Roman" w:hAnsi="Times New Roman" w:cs="Times New Roman"/>
          <w:color w:val="000000"/>
          <w:sz w:val="24"/>
          <w:szCs w:val="24"/>
          <w:lang/>
        </w:rPr>
        <w:t>78.9. Перевірка платника податків з питань повноти нарахування і сплати податків та зборів під час здійснення контрольованих операцій проводиться з урахуванням особливостей, визначених статтею 39 цього Кодексу.</w:t>
      </w:r>
    </w:p>
    <w:p w14:paraId="60C404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5" w:name="n11175"/>
      <w:bookmarkEnd w:id="2915"/>
      <w:r w:rsidRPr="008B264B">
        <w:rPr>
          <w:rFonts w:ascii="Times New Roman" w:eastAsia="Times New Roman" w:hAnsi="Times New Roman" w:cs="Times New Roman"/>
          <w:i/>
          <w:iCs/>
          <w:color w:val="000000"/>
          <w:sz w:val="24"/>
          <w:szCs w:val="24"/>
          <w:lang/>
        </w:rPr>
        <w:t>{Статтю 78 доповнено пунктом 78.9 згідно із Законом </w:t>
      </w:r>
      <w:hyperlink r:id="rId1625" w:anchor="n347"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5AFDFD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6" w:name="n1819"/>
      <w:bookmarkEnd w:id="2916"/>
      <w:r w:rsidRPr="008B264B">
        <w:rPr>
          <w:rFonts w:ascii="Times New Roman" w:eastAsia="Times New Roman" w:hAnsi="Times New Roman" w:cs="Times New Roman"/>
          <w:b/>
          <w:bCs/>
          <w:color w:val="000000"/>
          <w:sz w:val="24"/>
          <w:szCs w:val="24"/>
          <w:lang/>
        </w:rPr>
        <w:t>Стаття 79.</w:t>
      </w:r>
      <w:r w:rsidRPr="008B264B">
        <w:rPr>
          <w:rFonts w:ascii="Times New Roman" w:eastAsia="Times New Roman" w:hAnsi="Times New Roman" w:cs="Times New Roman"/>
          <w:color w:val="000000"/>
          <w:sz w:val="24"/>
          <w:szCs w:val="24"/>
          <w:lang/>
        </w:rPr>
        <w:t> Особливості проведення документальної невиїзної перевірки</w:t>
      </w:r>
    </w:p>
    <w:p w14:paraId="5CEEEA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7" w:name="n1820"/>
      <w:bookmarkEnd w:id="2917"/>
      <w:r w:rsidRPr="008B264B">
        <w:rPr>
          <w:rFonts w:ascii="Times New Roman" w:eastAsia="Times New Roman" w:hAnsi="Times New Roman" w:cs="Times New Roman"/>
          <w:color w:val="000000"/>
          <w:sz w:val="24"/>
          <w:szCs w:val="24"/>
          <w:lang/>
        </w:rPr>
        <w:t>79.1. Документальна невиїзна перевірка здійснюється у разі прийняття керівником (його заступником або уповноваженою особою) контролюючого органу рішення про її проведення та за наявності підстав для проведення документальної перевірки, визначених </w:t>
      </w:r>
      <w:hyperlink r:id="rId1626" w:anchor="n1773" w:history="1">
        <w:r w:rsidRPr="008B264B">
          <w:rPr>
            <w:rFonts w:ascii="Times New Roman" w:eastAsia="Times New Roman" w:hAnsi="Times New Roman" w:cs="Times New Roman"/>
            <w:color w:val="0000FF"/>
            <w:sz w:val="24"/>
            <w:szCs w:val="24"/>
            <w:u w:val="single"/>
            <w:lang/>
          </w:rPr>
          <w:t>статтями 77</w:t>
        </w:r>
      </w:hyperlink>
      <w:r w:rsidRPr="008B264B">
        <w:rPr>
          <w:rFonts w:ascii="Times New Roman" w:eastAsia="Times New Roman" w:hAnsi="Times New Roman" w:cs="Times New Roman"/>
          <w:color w:val="000000"/>
          <w:sz w:val="24"/>
          <w:szCs w:val="24"/>
          <w:lang/>
        </w:rPr>
        <w:t> та </w:t>
      </w:r>
      <w:hyperlink r:id="rId1627" w:anchor="n1788" w:history="1">
        <w:r w:rsidRPr="008B264B">
          <w:rPr>
            <w:rFonts w:ascii="Times New Roman" w:eastAsia="Times New Roman" w:hAnsi="Times New Roman" w:cs="Times New Roman"/>
            <w:color w:val="0000FF"/>
            <w:sz w:val="24"/>
            <w:szCs w:val="24"/>
            <w:u w:val="single"/>
            <w:lang/>
          </w:rPr>
          <w:t>78</w:t>
        </w:r>
      </w:hyperlink>
      <w:r w:rsidRPr="008B264B">
        <w:rPr>
          <w:rFonts w:ascii="Times New Roman" w:eastAsia="Times New Roman" w:hAnsi="Times New Roman" w:cs="Times New Roman"/>
          <w:color w:val="000000"/>
          <w:sz w:val="24"/>
          <w:szCs w:val="24"/>
          <w:lang/>
        </w:rPr>
        <w:t> цього Кодексу. Документальна невиїзна перевірка здійснюється на підставі зазначених у підпункті </w:t>
      </w:r>
      <w:hyperlink r:id="rId1628" w:anchor="n1757" w:history="1">
        <w:r w:rsidRPr="008B264B">
          <w:rPr>
            <w:rFonts w:ascii="Times New Roman" w:eastAsia="Times New Roman" w:hAnsi="Times New Roman" w:cs="Times New Roman"/>
            <w:color w:val="0000FF"/>
            <w:sz w:val="24"/>
            <w:szCs w:val="24"/>
            <w:u w:val="single"/>
            <w:lang/>
          </w:rPr>
          <w:t>75.1.2</w:t>
        </w:r>
      </w:hyperlink>
      <w:r w:rsidRPr="008B264B">
        <w:rPr>
          <w:rFonts w:ascii="Times New Roman" w:eastAsia="Times New Roman" w:hAnsi="Times New Roman" w:cs="Times New Roman"/>
          <w:color w:val="000000"/>
          <w:sz w:val="24"/>
          <w:szCs w:val="24"/>
          <w:lang/>
        </w:rPr>
        <w:t> пункту 75.1 статті 75 цього Кодексу документів та даних, наданих платником податків у визначених цим Кодексом випадках, або отриманих в інший спосіб, передбачений законом.</w:t>
      </w:r>
    </w:p>
    <w:p w14:paraId="54B47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8" w:name="n13922"/>
      <w:bookmarkEnd w:id="2918"/>
      <w:r w:rsidRPr="008B264B">
        <w:rPr>
          <w:rFonts w:ascii="Times New Roman" w:eastAsia="Times New Roman" w:hAnsi="Times New Roman" w:cs="Times New Roman"/>
          <w:i/>
          <w:iCs/>
          <w:color w:val="000000"/>
          <w:sz w:val="24"/>
          <w:szCs w:val="24"/>
          <w:lang/>
        </w:rPr>
        <w:t>{Пункт 79.1 статті 79 із змінами, внесеними згідно із Законом </w:t>
      </w:r>
      <w:hyperlink r:id="rId1629" w:anchor="n6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ADB8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19" w:name="n1821"/>
      <w:bookmarkEnd w:id="2919"/>
      <w:r w:rsidRPr="008B264B">
        <w:rPr>
          <w:rFonts w:ascii="Times New Roman" w:eastAsia="Times New Roman" w:hAnsi="Times New Roman" w:cs="Times New Roman"/>
          <w:color w:val="000000"/>
          <w:sz w:val="24"/>
          <w:szCs w:val="24"/>
          <w:lang/>
        </w:rPr>
        <w:t>79.2. Документальна позапланова невиїзна перевірка проводиться посадовими особами контролюючого органу виключно на підставі рішення керівника (його заступника або уповноваженої особи) контролюючого органу, оформленого наказом, та за умови вручення платнику податків (його представнику) у порядку, визначеному </w:t>
      </w:r>
      <w:hyperlink r:id="rId1630"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 копії наказу про проведення документальної позапланової невиїзної перевірки та письмового повідомлення про дату початку та місце проведення такої перевірки.</w:t>
      </w:r>
    </w:p>
    <w:p w14:paraId="436C35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0" w:name="n13923"/>
      <w:bookmarkEnd w:id="2920"/>
      <w:r w:rsidRPr="008B264B">
        <w:rPr>
          <w:rFonts w:ascii="Times New Roman" w:eastAsia="Times New Roman" w:hAnsi="Times New Roman" w:cs="Times New Roman"/>
          <w:i/>
          <w:iCs/>
          <w:color w:val="000000"/>
          <w:sz w:val="24"/>
          <w:szCs w:val="24"/>
          <w:lang/>
        </w:rPr>
        <w:t>{Абзац перший пункту 79.2 статті 79 із змінами, внесеними згідно із Законом </w:t>
      </w:r>
      <w:hyperlink r:id="rId1631" w:anchor="n6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532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1" w:name="n1822"/>
      <w:bookmarkEnd w:id="2921"/>
      <w:r w:rsidRPr="008B264B">
        <w:rPr>
          <w:rFonts w:ascii="Times New Roman" w:eastAsia="Times New Roman" w:hAnsi="Times New Roman" w:cs="Times New Roman"/>
          <w:color w:val="000000"/>
          <w:sz w:val="24"/>
          <w:szCs w:val="24"/>
          <w:lang/>
        </w:rPr>
        <w:t>Виконання умов цієї статті надає посадовим особам контролюючого органу право розпочати проведення документальної невиїзної перевірки.</w:t>
      </w:r>
    </w:p>
    <w:p w14:paraId="75E2E2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2" w:name="n1823"/>
      <w:bookmarkEnd w:id="2922"/>
      <w:r w:rsidRPr="008B264B">
        <w:rPr>
          <w:rFonts w:ascii="Times New Roman" w:eastAsia="Times New Roman" w:hAnsi="Times New Roman" w:cs="Times New Roman"/>
          <w:i/>
          <w:iCs/>
          <w:color w:val="000000"/>
          <w:sz w:val="24"/>
          <w:szCs w:val="24"/>
          <w:lang/>
        </w:rPr>
        <w:t>{Пункт 79.2 статті 79 доповнено абзацом другим згідно із Законом </w:t>
      </w:r>
      <w:hyperlink r:id="rId1632" w:anchor="n9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C0F3D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3" w:name="n1824"/>
      <w:bookmarkEnd w:id="2923"/>
      <w:r w:rsidRPr="008B264B">
        <w:rPr>
          <w:rFonts w:ascii="Times New Roman" w:eastAsia="Times New Roman" w:hAnsi="Times New Roman" w:cs="Times New Roman"/>
          <w:color w:val="000000"/>
          <w:sz w:val="24"/>
          <w:szCs w:val="24"/>
          <w:lang/>
        </w:rPr>
        <w:t>79.3. Присутність платників податків під час проведення документальних невиїзних перевірок не обов'язкова.</w:t>
      </w:r>
    </w:p>
    <w:p w14:paraId="0FB6EF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4" w:name="n9237"/>
      <w:bookmarkEnd w:id="2924"/>
      <w:r w:rsidRPr="008B264B">
        <w:rPr>
          <w:rFonts w:ascii="Times New Roman" w:eastAsia="Times New Roman" w:hAnsi="Times New Roman" w:cs="Times New Roman"/>
          <w:i/>
          <w:iCs/>
          <w:color w:val="000000"/>
          <w:sz w:val="24"/>
          <w:szCs w:val="24"/>
          <w:lang/>
        </w:rPr>
        <w:t>{Пункт 79.4 статті 79 виключено на підставі Закону </w:t>
      </w:r>
      <w:hyperlink r:id="rId1633" w:anchor="n349"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77FF9A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5" w:name="n12605"/>
      <w:bookmarkEnd w:id="2925"/>
      <w:r w:rsidRPr="008B264B">
        <w:rPr>
          <w:rFonts w:ascii="Times New Roman" w:eastAsia="Times New Roman" w:hAnsi="Times New Roman" w:cs="Times New Roman"/>
          <w:color w:val="000000"/>
          <w:sz w:val="24"/>
          <w:szCs w:val="24"/>
          <w:lang/>
        </w:rPr>
        <w:t>79.5. За наявності письмового звернення платника податків замість документальної невиїзної перевірки може проводитися документальна виїзна перевірка.</w:t>
      </w:r>
    </w:p>
    <w:p w14:paraId="23DADD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6" w:name="n12604"/>
      <w:bookmarkEnd w:id="2926"/>
      <w:r w:rsidRPr="008B264B">
        <w:rPr>
          <w:rFonts w:ascii="Times New Roman" w:eastAsia="Times New Roman" w:hAnsi="Times New Roman" w:cs="Times New Roman"/>
          <w:i/>
          <w:iCs/>
          <w:color w:val="000000"/>
          <w:sz w:val="24"/>
          <w:szCs w:val="24"/>
          <w:lang/>
        </w:rPr>
        <w:lastRenderedPageBreak/>
        <w:t>{Статтю 79 доповнено пунктом 79.5 згідно із Законом </w:t>
      </w:r>
      <w:hyperlink r:id="rId1634" w:anchor="n50"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1E7D3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7" w:name="n1825"/>
      <w:bookmarkEnd w:id="2927"/>
      <w:r w:rsidRPr="008B264B">
        <w:rPr>
          <w:rFonts w:ascii="Times New Roman" w:eastAsia="Times New Roman" w:hAnsi="Times New Roman" w:cs="Times New Roman"/>
          <w:b/>
          <w:bCs/>
          <w:color w:val="000000"/>
          <w:sz w:val="24"/>
          <w:szCs w:val="24"/>
          <w:lang/>
        </w:rPr>
        <w:t>Стаття 80.</w:t>
      </w:r>
      <w:r w:rsidRPr="008B264B">
        <w:rPr>
          <w:rFonts w:ascii="Times New Roman" w:eastAsia="Times New Roman" w:hAnsi="Times New Roman" w:cs="Times New Roman"/>
          <w:color w:val="000000"/>
          <w:sz w:val="24"/>
          <w:szCs w:val="24"/>
          <w:lang/>
        </w:rPr>
        <w:t> Порядок проведення фактичної перевірки</w:t>
      </w:r>
    </w:p>
    <w:p w14:paraId="44B8C5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8" w:name="n1826"/>
      <w:bookmarkEnd w:id="2928"/>
      <w:r w:rsidRPr="008B264B">
        <w:rPr>
          <w:rFonts w:ascii="Times New Roman" w:eastAsia="Times New Roman" w:hAnsi="Times New Roman" w:cs="Times New Roman"/>
          <w:color w:val="000000"/>
          <w:sz w:val="24"/>
          <w:szCs w:val="24"/>
          <w:lang/>
        </w:rPr>
        <w:t>80.1. Фактична перевірка здійснюється без попередження платника податків (особи).</w:t>
      </w:r>
    </w:p>
    <w:p w14:paraId="7F79E7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29" w:name="n1827"/>
      <w:bookmarkEnd w:id="2929"/>
      <w:r w:rsidRPr="008B264B">
        <w:rPr>
          <w:rFonts w:ascii="Times New Roman" w:eastAsia="Times New Roman" w:hAnsi="Times New Roman" w:cs="Times New Roman"/>
          <w:color w:val="000000"/>
          <w:sz w:val="24"/>
          <w:szCs w:val="24"/>
          <w:lang/>
        </w:rPr>
        <w:t>80.2. Фактична перевірка може проводитися на підставі рішення керівника (його заступника або уповноваженої особи) контролюючого органу, оформленого наказом, копія якого вручається платнику податків або його уповноваженому представнику, або особам, які фактично проводять розрахункові операції під розписку до початку проведення такої перевірки, та за наявності хоча б однієї з таких підстав:</w:t>
      </w:r>
    </w:p>
    <w:p w14:paraId="02A551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0" w:name="n1828"/>
      <w:bookmarkEnd w:id="2930"/>
      <w:r w:rsidRPr="008B264B">
        <w:rPr>
          <w:rFonts w:ascii="Times New Roman" w:eastAsia="Times New Roman" w:hAnsi="Times New Roman" w:cs="Times New Roman"/>
          <w:i/>
          <w:iCs/>
          <w:color w:val="000000"/>
          <w:sz w:val="24"/>
          <w:szCs w:val="24"/>
          <w:lang/>
        </w:rPr>
        <w:t>{Абзац перший пункту 80.2 статті 80 із змінами, внесеними згідно із Законами </w:t>
      </w:r>
      <w:hyperlink r:id="rId1635" w:anchor="n9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636" w:anchor="n6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30CA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1" w:name="n1829"/>
      <w:bookmarkEnd w:id="2931"/>
      <w:r w:rsidRPr="008B264B">
        <w:rPr>
          <w:rFonts w:ascii="Times New Roman" w:eastAsia="Times New Roman" w:hAnsi="Times New Roman" w:cs="Times New Roman"/>
          <w:color w:val="000000"/>
          <w:sz w:val="24"/>
          <w:szCs w:val="24"/>
          <w:lang/>
        </w:rPr>
        <w:t>80.2.1. у разі коли за результатами перевірок інших платників податків виявлено факти, які свідчать про можливі порушення платником податків законодавства щодо виробництва та обігу підакцизних товарів, здійснення платником податків розрахункових операцій, ведення касових операцій, наявності патентів, ліцензій та інших документів, контроль за наявністю яких покладено на контролюючі органи, та виникає необхідність перевірки таких фактів;</w:t>
      </w:r>
    </w:p>
    <w:p w14:paraId="39C3B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2" w:name="n1830"/>
      <w:bookmarkEnd w:id="2932"/>
      <w:r w:rsidRPr="008B264B">
        <w:rPr>
          <w:rFonts w:ascii="Times New Roman" w:eastAsia="Times New Roman" w:hAnsi="Times New Roman" w:cs="Times New Roman"/>
          <w:i/>
          <w:iCs/>
          <w:color w:val="000000"/>
          <w:sz w:val="24"/>
          <w:szCs w:val="24"/>
          <w:lang/>
        </w:rPr>
        <w:t>{Підпункт 80.2.1 пункту 80.2 статті 80 із змінами, внесеними згідно із Законами </w:t>
      </w:r>
      <w:hyperlink r:id="rId1637"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w:t>
      </w:r>
      <w:hyperlink r:id="rId163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639" w:anchor="n1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237DA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3" w:name="n1831"/>
      <w:bookmarkEnd w:id="2933"/>
      <w:r w:rsidRPr="008B264B">
        <w:rPr>
          <w:rFonts w:ascii="Times New Roman" w:eastAsia="Times New Roman" w:hAnsi="Times New Roman" w:cs="Times New Roman"/>
          <w:color w:val="000000"/>
          <w:sz w:val="24"/>
          <w:szCs w:val="24"/>
          <w:lang/>
        </w:rPr>
        <w:t>80.2.2. у разі наявності та/або отримання в установленому законодавством порядку інформації від державних органів або органів місцевого самоврядування, яка свідчить про можливі порушення платником податків законодавства, контроль за яким покладено на контролюючі органи, зокрема, щодо здійснення платниками податків розрахункових операцій, ведення касових операцій, наявності патентів, ліцензій та інших документів, контроль за наявністю яких покладено на контролюючі органи, виробництва та обігу підакцизних товарів;</w:t>
      </w:r>
    </w:p>
    <w:p w14:paraId="270F88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4" w:name="n1832"/>
      <w:bookmarkEnd w:id="2934"/>
      <w:r w:rsidRPr="008B264B">
        <w:rPr>
          <w:rFonts w:ascii="Times New Roman" w:eastAsia="Times New Roman" w:hAnsi="Times New Roman" w:cs="Times New Roman"/>
          <w:i/>
          <w:iCs/>
          <w:color w:val="000000"/>
          <w:sz w:val="24"/>
          <w:szCs w:val="24"/>
          <w:lang/>
        </w:rPr>
        <w:t>{Підпункт 80.2.2 пункту 80.2 статті 80 із змінами, внесеними згідно із Законами </w:t>
      </w:r>
      <w:hyperlink r:id="rId1640"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w:t>
      </w:r>
      <w:hyperlink r:id="rId164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642" w:anchor="n1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643" w:anchor="n6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FCBE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5" w:name="n1833"/>
      <w:bookmarkEnd w:id="2935"/>
      <w:r w:rsidRPr="008B264B">
        <w:rPr>
          <w:rFonts w:ascii="Times New Roman" w:eastAsia="Times New Roman" w:hAnsi="Times New Roman" w:cs="Times New Roman"/>
          <w:color w:val="000000"/>
          <w:sz w:val="24"/>
          <w:szCs w:val="24"/>
          <w:lang/>
        </w:rPr>
        <w:t>80.2.3. письмового звернення покупця (споживача), оформленого відповідно до закону, про порушення платником податків установленого порядку проведення розрахункових операцій, касових операцій, патентування або ліцензування;</w:t>
      </w:r>
    </w:p>
    <w:p w14:paraId="102255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6" w:name="n1834"/>
      <w:bookmarkEnd w:id="2936"/>
      <w:r w:rsidRPr="008B264B">
        <w:rPr>
          <w:rFonts w:ascii="Times New Roman" w:eastAsia="Times New Roman" w:hAnsi="Times New Roman" w:cs="Times New Roman"/>
          <w:color w:val="000000"/>
          <w:sz w:val="24"/>
          <w:szCs w:val="24"/>
          <w:lang/>
        </w:rPr>
        <w:t>80.2.4. неподання суб'єктом господарювання в установлений законом строк обов'язкової звітності про використання реєстраторів розрахункових операцій, розрахункових книжок та книг обліку розрахункових операцій, подання їх із нульовими показниками;</w:t>
      </w:r>
    </w:p>
    <w:p w14:paraId="103CE3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7" w:name="n1835"/>
      <w:bookmarkEnd w:id="2937"/>
      <w:r w:rsidRPr="008B264B">
        <w:rPr>
          <w:rFonts w:ascii="Times New Roman" w:eastAsia="Times New Roman" w:hAnsi="Times New Roman" w:cs="Times New Roman"/>
          <w:color w:val="000000"/>
          <w:sz w:val="24"/>
          <w:szCs w:val="24"/>
          <w:lang/>
        </w:rPr>
        <w:t>80.2.5. у разі наявності та/або отримання в установленому законодавством порядку інформації про порушення вимог законодавства в частині виробництва, обліку, зберігання та транспортування спирту, алкогольних напоїв та тютюнових виробів та цільового використання спирту платниками податків, обладнання акцизних складів витратомірами-лічильниками та/або рівномірами-лічильниками, а також здійснення функцій, визначених законодавством у сфері виробництва і обігу спирту, алкогольних напоїв та тютюнових виробів, пального;</w:t>
      </w:r>
    </w:p>
    <w:p w14:paraId="0AFA0E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8" w:name="n1836"/>
      <w:bookmarkEnd w:id="2938"/>
      <w:r w:rsidRPr="008B264B">
        <w:rPr>
          <w:rFonts w:ascii="Times New Roman" w:eastAsia="Times New Roman" w:hAnsi="Times New Roman" w:cs="Times New Roman"/>
          <w:i/>
          <w:iCs/>
          <w:color w:val="000000"/>
          <w:sz w:val="24"/>
          <w:szCs w:val="24"/>
          <w:lang/>
        </w:rPr>
        <w:t>{Підпункт 80.2.5 пункту 80.2 статті 80 із змінами, внесеними згідно із Законом </w:t>
      </w:r>
      <w:hyperlink r:id="rId164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1645" w:anchor="n2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646" w:anchor="n6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1647" w:anchor="n6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648" w:anchor="n19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6167D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39" w:name="n1837"/>
      <w:bookmarkEnd w:id="2939"/>
      <w:r w:rsidRPr="008B264B">
        <w:rPr>
          <w:rFonts w:ascii="Times New Roman" w:eastAsia="Times New Roman" w:hAnsi="Times New Roman" w:cs="Times New Roman"/>
          <w:color w:val="000000"/>
          <w:sz w:val="24"/>
          <w:szCs w:val="24"/>
          <w:lang/>
        </w:rPr>
        <w:t>80.2.6. у разі виявлення за результатами попередньої перевірки порушення законодавства з питань, визначених у </w:t>
      </w:r>
      <w:hyperlink r:id="rId1649" w:anchor="n1764" w:history="1">
        <w:r w:rsidRPr="008B264B">
          <w:rPr>
            <w:rFonts w:ascii="Times New Roman" w:eastAsia="Times New Roman" w:hAnsi="Times New Roman" w:cs="Times New Roman"/>
            <w:color w:val="0000FF"/>
            <w:sz w:val="24"/>
            <w:szCs w:val="24"/>
            <w:u w:val="single"/>
            <w:lang/>
          </w:rPr>
          <w:t>пункті 75.1.3</w:t>
        </w:r>
      </w:hyperlink>
      <w:r w:rsidRPr="008B264B">
        <w:rPr>
          <w:rFonts w:ascii="Times New Roman" w:eastAsia="Times New Roman" w:hAnsi="Times New Roman" w:cs="Times New Roman"/>
          <w:color w:val="000000"/>
          <w:sz w:val="24"/>
          <w:szCs w:val="24"/>
          <w:lang/>
        </w:rPr>
        <w:t>;</w:t>
      </w:r>
    </w:p>
    <w:p w14:paraId="17EBB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0" w:name="n1838"/>
      <w:bookmarkEnd w:id="2940"/>
      <w:r w:rsidRPr="008B264B">
        <w:rPr>
          <w:rFonts w:ascii="Times New Roman" w:eastAsia="Times New Roman" w:hAnsi="Times New Roman" w:cs="Times New Roman"/>
          <w:color w:val="000000"/>
          <w:sz w:val="24"/>
          <w:szCs w:val="24"/>
          <w:lang/>
        </w:rPr>
        <w:t>80.2.7. у разі наявності та/або отримання в установленому законодавством порядку інформації про використання праці найманих осіб без належного оформлення трудових відносин та виплати роботодавцями доходів у вигляді заробітної плати без сплати податків до бюджету, а також здійснення фізичною особою підприємницької діяльності без державної реєстрації.</w:t>
      </w:r>
    </w:p>
    <w:p w14:paraId="4A2A0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1" w:name="n13924"/>
      <w:bookmarkEnd w:id="2941"/>
      <w:r w:rsidRPr="008B264B">
        <w:rPr>
          <w:rFonts w:ascii="Times New Roman" w:eastAsia="Times New Roman" w:hAnsi="Times New Roman" w:cs="Times New Roman"/>
          <w:i/>
          <w:iCs/>
          <w:color w:val="000000"/>
          <w:sz w:val="24"/>
          <w:szCs w:val="24"/>
          <w:lang/>
        </w:rPr>
        <w:lastRenderedPageBreak/>
        <w:t>{Підпункт 80.2.7 пункту 80.2 статті 80 із змінами, внесеними згідно із Законом </w:t>
      </w:r>
      <w:hyperlink r:id="rId1650" w:anchor="n6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AA00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2" w:name="n1839"/>
      <w:bookmarkEnd w:id="2942"/>
      <w:r w:rsidRPr="008B264B">
        <w:rPr>
          <w:rFonts w:ascii="Times New Roman" w:eastAsia="Times New Roman" w:hAnsi="Times New Roman" w:cs="Times New Roman"/>
          <w:color w:val="000000"/>
          <w:sz w:val="24"/>
          <w:szCs w:val="24"/>
          <w:lang/>
        </w:rPr>
        <w:t>80.3. Фактична перевірка, що здійснюється за наявності обставини, визначеної у пункті 80.2.6, може бути проведена для контролю щодо припинення порушення законодавства з питань, визначених у </w:t>
      </w:r>
      <w:hyperlink r:id="rId1651" w:anchor="n1764" w:history="1">
        <w:r w:rsidRPr="008B264B">
          <w:rPr>
            <w:rFonts w:ascii="Times New Roman" w:eastAsia="Times New Roman" w:hAnsi="Times New Roman" w:cs="Times New Roman"/>
            <w:color w:val="0000FF"/>
            <w:sz w:val="24"/>
            <w:szCs w:val="24"/>
            <w:u w:val="single"/>
            <w:lang/>
          </w:rPr>
          <w:t>пункті 75.1.3</w:t>
        </w:r>
      </w:hyperlink>
      <w:r w:rsidRPr="008B264B">
        <w:rPr>
          <w:rFonts w:ascii="Times New Roman" w:eastAsia="Times New Roman" w:hAnsi="Times New Roman" w:cs="Times New Roman"/>
          <w:color w:val="000000"/>
          <w:sz w:val="24"/>
          <w:szCs w:val="24"/>
          <w:lang/>
        </w:rPr>
        <w:t>, одноразово протягом 12 місяців з дати складання акта за результатами попередньої перевірки.</w:t>
      </w:r>
    </w:p>
    <w:p w14:paraId="779094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3" w:name="n1840"/>
      <w:bookmarkEnd w:id="2943"/>
      <w:r w:rsidRPr="008B264B">
        <w:rPr>
          <w:rFonts w:ascii="Times New Roman" w:eastAsia="Times New Roman" w:hAnsi="Times New Roman" w:cs="Times New Roman"/>
          <w:color w:val="000000"/>
          <w:sz w:val="24"/>
          <w:szCs w:val="24"/>
          <w:lang/>
        </w:rPr>
        <w:t>80.4. Перед початком фактичної перевірки, з питань дотримання порядку здійснення розрахункових операцій та ведення касових операцій, посадовими особами контролюючих органів на підставі </w:t>
      </w:r>
      <w:hyperlink r:id="rId1652" w:anchor="n8737" w:history="1">
        <w:r w:rsidRPr="008B264B">
          <w:rPr>
            <w:rFonts w:ascii="Times New Roman" w:eastAsia="Times New Roman" w:hAnsi="Times New Roman" w:cs="Times New Roman"/>
            <w:color w:val="0000FF"/>
            <w:sz w:val="24"/>
            <w:szCs w:val="24"/>
            <w:u w:val="single"/>
            <w:lang/>
          </w:rPr>
          <w:t>підпункту 20.1.10</w:t>
        </w:r>
      </w:hyperlink>
      <w:r w:rsidRPr="008B264B">
        <w:rPr>
          <w:rFonts w:ascii="Times New Roman" w:eastAsia="Times New Roman" w:hAnsi="Times New Roman" w:cs="Times New Roman"/>
          <w:color w:val="000000"/>
          <w:sz w:val="24"/>
          <w:szCs w:val="24"/>
          <w:lang/>
        </w:rPr>
        <w:t> пункту 20.1 статті 20 цього Кодексу може бути проведена контрольна розрахункова операція.</w:t>
      </w:r>
    </w:p>
    <w:p w14:paraId="009EDC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4" w:name="n14824"/>
      <w:bookmarkEnd w:id="2944"/>
      <w:r w:rsidRPr="008B264B">
        <w:rPr>
          <w:rFonts w:ascii="Times New Roman" w:eastAsia="Times New Roman" w:hAnsi="Times New Roman" w:cs="Times New Roman"/>
          <w:i/>
          <w:iCs/>
          <w:color w:val="000000"/>
          <w:sz w:val="24"/>
          <w:szCs w:val="24"/>
          <w:lang/>
        </w:rPr>
        <w:t>{Пункт 80.4 статті 80 із змінами, внесеними згідно із Законом </w:t>
      </w:r>
      <w:hyperlink r:id="rId1653" w:anchor="n19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98E60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5" w:name="n1841"/>
      <w:bookmarkEnd w:id="2945"/>
      <w:r w:rsidRPr="008B264B">
        <w:rPr>
          <w:rFonts w:ascii="Times New Roman" w:eastAsia="Times New Roman" w:hAnsi="Times New Roman" w:cs="Times New Roman"/>
          <w:color w:val="000000"/>
          <w:sz w:val="24"/>
          <w:szCs w:val="24"/>
          <w:lang/>
        </w:rPr>
        <w:t>80.5. Допуск посадових осіб контролюючих органів до проведення фактичної перевірки здійснюється згідно із </w:t>
      </w:r>
      <w:hyperlink r:id="rId1654" w:anchor="n1847" w:history="1">
        <w:r w:rsidRPr="008B264B">
          <w:rPr>
            <w:rFonts w:ascii="Times New Roman" w:eastAsia="Times New Roman" w:hAnsi="Times New Roman" w:cs="Times New Roman"/>
            <w:color w:val="0000FF"/>
            <w:sz w:val="24"/>
            <w:szCs w:val="24"/>
            <w:u w:val="single"/>
            <w:lang/>
          </w:rPr>
          <w:t>статтею 81</w:t>
        </w:r>
      </w:hyperlink>
      <w:r w:rsidRPr="008B264B">
        <w:rPr>
          <w:rFonts w:ascii="Times New Roman" w:eastAsia="Times New Roman" w:hAnsi="Times New Roman" w:cs="Times New Roman"/>
          <w:color w:val="000000"/>
          <w:sz w:val="24"/>
          <w:szCs w:val="24"/>
          <w:lang/>
        </w:rPr>
        <w:t> цього Кодексу.</w:t>
      </w:r>
    </w:p>
    <w:p w14:paraId="1626E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6" w:name="n1842"/>
      <w:bookmarkEnd w:id="2946"/>
      <w:r w:rsidRPr="008B264B">
        <w:rPr>
          <w:rFonts w:ascii="Times New Roman" w:eastAsia="Times New Roman" w:hAnsi="Times New Roman" w:cs="Times New Roman"/>
          <w:color w:val="000000"/>
          <w:sz w:val="24"/>
          <w:szCs w:val="24"/>
          <w:lang/>
        </w:rPr>
        <w:t>80.6. Під час проведення фактичної перевірки в частині дотримання роботодавцем законодавства щодо укладення трудового договору, оформлення трудових відносин з працівниками (найманими особами), в тому числі тим, яким установлено випробування, перевіряється наявність належного оформлення трудових відносин, з'ясовуються питання щодо ведення обліку роботи, виконаної працівником, обліку витрат на оплату праці, відомості про оплату праці працівника. Для з'ясування факту належного оформлення трудових відносин з працівником, який здійснює трудову діяльність, можуть використовуватися документи, що посвідчують особу, або інші документи, які дають змогу її ідентифікувати (посадове посвідчення, посвідчення водія, санітарна книжка тощо).</w:t>
      </w:r>
    </w:p>
    <w:p w14:paraId="6D5D68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7" w:name="n1843"/>
      <w:bookmarkEnd w:id="2947"/>
      <w:r w:rsidRPr="008B264B">
        <w:rPr>
          <w:rFonts w:ascii="Times New Roman" w:eastAsia="Times New Roman" w:hAnsi="Times New Roman" w:cs="Times New Roman"/>
          <w:color w:val="000000"/>
          <w:sz w:val="24"/>
          <w:szCs w:val="24"/>
          <w:lang/>
        </w:rPr>
        <w:t>80.7. Фактична перевірка проводиться двома і більше посадовими особами контролюючого органу у присутності посадових осіб суб'єкта господарювання або його представника та/або особи, що фактично здійснює розрахункові операції.</w:t>
      </w:r>
    </w:p>
    <w:p w14:paraId="3377D7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8" w:name="n1844"/>
      <w:bookmarkEnd w:id="2948"/>
      <w:r w:rsidRPr="008B264B">
        <w:rPr>
          <w:rFonts w:ascii="Times New Roman" w:eastAsia="Times New Roman" w:hAnsi="Times New Roman" w:cs="Times New Roman"/>
          <w:color w:val="000000"/>
          <w:sz w:val="24"/>
          <w:szCs w:val="24"/>
          <w:lang/>
        </w:rPr>
        <w:t>80.8. Під час проведення перевірки посадовими особами, які здійснюють таку перевірку, може проводитися хронометраж господарських операцій. За результатами хронометражу складається довідка, яка підписується посадовими особами контролюючого органу та посадовими особами суб'єкта господарювання або його представника та/або особами, що фактично здійснюють господарські операції.</w:t>
      </w:r>
    </w:p>
    <w:p w14:paraId="1794F3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49" w:name="n1845"/>
      <w:bookmarkEnd w:id="2949"/>
      <w:r w:rsidRPr="008B264B">
        <w:rPr>
          <w:rFonts w:ascii="Times New Roman" w:eastAsia="Times New Roman" w:hAnsi="Times New Roman" w:cs="Times New Roman"/>
          <w:color w:val="000000"/>
          <w:sz w:val="24"/>
          <w:szCs w:val="24"/>
          <w:lang/>
        </w:rPr>
        <w:t>80.9. Строки проведення фактичної перевірки встановлені </w:t>
      </w:r>
      <w:hyperlink r:id="rId1655" w:anchor="n1865" w:history="1">
        <w:r w:rsidRPr="008B264B">
          <w:rPr>
            <w:rFonts w:ascii="Times New Roman" w:eastAsia="Times New Roman" w:hAnsi="Times New Roman" w:cs="Times New Roman"/>
            <w:color w:val="0000FF"/>
            <w:sz w:val="24"/>
            <w:szCs w:val="24"/>
            <w:u w:val="single"/>
            <w:lang/>
          </w:rPr>
          <w:t>статтею 82</w:t>
        </w:r>
      </w:hyperlink>
      <w:r w:rsidRPr="008B264B">
        <w:rPr>
          <w:rFonts w:ascii="Times New Roman" w:eastAsia="Times New Roman" w:hAnsi="Times New Roman" w:cs="Times New Roman"/>
          <w:color w:val="000000"/>
          <w:sz w:val="24"/>
          <w:szCs w:val="24"/>
          <w:lang/>
        </w:rPr>
        <w:t> цього Кодексу.</w:t>
      </w:r>
    </w:p>
    <w:p w14:paraId="485D7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0" w:name="n1846"/>
      <w:bookmarkEnd w:id="2950"/>
      <w:r w:rsidRPr="008B264B">
        <w:rPr>
          <w:rFonts w:ascii="Times New Roman" w:eastAsia="Times New Roman" w:hAnsi="Times New Roman" w:cs="Times New Roman"/>
          <w:color w:val="000000"/>
          <w:sz w:val="24"/>
          <w:szCs w:val="24"/>
          <w:lang/>
        </w:rPr>
        <w:t>80.10. Порядок оформлення результатів фактичної перевірки встановлено </w:t>
      </w:r>
      <w:hyperlink r:id="rId1656" w:anchor="n1931" w:history="1">
        <w:r w:rsidRPr="008B264B">
          <w:rPr>
            <w:rFonts w:ascii="Times New Roman" w:eastAsia="Times New Roman" w:hAnsi="Times New Roman" w:cs="Times New Roman"/>
            <w:color w:val="0000FF"/>
            <w:sz w:val="24"/>
            <w:szCs w:val="24"/>
            <w:u w:val="single"/>
            <w:lang/>
          </w:rPr>
          <w:t>статтею 86</w:t>
        </w:r>
      </w:hyperlink>
      <w:r w:rsidRPr="008B264B">
        <w:rPr>
          <w:rFonts w:ascii="Times New Roman" w:eastAsia="Times New Roman" w:hAnsi="Times New Roman" w:cs="Times New Roman"/>
          <w:color w:val="000000"/>
          <w:sz w:val="24"/>
          <w:szCs w:val="24"/>
          <w:lang/>
        </w:rPr>
        <w:t> цього Кодексу.</w:t>
      </w:r>
    </w:p>
    <w:p w14:paraId="43B011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1" w:name="n1847"/>
      <w:bookmarkEnd w:id="2951"/>
      <w:r w:rsidRPr="008B264B">
        <w:rPr>
          <w:rFonts w:ascii="Times New Roman" w:eastAsia="Times New Roman" w:hAnsi="Times New Roman" w:cs="Times New Roman"/>
          <w:b/>
          <w:bCs/>
          <w:color w:val="000000"/>
          <w:sz w:val="24"/>
          <w:szCs w:val="24"/>
          <w:lang/>
        </w:rPr>
        <w:t>Стаття 81.</w:t>
      </w:r>
      <w:r w:rsidRPr="008B264B">
        <w:rPr>
          <w:rFonts w:ascii="Times New Roman" w:eastAsia="Times New Roman" w:hAnsi="Times New Roman" w:cs="Times New Roman"/>
          <w:color w:val="000000"/>
          <w:sz w:val="24"/>
          <w:szCs w:val="24"/>
          <w:lang/>
        </w:rPr>
        <w:t> Умови та порядок допуску посадових осіб контролюючих органів до проведення документальних виїзних та фактичних перевірок</w:t>
      </w:r>
    </w:p>
    <w:p w14:paraId="54944D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2" w:name="n1848"/>
      <w:bookmarkEnd w:id="2952"/>
      <w:r w:rsidRPr="008B264B">
        <w:rPr>
          <w:rFonts w:ascii="Times New Roman" w:eastAsia="Times New Roman" w:hAnsi="Times New Roman" w:cs="Times New Roman"/>
          <w:color w:val="000000"/>
          <w:sz w:val="24"/>
          <w:szCs w:val="24"/>
          <w:lang/>
        </w:rPr>
        <w:t>81.1. Посадові особи контролюючого органу мають право приступити до проведення документальної виїзної перевірки, фактичної перевірки за наявності підстав для їх проведення, визначених цим Кодексом, та за умови пред'явлення або надіслання у випадках, визначених цим Кодексом, таких документів:</w:t>
      </w:r>
    </w:p>
    <w:p w14:paraId="586C21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3" w:name="n1849"/>
      <w:bookmarkEnd w:id="2953"/>
      <w:r w:rsidRPr="008B264B">
        <w:rPr>
          <w:rFonts w:ascii="Times New Roman" w:eastAsia="Times New Roman" w:hAnsi="Times New Roman" w:cs="Times New Roman"/>
          <w:i/>
          <w:iCs/>
          <w:color w:val="000000"/>
          <w:sz w:val="24"/>
          <w:szCs w:val="24"/>
          <w:lang/>
        </w:rPr>
        <w:t>{Абзац перший пункту 81.1 статті 81 в редакції Закону </w:t>
      </w:r>
      <w:hyperlink r:id="rId165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74DF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4" w:name="n1850"/>
      <w:bookmarkEnd w:id="2954"/>
      <w:r w:rsidRPr="008B264B">
        <w:rPr>
          <w:rFonts w:ascii="Times New Roman" w:eastAsia="Times New Roman" w:hAnsi="Times New Roman" w:cs="Times New Roman"/>
          <w:color w:val="000000"/>
          <w:sz w:val="24"/>
          <w:szCs w:val="24"/>
          <w:lang/>
        </w:rPr>
        <w:t xml:space="preserve">направлення на проведення такої перевірки, в якому зазначаються дата видачі, найменування контролюючого органу, реквізити наказу про проведення відповідної перевірки, найменування та реквізити суб'єкта (прізвище, ім'я, по батькові фізичної особи - платника податку, який перевіряється) або об'єкта, перевірка якого проводиться, мета, вид (документальна планова/позапланова або фактична), підстави, дата початку та тривалість перевірки, посада та прізвище посадової (службової) особи, яка проводитиме перевірку. Направлення на перевірку у </w:t>
      </w:r>
      <w:r w:rsidRPr="008B264B">
        <w:rPr>
          <w:rFonts w:ascii="Times New Roman" w:eastAsia="Times New Roman" w:hAnsi="Times New Roman" w:cs="Times New Roman"/>
          <w:color w:val="000000"/>
          <w:sz w:val="24"/>
          <w:szCs w:val="24"/>
          <w:lang/>
        </w:rPr>
        <w:lastRenderedPageBreak/>
        <w:t>такому випадку є дійсним за наявності підпису керівника (його заступника або уповноваженої особи) контролюючого органу, що скріплений печаткою контролюючого органу;</w:t>
      </w:r>
    </w:p>
    <w:p w14:paraId="14A8E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5" w:name="n1851"/>
      <w:bookmarkEnd w:id="2955"/>
      <w:r w:rsidRPr="008B264B">
        <w:rPr>
          <w:rFonts w:ascii="Times New Roman" w:eastAsia="Times New Roman" w:hAnsi="Times New Roman" w:cs="Times New Roman"/>
          <w:i/>
          <w:iCs/>
          <w:color w:val="000000"/>
          <w:sz w:val="24"/>
          <w:szCs w:val="24"/>
          <w:lang/>
        </w:rPr>
        <w:t>{Абзац другий пункту 81.1 статті 81 в редакції Закону </w:t>
      </w:r>
      <w:hyperlink r:id="rId165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659"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w:t>
      </w:r>
      <w:hyperlink r:id="rId1660" w:anchor="n6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F0DE7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6" w:name="n1852"/>
      <w:bookmarkEnd w:id="2956"/>
      <w:r w:rsidRPr="008B264B">
        <w:rPr>
          <w:rFonts w:ascii="Times New Roman" w:eastAsia="Times New Roman" w:hAnsi="Times New Roman" w:cs="Times New Roman"/>
          <w:color w:val="000000"/>
          <w:sz w:val="24"/>
          <w:szCs w:val="24"/>
          <w:lang/>
        </w:rPr>
        <w:t>копії наказу про проведення перевірки, в якому зазначаються дата видачі, найменування контролюючого органу, найменування та реквізити суб’єкта (прізвище, ім’я, по батькові фізичної особи - платника податку, який перевіряється) та у разі проведення перевірки в іншому місці - адреса об’єкта, перевірка якого проводиться, мета, вид (документальна планова/позапланова або фактична перевірка), підстави для проведення перевірки, визначені цим Кодексом, дата початку і тривалість перевірки, період діяльності, який буде перевірятися. Наказ про проведення перевірки є дійсним за наявності підпису керівника (його заступника або уповноваженої особи) контролюючого органу та скріплення печаткою контролюючого органу;</w:t>
      </w:r>
    </w:p>
    <w:p w14:paraId="4381D0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7" w:name="n1853"/>
      <w:bookmarkEnd w:id="2957"/>
      <w:r w:rsidRPr="008B264B">
        <w:rPr>
          <w:rFonts w:ascii="Times New Roman" w:eastAsia="Times New Roman" w:hAnsi="Times New Roman" w:cs="Times New Roman"/>
          <w:i/>
          <w:iCs/>
          <w:color w:val="000000"/>
          <w:sz w:val="24"/>
          <w:szCs w:val="24"/>
          <w:lang/>
        </w:rPr>
        <w:t>{Абзац пункту 81.1 статті 81 в редакції Законів </w:t>
      </w:r>
      <w:hyperlink r:id="rId166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662" w:anchor="n52"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663" w:anchor="n6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2F61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8" w:name="n1854"/>
      <w:bookmarkEnd w:id="2958"/>
      <w:r w:rsidRPr="008B264B">
        <w:rPr>
          <w:rFonts w:ascii="Times New Roman" w:eastAsia="Times New Roman" w:hAnsi="Times New Roman" w:cs="Times New Roman"/>
          <w:color w:val="000000"/>
          <w:sz w:val="24"/>
          <w:szCs w:val="24"/>
          <w:lang/>
        </w:rPr>
        <w:t>службового посвідчення осіб, які зазначені в направленні на проведення перевірки.</w:t>
      </w:r>
    </w:p>
    <w:p w14:paraId="42C3F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59" w:name="n1855"/>
      <w:bookmarkEnd w:id="2959"/>
      <w:r w:rsidRPr="008B264B">
        <w:rPr>
          <w:rFonts w:ascii="Times New Roman" w:eastAsia="Times New Roman" w:hAnsi="Times New Roman" w:cs="Times New Roman"/>
          <w:i/>
          <w:iCs/>
          <w:color w:val="000000"/>
          <w:sz w:val="24"/>
          <w:szCs w:val="24"/>
          <w:lang/>
        </w:rPr>
        <w:t>{Абзац пункту 81.1 статті 81 в редакції Закону </w:t>
      </w:r>
      <w:hyperlink r:id="rId166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3BE5A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0" w:name="n1856"/>
      <w:bookmarkEnd w:id="2960"/>
      <w:r w:rsidRPr="008B264B">
        <w:rPr>
          <w:rFonts w:ascii="Times New Roman" w:eastAsia="Times New Roman" w:hAnsi="Times New Roman" w:cs="Times New Roman"/>
          <w:color w:val="000000"/>
          <w:sz w:val="24"/>
          <w:szCs w:val="24"/>
          <w:lang/>
        </w:rPr>
        <w:t>Непред'явлення або ненадіслання у випадках, визначених цим Кодексом, платнику податків (його посадовим (службовим) особам або його уповноваженому представнику, або особам, які фактично проводять розрахункові операції) цих документів або пред'явлення зазначених документів, що оформлені з порушенням вимог, встановлених цим пунктом, є підставою для недопущення посадових (службових) осіб контролюючого органу до проведення документальної виїзної або фактичної перевірки.</w:t>
      </w:r>
    </w:p>
    <w:p w14:paraId="68B57A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1" w:name="n1857"/>
      <w:bookmarkEnd w:id="2961"/>
      <w:r w:rsidRPr="008B264B">
        <w:rPr>
          <w:rFonts w:ascii="Times New Roman" w:eastAsia="Times New Roman" w:hAnsi="Times New Roman" w:cs="Times New Roman"/>
          <w:i/>
          <w:iCs/>
          <w:color w:val="000000"/>
          <w:sz w:val="24"/>
          <w:szCs w:val="24"/>
          <w:lang/>
        </w:rPr>
        <w:t>{Абзац пункту 81.1 статті 81 в редакції Закону </w:t>
      </w:r>
      <w:hyperlink r:id="rId166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666" w:anchor="n9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5368F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2" w:name="n1858"/>
      <w:bookmarkEnd w:id="2962"/>
      <w:r w:rsidRPr="008B264B">
        <w:rPr>
          <w:rFonts w:ascii="Times New Roman" w:eastAsia="Times New Roman" w:hAnsi="Times New Roman" w:cs="Times New Roman"/>
          <w:color w:val="000000"/>
          <w:sz w:val="24"/>
          <w:szCs w:val="24"/>
          <w:lang/>
        </w:rPr>
        <w:t>Відмова платника податків та/або посадових (службових) осіб платника податків (його представників або осіб, які фактично проводять розрахункові операції) від допуску до перевірки на інших підставах, ніж визначені в абзаці п'ятому цього пункту, не дозволяється.</w:t>
      </w:r>
    </w:p>
    <w:p w14:paraId="6933C1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3" w:name="n1859"/>
      <w:bookmarkEnd w:id="2963"/>
      <w:r w:rsidRPr="008B264B">
        <w:rPr>
          <w:rFonts w:ascii="Times New Roman" w:eastAsia="Times New Roman" w:hAnsi="Times New Roman" w:cs="Times New Roman"/>
          <w:i/>
          <w:iCs/>
          <w:color w:val="000000"/>
          <w:sz w:val="24"/>
          <w:szCs w:val="24"/>
          <w:lang/>
        </w:rPr>
        <w:t>{Абзац шостий пункту 81.1 статті 81 із змінами, внесеними згідно із Законом </w:t>
      </w:r>
      <w:hyperlink r:id="rId166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1824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4" w:name="n1860"/>
      <w:bookmarkEnd w:id="2964"/>
      <w:r w:rsidRPr="008B264B">
        <w:rPr>
          <w:rFonts w:ascii="Times New Roman" w:eastAsia="Times New Roman" w:hAnsi="Times New Roman" w:cs="Times New Roman"/>
          <w:color w:val="000000"/>
          <w:sz w:val="24"/>
          <w:szCs w:val="24"/>
          <w:lang/>
        </w:rPr>
        <w:t>При пред'явленні направлення платнику податків та/або посадовим (службовим) особам платника податків (його представникам або особам, які фактично проводять розрахункові операції) такі особи розписуються у направленні із зазначенням свого прізвища, імені, по батькові, посади, дати і часу ознайомлення.</w:t>
      </w:r>
    </w:p>
    <w:p w14:paraId="7CDF35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5" w:name="n1861"/>
      <w:bookmarkEnd w:id="2965"/>
      <w:r w:rsidRPr="008B264B">
        <w:rPr>
          <w:rFonts w:ascii="Times New Roman" w:eastAsia="Times New Roman" w:hAnsi="Times New Roman" w:cs="Times New Roman"/>
          <w:color w:val="000000"/>
          <w:sz w:val="24"/>
          <w:szCs w:val="24"/>
          <w:lang/>
        </w:rPr>
        <w:t>У разі відмови платника податків та/або посадових (службових) осіб платника податків (його представників або осіб, які фактично проводять розрахункові операції) розписатися у направленні на перевірку посадовими (службовими) особами контролюючого органу складається акт, який засвідчує факт відмови. У такому випадку акт про відмову від підпису у направленні на перевірку є підставою для початку проведення такої перевірки.</w:t>
      </w:r>
    </w:p>
    <w:p w14:paraId="1A1D94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6" w:name="n1862"/>
      <w:bookmarkEnd w:id="2966"/>
      <w:r w:rsidRPr="008B264B">
        <w:rPr>
          <w:rFonts w:ascii="Times New Roman" w:eastAsia="Times New Roman" w:hAnsi="Times New Roman" w:cs="Times New Roman"/>
          <w:color w:val="000000"/>
          <w:sz w:val="24"/>
          <w:szCs w:val="24"/>
          <w:lang/>
        </w:rPr>
        <w:t>81.2. У разі відмови платника податків та/або посадових (службових) осіб платника податків (його представників або осіб, які фактично проводять розрахункові операції) у допуску посадових (службових) осіб контролюючого органу до проведення перевірки посадовими (службовими) особами контролюючого органу за місцем проведення перевірки, невідкладно складається у двох примірниках акт, що засвідчує факт відмови, із зазначенням заявлених причин відмови, один примірник якого вручається під підпис, відразу після його складання, платнику податків та/або уповноваженій особі платника податків.</w:t>
      </w:r>
    </w:p>
    <w:p w14:paraId="7BE0E1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7" w:name="n13926"/>
      <w:bookmarkEnd w:id="2967"/>
      <w:r w:rsidRPr="008B264B">
        <w:rPr>
          <w:rFonts w:ascii="Times New Roman" w:eastAsia="Times New Roman" w:hAnsi="Times New Roman" w:cs="Times New Roman"/>
          <w:color w:val="000000"/>
          <w:sz w:val="24"/>
          <w:szCs w:val="24"/>
          <w:lang/>
        </w:rPr>
        <w:lastRenderedPageBreak/>
        <w:t>Посадова (службова) особа платника податків (його представник або особа, яка фактично проводить розрахункові операції) має право надати свої письмові пояснення до складеного контролюючим органом акта.</w:t>
      </w:r>
    </w:p>
    <w:p w14:paraId="7D2551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8" w:name="n13927"/>
      <w:bookmarkEnd w:id="2968"/>
      <w:r w:rsidRPr="008B264B">
        <w:rPr>
          <w:rFonts w:ascii="Times New Roman" w:eastAsia="Times New Roman" w:hAnsi="Times New Roman" w:cs="Times New Roman"/>
          <w:color w:val="000000"/>
          <w:sz w:val="24"/>
          <w:szCs w:val="24"/>
          <w:lang/>
        </w:rPr>
        <w:t>У разі відмови платника податків та/або його посадових (службових) осіб (представників або осіб, які фактично проводять розрахункові операції) підписати акт, що засвідчує факт відмови у допуску до проведення перевірки, посадовими (службовими) особами контролюючого органу складається акт, що засвідчує факт відмови в отриманні акта та/або наданні письмових пояснень до нього.</w:t>
      </w:r>
    </w:p>
    <w:p w14:paraId="1BA2A6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69" w:name="n13925"/>
      <w:bookmarkEnd w:id="2969"/>
      <w:r w:rsidRPr="008B264B">
        <w:rPr>
          <w:rFonts w:ascii="Times New Roman" w:eastAsia="Times New Roman" w:hAnsi="Times New Roman" w:cs="Times New Roman"/>
          <w:i/>
          <w:iCs/>
          <w:color w:val="000000"/>
          <w:sz w:val="24"/>
          <w:szCs w:val="24"/>
          <w:lang/>
        </w:rPr>
        <w:t>{Пункт 81.2 статті 81 в редакції Закону </w:t>
      </w:r>
      <w:hyperlink r:id="rId1668" w:anchor="n6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D699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0" w:name="n1863"/>
      <w:bookmarkEnd w:id="2970"/>
      <w:r w:rsidRPr="008B264B">
        <w:rPr>
          <w:rFonts w:ascii="Times New Roman" w:eastAsia="Times New Roman" w:hAnsi="Times New Roman" w:cs="Times New Roman"/>
          <w:color w:val="000000"/>
          <w:sz w:val="24"/>
          <w:szCs w:val="24"/>
          <w:lang/>
        </w:rPr>
        <w:t>81.3. Під час проведення перевірок посадові (службові) особи органів державної служби повинні діяти у межах повноважень, визначених цим Кодексом.</w:t>
      </w:r>
    </w:p>
    <w:p w14:paraId="48BA8D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1" w:name="n1864"/>
      <w:bookmarkEnd w:id="2971"/>
      <w:r w:rsidRPr="008B264B">
        <w:rPr>
          <w:rFonts w:ascii="Times New Roman" w:eastAsia="Times New Roman" w:hAnsi="Times New Roman" w:cs="Times New Roman"/>
          <w:color w:val="000000"/>
          <w:sz w:val="24"/>
          <w:szCs w:val="24"/>
          <w:lang/>
        </w:rPr>
        <w:t>Керівники і відповідні посадові особи юридичних осіб та фізичні особи - платники податків під час перевірки, що проводиться контролюючими органами, зобов'язані виконувати вимоги контролюючих органів щодо усунення виявлених порушень законів про оподаткування і підписати акт (довідку) про проведення перевірки та мають право надати заперечення на цей акт (довідку).</w:t>
      </w:r>
    </w:p>
    <w:p w14:paraId="37D4F7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2" w:name="n9501"/>
      <w:bookmarkEnd w:id="2972"/>
      <w:r w:rsidRPr="008B264B">
        <w:rPr>
          <w:rFonts w:ascii="Times New Roman" w:eastAsia="Times New Roman" w:hAnsi="Times New Roman" w:cs="Times New Roman"/>
          <w:color w:val="000000"/>
          <w:sz w:val="24"/>
          <w:szCs w:val="24"/>
          <w:lang/>
        </w:rPr>
        <w:t>При проведенні перевірок посадові (службові) особи контролюючого органу не мають права вимагати у платника податків отримувати витяг із відповідного реєстру про взяття такого платника податків на облік відповідно до вимог цього Кодексу.</w:t>
      </w:r>
    </w:p>
    <w:p w14:paraId="00174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3" w:name="n9500"/>
      <w:bookmarkEnd w:id="2973"/>
      <w:r w:rsidRPr="008B264B">
        <w:rPr>
          <w:rFonts w:ascii="Times New Roman" w:eastAsia="Times New Roman" w:hAnsi="Times New Roman" w:cs="Times New Roman"/>
          <w:i/>
          <w:iCs/>
          <w:color w:val="000000"/>
          <w:sz w:val="24"/>
          <w:szCs w:val="24"/>
          <w:lang/>
        </w:rPr>
        <w:t>{Пункт 81.3 статті 81 доповнено абзацом третім згідно із Законом </w:t>
      </w:r>
      <w:hyperlink r:id="rId1669" w:anchor="n5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7B58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4" w:name="n1865"/>
      <w:bookmarkEnd w:id="2974"/>
      <w:r w:rsidRPr="008B264B">
        <w:rPr>
          <w:rFonts w:ascii="Times New Roman" w:eastAsia="Times New Roman" w:hAnsi="Times New Roman" w:cs="Times New Roman"/>
          <w:b/>
          <w:bCs/>
          <w:color w:val="000000"/>
          <w:sz w:val="24"/>
          <w:szCs w:val="24"/>
          <w:lang/>
        </w:rPr>
        <w:t>Стаття 82.</w:t>
      </w:r>
      <w:r w:rsidRPr="008B264B">
        <w:rPr>
          <w:rFonts w:ascii="Times New Roman" w:eastAsia="Times New Roman" w:hAnsi="Times New Roman" w:cs="Times New Roman"/>
          <w:color w:val="000000"/>
          <w:sz w:val="24"/>
          <w:szCs w:val="24"/>
          <w:lang/>
        </w:rPr>
        <w:t> Строки проведення виїзних перевірок</w:t>
      </w:r>
    </w:p>
    <w:p w14:paraId="2A8CB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5" w:name="n1866"/>
      <w:bookmarkEnd w:id="2975"/>
      <w:r w:rsidRPr="008B264B">
        <w:rPr>
          <w:rFonts w:ascii="Times New Roman" w:eastAsia="Times New Roman" w:hAnsi="Times New Roman" w:cs="Times New Roman"/>
          <w:color w:val="000000"/>
          <w:sz w:val="24"/>
          <w:szCs w:val="24"/>
          <w:lang/>
        </w:rPr>
        <w:t>82.1. Тривалість перевірок, визначених у </w:t>
      </w:r>
      <w:hyperlink r:id="rId1670" w:anchor="n1773" w:history="1">
        <w:r w:rsidRPr="008B264B">
          <w:rPr>
            <w:rFonts w:ascii="Times New Roman" w:eastAsia="Times New Roman" w:hAnsi="Times New Roman" w:cs="Times New Roman"/>
            <w:color w:val="0000FF"/>
            <w:sz w:val="24"/>
            <w:szCs w:val="24"/>
            <w:u w:val="single"/>
            <w:lang/>
          </w:rPr>
          <w:t>статті 77</w:t>
        </w:r>
      </w:hyperlink>
      <w:r w:rsidRPr="008B264B">
        <w:rPr>
          <w:rFonts w:ascii="Times New Roman" w:eastAsia="Times New Roman" w:hAnsi="Times New Roman" w:cs="Times New Roman"/>
          <w:color w:val="000000"/>
          <w:sz w:val="24"/>
          <w:szCs w:val="24"/>
          <w:lang/>
        </w:rPr>
        <w:t> цього Кодексу, не повинна перевищувати 30 робочих днів для великих платників податків, щодо суб'єктів малого підприємництва - 10 робочих днів, інших платників податків - 20 робочих днів.</w:t>
      </w:r>
    </w:p>
    <w:p w14:paraId="73E97F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6" w:name="n1867"/>
      <w:bookmarkEnd w:id="2976"/>
      <w:r w:rsidRPr="008B264B">
        <w:rPr>
          <w:rFonts w:ascii="Times New Roman" w:eastAsia="Times New Roman" w:hAnsi="Times New Roman" w:cs="Times New Roman"/>
          <w:color w:val="000000"/>
          <w:sz w:val="24"/>
          <w:szCs w:val="24"/>
          <w:lang/>
        </w:rPr>
        <w:t>Продовження строків проведення перевірок, визначених у статті 77 цього Кодексу, можливе за рішенням керівника (його заступника або уповноваженої особи) контролюючого органу не більш як на 15 робочих днів для великих платників податків, щодо суб'єктів малого підприємництва - не більш як на 5 робочих днів, інших платників податків - не більш як на 10 робочих днів.</w:t>
      </w:r>
    </w:p>
    <w:p w14:paraId="5FBC0A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7" w:name="n13928"/>
      <w:bookmarkEnd w:id="2977"/>
      <w:r w:rsidRPr="008B264B">
        <w:rPr>
          <w:rFonts w:ascii="Times New Roman" w:eastAsia="Times New Roman" w:hAnsi="Times New Roman" w:cs="Times New Roman"/>
          <w:i/>
          <w:iCs/>
          <w:color w:val="000000"/>
          <w:sz w:val="24"/>
          <w:szCs w:val="24"/>
          <w:lang/>
        </w:rPr>
        <w:t>{Абзац другий пункту 82.1 статті 82 із змінами, внесеними згідно із Законом </w:t>
      </w:r>
      <w:hyperlink r:id="rId1671" w:anchor="n6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BE74A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8" w:name="n1868"/>
      <w:bookmarkEnd w:id="2978"/>
      <w:r w:rsidRPr="008B264B">
        <w:rPr>
          <w:rFonts w:ascii="Times New Roman" w:eastAsia="Times New Roman" w:hAnsi="Times New Roman" w:cs="Times New Roman"/>
          <w:color w:val="000000"/>
          <w:sz w:val="24"/>
          <w:szCs w:val="24"/>
          <w:lang/>
        </w:rPr>
        <w:t>82.2. Тривалість перевірок, визначених у </w:t>
      </w:r>
      <w:hyperlink r:id="rId1672" w:anchor="n1788" w:history="1">
        <w:r w:rsidRPr="008B264B">
          <w:rPr>
            <w:rFonts w:ascii="Times New Roman" w:eastAsia="Times New Roman" w:hAnsi="Times New Roman" w:cs="Times New Roman"/>
            <w:color w:val="0000FF"/>
            <w:sz w:val="24"/>
            <w:szCs w:val="24"/>
            <w:u w:val="single"/>
            <w:lang/>
          </w:rPr>
          <w:t>статті 78</w:t>
        </w:r>
      </w:hyperlink>
      <w:r w:rsidRPr="008B264B">
        <w:rPr>
          <w:rFonts w:ascii="Times New Roman" w:eastAsia="Times New Roman" w:hAnsi="Times New Roman" w:cs="Times New Roman"/>
          <w:color w:val="000000"/>
          <w:sz w:val="24"/>
          <w:szCs w:val="24"/>
          <w:lang/>
        </w:rPr>
        <w:t> цього Кодексу, не повинна перевищувати 15 робочих днів для великих платників податків, щодо суб'єктів малого підприємництва - 5 робочих днів, для фізичних осіб - підприємців, які не мають найманих працівників, за наявності умов, визначених в абзацах третьому - восьмому цього пункту, - 3 робочі дні, інших платників податків - 10 робочих днів.</w:t>
      </w:r>
    </w:p>
    <w:p w14:paraId="032BE9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79" w:name="n1869"/>
      <w:bookmarkEnd w:id="2979"/>
      <w:r w:rsidRPr="008B264B">
        <w:rPr>
          <w:rFonts w:ascii="Times New Roman" w:eastAsia="Times New Roman" w:hAnsi="Times New Roman" w:cs="Times New Roman"/>
          <w:i/>
          <w:iCs/>
          <w:color w:val="000000"/>
          <w:sz w:val="24"/>
          <w:szCs w:val="24"/>
          <w:lang/>
        </w:rPr>
        <w:t>{Абзац перший пункту 82.2 статті 82 із змінами, внесеними згідно із Законами </w:t>
      </w:r>
      <w:hyperlink r:id="rId1673" w:anchor="n23"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w:t>
      </w:r>
      <w:hyperlink r:id="rId1674" w:anchor="n6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6AFFB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0" w:name="n1870"/>
      <w:bookmarkEnd w:id="2980"/>
      <w:r w:rsidRPr="008B264B">
        <w:rPr>
          <w:rFonts w:ascii="Times New Roman" w:eastAsia="Times New Roman" w:hAnsi="Times New Roman" w:cs="Times New Roman"/>
          <w:color w:val="000000"/>
          <w:sz w:val="24"/>
          <w:szCs w:val="24"/>
          <w:lang/>
        </w:rPr>
        <w:t>Продовження строків проведення перевірок, визначених у </w:t>
      </w:r>
      <w:hyperlink r:id="rId1675" w:anchor="n1788" w:history="1">
        <w:r w:rsidRPr="008B264B">
          <w:rPr>
            <w:rFonts w:ascii="Times New Roman" w:eastAsia="Times New Roman" w:hAnsi="Times New Roman" w:cs="Times New Roman"/>
            <w:color w:val="0000FF"/>
            <w:sz w:val="24"/>
            <w:szCs w:val="24"/>
            <w:u w:val="single"/>
            <w:lang/>
          </w:rPr>
          <w:t>статті 78</w:t>
        </w:r>
      </w:hyperlink>
      <w:r w:rsidRPr="008B264B">
        <w:rPr>
          <w:rFonts w:ascii="Times New Roman" w:eastAsia="Times New Roman" w:hAnsi="Times New Roman" w:cs="Times New Roman"/>
          <w:color w:val="000000"/>
          <w:sz w:val="24"/>
          <w:szCs w:val="24"/>
          <w:lang/>
        </w:rPr>
        <w:t> цього Кодексу, можливе за рішенням керівника (його заступника або уповноваженої особи) контролюючого органу не більш як на 10 робочих днів для великих платників податків, щодо суб'єктів малого підприємництва - не більш як на 2 робочих дні, інших платників податків - не більш як на 5 робочих днів.</w:t>
      </w:r>
    </w:p>
    <w:p w14:paraId="685F51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1" w:name="n13929"/>
      <w:bookmarkEnd w:id="2981"/>
      <w:r w:rsidRPr="008B264B">
        <w:rPr>
          <w:rFonts w:ascii="Times New Roman" w:eastAsia="Times New Roman" w:hAnsi="Times New Roman" w:cs="Times New Roman"/>
          <w:i/>
          <w:iCs/>
          <w:color w:val="000000"/>
          <w:sz w:val="24"/>
          <w:szCs w:val="24"/>
          <w:lang/>
        </w:rPr>
        <w:t>{Абзац другий пункту 82.2 статті 82 із змінами, внесеними згідно із Законом </w:t>
      </w:r>
      <w:hyperlink r:id="rId1676" w:anchor="n6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C8FC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2" w:name="n1871"/>
      <w:bookmarkEnd w:id="2982"/>
      <w:r w:rsidRPr="008B264B">
        <w:rPr>
          <w:rFonts w:ascii="Times New Roman" w:eastAsia="Times New Roman" w:hAnsi="Times New Roman" w:cs="Times New Roman"/>
          <w:color w:val="000000"/>
          <w:sz w:val="24"/>
          <w:szCs w:val="24"/>
          <w:lang/>
        </w:rPr>
        <w:lastRenderedPageBreak/>
        <w:t>Документальна позапланова перевірка з підстав, визначених у </w:t>
      </w:r>
      <w:hyperlink r:id="rId1677" w:anchor="n1797" w:history="1">
        <w:r w:rsidRPr="008B264B">
          <w:rPr>
            <w:rFonts w:ascii="Times New Roman" w:eastAsia="Times New Roman" w:hAnsi="Times New Roman" w:cs="Times New Roman"/>
            <w:color w:val="0000FF"/>
            <w:sz w:val="24"/>
            <w:szCs w:val="24"/>
            <w:u w:val="single"/>
            <w:lang/>
          </w:rPr>
          <w:t>підпункті 78.1.7</w:t>
        </w:r>
      </w:hyperlink>
      <w:r w:rsidRPr="008B264B">
        <w:rPr>
          <w:rFonts w:ascii="Times New Roman" w:eastAsia="Times New Roman" w:hAnsi="Times New Roman" w:cs="Times New Roman"/>
          <w:color w:val="000000"/>
          <w:sz w:val="24"/>
          <w:szCs w:val="24"/>
          <w:lang/>
        </w:rPr>
        <w:t> пункту 78.1 статті 78 цього Кодексу, для фізичних осіб - підприємців, які не мають найманих працівників, проводиться у строк, визначений абзацом першим цього пункту, за наявності за два останні календарні роки одночасно таких умов:</w:t>
      </w:r>
    </w:p>
    <w:p w14:paraId="587FD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3" w:name="n1872"/>
      <w:bookmarkEnd w:id="2983"/>
      <w:r w:rsidRPr="008B264B">
        <w:rPr>
          <w:rFonts w:ascii="Times New Roman" w:eastAsia="Times New Roman" w:hAnsi="Times New Roman" w:cs="Times New Roman"/>
          <w:i/>
          <w:iCs/>
          <w:color w:val="000000"/>
          <w:sz w:val="24"/>
          <w:szCs w:val="24"/>
          <w:lang/>
        </w:rPr>
        <w:t>{Пункт 82.2 статті 82 доповнено абзацом третім згідно із Законом </w:t>
      </w:r>
      <w:hyperlink r:id="rId1678"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CB9D3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4" w:name="n1873"/>
      <w:bookmarkEnd w:id="2984"/>
      <w:r w:rsidRPr="008B264B">
        <w:rPr>
          <w:rFonts w:ascii="Times New Roman" w:eastAsia="Times New Roman" w:hAnsi="Times New Roman" w:cs="Times New Roman"/>
          <w:color w:val="000000"/>
          <w:sz w:val="24"/>
          <w:szCs w:val="24"/>
          <w:lang/>
        </w:rPr>
        <w:t>платником податку подано податкову декларацію про відсутність доходів від провадження господарської діяльності;</w:t>
      </w:r>
    </w:p>
    <w:p w14:paraId="3FEB24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5" w:name="n1874"/>
      <w:bookmarkEnd w:id="2985"/>
      <w:r w:rsidRPr="008B264B">
        <w:rPr>
          <w:rFonts w:ascii="Times New Roman" w:eastAsia="Times New Roman" w:hAnsi="Times New Roman" w:cs="Times New Roman"/>
          <w:i/>
          <w:iCs/>
          <w:color w:val="000000"/>
          <w:sz w:val="24"/>
          <w:szCs w:val="24"/>
          <w:lang/>
        </w:rPr>
        <w:t>{Пункт 82.2 статті 82 доповнено абзацом четвертим згідно із Законом </w:t>
      </w:r>
      <w:hyperlink r:id="rId1679"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AEEEC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6" w:name="n1875"/>
      <w:bookmarkEnd w:id="2986"/>
      <w:r w:rsidRPr="008B264B">
        <w:rPr>
          <w:rFonts w:ascii="Times New Roman" w:eastAsia="Times New Roman" w:hAnsi="Times New Roman" w:cs="Times New Roman"/>
          <w:color w:val="000000"/>
          <w:sz w:val="24"/>
          <w:szCs w:val="24"/>
          <w:lang/>
        </w:rPr>
        <w:t>платник податку не зареєстрований як платник податку на додану вартість;</w:t>
      </w:r>
    </w:p>
    <w:p w14:paraId="7AEABD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7" w:name="n1876"/>
      <w:bookmarkEnd w:id="2987"/>
      <w:r w:rsidRPr="008B264B">
        <w:rPr>
          <w:rFonts w:ascii="Times New Roman" w:eastAsia="Times New Roman" w:hAnsi="Times New Roman" w:cs="Times New Roman"/>
          <w:i/>
          <w:iCs/>
          <w:color w:val="000000"/>
          <w:sz w:val="24"/>
          <w:szCs w:val="24"/>
          <w:lang/>
        </w:rPr>
        <w:t>{Пункт 82.2 статті 82 доповнено абзацом п'ятим згідно із Законом </w:t>
      </w:r>
      <w:hyperlink r:id="rId1680"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A8223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8" w:name="n1877"/>
      <w:bookmarkEnd w:id="2988"/>
      <w:r w:rsidRPr="008B264B">
        <w:rPr>
          <w:rFonts w:ascii="Times New Roman" w:eastAsia="Times New Roman" w:hAnsi="Times New Roman" w:cs="Times New Roman"/>
          <w:color w:val="000000"/>
          <w:sz w:val="24"/>
          <w:szCs w:val="24"/>
          <w:lang/>
        </w:rPr>
        <w:t>в контролюючих органах відсутня податкова інформація щодо:</w:t>
      </w:r>
    </w:p>
    <w:p w14:paraId="0D8C13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89" w:name="n1878"/>
      <w:bookmarkEnd w:id="2989"/>
      <w:r w:rsidRPr="008B264B">
        <w:rPr>
          <w:rFonts w:ascii="Times New Roman" w:eastAsia="Times New Roman" w:hAnsi="Times New Roman" w:cs="Times New Roman"/>
          <w:i/>
          <w:iCs/>
          <w:color w:val="000000"/>
          <w:sz w:val="24"/>
          <w:szCs w:val="24"/>
          <w:lang/>
        </w:rPr>
        <w:t>{Пункт 82.2 статті 82 доповнено абзацом шостим згідно із Законом </w:t>
      </w:r>
      <w:hyperlink r:id="rId1681"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1E21C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0" w:name="n1879"/>
      <w:bookmarkEnd w:id="2990"/>
      <w:r w:rsidRPr="008B264B">
        <w:rPr>
          <w:rFonts w:ascii="Times New Roman" w:eastAsia="Times New Roman" w:hAnsi="Times New Roman" w:cs="Times New Roman"/>
          <w:color w:val="000000"/>
          <w:sz w:val="24"/>
          <w:szCs w:val="24"/>
          <w:lang/>
        </w:rPr>
        <w:t>використання платником податку найманої праці фізичних осіб;</w:t>
      </w:r>
    </w:p>
    <w:p w14:paraId="6A6D90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1" w:name="n1880"/>
      <w:bookmarkEnd w:id="2991"/>
      <w:r w:rsidRPr="008B264B">
        <w:rPr>
          <w:rFonts w:ascii="Times New Roman" w:eastAsia="Times New Roman" w:hAnsi="Times New Roman" w:cs="Times New Roman"/>
          <w:i/>
          <w:iCs/>
          <w:color w:val="000000"/>
          <w:sz w:val="24"/>
          <w:szCs w:val="24"/>
          <w:lang/>
        </w:rPr>
        <w:t>{Пункт 82.2 статті 82 доповнено абзацом сьомим згідно із Законом </w:t>
      </w:r>
      <w:hyperlink r:id="rId1682"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84026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2" w:name="n1881"/>
      <w:bookmarkEnd w:id="2992"/>
      <w:r w:rsidRPr="008B264B">
        <w:rPr>
          <w:rFonts w:ascii="Times New Roman" w:eastAsia="Times New Roman" w:hAnsi="Times New Roman" w:cs="Times New Roman"/>
          <w:color w:val="000000"/>
          <w:sz w:val="24"/>
          <w:szCs w:val="24"/>
          <w:lang/>
        </w:rPr>
        <w:t>відкритих платником податку рахунків у банках та інших фінансових установах.</w:t>
      </w:r>
    </w:p>
    <w:p w14:paraId="2022F8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3" w:name="n1882"/>
      <w:bookmarkEnd w:id="2993"/>
      <w:r w:rsidRPr="008B264B">
        <w:rPr>
          <w:rFonts w:ascii="Times New Roman" w:eastAsia="Times New Roman" w:hAnsi="Times New Roman" w:cs="Times New Roman"/>
          <w:i/>
          <w:iCs/>
          <w:color w:val="000000"/>
          <w:sz w:val="24"/>
          <w:szCs w:val="24"/>
          <w:lang/>
        </w:rPr>
        <w:t>{Пункт 82.2 статті 82 доповнено абзацом восьмим згідно із Законом </w:t>
      </w:r>
      <w:hyperlink r:id="rId1683" w:anchor="n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8A986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4" w:name="n1883"/>
      <w:bookmarkEnd w:id="2994"/>
      <w:r w:rsidRPr="008B264B">
        <w:rPr>
          <w:rFonts w:ascii="Times New Roman" w:eastAsia="Times New Roman" w:hAnsi="Times New Roman" w:cs="Times New Roman"/>
          <w:color w:val="000000"/>
          <w:sz w:val="24"/>
          <w:szCs w:val="24"/>
          <w:lang/>
        </w:rPr>
        <w:t>82.3. Тривалість перевірок, визначених </w:t>
      </w:r>
      <w:hyperlink r:id="rId1684" w:anchor="n1825" w:history="1">
        <w:r w:rsidRPr="008B264B">
          <w:rPr>
            <w:rFonts w:ascii="Times New Roman" w:eastAsia="Times New Roman" w:hAnsi="Times New Roman" w:cs="Times New Roman"/>
            <w:color w:val="0000FF"/>
            <w:sz w:val="24"/>
            <w:szCs w:val="24"/>
            <w:u w:val="single"/>
            <w:lang/>
          </w:rPr>
          <w:t>статтею 80</w:t>
        </w:r>
      </w:hyperlink>
      <w:r w:rsidRPr="008B264B">
        <w:rPr>
          <w:rFonts w:ascii="Times New Roman" w:eastAsia="Times New Roman" w:hAnsi="Times New Roman" w:cs="Times New Roman"/>
          <w:color w:val="000000"/>
          <w:sz w:val="24"/>
          <w:szCs w:val="24"/>
          <w:lang/>
        </w:rPr>
        <w:t> цього Кодексу, не повинна перевищувати 10 діб.</w:t>
      </w:r>
    </w:p>
    <w:p w14:paraId="1A9B4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5" w:name="n1884"/>
      <w:bookmarkEnd w:id="2995"/>
      <w:r w:rsidRPr="008B264B">
        <w:rPr>
          <w:rFonts w:ascii="Times New Roman" w:eastAsia="Times New Roman" w:hAnsi="Times New Roman" w:cs="Times New Roman"/>
          <w:color w:val="000000"/>
          <w:sz w:val="24"/>
          <w:szCs w:val="24"/>
          <w:lang/>
        </w:rPr>
        <w:t>Продовження строку таких перевірок здійснюється за рішенням керівника (його заступника або уповноваженої особи) контролюючого органу не більш як на 5 діб.</w:t>
      </w:r>
    </w:p>
    <w:p w14:paraId="526381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6" w:name="n13930"/>
      <w:bookmarkEnd w:id="2996"/>
      <w:r w:rsidRPr="008B264B">
        <w:rPr>
          <w:rFonts w:ascii="Times New Roman" w:eastAsia="Times New Roman" w:hAnsi="Times New Roman" w:cs="Times New Roman"/>
          <w:i/>
          <w:iCs/>
          <w:color w:val="000000"/>
          <w:sz w:val="24"/>
          <w:szCs w:val="24"/>
          <w:lang/>
        </w:rPr>
        <w:t>{Абзац другий пункту 82.3 статті 82 із змінами, внесеними згідно із Законом </w:t>
      </w:r>
      <w:hyperlink r:id="rId1685" w:anchor="n6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E6501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7" w:name="n1885"/>
      <w:bookmarkEnd w:id="2997"/>
      <w:r w:rsidRPr="008B264B">
        <w:rPr>
          <w:rFonts w:ascii="Times New Roman" w:eastAsia="Times New Roman" w:hAnsi="Times New Roman" w:cs="Times New Roman"/>
          <w:color w:val="000000"/>
          <w:sz w:val="24"/>
          <w:szCs w:val="24"/>
          <w:lang/>
        </w:rPr>
        <w:t>Підставами для подовження строку перевірки є:</w:t>
      </w:r>
    </w:p>
    <w:p w14:paraId="13FB50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8" w:name="n1886"/>
      <w:bookmarkEnd w:id="2998"/>
      <w:r w:rsidRPr="008B264B">
        <w:rPr>
          <w:rFonts w:ascii="Times New Roman" w:eastAsia="Times New Roman" w:hAnsi="Times New Roman" w:cs="Times New Roman"/>
          <w:color w:val="000000"/>
          <w:sz w:val="24"/>
          <w:szCs w:val="24"/>
          <w:lang/>
        </w:rPr>
        <w:t>82.3.1. заява суб'єкта господарювання (у разі необхідності подання ним документів, які стосуються питань перевірки);</w:t>
      </w:r>
    </w:p>
    <w:p w14:paraId="2B4B48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2999" w:name="n1887"/>
      <w:bookmarkEnd w:id="2999"/>
      <w:r w:rsidRPr="008B264B">
        <w:rPr>
          <w:rFonts w:ascii="Times New Roman" w:eastAsia="Times New Roman" w:hAnsi="Times New Roman" w:cs="Times New Roman"/>
          <w:color w:val="000000"/>
          <w:sz w:val="24"/>
          <w:szCs w:val="24"/>
          <w:lang/>
        </w:rPr>
        <w:t>82.3.2. змінний режим роботи або підсумований облік робочого часу суб'єкта господарювання та/або його господарських об'єктів.</w:t>
      </w:r>
    </w:p>
    <w:p w14:paraId="023719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0" w:name="n13936"/>
      <w:bookmarkEnd w:id="3000"/>
      <w:r w:rsidRPr="008B264B">
        <w:rPr>
          <w:rFonts w:ascii="Times New Roman" w:eastAsia="Times New Roman" w:hAnsi="Times New Roman" w:cs="Times New Roman"/>
          <w:color w:val="000000"/>
          <w:sz w:val="24"/>
          <w:szCs w:val="24"/>
          <w:lang/>
        </w:rPr>
        <w:t>82.4. Проведення документальної виїзної планової та позапланової перевірки великого платника податків може бути зупинено за рішенням керівника (його заступника або уповноваженої особи) контролюючого органу, що оформляється наказом, копія якого не пізніше наступного робочого дня вручається платнику податків або його уповноваженому представнику під розписку, або надсилається платнику податків у порядку, визначеному </w:t>
      </w:r>
      <w:hyperlink r:id="rId1686"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 з подальшим поновленням її проведення на невикористаний строк.</w:t>
      </w:r>
    </w:p>
    <w:p w14:paraId="16D588F0"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3001" w:name="n10575"/>
      <w:bookmarkEnd w:id="3001"/>
      <w:r w:rsidRPr="008B264B">
        <w:rPr>
          <w:rFonts w:ascii="Times New Roman" w:eastAsia="Times New Roman" w:hAnsi="Times New Roman" w:cs="Times New Roman"/>
          <w:i/>
          <w:iCs/>
          <w:color w:val="000000"/>
          <w:sz w:val="24"/>
          <w:szCs w:val="24"/>
          <w:lang/>
        </w:rPr>
        <w:t>{Абзац перший пункту 82.4 статті 82 із змінами, внесеними згідно із Законом </w:t>
      </w:r>
      <w:hyperlink r:id="rId1687" w:anchor="n2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F32B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2" w:name="n1889"/>
      <w:bookmarkEnd w:id="3002"/>
      <w:r w:rsidRPr="008B264B">
        <w:rPr>
          <w:rFonts w:ascii="Times New Roman" w:eastAsia="Times New Roman" w:hAnsi="Times New Roman" w:cs="Times New Roman"/>
          <w:color w:val="000000"/>
          <w:sz w:val="24"/>
          <w:szCs w:val="24"/>
          <w:lang/>
        </w:rPr>
        <w:t xml:space="preserve">Зупинення документальної виїзної планової, позапланової перевірки перериває перебіг строку проведення перевірки в разі вручення платнику податків або його уповноваженому </w:t>
      </w:r>
      <w:r w:rsidRPr="008B264B">
        <w:rPr>
          <w:rFonts w:ascii="Times New Roman" w:eastAsia="Times New Roman" w:hAnsi="Times New Roman" w:cs="Times New Roman"/>
          <w:color w:val="000000"/>
          <w:sz w:val="24"/>
          <w:szCs w:val="24"/>
          <w:lang/>
        </w:rPr>
        <w:lastRenderedPageBreak/>
        <w:t>представнику під розписку або надіслання платнику податків у порядку, визначеному статтею 42 цього Кодексу, копії наказу про зупинення документальної виїзної планової, позапланової перевірки.</w:t>
      </w:r>
    </w:p>
    <w:p w14:paraId="43E5C0FB"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3003" w:name="n10576"/>
      <w:bookmarkEnd w:id="3003"/>
      <w:r w:rsidRPr="008B264B">
        <w:rPr>
          <w:rFonts w:ascii="Times New Roman" w:eastAsia="Times New Roman" w:hAnsi="Times New Roman" w:cs="Times New Roman"/>
          <w:i/>
          <w:iCs/>
          <w:color w:val="000000"/>
          <w:sz w:val="24"/>
          <w:szCs w:val="24"/>
          <w:lang/>
        </w:rPr>
        <w:t>{Абзац другий пункту 82.4 статті 82 із змінами, внесеними згідно із Законом </w:t>
      </w:r>
      <w:hyperlink r:id="rId1688" w:anchor="n23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02929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4" w:name="n1890"/>
      <w:bookmarkEnd w:id="3004"/>
      <w:r w:rsidRPr="008B264B">
        <w:rPr>
          <w:rFonts w:ascii="Times New Roman" w:eastAsia="Times New Roman" w:hAnsi="Times New Roman" w:cs="Times New Roman"/>
          <w:color w:val="000000"/>
          <w:sz w:val="24"/>
          <w:szCs w:val="24"/>
          <w:lang/>
        </w:rPr>
        <w:t>При цьому перевірка може бути зупинена на загальний строк, що не перевищує 30 робочих днів, а в разі необхідності проведення експертизи, отримання інформації від іноземних державних органів щодо діяльності платника податків, завершення розгляду судом позовів з питань, пов'язаних з предметом перевірки, відновлення платником податків втрачених документів перевірка може бути зупинена на строк, необхідний для завершення таких процедур.</w:t>
      </w:r>
    </w:p>
    <w:p w14:paraId="2639A9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5" w:name="n1891"/>
      <w:bookmarkEnd w:id="3005"/>
      <w:r w:rsidRPr="008B264B">
        <w:rPr>
          <w:rFonts w:ascii="Times New Roman" w:eastAsia="Times New Roman" w:hAnsi="Times New Roman" w:cs="Times New Roman"/>
          <w:i/>
          <w:iCs/>
          <w:color w:val="000000"/>
          <w:sz w:val="24"/>
          <w:szCs w:val="24"/>
          <w:lang/>
        </w:rPr>
        <w:t>{Дія абзацу четвертого пункту 82.4 статті 82 призупиняється з 1 липня 2015 року до 1 січня 2017 року - див. </w:t>
      </w:r>
      <w:hyperlink r:id="rId1689" w:anchor="n12129" w:history="1">
        <w:r w:rsidRPr="008B264B">
          <w:rPr>
            <w:rFonts w:ascii="Times New Roman" w:eastAsia="Times New Roman" w:hAnsi="Times New Roman" w:cs="Times New Roman"/>
            <w:i/>
            <w:iCs/>
            <w:color w:val="0000FF"/>
            <w:sz w:val="24"/>
            <w:szCs w:val="24"/>
            <w:u w:val="single"/>
            <w:lang/>
          </w:rPr>
          <w:t>пункт 37</w:t>
        </w:r>
      </w:hyperlink>
      <w:r w:rsidRPr="008B264B">
        <w:rPr>
          <w:rFonts w:ascii="Times New Roman" w:eastAsia="Times New Roman" w:hAnsi="Times New Roman" w:cs="Times New Roman"/>
          <w:i/>
          <w:iCs/>
          <w:color w:val="000000"/>
          <w:sz w:val="24"/>
          <w:szCs w:val="24"/>
          <w:lang/>
        </w:rPr>
        <w:t> підрозділу 2 розділу XX цього Кодексу} </w:t>
      </w:r>
      <w:r w:rsidRPr="008B264B">
        <w:rPr>
          <w:rFonts w:ascii="Times New Roman" w:eastAsia="Times New Roman" w:hAnsi="Times New Roman" w:cs="Times New Roman"/>
          <w:color w:val="000000"/>
          <w:sz w:val="24"/>
          <w:szCs w:val="24"/>
          <w:lang/>
        </w:rPr>
        <w:t>Загальний термін проведення перевірок, визначених у </w:t>
      </w:r>
      <w:hyperlink r:id="rId1690" w:anchor="n5003" w:history="1">
        <w:r w:rsidRPr="008B264B">
          <w:rPr>
            <w:rFonts w:ascii="Times New Roman" w:eastAsia="Times New Roman" w:hAnsi="Times New Roman" w:cs="Times New Roman"/>
            <w:color w:val="0000FF"/>
            <w:sz w:val="24"/>
            <w:szCs w:val="24"/>
            <w:u w:val="single"/>
            <w:lang/>
          </w:rPr>
          <w:t>пунктах 200.10</w:t>
        </w:r>
      </w:hyperlink>
      <w:r w:rsidRPr="008B264B">
        <w:rPr>
          <w:rFonts w:ascii="Times New Roman" w:eastAsia="Times New Roman" w:hAnsi="Times New Roman" w:cs="Times New Roman"/>
          <w:color w:val="000000"/>
          <w:sz w:val="24"/>
          <w:szCs w:val="24"/>
          <w:lang/>
        </w:rPr>
        <w:t> та </w:t>
      </w:r>
      <w:hyperlink r:id="rId1691" w:anchor="n5004" w:history="1">
        <w:r w:rsidRPr="008B264B">
          <w:rPr>
            <w:rFonts w:ascii="Times New Roman" w:eastAsia="Times New Roman" w:hAnsi="Times New Roman" w:cs="Times New Roman"/>
            <w:color w:val="0000FF"/>
            <w:sz w:val="24"/>
            <w:szCs w:val="24"/>
            <w:u w:val="single"/>
            <w:lang/>
          </w:rPr>
          <w:t>200.11</w:t>
        </w:r>
      </w:hyperlink>
      <w:r w:rsidRPr="008B264B">
        <w:rPr>
          <w:rFonts w:ascii="Times New Roman" w:eastAsia="Times New Roman" w:hAnsi="Times New Roman" w:cs="Times New Roman"/>
          <w:color w:val="000000"/>
          <w:sz w:val="24"/>
          <w:szCs w:val="24"/>
          <w:lang/>
        </w:rPr>
        <w:t> статті 200 цього Кодексу, з урахуванням установлених цим пунктом строків зупинення не може перевищувати 60 календарних днів.</w:t>
      </w:r>
    </w:p>
    <w:p w14:paraId="0D27CB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6" w:name="n13931"/>
      <w:bookmarkEnd w:id="3006"/>
      <w:r w:rsidRPr="008B264B">
        <w:rPr>
          <w:rFonts w:ascii="Times New Roman" w:eastAsia="Times New Roman" w:hAnsi="Times New Roman" w:cs="Times New Roman"/>
          <w:i/>
          <w:iCs/>
          <w:color w:val="000000"/>
          <w:sz w:val="24"/>
          <w:szCs w:val="24"/>
          <w:lang/>
        </w:rPr>
        <w:t>{Пункт 82.4 статті 82 із змінами, внесеними згідно із Законом </w:t>
      </w:r>
      <w:hyperlink r:id="rId1692" w:anchor="n6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ABF2B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7" w:name="n1892"/>
      <w:bookmarkEnd w:id="3007"/>
      <w:r w:rsidRPr="008B264B">
        <w:rPr>
          <w:rFonts w:ascii="Times New Roman" w:eastAsia="Times New Roman" w:hAnsi="Times New Roman" w:cs="Times New Roman"/>
          <w:b/>
          <w:bCs/>
          <w:color w:val="000000"/>
          <w:sz w:val="24"/>
          <w:szCs w:val="24"/>
          <w:lang/>
        </w:rPr>
        <w:t>Стаття 83.</w:t>
      </w:r>
      <w:r w:rsidRPr="008B264B">
        <w:rPr>
          <w:rFonts w:ascii="Times New Roman" w:eastAsia="Times New Roman" w:hAnsi="Times New Roman" w:cs="Times New Roman"/>
          <w:color w:val="000000"/>
          <w:sz w:val="24"/>
          <w:szCs w:val="24"/>
          <w:lang/>
        </w:rPr>
        <w:t> Матеріали, які є підставами для висновків під час проведення перевірок</w:t>
      </w:r>
    </w:p>
    <w:p w14:paraId="22EA6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8" w:name="n1893"/>
      <w:bookmarkEnd w:id="3008"/>
      <w:r w:rsidRPr="008B264B">
        <w:rPr>
          <w:rFonts w:ascii="Times New Roman" w:eastAsia="Times New Roman" w:hAnsi="Times New Roman" w:cs="Times New Roman"/>
          <w:color w:val="000000"/>
          <w:sz w:val="24"/>
          <w:szCs w:val="24"/>
          <w:lang/>
        </w:rPr>
        <w:t>83.1. Для посадових осіб контролюючих органів під час проведення перевірок підставами для висновків є:</w:t>
      </w:r>
    </w:p>
    <w:p w14:paraId="161890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09" w:name="n1894"/>
      <w:bookmarkEnd w:id="3009"/>
      <w:r w:rsidRPr="008B264B">
        <w:rPr>
          <w:rFonts w:ascii="Times New Roman" w:eastAsia="Times New Roman" w:hAnsi="Times New Roman" w:cs="Times New Roman"/>
          <w:color w:val="000000"/>
          <w:sz w:val="24"/>
          <w:szCs w:val="24"/>
          <w:lang/>
        </w:rPr>
        <w:t>83.1.1. документи, визначені цим Кодексом;</w:t>
      </w:r>
    </w:p>
    <w:p w14:paraId="477CEC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0" w:name="n1895"/>
      <w:bookmarkEnd w:id="3010"/>
      <w:r w:rsidRPr="008B264B">
        <w:rPr>
          <w:rFonts w:ascii="Times New Roman" w:eastAsia="Times New Roman" w:hAnsi="Times New Roman" w:cs="Times New Roman"/>
          <w:color w:val="000000"/>
          <w:sz w:val="24"/>
          <w:szCs w:val="24"/>
          <w:lang/>
        </w:rPr>
        <w:t>83.1.2. податкова інформація;</w:t>
      </w:r>
    </w:p>
    <w:p w14:paraId="1E9555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1" w:name="n1896"/>
      <w:bookmarkEnd w:id="3011"/>
      <w:r w:rsidRPr="008B264B">
        <w:rPr>
          <w:rFonts w:ascii="Times New Roman" w:eastAsia="Times New Roman" w:hAnsi="Times New Roman" w:cs="Times New Roman"/>
          <w:color w:val="000000"/>
          <w:sz w:val="24"/>
          <w:szCs w:val="24"/>
          <w:lang/>
        </w:rPr>
        <w:t>83.1.3. експертні висновки;</w:t>
      </w:r>
    </w:p>
    <w:p w14:paraId="61F858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2" w:name="n1897"/>
      <w:bookmarkEnd w:id="3012"/>
      <w:r w:rsidRPr="008B264B">
        <w:rPr>
          <w:rFonts w:ascii="Times New Roman" w:eastAsia="Times New Roman" w:hAnsi="Times New Roman" w:cs="Times New Roman"/>
          <w:color w:val="000000"/>
          <w:sz w:val="24"/>
          <w:szCs w:val="24"/>
          <w:lang/>
        </w:rPr>
        <w:t>83.1.4. судові рішення;</w:t>
      </w:r>
    </w:p>
    <w:p w14:paraId="0F6AFB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3" w:name="n1898"/>
      <w:bookmarkEnd w:id="3013"/>
      <w:r w:rsidRPr="008B264B">
        <w:rPr>
          <w:rFonts w:ascii="Times New Roman" w:eastAsia="Times New Roman" w:hAnsi="Times New Roman" w:cs="Times New Roman"/>
          <w:color w:val="000000"/>
          <w:sz w:val="24"/>
          <w:szCs w:val="24"/>
          <w:lang/>
        </w:rPr>
        <w:t>83.1.5. виключено;</w:t>
      </w:r>
    </w:p>
    <w:p w14:paraId="163BB6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4" w:name="n1899"/>
      <w:bookmarkEnd w:id="3014"/>
      <w:r w:rsidRPr="008B264B">
        <w:rPr>
          <w:rFonts w:ascii="Times New Roman" w:eastAsia="Times New Roman" w:hAnsi="Times New Roman" w:cs="Times New Roman"/>
          <w:color w:val="000000"/>
          <w:sz w:val="24"/>
          <w:szCs w:val="24"/>
          <w:lang/>
        </w:rPr>
        <w:t>83.1.6. податкові консультації, інші матеріали, отримані в порядку та у спосіб, передбачені цим Кодексом або іншими законами, контроль за дотриманням яких покладений на контролюючі органи.</w:t>
      </w:r>
    </w:p>
    <w:p w14:paraId="0BCA82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5" w:name="n13938"/>
      <w:bookmarkEnd w:id="3015"/>
      <w:r w:rsidRPr="008B264B">
        <w:rPr>
          <w:rFonts w:ascii="Times New Roman" w:eastAsia="Times New Roman" w:hAnsi="Times New Roman" w:cs="Times New Roman"/>
          <w:i/>
          <w:iCs/>
          <w:color w:val="000000"/>
          <w:sz w:val="24"/>
          <w:szCs w:val="24"/>
          <w:lang/>
        </w:rPr>
        <w:t>{Підпункт 83.1.6 пункту 83.1 статті 83 із змінами, внесеними згідно із Законом </w:t>
      </w:r>
      <w:hyperlink r:id="rId1693" w:anchor="n67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04C6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6" w:name="n1900"/>
      <w:bookmarkEnd w:id="3016"/>
      <w:r w:rsidRPr="008B264B">
        <w:rPr>
          <w:rFonts w:ascii="Times New Roman" w:eastAsia="Times New Roman" w:hAnsi="Times New Roman" w:cs="Times New Roman"/>
          <w:b/>
          <w:bCs/>
          <w:color w:val="000000"/>
          <w:sz w:val="24"/>
          <w:szCs w:val="24"/>
          <w:lang/>
        </w:rPr>
        <w:t>Стаття 84.</w:t>
      </w:r>
      <w:r w:rsidRPr="008B264B">
        <w:rPr>
          <w:rFonts w:ascii="Times New Roman" w:eastAsia="Times New Roman" w:hAnsi="Times New Roman" w:cs="Times New Roman"/>
          <w:color w:val="000000"/>
          <w:sz w:val="24"/>
          <w:szCs w:val="24"/>
          <w:lang/>
        </w:rPr>
        <w:t> Проведення експертизи під час здійснення податкового контролю контролюючими органами</w:t>
      </w:r>
    </w:p>
    <w:p w14:paraId="19373C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7" w:name="n1901"/>
      <w:bookmarkEnd w:id="3017"/>
      <w:r w:rsidRPr="008B264B">
        <w:rPr>
          <w:rFonts w:ascii="Times New Roman" w:eastAsia="Times New Roman" w:hAnsi="Times New Roman" w:cs="Times New Roman"/>
          <w:color w:val="000000"/>
          <w:sz w:val="24"/>
          <w:szCs w:val="24"/>
          <w:lang/>
        </w:rPr>
        <w:t>84.1. Експертиза проводиться у разі, коли для вирішення питань, що мають значення для здійснення податкового контролю, необхідні спеціальні знання у галузі науки, мистецтва, техніки, економіки та в інших галузях. Залучення експерта здійснюється на договірних засадах та за рахунок коштів сторони, що є ініціатором залучення експерта.</w:t>
      </w:r>
    </w:p>
    <w:p w14:paraId="771BC8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8" w:name="n1902"/>
      <w:bookmarkEnd w:id="3018"/>
      <w:r w:rsidRPr="008B264B">
        <w:rPr>
          <w:rFonts w:ascii="Times New Roman" w:eastAsia="Times New Roman" w:hAnsi="Times New Roman" w:cs="Times New Roman"/>
          <w:color w:val="000000"/>
          <w:sz w:val="24"/>
          <w:szCs w:val="24"/>
          <w:lang/>
        </w:rPr>
        <w:t>84.2. Експертиза призначається за заявою платника податків або за рішенням керівника (його заступника або уповноваженої особи) контролюючого органу, в яких зазначаються:</w:t>
      </w:r>
    </w:p>
    <w:p w14:paraId="7FF3C5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19" w:name="n13939"/>
      <w:bookmarkEnd w:id="3019"/>
      <w:r w:rsidRPr="008B264B">
        <w:rPr>
          <w:rFonts w:ascii="Times New Roman" w:eastAsia="Times New Roman" w:hAnsi="Times New Roman" w:cs="Times New Roman"/>
          <w:i/>
          <w:iCs/>
          <w:color w:val="000000"/>
          <w:sz w:val="24"/>
          <w:szCs w:val="24"/>
          <w:lang/>
        </w:rPr>
        <w:t>{Пункт 84.2 статті 84 із змінами, внесеними згідно із Законом </w:t>
      </w:r>
      <w:hyperlink r:id="rId1694" w:anchor="n6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F090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0" w:name="n1903"/>
      <w:bookmarkEnd w:id="3020"/>
      <w:r w:rsidRPr="008B264B">
        <w:rPr>
          <w:rFonts w:ascii="Times New Roman" w:eastAsia="Times New Roman" w:hAnsi="Times New Roman" w:cs="Times New Roman"/>
          <w:color w:val="000000"/>
          <w:sz w:val="24"/>
          <w:szCs w:val="24"/>
          <w:lang/>
        </w:rPr>
        <w:t>84.2.1. підстави для залучення експерта;</w:t>
      </w:r>
    </w:p>
    <w:p w14:paraId="38E318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1" w:name="n1904"/>
      <w:bookmarkEnd w:id="3021"/>
      <w:r w:rsidRPr="008B264B">
        <w:rPr>
          <w:rFonts w:ascii="Times New Roman" w:eastAsia="Times New Roman" w:hAnsi="Times New Roman" w:cs="Times New Roman"/>
          <w:color w:val="000000"/>
          <w:sz w:val="24"/>
          <w:szCs w:val="24"/>
          <w:lang/>
        </w:rPr>
        <w:t>84.2.2. прізвище, ім'я та по батькові експерта;</w:t>
      </w:r>
    </w:p>
    <w:p w14:paraId="7B25FB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2" w:name="n1905"/>
      <w:bookmarkEnd w:id="3022"/>
      <w:r w:rsidRPr="008B264B">
        <w:rPr>
          <w:rFonts w:ascii="Times New Roman" w:eastAsia="Times New Roman" w:hAnsi="Times New Roman" w:cs="Times New Roman"/>
          <w:color w:val="000000"/>
          <w:sz w:val="24"/>
          <w:szCs w:val="24"/>
          <w:lang/>
        </w:rPr>
        <w:t>84.2.3. реквізити платника податків, стосовно якого здійснюється податковий контроль;</w:t>
      </w:r>
    </w:p>
    <w:p w14:paraId="7B3817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3" w:name="n1906"/>
      <w:bookmarkEnd w:id="3023"/>
      <w:r w:rsidRPr="008B264B">
        <w:rPr>
          <w:rFonts w:ascii="Times New Roman" w:eastAsia="Times New Roman" w:hAnsi="Times New Roman" w:cs="Times New Roman"/>
          <w:color w:val="000000"/>
          <w:sz w:val="24"/>
          <w:szCs w:val="24"/>
          <w:lang/>
        </w:rPr>
        <w:t>84.2.4. питання, поставлені до експерта;</w:t>
      </w:r>
    </w:p>
    <w:p w14:paraId="31E18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4" w:name="n1907"/>
      <w:bookmarkEnd w:id="3024"/>
      <w:r w:rsidRPr="008B264B">
        <w:rPr>
          <w:rFonts w:ascii="Times New Roman" w:eastAsia="Times New Roman" w:hAnsi="Times New Roman" w:cs="Times New Roman"/>
          <w:color w:val="000000"/>
          <w:sz w:val="24"/>
          <w:szCs w:val="24"/>
          <w:lang/>
        </w:rPr>
        <w:lastRenderedPageBreak/>
        <w:t>84.2.5. документи, предмети та інші матеріали, які подаються на розгляд експерта.</w:t>
      </w:r>
    </w:p>
    <w:p w14:paraId="34A456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5" w:name="n1908"/>
      <w:bookmarkEnd w:id="3025"/>
      <w:r w:rsidRPr="008B264B">
        <w:rPr>
          <w:rFonts w:ascii="Times New Roman" w:eastAsia="Times New Roman" w:hAnsi="Times New Roman" w:cs="Times New Roman"/>
          <w:color w:val="000000"/>
          <w:sz w:val="24"/>
          <w:szCs w:val="24"/>
          <w:lang/>
        </w:rPr>
        <w:t>84.3. Контролюючий орган, керівник (його заступник або уповноважена особа) контролюючого органу якого призначив проведення експертизи, зобов'язаний ознайомити платника податків (його представника) з рішенням про проведення експертизи, а після закінчення експертизи - з висновком експерта.</w:t>
      </w:r>
    </w:p>
    <w:p w14:paraId="1F906A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6" w:name="n13940"/>
      <w:bookmarkEnd w:id="3026"/>
      <w:r w:rsidRPr="008B264B">
        <w:rPr>
          <w:rFonts w:ascii="Times New Roman" w:eastAsia="Times New Roman" w:hAnsi="Times New Roman" w:cs="Times New Roman"/>
          <w:i/>
          <w:iCs/>
          <w:color w:val="000000"/>
          <w:sz w:val="24"/>
          <w:szCs w:val="24"/>
          <w:lang/>
        </w:rPr>
        <w:t>{Пункт 84.3 статті 84 із змінами, внесеними згідно із Законом </w:t>
      </w:r>
      <w:hyperlink r:id="rId1695" w:anchor="n6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657F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7" w:name="n1909"/>
      <w:bookmarkEnd w:id="3027"/>
      <w:r w:rsidRPr="008B264B">
        <w:rPr>
          <w:rFonts w:ascii="Times New Roman" w:eastAsia="Times New Roman" w:hAnsi="Times New Roman" w:cs="Times New Roman"/>
          <w:color w:val="000000"/>
          <w:sz w:val="24"/>
          <w:szCs w:val="24"/>
          <w:lang/>
        </w:rPr>
        <w:t>84.4. виключено.</w:t>
      </w:r>
    </w:p>
    <w:p w14:paraId="0AC5C5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8" w:name="n1910"/>
      <w:bookmarkEnd w:id="3028"/>
      <w:r w:rsidRPr="008B264B">
        <w:rPr>
          <w:rFonts w:ascii="Times New Roman" w:eastAsia="Times New Roman" w:hAnsi="Times New Roman" w:cs="Times New Roman"/>
          <w:color w:val="000000"/>
          <w:sz w:val="24"/>
          <w:szCs w:val="24"/>
          <w:lang/>
        </w:rPr>
        <w:t>84.5. Експерт має право ознайомлюватися з поданими йому матеріалами, які стосуються предмета експертизи, та просити надання додаткових матеріалів.</w:t>
      </w:r>
    </w:p>
    <w:p w14:paraId="603B15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29" w:name="n1911"/>
      <w:bookmarkEnd w:id="3029"/>
      <w:r w:rsidRPr="008B264B">
        <w:rPr>
          <w:rFonts w:ascii="Times New Roman" w:eastAsia="Times New Roman" w:hAnsi="Times New Roman" w:cs="Times New Roman"/>
          <w:color w:val="000000"/>
          <w:sz w:val="24"/>
          <w:szCs w:val="24"/>
          <w:lang/>
        </w:rPr>
        <w:t>Експерт має право відмовитися від надання висновку, якщо поданих матеріалів недостатньо або такий експерт не володіє необхідними знаннями для проведення зазначеної експертизи.</w:t>
      </w:r>
    </w:p>
    <w:p w14:paraId="55A50A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0" w:name="n1912"/>
      <w:bookmarkEnd w:id="3030"/>
      <w:r w:rsidRPr="008B264B">
        <w:rPr>
          <w:rFonts w:ascii="Times New Roman" w:eastAsia="Times New Roman" w:hAnsi="Times New Roman" w:cs="Times New Roman"/>
          <w:color w:val="000000"/>
          <w:sz w:val="24"/>
          <w:szCs w:val="24"/>
          <w:lang/>
        </w:rPr>
        <w:t>84.6. За надання завідомо неправдивого висновку експерт несе відповідальність відповідно до закону.</w:t>
      </w:r>
    </w:p>
    <w:p w14:paraId="37875A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1" w:name="n1913"/>
      <w:bookmarkEnd w:id="3031"/>
      <w:r w:rsidRPr="008B264B">
        <w:rPr>
          <w:rFonts w:ascii="Times New Roman" w:eastAsia="Times New Roman" w:hAnsi="Times New Roman" w:cs="Times New Roman"/>
          <w:b/>
          <w:bCs/>
          <w:color w:val="000000"/>
          <w:sz w:val="24"/>
          <w:szCs w:val="24"/>
          <w:lang/>
        </w:rPr>
        <w:t>Стаття 85.</w:t>
      </w:r>
      <w:r w:rsidRPr="008B264B">
        <w:rPr>
          <w:rFonts w:ascii="Times New Roman" w:eastAsia="Times New Roman" w:hAnsi="Times New Roman" w:cs="Times New Roman"/>
          <w:color w:val="000000"/>
          <w:sz w:val="24"/>
          <w:szCs w:val="24"/>
          <w:lang/>
        </w:rPr>
        <w:t> Надання платниками податків документів</w:t>
      </w:r>
    </w:p>
    <w:p w14:paraId="5EAD4F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2" w:name="n1914"/>
      <w:bookmarkEnd w:id="3032"/>
      <w:r w:rsidRPr="008B264B">
        <w:rPr>
          <w:rFonts w:ascii="Times New Roman" w:eastAsia="Times New Roman" w:hAnsi="Times New Roman" w:cs="Times New Roman"/>
          <w:color w:val="000000"/>
          <w:sz w:val="24"/>
          <w:szCs w:val="24"/>
          <w:lang/>
        </w:rPr>
        <w:t>85.1. Забороняється витребування документів від платника податків будь-якими посадовими (службовими) особами контролюючих органів у випадках, не передбачених цим Кодексом.</w:t>
      </w:r>
    </w:p>
    <w:p w14:paraId="39D08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3" w:name="n1915"/>
      <w:bookmarkEnd w:id="3033"/>
      <w:r w:rsidRPr="008B264B">
        <w:rPr>
          <w:rFonts w:ascii="Times New Roman" w:eastAsia="Times New Roman" w:hAnsi="Times New Roman" w:cs="Times New Roman"/>
          <w:color w:val="000000"/>
          <w:sz w:val="24"/>
          <w:szCs w:val="24"/>
          <w:lang/>
        </w:rPr>
        <w:t>85.2. Платник податків зобов'язаний надати посадовим (службовим) особам контролюючих органів у повному обсязі всі документи, що належать або пов'язані з предметом перевірки. Такий обов'язок виникає у платника податків після початку перевірки.</w:t>
      </w:r>
    </w:p>
    <w:p w14:paraId="105EC4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4" w:name="n1916"/>
      <w:bookmarkEnd w:id="3034"/>
      <w:r w:rsidRPr="008B264B">
        <w:rPr>
          <w:rFonts w:ascii="Times New Roman" w:eastAsia="Times New Roman" w:hAnsi="Times New Roman" w:cs="Times New Roman"/>
          <w:color w:val="000000"/>
          <w:sz w:val="24"/>
          <w:szCs w:val="24"/>
          <w:lang/>
        </w:rPr>
        <w:t>При цьому великий платник податків на запит контролюючого органу зобов’язаний також надати посадовим (службовим) особам контролюючих органів в електронній формі з дотриманням умови щодо реєстрації кваліфікованого електронного підпису підзвітних осіб копії таких документів, що створюються ним в електронній формі з обліку доходів, витрат та інших показників, пов’язаних із визначенням об’єктів оподаткування (податкових зобов’язань), первинних документів, регістрів бухгалтерського обліку, фінансової звітності, інших документів, пов’язаних з обчисленням та сплатою податків і зборів, не пізніше двох робочих днів, наступних за днем отримання запиту.</w:t>
      </w:r>
    </w:p>
    <w:p w14:paraId="1EAC92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5" w:name="n13941"/>
      <w:bookmarkEnd w:id="3035"/>
      <w:r w:rsidRPr="008B264B">
        <w:rPr>
          <w:rFonts w:ascii="Times New Roman" w:eastAsia="Times New Roman" w:hAnsi="Times New Roman" w:cs="Times New Roman"/>
          <w:i/>
          <w:iCs/>
          <w:color w:val="000000"/>
          <w:sz w:val="24"/>
          <w:szCs w:val="24"/>
          <w:lang/>
        </w:rPr>
        <w:t>{Абзац другий пункту 85.2 статті 85 в редакції Закону </w:t>
      </w:r>
      <w:hyperlink r:id="rId1696" w:anchor="n68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697" w:anchor="n35"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5D8B1C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6" w:name="n1917"/>
      <w:bookmarkEnd w:id="3036"/>
      <w:r w:rsidRPr="008B264B">
        <w:rPr>
          <w:rFonts w:ascii="Times New Roman" w:eastAsia="Times New Roman" w:hAnsi="Times New Roman" w:cs="Times New Roman"/>
          <w:color w:val="000000"/>
          <w:sz w:val="24"/>
          <w:szCs w:val="24"/>
          <w:lang/>
        </w:rPr>
        <w:t>Для платників податків, які відповідно до цього пункту зобов'язані надавати інформацію в електронній формі, загальний формат та порядок подачі такої інформації визначаються центральним органом виконавчої влади, що забезпечує формування та реалізує державну фінансову політику. У разі невстановлення електронного формату та порядку надання такої інформації платник податків звільняється від обов'язку подання її в електронній формі.</w:t>
      </w:r>
    </w:p>
    <w:p w14:paraId="3CE26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7" w:name="n1918"/>
      <w:bookmarkEnd w:id="3037"/>
      <w:r w:rsidRPr="008B264B">
        <w:rPr>
          <w:rFonts w:ascii="Times New Roman" w:eastAsia="Times New Roman" w:hAnsi="Times New Roman" w:cs="Times New Roman"/>
          <w:i/>
          <w:iCs/>
          <w:color w:val="000000"/>
          <w:sz w:val="24"/>
          <w:szCs w:val="24"/>
          <w:lang/>
        </w:rPr>
        <w:t>{Пункт 85.2 статті 85 в редакції Закону </w:t>
      </w:r>
      <w:hyperlink r:id="rId169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набирає чинності з 1 січня 2012 року у частині порядку надання інформації в електронній формі; із змінами, внесеними згідно із Законом </w:t>
      </w:r>
      <w:hyperlink r:id="rId169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E2EC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8" w:name="n1919"/>
      <w:bookmarkEnd w:id="3038"/>
      <w:r w:rsidRPr="008B264B">
        <w:rPr>
          <w:rFonts w:ascii="Times New Roman" w:eastAsia="Times New Roman" w:hAnsi="Times New Roman" w:cs="Times New Roman"/>
          <w:color w:val="000000"/>
          <w:sz w:val="24"/>
          <w:szCs w:val="24"/>
          <w:lang/>
        </w:rPr>
        <w:t>Для проведення електронної перевірки платник податків забезпечує подання до контролюючого органу в електронній формі з дотриманням умови щодо реєстрації кваліфікованого електронного підпису підзвітних осіб документів, які відповідно до цього Кодексу пов'язані з обчисленням та сплатою податків і зборів(якщо такі документи створюються таким платником податків в електронній формі та зберігаються на машинних носіях інформації). Загальний формат та порядок подання такої інформації встановлюються центральним органом виконавчої влади, що забезпечує формування та реалізує державну фінансову політику.</w:t>
      </w:r>
    </w:p>
    <w:p w14:paraId="20A56E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39" w:name="n1920"/>
      <w:bookmarkEnd w:id="3039"/>
      <w:r w:rsidRPr="008B264B">
        <w:rPr>
          <w:rFonts w:ascii="Times New Roman" w:eastAsia="Times New Roman" w:hAnsi="Times New Roman" w:cs="Times New Roman"/>
          <w:i/>
          <w:iCs/>
          <w:color w:val="000000"/>
          <w:sz w:val="24"/>
          <w:szCs w:val="24"/>
          <w:lang/>
        </w:rPr>
        <w:lastRenderedPageBreak/>
        <w:t>{Пункт 85.2 статті 85 доповнено абзацом четвертим згідно із Законом </w:t>
      </w:r>
      <w:hyperlink r:id="rId1700"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70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702" w:anchor="n35"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05991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0" w:name="n1921"/>
      <w:bookmarkEnd w:id="3040"/>
      <w:r w:rsidRPr="008B264B">
        <w:rPr>
          <w:rFonts w:ascii="Times New Roman" w:eastAsia="Times New Roman" w:hAnsi="Times New Roman" w:cs="Times New Roman"/>
          <w:color w:val="000000"/>
          <w:sz w:val="24"/>
          <w:szCs w:val="24"/>
          <w:lang/>
        </w:rPr>
        <w:t>85.3. Документи, що містять комерційну таємницю або є конфіденційними, передаються окремо із зазначенням посадової (службової) особи, що їх отримала. Передача таких документів для їх огляду, вивчення і їх повернення оформляються актом у довільній формі, який підписують посадова (службова) особа контролюючого органу та платник податків (його представник).</w:t>
      </w:r>
    </w:p>
    <w:p w14:paraId="5D5DFD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1" w:name="n1922"/>
      <w:bookmarkEnd w:id="3041"/>
      <w:r w:rsidRPr="008B264B">
        <w:rPr>
          <w:rFonts w:ascii="Times New Roman" w:eastAsia="Times New Roman" w:hAnsi="Times New Roman" w:cs="Times New Roman"/>
          <w:color w:val="000000"/>
          <w:sz w:val="24"/>
          <w:szCs w:val="24"/>
          <w:lang/>
        </w:rPr>
        <w:t>85.4. При проведенні перевірок посадові (службові) особи контролюючого органу мають право отримувати у платників податків належним чином завірені копії первинних фінансово-господарських, бухгалтерських та інших документів, що свідчать про приховування (заниження) об'єктів оподаткування, несплату податків, зборів, платежів, порушення вимог іншого законодавства, контроль за дотриманням якого покладено на контролюючі органи. Такі копії повинні бути засвідчені підписом платника податків або його посадової особи та скріплені печаткою (за наявності).</w:t>
      </w:r>
    </w:p>
    <w:p w14:paraId="79C4F4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2" w:name="n9502"/>
      <w:bookmarkEnd w:id="3042"/>
      <w:r w:rsidRPr="008B264B">
        <w:rPr>
          <w:rFonts w:ascii="Times New Roman" w:eastAsia="Times New Roman" w:hAnsi="Times New Roman" w:cs="Times New Roman"/>
          <w:i/>
          <w:iCs/>
          <w:color w:val="000000"/>
          <w:sz w:val="24"/>
          <w:szCs w:val="24"/>
          <w:lang/>
        </w:rPr>
        <w:t>{Пункт 85.4 статті 85 із змінами, внесеними згідно із Законами </w:t>
      </w:r>
      <w:hyperlink r:id="rId1703" w:anchor="n5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704" w:anchor="n68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3EB0C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3" w:name="n1923"/>
      <w:bookmarkEnd w:id="3043"/>
      <w:r w:rsidRPr="008B264B">
        <w:rPr>
          <w:rFonts w:ascii="Times New Roman" w:eastAsia="Times New Roman" w:hAnsi="Times New Roman" w:cs="Times New Roman"/>
          <w:color w:val="000000"/>
          <w:sz w:val="24"/>
          <w:szCs w:val="24"/>
          <w:lang/>
        </w:rPr>
        <w:t>85.5. Забороняється вилучення оригіналів первинних, фінансово-господарських, бухгалтерських та інших документів за винятком випадків, передбачених кримінальним процесуальним законодавством.</w:t>
      </w:r>
    </w:p>
    <w:p w14:paraId="3B4B76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4" w:name="n1924"/>
      <w:bookmarkEnd w:id="3044"/>
      <w:r w:rsidRPr="008B264B">
        <w:rPr>
          <w:rFonts w:ascii="Times New Roman" w:eastAsia="Times New Roman" w:hAnsi="Times New Roman" w:cs="Times New Roman"/>
          <w:i/>
          <w:iCs/>
          <w:color w:val="000000"/>
          <w:sz w:val="24"/>
          <w:szCs w:val="24"/>
          <w:lang/>
        </w:rPr>
        <w:t>{Пункт 85.5 статті 85 із змінами, внесеними згідно із Законами </w:t>
      </w:r>
      <w:hyperlink r:id="rId1705" w:anchor="n23"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 </w:t>
      </w:r>
      <w:hyperlink r:id="rId1706" w:anchor="n6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90710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5" w:name="n1925"/>
      <w:bookmarkEnd w:id="3045"/>
      <w:r w:rsidRPr="008B264B">
        <w:rPr>
          <w:rFonts w:ascii="Times New Roman" w:eastAsia="Times New Roman" w:hAnsi="Times New Roman" w:cs="Times New Roman"/>
          <w:color w:val="000000"/>
          <w:sz w:val="24"/>
          <w:szCs w:val="24"/>
          <w:lang/>
        </w:rPr>
        <w:t>85.6. У разі відмови платника податків або його законних представників надати копії документів посадовій (службовій) особі контролюючого органу така особа складає акт у довільній формі, що засвідчує факт відмови, із зазначенням посади, прізвища, імені, по батькові платника податків (його законного представника) та переліку документів, які йому запропоновано подати. Зазначений акт підписується посадовою (службовою) особою контролюючого органу та платником податків або його законним представником. У разі відмови платника податків або його законного представника від підписання зазначеного акта в ньому вчиняється відповідний запис.</w:t>
      </w:r>
    </w:p>
    <w:p w14:paraId="7F06D5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6" w:name="n1926"/>
      <w:bookmarkEnd w:id="3046"/>
      <w:r w:rsidRPr="008B264B">
        <w:rPr>
          <w:rFonts w:ascii="Times New Roman" w:eastAsia="Times New Roman" w:hAnsi="Times New Roman" w:cs="Times New Roman"/>
          <w:color w:val="000000"/>
          <w:sz w:val="24"/>
          <w:szCs w:val="24"/>
          <w:lang/>
        </w:rPr>
        <w:t>85.7. Отримання копій документів оформляється описом. Копія опису, складеного посадовими (службовими) особами контролюючого органу, вручається під підпис платнику податків або його законному представнику. Якщо платник податків або його законний представник відмовляється від засвідчення опису або від підпису про отримання копії опису, то посадові (службові) особи контролюючого органу, які отримують копії, роблять відмітку про відмову від підпису.</w:t>
      </w:r>
    </w:p>
    <w:p w14:paraId="444A5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7" w:name="n1927"/>
      <w:bookmarkEnd w:id="3047"/>
      <w:r w:rsidRPr="008B264B">
        <w:rPr>
          <w:rFonts w:ascii="Times New Roman" w:eastAsia="Times New Roman" w:hAnsi="Times New Roman" w:cs="Times New Roman"/>
          <w:color w:val="000000"/>
          <w:sz w:val="24"/>
          <w:szCs w:val="24"/>
          <w:lang/>
        </w:rPr>
        <w:t>85.8. Посадова (службова) особа контролюючого органу, яка проводить перевірку, у випадках, передбачених цим Кодексом, має право отримувати від платника податків або його законних представників копії документів, що належать до предмета перевірки. Такі копії повинні бути засвідчені підписом платника податків або його посадової особи та скріплені печаткою (за наявності).</w:t>
      </w:r>
    </w:p>
    <w:p w14:paraId="736A23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8" w:name="n1928"/>
      <w:bookmarkEnd w:id="3048"/>
      <w:r w:rsidRPr="008B264B">
        <w:rPr>
          <w:rFonts w:ascii="Times New Roman" w:eastAsia="Times New Roman" w:hAnsi="Times New Roman" w:cs="Times New Roman"/>
          <w:color w:val="000000"/>
          <w:sz w:val="24"/>
          <w:szCs w:val="24"/>
          <w:lang/>
        </w:rPr>
        <w:t>85.9. У разі коли до початку або під час проведення перевірки оригінали первинних документів, облікових та інших регістрів, фінансової та статистичної звітності, інших документів з питань обчислення і сплати податків та зборів, а також виконання вимог іншого законодавства, контроль за дотриманням якого покладено на контролюючі органи, були вилучені правоохоронними та іншими органами, зазначені органи зобов'язані надати для проведення перевірки контролюючому органу копії зазначених документів або забезпечити доступ до перевірки таких документів.</w:t>
      </w:r>
    </w:p>
    <w:p w14:paraId="49D877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49" w:name="n1929"/>
      <w:bookmarkEnd w:id="3049"/>
      <w:r w:rsidRPr="008B264B">
        <w:rPr>
          <w:rFonts w:ascii="Times New Roman" w:eastAsia="Times New Roman" w:hAnsi="Times New Roman" w:cs="Times New Roman"/>
          <w:color w:val="000000"/>
          <w:sz w:val="24"/>
          <w:szCs w:val="24"/>
          <w:lang/>
        </w:rPr>
        <w:t xml:space="preserve">Такі копії, засвідчені печаткою та підписами посадових (службових) осіб правоохоронних та інших органів, якими було здійснено вилучення оригіналів документів, або яким було </w:t>
      </w:r>
      <w:r w:rsidRPr="008B264B">
        <w:rPr>
          <w:rFonts w:ascii="Times New Roman" w:eastAsia="Times New Roman" w:hAnsi="Times New Roman" w:cs="Times New Roman"/>
          <w:color w:val="000000"/>
          <w:sz w:val="24"/>
          <w:szCs w:val="24"/>
          <w:lang/>
        </w:rPr>
        <w:lastRenderedPageBreak/>
        <w:t>забезпечено доступ до перевірки вилучених документів, повинні бути надані протягом трьох робочих днів з дня отримання письмового запиту контролюючого органу.</w:t>
      </w:r>
    </w:p>
    <w:p w14:paraId="105DA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0" w:name="n1930"/>
      <w:bookmarkEnd w:id="3050"/>
      <w:r w:rsidRPr="008B264B">
        <w:rPr>
          <w:rFonts w:ascii="Times New Roman" w:eastAsia="Times New Roman" w:hAnsi="Times New Roman" w:cs="Times New Roman"/>
          <w:color w:val="000000"/>
          <w:sz w:val="24"/>
          <w:szCs w:val="24"/>
          <w:lang/>
        </w:rPr>
        <w:t>У разі якщо документи, зазначені в абзаці першому цього пункту, було вилучено правоохоронними та іншими органами, терміни проведення такої перевірки, у тому числі розпочатої, переносяться до дати отримання вказаних копій документів або забезпечення доступу до них.</w:t>
      </w:r>
    </w:p>
    <w:p w14:paraId="744E1E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1" w:name="n1931"/>
      <w:bookmarkEnd w:id="3051"/>
      <w:r w:rsidRPr="008B264B">
        <w:rPr>
          <w:rFonts w:ascii="Times New Roman" w:eastAsia="Times New Roman" w:hAnsi="Times New Roman" w:cs="Times New Roman"/>
          <w:b/>
          <w:bCs/>
          <w:color w:val="000000"/>
          <w:sz w:val="24"/>
          <w:szCs w:val="24"/>
          <w:lang/>
        </w:rPr>
        <w:t>Стаття 86.</w:t>
      </w:r>
      <w:r w:rsidRPr="008B264B">
        <w:rPr>
          <w:rFonts w:ascii="Times New Roman" w:eastAsia="Times New Roman" w:hAnsi="Times New Roman" w:cs="Times New Roman"/>
          <w:color w:val="000000"/>
          <w:sz w:val="24"/>
          <w:szCs w:val="24"/>
          <w:lang/>
        </w:rPr>
        <w:t> Оформлення результатів перевірок</w:t>
      </w:r>
    </w:p>
    <w:p w14:paraId="74018A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2" w:name="n1932"/>
      <w:bookmarkEnd w:id="3052"/>
      <w:r w:rsidRPr="008B264B">
        <w:rPr>
          <w:rFonts w:ascii="Times New Roman" w:eastAsia="Times New Roman" w:hAnsi="Times New Roman" w:cs="Times New Roman"/>
          <w:color w:val="000000"/>
          <w:sz w:val="24"/>
          <w:szCs w:val="24"/>
          <w:lang/>
        </w:rPr>
        <w:t>86.1. Результати перевірок (крім камеральних та електронних перевірок) оформлюються у формі акта або довідки, які підписуються посадовими особами контролюючого органу та платниками податків або їх законними представниками (у разі наявності). У разі встановлення під час перевірки порушень складається акт. Якщо такі порушення відсутні, складається довідка.</w:t>
      </w:r>
    </w:p>
    <w:p w14:paraId="7A274D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3" w:name="n1933"/>
      <w:bookmarkEnd w:id="3053"/>
      <w:r w:rsidRPr="008B264B">
        <w:rPr>
          <w:rFonts w:ascii="Times New Roman" w:eastAsia="Times New Roman" w:hAnsi="Times New Roman" w:cs="Times New Roman"/>
          <w:i/>
          <w:iCs/>
          <w:color w:val="000000"/>
          <w:sz w:val="24"/>
          <w:szCs w:val="24"/>
          <w:lang/>
        </w:rPr>
        <w:t>{Абзац перший пункту 86.1 статті 86 із змінами, внесеними згідно із Законом </w:t>
      </w:r>
      <w:hyperlink r:id="rId170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50DE07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4" w:name="n1934"/>
      <w:bookmarkEnd w:id="3054"/>
      <w:r w:rsidRPr="008B264B">
        <w:rPr>
          <w:rFonts w:ascii="Times New Roman" w:eastAsia="Times New Roman" w:hAnsi="Times New Roman" w:cs="Times New Roman"/>
          <w:color w:val="000000"/>
          <w:sz w:val="24"/>
          <w:szCs w:val="24"/>
          <w:lang/>
        </w:rPr>
        <w:t>Акт (довідка), складений за результатами перевірки та підписаний посадовими особами, які проводили перевірку, у строки визначені цим Кодексом, надається платнику податків або його законному представнику, який зобов'язаний його підписати.</w:t>
      </w:r>
    </w:p>
    <w:p w14:paraId="70D964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5" w:name="n1935"/>
      <w:bookmarkEnd w:id="3055"/>
      <w:r w:rsidRPr="008B264B">
        <w:rPr>
          <w:rFonts w:ascii="Times New Roman" w:eastAsia="Times New Roman" w:hAnsi="Times New Roman" w:cs="Times New Roman"/>
          <w:color w:val="000000"/>
          <w:sz w:val="24"/>
          <w:szCs w:val="24"/>
          <w:lang/>
        </w:rPr>
        <w:t>Строк складення акта (довідки) про результати перевірки не зараховується до строку проведення перевірки, встановленого цим Кодексом (з урахуванням його продовження).</w:t>
      </w:r>
    </w:p>
    <w:p w14:paraId="5EF9BD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6" w:name="n1936"/>
      <w:bookmarkEnd w:id="3056"/>
      <w:r w:rsidRPr="008B264B">
        <w:rPr>
          <w:rFonts w:ascii="Times New Roman" w:eastAsia="Times New Roman" w:hAnsi="Times New Roman" w:cs="Times New Roman"/>
          <w:color w:val="000000"/>
          <w:sz w:val="24"/>
          <w:szCs w:val="24"/>
          <w:lang/>
        </w:rPr>
        <w:t>У разі незгоди платника податків з висновками акта (довідки) такий платник зобов'язаний підписати такий акт (довідку) перевірки із зауваженнями, які він має право надати разом з підписаним примірником акта (довідки) або окремо у строки, передбачені цим Кодексом.</w:t>
      </w:r>
    </w:p>
    <w:p w14:paraId="2DF1B0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7" w:name="n12606"/>
      <w:bookmarkEnd w:id="3057"/>
      <w:r w:rsidRPr="008B264B">
        <w:rPr>
          <w:rFonts w:ascii="Times New Roman" w:eastAsia="Times New Roman" w:hAnsi="Times New Roman" w:cs="Times New Roman"/>
          <w:i/>
          <w:iCs/>
          <w:color w:val="000000"/>
          <w:sz w:val="24"/>
          <w:szCs w:val="24"/>
          <w:lang/>
        </w:rPr>
        <w:t>{Абзац четвертий пункту 86.1 статті 86 із змінами, внесеними згідно із Законом </w:t>
      </w:r>
      <w:hyperlink r:id="rId1708" w:anchor="n55"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2C04E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8" w:name="n1937"/>
      <w:bookmarkEnd w:id="3058"/>
      <w:r w:rsidRPr="008B264B">
        <w:rPr>
          <w:rFonts w:ascii="Times New Roman" w:eastAsia="Times New Roman" w:hAnsi="Times New Roman" w:cs="Times New Roman"/>
          <w:color w:val="000000"/>
          <w:sz w:val="24"/>
          <w:szCs w:val="24"/>
          <w:lang/>
        </w:rPr>
        <w:t>86.2. За результатами камеральної перевірки у разі встановлення порушень складається акт у двох примірниках, який підписується посадовими особами такого органу, які проводили перевірку, і після реєстрації у контролюючому органі вручається або надсилається для підписання протягом трьох робочих днів платнику податків у порядку, визначеному </w:t>
      </w:r>
      <w:hyperlink r:id="rId1709"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53337F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59" w:name="n1938"/>
      <w:bookmarkEnd w:id="3059"/>
      <w:r w:rsidRPr="008B264B">
        <w:rPr>
          <w:rFonts w:ascii="Times New Roman" w:eastAsia="Times New Roman" w:hAnsi="Times New Roman" w:cs="Times New Roman"/>
          <w:color w:val="000000"/>
          <w:sz w:val="24"/>
          <w:szCs w:val="24"/>
          <w:lang/>
        </w:rPr>
        <w:t>86.3. Акт (довідка) документальної виїзної перевірки, що визначено </w:t>
      </w:r>
      <w:hyperlink r:id="rId1710" w:anchor="n1773" w:history="1">
        <w:r w:rsidRPr="008B264B">
          <w:rPr>
            <w:rFonts w:ascii="Times New Roman" w:eastAsia="Times New Roman" w:hAnsi="Times New Roman" w:cs="Times New Roman"/>
            <w:color w:val="0000FF"/>
            <w:sz w:val="24"/>
            <w:szCs w:val="24"/>
            <w:u w:val="single"/>
            <w:lang/>
          </w:rPr>
          <w:t>статтями 77</w:t>
        </w:r>
      </w:hyperlink>
      <w:r w:rsidRPr="008B264B">
        <w:rPr>
          <w:rFonts w:ascii="Times New Roman" w:eastAsia="Times New Roman" w:hAnsi="Times New Roman" w:cs="Times New Roman"/>
          <w:color w:val="000000"/>
          <w:sz w:val="24"/>
          <w:szCs w:val="24"/>
          <w:lang/>
        </w:rPr>
        <w:t> і </w:t>
      </w:r>
      <w:hyperlink r:id="rId1711" w:anchor="n1788" w:history="1">
        <w:r w:rsidRPr="008B264B">
          <w:rPr>
            <w:rFonts w:ascii="Times New Roman" w:eastAsia="Times New Roman" w:hAnsi="Times New Roman" w:cs="Times New Roman"/>
            <w:color w:val="0000FF"/>
            <w:sz w:val="24"/>
            <w:szCs w:val="24"/>
            <w:u w:val="single"/>
            <w:lang/>
          </w:rPr>
          <w:t>78</w:t>
        </w:r>
      </w:hyperlink>
      <w:r w:rsidRPr="008B264B">
        <w:rPr>
          <w:rFonts w:ascii="Times New Roman" w:eastAsia="Times New Roman" w:hAnsi="Times New Roman" w:cs="Times New Roman"/>
          <w:color w:val="000000"/>
          <w:sz w:val="24"/>
          <w:szCs w:val="24"/>
          <w:lang/>
        </w:rPr>
        <w:t> цього Кодексу, складається у двох примірниках, підписується посадовими особами контролюючого органу, які проводили перевірку, та реєструється у контролюючому органі протягом п'яти робочих днів з дня, що настає за днем закінчення установленого для проведення перевірки строку (для платників податків, які мають філії та/або перебувають на консолідованій сплаті, - протягом 10 робочих днів).</w:t>
      </w:r>
    </w:p>
    <w:p w14:paraId="79A037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0" w:name="n1939"/>
      <w:bookmarkEnd w:id="3060"/>
      <w:r w:rsidRPr="008B264B">
        <w:rPr>
          <w:rFonts w:ascii="Times New Roman" w:eastAsia="Times New Roman" w:hAnsi="Times New Roman" w:cs="Times New Roman"/>
          <w:color w:val="000000"/>
          <w:sz w:val="24"/>
          <w:szCs w:val="24"/>
          <w:lang/>
        </w:rPr>
        <w:t>У разі відмови платника податків або його законних представників від підписання акта (довідки) посадовими особами контролюючого органу складається відповідний акт, що засвідчує факт такої відмови. Один примірник акта або довідки про результати виїзної планової чи позапланової документальної перевірки у день його підписання або відмови від підписання вручається або надсилається платнику податків чи його законному представнику.</w:t>
      </w:r>
    </w:p>
    <w:p w14:paraId="1271A9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1" w:name="n1940"/>
      <w:bookmarkEnd w:id="3061"/>
      <w:r w:rsidRPr="008B264B">
        <w:rPr>
          <w:rFonts w:ascii="Times New Roman" w:eastAsia="Times New Roman" w:hAnsi="Times New Roman" w:cs="Times New Roman"/>
          <w:color w:val="000000"/>
          <w:sz w:val="24"/>
          <w:szCs w:val="24"/>
          <w:lang/>
        </w:rPr>
        <w:t>Відмова платника податків або його законних представників від підписання акта перевірки або отримання його примірника не звільняє платника податків від обов'язку сплатити визначені контролюючим органом за результатами перевірки грошові зобов'язання.</w:t>
      </w:r>
    </w:p>
    <w:p w14:paraId="2D86C3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2" w:name="n1941"/>
      <w:bookmarkEnd w:id="3062"/>
      <w:r w:rsidRPr="008B264B">
        <w:rPr>
          <w:rFonts w:ascii="Times New Roman" w:eastAsia="Times New Roman" w:hAnsi="Times New Roman" w:cs="Times New Roman"/>
          <w:color w:val="000000"/>
          <w:sz w:val="24"/>
          <w:szCs w:val="24"/>
          <w:lang/>
        </w:rPr>
        <w:t>У разі відмови платника податків або його законних представників від отримання примірника акта або довідки про результати перевірки або неможливості його вручення та підписання у зв'язку з відсутністю платника податків або його законних представників за місцезнаходженням такий акт або довідка надсилається платнику податків у порядку, визначеному </w:t>
      </w:r>
      <w:hyperlink r:id="rId1712"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w:t>
      </w:r>
      <w:r w:rsidRPr="008B264B">
        <w:rPr>
          <w:rFonts w:ascii="Times New Roman" w:eastAsia="Times New Roman" w:hAnsi="Times New Roman" w:cs="Times New Roman"/>
          <w:color w:val="000000"/>
          <w:sz w:val="24"/>
          <w:szCs w:val="24"/>
          <w:lang/>
        </w:rPr>
        <w:lastRenderedPageBreak/>
        <w:t>рішень. У зазначених у цьому абзаці випадках контролюючим органом складається відповідний акт.</w:t>
      </w:r>
    </w:p>
    <w:p w14:paraId="260284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3" w:name="n1942"/>
      <w:bookmarkEnd w:id="3063"/>
      <w:r w:rsidRPr="008B264B">
        <w:rPr>
          <w:rFonts w:ascii="Times New Roman" w:eastAsia="Times New Roman" w:hAnsi="Times New Roman" w:cs="Times New Roman"/>
          <w:color w:val="000000"/>
          <w:sz w:val="24"/>
          <w:szCs w:val="24"/>
          <w:lang/>
        </w:rPr>
        <w:t>86.4. Акт (довідка) документальної невиїзної перевірки складається у двох примірниках, підписується посадовими особами контролюючого органу, які проводили перевірку, та реєструється у контролюючому органі протягом п'яти робочих днів з дня, що настає за днем закінчення установленого для проведення перевірки строку (для платників податків, які мають філії та/або перебувають на консолідованій сплаті, - протягом 10 робочих днів).</w:t>
      </w:r>
    </w:p>
    <w:p w14:paraId="49A702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4" w:name="n1943"/>
      <w:bookmarkEnd w:id="3064"/>
      <w:r w:rsidRPr="008B264B">
        <w:rPr>
          <w:rFonts w:ascii="Times New Roman" w:eastAsia="Times New Roman" w:hAnsi="Times New Roman" w:cs="Times New Roman"/>
          <w:color w:val="000000"/>
          <w:sz w:val="24"/>
          <w:szCs w:val="24"/>
          <w:lang/>
        </w:rPr>
        <w:t>Акт (довідка) документальної невиїзної перевірки не пізніше наступного робочого дня після його реєстрації вручається особисто платнику податків чи його представникам або надсилається у порядку, визначеному </w:t>
      </w:r>
      <w:hyperlink r:id="rId1713"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 У разі відмови платника податків або його представників від підписання акта (довідки) перевірки посадовими особами контролюючого органу складається відповідний акт, що засвідчує факт такої відмови. Відмова платника податків або його представників від підписання акта перевірки не звільняє такого платника податків від обов'язку сплатити визначені контролюючим органом за результатами перевірки грошові зобов'язання. Заперечення по акту перевірки розглядаються у порядку і строки, передбачені </w:t>
      </w:r>
      <w:hyperlink r:id="rId1714" w:anchor="n1953" w:history="1">
        <w:r w:rsidRPr="008B264B">
          <w:rPr>
            <w:rFonts w:ascii="Times New Roman" w:eastAsia="Times New Roman" w:hAnsi="Times New Roman" w:cs="Times New Roman"/>
            <w:color w:val="0000FF"/>
            <w:sz w:val="24"/>
            <w:szCs w:val="24"/>
            <w:u w:val="single"/>
            <w:lang/>
          </w:rPr>
          <w:t>пунктом 86.7</w:t>
        </w:r>
      </w:hyperlink>
      <w:r w:rsidRPr="008B264B">
        <w:rPr>
          <w:rFonts w:ascii="Times New Roman" w:eastAsia="Times New Roman" w:hAnsi="Times New Roman" w:cs="Times New Roman"/>
          <w:color w:val="000000"/>
          <w:sz w:val="24"/>
          <w:szCs w:val="24"/>
          <w:lang/>
        </w:rPr>
        <w:t> цієї статті. Податкове повідомлення-рішення приймається у порядку і строки, передбачені </w:t>
      </w:r>
      <w:hyperlink r:id="rId1715" w:anchor="n1958" w:history="1">
        <w:r w:rsidRPr="008B264B">
          <w:rPr>
            <w:rFonts w:ascii="Times New Roman" w:eastAsia="Times New Roman" w:hAnsi="Times New Roman" w:cs="Times New Roman"/>
            <w:color w:val="0000FF"/>
            <w:sz w:val="24"/>
            <w:szCs w:val="24"/>
            <w:u w:val="single"/>
            <w:lang/>
          </w:rPr>
          <w:t>пунктом 86.8</w:t>
        </w:r>
      </w:hyperlink>
      <w:r w:rsidRPr="008B264B">
        <w:rPr>
          <w:rFonts w:ascii="Times New Roman" w:eastAsia="Times New Roman" w:hAnsi="Times New Roman" w:cs="Times New Roman"/>
          <w:color w:val="000000"/>
          <w:sz w:val="24"/>
          <w:szCs w:val="24"/>
          <w:lang/>
        </w:rPr>
        <w:t> цієї статті.</w:t>
      </w:r>
    </w:p>
    <w:p w14:paraId="270E7B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5" w:name="n1944"/>
      <w:bookmarkEnd w:id="3065"/>
      <w:r w:rsidRPr="008B264B">
        <w:rPr>
          <w:rFonts w:ascii="Times New Roman" w:eastAsia="Times New Roman" w:hAnsi="Times New Roman" w:cs="Times New Roman"/>
          <w:i/>
          <w:iCs/>
          <w:color w:val="000000"/>
          <w:sz w:val="24"/>
          <w:szCs w:val="24"/>
          <w:lang/>
        </w:rPr>
        <w:t>{Абзац другий пункту 86.4 статті 86 із змінами, внесеними згідно із Законами </w:t>
      </w:r>
      <w:hyperlink r:id="rId1716" w:anchor="n9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717" w:anchor="n68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1AFB7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6" w:name="n1945"/>
      <w:bookmarkEnd w:id="3066"/>
      <w:r w:rsidRPr="008B264B">
        <w:rPr>
          <w:rFonts w:ascii="Times New Roman" w:eastAsia="Times New Roman" w:hAnsi="Times New Roman" w:cs="Times New Roman"/>
          <w:color w:val="000000"/>
          <w:sz w:val="24"/>
          <w:szCs w:val="24"/>
          <w:lang/>
        </w:rPr>
        <w:t>86.5. Акт (довідка) про результати фактичних перевірок, визначених </w:t>
      </w:r>
      <w:hyperlink r:id="rId1718" w:anchor="n1825" w:history="1">
        <w:r w:rsidRPr="008B264B">
          <w:rPr>
            <w:rFonts w:ascii="Times New Roman" w:eastAsia="Times New Roman" w:hAnsi="Times New Roman" w:cs="Times New Roman"/>
            <w:color w:val="0000FF"/>
            <w:sz w:val="24"/>
            <w:szCs w:val="24"/>
            <w:u w:val="single"/>
            <w:lang/>
          </w:rPr>
          <w:t>статтею 80</w:t>
        </w:r>
      </w:hyperlink>
      <w:r w:rsidRPr="008B264B">
        <w:rPr>
          <w:rFonts w:ascii="Times New Roman" w:eastAsia="Times New Roman" w:hAnsi="Times New Roman" w:cs="Times New Roman"/>
          <w:color w:val="000000"/>
          <w:sz w:val="24"/>
          <w:szCs w:val="24"/>
          <w:lang/>
        </w:rPr>
        <w:t> цього Кодексу, складається у двох примірниках, підписується посадовими особами контролюючих органів, які проводили перевірку, реєструється не пізніше наступного робочого дня після закінчення перевірки. Акт (довідка) про результати зазначених перевірок підписується особою, яка здійснювала розрахункові операції, платником податків та його законними представниками (у разі наявності).</w:t>
      </w:r>
    </w:p>
    <w:p w14:paraId="7D28D9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7" w:name="n1946"/>
      <w:bookmarkEnd w:id="3067"/>
      <w:r w:rsidRPr="008B264B">
        <w:rPr>
          <w:rFonts w:ascii="Times New Roman" w:eastAsia="Times New Roman" w:hAnsi="Times New Roman" w:cs="Times New Roman"/>
          <w:i/>
          <w:iCs/>
          <w:color w:val="000000"/>
          <w:sz w:val="24"/>
          <w:szCs w:val="24"/>
          <w:lang/>
        </w:rPr>
        <w:t>{Абзац другий пункту 86.5 статті 86 виключено на підставі Закону </w:t>
      </w:r>
      <w:hyperlink r:id="rId1719" w:anchor="n68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2075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8" w:name="n1948"/>
      <w:bookmarkEnd w:id="3068"/>
      <w:r w:rsidRPr="008B264B">
        <w:rPr>
          <w:rFonts w:ascii="Times New Roman" w:eastAsia="Times New Roman" w:hAnsi="Times New Roman" w:cs="Times New Roman"/>
          <w:color w:val="000000"/>
          <w:sz w:val="24"/>
          <w:szCs w:val="24"/>
          <w:lang/>
        </w:rPr>
        <w:t>Підписання акта (довідки) таких перевірок особою, яка здійснювала розрахункові операції, платником податків та/або його представниками та посадовими особами контролюючого органу, які проводили перевірку, здійснюється за місцем проведення перевірки або у приміщенні контролюючого органу.</w:t>
      </w:r>
    </w:p>
    <w:p w14:paraId="2F4B8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69" w:name="n1949"/>
      <w:bookmarkEnd w:id="3069"/>
      <w:r w:rsidRPr="008B264B">
        <w:rPr>
          <w:rFonts w:ascii="Times New Roman" w:eastAsia="Times New Roman" w:hAnsi="Times New Roman" w:cs="Times New Roman"/>
          <w:i/>
          <w:iCs/>
          <w:color w:val="000000"/>
          <w:sz w:val="24"/>
          <w:szCs w:val="24"/>
          <w:lang/>
        </w:rPr>
        <w:t>{Абзац третій пункту 86.5 статті 86 із змінами, внесеними згідно із Законами </w:t>
      </w:r>
      <w:hyperlink r:id="rId1720" w:anchor="n10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721" w:anchor="n6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87EB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0" w:name="n1950"/>
      <w:bookmarkEnd w:id="3070"/>
      <w:r w:rsidRPr="008B264B">
        <w:rPr>
          <w:rFonts w:ascii="Times New Roman" w:eastAsia="Times New Roman" w:hAnsi="Times New Roman" w:cs="Times New Roman"/>
          <w:color w:val="000000"/>
          <w:sz w:val="24"/>
          <w:szCs w:val="24"/>
          <w:lang/>
        </w:rPr>
        <w:t>У разі відмови платника податків, його законних представників або особи, яка здійснювала розрахункові операції, від підписання акта (довідки), посадовими особами контролюючого органу складається акт, що засвідчує факт такої відмови. Один примірник акта або довідки про результати перевірки не пізніше наступного робочого дня після його складення реєструється в журналі реєстрації актів контролюючого органу і не пізніше наступного дня після його реєстрації вручається або надсилається платнику податків, його законному представнику або особі, яка здійснювала розрахункові операції.</w:t>
      </w:r>
    </w:p>
    <w:p w14:paraId="79565E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1" w:name="n1951"/>
      <w:bookmarkEnd w:id="3071"/>
      <w:r w:rsidRPr="008B264B">
        <w:rPr>
          <w:rFonts w:ascii="Times New Roman" w:eastAsia="Times New Roman" w:hAnsi="Times New Roman" w:cs="Times New Roman"/>
          <w:color w:val="000000"/>
          <w:sz w:val="24"/>
          <w:szCs w:val="24"/>
          <w:lang/>
        </w:rPr>
        <w:t>У разі відмови платника податків або його законних представників від отримання примірника акта (довідки) перевірки чи неможливості його вручення платнику податків або його законним представникам чи особі, яка здійснювала розрахункові операції з будь-яких причин, такий акт або довідка надсилається платнику податків у порядку, визначеному </w:t>
      </w:r>
      <w:hyperlink r:id="rId1722"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повідомлень-рішень. У зазначених в цьому абзаці випадках контролюючим органом складається відповідний акт або робиться позначка в акті або довідці про результати перевірки.</w:t>
      </w:r>
    </w:p>
    <w:p w14:paraId="01664C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2" w:name="n1952"/>
      <w:bookmarkEnd w:id="3072"/>
      <w:r w:rsidRPr="008B264B">
        <w:rPr>
          <w:rFonts w:ascii="Times New Roman" w:eastAsia="Times New Roman" w:hAnsi="Times New Roman" w:cs="Times New Roman"/>
          <w:color w:val="000000"/>
          <w:sz w:val="24"/>
          <w:szCs w:val="24"/>
          <w:lang/>
        </w:rPr>
        <w:t xml:space="preserve">86.6. Відмова платника податків або його законних представників чи особи, яка здійснювала розрахункові операції, від підписання акта перевірки або отримання його примірника не звільняє </w:t>
      </w:r>
      <w:r w:rsidRPr="008B264B">
        <w:rPr>
          <w:rFonts w:ascii="Times New Roman" w:eastAsia="Times New Roman" w:hAnsi="Times New Roman" w:cs="Times New Roman"/>
          <w:color w:val="000000"/>
          <w:sz w:val="24"/>
          <w:szCs w:val="24"/>
          <w:lang/>
        </w:rPr>
        <w:lastRenderedPageBreak/>
        <w:t>платника податків від обов'язку сплатити визначені контролюючим органом за результатами перевірки грошові зобов'язання.</w:t>
      </w:r>
    </w:p>
    <w:p w14:paraId="4C8E72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3" w:name="n1953"/>
      <w:bookmarkEnd w:id="3073"/>
      <w:r w:rsidRPr="008B264B">
        <w:rPr>
          <w:rFonts w:ascii="Times New Roman" w:eastAsia="Times New Roman" w:hAnsi="Times New Roman" w:cs="Times New Roman"/>
          <w:color w:val="000000"/>
          <w:sz w:val="24"/>
          <w:szCs w:val="24"/>
          <w:lang/>
        </w:rPr>
        <w:t>86.7. У разі незгоди платника податків або його представників з висновками перевірки чи фактами і даними, викладеними в акті (довідці) перевірки, вони мають право подати свої заперечення та/або додаткові документи в порядку, визначеному </w:t>
      </w:r>
      <w:hyperlink r:id="rId1723"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 до контролюючого органу, який проводив перевірку платника податків, протягом 10 робочих днів з дня, наступного за днем отримання акта (довідки). Такі заперечення та/або додаткові документи розглядаються контролюючим органом протягом семи робочих днів, що настають за днем їх отримання (днем завершення перевірки, проведеної у зв’язку з необхідністю з’ясування обставин, що не були досліджені під час перевірки та зазначені у зауваженнях), та платнику податків надсилається відповідь у порядку, визначеному </w:t>
      </w:r>
      <w:hyperlink r:id="rId1724"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повідомлень-рішень. Платник податків (його уповноважена особа та/або представник) має право брати участь у розгляді заперечень та/або додаткових документів, про що такий платник податків зазначає у запереченнях та/або листі про надання додаткових документів в порядку, визначеному </w:t>
      </w:r>
      <w:hyperlink r:id="rId1725"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w:t>
      </w:r>
    </w:p>
    <w:p w14:paraId="0FD9B2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4" w:name="n1954"/>
      <w:bookmarkEnd w:id="3074"/>
      <w:r w:rsidRPr="008B264B">
        <w:rPr>
          <w:rFonts w:ascii="Times New Roman" w:eastAsia="Times New Roman" w:hAnsi="Times New Roman" w:cs="Times New Roman"/>
          <w:i/>
          <w:iCs/>
          <w:color w:val="000000"/>
          <w:sz w:val="24"/>
          <w:szCs w:val="24"/>
          <w:lang/>
        </w:rPr>
        <w:t>{Абзац перший пункту 86.7 статті 86 із змінами, внесеними згідно із Законом </w:t>
      </w:r>
      <w:hyperlink r:id="rId1726" w:anchor="n10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1727" w:anchor="n6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728" w:anchor="n1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D9718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5" w:name="n1955"/>
      <w:bookmarkEnd w:id="3075"/>
      <w:r w:rsidRPr="008B264B">
        <w:rPr>
          <w:rFonts w:ascii="Times New Roman" w:eastAsia="Times New Roman" w:hAnsi="Times New Roman" w:cs="Times New Roman"/>
          <w:color w:val="000000"/>
          <w:sz w:val="24"/>
          <w:szCs w:val="24"/>
          <w:lang/>
        </w:rPr>
        <w:t>У разі якщо платник податків виявив бажання брати участь у розгляді його заперечень до акта перевірки та/або додаткових документів, зазначивши про це в запереченні та/або листі про надання додаткових документів у порядку, визначеному </w:t>
      </w:r>
      <w:hyperlink r:id="rId1729"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 контролюючий орган зобов’язаний повідомити такому платнику податків про місце і час проведення такого розгляду. Таке повідомлення надсилається платнику податків не пізніше наступного робочого дня з дня отримання від нього заперечень та/або листа про надання додаткових документів у порядку, визначеному пунктом 44.7 статті 44 цього Кодексу, але не пізніше ніж за чотири робочі дні до дня їх розгляду. Повідомлення має бути надіслано у порядку, визначеному </w:t>
      </w:r>
      <w:hyperlink r:id="rId1730"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189431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6" w:name="n13942"/>
      <w:bookmarkEnd w:id="3076"/>
      <w:r w:rsidRPr="008B264B">
        <w:rPr>
          <w:rFonts w:ascii="Times New Roman" w:eastAsia="Times New Roman" w:hAnsi="Times New Roman" w:cs="Times New Roman"/>
          <w:i/>
          <w:iCs/>
          <w:color w:val="000000"/>
          <w:sz w:val="24"/>
          <w:szCs w:val="24"/>
          <w:lang/>
        </w:rPr>
        <w:t>{Абзац другий пункту 86.7 статті 86 в редакції Закону </w:t>
      </w:r>
      <w:hyperlink r:id="rId1731" w:anchor="n6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3558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7" w:name="n1956"/>
      <w:bookmarkEnd w:id="3077"/>
      <w:r w:rsidRPr="008B264B">
        <w:rPr>
          <w:rFonts w:ascii="Times New Roman" w:eastAsia="Times New Roman" w:hAnsi="Times New Roman" w:cs="Times New Roman"/>
          <w:color w:val="000000"/>
          <w:sz w:val="24"/>
          <w:szCs w:val="24"/>
          <w:lang/>
        </w:rPr>
        <w:t>Участь керівника (його заступника або уповноваженої особи) контролюючого органу у розгляді заперечень платника податків до акта перевірки є обов'язковою. Такі заперечення є невід'ємною частиною акта (довідки) перевірки.</w:t>
      </w:r>
    </w:p>
    <w:p w14:paraId="01878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8" w:name="n13943"/>
      <w:bookmarkEnd w:id="3078"/>
      <w:r w:rsidRPr="008B264B">
        <w:rPr>
          <w:rFonts w:ascii="Times New Roman" w:eastAsia="Times New Roman" w:hAnsi="Times New Roman" w:cs="Times New Roman"/>
          <w:i/>
          <w:iCs/>
          <w:color w:val="000000"/>
          <w:sz w:val="24"/>
          <w:szCs w:val="24"/>
          <w:lang/>
        </w:rPr>
        <w:t>{Абзац третій пункту 86.7 статті 86 із змінами, внесеними згідно із Законом </w:t>
      </w:r>
      <w:hyperlink r:id="rId1732" w:anchor="n6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9167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79" w:name="n1957"/>
      <w:bookmarkEnd w:id="3079"/>
      <w:r w:rsidRPr="008B264B">
        <w:rPr>
          <w:rFonts w:ascii="Times New Roman" w:eastAsia="Times New Roman" w:hAnsi="Times New Roman" w:cs="Times New Roman"/>
          <w:color w:val="000000"/>
          <w:sz w:val="24"/>
          <w:szCs w:val="24"/>
          <w:lang/>
        </w:rPr>
        <w:t>Рішення про визначення грошових зобов'язань приймається керівником (його заступником або уповноваженою особою) контролюючого органу з урахуванням результатів розгляду заперечень платника податків (у разі їх наявності). Платник податків або його законний представник може бути присутнім під час прийняття такого рішення.</w:t>
      </w:r>
    </w:p>
    <w:p w14:paraId="0D2BFF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0" w:name="n13944"/>
      <w:bookmarkEnd w:id="3080"/>
      <w:r w:rsidRPr="008B264B">
        <w:rPr>
          <w:rFonts w:ascii="Times New Roman" w:eastAsia="Times New Roman" w:hAnsi="Times New Roman" w:cs="Times New Roman"/>
          <w:i/>
          <w:iCs/>
          <w:color w:val="000000"/>
          <w:sz w:val="24"/>
          <w:szCs w:val="24"/>
          <w:lang/>
        </w:rPr>
        <w:t>{Абзац четвертий пункту 86.7 статті 86 із змінами, внесеними згідно із Законом </w:t>
      </w:r>
      <w:hyperlink r:id="rId1733" w:anchor="n6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E913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1" w:name="n12608"/>
      <w:bookmarkEnd w:id="3081"/>
      <w:r w:rsidRPr="008B264B">
        <w:rPr>
          <w:rFonts w:ascii="Times New Roman" w:eastAsia="Times New Roman" w:hAnsi="Times New Roman" w:cs="Times New Roman"/>
          <w:color w:val="000000"/>
          <w:sz w:val="24"/>
          <w:szCs w:val="24"/>
          <w:lang/>
        </w:rPr>
        <w:t>Контролюючим та іншим державним органам забороняється використовувати акт перевірки як підставу для висновків стосовно взаємовідносин платника податків з його контрагентами, якщо за результатами складення акта перевірки податкове повідомлення-рішення не надіслано (не вручено) платнику податків або воно вважається відкликаним відповідно до </w:t>
      </w:r>
      <w:hyperlink r:id="rId1734" w:anchor="n1431" w:history="1">
        <w:r w:rsidRPr="008B264B">
          <w:rPr>
            <w:rFonts w:ascii="Times New Roman" w:eastAsia="Times New Roman" w:hAnsi="Times New Roman" w:cs="Times New Roman"/>
            <w:color w:val="0000FF"/>
            <w:sz w:val="24"/>
            <w:szCs w:val="24"/>
            <w:u w:val="single"/>
            <w:lang/>
          </w:rPr>
          <w:t>статті 60</w:t>
        </w:r>
      </w:hyperlink>
      <w:r w:rsidRPr="008B264B">
        <w:rPr>
          <w:rFonts w:ascii="Times New Roman" w:eastAsia="Times New Roman" w:hAnsi="Times New Roman" w:cs="Times New Roman"/>
          <w:color w:val="000000"/>
          <w:sz w:val="24"/>
          <w:szCs w:val="24"/>
          <w:lang/>
        </w:rPr>
        <w:t> цього Кодексу.</w:t>
      </w:r>
    </w:p>
    <w:p w14:paraId="67AE3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2" w:name="n12607"/>
      <w:bookmarkEnd w:id="3082"/>
      <w:r w:rsidRPr="008B264B">
        <w:rPr>
          <w:rFonts w:ascii="Times New Roman" w:eastAsia="Times New Roman" w:hAnsi="Times New Roman" w:cs="Times New Roman"/>
          <w:i/>
          <w:iCs/>
          <w:color w:val="000000"/>
          <w:sz w:val="24"/>
          <w:szCs w:val="24"/>
          <w:lang/>
        </w:rPr>
        <w:t>{Пункт 86.7 статті 86 доповнено абзацом п'ятим згідно із Законом </w:t>
      </w:r>
      <w:hyperlink r:id="rId1735" w:anchor="n56"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2155B7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3" w:name="n1958"/>
      <w:bookmarkEnd w:id="3083"/>
      <w:r w:rsidRPr="008B264B">
        <w:rPr>
          <w:rFonts w:ascii="Times New Roman" w:eastAsia="Times New Roman" w:hAnsi="Times New Roman" w:cs="Times New Roman"/>
          <w:color w:val="000000"/>
          <w:sz w:val="24"/>
          <w:szCs w:val="24"/>
          <w:lang/>
        </w:rPr>
        <w:t xml:space="preserve">86.8. Податкове повідомлення-рішення приймається керівником (його заступником або уповноваженою особою) контролюючого органу протягом 15 робочих днів з дня, наступного за </w:t>
      </w:r>
      <w:r w:rsidRPr="008B264B">
        <w:rPr>
          <w:rFonts w:ascii="Times New Roman" w:eastAsia="Times New Roman" w:hAnsi="Times New Roman" w:cs="Times New Roman"/>
          <w:color w:val="000000"/>
          <w:sz w:val="24"/>
          <w:szCs w:val="24"/>
          <w:lang/>
        </w:rPr>
        <w:lastRenderedPageBreak/>
        <w:t>днем вручення платнику податків, його представнику або особі, яка здійснювала розрахункові операції, акта перевірки у порядку, передбаченому </w:t>
      </w:r>
      <w:hyperlink r:id="rId1736"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повідомлень-рішень, а за наявності заперечень посадових осіб платника податків до акта перевірки та/або додаткових документів, поданих у порядку, визначеному </w:t>
      </w:r>
      <w:hyperlink r:id="rId1737" w:anchor="n1130" w:history="1">
        <w:r w:rsidRPr="008B264B">
          <w:rPr>
            <w:rFonts w:ascii="Times New Roman" w:eastAsia="Times New Roman" w:hAnsi="Times New Roman" w:cs="Times New Roman"/>
            <w:color w:val="0000FF"/>
            <w:sz w:val="24"/>
            <w:szCs w:val="24"/>
            <w:u w:val="single"/>
            <w:lang/>
          </w:rPr>
          <w:t>пунктом 44.7</w:t>
        </w:r>
      </w:hyperlink>
      <w:r w:rsidRPr="008B264B">
        <w:rPr>
          <w:rFonts w:ascii="Times New Roman" w:eastAsia="Times New Roman" w:hAnsi="Times New Roman" w:cs="Times New Roman"/>
          <w:color w:val="000000"/>
          <w:sz w:val="24"/>
          <w:szCs w:val="24"/>
          <w:lang/>
        </w:rPr>
        <w:t> статті 44 цього Кодексу, приймається з урахуванням висновку про результати розгляду заперечень до акта перевірки та/або додаткових документів - протягом трьох робочих днів, наступних за днем розгляду заперечень та/або додаткових документів і надання (надсилання) письмової відповіді платнику податків.</w:t>
      </w:r>
    </w:p>
    <w:p w14:paraId="705A7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4" w:name="n1959"/>
      <w:bookmarkEnd w:id="3084"/>
      <w:r w:rsidRPr="008B264B">
        <w:rPr>
          <w:rFonts w:ascii="Times New Roman" w:eastAsia="Times New Roman" w:hAnsi="Times New Roman" w:cs="Times New Roman"/>
          <w:i/>
          <w:iCs/>
          <w:color w:val="000000"/>
          <w:sz w:val="24"/>
          <w:szCs w:val="24"/>
          <w:lang/>
        </w:rPr>
        <w:t>{Пункт 86.8 статті 86 із змінами, внесеними згідно із Законом </w:t>
      </w:r>
      <w:hyperlink r:id="rId1738" w:anchor="n10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1739" w:anchor="n6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740" w:anchor="n14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9E1EF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5" w:name="n1960"/>
      <w:bookmarkEnd w:id="3085"/>
      <w:r w:rsidRPr="008B264B">
        <w:rPr>
          <w:rFonts w:ascii="Times New Roman" w:eastAsia="Times New Roman" w:hAnsi="Times New Roman" w:cs="Times New Roman"/>
          <w:i/>
          <w:iCs/>
          <w:color w:val="000000"/>
          <w:sz w:val="24"/>
          <w:szCs w:val="24"/>
          <w:lang/>
        </w:rPr>
        <w:t>{Пункт 86.9 статті 86 виключено на підставі Закону </w:t>
      </w:r>
      <w:hyperlink r:id="rId1741" w:anchor="n58"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4BA6AD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6" w:name="n1963"/>
      <w:bookmarkEnd w:id="3086"/>
      <w:r w:rsidRPr="008B264B">
        <w:rPr>
          <w:rFonts w:ascii="Times New Roman" w:eastAsia="Times New Roman" w:hAnsi="Times New Roman" w:cs="Times New Roman"/>
          <w:color w:val="000000"/>
          <w:sz w:val="24"/>
          <w:szCs w:val="24"/>
          <w:lang/>
        </w:rPr>
        <w:t>86.10. В акті перевірки зазначаються як факти заниження, так і факти завищення податкових зобов'язань платника.</w:t>
      </w:r>
    </w:p>
    <w:p w14:paraId="546C0D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7" w:name="n1964"/>
      <w:bookmarkEnd w:id="3087"/>
      <w:r w:rsidRPr="008B264B">
        <w:rPr>
          <w:rFonts w:ascii="Times New Roman" w:eastAsia="Times New Roman" w:hAnsi="Times New Roman" w:cs="Times New Roman"/>
          <w:color w:val="000000"/>
          <w:sz w:val="24"/>
          <w:szCs w:val="24"/>
          <w:lang/>
        </w:rPr>
        <w:t>86.11. За результатами електронної перевірки складається довідка у двох примірниках, що підписується посадовими особами контролюючого органу, які проводили перевірку, та реєструється у контролюючому органі протягом трьох робочих днів з дня закінчення установленого для проведення перевірки строку (для платників податків, які мають філії та/або перебувають на консолідованій сплаті,- протягом п'яти робочих днів).</w:t>
      </w:r>
    </w:p>
    <w:p w14:paraId="5052D4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8" w:name="n1965"/>
      <w:bookmarkEnd w:id="3088"/>
      <w:r w:rsidRPr="008B264B">
        <w:rPr>
          <w:rFonts w:ascii="Times New Roman" w:eastAsia="Times New Roman" w:hAnsi="Times New Roman" w:cs="Times New Roman"/>
          <w:color w:val="000000"/>
          <w:sz w:val="24"/>
          <w:szCs w:val="24"/>
          <w:lang/>
        </w:rPr>
        <w:t>Довідка електронної перевірки після її реєстрації вручається особисто платнику податків або його законним представникам для ознайомлення та підписання протягом п'яти робочих днів з дня вручення.</w:t>
      </w:r>
    </w:p>
    <w:p w14:paraId="14A8F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89" w:name="n1966"/>
      <w:bookmarkEnd w:id="3089"/>
      <w:r w:rsidRPr="008B264B">
        <w:rPr>
          <w:rFonts w:ascii="Times New Roman" w:eastAsia="Times New Roman" w:hAnsi="Times New Roman" w:cs="Times New Roman"/>
          <w:color w:val="000000"/>
          <w:sz w:val="24"/>
          <w:szCs w:val="24"/>
          <w:lang/>
        </w:rPr>
        <w:t>У разі незгоди платника податків або його законних представників з висновками перевірки чи фактами і даними, викладеними в довідці, складеній за результатами електронної перевірки, вони зобов'язані підписати таку довідку та мають право подати свої заперечення, які є невід'ємною частиною такої довідки, разом з підписаним примірником довідки.</w:t>
      </w:r>
    </w:p>
    <w:p w14:paraId="300E63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0" w:name="n1967"/>
      <w:bookmarkEnd w:id="3090"/>
      <w:r w:rsidRPr="008B264B">
        <w:rPr>
          <w:rFonts w:ascii="Times New Roman" w:eastAsia="Times New Roman" w:hAnsi="Times New Roman" w:cs="Times New Roman"/>
          <w:color w:val="000000"/>
          <w:sz w:val="24"/>
          <w:szCs w:val="24"/>
          <w:lang/>
        </w:rPr>
        <w:t>Такі заперечення розглядаються контролюючим органом протягом п'яти робочих днів з дня їх отримання та платнику податків надсилається відповідь у порядку, визначеному </w:t>
      </w:r>
      <w:hyperlink r:id="rId1742"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для надсилання (вручення) податкових повідомлень-рішень. Така відповідь є невід'ємною частиною довідки про проведення електронної перевірки. Платник податку (його уповноважена особа та/або представник) має право брати участь у розгляді заперечень, про що він зазначає у поданих запереченнях.</w:t>
      </w:r>
    </w:p>
    <w:p w14:paraId="330100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1" w:name="n1968"/>
      <w:bookmarkEnd w:id="3091"/>
      <w:r w:rsidRPr="008B264B">
        <w:rPr>
          <w:rFonts w:ascii="Times New Roman" w:eastAsia="Times New Roman" w:hAnsi="Times New Roman" w:cs="Times New Roman"/>
          <w:i/>
          <w:iCs/>
          <w:color w:val="000000"/>
          <w:sz w:val="24"/>
          <w:szCs w:val="24"/>
          <w:lang/>
        </w:rPr>
        <w:t>{Статтю 86 доповнено пунктом 86.11 згідно із Законом </w:t>
      </w:r>
      <w:hyperlink r:id="rId174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4888D8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2" w:name="n9239"/>
      <w:bookmarkEnd w:id="3092"/>
      <w:r w:rsidRPr="008B264B">
        <w:rPr>
          <w:rFonts w:ascii="Times New Roman" w:eastAsia="Times New Roman" w:hAnsi="Times New Roman" w:cs="Times New Roman"/>
          <w:color w:val="000000"/>
          <w:sz w:val="24"/>
          <w:szCs w:val="24"/>
          <w:lang/>
        </w:rPr>
        <w:t>86.12. Результати перевірок з питань дотримання платником податків принципу "витягнутої руки" оформлюються з урахуванням особливостей, визначених </w:t>
      </w:r>
      <w:hyperlink r:id="rId1744"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w:t>
      </w:r>
    </w:p>
    <w:p w14:paraId="44D8E0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3" w:name="n9238"/>
      <w:bookmarkEnd w:id="3093"/>
      <w:r w:rsidRPr="008B264B">
        <w:rPr>
          <w:rFonts w:ascii="Times New Roman" w:eastAsia="Times New Roman" w:hAnsi="Times New Roman" w:cs="Times New Roman"/>
          <w:i/>
          <w:iCs/>
          <w:color w:val="000000"/>
          <w:sz w:val="24"/>
          <w:szCs w:val="24"/>
          <w:lang/>
        </w:rPr>
        <w:t>{Статтю 86 доповнено пунктом 86.12 згідно із Законом </w:t>
      </w:r>
      <w:hyperlink r:id="rId1745" w:anchor="n352"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Закону </w:t>
      </w:r>
      <w:hyperlink r:id="rId1746" w:anchor="n6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1DFFC9"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3094" w:name="n1969"/>
      <w:bookmarkEnd w:id="3094"/>
      <w:r w:rsidRPr="008B264B">
        <w:rPr>
          <w:rFonts w:ascii="Times New Roman" w:eastAsia="Times New Roman" w:hAnsi="Times New Roman" w:cs="Times New Roman"/>
          <w:b/>
          <w:bCs/>
          <w:color w:val="000000"/>
          <w:sz w:val="28"/>
          <w:szCs w:val="28"/>
          <w:lang/>
        </w:rPr>
        <w:t>ГЛАВА 9. ПОГАШЕННЯ ПОДАТКОВОГО БОРГУ ПЛАТНИКІВ ПОДАТКІВ</w:t>
      </w:r>
    </w:p>
    <w:p w14:paraId="4CEA9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5" w:name="n1970"/>
      <w:bookmarkEnd w:id="3095"/>
      <w:r w:rsidRPr="008B264B">
        <w:rPr>
          <w:rFonts w:ascii="Times New Roman" w:eastAsia="Times New Roman" w:hAnsi="Times New Roman" w:cs="Times New Roman"/>
          <w:b/>
          <w:bCs/>
          <w:color w:val="000000"/>
          <w:sz w:val="24"/>
          <w:szCs w:val="24"/>
          <w:lang/>
        </w:rPr>
        <w:t>Стаття 87.</w:t>
      </w:r>
      <w:r w:rsidRPr="008B264B">
        <w:rPr>
          <w:rFonts w:ascii="Times New Roman" w:eastAsia="Times New Roman" w:hAnsi="Times New Roman" w:cs="Times New Roman"/>
          <w:color w:val="000000"/>
          <w:sz w:val="24"/>
          <w:szCs w:val="24"/>
          <w:lang/>
        </w:rPr>
        <w:t> Джерела сплати грошових зобов'язань або погашення податкового боргу платника податків</w:t>
      </w:r>
    </w:p>
    <w:p w14:paraId="5E4205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6" w:name="n1971"/>
      <w:bookmarkEnd w:id="3096"/>
      <w:r w:rsidRPr="008B264B">
        <w:rPr>
          <w:rFonts w:ascii="Times New Roman" w:eastAsia="Times New Roman" w:hAnsi="Times New Roman" w:cs="Times New Roman"/>
          <w:color w:val="000000"/>
          <w:sz w:val="24"/>
          <w:szCs w:val="24"/>
          <w:lang/>
        </w:rPr>
        <w:t>87.1. Джерелами самостійної сплати грошових зобов'язань або погашення податкового боргу платника податків є будь-які власні кошти, у тому числі ті, що отримані від продажу товарів (робіт, послуг), майна, випуску цінних паперів, зокрема корпоративних прав, отримані як позика (кредит), та з інших джерел, з урахуванням особливостей, визначених цією статтею, а також суми надміру сплачених платежів до відповідних бюджетів.</w:t>
      </w:r>
    </w:p>
    <w:p w14:paraId="25E9BD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7" w:name="n10578"/>
      <w:bookmarkEnd w:id="3097"/>
      <w:r w:rsidRPr="008B264B">
        <w:rPr>
          <w:rFonts w:ascii="Times New Roman" w:eastAsia="Times New Roman" w:hAnsi="Times New Roman" w:cs="Times New Roman"/>
          <w:color w:val="000000"/>
          <w:sz w:val="24"/>
          <w:szCs w:val="24"/>
          <w:lang/>
        </w:rPr>
        <w:lastRenderedPageBreak/>
        <w:t>Джерелом самостійної сплати грошових зобов’язань з податку на додану вартість є суми коштів, джерела яких зазначені в абзаці першому цього пункту та обліковуються в системі електронного адміністрування податку на додану вартість. У разі сплати податкових зобов’язань, що виникли до 1 липня 2015 року, та/або погашення податкового боргу за податковими зобов’язаннями, що виникли до 1 липня 2015 року, перерахування коштів до бюджету здійснюється безпосередньо з поточних рахунків платника податків, відкритих у банках.</w:t>
      </w:r>
    </w:p>
    <w:p w14:paraId="1325E2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8" w:name="n10577"/>
      <w:bookmarkEnd w:id="3098"/>
      <w:r w:rsidRPr="008B264B">
        <w:rPr>
          <w:rFonts w:ascii="Times New Roman" w:eastAsia="Times New Roman" w:hAnsi="Times New Roman" w:cs="Times New Roman"/>
          <w:i/>
          <w:iCs/>
          <w:color w:val="000000"/>
          <w:sz w:val="24"/>
          <w:szCs w:val="24"/>
          <w:lang/>
        </w:rPr>
        <w:t>{Пункт 87.1 статті 87 доповнено новим абзацом згідно із Законом </w:t>
      </w:r>
      <w:hyperlink r:id="rId1747" w:anchor="n2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1748" w:anchor="n7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F5C6A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099" w:name="n1972"/>
      <w:bookmarkEnd w:id="3099"/>
      <w:r w:rsidRPr="008B264B">
        <w:rPr>
          <w:rFonts w:ascii="Times New Roman" w:eastAsia="Times New Roman" w:hAnsi="Times New Roman" w:cs="Times New Roman"/>
          <w:color w:val="000000"/>
          <w:sz w:val="24"/>
          <w:szCs w:val="24"/>
          <w:lang/>
        </w:rPr>
        <w:t>Сплату грошових зобов’язань або погашення податкового боргу платника податків з відповідного платежу може бути здійснено також:</w:t>
      </w:r>
    </w:p>
    <w:p w14:paraId="0766E4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0" w:name="n12675"/>
      <w:bookmarkEnd w:id="3100"/>
      <w:r w:rsidRPr="008B264B">
        <w:rPr>
          <w:rFonts w:ascii="Times New Roman" w:eastAsia="Times New Roman" w:hAnsi="Times New Roman" w:cs="Times New Roman"/>
          <w:i/>
          <w:iCs/>
          <w:color w:val="000000"/>
          <w:sz w:val="24"/>
          <w:szCs w:val="24"/>
          <w:lang/>
        </w:rPr>
        <w:t>{Абзац третій пункту 87.1 статті 87 в редакції Закону </w:t>
      </w:r>
      <w:hyperlink r:id="rId1749" w:anchor="n7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151B0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1" w:name="n12677"/>
      <w:bookmarkEnd w:id="3101"/>
      <w:r w:rsidRPr="008B264B">
        <w:rPr>
          <w:rFonts w:ascii="Times New Roman" w:eastAsia="Times New Roman" w:hAnsi="Times New Roman" w:cs="Times New Roman"/>
          <w:color w:val="000000"/>
          <w:sz w:val="24"/>
          <w:szCs w:val="24"/>
          <w:lang/>
        </w:rPr>
        <w:t>а) за рахунок надміру сплачених сум такого платежу (без заяви платника);</w:t>
      </w:r>
    </w:p>
    <w:p w14:paraId="05F947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2" w:name="n12680"/>
      <w:bookmarkEnd w:id="3102"/>
      <w:r w:rsidRPr="008B264B">
        <w:rPr>
          <w:rFonts w:ascii="Times New Roman" w:eastAsia="Times New Roman" w:hAnsi="Times New Roman" w:cs="Times New Roman"/>
          <w:i/>
          <w:iCs/>
          <w:color w:val="000000"/>
          <w:sz w:val="24"/>
          <w:szCs w:val="24"/>
          <w:lang/>
        </w:rPr>
        <w:t>{Абзац пункту 87.1 статті 87 в редакції Закону </w:t>
      </w:r>
      <w:hyperlink r:id="rId1750" w:anchor="n7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733F4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3" w:name="n12678"/>
      <w:bookmarkEnd w:id="3103"/>
      <w:r w:rsidRPr="008B264B">
        <w:rPr>
          <w:rFonts w:ascii="Times New Roman" w:eastAsia="Times New Roman" w:hAnsi="Times New Roman" w:cs="Times New Roman"/>
          <w:color w:val="000000"/>
          <w:sz w:val="24"/>
          <w:szCs w:val="24"/>
          <w:lang/>
        </w:rPr>
        <w:t>б) за рахунок помилково та/або надміру сплачених сум з інших платежів (на підставі відповідної заяви платника) до відповідних бюджетів з урахуванням особливостей, визначених у </w:t>
      </w:r>
      <w:hyperlink r:id="rId1751" w:anchor="n13828" w:history="1">
        <w:r w:rsidRPr="008B264B">
          <w:rPr>
            <w:rFonts w:ascii="Times New Roman" w:eastAsia="Times New Roman" w:hAnsi="Times New Roman" w:cs="Times New Roman"/>
            <w:color w:val="0000FF"/>
            <w:sz w:val="24"/>
            <w:szCs w:val="24"/>
            <w:u w:val="single"/>
            <w:lang/>
          </w:rPr>
          <w:t>пункті 43.4</w:t>
        </w:r>
      </w:hyperlink>
      <w:hyperlink r:id="rId1752" w:anchor="n13828"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статті 43 цього Кодексу;</w:t>
      </w:r>
    </w:p>
    <w:p w14:paraId="2F3BCA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4" w:name="n12681"/>
      <w:bookmarkEnd w:id="3104"/>
      <w:r w:rsidRPr="008B264B">
        <w:rPr>
          <w:rFonts w:ascii="Times New Roman" w:eastAsia="Times New Roman" w:hAnsi="Times New Roman" w:cs="Times New Roman"/>
          <w:i/>
          <w:iCs/>
          <w:color w:val="000000"/>
          <w:sz w:val="24"/>
          <w:szCs w:val="24"/>
          <w:lang/>
        </w:rPr>
        <w:t>{Абзац пункту 87.1 статті 87 в редакції Закону </w:t>
      </w:r>
      <w:hyperlink r:id="rId1753" w:anchor="n7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754" w:anchor="n70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C63C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5" w:name="n12679"/>
      <w:bookmarkEnd w:id="3105"/>
      <w:r w:rsidRPr="008B264B">
        <w:rPr>
          <w:rFonts w:ascii="Times New Roman" w:eastAsia="Times New Roman" w:hAnsi="Times New Roman" w:cs="Times New Roman"/>
          <w:color w:val="000000"/>
          <w:sz w:val="24"/>
          <w:szCs w:val="24"/>
          <w:lang/>
        </w:rPr>
        <w:t>в) за рахунок суми бюджетного відшкодування з податку на додану вартість (на підставі відповідної заяви платника) до Державного бюджету України".</w:t>
      </w:r>
    </w:p>
    <w:p w14:paraId="070976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6" w:name="n12676"/>
      <w:bookmarkEnd w:id="3106"/>
      <w:r w:rsidRPr="008B264B">
        <w:rPr>
          <w:rFonts w:ascii="Times New Roman" w:eastAsia="Times New Roman" w:hAnsi="Times New Roman" w:cs="Times New Roman"/>
          <w:i/>
          <w:iCs/>
          <w:color w:val="000000"/>
          <w:sz w:val="24"/>
          <w:szCs w:val="24"/>
          <w:lang/>
        </w:rPr>
        <w:t>{Абзац пункту 87.1 статті 87 в редакції Закону </w:t>
      </w:r>
      <w:hyperlink r:id="rId1755" w:anchor="n7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112B5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7" w:name="n10580"/>
      <w:bookmarkEnd w:id="3107"/>
      <w:r w:rsidRPr="008B264B">
        <w:rPr>
          <w:rFonts w:ascii="Times New Roman" w:eastAsia="Times New Roman" w:hAnsi="Times New Roman" w:cs="Times New Roman"/>
          <w:color w:val="000000"/>
          <w:sz w:val="24"/>
          <w:szCs w:val="24"/>
          <w:lang/>
        </w:rPr>
        <w:t>Не можуть бути джерелом погашення податкового боргу, крім погашення податкового боргу з податку на додану вартість (крім податкового боргу, що виник до 1 липня 2015 року), кошти на рахунку платника в системі електронного адміністрування податку на додану вартість. Для погашення такого податкового боргу за рахунок коштів на рахунку платника податків у системі електронного адміністрування податку на додану вартість центральний орган виконавчої влади, що реалізує податкову і митну політику, за умови наявності підстав, передбачених </w:t>
      </w:r>
      <w:hyperlink r:id="rId1756" w:anchor="n2123" w:history="1">
        <w:r w:rsidRPr="008B264B">
          <w:rPr>
            <w:rFonts w:ascii="Times New Roman" w:eastAsia="Times New Roman" w:hAnsi="Times New Roman" w:cs="Times New Roman"/>
            <w:color w:val="0000FF"/>
            <w:sz w:val="24"/>
            <w:szCs w:val="24"/>
            <w:u w:val="single"/>
            <w:lang/>
          </w:rPr>
          <w:t>статтею 95</w:t>
        </w:r>
      </w:hyperlink>
      <w:r w:rsidRPr="008B264B">
        <w:rPr>
          <w:rFonts w:ascii="Times New Roman" w:eastAsia="Times New Roman" w:hAnsi="Times New Roman" w:cs="Times New Roman"/>
          <w:color w:val="000000"/>
          <w:sz w:val="24"/>
          <w:szCs w:val="24"/>
          <w:lang/>
        </w:rPr>
        <w:t> цього Кодексу, надсилає центральному органу виконавчої влади, що реалізує державну політику у сфері казначейського обслуговування бюджетних коштів, у якому відкриті рахунки платників у системі електронного адміністрування податку на додану вартість, реєстр, у якому зазначаються найменування платника податків, податковий та індивідуальний податковий номер платника податків та сума податкового боргу, що підлягає перерахуванню до бюджету (крім сум податкового боргу за податковими зобов’язаннями з податку на додану вартість, що підлягали сплаті до державного бюджету та за якими сформовано реєстр для перерахування коштів до державного бюджету з рахунка у системі електронного адміністрування відповідно до </w:t>
      </w:r>
      <w:hyperlink r:id="rId1757" w:anchor="n4989" w:history="1">
        <w:r w:rsidRPr="008B264B">
          <w:rPr>
            <w:rFonts w:ascii="Times New Roman" w:eastAsia="Times New Roman" w:hAnsi="Times New Roman" w:cs="Times New Roman"/>
            <w:color w:val="0000FF"/>
            <w:sz w:val="24"/>
            <w:szCs w:val="24"/>
            <w:u w:val="single"/>
            <w:lang/>
          </w:rPr>
          <w:t>пункту 200.2</w:t>
        </w:r>
      </w:hyperlink>
      <w:r w:rsidRPr="008B264B">
        <w:rPr>
          <w:rFonts w:ascii="Times New Roman" w:eastAsia="Times New Roman" w:hAnsi="Times New Roman" w:cs="Times New Roman"/>
          <w:color w:val="000000"/>
          <w:sz w:val="24"/>
          <w:szCs w:val="24"/>
          <w:lang/>
        </w:rPr>
        <w:t> статті 200 цього Кодексу). Порядок формування та надсилання центральному органу виконавчої влади, що реалізує державну політику у сфері казначейського обслуговування бюджетних коштів, такого реєстру визначається центральним органом виконавчої влади, що забезпечує формування та реалізує державну фінансову політику.</w:t>
      </w:r>
    </w:p>
    <w:p w14:paraId="15B6D8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8" w:name="n10579"/>
      <w:bookmarkEnd w:id="3108"/>
      <w:r w:rsidRPr="008B264B">
        <w:rPr>
          <w:rFonts w:ascii="Times New Roman" w:eastAsia="Times New Roman" w:hAnsi="Times New Roman" w:cs="Times New Roman"/>
          <w:i/>
          <w:iCs/>
          <w:color w:val="000000"/>
          <w:sz w:val="24"/>
          <w:szCs w:val="24"/>
          <w:lang/>
        </w:rPr>
        <w:t>{Пункт 87.1 статті 87 доповнено абзацом згідно із Законом </w:t>
      </w:r>
      <w:hyperlink r:id="rId1758" w:anchor="n2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759" w:anchor="n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1760" w:anchor="n70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9411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09" w:name="n1973"/>
      <w:bookmarkEnd w:id="3109"/>
      <w:r w:rsidRPr="008B264B">
        <w:rPr>
          <w:rFonts w:ascii="Times New Roman" w:eastAsia="Times New Roman" w:hAnsi="Times New Roman" w:cs="Times New Roman"/>
          <w:color w:val="000000"/>
          <w:sz w:val="24"/>
          <w:szCs w:val="24"/>
          <w:lang/>
        </w:rPr>
        <w:t>87.2. Джерелами погашення податкового боргу платника податків є будь-яке майно такого платника податків з урахуванням обмежень, визначених цим Кодексом, а також іншими законодавчими актами.</w:t>
      </w:r>
    </w:p>
    <w:p w14:paraId="25790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0" w:name="n1974"/>
      <w:bookmarkEnd w:id="3110"/>
      <w:r w:rsidRPr="008B264B">
        <w:rPr>
          <w:rFonts w:ascii="Times New Roman" w:eastAsia="Times New Roman" w:hAnsi="Times New Roman" w:cs="Times New Roman"/>
          <w:color w:val="000000"/>
          <w:sz w:val="24"/>
          <w:szCs w:val="24"/>
          <w:lang/>
        </w:rPr>
        <w:t>87.3. Не можуть бути використані як джерела погашення податкового боргу платника податків:</w:t>
      </w:r>
    </w:p>
    <w:p w14:paraId="2F5C20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1" w:name="n1975"/>
      <w:bookmarkEnd w:id="3111"/>
      <w:r w:rsidRPr="008B264B">
        <w:rPr>
          <w:rFonts w:ascii="Times New Roman" w:eastAsia="Times New Roman" w:hAnsi="Times New Roman" w:cs="Times New Roman"/>
          <w:color w:val="000000"/>
          <w:sz w:val="24"/>
          <w:szCs w:val="24"/>
          <w:lang/>
        </w:rPr>
        <w:lastRenderedPageBreak/>
        <w:t>87.3.1. майно платника податків, надане ним у заставу іншим особам (на час дії такої застави), якщо така застава зареєстрована згідно із законом у відповідних державних реєстрах до моменту виникнення права податкової застави;</w:t>
      </w:r>
    </w:p>
    <w:p w14:paraId="7C471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2" w:name="n1976"/>
      <w:bookmarkEnd w:id="3112"/>
      <w:r w:rsidRPr="008B264B">
        <w:rPr>
          <w:rFonts w:ascii="Times New Roman" w:eastAsia="Times New Roman" w:hAnsi="Times New Roman" w:cs="Times New Roman"/>
          <w:color w:val="000000"/>
          <w:sz w:val="24"/>
          <w:szCs w:val="24"/>
          <w:lang/>
        </w:rPr>
        <w:t>87.3.2. майно, яке належить на правах власності іншим особам та перебуває у володінні або користуванні платника податків, у тому числі (але не виключно) майно, передане платнику податків у лізинг (оренду), схов (відповідальне зберігання), ломбардний схов, на комісію (консигнацію); давальницька сировина, надана підприємству для переробки, крім її частини, що надається платнику податків як оплата за такі послуги, а також майно інших осіб, прийняті платником податків у заставу чи заклад, довірче та будь-які інші види агентського управління;</w:t>
      </w:r>
    </w:p>
    <w:p w14:paraId="4DCF81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3" w:name="n1977"/>
      <w:bookmarkEnd w:id="3113"/>
      <w:r w:rsidRPr="008B264B">
        <w:rPr>
          <w:rFonts w:ascii="Times New Roman" w:eastAsia="Times New Roman" w:hAnsi="Times New Roman" w:cs="Times New Roman"/>
          <w:color w:val="000000"/>
          <w:sz w:val="24"/>
          <w:szCs w:val="24"/>
          <w:lang/>
        </w:rPr>
        <w:t>87.3.3. майнові права інших осіб, надані платнику податків у користування або володіння, а також немайнові права, у тому числі права інтелектуальної (промислової) власності, передані в користування такому платнику податків без права їх відчуження;</w:t>
      </w:r>
    </w:p>
    <w:p w14:paraId="2CA156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4" w:name="n1978"/>
      <w:bookmarkEnd w:id="3114"/>
      <w:r w:rsidRPr="008B264B">
        <w:rPr>
          <w:rFonts w:ascii="Times New Roman" w:eastAsia="Times New Roman" w:hAnsi="Times New Roman" w:cs="Times New Roman"/>
          <w:color w:val="000000"/>
          <w:sz w:val="24"/>
          <w:szCs w:val="24"/>
          <w:lang/>
        </w:rPr>
        <w:t>87.3.4. Кошти кредитів або позик, наданих платнику податків кредитно-фінансовою установою, що обліковуються на позичкових рахунках, відкритих такому платнику податків, суми акредитивів, що виставлені на ім'я платника податків, але не відкриті, суми авансових платежів та попередньої оплати за контрактами підприємств суднобудівної промисловості (клас 35.11 група 35 </w:t>
      </w:r>
      <w:hyperlink r:id="rId1761" w:tgtFrame="_blank" w:history="1">
        <w:r w:rsidRPr="008B264B">
          <w:rPr>
            <w:rFonts w:ascii="Times New Roman" w:eastAsia="Times New Roman" w:hAnsi="Times New Roman" w:cs="Times New Roman"/>
            <w:color w:val="0000FF"/>
            <w:sz w:val="24"/>
            <w:szCs w:val="24"/>
            <w:u w:val="single"/>
            <w:lang/>
          </w:rPr>
          <w:t>КВЕД ДК 009:2005</w:t>
        </w:r>
      </w:hyperlink>
      <w:r w:rsidRPr="008B264B">
        <w:rPr>
          <w:rFonts w:ascii="Times New Roman" w:eastAsia="Times New Roman" w:hAnsi="Times New Roman" w:cs="Times New Roman"/>
          <w:color w:val="000000"/>
          <w:sz w:val="24"/>
          <w:szCs w:val="24"/>
          <w:lang/>
        </w:rPr>
        <w:t>), отримані від замовників морських та річкових суден та інших плавучих засобів;</w:t>
      </w:r>
    </w:p>
    <w:p w14:paraId="446EDE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5" w:name="n1979"/>
      <w:bookmarkEnd w:id="3115"/>
      <w:r w:rsidRPr="008B264B">
        <w:rPr>
          <w:rFonts w:ascii="Times New Roman" w:eastAsia="Times New Roman" w:hAnsi="Times New Roman" w:cs="Times New Roman"/>
          <w:i/>
          <w:iCs/>
          <w:color w:val="000000"/>
          <w:sz w:val="24"/>
          <w:szCs w:val="24"/>
          <w:lang/>
        </w:rPr>
        <w:t>{Підпункт 87.3.4 пункту 87.3 статті 87 в редакції Закону </w:t>
      </w:r>
      <w:hyperlink r:id="rId176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C6373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6" w:name="n1980"/>
      <w:bookmarkEnd w:id="3116"/>
      <w:r w:rsidRPr="008B264B">
        <w:rPr>
          <w:rFonts w:ascii="Times New Roman" w:eastAsia="Times New Roman" w:hAnsi="Times New Roman" w:cs="Times New Roman"/>
          <w:color w:val="000000"/>
          <w:sz w:val="24"/>
          <w:szCs w:val="24"/>
          <w:lang/>
        </w:rPr>
        <w:t>87.3.5. майно, включене до складу цілісних майнових комплексів державних підприємств, які не підлягають приватизації, у тому числі казенних підприємств. </w:t>
      </w:r>
      <w:hyperlink r:id="rId1763"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віднесення майна до такого, що включається до складу цілісного майнового комплексу державного підприємства, встановлюється Фондом державного майна України;</w:t>
      </w:r>
    </w:p>
    <w:p w14:paraId="3E582D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7" w:name="n1981"/>
      <w:bookmarkEnd w:id="3117"/>
      <w:r w:rsidRPr="008B264B">
        <w:rPr>
          <w:rFonts w:ascii="Times New Roman" w:eastAsia="Times New Roman" w:hAnsi="Times New Roman" w:cs="Times New Roman"/>
          <w:color w:val="000000"/>
          <w:sz w:val="24"/>
          <w:szCs w:val="24"/>
          <w:lang/>
        </w:rPr>
        <w:t>87.3.6. майно, вільний обіг якого заборонено згідно із законодавством України;</w:t>
      </w:r>
    </w:p>
    <w:p w14:paraId="57E5A9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8" w:name="n1982"/>
      <w:bookmarkEnd w:id="3118"/>
      <w:r w:rsidRPr="008B264B">
        <w:rPr>
          <w:rFonts w:ascii="Times New Roman" w:eastAsia="Times New Roman" w:hAnsi="Times New Roman" w:cs="Times New Roman"/>
          <w:color w:val="000000"/>
          <w:sz w:val="24"/>
          <w:szCs w:val="24"/>
          <w:lang/>
        </w:rPr>
        <w:t>87.3.7. майно, що не може бути предметом застави відповідно до </w:t>
      </w:r>
      <w:hyperlink r:id="rId1764" w:tgtFrame="_blank" w:history="1">
        <w:r w:rsidRPr="008B264B">
          <w:rPr>
            <w:rFonts w:ascii="Times New Roman" w:eastAsia="Times New Roman" w:hAnsi="Times New Roman" w:cs="Times New Roman"/>
            <w:color w:val="0000FF"/>
            <w:sz w:val="24"/>
            <w:szCs w:val="24"/>
            <w:u w:val="single"/>
            <w:lang/>
          </w:rPr>
          <w:t>Закону України "Про заставу"</w:t>
        </w:r>
      </w:hyperlink>
      <w:r w:rsidRPr="008B264B">
        <w:rPr>
          <w:rFonts w:ascii="Times New Roman" w:eastAsia="Times New Roman" w:hAnsi="Times New Roman" w:cs="Times New Roman"/>
          <w:color w:val="000000"/>
          <w:sz w:val="24"/>
          <w:szCs w:val="24"/>
          <w:lang/>
        </w:rPr>
        <w:t>;</w:t>
      </w:r>
    </w:p>
    <w:p w14:paraId="20AFB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19" w:name="n1983"/>
      <w:bookmarkEnd w:id="3119"/>
      <w:r w:rsidRPr="008B264B">
        <w:rPr>
          <w:rFonts w:ascii="Times New Roman" w:eastAsia="Times New Roman" w:hAnsi="Times New Roman" w:cs="Times New Roman"/>
          <w:color w:val="000000"/>
          <w:sz w:val="24"/>
          <w:szCs w:val="24"/>
          <w:lang/>
        </w:rPr>
        <w:t>87.3.8. кошти інших осіб, надані платнику податків у вклад (депозит) або довірче управління, а також власні кошти юридичної особи, що використовуються для виплат заборгованості з основної заробітної плати за фактично відпрацьований час фізичним особам, які перебувають у трудових відносинах з такою юридичною особою.</w:t>
      </w:r>
    </w:p>
    <w:p w14:paraId="101B98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0" w:name="n1984"/>
      <w:bookmarkEnd w:id="3120"/>
      <w:r w:rsidRPr="008B264B">
        <w:rPr>
          <w:rFonts w:ascii="Times New Roman" w:eastAsia="Times New Roman" w:hAnsi="Times New Roman" w:cs="Times New Roman"/>
          <w:color w:val="000000"/>
          <w:sz w:val="24"/>
          <w:szCs w:val="24"/>
          <w:lang/>
        </w:rPr>
        <w:t>87.4. Посадові особи, у тому числі державні виконавці, які прийняли рішення про використання майна, визначеного </w:t>
      </w:r>
      <w:hyperlink r:id="rId1765" w:anchor="n1974" w:history="1">
        <w:r w:rsidRPr="008B264B">
          <w:rPr>
            <w:rFonts w:ascii="Times New Roman" w:eastAsia="Times New Roman" w:hAnsi="Times New Roman" w:cs="Times New Roman"/>
            <w:color w:val="0000FF"/>
            <w:sz w:val="24"/>
            <w:szCs w:val="24"/>
            <w:u w:val="single"/>
            <w:lang/>
          </w:rPr>
          <w:t>пунктом 87.3</w:t>
        </w:r>
      </w:hyperlink>
      <w:r w:rsidRPr="008B264B">
        <w:rPr>
          <w:rFonts w:ascii="Times New Roman" w:eastAsia="Times New Roman" w:hAnsi="Times New Roman" w:cs="Times New Roman"/>
          <w:color w:val="000000"/>
          <w:sz w:val="24"/>
          <w:szCs w:val="24"/>
          <w:lang/>
        </w:rPr>
        <w:t> цієї статті, як джерела погашення грошового зобов'язання або податкового боргу платника податків несуть відповідальність відповідно до закону.</w:t>
      </w:r>
    </w:p>
    <w:p w14:paraId="0DA4F5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1" w:name="n1985"/>
      <w:bookmarkEnd w:id="3121"/>
      <w:r w:rsidRPr="008B264B">
        <w:rPr>
          <w:rFonts w:ascii="Times New Roman" w:eastAsia="Times New Roman" w:hAnsi="Times New Roman" w:cs="Times New Roman"/>
          <w:color w:val="000000"/>
          <w:sz w:val="24"/>
          <w:szCs w:val="24"/>
          <w:lang/>
        </w:rPr>
        <w:t>87.5. У разі якщо здійснення заходів щодо погашення податкового боргу платника податків шляхом стягнення коштів, які перебувають у його власності, не привело до повного погашення суми податкового боргу або у разі недостатності у платника коштів для погашення податкового боргу, контролюючий орган визначає дебіторську заборгованість платника податків, строк погашення якої настав, джерелом погашення податкового боргу такого платника податків.</w:t>
      </w:r>
    </w:p>
    <w:p w14:paraId="0C7C53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2" w:name="n1986"/>
      <w:bookmarkEnd w:id="3122"/>
      <w:r w:rsidRPr="008B264B">
        <w:rPr>
          <w:rFonts w:ascii="Times New Roman" w:eastAsia="Times New Roman" w:hAnsi="Times New Roman" w:cs="Times New Roman"/>
          <w:color w:val="000000"/>
          <w:sz w:val="24"/>
          <w:szCs w:val="24"/>
          <w:lang/>
        </w:rPr>
        <w:t>Контролюючий орган укладає з платником податків договір щодо переведення права вимоги такої дебіторської заборгованості. Така дебіторська заборгованість продовжує залишатися активом платника податків, що має податковий борг, про що зазначається в договорі між платником податків і контролюючим органом, та повинна бути відповідним чином розкрита в примітках до фінансової звітності.</w:t>
      </w:r>
    </w:p>
    <w:p w14:paraId="1890C9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3" w:name="n13946"/>
      <w:bookmarkEnd w:id="3123"/>
      <w:r w:rsidRPr="008B264B">
        <w:rPr>
          <w:rFonts w:ascii="Times New Roman" w:eastAsia="Times New Roman" w:hAnsi="Times New Roman" w:cs="Times New Roman"/>
          <w:color w:val="000000"/>
          <w:sz w:val="24"/>
          <w:szCs w:val="24"/>
          <w:lang/>
        </w:rPr>
        <w:t>Податковий борг продовжує обліковуватися за платником податків, у якого він виник, до надходження коштів до бюджету за рахунок стягнення цієї дебіторської заборгованості. Контролюючий орган повідомляє платнику податків про таке надходження в п’ятиденний строк з дня отримання відповідного документа.</w:t>
      </w:r>
    </w:p>
    <w:p w14:paraId="0585BA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4" w:name="n13947"/>
      <w:bookmarkEnd w:id="3124"/>
      <w:r w:rsidRPr="008B264B">
        <w:rPr>
          <w:rFonts w:ascii="Times New Roman" w:eastAsia="Times New Roman" w:hAnsi="Times New Roman" w:cs="Times New Roman"/>
          <w:color w:val="000000"/>
          <w:sz w:val="24"/>
          <w:szCs w:val="24"/>
          <w:lang/>
        </w:rPr>
        <w:lastRenderedPageBreak/>
        <w:t>У разі відмови платника податків, що має податковий борг, від укладення з контролюючим органом договору щодо переведення права вимоги дебіторської заборгованості такий контролюючий орган звертається до суду щодо зобов’язання платника податків укласти зазначений договір.</w:t>
      </w:r>
    </w:p>
    <w:p w14:paraId="765EEB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5" w:name="n13945"/>
      <w:bookmarkEnd w:id="3125"/>
      <w:r w:rsidRPr="008B264B">
        <w:rPr>
          <w:rFonts w:ascii="Times New Roman" w:eastAsia="Times New Roman" w:hAnsi="Times New Roman" w:cs="Times New Roman"/>
          <w:i/>
          <w:iCs/>
          <w:color w:val="000000"/>
          <w:sz w:val="24"/>
          <w:szCs w:val="24"/>
          <w:lang/>
        </w:rPr>
        <w:t>{Пункт 87.5 статті 87 в редакції Закону </w:t>
      </w:r>
      <w:hyperlink r:id="rId1766" w:anchor="n70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275F7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6" w:name="n1987"/>
      <w:bookmarkEnd w:id="3126"/>
      <w:r w:rsidRPr="008B264B">
        <w:rPr>
          <w:rFonts w:ascii="Times New Roman" w:eastAsia="Times New Roman" w:hAnsi="Times New Roman" w:cs="Times New Roman"/>
          <w:color w:val="000000"/>
          <w:sz w:val="24"/>
          <w:szCs w:val="24"/>
          <w:lang/>
        </w:rPr>
        <w:t>87.6. У разі відсутності у платника податків, що є філією, відокремленим підрозділом юридичної особи, майна, достатнього для погашення його грошового зобов'язання або податкового боргу, джерелом погашення грошового зобов'язання або податкового боргу такого платника податків є майно такої юридичної особи, на яке може бути звернено стягнення згідно з цим Кодексом.</w:t>
      </w:r>
    </w:p>
    <w:p w14:paraId="72A71C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7" w:name="n1988"/>
      <w:bookmarkEnd w:id="3127"/>
      <w:r w:rsidRPr="008B264B">
        <w:rPr>
          <w:rFonts w:ascii="Times New Roman" w:eastAsia="Times New Roman" w:hAnsi="Times New Roman" w:cs="Times New Roman"/>
          <w:color w:val="000000"/>
          <w:sz w:val="24"/>
          <w:szCs w:val="24"/>
          <w:lang/>
        </w:rPr>
        <w:t>Порядок застосування пунктів 87.5 і 87.6 цієї статті визначається центральним органом виконавчої влади, що забезпечує формування та реалізує державну фінансову політику.</w:t>
      </w:r>
    </w:p>
    <w:p w14:paraId="0FF425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8" w:name="n13428"/>
      <w:bookmarkEnd w:id="3128"/>
      <w:r w:rsidRPr="008B264B">
        <w:rPr>
          <w:rFonts w:ascii="Times New Roman" w:eastAsia="Times New Roman" w:hAnsi="Times New Roman" w:cs="Times New Roman"/>
          <w:i/>
          <w:iCs/>
          <w:color w:val="000000"/>
          <w:sz w:val="24"/>
          <w:szCs w:val="24"/>
          <w:lang/>
        </w:rPr>
        <w:t>{Абзац другий пункту 87.6 статті 87 із змінами, внесеними згідно із Законом </w:t>
      </w:r>
      <w:hyperlink r:id="rId176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3F82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29" w:name="n1989"/>
      <w:bookmarkEnd w:id="3129"/>
      <w:r w:rsidRPr="008B264B">
        <w:rPr>
          <w:rFonts w:ascii="Times New Roman" w:eastAsia="Times New Roman" w:hAnsi="Times New Roman" w:cs="Times New Roman"/>
          <w:color w:val="000000"/>
          <w:sz w:val="24"/>
          <w:szCs w:val="24"/>
          <w:lang/>
        </w:rPr>
        <w:t>87.7. Забороняється будь-яка уступка грошового зобов'язання або податкового боргу платника податків третім особам. Положення цього пункту не поширюються на випадки, коли гарантами повного та своєчасного погашення грошових зобов'язань платника податків є інші особи, якщо таке право передбачено цим Кодексом.</w:t>
      </w:r>
    </w:p>
    <w:p w14:paraId="337C5E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0" w:name="n1990"/>
      <w:bookmarkEnd w:id="3130"/>
      <w:r w:rsidRPr="008B264B">
        <w:rPr>
          <w:rFonts w:ascii="Times New Roman" w:eastAsia="Times New Roman" w:hAnsi="Times New Roman" w:cs="Times New Roman"/>
          <w:color w:val="000000"/>
          <w:sz w:val="24"/>
          <w:szCs w:val="24"/>
          <w:lang/>
        </w:rPr>
        <w:t>87.8. Додатково до джерел, визначених у </w:t>
      </w:r>
      <w:hyperlink r:id="rId1768" w:anchor="n1971" w:history="1">
        <w:r w:rsidRPr="008B264B">
          <w:rPr>
            <w:rFonts w:ascii="Times New Roman" w:eastAsia="Times New Roman" w:hAnsi="Times New Roman" w:cs="Times New Roman"/>
            <w:color w:val="0000FF"/>
            <w:sz w:val="24"/>
            <w:szCs w:val="24"/>
            <w:u w:val="single"/>
            <w:lang/>
          </w:rPr>
          <w:t>пункті 87.1</w:t>
        </w:r>
      </w:hyperlink>
      <w:r w:rsidRPr="008B264B">
        <w:rPr>
          <w:rFonts w:ascii="Times New Roman" w:eastAsia="Times New Roman" w:hAnsi="Times New Roman" w:cs="Times New Roman"/>
          <w:color w:val="000000"/>
          <w:sz w:val="24"/>
          <w:szCs w:val="24"/>
          <w:lang/>
        </w:rPr>
        <w:t> цієї статті, джерелом погашення податкового боргу банків, небанківських фінансових установ, у тому числі страхових організацій, можуть бути кошти, незалежно від джерел їх походження та без застосування обмежень, визначених у </w:t>
      </w:r>
      <w:hyperlink r:id="rId1769" w:anchor="n1978" w:history="1">
        <w:r w:rsidRPr="008B264B">
          <w:rPr>
            <w:rFonts w:ascii="Times New Roman" w:eastAsia="Times New Roman" w:hAnsi="Times New Roman" w:cs="Times New Roman"/>
            <w:color w:val="0000FF"/>
            <w:sz w:val="24"/>
            <w:szCs w:val="24"/>
            <w:u w:val="single"/>
            <w:lang/>
          </w:rPr>
          <w:t>підпунктах 87.3.4</w:t>
        </w:r>
      </w:hyperlink>
      <w:r w:rsidRPr="008B264B">
        <w:rPr>
          <w:rFonts w:ascii="Times New Roman" w:eastAsia="Times New Roman" w:hAnsi="Times New Roman" w:cs="Times New Roman"/>
          <w:color w:val="000000"/>
          <w:sz w:val="24"/>
          <w:szCs w:val="24"/>
          <w:lang/>
        </w:rPr>
        <w:t> та </w:t>
      </w:r>
      <w:hyperlink r:id="rId1770" w:anchor="n1983" w:history="1">
        <w:r w:rsidRPr="008B264B">
          <w:rPr>
            <w:rFonts w:ascii="Times New Roman" w:eastAsia="Times New Roman" w:hAnsi="Times New Roman" w:cs="Times New Roman"/>
            <w:color w:val="0000FF"/>
            <w:sz w:val="24"/>
            <w:szCs w:val="24"/>
            <w:u w:val="single"/>
            <w:lang/>
          </w:rPr>
          <w:t>87.3.8</w:t>
        </w:r>
      </w:hyperlink>
      <w:r w:rsidRPr="008B264B">
        <w:rPr>
          <w:rFonts w:ascii="Times New Roman" w:eastAsia="Times New Roman" w:hAnsi="Times New Roman" w:cs="Times New Roman"/>
          <w:color w:val="000000"/>
          <w:sz w:val="24"/>
          <w:szCs w:val="24"/>
          <w:lang/>
        </w:rPr>
        <w:t> пункту 87.3 цієї статті, у сумі, яка не перевищує суму їх власного капіталу (без урахування страхових та прирівняних до них обов'язкових резервів, сформованих відповідно до закону). Визначення розміру власного капіталу здійснюється відповідно до законодавства України.</w:t>
      </w:r>
    </w:p>
    <w:p w14:paraId="4537B8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1" w:name="n1991"/>
      <w:bookmarkEnd w:id="3131"/>
      <w:r w:rsidRPr="008B264B">
        <w:rPr>
          <w:rFonts w:ascii="Times New Roman" w:eastAsia="Times New Roman" w:hAnsi="Times New Roman" w:cs="Times New Roman"/>
          <w:color w:val="000000"/>
          <w:sz w:val="24"/>
          <w:szCs w:val="24"/>
          <w:lang/>
        </w:rPr>
        <w:t>87.9. У разі наявності у платника податків податкового боргу контролюючі органи зобов'язані зарахувати кошти, що сплачує такий платник податків, в рахунок погашення податкового боргу згідно з черговістю його виникнення незалежно від напряму сплати, визначеного платником податків. У такому ж порядку відбувається зарахування коштів, що надійдуть у рахунок погашення податкового боргу платника податків відповідно до </w:t>
      </w:r>
      <w:hyperlink r:id="rId1771" w:anchor="n2123" w:history="1">
        <w:r w:rsidRPr="008B264B">
          <w:rPr>
            <w:rFonts w:ascii="Times New Roman" w:eastAsia="Times New Roman" w:hAnsi="Times New Roman" w:cs="Times New Roman"/>
            <w:color w:val="0000FF"/>
            <w:sz w:val="24"/>
            <w:szCs w:val="24"/>
            <w:u w:val="single"/>
            <w:lang/>
          </w:rPr>
          <w:t>статті 95</w:t>
        </w:r>
      </w:hyperlink>
      <w:r w:rsidRPr="008B264B">
        <w:rPr>
          <w:rFonts w:ascii="Times New Roman" w:eastAsia="Times New Roman" w:hAnsi="Times New Roman" w:cs="Times New Roman"/>
          <w:color w:val="000000"/>
          <w:sz w:val="24"/>
          <w:szCs w:val="24"/>
          <w:lang/>
        </w:rPr>
        <w:t> цього Кодексу або за рішенням суду у випадках, передбачених законом.</w:t>
      </w:r>
    </w:p>
    <w:p w14:paraId="05BB5E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2" w:name="n1992"/>
      <w:bookmarkEnd w:id="3132"/>
      <w:r w:rsidRPr="008B264B">
        <w:rPr>
          <w:rFonts w:ascii="Times New Roman" w:eastAsia="Times New Roman" w:hAnsi="Times New Roman" w:cs="Times New Roman"/>
          <w:i/>
          <w:iCs/>
          <w:color w:val="000000"/>
          <w:sz w:val="24"/>
          <w:szCs w:val="24"/>
          <w:lang/>
        </w:rPr>
        <w:t>{Абзац перший пункту 87.9 статті 87 із змінами, внесеними згідно із Законом </w:t>
      </w:r>
      <w:hyperlink r:id="rId1772" w:anchor="n10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02951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3" w:name="n1993"/>
      <w:bookmarkEnd w:id="3133"/>
      <w:r w:rsidRPr="008B264B">
        <w:rPr>
          <w:rFonts w:ascii="Times New Roman" w:eastAsia="Times New Roman" w:hAnsi="Times New Roman" w:cs="Times New Roman"/>
          <w:color w:val="000000"/>
          <w:sz w:val="24"/>
          <w:szCs w:val="24"/>
          <w:lang/>
        </w:rPr>
        <w:t>Спрямування коштів платником податків на погашення грошового зобов'язання перед погашенням податкового боргу забороняється, крім випадків спрямування цих коштів на виплату заробітної плати та єдиного внеску на загальнообов'язкове державне соціальне страхування.</w:t>
      </w:r>
    </w:p>
    <w:p w14:paraId="4C1DED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4" w:name="n1994"/>
      <w:bookmarkEnd w:id="3134"/>
      <w:r w:rsidRPr="008B264B">
        <w:rPr>
          <w:rFonts w:ascii="Times New Roman" w:eastAsia="Times New Roman" w:hAnsi="Times New Roman" w:cs="Times New Roman"/>
          <w:color w:val="000000"/>
          <w:sz w:val="24"/>
          <w:szCs w:val="24"/>
          <w:lang/>
        </w:rPr>
        <w:t>87.10. З моменту винесення судом ухвали про порушення провадження у справі про банкрутство платника податків порядок погашення грошових зобов'язань, які включені до конкурсних кредиторських вимог контролюючих органів до такого боржника, визначається згідно із </w:t>
      </w:r>
      <w:hyperlink r:id="rId1773" w:anchor="n3" w:tgtFrame="_blank" w:history="1">
        <w:r w:rsidRPr="008B264B">
          <w:rPr>
            <w:rFonts w:ascii="Times New Roman" w:eastAsia="Times New Roman" w:hAnsi="Times New Roman" w:cs="Times New Roman"/>
            <w:color w:val="0000FF"/>
            <w:sz w:val="24"/>
            <w:szCs w:val="24"/>
            <w:u w:val="single"/>
            <w:lang/>
          </w:rPr>
          <w:t>Законом України "Про відновлення платоспроможності боржника або визнання його банкрутом"</w:t>
        </w:r>
      </w:hyperlink>
      <w:r w:rsidRPr="008B264B">
        <w:rPr>
          <w:rFonts w:ascii="Times New Roman" w:eastAsia="Times New Roman" w:hAnsi="Times New Roman" w:cs="Times New Roman"/>
          <w:color w:val="000000"/>
          <w:sz w:val="24"/>
          <w:szCs w:val="24"/>
          <w:lang/>
        </w:rPr>
        <w:t> без застосування норм цього Кодексу.</w:t>
      </w:r>
    </w:p>
    <w:p w14:paraId="3332A9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5" w:name="n1995"/>
      <w:bookmarkEnd w:id="3135"/>
      <w:r w:rsidRPr="008B264B">
        <w:rPr>
          <w:rFonts w:ascii="Times New Roman" w:eastAsia="Times New Roman" w:hAnsi="Times New Roman" w:cs="Times New Roman"/>
          <w:color w:val="000000"/>
          <w:sz w:val="24"/>
          <w:szCs w:val="24"/>
          <w:lang/>
        </w:rPr>
        <w:t>87.11. Орган стягнення звертається до суду з позовом про стягнення суми податкового боргу платника податку - фізичної особи. Стягнення податкового боргу за рішенням суду здійснюється державною виконавчою службою відповідно до закону про виконавче провадження.</w:t>
      </w:r>
    </w:p>
    <w:p w14:paraId="398B9B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6" w:name="n1996"/>
      <w:bookmarkEnd w:id="3136"/>
      <w:r w:rsidRPr="008B264B">
        <w:rPr>
          <w:rFonts w:ascii="Times New Roman" w:eastAsia="Times New Roman" w:hAnsi="Times New Roman" w:cs="Times New Roman"/>
          <w:color w:val="000000"/>
          <w:sz w:val="24"/>
          <w:szCs w:val="24"/>
          <w:lang/>
        </w:rPr>
        <w:t>87.12. У разі якщо податковий борг виник за операціями, що виконувалися в межах договорів про спільну діяльність, джерелом погашення такого податкового боргу є майно платників податків, що є учасниками такого договору.</w:t>
      </w:r>
    </w:p>
    <w:p w14:paraId="3BCD16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7" w:name="n1997"/>
      <w:bookmarkEnd w:id="3137"/>
      <w:r w:rsidRPr="008B264B">
        <w:rPr>
          <w:rFonts w:ascii="Times New Roman" w:eastAsia="Times New Roman" w:hAnsi="Times New Roman" w:cs="Times New Roman"/>
          <w:b/>
          <w:bCs/>
          <w:color w:val="000000"/>
          <w:sz w:val="24"/>
          <w:szCs w:val="24"/>
          <w:lang/>
        </w:rPr>
        <w:lastRenderedPageBreak/>
        <w:t>Стаття 88.</w:t>
      </w:r>
      <w:r w:rsidRPr="008B264B">
        <w:rPr>
          <w:rFonts w:ascii="Times New Roman" w:eastAsia="Times New Roman" w:hAnsi="Times New Roman" w:cs="Times New Roman"/>
          <w:color w:val="000000"/>
          <w:sz w:val="24"/>
          <w:szCs w:val="24"/>
          <w:lang/>
        </w:rPr>
        <w:t> Зміст податкової застави</w:t>
      </w:r>
    </w:p>
    <w:p w14:paraId="45E69C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8" w:name="n1998"/>
      <w:bookmarkEnd w:id="3138"/>
      <w:r w:rsidRPr="008B264B">
        <w:rPr>
          <w:rFonts w:ascii="Times New Roman" w:eastAsia="Times New Roman" w:hAnsi="Times New Roman" w:cs="Times New Roman"/>
          <w:color w:val="000000"/>
          <w:sz w:val="24"/>
          <w:szCs w:val="24"/>
          <w:lang/>
        </w:rPr>
        <w:t>88.1. З метою забезпечення виконання платником податків своїх обов'язків, визначених цим Кодексом, майно платника податків, який має податковий борг, передається у податкову заставу.</w:t>
      </w:r>
    </w:p>
    <w:p w14:paraId="3B09EC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39" w:name="n1999"/>
      <w:bookmarkEnd w:id="3139"/>
      <w:r w:rsidRPr="008B264B">
        <w:rPr>
          <w:rFonts w:ascii="Times New Roman" w:eastAsia="Times New Roman" w:hAnsi="Times New Roman" w:cs="Times New Roman"/>
          <w:color w:val="000000"/>
          <w:sz w:val="24"/>
          <w:szCs w:val="24"/>
          <w:lang/>
        </w:rPr>
        <w:t>88.2. Право податкової застави виникає згідно з цим Кодексом та не потребує письмового оформлення.</w:t>
      </w:r>
    </w:p>
    <w:p w14:paraId="06C13F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0" w:name="n2000"/>
      <w:bookmarkEnd w:id="3140"/>
      <w:r w:rsidRPr="008B264B">
        <w:rPr>
          <w:rFonts w:ascii="Times New Roman" w:eastAsia="Times New Roman" w:hAnsi="Times New Roman" w:cs="Times New Roman"/>
          <w:color w:val="000000"/>
          <w:sz w:val="24"/>
          <w:szCs w:val="24"/>
          <w:lang/>
        </w:rPr>
        <w:t>88.3. У разі якщо податковий борг виник за операціями, що виконувалися в межах договорів про спільну діяльність, у податкову заставу передається майно платника податків, який згідно з умовами договору був відповідальним за перерахування податків до бюджету та/або майно, яке внесене у спільну діяльність та/або є результатом спільної діяльності платників податків. У разі недостатності майна такого платника податків у податкову заставу передається майно інших учасників договору про спільну діяльність у розмірах, пропорційних їх участі у такій спільній діяльності.</w:t>
      </w:r>
    </w:p>
    <w:p w14:paraId="3EB50E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1" w:name="n2001"/>
      <w:bookmarkEnd w:id="3141"/>
      <w:r w:rsidRPr="008B264B">
        <w:rPr>
          <w:rFonts w:ascii="Times New Roman" w:eastAsia="Times New Roman" w:hAnsi="Times New Roman" w:cs="Times New Roman"/>
          <w:b/>
          <w:bCs/>
          <w:color w:val="000000"/>
          <w:sz w:val="24"/>
          <w:szCs w:val="24"/>
          <w:lang/>
        </w:rPr>
        <w:t>Стаття 89.</w:t>
      </w:r>
      <w:r w:rsidRPr="008B264B">
        <w:rPr>
          <w:rFonts w:ascii="Times New Roman" w:eastAsia="Times New Roman" w:hAnsi="Times New Roman" w:cs="Times New Roman"/>
          <w:color w:val="000000"/>
          <w:sz w:val="24"/>
          <w:szCs w:val="24"/>
          <w:lang/>
        </w:rPr>
        <w:t> Виникнення права податкової застави</w:t>
      </w:r>
    </w:p>
    <w:p w14:paraId="42EA69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2" w:name="n2002"/>
      <w:bookmarkEnd w:id="3142"/>
      <w:r w:rsidRPr="008B264B">
        <w:rPr>
          <w:rFonts w:ascii="Times New Roman" w:eastAsia="Times New Roman" w:hAnsi="Times New Roman" w:cs="Times New Roman"/>
          <w:color w:val="000000"/>
          <w:sz w:val="24"/>
          <w:szCs w:val="24"/>
          <w:lang/>
        </w:rPr>
        <w:t>89.1. Право податкової застави виникає:</w:t>
      </w:r>
    </w:p>
    <w:p w14:paraId="35D6FD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3" w:name="n2003"/>
      <w:bookmarkEnd w:id="3143"/>
      <w:r w:rsidRPr="008B264B">
        <w:rPr>
          <w:rFonts w:ascii="Times New Roman" w:eastAsia="Times New Roman" w:hAnsi="Times New Roman" w:cs="Times New Roman"/>
          <w:color w:val="000000"/>
          <w:sz w:val="24"/>
          <w:szCs w:val="24"/>
          <w:lang/>
        </w:rPr>
        <w:t>89.1.1. у разі несплати у строки, встановлені цим Кодексом, суми грошового зобов’язання, самостійно визначеної платником податків у </w:t>
      </w:r>
      <w:hyperlink r:id="rId1774" w:anchor="n20" w:tgtFrame="_blank" w:history="1">
        <w:r w:rsidRPr="008B264B">
          <w:rPr>
            <w:rFonts w:ascii="Times New Roman" w:eastAsia="Times New Roman" w:hAnsi="Times New Roman" w:cs="Times New Roman"/>
            <w:color w:val="0000FF"/>
            <w:sz w:val="24"/>
            <w:szCs w:val="24"/>
            <w:u w:val="single"/>
            <w:lang/>
          </w:rPr>
          <w:t>податковій декларації</w:t>
        </w:r>
      </w:hyperlink>
      <w:r w:rsidRPr="008B264B">
        <w:rPr>
          <w:rFonts w:ascii="Times New Roman" w:eastAsia="Times New Roman" w:hAnsi="Times New Roman" w:cs="Times New Roman"/>
          <w:color w:val="000000"/>
          <w:sz w:val="24"/>
          <w:szCs w:val="24"/>
          <w:lang/>
        </w:rPr>
        <w:t>, - з дня, що настає за останнім днем зазначеного строку;</w:t>
      </w:r>
    </w:p>
    <w:p w14:paraId="13C9DB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4" w:name="n2004"/>
      <w:bookmarkEnd w:id="3144"/>
      <w:r w:rsidRPr="008B264B">
        <w:rPr>
          <w:rFonts w:ascii="Times New Roman" w:eastAsia="Times New Roman" w:hAnsi="Times New Roman" w:cs="Times New Roman"/>
          <w:color w:val="000000"/>
          <w:sz w:val="24"/>
          <w:szCs w:val="24"/>
          <w:lang/>
        </w:rPr>
        <w:t>89.1.2. у разі несплати у строки, встановлені цим Кодексом, суми грошового зобов’язання, самостійно визначеної контролюючим органом, - з дня виникнення податкового боргу;</w:t>
      </w:r>
    </w:p>
    <w:p w14:paraId="41FFF9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5" w:name="n13949"/>
      <w:bookmarkEnd w:id="3145"/>
      <w:r w:rsidRPr="008B264B">
        <w:rPr>
          <w:rFonts w:ascii="Times New Roman" w:eastAsia="Times New Roman" w:hAnsi="Times New Roman" w:cs="Times New Roman"/>
          <w:color w:val="000000"/>
          <w:sz w:val="24"/>
          <w:szCs w:val="24"/>
          <w:lang/>
        </w:rPr>
        <w:t>89.1.3. у випадку, визначеному в </w:t>
      </w:r>
      <w:hyperlink r:id="rId1775" w:anchor="n2262" w:history="1">
        <w:r w:rsidRPr="008B264B">
          <w:rPr>
            <w:rFonts w:ascii="Times New Roman" w:eastAsia="Times New Roman" w:hAnsi="Times New Roman" w:cs="Times New Roman"/>
            <w:color w:val="0000FF"/>
            <w:sz w:val="24"/>
            <w:szCs w:val="24"/>
            <w:u w:val="single"/>
            <w:lang/>
          </w:rPr>
          <w:t>пункті 100.11</w:t>
        </w:r>
      </w:hyperlink>
      <w:r w:rsidRPr="008B264B">
        <w:rPr>
          <w:rFonts w:ascii="Times New Roman" w:eastAsia="Times New Roman" w:hAnsi="Times New Roman" w:cs="Times New Roman"/>
          <w:color w:val="000000"/>
          <w:sz w:val="24"/>
          <w:szCs w:val="24"/>
          <w:lang/>
        </w:rPr>
        <w:t> статті 100 цього Кодексу, - з дня укладання договору про розстрочення, відстрочення грошових зобов’язань.</w:t>
      </w:r>
    </w:p>
    <w:p w14:paraId="14208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6" w:name="n13948"/>
      <w:bookmarkEnd w:id="3146"/>
      <w:r w:rsidRPr="008B264B">
        <w:rPr>
          <w:rFonts w:ascii="Times New Roman" w:eastAsia="Times New Roman" w:hAnsi="Times New Roman" w:cs="Times New Roman"/>
          <w:i/>
          <w:iCs/>
          <w:color w:val="000000"/>
          <w:sz w:val="24"/>
          <w:szCs w:val="24"/>
          <w:lang/>
        </w:rPr>
        <w:t>{Пункт 89.1 статті 89 в редакції Закону </w:t>
      </w:r>
      <w:hyperlink r:id="rId1776" w:anchor="n7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6469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7" w:name="n2005"/>
      <w:bookmarkEnd w:id="3147"/>
      <w:r w:rsidRPr="008B264B">
        <w:rPr>
          <w:rFonts w:ascii="Times New Roman" w:eastAsia="Times New Roman" w:hAnsi="Times New Roman" w:cs="Times New Roman"/>
          <w:color w:val="000000"/>
          <w:sz w:val="24"/>
          <w:szCs w:val="24"/>
          <w:lang/>
        </w:rPr>
        <w:t>89.2. З урахуванням положень цієї статті право податкової застави поширюється на будь-яке майно платника податків, яке перебуває в його власності (господарському віданні або оперативному управлінні) у день виникнення такого права і балансова вартість якого відповідає сумі податкового боргу платника податків, крім випадків, передбачених </w:t>
      </w:r>
      <w:hyperlink r:id="rId1777" w:anchor="n2022" w:history="1">
        <w:r w:rsidRPr="008B264B">
          <w:rPr>
            <w:rFonts w:ascii="Times New Roman" w:eastAsia="Times New Roman" w:hAnsi="Times New Roman" w:cs="Times New Roman"/>
            <w:color w:val="0000FF"/>
            <w:sz w:val="24"/>
            <w:szCs w:val="24"/>
            <w:u w:val="single"/>
            <w:lang/>
          </w:rPr>
          <w:t>пунктом 89.5</w:t>
        </w:r>
      </w:hyperlink>
      <w:r w:rsidRPr="008B264B">
        <w:rPr>
          <w:rFonts w:ascii="Times New Roman" w:eastAsia="Times New Roman" w:hAnsi="Times New Roman" w:cs="Times New Roman"/>
          <w:color w:val="000000"/>
          <w:sz w:val="24"/>
          <w:szCs w:val="24"/>
          <w:lang/>
        </w:rPr>
        <w:t> цієї статті, а також на інше майно, на яке платник податків набуде прав власності у майбутньому.</w:t>
      </w:r>
    </w:p>
    <w:p w14:paraId="2D2C8D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8" w:name="n2006"/>
      <w:bookmarkEnd w:id="3148"/>
      <w:r w:rsidRPr="008B264B">
        <w:rPr>
          <w:rFonts w:ascii="Times New Roman" w:eastAsia="Times New Roman" w:hAnsi="Times New Roman" w:cs="Times New Roman"/>
          <w:color w:val="000000"/>
          <w:sz w:val="24"/>
          <w:szCs w:val="24"/>
          <w:lang/>
        </w:rPr>
        <w:t>У разі якщо балансова вартість майна, на яке поширюється податкова застава, є меншою ніж сума податкового боргу платника податків, право податкової застави поширюється на таке майно.</w:t>
      </w:r>
    </w:p>
    <w:p w14:paraId="2148D5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49" w:name="n2007"/>
      <w:bookmarkEnd w:id="3149"/>
      <w:r w:rsidRPr="008B264B">
        <w:rPr>
          <w:rFonts w:ascii="Times New Roman" w:eastAsia="Times New Roman" w:hAnsi="Times New Roman" w:cs="Times New Roman"/>
          <w:i/>
          <w:iCs/>
          <w:color w:val="000000"/>
          <w:sz w:val="24"/>
          <w:szCs w:val="24"/>
          <w:lang/>
        </w:rPr>
        <w:t>{Пункт 89.2 статті 89 доповнено новим абзацом згідно із Законом </w:t>
      </w:r>
      <w:hyperlink r:id="rId17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227FC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0" w:name="n2008"/>
      <w:bookmarkEnd w:id="3150"/>
      <w:r w:rsidRPr="008B264B">
        <w:rPr>
          <w:rFonts w:ascii="Times New Roman" w:eastAsia="Times New Roman" w:hAnsi="Times New Roman" w:cs="Times New Roman"/>
          <w:color w:val="000000"/>
          <w:sz w:val="24"/>
          <w:szCs w:val="24"/>
          <w:lang/>
        </w:rPr>
        <w:t>У разі якщо балансова вартість такого майна не визначена, його опис здійснюється за результатами оцінки, яка проводиться відповідно до </w:t>
      </w:r>
      <w:hyperlink r:id="rId1779" w:tgtFrame="_blank" w:history="1">
        <w:r w:rsidRPr="008B264B">
          <w:rPr>
            <w:rFonts w:ascii="Times New Roman" w:eastAsia="Times New Roman" w:hAnsi="Times New Roman" w:cs="Times New Roman"/>
            <w:color w:val="0000FF"/>
            <w:sz w:val="24"/>
            <w:szCs w:val="24"/>
            <w:u w:val="single"/>
            <w:lang/>
          </w:rPr>
          <w:t>Закону України "Про оцінку майна, майнових прав та професійну оціночну діяльність в Україні"</w:t>
        </w:r>
      </w:hyperlink>
      <w:r w:rsidRPr="008B264B">
        <w:rPr>
          <w:rFonts w:ascii="Times New Roman" w:eastAsia="Times New Roman" w:hAnsi="Times New Roman" w:cs="Times New Roman"/>
          <w:color w:val="000000"/>
          <w:sz w:val="24"/>
          <w:szCs w:val="24"/>
          <w:lang/>
        </w:rPr>
        <w:t>.</w:t>
      </w:r>
    </w:p>
    <w:p w14:paraId="5314D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1" w:name="n2009"/>
      <w:bookmarkEnd w:id="3151"/>
      <w:r w:rsidRPr="008B264B">
        <w:rPr>
          <w:rFonts w:ascii="Times New Roman" w:eastAsia="Times New Roman" w:hAnsi="Times New Roman" w:cs="Times New Roman"/>
          <w:color w:val="000000"/>
          <w:sz w:val="24"/>
          <w:szCs w:val="24"/>
          <w:lang/>
        </w:rPr>
        <w:t>У разі збільшення суми податкового боргу складається акт опису до суми, відповідної сумі податкового боргу платника податків, у порядку, передбаченому цією статтею.</w:t>
      </w:r>
    </w:p>
    <w:p w14:paraId="61B90E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2" w:name="n2010"/>
      <w:bookmarkEnd w:id="3152"/>
      <w:r w:rsidRPr="008B264B">
        <w:rPr>
          <w:rFonts w:ascii="Times New Roman" w:eastAsia="Times New Roman" w:hAnsi="Times New Roman" w:cs="Times New Roman"/>
          <w:color w:val="000000"/>
          <w:sz w:val="24"/>
          <w:szCs w:val="24"/>
          <w:lang/>
        </w:rPr>
        <w:t>Право податкової застави не поширюється на майно, визначене </w:t>
      </w:r>
      <w:hyperlink r:id="rId1780" w:anchor="n1982" w:history="1">
        <w:r w:rsidRPr="008B264B">
          <w:rPr>
            <w:rFonts w:ascii="Times New Roman" w:eastAsia="Times New Roman" w:hAnsi="Times New Roman" w:cs="Times New Roman"/>
            <w:color w:val="0000FF"/>
            <w:sz w:val="24"/>
            <w:szCs w:val="24"/>
            <w:u w:val="single"/>
            <w:lang/>
          </w:rPr>
          <w:t>підпунктом 87.3.7</w:t>
        </w:r>
      </w:hyperlink>
      <w:r w:rsidRPr="008B264B">
        <w:rPr>
          <w:rFonts w:ascii="Times New Roman" w:eastAsia="Times New Roman" w:hAnsi="Times New Roman" w:cs="Times New Roman"/>
          <w:color w:val="000000"/>
          <w:sz w:val="24"/>
          <w:szCs w:val="24"/>
          <w:lang/>
        </w:rPr>
        <w:t> пункту 87.3 статті 87 цього Кодексу, на іпотечні активи, що належать емітенту та є забезпеченням відповідного випуску іпотечних сертифікатів з фіксованою дохідністю, на грошові доходи від цих іпотечних активів до повного виконання емітентом зобов'язань за цим випуском іпотечних сертифікатів з фіксованою дохідністю, а також на склад іпотечного покриття та грошові доходи від нього до повного виконання емітентом зобов'язань за відповідним випуском звичайних іпотечних облігацій.</w:t>
      </w:r>
    </w:p>
    <w:p w14:paraId="137E9E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3" w:name="n2011"/>
      <w:bookmarkEnd w:id="3153"/>
      <w:r w:rsidRPr="008B264B">
        <w:rPr>
          <w:rFonts w:ascii="Times New Roman" w:eastAsia="Times New Roman" w:hAnsi="Times New Roman" w:cs="Times New Roman"/>
          <w:color w:val="000000"/>
          <w:sz w:val="24"/>
          <w:szCs w:val="24"/>
          <w:lang/>
        </w:rPr>
        <w:t>Право податкової застави не застосовується, якщо загальна сума податкового боргу платника податків не перевищує шістдесяти неоподатковуваних мінімумів доходів громадян.</w:t>
      </w:r>
    </w:p>
    <w:p w14:paraId="7B9BE6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4" w:name="n2012"/>
      <w:bookmarkEnd w:id="3154"/>
      <w:r w:rsidRPr="008B264B">
        <w:rPr>
          <w:rFonts w:ascii="Times New Roman" w:eastAsia="Times New Roman" w:hAnsi="Times New Roman" w:cs="Times New Roman"/>
          <w:i/>
          <w:iCs/>
          <w:color w:val="000000"/>
          <w:sz w:val="24"/>
          <w:szCs w:val="24"/>
          <w:lang/>
        </w:rPr>
        <w:lastRenderedPageBreak/>
        <w:t>{Пункт 89.2 статті 89 доповнено абзацом шостим згідно із Законом </w:t>
      </w:r>
      <w:hyperlink r:id="rId1781" w:anchor="n10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782" w:anchor="n7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D3F3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5" w:name="n2013"/>
      <w:bookmarkEnd w:id="3155"/>
      <w:r w:rsidRPr="008B264B">
        <w:rPr>
          <w:rFonts w:ascii="Times New Roman" w:eastAsia="Times New Roman" w:hAnsi="Times New Roman" w:cs="Times New Roman"/>
          <w:color w:val="000000"/>
          <w:sz w:val="24"/>
          <w:szCs w:val="24"/>
          <w:lang/>
        </w:rPr>
        <w:t>89.3. Майно, на яке поширюється право податкової застави, оформлюється актом опису.</w:t>
      </w:r>
    </w:p>
    <w:p w14:paraId="2C3FE3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6" w:name="n2014"/>
      <w:bookmarkEnd w:id="3156"/>
      <w:r w:rsidRPr="008B264B">
        <w:rPr>
          <w:rFonts w:ascii="Times New Roman" w:eastAsia="Times New Roman" w:hAnsi="Times New Roman" w:cs="Times New Roman"/>
          <w:color w:val="000000"/>
          <w:sz w:val="24"/>
          <w:szCs w:val="24"/>
          <w:lang/>
        </w:rPr>
        <w:t>До акта опису включається ліквідне майно, яке можливо використати як джерело погашення податкового боргу.</w:t>
      </w:r>
    </w:p>
    <w:p w14:paraId="29F6E5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7" w:name="n2015"/>
      <w:bookmarkEnd w:id="3157"/>
      <w:r w:rsidRPr="008B264B">
        <w:rPr>
          <w:rFonts w:ascii="Times New Roman" w:eastAsia="Times New Roman" w:hAnsi="Times New Roman" w:cs="Times New Roman"/>
          <w:color w:val="000000"/>
          <w:sz w:val="24"/>
          <w:szCs w:val="24"/>
          <w:lang/>
        </w:rPr>
        <w:t>Опис майна у податкову заставу здійснюється на підставі рішення керівника (його заступника або уповноваженої особи) контролюючого органу, яке пред'являється платнику податків, що має податковий борг.</w:t>
      </w:r>
    </w:p>
    <w:p w14:paraId="7FC8C5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8" w:name="n13950"/>
      <w:bookmarkEnd w:id="3158"/>
      <w:r w:rsidRPr="008B264B">
        <w:rPr>
          <w:rFonts w:ascii="Times New Roman" w:eastAsia="Times New Roman" w:hAnsi="Times New Roman" w:cs="Times New Roman"/>
          <w:i/>
          <w:iCs/>
          <w:color w:val="000000"/>
          <w:sz w:val="24"/>
          <w:szCs w:val="24"/>
          <w:lang/>
        </w:rPr>
        <w:t>{Абзац третій пункту 89.3 статті 89 із змінами, внесеними згідно із Законом </w:t>
      </w:r>
      <w:hyperlink r:id="rId1783" w:anchor="n7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57F2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59" w:name="n2016"/>
      <w:bookmarkEnd w:id="3159"/>
      <w:r w:rsidRPr="008B264B">
        <w:rPr>
          <w:rFonts w:ascii="Times New Roman" w:eastAsia="Times New Roman" w:hAnsi="Times New Roman" w:cs="Times New Roman"/>
          <w:color w:val="000000"/>
          <w:sz w:val="24"/>
          <w:szCs w:val="24"/>
          <w:lang/>
        </w:rPr>
        <w:t>Акт опису майна, на яке поширюється право податкової застави, складається податковим керуючим у порядку та за формою, що затверджені центральним органом виконавчої влади, що забезпечує формування та реалізує державну фінансову політику.</w:t>
      </w:r>
    </w:p>
    <w:p w14:paraId="4D0D73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0" w:name="n13429"/>
      <w:bookmarkEnd w:id="3160"/>
      <w:r w:rsidRPr="008B264B">
        <w:rPr>
          <w:rFonts w:ascii="Times New Roman" w:eastAsia="Times New Roman" w:hAnsi="Times New Roman" w:cs="Times New Roman"/>
          <w:i/>
          <w:iCs/>
          <w:color w:val="000000"/>
          <w:sz w:val="24"/>
          <w:szCs w:val="24"/>
          <w:lang/>
        </w:rPr>
        <w:t>{Абзац четвертий пункту 89.3 статті 89 із змінами, внесеними згідно із Законом </w:t>
      </w:r>
      <w:hyperlink r:id="rId178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08B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1" w:name="n2017"/>
      <w:bookmarkEnd w:id="3161"/>
      <w:r w:rsidRPr="008B264B">
        <w:rPr>
          <w:rFonts w:ascii="Times New Roman" w:eastAsia="Times New Roman" w:hAnsi="Times New Roman" w:cs="Times New Roman"/>
          <w:color w:val="000000"/>
          <w:sz w:val="24"/>
          <w:szCs w:val="24"/>
          <w:lang/>
        </w:rPr>
        <w:t>Відмова платника податків від підписання акта опису майна, на яке поширюється право податкової застави, не звільняє такого платника податків від поширення права податкової застави на описане майно. У такому випадку опис здійснюється у присутності не менш як двох понятих.</w:t>
      </w:r>
    </w:p>
    <w:p w14:paraId="224484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2" w:name="n2018"/>
      <w:bookmarkEnd w:id="3162"/>
      <w:r w:rsidRPr="008B264B">
        <w:rPr>
          <w:rFonts w:ascii="Times New Roman" w:eastAsia="Times New Roman" w:hAnsi="Times New Roman" w:cs="Times New Roman"/>
          <w:color w:val="000000"/>
          <w:sz w:val="24"/>
          <w:szCs w:val="24"/>
          <w:lang/>
        </w:rPr>
        <w:t>89.4. У разі якщо платник податків не допускає податкового керуючого для здійснення опису майна такого платника податків у податкову заставу та/або не подає документів, необхідних для такого опису, податковий керуючий складає акт відмови платника податків від опису майна у податкову заставу.</w:t>
      </w:r>
    </w:p>
    <w:p w14:paraId="39952E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3" w:name="n2019"/>
      <w:bookmarkEnd w:id="3163"/>
      <w:r w:rsidRPr="008B264B">
        <w:rPr>
          <w:rFonts w:ascii="Times New Roman" w:eastAsia="Times New Roman" w:hAnsi="Times New Roman" w:cs="Times New Roman"/>
          <w:color w:val="000000"/>
          <w:sz w:val="24"/>
          <w:szCs w:val="24"/>
          <w:lang/>
        </w:rPr>
        <w:t>Контролюючий орган звертається до суду щодо зупинення видаткових операцій на рахунках платника податків, заборону відчуження таким платником податків майна та зобов'язання такого платника податків допустити податкового керуючого для опису майна у податкову заставу.</w:t>
      </w:r>
    </w:p>
    <w:p w14:paraId="2B3085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4" w:name="n2020"/>
      <w:bookmarkEnd w:id="3164"/>
      <w:r w:rsidRPr="008B264B">
        <w:rPr>
          <w:rFonts w:ascii="Times New Roman" w:eastAsia="Times New Roman" w:hAnsi="Times New Roman" w:cs="Times New Roman"/>
          <w:color w:val="000000"/>
          <w:sz w:val="24"/>
          <w:szCs w:val="24"/>
          <w:lang/>
        </w:rPr>
        <w:t>Зупинення видаткових операцій на рахунках платника податків та заборона відчуження таким платником податків майна діють до дня складення акта опису майна платника податків у податкову заставу податковим керуючим або акта про відсутність майна, що може бути описано у податкову заставу, або погашення податкового боргу в повному обсязі. Податковий керуючий не пізніше робочого дня, що настає за днем складення цих актів, зобов'язаний надіслати банкам, іншим фінансовим установам, а також платнику податків рішення про складення актів, яке є підставою для поновлення видаткових операцій та скасування заборони на відчуження майна.</w:t>
      </w:r>
    </w:p>
    <w:p w14:paraId="7F72C7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5" w:name="n2021"/>
      <w:bookmarkEnd w:id="3165"/>
      <w:r w:rsidRPr="008B264B">
        <w:rPr>
          <w:rFonts w:ascii="Times New Roman" w:eastAsia="Times New Roman" w:hAnsi="Times New Roman" w:cs="Times New Roman"/>
          <w:i/>
          <w:iCs/>
          <w:color w:val="000000"/>
          <w:sz w:val="24"/>
          <w:szCs w:val="24"/>
          <w:lang/>
        </w:rPr>
        <w:t>{Абзац третій пункту 89.4 статті 89 із змінами, внесеними згідно із Законом </w:t>
      </w:r>
      <w:hyperlink r:id="rId1785" w:anchor="n11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15C48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6" w:name="n2022"/>
      <w:bookmarkEnd w:id="3166"/>
      <w:r w:rsidRPr="008B264B">
        <w:rPr>
          <w:rFonts w:ascii="Times New Roman" w:eastAsia="Times New Roman" w:hAnsi="Times New Roman" w:cs="Times New Roman"/>
          <w:color w:val="000000"/>
          <w:sz w:val="24"/>
          <w:szCs w:val="24"/>
          <w:lang/>
        </w:rPr>
        <w:t>89.5. У разі якщо на момент складення акта опису майно відсутнє або його балансова вартість менша від суми податкового боргу, право податкової застави поширюється на інше майно, на яке платник податків набуде право власності у майбутньому до погашення податкового боргу в повному обсязі.</w:t>
      </w:r>
    </w:p>
    <w:p w14:paraId="7C525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7" w:name="n2023"/>
      <w:bookmarkEnd w:id="3167"/>
      <w:r w:rsidRPr="008B264B">
        <w:rPr>
          <w:rFonts w:ascii="Times New Roman" w:eastAsia="Times New Roman" w:hAnsi="Times New Roman" w:cs="Times New Roman"/>
          <w:color w:val="000000"/>
          <w:sz w:val="24"/>
          <w:szCs w:val="24"/>
          <w:lang/>
        </w:rPr>
        <w:t>Платник податків зобов'язаний не пізніше робочого дня, наступного за днем набуття права власності на будь-яке майно, повідомити контролюючий орган про наявність такого майна. Контролюючий орган зобов'язаний протягом трьох робочих днів з дня отримання зазначеного повідомлення прийняти рішення щодо включення такого майна до акта опису майна, на яке поширюється право податкової застави та балансова вартість якого відповідає сумі податкового боргу платника податків, або відмовити платнику податків у включенні такого майна до акта опису.</w:t>
      </w:r>
    </w:p>
    <w:p w14:paraId="7D9CB3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8" w:name="n2024"/>
      <w:bookmarkEnd w:id="3168"/>
      <w:r w:rsidRPr="008B264B">
        <w:rPr>
          <w:rFonts w:ascii="Times New Roman" w:eastAsia="Times New Roman" w:hAnsi="Times New Roman" w:cs="Times New Roman"/>
          <w:color w:val="000000"/>
          <w:sz w:val="24"/>
          <w:szCs w:val="24"/>
          <w:lang/>
        </w:rPr>
        <w:lastRenderedPageBreak/>
        <w:t>У разі якщо контролюючий орган приймає рішення про включення майна до акта опису, складається відповідний акт опису, один примірник якого надсилається платнику податків у порядку, визначеному </w:t>
      </w:r>
      <w:hyperlink r:id="rId1786"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7F8F60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69" w:name="n13951"/>
      <w:bookmarkEnd w:id="3169"/>
      <w:r w:rsidRPr="008B264B">
        <w:rPr>
          <w:rFonts w:ascii="Times New Roman" w:eastAsia="Times New Roman" w:hAnsi="Times New Roman" w:cs="Times New Roman"/>
          <w:i/>
          <w:iCs/>
          <w:color w:val="000000"/>
          <w:sz w:val="24"/>
          <w:szCs w:val="24"/>
          <w:lang/>
        </w:rPr>
        <w:t>{Абзац третій пункту 89.5 статті 89 із змінами, внесеними згідно із Законом </w:t>
      </w:r>
      <w:hyperlink r:id="rId1787" w:anchor="n7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771F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0" w:name="n2025"/>
      <w:bookmarkEnd w:id="3170"/>
      <w:r w:rsidRPr="008B264B">
        <w:rPr>
          <w:rFonts w:ascii="Times New Roman" w:eastAsia="Times New Roman" w:hAnsi="Times New Roman" w:cs="Times New Roman"/>
          <w:color w:val="000000"/>
          <w:sz w:val="24"/>
          <w:szCs w:val="24"/>
          <w:lang/>
        </w:rPr>
        <w:t>До прийняття відповідного рішення контролюючим органом платник податків не має права відчужувати таке майно.</w:t>
      </w:r>
    </w:p>
    <w:p w14:paraId="070F49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1" w:name="n2026"/>
      <w:bookmarkEnd w:id="3171"/>
      <w:r w:rsidRPr="008B264B">
        <w:rPr>
          <w:rFonts w:ascii="Times New Roman" w:eastAsia="Times New Roman" w:hAnsi="Times New Roman" w:cs="Times New Roman"/>
          <w:color w:val="000000"/>
          <w:sz w:val="24"/>
          <w:szCs w:val="24"/>
          <w:lang/>
        </w:rPr>
        <w:t>У разі порушення платником податків вимог цього пункту він несе відповідальність згідно із законом.</w:t>
      </w:r>
    </w:p>
    <w:p w14:paraId="7087F9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2" w:name="n2027"/>
      <w:bookmarkEnd w:id="3172"/>
      <w:r w:rsidRPr="008B264B">
        <w:rPr>
          <w:rFonts w:ascii="Times New Roman" w:eastAsia="Times New Roman" w:hAnsi="Times New Roman" w:cs="Times New Roman"/>
          <w:color w:val="000000"/>
          <w:sz w:val="24"/>
          <w:szCs w:val="24"/>
          <w:lang/>
        </w:rPr>
        <w:t>89.6. Якщо майно платника податків є неподільним і його балансова вартість більша від суми податкового боргу, таке майно підлягає опису у податкову заставу у повному обсязі.</w:t>
      </w:r>
    </w:p>
    <w:p w14:paraId="2B78D2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3" w:name="n2028"/>
      <w:bookmarkEnd w:id="3173"/>
      <w:r w:rsidRPr="008B264B">
        <w:rPr>
          <w:rFonts w:ascii="Times New Roman" w:eastAsia="Times New Roman" w:hAnsi="Times New Roman" w:cs="Times New Roman"/>
          <w:color w:val="000000"/>
          <w:sz w:val="24"/>
          <w:szCs w:val="24"/>
          <w:lang/>
        </w:rPr>
        <w:t>89.7. Заміна предмета застави може здійснюватися тільки за згодою контролюючого органу.</w:t>
      </w:r>
    </w:p>
    <w:p w14:paraId="55285F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4" w:name="n2029"/>
      <w:bookmarkEnd w:id="3174"/>
      <w:r w:rsidRPr="008B264B">
        <w:rPr>
          <w:rFonts w:ascii="Times New Roman" w:eastAsia="Times New Roman" w:hAnsi="Times New Roman" w:cs="Times New Roman"/>
          <w:color w:val="000000"/>
          <w:sz w:val="24"/>
          <w:szCs w:val="24"/>
          <w:lang/>
        </w:rPr>
        <w:t>89.8. Контролюючий орган зобов'язаний безоплатно зареєструвати податкову заставу у відповідному державному реєстрі.</w:t>
      </w:r>
    </w:p>
    <w:p w14:paraId="08DC5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5" w:name="n2030"/>
      <w:bookmarkEnd w:id="3175"/>
      <w:r w:rsidRPr="008B264B">
        <w:rPr>
          <w:rFonts w:ascii="Times New Roman" w:eastAsia="Times New Roman" w:hAnsi="Times New Roman" w:cs="Times New Roman"/>
          <w:b/>
          <w:bCs/>
          <w:color w:val="000000"/>
          <w:sz w:val="24"/>
          <w:szCs w:val="24"/>
          <w:lang/>
        </w:rPr>
        <w:t>Стаття 90.</w:t>
      </w:r>
      <w:r w:rsidRPr="008B264B">
        <w:rPr>
          <w:rFonts w:ascii="Times New Roman" w:eastAsia="Times New Roman" w:hAnsi="Times New Roman" w:cs="Times New Roman"/>
          <w:color w:val="000000"/>
          <w:sz w:val="24"/>
          <w:szCs w:val="24"/>
          <w:lang/>
        </w:rPr>
        <w:t> Податковий пріоритет</w:t>
      </w:r>
    </w:p>
    <w:p w14:paraId="090617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6" w:name="n2031"/>
      <w:bookmarkEnd w:id="3176"/>
      <w:r w:rsidRPr="008B264B">
        <w:rPr>
          <w:rFonts w:ascii="Times New Roman" w:eastAsia="Times New Roman" w:hAnsi="Times New Roman" w:cs="Times New Roman"/>
          <w:color w:val="000000"/>
          <w:sz w:val="24"/>
          <w:szCs w:val="24"/>
          <w:lang/>
        </w:rPr>
        <w:t>90.1. Пріоритет податкової застави щодо пріоритету інших обтяжень (включаючи інші застави) встановлюється відповідно до закону.</w:t>
      </w:r>
    </w:p>
    <w:p w14:paraId="49CACC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7" w:name="n2032"/>
      <w:bookmarkEnd w:id="3177"/>
      <w:r w:rsidRPr="008B264B">
        <w:rPr>
          <w:rFonts w:ascii="Times New Roman" w:eastAsia="Times New Roman" w:hAnsi="Times New Roman" w:cs="Times New Roman"/>
          <w:b/>
          <w:bCs/>
          <w:color w:val="000000"/>
          <w:sz w:val="24"/>
          <w:szCs w:val="24"/>
          <w:lang/>
        </w:rPr>
        <w:t>Стаття 91.</w:t>
      </w:r>
      <w:r w:rsidRPr="008B264B">
        <w:rPr>
          <w:rFonts w:ascii="Times New Roman" w:eastAsia="Times New Roman" w:hAnsi="Times New Roman" w:cs="Times New Roman"/>
          <w:color w:val="000000"/>
          <w:sz w:val="24"/>
          <w:szCs w:val="24"/>
          <w:lang/>
        </w:rPr>
        <w:t> Податковий керуючий</w:t>
      </w:r>
    </w:p>
    <w:p w14:paraId="04073A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8" w:name="n2033"/>
      <w:bookmarkEnd w:id="3178"/>
      <w:r w:rsidRPr="008B264B">
        <w:rPr>
          <w:rFonts w:ascii="Times New Roman" w:eastAsia="Times New Roman" w:hAnsi="Times New Roman" w:cs="Times New Roman"/>
          <w:color w:val="000000"/>
          <w:sz w:val="24"/>
          <w:szCs w:val="24"/>
          <w:lang/>
        </w:rPr>
        <w:t>91.1. У разі наявності у платника податків податкового боргу керівник (його заступник або уповноважена особа) контролюючого органу за місцем реєстрації платника податків, що має податковий борг, призначає такому платнику податкового керуючого. Податковий керуючий повинен бути посадовою (службовою) особою контролюючого органу. Податковий керуючий має права та обов’язки, визначені цим Кодексом.</w:t>
      </w:r>
    </w:p>
    <w:p w14:paraId="2467B8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79" w:name="n13952"/>
      <w:bookmarkEnd w:id="3179"/>
      <w:r w:rsidRPr="008B264B">
        <w:rPr>
          <w:rFonts w:ascii="Times New Roman" w:eastAsia="Times New Roman" w:hAnsi="Times New Roman" w:cs="Times New Roman"/>
          <w:i/>
          <w:iCs/>
          <w:color w:val="000000"/>
          <w:sz w:val="24"/>
          <w:szCs w:val="24"/>
          <w:lang/>
        </w:rPr>
        <w:t>{Пункт 91.1 статті 91 в редакції Закону </w:t>
      </w:r>
      <w:hyperlink r:id="rId1788" w:anchor="n7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225F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0" w:name="n2034"/>
      <w:bookmarkEnd w:id="3180"/>
      <w:r w:rsidRPr="008B264B">
        <w:rPr>
          <w:rFonts w:ascii="Times New Roman" w:eastAsia="Times New Roman" w:hAnsi="Times New Roman" w:cs="Times New Roman"/>
          <w:color w:val="000000"/>
          <w:sz w:val="24"/>
          <w:szCs w:val="24"/>
          <w:lang/>
        </w:rPr>
        <w:t>91.2. </w:t>
      </w:r>
      <w:hyperlink r:id="rId1789" w:anchor="n16" w:tgtFrame="_blank" w:history="1">
        <w:r w:rsidRPr="008B264B">
          <w:rPr>
            <w:rFonts w:ascii="Times New Roman" w:eastAsia="Times New Roman" w:hAnsi="Times New Roman" w:cs="Times New Roman"/>
            <w:color w:val="0000FF"/>
            <w:sz w:val="24"/>
            <w:szCs w:val="24"/>
            <w:u w:val="single"/>
            <w:lang/>
          </w:rPr>
          <w:t>Порядок призначення та звільнення, а також функції та повноваження податкового керуючого</w:t>
        </w:r>
      </w:hyperlink>
      <w:r w:rsidRPr="008B264B">
        <w:rPr>
          <w:rFonts w:ascii="Times New Roman" w:eastAsia="Times New Roman" w:hAnsi="Times New Roman" w:cs="Times New Roman"/>
          <w:color w:val="000000"/>
          <w:sz w:val="24"/>
          <w:szCs w:val="24"/>
          <w:lang/>
        </w:rPr>
        <w:t> визначає центральний орган виконавчої влади, що забезпечує формування та реалізує державну фінансову політику.</w:t>
      </w:r>
    </w:p>
    <w:p w14:paraId="53BDB8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1" w:name="n13430"/>
      <w:bookmarkEnd w:id="3181"/>
      <w:r w:rsidRPr="008B264B">
        <w:rPr>
          <w:rFonts w:ascii="Times New Roman" w:eastAsia="Times New Roman" w:hAnsi="Times New Roman" w:cs="Times New Roman"/>
          <w:i/>
          <w:iCs/>
          <w:color w:val="000000"/>
          <w:sz w:val="24"/>
          <w:szCs w:val="24"/>
          <w:lang/>
        </w:rPr>
        <w:t>{Пункт 91.2 статті 91 із змінами, внесеними згідно із Законом </w:t>
      </w:r>
      <w:hyperlink r:id="rId1790"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4AD8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2" w:name="n2035"/>
      <w:bookmarkEnd w:id="3182"/>
      <w:r w:rsidRPr="008B264B">
        <w:rPr>
          <w:rFonts w:ascii="Times New Roman" w:eastAsia="Times New Roman" w:hAnsi="Times New Roman" w:cs="Times New Roman"/>
          <w:color w:val="000000"/>
          <w:sz w:val="24"/>
          <w:szCs w:val="24"/>
          <w:lang/>
        </w:rPr>
        <w:t>91.3. Податковий керуючий описує майно платника податків, що має податковий борг, в податкову заставу, здійснює перевірку стану збереження майна, яке перебуває у податковій заставі, проводить опис майна, на яке поширюється право податкової застави, для його продажу у випадках, передбачених цим Кодексом, одержує від боржника інформацію про операції із заставленим майном, а в разі його відчуження без згоди контролюючого органу (за умови, коли наявність такої згоди має бути обов'язковою згідно з вимогами цього Кодексу) вимагає пояснення від платника податків або його службових (посадових) осіб. У разі продажу в рахунок погашення податкового боргу майна платника податків, на яке поширюється право податкової застави, податковий керуючий має право отримувати від такого платника податків документи, що засвідчують право власності на зазначене майно.</w:t>
      </w:r>
    </w:p>
    <w:p w14:paraId="4251A1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3" w:name="n13954"/>
      <w:bookmarkEnd w:id="3183"/>
      <w:r w:rsidRPr="008B264B">
        <w:rPr>
          <w:rFonts w:ascii="Times New Roman" w:eastAsia="Times New Roman" w:hAnsi="Times New Roman" w:cs="Times New Roman"/>
          <w:color w:val="000000"/>
          <w:sz w:val="24"/>
          <w:szCs w:val="24"/>
          <w:lang/>
        </w:rPr>
        <w:t>У разі відмови платника податків від підписання акта опису майна, на яке поширюється право податкової застави, податковий керуючий має право залучати до опису майна платника податків не менш як двох понятих.</w:t>
      </w:r>
    </w:p>
    <w:p w14:paraId="509AA6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4" w:name="n13953"/>
      <w:bookmarkEnd w:id="3184"/>
      <w:r w:rsidRPr="008B264B">
        <w:rPr>
          <w:rFonts w:ascii="Times New Roman" w:eastAsia="Times New Roman" w:hAnsi="Times New Roman" w:cs="Times New Roman"/>
          <w:i/>
          <w:iCs/>
          <w:color w:val="000000"/>
          <w:sz w:val="24"/>
          <w:szCs w:val="24"/>
          <w:lang/>
        </w:rPr>
        <w:t>{Пункт 91.3 статті 91 доповнено абзацом другим згідно із Законом </w:t>
      </w:r>
      <w:hyperlink r:id="rId1791" w:anchor="n7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7FA7D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5" w:name="n2036"/>
      <w:bookmarkEnd w:id="3185"/>
      <w:r w:rsidRPr="008B264B">
        <w:rPr>
          <w:rFonts w:ascii="Times New Roman" w:eastAsia="Times New Roman" w:hAnsi="Times New Roman" w:cs="Times New Roman"/>
          <w:color w:val="000000"/>
          <w:sz w:val="24"/>
          <w:szCs w:val="24"/>
          <w:lang/>
        </w:rPr>
        <w:t xml:space="preserve">91.4. У разі якщо платник податків, що має податковий борг, перешкоджає виконанню податковим керуючим повноважень, визначених цим Кодексом, такий податковий керуючий </w:t>
      </w:r>
      <w:r w:rsidRPr="008B264B">
        <w:rPr>
          <w:rFonts w:ascii="Times New Roman" w:eastAsia="Times New Roman" w:hAnsi="Times New Roman" w:cs="Times New Roman"/>
          <w:color w:val="000000"/>
          <w:sz w:val="24"/>
          <w:szCs w:val="24"/>
          <w:lang/>
        </w:rPr>
        <w:lastRenderedPageBreak/>
        <w:t>складає акт про перешкоджання платником податків виконанню таких повноважень у порядку та за формою, що встановлюються центральним органом виконавчої влади, що забезпечує формування та реалізує державну фінансову політику.</w:t>
      </w:r>
    </w:p>
    <w:p w14:paraId="3FBD66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6" w:name="n13431"/>
      <w:bookmarkEnd w:id="3186"/>
      <w:r w:rsidRPr="008B264B">
        <w:rPr>
          <w:rFonts w:ascii="Times New Roman" w:eastAsia="Times New Roman" w:hAnsi="Times New Roman" w:cs="Times New Roman"/>
          <w:i/>
          <w:iCs/>
          <w:color w:val="000000"/>
          <w:sz w:val="24"/>
          <w:szCs w:val="24"/>
          <w:lang/>
        </w:rPr>
        <w:t>{Абзац перший пункту 91.4 статті 91 із змінами, внесеними згідно із Законом </w:t>
      </w:r>
      <w:hyperlink r:id="rId179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003DD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7" w:name="n2037"/>
      <w:bookmarkEnd w:id="3187"/>
      <w:r w:rsidRPr="008B264B">
        <w:rPr>
          <w:rFonts w:ascii="Times New Roman" w:eastAsia="Times New Roman" w:hAnsi="Times New Roman" w:cs="Times New Roman"/>
          <w:color w:val="000000"/>
          <w:sz w:val="24"/>
          <w:szCs w:val="24"/>
          <w:lang/>
        </w:rPr>
        <w:t>Контролюючий орган звертається до суду щодо зупинення видаткових операцій на рахунках платника податків та зобов'язання такого платника податків виконати законні вимоги податкового керуючого, передбачені цим Кодексом. Строк, на який можуть бути зупинені видаткові операції, визначається судом, але не більше двох місяців.</w:t>
      </w:r>
    </w:p>
    <w:p w14:paraId="0F6684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8" w:name="n2038"/>
      <w:bookmarkEnd w:id="3188"/>
      <w:r w:rsidRPr="008B264B">
        <w:rPr>
          <w:rFonts w:ascii="Times New Roman" w:eastAsia="Times New Roman" w:hAnsi="Times New Roman" w:cs="Times New Roman"/>
          <w:color w:val="000000"/>
          <w:sz w:val="24"/>
          <w:szCs w:val="24"/>
          <w:lang/>
        </w:rPr>
        <w:t>Зупинення видаткових операцій на рахунках платника податків може бути достроково скасовано за рішенням податкового керуючого або суду.</w:t>
      </w:r>
    </w:p>
    <w:p w14:paraId="6AF8D8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89" w:name="n2039"/>
      <w:bookmarkEnd w:id="3189"/>
      <w:r w:rsidRPr="008B264B">
        <w:rPr>
          <w:rFonts w:ascii="Times New Roman" w:eastAsia="Times New Roman" w:hAnsi="Times New Roman" w:cs="Times New Roman"/>
          <w:b/>
          <w:bCs/>
          <w:color w:val="000000"/>
          <w:sz w:val="24"/>
          <w:szCs w:val="24"/>
          <w:lang/>
        </w:rPr>
        <w:t>Стаття 92.</w:t>
      </w:r>
      <w:r w:rsidRPr="008B264B">
        <w:rPr>
          <w:rFonts w:ascii="Times New Roman" w:eastAsia="Times New Roman" w:hAnsi="Times New Roman" w:cs="Times New Roman"/>
          <w:color w:val="000000"/>
          <w:sz w:val="24"/>
          <w:szCs w:val="24"/>
          <w:lang/>
        </w:rPr>
        <w:t> Узгодження операцій із заставленим майном</w:t>
      </w:r>
    </w:p>
    <w:p w14:paraId="678F57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0" w:name="n2040"/>
      <w:bookmarkEnd w:id="3190"/>
      <w:r w:rsidRPr="008B264B">
        <w:rPr>
          <w:rFonts w:ascii="Times New Roman" w:eastAsia="Times New Roman" w:hAnsi="Times New Roman" w:cs="Times New Roman"/>
          <w:color w:val="000000"/>
          <w:sz w:val="24"/>
          <w:szCs w:val="24"/>
          <w:lang/>
        </w:rPr>
        <w:t>92.1. Платник податків зберігає право користування майном, що перебуває у податковій заставі, якщо інше не передбачено законом.</w:t>
      </w:r>
    </w:p>
    <w:p w14:paraId="012BB6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1" w:name="n2041"/>
      <w:bookmarkEnd w:id="3191"/>
      <w:r w:rsidRPr="008B264B">
        <w:rPr>
          <w:rFonts w:ascii="Times New Roman" w:eastAsia="Times New Roman" w:hAnsi="Times New Roman" w:cs="Times New Roman"/>
          <w:color w:val="000000"/>
          <w:sz w:val="24"/>
          <w:szCs w:val="24"/>
          <w:lang/>
        </w:rPr>
        <w:t>Платник податків може відчужувати майно, що перебуває у податковій заставі, тільки за згодою контролюючого органу, а також у разі, якщо контролюючий орган впродовж десяти днів з моменту отримання від платника податків відповідного звернення не надав такому платнику податків відповіді щодо надання (ненадання) згоди.</w:t>
      </w:r>
    </w:p>
    <w:p w14:paraId="04F78E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2" w:name="n2042"/>
      <w:bookmarkEnd w:id="3192"/>
      <w:r w:rsidRPr="008B264B">
        <w:rPr>
          <w:rFonts w:ascii="Times New Roman" w:eastAsia="Times New Roman" w:hAnsi="Times New Roman" w:cs="Times New Roman"/>
          <w:color w:val="000000"/>
          <w:sz w:val="24"/>
          <w:szCs w:val="24"/>
          <w:lang/>
        </w:rPr>
        <w:t>У разі якщо в податковій заставі перебуває лише готова продукція, товари та товарні запаси, платник податків може відчужувати таке майно без згоди контролюючого органу за кошти за цінами, що не є меншими за звичайні, та за умови, що кошти від такого відчуження будуть направлені в повному обсязі в рахунок виплати заробітної плати, єдиного внеску на загальнообов'язкове державне соціальне страхування та/або погашення податкового боргу.</w:t>
      </w:r>
    </w:p>
    <w:p w14:paraId="280F40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3" w:name="n2043"/>
      <w:bookmarkEnd w:id="3193"/>
      <w:r w:rsidRPr="008B264B">
        <w:rPr>
          <w:rFonts w:ascii="Times New Roman" w:eastAsia="Times New Roman" w:hAnsi="Times New Roman" w:cs="Times New Roman"/>
          <w:color w:val="000000"/>
          <w:sz w:val="24"/>
          <w:szCs w:val="24"/>
          <w:lang/>
        </w:rPr>
        <w:t>92.2. У разі відчуження або оренди (лізингу) майна, яке перебуває у податковій заставі, платник податків за згодою контролюючого органу зобов'язаний замінити його іншим майном такої самої або більшої вартості. Зменшення вартості заміненого майна допускається тільки за згодою контролюючого органу за умови часткового погашення податкового боргу.</w:t>
      </w:r>
    </w:p>
    <w:p w14:paraId="6C23FA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4" w:name="n2044"/>
      <w:bookmarkEnd w:id="3194"/>
      <w:r w:rsidRPr="008B264B">
        <w:rPr>
          <w:rFonts w:ascii="Times New Roman" w:eastAsia="Times New Roman" w:hAnsi="Times New Roman" w:cs="Times New Roman"/>
          <w:color w:val="000000"/>
          <w:sz w:val="24"/>
          <w:szCs w:val="24"/>
          <w:lang/>
        </w:rPr>
        <w:t>92.3. У разі здійснення операцій з майном, яке перебуває у податковій заставі, без попередньої згоди контролюючого органу платник податків несе відповідальність відповідно до закону.</w:t>
      </w:r>
    </w:p>
    <w:p w14:paraId="3B44E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5" w:name="n2045"/>
      <w:bookmarkEnd w:id="3195"/>
      <w:r w:rsidRPr="008B264B">
        <w:rPr>
          <w:rFonts w:ascii="Times New Roman" w:eastAsia="Times New Roman" w:hAnsi="Times New Roman" w:cs="Times New Roman"/>
          <w:b/>
          <w:bCs/>
          <w:color w:val="000000"/>
          <w:sz w:val="24"/>
          <w:szCs w:val="24"/>
          <w:lang/>
        </w:rPr>
        <w:t>Стаття 93.</w:t>
      </w:r>
      <w:r w:rsidRPr="008B264B">
        <w:rPr>
          <w:rFonts w:ascii="Times New Roman" w:eastAsia="Times New Roman" w:hAnsi="Times New Roman" w:cs="Times New Roman"/>
          <w:color w:val="000000"/>
          <w:sz w:val="24"/>
          <w:szCs w:val="24"/>
          <w:lang/>
        </w:rPr>
        <w:t> Припинення податкової застави</w:t>
      </w:r>
    </w:p>
    <w:p w14:paraId="5D644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6" w:name="n2046"/>
      <w:bookmarkEnd w:id="3196"/>
      <w:r w:rsidRPr="008B264B">
        <w:rPr>
          <w:rFonts w:ascii="Times New Roman" w:eastAsia="Times New Roman" w:hAnsi="Times New Roman" w:cs="Times New Roman"/>
          <w:color w:val="000000"/>
          <w:sz w:val="24"/>
          <w:szCs w:val="24"/>
          <w:lang/>
        </w:rPr>
        <w:t>93.1. Майно платника податків звільняється з податкової застави з дня:</w:t>
      </w:r>
    </w:p>
    <w:p w14:paraId="6C5D2C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7" w:name="n2047"/>
      <w:bookmarkEnd w:id="3197"/>
      <w:r w:rsidRPr="008B264B">
        <w:rPr>
          <w:rFonts w:ascii="Times New Roman" w:eastAsia="Times New Roman" w:hAnsi="Times New Roman" w:cs="Times New Roman"/>
          <w:color w:val="000000"/>
          <w:sz w:val="24"/>
          <w:szCs w:val="24"/>
          <w:lang/>
        </w:rPr>
        <w:t>93.1.1. отримання контролюючим органом підтвердження повного погашення суми податкового боргу в установленому законодавством порядку;</w:t>
      </w:r>
    </w:p>
    <w:p w14:paraId="4D7B15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8" w:name="n2048"/>
      <w:bookmarkEnd w:id="3198"/>
      <w:r w:rsidRPr="008B264B">
        <w:rPr>
          <w:rFonts w:ascii="Times New Roman" w:eastAsia="Times New Roman" w:hAnsi="Times New Roman" w:cs="Times New Roman"/>
          <w:color w:val="000000"/>
          <w:sz w:val="24"/>
          <w:szCs w:val="24"/>
          <w:lang/>
        </w:rPr>
        <w:t>93.1.2. визнання податкового боргу безнадійним;</w:t>
      </w:r>
    </w:p>
    <w:p w14:paraId="0601CC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199" w:name="n2049"/>
      <w:bookmarkEnd w:id="3199"/>
      <w:r w:rsidRPr="008B264B">
        <w:rPr>
          <w:rFonts w:ascii="Times New Roman" w:eastAsia="Times New Roman" w:hAnsi="Times New Roman" w:cs="Times New Roman"/>
          <w:color w:val="000000"/>
          <w:sz w:val="24"/>
          <w:szCs w:val="24"/>
          <w:lang/>
        </w:rPr>
        <w:t>93.1.3. набрання законної сили відповідним рішенням суду про припинення податкової застави у межах процедур, визначених законодавством з питань банкрутства;</w:t>
      </w:r>
    </w:p>
    <w:p w14:paraId="0E0653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0" w:name="n2050"/>
      <w:bookmarkEnd w:id="3200"/>
      <w:r w:rsidRPr="008B264B">
        <w:rPr>
          <w:rFonts w:ascii="Times New Roman" w:eastAsia="Times New Roman" w:hAnsi="Times New Roman" w:cs="Times New Roman"/>
          <w:i/>
          <w:iCs/>
          <w:color w:val="000000"/>
          <w:sz w:val="24"/>
          <w:szCs w:val="24"/>
          <w:lang/>
        </w:rPr>
        <w:t>{Підпункт 93.1.3 пункту 93.1 статті 93 в редакції Закону </w:t>
      </w:r>
      <w:hyperlink r:id="rId1793" w:anchor="n11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3CC8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1" w:name="n2051"/>
      <w:bookmarkEnd w:id="3201"/>
      <w:r w:rsidRPr="008B264B">
        <w:rPr>
          <w:rFonts w:ascii="Times New Roman" w:eastAsia="Times New Roman" w:hAnsi="Times New Roman" w:cs="Times New Roman"/>
          <w:color w:val="000000"/>
          <w:sz w:val="24"/>
          <w:szCs w:val="24"/>
          <w:lang/>
        </w:rPr>
        <w:t>93.1.4. отримання платником податків рішення відповідного органу про визнання протиправними та/або скасування раніше прийнятих рішень щодо нарахування суми грошового зобов'язання або його частини (пені та штрафних санкцій) внаслідок проведення процедури адміністративного або судового оскарження.</w:t>
      </w:r>
    </w:p>
    <w:p w14:paraId="783AA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2" w:name="n13955"/>
      <w:bookmarkEnd w:id="3202"/>
      <w:r w:rsidRPr="008B264B">
        <w:rPr>
          <w:rFonts w:ascii="Times New Roman" w:eastAsia="Times New Roman" w:hAnsi="Times New Roman" w:cs="Times New Roman"/>
          <w:i/>
          <w:iCs/>
          <w:color w:val="000000"/>
          <w:sz w:val="24"/>
          <w:szCs w:val="24"/>
          <w:lang/>
        </w:rPr>
        <w:t>{Підпункт 93.1.4 пункту 93.1 статті 93 із змінами, внесеними згідно із Законом </w:t>
      </w:r>
      <w:hyperlink r:id="rId1794" w:anchor="n72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E531E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3" w:name="n2052"/>
      <w:bookmarkEnd w:id="3203"/>
      <w:r w:rsidRPr="008B264B">
        <w:rPr>
          <w:rFonts w:ascii="Times New Roman" w:eastAsia="Times New Roman" w:hAnsi="Times New Roman" w:cs="Times New Roman"/>
          <w:i/>
          <w:iCs/>
          <w:color w:val="000000"/>
          <w:sz w:val="24"/>
          <w:szCs w:val="24"/>
          <w:lang/>
        </w:rPr>
        <w:lastRenderedPageBreak/>
        <w:t>{Підпункт 93.1.5 пункту 93.1 статті 93 виключено на підставі Закону </w:t>
      </w:r>
      <w:hyperlink r:id="rId179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5D8AD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4" w:name="n2053"/>
      <w:bookmarkEnd w:id="3204"/>
      <w:r w:rsidRPr="008B264B">
        <w:rPr>
          <w:rFonts w:ascii="Times New Roman" w:eastAsia="Times New Roman" w:hAnsi="Times New Roman" w:cs="Times New Roman"/>
          <w:color w:val="000000"/>
          <w:sz w:val="24"/>
          <w:szCs w:val="24"/>
          <w:lang/>
        </w:rPr>
        <w:t>93.2. Підставою для звільнення майна платника податків з-під податкової застави та її виключення з відповідних державних реєстрів є відповідний документ, що засвідчує закінчення будь-якої з подій, визначених </w:t>
      </w:r>
      <w:hyperlink r:id="rId1796" w:anchor="n2047" w:history="1">
        <w:r w:rsidRPr="008B264B">
          <w:rPr>
            <w:rFonts w:ascii="Times New Roman" w:eastAsia="Times New Roman" w:hAnsi="Times New Roman" w:cs="Times New Roman"/>
            <w:color w:val="0000FF"/>
            <w:sz w:val="24"/>
            <w:szCs w:val="24"/>
            <w:u w:val="single"/>
            <w:lang/>
          </w:rPr>
          <w:t>підпунктами 93.1.1-93.1.5</w:t>
        </w:r>
      </w:hyperlink>
      <w:r w:rsidRPr="008B264B">
        <w:rPr>
          <w:rFonts w:ascii="Times New Roman" w:eastAsia="Times New Roman" w:hAnsi="Times New Roman" w:cs="Times New Roman"/>
          <w:color w:val="000000"/>
          <w:sz w:val="24"/>
          <w:szCs w:val="24"/>
          <w:lang/>
        </w:rPr>
        <w:t> пункту 93.1 цієї статті.</w:t>
      </w:r>
    </w:p>
    <w:p w14:paraId="7484B6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5" w:name="n2054"/>
      <w:bookmarkEnd w:id="3205"/>
      <w:r w:rsidRPr="008B264B">
        <w:rPr>
          <w:rFonts w:ascii="Times New Roman" w:eastAsia="Times New Roman" w:hAnsi="Times New Roman" w:cs="Times New Roman"/>
          <w:i/>
          <w:iCs/>
          <w:color w:val="000000"/>
          <w:sz w:val="24"/>
          <w:szCs w:val="24"/>
          <w:lang/>
        </w:rPr>
        <w:t>{Пункт 93.2 статті 93 із змінами, внесеними згідно із Законом </w:t>
      </w:r>
      <w:hyperlink r:id="rId1797" w:anchor="n11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24823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6" w:name="n2055"/>
      <w:bookmarkEnd w:id="3206"/>
      <w:r w:rsidRPr="008B264B">
        <w:rPr>
          <w:rFonts w:ascii="Times New Roman" w:eastAsia="Times New Roman" w:hAnsi="Times New Roman" w:cs="Times New Roman"/>
          <w:color w:val="000000"/>
          <w:sz w:val="24"/>
          <w:szCs w:val="24"/>
          <w:lang/>
        </w:rPr>
        <w:t>93.3. </w:t>
      </w:r>
      <w:hyperlink r:id="rId1798" w:anchor="n16" w:tgtFrame="_blank" w:history="1">
        <w:r w:rsidRPr="008B264B">
          <w:rPr>
            <w:rFonts w:ascii="Times New Roman" w:eastAsia="Times New Roman" w:hAnsi="Times New Roman" w:cs="Times New Roman"/>
            <w:color w:val="0000FF"/>
            <w:sz w:val="24"/>
            <w:szCs w:val="24"/>
            <w:u w:val="single"/>
            <w:lang/>
          </w:rPr>
          <w:t>Порядок застосування податкової застави</w:t>
        </w:r>
      </w:hyperlink>
      <w:r w:rsidRPr="008B264B">
        <w:rPr>
          <w:rFonts w:ascii="Times New Roman" w:eastAsia="Times New Roman" w:hAnsi="Times New Roman" w:cs="Times New Roman"/>
          <w:color w:val="000000"/>
          <w:sz w:val="24"/>
          <w:szCs w:val="24"/>
          <w:lang/>
        </w:rPr>
        <w:t> встановлюється центральним органом виконавчої влади, що забезпечує формування та реалізує державну фінансову політику.</w:t>
      </w:r>
    </w:p>
    <w:p w14:paraId="4474A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7" w:name="n13432"/>
      <w:bookmarkEnd w:id="3207"/>
      <w:r w:rsidRPr="008B264B">
        <w:rPr>
          <w:rFonts w:ascii="Times New Roman" w:eastAsia="Times New Roman" w:hAnsi="Times New Roman" w:cs="Times New Roman"/>
          <w:i/>
          <w:iCs/>
          <w:color w:val="000000"/>
          <w:sz w:val="24"/>
          <w:szCs w:val="24"/>
          <w:lang/>
        </w:rPr>
        <w:t>{Пункт 93.3 статті 93 із змінами, внесеними згідно із Законом </w:t>
      </w:r>
      <w:hyperlink r:id="rId179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3985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8" w:name="n2056"/>
      <w:bookmarkEnd w:id="3208"/>
      <w:r w:rsidRPr="008B264B">
        <w:rPr>
          <w:rFonts w:ascii="Times New Roman" w:eastAsia="Times New Roman" w:hAnsi="Times New Roman" w:cs="Times New Roman"/>
          <w:color w:val="000000"/>
          <w:sz w:val="24"/>
          <w:szCs w:val="24"/>
          <w:lang/>
        </w:rPr>
        <w:t>93.4. У разі продажу майна, що перебуває у податковій заставі, відповідно до </w:t>
      </w:r>
      <w:hyperlink r:id="rId1800" w:anchor="n2123" w:history="1">
        <w:r w:rsidRPr="008B264B">
          <w:rPr>
            <w:rFonts w:ascii="Times New Roman" w:eastAsia="Times New Roman" w:hAnsi="Times New Roman" w:cs="Times New Roman"/>
            <w:color w:val="0000FF"/>
            <w:sz w:val="24"/>
            <w:szCs w:val="24"/>
            <w:u w:val="single"/>
            <w:lang/>
          </w:rPr>
          <w:t>статті 95</w:t>
        </w:r>
      </w:hyperlink>
      <w:r w:rsidRPr="008B264B">
        <w:rPr>
          <w:rFonts w:ascii="Times New Roman" w:eastAsia="Times New Roman" w:hAnsi="Times New Roman" w:cs="Times New Roman"/>
          <w:color w:val="000000"/>
          <w:sz w:val="24"/>
          <w:szCs w:val="24"/>
          <w:lang/>
        </w:rPr>
        <w:t> цього Кодексу таке майно звільняється з податкової застави (із внесенням змін до відповідних державних реєстрів) з дня отримання контролюючим органом підтвердження про надходження коштів до бюджету від такого продажу.</w:t>
      </w:r>
    </w:p>
    <w:p w14:paraId="3EB404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09" w:name="n2057"/>
      <w:bookmarkEnd w:id="3209"/>
      <w:r w:rsidRPr="008B264B">
        <w:rPr>
          <w:rFonts w:ascii="Times New Roman" w:eastAsia="Times New Roman" w:hAnsi="Times New Roman" w:cs="Times New Roman"/>
          <w:i/>
          <w:iCs/>
          <w:color w:val="000000"/>
          <w:sz w:val="24"/>
          <w:szCs w:val="24"/>
          <w:lang/>
        </w:rPr>
        <w:t>{Статтю 93 доповнено пунктом 93.4 згідно із Законом </w:t>
      </w:r>
      <w:hyperlink r:id="rId1801" w:anchor="n11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B1B6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0" w:name="n2058"/>
      <w:bookmarkEnd w:id="3210"/>
      <w:r w:rsidRPr="008B264B">
        <w:rPr>
          <w:rFonts w:ascii="Times New Roman" w:eastAsia="Times New Roman" w:hAnsi="Times New Roman" w:cs="Times New Roman"/>
          <w:b/>
          <w:bCs/>
          <w:color w:val="000000"/>
          <w:sz w:val="24"/>
          <w:szCs w:val="24"/>
          <w:lang/>
        </w:rPr>
        <w:t>Стаття 94.</w:t>
      </w:r>
      <w:r w:rsidRPr="008B264B">
        <w:rPr>
          <w:rFonts w:ascii="Times New Roman" w:eastAsia="Times New Roman" w:hAnsi="Times New Roman" w:cs="Times New Roman"/>
          <w:color w:val="000000"/>
          <w:sz w:val="24"/>
          <w:szCs w:val="24"/>
          <w:lang/>
        </w:rPr>
        <w:t> Адміністративний арешт майна</w:t>
      </w:r>
    </w:p>
    <w:p w14:paraId="053CE0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1" w:name="n2059"/>
      <w:bookmarkEnd w:id="3211"/>
      <w:r w:rsidRPr="008B264B">
        <w:rPr>
          <w:rFonts w:ascii="Times New Roman" w:eastAsia="Times New Roman" w:hAnsi="Times New Roman" w:cs="Times New Roman"/>
          <w:color w:val="000000"/>
          <w:sz w:val="24"/>
          <w:szCs w:val="24"/>
          <w:lang/>
        </w:rPr>
        <w:t>94.1. Адміністративний арешт майна платника податків (далі - арешт майна) є винятковим способом забезпечення виконання платником податків його обов'язків, визначених законом.</w:t>
      </w:r>
    </w:p>
    <w:p w14:paraId="0B7C14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2" w:name="n2060"/>
      <w:bookmarkEnd w:id="3212"/>
      <w:r w:rsidRPr="008B264B">
        <w:rPr>
          <w:rFonts w:ascii="Times New Roman" w:eastAsia="Times New Roman" w:hAnsi="Times New Roman" w:cs="Times New Roman"/>
          <w:color w:val="000000"/>
          <w:sz w:val="24"/>
          <w:szCs w:val="24"/>
          <w:lang/>
        </w:rPr>
        <w:t>94.2. Арешт майна може бути застосовано, якщо з'ясовується одна з таких обставин:</w:t>
      </w:r>
    </w:p>
    <w:p w14:paraId="323E0C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3" w:name="n2061"/>
      <w:bookmarkEnd w:id="3213"/>
      <w:r w:rsidRPr="008B264B">
        <w:rPr>
          <w:rFonts w:ascii="Times New Roman" w:eastAsia="Times New Roman" w:hAnsi="Times New Roman" w:cs="Times New Roman"/>
          <w:color w:val="000000"/>
          <w:sz w:val="24"/>
          <w:szCs w:val="24"/>
          <w:lang/>
        </w:rPr>
        <w:t>94.2.1. платник податків порушує правила відчуження майна, що перебуває у податковій заставі;</w:t>
      </w:r>
    </w:p>
    <w:p w14:paraId="118559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4" w:name="n2062"/>
      <w:bookmarkEnd w:id="3214"/>
      <w:r w:rsidRPr="008B264B">
        <w:rPr>
          <w:rFonts w:ascii="Times New Roman" w:eastAsia="Times New Roman" w:hAnsi="Times New Roman" w:cs="Times New Roman"/>
          <w:color w:val="000000"/>
          <w:sz w:val="24"/>
          <w:szCs w:val="24"/>
          <w:lang/>
        </w:rPr>
        <w:t>94.2.2. фізична особа, яка має податковий борг, виїжджає за кордон;</w:t>
      </w:r>
    </w:p>
    <w:p w14:paraId="43C256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5" w:name="n2063"/>
      <w:bookmarkEnd w:id="3215"/>
      <w:r w:rsidRPr="008B264B">
        <w:rPr>
          <w:rFonts w:ascii="Times New Roman" w:eastAsia="Times New Roman" w:hAnsi="Times New Roman" w:cs="Times New Roman"/>
          <w:i/>
          <w:iCs/>
          <w:color w:val="000000"/>
          <w:sz w:val="24"/>
          <w:szCs w:val="24"/>
          <w:lang/>
        </w:rPr>
        <w:t>{Положення підпункта 94.2.2 пункту 94.2 статті 94, згідно з яким адміністративний арешт майна платника податків може бути застосовано, якщо з'ясовується, що фізична особа, яка має податковий борг, виїжджає за кордон визнано конституційним згідно з </w:t>
      </w:r>
      <w:hyperlink r:id="rId1802" w:anchor="n54" w:tgtFrame="_blank" w:history="1">
        <w:r w:rsidRPr="008B264B">
          <w:rPr>
            <w:rFonts w:ascii="Times New Roman" w:eastAsia="Times New Roman" w:hAnsi="Times New Roman" w:cs="Times New Roman"/>
            <w:i/>
            <w:iCs/>
            <w:color w:val="0000FF"/>
            <w:sz w:val="24"/>
            <w:szCs w:val="24"/>
            <w:u w:val="single"/>
            <w:lang/>
          </w:rPr>
          <w:t>Рішенням Конституційного Суду </w:t>
        </w:r>
      </w:hyperlink>
      <w:hyperlink r:id="rId1803" w:anchor="n54" w:tgtFrame="_blank" w:history="1">
        <w:r w:rsidRPr="008B264B">
          <w:rPr>
            <w:rFonts w:ascii="Times New Roman" w:eastAsia="Times New Roman" w:hAnsi="Times New Roman" w:cs="Times New Roman"/>
            <w:i/>
            <w:iCs/>
            <w:color w:val="0000FF"/>
            <w:sz w:val="24"/>
            <w:szCs w:val="24"/>
            <w:u w:val="single"/>
            <w:lang/>
          </w:rPr>
          <w:t>№ 13-рп/2012 від 12.06.2012</w:t>
        </w:r>
      </w:hyperlink>
      <w:r w:rsidRPr="008B264B">
        <w:rPr>
          <w:rFonts w:ascii="Times New Roman" w:eastAsia="Times New Roman" w:hAnsi="Times New Roman" w:cs="Times New Roman"/>
          <w:i/>
          <w:iCs/>
          <w:color w:val="000000"/>
          <w:sz w:val="24"/>
          <w:szCs w:val="24"/>
          <w:lang/>
        </w:rPr>
        <w:t>}</w:t>
      </w:r>
    </w:p>
    <w:p w14:paraId="118F50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6" w:name="n2064"/>
      <w:bookmarkEnd w:id="3216"/>
      <w:r w:rsidRPr="008B264B">
        <w:rPr>
          <w:rFonts w:ascii="Times New Roman" w:eastAsia="Times New Roman" w:hAnsi="Times New Roman" w:cs="Times New Roman"/>
          <w:color w:val="000000"/>
          <w:sz w:val="24"/>
          <w:szCs w:val="24"/>
          <w:lang/>
        </w:rPr>
        <w:t>94.2.3. платник податків відмовляється від проведення документальної або фактичної перевірки за наявності законних підстав для її проведення або від допуску посадових осіб контролюючого органу;</w:t>
      </w:r>
    </w:p>
    <w:p w14:paraId="4211C6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7" w:name="n12609"/>
      <w:bookmarkEnd w:id="3217"/>
      <w:r w:rsidRPr="008B264B">
        <w:rPr>
          <w:rFonts w:ascii="Times New Roman" w:eastAsia="Times New Roman" w:hAnsi="Times New Roman" w:cs="Times New Roman"/>
          <w:i/>
          <w:iCs/>
          <w:color w:val="000000"/>
          <w:sz w:val="24"/>
          <w:szCs w:val="24"/>
          <w:lang/>
        </w:rPr>
        <w:t>{Підпункт 94.2.3 пункт 94.2 статті 94 в редакції Закону </w:t>
      </w:r>
      <w:hyperlink r:id="rId1804" w:anchor="n59"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3EF06D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8" w:name="n2065"/>
      <w:bookmarkEnd w:id="3218"/>
      <w:r w:rsidRPr="008B264B">
        <w:rPr>
          <w:rFonts w:ascii="Times New Roman" w:eastAsia="Times New Roman" w:hAnsi="Times New Roman" w:cs="Times New Roman"/>
          <w:color w:val="000000"/>
          <w:sz w:val="24"/>
          <w:szCs w:val="24"/>
          <w:lang/>
        </w:rPr>
        <w:t>94.2.4. відсутні дозволи (ліцензії) на здійснення господарської діяльності, а також у разі відсутності реєстраторів розрахункових операцій, зареєстрованих у встановленому законодавством порядку, крім випадків, визначених законодавством;</w:t>
      </w:r>
    </w:p>
    <w:p w14:paraId="289A54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19" w:name="n2066"/>
      <w:bookmarkEnd w:id="3219"/>
      <w:r w:rsidRPr="008B264B">
        <w:rPr>
          <w:rFonts w:ascii="Times New Roman" w:eastAsia="Times New Roman" w:hAnsi="Times New Roman" w:cs="Times New Roman"/>
          <w:i/>
          <w:iCs/>
          <w:color w:val="000000"/>
          <w:sz w:val="24"/>
          <w:szCs w:val="24"/>
          <w:lang/>
        </w:rPr>
        <w:t>{Підпункт 94.2.4 пункту 94.2 статті 94 в редакції Закону </w:t>
      </w:r>
      <w:hyperlink r:id="rId1805"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180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807" w:anchor="n11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808" w:anchor="n11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809" w:anchor="n2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3B458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0" w:name="n2067"/>
      <w:bookmarkEnd w:id="3220"/>
      <w:r w:rsidRPr="008B264B">
        <w:rPr>
          <w:rFonts w:ascii="Times New Roman" w:eastAsia="Times New Roman" w:hAnsi="Times New Roman" w:cs="Times New Roman"/>
          <w:color w:val="000000"/>
          <w:sz w:val="24"/>
          <w:szCs w:val="24"/>
          <w:lang/>
        </w:rPr>
        <w:t>94.2.5. відсутня реєстрація особи як платника податків у контролюючому органі, якщо така реєстрація є обов'язковою відповідно до цього Кодексу, або коли платник податків, що отримав податкове повідомлення або має податковий борг, вчиняє дії з переведення майна за межі України, його приховування або передачі іншим особам;</w:t>
      </w:r>
    </w:p>
    <w:p w14:paraId="78BE7A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1" w:name="n2068"/>
      <w:bookmarkEnd w:id="3221"/>
      <w:r w:rsidRPr="008B264B">
        <w:rPr>
          <w:rFonts w:ascii="Times New Roman" w:eastAsia="Times New Roman" w:hAnsi="Times New Roman" w:cs="Times New Roman"/>
          <w:i/>
          <w:iCs/>
          <w:color w:val="000000"/>
          <w:sz w:val="24"/>
          <w:szCs w:val="24"/>
          <w:lang/>
        </w:rPr>
        <w:t xml:space="preserve">{Положення підпункта 94.2.5 пункту 94.2 статті 94, відповідно до якого адміністративний арешт майна платника податків може бути застосовано, якщо з'ясовується, що відсутня реєстрація особи як платника податків в органі державної податкової служби, якщо така реєстрація є обов'язковою відповідно до цього Кодексу, або коли платник податків, що отримав податкове повідомлення або має податковий борг, вчиняє дії з переведення майна за межі </w:t>
      </w:r>
      <w:r w:rsidRPr="008B264B">
        <w:rPr>
          <w:rFonts w:ascii="Times New Roman" w:eastAsia="Times New Roman" w:hAnsi="Times New Roman" w:cs="Times New Roman"/>
          <w:i/>
          <w:iCs/>
          <w:color w:val="000000"/>
          <w:sz w:val="24"/>
          <w:szCs w:val="24"/>
          <w:lang/>
        </w:rPr>
        <w:lastRenderedPageBreak/>
        <w:t>України, його приховування або передачі іншим особам визнано конституційним згідно з </w:t>
      </w:r>
      <w:hyperlink r:id="rId1810" w:anchor="n55" w:tgtFrame="_blank" w:history="1">
        <w:r w:rsidRPr="008B264B">
          <w:rPr>
            <w:rFonts w:ascii="Times New Roman" w:eastAsia="Times New Roman" w:hAnsi="Times New Roman" w:cs="Times New Roman"/>
            <w:i/>
            <w:iCs/>
            <w:color w:val="0000FF"/>
            <w:sz w:val="24"/>
            <w:szCs w:val="24"/>
            <w:u w:val="single"/>
            <w:lang/>
          </w:rPr>
          <w:t>Рішенням Конституційного Суду № 13-рп/2012 від 12.06.2012</w:t>
        </w:r>
      </w:hyperlink>
      <w:r w:rsidRPr="008B264B">
        <w:rPr>
          <w:rFonts w:ascii="Times New Roman" w:eastAsia="Times New Roman" w:hAnsi="Times New Roman" w:cs="Times New Roman"/>
          <w:i/>
          <w:iCs/>
          <w:color w:val="000000"/>
          <w:sz w:val="24"/>
          <w:szCs w:val="24"/>
          <w:lang/>
        </w:rPr>
        <w:t>}</w:t>
      </w:r>
    </w:p>
    <w:p w14:paraId="3E5C06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2" w:name="n2069"/>
      <w:bookmarkEnd w:id="3222"/>
      <w:r w:rsidRPr="008B264B">
        <w:rPr>
          <w:rFonts w:ascii="Times New Roman" w:eastAsia="Times New Roman" w:hAnsi="Times New Roman" w:cs="Times New Roman"/>
          <w:color w:val="000000"/>
          <w:sz w:val="24"/>
          <w:szCs w:val="24"/>
          <w:lang/>
        </w:rPr>
        <w:t>94.2.6. платник податків відмовляється від проведення перевірки стану збереження майна, яке перебуває у податковій заставі;</w:t>
      </w:r>
    </w:p>
    <w:p w14:paraId="6B7A0F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3" w:name="n2070"/>
      <w:bookmarkEnd w:id="3223"/>
      <w:r w:rsidRPr="008B264B">
        <w:rPr>
          <w:rFonts w:ascii="Times New Roman" w:eastAsia="Times New Roman" w:hAnsi="Times New Roman" w:cs="Times New Roman"/>
          <w:color w:val="000000"/>
          <w:sz w:val="24"/>
          <w:szCs w:val="24"/>
          <w:lang/>
        </w:rPr>
        <w:t>94.2.7. платник податків не допускає податкового керуючого до складення акта опису майна, яке передається в податкову заставу.</w:t>
      </w:r>
    </w:p>
    <w:p w14:paraId="449EE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4" w:name="n2071"/>
      <w:bookmarkEnd w:id="3224"/>
      <w:r w:rsidRPr="008B264B">
        <w:rPr>
          <w:rFonts w:ascii="Times New Roman" w:eastAsia="Times New Roman" w:hAnsi="Times New Roman" w:cs="Times New Roman"/>
          <w:i/>
          <w:iCs/>
          <w:color w:val="000000"/>
          <w:sz w:val="24"/>
          <w:szCs w:val="24"/>
          <w:lang/>
        </w:rPr>
        <w:t>{Підпункт 94.2.7 пункту 94.2 статті 94 із змінами, внесеними згідно із Законом </w:t>
      </w:r>
      <w:hyperlink r:id="rId181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0292F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5" w:name="n13958"/>
      <w:bookmarkEnd w:id="3225"/>
      <w:r w:rsidRPr="008B264B">
        <w:rPr>
          <w:rFonts w:ascii="Times New Roman" w:eastAsia="Times New Roman" w:hAnsi="Times New Roman" w:cs="Times New Roman"/>
          <w:color w:val="000000"/>
          <w:sz w:val="24"/>
          <w:szCs w:val="24"/>
          <w:lang/>
        </w:rPr>
        <w:t>94.2.8. платник податків (його посадові особи або особи, які здійснюють готівкові розрахунки та/або провадять діяльність, що підлягає ліцензуванню) відмовляється від проведення відповідно до вимог цього Кодексу інвентаризації основних засобів, товарно-матеріальних цінностей, коштів (зняття залишків товарно-матеріальних цінностей, готівки).</w:t>
      </w:r>
    </w:p>
    <w:p w14:paraId="6705BE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6" w:name="n13956"/>
      <w:bookmarkEnd w:id="3226"/>
      <w:r w:rsidRPr="008B264B">
        <w:rPr>
          <w:rFonts w:ascii="Times New Roman" w:eastAsia="Times New Roman" w:hAnsi="Times New Roman" w:cs="Times New Roman"/>
          <w:i/>
          <w:iCs/>
          <w:color w:val="000000"/>
          <w:sz w:val="24"/>
          <w:szCs w:val="24"/>
          <w:lang/>
        </w:rPr>
        <w:t>{Пункт 94.2 статті 94 доповнено підпунктом 94.2.8 згідно із Законом </w:t>
      </w:r>
      <w:hyperlink r:id="rId1812" w:anchor="n72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275AC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7" w:name="n2072"/>
      <w:bookmarkEnd w:id="3227"/>
      <w:r w:rsidRPr="008B264B">
        <w:rPr>
          <w:rFonts w:ascii="Times New Roman" w:eastAsia="Times New Roman" w:hAnsi="Times New Roman" w:cs="Times New Roman"/>
          <w:color w:val="000000"/>
          <w:sz w:val="24"/>
          <w:szCs w:val="24"/>
          <w:lang/>
        </w:rPr>
        <w:t>94.3. Арешт майна полягає у забороні платнику податків вчиняти щодо свого майна, яке підлягає арешту, дії, зазначені у пункті 94.5 цієї статті.</w:t>
      </w:r>
    </w:p>
    <w:p w14:paraId="576923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8" w:name="n2073"/>
      <w:bookmarkEnd w:id="3228"/>
      <w:r w:rsidRPr="008B264B">
        <w:rPr>
          <w:rFonts w:ascii="Times New Roman" w:eastAsia="Times New Roman" w:hAnsi="Times New Roman" w:cs="Times New Roman"/>
          <w:color w:val="000000"/>
          <w:sz w:val="24"/>
          <w:szCs w:val="24"/>
          <w:lang/>
        </w:rPr>
        <w:t>94.4. Арешт може бути накладено контролюючим органом на будь-яке майно платника податків, крім майна, на яке не може бути звернено стягнення відповідно до закону, та коштів на рахунку платника податків.</w:t>
      </w:r>
    </w:p>
    <w:p w14:paraId="778FE2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29" w:name="n2074"/>
      <w:bookmarkEnd w:id="3229"/>
      <w:r w:rsidRPr="008B264B">
        <w:rPr>
          <w:rFonts w:ascii="Times New Roman" w:eastAsia="Times New Roman" w:hAnsi="Times New Roman" w:cs="Times New Roman"/>
          <w:color w:val="000000"/>
          <w:sz w:val="24"/>
          <w:szCs w:val="24"/>
          <w:lang/>
        </w:rPr>
        <w:t>94.5. Арешт майна може бути повним або умовним.</w:t>
      </w:r>
    </w:p>
    <w:p w14:paraId="65E44B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0" w:name="n2075"/>
      <w:bookmarkEnd w:id="3230"/>
      <w:r w:rsidRPr="008B264B">
        <w:rPr>
          <w:rFonts w:ascii="Times New Roman" w:eastAsia="Times New Roman" w:hAnsi="Times New Roman" w:cs="Times New Roman"/>
          <w:color w:val="000000"/>
          <w:sz w:val="24"/>
          <w:szCs w:val="24"/>
          <w:lang/>
        </w:rPr>
        <w:t>Повним арештом майна визнається заборона платнику податків на реалізацію прав розпорядження або користування його майном. У цьому випадку ризик, пов'язаний із втратою функціональних чи споживчих якостей такого майна, покладається на орган, який прийняв рішення про таку заборону.</w:t>
      </w:r>
    </w:p>
    <w:p w14:paraId="0240FD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1" w:name="n2076"/>
      <w:bookmarkEnd w:id="3231"/>
      <w:r w:rsidRPr="008B264B">
        <w:rPr>
          <w:rFonts w:ascii="Times New Roman" w:eastAsia="Times New Roman" w:hAnsi="Times New Roman" w:cs="Times New Roman"/>
          <w:color w:val="000000"/>
          <w:sz w:val="24"/>
          <w:szCs w:val="24"/>
          <w:lang/>
        </w:rPr>
        <w:t>Умовним арештом майна визнається обмеження платника податків щодо реалізації прав власності на таке майно, який полягає в обов'язковому попередньому отриманні дозволу керівника (його заступника або уповноваженої особи) контролюючого органу на здійснення платником податків будь-якої операції з таким майном. Зазначений дозвіл може бути виданий керівником (його заступником або уповноваженою особою) контролюючого органу, якщо за висновком податкового керуючого здійснення платником податків окремої операції не призведе до збільшення його податкового боргу або до зменшення ймовірності його погашення.</w:t>
      </w:r>
    </w:p>
    <w:p w14:paraId="125507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2" w:name="n13957"/>
      <w:bookmarkEnd w:id="3232"/>
      <w:r w:rsidRPr="008B264B">
        <w:rPr>
          <w:rFonts w:ascii="Times New Roman" w:eastAsia="Times New Roman" w:hAnsi="Times New Roman" w:cs="Times New Roman"/>
          <w:i/>
          <w:iCs/>
          <w:color w:val="000000"/>
          <w:sz w:val="24"/>
          <w:szCs w:val="24"/>
          <w:lang/>
        </w:rPr>
        <w:t>{Абзац третій пункту 94.5 статті 94 із змінами, внесеними згідно із Законом </w:t>
      </w:r>
      <w:hyperlink r:id="rId1813" w:anchor="n73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30F65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3" w:name="n2077"/>
      <w:bookmarkEnd w:id="3233"/>
      <w:r w:rsidRPr="008B264B">
        <w:rPr>
          <w:rFonts w:ascii="Times New Roman" w:eastAsia="Times New Roman" w:hAnsi="Times New Roman" w:cs="Times New Roman"/>
          <w:color w:val="000000"/>
          <w:sz w:val="24"/>
          <w:szCs w:val="24"/>
          <w:lang/>
        </w:rPr>
        <w:t>94.6. Керівник (його заступник або уповноважена особа) контролюючого органу за наявності однієї з обставин, визначених у </w:t>
      </w:r>
      <w:hyperlink r:id="rId1814" w:anchor="n2060" w:history="1">
        <w:r w:rsidRPr="008B264B">
          <w:rPr>
            <w:rFonts w:ascii="Times New Roman" w:eastAsia="Times New Roman" w:hAnsi="Times New Roman" w:cs="Times New Roman"/>
            <w:color w:val="0000FF"/>
            <w:sz w:val="24"/>
            <w:szCs w:val="24"/>
            <w:u w:val="single"/>
            <w:lang/>
          </w:rPr>
          <w:t>пункті 94.2</w:t>
        </w:r>
      </w:hyperlink>
      <w:r w:rsidRPr="008B264B">
        <w:rPr>
          <w:rFonts w:ascii="Times New Roman" w:eastAsia="Times New Roman" w:hAnsi="Times New Roman" w:cs="Times New Roman"/>
          <w:color w:val="000000"/>
          <w:sz w:val="24"/>
          <w:szCs w:val="24"/>
          <w:lang/>
        </w:rPr>
        <w:t> цієї статті, приймає рішення про застосування арешту майна платника податків, яке надсилається:</w:t>
      </w:r>
    </w:p>
    <w:p w14:paraId="60B774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4" w:name="n13959"/>
      <w:bookmarkEnd w:id="3234"/>
      <w:r w:rsidRPr="008B264B">
        <w:rPr>
          <w:rFonts w:ascii="Times New Roman" w:eastAsia="Times New Roman" w:hAnsi="Times New Roman" w:cs="Times New Roman"/>
          <w:i/>
          <w:iCs/>
          <w:color w:val="000000"/>
          <w:sz w:val="24"/>
          <w:szCs w:val="24"/>
          <w:lang/>
        </w:rPr>
        <w:t>{Абзац перший пункту 94.6 статті 94 із змінами, внесеними згідно із Законом </w:t>
      </w:r>
      <w:hyperlink r:id="rId1815" w:anchor="n7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0193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5" w:name="n2078"/>
      <w:bookmarkEnd w:id="3235"/>
      <w:r w:rsidRPr="008B264B">
        <w:rPr>
          <w:rFonts w:ascii="Times New Roman" w:eastAsia="Times New Roman" w:hAnsi="Times New Roman" w:cs="Times New Roman"/>
          <w:color w:val="000000"/>
          <w:sz w:val="24"/>
          <w:szCs w:val="24"/>
          <w:lang/>
        </w:rPr>
        <w:t>94.6.1. платнику податків з вимогою тимчасово зупинити відчуження його майна;</w:t>
      </w:r>
    </w:p>
    <w:p w14:paraId="4C785E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6" w:name="n2079"/>
      <w:bookmarkEnd w:id="3236"/>
      <w:r w:rsidRPr="008B264B">
        <w:rPr>
          <w:rFonts w:ascii="Times New Roman" w:eastAsia="Times New Roman" w:hAnsi="Times New Roman" w:cs="Times New Roman"/>
          <w:color w:val="000000"/>
          <w:sz w:val="24"/>
          <w:szCs w:val="24"/>
          <w:lang/>
        </w:rPr>
        <w:t>94.6.2. іншим особам, у володінні, розпорядженні або користуванні яких перебуває майно такого платника податків, з вимогою тимчасово зупинити його відчуження.</w:t>
      </w:r>
    </w:p>
    <w:p w14:paraId="40C841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7" w:name="n2080"/>
      <w:bookmarkEnd w:id="3237"/>
      <w:r w:rsidRPr="008B264B">
        <w:rPr>
          <w:rFonts w:ascii="Times New Roman" w:eastAsia="Times New Roman" w:hAnsi="Times New Roman" w:cs="Times New Roman"/>
          <w:color w:val="000000"/>
          <w:sz w:val="24"/>
          <w:szCs w:val="24"/>
          <w:lang/>
        </w:rPr>
        <w:t>Арешт коштів на рахунку платника податків здійснюється виключно на підставі рішення суду шляхом звернення контролюючого органу до суду.</w:t>
      </w:r>
    </w:p>
    <w:p w14:paraId="5D968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8" w:name="n2081"/>
      <w:bookmarkEnd w:id="3238"/>
      <w:r w:rsidRPr="008B264B">
        <w:rPr>
          <w:rFonts w:ascii="Times New Roman" w:eastAsia="Times New Roman" w:hAnsi="Times New Roman" w:cs="Times New Roman"/>
          <w:color w:val="000000"/>
          <w:sz w:val="24"/>
          <w:szCs w:val="24"/>
          <w:lang/>
        </w:rPr>
        <w:t>Звільнення коштів з-під арешту банк або інша фінансова установа здійснює за рішенням суду.</w:t>
      </w:r>
    </w:p>
    <w:p w14:paraId="734F02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39" w:name="n2082"/>
      <w:bookmarkEnd w:id="3239"/>
      <w:r w:rsidRPr="008B264B">
        <w:rPr>
          <w:rFonts w:ascii="Times New Roman" w:eastAsia="Times New Roman" w:hAnsi="Times New Roman" w:cs="Times New Roman"/>
          <w:color w:val="000000"/>
          <w:sz w:val="24"/>
          <w:szCs w:val="24"/>
          <w:lang/>
        </w:rPr>
        <w:lastRenderedPageBreak/>
        <w:t>94.7. Арешт майна може бути також застосований до товарів, які виготовляються, зберігаються, переміщуються або реалізуються з порушенням правил, визначених митним законодавством України чи законодавством з питань оподаткування акцизним податком, та товарів, у тому числі валютних цінностей, які продаються з порушенням порядку, визначеного законодавством, якщо їх власника не встановлено.</w:t>
      </w:r>
    </w:p>
    <w:p w14:paraId="3930B3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0" w:name="n2083"/>
      <w:bookmarkEnd w:id="3240"/>
      <w:r w:rsidRPr="008B264B">
        <w:rPr>
          <w:rFonts w:ascii="Times New Roman" w:eastAsia="Times New Roman" w:hAnsi="Times New Roman" w:cs="Times New Roman"/>
          <w:color w:val="000000"/>
          <w:sz w:val="24"/>
          <w:szCs w:val="24"/>
          <w:lang/>
        </w:rPr>
        <w:t>У цьому випадку службові (посадові) особи контролюючих органів або інших правоохоронних органів відповідно до їх повноважень тимчасово затримують таке майно із складенням протоколу, який повинен містити відомості про причини такого затримання з посиланням на порушення конкретної законодавчої норми; опис майна, його родових ознак і кількості; відомості про особу (особи), в якої було вилучено такі товари (за їх наявності); перелік прав та обов'язків таких осіб, що виникають у зв'язку з таким вилученням. </w:t>
      </w:r>
      <w:hyperlink r:id="rId1816" w:tgtFrame="_blank" w:history="1">
        <w:r w:rsidRPr="008B264B">
          <w:rPr>
            <w:rFonts w:ascii="Times New Roman" w:eastAsia="Times New Roman" w:hAnsi="Times New Roman" w:cs="Times New Roman"/>
            <w:color w:val="0000FF"/>
            <w:sz w:val="24"/>
            <w:szCs w:val="24"/>
            <w:u w:val="single"/>
            <w:lang/>
          </w:rPr>
          <w:t>Форма зазначеного протоколу</w:t>
        </w:r>
      </w:hyperlink>
      <w:r w:rsidRPr="008B264B">
        <w:rPr>
          <w:rFonts w:ascii="Times New Roman" w:eastAsia="Times New Roman" w:hAnsi="Times New Roman" w:cs="Times New Roman"/>
          <w:color w:val="000000"/>
          <w:sz w:val="24"/>
          <w:szCs w:val="24"/>
          <w:lang/>
        </w:rPr>
        <w:t> затверджується Кабінетом Міністрів України.</w:t>
      </w:r>
    </w:p>
    <w:p w14:paraId="1C6B3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1" w:name="n2084"/>
      <w:bookmarkEnd w:id="3241"/>
      <w:r w:rsidRPr="008B264B">
        <w:rPr>
          <w:rFonts w:ascii="Times New Roman" w:eastAsia="Times New Roman" w:hAnsi="Times New Roman" w:cs="Times New Roman"/>
          <w:color w:val="000000"/>
          <w:sz w:val="24"/>
          <w:szCs w:val="24"/>
          <w:lang/>
        </w:rPr>
        <w:t>Керівник підрозділу правоохоронного органу, у підпорядкуванні якого перебуває службова (посадова) особа, яка склала протокол про тимчасове затримання майна, зобов'язаний невідкладно поінформувати керівника (його заступника або уповноваженої особи) контролюючого органу, на території якого здійснено таке затримання, з обов'язковим врученням примірника протоколу.</w:t>
      </w:r>
    </w:p>
    <w:p w14:paraId="582F3A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2" w:name="n13960"/>
      <w:bookmarkEnd w:id="3242"/>
      <w:r w:rsidRPr="008B264B">
        <w:rPr>
          <w:rFonts w:ascii="Times New Roman" w:eastAsia="Times New Roman" w:hAnsi="Times New Roman" w:cs="Times New Roman"/>
          <w:i/>
          <w:iCs/>
          <w:color w:val="000000"/>
          <w:sz w:val="24"/>
          <w:szCs w:val="24"/>
          <w:lang/>
        </w:rPr>
        <w:t>{Абзац третій пункту 94.7 статті 94 із змінами, внесеними згідно із Законом </w:t>
      </w:r>
      <w:hyperlink r:id="rId1817" w:anchor="n73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ED5C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3" w:name="n2085"/>
      <w:bookmarkEnd w:id="3243"/>
      <w:r w:rsidRPr="008B264B">
        <w:rPr>
          <w:rFonts w:ascii="Times New Roman" w:eastAsia="Times New Roman" w:hAnsi="Times New Roman" w:cs="Times New Roman"/>
          <w:color w:val="000000"/>
          <w:sz w:val="24"/>
          <w:szCs w:val="24"/>
          <w:lang/>
        </w:rPr>
        <w:t>На підставі відомостей, зазначених у протоколі, керівник (його заступник або уповноважена особа) контролюючого органу приймає рішення про накладення арешту на таке майно або відмову в ньому шляхом неприйняття такого рішення.</w:t>
      </w:r>
    </w:p>
    <w:p w14:paraId="7B0712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4" w:name="n13961"/>
      <w:bookmarkEnd w:id="3244"/>
      <w:r w:rsidRPr="008B264B">
        <w:rPr>
          <w:rFonts w:ascii="Times New Roman" w:eastAsia="Times New Roman" w:hAnsi="Times New Roman" w:cs="Times New Roman"/>
          <w:i/>
          <w:iCs/>
          <w:color w:val="000000"/>
          <w:sz w:val="24"/>
          <w:szCs w:val="24"/>
          <w:lang/>
        </w:rPr>
        <w:t>{Абзац четвертий пункту 94.7 статті 94 із змінами, внесеними згідно із Законом </w:t>
      </w:r>
      <w:hyperlink r:id="rId1818" w:anchor="n7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95167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5" w:name="n2086"/>
      <w:bookmarkEnd w:id="3245"/>
      <w:r w:rsidRPr="008B264B">
        <w:rPr>
          <w:rFonts w:ascii="Times New Roman" w:eastAsia="Times New Roman" w:hAnsi="Times New Roman" w:cs="Times New Roman"/>
          <w:color w:val="000000"/>
          <w:sz w:val="24"/>
          <w:szCs w:val="24"/>
          <w:lang/>
        </w:rPr>
        <w:t>Рішення про накладення арешту на майно повинне бути прийняте до 24 години робочого дня, що настає за днем складення протоколу про тимчасове затримання майна, але коли відповідно до законодавства України контролюючий орган закінчує роботу раніше, то такий строк закінчується на час такого закінчення роботи.</w:t>
      </w:r>
    </w:p>
    <w:p w14:paraId="22F965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6" w:name="n2087"/>
      <w:bookmarkEnd w:id="3246"/>
      <w:r w:rsidRPr="008B264B">
        <w:rPr>
          <w:rFonts w:ascii="Times New Roman" w:eastAsia="Times New Roman" w:hAnsi="Times New Roman" w:cs="Times New Roman"/>
          <w:color w:val="000000"/>
          <w:sz w:val="24"/>
          <w:szCs w:val="24"/>
          <w:lang/>
        </w:rPr>
        <w:t>У разі якщо рішення про арешт майна не приймається протягом зазначеного строку, майно вважається звільненим з-під режиму тимчасового затримання, а посадові чи службові особи, які перешкоджають такому звільненню, несуть відповідальність відповідно до закону.</w:t>
      </w:r>
    </w:p>
    <w:p w14:paraId="54BEE7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7" w:name="n2088"/>
      <w:bookmarkEnd w:id="3247"/>
      <w:r w:rsidRPr="008B264B">
        <w:rPr>
          <w:rFonts w:ascii="Times New Roman" w:eastAsia="Times New Roman" w:hAnsi="Times New Roman" w:cs="Times New Roman"/>
          <w:color w:val="000000"/>
          <w:sz w:val="24"/>
          <w:szCs w:val="24"/>
          <w:lang/>
        </w:rPr>
        <w:t>94.8. При накладенні арешту на майно у випадках, визначених </w:t>
      </w:r>
      <w:hyperlink r:id="rId1819" w:anchor="n2082" w:history="1">
        <w:r w:rsidRPr="008B264B">
          <w:rPr>
            <w:rFonts w:ascii="Times New Roman" w:eastAsia="Times New Roman" w:hAnsi="Times New Roman" w:cs="Times New Roman"/>
            <w:color w:val="0000FF"/>
            <w:sz w:val="24"/>
            <w:szCs w:val="24"/>
            <w:u w:val="single"/>
            <w:lang/>
          </w:rPr>
          <w:t>пунктом 94.7</w:t>
        </w:r>
      </w:hyperlink>
      <w:r w:rsidRPr="008B264B">
        <w:rPr>
          <w:rFonts w:ascii="Times New Roman" w:eastAsia="Times New Roman" w:hAnsi="Times New Roman" w:cs="Times New Roman"/>
          <w:color w:val="000000"/>
          <w:sz w:val="24"/>
          <w:szCs w:val="24"/>
          <w:lang/>
        </w:rPr>
        <w:t> цієї статті, рішення керівника (його заступника або уповноваженої особи) контролюючого органу невідкладно вручається особі (особам, зазначеним у </w:t>
      </w:r>
      <w:hyperlink r:id="rId1820" w:anchor="n2077" w:history="1">
        <w:r w:rsidRPr="008B264B">
          <w:rPr>
            <w:rFonts w:ascii="Times New Roman" w:eastAsia="Times New Roman" w:hAnsi="Times New Roman" w:cs="Times New Roman"/>
            <w:color w:val="0000FF"/>
            <w:sz w:val="24"/>
            <w:szCs w:val="24"/>
            <w:u w:val="single"/>
            <w:lang/>
          </w:rPr>
          <w:t>пункті 94.6</w:t>
        </w:r>
      </w:hyperlink>
      <w:r w:rsidRPr="008B264B">
        <w:rPr>
          <w:rFonts w:ascii="Times New Roman" w:eastAsia="Times New Roman" w:hAnsi="Times New Roman" w:cs="Times New Roman"/>
          <w:color w:val="000000"/>
          <w:sz w:val="24"/>
          <w:szCs w:val="24"/>
          <w:lang/>
        </w:rPr>
        <w:t> цієї статті), зазначеній у протоколі про тимчасове затримання майна, без виконання положень пункту 94.6 цієї статті.</w:t>
      </w:r>
    </w:p>
    <w:p w14:paraId="3AC04B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8" w:name="n13962"/>
      <w:bookmarkEnd w:id="3248"/>
      <w:r w:rsidRPr="008B264B">
        <w:rPr>
          <w:rFonts w:ascii="Times New Roman" w:eastAsia="Times New Roman" w:hAnsi="Times New Roman" w:cs="Times New Roman"/>
          <w:i/>
          <w:iCs/>
          <w:color w:val="000000"/>
          <w:sz w:val="24"/>
          <w:szCs w:val="24"/>
          <w:lang/>
        </w:rPr>
        <w:t>{Пункт 94.8 статті 94 із змінами, внесеними згідно із Законом </w:t>
      </w:r>
      <w:hyperlink r:id="rId1821" w:anchor="n7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E2831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49" w:name="n2089"/>
      <w:bookmarkEnd w:id="3249"/>
      <w:r w:rsidRPr="008B264B">
        <w:rPr>
          <w:rFonts w:ascii="Times New Roman" w:eastAsia="Times New Roman" w:hAnsi="Times New Roman" w:cs="Times New Roman"/>
          <w:color w:val="000000"/>
          <w:sz w:val="24"/>
          <w:szCs w:val="24"/>
          <w:lang/>
        </w:rPr>
        <w:t>94.9. У разі якщо місцезнаходження осіб, зазначених у протоколі про тимчасове затримання майна, не виявлено або коли майно було затримано, а осіб, яким воно належить на праві власності чи інших правах, не встановлено, рішення про арешт майна приймається керівником (його заступником або уповноваженою особою) контролюючого органу без вручення його особам, зазначеним у пункті 94.6 цієї статті.</w:t>
      </w:r>
    </w:p>
    <w:p w14:paraId="66EE30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0" w:name="n13963"/>
      <w:bookmarkEnd w:id="3250"/>
      <w:r w:rsidRPr="008B264B">
        <w:rPr>
          <w:rFonts w:ascii="Times New Roman" w:eastAsia="Times New Roman" w:hAnsi="Times New Roman" w:cs="Times New Roman"/>
          <w:i/>
          <w:iCs/>
          <w:color w:val="000000"/>
          <w:sz w:val="24"/>
          <w:szCs w:val="24"/>
          <w:lang/>
        </w:rPr>
        <w:t>{Пункт 94.9 статті 94 із змінами, внесеними згідно із Законом </w:t>
      </w:r>
      <w:hyperlink r:id="rId1822" w:anchor="n73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C230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1" w:name="n2090"/>
      <w:bookmarkEnd w:id="3251"/>
      <w:r w:rsidRPr="008B264B">
        <w:rPr>
          <w:rFonts w:ascii="Times New Roman" w:eastAsia="Times New Roman" w:hAnsi="Times New Roman" w:cs="Times New Roman"/>
          <w:color w:val="000000"/>
          <w:sz w:val="24"/>
          <w:szCs w:val="24"/>
          <w:lang/>
        </w:rPr>
        <w:t>94.10. Арешт на майно може бути накладено рішенням керівника (його заступника або уповноваженої особи) контролюючого органу, обґрунтованість якого протягом 96 годин має бути перевірена судом.</w:t>
      </w:r>
    </w:p>
    <w:p w14:paraId="66D090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2" w:name="n13964"/>
      <w:bookmarkEnd w:id="3252"/>
      <w:r w:rsidRPr="008B264B">
        <w:rPr>
          <w:rFonts w:ascii="Times New Roman" w:eastAsia="Times New Roman" w:hAnsi="Times New Roman" w:cs="Times New Roman"/>
          <w:i/>
          <w:iCs/>
          <w:color w:val="000000"/>
          <w:sz w:val="24"/>
          <w:szCs w:val="24"/>
          <w:lang/>
        </w:rPr>
        <w:t>{Абзац перший пункту 94.10 статті 94 із змінами, внесеними згідно із Законом </w:t>
      </w:r>
      <w:hyperlink r:id="rId1823" w:anchor="n7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A3D48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3" w:name="n2091"/>
      <w:bookmarkEnd w:id="3253"/>
      <w:r w:rsidRPr="008B264B">
        <w:rPr>
          <w:rFonts w:ascii="Times New Roman" w:eastAsia="Times New Roman" w:hAnsi="Times New Roman" w:cs="Times New Roman"/>
          <w:color w:val="000000"/>
          <w:sz w:val="24"/>
          <w:szCs w:val="24"/>
          <w:lang/>
        </w:rPr>
        <w:lastRenderedPageBreak/>
        <w:t>Зазначений строк не може бути продовжений в адміністративному порядку, у тому числі за рішенням інших державних органів, крім випадків, коли власника майна, на яке накладено арешт, не встановлено (не виявлено). У цих випадках таке майно перебуває під режимом адміністративного арешту протягом строку, визначеного законом для визнання його безхазяйним, або у разі якщо майно є таким, що швидко псується, - протягом граничного строку, визначеного законодавством. Порядок операцій з майном, власника якого не встановлено, визначається законодавством з питань поводження з безхазяйним майном.</w:t>
      </w:r>
    </w:p>
    <w:p w14:paraId="4C17C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4" w:name="n2092"/>
      <w:bookmarkEnd w:id="3254"/>
      <w:r w:rsidRPr="008B264B">
        <w:rPr>
          <w:rFonts w:ascii="Times New Roman" w:eastAsia="Times New Roman" w:hAnsi="Times New Roman" w:cs="Times New Roman"/>
          <w:color w:val="000000"/>
          <w:sz w:val="24"/>
          <w:szCs w:val="24"/>
          <w:lang/>
        </w:rPr>
        <w:t>Строк, визначений цим пунктом, не включає добові години, що припадають на вихідні та святкові дні.</w:t>
      </w:r>
    </w:p>
    <w:p w14:paraId="46AFC6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5" w:name="n2093"/>
      <w:bookmarkEnd w:id="3255"/>
      <w:r w:rsidRPr="008B264B">
        <w:rPr>
          <w:rFonts w:ascii="Times New Roman" w:eastAsia="Times New Roman" w:hAnsi="Times New Roman" w:cs="Times New Roman"/>
          <w:color w:val="000000"/>
          <w:sz w:val="24"/>
          <w:szCs w:val="24"/>
          <w:lang/>
        </w:rPr>
        <w:t>94.11. Рішення керівника (його заступника або уповноваженої особи) контролюючого органу щодо арешту майна може бути оскаржене платником податків в адміністративному або судовому порядку.</w:t>
      </w:r>
    </w:p>
    <w:p w14:paraId="604D71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6" w:name="n13965"/>
      <w:bookmarkEnd w:id="3256"/>
      <w:r w:rsidRPr="008B264B">
        <w:rPr>
          <w:rFonts w:ascii="Times New Roman" w:eastAsia="Times New Roman" w:hAnsi="Times New Roman" w:cs="Times New Roman"/>
          <w:i/>
          <w:iCs/>
          <w:color w:val="000000"/>
          <w:sz w:val="24"/>
          <w:szCs w:val="24"/>
          <w:lang/>
        </w:rPr>
        <w:t>{Абзац перший пункту 94.11 статті 94 із змінами, внесеними згідно із Законом </w:t>
      </w:r>
      <w:hyperlink r:id="rId1824" w:anchor="n7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029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7" w:name="n2094"/>
      <w:bookmarkEnd w:id="3257"/>
      <w:r w:rsidRPr="008B264B">
        <w:rPr>
          <w:rFonts w:ascii="Times New Roman" w:eastAsia="Times New Roman" w:hAnsi="Times New Roman" w:cs="Times New Roman"/>
          <w:color w:val="000000"/>
          <w:sz w:val="24"/>
          <w:szCs w:val="24"/>
          <w:lang/>
        </w:rPr>
        <w:t>У всіх випадках, коли контролюючий орган вищого рівня або суд скасовує рішення про арешт майна, контролюючий орган вищого рівня проводить службове розслідування щодо мотивів прийняття керівником (його заступником або уповноваженою особою) контролюючого органу рішення про арешт майна та приймає рішення про притягнення винних до відповідальності відповідно до закону.</w:t>
      </w:r>
    </w:p>
    <w:p w14:paraId="7C4E38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8" w:name="n13966"/>
      <w:bookmarkEnd w:id="3258"/>
      <w:r w:rsidRPr="008B264B">
        <w:rPr>
          <w:rFonts w:ascii="Times New Roman" w:eastAsia="Times New Roman" w:hAnsi="Times New Roman" w:cs="Times New Roman"/>
          <w:i/>
          <w:iCs/>
          <w:color w:val="000000"/>
          <w:sz w:val="24"/>
          <w:szCs w:val="24"/>
          <w:lang/>
        </w:rPr>
        <w:t>{Абзац другий пункту 94.11 статті 94 із змінами, внесеними згідно із Законом </w:t>
      </w:r>
      <w:hyperlink r:id="rId1825" w:anchor="n7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E44A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59" w:name="n2095"/>
      <w:bookmarkEnd w:id="3259"/>
      <w:r w:rsidRPr="008B264B">
        <w:rPr>
          <w:rFonts w:ascii="Times New Roman" w:eastAsia="Times New Roman" w:hAnsi="Times New Roman" w:cs="Times New Roman"/>
          <w:color w:val="000000"/>
          <w:sz w:val="24"/>
          <w:szCs w:val="24"/>
          <w:lang/>
        </w:rPr>
        <w:t>94.12. При прийнятті рішення про арешт майна банку арешт не може бути накладено на його кореспондентський рахунок.</w:t>
      </w:r>
    </w:p>
    <w:p w14:paraId="54039E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0" w:name="n2096"/>
      <w:bookmarkEnd w:id="3260"/>
      <w:r w:rsidRPr="008B264B">
        <w:rPr>
          <w:rFonts w:ascii="Times New Roman" w:eastAsia="Times New Roman" w:hAnsi="Times New Roman" w:cs="Times New Roman"/>
          <w:color w:val="000000"/>
          <w:sz w:val="24"/>
          <w:szCs w:val="24"/>
          <w:lang/>
        </w:rPr>
        <w:t>94.13. Платник податків має право на відшкодування збитків та немайнової шкоди, завданих контролюючим органом внаслідок неправомірного застосування арешту майна такого платника податків, за рахунок коштів державного бюджету, передбачених контролюючим органам, згідно із законом. Рішення про таке відшкодування приймається судом.</w:t>
      </w:r>
    </w:p>
    <w:p w14:paraId="29F0F4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1" w:name="n2097"/>
      <w:bookmarkEnd w:id="3261"/>
      <w:r w:rsidRPr="008B264B">
        <w:rPr>
          <w:rFonts w:ascii="Times New Roman" w:eastAsia="Times New Roman" w:hAnsi="Times New Roman" w:cs="Times New Roman"/>
          <w:color w:val="000000"/>
          <w:sz w:val="24"/>
          <w:szCs w:val="24"/>
          <w:lang/>
        </w:rPr>
        <w:t>94.14. Функції виконавця рішення про арешт майна платника податків покладаються на податкового керуючого або іншого працівника контролюючого органу, призначеного його керівником (його заступником або уповноваженою особою) контролюючого органу. Виконавець рішення про арешт:</w:t>
      </w:r>
    </w:p>
    <w:p w14:paraId="1BE453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2" w:name="n13967"/>
      <w:bookmarkEnd w:id="3262"/>
      <w:r w:rsidRPr="008B264B">
        <w:rPr>
          <w:rFonts w:ascii="Times New Roman" w:eastAsia="Times New Roman" w:hAnsi="Times New Roman" w:cs="Times New Roman"/>
          <w:i/>
          <w:iCs/>
          <w:color w:val="000000"/>
          <w:sz w:val="24"/>
          <w:szCs w:val="24"/>
          <w:lang/>
        </w:rPr>
        <w:t>{Абзац перший пункту 94.14 статті 94 із змінами, внесеними згідно із Законом </w:t>
      </w:r>
      <w:hyperlink r:id="rId1826" w:anchor="n7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5C49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3" w:name="n2098"/>
      <w:bookmarkEnd w:id="3263"/>
      <w:r w:rsidRPr="008B264B">
        <w:rPr>
          <w:rFonts w:ascii="Times New Roman" w:eastAsia="Times New Roman" w:hAnsi="Times New Roman" w:cs="Times New Roman"/>
          <w:color w:val="000000"/>
          <w:sz w:val="24"/>
          <w:szCs w:val="24"/>
          <w:lang/>
        </w:rPr>
        <w:t>94.14.1. надсилає рішення про арешт майна відповідно до </w:t>
      </w:r>
      <w:hyperlink r:id="rId1827" w:anchor="n2077" w:history="1">
        <w:r w:rsidRPr="008B264B">
          <w:rPr>
            <w:rFonts w:ascii="Times New Roman" w:eastAsia="Times New Roman" w:hAnsi="Times New Roman" w:cs="Times New Roman"/>
            <w:color w:val="0000FF"/>
            <w:sz w:val="24"/>
            <w:szCs w:val="24"/>
            <w:u w:val="single"/>
            <w:lang/>
          </w:rPr>
          <w:t>пункту 94.6</w:t>
        </w:r>
      </w:hyperlink>
      <w:r w:rsidRPr="008B264B">
        <w:rPr>
          <w:rFonts w:ascii="Times New Roman" w:eastAsia="Times New Roman" w:hAnsi="Times New Roman" w:cs="Times New Roman"/>
          <w:color w:val="000000"/>
          <w:sz w:val="24"/>
          <w:szCs w:val="24"/>
          <w:lang/>
        </w:rPr>
        <w:t> цієї статті;</w:t>
      </w:r>
    </w:p>
    <w:p w14:paraId="6C7E6F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4" w:name="n2099"/>
      <w:bookmarkEnd w:id="3264"/>
      <w:r w:rsidRPr="008B264B">
        <w:rPr>
          <w:rFonts w:ascii="Times New Roman" w:eastAsia="Times New Roman" w:hAnsi="Times New Roman" w:cs="Times New Roman"/>
          <w:color w:val="000000"/>
          <w:sz w:val="24"/>
          <w:szCs w:val="24"/>
          <w:lang/>
        </w:rPr>
        <w:t>94.14.2. організовує опис майна платника податків.</w:t>
      </w:r>
    </w:p>
    <w:p w14:paraId="4996D3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5" w:name="n2100"/>
      <w:bookmarkEnd w:id="3265"/>
      <w:r w:rsidRPr="008B264B">
        <w:rPr>
          <w:rFonts w:ascii="Times New Roman" w:eastAsia="Times New Roman" w:hAnsi="Times New Roman" w:cs="Times New Roman"/>
          <w:color w:val="000000"/>
          <w:sz w:val="24"/>
          <w:szCs w:val="24"/>
          <w:lang/>
        </w:rPr>
        <w:t>94.15. Опис майна платника податків проводиться у присутності його посадових осіб чи їх представників, а також понятих.</w:t>
      </w:r>
    </w:p>
    <w:p w14:paraId="3A3991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6" w:name="n2101"/>
      <w:bookmarkEnd w:id="3266"/>
      <w:r w:rsidRPr="008B264B">
        <w:rPr>
          <w:rFonts w:ascii="Times New Roman" w:eastAsia="Times New Roman" w:hAnsi="Times New Roman" w:cs="Times New Roman"/>
          <w:color w:val="000000"/>
          <w:sz w:val="24"/>
          <w:szCs w:val="24"/>
          <w:lang/>
        </w:rPr>
        <w:t>У разі відсутності посадових осіб платника податків або їх представників опис його майна здійснюється у присутності понятих.</w:t>
      </w:r>
    </w:p>
    <w:p w14:paraId="4D844F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7" w:name="n2102"/>
      <w:bookmarkEnd w:id="3267"/>
      <w:r w:rsidRPr="008B264B">
        <w:rPr>
          <w:rFonts w:ascii="Times New Roman" w:eastAsia="Times New Roman" w:hAnsi="Times New Roman" w:cs="Times New Roman"/>
          <w:color w:val="000000"/>
          <w:sz w:val="24"/>
          <w:szCs w:val="24"/>
          <w:lang/>
        </w:rPr>
        <w:t>Для проведення опису майна у разі потреби залучається оцінювач.</w:t>
      </w:r>
    </w:p>
    <w:p w14:paraId="67F867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8" w:name="n2103"/>
      <w:bookmarkEnd w:id="3268"/>
      <w:r w:rsidRPr="008B264B">
        <w:rPr>
          <w:rFonts w:ascii="Times New Roman" w:eastAsia="Times New Roman" w:hAnsi="Times New Roman" w:cs="Times New Roman"/>
          <w:color w:val="000000"/>
          <w:sz w:val="24"/>
          <w:szCs w:val="24"/>
          <w:lang/>
        </w:rPr>
        <w:t>Представникам платника податків, майно якого підлягає адміністративному арешту, роз'яснюються їх права та обов'язки.</w:t>
      </w:r>
    </w:p>
    <w:p w14:paraId="3FB470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69" w:name="n2104"/>
      <w:bookmarkEnd w:id="3269"/>
      <w:r w:rsidRPr="008B264B">
        <w:rPr>
          <w:rFonts w:ascii="Times New Roman" w:eastAsia="Times New Roman" w:hAnsi="Times New Roman" w:cs="Times New Roman"/>
          <w:color w:val="000000"/>
          <w:sz w:val="24"/>
          <w:szCs w:val="24"/>
          <w:lang/>
        </w:rPr>
        <w:t>Понятими не можуть бути працівники контролюючих органів або правоохоронних органів, а також інші особи, участь яких як понятих обмежується </w:t>
      </w:r>
      <w:hyperlink r:id="rId1828" w:tgtFrame="_blank" w:history="1">
        <w:r w:rsidRPr="008B264B">
          <w:rPr>
            <w:rFonts w:ascii="Times New Roman" w:eastAsia="Times New Roman" w:hAnsi="Times New Roman" w:cs="Times New Roman"/>
            <w:color w:val="0000FF"/>
            <w:sz w:val="24"/>
            <w:szCs w:val="24"/>
            <w:u w:val="single"/>
            <w:lang/>
          </w:rPr>
          <w:t>Законом України "Про виконавче провадження"</w:t>
        </w:r>
      </w:hyperlink>
      <w:r w:rsidRPr="008B264B">
        <w:rPr>
          <w:rFonts w:ascii="Times New Roman" w:eastAsia="Times New Roman" w:hAnsi="Times New Roman" w:cs="Times New Roman"/>
          <w:color w:val="000000"/>
          <w:sz w:val="24"/>
          <w:szCs w:val="24"/>
          <w:lang/>
        </w:rPr>
        <w:t>.</w:t>
      </w:r>
    </w:p>
    <w:p w14:paraId="084A1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0" w:name="n2105"/>
      <w:bookmarkEnd w:id="3270"/>
      <w:r w:rsidRPr="008B264B">
        <w:rPr>
          <w:rFonts w:ascii="Times New Roman" w:eastAsia="Times New Roman" w:hAnsi="Times New Roman" w:cs="Times New Roman"/>
          <w:color w:val="000000"/>
          <w:sz w:val="24"/>
          <w:szCs w:val="24"/>
          <w:lang/>
        </w:rPr>
        <w:lastRenderedPageBreak/>
        <w:t>94.16. Під час опису майна платника податків особи, які його проводять, зобов'язані пред'явити посадовим особам такого платника податків або їх представникам відповідне рішення про накладення адміністративного арешту, а також документи, які засвідчують їх повноваження на проведення такого опису. За результатами проведення опису майна платника податків складається протокол, який містить опис та перелік майна, що арештовується, із зазначенням назви, кількості, мір ваги та індивідуальних ознак та за умови присутності оцінювача, вартості, визначеної таким оцінювачем. Усе майно, що підлягає опису, пред'являється посадовим особам платника податків або їх представникам і понятим, а за відсутності посадових осіб або їх представників - понятим, для огляду.</w:t>
      </w:r>
    </w:p>
    <w:p w14:paraId="1D683D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1" w:name="n2106"/>
      <w:bookmarkEnd w:id="3271"/>
      <w:r w:rsidRPr="008B264B">
        <w:rPr>
          <w:rFonts w:ascii="Times New Roman" w:eastAsia="Times New Roman" w:hAnsi="Times New Roman" w:cs="Times New Roman"/>
          <w:color w:val="000000"/>
          <w:sz w:val="24"/>
          <w:szCs w:val="24"/>
          <w:lang/>
        </w:rPr>
        <w:t>94.17. Посадова особа контролюючого органу, яка виконує рішення про адміністративний арешт майна платника податків, визначає порядок його збереження та охорони.</w:t>
      </w:r>
    </w:p>
    <w:p w14:paraId="42FE6A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2" w:name="n2107"/>
      <w:bookmarkEnd w:id="3272"/>
      <w:r w:rsidRPr="008B264B">
        <w:rPr>
          <w:rFonts w:ascii="Times New Roman" w:eastAsia="Times New Roman" w:hAnsi="Times New Roman" w:cs="Times New Roman"/>
          <w:color w:val="000000"/>
          <w:sz w:val="24"/>
          <w:szCs w:val="24"/>
          <w:lang/>
        </w:rPr>
        <w:t>94.18. Виконання заходів, передбачених </w:t>
      </w:r>
      <w:hyperlink r:id="rId1829" w:anchor="n2100" w:history="1">
        <w:r w:rsidRPr="008B264B">
          <w:rPr>
            <w:rFonts w:ascii="Times New Roman" w:eastAsia="Times New Roman" w:hAnsi="Times New Roman" w:cs="Times New Roman"/>
            <w:color w:val="0000FF"/>
            <w:sz w:val="24"/>
            <w:szCs w:val="24"/>
            <w:u w:val="single"/>
            <w:lang/>
          </w:rPr>
          <w:t>пунктами 94.15-94.17</w:t>
        </w:r>
      </w:hyperlink>
      <w:r w:rsidRPr="008B264B">
        <w:rPr>
          <w:rFonts w:ascii="Times New Roman" w:eastAsia="Times New Roman" w:hAnsi="Times New Roman" w:cs="Times New Roman"/>
          <w:color w:val="000000"/>
          <w:sz w:val="24"/>
          <w:szCs w:val="24"/>
          <w:lang/>
        </w:rPr>
        <w:t> цієї статті, у період з 20-ї години до 9-ї години наступного дня не допускається.</w:t>
      </w:r>
    </w:p>
    <w:p w14:paraId="35472F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3" w:name="n2108"/>
      <w:bookmarkEnd w:id="3273"/>
      <w:r w:rsidRPr="008B264B">
        <w:rPr>
          <w:rFonts w:ascii="Times New Roman" w:eastAsia="Times New Roman" w:hAnsi="Times New Roman" w:cs="Times New Roman"/>
          <w:color w:val="000000"/>
          <w:sz w:val="24"/>
          <w:szCs w:val="24"/>
          <w:lang/>
        </w:rPr>
        <w:t>94.19. Припинення адміністративного арешту майна платника податків здійснюється у зв'язку з:</w:t>
      </w:r>
    </w:p>
    <w:p w14:paraId="06FBB3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4" w:name="n2109"/>
      <w:bookmarkEnd w:id="3274"/>
      <w:r w:rsidRPr="008B264B">
        <w:rPr>
          <w:rFonts w:ascii="Times New Roman" w:eastAsia="Times New Roman" w:hAnsi="Times New Roman" w:cs="Times New Roman"/>
          <w:color w:val="000000"/>
          <w:sz w:val="24"/>
          <w:szCs w:val="24"/>
          <w:lang/>
        </w:rPr>
        <w:t>94.19.1. відсутністю протягом строку, зазначеного у </w:t>
      </w:r>
      <w:hyperlink r:id="rId1830" w:anchor="n2090" w:history="1">
        <w:r w:rsidRPr="008B264B">
          <w:rPr>
            <w:rFonts w:ascii="Times New Roman" w:eastAsia="Times New Roman" w:hAnsi="Times New Roman" w:cs="Times New Roman"/>
            <w:color w:val="0000FF"/>
            <w:sz w:val="24"/>
            <w:szCs w:val="24"/>
            <w:u w:val="single"/>
            <w:lang/>
          </w:rPr>
          <w:t>пункті 94.10</w:t>
        </w:r>
      </w:hyperlink>
      <w:r w:rsidRPr="008B264B">
        <w:rPr>
          <w:rFonts w:ascii="Times New Roman" w:eastAsia="Times New Roman" w:hAnsi="Times New Roman" w:cs="Times New Roman"/>
          <w:color w:val="000000"/>
          <w:sz w:val="24"/>
          <w:szCs w:val="24"/>
          <w:lang/>
        </w:rPr>
        <w:t>, рішення суду про визнання арешту обґрунтованим;</w:t>
      </w:r>
    </w:p>
    <w:p w14:paraId="012882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5" w:name="n2110"/>
      <w:bookmarkEnd w:id="3275"/>
      <w:r w:rsidRPr="008B264B">
        <w:rPr>
          <w:rFonts w:ascii="Times New Roman" w:eastAsia="Times New Roman" w:hAnsi="Times New Roman" w:cs="Times New Roman"/>
          <w:color w:val="000000"/>
          <w:sz w:val="24"/>
          <w:szCs w:val="24"/>
          <w:lang/>
        </w:rPr>
        <w:t>94.19.2. погашенням податкового боргу платника податків;</w:t>
      </w:r>
    </w:p>
    <w:p w14:paraId="0A134D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6" w:name="n2111"/>
      <w:bookmarkEnd w:id="3276"/>
      <w:r w:rsidRPr="008B264B">
        <w:rPr>
          <w:rFonts w:ascii="Times New Roman" w:eastAsia="Times New Roman" w:hAnsi="Times New Roman" w:cs="Times New Roman"/>
          <w:color w:val="000000"/>
          <w:sz w:val="24"/>
          <w:szCs w:val="24"/>
          <w:lang/>
        </w:rPr>
        <w:t>94.19.3. усуненням платником податків причин застосування адміністративного арешту;</w:t>
      </w:r>
    </w:p>
    <w:p w14:paraId="2181A0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7" w:name="n2112"/>
      <w:bookmarkEnd w:id="3277"/>
      <w:r w:rsidRPr="008B264B">
        <w:rPr>
          <w:rFonts w:ascii="Times New Roman" w:eastAsia="Times New Roman" w:hAnsi="Times New Roman" w:cs="Times New Roman"/>
          <w:color w:val="000000"/>
          <w:sz w:val="24"/>
          <w:szCs w:val="24"/>
          <w:lang/>
        </w:rPr>
        <w:t>94.19.4. ліквідацією платника податків, у тому числі внаслідок проведення процедури банкрутства;</w:t>
      </w:r>
    </w:p>
    <w:p w14:paraId="04F2AE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8" w:name="n2113"/>
      <w:bookmarkEnd w:id="3278"/>
      <w:r w:rsidRPr="008B264B">
        <w:rPr>
          <w:rFonts w:ascii="Times New Roman" w:eastAsia="Times New Roman" w:hAnsi="Times New Roman" w:cs="Times New Roman"/>
          <w:color w:val="000000"/>
          <w:sz w:val="24"/>
          <w:szCs w:val="24"/>
          <w:lang/>
        </w:rPr>
        <w:t>94.19.5. наданням відповідному контролюючому органу третьою особою належних доказів про належність арештованого майна до об'єктів права власності цієї третьої особи;</w:t>
      </w:r>
    </w:p>
    <w:p w14:paraId="6D2E6C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79" w:name="n2114"/>
      <w:bookmarkEnd w:id="3279"/>
      <w:r w:rsidRPr="008B264B">
        <w:rPr>
          <w:rFonts w:ascii="Times New Roman" w:eastAsia="Times New Roman" w:hAnsi="Times New Roman" w:cs="Times New Roman"/>
          <w:color w:val="000000"/>
          <w:sz w:val="24"/>
          <w:szCs w:val="24"/>
          <w:lang/>
        </w:rPr>
        <w:t>94.19.6. скасуванням судом або контролюючим органом рішення керівника (його заступника або уповноваженої особи) контролюючого органу про арешт;</w:t>
      </w:r>
    </w:p>
    <w:p w14:paraId="28FA6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0" w:name="n13968"/>
      <w:bookmarkEnd w:id="3280"/>
      <w:r w:rsidRPr="008B264B">
        <w:rPr>
          <w:rFonts w:ascii="Times New Roman" w:eastAsia="Times New Roman" w:hAnsi="Times New Roman" w:cs="Times New Roman"/>
          <w:i/>
          <w:iCs/>
          <w:color w:val="000000"/>
          <w:sz w:val="24"/>
          <w:szCs w:val="24"/>
          <w:lang/>
        </w:rPr>
        <w:t>{Підпункт 94.19.6 пункту 94.19 статті 94 із змінами, внесеними згідно із Законом </w:t>
      </w:r>
      <w:hyperlink r:id="rId1831" w:anchor="n7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D6D9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1" w:name="n2115"/>
      <w:bookmarkEnd w:id="3281"/>
      <w:r w:rsidRPr="008B264B">
        <w:rPr>
          <w:rFonts w:ascii="Times New Roman" w:eastAsia="Times New Roman" w:hAnsi="Times New Roman" w:cs="Times New Roman"/>
          <w:color w:val="000000"/>
          <w:sz w:val="24"/>
          <w:szCs w:val="24"/>
          <w:lang/>
        </w:rPr>
        <w:t>94.19.7. прийняттям судом рішення про припинення адміністративного арешту;</w:t>
      </w:r>
    </w:p>
    <w:p w14:paraId="326F4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2" w:name="n2116"/>
      <w:bookmarkEnd w:id="3282"/>
      <w:r w:rsidRPr="008B264B">
        <w:rPr>
          <w:rFonts w:ascii="Times New Roman" w:eastAsia="Times New Roman" w:hAnsi="Times New Roman" w:cs="Times New Roman"/>
          <w:color w:val="000000"/>
          <w:sz w:val="24"/>
          <w:szCs w:val="24"/>
          <w:lang/>
        </w:rPr>
        <w:t>94.19.8. пред'явленням платником податків дозволів (ліцензій) на провадження діяльності, а також документа, що підтверджує реєстрацію реєстраторів розрахункових операцій, здійснену в установленому законодавством порядку, крім випадків, визначених законодавством;</w:t>
      </w:r>
    </w:p>
    <w:p w14:paraId="7105A3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3" w:name="n2117"/>
      <w:bookmarkEnd w:id="3283"/>
      <w:r w:rsidRPr="008B264B">
        <w:rPr>
          <w:rFonts w:ascii="Times New Roman" w:eastAsia="Times New Roman" w:hAnsi="Times New Roman" w:cs="Times New Roman"/>
          <w:i/>
          <w:iCs/>
          <w:color w:val="000000"/>
          <w:sz w:val="24"/>
          <w:szCs w:val="24"/>
          <w:lang/>
        </w:rPr>
        <w:t>{Підпункт 94.19.8 пункту 94.19 статті 94 із змінами, внесеними згідно із Законами </w:t>
      </w:r>
      <w:hyperlink r:id="rId1832"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w:t>
      </w:r>
      <w:hyperlink r:id="rId183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1834" w:anchor="n11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1835" w:anchor="n1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836" w:anchor="n24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04E07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4" w:name="n2118"/>
      <w:bookmarkEnd w:id="3284"/>
      <w:r w:rsidRPr="008B264B">
        <w:rPr>
          <w:rFonts w:ascii="Times New Roman" w:eastAsia="Times New Roman" w:hAnsi="Times New Roman" w:cs="Times New Roman"/>
          <w:color w:val="000000"/>
          <w:sz w:val="24"/>
          <w:szCs w:val="24"/>
          <w:lang/>
        </w:rPr>
        <w:t>94.19.9. фактичним проведенням платником податків інвентаризації основних засобів, товарно-матеріальних цінностей, коштів, у тому числі зняття залишків товарно-матеріальних цінностей, готівки.</w:t>
      </w:r>
    </w:p>
    <w:p w14:paraId="4C935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5" w:name="n9503"/>
      <w:bookmarkEnd w:id="3285"/>
      <w:r w:rsidRPr="008B264B">
        <w:rPr>
          <w:rFonts w:ascii="Times New Roman" w:eastAsia="Times New Roman" w:hAnsi="Times New Roman" w:cs="Times New Roman"/>
          <w:i/>
          <w:iCs/>
          <w:color w:val="000000"/>
          <w:sz w:val="24"/>
          <w:szCs w:val="24"/>
          <w:lang/>
        </w:rPr>
        <w:t>{Підпункт 94.19.9 пункту 94.19 статті 94 із змінами, внесеними згідно із Законом </w:t>
      </w:r>
      <w:hyperlink r:id="rId1837" w:anchor="n6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C32CA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6" w:name="n2119"/>
      <w:bookmarkEnd w:id="3286"/>
      <w:r w:rsidRPr="008B264B">
        <w:rPr>
          <w:rFonts w:ascii="Times New Roman" w:eastAsia="Times New Roman" w:hAnsi="Times New Roman" w:cs="Times New Roman"/>
          <w:color w:val="000000"/>
          <w:sz w:val="24"/>
          <w:szCs w:val="24"/>
          <w:lang/>
        </w:rPr>
        <w:t>94.20. У випадках, визначених </w:t>
      </w:r>
      <w:hyperlink r:id="rId1838" w:anchor="n2110" w:history="1">
        <w:r w:rsidRPr="008B264B">
          <w:rPr>
            <w:rFonts w:ascii="Times New Roman" w:eastAsia="Times New Roman" w:hAnsi="Times New Roman" w:cs="Times New Roman"/>
            <w:color w:val="0000FF"/>
            <w:sz w:val="24"/>
            <w:szCs w:val="24"/>
            <w:u w:val="single"/>
            <w:lang/>
          </w:rPr>
          <w:t>підпунктами 94.19.2-94.19.4</w:t>
        </w:r>
      </w:hyperlink>
      <w:r w:rsidRPr="008B264B">
        <w:rPr>
          <w:rFonts w:ascii="Times New Roman" w:eastAsia="Times New Roman" w:hAnsi="Times New Roman" w:cs="Times New Roman"/>
          <w:color w:val="000000"/>
          <w:sz w:val="24"/>
          <w:szCs w:val="24"/>
          <w:lang/>
        </w:rPr>
        <w:t>, </w:t>
      </w:r>
      <w:hyperlink r:id="rId1839" w:anchor="n2116" w:history="1">
        <w:r w:rsidRPr="008B264B">
          <w:rPr>
            <w:rFonts w:ascii="Times New Roman" w:eastAsia="Times New Roman" w:hAnsi="Times New Roman" w:cs="Times New Roman"/>
            <w:color w:val="0000FF"/>
            <w:sz w:val="24"/>
            <w:szCs w:val="24"/>
            <w:u w:val="single"/>
            <w:lang/>
          </w:rPr>
          <w:t>94.19.8</w:t>
        </w:r>
      </w:hyperlink>
      <w:r w:rsidRPr="008B264B">
        <w:rPr>
          <w:rFonts w:ascii="Times New Roman" w:eastAsia="Times New Roman" w:hAnsi="Times New Roman" w:cs="Times New Roman"/>
          <w:color w:val="000000"/>
          <w:sz w:val="24"/>
          <w:szCs w:val="24"/>
          <w:lang/>
        </w:rPr>
        <w:t>, </w:t>
      </w:r>
      <w:hyperlink r:id="rId1840" w:anchor="n2118" w:history="1">
        <w:r w:rsidRPr="008B264B">
          <w:rPr>
            <w:rFonts w:ascii="Times New Roman" w:eastAsia="Times New Roman" w:hAnsi="Times New Roman" w:cs="Times New Roman"/>
            <w:color w:val="0000FF"/>
            <w:sz w:val="24"/>
            <w:szCs w:val="24"/>
            <w:u w:val="single"/>
            <w:lang/>
          </w:rPr>
          <w:t>94.19.9</w:t>
        </w:r>
      </w:hyperlink>
      <w:r w:rsidRPr="008B264B">
        <w:rPr>
          <w:rFonts w:ascii="Times New Roman" w:eastAsia="Times New Roman" w:hAnsi="Times New Roman" w:cs="Times New Roman"/>
          <w:color w:val="000000"/>
          <w:sz w:val="24"/>
          <w:szCs w:val="24"/>
          <w:lang/>
        </w:rPr>
        <w:t> пункту 94.19 цієї статті, рішення щодо звільнення з-під арешту майна приймається контролюючим органом протягом двох робочих днів, що наступають за днем, коли контролюючому органу стало відомо про виникнення підстав припинення адміністративного арешту.</w:t>
      </w:r>
    </w:p>
    <w:p w14:paraId="539860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7" w:name="n2120"/>
      <w:bookmarkEnd w:id="3287"/>
      <w:r w:rsidRPr="008B264B">
        <w:rPr>
          <w:rFonts w:ascii="Times New Roman" w:eastAsia="Times New Roman" w:hAnsi="Times New Roman" w:cs="Times New Roman"/>
          <w:i/>
          <w:iCs/>
          <w:color w:val="000000"/>
          <w:sz w:val="24"/>
          <w:szCs w:val="24"/>
          <w:lang/>
        </w:rPr>
        <w:t>{Абзац перший пункту 94.20 статті 94 із змінами, внесеними згідно із Законом </w:t>
      </w:r>
      <w:hyperlink r:id="rId184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7AF26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8" w:name="n2121"/>
      <w:bookmarkEnd w:id="3288"/>
      <w:r w:rsidRPr="008B264B">
        <w:rPr>
          <w:rFonts w:ascii="Times New Roman" w:eastAsia="Times New Roman" w:hAnsi="Times New Roman" w:cs="Times New Roman"/>
          <w:color w:val="000000"/>
          <w:sz w:val="24"/>
          <w:szCs w:val="24"/>
          <w:lang/>
        </w:rPr>
        <w:lastRenderedPageBreak/>
        <w:t>У разі якщо рішення про звільнення майна з-під арешту прийнято щодо арешту, який було визнано судом обґрунтованим, контролюючий орган повідомляє про своє рішення відповідний суд не пізніше наступного робочого дня.</w:t>
      </w:r>
    </w:p>
    <w:p w14:paraId="35554E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89" w:name="n2122"/>
      <w:bookmarkEnd w:id="3289"/>
      <w:r w:rsidRPr="008B264B">
        <w:rPr>
          <w:rFonts w:ascii="Times New Roman" w:eastAsia="Times New Roman" w:hAnsi="Times New Roman" w:cs="Times New Roman"/>
          <w:color w:val="000000"/>
          <w:sz w:val="24"/>
          <w:szCs w:val="24"/>
          <w:lang/>
        </w:rPr>
        <w:t>94.21. У разі якщо майно платника податків звільняється з-під адміністративного арешту у випадках, визначених </w:t>
      </w:r>
      <w:hyperlink r:id="rId1842" w:anchor="n2109" w:history="1">
        <w:r w:rsidRPr="008B264B">
          <w:rPr>
            <w:rFonts w:ascii="Times New Roman" w:eastAsia="Times New Roman" w:hAnsi="Times New Roman" w:cs="Times New Roman"/>
            <w:color w:val="0000FF"/>
            <w:sz w:val="24"/>
            <w:szCs w:val="24"/>
            <w:u w:val="single"/>
            <w:lang/>
          </w:rPr>
          <w:t>пунктами 94.19.1</w:t>
        </w:r>
      </w:hyperlink>
      <w:r w:rsidRPr="008B264B">
        <w:rPr>
          <w:rFonts w:ascii="Times New Roman" w:eastAsia="Times New Roman" w:hAnsi="Times New Roman" w:cs="Times New Roman"/>
          <w:color w:val="000000"/>
          <w:sz w:val="24"/>
          <w:szCs w:val="24"/>
          <w:lang/>
        </w:rPr>
        <w:t>, </w:t>
      </w:r>
      <w:hyperlink r:id="rId1843" w:anchor="n2114" w:history="1">
        <w:r w:rsidRPr="008B264B">
          <w:rPr>
            <w:rFonts w:ascii="Times New Roman" w:eastAsia="Times New Roman" w:hAnsi="Times New Roman" w:cs="Times New Roman"/>
            <w:color w:val="0000FF"/>
            <w:sz w:val="24"/>
            <w:szCs w:val="24"/>
            <w:u w:val="single"/>
            <w:lang/>
          </w:rPr>
          <w:t>94.19.6</w:t>
        </w:r>
      </w:hyperlink>
      <w:r w:rsidRPr="008B264B">
        <w:rPr>
          <w:rFonts w:ascii="Times New Roman" w:eastAsia="Times New Roman" w:hAnsi="Times New Roman" w:cs="Times New Roman"/>
          <w:color w:val="000000"/>
          <w:sz w:val="24"/>
          <w:szCs w:val="24"/>
          <w:lang/>
        </w:rPr>
        <w:t>, </w:t>
      </w:r>
      <w:hyperlink r:id="rId1844" w:anchor="n2115" w:history="1">
        <w:r w:rsidRPr="008B264B">
          <w:rPr>
            <w:rFonts w:ascii="Times New Roman" w:eastAsia="Times New Roman" w:hAnsi="Times New Roman" w:cs="Times New Roman"/>
            <w:color w:val="0000FF"/>
            <w:sz w:val="24"/>
            <w:szCs w:val="24"/>
            <w:u w:val="single"/>
            <w:lang/>
          </w:rPr>
          <w:t>94.19.7</w:t>
        </w:r>
      </w:hyperlink>
      <w:r w:rsidRPr="008B264B">
        <w:rPr>
          <w:rFonts w:ascii="Times New Roman" w:eastAsia="Times New Roman" w:hAnsi="Times New Roman" w:cs="Times New Roman"/>
          <w:color w:val="000000"/>
          <w:sz w:val="24"/>
          <w:szCs w:val="24"/>
          <w:lang/>
        </w:rPr>
        <w:t>, </w:t>
      </w:r>
      <w:hyperlink r:id="rId1845" w:anchor="n2118" w:history="1">
        <w:r w:rsidRPr="008B264B">
          <w:rPr>
            <w:rFonts w:ascii="Times New Roman" w:eastAsia="Times New Roman" w:hAnsi="Times New Roman" w:cs="Times New Roman"/>
            <w:color w:val="0000FF"/>
            <w:sz w:val="24"/>
            <w:szCs w:val="24"/>
            <w:u w:val="single"/>
            <w:lang/>
          </w:rPr>
          <w:t>94.19.9</w:t>
        </w:r>
      </w:hyperlink>
      <w:r w:rsidRPr="008B264B">
        <w:rPr>
          <w:rFonts w:ascii="Times New Roman" w:eastAsia="Times New Roman" w:hAnsi="Times New Roman" w:cs="Times New Roman"/>
          <w:color w:val="000000"/>
          <w:sz w:val="24"/>
          <w:szCs w:val="24"/>
          <w:lang/>
        </w:rPr>
        <w:t>, повторне накладення адміністративного арешту з підстав накладення першого арешту не дозволяється.</w:t>
      </w:r>
    </w:p>
    <w:p w14:paraId="24C266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0" w:name="n2123"/>
      <w:bookmarkEnd w:id="3290"/>
      <w:r w:rsidRPr="008B264B">
        <w:rPr>
          <w:rFonts w:ascii="Times New Roman" w:eastAsia="Times New Roman" w:hAnsi="Times New Roman" w:cs="Times New Roman"/>
          <w:b/>
          <w:bCs/>
          <w:color w:val="000000"/>
          <w:sz w:val="24"/>
          <w:szCs w:val="24"/>
          <w:lang/>
        </w:rPr>
        <w:t>Стаття 95.</w:t>
      </w:r>
      <w:r w:rsidRPr="008B264B">
        <w:rPr>
          <w:rFonts w:ascii="Times New Roman" w:eastAsia="Times New Roman" w:hAnsi="Times New Roman" w:cs="Times New Roman"/>
          <w:color w:val="000000"/>
          <w:sz w:val="24"/>
          <w:szCs w:val="24"/>
          <w:lang/>
        </w:rPr>
        <w:t> Продаж майна, що перебуває у податковій заставі</w:t>
      </w:r>
    </w:p>
    <w:p w14:paraId="50EE3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1" w:name="n2124"/>
      <w:bookmarkEnd w:id="3291"/>
      <w:r w:rsidRPr="008B264B">
        <w:rPr>
          <w:rFonts w:ascii="Times New Roman" w:eastAsia="Times New Roman" w:hAnsi="Times New Roman" w:cs="Times New Roman"/>
          <w:color w:val="000000"/>
          <w:sz w:val="24"/>
          <w:szCs w:val="24"/>
          <w:lang/>
        </w:rPr>
        <w:t>95.1. Контролюючий орган здійснює за платника податків і на користь держави заходи щодо погашення податкового боргу такого платника податків шляхом стягнення коштів, які перебувають у його власності, а в разі їх недостатності - шляхом продажу майна такого платника податків, яке перебуває у податковій заставі.</w:t>
      </w:r>
    </w:p>
    <w:p w14:paraId="5E605D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2" w:name="n2125"/>
      <w:bookmarkEnd w:id="3292"/>
      <w:r w:rsidRPr="008B264B">
        <w:rPr>
          <w:rFonts w:ascii="Times New Roman" w:eastAsia="Times New Roman" w:hAnsi="Times New Roman" w:cs="Times New Roman"/>
          <w:color w:val="000000"/>
          <w:sz w:val="24"/>
          <w:szCs w:val="24"/>
          <w:lang/>
        </w:rPr>
        <w:t>95.2. Стягнення коштів та продаж майна платника податків провадяться не раніше ніж через 60 календарних днів з дня надіслання (вручення) такому платнику податкової вимоги.</w:t>
      </w:r>
    </w:p>
    <w:p w14:paraId="31E913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3" w:name="n2126"/>
      <w:bookmarkEnd w:id="3293"/>
      <w:r w:rsidRPr="008B264B">
        <w:rPr>
          <w:rFonts w:ascii="Times New Roman" w:eastAsia="Times New Roman" w:hAnsi="Times New Roman" w:cs="Times New Roman"/>
          <w:i/>
          <w:iCs/>
          <w:color w:val="000000"/>
          <w:sz w:val="24"/>
          <w:szCs w:val="24"/>
          <w:lang/>
        </w:rPr>
        <w:t>{Пункт 95.2 статті 95 із змінами, внесеними згідно із Законом </w:t>
      </w:r>
      <w:hyperlink r:id="rId1846" w:anchor="n12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595EB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4" w:name="n2127"/>
      <w:bookmarkEnd w:id="3294"/>
      <w:r w:rsidRPr="008B264B">
        <w:rPr>
          <w:rFonts w:ascii="Times New Roman" w:eastAsia="Times New Roman" w:hAnsi="Times New Roman" w:cs="Times New Roman"/>
          <w:color w:val="000000"/>
          <w:sz w:val="24"/>
          <w:szCs w:val="24"/>
          <w:lang/>
        </w:rPr>
        <w:t>95.3. Стягнення коштів з рахунків платника податків у банках, обслуговуючих такого платника податків, та з рахунків платників податків у системі електронного адміністрування податку на додану вартість, відкритих в центральному органі виконавчої влади, що реалізує державну політику у сфері казначейського обслуговування бюджетних коштів, здійснюється за рішенням суду, яке направляється до виконання контролюючим органам, у розмірі суми податкового боргу або його частини.</w:t>
      </w:r>
    </w:p>
    <w:p w14:paraId="7375A3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5" w:name="n12378"/>
      <w:bookmarkEnd w:id="3295"/>
      <w:r w:rsidRPr="008B264B">
        <w:rPr>
          <w:rFonts w:ascii="Times New Roman" w:eastAsia="Times New Roman" w:hAnsi="Times New Roman" w:cs="Times New Roman"/>
          <w:i/>
          <w:iCs/>
          <w:color w:val="000000"/>
          <w:sz w:val="24"/>
          <w:szCs w:val="24"/>
          <w:lang/>
        </w:rPr>
        <w:t>{Абзац перший пункту 95.3 статті 95 із змінами, внесеними згідно із Законами </w:t>
      </w:r>
      <w:hyperlink r:id="rId1847" w:anchor="n7"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w:t>
      </w:r>
      <w:hyperlink r:id="rId1848" w:anchor="n7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31C4B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6" w:name="n2128"/>
      <w:bookmarkEnd w:id="3296"/>
      <w:r w:rsidRPr="008B264B">
        <w:rPr>
          <w:rFonts w:ascii="Times New Roman" w:eastAsia="Times New Roman" w:hAnsi="Times New Roman" w:cs="Times New Roman"/>
          <w:color w:val="000000"/>
          <w:sz w:val="24"/>
          <w:szCs w:val="24"/>
          <w:lang/>
        </w:rPr>
        <w:t>Контролюючий орган звертається до суду щодо надання дозволу на погашення усієї суми податкового боргу за рахунок майна платника податків, що перебуває у податковій заставі.</w:t>
      </w:r>
    </w:p>
    <w:p w14:paraId="6F845F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7" w:name="n2129"/>
      <w:bookmarkEnd w:id="3297"/>
      <w:r w:rsidRPr="008B264B">
        <w:rPr>
          <w:rFonts w:ascii="Times New Roman" w:eastAsia="Times New Roman" w:hAnsi="Times New Roman" w:cs="Times New Roman"/>
          <w:color w:val="000000"/>
          <w:sz w:val="24"/>
          <w:szCs w:val="24"/>
          <w:lang/>
        </w:rPr>
        <w:t>Рішення суду щодо надання вказаного дозволу є підставою для прийняття контролюючим органом рішення про погашення усієї суми податкового боргу. Рішення контролюючого органу підписується керівником (його заступником або уповноваженою особою) контролюючого органу та скріплюється гербовою печаткою контролюючого органу. Перелік відомостей, які зазначаються у такому рішенні, встановлюється центральним органом виконавчої влади, що забезпечує формування та реалізує державну фінансову політику.</w:t>
      </w:r>
    </w:p>
    <w:p w14:paraId="44521D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8" w:name="n13433"/>
      <w:bookmarkEnd w:id="3298"/>
      <w:r w:rsidRPr="008B264B">
        <w:rPr>
          <w:rFonts w:ascii="Times New Roman" w:eastAsia="Times New Roman" w:hAnsi="Times New Roman" w:cs="Times New Roman"/>
          <w:i/>
          <w:iCs/>
          <w:color w:val="000000"/>
          <w:sz w:val="24"/>
          <w:szCs w:val="24"/>
          <w:lang/>
        </w:rPr>
        <w:t>{Абзац третій пункту 95.3 статті 95 із змінами, внесеними згідно із Законами </w:t>
      </w:r>
      <w:hyperlink r:id="rId1849"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1850" w:anchor="n74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4D5A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299" w:name="n2130"/>
      <w:bookmarkEnd w:id="3299"/>
      <w:r w:rsidRPr="008B264B">
        <w:rPr>
          <w:rFonts w:ascii="Times New Roman" w:eastAsia="Times New Roman" w:hAnsi="Times New Roman" w:cs="Times New Roman"/>
          <w:color w:val="000000"/>
          <w:sz w:val="24"/>
          <w:szCs w:val="24"/>
          <w:lang/>
        </w:rPr>
        <w:t>95.4. Контролюючий орган на підставі рішення суду здійснює стягнення коштів у рахунок погашення податкового боргу за рахунок готівки, що належить такому платнику податків. Стягнення готівкових коштів здійснюється у </w:t>
      </w:r>
      <w:hyperlink r:id="rId1851" w:anchor="n13"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Кабінетом Міністрів України.</w:t>
      </w:r>
    </w:p>
    <w:p w14:paraId="3B9F2A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0" w:name="n2131"/>
      <w:bookmarkEnd w:id="3300"/>
      <w:r w:rsidRPr="008B264B">
        <w:rPr>
          <w:rFonts w:ascii="Times New Roman" w:eastAsia="Times New Roman" w:hAnsi="Times New Roman" w:cs="Times New Roman"/>
          <w:color w:val="000000"/>
          <w:sz w:val="24"/>
          <w:szCs w:val="24"/>
          <w:lang/>
        </w:rPr>
        <w:t>95.5. Вилучені відповідно до цієї статті готівкові кошти вносяться посадовою особою контролюючого органу до банку в день їх стягнення для перерахування до відповідного бюджету чи державного цільового фонду в рахунок погашення податкового боргу платника податків. У разі неможливості внесення зазначених коштів протягом того самого дня їх необхідно внести в банк наступного робочого дня. Забезпечення збереження зазначених коштів до моменту їх внесення в банк здійснюється відповідним контролюючим органом.</w:t>
      </w:r>
    </w:p>
    <w:p w14:paraId="641F03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1" w:name="n13970"/>
      <w:bookmarkEnd w:id="3301"/>
      <w:r w:rsidRPr="008B264B">
        <w:rPr>
          <w:rFonts w:ascii="Times New Roman" w:eastAsia="Times New Roman" w:hAnsi="Times New Roman" w:cs="Times New Roman"/>
          <w:color w:val="000000"/>
          <w:sz w:val="24"/>
          <w:szCs w:val="24"/>
          <w:lang/>
        </w:rPr>
        <w:t>У разі якщо податковий борг виник у результаті несплати грошового зобов’язання та/або пені, визначених платником податків у </w:t>
      </w:r>
      <w:hyperlink r:id="rId1852" w:anchor="n20" w:tgtFrame="_blank" w:history="1">
        <w:r w:rsidRPr="008B264B">
          <w:rPr>
            <w:rFonts w:ascii="Times New Roman" w:eastAsia="Times New Roman" w:hAnsi="Times New Roman" w:cs="Times New Roman"/>
            <w:color w:val="0000FF"/>
            <w:sz w:val="24"/>
            <w:szCs w:val="24"/>
            <w:u w:val="single"/>
            <w:lang/>
          </w:rPr>
          <w:t>податковій декларації</w:t>
        </w:r>
      </w:hyperlink>
      <w:r w:rsidRPr="008B264B">
        <w:rPr>
          <w:rFonts w:ascii="Times New Roman" w:eastAsia="Times New Roman" w:hAnsi="Times New Roman" w:cs="Times New Roman"/>
          <w:color w:val="000000"/>
          <w:sz w:val="24"/>
          <w:szCs w:val="24"/>
          <w:lang/>
        </w:rPr>
        <w:t xml:space="preserve"> або уточнюючому розрахунку, що подається контролюючому органу в установлені цим Кодексом строки, стягнення коштів за рахунок готівки, що належить такому платнику податків, та/або коштів з рахунків такого платника у банках здійснюється за рішенням керівника (його заступника або уповноваженої </w:t>
      </w:r>
      <w:r w:rsidRPr="008B264B">
        <w:rPr>
          <w:rFonts w:ascii="Times New Roman" w:eastAsia="Times New Roman" w:hAnsi="Times New Roman" w:cs="Times New Roman"/>
          <w:color w:val="000000"/>
          <w:sz w:val="24"/>
          <w:szCs w:val="24"/>
          <w:lang/>
        </w:rPr>
        <w:lastRenderedPageBreak/>
        <w:t>особи) контролюючого органу без звернення до суду, за умови якщо такий податковий борг перевищує 5 мільйонів гривень та не сплачується протягом 90 календарних днів, наступних за останнім днем граничного строку його сплати, та відсутні зобов’язання держави щодо повернення такому платнику податків помилково та/або надміру сплачених ним грошових зобов’язань.</w:t>
      </w:r>
    </w:p>
    <w:p w14:paraId="14DD1B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2" w:name="n13978"/>
      <w:bookmarkEnd w:id="3302"/>
      <w:r w:rsidRPr="008B264B">
        <w:rPr>
          <w:rFonts w:ascii="Times New Roman" w:eastAsia="Times New Roman" w:hAnsi="Times New Roman" w:cs="Times New Roman"/>
          <w:i/>
          <w:iCs/>
          <w:color w:val="000000"/>
          <w:sz w:val="24"/>
          <w:szCs w:val="24"/>
          <w:lang/>
        </w:rPr>
        <w:t>{Пункт 95.5 статті 95 доповнено абзацом другим згідно із Законом </w:t>
      </w:r>
      <w:hyperlink r:id="rId1853" w:anchor="n7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63B0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3" w:name="n13971"/>
      <w:bookmarkEnd w:id="3303"/>
      <w:r w:rsidRPr="008B264B">
        <w:rPr>
          <w:rFonts w:ascii="Times New Roman" w:eastAsia="Times New Roman" w:hAnsi="Times New Roman" w:cs="Times New Roman"/>
          <w:color w:val="000000"/>
          <w:sz w:val="24"/>
          <w:szCs w:val="24"/>
          <w:lang/>
        </w:rPr>
        <w:t>У таких випадках:</w:t>
      </w:r>
    </w:p>
    <w:p w14:paraId="687E50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4" w:name="n13977"/>
      <w:bookmarkEnd w:id="3304"/>
      <w:r w:rsidRPr="008B264B">
        <w:rPr>
          <w:rFonts w:ascii="Times New Roman" w:eastAsia="Times New Roman" w:hAnsi="Times New Roman" w:cs="Times New Roman"/>
          <w:i/>
          <w:iCs/>
          <w:color w:val="000000"/>
          <w:sz w:val="24"/>
          <w:szCs w:val="24"/>
          <w:lang/>
        </w:rPr>
        <w:t>{Пункт 95.5 статті 95 доповнено абзацом третім згідно із Законом </w:t>
      </w:r>
      <w:hyperlink r:id="rId1854" w:anchor="n7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0E3A6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5" w:name="n13972"/>
      <w:bookmarkEnd w:id="3305"/>
      <w:r w:rsidRPr="008B264B">
        <w:rPr>
          <w:rFonts w:ascii="Times New Roman" w:eastAsia="Times New Roman" w:hAnsi="Times New Roman" w:cs="Times New Roman"/>
          <w:color w:val="000000"/>
          <w:sz w:val="24"/>
          <w:szCs w:val="24"/>
          <w:lang/>
        </w:rPr>
        <w:t>рішення про стягнення коштів з рахунків такого платника податків у банках є вимогою стягувача до боржника, що підлягає негайному та обов’язковому виконанню шляхом ініціювання переказу у платіжній системі за правилами відповідної платіжної системи;</w:t>
      </w:r>
    </w:p>
    <w:p w14:paraId="48682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6" w:name="n13976"/>
      <w:bookmarkEnd w:id="3306"/>
      <w:r w:rsidRPr="008B264B">
        <w:rPr>
          <w:rFonts w:ascii="Times New Roman" w:eastAsia="Times New Roman" w:hAnsi="Times New Roman" w:cs="Times New Roman"/>
          <w:i/>
          <w:iCs/>
          <w:color w:val="000000"/>
          <w:sz w:val="24"/>
          <w:szCs w:val="24"/>
          <w:lang/>
        </w:rPr>
        <w:t>{Пункт 95.5 статті 95 доповнено абзацом четвертим згідно із Законом </w:t>
      </w:r>
      <w:hyperlink r:id="rId1855" w:anchor="n7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2249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7" w:name="n13973"/>
      <w:bookmarkEnd w:id="3307"/>
      <w:r w:rsidRPr="008B264B">
        <w:rPr>
          <w:rFonts w:ascii="Times New Roman" w:eastAsia="Times New Roman" w:hAnsi="Times New Roman" w:cs="Times New Roman"/>
          <w:color w:val="000000"/>
          <w:sz w:val="24"/>
          <w:szCs w:val="24"/>
          <w:lang/>
        </w:rPr>
        <w:t>рішення про стягнення готівкових коштів вручається такому платнику податків і є підставою для стягнення.</w:t>
      </w:r>
    </w:p>
    <w:p w14:paraId="416BB6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8" w:name="n13975"/>
      <w:bookmarkEnd w:id="3308"/>
      <w:r w:rsidRPr="008B264B">
        <w:rPr>
          <w:rFonts w:ascii="Times New Roman" w:eastAsia="Times New Roman" w:hAnsi="Times New Roman" w:cs="Times New Roman"/>
          <w:i/>
          <w:iCs/>
          <w:color w:val="000000"/>
          <w:sz w:val="24"/>
          <w:szCs w:val="24"/>
          <w:lang/>
        </w:rPr>
        <w:t>{Пункт 95.5 статті 95 доповнено абзацом п'ятим згідно із Законом </w:t>
      </w:r>
      <w:hyperlink r:id="rId1856" w:anchor="n7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C39D3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09" w:name="n13974"/>
      <w:bookmarkEnd w:id="3309"/>
      <w:r w:rsidRPr="008B264B">
        <w:rPr>
          <w:rFonts w:ascii="Times New Roman" w:eastAsia="Times New Roman" w:hAnsi="Times New Roman" w:cs="Times New Roman"/>
          <w:color w:val="000000"/>
          <w:sz w:val="24"/>
          <w:szCs w:val="24"/>
          <w:lang/>
        </w:rPr>
        <w:t>Стягнення готівкових коштів здійснюється у порядку, визначеному Кабінетом Міністрів України.</w:t>
      </w:r>
    </w:p>
    <w:p w14:paraId="318293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0" w:name="n13969"/>
      <w:bookmarkEnd w:id="3310"/>
      <w:r w:rsidRPr="008B264B">
        <w:rPr>
          <w:rFonts w:ascii="Times New Roman" w:eastAsia="Times New Roman" w:hAnsi="Times New Roman" w:cs="Times New Roman"/>
          <w:i/>
          <w:iCs/>
          <w:color w:val="000000"/>
          <w:sz w:val="24"/>
          <w:szCs w:val="24"/>
          <w:lang/>
        </w:rPr>
        <w:t>{Пункт 95.5 статті 95 доповнено абзацом шостим згідно із Законом </w:t>
      </w:r>
      <w:hyperlink r:id="rId1857" w:anchor="n74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7439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1" w:name="n2132"/>
      <w:bookmarkEnd w:id="3311"/>
      <w:r w:rsidRPr="008B264B">
        <w:rPr>
          <w:rFonts w:ascii="Times New Roman" w:eastAsia="Times New Roman" w:hAnsi="Times New Roman" w:cs="Times New Roman"/>
          <w:color w:val="000000"/>
          <w:sz w:val="24"/>
          <w:szCs w:val="24"/>
          <w:lang/>
        </w:rPr>
        <w:t>95.6. У разі якщо сума коштів, отримана у результаті продажу майна платника податків, перевищує суму його грошового зобов'язання та податкового боргу, різниця перераховується на рахунки такого платника податків або його правонаступників.</w:t>
      </w:r>
    </w:p>
    <w:p w14:paraId="7AD4DF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2" w:name="n2133"/>
      <w:bookmarkEnd w:id="3312"/>
      <w:r w:rsidRPr="008B264B">
        <w:rPr>
          <w:rFonts w:ascii="Times New Roman" w:eastAsia="Times New Roman" w:hAnsi="Times New Roman" w:cs="Times New Roman"/>
          <w:color w:val="000000"/>
          <w:sz w:val="24"/>
          <w:szCs w:val="24"/>
          <w:lang/>
        </w:rPr>
        <w:t>95.7. Продаж майна платника податків здійснюється на публічних торгах та/або через торгівельні організації.</w:t>
      </w:r>
    </w:p>
    <w:p w14:paraId="53962D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3" w:name="n2134"/>
      <w:bookmarkEnd w:id="3313"/>
      <w:r w:rsidRPr="008B264B">
        <w:rPr>
          <w:rFonts w:ascii="Times New Roman" w:eastAsia="Times New Roman" w:hAnsi="Times New Roman" w:cs="Times New Roman"/>
          <w:color w:val="000000"/>
          <w:sz w:val="24"/>
          <w:szCs w:val="24"/>
          <w:lang/>
        </w:rPr>
        <w:t>Продаж майна платника податків на публічних торгах здійснюється у такому порядку:</w:t>
      </w:r>
    </w:p>
    <w:p w14:paraId="436D49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4" w:name="n2135"/>
      <w:bookmarkEnd w:id="3314"/>
      <w:r w:rsidRPr="008B264B">
        <w:rPr>
          <w:rFonts w:ascii="Times New Roman" w:eastAsia="Times New Roman" w:hAnsi="Times New Roman" w:cs="Times New Roman"/>
          <w:color w:val="000000"/>
          <w:sz w:val="24"/>
          <w:szCs w:val="24"/>
          <w:lang/>
        </w:rPr>
        <w:t>95.7.1. майно, яке може бути згруповано та стандартизовано, підлягає продажу за кошти виключно на біржових торгах, які проводяться біржами, що створені відповідно до закону і визначені контролюючим органом на конкурсних засадах;</w:t>
      </w:r>
    </w:p>
    <w:p w14:paraId="52AF29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5" w:name="n2136"/>
      <w:bookmarkEnd w:id="3315"/>
      <w:r w:rsidRPr="008B264B">
        <w:rPr>
          <w:rFonts w:ascii="Times New Roman" w:eastAsia="Times New Roman" w:hAnsi="Times New Roman" w:cs="Times New Roman"/>
          <w:color w:val="000000"/>
          <w:sz w:val="24"/>
          <w:szCs w:val="24"/>
          <w:lang/>
        </w:rPr>
        <w:t>95.7.2. цінні папери - на фондових біржах у порядку, встановленому </w:t>
      </w:r>
      <w:hyperlink r:id="rId1858" w:tgtFrame="_blank" w:history="1">
        <w:r w:rsidRPr="008B264B">
          <w:rPr>
            <w:rFonts w:ascii="Times New Roman" w:eastAsia="Times New Roman" w:hAnsi="Times New Roman" w:cs="Times New Roman"/>
            <w:color w:val="0000FF"/>
            <w:sz w:val="24"/>
            <w:szCs w:val="24"/>
            <w:u w:val="single"/>
            <w:lang/>
          </w:rPr>
          <w:t>Законом України "Про цінні папери та фондовий ринок"</w:t>
        </w:r>
      </w:hyperlink>
      <w:r w:rsidRPr="008B264B">
        <w:rPr>
          <w:rFonts w:ascii="Times New Roman" w:eastAsia="Times New Roman" w:hAnsi="Times New Roman" w:cs="Times New Roman"/>
          <w:color w:val="000000"/>
          <w:sz w:val="24"/>
          <w:szCs w:val="24"/>
          <w:lang/>
        </w:rPr>
        <w:t>;</w:t>
      </w:r>
    </w:p>
    <w:p w14:paraId="24DD4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6" w:name="n2137"/>
      <w:bookmarkEnd w:id="3316"/>
      <w:r w:rsidRPr="008B264B">
        <w:rPr>
          <w:rFonts w:ascii="Times New Roman" w:eastAsia="Times New Roman" w:hAnsi="Times New Roman" w:cs="Times New Roman"/>
          <w:color w:val="000000"/>
          <w:sz w:val="24"/>
          <w:szCs w:val="24"/>
          <w:lang/>
        </w:rPr>
        <w:t>95.7.3. інше майно, об'єкти рухомого чи нерухомого майна, а також цілісні майнові комплекси підприємств підлягають продажу за кошти виключно на цільових аукціонах, які організовуються за поданням відповідного контролюючого органу на зазначених біржах.</w:t>
      </w:r>
    </w:p>
    <w:p w14:paraId="57B5BB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7" w:name="n2138"/>
      <w:bookmarkEnd w:id="3317"/>
      <w:r w:rsidRPr="008B264B">
        <w:rPr>
          <w:rFonts w:ascii="Times New Roman" w:eastAsia="Times New Roman" w:hAnsi="Times New Roman" w:cs="Times New Roman"/>
          <w:color w:val="000000"/>
          <w:sz w:val="24"/>
          <w:szCs w:val="24"/>
          <w:lang/>
        </w:rPr>
        <w:t>95.8. Майно, що швидко псується, а також інше майно, обсяги якого не є достатніми для організації прилюдних торгів, підлягають продажу за кошти на комісійних умовах через організації торгівлі, визначені контролюючим органом на конкурсних засадах.</w:t>
      </w:r>
    </w:p>
    <w:p w14:paraId="71DF7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8" w:name="n2139"/>
      <w:bookmarkEnd w:id="3318"/>
      <w:r w:rsidRPr="008B264B">
        <w:rPr>
          <w:rFonts w:ascii="Times New Roman" w:eastAsia="Times New Roman" w:hAnsi="Times New Roman" w:cs="Times New Roman"/>
          <w:color w:val="000000"/>
          <w:sz w:val="24"/>
          <w:szCs w:val="24"/>
          <w:lang/>
        </w:rPr>
        <w:t>Майно боржника, щодо обігу якого встановлено обмеження законом, продається на закритих торгах, які проводяться на умовах змагальності. У таких закритих торгах беруть участь особи, які відповідно до законодавства можуть мати зазначене майно у власності чи на підставі іншого речового права.</w:t>
      </w:r>
    </w:p>
    <w:p w14:paraId="249D4C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19" w:name="n2140"/>
      <w:bookmarkEnd w:id="3319"/>
      <w:r w:rsidRPr="008B264B">
        <w:rPr>
          <w:rFonts w:ascii="Times New Roman" w:eastAsia="Times New Roman" w:hAnsi="Times New Roman" w:cs="Times New Roman"/>
          <w:color w:val="000000"/>
          <w:sz w:val="24"/>
          <w:szCs w:val="24"/>
          <w:lang/>
        </w:rPr>
        <w:lastRenderedPageBreak/>
        <w:t>95.9. У разі якщо продажу підлягає цілісний майновий комплекс підприємства, майно якого перебуває у державній або комунальній власності, чи якщо згідно із законодавством з питань приватизації для відчуження майна підприємства необхідна попередня згода органу приватизації або іншого державного органу, уповноваженого здійснювати управління корпоративними правами, продаж майна такого підприємства організовується державним органом приватизації за поданням відповідного контролюючого органу із дотриманням законодавства з питань приватизації. При цьому інші способи приватизації, крім грошової, не дозволяються.</w:t>
      </w:r>
    </w:p>
    <w:p w14:paraId="417994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0" w:name="n2141"/>
      <w:bookmarkEnd w:id="3320"/>
      <w:r w:rsidRPr="008B264B">
        <w:rPr>
          <w:rFonts w:ascii="Times New Roman" w:eastAsia="Times New Roman" w:hAnsi="Times New Roman" w:cs="Times New Roman"/>
          <w:color w:val="000000"/>
          <w:sz w:val="24"/>
          <w:szCs w:val="24"/>
          <w:lang/>
        </w:rPr>
        <w:t>Державний орган приватизації зобов'язаний організувати продаж цілісного майнового комплексу протягом 60 календарних днів з дня надходження подання контролюючого органу.</w:t>
      </w:r>
    </w:p>
    <w:p w14:paraId="7033D6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1" w:name="n2142"/>
      <w:bookmarkEnd w:id="3321"/>
      <w:r w:rsidRPr="008B264B">
        <w:rPr>
          <w:rFonts w:ascii="Times New Roman" w:eastAsia="Times New Roman" w:hAnsi="Times New Roman" w:cs="Times New Roman"/>
          <w:color w:val="000000"/>
          <w:sz w:val="24"/>
          <w:szCs w:val="24"/>
          <w:lang/>
        </w:rPr>
        <w:t>95.10. З метою реалізації майна, яке перебуває у податковій заставі, проводиться експертна оцінка вартості такого майна для визначення початкової ціни його продажу. Така оцінка проводиться у порядку, визначеному </w:t>
      </w:r>
      <w:hyperlink r:id="rId1859" w:tgtFrame="_blank" w:history="1">
        <w:r w:rsidRPr="008B264B">
          <w:rPr>
            <w:rFonts w:ascii="Times New Roman" w:eastAsia="Times New Roman" w:hAnsi="Times New Roman" w:cs="Times New Roman"/>
            <w:color w:val="0000FF"/>
            <w:sz w:val="24"/>
            <w:szCs w:val="24"/>
            <w:u w:val="single"/>
            <w:lang/>
          </w:rPr>
          <w:t>Законом України "Про оцінку майна, майнових прав та професійну оціночну діяльність в Україні"</w:t>
        </w:r>
      </w:hyperlink>
      <w:r w:rsidRPr="008B264B">
        <w:rPr>
          <w:rFonts w:ascii="Times New Roman" w:eastAsia="Times New Roman" w:hAnsi="Times New Roman" w:cs="Times New Roman"/>
          <w:color w:val="000000"/>
          <w:sz w:val="24"/>
          <w:szCs w:val="24"/>
          <w:lang/>
        </w:rPr>
        <w:t>.</w:t>
      </w:r>
    </w:p>
    <w:p w14:paraId="0FB9E9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2" w:name="n2143"/>
      <w:bookmarkEnd w:id="3322"/>
      <w:r w:rsidRPr="008B264B">
        <w:rPr>
          <w:rFonts w:ascii="Times New Roman" w:eastAsia="Times New Roman" w:hAnsi="Times New Roman" w:cs="Times New Roman"/>
          <w:color w:val="000000"/>
          <w:sz w:val="24"/>
          <w:szCs w:val="24"/>
          <w:lang/>
        </w:rPr>
        <w:t>95.11. Не проводиться оцінка майна, яке може бути згруповано або стандартизовано чи має курсову (поточну) біржову вартість та/або перебуває у лістингу товарних бірж.</w:t>
      </w:r>
    </w:p>
    <w:p w14:paraId="6A401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3" w:name="n2144"/>
      <w:bookmarkEnd w:id="3323"/>
      <w:r w:rsidRPr="008B264B">
        <w:rPr>
          <w:rFonts w:ascii="Times New Roman" w:eastAsia="Times New Roman" w:hAnsi="Times New Roman" w:cs="Times New Roman"/>
          <w:color w:val="000000"/>
          <w:sz w:val="24"/>
          <w:szCs w:val="24"/>
          <w:lang/>
        </w:rPr>
        <w:t>95.12. Платник податків має право самостійно здійснити оцінку шляхом укладення договору з оцінювачем. Якщо платник податків самостійно не здійснює оцінку протягом двох місяців з дня прийняття рішення про реалізацію майна, контролюючий орган самостійно укладає договір про проведення оцінки майна.</w:t>
      </w:r>
    </w:p>
    <w:p w14:paraId="371DC5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4" w:name="n2145"/>
      <w:bookmarkEnd w:id="3324"/>
      <w:r w:rsidRPr="008B264B">
        <w:rPr>
          <w:rFonts w:ascii="Times New Roman" w:eastAsia="Times New Roman" w:hAnsi="Times New Roman" w:cs="Times New Roman"/>
          <w:color w:val="000000"/>
          <w:sz w:val="24"/>
          <w:szCs w:val="24"/>
          <w:lang/>
        </w:rPr>
        <w:t>95.13. Під час продажу майна на товарних біржах контролюючий орган укладає відповідний договір з брокером (брокерською конторою), яка вчиняє дії з продажу такого майна за дорученням контролюючого органу на умовах найкращої цінової пропозиції.</w:t>
      </w:r>
    </w:p>
    <w:p w14:paraId="0C21F1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5" w:name="n2146"/>
      <w:bookmarkEnd w:id="3325"/>
      <w:r w:rsidRPr="008B264B">
        <w:rPr>
          <w:rFonts w:ascii="Times New Roman" w:eastAsia="Times New Roman" w:hAnsi="Times New Roman" w:cs="Times New Roman"/>
          <w:color w:val="000000"/>
          <w:sz w:val="24"/>
          <w:szCs w:val="24"/>
          <w:lang/>
        </w:rPr>
        <w:t>95.14. Покупець майна, яке перебуває у податковій заставі, набуває права власності на таке майно відповідно до умов, визначених у договорі купівлі-продажу, що укладається за результатами проведених торгів.</w:t>
      </w:r>
    </w:p>
    <w:p w14:paraId="0D2CC8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6" w:name="n13983"/>
      <w:bookmarkEnd w:id="3326"/>
      <w:r w:rsidRPr="008B264B">
        <w:rPr>
          <w:rFonts w:ascii="Times New Roman" w:eastAsia="Times New Roman" w:hAnsi="Times New Roman" w:cs="Times New Roman"/>
          <w:color w:val="000000"/>
          <w:sz w:val="24"/>
          <w:szCs w:val="24"/>
          <w:lang/>
        </w:rPr>
        <w:t>Договір купівлі-продажу майна, що укладається за результатами проведених торгів, обов’язково має бути підписаний платником податків - боржником, майно якого було продано на торгах.</w:t>
      </w:r>
    </w:p>
    <w:p w14:paraId="0A21ED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7" w:name="n13985"/>
      <w:bookmarkEnd w:id="3327"/>
      <w:r w:rsidRPr="008B264B">
        <w:rPr>
          <w:rFonts w:ascii="Times New Roman" w:eastAsia="Times New Roman" w:hAnsi="Times New Roman" w:cs="Times New Roman"/>
          <w:i/>
          <w:iCs/>
          <w:color w:val="000000"/>
          <w:sz w:val="24"/>
          <w:szCs w:val="24"/>
          <w:lang/>
        </w:rPr>
        <w:t>{Пункт 95.5 статті 95 доповнено абзацом другим згідно із Законом </w:t>
      </w:r>
      <w:hyperlink r:id="rId1860" w:anchor="n7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29B31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8" w:name="n13984"/>
      <w:bookmarkEnd w:id="3328"/>
      <w:r w:rsidRPr="008B264B">
        <w:rPr>
          <w:rFonts w:ascii="Times New Roman" w:eastAsia="Times New Roman" w:hAnsi="Times New Roman" w:cs="Times New Roman"/>
          <w:color w:val="000000"/>
          <w:sz w:val="24"/>
          <w:szCs w:val="24"/>
          <w:lang/>
        </w:rPr>
        <w:t>У разі відмови боржника від підписання договору купівлі-продажу такий договір підписується керівником (його заступником або уповноваженою особою) контролюючого органу, за дорученням якого здійснювався продаж майна, у присутності не менш як двох понятих.</w:t>
      </w:r>
    </w:p>
    <w:p w14:paraId="26D4F6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29" w:name="n13982"/>
      <w:bookmarkEnd w:id="3329"/>
      <w:r w:rsidRPr="008B264B">
        <w:rPr>
          <w:rFonts w:ascii="Times New Roman" w:eastAsia="Times New Roman" w:hAnsi="Times New Roman" w:cs="Times New Roman"/>
          <w:i/>
          <w:iCs/>
          <w:color w:val="000000"/>
          <w:sz w:val="24"/>
          <w:szCs w:val="24"/>
          <w:lang/>
        </w:rPr>
        <w:t>{Пункт 95.5 статті 95 доповнено абзацом третім згідно із Законом </w:t>
      </w:r>
      <w:hyperlink r:id="rId1861" w:anchor="n7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30FD8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0" w:name="n13980"/>
      <w:bookmarkEnd w:id="3330"/>
      <w:r w:rsidRPr="008B264B">
        <w:rPr>
          <w:rFonts w:ascii="Times New Roman" w:eastAsia="Times New Roman" w:hAnsi="Times New Roman" w:cs="Times New Roman"/>
          <w:i/>
          <w:iCs/>
          <w:color w:val="000000"/>
          <w:sz w:val="24"/>
          <w:szCs w:val="24"/>
          <w:lang/>
        </w:rPr>
        <w:t>{Пункт 95.14 статті 95 із змінами, внесеними згідно із Законом </w:t>
      </w:r>
      <w:hyperlink r:id="rId1862" w:anchor="n7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EE9A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1" w:name="n2147"/>
      <w:bookmarkEnd w:id="3331"/>
      <w:r w:rsidRPr="008B264B">
        <w:rPr>
          <w:rFonts w:ascii="Times New Roman" w:eastAsia="Times New Roman" w:hAnsi="Times New Roman" w:cs="Times New Roman"/>
          <w:color w:val="000000"/>
          <w:sz w:val="24"/>
          <w:szCs w:val="24"/>
          <w:lang/>
        </w:rPr>
        <w:t>95.15. </w:t>
      </w:r>
      <w:hyperlink r:id="rId1863" w:anchor="n28" w:tgtFrame="_blank" w:history="1">
        <w:r w:rsidRPr="008B264B">
          <w:rPr>
            <w:rFonts w:ascii="Times New Roman" w:eastAsia="Times New Roman" w:hAnsi="Times New Roman" w:cs="Times New Roman"/>
            <w:color w:val="0000FF"/>
            <w:sz w:val="24"/>
            <w:szCs w:val="24"/>
            <w:u w:val="single"/>
            <w:lang/>
          </w:rPr>
          <w:t>Порядок збільшення або зменшення початкової ціни продажу майна платника податків</w:t>
        </w:r>
      </w:hyperlink>
      <w:r w:rsidRPr="008B264B">
        <w:rPr>
          <w:rFonts w:ascii="Times New Roman" w:eastAsia="Times New Roman" w:hAnsi="Times New Roman" w:cs="Times New Roman"/>
          <w:color w:val="000000"/>
          <w:sz w:val="24"/>
          <w:szCs w:val="24"/>
          <w:lang/>
        </w:rPr>
        <w:t> визначається Кабінетом Міністрів України, крім випадків, визначених пунктом 95.9 цієї статті, які регулюються законодавством про приватизацію.</w:t>
      </w:r>
    </w:p>
    <w:p w14:paraId="59A61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2" w:name="n2148"/>
      <w:bookmarkEnd w:id="3332"/>
      <w:r w:rsidRPr="008B264B">
        <w:rPr>
          <w:rFonts w:ascii="Times New Roman" w:eastAsia="Times New Roman" w:hAnsi="Times New Roman" w:cs="Times New Roman"/>
          <w:color w:val="000000"/>
          <w:sz w:val="24"/>
          <w:szCs w:val="24"/>
          <w:lang/>
        </w:rPr>
        <w:t>95.16. Інформація про склад майна платників податків, призначеного для продажу, оприлюднюється відповідною біржею. Компенсація витрат, пов'язаних з організацією і проведенням торгів з продажу майна платника податків, що перебуває у податковій заставі, та оплата банківських послуг за перерахування коштів до відповідного бюджету здійснюються у порядку, визначеному Кабінетом Міністрів України, за рахунок коштів, отриманих від реалізації такого майна, та за рахунок стягнутих коштів.</w:t>
      </w:r>
    </w:p>
    <w:p w14:paraId="5487B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3" w:name="n2149"/>
      <w:bookmarkEnd w:id="3333"/>
      <w:r w:rsidRPr="008B264B">
        <w:rPr>
          <w:rFonts w:ascii="Times New Roman" w:eastAsia="Times New Roman" w:hAnsi="Times New Roman" w:cs="Times New Roman"/>
          <w:i/>
          <w:iCs/>
          <w:color w:val="000000"/>
          <w:sz w:val="24"/>
          <w:szCs w:val="24"/>
          <w:lang/>
        </w:rPr>
        <w:t>{Пункт 95.16 статті 95 із змінами, внесеними згідно із Законом </w:t>
      </w:r>
      <w:hyperlink r:id="rId1864" w:anchor="n12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6177D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4" w:name="n2150"/>
      <w:bookmarkEnd w:id="3334"/>
      <w:r w:rsidRPr="008B264B">
        <w:rPr>
          <w:rFonts w:ascii="Times New Roman" w:eastAsia="Times New Roman" w:hAnsi="Times New Roman" w:cs="Times New Roman"/>
          <w:color w:val="000000"/>
          <w:sz w:val="24"/>
          <w:szCs w:val="24"/>
          <w:lang/>
        </w:rPr>
        <w:lastRenderedPageBreak/>
        <w:t>95.17. Інформація про час та умови проведення прилюдних торгів майном платників податків оприлюднюється відповідною біржею.</w:t>
      </w:r>
    </w:p>
    <w:p w14:paraId="7E36AE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5" w:name="n2151"/>
      <w:bookmarkEnd w:id="3335"/>
      <w:r w:rsidRPr="008B264B">
        <w:rPr>
          <w:rFonts w:ascii="Times New Roman" w:eastAsia="Times New Roman" w:hAnsi="Times New Roman" w:cs="Times New Roman"/>
          <w:color w:val="000000"/>
          <w:sz w:val="24"/>
          <w:szCs w:val="24"/>
          <w:lang/>
        </w:rPr>
        <w:t>95.18. Інформація, зазначена у пункті 95.17 цієї статті, та </w:t>
      </w:r>
      <w:hyperlink r:id="rId1865" w:anchor="n28"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її оприлюднення визначаються Кабінетом Міністрів України.</w:t>
      </w:r>
    </w:p>
    <w:p w14:paraId="12E1B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6" w:name="n2152"/>
      <w:bookmarkEnd w:id="3336"/>
      <w:r w:rsidRPr="008B264B">
        <w:rPr>
          <w:rFonts w:ascii="Times New Roman" w:eastAsia="Times New Roman" w:hAnsi="Times New Roman" w:cs="Times New Roman"/>
          <w:color w:val="000000"/>
          <w:sz w:val="24"/>
          <w:szCs w:val="24"/>
          <w:lang/>
        </w:rPr>
        <w:t>95.19. Платник податків або будь-яка інша особа, яка здійснює управління майном платника податків або контроль за їх використанням, зобов'язані забезпечити за першою вимогою безперешкодний доступ податкового керуючого та учасників публічних торгів до огляду та оцінки майна, що пропонується для продажу, а також безперешкодне набуття прав власності на таке майно особою, яка придбала їх на публічних торгах.</w:t>
      </w:r>
    </w:p>
    <w:p w14:paraId="7944A7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7" w:name="n2153"/>
      <w:bookmarkEnd w:id="3337"/>
      <w:r w:rsidRPr="008B264B">
        <w:rPr>
          <w:rFonts w:ascii="Times New Roman" w:eastAsia="Times New Roman" w:hAnsi="Times New Roman" w:cs="Times New Roman"/>
          <w:color w:val="000000"/>
          <w:sz w:val="24"/>
          <w:szCs w:val="24"/>
          <w:lang/>
        </w:rPr>
        <w:t>95.20. Якщо платник податків у будь-який момент до укладення договору купівлі-продажу його майна повністю погашає суму податкового боргу, контролюючий орган скасовує рішення про проведення його продажу та вживає заходів щодо зупинення торгів.</w:t>
      </w:r>
    </w:p>
    <w:p w14:paraId="59D13A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8" w:name="n2154"/>
      <w:bookmarkEnd w:id="3338"/>
      <w:r w:rsidRPr="008B264B">
        <w:rPr>
          <w:rFonts w:ascii="Times New Roman" w:eastAsia="Times New Roman" w:hAnsi="Times New Roman" w:cs="Times New Roman"/>
          <w:color w:val="000000"/>
          <w:sz w:val="24"/>
          <w:szCs w:val="24"/>
          <w:lang/>
        </w:rPr>
        <w:t>95.21. Операції з продажу визначеного у цій статті майна на біржових торгах, аукціонах не підлягають нотаріальному посвідченню.</w:t>
      </w:r>
    </w:p>
    <w:p w14:paraId="4AC71B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39" w:name="n2155"/>
      <w:bookmarkEnd w:id="3339"/>
      <w:r w:rsidRPr="008B264B">
        <w:rPr>
          <w:rFonts w:ascii="Times New Roman" w:eastAsia="Times New Roman" w:hAnsi="Times New Roman" w:cs="Times New Roman"/>
          <w:i/>
          <w:iCs/>
          <w:color w:val="000000"/>
          <w:sz w:val="24"/>
          <w:szCs w:val="24"/>
          <w:lang/>
        </w:rPr>
        <w:t>{Пункт 95.21 статті 95 із змінами, внесеними згідно із Законом </w:t>
      </w:r>
      <w:hyperlink r:id="rId186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368C3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0" w:name="n2156"/>
      <w:bookmarkEnd w:id="3340"/>
      <w:r w:rsidRPr="008B264B">
        <w:rPr>
          <w:rFonts w:ascii="Times New Roman" w:eastAsia="Times New Roman" w:hAnsi="Times New Roman" w:cs="Times New Roman"/>
          <w:color w:val="000000"/>
          <w:sz w:val="24"/>
          <w:szCs w:val="24"/>
          <w:lang/>
        </w:rPr>
        <w:t>95.22. Контролюючий орган звертається до суду щодо стягнення з дебіторів платника податку, що має податковий борг, сум дебіторської заборгованості, строк погашення якої настав та право вимоги якої переведено на контролюючі органи, у рахунок погашення податкового боргу такого платника податків. Сума коштів, що надходить у результаті стягнення дебіторської заборгованості, в повному обсязі (але в межах суми податкового боргу) зараховується до відповідного бюджету чи державного цільового фонду в рахунок погашення податкового боргу платника податків. Сума дебіторської заборгованості, що стягнута понад суму податкового боргу, передається у розпорядження платника податку.</w:t>
      </w:r>
    </w:p>
    <w:p w14:paraId="7515E2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1" w:name="n2157"/>
      <w:bookmarkEnd w:id="3341"/>
      <w:r w:rsidRPr="008B264B">
        <w:rPr>
          <w:rFonts w:ascii="Times New Roman" w:eastAsia="Times New Roman" w:hAnsi="Times New Roman" w:cs="Times New Roman"/>
          <w:i/>
          <w:iCs/>
          <w:color w:val="000000"/>
          <w:sz w:val="24"/>
          <w:szCs w:val="24"/>
          <w:lang/>
        </w:rPr>
        <w:t>{Пункт 95.23 статті 95 виключено на підставі Закону </w:t>
      </w:r>
      <w:hyperlink r:id="rId1867" w:anchor="n11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3B194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2" w:name="n2158"/>
      <w:bookmarkEnd w:id="3342"/>
      <w:r w:rsidRPr="008B264B">
        <w:rPr>
          <w:rFonts w:ascii="Times New Roman" w:eastAsia="Times New Roman" w:hAnsi="Times New Roman" w:cs="Times New Roman"/>
          <w:color w:val="000000"/>
          <w:sz w:val="24"/>
          <w:szCs w:val="24"/>
          <w:lang/>
        </w:rPr>
        <w:t>95.24. У разі якщо сума коштів, отримана в результаті продажу майна платника податків, є недостатньою для погашення податкового боргу платника податків, податковий керуючий здійснює додатковий опис майна у податкову заставу в порядку, визначеному </w:t>
      </w:r>
      <w:hyperlink r:id="rId1868" w:anchor="n2001" w:history="1">
        <w:r w:rsidRPr="008B264B">
          <w:rPr>
            <w:rFonts w:ascii="Times New Roman" w:eastAsia="Times New Roman" w:hAnsi="Times New Roman" w:cs="Times New Roman"/>
            <w:color w:val="0000FF"/>
            <w:sz w:val="24"/>
            <w:szCs w:val="24"/>
            <w:u w:val="single"/>
            <w:lang/>
          </w:rPr>
          <w:t>статтею 89</w:t>
        </w:r>
      </w:hyperlink>
      <w:r w:rsidRPr="008B264B">
        <w:rPr>
          <w:rFonts w:ascii="Times New Roman" w:eastAsia="Times New Roman" w:hAnsi="Times New Roman" w:cs="Times New Roman"/>
          <w:color w:val="000000"/>
          <w:sz w:val="24"/>
          <w:szCs w:val="24"/>
          <w:lang/>
        </w:rPr>
        <w:t> цього Кодексу.</w:t>
      </w:r>
    </w:p>
    <w:p w14:paraId="2E96BF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3" w:name="n2159"/>
      <w:bookmarkEnd w:id="3343"/>
      <w:r w:rsidRPr="008B264B">
        <w:rPr>
          <w:rFonts w:ascii="Times New Roman" w:eastAsia="Times New Roman" w:hAnsi="Times New Roman" w:cs="Times New Roman"/>
          <w:i/>
          <w:iCs/>
          <w:color w:val="000000"/>
          <w:sz w:val="24"/>
          <w:szCs w:val="24"/>
          <w:lang/>
        </w:rPr>
        <w:t>{Статтю 95 доповнено пунктом 95.24 згідно із Законом </w:t>
      </w:r>
      <w:hyperlink r:id="rId1869" w:anchor="n12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82B75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4" w:name="n2160"/>
      <w:bookmarkEnd w:id="3344"/>
      <w:r w:rsidRPr="008B264B">
        <w:rPr>
          <w:rFonts w:ascii="Times New Roman" w:eastAsia="Times New Roman" w:hAnsi="Times New Roman" w:cs="Times New Roman"/>
          <w:b/>
          <w:bCs/>
          <w:color w:val="000000"/>
          <w:sz w:val="24"/>
          <w:szCs w:val="24"/>
          <w:lang/>
        </w:rPr>
        <w:t>Стаття 96.</w:t>
      </w:r>
      <w:r w:rsidRPr="008B264B">
        <w:rPr>
          <w:rFonts w:ascii="Times New Roman" w:eastAsia="Times New Roman" w:hAnsi="Times New Roman" w:cs="Times New Roman"/>
          <w:color w:val="000000"/>
          <w:sz w:val="24"/>
          <w:szCs w:val="24"/>
          <w:lang/>
        </w:rPr>
        <w:t> Погашення податкового боргу державних підприємств, які не підлягають приватизації, та комунальних підприємств</w:t>
      </w:r>
    </w:p>
    <w:p w14:paraId="664DD9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5" w:name="n2161"/>
      <w:bookmarkEnd w:id="3345"/>
      <w:r w:rsidRPr="008B264B">
        <w:rPr>
          <w:rFonts w:ascii="Times New Roman" w:eastAsia="Times New Roman" w:hAnsi="Times New Roman" w:cs="Times New Roman"/>
          <w:color w:val="000000"/>
          <w:sz w:val="24"/>
          <w:szCs w:val="24"/>
          <w:lang/>
        </w:rPr>
        <w:t>96.1. У разі якщо сума коштів, отримана від продажу внесеного в податкову заставу майна комунального підприємства, не покриває суму його податкового боргу і витрат, пов'язаних з організацією та проведенням публічних торгів, або у разі відсутності у такого боржника власного майна, що відповідно до законодавства України може бути внесено в податкову заставу та відчужено, контролюючий орган зобов'язаний звернутися до органу місцевого самоврядування чи органу виконавчої влади, до сфери управління якого належить майно такого платника податків, з поданням щодо прийняття рішення про:</w:t>
      </w:r>
    </w:p>
    <w:p w14:paraId="53AAFA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6" w:name="n2162"/>
      <w:bookmarkEnd w:id="3346"/>
      <w:r w:rsidRPr="008B264B">
        <w:rPr>
          <w:rFonts w:ascii="Times New Roman" w:eastAsia="Times New Roman" w:hAnsi="Times New Roman" w:cs="Times New Roman"/>
          <w:color w:val="000000"/>
          <w:sz w:val="24"/>
          <w:szCs w:val="24"/>
          <w:lang/>
        </w:rPr>
        <w:t>96.1.1. виділення коштів місцевого бюджету на сплату податкового боргу такого платника податків. Рішення про фінансування таких витрат розглядається на найближчій сесії відповідної ради;</w:t>
      </w:r>
    </w:p>
    <w:p w14:paraId="614D62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7" w:name="n2163"/>
      <w:bookmarkEnd w:id="3347"/>
      <w:r w:rsidRPr="008B264B">
        <w:rPr>
          <w:rFonts w:ascii="Times New Roman" w:eastAsia="Times New Roman" w:hAnsi="Times New Roman" w:cs="Times New Roman"/>
          <w:color w:val="000000"/>
          <w:sz w:val="24"/>
          <w:szCs w:val="24"/>
          <w:lang/>
        </w:rPr>
        <w:t>96.1.2. затвердження плану досудової санації такого платника податків, який передбачає погашення його податкового боргу;</w:t>
      </w:r>
    </w:p>
    <w:p w14:paraId="70C2D8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8" w:name="n2164"/>
      <w:bookmarkEnd w:id="3348"/>
      <w:r w:rsidRPr="008B264B">
        <w:rPr>
          <w:rFonts w:ascii="Times New Roman" w:eastAsia="Times New Roman" w:hAnsi="Times New Roman" w:cs="Times New Roman"/>
          <w:color w:val="000000"/>
          <w:sz w:val="24"/>
          <w:szCs w:val="24"/>
          <w:lang/>
        </w:rPr>
        <w:t>96.1.3. ліквідацію такого платника податків та призначення ліквідаційної комісії;</w:t>
      </w:r>
    </w:p>
    <w:p w14:paraId="7E035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49" w:name="n2165"/>
      <w:bookmarkEnd w:id="3349"/>
      <w:r w:rsidRPr="008B264B">
        <w:rPr>
          <w:rFonts w:ascii="Times New Roman" w:eastAsia="Times New Roman" w:hAnsi="Times New Roman" w:cs="Times New Roman"/>
          <w:color w:val="000000"/>
          <w:sz w:val="24"/>
          <w:szCs w:val="24"/>
          <w:lang/>
        </w:rPr>
        <w:t>96.1.4. прийняття сесією відповідної ради рішення щодо порушення справи про банкрутство платника податків.</w:t>
      </w:r>
    </w:p>
    <w:p w14:paraId="607E6E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0" w:name="n2166"/>
      <w:bookmarkEnd w:id="3350"/>
      <w:r w:rsidRPr="008B264B">
        <w:rPr>
          <w:rFonts w:ascii="Times New Roman" w:eastAsia="Times New Roman" w:hAnsi="Times New Roman" w:cs="Times New Roman"/>
          <w:color w:val="000000"/>
          <w:sz w:val="24"/>
          <w:szCs w:val="24"/>
          <w:lang/>
        </w:rPr>
        <w:lastRenderedPageBreak/>
        <w:t>96.2. У разі якщо сума коштів, отримана від продажу внесеного в податкову заставу майна державного підприємства, яке не підлягає приватизації, у тому числі казенного підприємства, не покриває суму податкового боргу такого платника податків і витрат, пов'язаних з організацією та проведенням публічних торгів, або у разі відсутності майна, що відповідно до законодавства України може бути внесено в податкову заставу та відчужено, контролюючий орган зобов'язаний звернутися до органу виконавчої влади, до сфери управління якого належить такий платник податків, з поданням щодо прийняття рішення про:</w:t>
      </w:r>
    </w:p>
    <w:p w14:paraId="6D558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1" w:name="n2167"/>
      <w:bookmarkEnd w:id="3351"/>
      <w:r w:rsidRPr="008B264B">
        <w:rPr>
          <w:rFonts w:ascii="Times New Roman" w:eastAsia="Times New Roman" w:hAnsi="Times New Roman" w:cs="Times New Roman"/>
          <w:color w:val="000000"/>
          <w:sz w:val="24"/>
          <w:szCs w:val="24"/>
          <w:lang/>
        </w:rPr>
        <w:t>96.2.1. надання відповідної компенсації з бюджету за рахунок коштів, призначених для утримання такого органу виконавчої влади, до сфери управління якого належить такий платник податків;</w:t>
      </w:r>
    </w:p>
    <w:p w14:paraId="050067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2" w:name="n2168"/>
      <w:bookmarkEnd w:id="3352"/>
      <w:r w:rsidRPr="008B264B">
        <w:rPr>
          <w:rFonts w:ascii="Times New Roman" w:eastAsia="Times New Roman" w:hAnsi="Times New Roman" w:cs="Times New Roman"/>
          <w:color w:val="000000"/>
          <w:sz w:val="24"/>
          <w:szCs w:val="24"/>
          <w:lang/>
        </w:rPr>
        <w:t>96.2.2. досудову санацію такого платника податків за рахунок коштів державного бюджету;</w:t>
      </w:r>
    </w:p>
    <w:p w14:paraId="7B8920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3" w:name="n2169"/>
      <w:bookmarkEnd w:id="3353"/>
      <w:r w:rsidRPr="008B264B">
        <w:rPr>
          <w:rFonts w:ascii="Times New Roman" w:eastAsia="Times New Roman" w:hAnsi="Times New Roman" w:cs="Times New Roman"/>
          <w:color w:val="000000"/>
          <w:sz w:val="24"/>
          <w:szCs w:val="24"/>
          <w:lang/>
        </w:rPr>
        <w:t>96.2.3. ліквідацію такого платника податків та призначення ліквідаційної комісії;</w:t>
      </w:r>
    </w:p>
    <w:p w14:paraId="56B40C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4" w:name="n2170"/>
      <w:bookmarkEnd w:id="3354"/>
      <w:r w:rsidRPr="008B264B">
        <w:rPr>
          <w:rFonts w:ascii="Times New Roman" w:eastAsia="Times New Roman" w:hAnsi="Times New Roman" w:cs="Times New Roman"/>
          <w:color w:val="000000"/>
          <w:sz w:val="24"/>
          <w:szCs w:val="24"/>
          <w:lang/>
        </w:rPr>
        <w:t>96.2.4. виключення платника податків із переліку об'єктів державної власності, які не підлягають приватизації відповідно до закону, з метою порушення справи про банкрутство, у порядку, встановленому законодавством України.</w:t>
      </w:r>
    </w:p>
    <w:p w14:paraId="544629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5" w:name="n2171"/>
      <w:bookmarkEnd w:id="3355"/>
      <w:r w:rsidRPr="008B264B">
        <w:rPr>
          <w:rFonts w:ascii="Times New Roman" w:eastAsia="Times New Roman" w:hAnsi="Times New Roman" w:cs="Times New Roman"/>
          <w:color w:val="000000"/>
          <w:sz w:val="24"/>
          <w:szCs w:val="24"/>
          <w:lang/>
        </w:rPr>
        <w:t>96.3. Відповідь щодо прийняття одного із зазначених у </w:t>
      </w:r>
      <w:hyperlink r:id="rId1870" w:anchor="n2161" w:history="1">
        <w:r w:rsidRPr="008B264B">
          <w:rPr>
            <w:rFonts w:ascii="Times New Roman" w:eastAsia="Times New Roman" w:hAnsi="Times New Roman" w:cs="Times New Roman"/>
            <w:color w:val="0000FF"/>
            <w:sz w:val="24"/>
            <w:szCs w:val="24"/>
            <w:u w:val="single"/>
            <w:lang/>
          </w:rPr>
          <w:t>пунктах 96.1</w:t>
        </w:r>
      </w:hyperlink>
      <w:r w:rsidRPr="008B264B">
        <w:rPr>
          <w:rFonts w:ascii="Times New Roman" w:eastAsia="Times New Roman" w:hAnsi="Times New Roman" w:cs="Times New Roman"/>
          <w:color w:val="000000"/>
          <w:sz w:val="24"/>
          <w:szCs w:val="24"/>
          <w:lang/>
        </w:rPr>
        <w:t> та </w:t>
      </w:r>
      <w:hyperlink r:id="rId1871" w:anchor="n2166" w:history="1">
        <w:r w:rsidRPr="008B264B">
          <w:rPr>
            <w:rFonts w:ascii="Times New Roman" w:eastAsia="Times New Roman" w:hAnsi="Times New Roman" w:cs="Times New Roman"/>
            <w:color w:val="0000FF"/>
            <w:sz w:val="24"/>
            <w:szCs w:val="24"/>
            <w:u w:val="single"/>
            <w:lang/>
          </w:rPr>
          <w:t>96.2</w:t>
        </w:r>
      </w:hyperlink>
      <w:r w:rsidRPr="008B264B">
        <w:rPr>
          <w:rFonts w:ascii="Times New Roman" w:eastAsia="Times New Roman" w:hAnsi="Times New Roman" w:cs="Times New Roman"/>
          <w:color w:val="000000"/>
          <w:sz w:val="24"/>
          <w:szCs w:val="24"/>
          <w:lang/>
        </w:rPr>
        <w:t> цієї статті рішень надсилається контролюючому органу протягом 30 календарних днів з дня направлення звернення.</w:t>
      </w:r>
    </w:p>
    <w:p w14:paraId="22B0D7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6" w:name="n2172"/>
      <w:bookmarkEnd w:id="3356"/>
      <w:r w:rsidRPr="008B264B">
        <w:rPr>
          <w:rFonts w:ascii="Times New Roman" w:eastAsia="Times New Roman" w:hAnsi="Times New Roman" w:cs="Times New Roman"/>
          <w:i/>
          <w:iCs/>
          <w:color w:val="000000"/>
          <w:sz w:val="24"/>
          <w:szCs w:val="24"/>
          <w:lang/>
        </w:rPr>
        <w:t>{Абзац перший пункту 96.3 статті 96 із змінами, внесеними згідно із Законом </w:t>
      </w:r>
      <w:hyperlink r:id="rId187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75472D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7" w:name="n2173"/>
      <w:bookmarkEnd w:id="3357"/>
      <w:r w:rsidRPr="008B264B">
        <w:rPr>
          <w:rFonts w:ascii="Times New Roman" w:eastAsia="Times New Roman" w:hAnsi="Times New Roman" w:cs="Times New Roman"/>
          <w:color w:val="000000"/>
          <w:sz w:val="24"/>
          <w:szCs w:val="24"/>
          <w:lang/>
        </w:rPr>
        <w:t>У разі неотримання зазначеної відповіді у визначений цим пунктом строк або отримання відповіді про відмову у задоволенні його вимог контролюючий орган зобов'язаний звернутися до суду із позовною заявою про звернення стягнення податкового боргу на кошти державного органу чи органу місцевого самоврядування, в управлінні якого перебуває таке державне (комунальне) підприємство або його майно.</w:t>
      </w:r>
    </w:p>
    <w:p w14:paraId="46B1FA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8" w:name="n2174"/>
      <w:bookmarkEnd w:id="3358"/>
      <w:r w:rsidRPr="008B264B">
        <w:rPr>
          <w:rFonts w:ascii="Times New Roman" w:eastAsia="Times New Roman" w:hAnsi="Times New Roman" w:cs="Times New Roman"/>
          <w:i/>
          <w:iCs/>
          <w:color w:val="000000"/>
          <w:sz w:val="24"/>
          <w:szCs w:val="24"/>
          <w:lang/>
        </w:rPr>
        <w:t>{Абзац другий пункту 96.3 статті 96 із змінами, внесеними згідно із Законом </w:t>
      </w:r>
      <w:hyperlink r:id="rId187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34D8A1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59" w:name="n2175"/>
      <w:bookmarkEnd w:id="3359"/>
      <w:r w:rsidRPr="008B264B">
        <w:rPr>
          <w:rFonts w:ascii="Times New Roman" w:eastAsia="Times New Roman" w:hAnsi="Times New Roman" w:cs="Times New Roman"/>
          <w:color w:val="000000"/>
          <w:sz w:val="24"/>
          <w:szCs w:val="24"/>
          <w:lang/>
        </w:rPr>
        <w:t>96.4. Виникнення у державного або комунального підприємства податкового боргу є підставою для розірвання трудового договору (контракту) з керівником такого підприємства.</w:t>
      </w:r>
    </w:p>
    <w:p w14:paraId="75BBEB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0" w:name="n2176"/>
      <w:bookmarkEnd w:id="3360"/>
      <w:r w:rsidRPr="008B264B">
        <w:rPr>
          <w:rFonts w:ascii="Times New Roman" w:eastAsia="Times New Roman" w:hAnsi="Times New Roman" w:cs="Times New Roman"/>
          <w:color w:val="000000"/>
          <w:sz w:val="24"/>
          <w:szCs w:val="24"/>
          <w:lang/>
        </w:rPr>
        <w:t>96.5. Трудові договори (контракти), що укладаються з керівником державного або комунального підприємства, повинні містити положення про зазначену відповідальність, що є їх істотною умовою.</w:t>
      </w:r>
    </w:p>
    <w:p w14:paraId="454B6E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1" w:name="n2177"/>
      <w:bookmarkEnd w:id="3361"/>
      <w:r w:rsidRPr="008B264B">
        <w:rPr>
          <w:rFonts w:ascii="Times New Roman" w:eastAsia="Times New Roman" w:hAnsi="Times New Roman" w:cs="Times New Roman"/>
          <w:color w:val="000000"/>
          <w:sz w:val="24"/>
          <w:szCs w:val="24"/>
          <w:lang/>
        </w:rPr>
        <w:t>Норми цього пункту не поширюються на випадки виникнення податкового боргу внаслідок обставин непереборної сили (форс-мажорних обставин) або невиконання або неналежного виконання державними органами зобов'язань щодо оплати товарів (робіт, послуг), придбаних у такого платника податків за рахунок бюджетних коштів, з надання платнику податків субсидій або дотацій, передбачених законодавством або з повернення платнику податків надміру внесених податків та зборів чи їх бюджетного відшкодування згідно з цим Кодексом та податковим законодавством України.</w:t>
      </w:r>
    </w:p>
    <w:p w14:paraId="79CDD9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2" w:name="n2178"/>
      <w:bookmarkEnd w:id="3362"/>
      <w:r w:rsidRPr="008B264B">
        <w:rPr>
          <w:rFonts w:ascii="Times New Roman" w:eastAsia="Times New Roman" w:hAnsi="Times New Roman" w:cs="Times New Roman"/>
          <w:color w:val="000000"/>
          <w:sz w:val="24"/>
          <w:szCs w:val="24"/>
          <w:lang/>
        </w:rPr>
        <w:t>96.6. Будь-які договори про передачу акцій (інших корпоративних прав), що перебувають у державній або комунальній власності, в управління третім особам повинні містити зобов'язання таких третіх осіб щодо недопущення виникнення податкового боргу після такої передачі, а також умову щодо припинення дії договору в разі виникнення податкового боргу, право відповідно держави або територіальної громади на одностороннє (позасудове) розірвання таких договорів у разі виникнення такого податкового боргу.</w:t>
      </w:r>
    </w:p>
    <w:p w14:paraId="691691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3" w:name="n2179"/>
      <w:bookmarkEnd w:id="3363"/>
      <w:r w:rsidRPr="008B264B">
        <w:rPr>
          <w:rFonts w:ascii="Times New Roman" w:eastAsia="Times New Roman" w:hAnsi="Times New Roman" w:cs="Times New Roman"/>
          <w:i/>
          <w:iCs/>
          <w:color w:val="000000"/>
          <w:sz w:val="24"/>
          <w:szCs w:val="24"/>
          <w:lang/>
        </w:rPr>
        <w:t>{Пункт 96.6 статті 96 із змінами, внесеними згідно з Законом </w:t>
      </w:r>
      <w:hyperlink r:id="rId1874" w:anchor="n11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21D11C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4" w:name="n2180"/>
      <w:bookmarkEnd w:id="3364"/>
      <w:r w:rsidRPr="008B264B">
        <w:rPr>
          <w:rFonts w:ascii="Times New Roman" w:eastAsia="Times New Roman" w:hAnsi="Times New Roman" w:cs="Times New Roman"/>
          <w:b/>
          <w:bCs/>
          <w:color w:val="000000"/>
          <w:sz w:val="24"/>
          <w:szCs w:val="24"/>
          <w:lang/>
        </w:rPr>
        <w:lastRenderedPageBreak/>
        <w:t>Стаття 97.</w:t>
      </w:r>
      <w:r w:rsidRPr="008B264B">
        <w:rPr>
          <w:rFonts w:ascii="Times New Roman" w:eastAsia="Times New Roman" w:hAnsi="Times New Roman" w:cs="Times New Roman"/>
          <w:color w:val="000000"/>
          <w:sz w:val="24"/>
          <w:szCs w:val="24"/>
          <w:lang/>
        </w:rPr>
        <w:t> Погашення грошових зобов'язань або податкового боргу в разі ліквідації платника податків, не пов'язаної з банкрутством</w:t>
      </w:r>
    </w:p>
    <w:p w14:paraId="6E3F39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5" w:name="n2181"/>
      <w:bookmarkEnd w:id="3365"/>
      <w:r w:rsidRPr="008B264B">
        <w:rPr>
          <w:rFonts w:ascii="Times New Roman" w:eastAsia="Times New Roman" w:hAnsi="Times New Roman" w:cs="Times New Roman"/>
          <w:color w:val="000000"/>
          <w:sz w:val="24"/>
          <w:szCs w:val="24"/>
          <w:lang/>
        </w:rPr>
        <w:t>97.1. У цій статті під ліквідацією платника податків розуміється ліквідація платника податків як юридичної особи або державна реєстрація припинення підприємницької діяльності фізичної особи чи реєстрація у відповідному уповноваженому органі припинення незалежної професійної діяльності фізичної особи (якщо така реєстрація була умовою ведення незалежної професійної діяльності), внаслідок якої відбувається закриття їх рахунків та/або втрата їх статусу як платника податків відповідно до законодавства.</w:t>
      </w:r>
    </w:p>
    <w:p w14:paraId="0A7CD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6" w:name="n9504"/>
      <w:bookmarkEnd w:id="3366"/>
      <w:r w:rsidRPr="008B264B">
        <w:rPr>
          <w:rFonts w:ascii="Times New Roman" w:eastAsia="Times New Roman" w:hAnsi="Times New Roman" w:cs="Times New Roman"/>
          <w:i/>
          <w:iCs/>
          <w:color w:val="000000"/>
          <w:sz w:val="24"/>
          <w:szCs w:val="24"/>
          <w:lang/>
        </w:rPr>
        <w:t>{Пункт 97.1 статті 97 із змінами, внесеними згідно із Законом </w:t>
      </w:r>
      <w:hyperlink r:id="rId1875" w:anchor="n6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255E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7" w:name="n2182"/>
      <w:bookmarkEnd w:id="3367"/>
      <w:r w:rsidRPr="008B264B">
        <w:rPr>
          <w:rFonts w:ascii="Times New Roman" w:eastAsia="Times New Roman" w:hAnsi="Times New Roman" w:cs="Times New Roman"/>
          <w:color w:val="000000"/>
          <w:sz w:val="24"/>
          <w:szCs w:val="24"/>
          <w:lang/>
        </w:rPr>
        <w:t>97.2. У разі якщо власник або уповноважений ним орган приймає рішення про ліквідацію платника податків, не пов'язану з банкрутством, майно зазначеного платника податків використовується у черговості, визначеній відповідно до законів України.</w:t>
      </w:r>
    </w:p>
    <w:p w14:paraId="65CCD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8" w:name="n2183"/>
      <w:bookmarkEnd w:id="3368"/>
      <w:r w:rsidRPr="008B264B">
        <w:rPr>
          <w:rFonts w:ascii="Times New Roman" w:eastAsia="Times New Roman" w:hAnsi="Times New Roman" w:cs="Times New Roman"/>
          <w:color w:val="000000"/>
          <w:sz w:val="24"/>
          <w:szCs w:val="24"/>
          <w:lang/>
        </w:rPr>
        <w:t>97.3. У разі якщо внаслідок ліквідації платника податків частина його грошових зобов'язань чи податкового боргу залишається непогашеною у зв'язку з недостатністю майна, така частина погашається за рахунок майна засновників або учасників такого підприємства, якщо вони несуть повну або додаткову відповідальність за зобов'язаннями платника податків згідно із законом, у межах повної або додаткової відповідальності, а в разі ліквідації філії, відділення чи іншого відокремленого підрозділу юридичної особи - за рахунок юридичної особи незалежно від того, чи є вона платником податку, стосовно якого виникло грошове зобов'язання або виник податковий борг такої філії, відділення, іншого відокремленого підрозділу.</w:t>
      </w:r>
    </w:p>
    <w:p w14:paraId="7E3874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69" w:name="n9505"/>
      <w:bookmarkEnd w:id="3369"/>
      <w:r w:rsidRPr="008B264B">
        <w:rPr>
          <w:rFonts w:ascii="Times New Roman" w:eastAsia="Times New Roman" w:hAnsi="Times New Roman" w:cs="Times New Roman"/>
          <w:i/>
          <w:iCs/>
          <w:color w:val="000000"/>
          <w:sz w:val="24"/>
          <w:szCs w:val="24"/>
          <w:lang/>
        </w:rPr>
        <w:t>{Абзац перший пункту 97.3 статті 97 із змінами, внесеними згідно із Законом </w:t>
      </w:r>
      <w:hyperlink r:id="rId1876" w:anchor="n6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6E814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0" w:name="n9507"/>
      <w:bookmarkEnd w:id="3370"/>
      <w:r w:rsidRPr="008B264B">
        <w:rPr>
          <w:rFonts w:ascii="Times New Roman" w:eastAsia="Times New Roman" w:hAnsi="Times New Roman" w:cs="Times New Roman"/>
          <w:color w:val="000000"/>
          <w:sz w:val="24"/>
          <w:szCs w:val="24"/>
          <w:lang/>
        </w:rPr>
        <w:t>У разі державної реєстрації припинення підприємницької діяльності фізичної особи чи реєстрації у відповідному уповноваженому органі припинення незалежної професійної діяльності фізичної особи (якщо така реєстрація була умовою ведення незалежної професійної діяльності), погашення грошових зобов’язань та/або податкового боргу здійснюється за рахунок майна зазначеної особи.</w:t>
      </w:r>
    </w:p>
    <w:p w14:paraId="2074F5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1" w:name="n9506"/>
      <w:bookmarkEnd w:id="3371"/>
      <w:r w:rsidRPr="008B264B">
        <w:rPr>
          <w:rFonts w:ascii="Times New Roman" w:eastAsia="Times New Roman" w:hAnsi="Times New Roman" w:cs="Times New Roman"/>
          <w:i/>
          <w:iCs/>
          <w:color w:val="000000"/>
          <w:sz w:val="24"/>
          <w:szCs w:val="24"/>
          <w:lang/>
        </w:rPr>
        <w:t>{Пункт 97.3 статті 97 доповнено новим абзацом згідно із Законом </w:t>
      </w:r>
      <w:hyperlink r:id="rId1877" w:anchor="n6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20DE2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2" w:name="n2184"/>
      <w:bookmarkEnd w:id="3372"/>
      <w:r w:rsidRPr="008B264B">
        <w:rPr>
          <w:rFonts w:ascii="Times New Roman" w:eastAsia="Times New Roman" w:hAnsi="Times New Roman" w:cs="Times New Roman"/>
          <w:color w:val="000000"/>
          <w:sz w:val="24"/>
          <w:szCs w:val="24"/>
          <w:lang/>
        </w:rPr>
        <w:t>В інших випадках грошові зобов'язання або податковий борг, що залишаються непогашеними після ліквідації платника податків, вважаються безнадійним боргом і підлягають списанню в </w:t>
      </w:r>
      <w:hyperlink r:id="rId1878"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Кабінетом Міністрів України.</w:t>
      </w:r>
    </w:p>
    <w:p w14:paraId="29B138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3" w:name="n9508"/>
      <w:bookmarkEnd w:id="3373"/>
      <w:r w:rsidRPr="008B264B">
        <w:rPr>
          <w:rFonts w:ascii="Times New Roman" w:eastAsia="Times New Roman" w:hAnsi="Times New Roman" w:cs="Times New Roman"/>
          <w:i/>
          <w:iCs/>
          <w:color w:val="000000"/>
          <w:sz w:val="24"/>
          <w:szCs w:val="24"/>
          <w:lang/>
        </w:rPr>
        <w:t>{Абзац третій пункту 97.3 статті 97 із змінами, внесеними згідно із Законом </w:t>
      </w:r>
      <w:hyperlink r:id="rId1879" w:anchor="n7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ECB2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4" w:name="n2185"/>
      <w:bookmarkEnd w:id="3374"/>
      <w:r w:rsidRPr="008B264B">
        <w:rPr>
          <w:rFonts w:ascii="Times New Roman" w:eastAsia="Times New Roman" w:hAnsi="Times New Roman" w:cs="Times New Roman"/>
          <w:color w:val="000000"/>
          <w:sz w:val="24"/>
          <w:szCs w:val="24"/>
          <w:lang/>
        </w:rPr>
        <w:t>97.4. Особою, відповідальною за погашення грошових зобов'язань чи податкового боргу платника податків, є:</w:t>
      </w:r>
    </w:p>
    <w:p w14:paraId="2327D3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5" w:name="n2186"/>
      <w:bookmarkEnd w:id="3375"/>
      <w:r w:rsidRPr="008B264B">
        <w:rPr>
          <w:rFonts w:ascii="Times New Roman" w:eastAsia="Times New Roman" w:hAnsi="Times New Roman" w:cs="Times New Roman"/>
          <w:color w:val="000000"/>
          <w:sz w:val="24"/>
          <w:szCs w:val="24"/>
          <w:lang/>
        </w:rPr>
        <w:t>97.4.1. стосовно платника податків, який ліквідується, - ліквідаційна комісія або інший орган, що проводить ліквідацію згідно із законодавством України;</w:t>
      </w:r>
    </w:p>
    <w:p w14:paraId="49E77E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6" w:name="n2187"/>
      <w:bookmarkEnd w:id="3376"/>
      <w:r w:rsidRPr="008B264B">
        <w:rPr>
          <w:rFonts w:ascii="Times New Roman" w:eastAsia="Times New Roman" w:hAnsi="Times New Roman" w:cs="Times New Roman"/>
          <w:color w:val="000000"/>
          <w:sz w:val="24"/>
          <w:szCs w:val="24"/>
          <w:lang/>
        </w:rPr>
        <w:t>97.4.2. щодо філій, відділень, інших відокремлених підрозділів платника податків, що ліквідуються, - такий платник податків;</w:t>
      </w:r>
    </w:p>
    <w:p w14:paraId="50E156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7" w:name="n2188"/>
      <w:bookmarkEnd w:id="3377"/>
      <w:r w:rsidRPr="008B264B">
        <w:rPr>
          <w:rFonts w:ascii="Times New Roman" w:eastAsia="Times New Roman" w:hAnsi="Times New Roman" w:cs="Times New Roman"/>
          <w:color w:val="000000"/>
          <w:sz w:val="24"/>
          <w:szCs w:val="24"/>
          <w:lang/>
        </w:rPr>
        <w:t>97.4.3. стосовно фізичної особи - підприємця або фізичної особи, яка провадить незалежну професійну діяльність, - така фізична особа;</w:t>
      </w:r>
    </w:p>
    <w:p w14:paraId="6FCBBC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8" w:name="n9509"/>
      <w:bookmarkEnd w:id="3378"/>
      <w:r w:rsidRPr="008B264B">
        <w:rPr>
          <w:rFonts w:ascii="Times New Roman" w:eastAsia="Times New Roman" w:hAnsi="Times New Roman" w:cs="Times New Roman"/>
          <w:i/>
          <w:iCs/>
          <w:color w:val="000000"/>
          <w:sz w:val="24"/>
          <w:szCs w:val="24"/>
          <w:lang/>
        </w:rPr>
        <w:t>{Підпункт 97.4.3 пункту 97.4 статті 97 із змінами, внесеними згідно із Законом </w:t>
      </w:r>
      <w:hyperlink r:id="rId1880" w:anchor="n7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5F86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79" w:name="n2189"/>
      <w:bookmarkEnd w:id="3379"/>
      <w:r w:rsidRPr="008B264B">
        <w:rPr>
          <w:rFonts w:ascii="Times New Roman" w:eastAsia="Times New Roman" w:hAnsi="Times New Roman" w:cs="Times New Roman"/>
          <w:color w:val="000000"/>
          <w:sz w:val="24"/>
          <w:szCs w:val="24"/>
          <w:lang/>
        </w:rPr>
        <w:t>97.4.4. стосовно фізичної особи, яка померла або визнана судом безвісно відсутньою або оголошена померлою чи визнана недієздатною, - особи, які вступають у права спадщини або уповноважені здійснювати розпорядження майном такої особи;</w:t>
      </w:r>
    </w:p>
    <w:p w14:paraId="54CC13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0" w:name="n2190"/>
      <w:bookmarkEnd w:id="3380"/>
      <w:r w:rsidRPr="008B264B">
        <w:rPr>
          <w:rFonts w:ascii="Times New Roman" w:eastAsia="Times New Roman" w:hAnsi="Times New Roman" w:cs="Times New Roman"/>
          <w:color w:val="000000"/>
          <w:sz w:val="24"/>
          <w:szCs w:val="24"/>
          <w:lang/>
        </w:rPr>
        <w:lastRenderedPageBreak/>
        <w:t>97.4.5. щодо кооперативів, кредитних спілок або інших колективних господарств - їх члени (пайовики) солідарно;</w:t>
      </w:r>
    </w:p>
    <w:p w14:paraId="3410C6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1" w:name="n2191"/>
      <w:bookmarkEnd w:id="3381"/>
      <w:r w:rsidRPr="008B264B">
        <w:rPr>
          <w:rFonts w:ascii="Times New Roman" w:eastAsia="Times New Roman" w:hAnsi="Times New Roman" w:cs="Times New Roman"/>
          <w:i/>
          <w:iCs/>
          <w:color w:val="000000"/>
          <w:sz w:val="24"/>
          <w:szCs w:val="24"/>
          <w:lang/>
        </w:rPr>
        <w:t>{Підпункт 97.4.5 пункту 97.4 статті 97 із змінами, внесеними згідно із Законом </w:t>
      </w:r>
      <w:hyperlink r:id="rId188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28ED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2" w:name="n2192"/>
      <w:bookmarkEnd w:id="3382"/>
      <w:r w:rsidRPr="008B264B">
        <w:rPr>
          <w:rFonts w:ascii="Times New Roman" w:eastAsia="Times New Roman" w:hAnsi="Times New Roman" w:cs="Times New Roman"/>
          <w:color w:val="000000"/>
          <w:sz w:val="24"/>
          <w:szCs w:val="24"/>
          <w:lang/>
        </w:rPr>
        <w:t>97.4.6. щодо інвестиційних фондів - інвестиційна компанія, яка здійснює управління таким інвестиційним фондом.</w:t>
      </w:r>
    </w:p>
    <w:p w14:paraId="3DB87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3" w:name="n2193"/>
      <w:bookmarkEnd w:id="3383"/>
      <w:r w:rsidRPr="008B264B">
        <w:rPr>
          <w:rFonts w:ascii="Times New Roman" w:eastAsia="Times New Roman" w:hAnsi="Times New Roman" w:cs="Times New Roman"/>
          <w:color w:val="000000"/>
          <w:sz w:val="24"/>
          <w:szCs w:val="24"/>
          <w:lang/>
        </w:rPr>
        <w:t>97.5. У разі якщо платник податків, що ліквідується, має суми надміру сплачених грошових зобов'язань або суми невідшкодованих податків з відповідного бюджету, такі суми підлягають заліку в рахунок його грошових зобов'язань або податкового боргу перед таким бюджетом.</w:t>
      </w:r>
    </w:p>
    <w:p w14:paraId="68811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4" w:name="n2194"/>
      <w:bookmarkEnd w:id="3384"/>
      <w:r w:rsidRPr="008B264B">
        <w:rPr>
          <w:rFonts w:ascii="Times New Roman" w:eastAsia="Times New Roman" w:hAnsi="Times New Roman" w:cs="Times New Roman"/>
          <w:color w:val="000000"/>
          <w:sz w:val="24"/>
          <w:szCs w:val="24"/>
          <w:lang/>
        </w:rPr>
        <w:t>97.6 У разі якщо суми надміру сплачених грошових зобов'язань або суми невідшкодованих податків з відповідного бюджету перевищують суми грошових зобов'язань або податкового боргу перед таким бюджетом, суми перевищення використовуються для погашення грошових зобов'язань або податкового боргу перед іншими бюджетами, а за відсутності таких зобов'язань (боргу) перераховуються у розпорядження такого платника податків. </w:t>
      </w:r>
      <w:hyperlink r:id="rId1882"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проведення заліків, визначених у цьому пункті, встановлюється центральним органом виконавчої влади, що забезпечує формування та реалізує державну фінансову політику.</w:t>
      </w:r>
    </w:p>
    <w:p w14:paraId="3C6017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5" w:name="n13434"/>
      <w:bookmarkEnd w:id="3385"/>
      <w:r w:rsidRPr="008B264B">
        <w:rPr>
          <w:rFonts w:ascii="Times New Roman" w:eastAsia="Times New Roman" w:hAnsi="Times New Roman" w:cs="Times New Roman"/>
          <w:i/>
          <w:iCs/>
          <w:color w:val="000000"/>
          <w:sz w:val="24"/>
          <w:szCs w:val="24"/>
          <w:lang/>
        </w:rPr>
        <w:t>{Пункт 97.6 статті 97 із змінами, внесеними згідно із Законом </w:t>
      </w:r>
      <w:hyperlink r:id="rId188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627E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6" w:name="n2195"/>
      <w:bookmarkEnd w:id="3386"/>
      <w:r w:rsidRPr="008B264B">
        <w:rPr>
          <w:rFonts w:ascii="Times New Roman" w:eastAsia="Times New Roman" w:hAnsi="Times New Roman" w:cs="Times New Roman"/>
          <w:b/>
          <w:bCs/>
          <w:color w:val="000000"/>
          <w:sz w:val="24"/>
          <w:szCs w:val="24"/>
          <w:lang/>
        </w:rPr>
        <w:t>Стаття 98.</w:t>
      </w:r>
      <w:r w:rsidRPr="008B264B">
        <w:rPr>
          <w:rFonts w:ascii="Times New Roman" w:eastAsia="Times New Roman" w:hAnsi="Times New Roman" w:cs="Times New Roman"/>
          <w:color w:val="000000"/>
          <w:sz w:val="24"/>
          <w:szCs w:val="24"/>
          <w:lang/>
        </w:rPr>
        <w:t> Порядок погашення грошових зобов'язань або податкового боргу у разі реорганізації платника податків, або передачі цілісного майнового комплексу державного чи комунального підприємства в оренду чи концесію</w:t>
      </w:r>
    </w:p>
    <w:p w14:paraId="56AA80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7" w:name="n2196"/>
      <w:bookmarkEnd w:id="3387"/>
      <w:r w:rsidRPr="008B264B">
        <w:rPr>
          <w:rFonts w:ascii="Times New Roman" w:eastAsia="Times New Roman" w:hAnsi="Times New Roman" w:cs="Times New Roman"/>
          <w:i/>
          <w:iCs/>
          <w:color w:val="000000"/>
          <w:sz w:val="24"/>
          <w:szCs w:val="24"/>
          <w:lang/>
        </w:rPr>
        <w:t>{Назва статті 98 із змінами, внесеними згідно із Законом </w:t>
      </w:r>
      <w:hyperlink r:id="rId1884"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660D33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8" w:name="n2197"/>
      <w:bookmarkEnd w:id="3388"/>
      <w:r w:rsidRPr="008B264B">
        <w:rPr>
          <w:rFonts w:ascii="Times New Roman" w:eastAsia="Times New Roman" w:hAnsi="Times New Roman" w:cs="Times New Roman"/>
          <w:color w:val="000000"/>
          <w:sz w:val="24"/>
          <w:szCs w:val="24"/>
          <w:lang/>
        </w:rPr>
        <w:t>98.1. Під реорганізацією платника податків у цій статті розуміється зміна його правового статусу, яка передбачає будь-яку з таких дій або їх поєднання:</w:t>
      </w:r>
    </w:p>
    <w:p w14:paraId="238F0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89" w:name="n2198"/>
      <w:bookmarkEnd w:id="3389"/>
      <w:r w:rsidRPr="008B264B">
        <w:rPr>
          <w:rFonts w:ascii="Times New Roman" w:eastAsia="Times New Roman" w:hAnsi="Times New Roman" w:cs="Times New Roman"/>
          <w:color w:val="000000"/>
          <w:sz w:val="24"/>
          <w:szCs w:val="24"/>
          <w:lang/>
        </w:rPr>
        <w:t>98.1.1. для господарських товариств - зміна організаційно-правового статусу товариства, що тягне за собою зміну коду згідно з Єдиним державним реєстром підприємств та організацій України;</w:t>
      </w:r>
    </w:p>
    <w:p w14:paraId="405F50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0" w:name="n2199"/>
      <w:bookmarkEnd w:id="3390"/>
      <w:r w:rsidRPr="008B264B">
        <w:rPr>
          <w:rFonts w:ascii="Times New Roman" w:eastAsia="Times New Roman" w:hAnsi="Times New Roman" w:cs="Times New Roman"/>
          <w:i/>
          <w:iCs/>
          <w:color w:val="000000"/>
          <w:sz w:val="24"/>
          <w:szCs w:val="24"/>
          <w:lang/>
        </w:rPr>
        <w:t>{Підпункт 98.1.1 пункту 98.1 статті 98 із змінами, внесеними згідно із Законом </w:t>
      </w:r>
      <w:hyperlink r:id="rId188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38CDA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1" w:name="n2200"/>
      <w:bookmarkEnd w:id="3391"/>
      <w:r w:rsidRPr="008B264B">
        <w:rPr>
          <w:rFonts w:ascii="Times New Roman" w:eastAsia="Times New Roman" w:hAnsi="Times New Roman" w:cs="Times New Roman"/>
          <w:color w:val="000000"/>
          <w:sz w:val="24"/>
          <w:szCs w:val="24"/>
          <w:lang/>
        </w:rPr>
        <w:t>98.1.2. злиття платників податків, а саме передача майна платника податків до статутних фондів інших платників податків, унаслідок чого відбувається ліквідація платника податків, який зливається з іншими;</w:t>
      </w:r>
    </w:p>
    <w:p w14:paraId="6DAC2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2" w:name="n2201"/>
      <w:bookmarkEnd w:id="3392"/>
      <w:r w:rsidRPr="008B264B">
        <w:rPr>
          <w:rFonts w:ascii="Times New Roman" w:eastAsia="Times New Roman" w:hAnsi="Times New Roman" w:cs="Times New Roman"/>
          <w:color w:val="000000"/>
          <w:sz w:val="24"/>
          <w:szCs w:val="24"/>
          <w:lang/>
        </w:rPr>
        <w:t>98.1.3. поділ платника податків на декілька осіб, а саме поділ його майна між статутними фондами новоутворених юридичних осіб та/або фізичними особами, внаслідок якого відбувається ліквідація юридичного статусу платника податків, який поділяється;</w:t>
      </w:r>
    </w:p>
    <w:p w14:paraId="00AEE9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3" w:name="n2202"/>
      <w:bookmarkEnd w:id="3393"/>
      <w:r w:rsidRPr="008B264B">
        <w:rPr>
          <w:rFonts w:ascii="Times New Roman" w:eastAsia="Times New Roman" w:hAnsi="Times New Roman" w:cs="Times New Roman"/>
          <w:color w:val="000000"/>
          <w:sz w:val="24"/>
          <w:szCs w:val="24"/>
          <w:lang/>
        </w:rPr>
        <w:t>98.1.4. виділення з платника податків інших платників податків, а саме передача частини майна платника податків, що реорганізується, до статутних фондів інших платників податків, які створюються власниками корпоративних прав платника податків, що реорганізується, та внаслідок якого не відбувається ліквідація платника податків, що реорганізується;</w:t>
      </w:r>
    </w:p>
    <w:p w14:paraId="514F2B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4" w:name="n10582"/>
      <w:bookmarkEnd w:id="3394"/>
      <w:r w:rsidRPr="008B264B">
        <w:rPr>
          <w:rFonts w:ascii="Times New Roman" w:eastAsia="Times New Roman" w:hAnsi="Times New Roman" w:cs="Times New Roman"/>
          <w:i/>
          <w:iCs/>
          <w:color w:val="000000"/>
          <w:sz w:val="24"/>
          <w:szCs w:val="24"/>
          <w:lang/>
        </w:rPr>
        <w:t>{Підпункт 98.1.4 пункту 98.1 статті 98 в редакції Закону </w:t>
      </w:r>
      <w:hyperlink r:id="rId1886" w:anchor="n24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4FB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5" w:name="n2203"/>
      <w:bookmarkEnd w:id="3395"/>
      <w:r w:rsidRPr="008B264B">
        <w:rPr>
          <w:rFonts w:ascii="Times New Roman" w:eastAsia="Times New Roman" w:hAnsi="Times New Roman" w:cs="Times New Roman"/>
          <w:color w:val="000000"/>
          <w:sz w:val="24"/>
          <w:szCs w:val="24"/>
          <w:lang/>
        </w:rPr>
        <w:t>98.1.5. реєстрацію фізичної особи як суб'єкта господарювання без скасування її попередньої реєстрації як іншого суб'єкта господарювання або з таким скасуванням.</w:t>
      </w:r>
    </w:p>
    <w:p w14:paraId="3D2226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6" w:name="n2204"/>
      <w:bookmarkEnd w:id="3396"/>
      <w:r w:rsidRPr="008B264B">
        <w:rPr>
          <w:rFonts w:ascii="Times New Roman" w:eastAsia="Times New Roman" w:hAnsi="Times New Roman" w:cs="Times New Roman"/>
          <w:color w:val="000000"/>
          <w:sz w:val="24"/>
          <w:szCs w:val="24"/>
          <w:lang/>
        </w:rPr>
        <w:t>98.2. У разі якщо власник платника податків або уповноважений ним орган приймає рішення про реорганізацію такого платника податків, або цілісний майновий комплекс державного чи комунального підприємства передається в оренду чи концесію грошові зобов'язання чи податковий борг підлягає врегулюванню в такому порядку:</w:t>
      </w:r>
    </w:p>
    <w:p w14:paraId="62239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7" w:name="n2205"/>
      <w:bookmarkEnd w:id="3397"/>
      <w:r w:rsidRPr="008B264B">
        <w:rPr>
          <w:rFonts w:ascii="Times New Roman" w:eastAsia="Times New Roman" w:hAnsi="Times New Roman" w:cs="Times New Roman"/>
          <w:i/>
          <w:iCs/>
          <w:color w:val="000000"/>
          <w:sz w:val="24"/>
          <w:szCs w:val="24"/>
          <w:lang/>
        </w:rPr>
        <w:lastRenderedPageBreak/>
        <w:t>{Абзац перший пункту 98.2 статті 98 із змінами, внесеними згідно із Законом </w:t>
      </w:r>
      <w:hyperlink r:id="rId1887"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0B118D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8" w:name="n2206"/>
      <w:bookmarkEnd w:id="3398"/>
      <w:r w:rsidRPr="008B264B">
        <w:rPr>
          <w:rFonts w:ascii="Times New Roman" w:eastAsia="Times New Roman" w:hAnsi="Times New Roman" w:cs="Times New Roman"/>
          <w:color w:val="000000"/>
          <w:sz w:val="24"/>
          <w:szCs w:val="24"/>
          <w:lang/>
        </w:rPr>
        <w:t>98.2.1. якщо реорганізація здійснюється шляхом зміни найменування, організаційно-правового статусу або місця реєстрації платника податків, після реорганізації він набуває усіх прав і обов'язків щодо погашення грошових зобов'язань чи податкового боргу, які виникли до його реорганізації;</w:t>
      </w:r>
    </w:p>
    <w:p w14:paraId="3B7478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399" w:name="n2207"/>
      <w:bookmarkEnd w:id="3399"/>
      <w:r w:rsidRPr="008B264B">
        <w:rPr>
          <w:rFonts w:ascii="Times New Roman" w:eastAsia="Times New Roman" w:hAnsi="Times New Roman" w:cs="Times New Roman"/>
          <w:color w:val="000000"/>
          <w:sz w:val="24"/>
          <w:szCs w:val="24"/>
          <w:lang/>
        </w:rPr>
        <w:t>98.2.2. якщо реорганізація здійснюється шляхом об'єднання двох або більше платників податків в одного платника податків з ліквідацією платників податків, що об'єдналися, об'єднаний платник податків набуває усіх прав і обов'язків щодо погашення грошових зобов'язань чи податкового боргу всіх платників податків, що об'єдналися;</w:t>
      </w:r>
    </w:p>
    <w:p w14:paraId="7E403D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0" w:name="n2208"/>
      <w:bookmarkEnd w:id="3400"/>
      <w:r w:rsidRPr="008B264B">
        <w:rPr>
          <w:rFonts w:ascii="Times New Roman" w:eastAsia="Times New Roman" w:hAnsi="Times New Roman" w:cs="Times New Roman"/>
          <w:color w:val="000000"/>
          <w:sz w:val="24"/>
          <w:szCs w:val="24"/>
          <w:lang/>
        </w:rPr>
        <w:t>98.2.3. якщо реорганізація здійснюється шляхом поділу платника податків на дві або більше особи з ліквідацією такого платника податків, що розподіляється, усі платники податків, які виникнуть після такої реорганізації, набувають усіх прав і обов'язків щодо погашення грошових зобов'язань чи податкового боргу, які виникли до такої реорганізації.</w:t>
      </w:r>
    </w:p>
    <w:p w14:paraId="01940B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1" w:name="n2209"/>
      <w:bookmarkEnd w:id="3401"/>
      <w:r w:rsidRPr="008B264B">
        <w:rPr>
          <w:rFonts w:ascii="Times New Roman" w:eastAsia="Times New Roman" w:hAnsi="Times New Roman" w:cs="Times New Roman"/>
          <w:color w:val="000000"/>
          <w:sz w:val="24"/>
          <w:szCs w:val="24"/>
          <w:lang/>
        </w:rPr>
        <w:t>Зазначені зобов'язання чи борг розподіляються між новоутвореними платниками податків пропорційно часткам балансової вартості майна, отриманого ними у процесі реорганізації згідно з розподільним балансом.</w:t>
      </w:r>
    </w:p>
    <w:p w14:paraId="27828C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2" w:name="n2210"/>
      <w:bookmarkEnd w:id="3402"/>
      <w:r w:rsidRPr="008B264B">
        <w:rPr>
          <w:rFonts w:ascii="Times New Roman" w:eastAsia="Times New Roman" w:hAnsi="Times New Roman" w:cs="Times New Roman"/>
          <w:color w:val="000000"/>
          <w:sz w:val="24"/>
          <w:szCs w:val="24"/>
          <w:lang/>
        </w:rPr>
        <w:t>У разі якщо одна чи більше новоутворених осіб не є платниками податків, щодо яких виникли грошові зобов'язання або борг платника податків, який був реорганізований, зазначені грошові зобов'язання чи податковий борг повністю розподіляються між особами, що є платниками таких податків, пропорційно часткам отриманого ними майна, без урахування майна, наданого особам, що не є платниками таких податків.</w:t>
      </w:r>
    </w:p>
    <w:p w14:paraId="564E0F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3" w:name="n2211"/>
      <w:bookmarkEnd w:id="3403"/>
      <w:r w:rsidRPr="008B264B">
        <w:rPr>
          <w:rFonts w:ascii="Times New Roman" w:eastAsia="Times New Roman" w:hAnsi="Times New Roman" w:cs="Times New Roman"/>
          <w:color w:val="000000"/>
          <w:sz w:val="24"/>
          <w:szCs w:val="24"/>
          <w:lang/>
        </w:rPr>
        <w:t>98.2.4. у разі передачі в оренду чи концесію цілісного майнового комплексу державного або комунального підприємства платник податків - орендар чи концесіонер після прийняття цілісного майнового комплексу державного або комунального підприємства в оренду чи концесію набуває усіх прав і обов'язків щодо погашення грошових зобов'язань чи податкового боргу, які виникли у державного або комунального підприємства до передачі цілісного майнового комплексу в оренду чи концесію.</w:t>
      </w:r>
    </w:p>
    <w:p w14:paraId="0BB8E5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4" w:name="n2212"/>
      <w:bookmarkEnd w:id="3404"/>
      <w:r w:rsidRPr="008B264B">
        <w:rPr>
          <w:rFonts w:ascii="Times New Roman" w:eastAsia="Times New Roman" w:hAnsi="Times New Roman" w:cs="Times New Roman"/>
          <w:i/>
          <w:iCs/>
          <w:color w:val="000000"/>
          <w:sz w:val="24"/>
          <w:szCs w:val="24"/>
          <w:lang/>
        </w:rPr>
        <w:t>{Пункт 98.2 статті 98 доповнено підпунктом 98.2.4 згідно із Законом </w:t>
      </w:r>
      <w:hyperlink r:id="rId1888"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4F3A76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5" w:name="n2213"/>
      <w:bookmarkEnd w:id="3405"/>
      <w:r w:rsidRPr="008B264B">
        <w:rPr>
          <w:rFonts w:ascii="Times New Roman" w:eastAsia="Times New Roman" w:hAnsi="Times New Roman" w:cs="Times New Roman"/>
          <w:color w:val="000000"/>
          <w:sz w:val="24"/>
          <w:szCs w:val="24"/>
          <w:lang/>
        </w:rPr>
        <w:t>98.3. Реорганізація платника податків шляхом виділення з його складу іншого платника податків або внесення частини майна платника податків до статутного фонду іншого платника податків без ліквідації платника податків, який реорганізується, не тягне за собою розподілу грошових зобов'язань чи податкового боргу між таким платником податків та особами, утвореними у процесі його реорганізації, чи встановлення їх солідарної відповідальності за порушення податкового законодавства, крім випадків, коли за висновками контролюючого органу така реорганізація може призвести до неналежного погашення грошових зобов'язань чи податкового боргу платником податків, який реорганізується. Рішення про застосування солідарної або розподільної відповідальності за порушення податкового законодавства може бути прийняте контролюючим органом у разі, коли майно платника податків, що реорганізується, перебуває у податковій заставі на момент прийняття рішення про таку реорганізацію.</w:t>
      </w:r>
    </w:p>
    <w:p w14:paraId="10D4AB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6" w:name="n2214"/>
      <w:bookmarkEnd w:id="3406"/>
      <w:r w:rsidRPr="008B264B">
        <w:rPr>
          <w:rFonts w:ascii="Times New Roman" w:eastAsia="Times New Roman" w:hAnsi="Times New Roman" w:cs="Times New Roman"/>
          <w:i/>
          <w:iCs/>
          <w:color w:val="000000"/>
          <w:sz w:val="24"/>
          <w:szCs w:val="24"/>
          <w:lang/>
        </w:rPr>
        <w:t>{Пункт 98.3 статті 98 із змінами, внесеними згідно із Законом </w:t>
      </w:r>
      <w:hyperlink r:id="rId1889"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49B445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7" w:name="n2215"/>
      <w:bookmarkEnd w:id="3407"/>
      <w:r w:rsidRPr="008B264B">
        <w:rPr>
          <w:rFonts w:ascii="Times New Roman" w:eastAsia="Times New Roman" w:hAnsi="Times New Roman" w:cs="Times New Roman"/>
          <w:color w:val="000000"/>
          <w:sz w:val="24"/>
          <w:szCs w:val="24"/>
          <w:lang/>
        </w:rPr>
        <w:t>98.4. Платник податків, майно якого передане в податкову заставу, або той, що скористався правом реструктуризації податкового боргу, зобов'язаний завчасно повідомити контролюючий орган про прийняття рішення щодо проведення будь-яких видів реорганізації та подати контролюючому органу план такої реорганізації. У разі коли контролюючий орган встановлює, що план реорганізації призводить або може у майбутньому призвести до неналежного погашення грошових зобов'язань чи податкового боргу, він має право прийняти рішення про:</w:t>
      </w:r>
    </w:p>
    <w:p w14:paraId="23E6CF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8" w:name="n2216"/>
      <w:bookmarkEnd w:id="3408"/>
      <w:r w:rsidRPr="008B264B">
        <w:rPr>
          <w:rFonts w:ascii="Times New Roman" w:eastAsia="Times New Roman" w:hAnsi="Times New Roman" w:cs="Times New Roman"/>
          <w:color w:val="000000"/>
          <w:sz w:val="24"/>
          <w:szCs w:val="24"/>
          <w:lang/>
        </w:rPr>
        <w:lastRenderedPageBreak/>
        <w:t>98.4.1. розподіл суми грошових зобов'язань або податкового боргу між платниками податків, що виникають у результаті реорганізації, з урахуванням очікуваної прибутковості (ліквідності) кожного такого платника податків без застосування принципу пропорційного розподілу, встановленого </w:t>
      </w:r>
      <w:hyperlink r:id="rId1890" w:anchor="n2204" w:history="1">
        <w:r w:rsidRPr="008B264B">
          <w:rPr>
            <w:rFonts w:ascii="Times New Roman" w:eastAsia="Times New Roman" w:hAnsi="Times New Roman" w:cs="Times New Roman"/>
            <w:color w:val="0000FF"/>
            <w:sz w:val="24"/>
            <w:szCs w:val="24"/>
            <w:u w:val="single"/>
            <w:lang/>
          </w:rPr>
          <w:t>пунктами 98.2</w:t>
        </w:r>
      </w:hyperlink>
      <w:r w:rsidRPr="008B264B">
        <w:rPr>
          <w:rFonts w:ascii="Times New Roman" w:eastAsia="Times New Roman" w:hAnsi="Times New Roman" w:cs="Times New Roman"/>
          <w:color w:val="000000"/>
          <w:sz w:val="24"/>
          <w:szCs w:val="24"/>
          <w:lang/>
        </w:rPr>
        <w:t> і </w:t>
      </w:r>
      <w:hyperlink r:id="rId1891" w:anchor="n2213" w:history="1">
        <w:r w:rsidRPr="008B264B">
          <w:rPr>
            <w:rFonts w:ascii="Times New Roman" w:eastAsia="Times New Roman" w:hAnsi="Times New Roman" w:cs="Times New Roman"/>
            <w:color w:val="0000FF"/>
            <w:sz w:val="24"/>
            <w:szCs w:val="24"/>
            <w:u w:val="single"/>
            <w:lang/>
          </w:rPr>
          <w:t>98.3</w:t>
        </w:r>
      </w:hyperlink>
      <w:r w:rsidRPr="008B264B">
        <w:rPr>
          <w:rFonts w:ascii="Times New Roman" w:eastAsia="Times New Roman" w:hAnsi="Times New Roman" w:cs="Times New Roman"/>
          <w:color w:val="000000"/>
          <w:sz w:val="24"/>
          <w:szCs w:val="24"/>
          <w:lang/>
        </w:rPr>
        <w:t> цієї статті;</w:t>
      </w:r>
    </w:p>
    <w:p w14:paraId="68AE39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09" w:name="n2217"/>
      <w:bookmarkEnd w:id="3409"/>
      <w:r w:rsidRPr="008B264B">
        <w:rPr>
          <w:rFonts w:ascii="Times New Roman" w:eastAsia="Times New Roman" w:hAnsi="Times New Roman" w:cs="Times New Roman"/>
          <w:color w:val="000000"/>
          <w:sz w:val="24"/>
          <w:szCs w:val="24"/>
          <w:lang/>
        </w:rPr>
        <w:t>98.4.2. погашення грошових зобов'язань або податкового боргу, забезпечених податковою заставою, до проведення такої реорганізації;</w:t>
      </w:r>
    </w:p>
    <w:p w14:paraId="7EE80E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0" w:name="n2218"/>
      <w:bookmarkEnd w:id="3410"/>
      <w:r w:rsidRPr="008B264B">
        <w:rPr>
          <w:rFonts w:ascii="Times New Roman" w:eastAsia="Times New Roman" w:hAnsi="Times New Roman" w:cs="Times New Roman"/>
          <w:color w:val="000000"/>
          <w:sz w:val="24"/>
          <w:szCs w:val="24"/>
          <w:lang/>
        </w:rPr>
        <w:t>98.4.3. встановлення солідарної відповідальності за сплату грошових зобов'язань платника податків, який реорганізується, щодо всіх осіб, утворених у процесі реорганізації, що тягне за собою застосування режиму податкової застави щодо всього майна таких осіб;</w:t>
      </w:r>
    </w:p>
    <w:p w14:paraId="277D23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1" w:name="n2219"/>
      <w:bookmarkEnd w:id="3411"/>
      <w:r w:rsidRPr="008B264B">
        <w:rPr>
          <w:rFonts w:ascii="Times New Roman" w:eastAsia="Times New Roman" w:hAnsi="Times New Roman" w:cs="Times New Roman"/>
          <w:color w:val="000000"/>
          <w:sz w:val="24"/>
          <w:szCs w:val="24"/>
          <w:lang/>
        </w:rPr>
        <w:t>98.4.4. поширення права податкової застави на майно платника податків, який створюється шляхом об'єднання інших платників податків, якщо один або більше з них мали грошові зобов'язання або податковий борг, забезпечений податковою заставою.</w:t>
      </w:r>
    </w:p>
    <w:p w14:paraId="06C37F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2" w:name="n2220"/>
      <w:bookmarkEnd w:id="3412"/>
      <w:r w:rsidRPr="008B264B">
        <w:rPr>
          <w:rFonts w:ascii="Times New Roman" w:eastAsia="Times New Roman" w:hAnsi="Times New Roman" w:cs="Times New Roman"/>
          <w:color w:val="000000"/>
          <w:sz w:val="24"/>
          <w:szCs w:val="24"/>
          <w:lang/>
        </w:rPr>
        <w:t>98.5. Прийняті відповідно до </w:t>
      </w:r>
      <w:hyperlink r:id="rId1892" w:anchor="n2215" w:history="1">
        <w:r w:rsidRPr="008B264B">
          <w:rPr>
            <w:rFonts w:ascii="Times New Roman" w:eastAsia="Times New Roman" w:hAnsi="Times New Roman" w:cs="Times New Roman"/>
            <w:color w:val="0000FF"/>
            <w:sz w:val="24"/>
            <w:szCs w:val="24"/>
            <w:u w:val="single"/>
            <w:lang/>
          </w:rPr>
          <w:t>пункту 98.4</w:t>
        </w:r>
      </w:hyperlink>
      <w:r w:rsidRPr="008B264B">
        <w:rPr>
          <w:rFonts w:ascii="Times New Roman" w:eastAsia="Times New Roman" w:hAnsi="Times New Roman" w:cs="Times New Roman"/>
          <w:color w:val="000000"/>
          <w:sz w:val="24"/>
          <w:szCs w:val="24"/>
          <w:lang/>
        </w:rPr>
        <w:t> цієї статті рішення контролюючого органу можуть бути оскаржені в порядку та у строки, визначені цим Кодексом для оскарження грошового зобов'язання, нарахованого контролюючим органом.</w:t>
      </w:r>
    </w:p>
    <w:p w14:paraId="151193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3" w:name="n2221"/>
      <w:bookmarkEnd w:id="3413"/>
      <w:r w:rsidRPr="008B264B">
        <w:rPr>
          <w:rFonts w:ascii="Times New Roman" w:eastAsia="Times New Roman" w:hAnsi="Times New Roman" w:cs="Times New Roman"/>
          <w:color w:val="000000"/>
          <w:sz w:val="24"/>
          <w:szCs w:val="24"/>
          <w:lang/>
        </w:rPr>
        <w:t>98.6. Проведення реорганізації з порушенням правил, визначених пунктом 98.4 цієї статті, тягне за собою відповідальність, встановлену законом.</w:t>
      </w:r>
    </w:p>
    <w:p w14:paraId="5E4355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4" w:name="n2222"/>
      <w:bookmarkEnd w:id="3414"/>
      <w:r w:rsidRPr="008B264B">
        <w:rPr>
          <w:rFonts w:ascii="Times New Roman" w:eastAsia="Times New Roman" w:hAnsi="Times New Roman" w:cs="Times New Roman"/>
          <w:color w:val="000000"/>
          <w:sz w:val="24"/>
          <w:szCs w:val="24"/>
          <w:lang/>
        </w:rPr>
        <w:t>98.7. Реорганізація платника податків не змінює строків погашення грошових зобов'язань або податкового боргу платниками податків, утвореними у результаті такої реорганізації.</w:t>
      </w:r>
    </w:p>
    <w:p w14:paraId="58427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5" w:name="n2223"/>
      <w:bookmarkEnd w:id="3415"/>
      <w:r w:rsidRPr="008B264B">
        <w:rPr>
          <w:rFonts w:ascii="Times New Roman" w:eastAsia="Times New Roman" w:hAnsi="Times New Roman" w:cs="Times New Roman"/>
          <w:color w:val="000000"/>
          <w:sz w:val="24"/>
          <w:szCs w:val="24"/>
          <w:lang/>
        </w:rPr>
        <w:t>98.8. У разі якщо платник податків, що реорганізується, має суми надміру сплачених грошових зобов'язань, такі суми підлягають заліку в рахунок його непогашених грошових зобов'язань або податкового боргу за іншими податками. Зазначена сума розподіляється між бюджетами та державними цільовими фондами пропорційно загальним сумам грошового зобов'язання або податкового боргу такого платника податків.</w:t>
      </w:r>
    </w:p>
    <w:p w14:paraId="0812C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6" w:name="n2224"/>
      <w:bookmarkEnd w:id="3416"/>
      <w:r w:rsidRPr="008B264B">
        <w:rPr>
          <w:rFonts w:ascii="Times New Roman" w:eastAsia="Times New Roman" w:hAnsi="Times New Roman" w:cs="Times New Roman"/>
          <w:color w:val="000000"/>
          <w:sz w:val="24"/>
          <w:szCs w:val="24"/>
          <w:lang/>
        </w:rPr>
        <w:t>98.9. У разі якщо сума надміру сплачених грошових зобов'язань або невідшкодованих податків та зборів платника податків перевищує суму грошових зобов'язань або податкового боргу з інших податків, сума перевищення перераховується в розпорядження правонаступників такого платника податків пропорційно його частці в майні, що розподіляється, згідно з розподільним балансом або передаточним актом, а у разі отримання цілісного майнового комплексу державного або комунального підприємства в оренду чи концесію сума перевищення перераховується в розпорядження платника податків - орендаря чи концесіонера згідно з передаточним балансом або актом.</w:t>
      </w:r>
    </w:p>
    <w:p w14:paraId="53FD3A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7" w:name="n2225"/>
      <w:bookmarkEnd w:id="3417"/>
      <w:r w:rsidRPr="008B264B">
        <w:rPr>
          <w:rFonts w:ascii="Times New Roman" w:eastAsia="Times New Roman" w:hAnsi="Times New Roman" w:cs="Times New Roman"/>
          <w:i/>
          <w:iCs/>
          <w:color w:val="000000"/>
          <w:sz w:val="24"/>
          <w:szCs w:val="24"/>
          <w:lang/>
        </w:rPr>
        <w:t>{Пункт 98.9 статті 98 із змінами, внесеними згідно із Законом </w:t>
      </w:r>
      <w:hyperlink r:id="rId1893"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34B1A6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8" w:name="n2226"/>
      <w:bookmarkEnd w:id="3418"/>
      <w:r w:rsidRPr="008B264B">
        <w:rPr>
          <w:rFonts w:ascii="Times New Roman" w:eastAsia="Times New Roman" w:hAnsi="Times New Roman" w:cs="Times New Roman"/>
          <w:b/>
          <w:bCs/>
          <w:color w:val="000000"/>
          <w:sz w:val="24"/>
          <w:szCs w:val="24"/>
          <w:lang/>
        </w:rPr>
        <w:t>Стаття 99.</w:t>
      </w:r>
      <w:r w:rsidRPr="008B264B">
        <w:rPr>
          <w:rFonts w:ascii="Times New Roman" w:eastAsia="Times New Roman" w:hAnsi="Times New Roman" w:cs="Times New Roman"/>
          <w:color w:val="000000"/>
          <w:sz w:val="24"/>
          <w:szCs w:val="24"/>
          <w:lang/>
        </w:rPr>
        <w:t> Порядок виконання грошових зобов’язань та/або погашення податкового боргу фізичної особи (у тому числі фізичної особи - підприємця, фізичної особи, яка провадить незалежну професійну діяльність) у разі її смерті або визнання безвісно відсутньою чи недієздатною, а також малолітньої/неповнолітньої особи</w:t>
      </w:r>
    </w:p>
    <w:p w14:paraId="1E4424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19" w:name="n9510"/>
      <w:bookmarkEnd w:id="3419"/>
      <w:r w:rsidRPr="008B264B">
        <w:rPr>
          <w:rFonts w:ascii="Times New Roman" w:eastAsia="Times New Roman" w:hAnsi="Times New Roman" w:cs="Times New Roman"/>
          <w:i/>
          <w:iCs/>
          <w:color w:val="000000"/>
          <w:sz w:val="24"/>
          <w:szCs w:val="24"/>
          <w:lang/>
        </w:rPr>
        <w:t>{Назва статті 99 в редакції Закону </w:t>
      </w:r>
      <w:hyperlink r:id="rId1894" w:anchor="n7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737D8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0" w:name="n2227"/>
      <w:bookmarkEnd w:id="3420"/>
      <w:r w:rsidRPr="008B264B">
        <w:rPr>
          <w:rFonts w:ascii="Times New Roman" w:eastAsia="Times New Roman" w:hAnsi="Times New Roman" w:cs="Times New Roman"/>
          <w:color w:val="000000"/>
          <w:sz w:val="24"/>
          <w:szCs w:val="24"/>
          <w:lang/>
        </w:rPr>
        <w:t>99.1. Виконання грошових зобов’язань та/або погашення податкового боргу фізичної особи (у тому числі фізичної особи - підприємця, фізичної особи, яка провадить незалежну професійну діяльність) у разі її смерті або оголошення судом померлою здійснюється її спадкоємцями, які прийняли спадщину (крім держави), в межах вартості майна, що успадковується, та пропорційно частці у спадщині на дату її відкриття.</w:t>
      </w:r>
    </w:p>
    <w:p w14:paraId="746836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1" w:name="n9511"/>
      <w:bookmarkEnd w:id="3421"/>
      <w:r w:rsidRPr="008B264B">
        <w:rPr>
          <w:rFonts w:ascii="Times New Roman" w:eastAsia="Times New Roman" w:hAnsi="Times New Roman" w:cs="Times New Roman"/>
          <w:i/>
          <w:iCs/>
          <w:color w:val="000000"/>
          <w:sz w:val="24"/>
          <w:szCs w:val="24"/>
          <w:lang/>
        </w:rPr>
        <w:t>{Абзац перший пункту 99.1 статті 99 із змінами, внесеними згідно із Законом </w:t>
      </w:r>
      <w:hyperlink r:id="rId1895" w:anchor="n7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D12D1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2" w:name="n2228"/>
      <w:bookmarkEnd w:id="3422"/>
      <w:r w:rsidRPr="008B264B">
        <w:rPr>
          <w:rFonts w:ascii="Times New Roman" w:eastAsia="Times New Roman" w:hAnsi="Times New Roman" w:cs="Times New Roman"/>
          <w:color w:val="000000"/>
          <w:sz w:val="24"/>
          <w:szCs w:val="24"/>
          <w:lang/>
        </w:rPr>
        <w:t>Претензії спадкоємцям пред'являються контролюючими органами в порядку, встановленому цивільним законодавством України для пред'явлення претензій кредиторами спадкодавця.</w:t>
      </w:r>
    </w:p>
    <w:p w14:paraId="35F7D3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3" w:name="n2229"/>
      <w:bookmarkEnd w:id="3423"/>
      <w:r w:rsidRPr="008B264B">
        <w:rPr>
          <w:rFonts w:ascii="Times New Roman" w:eastAsia="Times New Roman" w:hAnsi="Times New Roman" w:cs="Times New Roman"/>
          <w:color w:val="000000"/>
          <w:sz w:val="24"/>
          <w:szCs w:val="24"/>
          <w:lang/>
        </w:rPr>
        <w:lastRenderedPageBreak/>
        <w:t>Після закінчення строку прийняття спадщини грошові зобов'язання та/або податковий борг спадкодавця стають грошовими зобов'язаннями та/або податковим боргом спадкоємців.</w:t>
      </w:r>
    </w:p>
    <w:p w14:paraId="7F853D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4" w:name="n2230"/>
      <w:bookmarkEnd w:id="3424"/>
      <w:r w:rsidRPr="008B264B">
        <w:rPr>
          <w:rFonts w:ascii="Times New Roman" w:eastAsia="Times New Roman" w:hAnsi="Times New Roman" w:cs="Times New Roman"/>
          <w:color w:val="000000"/>
          <w:sz w:val="24"/>
          <w:szCs w:val="24"/>
          <w:lang/>
        </w:rPr>
        <w:t>Протягом строку прийняття спадщини на грошові зобов'язання та/або податковий борг спадкодавців пеня не нараховується.</w:t>
      </w:r>
    </w:p>
    <w:p w14:paraId="35985C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5" w:name="n2231"/>
      <w:bookmarkEnd w:id="3425"/>
      <w:r w:rsidRPr="008B264B">
        <w:rPr>
          <w:rFonts w:ascii="Times New Roman" w:eastAsia="Times New Roman" w:hAnsi="Times New Roman" w:cs="Times New Roman"/>
          <w:color w:val="000000"/>
          <w:sz w:val="24"/>
          <w:szCs w:val="24"/>
          <w:lang/>
        </w:rPr>
        <w:t>У разі переходу спадщини до держави грошові зобов'язання померлої фізичної особи припиняються.</w:t>
      </w:r>
    </w:p>
    <w:p w14:paraId="311C30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6" w:name="n2232"/>
      <w:bookmarkEnd w:id="3426"/>
      <w:r w:rsidRPr="008B264B">
        <w:rPr>
          <w:rFonts w:ascii="Times New Roman" w:eastAsia="Times New Roman" w:hAnsi="Times New Roman" w:cs="Times New Roman"/>
          <w:color w:val="000000"/>
          <w:sz w:val="24"/>
          <w:szCs w:val="24"/>
          <w:lang/>
        </w:rPr>
        <w:t>99.2. Грошові зобов'язання малолітніх/неповнолітніх осіб виконуються їх батьками (усиновителями), опікунами (піклувальниками) до набуття малолітніми/неповнолітніми особами цивільної дієздатності в повному обсязі.</w:t>
      </w:r>
    </w:p>
    <w:p w14:paraId="217E95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7" w:name="n2233"/>
      <w:bookmarkEnd w:id="3427"/>
      <w:r w:rsidRPr="008B264B">
        <w:rPr>
          <w:rFonts w:ascii="Times New Roman" w:eastAsia="Times New Roman" w:hAnsi="Times New Roman" w:cs="Times New Roman"/>
          <w:color w:val="000000"/>
          <w:sz w:val="24"/>
          <w:szCs w:val="24"/>
          <w:lang/>
        </w:rPr>
        <w:t>Батьки (усиновителі) малолітніх/неповнолітніх і малолітні/неповнолітні у разі невиконання грошових зобов'язань малолітніх/неповнолітніх несуть солідарну майнову відповідальність за погашення грошових зобов'язань та/або податкового боргу.</w:t>
      </w:r>
    </w:p>
    <w:p w14:paraId="103DA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8" w:name="n2234"/>
      <w:bookmarkEnd w:id="3428"/>
      <w:r w:rsidRPr="008B264B">
        <w:rPr>
          <w:rFonts w:ascii="Times New Roman" w:eastAsia="Times New Roman" w:hAnsi="Times New Roman" w:cs="Times New Roman"/>
          <w:color w:val="000000"/>
          <w:sz w:val="24"/>
          <w:szCs w:val="24"/>
          <w:lang/>
        </w:rPr>
        <w:t>99.3. Виконання грошових зобов’язань та/або погашення податкового боргу фізичної особи (у тому числі фізичної особи - підприємця, фізичної особи, яка провадить незалежну професійну діяльність), яка визнана судом недієздатною, здійснюється її опікуном за рахунок майна такої фізичної особи у порядку, встановленому цим Кодексом.</w:t>
      </w:r>
    </w:p>
    <w:p w14:paraId="2839F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29" w:name="n9512"/>
      <w:bookmarkEnd w:id="3429"/>
      <w:r w:rsidRPr="008B264B">
        <w:rPr>
          <w:rFonts w:ascii="Times New Roman" w:eastAsia="Times New Roman" w:hAnsi="Times New Roman" w:cs="Times New Roman"/>
          <w:i/>
          <w:iCs/>
          <w:color w:val="000000"/>
          <w:sz w:val="24"/>
          <w:szCs w:val="24"/>
          <w:lang/>
        </w:rPr>
        <w:t>{Абзац перший пункту 99.3 статті 99 із змінами, внесеними згідно із Законом </w:t>
      </w:r>
      <w:hyperlink r:id="rId1896" w:anchor="n7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33641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0" w:name="n2235"/>
      <w:bookmarkEnd w:id="3430"/>
      <w:r w:rsidRPr="008B264B">
        <w:rPr>
          <w:rFonts w:ascii="Times New Roman" w:eastAsia="Times New Roman" w:hAnsi="Times New Roman" w:cs="Times New Roman"/>
          <w:color w:val="000000"/>
          <w:sz w:val="24"/>
          <w:szCs w:val="24"/>
          <w:lang/>
        </w:rPr>
        <w:t>Опікун недієздатної особи виконує грошові зобов'язання, що виникли на день визнання її недієздатною та/або погашає податковий борг за рахунок майна, на яке може бути звернуто стягнення згідно із законом, такої фізичної особи.</w:t>
      </w:r>
    </w:p>
    <w:p w14:paraId="637154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1" w:name="n9513"/>
      <w:bookmarkEnd w:id="3431"/>
      <w:r w:rsidRPr="008B264B">
        <w:rPr>
          <w:rFonts w:ascii="Times New Roman" w:eastAsia="Times New Roman" w:hAnsi="Times New Roman" w:cs="Times New Roman"/>
          <w:i/>
          <w:iCs/>
          <w:color w:val="000000"/>
          <w:sz w:val="24"/>
          <w:szCs w:val="24"/>
          <w:lang/>
        </w:rPr>
        <w:t>{Абзац другий пункту 99.3 статті 99 із змінами, внесеними згідно із Законом </w:t>
      </w:r>
      <w:hyperlink r:id="rId1897" w:anchor="n7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DC33A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2" w:name="n2236"/>
      <w:bookmarkEnd w:id="3432"/>
      <w:r w:rsidRPr="008B264B">
        <w:rPr>
          <w:rFonts w:ascii="Times New Roman" w:eastAsia="Times New Roman" w:hAnsi="Times New Roman" w:cs="Times New Roman"/>
          <w:color w:val="000000"/>
          <w:sz w:val="24"/>
          <w:szCs w:val="24"/>
          <w:lang/>
        </w:rPr>
        <w:t>99.4. Виконання грошових зобов’язань та/або погашення податкового боргу фізичної особи (у тому числі фізичної особи - підприємця, фізичної особи, яка провадить незалежну професійну діяльність), яка визнана судом безвісно відсутньою, здійснюється особою, на яку в установленому порядку покладено здійснення опіки над майном безвісно відсутньої особи.</w:t>
      </w:r>
    </w:p>
    <w:p w14:paraId="15A30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3" w:name="n9514"/>
      <w:bookmarkEnd w:id="3433"/>
      <w:r w:rsidRPr="008B264B">
        <w:rPr>
          <w:rFonts w:ascii="Times New Roman" w:eastAsia="Times New Roman" w:hAnsi="Times New Roman" w:cs="Times New Roman"/>
          <w:i/>
          <w:iCs/>
          <w:color w:val="000000"/>
          <w:sz w:val="24"/>
          <w:szCs w:val="24"/>
          <w:lang/>
        </w:rPr>
        <w:t>{Абзац перший пункту 99.4 статті 99 із змінами, внесеними згідно із Законом </w:t>
      </w:r>
      <w:hyperlink r:id="rId1898" w:anchor="n8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9FA7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4" w:name="n2237"/>
      <w:bookmarkEnd w:id="3434"/>
      <w:r w:rsidRPr="008B264B">
        <w:rPr>
          <w:rFonts w:ascii="Times New Roman" w:eastAsia="Times New Roman" w:hAnsi="Times New Roman" w:cs="Times New Roman"/>
          <w:color w:val="000000"/>
          <w:sz w:val="24"/>
          <w:szCs w:val="24"/>
          <w:lang/>
        </w:rPr>
        <w:t>Особа, яка здійснює опіку над майном безвісно відсутньої особи, виконує грошові зобов'язання, що виникли на день визнання її безвісно відсутньою та/або погашає податковий борг, за рахунок майна такої фізичної особи, на яке може бути звернуто стягнення згідно із законом.</w:t>
      </w:r>
    </w:p>
    <w:p w14:paraId="083933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5" w:name="n9515"/>
      <w:bookmarkEnd w:id="3435"/>
      <w:r w:rsidRPr="008B264B">
        <w:rPr>
          <w:rFonts w:ascii="Times New Roman" w:eastAsia="Times New Roman" w:hAnsi="Times New Roman" w:cs="Times New Roman"/>
          <w:i/>
          <w:iCs/>
          <w:color w:val="000000"/>
          <w:sz w:val="24"/>
          <w:szCs w:val="24"/>
          <w:lang/>
        </w:rPr>
        <w:t>{Абзац другий пункту 99.4 статті 99 із змінами, внесеними згідно із Законом </w:t>
      </w:r>
      <w:hyperlink r:id="rId1899" w:anchor="n8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57885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6" w:name="n2238"/>
      <w:bookmarkEnd w:id="3436"/>
      <w:r w:rsidRPr="008B264B">
        <w:rPr>
          <w:rFonts w:ascii="Times New Roman" w:eastAsia="Times New Roman" w:hAnsi="Times New Roman" w:cs="Times New Roman"/>
          <w:color w:val="000000"/>
          <w:sz w:val="24"/>
          <w:szCs w:val="24"/>
          <w:lang/>
        </w:rPr>
        <w:t>99.5. Батьки (усиновителі) та опікуни (піклувальники) малолітніх/неповнолітніх, опікуни недієздатних, особи, на яких покладено здійснення опіки над майном безвісно відсутніх (законні представники платників податків - фізичних осіб), повинні від імені відповідних фізичних осіб:</w:t>
      </w:r>
    </w:p>
    <w:p w14:paraId="4B94D9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7" w:name="n2239"/>
      <w:bookmarkEnd w:id="3437"/>
      <w:r w:rsidRPr="008B264B">
        <w:rPr>
          <w:rFonts w:ascii="Times New Roman" w:eastAsia="Times New Roman" w:hAnsi="Times New Roman" w:cs="Times New Roman"/>
          <w:color w:val="000000"/>
          <w:sz w:val="24"/>
          <w:szCs w:val="24"/>
          <w:lang/>
        </w:rPr>
        <w:t>99.5.1. подати за наявності підстав контролюючому органу заяву для реєстрації таких фізичних осіб у Державному реєстрі фізичних осіб - платників податків та у випадках, передбачених цим Кодексом, іншу інформацію, необхідну для ведення зазначеного Державного реєстру;</w:t>
      </w:r>
    </w:p>
    <w:p w14:paraId="287843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8" w:name="n2240"/>
      <w:bookmarkEnd w:id="3438"/>
      <w:r w:rsidRPr="008B264B">
        <w:rPr>
          <w:rFonts w:ascii="Times New Roman" w:eastAsia="Times New Roman" w:hAnsi="Times New Roman" w:cs="Times New Roman"/>
          <w:color w:val="000000"/>
          <w:sz w:val="24"/>
          <w:szCs w:val="24"/>
          <w:lang/>
        </w:rPr>
        <w:t>99.5.2. своєчасно подавати належним чином заповнені декларації про доходи та майно;</w:t>
      </w:r>
    </w:p>
    <w:p w14:paraId="28CC8F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39" w:name="n2241"/>
      <w:bookmarkEnd w:id="3439"/>
      <w:r w:rsidRPr="008B264B">
        <w:rPr>
          <w:rFonts w:ascii="Times New Roman" w:eastAsia="Times New Roman" w:hAnsi="Times New Roman" w:cs="Times New Roman"/>
          <w:color w:val="000000"/>
          <w:sz w:val="24"/>
          <w:szCs w:val="24"/>
          <w:lang/>
        </w:rPr>
        <w:t>99.5.3. у випадках, передбачених цим Кодексом, вести облік доходів і витрат;</w:t>
      </w:r>
    </w:p>
    <w:p w14:paraId="4AB068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0" w:name="n2242"/>
      <w:bookmarkEnd w:id="3440"/>
      <w:r w:rsidRPr="008B264B">
        <w:rPr>
          <w:rFonts w:ascii="Times New Roman" w:eastAsia="Times New Roman" w:hAnsi="Times New Roman" w:cs="Times New Roman"/>
          <w:color w:val="000000"/>
          <w:sz w:val="24"/>
          <w:szCs w:val="24"/>
          <w:lang/>
        </w:rPr>
        <w:t>99.5.4. виконувати інші обов'язки, визначені цим Кодексом.</w:t>
      </w:r>
    </w:p>
    <w:p w14:paraId="6C9EB3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1" w:name="n2243"/>
      <w:bookmarkEnd w:id="3441"/>
      <w:r w:rsidRPr="008B264B">
        <w:rPr>
          <w:rFonts w:ascii="Times New Roman" w:eastAsia="Times New Roman" w:hAnsi="Times New Roman" w:cs="Times New Roman"/>
          <w:color w:val="000000"/>
          <w:sz w:val="24"/>
          <w:szCs w:val="24"/>
          <w:lang/>
        </w:rPr>
        <w:lastRenderedPageBreak/>
        <w:t>99.6. Законні представники платників податків - фізичних осіб несуть відповідальність, передбачену цим Кодексом та іншими законами для платників податків, за невиконання обов'язків, зазначених у </w:t>
      </w:r>
      <w:hyperlink r:id="rId1900" w:anchor="n2238" w:history="1">
        <w:r w:rsidRPr="008B264B">
          <w:rPr>
            <w:rFonts w:ascii="Times New Roman" w:eastAsia="Times New Roman" w:hAnsi="Times New Roman" w:cs="Times New Roman"/>
            <w:color w:val="0000FF"/>
            <w:sz w:val="24"/>
            <w:szCs w:val="24"/>
            <w:u w:val="single"/>
            <w:lang/>
          </w:rPr>
          <w:t>пункті 99.5</w:t>
        </w:r>
      </w:hyperlink>
      <w:r w:rsidRPr="008B264B">
        <w:rPr>
          <w:rFonts w:ascii="Times New Roman" w:eastAsia="Times New Roman" w:hAnsi="Times New Roman" w:cs="Times New Roman"/>
          <w:color w:val="000000"/>
          <w:sz w:val="24"/>
          <w:szCs w:val="24"/>
          <w:lang/>
        </w:rPr>
        <w:t> цієї статті.</w:t>
      </w:r>
    </w:p>
    <w:p w14:paraId="1F4812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2" w:name="n2244"/>
      <w:bookmarkEnd w:id="3442"/>
      <w:r w:rsidRPr="008B264B">
        <w:rPr>
          <w:rFonts w:ascii="Times New Roman" w:eastAsia="Times New Roman" w:hAnsi="Times New Roman" w:cs="Times New Roman"/>
          <w:color w:val="000000"/>
          <w:sz w:val="24"/>
          <w:szCs w:val="24"/>
          <w:lang/>
        </w:rPr>
        <w:t>99.7. Якщо майна недієздатної або безвісно відсутньої особи недостатньо для забезпечення виконання грошових зобов'язань та/або погашення податкового боргу такої фізичної особи, а також для сплати нарахованих штрафних (фінансових) санкцій, то суми податкового боргу списуються у порядку, встановленому центральним органом виконавчої влади, що забезпечує формування та реалізує державну фінансову політику.</w:t>
      </w:r>
    </w:p>
    <w:p w14:paraId="2B061F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3" w:name="n9516"/>
      <w:bookmarkEnd w:id="3443"/>
      <w:r w:rsidRPr="008B264B">
        <w:rPr>
          <w:rFonts w:ascii="Times New Roman" w:eastAsia="Times New Roman" w:hAnsi="Times New Roman" w:cs="Times New Roman"/>
          <w:i/>
          <w:iCs/>
          <w:color w:val="000000"/>
          <w:sz w:val="24"/>
          <w:szCs w:val="24"/>
          <w:lang/>
        </w:rPr>
        <w:t>{Пункт 99.7 статті 99 із змінами, внесеними згідно із Законами </w:t>
      </w:r>
      <w:hyperlink r:id="rId1901" w:anchor="n8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90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02F4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4" w:name="n2245"/>
      <w:bookmarkEnd w:id="3444"/>
      <w:r w:rsidRPr="008B264B">
        <w:rPr>
          <w:rFonts w:ascii="Times New Roman" w:eastAsia="Times New Roman" w:hAnsi="Times New Roman" w:cs="Times New Roman"/>
          <w:color w:val="000000"/>
          <w:sz w:val="24"/>
          <w:szCs w:val="24"/>
          <w:lang/>
        </w:rPr>
        <w:t>99.8. У разі скасування судом рішення про визнання фізичної особи безвісно відсутньою або прийняття рішення про поновлення цивільної дієздатності фізичної особи, яка визнавалася недієздатною, грошове зобов'язання такої фізичної особи відновлюється в частині сум податків, списаних відповідно до пункту 99.7 цієї статті. Штрафні (фінансові) санкції у такому разі не сплачуються за період з дня набрання законної сили рішенням суду про визнання фізичної особи безвісно відсутньою чи недієздатною до дня набрання законної сили рішеннями про скасування рішення про визнання фізичної особи безвісно відсутньою чи рішення про поновлення цивільної дієздатності фізичної особи.</w:t>
      </w:r>
    </w:p>
    <w:p w14:paraId="7D6BB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5" w:name="n9517"/>
      <w:bookmarkEnd w:id="3445"/>
      <w:r w:rsidRPr="008B264B">
        <w:rPr>
          <w:rFonts w:ascii="Times New Roman" w:eastAsia="Times New Roman" w:hAnsi="Times New Roman" w:cs="Times New Roman"/>
          <w:i/>
          <w:iCs/>
          <w:color w:val="000000"/>
          <w:sz w:val="24"/>
          <w:szCs w:val="24"/>
          <w:lang/>
        </w:rPr>
        <w:t>{Текст статті 99 із змінами, внесеними згідно із Законом </w:t>
      </w:r>
      <w:hyperlink r:id="rId1903" w:anchor="n8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7A952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6" w:name="n2246"/>
      <w:bookmarkEnd w:id="3446"/>
      <w:r w:rsidRPr="008B264B">
        <w:rPr>
          <w:rFonts w:ascii="Times New Roman" w:eastAsia="Times New Roman" w:hAnsi="Times New Roman" w:cs="Times New Roman"/>
          <w:b/>
          <w:bCs/>
          <w:color w:val="000000"/>
          <w:sz w:val="24"/>
          <w:szCs w:val="24"/>
          <w:lang/>
        </w:rPr>
        <w:t>Стаття 100.</w:t>
      </w:r>
      <w:r w:rsidRPr="008B264B">
        <w:rPr>
          <w:rFonts w:ascii="Times New Roman" w:eastAsia="Times New Roman" w:hAnsi="Times New Roman" w:cs="Times New Roman"/>
          <w:color w:val="000000"/>
          <w:sz w:val="24"/>
          <w:szCs w:val="24"/>
          <w:lang/>
        </w:rPr>
        <w:t> Розстрочення та відстрочення грошових зобов'язань або податкового боргу платника податків</w:t>
      </w:r>
    </w:p>
    <w:p w14:paraId="25DDFD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7" w:name="n2247"/>
      <w:bookmarkEnd w:id="3447"/>
      <w:r w:rsidRPr="008B264B">
        <w:rPr>
          <w:rFonts w:ascii="Times New Roman" w:eastAsia="Times New Roman" w:hAnsi="Times New Roman" w:cs="Times New Roman"/>
          <w:color w:val="000000"/>
          <w:sz w:val="24"/>
          <w:szCs w:val="24"/>
          <w:lang/>
        </w:rPr>
        <w:t>100.1. Розстроченням, відстроченням грошових зобов'язань або податкового боргу є перенесення строків сплати платником податків його грошових зобов'язань або податкового боргу під проценти, розмір яких дорівнює розміру 120 відсотків річних облікової ставки Національного банку України, діючої на день прийняття контролюючим органом рішення про розстрочення, відстрочення грошових зобов’язань або податкового боргу.</w:t>
      </w:r>
    </w:p>
    <w:p w14:paraId="505B7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8" w:name="n13986"/>
      <w:bookmarkEnd w:id="3448"/>
      <w:r w:rsidRPr="008B264B">
        <w:rPr>
          <w:rFonts w:ascii="Times New Roman" w:eastAsia="Times New Roman" w:hAnsi="Times New Roman" w:cs="Times New Roman"/>
          <w:i/>
          <w:iCs/>
          <w:color w:val="000000"/>
          <w:sz w:val="24"/>
          <w:szCs w:val="24"/>
          <w:lang/>
        </w:rPr>
        <w:t>{Абзац перший пункту 100.1 статті 100 із змінами, внесеними згідно із Законом </w:t>
      </w:r>
      <w:hyperlink r:id="rId1904" w:anchor="n7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E0D3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49" w:name="n2248"/>
      <w:bookmarkEnd w:id="3449"/>
      <w:r w:rsidRPr="008B264B">
        <w:rPr>
          <w:rFonts w:ascii="Times New Roman" w:eastAsia="Times New Roman" w:hAnsi="Times New Roman" w:cs="Times New Roman"/>
          <w:color w:val="000000"/>
          <w:sz w:val="24"/>
          <w:szCs w:val="24"/>
          <w:lang/>
        </w:rPr>
        <w:t>Якщо до складу розстроченої (відстроченої) суми входить пеня, то для розрахунку процентів береться сума за вирахуванням суми пені.</w:t>
      </w:r>
    </w:p>
    <w:p w14:paraId="4F1D9C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0" w:name="n2249"/>
      <w:bookmarkEnd w:id="3450"/>
      <w:r w:rsidRPr="008B264B">
        <w:rPr>
          <w:rFonts w:ascii="Times New Roman" w:eastAsia="Times New Roman" w:hAnsi="Times New Roman" w:cs="Times New Roman"/>
          <w:color w:val="000000"/>
          <w:sz w:val="24"/>
          <w:szCs w:val="24"/>
          <w:lang/>
        </w:rPr>
        <w:t>100.2. Платник податків має право звернутися до контролюючого органу із заявою про розстрочення та відстрочення грошових зобов'язань або податкового боргу. Платник податків, який звертається до контролюючого органу із заявою про розстрочення, відстрочення грошових зобов'язань, вважається таким, що узгодив суму такого грошового зобов'язання.</w:t>
      </w:r>
    </w:p>
    <w:p w14:paraId="3E0129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1" w:name="n2250"/>
      <w:bookmarkEnd w:id="3451"/>
      <w:r w:rsidRPr="008B264B">
        <w:rPr>
          <w:rFonts w:ascii="Times New Roman" w:eastAsia="Times New Roman" w:hAnsi="Times New Roman" w:cs="Times New Roman"/>
          <w:color w:val="000000"/>
          <w:sz w:val="24"/>
          <w:szCs w:val="24"/>
          <w:lang/>
        </w:rPr>
        <w:t>100.3. Розстрочення та відстрочення грошових зобов'язань або податкового боргу в межах процедури відновлення платоспроможності боржника здійснюються відповідно до законодавства з питань банкрутства.</w:t>
      </w:r>
    </w:p>
    <w:p w14:paraId="4D8FFE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2" w:name="n2251"/>
      <w:bookmarkEnd w:id="3452"/>
      <w:r w:rsidRPr="008B264B">
        <w:rPr>
          <w:rFonts w:ascii="Times New Roman" w:eastAsia="Times New Roman" w:hAnsi="Times New Roman" w:cs="Times New Roman"/>
          <w:color w:val="000000"/>
          <w:sz w:val="24"/>
          <w:szCs w:val="24"/>
          <w:lang/>
        </w:rPr>
        <w:t>100.4. Підставою для розстрочення грошових зобов'язань або податкового боргу платника податків є надання ним достатніх доказів існування обставин, </w:t>
      </w:r>
      <w:hyperlink r:id="rId1905"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яких визначається Кабінетом Міністрів України, що свідчать про наявність загрози виникнення або накопичення податкового боргу такого платника податків, а також економічного обґрунтування, яке свідчить про можливість погашення грошових зобов'язань та податкового боргу та/або збільшення податкових надходжень до відповідного бюджету внаслідок застосування режиму розстрочення, протягом якого відбудуться зміни політики управління виробництвом чи збутом такого платника податків.</w:t>
      </w:r>
    </w:p>
    <w:p w14:paraId="282587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3" w:name="n2252"/>
      <w:bookmarkEnd w:id="3453"/>
      <w:r w:rsidRPr="008B264B">
        <w:rPr>
          <w:rFonts w:ascii="Times New Roman" w:eastAsia="Times New Roman" w:hAnsi="Times New Roman" w:cs="Times New Roman"/>
          <w:color w:val="000000"/>
          <w:sz w:val="24"/>
          <w:szCs w:val="24"/>
          <w:lang/>
        </w:rPr>
        <w:t>100.5. Підставою для відстрочення грошових зобов'язань або податкового боргу платника податків є надання ним доказів, </w:t>
      </w:r>
      <w:hyperlink r:id="rId1906"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xml:space="preserve"> яких визначається Кабінетом Міністрів України, що свідчать про наявність дії обставин непереборної сили, що призвели до загрози виникнення або </w:t>
      </w:r>
      <w:r w:rsidRPr="008B264B">
        <w:rPr>
          <w:rFonts w:ascii="Times New Roman" w:eastAsia="Times New Roman" w:hAnsi="Times New Roman" w:cs="Times New Roman"/>
          <w:color w:val="000000"/>
          <w:sz w:val="24"/>
          <w:szCs w:val="24"/>
          <w:lang/>
        </w:rPr>
        <w:lastRenderedPageBreak/>
        <w:t>накопичення податкового боргу такого платника податків, а також економічного обґрунтування, яке свідчить про можливість погашення грошових зобов'язань або податкового боргу та/або збільшення податкових надходжень до відповідного бюджету внаслідок застосування режиму відстрочення, протягом якого відбудуться зміни політики управління виробництвом чи збутом такого платника податків.</w:t>
      </w:r>
    </w:p>
    <w:p w14:paraId="42DD1A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4" w:name="n2253"/>
      <w:bookmarkEnd w:id="3454"/>
      <w:r w:rsidRPr="008B264B">
        <w:rPr>
          <w:rFonts w:ascii="Times New Roman" w:eastAsia="Times New Roman" w:hAnsi="Times New Roman" w:cs="Times New Roman"/>
          <w:color w:val="000000"/>
          <w:sz w:val="24"/>
          <w:szCs w:val="24"/>
          <w:lang/>
        </w:rPr>
        <w:t>100.6. Розстрочені суми грошових зобов'язань або податкового боргу (в тому числі окремо - суми штрафних (фінансових) санкцій) погашаються рівними частками починаючи з місяця, що настає за тим місяцем, у якому прийнято рішення про надання такого розстрочення.</w:t>
      </w:r>
    </w:p>
    <w:p w14:paraId="3740BF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5" w:name="n2254"/>
      <w:bookmarkEnd w:id="3455"/>
      <w:r w:rsidRPr="008B264B">
        <w:rPr>
          <w:rFonts w:ascii="Times New Roman" w:eastAsia="Times New Roman" w:hAnsi="Times New Roman" w:cs="Times New Roman"/>
          <w:color w:val="000000"/>
          <w:sz w:val="24"/>
          <w:szCs w:val="24"/>
          <w:lang/>
        </w:rPr>
        <w:t>100.7. Відстрочені суми грошових зобов'язань або податкового боргу погашаються рівними частками починаючи з будь-якого місяця, визначеного відповідним контролюючим органом чи відповідним органом місцевого самоврядування, який згідно із пунктом 100.8 цієї статті затверджує рішення про розстрочення або відстрочення грошових зобов'язань або податкового боргу, але не пізніше закінчення 12 календарних місяців з дня виникнення такого грошового зобов'язання або податкового боргу, або одноразово у повному обсязі.</w:t>
      </w:r>
    </w:p>
    <w:p w14:paraId="49EC60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6" w:name="n2255"/>
      <w:bookmarkEnd w:id="3456"/>
      <w:r w:rsidRPr="008B264B">
        <w:rPr>
          <w:rFonts w:ascii="Times New Roman" w:eastAsia="Times New Roman" w:hAnsi="Times New Roman" w:cs="Times New Roman"/>
          <w:color w:val="000000"/>
          <w:sz w:val="24"/>
          <w:szCs w:val="24"/>
          <w:lang/>
        </w:rPr>
        <w:t>100.8. Рішення про розстрочення, відстрочення грошових зобов’язань чи податкового боргу, а також про перенесення строків сплати розстрочених, відстрочених сум або їх частки приймається у такому порядку:</w:t>
      </w:r>
    </w:p>
    <w:p w14:paraId="0C47B7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7" w:name="n2256"/>
      <w:bookmarkEnd w:id="3457"/>
      <w:r w:rsidRPr="008B264B">
        <w:rPr>
          <w:rFonts w:ascii="Times New Roman" w:eastAsia="Times New Roman" w:hAnsi="Times New Roman" w:cs="Times New Roman"/>
          <w:color w:val="000000"/>
          <w:sz w:val="24"/>
          <w:szCs w:val="24"/>
          <w:lang/>
        </w:rPr>
        <w:t>стосовно загальнодержавних податків та зборів - керівником (його заступником або уповноваженою особою) контролюючого органу з урахуванням особливостей, визначених пунктом 100.9 цієї статті;</w:t>
      </w:r>
    </w:p>
    <w:p w14:paraId="36642E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8" w:name="n2257"/>
      <w:bookmarkEnd w:id="3458"/>
      <w:r w:rsidRPr="008B264B">
        <w:rPr>
          <w:rFonts w:ascii="Times New Roman" w:eastAsia="Times New Roman" w:hAnsi="Times New Roman" w:cs="Times New Roman"/>
          <w:color w:val="000000"/>
          <w:sz w:val="24"/>
          <w:szCs w:val="24"/>
          <w:lang/>
        </w:rPr>
        <w:t>стосовно місцевих податків та зборів - керівником (його заступником або уповноваженою особою) контролюючого органу та затверджується фінансовим органом місцевого органу виконавчої влади, до бюджету якого зараховуються такі місцеві податки та збори.</w:t>
      </w:r>
    </w:p>
    <w:p w14:paraId="3C5174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59" w:name="n13987"/>
      <w:bookmarkEnd w:id="3459"/>
      <w:r w:rsidRPr="008B264B">
        <w:rPr>
          <w:rFonts w:ascii="Times New Roman" w:eastAsia="Times New Roman" w:hAnsi="Times New Roman" w:cs="Times New Roman"/>
          <w:i/>
          <w:iCs/>
          <w:color w:val="000000"/>
          <w:sz w:val="24"/>
          <w:szCs w:val="24"/>
          <w:lang/>
        </w:rPr>
        <w:t>{Пункт 100.8 статті 100 в редакції Закону </w:t>
      </w:r>
      <w:hyperlink r:id="rId1907" w:anchor="n7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FF74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0" w:name="n2258"/>
      <w:bookmarkEnd w:id="3460"/>
      <w:r w:rsidRPr="008B264B">
        <w:rPr>
          <w:rFonts w:ascii="Times New Roman" w:eastAsia="Times New Roman" w:hAnsi="Times New Roman" w:cs="Times New Roman"/>
          <w:color w:val="000000"/>
          <w:sz w:val="24"/>
          <w:szCs w:val="24"/>
          <w:lang/>
        </w:rPr>
        <w:t>100.9. Рішення про розстрочення, відстрочення грошових зобов’язань чи податкового боргу, а також про перенесення строків сплати розстрочених, відстрочених сум або їх частки щодо загальнодержавних податків та зборів на строк, що виходить за межі одного та/або більше бюджетних років, крім випадків, передбачених цим пунктом, приймається керівником (його заступником або уповноваженою особою) центрального органу виконавчої влади, що реалізує державну податкову та митну політику, про що повідомляється центральний орган виконавчої влади, що забезпечує формування та реалізує державну фінансову політику.</w:t>
      </w:r>
    </w:p>
    <w:p w14:paraId="32375C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1" w:name="n13988"/>
      <w:bookmarkEnd w:id="3461"/>
      <w:r w:rsidRPr="008B264B">
        <w:rPr>
          <w:rFonts w:ascii="Times New Roman" w:eastAsia="Times New Roman" w:hAnsi="Times New Roman" w:cs="Times New Roman"/>
          <w:color w:val="000000"/>
          <w:sz w:val="24"/>
          <w:szCs w:val="24"/>
          <w:lang/>
        </w:rPr>
        <w:t>Рішення про розстрочення, відстрочення грошових зобов’язань чи податкового боргу, а також про перенесення строків сплати розстрочених, відстрочених сум або їх частки щодо загальнодержавних податків та зборів на строк, що виходить за межі одного та/або більше бюджетних років, у разі, якщо сума, заявлена до розстрочення, відстрочення, або сума розстрочених, відстрочених грошових зобов’язань чи податкового боргу, щодо яких переносяться строки сплати, становить 1 мільйон гривень та більше, приймається керівником (його заступником або уповноваженою особою) центрального органу виконавчої влади, що реалізує державну податкову та митну політику, за погодженням з центральним органом виконавчої влади, що забезпечує формування та реалізує державну фінансову політику.</w:t>
      </w:r>
    </w:p>
    <w:p w14:paraId="10DA33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2" w:name="n13989"/>
      <w:bookmarkEnd w:id="3462"/>
      <w:r w:rsidRPr="008B264B">
        <w:rPr>
          <w:rFonts w:ascii="Times New Roman" w:eastAsia="Times New Roman" w:hAnsi="Times New Roman" w:cs="Times New Roman"/>
          <w:color w:val="000000"/>
          <w:sz w:val="24"/>
          <w:szCs w:val="24"/>
          <w:lang/>
        </w:rPr>
        <w:t>Рішення про розстрочення, відстрочення грошових зобов’язань чи податкового боргу, а також про перенесення строків сплати розстрочених, відстрочених сум, якщо сума попередньо наданого розстрочення, відстрочення грошових зобов’язань чи податкового боргу не була погашена, приймається за вмотивованим та обґрунтованим рішенням керівника (заступника керівника) центрального органу виконавчої влади, що забезпечує формування та реалізує державну фінансову політику.</w:t>
      </w:r>
    </w:p>
    <w:p w14:paraId="1DEC1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3" w:name="n2259"/>
      <w:bookmarkEnd w:id="3463"/>
      <w:r w:rsidRPr="008B264B">
        <w:rPr>
          <w:rFonts w:ascii="Times New Roman" w:eastAsia="Times New Roman" w:hAnsi="Times New Roman" w:cs="Times New Roman"/>
          <w:i/>
          <w:iCs/>
          <w:color w:val="000000"/>
          <w:sz w:val="24"/>
          <w:szCs w:val="24"/>
          <w:lang/>
        </w:rPr>
        <w:t>{Пункт 100.9 статті 100 із змінами, внесеними згідно з Законом </w:t>
      </w:r>
      <w:hyperlink r:id="rId1908" w:anchor="n12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Законів </w:t>
      </w:r>
      <w:hyperlink r:id="rId1909" w:anchor="n16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1910" w:anchor="n7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48368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4" w:name="n2260"/>
      <w:bookmarkEnd w:id="3464"/>
      <w:r w:rsidRPr="008B264B">
        <w:rPr>
          <w:rFonts w:ascii="Times New Roman" w:eastAsia="Times New Roman" w:hAnsi="Times New Roman" w:cs="Times New Roman"/>
          <w:color w:val="000000"/>
          <w:sz w:val="24"/>
          <w:szCs w:val="24"/>
          <w:lang/>
        </w:rPr>
        <w:lastRenderedPageBreak/>
        <w:t>100.10. Центральний орган виконавчої влади, що реалізує державну податкову та митну політику, формує та веде у відкритому доступі Реєстр заяв про розстрочення, відстрочення грошових зобов’язань чи податкового боргу, який щодня опубліковує на своєму офіційному веб-сайті.</w:t>
      </w:r>
    </w:p>
    <w:p w14:paraId="40584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5" w:name="n13990"/>
      <w:bookmarkEnd w:id="3465"/>
      <w:r w:rsidRPr="008B264B">
        <w:rPr>
          <w:rFonts w:ascii="Times New Roman" w:eastAsia="Times New Roman" w:hAnsi="Times New Roman" w:cs="Times New Roman"/>
          <w:color w:val="000000"/>
          <w:sz w:val="24"/>
          <w:szCs w:val="24"/>
          <w:lang/>
        </w:rPr>
        <w:t>До зазначеного реєстру вносяться такі дані за кожною з поданих заяв:</w:t>
      </w:r>
    </w:p>
    <w:p w14:paraId="1603DD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6" w:name="n13991"/>
      <w:bookmarkEnd w:id="3466"/>
      <w:r w:rsidRPr="008B264B">
        <w:rPr>
          <w:rFonts w:ascii="Times New Roman" w:eastAsia="Times New Roman" w:hAnsi="Times New Roman" w:cs="Times New Roman"/>
          <w:color w:val="000000"/>
          <w:sz w:val="24"/>
          <w:szCs w:val="24"/>
          <w:lang/>
        </w:rPr>
        <w:t>назва платника податків та код згідно з ЄДРПОУ (для юридичних осіб) або реєстраційний номер облікової картки платника податків (для фізичних осіб) або серія та номер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відповідному контролюючому органу і мають відмітку у паспорті);</w:t>
      </w:r>
    </w:p>
    <w:p w14:paraId="2D670A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7" w:name="n13992"/>
      <w:bookmarkEnd w:id="3467"/>
      <w:r w:rsidRPr="008B264B">
        <w:rPr>
          <w:rFonts w:ascii="Times New Roman" w:eastAsia="Times New Roman" w:hAnsi="Times New Roman" w:cs="Times New Roman"/>
          <w:color w:val="000000"/>
          <w:sz w:val="24"/>
          <w:szCs w:val="24"/>
          <w:lang/>
        </w:rPr>
        <w:t>дата подання заяви про розстрочення, відстрочення грошових зобов’язань чи податкового боргу;</w:t>
      </w:r>
    </w:p>
    <w:p w14:paraId="6506B1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8" w:name="n13993"/>
      <w:bookmarkEnd w:id="3468"/>
      <w:r w:rsidRPr="008B264B">
        <w:rPr>
          <w:rFonts w:ascii="Times New Roman" w:eastAsia="Times New Roman" w:hAnsi="Times New Roman" w:cs="Times New Roman"/>
          <w:color w:val="000000"/>
          <w:sz w:val="24"/>
          <w:szCs w:val="24"/>
          <w:lang/>
        </w:rPr>
        <w:t>вид заяви (про розстрочення, відстрочення грошових зобов’язань чи податкового боргу);</w:t>
      </w:r>
    </w:p>
    <w:p w14:paraId="4CCE18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69" w:name="n13994"/>
      <w:bookmarkEnd w:id="3469"/>
      <w:r w:rsidRPr="008B264B">
        <w:rPr>
          <w:rFonts w:ascii="Times New Roman" w:eastAsia="Times New Roman" w:hAnsi="Times New Roman" w:cs="Times New Roman"/>
          <w:color w:val="000000"/>
          <w:sz w:val="24"/>
          <w:szCs w:val="24"/>
          <w:lang/>
        </w:rPr>
        <w:t>сума грошового зобов’язання чи податкового боргу, заявленого до розстрочення, відстрочення;</w:t>
      </w:r>
    </w:p>
    <w:p w14:paraId="199340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0" w:name="n13995"/>
      <w:bookmarkEnd w:id="3470"/>
      <w:r w:rsidRPr="008B264B">
        <w:rPr>
          <w:rFonts w:ascii="Times New Roman" w:eastAsia="Times New Roman" w:hAnsi="Times New Roman" w:cs="Times New Roman"/>
          <w:color w:val="000000"/>
          <w:sz w:val="24"/>
          <w:szCs w:val="24"/>
          <w:lang/>
        </w:rPr>
        <w:t>вид податку/збору, грошове зобов’язання чи податковий борг за яким заявлений до розстрочення, відстрочення;</w:t>
      </w:r>
    </w:p>
    <w:p w14:paraId="411337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1" w:name="n13996"/>
      <w:bookmarkEnd w:id="3471"/>
      <w:r w:rsidRPr="008B264B">
        <w:rPr>
          <w:rFonts w:ascii="Times New Roman" w:eastAsia="Times New Roman" w:hAnsi="Times New Roman" w:cs="Times New Roman"/>
          <w:color w:val="000000"/>
          <w:sz w:val="24"/>
          <w:szCs w:val="24"/>
          <w:lang/>
        </w:rPr>
        <w:t>рішення контролюючого органу за результатами розгляду заяви, номер та дата такого рішення;</w:t>
      </w:r>
    </w:p>
    <w:p w14:paraId="19379D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2" w:name="n13997"/>
      <w:bookmarkEnd w:id="3472"/>
      <w:r w:rsidRPr="008B264B">
        <w:rPr>
          <w:rFonts w:ascii="Times New Roman" w:eastAsia="Times New Roman" w:hAnsi="Times New Roman" w:cs="Times New Roman"/>
          <w:color w:val="000000"/>
          <w:sz w:val="24"/>
          <w:szCs w:val="24"/>
          <w:lang/>
        </w:rPr>
        <w:t>дата та номер договору про розстрочення, відстрочення грошового зобов’язання чи податкового боргу;</w:t>
      </w:r>
    </w:p>
    <w:p w14:paraId="059C32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3" w:name="n13998"/>
      <w:bookmarkEnd w:id="3473"/>
      <w:r w:rsidRPr="008B264B">
        <w:rPr>
          <w:rFonts w:ascii="Times New Roman" w:eastAsia="Times New Roman" w:hAnsi="Times New Roman" w:cs="Times New Roman"/>
          <w:color w:val="000000"/>
          <w:sz w:val="24"/>
          <w:szCs w:val="24"/>
          <w:lang/>
        </w:rPr>
        <w:t>строк дії договору про розстрочення, відстрочення грошового зобов’язання чи податкового боргу;</w:t>
      </w:r>
    </w:p>
    <w:p w14:paraId="54476A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4" w:name="n13999"/>
      <w:bookmarkEnd w:id="3474"/>
      <w:r w:rsidRPr="008B264B">
        <w:rPr>
          <w:rFonts w:ascii="Times New Roman" w:eastAsia="Times New Roman" w:hAnsi="Times New Roman" w:cs="Times New Roman"/>
          <w:color w:val="000000"/>
          <w:sz w:val="24"/>
          <w:szCs w:val="24"/>
          <w:lang/>
        </w:rPr>
        <w:t>вартість майна, переданого у податкову заставу.</w:t>
      </w:r>
    </w:p>
    <w:p w14:paraId="52C5B2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5" w:name="n14000"/>
      <w:bookmarkEnd w:id="3475"/>
      <w:r w:rsidRPr="008B264B">
        <w:rPr>
          <w:rFonts w:ascii="Times New Roman" w:eastAsia="Times New Roman" w:hAnsi="Times New Roman" w:cs="Times New Roman"/>
          <w:color w:val="000000"/>
          <w:sz w:val="24"/>
          <w:szCs w:val="24"/>
          <w:lang/>
        </w:rPr>
        <w:t>Заяви про розстрочення, відстрочення грошового зобов’язання чи податкового боргу вносяться до Реєстру заяв про розстрочення, відстрочення грошового зобов’язання чи податкового боргу протягом операційного дня їх отримання у хронологічному порядку їх надходження.</w:t>
      </w:r>
    </w:p>
    <w:bookmarkStart w:id="3476" w:name="n14001"/>
    <w:bookmarkEnd w:id="3476"/>
    <w:p w14:paraId="055487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"https://zakon.rada.gov.ua/laws/show/z0782-17" \l "n18"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ведення</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1911" w:anchor="n33" w:tgtFrame="_blank" w:history="1">
        <w:r w:rsidRPr="008B264B">
          <w:rPr>
            <w:rFonts w:ascii="Times New Roman" w:eastAsia="Times New Roman" w:hAnsi="Times New Roman" w:cs="Times New Roman"/>
            <w:color w:val="0000FF"/>
            <w:sz w:val="24"/>
            <w:szCs w:val="24"/>
            <w:u w:val="single"/>
            <w:lang/>
          </w:rPr>
          <w:t>форма Реєстру</w:t>
        </w:r>
      </w:hyperlink>
      <w:r w:rsidRPr="008B264B">
        <w:rPr>
          <w:rFonts w:ascii="Times New Roman" w:eastAsia="Times New Roman" w:hAnsi="Times New Roman" w:cs="Times New Roman"/>
          <w:color w:val="000000"/>
          <w:sz w:val="24"/>
          <w:szCs w:val="24"/>
          <w:lang/>
        </w:rPr>
        <w:t> заяв про розстрочення, відстрочення грошового зобов’язання чи податкового боргу затверджуються центральним органом виконавчої влади, що забезпечує формування та реалізує державну фінансову політику.</w:t>
      </w:r>
    </w:p>
    <w:p w14:paraId="16D3F8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7" w:name="n2261"/>
      <w:bookmarkEnd w:id="3477"/>
      <w:r w:rsidRPr="008B264B">
        <w:rPr>
          <w:rFonts w:ascii="Times New Roman" w:eastAsia="Times New Roman" w:hAnsi="Times New Roman" w:cs="Times New Roman"/>
          <w:i/>
          <w:iCs/>
          <w:color w:val="000000"/>
          <w:sz w:val="24"/>
          <w:szCs w:val="24"/>
          <w:lang/>
        </w:rPr>
        <w:t>{Пункт 100.10 статті 100 із змінами, внесеними згідно з Законом </w:t>
      </w:r>
      <w:hyperlink r:id="rId1912" w:anchor="n12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1913" w:anchor="n7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CEDAD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8" w:name="n2262"/>
      <w:bookmarkEnd w:id="3478"/>
      <w:r w:rsidRPr="008B264B">
        <w:rPr>
          <w:rFonts w:ascii="Times New Roman" w:eastAsia="Times New Roman" w:hAnsi="Times New Roman" w:cs="Times New Roman"/>
          <w:color w:val="000000"/>
          <w:sz w:val="24"/>
          <w:szCs w:val="24"/>
          <w:lang/>
        </w:rPr>
        <w:t>100.11. Розстрочення, відстрочення грошового зобов’язання чи податкового боргу надається окремо за кожним податком і збором.</w:t>
      </w:r>
    </w:p>
    <w:p w14:paraId="2518CF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79" w:name="n14003"/>
      <w:bookmarkEnd w:id="3479"/>
      <w:r w:rsidRPr="008B264B">
        <w:rPr>
          <w:rFonts w:ascii="Times New Roman" w:eastAsia="Times New Roman" w:hAnsi="Times New Roman" w:cs="Times New Roman"/>
          <w:color w:val="000000"/>
          <w:sz w:val="24"/>
          <w:szCs w:val="24"/>
          <w:lang/>
        </w:rPr>
        <w:t>Якщо сума грошового зобов’язання чи податкового боргу, заявлена до розстрочення, відстрочення, становить 1 мільйон гривень і більше, розстрочення, відстрочення надається лише за умови:</w:t>
      </w:r>
    </w:p>
    <w:p w14:paraId="43E2A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0" w:name="n14004"/>
      <w:bookmarkEnd w:id="3480"/>
      <w:r w:rsidRPr="008B264B">
        <w:rPr>
          <w:rFonts w:ascii="Times New Roman" w:eastAsia="Times New Roman" w:hAnsi="Times New Roman" w:cs="Times New Roman"/>
          <w:color w:val="000000"/>
          <w:sz w:val="24"/>
          <w:szCs w:val="24"/>
          <w:lang/>
        </w:rPr>
        <w:t>передачі у податкову заставу майна платника податків, балансова вартість якого дорівнює або перевищує заявлену до розстрочення, відстрочення суму грошового зобов’язання, - у разі розстрочення, відстрочення грошових зобов’язань;</w:t>
      </w:r>
    </w:p>
    <w:p w14:paraId="692B0F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1" w:name="n14005"/>
      <w:bookmarkEnd w:id="3481"/>
      <w:r w:rsidRPr="008B264B">
        <w:rPr>
          <w:rFonts w:ascii="Times New Roman" w:eastAsia="Times New Roman" w:hAnsi="Times New Roman" w:cs="Times New Roman"/>
          <w:color w:val="000000"/>
          <w:sz w:val="24"/>
          <w:szCs w:val="24"/>
          <w:lang/>
        </w:rPr>
        <w:t>перебування у податковій заставі майна платника податків, балансова вартість якого дорівнює або перевищує заявлену до розстрочення, відстрочення суму податкового боргу, - у разі розстрочення, відстрочення податкового боргу.</w:t>
      </w:r>
    </w:p>
    <w:p w14:paraId="33F67C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2" w:name="n14006"/>
      <w:bookmarkEnd w:id="3482"/>
      <w:r w:rsidRPr="008B264B">
        <w:rPr>
          <w:rFonts w:ascii="Times New Roman" w:eastAsia="Times New Roman" w:hAnsi="Times New Roman" w:cs="Times New Roman"/>
          <w:color w:val="000000"/>
          <w:sz w:val="24"/>
          <w:szCs w:val="24"/>
          <w:lang/>
        </w:rPr>
        <w:lastRenderedPageBreak/>
        <w:t>Строки сплати розстрочених, відстрочених сум або їх частки можуть бути перенесені шляхом прийняття окремого рішення та внесення відповідних змін до договорів розстрочення, відстрочення.</w:t>
      </w:r>
    </w:p>
    <w:p w14:paraId="120E37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3" w:name="n14002"/>
      <w:bookmarkEnd w:id="3483"/>
      <w:r w:rsidRPr="008B264B">
        <w:rPr>
          <w:rFonts w:ascii="Times New Roman" w:eastAsia="Times New Roman" w:hAnsi="Times New Roman" w:cs="Times New Roman"/>
          <w:i/>
          <w:iCs/>
          <w:color w:val="000000"/>
          <w:sz w:val="24"/>
          <w:szCs w:val="24"/>
          <w:lang/>
        </w:rPr>
        <w:t>{Пункт 100.11 статті 100 в редакції Закону </w:t>
      </w:r>
      <w:hyperlink r:id="rId1914" w:anchor="n7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66D84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4" w:name="n2263"/>
      <w:bookmarkEnd w:id="3484"/>
      <w:r w:rsidRPr="008B264B">
        <w:rPr>
          <w:rFonts w:ascii="Times New Roman" w:eastAsia="Times New Roman" w:hAnsi="Times New Roman" w:cs="Times New Roman"/>
          <w:color w:val="000000"/>
          <w:sz w:val="24"/>
          <w:szCs w:val="24"/>
          <w:lang/>
        </w:rPr>
        <w:t>100.12. Договори про розстрочення (відстрочення) можуть бути достроково розірвані:</w:t>
      </w:r>
    </w:p>
    <w:p w14:paraId="7273C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5" w:name="n2264"/>
      <w:bookmarkEnd w:id="3485"/>
      <w:r w:rsidRPr="008B264B">
        <w:rPr>
          <w:rFonts w:ascii="Times New Roman" w:eastAsia="Times New Roman" w:hAnsi="Times New Roman" w:cs="Times New Roman"/>
          <w:color w:val="000000"/>
          <w:sz w:val="24"/>
          <w:szCs w:val="24"/>
          <w:lang/>
        </w:rPr>
        <w:t>100.12.1. з ініціативи платника податків - при достроковому погашенні розстроченої суми грошового зобов'язання та податкового боргу або відстроченої суми грошового зобов'язання або податкового боргу, щодо яких була досягнута домовленість про розстрочення, відстрочення;</w:t>
      </w:r>
    </w:p>
    <w:p w14:paraId="5EEFF0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6" w:name="n2265"/>
      <w:bookmarkEnd w:id="3486"/>
      <w:r w:rsidRPr="008B264B">
        <w:rPr>
          <w:rFonts w:ascii="Times New Roman" w:eastAsia="Times New Roman" w:hAnsi="Times New Roman" w:cs="Times New Roman"/>
          <w:color w:val="000000"/>
          <w:sz w:val="24"/>
          <w:szCs w:val="24"/>
          <w:lang/>
        </w:rPr>
        <w:t>100.12.2. з ініціативи контролюючого органу в разі, якщо:</w:t>
      </w:r>
    </w:p>
    <w:p w14:paraId="35DC1F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7" w:name="n2266"/>
      <w:bookmarkEnd w:id="3487"/>
      <w:r w:rsidRPr="008B264B">
        <w:rPr>
          <w:rFonts w:ascii="Times New Roman" w:eastAsia="Times New Roman" w:hAnsi="Times New Roman" w:cs="Times New Roman"/>
          <w:color w:val="000000"/>
          <w:sz w:val="24"/>
          <w:szCs w:val="24"/>
          <w:lang/>
        </w:rPr>
        <w:t>з'ясовано, що інформація, подана платником податків при укладенні зазначених договорів, виявилася недостовірною, перекрученою або неповною;</w:t>
      </w:r>
    </w:p>
    <w:p w14:paraId="58B108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8" w:name="n2267"/>
      <w:bookmarkEnd w:id="3488"/>
      <w:r w:rsidRPr="008B264B">
        <w:rPr>
          <w:rFonts w:ascii="Times New Roman" w:eastAsia="Times New Roman" w:hAnsi="Times New Roman" w:cs="Times New Roman"/>
          <w:color w:val="000000"/>
          <w:sz w:val="24"/>
          <w:szCs w:val="24"/>
          <w:lang/>
        </w:rPr>
        <w:t>платник податків визнається таким, що має податковий борг із грошових зобов'язань, які виникли після укладення зазначених договорів;</w:t>
      </w:r>
    </w:p>
    <w:p w14:paraId="1A91AE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89" w:name="n2268"/>
      <w:bookmarkEnd w:id="3489"/>
      <w:r w:rsidRPr="008B264B">
        <w:rPr>
          <w:rFonts w:ascii="Times New Roman" w:eastAsia="Times New Roman" w:hAnsi="Times New Roman" w:cs="Times New Roman"/>
          <w:color w:val="000000"/>
          <w:sz w:val="24"/>
          <w:szCs w:val="24"/>
          <w:lang/>
        </w:rPr>
        <w:t>платник податків порушує умови погашення розстроченого грошового зобов'язання чи податкового боргу або відстроченого грошового зобов'язання чи податкового боргу.</w:t>
      </w:r>
    </w:p>
    <w:p w14:paraId="61D7E7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0" w:name="n2269"/>
      <w:bookmarkEnd w:id="3490"/>
      <w:r w:rsidRPr="008B264B">
        <w:rPr>
          <w:rFonts w:ascii="Times New Roman" w:eastAsia="Times New Roman" w:hAnsi="Times New Roman" w:cs="Times New Roman"/>
          <w:color w:val="000000"/>
          <w:sz w:val="24"/>
          <w:szCs w:val="24"/>
          <w:lang/>
        </w:rPr>
        <w:t>100.13. </w:t>
      </w:r>
      <w:hyperlink r:id="rId1915" w:anchor="n15" w:tgtFrame="_blank" w:history="1">
        <w:r w:rsidRPr="008B264B">
          <w:rPr>
            <w:rFonts w:ascii="Times New Roman" w:eastAsia="Times New Roman" w:hAnsi="Times New Roman" w:cs="Times New Roman"/>
            <w:color w:val="0000FF"/>
            <w:sz w:val="24"/>
            <w:szCs w:val="24"/>
            <w:u w:val="single"/>
            <w:lang/>
          </w:rPr>
          <w:t>Порядок розстрочення та відстрочення грошових зобов'язань або податкового боргу платника податків</w:t>
        </w:r>
      </w:hyperlink>
      <w:r w:rsidRPr="008B264B">
        <w:rPr>
          <w:rFonts w:ascii="Times New Roman" w:eastAsia="Times New Roman" w:hAnsi="Times New Roman" w:cs="Times New Roman"/>
          <w:color w:val="000000"/>
          <w:sz w:val="24"/>
          <w:szCs w:val="24"/>
          <w:lang/>
        </w:rPr>
        <w:t> встановлюється центральним органом виконавчої влади, що забезпечує формування та реалізує державну фінансову політику.</w:t>
      </w:r>
    </w:p>
    <w:p w14:paraId="32CFA6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1" w:name="n2270"/>
      <w:bookmarkEnd w:id="3491"/>
      <w:r w:rsidRPr="008B264B">
        <w:rPr>
          <w:rFonts w:ascii="Times New Roman" w:eastAsia="Times New Roman" w:hAnsi="Times New Roman" w:cs="Times New Roman"/>
          <w:i/>
          <w:iCs/>
          <w:color w:val="000000"/>
          <w:sz w:val="24"/>
          <w:szCs w:val="24"/>
          <w:lang/>
        </w:rPr>
        <w:t>{Пункт 100.13 статті 100 із змінами, внесеними згідно з Законами </w:t>
      </w:r>
      <w:hyperlink r:id="rId1916" w:anchor="n12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91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3302F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2" w:name="n2271"/>
      <w:bookmarkEnd w:id="3492"/>
      <w:r w:rsidRPr="008B264B">
        <w:rPr>
          <w:rFonts w:ascii="Times New Roman" w:eastAsia="Times New Roman" w:hAnsi="Times New Roman" w:cs="Times New Roman"/>
          <w:color w:val="000000"/>
          <w:sz w:val="24"/>
          <w:szCs w:val="24"/>
          <w:lang/>
        </w:rPr>
        <w:t>100.14. Розстрочення, відстрочення податкового боргу не звільняють майно платника податків з податкової застави.</w:t>
      </w:r>
    </w:p>
    <w:p w14:paraId="4AA429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3" w:name="n2272"/>
      <w:bookmarkEnd w:id="3493"/>
      <w:r w:rsidRPr="008B264B">
        <w:rPr>
          <w:rFonts w:ascii="Times New Roman" w:eastAsia="Times New Roman" w:hAnsi="Times New Roman" w:cs="Times New Roman"/>
          <w:b/>
          <w:bCs/>
          <w:color w:val="000000"/>
          <w:sz w:val="24"/>
          <w:szCs w:val="24"/>
          <w:lang/>
        </w:rPr>
        <w:t>Стаття 101.</w:t>
      </w:r>
      <w:r w:rsidRPr="008B264B">
        <w:rPr>
          <w:rFonts w:ascii="Times New Roman" w:eastAsia="Times New Roman" w:hAnsi="Times New Roman" w:cs="Times New Roman"/>
          <w:color w:val="000000"/>
          <w:sz w:val="24"/>
          <w:szCs w:val="24"/>
          <w:lang/>
        </w:rPr>
        <w:t> Списання безнадійного податкового боргу</w:t>
      </w:r>
    </w:p>
    <w:p w14:paraId="16D7C9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4" w:name="n2273"/>
      <w:bookmarkEnd w:id="3494"/>
      <w:r w:rsidRPr="008B264B">
        <w:rPr>
          <w:rFonts w:ascii="Times New Roman" w:eastAsia="Times New Roman" w:hAnsi="Times New Roman" w:cs="Times New Roman"/>
          <w:color w:val="000000"/>
          <w:sz w:val="24"/>
          <w:szCs w:val="24"/>
          <w:lang/>
        </w:rPr>
        <w:t>101.1. Списанню підлягає безнадійний податковий борг, у тому числі пеня та штрафні санкції, нараховані на такий податковий борг.</w:t>
      </w:r>
    </w:p>
    <w:p w14:paraId="6F4E4C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5" w:name="n2274"/>
      <w:bookmarkEnd w:id="3495"/>
      <w:r w:rsidRPr="008B264B">
        <w:rPr>
          <w:rFonts w:ascii="Times New Roman" w:eastAsia="Times New Roman" w:hAnsi="Times New Roman" w:cs="Times New Roman"/>
          <w:color w:val="000000"/>
          <w:sz w:val="24"/>
          <w:szCs w:val="24"/>
          <w:lang/>
        </w:rPr>
        <w:t>101.2. Під терміном "безнадійний" розуміється:</w:t>
      </w:r>
    </w:p>
    <w:p w14:paraId="29DA5D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6" w:name="n2275"/>
      <w:bookmarkEnd w:id="3496"/>
      <w:r w:rsidRPr="008B264B">
        <w:rPr>
          <w:rFonts w:ascii="Times New Roman" w:eastAsia="Times New Roman" w:hAnsi="Times New Roman" w:cs="Times New Roman"/>
          <w:color w:val="000000"/>
          <w:sz w:val="24"/>
          <w:szCs w:val="24"/>
          <w:lang/>
        </w:rPr>
        <w:t>101.2.1. податковий борг платника податку, визнаного в установленому порядку банкрутом, вимоги щодо якого не були задоволені у зв'язку з недостатністю майна банкрута;</w:t>
      </w:r>
    </w:p>
    <w:p w14:paraId="39414F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7" w:name="n2276"/>
      <w:bookmarkEnd w:id="3497"/>
      <w:r w:rsidRPr="008B264B">
        <w:rPr>
          <w:rFonts w:ascii="Times New Roman" w:eastAsia="Times New Roman" w:hAnsi="Times New Roman" w:cs="Times New Roman"/>
          <w:color w:val="000000"/>
          <w:sz w:val="24"/>
          <w:szCs w:val="24"/>
          <w:lang/>
        </w:rPr>
        <w:t>101.2.2. податковий борг фізичної особи, яка:</w:t>
      </w:r>
    </w:p>
    <w:p w14:paraId="19A1A7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8" w:name="n2277"/>
      <w:bookmarkEnd w:id="3498"/>
      <w:r w:rsidRPr="008B264B">
        <w:rPr>
          <w:rFonts w:ascii="Times New Roman" w:eastAsia="Times New Roman" w:hAnsi="Times New Roman" w:cs="Times New Roman"/>
          <w:color w:val="000000"/>
          <w:sz w:val="24"/>
          <w:szCs w:val="24"/>
          <w:lang/>
        </w:rPr>
        <w:t>визнана у судовому порядку недієздатною, безвісно відсутньою або оголошена померлою, у разі недостатності майна, на яке може бути звернуто стягнення згідно із законом;</w:t>
      </w:r>
    </w:p>
    <w:p w14:paraId="69AD62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499" w:name="n2278"/>
      <w:bookmarkEnd w:id="3499"/>
      <w:r w:rsidRPr="008B264B">
        <w:rPr>
          <w:rFonts w:ascii="Times New Roman" w:eastAsia="Times New Roman" w:hAnsi="Times New Roman" w:cs="Times New Roman"/>
          <w:color w:val="000000"/>
          <w:sz w:val="24"/>
          <w:szCs w:val="24"/>
          <w:lang/>
        </w:rPr>
        <w:t>померла, у разі недостатності майна, на яке може бути звернуто стягнення згідно із законом;</w:t>
      </w:r>
    </w:p>
    <w:p w14:paraId="3B99EB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0" w:name="n2279"/>
      <w:bookmarkEnd w:id="3500"/>
      <w:r w:rsidRPr="008B264B">
        <w:rPr>
          <w:rFonts w:ascii="Times New Roman" w:eastAsia="Times New Roman" w:hAnsi="Times New Roman" w:cs="Times New Roman"/>
          <w:color w:val="000000"/>
          <w:sz w:val="24"/>
          <w:szCs w:val="24"/>
          <w:lang/>
        </w:rPr>
        <w:t>понад 720 днів перебуває у розшуку;</w:t>
      </w:r>
    </w:p>
    <w:p w14:paraId="1AFC7A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1" w:name="n2280"/>
      <w:bookmarkEnd w:id="3501"/>
      <w:r w:rsidRPr="008B264B">
        <w:rPr>
          <w:rFonts w:ascii="Times New Roman" w:eastAsia="Times New Roman" w:hAnsi="Times New Roman" w:cs="Times New Roman"/>
          <w:color w:val="000000"/>
          <w:sz w:val="24"/>
          <w:szCs w:val="24"/>
          <w:lang/>
        </w:rPr>
        <w:t>101.2.3. податковий борг платника податків, стосовно якого минув строк давності, встановлений цим Кодексом;</w:t>
      </w:r>
    </w:p>
    <w:p w14:paraId="62E508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2" w:name="n2281"/>
      <w:bookmarkEnd w:id="3502"/>
      <w:r w:rsidRPr="008B264B">
        <w:rPr>
          <w:rFonts w:ascii="Times New Roman" w:eastAsia="Times New Roman" w:hAnsi="Times New Roman" w:cs="Times New Roman"/>
          <w:color w:val="000000"/>
          <w:sz w:val="24"/>
          <w:szCs w:val="24"/>
          <w:lang/>
        </w:rPr>
        <w:t>101.2.4. податковий борг платника податків, що виник внаслідок обставин непереборної сили (форс-мажорних обставин);</w:t>
      </w:r>
    </w:p>
    <w:p w14:paraId="07791E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3" w:name="n2282"/>
      <w:bookmarkEnd w:id="3503"/>
      <w:r w:rsidRPr="008B264B">
        <w:rPr>
          <w:rFonts w:ascii="Times New Roman" w:eastAsia="Times New Roman" w:hAnsi="Times New Roman" w:cs="Times New Roman"/>
          <w:color w:val="000000"/>
          <w:sz w:val="24"/>
          <w:szCs w:val="24"/>
          <w:lang/>
        </w:rPr>
        <w:t>101.2.5. податковий борг платника податків, щодо якого до Державного реєстру внесено запис про його припинення на підставі рішення суду, а для банків - на підставі рішення Фонду гарантування вкладів фізичних осіб про затвердження звіту про завершення ліквідації банку або рішення Національного банку України про затвердження ліквідаційного балансу, ухвалення остаточного звіту ліквідатора і завершення ліквідаційної процедури.</w:t>
      </w:r>
    </w:p>
    <w:p w14:paraId="4CA0F7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4" w:name="n2283"/>
      <w:bookmarkEnd w:id="3504"/>
      <w:r w:rsidRPr="008B264B">
        <w:rPr>
          <w:rFonts w:ascii="Times New Roman" w:eastAsia="Times New Roman" w:hAnsi="Times New Roman" w:cs="Times New Roman"/>
          <w:i/>
          <w:iCs/>
          <w:color w:val="000000"/>
          <w:sz w:val="24"/>
          <w:szCs w:val="24"/>
          <w:lang/>
        </w:rPr>
        <w:lastRenderedPageBreak/>
        <w:t>{Підпункт 101.2.5 пункту 101.2 статті 101 в редакції Закону </w:t>
      </w:r>
      <w:hyperlink r:id="rId1918"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5640B1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5" w:name="n2284"/>
      <w:bookmarkEnd w:id="3505"/>
      <w:r w:rsidRPr="008B264B">
        <w:rPr>
          <w:rFonts w:ascii="Times New Roman" w:eastAsia="Times New Roman" w:hAnsi="Times New Roman" w:cs="Times New Roman"/>
          <w:color w:val="000000"/>
          <w:sz w:val="24"/>
          <w:szCs w:val="24"/>
          <w:lang/>
        </w:rPr>
        <w:t>101.3. У разі якщо фізична особа, яка у судовому порядку визнана безвісно відсутньою або оголошена померлою, з'являється або якщо фізичну особу, яка перебувала у розшуку понад 720 днів, розшукано, списана заборгованість таких осіб підлягає відновленню та стягненню у загальному порядку з дотриманням строків позовної давності починаючи з дня відновлення такого податкового боргу.</w:t>
      </w:r>
    </w:p>
    <w:p w14:paraId="0AE5F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6" w:name="n2285"/>
      <w:bookmarkEnd w:id="3506"/>
      <w:r w:rsidRPr="008B264B">
        <w:rPr>
          <w:rFonts w:ascii="Times New Roman" w:eastAsia="Times New Roman" w:hAnsi="Times New Roman" w:cs="Times New Roman"/>
          <w:color w:val="000000"/>
          <w:sz w:val="24"/>
          <w:szCs w:val="24"/>
          <w:lang/>
        </w:rPr>
        <w:t>101.4. Органи стягнення відкликають розрахункові документи, якими передбачено стягнення пені, штрафних санкцій та безнадійного податкового боргу, списаних відповідно до цього Кодексу.</w:t>
      </w:r>
    </w:p>
    <w:p w14:paraId="3466F1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7" w:name="n2286"/>
      <w:bookmarkEnd w:id="3507"/>
      <w:r w:rsidRPr="008B264B">
        <w:rPr>
          <w:rFonts w:ascii="Times New Roman" w:eastAsia="Times New Roman" w:hAnsi="Times New Roman" w:cs="Times New Roman"/>
          <w:color w:val="000000"/>
          <w:sz w:val="24"/>
          <w:szCs w:val="24"/>
          <w:lang/>
        </w:rPr>
        <w:t>101.5. Контролюючі органи щокварталу здійснюють списання безнадійного податкового боргу. </w:t>
      </w:r>
      <w:hyperlink r:id="rId1919" w:anchor="n15"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такого списання встановлюється центральним органом виконавчої влади, що забезпечує формування та реалізує державну фінансову політику.</w:t>
      </w:r>
    </w:p>
    <w:p w14:paraId="6C5B3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8" w:name="n13437"/>
      <w:bookmarkEnd w:id="3508"/>
      <w:r w:rsidRPr="008B264B">
        <w:rPr>
          <w:rFonts w:ascii="Times New Roman" w:eastAsia="Times New Roman" w:hAnsi="Times New Roman" w:cs="Times New Roman"/>
          <w:i/>
          <w:iCs/>
          <w:color w:val="000000"/>
          <w:sz w:val="24"/>
          <w:szCs w:val="24"/>
          <w:lang/>
        </w:rPr>
        <w:t>{Пункт 101.5 статті 101 із змінами, внесеними згідно із Законом </w:t>
      </w:r>
      <w:hyperlink r:id="rId1920"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276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09" w:name="n2287"/>
      <w:bookmarkEnd w:id="3509"/>
      <w:r w:rsidRPr="008B264B">
        <w:rPr>
          <w:rFonts w:ascii="Times New Roman" w:eastAsia="Times New Roman" w:hAnsi="Times New Roman" w:cs="Times New Roman"/>
          <w:b/>
          <w:bCs/>
          <w:color w:val="000000"/>
          <w:sz w:val="24"/>
          <w:szCs w:val="24"/>
          <w:lang/>
        </w:rPr>
        <w:t>Стаття 102.</w:t>
      </w:r>
      <w:r w:rsidRPr="008B264B">
        <w:rPr>
          <w:rFonts w:ascii="Times New Roman" w:eastAsia="Times New Roman" w:hAnsi="Times New Roman" w:cs="Times New Roman"/>
          <w:color w:val="000000"/>
          <w:sz w:val="24"/>
          <w:szCs w:val="24"/>
          <w:lang/>
        </w:rPr>
        <w:t> Строки давності та їх застосування</w:t>
      </w:r>
    </w:p>
    <w:p w14:paraId="3C289D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0" w:name="n2288"/>
      <w:bookmarkEnd w:id="3510"/>
      <w:r w:rsidRPr="008B264B">
        <w:rPr>
          <w:rFonts w:ascii="Times New Roman" w:eastAsia="Times New Roman" w:hAnsi="Times New Roman" w:cs="Times New Roman"/>
          <w:color w:val="000000"/>
          <w:sz w:val="24"/>
          <w:szCs w:val="24"/>
          <w:lang/>
        </w:rPr>
        <w:t>102.1. Контролюючий орган, крім випадків, визначених пунктом 102.2 цієї статті, має право провести перевірку та самостійно визначити суму грошових зобов'язань платника податків у випадках, визначених цим Кодексом, не пізніше закінчення 1095 дня (2555 дня у разі проведення перевірки контрольованої операції відповідно до статті 39 цього Кодексу), що настає за останнім днем граничного строку подання </w:t>
      </w:r>
      <w:hyperlink r:id="rId1921" w:anchor="n15"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w:t>
      </w:r>
      <w:hyperlink r:id="rId1922" w:anchor="n18" w:tgtFrame="_blank" w:history="1">
        <w:r w:rsidRPr="008B264B">
          <w:rPr>
            <w:rFonts w:ascii="Times New Roman" w:eastAsia="Times New Roman" w:hAnsi="Times New Roman" w:cs="Times New Roman"/>
            <w:color w:val="0000FF"/>
            <w:sz w:val="24"/>
            <w:szCs w:val="24"/>
            <w:u w:val="single"/>
            <w:lang/>
          </w:rPr>
          <w:t>звіту про використання доходів (прибутків) неприбуткової організації</w:t>
        </w:r>
      </w:hyperlink>
      <w:r w:rsidRPr="008B264B">
        <w:rPr>
          <w:rFonts w:ascii="Times New Roman" w:eastAsia="Times New Roman" w:hAnsi="Times New Roman" w:cs="Times New Roman"/>
          <w:color w:val="000000"/>
          <w:sz w:val="24"/>
          <w:szCs w:val="24"/>
          <w:lang/>
        </w:rPr>
        <w:t>, визначеної </w:t>
      </w:r>
      <w:hyperlink r:id="rId1923" w:anchor="n12538" w:history="1">
        <w:r w:rsidRPr="008B264B">
          <w:rPr>
            <w:rFonts w:ascii="Times New Roman" w:eastAsia="Times New Roman" w:hAnsi="Times New Roman" w:cs="Times New Roman"/>
            <w:color w:val="0000FF"/>
            <w:sz w:val="24"/>
            <w:szCs w:val="24"/>
            <w:u w:val="single"/>
            <w:lang/>
          </w:rPr>
          <w:t>пунктом 133.4</w:t>
        </w:r>
      </w:hyperlink>
      <w:r w:rsidRPr="008B264B">
        <w:rPr>
          <w:rFonts w:ascii="Times New Roman" w:eastAsia="Times New Roman" w:hAnsi="Times New Roman" w:cs="Times New Roman"/>
          <w:color w:val="000000"/>
          <w:sz w:val="24"/>
          <w:szCs w:val="24"/>
          <w:lang/>
        </w:rPr>
        <w:t> статті 133 цього Кодексу, та/або граничного строку сплати грошових зобов'язань, нарахованих контролюючим органом, а якщо така податкова декларація була надана пізніше, - за днем її фактичного подання. Якщо протягом зазначеного строку контролюючий орган не визначає суму грошових зобов'язань, платник податків вважається вільним від такого грошового зобов'язання (в тому числі від нарахованої пені), а спір стосовно такої декларації та/або податкового повідомлення не підлягає розгляду в адміністративному або судовому порядку.</w:t>
      </w:r>
    </w:p>
    <w:p w14:paraId="7D3D57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1" w:name="n11183"/>
      <w:bookmarkEnd w:id="3511"/>
      <w:r w:rsidRPr="008B264B">
        <w:rPr>
          <w:rFonts w:ascii="Times New Roman" w:eastAsia="Times New Roman" w:hAnsi="Times New Roman" w:cs="Times New Roman"/>
          <w:i/>
          <w:iCs/>
          <w:color w:val="000000"/>
          <w:sz w:val="24"/>
          <w:szCs w:val="24"/>
          <w:lang/>
        </w:rPr>
        <w:t>{Абзац перший пункту 102.1 статті 102 із змінами, внесеними згідно із Законами </w:t>
      </w:r>
      <w:hyperlink r:id="rId1924" w:anchor="n350"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 </w:t>
      </w:r>
      <w:hyperlink r:id="rId1925" w:anchor="n21"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w:t>
      </w:r>
      <w:hyperlink r:id="rId1926" w:anchor="n7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5591B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2" w:name="n2289"/>
      <w:bookmarkEnd w:id="3512"/>
      <w:r w:rsidRPr="008B264B">
        <w:rPr>
          <w:rFonts w:ascii="Times New Roman" w:eastAsia="Times New Roman" w:hAnsi="Times New Roman" w:cs="Times New Roman"/>
          <w:color w:val="000000"/>
          <w:sz w:val="24"/>
          <w:szCs w:val="24"/>
          <w:lang/>
        </w:rPr>
        <w:t>У разі подання платником податку уточнюючого розрахунку до податкової декларації контролюючий орган має право визначити суму податкових зобов'язань за такою податковою декларацією протягом 1095 днів з дня подання уточнюючого розрахунку.</w:t>
      </w:r>
    </w:p>
    <w:p w14:paraId="36914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3" w:name="n2290"/>
      <w:bookmarkEnd w:id="3513"/>
      <w:r w:rsidRPr="008B264B">
        <w:rPr>
          <w:rFonts w:ascii="Times New Roman" w:eastAsia="Times New Roman" w:hAnsi="Times New Roman" w:cs="Times New Roman"/>
          <w:color w:val="000000"/>
          <w:sz w:val="24"/>
          <w:szCs w:val="24"/>
          <w:lang/>
        </w:rPr>
        <w:t>102.2. Грошове зобов'язання може бути нараховане або провадження у справі про стягнення такого податку може бути розпочате без дотримання строку давності, визначеного в абзаці першому пункту 102.1 цієї статті, якщо:</w:t>
      </w:r>
    </w:p>
    <w:p w14:paraId="7E5E1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4" w:name="n2291"/>
      <w:bookmarkEnd w:id="3514"/>
      <w:r w:rsidRPr="008B264B">
        <w:rPr>
          <w:rFonts w:ascii="Times New Roman" w:eastAsia="Times New Roman" w:hAnsi="Times New Roman" w:cs="Times New Roman"/>
          <w:i/>
          <w:iCs/>
          <w:color w:val="000000"/>
          <w:sz w:val="24"/>
          <w:szCs w:val="24"/>
          <w:lang/>
        </w:rPr>
        <w:t>{Пункт 102.2 статті 102 із змінами, внесеними згідно із Законом </w:t>
      </w:r>
      <w:hyperlink r:id="rId192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AC5F7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5" w:name="n2292"/>
      <w:bookmarkEnd w:id="3515"/>
      <w:r w:rsidRPr="008B264B">
        <w:rPr>
          <w:rFonts w:ascii="Times New Roman" w:eastAsia="Times New Roman" w:hAnsi="Times New Roman" w:cs="Times New Roman"/>
          <w:color w:val="000000"/>
          <w:sz w:val="24"/>
          <w:szCs w:val="24"/>
          <w:lang/>
        </w:rPr>
        <w:t>102.2.1. податкову декларацію за період, протягом якого виникло податкове зобов'язання, не було подано;</w:t>
      </w:r>
    </w:p>
    <w:p w14:paraId="17ABA2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6" w:name="n2293"/>
      <w:bookmarkEnd w:id="3516"/>
      <w:r w:rsidRPr="008B264B">
        <w:rPr>
          <w:rFonts w:ascii="Times New Roman" w:eastAsia="Times New Roman" w:hAnsi="Times New Roman" w:cs="Times New Roman"/>
          <w:color w:val="000000"/>
          <w:sz w:val="24"/>
          <w:szCs w:val="24"/>
          <w:lang/>
        </w:rPr>
        <w:t>102.2.2. посадову особу платника податків (фізичну особу - платника податків) засуджено за ухилення від сплати зазначеного грошового зобов'язання або у кримінальному провадженні винесено рішення про його закриття з нереабілітуючих підстав, яке набрало законної сили.</w:t>
      </w:r>
    </w:p>
    <w:p w14:paraId="2E963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7" w:name="n2294"/>
      <w:bookmarkEnd w:id="3517"/>
      <w:r w:rsidRPr="008B264B">
        <w:rPr>
          <w:rFonts w:ascii="Times New Roman" w:eastAsia="Times New Roman" w:hAnsi="Times New Roman" w:cs="Times New Roman"/>
          <w:i/>
          <w:iCs/>
          <w:color w:val="000000"/>
          <w:sz w:val="24"/>
          <w:szCs w:val="24"/>
          <w:lang/>
        </w:rPr>
        <w:t>{Підпункт 102.2.2 пункту 102.2 статті 102 із змінами, внесеними згідно із Законом </w:t>
      </w:r>
      <w:hyperlink r:id="rId1928" w:anchor="n25"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w:t>
      </w:r>
    </w:p>
    <w:p w14:paraId="532F0C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8" w:name="n2295"/>
      <w:bookmarkEnd w:id="3518"/>
      <w:r w:rsidRPr="008B264B">
        <w:rPr>
          <w:rFonts w:ascii="Times New Roman" w:eastAsia="Times New Roman" w:hAnsi="Times New Roman" w:cs="Times New Roman"/>
          <w:color w:val="000000"/>
          <w:sz w:val="24"/>
          <w:szCs w:val="24"/>
          <w:lang/>
        </w:rPr>
        <w:t>102.3. Відлік строку давності зупиняється на будь-який період, протягом якого контролюючому органу згідно з рішенням суду заборонено проводити перевірку платника податків або платник податків перебуває поза межами України, якщо таке перебування є безперервним та дорівнює чи є більшим за 183 дні.</w:t>
      </w:r>
    </w:p>
    <w:p w14:paraId="4EFB5B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19" w:name="n2296"/>
      <w:bookmarkEnd w:id="3519"/>
      <w:r w:rsidRPr="008B264B">
        <w:rPr>
          <w:rFonts w:ascii="Times New Roman" w:eastAsia="Times New Roman" w:hAnsi="Times New Roman" w:cs="Times New Roman"/>
          <w:color w:val="000000"/>
          <w:sz w:val="24"/>
          <w:szCs w:val="24"/>
          <w:lang/>
        </w:rPr>
        <w:lastRenderedPageBreak/>
        <w:t>102.4. У разі якщо грошове зобов'язання нараховане контролюючим органом до закінчення строку давності, визначеного у </w:t>
      </w:r>
      <w:hyperlink r:id="rId1929" w:anchor="n2288" w:history="1">
        <w:r w:rsidRPr="008B264B">
          <w:rPr>
            <w:rFonts w:ascii="Times New Roman" w:eastAsia="Times New Roman" w:hAnsi="Times New Roman" w:cs="Times New Roman"/>
            <w:color w:val="0000FF"/>
            <w:sz w:val="24"/>
            <w:szCs w:val="24"/>
            <w:u w:val="single"/>
            <w:lang/>
          </w:rPr>
          <w:t>пункті 102.1</w:t>
        </w:r>
      </w:hyperlink>
      <w:r w:rsidRPr="008B264B">
        <w:rPr>
          <w:rFonts w:ascii="Times New Roman" w:eastAsia="Times New Roman" w:hAnsi="Times New Roman" w:cs="Times New Roman"/>
          <w:color w:val="000000"/>
          <w:sz w:val="24"/>
          <w:szCs w:val="24"/>
          <w:lang/>
        </w:rPr>
        <w:t> цієї статті, податковий борг, що виник у зв'язку з відмовою у самостійному погашенні такого грошового зобов'язання, може бути стягнутий протягом наступних 1095 календарних днів з дня виникнення податкового боргу. Якщо платіж стягується за рішенням суду, строки стягнення встановлюються до повного погашення такого платежу або визначення боргу безнадійним.</w:t>
      </w:r>
    </w:p>
    <w:p w14:paraId="1BF325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0" w:name="n2297"/>
      <w:bookmarkEnd w:id="3520"/>
      <w:r w:rsidRPr="008B264B">
        <w:rPr>
          <w:rFonts w:ascii="Times New Roman" w:eastAsia="Times New Roman" w:hAnsi="Times New Roman" w:cs="Times New Roman"/>
          <w:color w:val="000000"/>
          <w:sz w:val="24"/>
          <w:szCs w:val="24"/>
          <w:lang/>
        </w:rPr>
        <w:t>102.5. Заяви про повернення надміру сплачених грошових зобов'язань або про їх відшкодування у випадках, передбачених цим Кодексом, можуть бути подані не пізніше 1095 дня, що настає за днем здійснення такої переплати або отримання права на таке відшкодування.</w:t>
      </w:r>
    </w:p>
    <w:p w14:paraId="5A0203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1" w:name="n2298"/>
      <w:bookmarkEnd w:id="3521"/>
      <w:r w:rsidRPr="008B264B">
        <w:rPr>
          <w:rFonts w:ascii="Times New Roman" w:eastAsia="Times New Roman" w:hAnsi="Times New Roman" w:cs="Times New Roman"/>
          <w:color w:val="000000"/>
          <w:sz w:val="24"/>
          <w:szCs w:val="24"/>
          <w:lang/>
        </w:rPr>
        <w:t>102.6. Граничні строки для подання податкової декларації, заяв про перегляд рішень контролюючих органів, заяв про повернення надміру сплачених грошових зобов'язань, підлягають продовженню керівником (його заступником або уповноваженою особою) за письмовим запитом платника податків, якщо такий платник податків протягом зазначених строків:</w:t>
      </w:r>
    </w:p>
    <w:p w14:paraId="1A44BE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2" w:name="n14007"/>
      <w:bookmarkEnd w:id="3522"/>
      <w:r w:rsidRPr="008B264B">
        <w:rPr>
          <w:rFonts w:ascii="Times New Roman" w:eastAsia="Times New Roman" w:hAnsi="Times New Roman" w:cs="Times New Roman"/>
          <w:i/>
          <w:iCs/>
          <w:color w:val="000000"/>
          <w:sz w:val="24"/>
          <w:szCs w:val="24"/>
          <w:lang/>
        </w:rPr>
        <w:t>{Абзац перший пункту 102.6 статті 102 із змінами, внесеними згідно із Законом </w:t>
      </w:r>
      <w:hyperlink r:id="rId1930" w:anchor="n7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47F4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3" w:name="n2299"/>
      <w:bookmarkEnd w:id="3523"/>
      <w:r w:rsidRPr="008B264B">
        <w:rPr>
          <w:rFonts w:ascii="Times New Roman" w:eastAsia="Times New Roman" w:hAnsi="Times New Roman" w:cs="Times New Roman"/>
          <w:color w:val="000000"/>
          <w:sz w:val="24"/>
          <w:szCs w:val="24"/>
          <w:lang/>
        </w:rPr>
        <w:t>102.6.1. перебував за межами України;</w:t>
      </w:r>
    </w:p>
    <w:p w14:paraId="157B3F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4" w:name="n2300"/>
      <w:bookmarkEnd w:id="3524"/>
      <w:r w:rsidRPr="008B264B">
        <w:rPr>
          <w:rFonts w:ascii="Times New Roman" w:eastAsia="Times New Roman" w:hAnsi="Times New Roman" w:cs="Times New Roman"/>
          <w:color w:val="000000"/>
          <w:sz w:val="24"/>
          <w:szCs w:val="24"/>
          <w:lang/>
        </w:rPr>
        <w:t>102.6.2. перебував у плаванні на морських суднах за кордоном України у складі команди (екіпажу) таких суден;</w:t>
      </w:r>
    </w:p>
    <w:p w14:paraId="343333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5" w:name="n2301"/>
      <w:bookmarkEnd w:id="3525"/>
      <w:r w:rsidRPr="008B264B">
        <w:rPr>
          <w:rFonts w:ascii="Times New Roman" w:eastAsia="Times New Roman" w:hAnsi="Times New Roman" w:cs="Times New Roman"/>
          <w:color w:val="000000"/>
          <w:sz w:val="24"/>
          <w:szCs w:val="24"/>
          <w:lang/>
        </w:rPr>
        <w:t>102.6.3. перебував у місцях позбавлення волі за вироком суду;</w:t>
      </w:r>
    </w:p>
    <w:p w14:paraId="2B536D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6" w:name="n2302"/>
      <w:bookmarkEnd w:id="3526"/>
      <w:r w:rsidRPr="008B264B">
        <w:rPr>
          <w:rFonts w:ascii="Times New Roman" w:eastAsia="Times New Roman" w:hAnsi="Times New Roman" w:cs="Times New Roman"/>
          <w:color w:val="000000"/>
          <w:sz w:val="24"/>
          <w:szCs w:val="24"/>
          <w:lang/>
        </w:rPr>
        <w:t>102.6.4. мав обмежену свободу пересування у зв'язку з ув'язненням чи полоном на території інших держав або внаслідок інших обставин непереборної сили, підтверджених документально;</w:t>
      </w:r>
    </w:p>
    <w:p w14:paraId="3A9C19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7" w:name="n2303"/>
      <w:bookmarkEnd w:id="3527"/>
      <w:r w:rsidRPr="008B264B">
        <w:rPr>
          <w:rFonts w:ascii="Times New Roman" w:eastAsia="Times New Roman" w:hAnsi="Times New Roman" w:cs="Times New Roman"/>
          <w:color w:val="000000"/>
          <w:sz w:val="24"/>
          <w:szCs w:val="24"/>
          <w:lang/>
        </w:rPr>
        <w:t>102.6.5. був визнаний за рішенням суду безвісно відсутнім або перебував у розшуку у випадках, передбачених законом.</w:t>
      </w:r>
    </w:p>
    <w:p w14:paraId="119942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8" w:name="n2304"/>
      <w:bookmarkEnd w:id="3528"/>
      <w:r w:rsidRPr="008B264B">
        <w:rPr>
          <w:rFonts w:ascii="Times New Roman" w:eastAsia="Times New Roman" w:hAnsi="Times New Roman" w:cs="Times New Roman"/>
          <w:color w:val="000000"/>
          <w:sz w:val="24"/>
          <w:szCs w:val="24"/>
          <w:lang/>
        </w:rPr>
        <w:t>Штрафні санкції, визначені цим Кодексом, не застосовуються протягом строків продовження граничних строків подання податкової декларації згідно з цим пунктом.</w:t>
      </w:r>
    </w:p>
    <w:p w14:paraId="3F899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29" w:name="n2305"/>
      <w:bookmarkEnd w:id="3529"/>
      <w:r w:rsidRPr="008B264B">
        <w:rPr>
          <w:rFonts w:ascii="Times New Roman" w:eastAsia="Times New Roman" w:hAnsi="Times New Roman" w:cs="Times New Roman"/>
          <w:color w:val="000000"/>
          <w:sz w:val="24"/>
          <w:szCs w:val="24"/>
          <w:lang/>
        </w:rPr>
        <w:t>102.7. Дія пункту 102.6 цієї статті поширюється на:</w:t>
      </w:r>
    </w:p>
    <w:p w14:paraId="1D06EB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0" w:name="n2306"/>
      <w:bookmarkEnd w:id="3530"/>
      <w:r w:rsidRPr="008B264B">
        <w:rPr>
          <w:rFonts w:ascii="Times New Roman" w:eastAsia="Times New Roman" w:hAnsi="Times New Roman" w:cs="Times New Roman"/>
          <w:color w:val="000000"/>
          <w:sz w:val="24"/>
          <w:szCs w:val="24"/>
          <w:lang/>
        </w:rPr>
        <w:t>102.7.1. платників податків - фізичних осіб;</w:t>
      </w:r>
    </w:p>
    <w:p w14:paraId="2D8CFC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1" w:name="n2307"/>
      <w:bookmarkEnd w:id="3531"/>
      <w:r w:rsidRPr="008B264B">
        <w:rPr>
          <w:rFonts w:ascii="Times New Roman" w:eastAsia="Times New Roman" w:hAnsi="Times New Roman" w:cs="Times New Roman"/>
          <w:color w:val="000000"/>
          <w:sz w:val="24"/>
          <w:szCs w:val="24"/>
          <w:lang/>
        </w:rPr>
        <w:t>102.7.2. посадових осіб юридичної особи у разі, якщо протягом зазначених граничних строків така юридична особа не мала інших посадових осіб, уповноважених відповідно до законодавства України нараховувати, стягувати та вносити до бюджету податки, а також вести бухгалтерський облік, складати та подавати податкову звітність.</w:t>
      </w:r>
    </w:p>
    <w:p w14:paraId="14C2AF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2" w:name="n2308"/>
      <w:bookmarkEnd w:id="3532"/>
      <w:r w:rsidRPr="008B264B">
        <w:rPr>
          <w:rFonts w:ascii="Times New Roman" w:eastAsia="Times New Roman" w:hAnsi="Times New Roman" w:cs="Times New Roman"/>
          <w:color w:val="000000"/>
          <w:sz w:val="24"/>
          <w:szCs w:val="24"/>
          <w:lang/>
        </w:rPr>
        <w:t>102.8. </w:t>
      </w:r>
      <w:hyperlink r:id="rId1931" w:anchor="n16"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застосування </w:t>
      </w:r>
      <w:hyperlink r:id="rId1932" w:anchor="n2298" w:history="1">
        <w:r w:rsidRPr="008B264B">
          <w:rPr>
            <w:rFonts w:ascii="Times New Roman" w:eastAsia="Times New Roman" w:hAnsi="Times New Roman" w:cs="Times New Roman"/>
            <w:color w:val="0000FF"/>
            <w:sz w:val="24"/>
            <w:szCs w:val="24"/>
            <w:u w:val="single"/>
            <w:lang/>
          </w:rPr>
          <w:t>пунктів 102.6-102.7</w:t>
        </w:r>
      </w:hyperlink>
      <w:r w:rsidRPr="008B264B">
        <w:rPr>
          <w:rFonts w:ascii="Times New Roman" w:eastAsia="Times New Roman" w:hAnsi="Times New Roman" w:cs="Times New Roman"/>
          <w:color w:val="000000"/>
          <w:sz w:val="24"/>
          <w:szCs w:val="24"/>
          <w:lang/>
        </w:rPr>
        <w:t> цієї статті встановлюється центральним органом виконавчої влади, що забезпечує формування та реалізує державну фінансову політику.</w:t>
      </w:r>
    </w:p>
    <w:p w14:paraId="0BDB62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3" w:name="n2309"/>
      <w:bookmarkEnd w:id="3533"/>
      <w:r w:rsidRPr="008B264B">
        <w:rPr>
          <w:rFonts w:ascii="Times New Roman" w:eastAsia="Times New Roman" w:hAnsi="Times New Roman" w:cs="Times New Roman"/>
          <w:i/>
          <w:iCs/>
          <w:color w:val="000000"/>
          <w:sz w:val="24"/>
          <w:szCs w:val="24"/>
          <w:lang/>
        </w:rPr>
        <w:t>{Пункт 102.8 статті 102 із змінами, внесеними згідно з Законами </w:t>
      </w:r>
      <w:hyperlink r:id="rId1933" w:anchor="n12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93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5DFD92"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3534" w:name="n2310"/>
      <w:bookmarkEnd w:id="3534"/>
      <w:r w:rsidRPr="008B264B">
        <w:rPr>
          <w:rFonts w:ascii="Times New Roman" w:eastAsia="Times New Roman" w:hAnsi="Times New Roman" w:cs="Times New Roman"/>
          <w:b/>
          <w:bCs/>
          <w:color w:val="000000"/>
          <w:sz w:val="28"/>
          <w:szCs w:val="28"/>
          <w:lang/>
        </w:rPr>
        <w:t>ГЛАВА 10. ЗАСТОСУВАННЯ МІЖНАРОДНИХ ДОГОВОРІВ ТА ПОГАШЕННЯ ПОДАТКОВОГО БОРГУ ЗА ЗАПИТАМИ КОМПЕТЕНТНИХ ОРГАНІВ ІНОЗЕМНИХ ДЕРЖАВ</w:t>
      </w:r>
    </w:p>
    <w:p w14:paraId="02D5B1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5" w:name="n2311"/>
      <w:bookmarkEnd w:id="3535"/>
      <w:r w:rsidRPr="008B264B">
        <w:rPr>
          <w:rFonts w:ascii="Times New Roman" w:eastAsia="Times New Roman" w:hAnsi="Times New Roman" w:cs="Times New Roman"/>
          <w:b/>
          <w:bCs/>
          <w:color w:val="000000"/>
          <w:sz w:val="24"/>
          <w:szCs w:val="24"/>
          <w:lang/>
        </w:rPr>
        <w:t>Стаття 103.</w:t>
      </w:r>
      <w:r w:rsidRPr="008B264B">
        <w:rPr>
          <w:rFonts w:ascii="Times New Roman" w:eastAsia="Times New Roman" w:hAnsi="Times New Roman" w:cs="Times New Roman"/>
          <w:color w:val="000000"/>
          <w:sz w:val="24"/>
          <w:szCs w:val="24"/>
          <w:lang/>
        </w:rPr>
        <w:t> Порядок застосування міжнародного договору України про уникнення подвійного оподаткування стосовно повного або часткового звільнення від оподаткування доходів нерезидентів із джерелом їх походження з України</w:t>
      </w:r>
    </w:p>
    <w:p w14:paraId="5B0DA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6" w:name="n2312"/>
      <w:bookmarkEnd w:id="3536"/>
      <w:r w:rsidRPr="008B264B">
        <w:rPr>
          <w:rFonts w:ascii="Times New Roman" w:eastAsia="Times New Roman" w:hAnsi="Times New Roman" w:cs="Times New Roman"/>
          <w:color w:val="000000"/>
          <w:sz w:val="24"/>
          <w:szCs w:val="24"/>
          <w:lang/>
        </w:rPr>
        <w:t xml:space="preserve">103.1. Застосування правил міжнародного договору України здійснюється шляхом звільнення від оподаткування доходів із джерелом їх походження з України, зменшення ставки </w:t>
      </w:r>
      <w:r w:rsidRPr="008B264B">
        <w:rPr>
          <w:rFonts w:ascii="Times New Roman" w:eastAsia="Times New Roman" w:hAnsi="Times New Roman" w:cs="Times New Roman"/>
          <w:color w:val="000000"/>
          <w:sz w:val="24"/>
          <w:szCs w:val="24"/>
          <w:lang/>
        </w:rPr>
        <w:lastRenderedPageBreak/>
        <w:t>податку або шляхом повернення різниці між сплаченою сумою податку і сумою, яку нерезиденту необхідно сплатити відповідно до міжнародного договору України.</w:t>
      </w:r>
    </w:p>
    <w:p w14:paraId="360D5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7" w:name="n2313"/>
      <w:bookmarkEnd w:id="3537"/>
      <w:r w:rsidRPr="008B264B">
        <w:rPr>
          <w:rFonts w:ascii="Times New Roman" w:eastAsia="Times New Roman" w:hAnsi="Times New Roman" w:cs="Times New Roman"/>
          <w:color w:val="000000"/>
          <w:sz w:val="24"/>
          <w:szCs w:val="24"/>
          <w:lang/>
        </w:rPr>
        <w:t>103.2. Особа (податковий агент) має право самостійно застосувати звільнення від оподаткування або зменшену ставку податку, передбачену відповідним міжнародним договором України на час виплати доходу нерезиденту, якщо такий нерезидент є бенефіціарним (фактичним) отримувачем (власником) доходу і є резидентом країни, з якою укладено міжнародний договір України. У разі отримання синдикованого фінансового кредиту особа (податковий агент) застосовує ставку податку, передбачену відповідним міжнародним договором України, на дату виплати процентів або інших доходів, отриманих із джерел в Україні, учасникам синдикату кредиторів з урахуванням того, резидентом якої юрисдикції є кожен учасник синдикованого кредиту, та пропорційно до його частки у межах кредитного договору, за умови що він є бенефіціарним (фактичним) отримувачем (власником) доходу, незалежно від того, виплата здійснюється через агента чи напряму.</w:t>
      </w:r>
    </w:p>
    <w:p w14:paraId="37F45D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8" w:name="n14825"/>
      <w:bookmarkEnd w:id="3538"/>
      <w:r w:rsidRPr="008B264B">
        <w:rPr>
          <w:rFonts w:ascii="Times New Roman" w:eastAsia="Times New Roman" w:hAnsi="Times New Roman" w:cs="Times New Roman"/>
          <w:i/>
          <w:iCs/>
          <w:color w:val="000000"/>
          <w:sz w:val="24"/>
          <w:szCs w:val="24"/>
          <w:lang/>
        </w:rPr>
        <w:t>{Абзац перший пункту 103.2 статті 103 із змінами, внесеними згідно із Законом </w:t>
      </w:r>
      <w:hyperlink r:id="rId1935" w:anchor="n20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4A834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39" w:name="n2314"/>
      <w:bookmarkEnd w:id="3539"/>
      <w:r w:rsidRPr="008B264B">
        <w:rPr>
          <w:rFonts w:ascii="Times New Roman" w:eastAsia="Times New Roman" w:hAnsi="Times New Roman" w:cs="Times New Roman"/>
          <w:color w:val="000000"/>
          <w:sz w:val="24"/>
          <w:szCs w:val="24"/>
          <w:lang/>
        </w:rPr>
        <w:t>Застосування міжнародного договору України в частині звільнення від оподаткування або застосування пониженої ставки податку дозволяється тільки за умови надання нерезидентом особі (податковому агенту) документа, який підтверджує статус податкового резидента згідно з вимогами </w:t>
      </w:r>
      <w:hyperlink r:id="rId1936" w:anchor="n2317" w:history="1">
        <w:r w:rsidRPr="008B264B">
          <w:rPr>
            <w:rFonts w:ascii="Times New Roman" w:eastAsia="Times New Roman" w:hAnsi="Times New Roman" w:cs="Times New Roman"/>
            <w:color w:val="0000FF"/>
            <w:sz w:val="24"/>
            <w:szCs w:val="24"/>
            <w:u w:val="single"/>
            <w:lang/>
          </w:rPr>
          <w:t>пункту 103.4</w:t>
        </w:r>
      </w:hyperlink>
      <w:r w:rsidRPr="008B264B">
        <w:rPr>
          <w:rFonts w:ascii="Times New Roman" w:eastAsia="Times New Roman" w:hAnsi="Times New Roman" w:cs="Times New Roman"/>
          <w:color w:val="000000"/>
          <w:sz w:val="24"/>
          <w:szCs w:val="24"/>
          <w:lang/>
        </w:rPr>
        <w:t> цієї статті.</w:t>
      </w:r>
    </w:p>
    <w:p w14:paraId="33FDD2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0" w:name="n2315"/>
      <w:bookmarkEnd w:id="3540"/>
      <w:r w:rsidRPr="008B264B">
        <w:rPr>
          <w:rFonts w:ascii="Times New Roman" w:eastAsia="Times New Roman" w:hAnsi="Times New Roman" w:cs="Times New Roman"/>
          <w:color w:val="000000"/>
          <w:sz w:val="24"/>
          <w:szCs w:val="24"/>
          <w:lang/>
        </w:rPr>
        <w:t>103.3. Бенефіціарним (фактичним) отримувачем (власником) доходу для цілей застосування пониженої ставки податку згідно з правилами міжнародного договору України до дивідендів, процентів, роялті, винагород тощо нерезидента, отриманих із джерел в Україні, вважається особа, що має право на отримання таких доходів.</w:t>
      </w:r>
    </w:p>
    <w:p w14:paraId="2B9066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1" w:name="n2316"/>
      <w:bookmarkEnd w:id="3541"/>
      <w:r w:rsidRPr="008B264B">
        <w:rPr>
          <w:rFonts w:ascii="Times New Roman" w:eastAsia="Times New Roman" w:hAnsi="Times New Roman" w:cs="Times New Roman"/>
          <w:color w:val="000000"/>
          <w:sz w:val="24"/>
          <w:szCs w:val="24"/>
          <w:lang/>
        </w:rPr>
        <w:t>При цьому бенефіціарним (фактичним) отримувачем (власником) доходу не може бути юридична або фізична особа, навіть якщо така особа має право на отримання доходу, але є агентом, номінальним утримувачем (номінальним власником) або є тільки посередником щодо такого доходу.</w:t>
      </w:r>
    </w:p>
    <w:p w14:paraId="5DC45E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2" w:name="n14705"/>
      <w:bookmarkEnd w:id="3542"/>
      <w:r w:rsidRPr="008B264B">
        <w:rPr>
          <w:rFonts w:ascii="Times New Roman" w:eastAsia="Times New Roman" w:hAnsi="Times New Roman" w:cs="Times New Roman"/>
          <w:color w:val="000000"/>
          <w:sz w:val="24"/>
          <w:szCs w:val="24"/>
          <w:lang/>
        </w:rPr>
        <w:t>Для цілей застосування цього підпункту у випадках, коли резиденти - суб’єкти кінематографії України сплачують роялті нерезидентам за субліцензійними договорами за використання або за надання права на використання аудіовізуальних творів (у тому числі фільмів), а також об’єктів авторського права та/або суміжних прав, що використовуються при виробництві (створенні) аудіовізуальних творів (у тому числі фільмів), такі нерезиденти вважаються бенефіціарними (фактичними) отримувачами (власниками) щодо таких роялті.</w:t>
      </w:r>
    </w:p>
    <w:p w14:paraId="515CC0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3" w:name="n14704"/>
      <w:bookmarkEnd w:id="3543"/>
      <w:r w:rsidRPr="008B264B">
        <w:rPr>
          <w:rFonts w:ascii="Times New Roman" w:eastAsia="Times New Roman" w:hAnsi="Times New Roman" w:cs="Times New Roman"/>
          <w:i/>
          <w:iCs/>
          <w:color w:val="000000"/>
          <w:sz w:val="24"/>
          <w:szCs w:val="24"/>
          <w:lang/>
        </w:rPr>
        <w:t>{Пункт 103.3 статті 103 доповнено абзацом третім згідно із Законом </w:t>
      </w:r>
      <w:hyperlink r:id="rId1937" w:anchor="n6"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6E623E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4" w:name="n2317"/>
      <w:bookmarkEnd w:id="3544"/>
      <w:r w:rsidRPr="008B264B">
        <w:rPr>
          <w:rFonts w:ascii="Times New Roman" w:eastAsia="Times New Roman" w:hAnsi="Times New Roman" w:cs="Times New Roman"/>
          <w:color w:val="000000"/>
          <w:sz w:val="24"/>
          <w:szCs w:val="24"/>
          <w:lang/>
        </w:rPr>
        <w:t>103.4. Підставою для звільнення (зменшення) від оподаткування доходів із джерелом їх походження з України є подання нерезидентом з урахуванням особливостей, передбачених пунктами 103.5 і 103.6 цієї статті, особі (податковому агенту), яка виплачує йому доходи, довідки (або її нотаріально засвідченої копії), яка підтверджує, що нерезидент є резидентом країни, з якою укладено міжнародний договір України (далі - довідка), а також інших документів, якщо це передбачено міжнародним договором України.</w:t>
      </w:r>
    </w:p>
    <w:p w14:paraId="49FA3A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5" w:name="n2318"/>
      <w:bookmarkEnd w:id="3545"/>
      <w:r w:rsidRPr="008B264B">
        <w:rPr>
          <w:rFonts w:ascii="Times New Roman" w:eastAsia="Times New Roman" w:hAnsi="Times New Roman" w:cs="Times New Roman"/>
          <w:color w:val="000000"/>
          <w:sz w:val="24"/>
          <w:szCs w:val="24"/>
          <w:lang/>
        </w:rPr>
        <w:t>103.5. Довідка видається компетентним (уповноваженим) органом відповідної країни, визначеним міжнародним договором України, за формою, затвердженою згідно із законодавством відповідної країни, і повинна бути належним чином легалізована, перекладена відповідно до законодавства України.</w:t>
      </w:r>
    </w:p>
    <w:p w14:paraId="1F9485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6" w:name="n2319"/>
      <w:bookmarkEnd w:id="3546"/>
      <w:r w:rsidRPr="008B264B">
        <w:rPr>
          <w:rFonts w:ascii="Times New Roman" w:eastAsia="Times New Roman" w:hAnsi="Times New Roman" w:cs="Times New Roman"/>
          <w:color w:val="000000"/>
          <w:sz w:val="24"/>
          <w:szCs w:val="24"/>
          <w:lang/>
        </w:rPr>
        <w:t>103.6. У разі потреби така довідка може бути затребувана у нерезидента особою, яка виплачує йому доходи, або контролюючим органом під час розгляду питання про повернення сум надміру сплачених грошових зобов'язань на іншу дату, що передує даті виплати доходів.</w:t>
      </w:r>
    </w:p>
    <w:p w14:paraId="1FC938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7" w:name="n2320"/>
      <w:bookmarkEnd w:id="3547"/>
      <w:r w:rsidRPr="008B264B">
        <w:rPr>
          <w:rFonts w:ascii="Times New Roman" w:eastAsia="Times New Roman" w:hAnsi="Times New Roman" w:cs="Times New Roman"/>
          <w:color w:val="000000"/>
          <w:sz w:val="24"/>
          <w:szCs w:val="24"/>
          <w:lang/>
        </w:rPr>
        <w:lastRenderedPageBreak/>
        <w:t>У разі потреби особа, яка виплачує доходи нерезидентові, може звернутися до контролюючого органу за своїм місцезнаходженням (місцем проживання) щодо здійснення центральним органом виконавчої влади, що реалізує державну податкову і митну політику, запиту до компетентного органу країни, з якою укладено міжнародний договір України, про підтвердження зазначеної у довідці інформації.</w:t>
      </w:r>
    </w:p>
    <w:p w14:paraId="058B51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8" w:name="n2321"/>
      <w:bookmarkEnd w:id="3548"/>
      <w:r w:rsidRPr="008B264B">
        <w:rPr>
          <w:rFonts w:ascii="Times New Roman" w:eastAsia="Times New Roman" w:hAnsi="Times New Roman" w:cs="Times New Roman"/>
          <w:i/>
          <w:iCs/>
          <w:color w:val="000000"/>
          <w:sz w:val="24"/>
          <w:szCs w:val="24"/>
          <w:lang/>
        </w:rPr>
        <w:t>{Абзац другий пункту 103.6 статті 103 із змінами, внесеними згідно з Законами </w:t>
      </w:r>
      <w:hyperlink r:id="rId1938" w:anchor="n12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1939"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C4E1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49" w:name="n2322"/>
      <w:bookmarkEnd w:id="3549"/>
      <w:r w:rsidRPr="008B264B">
        <w:rPr>
          <w:rFonts w:ascii="Times New Roman" w:eastAsia="Times New Roman" w:hAnsi="Times New Roman" w:cs="Times New Roman"/>
          <w:color w:val="000000"/>
          <w:sz w:val="24"/>
          <w:szCs w:val="24"/>
          <w:lang/>
        </w:rPr>
        <w:t>103.7. При здійсненні юридичними особами - резидентами України операцій з іноземними банками, пов'язаних з виплатою процентів, підтвердження факту, що такий іноземний банк є резидентом країни, з якою укладено міжнародний договір України, не вимагається, якщо це підтверджується витягом з міжнародного каталогу "International Bank Identifier Code" (видання S.W.I.F.T., Belgium International Organization for Standardization, Switzerland).</w:t>
      </w:r>
    </w:p>
    <w:p w14:paraId="37FB4E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0" w:name="n14826"/>
      <w:bookmarkEnd w:id="3550"/>
      <w:r w:rsidRPr="008B264B">
        <w:rPr>
          <w:rFonts w:ascii="Times New Roman" w:eastAsia="Times New Roman" w:hAnsi="Times New Roman" w:cs="Times New Roman"/>
          <w:i/>
          <w:iCs/>
          <w:color w:val="000000"/>
          <w:sz w:val="24"/>
          <w:szCs w:val="24"/>
          <w:lang/>
        </w:rPr>
        <w:t>{Пункт 103.7 статті 103 із змінами, внесеними згідно із Законом </w:t>
      </w:r>
      <w:hyperlink r:id="rId1940" w:anchor="n20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F0416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1" w:name="n2323"/>
      <w:bookmarkEnd w:id="3551"/>
      <w:r w:rsidRPr="008B264B">
        <w:rPr>
          <w:rFonts w:ascii="Times New Roman" w:eastAsia="Times New Roman" w:hAnsi="Times New Roman" w:cs="Times New Roman"/>
          <w:color w:val="000000"/>
          <w:sz w:val="24"/>
          <w:szCs w:val="24"/>
          <w:lang/>
        </w:rPr>
        <w:t>103.8. Особа, яка виплачує доходи нерезидентові у звітному (податковому) році, у разі подання нерезидентом довідки з інформацією за попередній звітний податковий період (рік) може застосувати правила міжнародного договору України, зокрема щодо звільнення (зменшення) від оподаткування, у звітному (податковому) році з отриманням довідки після закінчення звітного (податкового) року.</w:t>
      </w:r>
    </w:p>
    <w:p w14:paraId="1AEDBB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2" w:name="n2324"/>
      <w:bookmarkEnd w:id="3552"/>
      <w:r w:rsidRPr="008B264B">
        <w:rPr>
          <w:rFonts w:ascii="Times New Roman" w:eastAsia="Times New Roman" w:hAnsi="Times New Roman" w:cs="Times New Roman"/>
          <w:color w:val="000000"/>
          <w:sz w:val="24"/>
          <w:szCs w:val="24"/>
          <w:lang/>
        </w:rPr>
        <w:t>103.9. Особа, яка виплачує доходи нерезидентові, зобов'язана у разі здійснення у звітному періоді (кварталі) виплат нерезидентам доходів із джерелом їх походження з України подавати контролюючому органу за своїм місцезнаходженням (місцем проживання) звіт про виплачені доходи, утримані та перераховані до бюджету податки на доходи нерезидентів у строки та за формою, встановленими центральним органом виконавчої влади, що забезпечує формування та реалізує державну фінансову політику.</w:t>
      </w:r>
    </w:p>
    <w:p w14:paraId="2D3A60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3" w:name="n13439"/>
      <w:bookmarkEnd w:id="3553"/>
      <w:r w:rsidRPr="008B264B">
        <w:rPr>
          <w:rFonts w:ascii="Times New Roman" w:eastAsia="Times New Roman" w:hAnsi="Times New Roman" w:cs="Times New Roman"/>
          <w:i/>
          <w:iCs/>
          <w:color w:val="000000"/>
          <w:sz w:val="24"/>
          <w:szCs w:val="24"/>
          <w:lang/>
        </w:rPr>
        <w:t>{Пункт 103.9 статті 103 із змінами, внесеними згідно із Законом </w:t>
      </w:r>
      <w:hyperlink r:id="rId194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9C21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4" w:name="n2325"/>
      <w:bookmarkEnd w:id="3554"/>
      <w:r w:rsidRPr="008B264B">
        <w:rPr>
          <w:rFonts w:ascii="Times New Roman" w:eastAsia="Times New Roman" w:hAnsi="Times New Roman" w:cs="Times New Roman"/>
          <w:color w:val="000000"/>
          <w:sz w:val="24"/>
          <w:szCs w:val="24"/>
          <w:lang/>
        </w:rPr>
        <w:t>103.10. У разі неподання нерезидентом довідки відповідно до </w:t>
      </w:r>
      <w:hyperlink r:id="rId1942" w:anchor="n2317" w:history="1">
        <w:r w:rsidRPr="008B264B">
          <w:rPr>
            <w:rFonts w:ascii="Times New Roman" w:eastAsia="Times New Roman" w:hAnsi="Times New Roman" w:cs="Times New Roman"/>
            <w:color w:val="0000FF"/>
            <w:sz w:val="24"/>
            <w:szCs w:val="24"/>
            <w:u w:val="single"/>
            <w:lang/>
          </w:rPr>
          <w:t>пункту 103.4</w:t>
        </w:r>
      </w:hyperlink>
      <w:r w:rsidRPr="008B264B">
        <w:rPr>
          <w:rFonts w:ascii="Times New Roman" w:eastAsia="Times New Roman" w:hAnsi="Times New Roman" w:cs="Times New Roman"/>
          <w:color w:val="000000"/>
          <w:sz w:val="24"/>
          <w:szCs w:val="24"/>
          <w:lang/>
        </w:rPr>
        <w:t> цієї статті доходи нерезидента із джерелом їх походження з України підлягають оподаткуванню відповідно до законодавства України з питань оподаткування.</w:t>
      </w:r>
    </w:p>
    <w:p w14:paraId="07C66B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5" w:name="n2326"/>
      <w:bookmarkEnd w:id="3555"/>
      <w:r w:rsidRPr="008B264B">
        <w:rPr>
          <w:rFonts w:ascii="Times New Roman" w:eastAsia="Times New Roman" w:hAnsi="Times New Roman" w:cs="Times New Roman"/>
          <w:color w:val="000000"/>
          <w:sz w:val="24"/>
          <w:szCs w:val="24"/>
          <w:lang/>
        </w:rPr>
        <w:t>103.11. У разі якщо нерезидент вважає, що з його доходів було утримано суму податку, яка перевищує суму, належну до сплати відповідно до правил міжнародного договору України, розгляд питання про відшкодування різниці здійснюється на підставі подання до контролюючого органу за місцезнаходженням (місцем проживання) особи, яка виплатила доходи нерезидентові та утримала з них податок, заяви про повернення суми податку на доходи із джерелом їх походження з України.</w:t>
      </w:r>
    </w:p>
    <w:p w14:paraId="620D8D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6" w:name="n2327"/>
      <w:bookmarkEnd w:id="3556"/>
      <w:r w:rsidRPr="008B264B">
        <w:rPr>
          <w:rFonts w:ascii="Times New Roman" w:eastAsia="Times New Roman" w:hAnsi="Times New Roman" w:cs="Times New Roman"/>
          <w:color w:val="000000"/>
          <w:sz w:val="24"/>
          <w:szCs w:val="24"/>
          <w:lang/>
        </w:rPr>
        <w:t>Необхідні документи подаються нерезидентом або посадовою (уповноваженою) особою, яка повинна підтвердити свої повноваження відповідно до законодавства України.</w:t>
      </w:r>
    </w:p>
    <w:p w14:paraId="3CFB6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7" w:name="n2328"/>
      <w:bookmarkEnd w:id="3557"/>
      <w:r w:rsidRPr="008B264B">
        <w:rPr>
          <w:rFonts w:ascii="Times New Roman" w:eastAsia="Times New Roman" w:hAnsi="Times New Roman" w:cs="Times New Roman"/>
          <w:color w:val="000000"/>
          <w:sz w:val="24"/>
          <w:szCs w:val="24"/>
          <w:lang/>
        </w:rPr>
        <w:t>103.12. Контролюючий орган перевіряє відповідність даних, зазначених у заяві та підтвердних документах, фактичним даним та відповідному міжнародному договору України, а також факт перерахування до бюджету відповідних сум податку особою, яка виплатила доходи нерезидентові.</w:t>
      </w:r>
    </w:p>
    <w:p w14:paraId="141D9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8" w:name="n2329"/>
      <w:bookmarkEnd w:id="3558"/>
      <w:r w:rsidRPr="008B264B">
        <w:rPr>
          <w:rFonts w:ascii="Times New Roman" w:eastAsia="Times New Roman" w:hAnsi="Times New Roman" w:cs="Times New Roman"/>
          <w:color w:val="000000"/>
          <w:sz w:val="24"/>
          <w:szCs w:val="24"/>
          <w:lang/>
        </w:rPr>
        <w:t>У разі підтвердження факту зайвого утримання сум податку контролюючий орган приймає рішення про повернення відповідної суми нерезидентові, копії якого надаються особі, яка під час виплати доходів нерезидентові утримала податок, та нерезидентові (уповноваженій особі). Висновок про повернення сум надміру сплаченого податку надсилається до відповідного органу, що здійснює казначейське обслуговування бюджетних коштів.</w:t>
      </w:r>
    </w:p>
    <w:p w14:paraId="4E67AA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59" w:name="n2330"/>
      <w:bookmarkEnd w:id="3559"/>
      <w:r w:rsidRPr="008B264B">
        <w:rPr>
          <w:rFonts w:ascii="Times New Roman" w:eastAsia="Times New Roman" w:hAnsi="Times New Roman" w:cs="Times New Roman"/>
          <w:color w:val="000000"/>
          <w:sz w:val="24"/>
          <w:szCs w:val="24"/>
          <w:lang/>
        </w:rPr>
        <w:lastRenderedPageBreak/>
        <w:t>У разі відмови в поверненні суми податку контролюючий орган зобов'язаний надати нерезидентові (уповноваженій особі) обґрунтовану відповідь.</w:t>
      </w:r>
    </w:p>
    <w:p w14:paraId="79FDCD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0" w:name="n2331"/>
      <w:bookmarkEnd w:id="3560"/>
      <w:r w:rsidRPr="008B264B">
        <w:rPr>
          <w:rFonts w:ascii="Times New Roman" w:eastAsia="Times New Roman" w:hAnsi="Times New Roman" w:cs="Times New Roman"/>
          <w:color w:val="000000"/>
          <w:sz w:val="24"/>
          <w:szCs w:val="24"/>
          <w:lang/>
        </w:rPr>
        <w:t>103.13. Орган, що здійснює казначейське обслуговування бюджетних коштів на підставі висновку контролюючого органу перераховує кошти у розмірі, визначеному у висновку, на рахунок особи, яка надміру утримала податок з доходів нерезидента.</w:t>
      </w:r>
    </w:p>
    <w:p w14:paraId="18B04D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1" w:name="n2332"/>
      <w:bookmarkEnd w:id="3561"/>
      <w:r w:rsidRPr="008B264B">
        <w:rPr>
          <w:rFonts w:ascii="Times New Roman" w:eastAsia="Times New Roman" w:hAnsi="Times New Roman" w:cs="Times New Roman"/>
          <w:color w:val="000000"/>
          <w:sz w:val="24"/>
          <w:szCs w:val="24"/>
          <w:lang/>
        </w:rPr>
        <w:t>103.14. Особа, яка здійснила виплату доходу нерезидентові, повертає йому різницю між сумою податку, яка була утримана, та сумою, належною до сплати відповідно до міжнародного договору України, після отримання копії рішення контролюючого органу про повернення суми надміру сплачених грошових зобов'язань або після зарахування коштів від відповідного органу, що здійснює казначейське обслуговування бюджетних коштів.</w:t>
      </w:r>
    </w:p>
    <w:p w14:paraId="3E9D09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2" w:name="n2333"/>
      <w:bookmarkEnd w:id="3562"/>
      <w:r w:rsidRPr="008B264B">
        <w:rPr>
          <w:rFonts w:ascii="Times New Roman" w:eastAsia="Times New Roman" w:hAnsi="Times New Roman" w:cs="Times New Roman"/>
          <w:color w:val="000000"/>
          <w:sz w:val="24"/>
          <w:szCs w:val="24"/>
          <w:lang/>
        </w:rPr>
        <w:t>Кошти, які за рішенням контролюючого органу повинні повертатись особі, яка зайво утримала податок з доходів нерезидента, можуть бути зараховані в рахунок сплати інших податкових зобов'язань такої особи за її письмовою заявою, яка подається під час розгляду заяви нерезидента про повернення надміру утриманих сум податку. У цьому разі висновок про повернення надміру сплаченої суми податку до відповідного органу, що здійснює казначейське обслуговування бюджетних коштів не надсилається.</w:t>
      </w:r>
    </w:p>
    <w:p w14:paraId="297A7C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3" w:name="n2334"/>
      <w:bookmarkEnd w:id="3563"/>
      <w:r w:rsidRPr="008B264B">
        <w:rPr>
          <w:rFonts w:ascii="Times New Roman" w:eastAsia="Times New Roman" w:hAnsi="Times New Roman" w:cs="Times New Roman"/>
          <w:b/>
          <w:bCs/>
          <w:color w:val="000000"/>
          <w:sz w:val="24"/>
          <w:szCs w:val="24"/>
          <w:lang/>
        </w:rPr>
        <w:t>Стаття 104.</w:t>
      </w:r>
      <w:r w:rsidRPr="008B264B">
        <w:rPr>
          <w:rFonts w:ascii="Times New Roman" w:eastAsia="Times New Roman" w:hAnsi="Times New Roman" w:cs="Times New Roman"/>
          <w:color w:val="000000"/>
          <w:sz w:val="24"/>
          <w:szCs w:val="24"/>
          <w:lang/>
        </w:rPr>
        <w:t> Порядок надання допомоги у стягненні податкового боргу в міжнародних правовідносинах</w:t>
      </w:r>
    </w:p>
    <w:p w14:paraId="5B197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4" w:name="n2335"/>
      <w:bookmarkEnd w:id="3564"/>
      <w:r w:rsidRPr="008B264B">
        <w:rPr>
          <w:rFonts w:ascii="Times New Roman" w:eastAsia="Times New Roman" w:hAnsi="Times New Roman" w:cs="Times New Roman"/>
          <w:color w:val="000000"/>
          <w:sz w:val="24"/>
          <w:szCs w:val="24"/>
          <w:lang/>
        </w:rPr>
        <w:t>104.1. Надання допомоги у стягненні податкового боргу в міжнародних правовідносинах, за міжнародними договорами України, здійснюється в порядку, передбаченому цим Кодексом, з урахуванням визначених цією статтею особливостей.</w:t>
      </w:r>
    </w:p>
    <w:p w14:paraId="7A0CAE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5" w:name="n2336"/>
      <w:bookmarkEnd w:id="3565"/>
      <w:r w:rsidRPr="008B264B">
        <w:rPr>
          <w:rFonts w:ascii="Times New Roman" w:eastAsia="Times New Roman" w:hAnsi="Times New Roman" w:cs="Times New Roman"/>
          <w:color w:val="000000"/>
          <w:sz w:val="24"/>
          <w:szCs w:val="24"/>
          <w:lang/>
        </w:rPr>
        <w:t>104.2. Контролюючий орган після отримання документа іноземної держави, за яким здійснюється стягнення суми податкового боргу в міжнародних правовідносинах, у тридцятиденний строк визначає відповідність такого документа міжнародним договорам України. У разі невідповідності такого документа повертає його компетентному органу іноземної держави. Якщо зазначений документ визнано таким, що відповідає міжнародним договорам України, контролюючий орган надсилає платнику податків податкове повідомлення в міжнародних правовідносинах у порядку, передбаченому </w:t>
      </w:r>
      <w:hyperlink r:id="rId1943" w:anchor="n1091" w:history="1">
        <w:r w:rsidRPr="008B264B">
          <w:rPr>
            <w:rFonts w:ascii="Times New Roman" w:eastAsia="Times New Roman" w:hAnsi="Times New Roman" w:cs="Times New Roman"/>
            <w:color w:val="0000FF"/>
            <w:sz w:val="24"/>
            <w:szCs w:val="24"/>
            <w:u w:val="single"/>
            <w:lang/>
          </w:rPr>
          <w:t>статтею 42</w:t>
        </w:r>
      </w:hyperlink>
      <w:r w:rsidRPr="008B264B">
        <w:rPr>
          <w:rFonts w:ascii="Times New Roman" w:eastAsia="Times New Roman" w:hAnsi="Times New Roman" w:cs="Times New Roman"/>
          <w:color w:val="000000"/>
          <w:sz w:val="24"/>
          <w:szCs w:val="24"/>
          <w:lang/>
        </w:rPr>
        <w:t> цього Кодексу.</w:t>
      </w:r>
    </w:p>
    <w:p w14:paraId="5381C1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6" w:name="n2337"/>
      <w:bookmarkEnd w:id="3566"/>
      <w:r w:rsidRPr="008B264B">
        <w:rPr>
          <w:rFonts w:ascii="Times New Roman" w:eastAsia="Times New Roman" w:hAnsi="Times New Roman" w:cs="Times New Roman"/>
          <w:color w:val="000000"/>
          <w:sz w:val="24"/>
          <w:szCs w:val="24"/>
          <w:lang/>
        </w:rPr>
        <w:t>104.3. Податковий борг в міжнародних правовідносинах перераховується у гривні за офіційним курсом гривні до іноземної валюти, визначеним Національним банком України на день надсилання такому платнику податків податкового повідомлення.</w:t>
      </w:r>
    </w:p>
    <w:p w14:paraId="33D7A9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7" w:name="n2338"/>
      <w:bookmarkEnd w:id="3567"/>
      <w:r w:rsidRPr="008B264B">
        <w:rPr>
          <w:rFonts w:ascii="Times New Roman" w:eastAsia="Times New Roman" w:hAnsi="Times New Roman" w:cs="Times New Roman"/>
          <w:b/>
          <w:bCs/>
          <w:color w:val="000000"/>
          <w:sz w:val="24"/>
          <w:szCs w:val="24"/>
          <w:lang/>
        </w:rPr>
        <w:t>Стаття 105.</w:t>
      </w:r>
      <w:r w:rsidRPr="008B264B">
        <w:rPr>
          <w:rFonts w:ascii="Times New Roman" w:eastAsia="Times New Roman" w:hAnsi="Times New Roman" w:cs="Times New Roman"/>
          <w:color w:val="000000"/>
          <w:sz w:val="24"/>
          <w:szCs w:val="24"/>
          <w:lang/>
        </w:rPr>
        <w:t> Узгодження суми податкового боргу в міжнародних правовідносинах</w:t>
      </w:r>
    </w:p>
    <w:p w14:paraId="7396F9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8" w:name="n2339"/>
      <w:bookmarkEnd w:id="3568"/>
      <w:r w:rsidRPr="008B264B">
        <w:rPr>
          <w:rFonts w:ascii="Times New Roman" w:eastAsia="Times New Roman" w:hAnsi="Times New Roman" w:cs="Times New Roman"/>
          <w:color w:val="000000"/>
          <w:sz w:val="24"/>
          <w:szCs w:val="24"/>
          <w:lang/>
        </w:rPr>
        <w:t>105.1. У разі якщо платник податків вважає, що податковий борг в міжнародних правовідносинах, визначений контролюючим органом на підставі документа іноземної держави, за яким здійснюється стягнення суми податкового боргу, не відповідає дійсності, такий платник податків має право протягом десяти календарних днів, що настають за днем отримання податкового повідомлення в міжнародних правовідносинах про визначення податкового боргу в міжнародних правовідносинах, подати через контролюючий орган компетентному органу іноземної держави скаргу про перегляд такого рішення.</w:t>
      </w:r>
    </w:p>
    <w:p w14:paraId="01E1D4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69" w:name="n2340"/>
      <w:bookmarkEnd w:id="3569"/>
      <w:r w:rsidRPr="008B264B">
        <w:rPr>
          <w:rFonts w:ascii="Times New Roman" w:eastAsia="Times New Roman" w:hAnsi="Times New Roman" w:cs="Times New Roman"/>
          <w:color w:val="000000"/>
          <w:sz w:val="24"/>
          <w:szCs w:val="24"/>
          <w:lang/>
        </w:rPr>
        <w:t>105.2. У період оскарження суми грошового зобов'язання в міжнародних правовідносинах таке зобов'язання не може бути податковим боргом до отримання від компетентного органу іноземної держави остаточного документа про нарахування податкового боргу в міжнародних правовідносинах. Такий документ надсилається контролюючим органом платнику податків разом з податковим повідомленням в міжнародних правовідносинах у порядку, визначеному </w:t>
      </w:r>
      <w:hyperlink r:id="rId1944"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 Таке податкове повідомлення в міжнародних правовідносинах не підлягає адміністративному оскарженню.</w:t>
      </w:r>
    </w:p>
    <w:p w14:paraId="4F925E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0" w:name="n2341"/>
      <w:bookmarkEnd w:id="3570"/>
      <w:r w:rsidRPr="008B264B">
        <w:rPr>
          <w:rFonts w:ascii="Times New Roman" w:eastAsia="Times New Roman" w:hAnsi="Times New Roman" w:cs="Times New Roman"/>
          <w:color w:val="000000"/>
          <w:sz w:val="24"/>
          <w:szCs w:val="24"/>
          <w:lang/>
        </w:rPr>
        <w:t>105.3. На розгляд заяв платників податків про перегляд рішення компетентного органу іноземної держави не поширюються норми </w:t>
      </w:r>
      <w:hyperlink r:id="rId1945" w:anchor="n1321" w:history="1">
        <w:r w:rsidRPr="008B264B">
          <w:rPr>
            <w:rFonts w:ascii="Times New Roman" w:eastAsia="Times New Roman" w:hAnsi="Times New Roman" w:cs="Times New Roman"/>
            <w:color w:val="0000FF"/>
            <w:sz w:val="24"/>
            <w:szCs w:val="24"/>
            <w:u w:val="single"/>
            <w:lang/>
          </w:rPr>
          <w:t>статті 56</w:t>
        </w:r>
      </w:hyperlink>
      <w:r w:rsidRPr="008B264B">
        <w:rPr>
          <w:rFonts w:ascii="Times New Roman" w:eastAsia="Times New Roman" w:hAnsi="Times New Roman" w:cs="Times New Roman"/>
          <w:color w:val="000000"/>
          <w:sz w:val="24"/>
          <w:szCs w:val="24"/>
          <w:lang/>
        </w:rPr>
        <w:t> цього Кодексу.</w:t>
      </w:r>
    </w:p>
    <w:p w14:paraId="3D4906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1" w:name="n2342"/>
      <w:bookmarkEnd w:id="3571"/>
      <w:r w:rsidRPr="008B264B">
        <w:rPr>
          <w:rFonts w:ascii="Times New Roman" w:eastAsia="Times New Roman" w:hAnsi="Times New Roman" w:cs="Times New Roman"/>
          <w:b/>
          <w:bCs/>
          <w:color w:val="000000"/>
          <w:sz w:val="24"/>
          <w:szCs w:val="24"/>
          <w:lang/>
        </w:rPr>
        <w:lastRenderedPageBreak/>
        <w:t>Стаття 106.</w:t>
      </w:r>
      <w:r w:rsidRPr="008B264B">
        <w:rPr>
          <w:rFonts w:ascii="Times New Roman" w:eastAsia="Times New Roman" w:hAnsi="Times New Roman" w:cs="Times New Roman"/>
          <w:color w:val="000000"/>
          <w:sz w:val="24"/>
          <w:szCs w:val="24"/>
          <w:lang/>
        </w:rPr>
        <w:t> Відкликання податкових повідомлень в міжнародних правовідносинах або податкових вимог</w:t>
      </w:r>
    </w:p>
    <w:p w14:paraId="3594C3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2" w:name="n2343"/>
      <w:bookmarkEnd w:id="3572"/>
      <w:r w:rsidRPr="008B264B">
        <w:rPr>
          <w:rFonts w:ascii="Times New Roman" w:eastAsia="Times New Roman" w:hAnsi="Times New Roman" w:cs="Times New Roman"/>
          <w:color w:val="000000"/>
          <w:sz w:val="24"/>
          <w:szCs w:val="24"/>
          <w:lang/>
        </w:rPr>
        <w:t>106.1. Податкове повідомлення в міжнародних правовідносинах або податкові вимоги вважаються відкликаними, якщо компетентний орган іноземної держави скасовує або змінює документ іноземної держави, за яким здійснюється стягнення суми податкового боргу в міжнародних правовідносинах. Такі податкові повідомлення в міжнародних правовідносинах або податкові вимоги вважаються відкликаними з дня отримання контролюючим органом документа компетентного органу іноземної держави рішення про скасування або зміну раніше нарахованої суми податкового боргу в міжнародних правовідносинах, який виник в іноземній державі.</w:t>
      </w:r>
    </w:p>
    <w:p w14:paraId="272D1C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3" w:name="n2344"/>
      <w:bookmarkEnd w:id="3573"/>
      <w:r w:rsidRPr="008B264B">
        <w:rPr>
          <w:rFonts w:ascii="Times New Roman" w:eastAsia="Times New Roman" w:hAnsi="Times New Roman" w:cs="Times New Roman"/>
          <w:b/>
          <w:bCs/>
          <w:color w:val="000000"/>
          <w:sz w:val="24"/>
          <w:szCs w:val="24"/>
          <w:lang/>
        </w:rPr>
        <w:t>Стаття 107.</w:t>
      </w:r>
      <w:r w:rsidRPr="008B264B">
        <w:rPr>
          <w:rFonts w:ascii="Times New Roman" w:eastAsia="Times New Roman" w:hAnsi="Times New Roman" w:cs="Times New Roman"/>
          <w:color w:val="000000"/>
          <w:sz w:val="24"/>
          <w:szCs w:val="24"/>
          <w:lang/>
        </w:rPr>
        <w:t> Заходи щодо стягнення суми податкового боргу в міжнародних правовідносинах</w:t>
      </w:r>
    </w:p>
    <w:p w14:paraId="08A017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4" w:name="n2345"/>
      <w:bookmarkEnd w:id="3574"/>
      <w:r w:rsidRPr="008B264B">
        <w:rPr>
          <w:rFonts w:ascii="Times New Roman" w:eastAsia="Times New Roman" w:hAnsi="Times New Roman" w:cs="Times New Roman"/>
          <w:color w:val="000000"/>
          <w:sz w:val="24"/>
          <w:szCs w:val="24"/>
          <w:lang/>
        </w:rPr>
        <w:t>107.1. Контролюючий орган самостійно перераховує у гривні суму податкового боргу в міжнародних правовідносинах та здійснює заходи щодо стягнення суми податкового боргу платника податку не пізніше закінчення 1095 дня, що настає за останнім днем граничного строку сплати податку і збору в іноземній державі, зазначеного у документі компетентного органу іноземної держави, за яким здійснюється стягнення суми податкового боргу в міжнародних правовідносинах. Граничний строк стягнення податкового боргу в міжнародних правовідносинах визначається відповідно до </w:t>
      </w:r>
      <w:hyperlink r:id="rId1946" w:anchor="n2296" w:history="1">
        <w:r w:rsidRPr="008B264B">
          <w:rPr>
            <w:rFonts w:ascii="Times New Roman" w:eastAsia="Times New Roman" w:hAnsi="Times New Roman" w:cs="Times New Roman"/>
            <w:color w:val="0000FF"/>
            <w:sz w:val="24"/>
            <w:szCs w:val="24"/>
            <w:u w:val="single"/>
            <w:lang/>
          </w:rPr>
          <w:t>пункту 102.4</w:t>
        </w:r>
      </w:hyperlink>
      <w:r w:rsidRPr="008B264B">
        <w:rPr>
          <w:rFonts w:ascii="Times New Roman" w:eastAsia="Times New Roman" w:hAnsi="Times New Roman" w:cs="Times New Roman"/>
          <w:color w:val="000000"/>
          <w:sz w:val="24"/>
          <w:szCs w:val="24"/>
          <w:lang/>
        </w:rPr>
        <w:t> статті 102 цього Кодексу, якщо інше не передбачено міжнародним договором України.</w:t>
      </w:r>
    </w:p>
    <w:p w14:paraId="00B3C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5" w:name="n2346"/>
      <w:bookmarkEnd w:id="3575"/>
      <w:r w:rsidRPr="008B264B">
        <w:rPr>
          <w:rFonts w:ascii="Times New Roman" w:eastAsia="Times New Roman" w:hAnsi="Times New Roman" w:cs="Times New Roman"/>
          <w:b/>
          <w:bCs/>
          <w:color w:val="000000"/>
          <w:sz w:val="24"/>
          <w:szCs w:val="24"/>
          <w:lang/>
        </w:rPr>
        <w:t>Стаття 108.</w:t>
      </w:r>
      <w:r w:rsidRPr="008B264B">
        <w:rPr>
          <w:rFonts w:ascii="Times New Roman" w:eastAsia="Times New Roman" w:hAnsi="Times New Roman" w:cs="Times New Roman"/>
          <w:color w:val="000000"/>
          <w:sz w:val="24"/>
          <w:szCs w:val="24"/>
          <w:lang/>
        </w:rPr>
        <w:t> Нарахування пені та штрафних санкцій на суму податкового боргу в міжнародних правовідносинах</w:t>
      </w:r>
    </w:p>
    <w:p w14:paraId="0CDB61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6" w:name="n2347"/>
      <w:bookmarkEnd w:id="3576"/>
      <w:r w:rsidRPr="008B264B">
        <w:rPr>
          <w:rFonts w:ascii="Times New Roman" w:eastAsia="Times New Roman" w:hAnsi="Times New Roman" w:cs="Times New Roman"/>
          <w:color w:val="000000"/>
          <w:sz w:val="24"/>
          <w:szCs w:val="24"/>
          <w:lang/>
        </w:rPr>
        <w:t>108.1. Пеня не нараховується на суму податкового боргу в міжнародних правовідносинах при виконанні документа іноземної держави, за яким здійснюється стягнення суми податкового боргу в міжнародних правовідносинах.</w:t>
      </w:r>
    </w:p>
    <w:p w14:paraId="573376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7" w:name="n2348"/>
      <w:bookmarkEnd w:id="3577"/>
      <w:r w:rsidRPr="008B264B">
        <w:rPr>
          <w:rFonts w:ascii="Times New Roman" w:eastAsia="Times New Roman" w:hAnsi="Times New Roman" w:cs="Times New Roman"/>
          <w:color w:val="000000"/>
          <w:sz w:val="24"/>
          <w:szCs w:val="24"/>
          <w:lang/>
        </w:rPr>
        <w:t>108.2. Штрафні санкції на суму податкового боргу в міжнародних правовідносинах не накладаються при виконанні документа іноземної держави, за яким здійснюється стягнення суми податкового боргу в міжнародних правовідносинах.</w:t>
      </w:r>
    </w:p>
    <w:p w14:paraId="6C640391"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3578" w:name="n2349"/>
      <w:bookmarkEnd w:id="3578"/>
      <w:r w:rsidRPr="008B264B">
        <w:rPr>
          <w:rFonts w:ascii="Times New Roman" w:eastAsia="Times New Roman" w:hAnsi="Times New Roman" w:cs="Times New Roman"/>
          <w:b/>
          <w:bCs/>
          <w:color w:val="000000"/>
          <w:sz w:val="28"/>
          <w:szCs w:val="28"/>
          <w:lang/>
        </w:rPr>
        <w:t>ГЛАВА 11. ВІДПОВІДАЛЬНІСТЬ</w:t>
      </w:r>
    </w:p>
    <w:p w14:paraId="53E9BC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79" w:name="n2350"/>
      <w:bookmarkEnd w:id="3579"/>
      <w:r w:rsidRPr="008B264B">
        <w:rPr>
          <w:rFonts w:ascii="Times New Roman" w:eastAsia="Times New Roman" w:hAnsi="Times New Roman" w:cs="Times New Roman"/>
          <w:b/>
          <w:bCs/>
          <w:color w:val="000000"/>
          <w:sz w:val="24"/>
          <w:szCs w:val="24"/>
          <w:lang/>
        </w:rPr>
        <w:t>Стаття 109.</w:t>
      </w:r>
      <w:r w:rsidRPr="008B264B">
        <w:rPr>
          <w:rFonts w:ascii="Times New Roman" w:eastAsia="Times New Roman" w:hAnsi="Times New Roman" w:cs="Times New Roman"/>
          <w:color w:val="000000"/>
          <w:sz w:val="24"/>
          <w:szCs w:val="24"/>
          <w:lang/>
        </w:rPr>
        <w:t> Загальні положення</w:t>
      </w:r>
    </w:p>
    <w:p w14:paraId="48FDB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0" w:name="n2351"/>
      <w:bookmarkEnd w:id="3580"/>
      <w:r w:rsidRPr="008B264B">
        <w:rPr>
          <w:rFonts w:ascii="Times New Roman" w:eastAsia="Times New Roman" w:hAnsi="Times New Roman" w:cs="Times New Roman"/>
          <w:color w:val="000000"/>
          <w:sz w:val="24"/>
          <w:szCs w:val="24"/>
          <w:lang/>
        </w:rPr>
        <w:t>109.1. Податковими правопорушеннями є протиправні діяння (дія чи бездіяльність) платників податків, податкових агентів, та/або їх посадових осіб, а також посадових осіб контролюючих органів, що призвели до невиконання або неналежного виконання вимог, установлених цим Кодексом та іншим законодавством, контроль за дотриманням якого покладено на контролюючі органи.</w:t>
      </w:r>
    </w:p>
    <w:p w14:paraId="48F7F8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1" w:name="n2352"/>
      <w:bookmarkEnd w:id="3581"/>
      <w:r w:rsidRPr="008B264B">
        <w:rPr>
          <w:rFonts w:ascii="Times New Roman" w:eastAsia="Times New Roman" w:hAnsi="Times New Roman" w:cs="Times New Roman"/>
          <w:color w:val="000000"/>
          <w:sz w:val="24"/>
          <w:szCs w:val="24"/>
          <w:lang/>
        </w:rPr>
        <w:t>109.2. Вчинення платниками податків, їх посадовими особами та посадовими особами контролюючих органів порушень законів з питань оподаткування та порушень вимог, встановлених іншим законодавством, контроль за дотриманням якого покладено на контролюючі органи, тягне за собою відповідальність, передбачену цим Кодексом та іншими законами України.</w:t>
      </w:r>
    </w:p>
    <w:p w14:paraId="6BF1E7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2" w:name="n2353"/>
      <w:bookmarkEnd w:id="3582"/>
      <w:r w:rsidRPr="008B264B">
        <w:rPr>
          <w:rFonts w:ascii="Times New Roman" w:eastAsia="Times New Roman" w:hAnsi="Times New Roman" w:cs="Times New Roman"/>
          <w:b/>
          <w:bCs/>
          <w:color w:val="000000"/>
          <w:sz w:val="24"/>
          <w:szCs w:val="24"/>
          <w:lang/>
        </w:rPr>
        <w:t>Стаття 110.</w:t>
      </w:r>
      <w:r w:rsidRPr="008B264B">
        <w:rPr>
          <w:rFonts w:ascii="Times New Roman" w:eastAsia="Times New Roman" w:hAnsi="Times New Roman" w:cs="Times New Roman"/>
          <w:color w:val="000000"/>
          <w:sz w:val="24"/>
          <w:szCs w:val="24"/>
          <w:lang/>
        </w:rPr>
        <w:t> Особи, які притягаються до відповідальності за вчинення правопорушень</w:t>
      </w:r>
    </w:p>
    <w:p w14:paraId="3A5668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3" w:name="n2354"/>
      <w:bookmarkEnd w:id="3583"/>
      <w:r w:rsidRPr="008B264B">
        <w:rPr>
          <w:rFonts w:ascii="Times New Roman" w:eastAsia="Times New Roman" w:hAnsi="Times New Roman" w:cs="Times New Roman"/>
          <w:color w:val="000000"/>
          <w:sz w:val="24"/>
          <w:szCs w:val="24"/>
          <w:lang/>
        </w:rPr>
        <w:t>110.1. Платники податків, податкові агенти та/або їх посадові особи несуть відповідальність у разі вчинення порушень, визначених законами з питань оподаткування та іншим законодавством, контроль за дотриманням якого покладено на контролюючі органи.</w:t>
      </w:r>
    </w:p>
    <w:p w14:paraId="1FE4BC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4" w:name="n2355"/>
      <w:bookmarkEnd w:id="3584"/>
      <w:r w:rsidRPr="008B264B">
        <w:rPr>
          <w:rFonts w:ascii="Times New Roman" w:eastAsia="Times New Roman" w:hAnsi="Times New Roman" w:cs="Times New Roman"/>
          <w:b/>
          <w:bCs/>
          <w:color w:val="000000"/>
          <w:sz w:val="24"/>
          <w:szCs w:val="24"/>
          <w:lang/>
        </w:rPr>
        <w:t>Стаття 111.</w:t>
      </w:r>
      <w:r w:rsidRPr="008B264B">
        <w:rPr>
          <w:rFonts w:ascii="Times New Roman" w:eastAsia="Times New Roman" w:hAnsi="Times New Roman" w:cs="Times New Roman"/>
          <w:color w:val="000000"/>
          <w:sz w:val="24"/>
          <w:szCs w:val="24"/>
          <w:lang/>
        </w:rPr>
        <w:t> Види відповідальності за порушення законів з питань оподаткування та іншого законодавства, контроль за дотриманням якого покладено на контролюючі органи</w:t>
      </w:r>
    </w:p>
    <w:p w14:paraId="2519F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5" w:name="n2356"/>
      <w:bookmarkEnd w:id="3585"/>
      <w:r w:rsidRPr="008B264B">
        <w:rPr>
          <w:rFonts w:ascii="Times New Roman" w:eastAsia="Times New Roman" w:hAnsi="Times New Roman" w:cs="Times New Roman"/>
          <w:color w:val="000000"/>
          <w:sz w:val="24"/>
          <w:szCs w:val="24"/>
          <w:lang/>
        </w:rPr>
        <w:lastRenderedPageBreak/>
        <w:t>111.1. За порушення законів з питань оподаткування та іншого законодавства, контроль за дотриманням якого покладено на контролюючі органи, застосовуються такі види юридичної відповідальності:</w:t>
      </w:r>
    </w:p>
    <w:p w14:paraId="6F5784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6" w:name="n2357"/>
      <w:bookmarkEnd w:id="3586"/>
      <w:r w:rsidRPr="008B264B">
        <w:rPr>
          <w:rFonts w:ascii="Times New Roman" w:eastAsia="Times New Roman" w:hAnsi="Times New Roman" w:cs="Times New Roman"/>
          <w:color w:val="000000"/>
          <w:sz w:val="24"/>
          <w:szCs w:val="24"/>
          <w:lang/>
        </w:rPr>
        <w:t>111.1.1. фінансова;</w:t>
      </w:r>
    </w:p>
    <w:p w14:paraId="0B8DB7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7" w:name="n2358"/>
      <w:bookmarkEnd w:id="3587"/>
      <w:r w:rsidRPr="008B264B">
        <w:rPr>
          <w:rFonts w:ascii="Times New Roman" w:eastAsia="Times New Roman" w:hAnsi="Times New Roman" w:cs="Times New Roman"/>
          <w:color w:val="000000"/>
          <w:sz w:val="24"/>
          <w:szCs w:val="24"/>
          <w:lang/>
        </w:rPr>
        <w:t>111.1.2. адміністративна;</w:t>
      </w:r>
    </w:p>
    <w:p w14:paraId="56C8C1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8" w:name="n2359"/>
      <w:bookmarkEnd w:id="3588"/>
      <w:r w:rsidRPr="008B264B">
        <w:rPr>
          <w:rFonts w:ascii="Times New Roman" w:eastAsia="Times New Roman" w:hAnsi="Times New Roman" w:cs="Times New Roman"/>
          <w:color w:val="000000"/>
          <w:sz w:val="24"/>
          <w:szCs w:val="24"/>
          <w:lang/>
        </w:rPr>
        <w:t>111.1.3. кримінальна.</w:t>
      </w:r>
    </w:p>
    <w:p w14:paraId="6EB5D9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89" w:name="n2360"/>
      <w:bookmarkEnd w:id="3589"/>
      <w:r w:rsidRPr="008B264B">
        <w:rPr>
          <w:rFonts w:ascii="Times New Roman" w:eastAsia="Times New Roman" w:hAnsi="Times New Roman" w:cs="Times New Roman"/>
          <w:color w:val="000000"/>
          <w:sz w:val="24"/>
          <w:szCs w:val="24"/>
          <w:lang/>
        </w:rPr>
        <w:t>111.2. Фінансова відповідальність за порушення законів з питань оподаткування та іншого законодавства встановлюється та застосовується згідно з цим Кодексом та іншими законами. Фінансова відповідальність застосовується у вигляді штрафних (фінансових) санкцій (штрафів) та/або пені.</w:t>
      </w:r>
    </w:p>
    <w:p w14:paraId="515FFB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0" w:name="n2361"/>
      <w:bookmarkEnd w:id="3590"/>
      <w:r w:rsidRPr="008B264B">
        <w:rPr>
          <w:rFonts w:ascii="Times New Roman" w:eastAsia="Times New Roman" w:hAnsi="Times New Roman" w:cs="Times New Roman"/>
          <w:b/>
          <w:bCs/>
          <w:color w:val="000000"/>
          <w:sz w:val="24"/>
          <w:szCs w:val="24"/>
          <w:lang/>
        </w:rPr>
        <w:t>Стаття 112.</w:t>
      </w:r>
      <w:r w:rsidRPr="008B264B">
        <w:rPr>
          <w:rFonts w:ascii="Times New Roman" w:eastAsia="Times New Roman" w:hAnsi="Times New Roman" w:cs="Times New Roman"/>
          <w:color w:val="000000"/>
          <w:sz w:val="24"/>
          <w:szCs w:val="24"/>
          <w:lang/>
        </w:rPr>
        <w:t> Загальні умови притягнення до фінансової відповідальності</w:t>
      </w:r>
    </w:p>
    <w:p w14:paraId="6A490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1" w:name="n2362"/>
      <w:bookmarkEnd w:id="3591"/>
      <w:r w:rsidRPr="008B264B">
        <w:rPr>
          <w:rFonts w:ascii="Times New Roman" w:eastAsia="Times New Roman" w:hAnsi="Times New Roman" w:cs="Times New Roman"/>
          <w:color w:val="000000"/>
          <w:sz w:val="24"/>
          <w:szCs w:val="24"/>
          <w:lang/>
        </w:rPr>
        <w:t>112.1. Притягнення до фінансової відповідальності платників податків за порушення законів з питань оподаткування, іншого законодавства, контроль за дотриманням якого покладено на контролюючі органи, не звільняє їх посадових осіб за наявності відповідних підстав від притягнення до адміністративної або кримінальної відповідальності.</w:t>
      </w:r>
    </w:p>
    <w:p w14:paraId="0F38DA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2" w:name="n2363"/>
      <w:bookmarkEnd w:id="3592"/>
      <w:r w:rsidRPr="008B264B">
        <w:rPr>
          <w:rFonts w:ascii="Times New Roman" w:eastAsia="Times New Roman" w:hAnsi="Times New Roman" w:cs="Times New Roman"/>
          <w:b/>
          <w:bCs/>
          <w:color w:val="000000"/>
          <w:sz w:val="24"/>
          <w:szCs w:val="24"/>
          <w:lang/>
        </w:rPr>
        <w:t>Стаття 113.</w:t>
      </w:r>
      <w:r w:rsidRPr="008B264B">
        <w:rPr>
          <w:rFonts w:ascii="Times New Roman" w:eastAsia="Times New Roman" w:hAnsi="Times New Roman" w:cs="Times New Roman"/>
          <w:color w:val="000000"/>
          <w:sz w:val="24"/>
          <w:szCs w:val="24"/>
          <w:lang/>
        </w:rPr>
        <w:t> Штрафні (фінансові) санкції (штрафи)</w:t>
      </w:r>
    </w:p>
    <w:p w14:paraId="1312A5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3" w:name="n2364"/>
      <w:bookmarkEnd w:id="3593"/>
      <w:r w:rsidRPr="008B264B">
        <w:rPr>
          <w:rFonts w:ascii="Times New Roman" w:eastAsia="Times New Roman" w:hAnsi="Times New Roman" w:cs="Times New Roman"/>
          <w:color w:val="000000"/>
          <w:sz w:val="24"/>
          <w:szCs w:val="24"/>
          <w:lang/>
        </w:rPr>
        <w:t>113.1. Строки застосування, сплата, стягнення та оскарження сум штрафних (фінансових) санкцій (штрафів) здійснюються у порядку, визначеному цим Кодексом для сплати, стягнення та оскарження сум грошових зобов'язань. Суми штрафних (фінансових) санкцій (штрафів) зараховуються до бюджетів, до яких згідно із законом зараховуються відповідні податки та збори.</w:t>
      </w:r>
    </w:p>
    <w:p w14:paraId="4D6F8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4" w:name="n2365"/>
      <w:bookmarkEnd w:id="3594"/>
      <w:r w:rsidRPr="008B264B">
        <w:rPr>
          <w:rFonts w:ascii="Times New Roman" w:eastAsia="Times New Roman" w:hAnsi="Times New Roman" w:cs="Times New Roman"/>
          <w:color w:val="000000"/>
          <w:sz w:val="24"/>
          <w:szCs w:val="24"/>
          <w:lang/>
        </w:rPr>
        <w:t>113.2. Застосування штрафних (фінансових) санкцій (штрафів), передбачених цією главою, не звільняє платників податків від обов'язку сплатити до бюджету належні суми податків та зборів, контроль за справлянням яких покладено на контролюючі органи, а також від застосування до них інших заходів, передбачених цим Кодексом.</w:t>
      </w:r>
    </w:p>
    <w:p w14:paraId="4B40F7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5" w:name="n2366"/>
      <w:bookmarkEnd w:id="3595"/>
      <w:r w:rsidRPr="008B264B">
        <w:rPr>
          <w:rFonts w:ascii="Times New Roman" w:eastAsia="Times New Roman" w:hAnsi="Times New Roman" w:cs="Times New Roman"/>
          <w:color w:val="000000"/>
          <w:sz w:val="24"/>
          <w:szCs w:val="24"/>
          <w:lang/>
        </w:rPr>
        <w:t>113.3. Штрафні (фінансові) санкції (штрафи) за порушення норм законів з питань оподаткування або іншого законодавства, контроль за дотриманням якого покладено на контролюючі органи, застосовуються у порядку та у розмірах, встановлених цим Кодексом та іншими законами України.</w:t>
      </w:r>
    </w:p>
    <w:p w14:paraId="1672F8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6" w:name="n2367"/>
      <w:bookmarkEnd w:id="3596"/>
      <w:r w:rsidRPr="008B264B">
        <w:rPr>
          <w:rFonts w:ascii="Times New Roman" w:eastAsia="Times New Roman" w:hAnsi="Times New Roman" w:cs="Times New Roman"/>
          <w:color w:val="000000"/>
          <w:sz w:val="24"/>
          <w:szCs w:val="24"/>
          <w:lang/>
        </w:rPr>
        <w:t>Застосування за порушення норм законів з питань оподаткування або іншого законодавства, контроль за дотриманням якого покладено на контролюючі органи, штрафних (фінансових) санкцій (штрафів), не передбачених цим Кодексом та іншими законами України, не дозволяється.</w:t>
      </w:r>
    </w:p>
    <w:p w14:paraId="53C6D1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7" w:name="n2368"/>
      <w:bookmarkEnd w:id="3597"/>
      <w:r w:rsidRPr="008B264B">
        <w:rPr>
          <w:rFonts w:ascii="Times New Roman" w:eastAsia="Times New Roman" w:hAnsi="Times New Roman" w:cs="Times New Roman"/>
          <w:b/>
          <w:bCs/>
          <w:color w:val="000000"/>
          <w:sz w:val="24"/>
          <w:szCs w:val="24"/>
          <w:lang/>
        </w:rPr>
        <w:t>Стаття 114.</w:t>
      </w:r>
      <w:r w:rsidRPr="008B264B">
        <w:rPr>
          <w:rFonts w:ascii="Times New Roman" w:eastAsia="Times New Roman" w:hAnsi="Times New Roman" w:cs="Times New Roman"/>
          <w:color w:val="000000"/>
          <w:sz w:val="24"/>
          <w:szCs w:val="24"/>
          <w:lang/>
        </w:rPr>
        <w:t> Строки давності для застосування штрафних (фінансових) санкцій (штрафів)</w:t>
      </w:r>
    </w:p>
    <w:p w14:paraId="0D6DB7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8" w:name="n2369"/>
      <w:bookmarkEnd w:id="3598"/>
      <w:r w:rsidRPr="008B264B">
        <w:rPr>
          <w:rFonts w:ascii="Times New Roman" w:eastAsia="Times New Roman" w:hAnsi="Times New Roman" w:cs="Times New Roman"/>
          <w:color w:val="000000"/>
          <w:sz w:val="24"/>
          <w:szCs w:val="24"/>
          <w:lang/>
        </w:rPr>
        <w:t>114.1. Граничні строки застосування штрафних (фінансових) санкцій (штрафів) до платників податків відповідають строкам давності для нарахування податкових зобов'язань, визначеним </w:t>
      </w:r>
      <w:hyperlink r:id="rId1947"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w:t>
      </w:r>
    </w:p>
    <w:p w14:paraId="45253D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599" w:name="n2370"/>
      <w:bookmarkEnd w:id="3599"/>
      <w:r w:rsidRPr="008B264B">
        <w:rPr>
          <w:rFonts w:ascii="Times New Roman" w:eastAsia="Times New Roman" w:hAnsi="Times New Roman" w:cs="Times New Roman"/>
          <w:b/>
          <w:bCs/>
          <w:color w:val="000000"/>
          <w:sz w:val="24"/>
          <w:szCs w:val="24"/>
          <w:lang/>
        </w:rPr>
        <w:t>Стаття 115.</w:t>
      </w:r>
      <w:r w:rsidRPr="008B264B">
        <w:rPr>
          <w:rFonts w:ascii="Times New Roman" w:eastAsia="Times New Roman" w:hAnsi="Times New Roman" w:cs="Times New Roman"/>
          <w:color w:val="000000"/>
          <w:sz w:val="24"/>
          <w:szCs w:val="24"/>
          <w:lang/>
        </w:rPr>
        <w:t> Застосування штрафних (фінансових) санкцій (штрафів) у разі вчинення кількох порушень</w:t>
      </w:r>
    </w:p>
    <w:p w14:paraId="40A42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0" w:name="n2371"/>
      <w:bookmarkEnd w:id="3600"/>
      <w:r w:rsidRPr="008B264B">
        <w:rPr>
          <w:rFonts w:ascii="Times New Roman" w:eastAsia="Times New Roman" w:hAnsi="Times New Roman" w:cs="Times New Roman"/>
          <w:color w:val="000000"/>
          <w:sz w:val="24"/>
          <w:szCs w:val="24"/>
          <w:lang/>
        </w:rPr>
        <w:t>115.1. У разі вчинення платником податків двох або більше порушень законів з питань оподаткування та іншого законодавства, контроль за дотриманням якого покладено на контролюючі органи, штрафні (фінансові) санкції (штрафи) застосовуються за кожне вчинене разове та триваюче порушення окремо.</w:t>
      </w:r>
    </w:p>
    <w:p w14:paraId="7528E9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1" w:name="n2372"/>
      <w:bookmarkEnd w:id="3601"/>
      <w:r w:rsidRPr="008B264B">
        <w:rPr>
          <w:rFonts w:ascii="Times New Roman" w:eastAsia="Times New Roman" w:hAnsi="Times New Roman" w:cs="Times New Roman"/>
          <w:b/>
          <w:bCs/>
          <w:color w:val="000000"/>
          <w:sz w:val="24"/>
          <w:szCs w:val="24"/>
          <w:lang/>
        </w:rPr>
        <w:t>Стаття 116.</w:t>
      </w:r>
      <w:r w:rsidRPr="008B264B">
        <w:rPr>
          <w:rFonts w:ascii="Times New Roman" w:eastAsia="Times New Roman" w:hAnsi="Times New Roman" w:cs="Times New Roman"/>
          <w:color w:val="000000"/>
          <w:sz w:val="24"/>
          <w:szCs w:val="24"/>
          <w:lang/>
        </w:rPr>
        <w:t> Рішення про застосування штрафних (фінансових) санкцій (штрафів)</w:t>
      </w:r>
    </w:p>
    <w:p w14:paraId="3D9BE6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2" w:name="n2373"/>
      <w:bookmarkEnd w:id="3602"/>
      <w:r w:rsidRPr="008B264B">
        <w:rPr>
          <w:rFonts w:ascii="Times New Roman" w:eastAsia="Times New Roman" w:hAnsi="Times New Roman" w:cs="Times New Roman"/>
          <w:color w:val="000000"/>
          <w:sz w:val="24"/>
          <w:szCs w:val="24"/>
          <w:lang/>
        </w:rPr>
        <w:t xml:space="preserve">116.1. У разі застосування контролюючими органами до платника податків штрафних (фінансових) санкцій (штрафів) за порушення законів з питань оподаткування та іншого </w:t>
      </w:r>
      <w:r w:rsidRPr="008B264B">
        <w:rPr>
          <w:rFonts w:ascii="Times New Roman" w:eastAsia="Times New Roman" w:hAnsi="Times New Roman" w:cs="Times New Roman"/>
          <w:color w:val="000000"/>
          <w:sz w:val="24"/>
          <w:szCs w:val="24"/>
          <w:lang/>
        </w:rPr>
        <w:lastRenderedPageBreak/>
        <w:t>законодавства, контроль за дотриманням якого покладено на контролюючі органи, такому платнику податків надсилаються (вручаються) податкові повідомлення - рішення.</w:t>
      </w:r>
    </w:p>
    <w:p w14:paraId="20D76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3" w:name="n2374"/>
      <w:bookmarkEnd w:id="3603"/>
      <w:r w:rsidRPr="008B264B">
        <w:rPr>
          <w:rFonts w:ascii="Times New Roman" w:eastAsia="Times New Roman" w:hAnsi="Times New Roman" w:cs="Times New Roman"/>
          <w:color w:val="000000"/>
          <w:sz w:val="24"/>
          <w:szCs w:val="24"/>
          <w:lang/>
        </w:rPr>
        <w:t>116.2. За одне податкове правопорушення контролюючий орган може застосувати тільки один вид штрафної (фінансової) санкції (штрафу), передбаченої цим Кодексом та іншими законами України.</w:t>
      </w:r>
    </w:p>
    <w:p w14:paraId="03010A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4" w:name="n2375"/>
      <w:bookmarkEnd w:id="3604"/>
      <w:r w:rsidRPr="008B264B">
        <w:rPr>
          <w:rFonts w:ascii="Times New Roman" w:eastAsia="Times New Roman" w:hAnsi="Times New Roman" w:cs="Times New Roman"/>
          <w:b/>
          <w:bCs/>
          <w:color w:val="000000"/>
          <w:sz w:val="24"/>
          <w:szCs w:val="24"/>
          <w:lang/>
        </w:rPr>
        <w:t>Стаття 117.</w:t>
      </w:r>
      <w:r w:rsidRPr="008B264B">
        <w:rPr>
          <w:rFonts w:ascii="Times New Roman" w:eastAsia="Times New Roman" w:hAnsi="Times New Roman" w:cs="Times New Roman"/>
          <w:color w:val="000000"/>
          <w:sz w:val="24"/>
          <w:szCs w:val="24"/>
          <w:lang/>
        </w:rPr>
        <w:t> Порушення встановленого порядку взяття на облік (реєстрації) у контролюючих органах</w:t>
      </w:r>
    </w:p>
    <w:p w14:paraId="59EB4E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5" w:name="n2376"/>
      <w:bookmarkEnd w:id="3605"/>
      <w:r w:rsidRPr="008B264B">
        <w:rPr>
          <w:rFonts w:ascii="Times New Roman" w:eastAsia="Times New Roman" w:hAnsi="Times New Roman" w:cs="Times New Roman"/>
          <w:color w:val="000000"/>
          <w:sz w:val="24"/>
          <w:szCs w:val="24"/>
          <w:lang/>
        </w:rPr>
        <w:t>117.1. Неподання у строки та у випадках, передбачених цим Кодексом, заяв або документів для взяття на облік у відповідному контролюючому органі, реєстрації змін місцезнаходження чи внесення інших змін до своїх облікових даних, неподання виправлених документів для взяття на облік чи внесення змін, подання з помилками чи у неповному обсязі, неподання відомостей стосовно осіб, відповідальних за ведення бухгалтерського обліку та/або складення податкової звітності, відповідно до вимог встановлених цим Кодексом, -</w:t>
      </w:r>
    </w:p>
    <w:p w14:paraId="3334D3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6" w:name="n2377"/>
      <w:bookmarkEnd w:id="3606"/>
      <w:r w:rsidRPr="008B264B">
        <w:rPr>
          <w:rFonts w:ascii="Times New Roman" w:eastAsia="Times New Roman" w:hAnsi="Times New Roman" w:cs="Times New Roman"/>
          <w:color w:val="000000"/>
          <w:sz w:val="24"/>
          <w:szCs w:val="24"/>
          <w:lang/>
        </w:rPr>
        <w:t>тягнуть за собою накладення штрафу на самозайнятих осіб у розмірі 170 гривень, на юридичних осіб, відокремлені підрозділи юридичної особи чи юридичну особу, відповідальну за нарахування та сплату податків до бюджету під час виконання договору про спільну діяльність, - 510 гривень.</w:t>
      </w:r>
    </w:p>
    <w:p w14:paraId="0C928D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7" w:name="n2378"/>
      <w:bookmarkEnd w:id="3607"/>
      <w:r w:rsidRPr="008B264B">
        <w:rPr>
          <w:rFonts w:ascii="Times New Roman" w:eastAsia="Times New Roman" w:hAnsi="Times New Roman" w:cs="Times New Roman"/>
          <w:color w:val="000000"/>
          <w:sz w:val="24"/>
          <w:szCs w:val="24"/>
          <w:lang/>
        </w:rPr>
        <w:t>У разі неусунення таких порушень або за ті самі дії, вчинені протягом року особою, до якої були застосовані штрафи за таке порушення, -</w:t>
      </w:r>
    </w:p>
    <w:p w14:paraId="6D4BE6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8" w:name="n2379"/>
      <w:bookmarkEnd w:id="3608"/>
      <w:r w:rsidRPr="008B264B">
        <w:rPr>
          <w:rFonts w:ascii="Times New Roman" w:eastAsia="Times New Roman" w:hAnsi="Times New Roman" w:cs="Times New Roman"/>
          <w:color w:val="000000"/>
          <w:sz w:val="24"/>
          <w:szCs w:val="24"/>
          <w:lang/>
        </w:rPr>
        <w:t>тягнуть за собою накладення штрафу на самозайнятих осіб у розмірі 340 гривень, на юридичних осіб, відокремлені підрозділи юридичної особи чи юридичну особу, відповідальну за нарахування та сплату податків до бюджету під час виконання договору про спільну діяльність, - 1020 гривень.</w:t>
      </w:r>
    </w:p>
    <w:p w14:paraId="13D01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09" w:name="n2380"/>
      <w:bookmarkEnd w:id="3609"/>
      <w:r w:rsidRPr="008B264B">
        <w:rPr>
          <w:rFonts w:ascii="Times New Roman" w:eastAsia="Times New Roman" w:hAnsi="Times New Roman" w:cs="Times New Roman"/>
          <w:i/>
          <w:iCs/>
          <w:color w:val="000000"/>
          <w:sz w:val="24"/>
          <w:szCs w:val="24"/>
          <w:lang/>
        </w:rPr>
        <w:t>{Пункт 117.2 статті 117 виключено на підставі Закону </w:t>
      </w:r>
      <w:hyperlink r:id="rId19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1BBE8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0" w:name="n12683"/>
      <w:bookmarkEnd w:id="3610"/>
      <w:r w:rsidRPr="008B264B">
        <w:rPr>
          <w:rFonts w:ascii="Times New Roman" w:eastAsia="Times New Roman" w:hAnsi="Times New Roman" w:cs="Times New Roman"/>
          <w:color w:val="000000"/>
          <w:sz w:val="24"/>
          <w:szCs w:val="24"/>
          <w:lang/>
        </w:rPr>
        <w:t>117.3. Здійснення суб’єктами господарювання операцій з реалізації пального або спирту етилового без реєстрації таких суб’єктів платниками акцизного податку у порядку, передбаченому цим Кодексом, -</w:t>
      </w:r>
    </w:p>
    <w:p w14:paraId="10D058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1" w:name="n15504"/>
      <w:bookmarkEnd w:id="3611"/>
      <w:r w:rsidRPr="008B264B">
        <w:rPr>
          <w:rFonts w:ascii="Times New Roman" w:eastAsia="Times New Roman" w:hAnsi="Times New Roman" w:cs="Times New Roman"/>
          <w:i/>
          <w:iCs/>
          <w:color w:val="000000"/>
          <w:sz w:val="24"/>
          <w:szCs w:val="24"/>
          <w:lang/>
        </w:rPr>
        <w:t>{Абзац перший пункту 117.3 статті 117 із змінами, внесеними згідно із Законом </w:t>
      </w:r>
      <w:hyperlink r:id="rId1949" w:anchor="n14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3EB2A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2" w:name="n12684"/>
      <w:bookmarkEnd w:id="3612"/>
      <w:r w:rsidRPr="008B264B">
        <w:rPr>
          <w:rFonts w:ascii="Times New Roman" w:eastAsia="Times New Roman" w:hAnsi="Times New Roman" w:cs="Times New Roman"/>
          <w:color w:val="000000"/>
          <w:sz w:val="24"/>
          <w:szCs w:val="24"/>
          <w:lang/>
        </w:rPr>
        <w:t>тягне за собою накладення штрафу на юридичних осіб та фізичних осіб - підприємців у розмірі 100 відсотків вартості реалізованого пального або спирту етилового.</w:t>
      </w:r>
    </w:p>
    <w:p w14:paraId="0FC0D6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3" w:name="n15505"/>
      <w:bookmarkEnd w:id="3613"/>
      <w:r w:rsidRPr="008B264B">
        <w:rPr>
          <w:rFonts w:ascii="Times New Roman" w:eastAsia="Times New Roman" w:hAnsi="Times New Roman" w:cs="Times New Roman"/>
          <w:i/>
          <w:iCs/>
          <w:color w:val="000000"/>
          <w:sz w:val="24"/>
          <w:szCs w:val="24"/>
          <w:lang/>
        </w:rPr>
        <w:t>{Абзац другий пункту 117.3 статті 117 із змінами, внесеними згідно із Законом </w:t>
      </w:r>
      <w:hyperlink r:id="rId1950" w:anchor="n14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3F2ED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4" w:name="n12682"/>
      <w:bookmarkEnd w:id="3614"/>
      <w:r w:rsidRPr="008B264B">
        <w:rPr>
          <w:rFonts w:ascii="Times New Roman" w:eastAsia="Times New Roman" w:hAnsi="Times New Roman" w:cs="Times New Roman"/>
          <w:i/>
          <w:iCs/>
          <w:color w:val="000000"/>
          <w:sz w:val="24"/>
          <w:szCs w:val="24"/>
          <w:lang/>
        </w:rPr>
        <w:t>{Статтю 117 доповнено пунктом 117.3 згідно із Законом </w:t>
      </w:r>
      <w:hyperlink r:id="rId1951" w:anchor="n7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99BCB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5" w:name="n2381"/>
      <w:bookmarkEnd w:id="3615"/>
      <w:r w:rsidRPr="008B264B">
        <w:rPr>
          <w:rFonts w:ascii="Times New Roman" w:eastAsia="Times New Roman" w:hAnsi="Times New Roman" w:cs="Times New Roman"/>
          <w:b/>
          <w:bCs/>
          <w:color w:val="000000"/>
          <w:sz w:val="24"/>
          <w:szCs w:val="24"/>
          <w:lang/>
        </w:rPr>
        <w:t>Стаття 118.</w:t>
      </w:r>
      <w:r w:rsidRPr="008B264B">
        <w:rPr>
          <w:rFonts w:ascii="Times New Roman" w:eastAsia="Times New Roman" w:hAnsi="Times New Roman" w:cs="Times New Roman"/>
          <w:color w:val="000000"/>
          <w:sz w:val="24"/>
          <w:szCs w:val="24"/>
          <w:lang/>
        </w:rPr>
        <w:t> Порушення строку та порядку подання інформації про відкриття або закриття банківських рахунків, звіту про підзвітні рахунки</w:t>
      </w:r>
    </w:p>
    <w:p w14:paraId="78CFE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6" w:name="n15887"/>
      <w:bookmarkEnd w:id="3616"/>
      <w:r w:rsidRPr="008B264B">
        <w:rPr>
          <w:rFonts w:ascii="Times New Roman" w:eastAsia="Times New Roman" w:hAnsi="Times New Roman" w:cs="Times New Roman"/>
          <w:i/>
          <w:iCs/>
          <w:color w:val="000000"/>
          <w:sz w:val="24"/>
          <w:szCs w:val="24"/>
          <w:lang/>
        </w:rPr>
        <w:t>{Назва статті 118 в редакції Закону </w:t>
      </w:r>
      <w:hyperlink r:id="rId1952" w:anchor="n61"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5A4872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7" w:name="n2382"/>
      <w:bookmarkEnd w:id="3617"/>
      <w:r w:rsidRPr="008B264B">
        <w:rPr>
          <w:rFonts w:ascii="Times New Roman" w:eastAsia="Times New Roman" w:hAnsi="Times New Roman" w:cs="Times New Roman"/>
          <w:color w:val="000000"/>
          <w:sz w:val="24"/>
          <w:szCs w:val="24"/>
          <w:lang/>
        </w:rPr>
        <w:t>118.1. Неподання банками або іншими фінансовими установами відповідним контролюючим органам в установлений </w:t>
      </w:r>
      <w:hyperlink r:id="rId1953" w:anchor="n1590" w:history="1">
        <w:r w:rsidRPr="008B264B">
          <w:rPr>
            <w:rFonts w:ascii="Times New Roman" w:eastAsia="Times New Roman" w:hAnsi="Times New Roman" w:cs="Times New Roman"/>
            <w:color w:val="0000FF"/>
            <w:sz w:val="24"/>
            <w:szCs w:val="24"/>
            <w:u w:val="single"/>
            <w:lang/>
          </w:rPr>
          <w:t>статтею 69</w:t>
        </w:r>
      </w:hyperlink>
      <w:r w:rsidRPr="008B264B">
        <w:rPr>
          <w:rFonts w:ascii="Times New Roman" w:eastAsia="Times New Roman" w:hAnsi="Times New Roman" w:cs="Times New Roman"/>
          <w:color w:val="000000"/>
          <w:sz w:val="24"/>
          <w:szCs w:val="24"/>
          <w:lang/>
        </w:rPr>
        <w:t> цього Кодексу строк повідомлення про відкриття або закриття рахунків платників податків -</w:t>
      </w:r>
    </w:p>
    <w:p w14:paraId="286717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8" w:name="n2383"/>
      <w:bookmarkEnd w:id="3618"/>
      <w:r w:rsidRPr="008B264B">
        <w:rPr>
          <w:rFonts w:ascii="Times New Roman" w:eastAsia="Times New Roman" w:hAnsi="Times New Roman" w:cs="Times New Roman"/>
          <w:color w:val="000000"/>
          <w:sz w:val="24"/>
          <w:szCs w:val="24"/>
          <w:lang/>
        </w:rPr>
        <w:t>тягне за собою накладення штрафу у розмірі 340 гривень за кожний випадок неподання або затримки.</w:t>
      </w:r>
    </w:p>
    <w:p w14:paraId="160F9E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19" w:name="n2384"/>
      <w:bookmarkEnd w:id="3619"/>
      <w:r w:rsidRPr="008B264B">
        <w:rPr>
          <w:rFonts w:ascii="Times New Roman" w:eastAsia="Times New Roman" w:hAnsi="Times New Roman" w:cs="Times New Roman"/>
          <w:color w:val="000000"/>
          <w:sz w:val="24"/>
          <w:szCs w:val="24"/>
          <w:lang/>
        </w:rPr>
        <w:t>118.2. Здійснення видаткових операцій за рахунком платника податків до отримання повідомлення відповідного контролюючого органу про взяття рахунку на облік у контролюючих органах -</w:t>
      </w:r>
    </w:p>
    <w:p w14:paraId="7047F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0" w:name="n2385"/>
      <w:bookmarkEnd w:id="3620"/>
      <w:r w:rsidRPr="008B264B">
        <w:rPr>
          <w:rFonts w:ascii="Times New Roman" w:eastAsia="Times New Roman" w:hAnsi="Times New Roman" w:cs="Times New Roman"/>
          <w:color w:val="000000"/>
          <w:sz w:val="24"/>
          <w:szCs w:val="24"/>
          <w:lang/>
        </w:rPr>
        <w:lastRenderedPageBreak/>
        <w:t>тягне за собою накладення штрафу на банк або іншу фінансову установу в розмірі 10 відсотків суми усіх операцій за весь період до отримання такого повідомлення, здійснених з використанням таких рахунків (крім операцій з перерахування коштів до бюджетів або державних цільових фондів), але не менш як 850 гривень.</w:t>
      </w:r>
    </w:p>
    <w:p w14:paraId="145F8A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1" w:name="n2386"/>
      <w:bookmarkEnd w:id="3621"/>
      <w:r w:rsidRPr="008B264B">
        <w:rPr>
          <w:rFonts w:ascii="Times New Roman" w:eastAsia="Times New Roman" w:hAnsi="Times New Roman" w:cs="Times New Roman"/>
          <w:color w:val="000000"/>
          <w:sz w:val="24"/>
          <w:szCs w:val="24"/>
          <w:lang/>
        </w:rPr>
        <w:t>118.3. Неповідомлення фізичними особами-підприємцями та особами, що проводять незалежну професійну діяльність, про свій статус банку або іншій фінансовій установі при відкритті рахунку -</w:t>
      </w:r>
    </w:p>
    <w:p w14:paraId="30506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2" w:name="n2387"/>
      <w:bookmarkEnd w:id="3622"/>
      <w:r w:rsidRPr="008B264B">
        <w:rPr>
          <w:rFonts w:ascii="Times New Roman" w:eastAsia="Times New Roman" w:hAnsi="Times New Roman" w:cs="Times New Roman"/>
          <w:color w:val="000000"/>
          <w:sz w:val="24"/>
          <w:szCs w:val="24"/>
          <w:lang/>
        </w:rPr>
        <w:t>тягне за собою накладення штрафу в розмірі 340 гривень за кожний випадок неповідомлення.</w:t>
      </w:r>
    </w:p>
    <w:p w14:paraId="181EE7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3" w:name="n15888"/>
      <w:bookmarkEnd w:id="3623"/>
      <w:r w:rsidRPr="008B264B">
        <w:rPr>
          <w:rFonts w:ascii="Times New Roman" w:eastAsia="Times New Roman" w:hAnsi="Times New Roman" w:cs="Times New Roman"/>
          <w:color w:val="000000"/>
          <w:sz w:val="24"/>
          <w:szCs w:val="24"/>
          <w:lang/>
        </w:rPr>
        <w:t>118.4. Неподання, подання з порушенням встановленого строку, подання не в повному обсязі або з недостовірними відомостями, або з помилками фінансовими агентами звіту про підзвітні рахунки відповідно до вимог пункту 69.8 статті 69 цього Кодексу -</w:t>
      </w:r>
    </w:p>
    <w:p w14:paraId="74B0C5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4" w:name="n15889"/>
      <w:bookmarkEnd w:id="3624"/>
      <w:r w:rsidRPr="008B264B">
        <w:rPr>
          <w:rFonts w:ascii="Times New Roman" w:eastAsia="Times New Roman" w:hAnsi="Times New Roman" w:cs="Times New Roman"/>
          <w:color w:val="000000"/>
          <w:sz w:val="24"/>
          <w:szCs w:val="24"/>
          <w:lang/>
        </w:rPr>
        <w:t>тягнуть за собою накладення штрафу у 100 розмірів мінімальної заробітної плати, встановленої законом на 1 січня звітного (податкового) року.</w:t>
      </w:r>
    </w:p>
    <w:p w14:paraId="3C9B4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5" w:name="n15890"/>
      <w:bookmarkEnd w:id="3625"/>
      <w:r w:rsidRPr="008B264B">
        <w:rPr>
          <w:rFonts w:ascii="Times New Roman" w:eastAsia="Times New Roman" w:hAnsi="Times New Roman" w:cs="Times New Roman"/>
          <w:color w:val="000000"/>
          <w:sz w:val="24"/>
          <w:szCs w:val="24"/>
          <w:lang/>
        </w:rPr>
        <w:t>Сплата такого штрафу не звільняє фінансового агента від обов’язку подання звіту про підзвітні рахунки.</w:t>
      </w:r>
    </w:p>
    <w:p w14:paraId="2B1A8D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6" w:name="n15891"/>
      <w:bookmarkEnd w:id="3626"/>
      <w:r w:rsidRPr="008B264B">
        <w:rPr>
          <w:rFonts w:ascii="Times New Roman" w:eastAsia="Times New Roman" w:hAnsi="Times New Roman" w:cs="Times New Roman"/>
          <w:color w:val="000000"/>
          <w:sz w:val="24"/>
          <w:szCs w:val="24"/>
          <w:lang/>
        </w:rPr>
        <w:t>Передбачений цим пунктом штраф не застосовується у разі, якщо недостовірні відомості або помилки у звіті про підзвітні рахунки виникли з незалежних від фінансового агента причин та/або у зв’язку з поданням власником фінансового рахунка недостовірної інформації, за умови що фінансовий агент:</w:t>
      </w:r>
    </w:p>
    <w:p w14:paraId="34B606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7" w:name="n15892"/>
      <w:bookmarkEnd w:id="3627"/>
      <w:r w:rsidRPr="008B264B">
        <w:rPr>
          <w:rFonts w:ascii="Times New Roman" w:eastAsia="Times New Roman" w:hAnsi="Times New Roman" w:cs="Times New Roman"/>
          <w:color w:val="000000"/>
          <w:sz w:val="24"/>
          <w:szCs w:val="24"/>
          <w:lang/>
        </w:rPr>
        <w:t>вживав обґрунтованих та належних у відповідних умовах (обставинах) заходів для проведення перевірки статусу податкового резидентства власників фінансових рахунків та кінцевих бенефіціарних власників (контролерів) таких власників фінансових рахунків;</w:t>
      </w:r>
    </w:p>
    <w:p w14:paraId="462B4F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8" w:name="n15893"/>
      <w:bookmarkEnd w:id="3628"/>
      <w:r w:rsidRPr="008B264B">
        <w:rPr>
          <w:rFonts w:ascii="Times New Roman" w:eastAsia="Times New Roman" w:hAnsi="Times New Roman" w:cs="Times New Roman"/>
          <w:color w:val="000000"/>
          <w:sz w:val="24"/>
          <w:szCs w:val="24"/>
          <w:lang/>
        </w:rPr>
        <w:t>своєчасно, у строк, встановлений пунктом 69.8 статті 69 цього Кодексу, повідомив центральний орган виконавчої влади, що реалізує державну податкову політику, про подання власником фінансового рахунка недостовірних даних.</w:t>
      </w:r>
    </w:p>
    <w:p w14:paraId="06A6F8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29" w:name="n15886"/>
      <w:bookmarkEnd w:id="3629"/>
      <w:r w:rsidRPr="008B264B">
        <w:rPr>
          <w:rFonts w:ascii="Times New Roman" w:eastAsia="Times New Roman" w:hAnsi="Times New Roman" w:cs="Times New Roman"/>
          <w:i/>
          <w:iCs/>
          <w:color w:val="000000"/>
          <w:sz w:val="24"/>
          <w:szCs w:val="24"/>
          <w:lang/>
        </w:rPr>
        <w:t>{Статтю 118 доповнено пунктом 118.4 згідно із Законом </w:t>
      </w:r>
      <w:hyperlink r:id="rId1954" w:anchor="n63" w:tgtFrame="_blank" w:history="1">
        <w:r w:rsidRPr="008B264B">
          <w:rPr>
            <w:rFonts w:ascii="Times New Roman" w:eastAsia="Times New Roman" w:hAnsi="Times New Roman" w:cs="Times New Roman"/>
            <w:i/>
            <w:iCs/>
            <w:color w:val="0000FF"/>
            <w:sz w:val="24"/>
            <w:szCs w:val="24"/>
            <w:u w:val="single"/>
            <w:lang/>
          </w:rPr>
          <w:t>№ 323-IX від 03.12.2019</w:t>
        </w:r>
      </w:hyperlink>
      <w:r w:rsidRPr="008B264B">
        <w:rPr>
          <w:rFonts w:ascii="Times New Roman" w:eastAsia="Times New Roman" w:hAnsi="Times New Roman" w:cs="Times New Roman"/>
          <w:i/>
          <w:iCs/>
          <w:color w:val="000000"/>
          <w:sz w:val="24"/>
          <w:szCs w:val="24"/>
          <w:lang/>
        </w:rPr>
        <w:t>}</w:t>
      </w:r>
    </w:p>
    <w:p w14:paraId="4E8869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0" w:name="n2388"/>
      <w:bookmarkEnd w:id="3630"/>
      <w:r w:rsidRPr="008B264B">
        <w:rPr>
          <w:rFonts w:ascii="Times New Roman" w:eastAsia="Times New Roman" w:hAnsi="Times New Roman" w:cs="Times New Roman"/>
          <w:b/>
          <w:bCs/>
          <w:color w:val="000000"/>
          <w:sz w:val="24"/>
          <w:szCs w:val="24"/>
          <w:lang/>
        </w:rPr>
        <w:t>Стаття 119.</w:t>
      </w:r>
      <w:r w:rsidRPr="008B264B">
        <w:rPr>
          <w:rFonts w:ascii="Times New Roman" w:eastAsia="Times New Roman" w:hAnsi="Times New Roman" w:cs="Times New Roman"/>
          <w:color w:val="000000"/>
          <w:sz w:val="24"/>
          <w:szCs w:val="24"/>
          <w:lang/>
        </w:rPr>
        <w:t> Порушення платником податків порядку подання інформації про фізичних осіб - платників податків</w:t>
      </w:r>
    </w:p>
    <w:p w14:paraId="62531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1" w:name="n2389"/>
      <w:bookmarkEnd w:id="3631"/>
      <w:r w:rsidRPr="008B264B">
        <w:rPr>
          <w:rFonts w:ascii="Times New Roman" w:eastAsia="Times New Roman" w:hAnsi="Times New Roman" w:cs="Times New Roman"/>
          <w:color w:val="000000"/>
          <w:sz w:val="24"/>
          <w:szCs w:val="24"/>
          <w:lang/>
        </w:rPr>
        <w:t>119.1. Неподання або порушення порядку подання платником податків інформації для формування та ведення Державного реєстру фізичних осіб - платників податків, передбаченого цим Кодексом, -</w:t>
      </w:r>
    </w:p>
    <w:p w14:paraId="291991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2" w:name="n2390"/>
      <w:bookmarkEnd w:id="3632"/>
      <w:r w:rsidRPr="008B264B">
        <w:rPr>
          <w:rFonts w:ascii="Times New Roman" w:eastAsia="Times New Roman" w:hAnsi="Times New Roman" w:cs="Times New Roman"/>
          <w:color w:val="000000"/>
          <w:sz w:val="24"/>
          <w:szCs w:val="24"/>
          <w:lang/>
        </w:rPr>
        <w:t>тягнуть за собою накладення штрафу у розмірі 85 гривень.</w:t>
      </w:r>
    </w:p>
    <w:p w14:paraId="54FC0F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3" w:name="n2391"/>
      <w:bookmarkEnd w:id="3633"/>
      <w:r w:rsidRPr="008B264B">
        <w:rPr>
          <w:rFonts w:ascii="Times New Roman" w:eastAsia="Times New Roman" w:hAnsi="Times New Roman" w:cs="Times New Roman"/>
          <w:color w:val="000000"/>
          <w:sz w:val="24"/>
          <w:szCs w:val="24"/>
          <w:lang/>
        </w:rPr>
        <w:t>Ті самі дії, вчинені платником податків, до якого протягом року було застосовано штраф за таке саме порушення, -</w:t>
      </w:r>
    </w:p>
    <w:p w14:paraId="64FE29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4" w:name="n2392"/>
      <w:bookmarkEnd w:id="3634"/>
      <w:r w:rsidRPr="008B264B">
        <w:rPr>
          <w:rFonts w:ascii="Times New Roman" w:eastAsia="Times New Roman" w:hAnsi="Times New Roman" w:cs="Times New Roman"/>
          <w:color w:val="000000"/>
          <w:sz w:val="24"/>
          <w:szCs w:val="24"/>
          <w:lang/>
        </w:rPr>
        <w:t>тягнуть за собою накладення штрафу у розмірі 170 гривень.</w:t>
      </w:r>
    </w:p>
    <w:p w14:paraId="058D4C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5" w:name="n2393"/>
      <w:bookmarkEnd w:id="3635"/>
      <w:r w:rsidRPr="008B264B">
        <w:rPr>
          <w:rFonts w:ascii="Times New Roman" w:eastAsia="Times New Roman" w:hAnsi="Times New Roman" w:cs="Times New Roman"/>
          <w:color w:val="000000"/>
          <w:sz w:val="24"/>
          <w:szCs w:val="24"/>
          <w:lang/>
        </w:rPr>
        <w:t>119.2. Неподання, подання з порушенням встановлених строків, подання не у повному обсязі, з недостовірними відомостями або з помилками податкової звітності про суми доходів, нарахованих (сплачених) на користь платника податків, суми утриманого з них податку, а також суми отриманої оплати від фізичних осіб за товари (роботи, послуги), якщо такі недостовірні відомості або помилки призвели до зменшення та/або збільшення податкових зобов’язань платника податку та/або до зміни платника податку -</w:t>
      </w:r>
    </w:p>
    <w:p w14:paraId="18B07C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6" w:name="n9518"/>
      <w:bookmarkEnd w:id="3636"/>
      <w:r w:rsidRPr="008B264B">
        <w:rPr>
          <w:rFonts w:ascii="Times New Roman" w:eastAsia="Times New Roman" w:hAnsi="Times New Roman" w:cs="Times New Roman"/>
          <w:i/>
          <w:iCs/>
          <w:color w:val="000000"/>
          <w:sz w:val="24"/>
          <w:szCs w:val="24"/>
          <w:lang/>
        </w:rPr>
        <w:t>{Абзац перший пункту 119.2 статті 119 із змінами, внесеними згідно із Законами </w:t>
      </w:r>
      <w:hyperlink r:id="rId1955" w:anchor="n8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1956" w:anchor="n2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5B32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7" w:name="n2394"/>
      <w:bookmarkEnd w:id="3637"/>
      <w:r w:rsidRPr="008B264B">
        <w:rPr>
          <w:rFonts w:ascii="Times New Roman" w:eastAsia="Times New Roman" w:hAnsi="Times New Roman" w:cs="Times New Roman"/>
          <w:color w:val="000000"/>
          <w:sz w:val="24"/>
          <w:szCs w:val="24"/>
          <w:lang/>
        </w:rPr>
        <w:t>тягнуть за собою накладення штрафу у розмірі 510 гривень.</w:t>
      </w:r>
    </w:p>
    <w:p w14:paraId="055230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8" w:name="n2395"/>
      <w:bookmarkEnd w:id="3638"/>
      <w:r w:rsidRPr="008B264B">
        <w:rPr>
          <w:rFonts w:ascii="Times New Roman" w:eastAsia="Times New Roman" w:hAnsi="Times New Roman" w:cs="Times New Roman"/>
          <w:color w:val="000000"/>
          <w:sz w:val="24"/>
          <w:szCs w:val="24"/>
          <w:lang/>
        </w:rPr>
        <w:lastRenderedPageBreak/>
        <w:t>Ті самі дії, вчинені платником податків, до якого протягом року було застосовано штраф за таке саме порушення, -</w:t>
      </w:r>
    </w:p>
    <w:p w14:paraId="3D1BA5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39" w:name="n2396"/>
      <w:bookmarkEnd w:id="3639"/>
      <w:r w:rsidRPr="008B264B">
        <w:rPr>
          <w:rFonts w:ascii="Times New Roman" w:eastAsia="Times New Roman" w:hAnsi="Times New Roman" w:cs="Times New Roman"/>
          <w:color w:val="000000"/>
          <w:sz w:val="24"/>
          <w:szCs w:val="24"/>
          <w:lang/>
        </w:rPr>
        <w:t>тягнуть за собою накладення штрафу у розмірі 1020 гривень.</w:t>
      </w:r>
    </w:p>
    <w:p w14:paraId="689E45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0" w:name="n9520"/>
      <w:bookmarkEnd w:id="3640"/>
      <w:r w:rsidRPr="008B264B">
        <w:rPr>
          <w:rFonts w:ascii="Times New Roman" w:eastAsia="Times New Roman" w:hAnsi="Times New Roman" w:cs="Times New Roman"/>
          <w:color w:val="000000"/>
          <w:sz w:val="24"/>
          <w:szCs w:val="24"/>
          <w:lang/>
        </w:rPr>
        <w:t>Передбачені цим пунктом штрафи не застосовуються у випадках, коли недостовірні відомості або помилки у податковій звітності про суми доходів, нарахованих (сплачених) на користь платника податків, суми утриманого з них податку, а також суми отриманої оплати від фізичних осіб за товари (роботи, послуги) виникли у зв’язку з виконанням податковим агентом вимог </w:t>
      </w:r>
      <w:hyperlink r:id="rId1957" w:anchor="n3952" w:history="1">
        <w:r w:rsidRPr="008B264B">
          <w:rPr>
            <w:rFonts w:ascii="Times New Roman" w:eastAsia="Times New Roman" w:hAnsi="Times New Roman" w:cs="Times New Roman"/>
            <w:color w:val="0000FF"/>
            <w:sz w:val="24"/>
            <w:szCs w:val="24"/>
            <w:u w:val="single"/>
            <w:lang/>
          </w:rPr>
          <w:t>пункту 169.4 статті 169</w:t>
        </w:r>
      </w:hyperlink>
      <w:r w:rsidRPr="008B264B">
        <w:rPr>
          <w:rFonts w:ascii="Times New Roman" w:eastAsia="Times New Roman" w:hAnsi="Times New Roman" w:cs="Times New Roman"/>
          <w:color w:val="000000"/>
          <w:sz w:val="24"/>
          <w:szCs w:val="24"/>
          <w:lang/>
        </w:rPr>
        <w:t> цього Кодексу та були виправлені відповідно до вимог </w:t>
      </w:r>
      <w:hyperlink r:id="rId1958" w:anchor="n1258" w:history="1">
        <w:r w:rsidRPr="008B264B">
          <w:rPr>
            <w:rFonts w:ascii="Times New Roman" w:eastAsia="Times New Roman" w:hAnsi="Times New Roman" w:cs="Times New Roman"/>
            <w:color w:val="0000FF"/>
            <w:sz w:val="24"/>
            <w:szCs w:val="24"/>
            <w:u w:val="single"/>
            <w:lang/>
          </w:rPr>
          <w:t>статті 50</w:t>
        </w:r>
      </w:hyperlink>
      <w:r w:rsidRPr="008B264B">
        <w:rPr>
          <w:rFonts w:ascii="Times New Roman" w:eastAsia="Times New Roman" w:hAnsi="Times New Roman" w:cs="Times New Roman"/>
          <w:color w:val="000000"/>
          <w:sz w:val="24"/>
          <w:szCs w:val="24"/>
          <w:lang/>
        </w:rPr>
        <w:t> цього Кодексу.</w:t>
      </w:r>
    </w:p>
    <w:p w14:paraId="1AE908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1" w:name="n9519"/>
      <w:bookmarkEnd w:id="3641"/>
      <w:r w:rsidRPr="008B264B">
        <w:rPr>
          <w:rFonts w:ascii="Times New Roman" w:eastAsia="Times New Roman" w:hAnsi="Times New Roman" w:cs="Times New Roman"/>
          <w:i/>
          <w:iCs/>
          <w:color w:val="000000"/>
          <w:sz w:val="24"/>
          <w:szCs w:val="24"/>
          <w:lang/>
        </w:rPr>
        <w:t>{Пункт 119.2 статті 119 доповнено абзацом п'ятим згідно із Законом </w:t>
      </w:r>
      <w:hyperlink r:id="rId1959" w:anchor="n8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960" w:anchor="n2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8FF36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2" w:name="n2397"/>
      <w:bookmarkEnd w:id="3642"/>
      <w:r w:rsidRPr="008B264B">
        <w:rPr>
          <w:rFonts w:ascii="Times New Roman" w:eastAsia="Times New Roman" w:hAnsi="Times New Roman" w:cs="Times New Roman"/>
          <w:color w:val="000000"/>
          <w:sz w:val="24"/>
          <w:szCs w:val="24"/>
          <w:lang/>
        </w:rPr>
        <w:t>119.3. Оформлення документів, які містять інформацію про об'єкти оподаткування фізичних осіб або про сплату податків без зазначення реєстраційного номера облікової картки платника податків, або з використанням недостовірного реєстраційного номера облікової картки платника податків, крім випадків, визначених пунктом 119.2 цієї статті, -</w:t>
      </w:r>
    </w:p>
    <w:p w14:paraId="71E47C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3" w:name="n2398"/>
      <w:bookmarkEnd w:id="3643"/>
      <w:r w:rsidRPr="008B264B">
        <w:rPr>
          <w:rFonts w:ascii="Times New Roman" w:eastAsia="Times New Roman" w:hAnsi="Times New Roman" w:cs="Times New Roman"/>
          <w:color w:val="000000"/>
          <w:sz w:val="24"/>
          <w:szCs w:val="24"/>
          <w:lang/>
        </w:rPr>
        <w:t>тягне за собою накладення штрафу у розмірі 170 гривень.</w:t>
      </w:r>
    </w:p>
    <w:p w14:paraId="6592C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4" w:name="n2399"/>
      <w:bookmarkEnd w:id="3644"/>
      <w:r w:rsidRPr="008B264B">
        <w:rPr>
          <w:rFonts w:ascii="Times New Roman" w:eastAsia="Times New Roman" w:hAnsi="Times New Roman" w:cs="Times New Roman"/>
          <w:b/>
          <w:bCs/>
          <w:color w:val="000000"/>
          <w:sz w:val="24"/>
          <w:szCs w:val="24"/>
          <w:lang/>
        </w:rPr>
        <w:t>Стаття 120.</w:t>
      </w:r>
      <w:r w:rsidRPr="008B264B">
        <w:rPr>
          <w:rFonts w:ascii="Times New Roman" w:eastAsia="Times New Roman" w:hAnsi="Times New Roman" w:cs="Times New Roman"/>
          <w:color w:val="000000"/>
          <w:sz w:val="24"/>
          <w:szCs w:val="24"/>
          <w:lang/>
        </w:rPr>
        <w:t> Неподання або несвоєчасне подання податкової звітності або невиконання вимог щодо внесення змін до податкової звітності</w:t>
      </w:r>
    </w:p>
    <w:p w14:paraId="4C0ED5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5" w:name="n2400"/>
      <w:bookmarkEnd w:id="3645"/>
      <w:r w:rsidRPr="008B264B">
        <w:rPr>
          <w:rFonts w:ascii="Times New Roman" w:eastAsia="Times New Roman" w:hAnsi="Times New Roman" w:cs="Times New Roman"/>
          <w:color w:val="000000"/>
          <w:sz w:val="24"/>
          <w:szCs w:val="24"/>
          <w:lang/>
        </w:rPr>
        <w:t>120.1. Неподання (крім випадків, якщо </w:t>
      </w:r>
      <w:hyperlink r:id="rId1961" w:anchor="n20" w:tgtFrame="_blank" w:history="1">
        <w:r w:rsidRPr="008B264B">
          <w:rPr>
            <w:rFonts w:ascii="Times New Roman" w:eastAsia="Times New Roman" w:hAnsi="Times New Roman" w:cs="Times New Roman"/>
            <w:color w:val="0000FF"/>
            <w:sz w:val="24"/>
            <w:szCs w:val="24"/>
            <w:u w:val="single"/>
            <w:lang/>
          </w:rPr>
          <w:t>податкова декларація</w:t>
        </w:r>
      </w:hyperlink>
      <w:r w:rsidRPr="008B264B">
        <w:rPr>
          <w:rFonts w:ascii="Times New Roman" w:eastAsia="Times New Roman" w:hAnsi="Times New Roman" w:cs="Times New Roman"/>
          <w:color w:val="000000"/>
          <w:sz w:val="24"/>
          <w:szCs w:val="24"/>
          <w:lang/>
        </w:rPr>
        <w:t> не подається відповідно до </w:t>
      </w:r>
      <w:hyperlink r:id="rId1962" w:anchor="n1208" w:history="1">
        <w:r w:rsidRPr="008B264B">
          <w:rPr>
            <w:rFonts w:ascii="Times New Roman" w:eastAsia="Times New Roman" w:hAnsi="Times New Roman" w:cs="Times New Roman"/>
            <w:color w:val="0000FF"/>
            <w:sz w:val="24"/>
            <w:szCs w:val="24"/>
            <w:u w:val="single"/>
            <w:lang/>
          </w:rPr>
          <w:t>пункту 49.2</w:t>
        </w:r>
      </w:hyperlink>
      <w:r w:rsidRPr="008B264B">
        <w:rPr>
          <w:rFonts w:ascii="Times New Roman" w:eastAsia="Times New Roman" w:hAnsi="Times New Roman" w:cs="Times New Roman"/>
          <w:color w:val="000000"/>
          <w:sz w:val="24"/>
          <w:szCs w:val="24"/>
          <w:lang/>
        </w:rPr>
        <w:t> статті 49 цього Кодексу) або несвоєчасне подання платником податків або іншими особами, зобов’язаними нараховувати і сплачувати податки та збори, податкових декларацій (розрахунків), а також іншої звітності, обов’язок подання якої до контролюючих органів передбачено цим Кодексом, -</w:t>
      </w:r>
    </w:p>
    <w:p w14:paraId="701136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6" w:name="n14008"/>
      <w:bookmarkEnd w:id="3646"/>
      <w:r w:rsidRPr="008B264B">
        <w:rPr>
          <w:rFonts w:ascii="Times New Roman" w:eastAsia="Times New Roman" w:hAnsi="Times New Roman" w:cs="Times New Roman"/>
          <w:i/>
          <w:iCs/>
          <w:color w:val="000000"/>
          <w:sz w:val="24"/>
          <w:szCs w:val="24"/>
          <w:lang/>
        </w:rPr>
        <w:t>{Абзац перший пункту 120.1 статті 120 в редакції Закону </w:t>
      </w:r>
      <w:hyperlink r:id="rId1963" w:anchor="n7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5696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7" w:name="n2401"/>
      <w:bookmarkEnd w:id="3647"/>
      <w:r w:rsidRPr="008B264B">
        <w:rPr>
          <w:rFonts w:ascii="Times New Roman" w:eastAsia="Times New Roman" w:hAnsi="Times New Roman" w:cs="Times New Roman"/>
          <w:color w:val="000000"/>
          <w:sz w:val="24"/>
          <w:szCs w:val="24"/>
          <w:lang/>
        </w:rPr>
        <w:t>тягнуть за собою накладення штрафу в розмірі 170 гривень, за кожне таке неподання або несвоєчасне подання.</w:t>
      </w:r>
    </w:p>
    <w:p w14:paraId="17D22E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8" w:name="n2402"/>
      <w:bookmarkEnd w:id="3648"/>
      <w:r w:rsidRPr="008B264B">
        <w:rPr>
          <w:rFonts w:ascii="Times New Roman" w:eastAsia="Times New Roman" w:hAnsi="Times New Roman" w:cs="Times New Roman"/>
          <w:color w:val="000000"/>
          <w:sz w:val="24"/>
          <w:szCs w:val="24"/>
          <w:lang/>
        </w:rPr>
        <w:t>Ті самі дії, вчинені платником податків, до якого протягом року було застосовано штраф за таке порушення, -</w:t>
      </w:r>
    </w:p>
    <w:p w14:paraId="755FBB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49" w:name="n2403"/>
      <w:bookmarkEnd w:id="3649"/>
      <w:r w:rsidRPr="008B264B">
        <w:rPr>
          <w:rFonts w:ascii="Times New Roman" w:eastAsia="Times New Roman" w:hAnsi="Times New Roman" w:cs="Times New Roman"/>
          <w:color w:val="000000"/>
          <w:sz w:val="24"/>
          <w:szCs w:val="24"/>
          <w:lang/>
        </w:rPr>
        <w:t>тягнуть за собою накладення штрафу в розмірі 1020 гривень за кожне таке неподання або несвоєчасне подання.</w:t>
      </w:r>
    </w:p>
    <w:p w14:paraId="749F6F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0" w:name="n2404"/>
      <w:bookmarkEnd w:id="3650"/>
      <w:r w:rsidRPr="008B264B">
        <w:rPr>
          <w:rFonts w:ascii="Times New Roman" w:eastAsia="Times New Roman" w:hAnsi="Times New Roman" w:cs="Times New Roman"/>
          <w:i/>
          <w:iCs/>
          <w:color w:val="000000"/>
          <w:sz w:val="24"/>
          <w:szCs w:val="24"/>
          <w:lang/>
        </w:rPr>
        <w:t>{Підпункт 120.1.1 пункту 120.1 статті 120 виключено на підставі Закону </w:t>
      </w:r>
      <w:hyperlink r:id="rId196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3750A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1" w:name="n2405"/>
      <w:bookmarkEnd w:id="3651"/>
      <w:r w:rsidRPr="008B264B">
        <w:rPr>
          <w:rFonts w:ascii="Times New Roman" w:eastAsia="Times New Roman" w:hAnsi="Times New Roman" w:cs="Times New Roman"/>
          <w:color w:val="000000"/>
          <w:sz w:val="24"/>
          <w:szCs w:val="24"/>
          <w:lang/>
        </w:rPr>
        <w:t>120.2. Невиконання платником податків вимог, передбачених абзацами третім - п’ятим </w:t>
      </w:r>
      <w:hyperlink r:id="rId1965" w:anchor="n1258" w:history="1">
        <w:r w:rsidRPr="008B264B">
          <w:rPr>
            <w:rFonts w:ascii="Times New Roman" w:eastAsia="Times New Roman" w:hAnsi="Times New Roman" w:cs="Times New Roman"/>
            <w:color w:val="0000FF"/>
            <w:sz w:val="24"/>
            <w:szCs w:val="24"/>
            <w:u w:val="single"/>
            <w:lang/>
          </w:rPr>
          <w:t>пункту 50.1</w:t>
        </w:r>
      </w:hyperlink>
      <w:r w:rsidRPr="008B264B">
        <w:rPr>
          <w:rFonts w:ascii="Times New Roman" w:eastAsia="Times New Roman" w:hAnsi="Times New Roman" w:cs="Times New Roman"/>
          <w:color w:val="000000"/>
          <w:sz w:val="24"/>
          <w:szCs w:val="24"/>
          <w:lang/>
        </w:rPr>
        <w:t> статті 50 цього Кодексу, щодо умов самостійного внесення змін до податкової звітності -</w:t>
      </w:r>
    </w:p>
    <w:p w14:paraId="5C1694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2" w:name="n9521"/>
      <w:bookmarkEnd w:id="3652"/>
      <w:r w:rsidRPr="008B264B">
        <w:rPr>
          <w:rFonts w:ascii="Times New Roman" w:eastAsia="Times New Roman" w:hAnsi="Times New Roman" w:cs="Times New Roman"/>
          <w:i/>
          <w:iCs/>
          <w:color w:val="000000"/>
          <w:sz w:val="24"/>
          <w:szCs w:val="24"/>
          <w:lang/>
        </w:rPr>
        <w:t>{Абзац перший пункту 120.2 статті 120 із змінами, внесеними згідно із Законом </w:t>
      </w:r>
      <w:hyperlink r:id="rId1966" w:anchor="n8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BB5FE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3" w:name="n2406"/>
      <w:bookmarkEnd w:id="3653"/>
      <w:r w:rsidRPr="008B264B">
        <w:rPr>
          <w:rFonts w:ascii="Times New Roman" w:eastAsia="Times New Roman" w:hAnsi="Times New Roman" w:cs="Times New Roman"/>
          <w:color w:val="000000"/>
          <w:sz w:val="24"/>
          <w:szCs w:val="24"/>
          <w:lang/>
        </w:rPr>
        <w:t>тягне за собою накладення штрафу у розмірі 5 відсотків від суми самостійно нарахованого заниження податкового зобов'язання (недоплати).</w:t>
      </w:r>
    </w:p>
    <w:p w14:paraId="1FEC3B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4" w:name="n2407"/>
      <w:bookmarkEnd w:id="3654"/>
      <w:r w:rsidRPr="008B264B">
        <w:rPr>
          <w:rFonts w:ascii="Times New Roman" w:eastAsia="Times New Roman" w:hAnsi="Times New Roman" w:cs="Times New Roman"/>
          <w:color w:val="000000"/>
          <w:sz w:val="24"/>
          <w:szCs w:val="24"/>
          <w:lang/>
        </w:rPr>
        <w:t>При самостійному донарахуванні суми податкових зобов'язань інші штрафи, передбачені цією главою Кодексу, не застосовуються.</w:t>
      </w:r>
    </w:p>
    <w:p w14:paraId="44A653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5" w:name="n9241"/>
      <w:bookmarkEnd w:id="3655"/>
      <w:r w:rsidRPr="008B264B">
        <w:rPr>
          <w:rFonts w:ascii="Times New Roman" w:eastAsia="Times New Roman" w:hAnsi="Times New Roman" w:cs="Times New Roman"/>
          <w:color w:val="000000"/>
          <w:sz w:val="24"/>
          <w:szCs w:val="24"/>
          <w:lang/>
        </w:rPr>
        <w:t>120.3. Неподання платником податків звіту про контрольовані операції (уточнюючого звіту) та/або документації з трансфертного ціноутворення або невключення до такого звіту інформації про всі здійснені протягом звітного періоду контрольовані операції відповідно до вимог </w:t>
      </w:r>
      <w:hyperlink r:id="rId1967"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статті 39 цього Кодексу тягне за собою накладення штрафу (штрафів) у розмірі:</w:t>
      </w:r>
    </w:p>
    <w:p w14:paraId="3BE44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6" w:name="n11180"/>
      <w:bookmarkEnd w:id="3656"/>
      <w:r w:rsidRPr="008B264B">
        <w:rPr>
          <w:rFonts w:ascii="Times New Roman" w:eastAsia="Times New Roman" w:hAnsi="Times New Roman" w:cs="Times New Roman"/>
          <w:color w:val="000000"/>
          <w:sz w:val="24"/>
          <w:szCs w:val="24"/>
          <w:lang/>
        </w:rPr>
        <w:lastRenderedPageBreak/>
        <w:t>300 розмірів прожиткового мінімуму для працездатної особи, встановленого законом на 1 січня податкового (звітного) року, - у разі неподання звіту про контрольовані операції;</w:t>
      </w:r>
    </w:p>
    <w:p w14:paraId="3F108F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7" w:name="n11181"/>
      <w:bookmarkEnd w:id="3657"/>
      <w:r w:rsidRPr="008B264B">
        <w:rPr>
          <w:rFonts w:ascii="Times New Roman" w:eastAsia="Times New Roman" w:hAnsi="Times New Roman" w:cs="Times New Roman"/>
          <w:color w:val="000000"/>
          <w:sz w:val="24"/>
          <w:szCs w:val="24"/>
          <w:lang/>
        </w:rPr>
        <w:t>1 відсотка суми контрольованих операцій, незадекларованих у поданому звіті про контрольовані операції, але не більше 300 розмірів прожиткового мінімуму для працездатної особи, встановленого законом на 1 січня податкового (звітного) року, за всі незадекларовані контрольовані операції;</w:t>
      </w:r>
    </w:p>
    <w:p w14:paraId="795F39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8" w:name="n11182"/>
      <w:bookmarkEnd w:id="3658"/>
      <w:r w:rsidRPr="008B264B">
        <w:rPr>
          <w:rFonts w:ascii="Times New Roman" w:eastAsia="Times New Roman" w:hAnsi="Times New Roman" w:cs="Times New Roman"/>
          <w:color w:val="000000"/>
          <w:sz w:val="24"/>
          <w:szCs w:val="24"/>
          <w:lang/>
        </w:rPr>
        <w:t>3 відсотки суми контрольованих операцій, щодо яких не була подана документація, визначена </w:t>
      </w:r>
      <w:hyperlink r:id="rId1968" w:anchor="n11066" w:history="1">
        <w:r w:rsidRPr="008B264B">
          <w:rPr>
            <w:rFonts w:ascii="Times New Roman" w:eastAsia="Times New Roman" w:hAnsi="Times New Roman" w:cs="Times New Roman"/>
            <w:color w:val="0000FF"/>
            <w:sz w:val="24"/>
            <w:szCs w:val="24"/>
            <w:u w:val="single"/>
            <w:lang/>
          </w:rPr>
          <w:t>підпунктами 39.4.6</w:t>
        </w:r>
      </w:hyperlink>
      <w:r w:rsidRPr="008B264B">
        <w:rPr>
          <w:rFonts w:ascii="Times New Roman" w:eastAsia="Times New Roman" w:hAnsi="Times New Roman" w:cs="Times New Roman"/>
          <w:color w:val="000000"/>
          <w:sz w:val="24"/>
          <w:szCs w:val="24"/>
          <w:lang/>
        </w:rPr>
        <w:t> та </w:t>
      </w:r>
      <w:hyperlink r:id="rId1969" w:anchor="n11081" w:history="1">
        <w:r w:rsidRPr="008B264B">
          <w:rPr>
            <w:rFonts w:ascii="Times New Roman" w:eastAsia="Times New Roman" w:hAnsi="Times New Roman" w:cs="Times New Roman"/>
            <w:color w:val="0000FF"/>
            <w:sz w:val="24"/>
            <w:szCs w:val="24"/>
            <w:u w:val="single"/>
            <w:lang/>
          </w:rPr>
          <w:t>39.4.8</w:t>
        </w:r>
      </w:hyperlink>
      <w:r w:rsidRPr="008B264B">
        <w:rPr>
          <w:rFonts w:ascii="Times New Roman" w:eastAsia="Times New Roman" w:hAnsi="Times New Roman" w:cs="Times New Roman"/>
          <w:color w:val="000000"/>
          <w:sz w:val="24"/>
          <w:szCs w:val="24"/>
          <w:lang/>
        </w:rPr>
        <w:t> пункту 39.4 статті 39 цього Кодексу, але не більше 200 розмірів прожиткового мінімуму для працездатної особи, встановленого законом на 1 січня податкового (звітного) року, за всі контрольовані операції, здійснені у відповідному звітному році.</w:t>
      </w:r>
    </w:p>
    <w:p w14:paraId="5535C4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59" w:name="n12522"/>
      <w:bookmarkEnd w:id="3659"/>
      <w:r w:rsidRPr="008B264B">
        <w:rPr>
          <w:rFonts w:ascii="Times New Roman" w:eastAsia="Times New Roman" w:hAnsi="Times New Roman" w:cs="Times New Roman"/>
          <w:color w:val="000000"/>
          <w:sz w:val="24"/>
          <w:szCs w:val="24"/>
          <w:lang/>
        </w:rPr>
        <w:t>Сплата таких фінансових санкцій (штрафів) не звільняє платника податків від обов’язку подання звіту про контрольовані операції та/або документації з трансфертного ціноутворення.</w:t>
      </w:r>
    </w:p>
    <w:p w14:paraId="0ACAA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0" w:name="n14009"/>
      <w:bookmarkEnd w:id="3660"/>
      <w:r w:rsidRPr="008B264B">
        <w:rPr>
          <w:rFonts w:ascii="Times New Roman" w:eastAsia="Times New Roman" w:hAnsi="Times New Roman" w:cs="Times New Roman"/>
          <w:color w:val="000000"/>
          <w:sz w:val="24"/>
          <w:szCs w:val="24"/>
          <w:lang/>
        </w:rPr>
        <w:t>Неподання платником податків звіту про контрольовані операції (уточнюючого звіту) та/або документації з трансфертного ціноутворення після спливу 30 календарних днів, наступних за останнім днем граничного строку сплати штрафу (штрафів), передбаченого цим пунктом, -</w:t>
      </w:r>
    </w:p>
    <w:p w14:paraId="1BB629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1" w:name="n14010"/>
      <w:bookmarkEnd w:id="3661"/>
      <w:r w:rsidRPr="008B264B">
        <w:rPr>
          <w:rFonts w:ascii="Times New Roman" w:eastAsia="Times New Roman" w:hAnsi="Times New Roman" w:cs="Times New Roman"/>
          <w:color w:val="000000"/>
          <w:sz w:val="24"/>
          <w:szCs w:val="24"/>
          <w:lang/>
        </w:rPr>
        <w:t>тягне за собою накладення штрафу у розмірі 5 розмірів прожиткового мінімуму для працездатної особи, встановленого законом на 1 січня податкового (звітного) року, за кожен календарний день неподання звіту про контрольовані операції (уточнюючого звіту) та/або документації з трансфертного ціноутворення.</w:t>
      </w:r>
    </w:p>
    <w:p w14:paraId="366B8A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2" w:name="n9240"/>
      <w:bookmarkEnd w:id="3662"/>
      <w:r w:rsidRPr="008B264B">
        <w:rPr>
          <w:rFonts w:ascii="Times New Roman" w:eastAsia="Times New Roman" w:hAnsi="Times New Roman" w:cs="Times New Roman"/>
          <w:i/>
          <w:iCs/>
          <w:color w:val="000000"/>
          <w:sz w:val="24"/>
          <w:szCs w:val="24"/>
          <w:lang/>
        </w:rPr>
        <w:t>{Статтю 120 доповнено пунктом 120.3 згідно із Законом </w:t>
      </w:r>
      <w:hyperlink r:id="rId1970" w:anchor="n356"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1971" w:anchor="n10" w:tgtFrame="_blank" w:history="1">
        <w:r w:rsidRPr="008B264B">
          <w:rPr>
            <w:rFonts w:ascii="Times New Roman" w:eastAsia="Times New Roman" w:hAnsi="Times New Roman" w:cs="Times New Roman"/>
            <w:i/>
            <w:iCs/>
            <w:color w:val="0000FF"/>
            <w:sz w:val="24"/>
            <w:szCs w:val="24"/>
            <w:u w:val="single"/>
            <w:lang/>
          </w:rPr>
          <w:t>№ 1260-VII від 13.05.2014</w:t>
        </w:r>
      </w:hyperlink>
      <w:r w:rsidRPr="008B264B">
        <w:rPr>
          <w:rFonts w:ascii="Times New Roman" w:eastAsia="Times New Roman" w:hAnsi="Times New Roman" w:cs="Times New Roman"/>
          <w:i/>
          <w:iCs/>
          <w:color w:val="000000"/>
          <w:sz w:val="24"/>
          <w:szCs w:val="24"/>
          <w:lang/>
        </w:rPr>
        <w:t>; в редакції Законів </w:t>
      </w:r>
      <w:hyperlink r:id="rId1972" w:anchor="n351"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 </w:t>
      </w:r>
      <w:hyperlink r:id="rId1973" w:anchor="n85"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1974" w:anchor="n7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AC56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3" w:name="n14012"/>
      <w:bookmarkEnd w:id="3663"/>
      <w:r w:rsidRPr="008B264B">
        <w:rPr>
          <w:rFonts w:ascii="Times New Roman" w:eastAsia="Times New Roman" w:hAnsi="Times New Roman" w:cs="Times New Roman"/>
          <w:color w:val="000000"/>
          <w:sz w:val="24"/>
          <w:szCs w:val="24"/>
          <w:lang/>
        </w:rPr>
        <w:t>120.4. Несвоєчасне подання платником податків звіту про контрольовані операції та/або документації з трансфертного ціноутворення або несвоєчасне декларування контрольованих операцій у поданому звіті відповідно до вимог </w:t>
      </w:r>
      <w:hyperlink r:id="rId1975" w:anchor="n11058" w:history="1">
        <w:r w:rsidRPr="008B264B">
          <w:rPr>
            <w:rFonts w:ascii="Times New Roman" w:eastAsia="Times New Roman" w:hAnsi="Times New Roman" w:cs="Times New Roman"/>
            <w:color w:val="0000FF"/>
            <w:sz w:val="24"/>
            <w:szCs w:val="24"/>
            <w:u w:val="single"/>
            <w:lang/>
          </w:rPr>
          <w:t>пункту 39.4</w:t>
        </w:r>
      </w:hyperlink>
      <w:r w:rsidRPr="008B264B">
        <w:rPr>
          <w:rFonts w:ascii="Times New Roman" w:eastAsia="Times New Roman" w:hAnsi="Times New Roman" w:cs="Times New Roman"/>
          <w:color w:val="000000"/>
          <w:sz w:val="24"/>
          <w:szCs w:val="24"/>
          <w:lang/>
        </w:rPr>
        <w:t> статті 39 цього Кодексу тягне за собою накладення штрафу (штрафів) у розмірі:</w:t>
      </w:r>
    </w:p>
    <w:p w14:paraId="2C746B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4" w:name="n14013"/>
      <w:bookmarkEnd w:id="3664"/>
      <w:r w:rsidRPr="008B264B">
        <w:rPr>
          <w:rFonts w:ascii="Times New Roman" w:eastAsia="Times New Roman" w:hAnsi="Times New Roman" w:cs="Times New Roman"/>
          <w:color w:val="000000"/>
          <w:sz w:val="24"/>
          <w:szCs w:val="24"/>
          <w:lang/>
        </w:rPr>
        <w:t>одного розміру прожиткового мінімуму для працездатної особи, встановленого законом на 1 січня податкового (звітного) року, за кожний календарний день несвоєчасного подання звіту про контрольовані операції, але не більше 300 розмірів прожиткового мінімуму для працездатної особи, встановленого законом на 1 січня податкового (звітного) року;</w:t>
      </w:r>
    </w:p>
    <w:p w14:paraId="094905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5" w:name="n14014"/>
      <w:bookmarkEnd w:id="3665"/>
      <w:r w:rsidRPr="008B264B">
        <w:rPr>
          <w:rFonts w:ascii="Times New Roman" w:eastAsia="Times New Roman" w:hAnsi="Times New Roman" w:cs="Times New Roman"/>
          <w:color w:val="000000"/>
          <w:sz w:val="24"/>
          <w:szCs w:val="24"/>
          <w:lang/>
        </w:rPr>
        <w:t>одного розміру прожиткового мінімуму для працездатної особи, встановленого законом на 1 січня податкового (звітного) року, за кожний календарний день несвоєчасного декларування контрольованих операцій в поданому звіті про контрольовані операції у разі подання уточнюючого звіту, але не більше 300 розмірів прожиткового мінімуму для працездатної особи, встановленого законом на 1 січня податкового (звітного) року;</w:t>
      </w:r>
    </w:p>
    <w:p w14:paraId="516D19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6" w:name="n14015"/>
      <w:bookmarkEnd w:id="3666"/>
      <w:r w:rsidRPr="008B264B">
        <w:rPr>
          <w:rFonts w:ascii="Times New Roman" w:eastAsia="Times New Roman" w:hAnsi="Times New Roman" w:cs="Times New Roman"/>
          <w:color w:val="000000"/>
          <w:sz w:val="24"/>
          <w:szCs w:val="24"/>
          <w:lang/>
        </w:rPr>
        <w:t>двох розмірів прожиткового мінімуму для працездатної особи, встановленого законом на 1 січня податкового (звітного) року, за кожний календарний день несвоєчасного подання документації з трансфертного ціноутворення, визначеної </w:t>
      </w:r>
      <w:hyperlink r:id="rId1976" w:anchor="n11066" w:history="1">
        <w:r w:rsidRPr="008B264B">
          <w:rPr>
            <w:rFonts w:ascii="Times New Roman" w:eastAsia="Times New Roman" w:hAnsi="Times New Roman" w:cs="Times New Roman"/>
            <w:color w:val="0000FF"/>
            <w:sz w:val="24"/>
            <w:szCs w:val="24"/>
            <w:u w:val="single"/>
            <w:lang/>
          </w:rPr>
          <w:t>підпунктами 39.4.6</w:t>
        </w:r>
      </w:hyperlink>
      <w:r w:rsidRPr="008B264B">
        <w:rPr>
          <w:rFonts w:ascii="Times New Roman" w:eastAsia="Times New Roman" w:hAnsi="Times New Roman" w:cs="Times New Roman"/>
          <w:color w:val="000000"/>
          <w:sz w:val="24"/>
          <w:szCs w:val="24"/>
          <w:lang/>
        </w:rPr>
        <w:t> та </w:t>
      </w:r>
      <w:hyperlink r:id="rId1977" w:anchor="n11081" w:history="1">
        <w:r w:rsidRPr="008B264B">
          <w:rPr>
            <w:rFonts w:ascii="Times New Roman" w:eastAsia="Times New Roman" w:hAnsi="Times New Roman" w:cs="Times New Roman"/>
            <w:color w:val="0000FF"/>
            <w:sz w:val="24"/>
            <w:szCs w:val="24"/>
            <w:u w:val="single"/>
            <w:lang/>
          </w:rPr>
          <w:t>39.4.8</w:t>
        </w:r>
      </w:hyperlink>
      <w:r w:rsidRPr="008B264B">
        <w:rPr>
          <w:rFonts w:ascii="Times New Roman" w:eastAsia="Times New Roman" w:hAnsi="Times New Roman" w:cs="Times New Roman"/>
          <w:color w:val="000000"/>
          <w:sz w:val="24"/>
          <w:szCs w:val="24"/>
          <w:lang/>
        </w:rPr>
        <w:t> пункту 39.4 статті 39 цього Кодексу, але не більше 200 розмірів прожиткового мінімуму для працездатної особи, встановленого законом на 1 січня податкового (звітного) року.</w:t>
      </w:r>
    </w:p>
    <w:p w14:paraId="616F33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7" w:name="n14011"/>
      <w:bookmarkEnd w:id="3667"/>
      <w:r w:rsidRPr="008B264B">
        <w:rPr>
          <w:rFonts w:ascii="Times New Roman" w:eastAsia="Times New Roman" w:hAnsi="Times New Roman" w:cs="Times New Roman"/>
          <w:i/>
          <w:iCs/>
          <w:color w:val="000000"/>
          <w:sz w:val="24"/>
          <w:szCs w:val="24"/>
          <w:lang/>
        </w:rPr>
        <w:t>{Статтю 120 доповнено пунктом 120.4 згідно із Законом </w:t>
      </w:r>
      <w:hyperlink r:id="rId1978" w:anchor="n7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0827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8" w:name="n10585"/>
      <w:bookmarkEnd w:id="3668"/>
      <w:r w:rsidRPr="008B264B">
        <w:rPr>
          <w:rFonts w:ascii="Times New Roman" w:eastAsia="Times New Roman" w:hAnsi="Times New Roman" w:cs="Times New Roman"/>
          <w:b/>
          <w:bCs/>
          <w:color w:val="000000"/>
          <w:sz w:val="24"/>
          <w:szCs w:val="24"/>
          <w:lang/>
        </w:rPr>
        <w:t>Стаття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Порушення строків реєстрації податкової накладної та/або розрахунку коригування в Єдиному реєстрі податкових накладних та допущення помилок при зазначенні обов’язкових реквізитів податкової накладної</w:t>
      </w:r>
    </w:p>
    <w:p w14:paraId="0DDCE5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69" w:name="n10586"/>
      <w:bookmarkEnd w:id="3669"/>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Порушення платниками податку на додану вартість граничного строку, передбаченого </w:t>
      </w:r>
      <w:hyperlink r:id="rId1979" w:anchor="n5052" w:history="1">
        <w:r w:rsidRPr="008B264B">
          <w:rPr>
            <w:rFonts w:ascii="Times New Roman" w:eastAsia="Times New Roman" w:hAnsi="Times New Roman" w:cs="Times New Roman"/>
            <w:color w:val="0000FF"/>
            <w:sz w:val="24"/>
            <w:szCs w:val="24"/>
            <w:u w:val="single"/>
            <w:lang/>
          </w:rPr>
          <w:t>статтею 201</w:t>
        </w:r>
      </w:hyperlink>
      <w:r w:rsidRPr="008B264B">
        <w:rPr>
          <w:rFonts w:ascii="Times New Roman" w:eastAsia="Times New Roman" w:hAnsi="Times New Roman" w:cs="Times New Roman"/>
          <w:color w:val="000000"/>
          <w:sz w:val="24"/>
          <w:szCs w:val="24"/>
          <w:lang/>
        </w:rPr>
        <w:t> цього Кодексу, для реєстрації </w:t>
      </w:r>
      <w:hyperlink r:id="rId1980"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xml:space="preserve"> та/або </w:t>
      </w:r>
      <w:r w:rsidRPr="008B264B">
        <w:rPr>
          <w:rFonts w:ascii="Times New Roman" w:eastAsia="Times New Roman" w:hAnsi="Times New Roman" w:cs="Times New Roman"/>
          <w:color w:val="000000"/>
          <w:sz w:val="24"/>
          <w:szCs w:val="24"/>
          <w:lang/>
        </w:rPr>
        <w:lastRenderedPageBreak/>
        <w:t>розрахунку коригування до такої податкової накладної в Єдиному реєстрі податкових накладних (крім податкової накладної, що не надається отримувачу (покупцю), складеної на постачання товарів/послуг для операцій: які звільнені від оподаткування або які оподатковуються за нульовою ставкою) тягне за собою накладення на платника податку на додану вартість, на якого відповідно до вимог </w:t>
      </w:r>
      <w:hyperlink r:id="rId1981" w:anchor="n4621" w:history="1">
        <w:r w:rsidRPr="008B264B">
          <w:rPr>
            <w:rFonts w:ascii="Times New Roman" w:eastAsia="Times New Roman" w:hAnsi="Times New Roman" w:cs="Times New Roman"/>
            <w:color w:val="0000FF"/>
            <w:sz w:val="24"/>
            <w:szCs w:val="24"/>
            <w:u w:val="single"/>
            <w:lang/>
          </w:rPr>
          <w:t>статей 192</w:t>
        </w:r>
      </w:hyperlink>
      <w:r w:rsidRPr="008B264B">
        <w:rPr>
          <w:rFonts w:ascii="Times New Roman" w:eastAsia="Times New Roman" w:hAnsi="Times New Roman" w:cs="Times New Roman"/>
          <w:color w:val="000000"/>
          <w:sz w:val="24"/>
          <w:szCs w:val="24"/>
          <w:lang/>
        </w:rPr>
        <w:t> та </w:t>
      </w:r>
      <w:hyperlink r:id="rId1982" w:anchor="n5052" w:history="1">
        <w:r w:rsidRPr="008B264B">
          <w:rPr>
            <w:rFonts w:ascii="Times New Roman" w:eastAsia="Times New Roman" w:hAnsi="Times New Roman" w:cs="Times New Roman"/>
            <w:color w:val="0000FF"/>
            <w:sz w:val="24"/>
            <w:szCs w:val="24"/>
            <w:u w:val="single"/>
            <w:lang/>
          </w:rPr>
          <w:t>201</w:t>
        </w:r>
      </w:hyperlink>
      <w:r w:rsidRPr="008B264B">
        <w:rPr>
          <w:rFonts w:ascii="Times New Roman" w:eastAsia="Times New Roman" w:hAnsi="Times New Roman" w:cs="Times New Roman"/>
          <w:color w:val="000000"/>
          <w:sz w:val="24"/>
          <w:szCs w:val="24"/>
          <w:lang/>
        </w:rPr>
        <w:t> цього Кодексу покладено обов’язок щодо такої реєстрації, штрафу в розмірі:</w:t>
      </w:r>
    </w:p>
    <w:p w14:paraId="6E5C36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0" w:name="n14016"/>
      <w:bookmarkEnd w:id="3670"/>
      <w:r w:rsidRPr="008B264B">
        <w:rPr>
          <w:rFonts w:ascii="Times New Roman" w:eastAsia="Times New Roman" w:hAnsi="Times New Roman" w:cs="Times New Roman"/>
          <w:color w:val="000000"/>
          <w:sz w:val="24"/>
          <w:szCs w:val="24"/>
          <w:lang/>
        </w:rPr>
        <w:t>10 відсотків суми податку на додану вартість, зазначеної в таких </w:t>
      </w:r>
      <w:hyperlink r:id="rId1983"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 у разі порушення строку реєстрації до 15 календарних днів;</w:t>
      </w:r>
    </w:p>
    <w:p w14:paraId="6299A6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1" w:name="n14017"/>
      <w:bookmarkEnd w:id="3671"/>
      <w:r w:rsidRPr="008B264B">
        <w:rPr>
          <w:rFonts w:ascii="Times New Roman" w:eastAsia="Times New Roman" w:hAnsi="Times New Roman" w:cs="Times New Roman"/>
          <w:color w:val="000000"/>
          <w:sz w:val="24"/>
          <w:szCs w:val="24"/>
          <w:lang/>
        </w:rPr>
        <w:t>20 відсотків суми податку на додану вартість, зазначеної в таких </w:t>
      </w:r>
      <w:hyperlink r:id="rId1984"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 у разі порушення строку реєстрації від 16 до 30 календарних днів;</w:t>
      </w:r>
    </w:p>
    <w:p w14:paraId="3B94EB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2" w:name="n14018"/>
      <w:bookmarkEnd w:id="3672"/>
      <w:r w:rsidRPr="008B264B">
        <w:rPr>
          <w:rFonts w:ascii="Times New Roman" w:eastAsia="Times New Roman" w:hAnsi="Times New Roman" w:cs="Times New Roman"/>
          <w:color w:val="000000"/>
          <w:sz w:val="24"/>
          <w:szCs w:val="24"/>
          <w:lang/>
        </w:rPr>
        <w:t>30 відсотків суми податку на додану вартість, зазначеної в таких </w:t>
      </w:r>
      <w:hyperlink r:id="rId1985"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 у разі порушення строку реєстрації від 31 до 60 календарних днів;</w:t>
      </w:r>
    </w:p>
    <w:p w14:paraId="5B20D1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3" w:name="n14019"/>
      <w:bookmarkEnd w:id="3673"/>
      <w:r w:rsidRPr="008B264B">
        <w:rPr>
          <w:rFonts w:ascii="Times New Roman" w:eastAsia="Times New Roman" w:hAnsi="Times New Roman" w:cs="Times New Roman"/>
          <w:color w:val="000000"/>
          <w:sz w:val="24"/>
          <w:szCs w:val="24"/>
          <w:lang/>
        </w:rPr>
        <w:t>40 відсотків суми податку на додану вартість, зазначеної в таких </w:t>
      </w:r>
      <w:hyperlink r:id="rId1986"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 у разі порушення строку реєстрації від 61 до 365 календарних днів;</w:t>
      </w:r>
    </w:p>
    <w:p w14:paraId="150F8D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4" w:name="n14689"/>
      <w:bookmarkEnd w:id="3674"/>
      <w:r w:rsidRPr="008B264B">
        <w:rPr>
          <w:rFonts w:ascii="Times New Roman" w:eastAsia="Times New Roman" w:hAnsi="Times New Roman" w:cs="Times New Roman"/>
          <w:color w:val="000000"/>
          <w:sz w:val="24"/>
          <w:szCs w:val="24"/>
          <w:lang/>
        </w:rPr>
        <w:t>50 відсотків суми податку на додану вартість, зазначеної в таких </w:t>
      </w:r>
      <w:hyperlink r:id="rId1987"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 у разі порушення строку реєстрації на 366 і більше календарних днів.</w:t>
      </w:r>
    </w:p>
    <w:p w14:paraId="10C2C2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5" w:name="n14688"/>
      <w:bookmarkEnd w:id="3675"/>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1988" w:anchor="n6" w:tgtFrame="_blank" w:history="1">
        <w:r w:rsidRPr="008B264B">
          <w:rPr>
            <w:rFonts w:ascii="Times New Roman" w:eastAsia="Times New Roman" w:hAnsi="Times New Roman" w:cs="Times New Roman"/>
            <w:i/>
            <w:iCs/>
            <w:color w:val="0000FF"/>
            <w:sz w:val="24"/>
            <w:szCs w:val="24"/>
            <w:u w:val="single"/>
            <w:lang/>
          </w:rPr>
          <w:t>№ 2198-VIII від 09.11.2017</w:t>
        </w:r>
      </w:hyperlink>
      <w:r w:rsidRPr="008B264B">
        <w:rPr>
          <w:rFonts w:ascii="Times New Roman" w:eastAsia="Times New Roman" w:hAnsi="Times New Roman" w:cs="Times New Roman"/>
          <w:i/>
          <w:iCs/>
          <w:color w:val="000000"/>
          <w:sz w:val="24"/>
          <w:szCs w:val="24"/>
          <w:lang/>
        </w:rPr>
        <w:t>}</w:t>
      </w:r>
    </w:p>
    <w:p w14:paraId="1AAECF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6" w:name="n14020"/>
      <w:bookmarkEnd w:id="3676"/>
      <w:r w:rsidRPr="008B264B">
        <w:rPr>
          <w:rFonts w:ascii="Times New Roman" w:eastAsia="Times New Roman" w:hAnsi="Times New Roman" w:cs="Times New Roman"/>
          <w:color w:val="000000"/>
          <w:sz w:val="24"/>
          <w:szCs w:val="24"/>
          <w:lang/>
        </w:rPr>
        <w:t>У разі зупинення реєстрації </w:t>
      </w:r>
      <w:hyperlink r:id="rId1989"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згідно з </w:t>
      </w:r>
      <w:hyperlink r:id="rId1990" w:anchor="n14571" w:history="1">
        <w:r w:rsidRPr="008B264B">
          <w:rPr>
            <w:rFonts w:ascii="Times New Roman" w:eastAsia="Times New Roman" w:hAnsi="Times New Roman" w:cs="Times New Roman"/>
            <w:color w:val="0000FF"/>
            <w:sz w:val="24"/>
            <w:szCs w:val="24"/>
            <w:u w:val="single"/>
            <w:lang/>
          </w:rPr>
          <w:t>пунктом 201.16</w:t>
        </w:r>
      </w:hyperlink>
      <w:r w:rsidRPr="008B264B">
        <w:rPr>
          <w:rFonts w:ascii="Times New Roman" w:eastAsia="Times New Roman" w:hAnsi="Times New Roman" w:cs="Times New Roman"/>
          <w:color w:val="000000"/>
          <w:sz w:val="24"/>
          <w:szCs w:val="24"/>
          <w:lang/>
        </w:rPr>
        <w:t> статті 201 цього Кодексу штрафні санкції, передбачені цим пунктом, не застосовуються на період зупинення такої реєстрації до прийняття рішення щодо відновлення реєстрації таких податкових накладних/розрахунків коригування згідно з </w:t>
      </w:r>
      <w:hyperlink r:id="rId1991" w:anchor="n14588" w:history="1">
        <w:r w:rsidRPr="008B264B">
          <w:rPr>
            <w:rFonts w:ascii="Times New Roman" w:eastAsia="Times New Roman" w:hAnsi="Times New Roman" w:cs="Times New Roman"/>
            <w:color w:val="0000FF"/>
            <w:sz w:val="24"/>
            <w:szCs w:val="24"/>
            <w:u w:val="single"/>
            <w:lang/>
          </w:rPr>
          <w:t>підпунктом 201.16.4</w:t>
        </w:r>
      </w:hyperlink>
      <w:r w:rsidRPr="008B264B">
        <w:rPr>
          <w:rFonts w:ascii="Times New Roman" w:eastAsia="Times New Roman" w:hAnsi="Times New Roman" w:cs="Times New Roman"/>
          <w:color w:val="000000"/>
          <w:sz w:val="24"/>
          <w:szCs w:val="24"/>
          <w:lang/>
        </w:rPr>
        <w:t> пункту 201.16 статті 201 цього Кодексу.</w:t>
      </w:r>
    </w:p>
    <w:p w14:paraId="3F529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7" w:name="n14021"/>
      <w:bookmarkEnd w:id="3677"/>
      <w:r w:rsidRPr="008B264B">
        <w:rPr>
          <w:rFonts w:ascii="Times New Roman" w:eastAsia="Times New Roman" w:hAnsi="Times New Roman" w:cs="Times New Roman"/>
          <w:color w:val="000000"/>
          <w:sz w:val="24"/>
          <w:szCs w:val="24"/>
          <w:lang/>
        </w:rPr>
        <w:t>У разі реєстрації </w:t>
      </w:r>
      <w:hyperlink r:id="rId1992"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та/або розрахунку коригування до податкової накладної до початку проведення перевірки, предметом якої є дотримання вимог цього Кодексу щодо своєчасності реєстрації таких документів в Єдиному реєстрі податкових накладних, штрафні санкції, передбачені пунктом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цієї статті, не застосовуються.</w:t>
      </w:r>
    </w:p>
    <w:p w14:paraId="5F554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8" w:name="n10591"/>
      <w:bookmarkEnd w:id="3678"/>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Відсутність реєстрації протягом граничного строку, передбаченого статтею 201 цього Кодексу, </w:t>
      </w:r>
      <w:hyperlink r:id="rId1993"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та/або розрахунку коригування до такої податкової накладної в Єдиному реєстрі податкових накладних (крім податкової накладної, що не надається отримувачу (покупцю), складеної на постачання товарів/послуг для операцій: які звільнені від оподаткування або які оподатковуються за нульовою ставкою), що зазначена у податковому повідомленні - рішенні, складеному за результатами перевірки контролюючого органу, - тягне за собою накладення на платника податку штрафу в розмірі 50 відсотків суми податкових зобов’язань з податку на додану вартість, зазначеної у такій податковій накладній та/або розрахунку коригування до податкової накладної або від суми податку на додану вартість, нарахованого за операцією з постачання товарів/послуг, якщо податкову накладну на таку операцію не складено. У разі зупинення реєстрації податкової накладної/розрахунку коригування в Єдиному реєстрі податкових накладних згідно з </w:t>
      </w:r>
      <w:hyperlink r:id="rId1994" w:anchor="n14571" w:history="1">
        <w:r w:rsidRPr="008B264B">
          <w:rPr>
            <w:rFonts w:ascii="Times New Roman" w:eastAsia="Times New Roman" w:hAnsi="Times New Roman" w:cs="Times New Roman"/>
            <w:color w:val="0000FF"/>
            <w:sz w:val="24"/>
            <w:szCs w:val="24"/>
            <w:u w:val="single"/>
            <w:lang/>
          </w:rPr>
          <w:t>пунктом 201.16</w:t>
        </w:r>
      </w:hyperlink>
      <w:r w:rsidRPr="008B264B">
        <w:rPr>
          <w:rFonts w:ascii="Times New Roman" w:eastAsia="Times New Roman" w:hAnsi="Times New Roman" w:cs="Times New Roman"/>
          <w:color w:val="000000"/>
          <w:sz w:val="24"/>
          <w:szCs w:val="24"/>
          <w:lang/>
        </w:rPr>
        <w:t> статті 201 цього Кодексу штрафні санкції, передбачені цим пунктом, не застосовуються на період зупинення такої реєстрації до прийняття відповідного рішення щодо відновлення реєстрації таких податкових накладних/розрахунків коригування згідно з </w:t>
      </w:r>
      <w:hyperlink r:id="rId1995" w:anchor="n14588" w:history="1">
        <w:r w:rsidRPr="008B264B">
          <w:rPr>
            <w:rFonts w:ascii="Times New Roman" w:eastAsia="Times New Roman" w:hAnsi="Times New Roman" w:cs="Times New Roman"/>
            <w:color w:val="0000FF"/>
            <w:sz w:val="24"/>
            <w:szCs w:val="24"/>
            <w:u w:val="single"/>
            <w:lang/>
          </w:rPr>
          <w:t>підпунктом 201.16.4</w:t>
        </w:r>
      </w:hyperlink>
      <w:r w:rsidRPr="008B264B">
        <w:rPr>
          <w:rFonts w:ascii="Times New Roman" w:eastAsia="Times New Roman" w:hAnsi="Times New Roman" w:cs="Times New Roman"/>
          <w:color w:val="000000"/>
          <w:sz w:val="24"/>
          <w:szCs w:val="24"/>
          <w:lang/>
        </w:rPr>
        <w:t> пункту 201.16 статті 201 цього Кодексу.</w:t>
      </w:r>
    </w:p>
    <w:p w14:paraId="662339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79" w:name="n14022"/>
      <w:bookmarkEnd w:id="3679"/>
      <w:r w:rsidRPr="008B264B">
        <w:rPr>
          <w:rFonts w:ascii="Times New Roman" w:eastAsia="Times New Roman" w:hAnsi="Times New Roman" w:cs="Times New Roman"/>
          <w:color w:val="000000"/>
          <w:sz w:val="24"/>
          <w:szCs w:val="24"/>
          <w:lang/>
        </w:rPr>
        <w:t>Відсутність реєстрації в Єдиному реєстрі податкових накладних </w:t>
      </w:r>
      <w:hyperlink r:id="rId1996"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xml:space="preserve"> та/або розрахунку коригування до такої податкової накладної, зазначених в абзаці першому цього </w:t>
      </w:r>
      <w:r w:rsidRPr="008B264B">
        <w:rPr>
          <w:rFonts w:ascii="Times New Roman" w:eastAsia="Times New Roman" w:hAnsi="Times New Roman" w:cs="Times New Roman"/>
          <w:color w:val="000000"/>
          <w:sz w:val="24"/>
          <w:szCs w:val="24"/>
          <w:lang/>
        </w:rPr>
        <w:lastRenderedPageBreak/>
        <w:t>пункту, після спливу 10 календарних днів, наступних за днем отримання платником податку податкового повідомлення-рішення, - тягне за собою накладення на платника податку штрафу в розмірі 50 відсотків суми податкових зобов’язань з податку на додану вартість, зазначеної в такій податковій накладній та/або розрахунку коригування до податкової накладної або від суми податку на додану вартість, нарахованого за операцією з постачання товарів/послуг, якщо податкову накладну на таку операцію не складено.</w:t>
      </w:r>
    </w:p>
    <w:p w14:paraId="70503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0" w:name="n14023"/>
      <w:bookmarkEnd w:id="3680"/>
      <w:r w:rsidRPr="008B264B">
        <w:rPr>
          <w:rFonts w:ascii="Times New Roman" w:eastAsia="Times New Roman" w:hAnsi="Times New Roman" w:cs="Times New Roman"/>
          <w:color w:val="000000"/>
          <w:sz w:val="24"/>
          <w:szCs w:val="24"/>
          <w:lang/>
        </w:rPr>
        <w:t>У разі реєстрації в Єдиному реєстрі податкових накладних </w:t>
      </w:r>
      <w:hyperlink r:id="rId1997"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та/або розрахунку коригування до такої податкової накладної, зазначених в абзаці першому цього пункту, протягом 10 календарних днів, наступних за днем отримання платником податку податкового повідомлення-рішення, штрафні санкції, передбачені абзацом другим цього пункту та пунктом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цієї статті, не застосовуються.</w:t>
      </w:r>
    </w:p>
    <w:p w14:paraId="50A8C0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1" w:name="n14024"/>
      <w:bookmarkEnd w:id="3681"/>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Допущення продавцем товарів/послуг помилок під час зазначення обов’язкових реквізитів </w:t>
      </w:r>
      <w:hyperlink r:id="rId1998"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передбачених </w:t>
      </w:r>
      <w:hyperlink r:id="rId1999" w:anchor="n10396" w:history="1">
        <w:r w:rsidRPr="008B264B">
          <w:rPr>
            <w:rFonts w:ascii="Times New Roman" w:eastAsia="Times New Roman" w:hAnsi="Times New Roman" w:cs="Times New Roman"/>
            <w:color w:val="0000FF"/>
            <w:sz w:val="24"/>
            <w:szCs w:val="24"/>
            <w:u w:val="single"/>
            <w:lang/>
          </w:rPr>
          <w:t>пунктом 201.1</w:t>
        </w:r>
      </w:hyperlink>
      <w:r w:rsidRPr="008B264B">
        <w:rPr>
          <w:rFonts w:ascii="Times New Roman" w:eastAsia="Times New Roman" w:hAnsi="Times New Roman" w:cs="Times New Roman"/>
          <w:color w:val="000000"/>
          <w:sz w:val="24"/>
          <w:szCs w:val="24"/>
          <w:lang/>
        </w:rPr>
        <w:t> статті 201 цього Кодексу, виявлених контролюючим органом за результатами перевірки, проведеної за заявою покупця, - тягне за собою накладення на платника податку - продавця штрафу в розмірі 170 гривень та зобов’язання виправити такі помилки.</w:t>
      </w:r>
    </w:p>
    <w:p w14:paraId="74E130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2" w:name="n14025"/>
      <w:bookmarkEnd w:id="3682"/>
      <w:r w:rsidRPr="008B264B">
        <w:rPr>
          <w:rFonts w:ascii="Times New Roman" w:eastAsia="Times New Roman" w:hAnsi="Times New Roman" w:cs="Times New Roman"/>
          <w:color w:val="000000"/>
          <w:sz w:val="24"/>
          <w:szCs w:val="24"/>
          <w:lang/>
        </w:rPr>
        <w:t>Невиконання податкового повідомлення-рішення контролюючого органу з попередженням про необхідність виправлення платником податків - продавцем зазначених в абзаці першому цього пункту помилок протягом 10 календарних днів, наступних за днем його отримання, - тягне за собою накладення на такого платника податку штрафу в розмірі:</w:t>
      </w:r>
    </w:p>
    <w:p w14:paraId="7E1EBE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3" w:name="n14026"/>
      <w:bookmarkEnd w:id="3683"/>
      <w:r w:rsidRPr="008B264B">
        <w:rPr>
          <w:rFonts w:ascii="Times New Roman" w:eastAsia="Times New Roman" w:hAnsi="Times New Roman" w:cs="Times New Roman"/>
          <w:color w:val="000000"/>
          <w:sz w:val="24"/>
          <w:szCs w:val="24"/>
          <w:lang/>
        </w:rPr>
        <w:t>10 відсотків суми податку на додану вартість, зазначеної в такій </w:t>
      </w:r>
      <w:hyperlink r:id="rId2000"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протягом 15 календарних днів;</w:t>
      </w:r>
    </w:p>
    <w:p w14:paraId="7C8D7C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4" w:name="n14027"/>
      <w:bookmarkEnd w:id="3684"/>
      <w:r w:rsidRPr="008B264B">
        <w:rPr>
          <w:rFonts w:ascii="Times New Roman" w:eastAsia="Times New Roman" w:hAnsi="Times New Roman" w:cs="Times New Roman"/>
          <w:color w:val="000000"/>
          <w:sz w:val="24"/>
          <w:szCs w:val="24"/>
          <w:lang/>
        </w:rPr>
        <w:t>20 відсотків суми податку на додану вартість, зазначеної в такій </w:t>
      </w:r>
      <w:hyperlink r:id="rId2001"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16 до 30 календарних днів;</w:t>
      </w:r>
    </w:p>
    <w:p w14:paraId="5ADB0A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5" w:name="n14028"/>
      <w:bookmarkEnd w:id="3685"/>
      <w:r w:rsidRPr="008B264B">
        <w:rPr>
          <w:rFonts w:ascii="Times New Roman" w:eastAsia="Times New Roman" w:hAnsi="Times New Roman" w:cs="Times New Roman"/>
          <w:color w:val="000000"/>
          <w:sz w:val="24"/>
          <w:szCs w:val="24"/>
          <w:lang/>
        </w:rPr>
        <w:t>30 відсотків суми податку на додану вартість, зазначеної в такій </w:t>
      </w:r>
      <w:hyperlink r:id="rId2002"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31 до 60 календарних днів;</w:t>
      </w:r>
    </w:p>
    <w:p w14:paraId="201F7C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6" w:name="n14029"/>
      <w:bookmarkEnd w:id="3686"/>
      <w:r w:rsidRPr="008B264B">
        <w:rPr>
          <w:rFonts w:ascii="Times New Roman" w:eastAsia="Times New Roman" w:hAnsi="Times New Roman" w:cs="Times New Roman"/>
          <w:color w:val="000000"/>
          <w:sz w:val="24"/>
          <w:szCs w:val="24"/>
          <w:lang/>
        </w:rPr>
        <w:t>40 відсотків суми податку на додану вартість, зазначеної в такій </w:t>
      </w:r>
      <w:hyperlink r:id="rId2003"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61 до 90 календарних днів;</w:t>
      </w:r>
    </w:p>
    <w:p w14:paraId="72EED0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7" w:name="n14030"/>
      <w:bookmarkEnd w:id="3687"/>
      <w:r w:rsidRPr="008B264B">
        <w:rPr>
          <w:rFonts w:ascii="Times New Roman" w:eastAsia="Times New Roman" w:hAnsi="Times New Roman" w:cs="Times New Roman"/>
          <w:color w:val="000000"/>
          <w:sz w:val="24"/>
          <w:szCs w:val="24"/>
          <w:lang/>
        </w:rPr>
        <w:t>50 відсотків суми податку на додану вартість, зазначеної в такій </w:t>
      </w:r>
      <w:hyperlink r:id="rId2004"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91 до 120 календарних днів;</w:t>
      </w:r>
    </w:p>
    <w:p w14:paraId="4EC6BC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8" w:name="n14031"/>
      <w:bookmarkEnd w:id="3688"/>
      <w:r w:rsidRPr="008B264B">
        <w:rPr>
          <w:rFonts w:ascii="Times New Roman" w:eastAsia="Times New Roman" w:hAnsi="Times New Roman" w:cs="Times New Roman"/>
          <w:color w:val="000000"/>
          <w:sz w:val="24"/>
          <w:szCs w:val="24"/>
          <w:lang/>
        </w:rPr>
        <w:t>60 відсотків суми податку на додану вартість, зазначеної в такій </w:t>
      </w:r>
      <w:hyperlink r:id="rId2005"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121 до 150 календарних днів;</w:t>
      </w:r>
    </w:p>
    <w:p w14:paraId="3946F3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89" w:name="n14032"/>
      <w:bookmarkEnd w:id="3689"/>
      <w:r w:rsidRPr="008B264B">
        <w:rPr>
          <w:rFonts w:ascii="Times New Roman" w:eastAsia="Times New Roman" w:hAnsi="Times New Roman" w:cs="Times New Roman"/>
          <w:color w:val="000000"/>
          <w:sz w:val="24"/>
          <w:szCs w:val="24"/>
          <w:lang/>
        </w:rPr>
        <w:t>70 відсотків суми податку на додану вартість, зазначеної в такій </w:t>
      </w:r>
      <w:hyperlink r:id="rId2006"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у строк від 151 до 180 календарних днів;</w:t>
      </w:r>
    </w:p>
    <w:p w14:paraId="71E8D7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0" w:name="n14033"/>
      <w:bookmarkEnd w:id="3690"/>
      <w:r w:rsidRPr="008B264B">
        <w:rPr>
          <w:rFonts w:ascii="Times New Roman" w:eastAsia="Times New Roman" w:hAnsi="Times New Roman" w:cs="Times New Roman"/>
          <w:color w:val="000000"/>
          <w:sz w:val="24"/>
          <w:szCs w:val="24"/>
          <w:lang/>
        </w:rPr>
        <w:t>100 відсотків суми податку на додану вартість, зазначеної в такій </w:t>
      </w:r>
      <w:hyperlink r:id="rId2007"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 у разі невиправлення помилок після спливу 181 календарного дня.</w:t>
      </w:r>
    </w:p>
    <w:p w14:paraId="0C8D21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1" w:name="n10584"/>
      <w:bookmarkEnd w:id="3691"/>
      <w:r w:rsidRPr="008B264B">
        <w:rPr>
          <w:rFonts w:ascii="Times New Roman" w:eastAsia="Times New Roman" w:hAnsi="Times New Roman" w:cs="Times New Roman"/>
          <w:i/>
          <w:iCs/>
          <w:color w:val="000000"/>
          <w:sz w:val="24"/>
          <w:szCs w:val="24"/>
          <w:lang/>
        </w:rPr>
        <w:t>{Кодекс доповнено статтею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008" w:anchor="n2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2009" w:anchor="n9"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w:t>
      </w:r>
      <w:hyperlink r:id="rId2010" w:anchor="n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2011" w:anchor="n80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5660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2" w:name="n12700"/>
      <w:bookmarkEnd w:id="3692"/>
      <w:r w:rsidRPr="008B264B">
        <w:rPr>
          <w:rFonts w:ascii="Times New Roman" w:eastAsia="Times New Roman" w:hAnsi="Times New Roman" w:cs="Times New Roman"/>
          <w:b/>
          <w:bCs/>
          <w:color w:val="000000"/>
          <w:sz w:val="24"/>
          <w:szCs w:val="24"/>
          <w:lang/>
        </w:rPr>
        <w:t>Стаття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Порушення порядку реєстрації акцизних накладних та розрахунків коригування до таких акцизних накладних в Єдиному реєстрі акцизних накладних</w:t>
      </w:r>
    </w:p>
    <w:p w14:paraId="15B792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3" w:name="n12701"/>
      <w:bookmarkEnd w:id="3693"/>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 Порушення платниками акцизного податку граничних термінів реєстрації перших примірників акцизних накладних/перших примірників розрахунків коригування до акцизних накладних в Єдиному реєстрі акцизних накладних, встановлених </w:t>
      </w:r>
      <w:hyperlink r:id="rId2012" w:anchor="n13174" w:history="1">
        <w:r w:rsidRPr="008B264B">
          <w:rPr>
            <w:rFonts w:ascii="Times New Roman" w:eastAsia="Times New Roman" w:hAnsi="Times New Roman" w:cs="Times New Roman"/>
            <w:color w:val="0000FF"/>
            <w:sz w:val="24"/>
            <w:szCs w:val="24"/>
            <w:u w:val="single"/>
            <w:lang/>
          </w:rPr>
          <w:t>статтею 231</w:t>
        </w:r>
      </w:hyperlink>
      <w:r w:rsidRPr="008B264B">
        <w:rPr>
          <w:rFonts w:ascii="Times New Roman" w:eastAsia="Times New Roman" w:hAnsi="Times New Roman" w:cs="Times New Roman"/>
          <w:color w:val="000000"/>
          <w:sz w:val="24"/>
          <w:szCs w:val="24"/>
          <w:lang/>
        </w:rPr>
        <w:t> цього Кодексу, або відсутність їх складання чи реєстрації в Єдиному реєстрі акцизних накладних, встановлених за результатами проведення документальної перевірки, -</w:t>
      </w:r>
    </w:p>
    <w:p w14:paraId="3E8D5F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4" w:name="n12702"/>
      <w:bookmarkEnd w:id="3694"/>
      <w:r w:rsidRPr="008B264B">
        <w:rPr>
          <w:rFonts w:ascii="Times New Roman" w:eastAsia="Times New Roman" w:hAnsi="Times New Roman" w:cs="Times New Roman"/>
          <w:color w:val="000000"/>
          <w:sz w:val="24"/>
          <w:szCs w:val="24"/>
          <w:lang/>
        </w:rPr>
        <w:lastRenderedPageBreak/>
        <w:t>тягне за собою накладення штрафу в розмірі:</w:t>
      </w:r>
    </w:p>
    <w:p w14:paraId="508FC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5" w:name="n12703"/>
      <w:bookmarkEnd w:id="3695"/>
      <w:r w:rsidRPr="008B264B">
        <w:rPr>
          <w:rFonts w:ascii="Times New Roman" w:eastAsia="Times New Roman" w:hAnsi="Times New Roman" w:cs="Times New Roman"/>
          <w:color w:val="000000"/>
          <w:sz w:val="24"/>
          <w:szCs w:val="24"/>
          <w:lang/>
        </w:rPr>
        <w:t>2 відсотків суми акцизного податку з відповідних обсягів пального або спирту етилового, зазначених у таких акцизних накладних/розрахунках коригування, або 2 відсотки суми акцизного податку з відповідних обсягів пального або спирту етилового, на які не складені або не зареєстровані акцизні накладні, - у разі порушення терміну реєстрації або відсутності реєстрації до 15 календарних днів;</w:t>
      </w:r>
    </w:p>
    <w:p w14:paraId="37182B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6" w:name="n12704"/>
      <w:bookmarkEnd w:id="3696"/>
      <w:r w:rsidRPr="008B264B">
        <w:rPr>
          <w:rFonts w:ascii="Times New Roman" w:eastAsia="Times New Roman" w:hAnsi="Times New Roman" w:cs="Times New Roman"/>
          <w:color w:val="000000"/>
          <w:sz w:val="24"/>
          <w:szCs w:val="24"/>
          <w:lang/>
        </w:rPr>
        <w:t>10 відсотків суми акцизного податку з відповідних обсягів пального або спирту етилового, зазначених у таких акцизних накладних/розрахунках коригування, або 10 відсотків суми акцизного податку з відповідних обсягів пального або спирту етилового, на які не складені або не зареєстровані акцизні накладні, - у разі порушення терміну реєстрації або відсутності реєстрації від 16 до 30 календарних днів;</w:t>
      </w:r>
    </w:p>
    <w:p w14:paraId="354140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7" w:name="n12705"/>
      <w:bookmarkEnd w:id="3697"/>
      <w:r w:rsidRPr="008B264B">
        <w:rPr>
          <w:rFonts w:ascii="Times New Roman" w:eastAsia="Times New Roman" w:hAnsi="Times New Roman" w:cs="Times New Roman"/>
          <w:color w:val="000000"/>
          <w:sz w:val="24"/>
          <w:szCs w:val="24"/>
          <w:lang/>
        </w:rPr>
        <w:t>20 відсотків суми акцизного податку з відповідних обсягів пального або спирту етилового, зазначених у таких акцизних накладних/розрахунках коригування, або 20 відсотків суми акцизного податку з відповідних обсягів пального або спирту етилового, на які не складені або не зареєстровані акцизні накладні, - у разі порушення терміну реєстрації або відсутності реєстрації від 31 до 60 календарних днів;</w:t>
      </w:r>
    </w:p>
    <w:p w14:paraId="2360A6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8" w:name="n12706"/>
      <w:bookmarkEnd w:id="3698"/>
      <w:r w:rsidRPr="008B264B">
        <w:rPr>
          <w:rFonts w:ascii="Times New Roman" w:eastAsia="Times New Roman" w:hAnsi="Times New Roman" w:cs="Times New Roman"/>
          <w:color w:val="000000"/>
          <w:sz w:val="24"/>
          <w:szCs w:val="24"/>
          <w:lang/>
        </w:rPr>
        <w:t>30 відсотків суми акцизного податку з відповідних обсягів пального або спирту етилового, зазначених у таких акцизних накладних/розрахунках коригування, або 30 відсотків суми акцизного податку з відповідних обсягів пального або спирту етилового, на які не складені або не зареєстровані акцизні накладні, - у разі порушення терміну реєстрації або відсутності реєстрації від 61 до 90 календарних днів;</w:t>
      </w:r>
    </w:p>
    <w:p w14:paraId="4DCF6B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699" w:name="n12707"/>
      <w:bookmarkEnd w:id="3699"/>
      <w:r w:rsidRPr="008B264B">
        <w:rPr>
          <w:rFonts w:ascii="Times New Roman" w:eastAsia="Times New Roman" w:hAnsi="Times New Roman" w:cs="Times New Roman"/>
          <w:color w:val="000000"/>
          <w:sz w:val="24"/>
          <w:szCs w:val="24"/>
          <w:lang/>
        </w:rPr>
        <w:t>40 відсотків суми акцизного податку з відповідних обсягів пального або спирту етилового, зазначених у таких акцизних накладних/розрахунках коригування, або 40 відсотків суми акцизного податку з відповідних обсягів пального або спирту етилового, на які не складені або не зареєстровані акцизні накладні, - у разі порушення терміну реєстрації або відсутності реєстрації на 91 і більше календарних днів.</w:t>
      </w:r>
    </w:p>
    <w:p w14:paraId="2952AC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0" w:name="n15506"/>
      <w:bookmarkEnd w:id="3700"/>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.1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013" w:anchor="n14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в редакції Закону </w:t>
      </w:r>
      <w:hyperlink r:id="rId2014" w:anchor="n4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3B834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1" w:name="n12708"/>
      <w:bookmarkEnd w:id="3701"/>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.2. Відсутність з вини платника акцизного податку реєстрації першого примірника акцизної накладної/першого примірника розрахунку коригування до акцизної накладної в Єдиному реєстрі акцизних накладних після спливу 10 календарних днів з дня отримання платником податку податкового повідомлення-рішення про застосування штрафу відповідно до </w:t>
      </w:r>
      <w:hyperlink r:id="rId2015" w:anchor="n12701" w:history="1">
        <w:r w:rsidRPr="008B264B">
          <w:rPr>
            <w:rFonts w:ascii="Times New Roman" w:eastAsia="Times New Roman" w:hAnsi="Times New Roman" w:cs="Times New Roman"/>
            <w:color w:val="0000FF"/>
            <w:sz w:val="24"/>
            <w:szCs w:val="24"/>
            <w:u w:val="single"/>
            <w:lang/>
          </w:rPr>
          <w:t>пункту 120</w:t>
        </w:r>
      </w:hyperlink>
      <w:hyperlink r:id="rId2016"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2017" w:anchor="n12701"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цієї статті, -</w:t>
      </w:r>
    </w:p>
    <w:p w14:paraId="2CB6A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2" w:name="n15931"/>
      <w:bookmarkEnd w:id="3702"/>
      <w:r w:rsidRPr="008B264B">
        <w:rPr>
          <w:rFonts w:ascii="Times New Roman" w:eastAsia="Times New Roman" w:hAnsi="Times New Roman" w:cs="Times New Roman"/>
          <w:i/>
          <w:iCs/>
          <w:color w:val="000000"/>
          <w:sz w:val="24"/>
          <w:szCs w:val="24"/>
          <w:lang/>
        </w:rPr>
        <w:t>{Абзац перший пункту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.2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в редакції Закону </w:t>
      </w:r>
      <w:hyperlink r:id="rId2018" w:anchor="n5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6C2FE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3" w:name="n12709"/>
      <w:bookmarkEnd w:id="3703"/>
      <w:r w:rsidRPr="008B264B">
        <w:rPr>
          <w:rFonts w:ascii="Times New Roman" w:eastAsia="Times New Roman" w:hAnsi="Times New Roman" w:cs="Times New Roman"/>
          <w:color w:val="000000"/>
          <w:sz w:val="24"/>
          <w:szCs w:val="24"/>
          <w:lang/>
        </w:rPr>
        <w:t>тягне за собою накладення штрафу в розмірі 50 відсотків суми акцизного податку з відповідних обсягів пального або спирту етилового, на які платник податку зобов’язаний скласти таку акцизну накладну/розрахунок коригування.</w:t>
      </w:r>
    </w:p>
    <w:p w14:paraId="31B0C6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4" w:name="n15507"/>
      <w:bookmarkEnd w:id="3704"/>
      <w:r w:rsidRPr="008B264B">
        <w:rPr>
          <w:rFonts w:ascii="Times New Roman" w:eastAsia="Times New Roman" w:hAnsi="Times New Roman" w:cs="Times New Roman"/>
          <w:i/>
          <w:iCs/>
          <w:color w:val="000000"/>
          <w:sz w:val="24"/>
          <w:szCs w:val="24"/>
          <w:lang/>
        </w:rPr>
        <w:t>{Абзац другий пункту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.2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019" w:anchor="n15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5BE06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5" w:name="n15933"/>
      <w:bookmarkEnd w:id="3705"/>
      <w:r w:rsidRPr="008B264B">
        <w:rPr>
          <w:rFonts w:ascii="Times New Roman" w:eastAsia="Times New Roman" w:hAnsi="Times New Roman" w:cs="Times New Roman"/>
          <w:color w:val="000000"/>
          <w:sz w:val="24"/>
          <w:szCs w:val="24"/>
          <w:lang/>
        </w:rPr>
        <w:t>При реєстрації першого примірника акцизних накладних/першого примірника розрахунку коригування в Єдиному реєстрі акцизних накладних, за відсутність реєстрації яких до платника акцизного податку було застосовано штраф, передбачений цим пунктом або </w:t>
      </w:r>
      <w:hyperlink r:id="rId2020" w:anchor="n12701" w:history="1">
        <w:r w:rsidRPr="008B264B">
          <w:rPr>
            <w:rFonts w:ascii="Times New Roman" w:eastAsia="Times New Roman" w:hAnsi="Times New Roman" w:cs="Times New Roman"/>
            <w:color w:val="0000FF"/>
            <w:sz w:val="24"/>
            <w:szCs w:val="24"/>
            <w:u w:val="single"/>
            <w:lang/>
          </w:rPr>
          <w:t>пунктом 120</w:t>
        </w:r>
      </w:hyperlink>
      <w:hyperlink r:id="rId2021"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2022" w:anchor="n12701"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цієї статті, штрафи за порушення платником акцизного податку граничних термінів реєстрації першого примірника такої акцизної накладної / такого першого примірника розрахунків коригування до акцизної накладної в Єдиному реєстрі акцизних накладних, передбачені </w:t>
      </w:r>
      <w:hyperlink r:id="rId2023" w:anchor="n12701" w:history="1">
        <w:r w:rsidRPr="008B264B">
          <w:rPr>
            <w:rFonts w:ascii="Times New Roman" w:eastAsia="Times New Roman" w:hAnsi="Times New Roman" w:cs="Times New Roman"/>
            <w:color w:val="0000FF"/>
            <w:sz w:val="24"/>
            <w:szCs w:val="24"/>
            <w:u w:val="single"/>
            <w:lang/>
          </w:rPr>
          <w:t>пунктом 120</w:t>
        </w:r>
      </w:hyperlink>
      <w:hyperlink r:id="rId2024"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2025" w:anchor="n12701"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цієї статті, не застосовуються.</w:t>
      </w:r>
    </w:p>
    <w:p w14:paraId="46152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6" w:name="n15932"/>
      <w:bookmarkEnd w:id="3706"/>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.2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2026" w:anchor="n5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4DD27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7" w:name="n15509"/>
      <w:bookmarkEnd w:id="3707"/>
      <w:r w:rsidRPr="008B264B">
        <w:rPr>
          <w:rFonts w:ascii="Times New Roman" w:eastAsia="Times New Roman" w:hAnsi="Times New Roman" w:cs="Times New Roman"/>
          <w:color w:val="000000"/>
          <w:sz w:val="24"/>
          <w:szCs w:val="24"/>
          <w:lang/>
        </w:rPr>
        <w:lastRenderedPageBreak/>
        <w:t>Відсутність з вини платника акцизного податку, який отримав пальне або спирт етиловий, реєстрації в Єдиному реєстрі акцизних накладних другого примірника акцизної накладної/другого примірника розрахунку коригування протягом більш як 120 календарних днів після граничного терміну реєстрації другого примірника акцизної накладної/розрахунку коригування -</w:t>
      </w:r>
    </w:p>
    <w:p w14:paraId="233359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8" w:name="n15511"/>
      <w:bookmarkEnd w:id="3708"/>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.2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доповнено абзацом згідно із Законом </w:t>
      </w:r>
      <w:hyperlink r:id="rId2027" w:anchor="n15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3F22A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09" w:name="n15510"/>
      <w:bookmarkEnd w:id="3709"/>
      <w:r w:rsidRPr="008B264B">
        <w:rPr>
          <w:rFonts w:ascii="Times New Roman" w:eastAsia="Times New Roman" w:hAnsi="Times New Roman" w:cs="Times New Roman"/>
          <w:color w:val="000000"/>
          <w:sz w:val="24"/>
          <w:szCs w:val="24"/>
          <w:lang/>
        </w:rPr>
        <w:t>тягне за собою накладення штрафу в розмірі 2 відсотків суми акцизного податку з відповідних обсягів пального або спирту етилового, зазначених у такій акцизній накладній/розрахунку коригування.</w:t>
      </w:r>
    </w:p>
    <w:p w14:paraId="7C63F7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0" w:name="n15508"/>
      <w:bookmarkEnd w:id="3710"/>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.2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доповнено абзацом згідно із Законом </w:t>
      </w:r>
      <w:hyperlink r:id="rId2028" w:anchor="n15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22507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1" w:name="n12710"/>
      <w:bookmarkEnd w:id="3711"/>
      <w:r w:rsidRPr="008B264B">
        <w:rPr>
          <w:rFonts w:ascii="Times New Roman" w:eastAsia="Times New Roman" w:hAnsi="Times New Roman" w:cs="Times New Roman"/>
          <w:color w:val="000000"/>
          <w:sz w:val="24"/>
          <w:szCs w:val="24"/>
          <w:lang/>
        </w:rPr>
        <w:t>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.3. Сума акцизного податку для цілей пунктів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.1 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.2 цієї статті визначається за ставкою, що встановлена на дату реалізації пального, та курсом Національного банку України, що діє на перший день кварталу, в якому здійснюється реалізація пального, а для спирту етилового - за ставкою, що встановлена на дату реалізації спирту етилового.</w:t>
      </w:r>
    </w:p>
    <w:p w14:paraId="01AFB9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2" w:name="n15512"/>
      <w:bookmarkEnd w:id="3712"/>
      <w:r w:rsidRPr="008B264B">
        <w:rPr>
          <w:rFonts w:ascii="Times New Roman" w:eastAsia="Times New Roman" w:hAnsi="Times New Roman" w:cs="Times New Roman"/>
          <w:i/>
          <w:iCs/>
          <w:color w:val="000000"/>
          <w:sz w:val="24"/>
          <w:szCs w:val="24"/>
          <w:lang/>
        </w:rPr>
        <w:t>{Пункт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.3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029" w:anchor="n1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D662F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3" w:name="n12699"/>
      <w:bookmarkEnd w:id="3713"/>
      <w:r w:rsidRPr="008B264B">
        <w:rPr>
          <w:rFonts w:ascii="Times New Roman" w:eastAsia="Times New Roman" w:hAnsi="Times New Roman" w:cs="Times New Roman"/>
          <w:i/>
          <w:iCs/>
          <w:color w:val="000000"/>
          <w:sz w:val="24"/>
          <w:szCs w:val="24"/>
          <w:lang/>
        </w:rPr>
        <w:t>{Кодекс доповнено статтею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2030" w:anchor="n9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43157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4" w:name="n2408"/>
      <w:bookmarkEnd w:id="3714"/>
      <w:r w:rsidRPr="008B264B">
        <w:rPr>
          <w:rFonts w:ascii="Times New Roman" w:eastAsia="Times New Roman" w:hAnsi="Times New Roman" w:cs="Times New Roman"/>
          <w:b/>
          <w:bCs/>
          <w:color w:val="000000"/>
          <w:sz w:val="24"/>
          <w:szCs w:val="24"/>
          <w:lang/>
        </w:rPr>
        <w:t>Стаття 121.</w:t>
      </w:r>
      <w:r w:rsidRPr="008B264B">
        <w:rPr>
          <w:rFonts w:ascii="Times New Roman" w:eastAsia="Times New Roman" w:hAnsi="Times New Roman" w:cs="Times New Roman"/>
          <w:color w:val="000000"/>
          <w:sz w:val="24"/>
          <w:szCs w:val="24"/>
          <w:lang/>
        </w:rPr>
        <w:t> Порушення встановлених законодавством строків зберігання документів з питань обчислення і сплати податків та зборів, а також документів, пов'язаних із виконанням вимог іншого законодавства, контроль за дотриманням якого покладено на контролюючі органи</w:t>
      </w:r>
    </w:p>
    <w:p w14:paraId="53FC28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5" w:name="n2409"/>
      <w:bookmarkEnd w:id="3715"/>
      <w:r w:rsidRPr="008B264B">
        <w:rPr>
          <w:rFonts w:ascii="Times New Roman" w:eastAsia="Times New Roman" w:hAnsi="Times New Roman" w:cs="Times New Roman"/>
          <w:color w:val="000000"/>
          <w:sz w:val="24"/>
          <w:szCs w:val="24"/>
          <w:lang/>
        </w:rPr>
        <w:t>121.1. Незабезпечення платником податків зберігання первинних документів, облікових та інших регістрів, бухгалтерської та статистичної звітності, інших документів з питань обчислення і сплати податків та зборів протягом установлених </w:t>
      </w:r>
      <w:hyperlink r:id="rId2031" w:anchor="n1110" w:history="1">
        <w:r w:rsidRPr="008B264B">
          <w:rPr>
            <w:rFonts w:ascii="Times New Roman" w:eastAsia="Times New Roman" w:hAnsi="Times New Roman" w:cs="Times New Roman"/>
            <w:color w:val="0000FF"/>
            <w:sz w:val="24"/>
            <w:szCs w:val="24"/>
            <w:u w:val="single"/>
            <w:lang/>
          </w:rPr>
          <w:t>статтею 44</w:t>
        </w:r>
      </w:hyperlink>
      <w:r w:rsidRPr="008B264B">
        <w:rPr>
          <w:rFonts w:ascii="Times New Roman" w:eastAsia="Times New Roman" w:hAnsi="Times New Roman" w:cs="Times New Roman"/>
          <w:color w:val="000000"/>
          <w:sz w:val="24"/>
          <w:szCs w:val="24"/>
          <w:lang/>
        </w:rPr>
        <w:t> цього Кодексу строків їх зберігання та/або ненадання платником податків контролюючим органам оригіналів документів (крім документів, отриманих з Єдиного реєстру податкових накладних) чи їх копій при здійсненні податкового контролю у випадках, передбачених цим Кодексом, -</w:t>
      </w:r>
    </w:p>
    <w:p w14:paraId="0B98CB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6" w:name="n12383"/>
      <w:bookmarkEnd w:id="3716"/>
      <w:r w:rsidRPr="008B264B">
        <w:rPr>
          <w:rFonts w:ascii="Times New Roman" w:eastAsia="Times New Roman" w:hAnsi="Times New Roman" w:cs="Times New Roman"/>
          <w:i/>
          <w:iCs/>
          <w:color w:val="000000"/>
          <w:sz w:val="24"/>
          <w:szCs w:val="24"/>
          <w:lang/>
        </w:rPr>
        <w:t>{Абзац перший пункту 121.1 статті 121 із змінами, внесеними згідно із Законом </w:t>
      </w:r>
      <w:hyperlink r:id="rId2032" w:anchor="n1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7FD5B5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7" w:name="n2410"/>
      <w:bookmarkEnd w:id="3717"/>
      <w:r w:rsidRPr="008B264B">
        <w:rPr>
          <w:rFonts w:ascii="Times New Roman" w:eastAsia="Times New Roman" w:hAnsi="Times New Roman" w:cs="Times New Roman"/>
          <w:color w:val="000000"/>
          <w:sz w:val="24"/>
          <w:szCs w:val="24"/>
          <w:lang/>
        </w:rPr>
        <w:t>тягнуть за собою накладення штрафу в розмірі 510 гривень.</w:t>
      </w:r>
    </w:p>
    <w:p w14:paraId="44AA33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8" w:name="n2411"/>
      <w:bookmarkEnd w:id="3718"/>
      <w:r w:rsidRPr="008B264B">
        <w:rPr>
          <w:rFonts w:ascii="Times New Roman" w:eastAsia="Times New Roman" w:hAnsi="Times New Roman" w:cs="Times New Roman"/>
          <w:color w:val="000000"/>
          <w:sz w:val="24"/>
          <w:szCs w:val="24"/>
          <w:lang/>
        </w:rPr>
        <w:t>Ті самі дії, вчинені платником податків, до якого протягом року було застосовано штраф за таке саме порушення, -</w:t>
      </w:r>
    </w:p>
    <w:p w14:paraId="507D40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19" w:name="n2412"/>
      <w:bookmarkEnd w:id="3719"/>
      <w:r w:rsidRPr="008B264B">
        <w:rPr>
          <w:rFonts w:ascii="Times New Roman" w:eastAsia="Times New Roman" w:hAnsi="Times New Roman" w:cs="Times New Roman"/>
          <w:color w:val="000000"/>
          <w:sz w:val="24"/>
          <w:szCs w:val="24"/>
          <w:lang/>
        </w:rPr>
        <w:t>тягнуть за собою накладення штрафу в розмірі 1020 гривень.</w:t>
      </w:r>
    </w:p>
    <w:p w14:paraId="70305E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0" w:name="n9522"/>
      <w:bookmarkEnd w:id="3720"/>
      <w:r w:rsidRPr="008B264B">
        <w:rPr>
          <w:rFonts w:ascii="Times New Roman" w:eastAsia="Times New Roman" w:hAnsi="Times New Roman" w:cs="Times New Roman"/>
          <w:i/>
          <w:iCs/>
          <w:color w:val="000000"/>
          <w:sz w:val="24"/>
          <w:szCs w:val="24"/>
          <w:lang/>
        </w:rPr>
        <w:t>{Пункт 121.1 статті 121 із змінами, внесеними згідно із Законом </w:t>
      </w:r>
      <w:hyperlink r:id="rId2033" w:anchor="n8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A9F5F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1" w:name="n2413"/>
      <w:bookmarkEnd w:id="3721"/>
      <w:r w:rsidRPr="008B264B">
        <w:rPr>
          <w:rFonts w:ascii="Times New Roman" w:eastAsia="Times New Roman" w:hAnsi="Times New Roman" w:cs="Times New Roman"/>
          <w:b/>
          <w:bCs/>
          <w:color w:val="000000"/>
          <w:sz w:val="24"/>
          <w:szCs w:val="24"/>
          <w:lang/>
        </w:rPr>
        <w:t>Стаття 122.</w:t>
      </w:r>
      <w:r w:rsidRPr="008B264B">
        <w:rPr>
          <w:rFonts w:ascii="Times New Roman" w:eastAsia="Times New Roman" w:hAnsi="Times New Roman" w:cs="Times New Roman"/>
          <w:color w:val="000000"/>
          <w:sz w:val="24"/>
          <w:szCs w:val="24"/>
          <w:lang/>
        </w:rPr>
        <w:t> Порушення правил застосування спрощеної системи оподаткування фізичною особою - підприємцем</w:t>
      </w:r>
    </w:p>
    <w:p w14:paraId="1F259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2" w:name="n2414"/>
      <w:bookmarkEnd w:id="3722"/>
      <w:r w:rsidRPr="008B264B">
        <w:rPr>
          <w:rFonts w:ascii="Times New Roman" w:eastAsia="Times New Roman" w:hAnsi="Times New Roman" w:cs="Times New Roman"/>
          <w:color w:val="000000"/>
          <w:sz w:val="24"/>
          <w:szCs w:val="24"/>
          <w:lang/>
        </w:rPr>
        <w:t>122.1. Несплата (неперерахування) фізичною особою - платником єдиного податку, визначеною </w:t>
      </w:r>
      <w:hyperlink r:id="rId2034" w:anchor="n6951" w:history="1">
        <w:r w:rsidRPr="008B264B">
          <w:rPr>
            <w:rFonts w:ascii="Times New Roman" w:eastAsia="Times New Roman" w:hAnsi="Times New Roman" w:cs="Times New Roman"/>
            <w:color w:val="0000FF"/>
            <w:sz w:val="24"/>
            <w:szCs w:val="24"/>
            <w:u w:val="single"/>
            <w:lang/>
          </w:rPr>
          <w:t>підпунктами 1</w:t>
        </w:r>
      </w:hyperlink>
      <w:hyperlink r:id="rId2035" w:anchor="n6951" w:history="1">
        <w:r w:rsidRPr="008B264B">
          <w:rPr>
            <w:rFonts w:ascii="Times New Roman" w:eastAsia="Times New Roman" w:hAnsi="Times New Roman" w:cs="Times New Roman"/>
            <w:color w:val="0000FF"/>
            <w:sz w:val="24"/>
            <w:szCs w:val="24"/>
            <w:u w:val="single"/>
            <w:lang/>
          </w:rPr>
          <w:t> </w:t>
        </w:r>
      </w:hyperlink>
      <w:r w:rsidRPr="008B264B">
        <w:rPr>
          <w:rFonts w:ascii="Times New Roman" w:eastAsia="Times New Roman" w:hAnsi="Times New Roman" w:cs="Times New Roman"/>
          <w:color w:val="000000"/>
          <w:sz w:val="24"/>
          <w:szCs w:val="24"/>
          <w:lang/>
        </w:rPr>
        <w:t>і </w:t>
      </w:r>
      <w:hyperlink r:id="rId2036" w:anchor="n6952" w:history="1">
        <w:r w:rsidRPr="008B264B">
          <w:rPr>
            <w:rFonts w:ascii="Times New Roman" w:eastAsia="Times New Roman" w:hAnsi="Times New Roman" w:cs="Times New Roman"/>
            <w:color w:val="0000FF"/>
            <w:sz w:val="24"/>
            <w:szCs w:val="24"/>
            <w:u w:val="single"/>
            <w:lang/>
          </w:rPr>
          <w:t>2 пункту 291.4</w:t>
        </w:r>
      </w:hyperlink>
      <w:r w:rsidRPr="008B264B">
        <w:rPr>
          <w:rFonts w:ascii="Times New Roman" w:eastAsia="Times New Roman" w:hAnsi="Times New Roman" w:cs="Times New Roman"/>
          <w:color w:val="000000"/>
          <w:sz w:val="24"/>
          <w:szCs w:val="24"/>
          <w:lang/>
        </w:rPr>
        <w:t> статті 291 цього Кодексу, авансових внесків єдиного податку в порядку та у строки, визначені цим Кодексом, тягне за собою накладення штрафу в розмірі 50 відсотків ставки єдиного податку, обраної платником єдиного податку відповідно до цього Кодексу.</w:t>
      </w:r>
    </w:p>
    <w:p w14:paraId="7F40B5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3" w:name="n2415"/>
      <w:bookmarkEnd w:id="3723"/>
      <w:r w:rsidRPr="008B264B">
        <w:rPr>
          <w:rFonts w:ascii="Times New Roman" w:eastAsia="Times New Roman" w:hAnsi="Times New Roman" w:cs="Times New Roman"/>
          <w:i/>
          <w:iCs/>
          <w:color w:val="000000"/>
          <w:sz w:val="24"/>
          <w:szCs w:val="24"/>
          <w:lang/>
        </w:rPr>
        <w:t>{Пункт 122.1 статті 122 в редакції Закону </w:t>
      </w:r>
      <w:hyperlink r:id="rId2037"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706CF9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4" w:name="n2416"/>
      <w:bookmarkEnd w:id="3724"/>
      <w:r w:rsidRPr="008B264B">
        <w:rPr>
          <w:rFonts w:ascii="Times New Roman" w:eastAsia="Times New Roman" w:hAnsi="Times New Roman" w:cs="Times New Roman"/>
          <w:b/>
          <w:bCs/>
          <w:color w:val="000000"/>
          <w:sz w:val="24"/>
          <w:szCs w:val="24"/>
          <w:lang/>
        </w:rPr>
        <w:t>Стаття 123.</w:t>
      </w:r>
      <w:r w:rsidRPr="008B264B">
        <w:rPr>
          <w:rFonts w:ascii="Times New Roman" w:eastAsia="Times New Roman" w:hAnsi="Times New Roman" w:cs="Times New Roman"/>
          <w:color w:val="000000"/>
          <w:sz w:val="24"/>
          <w:szCs w:val="24"/>
          <w:lang/>
        </w:rPr>
        <w:t> Штрафні (фінансові) санкції (штрафи) у разі визначення контролюючим органом суми податкового зобов'язання</w:t>
      </w:r>
    </w:p>
    <w:p w14:paraId="1FA2D8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5" w:name="n2417"/>
      <w:bookmarkEnd w:id="3725"/>
      <w:r w:rsidRPr="008B264B">
        <w:rPr>
          <w:rFonts w:ascii="Times New Roman" w:eastAsia="Times New Roman" w:hAnsi="Times New Roman" w:cs="Times New Roman"/>
          <w:color w:val="000000"/>
          <w:sz w:val="24"/>
          <w:szCs w:val="24"/>
          <w:lang/>
        </w:rPr>
        <w:t xml:space="preserve">123.1. У разі якщо контролюючий орган самостійно визначає суму податкового зобов'язання, зменшення суми бюджетного відшкодування та/або від'ємного значення суми податку на додану </w:t>
      </w:r>
      <w:r w:rsidRPr="008B264B">
        <w:rPr>
          <w:rFonts w:ascii="Times New Roman" w:eastAsia="Times New Roman" w:hAnsi="Times New Roman" w:cs="Times New Roman"/>
          <w:color w:val="000000"/>
          <w:sz w:val="24"/>
          <w:szCs w:val="24"/>
          <w:lang/>
        </w:rPr>
        <w:lastRenderedPageBreak/>
        <w:t>вартість платника податків на підставах, визначених підпунктами </w:t>
      </w:r>
      <w:hyperlink r:id="rId2038" w:anchor="n1303" w:history="1">
        <w:r w:rsidRPr="008B264B">
          <w:rPr>
            <w:rFonts w:ascii="Times New Roman" w:eastAsia="Times New Roman" w:hAnsi="Times New Roman" w:cs="Times New Roman"/>
            <w:color w:val="0000FF"/>
            <w:sz w:val="24"/>
            <w:szCs w:val="24"/>
            <w:u w:val="single"/>
            <w:lang/>
          </w:rPr>
          <w:t>54.3.1</w:t>
        </w:r>
      </w:hyperlink>
      <w:r w:rsidRPr="008B264B">
        <w:rPr>
          <w:rFonts w:ascii="Times New Roman" w:eastAsia="Times New Roman" w:hAnsi="Times New Roman" w:cs="Times New Roman"/>
          <w:color w:val="000000"/>
          <w:sz w:val="24"/>
          <w:szCs w:val="24"/>
          <w:lang/>
        </w:rPr>
        <w:t>, </w:t>
      </w:r>
      <w:hyperlink r:id="rId2039" w:anchor="n1304" w:history="1">
        <w:r w:rsidRPr="008B264B">
          <w:rPr>
            <w:rFonts w:ascii="Times New Roman" w:eastAsia="Times New Roman" w:hAnsi="Times New Roman" w:cs="Times New Roman"/>
            <w:color w:val="0000FF"/>
            <w:sz w:val="24"/>
            <w:szCs w:val="24"/>
            <w:u w:val="single"/>
            <w:lang/>
          </w:rPr>
          <w:t>54.3.2</w:t>
        </w:r>
      </w:hyperlink>
      <w:r w:rsidRPr="008B264B">
        <w:rPr>
          <w:rFonts w:ascii="Times New Roman" w:eastAsia="Times New Roman" w:hAnsi="Times New Roman" w:cs="Times New Roman"/>
          <w:color w:val="000000"/>
          <w:sz w:val="24"/>
          <w:szCs w:val="24"/>
          <w:lang/>
        </w:rPr>
        <w:t>, </w:t>
      </w:r>
      <w:hyperlink r:id="rId2040" w:anchor="n1307" w:history="1">
        <w:r w:rsidRPr="008B264B">
          <w:rPr>
            <w:rFonts w:ascii="Times New Roman" w:eastAsia="Times New Roman" w:hAnsi="Times New Roman" w:cs="Times New Roman"/>
            <w:color w:val="0000FF"/>
            <w:sz w:val="24"/>
            <w:szCs w:val="24"/>
            <w:u w:val="single"/>
            <w:lang/>
          </w:rPr>
          <w:t>54.3.4</w:t>
        </w:r>
      </w:hyperlink>
      <w:r w:rsidRPr="008B264B">
        <w:rPr>
          <w:rFonts w:ascii="Times New Roman" w:eastAsia="Times New Roman" w:hAnsi="Times New Roman" w:cs="Times New Roman"/>
          <w:color w:val="000000"/>
          <w:sz w:val="24"/>
          <w:szCs w:val="24"/>
          <w:lang/>
        </w:rPr>
        <w:t>, </w:t>
      </w:r>
      <w:hyperlink r:id="rId2041" w:anchor="n1308" w:history="1">
        <w:r w:rsidRPr="008B264B">
          <w:rPr>
            <w:rFonts w:ascii="Times New Roman" w:eastAsia="Times New Roman" w:hAnsi="Times New Roman" w:cs="Times New Roman"/>
            <w:color w:val="0000FF"/>
            <w:sz w:val="24"/>
            <w:szCs w:val="24"/>
            <w:u w:val="single"/>
            <w:lang/>
          </w:rPr>
          <w:t>54.3.5</w:t>
        </w:r>
      </w:hyperlink>
      <w:r w:rsidRPr="008B264B">
        <w:rPr>
          <w:rFonts w:ascii="Times New Roman" w:eastAsia="Times New Roman" w:hAnsi="Times New Roman" w:cs="Times New Roman"/>
          <w:color w:val="000000"/>
          <w:sz w:val="24"/>
          <w:szCs w:val="24"/>
          <w:lang/>
        </w:rPr>
        <w:t>, </w:t>
      </w:r>
      <w:hyperlink r:id="rId2042" w:anchor="n1309" w:history="1">
        <w:r w:rsidRPr="008B264B">
          <w:rPr>
            <w:rFonts w:ascii="Times New Roman" w:eastAsia="Times New Roman" w:hAnsi="Times New Roman" w:cs="Times New Roman"/>
            <w:color w:val="0000FF"/>
            <w:sz w:val="24"/>
            <w:szCs w:val="24"/>
            <w:u w:val="single"/>
            <w:lang/>
          </w:rPr>
          <w:t>54.3.6</w:t>
        </w:r>
      </w:hyperlink>
      <w:r w:rsidRPr="008B264B">
        <w:rPr>
          <w:rFonts w:ascii="Times New Roman" w:eastAsia="Times New Roman" w:hAnsi="Times New Roman" w:cs="Times New Roman"/>
          <w:color w:val="000000"/>
          <w:sz w:val="24"/>
          <w:szCs w:val="24"/>
          <w:lang/>
        </w:rPr>
        <w:t> пункту 54.3 статті 54 цього Кодексу, -</w:t>
      </w:r>
    </w:p>
    <w:p w14:paraId="4567E8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6" w:name="n2418"/>
      <w:bookmarkEnd w:id="3726"/>
      <w:r w:rsidRPr="008B264B">
        <w:rPr>
          <w:rFonts w:ascii="Times New Roman" w:eastAsia="Times New Roman" w:hAnsi="Times New Roman" w:cs="Times New Roman"/>
          <w:color w:val="000000"/>
          <w:sz w:val="24"/>
          <w:szCs w:val="24"/>
          <w:lang/>
        </w:rPr>
        <w:t>тягне за собою накладення на платника податків штрафу в розмірі 25 відсотків суми визначеного податкового зобов'язання, завищеної суми бюджетного відшкодування.</w:t>
      </w:r>
    </w:p>
    <w:p w14:paraId="3E5D43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7" w:name="n2419"/>
      <w:bookmarkEnd w:id="3727"/>
      <w:r w:rsidRPr="008B264B">
        <w:rPr>
          <w:rFonts w:ascii="Times New Roman" w:eastAsia="Times New Roman" w:hAnsi="Times New Roman" w:cs="Times New Roman"/>
          <w:color w:val="000000"/>
          <w:sz w:val="24"/>
          <w:szCs w:val="24"/>
          <w:lang/>
        </w:rPr>
        <w:t>При повторному протягом 1095 днів визначенні контролюючим органом суми податкового зобов'язання з цього податку, зменшення суми бюджетного відшкодування -</w:t>
      </w:r>
    </w:p>
    <w:p w14:paraId="1AE1F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8" w:name="n2420"/>
      <w:bookmarkEnd w:id="3728"/>
      <w:r w:rsidRPr="008B264B">
        <w:rPr>
          <w:rFonts w:ascii="Times New Roman" w:eastAsia="Times New Roman" w:hAnsi="Times New Roman" w:cs="Times New Roman"/>
          <w:color w:val="000000"/>
          <w:sz w:val="24"/>
          <w:szCs w:val="24"/>
          <w:lang/>
        </w:rPr>
        <w:t>тягне за собою накладення на платника податків штрафу у розмірі 50 відсотків суми нарахованого податкового зобов'язання, завищеної суми бюджетного відшкодування.</w:t>
      </w:r>
    </w:p>
    <w:p w14:paraId="69FDA7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29" w:name="n2421"/>
      <w:bookmarkEnd w:id="3729"/>
      <w:r w:rsidRPr="008B264B">
        <w:rPr>
          <w:rFonts w:ascii="Times New Roman" w:eastAsia="Times New Roman" w:hAnsi="Times New Roman" w:cs="Times New Roman"/>
          <w:i/>
          <w:iCs/>
          <w:color w:val="000000"/>
          <w:sz w:val="24"/>
          <w:szCs w:val="24"/>
          <w:lang/>
        </w:rPr>
        <w:t>{Пункт 123.1 статті 123 в редакції Закону </w:t>
      </w:r>
      <w:hyperlink r:id="rId204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318B4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0" w:name="n2422"/>
      <w:bookmarkEnd w:id="3730"/>
      <w:r w:rsidRPr="008B264B">
        <w:rPr>
          <w:rFonts w:ascii="Times New Roman" w:eastAsia="Times New Roman" w:hAnsi="Times New Roman" w:cs="Times New Roman"/>
          <w:color w:val="000000"/>
          <w:sz w:val="24"/>
          <w:szCs w:val="24"/>
          <w:lang/>
        </w:rPr>
        <w:t>123.2. Використання платником податків (посадовими особами платника податків) сум, що не сплачені до бюджету внаслідок отримання (застосування) податкової пільги, не за призначенням та/або всупереч умовам чи цілям її надання згідно із законом з питань відповідного податку, збору, платежу додатково до штрафів, передбачених пунктом 123.1 цієї статті, -</w:t>
      </w:r>
    </w:p>
    <w:p w14:paraId="25C358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1" w:name="n2423"/>
      <w:bookmarkEnd w:id="3731"/>
      <w:r w:rsidRPr="008B264B">
        <w:rPr>
          <w:rFonts w:ascii="Times New Roman" w:eastAsia="Times New Roman" w:hAnsi="Times New Roman" w:cs="Times New Roman"/>
          <w:color w:val="000000"/>
          <w:sz w:val="24"/>
          <w:szCs w:val="24"/>
          <w:lang/>
        </w:rPr>
        <w:t>тягне за собою стягнення до бюджету суми податків, зборів, платежів, що підлягали нарахуванню без застосування податкової пільги. Сплата штрафу не звільняє таких осіб від відповідальності за умисне ухилення від оподаткування.</w:t>
      </w:r>
    </w:p>
    <w:p w14:paraId="521C03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2" w:name="n10593"/>
      <w:bookmarkEnd w:id="3732"/>
      <w:r w:rsidRPr="008B264B">
        <w:rPr>
          <w:rFonts w:ascii="Times New Roman" w:eastAsia="Times New Roman" w:hAnsi="Times New Roman" w:cs="Times New Roman"/>
          <w:b/>
          <w:bCs/>
          <w:color w:val="000000"/>
          <w:sz w:val="24"/>
          <w:szCs w:val="24"/>
          <w:lang/>
        </w:rPr>
        <w:t>Стаття 123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Порушення вимог до договорів довгострокового страхування життя чи договорів страхування в межах недержавного пенсійного забезпечення, зокрема, страхування додаткової пенсії</w:t>
      </w:r>
    </w:p>
    <w:p w14:paraId="17D191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3" w:name="n10594"/>
      <w:bookmarkEnd w:id="3733"/>
      <w:r w:rsidRPr="008B264B">
        <w:rPr>
          <w:rFonts w:ascii="Times New Roman" w:eastAsia="Times New Roman" w:hAnsi="Times New Roman" w:cs="Times New Roman"/>
          <w:color w:val="000000"/>
          <w:sz w:val="24"/>
          <w:szCs w:val="24"/>
          <w:lang/>
        </w:rPr>
        <w:t>Якщо договір довгострокового страхування життя чи договір страхування в межах недержавного пенсійного забезпечення, зокрема, договір страхування додаткової пенсії, протягом перших п’яти років його дії розривається з будь-яких причин, крім випадку, передбаченого абзацом четвертим цієї статті, до закінчення мінімального строку його дії або до настання відповідного страхового випадку, встановлених цим Кодексом та іншим законодавством, в результаті чого відбувається часткова страхова виплата, виплата викупної суми чи повне припинення зобов’язань страховика за таким договором перед таким платником податку або порушуються інші вимоги, встановлені цим Кодексом до таких договорів, а також вимоги до договорів добровільного медичного страхування, крім випадку, передбаченого абзацом четвертим цієї статті, то платник податку-страхувальник, який визнав у бухгалтерському обліку витрати, зобов’язаний збільшити фінансовий результат до оподаткування звітного періоду на суму таких попередньо сплачених платежів, внесків, премій із нарахуванням пені в розмірі 120 відсотків облікової ставки Національного банку України, що діяла на кінець звітного періоду, в якому відбулося розірвання договору або такий договір перестав відповідати вимогам, передбаченим цим Кодексом.</w:t>
      </w:r>
    </w:p>
    <w:p w14:paraId="5DC3A8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4" w:name="n10595"/>
      <w:bookmarkEnd w:id="3734"/>
      <w:r w:rsidRPr="008B264B">
        <w:rPr>
          <w:rFonts w:ascii="Times New Roman" w:eastAsia="Times New Roman" w:hAnsi="Times New Roman" w:cs="Times New Roman"/>
          <w:color w:val="000000"/>
          <w:sz w:val="24"/>
          <w:szCs w:val="24"/>
          <w:lang/>
        </w:rPr>
        <w:t>Податкові зобов’язання страховика у зв’язку з обставинами, зазначеними в абзаці першому цього підпункту, за період до кінця звітного періоду, в якому відбулося розірвання договору довгострокового страхування життя чи договору страхування в межах недержавного пенсійного забезпечення, зокрема, договору страхування додаткової пенсії, або такий договір чи договір добровільного медичного страхування перестав відповідати вимогам, передбаченим цим Кодексом, корегуванню не підлягають.</w:t>
      </w:r>
    </w:p>
    <w:p w14:paraId="36121A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5" w:name="n10596"/>
      <w:bookmarkEnd w:id="3735"/>
      <w:r w:rsidRPr="008B264B">
        <w:rPr>
          <w:rFonts w:ascii="Times New Roman" w:eastAsia="Times New Roman" w:hAnsi="Times New Roman" w:cs="Times New Roman"/>
          <w:color w:val="000000"/>
          <w:sz w:val="24"/>
          <w:szCs w:val="24"/>
          <w:lang/>
        </w:rPr>
        <w:t>Штрафні санкції за заниження об’єкта оподаткування з податку на прибуток у випадках, визначених цим підпунктом, як до страховика, так і до платника податку не застосовуються.</w:t>
      </w:r>
    </w:p>
    <w:p w14:paraId="6F95CA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6" w:name="n10597"/>
      <w:bookmarkEnd w:id="3736"/>
      <w:r w:rsidRPr="008B264B">
        <w:rPr>
          <w:rFonts w:ascii="Times New Roman" w:eastAsia="Times New Roman" w:hAnsi="Times New Roman" w:cs="Times New Roman"/>
          <w:color w:val="000000"/>
          <w:sz w:val="24"/>
          <w:szCs w:val="24"/>
          <w:lang/>
        </w:rPr>
        <w:t>Договір довгострокового страхування життя, договір медичного страхування чи договір страхування в межах недержавного пенсійного забезпечення, зокрема, договір страхування додаткової пенсії, в якому страхувальником є роботодавець, може передбачати:</w:t>
      </w:r>
    </w:p>
    <w:p w14:paraId="609387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7" w:name="n10598"/>
      <w:bookmarkEnd w:id="3737"/>
      <w:r w:rsidRPr="008B264B">
        <w:rPr>
          <w:rFonts w:ascii="Times New Roman" w:eastAsia="Times New Roman" w:hAnsi="Times New Roman" w:cs="Times New Roman"/>
          <w:color w:val="000000"/>
          <w:sz w:val="24"/>
          <w:szCs w:val="24"/>
          <w:lang/>
        </w:rPr>
        <w:t>зміну страхувальника (роботодавця) на нового страхувальника, яким може бути або новий роботодавець, або застрахована особа, у разі звільнення застрахованої особи;</w:t>
      </w:r>
    </w:p>
    <w:p w14:paraId="16B69B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8" w:name="n10599"/>
      <w:bookmarkEnd w:id="3738"/>
      <w:r w:rsidRPr="008B264B">
        <w:rPr>
          <w:rFonts w:ascii="Times New Roman" w:eastAsia="Times New Roman" w:hAnsi="Times New Roman" w:cs="Times New Roman"/>
          <w:color w:val="000000"/>
          <w:sz w:val="24"/>
          <w:szCs w:val="24"/>
          <w:lang/>
        </w:rPr>
        <w:lastRenderedPageBreak/>
        <w:t>зміну страховика на нового страховика.</w:t>
      </w:r>
    </w:p>
    <w:p w14:paraId="76728D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39" w:name="n10600"/>
      <w:bookmarkEnd w:id="3739"/>
      <w:r w:rsidRPr="008B264B">
        <w:rPr>
          <w:rFonts w:ascii="Times New Roman" w:eastAsia="Times New Roman" w:hAnsi="Times New Roman" w:cs="Times New Roman"/>
          <w:color w:val="000000"/>
          <w:sz w:val="24"/>
          <w:szCs w:val="24"/>
          <w:lang/>
        </w:rPr>
        <w:t>При цьому така зміна страхувальника (страховика) повинна підтверджуватися тристоронньою угодою між страхувальником (страховиком), новим страхувальником (страховиком) та застрахованою особою.</w:t>
      </w:r>
    </w:p>
    <w:p w14:paraId="23B613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0" w:name="n10592"/>
      <w:bookmarkEnd w:id="3740"/>
      <w:r w:rsidRPr="008B264B">
        <w:rPr>
          <w:rFonts w:ascii="Times New Roman" w:eastAsia="Times New Roman" w:hAnsi="Times New Roman" w:cs="Times New Roman"/>
          <w:i/>
          <w:iCs/>
          <w:color w:val="000000"/>
          <w:sz w:val="24"/>
          <w:szCs w:val="24"/>
          <w:lang/>
        </w:rPr>
        <w:t>{Кодекс доповнено статтею 123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044" w:anchor="n2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148B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1" w:name="n2424"/>
      <w:bookmarkEnd w:id="3741"/>
      <w:r w:rsidRPr="008B264B">
        <w:rPr>
          <w:rFonts w:ascii="Times New Roman" w:eastAsia="Times New Roman" w:hAnsi="Times New Roman" w:cs="Times New Roman"/>
          <w:b/>
          <w:bCs/>
          <w:color w:val="000000"/>
          <w:sz w:val="24"/>
          <w:szCs w:val="24"/>
          <w:lang/>
        </w:rPr>
        <w:t>Стаття 124.</w:t>
      </w:r>
      <w:r w:rsidRPr="008B264B">
        <w:rPr>
          <w:rFonts w:ascii="Times New Roman" w:eastAsia="Times New Roman" w:hAnsi="Times New Roman" w:cs="Times New Roman"/>
          <w:color w:val="000000"/>
          <w:sz w:val="24"/>
          <w:szCs w:val="24"/>
          <w:lang/>
        </w:rPr>
        <w:t> Відчуження майна, яке перебуває у податковій заставі, без згоди контролюючого органу</w:t>
      </w:r>
    </w:p>
    <w:p w14:paraId="7E2C0E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2" w:name="n2425"/>
      <w:bookmarkEnd w:id="3742"/>
      <w:r w:rsidRPr="008B264B">
        <w:rPr>
          <w:rFonts w:ascii="Times New Roman" w:eastAsia="Times New Roman" w:hAnsi="Times New Roman" w:cs="Times New Roman"/>
          <w:color w:val="000000"/>
          <w:sz w:val="24"/>
          <w:szCs w:val="24"/>
          <w:lang/>
        </w:rPr>
        <w:t>124.1. Відчуження платником податків майна, яке перебуває у податковій заставі, без попередньої згоди контролюючого органу, якщо отримання такої згоди є обов'язковим згідно з цим Кодексом, -</w:t>
      </w:r>
    </w:p>
    <w:p w14:paraId="7B434C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3" w:name="n2426"/>
      <w:bookmarkEnd w:id="3743"/>
      <w:r w:rsidRPr="008B264B">
        <w:rPr>
          <w:rFonts w:ascii="Times New Roman" w:eastAsia="Times New Roman" w:hAnsi="Times New Roman" w:cs="Times New Roman"/>
          <w:color w:val="000000"/>
          <w:sz w:val="24"/>
          <w:szCs w:val="24"/>
          <w:lang/>
        </w:rPr>
        <w:t>тягне за собою накладення штрафу в розмірі вартості відчуженого майна.</w:t>
      </w:r>
    </w:p>
    <w:p w14:paraId="5FD947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4" w:name="n2427"/>
      <w:bookmarkEnd w:id="3744"/>
      <w:r w:rsidRPr="008B264B">
        <w:rPr>
          <w:rFonts w:ascii="Times New Roman" w:eastAsia="Times New Roman" w:hAnsi="Times New Roman" w:cs="Times New Roman"/>
          <w:i/>
          <w:iCs/>
          <w:color w:val="000000"/>
          <w:sz w:val="24"/>
          <w:szCs w:val="24"/>
          <w:lang/>
        </w:rPr>
        <w:t>{Статтю 125 виключено на підставі Закону </w:t>
      </w:r>
      <w:hyperlink r:id="rId2045" w:anchor="n2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DA34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5" w:name="n2436"/>
      <w:bookmarkEnd w:id="3745"/>
      <w:r w:rsidRPr="008B264B">
        <w:rPr>
          <w:rFonts w:ascii="Times New Roman" w:eastAsia="Times New Roman" w:hAnsi="Times New Roman" w:cs="Times New Roman"/>
          <w:b/>
          <w:bCs/>
          <w:color w:val="000000"/>
          <w:sz w:val="24"/>
          <w:szCs w:val="24"/>
          <w:lang/>
        </w:rPr>
        <w:t>Стаття 126.</w:t>
      </w:r>
      <w:r w:rsidRPr="008B264B">
        <w:rPr>
          <w:rFonts w:ascii="Times New Roman" w:eastAsia="Times New Roman" w:hAnsi="Times New Roman" w:cs="Times New Roman"/>
          <w:color w:val="000000"/>
          <w:sz w:val="24"/>
          <w:szCs w:val="24"/>
          <w:lang/>
        </w:rPr>
        <w:t> Порушення правил сплати (перерахування) податків</w:t>
      </w:r>
    </w:p>
    <w:p w14:paraId="6C3374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6" w:name="n2437"/>
      <w:bookmarkEnd w:id="3746"/>
      <w:r w:rsidRPr="008B264B">
        <w:rPr>
          <w:rFonts w:ascii="Times New Roman" w:eastAsia="Times New Roman" w:hAnsi="Times New Roman" w:cs="Times New Roman"/>
          <w:color w:val="000000"/>
          <w:sz w:val="24"/>
          <w:szCs w:val="24"/>
          <w:lang/>
        </w:rPr>
        <w:t>126.1. У разі якщо платник податків не сплачує узгоджену суму грошового зобов’язання (крім випадків, передбачених пунктом 126.2 цієї статті) протягом строків, визначених цим Кодексом, такий платник податків притягується до відповідальності у вигляді штрафу у таких розмірах:</w:t>
      </w:r>
    </w:p>
    <w:p w14:paraId="0D1063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7" w:name="n12711"/>
      <w:bookmarkEnd w:id="3747"/>
      <w:r w:rsidRPr="008B264B">
        <w:rPr>
          <w:rFonts w:ascii="Times New Roman" w:eastAsia="Times New Roman" w:hAnsi="Times New Roman" w:cs="Times New Roman"/>
          <w:i/>
          <w:iCs/>
          <w:color w:val="000000"/>
          <w:sz w:val="24"/>
          <w:szCs w:val="24"/>
          <w:lang/>
        </w:rPr>
        <w:t>{Абзац перший пункту 126.1 статті 126 із змінами, внесеними згідно із Законами </w:t>
      </w:r>
      <w:hyperlink r:id="rId2046" w:anchor="n10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047" w:anchor="n83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D62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8" w:name="n10602"/>
      <w:bookmarkEnd w:id="3748"/>
      <w:r w:rsidRPr="008B264B">
        <w:rPr>
          <w:rFonts w:ascii="Times New Roman" w:eastAsia="Times New Roman" w:hAnsi="Times New Roman" w:cs="Times New Roman"/>
          <w:color w:val="000000"/>
          <w:sz w:val="24"/>
          <w:szCs w:val="24"/>
          <w:lang/>
        </w:rPr>
        <w:t>при затримці до 30 календарних днів включно, наступних за останнім днем строку сплати суми грошового зобов’язання, - у розмірі 10 відсотків погашеної суми податкового боргу;</w:t>
      </w:r>
    </w:p>
    <w:p w14:paraId="59F3E4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49" w:name="n10603"/>
      <w:bookmarkEnd w:id="3749"/>
      <w:r w:rsidRPr="008B264B">
        <w:rPr>
          <w:rFonts w:ascii="Times New Roman" w:eastAsia="Times New Roman" w:hAnsi="Times New Roman" w:cs="Times New Roman"/>
          <w:color w:val="000000"/>
          <w:sz w:val="24"/>
          <w:szCs w:val="24"/>
          <w:lang/>
        </w:rPr>
        <w:t>при затримці більше 30 календарних днів, наступних за останнім днем строку сплати суми грошового зобов’язання, - у розмірі 20 відсотків погашеної суми податкового боргу.</w:t>
      </w:r>
    </w:p>
    <w:p w14:paraId="7C7FA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0" w:name="n10601"/>
      <w:bookmarkEnd w:id="3750"/>
      <w:r w:rsidRPr="008B264B">
        <w:rPr>
          <w:rFonts w:ascii="Times New Roman" w:eastAsia="Times New Roman" w:hAnsi="Times New Roman" w:cs="Times New Roman"/>
          <w:i/>
          <w:iCs/>
          <w:color w:val="000000"/>
          <w:sz w:val="24"/>
          <w:szCs w:val="24"/>
          <w:lang/>
        </w:rPr>
        <w:t>{Пункт 126.1 статті 126 із змінами, внесеними згідно із Законами </w:t>
      </w:r>
      <w:hyperlink r:id="rId20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049" w:anchor="n12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2050" w:anchor="n2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79D3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1" w:name="n14035"/>
      <w:bookmarkEnd w:id="3751"/>
      <w:r w:rsidRPr="008B264B">
        <w:rPr>
          <w:rFonts w:ascii="Times New Roman" w:eastAsia="Times New Roman" w:hAnsi="Times New Roman" w:cs="Times New Roman"/>
          <w:color w:val="000000"/>
          <w:sz w:val="24"/>
          <w:szCs w:val="24"/>
          <w:lang/>
        </w:rPr>
        <w:t>126.2. У разі порушення платником податків строку сплати до бюджету узгодженого грошового зобов’язання, передбаченого абзацом другим </w:t>
      </w:r>
      <w:hyperlink r:id="rId2051" w:anchor="n5596" w:history="1">
        <w:r w:rsidRPr="008B264B">
          <w:rPr>
            <w:rFonts w:ascii="Times New Roman" w:eastAsia="Times New Roman" w:hAnsi="Times New Roman" w:cs="Times New Roman"/>
            <w:color w:val="0000FF"/>
            <w:sz w:val="24"/>
            <w:szCs w:val="24"/>
            <w:u w:val="single"/>
            <w:lang/>
          </w:rPr>
          <w:t>підпункту 222.1.2</w:t>
        </w:r>
      </w:hyperlink>
      <w:r w:rsidRPr="008B264B">
        <w:rPr>
          <w:rFonts w:ascii="Times New Roman" w:eastAsia="Times New Roman" w:hAnsi="Times New Roman" w:cs="Times New Roman"/>
          <w:color w:val="000000"/>
          <w:sz w:val="24"/>
          <w:szCs w:val="24"/>
          <w:lang/>
        </w:rPr>
        <w:t> пункту 222.1 статті 222 цього Кодексу, такий платник податків притягується до відповідальності у вигляді штрафу в розмірі 20 відсотків суми такого грошового зобов’язання.</w:t>
      </w:r>
    </w:p>
    <w:p w14:paraId="760530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2" w:name="n14034"/>
      <w:bookmarkEnd w:id="3752"/>
      <w:r w:rsidRPr="008B264B">
        <w:rPr>
          <w:rFonts w:ascii="Times New Roman" w:eastAsia="Times New Roman" w:hAnsi="Times New Roman" w:cs="Times New Roman"/>
          <w:i/>
          <w:iCs/>
          <w:color w:val="000000"/>
          <w:sz w:val="24"/>
          <w:szCs w:val="24"/>
          <w:lang/>
        </w:rPr>
        <w:t>{Статтю 126 доповнено пунктом 126.2 згідно із Законом </w:t>
      </w:r>
      <w:hyperlink r:id="rId2052" w:anchor="n8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126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3" w:name="n14829"/>
      <w:bookmarkEnd w:id="3753"/>
      <w:r w:rsidRPr="008B264B">
        <w:rPr>
          <w:rFonts w:ascii="Times New Roman" w:eastAsia="Times New Roman" w:hAnsi="Times New Roman" w:cs="Times New Roman"/>
          <w:color w:val="000000"/>
          <w:sz w:val="24"/>
          <w:szCs w:val="24"/>
          <w:lang/>
        </w:rPr>
        <w:t>126.3. У разі якщо контролюючий орган не надіслав (не вручив) фізичній особі податкове/податкові повідомлення-рішення з податку на майно у строки, встановлені відповідними нормами цього Кодексу, фізичні особи звільняються від відповідальності, передбаченої цим Кодексом за несвоєчасну сплату податкового зобов’язання.</w:t>
      </w:r>
    </w:p>
    <w:p w14:paraId="1E5F3F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4" w:name="n14827"/>
      <w:bookmarkEnd w:id="3754"/>
      <w:r w:rsidRPr="008B264B">
        <w:rPr>
          <w:rFonts w:ascii="Times New Roman" w:eastAsia="Times New Roman" w:hAnsi="Times New Roman" w:cs="Times New Roman"/>
          <w:i/>
          <w:iCs/>
          <w:color w:val="000000"/>
          <w:sz w:val="24"/>
          <w:szCs w:val="24"/>
          <w:lang/>
        </w:rPr>
        <w:t>{Статтю 126 доповнено пунктом 126.3 згідно із Законами </w:t>
      </w:r>
      <w:hyperlink r:id="rId2053" w:anchor="n20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7144F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5" w:name="n2441"/>
      <w:bookmarkEnd w:id="3755"/>
      <w:r w:rsidRPr="008B264B">
        <w:rPr>
          <w:rFonts w:ascii="Times New Roman" w:eastAsia="Times New Roman" w:hAnsi="Times New Roman" w:cs="Times New Roman"/>
          <w:b/>
          <w:bCs/>
          <w:color w:val="000000"/>
          <w:sz w:val="24"/>
          <w:szCs w:val="24"/>
          <w:lang/>
        </w:rPr>
        <w:t>Стаття 127.</w:t>
      </w:r>
      <w:r w:rsidRPr="008B264B">
        <w:rPr>
          <w:rFonts w:ascii="Times New Roman" w:eastAsia="Times New Roman" w:hAnsi="Times New Roman" w:cs="Times New Roman"/>
          <w:color w:val="000000"/>
          <w:sz w:val="24"/>
          <w:szCs w:val="24"/>
          <w:lang/>
        </w:rPr>
        <w:t> Порушення правил нарахування, утримання та сплати (перерахування) податків у джерела виплати</w:t>
      </w:r>
    </w:p>
    <w:p w14:paraId="712A2E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6" w:name="n2442"/>
      <w:bookmarkEnd w:id="3756"/>
      <w:r w:rsidRPr="008B264B">
        <w:rPr>
          <w:rFonts w:ascii="Times New Roman" w:eastAsia="Times New Roman" w:hAnsi="Times New Roman" w:cs="Times New Roman"/>
          <w:color w:val="000000"/>
          <w:sz w:val="24"/>
          <w:szCs w:val="24"/>
          <w:lang/>
        </w:rPr>
        <w:t>127.1. Ненарахування, неутримання та/або несплата (неперерахування) податків платником податків, у тому числі податковим агентом, до або під час виплати доходу на користь іншого платника податків, -</w:t>
      </w:r>
    </w:p>
    <w:p w14:paraId="7A391B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7" w:name="n2443"/>
      <w:bookmarkEnd w:id="3757"/>
      <w:r w:rsidRPr="008B264B">
        <w:rPr>
          <w:rFonts w:ascii="Times New Roman" w:eastAsia="Times New Roman" w:hAnsi="Times New Roman" w:cs="Times New Roman"/>
          <w:color w:val="000000"/>
          <w:sz w:val="24"/>
          <w:szCs w:val="24"/>
          <w:lang/>
        </w:rPr>
        <w:t>тягнуть за собою накладення штрафу в розмірі 25 відсотків суми податку, що підлягає нарахуванню та/або сплаті до бюджету.</w:t>
      </w:r>
    </w:p>
    <w:p w14:paraId="7BE6CA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8" w:name="n2444"/>
      <w:bookmarkEnd w:id="3758"/>
      <w:r w:rsidRPr="008B264B">
        <w:rPr>
          <w:rFonts w:ascii="Times New Roman" w:eastAsia="Times New Roman" w:hAnsi="Times New Roman" w:cs="Times New Roman"/>
          <w:color w:val="000000"/>
          <w:sz w:val="24"/>
          <w:szCs w:val="24"/>
          <w:lang/>
        </w:rPr>
        <w:t>Ті самі дії, вчинені повторно протягом 1095 днів, -</w:t>
      </w:r>
    </w:p>
    <w:p w14:paraId="5FE731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59" w:name="n2445"/>
      <w:bookmarkEnd w:id="3759"/>
      <w:r w:rsidRPr="008B264B">
        <w:rPr>
          <w:rFonts w:ascii="Times New Roman" w:eastAsia="Times New Roman" w:hAnsi="Times New Roman" w:cs="Times New Roman"/>
          <w:color w:val="000000"/>
          <w:sz w:val="24"/>
          <w:szCs w:val="24"/>
          <w:lang/>
        </w:rPr>
        <w:lastRenderedPageBreak/>
        <w:t>тягнуть за собою накладення штрафу у розмірі 50 відсотків суми податку, що підлягає нарахуванню та/або сплаті до бюджету.</w:t>
      </w:r>
    </w:p>
    <w:p w14:paraId="437374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0" w:name="n2446"/>
      <w:bookmarkEnd w:id="3760"/>
      <w:r w:rsidRPr="008B264B">
        <w:rPr>
          <w:rFonts w:ascii="Times New Roman" w:eastAsia="Times New Roman" w:hAnsi="Times New Roman" w:cs="Times New Roman"/>
          <w:color w:val="000000"/>
          <w:sz w:val="24"/>
          <w:szCs w:val="24"/>
          <w:lang/>
        </w:rPr>
        <w:t>Дії, передбачені абзацом першим цього пункту, вчинені протягом 1095 днів втретє та більше, -</w:t>
      </w:r>
    </w:p>
    <w:p w14:paraId="3F5B0B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1" w:name="n2447"/>
      <w:bookmarkEnd w:id="3761"/>
      <w:r w:rsidRPr="008B264B">
        <w:rPr>
          <w:rFonts w:ascii="Times New Roman" w:eastAsia="Times New Roman" w:hAnsi="Times New Roman" w:cs="Times New Roman"/>
          <w:i/>
          <w:iCs/>
          <w:color w:val="000000"/>
          <w:sz w:val="24"/>
          <w:szCs w:val="24"/>
          <w:lang/>
        </w:rPr>
        <w:t>{Абзац п'ятий пункту 127.1 статті 127 із змінами, внесеними згідно із Законом </w:t>
      </w:r>
      <w:hyperlink r:id="rId205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2C51F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2" w:name="n2448"/>
      <w:bookmarkEnd w:id="3762"/>
      <w:r w:rsidRPr="008B264B">
        <w:rPr>
          <w:rFonts w:ascii="Times New Roman" w:eastAsia="Times New Roman" w:hAnsi="Times New Roman" w:cs="Times New Roman"/>
          <w:color w:val="000000"/>
          <w:sz w:val="24"/>
          <w:szCs w:val="24"/>
          <w:lang/>
        </w:rPr>
        <w:t>тягнуть за собою накладення штрафу у розмірі 75 відсотків суми податку, що підлягає нарахуванню та/або сплаті до бюджету.</w:t>
      </w:r>
    </w:p>
    <w:p w14:paraId="7F4E1A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3" w:name="n2449"/>
      <w:bookmarkEnd w:id="3763"/>
      <w:r w:rsidRPr="008B264B">
        <w:rPr>
          <w:rFonts w:ascii="Times New Roman" w:eastAsia="Times New Roman" w:hAnsi="Times New Roman" w:cs="Times New Roman"/>
          <w:color w:val="000000"/>
          <w:sz w:val="24"/>
          <w:szCs w:val="24"/>
          <w:lang/>
        </w:rPr>
        <w:t>Відповідальність за погашення суми податкового зобов'язання або податкового боргу, що виникає внаслідок вчинення таких дій, та обов'язок щодо погашення такого податкового боргу покладається на особу, визначену цим Кодексом, у тому числі на податкового агента. При цьому платник податку - отримувач таких доходів звільняється від обов'язків погашення такої суми податкових зобов'язань або податкового боргу, крім випадків, встановлених </w:t>
      </w:r>
      <w:hyperlink r:id="rId2055"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w:t>
      </w:r>
    </w:p>
    <w:p w14:paraId="72601D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4" w:name="n2450"/>
      <w:bookmarkEnd w:id="3764"/>
      <w:r w:rsidRPr="008B264B">
        <w:rPr>
          <w:rFonts w:ascii="Times New Roman" w:eastAsia="Times New Roman" w:hAnsi="Times New Roman" w:cs="Times New Roman"/>
          <w:i/>
          <w:iCs/>
          <w:color w:val="000000"/>
          <w:sz w:val="24"/>
          <w:szCs w:val="24"/>
          <w:lang/>
        </w:rPr>
        <w:t>{Абзац сьомий пункту 127.1 статті 127 із змінами, внесеними згідно із Законом </w:t>
      </w:r>
      <w:hyperlink r:id="rId205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C4D2C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5" w:name="n9524"/>
      <w:bookmarkEnd w:id="3765"/>
      <w:r w:rsidRPr="008B264B">
        <w:rPr>
          <w:rFonts w:ascii="Times New Roman" w:eastAsia="Times New Roman" w:hAnsi="Times New Roman" w:cs="Times New Roman"/>
          <w:color w:val="000000"/>
          <w:sz w:val="24"/>
          <w:szCs w:val="24"/>
          <w:lang/>
        </w:rPr>
        <w:t>Передбачені цим пунктом штрафи не застосовуються, коли ненарахування, неутримання та/або несплата (неперерахування) податку на доходи фізичних осіб самостійно виявляється податковим агентом при проведенні перерахунку цього податку, передбаченого </w:t>
      </w:r>
      <w:hyperlink r:id="rId2057" w:anchor="n3952" w:history="1">
        <w:r w:rsidRPr="008B264B">
          <w:rPr>
            <w:rFonts w:ascii="Times New Roman" w:eastAsia="Times New Roman" w:hAnsi="Times New Roman" w:cs="Times New Roman"/>
            <w:color w:val="0000FF"/>
            <w:sz w:val="24"/>
            <w:szCs w:val="24"/>
            <w:u w:val="single"/>
            <w:lang/>
          </w:rPr>
          <w:t>пунктом 169.4 статті 169</w:t>
        </w:r>
      </w:hyperlink>
      <w:r w:rsidRPr="008B264B">
        <w:rPr>
          <w:rFonts w:ascii="Times New Roman" w:eastAsia="Times New Roman" w:hAnsi="Times New Roman" w:cs="Times New Roman"/>
          <w:color w:val="000000"/>
          <w:sz w:val="24"/>
          <w:szCs w:val="24"/>
          <w:lang/>
        </w:rPr>
        <w:t> цього Кодексу, та виправляється в наступних податкових періодах протягом податкового (звітного) року згідно з нормами цього Кодексу.</w:t>
      </w:r>
    </w:p>
    <w:p w14:paraId="67BDB2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6" w:name="n9523"/>
      <w:bookmarkEnd w:id="3766"/>
      <w:r w:rsidRPr="008B264B">
        <w:rPr>
          <w:rFonts w:ascii="Times New Roman" w:eastAsia="Times New Roman" w:hAnsi="Times New Roman" w:cs="Times New Roman"/>
          <w:i/>
          <w:iCs/>
          <w:color w:val="000000"/>
          <w:sz w:val="24"/>
          <w:szCs w:val="24"/>
          <w:lang/>
        </w:rPr>
        <w:t>{Пункт 127.1 статті 127 доповнено абзацом восьмим згідно із Законом </w:t>
      </w:r>
      <w:hyperlink r:id="rId2058" w:anchor="n9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36B6C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7" w:name="n2451"/>
      <w:bookmarkEnd w:id="3767"/>
      <w:r w:rsidRPr="008B264B">
        <w:rPr>
          <w:rFonts w:ascii="Times New Roman" w:eastAsia="Times New Roman" w:hAnsi="Times New Roman" w:cs="Times New Roman"/>
          <w:b/>
          <w:bCs/>
          <w:color w:val="000000"/>
          <w:sz w:val="24"/>
          <w:szCs w:val="24"/>
          <w:lang/>
        </w:rPr>
        <w:t>Стаття 128.</w:t>
      </w:r>
      <w:r w:rsidRPr="008B264B">
        <w:rPr>
          <w:rFonts w:ascii="Times New Roman" w:eastAsia="Times New Roman" w:hAnsi="Times New Roman" w:cs="Times New Roman"/>
          <w:color w:val="000000"/>
          <w:sz w:val="24"/>
          <w:szCs w:val="24"/>
          <w:lang/>
        </w:rPr>
        <w:t> Неподання або подання з порушенням строку банками чи іншими фінансовими установами податкової інформації контролюючим органам</w:t>
      </w:r>
    </w:p>
    <w:p w14:paraId="7B3FBF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8" w:name="n2452"/>
      <w:bookmarkEnd w:id="3768"/>
      <w:r w:rsidRPr="008B264B">
        <w:rPr>
          <w:rFonts w:ascii="Times New Roman" w:eastAsia="Times New Roman" w:hAnsi="Times New Roman" w:cs="Times New Roman"/>
          <w:color w:val="000000"/>
          <w:sz w:val="24"/>
          <w:szCs w:val="24"/>
          <w:lang/>
        </w:rPr>
        <w:t>128.1. Неподання або подання податкової інформації банками чи іншими фінансовими установами з порушенням строку, визначеного цим Кодексом, контролюючим органам, -</w:t>
      </w:r>
    </w:p>
    <w:p w14:paraId="57A583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69" w:name="n2453"/>
      <w:bookmarkEnd w:id="3769"/>
      <w:r w:rsidRPr="008B264B">
        <w:rPr>
          <w:rFonts w:ascii="Times New Roman" w:eastAsia="Times New Roman" w:hAnsi="Times New Roman" w:cs="Times New Roman"/>
          <w:color w:val="000000"/>
          <w:sz w:val="24"/>
          <w:szCs w:val="24"/>
          <w:lang/>
        </w:rPr>
        <w:t>тягнуть за собою накладення штрафу в розмірі 170 гривень.</w:t>
      </w:r>
    </w:p>
    <w:p w14:paraId="03A663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0" w:name="n2454"/>
      <w:bookmarkEnd w:id="3770"/>
      <w:r w:rsidRPr="008B264B">
        <w:rPr>
          <w:rFonts w:ascii="Times New Roman" w:eastAsia="Times New Roman" w:hAnsi="Times New Roman" w:cs="Times New Roman"/>
          <w:color w:val="000000"/>
          <w:sz w:val="24"/>
          <w:szCs w:val="24"/>
          <w:lang/>
        </w:rPr>
        <w:t>Ті самі дії, вчинені протягом року після застосування штрафу, -</w:t>
      </w:r>
    </w:p>
    <w:p w14:paraId="21493B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1" w:name="n2455"/>
      <w:bookmarkEnd w:id="3771"/>
      <w:r w:rsidRPr="008B264B">
        <w:rPr>
          <w:rFonts w:ascii="Times New Roman" w:eastAsia="Times New Roman" w:hAnsi="Times New Roman" w:cs="Times New Roman"/>
          <w:color w:val="000000"/>
          <w:sz w:val="24"/>
          <w:szCs w:val="24"/>
          <w:lang/>
        </w:rPr>
        <w:t>тягнуть за собою накладення штрафу в розмірі 340 гривень.</w:t>
      </w:r>
    </w:p>
    <w:p w14:paraId="117F95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2" w:name="n12282"/>
      <w:bookmarkEnd w:id="3772"/>
      <w:r w:rsidRPr="008B264B">
        <w:rPr>
          <w:rFonts w:ascii="Times New Roman" w:eastAsia="Times New Roman" w:hAnsi="Times New Roman" w:cs="Times New Roman"/>
          <w:b/>
          <w:bCs/>
          <w:color w:val="000000"/>
          <w:sz w:val="24"/>
          <w:szCs w:val="24"/>
          <w:lang/>
        </w:rPr>
        <w:t>Стаття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Порушення правил обліку, виробництва та обігу пального або спирту етилового на акцизних складах</w:t>
      </w:r>
    </w:p>
    <w:p w14:paraId="6684F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3" w:name="n15513"/>
      <w:bookmarkEnd w:id="3773"/>
      <w:r w:rsidRPr="008B264B">
        <w:rPr>
          <w:rFonts w:ascii="Times New Roman" w:eastAsia="Times New Roman" w:hAnsi="Times New Roman" w:cs="Times New Roman"/>
          <w:i/>
          <w:iCs/>
          <w:color w:val="000000"/>
          <w:sz w:val="24"/>
          <w:szCs w:val="24"/>
          <w:lang/>
        </w:rPr>
        <w:t>{Назва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059" w:anchor="n15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5CA0B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4" w:name="n12283"/>
      <w:bookmarkEnd w:id="3774"/>
      <w:r w:rsidRPr="008B264B">
        <w:rPr>
          <w:rFonts w:ascii="Times New Roman" w:eastAsia="Times New Roman" w:hAnsi="Times New Roman" w:cs="Times New Roman"/>
          <w:color w:val="000000"/>
          <w:sz w:val="24"/>
          <w:szCs w:val="24"/>
          <w:lang/>
        </w:rPr>
        <w:t>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Необладнання та/або відсутність реєстрації в Єдиному державному реєстрі витратомірів-лічильників та рівнемірів-лічильників рівня пального у резервуарі рівнеміра-лічильника на введеному в експлуатацію резервуарі, розташованому на акцизному складі, та/або витратоміра-лічильника на місці відпуску пального наливом з акцизного складу, розташованого на акцизному складі, а також необладнання та/або відсутність реєстрації в Єдиному державному реєстрі витратомірів-лічильників обсягу виробленого спирту етилового витратоміра-лічильника спирту етилового на місці отримання та відпуску спирту етилового, розташованого на акцизному складі, -</w:t>
      </w:r>
    </w:p>
    <w:p w14:paraId="031BD6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5" w:name="n14831"/>
      <w:bookmarkEnd w:id="3775"/>
      <w:r w:rsidRPr="008B264B">
        <w:rPr>
          <w:rFonts w:ascii="Times New Roman" w:eastAsia="Times New Roman" w:hAnsi="Times New Roman" w:cs="Times New Roman"/>
          <w:color w:val="000000"/>
          <w:sz w:val="24"/>
          <w:szCs w:val="24"/>
          <w:lang/>
        </w:rPr>
        <w:t>тягнуть за собою накладення штрафу в розмірі 20000 гривень за кожний необладнаний резервуар та/або незареєстрований рівнемір-лічильник, а також за кожне необладнане місце відпуску пального наливом з акцизного складу або за кожне місце отримання та відпуску спирту етилового, та/або незареєстрований витратомір-лічильник/витратомір-лічильник спирту етилового.</w:t>
      </w:r>
    </w:p>
    <w:p w14:paraId="5E1210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6" w:name="n14832"/>
      <w:bookmarkEnd w:id="3776"/>
      <w:r w:rsidRPr="008B264B">
        <w:rPr>
          <w:rFonts w:ascii="Times New Roman" w:eastAsia="Times New Roman" w:hAnsi="Times New Roman" w:cs="Times New Roman"/>
          <w:color w:val="000000"/>
          <w:sz w:val="24"/>
          <w:szCs w:val="24"/>
          <w:lang/>
        </w:rPr>
        <w:lastRenderedPageBreak/>
        <w:t>Повторне протягом року вчинення на тому самому акцизному складі будь-якого з порушень, передбачених абзацом першим цього пункту, -</w:t>
      </w:r>
    </w:p>
    <w:p w14:paraId="75FEB2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7" w:name="n15516"/>
      <w:bookmarkEnd w:id="3777"/>
      <w:r w:rsidRPr="008B264B">
        <w:rPr>
          <w:rFonts w:ascii="Times New Roman" w:eastAsia="Times New Roman" w:hAnsi="Times New Roman" w:cs="Times New Roman"/>
          <w:color w:val="000000"/>
          <w:sz w:val="24"/>
          <w:szCs w:val="24"/>
          <w:lang/>
        </w:rPr>
        <w:t>тягне за собою накладення штрафу в розмірі 50000 гривень за кожний необладнаний резервуар та/або незареєстрований рівнемір-лічильник, а також за кожне необладнане місце відпуску пального наливом з акцизного складу або за кожне місце отримання та відпуску спирту етилового, та/або незареєстрований витратомір-лічильник/витратомір-лічильник спирту етилового.</w:t>
      </w:r>
    </w:p>
    <w:p w14:paraId="471363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8" w:name="n15514"/>
      <w:bookmarkEnd w:id="3778"/>
      <w:r w:rsidRPr="008B264B">
        <w:rPr>
          <w:rFonts w:ascii="Times New Roman" w:eastAsia="Times New Roman" w:hAnsi="Times New Roman" w:cs="Times New Roman"/>
          <w:i/>
          <w:iCs/>
          <w:color w:val="000000"/>
          <w:sz w:val="24"/>
          <w:szCs w:val="24"/>
          <w:lang/>
        </w:rPr>
        <w:t>{Пункт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2060" w:anchor="n15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DCD74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79" w:name="n15517"/>
      <w:bookmarkEnd w:id="3779"/>
      <w:r w:rsidRPr="008B264B">
        <w:rPr>
          <w:rFonts w:ascii="Times New Roman" w:eastAsia="Times New Roman" w:hAnsi="Times New Roman" w:cs="Times New Roman"/>
          <w:color w:val="000000"/>
          <w:sz w:val="24"/>
          <w:szCs w:val="24"/>
          <w:lang/>
        </w:rPr>
        <w:t>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Відсутність з вини платника податку реєстрації акцизних складів у системі електронного адміністрування реалізації пального та спирту етилового платником податку - розпорядником акцизного складу -</w:t>
      </w:r>
    </w:p>
    <w:p w14:paraId="5DF551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0" w:name="n15518"/>
      <w:bookmarkEnd w:id="3780"/>
      <w:r w:rsidRPr="008B264B">
        <w:rPr>
          <w:rFonts w:ascii="Times New Roman" w:eastAsia="Times New Roman" w:hAnsi="Times New Roman" w:cs="Times New Roman"/>
          <w:color w:val="000000"/>
          <w:sz w:val="24"/>
          <w:szCs w:val="24"/>
          <w:lang/>
        </w:rPr>
        <w:t>тягне за собою накладення штрафу в розмірі 1000000 гривень.</w:t>
      </w:r>
    </w:p>
    <w:p w14:paraId="275791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1" w:name="n15519"/>
      <w:bookmarkEnd w:id="3781"/>
      <w:r w:rsidRPr="008B264B">
        <w:rPr>
          <w:rFonts w:ascii="Times New Roman" w:eastAsia="Times New Roman" w:hAnsi="Times New Roman" w:cs="Times New Roman"/>
          <w:color w:val="000000"/>
          <w:sz w:val="24"/>
          <w:szCs w:val="24"/>
          <w:lang/>
        </w:rPr>
        <w:t>Ті самі дії, вчинені платником податків, до якого протягом року було застосовано штраф за таке саме порушення, -</w:t>
      </w:r>
    </w:p>
    <w:p w14:paraId="65722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2" w:name="n15520"/>
      <w:bookmarkEnd w:id="3782"/>
      <w:r w:rsidRPr="008B264B">
        <w:rPr>
          <w:rFonts w:ascii="Times New Roman" w:eastAsia="Times New Roman" w:hAnsi="Times New Roman" w:cs="Times New Roman"/>
          <w:color w:val="000000"/>
          <w:sz w:val="24"/>
          <w:szCs w:val="24"/>
          <w:lang/>
        </w:rPr>
        <w:t>тягнуть за собою накладення штрафу в розмірі 2000000 гривень.</w:t>
      </w:r>
    </w:p>
    <w:p w14:paraId="66592A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3" w:name="n15515"/>
      <w:bookmarkEnd w:id="3783"/>
      <w:r w:rsidRPr="008B264B">
        <w:rPr>
          <w:rFonts w:ascii="Times New Roman" w:eastAsia="Times New Roman" w:hAnsi="Times New Roman" w:cs="Times New Roman"/>
          <w:i/>
          <w:iCs/>
          <w:color w:val="000000"/>
          <w:sz w:val="24"/>
          <w:szCs w:val="24"/>
          <w:lang/>
        </w:rPr>
        <w:t>{Статтю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пунктом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згідно із Законом </w:t>
      </w:r>
      <w:hyperlink r:id="rId2061" w:anchor="n16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5C35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4" w:name="n15522"/>
      <w:bookmarkEnd w:id="3784"/>
      <w:r w:rsidRPr="008B264B">
        <w:rPr>
          <w:rFonts w:ascii="Times New Roman" w:eastAsia="Times New Roman" w:hAnsi="Times New Roman" w:cs="Times New Roman"/>
          <w:color w:val="000000"/>
          <w:sz w:val="24"/>
          <w:szCs w:val="24"/>
          <w:lang/>
        </w:rPr>
        <w:t>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Незабезпечення з вини розпорядника акцизного складу своєчасного подання до центрального органу виконавчої влади, що реалізує державну податкову та митну політику, електронних документів, що містять дані про фактичні залишки пального та обсяг обігу пального або спирту етилового, -</w:t>
      </w:r>
    </w:p>
    <w:p w14:paraId="319D9D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5" w:name="n15523"/>
      <w:bookmarkEnd w:id="3785"/>
      <w:r w:rsidRPr="008B264B">
        <w:rPr>
          <w:rFonts w:ascii="Times New Roman" w:eastAsia="Times New Roman" w:hAnsi="Times New Roman" w:cs="Times New Roman"/>
          <w:color w:val="000000"/>
          <w:sz w:val="24"/>
          <w:szCs w:val="24"/>
          <w:lang/>
        </w:rPr>
        <w:t>тягне за собою накладення штрафу в розмірі 1000 гривень за кожний неподаний електронний документ.</w:t>
      </w:r>
    </w:p>
    <w:p w14:paraId="06AE3C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6" w:name="n15521"/>
      <w:bookmarkEnd w:id="3786"/>
      <w:r w:rsidRPr="008B264B">
        <w:rPr>
          <w:rFonts w:ascii="Times New Roman" w:eastAsia="Times New Roman" w:hAnsi="Times New Roman" w:cs="Times New Roman"/>
          <w:i/>
          <w:iCs/>
          <w:color w:val="000000"/>
          <w:sz w:val="24"/>
          <w:szCs w:val="24"/>
          <w:lang/>
        </w:rPr>
        <w:t>{Статтю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пунктом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згідно із Законом </w:t>
      </w:r>
      <w:hyperlink r:id="rId2062" w:anchor="n16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54312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7" w:name="n12281"/>
      <w:bookmarkEnd w:id="3787"/>
      <w:r w:rsidRPr="008B264B">
        <w:rPr>
          <w:rFonts w:ascii="Times New Roman" w:eastAsia="Times New Roman" w:hAnsi="Times New Roman" w:cs="Times New Roman"/>
          <w:i/>
          <w:iCs/>
          <w:color w:val="000000"/>
          <w:sz w:val="24"/>
          <w:szCs w:val="24"/>
          <w:lang/>
        </w:rPr>
        <w:t>{Главу 11 доповнено статтею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063" w:anchor="n2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064" w:anchor="n10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2065" w:anchor="n20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91FCBF5"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3788" w:name="n2456"/>
      <w:bookmarkEnd w:id="3788"/>
      <w:r w:rsidRPr="008B264B">
        <w:rPr>
          <w:rFonts w:ascii="Times New Roman" w:eastAsia="Times New Roman" w:hAnsi="Times New Roman" w:cs="Times New Roman"/>
          <w:b/>
          <w:bCs/>
          <w:color w:val="000000"/>
          <w:sz w:val="28"/>
          <w:szCs w:val="28"/>
          <w:lang/>
        </w:rPr>
        <w:t>ГЛАВА 12. ПЕНЯ</w:t>
      </w:r>
    </w:p>
    <w:p w14:paraId="33E064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89" w:name="n2457"/>
      <w:bookmarkEnd w:id="3789"/>
      <w:r w:rsidRPr="008B264B">
        <w:rPr>
          <w:rFonts w:ascii="Times New Roman" w:eastAsia="Times New Roman" w:hAnsi="Times New Roman" w:cs="Times New Roman"/>
          <w:b/>
          <w:bCs/>
          <w:color w:val="000000"/>
          <w:sz w:val="24"/>
          <w:szCs w:val="24"/>
          <w:lang/>
        </w:rPr>
        <w:t>Стаття 129.</w:t>
      </w:r>
      <w:r w:rsidRPr="008B264B">
        <w:rPr>
          <w:rFonts w:ascii="Times New Roman" w:eastAsia="Times New Roman" w:hAnsi="Times New Roman" w:cs="Times New Roman"/>
          <w:color w:val="000000"/>
          <w:sz w:val="24"/>
          <w:szCs w:val="24"/>
          <w:lang/>
        </w:rPr>
        <w:t> Пеня</w:t>
      </w:r>
    </w:p>
    <w:p w14:paraId="42777F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0" w:name="n2458"/>
      <w:bookmarkEnd w:id="3790"/>
      <w:r w:rsidRPr="008B264B">
        <w:rPr>
          <w:rFonts w:ascii="Times New Roman" w:eastAsia="Times New Roman" w:hAnsi="Times New Roman" w:cs="Times New Roman"/>
          <w:color w:val="000000"/>
          <w:sz w:val="24"/>
          <w:szCs w:val="24"/>
          <w:lang/>
        </w:rPr>
        <w:t>129.1. Нарахування пені розпочинається:</w:t>
      </w:r>
    </w:p>
    <w:p w14:paraId="7D6B0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1" w:name="n2459"/>
      <w:bookmarkEnd w:id="3791"/>
      <w:r w:rsidRPr="008B264B">
        <w:rPr>
          <w:rFonts w:ascii="Times New Roman" w:eastAsia="Times New Roman" w:hAnsi="Times New Roman" w:cs="Times New Roman"/>
          <w:color w:val="000000"/>
          <w:sz w:val="24"/>
          <w:szCs w:val="24"/>
          <w:lang/>
        </w:rPr>
        <w:t>129.1.1. при нарахуванні суми грошового зобов’язання, визначеного контролюючим органом за результатами податкової перевірки, - починаючи з першого робочого дня, наступного за останнім днем граничного строку сплати платником податків податкового зобов’язання, визначеного цим Кодексом (у тому числі за період адміністративного та/або судового оскарження);</w:t>
      </w:r>
    </w:p>
    <w:p w14:paraId="0EA56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2" w:name="n2463"/>
      <w:bookmarkEnd w:id="3792"/>
      <w:r w:rsidRPr="008B264B">
        <w:rPr>
          <w:rFonts w:ascii="Times New Roman" w:eastAsia="Times New Roman" w:hAnsi="Times New Roman" w:cs="Times New Roman"/>
          <w:color w:val="000000"/>
          <w:sz w:val="24"/>
          <w:szCs w:val="24"/>
          <w:lang/>
        </w:rPr>
        <w:t>129.1.2. при нарахуванні суми податкового зобов’язання, визначеного контролюючим органом у випадках, не пов’язаних з проведенням податкових перевірок, - починаючи з першого робочого дня, наступного за останнім днем граничного строку сплати податкового зобов’язання (в тому числі за період адміністративного та/або судового оскарження);</w:t>
      </w:r>
    </w:p>
    <w:p w14:paraId="79BBE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3" w:name="n2464"/>
      <w:bookmarkEnd w:id="3793"/>
      <w:r w:rsidRPr="008B264B">
        <w:rPr>
          <w:rFonts w:ascii="Times New Roman" w:eastAsia="Times New Roman" w:hAnsi="Times New Roman" w:cs="Times New Roman"/>
          <w:color w:val="000000"/>
          <w:sz w:val="24"/>
          <w:szCs w:val="24"/>
          <w:lang/>
        </w:rPr>
        <w:t>129.1.3. при нарахуванні суми податкового зобов’язання, визначеного платником податків або податковим агентом, у тому числі у разі внесення змін до податкової звітності внаслідок самостійного виявлення платником податків помилок відповідно до </w:t>
      </w:r>
      <w:hyperlink r:id="rId2066" w:anchor="n1258" w:history="1">
        <w:r w:rsidRPr="008B264B">
          <w:rPr>
            <w:rFonts w:ascii="Times New Roman" w:eastAsia="Times New Roman" w:hAnsi="Times New Roman" w:cs="Times New Roman"/>
            <w:color w:val="0000FF"/>
            <w:sz w:val="24"/>
            <w:szCs w:val="24"/>
            <w:u w:val="single"/>
            <w:lang/>
          </w:rPr>
          <w:t>статті 50</w:t>
        </w:r>
      </w:hyperlink>
      <w:r w:rsidRPr="008B264B">
        <w:rPr>
          <w:rFonts w:ascii="Times New Roman" w:eastAsia="Times New Roman" w:hAnsi="Times New Roman" w:cs="Times New Roman"/>
          <w:color w:val="000000"/>
          <w:sz w:val="24"/>
          <w:szCs w:val="24"/>
          <w:lang/>
        </w:rPr>
        <w:t> цього Кодексу, - після спливу 90 календарних днів (270 календарних днів у разі здійснення платником податків самостійного коригування відповідно до </w:t>
      </w:r>
      <w:hyperlink r:id="rId2067" w:anchor="n11130" w:history="1">
        <w:r w:rsidRPr="008B264B">
          <w:rPr>
            <w:rFonts w:ascii="Times New Roman" w:eastAsia="Times New Roman" w:hAnsi="Times New Roman" w:cs="Times New Roman"/>
            <w:color w:val="0000FF"/>
            <w:sz w:val="24"/>
            <w:szCs w:val="24"/>
            <w:u w:val="single"/>
            <w:lang/>
          </w:rPr>
          <w:t>підпункту 39.5.4</w:t>
        </w:r>
      </w:hyperlink>
      <w:r w:rsidRPr="008B264B">
        <w:rPr>
          <w:rFonts w:ascii="Times New Roman" w:eastAsia="Times New Roman" w:hAnsi="Times New Roman" w:cs="Times New Roman"/>
          <w:color w:val="000000"/>
          <w:sz w:val="24"/>
          <w:szCs w:val="24"/>
          <w:lang/>
        </w:rPr>
        <w:t> пункту 39.5 статті 39 цього Кодексу), наступних за останнім днем граничного строку сплати податкового зобов’язання.</w:t>
      </w:r>
    </w:p>
    <w:p w14:paraId="38F1D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4" w:name="n15278"/>
      <w:bookmarkEnd w:id="3794"/>
      <w:r w:rsidRPr="008B264B">
        <w:rPr>
          <w:rFonts w:ascii="Times New Roman" w:eastAsia="Times New Roman" w:hAnsi="Times New Roman" w:cs="Times New Roman"/>
          <w:i/>
          <w:iCs/>
          <w:color w:val="000000"/>
          <w:sz w:val="24"/>
          <w:szCs w:val="24"/>
          <w:lang/>
        </w:rPr>
        <w:lastRenderedPageBreak/>
        <w:t>{Підпункт 129.1.3 пункту 129.1 статті 129 із змінами, внесеними згідно із Законом </w:t>
      </w:r>
      <w:hyperlink r:id="rId2068" w:anchor="n17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194D2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5" w:name="n14036"/>
      <w:bookmarkEnd w:id="3795"/>
      <w:r w:rsidRPr="008B264B">
        <w:rPr>
          <w:rFonts w:ascii="Times New Roman" w:eastAsia="Times New Roman" w:hAnsi="Times New Roman" w:cs="Times New Roman"/>
          <w:i/>
          <w:iCs/>
          <w:color w:val="000000"/>
          <w:sz w:val="24"/>
          <w:szCs w:val="24"/>
          <w:lang/>
        </w:rPr>
        <w:t>{Пункт 129.1 статті 129 із змінами, внесеними згідно із Законом </w:t>
      </w:r>
      <w:hyperlink r:id="rId2069" w:anchor="n62"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 в редакції Закону </w:t>
      </w:r>
      <w:hyperlink r:id="rId2070" w:anchor="n8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55FD7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6" w:name="n2465"/>
      <w:bookmarkEnd w:id="3796"/>
      <w:r w:rsidRPr="008B264B">
        <w:rPr>
          <w:rFonts w:ascii="Times New Roman" w:eastAsia="Times New Roman" w:hAnsi="Times New Roman" w:cs="Times New Roman"/>
          <w:color w:val="000000"/>
          <w:sz w:val="24"/>
          <w:szCs w:val="24"/>
          <w:lang/>
        </w:rPr>
        <w:t>129.2. У разі скасування нарахованого контролюючим органом грошового зобов'язання (його частини) у порядку адміністративного та/або судового оскарження пеня за період заниження такого грошового зобов'язання (його частини) скасовується.</w:t>
      </w:r>
    </w:p>
    <w:p w14:paraId="38CFB2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7" w:name="n2466"/>
      <w:bookmarkEnd w:id="3797"/>
      <w:r w:rsidRPr="008B264B">
        <w:rPr>
          <w:rFonts w:ascii="Times New Roman" w:eastAsia="Times New Roman" w:hAnsi="Times New Roman" w:cs="Times New Roman"/>
          <w:color w:val="000000"/>
          <w:sz w:val="24"/>
          <w:szCs w:val="24"/>
          <w:lang/>
        </w:rPr>
        <w:t>129.3. Нарахування пені закінчується:</w:t>
      </w:r>
    </w:p>
    <w:p w14:paraId="12FB9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8" w:name="n2467"/>
      <w:bookmarkEnd w:id="3798"/>
      <w:r w:rsidRPr="008B264B">
        <w:rPr>
          <w:rFonts w:ascii="Times New Roman" w:eastAsia="Times New Roman" w:hAnsi="Times New Roman" w:cs="Times New Roman"/>
          <w:color w:val="000000"/>
          <w:sz w:val="24"/>
          <w:szCs w:val="24"/>
          <w:lang/>
        </w:rPr>
        <w:t>129.3.1. у день зарахування коштів на відповідний рахунок органу, що здійснює казначейське обслуговування бюджетних коштів та/або в інших випадках погашення податкового боргу та/або грошових зобов'язань;</w:t>
      </w:r>
    </w:p>
    <w:p w14:paraId="580E85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799" w:name="n2468"/>
      <w:bookmarkEnd w:id="3799"/>
      <w:r w:rsidRPr="008B264B">
        <w:rPr>
          <w:rFonts w:ascii="Times New Roman" w:eastAsia="Times New Roman" w:hAnsi="Times New Roman" w:cs="Times New Roman"/>
          <w:i/>
          <w:iCs/>
          <w:color w:val="000000"/>
          <w:sz w:val="24"/>
          <w:szCs w:val="24"/>
          <w:lang/>
        </w:rPr>
        <w:t>{Підпункт 129.3.1 пункту 129.3 статті 129 із змінами, внесеними згідно з Законом </w:t>
      </w:r>
      <w:hyperlink r:id="rId2071" w:anchor="n12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0174E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0" w:name="n2469"/>
      <w:bookmarkEnd w:id="3800"/>
      <w:r w:rsidRPr="008B264B">
        <w:rPr>
          <w:rFonts w:ascii="Times New Roman" w:eastAsia="Times New Roman" w:hAnsi="Times New Roman" w:cs="Times New Roman"/>
          <w:color w:val="000000"/>
          <w:sz w:val="24"/>
          <w:szCs w:val="24"/>
          <w:lang/>
        </w:rPr>
        <w:t>129.3.2. у день проведення взаєморозрахунків непогашених зустрічних грошових зобов'язань відповідного бюджету перед таким платником податків;</w:t>
      </w:r>
    </w:p>
    <w:p w14:paraId="591E53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1" w:name="n2470"/>
      <w:bookmarkEnd w:id="3801"/>
      <w:r w:rsidRPr="008B264B">
        <w:rPr>
          <w:rFonts w:ascii="Times New Roman" w:eastAsia="Times New Roman" w:hAnsi="Times New Roman" w:cs="Times New Roman"/>
          <w:color w:val="000000"/>
          <w:sz w:val="24"/>
          <w:szCs w:val="24"/>
          <w:lang/>
        </w:rPr>
        <w:t>129.3.3. у день запровадження мораторію на задоволення вимог кредиторів (при винесенні відповідної ухвали суду у справі про банкрутство або прийнятті відповідного рішення Національним банком України);</w:t>
      </w:r>
    </w:p>
    <w:p w14:paraId="7B7D43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2" w:name="n2471"/>
      <w:bookmarkEnd w:id="3802"/>
      <w:r w:rsidRPr="008B264B">
        <w:rPr>
          <w:rFonts w:ascii="Times New Roman" w:eastAsia="Times New Roman" w:hAnsi="Times New Roman" w:cs="Times New Roman"/>
          <w:color w:val="000000"/>
          <w:sz w:val="24"/>
          <w:szCs w:val="24"/>
          <w:lang/>
        </w:rPr>
        <w:t>129.3.4. при прийнятті рішення щодо скасування або списання суми податкового боргу (його частини).</w:t>
      </w:r>
    </w:p>
    <w:p w14:paraId="0F9E16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3" w:name="n2472"/>
      <w:bookmarkEnd w:id="3803"/>
      <w:r w:rsidRPr="008B264B">
        <w:rPr>
          <w:rFonts w:ascii="Times New Roman" w:eastAsia="Times New Roman" w:hAnsi="Times New Roman" w:cs="Times New Roman"/>
          <w:color w:val="000000"/>
          <w:sz w:val="24"/>
          <w:szCs w:val="24"/>
          <w:lang/>
        </w:rPr>
        <w:t>У разі часткового погашення податкового боргу сума такої частки визначається з урахуванням пені, нарахованої на таку частку.</w:t>
      </w:r>
    </w:p>
    <w:p w14:paraId="3EBF60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4" w:name="n2473"/>
      <w:bookmarkEnd w:id="3804"/>
      <w:r w:rsidRPr="008B264B">
        <w:rPr>
          <w:rFonts w:ascii="Times New Roman" w:eastAsia="Times New Roman" w:hAnsi="Times New Roman" w:cs="Times New Roman"/>
          <w:color w:val="000000"/>
          <w:sz w:val="24"/>
          <w:szCs w:val="24"/>
          <w:lang/>
        </w:rPr>
        <w:t>129.4. На суми грошового зобов’язання, визначеного </w:t>
      </w:r>
      <w:hyperlink r:id="rId2072" w:anchor="n2459" w:history="1">
        <w:r w:rsidRPr="008B264B">
          <w:rPr>
            <w:rFonts w:ascii="Times New Roman" w:eastAsia="Times New Roman" w:hAnsi="Times New Roman" w:cs="Times New Roman"/>
            <w:color w:val="0000FF"/>
            <w:sz w:val="24"/>
            <w:szCs w:val="24"/>
            <w:u w:val="single"/>
            <w:lang/>
          </w:rPr>
          <w:t>підпунктами 129.1.1</w:t>
        </w:r>
      </w:hyperlink>
      <w:r w:rsidRPr="008B264B">
        <w:rPr>
          <w:rFonts w:ascii="Times New Roman" w:eastAsia="Times New Roman" w:hAnsi="Times New Roman" w:cs="Times New Roman"/>
          <w:color w:val="000000"/>
          <w:sz w:val="24"/>
          <w:szCs w:val="24"/>
          <w:lang/>
        </w:rPr>
        <w:t> та </w:t>
      </w:r>
      <w:hyperlink r:id="rId2073" w:anchor="n2463" w:history="1">
        <w:r w:rsidRPr="008B264B">
          <w:rPr>
            <w:rFonts w:ascii="Times New Roman" w:eastAsia="Times New Roman" w:hAnsi="Times New Roman" w:cs="Times New Roman"/>
            <w:color w:val="0000FF"/>
            <w:sz w:val="24"/>
            <w:szCs w:val="24"/>
            <w:u w:val="single"/>
            <w:lang/>
          </w:rPr>
          <w:t>129.1.2</w:t>
        </w:r>
      </w:hyperlink>
      <w:r w:rsidRPr="008B264B">
        <w:rPr>
          <w:rFonts w:ascii="Times New Roman" w:eastAsia="Times New Roman" w:hAnsi="Times New Roman" w:cs="Times New Roman"/>
          <w:color w:val="000000"/>
          <w:sz w:val="24"/>
          <w:szCs w:val="24"/>
          <w:lang/>
        </w:rPr>
        <w:t> пункту 129.1 цієї статті (включаючи суму штрафних санкцій за їх наявності та без урахування суми пені), та в інших випадках визначення пені відповідно до вимог цього Кодексу, коли її розмір не встановлений, нараховується пеня за кожний календарний день прострочення сплати грошового зобов’язання, включаючи день погашення, з розрахунку 120 відсотків річних облікової ставки Національного банку України, діючої на кожний такий день.</w:t>
      </w:r>
    </w:p>
    <w:p w14:paraId="4EE638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5" w:name="n2474"/>
      <w:bookmarkEnd w:id="3805"/>
      <w:r w:rsidRPr="008B264B">
        <w:rPr>
          <w:rFonts w:ascii="Times New Roman" w:eastAsia="Times New Roman" w:hAnsi="Times New Roman" w:cs="Times New Roman"/>
          <w:color w:val="000000"/>
          <w:sz w:val="24"/>
          <w:szCs w:val="24"/>
          <w:lang/>
        </w:rPr>
        <w:t>На суми грошового зобов’язання, визначеного </w:t>
      </w:r>
      <w:hyperlink r:id="rId2074" w:anchor="n2464" w:history="1">
        <w:r w:rsidRPr="008B264B">
          <w:rPr>
            <w:rFonts w:ascii="Times New Roman" w:eastAsia="Times New Roman" w:hAnsi="Times New Roman" w:cs="Times New Roman"/>
            <w:color w:val="0000FF"/>
            <w:sz w:val="24"/>
            <w:szCs w:val="24"/>
            <w:u w:val="single"/>
            <w:lang/>
          </w:rPr>
          <w:t>підпунктом 129.1.3</w:t>
        </w:r>
      </w:hyperlink>
      <w:r w:rsidRPr="008B264B">
        <w:rPr>
          <w:rFonts w:ascii="Times New Roman" w:eastAsia="Times New Roman" w:hAnsi="Times New Roman" w:cs="Times New Roman"/>
          <w:color w:val="000000"/>
          <w:sz w:val="24"/>
          <w:szCs w:val="24"/>
          <w:lang/>
        </w:rPr>
        <w:t> пункту 129.1 цієї статті (включаючи суму штрафних санкцій за їх наявності та без урахування суми пені), нараховується пеня за кожний календарний день прострочення у його сплаті, починаючи з 91 календарного дня (з 271 календарного дня у разі здійснення платником податків самостійного коригування відповідно до </w:t>
      </w:r>
      <w:hyperlink r:id="rId2075" w:anchor="n11130" w:history="1">
        <w:r w:rsidRPr="008B264B">
          <w:rPr>
            <w:rFonts w:ascii="Times New Roman" w:eastAsia="Times New Roman" w:hAnsi="Times New Roman" w:cs="Times New Roman"/>
            <w:color w:val="0000FF"/>
            <w:sz w:val="24"/>
            <w:szCs w:val="24"/>
            <w:u w:val="single"/>
            <w:lang/>
          </w:rPr>
          <w:t>підпункту 39.5.4</w:t>
        </w:r>
      </w:hyperlink>
      <w:r w:rsidRPr="008B264B">
        <w:rPr>
          <w:rFonts w:ascii="Times New Roman" w:eastAsia="Times New Roman" w:hAnsi="Times New Roman" w:cs="Times New Roman"/>
          <w:color w:val="000000"/>
          <w:sz w:val="24"/>
          <w:szCs w:val="24"/>
          <w:lang/>
        </w:rPr>
        <w:t> пункту 39.5 статті 39 цього Кодексу), що настає за останнім днем граничного строку сплати податкового зобов’язання, із розрахунку 100 відсотків річних облікової ставки Національного банку України, діючої на кожний такий день.</w:t>
      </w:r>
    </w:p>
    <w:p w14:paraId="712138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6" w:name="n15279"/>
      <w:bookmarkEnd w:id="3806"/>
      <w:r w:rsidRPr="008B264B">
        <w:rPr>
          <w:rFonts w:ascii="Times New Roman" w:eastAsia="Times New Roman" w:hAnsi="Times New Roman" w:cs="Times New Roman"/>
          <w:i/>
          <w:iCs/>
          <w:color w:val="000000"/>
          <w:sz w:val="24"/>
          <w:szCs w:val="24"/>
          <w:lang/>
        </w:rPr>
        <w:t>{Абзац другий пункту 129.4 статті 129 із змінами, внесеними згідно із Законом </w:t>
      </w:r>
      <w:hyperlink r:id="rId2076" w:anchor="n17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277DC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7" w:name="n14037"/>
      <w:bookmarkEnd w:id="3807"/>
      <w:r w:rsidRPr="008B264B">
        <w:rPr>
          <w:rFonts w:ascii="Times New Roman" w:eastAsia="Times New Roman" w:hAnsi="Times New Roman" w:cs="Times New Roman"/>
          <w:i/>
          <w:iCs/>
          <w:color w:val="000000"/>
          <w:sz w:val="24"/>
          <w:szCs w:val="24"/>
          <w:lang/>
        </w:rPr>
        <w:t>{Пункт 129.4 статті 129 в редакції Закону </w:t>
      </w:r>
      <w:hyperlink r:id="rId2077" w:anchor="n8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5887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8" w:name="n2476"/>
      <w:bookmarkEnd w:id="3808"/>
      <w:r w:rsidRPr="008B264B">
        <w:rPr>
          <w:rFonts w:ascii="Times New Roman" w:eastAsia="Times New Roman" w:hAnsi="Times New Roman" w:cs="Times New Roman"/>
          <w:color w:val="000000"/>
          <w:sz w:val="24"/>
          <w:szCs w:val="24"/>
          <w:lang/>
        </w:rPr>
        <w:t>129.5. Зазначений розмір пені застосовується щодо всіх видів податків, зборів та інших грошових зобов'язань, крім пені, яка нараховується за порушення строку розрахунку у сфері зовнішньоекономічної діяльності, що встановлюється відповідним законодавством.</w:t>
      </w:r>
    </w:p>
    <w:p w14:paraId="3E4A60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09" w:name="n2477"/>
      <w:bookmarkEnd w:id="3809"/>
      <w:r w:rsidRPr="008B264B">
        <w:rPr>
          <w:rFonts w:ascii="Times New Roman" w:eastAsia="Times New Roman" w:hAnsi="Times New Roman" w:cs="Times New Roman"/>
          <w:color w:val="000000"/>
          <w:sz w:val="24"/>
          <w:szCs w:val="24"/>
          <w:lang/>
        </w:rPr>
        <w:t>129.6. За порушення строку зарахування податків до бюджетів або державних цільових фондів, установлених </w:t>
      </w:r>
      <w:hyperlink r:id="rId2078" w:tgtFrame="_blank" w:history="1">
        <w:r w:rsidRPr="008B264B">
          <w:rPr>
            <w:rFonts w:ascii="Times New Roman" w:eastAsia="Times New Roman" w:hAnsi="Times New Roman" w:cs="Times New Roman"/>
            <w:color w:val="0000FF"/>
            <w:sz w:val="24"/>
            <w:szCs w:val="24"/>
            <w:u w:val="single"/>
            <w:lang/>
          </w:rPr>
          <w:t>Законом України "Про платіжні системи та переказ коштів в Україні"</w:t>
        </w:r>
      </w:hyperlink>
      <w:r w:rsidRPr="008B264B">
        <w:rPr>
          <w:rFonts w:ascii="Times New Roman" w:eastAsia="Times New Roman" w:hAnsi="Times New Roman" w:cs="Times New Roman"/>
          <w:color w:val="000000"/>
          <w:sz w:val="24"/>
          <w:szCs w:val="24"/>
          <w:lang/>
        </w:rPr>
        <w:t xml:space="preserve">, з вини банку або органу, що здійснює казначейське обслуговування бюджетних коштів, в якому відкриваються рахунки платників у системі електронного адміністрування податку на додану вартість, такий банк/орган сплачує пеню за кожний день прострочення, включаючи день сплати, </w:t>
      </w:r>
      <w:r w:rsidRPr="008B264B">
        <w:rPr>
          <w:rFonts w:ascii="Times New Roman" w:eastAsia="Times New Roman" w:hAnsi="Times New Roman" w:cs="Times New Roman"/>
          <w:color w:val="000000"/>
          <w:sz w:val="24"/>
          <w:szCs w:val="24"/>
          <w:lang/>
        </w:rPr>
        <w:lastRenderedPageBreak/>
        <w:t>та штрафні санкції у розмірах, встановлених цим Кодексом, а також несе іншу відповідальність, встановлену цим Кодексом, за порушення порядку своєчасного та повного внесення податків, зборів, платежів до бюджету або державного цільового фонду. При цьому платник податків звільняється від відповідальності за несвоєчасне або перерахування не в повному обсязі таких податків, зборів та інших платежів до бюджетів та державних цільових фондів, включаючи нараховану пеню або штрафні санкції.</w:t>
      </w:r>
    </w:p>
    <w:p w14:paraId="4660E6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0" w:name="n10607"/>
      <w:bookmarkEnd w:id="3810"/>
      <w:r w:rsidRPr="008B264B">
        <w:rPr>
          <w:rFonts w:ascii="Times New Roman" w:eastAsia="Times New Roman" w:hAnsi="Times New Roman" w:cs="Times New Roman"/>
          <w:i/>
          <w:iCs/>
          <w:color w:val="000000"/>
          <w:sz w:val="24"/>
          <w:szCs w:val="24"/>
          <w:lang/>
        </w:rPr>
        <w:t>{Пункт 129.6 статті 129 із змінами, внесеними згідно з Законом </w:t>
      </w:r>
      <w:hyperlink r:id="rId2079" w:anchor="n27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E690E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1" w:name="n2478"/>
      <w:bookmarkEnd w:id="3811"/>
      <w:r w:rsidRPr="008B264B">
        <w:rPr>
          <w:rFonts w:ascii="Times New Roman" w:eastAsia="Times New Roman" w:hAnsi="Times New Roman" w:cs="Times New Roman"/>
          <w:color w:val="000000"/>
          <w:sz w:val="24"/>
          <w:szCs w:val="24"/>
          <w:lang/>
        </w:rPr>
        <w:t>129.7. Не вважається порушенням строку перерахування податків, зборів, платежів з вини банку порушення, вчинене внаслідок регулювання Національним банком України економічних нормативів такого банку, що призводить до нестачі вільного залишку коштів на такому кореспондентському рахунку.</w:t>
      </w:r>
    </w:p>
    <w:p w14:paraId="6F5F0D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2" w:name="n2479"/>
      <w:bookmarkEnd w:id="3812"/>
      <w:r w:rsidRPr="008B264B">
        <w:rPr>
          <w:rFonts w:ascii="Times New Roman" w:eastAsia="Times New Roman" w:hAnsi="Times New Roman" w:cs="Times New Roman"/>
          <w:color w:val="000000"/>
          <w:sz w:val="24"/>
          <w:szCs w:val="24"/>
          <w:lang/>
        </w:rPr>
        <w:t>Якщо у майбутньому банк або його правонаступники відновлюють платоспроможність, відлік строку зарахування податків, зборів та інших платежів розпочинається з моменту такого відновлення.</w:t>
      </w:r>
    </w:p>
    <w:p w14:paraId="2C9BE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3" w:name="n2480"/>
      <w:bookmarkEnd w:id="3813"/>
      <w:r w:rsidRPr="008B264B">
        <w:rPr>
          <w:rFonts w:ascii="Times New Roman" w:eastAsia="Times New Roman" w:hAnsi="Times New Roman" w:cs="Times New Roman"/>
          <w:color w:val="000000"/>
          <w:sz w:val="24"/>
          <w:szCs w:val="24"/>
          <w:lang/>
        </w:rPr>
        <w:t>129.8. При стягненні коштів і майна платників податків - клієнтів банків, страхувальників страхових організацій або членів інших небанківських фінансових установ, утворених відповідно до закону, контролюючі органи або державні виконавці не мають права звертати стягнення на залишки коштів на кореспондентських рахунках банків, а також на страхові та прирівняні до них резерви банків, страхових організацій або фінансових установ, що сформовані відповідно до законодавства України.</w:t>
      </w:r>
    </w:p>
    <w:p w14:paraId="738EC0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4" w:name="n12612"/>
      <w:bookmarkEnd w:id="3814"/>
      <w:r w:rsidRPr="008B264B">
        <w:rPr>
          <w:rFonts w:ascii="Times New Roman" w:eastAsia="Times New Roman" w:hAnsi="Times New Roman" w:cs="Times New Roman"/>
          <w:i/>
          <w:iCs/>
          <w:color w:val="000000"/>
          <w:sz w:val="24"/>
          <w:szCs w:val="24"/>
          <w:lang/>
        </w:rPr>
        <w:t>{Пункт 129.9 статті 129 виключено на підставі Закону </w:t>
      </w:r>
      <w:hyperlink r:id="rId2080" w:anchor="n1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68D72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5" w:name="n2481"/>
      <w:bookmarkEnd w:id="3815"/>
      <w:r w:rsidRPr="008B264B">
        <w:rPr>
          <w:rFonts w:ascii="Times New Roman" w:eastAsia="Times New Roman" w:hAnsi="Times New Roman" w:cs="Times New Roman"/>
          <w:b/>
          <w:bCs/>
          <w:color w:val="000000"/>
          <w:sz w:val="24"/>
          <w:szCs w:val="24"/>
          <w:lang/>
        </w:rPr>
        <w:t>Стаття 130.</w:t>
      </w:r>
      <w:r w:rsidRPr="008B264B">
        <w:rPr>
          <w:rFonts w:ascii="Times New Roman" w:eastAsia="Times New Roman" w:hAnsi="Times New Roman" w:cs="Times New Roman"/>
          <w:color w:val="000000"/>
          <w:sz w:val="24"/>
          <w:szCs w:val="24"/>
          <w:lang/>
        </w:rPr>
        <w:t> Зупинення строків нарахування пені</w:t>
      </w:r>
    </w:p>
    <w:p w14:paraId="3B7F25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6" w:name="n2482"/>
      <w:bookmarkEnd w:id="3816"/>
      <w:r w:rsidRPr="008B264B">
        <w:rPr>
          <w:rFonts w:ascii="Times New Roman" w:eastAsia="Times New Roman" w:hAnsi="Times New Roman" w:cs="Times New Roman"/>
          <w:color w:val="000000"/>
          <w:sz w:val="24"/>
          <w:szCs w:val="24"/>
          <w:lang/>
        </w:rPr>
        <w:t>130.1. У разі якщо керівник (заступник керівника або уповноважена особа) контролюючого органу відповідно до процедури адміністративного оскарження приймає рішення про продовження строків розгляду скарги платника податків понад строки, визначені </w:t>
      </w:r>
      <w:hyperlink r:id="rId2081" w:anchor="n1321" w:history="1">
        <w:r w:rsidRPr="008B264B">
          <w:rPr>
            <w:rFonts w:ascii="Times New Roman" w:eastAsia="Times New Roman" w:hAnsi="Times New Roman" w:cs="Times New Roman"/>
            <w:color w:val="0000FF"/>
            <w:sz w:val="24"/>
            <w:szCs w:val="24"/>
            <w:u w:val="single"/>
            <w:lang/>
          </w:rPr>
          <w:t>статтею 56</w:t>
        </w:r>
      </w:hyperlink>
      <w:r w:rsidRPr="008B264B">
        <w:rPr>
          <w:rFonts w:ascii="Times New Roman" w:eastAsia="Times New Roman" w:hAnsi="Times New Roman" w:cs="Times New Roman"/>
          <w:color w:val="000000"/>
          <w:sz w:val="24"/>
          <w:szCs w:val="24"/>
          <w:lang/>
        </w:rPr>
        <w:t> цього Кодексу, пеня не нараховується протягом таких додаткових строків, незалежно від результатів адміністративного оскарження.</w:t>
      </w:r>
    </w:p>
    <w:p w14:paraId="17CC72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7" w:name="n14038"/>
      <w:bookmarkEnd w:id="3817"/>
      <w:r w:rsidRPr="008B264B">
        <w:rPr>
          <w:rFonts w:ascii="Times New Roman" w:eastAsia="Times New Roman" w:hAnsi="Times New Roman" w:cs="Times New Roman"/>
          <w:i/>
          <w:iCs/>
          <w:color w:val="000000"/>
          <w:sz w:val="24"/>
          <w:szCs w:val="24"/>
          <w:lang/>
        </w:rPr>
        <w:t>{Пункт 130.1 статті 130 із змінами, внесеними згідно із Законом </w:t>
      </w:r>
      <w:hyperlink r:id="rId2082" w:anchor="n8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4FEF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8" w:name="n2483"/>
      <w:bookmarkEnd w:id="3818"/>
      <w:r w:rsidRPr="008B264B">
        <w:rPr>
          <w:rFonts w:ascii="Times New Roman" w:eastAsia="Times New Roman" w:hAnsi="Times New Roman" w:cs="Times New Roman"/>
          <w:b/>
          <w:bCs/>
          <w:color w:val="000000"/>
          <w:sz w:val="24"/>
          <w:szCs w:val="24"/>
          <w:lang/>
        </w:rPr>
        <w:t>Стаття 131.</w:t>
      </w:r>
      <w:r w:rsidRPr="008B264B">
        <w:rPr>
          <w:rFonts w:ascii="Times New Roman" w:eastAsia="Times New Roman" w:hAnsi="Times New Roman" w:cs="Times New Roman"/>
          <w:color w:val="000000"/>
          <w:sz w:val="24"/>
          <w:szCs w:val="24"/>
          <w:lang/>
        </w:rPr>
        <w:t> Порядок сплати пені, нарахованої за невиконання податкового зобов'язання</w:t>
      </w:r>
    </w:p>
    <w:p w14:paraId="2AB1A0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19" w:name="n2484"/>
      <w:bookmarkEnd w:id="3819"/>
      <w:r w:rsidRPr="008B264B">
        <w:rPr>
          <w:rFonts w:ascii="Times New Roman" w:eastAsia="Times New Roman" w:hAnsi="Times New Roman" w:cs="Times New Roman"/>
          <w:color w:val="000000"/>
          <w:sz w:val="24"/>
          <w:szCs w:val="24"/>
          <w:lang/>
        </w:rPr>
        <w:t>131.1. Нараховані контролюючим органом суми пені самостійно сплачуються платником податків.</w:t>
      </w:r>
    </w:p>
    <w:p w14:paraId="7B6106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0" w:name="n2485"/>
      <w:bookmarkEnd w:id="3820"/>
      <w:r w:rsidRPr="008B264B">
        <w:rPr>
          <w:rFonts w:ascii="Times New Roman" w:eastAsia="Times New Roman" w:hAnsi="Times New Roman" w:cs="Times New Roman"/>
          <w:color w:val="000000"/>
          <w:sz w:val="24"/>
          <w:szCs w:val="24"/>
          <w:lang/>
        </w:rPr>
        <w:t>131.2. При погашенні суми податкового боргу (його частини) кошти, що сплачує такий платник податків, у першу чергу зараховуються в рахунок податкового зобов'язання. У разі повного погашення суми податкового боргу кошти, що сплачує такий платник податків, в наступну чергу зараховуються у рахунок погашення штрафів, в останню чергу зараховуються в рахунок пені.</w:t>
      </w:r>
    </w:p>
    <w:p w14:paraId="543579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1" w:name="n2486"/>
      <w:bookmarkEnd w:id="3821"/>
      <w:r w:rsidRPr="008B264B">
        <w:rPr>
          <w:rFonts w:ascii="Times New Roman" w:eastAsia="Times New Roman" w:hAnsi="Times New Roman" w:cs="Times New Roman"/>
          <w:color w:val="000000"/>
          <w:sz w:val="24"/>
          <w:szCs w:val="24"/>
          <w:lang/>
        </w:rPr>
        <w:t>Якщо платник податків не виконує встановленої цим пунктом черговості платежів або не визначає її у платіжному документі (чи визначає з порушенням зазначеного порядку), контролюючий орган самостійно здійснює такий розподіл такої суми у порядку, визначеному цим пунктом.</w:t>
      </w:r>
    </w:p>
    <w:p w14:paraId="22804F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2" w:name="n2487"/>
      <w:bookmarkEnd w:id="3822"/>
      <w:r w:rsidRPr="008B264B">
        <w:rPr>
          <w:rFonts w:ascii="Times New Roman" w:eastAsia="Times New Roman" w:hAnsi="Times New Roman" w:cs="Times New Roman"/>
          <w:color w:val="000000"/>
          <w:sz w:val="24"/>
          <w:szCs w:val="24"/>
          <w:lang/>
        </w:rPr>
        <w:t>131.3. Суми пені зараховуються до бюджетів або державних цільових фондів, до яких згідно із законом зараховуються відповідні податки.</w:t>
      </w:r>
    </w:p>
    <w:p w14:paraId="2F7A63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3" w:name="n2488"/>
      <w:bookmarkEnd w:id="3823"/>
      <w:r w:rsidRPr="008B264B">
        <w:rPr>
          <w:rFonts w:ascii="Times New Roman" w:eastAsia="Times New Roman" w:hAnsi="Times New Roman" w:cs="Times New Roman"/>
          <w:b/>
          <w:bCs/>
          <w:color w:val="000000"/>
          <w:sz w:val="24"/>
          <w:szCs w:val="24"/>
          <w:lang/>
        </w:rPr>
        <w:t>Стаття 132.</w:t>
      </w:r>
      <w:r w:rsidRPr="008B264B">
        <w:rPr>
          <w:rFonts w:ascii="Times New Roman" w:eastAsia="Times New Roman" w:hAnsi="Times New Roman" w:cs="Times New Roman"/>
          <w:color w:val="000000"/>
          <w:sz w:val="24"/>
          <w:szCs w:val="24"/>
          <w:lang/>
        </w:rPr>
        <w:t> Порядок нарахування пені у разі порушення умов, за яких надавалося звільнення (умовне звільнення) від оподаткування при ввезенні товарів на митну територію України</w:t>
      </w:r>
    </w:p>
    <w:p w14:paraId="055619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4" w:name="n2489"/>
      <w:bookmarkEnd w:id="3824"/>
      <w:r w:rsidRPr="008B264B">
        <w:rPr>
          <w:rFonts w:ascii="Times New Roman" w:eastAsia="Times New Roman" w:hAnsi="Times New Roman" w:cs="Times New Roman"/>
          <w:color w:val="000000"/>
          <w:sz w:val="24"/>
          <w:szCs w:val="24"/>
          <w:lang/>
        </w:rPr>
        <w:lastRenderedPageBreak/>
        <w:t>132.1. У разі порушення умов митних режимів, при розміщенні в які надано умовне звільнення від оподаткування, а також у разі порушення умов щодо цільового використання товарів, при ввезенні яких надано звільнення від оподаткування відповідно до цього Кодексу, особа, відповідальна за дотримання митного режиму, а також особа, відповідальна за дотримання умов, за яких надається звільнення від оподаткування (щодо цільового використання товарів), зобов'язані сплатити суму податкового зобов'язання, на яку було надано звільнення (умовне звільнення), та пеню, нараховану на суму такого податкового зобов'язання за період з дня надання звільнення (умовного звільнення) від оподаткування до дня оплати.</w:t>
      </w:r>
    </w:p>
    <w:p w14:paraId="5329E6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5" w:name="n2490"/>
      <w:bookmarkEnd w:id="3825"/>
      <w:r w:rsidRPr="008B264B">
        <w:rPr>
          <w:rFonts w:ascii="Times New Roman" w:eastAsia="Times New Roman" w:hAnsi="Times New Roman" w:cs="Times New Roman"/>
          <w:color w:val="000000"/>
          <w:sz w:val="24"/>
          <w:szCs w:val="24"/>
          <w:lang/>
        </w:rPr>
        <w:t>У разі направлення претензій щодо сплати податкових зобов'язань гаранту пеня нараховується на строк, що не перевищує 3 місяці з дня, що наступає за днем закінчення строку виконання зобов'язань, забезпечених гарантією.</w:t>
      </w:r>
    </w:p>
    <w:p w14:paraId="097FB2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6" w:name="n2491"/>
      <w:bookmarkEnd w:id="3826"/>
      <w:r w:rsidRPr="008B264B">
        <w:rPr>
          <w:rFonts w:ascii="Times New Roman" w:eastAsia="Times New Roman" w:hAnsi="Times New Roman" w:cs="Times New Roman"/>
          <w:color w:val="000000"/>
          <w:sz w:val="24"/>
          <w:szCs w:val="24"/>
          <w:lang/>
        </w:rPr>
        <w:t>Під час здійснення перевезень на умовах </w:t>
      </w:r>
      <w:hyperlink r:id="rId2083" w:tgtFrame="_blank" w:history="1">
        <w:r w:rsidRPr="008B264B">
          <w:rPr>
            <w:rFonts w:ascii="Times New Roman" w:eastAsia="Times New Roman" w:hAnsi="Times New Roman" w:cs="Times New Roman"/>
            <w:color w:val="0000FF"/>
            <w:sz w:val="24"/>
            <w:szCs w:val="24"/>
            <w:u w:val="single"/>
            <w:lang/>
          </w:rPr>
          <w:t>Митної конвенції про міжнародне перевезення вантажів із застосуванням книжки МДП 1975 року</w:t>
        </w:r>
      </w:hyperlink>
      <w:r w:rsidRPr="008B264B">
        <w:rPr>
          <w:rFonts w:ascii="Times New Roman" w:eastAsia="Times New Roman" w:hAnsi="Times New Roman" w:cs="Times New Roman"/>
          <w:color w:val="000000"/>
          <w:sz w:val="24"/>
          <w:szCs w:val="24"/>
          <w:lang/>
        </w:rPr>
        <w:t> нарахування пені призупиняється на строк до трьох місяців з дня отримання претензії гарантійним об'єднанням і поновлюється, якщо після закінчення цього строку претензія залишається неврегульованою.</w:t>
      </w:r>
    </w:p>
    <w:p w14:paraId="02F67A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7" w:name="n2492"/>
      <w:bookmarkEnd w:id="3827"/>
      <w:r w:rsidRPr="008B264B">
        <w:rPr>
          <w:rFonts w:ascii="Times New Roman" w:eastAsia="Times New Roman" w:hAnsi="Times New Roman" w:cs="Times New Roman"/>
          <w:i/>
          <w:iCs/>
          <w:color w:val="000000"/>
          <w:sz w:val="24"/>
          <w:szCs w:val="24"/>
          <w:lang/>
        </w:rPr>
        <w:t>{Пункт 132.1 статті 132 доповнено абзацом третім згідно із Законом </w:t>
      </w:r>
      <w:hyperlink r:id="rId2084" w:anchor="n29"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44D1F0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8" w:name="n2493"/>
      <w:bookmarkEnd w:id="3828"/>
      <w:r w:rsidRPr="008B264B">
        <w:rPr>
          <w:rFonts w:ascii="Times New Roman" w:eastAsia="Times New Roman" w:hAnsi="Times New Roman" w:cs="Times New Roman"/>
          <w:color w:val="000000"/>
          <w:sz w:val="24"/>
          <w:szCs w:val="24"/>
          <w:lang/>
        </w:rPr>
        <w:t>132.2. Для цілей обчислення пені строком сплати митних платежів вважається:</w:t>
      </w:r>
    </w:p>
    <w:p w14:paraId="44F6C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29" w:name="n2494"/>
      <w:bookmarkEnd w:id="3829"/>
      <w:r w:rsidRPr="008B264B">
        <w:rPr>
          <w:rFonts w:ascii="Times New Roman" w:eastAsia="Times New Roman" w:hAnsi="Times New Roman" w:cs="Times New Roman"/>
          <w:color w:val="000000"/>
          <w:sz w:val="24"/>
          <w:szCs w:val="24"/>
          <w:lang/>
        </w:rPr>
        <w:t>132.2.1. при використанні товарів в інших цілях, ніж ті, у зв'язку з якими було надано звільнення (умовне звільнення) від оподаткування митними платежами, - перший день, коли особою було порушено обмеження щодо користування та розпорядження товарами.</w:t>
      </w:r>
    </w:p>
    <w:p w14:paraId="4B5551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0" w:name="n2495"/>
      <w:bookmarkEnd w:id="3830"/>
      <w:r w:rsidRPr="008B264B">
        <w:rPr>
          <w:rFonts w:ascii="Times New Roman" w:eastAsia="Times New Roman" w:hAnsi="Times New Roman" w:cs="Times New Roman"/>
          <w:color w:val="000000"/>
          <w:sz w:val="24"/>
          <w:szCs w:val="24"/>
          <w:lang/>
        </w:rPr>
        <w:t>Якщо такий день установити неможливо, строком сплати митних платежів уважається день прийняття контролюючим органом </w:t>
      </w:r>
      <w:hyperlink r:id="rId2085" w:anchor="n14" w:tgtFrame="_blank" w:history="1">
        <w:r w:rsidRPr="008B264B">
          <w:rPr>
            <w:rFonts w:ascii="Times New Roman" w:eastAsia="Times New Roman" w:hAnsi="Times New Roman" w:cs="Times New Roman"/>
            <w:color w:val="0000FF"/>
            <w:sz w:val="24"/>
            <w:szCs w:val="24"/>
            <w:u w:val="single"/>
            <w:lang/>
          </w:rPr>
          <w:t>митної декларації</w:t>
        </w:r>
      </w:hyperlink>
      <w:r w:rsidRPr="008B264B">
        <w:rPr>
          <w:rFonts w:ascii="Times New Roman" w:eastAsia="Times New Roman" w:hAnsi="Times New Roman" w:cs="Times New Roman"/>
          <w:color w:val="000000"/>
          <w:sz w:val="24"/>
          <w:szCs w:val="24"/>
          <w:lang/>
        </w:rPr>
        <w:t> на такі товари;</w:t>
      </w:r>
    </w:p>
    <w:p w14:paraId="232129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1" w:name="n2496"/>
      <w:bookmarkEnd w:id="3831"/>
      <w:r w:rsidRPr="008B264B">
        <w:rPr>
          <w:rFonts w:ascii="Times New Roman" w:eastAsia="Times New Roman" w:hAnsi="Times New Roman" w:cs="Times New Roman"/>
          <w:color w:val="000000"/>
          <w:sz w:val="24"/>
          <w:szCs w:val="24"/>
          <w:lang/>
        </w:rPr>
        <w:t>132.2.2. при порушенні вимог і умов митних процедур, що відповідно до податкового законодавства тягне за собою обов'язок щодо сплати митних платежів - день здійснення такого порушення. Якщо такий день установити неможливо - строком сплати митних платежів уважається день початку дії відповідної митної процедури;</w:t>
      </w:r>
    </w:p>
    <w:p w14:paraId="4A41C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2" w:name="n2497"/>
      <w:bookmarkEnd w:id="3832"/>
      <w:r w:rsidRPr="008B264B">
        <w:rPr>
          <w:rFonts w:ascii="Times New Roman" w:eastAsia="Times New Roman" w:hAnsi="Times New Roman" w:cs="Times New Roman"/>
          <w:color w:val="000000"/>
          <w:sz w:val="24"/>
          <w:szCs w:val="24"/>
          <w:lang/>
        </w:rPr>
        <w:t>132.2.3. в інших випадках - день виникнення обов'язку щодо сплати митних платежів.</w:t>
      </w:r>
    </w:p>
    <w:p w14:paraId="59588C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3" w:name="n2498"/>
      <w:bookmarkEnd w:id="3833"/>
      <w:r w:rsidRPr="008B264B">
        <w:rPr>
          <w:rFonts w:ascii="Times New Roman" w:eastAsia="Times New Roman" w:hAnsi="Times New Roman" w:cs="Times New Roman"/>
          <w:color w:val="000000"/>
          <w:sz w:val="24"/>
          <w:szCs w:val="24"/>
          <w:lang/>
        </w:rPr>
        <w:t>132.3. У разі якщо платник податків до початку його перевірки контролюючим органом самостійно виявляє факт заниження податкового зобов'язання та погашає його, пеня не нараховується.</w:t>
      </w:r>
    </w:p>
    <w:p w14:paraId="351432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4" w:name="n2499"/>
      <w:bookmarkEnd w:id="3834"/>
      <w:r w:rsidRPr="008B264B">
        <w:rPr>
          <w:rFonts w:ascii="Times New Roman" w:eastAsia="Times New Roman" w:hAnsi="Times New Roman" w:cs="Times New Roman"/>
          <w:color w:val="000000"/>
          <w:sz w:val="24"/>
          <w:szCs w:val="24"/>
          <w:lang/>
        </w:rPr>
        <w:t>Це правило не застосовується, якщо:</w:t>
      </w:r>
    </w:p>
    <w:p w14:paraId="62EB8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5" w:name="n2500"/>
      <w:bookmarkEnd w:id="3835"/>
      <w:r w:rsidRPr="008B264B">
        <w:rPr>
          <w:rFonts w:ascii="Times New Roman" w:eastAsia="Times New Roman" w:hAnsi="Times New Roman" w:cs="Times New Roman"/>
          <w:color w:val="000000"/>
          <w:sz w:val="24"/>
          <w:szCs w:val="24"/>
          <w:lang/>
        </w:rPr>
        <w:t>а) платник податків не подає податкову декларацію за період, протягом якого відбулося таке заниження;</w:t>
      </w:r>
    </w:p>
    <w:p w14:paraId="01B71E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6" w:name="n2501"/>
      <w:bookmarkEnd w:id="3836"/>
      <w:r w:rsidRPr="008B264B">
        <w:rPr>
          <w:rFonts w:ascii="Times New Roman" w:eastAsia="Times New Roman" w:hAnsi="Times New Roman" w:cs="Times New Roman"/>
          <w:color w:val="000000"/>
          <w:sz w:val="24"/>
          <w:szCs w:val="24"/>
          <w:lang/>
        </w:rPr>
        <w:t>б) судом встановлено вчинення злочину посадовими особами платника податків або фізичною особою - платником податків щодо умисного ухилення від сплати зазначеного податкового зобов'язання.</w:t>
      </w:r>
    </w:p>
    <w:p w14:paraId="690EE23E"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3837" w:name="n2502"/>
      <w:bookmarkEnd w:id="3837"/>
      <w:r w:rsidRPr="008B264B">
        <w:rPr>
          <w:rFonts w:ascii="Times New Roman" w:eastAsia="Times New Roman" w:hAnsi="Times New Roman" w:cs="Times New Roman"/>
          <w:b/>
          <w:bCs/>
          <w:color w:val="000000"/>
          <w:sz w:val="28"/>
          <w:szCs w:val="28"/>
          <w:lang/>
        </w:rPr>
        <w:t>РОЗДІЛ III. ПОДАТОК НА ПРИБУТОК ПІДПРИЄМСТВ</w:t>
      </w:r>
    </w:p>
    <w:p w14:paraId="7B0A62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8" w:name="n10610"/>
      <w:bookmarkEnd w:id="3838"/>
      <w:r w:rsidRPr="008B264B">
        <w:rPr>
          <w:rFonts w:ascii="Times New Roman" w:eastAsia="Times New Roman" w:hAnsi="Times New Roman" w:cs="Times New Roman"/>
          <w:b/>
          <w:bCs/>
          <w:color w:val="000000"/>
          <w:sz w:val="24"/>
          <w:szCs w:val="24"/>
          <w:lang/>
        </w:rPr>
        <w:t>Стаття 133.</w:t>
      </w:r>
      <w:r w:rsidRPr="008B264B">
        <w:rPr>
          <w:rFonts w:ascii="Times New Roman" w:eastAsia="Times New Roman" w:hAnsi="Times New Roman" w:cs="Times New Roman"/>
          <w:color w:val="000000"/>
          <w:sz w:val="24"/>
          <w:szCs w:val="24"/>
          <w:lang/>
        </w:rPr>
        <w:t> Платники податку</w:t>
      </w:r>
    </w:p>
    <w:p w14:paraId="5873BF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39" w:name="n10611"/>
      <w:bookmarkEnd w:id="3839"/>
      <w:r w:rsidRPr="008B264B">
        <w:rPr>
          <w:rFonts w:ascii="Times New Roman" w:eastAsia="Times New Roman" w:hAnsi="Times New Roman" w:cs="Times New Roman"/>
          <w:color w:val="000000"/>
          <w:sz w:val="24"/>
          <w:szCs w:val="24"/>
          <w:lang/>
        </w:rPr>
        <w:t>133.1. Платниками податку - резидентами є:</w:t>
      </w:r>
    </w:p>
    <w:p w14:paraId="6B996E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0" w:name="n10612"/>
      <w:bookmarkEnd w:id="3840"/>
      <w:r w:rsidRPr="008B264B">
        <w:rPr>
          <w:rFonts w:ascii="Times New Roman" w:eastAsia="Times New Roman" w:hAnsi="Times New Roman" w:cs="Times New Roman"/>
          <w:color w:val="000000"/>
          <w:sz w:val="24"/>
          <w:szCs w:val="24"/>
          <w:lang/>
        </w:rPr>
        <w:t>133.1.1. суб’єкти господарювання - юридичні особи, які провадять господарську діяльність як на території України, так і за її межами, крім юридичних осіб, визначених пунктами 133.4 та 133.5 цієї статті.</w:t>
      </w:r>
    </w:p>
    <w:p w14:paraId="782C69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1" w:name="n12536"/>
      <w:bookmarkEnd w:id="3841"/>
      <w:r w:rsidRPr="008B264B">
        <w:rPr>
          <w:rFonts w:ascii="Times New Roman" w:eastAsia="Times New Roman" w:hAnsi="Times New Roman" w:cs="Times New Roman"/>
          <w:i/>
          <w:iCs/>
          <w:color w:val="000000"/>
          <w:sz w:val="24"/>
          <w:szCs w:val="24"/>
          <w:lang/>
        </w:rPr>
        <w:t>{Підпункт 133.1.1 пункту 133.1 статті 133 в редакції Закону </w:t>
      </w:r>
      <w:hyperlink r:id="rId2086" w:anchor="n23"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5AE329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2" w:name="n10618"/>
      <w:bookmarkEnd w:id="3842"/>
      <w:r w:rsidRPr="008B264B">
        <w:rPr>
          <w:rFonts w:ascii="Times New Roman" w:eastAsia="Times New Roman" w:hAnsi="Times New Roman" w:cs="Times New Roman"/>
          <w:i/>
          <w:iCs/>
          <w:color w:val="000000"/>
          <w:sz w:val="24"/>
          <w:szCs w:val="24"/>
          <w:lang/>
        </w:rPr>
        <w:lastRenderedPageBreak/>
        <w:t>{Підпункт 133.1.2 пункту 133.1 статті 133 виключено на підставі Закону </w:t>
      </w:r>
      <w:hyperlink r:id="rId2087" w:anchor="n8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7B23F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3" w:name="n10619"/>
      <w:bookmarkEnd w:id="3843"/>
      <w:r w:rsidRPr="008B264B">
        <w:rPr>
          <w:rFonts w:ascii="Times New Roman" w:eastAsia="Times New Roman" w:hAnsi="Times New Roman" w:cs="Times New Roman"/>
          <w:color w:val="000000"/>
          <w:sz w:val="24"/>
          <w:szCs w:val="24"/>
          <w:lang/>
        </w:rPr>
        <w:t>133.1.3. Управитель фонду операцій з нерухомістю, який здійснює діяльність відповідно до </w:t>
      </w:r>
      <w:hyperlink r:id="rId2088"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фінансово-кредитні механізми і управління майном при будівництві житла та операціях з нерухомістю" щодо операцій і результатів діяльності із довірчого управління, що здійснюється таким управителем через фонд.</w:t>
      </w:r>
    </w:p>
    <w:p w14:paraId="6C2829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4" w:name="n10620"/>
      <w:bookmarkEnd w:id="3844"/>
      <w:r w:rsidRPr="008B264B">
        <w:rPr>
          <w:rFonts w:ascii="Times New Roman" w:eastAsia="Times New Roman" w:hAnsi="Times New Roman" w:cs="Times New Roman"/>
          <w:color w:val="000000"/>
          <w:sz w:val="24"/>
          <w:szCs w:val="24"/>
          <w:lang/>
        </w:rPr>
        <w:t>133.2. Платниками податку - нерезидентами є:</w:t>
      </w:r>
    </w:p>
    <w:p w14:paraId="5BDAB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5" w:name="n10621"/>
      <w:bookmarkEnd w:id="3845"/>
      <w:r w:rsidRPr="008B264B">
        <w:rPr>
          <w:rFonts w:ascii="Times New Roman" w:eastAsia="Times New Roman" w:hAnsi="Times New Roman" w:cs="Times New Roman"/>
          <w:color w:val="000000"/>
          <w:sz w:val="24"/>
          <w:szCs w:val="24"/>
          <w:lang/>
        </w:rPr>
        <w:t>133.2.1. юридичні особи, які утворені в будь-якій організаційно-правовій формі та отримують доходи з джерелом походження з України, за винятком установ та організацій, що мають дипломатичні привілеї або імунітет згідно з міжнародними договорами України;</w:t>
      </w:r>
    </w:p>
    <w:p w14:paraId="710F63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6" w:name="n10622"/>
      <w:bookmarkEnd w:id="3846"/>
      <w:r w:rsidRPr="008B264B">
        <w:rPr>
          <w:rFonts w:ascii="Times New Roman" w:eastAsia="Times New Roman" w:hAnsi="Times New Roman" w:cs="Times New Roman"/>
          <w:color w:val="000000"/>
          <w:sz w:val="24"/>
          <w:szCs w:val="24"/>
          <w:lang/>
        </w:rPr>
        <w:t>133.2.2. постійні представництва нерезидентів, які отримують доходи із джерелом походження з України або виконують агентські (представницькі) та інші функції стосовно таких нерезидентів чи їх засновників.</w:t>
      </w:r>
    </w:p>
    <w:p w14:paraId="766F9A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7" w:name="n10623"/>
      <w:bookmarkEnd w:id="3847"/>
      <w:r w:rsidRPr="008B264B">
        <w:rPr>
          <w:rFonts w:ascii="Times New Roman" w:eastAsia="Times New Roman" w:hAnsi="Times New Roman" w:cs="Times New Roman"/>
          <w:color w:val="000000"/>
          <w:sz w:val="24"/>
          <w:szCs w:val="24"/>
          <w:lang/>
        </w:rPr>
        <w:t>133.3. Постійне представництво до початку своєї господарської діяльності стає на облік в контролюючому органі за своїм місцезнаходженням у порядку, встановленому центральним органом виконавчої влади, що забезпечує формування та реалізує державну фінансову політику. Постійне представництво, яке розпочало свою господарську діяльність до реєстрації в контролюючому органі, вважається таким, що ухиляється від оподаткування, а одержані ним прибутки вважаються прихованими від оподаткування.</w:t>
      </w:r>
    </w:p>
    <w:p w14:paraId="328E77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8" w:name="n12355"/>
      <w:bookmarkEnd w:id="3848"/>
      <w:r w:rsidRPr="008B264B">
        <w:rPr>
          <w:rFonts w:ascii="Times New Roman" w:eastAsia="Times New Roman" w:hAnsi="Times New Roman" w:cs="Times New Roman"/>
          <w:color w:val="000000"/>
          <w:sz w:val="24"/>
          <w:szCs w:val="24"/>
          <w:lang/>
        </w:rPr>
        <w:t>Нерезиденти, що діють відповідно до положень </w:t>
      </w:r>
      <w:hyperlink r:id="rId2089" w:tgtFrame="_blank" w:history="1">
        <w:r w:rsidRPr="008B264B">
          <w:rPr>
            <w:rFonts w:ascii="Times New Roman" w:eastAsia="Times New Roman" w:hAnsi="Times New Roman" w:cs="Times New Roman"/>
            <w:color w:val="0000FF"/>
            <w:sz w:val="24"/>
            <w:szCs w:val="24"/>
            <w:u w:val="single"/>
            <w:lang/>
          </w:rPr>
          <w:t>Рамкової угоди між Україною та Європейським банком реконструкції та розвитку стосовно діяльності Чорнобильського фонду "Укриття" в Україні</w:t>
        </w:r>
      </w:hyperlink>
      <w:r w:rsidRPr="008B264B">
        <w:rPr>
          <w:rFonts w:ascii="Times New Roman" w:eastAsia="Times New Roman" w:hAnsi="Times New Roman" w:cs="Times New Roman"/>
          <w:color w:val="000000"/>
          <w:sz w:val="24"/>
          <w:szCs w:val="24"/>
          <w:lang/>
        </w:rPr>
        <w:t> та </w:t>
      </w:r>
      <w:hyperlink r:id="rId2090" w:tgtFrame="_blank" w:history="1">
        <w:r w:rsidRPr="008B264B">
          <w:rPr>
            <w:rFonts w:ascii="Times New Roman" w:eastAsia="Times New Roman" w:hAnsi="Times New Roman" w:cs="Times New Roman"/>
            <w:color w:val="0000FF"/>
            <w:sz w:val="24"/>
            <w:szCs w:val="24"/>
            <w:u w:val="single"/>
            <w:lang/>
          </w:rPr>
          <w:t>Угоди про грант (Проект ядерної безпеки Чорнобильської АЕС) між Європейським банком реконструкції та розвитку як Розпорядником коштів, наданих згідно з  Грантом з Рахунка ядерної безпеки, Урядом України та Чорнобильською атомною електростанцією</w:t>
        </w:r>
      </w:hyperlink>
      <w:r w:rsidRPr="008B264B">
        <w:rPr>
          <w:rFonts w:ascii="Times New Roman" w:eastAsia="Times New Roman" w:hAnsi="Times New Roman" w:cs="Times New Roman"/>
          <w:color w:val="000000"/>
          <w:sz w:val="24"/>
          <w:szCs w:val="24"/>
          <w:lang/>
        </w:rPr>
        <w:t>, можуть провадити свою господарську діяльність без реєстрації у контролюючому органі.</w:t>
      </w:r>
    </w:p>
    <w:p w14:paraId="1E7841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49" w:name="n12354"/>
      <w:bookmarkEnd w:id="3849"/>
      <w:r w:rsidRPr="008B264B">
        <w:rPr>
          <w:rFonts w:ascii="Times New Roman" w:eastAsia="Times New Roman" w:hAnsi="Times New Roman" w:cs="Times New Roman"/>
          <w:i/>
          <w:iCs/>
          <w:color w:val="000000"/>
          <w:sz w:val="24"/>
          <w:szCs w:val="24"/>
          <w:lang/>
        </w:rPr>
        <w:t>{Пункт 133.3 статті 133 доповнено абзацом другим згідно із Законом </w:t>
      </w:r>
      <w:hyperlink r:id="rId2091" w:anchor="n6" w:tgtFrame="_blank" w:history="1">
        <w:r w:rsidRPr="008B264B">
          <w:rPr>
            <w:rFonts w:ascii="Times New Roman" w:eastAsia="Times New Roman" w:hAnsi="Times New Roman" w:cs="Times New Roman"/>
            <w:i/>
            <w:iCs/>
            <w:color w:val="0000FF"/>
            <w:sz w:val="24"/>
            <w:szCs w:val="24"/>
            <w:u w:val="single"/>
            <w:lang/>
          </w:rPr>
          <w:t>№ 364-VIII від 23.04.2015</w:t>
        </w:r>
      </w:hyperlink>
      <w:r w:rsidRPr="008B264B">
        <w:rPr>
          <w:rFonts w:ascii="Times New Roman" w:eastAsia="Times New Roman" w:hAnsi="Times New Roman" w:cs="Times New Roman"/>
          <w:i/>
          <w:iCs/>
          <w:color w:val="000000"/>
          <w:sz w:val="24"/>
          <w:szCs w:val="24"/>
          <w:lang/>
        </w:rPr>
        <w:t>}</w:t>
      </w:r>
    </w:p>
    <w:p w14:paraId="066A01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0" w:name="n13440"/>
      <w:bookmarkEnd w:id="3850"/>
      <w:r w:rsidRPr="008B264B">
        <w:rPr>
          <w:rFonts w:ascii="Times New Roman" w:eastAsia="Times New Roman" w:hAnsi="Times New Roman" w:cs="Times New Roman"/>
          <w:i/>
          <w:iCs/>
          <w:color w:val="000000"/>
          <w:sz w:val="24"/>
          <w:szCs w:val="24"/>
          <w:lang/>
        </w:rPr>
        <w:t>{Пункт 133.3 статті 133 із змінами, внесеними згідно із Законом </w:t>
      </w:r>
      <w:hyperlink r:id="rId209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BD83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1" w:name="n12538"/>
      <w:bookmarkEnd w:id="3851"/>
      <w:r w:rsidRPr="008B264B">
        <w:rPr>
          <w:rFonts w:ascii="Times New Roman" w:eastAsia="Times New Roman" w:hAnsi="Times New Roman" w:cs="Times New Roman"/>
          <w:color w:val="000000"/>
          <w:sz w:val="24"/>
          <w:szCs w:val="24"/>
          <w:lang/>
        </w:rPr>
        <w:t>133.4. Не є платниками податку неприбуткові підприємства, установи та організації у порядку та на умовах, встановлених цим пунктом.</w:t>
      </w:r>
    </w:p>
    <w:p w14:paraId="207C13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2" w:name="n12539"/>
      <w:bookmarkEnd w:id="3852"/>
      <w:r w:rsidRPr="008B264B">
        <w:rPr>
          <w:rFonts w:ascii="Times New Roman" w:eastAsia="Times New Roman" w:hAnsi="Times New Roman" w:cs="Times New Roman"/>
          <w:color w:val="000000"/>
          <w:sz w:val="24"/>
          <w:szCs w:val="24"/>
          <w:lang/>
        </w:rPr>
        <w:t>133.4.1. Неприбутковим підприємством, установою та організацією для цілей оподаткування податком на прибуток підприємств є підприємство, установа та організація (далі - неприбуткова організація), що одночасно відповідає таким вимогам:</w:t>
      </w:r>
    </w:p>
    <w:p w14:paraId="5311DD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3" w:name="n15280"/>
      <w:bookmarkEnd w:id="3853"/>
      <w:r w:rsidRPr="008B264B">
        <w:rPr>
          <w:rFonts w:ascii="Times New Roman" w:eastAsia="Times New Roman" w:hAnsi="Times New Roman" w:cs="Times New Roman"/>
          <w:i/>
          <w:iCs/>
          <w:color w:val="000000"/>
          <w:sz w:val="24"/>
          <w:szCs w:val="24"/>
          <w:lang/>
        </w:rPr>
        <w:t>{Абзац перший підпункту 133.4.1 пункту 133.4 статті 133 із змінами, внесеними згідно із Законом </w:t>
      </w:r>
      <w:hyperlink r:id="rId2093" w:anchor="n17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липня 2017 року, див. </w:t>
      </w:r>
      <w:hyperlink r:id="rId2094" w:anchor="n760"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2628-VIII від 23.11.2018}</w:t>
      </w:r>
    </w:p>
    <w:p w14:paraId="6F71DC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4" w:name="n12540"/>
      <w:bookmarkEnd w:id="3854"/>
      <w:r w:rsidRPr="008B264B">
        <w:rPr>
          <w:rFonts w:ascii="Times New Roman" w:eastAsia="Times New Roman" w:hAnsi="Times New Roman" w:cs="Times New Roman"/>
          <w:color w:val="000000"/>
          <w:sz w:val="24"/>
          <w:szCs w:val="24"/>
          <w:lang/>
        </w:rPr>
        <w:t>утворена та зареєстрована в порядку, визначеному законом, що регулює діяльність відповідної неприбуткової організації;</w:t>
      </w:r>
    </w:p>
    <w:p w14:paraId="7E2B1C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5" w:name="n12541"/>
      <w:bookmarkEnd w:id="3855"/>
      <w:r w:rsidRPr="008B264B">
        <w:rPr>
          <w:rFonts w:ascii="Times New Roman" w:eastAsia="Times New Roman" w:hAnsi="Times New Roman" w:cs="Times New Roman"/>
          <w:color w:val="000000"/>
          <w:sz w:val="24"/>
          <w:szCs w:val="24"/>
          <w:lang/>
        </w:rPr>
        <w:t>установчі документи якої (або установчі документи організації вищого рівня, на підставі яких діє неприбуткова організація відповідно до закону) містять заборону розподілу отриманих доходів (прибутків) або їх частини серед засновників (учасників у розумінні </w:t>
      </w:r>
      <w:hyperlink r:id="rId2095" w:tgtFrame="_blank" w:history="1">
        <w:r w:rsidRPr="008B264B">
          <w:rPr>
            <w:rFonts w:ascii="Times New Roman" w:eastAsia="Times New Roman" w:hAnsi="Times New Roman" w:cs="Times New Roman"/>
            <w:color w:val="0000FF"/>
            <w:sz w:val="24"/>
            <w:szCs w:val="24"/>
            <w:u w:val="single"/>
            <w:lang/>
          </w:rPr>
          <w:t>Цивільного кодексу України</w:t>
        </w:r>
      </w:hyperlink>
      <w:r w:rsidRPr="008B264B">
        <w:rPr>
          <w:rFonts w:ascii="Times New Roman" w:eastAsia="Times New Roman" w:hAnsi="Times New Roman" w:cs="Times New Roman"/>
          <w:color w:val="000000"/>
          <w:sz w:val="24"/>
          <w:szCs w:val="24"/>
          <w:lang/>
        </w:rPr>
        <w:t>), членів такої організації, працівників (крім оплати їхньої праці, нарахування єдиного соціального внеску), членів органів управління та інших пов’язаних з ними осіб. Для цілей цього абзацу не вважається розподілом отриманих доходів (прибутків) фінансування видатків, визначених підпунктом 133.4.2 цього пункту;</w:t>
      </w:r>
    </w:p>
    <w:p w14:paraId="56F81E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6" w:name="n13291"/>
      <w:bookmarkEnd w:id="3856"/>
      <w:r w:rsidRPr="008B264B">
        <w:rPr>
          <w:rFonts w:ascii="Times New Roman" w:eastAsia="Times New Roman" w:hAnsi="Times New Roman" w:cs="Times New Roman"/>
          <w:i/>
          <w:iCs/>
          <w:color w:val="000000"/>
          <w:sz w:val="24"/>
          <w:szCs w:val="24"/>
          <w:lang/>
        </w:rPr>
        <w:lastRenderedPageBreak/>
        <w:t>{Абзац третій підпункту 133.4.1 пункту 133.4 статті 133 із змінами, внесеними згідно із Законами </w:t>
      </w:r>
      <w:hyperlink r:id="rId2096" w:anchor="n6" w:tgtFrame="_blank" w:history="1">
        <w:r w:rsidRPr="008B264B">
          <w:rPr>
            <w:rFonts w:ascii="Times New Roman" w:eastAsia="Times New Roman" w:hAnsi="Times New Roman" w:cs="Times New Roman"/>
            <w:i/>
            <w:iCs/>
            <w:color w:val="0000FF"/>
            <w:sz w:val="24"/>
            <w:szCs w:val="24"/>
            <w:u w:val="single"/>
            <w:lang/>
          </w:rPr>
          <w:t>№ 1667-VIII від 06.10.2016</w:t>
        </w:r>
      </w:hyperlink>
      <w:r w:rsidRPr="008B264B">
        <w:rPr>
          <w:rFonts w:ascii="Times New Roman" w:eastAsia="Times New Roman" w:hAnsi="Times New Roman" w:cs="Times New Roman"/>
          <w:i/>
          <w:iCs/>
          <w:color w:val="000000"/>
          <w:sz w:val="24"/>
          <w:szCs w:val="24"/>
          <w:lang/>
        </w:rPr>
        <w:t>, </w:t>
      </w:r>
      <w:hyperlink r:id="rId2097" w:anchor="n8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098" w:anchor="n17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липня 2017 року, див. </w:t>
      </w:r>
      <w:hyperlink r:id="rId2099" w:anchor="n760"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2628-VIII від 23.11.2018}</w:t>
      </w:r>
    </w:p>
    <w:p w14:paraId="07BA8F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7" w:name="n12542"/>
      <w:bookmarkEnd w:id="3857"/>
      <w:r w:rsidRPr="008B264B">
        <w:rPr>
          <w:rFonts w:ascii="Times New Roman" w:eastAsia="Times New Roman" w:hAnsi="Times New Roman" w:cs="Times New Roman"/>
          <w:color w:val="000000"/>
          <w:sz w:val="24"/>
          <w:szCs w:val="24"/>
          <w:lang/>
        </w:rPr>
        <w:t>установчі документи якої (або установчі документи організації вищого рівня, на підставі яких діє неприбуткова організація відповідно до закону) передбачають передачу активів одній або кільком неприбутковим організаціям відповідного виду, іншим юридичним особам, що здійснюють недержавне пенсійне забезпечення відповідно до закону (для недержавних пенсійних фондів), або зарахування до доходу бюджету у разі припинення юридичної особи (у результаті її ліквідації, злиття, поділу, приєднання або перетворення). Положення цього абзацу не поширюється на об’єднання та асоціації об’єднань співвласників багатоквартирних будинків;</w:t>
      </w:r>
    </w:p>
    <w:p w14:paraId="1B2F4C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8" w:name="n12714"/>
      <w:bookmarkEnd w:id="3858"/>
      <w:r w:rsidRPr="008B264B">
        <w:rPr>
          <w:rFonts w:ascii="Times New Roman" w:eastAsia="Times New Roman" w:hAnsi="Times New Roman" w:cs="Times New Roman"/>
          <w:i/>
          <w:iCs/>
          <w:color w:val="000000"/>
          <w:sz w:val="24"/>
          <w:szCs w:val="24"/>
          <w:lang/>
        </w:rPr>
        <w:t>{Абзац четвертий підпункту 133.4.1 пункту 133.4 статті 133 із змінами, внесеними згідно із Законами </w:t>
      </w:r>
      <w:hyperlink r:id="rId2100" w:anchor="n11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101" w:anchor="n84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102" w:anchor="n17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липня 2017 року, див. </w:t>
      </w:r>
      <w:hyperlink r:id="rId2103" w:anchor="n760"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2628-VIII від 23.11.2018}</w:t>
      </w:r>
    </w:p>
    <w:p w14:paraId="00A479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59" w:name="n12543"/>
      <w:bookmarkEnd w:id="3859"/>
      <w:r w:rsidRPr="008B264B">
        <w:rPr>
          <w:rFonts w:ascii="Times New Roman" w:eastAsia="Times New Roman" w:hAnsi="Times New Roman" w:cs="Times New Roman"/>
          <w:color w:val="000000"/>
          <w:sz w:val="24"/>
          <w:szCs w:val="24"/>
          <w:lang/>
        </w:rPr>
        <w:t>внесена контролюючим органом до Реєстру неприбуткових установ та організацій.</w:t>
      </w:r>
    </w:p>
    <w:p w14:paraId="40DF8E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0" w:name="n14040"/>
      <w:bookmarkEnd w:id="3860"/>
      <w:r w:rsidRPr="008B264B">
        <w:rPr>
          <w:rFonts w:ascii="Times New Roman" w:eastAsia="Times New Roman" w:hAnsi="Times New Roman" w:cs="Times New Roman"/>
          <w:color w:val="000000"/>
          <w:sz w:val="24"/>
          <w:szCs w:val="24"/>
          <w:lang/>
        </w:rPr>
        <w:t>Положення абзаців третього і четвертого цього підпункту щодо вимог наявності установчих документів не поширюються на бюджетні установи.</w:t>
      </w:r>
    </w:p>
    <w:p w14:paraId="5B76E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1" w:name="n14042"/>
      <w:bookmarkEnd w:id="3861"/>
      <w:r w:rsidRPr="008B264B">
        <w:rPr>
          <w:rFonts w:ascii="Times New Roman" w:eastAsia="Times New Roman" w:hAnsi="Times New Roman" w:cs="Times New Roman"/>
          <w:i/>
          <w:iCs/>
          <w:color w:val="000000"/>
          <w:sz w:val="24"/>
          <w:szCs w:val="24"/>
          <w:lang/>
        </w:rPr>
        <w:t>{Підпункт 133.4.1 пункту 133.4 статті 133 доповнено абзацом шостим згідно із Законом </w:t>
      </w:r>
      <w:hyperlink r:id="rId2104" w:anchor="n8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8EE4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2" w:name="n14041"/>
      <w:bookmarkEnd w:id="3862"/>
      <w:r w:rsidRPr="008B264B">
        <w:rPr>
          <w:rFonts w:ascii="Times New Roman" w:eastAsia="Times New Roman" w:hAnsi="Times New Roman" w:cs="Times New Roman"/>
          <w:color w:val="000000"/>
          <w:sz w:val="24"/>
          <w:szCs w:val="24"/>
          <w:lang/>
        </w:rPr>
        <w:t>Зареєстровані установи та організації (новостворені), які подали в установленому порядку документи для внесення до Реєстру неприбуткових установ та організацій під час або протягом 10 днів з дня державної реєстрації та які за результатами розгляду цих документів внесені до Реєстру неприбуткових установ та організацій, для цілей оподаткування вважаються неприбутковими організаціями з дня їх державної реєстрації.</w:t>
      </w:r>
    </w:p>
    <w:p w14:paraId="56D9C7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3" w:name="n14039"/>
      <w:bookmarkEnd w:id="3863"/>
      <w:r w:rsidRPr="008B264B">
        <w:rPr>
          <w:rFonts w:ascii="Times New Roman" w:eastAsia="Times New Roman" w:hAnsi="Times New Roman" w:cs="Times New Roman"/>
          <w:i/>
          <w:iCs/>
          <w:color w:val="000000"/>
          <w:sz w:val="24"/>
          <w:szCs w:val="24"/>
          <w:lang/>
        </w:rPr>
        <w:t>{Підпункт 133.4.1 пункту 133.4 статті 133 доповнено абзацом сьомим згідно із Законом </w:t>
      </w:r>
      <w:hyperlink r:id="rId2105" w:anchor="n8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BB9E0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4" w:name="n12544"/>
      <w:bookmarkEnd w:id="3864"/>
      <w:r w:rsidRPr="008B264B">
        <w:rPr>
          <w:rFonts w:ascii="Times New Roman" w:eastAsia="Times New Roman" w:hAnsi="Times New Roman" w:cs="Times New Roman"/>
          <w:color w:val="000000"/>
          <w:sz w:val="24"/>
          <w:szCs w:val="24"/>
          <w:lang/>
        </w:rPr>
        <w:t>133.4.2. Доходи (прибутки) неприбуткової організації використовуються виключно для фінансування видатків на утримання такої неприбуткової організації, реалізації мети (цілей, завдань) та напрямів діяльності, визначених її установчими документами.</w:t>
      </w:r>
    </w:p>
    <w:p w14:paraId="24F338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5" w:name="n13294"/>
      <w:bookmarkEnd w:id="3865"/>
      <w:r w:rsidRPr="008B264B">
        <w:rPr>
          <w:rFonts w:ascii="Times New Roman" w:eastAsia="Times New Roman" w:hAnsi="Times New Roman" w:cs="Times New Roman"/>
          <w:color w:val="000000"/>
          <w:sz w:val="24"/>
          <w:szCs w:val="24"/>
          <w:lang/>
        </w:rPr>
        <w:t>Доходи неприбуткових релігійних організацій використовуються також для здійснення неприбуткової (добродійної) діяльності, передбаченої законом для релігійних організацій, у тому числі надання гуманітарної допомоги, здійснення благодійної діяльності, милосердя.</w:t>
      </w:r>
    </w:p>
    <w:p w14:paraId="21B926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6" w:name="n13292"/>
      <w:bookmarkEnd w:id="3866"/>
      <w:r w:rsidRPr="008B264B">
        <w:rPr>
          <w:rFonts w:ascii="Times New Roman" w:eastAsia="Times New Roman" w:hAnsi="Times New Roman" w:cs="Times New Roman"/>
          <w:i/>
          <w:iCs/>
          <w:color w:val="000000"/>
          <w:sz w:val="24"/>
          <w:szCs w:val="24"/>
          <w:lang/>
        </w:rPr>
        <w:t>{Підпункт 133.4.2 пункту 133.4 статті 133 доповнено абзацом другим згідно із Законом </w:t>
      </w:r>
      <w:hyperlink r:id="rId2106" w:anchor="n7" w:tgtFrame="_blank" w:history="1">
        <w:r w:rsidRPr="008B264B">
          <w:rPr>
            <w:rFonts w:ascii="Times New Roman" w:eastAsia="Times New Roman" w:hAnsi="Times New Roman" w:cs="Times New Roman"/>
            <w:i/>
            <w:iCs/>
            <w:color w:val="0000FF"/>
            <w:sz w:val="24"/>
            <w:szCs w:val="24"/>
            <w:u w:val="single"/>
            <w:lang/>
          </w:rPr>
          <w:t>№ 1667-VIII від 06.10.2016</w:t>
        </w:r>
      </w:hyperlink>
      <w:r w:rsidRPr="008B264B">
        <w:rPr>
          <w:rFonts w:ascii="Times New Roman" w:eastAsia="Times New Roman" w:hAnsi="Times New Roman" w:cs="Times New Roman"/>
          <w:i/>
          <w:iCs/>
          <w:color w:val="000000"/>
          <w:sz w:val="24"/>
          <w:szCs w:val="24"/>
          <w:lang/>
        </w:rPr>
        <w:t>}</w:t>
      </w:r>
    </w:p>
    <w:p w14:paraId="570EB0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7" w:name="n12545"/>
      <w:bookmarkEnd w:id="3867"/>
      <w:r w:rsidRPr="008B264B">
        <w:rPr>
          <w:rFonts w:ascii="Times New Roman" w:eastAsia="Times New Roman" w:hAnsi="Times New Roman" w:cs="Times New Roman"/>
          <w:color w:val="000000"/>
          <w:sz w:val="24"/>
          <w:szCs w:val="24"/>
          <w:lang/>
        </w:rPr>
        <w:t>133.4.3. У разі недотримання неприбутковою організацією вимог, визначених цим пунктом, а для релігійної організації - вимог, визначених абзацом другим підпункту 133.4.1 і підпунктом 133.4.2 цього пункту, така неприбуткова організація зобов’язана подати у строк, визначений для місячного податкового (звітного) періоду, звіт про використання доходів (прибутків) неприбуткової організації за період з початку року (або з початку визнання організації неприбутковою в установленому порядку, якщо таке визнання відбулося пізніше) по останній день місяця, в якому вчинено таке порушення, та зазначити і сплатити суму самостійно нарахованого податкового зобов’язання з податку на прибуток. Податкове зобов’язання розраховується виходячи із суми операції (операцій) нецільового використання активів. Така неприбуткова організація виключається контролюючим органом з Реєстру неприбуткових установ та організацій та вважається платником податку на прибуток для цілей оподаткування з першого дня місяця, наступного за місяцем, у якому вчинено таке порушення.</w:t>
      </w:r>
    </w:p>
    <w:p w14:paraId="69882C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8" w:name="n14833"/>
      <w:bookmarkEnd w:id="3868"/>
      <w:r w:rsidRPr="008B264B">
        <w:rPr>
          <w:rFonts w:ascii="Times New Roman" w:eastAsia="Times New Roman" w:hAnsi="Times New Roman" w:cs="Times New Roman"/>
          <w:i/>
          <w:iCs/>
          <w:color w:val="000000"/>
          <w:sz w:val="24"/>
          <w:szCs w:val="24"/>
          <w:lang/>
        </w:rPr>
        <w:lastRenderedPageBreak/>
        <w:t>{Абзац перший підпункту 133.4.3 пункту 133.4 статті 133 із змінами, внесеними згідно із Законом </w:t>
      </w:r>
      <w:hyperlink r:id="rId2107" w:anchor="n2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81B03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69" w:name="n12546"/>
      <w:bookmarkEnd w:id="3869"/>
      <w:r w:rsidRPr="008B264B">
        <w:rPr>
          <w:rFonts w:ascii="Times New Roman" w:eastAsia="Times New Roman" w:hAnsi="Times New Roman" w:cs="Times New Roman"/>
          <w:color w:val="000000"/>
          <w:sz w:val="24"/>
          <w:szCs w:val="24"/>
          <w:lang/>
        </w:rPr>
        <w:t>За період з першого дня місяця, наступного за місяцем, у якому вчинено таке порушення, по 31 грудня податкового (звітного) року така неприбуткова організація зобов’язана щокварталу подавати до контролюючого органу </w:t>
      </w:r>
      <w:hyperlink r:id="rId2108" w:anchor="n20" w:tgtFrame="_blank" w:history="1">
        <w:r w:rsidRPr="008B264B">
          <w:rPr>
            <w:rFonts w:ascii="Times New Roman" w:eastAsia="Times New Roman" w:hAnsi="Times New Roman" w:cs="Times New Roman"/>
            <w:color w:val="0000FF"/>
            <w:sz w:val="24"/>
            <w:szCs w:val="24"/>
            <w:u w:val="single"/>
            <w:lang/>
          </w:rPr>
          <w:t>податкову декларацію з податку на прибуток</w:t>
        </w:r>
      </w:hyperlink>
      <w:r w:rsidRPr="008B264B">
        <w:rPr>
          <w:rFonts w:ascii="Times New Roman" w:eastAsia="Times New Roman" w:hAnsi="Times New Roman" w:cs="Times New Roman"/>
          <w:color w:val="000000"/>
          <w:sz w:val="24"/>
          <w:szCs w:val="24"/>
          <w:lang/>
        </w:rPr>
        <w:t> (з наростаючим підсумком), сплачувати податок у строк, визначений для квартального періоду та подавати фінансову звітність у порядку, встановленому для платників податку на прибуток.</w:t>
      </w:r>
    </w:p>
    <w:p w14:paraId="2F5FD2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0" w:name="n12547"/>
      <w:bookmarkEnd w:id="3870"/>
      <w:r w:rsidRPr="008B264B">
        <w:rPr>
          <w:rFonts w:ascii="Times New Roman" w:eastAsia="Times New Roman" w:hAnsi="Times New Roman" w:cs="Times New Roman"/>
          <w:color w:val="000000"/>
          <w:sz w:val="24"/>
          <w:szCs w:val="24"/>
          <w:lang/>
        </w:rPr>
        <w:t>З наступного податкового (звітного) року така неприбуткова організація подає </w:t>
      </w:r>
      <w:hyperlink r:id="rId2109" w:anchor="n20" w:tgtFrame="_blank" w:history="1">
        <w:r w:rsidRPr="008B264B">
          <w:rPr>
            <w:rFonts w:ascii="Times New Roman" w:eastAsia="Times New Roman" w:hAnsi="Times New Roman" w:cs="Times New Roman"/>
            <w:color w:val="0000FF"/>
            <w:sz w:val="24"/>
            <w:szCs w:val="24"/>
            <w:u w:val="single"/>
            <w:lang/>
          </w:rPr>
          <w:t>податкову декларацію з податку на прибуток</w:t>
        </w:r>
      </w:hyperlink>
      <w:r w:rsidRPr="008B264B">
        <w:rPr>
          <w:rFonts w:ascii="Times New Roman" w:eastAsia="Times New Roman" w:hAnsi="Times New Roman" w:cs="Times New Roman"/>
          <w:color w:val="000000"/>
          <w:sz w:val="24"/>
          <w:szCs w:val="24"/>
          <w:lang/>
        </w:rPr>
        <w:t> і фінансову звітність та сплачує податок на прибуток у порядку, встановленому цим розділом для платників податку на прибуток.</w:t>
      </w:r>
    </w:p>
    <w:p w14:paraId="0A0C17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1" w:name="n12715"/>
      <w:bookmarkEnd w:id="3871"/>
      <w:r w:rsidRPr="008B264B">
        <w:rPr>
          <w:rFonts w:ascii="Times New Roman" w:eastAsia="Times New Roman" w:hAnsi="Times New Roman" w:cs="Times New Roman"/>
          <w:i/>
          <w:iCs/>
          <w:color w:val="000000"/>
          <w:sz w:val="24"/>
          <w:szCs w:val="24"/>
          <w:lang/>
        </w:rPr>
        <w:t>{Підпункт 133.4.3 пункту 133.4 статті 133 із змінами, внесеними згідно із Законом </w:t>
      </w:r>
      <w:hyperlink r:id="rId2110" w:anchor="n11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2111" w:anchor="n8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CE68F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2" w:name="n12548"/>
      <w:bookmarkEnd w:id="3872"/>
      <w:r w:rsidRPr="008B264B">
        <w:rPr>
          <w:rFonts w:ascii="Times New Roman" w:eastAsia="Times New Roman" w:hAnsi="Times New Roman" w:cs="Times New Roman"/>
          <w:color w:val="000000"/>
          <w:sz w:val="24"/>
          <w:szCs w:val="24"/>
          <w:lang/>
        </w:rPr>
        <w:t>133.4.4. Встановлення контролюючим органом відповідно до норм цього Кодексу факту використання неприбутковою організацією доходів (прибутків) для цілей інших, ніж передбачені підпунктом 133.4.2 цього пункту, є підставою для виключення такої організації з Реєстру неприбуткових установ та організацій і нарахування податкового зобов’язання з податку на прибуток підприємств, штрафних санкцій і пені відповідно до норм цього Кодексу. Податкові зобов’язання, штрафні санкції і пеня нараховуються, починаючи з першого числа місяця, в якому вчинено таке порушення.</w:t>
      </w:r>
    </w:p>
    <w:p w14:paraId="040915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3" w:name="n13293"/>
      <w:bookmarkEnd w:id="3873"/>
      <w:r w:rsidRPr="008B264B">
        <w:rPr>
          <w:rFonts w:ascii="Times New Roman" w:eastAsia="Times New Roman" w:hAnsi="Times New Roman" w:cs="Times New Roman"/>
          <w:i/>
          <w:iCs/>
          <w:color w:val="000000"/>
          <w:sz w:val="24"/>
          <w:szCs w:val="24"/>
          <w:lang/>
        </w:rPr>
        <w:t>{Підпункт 133.4.4 пункту 133.4 статті 133 із змінами, внесеними згідно із Законом </w:t>
      </w:r>
      <w:hyperlink r:id="rId2112" w:anchor="n9" w:tgtFrame="_blank" w:history="1">
        <w:r w:rsidRPr="008B264B">
          <w:rPr>
            <w:rFonts w:ascii="Times New Roman" w:eastAsia="Times New Roman" w:hAnsi="Times New Roman" w:cs="Times New Roman"/>
            <w:i/>
            <w:iCs/>
            <w:color w:val="0000FF"/>
            <w:sz w:val="24"/>
            <w:szCs w:val="24"/>
            <w:u w:val="single"/>
            <w:lang/>
          </w:rPr>
          <w:t>№ 1667-VIII від 06.10.2016</w:t>
        </w:r>
      </w:hyperlink>
      <w:r w:rsidRPr="008B264B">
        <w:rPr>
          <w:rFonts w:ascii="Times New Roman" w:eastAsia="Times New Roman" w:hAnsi="Times New Roman" w:cs="Times New Roman"/>
          <w:i/>
          <w:iCs/>
          <w:color w:val="000000"/>
          <w:sz w:val="24"/>
          <w:szCs w:val="24"/>
          <w:lang/>
        </w:rPr>
        <w:t>}</w:t>
      </w:r>
    </w:p>
    <w:p w14:paraId="6B9407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4" w:name="n12549"/>
      <w:bookmarkEnd w:id="3874"/>
      <w:r w:rsidRPr="008B264B">
        <w:rPr>
          <w:rFonts w:ascii="Times New Roman" w:eastAsia="Times New Roman" w:hAnsi="Times New Roman" w:cs="Times New Roman"/>
          <w:color w:val="000000"/>
          <w:sz w:val="24"/>
          <w:szCs w:val="24"/>
          <w:lang/>
        </w:rPr>
        <w:t>133.4.5. </w:t>
      </w:r>
      <w:hyperlink r:id="rId2113" w:anchor="n14" w:tgtFrame="_blank" w:history="1">
        <w:r w:rsidRPr="008B264B">
          <w:rPr>
            <w:rFonts w:ascii="Times New Roman" w:eastAsia="Times New Roman" w:hAnsi="Times New Roman" w:cs="Times New Roman"/>
            <w:color w:val="0000FF"/>
            <w:sz w:val="24"/>
            <w:szCs w:val="24"/>
            <w:u w:val="single"/>
            <w:lang/>
          </w:rPr>
          <w:t>Порядок ведення Реєстру</w:t>
        </w:r>
      </w:hyperlink>
      <w:r w:rsidRPr="008B264B">
        <w:rPr>
          <w:rFonts w:ascii="Times New Roman" w:eastAsia="Times New Roman" w:hAnsi="Times New Roman" w:cs="Times New Roman"/>
          <w:color w:val="000000"/>
          <w:sz w:val="24"/>
          <w:szCs w:val="24"/>
          <w:lang/>
        </w:rPr>
        <w:t> неприбуткових установ та організацій, включення неприбуткових підприємств, установ та організацій до Реєстру та виключення з Реєстру встановлює Кабінет Міністрів України.</w:t>
      </w:r>
    </w:p>
    <w:p w14:paraId="290194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5" w:name="n12550"/>
      <w:bookmarkEnd w:id="3875"/>
      <w:r w:rsidRPr="008B264B">
        <w:rPr>
          <w:rFonts w:ascii="Times New Roman" w:eastAsia="Times New Roman" w:hAnsi="Times New Roman" w:cs="Times New Roman"/>
          <w:color w:val="000000"/>
          <w:sz w:val="24"/>
          <w:szCs w:val="24"/>
          <w:lang/>
        </w:rPr>
        <w:t>133.4.6. До неприбуткових організацій, що відповідають вимогам цього пункту і не є платниками податку, зокрема, можуть бути віднесені:</w:t>
      </w:r>
    </w:p>
    <w:p w14:paraId="3CA30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6" w:name="n12551"/>
      <w:bookmarkEnd w:id="3876"/>
      <w:r w:rsidRPr="008B264B">
        <w:rPr>
          <w:rFonts w:ascii="Times New Roman" w:eastAsia="Times New Roman" w:hAnsi="Times New Roman" w:cs="Times New Roman"/>
          <w:color w:val="000000"/>
          <w:sz w:val="24"/>
          <w:szCs w:val="24"/>
          <w:lang/>
        </w:rPr>
        <w:t>бюджетні установи;</w:t>
      </w:r>
    </w:p>
    <w:p w14:paraId="55A65D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7" w:name="n12552"/>
      <w:bookmarkEnd w:id="3877"/>
      <w:r w:rsidRPr="008B264B">
        <w:rPr>
          <w:rFonts w:ascii="Times New Roman" w:eastAsia="Times New Roman" w:hAnsi="Times New Roman" w:cs="Times New Roman"/>
          <w:color w:val="000000"/>
          <w:sz w:val="24"/>
          <w:szCs w:val="24"/>
          <w:lang/>
        </w:rPr>
        <w:t>громадські об’єднання, політичні партії, творчі спілки, релігійні організації, благодійні організації, пенсійні фонди;</w:t>
      </w:r>
    </w:p>
    <w:p w14:paraId="6A4A9B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8" w:name="n12553"/>
      <w:bookmarkEnd w:id="3878"/>
      <w:r w:rsidRPr="008B264B">
        <w:rPr>
          <w:rFonts w:ascii="Times New Roman" w:eastAsia="Times New Roman" w:hAnsi="Times New Roman" w:cs="Times New Roman"/>
          <w:color w:val="000000"/>
          <w:sz w:val="24"/>
          <w:szCs w:val="24"/>
          <w:lang/>
        </w:rPr>
        <w:t>спілки, асоціації та інші об’єднання юридичних осіб;</w:t>
      </w:r>
    </w:p>
    <w:p w14:paraId="4B47A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79" w:name="n12554"/>
      <w:bookmarkEnd w:id="3879"/>
      <w:r w:rsidRPr="008B264B">
        <w:rPr>
          <w:rFonts w:ascii="Times New Roman" w:eastAsia="Times New Roman" w:hAnsi="Times New Roman" w:cs="Times New Roman"/>
          <w:color w:val="000000"/>
          <w:sz w:val="24"/>
          <w:szCs w:val="24"/>
          <w:lang/>
        </w:rPr>
        <w:t>житлово-будівельні кооперативи (з першого числа місяця, наступного за місяцем, в якому відповідно до закону здійснено прийняття в експлуатацію закінченого будівництвом житлового будинку і такий житловий будинок споруджувався або придбавався житлово-будівельним (житловим) кооперативом), дачні (дачно-будівельні), садівничі та гаражні (гаражно-будівельні) кооперативи (товариства);</w:t>
      </w:r>
    </w:p>
    <w:p w14:paraId="183540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0" w:name="n12555"/>
      <w:bookmarkEnd w:id="3880"/>
      <w:r w:rsidRPr="008B264B">
        <w:rPr>
          <w:rFonts w:ascii="Times New Roman" w:eastAsia="Times New Roman" w:hAnsi="Times New Roman" w:cs="Times New Roman"/>
          <w:color w:val="000000"/>
          <w:sz w:val="24"/>
          <w:szCs w:val="24"/>
          <w:lang/>
        </w:rPr>
        <w:t>об’єднання співвласників багатоквартирного будинку, асоціації власників жилих будинків;</w:t>
      </w:r>
    </w:p>
    <w:p w14:paraId="4E09E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1" w:name="n12556"/>
      <w:bookmarkEnd w:id="3881"/>
      <w:r w:rsidRPr="008B264B">
        <w:rPr>
          <w:rFonts w:ascii="Times New Roman" w:eastAsia="Times New Roman" w:hAnsi="Times New Roman" w:cs="Times New Roman"/>
          <w:color w:val="000000"/>
          <w:sz w:val="24"/>
          <w:szCs w:val="24"/>
          <w:lang/>
        </w:rPr>
        <w:t>професійні спілки, їх об’єднання та організації профспілок, а також організації роботодавців та їх об’єднання;</w:t>
      </w:r>
    </w:p>
    <w:p w14:paraId="6E18AC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2" w:name="n12557"/>
      <w:bookmarkEnd w:id="3882"/>
      <w:r w:rsidRPr="008B264B">
        <w:rPr>
          <w:rFonts w:ascii="Times New Roman" w:eastAsia="Times New Roman" w:hAnsi="Times New Roman" w:cs="Times New Roman"/>
          <w:color w:val="000000"/>
          <w:sz w:val="24"/>
          <w:szCs w:val="24"/>
          <w:lang/>
        </w:rPr>
        <w:t>сільськогосподарські обслуговуючі кооперативи, кооперативні об’єднання сільськогосподарських обслуговуючих кооперативів;</w:t>
      </w:r>
    </w:p>
    <w:p w14:paraId="43A008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3" w:name="n12558"/>
      <w:bookmarkEnd w:id="3883"/>
      <w:r w:rsidRPr="008B264B">
        <w:rPr>
          <w:rFonts w:ascii="Times New Roman" w:eastAsia="Times New Roman" w:hAnsi="Times New Roman" w:cs="Times New Roman"/>
          <w:color w:val="000000"/>
          <w:sz w:val="24"/>
          <w:szCs w:val="24"/>
          <w:lang/>
        </w:rPr>
        <w:t>інші юридичні особи, діяльність яких відповідає вимогам цього пункту.</w:t>
      </w:r>
    </w:p>
    <w:p w14:paraId="6D8010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4" w:name="n14044"/>
      <w:bookmarkEnd w:id="3884"/>
      <w:r w:rsidRPr="008B264B">
        <w:rPr>
          <w:rFonts w:ascii="Times New Roman" w:eastAsia="Times New Roman" w:hAnsi="Times New Roman" w:cs="Times New Roman"/>
          <w:color w:val="000000"/>
          <w:sz w:val="24"/>
          <w:szCs w:val="24"/>
          <w:lang/>
        </w:rPr>
        <w:t>133.4.7. Для неприбуткових організацій, які відповідають вимогам цього пункту та внесені до Реєстру неприбуткових установ та організацій, встановлюється річний податковий (звітний) період, крім випадків, передбачених </w:t>
      </w:r>
      <w:hyperlink r:id="rId2114" w:anchor="n12545" w:history="1">
        <w:r w:rsidRPr="008B264B">
          <w:rPr>
            <w:rFonts w:ascii="Times New Roman" w:eastAsia="Times New Roman" w:hAnsi="Times New Roman" w:cs="Times New Roman"/>
            <w:color w:val="0000FF"/>
            <w:sz w:val="24"/>
            <w:szCs w:val="24"/>
            <w:u w:val="single"/>
            <w:lang/>
          </w:rPr>
          <w:t>підпунктом 133.4.3</w:t>
        </w:r>
      </w:hyperlink>
      <w:r w:rsidRPr="008B264B">
        <w:rPr>
          <w:rFonts w:ascii="Times New Roman" w:eastAsia="Times New Roman" w:hAnsi="Times New Roman" w:cs="Times New Roman"/>
          <w:color w:val="000000"/>
          <w:sz w:val="24"/>
          <w:szCs w:val="24"/>
          <w:lang/>
        </w:rPr>
        <w:t> цього пункту.</w:t>
      </w:r>
    </w:p>
    <w:p w14:paraId="650E63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5" w:name="n14043"/>
      <w:bookmarkEnd w:id="3885"/>
      <w:r w:rsidRPr="008B264B">
        <w:rPr>
          <w:rFonts w:ascii="Times New Roman" w:eastAsia="Times New Roman" w:hAnsi="Times New Roman" w:cs="Times New Roman"/>
          <w:i/>
          <w:iCs/>
          <w:color w:val="000000"/>
          <w:sz w:val="24"/>
          <w:szCs w:val="24"/>
          <w:lang/>
        </w:rPr>
        <w:lastRenderedPageBreak/>
        <w:t>{Пункт 133.4 статті 133 доповнено підпунктом 133.4.7 згідно із Законом </w:t>
      </w:r>
      <w:hyperlink r:id="rId2115" w:anchor="n85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40334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6" w:name="n12560"/>
      <w:bookmarkEnd w:id="3886"/>
      <w:r w:rsidRPr="008B264B">
        <w:rPr>
          <w:rFonts w:ascii="Times New Roman" w:eastAsia="Times New Roman" w:hAnsi="Times New Roman" w:cs="Times New Roman"/>
          <w:i/>
          <w:iCs/>
          <w:color w:val="000000"/>
          <w:sz w:val="24"/>
          <w:szCs w:val="24"/>
          <w:lang/>
        </w:rPr>
        <w:t>{Статтю 133 доповнено пунктом 133.4 згідно із Законом </w:t>
      </w:r>
      <w:hyperlink r:id="rId2116" w:anchor="n25"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3A0D2A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7" w:name="n12559"/>
      <w:bookmarkEnd w:id="3887"/>
      <w:r w:rsidRPr="008B264B">
        <w:rPr>
          <w:rFonts w:ascii="Times New Roman" w:eastAsia="Times New Roman" w:hAnsi="Times New Roman" w:cs="Times New Roman"/>
          <w:color w:val="000000"/>
          <w:sz w:val="24"/>
          <w:szCs w:val="24"/>
          <w:lang/>
        </w:rPr>
        <w:t>133.5. Не є платниками податку суб’єкти господарювання, що застосовують спрощену систему оподаткування, обліку та звітності, визначені главою 1 розділу XIV цього Кодексу.</w:t>
      </w:r>
    </w:p>
    <w:p w14:paraId="262C4F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8" w:name="n12537"/>
      <w:bookmarkEnd w:id="3888"/>
      <w:r w:rsidRPr="008B264B">
        <w:rPr>
          <w:rFonts w:ascii="Times New Roman" w:eastAsia="Times New Roman" w:hAnsi="Times New Roman" w:cs="Times New Roman"/>
          <w:i/>
          <w:iCs/>
          <w:color w:val="000000"/>
          <w:sz w:val="24"/>
          <w:szCs w:val="24"/>
          <w:lang/>
        </w:rPr>
        <w:t>{Статтю 133 доповнено пунктом 133.5 згідно із Законом </w:t>
      </w:r>
      <w:hyperlink r:id="rId2117" w:anchor="n25"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0CEDE5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89" w:name="n14046"/>
      <w:bookmarkEnd w:id="3889"/>
      <w:r w:rsidRPr="008B264B">
        <w:rPr>
          <w:rFonts w:ascii="Times New Roman" w:eastAsia="Times New Roman" w:hAnsi="Times New Roman" w:cs="Times New Roman"/>
          <w:color w:val="000000"/>
          <w:sz w:val="24"/>
          <w:szCs w:val="24"/>
          <w:lang/>
        </w:rPr>
        <w:t>133.6. Національний банк України здійснює розрахунки з Державним бюджетом України відповідно до </w:t>
      </w:r>
      <w:hyperlink r:id="rId2118"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Національний банк України".</w:t>
      </w:r>
    </w:p>
    <w:p w14:paraId="1D93C2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0" w:name="n14045"/>
      <w:bookmarkEnd w:id="3890"/>
      <w:r w:rsidRPr="008B264B">
        <w:rPr>
          <w:rFonts w:ascii="Times New Roman" w:eastAsia="Times New Roman" w:hAnsi="Times New Roman" w:cs="Times New Roman"/>
          <w:i/>
          <w:iCs/>
          <w:color w:val="000000"/>
          <w:sz w:val="24"/>
          <w:szCs w:val="24"/>
          <w:lang/>
        </w:rPr>
        <w:t>{Статтю 133 доповнено пунктом 133.6 згідно із Законом </w:t>
      </w:r>
      <w:hyperlink r:id="rId2119" w:anchor="n8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93D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1" w:name="n10624"/>
      <w:bookmarkEnd w:id="3891"/>
      <w:r w:rsidRPr="008B264B">
        <w:rPr>
          <w:rFonts w:ascii="Times New Roman" w:eastAsia="Times New Roman" w:hAnsi="Times New Roman" w:cs="Times New Roman"/>
          <w:b/>
          <w:bCs/>
          <w:color w:val="000000"/>
          <w:sz w:val="24"/>
          <w:szCs w:val="24"/>
          <w:lang/>
        </w:rPr>
        <w:t>Стаття 134.</w:t>
      </w:r>
      <w:r w:rsidRPr="008B264B">
        <w:rPr>
          <w:rFonts w:ascii="Times New Roman" w:eastAsia="Times New Roman" w:hAnsi="Times New Roman" w:cs="Times New Roman"/>
          <w:color w:val="000000"/>
          <w:sz w:val="24"/>
          <w:szCs w:val="24"/>
          <w:lang/>
        </w:rPr>
        <w:t> Об’єкт оподаткування</w:t>
      </w:r>
    </w:p>
    <w:p w14:paraId="6B4937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2" w:name="n10625"/>
      <w:bookmarkEnd w:id="3892"/>
      <w:r w:rsidRPr="008B264B">
        <w:rPr>
          <w:rFonts w:ascii="Times New Roman" w:eastAsia="Times New Roman" w:hAnsi="Times New Roman" w:cs="Times New Roman"/>
          <w:color w:val="000000"/>
          <w:sz w:val="24"/>
          <w:szCs w:val="24"/>
          <w:lang/>
        </w:rPr>
        <w:t>134.1. Об’єктом оподаткування є:</w:t>
      </w:r>
    </w:p>
    <w:p w14:paraId="72D7C0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3" w:name="n10626"/>
      <w:bookmarkEnd w:id="3893"/>
      <w:r w:rsidRPr="008B264B">
        <w:rPr>
          <w:rFonts w:ascii="Times New Roman" w:eastAsia="Times New Roman" w:hAnsi="Times New Roman" w:cs="Times New Roman"/>
          <w:color w:val="000000"/>
          <w:sz w:val="24"/>
          <w:szCs w:val="24"/>
          <w:lang/>
        </w:rPr>
        <w:t>134.1.1. прибуток із джерелом походження з України та за її межами, який визначається шляхом коригування (збільшення або зменшення) фінансового результату до оподаткування (прибутку або збитку), визначеного у фінансовій звітності підприємства відповідно до національних положень (стандартів) бухгалтерського обліку або міжнародних стандартів фінансової звітності, на різниці, які виникають відповідно до положень цього Кодексу.</w:t>
      </w:r>
    </w:p>
    <w:p w14:paraId="59EE83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4" w:name="n14047"/>
      <w:bookmarkEnd w:id="3894"/>
      <w:r w:rsidRPr="008B264B">
        <w:rPr>
          <w:rFonts w:ascii="Times New Roman" w:eastAsia="Times New Roman" w:hAnsi="Times New Roman" w:cs="Times New Roman"/>
          <w:i/>
          <w:iCs/>
          <w:color w:val="000000"/>
          <w:sz w:val="24"/>
          <w:szCs w:val="24"/>
          <w:lang/>
        </w:rPr>
        <w:t>{Підпункт 134.1.1 пункту 134.1 статті 134 із змінами, внесеними згідно із Законом </w:t>
      </w:r>
      <w:hyperlink r:id="rId2120" w:anchor="n8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E250C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5" w:name="n10627"/>
      <w:bookmarkEnd w:id="3895"/>
      <w:r w:rsidRPr="008B264B">
        <w:rPr>
          <w:rFonts w:ascii="Times New Roman" w:eastAsia="Times New Roman" w:hAnsi="Times New Roman" w:cs="Times New Roman"/>
          <w:color w:val="000000"/>
          <w:sz w:val="24"/>
          <w:szCs w:val="24"/>
          <w:lang/>
        </w:rPr>
        <w:t>Якщо відповідно до цього розділу передбачено здійснення коригування шляхом збільшення фінансового результату до оподаткування, то в цьому разі відбувається:</w:t>
      </w:r>
    </w:p>
    <w:p w14:paraId="5E592D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6" w:name="n10628"/>
      <w:bookmarkEnd w:id="3896"/>
      <w:r w:rsidRPr="008B264B">
        <w:rPr>
          <w:rFonts w:ascii="Times New Roman" w:eastAsia="Times New Roman" w:hAnsi="Times New Roman" w:cs="Times New Roman"/>
          <w:color w:val="000000"/>
          <w:sz w:val="24"/>
          <w:szCs w:val="24"/>
          <w:lang/>
        </w:rPr>
        <w:t>зменшення від’ємного значення фінансового результату до оподаткування (збитку);</w:t>
      </w:r>
    </w:p>
    <w:p w14:paraId="1E2B95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7" w:name="n10629"/>
      <w:bookmarkEnd w:id="3897"/>
      <w:r w:rsidRPr="008B264B">
        <w:rPr>
          <w:rFonts w:ascii="Times New Roman" w:eastAsia="Times New Roman" w:hAnsi="Times New Roman" w:cs="Times New Roman"/>
          <w:color w:val="000000"/>
          <w:sz w:val="24"/>
          <w:szCs w:val="24"/>
          <w:lang/>
        </w:rPr>
        <w:t>збільшення позитивного значення фінансового результату до оподаткування (прибутку).</w:t>
      </w:r>
    </w:p>
    <w:p w14:paraId="091AC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8" w:name="n10630"/>
      <w:bookmarkEnd w:id="3898"/>
      <w:r w:rsidRPr="008B264B">
        <w:rPr>
          <w:rFonts w:ascii="Times New Roman" w:eastAsia="Times New Roman" w:hAnsi="Times New Roman" w:cs="Times New Roman"/>
          <w:color w:val="000000"/>
          <w:sz w:val="24"/>
          <w:szCs w:val="24"/>
          <w:lang/>
        </w:rPr>
        <w:t>Якщо відповідно до цього розділу передбачено здійснення коригування шляхом зменшення фінансового результату до оподаткування, то в цьому разі відбувається:</w:t>
      </w:r>
    </w:p>
    <w:p w14:paraId="642D71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899" w:name="n10631"/>
      <w:bookmarkEnd w:id="3899"/>
      <w:r w:rsidRPr="008B264B">
        <w:rPr>
          <w:rFonts w:ascii="Times New Roman" w:eastAsia="Times New Roman" w:hAnsi="Times New Roman" w:cs="Times New Roman"/>
          <w:color w:val="000000"/>
          <w:sz w:val="24"/>
          <w:szCs w:val="24"/>
          <w:lang/>
        </w:rPr>
        <w:t>збільшення від’ємного значення фінансового результату до оподаткування (збитку);</w:t>
      </w:r>
    </w:p>
    <w:p w14:paraId="3E5EE1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0" w:name="n10632"/>
      <w:bookmarkEnd w:id="3900"/>
      <w:r w:rsidRPr="008B264B">
        <w:rPr>
          <w:rFonts w:ascii="Times New Roman" w:eastAsia="Times New Roman" w:hAnsi="Times New Roman" w:cs="Times New Roman"/>
          <w:color w:val="000000"/>
          <w:sz w:val="24"/>
          <w:szCs w:val="24"/>
          <w:lang/>
        </w:rPr>
        <w:t>зменшення позитивного значення фінансового результату до оподаткування (прибутку).</w:t>
      </w:r>
    </w:p>
    <w:p w14:paraId="5909FD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1" w:name="n10633"/>
      <w:bookmarkEnd w:id="3901"/>
      <w:r w:rsidRPr="008B264B">
        <w:rPr>
          <w:rFonts w:ascii="Times New Roman" w:eastAsia="Times New Roman" w:hAnsi="Times New Roman" w:cs="Times New Roman"/>
          <w:color w:val="000000"/>
          <w:sz w:val="24"/>
          <w:szCs w:val="24"/>
          <w:lang/>
        </w:rPr>
        <w:t>Для платників податку, у яких річний дохід від будь-якої діяльності (за вирахуванням непрямих податків), визначений за правилами бухгалтерського обліку за останній річний звітний (податковий) період не перевищує двадцяти мільйонів гривень, об’єкт оподаткування може визначатися без коригування фінансового результату до оподаткування на усі різниці (крім від’ємного значення об’єкта оподаткування минулих податкових (звітних) років), визначені відповідно до положень цього розділу. Платник податку, у якого річний дохід (за вирахуванням непрямих податків), визначений за правилами бухгалтерського обліку за останній річний звітний (податковий) період не перевищує двадцяти мільйонів гривень, має право прийняти рішення про незастосування коригувань фінансового результату до оподаткування на усі різниці (крім від’ємного значення об’єкта оподаткування минулих податкових (звітних) років), визначені відповідно до положень цього розділу, не більше одного разу протягом безперервної сукупності років в кожному з яких виконується цей критерій щодо розміру доходу. Про прийняте рішення платник податку зазначає у податковій звітності з цього податку, що подається за перший рік в такій безперервній сукупності років. В подальші роки такої сукупності коригування фінансового результату також не застосовуються (крім від’ємного значення об’єкта оподаткування минулих податкових (звітних) років).</w:t>
      </w:r>
    </w:p>
    <w:p w14:paraId="6F5E14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2" w:name="n10634"/>
      <w:bookmarkEnd w:id="3902"/>
      <w:r w:rsidRPr="008B264B">
        <w:rPr>
          <w:rFonts w:ascii="Times New Roman" w:eastAsia="Times New Roman" w:hAnsi="Times New Roman" w:cs="Times New Roman"/>
          <w:color w:val="000000"/>
          <w:sz w:val="24"/>
          <w:szCs w:val="24"/>
          <w:lang/>
        </w:rPr>
        <w:t>Якщо у платника, який прийняв рішення про незастосування коригувань фінансового результату до оподаткування на усі різниці (крім від’ємного значення об’єкта оподаткування минулих податкових (звітних) років), визначені відповідно до положень цього розділу, в будь-</w:t>
      </w:r>
      <w:r w:rsidRPr="008B264B">
        <w:rPr>
          <w:rFonts w:ascii="Times New Roman" w:eastAsia="Times New Roman" w:hAnsi="Times New Roman" w:cs="Times New Roman"/>
          <w:color w:val="000000"/>
          <w:sz w:val="24"/>
          <w:szCs w:val="24"/>
          <w:lang/>
        </w:rPr>
        <w:lastRenderedPageBreak/>
        <w:t>якому наступному році річний дохід (за вирахуванням непрямих податків), визначений за правилами бухгалтерського обліку за останній річний звітний (податковий) період перевищує двадцять мільйонів гривень, такий платник визначає об’єкт оподаткування починаючи з такого року шляхом коригування фінансового результату до оподаткування на усі різниці, визначені відповідно до положень цього розділу.</w:t>
      </w:r>
    </w:p>
    <w:p w14:paraId="0741A7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3" w:name="n10635"/>
      <w:bookmarkEnd w:id="3903"/>
      <w:r w:rsidRPr="008B264B">
        <w:rPr>
          <w:rFonts w:ascii="Times New Roman" w:eastAsia="Times New Roman" w:hAnsi="Times New Roman" w:cs="Times New Roman"/>
          <w:color w:val="000000"/>
          <w:sz w:val="24"/>
          <w:szCs w:val="24"/>
          <w:lang/>
        </w:rPr>
        <w:t>Для цілей цього підпункту до річного доходу від будь-якої діяльності, визначеного за правилами бухгалтерського обліку, включається дохід (виручка) від реалізації продукції (товарів, робіт, послуг), інші операційні доходи, фінансові доходи та інші доходи.</w:t>
      </w:r>
    </w:p>
    <w:p w14:paraId="7CD440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4" w:name="n14049"/>
      <w:bookmarkEnd w:id="3904"/>
      <w:r w:rsidRPr="008B264B">
        <w:rPr>
          <w:rFonts w:ascii="Times New Roman" w:eastAsia="Times New Roman" w:hAnsi="Times New Roman" w:cs="Times New Roman"/>
          <w:color w:val="000000"/>
          <w:sz w:val="24"/>
          <w:szCs w:val="24"/>
          <w:lang/>
        </w:rPr>
        <w:t>Платники податку на прибуток - виробники сільськогосподарської продукції, які обрали річний податковий (звітний) період відповідно до </w:t>
      </w:r>
      <w:hyperlink r:id="rId2121" w:anchor="n10657" w:history="1">
        <w:r w:rsidRPr="008B264B">
          <w:rPr>
            <w:rFonts w:ascii="Times New Roman" w:eastAsia="Times New Roman" w:hAnsi="Times New Roman" w:cs="Times New Roman"/>
            <w:color w:val="0000FF"/>
            <w:sz w:val="24"/>
            <w:szCs w:val="24"/>
            <w:u w:val="single"/>
            <w:lang/>
          </w:rPr>
          <w:t>підпункту 137.4.1</w:t>
        </w:r>
      </w:hyperlink>
      <w:r w:rsidRPr="008B264B">
        <w:rPr>
          <w:rFonts w:ascii="Times New Roman" w:eastAsia="Times New Roman" w:hAnsi="Times New Roman" w:cs="Times New Roman"/>
          <w:color w:val="000000"/>
          <w:sz w:val="24"/>
          <w:szCs w:val="24"/>
          <w:lang/>
        </w:rPr>
        <w:t> пункту 137.4 статті 137 цього Кодексу, фінансовий результат до оподаткування за податковий (звітний) період обчислюють шляхом зменшення фінансового результату до оподаткування за минулий звітний рік на фінансовий результат до оподаткування за перше півріччя такого року та збільшення на фінансовий результат до оподаткування за перше півріччя поточного звітного року, що визначені відповідно до національних положень (стандартів) бухгалтерського обліку або міжнародних стандартів фінансової звітності;</w:t>
      </w:r>
    </w:p>
    <w:p w14:paraId="75C250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5" w:name="n14048"/>
      <w:bookmarkEnd w:id="3905"/>
      <w:r w:rsidRPr="008B264B">
        <w:rPr>
          <w:rFonts w:ascii="Times New Roman" w:eastAsia="Times New Roman" w:hAnsi="Times New Roman" w:cs="Times New Roman"/>
          <w:i/>
          <w:iCs/>
          <w:color w:val="000000"/>
          <w:sz w:val="24"/>
          <w:szCs w:val="24"/>
          <w:lang/>
        </w:rPr>
        <w:t>{Підпункт 134.1.1 пункту 134.1 статті 134 доповнено абзацом одинадцятим згідно із Законом </w:t>
      </w:r>
      <w:hyperlink r:id="rId2122" w:anchor="n86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9C80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6" w:name="n10636"/>
      <w:bookmarkEnd w:id="3906"/>
      <w:r w:rsidRPr="008B264B">
        <w:rPr>
          <w:rFonts w:ascii="Times New Roman" w:eastAsia="Times New Roman" w:hAnsi="Times New Roman" w:cs="Times New Roman"/>
          <w:color w:val="000000"/>
          <w:sz w:val="24"/>
          <w:szCs w:val="24"/>
          <w:lang/>
        </w:rPr>
        <w:t>134.1.2. дохід за договорами страхування, визначений згідно з </w:t>
      </w:r>
      <w:hyperlink r:id="rId2123" w:anchor="n10756" w:history="1">
        <w:r w:rsidRPr="008B264B">
          <w:rPr>
            <w:rFonts w:ascii="Times New Roman" w:eastAsia="Times New Roman" w:hAnsi="Times New Roman" w:cs="Times New Roman"/>
            <w:color w:val="0000FF"/>
            <w:sz w:val="24"/>
            <w:szCs w:val="24"/>
            <w:u w:val="single"/>
            <w:lang/>
          </w:rPr>
          <w:t>підпунктом 141.1.2</w:t>
        </w:r>
      </w:hyperlink>
      <w:r w:rsidRPr="008B264B">
        <w:rPr>
          <w:rFonts w:ascii="Times New Roman" w:eastAsia="Times New Roman" w:hAnsi="Times New Roman" w:cs="Times New Roman"/>
          <w:color w:val="000000"/>
          <w:sz w:val="24"/>
          <w:szCs w:val="24"/>
          <w:lang/>
        </w:rPr>
        <w:t> пункту 141.1 статті 141 цього Кодексу;</w:t>
      </w:r>
    </w:p>
    <w:p w14:paraId="20EBB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7" w:name="n10637"/>
      <w:bookmarkEnd w:id="3907"/>
      <w:r w:rsidRPr="008B264B">
        <w:rPr>
          <w:rFonts w:ascii="Times New Roman" w:eastAsia="Times New Roman" w:hAnsi="Times New Roman" w:cs="Times New Roman"/>
          <w:color w:val="000000"/>
          <w:sz w:val="24"/>
          <w:szCs w:val="24"/>
          <w:lang/>
        </w:rPr>
        <w:t>134.1.3. дохід (прибуток) нерезидента, що підлягає оподаткуванню згідно з </w:t>
      </w:r>
      <w:hyperlink r:id="rId2124" w:anchor="n10760" w:history="1">
        <w:r w:rsidRPr="008B264B">
          <w:rPr>
            <w:rFonts w:ascii="Times New Roman" w:eastAsia="Times New Roman" w:hAnsi="Times New Roman" w:cs="Times New Roman"/>
            <w:color w:val="0000FF"/>
            <w:sz w:val="24"/>
            <w:szCs w:val="24"/>
            <w:u w:val="single"/>
            <w:lang/>
          </w:rPr>
          <w:t>пунктом 141.4</w:t>
        </w:r>
      </w:hyperlink>
      <w:r w:rsidRPr="008B264B">
        <w:rPr>
          <w:rFonts w:ascii="Times New Roman" w:eastAsia="Times New Roman" w:hAnsi="Times New Roman" w:cs="Times New Roman"/>
          <w:color w:val="000000"/>
          <w:sz w:val="24"/>
          <w:szCs w:val="24"/>
          <w:lang/>
        </w:rPr>
        <w:t> статті 141 цього Кодексу, з джерелом походження з України;</w:t>
      </w:r>
    </w:p>
    <w:p w14:paraId="0F09C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8" w:name="n10638"/>
      <w:bookmarkEnd w:id="3908"/>
      <w:r w:rsidRPr="008B264B">
        <w:rPr>
          <w:rFonts w:ascii="Times New Roman" w:eastAsia="Times New Roman" w:hAnsi="Times New Roman" w:cs="Times New Roman"/>
          <w:color w:val="000000"/>
          <w:sz w:val="24"/>
          <w:szCs w:val="24"/>
          <w:lang/>
        </w:rPr>
        <w:t>134.1.4. дохід суб’єктів, які здійснюють випуск та проведення лотерей, підлягає оподаткуванню згідно з </w:t>
      </w:r>
      <w:hyperlink r:id="rId2125" w:anchor="n14118" w:history="1">
        <w:r w:rsidRPr="008B264B">
          <w:rPr>
            <w:rFonts w:ascii="Times New Roman" w:eastAsia="Times New Roman" w:hAnsi="Times New Roman" w:cs="Times New Roman"/>
            <w:color w:val="0000FF"/>
            <w:sz w:val="24"/>
            <w:szCs w:val="24"/>
            <w:u w:val="single"/>
            <w:lang/>
          </w:rPr>
          <w:t>пунктом 141.8</w:t>
        </w:r>
      </w:hyperlink>
      <w:r w:rsidRPr="008B264B">
        <w:rPr>
          <w:rFonts w:ascii="Times New Roman" w:eastAsia="Times New Roman" w:hAnsi="Times New Roman" w:cs="Times New Roman"/>
          <w:color w:val="000000"/>
          <w:sz w:val="24"/>
          <w:szCs w:val="24"/>
          <w:lang/>
        </w:rPr>
        <w:t> статті 141 цього Кодексу;</w:t>
      </w:r>
    </w:p>
    <w:p w14:paraId="0569F7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09" w:name="n14050"/>
      <w:bookmarkEnd w:id="3909"/>
      <w:r w:rsidRPr="008B264B">
        <w:rPr>
          <w:rFonts w:ascii="Times New Roman" w:eastAsia="Times New Roman" w:hAnsi="Times New Roman" w:cs="Times New Roman"/>
          <w:i/>
          <w:iCs/>
          <w:color w:val="000000"/>
          <w:sz w:val="24"/>
          <w:szCs w:val="24"/>
          <w:lang/>
        </w:rPr>
        <w:t>{Підпункт 134.1.4 пункту 134.1 статті 134 в редакції Закону </w:t>
      </w:r>
      <w:hyperlink r:id="rId2126" w:anchor="n8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5759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0" w:name="n10639"/>
      <w:bookmarkEnd w:id="3910"/>
      <w:r w:rsidRPr="008B264B">
        <w:rPr>
          <w:rFonts w:ascii="Times New Roman" w:eastAsia="Times New Roman" w:hAnsi="Times New Roman" w:cs="Times New Roman"/>
          <w:color w:val="000000"/>
          <w:sz w:val="24"/>
          <w:szCs w:val="24"/>
          <w:lang/>
        </w:rPr>
        <w:t>134.1.5. дохід операторів, отриманий від букмекерської діяльності, азартних ігор (у тому числі казино), крім доходу, отриманого від азартних ігор з використанням гральних автоматів, зменшеного на суму виплачених виплат гравцю, що підлягає оподаткуванню згідно з </w:t>
      </w:r>
      <w:hyperlink r:id="rId2127" w:anchor="n10824" w:history="1">
        <w:r w:rsidRPr="008B264B">
          <w:rPr>
            <w:rFonts w:ascii="Times New Roman" w:eastAsia="Times New Roman" w:hAnsi="Times New Roman" w:cs="Times New Roman"/>
            <w:color w:val="0000FF"/>
            <w:sz w:val="24"/>
            <w:szCs w:val="24"/>
            <w:u w:val="single"/>
            <w:lang/>
          </w:rPr>
          <w:t>пунктом 141.5</w:t>
        </w:r>
      </w:hyperlink>
      <w:r w:rsidRPr="008B264B">
        <w:rPr>
          <w:rFonts w:ascii="Times New Roman" w:eastAsia="Times New Roman" w:hAnsi="Times New Roman" w:cs="Times New Roman"/>
          <w:color w:val="000000"/>
          <w:sz w:val="24"/>
          <w:szCs w:val="24"/>
          <w:lang/>
        </w:rPr>
        <w:t> статті 141 цього Кодексу.</w:t>
      </w:r>
    </w:p>
    <w:p w14:paraId="2B12E5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1" w:name="n10640"/>
      <w:bookmarkEnd w:id="3911"/>
      <w:r w:rsidRPr="008B264B">
        <w:rPr>
          <w:rFonts w:ascii="Times New Roman" w:eastAsia="Times New Roman" w:hAnsi="Times New Roman" w:cs="Times New Roman"/>
          <w:b/>
          <w:bCs/>
          <w:color w:val="000000"/>
          <w:sz w:val="24"/>
          <w:szCs w:val="24"/>
          <w:lang/>
        </w:rPr>
        <w:t>Стаття 135.</w:t>
      </w:r>
      <w:r w:rsidRPr="008B264B">
        <w:rPr>
          <w:rFonts w:ascii="Times New Roman" w:eastAsia="Times New Roman" w:hAnsi="Times New Roman" w:cs="Times New Roman"/>
          <w:color w:val="000000"/>
          <w:sz w:val="24"/>
          <w:szCs w:val="24"/>
          <w:lang/>
        </w:rPr>
        <w:t> База оподаткування</w:t>
      </w:r>
    </w:p>
    <w:p w14:paraId="0EEA80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2" w:name="n10641"/>
      <w:bookmarkEnd w:id="3912"/>
      <w:r w:rsidRPr="008B264B">
        <w:rPr>
          <w:rFonts w:ascii="Times New Roman" w:eastAsia="Times New Roman" w:hAnsi="Times New Roman" w:cs="Times New Roman"/>
          <w:color w:val="000000"/>
          <w:sz w:val="24"/>
          <w:szCs w:val="24"/>
          <w:lang/>
        </w:rPr>
        <w:t>135.1. Базою оподаткування є грошове вираження об’єкту оподаткування, визначеного згідно із </w:t>
      </w:r>
      <w:hyperlink r:id="rId2128" w:anchor="n10624" w:history="1">
        <w:r w:rsidRPr="008B264B">
          <w:rPr>
            <w:rFonts w:ascii="Times New Roman" w:eastAsia="Times New Roman" w:hAnsi="Times New Roman" w:cs="Times New Roman"/>
            <w:color w:val="0000FF"/>
            <w:sz w:val="24"/>
            <w:szCs w:val="24"/>
            <w:u w:val="single"/>
            <w:lang/>
          </w:rPr>
          <w:t>статтею 134</w:t>
        </w:r>
      </w:hyperlink>
      <w:r w:rsidRPr="008B264B">
        <w:rPr>
          <w:rFonts w:ascii="Times New Roman" w:eastAsia="Times New Roman" w:hAnsi="Times New Roman" w:cs="Times New Roman"/>
          <w:color w:val="000000"/>
          <w:sz w:val="24"/>
          <w:szCs w:val="24"/>
          <w:lang/>
        </w:rPr>
        <w:t> цього Кодексу з урахуванням положень цього Кодексу.</w:t>
      </w:r>
    </w:p>
    <w:p w14:paraId="55438D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3" w:name="n10642"/>
      <w:bookmarkEnd w:id="3913"/>
      <w:r w:rsidRPr="008B264B">
        <w:rPr>
          <w:rFonts w:ascii="Times New Roman" w:eastAsia="Times New Roman" w:hAnsi="Times New Roman" w:cs="Times New Roman"/>
          <w:b/>
          <w:bCs/>
          <w:color w:val="000000"/>
          <w:sz w:val="24"/>
          <w:szCs w:val="24"/>
          <w:lang/>
        </w:rPr>
        <w:t>Стаття 136.</w:t>
      </w:r>
      <w:r w:rsidRPr="008B264B">
        <w:rPr>
          <w:rFonts w:ascii="Times New Roman" w:eastAsia="Times New Roman" w:hAnsi="Times New Roman" w:cs="Times New Roman"/>
          <w:color w:val="000000"/>
          <w:sz w:val="24"/>
          <w:szCs w:val="24"/>
          <w:lang/>
        </w:rPr>
        <w:t> Ставки податку</w:t>
      </w:r>
    </w:p>
    <w:p w14:paraId="1B9AEA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4" w:name="n10643"/>
      <w:bookmarkEnd w:id="3914"/>
      <w:r w:rsidRPr="008B264B">
        <w:rPr>
          <w:rFonts w:ascii="Times New Roman" w:eastAsia="Times New Roman" w:hAnsi="Times New Roman" w:cs="Times New Roman"/>
          <w:color w:val="000000"/>
          <w:sz w:val="24"/>
          <w:szCs w:val="24"/>
          <w:lang/>
        </w:rPr>
        <w:t>136.1. Базова (основна) ставка податку становить 18 відсотків.</w:t>
      </w:r>
    </w:p>
    <w:p w14:paraId="211DC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5" w:name="n10644"/>
      <w:bookmarkEnd w:id="3915"/>
      <w:r w:rsidRPr="008B264B">
        <w:rPr>
          <w:rFonts w:ascii="Times New Roman" w:eastAsia="Times New Roman" w:hAnsi="Times New Roman" w:cs="Times New Roman"/>
          <w:color w:val="000000"/>
          <w:sz w:val="24"/>
          <w:szCs w:val="24"/>
          <w:lang/>
        </w:rPr>
        <w:t>136.2. Під час провадження страхової діяльності юридичних осіб - резидентів одночасно із ставкою податку на прибуток, визначеною у пункті 136.1 цієї статті, ставки податку на дохід встановлюються у таких розмірах:</w:t>
      </w:r>
    </w:p>
    <w:p w14:paraId="0D7B9D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6" w:name="n10645"/>
      <w:bookmarkEnd w:id="3916"/>
      <w:r w:rsidRPr="008B264B">
        <w:rPr>
          <w:rFonts w:ascii="Times New Roman" w:eastAsia="Times New Roman" w:hAnsi="Times New Roman" w:cs="Times New Roman"/>
          <w:color w:val="000000"/>
          <w:sz w:val="24"/>
          <w:szCs w:val="24"/>
          <w:lang/>
        </w:rPr>
        <w:t>136.2.1. 3 відсотки за договорами страхування від об’єкта оподаткування, що визначається у </w:t>
      </w:r>
      <w:hyperlink r:id="rId2129" w:anchor="n10756" w:history="1">
        <w:r w:rsidRPr="008B264B">
          <w:rPr>
            <w:rFonts w:ascii="Times New Roman" w:eastAsia="Times New Roman" w:hAnsi="Times New Roman" w:cs="Times New Roman"/>
            <w:color w:val="0000FF"/>
            <w:sz w:val="24"/>
            <w:szCs w:val="24"/>
            <w:u w:val="single"/>
            <w:lang/>
          </w:rPr>
          <w:t>підпункті 141.1.2</w:t>
        </w:r>
      </w:hyperlink>
      <w:r w:rsidRPr="008B264B">
        <w:rPr>
          <w:rFonts w:ascii="Times New Roman" w:eastAsia="Times New Roman" w:hAnsi="Times New Roman" w:cs="Times New Roman"/>
          <w:color w:val="000000"/>
          <w:sz w:val="24"/>
          <w:szCs w:val="24"/>
          <w:lang/>
        </w:rPr>
        <w:t> пункту 141.1 статті 141 цього Кодексу;</w:t>
      </w:r>
    </w:p>
    <w:p w14:paraId="5A52FD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7" w:name="n10646"/>
      <w:bookmarkEnd w:id="3917"/>
      <w:r w:rsidRPr="008B264B">
        <w:rPr>
          <w:rFonts w:ascii="Times New Roman" w:eastAsia="Times New Roman" w:hAnsi="Times New Roman" w:cs="Times New Roman"/>
          <w:color w:val="000000"/>
          <w:sz w:val="24"/>
          <w:szCs w:val="24"/>
          <w:lang/>
        </w:rPr>
        <w:t>136.2.2. 0 відсотків за договорами з довгострокового страхування життя, договорами добровільного медичного страхування та договорами страхування у межах недержавного пенсійного забезпечення, зокрема договорів страхування додаткової пенсії, та визначених підпунктами </w:t>
      </w:r>
      <w:hyperlink r:id="rId2130" w:anchor="n344" w:history="1">
        <w:r w:rsidRPr="008B264B">
          <w:rPr>
            <w:rFonts w:ascii="Times New Roman" w:eastAsia="Times New Roman" w:hAnsi="Times New Roman" w:cs="Times New Roman"/>
            <w:color w:val="0000FF"/>
            <w:sz w:val="24"/>
            <w:szCs w:val="24"/>
            <w:u w:val="single"/>
            <w:lang/>
          </w:rPr>
          <w:t>14.1.52</w:t>
        </w:r>
      </w:hyperlink>
      <w:r w:rsidRPr="008B264B">
        <w:rPr>
          <w:rFonts w:ascii="Times New Roman" w:eastAsia="Times New Roman" w:hAnsi="Times New Roman" w:cs="Times New Roman"/>
          <w:color w:val="000000"/>
          <w:sz w:val="24"/>
          <w:szCs w:val="24"/>
          <w:lang/>
        </w:rPr>
        <w:t>, </w:t>
      </w:r>
      <w:hyperlink r:id="rId2131" w:anchor="n10448" w:history="1">
        <w:r w:rsidRPr="008B264B">
          <w:rPr>
            <w:rFonts w:ascii="Times New Roman" w:eastAsia="Times New Roman" w:hAnsi="Times New Roman" w:cs="Times New Roman"/>
            <w:color w:val="0000FF"/>
            <w:sz w:val="24"/>
            <w:szCs w:val="24"/>
            <w:u w:val="single"/>
            <w:lang/>
          </w:rPr>
          <w:t>14.1.52</w:t>
        </w:r>
      </w:hyperlink>
      <w:hyperlink r:id="rId2132" w:anchor="n10448"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w:t>
      </w:r>
      <w:hyperlink r:id="rId2133" w:anchor="n10449" w:history="1">
        <w:r w:rsidRPr="008B264B">
          <w:rPr>
            <w:rFonts w:ascii="Times New Roman" w:eastAsia="Times New Roman" w:hAnsi="Times New Roman" w:cs="Times New Roman"/>
            <w:color w:val="0000FF"/>
            <w:sz w:val="24"/>
            <w:szCs w:val="24"/>
            <w:u w:val="single"/>
            <w:lang/>
          </w:rPr>
          <w:t>14.1.52</w:t>
        </w:r>
      </w:hyperlink>
      <w:hyperlink r:id="rId2134" w:anchor="n10449"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і </w:t>
      </w:r>
      <w:hyperlink r:id="rId2135" w:anchor="n470" w:history="1">
        <w:r w:rsidRPr="008B264B">
          <w:rPr>
            <w:rFonts w:ascii="Times New Roman" w:eastAsia="Times New Roman" w:hAnsi="Times New Roman" w:cs="Times New Roman"/>
            <w:color w:val="0000FF"/>
            <w:sz w:val="24"/>
            <w:szCs w:val="24"/>
            <w:u w:val="single"/>
            <w:lang/>
          </w:rPr>
          <w:t>14.1.116</w:t>
        </w:r>
      </w:hyperlink>
      <w:r w:rsidRPr="008B264B">
        <w:rPr>
          <w:rFonts w:ascii="Times New Roman" w:eastAsia="Times New Roman" w:hAnsi="Times New Roman" w:cs="Times New Roman"/>
          <w:color w:val="000000"/>
          <w:sz w:val="24"/>
          <w:szCs w:val="24"/>
          <w:lang/>
        </w:rPr>
        <w:t> пункту 14.1 статті 14 цього Кодексу.</w:t>
      </w:r>
    </w:p>
    <w:p w14:paraId="3CCA18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8" w:name="n10647"/>
      <w:bookmarkEnd w:id="3918"/>
      <w:r w:rsidRPr="008B264B">
        <w:rPr>
          <w:rFonts w:ascii="Times New Roman" w:eastAsia="Times New Roman" w:hAnsi="Times New Roman" w:cs="Times New Roman"/>
          <w:color w:val="000000"/>
          <w:sz w:val="24"/>
          <w:szCs w:val="24"/>
          <w:lang/>
        </w:rPr>
        <w:t>136.3. Ставки 0, 4, 6, 12, 15 і 20 відсотків застосовуються до доходів нерезидентів та прирівняних до них осіб із джерелом їх походження з України у випадках, встановлених </w:t>
      </w:r>
      <w:hyperlink r:id="rId2136" w:anchor="n10778" w:history="1">
        <w:r w:rsidRPr="008B264B">
          <w:rPr>
            <w:rFonts w:ascii="Times New Roman" w:eastAsia="Times New Roman" w:hAnsi="Times New Roman" w:cs="Times New Roman"/>
            <w:color w:val="0000FF"/>
            <w:sz w:val="24"/>
            <w:szCs w:val="24"/>
            <w:u w:val="single"/>
            <w:lang/>
          </w:rPr>
          <w:t>пунктом 141.4</w:t>
        </w:r>
      </w:hyperlink>
      <w:r w:rsidRPr="008B264B">
        <w:rPr>
          <w:rFonts w:ascii="Times New Roman" w:eastAsia="Times New Roman" w:hAnsi="Times New Roman" w:cs="Times New Roman"/>
          <w:color w:val="000000"/>
          <w:sz w:val="24"/>
          <w:szCs w:val="24"/>
          <w:lang/>
        </w:rPr>
        <w:t> статті 141 цього Кодексу.</w:t>
      </w:r>
    </w:p>
    <w:p w14:paraId="301BC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19" w:name="n10648"/>
      <w:bookmarkEnd w:id="3919"/>
      <w:r w:rsidRPr="008B264B">
        <w:rPr>
          <w:rFonts w:ascii="Times New Roman" w:eastAsia="Times New Roman" w:hAnsi="Times New Roman" w:cs="Times New Roman"/>
          <w:color w:val="000000"/>
          <w:sz w:val="24"/>
          <w:szCs w:val="24"/>
          <w:lang/>
        </w:rPr>
        <w:lastRenderedPageBreak/>
        <w:t>136.4. Під час провадження букмекерської діяльності, азартних ігор (у тому числі казино) одночасно із ставкою податку на прибуток, визначеною у пункті 136.1 цієї статті, ставка податку на дохід встановлюється у розмірі:</w:t>
      </w:r>
    </w:p>
    <w:p w14:paraId="34B555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0" w:name="n10649"/>
      <w:bookmarkEnd w:id="3920"/>
      <w:r w:rsidRPr="008B264B">
        <w:rPr>
          <w:rFonts w:ascii="Times New Roman" w:eastAsia="Times New Roman" w:hAnsi="Times New Roman" w:cs="Times New Roman"/>
          <w:color w:val="000000"/>
          <w:sz w:val="24"/>
          <w:szCs w:val="24"/>
          <w:lang/>
        </w:rPr>
        <w:t>136.4.1. 10 відсотків від доходу, отриманого від азартних ігор з використанням гральних автоматів;</w:t>
      </w:r>
    </w:p>
    <w:p w14:paraId="2BA1D4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1" w:name="n10650"/>
      <w:bookmarkEnd w:id="3921"/>
      <w:r w:rsidRPr="008B264B">
        <w:rPr>
          <w:rFonts w:ascii="Times New Roman" w:eastAsia="Times New Roman" w:hAnsi="Times New Roman" w:cs="Times New Roman"/>
          <w:color w:val="000000"/>
          <w:sz w:val="24"/>
          <w:szCs w:val="24"/>
          <w:lang/>
        </w:rPr>
        <w:t>136.4.2. 18 відсотків від доходу, отриманого від букмекерської діяльності, азартних ігор (у тому числі казино), крім доходу, отриманого від азартних ігор з використанням гральних автоматів, зменшеного на суму виплачених виплат гравцю.</w:t>
      </w:r>
    </w:p>
    <w:p w14:paraId="7A66FC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2" w:name="n14314"/>
      <w:bookmarkEnd w:id="3922"/>
      <w:r w:rsidRPr="008B264B">
        <w:rPr>
          <w:rFonts w:ascii="Times New Roman" w:eastAsia="Times New Roman" w:hAnsi="Times New Roman" w:cs="Times New Roman"/>
          <w:i/>
          <w:iCs/>
          <w:color w:val="000000"/>
          <w:sz w:val="24"/>
          <w:szCs w:val="24"/>
          <w:lang/>
        </w:rPr>
        <w:t>{Пункт 136.4 статті 136 із змінами, внесеними згідно із Законом </w:t>
      </w:r>
      <w:hyperlink r:id="rId2137" w:anchor="n8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F591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3" w:name="n10651"/>
      <w:bookmarkEnd w:id="3923"/>
      <w:r w:rsidRPr="008B264B">
        <w:rPr>
          <w:rFonts w:ascii="Times New Roman" w:eastAsia="Times New Roman" w:hAnsi="Times New Roman" w:cs="Times New Roman"/>
          <w:color w:val="000000"/>
          <w:sz w:val="24"/>
          <w:szCs w:val="24"/>
          <w:lang/>
        </w:rPr>
        <w:t>136.5. Податок на дохід, визначений як об’єкт оподаткування у </w:t>
      </w:r>
      <w:hyperlink r:id="rId2138" w:anchor="n10636" w:history="1">
        <w:r w:rsidRPr="008B264B">
          <w:rPr>
            <w:rFonts w:ascii="Times New Roman" w:eastAsia="Times New Roman" w:hAnsi="Times New Roman" w:cs="Times New Roman"/>
            <w:color w:val="0000FF"/>
            <w:sz w:val="24"/>
            <w:szCs w:val="24"/>
            <w:u w:val="single"/>
            <w:lang/>
          </w:rPr>
          <w:t>підпунктах 134.1.2</w:t>
        </w:r>
      </w:hyperlink>
      <w:r w:rsidRPr="008B264B">
        <w:rPr>
          <w:rFonts w:ascii="Times New Roman" w:eastAsia="Times New Roman" w:hAnsi="Times New Roman" w:cs="Times New Roman"/>
          <w:color w:val="000000"/>
          <w:sz w:val="24"/>
          <w:szCs w:val="24"/>
          <w:lang/>
        </w:rPr>
        <w:t>, </w:t>
      </w:r>
      <w:hyperlink r:id="rId2139" w:anchor="n10638" w:history="1">
        <w:r w:rsidRPr="008B264B">
          <w:rPr>
            <w:rFonts w:ascii="Times New Roman" w:eastAsia="Times New Roman" w:hAnsi="Times New Roman" w:cs="Times New Roman"/>
            <w:color w:val="0000FF"/>
            <w:sz w:val="24"/>
            <w:szCs w:val="24"/>
            <w:u w:val="single"/>
            <w:lang/>
          </w:rPr>
          <w:t>134.1.4</w:t>
        </w:r>
      </w:hyperlink>
      <w:r w:rsidRPr="008B264B">
        <w:rPr>
          <w:rFonts w:ascii="Times New Roman" w:eastAsia="Times New Roman" w:hAnsi="Times New Roman" w:cs="Times New Roman"/>
          <w:color w:val="000000"/>
          <w:sz w:val="24"/>
          <w:szCs w:val="24"/>
          <w:lang/>
        </w:rPr>
        <w:t>, </w:t>
      </w:r>
      <w:hyperlink r:id="rId2140" w:anchor="n10639" w:history="1">
        <w:r w:rsidRPr="008B264B">
          <w:rPr>
            <w:rFonts w:ascii="Times New Roman" w:eastAsia="Times New Roman" w:hAnsi="Times New Roman" w:cs="Times New Roman"/>
            <w:color w:val="0000FF"/>
            <w:sz w:val="24"/>
            <w:szCs w:val="24"/>
            <w:u w:val="single"/>
            <w:lang/>
          </w:rPr>
          <w:t>134.1.5</w:t>
        </w:r>
      </w:hyperlink>
      <w:r w:rsidRPr="008B264B">
        <w:rPr>
          <w:rFonts w:ascii="Times New Roman" w:eastAsia="Times New Roman" w:hAnsi="Times New Roman" w:cs="Times New Roman"/>
          <w:color w:val="000000"/>
          <w:sz w:val="24"/>
          <w:szCs w:val="24"/>
          <w:lang/>
        </w:rPr>
        <w:t> пункту 134.1 статті 134 цього Кодексу, є частиною податку на прибуток.</w:t>
      </w:r>
    </w:p>
    <w:p w14:paraId="76CEBD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4" w:name="n14053"/>
      <w:bookmarkEnd w:id="3924"/>
      <w:r w:rsidRPr="008B264B">
        <w:rPr>
          <w:rFonts w:ascii="Times New Roman" w:eastAsia="Times New Roman" w:hAnsi="Times New Roman" w:cs="Times New Roman"/>
          <w:color w:val="000000"/>
          <w:sz w:val="24"/>
          <w:szCs w:val="24"/>
          <w:lang/>
        </w:rPr>
        <w:t>136.6. Під час провадження діяльності з випуску та проведення лотерей встановлюється ставка податку на дохід від суми доходів, визначених </w:t>
      </w:r>
      <w:hyperlink r:id="rId2141" w:anchor="n10638" w:history="1">
        <w:r w:rsidRPr="008B264B">
          <w:rPr>
            <w:rFonts w:ascii="Times New Roman" w:eastAsia="Times New Roman" w:hAnsi="Times New Roman" w:cs="Times New Roman"/>
            <w:color w:val="0000FF"/>
            <w:sz w:val="24"/>
            <w:szCs w:val="24"/>
            <w:u w:val="single"/>
            <w:lang/>
          </w:rPr>
          <w:t>підпунктом 134.1.4</w:t>
        </w:r>
      </w:hyperlink>
      <w:r w:rsidRPr="008B264B">
        <w:rPr>
          <w:rFonts w:ascii="Times New Roman" w:eastAsia="Times New Roman" w:hAnsi="Times New Roman" w:cs="Times New Roman"/>
          <w:color w:val="000000"/>
          <w:sz w:val="24"/>
          <w:szCs w:val="24"/>
          <w:lang/>
        </w:rPr>
        <w:t> пункту 134.1 статті 134 цього Кодексу, у розмірі 30 відсотків з урахуванням положень </w:t>
      </w:r>
      <w:hyperlink r:id="rId2142" w:anchor="n14495" w:history="1">
        <w:r w:rsidRPr="008B264B">
          <w:rPr>
            <w:rFonts w:ascii="Times New Roman" w:eastAsia="Times New Roman" w:hAnsi="Times New Roman" w:cs="Times New Roman"/>
            <w:color w:val="0000FF"/>
            <w:sz w:val="24"/>
            <w:szCs w:val="24"/>
            <w:u w:val="single"/>
            <w:lang/>
          </w:rPr>
          <w:t>пункту 47</w:t>
        </w:r>
      </w:hyperlink>
      <w:r w:rsidRPr="008B264B">
        <w:rPr>
          <w:rFonts w:ascii="Times New Roman" w:eastAsia="Times New Roman" w:hAnsi="Times New Roman" w:cs="Times New Roman"/>
          <w:color w:val="000000"/>
          <w:sz w:val="24"/>
          <w:szCs w:val="24"/>
          <w:lang/>
        </w:rPr>
        <w:t> підрозділу 4 розділу XX цього Кодексу.</w:t>
      </w:r>
    </w:p>
    <w:p w14:paraId="74457E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5" w:name="n14052"/>
      <w:bookmarkEnd w:id="3925"/>
      <w:r w:rsidRPr="008B264B">
        <w:rPr>
          <w:rFonts w:ascii="Times New Roman" w:eastAsia="Times New Roman" w:hAnsi="Times New Roman" w:cs="Times New Roman"/>
          <w:i/>
          <w:iCs/>
          <w:color w:val="000000"/>
          <w:sz w:val="24"/>
          <w:szCs w:val="24"/>
          <w:lang/>
        </w:rPr>
        <w:t>{Статтю 136 доповнено пунктом 136.6 згідно із Законом </w:t>
      </w:r>
      <w:hyperlink r:id="rId2143" w:anchor="n8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10CD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6" w:name="n10652"/>
      <w:bookmarkEnd w:id="3926"/>
      <w:r w:rsidRPr="008B264B">
        <w:rPr>
          <w:rFonts w:ascii="Times New Roman" w:eastAsia="Times New Roman" w:hAnsi="Times New Roman" w:cs="Times New Roman"/>
          <w:b/>
          <w:bCs/>
          <w:color w:val="000000"/>
          <w:sz w:val="24"/>
          <w:szCs w:val="24"/>
          <w:lang/>
        </w:rPr>
        <w:t>Стаття 137.</w:t>
      </w:r>
      <w:r w:rsidRPr="008B264B">
        <w:rPr>
          <w:rFonts w:ascii="Times New Roman" w:eastAsia="Times New Roman" w:hAnsi="Times New Roman" w:cs="Times New Roman"/>
          <w:color w:val="000000"/>
          <w:sz w:val="24"/>
          <w:szCs w:val="24"/>
          <w:lang/>
        </w:rPr>
        <w:t> Порядок обчислення податку на прибуток підприємств та сплати</w:t>
      </w:r>
    </w:p>
    <w:p w14:paraId="04B525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7" w:name="n12716"/>
      <w:bookmarkEnd w:id="3927"/>
      <w:r w:rsidRPr="008B264B">
        <w:rPr>
          <w:rFonts w:ascii="Times New Roman" w:eastAsia="Times New Roman" w:hAnsi="Times New Roman" w:cs="Times New Roman"/>
          <w:i/>
          <w:iCs/>
          <w:color w:val="000000"/>
          <w:sz w:val="24"/>
          <w:szCs w:val="24"/>
          <w:lang/>
        </w:rPr>
        <w:t>{Назва статті 137 із змінами, внесеними згідно із Законом </w:t>
      </w:r>
      <w:hyperlink r:id="rId2144" w:anchor="n11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47D6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8" w:name="n10653"/>
      <w:bookmarkEnd w:id="3928"/>
      <w:r w:rsidRPr="008B264B">
        <w:rPr>
          <w:rFonts w:ascii="Times New Roman" w:eastAsia="Times New Roman" w:hAnsi="Times New Roman" w:cs="Times New Roman"/>
          <w:color w:val="000000"/>
          <w:sz w:val="24"/>
          <w:szCs w:val="24"/>
          <w:lang/>
        </w:rPr>
        <w:t>137.1. Податок нараховується платником самостійно за ставкою, визначеною статтею 136 цього Кодексу, від бази оподаткування, визначеної згідно зі статтею 135 цього Кодексу.</w:t>
      </w:r>
    </w:p>
    <w:p w14:paraId="49BBBA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29" w:name="n10654"/>
      <w:bookmarkEnd w:id="3929"/>
      <w:r w:rsidRPr="008B264B">
        <w:rPr>
          <w:rFonts w:ascii="Times New Roman" w:eastAsia="Times New Roman" w:hAnsi="Times New Roman" w:cs="Times New Roman"/>
          <w:color w:val="000000"/>
          <w:sz w:val="24"/>
          <w:szCs w:val="24"/>
          <w:lang/>
        </w:rPr>
        <w:t>137.2. Податок, що підлягає сплаті до бюджету платниками податку, які провадять страхову діяльність, визначається в порядку, передбаченому </w:t>
      </w:r>
      <w:hyperlink r:id="rId2145" w:anchor="n10753" w:history="1">
        <w:r w:rsidRPr="008B264B">
          <w:rPr>
            <w:rFonts w:ascii="Times New Roman" w:eastAsia="Times New Roman" w:hAnsi="Times New Roman" w:cs="Times New Roman"/>
            <w:color w:val="0000FF"/>
            <w:sz w:val="24"/>
            <w:szCs w:val="24"/>
            <w:u w:val="single"/>
            <w:lang/>
          </w:rPr>
          <w:t>пунктом 141.1</w:t>
        </w:r>
      </w:hyperlink>
      <w:r w:rsidRPr="008B264B">
        <w:rPr>
          <w:rFonts w:ascii="Times New Roman" w:eastAsia="Times New Roman" w:hAnsi="Times New Roman" w:cs="Times New Roman"/>
          <w:color w:val="000000"/>
          <w:sz w:val="24"/>
          <w:szCs w:val="24"/>
          <w:lang/>
        </w:rPr>
        <w:t> статті 141 цього Кодексу.</w:t>
      </w:r>
    </w:p>
    <w:p w14:paraId="41E5B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0" w:name="n10655"/>
      <w:bookmarkEnd w:id="3930"/>
      <w:r w:rsidRPr="008B264B">
        <w:rPr>
          <w:rFonts w:ascii="Times New Roman" w:eastAsia="Times New Roman" w:hAnsi="Times New Roman" w:cs="Times New Roman"/>
          <w:color w:val="000000"/>
          <w:sz w:val="24"/>
          <w:szCs w:val="24"/>
          <w:lang/>
        </w:rPr>
        <w:t>137.3. Відповідальність за повноту утримання та своєчасність перерахування до бюджету податку, зазначеного в пункті </w:t>
      </w:r>
      <w:hyperlink r:id="rId2146" w:anchor="n10538" w:history="1">
        <w:r w:rsidRPr="008B264B">
          <w:rPr>
            <w:rFonts w:ascii="Times New Roman" w:eastAsia="Times New Roman" w:hAnsi="Times New Roman" w:cs="Times New Roman"/>
            <w:color w:val="0000FF"/>
            <w:sz w:val="24"/>
            <w:szCs w:val="24"/>
            <w:u w:val="single"/>
            <w:lang/>
          </w:rPr>
          <w:t>57.1</w:t>
        </w:r>
      </w:hyperlink>
      <w:hyperlink r:id="rId2147" w:anchor="n10538"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2148" w:anchor="n10538" w:history="1">
        <w:r w:rsidRPr="008B264B">
          <w:rPr>
            <w:rFonts w:ascii="Times New Roman" w:eastAsia="Times New Roman" w:hAnsi="Times New Roman" w:cs="Times New Roman"/>
            <w:color w:val="0000FF"/>
            <w:sz w:val="24"/>
            <w:szCs w:val="24"/>
            <w:u w:val="single"/>
            <w:lang/>
          </w:rPr>
          <w:t> статті 57</w:t>
        </w:r>
      </w:hyperlink>
      <w:r w:rsidRPr="008B264B">
        <w:rPr>
          <w:rFonts w:ascii="Times New Roman" w:eastAsia="Times New Roman" w:hAnsi="Times New Roman" w:cs="Times New Roman"/>
          <w:color w:val="000000"/>
          <w:sz w:val="24"/>
          <w:szCs w:val="24"/>
          <w:lang/>
        </w:rPr>
        <w:t> та </w:t>
      </w:r>
      <w:hyperlink r:id="rId2149" w:anchor="n10778" w:history="1">
        <w:r w:rsidRPr="008B264B">
          <w:rPr>
            <w:rFonts w:ascii="Times New Roman" w:eastAsia="Times New Roman" w:hAnsi="Times New Roman" w:cs="Times New Roman"/>
            <w:color w:val="0000FF"/>
            <w:sz w:val="24"/>
            <w:szCs w:val="24"/>
            <w:u w:val="single"/>
            <w:lang/>
          </w:rPr>
          <w:t>141.4 статті 141</w:t>
        </w:r>
      </w:hyperlink>
      <w:r w:rsidRPr="008B264B">
        <w:rPr>
          <w:rFonts w:ascii="Times New Roman" w:eastAsia="Times New Roman" w:hAnsi="Times New Roman" w:cs="Times New Roman"/>
          <w:color w:val="000000"/>
          <w:sz w:val="24"/>
          <w:szCs w:val="24"/>
          <w:lang/>
        </w:rPr>
        <w:t> цього Кодексу, покладається на платників податку, які здійснюють відповідні виплати.</w:t>
      </w:r>
    </w:p>
    <w:p w14:paraId="23C40E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1" w:name="n12717"/>
      <w:bookmarkEnd w:id="3931"/>
      <w:r w:rsidRPr="008B264B">
        <w:rPr>
          <w:rFonts w:ascii="Times New Roman" w:eastAsia="Times New Roman" w:hAnsi="Times New Roman" w:cs="Times New Roman"/>
          <w:i/>
          <w:iCs/>
          <w:color w:val="000000"/>
          <w:sz w:val="24"/>
          <w:szCs w:val="24"/>
          <w:lang/>
        </w:rPr>
        <w:t>{Пункт 137.3 статті 137 із змінами, внесеними згідно із Законом </w:t>
      </w:r>
      <w:hyperlink r:id="rId2150" w:anchor="n1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37B01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2" w:name="n10656"/>
      <w:bookmarkEnd w:id="3932"/>
      <w:r w:rsidRPr="008B264B">
        <w:rPr>
          <w:rFonts w:ascii="Times New Roman" w:eastAsia="Times New Roman" w:hAnsi="Times New Roman" w:cs="Times New Roman"/>
          <w:color w:val="000000"/>
          <w:sz w:val="24"/>
          <w:szCs w:val="24"/>
          <w:lang/>
        </w:rPr>
        <w:t>137.4. Податковими (звітними) періодами для податку на прибуток підприємств, крім випадків, передбачених пунктом 137.5 цієї статті, є календарні: квартал, півріччя, три квартали, рік. При цьому податкова декларація розраховується наростаючим підсумком. Податковий (звітний) період починається з першого календарного дня податкового (звітного) періоду і закінчується останнім календарним днем податкового (звітного) періоду, крім:</w:t>
      </w:r>
    </w:p>
    <w:p w14:paraId="10E869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3" w:name="n10657"/>
      <w:bookmarkEnd w:id="3933"/>
      <w:r w:rsidRPr="008B264B">
        <w:rPr>
          <w:rFonts w:ascii="Times New Roman" w:eastAsia="Times New Roman" w:hAnsi="Times New Roman" w:cs="Times New Roman"/>
          <w:color w:val="000000"/>
          <w:sz w:val="24"/>
          <w:szCs w:val="24"/>
          <w:lang/>
        </w:rPr>
        <w:t>137.4.1. виробників сільськогосподарської продукції, визначеної </w:t>
      </w:r>
      <w:hyperlink r:id="rId2151" w:anchor="n5191" w:history="1">
        <w:r w:rsidRPr="008B264B">
          <w:rPr>
            <w:rFonts w:ascii="Times New Roman" w:eastAsia="Times New Roman" w:hAnsi="Times New Roman" w:cs="Times New Roman"/>
            <w:color w:val="0000FF"/>
            <w:sz w:val="24"/>
            <w:szCs w:val="24"/>
            <w:u w:val="single"/>
            <w:lang/>
          </w:rPr>
          <w:t>статтею 209</w:t>
        </w:r>
      </w:hyperlink>
      <w:r w:rsidRPr="008B264B">
        <w:rPr>
          <w:rFonts w:ascii="Times New Roman" w:eastAsia="Times New Roman" w:hAnsi="Times New Roman" w:cs="Times New Roman"/>
          <w:color w:val="000000"/>
          <w:sz w:val="24"/>
          <w:szCs w:val="24"/>
          <w:lang/>
        </w:rPr>
        <w:t> цього Кодексу, які можуть обрати річний податковий (звітний) період, який починається з 1 липня минулого звітного року і закінчується 30 червня поточного звітного року.</w:t>
      </w:r>
    </w:p>
    <w:p w14:paraId="3F2AB4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4" w:name="n14054"/>
      <w:bookmarkEnd w:id="3934"/>
      <w:r w:rsidRPr="008B264B">
        <w:rPr>
          <w:rFonts w:ascii="Times New Roman" w:eastAsia="Times New Roman" w:hAnsi="Times New Roman" w:cs="Times New Roman"/>
          <w:i/>
          <w:iCs/>
          <w:color w:val="000000"/>
          <w:sz w:val="24"/>
          <w:szCs w:val="24"/>
          <w:lang/>
        </w:rPr>
        <w:t>{Абзац перший підпункту 137.4.1 пункту 137.4 статті 137 в редакції Закону </w:t>
      </w:r>
      <w:hyperlink r:id="rId2152" w:anchor="n8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6B4F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5" w:name="n10658"/>
      <w:bookmarkEnd w:id="3935"/>
      <w:r w:rsidRPr="008B264B">
        <w:rPr>
          <w:rFonts w:ascii="Times New Roman" w:eastAsia="Times New Roman" w:hAnsi="Times New Roman" w:cs="Times New Roman"/>
          <w:color w:val="000000"/>
          <w:sz w:val="24"/>
          <w:szCs w:val="24"/>
          <w:lang/>
        </w:rPr>
        <w:t>Для цілей оподаткування податком на прибуток до підприємств, основною діяльністю яких є виробництво сільськогосподарської продукції, належать підприємства, дохід яких від продажу сільськогосподарської продукції власного виробництва за попередній податковий (звітний) рік перевищує 50 відсотків загальної суми доходу;</w:t>
      </w:r>
    </w:p>
    <w:p w14:paraId="03C82B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6" w:name="n10659"/>
      <w:bookmarkEnd w:id="3936"/>
      <w:r w:rsidRPr="008B264B">
        <w:rPr>
          <w:rFonts w:ascii="Times New Roman" w:eastAsia="Times New Roman" w:hAnsi="Times New Roman" w:cs="Times New Roman"/>
          <w:color w:val="000000"/>
          <w:sz w:val="24"/>
          <w:szCs w:val="24"/>
          <w:lang/>
        </w:rPr>
        <w:t>137.4.2. у разі якщо особа ставиться на облік контролюючим органом як платник податку протягом податкового (звітного) періоду, перший податковий (звітний) період розпочинається з дати, на яку припадає початок такого обліку, і закінчується останнім календарним днем такого податкового (звітного) періоду;</w:t>
      </w:r>
    </w:p>
    <w:p w14:paraId="314C51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7" w:name="n10660"/>
      <w:bookmarkEnd w:id="3937"/>
      <w:r w:rsidRPr="008B264B">
        <w:rPr>
          <w:rFonts w:ascii="Times New Roman" w:eastAsia="Times New Roman" w:hAnsi="Times New Roman" w:cs="Times New Roman"/>
          <w:color w:val="000000"/>
          <w:sz w:val="24"/>
          <w:szCs w:val="24"/>
          <w:lang/>
        </w:rPr>
        <w:lastRenderedPageBreak/>
        <w:t>137.4.3. якщо платник податку ліквідується (у тому числі до закінчення першого податкового (звітного) періоду), останнім податковим (звітним) періодом вважається період, на який припадає дата ліквідації.</w:t>
      </w:r>
    </w:p>
    <w:p w14:paraId="57EB8E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8" w:name="n12718"/>
      <w:bookmarkEnd w:id="3938"/>
      <w:r w:rsidRPr="008B264B">
        <w:rPr>
          <w:rFonts w:ascii="Times New Roman" w:eastAsia="Times New Roman" w:hAnsi="Times New Roman" w:cs="Times New Roman"/>
          <w:i/>
          <w:iCs/>
          <w:color w:val="000000"/>
          <w:sz w:val="24"/>
          <w:szCs w:val="24"/>
          <w:lang/>
        </w:rPr>
        <w:t>{Пункт 137.4 статті 137 в редакції Закону </w:t>
      </w:r>
      <w:hyperlink r:id="rId2153" w:anchor="n11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2CC5A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39" w:name="n10661"/>
      <w:bookmarkEnd w:id="3939"/>
      <w:r w:rsidRPr="008B264B">
        <w:rPr>
          <w:rFonts w:ascii="Times New Roman" w:eastAsia="Times New Roman" w:hAnsi="Times New Roman" w:cs="Times New Roman"/>
          <w:color w:val="000000"/>
          <w:sz w:val="24"/>
          <w:szCs w:val="24"/>
          <w:lang/>
        </w:rPr>
        <w:t>137.5. Річний податковий (звітний) період встановлюється для таких платників податку:</w:t>
      </w:r>
    </w:p>
    <w:p w14:paraId="74B25B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0" w:name="n12720"/>
      <w:bookmarkEnd w:id="3940"/>
      <w:r w:rsidRPr="008B264B">
        <w:rPr>
          <w:rFonts w:ascii="Times New Roman" w:eastAsia="Times New Roman" w:hAnsi="Times New Roman" w:cs="Times New Roman"/>
          <w:color w:val="000000"/>
          <w:sz w:val="24"/>
          <w:szCs w:val="24"/>
          <w:lang/>
        </w:rPr>
        <w:t>а) платників податку, які зареєстровані протягом звітного (податкового) року (новостворені), що сплачують податок на прибуток на підставі річної податкової декларації за період діяльності у звітному (податковому) році;</w:t>
      </w:r>
    </w:p>
    <w:p w14:paraId="796E0C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1" w:name="n12721"/>
      <w:bookmarkEnd w:id="3941"/>
      <w:r w:rsidRPr="008B264B">
        <w:rPr>
          <w:rFonts w:ascii="Times New Roman" w:eastAsia="Times New Roman" w:hAnsi="Times New Roman" w:cs="Times New Roman"/>
          <w:color w:val="000000"/>
          <w:sz w:val="24"/>
          <w:szCs w:val="24"/>
          <w:lang/>
        </w:rPr>
        <w:t>б) виробників сільськогосподарської продукції;</w:t>
      </w:r>
    </w:p>
    <w:p w14:paraId="0DD166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2" w:name="n12722"/>
      <w:bookmarkEnd w:id="3942"/>
      <w:r w:rsidRPr="008B264B">
        <w:rPr>
          <w:rFonts w:ascii="Times New Roman" w:eastAsia="Times New Roman" w:hAnsi="Times New Roman" w:cs="Times New Roman"/>
          <w:color w:val="000000"/>
          <w:sz w:val="24"/>
          <w:szCs w:val="24"/>
          <w:lang/>
        </w:rPr>
        <w:t>в) платників податку, у яких річний дохід від будь-якої діяльності (за вирахуванням непрямих податків), визначений за показниками Звіту про фінансові результати (Звіту про сукупний дохід), за попередній річний звітний (податковий) період, не перевищує 20 мільйонів гривень. При цьому до річного доходу від будь-якої діяльності (за вирахуванням непрямих податків), визначеного за показниками Звіту про фінансові результати (Звіту про сукупний дохід), включається дохід (виручка) від реалізації продукції (товарів, робіт, послуг), інші операційні доходи, фінансові доходи та інші доходи.</w:t>
      </w:r>
    </w:p>
    <w:p w14:paraId="356582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3" w:name="n12719"/>
      <w:bookmarkEnd w:id="3943"/>
      <w:r w:rsidRPr="008B264B">
        <w:rPr>
          <w:rFonts w:ascii="Times New Roman" w:eastAsia="Times New Roman" w:hAnsi="Times New Roman" w:cs="Times New Roman"/>
          <w:i/>
          <w:iCs/>
          <w:color w:val="000000"/>
          <w:sz w:val="24"/>
          <w:szCs w:val="24"/>
          <w:lang/>
        </w:rPr>
        <w:t>{Пункт 137.5 статті 137 в редакції Закону </w:t>
      </w:r>
      <w:hyperlink r:id="rId2154" w:anchor="n11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24ABA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4" w:name="n12724"/>
      <w:bookmarkEnd w:id="3944"/>
      <w:r w:rsidRPr="008B264B">
        <w:rPr>
          <w:rFonts w:ascii="Times New Roman" w:eastAsia="Times New Roman" w:hAnsi="Times New Roman" w:cs="Times New Roman"/>
          <w:i/>
          <w:iCs/>
          <w:color w:val="000000"/>
          <w:sz w:val="24"/>
          <w:szCs w:val="24"/>
          <w:lang/>
        </w:rPr>
        <w:t>{Пункт 137.6 статті 137 виключено на підставі Закону </w:t>
      </w:r>
      <w:hyperlink r:id="rId2155" w:anchor="n8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7EE99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5" w:name="n14056"/>
      <w:bookmarkEnd w:id="3945"/>
      <w:r w:rsidRPr="008B264B">
        <w:rPr>
          <w:rFonts w:ascii="Times New Roman" w:eastAsia="Times New Roman" w:hAnsi="Times New Roman" w:cs="Times New Roman"/>
          <w:color w:val="000000"/>
          <w:sz w:val="24"/>
          <w:szCs w:val="24"/>
          <w:lang/>
        </w:rPr>
        <w:t>137.7. Нерезидент щороку може отримувати від контролюючого органу підтвердження українською мовою щодо сплати податку.</w:t>
      </w:r>
    </w:p>
    <w:p w14:paraId="77709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6" w:name="n14058"/>
      <w:bookmarkEnd w:id="3946"/>
      <w:r w:rsidRPr="008B264B">
        <w:rPr>
          <w:rFonts w:ascii="Times New Roman" w:eastAsia="Times New Roman" w:hAnsi="Times New Roman" w:cs="Times New Roman"/>
          <w:i/>
          <w:iCs/>
          <w:color w:val="000000"/>
          <w:sz w:val="24"/>
          <w:szCs w:val="24"/>
          <w:lang/>
        </w:rPr>
        <w:t>{Статтю 137 доповнено пунктом 137.7 згідно із Законом </w:t>
      </w:r>
      <w:hyperlink r:id="rId2156" w:anchor="n8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6A28B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7" w:name="n14057"/>
      <w:bookmarkEnd w:id="3947"/>
      <w:r w:rsidRPr="008B264B">
        <w:rPr>
          <w:rFonts w:ascii="Times New Roman" w:eastAsia="Times New Roman" w:hAnsi="Times New Roman" w:cs="Times New Roman"/>
          <w:color w:val="000000"/>
          <w:sz w:val="24"/>
          <w:szCs w:val="24"/>
          <w:lang/>
        </w:rPr>
        <w:t>137.8. Платники податку на дохід: суб’єкти, які здійснюють випуск та проведення лотерей, щоквартально сплачують податок на дохід у порядку і в строки, які встановлені для квартального податкового (звітного) періоду з поданням </w:t>
      </w:r>
      <w:hyperlink r:id="rId2157" w:anchor="n20" w:tgtFrame="_blank" w:history="1">
        <w:r w:rsidRPr="008B264B">
          <w:rPr>
            <w:rFonts w:ascii="Times New Roman" w:eastAsia="Times New Roman" w:hAnsi="Times New Roman" w:cs="Times New Roman"/>
            <w:color w:val="0000FF"/>
            <w:sz w:val="24"/>
            <w:szCs w:val="24"/>
            <w:u w:val="single"/>
            <w:lang/>
          </w:rPr>
          <w:t>податкової декларації з податку на прибуток</w:t>
        </w:r>
      </w:hyperlink>
      <w:r w:rsidRPr="008B264B">
        <w:rPr>
          <w:rFonts w:ascii="Times New Roman" w:eastAsia="Times New Roman" w:hAnsi="Times New Roman" w:cs="Times New Roman"/>
          <w:color w:val="000000"/>
          <w:sz w:val="24"/>
          <w:szCs w:val="24"/>
          <w:lang/>
        </w:rPr>
        <w:t>.</w:t>
      </w:r>
    </w:p>
    <w:p w14:paraId="14DBC1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8" w:name="n14055"/>
      <w:bookmarkEnd w:id="3948"/>
      <w:r w:rsidRPr="008B264B">
        <w:rPr>
          <w:rFonts w:ascii="Times New Roman" w:eastAsia="Times New Roman" w:hAnsi="Times New Roman" w:cs="Times New Roman"/>
          <w:i/>
          <w:iCs/>
          <w:color w:val="000000"/>
          <w:sz w:val="24"/>
          <w:szCs w:val="24"/>
          <w:lang/>
        </w:rPr>
        <w:t>{Статтю 137 доповнено пунктом 137.8 згідно із Законом </w:t>
      </w:r>
      <w:hyperlink r:id="rId2158" w:anchor="n8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A691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49" w:name="n10662"/>
      <w:bookmarkEnd w:id="3949"/>
      <w:r w:rsidRPr="008B264B">
        <w:rPr>
          <w:rFonts w:ascii="Times New Roman" w:eastAsia="Times New Roman" w:hAnsi="Times New Roman" w:cs="Times New Roman"/>
          <w:b/>
          <w:bCs/>
          <w:color w:val="000000"/>
          <w:sz w:val="24"/>
          <w:szCs w:val="24"/>
          <w:lang/>
        </w:rPr>
        <w:t>Стаття 138.</w:t>
      </w:r>
      <w:r w:rsidRPr="008B264B">
        <w:rPr>
          <w:rFonts w:ascii="Times New Roman" w:eastAsia="Times New Roman" w:hAnsi="Times New Roman" w:cs="Times New Roman"/>
          <w:color w:val="000000"/>
          <w:sz w:val="24"/>
          <w:szCs w:val="24"/>
          <w:lang/>
        </w:rPr>
        <w:t> Різниці, які виникають при нарахуванні амортизації необоротних активів</w:t>
      </w:r>
    </w:p>
    <w:p w14:paraId="0A1FB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0" w:name="n10663"/>
      <w:bookmarkEnd w:id="3950"/>
      <w:r w:rsidRPr="008B264B">
        <w:rPr>
          <w:rFonts w:ascii="Times New Roman" w:eastAsia="Times New Roman" w:hAnsi="Times New Roman" w:cs="Times New Roman"/>
          <w:color w:val="000000"/>
          <w:sz w:val="24"/>
          <w:szCs w:val="24"/>
          <w:lang/>
        </w:rPr>
        <w:t>138.1. Фінансовий результат до оподаткування збільшується:</w:t>
      </w:r>
    </w:p>
    <w:p w14:paraId="7D8664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1" w:name="n10664"/>
      <w:bookmarkEnd w:id="3951"/>
      <w:r w:rsidRPr="008B264B">
        <w:rPr>
          <w:rFonts w:ascii="Times New Roman" w:eastAsia="Times New Roman" w:hAnsi="Times New Roman" w:cs="Times New Roman"/>
          <w:color w:val="000000"/>
          <w:sz w:val="24"/>
          <w:szCs w:val="24"/>
          <w:lang/>
        </w:rPr>
        <w:t>на суму нарахованої амортизації основних засобів або нематеріальних активів відповідно до національних положень (стандартів) бухгалтерського обліку або міжнародних стандартів фінансової звітності;</w:t>
      </w:r>
    </w:p>
    <w:p w14:paraId="27CB8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2" w:name="n10665"/>
      <w:bookmarkEnd w:id="3952"/>
      <w:r w:rsidRPr="008B264B">
        <w:rPr>
          <w:rFonts w:ascii="Times New Roman" w:eastAsia="Times New Roman" w:hAnsi="Times New Roman" w:cs="Times New Roman"/>
          <w:color w:val="000000"/>
          <w:sz w:val="24"/>
          <w:szCs w:val="24"/>
          <w:lang/>
        </w:rPr>
        <w:t>на суму уцінки та втрат від зменшення корисності основних засобів або нематеріальних активів, включених до витрат звітного періоду відповідно до національних положень (стандартів) бухгалтерського обліку або міжнародних стандартів фінансової звітності;</w:t>
      </w:r>
    </w:p>
    <w:p w14:paraId="460144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3" w:name="n10666"/>
      <w:bookmarkEnd w:id="3953"/>
      <w:r w:rsidRPr="008B264B">
        <w:rPr>
          <w:rFonts w:ascii="Times New Roman" w:eastAsia="Times New Roman" w:hAnsi="Times New Roman" w:cs="Times New Roman"/>
          <w:color w:val="000000"/>
          <w:sz w:val="24"/>
          <w:szCs w:val="24"/>
          <w:lang/>
        </w:rPr>
        <w:t>на суму залишкової вартості окремого об’єкта основних засобів або нематеріальних активів, визначеної відповідно до національних положень (стандартів) бухгалтерського обліку або міжнародних стандартів фінансової звітності, у разі ліквідації або продажу такого об’єкта.</w:t>
      </w:r>
    </w:p>
    <w:p w14:paraId="399F14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4" w:name="n14059"/>
      <w:bookmarkEnd w:id="3954"/>
      <w:r w:rsidRPr="008B264B">
        <w:rPr>
          <w:rFonts w:ascii="Times New Roman" w:eastAsia="Times New Roman" w:hAnsi="Times New Roman" w:cs="Times New Roman"/>
          <w:i/>
          <w:iCs/>
          <w:color w:val="000000"/>
          <w:sz w:val="24"/>
          <w:szCs w:val="24"/>
          <w:lang/>
        </w:rPr>
        <w:t>{Абзац четвертий пункту 138.1 статті 138 із змінами, внесеними згідно із Законом </w:t>
      </w:r>
      <w:hyperlink r:id="rId2159" w:anchor="n8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E093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5" w:name="n14061"/>
      <w:bookmarkEnd w:id="3955"/>
      <w:r w:rsidRPr="008B264B">
        <w:rPr>
          <w:rFonts w:ascii="Times New Roman" w:eastAsia="Times New Roman" w:hAnsi="Times New Roman" w:cs="Times New Roman"/>
          <w:color w:val="000000"/>
          <w:sz w:val="24"/>
          <w:szCs w:val="24"/>
          <w:lang/>
        </w:rPr>
        <w:t>на суму залишкової вартості окремого об’єкта невиробничих основних засобів або невиробничих нематеріальних активів, визначеної відповідно до національних положень (стандартів) бухгалтерського обліку або міжнародних стандартів фінансової звітності, у разі ліквідації або продажу такого об’єкта;</w:t>
      </w:r>
    </w:p>
    <w:p w14:paraId="1074B1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6" w:name="n14063"/>
      <w:bookmarkEnd w:id="3956"/>
      <w:r w:rsidRPr="008B264B">
        <w:rPr>
          <w:rFonts w:ascii="Times New Roman" w:eastAsia="Times New Roman" w:hAnsi="Times New Roman" w:cs="Times New Roman"/>
          <w:i/>
          <w:iCs/>
          <w:color w:val="000000"/>
          <w:sz w:val="24"/>
          <w:szCs w:val="24"/>
          <w:lang/>
        </w:rPr>
        <w:t>{Пункт 138.1 статті 138 доповнено абзацом п'ятим згідно із Законом </w:t>
      </w:r>
      <w:hyperlink r:id="rId2160" w:anchor="n8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B768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7" w:name="n14062"/>
      <w:bookmarkEnd w:id="3957"/>
      <w:r w:rsidRPr="008B264B">
        <w:rPr>
          <w:rFonts w:ascii="Times New Roman" w:eastAsia="Times New Roman" w:hAnsi="Times New Roman" w:cs="Times New Roman"/>
          <w:color w:val="000000"/>
          <w:sz w:val="24"/>
          <w:szCs w:val="24"/>
          <w:lang/>
        </w:rPr>
        <w:lastRenderedPageBreak/>
        <w:t>на суму витрат на ремонт, реконструкцію, модернізацію або інші поліпшення невиробничих основних засобів чи невиробничих нематеріальних активів, віднесених до витрат відповідно до національних положень (стандартів) бухгалтерського обліку або міжнародних стандартів фінансової звітності;</w:t>
      </w:r>
    </w:p>
    <w:p w14:paraId="022467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8" w:name="n14060"/>
      <w:bookmarkEnd w:id="3958"/>
      <w:r w:rsidRPr="008B264B">
        <w:rPr>
          <w:rFonts w:ascii="Times New Roman" w:eastAsia="Times New Roman" w:hAnsi="Times New Roman" w:cs="Times New Roman"/>
          <w:i/>
          <w:iCs/>
          <w:color w:val="000000"/>
          <w:sz w:val="24"/>
          <w:szCs w:val="24"/>
          <w:lang/>
        </w:rPr>
        <w:t>{Пункт 138.1 статті 138 доповнено абзацом шостим згідно із Законом </w:t>
      </w:r>
      <w:hyperlink r:id="rId2161" w:anchor="n8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9077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59" w:name="n10667"/>
      <w:bookmarkEnd w:id="3959"/>
      <w:r w:rsidRPr="008B264B">
        <w:rPr>
          <w:rFonts w:ascii="Times New Roman" w:eastAsia="Times New Roman" w:hAnsi="Times New Roman" w:cs="Times New Roman"/>
          <w:color w:val="000000"/>
          <w:sz w:val="24"/>
          <w:szCs w:val="24"/>
          <w:lang/>
        </w:rPr>
        <w:t>138.2. Фінансовий результат до оподаткування зменшується:</w:t>
      </w:r>
    </w:p>
    <w:p w14:paraId="463F26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0" w:name="n10668"/>
      <w:bookmarkEnd w:id="3960"/>
      <w:r w:rsidRPr="008B264B">
        <w:rPr>
          <w:rFonts w:ascii="Times New Roman" w:eastAsia="Times New Roman" w:hAnsi="Times New Roman" w:cs="Times New Roman"/>
          <w:color w:val="000000"/>
          <w:sz w:val="24"/>
          <w:szCs w:val="24"/>
          <w:lang/>
        </w:rPr>
        <w:t>на суму розрахованої амортизації основних засобів або нематеріальних активів відповідно до пункту 138.3 цієї статті;</w:t>
      </w:r>
    </w:p>
    <w:p w14:paraId="7FB935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1" w:name="n10669"/>
      <w:bookmarkEnd w:id="3961"/>
      <w:r w:rsidRPr="008B264B">
        <w:rPr>
          <w:rFonts w:ascii="Times New Roman" w:eastAsia="Times New Roman" w:hAnsi="Times New Roman" w:cs="Times New Roman"/>
          <w:color w:val="000000"/>
          <w:sz w:val="24"/>
          <w:szCs w:val="24"/>
          <w:lang/>
        </w:rPr>
        <w:t>на суму залишкової вартості окремого об’єкта основних засобів або нематеріальних активів, визначеної з урахуванням положень цієї статті Кодексу, у разі ліквідації або продажу такого об’єкта;</w:t>
      </w:r>
    </w:p>
    <w:p w14:paraId="7F592C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2" w:name="n10670"/>
      <w:bookmarkEnd w:id="3962"/>
      <w:r w:rsidRPr="008B264B">
        <w:rPr>
          <w:rFonts w:ascii="Times New Roman" w:eastAsia="Times New Roman" w:hAnsi="Times New Roman" w:cs="Times New Roman"/>
          <w:color w:val="000000"/>
          <w:sz w:val="24"/>
          <w:szCs w:val="24"/>
          <w:lang/>
        </w:rPr>
        <w:t>на суму дооцінки основних засобів або нематеріальних активів у межах попередньо віднесених до витрат уцінки відповідно до національних положень (стандартів) бухгалтерського обліку або міжнародних стандартів фінансової звітності;</w:t>
      </w:r>
    </w:p>
    <w:p w14:paraId="1B1706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3" w:name="n14064"/>
      <w:bookmarkEnd w:id="3963"/>
      <w:r w:rsidRPr="008B264B">
        <w:rPr>
          <w:rFonts w:ascii="Times New Roman" w:eastAsia="Times New Roman" w:hAnsi="Times New Roman" w:cs="Times New Roman"/>
          <w:i/>
          <w:iCs/>
          <w:color w:val="000000"/>
          <w:sz w:val="24"/>
          <w:szCs w:val="24"/>
          <w:lang/>
        </w:rPr>
        <w:t>{Абзац четвертий пункту 138.2 статті 138 в редакції Закону </w:t>
      </w:r>
      <w:hyperlink r:id="rId2162" w:anchor="n8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D5EC9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4" w:name="n14065"/>
      <w:bookmarkEnd w:id="3964"/>
      <w:r w:rsidRPr="008B264B">
        <w:rPr>
          <w:rFonts w:ascii="Times New Roman" w:eastAsia="Times New Roman" w:hAnsi="Times New Roman" w:cs="Times New Roman"/>
          <w:color w:val="000000"/>
          <w:sz w:val="24"/>
          <w:szCs w:val="24"/>
          <w:lang/>
        </w:rPr>
        <w:t>на суму вигід від відновлення корисності основних засобів або нематеріальних активів у межах попередньо віднесених до витрат втрат від зменшення корисності основних засобів або нематеріальних активів відповідно до національних положень (стандартів) бухгалтерського обліку або міжнародних стандартів фінансової звітності;</w:t>
      </w:r>
    </w:p>
    <w:p w14:paraId="1858E9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5" w:name="n14067"/>
      <w:bookmarkEnd w:id="3965"/>
      <w:r w:rsidRPr="008B264B">
        <w:rPr>
          <w:rFonts w:ascii="Times New Roman" w:eastAsia="Times New Roman" w:hAnsi="Times New Roman" w:cs="Times New Roman"/>
          <w:i/>
          <w:iCs/>
          <w:color w:val="000000"/>
          <w:sz w:val="24"/>
          <w:szCs w:val="24"/>
          <w:lang/>
        </w:rPr>
        <w:t>{Абзац пункту 138.2 статті 138 в редакції Закону </w:t>
      </w:r>
      <w:hyperlink r:id="rId2163" w:anchor="n8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FE68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6" w:name="n14066"/>
      <w:bookmarkEnd w:id="3966"/>
      <w:r w:rsidRPr="008B264B">
        <w:rPr>
          <w:rFonts w:ascii="Times New Roman" w:eastAsia="Times New Roman" w:hAnsi="Times New Roman" w:cs="Times New Roman"/>
          <w:color w:val="000000"/>
          <w:sz w:val="24"/>
          <w:szCs w:val="24"/>
          <w:lang/>
        </w:rPr>
        <w:t>на суму первісної вартості придбання або виготовлення окремого об’єкта невиробничих основних засобів або невиробничих нематеріальних активів та витрат на їх ремонт, реконструкцію, модернізацію або інші поліпшення, у тому числі віднесених до витрат відповідно до національних положень (стандартів) бухгалтерського обліку або міжнародних стандартів фінансової звітності, у разі продажу такого об’єкта невиробничих основних засобів або нематеріальних активів, але не більше суми доходу (виручки), отриманої від такого продажу.</w:t>
      </w:r>
    </w:p>
    <w:p w14:paraId="2BFF12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7" w:name="n14068"/>
      <w:bookmarkEnd w:id="3967"/>
      <w:r w:rsidRPr="008B264B">
        <w:rPr>
          <w:rFonts w:ascii="Times New Roman" w:eastAsia="Times New Roman" w:hAnsi="Times New Roman" w:cs="Times New Roman"/>
          <w:i/>
          <w:iCs/>
          <w:color w:val="000000"/>
          <w:sz w:val="24"/>
          <w:szCs w:val="24"/>
          <w:lang/>
        </w:rPr>
        <w:t>{Абзац пункту 138.2 статті 138 в редакції Закону </w:t>
      </w:r>
      <w:hyperlink r:id="rId2164" w:anchor="n8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706B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8" w:name="n10671"/>
      <w:bookmarkEnd w:id="3968"/>
      <w:r w:rsidRPr="008B264B">
        <w:rPr>
          <w:rFonts w:ascii="Times New Roman" w:eastAsia="Times New Roman" w:hAnsi="Times New Roman" w:cs="Times New Roman"/>
          <w:color w:val="000000"/>
          <w:sz w:val="24"/>
          <w:szCs w:val="24"/>
          <w:lang/>
        </w:rPr>
        <w:t>138.3. Порядок розрахунку амортизації основних засобів або нематеріальних активів для визначення об’єкта оподаткування</w:t>
      </w:r>
    </w:p>
    <w:p w14:paraId="3AE289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69" w:name="n10672"/>
      <w:bookmarkEnd w:id="3969"/>
      <w:r w:rsidRPr="008B264B">
        <w:rPr>
          <w:rFonts w:ascii="Times New Roman" w:eastAsia="Times New Roman" w:hAnsi="Times New Roman" w:cs="Times New Roman"/>
          <w:color w:val="000000"/>
          <w:sz w:val="24"/>
          <w:szCs w:val="24"/>
          <w:lang/>
        </w:rPr>
        <w:t>138.3.1. Розрахунок амортизації основних засобів або нематеріальних активів здійснюється відповідно до національних положень (стандартів) бухгалтерського обліку або міжнародних стандартів фінансової звітності з урахуванням обмежень, встановлених </w:t>
      </w:r>
      <w:hyperlink r:id="rId2165" w:anchor="n518" w:history="1">
        <w:r w:rsidRPr="008B264B">
          <w:rPr>
            <w:rFonts w:ascii="Times New Roman" w:eastAsia="Times New Roman" w:hAnsi="Times New Roman" w:cs="Times New Roman"/>
            <w:color w:val="0000FF"/>
            <w:sz w:val="24"/>
            <w:szCs w:val="24"/>
            <w:u w:val="single"/>
            <w:lang/>
          </w:rPr>
          <w:t>підпунктом 14.1.138</w:t>
        </w:r>
      </w:hyperlink>
      <w:r w:rsidRPr="008B264B">
        <w:rPr>
          <w:rFonts w:ascii="Times New Roman" w:eastAsia="Times New Roman" w:hAnsi="Times New Roman" w:cs="Times New Roman"/>
          <w:color w:val="000000"/>
          <w:sz w:val="24"/>
          <w:szCs w:val="24"/>
          <w:lang/>
        </w:rPr>
        <w:t> пункту 14.1 статті 14 розділу I цього Кодексу, підпунктами 138.3.2-138.3.4 цього пункту. При такому розрахунку застосовуються методи нарахування амортизації, передбачені національними положеннями (стандартами) бухгалтерського обліку, крім "виробничого" методу.</w:t>
      </w:r>
    </w:p>
    <w:p w14:paraId="1FB486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0" w:name="n14070"/>
      <w:bookmarkEnd w:id="3970"/>
      <w:r w:rsidRPr="008B264B">
        <w:rPr>
          <w:rFonts w:ascii="Times New Roman" w:eastAsia="Times New Roman" w:hAnsi="Times New Roman" w:cs="Times New Roman"/>
          <w:color w:val="000000"/>
          <w:sz w:val="24"/>
          <w:szCs w:val="24"/>
          <w:lang/>
        </w:rPr>
        <w:t>Для розрахунку амортизації відповідно до положень цього пункту визначається вартість основних засобів та нематеріальних активів без урахування їх переоцінки (уцінки, дооцінки), проведеної відповідно до положень бухгалтерського обліку.</w:t>
      </w:r>
    </w:p>
    <w:p w14:paraId="6B90BF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1" w:name="n14069"/>
      <w:bookmarkEnd w:id="3971"/>
      <w:r w:rsidRPr="008B264B">
        <w:rPr>
          <w:rFonts w:ascii="Times New Roman" w:eastAsia="Times New Roman" w:hAnsi="Times New Roman" w:cs="Times New Roman"/>
          <w:i/>
          <w:iCs/>
          <w:color w:val="000000"/>
          <w:sz w:val="24"/>
          <w:szCs w:val="24"/>
          <w:lang/>
        </w:rPr>
        <w:t>{Підпункт 138.3.1 пункту 138.3 статті 138 доповнено абзацом другим згідно із Законом </w:t>
      </w:r>
      <w:hyperlink r:id="rId2166" w:anchor="n8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AFCD9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2" w:name="n10673"/>
      <w:bookmarkEnd w:id="3972"/>
      <w:r w:rsidRPr="008B264B">
        <w:rPr>
          <w:rFonts w:ascii="Times New Roman" w:eastAsia="Times New Roman" w:hAnsi="Times New Roman" w:cs="Times New Roman"/>
          <w:color w:val="000000"/>
          <w:sz w:val="24"/>
          <w:szCs w:val="24"/>
          <w:lang/>
        </w:rPr>
        <w:t>138.3.2. Не підлягають амортизації та проводяться за рахунок відповідних джерел:</w:t>
      </w:r>
    </w:p>
    <w:p w14:paraId="412308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3" w:name="n10674"/>
      <w:bookmarkEnd w:id="3973"/>
      <w:r w:rsidRPr="008B264B">
        <w:rPr>
          <w:rFonts w:ascii="Times New Roman" w:eastAsia="Times New Roman" w:hAnsi="Times New Roman" w:cs="Times New Roman"/>
          <w:color w:val="000000"/>
          <w:sz w:val="24"/>
          <w:szCs w:val="24"/>
          <w:lang/>
        </w:rPr>
        <w:t>вартість гудвілу;</w:t>
      </w:r>
    </w:p>
    <w:p w14:paraId="77F9C4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4" w:name="n10675"/>
      <w:bookmarkEnd w:id="3974"/>
      <w:r w:rsidRPr="008B264B">
        <w:rPr>
          <w:rFonts w:ascii="Times New Roman" w:eastAsia="Times New Roman" w:hAnsi="Times New Roman" w:cs="Times New Roman"/>
          <w:color w:val="000000"/>
          <w:sz w:val="24"/>
          <w:szCs w:val="24"/>
          <w:lang/>
        </w:rPr>
        <w:t>витрати на придбання/самостійне виготовлення невиробничих основних засобів, невиробничих нематеріальних активів;</w:t>
      </w:r>
    </w:p>
    <w:p w14:paraId="43F354A9"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3975" w:name="n14072"/>
      <w:bookmarkEnd w:id="3975"/>
      <w:r w:rsidRPr="008B264B">
        <w:rPr>
          <w:rFonts w:ascii="Times New Roman" w:eastAsia="Times New Roman" w:hAnsi="Times New Roman" w:cs="Times New Roman"/>
          <w:color w:val="000000"/>
          <w:sz w:val="24"/>
          <w:szCs w:val="24"/>
          <w:lang/>
        </w:rPr>
        <w:lastRenderedPageBreak/>
        <w:t>на ремонт, реконструкцію, модернізацію або інші поліпшення невиробничих основних засобів, невиробничих нематеріальних активів.</w:t>
      </w:r>
    </w:p>
    <w:p w14:paraId="6903B7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6" w:name="n10676"/>
      <w:bookmarkEnd w:id="3976"/>
      <w:r w:rsidRPr="008B264B">
        <w:rPr>
          <w:rFonts w:ascii="Times New Roman" w:eastAsia="Times New Roman" w:hAnsi="Times New Roman" w:cs="Times New Roman"/>
          <w:color w:val="000000"/>
          <w:sz w:val="24"/>
          <w:szCs w:val="24"/>
          <w:lang/>
        </w:rPr>
        <w:t>Термін "невиробничі основні засоби", "невиробничі нематеріальні активи" означають відповідно основні засоби, нематеріальні активи, не призначені для використання в господарській діяльності платника податку".</w:t>
      </w:r>
    </w:p>
    <w:p w14:paraId="4E9912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7" w:name="n14071"/>
      <w:bookmarkEnd w:id="3977"/>
      <w:r w:rsidRPr="008B264B">
        <w:rPr>
          <w:rFonts w:ascii="Times New Roman" w:eastAsia="Times New Roman" w:hAnsi="Times New Roman" w:cs="Times New Roman"/>
          <w:i/>
          <w:iCs/>
          <w:color w:val="000000"/>
          <w:sz w:val="24"/>
          <w:szCs w:val="24"/>
          <w:lang/>
        </w:rPr>
        <w:t>{Підпункт 138.3.2 пункту 138.3 статті 138 в редакції Закону </w:t>
      </w:r>
      <w:hyperlink r:id="rId2167" w:anchor="n8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5918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78" w:name="n10677"/>
      <w:bookmarkEnd w:id="3978"/>
      <w:r w:rsidRPr="008B264B">
        <w:rPr>
          <w:rFonts w:ascii="Times New Roman" w:eastAsia="Times New Roman" w:hAnsi="Times New Roman" w:cs="Times New Roman"/>
          <w:color w:val="000000"/>
          <w:sz w:val="24"/>
          <w:szCs w:val="24"/>
          <w:lang/>
        </w:rPr>
        <w:t>138.3.3. Мінімально допустимі строки амортизації основних засобів та інших необоротних активів:</w:t>
      </w:r>
    </w:p>
    <w:tbl>
      <w:tblPr>
        <w:tblW w:w="5000" w:type="pct"/>
        <w:tblBorders>
          <w:top w:val="outset" w:sz="2" w:space="0" w:color="auto"/>
          <w:left w:val="outset" w:sz="2" w:space="0" w:color="auto"/>
          <w:bottom w:val="outset" w:sz="2" w:space="0" w:color="auto"/>
          <w:right w:val="outset" w:sz="2" w:space="0" w:color="auto"/>
        </w:tblBorders>
        <w:tblCellMar>
          <w:top w:w="60" w:type="dxa"/>
          <w:left w:w="60" w:type="dxa"/>
          <w:bottom w:w="60" w:type="dxa"/>
          <w:right w:w="60" w:type="dxa"/>
        </w:tblCellMar>
        <w:tblLook w:val="04A0" w:firstRow="1" w:lastRow="0" w:firstColumn="1" w:lastColumn="0" w:noHBand="0" w:noVBand="1"/>
      </w:tblPr>
      <w:tblGrid>
        <w:gridCol w:w="6482"/>
        <w:gridCol w:w="3424"/>
      </w:tblGrid>
      <w:tr w:rsidR="008B264B" w:rsidRPr="008B264B" w14:paraId="1EAC0212"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3203A1F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3979" w:name="n10678"/>
            <w:bookmarkEnd w:id="3979"/>
            <w:r w:rsidRPr="008B264B">
              <w:rPr>
                <w:rFonts w:ascii="Times New Roman" w:eastAsia="Times New Roman" w:hAnsi="Times New Roman" w:cs="Times New Roman"/>
                <w:sz w:val="24"/>
                <w:szCs w:val="24"/>
                <w:lang/>
              </w:rPr>
              <w:t>Групи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06A72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Мінімально допустимі строки корисного використання, років</w:t>
            </w:r>
          </w:p>
        </w:tc>
      </w:tr>
      <w:tr w:rsidR="008B264B" w:rsidRPr="008B264B" w14:paraId="15CBAAFD"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7D823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1 - земельні ділянки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49D545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r>
      <w:tr w:rsidR="008B264B" w:rsidRPr="008B264B" w14:paraId="610C8E67"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16B650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2 - капітальні витрати на поліпшення земель, не пов’язані з будівництвом</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00EC0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w:t>
            </w:r>
          </w:p>
        </w:tc>
      </w:tr>
      <w:tr w:rsidR="008B264B" w:rsidRPr="008B264B" w14:paraId="760F91A3"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39BFEFB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3 - будівлі</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135D1C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w:t>
            </w:r>
          </w:p>
        </w:tc>
      </w:tr>
      <w:tr w:rsidR="008B264B" w:rsidRPr="008B264B" w14:paraId="74AF9C85"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E53147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споруди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44636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w:t>
            </w:r>
          </w:p>
        </w:tc>
      </w:tr>
      <w:tr w:rsidR="008B264B" w:rsidRPr="008B264B" w14:paraId="2FE03854"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01497A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передавальні пристрої</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010B76F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w:t>
            </w:r>
          </w:p>
        </w:tc>
      </w:tr>
      <w:tr w:rsidR="008B264B" w:rsidRPr="008B264B" w14:paraId="767AD32A"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7DDAA6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4 - машини та обладнання</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1DDE5B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25B09596"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6103FA8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них:</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70AFDC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497F94C"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026767D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електронно-обчислювальні машини, інші машини для автоматичного оброблення інформації, пов’язані з ними засоби зчитування або друку інформації, пов’язані з ними комп’ютерні програми (крім програм, витрати на придбання яких визнаються роялті, та/або програм, які визнаються нематеріальним активом), інші інформаційні системи, комутатори, маршрутизатори, модулі, модеми, джерела безперебійного живлення та засоби їх підключення до телекомунікаційних мереж, телефони (в тому числі стільникові), мікрофони і рації, вартість яких перевищує 6000 гривень</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407A6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r>
      <w:tr w:rsidR="008B264B" w:rsidRPr="008B264B" w14:paraId="3C9DF1F9"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543A0C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5 - транспортні засоби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E7B55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02F8EF8E"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2589FF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6 - інструменти, прилади, інвентар, меблі</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CFEB8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r>
      <w:tr w:rsidR="008B264B" w:rsidRPr="008B264B" w14:paraId="4A13193F"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230AC12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7 - тварини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EA1A3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w:t>
            </w:r>
          </w:p>
        </w:tc>
      </w:tr>
      <w:tr w:rsidR="008B264B" w:rsidRPr="008B264B" w14:paraId="2C5FB429"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59BC575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група 8 - багаторічні насадження</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296F42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w:t>
            </w:r>
          </w:p>
        </w:tc>
      </w:tr>
      <w:tr w:rsidR="008B264B" w:rsidRPr="008B264B" w14:paraId="64BBE6C0"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6E8F538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9 - інші основні засоби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0B8412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r>
      <w:tr w:rsidR="008B264B" w:rsidRPr="008B264B" w14:paraId="7699AF3E"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7904FF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10 - бібліотечні фонди, збереження Національного архівного фонду України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1659302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r>
      <w:tr w:rsidR="008B264B" w:rsidRPr="008B264B" w14:paraId="324FE3BA"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00E4E4A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11 - малоцінні необоротні матеріальні активи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8236E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r>
      <w:tr w:rsidR="008B264B" w:rsidRPr="008B264B" w14:paraId="25F3FE3C"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3DE0283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12 - тимчасові (нетитульні) споруди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B74AB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0649656A"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C6D0F8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13 - природні ресурси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1EFA60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r>
      <w:tr w:rsidR="008B264B" w:rsidRPr="008B264B" w14:paraId="2CD4F67F"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8C441A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14 - інвентарна тара</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2C17EC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w:t>
            </w:r>
          </w:p>
        </w:tc>
      </w:tr>
      <w:tr w:rsidR="008B264B" w:rsidRPr="008B264B" w14:paraId="061E2DF3"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0101402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15 - предмети прокату</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2805EB3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5C70CB84"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ED5776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16 - довгострокові біологічні активи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E520A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w:t>
            </w:r>
          </w:p>
        </w:tc>
      </w:tr>
    </w:tbl>
    <w:p w14:paraId="6E3C6F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0" w:name="n10679"/>
      <w:bookmarkEnd w:id="3980"/>
      <w:r w:rsidRPr="008B264B">
        <w:rPr>
          <w:rFonts w:ascii="Times New Roman" w:eastAsia="Times New Roman" w:hAnsi="Times New Roman" w:cs="Times New Roman"/>
          <w:color w:val="000000"/>
          <w:sz w:val="24"/>
          <w:szCs w:val="24"/>
          <w:lang/>
        </w:rPr>
        <w:t>Мінімально допустимі строки амортизації основних засобів та інших необоротних активів використовуються з урахуванням наступного.</w:t>
      </w:r>
    </w:p>
    <w:p w14:paraId="1F8204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1" w:name="n10680"/>
      <w:bookmarkEnd w:id="3981"/>
      <w:r w:rsidRPr="008B264B">
        <w:rPr>
          <w:rFonts w:ascii="Times New Roman" w:eastAsia="Times New Roman" w:hAnsi="Times New Roman" w:cs="Times New Roman"/>
          <w:color w:val="000000"/>
          <w:sz w:val="24"/>
          <w:szCs w:val="24"/>
          <w:lang/>
        </w:rPr>
        <w:t>У разі коли строки корисного використання (експлуатації) об’єкта основних засобів в бухгалтерському обліку менше ніж мінімально допустимі строки амортизації основних засобів та інших необоротних активів, то для розрахунку амортизації використовуються строки, встановлені цим підпунктом.</w:t>
      </w:r>
    </w:p>
    <w:p w14:paraId="59F6D6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2" w:name="n10681"/>
      <w:bookmarkEnd w:id="3982"/>
      <w:r w:rsidRPr="008B264B">
        <w:rPr>
          <w:rFonts w:ascii="Times New Roman" w:eastAsia="Times New Roman" w:hAnsi="Times New Roman" w:cs="Times New Roman"/>
          <w:color w:val="000000"/>
          <w:sz w:val="24"/>
          <w:szCs w:val="24"/>
          <w:lang/>
        </w:rPr>
        <w:t>У разі коли строки корисного використання (експлуатації) об’єкта основних засобів в бухгалтерському обліку дорівнюють або є більшими, ніж ті, що встановлені цим підпунктом, то для розрахунку амортизації використовуються строки корисного використання (експлуатації) об’єкта основних засобів, встановлені в бухгалтерському обліку.</w:t>
      </w:r>
    </w:p>
    <w:p w14:paraId="6D8C9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3" w:name="n15282"/>
      <w:bookmarkEnd w:id="3983"/>
      <w:r w:rsidRPr="008B264B">
        <w:rPr>
          <w:rFonts w:ascii="Times New Roman" w:eastAsia="Times New Roman" w:hAnsi="Times New Roman" w:cs="Times New Roman"/>
          <w:i/>
          <w:iCs/>
          <w:color w:val="000000"/>
          <w:sz w:val="24"/>
          <w:szCs w:val="24"/>
          <w:lang/>
        </w:rPr>
        <w:t>{Підпункт 138.3.3 пункту 138.3 статті 138 із змінами, внесеними згідно із Законом </w:t>
      </w:r>
      <w:hyperlink r:id="rId2168" w:anchor="n17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69F5C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4" w:name="n10682"/>
      <w:bookmarkEnd w:id="3984"/>
      <w:r w:rsidRPr="008B264B">
        <w:rPr>
          <w:rFonts w:ascii="Times New Roman" w:eastAsia="Times New Roman" w:hAnsi="Times New Roman" w:cs="Times New Roman"/>
          <w:color w:val="000000"/>
          <w:sz w:val="24"/>
          <w:szCs w:val="24"/>
          <w:lang/>
        </w:rPr>
        <w:t>138.3.4. Строки нарахування амортизації нематеріальних активів:</w:t>
      </w:r>
    </w:p>
    <w:tbl>
      <w:tblPr>
        <w:tblW w:w="5000" w:type="pct"/>
        <w:tblBorders>
          <w:top w:val="outset" w:sz="2" w:space="0" w:color="auto"/>
          <w:left w:val="outset" w:sz="2" w:space="0" w:color="auto"/>
          <w:bottom w:val="outset" w:sz="2" w:space="0" w:color="auto"/>
          <w:right w:val="outset" w:sz="2" w:space="0" w:color="auto"/>
        </w:tblBorders>
        <w:tblCellMar>
          <w:top w:w="60" w:type="dxa"/>
          <w:left w:w="60" w:type="dxa"/>
          <w:bottom w:w="60" w:type="dxa"/>
          <w:right w:w="60" w:type="dxa"/>
        </w:tblCellMar>
        <w:tblLook w:val="04A0" w:firstRow="1" w:lastRow="0" w:firstColumn="1" w:lastColumn="0" w:noHBand="0" w:noVBand="1"/>
      </w:tblPr>
      <w:tblGrid>
        <w:gridCol w:w="6482"/>
        <w:gridCol w:w="3424"/>
      </w:tblGrid>
      <w:tr w:rsidR="008B264B" w:rsidRPr="008B264B" w14:paraId="3A176400"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6A9B73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3985" w:name="n10683"/>
            <w:bookmarkEnd w:id="3985"/>
            <w:r w:rsidRPr="008B264B">
              <w:rPr>
                <w:rFonts w:ascii="Times New Roman" w:eastAsia="Times New Roman" w:hAnsi="Times New Roman" w:cs="Times New Roman"/>
                <w:sz w:val="24"/>
                <w:szCs w:val="24"/>
                <w:lang/>
              </w:rPr>
              <w:t>Групи</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68A918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Строк дії права користування</w:t>
            </w:r>
          </w:p>
        </w:tc>
      </w:tr>
      <w:tr w:rsidR="008B264B" w:rsidRPr="008B264B" w14:paraId="58727EC7"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2E6415C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1 - права користування природними ресурсами (право користування надрами, іншими ресурсами природного середовища, геологічною та іншою інформацією про природне середовище)</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0A4AC4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w:t>
            </w:r>
          </w:p>
        </w:tc>
      </w:tr>
      <w:tr w:rsidR="008B264B" w:rsidRPr="008B264B" w14:paraId="58AC6414"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3B7687B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2 - права користування майном (право користування земельною ділянкою, крім права постійного користування земельною ділянкою відповідно до закону, право користування будівлею, право на оренду приміщень тощо)</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4D412EC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w:t>
            </w:r>
          </w:p>
        </w:tc>
      </w:tr>
      <w:tr w:rsidR="008B264B" w:rsidRPr="008B264B" w14:paraId="0DFBDB8A"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688840A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група 3 - права на комерційні позначення (права на торговельні марки (знаки для товарів і послуг), комерційні (фірмові) найменування тощо), крім тих, витрати на придбання яких визнаються роялті</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4E2574B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w:t>
            </w:r>
          </w:p>
        </w:tc>
      </w:tr>
      <w:tr w:rsidR="008B264B" w:rsidRPr="008B264B" w14:paraId="7829C194"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1221FA0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4 - права на об’єкти промислової власності (право на винаходи, корисні моделі, промислові зразки, сорти рослин, породи тварин, компонування (топографії) інтегральних мікросхем, комерційні таємниці, в тому числі ноу-хау, захист від недобросовісної конкуренції тощо), крім тих, витрати на придбання яких визнаються роялті</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3C82920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 але не менш як 5 років</w:t>
            </w:r>
          </w:p>
        </w:tc>
      </w:tr>
      <w:tr w:rsidR="008B264B" w:rsidRPr="008B264B" w14:paraId="5BDCF374"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74F4483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5 - авторське право та суміжні з ним права (право на літературні, художні, музичні твори, комп’ютерні програми, програми для електронно-обчислювальних машин, компіляції даних (баз даних), фонограми, відеограми, передач (програми) організацій мовлення тощо), крім тих, витрати на придбання яких визнаються роялті</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5A8282B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 але не менш як 2 роки</w:t>
            </w:r>
          </w:p>
        </w:tc>
      </w:tr>
      <w:tr w:rsidR="008B264B" w:rsidRPr="008B264B" w14:paraId="10E9D001" w14:textId="77777777" w:rsidTr="008B264B">
        <w:tc>
          <w:tcPr>
            <w:tcW w:w="6105" w:type="dxa"/>
            <w:tcBorders>
              <w:top w:val="single" w:sz="6" w:space="0" w:color="000000"/>
              <w:left w:val="single" w:sz="6" w:space="0" w:color="000000"/>
              <w:bottom w:val="single" w:sz="6" w:space="0" w:color="000000"/>
              <w:right w:val="single" w:sz="6" w:space="0" w:color="000000"/>
            </w:tcBorders>
            <w:shd w:val="clear" w:color="auto" w:fill="auto"/>
            <w:hideMark/>
          </w:tcPr>
          <w:p w14:paraId="46748E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група 6 - інші нематеріальні активи (право на ведення діяльності, використання економічних та інших привілеїв тощо)</w:t>
            </w:r>
          </w:p>
        </w:tc>
        <w:tc>
          <w:tcPr>
            <w:tcW w:w="3225" w:type="dxa"/>
            <w:tcBorders>
              <w:top w:val="single" w:sz="6" w:space="0" w:color="000000"/>
              <w:left w:val="single" w:sz="6" w:space="0" w:color="000000"/>
              <w:bottom w:val="single" w:sz="6" w:space="0" w:color="000000"/>
              <w:right w:val="single" w:sz="6" w:space="0" w:color="000000"/>
            </w:tcBorders>
            <w:shd w:val="clear" w:color="auto" w:fill="auto"/>
            <w:hideMark/>
          </w:tcPr>
          <w:p w14:paraId="008F34D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w:t>
            </w:r>
          </w:p>
        </w:tc>
      </w:tr>
    </w:tbl>
    <w:p w14:paraId="74DD71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6" w:name="n10684"/>
      <w:bookmarkEnd w:id="3986"/>
      <w:r w:rsidRPr="008B264B">
        <w:rPr>
          <w:rFonts w:ascii="Times New Roman" w:eastAsia="Times New Roman" w:hAnsi="Times New Roman" w:cs="Times New Roman"/>
          <w:color w:val="000000"/>
          <w:sz w:val="24"/>
          <w:szCs w:val="24"/>
          <w:lang/>
        </w:rPr>
        <w:t>Якщо відповідно до правовстановлюючого документа строк дії права користування нематеріального активу не встановлено, такий строк корисного використання визначається платником податку самостійно, але не може становити менше двох та більше 10 років.</w:t>
      </w:r>
    </w:p>
    <w:p w14:paraId="6E68AC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7" w:name="n15285"/>
      <w:bookmarkEnd w:id="3987"/>
      <w:r w:rsidRPr="008B264B">
        <w:rPr>
          <w:rFonts w:ascii="Times New Roman" w:eastAsia="Times New Roman" w:hAnsi="Times New Roman" w:cs="Times New Roman"/>
          <w:color w:val="000000"/>
          <w:sz w:val="24"/>
          <w:szCs w:val="24"/>
          <w:lang/>
        </w:rPr>
        <w:t>138.4. Вимоги </w:t>
      </w:r>
      <w:hyperlink r:id="rId2169" w:anchor="n10663" w:history="1">
        <w:r w:rsidRPr="008B264B">
          <w:rPr>
            <w:rFonts w:ascii="Times New Roman" w:eastAsia="Times New Roman" w:hAnsi="Times New Roman" w:cs="Times New Roman"/>
            <w:color w:val="0000FF"/>
            <w:sz w:val="24"/>
            <w:szCs w:val="24"/>
            <w:u w:val="single"/>
            <w:lang/>
          </w:rPr>
          <w:t>пунктів 138.1-138.3</w:t>
        </w:r>
      </w:hyperlink>
      <w:r w:rsidRPr="008B264B">
        <w:rPr>
          <w:rFonts w:ascii="Times New Roman" w:eastAsia="Times New Roman" w:hAnsi="Times New Roman" w:cs="Times New Roman"/>
          <w:color w:val="000000"/>
          <w:sz w:val="24"/>
          <w:szCs w:val="24"/>
          <w:lang/>
        </w:rPr>
        <w:t> цієї статті не застосовуються до операцій з активами з права користування за договорами оренди.</w:t>
      </w:r>
    </w:p>
    <w:p w14:paraId="40A74A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8" w:name="n15283"/>
      <w:bookmarkEnd w:id="3988"/>
      <w:r w:rsidRPr="008B264B">
        <w:rPr>
          <w:rFonts w:ascii="Times New Roman" w:eastAsia="Times New Roman" w:hAnsi="Times New Roman" w:cs="Times New Roman"/>
          <w:i/>
          <w:iCs/>
          <w:color w:val="000000"/>
          <w:sz w:val="24"/>
          <w:szCs w:val="24"/>
          <w:lang/>
        </w:rPr>
        <w:t>{Статтю 138 доповнено пунктом 138.4 згідно із Законом </w:t>
      </w:r>
      <w:hyperlink r:id="rId2170" w:anchor="n18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CD10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89" w:name="n10685"/>
      <w:bookmarkEnd w:id="3989"/>
      <w:r w:rsidRPr="008B264B">
        <w:rPr>
          <w:rFonts w:ascii="Times New Roman" w:eastAsia="Times New Roman" w:hAnsi="Times New Roman" w:cs="Times New Roman"/>
          <w:b/>
          <w:bCs/>
          <w:color w:val="000000"/>
          <w:sz w:val="24"/>
          <w:szCs w:val="24"/>
          <w:lang/>
        </w:rPr>
        <w:t>Стаття 139.</w:t>
      </w:r>
      <w:r w:rsidRPr="008B264B">
        <w:rPr>
          <w:rFonts w:ascii="Times New Roman" w:eastAsia="Times New Roman" w:hAnsi="Times New Roman" w:cs="Times New Roman"/>
          <w:color w:val="000000"/>
          <w:sz w:val="24"/>
          <w:szCs w:val="24"/>
          <w:lang/>
        </w:rPr>
        <w:t> Різниці, що виникають при формуванні резервів (забезпечень)</w:t>
      </w:r>
    </w:p>
    <w:p w14:paraId="2A5040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0" w:name="n10686"/>
      <w:bookmarkEnd w:id="3990"/>
      <w:r w:rsidRPr="008B264B">
        <w:rPr>
          <w:rFonts w:ascii="Times New Roman" w:eastAsia="Times New Roman" w:hAnsi="Times New Roman" w:cs="Times New Roman"/>
          <w:color w:val="000000"/>
          <w:sz w:val="24"/>
          <w:szCs w:val="24"/>
          <w:lang/>
        </w:rPr>
        <w:t>139.1. Забезпечення для відшкодування наступних (майбутніх) витрат</w:t>
      </w:r>
    </w:p>
    <w:p w14:paraId="63B4C4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1" w:name="n10687"/>
      <w:bookmarkEnd w:id="3991"/>
      <w:r w:rsidRPr="008B264B">
        <w:rPr>
          <w:rFonts w:ascii="Times New Roman" w:eastAsia="Times New Roman" w:hAnsi="Times New Roman" w:cs="Times New Roman"/>
          <w:color w:val="000000"/>
          <w:sz w:val="24"/>
          <w:szCs w:val="24"/>
          <w:lang/>
        </w:rPr>
        <w:t>139.1.1. Фінансовий результат до оподаткування збільшується:</w:t>
      </w:r>
    </w:p>
    <w:p w14:paraId="28D2F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2" w:name="n10688"/>
      <w:bookmarkEnd w:id="3992"/>
      <w:r w:rsidRPr="008B264B">
        <w:rPr>
          <w:rFonts w:ascii="Times New Roman" w:eastAsia="Times New Roman" w:hAnsi="Times New Roman" w:cs="Times New Roman"/>
          <w:color w:val="000000"/>
          <w:sz w:val="24"/>
          <w:szCs w:val="24"/>
          <w:lang/>
        </w:rPr>
        <w:t>на суму витрат на створення забезпечень (резервів) для відшкодування наступних (майбутніх) витрат (крім забезпечення (резерву) витрат на оплату відпусток працівникам, інших виплат, пов’язаних з оплатою праці, та витрат на сплату єдиного соціального внеску, що нараховується на такі виплати) відповідно до національних положень (стандартів) бухгалтерського обліку або міжнародних стандартів фінансової звітності.</w:t>
      </w:r>
    </w:p>
    <w:p w14:paraId="40A55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3" w:name="n14073"/>
      <w:bookmarkEnd w:id="3993"/>
      <w:r w:rsidRPr="008B264B">
        <w:rPr>
          <w:rFonts w:ascii="Times New Roman" w:eastAsia="Times New Roman" w:hAnsi="Times New Roman" w:cs="Times New Roman"/>
          <w:i/>
          <w:iCs/>
          <w:color w:val="000000"/>
          <w:sz w:val="24"/>
          <w:szCs w:val="24"/>
          <w:lang/>
        </w:rPr>
        <w:t>{Підпункт 139.1.1 пункту 139.1 статті 139 в редакції Закону </w:t>
      </w:r>
      <w:hyperlink r:id="rId2171" w:anchor="n8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5E81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4" w:name="n10689"/>
      <w:bookmarkEnd w:id="3994"/>
      <w:r w:rsidRPr="008B264B">
        <w:rPr>
          <w:rFonts w:ascii="Times New Roman" w:eastAsia="Times New Roman" w:hAnsi="Times New Roman" w:cs="Times New Roman"/>
          <w:color w:val="000000"/>
          <w:sz w:val="24"/>
          <w:szCs w:val="24"/>
          <w:lang/>
        </w:rPr>
        <w:t>139.1.2. Фінансовий результат до оподаткування зменшується:</w:t>
      </w:r>
    </w:p>
    <w:p w14:paraId="1E9A4E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5" w:name="n10690"/>
      <w:bookmarkEnd w:id="3995"/>
      <w:r w:rsidRPr="008B264B">
        <w:rPr>
          <w:rFonts w:ascii="Times New Roman" w:eastAsia="Times New Roman" w:hAnsi="Times New Roman" w:cs="Times New Roman"/>
          <w:color w:val="000000"/>
          <w:sz w:val="24"/>
          <w:szCs w:val="24"/>
          <w:lang/>
        </w:rPr>
        <w:t>на суму використання створених забезпечень (резервів) витрат (крім забезпечення (резерву) витрат на оплату відпусток працівникам, інших виплат, пов’язаних з оплатою праці, та витрат на сплату єдиного соціального внеску, що нараховується на такі виплати), сформованого відповідно до національних положень (стандартів) бухгалтерського обліку або міжнародних стандартів фінансової звітності;</w:t>
      </w:r>
    </w:p>
    <w:p w14:paraId="20C59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6" w:name="n10691"/>
      <w:bookmarkEnd w:id="3996"/>
      <w:r w:rsidRPr="008B264B">
        <w:rPr>
          <w:rFonts w:ascii="Times New Roman" w:eastAsia="Times New Roman" w:hAnsi="Times New Roman" w:cs="Times New Roman"/>
          <w:color w:val="000000"/>
          <w:sz w:val="24"/>
          <w:szCs w:val="24"/>
          <w:lang/>
        </w:rPr>
        <w:t xml:space="preserve">на суму коригування (зменшення) забезпечень (резервів) для відшкодування наступних (майбутніх) витрат (крім забезпечення (резерву) на відпустки працівникам, інших виплат, пов’язаних з оплатою праці, та витрат на сплату єдиного соціального внеску, що нараховується </w:t>
      </w:r>
      <w:r w:rsidRPr="008B264B">
        <w:rPr>
          <w:rFonts w:ascii="Times New Roman" w:eastAsia="Times New Roman" w:hAnsi="Times New Roman" w:cs="Times New Roman"/>
          <w:color w:val="000000"/>
          <w:sz w:val="24"/>
          <w:szCs w:val="24"/>
          <w:lang/>
        </w:rPr>
        <w:lastRenderedPageBreak/>
        <w:t>на такі виплати), на яку збільшився фінансовий результат до оподаткування відповідно до національних положень (стандартів) бухгалтерського обліку або міжнародних стандартів фінансової звітності.</w:t>
      </w:r>
    </w:p>
    <w:p w14:paraId="56449D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7" w:name="n14074"/>
      <w:bookmarkEnd w:id="3997"/>
      <w:r w:rsidRPr="008B264B">
        <w:rPr>
          <w:rFonts w:ascii="Times New Roman" w:eastAsia="Times New Roman" w:hAnsi="Times New Roman" w:cs="Times New Roman"/>
          <w:i/>
          <w:iCs/>
          <w:color w:val="000000"/>
          <w:sz w:val="24"/>
          <w:szCs w:val="24"/>
          <w:lang/>
        </w:rPr>
        <w:t>{Підпункт 139.1.2 пункту 139.1 статті 139 в редакції Закону </w:t>
      </w:r>
      <w:hyperlink r:id="rId2172" w:anchor="n8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4E56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8" w:name="n10692"/>
      <w:bookmarkEnd w:id="3998"/>
      <w:r w:rsidRPr="008B264B">
        <w:rPr>
          <w:rFonts w:ascii="Times New Roman" w:eastAsia="Times New Roman" w:hAnsi="Times New Roman" w:cs="Times New Roman"/>
          <w:color w:val="000000"/>
          <w:sz w:val="24"/>
          <w:szCs w:val="24"/>
          <w:lang/>
        </w:rPr>
        <w:t>139.2. Резерв сумнівних боргів</w:t>
      </w:r>
    </w:p>
    <w:p w14:paraId="5552E1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3999" w:name="n10693"/>
      <w:bookmarkEnd w:id="3999"/>
      <w:r w:rsidRPr="008B264B">
        <w:rPr>
          <w:rFonts w:ascii="Times New Roman" w:eastAsia="Times New Roman" w:hAnsi="Times New Roman" w:cs="Times New Roman"/>
          <w:color w:val="000000"/>
          <w:sz w:val="24"/>
          <w:szCs w:val="24"/>
          <w:lang/>
        </w:rPr>
        <w:t>139.2.1. Фінансовий результат до оподаткування збільшується:</w:t>
      </w:r>
    </w:p>
    <w:p w14:paraId="679A52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0" w:name="n10694"/>
      <w:bookmarkEnd w:id="4000"/>
      <w:r w:rsidRPr="008B264B">
        <w:rPr>
          <w:rFonts w:ascii="Times New Roman" w:eastAsia="Times New Roman" w:hAnsi="Times New Roman" w:cs="Times New Roman"/>
          <w:color w:val="000000"/>
          <w:sz w:val="24"/>
          <w:szCs w:val="24"/>
          <w:lang/>
        </w:rPr>
        <w:t>на суму витрат на формування резерву сумнівних боргів відповідно до національних положень (стандартів) бухгалтерського обліку або міжнародних стандартів фінансової звітності;</w:t>
      </w:r>
    </w:p>
    <w:p w14:paraId="2666E6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1" w:name="n10695"/>
      <w:bookmarkEnd w:id="4001"/>
      <w:r w:rsidRPr="008B264B">
        <w:rPr>
          <w:rFonts w:ascii="Times New Roman" w:eastAsia="Times New Roman" w:hAnsi="Times New Roman" w:cs="Times New Roman"/>
          <w:color w:val="000000"/>
          <w:sz w:val="24"/>
          <w:szCs w:val="24"/>
          <w:lang/>
        </w:rPr>
        <w:t>на суму витрат від списання дебіторської заборгованості понад суму резерву сумнівних боргів.</w:t>
      </w:r>
    </w:p>
    <w:p w14:paraId="54B7C5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2" w:name="n14075"/>
      <w:bookmarkEnd w:id="4002"/>
      <w:r w:rsidRPr="008B264B">
        <w:rPr>
          <w:rFonts w:ascii="Times New Roman" w:eastAsia="Times New Roman" w:hAnsi="Times New Roman" w:cs="Times New Roman"/>
          <w:i/>
          <w:iCs/>
          <w:color w:val="000000"/>
          <w:sz w:val="24"/>
          <w:szCs w:val="24"/>
          <w:lang/>
        </w:rPr>
        <w:t>{Абзац третій підпункту 139.2.1 пункту 139.2 статті 139 в редакції Закону </w:t>
      </w:r>
      <w:hyperlink r:id="rId2173" w:anchor="n9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1756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3" w:name="n10696"/>
      <w:bookmarkEnd w:id="4003"/>
      <w:r w:rsidRPr="008B264B">
        <w:rPr>
          <w:rFonts w:ascii="Times New Roman" w:eastAsia="Times New Roman" w:hAnsi="Times New Roman" w:cs="Times New Roman"/>
          <w:color w:val="000000"/>
          <w:sz w:val="24"/>
          <w:szCs w:val="24"/>
          <w:lang/>
        </w:rPr>
        <w:t>139.2.2. Фінансовий результат до оподаткування зменшується:</w:t>
      </w:r>
    </w:p>
    <w:p w14:paraId="7F6DEB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4" w:name="n14077"/>
      <w:bookmarkEnd w:id="4004"/>
      <w:r w:rsidRPr="008B264B">
        <w:rPr>
          <w:rFonts w:ascii="Times New Roman" w:eastAsia="Times New Roman" w:hAnsi="Times New Roman" w:cs="Times New Roman"/>
          <w:color w:val="000000"/>
          <w:sz w:val="24"/>
          <w:szCs w:val="24"/>
          <w:lang/>
        </w:rPr>
        <w:t>на суму коригування (зменшення) резерву сумнівних боргів, на яку збільшився фінансовий результат до оподаткування відповідно до національних положень (стандартів) бухгалтерського обліку або міжнародних стандартів фінансової звітності;</w:t>
      </w:r>
    </w:p>
    <w:p w14:paraId="36F568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5" w:name="n14078"/>
      <w:bookmarkEnd w:id="4005"/>
      <w:r w:rsidRPr="008B264B">
        <w:rPr>
          <w:rFonts w:ascii="Times New Roman" w:eastAsia="Times New Roman" w:hAnsi="Times New Roman" w:cs="Times New Roman"/>
          <w:color w:val="000000"/>
          <w:sz w:val="24"/>
          <w:szCs w:val="24"/>
          <w:lang/>
        </w:rPr>
        <w:t>на суму списаної дебіторської заборгованості (у тому числі за рахунок створеного резерву сумнівних боргів), яка відповідає ознакам, визначеним </w:t>
      </w:r>
      <w:hyperlink r:id="rId2174" w:anchor="n271" w:history="1">
        <w:r w:rsidRPr="008B264B">
          <w:rPr>
            <w:rFonts w:ascii="Times New Roman" w:eastAsia="Times New Roman" w:hAnsi="Times New Roman" w:cs="Times New Roman"/>
            <w:color w:val="0000FF"/>
            <w:sz w:val="24"/>
            <w:szCs w:val="24"/>
            <w:u w:val="single"/>
            <w:lang/>
          </w:rPr>
          <w:t>підпунктом 14.1.11</w:t>
        </w:r>
      </w:hyperlink>
      <w:r w:rsidRPr="008B264B">
        <w:rPr>
          <w:rFonts w:ascii="Times New Roman" w:eastAsia="Times New Roman" w:hAnsi="Times New Roman" w:cs="Times New Roman"/>
          <w:color w:val="000000"/>
          <w:sz w:val="24"/>
          <w:szCs w:val="24"/>
          <w:lang/>
        </w:rPr>
        <w:t> пункту 14.1 статті 14 цього Кодексу.</w:t>
      </w:r>
    </w:p>
    <w:p w14:paraId="7FA9E3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6" w:name="n14076"/>
      <w:bookmarkEnd w:id="4006"/>
      <w:r w:rsidRPr="008B264B">
        <w:rPr>
          <w:rFonts w:ascii="Times New Roman" w:eastAsia="Times New Roman" w:hAnsi="Times New Roman" w:cs="Times New Roman"/>
          <w:i/>
          <w:iCs/>
          <w:color w:val="000000"/>
          <w:sz w:val="24"/>
          <w:szCs w:val="24"/>
          <w:lang/>
        </w:rPr>
        <w:t>{Підпункт 139.2.2 пункту 139.2 статті 139 в редакції Закону </w:t>
      </w:r>
      <w:hyperlink r:id="rId2175" w:anchor="n90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8F7A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7" w:name="n10697"/>
      <w:bookmarkEnd w:id="4007"/>
      <w:r w:rsidRPr="008B264B">
        <w:rPr>
          <w:rFonts w:ascii="Times New Roman" w:eastAsia="Times New Roman" w:hAnsi="Times New Roman" w:cs="Times New Roman"/>
          <w:color w:val="000000"/>
          <w:sz w:val="24"/>
          <w:szCs w:val="24"/>
          <w:lang/>
        </w:rPr>
        <w:t>139.3. Резерви банків та небанківських фінансових установ</w:t>
      </w:r>
    </w:p>
    <w:p w14:paraId="224A0C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8" w:name="n10698"/>
      <w:bookmarkEnd w:id="4008"/>
      <w:r w:rsidRPr="008B264B">
        <w:rPr>
          <w:rFonts w:ascii="Times New Roman" w:eastAsia="Times New Roman" w:hAnsi="Times New Roman" w:cs="Times New Roman"/>
          <w:color w:val="000000"/>
          <w:sz w:val="24"/>
          <w:szCs w:val="24"/>
          <w:lang/>
        </w:rPr>
        <w:t>139.3.1. Банки та небанківські фінансові установи, крім страхових компаній, недержавних пенсійних фондів, корпоративних інвестиційних фондів та адміністраторів недержавних пенсійних фондів, визнають для оподаткування резерв за активами згідно з вимогами міжнародних стандартів фінансової звітності з урахуванням вимог підпунктів 139.3.2-139.3.4 цього пункту.</w:t>
      </w:r>
    </w:p>
    <w:p w14:paraId="0DC5EB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09" w:name="n14834"/>
      <w:bookmarkEnd w:id="4009"/>
      <w:r w:rsidRPr="008B264B">
        <w:rPr>
          <w:rFonts w:ascii="Times New Roman" w:eastAsia="Times New Roman" w:hAnsi="Times New Roman" w:cs="Times New Roman"/>
          <w:i/>
          <w:iCs/>
          <w:color w:val="000000"/>
          <w:sz w:val="24"/>
          <w:szCs w:val="24"/>
          <w:lang/>
        </w:rPr>
        <w:t>{Підпункт 139.3.1 пункту 139.3 статті 139 із змінами, внесеними згідно із Законом </w:t>
      </w:r>
      <w:hyperlink r:id="rId2176" w:anchor="n21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CE9EE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0" w:name="n10699"/>
      <w:bookmarkEnd w:id="4010"/>
      <w:r w:rsidRPr="008B264B">
        <w:rPr>
          <w:rFonts w:ascii="Times New Roman" w:eastAsia="Times New Roman" w:hAnsi="Times New Roman" w:cs="Times New Roman"/>
          <w:color w:val="000000"/>
          <w:sz w:val="24"/>
          <w:szCs w:val="24"/>
          <w:lang/>
        </w:rPr>
        <w:t>139.3.2. Використання резерву у зв’язку із припиненням визнання активу згідно з вимогами міжнародних стандартів фінансової звітності не змінює фінансовий результат до оподаткування, крім випадків, визначених підпунктами 139.3.3 та 139.3.4 цього пункту.</w:t>
      </w:r>
    </w:p>
    <w:p w14:paraId="3573E2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1" w:name="n10700"/>
      <w:bookmarkEnd w:id="4011"/>
      <w:r w:rsidRPr="008B264B">
        <w:rPr>
          <w:rFonts w:ascii="Times New Roman" w:eastAsia="Times New Roman" w:hAnsi="Times New Roman" w:cs="Times New Roman"/>
          <w:color w:val="000000"/>
          <w:sz w:val="24"/>
          <w:szCs w:val="24"/>
          <w:lang/>
        </w:rPr>
        <w:t>139.3.3. Фінансовий результат до оподаткування збільшується:</w:t>
      </w:r>
    </w:p>
    <w:p w14:paraId="39D5EC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2" w:name="n10701"/>
      <w:bookmarkEnd w:id="4012"/>
      <w:r w:rsidRPr="008B264B">
        <w:rPr>
          <w:rFonts w:ascii="Times New Roman" w:eastAsia="Times New Roman" w:hAnsi="Times New Roman" w:cs="Times New Roman"/>
          <w:color w:val="000000"/>
          <w:sz w:val="24"/>
          <w:szCs w:val="24"/>
          <w:lang/>
        </w:rPr>
        <w:t>1) на суму використання резерву для списання (відшкодування) активу, який не відповідає ознакам, визначеним </w:t>
      </w:r>
      <w:hyperlink r:id="rId2177" w:anchor="n271" w:history="1">
        <w:r w:rsidRPr="008B264B">
          <w:rPr>
            <w:rFonts w:ascii="Times New Roman" w:eastAsia="Times New Roman" w:hAnsi="Times New Roman" w:cs="Times New Roman"/>
            <w:color w:val="0000FF"/>
            <w:sz w:val="24"/>
            <w:szCs w:val="24"/>
            <w:u w:val="single"/>
            <w:lang/>
          </w:rPr>
          <w:t>підпунктом 14.1.11</w:t>
        </w:r>
      </w:hyperlink>
      <w:r w:rsidRPr="008B264B">
        <w:rPr>
          <w:rFonts w:ascii="Times New Roman" w:eastAsia="Times New Roman" w:hAnsi="Times New Roman" w:cs="Times New Roman"/>
          <w:color w:val="000000"/>
          <w:sz w:val="24"/>
          <w:szCs w:val="24"/>
          <w:lang/>
        </w:rPr>
        <w:t> пункту 14.1 статті 14 цього Кодексу;</w:t>
      </w:r>
    </w:p>
    <w:p w14:paraId="5ED43B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3" w:name="n10706"/>
      <w:bookmarkEnd w:id="4013"/>
      <w:r w:rsidRPr="008B264B">
        <w:rPr>
          <w:rFonts w:ascii="Times New Roman" w:eastAsia="Times New Roman" w:hAnsi="Times New Roman" w:cs="Times New Roman"/>
          <w:color w:val="000000"/>
          <w:sz w:val="24"/>
          <w:szCs w:val="24"/>
          <w:lang/>
        </w:rPr>
        <w:t>2) на суму використання резерву у зв’язку із припиненням визнання активу при прощенні заборгованості фізичних осіб, які є пов’язаними з таким кредитором або перебувають з таким кредитором у трудових відносинах, або перебували з таким кредитором у трудових відносинах і період між датою припинення трудових відносин таких осіб та датою прощення їхньої заборгованості не перевищує три роки.</w:t>
      </w:r>
    </w:p>
    <w:p w14:paraId="0EEDDE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4" w:name="n14836"/>
      <w:bookmarkEnd w:id="4014"/>
      <w:r w:rsidRPr="008B264B">
        <w:rPr>
          <w:rFonts w:ascii="Times New Roman" w:eastAsia="Times New Roman" w:hAnsi="Times New Roman" w:cs="Times New Roman"/>
          <w:color w:val="000000"/>
          <w:sz w:val="24"/>
          <w:szCs w:val="24"/>
          <w:lang/>
        </w:rPr>
        <w:t>Сума використання резерву у зв’язку із припиненням визнання активу при прощенні кредитором заборгованості інших осіб, не визначених підпунктом 2 цього підпункту, не змінює фінансовий результат до оподаткування.</w:t>
      </w:r>
    </w:p>
    <w:p w14:paraId="56824D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5" w:name="n14835"/>
      <w:bookmarkEnd w:id="4015"/>
      <w:r w:rsidRPr="008B264B">
        <w:rPr>
          <w:rFonts w:ascii="Times New Roman" w:eastAsia="Times New Roman" w:hAnsi="Times New Roman" w:cs="Times New Roman"/>
          <w:i/>
          <w:iCs/>
          <w:color w:val="000000"/>
          <w:sz w:val="24"/>
          <w:szCs w:val="24"/>
          <w:lang/>
        </w:rPr>
        <w:t>{Підпункт 139.3.3 пункту 139.3 статті 139 із змінами, внесеними згідно із Законом </w:t>
      </w:r>
      <w:hyperlink r:id="rId2178" w:anchor="n18"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в редакції Закону </w:t>
      </w:r>
      <w:hyperlink r:id="rId2179" w:anchor="n21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FF676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6" w:name="n10707"/>
      <w:bookmarkEnd w:id="4016"/>
      <w:r w:rsidRPr="008B264B">
        <w:rPr>
          <w:rFonts w:ascii="Times New Roman" w:eastAsia="Times New Roman" w:hAnsi="Times New Roman" w:cs="Times New Roman"/>
          <w:color w:val="000000"/>
          <w:sz w:val="24"/>
          <w:szCs w:val="24"/>
          <w:lang/>
        </w:rPr>
        <w:lastRenderedPageBreak/>
        <w:t>139.3.4. Фінансовий результат до оподаткування зменшується:</w:t>
      </w:r>
    </w:p>
    <w:p w14:paraId="0D25DC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7" w:name="n10708"/>
      <w:bookmarkEnd w:id="4017"/>
      <w:r w:rsidRPr="008B264B">
        <w:rPr>
          <w:rFonts w:ascii="Times New Roman" w:eastAsia="Times New Roman" w:hAnsi="Times New Roman" w:cs="Times New Roman"/>
          <w:i/>
          <w:iCs/>
          <w:color w:val="000000"/>
          <w:sz w:val="24"/>
          <w:szCs w:val="24"/>
          <w:lang/>
        </w:rPr>
        <w:t>{Підпункт 1 підпункту 139.3.4 пункту 139.3 статті 139 виключено на підставі Закону </w:t>
      </w:r>
      <w:hyperlink r:id="rId2180" w:anchor="n21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09BAE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8" w:name="n10709"/>
      <w:bookmarkEnd w:id="4018"/>
      <w:r w:rsidRPr="008B264B">
        <w:rPr>
          <w:rFonts w:ascii="Times New Roman" w:eastAsia="Times New Roman" w:hAnsi="Times New Roman" w:cs="Times New Roman"/>
          <w:color w:val="000000"/>
          <w:sz w:val="24"/>
          <w:szCs w:val="24"/>
          <w:lang/>
        </w:rPr>
        <w:t>2) на суму списання у попередніх звітних періодах активу, який у звітному періоді набув ознак, визначених </w:t>
      </w:r>
      <w:hyperlink r:id="rId2181" w:anchor="n271" w:history="1">
        <w:r w:rsidRPr="008B264B">
          <w:rPr>
            <w:rFonts w:ascii="Times New Roman" w:eastAsia="Times New Roman" w:hAnsi="Times New Roman" w:cs="Times New Roman"/>
            <w:color w:val="0000FF"/>
            <w:sz w:val="24"/>
            <w:szCs w:val="24"/>
            <w:u w:val="single"/>
            <w:lang/>
          </w:rPr>
          <w:t>підпунктом 14.1.11</w:t>
        </w:r>
      </w:hyperlink>
      <w:r w:rsidRPr="008B264B">
        <w:rPr>
          <w:rFonts w:ascii="Times New Roman" w:eastAsia="Times New Roman" w:hAnsi="Times New Roman" w:cs="Times New Roman"/>
          <w:color w:val="000000"/>
          <w:sz w:val="24"/>
          <w:szCs w:val="24"/>
          <w:lang/>
        </w:rPr>
        <w:t> пункту 14.1 статті 14 цього Кодексу;</w:t>
      </w:r>
    </w:p>
    <w:p w14:paraId="6F7E6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19" w:name="n10710"/>
      <w:bookmarkEnd w:id="4019"/>
      <w:r w:rsidRPr="008B264B">
        <w:rPr>
          <w:rFonts w:ascii="Times New Roman" w:eastAsia="Times New Roman" w:hAnsi="Times New Roman" w:cs="Times New Roman"/>
          <w:i/>
          <w:iCs/>
          <w:color w:val="000000"/>
          <w:sz w:val="24"/>
          <w:szCs w:val="24"/>
          <w:lang/>
        </w:rPr>
        <w:t>{Підпункт 3 підпункту 139.3.4 пункту 139.3 статті 139 виключено на підставі Закону </w:t>
      </w:r>
      <w:hyperlink r:id="rId2182" w:anchor="n21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01ED8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0" w:name="n10711"/>
      <w:bookmarkEnd w:id="4020"/>
      <w:r w:rsidRPr="008B264B">
        <w:rPr>
          <w:rFonts w:ascii="Times New Roman" w:eastAsia="Times New Roman" w:hAnsi="Times New Roman" w:cs="Times New Roman"/>
          <w:color w:val="000000"/>
          <w:sz w:val="24"/>
          <w:szCs w:val="24"/>
          <w:lang/>
        </w:rPr>
        <w:t>4) на суму доходів (зменшення витрат) від погашення раніше списаної за рахунок резерву заборгованості, яка не відповідає ознакам, визначеним </w:t>
      </w:r>
      <w:hyperlink r:id="rId2183" w:anchor="n271" w:history="1">
        <w:r w:rsidRPr="008B264B">
          <w:rPr>
            <w:rFonts w:ascii="Times New Roman" w:eastAsia="Times New Roman" w:hAnsi="Times New Roman" w:cs="Times New Roman"/>
            <w:color w:val="0000FF"/>
            <w:sz w:val="24"/>
            <w:szCs w:val="24"/>
            <w:u w:val="single"/>
            <w:lang/>
          </w:rPr>
          <w:t>підпунктом 14.1.11</w:t>
        </w:r>
      </w:hyperlink>
      <w:r w:rsidRPr="008B264B">
        <w:rPr>
          <w:rFonts w:ascii="Times New Roman" w:eastAsia="Times New Roman" w:hAnsi="Times New Roman" w:cs="Times New Roman"/>
          <w:color w:val="000000"/>
          <w:sz w:val="24"/>
          <w:szCs w:val="24"/>
          <w:lang/>
        </w:rPr>
        <w:t> пункту 14.1 статті 14 цього Кодексу.</w:t>
      </w:r>
    </w:p>
    <w:p w14:paraId="1A6812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1" w:name="n14079"/>
      <w:bookmarkEnd w:id="4021"/>
      <w:r w:rsidRPr="008B264B">
        <w:rPr>
          <w:rFonts w:ascii="Times New Roman" w:eastAsia="Times New Roman" w:hAnsi="Times New Roman" w:cs="Times New Roman"/>
          <w:i/>
          <w:iCs/>
          <w:color w:val="000000"/>
          <w:sz w:val="24"/>
          <w:szCs w:val="24"/>
          <w:lang/>
        </w:rPr>
        <w:t>{Підпункт 4 підпункту 139.2.4 пункту 139.2 статті 139 в редакції Закону </w:t>
      </w:r>
      <w:hyperlink r:id="rId2184" w:anchor="n90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9371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2" w:name="n10712"/>
      <w:bookmarkEnd w:id="4022"/>
      <w:r w:rsidRPr="008B264B">
        <w:rPr>
          <w:rFonts w:ascii="Times New Roman" w:eastAsia="Times New Roman" w:hAnsi="Times New Roman" w:cs="Times New Roman"/>
          <w:color w:val="000000"/>
          <w:sz w:val="24"/>
          <w:szCs w:val="24"/>
          <w:lang/>
        </w:rPr>
        <w:t>139.3.5. Коригування фінансового результату до оподаткування у зв’язку із створенням та використанням банками та небанківськими фінансовими установами резервів (забезпечень), у тому числі за наданими зобов’язаннями з кредитування, гарантіями, поручительствами, акредитивами, акцептами, авалями, крім резервів, зазначених у попередніх підпунктах цього пункту, здійснюється у порядку, встановленому пунктом 139.1 цієї статті.</w:t>
      </w:r>
    </w:p>
    <w:p w14:paraId="24801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3" w:name="n10713"/>
      <w:bookmarkEnd w:id="4023"/>
      <w:r w:rsidRPr="008B264B">
        <w:rPr>
          <w:rFonts w:ascii="Times New Roman" w:eastAsia="Times New Roman" w:hAnsi="Times New Roman" w:cs="Times New Roman"/>
          <w:b/>
          <w:bCs/>
          <w:color w:val="000000"/>
          <w:sz w:val="24"/>
          <w:szCs w:val="24"/>
          <w:lang/>
        </w:rPr>
        <w:t>Стаття 140.</w:t>
      </w:r>
      <w:r w:rsidRPr="008B264B">
        <w:rPr>
          <w:rFonts w:ascii="Times New Roman" w:eastAsia="Times New Roman" w:hAnsi="Times New Roman" w:cs="Times New Roman"/>
          <w:color w:val="000000"/>
          <w:sz w:val="24"/>
          <w:szCs w:val="24"/>
          <w:lang/>
        </w:rPr>
        <w:t> Різниці, які виникають при здійсненні фінансових операцій</w:t>
      </w:r>
    </w:p>
    <w:p w14:paraId="60523E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4" w:name="n10714"/>
      <w:bookmarkEnd w:id="4024"/>
      <w:r w:rsidRPr="008B264B">
        <w:rPr>
          <w:rFonts w:ascii="Times New Roman" w:eastAsia="Times New Roman" w:hAnsi="Times New Roman" w:cs="Times New Roman"/>
          <w:color w:val="000000"/>
          <w:sz w:val="24"/>
          <w:szCs w:val="24"/>
          <w:lang/>
        </w:rPr>
        <w:t>140.1. Оподаткування процентів за борговими зобов’язаннями</w:t>
      </w:r>
    </w:p>
    <w:p w14:paraId="4E3A15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5" w:name="n10715"/>
      <w:bookmarkEnd w:id="4025"/>
      <w:r w:rsidRPr="008B264B">
        <w:rPr>
          <w:rFonts w:ascii="Times New Roman" w:eastAsia="Times New Roman" w:hAnsi="Times New Roman" w:cs="Times New Roman"/>
          <w:color w:val="000000"/>
          <w:sz w:val="24"/>
          <w:szCs w:val="24"/>
          <w:lang/>
        </w:rPr>
        <w:t>Під борговими зобов’язаннями для цілей даного пункту слід розуміти зобов’язання за будь-якими кредитами, позиками, депозитами, операціями РЕПО, зобов’язання за договорами фінансового лізингу та іншими запозиченнями незалежно від їх юридичного оформлення.</w:t>
      </w:r>
    </w:p>
    <w:p w14:paraId="2560A6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6" w:name="n10716"/>
      <w:bookmarkEnd w:id="4026"/>
      <w:r w:rsidRPr="008B264B">
        <w:rPr>
          <w:rFonts w:ascii="Times New Roman" w:eastAsia="Times New Roman" w:hAnsi="Times New Roman" w:cs="Times New Roman"/>
          <w:color w:val="000000"/>
          <w:sz w:val="24"/>
          <w:szCs w:val="24"/>
          <w:lang/>
        </w:rPr>
        <w:t>140.2. Для платника податку, у якого сума боргових зобов’язань, визначених в пункті 140.1 цієї статті, що виникли за операціями з пов’язаними особами-нерезидентами, перевищує суму власного капіталу більш ніж в 3, 5 рази (для фінансових установ та компаній, що займаються виключно лізинговою діяльністю, - більш ніж в 10 разів), фінансовий результат до оподаткування збільшується на суму перевищення нарахованих у бухгалтерському обліку процентів за кредитами, позиками та іншими борговими зобов’язаннями, що виникли за операціями з пов’язаними особами - нерезидентами, над 50 відсотками суми фінансового результату до оподаткування, фінансових витрат та суми амортизаційних відрахувань за даними фінансової звітності звітного податкового періоду, в якому здійснюється нарахування таких процентів.</w:t>
      </w:r>
    </w:p>
    <w:p w14:paraId="07D91C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7" w:name="n14080"/>
      <w:bookmarkEnd w:id="4027"/>
      <w:r w:rsidRPr="008B264B">
        <w:rPr>
          <w:rFonts w:ascii="Times New Roman" w:eastAsia="Times New Roman" w:hAnsi="Times New Roman" w:cs="Times New Roman"/>
          <w:i/>
          <w:iCs/>
          <w:color w:val="000000"/>
          <w:sz w:val="24"/>
          <w:szCs w:val="24"/>
          <w:lang/>
        </w:rPr>
        <w:t>{Абзац перший пункту 140.2 статті 140 із змінами, внесеними згідно із Законом </w:t>
      </w:r>
      <w:hyperlink r:id="rId2185" w:anchor="n91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F3311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8" w:name="n10717"/>
      <w:bookmarkEnd w:id="4028"/>
      <w:r w:rsidRPr="008B264B">
        <w:rPr>
          <w:rFonts w:ascii="Times New Roman" w:eastAsia="Times New Roman" w:hAnsi="Times New Roman" w:cs="Times New Roman"/>
          <w:color w:val="000000"/>
          <w:sz w:val="24"/>
          <w:szCs w:val="24"/>
          <w:lang/>
        </w:rPr>
        <w:t>Сума боргових зобов’язань, що виникли за операціями з пов’язаними особами - нерезидентами, та власного капіталу для цілей цього пункту визначається як середнє арифметичне значень боргових зобов’язань та власного капіталу на початок та кінець звітного податкового періоду з урахуванням процентів, зазначених у пункті 140.3 цієї статті.</w:t>
      </w:r>
    </w:p>
    <w:p w14:paraId="553565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29" w:name="n14081"/>
      <w:bookmarkEnd w:id="4029"/>
      <w:r w:rsidRPr="008B264B">
        <w:rPr>
          <w:rFonts w:ascii="Times New Roman" w:eastAsia="Times New Roman" w:hAnsi="Times New Roman" w:cs="Times New Roman"/>
          <w:i/>
          <w:iCs/>
          <w:color w:val="000000"/>
          <w:sz w:val="24"/>
          <w:szCs w:val="24"/>
          <w:lang/>
        </w:rPr>
        <w:t>{Абзац другий пункту 140.2 статті 140 із змінами, внесеними згідно із Законом </w:t>
      </w:r>
      <w:hyperlink r:id="rId2186" w:anchor="n9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C7296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0" w:name="n10718"/>
      <w:bookmarkEnd w:id="4030"/>
      <w:r w:rsidRPr="008B264B">
        <w:rPr>
          <w:rFonts w:ascii="Times New Roman" w:eastAsia="Times New Roman" w:hAnsi="Times New Roman" w:cs="Times New Roman"/>
          <w:color w:val="000000"/>
          <w:sz w:val="24"/>
          <w:szCs w:val="24"/>
          <w:lang/>
        </w:rPr>
        <w:t>140.3. Проценти, які перевищують суму обмеження, визначеного пунктом 140.2 цієї статті, які збільшили фінансовий результат до оподаткування, зменшують фінансовий результат до оподаткування майбутніх звітних податкових періодів у сумі, зменшеній щорічно на 5 відсотків від суми процентів, що залишилися не врахованими у зменшення фінансового результату до оподаткування, з урахуванням обмежень, встановлених пунктом 140.2 цієї статті.</w:t>
      </w:r>
    </w:p>
    <w:p w14:paraId="52F984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1" w:name="n14082"/>
      <w:bookmarkEnd w:id="4031"/>
      <w:r w:rsidRPr="008B264B">
        <w:rPr>
          <w:rFonts w:ascii="Times New Roman" w:eastAsia="Times New Roman" w:hAnsi="Times New Roman" w:cs="Times New Roman"/>
          <w:i/>
          <w:iCs/>
          <w:color w:val="000000"/>
          <w:sz w:val="24"/>
          <w:szCs w:val="24"/>
          <w:lang/>
        </w:rPr>
        <w:t>{Пункт 140.3 статті 140 із змінами, внесеними згідно із Законом </w:t>
      </w:r>
      <w:hyperlink r:id="rId2187" w:anchor="n9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5A89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2" w:name="n10719"/>
      <w:bookmarkEnd w:id="4032"/>
      <w:r w:rsidRPr="008B264B">
        <w:rPr>
          <w:rFonts w:ascii="Times New Roman" w:eastAsia="Times New Roman" w:hAnsi="Times New Roman" w:cs="Times New Roman"/>
          <w:color w:val="000000"/>
          <w:sz w:val="24"/>
          <w:szCs w:val="24"/>
          <w:lang/>
        </w:rPr>
        <w:lastRenderedPageBreak/>
        <w:t>140.4. Фінансовий результат до оподаткування зменшується:</w:t>
      </w:r>
    </w:p>
    <w:p w14:paraId="314821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3" w:name="n10720"/>
      <w:bookmarkEnd w:id="4033"/>
      <w:r w:rsidRPr="008B264B">
        <w:rPr>
          <w:rFonts w:ascii="Times New Roman" w:eastAsia="Times New Roman" w:hAnsi="Times New Roman" w:cs="Times New Roman"/>
          <w:color w:val="000000"/>
          <w:sz w:val="24"/>
          <w:szCs w:val="24"/>
          <w:lang/>
        </w:rPr>
        <w:t>140.4.1. на суму нарахованих доходів від участі в капіталі інших платників податку на прибуток підприємств, платників єдиного податку та на суму нарахованих доходів у вигляді дивідендів, що підлягають виплаті на його користь від інших платників цього податку (крім інститутів спільного інвестування та платників, прибуток яких звільняється від оподаткування відповідно до положень цього Кодексу, у розмірі прибутку, звільненого від оподаткування);</w:t>
      </w:r>
    </w:p>
    <w:p w14:paraId="374CF3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4" w:name="n12726"/>
      <w:bookmarkEnd w:id="4034"/>
      <w:r w:rsidRPr="008B264B">
        <w:rPr>
          <w:rFonts w:ascii="Times New Roman" w:eastAsia="Times New Roman" w:hAnsi="Times New Roman" w:cs="Times New Roman"/>
          <w:i/>
          <w:iCs/>
          <w:color w:val="000000"/>
          <w:sz w:val="24"/>
          <w:szCs w:val="24"/>
          <w:lang/>
        </w:rPr>
        <w:t>{Підпункт 140.4.1 пункту 140.4 статті 140 в редакції Законів </w:t>
      </w:r>
      <w:hyperlink r:id="rId2188" w:anchor="n6" w:tgtFrame="_blank" w:history="1">
        <w:r w:rsidRPr="008B264B">
          <w:rPr>
            <w:rFonts w:ascii="Times New Roman" w:eastAsia="Times New Roman" w:hAnsi="Times New Roman" w:cs="Times New Roman"/>
            <w:i/>
            <w:iCs/>
            <w:color w:val="0000FF"/>
            <w:sz w:val="24"/>
            <w:szCs w:val="24"/>
            <w:u w:val="single"/>
            <w:lang/>
          </w:rPr>
          <w:t>№ 903-VIII від 23.12.2015</w:t>
        </w:r>
      </w:hyperlink>
      <w:r w:rsidRPr="008B264B">
        <w:rPr>
          <w:rFonts w:ascii="Times New Roman" w:eastAsia="Times New Roman" w:hAnsi="Times New Roman" w:cs="Times New Roman"/>
          <w:i/>
          <w:iCs/>
          <w:color w:val="000000"/>
          <w:sz w:val="24"/>
          <w:szCs w:val="24"/>
          <w:lang/>
        </w:rPr>
        <w:t>, </w:t>
      </w:r>
      <w:hyperlink r:id="rId2189" w:anchor="n12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2190" w:anchor="n91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191" w:anchor="n22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E283F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5" w:name="n10721"/>
      <w:bookmarkEnd w:id="4035"/>
      <w:r w:rsidRPr="008B264B">
        <w:rPr>
          <w:rFonts w:ascii="Times New Roman" w:eastAsia="Times New Roman" w:hAnsi="Times New Roman" w:cs="Times New Roman"/>
          <w:color w:val="000000"/>
          <w:sz w:val="24"/>
          <w:szCs w:val="24"/>
          <w:lang/>
        </w:rPr>
        <w:t>140.4.2. на суму від’ємного значення об’єкта оподаткування минулих податкових (звітних) років. Положення зазначеного пункту застосовуються з урахуванням </w:t>
      </w:r>
      <w:hyperlink r:id="rId2192" w:anchor="n8234" w:history="1">
        <w:r w:rsidRPr="008B264B">
          <w:rPr>
            <w:rFonts w:ascii="Times New Roman" w:eastAsia="Times New Roman" w:hAnsi="Times New Roman" w:cs="Times New Roman"/>
            <w:color w:val="0000FF"/>
            <w:sz w:val="24"/>
            <w:szCs w:val="24"/>
            <w:u w:val="single"/>
            <w:lang/>
          </w:rPr>
          <w:t>пункту 3</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w:t>
      </w:r>
    </w:p>
    <w:p w14:paraId="092215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6" w:name="n10722"/>
      <w:bookmarkEnd w:id="4036"/>
      <w:r w:rsidRPr="008B264B">
        <w:rPr>
          <w:rFonts w:ascii="Times New Roman" w:eastAsia="Times New Roman" w:hAnsi="Times New Roman" w:cs="Times New Roman"/>
          <w:color w:val="000000"/>
          <w:sz w:val="24"/>
          <w:szCs w:val="24"/>
          <w:lang/>
        </w:rPr>
        <w:t>140.4.3. на суму уцінки, врахованої у фінансовому результаті до оподаткування у поточному податковому (звітному) періоді на інструменти власного капіталу, перекласифіковані у фінансові зобов’язання відповідно до національних положень (стандартів) бухгалтерського обліку або міжнародних стандартів фінансової звітності;</w:t>
      </w:r>
    </w:p>
    <w:p w14:paraId="7B9F6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7" w:name="n14707"/>
      <w:bookmarkEnd w:id="4037"/>
      <w:r w:rsidRPr="008B264B">
        <w:rPr>
          <w:rFonts w:ascii="Times New Roman" w:eastAsia="Times New Roman" w:hAnsi="Times New Roman" w:cs="Times New Roman"/>
          <w:color w:val="000000"/>
          <w:sz w:val="24"/>
          <w:szCs w:val="24"/>
          <w:lang/>
        </w:rPr>
        <w:t>140.4.4. на суму субсидій, отриманих платником податку - суб’єктом кінематографії України для повернення частини кваліфікованих витрат відповідно до </w:t>
      </w:r>
      <w:hyperlink r:id="rId219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кінематографії в Україні", здійснених при виробництві (створенні) фільму та включених до складу доходів звітного періоду відповідно до національних положень (стандартів) бухгалтерського обліку або міжнародних стандартів фінансової звітності.</w:t>
      </w:r>
    </w:p>
    <w:p w14:paraId="2D854F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8" w:name="n14706"/>
      <w:bookmarkEnd w:id="4038"/>
      <w:r w:rsidRPr="008B264B">
        <w:rPr>
          <w:rFonts w:ascii="Times New Roman" w:eastAsia="Times New Roman" w:hAnsi="Times New Roman" w:cs="Times New Roman"/>
          <w:i/>
          <w:iCs/>
          <w:color w:val="000000"/>
          <w:sz w:val="24"/>
          <w:szCs w:val="24"/>
          <w:lang/>
        </w:rPr>
        <w:t>{Пункт 140.4 статті 140 доповнено підпунктом 140.4.4 згідно із Законом </w:t>
      </w:r>
      <w:hyperlink r:id="rId2194" w:anchor="n9"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6E4C99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39" w:name="n10723"/>
      <w:bookmarkEnd w:id="4039"/>
      <w:r w:rsidRPr="008B264B">
        <w:rPr>
          <w:rFonts w:ascii="Times New Roman" w:eastAsia="Times New Roman" w:hAnsi="Times New Roman" w:cs="Times New Roman"/>
          <w:color w:val="000000"/>
          <w:sz w:val="24"/>
          <w:szCs w:val="24"/>
          <w:lang/>
        </w:rPr>
        <w:t>140.5. Фінансовий результат податкового (звітного) періоду збільшується:</w:t>
      </w:r>
    </w:p>
    <w:p w14:paraId="0BA5A3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0" w:name="n10724"/>
      <w:bookmarkEnd w:id="4040"/>
      <w:r w:rsidRPr="008B264B">
        <w:rPr>
          <w:rFonts w:ascii="Times New Roman" w:eastAsia="Times New Roman" w:hAnsi="Times New Roman" w:cs="Times New Roman"/>
          <w:color w:val="000000"/>
          <w:sz w:val="24"/>
          <w:szCs w:val="24"/>
          <w:lang/>
        </w:rPr>
        <w:t>140.5.1. на суму перевищення ціни, визначеної за принципом "витягнутої руки", над договірною (контрактною) вартістю (вартістю, за якою відповідна операція повинна відображатися при формуванні фінансового результату до оподаткування згідно з правилами бухгалтерського обліку) реалізованих товарів (робіт, послуг) при здійсненні контрольованих операцій у випадках, визначених </w:t>
      </w:r>
      <w:hyperlink r:id="rId2195"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w:t>
      </w:r>
    </w:p>
    <w:p w14:paraId="6C81A0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1" w:name="n14085"/>
      <w:bookmarkEnd w:id="4041"/>
      <w:r w:rsidRPr="008B264B">
        <w:rPr>
          <w:rFonts w:ascii="Times New Roman" w:eastAsia="Times New Roman" w:hAnsi="Times New Roman" w:cs="Times New Roman"/>
          <w:color w:val="000000"/>
          <w:sz w:val="24"/>
          <w:szCs w:val="24"/>
          <w:lang/>
        </w:rPr>
        <w:t>Норми цього підпункту застосовуються за результатами податкового (звітного) року;</w:t>
      </w:r>
    </w:p>
    <w:p w14:paraId="4406E8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2" w:name="n14083"/>
      <w:bookmarkEnd w:id="4042"/>
      <w:r w:rsidRPr="008B264B">
        <w:rPr>
          <w:rFonts w:ascii="Times New Roman" w:eastAsia="Times New Roman" w:hAnsi="Times New Roman" w:cs="Times New Roman"/>
          <w:i/>
          <w:iCs/>
          <w:color w:val="000000"/>
          <w:sz w:val="24"/>
          <w:szCs w:val="24"/>
          <w:lang/>
        </w:rPr>
        <w:t>{Підпункт 140.5.1 пункту 140.5 статті 140 із змінами, внесеними згідно із Законом </w:t>
      </w:r>
      <w:hyperlink r:id="rId2196" w:anchor="n9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2197" w:anchor="n22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80AD4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3" w:name="n10725"/>
      <w:bookmarkEnd w:id="4043"/>
      <w:r w:rsidRPr="008B264B">
        <w:rPr>
          <w:rFonts w:ascii="Times New Roman" w:eastAsia="Times New Roman" w:hAnsi="Times New Roman" w:cs="Times New Roman"/>
          <w:color w:val="000000"/>
          <w:sz w:val="24"/>
          <w:szCs w:val="24"/>
          <w:lang/>
        </w:rPr>
        <w:t>140.5.2. на суму перевищення договірної (контрактної) вартості (вартості, за якою відповідна операція повинна відображатися при формуванні фінансового результату до оподаткування згідно з правилами бухгалтерського обліку) придбаних товарів (робіт, послуг) над ціною, визначеною за принципом "витягнутої руки", при здійсненні контрольованих операцій у випадках, визначених </w:t>
      </w:r>
      <w:hyperlink r:id="rId2198"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w:t>
      </w:r>
    </w:p>
    <w:p w14:paraId="327E56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4" w:name="n14088"/>
      <w:bookmarkEnd w:id="4044"/>
      <w:r w:rsidRPr="008B264B">
        <w:rPr>
          <w:rFonts w:ascii="Times New Roman" w:eastAsia="Times New Roman" w:hAnsi="Times New Roman" w:cs="Times New Roman"/>
          <w:color w:val="000000"/>
          <w:sz w:val="24"/>
          <w:szCs w:val="24"/>
          <w:lang/>
        </w:rPr>
        <w:t>Норми цього підпункту застосовуються за результатами податкового (звітного) року;</w:t>
      </w:r>
    </w:p>
    <w:p w14:paraId="33C560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5" w:name="n14086"/>
      <w:bookmarkEnd w:id="4045"/>
      <w:r w:rsidRPr="008B264B">
        <w:rPr>
          <w:rFonts w:ascii="Times New Roman" w:eastAsia="Times New Roman" w:hAnsi="Times New Roman" w:cs="Times New Roman"/>
          <w:i/>
          <w:iCs/>
          <w:color w:val="000000"/>
          <w:sz w:val="24"/>
          <w:szCs w:val="24"/>
          <w:lang/>
        </w:rPr>
        <w:t>{Підпункт 140.5.2 пункту 140.5 статті 140 із змінами, внесеними згідно із Законом </w:t>
      </w:r>
      <w:hyperlink r:id="rId2199" w:anchor="n9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2200" w:anchor="n22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60644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6" w:name="n10726"/>
      <w:bookmarkEnd w:id="4046"/>
      <w:r w:rsidRPr="008B264B">
        <w:rPr>
          <w:rFonts w:ascii="Times New Roman" w:eastAsia="Times New Roman" w:hAnsi="Times New Roman" w:cs="Times New Roman"/>
          <w:color w:val="000000"/>
          <w:sz w:val="24"/>
          <w:szCs w:val="24"/>
          <w:lang/>
        </w:rPr>
        <w:t>140.5.3. на суму втрат від інвестицій в асоційовані, дочірні та спільні підприємства, розрахованих за методом участі в капіталі або методом пропорційної консолідації;</w:t>
      </w:r>
    </w:p>
    <w:p w14:paraId="29718E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7" w:name="n10727"/>
      <w:bookmarkEnd w:id="4047"/>
      <w:r w:rsidRPr="008B264B">
        <w:rPr>
          <w:rFonts w:ascii="Times New Roman" w:eastAsia="Times New Roman" w:hAnsi="Times New Roman" w:cs="Times New Roman"/>
          <w:color w:val="000000"/>
          <w:sz w:val="24"/>
          <w:szCs w:val="24"/>
          <w:lang/>
        </w:rPr>
        <w:t>140.5.4. на суму 30 відсотків вартості товарів, у тому числі необоротних активів (крім активів з права користування за договорами оренди), робіт та послуг (крім операцій, зазначених у </w:t>
      </w:r>
      <w:hyperlink r:id="rId2201" w:anchor="n10716" w:history="1">
        <w:r w:rsidRPr="008B264B">
          <w:rPr>
            <w:rFonts w:ascii="Times New Roman" w:eastAsia="Times New Roman" w:hAnsi="Times New Roman" w:cs="Times New Roman"/>
            <w:color w:val="0000FF"/>
            <w:sz w:val="24"/>
            <w:szCs w:val="24"/>
            <w:u w:val="single"/>
            <w:lang/>
          </w:rPr>
          <w:t>пункті 140.2</w:t>
        </w:r>
      </w:hyperlink>
      <w:r w:rsidRPr="008B264B">
        <w:rPr>
          <w:rFonts w:ascii="Times New Roman" w:eastAsia="Times New Roman" w:hAnsi="Times New Roman" w:cs="Times New Roman"/>
          <w:color w:val="000000"/>
          <w:sz w:val="24"/>
          <w:szCs w:val="24"/>
          <w:lang/>
        </w:rPr>
        <w:t> та </w:t>
      </w:r>
      <w:hyperlink r:id="rId2202" w:anchor="n10735" w:history="1">
        <w:r w:rsidRPr="008B264B">
          <w:rPr>
            <w:rFonts w:ascii="Times New Roman" w:eastAsia="Times New Roman" w:hAnsi="Times New Roman" w:cs="Times New Roman"/>
            <w:color w:val="0000FF"/>
            <w:sz w:val="24"/>
            <w:szCs w:val="24"/>
            <w:u w:val="single"/>
            <w:lang/>
          </w:rPr>
          <w:t>підпункті 140.5.6</w:t>
        </w:r>
      </w:hyperlink>
      <w:r w:rsidRPr="008B264B">
        <w:rPr>
          <w:rFonts w:ascii="Times New Roman" w:eastAsia="Times New Roman" w:hAnsi="Times New Roman" w:cs="Times New Roman"/>
          <w:color w:val="000000"/>
          <w:sz w:val="24"/>
          <w:szCs w:val="24"/>
          <w:lang/>
        </w:rPr>
        <w:t> цього пункту, та операцій, визнаних контрольованими відповідно до </w:t>
      </w:r>
      <w:hyperlink r:id="rId2203"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придбаних у:</w:t>
      </w:r>
    </w:p>
    <w:p w14:paraId="047EE6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8" w:name="n15284"/>
      <w:bookmarkEnd w:id="4048"/>
      <w:r w:rsidRPr="008B264B">
        <w:rPr>
          <w:rFonts w:ascii="Times New Roman" w:eastAsia="Times New Roman" w:hAnsi="Times New Roman" w:cs="Times New Roman"/>
          <w:i/>
          <w:iCs/>
          <w:color w:val="000000"/>
          <w:sz w:val="24"/>
          <w:szCs w:val="24"/>
          <w:lang/>
        </w:rPr>
        <w:lastRenderedPageBreak/>
        <w:t>{Абзац перший підпункту 140.5.4 пункту 140.5 статті 140 із змінами, внесеними згідно із Законом </w:t>
      </w:r>
      <w:hyperlink r:id="rId2204" w:anchor="n1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34C22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49" w:name="n10728"/>
      <w:bookmarkEnd w:id="4049"/>
      <w:r w:rsidRPr="008B264B">
        <w:rPr>
          <w:rFonts w:ascii="Times New Roman" w:eastAsia="Times New Roman" w:hAnsi="Times New Roman" w:cs="Times New Roman"/>
          <w:color w:val="000000"/>
          <w:sz w:val="24"/>
          <w:szCs w:val="24"/>
          <w:lang/>
        </w:rPr>
        <w:t>неприбуткових організацій, внесених до Реєстру неприбуткових установ та організацій на дату такого придбання, крім випадків, коли сума вартості товарів, у тому числі необоротних активів (крім активів з права користування за договорами оренди), робіт та послуг, придбаних у таких організацій, сукупно протягом звітного (податкового) року не перевищує 25 розмірів мінімальної заробітної плати, встановленої законом на 1 січня звітного (податкового) року, та крім бюджетних установ, Накопичувального фонду, недержавних пенсійних фондів і неприбуткової організації, яка є об’єднанням страховиків, якщо участь страховика у такому об’єднанні є умовою проведення діяльності такого страховика відповідно до закону;</w:t>
      </w:r>
    </w:p>
    <w:p w14:paraId="6AE637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0" w:name="n15286"/>
      <w:bookmarkEnd w:id="4050"/>
      <w:r w:rsidRPr="008B264B">
        <w:rPr>
          <w:rFonts w:ascii="Times New Roman" w:eastAsia="Times New Roman" w:hAnsi="Times New Roman" w:cs="Times New Roman"/>
          <w:i/>
          <w:iCs/>
          <w:color w:val="000000"/>
          <w:sz w:val="24"/>
          <w:szCs w:val="24"/>
          <w:lang/>
        </w:rPr>
        <w:t>{Абзац другий підпункту 140.5.4 пункту 140.5 статті 140 із змінами, внесеними згідно із Законом </w:t>
      </w:r>
      <w:hyperlink r:id="rId2205" w:anchor="n1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CFD0D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1" w:name="n10729"/>
      <w:bookmarkEnd w:id="4051"/>
      <w:r w:rsidRPr="008B264B">
        <w:rPr>
          <w:rFonts w:ascii="Times New Roman" w:eastAsia="Times New Roman" w:hAnsi="Times New Roman" w:cs="Times New Roman"/>
          <w:color w:val="000000"/>
          <w:sz w:val="24"/>
          <w:szCs w:val="24"/>
          <w:lang/>
        </w:rPr>
        <w:t>нерезидентів (у тому числі пов’язаних осіб - нерезидентів), зареєстрованих у державах (на територіях), включених до переліку держав (територій), затвердженого Кабінетом Міністрів України відповідно до </w:t>
      </w:r>
      <w:hyperlink r:id="rId2206" w:anchor="n10886" w:history="1">
        <w:r w:rsidRPr="008B264B">
          <w:rPr>
            <w:rFonts w:ascii="Times New Roman" w:eastAsia="Times New Roman" w:hAnsi="Times New Roman" w:cs="Times New Roman"/>
            <w:color w:val="0000FF"/>
            <w:sz w:val="24"/>
            <w:szCs w:val="24"/>
            <w:u w:val="single"/>
            <w:lang/>
          </w:rPr>
          <w:t>підпункту 39.2.1.2</w:t>
        </w:r>
      </w:hyperlink>
      <w:r w:rsidRPr="008B264B">
        <w:rPr>
          <w:rFonts w:ascii="Times New Roman" w:eastAsia="Times New Roman" w:hAnsi="Times New Roman" w:cs="Times New Roman"/>
          <w:color w:val="000000"/>
          <w:sz w:val="24"/>
          <w:szCs w:val="24"/>
          <w:lang/>
        </w:rPr>
        <w:t> підпункту 39.2.1 пункту 39.2 статті 39 цього Кодексу;</w:t>
      </w:r>
    </w:p>
    <w:p w14:paraId="32EB0A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2" w:name="n14837"/>
      <w:bookmarkEnd w:id="4052"/>
      <w:r w:rsidRPr="008B264B">
        <w:rPr>
          <w:rFonts w:ascii="Times New Roman" w:eastAsia="Times New Roman" w:hAnsi="Times New Roman" w:cs="Times New Roman"/>
          <w:color w:val="000000"/>
          <w:sz w:val="24"/>
          <w:szCs w:val="24"/>
          <w:lang/>
        </w:rPr>
        <w:t>нерезидентів, організаційно-правова форма яких включена до переліку, затвердженого Кабінетом Міністрів України відповідно до </w:t>
      </w:r>
      <w:hyperlink r:id="rId2207" w:anchor="n13621" w:history="1">
        <w:r w:rsidRPr="008B264B">
          <w:rPr>
            <w:rFonts w:ascii="Times New Roman" w:eastAsia="Times New Roman" w:hAnsi="Times New Roman" w:cs="Times New Roman"/>
            <w:color w:val="0000FF"/>
            <w:sz w:val="24"/>
            <w:szCs w:val="24"/>
            <w:u w:val="single"/>
            <w:lang/>
          </w:rPr>
          <w:t>підпункту "г"</w:t>
        </w:r>
      </w:hyperlink>
      <w:r w:rsidRPr="008B264B">
        <w:rPr>
          <w:rFonts w:ascii="Times New Roman" w:eastAsia="Times New Roman" w:hAnsi="Times New Roman" w:cs="Times New Roman"/>
          <w:color w:val="000000"/>
          <w:sz w:val="24"/>
          <w:szCs w:val="24"/>
          <w:lang/>
        </w:rPr>
        <w:t> підпункту 39.2.1.1 підпункту 39.2.1 пункту 39.2 статті 39 цього Кодексу, які не сплачують податок на прибуток (корпоративний податок), у тому числі податок з доходів, отриманих за межами держави реєстрації таких нерезидентів, та/або не є податковими резидентами держави, в якій вони зареєстровані як юридичні особи.</w:t>
      </w:r>
    </w:p>
    <w:p w14:paraId="7DECD2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3" w:name="n10730"/>
      <w:bookmarkEnd w:id="4053"/>
      <w:r w:rsidRPr="008B264B">
        <w:rPr>
          <w:rFonts w:ascii="Times New Roman" w:eastAsia="Times New Roman" w:hAnsi="Times New Roman" w:cs="Times New Roman"/>
          <w:color w:val="000000"/>
          <w:sz w:val="24"/>
          <w:szCs w:val="24"/>
          <w:lang/>
        </w:rPr>
        <w:t>Вимоги цього підпункту не застосовуються платником податку, якщо операція не є контрольованою та сума таких витрат підтверджується платником податку за цінами, визначеними за принципом "витягнутої руки" відповідно до процедури, встановленої </w:t>
      </w:r>
      <w:hyperlink r:id="rId2208"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 але без подання звіту.</w:t>
      </w:r>
    </w:p>
    <w:p w14:paraId="014E09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4" w:name="n10731"/>
      <w:bookmarkEnd w:id="4054"/>
      <w:r w:rsidRPr="008B264B">
        <w:rPr>
          <w:rFonts w:ascii="Times New Roman" w:eastAsia="Times New Roman" w:hAnsi="Times New Roman" w:cs="Times New Roman"/>
          <w:color w:val="000000"/>
          <w:sz w:val="24"/>
          <w:szCs w:val="24"/>
          <w:lang/>
        </w:rPr>
        <w:t>При цьому, якщо ціна придбання товарів, у тому числі необоротних активів (крім активів з права користування за договорами оренди), робіт та послуг перевищує їх ціну, визначену за принципом "витягнутої руки" відповідно до процедури, встановленої </w:t>
      </w:r>
      <w:hyperlink r:id="rId2209"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 коригування фінансового результату до оподаткування здійснюється на розмір різниці між вартістю придбання та вартістю, визначеною виходячи з рівня ціни, визначеної за принципом "витягнутої руки".</w:t>
      </w:r>
    </w:p>
    <w:p w14:paraId="29D43D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5" w:name="n15287"/>
      <w:bookmarkEnd w:id="4055"/>
      <w:r w:rsidRPr="008B264B">
        <w:rPr>
          <w:rFonts w:ascii="Times New Roman" w:eastAsia="Times New Roman" w:hAnsi="Times New Roman" w:cs="Times New Roman"/>
          <w:i/>
          <w:iCs/>
          <w:color w:val="000000"/>
          <w:sz w:val="24"/>
          <w:szCs w:val="24"/>
          <w:lang/>
        </w:rPr>
        <w:t>{Абзац шостий підпункту 140.5.4 пункту 140.5 статті 140 із змінами, внесеними згідно із Законом </w:t>
      </w:r>
      <w:hyperlink r:id="rId2210" w:anchor="n1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E5A8D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6" w:name="n14089"/>
      <w:bookmarkEnd w:id="4056"/>
      <w:r w:rsidRPr="008B264B">
        <w:rPr>
          <w:rFonts w:ascii="Times New Roman" w:eastAsia="Times New Roman" w:hAnsi="Times New Roman" w:cs="Times New Roman"/>
          <w:i/>
          <w:iCs/>
          <w:color w:val="000000"/>
          <w:sz w:val="24"/>
          <w:szCs w:val="24"/>
          <w:lang/>
        </w:rPr>
        <w:t>{Підпункт 140.5.4 пункту 140.5 статті 140 із змінами, внесеними згідно із Законом </w:t>
      </w:r>
      <w:hyperlink r:id="rId2211" w:anchor="n49"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в редакції Законів </w:t>
      </w:r>
      <w:hyperlink r:id="rId2212" w:anchor="n92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213" w:anchor="n22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2F3E3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7" w:name="n10732"/>
      <w:bookmarkEnd w:id="4057"/>
      <w:r w:rsidRPr="008B264B">
        <w:rPr>
          <w:rFonts w:ascii="Times New Roman" w:eastAsia="Times New Roman" w:hAnsi="Times New Roman" w:cs="Times New Roman"/>
          <w:i/>
          <w:iCs/>
          <w:color w:val="000000"/>
          <w:sz w:val="24"/>
          <w:szCs w:val="24"/>
          <w:lang/>
        </w:rPr>
        <w:t>{Підпункт 140.5.5 пункту 140.5 статті 140 виключено на підставі Закону </w:t>
      </w:r>
      <w:hyperlink r:id="rId2214" w:anchor="n93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63B0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8" w:name="n10735"/>
      <w:bookmarkEnd w:id="4058"/>
      <w:r w:rsidRPr="008B264B">
        <w:rPr>
          <w:rFonts w:ascii="Times New Roman" w:eastAsia="Times New Roman" w:hAnsi="Times New Roman" w:cs="Times New Roman"/>
          <w:color w:val="000000"/>
          <w:sz w:val="24"/>
          <w:szCs w:val="24"/>
          <w:lang/>
        </w:rPr>
        <w:t>140.5.6. на суму витрат по нарахуванню роялті (крім операцій, визнаних контрольованими відповідно до </w:t>
      </w:r>
      <w:hyperlink r:id="rId2215"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на користь нерезидента (у тому числі нерезидента, зареєстрованого у державах (на територіях), зазначених у </w:t>
      </w:r>
      <w:hyperlink r:id="rId2216" w:anchor="n10886" w:history="1">
        <w:r w:rsidRPr="008B264B">
          <w:rPr>
            <w:rFonts w:ascii="Times New Roman" w:eastAsia="Times New Roman" w:hAnsi="Times New Roman" w:cs="Times New Roman"/>
            <w:color w:val="0000FF"/>
            <w:sz w:val="24"/>
            <w:szCs w:val="24"/>
            <w:u w:val="single"/>
            <w:lang/>
          </w:rPr>
          <w:t>підпункті 39.2.1.2</w:t>
        </w:r>
      </w:hyperlink>
      <w:r w:rsidRPr="008B264B">
        <w:rPr>
          <w:rFonts w:ascii="Times New Roman" w:eastAsia="Times New Roman" w:hAnsi="Times New Roman" w:cs="Times New Roman"/>
          <w:color w:val="000000"/>
          <w:sz w:val="24"/>
          <w:szCs w:val="24"/>
          <w:lang/>
        </w:rPr>
        <w:t> підпункту 39.2.1 пункту 39.2 статті 39 цього Кодексу), що перевищує суму доходів від роялті, збільшену на 4 відсотки чистого доходу від реалізації продукції (товарів, робіт, послуг) за даними фінансової звітності за рік, що передує звітному (крім суб’єктів господарювання, які провадять діяльність у сфері телебачення і радіомовлення відповідно до </w:t>
      </w:r>
      <w:hyperlink r:id="rId2217"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телебачення і радіомовлення"), а для банків - в обсязі, що перевищує 4 відсотки доходу від операційної діяльності (за вирахуванням податку на додану вартість) за рік, що передує звітному.</w:t>
      </w:r>
    </w:p>
    <w:p w14:paraId="488197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59" w:name="n10736"/>
      <w:bookmarkEnd w:id="4059"/>
      <w:r w:rsidRPr="008B264B">
        <w:rPr>
          <w:rFonts w:ascii="Times New Roman" w:eastAsia="Times New Roman" w:hAnsi="Times New Roman" w:cs="Times New Roman"/>
          <w:color w:val="000000"/>
          <w:sz w:val="24"/>
          <w:szCs w:val="24"/>
          <w:lang/>
        </w:rPr>
        <w:t>Вимоги цього підпункту не застосовуються платником податку, якщо:</w:t>
      </w:r>
    </w:p>
    <w:p w14:paraId="2EA8F4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0" w:name="n10737"/>
      <w:bookmarkEnd w:id="4060"/>
      <w:r w:rsidRPr="008B264B">
        <w:rPr>
          <w:rFonts w:ascii="Times New Roman" w:eastAsia="Times New Roman" w:hAnsi="Times New Roman" w:cs="Times New Roman"/>
          <w:color w:val="000000"/>
          <w:sz w:val="24"/>
          <w:szCs w:val="24"/>
          <w:lang/>
        </w:rPr>
        <w:lastRenderedPageBreak/>
        <w:t>операція не є контрольованою та сума таких витрат підтверджується платником податку за цінами, визначеними за принципом "витягнутої руки", відповідно до процедури, встановленої </w:t>
      </w:r>
      <w:hyperlink r:id="rId2218"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 але без подання звіту;</w:t>
      </w:r>
    </w:p>
    <w:p w14:paraId="22B9B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1" w:name="n14090"/>
      <w:bookmarkEnd w:id="4061"/>
      <w:r w:rsidRPr="008B264B">
        <w:rPr>
          <w:rFonts w:ascii="Times New Roman" w:eastAsia="Times New Roman" w:hAnsi="Times New Roman" w:cs="Times New Roman"/>
          <w:i/>
          <w:iCs/>
          <w:color w:val="000000"/>
          <w:sz w:val="24"/>
          <w:szCs w:val="24"/>
          <w:lang/>
        </w:rPr>
        <w:t>{Підпункт 140.5.6 пункту 140.5 статті 140 в редакції Закону </w:t>
      </w:r>
      <w:hyperlink r:id="rId2219" w:anchor="n9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DCA8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2" w:name="n10738"/>
      <w:bookmarkEnd w:id="4062"/>
      <w:r w:rsidRPr="008B264B">
        <w:rPr>
          <w:rFonts w:ascii="Times New Roman" w:eastAsia="Times New Roman" w:hAnsi="Times New Roman" w:cs="Times New Roman"/>
          <w:color w:val="000000"/>
          <w:sz w:val="24"/>
          <w:szCs w:val="24"/>
          <w:lang/>
        </w:rPr>
        <w:t>140.5.7. на суму витрат по нарахуванню роялті у повному обсязі, якщо роялті нараховані на користь:</w:t>
      </w:r>
    </w:p>
    <w:p w14:paraId="3149D7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3" w:name="n10739"/>
      <w:bookmarkEnd w:id="4063"/>
      <w:r w:rsidRPr="008B264B">
        <w:rPr>
          <w:rFonts w:ascii="Times New Roman" w:eastAsia="Times New Roman" w:hAnsi="Times New Roman" w:cs="Times New Roman"/>
          <w:i/>
          <w:iCs/>
          <w:color w:val="000000"/>
          <w:sz w:val="24"/>
          <w:szCs w:val="24"/>
          <w:lang/>
        </w:rPr>
        <w:t>{Підпункт 1 підпункту 140.5.7 пункту 140.5 статті 140 виключено на підставі Закону </w:t>
      </w:r>
      <w:hyperlink r:id="rId2220" w:anchor="n9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8D596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4" w:name="n10740"/>
      <w:bookmarkEnd w:id="4064"/>
      <w:r w:rsidRPr="008B264B">
        <w:rPr>
          <w:rFonts w:ascii="Times New Roman" w:eastAsia="Times New Roman" w:hAnsi="Times New Roman" w:cs="Times New Roman"/>
          <w:color w:val="000000"/>
          <w:sz w:val="24"/>
          <w:szCs w:val="24"/>
          <w:lang/>
        </w:rPr>
        <w:t>2) нерезидента, який не є бенефіціарним (фактичним) отримувачем (власником) роялті, за виключенням випадків, коли бенефіціар (фактичний власник) надав право отримувати роялті іншим особам.</w:t>
      </w:r>
    </w:p>
    <w:p w14:paraId="34EF9A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5" w:name="n14709"/>
      <w:bookmarkEnd w:id="4065"/>
      <w:r w:rsidRPr="008B264B">
        <w:rPr>
          <w:rFonts w:ascii="Times New Roman" w:eastAsia="Times New Roman" w:hAnsi="Times New Roman" w:cs="Times New Roman"/>
          <w:color w:val="000000"/>
          <w:sz w:val="24"/>
          <w:szCs w:val="24"/>
          <w:lang/>
        </w:rPr>
        <w:t>Для цілей застосування цього підпункту у випадках, коли резиденти - суб’єкти кінематографії України сплачують роялті нерезидентам за субліцензійними договорами за використання або за надання права на використання аудіовізуальних творів (у тому числі фільмів), а також об’єктів авторського права та/або суміжних прав, що використовуються при виробництві (створенні) аудіовізуальних творів (у тому числі фільмів), такі нерезиденти вважаються бенефіціарними (фактичними) отримувачами (власниками) щодо таких роялті;</w:t>
      </w:r>
    </w:p>
    <w:p w14:paraId="6715BC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6" w:name="n14708"/>
      <w:bookmarkEnd w:id="4066"/>
      <w:r w:rsidRPr="008B264B">
        <w:rPr>
          <w:rFonts w:ascii="Times New Roman" w:eastAsia="Times New Roman" w:hAnsi="Times New Roman" w:cs="Times New Roman"/>
          <w:i/>
          <w:iCs/>
          <w:color w:val="000000"/>
          <w:sz w:val="24"/>
          <w:szCs w:val="24"/>
          <w:lang/>
        </w:rPr>
        <w:t>{Підпункт 2 підпункту 140.5.7 пункту 140.5 статті 140 доповнено абзацом другим згідно із Законом </w:t>
      </w:r>
      <w:hyperlink r:id="rId2221" w:anchor="n13"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47E2B4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7" w:name="n10741"/>
      <w:bookmarkEnd w:id="4067"/>
      <w:r w:rsidRPr="008B264B">
        <w:rPr>
          <w:rFonts w:ascii="Times New Roman" w:eastAsia="Times New Roman" w:hAnsi="Times New Roman" w:cs="Times New Roman"/>
          <w:color w:val="000000"/>
          <w:sz w:val="24"/>
          <w:szCs w:val="24"/>
          <w:lang/>
        </w:rPr>
        <w:t>3) нерезидента щодо об’єктів, права інтелектуальної власності щодо яких вперше виникли у резидента України.</w:t>
      </w:r>
    </w:p>
    <w:p w14:paraId="5F39D5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8" w:name="n10742"/>
      <w:bookmarkEnd w:id="4068"/>
      <w:r w:rsidRPr="008B264B">
        <w:rPr>
          <w:rFonts w:ascii="Times New Roman" w:eastAsia="Times New Roman" w:hAnsi="Times New Roman" w:cs="Times New Roman"/>
          <w:color w:val="000000"/>
          <w:sz w:val="24"/>
          <w:szCs w:val="24"/>
          <w:lang/>
        </w:rPr>
        <w:t>У разі виникнення розбіжностей між контролюючим органом та платником податку стосовно визначення особи, у якої вперше виникли (були набуті) права інтелектуальної власності на об’єкт інтелектуальної власності, такі контролюючі органи зобов’язані звернутися до центрального органу виконавчої влади, що реалізує державну політику у сфері інтелектуальної власності, для отримання відповідного висновку.</w:t>
      </w:r>
    </w:p>
    <w:p w14:paraId="48BD4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69" w:name="n14711"/>
      <w:bookmarkEnd w:id="4069"/>
      <w:r w:rsidRPr="008B264B">
        <w:rPr>
          <w:rFonts w:ascii="Times New Roman" w:eastAsia="Times New Roman" w:hAnsi="Times New Roman" w:cs="Times New Roman"/>
          <w:color w:val="000000"/>
          <w:sz w:val="24"/>
          <w:szCs w:val="24"/>
          <w:lang/>
        </w:rPr>
        <w:t>Вимоги цього підпункту не застосовуються до випадків нарахування суб’єктом кінематографії роялті за використання об’єктів права інтелектуальної власності (фільмів, літературних творів, музичних творів, творів образотворчого мистецтва, фотографічних творів, фонограм, відеограм), крім випадків, коли резидент України - суб’єкт кінематографії, у якого виникли майнові авторські та суміжні права внаслідок створення (виготовлення) ним вказаних творів, якщо він у подальшому передав чи здійснив відчуження майнових авторських або суміжних прав нерезиденту та здійснює нарахування роялті за використання цього об’єкта;</w:t>
      </w:r>
    </w:p>
    <w:p w14:paraId="205149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0" w:name="n14710"/>
      <w:bookmarkEnd w:id="4070"/>
      <w:r w:rsidRPr="008B264B">
        <w:rPr>
          <w:rFonts w:ascii="Times New Roman" w:eastAsia="Times New Roman" w:hAnsi="Times New Roman" w:cs="Times New Roman"/>
          <w:i/>
          <w:iCs/>
          <w:color w:val="000000"/>
          <w:sz w:val="24"/>
          <w:szCs w:val="24"/>
          <w:lang/>
        </w:rPr>
        <w:t>{Підпункт 3 підпункту 140.5.7 пункту 140.5 статті 140 доповнено абзацом третім згідно із Законом </w:t>
      </w:r>
      <w:hyperlink r:id="rId2222" w:anchor="n15"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697D0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1" w:name="n10743"/>
      <w:bookmarkEnd w:id="4071"/>
      <w:r w:rsidRPr="008B264B">
        <w:rPr>
          <w:rFonts w:ascii="Times New Roman" w:eastAsia="Times New Roman" w:hAnsi="Times New Roman" w:cs="Times New Roman"/>
          <w:color w:val="000000"/>
          <w:sz w:val="24"/>
          <w:szCs w:val="24"/>
          <w:lang/>
        </w:rPr>
        <w:t>4) нерезидента, який не підлягає оподаткуванню у відношенні роялті в державі, резидентом якої він є;</w:t>
      </w:r>
    </w:p>
    <w:p w14:paraId="7D0096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2" w:name="n10744"/>
      <w:bookmarkEnd w:id="4072"/>
      <w:r w:rsidRPr="008B264B">
        <w:rPr>
          <w:rFonts w:ascii="Times New Roman" w:eastAsia="Times New Roman" w:hAnsi="Times New Roman" w:cs="Times New Roman"/>
          <w:color w:val="000000"/>
          <w:sz w:val="24"/>
          <w:szCs w:val="24"/>
          <w:lang/>
        </w:rPr>
        <w:t>5) особи, яка сплачує податок у складі інших податків, крім фізичних осіб, які оподатковуються в порядку, встановленому </w:t>
      </w:r>
      <w:hyperlink r:id="rId2223"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w:t>
      </w:r>
    </w:p>
    <w:p w14:paraId="1A994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3" w:name="n10745"/>
      <w:bookmarkEnd w:id="4073"/>
      <w:r w:rsidRPr="008B264B">
        <w:rPr>
          <w:rFonts w:ascii="Times New Roman" w:eastAsia="Times New Roman" w:hAnsi="Times New Roman" w:cs="Times New Roman"/>
          <w:color w:val="000000"/>
          <w:sz w:val="24"/>
          <w:szCs w:val="24"/>
          <w:lang/>
        </w:rPr>
        <w:t>6) юридичної особи, яка відповідно до цього Кодексу звільнена від сплати цього податку чи сплачує цей податок за ставкою, іншою, ніж встановлена в </w:t>
      </w:r>
      <w:hyperlink r:id="rId2224" w:anchor="n10643" w:history="1">
        <w:r w:rsidRPr="008B264B">
          <w:rPr>
            <w:rFonts w:ascii="Times New Roman" w:eastAsia="Times New Roman" w:hAnsi="Times New Roman" w:cs="Times New Roman"/>
            <w:color w:val="0000FF"/>
            <w:sz w:val="24"/>
            <w:szCs w:val="24"/>
            <w:u w:val="single"/>
            <w:lang/>
          </w:rPr>
          <w:t>пункті 136.1</w:t>
        </w:r>
      </w:hyperlink>
      <w:r w:rsidRPr="008B264B">
        <w:rPr>
          <w:rFonts w:ascii="Times New Roman" w:eastAsia="Times New Roman" w:hAnsi="Times New Roman" w:cs="Times New Roman"/>
          <w:color w:val="000000"/>
          <w:sz w:val="24"/>
          <w:szCs w:val="24"/>
          <w:lang/>
        </w:rPr>
        <w:t> статті 136 цього Кодексу;</w:t>
      </w:r>
    </w:p>
    <w:p w14:paraId="066203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4" w:name="n10746"/>
      <w:bookmarkEnd w:id="4074"/>
      <w:r w:rsidRPr="008B264B">
        <w:rPr>
          <w:rFonts w:ascii="Times New Roman" w:eastAsia="Times New Roman" w:hAnsi="Times New Roman" w:cs="Times New Roman"/>
          <w:i/>
          <w:iCs/>
          <w:color w:val="000000"/>
          <w:sz w:val="24"/>
          <w:szCs w:val="24"/>
          <w:lang/>
        </w:rPr>
        <w:t>{Абзац дев'ятий підпункту 140.5.7 пункту 140.5 статті 140 виключено на підставі Закону </w:t>
      </w:r>
      <w:hyperlink r:id="rId2225" w:anchor="n9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334B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5" w:name="n10747"/>
      <w:bookmarkEnd w:id="4075"/>
      <w:r w:rsidRPr="008B264B">
        <w:rPr>
          <w:rFonts w:ascii="Times New Roman" w:eastAsia="Times New Roman" w:hAnsi="Times New Roman" w:cs="Times New Roman"/>
          <w:i/>
          <w:iCs/>
          <w:color w:val="000000"/>
          <w:sz w:val="24"/>
          <w:szCs w:val="24"/>
          <w:lang/>
        </w:rPr>
        <w:t>{Абзац десятий підпункту 140.5.7 пункту 140.5 статті 140 виключено на підставі Закону </w:t>
      </w:r>
      <w:hyperlink r:id="rId2226" w:anchor="n9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FDE97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6" w:name="n10748"/>
      <w:bookmarkEnd w:id="4076"/>
      <w:r w:rsidRPr="008B264B">
        <w:rPr>
          <w:rFonts w:ascii="Times New Roman" w:eastAsia="Times New Roman" w:hAnsi="Times New Roman" w:cs="Times New Roman"/>
          <w:i/>
          <w:iCs/>
          <w:color w:val="000000"/>
          <w:sz w:val="24"/>
          <w:szCs w:val="24"/>
          <w:lang/>
        </w:rPr>
        <w:lastRenderedPageBreak/>
        <w:t>{Абзац одинадцятий підпункту 140.5.7 пункту 140.5 статті 140 виключено на підставі Закону </w:t>
      </w:r>
      <w:hyperlink r:id="rId2227" w:anchor="n9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95AB7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7" w:name="n10749"/>
      <w:bookmarkEnd w:id="4077"/>
      <w:r w:rsidRPr="008B264B">
        <w:rPr>
          <w:rFonts w:ascii="Times New Roman" w:eastAsia="Times New Roman" w:hAnsi="Times New Roman" w:cs="Times New Roman"/>
          <w:i/>
          <w:iCs/>
          <w:color w:val="000000"/>
          <w:sz w:val="24"/>
          <w:szCs w:val="24"/>
          <w:lang/>
        </w:rPr>
        <w:t>{Абзац дванадцятий підпункту 140.5.7 пункту 140.5 статті 140 виключено на підставі Закону </w:t>
      </w:r>
      <w:hyperlink r:id="rId2228" w:anchor="n9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4513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8" w:name="n10750"/>
      <w:bookmarkEnd w:id="4078"/>
      <w:r w:rsidRPr="008B264B">
        <w:rPr>
          <w:rFonts w:ascii="Times New Roman" w:eastAsia="Times New Roman" w:hAnsi="Times New Roman" w:cs="Times New Roman"/>
          <w:color w:val="000000"/>
          <w:sz w:val="24"/>
          <w:szCs w:val="24"/>
          <w:lang/>
        </w:rPr>
        <w:t>140.5.8. на суму відсотків та дооцінки, врахованих у фінансовому результаті до оподаткування у поточному податковому (звітному) періоді на інструменти власного капіталу, перекласифіковані у фінансові зобов’язання відповідно до національних положень (стандартів) бухгалтерського обліку або міжнародних стандартів фінансової звітності;</w:t>
      </w:r>
    </w:p>
    <w:p w14:paraId="5D197D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79" w:name="n10751"/>
      <w:bookmarkEnd w:id="4079"/>
      <w:r w:rsidRPr="008B264B">
        <w:rPr>
          <w:rFonts w:ascii="Times New Roman" w:eastAsia="Times New Roman" w:hAnsi="Times New Roman" w:cs="Times New Roman"/>
          <w:color w:val="000000"/>
          <w:sz w:val="24"/>
          <w:szCs w:val="24"/>
          <w:lang/>
        </w:rPr>
        <w:t>140.5.9. на суму коштів або вартості товарів, виконаних робіт, наданих послуг, безоплатно перерахованих (переданих) протягом звітного (податкового) року неприбутковим організаціям, внесеним до Реєстру неприбуткових установ та організацій на дату такого перерахування коштів, передачі товарів, робіт, послуг (крім неприбуткової організації, яка є об’єднанням страховиків, якщо участь страховика у такому об’єднанні є умовою проведення діяльності такого страховика відповідно до закону, та неприбуткових організацій, до яких застосовуються положення </w:t>
      </w:r>
      <w:hyperlink r:id="rId2229" w:anchor="n14713" w:history="1">
        <w:r w:rsidRPr="008B264B">
          <w:rPr>
            <w:rFonts w:ascii="Times New Roman" w:eastAsia="Times New Roman" w:hAnsi="Times New Roman" w:cs="Times New Roman"/>
            <w:color w:val="0000FF"/>
            <w:sz w:val="24"/>
            <w:szCs w:val="24"/>
            <w:u w:val="single"/>
            <w:lang/>
          </w:rPr>
          <w:t>підпункту 140.5.13</w:t>
        </w:r>
      </w:hyperlink>
      <w:r w:rsidRPr="008B264B">
        <w:rPr>
          <w:rFonts w:ascii="Times New Roman" w:eastAsia="Times New Roman" w:hAnsi="Times New Roman" w:cs="Times New Roman"/>
          <w:color w:val="000000"/>
          <w:sz w:val="24"/>
          <w:szCs w:val="24"/>
          <w:lang/>
        </w:rPr>
        <w:t> цього пункту), у розмірі, що перевищує 4 відсотки оподатковуваного прибутку попереднього звітного року;</w:t>
      </w:r>
    </w:p>
    <w:p w14:paraId="35F554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0" w:name="n12562"/>
      <w:bookmarkEnd w:id="4080"/>
      <w:r w:rsidRPr="008B264B">
        <w:rPr>
          <w:rFonts w:ascii="Times New Roman" w:eastAsia="Times New Roman" w:hAnsi="Times New Roman" w:cs="Times New Roman"/>
          <w:i/>
          <w:iCs/>
          <w:color w:val="000000"/>
          <w:sz w:val="24"/>
          <w:szCs w:val="24"/>
          <w:lang/>
        </w:rPr>
        <w:t>{Підпункт 140.5.9 пункту 140.5 статті 140 в редакції Законів </w:t>
      </w:r>
      <w:hyperlink r:id="rId2230" w:anchor="n51"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w:t>
      </w:r>
      <w:hyperlink r:id="rId2231" w:anchor="n9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232" w:anchor="n23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FC598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1" w:name="n14092"/>
      <w:bookmarkEnd w:id="4081"/>
      <w:r w:rsidRPr="008B264B">
        <w:rPr>
          <w:rFonts w:ascii="Times New Roman" w:eastAsia="Times New Roman" w:hAnsi="Times New Roman" w:cs="Times New Roman"/>
          <w:color w:val="000000"/>
          <w:sz w:val="24"/>
          <w:szCs w:val="24"/>
          <w:lang/>
        </w:rPr>
        <w:t>140.5.10. на суму перерахованої безповоротної фінансової допомоги (безоплатно наданих товарів, робіт, послуг) особам, що не є платниками податку (крім фізичних осіб), та платникам податку, які оподатковуються за ставкою 0 відсотків відповідно до </w:t>
      </w:r>
      <w:hyperlink r:id="rId2233" w:anchor="n14466" w:history="1">
        <w:r w:rsidRPr="008B264B">
          <w:rPr>
            <w:rFonts w:ascii="Times New Roman" w:eastAsia="Times New Roman" w:hAnsi="Times New Roman" w:cs="Times New Roman"/>
            <w:color w:val="0000FF"/>
            <w:sz w:val="24"/>
            <w:szCs w:val="24"/>
            <w:u w:val="single"/>
            <w:lang/>
          </w:rPr>
          <w:t>пункту 44</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 крім безповоротної фінансової допомоги (безоплатно наданих товарів, робіт, послуг), перерахованої неприбутковим організаціям, внесеним до Реєстру неприбуткових установ та організацій на дату такого перерахування коштів, передачі товарів, робіт, послуг, для яких застосовується положення підпункту 140.5.9 цього пункту;</w:t>
      </w:r>
    </w:p>
    <w:p w14:paraId="7A6AB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2" w:name="n14839"/>
      <w:bookmarkEnd w:id="4082"/>
      <w:r w:rsidRPr="008B264B">
        <w:rPr>
          <w:rFonts w:ascii="Times New Roman" w:eastAsia="Times New Roman" w:hAnsi="Times New Roman" w:cs="Times New Roman"/>
          <w:color w:val="000000"/>
          <w:sz w:val="24"/>
          <w:szCs w:val="24"/>
          <w:lang/>
        </w:rPr>
        <w:t>на суму повної або часткової компенсації один раз на календарний рік вартості путівок на відпочинок, оздоровлення та лікування на території України платника податку та/або його дітей віком до 18 років роботодавцем, який є платником податку на прибуток, якщо така компенсація відповідно до цього Кодексу не включається до загального місячного (річного) оподатковуваного доходу фізичної особи - платника податку на доходи фізичних осіб;</w:t>
      </w:r>
    </w:p>
    <w:p w14:paraId="6B4555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3" w:name="n14838"/>
      <w:bookmarkEnd w:id="4083"/>
      <w:r w:rsidRPr="008B264B">
        <w:rPr>
          <w:rFonts w:ascii="Times New Roman" w:eastAsia="Times New Roman" w:hAnsi="Times New Roman" w:cs="Times New Roman"/>
          <w:i/>
          <w:iCs/>
          <w:color w:val="000000"/>
          <w:sz w:val="24"/>
          <w:szCs w:val="24"/>
          <w:lang/>
        </w:rPr>
        <w:t>{Підпункт 140.5.10 пункту 140.5 статті 140 доповнено абзацом другим згідно із Законом </w:t>
      </w:r>
      <w:hyperlink r:id="rId2234" w:anchor="n23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DDED4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4" w:name="n14096"/>
      <w:bookmarkEnd w:id="4084"/>
      <w:r w:rsidRPr="008B264B">
        <w:rPr>
          <w:rFonts w:ascii="Times New Roman" w:eastAsia="Times New Roman" w:hAnsi="Times New Roman" w:cs="Times New Roman"/>
          <w:i/>
          <w:iCs/>
          <w:color w:val="000000"/>
          <w:sz w:val="24"/>
          <w:szCs w:val="24"/>
          <w:lang/>
        </w:rPr>
        <w:t>{Пункт 140.5 статті 140 доповнено підпунктом 140.5.10 згідно із Законом </w:t>
      </w:r>
      <w:hyperlink r:id="rId2235" w:anchor="n9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7D08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5" w:name="n14093"/>
      <w:bookmarkEnd w:id="4085"/>
      <w:r w:rsidRPr="008B264B">
        <w:rPr>
          <w:rFonts w:ascii="Times New Roman" w:eastAsia="Times New Roman" w:hAnsi="Times New Roman" w:cs="Times New Roman"/>
          <w:color w:val="000000"/>
          <w:sz w:val="24"/>
          <w:szCs w:val="24"/>
          <w:lang/>
        </w:rPr>
        <w:t>140.5.11. на суму витрат від визнаних штрафів, пені, неустойок, нарахованих відповідно до цивільного законодавства та цивільно-правових договорів на користь осіб, що не є платниками податку (крім фізичних осіб), та на користь платників податку, які оподатковуються за ставкою 0 відсотків відповідно до </w:t>
      </w:r>
      <w:hyperlink r:id="rId2236" w:anchor="n14466" w:history="1">
        <w:r w:rsidRPr="008B264B">
          <w:rPr>
            <w:rFonts w:ascii="Times New Roman" w:eastAsia="Times New Roman" w:hAnsi="Times New Roman" w:cs="Times New Roman"/>
            <w:color w:val="0000FF"/>
            <w:sz w:val="24"/>
            <w:szCs w:val="24"/>
            <w:u w:val="single"/>
            <w:lang/>
          </w:rPr>
          <w:t>пункту 44</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w:t>
      </w:r>
    </w:p>
    <w:p w14:paraId="7FC667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6" w:name="n14095"/>
      <w:bookmarkEnd w:id="4086"/>
      <w:r w:rsidRPr="008B264B">
        <w:rPr>
          <w:rFonts w:ascii="Times New Roman" w:eastAsia="Times New Roman" w:hAnsi="Times New Roman" w:cs="Times New Roman"/>
          <w:i/>
          <w:iCs/>
          <w:color w:val="000000"/>
          <w:sz w:val="24"/>
          <w:szCs w:val="24"/>
          <w:lang/>
        </w:rPr>
        <w:t>{Пункт 140.5 статті 140 доповнено підпунктом 140.5.11 згідно із Законом </w:t>
      </w:r>
      <w:hyperlink r:id="rId2237" w:anchor="n9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799B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7" w:name="n14094"/>
      <w:bookmarkEnd w:id="4087"/>
      <w:r w:rsidRPr="008B264B">
        <w:rPr>
          <w:rFonts w:ascii="Times New Roman" w:eastAsia="Times New Roman" w:hAnsi="Times New Roman" w:cs="Times New Roman"/>
          <w:color w:val="000000"/>
          <w:sz w:val="24"/>
          <w:szCs w:val="24"/>
          <w:lang/>
        </w:rPr>
        <w:t>140.5.12. на суму доходу, отриманого як оплата за товари (роботи, послуги), відвантажені (надані) під час перебування на спрощеній системі оподаткування. Положення цього підпункту не поширюються на платників податків, які були платниками єдиного податку четвертої групи.</w:t>
      </w:r>
    </w:p>
    <w:p w14:paraId="494504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8" w:name="n14091"/>
      <w:bookmarkEnd w:id="4088"/>
      <w:r w:rsidRPr="008B264B">
        <w:rPr>
          <w:rFonts w:ascii="Times New Roman" w:eastAsia="Times New Roman" w:hAnsi="Times New Roman" w:cs="Times New Roman"/>
          <w:i/>
          <w:iCs/>
          <w:color w:val="000000"/>
          <w:sz w:val="24"/>
          <w:szCs w:val="24"/>
          <w:lang/>
        </w:rPr>
        <w:t>{Пункт 140.5 статті 140 доповнено підпунктом 140.5.12 згідно із Законом </w:t>
      </w:r>
      <w:hyperlink r:id="rId2238" w:anchor="n9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239" w:anchor="n23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7DA87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89" w:name="n14713"/>
      <w:bookmarkEnd w:id="4089"/>
      <w:r w:rsidRPr="008B264B">
        <w:rPr>
          <w:rFonts w:ascii="Times New Roman" w:eastAsia="Times New Roman" w:hAnsi="Times New Roman" w:cs="Times New Roman"/>
          <w:color w:val="000000"/>
          <w:sz w:val="24"/>
          <w:szCs w:val="24"/>
          <w:lang/>
        </w:rPr>
        <w:lastRenderedPageBreak/>
        <w:t>140.5.13. на суму витрат, понесених платником податку у поточному звітному періоді за рахунок раніше отриманих субсидій для повернення частини кваліфікованих витрат відповідно до </w:t>
      </w:r>
      <w:hyperlink r:id="rId224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кінематографії в Україні", але не більше суми такої субсидії, здійснених при виробництві (створенні) фільму та включених до складу витрат поточного звітного періоду відповідно до національних положень (стандартів) бухгалтерського обліку або міжнародних стандартів фінансової звітності.</w:t>
      </w:r>
    </w:p>
    <w:p w14:paraId="157FF6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0" w:name="n14712"/>
      <w:bookmarkEnd w:id="4090"/>
      <w:r w:rsidRPr="008B264B">
        <w:rPr>
          <w:rFonts w:ascii="Times New Roman" w:eastAsia="Times New Roman" w:hAnsi="Times New Roman" w:cs="Times New Roman"/>
          <w:i/>
          <w:iCs/>
          <w:color w:val="000000"/>
          <w:sz w:val="24"/>
          <w:szCs w:val="24"/>
          <w:lang/>
        </w:rPr>
        <w:t>{Пункт 140.5 статті 140 доповнено підпунктом 140.5.13 згідно із Законом </w:t>
      </w:r>
      <w:hyperlink r:id="rId2241" w:anchor="n17"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6930C3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1" w:name="n14841"/>
      <w:bookmarkEnd w:id="4091"/>
      <w:r w:rsidRPr="008B264B">
        <w:rPr>
          <w:rFonts w:ascii="Times New Roman" w:eastAsia="Times New Roman" w:hAnsi="Times New Roman" w:cs="Times New Roman"/>
          <w:color w:val="000000"/>
          <w:sz w:val="24"/>
          <w:szCs w:val="24"/>
          <w:lang/>
        </w:rPr>
        <w:t>140.5.14. на суму коштів або вартості товарів, виконаних робіт, наданих послуг, безоплатно перерахованих (переданих) протягом звітного (податкового) року суб’єктам сфери фізичної культури і спорту, а саме дитячо-юнацьким спортивним школам, центрам олімпійської підготовки, школам вищої спортивної майстерності, центрам фізичної культури і спорту осіб з інвалідністю, спортивним федераціям з олімпійських видів спорту, що є неприбутковими організаціями, внесеними до Реєстру неприбуткових установ та організацій, на дату такого перерахування коштів, передачі товарів, робіт, послуг у розмірі, що перевищує 8 відсотків оподатковуваного прибутку попереднього звітного року.</w:t>
      </w:r>
    </w:p>
    <w:p w14:paraId="0EC62A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2" w:name="n14840"/>
      <w:bookmarkEnd w:id="4092"/>
      <w:r w:rsidRPr="008B264B">
        <w:rPr>
          <w:rFonts w:ascii="Times New Roman" w:eastAsia="Times New Roman" w:hAnsi="Times New Roman" w:cs="Times New Roman"/>
          <w:i/>
          <w:iCs/>
          <w:color w:val="000000"/>
          <w:sz w:val="24"/>
          <w:szCs w:val="24"/>
          <w:lang/>
        </w:rPr>
        <w:t>{Пункт 140.5 статті 140 доповнено підпунктом 140.5.14 згідно із Законом </w:t>
      </w:r>
      <w:hyperlink r:id="rId2242" w:anchor="n23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369A9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3" w:name="n10752"/>
      <w:bookmarkEnd w:id="4093"/>
      <w:r w:rsidRPr="008B264B">
        <w:rPr>
          <w:rFonts w:ascii="Times New Roman" w:eastAsia="Times New Roman" w:hAnsi="Times New Roman" w:cs="Times New Roman"/>
          <w:b/>
          <w:bCs/>
          <w:color w:val="000000"/>
          <w:sz w:val="24"/>
          <w:szCs w:val="24"/>
          <w:lang/>
        </w:rPr>
        <w:t>Стаття 141.</w:t>
      </w:r>
      <w:r w:rsidRPr="008B264B">
        <w:rPr>
          <w:rFonts w:ascii="Times New Roman" w:eastAsia="Times New Roman" w:hAnsi="Times New Roman" w:cs="Times New Roman"/>
          <w:color w:val="000000"/>
          <w:sz w:val="24"/>
          <w:szCs w:val="24"/>
          <w:lang/>
        </w:rPr>
        <w:t> Особливості оподаткування окремих видів діяльності та операцій</w:t>
      </w:r>
    </w:p>
    <w:p w14:paraId="6793BB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4" w:name="n10753"/>
      <w:bookmarkEnd w:id="4094"/>
      <w:r w:rsidRPr="008B264B">
        <w:rPr>
          <w:rFonts w:ascii="Times New Roman" w:eastAsia="Times New Roman" w:hAnsi="Times New Roman" w:cs="Times New Roman"/>
          <w:color w:val="000000"/>
          <w:sz w:val="24"/>
          <w:szCs w:val="24"/>
          <w:lang/>
        </w:rPr>
        <w:t>141.1. Особливості оподаткування страховика</w:t>
      </w:r>
    </w:p>
    <w:p w14:paraId="298F6E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5" w:name="n10754"/>
      <w:bookmarkEnd w:id="4095"/>
      <w:r w:rsidRPr="008B264B">
        <w:rPr>
          <w:rFonts w:ascii="Times New Roman" w:eastAsia="Times New Roman" w:hAnsi="Times New Roman" w:cs="Times New Roman"/>
          <w:color w:val="000000"/>
          <w:sz w:val="24"/>
          <w:szCs w:val="24"/>
          <w:lang/>
        </w:rPr>
        <w:t>141.1.1. Страховики сплачують податок на прибуток за ставкою, визначеною відповідно до </w:t>
      </w:r>
      <w:hyperlink r:id="rId2243" w:anchor="n10643" w:history="1">
        <w:r w:rsidRPr="008B264B">
          <w:rPr>
            <w:rFonts w:ascii="Times New Roman" w:eastAsia="Times New Roman" w:hAnsi="Times New Roman" w:cs="Times New Roman"/>
            <w:color w:val="0000FF"/>
            <w:sz w:val="24"/>
            <w:szCs w:val="24"/>
            <w:u w:val="single"/>
            <w:lang/>
          </w:rPr>
          <w:t>пункту 136.1</w:t>
        </w:r>
      </w:hyperlink>
      <w:r w:rsidRPr="008B264B">
        <w:rPr>
          <w:rFonts w:ascii="Times New Roman" w:eastAsia="Times New Roman" w:hAnsi="Times New Roman" w:cs="Times New Roman"/>
          <w:color w:val="000000"/>
          <w:sz w:val="24"/>
          <w:szCs w:val="24"/>
          <w:lang/>
        </w:rPr>
        <w:t> статті 136 цього розділу, та податок на дохід за ставкою, визначеною відповідно до </w:t>
      </w:r>
      <w:hyperlink r:id="rId2244" w:anchor="n10645" w:history="1">
        <w:r w:rsidRPr="008B264B">
          <w:rPr>
            <w:rFonts w:ascii="Times New Roman" w:eastAsia="Times New Roman" w:hAnsi="Times New Roman" w:cs="Times New Roman"/>
            <w:color w:val="0000FF"/>
            <w:sz w:val="24"/>
            <w:szCs w:val="24"/>
            <w:u w:val="single"/>
            <w:lang/>
          </w:rPr>
          <w:t>підпунктів 136.2.1</w:t>
        </w:r>
      </w:hyperlink>
      <w:r w:rsidRPr="008B264B">
        <w:rPr>
          <w:rFonts w:ascii="Times New Roman" w:eastAsia="Times New Roman" w:hAnsi="Times New Roman" w:cs="Times New Roman"/>
          <w:color w:val="000000"/>
          <w:sz w:val="24"/>
          <w:szCs w:val="24"/>
          <w:lang/>
        </w:rPr>
        <w:t> та </w:t>
      </w:r>
      <w:hyperlink r:id="rId2245" w:anchor="n10646" w:history="1">
        <w:r w:rsidRPr="008B264B">
          <w:rPr>
            <w:rFonts w:ascii="Times New Roman" w:eastAsia="Times New Roman" w:hAnsi="Times New Roman" w:cs="Times New Roman"/>
            <w:color w:val="0000FF"/>
            <w:sz w:val="24"/>
            <w:szCs w:val="24"/>
            <w:u w:val="single"/>
            <w:lang/>
          </w:rPr>
          <w:t>136.2.2</w:t>
        </w:r>
      </w:hyperlink>
      <w:r w:rsidRPr="008B264B">
        <w:rPr>
          <w:rFonts w:ascii="Times New Roman" w:eastAsia="Times New Roman" w:hAnsi="Times New Roman" w:cs="Times New Roman"/>
          <w:color w:val="000000"/>
          <w:sz w:val="24"/>
          <w:szCs w:val="24"/>
          <w:lang/>
        </w:rPr>
        <w:t> пункту 136.2 статті 136 цього Кодексу.</w:t>
      </w:r>
    </w:p>
    <w:p w14:paraId="7E905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6" w:name="n10755"/>
      <w:bookmarkEnd w:id="4096"/>
      <w:r w:rsidRPr="008B264B">
        <w:rPr>
          <w:rFonts w:ascii="Times New Roman" w:eastAsia="Times New Roman" w:hAnsi="Times New Roman" w:cs="Times New Roman"/>
          <w:color w:val="000000"/>
          <w:sz w:val="24"/>
          <w:szCs w:val="24"/>
          <w:lang/>
        </w:rPr>
        <w:t>Нарахований страховиком податок на дохід за ставкою, визначеною в </w:t>
      </w:r>
      <w:hyperlink r:id="rId2246" w:anchor="n10645" w:history="1">
        <w:r w:rsidRPr="008B264B">
          <w:rPr>
            <w:rFonts w:ascii="Times New Roman" w:eastAsia="Times New Roman" w:hAnsi="Times New Roman" w:cs="Times New Roman"/>
            <w:color w:val="0000FF"/>
            <w:sz w:val="24"/>
            <w:szCs w:val="24"/>
            <w:u w:val="single"/>
            <w:lang/>
          </w:rPr>
          <w:t>підпункті 136.2.1</w:t>
        </w:r>
      </w:hyperlink>
      <w:r w:rsidRPr="008B264B">
        <w:rPr>
          <w:rFonts w:ascii="Times New Roman" w:eastAsia="Times New Roman" w:hAnsi="Times New Roman" w:cs="Times New Roman"/>
          <w:color w:val="000000"/>
          <w:sz w:val="24"/>
          <w:szCs w:val="24"/>
          <w:lang/>
        </w:rPr>
        <w:t> пункту 136.2 статті 136 цього Кодексу, є різницею, яка зменшує фінансовий результат до оподаткування такого страховика.</w:t>
      </w:r>
    </w:p>
    <w:p w14:paraId="021372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7" w:name="n10756"/>
      <w:bookmarkEnd w:id="4097"/>
      <w:r w:rsidRPr="008B264B">
        <w:rPr>
          <w:rFonts w:ascii="Times New Roman" w:eastAsia="Times New Roman" w:hAnsi="Times New Roman" w:cs="Times New Roman"/>
          <w:color w:val="000000"/>
          <w:sz w:val="24"/>
          <w:szCs w:val="24"/>
          <w:lang/>
        </w:rPr>
        <w:t>141.1.2. Об’єкт оподаткування страховика, до якого застосовується ставка, визначена відповідно до </w:t>
      </w:r>
      <w:hyperlink r:id="rId2247" w:anchor="n10645" w:history="1">
        <w:r w:rsidRPr="008B264B">
          <w:rPr>
            <w:rFonts w:ascii="Times New Roman" w:eastAsia="Times New Roman" w:hAnsi="Times New Roman" w:cs="Times New Roman"/>
            <w:color w:val="0000FF"/>
            <w:sz w:val="24"/>
            <w:szCs w:val="24"/>
            <w:u w:val="single"/>
            <w:lang/>
          </w:rPr>
          <w:t>підпунктів 136.2.1</w:t>
        </w:r>
      </w:hyperlink>
      <w:r w:rsidRPr="008B264B">
        <w:rPr>
          <w:rFonts w:ascii="Times New Roman" w:eastAsia="Times New Roman" w:hAnsi="Times New Roman" w:cs="Times New Roman"/>
          <w:color w:val="000000"/>
          <w:sz w:val="24"/>
          <w:szCs w:val="24"/>
          <w:lang/>
        </w:rPr>
        <w:t> та </w:t>
      </w:r>
      <w:hyperlink r:id="rId2248" w:anchor="n10646" w:history="1">
        <w:r w:rsidRPr="008B264B">
          <w:rPr>
            <w:rFonts w:ascii="Times New Roman" w:eastAsia="Times New Roman" w:hAnsi="Times New Roman" w:cs="Times New Roman"/>
            <w:color w:val="0000FF"/>
            <w:sz w:val="24"/>
            <w:szCs w:val="24"/>
            <w:u w:val="single"/>
            <w:lang/>
          </w:rPr>
          <w:t>136.2.2</w:t>
        </w:r>
      </w:hyperlink>
      <w:r w:rsidRPr="008B264B">
        <w:rPr>
          <w:rFonts w:ascii="Times New Roman" w:eastAsia="Times New Roman" w:hAnsi="Times New Roman" w:cs="Times New Roman"/>
          <w:color w:val="000000"/>
          <w:sz w:val="24"/>
          <w:szCs w:val="24"/>
          <w:lang/>
        </w:rPr>
        <w:t> пункту 136.2 статті 136 цього Кодексу, розраховується як сума страхових платежів, страхових внесків, страхових премій, нарахованих за договорами страхування і співстрахування. При цьому страхові платежі, страхові внески, страхові премії за договорами співстрахування включаються до складу об’єкта оподаткування страховика тільки в розмірі його частки страхової премії, передбаченої договором співстрахування.</w:t>
      </w:r>
    </w:p>
    <w:p w14:paraId="3F0E3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8" w:name="n14098"/>
      <w:bookmarkEnd w:id="4098"/>
      <w:r w:rsidRPr="008B264B">
        <w:rPr>
          <w:rFonts w:ascii="Times New Roman" w:eastAsia="Times New Roman" w:hAnsi="Times New Roman" w:cs="Times New Roman"/>
          <w:color w:val="000000"/>
          <w:sz w:val="24"/>
          <w:szCs w:val="24"/>
          <w:lang/>
        </w:rPr>
        <w:t>Страхові платежі, страхові внески, страхові премії за договорами перестрахування до об’єкта оподаткування, до якого застосовується ставка, визначена відповідно до </w:t>
      </w:r>
      <w:hyperlink r:id="rId2249" w:anchor="n10645" w:history="1">
        <w:r w:rsidRPr="008B264B">
          <w:rPr>
            <w:rFonts w:ascii="Times New Roman" w:eastAsia="Times New Roman" w:hAnsi="Times New Roman" w:cs="Times New Roman"/>
            <w:color w:val="0000FF"/>
            <w:sz w:val="24"/>
            <w:szCs w:val="24"/>
            <w:u w:val="single"/>
            <w:lang/>
          </w:rPr>
          <w:t>підпунктів 136.2.1</w:t>
        </w:r>
      </w:hyperlink>
      <w:r w:rsidRPr="008B264B">
        <w:rPr>
          <w:rFonts w:ascii="Times New Roman" w:eastAsia="Times New Roman" w:hAnsi="Times New Roman" w:cs="Times New Roman"/>
          <w:color w:val="000000"/>
          <w:sz w:val="24"/>
          <w:szCs w:val="24"/>
          <w:lang/>
        </w:rPr>
        <w:t> і </w:t>
      </w:r>
      <w:hyperlink r:id="rId2250" w:anchor="n10646" w:history="1">
        <w:r w:rsidRPr="008B264B">
          <w:rPr>
            <w:rFonts w:ascii="Times New Roman" w:eastAsia="Times New Roman" w:hAnsi="Times New Roman" w:cs="Times New Roman"/>
            <w:color w:val="0000FF"/>
            <w:sz w:val="24"/>
            <w:szCs w:val="24"/>
            <w:u w:val="single"/>
            <w:lang/>
          </w:rPr>
          <w:t>136.2.2</w:t>
        </w:r>
      </w:hyperlink>
      <w:r w:rsidRPr="008B264B">
        <w:rPr>
          <w:rFonts w:ascii="Times New Roman" w:eastAsia="Times New Roman" w:hAnsi="Times New Roman" w:cs="Times New Roman"/>
          <w:color w:val="000000"/>
          <w:sz w:val="24"/>
          <w:szCs w:val="24"/>
          <w:lang/>
        </w:rPr>
        <w:t> пункту 136.2 статті 136 цього Кодексу, не включаються.</w:t>
      </w:r>
    </w:p>
    <w:p w14:paraId="1F001A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099" w:name="n14097"/>
      <w:bookmarkEnd w:id="4099"/>
      <w:r w:rsidRPr="008B264B">
        <w:rPr>
          <w:rFonts w:ascii="Times New Roman" w:eastAsia="Times New Roman" w:hAnsi="Times New Roman" w:cs="Times New Roman"/>
          <w:i/>
          <w:iCs/>
          <w:color w:val="000000"/>
          <w:sz w:val="24"/>
          <w:szCs w:val="24"/>
          <w:lang/>
        </w:rPr>
        <w:t>{Підпункт 141.1.2 пункту 141.1 статті 141 доповнено абзацом другим згідно із Законом </w:t>
      </w:r>
      <w:hyperlink r:id="rId2251" w:anchor="n9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F2F9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0" w:name="n10757"/>
      <w:bookmarkEnd w:id="4100"/>
      <w:r w:rsidRPr="008B264B">
        <w:rPr>
          <w:rFonts w:ascii="Times New Roman" w:eastAsia="Times New Roman" w:hAnsi="Times New Roman" w:cs="Times New Roman"/>
          <w:color w:val="000000"/>
          <w:sz w:val="24"/>
          <w:szCs w:val="24"/>
          <w:lang/>
        </w:rPr>
        <w:t>141.1.3. Фінансовий результат до оподаткування страховика збільшується:</w:t>
      </w:r>
    </w:p>
    <w:p w14:paraId="4152BD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1" w:name="n10758"/>
      <w:bookmarkEnd w:id="4101"/>
      <w:r w:rsidRPr="008B264B">
        <w:rPr>
          <w:rFonts w:ascii="Times New Roman" w:eastAsia="Times New Roman" w:hAnsi="Times New Roman" w:cs="Times New Roman"/>
          <w:color w:val="000000"/>
          <w:sz w:val="24"/>
          <w:szCs w:val="24"/>
          <w:lang/>
        </w:rPr>
        <w:t xml:space="preserve">на позитивну різницю між приростом (убутком) сформованих у відповідному звітному періоді відповідно до національних положень (стандартів) бухгалтерського обліку та/або міжнародних стандартів фінансової звітності страховими резервами (технічними, математичними, належних виплат страхових сум та іншими, формування яких передбачено законодавством у сфері страхування, крім тих, що не впливають на формування фінансового результату до оподаткування страховика) (за вирахуванням частки участі перестраховика в страхових резервах) та приростом (убутком) відповідних резервів, розрахованих за методикою, визначеною уповноваженим органом, що здійснює державне регулювання у сфері ринків фінансових послуг, за погодженням з центральним органом виконавчої влади, що забезпечує </w:t>
      </w:r>
      <w:r w:rsidRPr="008B264B">
        <w:rPr>
          <w:rFonts w:ascii="Times New Roman" w:eastAsia="Times New Roman" w:hAnsi="Times New Roman" w:cs="Times New Roman"/>
          <w:color w:val="000000"/>
          <w:sz w:val="24"/>
          <w:szCs w:val="24"/>
          <w:lang/>
        </w:rPr>
        <w:lastRenderedPageBreak/>
        <w:t>формування та реалізує державну фінансову політику (за вирахуванням частки участі перестраховика в страхових резервах);</w:t>
      </w:r>
    </w:p>
    <w:p w14:paraId="1E3864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2" w:name="n15289"/>
      <w:bookmarkEnd w:id="4102"/>
      <w:r w:rsidRPr="008B264B">
        <w:rPr>
          <w:rFonts w:ascii="Times New Roman" w:eastAsia="Times New Roman" w:hAnsi="Times New Roman" w:cs="Times New Roman"/>
          <w:color w:val="000000"/>
          <w:sz w:val="24"/>
          <w:szCs w:val="24"/>
          <w:lang/>
        </w:rPr>
        <w:t>на позитивну різницю між сумою будь-яких виплат (винагород) страховим посередникам та іншим особам за надані послуги щодо укладання (пролонгації) договорів страхування та сумою нормативу витрат на виплати страховим посередникам, розрахованих за методикою, визначеною уповноваженим органом, що здійснює державне регулювання у сфері ринків фінансових послуг, за погодженням з центральним органом виконавчої влади, що забезпечує формування та реалізує державну фінансову політику.</w:t>
      </w:r>
    </w:p>
    <w:p w14:paraId="7476F4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3" w:name="n15288"/>
      <w:bookmarkEnd w:id="4103"/>
      <w:r w:rsidRPr="008B264B">
        <w:rPr>
          <w:rFonts w:ascii="Times New Roman" w:eastAsia="Times New Roman" w:hAnsi="Times New Roman" w:cs="Times New Roman"/>
          <w:i/>
          <w:iCs/>
          <w:color w:val="000000"/>
          <w:sz w:val="24"/>
          <w:szCs w:val="24"/>
          <w:lang/>
        </w:rPr>
        <w:t>{Підпункт 141.1.3 пункту 141.1 статті 141 доповнено абзацом третім згідно із Законом </w:t>
      </w:r>
      <w:hyperlink r:id="rId2252" w:anchor="n18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2834D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4" w:name="n14099"/>
      <w:bookmarkEnd w:id="4104"/>
      <w:r w:rsidRPr="008B264B">
        <w:rPr>
          <w:rFonts w:ascii="Times New Roman" w:eastAsia="Times New Roman" w:hAnsi="Times New Roman" w:cs="Times New Roman"/>
          <w:i/>
          <w:iCs/>
          <w:color w:val="000000"/>
          <w:sz w:val="24"/>
          <w:szCs w:val="24"/>
          <w:lang/>
        </w:rPr>
        <w:t>{Підпункт 141.1.3 пункту 141.1 статті 141 в редакції Закону </w:t>
      </w:r>
      <w:hyperlink r:id="rId2253" w:anchor="n9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23F17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5" w:name="n10760"/>
      <w:bookmarkEnd w:id="4105"/>
      <w:r w:rsidRPr="008B264B">
        <w:rPr>
          <w:rFonts w:ascii="Times New Roman" w:eastAsia="Times New Roman" w:hAnsi="Times New Roman" w:cs="Times New Roman"/>
          <w:color w:val="000000"/>
          <w:sz w:val="24"/>
          <w:szCs w:val="24"/>
          <w:lang/>
        </w:rPr>
        <w:t>141.1.4. Фінансовий результат до оподаткування страховика зменшується:</w:t>
      </w:r>
    </w:p>
    <w:p w14:paraId="597985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6" w:name="n10761"/>
      <w:bookmarkEnd w:id="4106"/>
      <w:r w:rsidRPr="008B264B">
        <w:rPr>
          <w:rFonts w:ascii="Times New Roman" w:eastAsia="Times New Roman" w:hAnsi="Times New Roman" w:cs="Times New Roman"/>
          <w:color w:val="000000"/>
          <w:sz w:val="24"/>
          <w:szCs w:val="24"/>
          <w:lang/>
        </w:rPr>
        <w:t>на від’ємну різницю між приростом (убутком) сформованих у відповідному звітному періоді відповідно до національних положень (стандартів) бухгалтерського обліку та/або міжнародних стандартів фінансової звітності страховими резервами (технічними, математичними, належних виплат страхових сум та іншими, формування яких передбачено законодавством у сфері страхування, крім тих, які не впливають на формування фінансового результату до оподаткування страховика) (за вирахуванням частки участі перестраховика в страхових резервах) та приростом (убутком) відповідних резервів, розрахованих за методикою, визначеною уповноваженим органом, що здійснює державне регулювання у сфері ринків фінансових послуг, за погодженням з центральним органом виконавчої влади, що забезпечує формування та реалізує державну фінансову політику (за вирахуванням частки участі перестраховика в страхових резервах).</w:t>
      </w:r>
    </w:p>
    <w:p w14:paraId="26054F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7" w:name="n14103"/>
      <w:bookmarkEnd w:id="4107"/>
      <w:r w:rsidRPr="008B264B">
        <w:rPr>
          <w:rFonts w:ascii="Times New Roman" w:eastAsia="Times New Roman" w:hAnsi="Times New Roman" w:cs="Times New Roman"/>
          <w:i/>
          <w:iCs/>
          <w:color w:val="000000"/>
          <w:sz w:val="24"/>
          <w:szCs w:val="24"/>
          <w:lang/>
        </w:rPr>
        <w:t>{Підпункт 141.1.4 пункту 141.1 статті 141 в редакції Закону </w:t>
      </w:r>
      <w:hyperlink r:id="rId2254" w:anchor="n9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D38D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8" w:name="n10763"/>
      <w:bookmarkEnd w:id="4108"/>
      <w:r w:rsidRPr="008B264B">
        <w:rPr>
          <w:rFonts w:ascii="Times New Roman" w:eastAsia="Times New Roman" w:hAnsi="Times New Roman" w:cs="Times New Roman"/>
          <w:color w:val="000000"/>
          <w:sz w:val="24"/>
          <w:szCs w:val="24"/>
          <w:lang/>
        </w:rPr>
        <w:t>141.1.5. Коригування фінансового результату до оподаткування у зв’язку із створенням та використанням страховиками інших резервів (забезпечень), ніж зазначені у пункті 141.1 цієї статті, здійснюється у порядку, встановленому </w:t>
      </w:r>
      <w:hyperlink r:id="rId2255" w:anchor="n10686" w:history="1">
        <w:r w:rsidRPr="008B264B">
          <w:rPr>
            <w:rFonts w:ascii="Times New Roman" w:eastAsia="Times New Roman" w:hAnsi="Times New Roman" w:cs="Times New Roman"/>
            <w:color w:val="0000FF"/>
            <w:sz w:val="24"/>
            <w:szCs w:val="24"/>
            <w:u w:val="single"/>
            <w:lang/>
          </w:rPr>
          <w:t>пунктом 139.1</w:t>
        </w:r>
      </w:hyperlink>
      <w:r w:rsidRPr="008B264B">
        <w:rPr>
          <w:rFonts w:ascii="Times New Roman" w:eastAsia="Times New Roman" w:hAnsi="Times New Roman" w:cs="Times New Roman"/>
          <w:color w:val="000000"/>
          <w:sz w:val="24"/>
          <w:szCs w:val="24"/>
          <w:lang/>
        </w:rPr>
        <w:t> статті 139 цього Кодексу.</w:t>
      </w:r>
    </w:p>
    <w:p w14:paraId="32D5C3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09" w:name="n14102"/>
      <w:bookmarkEnd w:id="4109"/>
      <w:r w:rsidRPr="008B264B">
        <w:rPr>
          <w:rFonts w:ascii="Times New Roman" w:eastAsia="Times New Roman" w:hAnsi="Times New Roman" w:cs="Times New Roman"/>
          <w:i/>
          <w:iCs/>
          <w:color w:val="000000"/>
          <w:sz w:val="24"/>
          <w:szCs w:val="24"/>
          <w:lang/>
        </w:rPr>
        <w:t>{Підпункт 141.1.5 пункту 141.1 статті 141 із змінами, внесеними згідно із Законом </w:t>
      </w:r>
      <w:hyperlink r:id="rId2256" w:anchor="n9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CBE2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0" w:name="n10764"/>
      <w:bookmarkEnd w:id="4110"/>
      <w:r w:rsidRPr="008B264B">
        <w:rPr>
          <w:rFonts w:ascii="Times New Roman" w:eastAsia="Times New Roman" w:hAnsi="Times New Roman" w:cs="Times New Roman"/>
          <w:color w:val="000000"/>
          <w:sz w:val="24"/>
          <w:szCs w:val="24"/>
          <w:lang/>
        </w:rPr>
        <w:t>141.2. Різниці щодо операцій з продажу або іншого відчуження цінних паперів</w:t>
      </w:r>
    </w:p>
    <w:p w14:paraId="21ABE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1" w:name="n14104"/>
      <w:bookmarkEnd w:id="4111"/>
      <w:r w:rsidRPr="008B264B">
        <w:rPr>
          <w:rFonts w:ascii="Times New Roman" w:eastAsia="Times New Roman" w:hAnsi="Times New Roman" w:cs="Times New Roman"/>
          <w:i/>
          <w:iCs/>
          <w:color w:val="000000"/>
          <w:sz w:val="24"/>
          <w:szCs w:val="24"/>
          <w:lang/>
        </w:rPr>
        <w:t>{Абзац перший пункту 141.2 статті 141 в редакції Закону </w:t>
      </w:r>
      <w:hyperlink r:id="rId2257" w:anchor="n95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F831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2" w:name="n10765"/>
      <w:bookmarkEnd w:id="4112"/>
      <w:r w:rsidRPr="008B264B">
        <w:rPr>
          <w:rFonts w:ascii="Times New Roman" w:eastAsia="Times New Roman" w:hAnsi="Times New Roman" w:cs="Times New Roman"/>
          <w:color w:val="000000"/>
          <w:sz w:val="24"/>
          <w:szCs w:val="24"/>
          <w:lang/>
        </w:rPr>
        <w:t>141.2.1. Фінансовий результат до оподаткування збільшується:</w:t>
      </w:r>
    </w:p>
    <w:p w14:paraId="7E81FD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3" w:name="n10766"/>
      <w:bookmarkEnd w:id="4113"/>
      <w:r w:rsidRPr="008B264B">
        <w:rPr>
          <w:rFonts w:ascii="Times New Roman" w:eastAsia="Times New Roman" w:hAnsi="Times New Roman" w:cs="Times New Roman"/>
          <w:color w:val="000000"/>
          <w:sz w:val="24"/>
          <w:szCs w:val="24"/>
          <w:lang/>
        </w:rPr>
        <w:t>на суму від’ємного фінансового результату від продажу або іншого відчуження цінних паперів, відображеного у складі фінансового результату до оподаткування податкового (звітного) періоду відповідно до національних положень (стандартів) бухгалтерського обліку або міжнародних стандартів фінансової звітності;</w:t>
      </w:r>
    </w:p>
    <w:p w14:paraId="5BE820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4" w:name="n10767"/>
      <w:bookmarkEnd w:id="4114"/>
      <w:r w:rsidRPr="008B264B">
        <w:rPr>
          <w:rFonts w:ascii="Times New Roman" w:eastAsia="Times New Roman" w:hAnsi="Times New Roman" w:cs="Times New Roman"/>
          <w:color w:val="000000"/>
          <w:sz w:val="24"/>
          <w:szCs w:val="24"/>
          <w:lang/>
        </w:rPr>
        <w:t>на суму від’ємного загального результату переоцінки цінних паперів (загальна сума уцінок цінних паперів перевищує загальну суму їх дооцінок за податковий (звітний) період) (крім державних цінних паперів або облігацій місцевих позик), відображеного у складі фінансового результату до оподаткування податкового (звітного) періоду відповідно до національних положень (стандартів) бухгалтерського обліку або міжнародних стандартів фінансової звітності.</w:t>
      </w:r>
    </w:p>
    <w:p w14:paraId="7341FC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5" w:name="n14105"/>
      <w:bookmarkEnd w:id="4115"/>
      <w:r w:rsidRPr="008B264B">
        <w:rPr>
          <w:rFonts w:ascii="Times New Roman" w:eastAsia="Times New Roman" w:hAnsi="Times New Roman" w:cs="Times New Roman"/>
          <w:i/>
          <w:iCs/>
          <w:color w:val="000000"/>
          <w:sz w:val="24"/>
          <w:szCs w:val="24"/>
          <w:lang/>
        </w:rPr>
        <w:t>{Абзац третій підпункту 141.2.1 пункту 141.2 статті 141 в редакції Закону </w:t>
      </w:r>
      <w:hyperlink r:id="rId2258" w:anchor="n9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81A8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6" w:name="n10768"/>
      <w:bookmarkEnd w:id="4116"/>
      <w:r w:rsidRPr="008B264B">
        <w:rPr>
          <w:rFonts w:ascii="Times New Roman" w:eastAsia="Times New Roman" w:hAnsi="Times New Roman" w:cs="Times New Roman"/>
          <w:color w:val="000000"/>
          <w:sz w:val="24"/>
          <w:szCs w:val="24"/>
          <w:lang/>
        </w:rPr>
        <w:t>141.2.2. Фінансовий результат до оподаткування зменшується:</w:t>
      </w:r>
    </w:p>
    <w:p w14:paraId="1A16E3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7" w:name="n10769"/>
      <w:bookmarkEnd w:id="4117"/>
      <w:r w:rsidRPr="008B264B">
        <w:rPr>
          <w:rFonts w:ascii="Times New Roman" w:eastAsia="Times New Roman" w:hAnsi="Times New Roman" w:cs="Times New Roman"/>
          <w:color w:val="000000"/>
          <w:sz w:val="24"/>
          <w:szCs w:val="24"/>
          <w:lang/>
        </w:rPr>
        <w:t xml:space="preserve">на суму позитивного фінансового результату від продажу або іншого відчуження цінних паперів, відображеного у складі фінансового результату до оподаткування податкового (звітного) </w:t>
      </w:r>
      <w:r w:rsidRPr="008B264B">
        <w:rPr>
          <w:rFonts w:ascii="Times New Roman" w:eastAsia="Times New Roman" w:hAnsi="Times New Roman" w:cs="Times New Roman"/>
          <w:color w:val="000000"/>
          <w:sz w:val="24"/>
          <w:szCs w:val="24"/>
          <w:lang/>
        </w:rPr>
        <w:lastRenderedPageBreak/>
        <w:t>періоду відповідно до національних положень (стандартів) бухгалтерського обліку або міжнародних стандартів фінансової звітності.</w:t>
      </w:r>
    </w:p>
    <w:p w14:paraId="7B27C3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8" w:name="n10770"/>
      <w:bookmarkEnd w:id="4118"/>
      <w:r w:rsidRPr="008B264B">
        <w:rPr>
          <w:rFonts w:ascii="Times New Roman" w:eastAsia="Times New Roman" w:hAnsi="Times New Roman" w:cs="Times New Roman"/>
          <w:color w:val="000000"/>
          <w:sz w:val="24"/>
          <w:szCs w:val="24"/>
          <w:lang/>
        </w:rPr>
        <w:t>141.2.3. Платники податку окремо визначають загальний фінансовий результат за операціями з продажу або іншого відчуження цінних паперів звітного періоду відповідно до національних або міжнародних стандартів фінансової звітності.</w:t>
      </w:r>
    </w:p>
    <w:p w14:paraId="3F8A87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19" w:name="n10771"/>
      <w:bookmarkEnd w:id="4119"/>
      <w:r w:rsidRPr="008B264B">
        <w:rPr>
          <w:rFonts w:ascii="Times New Roman" w:eastAsia="Times New Roman" w:hAnsi="Times New Roman" w:cs="Times New Roman"/>
          <w:color w:val="000000"/>
          <w:sz w:val="24"/>
          <w:szCs w:val="24"/>
          <w:lang/>
        </w:rPr>
        <w:t>141.2.4. Якщо за результатами звітного періоду отримано від’ємний загальний фінансовий результат від операцій з продажу або іншого відчуження цінних паперів (загальна сума збитків від операцій з продажу або іншого відчуження цінних паперів з урахуванням суми від’ємного фінансового результату від таких операцій та/або від’ємного загального результату переоцінки цінних паперів, не врахованих у попередніх податкових періодах, перевищує загальну суму прибутків від таких операцій), сума такого від’ємного значення загального фінансового результату за операціями з продажу або іншого відчуження цінних паперів зменшує загальний фінансовий результат від операцій з продажу або іншого відчуження цінних паперів наступних податкових (звітних) періодів, що наступають за податковим (звітним) періодом виникнення зазначеного від’ємного значення фінансового результату.</w:t>
      </w:r>
    </w:p>
    <w:p w14:paraId="406C21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0" w:name="n14106"/>
      <w:bookmarkEnd w:id="4120"/>
      <w:r w:rsidRPr="008B264B">
        <w:rPr>
          <w:rFonts w:ascii="Times New Roman" w:eastAsia="Times New Roman" w:hAnsi="Times New Roman" w:cs="Times New Roman"/>
          <w:i/>
          <w:iCs/>
          <w:color w:val="000000"/>
          <w:sz w:val="24"/>
          <w:szCs w:val="24"/>
          <w:lang/>
        </w:rPr>
        <w:t>{Підпункт 141.2.4 пункту 141.1 статті 141 із змінами, внесеними згідно із Законом </w:t>
      </w:r>
      <w:hyperlink r:id="rId2259" w:anchor="n9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5740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1" w:name="n10772"/>
      <w:bookmarkEnd w:id="4121"/>
      <w:r w:rsidRPr="008B264B">
        <w:rPr>
          <w:rFonts w:ascii="Times New Roman" w:eastAsia="Times New Roman" w:hAnsi="Times New Roman" w:cs="Times New Roman"/>
          <w:color w:val="000000"/>
          <w:sz w:val="24"/>
          <w:szCs w:val="24"/>
          <w:lang/>
        </w:rPr>
        <w:t>141.2.5. Якщо за результатами звітного періоду платником податку отримано позитивний загальний фінансовий результат від операцій з продажу або іншого відчуження цінних паперів (загальна сума прибутків від операцій з продажу або іншого відчуження цінних паперів перевищує загальну суму збитків від таких операцій з урахуванням суми від’ємного фінансового результату від таких операцій та/або від’ємного загального результату переоцінки цінних паперів, не врахованих у попередніх податкових періодах), сума позитивного загального фінансового результату від операцій з продажу або іншого відчуження цінних паперів збільшує фінансовий результат до оподаткування податкового (звітного) періоду платника податку.</w:t>
      </w:r>
    </w:p>
    <w:p w14:paraId="21639C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2" w:name="n14107"/>
      <w:bookmarkEnd w:id="4122"/>
      <w:r w:rsidRPr="008B264B">
        <w:rPr>
          <w:rFonts w:ascii="Times New Roman" w:eastAsia="Times New Roman" w:hAnsi="Times New Roman" w:cs="Times New Roman"/>
          <w:i/>
          <w:iCs/>
          <w:color w:val="000000"/>
          <w:sz w:val="24"/>
          <w:szCs w:val="24"/>
          <w:lang/>
        </w:rPr>
        <w:t>{Підпункт 141.2.5 пункту 141.1 статті 141 із змінами, внесеними згідно із Законом </w:t>
      </w:r>
      <w:hyperlink r:id="rId2260" w:anchor="n9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7F1A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3" w:name="n10773"/>
      <w:bookmarkEnd w:id="4123"/>
      <w:r w:rsidRPr="008B264B">
        <w:rPr>
          <w:rFonts w:ascii="Times New Roman" w:eastAsia="Times New Roman" w:hAnsi="Times New Roman" w:cs="Times New Roman"/>
          <w:color w:val="000000"/>
          <w:sz w:val="24"/>
          <w:szCs w:val="24"/>
          <w:lang/>
        </w:rPr>
        <w:t>141.2.6. Положення цього пункту не поширюються на:</w:t>
      </w:r>
    </w:p>
    <w:p w14:paraId="781B1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4" w:name="n10774"/>
      <w:bookmarkEnd w:id="4124"/>
      <w:r w:rsidRPr="008B264B">
        <w:rPr>
          <w:rFonts w:ascii="Times New Roman" w:eastAsia="Times New Roman" w:hAnsi="Times New Roman" w:cs="Times New Roman"/>
          <w:color w:val="000000"/>
          <w:sz w:val="24"/>
          <w:szCs w:val="24"/>
          <w:lang/>
        </w:rPr>
        <w:t>1) операції платників податку з розміщення, погашення, викупу та наступного продажу, конвертації цінних паперів власного випуску, а також векселедавців, заставодавців та інших осіб, що видали неемісійний цінний папір, під час видачі та погашення таких цінних паперів;</w:t>
      </w:r>
    </w:p>
    <w:p w14:paraId="42D702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5" w:name="n10775"/>
      <w:bookmarkEnd w:id="4125"/>
      <w:r w:rsidRPr="008B264B">
        <w:rPr>
          <w:rFonts w:ascii="Times New Roman" w:eastAsia="Times New Roman" w:hAnsi="Times New Roman" w:cs="Times New Roman"/>
          <w:color w:val="000000"/>
          <w:sz w:val="24"/>
          <w:szCs w:val="24"/>
          <w:lang/>
        </w:rPr>
        <w:t>2) операції РЕПО, операції з врахування векселів, інші операції з цінними паперами, які відповідно до положень (стандартів) бухгалтерського обліку визнаються кредитними;</w:t>
      </w:r>
    </w:p>
    <w:p w14:paraId="4D8F2E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6" w:name="n10776"/>
      <w:bookmarkEnd w:id="4126"/>
      <w:r w:rsidRPr="008B264B">
        <w:rPr>
          <w:rFonts w:ascii="Times New Roman" w:eastAsia="Times New Roman" w:hAnsi="Times New Roman" w:cs="Times New Roman"/>
          <w:color w:val="000000"/>
          <w:sz w:val="24"/>
          <w:szCs w:val="24"/>
          <w:lang/>
        </w:rPr>
        <w:t>3) операції з деривативами.</w:t>
      </w:r>
    </w:p>
    <w:p w14:paraId="08ED06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7" w:name="n10777"/>
      <w:bookmarkEnd w:id="4127"/>
      <w:r w:rsidRPr="008B264B">
        <w:rPr>
          <w:rFonts w:ascii="Times New Roman" w:eastAsia="Times New Roman" w:hAnsi="Times New Roman" w:cs="Times New Roman"/>
          <w:color w:val="000000"/>
          <w:sz w:val="24"/>
          <w:szCs w:val="24"/>
          <w:lang/>
        </w:rPr>
        <w:t>141.3. Оподаткування прибутку, отриманого платником податку в умовах дії угоди про розподіл продукції, здійснюється з урахуванням особливостей, встановлених </w:t>
      </w:r>
      <w:hyperlink r:id="rId2261" w:anchor="n7662" w:history="1">
        <w:r w:rsidRPr="008B264B">
          <w:rPr>
            <w:rFonts w:ascii="Times New Roman" w:eastAsia="Times New Roman" w:hAnsi="Times New Roman" w:cs="Times New Roman"/>
            <w:color w:val="0000FF"/>
            <w:sz w:val="24"/>
            <w:szCs w:val="24"/>
            <w:u w:val="single"/>
            <w:lang/>
          </w:rPr>
          <w:t>розділом XVIII</w:t>
        </w:r>
      </w:hyperlink>
      <w:r w:rsidRPr="008B264B">
        <w:rPr>
          <w:rFonts w:ascii="Times New Roman" w:eastAsia="Times New Roman" w:hAnsi="Times New Roman" w:cs="Times New Roman"/>
          <w:color w:val="000000"/>
          <w:sz w:val="24"/>
          <w:szCs w:val="24"/>
          <w:lang/>
        </w:rPr>
        <w:t> цього Кодексу.</w:t>
      </w:r>
    </w:p>
    <w:p w14:paraId="080F81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8" w:name="n10778"/>
      <w:bookmarkEnd w:id="4128"/>
      <w:r w:rsidRPr="008B264B">
        <w:rPr>
          <w:rFonts w:ascii="Times New Roman" w:eastAsia="Times New Roman" w:hAnsi="Times New Roman" w:cs="Times New Roman"/>
          <w:color w:val="000000"/>
          <w:sz w:val="24"/>
          <w:szCs w:val="24"/>
          <w:lang/>
        </w:rPr>
        <w:t>141.4. Особливості оподаткування нерезидентів</w:t>
      </w:r>
    </w:p>
    <w:p w14:paraId="55F4D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29" w:name="n10779"/>
      <w:bookmarkEnd w:id="4129"/>
      <w:r w:rsidRPr="008B264B">
        <w:rPr>
          <w:rFonts w:ascii="Times New Roman" w:eastAsia="Times New Roman" w:hAnsi="Times New Roman" w:cs="Times New Roman"/>
          <w:color w:val="000000"/>
          <w:sz w:val="24"/>
          <w:szCs w:val="24"/>
          <w:lang/>
        </w:rPr>
        <w:t>141.4.1. Доходи, отримані нерезидентом із джерелом їх походження з України, оподатковуються в порядку і за ставками, визначеними цією статтею. Для цілей цього пункту такими доходами є:</w:t>
      </w:r>
    </w:p>
    <w:p w14:paraId="2C8E98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0" w:name="n10780"/>
      <w:bookmarkEnd w:id="4130"/>
      <w:r w:rsidRPr="008B264B">
        <w:rPr>
          <w:rFonts w:ascii="Times New Roman" w:eastAsia="Times New Roman" w:hAnsi="Times New Roman" w:cs="Times New Roman"/>
          <w:color w:val="000000"/>
          <w:sz w:val="24"/>
          <w:szCs w:val="24"/>
          <w:lang/>
        </w:rPr>
        <w:t>а) проценти, дисконтні доходи, що сплачуються на користь нерезидента, у тому числі проценти за позиками та борговими зобов’язаннями, випущеними (виданими) резидентом;</w:t>
      </w:r>
    </w:p>
    <w:p w14:paraId="758FA3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1" w:name="n10781"/>
      <w:bookmarkEnd w:id="4131"/>
      <w:r w:rsidRPr="008B264B">
        <w:rPr>
          <w:rFonts w:ascii="Times New Roman" w:eastAsia="Times New Roman" w:hAnsi="Times New Roman" w:cs="Times New Roman"/>
          <w:color w:val="000000"/>
          <w:sz w:val="24"/>
          <w:szCs w:val="24"/>
          <w:lang/>
        </w:rPr>
        <w:t>б) дивіденди, які сплачуються резидентом;</w:t>
      </w:r>
    </w:p>
    <w:p w14:paraId="2276FF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2" w:name="n10782"/>
      <w:bookmarkEnd w:id="4132"/>
      <w:r w:rsidRPr="008B264B">
        <w:rPr>
          <w:rFonts w:ascii="Times New Roman" w:eastAsia="Times New Roman" w:hAnsi="Times New Roman" w:cs="Times New Roman"/>
          <w:color w:val="000000"/>
          <w:sz w:val="24"/>
          <w:szCs w:val="24"/>
          <w:lang/>
        </w:rPr>
        <w:t>в) роялті;</w:t>
      </w:r>
    </w:p>
    <w:p w14:paraId="4A2775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3" w:name="n10783"/>
      <w:bookmarkEnd w:id="4133"/>
      <w:r w:rsidRPr="008B264B">
        <w:rPr>
          <w:rFonts w:ascii="Times New Roman" w:eastAsia="Times New Roman" w:hAnsi="Times New Roman" w:cs="Times New Roman"/>
          <w:color w:val="000000"/>
          <w:sz w:val="24"/>
          <w:szCs w:val="24"/>
          <w:lang/>
        </w:rPr>
        <w:t>г) фрахт та доходи від інжинірингу;</w:t>
      </w:r>
    </w:p>
    <w:p w14:paraId="66E006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4" w:name="n10784"/>
      <w:bookmarkEnd w:id="4134"/>
      <w:r w:rsidRPr="008B264B">
        <w:rPr>
          <w:rFonts w:ascii="Times New Roman" w:eastAsia="Times New Roman" w:hAnsi="Times New Roman" w:cs="Times New Roman"/>
          <w:color w:val="000000"/>
          <w:sz w:val="24"/>
          <w:szCs w:val="24"/>
          <w:lang/>
        </w:rPr>
        <w:lastRenderedPageBreak/>
        <w:t>ґ) лізингова/орендна плата, що вноситься резидентами або постійними представництвами на користь нерезидента - лізингодавця/орендодавця за договорами оперативного лізингу/оренди;</w:t>
      </w:r>
    </w:p>
    <w:p w14:paraId="3B6FF1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5" w:name="n10785"/>
      <w:bookmarkEnd w:id="4135"/>
      <w:r w:rsidRPr="008B264B">
        <w:rPr>
          <w:rFonts w:ascii="Times New Roman" w:eastAsia="Times New Roman" w:hAnsi="Times New Roman" w:cs="Times New Roman"/>
          <w:color w:val="000000"/>
          <w:sz w:val="24"/>
          <w:szCs w:val="24"/>
          <w:lang/>
        </w:rPr>
        <w:t>д) доходи від продажу нерухомого майна, розташованого на території України, яке належить нерезиденту, у тому числі майна постійного представництва нерезидента;</w:t>
      </w:r>
    </w:p>
    <w:p w14:paraId="5092AD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6" w:name="n10786"/>
      <w:bookmarkEnd w:id="4136"/>
      <w:r w:rsidRPr="008B264B">
        <w:rPr>
          <w:rFonts w:ascii="Times New Roman" w:eastAsia="Times New Roman" w:hAnsi="Times New Roman" w:cs="Times New Roman"/>
          <w:color w:val="000000"/>
          <w:sz w:val="24"/>
          <w:szCs w:val="24"/>
          <w:lang/>
        </w:rPr>
        <w:t>е) прибуток від здійснення операцій з продажу або іншого відчуження цінних паперів, деривативів або інших корпоративних прав, визначений відповідно до цього розділу;</w:t>
      </w:r>
    </w:p>
    <w:p w14:paraId="2614FE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7" w:name="n10787"/>
      <w:bookmarkEnd w:id="4137"/>
      <w:r w:rsidRPr="008B264B">
        <w:rPr>
          <w:rFonts w:ascii="Times New Roman" w:eastAsia="Times New Roman" w:hAnsi="Times New Roman" w:cs="Times New Roman"/>
          <w:color w:val="000000"/>
          <w:sz w:val="24"/>
          <w:szCs w:val="24"/>
          <w:lang/>
        </w:rPr>
        <w:t>є) доходи, отримані від провадження спільної діяльності на території України, доходи від здійснення довгострокових контрактів на території України;</w:t>
      </w:r>
    </w:p>
    <w:p w14:paraId="0E8598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8" w:name="n10788"/>
      <w:bookmarkEnd w:id="4138"/>
      <w:r w:rsidRPr="008B264B">
        <w:rPr>
          <w:rFonts w:ascii="Times New Roman" w:eastAsia="Times New Roman" w:hAnsi="Times New Roman" w:cs="Times New Roman"/>
          <w:color w:val="000000"/>
          <w:sz w:val="24"/>
          <w:szCs w:val="24"/>
          <w:lang/>
        </w:rPr>
        <w:t>ж) винагорода за провадження нерезидентами або уповноваженими ними особами культурної, освітньої, релігійної, спортивної, розважальної діяльності на території України;</w:t>
      </w:r>
    </w:p>
    <w:p w14:paraId="3646B9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39" w:name="n10789"/>
      <w:bookmarkEnd w:id="4139"/>
      <w:r w:rsidRPr="008B264B">
        <w:rPr>
          <w:rFonts w:ascii="Times New Roman" w:eastAsia="Times New Roman" w:hAnsi="Times New Roman" w:cs="Times New Roman"/>
          <w:color w:val="000000"/>
          <w:sz w:val="24"/>
          <w:szCs w:val="24"/>
          <w:lang/>
        </w:rPr>
        <w:t>з) брокерська, комісійна або агентська винагорода, отримана від резидентів або постійних представництв інших нерезидентів стосовно брокерських, комісійних або агентських послуг, наданих нерезидентом або його постійним представництвом на території України на користь резидентів;</w:t>
      </w:r>
    </w:p>
    <w:p w14:paraId="5237A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0" w:name="n10790"/>
      <w:bookmarkEnd w:id="4140"/>
      <w:r w:rsidRPr="008B264B">
        <w:rPr>
          <w:rFonts w:ascii="Times New Roman" w:eastAsia="Times New Roman" w:hAnsi="Times New Roman" w:cs="Times New Roman"/>
          <w:color w:val="000000"/>
          <w:sz w:val="24"/>
          <w:szCs w:val="24"/>
          <w:lang/>
        </w:rPr>
        <w:t>и) внески та премії на страхування або перестрахування ризиків в Україні (у тому числі страхування ризиків життя) або страхування резидентів від ризиків за межами України;</w:t>
      </w:r>
    </w:p>
    <w:p w14:paraId="3B241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1" w:name="n10791"/>
      <w:bookmarkEnd w:id="4141"/>
      <w:r w:rsidRPr="008B264B">
        <w:rPr>
          <w:rFonts w:ascii="Times New Roman" w:eastAsia="Times New Roman" w:hAnsi="Times New Roman" w:cs="Times New Roman"/>
          <w:color w:val="000000"/>
          <w:sz w:val="24"/>
          <w:szCs w:val="24"/>
          <w:lang/>
        </w:rPr>
        <w:t>і) доходи, одержані від діяльності у сфері розваг (крім діяльності з проведення лотереї);</w:t>
      </w:r>
    </w:p>
    <w:p w14:paraId="7271DE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2" w:name="n10792"/>
      <w:bookmarkEnd w:id="4142"/>
      <w:r w:rsidRPr="008B264B">
        <w:rPr>
          <w:rFonts w:ascii="Times New Roman" w:eastAsia="Times New Roman" w:hAnsi="Times New Roman" w:cs="Times New Roman"/>
          <w:color w:val="000000"/>
          <w:sz w:val="24"/>
          <w:szCs w:val="24"/>
          <w:lang/>
        </w:rPr>
        <w:t>ї) доходи у вигляді благодійних внесків та пожертвувань на користь нерезидентів;</w:t>
      </w:r>
    </w:p>
    <w:p w14:paraId="158057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3" w:name="n10793"/>
      <w:bookmarkEnd w:id="4143"/>
      <w:r w:rsidRPr="008B264B">
        <w:rPr>
          <w:rFonts w:ascii="Times New Roman" w:eastAsia="Times New Roman" w:hAnsi="Times New Roman" w:cs="Times New Roman"/>
          <w:color w:val="000000"/>
          <w:sz w:val="24"/>
          <w:szCs w:val="24"/>
          <w:lang/>
        </w:rPr>
        <w:t>й) інші доходи від провадження нерезидентом (постійним представництвом цього або іншого нерезидента) господарської діяльності на території України, крім доходів у вигляді виручки або інших видів компенсації вартості товарів, виконаних робіт, наданих послуг, переданих, виконаних, наданих резиденту від такого нерезидента (постійного представництва), у тому числі вартості послуг із міжнародного зв’язку чи міжнародного інформаційного забезпечення, а також крім субсидій для повернення частини кваліфікованих витрат, передбачених </w:t>
      </w:r>
      <w:hyperlink r:id="rId226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підтримку кінематографії в Україні".</w:t>
      </w:r>
    </w:p>
    <w:p w14:paraId="77A3C3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4" w:name="n14714"/>
      <w:bookmarkEnd w:id="4144"/>
      <w:r w:rsidRPr="008B264B">
        <w:rPr>
          <w:rFonts w:ascii="Times New Roman" w:eastAsia="Times New Roman" w:hAnsi="Times New Roman" w:cs="Times New Roman"/>
          <w:i/>
          <w:iCs/>
          <w:color w:val="000000"/>
          <w:sz w:val="24"/>
          <w:szCs w:val="24"/>
          <w:lang/>
        </w:rPr>
        <w:t>{Підпункт "й" підпункту 141.4.1 пункту 141.4 статті 141 із змінами, внесеними згідно із Законом </w:t>
      </w:r>
      <w:hyperlink r:id="rId2263" w:anchor="n19"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6096B5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5" w:name="n10794"/>
      <w:bookmarkEnd w:id="4145"/>
      <w:r w:rsidRPr="008B264B">
        <w:rPr>
          <w:rFonts w:ascii="Times New Roman" w:eastAsia="Times New Roman" w:hAnsi="Times New Roman" w:cs="Times New Roman"/>
          <w:color w:val="000000"/>
          <w:sz w:val="24"/>
          <w:szCs w:val="24"/>
          <w:lang/>
        </w:rPr>
        <w:t>141.4.2. Резидент або постійне представництво нерезидента, що здійснюють на користь нерезидента або уповноваженої ним особи (крім постійного представництва нерезидента на території України) будь-яку виплату з доходу з джерелом його походження з України, отриманого таким нерезидентом від провадження господарської діяльності (у тому числі на рахунки нерезидента, що ведуться в національній валюті), утримують податок з таких доходів, зазначених у підпункті 141.4.1 цього пункту, за ставкою в розмірі 15 відсотків (крім доходів, зазначених у підпунктах 141.4.3-141.4.6 та 141.4.11 цього пункту) їх суми та за їх рахунок, який сплачується до бюджету під час такої виплати, якщо інше не передбачено положеннями міжнародних договорів України з країнами резиденції осіб, на користь яких здійснюються виплати, що набрали чинності.</w:t>
      </w:r>
    </w:p>
    <w:p w14:paraId="10C13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6" w:name="n14108"/>
      <w:bookmarkEnd w:id="4146"/>
      <w:r w:rsidRPr="008B264B">
        <w:rPr>
          <w:rFonts w:ascii="Times New Roman" w:eastAsia="Times New Roman" w:hAnsi="Times New Roman" w:cs="Times New Roman"/>
          <w:i/>
          <w:iCs/>
          <w:color w:val="000000"/>
          <w:sz w:val="24"/>
          <w:szCs w:val="24"/>
          <w:lang/>
        </w:rPr>
        <w:t>{Підпункт 141.4.2 пункту 141.4 статті 141 в редакції Закону </w:t>
      </w:r>
      <w:hyperlink r:id="rId2264" w:anchor="n9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94FE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7" w:name="n10795"/>
      <w:bookmarkEnd w:id="4147"/>
      <w:r w:rsidRPr="008B264B">
        <w:rPr>
          <w:rFonts w:ascii="Times New Roman" w:eastAsia="Times New Roman" w:hAnsi="Times New Roman" w:cs="Times New Roman"/>
          <w:color w:val="000000"/>
          <w:sz w:val="24"/>
          <w:szCs w:val="24"/>
          <w:lang/>
        </w:rPr>
        <w:t>141.4.3. Прибутки нерезидентів, отримані у вигляді доходів від безпроцентних (дисконтних) облігацій чи казначейських зобов’язань, оподатковуються за ставкою, встановленою </w:t>
      </w:r>
      <w:hyperlink r:id="rId2265" w:anchor="n10643" w:history="1">
        <w:r w:rsidRPr="008B264B">
          <w:rPr>
            <w:rFonts w:ascii="Times New Roman" w:eastAsia="Times New Roman" w:hAnsi="Times New Roman" w:cs="Times New Roman"/>
            <w:color w:val="0000FF"/>
            <w:sz w:val="24"/>
            <w:szCs w:val="24"/>
            <w:u w:val="single"/>
            <w:lang/>
          </w:rPr>
          <w:t>пунктом 136.1</w:t>
        </w:r>
      </w:hyperlink>
      <w:r w:rsidRPr="008B264B">
        <w:rPr>
          <w:rFonts w:ascii="Times New Roman" w:eastAsia="Times New Roman" w:hAnsi="Times New Roman" w:cs="Times New Roman"/>
          <w:color w:val="000000"/>
          <w:sz w:val="24"/>
          <w:szCs w:val="24"/>
          <w:lang/>
        </w:rPr>
        <w:t> статті 136 цього Кодексу, з урахуванням того, що:</w:t>
      </w:r>
    </w:p>
    <w:p w14:paraId="150494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8" w:name="n10796"/>
      <w:bookmarkEnd w:id="4148"/>
      <w:r w:rsidRPr="008B264B">
        <w:rPr>
          <w:rFonts w:ascii="Times New Roman" w:eastAsia="Times New Roman" w:hAnsi="Times New Roman" w:cs="Times New Roman"/>
          <w:color w:val="000000"/>
          <w:sz w:val="24"/>
          <w:szCs w:val="24"/>
          <w:lang/>
        </w:rPr>
        <w:t>базою оподаткування є прибуток, який розраховується як різниця між номінальною вартістю безпроцентних (дисконтних) цінних паперів, сплаченою або нарахованою їх емітентом, та ціною їх придбання на первинному чи вторинному фондовому ринку;</w:t>
      </w:r>
    </w:p>
    <w:p w14:paraId="6BC1DA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49" w:name="n10797"/>
      <w:bookmarkEnd w:id="4149"/>
      <w:r w:rsidRPr="008B264B">
        <w:rPr>
          <w:rFonts w:ascii="Times New Roman" w:eastAsia="Times New Roman" w:hAnsi="Times New Roman" w:cs="Times New Roman"/>
          <w:color w:val="000000"/>
          <w:sz w:val="24"/>
          <w:szCs w:val="24"/>
          <w:lang/>
        </w:rPr>
        <w:t xml:space="preserve">з метою здійснення податкового контролю придбання або продаж зазначених у цьому підпункті цінних паперів може здійснюватися від імені та за рахунок нерезидента виключно його </w:t>
      </w:r>
      <w:r w:rsidRPr="008B264B">
        <w:rPr>
          <w:rFonts w:ascii="Times New Roman" w:eastAsia="Times New Roman" w:hAnsi="Times New Roman" w:cs="Times New Roman"/>
          <w:color w:val="000000"/>
          <w:sz w:val="24"/>
          <w:szCs w:val="24"/>
          <w:lang/>
        </w:rPr>
        <w:lastRenderedPageBreak/>
        <w:t>постійним представництвом або резидентом, який працює від імені, за рахунок та за дорученням такого нерезидента;</w:t>
      </w:r>
    </w:p>
    <w:p w14:paraId="06E83E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0" w:name="n10798"/>
      <w:bookmarkEnd w:id="4150"/>
      <w:r w:rsidRPr="008B264B">
        <w:rPr>
          <w:rFonts w:ascii="Times New Roman" w:eastAsia="Times New Roman" w:hAnsi="Times New Roman" w:cs="Times New Roman"/>
          <w:color w:val="000000"/>
          <w:sz w:val="24"/>
          <w:szCs w:val="24"/>
          <w:lang/>
        </w:rPr>
        <w:t>зазначені резидент або постійне представництво нерезидента несуть відповідальність за повноту та своєчасність нарахування та внесення до бюджету податків, що справляються під час виплати нерезиденту доходів від володіння процентними або безпроцентними (дисконтними) цінними паперами. Центральний орган виконавчої влади, що забезпечує формування та реалізує державну фінансову політику, встановлює порядок надання резидентами або постійними представництвами нерезидента розрахунку податкових зобов’язань нерезидентів та звітів про справляння та внесення до відповідного бюджету податків, встановлених цим пунктом.</w:t>
      </w:r>
    </w:p>
    <w:p w14:paraId="16BF65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1" w:name="n13441"/>
      <w:bookmarkEnd w:id="4151"/>
      <w:r w:rsidRPr="008B264B">
        <w:rPr>
          <w:rFonts w:ascii="Times New Roman" w:eastAsia="Times New Roman" w:hAnsi="Times New Roman" w:cs="Times New Roman"/>
          <w:i/>
          <w:iCs/>
          <w:color w:val="000000"/>
          <w:sz w:val="24"/>
          <w:szCs w:val="24"/>
          <w:lang/>
        </w:rPr>
        <w:t>{Абзац четвертий підпункту 141.4.3 пункту 141.4 статті 141 із змінами, внесеними згідно із Законом </w:t>
      </w:r>
      <w:hyperlink r:id="rId226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7A947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2" w:name="n10799"/>
      <w:bookmarkEnd w:id="4152"/>
      <w:r w:rsidRPr="008B264B">
        <w:rPr>
          <w:rFonts w:ascii="Times New Roman" w:eastAsia="Times New Roman" w:hAnsi="Times New Roman" w:cs="Times New Roman"/>
          <w:color w:val="000000"/>
          <w:sz w:val="24"/>
          <w:szCs w:val="24"/>
          <w:lang/>
        </w:rPr>
        <w:t>Резиденти, які працюють від імені, за рахунок та за дорученням нерезидента на ринку процентних або безпроцентних (дисконтних) облігацій чи казначейських зобов’язань, самостійно подають контролюючому органу за своїм місцезнаходженням розрахунок (звіт) про справляння та внесення до відповідного бюджету податків, встановлених цим пунктом.</w:t>
      </w:r>
    </w:p>
    <w:p w14:paraId="44288D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3" w:name="n10800"/>
      <w:bookmarkEnd w:id="4153"/>
      <w:r w:rsidRPr="008B264B">
        <w:rPr>
          <w:rFonts w:ascii="Times New Roman" w:eastAsia="Times New Roman" w:hAnsi="Times New Roman" w:cs="Times New Roman"/>
          <w:color w:val="000000"/>
          <w:sz w:val="24"/>
          <w:szCs w:val="24"/>
          <w:lang/>
        </w:rPr>
        <w:t>141.4.4. Сума фрахту, що сплачується резидентом нерезиденту за договорами фрахту, оподатковується за ставкою 6 відсотків у джерела виплати таких доходів за рахунок цих доходів. При цьому:</w:t>
      </w:r>
    </w:p>
    <w:p w14:paraId="62C3BB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4" w:name="n10801"/>
      <w:bookmarkEnd w:id="4154"/>
      <w:r w:rsidRPr="008B264B">
        <w:rPr>
          <w:rFonts w:ascii="Times New Roman" w:eastAsia="Times New Roman" w:hAnsi="Times New Roman" w:cs="Times New Roman"/>
          <w:color w:val="000000"/>
          <w:sz w:val="24"/>
          <w:szCs w:val="24"/>
          <w:lang/>
        </w:rPr>
        <w:t>базою для оподаткування є базова ставка такого фрахту;</w:t>
      </w:r>
    </w:p>
    <w:p w14:paraId="09EC61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5" w:name="n10802"/>
      <w:bookmarkEnd w:id="4155"/>
      <w:r w:rsidRPr="008B264B">
        <w:rPr>
          <w:rFonts w:ascii="Times New Roman" w:eastAsia="Times New Roman" w:hAnsi="Times New Roman" w:cs="Times New Roman"/>
          <w:color w:val="000000"/>
          <w:sz w:val="24"/>
          <w:szCs w:val="24"/>
          <w:lang/>
        </w:rPr>
        <w:t>особами, уповноваженими справляти податок та вносити його до бюджету, є резидент, який виплачує такі доходи, незалежно від того, чи є він платником податку, а також суб’єктом спрощеного оподаткування.</w:t>
      </w:r>
    </w:p>
    <w:p w14:paraId="4C5DB6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6" w:name="n10803"/>
      <w:bookmarkEnd w:id="4156"/>
      <w:r w:rsidRPr="008B264B">
        <w:rPr>
          <w:rFonts w:ascii="Times New Roman" w:eastAsia="Times New Roman" w:hAnsi="Times New Roman" w:cs="Times New Roman"/>
          <w:color w:val="000000"/>
          <w:sz w:val="24"/>
          <w:szCs w:val="24"/>
          <w:lang/>
        </w:rPr>
        <w:t>141.4.5. Страховики або інші резиденти, які здійснюють страхові платежі (страхові внески, страхові премії) та страхові виплати (страхові відшкодування) у межах договорів страхування або перестрахування ризиків, у тому числі страхування життя на користь нерезидентів, зобов’язані оподатковувати суми, що перераховуються, таким чином:</w:t>
      </w:r>
    </w:p>
    <w:p w14:paraId="423F17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7" w:name="n10804"/>
      <w:bookmarkEnd w:id="4157"/>
      <w:r w:rsidRPr="008B264B">
        <w:rPr>
          <w:rFonts w:ascii="Times New Roman" w:eastAsia="Times New Roman" w:hAnsi="Times New Roman" w:cs="Times New Roman"/>
          <w:color w:val="000000"/>
          <w:sz w:val="24"/>
          <w:szCs w:val="24"/>
          <w:lang/>
        </w:rPr>
        <w:t>у межах договорів із обов’язкових видів страхування, за якими страхові виплати (страхові відшкодування) здійснюються на користь фізичних осіб - нерезидентів, а також за договорами страхування у межах системи міжнародних договорів "Зелена карта", а також за договорами страхування пасажирських перевезень цивільної авіації - за ставкою 0 відсотків;</w:t>
      </w:r>
    </w:p>
    <w:p w14:paraId="096565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8" w:name="n10805"/>
      <w:bookmarkEnd w:id="4158"/>
      <w:r w:rsidRPr="008B264B">
        <w:rPr>
          <w:rFonts w:ascii="Times New Roman" w:eastAsia="Times New Roman" w:hAnsi="Times New Roman" w:cs="Times New Roman"/>
          <w:color w:val="000000"/>
          <w:sz w:val="24"/>
          <w:szCs w:val="24"/>
          <w:lang/>
        </w:rPr>
        <w:t>у межах договорів страхування ризиків за межами України, за якими страхові виплати (страхові відшкодування) здійснюються на користь нерезидентів, крім ризиків, зазначених в абзаці другому цього пункту, - за ставкою 4 відсотки суми, що перераховується, за власний рахунок страховика у момент здійснення перерахування такої суми;</w:t>
      </w:r>
    </w:p>
    <w:p w14:paraId="12044B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59" w:name="n10806"/>
      <w:bookmarkEnd w:id="4159"/>
      <w:r w:rsidRPr="008B264B">
        <w:rPr>
          <w:rFonts w:ascii="Times New Roman" w:eastAsia="Times New Roman" w:hAnsi="Times New Roman" w:cs="Times New Roman"/>
          <w:color w:val="000000"/>
          <w:sz w:val="24"/>
          <w:szCs w:val="24"/>
          <w:lang/>
        </w:rPr>
        <w:t>під час укладання договорів страхування або перестрахування ризику безпосередньо із страховиками та перестраховиками-нерезидентами, рейтинг фінансової надійності (стійкості) яких відповідає вимогам, установленим національною комісією, що здійснює державне регулювання у сфері ринків фінансових послуг (у тому числі через або за посередництвом перестрахових брокерів, які в порядку, визначеному такою національною комісією, підтверджують, що перестрахування здійснено в перестраховика, рейтинг фінансової надійності (стійкості) якого відповідає вимогам, установленим зазначеною національною комісією), а також під час укладання договорів перестрахування з обов’язкового страхування цивільної відповідальності оператора ядерної установки за шкоду, яка може бути заподіяна внаслідок ядерного інциденту, - за ставкою 0 відсотків;</w:t>
      </w:r>
    </w:p>
    <w:p w14:paraId="49D076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0" w:name="n14109"/>
      <w:bookmarkEnd w:id="4160"/>
      <w:r w:rsidRPr="008B264B">
        <w:rPr>
          <w:rFonts w:ascii="Times New Roman" w:eastAsia="Times New Roman" w:hAnsi="Times New Roman" w:cs="Times New Roman"/>
          <w:i/>
          <w:iCs/>
          <w:color w:val="000000"/>
          <w:sz w:val="24"/>
          <w:szCs w:val="24"/>
          <w:lang/>
        </w:rPr>
        <w:t>{Абзац четвертий підпункту 141.4.5 пункту 141.4 статті 141 в редакції Закону </w:t>
      </w:r>
      <w:hyperlink r:id="rId2267" w:anchor="n96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D59A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1" w:name="n10807"/>
      <w:bookmarkEnd w:id="4161"/>
      <w:r w:rsidRPr="008B264B">
        <w:rPr>
          <w:rFonts w:ascii="Times New Roman" w:eastAsia="Times New Roman" w:hAnsi="Times New Roman" w:cs="Times New Roman"/>
          <w:color w:val="000000"/>
          <w:sz w:val="24"/>
          <w:szCs w:val="24"/>
          <w:lang/>
        </w:rPr>
        <w:lastRenderedPageBreak/>
        <w:t>в інших випадках, ніж зазначені в абзацах другому - четвертому цього пункту, - за ставкою 12 відсотків суми таких платежів (виплат) за власний рахунок у момент здійснення перерахування таких виплат.</w:t>
      </w:r>
    </w:p>
    <w:p w14:paraId="549A2A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2" w:name="n10808"/>
      <w:bookmarkEnd w:id="4162"/>
      <w:r w:rsidRPr="008B264B">
        <w:rPr>
          <w:rFonts w:ascii="Times New Roman" w:eastAsia="Times New Roman" w:hAnsi="Times New Roman" w:cs="Times New Roman"/>
          <w:color w:val="000000"/>
          <w:sz w:val="24"/>
          <w:szCs w:val="24"/>
          <w:lang/>
        </w:rPr>
        <w:t>141.4.6. Резиденти, які здійснюють виплати нерезидентам за виробництво та/або розповсюдження реклами, під час такої виплати сплачують податок за ставкою 20 відсотків суми таких виплат за власний рахунок.</w:t>
      </w:r>
    </w:p>
    <w:p w14:paraId="394ED2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3" w:name="n10809"/>
      <w:bookmarkEnd w:id="4163"/>
      <w:r w:rsidRPr="008B264B">
        <w:rPr>
          <w:rFonts w:ascii="Times New Roman" w:eastAsia="Times New Roman" w:hAnsi="Times New Roman" w:cs="Times New Roman"/>
          <w:color w:val="000000"/>
          <w:sz w:val="24"/>
          <w:szCs w:val="24"/>
          <w:lang/>
        </w:rPr>
        <w:t>141.4.7. Суми прибутків нерезидентів, які провадять свою діяльність на території України через постійне представництво, оподатковуються в загальному порядку. При цьому таке постійне представництво прирівнюється з метою оподаткування до платника податку, який провадить свою діяльність незалежно від такого нерезидента.</w:t>
      </w:r>
    </w:p>
    <w:p w14:paraId="1FF93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4" w:name="n10810"/>
      <w:bookmarkEnd w:id="4164"/>
      <w:r w:rsidRPr="008B264B">
        <w:rPr>
          <w:rFonts w:ascii="Times New Roman" w:eastAsia="Times New Roman" w:hAnsi="Times New Roman" w:cs="Times New Roman"/>
          <w:color w:val="000000"/>
          <w:sz w:val="24"/>
          <w:szCs w:val="24"/>
          <w:lang/>
        </w:rPr>
        <w:t>У разі якщо нерезидент провадить свою діяльність в Україні та за її межами і при цьому не визначає прибуток від своєї діяльності, що ведеться ним через постійне представництво в Україні, сума прибутку, що підлягає оподаткуванню в Україні, визначається на підставі складення нерезидентом окремого балансу фінансово-господарської діяльності, погодженого з контролюючим органом за місцезнаходженням постійного представництва, з урахуванням вимог, визначених </w:t>
      </w:r>
      <w:hyperlink r:id="rId2268"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w:t>
      </w:r>
    </w:p>
    <w:p w14:paraId="3689FA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5" w:name="n10811"/>
      <w:bookmarkEnd w:id="4165"/>
      <w:r w:rsidRPr="008B264B">
        <w:rPr>
          <w:rFonts w:ascii="Times New Roman" w:eastAsia="Times New Roman" w:hAnsi="Times New Roman" w:cs="Times New Roman"/>
          <w:color w:val="000000"/>
          <w:sz w:val="24"/>
          <w:szCs w:val="24"/>
          <w:lang/>
        </w:rPr>
        <w:t>У разі неможливості визначити шляхом прямого підрахування прибуток, отриманий нерезидентами з джерелом його походження з України, оподатковуваний прибуток визначається контролюючим органом як різниця між доходом та витратами, визначеними шляхом застосування до суми отриманого доходу коефіцієнта 0,7 з урахуванням вимог, визначених </w:t>
      </w:r>
      <w:hyperlink r:id="rId2269"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w:t>
      </w:r>
    </w:p>
    <w:p w14:paraId="665B40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6" w:name="n14842"/>
      <w:bookmarkEnd w:id="4166"/>
      <w:r w:rsidRPr="008B264B">
        <w:rPr>
          <w:rFonts w:ascii="Times New Roman" w:eastAsia="Times New Roman" w:hAnsi="Times New Roman" w:cs="Times New Roman"/>
          <w:i/>
          <w:iCs/>
          <w:color w:val="000000"/>
          <w:sz w:val="24"/>
          <w:szCs w:val="24"/>
          <w:lang/>
        </w:rPr>
        <w:t>{Підпункт 141.4.7 пункту 141.4 статті 141 в редакції Закону </w:t>
      </w:r>
      <w:hyperlink r:id="rId2270" w:anchor="n23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5D7F6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7" w:name="n10812"/>
      <w:bookmarkEnd w:id="4167"/>
      <w:r w:rsidRPr="008B264B">
        <w:rPr>
          <w:rFonts w:ascii="Times New Roman" w:eastAsia="Times New Roman" w:hAnsi="Times New Roman" w:cs="Times New Roman"/>
          <w:color w:val="000000"/>
          <w:sz w:val="24"/>
          <w:szCs w:val="24"/>
          <w:lang/>
        </w:rPr>
        <w:t>141.4.8. Резиденти, які надають агентські, довірчі, комісійні та інші подібні послуги з продажу чи придбання товарів, робіт, послуг за рахунок і на користь тільки певного нерезидента (в тому числі проведення переговорів щодо суттєвих умов та/або укладення договорів з іншими резидентами від імені і на його користь), під час виплати такому нерезиденту утримують і перераховують до відповідного бюджету податок із доходу, отриманого таким нерезидентом із джерел в Україні, визначений у порядку, передбаченому для оподаткування прибутків нерезидентів, що провадять діяльність на території України через постійне представництво. При цьому такі резиденти не підлягають додатковій реєстрації в контролюючих органах як платники податку.</w:t>
      </w:r>
    </w:p>
    <w:p w14:paraId="59057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8" w:name="n10813"/>
      <w:bookmarkEnd w:id="4168"/>
      <w:r w:rsidRPr="008B264B">
        <w:rPr>
          <w:rFonts w:ascii="Times New Roman" w:eastAsia="Times New Roman" w:hAnsi="Times New Roman" w:cs="Times New Roman"/>
          <w:color w:val="000000"/>
          <w:sz w:val="24"/>
          <w:szCs w:val="24"/>
          <w:lang/>
        </w:rPr>
        <w:t>Положення цього пункту не поширюються на випадки надання резидентами агентських, довірчих, комісійних та інших подібних посередницьких послуг з продажу чи придбання товарів, робіт, послуг за рахунок і на користь нерезидентів у випадку, якщо вони надають зазначені послуги в рамках своєї основної (звичайної) діяльності.</w:t>
      </w:r>
    </w:p>
    <w:p w14:paraId="430C2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69" w:name="n10814"/>
      <w:bookmarkEnd w:id="4169"/>
      <w:r w:rsidRPr="008B264B">
        <w:rPr>
          <w:rFonts w:ascii="Times New Roman" w:eastAsia="Times New Roman" w:hAnsi="Times New Roman" w:cs="Times New Roman"/>
          <w:color w:val="000000"/>
          <w:sz w:val="24"/>
          <w:szCs w:val="24"/>
          <w:lang/>
        </w:rPr>
        <w:t>141.4.9. Під час укладання договорів з нерезидентами не дозволяється включення до них податкових застережень, згідно з якими підприємства, що виплачують доходи, беруть на себе зобов’язання щодо сплати податків на доходи нерезидентів.</w:t>
      </w:r>
    </w:p>
    <w:p w14:paraId="447074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0" w:name="n10815"/>
      <w:bookmarkEnd w:id="4170"/>
      <w:r w:rsidRPr="008B264B">
        <w:rPr>
          <w:rFonts w:ascii="Times New Roman" w:eastAsia="Times New Roman" w:hAnsi="Times New Roman" w:cs="Times New Roman"/>
          <w:color w:val="000000"/>
          <w:sz w:val="24"/>
          <w:szCs w:val="24"/>
          <w:lang/>
        </w:rPr>
        <w:t>Суми податку на прибуток, отриманий з іноземних джерел, що сплачені суб’єктами господарювання за кордоном, зараховуються під час сплати ними податку в Україні. При цьому зарахуванню підлягає сума податку, розрахована за правилами, встановленими цим розділом.</w:t>
      </w:r>
    </w:p>
    <w:p w14:paraId="292DFE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1" w:name="n10816"/>
      <w:bookmarkEnd w:id="4171"/>
      <w:r w:rsidRPr="008B264B">
        <w:rPr>
          <w:rFonts w:ascii="Times New Roman" w:eastAsia="Times New Roman" w:hAnsi="Times New Roman" w:cs="Times New Roman"/>
          <w:color w:val="000000"/>
          <w:sz w:val="24"/>
          <w:szCs w:val="24"/>
          <w:lang/>
        </w:rPr>
        <w:t>Розмір зарахованих сум податку з іноземних джерел протягом податкового (звітного) періоду не може перевищувати суми податку, що підлягає сплаті в Україні таким платником податку протягом такого періоду.</w:t>
      </w:r>
    </w:p>
    <w:p w14:paraId="64788E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2" w:name="n10817"/>
      <w:bookmarkEnd w:id="4172"/>
      <w:r w:rsidRPr="008B264B">
        <w:rPr>
          <w:rFonts w:ascii="Times New Roman" w:eastAsia="Times New Roman" w:hAnsi="Times New Roman" w:cs="Times New Roman"/>
          <w:color w:val="000000"/>
          <w:sz w:val="24"/>
          <w:szCs w:val="24"/>
          <w:lang/>
        </w:rPr>
        <w:t>Не підлягають зарахуванню у зменшення податкових зобов’язань такі податки, сплачені в інших країнах:</w:t>
      </w:r>
    </w:p>
    <w:p w14:paraId="000239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3" w:name="n10818"/>
      <w:bookmarkEnd w:id="4173"/>
      <w:r w:rsidRPr="008B264B">
        <w:rPr>
          <w:rFonts w:ascii="Times New Roman" w:eastAsia="Times New Roman" w:hAnsi="Times New Roman" w:cs="Times New Roman"/>
          <w:color w:val="000000"/>
          <w:sz w:val="24"/>
          <w:szCs w:val="24"/>
          <w:lang/>
        </w:rPr>
        <w:t>податок на капітал/майно та приріст капіталу;</w:t>
      </w:r>
    </w:p>
    <w:p w14:paraId="707600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4" w:name="n10819"/>
      <w:bookmarkEnd w:id="4174"/>
      <w:r w:rsidRPr="008B264B">
        <w:rPr>
          <w:rFonts w:ascii="Times New Roman" w:eastAsia="Times New Roman" w:hAnsi="Times New Roman" w:cs="Times New Roman"/>
          <w:color w:val="000000"/>
          <w:sz w:val="24"/>
          <w:szCs w:val="24"/>
          <w:lang/>
        </w:rPr>
        <w:lastRenderedPageBreak/>
        <w:t>поштові податки;</w:t>
      </w:r>
    </w:p>
    <w:p w14:paraId="7A1097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5" w:name="n10820"/>
      <w:bookmarkEnd w:id="4175"/>
      <w:r w:rsidRPr="008B264B">
        <w:rPr>
          <w:rFonts w:ascii="Times New Roman" w:eastAsia="Times New Roman" w:hAnsi="Times New Roman" w:cs="Times New Roman"/>
          <w:color w:val="000000"/>
          <w:sz w:val="24"/>
          <w:szCs w:val="24"/>
          <w:lang/>
        </w:rPr>
        <w:t>податки на реалізацію (продаж);</w:t>
      </w:r>
    </w:p>
    <w:p w14:paraId="69A3C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6" w:name="n10821"/>
      <w:bookmarkEnd w:id="4176"/>
      <w:r w:rsidRPr="008B264B">
        <w:rPr>
          <w:rFonts w:ascii="Times New Roman" w:eastAsia="Times New Roman" w:hAnsi="Times New Roman" w:cs="Times New Roman"/>
          <w:color w:val="000000"/>
          <w:sz w:val="24"/>
          <w:szCs w:val="24"/>
          <w:lang/>
        </w:rPr>
        <w:t>інші непрямі податки незалежно від того, підпадають вони під категорію прибуткових податків чи оподатковуються іншими податками згідно із законодавством іноземних держав.</w:t>
      </w:r>
    </w:p>
    <w:p w14:paraId="4B3536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7" w:name="n10822"/>
      <w:bookmarkEnd w:id="4177"/>
      <w:r w:rsidRPr="008B264B">
        <w:rPr>
          <w:rFonts w:ascii="Times New Roman" w:eastAsia="Times New Roman" w:hAnsi="Times New Roman" w:cs="Times New Roman"/>
          <w:color w:val="000000"/>
          <w:sz w:val="24"/>
          <w:szCs w:val="24"/>
          <w:lang/>
        </w:rPr>
        <w:t>Зарахування сплачених за митним кордоном України сум податку здійснюється за умови подання письмового підтвердження контролюючого органу іншої держави щодо факту сплати такого податку та за наявності чинного міжнародного договору України про уникнення подвійного оподаткування доходів.</w:t>
      </w:r>
    </w:p>
    <w:p w14:paraId="537D7D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8" w:name="n10823"/>
      <w:bookmarkEnd w:id="4178"/>
      <w:r w:rsidRPr="008B264B">
        <w:rPr>
          <w:rFonts w:ascii="Times New Roman" w:eastAsia="Times New Roman" w:hAnsi="Times New Roman" w:cs="Times New Roman"/>
          <w:i/>
          <w:iCs/>
          <w:color w:val="000000"/>
          <w:sz w:val="24"/>
          <w:szCs w:val="24"/>
          <w:lang/>
        </w:rPr>
        <w:t>{Абзац десятий підпункту 141.4.9 пункту 141.4 статті 141 виключено на підставі Закону </w:t>
      </w:r>
      <w:hyperlink r:id="rId2271" w:anchor="n9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0476E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79" w:name="n12353"/>
      <w:bookmarkEnd w:id="4179"/>
      <w:r w:rsidRPr="008B264B">
        <w:rPr>
          <w:rFonts w:ascii="Times New Roman" w:eastAsia="Times New Roman" w:hAnsi="Times New Roman" w:cs="Times New Roman"/>
          <w:color w:val="000000"/>
          <w:sz w:val="24"/>
          <w:szCs w:val="24"/>
          <w:lang/>
        </w:rPr>
        <w:t>141.4.10. Не підлягають оподаткуванню доходи, отримані нерезидентами у вигляді процентів або доходу (дисконту) на державні цінні папери або облігації місцевих позик, або боргові цінні папери, виконання зобов’язань за якими забезпечено державними або місцевими гарантіями, або у вигляді інших доходів за державними цінними паперами, що виплачуються центральним органом виконавчої влади, що забезпечує формування та реалізує державну фінансову політику, або у вигляді процентів, сплачених нерезидентам за отримані державою або до бюджету Автономної Республіки Крим чи міського бюджету позики (кредити або зовнішні запозичення), які відображаються в Державному бюджеті України або місцевих бюджетах чи кошторисі Національного банку України, або за кредити (позики), які отримані суб’єктами господарювання та виконання яких забезпечено державними або місцевими гарантіями.</w:t>
      </w:r>
    </w:p>
    <w:p w14:paraId="1F617F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0" w:name="n12352"/>
      <w:bookmarkEnd w:id="4180"/>
      <w:r w:rsidRPr="008B264B">
        <w:rPr>
          <w:rFonts w:ascii="Times New Roman" w:eastAsia="Times New Roman" w:hAnsi="Times New Roman" w:cs="Times New Roman"/>
          <w:i/>
          <w:iCs/>
          <w:color w:val="000000"/>
          <w:sz w:val="24"/>
          <w:szCs w:val="24"/>
          <w:lang/>
        </w:rPr>
        <w:t>{Пункт 141.4 статті 141 доповнено підпунктом 141.1.10 згідно із Законом </w:t>
      </w:r>
      <w:hyperlink r:id="rId2272" w:anchor="n6" w:tgtFrame="_blank" w:history="1">
        <w:r w:rsidRPr="008B264B">
          <w:rPr>
            <w:rFonts w:ascii="Times New Roman" w:eastAsia="Times New Roman" w:hAnsi="Times New Roman" w:cs="Times New Roman"/>
            <w:i/>
            <w:iCs/>
            <w:color w:val="0000FF"/>
            <w:sz w:val="24"/>
            <w:szCs w:val="24"/>
            <w:u w:val="single"/>
            <w:lang/>
          </w:rPr>
          <w:t>№ 482-VIII від 22.05.2015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273" w:anchor="n96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2274" w:anchor="n7" w:tgtFrame="_blank" w:history="1">
        <w:r w:rsidRPr="008B264B">
          <w:rPr>
            <w:rFonts w:ascii="Times New Roman" w:eastAsia="Times New Roman" w:hAnsi="Times New Roman" w:cs="Times New Roman"/>
            <w:i/>
            <w:iCs/>
            <w:color w:val="0000FF"/>
            <w:sz w:val="24"/>
            <w:szCs w:val="24"/>
            <w:u w:val="single"/>
            <w:lang/>
          </w:rPr>
          <w:t>№ 2146-VIII від 07.09.2017</w:t>
        </w:r>
      </w:hyperlink>
      <w:r w:rsidRPr="008B264B">
        <w:rPr>
          <w:rFonts w:ascii="Times New Roman" w:eastAsia="Times New Roman" w:hAnsi="Times New Roman" w:cs="Times New Roman"/>
          <w:i/>
          <w:iCs/>
          <w:color w:val="000000"/>
          <w:sz w:val="24"/>
          <w:szCs w:val="24"/>
          <w:lang/>
        </w:rPr>
        <w:t>}</w:t>
      </w:r>
    </w:p>
    <w:p w14:paraId="7A72FC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1" w:name="n14111"/>
      <w:bookmarkEnd w:id="4181"/>
      <w:r w:rsidRPr="008B264B">
        <w:rPr>
          <w:rFonts w:ascii="Times New Roman" w:eastAsia="Times New Roman" w:hAnsi="Times New Roman" w:cs="Times New Roman"/>
          <w:color w:val="000000"/>
          <w:sz w:val="24"/>
          <w:szCs w:val="24"/>
          <w:lang/>
        </w:rPr>
        <w:t>141.4.11. Доходи нерезидентів у вигляді процентів за позиками або фінансовими кредитами, наданими резидентам, оподатковуються за ставкою в розмірі 5 відсотків у джерела виплати таких доходів та за рахунок таких доходів з одночасно дотриманням таких умов:</w:t>
      </w:r>
    </w:p>
    <w:p w14:paraId="285B20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2" w:name="n14112"/>
      <w:bookmarkEnd w:id="4182"/>
      <w:r w:rsidRPr="008B264B">
        <w:rPr>
          <w:rFonts w:ascii="Times New Roman" w:eastAsia="Times New Roman" w:hAnsi="Times New Roman" w:cs="Times New Roman"/>
          <w:color w:val="000000"/>
          <w:sz w:val="24"/>
          <w:szCs w:val="24"/>
          <w:lang/>
        </w:rPr>
        <w:t>а) кошти, надані нерезидентом за позикою або фінансовим кредитом, залучені ним шляхом розміщення іноземних боргових цінних паперів на іноземній фондовій біржі, що входить до </w:t>
      </w:r>
      <w:hyperlink r:id="rId2275" w:anchor="n11" w:tgtFrame="_blank" w:history="1">
        <w:r w:rsidRPr="008B264B">
          <w:rPr>
            <w:rFonts w:ascii="Times New Roman" w:eastAsia="Times New Roman" w:hAnsi="Times New Roman" w:cs="Times New Roman"/>
            <w:color w:val="0000FF"/>
            <w:sz w:val="24"/>
            <w:szCs w:val="24"/>
            <w:u w:val="single"/>
            <w:lang/>
          </w:rPr>
          <w:t>переліку</w:t>
        </w:r>
      </w:hyperlink>
      <w:r w:rsidRPr="008B264B">
        <w:rPr>
          <w:rFonts w:ascii="Times New Roman" w:eastAsia="Times New Roman" w:hAnsi="Times New Roman" w:cs="Times New Roman"/>
          <w:color w:val="000000"/>
          <w:sz w:val="24"/>
          <w:szCs w:val="24"/>
          <w:lang/>
        </w:rPr>
        <w:t>, затвердженого Кабінетом Міністрів України;</w:t>
      </w:r>
    </w:p>
    <w:p w14:paraId="4AFC5D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3" w:name="n14113"/>
      <w:bookmarkEnd w:id="4183"/>
      <w:r w:rsidRPr="008B264B">
        <w:rPr>
          <w:rFonts w:ascii="Times New Roman" w:eastAsia="Times New Roman" w:hAnsi="Times New Roman" w:cs="Times New Roman"/>
          <w:color w:val="000000"/>
          <w:sz w:val="24"/>
          <w:szCs w:val="24"/>
          <w:lang/>
        </w:rPr>
        <w:t>б) кошти, надані нерезидентом за позикою або фінансовим кредитом, залучені з метою надання (прямо або опосередковано) резиденту позики або фінансового кредиту;</w:t>
      </w:r>
    </w:p>
    <w:p w14:paraId="4E94F1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4" w:name="n14114"/>
      <w:bookmarkEnd w:id="4184"/>
      <w:r w:rsidRPr="008B264B">
        <w:rPr>
          <w:rFonts w:ascii="Times New Roman" w:eastAsia="Times New Roman" w:hAnsi="Times New Roman" w:cs="Times New Roman"/>
          <w:color w:val="000000"/>
          <w:sz w:val="24"/>
          <w:szCs w:val="24"/>
          <w:lang/>
        </w:rPr>
        <w:t>в) нерезидент, якому виплачуються проценти, та/або уповноважена ним особа (якщо проценти виплачуються через таку особу) не є резидентами юрисдикцій, які на дату розміщення нерезидентом іноземних боргових цінних паперів включені до переліку держав (територій), затвердженого Кабінетом Міністрів України відповідно до </w:t>
      </w:r>
      <w:hyperlink r:id="rId2276" w:anchor="n10886" w:history="1">
        <w:r w:rsidRPr="008B264B">
          <w:rPr>
            <w:rFonts w:ascii="Times New Roman" w:eastAsia="Times New Roman" w:hAnsi="Times New Roman" w:cs="Times New Roman"/>
            <w:color w:val="0000FF"/>
            <w:sz w:val="24"/>
            <w:szCs w:val="24"/>
            <w:u w:val="single"/>
            <w:lang/>
          </w:rPr>
          <w:t>підпункту 39.2.1.2</w:t>
        </w:r>
      </w:hyperlink>
      <w:r w:rsidRPr="008B264B">
        <w:rPr>
          <w:rFonts w:ascii="Times New Roman" w:eastAsia="Times New Roman" w:hAnsi="Times New Roman" w:cs="Times New Roman"/>
          <w:color w:val="000000"/>
          <w:sz w:val="24"/>
          <w:szCs w:val="24"/>
          <w:lang/>
        </w:rPr>
        <w:t> підпункту 39.2.1 пункту 39.2 статті 39 цього Кодексу.</w:t>
      </w:r>
    </w:p>
    <w:p w14:paraId="42F046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5" w:name="n14110"/>
      <w:bookmarkEnd w:id="4185"/>
      <w:r w:rsidRPr="008B264B">
        <w:rPr>
          <w:rFonts w:ascii="Times New Roman" w:eastAsia="Times New Roman" w:hAnsi="Times New Roman" w:cs="Times New Roman"/>
          <w:i/>
          <w:iCs/>
          <w:color w:val="000000"/>
          <w:sz w:val="24"/>
          <w:szCs w:val="24"/>
          <w:lang/>
        </w:rPr>
        <w:t>{Пункт 141.4 статті 141 доповнено підпунктом 141.1.11 згідно із Законом </w:t>
      </w:r>
      <w:hyperlink r:id="rId2277" w:anchor="n9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CE9B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6" w:name="n10824"/>
      <w:bookmarkEnd w:id="4186"/>
      <w:r w:rsidRPr="008B264B">
        <w:rPr>
          <w:rFonts w:ascii="Times New Roman" w:eastAsia="Times New Roman" w:hAnsi="Times New Roman" w:cs="Times New Roman"/>
          <w:color w:val="000000"/>
          <w:sz w:val="24"/>
          <w:szCs w:val="24"/>
          <w:lang/>
        </w:rPr>
        <w:t>141.5. Особливості оподаткування букмекерської діяльності, азартних ігор (у тому числі казино)</w:t>
      </w:r>
    </w:p>
    <w:p w14:paraId="0F3D1E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7" w:name="n10825"/>
      <w:bookmarkEnd w:id="4187"/>
      <w:r w:rsidRPr="008B264B">
        <w:rPr>
          <w:rFonts w:ascii="Times New Roman" w:eastAsia="Times New Roman" w:hAnsi="Times New Roman" w:cs="Times New Roman"/>
          <w:color w:val="000000"/>
          <w:sz w:val="24"/>
          <w:szCs w:val="24"/>
          <w:lang/>
        </w:rPr>
        <w:t>141.5.1. Суб’єкти, що здійснюють букмекерську діяльність, азартних ігор (у тому числі казино) одночасно з податком на прибуток за ставкою, визначеною у </w:t>
      </w:r>
      <w:hyperlink r:id="rId2278" w:anchor="n10643" w:history="1">
        <w:r w:rsidRPr="008B264B">
          <w:rPr>
            <w:rFonts w:ascii="Times New Roman" w:eastAsia="Times New Roman" w:hAnsi="Times New Roman" w:cs="Times New Roman"/>
            <w:color w:val="0000FF"/>
            <w:sz w:val="24"/>
            <w:szCs w:val="24"/>
            <w:u w:val="single"/>
            <w:lang/>
          </w:rPr>
          <w:t>пункті 136.1</w:t>
        </w:r>
      </w:hyperlink>
      <w:r w:rsidRPr="008B264B">
        <w:rPr>
          <w:rFonts w:ascii="Times New Roman" w:eastAsia="Times New Roman" w:hAnsi="Times New Roman" w:cs="Times New Roman"/>
          <w:color w:val="000000"/>
          <w:sz w:val="24"/>
          <w:szCs w:val="24"/>
          <w:lang/>
        </w:rPr>
        <w:t> статті 136 цього Кодексу, сплачують податок на дохід за ставками, визначеними у </w:t>
      </w:r>
      <w:hyperlink r:id="rId2279" w:anchor="n10649" w:history="1">
        <w:r w:rsidRPr="008B264B">
          <w:rPr>
            <w:rFonts w:ascii="Times New Roman" w:eastAsia="Times New Roman" w:hAnsi="Times New Roman" w:cs="Times New Roman"/>
            <w:color w:val="0000FF"/>
            <w:sz w:val="24"/>
            <w:szCs w:val="24"/>
            <w:u w:val="single"/>
            <w:lang/>
          </w:rPr>
          <w:t>підпунктах 136.4.1</w:t>
        </w:r>
      </w:hyperlink>
      <w:r w:rsidRPr="008B264B">
        <w:rPr>
          <w:rFonts w:ascii="Times New Roman" w:eastAsia="Times New Roman" w:hAnsi="Times New Roman" w:cs="Times New Roman"/>
          <w:color w:val="000000"/>
          <w:sz w:val="24"/>
          <w:szCs w:val="24"/>
          <w:lang/>
        </w:rPr>
        <w:t>, </w:t>
      </w:r>
      <w:hyperlink r:id="rId2280" w:anchor="n10650" w:history="1">
        <w:r w:rsidRPr="008B264B">
          <w:rPr>
            <w:rFonts w:ascii="Times New Roman" w:eastAsia="Times New Roman" w:hAnsi="Times New Roman" w:cs="Times New Roman"/>
            <w:color w:val="0000FF"/>
            <w:sz w:val="24"/>
            <w:szCs w:val="24"/>
            <w:u w:val="single"/>
            <w:lang/>
          </w:rPr>
          <w:t>136.4.2</w:t>
        </w:r>
      </w:hyperlink>
      <w:r w:rsidRPr="008B264B">
        <w:rPr>
          <w:rFonts w:ascii="Times New Roman" w:eastAsia="Times New Roman" w:hAnsi="Times New Roman" w:cs="Times New Roman"/>
          <w:color w:val="000000"/>
          <w:sz w:val="24"/>
          <w:szCs w:val="24"/>
          <w:lang/>
        </w:rPr>
        <w:t> пункту 136.4 статті 136 цього Кодексу.</w:t>
      </w:r>
    </w:p>
    <w:p w14:paraId="36CFE7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8" w:name="n10826"/>
      <w:bookmarkEnd w:id="4188"/>
      <w:r w:rsidRPr="008B264B">
        <w:rPr>
          <w:rFonts w:ascii="Times New Roman" w:eastAsia="Times New Roman" w:hAnsi="Times New Roman" w:cs="Times New Roman"/>
          <w:color w:val="000000"/>
          <w:sz w:val="24"/>
          <w:szCs w:val="24"/>
          <w:lang/>
        </w:rPr>
        <w:t>Нарахований суб’єктом, що здійснює букмекерську діяльність, організацію та проведення азартних ігор (у тому числі казино), податок на дохід за ставками, визначеними в </w:t>
      </w:r>
      <w:hyperlink r:id="rId2281" w:anchor="n10649" w:history="1">
        <w:r w:rsidRPr="008B264B">
          <w:rPr>
            <w:rFonts w:ascii="Times New Roman" w:eastAsia="Times New Roman" w:hAnsi="Times New Roman" w:cs="Times New Roman"/>
            <w:color w:val="0000FF"/>
            <w:sz w:val="24"/>
            <w:szCs w:val="24"/>
            <w:u w:val="single"/>
            <w:lang/>
          </w:rPr>
          <w:t xml:space="preserve">підпунктах </w:t>
        </w:r>
        <w:r w:rsidRPr="008B264B">
          <w:rPr>
            <w:rFonts w:ascii="Times New Roman" w:eastAsia="Times New Roman" w:hAnsi="Times New Roman" w:cs="Times New Roman"/>
            <w:color w:val="0000FF"/>
            <w:sz w:val="24"/>
            <w:szCs w:val="24"/>
            <w:u w:val="single"/>
            <w:lang/>
          </w:rPr>
          <w:lastRenderedPageBreak/>
          <w:t>136.4.1</w:t>
        </w:r>
      </w:hyperlink>
      <w:r w:rsidRPr="008B264B">
        <w:rPr>
          <w:rFonts w:ascii="Times New Roman" w:eastAsia="Times New Roman" w:hAnsi="Times New Roman" w:cs="Times New Roman"/>
          <w:color w:val="000000"/>
          <w:sz w:val="24"/>
          <w:szCs w:val="24"/>
          <w:lang/>
        </w:rPr>
        <w:t>, </w:t>
      </w:r>
      <w:hyperlink r:id="rId2282" w:anchor="n10650" w:history="1">
        <w:r w:rsidRPr="008B264B">
          <w:rPr>
            <w:rFonts w:ascii="Times New Roman" w:eastAsia="Times New Roman" w:hAnsi="Times New Roman" w:cs="Times New Roman"/>
            <w:color w:val="0000FF"/>
            <w:sz w:val="24"/>
            <w:szCs w:val="24"/>
            <w:u w:val="single"/>
            <w:lang/>
          </w:rPr>
          <w:t>136.4.2</w:t>
        </w:r>
      </w:hyperlink>
      <w:r w:rsidRPr="008B264B">
        <w:rPr>
          <w:rFonts w:ascii="Times New Roman" w:eastAsia="Times New Roman" w:hAnsi="Times New Roman" w:cs="Times New Roman"/>
          <w:color w:val="000000"/>
          <w:sz w:val="24"/>
          <w:szCs w:val="24"/>
          <w:lang/>
        </w:rPr>
        <w:t> пункту 136.4 статті 136 цього Кодексу, не є різницею та не зменшує фінансовий результат до оподаткування такого суб’єкта.</w:t>
      </w:r>
    </w:p>
    <w:p w14:paraId="6100A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89" w:name="n14116"/>
      <w:bookmarkEnd w:id="4189"/>
      <w:r w:rsidRPr="008B264B">
        <w:rPr>
          <w:rFonts w:ascii="Times New Roman" w:eastAsia="Times New Roman" w:hAnsi="Times New Roman" w:cs="Times New Roman"/>
          <w:i/>
          <w:iCs/>
          <w:color w:val="000000"/>
          <w:sz w:val="24"/>
          <w:szCs w:val="24"/>
          <w:lang/>
        </w:rPr>
        <w:t>{Пункт 141.5 статті 141 із змінами, внесеними згідно із Законом </w:t>
      </w:r>
      <w:hyperlink r:id="rId2283" w:anchor="n9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0E3D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0" w:name="n10827"/>
      <w:bookmarkEnd w:id="4190"/>
      <w:r w:rsidRPr="008B264B">
        <w:rPr>
          <w:rFonts w:ascii="Times New Roman" w:eastAsia="Times New Roman" w:hAnsi="Times New Roman" w:cs="Times New Roman"/>
          <w:color w:val="000000"/>
          <w:sz w:val="24"/>
          <w:szCs w:val="24"/>
          <w:lang/>
        </w:rPr>
        <w:t>141.6. Особливості оподаткування інститутів спільного інвестування та суб’єктів недержавного пенсійного забезпечення</w:t>
      </w:r>
    </w:p>
    <w:p w14:paraId="274A20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1" w:name="n10828"/>
      <w:bookmarkEnd w:id="4191"/>
      <w:r w:rsidRPr="008B264B">
        <w:rPr>
          <w:rFonts w:ascii="Times New Roman" w:eastAsia="Times New Roman" w:hAnsi="Times New Roman" w:cs="Times New Roman"/>
          <w:color w:val="000000"/>
          <w:sz w:val="24"/>
          <w:szCs w:val="24"/>
          <w:lang/>
        </w:rPr>
        <w:t>141.6.1. Звільняються від оподаткування кошти спільного інвестування, а саме: кошти, внесені засновниками корпоративного фонду, кошти та інші активи, залучені від учасників інституту спільного інвестування, доходи від здійснення операцій з активами інституту спільного інвестування, доходи, нараховані за активами інституту спільного інвестування, та інші доходи від діяльності інституту спільного інвестування (відсотки за позиками, орендні (лізингові) платежі, роялті тощо).</w:t>
      </w:r>
    </w:p>
    <w:p w14:paraId="61BD63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2" w:name="n10829"/>
      <w:bookmarkEnd w:id="4192"/>
      <w:r w:rsidRPr="008B264B">
        <w:rPr>
          <w:rFonts w:ascii="Times New Roman" w:eastAsia="Times New Roman" w:hAnsi="Times New Roman" w:cs="Times New Roman"/>
          <w:color w:val="000000"/>
          <w:sz w:val="24"/>
          <w:szCs w:val="24"/>
          <w:lang/>
        </w:rPr>
        <w:t>141.6.2. Звільняються від оподаткування суми коштів у вигляді внесків, які надходять до платників податку, що здійснюють недержавне пенсійне забезпечення відповідно до закону, від вкладників пенсійних фондів, вкладників пенсійних депозитних рахунків та осіб, які уклали договори страхування відповідно до</w:t>
      </w:r>
      <w:hyperlink r:id="rId2284" w:tgtFrame="_blank" w:history="1">
        <w:r w:rsidRPr="008B264B">
          <w:rPr>
            <w:rFonts w:ascii="Times New Roman" w:eastAsia="Times New Roman" w:hAnsi="Times New Roman" w:cs="Times New Roman"/>
            <w:color w:val="0000FF"/>
            <w:sz w:val="24"/>
            <w:szCs w:val="24"/>
            <w:u w:val="single"/>
            <w:lang/>
          </w:rPr>
          <w:t> Закону України</w:t>
        </w:r>
      </w:hyperlink>
      <w:r w:rsidRPr="008B264B">
        <w:rPr>
          <w:rFonts w:ascii="Times New Roman" w:eastAsia="Times New Roman" w:hAnsi="Times New Roman" w:cs="Times New Roman"/>
          <w:color w:val="000000"/>
          <w:sz w:val="24"/>
          <w:szCs w:val="24"/>
          <w:lang/>
        </w:rPr>
        <w:t> "Про недержавне пенсійне забезпечення", а також осіб, які уклали договори страхування ризику настання інвалідності або смерті учасника недержавного пенсійного фонду відповідно до зазначеного Закону.</w:t>
      </w:r>
    </w:p>
    <w:p w14:paraId="39AB77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3" w:name="n10830"/>
      <w:bookmarkEnd w:id="4193"/>
      <w:r w:rsidRPr="008B264B">
        <w:rPr>
          <w:rFonts w:ascii="Times New Roman" w:eastAsia="Times New Roman" w:hAnsi="Times New Roman" w:cs="Times New Roman"/>
          <w:i/>
          <w:iCs/>
          <w:color w:val="000000"/>
          <w:sz w:val="24"/>
          <w:szCs w:val="24"/>
          <w:lang/>
        </w:rPr>
        <w:t>{Пункт 141.7 статті 141 виключено на підставі Закону </w:t>
      </w:r>
      <w:hyperlink r:id="rId2285" w:anchor="n9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091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4" w:name="n14118"/>
      <w:bookmarkEnd w:id="4194"/>
      <w:r w:rsidRPr="008B264B">
        <w:rPr>
          <w:rFonts w:ascii="Times New Roman" w:eastAsia="Times New Roman" w:hAnsi="Times New Roman" w:cs="Times New Roman"/>
          <w:color w:val="000000"/>
          <w:sz w:val="24"/>
          <w:szCs w:val="24"/>
          <w:lang/>
        </w:rPr>
        <w:t>141.8. Особливості оподаткування суб’єктів, які здійснюють випуск та проведення лотерей.</w:t>
      </w:r>
    </w:p>
    <w:p w14:paraId="3215B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5" w:name="n14119"/>
      <w:bookmarkEnd w:id="4195"/>
      <w:r w:rsidRPr="008B264B">
        <w:rPr>
          <w:rFonts w:ascii="Times New Roman" w:eastAsia="Times New Roman" w:hAnsi="Times New Roman" w:cs="Times New Roman"/>
          <w:color w:val="000000"/>
          <w:sz w:val="24"/>
          <w:szCs w:val="24"/>
          <w:lang/>
        </w:rPr>
        <w:t>Дохід суб’єктів, які здійснюють випуск та проведення лотерей, від операцій з випуску та проведення лотерей підлягає оподаткуванню за ставкою, визначеною у пункті 136.6 статті 136 цього Кодексу.</w:t>
      </w:r>
    </w:p>
    <w:p w14:paraId="062F1D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6" w:name="n14120"/>
      <w:bookmarkEnd w:id="4196"/>
      <w:r w:rsidRPr="008B264B">
        <w:rPr>
          <w:rFonts w:ascii="Times New Roman" w:eastAsia="Times New Roman" w:hAnsi="Times New Roman" w:cs="Times New Roman"/>
          <w:color w:val="000000"/>
          <w:sz w:val="24"/>
          <w:szCs w:val="24"/>
          <w:lang/>
        </w:rPr>
        <w:t>Прибуток суб’єктів, що здійснюють випуск та проведення лотерей, від здійснення іншої діяльності, яка не пов’язана із випуском та проведенням лотерей, нараховується та сплачується за правилами цього розділу за базовою (основною) ставкою податку.</w:t>
      </w:r>
    </w:p>
    <w:p w14:paraId="589CC4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7" w:name="n14121"/>
      <w:bookmarkEnd w:id="4197"/>
      <w:r w:rsidRPr="008B264B">
        <w:rPr>
          <w:rFonts w:ascii="Times New Roman" w:eastAsia="Times New Roman" w:hAnsi="Times New Roman" w:cs="Times New Roman"/>
          <w:color w:val="000000"/>
          <w:sz w:val="24"/>
          <w:szCs w:val="24"/>
          <w:lang/>
        </w:rPr>
        <w:t>Нарахований суб’єктами, що здійснюють випуск та проведення лотерей, податок на дохід за ставкою, визначеною в пункті 136.6 статті 136 цього Кодексу, не є різницею та не зменшує фінансовий результат до оподаткування такого суб’єкта.</w:t>
      </w:r>
    </w:p>
    <w:p w14:paraId="112E18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8" w:name="n14117"/>
      <w:bookmarkEnd w:id="4198"/>
      <w:r w:rsidRPr="008B264B">
        <w:rPr>
          <w:rFonts w:ascii="Times New Roman" w:eastAsia="Times New Roman" w:hAnsi="Times New Roman" w:cs="Times New Roman"/>
          <w:i/>
          <w:iCs/>
          <w:color w:val="000000"/>
          <w:sz w:val="24"/>
          <w:szCs w:val="24"/>
          <w:lang/>
        </w:rPr>
        <w:t>{Статтю 141 доповнено пунктом 141.8 згідно із Законом </w:t>
      </w:r>
      <w:hyperlink r:id="rId2286" w:anchor="n9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6797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199" w:name="n10832"/>
      <w:bookmarkEnd w:id="4199"/>
      <w:r w:rsidRPr="008B264B">
        <w:rPr>
          <w:rFonts w:ascii="Times New Roman" w:eastAsia="Times New Roman" w:hAnsi="Times New Roman" w:cs="Times New Roman"/>
          <w:b/>
          <w:bCs/>
          <w:color w:val="000000"/>
          <w:sz w:val="24"/>
          <w:szCs w:val="24"/>
          <w:lang/>
        </w:rPr>
        <w:t>Стаття 142.</w:t>
      </w:r>
      <w:r w:rsidRPr="008B264B">
        <w:rPr>
          <w:rFonts w:ascii="Times New Roman" w:eastAsia="Times New Roman" w:hAnsi="Times New Roman" w:cs="Times New Roman"/>
          <w:color w:val="000000"/>
          <w:sz w:val="24"/>
          <w:szCs w:val="24"/>
          <w:lang/>
        </w:rPr>
        <w:t> Звільнення від оподаткування</w:t>
      </w:r>
    </w:p>
    <w:p w14:paraId="113AF6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0" w:name="n10833"/>
      <w:bookmarkEnd w:id="4200"/>
      <w:r w:rsidRPr="008B264B">
        <w:rPr>
          <w:rFonts w:ascii="Times New Roman" w:eastAsia="Times New Roman" w:hAnsi="Times New Roman" w:cs="Times New Roman"/>
          <w:color w:val="000000"/>
          <w:sz w:val="24"/>
          <w:szCs w:val="24"/>
          <w:lang/>
        </w:rPr>
        <w:t>142.1. Звільняється від оподаткування прибуток підприємств та організацій, які засновані громадськими об’єднаннями осіб з інвалідністю і є їх повною власністю, отриманий від продажу (постачання) товарів, виконання робіт і надання послуг, крім підакцизних товарів, послуг із поставки підакцизних товарів, отриманих у межах договорів комісії (консигнації), поруки, доручення, довірчого управління, інших цивільно-правових договорів, що уповноважують такого платника податку здійснювати постачання товарів від імені та за дорученням іншої особи без передачі права власності на такі товари, де протягом попереднього звітного (податкового) періоду кількість осіб з інвалідністю, які мають там основне місце роботи, становить не менш як 50 відсотків середньооблікової чисельності штатних працівників облікового складу за умови, що фонд оплати праці таких осіб з інвалідністю становить протягом звітного періоду не менш як 25 відсотків суми загальних витрат на оплату праці.</w:t>
      </w:r>
    </w:p>
    <w:p w14:paraId="1DFEEE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1" w:name="n10834"/>
      <w:bookmarkEnd w:id="4201"/>
      <w:r w:rsidRPr="008B264B">
        <w:rPr>
          <w:rFonts w:ascii="Times New Roman" w:eastAsia="Times New Roman" w:hAnsi="Times New Roman" w:cs="Times New Roman"/>
          <w:color w:val="000000"/>
          <w:sz w:val="24"/>
          <w:szCs w:val="24"/>
          <w:lang/>
        </w:rPr>
        <w:t>Зазначені підприємства та організації громадських об’єднань осіб з інвалідністю мають право застосовувати цю пільгу за наявності дозволу на право користування такою пільгою, який видається уповноваженим органом відповідно до </w:t>
      </w:r>
      <w:hyperlink r:id="rId2287"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основи соціальної захищеності осіб з інвалідністю в Україні".</w:t>
      </w:r>
    </w:p>
    <w:p w14:paraId="580216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2" w:name="n15827"/>
      <w:bookmarkEnd w:id="4202"/>
      <w:r w:rsidRPr="008B264B">
        <w:rPr>
          <w:rFonts w:ascii="Times New Roman" w:eastAsia="Times New Roman" w:hAnsi="Times New Roman" w:cs="Times New Roman"/>
          <w:i/>
          <w:iCs/>
          <w:color w:val="000000"/>
          <w:sz w:val="24"/>
          <w:szCs w:val="24"/>
          <w:lang/>
        </w:rPr>
        <w:lastRenderedPageBreak/>
        <w:t>{Абзац другий пункту 142.1 статті 142 із змінами, внесеними згідно із Законом </w:t>
      </w:r>
      <w:hyperlink r:id="rId2288" w:anchor="n6"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6323DE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3" w:name="n10835"/>
      <w:bookmarkEnd w:id="4203"/>
      <w:r w:rsidRPr="008B264B">
        <w:rPr>
          <w:rFonts w:ascii="Times New Roman" w:eastAsia="Times New Roman" w:hAnsi="Times New Roman" w:cs="Times New Roman"/>
          <w:color w:val="000000"/>
          <w:sz w:val="24"/>
          <w:szCs w:val="24"/>
          <w:lang/>
        </w:rPr>
        <w:t>У разі порушення вимог щодо цільового використання вивільнених від оподаткування коштів платник податку зобов’язаний збільшити податкові зобов’язання з цього податку за результатами податкового періоду, на який припадає таке порушення, а також сплатити пеню, нараховану відповідно до цього Кодексу.</w:t>
      </w:r>
    </w:p>
    <w:p w14:paraId="721E4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4" w:name="n10836"/>
      <w:bookmarkEnd w:id="4204"/>
      <w:r w:rsidRPr="008B264B">
        <w:rPr>
          <w:rFonts w:ascii="Times New Roman" w:eastAsia="Times New Roman" w:hAnsi="Times New Roman" w:cs="Times New Roman"/>
          <w:color w:val="000000"/>
          <w:sz w:val="24"/>
          <w:szCs w:val="24"/>
          <w:lang/>
        </w:rPr>
        <w:t>Підприємства та організації, на які поширюється дія цього пункту, реєструються у відповідному контролюючому органі в порядку, передбаченому для платників цього податку.</w:t>
      </w:r>
    </w:p>
    <w:p w14:paraId="0DC8BF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5" w:name="n12357"/>
      <w:bookmarkEnd w:id="4205"/>
      <w:r w:rsidRPr="008B264B">
        <w:rPr>
          <w:rFonts w:ascii="Times New Roman" w:eastAsia="Times New Roman" w:hAnsi="Times New Roman" w:cs="Times New Roman"/>
          <w:color w:val="000000"/>
          <w:sz w:val="24"/>
          <w:szCs w:val="24"/>
          <w:lang/>
        </w:rPr>
        <w:t>142.2. На період підготовки до зняття і зняття з експлуатації енергоблоків Чорнобильської АЕС та перетворення об’єкта "Укриття" на екологічно безпечну систему звільняється від оподаткування прибуток Чорнобильської АЕС, якщо такі кошти використовуються на фінансування робіт з підготовки до зняття і зняття Чорнобильської АЕС з експлуатації та перетворення об’єкта "Укриття" на екологічно безпечну систему.</w:t>
      </w:r>
    </w:p>
    <w:p w14:paraId="69613E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6" w:name="n12358"/>
      <w:bookmarkEnd w:id="4206"/>
      <w:r w:rsidRPr="008B264B">
        <w:rPr>
          <w:rFonts w:ascii="Times New Roman" w:eastAsia="Times New Roman" w:hAnsi="Times New Roman" w:cs="Times New Roman"/>
          <w:color w:val="000000"/>
          <w:sz w:val="24"/>
          <w:szCs w:val="24"/>
          <w:lang/>
        </w:rPr>
        <w:t>У разі порушення вимог щодо цільового використання вивільнених від оподаткування коштів платник податку зобов’язаний збільшити податкові зобов’язання з цього податку за результатами податкового періоду, на який припадає таке порушення, а також сплатити пеню, нараховану відповідно до цього Кодексу.</w:t>
      </w:r>
    </w:p>
    <w:p w14:paraId="529C23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7" w:name="n12361"/>
      <w:bookmarkEnd w:id="4207"/>
      <w:r w:rsidRPr="008B264B">
        <w:rPr>
          <w:rFonts w:ascii="Times New Roman" w:eastAsia="Times New Roman" w:hAnsi="Times New Roman" w:cs="Times New Roman"/>
          <w:i/>
          <w:iCs/>
          <w:color w:val="000000"/>
          <w:sz w:val="24"/>
          <w:szCs w:val="24"/>
          <w:lang/>
        </w:rPr>
        <w:t>{Статтю 142 доповнено пунктом 142.2 згідно із Законом </w:t>
      </w:r>
      <w:hyperlink r:id="rId2289" w:anchor="n8" w:tgtFrame="_blank" w:history="1">
        <w:r w:rsidRPr="008B264B">
          <w:rPr>
            <w:rFonts w:ascii="Times New Roman" w:eastAsia="Times New Roman" w:hAnsi="Times New Roman" w:cs="Times New Roman"/>
            <w:i/>
            <w:iCs/>
            <w:color w:val="0000FF"/>
            <w:sz w:val="24"/>
            <w:szCs w:val="24"/>
            <w:u w:val="single"/>
            <w:lang/>
          </w:rPr>
          <w:t>№ 364-VIII від 23.04.2015</w:t>
        </w:r>
      </w:hyperlink>
      <w:r w:rsidRPr="008B264B">
        <w:rPr>
          <w:rFonts w:ascii="Times New Roman" w:eastAsia="Times New Roman" w:hAnsi="Times New Roman" w:cs="Times New Roman"/>
          <w:i/>
          <w:iCs/>
          <w:color w:val="000000"/>
          <w:sz w:val="24"/>
          <w:szCs w:val="24"/>
          <w:lang/>
        </w:rPr>
        <w:t>}</w:t>
      </w:r>
    </w:p>
    <w:p w14:paraId="4B038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8" w:name="n12359"/>
      <w:bookmarkEnd w:id="4208"/>
      <w:r w:rsidRPr="008B264B">
        <w:rPr>
          <w:rFonts w:ascii="Times New Roman" w:eastAsia="Times New Roman" w:hAnsi="Times New Roman" w:cs="Times New Roman"/>
          <w:color w:val="000000"/>
          <w:sz w:val="24"/>
          <w:szCs w:val="24"/>
          <w:lang/>
        </w:rPr>
        <w:t>142.3. Звільняється від оподаткування прибуток підприємств, отриманий за рахунок міжнародної технічної допомоги або за рахунок коштів, які передбачаються в державному бюджеті як внесок України до Чорнобильського фонду "Укриття" для реалізації міжнародної програми - Плану здійснення заходів на об’єкті "Укриття" відповідно до положень </w:t>
      </w:r>
      <w:hyperlink r:id="rId2290" w:tgtFrame="_blank" w:history="1">
        <w:r w:rsidRPr="008B264B">
          <w:rPr>
            <w:rFonts w:ascii="Times New Roman" w:eastAsia="Times New Roman" w:hAnsi="Times New Roman" w:cs="Times New Roman"/>
            <w:color w:val="0000FF"/>
            <w:sz w:val="24"/>
            <w:szCs w:val="24"/>
            <w:u w:val="single"/>
            <w:lang/>
          </w:rPr>
          <w:t>Рамкової угоди між Україною та Європейським банком реконструкції та розвитку стосовно діяльності Чорнобильського фонду "Укриття" в Україні</w:t>
        </w:r>
      </w:hyperlink>
      <w:r w:rsidRPr="008B264B">
        <w:rPr>
          <w:rFonts w:ascii="Times New Roman" w:eastAsia="Times New Roman" w:hAnsi="Times New Roman" w:cs="Times New Roman"/>
          <w:color w:val="000000"/>
          <w:sz w:val="24"/>
          <w:szCs w:val="24"/>
          <w:lang/>
        </w:rPr>
        <w:t>, для подальшої експлуатації, підготовки до зняття і зняття енергоблоків Чорнобильської АЕС з експлуатації, перетворення об’єкта "Укриття" на екологічно безпечну систему та забезпечення соціального захисту персоналу Чорнобильської АЕС.</w:t>
      </w:r>
    </w:p>
    <w:p w14:paraId="614835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09" w:name="n12360"/>
      <w:bookmarkEnd w:id="4209"/>
      <w:r w:rsidRPr="008B264B">
        <w:rPr>
          <w:rFonts w:ascii="Times New Roman" w:eastAsia="Times New Roman" w:hAnsi="Times New Roman" w:cs="Times New Roman"/>
          <w:color w:val="000000"/>
          <w:sz w:val="24"/>
          <w:szCs w:val="24"/>
          <w:lang/>
        </w:rPr>
        <w:t>У разі порушення вимог щодо цільового використання вивільнених від оподаткування коштів платник податку зобов’язаний збільшити податкові зобов’язання з цього податку за результатами податкового періоду, на який припадає таке порушення, а також сплатити пеню, нараховану відповідно до цього Кодексу.</w:t>
      </w:r>
    </w:p>
    <w:p w14:paraId="2A3A25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0" w:name="n12356"/>
      <w:bookmarkEnd w:id="4210"/>
      <w:r w:rsidRPr="008B264B">
        <w:rPr>
          <w:rFonts w:ascii="Times New Roman" w:eastAsia="Times New Roman" w:hAnsi="Times New Roman" w:cs="Times New Roman"/>
          <w:i/>
          <w:iCs/>
          <w:color w:val="000000"/>
          <w:sz w:val="24"/>
          <w:szCs w:val="24"/>
          <w:lang/>
        </w:rPr>
        <w:t>{Статтю 142 доповнено пунктом 142.3 згідно із Законом </w:t>
      </w:r>
      <w:hyperlink r:id="rId2291" w:anchor="n8" w:tgtFrame="_blank" w:history="1">
        <w:r w:rsidRPr="008B264B">
          <w:rPr>
            <w:rFonts w:ascii="Times New Roman" w:eastAsia="Times New Roman" w:hAnsi="Times New Roman" w:cs="Times New Roman"/>
            <w:i/>
            <w:iCs/>
            <w:color w:val="0000FF"/>
            <w:sz w:val="24"/>
            <w:szCs w:val="24"/>
            <w:u w:val="single"/>
            <w:lang/>
          </w:rPr>
          <w:t>№ 364-VIII від 23.04.2015</w:t>
        </w:r>
      </w:hyperlink>
      <w:r w:rsidRPr="008B264B">
        <w:rPr>
          <w:rFonts w:ascii="Times New Roman" w:eastAsia="Times New Roman" w:hAnsi="Times New Roman" w:cs="Times New Roman"/>
          <w:i/>
          <w:iCs/>
          <w:color w:val="000000"/>
          <w:sz w:val="24"/>
          <w:szCs w:val="24"/>
          <w:lang/>
        </w:rPr>
        <w:t>}</w:t>
      </w:r>
    </w:p>
    <w:p w14:paraId="13B12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1" w:name="n10608"/>
      <w:bookmarkEnd w:id="4211"/>
      <w:r w:rsidRPr="008B264B">
        <w:rPr>
          <w:rFonts w:ascii="Times New Roman" w:eastAsia="Times New Roman" w:hAnsi="Times New Roman" w:cs="Times New Roman"/>
          <w:i/>
          <w:iCs/>
          <w:color w:val="000000"/>
          <w:sz w:val="24"/>
          <w:szCs w:val="24"/>
          <w:lang/>
        </w:rPr>
        <w:t>{Розділ III в редакції Закону </w:t>
      </w:r>
      <w:hyperlink r:id="rId2292" w:anchor="n27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DDEF86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4212" w:name="n3610"/>
      <w:bookmarkEnd w:id="4212"/>
      <w:r w:rsidRPr="008B264B">
        <w:rPr>
          <w:rFonts w:ascii="Times New Roman" w:eastAsia="Times New Roman" w:hAnsi="Times New Roman" w:cs="Times New Roman"/>
          <w:b/>
          <w:bCs/>
          <w:color w:val="000000"/>
          <w:sz w:val="28"/>
          <w:szCs w:val="28"/>
          <w:lang/>
        </w:rPr>
        <w:t>РОЗДІЛ IV. ПОДАТОК НА ДОХОДИ ФІЗИЧНИХ ОСІБ</w:t>
      </w:r>
    </w:p>
    <w:p w14:paraId="3DEBD5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3" w:name="n3611"/>
      <w:bookmarkEnd w:id="4213"/>
      <w:r w:rsidRPr="008B264B">
        <w:rPr>
          <w:rFonts w:ascii="Times New Roman" w:eastAsia="Times New Roman" w:hAnsi="Times New Roman" w:cs="Times New Roman"/>
          <w:b/>
          <w:bCs/>
          <w:color w:val="000000"/>
          <w:sz w:val="24"/>
          <w:szCs w:val="24"/>
          <w:lang/>
        </w:rPr>
        <w:t>Стаття 162.</w:t>
      </w:r>
      <w:r w:rsidRPr="008B264B">
        <w:rPr>
          <w:rFonts w:ascii="Times New Roman" w:eastAsia="Times New Roman" w:hAnsi="Times New Roman" w:cs="Times New Roman"/>
          <w:color w:val="000000"/>
          <w:sz w:val="24"/>
          <w:szCs w:val="24"/>
          <w:lang/>
        </w:rPr>
        <w:t> Платники податку</w:t>
      </w:r>
    </w:p>
    <w:p w14:paraId="1B5F84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4" w:name="n3612"/>
      <w:bookmarkEnd w:id="4214"/>
      <w:r w:rsidRPr="008B264B">
        <w:rPr>
          <w:rFonts w:ascii="Times New Roman" w:eastAsia="Times New Roman" w:hAnsi="Times New Roman" w:cs="Times New Roman"/>
          <w:color w:val="000000"/>
          <w:sz w:val="24"/>
          <w:szCs w:val="24"/>
          <w:lang/>
        </w:rPr>
        <w:t>162.1. Платниками податку є:</w:t>
      </w:r>
    </w:p>
    <w:p w14:paraId="3A658E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5" w:name="n3613"/>
      <w:bookmarkEnd w:id="4215"/>
      <w:r w:rsidRPr="008B264B">
        <w:rPr>
          <w:rFonts w:ascii="Times New Roman" w:eastAsia="Times New Roman" w:hAnsi="Times New Roman" w:cs="Times New Roman"/>
          <w:color w:val="000000"/>
          <w:sz w:val="24"/>
          <w:szCs w:val="24"/>
          <w:lang/>
        </w:rPr>
        <w:t>162.1.1. фізична особа - резидент, яка отримує доходи як з джерела їх походження в Україні, так і іноземні доходи;</w:t>
      </w:r>
    </w:p>
    <w:p w14:paraId="650726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6" w:name="n3614"/>
      <w:bookmarkEnd w:id="4216"/>
      <w:r w:rsidRPr="008B264B">
        <w:rPr>
          <w:rFonts w:ascii="Times New Roman" w:eastAsia="Times New Roman" w:hAnsi="Times New Roman" w:cs="Times New Roman"/>
          <w:color w:val="000000"/>
          <w:sz w:val="24"/>
          <w:szCs w:val="24"/>
          <w:lang/>
        </w:rPr>
        <w:t>162.1.2. фізична особа - нерезидент, яка отримує доходи з джерела їх походження в Україні;</w:t>
      </w:r>
    </w:p>
    <w:p w14:paraId="5E6CE6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7" w:name="n3615"/>
      <w:bookmarkEnd w:id="4217"/>
      <w:r w:rsidRPr="008B264B">
        <w:rPr>
          <w:rFonts w:ascii="Times New Roman" w:eastAsia="Times New Roman" w:hAnsi="Times New Roman" w:cs="Times New Roman"/>
          <w:color w:val="000000"/>
          <w:sz w:val="24"/>
          <w:szCs w:val="24"/>
          <w:lang/>
        </w:rPr>
        <w:t>162.1.3. податковий агент.</w:t>
      </w:r>
    </w:p>
    <w:p w14:paraId="12E3FE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8" w:name="n3616"/>
      <w:bookmarkEnd w:id="4218"/>
      <w:r w:rsidRPr="008B264B">
        <w:rPr>
          <w:rFonts w:ascii="Times New Roman" w:eastAsia="Times New Roman" w:hAnsi="Times New Roman" w:cs="Times New Roman"/>
          <w:color w:val="000000"/>
          <w:sz w:val="24"/>
          <w:szCs w:val="24"/>
          <w:lang/>
        </w:rPr>
        <w:t>162.2. Не є платником податку нерезидент, який отримує доходи з джерела їх походження в Україні і має дипломатичні привілеї та імунітет, встановлені чинним міжнародним договором України, щодо доходів, які він отримує безпосередньо від провадження дипломатичної чи прирівняної до неї таким міжнародним договором діяльності.</w:t>
      </w:r>
    </w:p>
    <w:p w14:paraId="4FB94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19" w:name="n3617"/>
      <w:bookmarkEnd w:id="4219"/>
      <w:r w:rsidRPr="008B264B">
        <w:rPr>
          <w:rFonts w:ascii="Times New Roman" w:eastAsia="Times New Roman" w:hAnsi="Times New Roman" w:cs="Times New Roman"/>
          <w:color w:val="000000"/>
          <w:sz w:val="24"/>
          <w:szCs w:val="24"/>
          <w:lang/>
        </w:rPr>
        <w:lastRenderedPageBreak/>
        <w:t>162.3. У разі смерті платника податку або оголошення його судом померлим чи визнання безвісно відсутнім або втрати ним статусу резидента (за відсутності податкових зобов'язань як нерезидента згідно з цим Кодексом) податок за останній податковий період справляється з нарахованих на його користь доходів. Відповідно до цього останнім податковим періодом вважається період, який закінчується днем, на який відповідно припадає смерть такого платника податку, винесення такого судового рішення чи втрата ним статусу резидента. У разі відсутності нарахованих доходів податок сплаті не підлягає.</w:t>
      </w:r>
    </w:p>
    <w:p w14:paraId="11E60C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0" w:name="n3618"/>
      <w:bookmarkEnd w:id="4220"/>
      <w:r w:rsidRPr="008B264B">
        <w:rPr>
          <w:rFonts w:ascii="Times New Roman" w:eastAsia="Times New Roman" w:hAnsi="Times New Roman" w:cs="Times New Roman"/>
          <w:color w:val="000000"/>
          <w:sz w:val="24"/>
          <w:szCs w:val="24"/>
          <w:lang/>
        </w:rPr>
        <w:t>162.4. Якщо фізична особа - платник податку вперше отримує оподатковувані доходи всередині податкового періоду, то перший податковий період розпочинається з дня отримання таких доходів.</w:t>
      </w:r>
    </w:p>
    <w:p w14:paraId="417BEA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1" w:name="n3619"/>
      <w:bookmarkEnd w:id="4221"/>
      <w:r w:rsidRPr="008B264B">
        <w:rPr>
          <w:rFonts w:ascii="Times New Roman" w:eastAsia="Times New Roman" w:hAnsi="Times New Roman" w:cs="Times New Roman"/>
          <w:b/>
          <w:bCs/>
          <w:color w:val="000000"/>
          <w:sz w:val="24"/>
          <w:szCs w:val="24"/>
          <w:lang/>
        </w:rPr>
        <w:t>Стаття 163.</w:t>
      </w:r>
      <w:r w:rsidRPr="008B264B">
        <w:rPr>
          <w:rFonts w:ascii="Times New Roman" w:eastAsia="Times New Roman" w:hAnsi="Times New Roman" w:cs="Times New Roman"/>
          <w:color w:val="000000"/>
          <w:sz w:val="24"/>
          <w:szCs w:val="24"/>
          <w:lang/>
        </w:rPr>
        <w:t> Об'єкт оподаткування</w:t>
      </w:r>
    </w:p>
    <w:p w14:paraId="49EB2D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2" w:name="n3620"/>
      <w:bookmarkEnd w:id="4222"/>
      <w:r w:rsidRPr="008B264B">
        <w:rPr>
          <w:rFonts w:ascii="Times New Roman" w:eastAsia="Times New Roman" w:hAnsi="Times New Roman" w:cs="Times New Roman"/>
          <w:color w:val="000000"/>
          <w:sz w:val="24"/>
          <w:szCs w:val="24"/>
          <w:lang/>
        </w:rPr>
        <w:t>163.1. Об'єктом оподаткування резидента є:</w:t>
      </w:r>
    </w:p>
    <w:p w14:paraId="5E3804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3" w:name="n3621"/>
      <w:bookmarkEnd w:id="4223"/>
      <w:r w:rsidRPr="008B264B">
        <w:rPr>
          <w:rFonts w:ascii="Times New Roman" w:eastAsia="Times New Roman" w:hAnsi="Times New Roman" w:cs="Times New Roman"/>
          <w:color w:val="000000"/>
          <w:sz w:val="24"/>
          <w:szCs w:val="24"/>
          <w:lang/>
        </w:rPr>
        <w:t>163.1.1. загальний місячний (річний) оподатковуваний дохід;</w:t>
      </w:r>
    </w:p>
    <w:p w14:paraId="260EB9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4" w:name="n3622"/>
      <w:bookmarkEnd w:id="4224"/>
      <w:r w:rsidRPr="008B264B">
        <w:rPr>
          <w:rFonts w:ascii="Times New Roman" w:eastAsia="Times New Roman" w:hAnsi="Times New Roman" w:cs="Times New Roman"/>
          <w:color w:val="000000"/>
          <w:sz w:val="24"/>
          <w:szCs w:val="24"/>
          <w:lang/>
        </w:rPr>
        <w:t>163.1.2. доходи з джерела їх походження в Україні, які остаточно оподатковуються під час їх нарахування (виплати, надання);</w:t>
      </w:r>
    </w:p>
    <w:p w14:paraId="1DFF2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5" w:name="n3623"/>
      <w:bookmarkEnd w:id="4225"/>
      <w:r w:rsidRPr="008B264B">
        <w:rPr>
          <w:rFonts w:ascii="Times New Roman" w:eastAsia="Times New Roman" w:hAnsi="Times New Roman" w:cs="Times New Roman"/>
          <w:color w:val="000000"/>
          <w:sz w:val="24"/>
          <w:szCs w:val="24"/>
          <w:lang/>
        </w:rPr>
        <w:t>163.1.3. іноземні доходи - доходи (прибуток), отримані з джерел за межами України.</w:t>
      </w:r>
    </w:p>
    <w:p w14:paraId="6110A7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6" w:name="n3624"/>
      <w:bookmarkEnd w:id="4226"/>
      <w:r w:rsidRPr="008B264B">
        <w:rPr>
          <w:rFonts w:ascii="Times New Roman" w:eastAsia="Times New Roman" w:hAnsi="Times New Roman" w:cs="Times New Roman"/>
          <w:color w:val="000000"/>
          <w:sz w:val="24"/>
          <w:szCs w:val="24"/>
          <w:lang/>
        </w:rPr>
        <w:t>163.2. Об'єктом оподаткування нерезидента є:</w:t>
      </w:r>
    </w:p>
    <w:p w14:paraId="56E3E9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7" w:name="n3625"/>
      <w:bookmarkEnd w:id="4227"/>
      <w:r w:rsidRPr="008B264B">
        <w:rPr>
          <w:rFonts w:ascii="Times New Roman" w:eastAsia="Times New Roman" w:hAnsi="Times New Roman" w:cs="Times New Roman"/>
          <w:color w:val="000000"/>
          <w:sz w:val="24"/>
          <w:szCs w:val="24"/>
          <w:lang/>
        </w:rPr>
        <w:t>163.2.1. загальний місячний (річний) оподатковуваний дохід з джерела його походження в Україні;</w:t>
      </w:r>
    </w:p>
    <w:p w14:paraId="00862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8" w:name="n3626"/>
      <w:bookmarkEnd w:id="4228"/>
      <w:r w:rsidRPr="008B264B">
        <w:rPr>
          <w:rFonts w:ascii="Times New Roman" w:eastAsia="Times New Roman" w:hAnsi="Times New Roman" w:cs="Times New Roman"/>
          <w:color w:val="000000"/>
          <w:sz w:val="24"/>
          <w:szCs w:val="24"/>
          <w:lang/>
        </w:rPr>
        <w:t>163.2.2. доходи з джерела їх походження в Україні, які остаточно оподатковуються під час їх нарахування (виплати, надання).</w:t>
      </w:r>
    </w:p>
    <w:p w14:paraId="36E5EB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29" w:name="n3627"/>
      <w:bookmarkEnd w:id="4229"/>
      <w:r w:rsidRPr="008B264B">
        <w:rPr>
          <w:rFonts w:ascii="Times New Roman" w:eastAsia="Times New Roman" w:hAnsi="Times New Roman" w:cs="Times New Roman"/>
          <w:b/>
          <w:bCs/>
          <w:color w:val="000000"/>
          <w:sz w:val="24"/>
          <w:szCs w:val="24"/>
          <w:lang/>
        </w:rPr>
        <w:t>Стаття 164.</w:t>
      </w:r>
      <w:r w:rsidRPr="008B264B">
        <w:rPr>
          <w:rFonts w:ascii="Times New Roman" w:eastAsia="Times New Roman" w:hAnsi="Times New Roman" w:cs="Times New Roman"/>
          <w:color w:val="000000"/>
          <w:sz w:val="24"/>
          <w:szCs w:val="24"/>
          <w:lang/>
        </w:rPr>
        <w:t> База оподаткування</w:t>
      </w:r>
    </w:p>
    <w:p w14:paraId="2D8D2C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0" w:name="n3628"/>
      <w:bookmarkEnd w:id="4230"/>
      <w:r w:rsidRPr="008B264B">
        <w:rPr>
          <w:rFonts w:ascii="Times New Roman" w:eastAsia="Times New Roman" w:hAnsi="Times New Roman" w:cs="Times New Roman"/>
          <w:color w:val="000000"/>
          <w:sz w:val="24"/>
          <w:szCs w:val="24"/>
          <w:lang/>
        </w:rPr>
        <w:t>164.1. Базою оподаткування є загальний оподатковуваний дохід, з урахуванням особливостей, визначених цим розділом.</w:t>
      </w:r>
    </w:p>
    <w:p w14:paraId="1BF1D5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1" w:name="n3629"/>
      <w:bookmarkEnd w:id="4231"/>
      <w:r w:rsidRPr="008B264B">
        <w:rPr>
          <w:rFonts w:ascii="Times New Roman" w:eastAsia="Times New Roman" w:hAnsi="Times New Roman" w:cs="Times New Roman"/>
          <w:color w:val="000000"/>
          <w:sz w:val="24"/>
          <w:szCs w:val="24"/>
          <w:lang/>
        </w:rPr>
        <w:t>Загальний оподатковуваний дохід - будь-який дохід, який підлягає оподаткуванню, нарахований (виплачений, наданий) на користь платника податку протягом звітного податкового періоду.</w:t>
      </w:r>
    </w:p>
    <w:p w14:paraId="27AB25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2" w:name="n3630"/>
      <w:bookmarkEnd w:id="4232"/>
      <w:r w:rsidRPr="008B264B">
        <w:rPr>
          <w:rFonts w:ascii="Times New Roman" w:eastAsia="Times New Roman" w:hAnsi="Times New Roman" w:cs="Times New Roman"/>
          <w:color w:val="000000"/>
          <w:sz w:val="24"/>
          <w:szCs w:val="24"/>
          <w:lang/>
        </w:rPr>
        <w:t>У разі використання права на податкову знижку базою оподаткування є чистий річний оподатковуваний дохід, який визначається шляхом зменшення загального оподатковуваного доходу з урахуванням </w:t>
      </w:r>
      <w:hyperlink r:id="rId2293" w:anchor="n3696" w:history="1">
        <w:r w:rsidRPr="008B264B">
          <w:rPr>
            <w:rFonts w:ascii="Times New Roman" w:eastAsia="Times New Roman" w:hAnsi="Times New Roman" w:cs="Times New Roman"/>
            <w:color w:val="0000FF"/>
            <w:sz w:val="24"/>
            <w:szCs w:val="24"/>
            <w:u w:val="single"/>
            <w:lang/>
          </w:rPr>
          <w:t>пункту 164.6</w:t>
        </w:r>
      </w:hyperlink>
      <w:r w:rsidRPr="008B264B">
        <w:rPr>
          <w:rFonts w:ascii="Times New Roman" w:eastAsia="Times New Roman" w:hAnsi="Times New Roman" w:cs="Times New Roman"/>
          <w:color w:val="000000"/>
          <w:sz w:val="24"/>
          <w:szCs w:val="24"/>
          <w:lang/>
        </w:rPr>
        <w:t> цієї статті на суми податкової знижки такого звітного року.</w:t>
      </w:r>
    </w:p>
    <w:p w14:paraId="6BC78A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3" w:name="n3631"/>
      <w:bookmarkEnd w:id="4233"/>
      <w:r w:rsidRPr="008B264B">
        <w:rPr>
          <w:rFonts w:ascii="Times New Roman" w:eastAsia="Times New Roman" w:hAnsi="Times New Roman" w:cs="Times New Roman"/>
          <w:color w:val="000000"/>
          <w:sz w:val="24"/>
          <w:szCs w:val="24"/>
          <w:lang/>
        </w:rPr>
        <w:t>Базою оподаткування для доходів, отриманих від провадження господарської або незалежної професійної діяльності, є чистий річний оподатковуваний дохід, який визначається відповідно до </w:t>
      </w:r>
      <w:hyperlink r:id="rId2294" w:anchor="n4294" w:history="1">
        <w:r w:rsidRPr="008B264B">
          <w:rPr>
            <w:rFonts w:ascii="Times New Roman" w:eastAsia="Times New Roman" w:hAnsi="Times New Roman" w:cs="Times New Roman"/>
            <w:color w:val="0000FF"/>
            <w:sz w:val="24"/>
            <w:szCs w:val="24"/>
            <w:u w:val="single"/>
            <w:lang/>
          </w:rPr>
          <w:t>пункту 177.2</w:t>
        </w:r>
      </w:hyperlink>
      <w:r w:rsidRPr="008B264B">
        <w:rPr>
          <w:rFonts w:ascii="Times New Roman" w:eastAsia="Times New Roman" w:hAnsi="Times New Roman" w:cs="Times New Roman"/>
          <w:color w:val="000000"/>
          <w:sz w:val="24"/>
          <w:szCs w:val="24"/>
          <w:lang/>
        </w:rPr>
        <w:t> статті 177 та </w:t>
      </w:r>
      <w:hyperlink r:id="rId2295" w:anchor="n4320" w:history="1">
        <w:r w:rsidRPr="008B264B">
          <w:rPr>
            <w:rFonts w:ascii="Times New Roman" w:eastAsia="Times New Roman" w:hAnsi="Times New Roman" w:cs="Times New Roman"/>
            <w:color w:val="0000FF"/>
            <w:sz w:val="24"/>
            <w:szCs w:val="24"/>
            <w:u w:val="single"/>
            <w:lang/>
          </w:rPr>
          <w:t>пункту 178.3</w:t>
        </w:r>
      </w:hyperlink>
      <w:r w:rsidRPr="008B264B">
        <w:rPr>
          <w:rFonts w:ascii="Times New Roman" w:eastAsia="Times New Roman" w:hAnsi="Times New Roman" w:cs="Times New Roman"/>
          <w:color w:val="000000"/>
          <w:sz w:val="24"/>
          <w:szCs w:val="24"/>
          <w:lang/>
        </w:rPr>
        <w:t> статті 178 цього Кодексу.</w:t>
      </w:r>
    </w:p>
    <w:p w14:paraId="610FE0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4" w:name="n3632"/>
      <w:bookmarkEnd w:id="4234"/>
      <w:r w:rsidRPr="008B264B">
        <w:rPr>
          <w:rFonts w:ascii="Times New Roman" w:eastAsia="Times New Roman" w:hAnsi="Times New Roman" w:cs="Times New Roman"/>
          <w:i/>
          <w:iCs/>
          <w:color w:val="000000"/>
          <w:sz w:val="24"/>
          <w:szCs w:val="24"/>
          <w:lang/>
        </w:rPr>
        <w:t>{Пункт 164.1 статті 164 в редакції Закону </w:t>
      </w:r>
      <w:hyperlink r:id="rId229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929C5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5" w:name="n3633"/>
      <w:bookmarkEnd w:id="4235"/>
      <w:r w:rsidRPr="008B264B">
        <w:rPr>
          <w:rFonts w:ascii="Times New Roman" w:eastAsia="Times New Roman" w:hAnsi="Times New Roman" w:cs="Times New Roman"/>
          <w:color w:val="000000"/>
          <w:sz w:val="24"/>
          <w:szCs w:val="24"/>
          <w:lang/>
        </w:rPr>
        <w:t>164.1.1. Загальний оподатковуваний дохід складається з доходів, які остаточно оподатковуються під час їх нарахування (виплати, надання), доходів, які оподатковуються у складі загального річного оподатковуваного доходу, та доходів, які оподатковуються за іншими правилами, визначеними цим Кодексом.</w:t>
      </w:r>
    </w:p>
    <w:p w14:paraId="1283E1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6" w:name="n3634"/>
      <w:bookmarkEnd w:id="4236"/>
      <w:r w:rsidRPr="008B264B">
        <w:rPr>
          <w:rFonts w:ascii="Times New Roman" w:eastAsia="Times New Roman" w:hAnsi="Times New Roman" w:cs="Times New Roman"/>
          <w:color w:val="000000"/>
          <w:sz w:val="24"/>
          <w:szCs w:val="24"/>
          <w:lang/>
        </w:rPr>
        <w:t>164.1.2. Загальний місячний оподатковуваний дохід складається із суми оподатковуваних доходів, нарахованих (виплачених, наданих) протягом такого звітного податкового місяця.</w:t>
      </w:r>
    </w:p>
    <w:p w14:paraId="686F28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7" w:name="n3635"/>
      <w:bookmarkEnd w:id="4237"/>
      <w:r w:rsidRPr="008B264B">
        <w:rPr>
          <w:rFonts w:ascii="Times New Roman" w:eastAsia="Times New Roman" w:hAnsi="Times New Roman" w:cs="Times New Roman"/>
          <w:color w:val="000000"/>
          <w:sz w:val="24"/>
          <w:szCs w:val="24"/>
          <w:lang/>
        </w:rPr>
        <w:t>164.1.3. Загальний річний оподатковуваний дохід дорівнює сумі загальних місячних оподатковуваних доходів, іноземних доходів, отриманих протягом такого звітного податкового року, доходів, отриманих фізичною особою - підприємцем від провадження господарської діяльності згідно із </w:t>
      </w:r>
      <w:hyperlink r:id="rId2297" w:anchor="n4292" w:history="1">
        <w:r w:rsidRPr="008B264B">
          <w:rPr>
            <w:rFonts w:ascii="Times New Roman" w:eastAsia="Times New Roman" w:hAnsi="Times New Roman" w:cs="Times New Roman"/>
            <w:color w:val="0000FF"/>
            <w:sz w:val="24"/>
            <w:szCs w:val="24"/>
            <w:u w:val="single"/>
            <w:lang/>
          </w:rPr>
          <w:t>статтею 177</w:t>
        </w:r>
      </w:hyperlink>
      <w:r w:rsidRPr="008B264B">
        <w:rPr>
          <w:rFonts w:ascii="Times New Roman" w:eastAsia="Times New Roman" w:hAnsi="Times New Roman" w:cs="Times New Roman"/>
          <w:color w:val="000000"/>
          <w:sz w:val="24"/>
          <w:szCs w:val="24"/>
          <w:lang/>
        </w:rPr>
        <w:t> цього Кодексу, та доходів, отриманих фізичною особою, яка провадить незалежну професійну діяльність згідно із </w:t>
      </w:r>
      <w:hyperlink r:id="rId2298" w:anchor="n4316" w:history="1">
        <w:r w:rsidRPr="008B264B">
          <w:rPr>
            <w:rFonts w:ascii="Times New Roman" w:eastAsia="Times New Roman" w:hAnsi="Times New Roman" w:cs="Times New Roman"/>
            <w:color w:val="0000FF"/>
            <w:sz w:val="24"/>
            <w:szCs w:val="24"/>
            <w:u w:val="single"/>
            <w:lang/>
          </w:rPr>
          <w:t>статтею 178</w:t>
        </w:r>
      </w:hyperlink>
      <w:r w:rsidRPr="008B264B">
        <w:rPr>
          <w:rFonts w:ascii="Times New Roman" w:eastAsia="Times New Roman" w:hAnsi="Times New Roman" w:cs="Times New Roman"/>
          <w:color w:val="000000"/>
          <w:sz w:val="24"/>
          <w:szCs w:val="24"/>
          <w:lang/>
        </w:rPr>
        <w:t> цього Кодексу.</w:t>
      </w:r>
    </w:p>
    <w:p w14:paraId="0B790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8" w:name="n3636"/>
      <w:bookmarkEnd w:id="4238"/>
      <w:r w:rsidRPr="008B264B">
        <w:rPr>
          <w:rFonts w:ascii="Times New Roman" w:eastAsia="Times New Roman" w:hAnsi="Times New Roman" w:cs="Times New Roman"/>
          <w:color w:val="000000"/>
          <w:sz w:val="24"/>
          <w:szCs w:val="24"/>
          <w:lang/>
        </w:rPr>
        <w:lastRenderedPageBreak/>
        <w:t>164.2. До загального місячного (річного) оподатковуваного доходу платника податку включаються:</w:t>
      </w:r>
    </w:p>
    <w:p w14:paraId="3C2034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39" w:name="n3637"/>
      <w:bookmarkEnd w:id="4239"/>
      <w:r w:rsidRPr="008B264B">
        <w:rPr>
          <w:rFonts w:ascii="Times New Roman" w:eastAsia="Times New Roman" w:hAnsi="Times New Roman" w:cs="Times New Roman"/>
          <w:color w:val="000000"/>
          <w:sz w:val="24"/>
          <w:szCs w:val="24"/>
          <w:lang/>
        </w:rPr>
        <w:t>164.2.1. доходи у вигляді заробітної плати, нараховані (виплачені) платнику податку відповідно до умов трудового договору (контракту);</w:t>
      </w:r>
    </w:p>
    <w:p w14:paraId="3A7F7B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0" w:name="n3638"/>
      <w:bookmarkEnd w:id="4240"/>
      <w:r w:rsidRPr="008B264B">
        <w:rPr>
          <w:rFonts w:ascii="Times New Roman" w:eastAsia="Times New Roman" w:hAnsi="Times New Roman" w:cs="Times New Roman"/>
          <w:color w:val="000000"/>
          <w:sz w:val="24"/>
          <w:szCs w:val="24"/>
          <w:lang/>
        </w:rPr>
        <w:t>164.2.2. суми винагород та інших виплат, нарахованих (виплачених) платнику податку відповідно до умов цивільно-правового договору. При цьому при отриманні зазначених у цьому підпункті доходів від фізичних осіб - платників єдиного податку четвертої групи, їх отримувач зобов’язаний включити суми таких доходів до річної податкової декларації за звітний рік та самостійно сплатити з них установлені цим Кодексом податки та збори;</w:t>
      </w:r>
    </w:p>
    <w:p w14:paraId="47A4F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1" w:name="n15134"/>
      <w:bookmarkEnd w:id="4241"/>
      <w:r w:rsidRPr="008B264B">
        <w:rPr>
          <w:rFonts w:ascii="Times New Roman" w:eastAsia="Times New Roman" w:hAnsi="Times New Roman" w:cs="Times New Roman"/>
          <w:i/>
          <w:iCs/>
          <w:color w:val="000000"/>
          <w:sz w:val="24"/>
          <w:szCs w:val="24"/>
          <w:lang/>
        </w:rPr>
        <w:t>{Підпункт 164.2.2 пункту 164.2 статті 164 </w:t>
      </w:r>
      <w:r w:rsidRPr="008B264B">
        <w:rPr>
          <w:rFonts w:ascii="Times New Roman" w:eastAsia="Times New Roman" w:hAnsi="Times New Roman" w:cs="Times New Roman"/>
          <w:color w:val="000000"/>
          <w:sz w:val="24"/>
          <w:szCs w:val="24"/>
          <w:lang/>
        </w:rPr>
        <w:t>і</w:t>
      </w:r>
      <w:r w:rsidRPr="008B264B">
        <w:rPr>
          <w:rFonts w:ascii="Times New Roman" w:eastAsia="Times New Roman" w:hAnsi="Times New Roman" w:cs="Times New Roman"/>
          <w:i/>
          <w:iCs/>
          <w:color w:val="000000"/>
          <w:sz w:val="24"/>
          <w:szCs w:val="24"/>
          <w:lang/>
        </w:rPr>
        <w:t>з змінами, внесеними згідно із Законом </w:t>
      </w:r>
      <w:hyperlink r:id="rId2299" w:anchor="n7"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1EA518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2" w:name="n3639"/>
      <w:bookmarkEnd w:id="4242"/>
      <w:r w:rsidRPr="008B264B">
        <w:rPr>
          <w:rFonts w:ascii="Times New Roman" w:eastAsia="Times New Roman" w:hAnsi="Times New Roman" w:cs="Times New Roman"/>
          <w:color w:val="000000"/>
          <w:sz w:val="24"/>
          <w:szCs w:val="24"/>
          <w:lang/>
        </w:rPr>
        <w:t>164.2.3. доходи від продажу об'єктів майнових і немайнових прав, зокрема інтелектуальної (промислової) власності, та прирівняні до них права, доходи у вигляді сум авторської винагороди, іншої плати за надання права на користування або розпорядження іншим особам нематеріальним активом (творами науки, мистецтва, літератури або іншими нематеріальними активами), об'єкти права інтелектуальної промислової власності та прирівняні до них права (далі - роялті), у тому числі отримані спадкоємцями власника такого нематеріального активу;</w:t>
      </w:r>
    </w:p>
    <w:p w14:paraId="3EA94A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3" w:name="n3640"/>
      <w:bookmarkEnd w:id="4243"/>
      <w:r w:rsidRPr="008B264B">
        <w:rPr>
          <w:rFonts w:ascii="Times New Roman" w:eastAsia="Times New Roman" w:hAnsi="Times New Roman" w:cs="Times New Roman"/>
          <w:color w:val="000000"/>
          <w:sz w:val="24"/>
          <w:szCs w:val="24"/>
          <w:lang/>
        </w:rPr>
        <w:t>164.2.4. частина доходів від операцій з майном, розмір якої визначається згідно з положеннями </w:t>
      </w:r>
      <w:hyperlink r:id="rId2300" w:anchor="n4160" w:history="1">
        <w:r w:rsidRPr="008B264B">
          <w:rPr>
            <w:rFonts w:ascii="Times New Roman" w:eastAsia="Times New Roman" w:hAnsi="Times New Roman" w:cs="Times New Roman"/>
            <w:color w:val="0000FF"/>
            <w:sz w:val="24"/>
            <w:szCs w:val="24"/>
            <w:u w:val="single"/>
            <w:lang/>
          </w:rPr>
          <w:t>статей 172-173</w:t>
        </w:r>
      </w:hyperlink>
      <w:r w:rsidRPr="008B264B">
        <w:rPr>
          <w:rFonts w:ascii="Times New Roman" w:eastAsia="Times New Roman" w:hAnsi="Times New Roman" w:cs="Times New Roman"/>
          <w:color w:val="000000"/>
          <w:sz w:val="24"/>
          <w:szCs w:val="24"/>
          <w:lang/>
        </w:rPr>
        <w:t> цього Кодексу;</w:t>
      </w:r>
    </w:p>
    <w:p w14:paraId="7F9DE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4" w:name="n3641"/>
      <w:bookmarkEnd w:id="4244"/>
      <w:r w:rsidRPr="008B264B">
        <w:rPr>
          <w:rFonts w:ascii="Times New Roman" w:eastAsia="Times New Roman" w:hAnsi="Times New Roman" w:cs="Times New Roman"/>
          <w:color w:val="000000"/>
          <w:sz w:val="24"/>
          <w:szCs w:val="24"/>
          <w:lang/>
        </w:rPr>
        <w:t>164.2.5. дохід від надання майна в лізинг, оренду або суборенду (строкове володіння та/або користування), визначений у порядку, встановленому </w:t>
      </w:r>
      <w:hyperlink r:id="rId2301" w:anchor="n3966" w:history="1">
        <w:r w:rsidRPr="008B264B">
          <w:rPr>
            <w:rFonts w:ascii="Times New Roman" w:eastAsia="Times New Roman" w:hAnsi="Times New Roman" w:cs="Times New Roman"/>
            <w:color w:val="0000FF"/>
            <w:sz w:val="24"/>
            <w:szCs w:val="24"/>
            <w:u w:val="single"/>
            <w:lang/>
          </w:rPr>
          <w:t>пунктом 170.1</w:t>
        </w:r>
      </w:hyperlink>
      <w:r w:rsidRPr="008B264B">
        <w:rPr>
          <w:rFonts w:ascii="Times New Roman" w:eastAsia="Times New Roman" w:hAnsi="Times New Roman" w:cs="Times New Roman"/>
          <w:color w:val="000000"/>
          <w:sz w:val="24"/>
          <w:szCs w:val="24"/>
          <w:lang/>
        </w:rPr>
        <w:t> статті 170 цього Кодексу;</w:t>
      </w:r>
    </w:p>
    <w:p w14:paraId="67A39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5" w:name="n3642"/>
      <w:bookmarkEnd w:id="4245"/>
      <w:r w:rsidRPr="008B264B">
        <w:rPr>
          <w:rFonts w:ascii="Times New Roman" w:eastAsia="Times New Roman" w:hAnsi="Times New Roman" w:cs="Times New Roman"/>
          <w:color w:val="000000"/>
          <w:sz w:val="24"/>
          <w:szCs w:val="24"/>
          <w:lang/>
        </w:rPr>
        <w:t>164.2.6. оподатковуваний дохід (прибуток), не включений до розрахунку загальних оподатковуваних доходів минулих податкових періодів та самостійно виявлений у звітному періоді платником податку або нарахований контролюючим органом згідно із цим Кодексом;</w:t>
      </w:r>
    </w:p>
    <w:p w14:paraId="08DA7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6" w:name="n3643"/>
      <w:bookmarkEnd w:id="4246"/>
      <w:r w:rsidRPr="008B264B">
        <w:rPr>
          <w:rFonts w:ascii="Times New Roman" w:eastAsia="Times New Roman" w:hAnsi="Times New Roman" w:cs="Times New Roman"/>
          <w:color w:val="000000"/>
          <w:sz w:val="24"/>
          <w:szCs w:val="24"/>
          <w:lang/>
        </w:rPr>
        <w:t>164.2.7. сума заборгованості платника податку за укладеним ним цивільно-правовим договором, за якою минув строк позовної давності та яка перевищує суму, що становить 50 відсотків місячного прожиткового мінімуму, діючого для працездатної особи на 1 січня звітного податкового року, крім сум податкової заборгованості, за якими минув строк позовної давності згідно з </w:t>
      </w:r>
      <w:hyperlink r:id="rId2302" w:anchor="n1075" w:history="1">
        <w:r w:rsidRPr="008B264B">
          <w:rPr>
            <w:rFonts w:ascii="Times New Roman" w:eastAsia="Times New Roman" w:hAnsi="Times New Roman" w:cs="Times New Roman"/>
            <w:color w:val="0000FF"/>
            <w:sz w:val="24"/>
            <w:szCs w:val="24"/>
            <w:u w:val="single"/>
            <w:lang/>
          </w:rPr>
          <w:t>розділом II</w:t>
        </w:r>
      </w:hyperlink>
      <w:r w:rsidRPr="008B264B">
        <w:rPr>
          <w:rFonts w:ascii="Times New Roman" w:eastAsia="Times New Roman" w:hAnsi="Times New Roman" w:cs="Times New Roman"/>
          <w:color w:val="000000"/>
          <w:sz w:val="24"/>
          <w:szCs w:val="24"/>
          <w:lang/>
        </w:rPr>
        <w:t> цього Кодексу, що встановлює порядок стягнення заборгованості з податків, зборів і погашення податкового боргу. Фізична особа самостійно сплачує податок з таких доходів та зазначає їх у річній податковій декларації;</w:t>
      </w:r>
    </w:p>
    <w:p w14:paraId="4005B6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7" w:name="n3644"/>
      <w:bookmarkEnd w:id="4247"/>
      <w:r w:rsidRPr="008B264B">
        <w:rPr>
          <w:rFonts w:ascii="Times New Roman" w:eastAsia="Times New Roman" w:hAnsi="Times New Roman" w:cs="Times New Roman"/>
          <w:i/>
          <w:iCs/>
          <w:color w:val="000000"/>
          <w:sz w:val="24"/>
          <w:szCs w:val="24"/>
          <w:lang/>
        </w:rPr>
        <w:t>{Підпункт 164.2.7 пункту 164.2 статті 164 із змінами, внесеними згідно із Законом </w:t>
      </w:r>
      <w:hyperlink r:id="rId2303"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36387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8" w:name="n3645"/>
      <w:bookmarkEnd w:id="4248"/>
      <w:r w:rsidRPr="008B264B">
        <w:rPr>
          <w:rFonts w:ascii="Times New Roman" w:eastAsia="Times New Roman" w:hAnsi="Times New Roman" w:cs="Times New Roman"/>
          <w:color w:val="000000"/>
          <w:sz w:val="24"/>
          <w:szCs w:val="24"/>
          <w:lang/>
        </w:rPr>
        <w:t>164.2.8. пасивні доходи (крім зазначених у </w:t>
      </w:r>
      <w:hyperlink r:id="rId2304" w:anchor="n3715" w:history="1">
        <w:r w:rsidRPr="008B264B">
          <w:rPr>
            <w:rFonts w:ascii="Times New Roman" w:eastAsia="Times New Roman" w:hAnsi="Times New Roman" w:cs="Times New Roman"/>
            <w:color w:val="0000FF"/>
            <w:sz w:val="24"/>
            <w:szCs w:val="24"/>
            <w:u w:val="single"/>
            <w:lang/>
          </w:rPr>
          <w:t>підпунктах 165.1.2</w:t>
        </w:r>
      </w:hyperlink>
      <w:r w:rsidRPr="008B264B">
        <w:rPr>
          <w:rFonts w:ascii="Times New Roman" w:eastAsia="Times New Roman" w:hAnsi="Times New Roman" w:cs="Times New Roman"/>
          <w:color w:val="000000"/>
          <w:sz w:val="24"/>
          <w:szCs w:val="24"/>
          <w:lang/>
        </w:rPr>
        <w:t> та </w:t>
      </w:r>
      <w:hyperlink r:id="rId2305" w:anchor="n3796" w:history="1">
        <w:r w:rsidRPr="008B264B">
          <w:rPr>
            <w:rFonts w:ascii="Times New Roman" w:eastAsia="Times New Roman" w:hAnsi="Times New Roman" w:cs="Times New Roman"/>
            <w:color w:val="0000FF"/>
            <w:sz w:val="24"/>
            <w:szCs w:val="24"/>
            <w:u w:val="single"/>
            <w:lang/>
          </w:rPr>
          <w:t>165.1.41</w:t>
        </w:r>
      </w:hyperlink>
      <w:r w:rsidRPr="008B264B">
        <w:rPr>
          <w:rFonts w:ascii="Times New Roman" w:eastAsia="Times New Roman" w:hAnsi="Times New Roman" w:cs="Times New Roman"/>
          <w:color w:val="000000"/>
          <w:sz w:val="24"/>
          <w:szCs w:val="24"/>
          <w:lang/>
        </w:rPr>
        <w:t> пункту 165.1 статті 165 цього Кодексу), доходи у вигляді виграшів, призів;</w:t>
      </w:r>
    </w:p>
    <w:p w14:paraId="2FC0DE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49" w:name="n9857"/>
      <w:bookmarkEnd w:id="4249"/>
      <w:r w:rsidRPr="008B264B">
        <w:rPr>
          <w:rFonts w:ascii="Times New Roman" w:eastAsia="Times New Roman" w:hAnsi="Times New Roman" w:cs="Times New Roman"/>
          <w:i/>
          <w:iCs/>
          <w:color w:val="000000"/>
          <w:sz w:val="24"/>
          <w:szCs w:val="24"/>
          <w:lang/>
        </w:rPr>
        <w:t>{Підпункт 164.2.8 пункту 164.2 статті 164 в редакції Закону </w:t>
      </w:r>
      <w:hyperlink r:id="rId2306" w:anchor="n18"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307"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 підпункт 164.2.8 пункту 164.2 статті 164 в редакції Законів </w:t>
      </w:r>
      <w:hyperlink r:id="rId2308" w:anchor="n6"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 </w:t>
      </w:r>
      <w:hyperlink r:id="rId2309" w:anchor="n50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10" w:anchor="n19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516C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0" w:name="n3646"/>
      <w:bookmarkEnd w:id="4250"/>
      <w:r w:rsidRPr="008B264B">
        <w:rPr>
          <w:rFonts w:ascii="Times New Roman" w:eastAsia="Times New Roman" w:hAnsi="Times New Roman" w:cs="Times New Roman"/>
          <w:color w:val="000000"/>
          <w:sz w:val="24"/>
          <w:szCs w:val="24"/>
          <w:lang/>
        </w:rPr>
        <w:t>164.2.9. інвестиційний прибуток від проведення платником податку операцій з цінними паперами, деривативами та корпоративними правами, випущеними в інших, ніж цінні папери, формах, крім доходу від операцій, зазначених у </w:t>
      </w:r>
      <w:hyperlink r:id="rId2311" w:anchor="n3795" w:history="1">
        <w:r w:rsidRPr="008B264B">
          <w:rPr>
            <w:rFonts w:ascii="Times New Roman" w:eastAsia="Times New Roman" w:hAnsi="Times New Roman" w:cs="Times New Roman"/>
            <w:color w:val="0000FF"/>
            <w:sz w:val="24"/>
            <w:szCs w:val="24"/>
            <w:u w:val="single"/>
            <w:lang/>
          </w:rPr>
          <w:t>підпунктах 165.1.40</w:t>
        </w:r>
      </w:hyperlink>
      <w:r w:rsidRPr="008B264B">
        <w:rPr>
          <w:rFonts w:ascii="Times New Roman" w:eastAsia="Times New Roman" w:hAnsi="Times New Roman" w:cs="Times New Roman"/>
          <w:color w:val="000000"/>
          <w:sz w:val="24"/>
          <w:szCs w:val="24"/>
          <w:lang/>
        </w:rPr>
        <w:t> і </w:t>
      </w:r>
      <w:hyperlink r:id="rId2312" w:anchor="n3812" w:history="1">
        <w:r w:rsidRPr="008B264B">
          <w:rPr>
            <w:rFonts w:ascii="Times New Roman" w:eastAsia="Times New Roman" w:hAnsi="Times New Roman" w:cs="Times New Roman"/>
            <w:color w:val="0000FF"/>
            <w:sz w:val="24"/>
            <w:szCs w:val="24"/>
            <w:u w:val="single"/>
            <w:lang/>
          </w:rPr>
          <w:t>165.1.52</w:t>
        </w:r>
      </w:hyperlink>
      <w:r w:rsidRPr="008B264B">
        <w:rPr>
          <w:rFonts w:ascii="Times New Roman" w:eastAsia="Times New Roman" w:hAnsi="Times New Roman" w:cs="Times New Roman"/>
          <w:color w:val="000000"/>
          <w:sz w:val="24"/>
          <w:szCs w:val="24"/>
          <w:lang/>
        </w:rPr>
        <w:t> пункту 165.1 статті 165 цього Кодексу;</w:t>
      </w:r>
    </w:p>
    <w:p w14:paraId="26484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1" w:name="n3647"/>
      <w:bookmarkEnd w:id="4251"/>
      <w:r w:rsidRPr="008B264B">
        <w:rPr>
          <w:rFonts w:ascii="Times New Roman" w:eastAsia="Times New Roman" w:hAnsi="Times New Roman" w:cs="Times New Roman"/>
          <w:i/>
          <w:iCs/>
          <w:color w:val="000000"/>
          <w:sz w:val="24"/>
          <w:szCs w:val="24"/>
          <w:lang/>
        </w:rPr>
        <w:t>{Підпункт 164.2.9 пункту 164.2 статті 164 в редакції Закону </w:t>
      </w:r>
      <w:hyperlink r:id="rId2313" w:anchor="n19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14" w:anchor="n19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E930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2" w:name="n3648"/>
      <w:bookmarkEnd w:id="4252"/>
      <w:r w:rsidRPr="008B264B">
        <w:rPr>
          <w:rFonts w:ascii="Times New Roman" w:eastAsia="Times New Roman" w:hAnsi="Times New Roman" w:cs="Times New Roman"/>
          <w:color w:val="000000"/>
          <w:sz w:val="24"/>
          <w:szCs w:val="24"/>
          <w:lang/>
        </w:rPr>
        <w:t>164.2.10. дохід у вигляді вартості успадкованого чи отриманого у дарунок майна у межах, що оподатковується згідно з цим розділом;</w:t>
      </w:r>
    </w:p>
    <w:p w14:paraId="2A3EE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3" w:name="n3649"/>
      <w:bookmarkEnd w:id="4253"/>
      <w:r w:rsidRPr="008B264B">
        <w:rPr>
          <w:rFonts w:ascii="Times New Roman" w:eastAsia="Times New Roman" w:hAnsi="Times New Roman" w:cs="Times New Roman"/>
          <w:color w:val="000000"/>
          <w:sz w:val="24"/>
          <w:szCs w:val="24"/>
          <w:lang/>
        </w:rPr>
        <w:lastRenderedPageBreak/>
        <w:t>164.2.11. сума надміру витрачених коштів, отриманих платником податку на відрядження або під звіт та не повернутих у встановлені законодавством строки, розмір якої обчислюється відповідно до </w:t>
      </w:r>
      <w:hyperlink r:id="rId2315" w:anchor="n4113" w:history="1">
        <w:r w:rsidRPr="008B264B">
          <w:rPr>
            <w:rFonts w:ascii="Times New Roman" w:eastAsia="Times New Roman" w:hAnsi="Times New Roman" w:cs="Times New Roman"/>
            <w:color w:val="0000FF"/>
            <w:sz w:val="24"/>
            <w:szCs w:val="24"/>
            <w:u w:val="single"/>
            <w:lang/>
          </w:rPr>
          <w:t>пункту 170.9</w:t>
        </w:r>
      </w:hyperlink>
      <w:r w:rsidRPr="008B264B">
        <w:rPr>
          <w:rFonts w:ascii="Times New Roman" w:eastAsia="Times New Roman" w:hAnsi="Times New Roman" w:cs="Times New Roman"/>
          <w:color w:val="000000"/>
          <w:sz w:val="24"/>
          <w:szCs w:val="24"/>
          <w:lang/>
        </w:rPr>
        <w:t> статті 170 цього Кодексу;</w:t>
      </w:r>
    </w:p>
    <w:p w14:paraId="498F3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4" w:name="n3650"/>
      <w:bookmarkEnd w:id="4254"/>
      <w:r w:rsidRPr="008B264B">
        <w:rPr>
          <w:rFonts w:ascii="Times New Roman" w:eastAsia="Times New Roman" w:hAnsi="Times New Roman" w:cs="Times New Roman"/>
          <w:color w:val="000000"/>
          <w:sz w:val="24"/>
          <w:szCs w:val="24"/>
          <w:lang/>
        </w:rPr>
        <w:t>164.2.12. кошти або майно (нематеріальні активи), отримані платником податку як хабар, викрадені чи знайдені як скарб, не зданий державі згідно із законом, у сумах, які визначені обвинувальним вироком суду незалежно від призначеної ним міри покарання;</w:t>
      </w:r>
    </w:p>
    <w:p w14:paraId="15C9DA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5" w:name="n3651"/>
      <w:bookmarkEnd w:id="4255"/>
      <w:r w:rsidRPr="008B264B">
        <w:rPr>
          <w:rFonts w:ascii="Times New Roman" w:eastAsia="Times New Roman" w:hAnsi="Times New Roman" w:cs="Times New Roman"/>
          <w:color w:val="000000"/>
          <w:sz w:val="24"/>
          <w:szCs w:val="24"/>
          <w:lang/>
        </w:rPr>
        <w:t>164.2.13. доходи, що становлять позитивну різницю між:</w:t>
      </w:r>
    </w:p>
    <w:p w14:paraId="7BCD9B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6" w:name="n3652"/>
      <w:bookmarkEnd w:id="4256"/>
      <w:r w:rsidRPr="008B264B">
        <w:rPr>
          <w:rFonts w:ascii="Times New Roman" w:eastAsia="Times New Roman" w:hAnsi="Times New Roman" w:cs="Times New Roman"/>
          <w:color w:val="000000"/>
          <w:sz w:val="24"/>
          <w:szCs w:val="24"/>
          <w:lang/>
        </w:rPr>
        <w:t>сумою коштів, отриманих платником податку внаслідок його відмови від участі в фонді фінансування будівництва, та сумою коштів, внесених платником податку до такого фонду, крім випадків, коли платник податку одночасно передає кошти, отримані з фонду фінансування будівництва, в управління тому самому управителю у той самий або інший фонд фінансування будівництва;</w:t>
      </w:r>
    </w:p>
    <w:p w14:paraId="19CAF3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7" w:name="n3653"/>
      <w:bookmarkEnd w:id="4257"/>
      <w:r w:rsidRPr="008B264B">
        <w:rPr>
          <w:rFonts w:ascii="Times New Roman" w:eastAsia="Times New Roman" w:hAnsi="Times New Roman" w:cs="Times New Roman"/>
          <w:color w:val="000000"/>
          <w:sz w:val="24"/>
          <w:szCs w:val="24"/>
          <w:lang/>
        </w:rPr>
        <w:t>сумою коштів, отриманих платником податку від інших осіб внаслідок відступлення на їх користь права вимоги за договором про участь у фонді фінансування будівництва (у тому числі, якщо таке відступлення здійснено на підставі договору купівлі-продажу), та сумою коштів, внесених платником податку до такого фонду за цим договором;</w:t>
      </w:r>
    </w:p>
    <w:p w14:paraId="19ED11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8" w:name="n3654"/>
      <w:bookmarkEnd w:id="4258"/>
      <w:r w:rsidRPr="008B264B">
        <w:rPr>
          <w:rFonts w:ascii="Times New Roman" w:eastAsia="Times New Roman" w:hAnsi="Times New Roman" w:cs="Times New Roman"/>
          <w:color w:val="000000"/>
          <w:sz w:val="24"/>
          <w:szCs w:val="24"/>
          <w:lang/>
        </w:rPr>
        <w:t>164.2.14. дохід у вигляді неустойки (штрафів, пені), відшкодування матеріальної або немайнової (моральної) шкоди, крім:</w:t>
      </w:r>
    </w:p>
    <w:p w14:paraId="36C73F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59" w:name="n3655"/>
      <w:bookmarkEnd w:id="4259"/>
      <w:r w:rsidRPr="008B264B">
        <w:rPr>
          <w:rFonts w:ascii="Times New Roman" w:eastAsia="Times New Roman" w:hAnsi="Times New Roman" w:cs="Times New Roman"/>
          <w:color w:val="000000"/>
          <w:sz w:val="24"/>
          <w:szCs w:val="24"/>
          <w:lang/>
        </w:rPr>
        <w:t>а) сум, що за рішенням суду спрямовуються на відшкодування збитків, завданих платнику податку внаслідок заподіяння йому матеріальної шкоди, а також шкоди життю та здоров'ю;</w:t>
      </w:r>
    </w:p>
    <w:p w14:paraId="14CB37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0" w:name="n3656"/>
      <w:bookmarkEnd w:id="4260"/>
      <w:r w:rsidRPr="008B264B">
        <w:rPr>
          <w:rFonts w:ascii="Times New Roman" w:eastAsia="Times New Roman" w:hAnsi="Times New Roman" w:cs="Times New Roman"/>
          <w:color w:val="000000"/>
          <w:sz w:val="24"/>
          <w:szCs w:val="24"/>
          <w:lang/>
        </w:rPr>
        <w:t>б) відсотків, отриманих від боржника внаслідок прострочення виконання ним договірного зобов'язання;</w:t>
      </w:r>
    </w:p>
    <w:p w14:paraId="5327C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1" w:name="n3657"/>
      <w:bookmarkEnd w:id="4261"/>
      <w:r w:rsidRPr="008B264B">
        <w:rPr>
          <w:rFonts w:ascii="Times New Roman" w:eastAsia="Times New Roman" w:hAnsi="Times New Roman" w:cs="Times New Roman"/>
          <w:color w:val="000000"/>
          <w:sz w:val="24"/>
          <w:szCs w:val="24"/>
          <w:lang/>
        </w:rPr>
        <w:t>в) пені, що сплачується на користь платника податку за рахунок бюджету (цільового страхового фонду) внаслідок несвоєчасного повернення надміру сплачених грошових зобов'язань або інших сум бюджетного відшкодування;</w:t>
      </w:r>
    </w:p>
    <w:p w14:paraId="3911B2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2" w:name="n3658"/>
      <w:bookmarkEnd w:id="4262"/>
      <w:r w:rsidRPr="008B264B">
        <w:rPr>
          <w:rFonts w:ascii="Times New Roman" w:eastAsia="Times New Roman" w:hAnsi="Times New Roman" w:cs="Times New Roman"/>
          <w:color w:val="000000"/>
          <w:sz w:val="24"/>
          <w:szCs w:val="24"/>
          <w:lang/>
        </w:rPr>
        <w:t>г) суми втрат, заподіяних платнику податку актами, визнаними неконституційними, або незаконними рішеннями, діями чи бездіяльністю органів, що здійснюють оперативно-розшукову діяльність, органів досудового розслідування, прокуратури або суду, що відшкодовуються державою в порядку, встановленому законом.</w:t>
      </w:r>
    </w:p>
    <w:p w14:paraId="76ECBA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3" w:name="n3659"/>
      <w:bookmarkEnd w:id="4263"/>
      <w:r w:rsidRPr="008B264B">
        <w:rPr>
          <w:rFonts w:ascii="Times New Roman" w:eastAsia="Times New Roman" w:hAnsi="Times New Roman" w:cs="Times New Roman"/>
          <w:i/>
          <w:iCs/>
          <w:color w:val="000000"/>
          <w:sz w:val="24"/>
          <w:szCs w:val="24"/>
          <w:lang/>
        </w:rPr>
        <w:t>{Абзац п'ятий підпункту 164.2.14 пункту 164.2 статті 164 із змінами, внесеними згідно із Законом </w:t>
      </w:r>
      <w:hyperlink r:id="rId2316" w:anchor="n27" w:tgtFrame="_blank" w:history="1">
        <w:r w:rsidRPr="008B264B">
          <w:rPr>
            <w:rFonts w:ascii="Times New Roman" w:eastAsia="Times New Roman" w:hAnsi="Times New Roman" w:cs="Times New Roman"/>
            <w:i/>
            <w:iCs/>
            <w:color w:val="0000FF"/>
            <w:sz w:val="24"/>
            <w:szCs w:val="24"/>
            <w:u w:val="single"/>
            <w:lang/>
          </w:rPr>
          <w:t>№ 4652-VI від 13.04.2012</w:t>
        </w:r>
      </w:hyperlink>
      <w:r w:rsidRPr="008B264B">
        <w:rPr>
          <w:rFonts w:ascii="Times New Roman" w:eastAsia="Times New Roman" w:hAnsi="Times New Roman" w:cs="Times New Roman"/>
          <w:i/>
          <w:iCs/>
          <w:color w:val="000000"/>
          <w:sz w:val="24"/>
          <w:szCs w:val="24"/>
          <w:lang/>
        </w:rPr>
        <w:t>}</w:t>
      </w:r>
    </w:p>
    <w:p w14:paraId="72AA08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4" w:name="n3660"/>
      <w:bookmarkEnd w:id="4264"/>
      <w:r w:rsidRPr="008B264B">
        <w:rPr>
          <w:rFonts w:ascii="Times New Roman" w:eastAsia="Times New Roman" w:hAnsi="Times New Roman" w:cs="Times New Roman"/>
          <w:color w:val="000000"/>
          <w:sz w:val="24"/>
          <w:szCs w:val="24"/>
          <w:lang/>
        </w:rPr>
        <w:t>ґ) виплати з державного бюджету, пов'язані з виконанням рішень закордонних юрисдикційних органів, у тому числі Європейського суду з прав людини, прийнятих за наслідками розгляду справ проти України.</w:t>
      </w:r>
    </w:p>
    <w:p w14:paraId="000561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5" w:name="n3661"/>
      <w:bookmarkEnd w:id="4265"/>
      <w:r w:rsidRPr="008B264B">
        <w:rPr>
          <w:rFonts w:ascii="Times New Roman" w:eastAsia="Times New Roman" w:hAnsi="Times New Roman" w:cs="Times New Roman"/>
          <w:i/>
          <w:iCs/>
          <w:color w:val="000000"/>
          <w:sz w:val="24"/>
          <w:szCs w:val="24"/>
          <w:lang/>
        </w:rPr>
        <w:t>{Підпункт 164.2.14 пункту 164.2 статті 164 доповнено новим абзацом згідно із Законом </w:t>
      </w:r>
      <w:hyperlink r:id="rId2317" w:anchor="n19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972A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6" w:name="n3662"/>
      <w:bookmarkEnd w:id="4266"/>
      <w:r w:rsidRPr="008B264B">
        <w:rPr>
          <w:rFonts w:ascii="Times New Roman" w:eastAsia="Times New Roman" w:hAnsi="Times New Roman" w:cs="Times New Roman"/>
          <w:color w:val="000000"/>
          <w:sz w:val="24"/>
          <w:szCs w:val="24"/>
          <w:lang/>
        </w:rPr>
        <w:t>Дія цього підпункту не поширюється на оподаткування сум страхових виплат, страхових відшкодувань і викупних сум за договорами страхування;</w:t>
      </w:r>
    </w:p>
    <w:p w14:paraId="6E5954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7" w:name="n3663"/>
      <w:bookmarkEnd w:id="4267"/>
      <w:r w:rsidRPr="008B264B">
        <w:rPr>
          <w:rFonts w:ascii="Times New Roman" w:eastAsia="Times New Roman" w:hAnsi="Times New Roman" w:cs="Times New Roman"/>
          <w:color w:val="000000"/>
          <w:sz w:val="24"/>
          <w:szCs w:val="24"/>
          <w:lang/>
        </w:rPr>
        <w:t>164.2.15. сума страхових виплат, страхових відшкодувань, викупних сум або пенсійних виплат, що сплачуються платнику податку за договорами довгострокового страхування життя (у тому числі за договорами страхування довічних пенсій) та недержавного пенсійного забезпечення, за договорами пенсійного вкладу, договорами довірчого управління, укладеними з учасниками фондів банківського управління, у випадках та розмірах, визначених </w:t>
      </w:r>
      <w:hyperlink r:id="rId2318" w:anchor="n4094" w:history="1">
        <w:r w:rsidRPr="008B264B">
          <w:rPr>
            <w:rFonts w:ascii="Times New Roman" w:eastAsia="Times New Roman" w:hAnsi="Times New Roman" w:cs="Times New Roman"/>
            <w:color w:val="0000FF"/>
            <w:sz w:val="24"/>
            <w:szCs w:val="24"/>
            <w:u w:val="single"/>
            <w:lang/>
          </w:rPr>
          <w:t>підпунктом 170.8.2</w:t>
        </w:r>
      </w:hyperlink>
      <w:r w:rsidRPr="008B264B">
        <w:rPr>
          <w:rFonts w:ascii="Times New Roman" w:eastAsia="Times New Roman" w:hAnsi="Times New Roman" w:cs="Times New Roman"/>
          <w:color w:val="000000"/>
          <w:sz w:val="24"/>
          <w:szCs w:val="24"/>
          <w:lang/>
        </w:rPr>
        <w:t> пункту 170.8 статті 170 цього Кодексу;</w:t>
      </w:r>
    </w:p>
    <w:p w14:paraId="73FF62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8" w:name="n3664"/>
      <w:bookmarkEnd w:id="4268"/>
      <w:r w:rsidRPr="008B264B">
        <w:rPr>
          <w:rFonts w:ascii="Times New Roman" w:eastAsia="Times New Roman" w:hAnsi="Times New Roman" w:cs="Times New Roman"/>
          <w:color w:val="000000"/>
          <w:sz w:val="24"/>
          <w:szCs w:val="24"/>
          <w:lang/>
        </w:rPr>
        <w:t xml:space="preserve">164.2.16. сума пенсійних внесків у межах недержавного пенсійного забезпечення відповідно до закону, страхових платежів (страхових внесків, страхових премій), у тому числі, за договорами </w:t>
      </w:r>
      <w:r w:rsidRPr="008B264B">
        <w:rPr>
          <w:rFonts w:ascii="Times New Roman" w:eastAsia="Times New Roman" w:hAnsi="Times New Roman" w:cs="Times New Roman"/>
          <w:color w:val="000000"/>
          <w:sz w:val="24"/>
          <w:szCs w:val="24"/>
          <w:lang/>
        </w:rPr>
        <w:lastRenderedPageBreak/>
        <w:t>добровільного медичного страхування та за договором страхування додаткової пенсії, внесків на пенсійні вклади, внесків до фонду банківського управління, сплачена будь-якою особою - резидентом за платника податку чи на його користь, крім сум, що сплачуються:</w:t>
      </w:r>
    </w:p>
    <w:p w14:paraId="276E95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69" w:name="n11185"/>
      <w:bookmarkEnd w:id="4269"/>
      <w:r w:rsidRPr="008B264B">
        <w:rPr>
          <w:rFonts w:ascii="Times New Roman" w:eastAsia="Times New Roman" w:hAnsi="Times New Roman" w:cs="Times New Roman"/>
          <w:color w:val="000000"/>
          <w:sz w:val="24"/>
          <w:szCs w:val="24"/>
          <w:lang/>
        </w:rPr>
        <w:t>а) особою-резидентом, що визначається вигодонабувачем (бенефіціаром) за такими договорами;</w:t>
      </w:r>
    </w:p>
    <w:p w14:paraId="587AB2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0" w:name="n11186"/>
      <w:bookmarkEnd w:id="4270"/>
      <w:r w:rsidRPr="008B264B">
        <w:rPr>
          <w:rFonts w:ascii="Times New Roman" w:eastAsia="Times New Roman" w:hAnsi="Times New Roman" w:cs="Times New Roman"/>
          <w:color w:val="000000"/>
          <w:sz w:val="24"/>
          <w:szCs w:val="24"/>
          <w:lang/>
        </w:rPr>
        <w:t>б) одним із членів сім’ї першого ступеня споріднення платника податку;</w:t>
      </w:r>
    </w:p>
    <w:p w14:paraId="7612B6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1" w:name="n11187"/>
      <w:bookmarkEnd w:id="4271"/>
      <w:r w:rsidRPr="008B264B">
        <w:rPr>
          <w:rFonts w:ascii="Times New Roman" w:eastAsia="Times New Roman" w:hAnsi="Times New Roman" w:cs="Times New Roman"/>
          <w:color w:val="000000"/>
          <w:sz w:val="24"/>
          <w:szCs w:val="24"/>
          <w:lang/>
        </w:rPr>
        <w:t>в) роботодавцем-резидентом за свій рахунок за договорами недержавного пенсійного забезпечення платника податку, якщо така сума не перевищує 15 відсотків нарахованої цим роботодавцем суми заробітної плати платнику податку протягом кожного звітного податкового місяця, за який сплачується пенсійний внесок, внесків до фондів банківського управління, але не більш як 2,5 розміру мінімальної заробітної плати, встановленої законом про Державний бюджет України на відповідний рік, у розрахунку за місяць за сукупністю таких внесків;</w:t>
      </w:r>
    </w:p>
    <w:p w14:paraId="46EC54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2" w:name="n13325"/>
      <w:bookmarkEnd w:id="4272"/>
      <w:r w:rsidRPr="008B264B">
        <w:rPr>
          <w:rFonts w:ascii="Times New Roman" w:eastAsia="Times New Roman" w:hAnsi="Times New Roman" w:cs="Times New Roman"/>
          <w:i/>
          <w:iCs/>
          <w:color w:val="000000"/>
          <w:sz w:val="24"/>
          <w:szCs w:val="24"/>
          <w:lang/>
        </w:rPr>
        <w:t>{Підпункт "в" підпункту 164.2.16 пункту 164.2 статті 164 із змінами, внесеними згідно із Законом </w:t>
      </w:r>
      <w:hyperlink r:id="rId2319" w:anchor="n2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737381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3" w:name="n11184"/>
      <w:bookmarkEnd w:id="4273"/>
      <w:r w:rsidRPr="008B264B">
        <w:rPr>
          <w:rFonts w:ascii="Times New Roman" w:eastAsia="Times New Roman" w:hAnsi="Times New Roman" w:cs="Times New Roman"/>
          <w:i/>
          <w:iCs/>
          <w:color w:val="000000"/>
          <w:sz w:val="24"/>
          <w:szCs w:val="24"/>
          <w:lang/>
        </w:rPr>
        <w:t>{Підпункт 164.2.16 пункту 164.2 статті 164 із змінами, внесеними згідно із Законами </w:t>
      </w:r>
      <w:hyperlink r:id="rId232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321" w:anchor="n16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2322" w:anchor="n5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2AD0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4" w:name="n3670"/>
      <w:bookmarkEnd w:id="4274"/>
      <w:r w:rsidRPr="008B264B">
        <w:rPr>
          <w:rFonts w:ascii="Times New Roman" w:eastAsia="Times New Roman" w:hAnsi="Times New Roman" w:cs="Times New Roman"/>
          <w:color w:val="000000"/>
          <w:sz w:val="24"/>
          <w:szCs w:val="24"/>
          <w:lang/>
        </w:rPr>
        <w:t>164.2.17. дохід, отриманий платником податку як додаткове благо (крім випадків, передбачених </w:t>
      </w:r>
      <w:hyperlink r:id="rId2323" w:anchor="n3699" w:history="1">
        <w:r w:rsidRPr="008B264B">
          <w:rPr>
            <w:rFonts w:ascii="Times New Roman" w:eastAsia="Times New Roman" w:hAnsi="Times New Roman" w:cs="Times New Roman"/>
            <w:color w:val="0000FF"/>
            <w:sz w:val="24"/>
            <w:szCs w:val="24"/>
            <w:u w:val="single"/>
            <w:lang/>
          </w:rPr>
          <w:t>статтею 165</w:t>
        </w:r>
      </w:hyperlink>
      <w:r w:rsidRPr="008B264B">
        <w:rPr>
          <w:rFonts w:ascii="Times New Roman" w:eastAsia="Times New Roman" w:hAnsi="Times New Roman" w:cs="Times New Roman"/>
          <w:color w:val="000000"/>
          <w:sz w:val="24"/>
          <w:szCs w:val="24"/>
          <w:lang/>
        </w:rPr>
        <w:t> цього Кодексу) у вигляді:</w:t>
      </w:r>
    </w:p>
    <w:p w14:paraId="529CE7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5" w:name="n3671"/>
      <w:bookmarkEnd w:id="4275"/>
      <w:r w:rsidRPr="008B264B">
        <w:rPr>
          <w:rFonts w:ascii="Times New Roman" w:eastAsia="Times New Roman" w:hAnsi="Times New Roman" w:cs="Times New Roman"/>
          <w:color w:val="000000"/>
          <w:sz w:val="24"/>
          <w:szCs w:val="24"/>
          <w:lang/>
        </w:rPr>
        <w:t>а) вартості використання житла, інших об'єктів матеріального або нематеріального майна, що належать роботодавцю, наданих платнику податку в безоплатне користування, або компенсації вартості такого використання, крім випадків, коли таке надання зумовлено виконанням платником податку трудової функції відповідно до трудового договору (контракту) чи передбачено нормами колективного договору або відповідно до закону в установлених ними межах;</w:t>
      </w:r>
    </w:p>
    <w:p w14:paraId="685A27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6" w:name="n3672"/>
      <w:bookmarkEnd w:id="4276"/>
      <w:r w:rsidRPr="008B264B">
        <w:rPr>
          <w:rFonts w:ascii="Times New Roman" w:eastAsia="Times New Roman" w:hAnsi="Times New Roman" w:cs="Times New Roman"/>
          <w:i/>
          <w:iCs/>
          <w:color w:val="000000"/>
          <w:sz w:val="24"/>
          <w:szCs w:val="24"/>
          <w:lang/>
        </w:rPr>
        <w:t>{Підпункт "а" підпункту 164.2.17 пункту 164.2 статті 164 в редакції Закону </w:t>
      </w:r>
      <w:hyperlink r:id="rId2324" w:anchor="n20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5AB85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7" w:name="n3673"/>
      <w:bookmarkEnd w:id="4277"/>
      <w:r w:rsidRPr="008B264B">
        <w:rPr>
          <w:rFonts w:ascii="Times New Roman" w:eastAsia="Times New Roman" w:hAnsi="Times New Roman" w:cs="Times New Roman"/>
          <w:color w:val="000000"/>
          <w:sz w:val="24"/>
          <w:szCs w:val="24"/>
          <w:lang/>
        </w:rPr>
        <w:t>б) вартості майна та харчування, безоплатно отриманого платником податку, крім випадків, визначених цим Кодексом для оподаткування прибутку підприємств.</w:t>
      </w:r>
    </w:p>
    <w:p w14:paraId="003B59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8" w:name="n3674"/>
      <w:bookmarkEnd w:id="4278"/>
      <w:r w:rsidRPr="008B264B">
        <w:rPr>
          <w:rFonts w:ascii="Times New Roman" w:eastAsia="Times New Roman" w:hAnsi="Times New Roman" w:cs="Times New Roman"/>
          <w:color w:val="000000"/>
          <w:sz w:val="24"/>
          <w:szCs w:val="24"/>
          <w:lang/>
        </w:rPr>
        <w:t>Додатково до винятків, передбачених підпунктом "а" цього підпункту, не вважаються додатковим благом платника податку доходи, одержані у формі та розмірах, що підлягають включенню роботодавцем до собівартості реалізованих товарів, виконаних робіт, наданих послуг, а також кошти, вартість послуг, проживання, проїзду, харчування, спортивного одягу, аксесуарів, взуття та інвентарю, колясок для осіб з інвалідністю, у тому числі які призначені для участі осіб з інвалідністю в фізкультурно-реабілітаційних та спортивних заходах, лікарських та медико-відновлюваних засобів та інших доходів, наданих (виплачених) платнику податку - учаснику спортивних (крім професійного спорту), фізкультурно-оздоровчих заходів, заходів з фізкультурно-оздоровчої діяльності та фізкультурно-спортивної реабілітації, що фінансуються з бюджету та/або бюджетними організаціями, іншими неприбутковими організаціями, внесеними до Реєстру неприбуткових організацій та установ на дату надання таких коштів.</w:t>
      </w:r>
    </w:p>
    <w:p w14:paraId="7FF7E5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79" w:name="n11188"/>
      <w:bookmarkEnd w:id="4279"/>
      <w:r w:rsidRPr="008B264B">
        <w:rPr>
          <w:rFonts w:ascii="Times New Roman" w:eastAsia="Times New Roman" w:hAnsi="Times New Roman" w:cs="Times New Roman"/>
          <w:i/>
          <w:iCs/>
          <w:color w:val="000000"/>
          <w:sz w:val="24"/>
          <w:szCs w:val="24"/>
          <w:lang/>
        </w:rPr>
        <w:t>{Абзац другий підпункту "б" підпункту 164.2.17 пункту 164.2 статті 164 із змінами, внесеними згідно із Законом </w:t>
      </w:r>
      <w:hyperlink r:id="rId2325" w:anchor="n5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420A8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0" w:name="n14696"/>
      <w:bookmarkEnd w:id="4280"/>
      <w:r w:rsidRPr="008B264B">
        <w:rPr>
          <w:rFonts w:ascii="Times New Roman" w:eastAsia="Times New Roman" w:hAnsi="Times New Roman" w:cs="Times New Roman"/>
          <w:color w:val="000000"/>
          <w:sz w:val="24"/>
          <w:szCs w:val="24"/>
          <w:lang/>
        </w:rPr>
        <w:t>Також не вважається додатковим благом платника податку сплачена суб’єктом кінематографії вартість товарів та послуг, а саме проїзду, проживання, харчування, охорони, страхування, медичного обслуговування, тренування, навчання, що пов’язані з участю такого платника податку у виробництві аудіовізуальних творів, що виробляються (створюються) суб’єктами кінематографії України, якщо це передбачено умовами договору з такими платниками податку та/або режисерським сценарієм аудіовізуального твору;</w:t>
      </w:r>
    </w:p>
    <w:p w14:paraId="53E935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1" w:name="n14695"/>
      <w:bookmarkEnd w:id="4281"/>
      <w:r w:rsidRPr="008B264B">
        <w:rPr>
          <w:rFonts w:ascii="Times New Roman" w:eastAsia="Times New Roman" w:hAnsi="Times New Roman" w:cs="Times New Roman"/>
          <w:i/>
          <w:iCs/>
          <w:color w:val="000000"/>
          <w:sz w:val="24"/>
          <w:szCs w:val="24"/>
          <w:lang/>
        </w:rPr>
        <w:lastRenderedPageBreak/>
        <w:t>{Підпункт "б" підпункту 164.2.17 пункту 164.2 статті 164 доповнено абзацом третім згідно із Законом </w:t>
      </w:r>
      <w:hyperlink r:id="rId2326" w:anchor="n20"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34AC13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2" w:name="n3675"/>
      <w:bookmarkEnd w:id="4282"/>
      <w:r w:rsidRPr="008B264B">
        <w:rPr>
          <w:rFonts w:ascii="Times New Roman" w:eastAsia="Times New Roman" w:hAnsi="Times New Roman" w:cs="Times New Roman"/>
          <w:color w:val="000000"/>
          <w:sz w:val="24"/>
          <w:szCs w:val="24"/>
          <w:lang/>
        </w:rPr>
        <w:t>в) вартості послуг домашнього обслуговуючого персоналу, безоплатно отриманих платником податку, включаючи працю підпорядкованих осіб, а також осіб, що перебувають на військовій службі чи є заарештованими або ув'язненими.</w:t>
      </w:r>
    </w:p>
    <w:p w14:paraId="486260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3" w:name="n3676"/>
      <w:bookmarkEnd w:id="4283"/>
      <w:r w:rsidRPr="008B264B">
        <w:rPr>
          <w:rFonts w:ascii="Times New Roman" w:eastAsia="Times New Roman" w:hAnsi="Times New Roman" w:cs="Times New Roman"/>
          <w:color w:val="000000"/>
          <w:sz w:val="24"/>
          <w:szCs w:val="24"/>
          <w:lang/>
        </w:rPr>
        <w:t>Під терміном "послуги домашнього обслуговуючого персоналу" розуміються послуги з побутового обслуговування фізичної особи, членів її сім'ї або від імені чи за їх дорученням будь-якої третьої особи, включаючи ремонт або спорудження об'єктів рухомого чи нерухомого майна, що належить таким особам або використовується ними;</w:t>
      </w:r>
    </w:p>
    <w:p w14:paraId="012036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4" w:name="n3677"/>
      <w:bookmarkEnd w:id="4284"/>
      <w:r w:rsidRPr="008B264B">
        <w:rPr>
          <w:rFonts w:ascii="Times New Roman" w:eastAsia="Times New Roman" w:hAnsi="Times New Roman" w:cs="Times New Roman"/>
          <w:color w:val="000000"/>
          <w:sz w:val="24"/>
          <w:szCs w:val="24"/>
          <w:lang/>
        </w:rPr>
        <w:t>г) суми грошового або майнового відшкодування будь-яких витрат або втрат платника податку, крім тих, що обов'язково відшкодовуються згідно із законом за рахунок бюджету або звільняються від оподаткування згідно з цим розділом;</w:t>
      </w:r>
    </w:p>
    <w:p w14:paraId="4BC68F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5" w:name="n3678"/>
      <w:bookmarkEnd w:id="4285"/>
      <w:r w:rsidRPr="008B264B">
        <w:rPr>
          <w:rFonts w:ascii="Times New Roman" w:eastAsia="Times New Roman" w:hAnsi="Times New Roman" w:cs="Times New Roman"/>
          <w:color w:val="000000"/>
          <w:sz w:val="24"/>
          <w:szCs w:val="24"/>
          <w:lang/>
        </w:rPr>
        <w:t>ґ) суми безповоротної фінансової допомоги (крім суми процентів умовно нарахованих на таку допомогу);</w:t>
      </w:r>
    </w:p>
    <w:p w14:paraId="1B7EE8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6" w:name="n3679"/>
      <w:bookmarkEnd w:id="4286"/>
      <w:r w:rsidRPr="008B264B">
        <w:rPr>
          <w:rFonts w:ascii="Times New Roman" w:eastAsia="Times New Roman" w:hAnsi="Times New Roman" w:cs="Times New Roman"/>
          <w:i/>
          <w:iCs/>
          <w:color w:val="000000"/>
          <w:sz w:val="24"/>
          <w:szCs w:val="24"/>
          <w:lang/>
        </w:rPr>
        <w:t>{Підпункт "ґ" підпункту 164.2.17 пункту 164.2 статті 164 із змінами, внесеними згідно із Законом </w:t>
      </w:r>
      <w:hyperlink r:id="rId232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E9AE9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7" w:name="n3680"/>
      <w:bookmarkEnd w:id="4287"/>
      <w:r w:rsidRPr="008B264B">
        <w:rPr>
          <w:rFonts w:ascii="Times New Roman" w:eastAsia="Times New Roman" w:hAnsi="Times New Roman" w:cs="Times New Roman"/>
          <w:color w:val="000000"/>
          <w:sz w:val="24"/>
          <w:szCs w:val="24"/>
          <w:lang/>
        </w:rPr>
        <w:t>д) основної суми боргу (кредиту) платника податку, прощеного (анульованого) кредитором за його самостійним рішенням, не пов’язаним з процедурою банкрутства, до закінчення строку позовної давності, у разі якщо його сума перевищує 25 відсотків однієї мінімальної заробітної плати (у розрахунку на рік), встановленої на 1 січня звітного податкового року. Кредитор зобов’язаний повідомити платника податку - боржника шляхом направлення рекомендованого листа з повідомленням про вручення або шляхом укладення відповідного договору, або надання повідомлення боржнику під підпис особисто про прощення (анулювання) боргу та включити суму прощеного (анульованого) боргу до податкового розрахунку суми доходу, нарахованого (сплаченого) на користь платників податку, за підсумками звітного періоду, у якому такий борг було прощено. Боржник самостійно сплачує податок з таких доходів та відображає їх у річній податковій декларації. У разі неповідомлення кредитором боржника про прощення (анулювання) боргу у порядку, визначеному цим підпунктом, такий кредитор зобов’язаний виконати всі обов’язки податкового агента щодо доходів, визначених цим підпунктом.</w:t>
      </w:r>
    </w:p>
    <w:p w14:paraId="47F86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8" w:name="n14123"/>
      <w:bookmarkEnd w:id="4288"/>
      <w:r w:rsidRPr="008B264B">
        <w:rPr>
          <w:rFonts w:ascii="Times New Roman" w:eastAsia="Times New Roman" w:hAnsi="Times New Roman" w:cs="Times New Roman"/>
          <w:color w:val="000000"/>
          <w:sz w:val="24"/>
          <w:szCs w:val="24"/>
          <w:lang/>
        </w:rPr>
        <w:t>За кредитом, що отриманий на придбання житла (іпотечний кредит), платник податку має право на сплату суми податкового зобов’язання, нарахованої на суму боргу (кредиту та/або відсотків), прощеного (анульованого) кредитором за його самостійним рішенням, не пов’язаним із процедурою його банкрутства, до закінчення строку позовної давності, протягом трьох років починаючи з року, в якому задекларовано суму такого податкового зобов’язання. Для розстрочення такої суми податкового зобов’язання платник податку разом із декларацією подає до контролюючого органу заяву у довільній формі, що містить фактичні дані про суму прощеного (анульованого) кредитором боргу (кредиту та/або відсотків), підтверджену відповідними документами кредитора, та коротке пояснення обставин, що призвели до виникнення необхідності здійснення розстрочення задекларованої суми податкового зобов’язання.</w:t>
      </w:r>
    </w:p>
    <w:p w14:paraId="1EA61F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89" w:name="n14125"/>
      <w:bookmarkEnd w:id="4289"/>
      <w:r w:rsidRPr="008B264B">
        <w:rPr>
          <w:rFonts w:ascii="Times New Roman" w:eastAsia="Times New Roman" w:hAnsi="Times New Roman" w:cs="Times New Roman"/>
          <w:i/>
          <w:iCs/>
          <w:color w:val="000000"/>
          <w:sz w:val="24"/>
          <w:szCs w:val="24"/>
          <w:lang/>
        </w:rPr>
        <w:t>{Підпункт "д" підпункту 164.2.17 пункту 164.2 статті 164 доповнено абзацом другим згідно із Законом </w:t>
      </w:r>
      <w:hyperlink r:id="rId2328" w:anchor="n9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2246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0" w:name="n14124"/>
      <w:bookmarkEnd w:id="4290"/>
      <w:r w:rsidRPr="008B264B">
        <w:rPr>
          <w:rFonts w:ascii="Times New Roman" w:eastAsia="Times New Roman" w:hAnsi="Times New Roman" w:cs="Times New Roman"/>
          <w:color w:val="000000"/>
          <w:sz w:val="24"/>
          <w:szCs w:val="24"/>
          <w:lang/>
        </w:rPr>
        <w:t xml:space="preserve">Суми розстрочених податкових зобов’язань розраховуються платником податку самостійно згідно з документами щодо суми прощеного (анульованого) кредитором боргу (кредиту та/або відсотків) та погашаються рівними частинами кожного календарного кварталу до 20 числа місяця, наступного за кожним календарним кварталом (до 20 квітня, до 20 липня, до 20 жовтня і до 20 грудня) починаючи з кварталу, що настає за тим кварталом, у якому до контролюючого органу подано заяву у довільній формі, що містить фактичні дані про суму прощеного (анульованого) кредитором боргу (кредиту та/або відсотків), підтверджену відповідними </w:t>
      </w:r>
      <w:r w:rsidRPr="008B264B">
        <w:rPr>
          <w:rFonts w:ascii="Times New Roman" w:eastAsia="Times New Roman" w:hAnsi="Times New Roman" w:cs="Times New Roman"/>
          <w:color w:val="000000"/>
          <w:sz w:val="24"/>
          <w:szCs w:val="24"/>
          <w:lang/>
        </w:rPr>
        <w:lastRenderedPageBreak/>
        <w:t>документами кредитора, та коротке пояснення обставин, що призвели до виникнення необхідності здійснення розстрочення задекларованої суми податкового зобов’язання;</w:t>
      </w:r>
    </w:p>
    <w:p w14:paraId="4C0A5D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1" w:name="n14122"/>
      <w:bookmarkEnd w:id="4291"/>
      <w:r w:rsidRPr="008B264B">
        <w:rPr>
          <w:rFonts w:ascii="Times New Roman" w:eastAsia="Times New Roman" w:hAnsi="Times New Roman" w:cs="Times New Roman"/>
          <w:i/>
          <w:iCs/>
          <w:color w:val="000000"/>
          <w:sz w:val="24"/>
          <w:szCs w:val="24"/>
          <w:lang/>
        </w:rPr>
        <w:t>{Підпункт "д" підпункту 164.2.17 пункту 164.2 статті 164 доповнено абзацом третім згідно із Законом </w:t>
      </w:r>
      <w:hyperlink r:id="rId2329" w:anchor="n9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C358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2" w:name="n3681"/>
      <w:bookmarkEnd w:id="4292"/>
      <w:r w:rsidRPr="008B264B">
        <w:rPr>
          <w:rFonts w:ascii="Times New Roman" w:eastAsia="Times New Roman" w:hAnsi="Times New Roman" w:cs="Times New Roman"/>
          <w:i/>
          <w:iCs/>
          <w:color w:val="000000"/>
          <w:sz w:val="24"/>
          <w:szCs w:val="24"/>
          <w:lang/>
        </w:rPr>
        <w:t>{Підпункт "д" підпункту 164.2.17 пункту 164.2 статті 164 із змінами, внесеними згідно із Законами </w:t>
      </w:r>
      <w:hyperlink r:id="rId2330" w:anchor="n20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2331"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Закону </w:t>
      </w:r>
      <w:hyperlink r:id="rId2332" w:anchor="n51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33" w:anchor="n2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51868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3" w:name="n3682"/>
      <w:bookmarkEnd w:id="4293"/>
      <w:r w:rsidRPr="008B264B">
        <w:rPr>
          <w:rFonts w:ascii="Times New Roman" w:eastAsia="Times New Roman" w:hAnsi="Times New Roman" w:cs="Times New Roman"/>
          <w:color w:val="000000"/>
          <w:sz w:val="24"/>
          <w:szCs w:val="24"/>
          <w:lang/>
        </w:rPr>
        <w:t>е) вартості безоплатно отриманих товарів (робіт, послуг), визначеної за правилами звичайної ціни, а також суми знижки звичайної ціни (вартості) товарів (робіт, послуг), індивідуально призначеної для такого платника податку, крім сум, зазначених у </w:t>
      </w:r>
      <w:hyperlink r:id="rId2334" w:anchor="n9986" w:history="1">
        <w:r w:rsidRPr="008B264B">
          <w:rPr>
            <w:rFonts w:ascii="Times New Roman" w:eastAsia="Times New Roman" w:hAnsi="Times New Roman" w:cs="Times New Roman"/>
            <w:color w:val="0000FF"/>
            <w:sz w:val="24"/>
            <w:szCs w:val="24"/>
            <w:u w:val="single"/>
            <w:lang/>
          </w:rPr>
          <w:t>підпункті 165.1.53 пункту 165.1 статті 165</w:t>
        </w:r>
      </w:hyperlink>
      <w:r w:rsidRPr="008B264B">
        <w:rPr>
          <w:rFonts w:ascii="Times New Roman" w:eastAsia="Times New Roman" w:hAnsi="Times New Roman" w:cs="Times New Roman"/>
          <w:color w:val="000000"/>
          <w:sz w:val="24"/>
          <w:szCs w:val="24"/>
          <w:lang/>
        </w:rPr>
        <w:t> цього Кодексу.</w:t>
      </w:r>
    </w:p>
    <w:p w14:paraId="645F0B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4" w:name="n9982"/>
      <w:bookmarkEnd w:id="4294"/>
      <w:r w:rsidRPr="008B264B">
        <w:rPr>
          <w:rFonts w:ascii="Times New Roman" w:eastAsia="Times New Roman" w:hAnsi="Times New Roman" w:cs="Times New Roman"/>
          <w:i/>
          <w:iCs/>
          <w:color w:val="000000"/>
          <w:sz w:val="24"/>
          <w:szCs w:val="24"/>
          <w:lang/>
        </w:rPr>
        <w:t>{Підпункт "е" підпункту 164.2.17 пункту 164.2 статті 164 із змінами, внесеними згідно із Законом </w:t>
      </w:r>
      <w:hyperlink r:id="rId2335" w:anchor="n28" w:tgtFrame="_blank" w:history="1">
        <w:r w:rsidRPr="008B264B">
          <w:rPr>
            <w:rFonts w:ascii="Times New Roman" w:eastAsia="Times New Roman" w:hAnsi="Times New Roman" w:cs="Times New Roman"/>
            <w:i/>
            <w:iCs/>
            <w:color w:val="0000FF"/>
            <w:sz w:val="24"/>
            <w:szCs w:val="24"/>
            <w:u w:val="single"/>
            <w:lang/>
          </w:rPr>
          <w:t>№ 1275-VII від 20.05.2014</w:t>
        </w:r>
      </w:hyperlink>
      <w:r w:rsidRPr="008B264B">
        <w:rPr>
          <w:rFonts w:ascii="Times New Roman" w:eastAsia="Times New Roman" w:hAnsi="Times New Roman" w:cs="Times New Roman"/>
          <w:i/>
          <w:iCs/>
          <w:color w:val="000000"/>
          <w:sz w:val="24"/>
          <w:szCs w:val="24"/>
          <w:lang/>
        </w:rPr>
        <w:t>}</w:t>
      </w:r>
    </w:p>
    <w:p w14:paraId="2D5B88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5" w:name="n3683"/>
      <w:bookmarkEnd w:id="4295"/>
      <w:r w:rsidRPr="008B264B">
        <w:rPr>
          <w:rFonts w:ascii="Times New Roman" w:eastAsia="Times New Roman" w:hAnsi="Times New Roman" w:cs="Times New Roman"/>
          <w:color w:val="000000"/>
          <w:sz w:val="24"/>
          <w:szCs w:val="24"/>
          <w:lang/>
        </w:rPr>
        <w:t>Якщо додаткові блага надаються у негрошовій формі, сума податку об'єкта оподаткування обчислюється за правилами, визначеними </w:t>
      </w:r>
      <w:hyperlink r:id="rId2336" w:anchor="n3691" w:history="1">
        <w:r w:rsidRPr="008B264B">
          <w:rPr>
            <w:rFonts w:ascii="Times New Roman" w:eastAsia="Times New Roman" w:hAnsi="Times New Roman" w:cs="Times New Roman"/>
            <w:color w:val="0000FF"/>
            <w:sz w:val="24"/>
            <w:szCs w:val="24"/>
            <w:u w:val="single"/>
            <w:lang/>
          </w:rPr>
          <w:t>пунктом 164.5</w:t>
        </w:r>
      </w:hyperlink>
      <w:r w:rsidRPr="008B264B">
        <w:rPr>
          <w:rFonts w:ascii="Times New Roman" w:eastAsia="Times New Roman" w:hAnsi="Times New Roman" w:cs="Times New Roman"/>
          <w:color w:val="000000"/>
          <w:sz w:val="24"/>
          <w:szCs w:val="24"/>
          <w:lang/>
        </w:rPr>
        <w:t> цієї статті;</w:t>
      </w:r>
    </w:p>
    <w:p w14:paraId="2B8336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6" w:name="n3684"/>
      <w:bookmarkEnd w:id="4296"/>
      <w:r w:rsidRPr="008B264B">
        <w:rPr>
          <w:rFonts w:ascii="Times New Roman" w:eastAsia="Times New Roman" w:hAnsi="Times New Roman" w:cs="Times New Roman"/>
          <w:color w:val="000000"/>
          <w:sz w:val="24"/>
          <w:szCs w:val="24"/>
          <w:lang/>
        </w:rPr>
        <w:t>164.2.18. дохід, отриманий платником податку за зданий (проданий) ним брухт дорогоцінних металів, крім доходу, отриманого за брухт дорогоцінних металів, проданий Національному банку України.</w:t>
      </w:r>
    </w:p>
    <w:p w14:paraId="63D0BF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7" w:name="n3685"/>
      <w:bookmarkEnd w:id="4297"/>
      <w:r w:rsidRPr="008B264B">
        <w:rPr>
          <w:rFonts w:ascii="Times New Roman" w:eastAsia="Times New Roman" w:hAnsi="Times New Roman" w:cs="Times New Roman"/>
          <w:color w:val="000000"/>
          <w:sz w:val="24"/>
          <w:szCs w:val="24"/>
          <w:lang/>
        </w:rPr>
        <w:t>Під час виплати доходів за зданий (проданий) платником податку брухт дорогоцінних металів особа, яка його закуповує, вважається податковим агентом та зобов'язана утримати податок із суми такої виплати за ставкою, встановленою цим розділом;</w:t>
      </w:r>
    </w:p>
    <w:p w14:paraId="5A410A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8" w:name="n3686"/>
      <w:bookmarkEnd w:id="4298"/>
      <w:r w:rsidRPr="008B264B">
        <w:rPr>
          <w:rFonts w:ascii="Times New Roman" w:eastAsia="Times New Roman" w:hAnsi="Times New Roman" w:cs="Times New Roman"/>
          <w:i/>
          <w:iCs/>
          <w:color w:val="000000"/>
          <w:sz w:val="24"/>
          <w:szCs w:val="24"/>
          <w:lang/>
        </w:rPr>
        <w:t>{Пункт 164.2 статті 164 доповнено новим пунктом 164.2.18 згідно із Законом </w:t>
      </w:r>
      <w:hyperlink r:id="rId2337"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38" w:anchor="n16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C47A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299" w:name="n9860"/>
      <w:bookmarkEnd w:id="4299"/>
      <w:r w:rsidRPr="008B264B">
        <w:rPr>
          <w:rFonts w:ascii="Times New Roman" w:eastAsia="Times New Roman" w:hAnsi="Times New Roman" w:cs="Times New Roman"/>
          <w:color w:val="000000"/>
          <w:sz w:val="24"/>
          <w:szCs w:val="24"/>
          <w:lang/>
        </w:rPr>
        <w:t>164.2.19. </w:t>
      </w:r>
      <w:r w:rsidRPr="008B264B">
        <w:rPr>
          <w:rFonts w:ascii="Times New Roman" w:eastAsia="Times New Roman" w:hAnsi="Times New Roman" w:cs="Times New Roman"/>
          <w:i/>
          <w:iCs/>
          <w:color w:val="000000"/>
          <w:sz w:val="24"/>
          <w:szCs w:val="24"/>
          <w:lang/>
        </w:rPr>
        <w:t>{Положення абзацу першого підпункту 164.2.19 пункту 164.2 статті 164 втратило чинність, як таке, що є неконституційним, на підставі Рішення Конституційного Суду </w:t>
      </w:r>
      <w:hyperlink r:id="rId2339" w:anchor="n68" w:tgtFrame="_blank" w:history="1">
        <w:r w:rsidRPr="008B264B">
          <w:rPr>
            <w:rFonts w:ascii="Times New Roman" w:eastAsia="Times New Roman" w:hAnsi="Times New Roman" w:cs="Times New Roman"/>
            <w:i/>
            <w:iCs/>
            <w:color w:val="0000FF"/>
            <w:sz w:val="24"/>
            <w:szCs w:val="24"/>
            <w:u w:val="single"/>
            <w:lang/>
          </w:rPr>
          <w:t>№ 1-р/2018 від 27.02.2018</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суми пенсій (включаючи суму їх індексації, нараховану відповідно до закону) або щомісячного довічного грошового утримання, отримуваних платником податку з Пенсійного фонду України чи бюджету згідно із законом, якщо їх розмір перевищує десять розмірів прожиткового мінімуму для осіб, які втратили працездатність (у розрахунку на місяць), встановленого на 1 січня звітного податкового року, - у частині такого перевищення, а також пенсій з іноземних джерел, якщо згідно з міжнародними договорами, згода на обов’язковість яких надана Верховною Радою України, такі пенсії підлягають оподаткуванню чи не оподатковуються в країні їх виплати.</w:t>
      </w:r>
    </w:p>
    <w:p w14:paraId="3473DF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0" w:name="n12482"/>
      <w:bookmarkEnd w:id="4300"/>
      <w:r w:rsidRPr="008B264B">
        <w:rPr>
          <w:rFonts w:ascii="Times New Roman" w:eastAsia="Times New Roman" w:hAnsi="Times New Roman" w:cs="Times New Roman"/>
          <w:color w:val="000000"/>
          <w:sz w:val="24"/>
          <w:szCs w:val="24"/>
          <w:lang/>
        </w:rPr>
        <w:t>Положення цього підпункту не застосовується до пенсій, призначених учасникам бойових дій, особам з інвалідністю внаслідок війни та особам, на яких поширюється чинність </w:t>
      </w:r>
      <w:hyperlink r:id="rId2340" w:anchor="n147" w:tgtFrame="_blank" w:history="1">
        <w:r w:rsidRPr="008B264B">
          <w:rPr>
            <w:rFonts w:ascii="Times New Roman" w:eastAsia="Times New Roman" w:hAnsi="Times New Roman" w:cs="Times New Roman"/>
            <w:color w:val="0000FF"/>
            <w:sz w:val="24"/>
            <w:szCs w:val="24"/>
            <w:u w:val="single"/>
            <w:lang/>
          </w:rPr>
          <w:t>статті 10</w:t>
        </w:r>
      </w:hyperlink>
      <w:r w:rsidRPr="008B264B">
        <w:rPr>
          <w:rFonts w:ascii="Times New Roman" w:eastAsia="Times New Roman" w:hAnsi="Times New Roman" w:cs="Times New Roman"/>
          <w:color w:val="000000"/>
          <w:sz w:val="24"/>
          <w:szCs w:val="24"/>
          <w:lang/>
        </w:rPr>
        <w:t> Закону України "Про статус ветеранів війни, гарантії їх соціального захисту";</w:t>
      </w:r>
    </w:p>
    <w:p w14:paraId="5C6214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1" w:name="n15832"/>
      <w:bookmarkEnd w:id="4301"/>
      <w:r w:rsidRPr="008B264B">
        <w:rPr>
          <w:rFonts w:ascii="Times New Roman" w:eastAsia="Times New Roman" w:hAnsi="Times New Roman" w:cs="Times New Roman"/>
          <w:i/>
          <w:iCs/>
          <w:color w:val="000000"/>
          <w:sz w:val="24"/>
          <w:szCs w:val="24"/>
          <w:lang/>
        </w:rPr>
        <w:t>{Абзац другий підпункту 164.2.19 пункту 164.2 статті 164 із змінами, внесеними згідно із Законом </w:t>
      </w:r>
      <w:hyperlink r:id="rId2341" w:anchor="n7"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39AE2D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2" w:name="n12481"/>
      <w:bookmarkEnd w:id="4302"/>
      <w:r w:rsidRPr="008B264B">
        <w:rPr>
          <w:rFonts w:ascii="Times New Roman" w:eastAsia="Times New Roman" w:hAnsi="Times New Roman" w:cs="Times New Roman"/>
          <w:i/>
          <w:iCs/>
          <w:color w:val="000000"/>
          <w:sz w:val="24"/>
          <w:szCs w:val="24"/>
          <w:lang/>
        </w:rPr>
        <w:t>{Підпункт 164.2.19 пункту 164.2 статті 164 із змінами, внесеними згідно із Законом </w:t>
      </w:r>
      <w:hyperlink r:id="rId2342" w:anchor="n5" w:tgtFrame="_blank" w:history="1">
        <w:r w:rsidRPr="008B264B">
          <w:rPr>
            <w:rFonts w:ascii="Times New Roman" w:eastAsia="Times New Roman" w:hAnsi="Times New Roman" w:cs="Times New Roman"/>
            <w:i/>
            <w:iCs/>
            <w:color w:val="0000FF"/>
            <w:sz w:val="24"/>
            <w:szCs w:val="24"/>
            <w:u w:val="single"/>
            <w:lang/>
          </w:rPr>
          <w:t>№ 653-VIII від 17.07.2015</w:t>
        </w:r>
      </w:hyperlink>
      <w:r w:rsidRPr="008B264B">
        <w:rPr>
          <w:rFonts w:ascii="Times New Roman" w:eastAsia="Times New Roman" w:hAnsi="Times New Roman" w:cs="Times New Roman"/>
          <w:i/>
          <w:iCs/>
          <w:color w:val="000000"/>
          <w:sz w:val="24"/>
          <w:szCs w:val="24"/>
          <w:lang/>
        </w:rPr>
        <w:t>; в редакції Закону </w:t>
      </w:r>
      <w:hyperlink r:id="rId2343" w:anchor="n6" w:tgtFrame="_blank" w:history="1">
        <w:r w:rsidRPr="008B264B">
          <w:rPr>
            <w:rFonts w:ascii="Times New Roman" w:eastAsia="Times New Roman" w:hAnsi="Times New Roman" w:cs="Times New Roman"/>
            <w:i/>
            <w:iCs/>
            <w:color w:val="0000FF"/>
            <w:sz w:val="24"/>
            <w:szCs w:val="24"/>
            <w:u w:val="single"/>
            <w:lang/>
          </w:rPr>
          <w:t>№ 1411-VIII від 02.06.2016</w:t>
        </w:r>
      </w:hyperlink>
      <w:r w:rsidRPr="008B264B">
        <w:rPr>
          <w:rFonts w:ascii="Times New Roman" w:eastAsia="Times New Roman" w:hAnsi="Times New Roman" w:cs="Times New Roman"/>
          <w:i/>
          <w:iCs/>
          <w:color w:val="000000"/>
          <w:sz w:val="24"/>
          <w:szCs w:val="24"/>
          <w:lang/>
        </w:rPr>
        <w:t>}</w:t>
      </w:r>
    </w:p>
    <w:p w14:paraId="6A0C4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3" w:name="n9858"/>
      <w:bookmarkEnd w:id="4303"/>
      <w:r w:rsidRPr="008B264B">
        <w:rPr>
          <w:rFonts w:ascii="Times New Roman" w:eastAsia="Times New Roman" w:hAnsi="Times New Roman" w:cs="Times New Roman"/>
          <w:i/>
          <w:iCs/>
          <w:color w:val="000000"/>
          <w:sz w:val="24"/>
          <w:szCs w:val="24"/>
          <w:lang/>
        </w:rPr>
        <w:t>{Пункт 164.2 статті 164 доповнено новим пунктом 164.2.19 згідно із Законом </w:t>
      </w:r>
      <w:hyperlink r:id="rId2344" w:anchor="n2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345"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 в редакції Закону </w:t>
      </w:r>
      <w:hyperlink r:id="rId2346" w:anchor="n5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463D0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4" w:name="n3688"/>
      <w:bookmarkEnd w:id="4304"/>
      <w:r w:rsidRPr="008B264B">
        <w:rPr>
          <w:rFonts w:ascii="Times New Roman" w:eastAsia="Times New Roman" w:hAnsi="Times New Roman" w:cs="Times New Roman"/>
          <w:color w:val="000000"/>
          <w:sz w:val="24"/>
          <w:szCs w:val="24"/>
          <w:lang/>
        </w:rPr>
        <w:t>164.2.20. інші доходи, крім зазначених у </w:t>
      </w:r>
      <w:hyperlink r:id="rId2347" w:anchor="n3699" w:history="1">
        <w:r w:rsidRPr="008B264B">
          <w:rPr>
            <w:rFonts w:ascii="Times New Roman" w:eastAsia="Times New Roman" w:hAnsi="Times New Roman" w:cs="Times New Roman"/>
            <w:color w:val="0000FF"/>
            <w:sz w:val="24"/>
            <w:szCs w:val="24"/>
            <w:u w:val="single"/>
            <w:lang/>
          </w:rPr>
          <w:t>статті 165</w:t>
        </w:r>
      </w:hyperlink>
      <w:r w:rsidRPr="008B264B">
        <w:rPr>
          <w:rFonts w:ascii="Times New Roman" w:eastAsia="Times New Roman" w:hAnsi="Times New Roman" w:cs="Times New Roman"/>
          <w:color w:val="000000"/>
          <w:sz w:val="24"/>
          <w:szCs w:val="24"/>
          <w:lang/>
        </w:rPr>
        <w:t> цього Кодексу.</w:t>
      </w:r>
    </w:p>
    <w:p w14:paraId="344888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5" w:name="n3689"/>
      <w:bookmarkEnd w:id="4305"/>
      <w:r w:rsidRPr="008B264B">
        <w:rPr>
          <w:rFonts w:ascii="Times New Roman" w:eastAsia="Times New Roman" w:hAnsi="Times New Roman" w:cs="Times New Roman"/>
          <w:color w:val="000000"/>
          <w:sz w:val="24"/>
          <w:szCs w:val="24"/>
          <w:lang/>
        </w:rPr>
        <w:t>164.3. При визначенні бази оподаткування враховуються всі доходи платника податку, отримані ним як у грошовій, так і негрошовій формах.</w:t>
      </w:r>
    </w:p>
    <w:p w14:paraId="5DB453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6" w:name="n3690"/>
      <w:bookmarkEnd w:id="4306"/>
      <w:r w:rsidRPr="008B264B">
        <w:rPr>
          <w:rFonts w:ascii="Times New Roman" w:eastAsia="Times New Roman" w:hAnsi="Times New Roman" w:cs="Times New Roman"/>
          <w:color w:val="000000"/>
          <w:sz w:val="24"/>
          <w:szCs w:val="24"/>
          <w:lang/>
        </w:rPr>
        <w:lastRenderedPageBreak/>
        <w:t>164.4. Під час нарахування (отримання) доходів, отриманих у вигляді валютних цінностей або інших активів (вартість яких виражена в іноземній валюті або міжнародних розрахункових одиницях), такі доходи перераховуються у гривні за валютним курсом Національного банку України, що діє на момент нарахування (отримання) таких доходів.</w:t>
      </w:r>
    </w:p>
    <w:p w14:paraId="69E3C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7" w:name="n3691"/>
      <w:bookmarkEnd w:id="4307"/>
      <w:r w:rsidRPr="008B264B">
        <w:rPr>
          <w:rFonts w:ascii="Times New Roman" w:eastAsia="Times New Roman" w:hAnsi="Times New Roman" w:cs="Times New Roman"/>
          <w:color w:val="000000"/>
          <w:sz w:val="24"/>
          <w:szCs w:val="24"/>
          <w:lang/>
        </w:rPr>
        <w:t>164.5. Під час нарахування (надання) доходів у будь-якій негрошовій формі базою оподаткування є вартість такого доходу, розрахована за звичайними цінами, правила визначення яких встановлені згідно з цим Кодексом, помножена на коефіцієнт, який обчислюється за такою формулою:</w:t>
      </w:r>
    </w:p>
    <w:p w14:paraId="617EE9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8" w:name="n3692"/>
      <w:bookmarkEnd w:id="4308"/>
      <w:r w:rsidRPr="008B264B">
        <w:rPr>
          <w:rFonts w:ascii="Times New Roman" w:eastAsia="Times New Roman" w:hAnsi="Times New Roman" w:cs="Times New Roman"/>
          <w:color w:val="000000"/>
          <w:sz w:val="24"/>
          <w:szCs w:val="24"/>
          <w:lang/>
        </w:rPr>
        <w:t>К = 100 : (100 - Сп),</w:t>
      </w:r>
    </w:p>
    <w:p w14:paraId="5CD95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09" w:name="n3693"/>
      <w:bookmarkEnd w:id="4309"/>
      <w:r w:rsidRPr="008B264B">
        <w:rPr>
          <w:rFonts w:ascii="Times New Roman" w:eastAsia="Times New Roman" w:hAnsi="Times New Roman" w:cs="Times New Roman"/>
          <w:color w:val="000000"/>
          <w:sz w:val="24"/>
          <w:szCs w:val="24"/>
          <w:lang/>
        </w:rPr>
        <w:t>де К - коефіцієнт;</w:t>
      </w:r>
    </w:p>
    <w:p w14:paraId="19751A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0" w:name="n3694"/>
      <w:bookmarkEnd w:id="4310"/>
      <w:r w:rsidRPr="008B264B">
        <w:rPr>
          <w:rFonts w:ascii="Times New Roman" w:eastAsia="Times New Roman" w:hAnsi="Times New Roman" w:cs="Times New Roman"/>
          <w:color w:val="000000"/>
          <w:sz w:val="24"/>
          <w:szCs w:val="24"/>
          <w:lang/>
        </w:rPr>
        <w:t>Сп - ставка податку, встановлена для таких доходів на момент їх нарахування.</w:t>
      </w:r>
    </w:p>
    <w:p w14:paraId="3C8319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1" w:name="n3695"/>
      <w:bookmarkEnd w:id="4311"/>
      <w:r w:rsidRPr="008B264B">
        <w:rPr>
          <w:rFonts w:ascii="Times New Roman" w:eastAsia="Times New Roman" w:hAnsi="Times New Roman" w:cs="Times New Roman"/>
          <w:color w:val="000000"/>
          <w:sz w:val="24"/>
          <w:szCs w:val="24"/>
          <w:lang/>
        </w:rPr>
        <w:t>У такому самому порядку визначаються об'єкт оподаткування і база оподаткування для коштів, надміру витрачених платником податку на відрядження або під звіт та не повернутих у встановлені законодавством строки.</w:t>
      </w:r>
    </w:p>
    <w:p w14:paraId="0C8521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2" w:name="n3696"/>
      <w:bookmarkEnd w:id="4312"/>
      <w:r w:rsidRPr="008B264B">
        <w:rPr>
          <w:rFonts w:ascii="Times New Roman" w:eastAsia="Times New Roman" w:hAnsi="Times New Roman" w:cs="Times New Roman"/>
          <w:color w:val="000000"/>
          <w:sz w:val="24"/>
          <w:szCs w:val="24"/>
          <w:lang/>
        </w:rPr>
        <w:t>164.6. Під час нарахування доходів у формі заробітної плати база оподаткування визначається як нарахована заробітна плата, зменшена на суму єдиного внеску на загальнообов'язкове державне соціальне страхування, страхових внесків до Накопичувального фонду, а у випадках, передбачених законом, - обов'язкових страхових внесків до недержавного пенсійного фонду, які відповідно до закону сплачуються за рахунок заробітної плати працівника, а також на суму податкової соціальної пільги за її наявності.</w:t>
      </w:r>
    </w:p>
    <w:p w14:paraId="6A5BB9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3" w:name="n3697"/>
      <w:bookmarkEnd w:id="4313"/>
      <w:r w:rsidRPr="008B264B">
        <w:rPr>
          <w:rFonts w:ascii="Times New Roman" w:eastAsia="Times New Roman" w:hAnsi="Times New Roman" w:cs="Times New Roman"/>
          <w:color w:val="000000"/>
          <w:sz w:val="24"/>
          <w:szCs w:val="24"/>
          <w:lang/>
        </w:rPr>
        <w:t>При нарахуванні доходів у вигляді винагороди за цивільно-правовими договорами за виконання робіт (надання послуг) база оподаткування визначається як нарахована сума такої винагороди, зменшена на суму єдиного внеску на загальнообов'язкове державне соціальне страхування.</w:t>
      </w:r>
    </w:p>
    <w:p w14:paraId="5BEC23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4" w:name="n3698"/>
      <w:bookmarkEnd w:id="4314"/>
      <w:r w:rsidRPr="008B264B">
        <w:rPr>
          <w:rFonts w:ascii="Times New Roman" w:eastAsia="Times New Roman" w:hAnsi="Times New Roman" w:cs="Times New Roman"/>
          <w:i/>
          <w:iCs/>
          <w:color w:val="000000"/>
          <w:sz w:val="24"/>
          <w:szCs w:val="24"/>
          <w:lang/>
        </w:rPr>
        <w:t>{Пункт 164.6 статті 164 доповнено абзацом другим згідно із Законом </w:t>
      </w:r>
      <w:hyperlink r:id="rId23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D2D48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5" w:name="n3699"/>
      <w:bookmarkEnd w:id="4315"/>
      <w:r w:rsidRPr="008B264B">
        <w:rPr>
          <w:rFonts w:ascii="Times New Roman" w:eastAsia="Times New Roman" w:hAnsi="Times New Roman" w:cs="Times New Roman"/>
          <w:b/>
          <w:bCs/>
          <w:color w:val="000000"/>
          <w:sz w:val="24"/>
          <w:szCs w:val="24"/>
          <w:lang/>
        </w:rPr>
        <w:t>Стаття 165.</w:t>
      </w:r>
      <w:r w:rsidRPr="008B264B">
        <w:rPr>
          <w:rFonts w:ascii="Times New Roman" w:eastAsia="Times New Roman" w:hAnsi="Times New Roman" w:cs="Times New Roman"/>
          <w:color w:val="000000"/>
          <w:sz w:val="24"/>
          <w:szCs w:val="24"/>
          <w:lang/>
        </w:rPr>
        <w:t> Доходи, які не включаються до розрахунку загального місячного (річного) оподатковуваного доходу</w:t>
      </w:r>
    </w:p>
    <w:p w14:paraId="1D47DF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6" w:name="n3700"/>
      <w:bookmarkEnd w:id="4316"/>
      <w:r w:rsidRPr="008B264B">
        <w:rPr>
          <w:rFonts w:ascii="Times New Roman" w:eastAsia="Times New Roman" w:hAnsi="Times New Roman" w:cs="Times New Roman"/>
          <w:color w:val="000000"/>
          <w:sz w:val="24"/>
          <w:szCs w:val="24"/>
          <w:lang/>
        </w:rPr>
        <w:t>165.1. До загального місячного (річного) оподатковуваного доходу платника податку не включаються такі доходи:</w:t>
      </w:r>
    </w:p>
    <w:p w14:paraId="6966F4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7" w:name="n3701"/>
      <w:bookmarkEnd w:id="4317"/>
      <w:r w:rsidRPr="008B264B">
        <w:rPr>
          <w:rFonts w:ascii="Times New Roman" w:eastAsia="Times New Roman" w:hAnsi="Times New Roman" w:cs="Times New Roman"/>
          <w:color w:val="000000"/>
          <w:sz w:val="24"/>
          <w:szCs w:val="24"/>
          <w:lang/>
        </w:rPr>
        <w:t>165.1.1 сума державної та соціальної матеріальної допомоги, державної допомоги (включаючи грошові компенсації особам з інвалідністю, на дітей з інвалідністю при реалізації індивідуальних програм реабілітації осіб з інвалідністю, суми допомоги по вагітності та пологах), винагород і страхових виплат, які отримує платник податку з бюджетів та фондів загальнообов’язкового державного соціального страхування та у формі фінансової допомоги особам з інвалідністю з Фонду соціального захисту інвалідів згідно із законом, у тому числі (але не виключно):</w:t>
      </w:r>
    </w:p>
    <w:p w14:paraId="2DC90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8" w:name="n3702"/>
      <w:bookmarkEnd w:id="4318"/>
      <w:r w:rsidRPr="008B264B">
        <w:rPr>
          <w:rFonts w:ascii="Times New Roman" w:eastAsia="Times New Roman" w:hAnsi="Times New Roman" w:cs="Times New Roman"/>
          <w:i/>
          <w:iCs/>
          <w:color w:val="000000"/>
          <w:sz w:val="24"/>
          <w:szCs w:val="24"/>
          <w:lang/>
        </w:rPr>
        <w:t>{Абзац перший підпункт 165.1.1 пункту 165.1 статті 165 із змінами, внесеними згідно із Законом </w:t>
      </w:r>
      <w:hyperlink r:id="rId234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350" w:anchor="n9"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1485F3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19" w:name="n3703"/>
      <w:bookmarkEnd w:id="4319"/>
      <w:r w:rsidRPr="008B264B">
        <w:rPr>
          <w:rFonts w:ascii="Times New Roman" w:eastAsia="Times New Roman" w:hAnsi="Times New Roman" w:cs="Times New Roman"/>
          <w:color w:val="000000"/>
          <w:sz w:val="24"/>
          <w:szCs w:val="24"/>
          <w:lang/>
        </w:rPr>
        <w:t>а) сума грошової допомоги, яка надається згідно із законом членам сімей військовослужбовців чи осіб начальницького і рядового складу органів внутрішніх справ, органів і підрозділів цивільного захисту, Державної кримінально-виконавчої служби України, Державної служби спеціального зв'язку та захисту інформації України, які загинули (безвісно пропали) або померли під час виконання службових обов'язків;</w:t>
      </w:r>
    </w:p>
    <w:p w14:paraId="71DEC0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0" w:name="n3704"/>
      <w:bookmarkEnd w:id="4320"/>
      <w:r w:rsidRPr="008B264B">
        <w:rPr>
          <w:rFonts w:ascii="Times New Roman" w:eastAsia="Times New Roman" w:hAnsi="Times New Roman" w:cs="Times New Roman"/>
          <w:color w:val="000000"/>
          <w:sz w:val="24"/>
          <w:szCs w:val="24"/>
          <w:lang/>
        </w:rPr>
        <w:t xml:space="preserve">б) сума державних премій України або стипендій України, призначених законом, постановами Верховної Ради України, указами Президента України, винагород спортсменам - чемпіонам України, призерам спортивних змагань міжнародного рівня, у тому числі спортсменам </w:t>
      </w:r>
      <w:r w:rsidRPr="008B264B">
        <w:rPr>
          <w:rFonts w:ascii="Times New Roman" w:eastAsia="Times New Roman" w:hAnsi="Times New Roman" w:cs="Times New Roman"/>
          <w:color w:val="000000"/>
          <w:sz w:val="24"/>
          <w:szCs w:val="24"/>
          <w:lang/>
        </w:rPr>
        <w:lastRenderedPageBreak/>
        <w:t>з інвалідністю, а також вартість державних нагород чи винагород від імені України, крім тих, що виплачуються коштами чи іншим майном, сума Нобелівської чи Абелівської премій;</w:t>
      </w:r>
    </w:p>
    <w:p w14:paraId="0985DD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1" w:name="n15834"/>
      <w:bookmarkEnd w:id="4321"/>
      <w:r w:rsidRPr="008B264B">
        <w:rPr>
          <w:rFonts w:ascii="Times New Roman" w:eastAsia="Times New Roman" w:hAnsi="Times New Roman" w:cs="Times New Roman"/>
          <w:i/>
          <w:iCs/>
          <w:color w:val="000000"/>
          <w:sz w:val="24"/>
          <w:szCs w:val="24"/>
          <w:lang/>
        </w:rPr>
        <w:t>{Підпункт "б" підпункту 165.1.1 пункту 165.1 статті 165 із змінами, внесеними згідно із Законом </w:t>
      </w:r>
      <w:hyperlink r:id="rId2351" w:anchor="n11"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6F9599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2" w:name="n3705"/>
      <w:bookmarkEnd w:id="4322"/>
      <w:r w:rsidRPr="008B264B">
        <w:rPr>
          <w:rFonts w:ascii="Times New Roman" w:eastAsia="Times New Roman" w:hAnsi="Times New Roman" w:cs="Times New Roman"/>
          <w:color w:val="000000"/>
          <w:sz w:val="24"/>
          <w:szCs w:val="24"/>
          <w:lang/>
        </w:rPr>
        <w:t>в) сума коштів з Державного бюджету України дійсним членам (академікам) та членам-кореспондентам Національної академії наук України, Української академії аграрних наук, Академії медичних наук України, Академії педагогічних наук України, Академії правових наук України та Академії мистецтв України як щомісячна довічна плата за звання дійсного члена та члена-кореспондента;</w:t>
      </w:r>
    </w:p>
    <w:p w14:paraId="593270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3" w:name="n3706"/>
      <w:bookmarkEnd w:id="4323"/>
      <w:r w:rsidRPr="008B264B">
        <w:rPr>
          <w:rFonts w:ascii="Times New Roman" w:eastAsia="Times New Roman" w:hAnsi="Times New Roman" w:cs="Times New Roman"/>
          <w:color w:val="000000"/>
          <w:sz w:val="24"/>
          <w:szCs w:val="24"/>
          <w:lang/>
        </w:rPr>
        <w:t>г) сума допомоги, яка виплачується (надається) жертвам нацистських переслідувань або їх спадкоємцям з бюджетів або інших джерел, визначених міжнародними договорами України, згода на обов'язковість яких надана Верховною Радою України, а також особам, які мають звання "Праведник Миру";</w:t>
      </w:r>
    </w:p>
    <w:p w14:paraId="7F0FEA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4" w:name="n3707"/>
      <w:bookmarkEnd w:id="4324"/>
      <w:r w:rsidRPr="008B264B">
        <w:rPr>
          <w:rFonts w:ascii="Times New Roman" w:eastAsia="Times New Roman" w:hAnsi="Times New Roman" w:cs="Times New Roman"/>
          <w:color w:val="000000"/>
          <w:sz w:val="24"/>
          <w:szCs w:val="24"/>
          <w:lang/>
        </w:rPr>
        <w:t>ґ) сума допомоги, яка виплачується (надається) особам, визнаним репресованими та/або реабілітованими згідно із законом, або їх спадкоємцям з бюджетів або інших джерел, визначених міжнародними договорами України, згода на обов'язковість яких надана Верховною Радою України;</w:t>
      </w:r>
    </w:p>
    <w:p w14:paraId="20A50A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5" w:name="n3708"/>
      <w:bookmarkEnd w:id="4325"/>
      <w:r w:rsidRPr="008B264B">
        <w:rPr>
          <w:rFonts w:ascii="Times New Roman" w:eastAsia="Times New Roman" w:hAnsi="Times New Roman" w:cs="Times New Roman"/>
          <w:color w:val="000000"/>
          <w:sz w:val="24"/>
          <w:szCs w:val="24"/>
          <w:lang/>
        </w:rPr>
        <w:t>е) сума пенсій (включаючи суму їх індексації, нараховану відповідно до закону) або щомісячного довічного грошового утримання, отримувана платником податку з Пенсійного фонду України чи бюджету згідно із законом, крім випадку, визначеного </w:t>
      </w:r>
      <w:hyperlink r:id="rId2352" w:anchor="n3688" w:history="1">
        <w:r w:rsidRPr="008B264B">
          <w:rPr>
            <w:rFonts w:ascii="Times New Roman" w:eastAsia="Times New Roman" w:hAnsi="Times New Roman" w:cs="Times New Roman"/>
            <w:color w:val="0000FF"/>
            <w:sz w:val="24"/>
            <w:szCs w:val="24"/>
            <w:u w:val="single"/>
            <w:lang/>
          </w:rPr>
          <w:t>підпунктом 164.2.19 пункту 164.2 статті 164</w:t>
        </w:r>
      </w:hyperlink>
      <w:r w:rsidRPr="008B264B">
        <w:rPr>
          <w:rFonts w:ascii="Times New Roman" w:eastAsia="Times New Roman" w:hAnsi="Times New Roman" w:cs="Times New Roman"/>
          <w:color w:val="000000"/>
          <w:sz w:val="24"/>
          <w:szCs w:val="24"/>
          <w:lang/>
        </w:rPr>
        <w:t> цього Кодексу, а також пенсій з іноземних джерел, якщо згідно з міжнародними договорами, згода на обов’язковість яких надана Верховною Радою України, такі пенсії не підлягають оподаткуванню чи оподатковуються в країні їх виплати;</w:t>
      </w:r>
    </w:p>
    <w:p w14:paraId="7685E3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6" w:name="n3709"/>
      <w:bookmarkEnd w:id="4326"/>
      <w:r w:rsidRPr="008B264B">
        <w:rPr>
          <w:rFonts w:ascii="Times New Roman" w:eastAsia="Times New Roman" w:hAnsi="Times New Roman" w:cs="Times New Roman"/>
          <w:i/>
          <w:iCs/>
          <w:color w:val="000000"/>
          <w:sz w:val="24"/>
          <w:szCs w:val="24"/>
          <w:lang/>
        </w:rPr>
        <w:t>{Підпункт "е" підпункту 165.1.1 пункту 165.1 статті 165 із змінами, внесеними згідно із Законом </w:t>
      </w:r>
      <w:hyperlink r:id="rId2353" w:anchor="n20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354" w:anchor="n25"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355"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w:t>
      </w:r>
    </w:p>
    <w:p w14:paraId="098036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7" w:name="n3711"/>
      <w:bookmarkEnd w:id="4327"/>
      <w:r w:rsidRPr="008B264B">
        <w:rPr>
          <w:rFonts w:ascii="Times New Roman" w:eastAsia="Times New Roman" w:hAnsi="Times New Roman" w:cs="Times New Roman"/>
          <w:color w:val="000000"/>
          <w:sz w:val="24"/>
          <w:szCs w:val="24"/>
          <w:lang/>
        </w:rPr>
        <w:t>є) сума грошової компенсації за витрату часу, розмір якої встановлюється Кабінетом Міністрів України, яку отримують фізичні особи за ведення записів та подання відомостей відповідно до програм державних вибіркових обстежень, що проводяться органами державної статистики;</w:t>
      </w:r>
    </w:p>
    <w:p w14:paraId="16B91F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8" w:name="n3712"/>
      <w:bookmarkEnd w:id="4328"/>
      <w:r w:rsidRPr="008B264B">
        <w:rPr>
          <w:rFonts w:ascii="Times New Roman" w:eastAsia="Times New Roman" w:hAnsi="Times New Roman" w:cs="Times New Roman"/>
          <w:color w:val="000000"/>
          <w:sz w:val="24"/>
          <w:szCs w:val="24"/>
          <w:lang/>
        </w:rPr>
        <w:t>ж) сума грошової компенсації, що виплачується військовослужбовцям за належне їм для отримання жиле приміщення;</w:t>
      </w:r>
    </w:p>
    <w:p w14:paraId="57011D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29" w:name="n3713"/>
      <w:bookmarkEnd w:id="4329"/>
      <w:r w:rsidRPr="008B264B">
        <w:rPr>
          <w:rFonts w:ascii="Times New Roman" w:eastAsia="Times New Roman" w:hAnsi="Times New Roman" w:cs="Times New Roman"/>
          <w:color w:val="000000"/>
          <w:sz w:val="24"/>
          <w:szCs w:val="24"/>
          <w:lang/>
        </w:rPr>
        <w:t>з) сума щорічної разової грошової допомоги, яка надається згідно із </w:t>
      </w:r>
      <w:hyperlink r:id="rId2356" w:tgtFrame="_blank" w:history="1">
        <w:r w:rsidRPr="008B264B">
          <w:rPr>
            <w:rFonts w:ascii="Times New Roman" w:eastAsia="Times New Roman" w:hAnsi="Times New Roman" w:cs="Times New Roman"/>
            <w:color w:val="0000FF"/>
            <w:sz w:val="24"/>
            <w:szCs w:val="24"/>
            <w:u w:val="single"/>
            <w:lang/>
          </w:rPr>
          <w:t>Законом України "Про статус ветеранів війни, гарантії їх соціального захисту"</w:t>
        </w:r>
      </w:hyperlink>
      <w:r w:rsidRPr="008B264B">
        <w:rPr>
          <w:rFonts w:ascii="Times New Roman" w:eastAsia="Times New Roman" w:hAnsi="Times New Roman" w:cs="Times New Roman"/>
          <w:color w:val="000000"/>
          <w:sz w:val="24"/>
          <w:szCs w:val="24"/>
          <w:lang/>
        </w:rPr>
        <w:t>;</w:t>
      </w:r>
    </w:p>
    <w:p w14:paraId="60E873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0" w:name="n9984"/>
      <w:bookmarkEnd w:id="4330"/>
      <w:r w:rsidRPr="008B264B">
        <w:rPr>
          <w:rFonts w:ascii="Times New Roman" w:eastAsia="Times New Roman" w:hAnsi="Times New Roman" w:cs="Times New Roman"/>
          <w:color w:val="000000"/>
          <w:sz w:val="24"/>
          <w:szCs w:val="24"/>
          <w:lang/>
        </w:rPr>
        <w:t>и) сума грошової допомоги (у тому числі в натуральній формі), що надається фізичним особам або членам їхніх сімей (діти, дружина, батьки), військовослужбовцям, призваним на військову службу за призовом у зв’язку з мобілізацією, відповідно до </w:t>
      </w:r>
      <w:hyperlink r:id="rId2357" w:tgtFrame="_blank" w:history="1">
        <w:r w:rsidRPr="008B264B">
          <w:rPr>
            <w:rFonts w:ascii="Times New Roman" w:eastAsia="Times New Roman" w:hAnsi="Times New Roman" w:cs="Times New Roman"/>
            <w:color w:val="0000FF"/>
            <w:sz w:val="24"/>
            <w:szCs w:val="24"/>
            <w:u w:val="single"/>
            <w:lang/>
          </w:rPr>
          <w:t>Закону України "Про соціальний і правовий захист військовослужбовців та членів їх сімей"</w:t>
        </w:r>
      </w:hyperlink>
      <w:r w:rsidRPr="008B264B">
        <w:rPr>
          <w:rFonts w:ascii="Times New Roman" w:eastAsia="Times New Roman" w:hAnsi="Times New Roman" w:cs="Times New Roman"/>
          <w:color w:val="000000"/>
          <w:sz w:val="24"/>
          <w:szCs w:val="24"/>
          <w:lang/>
        </w:rPr>
        <w:t>, та/або компенсаційні виплати з бюджету в межах середнього заробітку працівників, призваних на військову службу за призовом під час мобілізації, на особливий період.</w:t>
      </w:r>
    </w:p>
    <w:p w14:paraId="50A630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1" w:name="n9983"/>
      <w:bookmarkEnd w:id="4331"/>
      <w:r w:rsidRPr="008B264B">
        <w:rPr>
          <w:rFonts w:ascii="Times New Roman" w:eastAsia="Times New Roman" w:hAnsi="Times New Roman" w:cs="Times New Roman"/>
          <w:i/>
          <w:iCs/>
          <w:color w:val="000000"/>
          <w:sz w:val="24"/>
          <w:szCs w:val="24"/>
          <w:lang/>
        </w:rPr>
        <w:t>{Підпункт 165.1.1 пункту 165.1 статті 165 доповнено новим абзацом згідно із Законом </w:t>
      </w:r>
      <w:hyperlink r:id="rId2358" w:anchor="n30" w:tgtFrame="_blank" w:history="1">
        <w:r w:rsidRPr="008B264B">
          <w:rPr>
            <w:rFonts w:ascii="Times New Roman" w:eastAsia="Times New Roman" w:hAnsi="Times New Roman" w:cs="Times New Roman"/>
            <w:i/>
            <w:iCs/>
            <w:color w:val="0000FF"/>
            <w:sz w:val="24"/>
            <w:szCs w:val="24"/>
            <w:u w:val="single"/>
            <w:lang/>
          </w:rPr>
          <w:t>№ 1275-VII від 20.05.2014</w:t>
        </w:r>
      </w:hyperlink>
      <w:r w:rsidRPr="008B264B">
        <w:rPr>
          <w:rFonts w:ascii="Times New Roman" w:eastAsia="Times New Roman" w:hAnsi="Times New Roman" w:cs="Times New Roman"/>
          <w:i/>
          <w:iCs/>
          <w:color w:val="000000"/>
          <w:sz w:val="24"/>
          <w:szCs w:val="24"/>
          <w:lang/>
        </w:rPr>
        <w:t>}</w:t>
      </w:r>
    </w:p>
    <w:p w14:paraId="129CD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2" w:name="n3714"/>
      <w:bookmarkEnd w:id="4332"/>
      <w:r w:rsidRPr="008B264B">
        <w:rPr>
          <w:rFonts w:ascii="Times New Roman" w:eastAsia="Times New Roman" w:hAnsi="Times New Roman" w:cs="Times New Roman"/>
          <w:color w:val="000000"/>
          <w:sz w:val="24"/>
          <w:szCs w:val="24"/>
          <w:lang/>
        </w:rPr>
        <w:t>Винятки, передбачені цим підпунктом, не поширюються на виплату заробітної плати, грошової (вихідної) допомоги при виході на пенсію (у відставку) та виплату, пов'язану з тимчасовою втратою працездатності;</w:t>
      </w:r>
    </w:p>
    <w:p w14:paraId="255704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3" w:name="n3715"/>
      <w:bookmarkEnd w:id="4333"/>
      <w:r w:rsidRPr="008B264B">
        <w:rPr>
          <w:rFonts w:ascii="Times New Roman" w:eastAsia="Times New Roman" w:hAnsi="Times New Roman" w:cs="Times New Roman"/>
          <w:color w:val="000000"/>
          <w:sz w:val="24"/>
          <w:szCs w:val="24"/>
          <w:lang/>
        </w:rPr>
        <w:t xml:space="preserve">165.1.2. сума доходів, отриманих платником податку у вигляді процентів, що нараховані на державні цінні папери, емітовані центральним органом виконавчої влади, що забезпечує </w:t>
      </w:r>
      <w:r w:rsidRPr="008B264B">
        <w:rPr>
          <w:rFonts w:ascii="Times New Roman" w:eastAsia="Times New Roman" w:hAnsi="Times New Roman" w:cs="Times New Roman"/>
          <w:color w:val="000000"/>
          <w:sz w:val="24"/>
          <w:szCs w:val="24"/>
          <w:lang/>
        </w:rPr>
        <w:lastRenderedPageBreak/>
        <w:t>формування та реалізує державну фінансову політику та на боргові зобов'язання Національного банку України, а також сума доходів, отриманих нерезидентами у вигляді процентів, нарахованих на державні цінні папери або облігації місцевих позик, або боргові цінні папери, виконання зобов’язань за якими забезпечено державними або місцевими гарантіями, якщо такі цінні папери придбані нерезидентами за межами території України через уповноважених агентів - нерезидентів, або процентів, отриманих нерезидентами за надані державі або бюджету Автономної Республіки Крим чи міському бюджету позики (кредити або зовнішні запозичення), які відображаються в Державному бюджеті України або місцевих бюджетах чи кошторисі Національного банку України, або за надані суб’єктам господарювання кредити (позики), виконання яких забезпечено державними або місцевими гарантіями;</w:t>
      </w:r>
    </w:p>
    <w:p w14:paraId="16500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4" w:name="n3716"/>
      <w:bookmarkEnd w:id="4334"/>
      <w:r w:rsidRPr="008B264B">
        <w:rPr>
          <w:rFonts w:ascii="Times New Roman" w:eastAsia="Times New Roman" w:hAnsi="Times New Roman" w:cs="Times New Roman"/>
          <w:i/>
          <w:iCs/>
          <w:color w:val="000000"/>
          <w:sz w:val="24"/>
          <w:szCs w:val="24"/>
          <w:lang/>
        </w:rPr>
        <w:t>{Підпункт 165.1.2 пункту 165.1 статті 165 із змінами, внесеними згідно із Законами </w:t>
      </w:r>
      <w:hyperlink r:id="rId2359"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 </w:t>
      </w:r>
      <w:hyperlink r:id="rId2360" w:anchor="n16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2361" w:anchor="n8" w:tgtFrame="_blank" w:history="1">
        <w:r w:rsidRPr="008B264B">
          <w:rPr>
            <w:rFonts w:ascii="Times New Roman" w:eastAsia="Times New Roman" w:hAnsi="Times New Roman" w:cs="Times New Roman"/>
            <w:i/>
            <w:iCs/>
            <w:color w:val="0000FF"/>
            <w:sz w:val="24"/>
            <w:szCs w:val="24"/>
            <w:u w:val="single"/>
            <w:lang/>
          </w:rPr>
          <w:t>№ 482-VIII від 22.05.2015</w:t>
        </w:r>
      </w:hyperlink>
      <w:r w:rsidRPr="008B264B">
        <w:rPr>
          <w:rFonts w:ascii="Times New Roman" w:eastAsia="Times New Roman" w:hAnsi="Times New Roman" w:cs="Times New Roman"/>
          <w:i/>
          <w:iCs/>
          <w:color w:val="000000"/>
          <w:sz w:val="24"/>
          <w:szCs w:val="24"/>
          <w:lang/>
        </w:rPr>
        <w:t>, </w:t>
      </w:r>
      <w:hyperlink r:id="rId2362" w:anchor="n98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3364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5" w:name="n3717"/>
      <w:bookmarkEnd w:id="4335"/>
      <w:r w:rsidRPr="008B264B">
        <w:rPr>
          <w:rFonts w:ascii="Times New Roman" w:eastAsia="Times New Roman" w:hAnsi="Times New Roman" w:cs="Times New Roman"/>
          <w:color w:val="000000"/>
          <w:sz w:val="24"/>
          <w:szCs w:val="24"/>
          <w:lang/>
        </w:rPr>
        <w:t>165.1.3. сума відшкодування платнику податку розміру шкоди, заподіяної йому внаслідок Чорнобильської катастрофи, у порядку та сумах, визначених законом;</w:t>
      </w:r>
    </w:p>
    <w:p w14:paraId="4C9B57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6" w:name="n3718"/>
      <w:bookmarkEnd w:id="4336"/>
      <w:r w:rsidRPr="008B264B">
        <w:rPr>
          <w:rFonts w:ascii="Times New Roman" w:eastAsia="Times New Roman" w:hAnsi="Times New Roman" w:cs="Times New Roman"/>
          <w:color w:val="000000"/>
          <w:sz w:val="24"/>
          <w:szCs w:val="24"/>
          <w:lang/>
        </w:rPr>
        <w:t>165.1.4. сума виплат чи відшкодувань (крім заробітної плати чи інших виплат та відшкодувань за цивільно-правовими договорами), що здійснюються з урахуванням </w:t>
      </w:r>
      <w:hyperlink r:id="rId2363" w:anchor="n4055" w:history="1">
        <w:r w:rsidRPr="008B264B">
          <w:rPr>
            <w:rFonts w:ascii="Times New Roman" w:eastAsia="Times New Roman" w:hAnsi="Times New Roman" w:cs="Times New Roman"/>
            <w:color w:val="0000FF"/>
            <w:sz w:val="24"/>
            <w:szCs w:val="24"/>
            <w:u w:val="single"/>
            <w:lang/>
          </w:rPr>
          <w:t>пункту 170.7</w:t>
        </w:r>
      </w:hyperlink>
      <w:r w:rsidRPr="008B264B">
        <w:rPr>
          <w:rFonts w:ascii="Times New Roman" w:eastAsia="Times New Roman" w:hAnsi="Times New Roman" w:cs="Times New Roman"/>
          <w:color w:val="000000"/>
          <w:sz w:val="24"/>
          <w:szCs w:val="24"/>
          <w:lang/>
        </w:rPr>
        <w:t> статті 170 цього Кодексу:</w:t>
      </w:r>
    </w:p>
    <w:p w14:paraId="7E659F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7" w:name="n3719"/>
      <w:bookmarkEnd w:id="4337"/>
      <w:r w:rsidRPr="008B264B">
        <w:rPr>
          <w:rFonts w:ascii="Times New Roman" w:eastAsia="Times New Roman" w:hAnsi="Times New Roman" w:cs="Times New Roman"/>
          <w:color w:val="000000"/>
          <w:sz w:val="24"/>
          <w:szCs w:val="24"/>
          <w:lang/>
        </w:rPr>
        <w:t>а) творчими спілками їх членам у випадках, передбачених законом;</w:t>
      </w:r>
    </w:p>
    <w:p w14:paraId="1B9E04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8" w:name="n3720"/>
      <w:bookmarkEnd w:id="4338"/>
      <w:r w:rsidRPr="008B264B">
        <w:rPr>
          <w:rFonts w:ascii="Times New Roman" w:eastAsia="Times New Roman" w:hAnsi="Times New Roman" w:cs="Times New Roman"/>
          <w:color w:val="000000"/>
          <w:sz w:val="24"/>
          <w:szCs w:val="24"/>
          <w:lang/>
        </w:rPr>
        <w:t>б) Товариством Червоного Хреста України на користь отримувачів благодійної допомоги відповідно до закону;</w:t>
      </w:r>
    </w:p>
    <w:p w14:paraId="181D8C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39" w:name="n3721"/>
      <w:bookmarkEnd w:id="4339"/>
      <w:r w:rsidRPr="008B264B">
        <w:rPr>
          <w:rFonts w:ascii="Times New Roman" w:eastAsia="Times New Roman" w:hAnsi="Times New Roman" w:cs="Times New Roman"/>
          <w:color w:val="000000"/>
          <w:sz w:val="24"/>
          <w:szCs w:val="24"/>
          <w:lang/>
        </w:rPr>
        <w:t>в) іншими неприбутковими організаціями (крім кредитних спілок та інших небанківських фінансових установ) та благодійними фондами України, статус яких визначається відповідно до закону, на користь отримувачів таких виплат, крім будь-яких виплат або відшкодувань членам керівних органів таких організацій або фондів та пов'язаним з ними фізичним особам;</w:t>
      </w:r>
    </w:p>
    <w:p w14:paraId="40ADFE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0" w:name="n3722"/>
      <w:bookmarkEnd w:id="4340"/>
      <w:r w:rsidRPr="008B264B">
        <w:rPr>
          <w:rFonts w:ascii="Times New Roman" w:eastAsia="Times New Roman" w:hAnsi="Times New Roman" w:cs="Times New Roman"/>
          <w:color w:val="000000"/>
          <w:sz w:val="24"/>
          <w:szCs w:val="24"/>
          <w:lang/>
        </w:rPr>
        <w:t>г) сума, яка щороку виплачується переможцям Міжнародного конкурсу з української мови імені Петра Яцика;</w:t>
      </w:r>
    </w:p>
    <w:p w14:paraId="6E0E9F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1" w:name="n3723"/>
      <w:bookmarkEnd w:id="4341"/>
      <w:r w:rsidRPr="008B264B">
        <w:rPr>
          <w:rFonts w:ascii="Times New Roman" w:eastAsia="Times New Roman" w:hAnsi="Times New Roman" w:cs="Times New Roman"/>
          <w:color w:val="000000"/>
          <w:sz w:val="24"/>
          <w:szCs w:val="24"/>
          <w:lang/>
        </w:rPr>
        <w:t>165.1.5. сума внесків на обов'язкове страхування платника податку відповідно до закону, інших, ніж єдиний внесок на загальнообов'язкове державне соціальне страхування;</w:t>
      </w:r>
    </w:p>
    <w:p w14:paraId="420384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2" w:name="n3724"/>
      <w:bookmarkEnd w:id="4342"/>
      <w:r w:rsidRPr="008B264B">
        <w:rPr>
          <w:rFonts w:ascii="Times New Roman" w:eastAsia="Times New Roman" w:hAnsi="Times New Roman" w:cs="Times New Roman"/>
          <w:color w:val="000000"/>
          <w:sz w:val="24"/>
          <w:szCs w:val="24"/>
          <w:lang/>
        </w:rPr>
        <w:t>165.1.6. сума єдиного внеску на загальнообов'язкове державне соціальне страхування платника податку, що вносяться за рахунок його роботодавця у розмірах, визначених законом;</w:t>
      </w:r>
    </w:p>
    <w:p w14:paraId="1BF390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3" w:name="n3725"/>
      <w:bookmarkEnd w:id="4343"/>
      <w:r w:rsidRPr="008B264B">
        <w:rPr>
          <w:rFonts w:ascii="Times New Roman" w:eastAsia="Times New Roman" w:hAnsi="Times New Roman" w:cs="Times New Roman"/>
          <w:color w:val="000000"/>
          <w:sz w:val="24"/>
          <w:szCs w:val="24"/>
          <w:lang/>
        </w:rPr>
        <w:t>165.1.7. сума страхових внесків до Накопичувального фонду, а у випадках, передбачених законом, - обов'язкові страхові внески до недержавного пенсійного фонду та фонду банківського управління;</w:t>
      </w:r>
    </w:p>
    <w:p w14:paraId="69F51E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4" w:name="n3726"/>
      <w:bookmarkEnd w:id="4344"/>
      <w:r w:rsidRPr="008B264B">
        <w:rPr>
          <w:rFonts w:ascii="Times New Roman" w:eastAsia="Times New Roman" w:hAnsi="Times New Roman" w:cs="Times New Roman"/>
          <w:color w:val="000000"/>
          <w:sz w:val="24"/>
          <w:szCs w:val="24"/>
          <w:lang/>
        </w:rPr>
        <w:t>165.1.8. сума коштів, що належать платнику податку, які відповідно до закону перераховуються з Накопичувального фонду до недержавного пенсійного фонду, фонду банківського управління чи страхової організації, з недержавного пенсійного фонду, фонду банківського управління до іншого недержавного пенсійного фонду, фонду банківського управління, страхової організації або на пенсійний депозитний рахунок банку;</w:t>
      </w:r>
    </w:p>
    <w:p w14:paraId="7B9032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5" w:name="n3727"/>
      <w:bookmarkEnd w:id="4345"/>
      <w:r w:rsidRPr="008B264B">
        <w:rPr>
          <w:rFonts w:ascii="Times New Roman" w:eastAsia="Times New Roman" w:hAnsi="Times New Roman" w:cs="Times New Roman"/>
          <w:color w:val="000000"/>
          <w:sz w:val="24"/>
          <w:szCs w:val="24"/>
          <w:lang/>
        </w:rPr>
        <w:t>165.1.9. вартість безоплатного лікувально-профілактичного харчування, молока або рівноцінних йому харчових продуктів, газованої солоної води, мийних і знешкоджувальних засобів, а також спеціального одягу, спеціального взуття та інших засобів індивідуального захисту, якими роботодавець забезпечує платника податку відповідно до </w:t>
      </w:r>
      <w:hyperlink r:id="rId2364" w:tgtFrame="_blank" w:history="1">
        <w:r w:rsidRPr="008B264B">
          <w:rPr>
            <w:rFonts w:ascii="Times New Roman" w:eastAsia="Times New Roman" w:hAnsi="Times New Roman" w:cs="Times New Roman"/>
            <w:color w:val="0000FF"/>
            <w:sz w:val="24"/>
            <w:szCs w:val="24"/>
            <w:u w:val="single"/>
            <w:lang/>
          </w:rPr>
          <w:t>Закону України "Про охорону праці"</w:t>
        </w:r>
      </w:hyperlink>
      <w:r w:rsidRPr="008B264B">
        <w:rPr>
          <w:rFonts w:ascii="Times New Roman" w:eastAsia="Times New Roman" w:hAnsi="Times New Roman" w:cs="Times New Roman"/>
          <w:color w:val="000000"/>
          <w:sz w:val="24"/>
          <w:szCs w:val="24"/>
          <w:lang/>
        </w:rPr>
        <w:t xml:space="preserve">, спеціального (форменого) одягу та взуття, що надаються роботодавцем у тимчасове користування платнику податку, який перебуває з ним у трудових відносинах. Порядок забезпечення, перелік та граничні строки використання спеціального (у тому числі форменого) одягу, спеціального взуття та інших засобів індивідуального захисту встановлюються Кабінетом Міністрів України та/або галузевими нормами безоплатної видачі </w:t>
      </w:r>
      <w:r w:rsidRPr="008B264B">
        <w:rPr>
          <w:rFonts w:ascii="Times New Roman" w:eastAsia="Times New Roman" w:hAnsi="Times New Roman" w:cs="Times New Roman"/>
          <w:color w:val="000000"/>
          <w:sz w:val="24"/>
          <w:szCs w:val="24"/>
          <w:lang/>
        </w:rPr>
        <w:lastRenderedPageBreak/>
        <w:t>працівникам спеціального (форменого) одягу, спеціального взуття та інших засобів індивідуального захисту.</w:t>
      </w:r>
    </w:p>
    <w:p w14:paraId="65FF38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6" w:name="n3728"/>
      <w:bookmarkEnd w:id="4346"/>
      <w:r w:rsidRPr="008B264B">
        <w:rPr>
          <w:rFonts w:ascii="Times New Roman" w:eastAsia="Times New Roman" w:hAnsi="Times New Roman" w:cs="Times New Roman"/>
          <w:color w:val="000000"/>
          <w:sz w:val="24"/>
          <w:szCs w:val="24"/>
          <w:lang/>
        </w:rPr>
        <w:t>Норми забезпечення лікувально-профілактичним харчуванням, молоком або рівноцінними йому харчовими продуктами, газованою солоною водою, мийними та знешкоджувальними засобами розробляються центральним органом виконавчої влади, що забезпечує формування державної політики у сфері охорони здоров'я;</w:t>
      </w:r>
    </w:p>
    <w:p w14:paraId="0B2903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7" w:name="n3729"/>
      <w:bookmarkEnd w:id="4347"/>
      <w:r w:rsidRPr="008B264B">
        <w:rPr>
          <w:rFonts w:ascii="Times New Roman" w:eastAsia="Times New Roman" w:hAnsi="Times New Roman" w:cs="Times New Roman"/>
          <w:i/>
          <w:iCs/>
          <w:color w:val="000000"/>
          <w:sz w:val="24"/>
          <w:szCs w:val="24"/>
          <w:lang/>
        </w:rPr>
        <w:t>{Підпункт 165.1.9 пункту 165.1 статті 165 в редакції Закону </w:t>
      </w:r>
      <w:hyperlink r:id="rId2365" w:anchor="n20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F6668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8" w:name="n3730"/>
      <w:bookmarkEnd w:id="4348"/>
      <w:r w:rsidRPr="008B264B">
        <w:rPr>
          <w:rFonts w:ascii="Times New Roman" w:eastAsia="Times New Roman" w:hAnsi="Times New Roman" w:cs="Times New Roman"/>
          <w:color w:val="000000"/>
          <w:sz w:val="24"/>
          <w:szCs w:val="24"/>
          <w:lang/>
        </w:rPr>
        <w:t>165.1.10. сума грошового або майнового утримання чи забезпечення військовослужбовців строкової служби (у тому числі осіб, що проходять альтернативну службу), передбачена законом, яка виплачується з бюджету чи бюджетною установою;</w:t>
      </w:r>
    </w:p>
    <w:p w14:paraId="56C7D1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49" w:name="n3731"/>
      <w:bookmarkEnd w:id="4349"/>
      <w:r w:rsidRPr="008B264B">
        <w:rPr>
          <w:rFonts w:ascii="Times New Roman" w:eastAsia="Times New Roman" w:hAnsi="Times New Roman" w:cs="Times New Roman"/>
          <w:color w:val="000000"/>
          <w:sz w:val="24"/>
          <w:szCs w:val="24"/>
          <w:lang/>
        </w:rPr>
        <w:t>165.1.11. кошти, отримані платником податку на відрядження або під звіт і розраховані згідно із </w:t>
      </w:r>
      <w:hyperlink r:id="rId2366" w:anchor="n4113" w:history="1">
        <w:r w:rsidRPr="008B264B">
          <w:rPr>
            <w:rFonts w:ascii="Times New Roman" w:eastAsia="Times New Roman" w:hAnsi="Times New Roman" w:cs="Times New Roman"/>
            <w:color w:val="0000FF"/>
            <w:sz w:val="24"/>
            <w:szCs w:val="24"/>
            <w:u w:val="single"/>
            <w:lang/>
          </w:rPr>
          <w:t>пунктом 170.9</w:t>
        </w:r>
      </w:hyperlink>
      <w:r w:rsidRPr="008B264B">
        <w:rPr>
          <w:rFonts w:ascii="Times New Roman" w:eastAsia="Times New Roman" w:hAnsi="Times New Roman" w:cs="Times New Roman"/>
          <w:color w:val="000000"/>
          <w:sz w:val="24"/>
          <w:szCs w:val="24"/>
          <w:lang/>
        </w:rPr>
        <w:t> статті 170 цього Кодексу, а також суми компенсаційних виплат в іноземній валюті, що виплачуються відповідно до закону працівникам дипломатичної служби, направленим у довготермінове відрядження;</w:t>
      </w:r>
    </w:p>
    <w:p w14:paraId="4AB1C2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0" w:name="n3732"/>
      <w:bookmarkEnd w:id="4350"/>
      <w:r w:rsidRPr="008B264B">
        <w:rPr>
          <w:rFonts w:ascii="Times New Roman" w:eastAsia="Times New Roman" w:hAnsi="Times New Roman" w:cs="Times New Roman"/>
          <w:i/>
          <w:iCs/>
          <w:color w:val="000000"/>
          <w:sz w:val="24"/>
          <w:szCs w:val="24"/>
          <w:lang/>
        </w:rPr>
        <w:t>{Підпункт 165.1.11 пункту 165.1 статті 165 із змінами, внесеними згідно із Законом </w:t>
      </w:r>
      <w:hyperlink r:id="rId2367" w:anchor="n21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07A10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1" w:name="n3733"/>
      <w:bookmarkEnd w:id="4351"/>
      <w:r w:rsidRPr="008B264B">
        <w:rPr>
          <w:rFonts w:ascii="Times New Roman" w:eastAsia="Times New Roman" w:hAnsi="Times New Roman" w:cs="Times New Roman"/>
          <w:color w:val="000000"/>
          <w:sz w:val="24"/>
          <w:szCs w:val="24"/>
          <w:lang/>
        </w:rPr>
        <w:t>165.1.12. вартість товарів, які надходять платнику податку як гарантійна заміна у порядку, встановленому законом, а також грошова компенсація вартості товарів, надана платнику податку в разі їх повернення продавцю або особі, уповноваженій таким продавцем здійснювати їх гарантійне обслуговування (заміну) протягом гарантійного строку, але не вище ніж ціна придбання таких товарів;</w:t>
      </w:r>
    </w:p>
    <w:p w14:paraId="05DE7A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2" w:name="n3734"/>
      <w:bookmarkEnd w:id="4352"/>
      <w:r w:rsidRPr="008B264B">
        <w:rPr>
          <w:rFonts w:ascii="Times New Roman" w:eastAsia="Times New Roman" w:hAnsi="Times New Roman" w:cs="Times New Roman"/>
          <w:color w:val="000000"/>
          <w:sz w:val="24"/>
          <w:szCs w:val="24"/>
          <w:lang/>
        </w:rPr>
        <w:t>165.1.13. кошти або вартість майна (нематеріальних активів), які надходять платнику податку за рішенням суду в результаті поділу спільної сумісної власності подружжя у зв'язку з розірванням шлюбу чи визнанням його недійсним або за добровільним рішенням сторін з урахуванням норм </w:t>
      </w:r>
      <w:hyperlink r:id="rId2368" w:tgtFrame="_blank" w:history="1">
        <w:r w:rsidRPr="008B264B">
          <w:rPr>
            <w:rFonts w:ascii="Times New Roman" w:eastAsia="Times New Roman" w:hAnsi="Times New Roman" w:cs="Times New Roman"/>
            <w:color w:val="0000FF"/>
            <w:sz w:val="24"/>
            <w:szCs w:val="24"/>
            <w:u w:val="single"/>
            <w:lang/>
          </w:rPr>
          <w:t>Сімейного кодексу України</w:t>
        </w:r>
      </w:hyperlink>
      <w:r w:rsidRPr="008B264B">
        <w:rPr>
          <w:rFonts w:ascii="Times New Roman" w:eastAsia="Times New Roman" w:hAnsi="Times New Roman" w:cs="Times New Roman"/>
          <w:color w:val="000000"/>
          <w:sz w:val="24"/>
          <w:szCs w:val="24"/>
          <w:lang/>
        </w:rPr>
        <w:t>;</w:t>
      </w:r>
    </w:p>
    <w:p w14:paraId="43177F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3" w:name="n3735"/>
      <w:bookmarkEnd w:id="4353"/>
      <w:r w:rsidRPr="008B264B">
        <w:rPr>
          <w:rFonts w:ascii="Times New Roman" w:eastAsia="Times New Roman" w:hAnsi="Times New Roman" w:cs="Times New Roman"/>
          <w:color w:val="000000"/>
          <w:sz w:val="24"/>
          <w:szCs w:val="24"/>
          <w:lang/>
        </w:rPr>
        <w:t>165.1.14. аліменти, що виплачуються платнику податку згідно з рішенням суду або за добровільним рішенням сторін у сумах, визначених згідно із Сімейним кодексом України, у тому числі аліменти, що виплачуються нерезидентом;</w:t>
      </w:r>
    </w:p>
    <w:p w14:paraId="779083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4" w:name="n15133"/>
      <w:bookmarkEnd w:id="4354"/>
      <w:r w:rsidRPr="008B264B">
        <w:rPr>
          <w:rFonts w:ascii="Times New Roman" w:eastAsia="Times New Roman" w:hAnsi="Times New Roman" w:cs="Times New Roman"/>
          <w:i/>
          <w:iCs/>
          <w:color w:val="000000"/>
          <w:sz w:val="24"/>
          <w:szCs w:val="24"/>
          <w:lang/>
        </w:rPr>
        <w:t>{Підпункт 165.1.14 пункту 165.1 статті 165 із змінами, внесеними згідно із Законом </w:t>
      </w:r>
      <w:hyperlink r:id="rId2369" w:anchor="n6" w:tgtFrame="_blank" w:history="1">
        <w:r w:rsidRPr="008B264B">
          <w:rPr>
            <w:rFonts w:ascii="Times New Roman" w:eastAsia="Times New Roman" w:hAnsi="Times New Roman" w:cs="Times New Roman"/>
            <w:i/>
            <w:iCs/>
            <w:color w:val="0000FF"/>
            <w:sz w:val="24"/>
            <w:szCs w:val="24"/>
            <w:u w:val="single"/>
            <w:lang/>
          </w:rPr>
          <w:t>№ 2477-VIII від 03.07.2018</w:t>
        </w:r>
      </w:hyperlink>
      <w:r w:rsidRPr="008B264B">
        <w:rPr>
          <w:rFonts w:ascii="Times New Roman" w:eastAsia="Times New Roman" w:hAnsi="Times New Roman" w:cs="Times New Roman"/>
          <w:i/>
          <w:iCs/>
          <w:color w:val="000000"/>
          <w:sz w:val="24"/>
          <w:szCs w:val="24"/>
          <w:lang/>
        </w:rPr>
        <w:t>}</w:t>
      </w:r>
    </w:p>
    <w:p w14:paraId="7E1ED1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5" w:name="n3736"/>
      <w:bookmarkEnd w:id="4355"/>
      <w:r w:rsidRPr="008B264B">
        <w:rPr>
          <w:rFonts w:ascii="Times New Roman" w:eastAsia="Times New Roman" w:hAnsi="Times New Roman" w:cs="Times New Roman"/>
          <w:color w:val="000000"/>
          <w:sz w:val="24"/>
          <w:szCs w:val="24"/>
          <w:lang/>
        </w:rPr>
        <w:t>165.1.15. кошти або майно (майнові чи немайнові права, вартість робіт, послуг), отримані платниками податку як дарунок з урахуванням положень цього розділу;</w:t>
      </w:r>
    </w:p>
    <w:p w14:paraId="7F5457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6" w:name="n3737"/>
      <w:bookmarkEnd w:id="4356"/>
      <w:r w:rsidRPr="008B264B">
        <w:rPr>
          <w:rFonts w:ascii="Times New Roman" w:eastAsia="Times New Roman" w:hAnsi="Times New Roman" w:cs="Times New Roman"/>
          <w:color w:val="000000"/>
          <w:sz w:val="24"/>
          <w:szCs w:val="24"/>
          <w:lang/>
        </w:rPr>
        <w:t>165.1.16. кошти, отримані платником податку в рахунок компенсації (відшкодування) вартості майна (нематеріальних активів), примусово відчуженого державою у випадках, передбачених законом, або вартість такої компенсації, отриманої у негрошовій формі;</w:t>
      </w:r>
    </w:p>
    <w:p w14:paraId="61BA19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7" w:name="n12335"/>
      <w:bookmarkEnd w:id="4357"/>
      <w:r w:rsidRPr="008B264B">
        <w:rPr>
          <w:rFonts w:ascii="Times New Roman" w:eastAsia="Times New Roman" w:hAnsi="Times New Roman" w:cs="Times New Roman"/>
          <w:color w:val="000000"/>
          <w:sz w:val="24"/>
          <w:szCs w:val="24"/>
          <w:lang/>
        </w:rPr>
        <w:t>доходи, отримані внаслідок реалізації заставленого майна, майна платника податку при зверненні стягнення фінансовою установою на таке майно у зв’язку з невиконанням платником податку своїх зобов’язань за договором кредиту (позики), за умови що таке майно було придбано за рахунок такого кредиту (позики);</w:t>
      </w:r>
    </w:p>
    <w:p w14:paraId="3B7C0F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8" w:name="n3738"/>
      <w:bookmarkEnd w:id="4358"/>
      <w:r w:rsidRPr="008B264B">
        <w:rPr>
          <w:rFonts w:ascii="Times New Roman" w:eastAsia="Times New Roman" w:hAnsi="Times New Roman" w:cs="Times New Roman"/>
          <w:i/>
          <w:iCs/>
          <w:color w:val="000000"/>
          <w:sz w:val="24"/>
          <w:szCs w:val="24"/>
          <w:lang/>
        </w:rPr>
        <w:t>{Підпункт 165.1.16 пункту 165.1 статті 165 із змінами, внесеними згідно із Законом </w:t>
      </w:r>
      <w:hyperlink r:id="rId2370"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Закону </w:t>
      </w:r>
      <w:hyperlink r:id="rId2371" w:anchor="n9" w:tgtFrame="_blank" w:history="1">
        <w:r w:rsidRPr="008B264B">
          <w:rPr>
            <w:rFonts w:ascii="Times New Roman" w:eastAsia="Times New Roman" w:hAnsi="Times New Roman" w:cs="Times New Roman"/>
            <w:i/>
            <w:iCs/>
            <w:color w:val="0000FF"/>
            <w:sz w:val="24"/>
            <w:szCs w:val="24"/>
            <w:u w:val="single"/>
            <w:lang/>
          </w:rPr>
          <w:t>№ 321-VIII від 09.04.2015</w:t>
        </w:r>
      </w:hyperlink>
      <w:r w:rsidRPr="008B264B">
        <w:rPr>
          <w:rFonts w:ascii="Times New Roman" w:eastAsia="Times New Roman" w:hAnsi="Times New Roman" w:cs="Times New Roman"/>
          <w:i/>
          <w:iCs/>
          <w:color w:val="000000"/>
          <w:sz w:val="24"/>
          <w:szCs w:val="24"/>
          <w:lang/>
        </w:rPr>
        <w:t>}</w:t>
      </w:r>
    </w:p>
    <w:p w14:paraId="21717F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59" w:name="n3739"/>
      <w:bookmarkEnd w:id="4359"/>
      <w:r w:rsidRPr="008B264B">
        <w:rPr>
          <w:rFonts w:ascii="Times New Roman" w:eastAsia="Times New Roman" w:hAnsi="Times New Roman" w:cs="Times New Roman"/>
          <w:color w:val="000000"/>
          <w:sz w:val="24"/>
          <w:szCs w:val="24"/>
          <w:lang/>
        </w:rPr>
        <w:t>165.1.17. сума надміру сплачених грошових зобов'язань, страхових внесків з бюджетів або державних цільових страхових фондів згідно із законом, а також бюджетного відшкодування під час застосування права на податкову знижку, що повертається платнику податку;</w:t>
      </w:r>
    </w:p>
    <w:p w14:paraId="1A34C7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0" w:name="n3740"/>
      <w:bookmarkEnd w:id="4360"/>
      <w:r w:rsidRPr="008B264B">
        <w:rPr>
          <w:rFonts w:ascii="Times New Roman" w:eastAsia="Times New Roman" w:hAnsi="Times New Roman" w:cs="Times New Roman"/>
          <w:color w:val="000000"/>
          <w:sz w:val="24"/>
          <w:szCs w:val="24"/>
          <w:lang/>
        </w:rPr>
        <w:t xml:space="preserve">165.1.18. дивіденди, які нараховуються на користь платника податку у вигляді акцій (часток, паїв), емітованих юридичною особою - резидентом, що нараховує такі дивіденди, за умови, що </w:t>
      </w:r>
      <w:r w:rsidRPr="008B264B">
        <w:rPr>
          <w:rFonts w:ascii="Times New Roman" w:eastAsia="Times New Roman" w:hAnsi="Times New Roman" w:cs="Times New Roman"/>
          <w:color w:val="000000"/>
          <w:sz w:val="24"/>
          <w:szCs w:val="24"/>
          <w:lang/>
        </w:rPr>
        <w:lastRenderedPageBreak/>
        <w:t>таке нарахування жодним чином не змінює пропорцій (часток) участі всіх акціонерів (власників) у статутному фонді емітента, та в результаті якого збільшується статутний фонд емітента на сукупну номінальну вартість нарахованих дивідендів;</w:t>
      </w:r>
    </w:p>
    <w:p w14:paraId="75E8E5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1" w:name="n3741"/>
      <w:bookmarkEnd w:id="4361"/>
      <w:r w:rsidRPr="008B264B">
        <w:rPr>
          <w:rFonts w:ascii="Times New Roman" w:eastAsia="Times New Roman" w:hAnsi="Times New Roman" w:cs="Times New Roman"/>
          <w:color w:val="000000"/>
          <w:sz w:val="24"/>
          <w:szCs w:val="24"/>
          <w:lang/>
        </w:rPr>
        <w:t>165.1.19. кошти або вартість майна (послуг), що надаються як допомога на лікування та медичне обслуговування платника податку або члена сім’ї фізичної особи першого ступеня споріднення, дитини, яка перебуває під опікою або піклуванням платника податку, за умови документального підтвердження витрат, пов’язаних із наданням зазначеної допомоги (у разі надання коштів), у тому числі, але не виключно, для придбання ліків, донорських компонентів, протезно-ортопедичних виробів, виробів медичного призначення для індивідуального користування осіб з інвалідністю, за рахунок коштів благодійної організації або його роботодавця, в тому числі в частині витрат роботодавця на обов'язковий профілактичний огляд працівника згідно із </w:t>
      </w:r>
      <w:hyperlink r:id="rId2372" w:tgtFrame="_blank" w:history="1">
        <w:r w:rsidRPr="008B264B">
          <w:rPr>
            <w:rFonts w:ascii="Times New Roman" w:eastAsia="Times New Roman" w:hAnsi="Times New Roman" w:cs="Times New Roman"/>
            <w:color w:val="0000FF"/>
            <w:sz w:val="24"/>
            <w:szCs w:val="24"/>
            <w:u w:val="single"/>
            <w:lang/>
          </w:rPr>
          <w:t>Законом України "Про захист населення від інфекційних хвороб"</w:t>
        </w:r>
      </w:hyperlink>
      <w:r w:rsidRPr="008B264B">
        <w:rPr>
          <w:rFonts w:ascii="Times New Roman" w:eastAsia="Times New Roman" w:hAnsi="Times New Roman" w:cs="Times New Roman"/>
          <w:color w:val="000000"/>
          <w:sz w:val="24"/>
          <w:szCs w:val="24"/>
          <w:lang/>
        </w:rPr>
        <w:t> та на вакцинацію працівника, спрямовану на профілактику захворювань в період загрози епідемій відповідно до </w:t>
      </w:r>
      <w:hyperlink r:id="rId2373" w:tgtFrame="_blank" w:history="1">
        <w:r w:rsidRPr="008B264B">
          <w:rPr>
            <w:rFonts w:ascii="Times New Roman" w:eastAsia="Times New Roman" w:hAnsi="Times New Roman" w:cs="Times New Roman"/>
            <w:color w:val="0000FF"/>
            <w:sz w:val="24"/>
            <w:szCs w:val="24"/>
            <w:u w:val="single"/>
            <w:lang/>
          </w:rPr>
          <w:t>Закону України "Про забезпечення санітарного та епідемічного благополуччя населення"</w:t>
        </w:r>
      </w:hyperlink>
      <w:r w:rsidRPr="008B264B">
        <w:rPr>
          <w:rFonts w:ascii="Times New Roman" w:eastAsia="Times New Roman" w:hAnsi="Times New Roman" w:cs="Times New Roman"/>
          <w:color w:val="000000"/>
          <w:sz w:val="24"/>
          <w:szCs w:val="24"/>
          <w:lang/>
        </w:rPr>
        <w:t> за наявності відповідних підтвердних документів, крім витрат, що компенсуються виплатами з фонду загальнообов'язкового державного соціального медичного страхування;</w:t>
      </w:r>
    </w:p>
    <w:p w14:paraId="02C354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2" w:name="n10285"/>
      <w:bookmarkEnd w:id="4362"/>
      <w:r w:rsidRPr="008B264B">
        <w:rPr>
          <w:rFonts w:ascii="Times New Roman" w:eastAsia="Times New Roman" w:hAnsi="Times New Roman" w:cs="Times New Roman"/>
          <w:i/>
          <w:iCs/>
          <w:color w:val="000000"/>
          <w:sz w:val="24"/>
          <w:szCs w:val="24"/>
          <w:lang/>
        </w:rPr>
        <w:t>{Підпункт 165.1.19 пункту 165.1 статті 165 із змінами, внесеними згідно із Законами </w:t>
      </w:r>
      <w:hyperlink r:id="rId2374" w:anchor="n7" w:tgtFrame="_blank" w:history="1">
        <w:r w:rsidRPr="008B264B">
          <w:rPr>
            <w:rFonts w:ascii="Times New Roman" w:eastAsia="Times New Roman" w:hAnsi="Times New Roman" w:cs="Times New Roman"/>
            <w:i/>
            <w:iCs/>
            <w:color w:val="0000FF"/>
            <w:sz w:val="24"/>
            <w:szCs w:val="24"/>
            <w:u w:val="single"/>
            <w:lang/>
          </w:rPr>
          <w:t>№ 1668-VII від 02.09.2014</w:t>
        </w:r>
      </w:hyperlink>
      <w:r w:rsidRPr="008B264B">
        <w:rPr>
          <w:rFonts w:ascii="Times New Roman" w:eastAsia="Times New Roman" w:hAnsi="Times New Roman" w:cs="Times New Roman"/>
          <w:i/>
          <w:iCs/>
          <w:color w:val="000000"/>
          <w:sz w:val="24"/>
          <w:szCs w:val="24"/>
          <w:lang/>
        </w:rPr>
        <w:t>, </w:t>
      </w:r>
      <w:hyperlink r:id="rId2375" w:anchor="n98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A809F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3" w:name="n3742"/>
      <w:bookmarkEnd w:id="4363"/>
      <w:r w:rsidRPr="008B264B">
        <w:rPr>
          <w:rFonts w:ascii="Times New Roman" w:eastAsia="Times New Roman" w:hAnsi="Times New Roman" w:cs="Times New Roman"/>
          <w:color w:val="000000"/>
          <w:sz w:val="24"/>
          <w:szCs w:val="24"/>
          <w:lang/>
        </w:rPr>
        <w:t>165.1.20. вартість вугілля та вугільних або торф’яних брикетів, безоплатно наданих в обсягах та за </w:t>
      </w:r>
      <w:hyperlink r:id="rId2376" w:tgtFrame="_blank" w:history="1">
        <w:r w:rsidRPr="008B264B">
          <w:rPr>
            <w:rFonts w:ascii="Times New Roman" w:eastAsia="Times New Roman" w:hAnsi="Times New Roman" w:cs="Times New Roman"/>
            <w:color w:val="0000FF"/>
            <w:sz w:val="24"/>
            <w:szCs w:val="24"/>
            <w:u w:val="single"/>
            <w:lang/>
          </w:rPr>
          <w:t>переліком професій</w:t>
        </w:r>
      </w:hyperlink>
      <w:r w:rsidRPr="008B264B">
        <w:rPr>
          <w:rFonts w:ascii="Times New Roman" w:eastAsia="Times New Roman" w:hAnsi="Times New Roman" w:cs="Times New Roman"/>
          <w:color w:val="000000"/>
          <w:sz w:val="24"/>
          <w:szCs w:val="24"/>
          <w:lang/>
        </w:rPr>
        <w:t>, що встановлюються Кабінетом Міністрів України, у тому числі компенсації вартості такого вугілля та вугільних або торф’яних брикетів:</w:t>
      </w:r>
    </w:p>
    <w:p w14:paraId="537406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4" w:name="n9389"/>
      <w:bookmarkEnd w:id="4364"/>
      <w:r w:rsidRPr="008B264B">
        <w:rPr>
          <w:rFonts w:ascii="Times New Roman" w:eastAsia="Times New Roman" w:hAnsi="Times New Roman" w:cs="Times New Roman"/>
          <w:i/>
          <w:iCs/>
          <w:color w:val="000000"/>
          <w:sz w:val="24"/>
          <w:szCs w:val="24"/>
          <w:lang/>
        </w:rPr>
        <w:t>{Абзац перший підпункту 165.1.20 пункту 165.1 статті 165 із змінами, внесеними згідно із Законом </w:t>
      </w:r>
      <w:hyperlink r:id="rId2377" w:anchor="n5" w:tgtFrame="_blank" w:history="1">
        <w:r w:rsidRPr="008B264B">
          <w:rPr>
            <w:rFonts w:ascii="Times New Roman" w:eastAsia="Times New Roman" w:hAnsi="Times New Roman" w:cs="Times New Roman"/>
            <w:i/>
            <w:iCs/>
            <w:color w:val="0000FF"/>
            <w:sz w:val="24"/>
            <w:szCs w:val="24"/>
            <w:u w:val="single"/>
            <w:lang/>
          </w:rPr>
          <w:t>№ 427-VII від 03.09.2013</w:t>
        </w:r>
      </w:hyperlink>
      <w:r w:rsidRPr="008B264B">
        <w:rPr>
          <w:rFonts w:ascii="Times New Roman" w:eastAsia="Times New Roman" w:hAnsi="Times New Roman" w:cs="Times New Roman"/>
          <w:i/>
          <w:iCs/>
          <w:color w:val="000000"/>
          <w:sz w:val="24"/>
          <w:szCs w:val="24"/>
          <w:lang/>
        </w:rPr>
        <w:t>}</w:t>
      </w:r>
    </w:p>
    <w:p w14:paraId="2522E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5" w:name="n3743"/>
      <w:bookmarkEnd w:id="4365"/>
      <w:r w:rsidRPr="008B264B">
        <w:rPr>
          <w:rFonts w:ascii="Times New Roman" w:eastAsia="Times New Roman" w:hAnsi="Times New Roman" w:cs="Times New Roman"/>
          <w:color w:val="000000"/>
          <w:sz w:val="24"/>
          <w:szCs w:val="24"/>
          <w:lang/>
        </w:rPr>
        <w:t>працівникам з видобутку (переробки) вугілля та вуглебудівних підприємств;</w:t>
      </w:r>
    </w:p>
    <w:p w14:paraId="47B16F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6" w:name="n3744"/>
      <w:bookmarkEnd w:id="4366"/>
      <w:r w:rsidRPr="008B264B">
        <w:rPr>
          <w:rFonts w:ascii="Times New Roman" w:eastAsia="Times New Roman" w:hAnsi="Times New Roman" w:cs="Times New Roman"/>
          <w:color w:val="000000"/>
          <w:sz w:val="24"/>
          <w:szCs w:val="24"/>
          <w:lang/>
        </w:rPr>
        <w:t>пенсіонерам, які пропрацювали на підприємствах з видобутку (переробки) вугілля, вуглебудівних підприємствах: на підземних роботах - не менше ніж 10 років для чоловіків і не менш як 7 років 6 місяців для жінок; на роботах, пов'язаних із підземними умовами, - не менше ніж 15 років для чоловіків і не менш як 12 років 6 місяців для жінок; на роботах технологічної лінії на поверхні діючих шахт чи на шахтах, що будуються, розрізах, збагачувальних та брикетних фабриках - не менш як 20 років для чоловіків і не менш як 15 років для жінок;</w:t>
      </w:r>
    </w:p>
    <w:p w14:paraId="7D0CB8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7" w:name="n3745"/>
      <w:bookmarkEnd w:id="4367"/>
      <w:r w:rsidRPr="008B264B">
        <w:rPr>
          <w:rFonts w:ascii="Times New Roman" w:eastAsia="Times New Roman" w:hAnsi="Times New Roman" w:cs="Times New Roman"/>
          <w:color w:val="000000"/>
          <w:sz w:val="24"/>
          <w:szCs w:val="24"/>
          <w:lang/>
        </w:rPr>
        <w:t>особам з інвалідністю і ветеранам війни та праці, особам, нагородженим знаками "Шахтарська слава" або "Шахтарська доблесть" I, II, III ступенів, особам, інвалідність яких настала внаслідок загального захворювання, у разі, коли вони користувалися цим правом до настання інвалідності;</w:t>
      </w:r>
    </w:p>
    <w:p w14:paraId="6C0797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8" w:name="n3746"/>
      <w:bookmarkEnd w:id="4368"/>
      <w:r w:rsidRPr="008B264B">
        <w:rPr>
          <w:rFonts w:ascii="Times New Roman" w:eastAsia="Times New Roman" w:hAnsi="Times New Roman" w:cs="Times New Roman"/>
          <w:color w:val="000000"/>
          <w:sz w:val="24"/>
          <w:szCs w:val="24"/>
          <w:lang/>
        </w:rPr>
        <w:t>сім'ям працівників, які загинули (померли) на підприємствах з видобутку (переробки) вугілля, що отримують пенсії у зв'язку із втратою годувальника, а також вдовам померлих пенсіонерів, зазначених в цьому підпункті, які за життя мали таке право.</w:t>
      </w:r>
    </w:p>
    <w:p w14:paraId="7A470E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69" w:name="n3747"/>
      <w:bookmarkEnd w:id="4369"/>
      <w:r w:rsidRPr="008B264B">
        <w:rPr>
          <w:rFonts w:ascii="Times New Roman" w:eastAsia="Times New Roman" w:hAnsi="Times New Roman" w:cs="Times New Roman"/>
          <w:i/>
          <w:iCs/>
          <w:color w:val="000000"/>
          <w:sz w:val="24"/>
          <w:szCs w:val="24"/>
          <w:lang/>
        </w:rPr>
        <w:t>{Абзац п'ятий підпункту 165.1.20 пункту 165.1 статті 165 із змінами, внесеними згідно із Законом </w:t>
      </w:r>
      <w:hyperlink r:id="rId2378" w:anchor="n7" w:tgtFrame="_blank" w:history="1">
        <w:r w:rsidRPr="008B264B">
          <w:rPr>
            <w:rFonts w:ascii="Times New Roman" w:eastAsia="Times New Roman" w:hAnsi="Times New Roman" w:cs="Times New Roman"/>
            <w:i/>
            <w:iCs/>
            <w:color w:val="0000FF"/>
            <w:sz w:val="24"/>
            <w:szCs w:val="24"/>
            <w:u w:val="single"/>
            <w:lang/>
          </w:rPr>
          <w:t>№ 5019-VI від 21.06.2012</w:t>
        </w:r>
      </w:hyperlink>
      <w:r w:rsidRPr="008B264B">
        <w:rPr>
          <w:rFonts w:ascii="Times New Roman" w:eastAsia="Times New Roman" w:hAnsi="Times New Roman" w:cs="Times New Roman"/>
          <w:i/>
          <w:iCs/>
          <w:color w:val="000000"/>
          <w:sz w:val="24"/>
          <w:szCs w:val="24"/>
          <w:lang/>
        </w:rPr>
        <w:t>}</w:t>
      </w:r>
    </w:p>
    <w:p w14:paraId="12FB69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0" w:name="n3748"/>
      <w:bookmarkEnd w:id="4370"/>
      <w:r w:rsidRPr="008B264B">
        <w:rPr>
          <w:rFonts w:ascii="Times New Roman" w:eastAsia="Times New Roman" w:hAnsi="Times New Roman" w:cs="Times New Roman"/>
          <w:color w:val="000000"/>
          <w:sz w:val="24"/>
          <w:szCs w:val="24"/>
          <w:lang/>
        </w:rPr>
        <w:t>При виплаті грошової компенсації вартості такого вугілля та вугільних або торф’яних брикетів її сума не включається до складу загального оподатковуваного доходу платника податку.</w:t>
      </w:r>
    </w:p>
    <w:p w14:paraId="520C0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1" w:name="n9390"/>
      <w:bookmarkEnd w:id="4371"/>
      <w:r w:rsidRPr="008B264B">
        <w:rPr>
          <w:rFonts w:ascii="Times New Roman" w:eastAsia="Times New Roman" w:hAnsi="Times New Roman" w:cs="Times New Roman"/>
          <w:i/>
          <w:iCs/>
          <w:color w:val="000000"/>
          <w:sz w:val="24"/>
          <w:szCs w:val="24"/>
          <w:lang/>
        </w:rPr>
        <w:t>{Абзац шостий підпункту 165.1.20 пункту 165.1 статті 165 із змінами, внесеними згідно із Законом </w:t>
      </w:r>
      <w:hyperlink r:id="rId2379" w:anchor="n5" w:tgtFrame="_blank" w:history="1">
        <w:r w:rsidRPr="008B264B">
          <w:rPr>
            <w:rFonts w:ascii="Times New Roman" w:eastAsia="Times New Roman" w:hAnsi="Times New Roman" w:cs="Times New Roman"/>
            <w:i/>
            <w:iCs/>
            <w:color w:val="0000FF"/>
            <w:sz w:val="24"/>
            <w:szCs w:val="24"/>
            <w:u w:val="single"/>
            <w:lang/>
          </w:rPr>
          <w:t>№ 427-VII від 03.09.2013</w:t>
        </w:r>
      </w:hyperlink>
      <w:r w:rsidRPr="008B264B">
        <w:rPr>
          <w:rFonts w:ascii="Times New Roman" w:eastAsia="Times New Roman" w:hAnsi="Times New Roman" w:cs="Times New Roman"/>
          <w:i/>
          <w:iCs/>
          <w:color w:val="000000"/>
          <w:sz w:val="24"/>
          <w:szCs w:val="24"/>
          <w:lang/>
        </w:rPr>
        <w:t>}</w:t>
      </w:r>
    </w:p>
    <w:p w14:paraId="32A67A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2" w:name="n3749"/>
      <w:bookmarkEnd w:id="4372"/>
      <w:r w:rsidRPr="008B264B">
        <w:rPr>
          <w:rFonts w:ascii="Times New Roman" w:eastAsia="Times New Roman" w:hAnsi="Times New Roman" w:cs="Times New Roman"/>
          <w:color w:val="000000"/>
          <w:sz w:val="24"/>
          <w:szCs w:val="24"/>
          <w:lang/>
        </w:rPr>
        <w:t>Порядок виконання цього підпункту визначається Кабінетом Міністрів України;</w:t>
      </w:r>
    </w:p>
    <w:p w14:paraId="37B205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3" w:name="n3750"/>
      <w:bookmarkEnd w:id="4373"/>
      <w:r w:rsidRPr="008B264B">
        <w:rPr>
          <w:rFonts w:ascii="Times New Roman" w:eastAsia="Times New Roman" w:hAnsi="Times New Roman" w:cs="Times New Roman"/>
          <w:color w:val="000000"/>
          <w:sz w:val="24"/>
          <w:szCs w:val="24"/>
          <w:lang/>
        </w:rPr>
        <w:t xml:space="preserve">165.1.21. сума, сплачена будь-якою юридичною або фізичною особою на користь вітчизняних вищих та професійно-технічних навчальних закладів за здобуття освіти, за </w:t>
      </w:r>
      <w:r w:rsidRPr="008B264B">
        <w:rPr>
          <w:rFonts w:ascii="Times New Roman" w:eastAsia="Times New Roman" w:hAnsi="Times New Roman" w:cs="Times New Roman"/>
          <w:color w:val="000000"/>
          <w:sz w:val="24"/>
          <w:szCs w:val="24"/>
          <w:lang/>
        </w:rPr>
        <w:lastRenderedPageBreak/>
        <w:t>підготовку чи перепідготовку платника податку, але не вище трикратного розміру мінімальної заробітної плати, встановленої законом на 1 січня звітного (податкового) року за кожний повний або неповний місяць навчання, підготовки чи перепідготовки такої фізичної особи;</w:t>
      </w:r>
    </w:p>
    <w:p w14:paraId="43918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4" w:name="n14126"/>
      <w:bookmarkEnd w:id="4374"/>
      <w:r w:rsidRPr="008B264B">
        <w:rPr>
          <w:rFonts w:ascii="Times New Roman" w:eastAsia="Times New Roman" w:hAnsi="Times New Roman" w:cs="Times New Roman"/>
          <w:i/>
          <w:iCs/>
          <w:color w:val="000000"/>
          <w:sz w:val="24"/>
          <w:szCs w:val="24"/>
          <w:lang/>
        </w:rPr>
        <w:t>{Підпункт 165.1.21 пункту 165.1 статті 165 в редакції Закону </w:t>
      </w:r>
      <w:hyperlink r:id="rId2380" w:anchor="n98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EC8F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5" w:name="n3752"/>
      <w:bookmarkEnd w:id="4375"/>
      <w:r w:rsidRPr="008B264B">
        <w:rPr>
          <w:rFonts w:ascii="Times New Roman" w:eastAsia="Times New Roman" w:hAnsi="Times New Roman" w:cs="Times New Roman"/>
          <w:color w:val="000000"/>
          <w:sz w:val="24"/>
          <w:szCs w:val="24"/>
          <w:lang/>
        </w:rPr>
        <w:t>165.1.22. кошти або вартість майна (послуг), що надаються як допомога на поховання платника податку:</w:t>
      </w:r>
    </w:p>
    <w:p w14:paraId="4E5A7F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6" w:name="n3753"/>
      <w:bookmarkEnd w:id="4376"/>
      <w:r w:rsidRPr="008B264B">
        <w:rPr>
          <w:rFonts w:ascii="Times New Roman" w:eastAsia="Times New Roman" w:hAnsi="Times New Roman" w:cs="Times New Roman"/>
          <w:color w:val="000000"/>
          <w:sz w:val="24"/>
          <w:szCs w:val="24"/>
          <w:lang/>
        </w:rPr>
        <w:t>а) будь-якою фізичною особою, благодійною організацією, Пенсійним фондом України, відповідним структурним підрозділом місцевої державної адміністрації, фондами загальнообов'язкового державного соціального страхування України або професійною спілкою;</w:t>
      </w:r>
    </w:p>
    <w:p w14:paraId="00CD69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7" w:name="n3754"/>
      <w:bookmarkEnd w:id="4377"/>
      <w:r w:rsidRPr="008B264B">
        <w:rPr>
          <w:rFonts w:ascii="Times New Roman" w:eastAsia="Times New Roman" w:hAnsi="Times New Roman" w:cs="Times New Roman"/>
          <w:i/>
          <w:iCs/>
          <w:color w:val="000000"/>
          <w:sz w:val="24"/>
          <w:szCs w:val="24"/>
          <w:lang/>
        </w:rPr>
        <w:t>{Підпункт "а" підпункту 165.1.22 пункту 165.1 статті 165 із змінами, внесеними згідно із Законом </w:t>
      </w:r>
      <w:hyperlink r:id="rId2381" w:anchor="n17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3447F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8" w:name="n3755"/>
      <w:bookmarkEnd w:id="4378"/>
      <w:r w:rsidRPr="008B264B">
        <w:rPr>
          <w:rFonts w:ascii="Times New Roman" w:eastAsia="Times New Roman" w:hAnsi="Times New Roman" w:cs="Times New Roman"/>
          <w:color w:val="000000"/>
          <w:sz w:val="24"/>
          <w:szCs w:val="24"/>
          <w:lang/>
        </w:rPr>
        <w:t>б) роботодавцем такого померлого платника податку за його останнім місцем роботи (у тому числі перед виходом на пенсію) у розмірі, що не перевищує подвійний розмір суми, визначеної в </w:t>
      </w:r>
      <w:hyperlink r:id="rId2382" w:anchor="n3953" w:history="1">
        <w:r w:rsidRPr="008B264B">
          <w:rPr>
            <w:rFonts w:ascii="Times New Roman" w:eastAsia="Times New Roman" w:hAnsi="Times New Roman" w:cs="Times New Roman"/>
            <w:color w:val="0000FF"/>
            <w:sz w:val="24"/>
            <w:szCs w:val="24"/>
            <w:u w:val="single"/>
            <w:lang/>
          </w:rPr>
          <w:t>абзаці першому підпункту 169.4.1</w:t>
        </w:r>
      </w:hyperlink>
      <w:r w:rsidRPr="008B264B">
        <w:rPr>
          <w:rFonts w:ascii="Times New Roman" w:eastAsia="Times New Roman" w:hAnsi="Times New Roman" w:cs="Times New Roman"/>
          <w:color w:val="000000"/>
          <w:sz w:val="24"/>
          <w:szCs w:val="24"/>
          <w:lang/>
        </w:rPr>
        <w:t> пункту 169.4 статті 169 цього Кодексу. Сума перевищення за її наявності остаточно оподатковується під час її нарахування (виплати, надання);</w:t>
      </w:r>
    </w:p>
    <w:p w14:paraId="55E99D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79" w:name="n3756"/>
      <w:bookmarkEnd w:id="4379"/>
      <w:r w:rsidRPr="008B264B">
        <w:rPr>
          <w:rFonts w:ascii="Times New Roman" w:eastAsia="Times New Roman" w:hAnsi="Times New Roman" w:cs="Times New Roman"/>
          <w:color w:val="000000"/>
          <w:sz w:val="24"/>
          <w:szCs w:val="24"/>
          <w:lang/>
        </w:rPr>
        <w:t>165.1.23. вартість майна, а також сума грошової допомоги, що надаються дітям-сиротам чи дітям, позбавленим батьківського піклування (у тому числі випускникам професійно-технічних навчальних закладів і вищих навчальних закладів I-IV рівнів акредитації), у порядку і розмірах, визначених Кабінетом Міністрів України;</w:t>
      </w:r>
    </w:p>
    <w:p w14:paraId="7E4810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0" w:name="n3757"/>
      <w:bookmarkEnd w:id="4380"/>
      <w:r w:rsidRPr="008B264B">
        <w:rPr>
          <w:rFonts w:ascii="Times New Roman" w:eastAsia="Times New Roman" w:hAnsi="Times New Roman" w:cs="Times New Roman"/>
          <w:i/>
          <w:iCs/>
          <w:color w:val="000000"/>
          <w:sz w:val="24"/>
          <w:szCs w:val="24"/>
          <w:lang/>
        </w:rPr>
        <w:t>{Підпункт 165.1.23 пункту 165.1 статті 165 із змінами, внесеними згідно із Законом </w:t>
      </w:r>
      <w:hyperlink r:id="rId238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DB830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1" w:name="n3758"/>
      <w:bookmarkEnd w:id="4381"/>
      <w:r w:rsidRPr="008B264B">
        <w:rPr>
          <w:rFonts w:ascii="Times New Roman" w:eastAsia="Times New Roman" w:hAnsi="Times New Roman" w:cs="Times New Roman"/>
          <w:color w:val="000000"/>
          <w:sz w:val="24"/>
          <w:szCs w:val="24"/>
          <w:lang/>
        </w:rPr>
        <w:t>165.1.24. доходи, отримані від продажу власної сільськогосподарської продукції, що вирощена, відгодована, виловлена, зібрана, виготовлена, вироблена, оброблена та/або перероблена безпосередньо фізичною особою на земельних ділянках, наданих їй у розмірах, встановлених </w:t>
      </w:r>
      <w:hyperlink r:id="rId2384" w:tgtFrame="_blank" w:history="1">
        <w:r w:rsidRPr="008B264B">
          <w:rPr>
            <w:rFonts w:ascii="Times New Roman" w:eastAsia="Times New Roman" w:hAnsi="Times New Roman" w:cs="Times New Roman"/>
            <w:color w:val="0000FF"/>
            <w:sz w:val="24"/>
            <w:szCs w:val="24"/>
            <w:u w:val="single"/>
            <w:lang/>
          </w:rPr>
          <w:t>Земельним кодексом України</w:t>
        </w:r>
      </w:hyperlink>
      <w:r w:rsidRPr="008B264B">
        <w:rPr>
          <w:rFonts w:ascii="Times New Roman" w:eastAsia="Times New Roman" w:hAnsi="Times New Roman" w:cs="Times New Roman"/>
          <w:color w:val="000000"/>
          <w:sz w:val="24"/>
          <w:szCs w:val="24"/>
          <w:lang/>
        </w:rPr>
        <w:t> для ведення:</w:t>
      </w:r>
    </w:p>
    <w:p w14:paraId="0E3058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2" w:name="n3759"/>
      <w:bookmarkEnd w:id="4382"/>
      <w:r w:rsidRPr="008B264B">
        <w:rPr>
          <w:rFonts w:ascii="Times New Roman" w:eastAsia="Times New Roman" w:hAnsi="Times New Roman" w:cs="Times New Roman"/>
          <w:color w:val="000000"/>
          <w:sz w:val="24"/>
          <w:szCs w:val="24"/>
          <w:lang/>
        </w:rPr>
        <w:t>садівництва та/або для будівництва і обслуговування житлового будинку, господарських будівель і споруд (присадибні ділянки) та/або для індивідуального дачного будівництва. При цьому якщо власник сільськогосподарської продукції має ще земельні частки (паї), виділені в натурі (на місцевості), але не використовує їх (здає в оренду або обслуговує), отримані ним доходи від продажу сільськогосподарської продукції не включаються до загального місячного (річного) оподатковуваного доходу;</w:t>
      </w:r>
    </w:p>
    <w:p w14:paraId="6FB695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3" w:name="n3760"/>
      <w:bookmarkEnd w:id="4383"/>
      <w:r w:rsidRPr="008B264B">
        <w:rPr>
          <w:rFonts w:ascii="Times New Roman" w:eastAsia="Times New Roman" w:hAnsi="Times New Roman" w:cs="Times New Roman"/>
          <w:color w:val="000000"/>
          <w:sz w:val="24"/>
          <w:szCs w:val="24"/>
          <w:lang/>
        </w:rPr>
        <w:t>особистого селянського господарства та/або земельні частки (паї), виділені в натурі (на місцевості), сукупний розмір яких не перевищує 2 гектари. При цьому розмір земельних ділянок, зазначених в абзаці другому цього підпункту, а також розмір виділених в натурі (на місцевості) земельних часток (паїв), які не використовуються (здаються в оренду, обслуговуються), не враховуються.</w:t>
      </w:r>
    </w:p>
    <w:p w14:paraId="4A98BC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4" w:name="n3761"/>
      <w:bookmarkEnd w:id="4384"/>
      <w:r w:rsidRPr="008B264B">
        <w:rPr>
          <w:rFonts w:ascii="Times New Roman" w:eastAsia="Times New Roman" w:hAnsi="Times New Roman" w:cs="Times New Roman"/>
          <w:color w:val="000000"/>
          <w:sz w:val="24"/>
          <w:szCs w:val="24"/>
          <w:lang/>
        </w:rPr>
        <w:t>Якщо розмір земельних ділянок, зазначених в абзаці третьому цього підпункту, перевищує 2 гектари, дохід від продажу сільськогосподарської продукції підлягає оподаткуванню на загальних підставах.</w:t>
      </w:r>
    </w:p>
    <w:p w14:paraId="607427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5" w:name="n3762"/>
      <w:bookmarkEnd w:id="4385"/>
      <w:r w:rsidRPr="008B264B">
        <w:rPr>
          <w:rFonts w:ascii="Times New Roman" w:eastAsia="Times New Roman" w:hAnsi="Times New Roman" w:cs="Times New Roman"/>
          <w:color w:val="000000"/>
          <w:sz w:val="24"/>
          <w:szCs w:val="24"/>
          <w:lang/>
        </w:rPr>
        <w:t>При продажу сільськогосподарської продукції (крім продукції тваринництва) її власник має подати податковому агенту копію довідки про наявність у нього земельних ділянок, зазначених в абзацах другому та третьому цього підпункту. Оригінал довідки зберігається у власника сільськогосподарської продукції протягом строку позовної давності з дати закінчення дії такої довідки. Довідка видається сільською, селищною, міською радою або радою об’єднаних територіальних громад, що створена згідно із законом та перспективним планом формування територій громад, за місцем податкової адреси (місцем проживання) платника податку протягом п’яти робочих днів з дня отримання відповідною радою письмової заяви про видачу такої довідки.</w:t>
      </w:r>
    </w:p>
    <w:p w14:paraId="632D89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6" w:name="n14127"/>
      <w:bookmarkEnd w:id="4386"/>
      <w:r w:rsidRPr="008B264B">
        <w:rPr>
          <w:rFonts w:ascii="Times New Roman" w:eastAsia="Times New Roman" w:hAnsi="Times New Roman" w:cs="Times New Roman"/>
          <w:i/>
          <w:iCs/>
          <w:color w:val="000000"/>
          <w:sz w:val="24"/>
          <w:szCs w:val="24"/>
          <w:lang/>
        </w:rPr>
        <w:lastRenderedPageBreak/>
        <w:t>{Абзац п'ятий підпункту 165.1.24 пункту 165.1 статті 165 із змінами, внесеними згідно із Законом </w:t>
      </w:r>
      <w:hyperlink r:id="rId2385" w:anchor="n98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bookmarkStart w:id="4387" w:name="n3763"/>
    <w:bookmarkEnd w:id="4387"/>
    <w:p w14:paraId="65035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"https://zakon.rada.gov.ua/laws/show/z0201-14" \l "n38"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довідки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у порядку, визначеному </w:t>
      </w:r>
      <w:hyperlink r:id="rId2386"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 для податкових декларацій.</w:t>
      </w:r>
    </w:p>
    <w:p w14:paraId="4C03F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8" w:name="n3764"/>
      <w:bookmarkEnd w:id="4388"/>
      <w:r w:rsidRPr="008B264B">
        <w:rPr>
          <w:rFonts w:ascii="Times New Roman" w:eastAsia="Times New Roman" w:hAnsi="Times New Roman" w:cs="Times New Roman"/>
          <w:color w:val="000000"/>
          <w:sz w:val="24"/>
          <w:szCs w:val="24"/>
          <w:lang/>
        </w:rPr>
        <w:t>При продажу власної продукції тваринництва груп 1-5, 15, 16 та 41 </w:t>
      </w:r>
      <w:hyperlink r:id="rId238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отримані від такого продажу доходи не є оподатковуваним доходом, якщо їх сума сукупно за рік не перевищує 50 розмірів мінімальної заробітної плати, встановленої законом на 1 січня звітного (податкового) року. Такі фізичні особи здійснюють продаж зазначеної продукції без отримання довідки про наявність земельних ділянок.</w:t>
      </w:r>
    </w:p>
    <w:p w14:paraId="4ED46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89" w:name="n13326"/>
      <w:bookmarkEnd w:id="4389"/>
      <w:r w:rsidRPr="008B264B">
        <w:rPr>
          <w:rFonts w:ascii="Times New Roman" w:eastAsia="Times New Roman" w:hAnsi="Times New Roman" w:cs="Times New Roman"/>
          <w:i/>
          <w:iCs/>
          <w:color w:val="000000"/>
          <w:sz w:val="24"/>
          <w:szCs w:val="24"/>
          <w:lang/>
        </w:rPr>
        <w:t>{Абзац сьомий підпункту 165.1.24 пункту 165.1 статті 165 із змінами, внесеними згідно із Законом </w:t>
      </w:r>
      <w:hyperlink r:id="rId2388" w:anchor="n2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6AA11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0" w:name="n3765"/>
      <w:bookmarkEnd w:id="4390"/>
      <w:r w:rsidRPr="008B264B">
        <w:rPr>
          <w:rFonts w:ascii="Times New Roman" w:eastAsia="Times New Roman" w:hAnsi="Times New Roman" w:cs="Times New Roman"/>
          <w:color w:val="000000"/>
          <w:sz w:val="24"/>
          <w:szCs w:val="24"/>
          <w:lang/>
        </w:rPr>
        <w:t>У разі коли сума отриманого доходу перевищує встановлений цим підпунктом розмір, фізична особа зобов’язана надати контролюючому органу довідку про самостійне вирощування, розведення, відгодовування продукції тваринництва, що видається у довільній формі сільською, селищною, міською радою або радою об’єднаних територіальних громад, що створена згідно із законом та перспективним планом формування територій громад, за місцем податкової адреси (місцем проживання) власника продукції тваринництва. Якщо довідкою підтверджено вирощування проданої продукції тваринництва безпосередньо платником податку, оподаткуванню підлягає дохід, що перевищує 50 розмірів мінімальної заробітної плати, встановленої законом на 1 січня звітного (податкового) року.</w:t>
      </w:r>
    </w:p>
    <w:p w14:paraId="056C1D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1" w:name="n13327"/>
      <w:bookmarkEnd w:id="4391"/>
      <w:r w:rsidRPr="008B264B">
        <w:rPr>
          <w:rFonts w:ascii="Times New Roman" w:eastAsia="Times New Roman" w:hAnsi="Times New Roman" w:cs="Times New Roman"/>
          <w:i/>
          <w:iCs/>
          <w:color w:val="000000"/>
          <w:sz w:val="24"/>
          <w:szCs w:val="24"/>
          <w:lang/>
        </w:rPr>
        <w:t>{Абзац восьмий підпункту 165.1.24 пункту 165.1 статті 165 із змінами, внесеними згідно із Законами </w:t>
      </w:r>
      <w:hyperlink r:id="rId2389" w:anchor="n2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2390" w:anchor="n98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FBE38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2" w:name="n3766"/>
      <w:bookmarkEnd w:id="4392"/>
      <w:r w:rsidRPr="008B264B">
        <w:rPr>
          <w:rFonts w:ascii="Times New Roman" w:eastAsia="Times New Roman" w:hAnsi="Times New Roman" w:cs="Times New Roman"/>
          <w:color w:val="000000"/>
          <w:sz w:val="24"/>
          <w:szCs w:val="24"/>
          <w:lang/>
        </w:rPr>
        <w:t>Якщо таким платником податку не підтверджено самостійне вирощування, розведення, відгодовування продукції тваринництва, доходи від продажу якої він отримав, такі доходи підлягають оподаткуванню на загальних підставах;</w:t>
      </w:r>
    </w:p>
    <w:p w14:paraId="5F91FE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3" w:name="n3767"/>
      <w:bookmarkEnd w:id="4393"/>
      <w:r w:rsidRPr="008B264B">
        <w:rPr>
          <w:rFonts w:ascii="Times New Roman" w:eastAsia="Times New Roman" w:hAnsi="Times New Roman" w:cs="Times New Roman"/>
          <w:i/>
          <w:iCs/>
          <w:color w:val="000000"/>
          <w:sz w:val="24"/>
          <w:szCs w:val="24"/>
          <w:lang/>
        </w:rPr>
        <w:t>{Підпункт 165.1.24 пункту 165.1 статті 165 в редакції Закону </w:t>
      </w:r>
      <w:hyperlink r:id="rId2391" w:anchor="n7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EE5D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4" w:name="n3768"/>
      <w:bookmarkEnd w:id="4394"/>
      <w:r w:rsidRPr="008B264B">
        <w:rPr>
          <w:rFonts w:ascii="Times New Roman" w:eastAsia="Times New Roman" w:hAnsi="Times New Roman" w:cs="Times New Roman"/>
          <w:color w:val="000000"/>
          <w:sz w:val="24"/>
          <w:szCs w:val="24"/>
          <w:lang/>
        </w:rPr>
        <w:t>165.1.25. сума доходу, отримана платником податку за здані (продані) ним вторинну сировину, побутові відходи, брухт чорних металів (код 7204 згідно з </w:t>
      </w:r>
      <w:hyperlink r:id="rId2392" w:anchor="n1886"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брухт кольорових металів, включаючи використані (виснажені) акумулятори електричні свинцево-кислотні (код 8548 10 21 00 згідно з </w:t>
      </w:r>
      <w:hyperlink r:id="rId239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залишки та брухт електричних акумуляторів із вмістом свинцю (код 8548 10 91 00 згідно з УКТ ЗЕД), та брухт дорогоцінних металів, проданий Національному банку України;</w:t>
      </w:r>
    </w:p>
    <w:p w14:paraId="52265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5" w:name="n3769"/>
      <w:bookmarkEnd w:id="4395"/>
      <w:r w:rsidRPr="008B264B">
        <w:rPr>
          <w:rFonts w:ascii="Times New Roman" w:eastAsia="Times New Roman" w:hAnsi="Times New Roman" w:cs="Times New Roman"/>
          <w:i/>
          <w:iCs/>
          <w:color w:val="000000"/>
          <w:sz w:val="24"/>
          <w:szCs w:val="24"/>
          <w:lang/>
        </w:rPr>
        <w:t>{Підпункт 165.1.25 пункту 165.1 статті 165 в редакції Законів </w:t>
      </w:r>
      <w:hyperlink r:id="rId2394"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 </w:t>
      </w:r>
      <w:hyperlink r:id="rId2395" w:anchor="n17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396" w:anchor="n9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5D13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6" w:name="n3770"/>
      <w:bookmarkEnd w:id="4396"/>
      <w:r w:rsidRPr="008B264B">
        <w:rPr>
          <w:rFonts w:ascii="Times New Roman" w:eastAsia="Times New Roman" w:hAnsi="Times New Roman" w:cs="Times New Roman"/>
          <w:color w:val="000000"/>
          <w:sz w:val="24"/>
          <w:szCs w:val="24"/>
          <w:lang/>
        </w:rPr>
        <w:t>165.1.26. сума стипендії (включаючи суму її індексації, нараховану відповідно до закону), яка виплачується учню, студенту, курсанту військових навчальних закладів, ординатору, аспіранту або ад'юнкту, але не вище ніж сума, визначена в абзаці першому </w:t>
      </w:r>
      <w:hyperlink r:id="rId2397" w:anchor="n3953" w:history="1">
        <w:r w:rsidRPr="008B264B">
          <w:rPr>
            <w:rFonts w:ascii="Times New Roman" w:eastAsia="Times New Roman" w:hAnsi="Times New Roman" w:cs="Times New Roman"/>
            <w:color w:val="0000FF"/>
            <w:sz w:val="24"/>
            <w:szCs w:val="24"/>
            <w:u w:val="single"/>
            <w:lang/>
          </w:rPr>
          <w:t>підпункту 169.4.1</w:t>
        </w:r>
      </w:hyperlink>
      <w:r w:rsidRPr="008B264B">
        <w:rPr>
          <w:rFonts w:ascii="Times New Roman" w:eastAsia="Times New Roman" w:hAnsi="Times New Roman" w:cs="Times New Roman"/>
          <w:color w:val="000000"/>
          <w:sz w:val="24"/>
          <w:szCs w:val="24"/>
          <w:lang/>
        </w:rPr>
        <w:t> пункту 169.4 статті 169 цього Кодексу. Сума перевищення за її наявності підлягає оподаткуванню під час її нарахування (виплати) за ставкою, визначеною </w:t>
      </w:r>
      <w:hyperlink r:id="rId2398"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21BD7D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7" w:name="n3771"/>
      <w:bookmarkEnd w:id="4397"/>
      <w:r w:rsidRPr="008B264B">
        <w:rPr>
          <w:rFonts w:ascii="Times New Roman" w:eastAsia="Times New Roman" w:hAnsi="Times New Roman" w:cs="Times New Roman"/>
          <w:i/>
          <w:iCs/>
          <w:color w:val="000000"/>
          <w:sz w:val="24"/>
          <w:szCs w:val="24"/>
          <w:lang/>
        </w:rPr>
        <w:t>{Підпункт 165.1.26 пункту 165.1 статті 165 із змінами, внесеними згідно із Законами </w:t>
      </w:r>
      <w:hyperlink r:id="rId239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400" w:anchor="n13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401" w:anchor="n19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D867A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8" w:name="n3772"/>
      <w:bookmarkEnd w:id="4398"/>
      <w:r w:rsidRPr="008B264B">
        <w:rPr>
          <w:rFonts w:ascii="Times New Roman" w:eastAsia="Times New Roman" w:hAnsi="Times New Roman" w:cs="Times New Roman"/>
          <w:color w:val="000000"/>
          <w:sz w:val="24"/>
          <w:szCs w:val="24"/>
          <w:lang/>
        </w:rPr>
        <w:t>165.1.27. сума страхової виплати, страхового відшкодування або викупна сума, отримана платником податку за договором страхування від страховика-резидента або страховика-нерезидента, іншого ніж довгострокове страхування життя (у тому числі страхування довічних пенсій) та недержавне пенсійне забезпечення, у разі виконання таких умов:</w:t>
      </w:r>
    </w:p>
    <w:p w14:paraId="2B06A5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399" w:name="n3773"/>
      <w:bookmarkEnd w:id="4399"/>
      <w:r w:rsidRPr="008B264B">
        <w:rPr>
          <w:rFonts w:ascii="Times New Roman" w:eastAsia="Times New Roman" w:hAnsi="Times New Roman" w:cs="Times New Roman"/>
          <w:color w:val="000000"/>
          <w:sz w:val="24"/>
          <w:szCs w:val="24"/>
          <w:lang/>
        </w:rPr>
        <w:t>а) під час страхування життя або здоров'я платника податку у разі:</w:t>
      </w:r>
    </w:p>
    <w:p w14:paraId="39068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0" w:name="n3774"/>
      <w:bookmarkEnd w:id="4400"/>
      <w:r w:rsidRPr="008B264B">
        <w:rPr>
          <w:rFonts w:ascii="Times New Roman" w:eastAsia="Times New Roman" w:hAnsi="Times New Roman" w:cs="Times New Roman"/>
          <w:color w:val="000000"/>
          <w:sz w:val="24"/>
          <w:szCs w:val="24"/>
          <w:lang/>
        </w:rPr>
        <w:lastRenderedPageBreak/>
        <w:t>дожиття застрахованої особи до дати чи події, передбаченої договором страхування життя, чи досягнення віку, передбаченого таким договором;</w:t>
      </w:r>
    </w:p>
    <w:p w14:paraId="4ACDCB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1" w:name="n3775"/>
      <w:bookmarkEnd w:id="4401"/>
      <w:r w:rsidRPr="008B264B">
        <w:rPr>
          <w:rFonts w:ascii="Times New Roman" w:eastAsia="Times New Roman" w:hAnsi="Times New Roman" w:cs="Times New Roman"/>
          <w:color w:val="000000"/>
          <w:sz w:val="24"/>
          <w:szCs w:val="24"/>
          <w:lang/>
        </w:rPr>
        <w:t>викупна сума в частині, що не перевищує суму внесених страхових платежів за договором страхування життя, іншого, ніж довгострокове страхування життя;</w:t>
      </w:r>
    </w:p>
    <w:p w14:paraId="5405C6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2" w:name="n3776"/>
      <w:bookmarkEnd w:id="4402"/>
      <w:r w:rsidRPr="008B264B">
        <w:rPr>
          <w:rFonts w:ascii="Times New Roman" w:eastAsia="Times New Roman" w:hAnsi="Times New Roman" w:cs="Times New Roman"/>
          <w:color w:val="000000"/>
          <w:sz w:val="24"/>
          <w:szCs w:val="24"/>
          <w:lang/>
        </w:rPr>
        <w:t>в разі страхового випадку - факт заподіяння шкоди застрахованій особі повинен бути належним чином підтверджений. Якщо застрахована особа помирає, сума страхової виплати, яка належить вигодонабувачам або спадкоємцям, оподатковується за правилами та ставками, встановленими для оподаткування спадщини (вигодонабувач прирівнюється до спадкоємця);</w:t>
      </w:r>
    </w:p>
    <w:p w14:paraId="7C932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3" w:name="n3777"/>
      <w:bookmarkEnd w:id="4403"/>
      <w:r w:rsidRPr="008B264B">
        <w:rPr>
          <w:rFonts w:ascii="Times New Roman" w:eastAsia="Times New Roman" w:hAnsi="Times New Roman" w:cs="Times New Roman"/>
          <w:color w:val="000000"/>
          <w:sz w:val="24"/>
          <w:szCs w:val="24"/>
          <w:lang/>
        </w:rPr>
        <w:t>б) під час страхування майна сума страхового відшкодування не може перевищувати вартість застрахованого майна, визначену за звичайними цінами на дату укладення страхового договору, збільшену на суму сплачених страхових платежів (страхових внесків, страхових премій);</w:t>
      </w:r>
    </w:p>
    <w:p w14:paraId="35647B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4" w:name="n3778"/>
      <w:bookmarkEnd w:id="4404"/>
      <w:r w:rsidRPr="008B264B">
        <w:rPr>
          <w:rFonts w:ascii="Times New Roman" w:eastAsia="Times New Roman" w:hAnsi="Times New Roman" w:cs="Times New Roman"/>
          <w:color w:val="000000"/>
          <w:sz w:val="24"/>
          <w:szCs w:val="24"/>
          <w:lang/>
        </w:rPr>
        <w:t>в) під час страхування цивільної відповідальності сума страхового відшкодування не може перевищувати розмір шкоди, фактично заподіяної вигодонабувачу (бенефіціару), яка визначається за звичайними цінами на дату такої страхової виплати;</w:t>
      </w:r>
    </w:p>
    <w:p w14:paraId="6AD7EA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5" w:name="n15290"/>
      <w:bookmarkEnd w:id="4405"/>
      <w:r w:rsidRPr="008B264B">
        <w:rPr>
          <w:rFonts w:ascii="Times New Roman" w:eastAsia="Times New Roman" w:hAnsi="Times New Roman" w:cs="Times New Roman"/>
          <w:i/>
          <w:iCs/>
          <w:color w:val="000000"/>
          <w:sz w:val="24"/>
          <w:szCs w:val="24"/>
          <w:lang/>
        </w:rPr>
        <w:t>{Підпункт 165.1.27 пункту 165.1 статті 165 із змінами, внесеними згідно із Законом </w:t>
      </w:r>
      <w:hyperlink r:id="rId2402" w:anchor="n19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83FFA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6" w:name="n3779"/>
      <w:bookmarkEnd w:id="4406"/>
      <w:r w:rsidRPr="008B264B">
        <w:rPr>
          <w:rFonts w:ascii="Times New Roman" w:eastAsia="Times New Roman" w:hAnsi="Times New Roman" w:cs="Times New Roman"/>
          <w:color w:val="000000"/>
          <w:sz w:val="24"/>
          <w:szCs w:val="24"/>
          <w:lang/>
        </w:rPr>
        <w:t>165.1.28. сума страхової виплати, страхового відшкодування, викупна сума або їх частина, чи пенсійна виплата, отримана платником податку за договором довгострокового страхування життя, у тому числі страхування довічних пенсій, сума пенсійної виплати із системи недержавного пенсійного забезпечення, сума виплати за договором пенсійного вкладу, договором довірчого управління, укладеним з учасником фонду банківського управління, визначених </w:t>
      </w:r>
      <w:hyperlink r:id="rId2403" w:anchor="n4103" w:history="1">
        <w:r w:rsidRPr="008B264B">
          <w:rPr>
            <w:rFonts w:ascii="Times New Roman" w:eastAsia="Times New Roman" w:hAnsi="Times New Roman" w:cs="Times New Roman"/>
            <w:color w:val="0000FF"/>
            <w:sz w:val="24"/>
            <w:szCs w:val="24"/>
            <w:u w:val="single"/>
            <w:lang/>
          </w:rPr>
          <w:t>підпунктом 170.8.3</w:t>
        </w:r>
      </w:hyperlink>
      <w:r w:rsidRPr="008B264B">
        <w:rPr>
          <w:rFonts w:ascii="Times New Roman" w:eastAsia="Times New Roman" w:hAnsi="Times New Roman" w:cs="Times New Roman"/>
          <w:color w:val="000000"/>
          <w:sz w:val="24"/>
          <w:szCs w:val="24"/>
          <w:lang/>
        </w:rPr>
        <w:t> пункту 170.8 статті 170 цього Кодексу.</w:t>
      </w:r>
    </w:p>
    <w:p w14:paraId="4989EE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7" w:name="n3780"/>
      <w:bookmarkEnd w:id="4407"/>
      <w:r w:rsidRPr="008B264B">
        <w:rPr>
          <w:rFonts w:ascii="Times New Roman" w:eastAsia="Times New Roman" w:hAnsi="Times New Roman" w:cs="Times New Roman"/>
          <w:color w:val="000000"/>
          <w:sz w:val="24"/>
          <w:szCs w:val="24"/>
          <w:lang/>
        </w:rPr>
        <w:t>Порядок застосування </w:t>
      </w:r>
      <w:hyperlink r:id="rId2404" w:anchor="n3772" w:history="1">
        <w:r w:rsidRPr="008B264B">
          <w:rPr>
            <w:rFonts w:ascii="Times New Roman" w:eastAsia="Times New Roman" w:hAnsi="Times New Roman" w:cs="Times New Roman"/>
            <w:color w:val="0000FF"/>
            <w:sz w:val="24"/>
            <w:szCs w:val="24"/>
            <w:u w:val="single"/>
            <w:lang/>
          </w:rPr>
          <w:t>підпункту 165.1.27</w:t>
        </w:r>
      </w:hyperlink>
      <w:r w:rsidRPr="008B264B">
        <w:rPr>
          <w:rFonts w:ascii="Times New Roman" w:eastAsia="Times New Roman" w:hAnsi="Times New Roman" w:cs="Times New Roman"/>
          <w:color w:val="000000"/>
          <w:sz w:val="24"/>
          <w:szCs w:val="24"/>
          <w:lang/>
        </w:rPr>
        <w:t> цього пункту та цього підпункту визначається національною комісією, що здійснює державне регулювання у сфері ринків фінансових послуг.</w:t>
      </w:r>
    </w:p>
    <w:p w14:paraId="4B87CD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8" w:name="n3781"/>
      <w:bookmarkEnd w:id="4408"/>
      <w:r w:rsidRPr="008B264B">
        <w:rPr>
          <w:rFonts w:ascii="Times New Roman" w:eastAsia="Times New Roman" w:hAnsi="Times New Roman" w:cs="Times New Roman"/>
          <w:i/>
          <w:iCs/>
          <w:color w:val="000000"/>
          <w:sz w:val="24"/>
          <w:szCs w:val="24"/>
          <w:lang/>
        </w:rPr>
        <w:t>{Абзац другий підпункту 165.1.28 пункту 165.1 статті 165 із змінами, внесеними згідно із Законом </w:t>
      </w:r>
      <w:hyperlink r:id="rId2405" w:anchor="n17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3D8E7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09" w:name="n3782"/>
      <w:bookmarkEnd w:id="4409"/>
      <w:r w:rsidRPr="008B264B">
        <w:rPr>
          <w:rFonts w:ascii="Times New Roman" w:eastAsia="Times New Roman" w:hAnsi="Times New Roman" w:cs="Times New Roman"/>
          <w:color w:val="000000"/>
          <w:sz w:val="24"/>
          <w:szCs w:val="24"/>
          <w:lang/>
        </w:rPr>
        <w:t>165.1.29. основна сума депозиту (вкладу), внесеного платником податку до банку чи небанківської фінансової установи, яка повертається йому, сума, яка отримується платником податку внаслідок продажу права вимоги на депозит, а також основна сума кредиту, що отримується платником податку (протягом строку дії договору), у тому числі фінансового кредиту, забезпеченого заставою, на визначений строк та під проценти. До загального річного оподатковуваного доходу платника податку, який придбав право вимоги на такий депозит (вклад), включається позитивна різниця між сумою коштів, отриманих у результаті реалізації права вимоги, та вартістю, що визначається із суми витрат на придбання такого депозиту (вкладу). У разі нотаріального посвідчення договору купівлі-продажу права вимоги на депозит нотаріус повідомляє контролюючий орган про такий договір у порядку, встановленому цим розділом;</w:t>
      </w:r>
    </w:p>
    <w:p w14:paraId="2347A3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0" w:name="n3783"/>
      <w:bookmarkEnd w:id="4410"/>
      <w:r w:rsidRPr="008B264B">
        <w:rPr>
          <w:rFonts w:ascii="Times New Roman" w:eastAsia="Times New Roman" w:hAnsi="Times New Roman" w:cs="Times New Roman"/>
          <w:i/>
          <w:iCs/>
          <w:color w:val="000000"/>
          <w:sz w:val="24"/>
          <w:szCs w:val="24"/>
          <w:lang/>
        </w:rPr>
        <w:t>{Підпункт 165.1.29 пункту 165.1 статті 165 із змінами, внесеними згідно із Законом </w:t>
      </w:r>
      <w:hyperlink r:id="rId2406"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Закону </w:t>
      </w:r>
      <w:hyperlink r:id="rId2407" w:anchor="n9" w:tgtFrame="_blank" w:history="1">
        <w:r w:rsidRPr="008B264B">
          <w:rPr>
            <w:rFonts w:ascii="Times New Roman" w:eastAsia="Times New Roman" w:hAnsi="Times New Roman" w:cs="Times New Roman"/>
            <w:i/>
            <w:iCs/>
            <w:color w:val="0000FF"/>
            <w:sz w:val="24"/>
            <w:szCs w:val="24"/>
            <w:u w:val="single"/>
            <w:lang/>
          </w:rPr>
          <w:t>№ 321-VIII від 09.04.2015</w:t>
        </w:r>
      </w:hyperlink>
      <w:r w:rsidRPr="008B264B">
        <w:rPr>
          <w:rFonts w:ascii="Times New Roman" w:eastAsia="Times New Roman" w:hAnsi="Times New Roman" w:cs="Times New Roman"/>
          <w:i/>
          <w:iCs/>
          <w:color w:val="000000"/>
          <w:sz w:val="24"/>
          <w:szCs w:val="24"/>
          <w:lang/>
        </w:rPr>
        <w:t>}</w:t>
      </w:r>
    </w:p>
    <w:p w14:paraId="0E5A5A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1" w:name="n3784"/>
      <w:bookmarkEnd w:id="4411"/>
      <w:r w:rsidRPr="008B264B">
        <w:rPr>
          <w:rFonts w:ascii="Times New Roman" w:eastAsia="Times New Roman" w:hAnsi="Times New Roman" w:cs="Times New Roman"/>
          <w:color w:val="000000"/>
          <w:sz w:val="24"/>
          <w:szCs w:val="24"/>
          <w:lang/>
        </w:rPr>
        <w:t>165.1.30. сума виплат громадянам України (їх спадкоємцям) грошових заощаджень, поміщених в період до 2 січня 1992 року в установи Ощадного банку СРСР та державного страхування СРСР, що діяли на території України, а також у такі державні цінні папери: облігації Державної цільової безпроцентної позики 1990 року, облігації Державної внутрішньої виграшної позики 1982 року, державні казначейські зобов'язання СРСР, сертифікати Ощадного банку СРСР та грошові заощадження громадян України, поміщені в установи Ощадного банку України та колишнього Укрдержстраху протягом 1992-1994 років;</w:t>
      </w:r>
    </w:p>
    <w:p w14:paraId="3B527B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2" w:name="n3785"/>
      <w:bookmarkEnd w:id="4412"/>
      <w:r w:rsidRPr="008B264B">
        <w:rPr>
          <w:rFonts w:ascii="Times New Roman" w:eastAsia="Times New Roman" w:hAnsi="Times New Roman" w:cs="Times New Roman"/>
          <w:color w:val="000000"/>
          <w:sz w:val="24"/>
          <w:szCs w:val="24"/>
          <w:lang/>
        </w:rPr>
        <w:lastRenderedPageBreak/>
        <w:t>165.1.31. основна сума поворотної фінансової допомоги, наданої платником податку іншим особам, яка повертається йому, основна сума поворотної фінансової допомоги, що отримується платником податку;</w:t>
      </w:r>
    </w:p>
    <w:p w14:paraId="665972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3" w:name="n3786"/>
      <w:bookmarkEnd w:id="4413"/>
      <w:r w:rsidRPr="008B264B">
        <w:rPr>
          <w:rFonts w:ascii="Times New Roman" w:eastAsia="Times New Roman" w:hAnsi="Times New Roman" w:cs="Times New Roman"/>
          <w:color w:val="000000"/>
          <w:sz w:val="24"/>
          <w:szCs w:val="24"/>
          <w:lang/>
        </w:rPr>
        <w:t>165.1.32. прибуток від операцій з майном або інвестиційними активами, який не підлягає оподаткуванню згідно з відповідними положеннями цього розділу;</w:t>
      </w:r>
    </w:p>
    <w:p w14:paraId="108233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4" w:name="n3787"/>
      <w:bookmarkEnd w:id="4414"/>
      <w:r w:rsidRPr="008B264B">
        <w:rPr>
          <w:rFonts w:ascii="Times New Roman" w:eastAsia="Times New Roman" w:hAnsi="Times New Roman" w:cs="Times New Roman"/>
          <w:color w:val="000000"/>
          <w:sz w:val="24"/>
          <w:szCs w:val="24"/>
          <w:lang/>
        </w:rPr>
        <w:t>165.1.33. сума, отримана платником податку за здавання ним крові, грудного жіночого молока, інших видів донорства, яка виплачується з бюджету чи бюджетною установою;</w:t>
      </w:r>
    </w:p>
    <w:p w14:paraId="6E02C0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5" w:name="n3788"/>
      <w:bookmarkEnd w:id="4415"/>
      <w:r w:rsidRPr="008B264B">
        <w:rPr>
          <w:rFonts w:ascii="Times New Roman" w:eastAsia="Times New Roman" w:hAnsi="Times New Roman" w:cs="Times New Roman"/>
          <w:color w:val="000000"/>
          <w:sz w:val="24"/>
          <w:szCs w:val="24"/>
          <w:lang/>
        </w:rPr>
        <w:t>165.1.34. вартість житла, яке передається з державної або комунальної власності у власність платника податку безоплатно або із знижкою відповідно до закону, а також сума державної підтримки на будівництво чи придбання доступного житла, яка надається платнику податку відповідно до законодавства.</w:t>
      </w:r>
    </w:p>
    <w:p w14:paraId="7A9B72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6" w:name="n3789"/>
      <w:bookmarkEnd w:id="4416"/>
      <w:r w:rsidRPr="008B264B">
        <w:rPr>
          <w:rFonts w:ascii="Times New Roman" w:eastAsia="Times New Roman" w:hAnsi="Times New Roman" w:cs="Times New Roman"/>
          <w:color w:val="000000"/>
          <w:sz w:val="24"/>
          <w:szCs w:val="24"/>
          <w:lang/>
        </w:rPr>
        <w:t>Якщо платник податку з числа державних службовців та прирівняних до них осіб має право на отримання одноразової грошової компенсації витрат для створення належних житлових умов відповідно до законодавства, сума такої компенсації оподатковується як додаткове благо під час її нарахування (виплати) за її рахунок;</w:t>
      </w:r>
    </w:p>
    <w:p w14:paraId="3878FF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7" w:name="n3790"/>
      <w:bookmarkEnd w:id="4417"/>
      <w:r w:rsidRPr="008B264B">
        <w:rPr>
          <w:rFonts w:ascii="Times New Roman" w:eastAsia="Times New Roman" w:hAnsi="Times New Roman" w:cs="Times New Roman"/>
          <w:color w:val="000000"/>
          <w:sz w:val="24"/>
          <w:szCs w:val="24"/>
          <w:lang/>
        </w:rPr>
        <w:t>165.1.35. вартість путівок на відпочинок, оздоровлення та лікування, у тому числі на реабілітацію осіб з інвалідністю, на території України платника податку та/або його дітей віком до 18 років, які надаються йому безоплатно або із знижкою (у розмірі такої знижки) професійною спілкою, до якої зараховуються профспілкові внески платника податку - члена такої професійної спілки, створеної відповідно до законодавства України, або за рахунок коштів відповідного фонду загальнообов'язкового державного соціального страхування;</w:t>
      </w:r>
    </w:p>
    <w:p w14:paraId="14EC88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8" w:name="n14844"/>
      <w:bookmarkEnd w:id="4418"/>
      <w:r w:rsidRPr="008B264B">
        <w:rPr>
          <w:rFonts w:ascii="Times New Roman" w:eastAsia="Times New Roman" w:hAnsi="Times New Roman" w:cs="Times New Roman"/>
          <w:color w:val="000000"/>
          <w:sz w:val="24"/>
          <w:szCs w:val="24"/>
          <w:lang/>
        </w:rPr>
        <w:t>вартість путівок на відпочинок, оздоровлення та лікування, у тому числі на реабілітацію осіб з інвалідністю, на території України платника податку та/або членів його сім’ї першого ступеня споріднення, які надаються його роботодавцем - платником податку на прибуток підприємств безоплатно або із знижкою (у розмірі такої знижки) один раз на календарний рік, за умови, що вартість путівки (розмір знижки) не перевищує 5 розмірів мінімальної заробітної плати, встановленої на 1 січня податкового (звітного) року;</w:t>
      </w:r>
    </w:p>
    <w:p w14:paraId="512CAA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19" w:name="n14843"/>
      <w:bookmarkEnd w:id="4419"/>
      <w:r w:rsidRPr="008B264B">
        <w:rPr>
          <w:rFonts w:ascii="Times New Roman" w:eastAsia="Times New Roman" w:hAnsi="Times New Roman" w:cs="Times New Roman"/>
          <w:i/>
          <w:iCs/>
          <w:color w:val="000000"/>
          <w:sz w:val="24"/>
          <w:szCs w:val="24"/>
          <w:lang/>
        </w:rPr>
        <w:t>{Підпункт 165.1.35 пункту 165.1 статті 165 доповнено абзацом другим згідно із Законом </w:t>
      </w:r>
      <w:hyperlink r:id="rId2408" w:anchor="n24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9A41D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0" w:name="n3791"/>
      <w:bookmarkEnd w:id="4420"/>
      <w:r w:rsidRPr="008B264B">
        <w:rPr>
          <w:rFonts w:ascii="Times New Roman" w:eastAsia="Times New Roman" w:hAnsi="Times New Roman" w:cs="Times New Roman"/>
          <w:color w:val="000000"/>
          <w:sz w:val="24"/>
          <w:szCs w:val="24"/>
          <w:lang/>
        </w:rPr>
        <w:t>165.1.36. дохід фізичної особи - підприємця, з якого сплачується єдиний податок згідно із спрощеною системою оподаткування відповідно до цього Кодексу;</w:t>
      </w:r>
    </w:p>
    <w:p w14:paraId="681743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1" w:name="n3792"/>
      <w:bookmarkEnd w:id="4421"/>
      <w:r w:rsidRPr="008B264B">
        <w:rPr>
          <w:rFonts w:ascii="Times New Roman" w:eastAsia="Times New Roman" w:hAnsi="Times New Roman" w:cs="Times New Roman"/>
          <w:color w:val="000000"/>
          <w:sz w:val="24"/>
          <w:szCs w:val="24"/>
          <w:lang/>
        </w:rPr>
        <w:t>165.1.37. сума витрат роботодавця у зв'язку з підвищенням кваліфікації (перепідготовкою) платника податку згідно із законом;</w:t>
      </w:r>
    </w:p>
    <w:p w14:paraId="5F7D72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2" w:name="n3793"/>
      <w:bookmarkEnd w:id="4422"/>
      <w:r w:rsidRPr="008B264B">
        <w:rPr>
          <w:rFonts w:ascii="Times New Roman" w:eastAsia="Times New Roman" w:hAnsi="Times New Roman" w:cs="Times New Roman"/>
          <w:color w:val="000000"/>
          <w:sz w:val="24"/>
          <w:szCs w:val="24"/>
          <w:lang/>
        </w:rPr>
        <w:t>165.1.38. вартість орденів, медалей, знаків, кубків, дипломів, грамот та квітів, якими відзначаються працівники, інші категорії громадян та/або переможці змагань, конкурсів;</w:t>
      </w:r>
    </w:p>
    <w:p w14:paraId="6AA18B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3" w:name="n3794"/>
      <w:bookmarkEnd w:id="4423"/>
      <w:r w:rsidRPr="008B264B">
        <w:rPr>
          <w:rFonts w:ascii="Times New Roman" w:eastAsia="Times New Roman" w:hAnsi="Times New Roman" w:cs="Times New Roman"/>
          <w:color w:val="000000"/>
          <w:sz w:val="24"/>
          <w:szCs w:val="24"/>
          <w:lang/>
        </w:rPr>
        <w:t>165.1.39. вартість дарунків (а також призів переможцям та призерам спортивних змагань) - у частині, що не перевищує 25 відсотків однієї мінімальної заробітної плати (у розрахунку на місяць), встановленої на 1 січня звітного податкового року, за винятком грошових виплат у будь-якій сумі;</w:t>
      </w:r>
    </w:p>
    <w:p w14:paraId="52810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4" w:name="n13328"/>
      <w:bookmarkEnd w:id="4424"/>
      <w:r w:rsidRPr="008B264B">
        <w:rPr>
          <w:rFonts w:ascii="Times New Roman" w:eastAsia="Times New Roman" w:hAnsi="Times New Roman" w:cs="Times New Roman"/>
          <w:i/>
          <w:iCs/>
          <w:color w:val="000000"/>
          <w:sz w:val="24"/>
          <w:szCs w:val="24"/>
          <w:lang/>
        </w:rPr>
        <w:t>{Підпункт 165.1.39 пункту 165.1 статті 165 із змінами, внесеними згідно із Законом </w:t>
      </w:r>
      <w:hyperlink r:id="rId2409" w:anchor="n2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в редакції Закону </w:t>
      </w:r>
      <w:hyperlink r:id="rId2410" w:anchor="n19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BA65E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5" w:name="n3795"/>
      <w:bookmarkEnd w:id="4425"/>
      <w:r w:rsidRPr="008B264B">
        <w:rPr>
          <w:rFonts w:ascii="Times New Roman" w:eastAsia="Times New Roman" w:hAnsi="Times New Roman" w:cs="Times New Roman"/>
          <w:color w:val="000000"/>
          <w:sz w:val="24"/>
          <w:szCs w:val="24"/>
          <w:lang/>
        </w:rPr>
        <w:t xml:space="preserve">165.1.40. сума доходу, отриманого платником податку внаслідок відчуження акцій (інших корпоративних прав), одержаних ним у власність в процесі приватизації в обмін на приватизаційні компенсаційні сертифікати, безпосередньо отримані ним як компенсація суми його внеску до установ Ощадного банку СРСР або до установ державного страхування СРСР, або в обмін на приватизаційні сертифікати, отримані ним відповідно до закону, а також сума доходу, отриманого таким платником податку внаслідок відчуження земельних ділянок </w:t>
      </w:r>
      <w:r w:rsidRPr="008B264B">
        <w:rPr>
          <w:rFonts w:ascii="Times New Roman" w:eastAsia="Times New Roman" w:hAnsi="Times New Roman" w:cs="Times New Roman"/>
          <w:color w:val="000000"/>
          <w:sz w:val="24"/>
          <w:szCs w:val="24"/>
          <w:lang/>
        </w:rPr>
        <w:lastRenderedPageBreak/>
        <w:t>сільськогосподарського призначення, земельних часток (паїв) за нормами безоплатної передачі, визначеними статтею 121 </w:t>
      </w:r>
      <w:hyperlink r:id="rId2411" w:tgtFrame="_blank" w:history="1">
        <w:r w:rsidRPr="008B264B">
          <w:rPr>
            <w:rFonts w:ascii="Times New Roman" w:eastAsia="Times New Roman" w:hAnsi="Times New Roman" w:cs="Times New Roman"/>
            <w:color w:val="0000FF"/>
            <w:sz w:val="24"/>
            <w:szCs w:val="24"/>
            <w:u w:val="single"/>
            <w:lang/>
          </w:rPr>
          <w:t>Земельного кодексу України</w:t>
        </w:r>
      </w:hyperlink>
      <w:r w:rsidRPr="008B264B">
        <w:rPr>
          <w:rFonts w:ascii="Times New Roman" w:eastAsia="Times New Roman" w:hAnsi="Times New Roman" w:cs="Times New Roman"/>
          <w:color w:val="000000"/>
          <w:sz w:val="24"/>
          <w:szCs w:val="24"/>
          <w:lang/>
        </w:rPr>
        <w:t> залежно від їх призначення, та майнових паїв, безпосередньо отриманих ним у власність у процесі приватизації;</w:t>
      </w:r>
    </w:p>
    <w:p w14:paraId="787882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6" w:name="n3796"/>
      <w:bookmarkEnd w:id="4426"/>
      <w:r w:rsidRPr="008B264B">
        <w:rPr>
          <w:rFonts w:ascii="Times New Roman" w:eastAsia="Times New Roman" w:hAnsi="Times New Roman" w:cs="Times New Roman"/>
          <w:color w:val="000000"/>
          <w:sz w:val="24"/>
          <w:szCs w:val="24"/>
          <w:lang/>
        </w:rPr>
        <w:t>165.1.41. доходи у вигляді процентів на поточні банківські рахунки, за якими на користь фізичних осіб здійснюються виключно виплати заробітної плати, стипендій, пенсій, соціальної допомоги та інших передбачених законом соціальних виплат. Ознаки таких рахунків визначаються Національним банком України;</w:t>
      </w:r>
    </w:p>
    <w:p w14:paraId="423EB5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7" w:name="n9862"/>
      <w:bookmarkEnd w:id="4427"/>
      <w:r w:rsidRPr="008B264B">
        <w:rPr>
          <w:rFonts w:ascii="Times New Roman" w:eastAsia="Times New Roman" w:hAnsi="Times New Roman" w:cs="Times New Roman"/>
          <w:i/>
          <w:iCs/>
          <w:color w:val="000000"/>
          <w:sz w:val="24"/>
          <w:szCs w:val="24"/>
          <w:lang/>
        </w:rPr>
        <w:t>{Підпункт 165.1.41 пункту 165.1 статті 165 із змінами, внесеними згідно із Законом </w:t>
      </w:r>
      <w:hyperlink r:id="rId2412" w:anchor="n27"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413"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 із змінами, внесеними згідно із Законом </w:t>
      </w:r>
      <w:hyperlink r:id="rId2414" w:anchor="n8"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7ACFB1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8" w:name="n3797"/>
      <w:bookmarkEnd w:id="4428"/>
      <w:r w:rsidRPr="008B264B">
        <w:rPr>
          <w:rFonts w:ascii="Times New Roman" w:eastAsia="Times New Roman" w:hAnsi="Times New Roman" w:cs="Times New Roman"/>
          <w:color w:val="000000"/>
          <w:sz w:val="24"/>
          <w:szCs w:val="24"/>
          <w:lang/>
        </w:rPr>
        <w:t>165.1.42. суми коштів, надані всеукраїнськими громадськими об’єднаннями осіб з інвалідністю та їх спілками платникам податку - учасникам конгресів, симпозіумів, зборів, конференцій, пленумів, з'їздів, фестивалів, виставок, концертів, реабілітаційних заходів, фізкультурно-спортивних заходів та конкурсів, які провадяться такими організаціями, як компенсація витрат на проживання, харчування та проїзд до місця проведення заходів та у зворотному напрямку;</w:t>
      </w:r>
    </w:p>
    <w:p w14:paraId="0CE54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29" w:name="n3798"/>
      <w:bookmarkEnd w:id="4429"/>
      <w:r w:rsidRPr="008B264B">
        <w:rPr>
          <w:rFonts w:ascii="Times New Roman" w:eastAsia="Times New Roman" w:hAnsi="Times New Roman" w:cs="Times New Roman"/>
          <w:color w:val="000000"/>
          <w:sz w:val="24"/>
          <w:szCs w:val="24"/>
          <w:lang/>
        </w:rPr>
        <w:t>165.1.43. сума страхової виплати за договорами страхування життя у разі смерті застрахованої особи, якщо така виплата отримується членами сім'ї застрахованої особи першого ступеня споріднення, або особою, яка є особою з інвалідністю I групи або дитиною з інвалідністю, або має статус дитини-сироти або дитини, позбавленої батьківського піклування;</w:t>
      </w:r>
    </w:p>
    <w:p w14:paraId="52C84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0" w:name="n3799"/>
      <w:bookmarkEnd w:id="4430"/>
      <w:r w:rsidRPr="008B264B">
        <w:rPr>
          <w:rFonts w:ascii="Times New Roman" w:eastAsia="Times New Roman" w:hAnsi="Times New Roman" w:cs="Times New Roman"/>
          <w:color w:val="000000"/>
          <w:sz w:val="24"/>
          <w:szCs w:val="24"/>
          <w:lang/>
        </w:rPr>
        <w:t>165.1.44. сума майнового та немайнового внеску платника податку до статутного фонду юридичної особи - емітента корпоративних прав, в обмін на такі корпоративні права;</w:t>
      </w:r>
    </w:p>
    <w:p w14:paraId="674E72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1" w:name="n3800"/>
      <w:bookmarkEnd w:id="4431"/>
      <w:r w:rsidRPr="008B264B">
        <w:rPr>
          <w:rFonts w:ascii="Times New Roman" w:eastAsia="Times New Roman" w:hAnsi="Times New Roman" w:cs="Times New Roman"/>
          <w:color w:val="000000"/>
          <w:sz w:val="24"/>
          <w:szCs w:val="24"/>
          <w:lang/>
        </w:rPr>
        <w:t>165.1.45. вартість побічних лісових користувань для власного споживання (заготівля лікарських рослин, збирання лісової підстилки, заготівля очерету та інших побічних лісових користувань, передбачених </w:t>
      </w:r>
      <w:hyperlink r:id="rId2415" w:tgtFrame="_blank" w:history="1">
        <w:r w:rsidRPr="008B264B">
          <w:rPr>
            <w:rFonts w:ascii="Times New Roman" w:eastAsia="Times New Roman" w:hAnsi="Times New Roman" w:cs="Times New Roman"/>
            <w:color w:val="0000FF"/>
            <w:sz w:val="24"/>
            <w:szCs w:val="24"/>
            <w:u w:val="single"/>
            <w:lang/>
          </w:rPr>
          <w:t>Лісовим кодексом України</w:t>
        </w:r>
      </w:hyperlink>
      <w:r w:rsidRPr="008B264B">
        <w:rPr>
          <w:rFonts w:ascii="Times New Roman" w:eastAsia="Times New Roman" w:hAnsi="Times New Roman" w:cs="Times New Roman"/>
          <w:color w:val="000000"/>
          <w:sz w:val="24"/>
          <w:szCs w:val="24"/>
          <w:lang/>
        </w:rPr>
        <w:t>);</w:t>
      </w:r>
    </w:p>
    <w:p w14:paraId="477BB2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2" w:name="n3801"/>
      <w:bookmarkEnd w:id="4432"/>
      <w:r w:rsidRPr="008B264B">
        <w:rPr>
          <w:rFonts w:ascii="Times New Roman" w:eastAsia="Times New Roman" w:hAnsi="Times New Roman" w:cs="Times New Roman"/>
          <w:i/>
          <w:iCs/>
          <w:color w:val="000000"/>
          <w:sz w:val="24"/>
          <w:szCs w:val="24"/>
          <w:lang/>
        </w:rPr>
        <w:t>{Підпункт 165.1.46 пункту 165.1 статті 165 виключено на підставі Закону </w:t>
      </w:r>
      <w:hyperlink r:id="rId2416" w:anchor="n52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F8533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3" w:name="n3802"/>
      <w:bookmarkEnd w:id="4433"/>
      <w:r w:rsidRPr="008B264B">
        <w:rPr>
          <w:rFonts w:ascii="Times New Roman" w:eastAsia="Times New Roman" w:hAnsi="Times New Roman" w:cs="Times New Roman"/>
          <w:color w:val="000000"/>
          <w:sz w:val="24"/>
          <w:szCs w:val="24"/>
          <w:lang/>
        </w:rPr>
        <w:t>165.1.47. сума виплат чи відшкодувань (крім заробітної плати чи інших виплат та відшкодувань за цивільно-правовими договорами), що здійснюються за рішенням професійної спілки, її об'єднання та/або організації професійної спілки, прийнятим в установленому порядку, на користь члена такої професійної спілки протягом року сукупно у розмірі, що не перевищує суми граничного розміру доходу, визначеного згідно з </w:t>
      </w:r>
      <w:hyperlink r:id="rId2417" w:anchor="n3953" w:history="1">
        <w:r w:rsidRPr="008B264B">
          <w:rPr>
            <w:rFonts w:ascii="Times New Roman" w:eastAsia="Times New Roman" w:hAnsi="Times New Roman" w:cs="Times New Roman"/>
            <w:color w:val="0000FF"/>
            <w:sz w:val="24"/>
            <w:szCs w:val="24"/>
            <w:u w:val="single"/>
            <w:lang/>
          </w:rPr>
          <w:t>абзацом першим підпункту 169.4.1</w:t>
        </w:r>
      </w:hyperlink>
      <w:r w:rsidRPr="008B264B">
        <w:rPr>
          <w:rFonts w:ascii="Times New Roman" w:eastAsia="Times New Roman" w:hAnsi="Times New Roman" w:cs="Times New Roman"/>
          <w:color w:val="000000"/>
          <w:sz w:val="24"/>
          <w:szCs w:val="24"/>
          <w:lang/>
        </w:rPr>
        <w:t> пункту 169.4 статті 169 цього Кодексу;</w:t>
      </w:r>
    </w:p>
    <w:p w14:paraId="64207D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4" w:name="n3803"/>
      <w:bookmarkEnd w:id="4434"/>
      <w:r w:rsidRPr="008B264B">
        <w:rPr>
          <w:rFonts w:ascii="Times New Roman" w:eastAsia="Times New Roman" w:hAnsi="Times New Roman" w:cs="Times New Roman"/>
          <w:i/>
          <w:iCs/>
          <w:color w:val="000000"/>
          <w:sz w:val="24"/>
          <w:szCs w:val="24"/>
          <w:lang/>
        </w:rPr>
        <w:t>{Підпункт 165.1.47 пункту 165.1 статті 165 в редакції Закону </w:t>
      </w:r>
      <w:hyperlink r:id="rId2418" w:anchor="n21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D6E7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5" w:name="n3804"/>
      <w:bookmarkEnd w:id="4435"/>
      <w:r w:rsidRPr="008B264B">
        <w:rPr>
          <w:rFonts w:ascii="Times New Roman" w:eastAsia="Times New Roman" w:hAnsi="Times New Roman" w:cs="Times New Roman"/>
          <w:color w:val="000000"/>
          <w:sz w:val="24"/>
          <w:szCs w:val="24"/>
          <w:lang/>
        </w:rPr>
        <w:t>165.1.48. кооперативні виплати члену виробничого сільськогосподарського кооперативу, члену сільськогосподарського обслуговуючого кооперативу, а також кошти, що повертаються члену сільськогосподарського обслуговуючого кооперативу внаслідок надлишково сплаченої ним вартості послуг, наданих кооперативом;</w:t>
      </w:r>
    </w:p>
    <w:p w14:paraId="20FE58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6" w:name="n15135"/>
      <w:bookmarkEnd w:id="4436"/>
      <w:r w:rsidRPr="008B264B">
        <w:rPr>
          <w:rFonts w:ascii="Times New Roman" w:eastAsia="Times New Roman" w:hAnsi="Times New Roman" w:cs="Times New Roman"/>
          <w:i/>
          <w:iCs/>
          <w:color w:val="000000"/>
          <w:sz w:val="24"/>
          <w:szCs w:val="24"/>
          <w:lang/>
        </w:rPr>
        <w:t>{Абзац перший підпункту 165.1.48 пункту 165.1 статті 165 із змінами, внесеними згідно із Законом </w:t>
      </w:r>
      <w:hyperlink r:id="rId2419" w:anchor="n9"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892BD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7" w:name="n3805"/>
      <w:bookmarkEnd w:id="4437"/>
      <w:r w:rsidRPr="008B264B">
        <w:rPr>
          <w:rFonts w:ascii="Times New Roman" w:eastAsia="Times New Roman" w:hAnsi="Times New Roman" w:cs="Times New Roman"/>
          <w:color w:val="000000"/>
          <w:sz w:val="24"/>
          <w:szCs w:val="24"/>
          <w:lang/>
        </w:rPr>
        <w:t>розмір (сума, вартість) паю, що повертається члену сільськогосподарського виробничого кооперативу, члену сільськогосподарського обслуговуючого кооперативу у разі припинення ним членства в кооперативі. Перевищення розміру (суми, вартості) паю понад розмір (суми, вартості) пайових внесків підлягає оподаткуванню в порядку, встановленому </w:t>
      </w:r>
      <w:hyperlink r:id="rId2420" w:anchor="n3979" w:history="1">
        <w:r w:rsidRPr="008B264B">
          <w:rPr>
            <w:rFonts w:ascii="Times New Roman" w:eastAsia="Times New Roman" w:hAnsi="Times New Roman" w:cs="Times New Roman"/>
            <w:color w:val="0000FF"/>
            <w:sz w:val="24"/>
            <w:szCs w:val="24"/>
            <w:u w:val="single"/>
            <w:lang/>
          </w:rPr>
          <w:t>пунктом 170.2</w:t>
        </w:r>
      </w:hyperlink>
      <w:r w:rsidRPr="008B264B">
        <w:rPr>
          <w:rFonts w:ascii="Times New Roman" w:eastAsia="Times New Roman" w:hAnsi="Times New Roman" w:cs="Times New Roman"/>
          <w:color w:val="000000"/>
          <w:sz w:val="24"/>
          <w:szCs w:val="24"/>
          <w:lang/>
        </w:rPr>
        <w:t> статті 170 цього розділу;</w:t>
      </w:r>
    </w:p>
    <w:p w14:paraId="107C3C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8" w:name="n15136"/>
      <w:bookmarkEnd w:id="4438"/>
      <w:r w:rsidRPr="008B264B">
        <w:rPr>
          <w:rFonts w:ascii="Times New Roman" w:eastAsia="Times New Roman" w:hAnsi="Times New Roman" w:cs="Times New Roman"/>
          <w:i/>
          <w:iCs/>
          <w:color w:val="000000"/>
          <w:sz w:val="24"/>
          <w:szCs w:val="24"/>
          <w:lang/>
        </w:rPr>
        <w:t>{Абзац другий підпункту 165.1.48 пункту 165.1 статті 165 із змінами, внесеними згідно із Законом </w:t>
      </w:r>
      <w:hyperlink r:id="rId2421" w:anchor="n10"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091F5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39" w:name="n3806"/>
      <w:bookmarkEnd w:id="4439"/>
      <w:r w:rsidRPr="008B264B">
        <w:rPr>
          <w:rFonts w:ascii="Times New Roman" w:eastAsia="Times New Roman" w:hAnsi="Times New Roman" w:cs="Times New Roman"/>
          <w:i/>
          <w:iCs/>
          <w:color w:val="000000"/>
          <w:sz w:val="24"/>
          <w:szCs w:val="24"/>
          <w:lang/>
        </w:rPr>
        <w:lastRenderedPageBreak/>
        <w:t>{Підпункт 165.1.48 пункту 165.1 статті 165 в редакції Закону </w:t>
      </w:r>
      <w:hyperlink r:id="rId2422" w:anchor="n7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1A982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0" w:name="n3807"/>
      <w:bookmarkEnd w:id="4440"/>
      <w:r w:rsidRPr="008B264B">
        <w:rPr>
          <w:rFonts w:ascii="Times New Roman" w:eastAsia="Times New Roman" w:hAnsi="Times New Roman" w:cs="Times New Roman"/>
          <w:color w:val="000000"/>
          <w:sz w:val="24"/>
          <w:szCs w:val="24"/>
          <w:lang/>
        </w:rPr>
        <w:t>165.1.49. інші доходи, які згідно з цим Кодексом не включаються до складу загального місячного (річного) оподатковуваного доходу.</w:t>
      </w:r>
    </w:p>
    <w:p w14:paraId="2EEFFD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1" w:name="n3808"/>
      <w:bookmarkEnd w:id="4441"/>
      <w:r w:rsidRPr="008B264B">
        <w:rPr>
          <w:rFonts w:ascii="Times New Roman" w:eastAsia="Times New Roman" w:hAnsi="Times New Roman" w:cs="Times New Roman"/>
          <w:color w:val="000000"/>
          <w:sz w:val="24"/>
          <w:szCs w:val="24"/>
          <w:lang/>
        </w:rPr>
        <w:t>165.1.50. операції з конвертації цінних паперів у разі, якщо їх обмін здійснюється за звичайними цінами або за вартістю чистих активів у розрахунку на один цінний папір, які не призводять до відчуження інвестицій та проводяться з цінними паперами ІСІ, що перебувають в управлінні однієї компанії з управління активами;</w:t>
      </w:r>
    </w:p>
    <w:p w14:paraId="47D82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2" w:name="n3809"/>
      <w:bookmarkEnd w:id="4442"/>
      <w:r w:rsidRPr="008B264B">
        <w:rPr>
          <w:rFonts w:ascii="Times New Roman" w:eastAsia="Times New Roman" w:hAnsi="Times New Roman" w:cs="Times New Roman"/>
          <w:i/>
          <w:iCs/>
          <w:color w:val="000000"/>
          <w:sz w:val="24"/>
          <w:szCs w:val="24"/>
          <w:lang/>
        </w:rPr>
        <w:t>{Пункт 165.1 статті 165 доповнено підпунктом 165.1.50 згідно із Законом </w:t>
      </w:r>
      <w:hyperlink r:id="rId242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ACF87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3" w:name="n3810"/>
      <w:bookmarkEnd w:id="4443"/>
      <w:r w:rsidRPr="008B264B">
        <w:rPr>
          <w:rFonts w:ascii="Times New Roman" w:eastAsia="Times New Roman" w:hAnsi="Times New Roman" w:cs="Times New Roman"/>
          <w:color w:val="000000"/>
          <w:sz w:val="24"/>
          <w:szCs w:val="24"/>
          <w:lang/>
        </w:rPr>
        <w:t>165.1.51. доходи від операцій з валютними цінностями (крім цінних паперів), пов'язаних з переходом права власності на такі валютні цінності, за виключенням доходів, оподаткування яких прямо передбачено іншими нормами цього розділу;</w:t>
      </w:r>
    </w:p>
    <w:p w14:paraId="1698D8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4" w:name="n3811"/>
      <w:bookmarkEnd w:id="4444"/>
      <w:r w:rsidRPr="008B264B">
        <w:rPr>
          <w:rFonts w:ascii="Times New Roman" w:eastAsia="Times New Roman" w:hAnsi="Times New Roman" w:cs="Times New Roman"/>
          <w:i/>
          <w:iCs/>
          <w:color w:val="000000"/>
          <w:sz w:val="24"/>
          <w:szCs w:val="24"/>
          <w:lang/>
        </w:rPr>
        <w:t>{Пункт 165.1 статті 165 доповнено підпунктом 165.1.51 згідно із Законом </w:t>
      </w:r>
      <w:hyperlink r:id="rId2424" w:anchor="n21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0AFCB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5" w:name="n3812"/>
      <w:bookmarkEnd w:id="4445"/>
      <w:r w:rsidRPr="008B264B">
        <w:rPr>
          <w:rFonts w:ascii="Times New Roman" w:eastAsia="Times New Roman" w:hAnsi="Times New Roman" w:cs="Times New Roman"/>
          <w:color w:val="000000"/>
          <w:sz w:val="24"/>
          <w:szCs w:val="24"/>
          <w:lang/>
        </w:rPr>
        <w:t>165.1.52. інвестиційний прибуток від операцій з борговими зобов’язаннями Національного банку України та з державними цінними паперами, емітованими центральним органом виконавчої влади, що забезпечує формування та реалізує державну фінансову політику, з урахуванням курсових різниць;</w:t>
      </w:r>
    </w:p>
    <w:p w14:paraId="7327AE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6" w:name="n3813"/>
      <w:bookmarkEnd w:id="4446"/>
      <w:r w:rsidRPr="008B264B">
        <w:rPr>
          <w:rFonts w:ascii="Times New Roman" w:eastAsia="Times New Roman" w:hAnsi="Times New Roman" w:cs="Times New Roman"/>
          <w:i/>
          <w:iCs/>
          <w:color w:val="000000"/>
          <w:sz w:val="24"/>
          <w:szCs w:val="24"/>
          <w:lang/>
        </w:rPr>
        <w:t>{Пункт 165.1 статті 165 доповнено підпунктом 165.1.52 згідно із Законом </w:t>
      </w:r>
      <w:hyperlink r:id="rId2425" w:anchor="n21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з Законом </w:t>
      </w:r>
      <w:hyperlink r:id="rId2426" w:anchor="n17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2427" w:anchor="n98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502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7" w:name="n9986"/>
      <w:bookmarkEnd w:id="4447"/>
      <w:r w:rsidRPr="008B264B">
        <w:rPr>
          <w:rFonts w:ascii="Times New Roman" w:eastAsia="Times New Roman" w:hAnsi="Times New Roman" w:cs="Times New Roman"/>
          <w:color w:val="000000"/>
          <w:sz w:val="24"/>
          <w:szCs w:val="24"/>
          <w:lang/>
        </w:rPr>
        <w:t>165.1.53. сума ненарахованих процентів за користування кредитом відповідно до </w:t>
      </w:r>
      <w:hyperlink r:id="rId2428" w:tgtFrame="_blank" w:history="1">
        <w:r w:rsidRPr="008B264B">
          <w:rPr>
            <w:rFonts w:ascii="Times New Roman" w:eastAsia="Times New Roman" w:hAnsi="Times New Roman" w:cs="Times New Roman"/>
            <w:color w:val="0000FF"/>
            <w:sz w:val="24"/>
            <w:szCs w:val="24"/>
            <w:u w:val="single"/>
            <w:lang/>
          </w:rPr>
          <w:t>Закону України "Про соціальний і правовий захист військовослужбовців та членів їх сімей"</w:t>
        </w:r>
      </w:hyperlink>
      <w:r w:rsidRPr="008B264B">
        <w:rPr>
          <w:rFonts w:ascii="Times New Roman" w:eastAsia="Times New Roman" w:hAnsi="Times New Roman" w:cs="Times New Roman"/>
          <w:color w:val="000000"/>
          <w:sz w:val="24"/>
          <w:szCs w:val="24"/>
          <w:lang/>
        </w:rPr>
        <w:t>;</w:t>
      </w:r>
    </w:p>
    <w:p w14:paraId="22453B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8" w:name="n9985"/>
      <w:bookmarkEnd w:id="4448"/>
      <w:r w:rsidRPr="008B264B">
        <w:rPr>
          <w:rFonts w:ascii="Times New Roman" w:eastAsia="Times New Roman" w:hAnsi="Times New Roman" w:cs="Times New Roman"/>
          <w:i/>
          <w:iCs/>
          <w:color w:val="000000"/>
          <w:sz w:val="24"/>
          <w:szCs w:val="24"/>
          <w:lang/>
        </w:rPr>
        <w:t>{Пункт 165.1 статті 165 доповнено підпунктом 165.1.53 згідно із Законом </w:t>
      </w:r>
      <w:hyperlink r:id="rId2429" w:anchor="n33" w:tgtFrame="_blank" w:history="1">
        <w:r w:rsidRPr="008B264B">
          <w:rPr>
            <w:rFonts w:ascii="Times New Roman" w:eastAsia="Times New Roman" w:hAnsi="Times New Roman" w:cs="Times New Roman"/>
            <w:i/>
            <w:iCs/>
            <w:color w:val="0000FF"/>
            <w:sz w:val="24"/>
            <w:szCs w:val="24"/>
            <w:u w:val="single"/>
            <w:lang/>
          </w:rPr>
          <w:t>№ 1275-VII від 20.05.2014</w:t>
        </w:r>
      </w:hyperlink>
      <w:r w:rsidRPr="008B264B">
        <w:rPr>
          <w:rFonts w:ascii="Times New Roman" w:eastAsia="Times New Roman" w:hAnsi="Times New Roman" w:cs="Times New Roman"/>
          <w:i/>
          <w:iCs/>
          <w:color w:val="000000"/>
          <w:sz w:val="24"/>
          <w:szCs w:val="24"/>
          <w:lang/>
        </w:rPr>
        <w:t>}</w:t>
      </w:r>
    </w:p>
    <w:p w14:paraId="5509C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49" w:name="n10287"/>
      <w:bookmarkEnd w:id="4449"/>
      <w:r w:rsidRPr="008B264B">
        <w:rPr>
          <w:rFonts w:ascii="Times New Roman" w:eastAsia="Times New Roman" w:hAnsi="Times New Roman" w:cs="Times New Roman"/>
          <w:color w:val="000000"/>
          <w:sz w:val="24"/>
          <w:szCs w:val="24"/>
          <w:lang/>
        </w:rPr>
        <w:t>165.1.54. сума (вартість) благодійної допомоги:</w:t>
      </w:r>
    </w:p>
    <w:p w14:paraId="73BD2C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0" w:name="n10288"/>
      <w:bookmarkEnd w:id="4450"/>
      <w:r w:rsidRPr="008B264B">
        <w:rPr>
          <w:rFonts w:ascii="Times New Roman" w:eastAsia="Times New Roman" w:hAnsi="Times New Roman" w:cs="Times New Roman"/>
          <w:color w:val="000000"/>
          <w:sz w:val="24"/>
          <w:szCs w:val="24"/>
          <w:lang/>
        </w:rPr>
        <w:t>а) виплаченої (наданої) благодійниками, у тому числі благодійниками - фізичними особами, які внесені до Реєстру волонтерів антитерористичної операції в порядку, визначеному </w:t>
      </w:r>
      <w:hyperlink r:id="rId243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благодійну діяльність та благодійні організації", на користь:</w:t>
      </w:r>
    </w:p>
    <w:p w14:paraId="3B4F7D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1" w:name="n10289"/>
      <w:bookmarkEnd w:id="4451"/>
      <w:r w:rsidRPr="008B264B">
        <w:rPr>
          <w:rFonts w:ascii="Times New Roman" w:eastAsia="Times New Roman" w:hAnsi="Times New Roman" w:cs="Times New Roman"/>
          <w:color w:val="000000"/>
          <w:sz w:val="24"/>
          <w:szCs w:val="24"/>
          <w:lang/>
        </w:rPr>
        <w:t>учасників бойових дій - військовослужбовців (резервістів, військовозобов’язаних) та працівників 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які захищають (захищали) незалежність, суверенітет та територіальну цілісність України і беруть (брали) безпосередню участь в антитерористичній операції, забезпеченні її проведення, перебуваючи безпосередньо в районах антитерористичної операції; працівників підприємств, установ, організацій, які залучаються (залучалися) та беруть (брали) безпосередню участь в антитерористичній операції в районах її проведення у порядку, встановленому законодавством, або на користь членів сімей таких учасників бойових дій, які під час участі в антитерористичній операції, участі в забезпеченні її проведення зазнали поранення, контузії чи іншого ушкодження здоров’я, загинули, померли внаслідок поранення, контузії чи каліцтва, отриманих під час участі в антитерористичній операції, забезпеченні її проведення, чи визнані безвісно відсутніми в установленому порядку;</w:t>
      </w:r>
    </w:p>
    <w:p w14:paraId="7390AF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2" w:name="n10290"/>
      <w:bookmarkEnd w:id="4452"/>
      <w:r w:rsidRPr="008B264B">
        <w:rPr>
          <w:rFonts w:ascii="Times New Roman" w:eastAsia="Times New Roman" w:hAnsi="Times New Roman" w:cs="Times New Roman"/>
          <w:color w:val="000000"/>
          <w:sz w:val="24"/>
          <w:szCs w:val="24"/>
          <w:lang/>
        </w:rPr>
        <w:t xml:space="preserve">учасників масових акцій громадського протесту в Україні, які зазнали поранення, контузії чи іншого ушкодження здоров’я під час участі в цих акціях у період з 21 листопада 2013 року по </w:t>
      </w:r>
      <w:r w:rsidRPr="008B264B">
        <w:rPr>
          <w:rFonts w:ascii="Times New Roman" w:eastAsia="Times New Roman" w:hAnsi="Times New Roman" w:cs="Times New Roman"/>
          <w:color w:val="000000"/>
          <w:sz w:val="24"/>
          <w:szCs w:val="24"/>
          <w:lang/>
        </w:rPr>
        <w:lastRenderedPageBreak/>
        <w:t>28 лютого 2014 року, а також 2 травня 2014 року в місті Одесі, або на користь членів сімей таких учасників, які загинули чи померли внаслідок отриманих у цей період поранень, контузії чи іншого ушкодження здоров’я або визнані безвісно відсутніми в установленому порядку;</w:t>
      </w:r>
    </w:p>
    <w:p w14:paraId="10AD0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3" w:name="n10291"/>
      <w:bookmarkEnd w:id="4453"/>
      <w:r w:rsidRPr="008B264B">
        <w:rPr>
          <w:rFonts w:ascii="Times New Roman" w:eastAsia="Times New Roman" w:hAnsi="Times New Roman" w:cs="Times New Roman"/>
          <w:color w:val="000000"/>
          <w:sz w:val="24"/>
          <w:szCs w:val="24"/>
          <w:lang/>
        </w:rPr>
        <w:t>фізичних осіб, які мешкають (мешкали) на території населених пунктів, де проводиться (проводилася) антитерористична операція, та/або вимушено покинули місце проживання у зв’язку з проведенням антитерористичної операції в таких населених пунктах;</w:t>
      </w:r>
    </w:p>
    <w:p w14:paraId="5943DF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4" w:name="n10292"/>
      <w:bookmarkEnd w:id="4454"/>
      <w:r w:rsidRPr="008B264B">
        <w:rPr>
          <w:rFonts w:ascii="Times New Roman" w:eastAsia="Times New Roman" w:hAnsi="Times New Roman" w:cs="Times New Roman"/>
          <w:color w:val="000000"/>
          <w:sz w:val="24"/>
          <w:szCs w:val="24"/>
          <w:lang/>
        </w:rPr>
        <w:t>фізичних осіб, які мешкали на території Автономної Республіки Крим та вимушено покинули місце проживання у зв’язку з тимчасовою окупацією території України, визначеної </w:t>
      </w:r>
      <w:hyperlink r:id="rId2431"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забезпечення прав і свобод громадян та правовий режим на тимчасово окупованій території України";</w:t>
      </w:r>
    </w:p>
    <w:p w14:paraId="1BDD3C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5" w:name="n10293"/>
      <w:bookmarkEnd w:id="4455"/>
      <w:r w:rsidRPr="008B264B">
        <w:rPr>
          <w:rFonts w:ascii="Times New Roman" w:eastAsia="Times New Roman" w:hAnsi="Times New Roman" w:cs="Times New Roman"/>
          <w:color w:val="000000"/>
          <w:sz w:val="24"/>
          <w:szCs w:val="24"/>
          <w:lang/>
        </w:rPr>
        <w:t>б) отриманої благодійниками - фізичними особами, які внесені до Реєстру волонтерів антитерористичної операції в порядку, визначеному </w:t>
      </w:r>
      <w:hyperlink r:id="rId243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благодійну діяльність та благодійні організації", для надання благодійної допомоги на користь осіб, визначених у підпункті "а" цього підпункту (безпосередньо таким особам або через Міністерство оборони України, Головне управління Національної гвардії України, Службу безпеки України, Службу зовнішньої розвідки України, Адміністрацію Державної прикордонної служби України, Міністерство внутрішніх справ України, Управління державної охорони України, Адміністрацію Державної служби спеціального зв’язку та захисту інформації України, через органи управління інших утворених відповідно до законів України військових формувань, їх з’єднання, військові частини, підрозділи, установи або організації, що утримуються за рахунок коштів державного бюджету), у розмірі, фактично використаному на такі цілі, та на відшкодування документально підтверджених витрат таких благодійників, пов’язаних із наданням зазначеної благодійної допомоги. Правила цього підпункту застосовуються також до благодійної допомоги, отриманої зазначеними благодійниками - фізичними особами у звітному податковому році, що передує року їх внесення до Реєстру волонтерів антитерористичної операції.</w:t>
      </w:r>
    </w:p>
    <w:p w14:paraId="115547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6" w:name="n10294"/>
      <w:bookmarkEnd w:id="4456"/>
      <w:r w:rsidRPr="008B264B">
        <w:rPr>
          <w:rFonts w:ascii="Times New Roman" w:eastAsia="Times New Roman" w:hAnsi="Times New Roman" w:cs="Times New Roman"/>
          <w:color w:val="000000"/>
          <w:sz w:val="24"/>
          <w:szCs w:val="24"/>
          <w:lang/>
        </w:rPr>
        <w:t>Для цілей цього підпункту до членів сімей учасників бойових дій та/або учасників масових акцій громадського протесту в Україні належать: дружина, чоловік, які не одружилися вдруге, батьки, дід та баба (якщо батьки померли), неповнолітні діти, повнолітні діти з інвалідністю.</w:t>
      </w:r>
    </w:p>
    <w:p w14:paraId="0FA469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7" w:name="n10295"/>
      <w:bookmarkEnd w:id="4457"/>
      <w:r w:rsidRPr="008B264B">
        <w:rPr>
          <w:rFonts w:ascii="Times New Roman" w:eastAsia="Times New Roman" w:hAnsi="Times New Roman" w:cs="Times New Roman"/>
          <w:color w:val="000000"/>
          <w:sz w:val="24"/>
          <w:szCs w:val="24"/>
          <w:lang/>
        </w:rPr>
        <w:t>Зазначені у цьому підпункті доходи не включаються до загального місячного (річного) оподатковуваного доходу платників податку до 31 грудня (включно) року, наступного за роком, у якому завершено антитерористичну операцію.</w:t>
      </w:r>
    </w:p>
    <w:p w14:paraId="31801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8" w:name="n10296"/>
      <w:bookmarkEnd w:id="4458"/>
      <w:r w:rsidRPr="008B264B">
        <w:rPr>
          <w:rFonts w:ascii="Times New Roman" w:eastAsia="Times New Roman" w:hAnsi="Times New Roman" w:cs="Times New Roman"/>
          <w:color w:val="000000"/>
          <w:sz w:val="24"/>
          <w:szCs w:val="24"/>
          <w:lang/>
        </w:rPr>
        <w:t>Сума (вартість) зазначеної у цьому підпункті благодійної допомоги, що не включається до загального місячного (річного) оподатковуваного доходу платників податку, визначається згідно з </w:t>
      </w:r>
      <w:hyperlink r:id="rId2433" w:anchor="n10300" w:history="1">
        <w:r w:rsidRPr="008B264B">
          <w:rPr>
            <w:rFonts w:ascii="Times New Roman" w:eastAsia="Times New Roman" w:hAnsi="Times New Roman" w:cs="Times New Roman"/>
            <w:color w:val="0000FF"/>
            <w:sz w:val="24"/>
            <w:szCs w:val="24"/>
            <w:u w:val="single"/>
            <w:lang/>
          </w:rPr>
          <w:t>підпунктом 170.7.8</w:t>
        </w:r>
      </w:hyperlink>
      <w:r w:rsidRPr="008B264B">
        <w:rPr>
          <w:rFonts w:ascii="Times New Roman" w:eastAsia="Times New Roman" w:hAnsi="Times New Roman" w:cs="Times New Roman"/>
          <w:color w:val="000000"/>
          <w:sz w:val="24"/>
          <w:szCs w:val="24"/>
          <w:lang/>
        </w:rPr>
        <w:t> пункту 170.7 статті 170 цього Кодексу.</w:t>
      </w:r>
    </w:p>
    <w:p w14:paraId="1A2EB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59" w:name="n10297"/>
      <w:bookmarkEnd w:id="4459"/>
      <w:r w:rsidRPr="008B264B">
        <w:rPr>
          <w:rFonts w:ascii="Times New Roman" w:eastAsia="Times New Roman" w:hAnsi="Times New Roman" w:cs="Times New Roman"/>
          <w:color w:val="000000"/>
          <w:sz w:val="24"/>
          <w:szCs w:val="24"/>
          <w:lang/>
        </w:rPr>
        <w:t>Якщо із суми (вартості) благодійної допомоги, яка відповідає умовам, визначеним цим підпунктом, було утримано (сплачено) податок податковим агентом або платником податку, то суми такого податку підлягають поверненню платнику податку з бюджету у порядку, встановленому цим Кодексом для повернення сум помилково або надміру сплачених грошових зобов’язань.</w:t>
      </w:r>
    </w:p>
    <w:p w14:paraId="0DC98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0" w:name="n10298"/>
      <w:bookmarkEnd w:id="4460"/>
      <w:r w:rsidRPr="008B264B">
        <w:rPr>
          <w:rFonts w:ascii="Times New Roman" w:eastAsia="Times New Roman" w:hAnsi="Times New Roman" w:cs="Times New Roman"/>
          <w:color w:val="000000"/>
          <w:sz w:val="24"/>
          <w:szCs w:val="24"/>
          <w:lang/>
        </w:rPr>
        <w:t>Кошти, отримані благодійниками - фізичними особами на їх банківські рахунки на цілі, визначені у цьому підпункті, та не використані такими благодійниками у строк, зазначений в цьому підпункті, повинні бути перераховані ними до Державного бюджету України у порядку, встановленому Кабінетом Міністрів України;</w:t>
      </w:r>
    </w:p>
    <w:p w14:paraId="074D29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1" w:name="n10286"/>
      <w:bookmarkEnd w:id="4461"/>
      <w:r w:rsidRPr="008B264B">
        <w:rPr>
          <w:rFonts w:ascii="Times New Roman" w:eastAsia="Times New Roman" w:hAnsi="Times New Roman" w:cs="Times New Roman"/>
          <w:i/>
          <w:iCs/>
          <w:color w:val="000000"/>
          <w:sz w:val="24"/>
          <w:szCs w:val="24"/>
          <w:lang/>
        </w:rPr>
        <w:t>{Пункт 165.1 статті 165 доповнено підпунктом 165.1.54 згідно із Законом </w:t>
      </w:r>
      <w:hyperlink r:id="rId2434" w:anchor="n8" w:tgtFrame="_blank" w:history="1">
        <w:r w:rsidRPr="008B264B">
          <w:rPr>
            <w:rFonts w:ascii="Times New Roman" w:eastAsia="Times New Roman" w:hAnsi="Times New Roman" w:cs="Times New Roman"/>
            <w:i/>
            <w:iCs/>
            <w:color w:val="0000FF"/>
            <w:sz w:val="24"/>
            <w:szCs w:val="24"/>
            <w:u w:val="single"/>
            <w:lang/>
          </w:rPr>
          <w:t>№ 1668-VII від 02.09.2014</w:t>
        </w:r>
      </w:hyperlink>
      <w:r w:rsidRPr="008B264B">
        <w:rPr>
          <w:rFonts w:ascii="Times New Roman" w:eastAsia="Times New Roman" w:hAnsi="Times New Roman" w:cs="Times New Roman"/>
          <w:i/>
          <w:iCs/>
          <w:color w:val="000000"/>
          <w:sz w:val="24"/>
          <w:szCs w:val="24"/>
          <w:lang/>
        </w:rPr>
        <w:t>}</w:t>
      </w:r>
    </w:p>
    <w:p w14:paraId="363FC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2" w:name="n11190"/>
      <w:bookmarkEnd w:id="4462"/>
      <w:r w:rsidRPr="008B264B">
        <w:rPr>
          <w:rFonts w:ascii="Times New Roman" w:eastAsia="Times New Roman" w:hAnsi="Times New Roman" w:cs="Times New Roman"/>
          <w:color w:val="000000"/>
          <w:sz w:val="24"/>
          <w:szCs w:val="24"/>
          <w:lang/>
        </w:rPr>
        <w:t>165.1.55. основна сума боргу (кредиту) платника податку, прощеного (анульованого) кредитором за його самостійним рішенням, не пов’язаним з процедурою банкрутства, до закінчення строку позовної давності у сумі, що не перевищує 25 відсотків однієї мінімальної заробітної плати (у розрахунку на рік), встановленої на 1 січня звітного податкового року;</w:t>
      </w:r>
    </w:p>
    <w:p w14:paraId="47C94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3" w:name="n13329"/>
      <w:bookmarkEnd w:id="4463"/>
      <w:r w:rsidRPr="008B264B">
        <w:rPr>
          <w:rFonts w:ascii="Times New Roman" w:eastAsia="Times New Roman" w:hAnsi="Times New Roman" w:cs="Times New Roman"/>
          <w:i/>
          <w:iCs/>
          <w:color w:val="000000"/>
          <w:sz w:val="24"/>
          <w:szCs w:val="24"/>
          <w:lang/>
        </w:rPr>
        <w:lastRenderedPageBreak/>
        <w:t>{Підпункт 165.1.55 пункту 165.1 статті 165 із змінами, внесеними згідно із Законом </w:t>
      </w:r>
      <w:hyperlink r:id="rId2435" w:anchor="n27"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F05F5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4" w:name="n12337"/>
      <w:bookmarkEnd w:id="4464"/>
      <w:r w:rsidRPr="008B264B">
        <w:rPr>
          <w:rFonts w:ascii="Times New Roman" w:eastAsia="Times New Roman" w:hAnsi="Times New Roman" w:cs="Times New Roman"/>
          <w:color w:val="000000"/>
          <w:sz w:val="24"/>
          <w:szCs w:val="24"/>
          <w:lang/>
        </w:rPr>
        <w:t>сума процентів, комісії та/або штрафних санкцій (пені), прощених (анульованих) кредитором за його самостійним рішенням, не пов’язаним із процедурою його банкрутства, до закінчення строку позовної давності;</w:t>
      </w:r>
    </w:p>
    <w:p w14:paraId="72B118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5" w:name="n12336"/>
      <w:bookmarkEnd w:id="4465"/>
      <w:r w:rsidRPr="008B264B">
        <w:rPr>
          <w:rFonts w:ascii="Times New Roman" w:eastAsia="Times New Roman" w:hAnsi="Times New Roman" w:cs="Times New Roman"/>
          <w:i/>
          <w:iCs/>
          <w:color w:val="000000"/>
          <w:sz w:val="24"/>
          <w:szCs w:val="24"/>
          <w:lang/>
        </w:rPr>
        <w:t>{Підпункт 165.1.55 пункту 165.1 статті 165 доповнено абзацом другим згідно із Законом </w:t>
      </w:r>
      <w:hyperlink r:id="rId2436" w:anchor="n13" w:tgtFrame="_blank" w:history="1">
        <w:r w:rsidRPr="008B264B">
          <w:rPr>
            <w:rFonts w:ascii="Times New Roman" w:eastAsia="Times New Roman" w:hAnsi="Times New Roman" w:cs="Times New Roman"/>
            <w:i/>
            <w:iCs/>
            <w:color w:val="0000FF"/>
            <w:sz w:val="24"/>
            <w:szCs w:val="24"/>
            <w:u w:val="single"/>
            <w:lang/>
          </w:rPr>
          <w:t>№ 321-VIII від 09.04.2015</w:t>
        </w:r>
      </w:hyperlink>
      <w:r w:rsidRPr="008B264B">
        <w:rPr>
          <w:rFonts w:ascii="Times New Roman" w:eastAsia="Times New Roman" w:hAnsi="Times New Roman" w:cs="Times New Roman"/>
          <w:i/>
          <w:iCs/>
          <w:color w:val="000000"/>
          <w:sz w:val="24"/>
          <w:szCs w:val="24"/>
          <w:lang/>
        </w:rPr>
        <w:t>}</w:t>
      </w:r>
    </w:p>
    <w:p w14:paraId="0F095D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6" w:name="n11189"/>
      <w:bookmarkEnd w:id="4466"/>
      <w:r w:rsidRPr="008B264B">
        <w:rPr>
          <w:rFonts w:ascii="Times New Roman" w:eastAsia="Times New Roman" w:hAnsi="Times New Roman" w:cs="Times New Roman"/>
          <w:i/>
          <w:iCs/>
          <w:color w:val="000000"/>
          <w:sz w:val="24"/>
          <w:szCs w:val="24"/>
          <w:lang/>
        </w:rPr>
        <w:t>{Пункт 165.1 статті 165 доповнено підпунктом 165.1.55 згідно із Законом </w:t>
      </w:r>
      <w:hyperlink r:id="rId2437" w:anchor="n52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54B5E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7" w:name="n12320"/>
      <w:bookmarkEnd w:id="4467"/>
      <w:r w:rsidRPr="008B264B">
        <w:rPr>
          <w:rFonts w:ascii="Times New Roman" w:eastAsia="Times New Roman" w:hAnsi="Times New Roman" w:cs="Times New Roman"/>
          <w:color w:val="000000"/>
          <w:sz w:val="24"/>
          <w:szCs w:val="24"/>
          <w:lang/>
        </w:rPr>
        <w:t>165.1.56. сума (вартість) благодійної допомоги, яка виплачена (надана) міжнародними благодійними організаціями (їх філіями, представництвами), перелік яких визначається Кабінетом Міністрів України, на користь:</w:t>
      </w:r>
    </w:p>
    <w:p w14:paraId="678696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8" w:name="n12321"/>
      <w:bookmarkEnd w:id="4468"/>
      <w:r w:rsidRPr="008B264B">
        <w:rPr>
          <w:rFonts w:ascii="Times New Roman" w:eastAsia="Times New Roman" w:hAnsi="Times New Roman" w:cs="Times New Roman"/>
          <w:color w:val="000000"/>
          <w:sz w:val="24"/>
          <w:szCs w:val="24"/>
          <w:lang/>
        </w:rPr>
        <w:t>фізичних осіб, які мешкають (мешкали) на території населених пунктів, де проводиться (проводилася) антитерористична операція (за винятком територій, на яких органи державної влади тимчасово не здійснюють або здійснюють не в повному обсязі свої повноваження), та/або вимушено покинули місце проживання у зв’язку з проведенням антитерористичної операції в таких населених пунктах та взяті у встановленому законодавством порядку на облік у структурних підрозділах з питань соціального захисту населення районних, районних у м. Києві державних адміністрацій, виконавчих органів міських, районних у містах (у разі утворення) рад;</w:t>
      </w:r>
    </w:p>
    <w:p w14:paraId="3144A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69" w:name="n12322"/>
      <w:bookmarkEnd w:id="4469"/>
      <w:r w:rsidRPr="008B264B">
        <w:rPr>
          <w:rFonts w:ascii="Times New Roman" w:eastAsia="Times New Roman" w:hAnsi="Times New Roman" w:cs="Times New Roman"/>
          <w:color w:val="000000"/>
          <w:sz w:val="24"/>
          <w:szCs w:val="24"/>
          <w:lang/>
        </w:rPr>
        <w:t>фізичних осіб, які мешкали на території Автономної Республіки Крим та вимушено покинули місце проживання у зв’язку з тимчасовою окупацією території України, визначеної </w:t>
      </w:r>
      <w:hyperlink r:id="rId2438"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забезпечення прав і свобод громадян та правовий режим на тимчасово окупованій території України", та взяті у встановленому законодавством порядку на облік у структурних підрозділах  з питань соціального захисту населення районних, районних у м. Києві державних адміністрацій, виконавчих органів міських, районних у містах (у разі утворення) рад.</w:t>
      </w:r>
    </w:p>
    <w:p w14:paraId="31AC39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0" w:name="n12319"/>
      <w:bookmarkEnd w:id="4470"/>
      <w:r w:rsidRPr="008B264B">
        <w:rPr>
          <w:rFonts w:ascii="Times New Roman" w:eastAsia="Times New Roman" w:hAnsi="Times New Roman" w:cs="Times New Roman"/>
          <w:i/>
          <w:iCs/>
          <w:color w:val="000000"/>
          <w:sz w:val="24"/>
          <w:szCs w:val="24"/>
          <w:lang/>
        </w:rPr>
        <w:t>{Пункт 165.1 статті 165 доповнено підпунктом 165.1.56 згідно із Законом </w:t>
      </w:r>
      <w:hyperlink r:id="rId2439" w:anchor="n5"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w:t>
      </w:r>
    </w:p>
    <w:p w14:paraId="3728B9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1" w:name="n12728"/>
      <w:bookmarkEnd w:id="4471"/>
      <w:r w:rsidRPr="008B264B">
        <w:rPr>
          <w:rFonts w:ascii="Times New Roman" w:eastAsia="Times New Roman" w:hAnsi="Times New Roman" w:cs="Times New Roman"/>
          <w:color w:val="000000"/>
          <w:sz w:val="24"/>
          <w:szCs w:val="24"/>
          <w:lang/>
        </w:rPr>
        <w:t>165.1.57. сума коштів, яка надається платнику податку міжнародною фінансовою організацією в межах своєї офіційної діяльності в Україні у зв’язку із здійсненням заходів щодо енергоефективності та енергозбереження в рамках реалізації в Україні проектів міжнародної фінансової організації (як безпосередньо, так і через уповноважені банки або іншим способом, передбаченим відповідним проектом такої міжнародної фінансової організації);</w:t>
      </w:r>
    </w:p>
    <w:p w14:paraId="306CD6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2" w:name="n12732"/>
      <w:bookmarkEnd w:id="4472"/>
      <w:r w:rsidRPr="008B264B">
        <w:rPr>
          <w:rFonts w:ascii="Times New Roman" w:eastAsia="Times New Roman" w:hAnsi="Times New Roman" w:cs="Times New Roman"/>
          <w:i/>
          <w:iCs/>
          <w:color w:val="000000"/>
          <w:sz w:val="24"/>
          <w:szCs w:val="24"/>
          <w:lang/>
        </w:rPr>
        <w:t>{Пункт 165.1 статті 165 доповнено підпунктом 165.1.57 згідно із Законом </w:t>
      </w:r>
      <w:hyperlink r:id="rId2440" w:anchor="n13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A745F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3" w:name="n12729"/>
      <w:bookmarkEnd w:id="4473"/>
      <w:r w:rsidRPr="008B264B">
        <w:rPr>
          <w:rFonts w:ascii="Times New Roman" w:eastAsia="Times New Roman" w:hAnsi="Times New Roman" w:cs="Times New Roman"/>
          <w:color w:val="000000"/>
          <w:sz w:val="24"/>
          <w:szCs w:val="24"/>
          <w:lang/>
        </w:rPr>
        <w:t>165.1.58. сума коштів, яка надається у порядку, встановленому Кабінетом Міністрів України, платнику податку іншою, ніж зазначена у підпункті 165.1.57. цього пункту, фінансовою організацією чи фондом, що займається фінансуванням програм розвитку, у зв’язку із здійсненням заходів щодо енергоефективності та енергозбереження в рамках реалізації в Україні проектів такої організації чи фонду (як безпосередньо, так і через уповноважені банки або іншим способом, передбаченим відповідним проектом такої організації чи фонду);</w:t>
      </w:r>
    </w:p>
    <w:p w14:paraId="3D75E6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4" w:name="n12731"/>
      <w:bookmarkEnd w:id="4474"/>
      <w:r w:rsidRPr="008B264B">
        <w:rPr>
          <w:rFonts w:ascii="Times New Roman" w:eastAsia="Times New Roman" w:hAnsi="Times New Roman" w:cs="Times New Roman"/>
          <w:i/>
          <w:iCs/>
          <w:color w:val="000000"/>
          <w:sz w:val="24"/>
          <w:szCs w:val="24"/>
          <w:lang/>
        </w:rPr>
        <w:t>{Пункт 165.1 статті 165 доповнено підпунктом 165.1.58 згідно із Законом </w:t>
      </w:r>
      <w:hyperlink r:id="rId2441" w:anchor="n13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F0FD9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5" w:name="n12730"/>
      <w:bookmarkEnd w:id="4475"/>
      <w:r w:rsidRPr="008B264B">
        <w:rPr>
          <w:rFonts w:ascii="Times New Roman" w:eastAsia="Times New Roman" w:hAnsi="Times New Roman" w:cs="Times New Roman"/>
          <w:color w:val="000000"/>
          <w:sz w:val="24"/>
          <w:szCs w:val="24"/>
          <w:lang/>
        </w:rPr>
        <w:t>165.1.59. сума, прощена (анульована) кредитором у порядку, передбаченому законом щодо реструктуризації зобов’язань громадян України за кредитами в іноземній валюті, що отримані на придбання єдиного житла (іпотечні кредити).</w:t>
      </w:r>
    </w:p>
    <w:p w14:paraId="4E20AD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6" w:name="n12727"/>
      <w:bookmarkEnd w:id="4476"/>
      <w:r w:rsidRPr="008B264B">
        <w:rPr>
          <w:rFonts w:ascii="Times New Roman" w:eastAsia="Times New Roman" w:hAnsi="Times New Roman" w:cs="Times New Roman"/>
          <w:i/>
          <w:iCs/>
          <w:color w:val="000000"/>
          <w:sz w:val="24"/>
          <w:szCs w:val="24"/>
          <w:lang/>
        </w:rPr>
        <w:lastRenderedPageBreak/>
        <w:t>{Пункт 165.1 статті 165 доповнено підпунктом 165.1.59 згідно із Законом </w:t>
      </w:r>
      <w:hyperlink r:id="rId2442" w:anchor="n13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6B2CD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7" w:name="n3814"/>
      <w:bookmarkEnd w:id="4477"/>
      <w:r w:rsidRPr="008B264B">
        <w:rPr>
          <w:rFonts w:ascii="Times New Roman" w:eastAsia="Times New Roman" w:hAnsi="Times New Roman" w:cs="Times New Roman"/>
          <w:b/>
          <w:bCs/>
          <w:color w:val="000000"/>
          <w:sz w:val="24"/>
          <w:szCs w:val="24"/>
          <w:lang/>
        </w:rPr>
        <w:t>Стаття 166.</w:t>
      </w:r>
      <w:r w:rsidRPr="008B264B">
        <w:rPr>
          <w:rFonts w:ascii="Times New Roman" w:eastAsia="Times New Roman" w:hAnsi="Times New Roman" w:cs="Times New Roman"/>
          <w:color w:val="000000"/>
          <w:sz w:val="24"/>
          <w:szCs w:val="24"/>
          <w:lang/>
        </w:rPr>
        <w:t> Податкова знижка</w:t>
      </w:r>
    </w:p>
    <w:p w14:paraId="24915E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8" w:name="n3815"/>
      <w:bookmarkEnd w:id="4478"/>
      <w:r w:rsidRPr="008B264B">
        <w:rPr>
          <w:rFonts w:ascii="Times New Roman" w:eastAsia="Times New Roman" w:hAnsi="Times New Roman" w:cs="Times New Roman"/>
          <w:color w:val="000000"/>
          <w:sz w:val="24"/>
          <w:szCs w:val="24"/>
          <w:lang/>
        </w:rPr>
        <w:t>166.1. Право платника податку на податкову знижку.</w:t>
      </w:r>
    </w:p>
    <w:p w14:paraId="77EBB0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79" w:name="n3816"/>
      <w:bookmarkEnd w:id="4479"/>
      <w:r w:rsidRPr="008B264B">
        <w:rPr>
          <w:rFonts w:ascii="Times New Roman" w:eastAsia="Times New Roman" w:hAnsi="Times New Roman" w:cs="Times New Roman"/>
          <w:color w:val="000000"/>
          <w:sz w:val="24"/>
          <w:szCs w:val="24"/>
          <w:lang/>
        </w:rPr>
        <w:t>166.1.1. Платник податку має право на податкову знижку за наслідками звітного податкового року;</w:t>
      </w:r>
    </w:p>
    <w:p w14:paraId="27D3A2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0" w:name="n3817"/>
      <w:bookmarkEnd w:id="4480"/>
      <w:r w:rsidRPr="008B264B">
        <w:rPr>
          <w:rFonts w:ascii="Times New Roman" w:eastAsia="Times New Roman" w:hAnsi="Times New Roman" w:cs="Times New Roman"/>
          <w:color w:val="000000"/>
          <w:sz w:val="24"/>
          <w:szCs w:val="24"/>
          <w:lang/>
        </w:rPr>
        <w:t>166.1.2. підстави для нарахування податкової знижки із зазначенням конкретних сум відображаються платником податку у річній податковій декларації, яка подається по 31 грудня включно наступного за звітним податкового року.</w:t>
      </w:r>
    </w:p>
    <w:p w14:paraId="7D05E4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1" w:name="n3818"/>
      <w:bookmarkEnd w:id="4481"/>
      <w:r w:rsidRPr="008B264B">
        <w:rPr>
          <w:rFonts w:ascii="Times New Roman" w:eastAsia="Times New Roman" w:hAnsi="Times New Roman" w:cs="Times New Roman"/>
          <w:i/>
          <w:iCs/>
          <w:color w:val="000000"/>
          <w:sz w:val="24"/>
          <w:szCs w:val="24"/>
          <w:lang/>
        </w:rPr>
        <w:t>{Підпункт 166.1.2 пункту 166.1 статті 166 із змінами, внесеними згідно із Законом </w:t>
      </w:r>
      <w:hyperlink r:id="rId2443" w:anchor="n8"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661040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2" w:name="n3819"/>
      <w:bookmarkEnd w:id="4482"/>
      <w:r w:rsidRPr="008B264B">
        <w:rPr>
          <w:rFonts w:ascii="Times New Roman" w:eastAsia="Times New Roman" w:hAnsi="Times New Roman" w:cs="Times New Roman"/>
          <w:color w:val="000000"/>
          <w:sz w:val="24"/>
          <w:szCs w:val="24"/>
          <w:lang/>
        </w:rPr>
        <w:t>166.2. Документальне підтвердження витрат, що включаються до податкової знижки.</w:t>
      </w:r>
    </w:p>
    <w:p w14:paraId="1896F0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3" w:name="n3820"/>
      <w:bookmarkEnd w:id="4483"/>
      <w:r w:rsidRPr="008B264B">
        <w:rPr>
          <w:rFonts w:ascii="Times New Roman" w:eastAsia="Times New Roman" w:hAnsi="Times New Roman" w:cs="Times New Roman"/>
          <w:color w:val="000000"/>
          <w:sz w:val="24"/>
          <w:szCs w:val="24"/>
          <w:lang/>
        </w:rPr>
        <w:t>166.2.1. До податкової знижки включаються фактично здійснені протягом звітного податкового року платником податку витрати, підтверджені відповідними платіжними та розрахунковими документами, зокрема квитанціями, фіскальними або товарними чеками, прибутковими касовими ордерами, копіями договорів, що ідентифікують продавця товарів (робіт, послуг) і їх покупця (отримувача). У зазначених документах обов'язково повинно бути відображено вартість таких товарів (робіт, послуг) і строк їх продажу (виконання, надання);</w:t>
      </w:r>
    </w:p>
    <w:p w14:paraId="7185FD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4" w:name="n3821"/>
      <w:bookmarkEnd w:id="4484"/>
      <w:r w:rsidRPr="008B264B">
        <w:rPr>
          <w:rFonts w:ascii="Times New Roman" w:eastAsia="Times New Roman" w:hAnsi="Times New Roman" w:cs="Times New Roman"/>
          <w:color w:val="000000"/>
          <w:sz w:val="24"/>
          <w:szCs w:val="24"/>
          <w:lang/>
        </w:rPr>
        <w:t>166.2.2. оригінали зазначених у підпункті 166.2.1 цього пункту документів не надсилаються контролюючому органу, але підлягають зберіганню платником податку протягом строку давності, встановленого цим Кодексом.</w:t>
      </w:r>
    </w:p>
    <w:p w14:paraId="3C6A1B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5" w:name="n3822"/>
      <w:bookmarkEnd w:id="4485"/>
      <w:r w:rsidRPr="008B264B">
        <w:rPr>
          <w:rFonts w:ascii="Times New Roman" w:eastAsia="Times New Roman" w:hAnsi="Times New Roman" w:cs="Times New Roman"/>
          <w:color w:val="000000"/>
          <w:sz w:val="24"/>
          <w:szCs w:val="24"/>
          <w:lang/>
        </w:rPr>
        <w:t>166.3. Перелік витрат, дозволених до включення до податкової знижки.</w:t>
      </w:r>
    </w:p>
    <w:p w14:paraId="4DBFFA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6" w:name="n3823"/>
      <w:bookmarkEnd w:id="4486"/>
      <w:r w:rsidRPr="008B264B">
        <w:rPr>
          <w:rFonts w:ascii="Times New Roman" w:eastAsia="Times New Roman" w:hAnsi="Times New Roman" w:cs="Times New Roman"/>
          <w:color w:val="000000"/>
          <w:sz w:val="24"/>
          <w:szCs w:val="24"/>
          <w:lang/>
        </w:rPr>
        <w:t>Платник податку має право включити до податкової знижки у зменшення оподатковуваного доходу платника податку за наслідками звітного податкового року, визначеного з урахуванням положень </w:t>
      </w:r>
      <w:hyperlink r:id="rId2444" w:anchor="n3691" w:history="1">
        <w:r w:rsidRPr="008B264B">
          <w:rPr>
            <w:rFonts w:ascii="Times New Roman" w:eastAsia="Times New Roman" w:hAnsi="Times New Roman" w:cs="Times New Roman"/>
            <w:color w:val="0000FF"/>
            <w:sz w:val="24"/>
            <w:szCs w:val="24"/>
            <w:u w:val="single"/>
            <w:lang/>
          </w:rPr>
          <w:t>пункту 164.6</w:t>
        </w:r>
      </w:hyperlink>
      <w:r w:rsidRPr="008B264B">
        <w:rPr>
          <w:rFonts w:ascii="Times New Roman" w:eastAsia="Times New Roman" w:hAnsi="Times New Roman" w:cs="Times New Roman"/>
          <w:color w:val="000000"/>
          <w:sz w:val="24"/>
          <w:szCs w:val="24"/>
          <w:lang/>
        </w:rPr>
        <w:t> статті 164 цього Кодексу, такі фактично здійснені ним протягом звітного податкового року витрати:</w:t>
      </w:r>
    </w:p>
    <w:p w14:paraId="590AE7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7" w:name="n3824"/>
      <w:bookmarkEnd w:id="4487"/>
      <w:r w:rsidRPr="008B264B">
        <w:rPr>
          <w:rFonts w:ascii="Times New Roman" w:eastAsia="Times New Roman" w:hAnsi="Times New Roman" w:cs="Times New Roman"/>
          <w:color w:val="000000"/>
          <w:sz w:val="24"/>
          <w:szCs w:val="24"/>
          <w:lang/>
        </w:rPr>
        <w:t>166.3.1. частину суми процентів, сплачених таким платником податку за користування іпотечним житловим кредитом, що визначається відповідно до </w:t>
      </w:r>
      <w:hyperlink r:id="rId2445" w:anchor="n4242" w:history="1">
        <w:r w:rsidRPr="008B264B">
          <w:rPr>
            <w:rFonts w:ascii="Times New Roman" w:eastAsia="Times New Roman" w:hAnsi="Times New Roman" w:cs="Times New Roman"/>
            <w:color w:val="0000FF"/>
            <w:sz w:val="24"/>
            <w:szCs w:val="24"/>
            <w:u w:val="single"/>
            <w:lang/>
          </w:rPr>
          <w:t>статті 175</w:t>
        </w:r>
      </w:hyperlink>
      <w:r w:rsidRPr="008B264B">
        <w:rPr>
          <w:rFonts w:ascii="Times New Roman" w:eastAsia="Times New Roman" w:hAnsi="Times New Roman" w:cs="Times New Roman"/>
          <w:color w:val="000000"/>
          <w:sz w:val="24"/>
          <w:szCs w:val="24"/>
          <w:lang/>
        </w:rPr>
        <w:t> цього Кодексу;</w:t>
      </w:r>
    </w:p>
    <w:p w14:paraId="125D7F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8" w:name="n3825"/>
      <w:bookmarkEnd w:id="4488"/>
      <w:r w:rsidRPr="008B264B">
        <w:rPr>
          <w:rFonts w:ascii="Times New Roman" w:eastAsia="Times New Roman" w:hAnsi="Times New Roman" w:cs="Times New Roman"/>
          <w:color w:val="000000"/>
          <w:sz w:val="24"/>
          <w:szCs w:val="24"/>
          <w:lang/>
        </w:rPr>
        <w:t>166.3.2. суму коштів або вартість майна, перерахованих (переданих) платником податку у вигляді пожертвувань або благодійних внесків неприбутковим організаціям, які на дату перерахування (передачі) таких коштів та майна відповідали умовам, визначеним пунктом 133.4 статті 133 цього Кодексу, у розмірі, що не перевищує 4 відсотків суми його загального оподатковуваного доходу такого звітного року;</w:t>
      </w:r>
    </w:p>
    <w:p w14:paraId="27E35E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89" w:name="n12563"/>
      <w:bookmarkEnd w:id="4489"/>
      <w:r w:rsidRPr="008B264B">
        <w:rPr>
          <w:rFonts w:ascii="Times New Roman" w:eastAsia="Times New Roman" w:hAnsi="Times New Roman" w:cs="Times New Roman"/>
          <w:i/>
          <w:iCs/>
          <w:color w:val="000000"/>
          <w:sz w:val="24"/>
          <w:szCs w:val="24"/>
          <w:lang/>
        </w:rPr>
        <w:t>{Підпункт 166.3.2 пункту 166.3 статті 166 в редакції Закону </w:t>
      </w:r>
      <w:hyperlink r:id="rId2446" w:anchor="n53"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58AEEB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0" w:name="n3826"/>
      <w:bookmarkEnd w:id="4490"/>
      <w:r w:rsidRPr="008B264B">
        <w:rPr>
          <w:rFonts w:ascii="Times New Roman" w:eastAsia="Times New Roman" w:hAnsi="Times New Roman" w:cs="Times New Roman"/>
          <w:color w:val="000000"/>
          <w:sz w:val="24"/>
          <w:szCs w:val="24"/>
          <w:lang/>
        </w:rPr>
        <w:t>166.3.3. суму коштів, сплачених платником податку на користь вітчизняних закладів дошкільної, позашкільної, загальної середньої, професійної (професійно-технічної) та вищої освіти для компенсації вартості здобуття відповідної освіти такого платника податку та/або члена його сім’ї першого ступеня споріднення;</w:t>
      </w:r>
    </w:p>
    <w:p w14:paraId="499B50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1" w:name="n14129"/>
      <w:bookmarkEnd w:id="4491"/>
      <w:r w:rsidRPr="008B264B">
        <w:rPr>
          <w:rFonts w:ascii="Times New Roman" w:eastAsia="Times New Roman" w:hAnsi="Times New Roman" w:cs="Times New Roman"/>
          <w:i/>
          <w:iCs/>
          <w:color w:val="000000"/>
          <w:sz w:val="24"/>
          <w:szCs w:val="24"/>
          <w:lang/>
        </w:rPr>
        <w:t>{Підпункт 166.3.3 пункту 166.3 статті 166 в редакції Законів </w:t>
      </w:r>
      <w:hyperlink r:id="rId2447" w:anchor="n9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448" w:anchor="n7" w:tgtFrame="_blank" w:history="1">
        <w:r w:rsidRPr="008B264B">
          <w:rPr>
            <w:rFonts w:ascii="Times New Roman" w:eastAsia="Times New Roman" w:hAnsi="Times New Roman" w:cs="Times New Roman"/>
            <w:i/>
            <w:iCs/>
            <w:color w:val="0000FF"/>
            <w:sz w:val="24"/>
            <w:szCs w:val="24"/>
            <w:u w:val="single"/>
            <w:lang/>
          </w:rPr>
          <w:t>№ 2477-VIII від 03.07.2018</w:t>
        </w:r>
      </w:hyperlink>
      <w:r w:rsidRPr="008B264B">
        <w:rPr>
          <w:rFonts w:ascii="Times New Roman" w:eastAsia="Times New Roman" w:hAnsi="Times New Roman" w:cs="Times New Roman"/>
          <w:i/>
          <w:iCs/>
          <w:color w:val="000000"/>
          <w:sz w:val="24"/>
          <w:szCs w:val="24"/>
          <w:lang/>
        </w:rPr>
        <w:t>}</w:t>
      </w:r>
    </w:p>
    <w:p w14:paraId="6664A4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2" w:name="n3827"/>
      <w:bookmarkEnd w:id="4492"/>
      <w:r w:rsidRPr="008B264B">
        <w:rPr>
          <w:rFonts w:ascii="Times New Roman" w:eastAsia="Times New Roman" w:hAnsi="Times New Roman" w:cs="Times New Roman"/>
          <w:color w:val="000000"/>
          <w:sz w:val="24"/>
          <w:szCs w:val="24"/>
          <w:lang/>
        </w:rPr>
        <w:t xml:space="preserve">166.3.4. суму коштів, сплачених платником податку на користь закладів охорони здоров'я для компенсації вартості платних послуг з лікування такого платника податку або члена його сім'ї першого ступеня споріднення, у тому числі для придбання ліків (донорських компонентів, протезно-ортопедичних пристосувань, виробів медичного призначення для індивідуального користування осіб з інвалідністю), а також суму коштів, сплачених платником податку, визнаного в установленому порядку особою з інвалідністю, на користь протезно-ортопедичних </w:t>
      </w:r>
      <w:r w:rsidRPr="008B264B">
        <w:rPr>
          <w:rFonts w:ascii="Times New Roman" w:eastAsia="Times New Roman" w:hAnsi="Times New Roman" w:cs="Times New Roman"/>
          <w:color w:val="000000"/>
          <w:sz w:val="24"/>
          <w:szCs w:val="24"/>
          <w:lang/>
        </w:rPr>
        <w:lastRenderedPageBreak/>
        <w:t>підприємств, реабілітаційних установ для компенсації вартості платних послуг з реабілітації, технічних та інших засобів реабілітації, наданих такому платнику податку або його дитині з інвалідністю у розмірах, що не перекриваються виплатами з фондів загальнообов'язкового державного соціального медичного страхування, крім:</w:t>
      </w:r>
    </w:p>
    <w:p w14:paraId="3DF6F0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3" w:name="n3828"/>
      <w:bookmarkEnd w:id="4493"/>
      <w:r w:rsidRPr="008B264B">
        <w:rPr>
          <w:rFonts w:ascii="Times New Roman" w:eastAsia="Times New Roman" w:hAnsi="Times New Roman" w:cs="Times New Roman"/>
          <w:color w:val="000000"/>
          <w:sz w:val="24"/>
          <w:szCs w:val="24"/>
          <w:lang/>
        </w:rPr>
        <w:t>а) косметичного лікування або косметичної хірургії, включаючи косметичне протезування, не пов'язаних з медичними показаннями, водолікування та геліотерапії, не пов'язаних з лікуванням хронічних захворювань;</w:t>
      </w:r>
    </w:p>
    <w:p w14:paraId="45866C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4" w:name="n3829"/>
      <w:bookmarkEnd w:id="4494"/>
      <w:r w:rsidRPr="008B264B">
        <w:rPr>
          <w:rFonts w:ascii="Times New Roman" w:eastAsia="Times New Roman" w:hAnsi="Times New Roman" w:cs="Times New Roman"/>
          <w:color w:val="000000"/>
          <w:sz w:val="24"/>
          <w:szCs w:val="24"/>
          <w:lang/>
        </w:rPr>
        <w:t>б) протезування зубів з використанням дорогоцінних металів, порцеляни та гальванопластики;</w:t>
      </w:r>
    </w:p>
    <w:p w14:paraId="5107C1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5" w:name="n3830"/>
      <w:bookmarkEnd w:id="4495"/>
      <w:r w:rsidRPr="008B264B">
        <w:rPr>
          <w:rFonts w:ascii="Times New Roman" w:eastAsia="Times New Roman" w:hAnsi="Times New Roman" w:cs="Times New Roman"/>
          <w:color w:val="000000"/>
          <w:sz w:val="24"/>
          <w:szCs w:val="24"/>
          <w:lang/>
        </w:rPr>
        <w:t>в) абортів (крім абортів, які проводяться за медичними показаннями або коли вагітність стала наслідком зґвалтування);</w:t>
      </w:r>
    </w:p>
    <w:p w14:paraId="318D55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6" w:name="n3831"/>
      <w:bookmarkEnd w:id="4496"/>
      <w:r w:rsidRPr="008B264B">
        <w:rPr>
          <w:rFonts w:ascii="Times New Roman" w:eastAsia="Times New Roman" w:hAnsi="Times New Roman" w:cs="Times New Roman"/>
          <w:color w:val="000000"/>
          <w:sz w:val="24"/>
          <w:szCs w:val="24"/>
          <w:lang/>
        </w:rPr>
        <w:t>г) операцій із зміни статі;</w:t>
      </w:r>
    </w:p>
    <w:p w14:paraId="16083C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7" w:name="n3832"/>
      <w:bookmarkEnd w:id="4497"/>
      <w:r w:rsidRPr="008B264B">
        <w:rPr>
          <w:rFonts w:ascii="Times New Roman" w:eastAsia="Times New Roman" w:hAnsi="Times New Roman" w:cs="Times New Roman"/>
          <w:color w:val="000000"/>
          <w:sz w:val="24"/>
          <w:szCs w:val="24"/>
          <w:lang/>
        </w:rPr>
        <w:t>ґ) лікування венеричних захворювань (крім СНІДу та венеричних захворювань, причиною яких є побутове зараження або зґвалтування);</w:t>
      </w:r>
    </w:p>
    <w:p w14:paraId="54FEBB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8" w:name="n3833"/>
      <w:bookmarkEnd w:id="4498"/>
      <w:r w:rsidRPr="008B264B">
        <w:rPr>
          <w:rFonts w:ascii="Times New Roman" w:eastAsia="Times New Roman" w:hAnsi="Times New Roman" w:cs="Times New Roman"/>
          <w:color w:val="000000"/>
          <w:sz w:val="24"/>
          <w:szCs w:val="24"/>
          <w:lang/>
        </w:rPr>
        <w:t>д) лікування тютюнової чи алкогольної залежності;</w:t>
      </w:r>
    </w:p>
    <w:p w14:paraId="4B59D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499" w:name="n3834"/>
      <w:bookmarkEnd w:id="4499"/>
      <w:r w:rsidRPr="008B264B">
        <w:rPr>
          <w:rFonts w:ascii="Times New Roman" w:eastAsia="Times New Roman" w:hAnsi="Times New Roman" w:cs="Times New Roman"/>
          <w:color w:val="000000"/>
          <w:sz w:val="24"/>
          <w:szCs w:val="24"/>
          <w:lang/>
        </w:rPr>
        <w:t>е) придбання ліків, медичних засобів та пристосувань, оплати вартості медичних послуг, які не включено до переліку життєво необхідних, затвердженого Кабінетом Міністрів України;</w:t>
      </w:r>
    </w:p>
    <w:p w14:paraId="51F130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0" w:name="n3835"/>
      <w:bookmarkEnd w:id="4500"/>
      <w:r w:rsidRPr="008B264B">
        <w:rPr>
          <w:rFonts w:ascii="Times New Roman" w:eastAsia="Times New Roman" w:hAnsi="Times New Roman" w:cs="Times New Roman"/>
          <w:color w:val="000000"/>
          <w:sz w:val="24"/>
          <w:szCs w:val="24"/>
          <w:lang/>
        </w:rPr>
        <w:t>166.3.5. суму витрат платника податку на сплату страхових платежів (страхових внесків, страхових премій) та пенсійних внесків, сплачених платником податку страховику-резиденту, недержавному пенсійному фонду, банківській установі за договорами довгострокового страхування життя, недержавного пенсійного забезпечення, за пенсійним контрактом з недержавним пенсійним фондом, а також внесків на банківський пенсійний депозитний рахунок, на пенсійні вклади та рахунки учасників фондів банківського управління як такого платника податку, так і членів його сім'ї першого ступеня споріднення, які не перевищують (у розрахунку за кожний з повних чи неповних місяців звітного податкового року, протягом яких діяв договір страхування):</w:t>
      </w:r>
    </w:p>
    <w:p w14:paraId="2CCCC3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1" w:name="n3836"/>
      <w:bookmarkEnd w:id="4501"/>
      <w:r w:rsidRPr="008B264B">
        <w:rPr>
          <w:rFonts w:ascii="Times New Roman" w:eastAsia="Times New Roman" w:hAnsi="Times New Roman" w:cs="Times New Roman"/>
          <w:color w:val="000000"/>
          <w:sz w:val="24"/>
          <w:szCs w:val="24"/>
          <w:lang/>
        </w:rPr>
        <w:t>а) при страхуванні платника податку або за пенсійним контрактом з недержавним пенсійним фондом платника податку, або на банківський пенсійний депозитний рахунок, пенсійний вклад, рахунок учасника фонду банківського управління чи за їх сукупністю - суму, визначену в </w:t>
      </w:r>
      <w:hyperlink r:id="rId2449" w:anchor="n3953" w:history="1">
        <w:r w:rsidRPr="008B264B">
          <w:rPr>
            <w:rFonts w:ascii="Times New Roman" w:eastAsia="Times New Roman" w:hAnsi="Times New Roman" w:cs="Times New Roman"/>
            <w:color w:val="0000FF"/>
            <w:sz w:val="24"/>
            <w:szCs w:val="24"/>
            <w:u w:val="single"/>
            <w:lang/>
          </w:rPr>
          <w:t>абзаці першому </w:t>
        </w:r>
      </w:hyperlink>
      <w:hyperlink r:id="rId2450" w:anchor="n3953" w:history="1">
        <w:r w:rsidRPr="008B264B">
          <w:rPr>
            <w:rFonts w:ascii="Times New Roman" w:eastAsia="Times New Roman" w:hAnsi="Times New Roman" w:cs="Times New Roman"/>
            <w:color w:val="0000FF"/>
            <w:sz w:val="24"/>
            <w:szCs w:val="24"/>
            <w:u w:val="single"/>
            <w:lang/>
          </w:rPr>
          <w:t>підпункту 169.4.1</w:t>
        </w:r>
      </w:hyperlink>
      <w:r w:rsidRPr="008B264B">
        <w:rPr>
          <w:rFonts w:ascii="Times New Roman" w:eastAsia="Times New Roman" w:hAnsi="Times New Roman" w:cs="Times New Roman"/>
          <w:color w:val="000000"/>
          <w:sz w:val="24"/>
          <w:szCs w:val="24"/>
          <w:lang/>
        </w:rPr>
        <w:t> пункту 169.4 статті 169 цього Кодексу;</w:t>
      </w:r>
    </w:p>
    <w:p w14:paraId="46712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2" w:name="n3837"/>
      <w:bookmarkEnd w:id="4502"/>
      <w:r w:rsidRPr="008B264B">
        <w:rPr>
          <w:rFonts w:ascii="Times New Roman" w:eastAsia="Times New Roman" w:hAnsi="Times New Roman" w:cs="Times New Roman"/>
          <w:color w:val="000000"/>
          <w:sz w:val="24"/>
          <w:szCs w:val="24"/>
          <w:lang/>
        </w:rPr>
        <w:t>б) при страхуванні члена сім'ї платника податку першого ступеня споріднення або за пенсійним контрактом з недержавним пенсійним фондом, або на банківський пенсійний депозитний рахунок, пенсійний вклад, рахунок учасника фонду банківського управління на користь такого члена сім'ї чи за їх сукупністю - 50 відсотків суми, визначеної в </w:t>
      </w:r>
      <w:hyperlink r:id="rId2451" w:anchor="n3953" w:history="1">
        <w:r w:rsidRPr="008B264B">
          <w:rPr>
            <w:rFonts w:ascii="Times New Roman" w:eastAsia="Times New Roman" w:hAnsi="Times New Roman" w:cs="Times New Roman"/>
            <w:color w:val="0000FF"/>
            <w:sz w:val="24"/>
            <w:szCs w:val="24"/>
            <w:u w:val="single"/>
            <w:lang/>
          </w:rPr>
          <w:t>абзаці першому підпункту 169.4.1 пункту 169.4 статті 169</w:t>
        </w:r>
      </w:hyperlink>
      <w:r w:rsidRPr="008B264B">
        <w:rPr>
          <w:rFonts w:ascii="Times New Roman" w:eastAsia="Times New Roman" w:hAnsi="Times New Roman" w:cs="Times New Roman"/>
          <w:color w:val="000000"/>
          <w:sz w:val="24"/>
          <w:szCs w:val="24"/>
          <w:lang/>
        </w:rPr>
        <w:t> цього Кодексу, в розрахунку на кожного застрахованого члена сім'ї;</w:t>
      </w:r>
    </w:p>
    <w:p w14:paraId="7D5C90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3" w:name="n3838"/>
      <w:bookmarkEnd w:id="4503"/>
      <w:r w:rsidRPr="008B264B">
        <w:rPr>
          <w:rFonts w:ascii="Times New Roman" w:eastAsia="Times New Roman" w:hAnsi="Times New Roman" w:cs="Times New Roman"/>
          <w:color w:val="000000"/>
          <w:sz w:val="24"/>
          <w:szCs w:val="24"/>
          <w:lang/>
        </w:rPr>
        <w:t>166.3.6. суму витрат платника податку на:</w:t>
      </w:r>
    </w:p>
    <w:p w14:paraId="632952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4" w:name="n3839"/>
      <w:bookmarkEnd w:id="4504"/>
      <w:r w:rsidRPr="008B264B">
        <w:rPr>
          <w:rFonts w:ascii="Times New Roman" w:eastAsia="Times New Roman" w:hAnsi="Times New Roman" w:cs="Times New Roman"/>
          <w:color w:val="000000"/>
          <w:sz w:val="24"/>
          <w:szCs w:val="24"/>
          <w:lang/>
        </w:rPr>
        <w:t>оплату допоміжних репродуктивних технологій згідно з умовами, встановленими законодавством, але не більше ніж сума, що дорівнює третині доходу у вигляді заробітної плати за звітний податковий рік;</w:t>
      </w:r>
    </w:p>
    <w:p w14:paraId="435054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5" w:name="n3840"/>
      <w:bookmarkEnd w:id="4505"/>
      <w:r w:rsidRPr="008B264B">
        <w:rPr>
          <w:rFonts w:ascii="Times New Roman" w:eastAsia="Times New Roman" w:hAnsi="Times New Roman" w:cs="Times New Roman"/>
          <w:color w:val="000000"/>
          <w:sz w:val="24"/>
          <w:szCs w:val="24"/>
          <w:lang/>
        </w:rPr>
        <w:t>оплату вартості державних послуг, пов'язаних з усиновленням дитини, включаючи сплату державного мита;</w:t>
      </w:r>
    </w:p>
    <w:p w14:paraId="7BCD0A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6" w:name="n3841"/>
      <w:bookmarkEnd w:id="4506"/>
      <w:r w:rsidRPr="008B264B">
        <w:rPr>
          <w:rFonts w:ascii="Times New Roman" w:eastAsia="Times New Roman" w:hAnsi="Times New Roman" w:cs="Times New Roman"/>
          <w:color w:val="000000"/>
          <w:sz w:val="24"/>
          <w:szCs w:val="24"/>
          <w:lang/>
        </w:rPr>
        <w:t>166.3.7. суму коштів, сплачених платником податку у зв'язку із переобладнанням транспортного засобу, що належить платникові податку, з використанням у вигляді палива моторного сумішевого, біоетанолу, біодизелю, стиснутого або скрапленого газу, інших видів біопалива;</w:t>
      </w:r>
    </w:p>
    <w:p w14:paraId="0417A2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7" w:name="n3842"/>
      <w:bookmarkEnd w:id="4507"/>
      <w:r w:rsidRPr="008B264B">
        <w:rPr>
          <w:rFonts w:ascii="Times New Roman" w:eastAsia="Times New Roman" w:hAnsi="Times New Roman" w:cs="Times New Roman"/>
          <w:color w:val="000000"/>
          <w:sz w:val="24"/>
          <w:szCs w:val="24"/>
          <w:lang/>
        </w:rPr>
        <w:lastRenderedPageBreak/>
        <w:t>166.3.8. суми витрат платника податку на сплату видатків на будівництво (придбання) доступного житла, визначеного законом, у тому числі на погашення пільгового іпотечного житлового кредиту, наданого на такі цілі, та процентів за ним.</w:t>
      </w:r>
    </w:p>
    <w:p w14:paraId="19BFA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8" w:name="n15183"/>
      <w:bookmarkEnd w:id="4508"/>
      <w:r w:rsidRPr="008B264B">
        <w:rPr>
          <w:rFonts w:ascii="Times New Roman" w:eastAsia="Times New Roman" w:hAnsi="Times New Roman" w:cs="Times New Roman"/>
          <w:color w:val="000000"/>
          <w:sz w:val="24"/>
          <w:szCs w:val="24"/>
          <w:lang/>
        </w:rPr>
        <w:t>166.3.9. суму коштів у вигляді орендної плати за договором оренди житла (квартири, будинку), оформленим відповідно до вимог чинного законодавства, фактично сплачених платником податку, який має статус внутрішньо переміщеної особи.</w:t>
      </w:r>
    </w:p>
    <w:p w14:paraId="68239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09" w:name="n15184"/>
      <w:bookmarkEnd w:id="4509"/>
      <w:r w:rsidRPr="008B264B">
        <w:rPr>
          <w:rFonts w:ascii="Times New Roman" w:eastAsia="Times New Roman" w:hAnsi="Times New Roman" w:cs="Times New Roman"/>
          <w:color w:val="000000"/>
          <w:sz w:val="24"/>
          <w:szCs w:val="24"/>
          <w:lang/>
        </w:rPr>
        <w:t>Платник податку має право скористатися зазначеною в цьому підпункті податковою знижкою виключно за умови, що він та/або члени його сім’ї першого ступеня споріднення:</w:t>
      </w:r>
    </w:p>
    <w:p w14:paraId="37D08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0" w:name="n15185"/>
      <w:bookmarkEnd w:id="4510"/>
      <w:r w:rsidRPr="008B264B">
        <w:rPr>
          <w:rFonts w:ascii="Times New Roman" w:eastAsia="Times New Roman" w:hAnsi="Times New Roman" w:cs="Times New Roman"/>
          <w:color w:val="000000"/>
          <w:sz w:val="24"/>
          <w:szCs w:val="24"/>
          <w:lang/>
        </w:rPr>
        <w:t>не мають у власності придатної для проживання житлової нерухомості, розташованої поза межами тимчасово окупованої території України;</w:t>
      </w:r>
    </w:p>
    <w:p w14:paraId="55D9AF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1" w:name="n15186"/>
      <w:bookmarkEnd w:id="4511"/>
      <w:r w:rsidRPr="008B264B">
        <w:rPr>
          <w:rFonts w:ascii="Times New Roman" w:eastAsia="Times New Roman" w:hAnsi="Times New Roman" w:cs="Times New Roman"/>
          <w:color w:val="000000"/>
          <w:sz w:val="24"/>
          <w:szCs w:val="24"/>
          <w:lang/>
        </w:rPr>
        <w:t>не отримують передбачених законодавством України бюджетних виплат для покриття витрат на проживання.</w:t>
      </w:r>
    </w:p>
    <w:p w14:paraId="1B27E6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2" w:name="n15187"/>
      <w:bookmarkEnd w:id="4512"/>
      <w:r w:rsidRPr="008B264B">
        <w:rPr>
          <w:rFonts w:ascii="Times New Roman" w:eastAsia="Times New Roman" w:hAnsi="Times New Roman" w:cs="Times New Roman"/>
          <w:color w:val="000000"/>
          <w:sz w:val="24"/>
          <w:szCs w:val="24"/>
          <w:lang/>
        </w:rPr>
        <w:t>Розмір такої знижки не може перевищувати (у розрахунку на календарний рік) 30 розмірів мінімальної заробітної плати, встановленої на 1 січня звітного (податкового) року.</w:t>
      </w:r>
    </w:p>
    <w:p w14:paraId="64BFFD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3" w:name="n15182"/>
      <w:bookmarkEnd w:id="4513"/>
      <w:r w:rsidRPr="008B264B">
        <w:rPr>
          <w:rFonts w:ascii="Times New Roman" w:eastAsia="Times New Roman" w:hAnsi="Times New Roman" w:cs="Times New Roman"/>
          <w:i/>
          <w:iCs/>
          <w:color w:val="000000"/>
          <w:sz w:val="24"/>
          <w:szCs w:val="24"/>
          <w:lang/>
        </w:rPr>
        <w:t>{Пункт 166.3 статті 166 доповнено підпунктом 166.3.9 згідно із Законом </w:t>
      </w:r>
      <w:hyperlink r:id="rId2452" w:anchor="n228" w:tgtFrame="_blank" w:history="1">
        <w:r w:rsidRPr="008B264B">
          <w:rPr>
            <w:rFonts w:ascii="Times New Roman" w:eastAsia="Times New Roman" w:hAnsi="Times New Roman" w:cs="Times New Roman"/>
            <w:i/>
            <w:iCs/>
            <w:color w:val="0000FF"/>
            <w:sz w:val="24"/>
            <w:szCs w:val="24"/>
            <w:u w:val="single"/>
            <w:lang/>
          </w:rPr>
          <w:t>№ 2530-VIII від 06.09.2018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453" w:anchor="n19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472B4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4" w:name="n3843"/>
      <w:bookmarkEnd w:id="4514"/>
      <w:r w:rsidRPr="008B264B">
        <w:rPr>
          <w:rFonts w:ascii="Times New Roman" w:eastAsia="Times New Roman" w:hAnsi="Times New Roman" w:cs="Times New Roman"/>
          <w:color w:val="000000"/>
          <w:sz w:val="24"/>
          <w:szCs w:val="24"/>
          <w:lang/>
        </w:rPr>
        <w:t>166.4. Обмеження права на нарахування податкової знижки.</w:t>
      </w:r>
    </w:p>
    <w:p w14:paraId="2F8476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5" w:name="n3844"/>
      <w:bookmarkEnd w:id="4515"/>
      <w:r w:rsidRPr="008B264B">
        <w:rPr>
          <w:rFonts w:ascii="Times New Roman" w:eastAsia="Times New Roman" w:hAnsi="Times New Roman" w:cs="Times New Roman"/>
          <w:color w:val="000000"/>
          <w:sz w:val="24"/>
          <w:szCs w:val="24"/>
          <w:lang/>
        </w:rPr>
        <w:t>166.4.1. Податкова знижка може бути надана виключно резиденту, який має реєстраційний номер облікової картки платника податку, а так само резиденту - фізичній особі, яка через свої релігійні переконання відмовилась від прийняття реєстраційного номера облікової картки платника податків та офіційно повідомила про це відповідний контролюючий орган і має про це відмітку у паспорті;</w:t>
      </w:r>
    </w:p>
    <w:p w14:paraId="07B3EC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6" w:name="n3845"/>
      <w:bookmarkEnd w:id="4516"/>
      <w:r w:rsidRPr="008B264B">
        <w:rPr>
          <w:rFonts w:ascii="Times New Roman" w:eastAsia="Times New Roman" w:hAnsi="Times New Roman" w:cs="Times New Roman"/>
          <w:color w:val="000000"/>
          <w:sz w:val="24"/>
          <w:szCs w:val="24"/>
          <w:lang/>
        </w:rPr>
        <w:t>166.4.2. загальна сума податкової знижки, нарахована платнику податку в звітному податковому році, не може перевищувати суми річного загального оподатковуваного доходу платника податку, нарахованого як заробітна плата, зменшена з урахуванням положень </w:t>
      </w:r>
      <w:hyperlink r:id="rId2454" w:anchor="n3696" w:history="1">
        <w:r w:rsidRPr="008B264B">
          <w:rPr>
            <w:rFonts w:ascii="Times New Roman" w:eastAsia="Times New Roman" w:hAnsi="Times New Roman" w:cs="Times New Roman"/>
            <w:color w:val="0000FF"/>
            <w:sz w:val="24"/>
            <w:szCs w:val="24"/>
            <w:u w:val="single"/>
            <w:lang/>
          </w:rPr>
          <w:t>пункту 164.6</w:t>
        </w:r>
      </w:hyperlink>
      <w:r w:rsidRPr="008B264B">
        <w:rPr>
          <w:rFonts w:ascii="Times New Roman" w:eastAsia="Times New Roman" w:hAnsi="Times New Roman" w:cs="Times New Roman"/>
          <w:color w:val="000000"/>
          <w:sz w:val="24"/>
          <w:szCs w:val="24"/>
          <w:lang/>
        </w:rPr>
        <w:t> статті 164 цього Кодексу;</w:t>
      </w:r>
    </w:p>
    <w:p w14:paraId="1C8702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7" w:name="n3846"/>
      <w:bookmarkEnd w:id="4517"/>
      <w:r w:rsidRPr="008B264B">
        <w:rPr>
          <w:rFonts w:ascii="Times New Roman" w:eastAsia="Times New Roman" w:hAnsi="Times New Roman" w:cs="Times New Roman"/>
          <w:color w:val="000000"/>
          <w:sz w:val="24"/>
          <w:szCs w:val="24"/>
          <w:lang/>
        </w:rPr>
        <w:t>166.4.3. якщо платник податку до кінця податкового року, наступного за звітним не скористався правом на нарахування податкової знижки за наслідками звітного податкового року, таке право на наступні податкові роки не переноситься.</w:t>
      </w:r>
    </w:p>
    <w:p w14:paraId="027290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8" w:name="n3847"/>
      <w:bookmarkEnd w:id="4518"/>
      <w:r w:rsidRPr="008B264B">
        <w:rPr>
          <w:rFonts w:ascii="Times New Roman" w:eastAsia="Times New Roman" w:hAnsi="Times New Roman" w:cs="Times New Roman"/>
          <w:i/>
          <w:iCs/>
          <w:color w:val="000000"/>
          <w:sz w:val="24"/>
          <w:szCs w:val="24"/>
          <w:lang/>
        </w:rPr>
        <w:t>{Підпункт 166.4.3 пункту 166.4 статті 166 із змінами, внесеними згідно із Законом </w:t>
      </w:r>
      <w:hyperlink r:id="rId245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01ECC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19" w:name="n3848"/>
      <w:bookmarkEnd w:id="4519"/>
      <w:r w:rsidRPr="008B264B">
        <w:rPr>
          <w:rFonts w:ascii="Times New Roman" w:eastAsia="Times New Roman" w:hAnsi="Times New Roman" w:cs="Times New Roman"/>
          <w:color w:val="000000"/>
          <w:sz w:val="24"/>
          <w:szCs w:val="24"/>
          <w:lang/>
        </w:rPr>
        <w:t>166.5. Центральний орган виконавчої влади, що реалізує державну податкову і митну політику, провадить безоплатні роз'яснення порядку документального підтвердження прав на податкову знижку та подання податкової декларації, у тому числі шляхом проведення відповідних навчань, семінарів тощо, забезпечує безоплатне надання бланків податкових декларацій з цього податку, інших розрахунків, передбачених цим розділом, контролюючими органами за першим запитом платника цього податку.</w:t>
      </w:r>
    </w:p>
    <w:p w14:paraId="389A2A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0" w:name="n3849"/>
      <w:bookmarkEnd w:id="4520"/>
      <w:r w:rsidRPr="008B264B">
        <w:rPr>
          <w:rFonts w:ascii="Times New Roman" w:eastAsia="Times New Roman" w:hAnsi="Times New Roman" w:cs="Times New Roman"/>
          <w:i/>
          <w:iCs/>
          <w:color w:val="000000"/>
          <w:sz w:val="24"/>
          <w:szCs w:val="24"/>
          <w:lang/>
        </w:rPr>
        <w:t>{Пункт 166.5 статті 166 із змінами, внесеними згідно з Законами </w:t>
      </w:r>
      <w:hyperlink r:id="rId2456" w:anchor="n1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2457"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D64C7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1" w:name="n3850"/>
      <w:bookmarkEnd w:id="4521"/>
      <w:r w:rsidRPr="008B264B">
        <w:rPr>
          <w:rFonts w:ascii="Times New Roman" w:eastAsia="Times New Roman" w:hAnsi="Times New Roman" w:cs="Times New Roman"/>
          <w:b/>
          <w:bCs/>
          <w:color w:val="000000"/>
          <w:sz w:val="24"/>
          <w:szCs w:val="24"/>
          <w:lang/>
        </w:rPr>
        <w:t>Стаття 167.</w:t>
      </w:r>
      <w:r w:rsidRPr="008B264B">
        <w:rPr>
          <w:rFonts w:ascii="Times New Roman" w:eastAsia="Times New Roman" w:hAnsi="Times New Roman" w:cs="Times New Roman"/>
          <w:color w:val="000000"/>
          <w:sz w:val="24"/>
          <w:szCs w:val="24"/>
          <w:lang/>
        </w:rPr>
        <w:t> Ставки податку</w:t>
      </w:r>
    </w:p>
    <w:p w14:paraId="6E4A19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2" w:name="n3851"/>
      <w:bookmarkEnd w:id="4522"/>
      <w:r w:rsidRPr="008B264B">
        <w:rPr>
          <w:rFonts w:ascii="Times New Roman" w:eastAsia="Times New Roman" w:hAnsi="Times New Roman" w:cs="Times New Roman"/>
          <w:color w:val="000000"/>
          <w:sz w:val="24"/>
          <w:szCs w:val="24"/>
          <w:lang/>
        </w:rPr>
        <w:t>167.1. Ставка податку становить 18 відсотків бази оподаткування щодо доходів, нарахованих (виплачених, наданих) (крім випадків, визначених у пунктах 167.2-167.5 цієї статті) у тому числі, але не виключно у формі: заробітної плати, інших заохочувальних та компенсаційних виплат або інших виплат і винагород, які нараховуються (виплачуються, надаються) платнику у зв’язку з трудовими відносинами та за цивільно-правовими договорами.</w:t>
      </w:r>
    </w:p>
    <w:p w14:paraId="2BBFBE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3" w:name="n9864"/>
      <w:bookmarkEnd w:id="4523"/>
      <w:r w:rsidRPr="008B264B">
        <w:rPr>
          <w:rFonts w:ascii="Times New Roman" w:eastAsia="Times New Roman" w:hAnsi="Times New Roman" w:cs="Times New Roman"/>
          <w:i/>
          <w:iCs/>
          <w:color w:val="000000"/>
          <w:sz w:val="24"/>
          <w:szCs w:val="24"/>
          <w:lang/>
        </w:rPr>
        <w:lastRenderedPageBreak/>
        <w:t>{Пункт 167.1 статті 167 із змінами, внесеними згідно із Законами </w:t>
      </w:r>
      <w:hyperlink r:id="rId245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459" w:anchor="n9"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 </w:t>
      </w:r>
      <w:hyperlink r:id="rId2460" w:anchor="n21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461" w:anchor="n29"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462"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 із змінами, внесеними згідно із Закону </w:t>
      </w:r>
      <w:hyperlink r:id="rId2463" w:anchor="n11"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 в редакції Законів </w:t>
      </w:r>
      <w:hyperlink r:id="rId2464" w:anchor="n5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465" w:anchor="n13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605A1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4" w:name="n3858"/>
      <w:bookmarkEnd w:id="4524"/>
      <w:r w:rsidRPr="008B264B">
        <w:rPr>
          <w:rFonts w:ascii="Times New Roman" w:eastAsia="Times New Roman" w:hAnsi="Times New Roman" w:cs="Times New Roman"/>
          <w:color w:val="000000"/>
          <w:sz w:val="24"/>
          <w:szCs w:val="24"/>
          <w:lang/>
        </w:rPr>
        <w:t>167.2. Ставка податку становить 5 відсотків бази оподаткування у випадках, прямо визначених цим розділом</w:t>
      </w:r>
    </w:p>
    <w:p w14:paraId="510D6A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5" w:name="n10018"/>
      <w:bookmarkEnd w:id="4525"/>
      <w:r w:rsidRPr="008B264B">
        <w:rPr>
          <w:rFonts w:ascii="Times New Roman" w:eastAsia="Times New Roman" w:hAnsi="Times New Roman" w:cs="Times New Roman"/>
          <w:i/>
          <w:iCs/>
          <w:color w:val="000000"/>
          <w:sz w:val="24"/>
          <w:szCs w:val="24"/>
          <w:lang/>
        </w:rPr>
        <w:t>{Пункт 167.2 статті 167 із змінами, внесеними згідно із Законами </w:t>
      </w:r>
      <w:hyperlink r:id="rId246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467" w:anchor="n17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2468" w:anchor="n35"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2469" w:anchor="n23"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0AC5E1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6" w:name="n3871"/>
      <w:bookmarkEnd w:id="4526"/>
      <w:r w:rsidRPr="008B264B">
        <w:rPr>
          <w:rFonts w:ascii="Times New Roman" w:eastAsia="Times New Roman" w:hAnsi="Times New Roman" w:cs="Times New Roman"/>
          <w:color w:val="000000"/>
          <w:sz w:val="24"/>
          <w:szCs w:val="24"/>
          <w:lang/>
        </w:rPr>
        <w:t>167.3. Ставка податку може становити 0 відсотків бази оподаткування у випадках, прямо визначених цим розділом.</w:t>
      </w:r>
    </w:p>
    <w:p w14:paraId="6470A3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7" w:name="n11195"/>
      <w:bookmarkEnd w:id="4527"/>
      <w:r w:rsidRPr="008B264B">
        <w:rPr>
          <w:rFonts w:ascii="Times New Roman" w:eastAsia="Times New Roman" w:hAnsi="Times New Roman" w:cs="Times New Roman"/>
          <w:i/>
          <w:iCs/>
          <w:color w:val="000000"/>
          <w:sz w:val="24"/>
          <w:szCs w:val="24"/>
          <w:lang/>
        </w:rPr>
        <w:t>{Пункт 167.3 статті 167 із змінами, внесеними згідно із Законом </w:t>
      </w:r>
      <w:hyperlink r:id="rId247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Законів </w:t>
      </w:r>
      <w:hyperlink r:id="rId2471" w:anchor="n53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472" w:anchor="n13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04DF7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8" w:name="n3874"/>
      <w:bookmarkEnd w:id="4528"/>
      <w:r w:rsidRPr="008B264B">
        <w:rPr>
          <w:rFonts w:ascii="Times New Roman" w:eastAsia="Times New Roman" w:hAnsi="Times New Roman" w:cs="Times New Roman"/>
          <w:i/>
          <w:iCs/>
          <w:color w:val="000000"/>
          <w:sz w:val="24"/>
          <w:szCs w:val="24"/>
          <w:lang/>
        </w:rPr>
        <w:t>{Пункт 167.4 статті 167виключено на підставі</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Закону </w:t>
      </w:r>
      <w:hyperlink r:id="rId2473" w:anchor="n5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A0D23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29" w:name="n12762"/>
      <w:bookmarkEnd w:id="4529"/>
      <w:r w:rsidRPr="008B264B">
        <w:rPr>
          <w:rFonts w:ascii="Times New Roman" w:eastAsia="Times New Roman" w:hAnsi="Times New Roman" w:cs="Times New Roman"/>
          <w:color w:val="000000"/>
          <w:sz w:val="24"/>
          <w:szCs w:val="24"/>
          <w:lang/>
        </w:rPr>
        <w:t>167.4. Ставка податку становить 18 відсотків бази оподаткування щодо перевищення суми пенсії (включаючи суму її індексації, нараховану відповідно до закону), щомісячного довічного грошового утримання, визначеної у </w:t>
      </w:r>
      <w:hyperlink r:id="rId2474" w:anchor="n9860" w:history="1">
        <w:r w:rsidRPr="008B264B">
          <w:rPr>
            <w:rFonts w:ascii="Times New Roman" w:eastAsia="Times New Roman" w:hAnsi="Times New Roman" w:cs="Times New Roman"/>
            <w:color w:val="0000FF"/>
            <w:sz w:val="24"/>
            <w:szCs w:val="24"/>
            <w:u w:val="single"/>
            <w:lang/>
          </w:rPr>
          <w:t>підпункті 164.2.19</w:t>
        </w:r>
      </w:hyperlink>
      <w:r w:rsidRPr="008B264B">
        <w:rPr>
          <w:rFonts w:ascii="Times New Roman" w:eastAsia="Times New Roman" w:hAnsi="Times New Roman" w:cs="Times New Roman"/>
          <w:color w:val="000000"/>
          <w:sz w:val="24"/>
          <w:szCs w:val="24"/>
          <w:lang/>
        </w:rPr>
        <w:t> пункту 164.2 статті 164 цього розділу, які отримуються платником податку з Пенсійного фонду України чи бюджету згідно із законом.</w:t>
      </w:r>
    </w:p>
    <w:p w14:paraId="45158A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0" w:name="n12761"/>
      <w:bookmarkEnd w:id="4530"/>
      <w:r w:rsidRPr="008B264B">
        <w:rPr>
          <w:rFonts w:ascii="Times New Roman" w:eastAsia="Times New Roman" w:hAnsi="Times New Roman" w:cs="Times New Roman"/>
          <w:i/>
          <w:iCs/>
          <w:color w:val="000000"/>
          <w:sz w:val="24"/>
          <w:szCs w:val="24"/>
          <w:lang/>
        </w:rPr>
        <w:t>{Пункт 167.4 статті 167 в редакції Закону </w:t>
      </w:r>
      <w:hyperlink r:id="rId2475" w:anchor="n13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476" w:anchor="n9" w:tgtFrame="_blank" w:history="1">
        <w:r w:rsidRPr="008B264B">
          <w:rPr>
            <w:rFonts w:ascii="Times New Roman" w:eastAsia="Times New Roman" w:hAnsi="Times New Roman" w:cs="Times New Roman"/>
            <w:i/>
            <w:iCs/>
            <w:color w:val="0000FF"/>
            <w:sz w:val="24"/>
            <w:szCs w:val="24"/>
            <w:u w:val="single"/>
            <w:lang/>
          </w:rPr>
          <w:t>№ 1411-VIII від 02.06.2016</w:t>
        </w:r>
      </w:hyperlink>
      <w:r w:rsidRPr="008B264B">
        <w:rPr>
          <w:rFonts w:ascii="Times New Roman" w:eastAsia="Times New Roman" w:hAnsi="Times New Roman" w:cs="Times New Roman"/>
          <w:i/>
          <w:iCs/>
          <w:color w:val="000000"/>
          <w:sz w:val="24"/>
          <w:szCs w:val="24"/>
          <w:lang/>
        </w:rPr>
        <w:t>}</w:t>
      </w:r>
    </w:p>
    <w:p w14:paraId="665F0D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1" w:name="n3876"/>
      <w:bookmarkEnd w:id="4531"/>
      <w:r w:rsidRPr="008B264B">
        <w:rPr>
          <w:rFonts w:ascii="Times New Roman" w:eastAsia="Times New Roman" w:hAnsi="Times New Roman" w:cs="Times New Roman"/>
          <w:color w:val="000000"/>
          <w:sz w:val="24"/>
          <w:szCs w:val="24"/>
          <w:lang/>
        </w:rPr>
        <w:t>167.5. Ставки податку на пасивні доходи до бази оподаткування встановлюються у таких розмірах:</w:t>
      </w:r>
    </w:p>
    <w:p w14:paraId="67A58C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2" w:name="n11196"/>
      <w:bookmarkEnd w:id="4532"/>
      <w:r w:rsidRPr="008B264B">
        <w:rPr>
          <w:rFonts w:ascii="Times New Roman" w:eastAsia="Times New Roman" w:hAnsi="Times New Roman" w:cs="Times New Roman"/>
          <w:color w:val="000000"/>
          <w:sz w:val="24"/>
          <w:szCs w:val="24"/>
          <w:lang/>
        </w:rPr>
        <w:t>167.5.1. 18 відсотків - для пасивних доходів, крім зазначених у </w:t>
      </w:r>
      <w:hyperlink r:id="rId2477" w:anchor="n11197" w:history="1">
        <w:r w:rsidRPr="008B264B">
          <w:rPr>
            <w:rFonts w:ascii="Times New Roman" w:eastAsia="Times New Roman" w:hAnsi="Times New Roman" w:cs="Times New Roman"/>
            <w:color w:val="0000FF"/>
            <w:sz w:val="24"/>
            <w:szCs w:val="24"/>
            <w:u w:val="single"/>
            <w:lang/>
          </w:rPr>
          <w:t>підпунктах 167.5.2</w:t>
        </w:r>
      </w:hyperlink>
      <w:r w:rsidRPr="008B264B">
        <w:rPr>
          <w:rFonts w:ascii="Times New Roman" w:eastAsia="Times New Roman" w:hAnsi="Times New Roman" w:cs="Times New Roman"/>
          <w:color w:val="000000"/>
          <w:sz w:val="24"/>
          <w:szCs w:val="24"/>
          <w:lang/>
        </w:rPr>
        <w:t> та </w:t>
      </w:r>
      <w:hyperlink r:id="rId2478" w:anchor="n14567" w:history="1">
        <w:r w:rsidRPr="008B264B">
          <w:rPr>
            <w:rFonts w:ascii="Times New Roman" w:eastAsia="Times New Roman" w:hAnsi="Times New Roman" w:cs="Times New Roman"/>
            <w:color w:val="0000FF"/>
            <w:sz w:val="24"/>
            <w:szCs w:val="24"/>
            <w:u w:val="single"/>
            <w:lang/>
          </w:rPr>
          <w:t>167.5.4</w:t>
        </w:r>
      </w:hyperlink>
      <w:r w:rsidRPr="008B264B">
        <w:rPr>
          <w:rFonts w:ascii="Times New Roman" w:eastAsia="Times New Roman" w:hAnsi="Times New Roman" w:cs="Times New Roman"/>
          <w:color w:val="000000"/>
          <w:sz w:val="24"/>
          <w:szCs w:val="24"/>
          <w:lang/>
        </w:rPr>
        <w:t> цього пункту;</w:t>
      </w:r>
    </w:p>
    <w:p w14:paraId="54F97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3" w:name="n12733"/>
      <w:bookmarkEnd w:id="4533"/>
      <w:r w:rsidRPr="008B264B">
        <w:rPr>
          <w:rFonts w:ascii="Times New Roman" w:eastAsia="Times New Roman" w:hAnsi="Times New Roman" w:cs="Times New Roman"/>
          <w:i/>
          <w:iCs/>
          <w:color w:val="000000"/>
          <w:sz w:val="24"/>
          <w:szCs w:val="24"/>
          <w:lang/>
        </w:rPr>
        <w:t>{Підпункт 167.5.1 пункту 167.5 статті 167 із змінами, внесеними згідно із Законом </w:t>
      </w:r>
      <w:hyperlink r:id="rId2479" w:anchor="n14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2480" w:anchor="n9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48DE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4" w:name="n11197"/>
      <w:bookmarkEnd w:id="4534"/>
      <w:r w:rsidRPr="008B264B">
        <w:rPr>
          <w:rFonts w:ascii="Times New Roman" w:eastAsia="Times New Roman" w:hAnsi="Times New Roman" w:cs="Times New Roman"/>
          <w:color w:val="000000"/>
          <w:sz w:val="24"/>
          <w:szCs w:val="24"/>
          <w:lang/>
        </w:rPr>
        <w:t>167.5.2. 5 відсотків - для доходів у вигляді дивідендів по акціях та корпоративних правах, нарахованих резидентами - платниками податку на прибуток підприємств (крім доходів у вигляді дивідендів по акціях, інвестиційних сертифікатах, які виплачуються інститутами спільного інвестування);</w:t>
      </w:r>
    </w:p>
    <w:p w14:paraId="637A56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5" w:name="n11198"/>
      <w:bookmarkEnd w:id="4535"/>
      <w:r w:rsidRPr="008B264B">
        <w:rPr>
          <w:rFonts w:ascii="Times New Roman" w:eastAsia="Times New Roman" w:hAnsi="Times New Roman" w:cs="Times New Roman"/>
          <w:i/>
          <w:iCs/>
          <w:color w:val="000000"/>
          <w:sz w:val="24"/>
          <w:szCs w:val="24"/>
          <w:lang/>
        </w:rPr>
        <w:t>{Підпункт 167.5.3 пункту 167.5 статті 167 виключено на підставі Закону </w:t>
      </w:r>
      <w:hyperlink r:id="rId2481" w:anchor="n9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4FD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6" w:name="n14567"/>
      <w:bookmarkEnd w:id="4536"/>
      <w:r w:rsidRPr="008B264B">
        <w:rPr>
          <w:rFonts w:ascii="Times New Roman" w:eastAsia="Times New Roman" w:hAnsi="Times New Roman" w:cs="Times New Roman"/>
          <w:color w:val="000000"/>
          <w:sz w:val="24"/>
          <w:szCs w:val="24"/>
          <w:lang/>
        </w:rPr>
        <w:t>167.5.4. у половинному розмірі ставки, встановленої у </w:t>
      </w:r>
      <w:hyperlink r:id="rId2482" w:anchor="n3851" w:history="1">
        <w:r w:rsidRPr="008B264B">
          <w:rPr>
            <w:rFonts w:ascii="Times New Roman" w:eastAsia="Times New Roman" w:hAnsi="Times New Roman" w:cs="Times New Roman"/>
            <w:color w:val="0000FF"/>
            <w:sz w:val="24"/>
            <w:szCs w:val="24"/>
            <w:u w:val="single"/>
            <w:lang/>
          </w:rPr>
          <w:t>пункті 167.1</w:t>
        </w:r>
      </w:hyperlink>
      <w:r w:rsidRPr="008B264B">
        <w:rPr>
          <w:rFonts w:ascii="Times New Roman" w:eastAsia="Times New Roman" w:hAnsi="Times New Roman" w:cs="Times New Roman"/>
          <w:color w:val="000000"/>
          <w:sz w:val="24"/>
          <w:szCs w:val="24"/>
          <w:lang/>
        </w:rPr>
        <w:t> цієї статті - для доходів у вигляді дивідендів по акціях та/або інвестиційних сертифікатах, корпоративних правах, нарахованих нерезидентами, інститутами спільного інвестування та суб’єктами господарювання, які не є платниками податку на прибуток.</w:t>
      </w:r>
    </w:p>
    <w:p w14:paraId="7D7EF0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7" w:name="n14674"/>
      <w:bookmarkEnd w:id="4537"/>
      <w:r w:rsidRPr="008B264B">
        <w:rPr>
          <w:rFonts w:ascii="Times New Roman" w:eastAsia="Times New Roman" w:hAnsi="Times New Roman" w:cs="Times New Roman"/>
          <w:i/>
          <w:iCs/>
          <w:color w:val="000000"/>
          <w:sz w:val="24"/>
          <w:szCs w:val="24"/>
          <w:lang/>
        </w:rPr>
        <w:t>{Пункт 167.5 статті 167 доповнено підпунктом 167.5.4 згідно із Законом </w:t>
      </w:r>
      <w:hyperlink r:id="rId2483" w:anchor="n9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2484" w:anchor="n55" w:tgtFrame="_blank" w:history="1">
        <w:r w:rsidRPr="008B264B">
          <w:rPr>
            <w:rFonts w:ascii="Times New Roman" w:eastAsia="Times New Roman" w:hAnsi="Times New Roman" w:cs="Times New Roman"/>
            <w:i/>
            <w:iCs/>
            <w:color w:val="0000FF"/>
            <w:sz w:val="24"/>
            <w:szCs w:val="24"/>
            <w:u w:val="single"/>
            <w:lang/>
          </w:rPr>
          <w:t>№ 1989-VIII від 23.03.2017</w:t>
        </w:r>
      </w:hyperlink>
      <w:r w:rsidRPr="008B264B">
        <w:rPr>
          <w:rFonts w:ascii="Times New Roman" w:eastAsia="Times New Roman" w:hAnsi="Times New Roman" w:cs="Times New Roman"/>
          <w:i/>
          <w:iCs/>
          <w:color w:val="000000"/>
          <w:sz w:val="24"/>
          <w:szCs w:val="24"/>
          <w:lang/>
        </w:rPr>
        <w:t>}</w:t>
      </w:r>
    </w:p>
    <w:p w14:paraId="09CE73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8" w:name="n9870"/>
      <w:bookmarkEnd w:id="4538"/>
      <w:r w:rsidRPr="008B264B">
        <w:rPr>
          <w:rFonts w:ascii="Times New Roman" w:eastAsia="Times New Roman" w:hAnsi="Times New Roman" w:cs="Times New Roman"/>
          <w:i/>
          <w:iCs/>
          <w:color w:val="000000"/>
          <w:sz w:val="24"/>
          <w:szCs w:val="24"/>
          <w:lang/>
        </w:rPr>
        <w:t>{Пункт 167.5 статті 167 в редакції Закону </w:t>
      </w:r>
      <w:hyperlink r:id="rId2485" w:anchor="n36"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486"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 в редакції Законів </w:t>
      </w:r>
      <w:hyperlink r:id="rId2487" w:anchor="n23"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 </w:t>
      </w:r>
      <w:hyperlink r:id="rId2488" w:anchor="n5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3310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39" w:name="n11212"/>
      <w:bookmarkEnd w:id="4539"/>
      <w:r w:rsidRPr="008B264B">
        <w:rPr>
          <w:rFonts w:ascii="Times New Roman" w:eastAsia="Times New Roman" w:hAnsi="Times New Roman" w:cs="Times New Roman"/>
          <w:i/>
          <w:iCs/>
          <w:color w:val="000000"/>
          <w:sz w:val="24"/>
          <w:szCs w:val="24"/>
          <w:lang/>
        </w:rPr>
        <w:t>{Пункт 167.6 статті 167 виключено на підставі Закону </w:t>
      </w:r>
      <w:hyperlink r:id="rId2489" w:anchor="n14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21D63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0" w:name="n3877"/>
      <w:bookmarkEnd w:id="4540"/>
      <w:r w:rsidRPr="008B264B">
        <w:rPr>
          <w:rFonts w:ascii="Times New Roman" w:eastAsia="Times New Roman" w:hAnsi="Times New Roman" w:cs="Times New Roman"/>
          <w:b/>
          <w:bCs/>
          <w:color w:val="000000"/>
          <w:sz w:val="24"/>
          <w:szCs w:val="24"/>
          <w:lang/>
        </w:rPr>
        <w:t>Стаття 168.</w:t>
      </w:r>
      <w:r w:rsidRPr="008B264B">
        <w:rPr>
          <w:rFonts w:ascii="Times New Roman" w:eastAsia="Times New Roman" w:hAnsi="Times New Roman" w:cs="Times New Roman"/>
          <w:color w:val="000000"/>
          <w:sz w:val="24"/>
          <w:szCs w:val="24"/>
          <w:lang/>
        </w:rPr>
        <w:t> Порядок нарахування, утримання та сплати (перерахування) податку до бюджету</w:t>
      </w:r>
    </w:p>
    <w:p w14:paraId="4C73E5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1" w:name="n3878"/>
      <w:bookmarkEnd w:id="4541"/>
      <w:r w:rsidRPr="008B264B">
        <w:rPr>
          <w:rFonts w:ascii="Times New Roman" w:eastAsia="Times New Roman" w:hAnsi="Times New Roman" w:cs="Times New Roman"/>
          <w:color w:val="000000"/>
          <w:sz w:val="24"/>
          <w:szCs w:val="24"/>
          <w:lang/>
        </w:rPr>
        <w:lastRenderedPageBreak/>
        <w:t>168.1. Оподаткування доходів, нарахованих (виплачених, наданих) платнику податку податковим агентом.</w:t>
      </w:r>
    </w:p>
    <w:p w14:paraId="1547E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2" w:name="n3879"/>
      <w:bookmarkEnd w:id="4542"/>
      <w:r w:rsidRPr="008B264B">
        <w:rPr>
          <w:rFonts w:ascii="Times New Roman" w:eastAsia="Times New Roman" w:hAnsi="Times New Roman" w:cs="Times New Roman"/>
          <w:color w:val="000000"/>
          <w:sz w:val="24"/>
          <w:szCs w:val="24"/>
          <w:lang/>
        </w:rPr>
        <w:t>168.1.1. Податковий агент, який нараховує (виплачує, надає) оподатковуваний дохід на користь платника податку, зобов'язаний утримувати податок із суми такого доходу за його рахунок, використовуючи ставку податку, визначену в </w:t>
      </w:r>
      <w:hyperlink r:id="rId2490" w:anchor="n3850" w:history="1">
        <w:r w:rsidRPr="008B264B">
          <w:rPr>
            <w:rFonts w:ascii="Times New Roman" w:eastAsia="Times New Roman" w:hAnsi="Times New Roman" w:cs="Times New Roman"/>
            <w:color w:val="0000FF"/>
            <w:sz w:val="24"/>
            <w:szCs w:val="24"/>
            <w:u w:val="single"/>
            <w:lang/>
          </w:rPr>
          <w:t>статті 167</w:t>
        </w:r>
      </w:hyperlink>
      <w:r w:rsidRPr="008B264B">
        <w:rPr>
          <w:rFonts w:ascii="Times New Roman" w:eastAsia="Times New Roman" w:hAnsi="Times New Roman" w:cs="Times New Roman"/>
          <w:color w:val="000000"/>
          <w:sz w:val="24"/>
          <w:szCs w:val="24"/>
          <w:lang/>
        </w:rPr>
        <w:t> цього Кодексу.</w:t>
      </w:r>
    </w:p>
    <w:p w14:paraId="026561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3" w:name="n3880"/>
      <w:bookmarkEnd w:id="4543"/>
      <w:r w:rsidRPr="008B264B">
        <w:rPr>
          <w:rFonts w:ascii="Times New Roman" w:eastAsia="Times New Roman" w:hAnsi="Times New Roman" w:cs="Times New Roman"/>
          <w:color w:val="000000"/>
          <w:sz w:val="24"/>
          <w:szCs w:val="24"/>
          <w:lang/>
        </w:rPr>
        <w:t>168.1.2. Податок сплачується (перераховується) до бюджету під час виплати оподатковуваного доходу єдиним платіжним документом. Банки приймають платіжні документи на виплату доходу лише за умови одночасного подання розрахункового документа на перерахування цього податку до бюджету.</w:t>
      </w:r>
    </w:p>
    <w:p w14:paraId="065886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4" w:name="n3881"/>
      <w:bookmarkEnd w:id="4544"/>
      <w:r w:rsidRPr="008B264B">
        <w:rPr>
          <w:rFonts w:ascii="Times New Roman" w:eastAsia="Times New Roman" w:hAnsi="Times New Roman" w:cs="Times New Roman"/>
          <w:color w:val="000000"/>
          <w:sz w:val="24"/>
          <w:szCs w:val="24"/>
          <w:lang/>
        </w:rPr>
        <w:t>168.1.3. Якщо згідно з нормами цього розділу окремі види оподатковуваних доходів (прибутків) не підлягають оподаткуванню під час їх нарахування чи виплати, але не є звільненими від оподаткування, платник податку зобов'язаний самостійно включити суму таких доходів до загального річного оподатковуваного доходу податку та подати річну декларацію з цього податку.</w:t>
      </w:r>
    </w:p>
    <w:p w14:paraId="0D3F8E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5" w:name="n3882"/>
      <w:bookmarkEnd w:id="4545"/>
      <w:r w:rsidRPr="008B264B">
        <w:rPr>
          <w:rFonts w:ascii="Times New Roman" w:eastAsia="Times New Roman" w:hAnsi="Times New Roman" w:cs="Times New Roman"/>
          <w:color w:val="000000"/>
          <w:sz w:val="24"/>
          <w:szCs w:val="24"/>
          <w:lang/>
        </w:rPr>
        <w:t>168.1.4. Якщо оподатковуваний дохід надається у негрошовій формі чи виплачується готівкою з каси податкового агента, податок сплачується (перераховується) до бюджету протягом трьох банківських днів з дня, що настає за днем такого нарахування (виплати, надання).</w:t>
      </w:r>
    </w:p>
    <w:p w14:paraId="5A5149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6" w:name="n14131"/>
      <w:bookmarkEnd w:id="4546"/>
      <w:r w:rsidRPr="008B264B">
        <w:rPr>
          <w:rFonts w:ascii="Times New Roman" w:eastAsia="Times New Roman" w:hAnsi="Times New Roman" w:cs="Times New Roman"/>
          <w:i/>
          <w:iCs/>
          <w:color w:val="000000"/>
          <w:sz w:val="24"/>
          <w:szCs w:val="24"/>
          <w:lang/>
        </w:rPr>
        <w:t>{Підпункт 168.1.4 пункту 168.1 статті 168 із змінами, внесеними згідно із Законом </w:t>
      </w:r>
      <w:hyperlink r:id="rId2491" w:anchor="n10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B7D62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7" w:name="n3883"/>
      <w:bookmarkEnd w:id="4547"/>
      <w:r w:rsidRPr="008B264B">
        <w:rPr>
          <w:rFonts w:ascii="Times New Roman" w:eastAsia="Times New Roman" w:hAnsi="Times New Roman" w:cs="Times New Roman"/>
          <w:color w:val="000000"/>
          <w:sz w:val="24"/>
          <w:szCs w:val="24"/>
          <w:lang/>
        </w:rPr>
        <w:t>168.1.5. Якщо оподатковуваний дохід нараховується податковим агентом, але не виплачується (не надається) платнику податку, то податок, який підлягає утриманню з такого нарахованого доходу, підлягає перерахуванню до бюджету податковим агентом у строки, встановлені цим Кодексом для місячного податкового періоду.</w:t>
      </w:r>
    </w:p>
    <w:p w14:paraId="144191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8" w:name="n3884"/>
      <w:bookmarkEnd w:id="4548"/>
      <w:r w:rsidRPr="008B264B">
        <w:rPr>
          <w:rFonts w:ascii="Times New Roman" w:eastAsia="Times New Roman" w:hAnsi="Times New Roman" w:cs="Times New Roman"/>
          <w:i/>
          <w:iCs/>
          <w:color w:val="000000"/>
          <w:sz w:val="24"/>
          <w:szCs w:val="24"/>
          <w:lang/>
        </w:rPr>
        <w:t>{Пункт 168.1 статті 168 доповнено підпунктом 168.1.5 згідно із Законом </w:t>
      </w:r>
      <w:hyperlink r:id="rId249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2842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49" w:name="n3885"/>
      <w:bookmarkEnd w:id="4549"/>
      <w:r w:rsidRPr="008B264B">
        <w:rPr>
          <w:rFonts w:ascii="Times New Roman" w:eastAsia="Times New Roman" w:hAnsi="Times New Roman" w:cs="Times New Roman"/>
          <w:color w:val="000000"/>
          <w:sz w:val="24"/>
          <w:szCs w:val="24"/>
          <w:lang/>
        </w:rPr>
        <w:t>168.1.6. Для цілей цього розділу та </w:t>
      </w:r>
      <w:hyperlink r:id="rId2493" w:anchor="n1300" w:history="1">
        <w:r w:rsidRPr="008B264B">
          <w:rPr>
            <w:rFonts w:ascii="Times New Roman" w:eastAsia="Times New Roman" w:hAnsi="Times New Roman" w:cs="Times New Roman"/>
            <w:color w:val="0000FF"/>
            <w:sz w:val="24"/>
            <w:szCs w:val="24"/>
            <w:u w:val="single"/>
            <w:lang/>
          </w:rPr>
          <w:t>пункту 54.2</w:t>
        </w:r>
      </w:hyperlink>
      <w:r w:rsidRPr="008B264B">
        <w:rPr>
          <w:rFonts w:ascii="Times New Roman" w:eastAsia="Times New Roman" w:hAnsi="Times New Roman" w:cs="Times New Roman"/>
          <w:color w:val="000000"/>
          <w:sz w:val="24"/>
          <w:szCs w:val="24"/>
          <w:lang/>
        </w:rPr>
        <w:t> статті 54 цього Кодексу під терміном "граничний термін сплати до бюджету податку" розуміються строки сплати податку, визначені цим пунктом.</w:t>
      </w:r>
    </w:p>
    <w:p w14:paraId="13291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0" w:name="n3886"/>
      <w:bookmarkEnd w:id="4550"/>
      <w:r w:rsidRPr="008B264B">
        <w:rPr>
          <w:rFonts w:ascii="Times New Roman" w:eastAsia="Times New Roman" w:hAnsi="Times New Roman" w:cs="Times New Roman"/>
          <w:i/>
          <w:iCs/>
          <w:color w:val="000000"/>
          <w:sz w:val="24"/>
          <w:szCs w:val="24"/>
          <w:lang/>
        </w:rPr>
        <w:t>{Абзац пункту 168.1 статті 168 із змінами, внесеними згідно із Законом </w:t>
      </w:r>
      <w:hyperlink r:id="rId249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B79DD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1" w:name="n3887"/>
      <w:bookmarkEnd w:id="4551"/>
      <w:r w:rsidRPr="008B264B">
        <w:rPr>
          <w:rFonts w:ascii="Times New Roman" w:eastAsia="Times New Roman" w:hAnsi="Times New Roman" w:cs="Times New Roman"/>
          <w:color w:val="000000"/>
          <w:sz w:val="24"/>
          <w:szCs w:val="24"/>
          <w:lang/>
        </w:rPr>
        <w:t>168.2. Оподаткування доходів, нарахованих (виплачених, наданих) платнику податку особою, яка не є податковим агентом, та іноземних доходів.</w:t>
      </w:r>
    </w:p>
    <w:p w14:paraId="7D3570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2" w:name="n3888"/>
      <w:bookmarkEnd w:id="4552"/>
      <w:r w:rsidRPr="008B264B">
        <w:rPr>
          <w:rFonts w:ascii="Times New Roman" w:eastAsia="Times New Roman" w:hAnsi="Times New Roman" w:cs="Times New Roman"/>
          <w:color w:val="000000"/>
          <w:sz w:val="24"/>
          <w:szCs w:val="24"/>
          <w:lang/>
        </w:rPr>
        <w:t>168.2.1. Платник податку, що отримує доходи від особи, яка не є податковим агентом, та іноземні доходи, зобов'язаний включити суму таких доходів до загального річного оподатковуваного доходу та подати податкову декларацію за наслідками звітного податкового року, а також сплатити податок з таких доходів.</w:t>
      </w:r>
    </w:p>
    <w:p w14:paraId="0634FE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3" w:name="n3889"/>
      <w:bookmarkEnd w:id="4553"/>
      <w:r w:rsidRPr="008B264B">
        <w:rPr>
          <w:rFonts w:ascii="Times New Roman" w:eastAsia="Times New Roman" w:hAnsi="Times New Roman" w:cs="Times New Roman"/>
          <w:color w:val="000000"/>
          <w:sz w:val="24"/>
          <w:szCs w:val="24"/>
          <w:lang/>
        </w:rPr>
        <w:t>168.2.2. Особою, яка не є податковим агентом, вважається нерезидент або фізична особа, яка не має статусу суб'єкта підприємницької діяльності або не є особою, яка перебуває на обліку у контролюючих органах як особа, що провадить незалежну професійну діяльність.</w:t>
      </w:r>
    </w:p>
    <w:p w14:paraId="3A0BBE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4" w:name="n3890"/>
      <w:bookmarkEnd w:id="4554"/>
      <w:r w:rsidRPr="008B264B">
        <w:rPr>
          <w:rFonts w:ascii="Times New Roman" w:eastAsia="Times New Roman" w:hAnsi="Times New Roman" w:cs="Times New Roman"/>
          <w:color w:val="000000"/>
          <w:sz w:val="24"/>
          <w:szCs w:val="24"/>
          <w:lang/>
        </w:rPr>
        <w:t>168.3. Розрахунок податкових зобов'язань з оподатковуваного доходу платника податку, нарахованого у джерела його виплати, проводиться податковим агентом (у тому числі роботодавцем, органами Пенсійного фонду України).</w:t>
      </w:r>
    </w:p>
    <w:p w14:paraId="6F8DF8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5" w:name="n9876"/>
      <w:bookmarkEnd w:id="4555"/>
      <w:r w:rsidRPr="008B264B">
        <w:rPr>
          <w:rFonts w:ascii="Times New Roman" w:eastAsia="Times New Roman" w:hAnsi="Times New Roman" w:cs="Times New Roman"/>
          <w:i/>
          <w:iCs/>
          <w:color w:val="000000"/>
          <w:sz w:val="24"/>
          <w:szCs w:val="24"/>
          <w:lang/>
        </w:rPr>
        <w:t>{Пункт 168.3 статті 168 із змінами, внесеними згідно із Законом </w:t>
      </w:r>
      <w:hyperlink r:id="rId2495" w:anchor="n42"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 щодо набрання чинності змін див. </w:t>
      </w:r>
      <w:hyperlink r:id="rId2496" w:anchor="n443" w:tgtFrame="_blank" w:history="1">
        <w:r w:rsidRPr="008B264B">
          <w:rPr>
            <w:rFonts w:ascii="Times New Roman" w:eastAsia="Times New Roman" w:hAnsi="Times New Roman" w:cs="Times New Roman"/>
            <w:i/>
            <w:iCs/>
            <w:color w:val="0000FF"/>
            <w:sz w:val="24"/>
            <w:szCs w:val="24"/>
            <w:u w:val="single"/>
            <w:lang/>
          </w:rPr>
          <w:t>пункт 1 розділу IV</w:t>
        </w:r>
      </w:hyperlink>
      <w:r w:rsidRPr="008B264B">
        <w:rPr>
          <w:rFonts w:ascii="Times New Roman" w:eastAsia="Times New Roman" w:hAnsi="Times New Roman" w:cs="Times New Roman"/>
          <w:i/>
          <w:iCs/>
          <w:color w:val="000000"/>
          <w:sz w:val="24"/>
          <w:szCs w:val="24"/>
          <w:lang/>
        </w:rPr>
        <w:t> Закону № 1166-VII від 27.03.2014}</w:t>
      </w:r>
    </w:p>
    <w:p w14:paraId="348FF8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6" w:name="n3891"/>
      <w:bookmarkEnd w:id="4556"/>
      <w:r w:rsidRPr="008B264B">
        <w:rPr>
          <w:rFonts w:ascii="Times New Roman" w:eastAsia="Times New Roman" w:hAnsi="Times New Roman" w:cs="Times New Roman"/>
          <w:color w:val="000000"/>
          <w:sz w:val="24"/>
          <w:szCs w:val="24"/>
          <w:lang/>
        </w:rPr>
        <w:t>168.4. Порядок сплати (перерахування) податку до бюджету.</w:t>
      </w:r>
    </w:p>
    <w:p w14:paraId="124E0F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7" w:name="n3892"/>
      <w:bookmarkEnd w:id="4557"/>
      <w:r w:rsidRPr="008B264B">
        <w:rPr>
          <w:rFonts w:ascii="Times New Roman" w:eastAsia="Times New Roman" w:hAnsi="Times New Roman" w:cs="Times New Roman"/>
          <w:color w:val="000000"/>
          <w:sz w:val="24"/>
          <w:szCs w:val="24"/>
          <w:lang/>
        </w:rPr>
        <w:lastRenderedPageBreak/>
        <w:t>168.4.1. Податок, утриманий з доходів резидентів та нерезидентів, зараховується до бюджету згідно з </w:t>
      </w:r>
      <w:hyperlink r:id="rId2497" w:anchor="n4" w:tgtFrame="_blank" w:history="1">
        <w:r w:rsidRPr="008B264B">
          <w:rPr>
            <w:rFonts w:ascii="Times New Roman" w:eastAsia="Times New Roman" w:hAnsi="Times New Roman" w:cs="Times New Roman"/>
            <w:color w:val="0000FF"/>
            <w:sz w:val="24"/>
            <w:szCs w:val="24"/>
            <w:u w:val="single"/>
            <w:lang/>
          </w:rPr>
          <w:t>Бюджетним кодексом України</w:t>
        </w:r>
      </w:hyperlink>
      <w:r w:rsidRPr="008B264B">
        <w:rPr>
          <w:rFonts w:ascii="Times New Roman" w:eastAsia="Times New Roman" w:hAnsi="Times New Roman" w:cs="Times New Roman"/>
          <w:color w:val="000000"/>
          <w:sz w:val="24"/>
          <w:szCs w:val="24"/>
          <w:lang/>
        </w:rPr>
        <w:t>;</w:t>
      </w:r>
    </w:p>
    <w:p w14:paraId="57AB81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8" w:name="n3893"/>
      <w:bookmarkEnd w:id="4558"/>
      <w:r w:rsidRPr="008B264B">
        <w:rPr>
          <w:rFonts w:ascii="Times New Roman" w:eastAsia="Times New Roman" w:hAnsi="Times New Roman" w:cs="Times New Roman"/>
          <w:color w:val="000000"/>
          <w:sz w:val="24"/>
          <w:szCs w:val="24"/>
          <w:lang/>
        </w:rPr>
        <w:t>168.4.2. такий порядок застосовується всіма юридичними особами, у тому числі такими, що мають філії, відділення, інші відокремлені підрозділи, що розташовані на території іншої територіальної громади, ніж така юридична особа, а також відокремленими підрозділами, яким в установленому порядку надано повноваження щодо нарахування, утримання і сплати (перерахування) до бюджету податку (далі - відокремлений підрозділ).</w:t>
      </w:r>
    </w:p>
    <w:p w14:paraId="698AA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59" w:name="n3894"/>
      <w:bookmarkEnd w:id="4559"/>
      <w:r w:rsidRPr="008B264B">
        <w:rPr>
          <w:rFonts w:ascii="Times New Roman" w:eastAsia="Times New Roman" w:hAnsi="Times New Roman" w:cs="Times New Roman"/>
          <w:color w:val="000000"/>
          <w:sz w:val="24"/>
          <w:szCs w:val="24"/>
          <w:lang/>
        </w:rPr>
        <w:t>У разі прийняття рішення про створення відокремленого підрозділу юридична особа повідомляє про це контролюючі органи за своїм місцезнаходженням та місцезнаходженням таких новостворених підрозділів у встановленому порядку;</w:t>
      </w:r>
    </w:p>
    <w:p w14:paraId="068D08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0" w:name="n3895"/>
      <w:bookmarkEnd w:id="4560"/>
      <w:r w:rsidRPr="008B264B">
        <w:rPr>
          <w:rFonts w:ascii="Times New Roman" w:eastAsia="Times New Roman" w:hAnsi="Times New Roman" w:cs="Times New Roman"/>
          <w:color w:val="000000"/>
          <w:sz w:val="24"/>
          <w:szCs w:val="24"/>
          <w:lang/>
        </w:rPr>
        <w:t>168.4.3. суми податку на доходи, нараховані відокремленим підрозділом на користь фізичних осіб, за звітний період перераховуються до відповідного бюджету за місцезнаходженням такого відокремленого підрозділу.</w:t>
      </w:r>
    </w:p>
    <w:p w14:paraId="6B7E6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1" w:name="n3896"/>
      <w:bookmarkEnd w:id="4561"/>
      <w:r w:rsidRPr="008B264B">
        <w:rPr>
          <w:rFonts w:ascii="Times New Roman" w:eastAsia="Times New Roman" w:hAnsi="Times New Roman" w:cs="Times New Roman"/>
          <w:color w:val="000000"/>
          <w:sz w:val="24"/>
          <w:szCs w:val="24"/>
          <w:lang/>
        </w:rPr>
        <w:t>У разі якщо відокремлений підрозділ не уповноважений нараховувати (сплачувати) податок на доходи фізичних осіб за такий відокремлений підрозділ, усі обов'язки податкового агента виконує юридична особа. Податок на доходи, нарахований працівникам відокремленого підрозділу, перераховується до відповідного бюджету за місцезнаходженням такого відокремленого підрозділу;</w:t>
      </w:r>
    </w:p>
    <w:p w14:paraId="6C191E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2" w:name="n3897"/>
      <w:bookmarkEnd w:id="4562"/>
      <w:r w:rsidRPr="008B264B">
        <w:rPr>
          <w:rFonts w:ascii="Times New Roman" w:eastAsia="Times New Roman" w:hAnsi="Times New Roman" w:cs="Times New Roman"/>
          <w:i/>
          <w:iCs/>
          <w:color w:val="000000"/>
          <w:sz w:val="24"/>
          <w:szCs w:val="24"/>
          <w:lang/>
        </w:rPr>
        <w:t>{Підпункт 168.4.3 пункту 168.4 статті 168 із змінами, внесеними згідно із Законом </w:t>
      </w:r>
      <w:hyperlink r:id="rId2498" w:anchor="n21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ABE48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3" w:name="n3898"/>
      <w:bookmarkEnd w:id="4563"/>
      <w:r w:rsidRPr="008B264B">
        <w:rPr>
          <w:rFonts w:ascii="Times New Roman" w:eastAsia="Times New Roman" w:hAnsi="Times New Roman" w:cs="Times New Roman"/>
          <w:color w:val="000000"/>
          <w:sz w:val="24"/>
          <w:szCs w:val="24"/>
          <w:lang/>
        </w:rPr>
        <w:t>168.4.4. юридична особа за своїм місцезнаходженням та місцезнаходженням не уповноважених сплачувати податок відокремлених підрозділів, відокремлений підрозділ, який уповноважений нараховувати, утримувати і сплачувати (перераховувати) до бюджету податок, за своїм місцезнаходженням одночасно з поданням документів на отримання коштів для виплати належних платникам податку доходів, сплачує (перераховує) суми утриманого податку на відповідні рахунки, відкриті в органах, що здійснюють казначейське обслуговування бюджетних коштів за місцезнаходженням відокремлених підрозділів, а у випадках, передбачених цим Кодексом, - за місцезнаходженням земельних ділянок, земельних часток (паїв), виділених або не виділених в натурі (на місцевості).</w:t>
      </w:r>
    </w:p>
    <w:p w14:paraId="10F7F2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4" w:name="n15137"/>
      <w:bookmarkEnd w:id="4564"/>
      <w:r w:rsidRPr="008B264B">
        <w:rPr>
          <w:rFonts w:ascii="Times New Roman" w:eastAsia="Times New Roman" w:hAnsi="Times New Roman" w:cs="Times New Roman"/>
          <w:i/>
          <w:iCs/>
          <w:color w:val="000000"/>
          <w:sz w:val="24"/>
          <w:szCs w:val="24"/>
          <w:lang/>
        </w:rPr>
        <w:t>{Абзац перший підпункту 168.4.4 пункту 168.4 статті 168 із змінами, внесеними згідно із Законом </w:t>
      </w:r>
      <w:hyperlink r:id="rId2499" w:anchor="n12"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132BE6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5" w:name="n3899"/>
      <w:bookmarkEnd w:id="4565"/>
      <w:r w:rsidRPr="008B264B">
        <w:rPr>
          <w:rFonts w:ascii="Times New Roman" w:eastAsia="Times New Roman" w:hAnsi="Times New Roman" w:cs="Times New Roman"/>
          <w:color w:val="000000"/>
          <w:sz w:val="24"/>
          <w:szCs w:val="24"/>
          <w:lang/>
        </w:rPr>
        <w:t>Органи, що здійснюють казначейське обслуговування бюджетних коштів в установленому </w:t>
      </w:r>
      <w:hyperlink r:id="rId2500" w:anchor="n4" w:tgtFrame="_blank" w:history="1">
        <w:r w:rsidRPr="008B264B">
          <w:rPr>
            <w:rFonts w:ascii="Times New Roman" w:eastAsia="Times New Roman" w:hAnsi="Times New Roman" w:cs="Times New Roman"/>
            <w:color w:val="0000FF"/>
            <w:sz w:val="24"/>
            <w:szCs w:val="24"/>
            <w:u w:val="single"/>
            <w:lang/>
          </w:rPr>
          <w:t>Бюджетним кодексом України</w:t>
        </w:r>
      </w:hyperlink>
      <w:r w:rsidRPr="008B264B">
        <w:rPr>
          <w:rFonts w:ascii="Times New Roman" w:eastAsia="Times New Roman" w:hAnsi="Times New Roman" w:cs="Times New Roman"/>
          <w:color w:val="000000"/>
          <w:sz w:val="24"/>
          <w:szCs w:val="24"/>
          <w:lang/>
        </w:rPr>
        <w:t> порядку розподіляють зазначені кошти згідно з нормативами, визначеними Бюджетним кодексом України, та спрямовують такі розподілені суми до відповідних бюджетів.</w:t>
      </w:r>
    </w:p>
    <w:p w14:paraId="163A09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6" w:name="n3900"/>
      <w:bookmarkEnd w:id="4566"/>
      <w:r w:rsidRPr="008B264B">
        <w:rPr>
          <w:rFonts w:ascii="Times New Roman" w:eastAsia="Times New Roman" w:hAnsi="Times New Roman" w:cs="Times New Roman"/>
          <w:color w:val="000000"/>
          <w:sz w:val="24"/>
          <w:szCs w:val="24"/>
          <w:lang/>
        </w:rPr>
        <w:t>Органи, що здійснюють казначейське обслуговування бюджетних коштів в установленому Бюджетним кодексом України порядку розподіляють зазначені кошти згідно з нормативами, визначеними Бюджетним кодексом України, та спрямовують такі розподілені суми до відповідних бюджетів;</w:t>
      </w:r>
    </w:p>
    <w:p w14:paraId="4B8925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7" w:name="n3901"/>
      <w:bookmarkEnd w:id="4567"/>
      <w:r w:rsidRPr="008B264B">
        <w:rPr>
          <w:rFonts w:ascii="Times New Roman" w:eastAsia="Times New Roman" w:hAnsi="Times New Roman" w:cs="Times New Roman"/>
          <w:i/>
          <w:iCs/>
          <w:color w:val="000000"/>
          <w:sz w:val="24"/>
          <w:szCs w:val="24"/>
          <w:lang/>
        </w:rPr>
        <w:t>{Підпункт 168.4.4 пункту 168.4 статті 168 із змінами, внесеними згідно із Законами </w:t>
      </w:r>
      <w:hyperlink r:id="rId2501" w:anchor="n22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2502" w:anchor="n18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75EE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8" w:name="n3902"/>
      <w:bookmarkEnd w:id="4568"/>
      <w:r w:rsidRPr="008B264B">
        <w:rPr>
          <w:rFonts w:ascii="Times New Roman" w:eastAsia="Times New Roman" w:hAnsi="Times New Roman" w:cs="Times New Roman"/>
          <w:color w:val="000000"/>
          <w:sz w:val="24"/>
          <w:szCs w:val="24"/>
          <w:lang/>
        </w:rPr>
        <w:t>168.4.5. фізична особа, відповідальна згідно з вимогами цього розділу за нарахування та утримання податку, сплачує (перераховує) його до відповідного бюджету:</w:t>
      </w:r>
    </w:p>
    <w:p w14:paraId="3FCB99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69" w:name="n3903"/>
      <w:bookmarkEnd w:id="4569"/>
      <w:r w:rsidRPr="008B264B">
        <w:rPr>
          <w:rFonts w:ascii="Times New Roman" w:eastAsia="Times New Roman" w:hAnsi="Times New Roman" w:cs="Times New Roman"/>
          <w:color w:val="000000"/>
          <w:sz w:val="24"/>
          <w:szCs w:val="24"/>
          <w:lang/>
        </w:rPr>
        <w:t>а) у разі коли така фізична особа є податковим агентом, - за місцем реєстрації у контролюючих органах, а у випадках, передбачених цим Кодексом, - за місцезнаходженням земельних ділянок, земельних часток (паїв), виділених або не виділених в натурі (на місцевості);</w:t>
      </w:r>
    </w:p>
    <w:p w14:paraId="00BD6F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0" w:name="n15138"/>
      <w:bookmarkEnd w:id="4570"/>
      <w:r w:rsidRPr="008B264B">
        <w:rPr>
          <w:rFonts w:ascii="Times New Roman" w:eastAsia="Times New Roman" w:hAnsi="Times New Roman" w:cs="Times New Roman"/>
          <w:i/>
          <w:iCs/>
          <w:color w:val="000000"/>
          <w:sz w:val="24"/>
          <w:szCs w:val="24"/>
          <w:lang/>
        </w:rPr>
        <w:lastRenderedPageBreak/>
        <w:t>{Підпункт "а" підпункту 168.4.5 пункту 168.4 статті 168 із змінами, внесеними згідно із Законом </w:t>
      </w:r>
      <w:hyperlink r:id="rId2503" w:anchor="n13"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7E735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1" w:name="n3904"/>
      <w:bookmarkEnd w:id="4571"/>
      <w:r w:rsidRPr="008B264B">
        <w:rPr>
          <w:rFonts w:ascii="Times New Roman" w:eastAsia="Times New Roman" w:hAnsi="Times New Roman" w:cs="Times New Roman"/>
          <w:color w:val="000000"/>
          <w:sz w:val="24"/>
          <w:szCs w:val="24"/>
          <w:lang/>
        </w:rPr>
        <w:t>б) у разі нотаріального посвідчення договорів купівлі-продажу майна резидентами та нерезидентами, посвідчення договорів дарування чи видачі свідоцтв про право на спадщину нерезидентам - за місцем нотаріального посвідчення таких договорів (одержання свідоцтв);</w:t>
      </w:r>
    </w:p>
    <w:p w14:paraId="29D803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2" w:name="n3905"/>
      <w:bookmarkEnd w:id="4572"/>
      <w:r w:rsidRPr="008B264B">
        <w:rPr>
          <w:rFonts w:ascii="Times New Roman" w:eastAsia="Times New Roman" w:hAnsi="Times New Roman" w:cs="Times New Roman"/>
          <w:i/>
          <w:iCs/>
          <w:color w:val="000000"/>
          <w:sz w:val="24"/>
          <w:szCs w:val="24"/>
          <w:lang/>
        </w:rPr>
        <w:t>{Підпункт "б" підпункту 168.4.5 пункту 168.4 статті 168 в редакції Закону </w:t>
      </w:r>
      <w:hyperlink r:id="rId250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EFE9E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3" w:name="n3906"/>
      <w:bookmarkEnd w:id="4573"/>
      <w:r w:rsidRPr="008B264B">
        <w:rPr>
          <w:rFonts w:ascii="Times New Roman" w:eastAsia="Times New Roman" w:hAnsi="Times New Roman" w:cs="Times New Roman"/>
          <w:color w:val="000000"/>
          <w:sz w:val="24"/>
          <w:szCs w:val="24"/>
          <w:lang/>
        </w:rPr>
        <w:t>в) в інших випадках - за її податковою адресою, а у випадках, передбачених цим Кодексом, - за місцезнаходженням земельних ділянок, земельних часток (паїв), виділених або не виділених в натурі (на місцевості);</w:t>
      </w:r>
    </w:p>
    <w:p w14:paraId="6920F2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4" w:name="n3907"/>
      <w:bookmarkEnd w:id="4574"/>
      <w:r w:rsidRPr="008B264B">
        <w:rPr>
          <w:rFonts w:ascii="Times New Roman" w:eastAsia="Times New Roman" w:hAnsi="Times New Roman" w:cs="Times New Roman"/>
          <w:i/>
          <w:iCs/>
          <w:color w:val="000000"/>
          <w:sz w:val="24"/>
          <w:szCs w:val="24"/>
          <w:lang/>
        </w:rPr>
        <w:t>{Підпункт "в" підпункту 168.4.5 пункту 168.4 статті 168 в редакції Закону </w:t>
      </w:r>
      <w:hyperlink r:id="rId250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506" w:anchor="n13"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FFC5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5" w:name="n3908"/>
      <w:bookmarkEnd w:id="4575"/>
      <w:r w:rsidRPr="008B264B">
        <w:rPr>
          <w:rFonts w:ascii="Times New Roman" w:eastAsia="Times New Roman" w:hAnsi="Times New Roman" w:cs="Times New Roman"/>
          <w:i/>
          <w:iCs/>
          <w:color w:val="000000"/>
          <w:sz w:val="24"/>
          <w:szCs w:val="24"/>
          <w:lang/>
        </w:rPr>
        <w:t>{Підпункт 168.4.6 пункту 168.4 статті 168 виключено на підставі Закону </w:t>
      </w:r>
      <w:hyperlink r:id="rId2507" w:anchor="n100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97DB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6" w:name="n3909"/>
      <w:bookmarkEnd w:id="4576"/>
      <w:r w:rsidRPr="008B264B">
        <w:rPr>
          <w:rFonts w:ascii="Times New Roman" w:eastAsia="Times New Roman" w:hAnsi="Times New Roman" w:cs="Times New Roman"/>
          <w:color w:val="000000"/>
          <w:sz w:val="24"/>
          <w:szCs w:val="24"/>
          <w:lang/>
        </w:rPr>
        <w:t>168.4.7. відповідальність за своєчасне та повне перерахування сум податку до відповідного бюджету несе юридична особа або її відокремлений підрозділ, що нараховує (виплачує) оподатковуваний дохід;</w:t>
      </w:r>
    </w:p>
    <w:p w14:paraId="7FC63E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7" w:name="n3910"/>
      <w:bookmarkEnd w:id="4577"/>
      <w:r w:rsidRPr="008B264B">
        <w:rPr>
          <w:rFonts w:ascii="Times New Roman" w:eastAsia="Times New Roman" w:hAnsi="Times New Roman" w:cs="Times New Roman"/>
          <w:i/>
          <w:iCs/>
          <w:color w:val="000000"/>
          <w:sz w:val="24"/>
          <w:szCs w:val="24"/>
          <w:lang/>
        </w:rPr>
        <w:t>{Підпункт 168.4.7 пункту 168.4 статті 168 із змінами, внесеними згідно із Законом </w:t>
      </w:r>
      <w:hyperlink r:id="rId250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3566A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8" w:name="n3911"/>
      <w:bookmarkEnd w:id="4578"/>
      <w:r w:rsidRPr="008B264B">
        <w:rPr>
          <w:rFonts w:ascii="Times New Roman" w:eastAsia="Times New Roman" w:hAnsi="Times New Roman" w:cs="Times New Roman"/>
          <w:color w:val="000000"/>
          <w:sz w:val="24"/>
          <w:szCs w:val="24"/>
          <w:lang/>
        </w:rPr>
        <w:t>168.4.8. відповідальність за своєчасне та повне перерахування сум податку до відповідного бюджету несе фізична особа у випадках, визначених цим розділом.</w:t>
      </w:r>
    </w:p>
    <w:p w14:paraId="555062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79" w:name="n3912"/>
      <w:bookmarkEnd w:id="4579"/>
      <w:r w:rsidRPr="008B264B">
        <w:rPr>
          <w:rFonts w:ascii="Times New Roman" w:eastAsia="Times New Roman" w:hAnsi="Times New Roman" w:cs="Times New Roman"/>
          <w:i/>
          <w:iCs/>
          <w:color w:val="000000"/>
          <w:sz w:val="24"/>
          <w:szCs w:val="24"/>
          <w:lang/>
        </w:rPr>
        <w:t>{Підпункт 168.4.8 пункту 168.4 статті 168 із змінами, внесеними згідно із Законом </w:t>
      </w:r>
      <w:hyperlink r:id="rId250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7D464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0" w:name="n15139"/>
      <w:bookmarkEnd w:id="4580"/>
      <w:r w:rsidRPr="008B264B">
        <w:rPr>
          <w:rFonts w:ascii="Times New Roman" w:eastAsia="Times New Roman" w:hAnsi="Times New Roman" w:cs="Times New Roman"/>
          <w:color w:val="000000"/>
          <w:sz w:val="24"/>
          <w:szCs w:val="24"/>
          <w:lang/>
        </w:rPr>
        <w:t>168.4.9. Суми податку, нараховані податковим агентом з доходів за здавання фізичними особами в оренду (суборенду, емфітевзис) земельних ділянок, земельних часток (паїв), виділених або не виділених в натурі (на місцевості), сплачуються таким податковим агентом до відповідного бюджету за місцезнаходженням таких об’єктів оренди (суборенди, емфітевзису).</w:t>
      </w:r>
    </w:p>
    <w:p w14:paraId="7A315B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1" w:name="n15140"/>
      <w:bookmarkEnd w:id="4581"/>
      <w:r w:rsidRPr="008B264B">
        <w:rPr>
          <w:rFonts w:ascii="Times New Roman" w:eastAsia="Times New Roman" w:hAnsi="Times New Roman" w:cs="Times New Roman"/>
          <w:i/>
          <w:iCs/>
          <w:color w:val="000000"/>
          <w:sz w:val="24"/>
          <w:szCs w:val="24"/>
          <w:lang/>
        </w:rPr>
        <w:t>{Пункт 168.4 статті 168 доповнено підпунктом 168.4.9 згідно із Законом</w:t>
      </w:r>
      <w:r w:rsidRPr="008B264B">
        <w:rPr>
          <w:rFonts w:ascii="Times New Roman" w:eastAsia="Times New Roman" w:hAnsi="Times New Roman" w:cs="Times New Roman"/>
          <w:color w:val="000000"/>
          <w:sz w:val="24"/>
          <w:szCs w:val="24"/>
          <w:lang/>
        </w:rPr>
        <w:t> </w:t>
      </w:r>
      <w:hyperlink r:id="rId2510" w:anchor="n14"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295D0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2" w:name="n3913"/>
      <w:bookmarkEnd w:id="4582"/>
      <w:r w:rsidRPr="008B264B">
        <w:rPr>
          <w:rFonts w:ascii="Times New Roman" w:eastAsia="Times New Roman" w:hAnsi="Times New Roman" w:cs="Times New Roman"/>
          <w:color w:val="000000"/>
          <w:sz w:val="24"/>
          <w:szCs w:val="24"/>
          <w:lang/>
        </w:rPr>
        <w:t>168.5. Суми податку на доходи фізичних осіб, що утримуються з грошового забезпечення, грошових винагород та інших виплат, одержаних військовослужбовцями, поліцейськими, особами рядового і начальницького складу Державної кримінально-виконавчої служби України, Державної служби спеціального зв’язку та захисту інформації України, державної пожежної охорони, органів і підрозділів цивільного захисту, податкової міліції, у зв’язку з виконанням обов’язків несення служби, спрямовуються виключно на виплату рівноцінної та повної компенсації втрат доходів цієї категорії громадян.</w:t>
      </w:r>
    </w:p>
    <w:p w14:paraId="587D54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3" w:name="n14568"/>
      <w:bookmarkEnd w:id="4583"/>
      <w:r w:rsidRPr="008B264B">
        <w:rPr>
          <w:rFonts w:ascii="Times New Roman" w:eastAsia="Times New Roman" w:hAnsi="Times New Roman" w:cs="Times New Roman"/>
          <w:i/>
          <w:iCs/>
          <w:color w:val="000000"/>
          <w:sz w:val="24"/>
          <w:szCs w:val="24"/>
          <w:lang/>
        </w:rPr>
        <w:t>{Пункт 168.5 статті 168 в редакції Закону </w:t>
      </w:r>
      <w:hyperlink r:id="rId2511" w:anchor="n10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2512" w:anchor="n55" w:tgtFrame="_blank" w:history="1">
        <w:r w:rsidRPr="008B264B">
          <w:rPr>
            <w:rFonts w:ascii="Times New Roman" w:eastAsia="Times New Roman" w:hAnsi="Times New Roman" w:cs="Times New Roman"/>
            <w:i/>
            <w:iCs/>
            <w:color w:val="0000FF"/>
            <w:sz w:val="24"/>
            <w:szCs w:val="24"/>
            <w:u w:val="single"/>
            <w:lang/>
          </w:rPr>
          <w:t>№ 1989-VIII від 23.03.2017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513" w:anchor="n19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B28B0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4" w:name="n3914"/>
      <w:bookmarkEnd w:id="4584"/>
      <w:r w:rsidRPr="008B264B">
        <w:rPr>
          <w:rFonts w:ascii="Times New Roman" w:eastAsia="Times New Roman" w:hAnsi="Times New Roman" w:cs="Times New Roman"/>
          <w:b/>
          <w:bCs/>
          <w:color w:val="000000"/>
          <w:sz w:val="24"/>
          <w:szCs w:val="24"/>
          <w:lang/>
        </w:rPr>
        <w:t>Стаття 169.</w:t>
      </w:r>
      <w:r w:rsidRPr="008B264B">
        <w:rPr>
          <w:rFonts w:ascii="Times New Roman" w:eastAsia="Times New Roman" w:hAnsi="Times New Roman" w:cs="Times New Roman"/>
          <w:color w:val="000000"/>
          <w:sz w:val="24"/>
          <w:szCs w:val="24"/>
          <w:lang/>
        </w:rPr>
        <w:t> Перерахунок податку та податкові соціальні пільги</w:t>
      </w:r>
    </w:p>
    <w:p w14:paraId="430510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5" w:name="n3915"/>
      <w:bookmarkEnd w:id="4585"/>
      <w:r w:rsidRPr="008B264B">
        <w:rPr>
          <w:rFonts w:ascii="Times New Roman" w:eastAsia="Times New Roman" w:hAnsi="Times New Roman" w:cs="Times New Roman"/>
          <w:color w:val="000000"/>
          <w:sz w:val="24"/>
          <w:szCs w:val="24"/>
          <w:lang/>
        </w:rPr>
        <w:t>169.1. Перелік податкових соціальних пільг.</w:t>
      </w:r>
    </w:p>
    <w:p w14:paraId="344F37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6" w:name="n3916"/>
      <w:bookmarkEnd w:id="4586"/>
      <w:r w:rsidRPr="008B264B">
        <w:rPr>
          <w:rFonts w:ascii="Times New Roman" w:eastAsia="Times New Roman" w:hAnsi="Times New Roman" w:cs="Times New Roman"/>
          <w:color w:val="000000"/>
          <w:sz w:val="24"/>
          <w:szCs w:val="24"/>
          <w:lang/>
        </w:rPr>
        <w:t>З урахуванням норм </w:t>
      </w:r>
      <w:hyperlink r:id="rId2514" w:anchor="n3953" w:history="1">
        <w:r w:rsidRPr="008B264B">
          <w:rPr>
            <w:rFonts w:ascii="Times New Roman" w:eastAsia="Times New Roman" w:hAnsi="Times New Roman" w:cs="Times New Roman"/>
            <w:color w:val="0000FF"/>
            <w:sz w:val="24"/>
            <w:szCs w:val="24"/>
            <w:u w:val="single"/>
            <w:lang/>
          </w:rPr>
          <w:t>абзацу першого </w:t>
        </w:r>
      </w:hyperlink>
      <w:hyperlink r:id="rId2515" w:anchor="n3953" w:history="1">
        <w:r w:rsidRPr="008B264B">
          <w:rPr>
            <w:rFonts w:ascii="Times New Roman" w:eastAsia="Times New Roman" w:hAnsi="Times New Roman" w:cs="Times New Roman"/>
            <w:color w:val="0000FF"/>
            <w:sz w:val="24"/>
            <w:szCs w:val="24"/>
            <w:u w:val="single"/>
            <w:lang/>
          </w:rPr>
          <w:t>підпункту 169.4.1</w:t>
        </w:r>
      </w:hyperlink>
      <w:r w:rsidRPr="008B264B">
        <w:rPr>
          <w:rFonts w:ascii="Times New Roman" w:eastAsia="Times New Roman" w:hAnsi="Times New Roman" w:cs="Times New Roman"/>
          <w:color w:val="000000"/>
          <w:sz w:val="24"/>
          <w:szCs w:val="24"/>
          <w:lang/>
        </w:rPr>
        <w:t> пункту 169.4 цієї статті платник податку має право на зменшення суми загального місячного оподатковуваного доходу, отримуваного від одного роботодавця у вигляді заробітної плати, на суму податкової соціальної пільги:</w:t>
      </w:r>
    </w:p>
    <w:p w14:paraId="5E105D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7" w:name="n3917"/>
      <w:bookmarkEnd w:id="4587"/>
      <w:r w:rsidRPr="008B264B">
        <w:rPr>
          <w:rFonts w:ascii="Times New Roman" w:eastAsia="Times New Roman" w:hAnsi="Times New Roman" w:cs="Times New Roman"/>
          <w:color w:val="000000"/>
          <w:sz w:val="24"/>
          <w:szCs w:val="24"/>
          <w:lang/>
        </w:rPr>
        <w:lastRenderedPageBreak/>
        <w:t>169.1.1. у розмірі, що дорівнює 50 відсоткам розміру прожиткового мінімуму для працездатної особи (у розрахунку на місяць), встановленому законом на 1 січня звітного податкового року, - для будь-якого платника податку;</w:t>
      </w:r>
    </w:p>
    <w:p w14:paraId="34EF0F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8" w:name="n12734"/>
      <w:bookmarkEnd w:id="4588"/>
      <w:r w:rsidRPr="008B264B">
        <w:rPr>
          <w:rFonts w:ascii="Times New Roman" w:eastAsia="Times New Roman" w:hAnsi="Times New Roman" w:cs="Times New Roman"/>
          <w:i/>
          <w:iCs/>
          <w:color w:val="000000"/>
          <w:sz w:val="24"/>
          <w:szCs w:val="24"/>
          <w:lang/>
        </w:rPr>
        <w:t>{Підпункт 169.1.1 пункту 169.1 статті 169 із змінами, внесеними згідно із Законом </w:t>
      </w:r>
      <w:hyperlink r:id="rId2516" w:anchor="n14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23F18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89" w:name="n3918"/>
      <w:bookmarkEnd w:id="4589"/>
      <w:r w:rsidRPr="008B264B">
        <w:rPr>
          <w:rFonts w:ascii="Times New Roman" w:eastAsia="Times New Roman" w:hAnsi="Times New Roman" w:cs="Times New Roman"/>
          <w:color w:val="000000"/>
          <w:sz w:val="24"/>
          <w:szCs w:val="24"/>
          <w:lang/>
        </w:rPr>
        <w:t>169.1.2. у розмірі, що дорівнює 100 відсоткам суми пільги, визначеної підпунктом 169.1.1 цього пункту, - для платника податку, який утримує двох чи більше дітей віком до 18 років, - у розрахунку на кожну таку дитину;</w:t>
      </w:r>
    </w:p>
    <w:p w14:paraId="599F84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0" w:name="n3919"/>
      <w:bookmarkEnd w:id="4590"/>
      <w:r w:rsidRPr="008B264B">
        <w:rPr>
          <w:rFonts w:ascii="Times New Roman" w:eastAsia="Times New Roman" w:hAnsi="Times New Roman" w:cs="Times New Roman"/>
          <w:color w:val="000000"/>
          <w:sz w:val="24"/>
          <w:szCs w:val="24"/>
          <w:lang/>
        </w:rPr>
        <w:t>169.1.3. у розмірі, що дорівнює 150 відсоткам суми пільги, визначеної підпунктом 169.1.1 цього пункту, - для такого платника податку, який:</w:t>
      </w:r>
    </w:p>
    <w:p w14:paraId="57AE7A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1" w:name="n3920"/>
      <w:bookmarkEnd w:id="4591"/>
      <w:r w:rsidRPr="008B264B">
        <w:rPr>
          <w:rFonts w:ascii="Times New Roman" w:eastAsia="Times New Roman" w:hAnsi="Times New Roman" w:cs="Times New Roman"/>
          <w:color w:val="000000"/>
          <w:sz w:val="24"/>
          <w:szCs w:val="24"/>
          <w:lang/>
        </w:rPr>
        <w:t>а) є одинокою матір'ю (батьком), вдовою (вдівцем) або опікуном, піклувальником - у розрахунку на кожну дитину віком до 18 років;</w:t>
      </w:r>
    </w:p>
    <w:p w14:paraId="5BB0DF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2" w:name="n3921"/>
      <w:bookmarkEnd w:id="4592"/>
      <w:r w:rsidRPr="008B264B">
        <w:rPr>
          <w:rFonts w:ascii="Times New Roman" w:eastAsia="Times New Roman" w:hAnsi="Times New Roman" w:cs="Times New Roman"/>
          <w:color w:val="000000"/>
          <w:sz w:val="24"/>
          <w:szCs w:val="24"/>
          <w:lang/>
        </w:rPr>
        <w:t>б) утримує дитину з інвалідністю - у розрахунку на кожну таку дитину віком до 18 років;</w:t>
      </w:r>
    </w:p>
    <w:p w14:paraId="2B6CB6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3" w:name="n3922"/>
      <w:bookmarkEnd w:id="4593"/>
      <w:r w:rsidRPr="008B264B">
        <w:rPr>
          <w:rFonts w:ascii="Times New Roman" w:eastAsia="Times New Roman" w:hAnsi="Times New Roman" w:cs="Times New Roman"/>
          <w:color w:val="000000"/>
          <w:sz w:val="24"/>
          <w:szCs w:val="24"/>
          <w:lang/>
        </w:rPr>
        <w:t>в) є особою, віднесеною законом до першої або другої категорій осіб, які постраждали внаслідок Чорнобильської катастрофи, включаючи осіб, нагороджених грамотами Президії Верховної Ради УРСР у зв'язку з їх участю в ліквідації наслідків Чорнобильської катастрофи;</w:t>
      </w:r>
    </w:p>
    <w:p w14:paraId="04A9D6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4" w:name="n3923"/>
      <w:bookmarkEnd w:id="4594"/>
      <w:r w:rsidRPr="008B264B">
        <w:rPr>
          <w:rFonts w:ascii="Times New Roman" w:eastAsia="Times New Roman" w:hAnsi="Times New Roman" w:cs="Times New Roman"/>
          <w:color w:val="000000"/>
          <w:sz w:val="24"/>
          <w:szCs w:val="24"/>
          <w:lang/>
        </w:rPr>
        <w:t>г) є учнем, студентом, аспірантом, ординатором, ад'юнктом;</w:t>
      </w:r>
    </w:p>
    <w:p w14:paraId="029044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5" w:name="n3924"/>
      <w:bookmarkEnd w:id="4595"/>
      <w:r w:rsidRPr="008B264B">
        <w:rPr>
          <w:rFonts w:ascii="Times New Roman" w:eastAsia="Times New Roman" w:hAnsi="Times New Roman" w:cs="Times New Roman"/>
          <w:color w:val="000000"/>
          <w:sz w:val="24"/>
          <w:szCs w:val="24"/>
          <w:lang/>
        </w:rPr>
        <w:t>ґ) є особою з інвалідністю I або II групи, у тому числі з дитинства, крім осіб з інвалідністю, пільга яким визначена </w:t>
      </w:r>
      <w:hyperlink r:id="rId2517" w:anchor="n3929" w:history="1">
        <w:r w:rsidRPr="008B264B">
          <w:rPr>
            <w:rFonts w:ascii="Times New Roman" w:eastAsia="Times New Roman" w:hAnsi="Times New Roman" w:cs="Times New Roman"/>
            <w:color w:val="0000FF"/>
            <w:sz w:val="24"/>
            <w:szCs w:val="24"/>
            <w:u w:val="single"/>
            <w:lang/>
          </w:rPr>
          <w:t>підпунктом "б" підпункту 169.1.4</w:t>
        </w:r>
      </w:hyperlink>
      <w:r w:rsidRPr="008B264B">
        <w:rPr>
          <w:rFonts w:ascii="Times New Roman" w:eastAsia="Times New Roman" w:hAnsi="Times New Roman" w:cs="Times New Roman"/>
          <w:color w:val="000000"/>
          <w:sz w:val="24"/>
          <w:szCs w:val="24"/>
          <w:lang/>
        </w:rPr>
        <w:t> цього пункту;</w:t>
      </w:r>
    </w:p>
    <w:p w14:paraId="73A204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6" w:name="n3925"/>
      <w:bookmarkEnd w:id="4596"/>
      <w:r w:rsidRPr="008B264B">
        <w:rPr>
          <w:rFonts w:ascii="Times New Roman" w:eastAsia="Times New Roman" w:hAnsi="Times New Roman" w:cs="Times New Roman"/>
          <w:color w:val="000000"/>
          <w:sz w:val="24"/>
          <w:szCs w:val="24"/>
          <w:lang/>
        </w:rPr>
        <w:t>д) є особою, якій присуджено довічну стипендію як громадянину, що зазнав переслідувань за правозахисну діяльність, включаючи журналістів;</w:t>
      </w:r>
    </w:p>
    <w:p w14:paraId="299190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7" w:name="n3926"/>
      <w:bookmarkEnd w:id="4597"/>
      <w:r w:rsidRPr="008B264B">
        <w:rPr>
          <w:rFonts w:ascii="Times New Roman" w:eastAsia="Times New Roman" w:hAnsi="Times New Roman" w:cs="Times New Roman"/>
          <w:color w:val="000000"/>
          <w:sz w:val="24"/>
          <w:szCs w:val="24"/>
          <w:lang/>
        </w:rPr>
        <w:t>е) є учасником бойових дій на території інших країн у період після Другої світової війни, на якого поширюється дія </w:t>
      </w:r>
      <w:hyperlink r:id="rId2518" w:tgtFrame="_blank" w:history="1">
        <w:r w:rsidRPr="008B264B">
          <w:rPr>
            <w:rFonts w:ascii="Times New Roman" w:eastAsia="Times New Roman" w:hAnsi="Times New Roman" w:cs="Times New Roman"/>
            <w:color w:val="0000FF"/>
            <w:sz w:val="24"/>
            <w:szCs w:val="24"/>
            <w:u w:val="single"/>
            <w:lang/>
          </w:rPr>
          <w:t>Закону України "Про статус ветеранів війни, гарантії їх соціального захисту"</w:t>
        </w:r>
      </w:hyperlink>
      <w:r w:rsidRPr="008B264B">
        <w:rPr>
          <w:rFonts w:ascii="Times New Roman" w:eastAsia="Times New Roman" w:hAnsi="Times New Roman" w:cs="Times New Roman"/>
          <w:color w:val="000000"/>
          <w:sz w:val="24"/>
          <w:szCs w:val="24"/>
          <w:lang/>
        </w:rPr>
        <w:t>, крім осіб, визначених у підпункті "б" підпункту 169.1.4 цього пункту;</w:t>
      </w:r>
    </w:p>
    <w:p w14:paraId="50730E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8" w:name="n3927"/>
      <w:bookmarkEnd w:id="4598"/>
      <w:r w:rsidRPr="008B264B">
        <w:rPr>
          <w:rFonts w:ascii="Times New Roman" w:eastAsia="Times New Roman" w:hAnsi="Times New Roman" w:cs="Times New Roman"/>
          <w:color w:val="000000"/>
          <w:sz w:val="24"/>
          <w:szCs w:val="24"/>
          <w:lang/>
        </w:rPr>
        <w:t>169.1.4. у розмірі, що дорівнює 200 відсоткам суми пільги, визначеної </w:t>
      </w:r>
      <w:hyperlink r:id="rId2519" w:anchor="n3917" w:history="1">
        <w:r w:rsidRPr="008B264B">
          <w:rPr>
            <w:rFonts w:ascii="Times New Roman" w:eastAsia="Times New Roman" w:hAnsi="Times New Roman" w:cs="Times New Roman"/>
            <w:color w:val="0000FF"/>
            <w:sz w:val="24"/>
            <w:szCs w:val="24"/>
            <w:u w:val="single"/>
            <w:lang/>
          </w:rPr>
          <w:t>підпунктом 169.1.1</w:t>
        </w:r>
      </w:hyperlink>
      <w:r w:rsidRPr="008B264B">
        <w:rPr>
          <w:rFonts w:ascii="Times New Roman" w:eastAsia="Times New Roman" w:hAnsi="Times New Roman" w:cs="Times New Roman"/>
          <w:color w:val="000000"/>
          <w:sz w:val="24"/>
          <w:szCs w:val="24"/>
          <w:lang/>
        </w:rPr>
        <w:t> цього пункту, - для такого платника податку, який є:</w:t>
      </w:r>
    </w:p>
    <w:p w14:paraId="68FC4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599" w:name="n3928"/>
      <w:bookmarkEnd w:id="4599"/>
      <w:r w:rsidRPr="008B264B">
        <w:rPr>
          <w:rFonts w:ascii="Times New Roman" w:eastAsia="Times New Roman" w:hAnsi="Times New Roman" w:cs="Times New Roman"/>
          <w:color w:val="000000"/>
          <w:sz w:val="24"/>
          <w:szCs w:val="24"/>
          <w:lang/>
        </w:rPr>
        <w:t>а) Героєм України, Героєм Радянського Союзу, Героєм Соціалістичної Праці або повним кавалером ордена Слави чи ордена Трудової Слави, особою, нагородженою чотирма і більше медалями "За відвагу";</w:t>
      </w:r>
    </w:p>
    <w:p w14:paraId="306A0B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0" w:name="n3929"/>
      <w:bookmarkEnd w:id="4600"/>
      <w:r w:rsidRPr="008B264B">
        <w:rPr>
          <w:rFonts w:ascii="Times New Roman" w:eastAsia="Times New Roman" w:hAnsi="Times New Roman" w:cs="Times New Roman"/>
          <w:color w:val="000000"/>
          <w:sz w:val="24"/>
          <w:szCs w:val="24"/>
          <w:lang/>
        </w:rPr>
        <w:t>б) учасником бойових дій під час Другої світової війни або особою, яка у той час працювала в тилу, та особою з інвалідністю I і II групи, з числа учасників бойових дій на території інших країн у період після Другої світової війни, на яких поширюється дія </w:t>
      </w:r>
      <w:hyperlink r:id="rId2520" w:tgtFrame="_blank" w:history="1">
        <w:r w:rsidRPr="008B264B">
          <w:rPr>
            <w:rFonts w:ascii="Times New Roman" w:eastAsia="Times New Roman" w:hAnsi="Times New Roman" w:cs="Times New Roman"/>
            <w:color w:val="0000FF"/>
            <w:sz w:val="24"/>
            <w:szCs w:val="24"/>
            <w:u w:val="single"/>
            <w:lang/>
          </w:rPr>
          <w:t>Закону України "Про статус ветеранів війни, гарантії їх соціального захисту"</w:t>
        </w:r>
      </w:hyperlink>
      <w:r w:rsidRPr="008B264B">
        <w:rPr>
          <w:rFonts w:ascii="Times New Roman" w:eastAsia="Times New Roman" w:hAnsi="Times New Roman" w:cs="Times New Roman"/>
          <w:color w:val="000000"/>
          <w:sz w:val="24"/>
          <w:szCs w:val="24"/>
          <w:lang/>
        </w:rPr>
        <w:t>;</w:t>
      </w:r>
    </w:p>
    <w:p w14:paraId="6F5AD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1" w:name="n3930"/>
      <w:bookmarkEnd w:id="4601"/>
      <w:r w:rsidRPr="008B264B">
        <w:rPr>
          <w:rFonts w:ascii="Times New Roman" w:eastAsia="Times New Roman" w:hAnsi="Times New Roman" w:cs="Times New Roman"/>
          <w:color w:val="000000"/>
          <w:sz w:val="24"/>
          <w:szCs w:val="24"/>
          <w:lang/>
        </w:rPr>
        <w:t>в) колишнім в'язнем концтаборів, гетто та інших місць примусового утримання під час Другої світової війни або особою, визнаною репресованою чи реабілітованою;</w:t>
      </w:r>
    </w:p>
    <w:p w14:paraId="0B9447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2" w:name="n3931"/>
      <w:bookmarkEnd w:id="4602"/>
      <w:r w:rsidRPr="008B264B">
        <w:rPr>
          <w:rFonts w:ascii="Times New Roman" w:eastAsia="Times New Roman" w:hAnsi="Times New Roman" w:cs="Times New Roman"/>
          <w:color w:val="000000"/>
          <w:sz w:val="24"/>
          <w:szCs w:val="24"/>
          <w:lang/>
        </w:rPr>
        <w:t>г) особою, яка була насильно вивезена з території колишнього СРСР під час Другої світової війни на територію держав, що перебували у стані війни з колишнім СРСР або були окуповані фашистською Німеччиною та її союзниками;</w:t>
      </w:r>
    </w:p>
    <w:p w14:paraId="5283A4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3" w:name="n3932"/>
      <w:bookmarkEnd w:id="4603"/>
      <w:r w:rsidRPr="008B264B">
        <w:rPr>
          <w:rFonts w:ascii="Times New Roman" w:eastAsia="Times New Roman" w:hAnsi="Times New Roman" w:cs="Times New Roman"/>
          <w:color w:val="000000"/>
          <w:sz w:val="24"/>
          <w:szCs w:val="24"/>
          <w:lang/>
        </w:rPr>
        <w:t>ґ) особою, яка перебувала на блокадній території колишнього Ленінграда (Санкт-Петербург, Російська Федерація) у період з 8 вересня 1941 року по 27 січня 1944 року.</w:t>
      </w:r>
    </w:p>
    <w:p w14:paraId="1F3DBB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4" w:name="n3933"/>
      <w:bookmarkEnd w:id="4604"/>
      <w:r w:rsidRPr="008B264B">
        <w:rPr>
          <w:rFonts w:ascii="Times New Roman" w:eastAsia="Times New Roman" w:hAnsi="Times New Roman" w:cs="Times New Roman"/>
          <w:color w:val="000000"/>
          <w:sz w:val="24"/>
          <w:szCs w:val="24"/>
          <w:lang/>
        </w:rPr>
        <w:t>169.2. Вибір місця отримання (застосування) податкової соціальної пільги.</w:t>
      </w:r>
    </w:p>
    <w:p w14:paraId="1E4062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5" w:name="n3934"/>
      <w:bookmarkEnd w:id="4605"/>
      <w:r w:rsidRPr="008B264B">
        <w:rPr>
          <w:rFonts w:ascii="Times New Roman" w:eastAsia="Times New Roman" w:hAnsi="Times New Roman" w:cs="Times New Roman"/>
          <w:color w:val="000000"/>
          <w:sz w:val="24"/>
          <w:szCs w:val="24"/>
          <w:lang/>
        </w:rPr>
        <w:t>169.2.1. Податкова соціальна пільга застосовується до нарахованого платнику податку місячного доходу у вигляді заробітної плати тільки за одним місцем його нарахування (виплати).</w:t>
      </w:r>
    </w:p>
    <w:p w14:paraId="270681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6" w:name="n3935"/>
      <w:bookmarkEnd w:id="4606"/>
      <w:r w:rsidRPr="008B264B">
        <w:rPr>
          <w:rFonts w:ascii="Times New Roman" w:eastAsia="Times New Roman" w:hAnsi="Times New Roman" w:cs="Times New Roman"/>
          <w:color w:val="000000"/>
          <w:sz w:val="24"/>
          <w:szCs w:val="24"/>
          <w:lang/>
        </w:rPr>
        <w:lastRenderedPageBreak/>
        <w:t>169.2.2. Платник податку подає роботодавцю заяву про самостійне обрання місця застосування податкової соціальної пільги (далі - заява про застосування пільги).</w:t>
      </w:r>
    </w:p>
    <w:p w14:paraId="3FA4D6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7" w:name="n3936"/>
      <w:bookmarkEnd w:id="4607"/>
      <w:r w:rsidRPr="008B264B">
        <w:rPr>
          <w:rFonts w:ascii="Times New Roman" w:eastAsia="Times New Roman" w:hAnsi="Times New Roman" w:cs="Times New Roman"/>
          <w:color w:val="000000"/>
          <w:sz w:val="24"/>
          <w:szCs w:val="24"/>
          <w:lang/>
        </w:rPr>
        <w:t>Податкова соціальна пільга починає застосовуватися до нарахованих доходів у вигляді заробітної плати з дня отримання роботодавцем заяви платника податку про застосування пільги та документів, що підтверджують таке право. Роботодавець відображає у податковій звітності всі випадки застосування або незастосування податкової соціальної пільги згідно з отриманими від платників податку заявами про застосування пільги, а також заявами про відмову від такої пільги.</w:t>
      </w:r>
    </w:p>
    <w:bookmarkStart w:id="4608" w:name="n3937"/>
    <w:bookmarkEnd w:id="4608"/>
    <w:p w14:paraId="31C832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"https://zakon.rada.gov.ua/laws/show/1227-2010-%D0%BF"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Перелік таких документів та </w:t>
      </w:r>
      <w:r w:rsidRPr="008B264B">
        <w:rPr>
          <w:rFonts w:ascii="Times New Roman" w:eastAsia="Times New Roman" w:hAnsi="Times New Roman" w:cs="Times New Roman"/>
          <w:color w:val="000000"/>
          <w:sz w:val="24"/>
          <w:szCs w:val="24"/>
          <w:lang/>
        </w:rPr>
        <w:fldChar w:fldCharType="end"/>
      </w:r>
      <w:hyperlink r:id="rId2521" w:tgtFrame="_blank" w:history="1">
        <w:r w:rsidRPr="008B264B">
          <w:rPr>
            <w:rFonts w:ascii="Times New Roman" w:eastAsia="Times New Roman" w:hAnsi="Times New Roman" w:cs="Times New Roman"/>
            <w:color w:val="0000FF"/>
            <w:sz w:val="24"/>
            <w:szCs w:val="24"/>
            <w:u w:val="single"/>
            <w:lang/>
          </w:rPr>
          <w:t>порядок</w:t>
        </w:r>
      </w:hyperlink>
      <w:hyperlink r:id="rId2522" w:tgtFrame="_blank" w:history="1">
        <w:r w:rsidRPr="008B264B">
          <w:rPr>
            <w:rFonts w:ascii="Times New Roman" w:eastAsia="Times New Roman" w:hAnsi="Times New Roman" w:cs="Times New Roman"/>
            <w:color w:val="0000FF"/>
            <w:sz w:val="24"/>
            <w:szCs w:val="24"/>
            <w:u w:val="single"/>
            <w:lang/>
          </w:rPr>
          <w:t> їх подання</w:t>
        </w:r>
      </w:hyperlink>
      <w:r w:rsidRPr="008B264B">
        <w:rPr>
          <w:rFonts w:ascii="Times New Roman" w:eastAsia="Times New Roman" w:hAnsi="Times New Roman" w:cs="Times New Roman"/>
          <w:color w:val="000000"/>
          <w:sz w:val="24"/>
          <w:szCs w:val="24"/>
          <w:lang/>
        </w:rPr>
        <w:t> визначає Кабінет Міністрів України.</w:t>
      </w:r>
    </w:p>
    <w:p w14:paraId="6835B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09" w:name="n3938"/>
      <w:bookmarkEnd w:id="4609"/>
      <w:r w:rsidRPr="008B264B">
        <w:rPr>
          <w:rFonts w:ascii="Times New Roman" w:eastAsia="Times New Roman" w:hAnsi="Times New Roman" w:cs="Times New Roman"/>
          <w:color w:val="000000"/>
          <w:sz w:val="24"/>
          <w:szCs w:val="24"/>
          <w:lang/>
        </w:rPr>
        <w:t>169.2.3. Податкова соціальна пільга не може бути застосована до:</w:t>
      </w:r>
    </w:p>
    <w:p w14:paraId="706BAF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0" w:name="n3939"/>
      <w:bookmarkEnd w:id="4610"/>
      <w:r w:rsidRPr="008B264B">
        <w:rPr>
          <w:rFonts w:ascii="Times New Roman" w:eastAsia="Times New Roman" w:hAnsi="Times New Roman" w:cs="Times New Roman"/>
          <w:color w:val="000000"/>
          <w:sz w:val="24"/>
          <w:szCs w:val="24"/>
          <w:lang/>
        </w:rPr>
        <w:t>доходів платника податку, інших ніж заробітна плата;</w:t>
      </w:r>
    </w:p>
    <w:p w14:paraId="6E465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1" w:name="n3940"/>
      <w:bookmarkEnd w:id="4611"/>
      <w:r w:rsidRPr="008B264B">
        <w:rPr>
          <w:rFonts w:ascii="Times New Roman" w:eastAsia="Times New Roman" w:hAnsi="Times New Roman" w:cs="Times New Roman"/>
          <w:color w:val="000000"/>
          <w:sz w:val="24"/>
          <w:szCs w:val="24"/>
          <w:lang/>
        </w:rPr>
        <w:t>заробітної плати, яку платник податку протягом звітного податкового місяця отримує одночасно з доходами у вигляді стипендії, грошового чи майнового (речового) забезпечення учнів, студентів, аспірантів, ординаторів, ад'юнктів, військовослужбовців, що виплачуються з бюджету;</w:t>
      </w:r>
    </w:p>
    <w:p w14:paraId="1A8681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2" w:name="n3941"/>
      <w:bookmarkEnd w:id="4612"/>
      <w:r w:rsidRPr="008B264B">
        <w:rPr>
          <w:rFonts w:ascii="Times New Roman" w:eastAsia="Times New Roman" w:hAnsi="Times New Roman" w:cs="Times New Roman"/>
          <w:color w:val="000000"/>
          <w:sz w:val="24"/>
          <w:szCs w:val="24"/>
          <w:lang/>
        </w:rPr>
        <w:t>доходу самозайнятої особи від провадження підприємницької діяльності, а також іншої незалежної професійної діяльності.</w:t>
      </w:r>
    </w:p>
    <w:p w14:paraId="352CFE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3" w:name="n3942"/>
      <w:bookmarkEnd w:id="4613"/>
      <w:r w:rsidRPr="008B264B">
        <w:rPr>
          <w:rFonts w:ascii="Times New Roman" w:eastAsia="Times New Roman" w:hAnsi="Times New Roman" w:cs="Times New Roman"/>
          <w:color w:val="000000"/>
          <w:sz w:val="24"/>
          <w:szCs w:val="24"/>
          <w:lang/>
        </w:rPr>
        <w:t>Податкова соціальна пільга до заробітної плати державних службовців застосовується під час її нарахування до завершення нарахування таких доходів без подання відповідних заяв, зазначених у </w:t>
      </w:r>
      <w:hyperlink r:id="rId2523" w:anchor="n3935" w:history="1">
        <w:r w:rsidRPr="008B264B">
          <w:rPr>
            <w:rFonts w:ascii="Times New Roman" w:eastAsia="Times New Roman" w:hAnsi="Times New Roman" w:cs="Times New Roman"/>
            <w:color w:val="0000FF"/>
            <w:sz w:val="24"/>
            <w:szCs w:val="24"/>
            <w:u w:val="single"/>
            <w:lang/>
          </w:rPr>
          <w:t>підпункті 169.2.2</w:t>
        </w:r>
      </w:hyperlink>
      <w:r w:rsidRPr="008B264B">
        <w:rPr>
          <w:rFonts w:ascii="Times New Roman" w:eastAsia="Times New Roman" w:hAnsi="Times New Roman" w:cs="Times New Roman"/>
          <w:color w:val="000000"/>
          <w:sz w:val="24"/>
          <w:szCs w:val="24"/>
          <w:lang/>
        </w:rPr>
        <w:t> цього пункту, але з поданням підтвердних документів для встановлення розміру пільги.</w:t>
      </w:r>
    </w:p>
    <w:p w14:paraId="1A329E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4" w:name="n3943"/>
      <w:bookmarkEnd w:id="4614"/>
      <w:r w:rsidRPr="008B264B">
        <w:rPr>
          <w:rFonts w:ascii="Times New Roman" w:eastAsia="Times New Roman" w:hAnsi="Times New Roman" w:cs="Times New Roman"/>
          <w:color w:val="000000"/>
          <w:sz w:val="24"/>
          <w:szCs w:val="24"/>
          <w:lang/>
        </w:rPr>
        <w:t>169.2.4. Якщо платник податку порушує норми цього пункту, внаслідок чого, зокрема, податкова соціальна пільга застосовується також під час отримання інших доходів протягом будь-якого звітного податкового місяця або за кількома місцями отримання доходів, такий платник податку втрачає право на отримання податкової соціальної пільги за всіма місцями отримання доходу починаючи з місяця, в якому мало місце таке порушення, та закінчуючи місяцем, в якому право на застосування податкової соціальної пільги відновлюється.</w:t>
      </w:r>
    </w:p>
    <w:p w14:paraId="22E4EC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5" w:name="n3944"/>
      <w:bookmarkEnd w:id="4615"/>
      <w:r w:rsidRPr="008B264B">
        <w:rPr>
          <w:rFonts w:ascii="Times New Roman" w:eastAsia="Times New Roman" w:hAnsi="Times New Roman" w:cs="Times New Roman"/>
          <w:color w:val="000000"/>
          <w:sz w:val="24"/>
          <w:szCs w:val="24"/>
          <w:lang/>
        </w:rPr>
        <w:t>Платник податку може відновити право на застосування податкової соціальної пільги, якщо він подасть заяву про відмову від такої пільги всім роботодавцям із зазначенням місяця, коли відбулося таке порушення, на підставі чого кожний роботодавець нараховує і утримує відповідну суму недоплати податку та штраф у розмірі 100 відсотків суми цієї недоплати за рахунок найближчої виплати доходу такому платнику податку, а у разі, коли сума виплати недостатня, - за рахунок наступних виплат. Якщо сума недоплати та/або штрафу не були утримані податковим агентом за рахунок доходу платника податку, то такі суми включаються до річної податкової декларації такого платника податку. При цьому право на застосування податкової соціальної пільги відновлюється з податкового місяця, що настає за місяцем, в якому сума такої недоплати та штраф повністю погашаються.</w:t>
      </w:r>
    </w:p>
    <w:p w14:paraId="435682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6" w:name="n3945"/>
      <w:bookmarkEnd w:id="4616"/>
      <w:r w:rsidRPr="008B264B">
        <w:rPr>
          <w:rFonts w:ascii="Times New Roman" w:eastAsia="Times New Roman" w:hAnsi="Times New Roman" w:cs="Times New Roman"/>
          <w:color w:val="000000"/>
          <w:sz w:val="24"/>
          <w:szCs w:val="24"/>
          <w:lang/>
        </w:rPr>
        <w:t>Центральний орган виконавчої влади, що забезпечує формування та реалізує державну фінансову політику, встановлює також </w:t>
      </w:r>
      <w:hyperlink r:id="rId2524" w:anchor="n17" w:tgtFrame="_blank" w:history="1">
        <w:r w:rsidRPr="008B264B">
          <w:rPr>
            <w:rFonts w:ascii="Times New Roman" w:eastAsia="Times New Roman" w:hAnsi="Times New Roman" w:cs="Times New Roman"/>
            <w:color w:val="0000FF"/>
            <w:sz w:val="24"/>
            <w:szCs w:val="24"/>
            <w:u w:val="single"/>
            <w:lang/>
          </w:rPr>
          <w:t>порядок інформування роботодавців платника податку</w:t>
        </w:r>
      </w:hyperlink>
      <w:r w:rsidRPr="008B264B">
        <w:rPr>
          <w:rFonts w:ascii="Times New Roman" w:eastAsia="Times New Roman" w:hAnsi="Times New Roman" w:cs="Times New Roman"/>
          <w:color w:val="000000"/>
          <w:sz w:val="24"/>
          <w:szCs w:val="24"/>
          <w:lang/>
        </w:rPr>
        <w:t> про наявність порушень ним норм </w:t>
      </w:r>
      <w:hyperlink r:id="rId2525" w:anchor="n3934" w:history="1">
        <w:r w:rsidRPr="008B264B">
          <w:rPr>
            <w:rFonts w:ascii="Times New Roman" w:eastAsia="Times New Roman" w:hAnsi="Times New Roman" w:cs="Times New Roman"/>
            <w:color w:val="0000FF"/>
            <w:sz w:val="24"/>
            <w:szCs w:val="24"/>
            <w:u w:val="single"/>
            <w:lang/>
          </w:rPr>
          <w:t>підпункту 169.2.1</w:t>
        </w:r>
      </w:hyperlink>
      <w:r w:rsidRPr="008B264B">
        <w:rPr>
          <w:rFonts w:ascii="Times New Roman" w:eastAsia="Times New Roman" w:hAnsi="Times New Roman" w:cs="Times New Roman"/>
          <w:color w:val="000000"/>
          <w:sz w:val="24"/>
          <w:szCs w:val="24"/>
          <w:lang/>
        </w:rPr>
        <w:t> цього пункту, виявлених на підставі даних податкової звітності чи документальних перевірок, а також порядок інформування роботодавця про позбавлення платника податку або про відновлення його права на податкову соціальну пільгу.</w:t>
      </w:r>
    </w:p>
    <w:p w14:paraId="68DB3F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7" w:name="n13442"/>
      <w:bookmarkEnd w:id="4617"/>
      <w:r w:rsidRPr="008B264B">
        <w:rPr>
          <w:rFonts w:ascii="Times New Roman" w:eastAsia="Times New Roman" w:hAnsi="Times New Roman" w:cs="Times New Roman"/>
          <w:i/>
          <w:iCs/>
          <w:color w:val="000000"/>
          <w:sz w:val="24"/>
          <w:szCs w:val="24"/>
          <w:lang/>
        </w:rPr>
        <w:t>{Абзац третій підпункту 169.2.4 пункту 169.2 статті 169 із змінами, внесеними згідно із Законом </w:t>
      </w:r>
      <w:hyperlink r:id="rId252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21E6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8" w:name="n3946"/>
      <w:bookmarkEnd w:id="4618"/>
      <w:r w:rsidRPr="008B264B">
        <w:rPr>
          <w:rFonts w:ascii="Times New Roman" w:eastAsia="Times New Roman" w:hAnsi="Times New Roman" w:cs="Times New Roman"/>
          <w:color w:val="000000"/>
          <w:sz w:val="24"/>
          <w:szCs w:val="24"/>
          <w:lang/>
        </w:rPr>
        <w:t>169.3. Вибір розміру податкової соціальної пільги та строк її дії.</w:t>
      </w:r>
    </w:p>
    <w:p w14:paraId="358FEF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19" w:name="n3947"/>
      <w:bookmarkEnd w:id="4619"/>
      <w:r w:rsidRPr="008B264B">
        <w:rPr>
          <w:rFonts w:ascii="Times New Roman" w:eastAsia="Times New Roman" w:hAnsi="Times New Roman" w:cs="Times New Roman"/>
          <w:color w:val="000000"/>
          <w:sz w:val="24"/>
          <w:szCs w:val="24"/>
          <w:lang/>
        </w:rPr>
        <w:t>169.3.1. У разі якщо платник податку має право на застосування податкової соціальної пільги з двох і більше підстав, зазначених у </w:t>
      </w:r>
      <w:hyperlink r:id="rId2527" w:anchor="n3915" w:history="1">
        <w:r w:rsidRPr="008B264B">
          <w:rPr>
            <w:rFonts w:ascii="Times New Roman" w:eastAsia="Times New Roman" w:hAnsi="Times New Roman" w:cs="Times New Roman"/>
            <w:color w:val="0000FF"/>
            <w:sz w:val="24"/>
            <w:szCs w:val="24"/>
            <w:u w:val="single"/>
            <w:lang/>
          </w:rPr>
          <w:t>пункті 169.1</w:t>
        </w:r>
      </w:hyperlink>
      <w:r w:rsidRPr="008B264B">
        <w:rPr>
          <w:rFonts w:ascii="Times New Roman" w:eastAsia="Times New Roman" w:hAnsi="Times New Roman" w:cs="Times New Roman"/>
          <w:color w:val="000000"/>
          <w:sz w:val="24"/>
          <w:szCs w:val="24"/>
          <w:lang/>
        </w:rPr>
        <w:t xml:space="preserve"> цієї статті, застосовується одна податкова </w:t>
      </w:r>
      <w:r w:rsidRPr="008B264B">
        <w:rPr>
          <w:rFonts w:ascii="Times New Roman" w:eastAsia="Times New Roman" w:hAnsi="Times New Roman" w:cs="Times New Roman"/>
          <w:color w:val="000000"/>
          <w:sz w:val="24"/>
          <w:szCs w:val="24"/>
          <w:lang/>
        </w:rPr>
        <w:lastRenderedPageBreak/>
        <w:t>соціальна пільга з підстави, що передбачає її найбільший розмір, за умови дотримання процедур, визначених </w:t>
      </w:r>
      <w:hyperlink r:id="rId2528" w:anchor="n3953" w:history="1">
        <w:r w:rsidRPr="008B264B">
          <w:rPr>
            <w:rFonts w:ascii="Times New Roman" w:eastAsia="Times New Roman" w:hAnsi="Times New Roman" w:cs="Times New Roman"/>
            <w:color w:val="0000FF"/>
            <w:sz w:val="24"/>
            <w:szCs w:val="24"/>
            <w:u w:val="single"/>
            <w:lang/>
          </w:rPr>
          <w:t>підпунктом 169.4.1</w:t>
        </w:r>
      </w:hyperlink>
      <w:r w:rsidRPr="008B264B">
        <w:rPr>
          <w:rFonts w:ascii="Times New Roman" w:eastAsia="Times New Roman" w:hAnsi="Times New Roman" w:cs="Times New Roman"/>
          <w:color w:val="000000"/>
          <w:sz w:val="24"/>
          <w:szCs w:val="24"/>
          <w:lang/>
        </w:rPr>
        <w:t> пункту 169.4 цієї статті, крім випадку, передбаченого </w:t>
      </w:r>
      <w:hyperlink r:id="rId2529" w:anchor="n3921" w:history="1">
        <w:r w:rsidRPr="008B264B">
          <w:rPr>
            <w:rFonts w:ascii="Times New Roman" w:eastAsia="Times New Roman" w:hAnsi="Times New Roman" w:cs="Times New Roman"/>
            <w:color w:val="0000FF"/>
            <w:sz w:val="24"/>
            <w:szCs w:val="24"/>
            <w:u w:val="single"/>
            <w:lang/>
          </w:rPr>
          <w:t>підпунктом "б" підпункту 169.1.3</w:t>
        </w:r>
      </w:hyperlink>
      <w:r w:rsidRPr="008B264B">
        <w:rPr>
          <w:rFonts w:ascii="Times New Roman" w:eastAsia="Times New Roman" w:hAnsi="Times New Roman" w:cs="Times New Roman"/>
          <w:color w:val="000000"/>
          <w:sz w:val="24"/>
          <w:szCs w:val="24"/>
          <w:lang/>
        </w:rPr>
        <w:t> пункту 169.1 цієї статті, податкова соціальна пільга за яким додається до пільги, визначеної </w:t>
      </w:r>
      <w:hyperlink r:id="rId2530" w:anchor="n3918" w:history="1">
        <w:r w:rsidRPr="008B264B">
          <w:rPr>
            <w:rFonts w:ascii="Times New Roman" w:eastAsia="Times New Roman" w:hAnsi="Times New Roman" w:cs="Times New Roman"/>
            <w:color w:val="0000FF"/>
            <w:sz w:val="24"/>
            <w:szCs w:val="24"/>
            <w:u w:val="single"/>
            <w:lang/>
          </w:rPr>
          <w:t>підпунктом 169.1.2</w:t>
        </w:r>
      </w:hyperlink>
      <w:r w:rsidRPr="008B264B">
        <w:rPr>
          <w:rFonts w:ascii="Times New Roman" w:eastAsia="Times New Roman" w:hAnsi="Times New Roman" w:cs="Times New Roman"/>
          <w:color w:val="000000"/>
          <w:sz w:val="24"/>
          <w:szCs w:val="24"/>
          <w:lang/>
        </w:rPr>
        <w:t> цього пункту у разі, якщо особа утримує двох і більше дітей, у тому числі дитину з інвалідністю (дітей з інвалідністю).</w:t>
      </w:r>
    </w:p>
    <w:p w14:paraId="6DD5A1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0" w:name="n3948"/>
      <w:bookmarkEnd w:id="4620"/>
      <w:r w:rsidRPr="008B264B">
        <w:rPr>
          <w:rFonts w:ascii="Times New Roman" w:eastAsia="Times New Roman" w:hAnsi="Times New Roman" w:cs="Times New Roman"/>
          <w:color w:val="000000"/>
          <w:sz w:val="24"/>
          <w:szCs w:val="24"/>
          <w:lang/>
        </w:rPr>
        <w:t>169.3.2. Платник податку, який має право на застосування податкової соціальної пільги більшої, ніж передбачена </w:t>
      </w:r>
      <w:hyperlink r:id="rId2531" w:anchor="n3917" w:history="1">
        <w:r w:rsidRPr="008B264B">
          <w:rPr>
            <w:rFonts w:ascii="Times New Roman" w:eastAsia="Times New Roman" w:hAnsi="Times New Roman" w:cs="Times New Roman"/>
            <w:color w:val="0000FF"/>
            <w:sz w:val="24"/>
            <w:szCs w:val="24"/>
            <w:u w:val="single"/>
            <w:lang/>
          </w:rPr>
          <w:t>підпунктом 169.1.1</w:t>
        </w:r>
      </w:hyperlink>
      <w:r w:rsidRPr="008B264B">
        <w:rPr>
          <w:rFonts w:ascii="Times New Roman" w:eastAsia="Times New Roman" w:hAnsi="Times New Roman" w:cs="Times New Roman"/>
          <w:color w:val="000000"/>
          <w:sz w:val="24"/>
          <w:szCs w:val="24"/>
          <w:lang/>
        </w:rPr>
        <w:t> пункту 169.1 цієї статті, зазначає про таке право у заяві про застосування пільги, до якої додає відповідні підтвердні документи.</w:t>
      </w:r>
    </w:p>
    <w:p w14:paraId="3799D8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1" w:name="n3949"/>
      <w:bookmarkEnd w:id="4621"/>
      <w:r w:rsidRPr="008B264B">
        <w:rPr>
          <w:rFonts w:ascii="Times New Roman" w:eastAsia="Times New Roman" w:hAnsi="Times New Roman" w:cs="Times New Roman"/>
          <w:color w:val="000000"/>
          <w:sz w:val="24"/>
          <w:szCs w:val="24"/>
          <w:lang/>
        </w:rPr>
        <w:t>169.3.3. Податкова соціальна пільга, передбачена підпунктом 169.1.2 та </w:t>
      </w:r>
      <w:hyperlink r:id="rId2532" w:anchor="n3920" w:history="1">
        <w:r w:rsidRPr="008B264B">
          <w:rPr>
            <w:rFonts w:ascii="Times New Roman" w:eastAsia="Times New Roman" w:hAnsi="Times New Roman" w:cs="Times New Roman"/>
            <w:color w:val="0000FF"/>
            <w:sz w:val="24"/>
            <w:szCs w:val="24"/>
            <w:u w:val="single"/>
            <w:lang/>
          </w:rPr>
          <w:t>підпунктами "а"</w:t>
        </w:r>
      </w:hyperlink>
      <w:r w:rsidRPr="008B264B">
        <w:rPr>
          <w:rFonts w:ascii="Times New Roman" w:eastAsia="Times New Roman" w:hAnsi="Times New Roman" w:cs="Times New Roman"/>
          <w:color w:val="000000"/>
          <w:sz w:val="24"/>
          <w:szCs w:val="24"/>
          <w:lang/>
        </w:rPr>
        <w:t>, </w:t>
      </w:r>
      <w:hyperlink r:id="rId2533" w:anchor="n3921" w:history="1">
        <w:r w:rsidRPr="008B264B">
          <w:rPr>
            <w:rFonts w:ascii="Times New Roman" w:eastAsia="Times New Roman" w:hAnsi="Times New Roman" w:cs="Times New Roman"/>
            <w:color w:val="0000FF"/>
            <w:sz w:val="24"/>
            <w:szCs w:val="24"/>
            <w:u w:val="single"/>
            <w:lang/>
          </w:rPr>
          <w:t>"б" підпункту 169.1.3</w:t>
        </w:r>
      </w:hyperlink>
      <w:r w:rsidRPr="008B264B">
        <w:rPr>
          <w:rFonts w:ascii="Times New Roman" w:eastAsia="Times New Roman" w:hAnsi="Times New Roman" w:cs="Times New Roman"/>
          <w:color w:val="000000"/>
          <w:sz w:val="24"/>
          <w:szCs w:val="24"/>
          <w:lang/>
        </w:rPr>
        <w:t> пункту 169.1 цієї статті, надається до кінця року, в якому дитина досягає 18 років, а у разі її смерті до досягнення зазначеного віку - до кінця року, на який припадає смерть. Право на отримання такої податкової соціальної пільги втрачається у разі позбавлення платника податку батьківських прав або якщо він відмовляється від дитини чи передає дитину на державне утримання, у тому числі у закладах для дітей-сиріт і дітей, позбавлених батьківського піклування, незалежно від того, чи береться плата за таке утримання, чи ні, а також якщо дитина стає курсантом на умовах її повного утримання, починаючи з податкового місяця, в якому відбулася така подія.</w:t>
      </w:r>
    </w:p>
    <w:p w14:paraId="24106B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2" w:name="n3950"/>
      <w:bookmarkEnd w:id="4622"/>
      <w:r w:rsidRPr="008B264B">
        <w:rPr>
          <w:rFonts w:ascii="Times New Roman" w:eastAsia="Times New Roman" w:hAnsi="Times New Roman" w:cs="Times New Roman"/>
          <w:color w:val="000000"/>
          <w:sz w:val="24"/>
          <w:szCs w:val="24"/>
          <w:lang/>
        </w:rPr>
        <w:t>Надання податкової соціальної пільги, передбаченої </w:t>
      </w:r>
      <w:hyperlink r:id="rId2534" w:anchor="n3922" w:history="1">
        <w:r w:rsidRPr="008B264B">
          <w:rPr>
            <w:rFonts w:ascii="Times New Roman" w:eastAsia="Times New Roman" w:hAnsi="Times New Roman" w:cs="Times New Roman"/>
            <w:color w:val="0000FF"/>
            <w:sz w:val="24"/>
            <w:szCs w:val="24"/>
            <w:u w:val="single"/>
            <w:lang/>
          </w:rPr>
          <w:t>підпунктами "в" - "е" підпункту 169.1.3</w:t>
        </w:r>
      </w:hyperlink>
      <w:r w:rsidRPr="008B264B">
        <w:rPr>
          <w:rFonts w:ascii="Times New Roman" w:eastAsia="Times New Roman" w:hAnsi="Times New Roman" w:cs="Times New Roman"/>
          <w:color w:val="000000"/>
          <w:sz w:val="24"/>
          <w:szCs w:val="24"/>
          <w:lang/>
        </w:rPr>
        <w:t> пункту 169.1 цієї статті, зупиняється з податкового місяця, що настає за місяцем, в якому платник податку втрачає статус, визначений у цих підпунктах.</w:t>
      </w:r>
    </w:p>
    <w:p w14:paraId="25042C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3" w:name="n3951"/>
      <w:bookmarkEnd w:id="4623"/>
      <w:r w:rsidRPr="008B264B">
        <w:rPr>
          <w:rFonts w:ascii="Times New Roman" w:eastAsia="Times New Roman" w:hAnsi="Times New Roman" w:cs="Times New Roman"/>
          <w:color w:val="000000"/>
          <w:sz w:val="24"/>
          <w:szCs w:val="24"/>
          <w:lang/>
        </w:rPr>
        <w:t>169.3.4. Податкова соціальна пільга надається з урахуванням останнього місячного податкового періоду, в якому платник податку помер або оголошується судом померлим чи визнається судом безвісно відсутнім, або втрачає статус резидента, або був звільнений з місця роботи.</w:t>
      </w:r>
    </w:p>
    <w:p w14:paraId="2C2472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4" w:name="n3952"/>
      <w:bookmarkEnd w:id="4624"/>
      <w:r w:rsidRPr="008B264B">
        <w:rPr>
          <w:rFonts w:ascii="Times New Roman" w:eastAsia="Times New Roman" w:hAnsi="Times New Roman" w:cs="Times New Roman"/>
          <w:color w:val="000000"/>
          <w:sz w:val="24"/>
          <w:szCs w:val="24"/>
          <w:lang/>
        </w:rPr>
        <w:t>169.4. Перерахунок податку, перерахунок та обмеження податкової соціальної пільги.</w:t>
      </w:r>
    </w:p>
    <w:p w14:paraId="0D569F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5" w:name="n3953"/>
      <w:bookmarkEnd w:id="4625"/>
      <w:r w:rsidRPr="008B264B">
        <w:rPr>
          <w:rFonts w:ascii="Times New Roman" w:eastAsia="Times New Roman" w:hAnsi="Times New Roman" w:cs="Times New Roman"/>
          <w:color w:val="000000"/>
          <w:sz w:val="24"/>
          <w:szCs w:val="24"/>
          <w:lang/>
        </w:rPr>
        <w:t>169.4.1. Податкова соціальна пільга застосовується до доходу, нарахованого на користь платника податку протягом звітного податкового місяця як заробітна плата (інші прирівняні до неї відповідно до законодавства виплати, компенсації та винагороди), якщо його розмір не перевищує суми, що дорівнює розміру місячного прожиткового мінімуму, діючого для працездатної особи на 1 січня звітного податкового року, помноженого на 1,4 та округленого до найближчих 10 гривень.</w:t>
      </w:r>
    </w:p>
    <w:p w14:paraId="4F2D67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6" w:name="n3954"/>
      <w:bookmarkEnd w:id="4626"/>
      <w:r w:rsidRPr="008B264B">
        <w:rPr>
          <w:rFonts w:ascii="Times New Roman" w:eastAsia="Times New Roman" w:hAnsi="Times New Roman" w:cs="Times New Roman"/>
          <w:color w:val="000000"/>
          <w:sz w:val="24"/>
          <w:szCs w:val="24"/>
          <w:lang/>
        </w:rPr>
        <w:t>При цьому граничний розмір доходу, який дає право на отримання податкової соціальної пільги одному з батьків у випадку та у розмірі, передбачених </w:t>
      </w:r>
      <w:hyperlink r:id="rId2535" w:anchor="n3918" w:history="1">
        <w:r w:rsidRPr="008B264B">
          <w:rPr>
            <w:rFonts w:ascii="Times New Roman" w:eastAsia="Times New Roman" w:hAnsi="Times New Roman" w:cs="Times New Roman"/>
            <w:color w:val="0000FF"/>
            <w:sz w:val="24"/>
            <w:szCs w:val="24"/>
            <w:u w:val="single"/>
            <w:lang/>
          </w:rPr>
          <w:t>підпунктом 169.1.2</w:t>
        </w:r>
      </w:hyperlink>
      <w:r w:rsidRPr="008B264B">
        <w:rPr>
          <w:rFonts w:ascii="Times New Roman" w:eastAsia="Times New Roman" w:hAnsi="Times New Roman" w:cs="Times New Roman"/>
          <w:color w:val="000000"/>
          <w:sz w:val="24"/>
          <w:szCs w:val="24"/>
          <w:lang/>
        </w:rPr>
        <w:t> та </w:t>
      </w:r>
      <w:hyperlink r:id="rId2536" w:anchor="n3920" w:history="1">
        <w:r w:rsidRPr="008B264B">
          <w:rPr>
            <w:rFonts w:ascii="Times New Roman" w:eastAsia="Times New Roman" w:hAnsi="Times New Roman" w:cs="Times New Roman"/>
            <w:color w:val="0000FF"/>
            <w:sz w:val="24"/>
            <w:szCs w:val="24"/>
            <w:u w:val="single"/>
            <w:lang/>
          </w:rPr>
          <w:t>підпунктами "а"</w:t>
        </w:r>
      </w:hyperlink>
      <w:r w:rsidRPr="008B264B">
        <w:rPr>
          <w:rFonts w:ascii="Times New Roman" w:eastAsia="Times New Roman" w:hAnsi="Times New Roman" w:cs="Times New Roman"/>
          <w:color w:val="000000"/>
          <w:sz w:val="24"/>
          <w:szCs w:val="24"/>
          <w:lang/>
        </w:rPr>
        <w:t> і </w:t>
      </w:r>
      <w:hyperlink r:id="rId2537" w:anchor="n3921" w:history="1">
        <w:r w:rsidRPr="008B264B">
          <w:rPr>
            <w:rFonts w:ascii="Times New Roman" w:eastAsia="Times New Roman" w:hAnsi="Times New Roman" w:cs="Times New Roman"/>
            <w:color w:val="0000FF"/>
            <w:sz w:val="24"/>
            <w:szCs w:val="24"/>
            <w:u w:val="single"/>
            <w:lang/>
          </w:rPr>
          <w:t>"б" підпункту 169.1.3</w:t>
        </w:r>
      </w:hyperlink>
      <w:r w:rsidRPr="008B264B">
        <w:rPr>
          <w:rFonts w:ascii="Times New Roman" w:eastAsia="Times New Roman" w:hAnsi="Times New Roman" w:cs="Times New Roman"/>
          <w:color w:val="000000"/>
          <w:sz w:val="24"/>
          <w:szCs w:val="24"/>
          <w:lang/>
        </w:rPr>
        <w:t> пункту 169.1 цієї статті, визначається як добуток суми, визначеної в абзаці першому цього підпункту, та відповідної кількості дітей.</w:t>
      </w:r>
    </w:p>
    <w:p w14:paraId="1BE52E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7" w:name="n3955"/>
      <w:bookmarkEnd w:id="4627"/>
      <w:r w:rsidRPr="008B264B">
        <w:rPr>
          <w:rFonts w:ascii="Times New Roman" w:eastAsia="Times New Roman" w:hAnsi="Times New Roman" w:cs="Times New Roman"/>
          <w:i/>
          <w:iCs/>
          <w:color w:val="000000"/>
          <w:sz w:val="24"/>
          <w:szCs w:val="24"/>
          <w:lang/>
        </w:rPr>
        <w:t>{Абзац другий підпункту 169.4.1 пункту 169.4 статті 169 із змінами, внесеними згідно із Законом </w:t>
      </w:r>
      <w:hyperlink r:id="rId253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228E7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8" w:name="n3956"/>
      <w:bookmarkEnd w:id="4628"/>
      <w:r w:rsidRPr="008B264B">
        <w:rPr>
          <w:rFonts w:ascii="Times New Roman" w:eastAsia="Times New Roman" w:hAnsi="Times New Roman" w:cs="Times New Roman"/>
          <w:color w:val="000000"/>
          <w:sz w:val="24"/>
          <w:szCs w:val="24"/>
          <w:lang/>
        </w:rPr>
        <w:t>Якщо платник податку отримує доходи у вигляді заробітної плати за період її збереження згідно із законодавством, у тому числі за час відпустки або перебування платника податку на лікарняному, то з метою визначення граничної суми доходу, що дає право на отримання податкової соціальної пільги, та в інших випадках їх оподаткування, такі доходи (їх частина) відносяться до відповідних податкових періодів їх нарахування.</w:t>
      </w:r>
    </w:p>
    <w:p w14:paraId="363BCA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29" w:name="n3957"/>
      <w:bookmarkEnd w:id="4629"/>
      <w:r w:rsidRPr="008B264B">
        <w:rPr>
          <w:rFonts w:ascii="Times New Roman" w:eastAsia="Times New Roman" w:hAnsi="Times New Roman" w:cs="Times New Roman"/>
          <w:color w:val="000000"/>
          <w:sz w:val="24"/>
          <w:szCs w:val="24"/>
          <w:lang/>
        </w:rPr>
        <w:t>169.4.2. Роботодавець платника податку зобов'язаний здійснити, у тому числі за місцем застосування податкової соціальної пільги, з урахуванням положень </w:t>
      </w:r>
      <w:hyperlink r:id="rId2539" w:anchor="n3853" w:history="1">
        <w:r w:rsidRPr="008B264B">
          <w:rPr>
            <w:rFonts w:ascii="Times New Roman" w:eastAsia="Times New Roman" w:hAnsi="Times New Roman" w:cs="Times New Roman"/>
            <w:color w:val="0000FF"/>
            <w:sz w:val="24"/>
            <w:szCs w:val="24"/>
            <w:u w:val="single"/>
            <w:lang/>
          </w:rPr>
          <w:t>абзацу другого пункту 167.1</w:t>
        </w:r>
      </w:hyperlink>
      <w:r w:rsidRPr="008B264B">
        <w:rPr>
          <w:rFonts w:ascii="Times New Roman" w:eastAsia="Times New Roman" w:hAnsi="Times New Roman" w:cs="Times New Roman"/>
          <w:color w:val="000000"/>
          <w:sz w:val="24"/>
          <w:szCs w:val="24"/>
          <w:lang/>
        </w:rPr>
        <w:t> статті 167 цього Кодексу, перерахунок суми доходів, нарахованих такому платнику податку у вигляді заробітної плати, а також суми наданої податкової соціальної пільги:</w:t>
      </w:r>
    </w:p>
    <w:p w14:paraId="2EE00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0" w:name="n3958"/>
      <w:bookmarkEnd w:id="4630"/>
      <w:r w:rsidRPr="008B264B">
        <w:rPr>
          <w:rFonts w:ascii="Times New Roman" w:eastAsia="Times New Roman" w:hAnsi="Times New Roman" w:cs="Times New Roman"/>
          <w:i/>
          <w:iCs/>
          <w:color w:val="000000"/>
          <w:sz w:val="24"/>
          <w:szCs w:val="24"/>
          <w:lang/>
        </w:rPr>
        <w:t>{Абзац перший підпункту 169.4.2 пункту 169.4 статті 169 із змінами, внесеними згідно із Законами </w:t>
      </w:r>
      <w:hyperlink r:id="rId254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541" w:anchor="n22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40AC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1" w:name="n3959"/>
      <w:bookmarkEnd w:id="4631"/>
      <w:r w:rsidRPr="008B264B">
        <w:rPr>
          <w:rFonts w:ascii="Times New Roman" w:eastAsia="Times New Roman" w:hAnsi="Times New Roman" w:cs="Times New Roman"/>
          <w:color w:val="000000"/>
          <w:sz w:val="24"/>
          <w:szCs w:val="24"/>
          <w:lang/>
        </w:rPr>
        <w:lastRenderedPageBreak/>
        <w:t>а) за наслідками кожного звітного податкового року під час нарахування заробітної плати за останній місяць звітного року;</w:t>
      </w:r>
    </w:p>
    <w:p w14:paraId="0D3E86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2" w:name="n3960"/>
      <w:bookmarkEnd w:id="4632"/>
      <w:r w:rsidRPr="008B264B">
        <w:rPr>
          <w:rFonts w:ascii="Times New Roman" w:eastAsia="Times New Roman" w:hAnsi="Times New Roman" w:cs="Times New Roman"/>
          <w:color w:val="000000"/>
          <w:sz w:val="24"/>
          <w:szCs w:val="24"/>
          <w:lang/>
        </w:rPr>
        <w:t>б) під час проведення розрахунку за останній місяць застосування податкової соціальної пільги у разі зміни місця її застосування за самостійним рішенням платника податку або у випадках, визначених </w:t>
      </w:r>
      <w:hyperlink r:id="rId2542" w:anchor="n3938" w:history="1">
        <w:r w:rsidRPr="008B264B">
          <w:rPr>
            <w:rFonts w:ascii="Times New Roman" w:eastAsia="Times New Roman" w:hAnsi="Times New Roman" w:cs="Times New Roman"/>
            <w:color w:val="0000FF"/>
            <w:sz w:val="24"/>
            <w:szCs w:val="24"/>
            <w:u w:val="single"/>
            <w:lang/>
          </w:rPr>
          <w:t>підпунктом 169.2.3</w:t>
        </w:r>
      </w:hyperlink>
      <w:r w:rsidRPr="008B264B">
        <w:rPr>
          <w:rFonts w:ascii="Times New Roman" w:eastAsia="Times New Roman" w:hAnsi="Times New Roman" w:cs="Times New Roman"/>
          <w:color w:val="000000"/>
          <w:sz w:val="24"/>
          <w:szCs w:val="24"/>
          <w:lang/>
        </w:rPr>
        <w:t> пункту 169.2 цієї статті;</w:t>
      </w:r>
    </w:p>
    <w:p w14:paraId="32C97D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3" w:name="n3961"/>
      <w:bookmarkEnd w:id="4633"/>
      <w:r w:rsidRPr="008B264B">
        <w:rPr>
          <w:rFonts w:ascii="Times New Roman" w:eastAsia="Times New Roman" w:hAnsi="Times New Roman" w:cs="Times New Roman"/>
          <w:color w:val="000000"/>
          <w:sz w:val="24"/>
          <w:szCs w:val="24"/>
          <w:lang/>
        </w:rPr>
        <w:t>в) під час проведення остаточного розрахунку з платником податку, який припиняє трудові відносини з таким роботодавцем.</w:t>
      </w:r>
    </w:p>
    <w:p w14:paraId="76F356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4" w:name="n3962"/>
      <w:bookmarkEnd w:id="4634"/>
      <w:r w:rsidRPr="008B264B">
        <w:rPr>
          <w:rFonts w:ascii="Times New Roman" w:eastAsia="Times New Roman" w:hAnsi="Times New Roman" w:cs="Times New Roman"/>
          <w:color w:val="000000"/>
          <w:sz w:val="24"/>
          <w:szCs w:val="24"/>
          <w:lang/>
        </w:rPr>
        <w:t>169.4.3. Роботодавець та/або податковий агент має право здійснювати перерахунок сум нарахованих доходів, утриманого податку за будь-який період та у будь-яких випадках для визначення правильності оподаткування, незалежно від того, чи має платник податку право на застосування податкової соціальної пільги.</w:t>
      </w:r>
    </w:p>
    <w:p w14:paraId="70524A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5" w:name="n3963"/>
      <w:bookmarkEnd w:id="4635"/>
      <w:r w:rsidRPr="008B264B">
        <w:rPr>
          <w:rFonts w:ascii="Times New Roman" w:eastAsia="Times New Roman" w:hAnsi="Times New Roman" w:cs="Times New Roman"/>
          <w:color w:val="000000"/>
          <w:sz w:val="24"/>
          <w:szCs w:val="24"/>
          <w:lang/>
        </w:rPr>
        <w:t>169.4.4. Якщо внаслідок здійсненого перерахунку виникає недоплата утриманого податку, то сума такої недоплати стягується роботодавцем за рахунок суми будь-якого оподатковуваного доходу (після його оподаткування) за відповідний місяць, а в разі недостатності суми такого доходу - за рахунок оподатковуваних доходів наступних місяців, до повного погашення суми такої недоплати.</w:t>
      </w:r>
    </w:p>
    <w:p w14:paraId="201412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6" w:name="n3964"/>
      <w:bookmarkEnd w:id="4636"/>
      <w:r w:rsidRPr="008B264B">
        <w:rPr>
          <w:rFonts w:ascii="Times New Roman" w:eastAsia="Times New Roman" w:hAnsi="Times New Roman" w:cs="Times New Roman"/>
          <w:color w:val="000000"/>
          <w:sz w:val="24"/>
          <w:szCs w:val="24"/>
          <w:lang/>
        </w:rPr>
        <w:t>Якщо внаслідок проведення остаточного розрахунку з платником податку, який припиняє трудові відносини з роботодавцем, виникає сума недоплати, що перевищує суму оподатковуваного доходу платника податку за останній звітний період, то непогашена частина такої недоплати включається до складу податкового зобов'язання платника податку за наслідками звітного податкового року та сплачується самим платником.</w:t>
      </w:r>
    </w:p>
    <w:p w14:paraId="3D184C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7" w:name="n3965"/>
      <w:bookmarkEnd w:id="4637"/>
      <w:r w:rsidRPr="008B264B">
        <w:rPr>
          <w:rFonts w:ascii="Times New Roman" w:eastAsia="Times New Roman" w:hAnsi="Times New Roman" w:cs="Times New Roman"/>
          <w:b/>
          <w:bCs/>
          <w:color w:val="000000"/>
          <w:sz w:val="24"/>
          <w:szCs w:val="24"/>
          <w:lang/>
        </w:rPr>
        <w:t>Стаття 170.</w:t>
      </w:r>
      <w:r w:rsidRPr="008B264B">
        <w:rPr>
          <w:rFonts w:ascii="Times New Roman" w:eastAsia="Times New Roman" w:hAnsi="Times New Roman" w:cs="Times New Roman"/>
          <w:color w:val="000000"/>
          <w:sz w:val="24"/>
          <w:szCs w:val="24"/>
          <w:lang/>
        </w:rPr>
        <w:t> Особливості нарахування (виплати) та оподаткування окремих видів доходів</w:t>
      </w:r>
    </w:p>
    <w:p w14:paraId="6843E9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8" w:name="n3966"/>
      <w:bookmarkEnd w:id="4638"/>
      <w:r w:rsidRPr="008B264B">
        <w:rPr>
          <w:rFonts w:ascii="Times New Roman" w:eastAsia="Times New Roman" w:hAnsi="Times New Roman" w:cs="Times New Roman"/>
          <w:color w:val="000000"/>
          <w:sz w:val="24"/>
          <w:szCs w:val="24"/>
          <w:lang/>
        </w:rPr>
        <w:t>170.1. Оподаткування доходу від надання нерухомості в оренду (суборенду, емфітевзис), житловий найм (піднайм).</w:t>
      </w:r>
    </w:p>
    <w:p w14:paraId="106AC8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39" w:name="n15141"/>
      <w:bookmarkEnd w:id="4639"/>
      <w:r w:rsidRPr="008B264B">
        <w:rPr>
          <w:rFonts w:ascii="Times New Roman" w:eastAsia="Times New Roman" w:hAnsi="Times New Roman" w:cs="Times New Roman"/>
          <w:i/>
          <w:iCs/>
          <w:color w:val="000000"/>
          <w:sz w:val="24"/>
          <w:szCs w:val="24"/>
          <w:lang/>
        </w:rPr>
        <w:t>{Назва пункту 170.1 статті 170 із змінами, внесеними згідно із Законом </w:t>
      </w:r>
      <w:hyperlink r:id="rId2543" w:anchor="n17"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6BA0BC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0" w:name="n3967"/>
      <w:bookmarkEnd w:id="4640"/>
      <w:r w:rsidRPr="008B264B">
        <w:rPr>
          <w:rFonts w:ascii="Times New Roman" w:eastAsia="Times New Roman" w:hAnsi="Times New Roman" w:cs="Times New Roman"/>
          <w:color w:val="000000"/>
          <w:sz w:val="24"/>
          <w:szCs w:val="24"/>
          <w:lang/>
        </w:rPr>
        <w:t>170.1.1. Податковим агентом платника податку - орендодавця щодо його доходу від надання в оренду (емфітевзис) земельної ділянки сільськогосподарського призначення, земельної частки (паю), майнового паю є орендар.</w:t>
      </w:r>
    </w:p>
    <w:p w14:paraId="1069BB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1" w:name="n15142"/>
      <w:bookmarkEnd w:id="4641"/>
      <w:r w:rsidRPr="008B264B">
        <w:rPr>
          <w:rFonts w:ascii="Times New Roman" w:eastAsia="Times New Roman" w:hAnsi="Times New Roman" w:cs="Times New Roman"/>
          <w:i/>
          <w:iCs/>
          <w:color w:val="000000"/>
          <w:sz w:val="24"/>
          <w:szCs w:val="24"/>
          <w:lang/>
        </w:rPr>
        <w:t>{Абзац перший підпункту 170.1.1 пункту 170.1 статті 170 із змінами, внесеними згідно із Законом </w:t>
      </w:r>
      <w:hyperlink r:id="rId2544" w:anchor="n18"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3425B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2" w:name="n3968"/>
      <w:bookmarkEnd w:id="4642"/>
      <w:r w:rsidRPr="008B264B">
        <w:rPr>
          <w:rFonts w:ascii="Times New Roman" w:eastAsia="Times New Roman" w:hAnsi="Times New Roman" w:cs="Times New Roman"/>
          <w:color w:val="000000"/>
          <w:sz w:val="24"/>
          <w:szCs w:val="24"/>
          <w:lang/>
        </w:rPr>
        <w:t>При цьому об'єкт оподаткування визначається виходячи з розміру орендної плати, зазначеної в договорі оренди, але не менше ніж мінімальна сума орендного платежу, встановлена законодавством з питань оренди землі.</w:t>
      </w:r>
    </w:p>
    <w:p w14:paraId="63B372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3" w:name="n3969"/>
      <w:bookmarkEnd w:id="4643"/>
      <w:r w:rsidRPr="008B264B">
        <w:rPr>
          <w:rFonts w:ascii="Times New Roman" w:eastAsia="Times New Roman" w:hAnsi="Times New Roman" w:cs="Times New Roman"/>
          <w:color w:val="000000"/>
          <w:sz w:val="24"/>
          <w:szCs w:val="24"/>
          <w:lang/>
        </w:rPr>
        <w:t>170.1.2. Податковим агентом платника податку - орендодавця під час нарахування доходу від надання в оренду об'єктів нерухомості, інших, ніж зазначені в підпункті 170.1.1 цього пункту (включаючи земельну ділянку, що знаходиться під такою нерухомістю, чи присадибну ділянку), є орендар.</w:t>
      </w:r>
    </w:p>
    <w:p w14:paraId="763D7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4" w:name="n3970"/>
      <w:bookmarkEnd w:id="4644"/>
      <w:r w:rsidRPr="008B264B">
        <w:rPr>
          <w:rFonts w:ascii="Times New Roman" w:eastAsia="Times New Roman" w:hAnsi="Times New Roman" w:cs="Times New Roman"/>
          <w:color w:val="000000"/>
          <w:sz w:val="24"/>
          <w:szCs w:val="24"/>
          <w:lang/>
        </w:rPr>
        <w:t>При цьому об'єкт оподаткування визначається виходячи з розміру орендної плати, зазначеної в договорі оренди, але не менше ніж мінімальна сума орендного платежу за повний чи неповний місяць оренди. Мінімальна сума орендного платежу визначається за </w:t>
      </w:r>
      <w:hyperlink r:id="rId2545" w:tgtFrame="_blank" w:history="1">
        <w:r w:rsidRPr="008B264B">
          <w:rPr>
            <w:rFonts w:ascii="Times New Roman" w:eastAsia="Times New Roman" w:hAnsi="Times New Roman" w:cs="Times New Roman"/>
            <w:color w:val="0000FF"/>
            <w:sz w:val="24"/>
            <w:szCs w:val="24"/>
            <w:u w:val="single"/>
            <w:lang/>
          </w:rPr>
          <w:t>методикою</w:t>
        </w:r>
      </w:hyperlink>
      <w:r w:rsidRPr="008B264B">
        <w:rPr>
          <w:rFonts w:ascii="Times New Roman" w:eastAsia="Times New Roman" w:hAnsi="Times New Roman" w:cs="Times New Roman"/>
          <w:color w:val="000000"/>
          <w:sz w:val="24"/>
          <w:szCs w:val="24"/>
          <w:lang/>
        </w:rPr>
        <w:t xml:space="preserve">, що затверджується Кабінетом Міністрів України, виходячи з мінімальної вартості місячної оренди одного квадратного метра загальної площі нерухомості з урахуванням місця її розташування, інших функціональних та якісних показників, що встановлюються органом місцевого самоврядування села, селища, міста, об’єднаної територіальної громади, що створена згідно із законом та перспективним планом формування територій громад, на території яких вона розташована, та оприлюднюється у спосіб, найбільш доступний для жителів такої територіальної </w:t>
      </w:r>
      <w:r w:rsidRPr="008B264B">
        <w:rPr>
          <w:rFonts w:ascii="Times New Roman" w:eastAsia="Times New Roman" w:hAnsi="Times New Roman" w:cs="Times New Roman"/>
          <w:color w:val="000000"/>
          <w:sz w:val="24"/>
          <w:szCs w:val="24"/>
          <w:lang/>
        </w:rPr>
        <w:lastRenderedPageBreak/>
        <w:t>громади. Якщо мінімальну вартість не встановлено чи не оприлюднено до початку звітного (податкового) року, об'єкт оподаткування визначається виходячи з розміру орендної плати, зазначеного в договорі оренди.</w:t>
      </w:r>
    </w:p>
    <w:p w14:paraId="2FB53B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5" w:name="n14132"/>
      <w:bookmarkEnd w:id="4645"/>
      <w:r w:rsidRPr="008B264B">
        <w:rPr>
          <w:rFonts w:ascii="Times New Roman" w:eastAsia="Times New Roman" w:hAnsi="Times New Roman" w:cs="Times New Roman"/>
          <w:i/>
          <w:iCs/>
          <w:color w:val="000000"/>
          <w:sz w:val="24"/>
          <w:szCs w:val="24"/>
          <w:lang/>
        </w:rPr>
        <w:t>{Абзац другий підпункту 170.1.2 пункту 170.1 статті 170 із змінами, внесеними згідно із Законом </w:t>
      </w:r>
      <w:hyperlink r:id="rId2546" w:anchor="n100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C0FF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6" w:name="n3971"/>
      <w:bookmarkEnd w:id="4646"/>
      <w:r w:rsidRPr="008B264B">
        <w:rPr>
          <w:rFonts w:ascii="Times New Roman" w:eastAsia="Times New Roman" w:hAnsi="Times New Roman" w:cs="Times New Roman"/>
          <w:color w:val="000000"/>
          <w:sz w:val="24"/>
          <w:szCs w:val="24"/>
          <w:lang/>
        </w:rPr>
        <w:t>170.1.3. Нерухомість, що належить фізичній особі - нерезиденту, надається в оренду виключно через фізичну особу - підприємця або юридичну особу - резидента (уповноважених осіб), що виконують представницькі функції такого нерезидента на підставі письмового договору та виступають його податковим агентом стосовно таких доходів. Нерезидент, який порушує норми цього пункту, вважається таким, що ухиляється від сплати податку.</w:t>
      </w:r>
    </w:p>
    <w:p w14:paraId="4510DC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7" w:name="n3972"/>
      <w:bookmarkEnd w:id="4647"/>
      <w:r w:rsidRPr="008B264B">
        <w:rPr>
          <w:rFonts w:ascii="Times New Roman" w:eastAsia="Times New Roman" w:hAnsi="Times New Roman" w:cs="Times New Roman"/>
          <w:color w:val="000000"/>
          <w:sz w:val="24"/>
          <w:szCs w:val="24"/>
          <w:lang/>
        </w:rPr>
        <w:t>170.1.4. Доходи, зазначені у </w:t>
      </w:r>
      <w:hyperlink r:id="rId2547" w:anchor="n3967" w:history="1">
        <w:r w:rsidRPr="008B264B">
          <w:rPr>
            <w:rFonts w:ascii="Times New Roman" w:eastAsia="Times New Roman" w:hAnsi="Times New Roman" w:cs="Times New Roman"/>
            <w:color w:val="0000FF"/>
            <w:sz w:val="24"/>
            <w:szCs w:val="24"/>
            <w:u w:val="single"/>
            <w:lang/>
          </w:rPr>
          <w:t>підпунктах 170.1.1-170.1.3</w:t>
        </w:r>
      </w:hyperlink>
      <w:r w:rsidRPr="008B264B">
        <w:rPr>
          <w:rFonts w:ascii="Times New Roman" w:eastAsia="Times New Roman" w:hAnsi="Times New Roman" w:cs="Times New Roman"/>
          <w:color w:val="000000"/>
          <w:sz w:val="24"/>
          <w:szCs w:val="24"/>
          <w:lang/>
        </w:rPr>
        <w:t> цього пункту, оподатковуються податковим агентом під час їх нарахування (виплати) за ставкою, визначеною </w:t>
      </w:r>
      <w:hyperlink r:id="rId2548"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32EF20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8" w:name="n11213"/>
      <w:bookmarkEnd w:id="4648"/>
      <w:r w:rsidRPr="008B264B">
        <w:rPr>
          <w:rFonts w:ascii="Times New Roman" w:eastAsia="Times New Roman" w:hAnsi="Times New Roman" w:cs="Times New Roman"/>
          <w:i/>
          <w:iCs/>
          <w:color w:val="000000"/>
          <w:sz w:val="24"/>
          <w:szCs w:val="24"/>
          <w:lang/>
        </w:rPr>
        <w:t>{Підпункт 170.1.4 пункту 170.1 статті 170 із змінами, внесеними згідно із Законами </w:t>
      </w:r>
      <w:hyperlink r:id="rId2549" w:anchor="n55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550" w:anchor="n14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AB45E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49" w:name="n3973"/>
      <w:bookmarkEnd w:id="4649"/>
      <w:r w:rsidRPr="008B264B">
        <w:rPr>
          <w:rFonts w:ascii="Times New Roman" w:eastAsia="Times New Roman" w:hAnsi="Times New Roman" w:cs="Times New Roman"/>
          <w:color w:val="000000"/>
          <w:sz w:val="24"/>
          <w:szCs w:val="24"/>
          <w:lang/>
        </w:rPr>
        <w:t>170.1.5. Якщо орендар є фізичною особою, яка не є суб'єктом господарювання, особою, відповідальною за нарахування та сплату (перерахування) податку до бюджету, є платник податку - орендодавець.</w:t>
      </w:r>
    </w:p>
    <w:p w14:paraId="149B85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0" w:name="n3974"/>
      <w:bookmarkEnd w:id="4650"/>
      <w:r w:rsidRPr="008B264B">
        <w:rPr>
          <w:rFonts w:ascii="Times New Roman" w:eastAsia="Times New Roman" w:hAnsi="Times New Roman" w:cs="Times New Roman"/>
          <w:color w:val="000000"/>
          <w:sz w:val="24"/>
          <w:szCs w:val="24"/>
          <w:lang/>
        </w:rPr>
        <w:t>При цьому:</w:t>
      </w:r>
    </w:p>
    <w:p w14:paraId="2D5241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1" w:name="n3975"/>
      <w:bookmarkEnd w:id="4651"/>
      <w:r w:rsidRPr="008B264B">
        <w:rPr>
          <w:rFonts w:ascii="Times New Roman" w:eastAsia="Times New Roman" w:hAnsi="Times New Roman" w:cs="Times New Roman"/>
          <w:color w:val="000000"/>
          <w:sz w:val="24"/>
          <w:szCs w:val="24"/>
          <w:lang/>
        </w:rPr>
        <w:t>а) такий орендодавець самостійно нараховує та сплачує податок до бюджету в строки, встановлені цим Кодексом для квартального звітного (податкового) періоду, а саме: протягом 40 календарних днів, після останнього дня такого звітного (податкового) кварталу, сума отриманого доходу, сума сплаченого протягом звітного податкового року податку та податкового зобов'язання за результатами такого року відображаються у річній податковій декларації;</w:t>
      </w:r>
    </w:p>
    <w:p w14:paraId="47A6F5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2" w:name="n3976"/>
      <w:bookmarkEnd w:id="4652"/>
      <w:r w:rsidRPr="008B264B">
        <w:rPr>
          <w:rFonts w:ascii="Times New Roman" w:eastAsia="Times New Roman" w:hAnsi="Times New Roman" w:cs="Times New Roman"/>
          <w:color w:val="000000"/>
          <w:sz w:val="24"/>
          <w:szCs w:val="24"/>
          <w:lang/>
        </w:rPr>
        <w:t>б) у разі вчинення нотаріальної дії щодо посвідчення договору оренди об'єктів нерухомості нотаріус зобов'язаний надіслати інформацію про такий договір контролюючому органу за податковою адресою платника податку - орендодавця за </w:t>
      </w:r>
      <w:hyperlink r:id="rId2551"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та у спосіб, встановлені Кабінетом Міністрів України. За порушення порядку та/або строків подання зазначеної інформації нотаріус несе відповідальність, передбачену законом за порушення порядку та/або строків подання податкової звітності;</w:t>
      </w:r>
    </w:p>
    <w:p w14:paraId="6B32B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3" w:name="n3977"/>
      <w:bookmarkEnd w:id="4653"/>
      <w:r w:rsidRPr="008B264B">
        <w:rPr>
          <w:rFonts w:ascii="Times New Roman" w:eastAsia="Times New Roman" w:hAnsi="Times New Roman" w:cs="Times New Roman"/>
          <w:color w:val="000000"/>
          <w:sz w:val="24"/>
          <w:szCs w:val="24"/>
          <w:lang/>
        </w:rPr>
        <w:t>170.1.6. суб'єкти господарювання, які провадять посередницьку діяльність, пов'язану з наданням послуг з оренди нерухомості (рієлтери), зобов'язані надіслати інформацію про укладені за їх посередництвом цивільно-правові договори (угоди) про оренду нерухомості до контролюючого органу за місцем своєї реєстрації в строки, передбачені для подання податкового розрахунку, за </w:t>
      </w:r>
      <w:hyperlink r:id="rId2552" w:anchor="n15"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встановленою центральним органом виконавчої влади, що забезпечує формування та реалізує державну фінансову політику.</w:t>
      </w:r>
    </w:p>
    <w:p w14:paraId="1442DD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4" w:name="n13443"/>
      <w:bookmarkEnd w:id="4654"/>
      <w:r w:rsidRPr="008B264B">
        <w:rPr>
          <w:rFonts w:ascii="Times New Roman" w:eastAsia="Times New Roman" w:hAnsi="Times New Roman" w:cs="Times New Roman"/>
          <w:i/>
          <w:iCs/>
          <w:color w:val="000000"/>
          <w:sz w:val="24"/>
          <w:szCs w:val="24"/>
          <w:lang/>
        </w:rPr>
        <w:t>{Абзац перший підпункту 170.1.6 пункту 170.1 статті 170 із змінами, внесеними згідно із Законом </w:t>
      </w:r>
      <w:hyperlink r:id="rId255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2EB3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5" w:name="n3978"/>
      <w:bookmarkEnd w:id="4655"/>
      <w:r w:rsidRPr="008B264B">
        <w:rPr>
          <w:rFonts w:ascii="Times New Roman" w:eastAsia="Times New Roman" w:hAnsi="Times New Roman" w:cs="Times New Roman"/>
          <w:color w:val="000000"/>
          <w:sz w:val="24"/>
          <w:szCs w:val="24"/>
          <w:lang/>
        </w:rPr>
        <w:t>За порушення порядку та/або строків подання зазначеної інформації рієлтер несе відповідальність, передбачену законом за порушення порядку та/або строків подання податкової звітності.</w:t>
      </w:r>
    </w:p>
    <w:p w14:paraId="6EA8E1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6" w:name="n3979"/>
      <w:bookmarkEnd w:id="4656"/>
      <w:r w:rsidRPr="008B264B">
        <w:rPr>
          <w:rFonts w:ascii="Times New Roman" w:eastAsia="Times New Roman" w:hAnsi="Times New Roman" w:cs="Times New Roman"/>
          <w:color w:val="000000"/>
          <w:sz w:val="24"/>
          <w:szCs w:val="24"/>
          <w:lang/>
        </w:rPr>
        <w:t>170.2. Оподаткування інвестиційного прибутку.</w:t>
      </w:r>
    </w:p>
    <w:p w14:paraId="5FDC3D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7" w:name="n3980"/>
      <w:bookmarkEnd w:id="4657"/>
      <w:r w:rsidRPr="008B264B">
        <w:rPr>
          <w:rFonts w:ascii="Times New Roman" w:eastAsia="Times New Roman" w:hAnsi="Times New Roman" w:cs="Times New Roman"/>
          <w:color w:val="000000"/>
          <w:sz w:val="24"/>
          <w:szCs w:val="24"/>
          <w:lang/>
        </w:rPr>
        <w:t>170.2.1. Облік загального фінансового результату операцій з інвестиційними активами ведеться платником податку самостійно, окремо від інших доходів і витрат. Для цілей оподаткування інвестиційного прибутку звітним періодом вважається календарний рік, за результатами якого платник податку зобов’язаний подати річну </w:t>
      </w:r>
      <w:hyperlink r:id="rId2554" w:anchor="n20" w:tgtFrame="_blank" w:history="1">
        <w:r w:rsidRPr="008B264B">
          <w:rPr>
            <w:rFonts w:ascii="Times New Roman" w:eastAsia="Times New Roman" w:hAnsi="Times New Roman" w:cs="Times New Roman"/>
            <w:color w:val="0000FF"/>
            <w:sz w:val="24"/>
            <w:szCs w:val="24"/>
            <w:u w:val="single"/>
            <w:lang/>
          </w:rPr>
          <w:t>податкову декларацію</w:t>
        </w:r>
      </w:hyperlink>
      <w:r w:rsidRPr="008B264B">
        <w:rPr>
          <w:rFonts w:ascii="Times New Roman" w:eastAsia="Times New Roman" w:hAnsi="Times New Roman" w:cs="Times New Roman"/>
          <w:color w:val="000000"/>
          <w:sz w:val="24"/>
          <w:szCs w:val="24"/>
          <w:lang/>
        </w:rPr>
        <w:t xml:space="preserve">, в якій має </w:t>
      </w:r>
      <w:r w:rsidRPr="008B264B">
        <w:rPr>
          <w:rFonts w:ascii="Times New Roman" w:eastAsia="Times New Roman" w:hAnsi="Times New Roman" w:cs="Times New Roman"/>
          <w:color w:val="000000"/>
          <w:sz w:val="24"/>
          <w:szCs w:val="24"/>
          <w:lang/>
        </w:rPr>
        <w:lastRenderedPageBreak/>
        <w:t>відобразити загальний фінансовий результат (інвестиційний прибуток або інвестиційний збиток), отриманий протягом такого звітного року.</w:t>
      </w:r>
    </w:p>
    <w:p w14:paraId="1F3244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8" w:name="n14133"/>
      <w:bookmarkEnd w:id="4658"/>
      <w:r w:rsidRPr="008B264B">
        <w:rPr>
          <w:rFonts w:ascii="Times New Roman" w:eastAsia="Times New Roman" w:hAnsi="Times New Roman" w:cs="Times New Roman"/>
          <w:i/>
          <w:iCs/>
          <w:color w:val="000000"/>
          <w:sz w:val="24"/>
          <w:szCs w:val="24"/>
          <w:lang/>
        </w:rPr>
        <w:t>{Підпункт 170.2.1 пункту 170.2 статті 170 із змінами, внесеними згідно із Законом </w:t>
      </w:r>
      <w:hyperlink r:id="rId2555" w:anchor="n10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7253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59" w:name="n3981"/>
      <w:bookmarkEnd w:id="4659"/>
      <w:r w:rsidRPr="008B264B">
        <w:rPr>
          <w:rFonts w:ascii="Times New Roman" w:eastAsia="Times New Roman" w:hAnsi="Times New Roman" w:cs="Times New Roman"/>
          <w:color w:val="000000"/>
          <w:sz w:val="24"/>
          <w:szCs w:val="24"/>
          <w:lang/>
        </w:rPr>
        <w:t>170.2.2. Інвестиційний прибуток розраховується як позитивна різниця між доходом, отриманим платником податку від продажу окремого інвестиційного активу з урахуванням курсової різниці (за наявності), та його вартістю, що визначається із суми документально підтверджених витрат на придбання такого активу з урахуванням норм </w:t>
      </w:r>
      <w:hyperlink r:id="rId2556" w:anchor="n3998" w:history="1">
        <w:r w:rsidRPr="008B264B">
          <w:rPr>
            <w:rFonts w:ascii="Times New Roman" w:eastAsia="Times New Roman" w:hAnsi="Times New Roman" w:cs="Times New Roman"/>
            <w:color w:val="0000FF"/>
            <w:sz w:val="24"/>
            <w:szCs w:val="24"/>
            <w:u w:val="single"/>
            <w:lang/>
          </w:rPr>
          <w:t>підпунктів 170.2.4-170.2.6</w:t>
        </w:r>
      </w:hyperlink>
      <w:r w:rsidRPr="008B264B">
        <w:rPr>
          <w:rFonts w:ascii="Times New Roman" w:eastAsia="Times New Roman" w:hAnsi="Times New Roman" w:cs="Times New Roman"/>
          <w:color w:val="000000"/>
          <w:sz w:val="24"/>
          <w:szCs w:val="24"/>
          <w:lang/>
        </w:rPr>
        <w:t> цього пункту (крім операцій з деривативами).</w:t>
      </w:r>
    </w:p>
    <w:p w14:paraId="4B088A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0" w:name="n3982"/>
      <w:bookmarkEnd w:id="4660"/>
      <w:r w:rsidRPr="008B264B">
        <w:rPr>
          <w:rFonts w:ascii="Times New Roman" w:eastAsia="Times New Roman" w:hAnsi="Times New Roman" w:cs="Times New Roman"/>
          <w:i/>
          <w:iCs/>
          <w:color w:val="000000"/>
          <w:sz w:val="24"/>
          <w:szCs w:val="24"/>
          <w:lang/>
        </w:rPr>
        <w:t>{Абзац перший підпункту 170.2.2 пункту 170.2 статті 170 із змінами, внесеними згідно із Законами </w:t>
      </w:r>
      <w:hyperlink r:id="rId255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558" w:anchor="n100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B32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1" w:name="n3983"/>
      <w:bookmarkEnd w:id="4661"/>
      <w:r w:rsidRPr="008B264B">
        <w:rPr>
          <w:rFonts w:ascii="Times New Roman" w:eastAsia="Times New Roman" w:hAnsi="Times New Roman" w:cs="Times New Roman"/>
          <w:color w:val="000000"/>
          <w:sz w:val="24"/>
          <w:szCs w:val="24"/>
          <w:lang/>
        </w:rPr>
        <w:t>При застосуванні платником податку норм </w:t>
      </w:r>
      <w:hyperlink r:id="rId2559" w:anchor="n4034" w:history="1">
        <w:r w:rsidRPr="008B264B">
          <w:rPr>
            <w:rFonts w:ascii="Times New Roman" w:eastAsia="Times New Roman" w:hAnsi="Times New Roman" w:cs="Times New Roman"/>
            <w:color w:val="0000FF"/>
            <w:sz w:val="24"/>
            <w:szCs w:val="24"/>
            <w:u w:val="single"/>
            <w:lang/>
          </w:rPr>
          <w:t>підпункту 170.2.9</w:t>
        </w:r>
      </w:hyperlink>
      <w:r w:rsidRPr="008B264B">
        <w:rPr>
          <w:rFonts w:ascii="Times New Roman" w:eastAsia="Times New Roman" w:hAnsi="Times New Roman" w:cs="Times New Roman"/>
          <w:color w:val="000000"/>
          <w:sz w:val="24"/>
          <w:szCs w:val="24"/>
          <w:lang/>
        </w:rPr>
        <w:t> цього пункту податковий агент - професійний торговець цінними паперами, включаючи банк, з метою визначення об'єкта оподаткування під час виплати платнику податку доходу за придбані у нього інвестиційні активи враховує документально підтверджені витрати такого платника на придбання цих активів.</w:t>
      </w:r>
    </w:p>
    <w:p w14:paraId="70EFF0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2" w:name="n3984"/>
      <w:bookmarkEnd w:id="4662"/>
      <w:r w:rsidRPr="008B264B">
        <w:rPr>
          <w:rFonts w:ascii="Times New Roman" w:eastAsia="Times New Roman" w:hAnsi="Times New Roman" w:cs="Times New Roman"/>
          <w:i/>
          <w:iCs/>
          <w:color w:val="000000"/>
          <w:sz w:val="24"/>
          <w:szCs w:val="24"/>
          <w:lang/>
        </w:rPr>
        <w:t>{Абзац третій підпункту 170.2.2 пункту 170.2 статті 170 виключено на підставі Закону </w:t>
      </w:r>
      <w:hyperlink r:id="rId256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FE779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3" w:name="n3985"/>
      <w:bookmarkEnd w:id="4663"/>
      <w:r w:rsidRPr="008B264B">
        <w:rPr>
          <w:rFonts w:ascii="Times New Roman" w:eastAsia="Times New Roman" w:hAnsi="Times New Roman" w:cs="Times New Roman"/>
          <w:color w:val="000000"/>
          <w:sz w:val="24"/>
          <w:szCs w:val="24"/>
          <w:lang/>
        </w:rPr>
        <w:t>Запровадження обов'язку податкового агента для професійного торговця цінними паперами, включаючи банк, не звільняє платника податку від обов'язку декларування результатів усіх операцій з купівлі та продажу інвестиційних активів, здійснених протягом звітного (податкового) року як на території України, так і за її межами, за винятком випадків, зазначених в </w:t>
      </w:r>
      <w:hyperlink r:id="rId2561" w:anchor="n4029" w:history="1">
        <w:r w:rsidRPr="008B264B">
          <w:rPr>
            <w:rFonts w:ascii="Times New Roman" w:eastAsia="Times New Roman" w:hAnsi="Times New Roman" w:cs="Times New Roman"/>
            <w:color w:val="0000FF"/>
            <w:sz w:val="24"/>
            <w:szCs w:val="24"/>
            <w:u w:val="single"/>
            <w:lang/>
          </w:rPr>
          <w:t>підпункті 170.2.8</w:t>
        </w:r>
      </w:hyperlink>
      <w:r w:rsidRPr="008B264B">
        <w:rPr>
          <w:rFonts w:ascii="Times New Roman" w:eastAsia="Times New Roman" w:hAnsi="Times New Roman" w:cs="Times New Roman"/>
          <w:color w:val="000000"/>
          <w:sz w:val="24"/>
          <w:szCs w:val="24"/>
          <w:lang/>
        </w:rPr>
        <w:t> цього пункту.</w:t>
      </w:r>
    </w:p>
    <w:p w14:paraId="2E3050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4" w:name="n3986"/>
      <w:bookmarkEnd w:id="4664"/>
      <w:r w:rsidRPr="008B264B">
        <w:rPr>
          <w:rFonts w:ascii="Times New Roman" w:eastAsia="Times New Roman" w:hAnsi="Times New Roman" w:cs="Times New Roman"/>
          <w:color w:val="000000"/>
          <w:sz w:val="24"/>
          <w:szCs w:val="24"/>
          <w:lang/>
        </w:rPr>
        <w:t>До продажу інвестиційного активу прирівнюються також операції з:</w:t>
      </w:r>
    </w:p>
    <w:p w14:paraId="0E8287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5" w:name="n3987"/>
      <w:bookmarkEnd w:id="4665"/>
      <w:r w:rsidRPr="008B264B">
        <w:rPr>
          <w:rFonts w:ascii="Times New Roman" w:eastAsia="Times New Roman" w:hAnsi="Times New Roman" w:cs="Times New Roman"/>
          <w:color w:val="000000"/>
          <w:sz w:val="24"/>
          <w:szCs w:val="24"/>
          <w:lang/>
        </w:rPr>
        <w:t>обміну інвестиційного активу на інший інвестиційний актив;</w:t>
      </w:r>
    </w:p>
    <w:p w14:paraId="409AEF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6" w:name="n3988"/>
      <w:bookmarkEnd w:id="4666"/>
      <w:r w:rsidRPr="008B264B">
        <w:rPr>
          <w:rFonts w:ascii="Times New Roman" w:eastAsia="Times New Roman" w:hAnsi="Times New Roman" w:cs="Times New Roman"/>
          <w:color w:val="000000"/>
          <w:sz w:val="24"/>
          <w:szCs w:val="24"/>
          <w:lang/>
        </w:rPr>
        <w:t>зворотного викупу або погашення інвестиційного активу його емітентом, який належав платнику податку;</w:t>
      </w:r>
    </w:p>
    <w:p w14:paraId="12E4E4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7" w:name="n3989"/>
      <w:bookmarkEnd w:id="4667"/>
      <w:r w:rsidRPr="008B264B">
        <w:rPr>
          <w:rFonts w:ascii="Times New Roman" w:eastAsia="Times New Roman" w:hAnsi="Times New Roman" w:cs="Times New Roman"/>
          <w:i/>
          <w:iCs/>
          <w:color w:val="000000"/>
          <w:sz w:val="24"/>
          <w:szCs w:val="24"/>
          <w:lang/>
        </w:rPr>
        <w:t>{Абзац сьомий підпункту 170.2.2 пункту 170.2 статті 170 із змінами, внесеними згідно із Законом </w:t>
      </w:r>
      <w:hyperlink r:id="rId2562" w:anchor="n22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22EC6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8" w:name="n3990"/>
      <w:bookmarkEnd w:id="4668"/>
      <w:r w:rsidRPr="008B264B">
        <w:rPr>
          <w:rFonts w:ascii="Times New Roman" w:eastAsia="Times New Roman" w:hAnsi="Times New Roman" w:cs="Times New Roman"/>
          <w:color w:val="000000"/>
          <w:sz w:val="24"/>
          <w:szCs w:val="24"/>
          <w:lang/>
        </w:rPr>
        <w:t>повернення платнику податку коштів або майна (майнових прав), попередньо внесених ним до статутного капіталу емітента корпоративних прав, у разі виходу такого платника податку з числа засновників (учасників) такого емітента чи ліквідації такого емітента.</w:t>
      </w:r>
    </w:p>
    <w:p w14:paraId="077050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69" w:name="n3991"/>
      <w:bookmarkEnd w:id="4669"/>
      <w:r w:rsidRPr="008B264B">
        <w:rPr>
          <w:rFonts w:ascii="Times New Roman" w:eastAsia="Times New Roman" w:hAnsi="Times New Roman" w:cs="Times New Roman"/>
          <w:color w:val="000000"/>
          <w:sz w:val="24"/>
          <w:szCs w:val="24"/>
          <w:lang/>
        </w:rPr>
        <w:t>Придбанням інвестиційного активу вважаються також операції з внесення платником податку коштів або майна до статутного капіталу юридичної особи - резидента в обмін на емітовані ним корпоративні права.</w:t>
      </w:r>
    </w:p>
    <w:p w14:paraId="7ABD4F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0" w:name="n3992"/>
      <w:bookmarkEnd w:id="4670"/>
      <w:r w:rsidRPr="008B264B">
        <w:rPr>
          <w:rFonts w:ascii="Times New Roman" w:eastAsia="Times New Roman" w:hAnsi="Times New Roman" w:cs="Times New Roman"/>
          <w:color w:val="000000"/>
          <w:sz w:val="24"/>
          <w:szCs w:val="24"/>
          <w:lang/>
        </w:rPr>
        <w:t>Інвестиційний актив, подарований платнику податку чи успадкований платником податку, вважається придбаним за вартістю, що дорівнює сумі державного мита та податку з доходів фізичних осіб, сплачених у зв'язку з таким даруванням чи успадкуванням.</w:t>
      </w:r>
    </w:p>
    <w:p w14:paraId="4BAF51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1" w:name="n3993"/>
      <w:bookmarkEnd w:id="4671"/>
      <w:r w:rsidRPr="008B264B">
        <w:rPr>
          <w:rFonts w:ascii="Times New Roman" w:eastAsia="Times New Roman" w:hAnsi="Times New Roman" w:cs="Times New Roman"/>
          <w:color w:val="000000"/>
          <w:sz w:val="24"/>
          <w:szCs w:val="24"/>
          <w:lang/>
        </w:rPr>
        <w:t>Інвестиційний прибуток за операціями з деривативами розраховується як позитивна різниця між доходом, отриманим платником податку за операціями з деривативами (похідними інструментами), включаючи отримані суми періодичних або разових виплат, передбачених умовами контрактів (договорів), та документально підтвердженою сумою, сплаченою платником податку іншій стороні такого контракту (договору) з деривативами (похідними інструментами), в тому числі сплаченими сумами періодичних або разових виплат, які передбачені умовами контракту (договору).</w:t>
      </w:r>
    </w:p>
    <w:p w14:paraId="1FC504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2" w:name="n3994"/>
      <w:bookmarkEnd w:id="4672"/>
      <w:r w:rsidRPr="008B264B">
        <w:rPr>
          <w:rFonts w:ascii="Times New Roman" w:eastAsia="Times New Roman" w:hAnsi="Times New Roman" w:cs="Times New Roman"/>
          <w:i/>
          <w:iCs/>
          <w:color w:val="000000"/>
          <w:sz w:val="24"/>
          <w:szCs w:val="24"/>
          <w:lang/>
        </w:rPr>
        <w:t>{Підпункт 170.2.2 пункту 170.2 статті 170 доповнено абзацом згідно із Законом </w:t>
      </w:r>
      <w:hyperlink r:id="rId256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43F7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3" w:name="n3995"/>
      <w:bookmarkEnd w:id="4673"/>
      <w:r w:rsidRPr="008B264B">
        <w:rPr>
          <w:rFonts w:ascii="Times New Roman" w:eastAsia="Times New Roman" w:hAnsi="Times New Roman" w:cs="Times New Roman"/>
          <w:color w:val="000000"/>
          <w:sz w:val="24"/>
          <w:szCs w:val="24"/>
          <w:lang/>
        </w:rPr>
        <w:lastRenderedPageBreak/>
        <w:t>Документальним підтвердженням (первинним документом) доходів та витрат за операціями з інвестиційними активами, укладеними в електронній формі на фондовій біржі для клієнтів - учасників фондової біржі, визнається звіт торговця цінними паперами (брокера), який формується на базі біржового звіту та договору на брокерське обслуговування.</w:t>
      </w:r>
    </w:p>
    <w:p w14:paraId="71C78C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4" w:name="n3996"/>
      <w:bookmarkEnd w:id="4674"/>
      <w:r w:rsidRPr="008B264B">
        <w:rPr>
          <w:rFonts w:ascii="Times New Roman" w:eastAsia="Times New Roman" w:hAnsi="Times New Roman" w:cs="Times New Roman"/>
          <w:i/>
          <w:iCs/>
          <w:color w:val="000000"/>
          <w:sz w:val="24"/>
          <w:szCs w:val="24"/>
          <w:lang/>
        </w:rPr>
        <w:t>{Підпункт 170.2.2 пункту 170.2 статті 170 доповнено абзацом згідно із Законом </w:t>
      </w:r>
      <w:hyperlink r:id="rId256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F70CB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5" w:name="n3997"/>
      <w:bookmarkEnd w:id="4675"/>
      <w:r w:rsidRPr="008B264B">
        <w:rPr>
          <w:rFonts w:ascii="Times New Roman" w:eastAsia="Times New Roman" w:hAnsi="Times New Roman" w:cs="Times New Roman"/>
          <w:color w:val="000000"/>
          <w:sz w:val="24"/>
          <w:szCs w:val="24"/>
          <w:lang/>
        </w:rPr>
        <w:t>170.2.3. Якщо в результаті розрахунку інвестиційного прибутку за правилами, встановленими цією статтею, виникає від'ємне значення, воно вважається інвестиційним збитком.</w:t>
      </w:r>
    </w:p>
    <w:p w14:paraId="752A3E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6" w:name="n3998"/>
      <w:bookmarkEnd w:id="4676"/>
      <w:r w:rsidRPr="008B264B">
        <w:rPr>
          <w:rFonts w:ascii="Times New Roman" w:eastAsia="Times New Roman" w:hAnsi="Times New Roman" w:cs="Times New Roman"/>
          <w:color w:val="000000"/>
          <w:sz w:val="24"/>
          <w:szCs w:val="24"/>
          <w:lang/>
        </w:rPr>
        <w:t>170.2.4. У разі якщо протягом 30 календарних днів до дня продажу пакета цінних паперів (корпоративних прав) чи деривативів, а також протягом наступних 30 календарних днів з дня такого продажу платник податку придбаває пакет ідентичних цінних паперів (корпоративних прав) чи деривативів, то:</w:t>
      </w:r>
    </w:p>
    <w:p w14:paraId="70ADE9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7" w:name="n3999"/>
      <w:bookmarkEnd w:id="4677"/>
      <w:r w:rsidRPr="008B264B">
        <w:rPr>
          <w:rFonts w:ascii="Times New Roman" w:eastAsia="Times New Roman" w:hAnsi="Times New Roman" w:cs="Times New Roman"/>
          <w:color w:val="000000"/>
          <w:sz w:val="24"/>
          <w:szCs w:val="24"/>
          <w:lang/>
        </w:rPr>
        <w:t>а) інвестиційний збиток, що виник внаслідок такого продажу, не враховується під час визначення загального фінансового результату операцій з інвестиційними активами;</w:t>
      </w:r>
    </w:p>
    <w:p w14:paraId="5AF439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8" w:name="n4000"/>
      <w:bookmarkEnd w:id="4678"/>
      <w:r w:rsidRPr="008B264B">
        <w:rPr>
          <w:rFonts w:ascii="Times New Roman" w:eastAsia="Times New Roman" w:hAnsi="Times New Roman" w:cs="Times New Roman"/>
          <w:color w:val="000000"/>
          <w:sz w:val="24"/>
          <w:szCs w:val="24"/>
          <w:lang/>
        </w:rPr>
        <w:t>б) вартість придбаного пакета для цілей оподаткування визначається за ціною його придбання, але не нижче ніж ціна проданого пакета.</w:t>
      </w:r>
    </w:p>
    <w:p w14:paraId="664E24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79" w:name="n4001"/>
      <w:bookmarkEnd w:id="4679"/>
      <w:r w:rsidRPr="008B264B">
        <w:rPr>
          <w:rFonts w:ascii="Times New Roman" w:eastAsia="Times New Roman" w:hAnsi="Times New Roman" w:cs="Times New Roman"/>
          <w:color w:val="000000"/>
          <w:sz w:val="24"/>
          <w:szCs w:val="24"/>
          <w:lang/>
        </w:rPr>
        <w:t>170.2.5. Якщо платник податку протягом звітного (податкового) року продає інвестиційний актив за договором, який обумовлює право на його зворотний викуп у наступному році, чи придбаває опціон на такий викуп, інвестиційний збиток, який виникає внаслідок такого продажу, не враховується під час визначення загального фінансового результату операцій з інвестиційними активами.</w:t>
      </w:r>
    </w:p>
    <w:p w14:paraId="5EE60B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0" w:name="n4002"/>
      <w:bookmarkEnd w:id="4680"/>
      <w:r w:rsidRPr="008B264B">
        <w:rPr>
          <w:rFonts w:ascii="Times New Roman" w:eastAsia="Times New Roman" w:hAnsi="Times New Roman" w:cs="Times New Roman"/>
          <w:color w:val="000000"/>
          <w:sz w:val="24"/>
          <w:szCs w:val="24"/>
          <w:lang/>
        </w:rPr>
        <w:t>Якщо платник податку, який продає інвестиційний актив протягом звітного (податкового) року, внаслідок чого виникає інвестиційний збиток, придбає такий інвестиційний актив або ідентичний йому пакет у наступному звітному (податковому) році, то для цілей оподаткування вартість такого придбаного пакета визначається на рівні ціни проданого пакета, відповідно збільшеної або зменшеної на різницю між цінами придбання таких двох пакетів.</w:t>
      </w:r>
    </w:p>
    <w:p w14:paraId="3A5747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1" w:name="n4003"/>
      <w:bookmarkEnd w:id="4681"/>
      <w:r w:rsidRPr="008B264B">
        <w:rPr>
          <w:rFonts w:ascii="Times New Roman" w:eastAsia="Times New Roman" w:hAnsi="Times New Roman" w:cs="Times New Roman"/>
          <w:color w:val="000000"/>
          <w:sz w:val="24"/>
          <w:szCs w:val="24"/>
          <w:lang/>
        </w:rPr>
        <w:t>Якщо платник податку продає пакет цінних паперів (корпоративні права) чи деривативів пов'язаним з ним особам, інвестиційний збиток, що виникає внаслідок такого продажу, не враховується під час визначення загального фінансового результату операцій з інвестиційними активами.</w:t>
      </w:r>
    </w:p>
    <w:p w14:paraId="416A09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2" w:name="n4004"/>
      <w:bookmarkEnd w:id="4682"/>
      <w:r w:rsidRPr="008B264B">
        <w:rPr>
          <w:rFonts w:ascii="Times New Roman" w:eastAsia="Times New Roman" w:hAnsi="Times New Roman" w:cs="Times New Roman"/>
          <w:color w:val="000000"/>
          <w:sz w:val="24"/>
          <w:szCs w:val="24"/>
          <w:lang/>
        </w:rPr>
        <w:t>Якщо платник податку дарує інвестиційний актив або передає його у спадщину, інвестиційний збиток, що виникає внаслідок такого дарування або передачі у спадщину, не враховується під час визначення загального фінансового результату операцій з інвестиційними активами.</w:t>
      </w:r>
    </w:p>
    <w:p w14:paraId="1BFA08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3" w:name="n4005"/>
      <w:bookmarkEnd w:id="4683"/>
      <w:r w:rsidRPr="008B264B">
        <w:rPr>
          <w:rFonts w:ascii="Times New Roman" w:eastAsia="Times New Roman" w:hAnsi="Times New Roman" w:cs="Times New Roman"/>
          <w:color w:val="000000"/>
          <w:sz w:val="24"/>
          <w:szCs w:val="24"/>
          <w:lang/>
        </w:rPr>
        <w:t>170.2.6. До складу загального річного оподатковуваного доходу платника податку включається позитивне значення загального фінансового результату операцій з інвестиційними активами за наслідками такого звітного (податкового) року.</w:t>
      </w:r>
    </w:p>
    <w:p w14:paraId="622305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4" w:name="n4006"/>
      <w:bookmarkEnd w:id="4684"/>
      <w:r w:rsidRPr="008B264B">
        <w:rPr>
          <w:rFonts w:ascii="Times New Roman" w:eastAsia="Times New Roman" w:hAnsi="Times New Roman" w:cs="Times New Roman"/>
          <w:color w:val="000000"/>
          <w:sz w:val="24"/>
          <w:szCs w:val="24"/>
          <w:lang/>
        </w:rPr>
        <w:t>Загальний фінансовий результат операцій з інвестиційними активами визначається як сума інвестиційних прибутків, отриманих платником податку протягом звітного (податкового) року, зменшена на суму інвестиційних збитків, понесених платником податку протягом такого року.</w:t>
      </w:r>
    </w:p>
    <w:p w14:paraId="7484FB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5" w:name="n4007"/>
      <w:bookmarkEnd w:id="4685"/>
      <w:r w:rsidRPr="008B264B">
        <w:rPr>
          <w:rFonts w:ascii="Times New Roman" w:eastAsia="Times New Roman" w:hAnsi="Times New Roman" w:cs="Times New Roman"/>
          <w:color w:val="000000"/>
          <w:sz w:val="24"/>
          <w:szCs w:val="24"/>
          <w:lang/>
        </w:rPr>
        <w:t>Якщо загальний фінансовий результат операцій з інвестиційними активами має від'ємне значення, його сума переноситься у зменшення загального фінансового результату операцій з інвестиційними активами наступних років до його повного погашення, крім фінансових результатів, зазначених в </w:t>
      </w:r>
      <w:hyperlink r:id="rId2565" w:anchor="n8366" w:history="1">
        <w:r w:rsidRPr="008B264B">
          <w:rPr>
            <w:rFonts w:ascii="Times New Roman" w:eastAsia="Times New Roman" w:hAnsi="Times New Roman" w:cs="Times New Roman"/>
            <w:color w:val="0000FF"/>
            <w:sz w:val="24"/>
            <w:szCs w:val="24"/>
            <w:u w:val="single"/>
            <w:lang/>
          </w:rPr>
          <w:t>абзаці першому пункту 29</w:t>
        </w:r>
      </w:hyperlink>
      <w:r w:rsidRPr="008B264B">
        <w:rPr>
          <w:rFonts w:ascii="Times New Roman" w:eastAsia="Times New Roman" w:hAnsi="Times New Roman" w:cs="Times New Roman"/>
          <w:color w:val="000000"/>
          <w:sz w:val="24"/>
          <w:szCs w:val="24"/>
          <w:lang/>
        </w:rPr>
        <w:t> підрозділу 4 розділу XX "Перехідні положення" цього Кодексу.</w:t>
      </w:r>
    </w:p>
    <w:p w14:paraId="2CA84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6" w:name="n4008"/>
      <w:bookmarkEnd w:id="4686"/>
      <w:r w:rsidRPr="008B264B">
        <w:rPr>
          <w:rFonts w:ascii="Times New Roman" w:eastAsia="Times New Roman" w:hAnsi="Times New Roman" w:cs="Times New Roman"/>
          <w:i/>
          <w:iCs/>
          <w:color w:val="000000"/>
          <w:sz w:val="24"/>
          <w:szCs w:val="24"/>
          <w:lang/>
        </w:rPr>
        <w:lastRenderedPageBreak/>
        <w:t>{Абзац третій підпункту 170.2.6 пункту 170.2 статті 170 із змінами, внесеними згідно із Законом </w:t>
      </w:r>
      <w:hyperlink r:id="rId2566"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4EBCA3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7" w:name="n4009"/>
      <w:bookmarkEnd w:id="4687"/>
      <w:r w:rsidRPr="008B264B">
        <w:rPr>
          <w:rFonts w:ascii="Times New Roman" w:eastAsia="Times New Roman" w:hAnsi="Times New Roman" w:cs="Times New Roman"/>
          <w:color w:val="000000"/>
          <w:sz w:val="24"/>
          <w:szCs w:val="24"/>
          <w:lang/>
        </w:rPr>
        <w:t>Фінансовий результат за операціями з цінними паперами чи деривативами визначається платником податку. При цьому платник податку визначає фінансовий результат за операціями з цінними паперами чи деривативами, що перебувають в обігу на фондовій біржі, окремо від фінансового результату за операціями з цінними паперами чи деривативами, що не перебувають в обігу на фондовій біржі.</w:t>
      </w:r>
    </w:p>
    <w:p w14:paraId="35E33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8" w:name="n4010"/>
      <w:bookmarkEnd w:id="4688"/>
      <w:r w:rsidRPr="008B264B">
        <w:rPr>
          <w:rFonts w:ascii="Times New Roman" w:eastAsia="Times New Roman" w:hAnsi="Times New Roman" w:cs="Times New Roman"/>
          <w:i/>
          <w:iCs/>
          <w:color w:val="000000"/>
          <w:sz w:val="24"/>
          <w:szCs w:val="24"/>
          <w:lang/>
        </w:rPr>
        <w:t>{Абзац четвертий підпункту 170.2.6 пункту 170.2 статті 170 із змінами, внесеними згідно із Законом </w:t>
      </w:r>
      <w:hyperlink r:id="rId256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568"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68F0A8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89" w:name="n4011"/>
      <w:bookmarkEnd w:id="4689"/>
      <w:r w:rsidRPr="008B264B">
        <w:rPr>
          <w:rFonts w:ascii="Times New Roman" w:eastAsia="Times New Roman" w:hAnsi="Times New Roman" w:cs="Times New Roman"/>
          <w:i/>
          <w:iCs/>
          <w:color w:val="000000"/>
          <w:sz w:val="24"/>
          <w:szCs w:val="24"/>
          <w:lang/>
        </w:rPr>
        <w:t>{Абзац п'ятий підпункту 170.2.6 пункту 170.2 статті 170 виключено на підставі Закону </w:t>
      </w:r>
      <w:hyperlink r:id="rId2569" w:anchor="n100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6A7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0" w:name="n4013"/>
      <w:bookmarkEnd w:id="4690"/>
      <w:r w:rsidRPr="008B264B">
        <w:rPr>
          <w:rFonts w:ascii="Times New Roman" w:eastAsia="Times New Roman" w:hAnsi="Times New Roman" w:cs="Times New Roman"/>
          <w:i/>
          <w:iCs/>
          <w:color w:val="000000"/>
          <w:sz w:val="24"/>
          <w:szCs w:val="24"/>
          <w:lang/>
        </w:rPr>
        <w:t>{Абзац шостий підпункту 170.2.6 пункту 170.2 статті 170 виключено на підставі Закону </w:t>
      </w:r>
      <w:hyperlink r:id="rId2570"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57229C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1" w:name="n4014"/>
      <w:bookmarkEnd w:id="4691"/>
      <w:r w:rsidRPr="008B264B">
        <w:rPr>
          <w:rFonts w:ascii="Times New Roman" w:eastAsia="Times New Roman" w:hAnsi="Times New Roman" w:cs="Times New Roman"/>
          <w:i/>
          <w:iCs/>
          <w:color w:val="000000"/>
          <w:sz w:val="24"/>
          <w:szCs w:val="24"/>
          <w:lang/>
        </w:rPr>
        <w:t>{Абзац сьомий підпункту 170.2.6 пункту 170.2 статті 170 виключено на підставі Закону </w:t>
      </w:r>
      <w:hyperlink r:id="rId2571"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65E472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2" w:name="n4015"/>
      <w:bookmarkEnd w:id="4692"/>
      <w:r w:rsidRPr="008B264B">
        <w:rPr>
          <w:rFonts w:ascii="Times New Roman" w:eastAsia="Times New Roman" w:hAnsi="Times New Roman" w:cs="Times New Roman"/>
          <w:i/>
          <w:iCs/>
          <w:color w:val="000000"/>
          <w:sz w:val="24"/>
          <w:szCs w:val="24"/>
          <w:lang/>
        </w:rPr>
        <w:t>{Абзац восьмий підпункту 170.2.6 пункту 170.2 статті 170 виключено на підставі Закону </w:t>
      </w:r>
      <w:hyperlink r:id="rId2572"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0816ED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3" w:name="n4016"/>
      <w:bookmarkEnd w:id="4693"/>
      <w:r w:rsidRPr="008B264B">
        <w:rPr>
          <w:rFonts w:ascii="Times New Roman" w:eastAsia="Times New Roman" w:hAnsi="Times New Roman" w:cs="Times New Roman"/>
          <w:color w:val="000000"/>
          <w:sz w:val="24"/>
          <w:szCs w:val="24"/>
          <w:lang/>
        </w:rPr>
        <w:t>Для цілей цього пункту під національним законодавством розуміється законодавство тієї держави, на території якої здійснюється обіг цінних паперів чи деривативів (укладення цивільно-правових угод, що тягне за собою перехід права власності на цінні папери чи деривативи).</w:t>
      </w:r>
    </w:p>
    <w:p w14:paraId="72AC20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4" w:name="n4017"/>
      <w:bookmarkEnd w:id="4694"/>
      <w:r w:rsidRPr="008B264B">
        <w:rPr>
          <w:rFonts w:ascii="Times New Roman" w:eastAsia="Times New Roman" w:hAnsi="Times New Roman" w:cs="Times New Roman"/>
          <w:color w:val="000000"/>
          <w:sz w:val="24"/>
          <w:szCs w:val="24"/>
          <w:lang/>
        </w:rPr>
        <w:t>Дія </w:t>
      </w:r>
      <w:hyperlink r:id="rId2573" w:anchor="n3998" w:history="1">
        <w:r w:rsidRPr="008B264B">
          <w:rPr>
            <w:rFonts w:ascii="Times New Roman" w:eastAsia="Times New Roman" w:hAnsi="Times New Roman" w:cs="Times New Roman"/>
            <w:color w:val="0000FF"/>
            <w:sz w:val="24"/>
            <w:szCs w:val="24"/>
            <w:u w:val="single"/>
            <w:lang/>
          </w:rPr>
          <w:t>підпунктів 170.2.4</w:t>
        </w:r>
      </w:hyperlink>
      <w:r w:rsidRPr="008B264B">
        <w:rPr>
          <w:rFonts w:ascii="Times New Roman" w:eastAsia="Times New Roman" w:hAnsi="Times New Roman" w:cs="Times New Roman"/>
          <w:color w:val="000000"/>
          <w:sz w:val="24"/>
          <w:szCs w:val="24"/>
          <w:lang/>
        </w:rPr>
        <w:t> та </w:t>
      </w:r>
      <w:hyperlink r:id="rId2574" w:anchor="n4001" w:history="1">
        <w:r w:rsidRPr="008B264B">
          <w:rPr>
            <w:rFonts w:ascii="Times New Roman" w:eastAsia="Times New Roman" w:hAnsi="Times New Roman" w:cs="Times New Roman"/>
            <w:color w:val="0000FF"/>
            <w:sz w:val="24"/>
            <w:szCs w:val="24"/>
            <w:u w:val="single"/>
            <w:lang/>
          </w:rPr>
          <w:t>170.2.5</w:t>
        </w:r>
      </w:hyperlink>
      <w:r w:rsidRPr="008B264B">
        <w:rPr>
          <w:rFonts w:ascii="Times New Roman" w:eastAsia="Times New Roman" w:hAnsi="Times New Roman" w:cs="Times New Roman"/>
          <w:color w:val="000000"/>
          <w:sz w:val="24"/>
          <w:szCs w:val="24"/>
          <w:lang/>
        </w:rPr>
        <w:t> не поширюється на придбання або продаж цінних паперів та деривативів, що здійснюються на фондовій біржі, а також у разі:</w:t>
      </w:r>
    </w:p>
    <w:p w14:paraId="5059D7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5" w:name="n4018"/>
      <w:bookmarkEnd w:id="4695"/>
      <w:r w:rsidRPr="008B264B">
        <w:rPr>
          <w:rFonts w:ascii="Times New Roman" w:eastAsia="Times New Roman" w:hAnsi="Times New Roman" w:cs="Times New Roman"/>
          <w:color w:val="000000"/>
          <w:sz w:val="24"/>
          <w:szCs w:val="24"/>
          <w:lang/>
        </w:rPr>
        <w:t>придбання або продажу пакета акцій розміром понад 25 відсотків статутного капіталу емітента;</w:t>
      </w:r>
    </w:p>
    <w:p w14:paraId="21B89B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6" w:name="n4019"/>
      <w:bookmarkEnd w:id="4696"/>
      <w:r w:rsidRPr="008B264B">
        <w:rPr>
          <w:rFonts w:ascii="Times New Roman" w:eastAsia="Times New Roman" w:hAnsi="Times New Roman" w:cs="Times New Roman"/>
          <w:color w:val="000000"/>
          <w:sz w:val="24"/>
          <w:szCs w:val="24"/>
          <w:lang/>
        </w:rPr>
        <w:t>викупу акцій емітентом, у тому числі на вимогу власника акцій;</w:t>
      </w:r>
    </w:p>
    <w:p w14:paraId="422BC6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7" w:name="n4020"/>
      <w:bookmarkEnd w:id="4697"/>
      <w:r w:rsidRPr="008B264B">
        <w:rPr>
          <w:rFonts w:ascii="Times New Roman" w:eastAsia="Times New Roman" w:hAnsi="Times New Roman" w:cs="Times New Roman"/>
          <w:color w:val="000000"/>
          <w:sz w:val="24"/>
          <w:szCs w:val="24"/>
          <w:lang/>
        </w:rPr>
        <w:t>придбання емісійних цінних паперів у процесі їх приватного розміщення;</w:t>
      </w:r>
    </w:p>
    <w:p w14:paraId="24756A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8" w:name="n4021"/>
      <w:bookmarkEnd w:id="4698"/>
      <w:r w:rsidRPr="008B264B">
        <w:rPr>
          <w:rFonts w:ascii="Times New Roman" w:eastAsia="Times New Roman" w:hAnsi="Times New Roman" w:cs="Times New Roman"/>
          <w:color w:val="000000"/>
          <w:sz w:val="24"/>
          <w:szCs w:val="24"/>
          <w:lang/>
        </w:rPr>
        <w:t>придбання або продажу цінних паперів, які відповідно до вимог законодавства не можуть перебувати в обігу на фондовій біржі.</w:t>
      </w:r>
    </w:p>
    <w:p w14:paraId="4793ED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699" w:name="n4022"/>
      <w:bookmarkEnd w:id="4699"/>
      <w:r w:rsidRPr="008B264B">
        <w:rPr>
          <w:rFonts w:ascii="Times New Roman" w:eastAsia="Times New Roman" w:hAnsi="Times New Roman" w:cs="Times New Roman"/>
          <w:color w:val="000000"/>
          <w:sz w:val="24"/>
          <w:szCs w:val="24"/>
          <w:lang/>
        </w:rPr>
        <w:t>Якщо протягом звітного періоду платником податку понесені (нараховані) витрати, пов'язані з придбанням цінних паперів та деривативів, що мають </w:t>
      </w:r>
      <w:hyperlink r:id="rId2575" w:anchor="n15" w:tgtFrame="_blank" w:history="1">
        <w:r w:rsidRPr="008B264B">
          <w:rPr>
            <w:rFonts w:ascii="Times New Roman" w:eastAsia="Times New Roman" w:hAnsi="Times New Roman" w:cs="Times New Roman"/>
            <w:color w:val="0000FF"/>
            <w:sz w:val="24"/>
            <w:szCs w:val="24"/>
            <w:u w:val="single"/>
            <w:lang/>
          </w:rPr>
          <w:t>ознаки фіктивності</w:t>
        </w:r>
      </w:hyperlink>
      <w:r w:rsidRPr="008B264B">
        <w:rPr>
          <w:rFonts w:ascii="Times New Roman" w:eastAsia="Times New Roman" w:hAnsi="Times New Roman" w:cs="Times New Roman"/>
          <w:color w:val="000000"/>
          <w:sz w:val="24"/>
          <w:szCs w:val="24"/>
          <w:lang/>
        </w:rPr>
        <w:t>, встановлені Національною комісією з цінних паперів та фондового ринку, такі витрати не враховуються при визначенні фінансового результату за операціями з цінними паперами або деривативами.</w:t>
      </w:r>
    </w:p>
    <w:p w14:paraId="110B14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0" w:name="n4023"/>
      <w:bookmarkEnd w:id="4700"/>
      <w:r w:rsidRPr="008B264B">
        <w:rPr>
          <w:rFonts w:ascii="Times New Roman" w:eastAsia="Times New Roman" w:hAnsi="Times New Roman" w:cs="Times New Roman"/>
          <w:i/>
          <w:iCs/>
          <w:color w:val="000000"/>
          <w:sz w:val="24"/>
          <w:szCs w:val="24"/>
          <w:lang/>
        </w:rPr>
        <w:t>{Абзац п'ятнадцятий підпункту 170.2.6 пункту 170.2 статті 170 із змінами, внесеними згідно із Законом </w:t>
      </w:r>
      <w:hyperlink r:id="rId2576" w:tgtFrame="_blank" w:history="1">
        <w:r w:rsidRPr="008B264B">
          <w:rPr>
            <w:rFonts w:ascii="Times New Roman" w:eastAsia="Times New Roman" w:hAnsi="Times New Roman" w:cs="Times New Roman"/>
            <w:i/>
            <w:iCs/>
            <w:color w:val="0000FF"/>
            <w:sz w:val="24"/>
            <w:szCs w:val="24"/>
            <w:u w:val="single"/>
            <w:lang/>
          </w:rPr>
          <w:t>№ 3610-VI від 07.07.2011</w:t>
        </w:r>
      </w:hyperlink>
      <w:r w:rsidRPr="008B264B">
        <w:rPr>
          <w:rFonts w:ascii="Times New Roman" w:eastAsia="Times New Roman" w:hAnsi="Times New Roman" w:cs="Times New Roman"/>
          <w:i/>
          <w:iCs/>
          <w:color w:val="000000"/>
          <w:sz w:val="24"/>
          <w:szCs w:val="24"/>
          <w:lang/>
        </w:rPr>
        <w:t>}</w:t>
      </w:r>
    </w:p>
    <w:p w14:paraId="711C6E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1" w:name="n4024"/>
      <w:bookmarkEnd w:id="4701"/>
      <w:r w:rsidRPr="008B264B">
        <w:rPr>
          <w:rFonts w:ascii="Times New Roman" w:eastAsia="Times New Roman" w:hAnsi="Times New Roman" w:cs="Times New Roman"/>
          <w:color w:val="000000"/>
          <w:sz w:val="24"/>
          <w:szCs w:val="24"/>
          <w:lang/>
        </w:rPr>
        <w:t>170.2.7. Для цілей цього пункту:</w:t>
      </w:r>
    </w:p>
    <w:p w14:paraId="6AC8CF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2" w:name="n4025"/>
      <w:bookmarkEnd w:id="4702"/>
      <w:r w:rsidRPr="008B264B">
        <w:rPr>
          <w:rFonts w:ascii="Times New Roman" w:eastAsia="Times New Roman" w:hAnsi="Times New Roman" w:cs="Times New Roman"/>
          <w:color w:val="000000"/>
          <w:sz w:val="24"/>
          <w:szCs w:val="24"/>
          <w:lang/>
        </w:rPr>
        <w:t>а) термін "інвестиційний актив" означає пакет цінних паперів, деривативів чи корпоративні права, виражені в інших, ніж цінні папери, формах, випущені одним емітентом;</w:t>
      </w:r>
    </w:p>
    <w:p w14:paraId="34DFF7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3" w:name="n4026"/>
      <w:bookmarkEnd w:id="4703"/>
      <w:r w:rsidRPr="008B264B">
        <w:rPr>
          <w:rFonts w:ascii="Times New Roman" w:eastAsia="Times New Roman" w:hAnsi="Times New Roman" w:cs="Times New Roman"/>
          <w:i/>
          <w:iCs/>
          <w:color w:val="000000"/>
          <w:sz w:val="24"/>
          <w:szCs w:val="24"/>
          <w:lang/>
        </w:rPr>
        <w:t>{Підпункт "а" підпункту 170.2.7 пункту 170.2 статті 170 із змінами, внесеними згідно із Законом </w:t>
      </w:r>
      <w:hyperlink r:id="rId257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F26B4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4" w:name="n4027"/>
      <w:bookmarkEnd w:id="4704"/>
      <w:r w:rsidRPr="008B264B">
        <w:rPr>
          <w:rFonts w:ascii="Times New Roman" w:eastAsia="Times New Roman" w:hAnsi="Times New Roman" w:cs="Times New Roman"/>
          <w:color w:val="000000"/>
          <w:sz w:val="24"/>
          <w:szCs w:val="24"/>
          <w:lang/>
        </w:rPr>
        <w:t>б) термін "пакет цінних паперів" означає окремий цінний папір, фондовий та товарний дериватив, а також сукупність ідентичних цінних паперів чи фондових та товарних деривативів;</w:t>
      </w:r>
    </w:p>
    <w:p w14:paraId="5ADC0C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5" w:name="n4028"/>
      <w:bookmarkEnd w:id="4705"/>
      <w:r w:rsidRPr="008B264B">
        <w:rPr>
          <w:rFonts w:ascii="Times New Roman" w:eastAsia="Times New Roman" w:hAnsi="Times New Roman" w:cs="Times New Roman"/>
          <w:color w:val="000000"/>
          <w:sz w:val="24"/>
          <w:szCs w:val="24"/>
          <w:lang/>
        </w:rPr>
        <w:t>в) термін "ідентичний цінний папір чи дериватив" означає цінні папери чи деривативи, випущені одним емітентом за тотожними умовами емісії, виплати доходу, викупу чи погашення.</w:t>
      </w:r>
    </w:p>
    <w:p w14:paraId="46D499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6" w:name="n4029"/>
      <w:bookmarkEnd w:id="4706"/>
      <w:r w:rsidRPr="008B264B">
        <w:rPr>
          <w:rFonts w:ascii="Times New Roman" w:eastAsia="Times New Roman" w:hAnsi="Times New Roman" w:cs="Times New Roman"/>
          <w:color w:val="000000"/>
          <w:sz w:val="24"/>
          <w:szCs w:val="24"/>
          <w:lang/>
        </w:rPr>
        <w:lastRenderedPageBreak/>
        <w:t>170.2.8. Не підлягає оподаткуванню та не включається до загального річного оподатковуваного доходу:</w:t>
      </w:r>
    </w:p>
    <w:p w14:paraId="6508BB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7" w:name="n4030"/>
      <w:bookmarkEnd w:id="4707"/>
      <w:r w:rsidRPr="008B264B">
        <w:rPr>
          <w:rFonts w:ascii="Times New Roman" w:eastAsia="Times New Roman" w:hAnsi="Times New Roman" w:cs="Times New Roman"/>
          <w:color w:val="000000"/>
          <w:sz w:val="24"/>
          <w:szCs w:val="24"/>
          <w:lang/>
        </w:rPr>
        <w:t>а) дохід, отриманий платником податку протягом звітного податкового року від продажу інвестиційних активів, якщо сума такого доходу не перевищує суму, визначену в абзаці першому </w:t>
      </w:r>
      <w:hyperlink r:id="rId2578" w:anchor="n3953" w:history="1">
        <w:r w:rsidRPr="008B264B">
          <w:rPr>
            <w:rFonts w:ascii="Times New Roman" w:eastAsia="Times New Roman" w:hAnsi="Times New Roman" w:cs="Times New Roman"/>
            <w:color w:val="0000FF"/>
            <w:sz w:val="24"/>
            <w:szCs w:val="24"/>
            <w:u w:val="single"/>
            <w:lang/>
          </w:rPr>
          <w:t>підпункту 169.4.1</w:t>
        </w:r>
      </w:hyperlink>
      <w:r w:rsidRPr="008B264B">
        <w:rPr>
          <w:rFonts w:ascii="Times New Roman" w:eastAsia="Times New Roman" w:hAnsi="Times New Roman" w:cs="Times New Roman"/>
          <w:color w:val="000000"/>
          <w:sz w:val="24"/>
          <w:szCs w:val="24"/>
          <w:lang/>
        </w:rPr>
        <w:t> пункту 169.4 статті 169 цього Кодексу;</w:t>
      </w:r>
    </w:p>
    <w:p w14:paraId="1B07D9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8" w:name="n4031"/>
      <w:bookmarkEnd w:id="4708"/>
      <w:r w:rsidRPr="008B264B">
        <w:rPr>
          <w:rFonts w:ascii="Times New Roman" w:eastAsia="Times New Roman" w:hAnsi="Times New Roman" w:cs="Times New Roman"/>
          <w:color w:val="000000"/>
          <w:sz w:val="24"/>
          <w:szCs w:val="24"/>
          <w:lang/>
        </w:rPr>
        <w:t>б) дохід, отриманий платником податку від продажу інвестиційних активів у випадку, визначеному </w:t>
      </w:r>
      <w:hyperlink r:id="rId2579" w:anchor="n3795" w:history="1">
        <w:r w:rsidRPr="008B264B">
          <w:rPr>
            <w:rFonts w:ascii="Times New Roman" w:eastAsia="Times New Roman" w:hAnsi="Times New Roman" w:cs="Times New Roman"/>
            <w:color w:val="0000FF"/>
            <w:sz w:val="24"/>
            <w:szCs w:val="24"/>
            <w:u w:val="single"/>
            <w:lang/>
          </w:rPr>
          <w:t>підпунктами </w:t>
        </w:r>
      </w:hyperlink>
      <w:hyperlink r:id="rId2580" w:anchor="n3795" w:history="1">
        <w:r w:rsidRPr="008B264B">
          <w:rPr>
            <w:rFonts w:ascii="Times New Roman" w:eastAsia="Times New Roman" w:hAnsi="Times New Roman" w:cs="Times New Roman"/>
            <w:color w:val="0000FF"/>
            <w:sz w:val="24"/>
            <w:szCs w:val="24"/>
            <w:u w:val="single"/>
            <w:lang/>
          </w:rPr>
          <w:t>165.1.40</w:t>
        </w:r>
      </w:hyperlink>
      <w:r w:rsidRPr="008B264B">
        <w:rPr>
          <w:rFonts w:ascii="Times New Roman" w:eastAsia="Times New Roman" w:hAnsi="Times New Roman" w:cs="Times New Roman"/>
          <w:color w:val="000000"/>
          <w:sz w:val="24"/>
          <w:szCs w:val="24"/>
          <w:lang/>
        </w:rPr>
        <w:t> та </w:t>
      </w:r>
      <w:hyperlink r:id="rId2581" w:anchor="n3812" w:history="1">
        <w:r w:rsidRPr="008B264B">
          <w:rPr>
            <w:rFonts w:ascii="Times New Roman" w:eastAsia="Times New Roman" w:hAnsi="Times New Roman" w:cs="Times New Roman"/>
            <w:color w:val="0000FF"/>
            <w:sz w:val="24"/>
            <w:szCs w:val="24"/>
            <w:u w:val="single"/>
            <w:lang/>
          </w:rPr>
          <w:t>165.1.52</w:t>
        </w:r>
      </w:hyperlink>
      <w:r w:rsidRPr="008B264B">
        <w:rPr>
          <w:rFonts w:ascii="Times New Roman" w:eastAsia="Times New Roman" w:hAnsi="Times New Roman" w:cs="Times New Roman"/>
          <w:color w:val="000000"/>
          <w:sz w:val="24"/>
          <w:szCs w:val="24"/>
          <w:lang/>
        </w:rPr>
        <w:t> пункту 165.1 статті 165 цього Кодексу.</w:t>
      </w:r>
    </w:p>
    <w:p w14:paraId="1723E5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09" w:name="n4032"/>
      <w:bookmarkEnd w:id="4709"/>
      <w:r w:rsidRPr="008B264B">
        <w:rPr>
          <w:rFonts w:ascii="Times New Roman" w:eastAsia="Times New Roman" w:hAnsi="Times New Roman" w:cs="Times New Roman"/>
          <w:i/>
          <w:iCs/>
          <w:color w:val="000000"/>
          <w:sz w:val="24"/>
          <w:szCs w:val="24"/>
          <w:lang/>
        </w:rPr>
        <w:t>{Підпункт "б" підпункту 170.2.8 пункту 170.2 статті 170 із змінами, внесеними згідно із Законом </w:t>
      </w:r>
      <w:hyperlink r:id="rId2582" w:anchor="n22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7262C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0" w:name="n4033"/>
      <w:bookmarkEnd w:id="4710"/>
      <w:r w:rsidRPr="008B264B">
        <w:rPr>
          <w:rFonts w:ascii="Times New Roman" w:eastAsia="Times New Roman" w:hAnsi="Times New Roman" w:cs="Times New Roman"/>
          <w:color w:val="000000"/>
          <w:sz w:val="24"/>
          <w:szCs w:val="24"/>
          <w:lang/>
        </w:rPr>
        <w:t>У випадках, зазначених у підпунктах "а" і "б" цього підпункту, платник податку не включає до розрахунку загального фінансового результату операцій з інвестиційними активами суму доходів та витрат на придбання таких інвестиційних активів.</w:t>
      </w:r>
    </w:p>
    <w:p w14:paraId="6E879A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1" w:name="n4034"/>
      <w:bookmarkEnd w:id="4711"/>
      <w:r w:rsidRPr="008B264B">
        <w:rPr>
          <w:rFonts w:ascii="Times New Roman" w:eastAsia="Times New Roman" w:hAnsi="Times New Roman" w:cs="Times New Roman"/>
          <w:color w:val="000000"/>
          <w:sz w:val="24"/>
          <w:szCs w:val="24"/>
          <w:lang/>
        </w:rPr>
        <w:t>170.2.9. Податковим агентом платника податку, який здійснює операції з інвестиційними активами з використанням послуг професійного торговця цінними паперами, включаючи банк, є такий професійний торговець. Податковий агент під час кожного нарахування платнику інвестиційного прибутку нараховує (утримує) податок за ставкою, визначеною </w:t>
      </w:r>
      <w:hyperlink r:id="rId2583" w:anchor="n11196" w:history="1">
        <w:r w:rsidRPr="008B264B">
          <w:rPr>
            <w:rFonts w:ascii="Times New Roman" w:eastAsia="Times New Roman" w:hAnsi="Times New Roman" w:cs="Times New Roman"/>
            <w:color w:val="0000FF"/>
            <w:sz w:val="24"/>
            <w:szCs w:val="24"/>
            <w:u w:val="single"/>
            <w:lang/>
          </w:rPr>
          <w:t>підпунктом 167.5.1</w:t>
        </w:r>
      </w:hyperlink>
      <w:r w:rsidRPr="008B264B">
        <w:rPr>
          <w:rFonts w:ascii="Times New Roman" w:eastAsia="Times New Roman" w:hAnsi="Times New Roman" w:cs="Times New Roman"/>
          <w:color w:val="000000"/>
          <w:sz w:val="24"/>
          <w:szCs w:val="24"/>
          <w:lang/>
        </w:rPr>
        <w:t> пункту 167.5 статті 167 цього Кодексу, та сплачує (перераховує) утриманий податок до бюджету під час кожного нарахування такого доходу, що не звільняє платника податку від подання річної податкової декларації при отриманні ним доходу, зазначеного у цьому пункті.</w:t>
      </w:r>
    </w:p>
    <w:p w14:paraId="632EB2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2" w:name="n4035"/>
      <w:bookmarkEnd w:id="4712"/>
      <w:r w:rsidRPr="008B264B">
        <w:rPr>
          <w:rFonts w:ascii="Times New Roman" w:eastAsia="Times New Roman" w:hAnsi="Times New Roman" w:cs="Times New Roman"/>
          <w:i/>
          <w:iCs/>
          <w:color w:val="000000"/>
          <w:sz w:val="24"/>
          <w:szCs w:val="24"/>
          <w:lang/>
        </w:rPr>
        <w:t>{Абзац перший підпункту 170.2.9 пункту 170.2 статті 170 із змінами, внесеними згідно з Законами </w:t>
      </w:r>
      <w:hyperlink r:id="rId2584" w:anchor="n18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2585" w:anchor="n27"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119506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3" w:name="n4036"/>
      <w:bookmarkEnd w:id="4713"/>
      <w:r w:rsidRPr="008B264B">
        <w:rPr>
          <w:rFonts w:ascii="Times New Roman" w:eastAsia="Times New Roman" w:hAnsi="Times New Roman" w:cs="Times New Roman"/>
          <w:color w:val="000000"/>
          <w:sz w:val="24"/>
          <w:szCs w:val="24"/>
          <w:lang/>
        </w:rPr>
        <w:t>Методика визначення інвестиційного прибутку професійним торговцем цінними паперами при виконанні функцій податкового агента встановлюється центральним органом виконавчої влади, що забезпечує формування та реалізує державну фінансову політику спільно з Національною комісією з цінних паперів та фондового ринку.</w:t>
      </w:r>
    </w:p>
    <w:p w14:paraId="1D1BA3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4" w:name="n4037"/>
      <w:bookmarkEnd w:id="4714"/>
      <w:r w:rsidRPr="008B264B">
        <w:rPr>
          <w:rFonts w:ascii="Times New Roman" w:eastAsia="Times New Roman" w:hAnsi="Times New Roman" w:cs="Times New Roman"/>
          <w:i/>
          <w:iCs/>
          <w:color w:val="000000"/>
          <w:sz w:val="24"/>
          <w:szCs w:val="24"/>
          <w:lang/>
        </w:rPr>
        <w:t>{Абзац другий підпункту 170.2.9 пункту 170.2 статті 170 із змінами, внесеними згідно з Законами </w:t>
      </w:r>
      <w:hyperlink r:id="rId2586" w:anchor="n18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2587" w:anchor="n12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2588" w:anchor="n10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4ED3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5" w:name="n4038"/>
      <w:bookmarkEnd w:id="4715"/>
      <w:r w:rsidRPr="008B264B">
        <w:rPr>
          <w:rFonts w:ascii="Times New Roman" w:eastAsia="Times New Roman" w:hAnsi="Times New Roman" w:cs="Times New Roman"/>
          <w:i/>
          <w:iCs/>
          <w:color w:val="000000"/>
          <w:sz w:val="24"/>
          <w:szCs w:val="24"/>
          <w:lang/>
        </w:rPr>
        <w:t>{Підпункт 170.2.9 пункту 170.2 статті 170 в редакції Закону </w:t>
      </w:r>
      <w:hyperlink r:id="rId258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2590" w:anchor="n55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591" w:anchor="n20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31D68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6" w:name="n4039"/>
      <w:bookmarkEnd w:id="4716"/>
      <w:r w:rsidRPr="008B264B">
        <w:rPr>
          <w:rFonts w:ascii="Times New Roman" w:eastAsia="Times New Roman" w:hAnsi="Times New Roman" w:cs="Times New Roman"/>
          <w:color w:val="000000"/>
          <w:sz w:val="24"/>
          <w:szCs w:val="24"/>
          <w:lang/>
        </w:rPr>
        <w:t>170.3. Оподаткування роялті.</w:t>
      </w:r>
    </w:p>
    <w:p w14:paraId="6A3080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7" w:name="n4040"/>
      <w:bookmarkEnd w:id="4717"/>
      <w:r w:rsidRPr="008B264B">
        <w:rPr>
          <w:rFonts w:ascii="Times New Roman" w:eastAsia="Times New Roman" w:hAnsi="Times New Roman" w:cs="Times New Roman"/>
          <w:color w:val="000000"/>
          <w:sz w:val="24"/>
          <w:szCs w:val="24"/>
          <w:lang/>
        </w:rPr>
        <w:t>170.3.1. Роялті оподатковуються за правилами, встановленими для оподаткування дивідендів, за ставкою, визначеною підпунктом 167.5.1 пункту 167.5 статті 167 цього Кодексу.</w:t>
      </w:r>
    </w:p>
    <w:p w14:paraId="61BE5F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8" w:name="n11215"/>
      <w:bookmarkEnd w:id="4718"/>
      <w:r w:rsidRPr="008B264B">
        <w:rPr>
          <w:rFonts w:ascii="Times New Roman" w:eastAsia="Times New Roman" w:hAnsi="Times New Roman" w:cs="Times New Roman"/>
          <w:i/>
          <w:iCs/>
          <w:color w:val="000000"/>
          <w:sz w:val="24"/>
          <w:szCs w:val="24"/>
          <w:lang/>
        </w:rPr>
        <w:t>{Підпункт 170.3.1 пункту 170.3 статті 170 із змінами, внесеними згідно із Законом </w:t>
      </w:r>
      <w:hyperlink r:id="rId2592" w:anchor="n55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F516A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19" w:name="n4041"/>
      <w:bookmarkEnd w:id="4719"/>
      <w:r w:rsidRPr="008B264B">
        <w:rPr>
          <w:rFonts w:ascii="Times New Roman" w:eastAsia="Times New Roman" w:hAnsi="Times New Roman" w:cs="Times New Roman"/>
          <w:color w:val="000000"/>
          <w:sz w:val="24"/>
          <w:szCs w:val="24"/>
          <w:lang/>
        </w:rPr>
        <w:t>170.4. Оподаткування процентів.</w:t>
      </w:r>
    </w:p>
    <w:p w14:paraId="5170EA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0" w:name="n10020"/>
      <w:bookmarkEnd w:id="4720"/>
      <w:r w:rsidRPr="008B264B">
        <w:rPr>
          <w:rFonts w:ascii="Times New Roman" w:eastAsia="Times New Roman" w:hAnsi="Times New Roman" w:cs="Times New Roman"/>
          <w:color w:val="000000"/>
          <w:sz w:val="24"/>
          <w:szCs w:val="24"/>
          <w:lang/>
        </w:rPr>
        <w:t>170.4.1. Податковим агентом платника податку під час нарахування на його користь доходів у вигляді процентів є особа, яка здійснює таке нарахування.</w:t>
      </w:r>
    </w:p>
    <w:p w14:paraId="73DE3D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1" w:name="n10021"/>
      <w:bookmarkEnd w:id="4721"/>
      <w:r w:rsidRPr="008B264B">
        <w:rPr>
          <w:rFonts w:ascii="Times New Roman" w:eastAsia="Times New Roman" w:hAnsi="Times New Roman" w:cs="Times New Roman"/>
          <w:color w:val="000000"/>
          <w:sz w:val="24"/>
          <w:szCs w:val="24"/>
          <w:lang/>
        </w:rPr>
        <w:t>Податковим агентом у строки, визначені цим Кодексом для місячного податкового періоду, до бюджету сплачується (перераховується) загальна сума податку, нарахованого за ставкою, визначеною </w:t>
      </w:r>
      <w:hyperlink r:id="rId2593"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 із загальної суми процентів, нарахованих за податковий (звітний) місяць на суми банківських вкладних (депозитних) або поточних рахунків, ощадних (депозитних) сертифікатів, вкладів (депозитів) членів кредитної спілки у кредитній спілці.</w:t>
      </w:r>
    </w:p>
    <w:p w14:paraId="2FED12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2" w:name="n12736"/>
      <w:bookmarkEnd w:id="4722"/>
      <w:r w:rsidRPr="008B264B">
        <w:rPr>
          <w:rFonts w:ascii="Times New Roman" w:eastAsia="Times New Roman" w:hAnsi="Times New Roman" w:cs="Times New Roman"/>
          <w:i/>
          <w:iCs/>
          <w:color w:val="000000"/>
          <w:sz w:val="24"/>
          <w:szCs w:val="24"/>
          <w:lang/>
        </w:rPr>
        <w:t>{Абзац другий підпункту 170.4.1 пункту 170.4 статті 170 із змінами, внесеними згідно із Законом </w:t>
      </w:r>
      <w:hyperlink r:id="rId2594" w:anchor="n14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4E810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3" w:name="n10022"/>
      <w:bookmarkEnd w:id="4723"/>
      <w:r w:rsidRPr="008B264B">
        <w:rPr>
          <w:rFonts w:ascii="Times New Roman" w:eastAsia="Times New Roman" w:hAnsi="Times New Roman" w:cs="Times New Roman"/>
          <w:color w:val="000000"/>
          <w:sz w:val="24"/>
          <w:szCs w:val="24"/>
          <w:lang/>
        </w:rPr>
        <w:lastRenderedPageBreak/>
        <w:t>Доходи, зазначені у цьому підпункті, остаточно оподатковуються податковим агентом під час їх нарахування.</w:t>
      </w:r>
    </w:p>
    <w:p w14:paraId="45BE73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4" w:name="n10023"/>
      <w:bookmarkEnd w:id="4724"/>
      <w:r w:rsidRPr="008B264B">
        <w:rPr>
          <w:rFonts w:ascii="Times New Roman" w:eastAsia="Times New Roman" w:hAnsi="Times New Roman" w:cs="Times New Roman"/>
          <w:color w:val="000000"/>
          <w:sz w:val="24"/>
          <w:szCs w:val="24"/>
          <w:lang/>
        </w:rPr>
        <w:t>170.4.2. Податкові агенти (банки, кредитні спілки), які нараховують доходи у вигляді процентів, зазначених у підпункті 170.4.1 цього пункту, у податковому розрахунку, подання якого передбачено </w:t>
      </w:r>
      <w:hyperlink r:id="rId2595" w:anchor="n4284"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пункту 176.2 статті 176 цього Кодексу, відображають загальну суму нарахованих у звітному податковому періоді доходів та загальну суму утриманого з них податку. При цьому у податковому розрахунку не зазначається інформація про суми окремого банківського вкладного (депозитного) або поточного рахунку, ощадного (депозитного) сертифіката, вкладу (депозиту) члена кредитної спілки у кредитній спілці, суми нарахованих процентів, а також відомості про фізичну особу - платника податку, якій нараховані такі доходи.</w:t>
      </w:r>
    </w:p>
    <w:p w14:paraId="366704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5" w:name="n10024"/>
      <w:bookmarkEnd w:id="4725"/>
      <w:r w:rsidRPr="008B264B">
        <w:rPr>
          <w:rFonts w:ascii="Times New Roman" w:eastAsia="Times New Roman" w:hAnsi="Times New Roman" w:cs="Times New Roman"/>
          <w:color w:val="000000"/>
          <w:sz w:val="24"/>
          <w:szCs w:val="24"/>
          <w:lang/>
        </w:rPr>
        <w:t>170.4.3. Оподаткування процентів та дисконтних доходів, нарахованих на користь фізичних осіб з будь-яких інших доходів, ніж ті, що зазначені у підпункті 170.4.1 цього пункту, здійснюється у загальному порядку, встановленому цим Кодексом для доходів, що остаточно оподатковуються під час їх нарахування, за ставкою, визначеною </w:t>
      </w:r>
      <w:hyperlink r:id="rId2596"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293450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6" w:name="n11216"/>
      <w:bookmarkEnd w:id="4726"/>
      <w:r w:rsidRPr="008B264B">
        <w:rPr>
          <w:rFonts w:ascii="Times New Roman" w:eastAsia="Times New Roman" w:hAnsi="Times New Roman" w:cs="Times New Roman"/>
          <w:i/>
          <w:iCs/>
          <w:color w:val="000000"/>
          <w:sz w:val="24"/>
          <w:szCs w:val="24"/>
          <w:lang/>
        </w:rPr>
        <w:t>{Підпункт 170.4.3 пункту 170.4 статті 170 із змінами, внесеними згідно із Законами </w:t>
      </w:r>
      <w:hyperlink r:id="rId2597" w:anchor="n5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598" w:anchor="n14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70275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7" w:name="n10025"/>
      <w:bookmarkEnd w:id="4727"/>
      <w:r w:rsidRPr="008B264B">
        <w:rPr>
          <w:rFonts w:ascii="Times New Roman" w:eastAsia="Times New Roman" w:hAnsi="Times New Roman" w:cs="Times New Roman"/>
          <w:color w:val="000000"/>
          <w:sz w:val="24"/>
          <w:szCs w:val="24"/>
          <w:lang/>
        </w:rPr>
        <w:t>170.4.4. У разі дострокового розірвання договору вкладу (депозиту) та здійснення у зв’язку з цим перерахунку доходу у вигляді процентів за процентною ставкою, передбаченою умовами договору для таких випадків, податковий агент проводить перерахунок сум податку, утриманого з такого доходу.</w:t>
      </w:r>
    </w:p>
    <w:p w14:paraId="145739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8" w:name="n10026"/>
      <w:bookmarkEnd w:id="4728"/>
      <w:r w:rsidRPr="008B264B">
        <w:rPr>
          <w:rFonts w:ascii="Times New Roman" w:eastAsia="Times New Roman" w:hAnsi="Times New Roman" w:cs="Times New Roman"/>
          <w:color w:val="000000"/>
          <w:sz w:val="24"/>
          <w:szCs w:val="24"/>
          <w:lang/>
        </w:rPr>
        <w:t>Повернення надміру утриманих сум податку, що виникли внаслідок перерахунку, проведеного відповідно до абзацу першого цього підпункту, здійснюється шляхом зменшення сум податку, що підлягають перерахуванню податковим агентом за поточний та/або наступний податковий (звітний) місяць.</w:t>
      </w:r>
    </w:p>
    <w:p w14:paraId="7137C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29" w:name="n10019"/>
      <w:bookmarkEnd w:id="4729"/>
      <w:r w:rsidRPr="008B264B">
        <w:rPr>
          <w:rFonts w:ascii="Times New Roman" w:eastAsia="Times New Roman" w:hAnsi="Times New Roman" w:cs="Times New Roman"/>
          <w:i/>
          <w:iCs/>
          <w:color w:val="000000"/>
          <w:sz w:val="24"/>
          <w:szCs w:val="24"/>
          <w:lang/>
        </w:rPr>
        <w:t>{Пункт 170.4 статті 170 із змінами, внесеними згідно із Законом </w:t>
      </w:r>
      <w:hyperlink r:id="rId2599" w:anchor="n44"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2600" w:anchor="n28"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03DE5D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0" w:name="n4046"/>
      <w:bookmarkEnd w:id="4730"/>
      <w:r w:rsidRPr="008B264B">
        <w:rPr>
          <w:rFonts w:ascii="Times New Roman" w:eastAsia="Times New Roman" w:hAnsi="Times New Roman" w:cs="Times New Roman"/>
          <w:color w:val="000000"/>
          <w:sz w:val="24"/>
          <w:szCs w:val="24"/>
          <w:lang/>
        </w:rPr>
        <w:t>170.5. Оподаткування дивідендів.</w:t>
      </w:r>
    </w:p>
    <w:p w14:paraId="04B134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1" w:name="n10028"/>
      <w:bookmarkEnd w:id="4731"/>
      <w:r w:rsidRPr="008B264B">
        <w:rPr>
          <w:rFonts w:ascii="Times New Roman" w:eastAsia="Times New Roman" w:hAnsi="Times New Roman" w:cs="Times New Roman"/>
          <w:color w:val="000000"/>
          <w:sz w:val="24"/>
          <w:szCs w:val="24"/>
          <w:lang/>
        </w:rPr>
        <w:t>170.5.1. Податковим агентом платника податку під час нарахування на його користь дивідендів, крім випадків, зазначених у </w:t>
      </w:r>
      <w:hyperlink r:id="rId2601" w:anchor="n3740" w:history="1">
        <w:r w:rsidRPr="008B264B">
          <w:rPr>
            <w:rFonts w:ascii="Times New Roman" w:eastAsia="Times New Roman" w:hAnsi="Times New Roman" w:cs="Times New Roman"/>
            <w:color w:val="0000FF"/>
            <w:sz w:val="24"/>
            <w:szCs w:val="24"/>
            <w:u w:val="single"/>
            <w:lang/>
          </w:rPr>
          <w:t>підпункті 165.1.18</w:t>
        </w:r>
      </w:hyperlink>
      <w:r w:rsidRPr="008B264B">
        <w:rPr>
          <w:rFonts w:ascii="Times New Roman" w:eastAsia="Times New Roman" w:hAnsi="Times New Roman" w:cs="Times New Roman"/>
          <w:color w:val="000000"/>
          <w:sz w:val="24"/>
          <w:szCs w:val="24"/>
          <w:lang/>
        </w:rPr>
        <w:t> пункту 165.1 статті 165 цього Кодексу, є емітент корпоративних прав або за його дорученням інша особа, яка здійснює таке нарахування.</w:t>
      </w:r>
    </w:p>
    <w:p w14:paraId="1D423D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2" w:name="n10029"/>
      <w:bookmarkEnd w:id="4732"/>
      <w:r w:rsidRPr="008B264B">
        <w:rPr>
          <w:rFonts w:ascii="Times New Roman" w:eastAsia="Times New Roman" w:hAnsi="Times New Roman" w:cs="Times New Roman"/>
          <w:color w:val="000000"/>
          <w:sz w:val="24"/>
          <w:szCs w:val="24"/>
          <w:lang/>
        </w:rPr>
        <w:t>170.5.2. Будь-який резидент, який нараховує дивіденди, включаючи того, який сплачує податок на прибуток підприємств у спосіб, відмінний від загального (є суб’єктом спрощеної системи оподаткування), або звільнений від сплати такого податку з будь-яких підстав, є податковим агентом під час нарахування дивідендів.</w:t>
      </w:r>
    </w:p>
    <w:p w14:paraId="114EE7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3" w:name="n10030"/>
      <w:bookmarkEnd w:id="4733"/>
      <w:r w:rsidRPr="008B264B">
        <w:rPr>
          <w:rFonts w:ascii="Times New Roman" w:eastAsia="Times New Roman" w:hAnsi="Times New Roman" w:cs="Times New Roman"/>
          <w:color w:val="000000"/>
          <w:sz w:val="24"/>
          <w:szCs w:val="24"/>
          <w:lang/>
        </w:rPr>
        <w:t>170.5.3. Дивіденди, нараховані платникові податку за акціями або іншими корпоративними правами, що мають статус привілейованих або інший статус, що передбачає виплату фіксованого розміру дивідендів чи суми, яка перевищує суму виплат, розраховану на будь-яку іншу акцію (корпоративне право), емітовану таким платником податку згідно з підпунктом 153.3.7 пункту 153.3 статті 153 цього Кодексу, для цілей оподаткування прирівнюються до виплати заробітної плати з відповідним оподаткуванням.</w:t>
      </w:r>
    </w:p>
    <w:p w14:paraId="1B230F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4" w:name="n10031"/>
      <w:bookmarkEnd w:id="4734"/>
      <w:r w:rsidRPr="008B264B">
        <w:rPr>
          <w:rFonts w:ascii="Times New Roman" w:eastAsia="Times New Roman" w:hAnsi="Times New Roman" w:cs="Times New Roman"/>
          <w:color w:val="000000"/>
          <w:sz w:val="24"/>
          <w:szCs w:val="24"/>
          <w:lang/>
        </w:rPr>
        <w:t>170.5.4. Доходи, зазначені в цьому пункті, остаточно оподатковуються податковим агентом під час їх нарахування платнику податку за ставкою, визначеною </w:t>
      </w:r>
      <w:hyperlink r:id="rId2602" w:anchor="n11196" w:history="1">
        <w:r w:rsidRPr="008B264B">
          <w:rPr>
            <w:rFonts w:ascii="Times New Roman" w:eastAsia="Times New Roman" w:hAnsi="Times New Roman" w:cs="Times New Roman"/>
            <w:color w:val="0000FF"/>
            <w:sz w:val="24"/>
            <w:szCs w:val="24"/>
            <w:u w:val="single"/>
            <w:lang/>
          </w:rPr>
          <w:t>підпунктами 167.5.1</w:t>
        </w:r>
      </w:hyperlink>
      <w:r w:rsidRPr="008B264B">
        <w:rPr>
          <w:rFonts w:ascii="Times New Roman" w:eastAsia="Times New Roman" w:hAnsi="Times New Roman" w:cs="Times New Roman"/>
          <w:color w:val="000000"/>
          <w:sz w:val="24"/>
          <w:szCs w:val="24"/>
          <w:lang/>
        </w:rPr>
        <w:t> та </w:t>
      </w:r>
      <w:hyperlink r:id="rId2603" w:anchor="n11197" w:history="1">
        <w:r w:rsidRPr="008B264B">
          <w:rPr>
            <w:rFonts w:ascii="Times New Roman" w:eastAsia="Times New Roman" w:hAnsi="Times New Roman" w:cs="Times New Roman"/>
            <w:color w:val="0000FF"/>
            <w:sz w:val="24"/>
            <w:szCs w:val="24"/>
            <w:u w:val="single"/>
            <w:lang/>
          </w:rPr>
          <w:t>167.5.2</w:t>
        </w:r>
      </w:hyperlink>
      <w:r w:rsidRPr="008B264B">
        <w:rPr>
          <w:rFonts w:ascii="Times New Roman" w:eastAsia="Times New Roman" w:hAnsi="Times New Roman" w:cs="Times New Roman"/>
          <w:color w:val="000000"/>
          <w:sz w:val="24"/>
          <w:szCs w:val="24"/>
          <w:lang/>
        </w:rPr>
        <w:t> пункту 167.5 статті 167 цього Кодексу.</w:t>
      </w:r>
    </w:p>
    <w:p w14:paraId="2B16ED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5" w:name="n11217"/>
      <w:bookmarkEnd w:id="4735"/>
      <w:r w:rsidRPr="008B264B">
        <w:rPr>
          <w:rFonts w:ascii="Times New Roman" w:eastAsia="Times New Roman" w:hAnsi="Times New Roman" w:cs="Times New Roman"/>
          <w:i/>
          <w:iCs/>
          <w:color w:val="000000"/>
          <w:sz w:val="24"/>
          <w:szCs w:val="24"/>
          <w:lang/>
        </w:rPr>
        <w:t>{Підпункт 170.5.4 пункту 170.5 статті 170 із змінами, внесеними згідно із Законом </w:t>
      </w:r>
      <w:hyperlink r:id="rId2604" w:anchor="n5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9AEC4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6" w:name="n10027"/>
      <w:bookmarkEnd w:id="4736"/>
      <w:r w:rsidRPr="008B264B">
        <w:rPr>
          <w:rFonts w:ascii="Times New Roman" w:eastAsia="Times New Roman" w:hAnsi="Times New Roman" w:cs="Times New Roman"/>
          <w:i/>
          <w:iCs/>
          <w:color w:val="000000"/>
          <w:sz w:val="24"/>
          <w:szCs w:val="24"/>
          <w:lang/>
        </w:rPr>
        <w:lastRenderedPageBreak/>
        <w:t>{Пункт 170.5 статті 170 із змінами, внесеними згідно із Законом </w:t>
      </w:r>
      <w:hyperlink r:id="rId2605" w:anchor="n52"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2606" w:anchor="n28"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30BBA8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7" w:name="n4051"/>
      <w:bookmarkEnd w:id="4737"/>
      <w:r w:rsidRPr="008B264B">
        <w:rPr>
          <w:rFonts w:ascii="Times New Roman" w:eastAsia="Times New Roman" w:hAnsi="Times New Roman" w:cs="Times New Roman"/>
          <w:color w:val="000000"/>
          <w:sz w:val="24"/>
          <w:szCs w:val="24"/>
          <w:lang/>
        </w:rPr>
        <w:t>170.6. Оподаткування виграшів та призів</w:t>
      </w:r>
    </w:p>
    <w:p w14:paraId="2A2D52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8" w:name="n4052"/>
      <w:bookmarkEnd w:id="4738"/>
      <w:r w:rsidRPr="008B264B">
        <w:rPr>
          <w:rFonts w:ascii="Times New Roman" w:eastAsia="Times New Roman" w:hAnsi="Times New Roman" w:cs="Times New Roman"/>
          <w:color w:val="000000"/>
          <w:sz w:val="24"/>
          <w:szCs w:val="24"/>
          <w:lang/>
        </w:rPr>
        <w:t>170.6.1. Податковим агентом платника податку під час нарахування (виплати, надання) на його користь доходу у вигляді виграшів (призів) у лотерею чи в інші розіграші, у букмекерському парі, у парі тоталізатора, призів та виграшів у грошовій формі, одержаних за перемогу та/або участь в аматорських спортивних змаганнях, у тому числі у більярдному спорті, є особа, яка здійснює таке нарахування (виплату).</w:t>
      </w:r>
    </w:p>
    <w:p w14:paraId="27B47D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39" w:name="n4053"/>
      <w:bookmarkEnd w:id="4739"/>
      <w:r w:rsidRPr="008B264B">
        <w:rPr>
          <w:rFonts w:ascii="Times New Roman" w:eastAsia="Times New Roman" w:hAnsi="Times New Roman" w:cs="Times New Roman"/>
          <w:color w:val="000000"/>
          <w:sz w:val="24"/>
          <w:szCs w:val="24"/>
          <w:lang/>
        </w:rPr>
        <w:t>170.6.2. Податковим агентом - оператором лотереї у строки, визначені цим Кодексом для місячного податкового періоду, до бюджету сплачується (перераховується) загальна сума податку, нарахованого за ставкою, визначеною </w:t>
      </w:r>
      <w:hyperlink r:id="rId2607"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 із загальної суми виграшів (призів), виплачених за податковий (звітний) місяць гравцям у лотерею.</w:t>
      </w:r>
    </w:p>
    <w:p w14:paraId="524161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0" w:name="n11219"/>
      <w:bookmarkEnd w:id="4740"/>
      <w:r w:rsidRPr="008B264B">
        <w:rPr>
          <w:rFonts w:ascii="Times New Roman" w:eastAsia="Times New Roman" w:hAnsi="Times New Roman" w:cs="Times New Roman"/>
          <w:color w:val="000000"/>
          <w:sz w:val="24"/>
          <w:szCs w:val="24"/>
          <w:lang/>
        </w:rPr>
        <w:t>Податкові агенти - оператори лотереї у податковому розрахунку, подання якого передбачено </w:t>
      </w:r>
      <w:hyperlink r:id="rId2608" w:anchor="n4284"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пункту 176.2 статті 176 цього Кодексу, відображають загальну суму нарахованих (виплачених) у звітному податковому періоді доходів у вигляді виграшів (призів) та загальну суму утриманого з них податку. При цьому у податковому розрахунку не зазначається інформація про суми окремого виграшу, суми нарахованого на нього податку, а також відомості про фізичну особу - платника податку, яка одержала дохід у вигляді виграшу (призу).</w:t>
      </w:r>
    </w:p>
    <w:p w14:paraId="3149AF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1" w:name="n12737"/>
      <w:bookmarkEnd w:id="4741"/>
      <w:r w:rsidRPr="008B264B">
        <w:rPr>
          <w:rFonts w:ascii="Times New Roman" w:eastAsia="Times New Roman" w:hAnsi="Times New Roman" w:cs="Times New Roman"/>
          <w:i/>
          <w:iCs/>
          <w:color w:val="000000"/>
          <w:sz w:val="24"/>
          <w:szCs w:val="24"/>
          <w:lang/>
        </w:rPr>
        <w:t>{Підпункт 170.6.2 пункту 170.6 статті 170 із змінами, внесеними згідно із Законом </w:t>
      </w:r>
      <w:hyperlink r:id="rId2609" w:anchor="n15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2E847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2" w:name="n11220"/>
      <w:bookmarkEnd w:id="4742"/>
      <w:r w:rsidRPr="008B264B">
        <w:rPr>
          <w:rFonts w:ascii="Times New Roman" w:eastAsia="Times New Roman" w:hAnsi="Times New Roman" w:cs="Times New Roman"/>
          <w:color w:val="000000"/>
          <w:sz w:val="24"/>
          <w:szCs w:val="24"/>
          <w:lang/>
        </w:rPr>
        <w:t>170.6.3. Оподаткування доходів у вигляді виграшів та призів, інших, ніж виграш (приз) у лотерею, здійснюється у загальному порядку, встановленому цим Кодексом для доходів, що остаточно оподатковуються під час їх нарахування, за ставкою, визначеною в </w:t>
      </w:r>
      <w:hyperlink r:id="rId2610" w:anchor="n3851" w:history="1">
        <w:r w:rsidRPr="008B264B">
          <w:rPr>
            <w:rFonts w:ascii="Times New Roman" w:eastAsia="Times New Roman" w:hAnsi="Times New Roman" w:cs="Times New Roman"/>
            <w:color w:val="0000FF"/>
            <w:sz w:val="24"/>
            <w:szCs w:val="24"/>
            <w:u w:val="single"/>
            <w:lang/>
          </w:rPr>
          <w:t>абзаці першому пункту 167.1</w:t>
        </w:r>
      </w:hyperlink>
      <w:r w:rsidRPr="008B264B">
        <w:rPr>
          <w:rFonts w:ascii="Times New Roman" w:eastAsia="Times New Roman" w:hAnsi="Times New Roman" w:cs="Times New Roman"/>
          <w:color w:val="000000"/>
          <w:sz w:val="24"/>
          <w:szCs w:val="24"/>
          <w:lang/>
        </w:rPr>
        <w:t> статті 167 цього Кодексу.</w:t>
      </w:r>
    </w:p>
    <w:p w14:paraId="53FA59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3" w:name="n11221"/>
      <w:bookmarkEnd w:id="4743"/>
      <w:r w:rsidRPr="008B264B">
        <w:rPr>
          <w:rFonts w:ascii="Times New Roman" w:eastAsia="Times New Roman" w:hAnsi="Times New Roman" w:cs="Times New Roman"/>
          <w:color w:val="000000"/>
          <w:sz w:val="24"/>
          <w:szCs w:val="24"/>
          <w:lang/>
        </w:rPr>
        <w:t>170.6.4. Під час нарахування (виплати) доходів у вигляді виграшів у лотерею або в інших розіграшах, які передбачають попереднє придбання платником податку права на участь у таких лотереях чи розіграшах, не беруться до уваги витрати платника податку у зв’язку з отриманням такого доходу.</w:t>
      </w:r>
    </w:p>
    <w:p w14:paraId="463DAC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4" w:name="n11222"/>
      <w:bookmarkEnd w:id="4744"/>
      <w:r w:rsidRPr="008B264B">
        <w:rPr>
          <w:rFonts w:ascii="Times New Roman" w:eastAsia="Times New Roman" w:hAnsi="Times New Roman" w:cs="Times New Roman"/>
          <w:color w:val="000000"/>
          <w:sz w:val="24"/>
          <w:szCs w:val="24"/>
          <w:lang/>
        </w:rPr>
        <w:t>170.6.5. Доходи, зазначені у цьому пункті, остаточно оподатковуються під час їх виплати за їх рахунок.</w:t>
      </w:r>
    </w:p>
    <w:p w14:paraId="471597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5" w:name="n11218"/>
      <w:bookmarkEnd w:id="4745"/>
      <w:r w:rsidRPr="008B264B">
        <w:rPr>
          <w:rFonts w:ascii="Times New Roman" w:eastAsia="Times New Roman" w:hAnsi="Times New Roman" w:cs="Times New Roman"/>
          <w:i/>
          <w:iCs/>
          <w:color w:val="000000"/>
          <w:sz w:val="24"/>
          <w:szCs w:val="24"/>
          <w:lang/>
        </w:rPr>
        <w:t>{Пункт 170.6 статті 170 в редакції Закону </w:t>
      </w:r>
      <w:hyperlink r:id="rId2611" w:anchor="n56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26C7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6" w:name="n4055"/>
      <w:bookmarkEnd w:id="4746"/>
      <w:r w:rsidRPr="008B264B">
        <w:rPr>
          <w:rFonts w:ascii="Times New Roman" w:eastAsia="Times New Roman" w:hAnsi="Times New Roman" w:cs="Times New Roman"/>
          <w:color w:val="000000"/>
          <w:sz w:val="24"/>
          <w:szCs w:val="24"/>
          <w:lang/>
        </w:rPr>
        <w:t>170.7. Оподаткування благодійної допомоги.</w:t>
      </w:r>
    </w:p>
    <w:p w14:paraId="357558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7" w:name="n4056"/>
      <w:bookmarkEnd w:id="4747"/>
      <w:r w:rsidRPr="008B264B">
        <w:rPr>
          <w:rFonts w:ascii="Times New Roman" w:eastAsia="Times New Roman" w:hAnsi="Times New Roman" w:cs="Times New Roman"/>
          <w:color w:val="000000"/>
          <w:sz w:val="24"/>
          <w:szCs w:val="24"/>
          <w:lang/>
        </w:rPr>
        <w:t>170.7.1. Не оподатковується та не включається до загального місячного або річного оподатковуваного доходу платника податку благодійна, у тому числі гуманітарна допомога (далі - благодійна допомога), яка надходить на його користь у вигляді коштів або майна (безоплатно виконаної роботи, наданої послуги) та відповідає вимогам, визначеним цим пунктом.</w:t>
      </w:r>
    </w:p>
    <w:p w14:paraId="71CF6A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8" w:name="n4057"/>
      <w:bookmarkEnd w:id="4748"/>
      <w:r w:rsidRPr="008B264B">
        <w:rPr>
          <w:rFonts w:ascii="Times New Roman" w:eastAsia="Times New Roman" w:hAnsi="Times New Roman" w:cs="Times New Roman"/>
          <w:color w:val="000000"/>
          <w:sz w:val="24"/>
          <w:szCs w:val="24"/>
          <w:lang/>
        </w:rPr>
        <w:t>Для цілей оподаткування благодійна допомога поділяється на цільову та нецільову.</w:t>
      </w:r>
    </w:p>
    <w:p w14:paraId="3D3697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49" w:name="n4058"/>
      <w:bookmarkEnd w:id="4749"/>
      <w:r w:rsidRPr="008B264B">
        <w:rPr>
          <w:rFonts w:ascii="Times New Roman" w:eastAsia="Times New Roman" w:hAnsi="Times New Roman" w:cs="Times New Roman"/>
          <w:color w:val="000000"/>
          <w:sz w:val="24"/>
          <w:szCs w:val="24"/>
          <w:lang/>
        </w:rPr>
        <w:t>Цільовою є благодійна допомога, що надається під визначені умови та напрями її витрачання, а нецільовою вважається допомога, яка надається без встановлення таких умов або напрямів;</w:t>
      </w:r>
    </w:p>
    <w:p w14:paraId="7266CC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0" w:name="n4059"/>
      <w:bookmarkEnd w:id="4750"/>
      <w:r w:rsidRPr="008B264B">
        <w:rPr>
          <w:rFonts w:ascii="Times New Roman" w:eastAsia="Times New Roman" w:hAnsi="Times New Roman" w:cs="Times New Roman"/>
          <w:color w:val="000000"/>
          <w:sz w:val="24"/>
          <w:szCs w:val="24"/>
          <w:lang/>
        </w:rPr>
        <w:t>170.7.2. не включається до оподатковуваного доходу цільова або нецільова благодійна допомога, що надається платнику податку, який постраждав внаслідок:</w:t>
      </w:r>
    </w:p>
    <w:p w14:paraId="6CC02A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1" w:name="n4060"/>
      <w:bookmarkEnd w:id="4751"/>
      <w:r w:rsidRPr="008B264B">
        <w:rPr>
          <w:rFonts w:ascii="Times New Roman" w:eastAsia="Times New Roman" w:hAnsi="Times New Roman" w:cs="Times New Roman"/>
          <w:color w:val="000000"/>
          <w:sz w:val="24"/>
          <w:szCs w:val="24"/>
          <w:lang/>
        </w:rPr>
        <w:t>а) екологічних, техногенних та інших катастроф у місцевостях, оголошених згідно з </w:t>
      </w:r>
      <w:hyperlink r:id="rId2612" w:anchor="n1654" w:tgtFrame="_blank" w:history="1">
        <w:r w:rsidRPr="008B264B">
          <w:rPr>
            <w:rFonts w:ascii="Times New Roman" w:eastAsia="Times New Roman" w:hAnsi="Times New Roman" w:cs="Times New Roman"/>
            <w:color w:val="0000FF"/>
            <w:sz w:val="24"/>
            <w:szCs w:val="24"/>
            <w:u w:val="single"/>
            <w:lang/>
          </w:rPr>
          <w:t>Конституцією України</w:t>
        </w:r>
      </w:hyperlink>
      <w:r w:rsidRPr="008B264B">
        <w:rPr>
          <w:rFonts w:ascii="Times New Roman" w:eastAsia="Times New Roman" w:hAnsi="Times New Roman" w:cs="Times New Roman"/>
          <w:color w:val="000000"/>
          <w:sz w:val="24"/>
          <w:szCs w:val="24"/>
          <w:lang/>
        </w:rPr>
        <w:t> зонами надзвичайної екологічної ситуації, - у граничних сумах, визначених Кабінетом Міністрів України;</w:t>
      </w:r>
    </w:p>
    <w:p w14:paraId="233904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2" w:name="n4061"/>
      <w:bookmarkEnd w:id="4752"/>
      <w:r w:rsidRPr="008B264B">
        <w:rPr>
          <w:rFonts w:ascii="Times New Roman" w:eastAsia="Times New Roman" w:hAnsi="Times New Roman" w:cs="Times New Roman"/>
          <w:color w:val="000000"/>
          <w:sz w:val="24"/>
          <w:szCs w:val="24"/>
          <w:lang/>
        </w:rPr>
        <w:lastRenderedPageBreak/>
        <w:t>б) стихійного лиха, аварій, епідемій та епізоотій загальнодержавного або місцевого характеру, які завдали шкоди або створюють загрозу здоров'ю громадян, навколишньому природному середовищу, викликали або можуть викликати людські жертви чи втрату власності громадян, у зв'язку з якими рішення про залучення (надання) благодійної допомоги було прийнято відповідно Кабінетом Міністрів України або органом місцевого самоврядування, у граничних сумах, визначених Кабінетом Міністрів України або органом місцевого самоврядування відповідно.</w:t>
      </w:r>
    </w:p>
    <w:p w14:paraId="5D620C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3" w:name="n4062"/>
      <w:bookmarkEnd w:id="4753"/>
      <w:r w:rsidRPr="008B264B">
        <w:rPr>
          <w:rFonts w:ascii="Times New Roman" w:eastAsia="Times New Roman" w:hAnsi="Times New Roman" w:cs="Times New Roman"/>
          <w:color w:val="000000"/>
          <w:sz w:val="24"/>
          <w:szCs w:val="24"/>
          <w:lang/>
        </w:rPr>
        <w:t>Благодійна допомога, що надається на зазначені цілі, повинна розподілятися через державний чи місцевий бюджет або через банківські рахунки благодійних організацій, Товариства Червоного Хреста України, внесених до Реєстру неприбуткових організацій та установ.</w:t>
      </w:r>
    </w:p>
    <w:p w14:paraId="1585DE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4" w:name="n4063"/>
      <w:bookmarkEnd w:id="4754"/>
      <w:r w:rsidRPr="008B264B">
        <w:rPr>
          <w:rFonts w:ascii="Times New Roman" w:eastAsia="Times New Roman" w:hAnsi="Times New Roman" w:cs="Times New Roman"/>
          <w:color w:val="000000"/>
          <w:sz w:val="24"/>
          <w:szCs w:val="24"/>
          <w:lang/>
        </w:rPr>
        <w:t>Для цілей цього підпункту вважається цільовою благодійною допомогою та не підлягає оподаткуванню профспілкова виплата, здійснена за рішенням профспілки, прийнятим в установленому порядку на користь члена такої профспілки, який має статус постраждалого внаслідок обставин, зазначених у цьому підпункті;</w:t>
      </w:r>
    </w:p>
    <w:p w14:paraId="4BB93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5" w:name="n4064"/>
      <w:bookmarkEnd w:id="4755"/>
      <w:r w:rsidRPr="008B264B">
        <w:rPr>
          <w:rFonts w:ascii="Times New Roman" w:eastAsia="Times New Roman" w:hAnsi="Times New Roman" w:cs="Times New Roman"/>
          <w:color w:val="000000"/>
          <w:sz w:val="24"/>
          <w:szCs w:val="24"/>
          <w:lang/>
        </w:rPr>
        <w:t>170.7.3. не включається до оподатковуваного доходу сума нецільової благодійної допомоги, у тому числі матеріальної, що надається резидентами - юридичними або фізичними особами на користь платника податку протягом звітного податкового року сукупно у розмірі, що не перевищує суми граничного розміру доходу, визначеного згідно з абзацом першим </w:t>
      </w:r>
      <w:hyperlink r:id="rId2613" w:anchor="n3953" w:history="1">
        <w:r w:rsidRPr="008B264B">
          <w:rPr>
            <w:rFonts w:ascii="Times New Roman" w:eastAsia="Times New Roman" w:hAnsi="Times New Roman" w:cs="Times New Roman"/>
            <w:color w:val="0000FF"/>
            <w:sz w:val="24"/>
            <w:szCs w:val="24"/>
            <w:u w:val="single"/>
            <w:lang/>
          </w:rPr>
          <w:t>підпункту 169.4.1</w:t>
        </w:r>
      </w:hyperlink>
      <w:r w:rsidRPr="008B264B">
        <w:rPr>
          <w:rFonts w:ascii="Times New Roman" w:eastAsia="Times New Roman" w:hAnsi="Times New Roman" w:cs="Times New Roman"/>
          <w:color w:val="000000"/>
          <w:sz w:val="24"/>
          <w:szCs w:val="24"/>
          <w:lang/>
        </w:rPr>
        <w:t> пункту 169.4 статті 169 цього Кодексу, встановленого на 1 січня такого року.</w:t>
      </w:r>
    </w:p>
    <w:p w14:paraId="1B5E3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6" w:name="n4065"/>
      <w:bookmarkEnd w:id="4756"/>
      <w:r w:rsidRPr="008B264B">
        <w:rPr>
          <w:rFonts w:ascii="Times New Roman" w:eastAsia="Times New Roman" w:hAnsi="Times New Roman" w:cs="Times New Roman"/>
          <w:color w:val="000000"/>
          <w:sz w:val="24"/>
          <w:szCs w:val="24"/>
          <w:lang/>
        </w:rPr>
        <w:t>Положення цього підпункту не поширюються на профспілкові виплати своїм членам, умови звільнення яких від оподаткування передбачені </w:t>
      </w:r>
      <w:hyperlink r:id="rId2614" w:anchor="n3802" w:history="1">
        <w:r w:rsidRPr="008B264B">
          <w:rPr>
            <w:rFonts w:ascii="Times New Roman" w:eastAsia="Times New Roman" w:hAnsi="Times New Roman" w:cs="Times New Roman"/>
            <w:color w:val="0000FF"/>
            <w:sz w:val="24"/>
            <w:szCs w:val="24"/>
            <w:u w:val="single"/>
            <w:lang/>
          </w:rPr>
          <w:t>підпунктом 165.1.47</w:t>
        </w:r>
      </w:hyperlink>
      <w:r w:rsidRPr="008B264B">
        <w:rPr>
          <w:rFonts w:ascii="Times New Roman" w:eastAsia="Times New Roman" w:hAnsi="Times New Roman" w:cs="Times New Roman"/>
          <w:color w:val="000000"/>
          <w:sz w:val="24"/>
          <w:szCs w:val="24"/>
          <w:lang/>
        </w:rPr>
        <w:t> пункту 165.1 статті 165 цього Кодексу.</w:t>
      </w:r>
    </w:p>
    <w:p w14:paraId="08CAEF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7" w:name="n4066"/>
      <w:bookmarkEnd w:id="4757"/>
      <w:r w:rsidRPr="008B264B">
        <w:rPr>
          <w:rFonts w:ascii="Times New Roman" w:eastAsia="Times New Roman" w:hAnsi="Times New Roman" w:cs="Times New Roman"/>
          <w:color w:val="000000"/>
          <w:sz w:val="24"/>
          <w:szCs w:val="24"/>
          <w:lang/>
        </w:rPr>
        <w:t>Благодійник - юридична особа зазначає відомості про надані суми нецільової благодійної допомоги у податковій звітності.</w:t>
      </w:r>
    </w:p>
    <w:p w14:paraId="6C4D89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8" w:name="n4067"/>
      <w:bookmarkEnd w:id="4758"/>
      <w:r w:rsidRPr="008B264B">
        <w:rPr>
          <w:rFonts w:ascii="Times New Roman" w:eastAsia="Times New Roman" w:hAnsi="Times New Roman" w:cs="Times New Roman"/>
          <w:color w:val="000000"/>
          <w:sz w:val="24"/>
          <w:szCs w:val="24"/>
          <w:lang/>
        </w:rPr>
        <w:t>У разі отримання нецільової благодійної допомоги від благодійника - фізичної чи юридичної особи платник податку зобов'язаний подати річну податкову декларацію із зазначенням її суми, якщо загальна сума отриманої нецільової благодійної допомоги протягом звітного податкового року перевищує її граничний розмір, установлений </w:t>
      </w:r>
      <w:hyperlink r:id="rId2615" w:anchor="n3953" w:history="1">
        <w:r w:rsidRPr="008B264B">
          <w:rPr>
            <w:rFonts w:ascii="Times New Roman" w:eastAsia="Times New Roman" w:hAnsi="Times New Roman" w:cs="Times New Roman"/>
            <w:color w:val="0000FF"/>
            <w:sz w:val="24"/>
            <w:szCs w:val="24"/>
            <w:u w:val="single"/>
            <w:lang/>
          </w:rPr>
          <w:t>абзацом першим підпункту 169.4.1</w:t>
        </w:r>
      </w:hyperlink>
      <w:r w:rsidRPr="008B264B">
        <w:rPr>
          <w:rFonts w:ascii="Times New Roman" w:eastAsia="Times New Roman" w:hAnsi="Times New Roman" w:cs="Times New Roman"/>
          <w:color w:val="000000"/>
          <w:sz w:val="24"/>
          <w:szCs w:val="24"/>
          <w:lang/>
        </w:rPr>
        <w:t> пункту 169.4 статті 169 цього Кодексу.</w:t>
      </w:r>
    </w:p>
    <w:p w14:paraId="759039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59" w:name="n4068"/>
      <w:bookmarkEnd w:id="4759"/>
      <w:r w:rsidRPr="008B264B">
        <w:rPr>
          <w:rFonts w:ascii="Times New Roman" w:eastAsia="Times New Roman" w:hAnsi="Times New Roman" w:cs="Times New Roman"/>
          <w:color w:val="000000"/>
          <w:sz w:val="24"/>
          <w:szCs w:val="24"/>
          <w:lang/>
        </w:rPr>
        <w:t>170.7.4. Не включається до оподатковуваного доходу цільова благодійна допомога, що надається резидентами - юридичними чи фізичними особами у будь-якій сумі (вартості):</w:t>
      </w:r>
    </w:p>
    <w:p w14:paraId="38FCB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0" w:name="n4069"/>
      <w:bookmarkEnd w:id="4760"/>
      <w:r w:rsidRPr="008B264B">
        <w:rPr>
          <w:rFonts w:ascii="Times New Roman" w:eastAsia="Times New Roman" w:hAnsi="Times New Roman" w:cs="Times New Roman"/>
          <w:color w:val="000000"/>
          <w:sz w:val="24"/>
          <w:szCs w:val="24"/>
          <w:lang/>
        </w:rPr>
        <w:t>а) закладу охорони здоров'я для компенсації вартості платних послуг з лікування платника податку або члена його сім'ї першого ступеня споріднення, особи з інвалідністю, дитини з інвалідністю або дитини, в якої хоча б один із батьків є особою з інвалідністю; дитини-сироти, напівсироти; дитини з багатодітної чи малозабезпеченої родини; дитини, батьки якої позбавлені батьківських прав, у тому числі для придбання ліків (донорських компонентів, протезно-ортопедичних виробів, виробів медичного призначення для індивідуального користування осіб з інвалідністю) у розмірах, що не перекриваються виплатами з фонду загальнообов'язкового державного соціального медичного страхування, крім витрат на косметичне лікування або косметичну хірургію (включаючи косметичне протезування, не пов'язане з медичними показаннями), водолікування та геліотерапію, не пов'язані з хронічними захворюваннями, лікування та протезування зубів з використанням дорогоцінних металів, гальванопластики та порцеляни, аборти (крім абортів, які проводяться за медичними показаннями, або якщо вагітність стала наслідком зґвалтування), операції з переміни статі; лікування венеричних захворювань (крім СНІДу та венеричних захворювань, причиною яких стало нестатеве зараження або зґвалтування), лікування тютюнової чи алкогольної залежності; придбання ліків, медичних засобів та пристосувань, які не включені до переліку життєво необхідних, затвердженого Кабінетом Міністрів України;</w:t>
      </w:r>
    </w:p>
    <w:p w14:paraId="512365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1" w:name="n4070"/>
      <w:bookmarkEnd w:id="4761"/>
      <w:r w:rsidRPr="008B264B">
        <w:rPr>
          <w:rFonts w:ascii="Times New Roman" w:eastAsia="Times New Roman" w:hAnsi="Times New Roman" w:cs="Times New Roman"/>
          <w:color w:val="000000"/>
          <w:sz w:val="24"/>
          <w:szCs w:val="24"/>
          <w:lang/>
        </w:rPr>
        <w:lastRenderedPageBreak/>
        <w:t>протезно-ортопедичним підприємствам, реабілітаційним установам для компенсації вартості платних реабілітаційних послуг, технічних та інших засобів реабілітації, наданих платнику податку, визнаному в установленому порядку особою з інвалідністю, або його дитині з інвалідністю, у розмірах, що не перекриваються виплатами з бюджетів і фонду загальнообов'язкового державного соціального медичного страхування;</w:t>
      </w:r>
    </w:p>
    <w:p w14:paraId="560343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2" w:name="n4071"/>
      <w:bookmarkEnd w:id="4762"/>
      <w:r w:rsidRPr="008B264B">
        <w:rPr>
          <w:rFonts w:ascii="Times New Roman" w:eastAsia="Times New Roman" w:hAnsi="Times New Roman" w:cs="Times New Roman"/>
          <w:color w:val="000000"/>
          <w:sz w:val="24"/>
          <w:szCs w:val="24"/>
          <w:lang/>
        </w:rPr>
        <w:t>б) будинку маляти, будинку дитини, будинку-інтернату, школі-інтернату (у тому числі спеціальній, санаторній або для сиріт), дитячому будинку сімейного типу, прийомній сім'ї, школі соціальної реабілітації, притулку для неповнолітніх; приймальнику-розподільнику системи Міністерства внутрішніх справ України для розподілу благодійної допомоги між особами, які не досягли вісімнадцятирічного віку та перебувають у цих закладах;</w:t>
      </w:r>
    </w:p>
    <w:p w14:paraId="564BF8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3" w:name="n4072"/>
      <w:bookmarkEnd w:id="4763"/>
      <w:r w:rsidRPr="008B264B">
        <w:rPr>
          <w:rFonts w:ascii="Times New Roman" w:eastAsia="Times New Roman" w:hAnsi="Times New Roman" w:cs="Times New Roman"/>
          <w:color w:val="000000"/>
          <w:sz w:val="24"/>
          <w:szCs w:val="24"/>
          <w:lang/>
        </w:rPr>
        <w:t>в) державному або комунальному закладу чи благодійній організації, у тому числі Товариству Червоного Хреста України, що надають послуги особам, які не мають житла, з харчування та облаштування на нічліг;</w:t>
      </w:r>
    </w:p>
    <w:p w14:paraId="3B8E93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4" w:name="n4073"/>
      <w:bookmarkEnd w:id="4764"/>
      <w:r w:rsidRPr="008B264B">
        <w:rPr>
          <w:rFonts w:ascii="Times New Roman" w:eastAsia="Times New Roman" w:hAnsi="Times New Roman" w:cs="Times New Roman"/>
          <w:color w:val="000000"/>
          <w:sz w:val="24"/>
          <w:szCs w:val="24"/>
          <w:lang/>
        </w:rPr>
        <w:t>г) пенітенціарному закладу для поліпшення умов утримання, харчування чи медичного обслуговування осіб, які перебувають у слідчих ізоляторах чи місцях позбавлення волі, або безпосередньо таким особам;</w:t>
      </w:r>
    </w:p>
    <w:p w14:paraId="67AF33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5" w:name="n4074"/>
      <w:bookmarkEnd w:id="4765"/>
      <w:r w:rsidRPr="008B264B">
        <w:rPr>
          <w:rFonts w:ascii="Times New Roman" w:eastAsia="Times New Roman" w:hAnsi="Times New Roman" w:cs="Times New Roman"/>
          <w:color w:val="000000"/>
          <w:sz w:val="24"/>
          <w:szCs w:val="24"/>
          <w:lang/>
        </w:rPr>
        <w:t>ґ) будинку-інтернату для громадян похилого віку та осіб з інвалідністю та їх відділенням, пансіонату для ветеранів війни і праці, геріатричному пансіонату для поліпшення умов їх утримання, харчування, медичного обслуговування, соціальної реабілітації, реабілітаційному центру, територіальному центру соціального обслуговування (надання соціальних послуг), центрам обліку і закладам соціального захисту для бездомних осіб, центрам соціальної адаптації осіб, звільнених з місць позбавлення волі, санаторіям для ветеранів та осіб з інвалідністю, які утримуються за рахунок державного та місцевого бюджетів, для розподілу благодійної допомоги між особами, які перебувають у таких закладах;</w:t>
      </w:r>
    </w:p>
    <w:p w14:paraId="4765FE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6" w:name="n4075"/>
      <w:bookmarkEnd w:id="4766"/>
      <w:r w:rsidRPr="008B264B">
        <w:rPr>
          <w:rFonts w:ascii="Times New Roman" w:eastAsia="Times New Roman" w:hAnsi="Times New Roman" w:cs="Times New Roman"/>
          <w:i/>
          <w:iCs/>
          <w:color w:val="000000"/>
          <w:sz w:val="24"/>
          <w:szCs w:val="24"/>
          <w:lang/>
        </w:rPr>
        <w:t>{Підпункт "ґ" підпункту 170.7.4 пункту 170.7 статті 170 із змінами, внесеними згідно із Законом </w:t>
      </w:r>
      <w:hyperlink r:id="rId2616" w:anchor="n22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EEFC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7" w:name="n4076"/>
      <w:bookmarkEnd w:id="4767"/>
      <w:r w:rsidRPr="008B264B">
        <w:rPr>
          <w:rFonts w:ascii="Times New Roman" w:eastAsia="Times New Roman" w:hAnsi="Times New Roman" w:cs="Times New Roman"/>
          <w:color w:val="000000"/>
          <w:sz w:val="24"/>
          <w:szCs w:val="24"/>
          <w:lang/>
        </w:rPr>
        <w:t>д) платнику податку, який проводить наукове дослідження або розробку, для відшкодування вартості обладнання, матеріалів, інших витрат (крім виплат заробітної плати, додаткових благ, інших витрат для особистих потреб) за умови, якщо результати таких досліджень чи розробок оприлюднюються та не можуть бути предметом патентування чи інших обмежень у оприлюдненні чи безоплатному поширенні об'єктів права інтелектуальної (промислової) власності, отриманих у результаті таких досліджень або розробок, а також якщо отримання такої допомоги не буде передумовою для виникнення будь-яких договірних зобов'язань між благодійником або третьою особою та набувачем благодійної допомоги у майбутньому, крім обов'язків з цільового використання такої благодійної допомоги;</w:t>
      </w:r>
    </w:p>
    <w:p w14:paraId="3F373C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8" w:name="n4077"/>
      <w:bookmarkEnd w:id="4768"/>
      <w:r w:rsidRPr="008B264B">
        <w:rPr>
          <w:rFonts w:ascii="Times New Roman" w:eastAsia="Times New Roman" w:hAnsi="Times New Roman" w:cs="Times New Roman"/>
          <w:color w:val="000000"/>
          <w:sz w:val="24"/>
          <w:szCs w:val="24"/>
          <w:lang/>
        </w:rPr>
        <w:t>е) аматорській спортивній організації, клубу для компенсації витрат з придбання або оренди спортивного знаряддя та інвентарю, користування спортивними майданчиками, приміщеннями чи спорудами для проведення тренувань, забезпечення участі спортсмена-аматора у спортивних змаганнях, придбання спортивної форми та харчування під час таких змагань.</w:t>
      </w:r>
    </w:p>
    <w:p w14:paraId="451BE0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69" w:name="n4078"/>
      <w:bookmarkEnd w:id="4769"/>
      <w:r w:rsidRPr="008B264B">
        <w:rPr>
          <w:rFonts w:ascii="Times New Roman" w:eastAsia="Times New Roman" w:hAnsi="Times New Roman" w:cs="Times New Roman"/>
          <w:color w:val="000000"/>
          <w:sz w:val="24"/>
          <w:szCs w:val="24"/>
          <w:lang/>
        </w:rPr>
        <w:t>Термін "аматорська спортивна організація, клуб" означає громадську організацію, діяльність якої не спрямована на отримання доходу.</w:t>
      </w:r>
    </w:p>
    <w:p w14:paraId="59915B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0" w:name="n4079"/>
      <w:bookmarkEnd w:id="4770"/>
      <w:r w:rsidRPr="008B264B">
        <w:rPr>
          <w:rFonts w:ascii="Times New Roman" w:eastAsia="Times New Roman" w:hAnsi="Times New Roman" w:cs="Times New Roman"/>
          <w:color w:val="000000"/>
          <w:sz w:val="24"/>
          <w:szCs w:val="24"/>
          <w:lang/>
        </w:rPr>
        <w:t>Термін "спортсмен-аматор" означає особу, чия спортивна діяльність не спрямована на отримання доходу, за винятком отримання нагород чи винагород від імені держави, органів місцевого самоврядування або громадських організацій як України, так і інших держав у вигляді медалей, грамот, пам'ятних призів у негрошовій формі, а також як сума відшкодування витрат, пов'язаних з відрядженням такого спортсмена-аматора до місця проведення змагання, у межах встановлених законодавством норм для відрядження працівника;</w:t>
      </w:r>
    </w:p>
    <w:p w14:paraId="3881C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1" w:name="n4080"/>
      <w:bookmarkEnd w:id="4771"/>
      <w:r w:rsidRPr="008B264B">
        <w:rPr>
          <w:rFonts w:ascii="Times New Roman" w:eastAsia="Times New Roman" w:hAnsi="Times New Roman" w:cs="Times New Roman"/>
          <w:color w:val="000000"/>
          <w:sz w:val="24"/>
          <w:szCs w:val="24"/>
          <w:lang/>
        </w:rPr>
        <w:t xml:space="preserve">є) навчальному закладу у вигляді плати за навчання або за надання додаткових послуг з навчання особи з інвалідністю, дитини з інвалідністю або дитини, в якої хоча б один із батьків є </w:t>
      </w:r>
      <w:r w:rsidRPr="008B264B">
        <w:rPr>
          <w:rFonts w:ascii="Times New Roman" w:eastAsia="Times New Roman" w:hAnsi="Times New Roman" w:cs="Times New Roman"/>
          <w:color w:val="000000"/>
          <w:sz w:val="24"/>
          <w:szCs w:val="24"/>
          <w:lang/>
        </w:rPr>
        <w:lastRenderedPageBreak/>
        <w:t>особою з інвалідністю; дитини-сироти, напівсироти; дитини з багатодітної чи малозабезпеченої родини; дитини, батьки якої позбавлені батьківських прав;</w:t>
      </w:r>
    </w:p>
    <w:p w14:paraId="64DA39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2" w:name="n4081"/>
      <w:bookmarkEnd w:id="4772"/>
      <w:r w:rsidRPr="008B264B">
        <w:rPr>
          <w:rFonts w:ascii="Times New Roman" w:eastAsia="Times New Roman" w:hAnsi="Times New Roman" w:cs="Times New Roman"/>
          <w:color w:val="000000"/>
          <w:sz w:val="24"/>
          <w:szCs w:val="24"/>
          <w:lang/>
        </w:rPr>
        <w:t>ж) платнику податків, визнаному в установленому порядку особою з інвалідністю, законному представнику дитини з інвалідністю для виконання зобов'язань держави згідно із законодавством України по забезпеченню технічними та іншими засобами реабілітації, виробами медичного призначення, автомобілем за рахунок бюджетних коштів (за умови зняття особи з інвалідністю, дитини з інвалідністю з обліку на забезпечення такими засобами, виробами, автомобілем за рахунок бюджетних коштів). Категорії осіб з інвалідністю і дітей з інвалідністю, перелік технічних та інших засобів реабілітації, виробів медичного призначення, марок автомобілів, зазначених у цьому підпункті, затверджуються законодавством.</w:t>
      </w:r>
    </w:p>
    <w:p w14:paraId="22E52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3" w:name="n4082"/>
      <w:bookmarkEnd w:id="4773"/>
      <w:r w:rsidRPr="008B264B">
        <w:rPr>
          <w:rFonts w:ascii="Times New Roman" w:eastAsia="Times New Roman" w:hAnsi="Times New Roman" w:cs="Times New Roman"/>
          <w:color w:val="000000"/>
          <w:sz w:val="24"/>
          <w:szCs w:val="24"/>
          <w:lang/>
        </w:rPr>
        <w:t>До запровадження системи загальнообов'язкового державного соціального медичного страхування норми </w:t>
      </w:r>
      <w:hyperlink r:id="rId2617" w:anchor="n4069" w:history="1">
        <w:r w:rsidRPr="008B264B">
          <w:rPr>
            <w:rFonts w:ascii="Times New Roman" w:eastAsia="Times New Roman" w:hAnsi="Times New Roman" w:cs="Times New Roman"/>
            <w:color w:val="0000FF"/>
            <w:sz w:val="24"/>
            <w:szCs w:val="24"/>
            <w:u w:val="single"/>
            <w:lang/>
          </w:rPr>
          <w:t>підпункту "а"</w:t>
        </w:r>
      </w:hyperlink>
      <w:r w:rsidRPr="008B264B">
        <w:rPr>
          <w:rFonts w:ascii="Times New Roman" w:eastAsia="Times New Roman" w:hAnsi="Times New Roman" w:cs="Times New Roman"/>
          <w:color w:val="000000"/>
          <w:sz w:val="24"/>
          <w:szCs w:val="24"/>
          <w:lang/>
        </w:rPr>
        <w:t> цього підпункту поширюються на загальну суму (вартість) благодійної допомоги, отриманої набувачем на такі цілі (з урахуванням зазначених у цьому пункті обмежень).</w:t>
      </w:r>
    </w:p>
    <w:p w14:paraId="4CF934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4" w:name="n4083"/>
      <w:bookmarkEnd w:id="4774"/>
      <w:r w:rsidRPr="008B264B">
        <w:rPr>
          <w:rFonts w:ascii="Times New Roman" w:eastAsia="Times New Roman" w:hAnsi="Times New Roman" w:cs="Times New Roman"/>
          <w:color w:val="000000"/>
          <w:sz w:val="24"/>
          <w:szCs w:val="24"/>
          <w:lang/>
        </w:rPr>
        <w:t>Благодійна допомога, отримана дитячими будинками сімейного типу або прийомними сім'ями, звільняється від оподаткування, якщо її сума (вартість) не перевищує триста тисяч гривень протягом звітного податкового року під час дії договору державної опіки.</w:t>
      </w:r>
    </w:p>
    <w:p w14:paraId="0F6D3D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5" w:name="n4084"/>
      <w:bookmarkEnd w:id="4775"/>
      <w:r w:rsidRPr="008B264B">
        <w:rPr>
          <w:rFonts w:ascii="Times New Roman" w:eastAsia="Times New Roman" w:hAnsi="Times New Roman" w:cs="Times New Roman"/>
          <w:color w:val="000000"/>
          <w:sz w:val="24"/>
          <w:szCs w:val="24"/>
          <w:lang/>
        </w:rPr>
        <w:t>170.7.5. Набувач цільової благодійної допомоги у вигляді коштів має право на її використання протягом строку, встановленого умовами такої допомоги, але не більше 12 календарних місяців, наступних за місяцем отримання такої допомоги, крім допомоги, наданої на лікування, право на використання якої становить не більше 24 календарних місяців, наступних за місяцем отримання такої допомоги, за винятком отримання благодійної допомоги у вигляді ендавменту. Якщо цільова благодійна допомога у вигляді коштів не використовується її набувачем протягом такого строку та не повертається благодійнику до його закінчення, то такий набувач зобов'язаний включити невикористану суму такої допомоги до складу загального річного оподатковуваного доходу та сплатити відповідний податок.</w:t>
      </w:r>
    </w:p>
    <w:p w14:paraId="6CEB9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6" w:name="n14134"/>
      <w:bookmarkEnd w:id="4776"/>
      <w:r w:rsidRPr="008B264B">
        <w:rPr>
          <w:rFonts w:ascii="Times New Roman" w:eastAsia="Times New Roman" w:hAnsi="Times New Roman" w:cs="Times New Roman"/>
          <w:i/>
          <w:iCs/>
          <w:color w:val="000000"/>
          <w:sz w:val="24"/>
          <w:szCs w:val="24"/>
          <w:lang/>
        </w:rPr>
        <w:t>{Абзац перший підпункту 170.7.5 пункту 170.7 статті 170 із змінами, внесеними згідно із Законом </w:t>
      </w:r>
      <w:hyperlink r:id="rId2618" w:anchor="n101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906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7" w:name="n4085"/>
      <w:bookmarkEnd w:id="4777"/>
      <w:r w:rsidRPr="008B264B">
        <w:rPr>
          <w:rFonts w:ascii="Times New Roman" w:eastAsia="Times New Roman" w:hAnsi="Times New Roman" w:cs="Times New Roman"/>
          <w:color w:val="000000"/>
          <w:sz w:val="24"/>
          <w:szCs w:val="24"/>
          <w:lang/>
        </w:rPr>
        <w:t>Термін "ендавмент" означає суму коштів або цінних паперів, які вносяться благодійником у банк або небанківську фінансову установу, завдяки чому набувач благодійної допомоги отримує право на використання процентів або дивідендів, нарахованих на суму такого ендавменту. При цьому такий набувач не має права витрачати або відчужувати основну суму такого ендавменту без згоди благодійника.</w:t>
      </w:r>
    </w:p>
    <w:p w14:paraId="3015DC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8" w:name="n4086"/>
      <w:bookmarkEnd w:id="4778"/>
      <w:r w:rsidRPr="008B264B">
        <w:rPr>
          <w:rFonts w:ascii="Times New Roman" w:eastAsia="Times New Roman" w:hAnsi="Times New Roman" w:cs="Times New Roman"/>
          <w:color w:val="000000"/>
          <w:sz w:val="24"/>
          <w:szCs w:val="24"/>
          <w:lang/>
        </w:rPr>
        <w:t>170.7.6. Набувач цільової благодійної допомоги має право звернутися до контролюючого органу з поданням щодо продовження строку використання такої цільової благодійної допомоги з наведенням обставин, які свідчать про неможливість її повного використання у зазначені цим пунктом строки, а керівник (його заступник або уповноважена особа) такого контролюючого органу має право прийняти рішення про таке продовження. Якщо контролюючий орган відмовляє у такому продовженні, його рішення може бути оскаржене в порядку, визначеному для оскарження рішення контролюючого органу відповідно до цього Кодексу.</w:t>
      </w:r>
    </w:p>
    <w:p w14:paraId="51A7F9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79" w:name="n14135"/>
      <w:bookmarkEnd w:id="4779"/>
      <w:r w:rsidRPr="008B264B">
        <w:rPr>
          <w:rFonts w:ascii="Times New Roman" w:eastAsia="Times New Roman" w:hAnsi="Times New Roman" w:cs="Times New Roman"/>
          <w:i/>
          <w:iCs/>
          <w:color w:val="000000"/>
          <w:sz w:val="24"/>
          <w:szCs w:val="24"/>
          <w:lang/>
        </w:rPr>
        <w:t>{Підпункт 170.7.6 пункту 170.7 статті 170 із змінами, внесеними згідно із Законом </w:t>
      </w:r>
      <w:hyperlink r:id="rId2619" w:anchor="n10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16AE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0" w:name="n4087"/>
      <w:bookmarkEnd w:id="4780"/>
      <w:r w:rsidRPr="008B264B">
        <w:rPr>
          <w:rFonts w:ascii="Times New Roman" w:eastAsia="Times New Roman" w:hAnsi="Times New Roman" w:cs="Times New Roman"/>
          <w:color w:val="000000"/>
          <w:sz w:val="24"/>
          <w:szCs w:val="24"/>
          <w:lang/>
        </w:rPr>
        <w:t>170.7.7. Забороняється надавати благодійну допомогу органам державної влади та органам місцевого самоврядування або створеним ними неприбутковим організаціям або за їх дорученням - третім особам, якщо надання такої благодійної допомоги є попередньою або наступною умовою видачі платнику податку будь-якого дозволу, ліцензії, узгодження, надання державної послуги чи прийняття іншого рішення на його користь або прискорення такої видачі, надання, прийняття (спрощення процедури).</w:t>
      </w:r>
    </w:p>
    <w:p w14:paraId="652291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1" w:name="n4088"/>
      <w:bookmarkEnd w:id="4781"/>
      <w:r w:rsidRPr="008B264B">
        <w:rPr>
          <w:rFonts w:ascii="Times New Roman" w:eastAsia="Times New Roman" w:hAnsi="Times New Roman" w:cs="Times New Roman"/>
          <w:color w:val="000000"/>
          <w:sz w:val="24"/>
          <w:szCs w:val="24"/>
          <w:lang/>
        </w:rPr>
        <w:lastRenderedPageBreak/>
        <w:t>Дії посадових (службових) осіб органів державної влади та органів місцевого самоврядування з висування таких умов вважаються діями з вимагання коштів або майна у розмірі благодійної чи спонсорської допомоги.</w:t>
      </w:r>
    </w:p>
    <w:p w14:paraId="7A2F55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2" w:name="n10300"/>
      <w:bookmarkEnd w:id="4782"/>
      <w:r w:rsidRPr="008B264B">
        <w:rPr>
          <w:rFonts w:ascii="Times New Roman" w:eastAsia="Times New Roman" w:hAnsi="Times New Roman" w:cs="Times New Roman"/>
          <w:color w:val="000000"/>
          <w:sz w:val="24"/>
          <w:szCs w:val="24"/>
          <w:lang/>
        </w:rPr>
        <w:t>170.7.8. не включається до оподатковуваного доходу благодійна допомога, що надається згідно з </w:t>
      </w:r>
      <w:hyperlink r:id="rId2620" w:anchor="n10287" w:history="1">
        <w:r w:rsidRPr="008B264B">
          <w:rPr>
            <w:rFonts w:ascii="Times New Roman" w:eastAsia="Times New Roman" w:hAnsi="Times New Roman" w:cs="Times New Roman"/>
            <w:color w:val="0000FF"/>
            <w:sz w:val="24"/>
            <w:szCs w:val="24"/>
            <w:u w:val="single"/>
            <w:lang/>
          </w:rPr>
          <w:t>підпунктом 165.1.54</w:t>
        </w:r>
      </w:hyperlink>
      <w:r w:rsidRPr="008B264B">
        <w:rPr>
          <w:rFonts w:ascii="Times New Roman" w:eastAsia="Times New Roman" w:hAnsi="Times New Roman" w:cs="Times New Roman"/>
          <w:color w:val="000000"/>
          <w:sz w:val="24"/>
          <w:szCs w:val="24"/>
          <w:lang/>
        </w:rPr>
        <w:t> пункту 165.1 статті 165 цього Кодексу:</w:t>
      </w:r>
    </w:p>
    <w:p w14:paraId="04FBA2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3" w:name="n10301"/>
      <w:bookmarkEnd w:id="4783"/>
      <w:r w:rsidRPr="008B264B">
        <w:rPr>
          <w:rFonts w:ascii="Times New Roman" w:eastAsia="Times New Roman" w:hAnsi="Times New Roman" w:cs="Times New Roman"/>
          <w:color w:val="000000"/>
          <w:sz w:val="24"/>
          <w:szCs w:val="24"/>
          <w:lang/>
        </w:rPr>
        <w:t>а) у будь-якій сумі (вартості), що надається:</w:t>
      </w:r>
    </w:p>
    <w:p w14:paraId="4493A4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4" w:name="n10302"/>
      <w:bookmarkEnd w:id="4784"/>
      <w:r w:rsidRPr="008B264B">
        <w:rPr>
          <w:rFonts w:ascii="Times New Roman" w:eastAsia="Times New Roman" w:hAnsi="Times New Roman" w:cs="Times New Roman"/>
          <w:color w:val="000000"/>
          <w:sz w:val="24"/>
          <w:szCs w:val="24"/>
          <w:lang/>
        </w:rPr>
        <w:t>платникам податку, визначеним </w:t>
      </w:r>
      <w:hyperlink r:id="rId2621" w:anchor="n10289" w:history="1">
        <w:r w:rsidRPr="008B264B">
          <w:rPr>
            <w:rFonts w:ascii="Times New Roman" w:eastAsia="Times New Roman" w:hAnsi="Times New Roman" w:cs="Times New Roman"/>
            <w:color w:val="0000FF"/>
            <w:sz w:val="24"/>
            <w:szCs w:val="24"/>
            <w:u w:val="single"/>
            <w:lang/>
          </w:rPr>
          <w:t>абзацом другим підпункту "а"</w:t>
        </w:r>
      </w:hyperlink>
      <w:r w:rsidRPr="008B264B">
        <w:rPr>
          <w:rFonts w:ascii="Times New Roman" w:eastAsia="Times New Roman" w:hAnsi="Times New Roman" w:cs="Times New Roman"/>
          <w:color w:val="000000"/>
          <w:sz w:val="24"/>
          <w:szCs w:val="24"/>
          <w:lang/>
        </w:rPr>
        <w:t> та </w:t>
      </w:r>
      <w:hyperlink r:id="rId2622" w:anchor="n10293"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підпункту 165.1.54 пункту 165.1 статті 165 цього Кодексу, - для закупівлі або у вигляді спеціальних засобів індивідуального захисту (касок, бронежилетів, виготовлених відповідно до військових стандартів), технічних засобів спостереження, лікарських засобів, засобів особистої гігієни, продуктів харчування, предметів речового забезпечення чи інших товарів (робіт, послуг) за </w:t>
      </w:r>
      <w:hyperlink r:id="rId2623" w:anchor="n8" w:tgtFrame="_blank" w:history="1">
        <w:r w:rsidRPr="008B264B">
          <w:rPr>
            <w:rFonts w:ascii="Times New Roman" w:eastAsia="Times New Roman" w:hAnsi="Times New Roman" w:cs="Times New Roman"/>
            <w:color w:val="0000FF"/>
            <w:sz w:val="24"/>
            <w:szCs w:val="24"/>
            <w:u w:val="single"/>
            <w:lang/>
          </w:rPr>
          <w:t>переліком</w:t>
        </w:r>
      </w:hyperlink>
      <w:r w:rsidRPr="008B264B">
        <w:rPr>
          <w:rFonts w:ascii="Times New Roman" w:eastAsia="Times New Roman" w:hAnsi="Times New Roman" w:cs="Times New Roman"/>
          <w:color w:val="000000"/>
          <w:sz w:val="24"/>
          <w:szCs w:val="24"/>
          <w:lang/>
        </w:rPr>
        <w:t>, що визначається Кабінетом Міністрів України, чи для оплати (компенсації) вартості лікарських засобів, донорських компонентів, виробів медичного призначення, технічних та інших засобів реабілітації, платних послуг з лікування, забезпечення виробами медичного призначення, технічними та іншими засобами реабілітації, послуг медичної реабілітації, санаторно-курортного оздоровлення;</w:t>
      </w:r>
    </w:p>
    <w:p w14:paraId="6F1653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5" w:name="n10303"/>
      <w:bookmarkEnd w:id="4785"/>
      <w:r w:rsidRPr="008B264B">
        <w:rPr>
          <w:rFonts w:ascii="Times New Roman" w:eastAsia="Times New Roman" w:hAnsi="Times New Roman" w:cs="Times New Roman"/>
          <w:color w:val="000000"/>
          <w:sz w:val="24"/>
          <w:szCs w:val="24"/>
          <w:lang/>
        </w:rPr>
        <w:t>платникам податку, визначеним </w:t>
      </w:r>
      <w:hyperlink r:id="rId2624" w:anchor="n10290" w:history="1">
        <w:r w:rsidRPr="008B264B">
          <w:rPr>
            <w:rFonts w:ascii="Times New Roman" w:eastAsia="Times New Roman" w:hAnsi="Times New Roman" w:cs="Times New Roman"/>
            <w:color w:val="0000FF"/>
            <w:sz w:val="24"/>
            <w:szCs w:val="24"/>
            <w:u w:val="single"/>
            <w:lang/>
          </w:rPr>
          <w:t>абзацами третім - п’ятим підпункту "а"</w:t>
        </w:r>
      </w:hyperlink>
      <w:r w:rsidRPr="008B264B">
        <w:rPr>
          <w:rFonts w:ascii="Times New Roman" w:eastAsia="Times New Roman" w:hAnsi="Times New Roman" w:cs="Times New Roman"/>
          <w:color w:val="000000"/>
          <w:sz w:val="24"/>
          <w:szCs w:val="24"/>
          <w:lang/>
        </w:rPr>
        <w:t> підпункту 165.1.54 пункту 165.1 статті 165 цього Кодексу, як допомога на лікування та медичне обслуговування (обстеження, діагностику), у тому числі для оплати (компенсації) вартості лікарських засобів, донорських компонентів, виробів медичного призначення, технічних та інших засобів реабілітації, платних послуг з лікування, забезпечення виробами медичного призначення, технічними та іншими засобами реабілітації, послуг медичної реабілітації, санаторно-курортного оздоровлення;</w:t>
      </w:r>
    </w:p>
    <w:p w14:paraId="469E0B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6" w:name="n14136"/>
      <w:bookmarkEnd w:id="4786"/>
      <w:r w:rsidRPr="008B264B">
        <w:rPr>
          <w:rFonts w:ascii="Times New Roman" w:eastAsia="Times New Roman" w:hAnsi="Times New Roman" w:cs="Times New Roman"/>
          <w:i/>
          <w:iCs/>
          <w:color w:val="000000"/>
          <w:sz w:val="24"/>
          <w:szCs w:val="24"/>
          <w:lang/>
        </w:rPr>
        <w:t>{Абзац третій підпункту "а" підпункту 170.7.8 пункту 170.7 статті 170 із змінами, внесеними згідно із Законом </w:t>
      </w:r>
      <w:hyperlink r:id="rId2625" w:anchor="n10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33CE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7" w:name="n10304"/>
      <w:bookmarkEnd w:id="4787"/>
      <w:r w:rsidRPr="008B264B">
        <w:rPr>
          <w:rFonts w:ascii="Times New Roman" w:eastAsia="Times New Roman" w:hAnsi="Times New Roman" w:cs="Times New Roman"/>
          <w:color w:val="000000"/>
          <w:sz w:val="24"/>
          <w:szCs w:val="24"/>
          <w:lang/>
        </w:rPr>
        <w:t>б) у сумі, що сукупно протягом звітного (податкового) року не перевищує 500 розмірів мінімальної заробітної плати, встановленої законом на 1 січня звітного (податкового) року, - на відновлення втраченого майна та на інші потреби за переліком, який визначається Кабінетом Міністрів України, що виникли у платників податку, визначених </w:t>
      </w:r>
      <w:hyperlink r:id="rId2626" w:anchor="n10287" w:history="1">
        <w:r w:rsidRPr="008B264B">
          <w:rPr>
            <w:rFonts w:ascii="Times New Roman" w:eastAsia="Times New Roman" w:hAnsi="Times New Roman" w:cs="Times New Roman"/>
            <w:color w:val="0000FF"/>
            <w:sz w:val="24"/>
            <w:szCs w:val="24"/>
            <w:u w:val="single"/>
            <w:lang/>
          </w:rPr>
          <w:t>підпунктом 165.1.54</w:t>
        </w:r>
      </w:hyperlink>
      <w:r w:rsidRPr="008B264B">
        <w:rPr>
          <w:rFonts w:ascii="Times New Roman" w:eastAsia="Times New Roman" w:hAnsi="Times New Roman" w:cs="Times New Roman"/>
          <w:color w:val="000000"/>
          <w:sz w:val="24"/>
          <w:szCs w:val="24"/>
          <w:lang/>
        </w:rPr>
        <w:t> пункту 165.1 статті 165 цього Кодексу. Якщо загальна сума отриманої благодійної допомоги протягом звітного (податкового) року перевищує зазначений граничний розмір, сума перевищення над таким розміром оподатковується за ставкою, встановленою </w:t>
      </w:r>
      <w:hyperlink r:id="rId2627"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 і платник податку зобов’язаний подати річну податкову декларацію із зазначенням сум благодійної допомоги.</w:t>
      </w:r>
    </w:p>
    <w:p w14:paraId="3679BA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8" w:name="n12738"/>
      <w:bookmarkEnd w:id="4788"/>
      <w:r w:rsidRPr="008B264B">
        <w:rPr>
          <w:rFonts w:ascii="Times New Roman" w:eastAsia="Times New Roman" w:hAnsi="Times New Roman" w:cs="Times New Roman"/>
          <w:i/>
          <w:iCs/>
          <w:color w:val="000000"/>
          <w:sz w:val="24"/>
          <w:szCs w:val="24"/>
          <w:lang/>
        </w:rPr>
        <w:t>{Підпункт "б" підпункту 170.7.8 пункту 170.7 статті 170 із змінами, внесеними згідно із Законами </w:t>
      </w:r>
      <w:hyperlink r:id="rId2628" w:anchor="n15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629" w:anchor="n28"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76E4D6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89" w:name="n10299"/>
      <w:bookmarkEnd w:id="4789"/>
      <w:r w:rsidRPr="008B264B">
        <w:rPr>
          <w:rFonts w:ascii="Times New Roman" w:eastAsia="Times New Roman" w:hAnsi="Times New Roman" w:cs="Times New Roman"/>
          <w:i/>
          <w:iCs/>
          <w:color w:val="000000"/>
          <w:sz w:val="24"/>
          <w:szCs w:val="24"/>
          <w:lang/>
        </w:rPr>
        <w:t>{Пункт 170.7 статті 170 доповнено підпунктом 170.7.8 згідно із Законом </w:t>
      </w:r>
      <w:hyperlink r:id="rId2630" w:anchor="n22" w:tgtFrame="_blank" w:history="1">
        <w:r w:rsidRPr="008B264B">
          <w:rPr>
            <w:rFonts w:ascii="Times New Roman" w:eastAsia="Times New Roman" w:hAnsi="Times New Roman" w:cs="Times New Roman"/>
            <w:i/>
            <w:iCs/>
            <w:color w:val="0000FF"/>
            <w:sz w:val="24"/>
            <w:szCs w:val="24"/>
            <w:u w:val="single"/>
            <w:lang/>
          </w:rPr>
          <w:t>№ 1668-VII від 02.09.2014</w:t>
        </w:r>
      </w:hyperlink>
      <w:r w:rsidRPr="008B264B">
        <w:rPr>
          <w:rFonts w:ascii="Times New Roman" w:eastAsia="Times New Roman" w:hAnsi="Times New Roman" w:cs="Times New Roman"/>
          <w:i/>
          <w:iCs/>
          <w:color w:val="000000"/>
          <w:sz w:val="24"/>
          <w:szCs w:val="24"/>
          <w:lang/>
        </w:rPr>
        <w:t>}</w:t>
      </w:r>
    </w:p>
    <w:p w14:paraId="43F68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0" w:name="n4089"/>
      <w:bookmarkEnd w:id="4790"/>
      <w:r w:rsidRPr="008B264B">
        <w:rPr>
          <w:rFonts w:ascii="Times New Roman" w:eastAsia="Times New Roman" w:hAnsi="Times New Roman" w:cs="Times New Roman"/>
          <w:color w:val="000000"/>
          <w:sz w:val="24"/>
          <w:szCs w:val="24"/>
          <w:lang/>
        </w:rPr>
        <w:t>170.8. Оподаткування доходів, отриманих за договорами довгострокового страхування життя (у тому числі страхування довічних пенсій), недержавного пенсійного забезпечення, пенсійних вкладів та за договорами довірчого управління.</w:t>
      </w:r>
    </w:p>
    <w:p w14:paraId="632B40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1" w:name="n4090"/>
      <w:bookmarkEnd w:id="4791"/>
      <w:r w:rsidRPr="008B264B">
        <w:rPr>
          <w:rFonts w:ascii="Times New Roman" w:eastAsia="Times New Roman" w:hAnsi="Times New Roman" w:cs="Times New Roman"/>
          <w:color w:val="000000"/>
          <w:sz w:val="24"/>
          <w:szCs w:val="24"/>
          <w:lang/>
        </w:rPr>
        <w:t>170.8.1. Податковим агентом платника податку - отримувача виплати, довічної пенсії чи викупної суми є страховик-резидент, який нараховує страхову виплату чи викупну суму за договором недержавного пенсійного забезпечення або довгострокового страхування життя.</w:t>
      </w:r>
    </w:p>
    <w:p w14:paraId="0D468C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2" w:name="n4091"/>
      <w:bookmarkEnd w:id="4792"/>
      <w:r w:rsidRPr="008B264B">
        <w:rPr>
          <w:rFonts w:ascii="Times New Roman" w:eastAsia="Times New Roman" w:hAnsi="Times New Roman" w:cs="Times New Roman"/>
          <w:color w:val="000000"/>
          <w:sz w:val="24"/>
          <w:szCs w:val="24"/>
          <w:lang/>
        </w:rPr>
        <w:t>Податковим агентом платника податку - учасника недержавних пенсійних фондів є адміністратор недержавних пенсійних фондів, який нараховує виплату за договором з недержавним пенсійним фондом.</w:t>
      </w:r>
    </w:p>
    <w:p w14:paraId="6685CB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3" w:name="n4092"/>
      <w:bookmarkEnd w:id="4793"/>
      <w:r w:rsidRPr="008B264B">
        <w:rPr>
          <w:rFonts w:ascii="Times New Roman" w:eastAsia="Times New Roman" w:hAnsi="Times New Roman" w:cs="Times New Roman"/>
          <w:color w:val="000000"/>
          <w:sz w:val="24"/>
          <w:szCs w:val="24"/>
          <w:lang/>
        </w:rPr>
        <w:lastRenderedPageBreak/>
        <w:t>Податковим агентом платника податку - вкладника за договором пенсійного вкладу або учасника фонду банківського управління є банк, який здійснює виплати за договором пенсійного вкладу або рахунком учасника фонду банківського управління.</w:t>
      </w:r>
    </w:p>
    <w:p w14:paraId="35DAC7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4" w:name="n4093"/>
      <w:bookmarkEnd w:id="4794"/>
      <w:r w:rsidRPr="008B264B">
        <w:rPr>
          <w:rFonts w:ascii="Times New Roman" w:eastAsia="Times New Roman" w:hAnsi="Times New Roman" w:cs="Times New Roman"/>
          <w:color w:val="000000"/>
          <w:sz w:val="24"/>
          <w:szCs w:val="24"/>
          <w:lang/>
        </w:rPr>
        <w:t>Податковим агентом платника податку - одержувача одноразової виплати за рахунок коштів Накопичувального фонду або недержавного пенсійного фонду є адміністратор такого фонду.</w:t>
      </w:r>
    </w:p>
    <w:p w14:paraId="252FF9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5" w:name="n4094"/>
      <w:bookmarkEnd w:id="4795"/>
      <w:r w:rsidRPr="008B264B">
        <w:rPr>
          <w:rFonts w:ascii="Times New Roman" w:eastAsia="Times New Roman" w:hAnsi="Times New Roman" w:cs="Times New Roman"/>
          <w:color w:val="000000"/>
          <w:sz w:val="24"/>
          <w:szCs w:val="24"/>
          <w:lang/>
        </w:rPr>
        <w:t>170.8.2. Податковий агент утримує та сплачує (перераховує) до бюджету податок за ставкою, встановленою </w:t>
      </w:r>
      <w:hyperlink r:id="rId2631"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 з:</w:t>
      </w:r>
    </w:p>
    <w:p w14:paraId="3C7767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6" w:name="n12739"/>
      <w:bookmarkEnd w:id="4796"/>
      <w:r w:rsidRPr="008B264B">
        <w:rPr>
          <w:rFonts w:ascii="Times New Roman" w:eastAsia="Times New Roman" w:hAnsi="Times New Roman" w:cs="Times New Roman"/>
          <w:i/>
          <w:iCs/>
          <w:color w:val="000000"/>
          <w:sz w:val="24"/>
          <w:szCs w:val="24"/>
          <w:lang/>
        </w:rPr>
        <w:t>{Абзац перший підпункту 170.8.2 пункту 170.8 статті 170 із змінами, внесеними згідно із Законом </w:t>
      </w:r>
      <w:hyperlink r:id="rId2632" w:anchor="n15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BCF40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7" w:name="n4095"/>
      <w:bookmarkEnd w:id="4797"/>
      <w:r w:rsidRPr="008B264B">
        <w:rPr>
          <w:rFonts w:ascii="Times New Roman" w:eastAsia="Times New Roman" w:hAnsi="Times New Roman" w:cs="Times New Roman"/>
          <w:color w:val="000000"/>
          <w:sz w:val="24"/>
          <w:szCs w:val="24"/>
          <w:lang/>
        </w:rPr>
        <w:t>а) 60 відсотків суми:</w:t>
      </w:r>
    </w:p>
    <w:p w14:paraId="68D799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8" w:name="n4096"/>
      <w:bookmarkEnd w:id="4798"/>
      <w:r w:rsidRPr="008B264B">
        <w:rPr>
          <w:rFonts w:ascii="Times New Roman" w:eastAsia="Times New Roman" w:hAnsi="Times New Roman" w:cs="Times New Roman"/>
          <w:color w:val="000000"/>
          <w:sz w:val="24"/>
          <w:szCs w:val="24"/>
          <w:lang/>
        </w:rPr>
        <w:t>одноразової страхової виплати за договором довгострокового страхування життя у разі досягнення застрахованою особою певного віку, обумовленого у такому страховому договорі, чи її доживання до закінчення строку такого договору.</w:t>
      </w:r>
    </w:p>
    <w:p w14:paraId="322C22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799" w:name="n4097"/>
      <w:bookmarkEnd w:id="4799"/>
      <w:r w:rsidRPr="008B264B">
        <w:rPr>
          <w:rFonts w:ascii="Times New Roman" w:eastAsia="Times New Roman" w:hAnsi="Times New Roman" w:cs="Times New Roman"/>
          <w:color w:val="000000"/>
          <w:sz w:val="24"/>
          <w:szCs w:val="24"/>
          <w:lang/>
        </w:rPr>
        <w:t>Якщо вигодонабувач є страхувальником за договором, оподаткуванню підлягає величина перевищення страхової виплати над сумою внесених страхових платежів за правилами оподаткування доходів від розміщення коштів на депозитних рахунках;</w:t>
      </w:r>
    </w:p>
    <w:p w14:paraId="622BD1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0" w:name="n4098"/>
      <w:bookmarkEnd w:id="4800"/>
      <w:r w:rsidRPr="008B264B">
        <w:rPr>
          <w:rFonts w:ascii="Times New Roman" w:eastAsia="Times New Roman" w:hAnsi="Times New Roman" w:cs="Times New Roman"/>
          <w:color w:val="000000"/>
          <w:sz w:val="24"/>
          <w:szCs w:val="24"/>
          <w:lang/>
        </w:rPr>
        <w:t>одноразової страхової виплати за договором страхування довічних пенсій, за винятком одноразової виплати, передбаченої у </w:t>
      </w:r>
      <w:hyperlink r:id="rId2633" w:anchor="n4107" w:history="1">
        <w:r w:rsidRPr="008B264B">
          <w:rPr>
            <w:rFonts w:ascii="Times New Roman" w:eastAsia="Times New Roman" w:hAnsi="Times New Roman" w:cs="Times New Roman"/>
            <w:color w:val="0000FF"/>
            <w:sz w:val="24"/>
            <w:szCs w:val="24"/>
            <w:u w:val="single"/>
            <w:lang/>
          </w:rPr>
          <w:t>підпункті "в" підпункту 170.8.3</w:t>
        </w:r>
      </w:hyperlink>
      <w:r w:rsidRPr="008B264B">
        <w:rPr>
          <w:rFonts w:ascii="Times New Roman" w:eastAsia="Times New Roman" w:hAnsi="Times New Roman" w:cs="Times New Roman"/>
          <w:color w:val="000000"/>
          <w:sz w:val="24"/>
          <w:szCs w:val="24"/>
          <w:lang/>
        </w:rPr>
        <w:t> цього пункту;</w:t>
      </w:r>
    </w:p>
    <w:p w14:paraId="4607DE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1" w:name="n4099"/>
      <w:bookmarkEnd w:id="4801"/>
      <w:r w:rsidRPr="008B264B">
        <w:rPr>
          <w:rFonts w:ascii="Times New Roman" w:eastAsia="Times New Roman" w:hAnsi="Times New Roman" w:cs="Times New Roman"/>
          <w:color w:val="000000"/>
          <w:sz w:val="24"/>
          <w:szCs w:val="24"/>
          <w:lang/>
        </w:rPr>
        <w:t>виплати пенсії на визначений строк, що проводиться з недержавного пенсійного фонду учаснику фонду в порядку та строки, визначені законодавством;</w:t>
      </w:r>
    </w:p>
    <w:p w14:paraId="36F04C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2" w:name="n4100"/>
      <w:bookmarkEnd w:id="4802"/>
      <w:r w:rsidRPr="008B264B">
        <w:rPr>
          <w:rFonts w:ascii="Times New Roman" w:eastAsia="Times New Roman" w:hAnsi="Times New Roman" w:cs="Times New Roman"/>
          <w:color w:val="000000"/>
          <w:sz w:val="24"/>
          <w:szCs w:val="24"/>
          <w:lang/>
        </w:rPr>
        <w:t>регулярних та послідовних виплат (ануїтетів) за договором довгострокового страхування життя, пенсійних виплат за договором пенсійного вкладу, пенсійних та цільових виплат учасника фонду банківського управління, виплат довічної пенсії (довічні ануїтети), крім випадків, зазначених у </w:t>
      </w:r>
      <w:hyperlink r:id="rId2634" w:anchor="n4104" w:history="1">
        <w:r w:rsidRPr="008B264B">
          <w:rPr>
            <w:rFonts w:ascii="Times New Roman" w:eastAsia="Times New Roman" w:hAnsi="Times New Roman" w:cs="Times New Roman"/>
            <w:color w:val="0000FF"/>
            <w:sz w:val="24"/>
            <w:szCs w:val="24"/>
            <w:u w:val="single"/>
            <w:lang/>
          </w:rPr>
          <w:t>підпункті "а" підпункту 170.8.3</w:t>
        </w:r>
      </w:hyperlink>
      <w:r w:rsidRPr="008B264B">
        <w:rPr>
          <w:rFonts w:ascii="Times New Roman" w:eastAsia="Times New Roman" w:hAnsi="Times New Roman" w:cs="Times New Roman"/>
          <w:color w:val="000000"/>
          <w:sz w:val="24"/>
          <w:szCs w:val="24"/>
          <w:lang/>
        </w:rPr>
        <w:t> цього пункту;</w:t>
      </w:r>
    </w:p>
    <w:p w14:paraId="3BAE60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3" w:name="n4101"/>
      <w:bookmarkEnd w:id="4803"/>
      <w:r w:rsidRPr="008B264B">
        <w:rPr>
          <w:rFonts w:ascii="Times New Roman" w:eastAsia="Times New Roman" w:hAnsi="Times New Roman" w:cs="Times New Roman"/>
          <w:color w:val="000000"/>
          <w:sz w:val="24"/>
          <w:szCs w:val="24"/>
          <w:lang/>
        </w:rPr>
        <w:t>б) викупної суми у разі дострокового розірвання страхувальником договору довгострокового страхування життя;</w:t>
      </w:r>
    </w:p>
    <w:p w14:paraId="2BBA05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4" w:name="n4102"/>
      <w:bookmarkEnd w:id="4804"/>
      <w:r w:rsidRPr="008B264B">
        <w:rPr>
          <w:rFonts w:ascii="Times New Roman" w:eastAsia="Times New Roman" w:hAnsi="Times New Roman" w:cs="Times New Roman"/>
          <w:color w:val="000000"/>
          <w:sz w:val="24"/>
          <w:szCs w:val="24"/>
          <w:lang/>
        </w:rPr>
        <w:t>в) суми коштів, з якої не було утримано (сплачено) податок та яка виплачується вкладнику з його пенсійного вкладу або рахунка учасника фонду банківського управління у зв'язку з достроковим розірванням договору пенсійного вкладу, договору довірчого управління, договору недержавного пенсійного забезпечення.</w:t>
      </w:r>
    </w:p>
    <w:p w14:paraId="1A755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5" w:name="n4103"/>
      <w:bookmarkEnd w:id="4805"/>
      <w:r w:rsidRPr="008B264B">
        <w:rPr>
          <w:rFonts w:ascii="Times New Roman" w:eastAsia="Times New Roman" w:hAnsi="Times New Roman" w:cs="Times New Roman"/>
          <w:color w:val="000000"/>
          <w:sz w:val="24"/>
          <w:szCs w:val="24"/>
          <w:lang/>
        </w:rPr>
        <w:t>170.8.3. Не оподатковуються під час їх нарахування (виплати) податковим агентом:</w:t>
      </w:r>
    </w:p>
    <w:p w14:paraId="2294E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6" w:name="n4104"/>
      <w:bookmarkEnd w:id="4806"/>
      <w:r w:rsidRPr="008B264B">
        <w:rPr>
          <w:rFonts w:ascii="Times New Roman" w:eastAsia="Times New Roman" w:hAnsi="Times New Roman" w:cs="Times New Roman"/>
          <w:color w:val="000000"/>
          <w:sz w:val="24"/>
          <w:szCs w:val="24"/>
          <w:lang/>
        </w:rPr>
        <w:t>а) сума регулярних та послідовних виплат (ануїтетів) за договором довгострокового страхування життя або пенсійних виплат за договором пенсійного вкладу, пенсійних та цільових виплат учасника фонду банківського управління, пенсійних виплат на визначений строк, одноразових пенсійних виплат або довічних пенсій, нарахованих та/або виплачених платнику податку - резиденту, який не досяг повноліття або має вік не менше ніж 70 років;</w:t>
      </w:r>
    </w:p>
    <w:p w14:paraId="45DF71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7" w:name="n4105"/>
      <w:bookmarkEnd w:id="4807"/>
      <w:r w:rsidRPr="008B264B">
        <w:rPr>
          <w:rFonts w:ascii="Times New Roman" w:eastAsia="Times New Roman" w:hAnsi="Times New Roman" w:cs="Times New Roman"/>
          <w:i/>
          <w:iCs/>
          <w:color w:val="000000"/>
          <w:sz w:val="24"/>
          <w:szCs w:val="24"/>
          <w:lang/>
        </w:rPr>
        <w:t>{Підпункт "а" підпункту 170.8.3 пункту 170.8 статті 170 із змінами, внесеними згідно із Законом </w:t>
      </w:r>
      <w:hyperlink r:id="rId263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807C4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8" w:name="n4106"/>
      <w:bookmarkEnd w:id="4808"/>
      <w:r w:rsidRPr="008B264B">
        <w:rPr>
          <w:rFonts w:ascii="Times New Roman" w:eastAsia="Times New Roman" w:hAnsi="Times New Roman" w:cs="Times New Roman"/>
          <w:color w:val="000000"/>
          <w:sz w:val="24"/>
          <w:szCs w:val="24"/>
          <w:lang/>
        </w:rPr>
        <w:t>б) сума страхової виплати за договором довгострокового страхування життя, якщо внаслідок страхового випадку застрахована особа отримала інвалідність I групи;</w:t>
      </w:r>
    </w:p>
    <w:p w14:paraId="4D09EA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09" w:name="n4107"/>
      <w:bookmarkEnd w:id="4809"/>
      <w:r w:rsidRPr="008B264B">
        <w:rPr>
          <w:rFonts w:ascii="Times New Roman" w:eastAsia="Times New Roman" w:hAnsi="Times New Roman" w:cs="Times New Roman"/>
          <w:color w:val="000000"/>
          <w:sz w:val="24"/>
          <w:szCs w:val="24"/>
          <w:lang/>
        </w:rPr>
        <w:t>в) сума виплати за договором пенсійного вкладу, виплат з рахунка учасника фонду банківського управління, виплати пенсії на визначений строк, довічної пенсії або одноразової виплати, якщо вкладник, учасник фонду банківського управління, учасник недержавного пенсійного фонду чи застрахована особа отримала інвалідність I групи;</w:t>
      </w:r>
    </w:p>
    <w:p w14:paraId="1070F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0" w:name="n4108"/>
      <w:bookmarkEnd w:id="4810"/>
      <w:r w:rsidRPr="008B264B">
        <w:rPr>
          <w:rFonts w:ascii="Times New Roman" w:eastAsia="Times New Roman" w:hAnsi="Times New Roman" w:cs="Times New Roman"/>
          <w:i/>
          <w:iCs/>
          <w:color w:val="000000"/>
          <w:sz w:val="24"/>
          <w:szCs w:val="24"/>
          <w:lang/>
        </w:rPr>
        <w:lastRenderedPageBreak/>
        <w:t>{Підпункт "в" підпункту 170.8.3 пункту 170.8 статті 170 із змінами, внесеними згідно із Законом </w:t>
      </w:r>
      <w:hyperlink r:id="rId263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86AA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1" w:name="n4109"/>
      <w:bookmarkEnd w:id="4811"/>
      <w:r w:rsidRPr="008B264B">
        <w:rPr>
          <w:rFonts w:ascii="Times New Roman" w:eastAsia="Times New Roman" w:hAnsi="Times New Roman" w:cs="Times New Roman"/>
          <w:color w:val="000000"/>
          <w:sz w:val="24"/>
          <w:szCs w:val="24"/>
          <w:lang/>
        </w:rPr>
        <w:t>г) сума одноразової пенсійної виплати учаснику недержавного пенсійного фонду або Накопичувального фонду за рахунок коштів Накопичувального фонду.</w:t>
      </w:r>
    </w:p>
    <w:p w14:paraId="0E1AA3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2" w:name="n4110"/>
      <w:bookmarkEnd w:id="4812"/>
      <w:r w:rsidRPr="008B264B">
        <w:rPr>
          <w:rFonts w:ascii="Times New Roman" w:eastAsia="Times New Roman" w:hAnsi="Times New Roman" w:cs="Times New Roman"/>
          <w:color w:val="000000"/>
          <w:sz w:val="24"/>
          <w:szCs w:val="24"/>
          <w:lang/>
        </w:rPr>
        <w:t>Дохід у вигляді страхової виплати або виплати за договором пенсійного вкладу, договором довірчого управління чи за договором недержавного пенсійного забезпечення, що у разі смерті застрахованої особи сплачується вигодонабувачу або спадкоємцю платника податку, оподатковується за правилами, встановленими цим Кодексом для оподаткування спадщини.</w:t>
      </w:r>
    </w:p>
    <w:p w14:paraId="2EFE35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3" w:name="n4111"/>
      <w:bookmarkEnd w:id="4813"/>
      <w:r w:rsidRPr="008B264B">
        <w:rPr>
          <w:rFonts w:ascii="Times New Roman" w:eastAsia="Times New Roman" w:hAnsi="Times New Roman" w:cs="Times New Roman"/>
          <w:color w:val="000000"/>
          <w:sz w:val="24"/>
          <w:szCs w:val="24"/>
          <w:lang/>
        </w:rPr>
        <w:t>Сума доходів, отриманих за договорами довгострокового страхування життя, пенсійними вкладами, договорами довірчого управління, укладеними з учасниками фондів банківського управління, та недержавного пенсійного забезпечення, що підлягають оподаткуванню, зменшується на суму внесків, сплачених за такими договорами до 1 січня 2004 року.</w:t>
      </w:r>
    </w:p>
    <w:p w14:paraId="6945C9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4" w:name="n4112"/>
      <w:bookmarkEnd w:id="4814"/>
      <w:r w:rsidRPr="008B264B">
        <w:rPr>
          <w:rFonts w:ascii="Times New Roman" w:eastAsia="Times New Roman" w:hAnsi="Times New Roman" w:cs="Times New Roman"/>
          <w:i/>
          <w:iCs/>
          <w:color w:val="000000"/>
          <w:sz w:val="24"/>
          <w:szCs w:val="24"/>
          <w:lang/>
        </w:rPr>
        <w:t>{Абзац сьомий підпункту 170.8.3 пункту 170.8 статті 170 із змінами, внесеними згідно із Законом </w:t>
      </w:r>
      <w:hyperlink r:id="rId263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55F73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5" w:name="n4113"/>
      <w:bookmarkEnd w:id="4815"/>
      <w:r w:rsidRPr="008B264B">
        <w:rPr>
          <w:rFonts w:ascii="Times New Roman" w:eastAsia="Times New Roman" w:hAnsi="Times New Roman" w:cs="Times New Roman"/>
          <w:color w:val="000000"/>
          <w:sz w:val="24"/>
          <w:szCs w:val="24"/>
          <w:lang/>
        </w:rPr>
        <w:t>170.9. Оподаткування суми надміру витрачених коштів, отриманих платником податку на відрядження або під звіт, не повернутої у встановлений строк.</w:t>
      </w:r>
    </w:p>
    <w:p w14:paraId="29E8FF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6" w:name="n4114"/>
      <w:bookmarkEnd w:id="4816"/>
      <w:r w:rsidRPr="008B264B">
        <w:rPr>
          <w:rFonts w:ascii="Times New Roman" w:eastAsia="Times New Roman" w:hAnsi="Times New Roman" w:cs="Times New Roman"/>
          <w:color w:val="000000"/>
          <w:sz w:val="24"/>
          <w:szCs w:val="24"/>
          <w:lang/>
        </w:rPr>
        <w:t>170.9.1. Податковим агентом платника податку під час оподаткування суми, виданої платнику податку під звіт та не повернутої ним протягом встановленого </w:t>
      </w:r>
      <w:hyperlink r:id="rId2638" w:anchor="n4121" w:history="1">
        <w:r w:rsidRPr="008B264B">
          <w:rPr>
            <w:rFonts w:ascii="Times New Roman" w:eastAsia="Times New Roman" w:hAnsi="Times New Roman" w:cs="Times New Roman"/>
            <w:color w:val="0000FF"/>
            <w:sz w:val="24"/>
            <w:szCs w:val="24"/>
            <w:u w:val="single"/>
            <w:lang/>
          </w:rPr>
          <w:t>підпунктом 170.9.2</w:t>
        </w:r>
      </w:hyperlink>
      <w:r w:rsidRPr="008B264B">
        <w:rPr>
          <w:rFonts w:ascii="Times New Roman" w:eastAsia="Times New Roman" w:hAnsi="Times New Roman" w:cs="Times New Roman"/>
          <w:color w:val="000000"/>
          <w:sz w:val="24"/>
          <w:szCs w:val="24"/>
          <w:lang/>
        </w:rPr>
        <w:t> цього пункту строку, є особа, що видала таку суму, а саме:</w:t>
      </w:r>
    </w:p>
    <w:p w14:paraId="6AA518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7" w:name="n4115"/>
      <w:bookmarkEnd w:id="4817"/>
      <w:r w:rsidRPr="008B264B">
        <w:rPr>
          <w:rFonts w:ascii="Times New Roman" w:eastAsia="Times New Roman" w:hAnsi="Times New Roman" w:cs="Times New Roman"/>
          <w:color w:val="000000"/>
          <w:sz w:val="24"/>
          <w:szCs w:val="24"/>
          <w:lang/>
        </w:rPr>
        <w:t>а) на відрядження - у сумі, що перевищує суму витрат платника податку на таке відрядження, розрахованій згідно із цим підпунктом.</w:t>
      </w:r>
    </w:p>
    <w:p w14:paraId="5AA2A3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8" w:name="n11224"/>
      <w:bookmarkEnd w:id="4818"/>
      <w:r w:rsidRPr="008B264B">
        <w:rPr>
          <w:rFonts w:ascii="Times New Roman" w:eastAsia="Times New Roman" w:hAnsi="Times New Roman" w:cs="Times New Roman"/>
          <w:color w:val="000000"/>
          <w:sz w:val="24"/>
          <w:szCs w:val="24"/>
          <w:lang/>
        </w:rPr>
        <w:t>Не є доходом платника податку - фізичної особи, яка перебуває у трудових відносинах із своїм роботодавцем або є членом керівних органів підприємств, установ, організацій, сума відшкодованих йому у встановленому законодавством порядку витрат на відрядження в межах фактичних витрат, а саме, на проїзд (у тому числі перевезення багажу, бронювання транспортних квитків) як до місця відрядження і назад, так і за місцем відрядження (у тому числі на орендованому транспорті), оплату вартості проживання у готелях (мотелях), а також включених до таких рахунків витрат на харчування чи побутові послуги (прання, чищення, лагодження та прасування одягу, взуття чи білизни), на найм інших жилих приміщень, оплату телефонних розмов, оформлення закордонних паспортів, дозволів на в’їзд (віз), обов’язкове страхування, інші документально оформлені витрати, пов’язані з правилами в’їзду та перебування у місці відрядження, в тому числі будь-які збори і податки, що підлягають сплаті у зв’язку із здійсненням таких витрат.</w:t>
      </w:r>
    </w:p>
    <w:p w14:paraId="2C5642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19" w:name="n11225"/>
      <w:bookmarkEnd w:id="4819"/>
      <w:r w:rsidRPr="008B264B">
        <w:rPr>
          <w:rFonts w:ascii="Times New Roman" w:eastAsia="Times New Roman" w:hAnsi="Times New Roman" w:cs="Times New Roman"/>
          <w:color w:val="000000"/>
          <w:sz w:val="24"/>
          <w:szCs w:val="24"/>
          <w:lang/>
        </w:rPr>
        <w:t>Зазначені в абзаці другому цього підпункту витрати не є об’єктом оподаткування цим податком лише за наявності підтвердних документів, що засвідчують вартість цих витрат у вигляді транспортних квитків або транспортних рахунків (багажних квитанцій), у тому числі електронних квитків за наявності посадкового талона, якщо його обов’язковість передбачена правилами перевезення на відповідному виді транспорту, та розрахункових документів про їх придбання за всіма видами транспорту, в тому числі чартерних рейсів, рахунків, отриманих із готелів (мотелів) або від інших осіб, що надають послуги з розміщення та проживання фізичної особи, в тому числі бронювання місць у місцях проживання, страхових полісів тощо.</w:t>
      </w:r>
    </w:p>
    <w:p w14:paraId="044D8F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0" w:name="n14138"/>
      <w:bookmarkEnd w:id="4820"/>
      <w:r w:rsidRPr="008B264B">
        <w:rPr>
          <w:rFonts w:ascii="Times New Roman" w:eastAsia="Times New Roman" w:hAnsi="Times New Roman" w:cs="Times New Roman"/>
          <w:i/>
          <w:iCs/>
          <w:color w:val="000000"/>
          <w:sz w:val="24"/>
          <w:szCs w:val="24"/>
          <w:lang/>
        </w:rPr>
        <w:t>{Абзац третій підпункту "а" підпункту 170.9.1 пункту 170.9 статті 170 із змінами, внесеними згідно із Законом </w:t>
      </w:r>
      <w:hyperlink r:id="rId2639" w:anchor="n10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E93C4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1" w:name="n11226"/>
      <w:bookmarkEnd w:id="4821"/>
      <w:r w:rsidRPr="008B264B">
        <w:rPr>
          <w:rFonts w:ascii="Times New Roman" w:eastAsia="Times New Roman" w:hAnsi="Times New Roman" w:cs="Times New Roman"/>
          <w:color w:val="000000"/>
          <w:sz w:val="24"/>
          <w:szCs w:val="24"/>
          <w:lang/>
        </w:rPr>
        <w:t>Включаються до оподатковуваного доходу вартість алкогольних напоїв і тютюнових виробів, суми "чайових", за винятком випадків, коли суми таких "чайових" включаються до рахунку згідно із законами країни перебування, а також плата за видовищні заходи.</w:t>
      </w:r>
    </w:p>
    <w:p w14:paraId="75EC38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2" w:name="n11227"/>
      <w:bookmarkEnd w:id="4822"/>
      <w:r w:rsidRPr="008B264B">
        <w:rPr>
          <w:rFonts w:ascii="Times New Roman" w:eastAsia="Times New Roman" w:hAnsi="Times New Roman" w:cs="Times New Roman"/>
          <w:color w:val="000000"/>
          <w:sz w:val="24"/>
          <w:szCs w:val="24"/>
          <w:lang/>
        </w:rPr>
        <w:t xml:space="preserve">До оподатковуваного доходу не включаються також витрати на відрядження, не підтверджені документально, на харчування та фінансування інших власних потреб фізичної </w:t>
      </w:r>
      <w:r w:rsidRPr="008B264B">
        <w:rPr>
          <w:rFonts w:ascii="Times New Roman" w:eastAsia="Times New Roman" w:hAnsi="Times New Roman" w:cs="Times New Roman"/>
          <w:color w:val="000000"/>
          <w:sz w:val="24"/>
          <w:szCs w:val="24"/>
          <w:lang/>
        </w:rPr>
        <w:lastRenderedPageBreak/>
        <w:t>особи (добові витрати), понесені у зв’язку з таким відрядженням у межах території України, але не більш як 0,1 розміру мінімальної заробітної плати, встановленої законом на 1 січня податкового (звітного) року, в розрахунку за кожен календарний день такого відрядження, а для відряджень за кордон - не вище 80 євро за кожен календарний день такого відрядження за офіційним обмінним курсом гривні до євро, установленим Національним банком України, в розрахунку за кожен такий день.</w:t>
      </w:r>
    </w:p>
    <w:p w14:paraId="024232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3" w:name="n14139"/>
      <w:bookmarkEnd w:id="4823"/>
      <w:r w:rsidRPr="008B264B">
        <w:rPr>
          <w:rFonts w:ascii="Times New Roman" w:eastAsia="Times New Roman" w:hAnsi="Times New Roman" w:cs="Times New Roman"/>
          <w:i/>
          <w:iCs/>
          <w:color w:val="000000"/>
          <w:sz w:val="24"/>
          <w:szCs w:val="24"/>
          <w:lang/>
        </w:rPr>
        <w:t>{Абзац п'ятий підпункту "а" підпункту 170.9.1 пункту 170.9 статті 170 в редакції Закону </w:t>
      </w:r>
      <w:hyperlink r:id="rId2640" w:anchor="n10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09F96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4" w:name="n11228"/>
      <w:bookmarkEnd w:id="4824"/>
      <w:r w:rsidRPr="008B264B">
        <w:rPr>
          <w:rFonts w:ascii="Times New Roman" w:eastAsia="Times New Roman" w:hAnsi="Times New Roman" w:cs="Times New Roman"/>
          <w:color w:val="000000"/>
          <w:sz w:val="24"/>
          <w:szCs w:val="24"/>
          <w:lang/>
        </w:rPr>
        <w:t>Кабінетом Міністрів України окремо визначаються граничні </w:t>
      </w:r>
      <w:hyperlink r:id="rId2641" w:tgtFrame="_blank" w:history="1">
        <w:r w:rsidRPr="008B264B">
          <w:rPr>
            <w:rFonts w:ascii="Times New Roman" w:eastAsia="Times New Roman" w:hAnsi="Times New Roman" w:cs="Times New Roman"/>
            <w:color w:val="0000FF"/>
            <w:sz w:val="24"/>
            <w:szCs w:val="24"/>
            <w:u w:val="single"/>
            <w:lang/>
          </w:rPr>
          <w:t>норми добових</w:t>
        </w:r>
      </w:hyperlink>
      <w:r w:rsidRPr="008B264B">
        <w:rPr>
          <w:rFonts w:ascii="Times New Roman" w:eastAsia="Times New Roman" w:hAnsi="Times New Roman" w:cs="Times New Roman"/>
          <w:color w:val="000000"/>
          <w:sz w:val="24"/>
          <w:szCs w:val="24"/>
          <w:lang/>
        </w:rPr>
        <w:t> для відрядження членів екіпажів суден/інших транспортних засобів або суми, що спрямовуються на харчування таких членів екіпажів замість добових, якщо такі судна (інші транспортні засоби):</w:t>
      </w:r>
    </w:p>
    <w:p w14:paraId="455AC3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5" w:name="n11229"/>
      <w:bookmarkEnd w:id="4825"/>
      <w:r w:rsidRPr="008B264B">
        <w:rPr>
          <w:rFonts w:ascii="Times New Roman" w:eastAsia="Times New Roman" w:hAnsi="Times New Roman" w:cs="Times New Roman"/>
          <w:color w:val="000000"/>
          <w:sz w:val="24"/>
          <w:szCs w:val="24"/>
          <w:lang/>
        </w:rPr>
        <w:t>провадять комерційну, промислову, науково-пошукову чи риболовецьку діяльність за межами територіальних вод України;</w:t>
      </w:r>
    </w:p>
    <w:p w14:paraId="460C8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6" w:name="n11230"/>
      <w:bookmarkEnd w:id="4826"/>
      <w:r w:rsidRPr="008B264B">
        <w:rPr>
          <w:rFonts w:ascii="Times New Roman" w:eastAsia="Times New Roman" w:hAnsi="Times New Roman" w:cs="Times New Roman"/>
          <w:color w:val="000000"/>
          <w:sz w:val="24"/>
          <w:szCs w:val="24"/>
          <w:lang/>
        </w:rPr>
        <w:t>виконують міжнародні рейси для провадження навігаційної діяльності чи перевезення пасажирів або вантажів за плату за межами повітряного або митного кордону України;</w:t>
      </w:r>
    </w:p>
    <w:p w14:paraId="6938E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7" w:name="n11231"/>
      <w:bookmarkEnd w:id="4827"/>
      <w:r w:rsidRPr="008B264B">
        <w:rPr>
          <w:rFonts w:ascii="Times New Roman" w:eastAsia="Times New Roman" w:hAnsi="Times New Roman" w:cs="Times New Roman"/>
          <w:color w:val="000000"/>
          <w:sz w:val="24"/>
          <w:szCs w:val="24"/>
          <w:lang/>
        </w:rPr>
        <w:t>використовуються для проведення аварійно-рятувальних та пошуково-рятувальних робіт за межами митного кордону або територіальних вод України.</w:t>
      </w:r>
    </w:p>
    <w:bookmarkStart w:id="4828" w:name="n11232"/>
    <w:bookmarkEnd w:id="4828"/>
    <w:p w14:paraId="472387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"https://zakon.rada.gov.ua/laws/show/98-2011-%D0%BF" \l "n54"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Суми та склад витрат</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на відрядження державних службовців, а також інших осіб, що направляються у відрядження підприємствами, установами та організаціями, які повністю або частково утримуються (фінансуються) за рахунок бюджетних коштів, визначаються Кабінетом Міністрів України. Сума добових для таких категорій фізичних осіб не може перевищувати суму, встановлену цим підпунктом.</w:t>
      </w:r>
    </w:p>
    <w:p w14:paraId="390053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29" w:name="n11233"/>
      <w:bookmarkEnd w:id="4829"/>
      <w:r w:rsidRPr="008B264B">
        <w:rPr>
          <w:rFonts w:ascii="Times New Roman" w:eastAsia="Times New Roman" w:hAnsi="Times New Roman" w:cs="Times New Roman"/>
          <w:color w:val="000000"/>
          <w:sz w:val="24"/>
          <w:szCs w:val="24"/>
          <w:lang/>
        </w:rPr>
        <w:t>Сума добових визначається в разі відрядження:</w:t>
      </w:r>
    </w:p>
    <w:p w14:paraId="5C8625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0" w:name="n11234"/>
      <w:bookmarkEnd w:id="4830"/>
      <w:r w:rsidRPr="008B264B">
        <w:rPr>
          <w:rFonts w:ascii="Times New Roman" w:eastAsia="Times New Roman" w:hAnsi="Times New Roman" w:cs="Times New Roman"/>
          <w:color w:val="000000"/>
          <w:sz w:val="24"/>
          <w:szCs w:val="24"/>
          <w:lang/>
        </w:rPr>
        <w:t>у межах України та країн, в’їзд громадян України на територію яких не потребує наявності візи (дозволу на в’їзд), - згідно з наказом про відрядження та відповідними первинними документами;</w:t>
      </w:r>
    </w:p>
    <w:p w14:paraId="2154A2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1" w:name="n11235"/>
      <w:bookmarkEnd w:id="4831"/>
      <w:r w:rsidRPr="008B264B">
        <w:rPr>
          <w:rFonts w:ascii="Times New Roman" w:eastAsia="Times New Roman" w:hAnsi="Times New Roman" w:cs="Times New Roman"/>
          <w:color w:val="000000"/>
          <w:sz w:val="24"/>
          <w:szCs w:val="24"/>
          <w:lang/>
        </w:rPr>
        <w:t>до країн, в’їзд громадян України на територію яких здійснюється за наявності візи (дозволу на в’їзд), - згідно з наказом про відрядження за наявності документальних доказів перебування особи у відрядженні (відміток прикордонних служб про перетин кордону, проїзних документів, рахунків на проживання та/або будь-яких інших документів, що підтверджують фактичне перебування особи у відрядженні).</w:t>
      </w:r>
    </w:p>
    <w:p w14:paraId="46D8A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2" w:name="n14140"/>
      <w:bookmarkEnd w:id="4832"/>
      <w:r w:rsidRPr="008B264B">
        <w:rPr>
          <w:rFonts w:ascii="Times New Roman" w:eastAsia="Times New Roman" w:hAnsi="Times New Roman" w:cs="Times New Roman"/>
          <w:i/>
          <w:iCs/>
          <w:color w:val="000000"/>
          <w:sz w:val="24"/>
          <w:szCs w:val="24"/>
          <w:lang/>
        </w:rPr>
        <w:t>{Абзац тринадцятий підпункту "а" підпункту 170.9.1 пункту 170.9 статті 170 із змінами, внесеними згідно із Законом </w:t>
      </w:r>
      <w:hyperlink r:id="rId2642" w:anchor="n10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3185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3" w:name="n11236"/>
      <w:bookmarkEnd w:id="4833"/>
      <w:r w:rsidRPr="008B264B">
        <w:rPr>
          <w:rFonts w:ascii="Times New Roman" w:eastAsia="Times New Roman" w:hAnsi="Times New Roman" w:cs="Times New Roman"/>
          <w:color w:val="000000"/>
          <w:sz w:val="24"/>
          <w:szCs w:val="24"/>
          <w:lang/>
        </w:rPr>
        <w:t>За відсутності зазначених відповідних підтвердних документів сума добових включається до оподатковуваного доходу платника податку.</w:t>
      </w:r>
    </w:p>
    <w:p w14:paraId="63DFB8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4" w:name="n14141"/>
      <w:bookmarkEnd w:id="4834"/>
      <w:r w:rsidRPr="008B264B">
        <w:rPr>
          <w:rFonts w:ascii="Times New Roman" w:eastAsia="Times New Roman" w:hAnsi="Times New Roman" w:cs="Times New Roman"/>
          <w:i/>
          <w:iCs/>
          <w:color w:val="000000"/>
          <w:sz w:val="24"/>
          <w:szCs w:val="24"/>
          <w:lang/>
        </w:rPr>
        <w:t>{Абзац чотирнадцятий підпункту "а" підпункту 170.9.1 пункту 170.9 статті 170 із змінами, внесеними згідно із Законом </w:t>
      </w:r>
      <w:hyperlink r:id="rId2643" w:anchor="n10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B784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5" w:name="n11237"/>
      <w:bookmarkEnd w:id="4835"/>
      <w:r w:rsidRPr="008B264B">
        <w:rPr>
          <w:rFonts w:ascii="Times New Roman" w:eastAsia="Times New Roman" w:hAnsi="Times New Roman" w:cs="Times New Roman"/>
          <w:color w:val="000000"/>
          <w:sz w:val="24"/>
          <w:szCs w:val="24"/>
          <w:lang/>
        </w:rPr>
        <w:t>Будь-які витрати на відрядження не включаються до оподатковуваного доходу платника податку за наявності документів, що підтверджують зв’язок такого відрядження з господарською діяльністю роботодавця/сторони, що відряджає, зокрема (але не виключно) таких: запрошень сторони, що приймає, діяльність якої збігається з діяльністю роботодавця/сторони, що відряджає; укладеного договору чи контракту; інших документів, які встановлюють або засвідчують бажання встановити цивільно-правові відносини; документів, що засвідчують участь відрядженої особи в переговорах, конференціях або симпозіумах, інших заходах, які проводяться за тематикою, що збігається з господарською діяльністю роботодавця/сторони, що відряджає.</w:t>
      </w:r>
    </w:p>
    <w:p w14:paraId="536471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6" w:name="n11238"/>
      <w:bookmarkEnd w:id="4836"/>
      <w:r w:rsidRPr="008B264B">
        <w:rPr>
          <w:rFonts w:ascii="Times New Roman" w:eastAsia="Times New Roman" w:hAnsi="Times New Roman" w:cs="Times New Roman"/>
          <w:color w:val="000000"/>
          <w:sz w:val="24"/>
          <w:szCs w:val="24"/>
          <w:lang/>
        </w:rPr>
        <w:t xml:space="preserve">Якщо згідно із законами країни відрядження або країн, територією яких здійснюється транзитний рух до країни відрядження, обов’язково необхідно здійснити страхування життя або </w:t>
      </w:r>
      <w:r w:rsidRPr="008B264B">
        <w:rPr>
          <w:rFonts w:ascii="Times New Roman" w:eastAsia="Times New Roman" w:hAnsi="Times New Roman" w:cs="Times New Roman"/>
          <w:color w:val="000000"/>
          <w:sz w:val="24"/>
          <w:szCs w:val="24"/>
          <w:lang/>
        </w:rPr>
        <w:lastRenderedPageBreak/>
        <w:t>здоров’я відрядженої особи чи її цивільної відповідальності (у разі використання транспортних засобів), то витрати на таке страхування не включаються до оподатковуваного доходу платника податку.</w:t>
      </w:r>
    </w:p>
    <w:p w14:paraId="4F6263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7" w:name="n11239"/>
      <w:bookmarkEnd w:id="4837"/>
      <w:r w:rsidRPr="008B264B">
        <w:rPr>
          <w:rFonts w:ascii="Times New Roman" w:eastAsia="Times New Roman" w:hAnsi="Times New Roman" w:cs="Times New Roman"/>
          <w:color w:val="000000"/>
          <w:sz w:val="24"/>
          <w:szCs w:val="24"/>
          <w:lang/>
        </w:rPr>
        <w:t>За запитом представника контролюючого органу роботодавець/сторона, що відряджає, забезпечує за власний рахунок переклад підтвердних документів, виданих іноземною мовою;</w:t>
      </w:r>
    </w:p>
    <w:p w14:paraId="0C85CF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8" w:name="n11223"/>
      <w:bookmarkEnd w:id="4838"/>
      <w:r w:rsidRPr="008B264B">
        <w:rPr>
          <w:rFonts w:ascii="Times New Roman" w:eastAsia="Times New Roman" w:hAnsi="Times New Roman" w:cs="Times New Roman"/>
          <w:i/>
          <w:iCs/>
          <w:color w:val="000000"/>
          <w:sz w:val="24"/>
          <w:szCs w:val="24"/>
          <w:lang/>
        </w:rPr>
        <w:t>{Підпункт "а" підпункту 170.9.1 пункту 170.9 статті 170 в редакції Закону </w:t>
      </w:r>
      <w:hyperlink r:id="rId2644" w:anchor="n5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47D53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39" w:name="n4116"/>
      <w:bookmarkEnd w:id="4839"/>
      <w:r w:rsidRPr="008B264B">
        <w:rPr>
          <w:rFonts w:ascii="Times New Roman" w:eastAsia="Times New Roman" w:hAnsi="Times New Roman" w:cs="Times New Roman"/>
          <w:color w:val="000000"/>
          <w:sz w:val="24"/>
          <w:szCs w:val="24"/>
          <w:lang/>
        </w:rPr>
        <w:t>б) під звіт для виконання окремих цивільно-правових дій від імені та за рахунок особи, що їх видала, - у сумі, що перевищує суму фактичних витрат платника податку на виконання таких дій.</w:t>
      </w:r>
    </w:p>
    <w:p w14:paraId="56E8EC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0" w:name="n4117"/>
      <w:bookmarkEnd w:id="4840"/>
      <w:r w:rsidRPr="008B264B">
        <w:rPr>
          <w:rFonts w:ascii="Times New Roman" w:eastAsia="Times New Roman" w:hAnsi="Times New Roman" w:cs="Times New Roman"/>
          <w:color w:val="000000"/>
          <w:sz w:val="24"/>
          <w:szCs w:val="24"/>
          <w:lang/>
        </w:rPr>
        <w:t>Для цілей цього пункту до суми перевищення не включаються та не оподатковуються документально підтверджені витрати, здійснені за рахунок готівкових чи безготівкових коштів, наданих платнику податку під звіт роботодавцем на організацію та проведення прийомів, презентацій, свят, розваг та відпочинку, придбання та розповсюдження подарунків, у встановлених межах, що здійснені таким платником та/або іншими особами з рекламними цілями.</w:t>
      </w:r>
    </w:p>
    <w:p w14:paraId="40BEFF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1" w:name="n11240"/>
      <w:bookmarkEnd w:id="4841"/>
      <w:r w:rsidRPr="008B264B">
        <w:rPr>
          <w:rFonts w:ascii="Times New Roman" w:eastAsia="Times New Roman" w:hAnsi="Times New Roman" w:cs="Times New Roman"/>
          <w:i/>
          <w:iCs/>
          <w:color w:val="000000"/>
          <w:sz w:val="24"/>
          <w:szCs w:val="24"/>
          <w:lang/>
        </w:rPr>
        <w:t>{Абзац другий підпункту "б" підпункту 170.9.1 пункту 170.9 статті 170 із змінами, внесеними згідно із Законом </w:t>
      </w:r>
      <w:hyperlink r:id="rId2645" w:anchor="n5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A615D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2" w:name="n4118"/>
      <w:bookmarkEnd w:id="4842"/>
      <w:r w:rsidRPr="008B264B">
        <w:rPr>
          <w:rFonts w:ascii="Times New Roman" w:eastAsia="Times New Roman" w:hAnsi="Times New Roman" w:cs="Times New Roman"/>
          <w:color w:val="000000"/>
          <w:sz w:val="24"/>
          <w:szCs w:val="24"/>
          <w:lang/>
        </w:rPr>
        <w:t>Сума податку, нарахована на суму такого перевищення, утримується особою, що видала такі кошти, за рахунок будь-якого оподатковуваного доходу (після його оподаткування) платника податку за відповідний місяць, а у разі недостатності суми доходу - за рахунок оподатковуваних доходів наступних звітних місяців до повної сплати суми такого податку.</w:t>
      </w:r>
    </w:p>
    <w:p w14:paraId="045D9E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3" w:name="n4119"/>
      <w:bookmarkEnd w:id="4843"/>
      <w:r w:rsidRPr="008B264B">
        <w:rPr>
          <w:rFonts w:ascii="Times New Roman" w:eastAsia="Times New Roman" w:hAnsi="Times New Roman" w:cs="Times New Roman"/>
          <w:color w:val="000000"/>
          <w:sz w:val="24"/>
          <w:szCs w:val="24"/>
          <w:lang/>
        </w:rPr>
        <w:t>У разі коли платник податку припиняє трудові або цивільно-правові відносини з особою, що видала такі кошти, сума податку утримується за рахунок останньої виплати оподатковуваного доходу під час проведення остаточного розрахунку, а у разі недостатності суми такого доходу непогашена частина податку включається до податкового зобов'язання платника податку за наслідками звітного (податкового) року.</w:t>
      </w:r>
    </w:p>
    <w:p w14:paraId="169A28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4" w:name="n4120"/>
      <w:bookmarkEnd w:id="4844"/>
      <w:r w:rsidRPr="008B264B">
        <w:rPr>
          <w:rFonts w:ascii="Times New Roman" w:eastAsia="Times New Roman" w:hAnsi="Times New Roman" w:cs="Times New Roman"/>
          <w:color w:val="000000"/>
          <w:sz w:val="24"/>
          <w:szCs w:val="24"/>
          <w:lang/>
        </w:rPr>
        <w:t>Якщо повне утримання такої суми податку є неможливим внаслідок смерті платника податку чи визнання його судом безвісно відсутнім або оголошення його судом померлим, така сума утримується під час нарахування доходу за останній для такого платника податку податковий період, а в непогашеній частині визнається безнадійною до сплати.</w:t>
      </w:r>
    </w:p>
    <w:p w14:paraId="3309E2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5" w:name="n4121"/>
      <w:bookmarkEnd w:id="4845"/>
      <w:r w:rsidRPr="008B264B">
        <w:rPr>
          <w:rFonts w:ascii="Times New Roman" w:eastAsia="Times New Roman" w:hAnsi="Times New Roman" w:cs="Times New Roman"/>
          <w:color w:val="000000"/>
          <w:sz w:val="24"/>
          <w:szCs w:val="24"/>
          <w:lang/>
        </w:rPr>
        <w:t>170.9.2. Звіт про використання коштів, виданих на відрядження або під звіт, подається за </w:t>
      </w:r>
      <w:hyperlink r:id="rId2646" w:anchor="n17"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встановленою центральним органом виконавчої влади, що забезпечує формування та реалізує державну фінансову політику, до закінчення п'ятого банківського дня, що настає за днем, у якому платник податку:</w:t>
      </w:r>
    </w:p>
    <w:p w14:paraId="1D4AD2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6" w:name="n13444"/>
      <w:bookmarkEnd w:id="4846"/>
      <w:r w:rsidRPr="008B264B">
        <w:rPr>
          <w:rFonts w:ascii="Times New Roman" w:eastAsia="Times New Roman" w:hAnsi="Times New Roman" w:cs="Times New Roman"/>
          <w:i/>
          <w:iCs/>
          <w:color w:val="000000"/>
          <w:sz w:val="24"/>
          <w:szCs w:val="24"/>
          <w:lang/>
        </w:rPr>
        <w:t>{Абзац перший підпункту 170.9.2 пункту 170.9 статті 170 із змінами, внесеними згідно із Законом </w:t>
      </w:r>
      <w:hyperlink r:id="rId264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6B30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7" w:name="n4122"/>
      <w:bookmarkEnd w:id="4847"/>
      <w:r w:rsidRPr="008B264B">
        <w:rPr>
          <w:rFonts w:ascii="Times New Roman" w:eastAsia="Times New Roman" w:hAnsi="Times New Roman" w:cs="Times New Roman"/>
          <w:color w:val="000000"/>
          <w:sz w:val="24"/>
          <w:szCs w:val="24"/>
          <w:lang/>
        </w:rPr>
        <w:t>а) завершує таке відрядження;</w:t>
      </w:r>
    </w:p>
    <w:p w14:paraId="5D40A2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8" w:name="n4123"/>
      <w:bookmarkEnd w:id="4848"/>
      <w:r w:rsidRPr="008B264B">
        <w:rPr>
          <w:rFonts w:ascii="Times New Roman" w:eastAsia="Times New Roman" w:hAnsi="Times New Roman" w:cs="Times New Roman"/>
          <w:color w:val="000000"/>
          <w:sz w:val="24"/>
          <w:szCs w:val="24"/>
          <w:lang/>
        </w:rPr>
        <w:t>б) завершує виконання окремої цивільно-правової дії за дорученням та за рахунок особи, що видала кошти під звіт.</w:t>
      </w:r>
    </w:p>
    <w:p w14:paraId="13B18C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49" w:name="n4124"/>
      <w:bookmarkEnd w:id="4849"/>
      <w:r w:rsidRPr="008B264B">
        <w:rPr>
          <w:rFonts w:ascii="Times New Roman" w:eastAsia="Times New Roman" w:hAnsi="Times New Roman" w:cs="Times New Roman"/>
          <w:color w:val="000000"/>
          <w:sz w:val="24"/>
          <w:szCs w:val="24"/>
          <w:lang/>
        </w:rPr>
        <w:t>За наявності надміру витрачених коштів їх сума повертається платником податку в касу або зараховується на банківський рахунок особи, що їх видала, до або під час подання зазначеного звіту.</w:t>
      </w:r>
    </w:p>
    <w:p w14:paraId="1D622D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0" w:name="n4125"/>
      <w:bookmarkEnd w:id="4850"/>
      <w:r w:rsidRPr="008B264B">
        <w:rPr>
          <w:rFonts w:ascii="Times New Roman" w:eastAsia="Times New Roman" w:hAnsi="Times New Roman" w:cs="Times New Roman"/>
          <w:color w:val="000000"/>
          <w:sz w:val="24"/>
          <w:szCs w:val="24"/>
          <w:lang/>
        </w:rPr>
        <w:t>170.9.3. Дія цього пункту поширюється також на витрати, пов'язані з відрядженням чи виконанням деяких цивільно-правових дій, що були оплачені з використанням корпоративних платіжних карток, дорожніх, банківських або іменних чеків, інших платіжних документів, з урахуванням таких особливостей:</w:t>
      </w:r>
    </w:p>
    <w:p w14:paraId="5A704C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1" w:name="n4126"/>
      <w:bookmarkEnd w:id="4851"/>
      <w:r w:rsidRPr="008B264B">
        <w:rPr>
          <w:rFonts w:ascii="Times New Roman" w:eastAsia="Times New Roman" w:hAnsi="Times New Roman" w:cs="Times New Roman"/>
          <w:color w:val="000000"/>
          <w:sz w:val="24"/>
          <w:szCs w:val="24"/>
          <w:lang/>
        </w:rPr>
        <w:lastRenderedPageBreak/>
        <w:t>а) у разі якщо під час службових відряджень відряджена особа - платник податку отримав готівку з застосуванням платіжних карток, він подає звіт про використання виданих на відрядження коштів і повертає суму надміру витрачених коштів до закінчення третього банківського дня після завершення відрядження;</w:t>
      </w:r>
    </w:p>
    <w:p w14:paraId="21336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2" w:name="n4127"/>
      <w:bookmarkEnd w:id="4852"/>
      <w:r w:rsidRPr="008B264B">
        <w:rPr>
          <w:rFonts w:ascii="Times New Roman" w:eastAsia="Times New Roman" w:hAnsi="Times New Roman" w:cs="Times New Roman"/>
          <w:color w:val="000000"/>
          <w:sz w:val="24"/>
          <w:szCs w:val="24"/>
          <w:lang/>
        </w:rPr>
        <w:t>б) у разі якщо під час службових відряджень відряджена особа - платник податку застосував платіжні картки для проведення розрахунків у безготівковій формі, а строк подання платником податку звіту про використання виданих на відрядження коштів не перевищує 10 банківських днів, за наявності поважних причин роботодавець (самозайнята особа) може його продовжити до 20 банківських днів (до з'ясування питання в разі виявлення розбіжностей між відповідними звітними документами).</w:t>
      </w:r>
    </w:p>
    <w:p w14:paraId="4CA052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3" w:name="n4128"/>
      <w:bookmarkEnd w:id="4853"/>
      <w:r w:rsidRPr="008B264B">
        <w:rPr>
          <w:rFonts w:ascii="Times New Roman" w:eastAsia="Times New Roman" w:hAnsi="Times New Roman" w:cs="Times New Roman"/>
          <w:color w:val="000000"/>
          <w:sz w:val="24"/>
          <w:szCs w:val="24"/>
          <w:lang/>
        </w:rPr>
        <w:t>170.10. Оподаткування доходів, отриманих нерезидентами.</w:t>
      </w:r>
    </w:p>
    <w:p w14:paraId="3D79CB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4" w:name="n4129"/>
      <w:bookmarkEnd w:id="4854"/>
      <w:r w:rsidRPr="008B264B">
        <w:rPr>
          <w:rFonts w:ascii="Times New Roman" w:eastAsia="Times New Roman" w:hAnsi="Times New Roman" w:cs="Times New Roman"/>
          <w:color w:val="000000"/>
          <w:sz w:val="24"/>
          <w:szCs w:val="24"/>
          <w:lang/>
        </w:rPr>
        <w:t>170.10.1. Доходи з джерелом їх походження в Україні, що нараховуються (виплачуються, надаються) на користь нерезидентів, оподатковуються за правилами та ставками, визначеними для резидентів (з урахуванням особливостей, визначених деякими нормами цього розділу для нерезидентів).</w:t>
      </w:r>
    </w:p>
    <w:p w14:paraId="04890E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5" w:name="n4130"/>
      <w:bookmarkEnd w:id="4855"/>
      <w:r w:rsidRPr="008B264B">
        <w:rPr>
          <w:rFonts w:ascii="Times New Roman" w:eastAsia="Times New Roman" w:hAnsi="Times New Roman" w:cs="Times New Roman"/>
          <w:color w:val="000000"/>
          <w:sz w:val="24"/>
          <w:szCs w:val="24"/>
          <w:lang/>
        </w:rPr>
        <w:t>170.10.2. У разі якщо доходи з джерелом їх походження в Україні виплачуються нерезиденту іншим нерезидентом, то вони мають зараховуватися на рахунок, відкритий таким нерезидентом у банку-резиденті, режим якого встановлюється Національним банком України. При цьому такий банк-резидент вважається податковим агентом під час проведення будь-яких видаткових операцій з такого рахунка.</w:t>
      </w:r>
    </w:p>
    <w:p w14:paraId="18F9BC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6" w:name="n4131"/>
      <w:bookmarkEnd w:id="4856"/>
      <w:r w:rsidRPr="008B264B">
        <w:rPr>
          <w:rFonts w:ascii="Times New Roman" w:eastAsia="Times New Roman" w:hAnsi="Times New Roman" w:cs="Times New Roman"/>
          <w:color w:val="000000"/>
          <w:sz w:val="24"/>
          <w:szCs w:val="24"/>
          <w:lang/>
        </w:rPr>
        <w:t>У разі виплати нерезидентом таких доходів іншому нерезиденту готівкою або в негрошовій формі нерезидент - отримувач такого доходу зобов'язаний самостійно нарахувати та сплатити (перерахувати) податок до бюджету протягом 20 календарних днів після отримання таких доходів, але не пізніше закінчення строку його перебування в Україні.</w:t>
      </w:r>
    </w:p>
    <w:bookmarkStart w:id="4857" w:name="n4132"/>
    <w:bookmarkEnd w:id="4857"/>
    <w:p w14:paraId="3FCD5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"https://zakon.rada.gov.ua/laws/show/1226-2010-%D0%BF"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виконання норм цього підпункту визначається Кабінетом Міністрів України за погодженням з Національним банком України.</w:t>
      </w:r>
    </w:p>
    <w:p w14:paraId="42AA4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8" w:name="n4133"/>
      <w:bookmarkEnd w:id="4858"/>
      <w:r w:rsidRPr="008B264B">
        <w:rPr>
          <w:rFonts w:ascii="Times New Roman" w:eastAsia="Times New Roman" w:hAnsi="Times New Roman" w:cs="Times New Roman"/>
          <w:color w:val="000000"/>
          <w:sz w:val="24"/>
          <w:szCs w:val="24"/>
          <w:lang/>
        </w:rPr>
        <w:t>170.10.3. У разі якщо доходи з джерелом їх походження в Україні виплачуються нерезиденту резидентом - юридичною або самозайнятою фізичною особою, такий резидент вважається податковим агентом нерезидента щодо таких доходів. Під час укладення договору з нерезидентом, умови якого передбачають отримання таким нерезидентом доходу з джерелом його походження в Україні, резидент зобов'язаний зазначити в договорі ставку податку, що буде застосована до таких доходів.</w:t>
      </w:r>
    </w:p>
    <w:p w14:paraId="1A9B70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59" w:name="n4134"/>
      <w:bookmarkEnd w:id="4859"/>
      <w:r w:rsidRPr="008B264B">
        <w:rPr>
          <w:rFonts w:ascii="Times New Roman" w:eastAsia="Times New Roman" w:hAnsi="Times New Roman" w:cs="Times New Roman"/>
          <w:color w:val="000000"/>
          <w:sz w:val="24"/>
          <w:szCs w:val="24"/>
          <w:lang/>
        </w:rPr>
        <w:t>170.10.4. За результатами звітного податкового року, в якому іноземець набув статусу резидента України, він має подати річну податкову декларацію, в якій зазначає доходи з джерелом їх походження в Україні та іноземні доходи.</w:t>
      </w:r>
    </w:p>
    <w:p w14:paraId="582FB9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0" w:name="n4135"/>
      <w:bookmarkEnd w:id="4860"/>
      <w:r w:rsidRPr="008B264B">
        <w:rPr>
          <w:rFonts w:ascii="Times New Roman" w:eastAsia="Times New Roman" w:hAnsi="Times New Roman" w:cs="Times New Roman"/>
          <w:color w:val="000000"/>
          <w:sz w:val="24"/>
          <w:szCs w:val="24"/>
          <w:lang/>
        </w:rPr>
        <w:t>170.10.5. Оподаткування доходів нерезидентів від участі в гастрольних заходах.</w:t>
      </w:r>
    </w:p>
    <w:p w14:paraId="39EFF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1" w:name="n4136"/>
      <w:bookmarkEnd w:id="4861"/>
      <w:r w:rsidRPr="008B264B">
        <w:rPr>
          <w:rFonts w:ascii="Times New Roman" w:eastAsia="Times New Roman" w:hAnsi="Times New Roman" w:cs="Times New Roman"/>
          <w:color w:val="000000"/>
          <w:sz w:val="24"/>
          <w:szCs w:val="24"/>
          <w:lang/>
        </w:rPr>
        <w:t>Для цілей цього розділу гастрольними заходами визначаються видовищні заходи (концерти, вистави, циркові, лекційно-концертні, розважальні програми, творчі вечори, виступи пересувних циркових колективів, пересувні механізовані атракціони типу "Луна-парк" тощо) за участю закладів культури (підприємств, установ чи організацій), у тому числі самостійних професійних колективів та виконавців сольних концертів.</w:t>
      </w:r>
    </w:p>
    <w:p w14:paraId="473AA6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2" w:name="n4137"/>
      <w:bookmarkEnd w:id="4862"/>
      <w:r w:rsidRPr="008B264B">
        <w:rPr>
          <w:rFonts w:ascii="Times New Roman" w:eastAsia="Times New Roman" w:hAnsi="Times New Roman" w:cs="Times New Roman"/>
          <w:color w:val="000000"/>
          <w:sz w:val="24"/>
          <w:szCs w:val="24"/>
          <w:lang/>
        </w:rPr>
        <w:t>Дія цього підпункту не поширюється на благодійні гастрольні заходи, що проводяться відповідно до законодавства України.</w:t>
      </w:r>
    </w:p>
    <w:p w14:paraId="301EEA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3" w:name="n4138"/>
      <w:bookmarkEnd w:id="4863"/>
      <w:r w:rsidRPr="008B264B">
        <w:rPr>
          <w:rFonts w:ascii="Times New Roman" w:eastAsia="Times New Roman" w:hAnsi="Times New Roman" w:cs="Times New Roman"/>
          <w:color w:val="000000"/>
          <w:sz w:val="24"/>
          <w:szCs w:val="24"/>
          <w:lang/>
        </w:rPr>
        <w:t>Оподаткування доходів нерезидентів від участі в гастрольних заходах здійснюється податковими агентами на загальних підставах, визначених цим розділом.</w:t>
      </w:r>
    </w:p>
    <w:p w14:paraId="2D1843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4" w:name="n4139"/>
      <w:bookmarkEnd w:id="4864"/>
      <w:r w:rsidRPr="008B264B">
        <w:rPr>
          <w:rFonts w:ascii="Times New Roman" w:eastAsia="Times New Roman" w:hAnsi="Times New Roman" w:cs="Times New Roman"/>
          <w:color w:val="000000"/>
          <w:sz w:val="24"/>
          <w:szCs w:val="24"/>
          <w:lang/>
        </w:rPr>
        <w:t xml:space="preserve">До податкових агентів учасників гастрольних заходів прирівнюються суб'єкти господарювання - концертні майданчики, з якими безпосередньо укладаються договори оренди </w:t>
      </w:r>
      <w:r w:rsidRPr="008B264B">
        <w:rPr>
          <w:rFonts w:ascii="Times New Roman" w:eastAsia="Times New Roman" w:hAnsi="Times New Roman" w:cs="Times New Roman"/>
          <w:color w:val="000000"/>
          <w:sz w:val="24"/>
          <w:szCs w:val="24"/>
          <w:lang/>
        </w:rPr>
        <w:lastRenderedPageBreak/>
        <w:t>на провадження гастрольного заходу. Суб'єкти господарювання - концертні майданчики виконують функції податкових агентів в частині перевірки повноти та своєчасності сплати податку іноземними учасниками гастрольних заходів (їх представником) або самостійно сплачують податок за відповідним договором з таким учасником (його представником) до бюджету за місцем розташування таких концертних майданчиків.</w:t>
      </w:r>
    </w:p>
    <w:p w14:paraId="16D86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5" w:name="n4140"/>
      <w:bookmarkEnd w:id="4865"/>
      <w:r w:rsidRPr="008B264B">
        <w:rPr>
          <w:rFonts w:ascii="Times New Roman" w:eastAsia="Times New Roman" w:hAnsi="Times New Roman" w:cs="Times New Roman"/>
          <w:color w:val="000000"/>
          <w:sz w:val="24"/>
          <w:szCs w:val="24"/>
          <w:lang/>
        </w:rPr>
        <w:t>170.11. Оподаткування іноземних доходів.</w:t>
      </w:r>
    </w:p>
    <w:p w14:paraId="06163D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6" w:name="n4141"/>
      <w:bookmarkEnd w:id="4866"/>
      <w:r w:rsidRPr="008B264B">
        <w:rPr>
          <w:rFonts w:ascii="Times New Roman" w:eastAsia="Times New Roman" w:hAnsi="Times New Roman" w:cs="Times New Roman"/>
          <w:color w:val="000000"/>
          <w:sz w:val="24"/>
          <w:szCs w:val="24"/>
          <w:lang/>
        </w:rPr>
        <w:t>170.11.1. У разі якщо джерело виплат будь-яких оподатковуваних доходів є іноземним, сума такого доходу включається до загального річного оподатковуваного доходу платника податку - отримувача, який зобов'язаний подати річну податкову декларацію, та оподатковується за ставкою, визначеною </w:t>
      </w:r>
      <w:hyperlink r:id="rId2648"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 крім доходів, визначених </w:t>
      </w:r>
      <w:hyperlink r:id="rId2649" w:anchor="n14567" w:history="1">
        <w:r w:rsidRPr="008B264B">
          <w:rPr>
            <w:rFonts w:ascii="Times New Roman" w:eastAsia="Times New Roman" w:hAnsi="Times New Roman" w:cs="Times New Roman"/>
            <w:color w:val="0000FF"/>
            <w:sz w:val="24"/>
            <w:szCs w:val="24"/>
            <w:u w:val="single"/>
            <w:lang/>
          </w:rPr>
          <w:t>підпунктом 167.5.4</w:t>
        </w:r>
      </w:hyperlink>
      <w:r w:rsidRPr="008B264B">
        <w:rPr>
          <w:rFonts w:ascii="Times New Roman" w:eastAsia="Times New Roman" w:hAnsi="Times New Roman" w:cs="Times New Roman"/>
          <w:color w:val="000000"/>
          <w:sz w:val="24"/>
          <w:szCs w:val="24"/>
          <w:lang/>
        </w:rPr>
        <w:t> пункту 167.5 статті 167 цього Кодексу, які оподатковуються за ставкою, визначеною підпунктом 167.5.4 пункту 167.5 статті 167 цього Кодексу, а також крім доходів, визначених </w:t>
      </w:r>
      <w:hyperlink r:id="rId2650" w:anchor="n3772" w:history="1">
        <w:r w:rsidRPr="008B264B">
          <w:rPr>
            <w:rFonts w:ascii="Times New Roman" w:eastAsia="Times New Roman" w:hAnsi="Times New Roman" w:cs="Times New Roman"/>
            <w:color w:val="0000FF"/>
            <w:sz w:val="24"/>
            <w:szCs w:val="24"/>
            <w:u w:val="single"/>
            <w:lang/>
          </w:rPr>
          <w:t>підпунктом 165.1.27</w:t>
        </w:r>
      </w:hyperlink>
      <w:r w:rsidRPr="008B264B">
        <w:rPr>
          <w:rFonts w:ascii="Times New Roman" w:eastAsia="Times New Roman" w:hAnsi="Times New Roman" w:cs="Times New Roman"/>
          <w:color w:val="000000"/>
          <w:sz w:val="24"/>
          <w:szCs w:val="24"/>
          <w:lang/>
        </w:rPr>
        <w:t> пункту 165.1 статті 165 цього Кодексу.</w:t>
      </w:r>
    </w:p>
    <w:p w14:paraId="1E45B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7" w:name="n4142"/>
      <w:bookmarkEnd w:id="4867"/>
      <w:r w:rsidRPr="008B264B">
        <w:rPr>
          <w:rFonts w:ascii="Times New Roman" w:eastAsia="Times New Roman" w:hAnsi="Times New Roman" w:cs="Times New Roman"/>
          <w:i/>
          <w:iCs/>
          <w:color w:val="000000"/>
          <w:sz w:val="24"/>
          <w:szCs w:val="24"/>
          <w:lang/>
        </w:rPr>
        <w:t>{Абзац другий підпункту 170.11.1 пункту 170.11 статті 170 виключено на підставі Закону </w:t>
      </w:r>
      <w:hyperlink r:id="rId2651" w:anchor="n58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365F5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8" w:name="n9544"/>
      <w:bookmarkEnd w:id="4868"/>
      <w:r w:rsidRPr="008B264B">
        <w:rPr>
          <w:rFonts w:ascii="Times New Roman" w:eastAsia="Times New Roman" w:hAnsi="Times New Roman" w:cs="Times New Roman"/>
          <w:i/>
          <w:iCs/>
          <w:color w:val="000000"/>
          <w:sz w:val="24"/>
          <w:szCs w:val="24"/>
          <w:lang/>
        </w:rPr>
        <w:t>{Підпункт 170.11.1 пункту 170.11 статті 170 із змінами, внесеними згідно із Законами </w:t>
      </w:r>
      <w:hyperlink r:id="rId2652" w:anchor="n10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2653" w:anchor="n15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2654" w:anchor="n102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2655" w:anchor="n20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98DD4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69" w:name="n4144"/>
      <w:bookmarkEnd w:id="4869"/>
      <w:r w:rsidRPr="008B264B">
        <w:rPr>
          <w:rFonts w:ascii="Times New Roman" w:eastAsia="Times New Roman" w:hAnsi="Times New Roman" w:cs="Times New Roman"/>
          <w:color w:val="000000"/>
          <w:sz w:val="24"/>
          <w:szCs w:val="24"/>
          <w:lang/>
        </w:rPr>
        <w:t>170.11.2. У разі якщо згідно з нормами міжнародних договорів, згода на обов'язковість яких надана Верховною Радою України, платник податку може зменшити суму річного податкового зобов'язання на суму податків, сплачених за кордоном, він визначає суму такого зменшення за зазначеними підставами у річній податковій декларації.</w:t>
      </w:r>
    </w:p>
    <w:p w14:paraId="412B3F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0" w:name="n4145"/>
      <w:bookmarkEnd w:id="4870"/>
      <w:r w:rsidRPr="008B264B">
        <w:rPr>
          <w:rFonts w:ascii="Times New Roman" w:eastAsia="Times New Roman" w:hAnsi="Times New Roman" w:cs="Times New Roman"/>
          <w:color w:val="000000"/>
          <w:sz w:val="24"/>
          <w:szCs w:val="24"/>
          <w:lang/>
        </w:rPr>
        <w:t>У разі відсутності в платника податку підтверджуючих документів щодо суми отриманого ним доходу з іноземних джерел та суми сплаченого ним податку в іноземній юрисдикції, оформлених відповідно до </w:t>
      </w:r>
      <w:hyperlink r:id="rId2656" w:anchor="n250" w:history="1">
        <w:r w:rsidRPr="008B264B">
          <w:rPr>
            <w:rFonts w:ascii="Times New Roman" w:eastAsia="Times New Roman" w:hAnsi="Times New Roman" w:cs="Times New Roman"/>
            <w:color w:val="0000FF"/>
            <w:sz w:val="24"/>
            <w:szCs w:val="24"/>
            <w:u w:val="single"/>
            <w:lang/>
          </w:rPr>
          <w:t>статті 13</w:t>
        </w:r>
      </w:hyperlink>
      <w:r w:rsidRPr="008B264B">
        <w:rPr>
          <w:rFonts w:ascii="Times New Roman" w:eastAsia="Times New Roman" w:hAnsi="Times New Roman" w:cs="Times New Roman"/>
          <w:color w:val="000000"/>
          <w:sz w:val="24"/>
          <w:szCs w:val="24"/>
          <w:lang/>
        </w:rPr>
        <w:t> цього Кодексу, такий платник зобов'язаний подати до контролюючого органу за своєю податковою адресою заяву про перенесення строку подання податкової декларації до 31 грудня року, наступного за звітним. У разі неподання в установлений строк податкової декларації платник податків несе відповідальність, встановлену цим Кодексом та іншими законами.</w:t>
      </w:r>
    </w:p>
    <w:p w14:paraId="333F6E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1" w:name="n4146"/>
      <w:bookmarkEnd w:id="4871"/>
      <w:r w:rsidRPr="008B264B">
        <w:rPr>
          <w:rFonts w:ascii="Times New Roman" w:eastAsia="Times New Roman" w:hAnsi="Times New Roman" w:cs="Times New Roman"/>
          <w:color w:val="000000"/>
          <w:sz w:val="24"/>
          <w:szCs w:val="24"/>
          <w:lang/>
        </w:rPr>
        <w:t>170.11.3. Не зараховуються у зменшення суми річного податкового зобов'язання платника податку:</w:t>
      </w:r>
    </w:p>
    <w:p w14:paraId="237214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2" w:name="n4147"/>
      <w:bookmarkEnd w:id="4872"/>
      <w:r w:rsidRPr="008B264B">
        <w:rPr>
          <w:rFonts w:ascii="Times New Roman" w:eastAsia="Times New Roman" w:hAnsi="Times New Roman" w:cs="Times New Roman"/>
          <w:color w:val="000000"/>
          <w:sz w:val="24"/>
          <w:szCs w:val="24"/>
          <w:lang/>
        </w:rPr>
        <w:t>а) податки на капітал (приріст капіталу), податки на майно;</w:t>
      </w:r>
    </w:p>
    <w:p w14:paraId="6A8F2A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3" w:name="n4148"/>
      <w:bookmarkEnd w:id="4873"/>
      <w:r w:rsidRPr="008B264B">
        <w:rPr>
          <w:rFonts w:ascii="Times New Roman" w:eastAsia="Times New Roman" w:hAnsi="Times New Roman" w:cs="Times New Roman"/>
          <w:color w:val="000000"/>
          <w:sz w:val="24"/>
          <w:szCs w:val="24"/>
          <w:lang/>
        </w:rPr>
        <w:t>б) поштові податки;</w:t>
      </w:r>
    </w:p>
    <w:p w14:paraId="116CB5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4" w:name="n4149"/>
      <w:bookmarkEnd w:id="4874"/>
      <w:r w:rsidRPr="008B264B">
        <w:rPr>
          <w:rFonts w:ascii="Times New Roman" w:eastAsia="Times New Roman" w:hAnsi="Times New Roman" w:cs="Times New Roman"/>
          <w:color w:val="000000"/>
          <w:sz w:val="24"/>
          <w:szCs w:val="24"/>
          <w:lang/>
        </w:rPr>
        <w:t>в) податки на реалізацію (продаж);</w:t>
      </w:r>
    </w:p>
    <w:p w14:paraId="128B59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5" w:name="n4150"/>
      <w:bookmarkEnd w:id="4875"/>
      <w:r w:rsidRPr="008B264B">
        <w:rPr>
          <w:rFonts w:ascii="Times New Roman" w:eastAsia="Times New Roman" w:hAnsi="Times New Roman" w:cs="Times New Roman"/>
          <w:color w:val="000000"/>
          <w:sz w:val="24"/>
          <w:szCs w:val="24"/>
          <w:lang/>
        </w:rPr>
        <w:t>г) інші непрямі податки незалежно від того, чи належать вони до категорії прибуткових податків або вважаються окремими податками згідно із законодавством іноземних держав.</w:t>
      </w:r>
    </w:p>
    <w:p w14:paraId="06FB23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6" w:name="n4151"/>
      <w:bookmarkEnd w:id="4876"/>
      <w:r w:rsidRPr="008B264B">
        <w:rPr>
          <w:rFonts w:ascii="Times New Roman" w:eastAsia="Times New Roman" w:hAnsi="Times New Roman" w:cs="Times New Roman"/>
          <w:color w:val="000000"/>
          <w:sz w:val="24"/>
          <w:szCs w:val="24"/>
          <w:lang/>
        </w:rPr>
        <w:t>170.11.4. Сума податку з іноземного доходу платника податку - резидента, сплаченого за межами України, не може перевищувати суму податку, розраховану на базі загального річного оподатковуваного доходу такого платника податку відповідно до законодавства України.</w:t>
      </w:r>
    </w:p>
    <w:p w14:paraId="6B88ED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7" w:name="n4152"/>
      <w:bookmarkEnd w:id="4877"/>
      <w:r w:rsidRPr="008B264B">
        <w:rPr>
          <w:rFonts w:ascii="Times New Roman" w:eastAsia="Times New Roman" w:hAnsi="Times New Roman" w:cs="Times New Roman"/>
          <w:color w:val="000000"/>
          <w:sz w:val="24"/>
          <w:szCs w:val="24"/>
          <w:lang/>
        </w:rPr>
        <w:t>170.12. Оподаткування доходів, отриманих фізичними особами у вигляді плати (відсотків), що розподіляється на пайові членські внески членів кредитної спілки.</w:t>
      </w:r>
    </w:p>
    <w:p w14:paraId="7F0070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78" w:name="n4153"/>
      <w:bookmarkEnd w:id="4878"/>
      <w:r w:rsidRPr="008B264B">
        <w:rPr>
          <w:rFonts w:ascii="Times New Roman" w:eastAsia="Times New Roman" w:hAnsi="Times New Roman" w:cs="Times New Roman"/>
          <w:color w:val="000000"/>
          <w:sz w:val="24"/>
          <w:szCs w:val="24"/>
          <w:lang/>
        </w:rPr>
        <w:t>170.12.1. Податковим агентом платника податку при нарахуванні (виплаті) на його користь плати (відсотків), що розподіляється на пайові членські внески членів кредитної спілки, є кредитна спілка, що оподатковує такий дохід за ставкою, визначеною </w:t>
      </w:r>
      <w:hyperlink r:id="rId2657"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4EE50625"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4879" w:name="n10032"/>
      <w:bookmarkEnd w:id="4879"/>
      <w:r w:rsidRPr="008B264B">
        <w:rPr>
          <w:rFonts w:ascii="Times New Roman" w:eastAsia="Times New Roman" w:hAnsi="Times New Roman" w:cs="Times New Roman"/>
          <w:i/>
          <w:iCs/>
          <w:color w:val="000000"/>
          <w:sz w:val="24"/>
          <w:szCs w:val="24"/>
          <w:lang/>
        </w:rPr>
        <w:lastRenderedPageBreak/>
        <w:t>{Підпункт 170.12.1 пункту 170.12 статті 170 із змінами, внесеними згідно із Законами </w:t>
      </w:r>
      <w:hyperlink r:id="rId2658" w:anchor="n44"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 </w:t>
      </w:r>
      <w:hyperlink r:id="rId2659" w:anchor="n5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2660" w:anchor="n15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3299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0" w:name="n4154"/>
      <w:bookmarkEnd w:id="4880"/>
      <w:r w:rsidRPr="008B264B">
        <w:rPr>
          <w:rFonts w:ascii="Times New Roman" w:eastAsia="Times New Roman" w:hAnsi="Times New Roman" w:cs="Times New Roman"/>
          <w:color w:val="000000"/>
          <w:sz w:val="24"/>
          <w:szCs w:val="24"/>
          <w:lang/>
        </w:rPr>
        <w:t>170.12.2. Кредитна спілка, що виплачує плату (відсотки), що розподіляється на пайові членські внески членів кредитної спілки, платникам цього податку, надає контролюючому органу у строки, встановлені цим Кодексом для податкового кварталу, податковий розрахунок про нараховану плату (відсотки) та утриманий на неї податок.</w:t>
      </w:r>
    </w:p>
    <w:p w14:paraId="2D3200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1" w:name="n4155"/>
      <w:bookmarkEnd w:id="4881"/>
      <w:r w:rsidRPr="008B264B">
        <w:rPr>
          <w:rFonts w:ascii="Times New Roman" w:eastAsia="Times New Roman" w:hAnsi="Times New Roman" w:cs="Times New Roman"/>
          <w:b/>
          <w:bCs/>
          <w:color w:val="000000"/>
          <w:sz w:val="24"/>
          <w:szCs w:val="24"/>
          <w:lang/>
        </w:rPr>
        <w:t>Стаття 171.</w:t>
      </w:r>
      <w:r w:rsidRPr="008B264B">
        <w:rPr>
          <w:rFonts w:ascii="Times New Roman" w:eastAsia="Times New Roman" w:hAnsi="Times New Roman" w:cs="Times New Roman"/>
          <w:color w:val="000000"/>
          <w:sz w:val="24"/>
          <w:szCs w:val="24"/>
          <w:lang/>
        </w:rPr>
        <w:t> Особи, відповідальні за утримання (нарахування) та сплату (перерахування) податку до бюджету</w:t>
      </w:r>
    </w:p>
    <w:p w14:paraId="7253F6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2" w:name="n4156"/>
      <w:bookmarkEnd w:id="4882"/>
      <w:r w:rsidRPr="008B264B">
        <w:rPr>
          <w:rFonts w:ascii="Times New Roman" w:eastAsia="Times New Roman" w:hAnsi="Times New Roman" w:cs="Times New Roman"/>
          <w:color w:val="000000"/>
          <w:sz w:val="24"/>
          <w:szCs w:val="24"/>
          <w:lang/>
        </w:rPr>
        <w:t>171.1. Особою, відповідальною за нарахування, утримання та сплату (перерахування) до бюджету податку з доходів у вигляді заробітної плати, є роботодавець, який виплачує такі доходи на користь платника податку.</w:t>
      </w:r>
    </w:p>
    <w:p w14:paraId="1A2A5F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3" w:name="n4157"/>
      <w:bookmarkEnd w:id="4883"/>
      <w:r w:rsidRPr="008B264B">
        <w:rPr>
          <w:rFonts w:ascii="Times New Roman" w:eastAsia="Times New Roman" w:hAnsi="Times New Roman" w:cs="Times New Roman"/>
          <w:color w:val="000000"/>
          <w:sz w:val="24"/>
          <w:szCs w:val="24"/>
          <w:lang/>
        </w:rPr>
        <w:t>171.2. Особою, відповідальною за нарахування, утримання та сплату (перерахування) до бюджету податку з інших доходів, є:</w:t>
      </w:r>
    </w:p>
    <w:p w14:paraId="6694FA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4" w:name="n4158"/>
      <w:bookmarkEnd w:id="4884"/>
      <w:r w:rsidRPr="008B264B">
        <w:rPr>
          <w:rFonts w:ascii="Times New Roman" w:eastAsia="Times New Roman" w:hAnsi="Times New Roman" w:cs="Times New Roman"/>
          <w:color w:val="000000"/>
          <w:sz w:val="24"/>
          <w:szCs w:val="24"/>
          <w:lang/>
        </w:rPr>
        <w:t>а) податковий агент - для оподатковуваних доходів з джерела їх походження в Україні;</w:t>
      </w:r>
    </w:p>
    <w:p w14:paraId="7C565D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5" w:name="n4159"/>
      <w:bookmarkEnd w:id="4885"/>
      <w:r w:rsidRPr="008B264B">
        <w:rPr>
          <w:rFonts w:ascii="Times New Roman" w:eastAsia="Times New Roman" w:hAnsi="Times New Roman" w:cs="Times New Roman"/>
          <w:color w:val="000000"/>
          <w:sz w:val="24"/>
          <w:szCs w:val="24"/>
          <w:lang/>
        </w:rPr>
        <w:t>б) платник податку - для іноземних доходів та доходів, джерело виплати яких належить особам, звільненим від обов'язків нарахування, утримання або сплати (перерахування) податку до бюджету.</w:t>
      </w:r>
    </w:p>
    <w:p w14:paraId="1840EC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6" w:name="n4160"/>
      <w:bookmarkEnd w:id="4886"/>
      <w:r w:rsidRPr="008B264B">
        <w:rPr>
          <w:rFonts w:ascii="Times New Roman" w:eastAsia="Times New Roman" w:hAnsi="Times New Roman" w:cs="Times New Roman"/>
          <w:b/>
          <w:bCs/>
          <w:color w:val="000000"/>
          <w:sz w:val="24"/>
          <w:szCs w:val="24"/>
          <w:lang/>
        </w:rPr>
        <w:t>Стаття 172.</w:t>
      </w:r>
      <w:r w:rsidRPr="008B264B">
        <w:rPr>
          <w:rFonts w:ascii="Times New Roman" w:eastAsia="Times New Roman" w:hAnsi="Times New Roman" w:cs="Times New Roman"/>
          <w:color w:val="000000"/>
          <w:sz w:val="24"/>
          <w:szCs w:val="24"/>
          <w:lang/>
        </w:rPr>
        <w:t> Порядок оподаткування операцій з продажу (обміну) об'єктів нерухомого майна</w:t>
      </w:r>
    </w:p>
    <w:p w14:paraId="0DC749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7" w:name="n4161"/>
      <w:bookmarkEnd w:id="4887"/>
      <w:r w:rsidRPr="008B264B">
        <w:rPr>
          <w:rFonts w:ascii="Times New Roman" w:eastAsia="Times New Roman" w:hAnsi="Times New Roman" w:cs="Times New Roman"/>
          <w:color w:val="000000"/>
          <w:sz w:val="24"/>
          <w:szCs w:val="24"/>
          <w:lang/>
        </w:rPr>
        <w:t>172.1. Дохід, отриманий платником податку від продажу (обміну) не частіше одного разу протягом звітного податкового року житлового будинку, квартири або їх частини, кімнати, садового (дачного) будинку (включаючи земельну ділянку, на якій розташовані такі об'єкти, а також господарсько-побутові споруди та будівлі, розташовані на такій земельній ділянці), а також земельної ділянки, що не перевищує норми безоплатної передачі, визначеної статтею 121 </w:t>
      </w:r>
      <w:hyperlink r:id="rId2661" w:tgtFrame="_blank" w:history="1">
        <w:r w:rsidRPr="008B264B">
          <w:rPr>
            <w:rFonts w:ascii="Times New Roman" w:eastAsia="Times New Roman" w:hAnsi="Times New Roman" w:cs="Times New Roman"/>
            <w:color w:val="0000FF"/>
            <w:sz w:val="24"/>
            <w:szCs w:val="24"/>
            <w:u w:val="single"/>
            <w:lang/>
          </w:rPr>
          <w:t>Земельного кодексу України</w:t>
        </w:r>
      </w:hyperlink>
      <w:r w:rsidRPr="008B264B">
        <w:rPr>
          <w:rFonts w:ascii="Times New Roman" w:eastAsia="Times New Roman" w:hAnsi="Times New Roman" w:cs="Times New Roman"/>
          <w:color w:val="000000"/>
          <w:sz w:val="24"/>
          <w:szCs w:val="24"/>
          <w:lang/>
        </w:rPr>
        <w:t> залежно від її призначення, та за умови перебування такого майна у власності платника податку понад три роки, не оподатковується.</w:t>
      </w:r>
    </w:p>
    <w:p w14:paraId="314E61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8" w:name="n4162"/>
      <w:bookmarkEnd w:id="4888"/>
      <w:r w:rsidRPr="008B264B">
        <w:rPr>
          <w:rFonts w:ascii="Times New Roman" w:eastAsia="Times New Roman" w:hAnsi="Times New Roman" w:cs="Times New Roman"/>
          <w:color w:val="000000"/>
          <w:sz w:val="24"/>
          <w:szCs w:val="24"/>
          <w:lang/>
        </w:rPr>
        <w:t>Умова щодо перебування такого майна у власності платника податку понад три роки не розповсюджується на майно, отримане таким платником у спадщину.</w:t>
      </w:r>
    </w:p>
    <w:p w14:paraId="26F930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89" w:name="n4163"/>
      <w:bookmarkEnd w:id="4889"/>
      <w:r w:rsidRPr="008B264B">
        <w:rPr>
          <w:rFonts w:ascii="Times New Roman" w:eastAsia="Times New Roman" w:hAnsi="Times New Roman" w:cs="Times New Roman"/>
          <w:i/>
          <w:iCs/>
          <w:color w:val="000000"/>
          <w:sz w:val="24"/>
          <w:szCs w:val="24"/>
          <w:lang/>
        </w:rPr>
        <w:t>{Пункт 172.1 статті 172 доповнено новим абзацом згідно із Законом </w:t>
      </w:r>
      <w:hyperlink r:id="rId266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0BFEB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0" w:name="n4164"/>
      <w:bookmarkEnd w:id="4890"/>
      <w:r w:rsidRPr="008B264B">
        <w:rPr>
          <w:rFonts w:ascii="Times New Roman" w:eastAsia="Times New Roman" w:hAnsi="Times New Roman" w:cs="Times New Roman"/>
          <w:color w:val="000000"/>
          <w:sz w:val="24"/>
          <w:szCs w:val="24"/>
          <w:lang/>
        </w:rPr>
        <w:t>Дохід від відчуження господарсько-побутових споруд, що розташовані на одній ділянці з житловим або садовим (дачним) будинком та продаються разом з ним, для цілей оподаткування окремо не визначається.</w:t>
      </w:r>
    </w:p>
    <w:p w14:paraId="1DC0E1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1" w:name="n4165"/>
      <w:bookmarkEnd w:id="4891"/>
      <w:r w:rsidRPr="008B264B">
        <w:rPr>
          <w:rFonts w:ascii="Times New Roman" w:eastAsia="Times New Roman" w:hAnsi="Times New Roman" w:cs="Times New Roman"/>
          <w:color w:val="000000"/>
          <w:sz w:val="24"/>
          <w:szCs w:val="24"/>
          <w:lang/>
        </w:rPr>
        <w:t>172.2. Дохід, отриманий платником податку від продажу протягом звітного податкового року більш як одного з об'єктів нерухомості, зазначених у пункті 172.1 цієї статті, або від продажу об'єкта нерухомості, не зазначеного в пункті 172.1 цієї статті, підлягає оподаткуванню за ставкою, визначеною </w:t>
      </w:r>
      <w:hyperlink r:id="rId2663" w:anchor="n3858" w:history="1">
        <w:r w:rsidRPr="008B264B">
          <w:rPr>
            <w:rFonts w:ascii="Times New Roman" w:eastAsia="Times New Roman" w:hAnsi="Times New Roman" w:cs="Times New Roman"/>
            <w:color w:val="0000FF"/>
            <w:sz w:val="24"/>
            <w:szCs w:val="24"/>
            <w:u w:val="single"/>
            <w:lang/>
          </w:rPr>
          <w:t>пунктом 167.2</w:t>
        </w:r>
      </w:hyperlink>
      <w:r w:rsidRPr="008B264B">
        <w:rPr>
          <w:rFonts w:ascii="Times New Roman" w:eastAsia="Times New Roman" w:hAnsi="Times New Roman" w:cs="Times New Roman"/>
          <w:color w:val="000000"/>
          <w:sz w:val="24"/>
          <w:szCs w:val="24"/>
          <w:lang/>
        </w:rPr>
        <w:t> статті 167 цього Кодексу.</w:t>
      </w:r>
    </w:p>
    <w:p w14:paraId="0B8C58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2" w:name="n4166"/>
      <w:bookmarkEnd w:id="4892"/>
      <w:r w:rsidRPr="008B264B">
        <w:rPr>
          <w:rFonts w:ascii="Times New Roman" w:eastAsia="Times New Roman" w:hAnsi="Times New Roman" w:cs="Times New Roman"/>
          <w:color w:val="000000"/>
          <w:sz w:val="24"/>
          <w:szCs w:val="24"/>
          <w:lang/>
        </w:rPr>
        <w:t>У такому самому порядку оподатковується дохід від продажу (обміну) об'єкта незавершеного будівництва.</w:t>
      </w:r>
    </w:p>
    <w:p w14:paraId="223803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3" w:name="n4167"/>
      <w:bookmarkEnd w:id="4893"/>
      <w:r w:rsidRPr="008B264B">
        <w:rPr>
          <w:rFonts w:ascii="Times New Roman" w:eastAsia="Times New Roman" w:hAnsi="Times New Roman" w:cs="Times New Roman"/>
          <w:color w:val="000000"/>
          <w:sz w:val="24"/>
          <w:szCs w:val="24"/>
          <w:lang/>
        </w:rPr>
        <w:t>172.3. Дохід від продажу об'єкта нерухомості визначається виходячи з ціни, зазначеної в договорі купівлі-продажу, але не нижче оціночної вартості такого об'єкта, розрахованої органом, уповноваженим здійснювати таку оцінку відповідно до закону, та зареєстрованої в єдиній базі даних звітів про оцінку.</w:t>
      </w:r>
    </w:p>
    <w:p w14:paraId="59FE1E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4" w:name="n14845"/>
      <w:bookmarkEnd w:id="4894"/>
      <w:r w:rsidRPr="008B264B">
        <w:rPr>
          <w:rFonts w:ascii="Times New Roman" w:eastAsia="Times New Roman" w:hAnsi="Times New Roman" w:cs="Times New Roman"/>
          <w:i/>
          <w:iCs/>
          <w:color w:val="000000"/>
          <w:sz w:val="24"/>
          <w:szCs w:val="24"/>
          <w:lang/>
        </w:rPr>
        <w:t>{Абзац перший пункту 172.3 статті 172 із змінами, внесеними згідно із Законом </w:t>
      </w:r>
      <w:hyperlink r:id="rId2664" w:anchor="n24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4ECF4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5" w:name="n14847"/>
      <w:bookmarkEnd w:id="4895"/>
      <w:r w:rsidRPr="008B264B">
        <w:rPr>
          <w:rFonts w:ascii="Times New Roman" w:eastAsia="Times New Roman" w:hAnsi="Times New Roman" w:cs="Times New Roman"/>
          <w:color w:val="000000"/>
          <w:sz w:val="24"/>
          <w:szCs w:val="24"/>
          <w:lang/>
        </w:rPr>
        <w:lastRenderedPageBreak/>
        <w:t>Єдина база даних звітів про оцінку - інформаційно-телекомунікаційна система, до складу якої входять база даних та модуль електронного визначення оціночної вартості (з метою перевірки вартості об’єктів оподаткування, внесеної суб’єктом оціночної діяльності). Єдина база даних звітів про оцінку забезпечує розміщення, створення, зберігання та оприлюднення всієї інформації про об’єкт нерухомості та його вартість (крім інформації про нормативну грошову оцінку земельної ділянки), електронне визначення оціночної вартості, автоматичний обмін інформацією і документами з авторизованими електронними майданчиками та користування сервісами з автоматичним обміном інформацією, доступ до яких здійснюється за допомогою мережі Інтернет.</w:t>
      </w:r>
    </w:p>
    <w:p w14:paraId="115E38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6" w:name="n14855"/>
      <w:bookmarkEnd w:id="4896"/>
      <w:r w:rsidRPr="008B264B">
        <w:rPr>
          <w:rFonts w:ascii="Times New Roman" w:eastAsia="Times New Roman" w:hAnsi="Times New Roman" w:cs="Times New Roman"/>
          <w:i/>
          <w:iCs/>
          <w:color w:val="000000"/>
          <w:sz w:val="24"/>
          <w:szCs w:val="24"/>
          <w:lang/>
        </w:rPr>
        <w:t>{Пункт 172.3 статті 172 доповнено новим абзацом згідно із Законом </w:t>
      </w:r>
      <w:hyperlink r:id="rId2665" w:anchor="n2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6A8A9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7" w:name="n14848"/>
      <w:bookmarkEnd w:id="4897"/>
      <w:r w:rsidRPr="008B264B">
        <w:rPr>
          <w:rFonts w:ascii="Times New Roman" w:eastAsia="Times New Roman" w:hAnsi="Times New Roman" w:cs="Times New Roman"/>
          <w:color w:val="000000"/>
          <w:sz w:val="24"/>
          <w:szCs w:val="24"/>
          <w:lang/>
        </w:rPr>
        <w:t>Порядок ведення єдиної бази даних звітів про оцінку затверджується Фондом державного майна України. Внесення інформації зі звітів про оцінку до єдиної бази даних звітів про оцінку здійснюється суб’єктами оціночної діяльності через авторизовані електронні майданчики. Авторизований електронний майданчик - авторизована Фондом державного майна України інформаційно-телекомунікаційна система, яка має комплексну систему захисту інформації з підтвердженою відповідністю відповідно до </w:t>
      </w:r>
      <w:hyperlink r:id="rId2666"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захист інформації в інформаційно-телекомунікаційних системах" та забезпечує реєстрацію суб’єктів оціночної діяльності, нотаріусів, розміщення, отримання і передавання інформації та документів (без попередньої ідентифікації суб’єкта оціночної діяльності) до/з єдиної бази даних звітів про оцінку з метою перевірки оціночної вартості об’єкта нерухомості, користування сервісами з автоматичним обміном інформацією, доступ до яких здійснюється за допомогою мережі Інтернет, та має підтверджену підписаним протоколом обміну між усіма вже авторизованими електронними майданчиками можливість використовувати інформацію та документи, які були розміщені на одному авторизованому електронному майданчику, з будь-якого іншого вже авторизованого електронного майданчика. Ці положення застосовуються до положень статті 172 цього Кодексу. </w:t>
      </w:r>
      <w:hyperlink r:id="rId2667" w:anchor="n14" w:tgtFrame="_blank" w:history="1">
        <w:r w:rsidRPr="008B264B">
          <w:rPr>
            <w:rFonts w:ascii="Times New Roman" w:eastAsia="Times New Roman" w:hAnsi="Times New Roman" w:cs="Times New Roman"/>
            <w:color w:val="0000FF"/>
            <w:sz w:val="24"/>
            <w:szCs w:val="24"/>
            <w:u w:val="single"/>
            <w:lang/>
          </w:rPr>
          <w:t>Порядок авторизації електронних майданчиків</w:t>
        </w:r>
      </w:hyperlink>
      <w:r w:rsidRPr="008B264B">
        <w:rPr>
          <w:rFonts w:ascii="Times New Roman" w:eastAsia="Times New Roman" w:hAnsi="Times New Roman" w:cs="Times New Roman"/>
          <w:color w:val="000000"/>
          <w:sz w:val="24"/>
          <w:szCs w:val="24"/>
          <w:lang/>
        </w:rPr>
        <w:t> затверджується спільним рішенням Фонду державного майна України та спеціально уповноваженого центрального органу виконавчої влади з питань організації спеціального зв’язку та захисту інформації.</w:t>
      </w:r>
    </w:p>
    <w:p w14:paraId="6F7231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8" w:name="n14854"/>
      <w:bookmarkEnd w:id="4898"/>
      <w:r w:rsidRPr="008B264B">
        <w:rPr>
          <w:rFonts w:ascii="Times New Roman" w:eastAsia="Times New Roman" w:hAnsi="Times New Roman" w:cs="Times New Roman"/>
          <w:i/>
          <w:iCs/>
          <w:color w:val="000000"/>
          <w:sz w:val="24"/>
          <w:szCs w:val="24"/>
          <w:lang/>
        </w:rPr>
        <w:t>{Пункт 172.3 статті 172 доповнено новим абзацом згідно із Законом </w:t>
      </w:r>
      <w:hyperlink r:id="rId2668" w:anchor="n2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669" w:anchor="n20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AD384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899" w:name="n14849"/>
      <w:bookmarkEnd w:id="4899"/>
      <w:r w:rsidRPr="008B264B">
        <w:rPr>
          <w:rFonts w:ascii="Times New Roman" w:eastAsia="Times New Roman" w:hAnsi="Times New Roman" w:cs="Times New Roman"/>
          <w:color w:val="000000"/>
          <w:sz w:val="24"/>
          <w:szCs w:val="24"/>
          <w:lang/>
        </w:rPr>
        <w:t>Єдина база даних звітів про оцінку повинна забезпечувати збереження та належний захист всієї інформації щодо об’єктів нерухомості, оціночна вартість яких визначається та перевіряється, можливість доступу до цієї інформації нотаріусів та контролюючих органів у межах повноважень. Належний захист інформації забезпечується шляхом автоматичного обміну інформацією та документами між єдиною базою даних звітів про оцінку та авторизованими електронними майданчиками, які мають комплексну систему захисту інформації з підтвердженою відповідністю відповідно до </w:t>
      </w:r>
      <w:hyperlink r:id="rId267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захист інформації в інформаційно-телекомунікаційних системах". Єдина база даних звітів про оцінку здійснює моніторинг звіту про оцінку на предмет відсутності порушень при його складанні та у разі його повноти, правильності та відповідності, у тому числі відповідності оціночної вартості майна, майнових прав ринковим цінам, реєструє звіт про оцінку з присвоєнням йому унікального номера. Після присвоєння унікального номера здійснюється автоматизована ідентифікація суб’єкта оціночної діяльності. У разі виявлення недоліків та/або порушень при складанні звіту про оцінку, у тому числі невідповідності оціночної вартості майна, майнових прав ринковим цінам, єдина база даних звітів про оцінку автоматично відмовляє в його реєстрації. Суб’єкт оціночної діяльності, який не погоджується з результатами перевірки оціночної вартості єдиною базою даних звітів про оцінку, має право протягом 10 днів звернутися до Фонду державного майна України із заявою про здійснення рецензування звіту про оцінку відповідно до </w:t>
      </w:r>
      <w:hyperlink r:id="rId267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оцінку майна, майнових прав та професійну оціночну діяльність". Фонд державного майна України розглядає таку заяву не більше п’яти днів.</w:t>
      </w:r>
    </w:p>
    <w:p w14:paraId="6F9E31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0" w:name="n14853"/>
      <w:bookmarkEnd w:id="4900"/>
      <w:r w:rsidRPr="008B264B">
        <w:rPr>
          <w:rFonts w:ascii="Times New Roman" w:eastAsia="Times New Roman" w:hAnsi="Times New Roman" w:cs="Times New Roman"/>
          <w:i/>
          <w:iCs/>
          <w:color w:val="000000"/>
          <w:sz w:val="24"/>
          <w:szCs w:val="24"/>
          <w:lang/>
        </w:rPr>
        <w:lastRenderedPageBreak/>
        <w:t>{Пункт 172.3 статті 172 доповнено новим абзацом згідно із Законом </w:t>
      </w:r>
      <w:hyperlink r:id="rId2672" w:anchor="n2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2D0E8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1" w:name="n14850"/>
      <w:bookmarkEnd w:id="4901"/>
      <w:r w:rsidRPr="008B264B">
        <w:rPr>
          <w:rFonts w:ascii="Times New Roman" w:eastAsia="Times New Roman" w:hAnsi="Times New Roman" w:cs="Times New Roman"/>
          <w:color w:val="000000"/>
          <w:sz w:val="24"/>
          <w:szCs w:val="24"/>
          <w:lang/>
        </w:rPr>
        <w:t>Звіт про оцінку, не зареєстрований у єдиній базі даних звітів про оцінку, без присвоєного унікального номера відповідно до вимог цієї статті є недійсним.</w:t>
      </w:r>
    </w:p>
    <w:p w14:paraId="436BEB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2" w:name="n14852"/>
      <w:bookmarkEnd w:id="4902"/>
      <w:r w:rsidRPr="008B264B">
        <w:rPr>
          <w:rFonts w:ascii="Times New Roman" w:eastAsia="Times New Roman" w:hAnsi="Times New Roman" w:cs="Times New Roman"/>
          <w:i/>
          <w:iCs/>
          <w:color w:val="000000"/>
          <w:sz w:val="24"/>
          <w:szCs w:val="24"/>
          <w:lang/>
        </w:rPr>
        <w:t>{Пункт 172.3 статті 172 доповнено новим абзацом згідно із Законом </w:t>
      </w:r>
      <w:hyperlink r:id="rId2673" w:anchor="n2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E3DE7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3" w:name="n14851"/>
      <w:bookmarkEnd w:id="4903"/>
      <w:r w:rsidRPr="008B264B">
        <w:rPr>
          <w:rFonts w:ascii="Times New Roman" w:eastAsia="Times New Roman" w:hAnsi="Times New Roman" w:cs="Times New Roman"/>
          <w:color w:val="000000"/>
          <w:sz w:val="24"/>
          <w:szCs w:val="24"/>
          <w:lang/>
        </w:rPr>
        <w:t>Під час посвідчення правочинів, для яких законодавством України передбачено отримання нотаріусом звіту про оцінку, нотаріус перевіряє реєстрацію такого звіту в єдиній базі даних звітів про оцінку та наявність присвоєного йому унікального номера.</w:t>
      </w:r>
    </w:p>
    <w:p w14:paraId="47F373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4" w:name="n14846"/>
      <w:bookmarkEnd w:id="4904"/>
      <w:r w:rsidRPr="008B264B">
        <w:rPr>
          <w:rFonts w:ascii="Times New Roman" w:eastAsia="Times New Roman" w:hAnsi="Times New Roman" w:cs="Times New Roman"/>
          <w:i/>
          <w:iCs/>
          <w:color w:val="000000"/>
          <w:sz w:val="24"/>
          <w:szCs w:val="24"/>
          <w:lang/>
        </w:rPr>
        <w:t>{Пункт 172.3 статті 172 доповнено новим абзацом згідно із Законом </w:t>
      </w:r>
      <w:hyperlink r:id="rId2674" w:anchor="n2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1A3CE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5" w:name="n4168"/>
      <w:bookmarkEnd w:id="4905"/>
      <w:r w:rsidRPr="008B264B">
        <w:rPr>
          <w:rFonts w:ascii="Times New Roman" w:eastAsia="Times New Roman" w:hAnsi="Times New Roman" w:cs="Times New Roman"/>
          <w:color w:val="000000"/>
          <w:sz w:val="24"/>
          <w:szCs w:val="24"/>
          <w:lang/>
        </w:rPr>
        <w:t>При обміні об'єкта нерухомості на інший (інші) дохід платника податку у вигляді отриманої ним грошової компенсації від відчуження нерухомого майна, визначеного:</w:t>
      </w:r>
    </w:p>
    <w:p w14:paraId="644035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6" w:name="n4169"/>
      <w:bookmarkEnd w:id="4906"/>
      <w:r w:rsidRPr="008B264B">
        <w:rPr>
          <w:rFonts w:ascii="Times New Roman" w:eastAsia="Times New Roman" w:hAnsi="Times New Roman" w:cs="Times New Roman"/>
          <w:color w:val="000000"/>
          <w:sz w:val="24"/>
          <w:szCs w:val="24"/>
          <w:lang/>
        </w:rPr>
        <w:t>а) у абзаці першому пункту 172.1 цієї статті, - не оподатковується;</w:t>
      </w:r>
    </w:p>
    <w:p w14:paraId="0E4DA8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7" w:name="n4170"/>
      <w:bookmarkEnd w:id="4907"/>
      <w:r w:rsidRPr="008B264B">
        <w:rPr>
          <w:rFonts w:ascii="Times New Roman" w:eastAsia="Times New Roman" w:hAnsi="Times New Roman" w:cs="Times New Roman"/>
          <w:color w:val="000000"/>
          <w:sz w:val="24"/>
          <w:szCs w:val="24"/>
          <w:lang/>
        </w:rPr>
        <w:t>б) у пункті 172.2 цієї статті, - оподатковується за ставкою, визначеною </w:t>
      </w:r>
      <w:hyperlink r:id="rId2675" w:anchor="n3858" w:history="1">
        <w:r w:rsidRPr="008B264B">
          <w:rPr>
            <w:rFonts w:ascii="Times New Roman" w:eastAsia="Times New Roman" w:hAnsi="Times New Roman" w:cs="Times New Roman"/>
            <w:color w:val="0000FF"/>
            <w:sz w:val="24"/>
            <w:szCs w:val="24"/>
            <w:u w:val="single"/>
            <w:lang/>
          </w:rPr>
          <w:t>пунктом 167.2</w:t>
        </w:r>
      </w:hyperlink>
      <w:r w:rsidRPr="008B264B">
        <w:rPr>
          <w:rFonts w:ascii="Times New Roman" w:eastAsia="Times New Roman" w:hAnsi="Times New Roman" w:cs="Times New Roman"/>
          <w:color w:val="000000"/>
          <w:sz w:val="24"/>
          <w:szCs w:val="24"/>
          <w:lang/>
        </w:rPr>
        <w:t> статті 167 цього Кодексу.</w:t>
      </w:r>
    </w:p>
    <w:p w14:paraId="544443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8" w:name="n4171"/>
      <w:bookmarkEnd w:id="4908"/>
      <w:r w:rsidRPr="008B264B">
        <w:rPr>
          <w:rFonts w:ascii="Times New Roman" w:eastAsia="Times New Roman" w:hAnsi="Times New Roman" w:cs="Times New Roman"/>
          <w:color w:val="000000"/>
          <w:sz w:val="24"/>
          <w:szCs w:val="24"/>
          <w:lang/>
        </w:rPr>
        <w:t>172.4. Під час проведення операцій з продажу (обміну) об'єктів нерухомості між фізичними особами нотаріус посвідчує відповідний договір за наявності оціночної вартості такого нерухомого майна (зареєстрованої відповідно до пункту 172.3 цієї статті) та документа про сплату податку до бюджету стороною (сторонами) договору та щокварталу подає до контролюючого органу за місцем розташування державної нотаріальної контори або робочого місця приватного нотаріуса інформацію про такий договір, включаючи інформацію про його вартість та суму сплаченого податку в порядку, встановленому цим розділом для податкового розрахунку.</w:t>
      </w:r>
    </w:p>
    <w:p w14:paraId="59DF8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09" w:name="n14856"/>
      <w:bookmarkEnd w:id="4909"/>
      <w:r w:rsidRPr="008B264B">
        <w:rPr>
          <w:rFonts w:ascii="Times New Roman" w:eastAsia="Times New Roman" w:hAnsi="Times New Roman" w:cs="Times New Roman"/>
          <w:i/>
          <w:iCs/>
          <w:color w:val="000000"/>
          <w:sz w:val="24"/>
          <w:szCs w:val="24"/>
          <w:lang/>
        </w:rPr>
        <w:t>{Пункт 172.4 статті 172 із змінами, внесеними згідно із Законом </w:t>
      </w:r>
      <w:hyperlink r:id="rId2676" w:anchor="n25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F3CC0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0" w:name="n4172"/>
      <w:bookmarkEnd w:id="4910"/>
      <w:r w:rsidRPr="008B264B">
        <w:rPr>
          <w:rFonts w:ascii="Times New Roman" w:eastAsia="Times New Roman" w:hAnsi="Times New Roman" w:cs="Times New Roman"/>
          <w:color w:val="000000"/>
          <w:sz w:val="24"/>
          <w:szCs w:val="24"/>
          <w:lang/>
        </w:rPr>
        <w:t>172.5. Сума податку визначається та самостійно сплачується через банківські установи:</w:t>
      </w:r>
    </w:p>
    <w:p w14:paraId="08B5C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1" w:name="n4173"/>
      <w:bookmarkEnd w:id="4911"/>
      <w:r w:rsidRPr="008B264B">
        <w:rPr>
          <w:rFonts w:ascii="Times New Roman" w:eastAsia="Times New Roman" w:hAnsi="Times New Roman" w:cs="Times New Roman"/>
          <w:color w:val="000000"/>
          <w:sz w:val="24"/>
          <w:szCs w:val="24"/>
          <w:lang/>
        </w:rPr>
        <w:t>а) особою, яка продає або обмінює з іншою фізичною особою нерухомість, - до нотаріального посвідчення договору купівлі-продажу, міни;</w:t>
      </w:r>
    </w:p>
    <w:p w14:paraId="4084BF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2" w:name="n4174"/>
      <w:bookmarkEnd w:id="4912"/>
      <w:r w:rsidRPr="008B264B">
        <w:rPr>
          <w:rFonts w:ascii="Times New Roman" w:eastAsia="Times New Roman" w:hAnsi="Times New Roman" w:cs="Times New Roman"/>
          <w:color w:val="000000"/>
          <w:sz w:val="24"/>
          <w:szCs w:val="24"/>
          <w:lang/>
        </w:rPr>
        <w:t>б) особою, у власності якої перебував об'єкт нерухомості, відчужений за рішенням суду про зміну власника та перехід права власності на таке майно. Фізична особа зобов'язана відобразити доход від такого відчуження у річній податковій декларації.</w:t>
      </w:r>
    </w:p>
    <w:p w14:paraId="3FB566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3" w:name="n4175"/>
      <w:bookmarkEnd w:id="4913"/>
      <w:r w:rsidRPr="008B264B">
        <w:rPr>
          <w:rFonts w:ascii="Times New Roman" w:eastAsia="Times New Roman" w:hAnsi="Times New Roman" w:cs="Times New Roman"/>
          <w:i/>
          <w:iCs/>
          <w:color w:val="000000"/>
          <w:sz w:val="24"/>
          <w:szCs w:val="24"/>
          <w:lang/>
        </w:rPr>
        <w:t>{Пункт 172.5 статті 172 в редакції Закону </w:t>
      </w:r>
      <w:hyperlink r:id="rId267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D30EE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4" w:name="n4176"/>
      <w:bookmarkEnd w:id="4914"/>
      <w:r w:rsidRPr="008B264B">
        <w:rPr>
          <w:rFonts w:ascii="Times New Roman" w:eastAsia="Times New Roman" w:hAnsi="Times New Roman" w:cs="Times New Roman"/>
          <w:color w:val="000000"/>
          <w:sz w:val="24"/>
          <w:szCs w:val="24"/>
          <w:lang/>
        </w:rPr>
        <w:t>172.6. У разі невчинення нотаріальної дії щодо посвідчення договору купівлі-продажу, міни об'єкта нерухомості, за яким сплачено податок, платник податку має право на повернення надміру сплаченої суми податку на підставі податкової декларації, поданої в установленому порядку, та підтвердних документів про фактичну сплату податку.</w:t>
      </w:r>
    </w:p>
    <w:p w14:paraId="493EC8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5" w:name="n4177"/>
      <w:bookmarkEnd w:id="4915"/>
      <w:r w:rsidRPr="008B264B">
        <w:rPr>
          <w:rFonts w:ascii="Times New Roman" w:eastAsia="Times New Roman" w:hAnsi="Times New Roman" w:cs="Times New Roman"/>
          <w:color w:val="000000"/>
          <w:sz w:val="24"/>
          <w:szCs w:val="24"/>
          <w:lang/>
        </w:rPr>
        <w:t>172.7. Одночасно з дією </w:t>
      </w:r>
      <w:hyperlink r:id="rId2678" w:anchor="n4171" w:history="1">
        <w:r w:rsidRPr="008B264B">
          <w:rPr>
            <w:rFonts w:ascii="Times New Roman" w:eastAsia="Times New Roman" w:hAnsi="Times New Roman" w:cs="Times New Roman"/>
            <w:color w:val="0000FF"/>
            <w:sz w:val="24"/>
            <w:szCs w:val="24"/>
            <w:u w:val="single"/>
            <w:lang/>
          </w:rPr>
          <w:t>пункту 172.4</w:t>
        </w:r>
      </w:hyperlink>
      <w:r w:rsidRPr="008B264B">
        <w:rPr>
          <w:rFonts w:ascii="Times New Roman" w:eastAsia="Times New Roman" w:hAnsi="Times New Roman" w:cs="Times New Roman"/>
          <w:color w:val="000000"/>
          <w:sz w:val="24"/>
          <w:szCs w:val="24"/>
          <w:lang/>
        </w:rPr>
        <w:t> цієї статті, якщо стороною договору купівлі-продажу, міни об'єкта нерухомого майна є юридична особа чи фізична особа - підприємець, така особа є податковим агентом платника податку щодо нарахування, утримання та сплати (перерахування) до бюджету податку з доходів, отриманих платником податку від такого продажу (обміну).</w:t>
      </w:r>
    </w:p>
    <w:p w14:paraId="08AC99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6" w:name="n4178"/>
      <w:bookmarkEnd w:id="4916"/>
      <w:r w:rsidRPr="008B264B">
        <w:rPr>
          <w:rFonts w:ascii="Times New Roman" w:eastAsia="Times New Roman" w:hAnsi="Times New Roman" w:cs="Times New Roman"/>
          <w:color w:val="000000"/>
          <w:sz w:val="24"/>
          <w:szCs w:val="24"/>
          <w:lang/>
        </w:rPr>
        <w:t>172.8. Для цілей цієї статті під продажем розуміється будь-який перехід права власності на об'єкти нерухомості, крім їх успадкування та дарування.</w:t>
      </w:r>
    </w:p>
    <w:p w14:paraId="607F49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7" w:name="n4179"/>
      <w:bookmarkEnd w:id="4917"/>
      <w:r w:rsidRPr="008B264B">
        <w:rPr>
          <w:rFonts w:ascii="Times New Roman" w:eastAsia="Times New Roman" w:hAnsi="Times New Roman" w:cs="Times New Roman"/>
          <w:color w:val="000000"/>
          <w:sz w:val="24"/>
          <w:szCs w:val="24"/>
          <w:lang/>
        </w:rPr>
        <w:lastRenderedPageBreak/>
        <w:t>172.9. Дохід від операцій з продажу (обміну) об'єктів нерухомості, що здійснюються фізичними особами - нерезидентами, оподатковується згідно із цією статтею в порядку, встановленому для резидентів, за ставкою, визначеною у </w:t>
      </w:r>
      <w:hyperlink r:id="rId2679" w:anchor="n3851" w:history="1">
        <w:r w:rsidRPr="008B264B">
          <w:rPr>
            <w:rFonts w:ascii="Times New Roman" w:eastAsia="Times New Roman" w:hAnsi="Times New Roman" w:cs="Times New Roman"/>
            <w:color w:val="0000FF"/>
            <w:sz w:val="24"/>
            <w:szCs w:val="24"/>
            <w:u w:val="single"/>
            <w:lang/>
          </w:rPr>
          <w:t>пункті 167.1 </w:t>
        </w:r>
      </w:hyperlink>
      <w:r w:rsidRPr="008B264B">
        <w:rPr>
          <w:rFonts w:ascii="Times New Roman" w:eastAsia="Times New Roman" w:hAnsi="Times New Roman" w:cs="Times New Roman"/>
          <w:color w:val="000000"/>
          <w:sz w:val="24"/>
          <w:szCs w:val="24"/>
          <w:lang/>
        </w:rPr>
        <w:t>статті 167 цього Кодексу.</w:t>
      </w:r>
    </w:p>
    <w:p w14:paraId="0E27D8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8" w:name="n12740"/>
      <w:bookmarkEnd w:id="4918"/>
      <w:r w:rsidRPr="008B264B">
        <w:rPr>
          <w:rFonts w:ascii="Times New Roman" w:eastAsia="Times New Roman" w:hAnsi="Times New Roman" w:cs="Times New Roman"/>
          <w:i/>
          <w:iCs/>
          <w:color w:val="000000"/>
          <w:sz w:val="24"/>
          <w:szCs w:val="24"/>
          <w:lang/>
        </w:rPr>
        <w:t>{Пункт 172.9 статті 172 із змінами, внесеними згідно із Законами </w:t>
      </w:r>
      <w:hyperlink r:id="rId2680" w:anchor="n15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99889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19" w:name="n4180"/>
      <w:bookmarkEnd w:id="4919"/>
      <w:r w:rsidRPr="008B264B">
        <w:rPr>
          <w:rFonts w:ascii="Times New Roman" w:eastAsia="Times New Roman" w:hAnsi="Times New Roman" w:cs="Times New Roman"/>
          <w:color w:val="000000"/>
          <w:sz w:val="24"/>
          <w:szCs w:val="24"/>
          <w:lang/>
        </w:rPr>
        <w:t>172.10. Продаж резидентами та нерезидентами успадкованого (отриманого в подарунок) об'єкта нерухомості підлягає оподаткуванню згідно з положеннями цієї статті.</w:t>
      </w:r>
    </w:p>
    <w:p w14:paraId="5BE28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0" w:name="n4181"/>
      <w:bookmarkEnd w:id="4920"/>
      <w:r w:rsidRPr="008B264B">
        <w:rPr>
          <w:rFonts w:ascii="Times New Roman" w:eastAsia="Times New Roman" w:hAnsi="Times New Roman" w:cs="Times New Roman"/>
          <w:color w:val="000000"/>
          <w:sz w:val="24"/>
          <w:szCs w:val="24"/>
          <w:lang/>
        </w:rPr>
        <w:t>172.11. Порядок визначення оціночної вартості нерухомості та об'єктів незавершеного будівництва, що продаються (обмінюються), визначається Фондом державного майна України.</w:t>
      </w:r>
    </w:p>
    <w:p w14:paraId="1BC3A7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1" w:name="n15291"/>
      <w:bookmarkEnd w:id="4921"/>
      <w:r w:rsidRPr="008B264B">
        <w:rPr>
          <w:rFonts w:ascii="Times New Roman" w:eastAsia="Times New Roman" w:hAnsi="Times New Roman" w:cs="Times New Roman"/>
          <w:i/>
          <w:iCs/>
          <w:color w:val="000000"/>
          <w:sz w:val="24"/>
          <w:szCs w:val="24"/>
          <w:lang/>
        </w:rPr>
        <w:t>{Пункт 172.11 статті 172 із змінами, внесеними згідно із Законом </w:t>
      </w:r>
      <w:hyperlink r:id="rId2681" w:anchor="n20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BF39D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2" w:name="n4182"/>
      <w:bookmarkEnd w:id="4922"/>
      <w:r w:rsidRPr="008B264B">
        <w:rPr>
          <w:rFonts w:ascii="Times New Roman" w:eastAsia="Times New Roman" w:hAnsi="Times New Roman" w:cs="Times New Roman"/>
          <w:b/>
          <w:bCs/>
          <w:color w:val="000000"/>
          <w:sz w:val="24"/>
          <w:szCs w:val="24"/>
          <w:lang/>
        </w:rPr>
        <w:t>Стаття 173.</w:t>
      </w:r>
      <w:r w:rsidRPr="008B264B">
        <w:rPr>
          <w:rFonts w:ascii="Times New Roman" w:eastAsia="Times New Roman" w:hAnsi="Times New Roman" w:cs="Times New Roman"/>
          <w:color w:val="000000"/>
          <w:sz w:val="24"/>
          <w:szCs w:val="24"/>
          <w:lang/>
        </w:rPr>
        <w:t> Порядок оподаткування операцій з продажу або обміну об'єктів рухомого майна</w:t>
      </w:r>
    </w:p>
    <w:p w14:paraId="0BE10B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3" w:name="n4183"/>
      <w:bookmarkEnd w:id="4923"/>
      <w:r w:rsidRPr="008B264B">
        <w:rPr>
          <w:rFonts w:ascii="Times New Roman" w:eastAsia="Times New Roman" w:hAnsi="Times New Roman" w:cs="Times New Roman"/>
          <w:color w:val="000000"/>
          <w:sz w:val="24"/>
          <w:szCs w:val="24"/>
          <w:lang/>
        </w:rPr>
        <w:t>173.1. Дохід платника податку від продажу (обміну) об'єкта рухомого майна протягом звітного податкового року оподатковується за ставкою, визначеною в </w:t>
      </w:r>
      <w:hyperlink r:id="rId2682" w:anchor="n3858" w:history="1">
        <w:r w:rsidRPr="008B264B">
          <w:rPr>
            <w:rFonts w:ascii="Times New Roman" w:eastAsia="Times New Roman" w:hAnsi="Times New Roman" w:cs="Times New Roman"/>
            <w:color w:val="0000FF"/>
            <w:sz w:val="24"/>
            <w:szCs w:val="24"/>
            <w:u w:val="single"/>
            <w:lang/>
          </w:rPr>
          <w:t>пункті 167.2</w:t>
        </w:r>
      </w:hyperlink>
      <w:r w:rsidRPr="008B264B">
        <w:rPr>
          <w:rFonts w:ascii="Times New Roman" w:eastAsia="Times New Roman" w:hAnsi="Times New Roman" w:cs="Times New Roman"/>
          <w:color w:val="000000"/>
          <w:sz w:val="24"/>
          <w:szCs w:val="24"/>
          <w:lang/>
        </w:rPr>
        <w:t> статті 167 цього Кодексу.</w:t>
      </w:r>
    </w:p>
    <w:p w14:paraId="5373E3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4" w:name="n4184"/>
      <w:bookmarkEnd w:id="4924"/>
      <w:r w:rsidRPr="008B264B">
        <w:rPr>
          <w:rFonts w:ascii="Times New Roman" w:eastAsia="Times New Roman" w:hAnsi="Times New Roman" w:cs="Times New Roman"/>
          <w:color w:val="000000"/>
          <w:sz w:val="24"/>
          <w:szCs w:val="24"/>
          <w:lang/>
        </w:rPr>
        <w:t>Дохід від продажу (обміну) об’єкта рухомого майна (крім легкових автомобілів, мотоциклів, мопедів) визначається виходячи з ціни, зазначеної у договорі купівлі-продажу (міни), але не нижче оціночної вартості цього об’єкта, визначеної згідно із законом.</w:t>
      </w:r>
    </w:p>
    <w:p w14:paraId="1FDE08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5" w:name="n4185"/>
      <w:bookmarkEnd w:id="4925"/>
      <w:r w:rsidRPr="008B264B">
        <w:rPr>
          <w:rFonts w:ascii="Times New Roman" w:eastAsia="Times New Roman" w:hAnsi="Times New Roman" w:cs="Times New Roman"/>
          <w:i/>
          <w:iCs/>
          <w:color w:val="000000"/>
          <w:sz w:val="24"/>
          <w:szCs w:val="24"/>
          <w:lang/>
        </w:rPr>
        <w:t>{Абзац другий пункту 173.1 статті 173 в редакції Закону </w:t>
      </w:r>
      <w:hyperlink r:id="rId2683" w:anchor="n7"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23FB5B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6" w:name="n4186"/>
      <w:bookmarkEnd w:id="4926"/>
      <w:r w:rsidRPr="008B264B">
        <w:rPr>
          <w:rFonts w:ascii="Times New Roman" w:eastAsia="Times New Roman" w:hAnsi="Times New Roman" w:cs="Times New Roman"/>
          <w:color w:val="000000"/>
          <w:sz w:val="24"/>
          <w:szCs w:val="24"/>
          <w:lang/>
        </w:rPr>
        <w:t>Дохід від продажу (обміну) легкового автомобіля, мотоцикла, мопеда визначається виходячи з ціни, зазначеної у договорі купівлі-продажу (міни), але не нижче середньоринкової вартості відповідного транспортного засобу або не нижче його оціночної вартості, визначеної згідно із законом (за вибором платника податку).</w:t>
      </w:r>
    </w:p>
    <w:p w14:paraId="7CEE1E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7" w:name="n4187"/>
      <w:bookmarkEnd w:id="4927"/>
      <w:r w:rsidRPr="008B264B">
        <w:rPr>
          <w:rFonts w:ascii="Times New Roman" w:eastAsia="Times New Roman" w:hAnsi="Times New Roman" w:cs="Times New Roman"/>
          <w:i/>
          <w:iCs/>
          <w:color w:val="000000"/>
          <w:sz w:val="24"/>
          <w:szCs w:val="24"/>
          <w:lang/>
        </w:rPr>
        <w:t>{Абзац пункту 173.1 статті 173 в редакції Закону </w:t>
      </w:r>
      <w:hyperlink r:id="rId2684" w:anchor="n7"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561FF0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8" w:name="n4188"/>
      <w:bookmarkEnd w:id="4928"/>
      <w:r w:rsidRPr="008B264B">
        <w:rPr>
          <w:rFonts w:ascii="Times New Roman" w:eastAsia="Times New Roman" w:hAnsi="Times New Roman" w:cs="Times New Roman"/>
          <w:color w:val="000000"/>
          <w:sz w:val="24"/>
          <w:szCs w:val="24"/>
          <w:lang/>
        </w:rPr>
        <w:t>Середньоринкова вартість легкових автомобілів, мотоциклів, мопедів визначається щокварталу центральним органом виконавчої влади, що забезпечує формування державної політики у сфері економічного розвитку, у </w:t>
      </w:r>
      <w:hyperlink r:id="rId2685" w:anchor="n9"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встановленому Кабінетом Міністрів України (для кожної марки, моделі таких транспортних засобів з урахуванням року випуску та пробігу, на підставі аналізу фактичних цін продажу відповідних транспортних засобів), і оприлюднюється на офіційному веб-сайті цього органу в режимі вільного доступу до 10 числа місяця, наступного за звітним кварталом.</w:t>
      </w:r>
    </w:p>
    <w:p w14:paraId="226750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29" w:name="n4189"/>
      <w:bookmarkEnd w:id="4929"/>
      <w:r w:rsidRPr="008B264B">
        <w:rPr>
          <w:rFonts w:ascii="Times New Roman" w:eastAsia="Times New Roman" w:hAnsi="Times New Roman" w:cs="Times New Roman"/>
          <w:i/>
          <w:iCs/>
          <w:color w:val="000000"/>
          <w:sz w:val="24"/>
          <w:szCs w:val="24"/>
          <w:lang/>
        </w:rPr>
        <w:t>{Абзац пункту 173.1 статті 173 в редакції Закону </w:t>
      </w:r>
      <w:hyperlink r:id="rId2686" w:anchor="n7"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708D19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0" w:name="n4190"/>
      <w:bookmarkEnd w:id="4930"/>
      <w:r w:rsidRPr="008B264B">
        <w:rPr>
          <w:rFonts w:ascii="Times New Roman" w:eastAsia="Times New Roman" w:hAnsi="Times New Roman" w:cs="Times New Roman"/>
          <w:color w:val="000000"/>
          <w:sz w:val="24"/>
          <w:szCs w:val="24"/>
          <w:lang/>
        </w:rPr>
        <w:t>173.2. Як виняток із положень </w:t>
      </w:r>
      <w:hyperlink r:id="rId2687" w:anchor="n4183" w:history="1">
        <w:r w:rsidRPr="008B264B">
          <w:rPr>
            <w:rFonts w:ascii="Times New Roman" w:eastAsia="Times New Roman" w:hAnsi="Times New Roman" w:cs="Times New Roman"/>
            <w:color w:val="0000FF"/>
            <w:sz w:val="24"/>
            <w:szCs w:val="24"/>
            <w:u w:val="single"/>
            <w:lang/>
          </w:rPr>
          <w:t>пункту 173.1</w:t>
        </w:r>
      </w:hyperlink>
      <w:r w:rsidRPr="008B264B">
        <w:rPr>
          <w:rFonts w:ascii="Times New Roman" w:eastAsia="Times New Roman" w:hAnsi="Times New Roman" w:cs="Times New Roman"/>
          <w:color w:val="000000"/>
          <w:sz w:val="24"/>
          <w:szCs w:val="24"/>
          <w:lang/>
        </w:rPr>
        <w:t> цієї статті, дохід, отриманий платником податку від продажу (обміну) протягом звітного (податкового) року одного з об’єктів рухомого майна у вигляді легкового автомобіля та/або мотоцикла, та/або мопеда, не підлягає оподаткуванню.</w:t>
      </w:r>
    </w:p>
    <w:p w14:paraId="700E10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1" w:name="n4191"/>
      <w:bookmarkEnd w:id="4931"/>
      <w:r w:rsidRPr="008B264B">
        <w:rPr>
          <w:rFonts w:ascii="Times New Roman" w:eastAsia="Times New Roman" w:hAnsi="Times New Roman" w:cs="Times New Roman"/>
          <w:color w:val="000000"/>
          <w:sz w:val="24"/>
          <w:szCs w:val="24"/>
          <w:lang/>
        </w:rPr>
        <w:t>Дохід, отриманий платником податку від продажу (обміну) протягом звітного (податкового) року двох та більше об’єктів рухомого майна у вигляді легкового автомобіля та/або мотоцикла, та/або мопеда, підлягає оподаткуванню за ставкою, визначеною </w:t>
      </w:r>
      <w:hyperlink r:id="rId2688" w:anchor="n3858" w:history="1">
        <w:r w:rsidRPr="008B264B">
          <w:rPr>
            <w:rFonts w:ascii="Times New Roman" w:eastAsia="Times New Roman" w:hAnsi="Times New Roman" w:cs="Times New Roman"/>
            <w:color w:val="0000FF"/>
            <w:sz w:val="24"/>
            <w:szCs w:val="24"/>
            <w:u w:val="single"/>
            <w:lang/>
          </w:rPr>
          <w:t>пунктом 167.2</w:t>
        </w:r>
      </w:hyperlink>
      <w:r w:rsidRPr="008B264B">
        <w:rPr>
          <w:rFonts w:ascii="Times New Roman" w:eastAsia="Times New Roman" w:hAnsi="Times New Roman" w:cs="Times New Roman"/>
          <w:color w:val="000000"/>
          <w:sz w:val="24"/>
          <w:szCs w:val="24"/>
          <w:lang/>
        </w:rPr>
        <w:t> статті 167 цього Кодексу.</w:t>
      </w:r>
    </w:p>
    <w:p w14:paraId="6699FD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2" w:name="n4192"/>
      <w:bookmarkEnd w:id="4932"/>
      <w:r w:rsidRPr="008B264B">
        <w:rPr>
          <w:rFonts w:ascii="Times New Roman" w:eastAsia="Times New Roman" w:hAnsi="Times New Roman" w:cs="Times New Roman"/>
          <w:i/>
          <w:iCs/>
          <w:color w:val="000000"/>
          <w:sz w:val="24"/>
          <w:szCs w:val="24"/>
          <w:lang/>
        </w:rPr>
        <w:t>{Пункт 173.2 статті 173 із змінами, внесеними згідно із Законом </w:t>
      </w:r>
      <w:hyperlink r:id="rId268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690" w:anchor="n11"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3C9147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3" w:name="n4193"/>
      <w:bookmarkEnd w:id="4933"/>
      <w:r w:rsidRPr="008B264B">
        <w:rPr>
          <w:rFonts w:ascii="Times New Roman" w:eastAsia="Times New Roman" w:hAnsi="Times New Roman" w:cs="Times New Roman"/>
          <w:color w:val="000000"/>
          <w:sz w:val="24"/>
          <w:szCs w:val="24"/>
          <w:lang/>
        </w:rPr>
        <w:t xml:space="preserve">173.3. У разі якщо стороною договору купівлі-продажу об'єкта рухомого майна є юридична особа чи фізична особа - підприємець, така особа вважається податковим агентом платника податку та зобов'язана виконати всі визначені цим розділом функції податкового агента. При цьому податковий агент утримує податок за ставками, визначеними відповідно до пунктів 173.1 </w:t>
      </w:r>
      <w:r w:rsidRPr="008B264B">
        <w:rPr>
          <w:rFonts w:ascii="Times New Roman" w:eastAsia="Times New Roman" w:hAnsi="Times New Roman" w:cs="Times New Roman"/>
          <w:color w:val="000000"/>
          <w:sz w:val="24"/>
          <w:szCs w:val="24"/>
          <w:lang/>
        </w:rPr>
        <w:lastRenderedPageBreak/>
        <w:t>або 173.2 цієї статті з урахуванням інформації про черговість продажу рухомого майна, зазначеної платником податку у договорі купівлі-продажу чи в окремій заяві.</w:t>
      </w:r>
    </w:p>
    <w:p w14:paraId="2C723D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4" w:name="n4194"/>
      <w:bookmarkEnd w:id="4934"/>
      <w:r w:rsidRPr="008B264B">
        <w:rPr>
          <w:rFonts w:ascii="Times New Roman" w:eastAsia="Times New Roman" w:hAnsi="Times New Roman" w:cs="Times New Roman"/>
          <w:i/>
          <w:iCs/>
          <w:color w:val="000000"/>
          <w:sz w:val="24"/>
          <w:szCs w:val="24"/>
          <w:lang/>
        </w:rPr>
        <w:t>{Абзац перший пункту 173.3 статті 173 із змінами, внесеними згідно із Законом </w:t>
      </w:r>
      <w:hyperlink r:id="rId269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5ACF1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5" w:name="n4195"/>
      <w:bookmarkEnd w:id="4935"/>
      <w:r w:rsidRPr="008B264B">
        <w:rPr>
          <w:rFonts w:ascii="Times New Roman" w:eastAsia="Times New Roman" w:hAnsi="Times New Roman" w:cs="Times New Roman"/>
          <w:color w:val="000000"/>
          <w:sz w:val="24"/>
          <w:szCs w:val="24"/>
          <w:lang/>
        </w:rPr>
        <w:t>У разі продажу (обміну) об’єкта рухомого майна за посередництвом юридичної особи (її філії, відділення, іншого відокремленого підрозділу) або представництва нерезидента чи фізичної особи - підприємця або укладення та оформлення договорів відчуження транспортних засобів у присутності посадових осіб органів, які здійснюють реєстрацію (перереєстрацію) транспортних засобів, такий посередник або відповідний орган виконує функції податкового агента стосовно подання до контролюючого органу інформації про суму доходу та суму сплаченого до бюджету податку в порядку та строки, встановлені для податкового розрахунку, а платник податку під час укладання договору зобов’язаний самостійно сплатити до бюджету податок з доходу від операцій з продажу (обміну) об’єктів рухомого майна.</w:t>
      </w:r>
    </w:p>
    <w:p w14:paraId="46AFD0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6" w:name="n14143"/>
      <w:bookmarkEnd w:id="4936"/>
      <w:r w:rsidRPr="008B264B">
        <w:rPr>
          <w:rFonts w:ascii="Times New Roman" w:eastAsia="Times New Roman" w:hAnsi="Times New Roman" w:cs="Times New Roman"/>
          <w:i/>
          <w:iCs/>
          <w:color w:val="000000"/>
          <w:sz w:val="24"/>
          <w:szCs w:val="24"/>
          <w:lang/>
        </w:rPr>
        <w:t>{Абзац другий пункту 173.3 статті 173 в редакції Закону </w:t>
      </w:r>
      <w:hyperlink r:id="rId2692" w:anchor="n10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E878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7" w:name="n4196"/>
      <w:bookmarkEnd w:id="4937"/>
      <w:r w:rsidRPr="008B264B">
        <w:rPr>
          <w:rFonts w:ascii="Times New Roman" w:eastAsia="Times New Roman" w:hAnsi="Times New Roman" w:cs="Times New Roman"/>
          <w:color w:val="000000"/>
          <w:sz w:val="24"/>
          <w:szCs w:val="24"/>
          <w:lang/>
        </w:rPr>
        <w:t>173.4. Під час проведення операцій з відчуження об'єктів рухомого майна в порядку, передбаченому цією статтею:</w:t>
      </w:r>
    </w:p>
    <w:p w14:paraId="2E5AC8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8" w:name="n4197"/>
      <w:bookmarkEnd w:id="4938"/>
      <w:r w:rsidRPr="008B264B">
        <w:rPr>
          <w:rFonts w:ascii="Times New Roman" w:eastAsia="Times New Roman" w:hAnsi="Times New Roman" w:cs="Times New Roman"/>
          <w:color w:val="000000"/>
          <w:sz w:val="24"/>
          <w:szCs w:val="24"/>
          <w:lang/>
        </w:rPr>
        <w:t>нотаріус посвідчує відповідний договір купівлі-продажу (міни) об’єктів рухомого майна (крім легкових автомобілів, мотоциклів, мопедів) за наявності документа про оцінку майна та документа про сплату до бюджету продавцем (сторонами договору міни) податку, обчисленого виходячи із ціни, зазначеної в договорі;</w:t>
      </w:r>
    </w:p>
    <w:p w14:paraId="6BBA9F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39" w:name="n4198"/>
      <w:bookmarkEnd w:id="4939"/>
      <w:r w:rsidRPr="008B264B">
        <w:rPr>
          <w:rFonts w:ascii="Times New Roman" w:eastAsia="Times New Roman" w:hAnsi="Times New Roman" w:cs="Times New Roman"/>
          <w:i/>
          <w:iCs/>
          <w:color w:val="000000"/>
          <w:sz w:val="24"/>
          <w:szCs w:val="24"/>
          <w:lang/>
        </w:rPr>
        <w:t>{Абзац другий пункту 173.4 статті 173 в редакції Закону </w:t>
      </w:r>
      <w:hyperlink r:id="rId2693" w:anchor="n14"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718106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0" w:name="n4199"/>
      <w:bookmarkEnd w:id="4940"/>
      <w:r w:rsidRPr="008B264B">
        <w:rPr>
          <w:rFonts w:ascii="Times New Roman" w:eastAsia="Times New Roman" w:hAnsi="Times New Roman" w:cs="Times New Roman"/>
          <w:color w:val="000000"/>
          <w:sz w:val="24"/>
          <w:szCs w:val="24"/>
          <w:lang/>
        </w:rPr>
        <w:t>при продажу (обміні) легкових автомобілів, мотоциклів, мопедів відповідні договори посвідчуються нотаріусом за наявності документа про сплату до бюджету продавцем (сторонами договору міни) податку, обчисленого виходячи із зазначеної у договорі купівлі-продажу (міни), але не нижче середньоринкової вартості таких транспортних засобів;</w:t>
      </w:r>
    </w:p>
    <w:p w14:paraId="7DD8F6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1" w:name="n4200"/>
      <w:bookmarkEnd w:id="4941"/>
      <w:r w:rsidRPr="008B264B">
        <w:rPr>
          <w:rFonts w:ascii="Times New Roman" w:eastAsia="Times New Roman" w:hAnsi="Times New Roman" w:cs="Times New Roman"/>
          <w:i/>
          <w:iCs/>
          <w:color w:val="000000"/>
          <w:sz w:val="24"/>
          <w:szCs w:val="24"/>
          <w:lang/>
        </w:rPr>
        <w:t>{Абзац пункту 173.4 статті 173 в редакції Закону </w:t>
      </w:r>
      <w:hyperlink r:id="rId2694" w:anchor="n14"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07642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2" w:name="n4201"/>
      <w:bookmarkEnd w:id="4942"/>
      <w:r w:rsidRPr="008B264B">
        <w:rPr>
          <w:rFonts w:ascii="Times New Roman" w:eastAsia="Times New Roman" w:hAnsi="Times New Roman" w:cs="Times New Roman"/>
          <w:color w:val="000000"/>
          <w:sz w:val="24"/>
          <w:szCs w:val="24"/>
          <w:lang/>
        </w:rPr>
        <w:t>якщо при продажу (обміні) легкових автомобілів, мотоциклів, мопедів проводиться їх оцінка відповідно до закону, нотаріус посвідчує відповідні договори за наявності документа про сплату до бюджету продавцем (сторонами договору міни) податку, обчисленого виходячи з такої оціночної вартості таких транспортних засобів, та документа про оцінку транспортних засобів.</w:t>
      </w:r>
    </w:p>
    <w:p w14:paraId="28CD2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3" w:name="n4202"/>
      <w:bookmarkEnd w:id="4943"/>
      <w:r w:rsidRPr="008B264B">
        <w:rPr>
          <w:rFonts w:ascii="Times New Roman" w:eastAsia="Times New Roman" w:hAnsi="Times New Roman" w:cs="Times New Roman"/>
          <w:i/>
          <w:iCs/>
          <w:color w:val="000000"/>
          <w:sz w:val="24"/>
          <w:szCs w:val="24"/>
          <w:lang/>
        </w:rPr>
        <w:t>{Абзац пункту 173.4 статті 173 в редакції Закону </w:t>
      </w:r>
      <w:hyperlink r:id="rId2695" w:anchor="n14"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6172C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4" w:name="n4203"/>
      <w:bookmarkEnd w:id="4944"/>
      <w:r w:rsidRPr="008B264B">
        <w:rPr>
          <w:rFonts w:ascii="Times New Roman" w:eastAsia="Times New Roman" w:hAnsi="Times New Roman" w:cs="Times New Roman"/>
          <w:color w:val="000000"/>
          <w:sz w:val="24"/>
          <w:szCs w:val="24"/>
          <w:lang/>
        </w:rPr>
        <w:t>Нотаріус щокварталу подає до контролюючого органу за місцем розташування державної нотаріальної контори або робочого місця приватного нотаріуса інформацію про посвідчені договори купівлі-продажу (міни), про вартість кожного договору та про суму сплаченого податку у порядку, встановленому цим розділом для податкового розрахунку;</w:t>
      </w:r>
    </w:p>
    <w:p w14:paraId="0C8A3B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5" w:name="n4204"/>
      <w:bookmarkEnd w:id="4945"/>
      <w:r w:rsidRPr="008B264B">
        <w:rPr>
          <w:rFonts w:ascii="Times New Roman" w:eastAsia="Times New Roman" w:hAnsi="Times New Roman" w:cs="Times New Roman"/>
          <w:i/>
          <w:iCs/>
          <w:color w:val="000000"/>
          <w:sz w:val="24"/>
          <w:szCs w:val="24"/>
          <w:lang/>
        </w:rPr>
        <w:t>{Абзац пункту 173.4 статті 173 в редакції Закону </w:t>
      </w:r>
      <w:hyperlink r:id="rId2696" w:anchor="n14"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2E0AAB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6" w:name="n4205"/>
      <w:bookmarkEnd w:id="4946"/>
      <w:r w:rsidRPr="008B264B">
        <w:rPr>
          <w:rFonts w:ascii="Times New Roman" w:eastAsia="Times New Roman" w:hAnsi="Times New Roman" w:cs="Times New Roman"/>
          <w:color w:val="000000"/>
          <w:sz w:val="24"/>
          <w:szCs w:val="24"/>
          <w:lang/>
        </w:rPr>
        <w:t>суб'єкт господарювання, який надає послуги з укладення біржових угод або бере участь в їх укладенні за наявності оціночної вартості такого рухомого майна та документа про сплату податку сторонами договору, щокварталу подає до контролюючого органу інформацію про такі угоди, включаючи інформацію про суму доходу та суму сплаченого до бюджету податку, в порядку та строки, встановлені для податкового розрахунку.</w:t>
      </w:r>
    </w:p>
    <w:p w14:paraId="6A72FF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7" w:name="n14145"/>
      <w:bookmarkEnd w:id="4947"/>
      <w:r w:rsidRPr="008B264B">
        <w:rPr>
          <w:rFonts w:ascii="Times New Roman" w:eastAsia="Times New Roman" w:hAnsi="Times New Roman" w:cs="Times New Roman"/>
          <w:color w:val="000000"/>
          <w:sz w:val="24"/>
          <w:szCs w:val="24"/>
          <w:lang/>
        </w:rPr>
        <w:t xml:space="preserve">Органи, у присутності посадових осіб яких між фізичними особами здійснюються укладення та оформлення договорів купівлі-продажу (міни, поставки), а також інших договорів, здійснюють у встановленому законом порядку реєстрацію таких транспортних засобів за наявності оціночної або середньоринкової вартості такого рухомого майна та документа про сплату податку сторонами договору, обчисленого в установленому цим Кодексом порядку, та щокварталу подають до контролюючого органу інформацію про такі договори (угоди), включаючи </w:t>
      </w:r>
      <w:r w:rsidRPr="008B264B">
        <w:rPr>
          <w:rFonts w:ascii="Times New Roman" w:eastAsia="Times New Roman" w:hAnsi="Times New Roman" w:cs="Times New Roman"/>
          <w:color w:val="000000"/>
          <w:sz w:val="24"/>
          <w:szCs w:val="24"/>
          <w:lang/>
        </w:rPr>
        <w:lastRenderedPageBreak/>
        <w:t>інформацію про суму доходу та суму сплаченого до бюджету податку, в порядку та строки, встановлені для податкового розрахунку.</w:t>
      </w:r>
    </w:p>
    <w:p w14:paraId="58B973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8" w:name="n14144"/>
      <w:bookmarkEnd w:id="4948"/>
      <w:r w:rsidRPr="008B264B">
        <w:rPr>
          <w:rFonts w:ascii="Times New Roman" w:eastAsia="Times New Roman" w:hAnsi="Times New Roman" w:cs="Times New Roman"/>
          <w:i/>
          <w:iCs/>
          <w:color w:val="000000"/>
          <w:sz w:val="24"/>
          <w:szCs w:val="24"/>
          <w:lang/>
        </w:rPr>
        <w:t>{Пункт 173.4 статті 173 доповнено новим абзацом згідно із Законом </w:t>
      </w:r>
      <w:hyperlink r:id="rId2697" w:anchor="n102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D9D8F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49" w:name="n4206"/>
      <w:bookmarkEnd w:id="4949"/>
      <w:r w:rsidRPr="008B264B">
        <w:rPr>
          <w:rFonts w:ascii="Times New Roman" w:eastAsia="Times New Roman" w:hAnsi="Times New Roman" w:cs="Times New Roman"/>
          <w:color w:val="000000"/>
          <w:sz w:val="24"/>
          <w:szCs w:val="24"/>
          <w:lang/>
        </w:rPr>
        <w:t>Для цілей цього пункту платник податку самостійно визначає суму податку і сплачує його до бюджету через банківські установи.</w:t>
      </w:r>
    </w:p>
    <w:p w14:paraId="00864D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0" w:name="n4207"/>
      <w:bookmarkEnd w:id="4950"/>
      <w:r w:rsidRPr="008B264B">
        <w:rPr>
          <w:rFonts w:ascii="Times New Roman" w:eastAsia="Times New Roman" w:hAnsi="Times New Roman" w:cs="Times New Roman"/>
          <w:color w:val="000000"/>
          <w:sz w:val="24"/>
          <w:szCs w:val="24"/>
          <w:lang/>
        </w:rPr>
        <w:t>У разі ухвалення судом, третейським судом рішення про зміну власника та перехід права власності на рухоме майно сума податку визначається та самостійно сплачується через банківські установи особою, у власності якої перебував об'єкт рухомого майна, відчужений за таким рішенням, на підставі відображення ним доходу від такого відчуження у складі загального річного оподатковуваного доходу.</w:t>
      </w:r>
    </w:p>
    <w:p w14:paraId="3B48B4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1" w:name="n4208"/>
      <w:bookmarkEnd w:id="4951"/>
      <w:r w:rsidRPr="008B264B">
        <w:rPr>
          <w:rFonts w:ascii="Times New Roman" w:eastAsia="Times New Roman" w:hAnsi="Times New Roman" w:cs="Times New Roman"/>
          <w:i/>
          <w:iCs/>
          <w:color w:val="000000"/>
          <w:sz w:val="24"/>
          <w:szCs w:val="24"/>
          <w:lang/>
        </w:rPr>
        <w:t>{Пункт 173.5 статті 173 виключено на підставі Закону </w:t>
      </w:r>
      <w:hyperlink r:id="rId2698" w:anchor="n22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F48A0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2" w:name="n4209"/>
      <w:bookmarkEnd w:id="4952"/>
      <w:r w:rsidRPr="008B264B">
        <w:rPr>
          <w:rFonts w:ascii="Times New Roman" w:eastAsia="Times New Roman" w:hAnsi="Times New Roman" w:cs="Times New Roman"/>
          <w:color w:val="000000"/>
          <w:sz w:val="24"/>
          <w:szCs w:val="24"/>
          <w:lang/>
        </w:rPr>
        <w:t>173.6. Дохід від операцій з продажу (обміну) об'єктів рухомого майна, що здійснюються фізичними особами - нерезидентами, оподатковується згідно з цією статтею в порядку, встановленому для резидентів, за ставкою, визначеною у </w:t>
      </w:r>
      <w:hyperlink r:id="rId2699" w:anchor="n3851" w:history="1">
        <w:r w:rsidRPr="008B264B">
          <w:rPr>
            <w:rFonts w:ascii="Times New Roman" w:eastAsia="Times New Roman" w:hAnsi="Times New Roman" w:cs="Times New Roman"/>
            <w:color w:val="0000FF"/>
            <w:sz w:val="24"/>
            <w:szCs w:val="24"/>
            <w:u w:val="single"/>
            <w:lang/>
          </w:rPr>
          <w:t>пункті 167.1</w:t>
        </w:r>
      </w:hyperlink>
      <w:r w:rsidRPr="008B264B">
        <w:rPr>
          <w:rFonts w:ascii="Times New Roman" w:eastAsia="Times New Roman" w:hAnsi="Times New Roman" w:cs="Times New Roman"/>
          <w:color w:val="000000"/>
          <w:sz w:val="24"/>
          <w:szCs w:val="24"/>
          <w:lang/>
        </w:rPr>
        <w:t> статті 167 цього Кодексу.</w:t>
      </w:r>
    </w:p>
    <w:p w14:paraId="503E53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3" w:name="n12741"/>
      <w:bookmarkEnd w:id="4953"/>
      <w:r w:rsidRPr="008B264B">
        <w:rPr>
          <w:rFonts w:ascii="Times New Roman" w:eastAsia="Times New Roman" w:hAnsi="Times New Roman" w:cs="Times New Roman"/>
          <w:i/>
          <w:iCs/>
          <w:color w:val="000000"/>
          <w:sz w:val="24"/>
          <w:szCs w:val="24"/>
          <w:lang/>
        </w:rPr>
        <w:t>{Пункт 173.6 статті 173 із змінами, внесеними згідно із Законом </w:t>
      </w:r>
      <w:hyperlink r:id="rId2700" w:anchor="n15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2259F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4" w:name="n4210"/>
      <w:bookmarkEnd w:id="4954"/>
      <w:r w:rsidRPr="008B264B">
        <w:rPr>
          <w:rFonts w:ascii="Times New Roman" w:eastAsia="Times New Roman" w:hAnsi="Times New Roman" w:cs="Times New Roman"/>
          <w:color w:val="000000"/>
          <w:sz w:val="24"/>
          <w:szCs w:val="24"/>
          <w:lang/>
        </w:rPr>
        <w:t>173.7. Продаж резидентами та нерезидентами успадкованого (отриманого в подарунок) об'єкта рухомого майна підлягає оподаткуванню згідно з положеннями цієї статті.</w:t>
      </w:r>
    </w:p>
    <w:p w14:paraId="786AC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5" w:name="n4211"/>
      <w:bookmarkEnd w:id="4955"/>
      <w:r w:rsidRPr="008B264B">
        <w:rPr>
          <w:rFonts w:ascii="Times New Roman" w:eastAsia="Times New Roman" w:hAnsi="Times New Roman" w:cs="Times New Roman"/>
          <w:color w:val="000000"/>
          <w:sz w:val="24"/>
          <w:szCs w:val="24"/>
          <w:lang/>
        </w:rPr>
        <w:t>173.8. Для цілей цієї статті під продажем розуміється будь-який перехід права власності на об'єкти рухомого майна, крім їх успадкування та дарування. Норми цієї статті не застосовуються до операцій з валютними цінностями, які оподатковуються відповідно до </w:t>
      </w:r>
      <w:hyperlink r:id="rId2701" w:anchor="n3810" w:history="1">
        <w:r w:rsidRPr="008B264B">
          <w:rPr>
            <w:rFonts w:ascii="Times New Roman" w:eastAsia="Times New Roman" w:hAnsi="Times New Roman" w:cs="Times New Roman"/>
            <w:color w:val="0000FF"/>
            <w:sz w:val="24"/>
            <w:szCs w:val="24"/>
            <w:u w:val="single"/>
            <w:lang/>
          </w:rPr>
          <w:t>підпункту 165.1.51</w:t>
        </w:r>
      </w:hyperlink>
      <w:r w:rsidRPr="008B264B">
        <w:rPr>
          <w:rFonts w:ascii="Times New Roman" w:eastAsia="Times New Roman" w:hAnsi="Times New Roman" w:cs="Times New Roman"/>
          <w:color w:val="000000"/>
          <w:sz w:val="24"/>
          <w:szCs w:val="24"/>
          <w:lang/>
        </w:rPr>
        <w:t> пункту 165.1 статті 165 цього Кодексу.</w:t>
      </w:r>
    </w:p>
    <w:p w14:paraId="339E63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6" w:name="n4212"/>
      <w:bookmarkEnd w:id="4956"/>
      <w:r w:rsidRPr="008B264B">
        <w:rPr>
          <w:rFonts w:ascii="Times New Roman" w:eastAsia="Times New Roman" w:hAnsi="Times New Roman" w:cs="Times New Roman"/>
          <w:i/>
          <w:iCs/>
          <w:color w:val="000000"/>
          <w:sz w:val="24"/>
          <w:szCs w:val="24"/>
          <w:lang/>
        </w:rPr>
        <w:t>{Пункт 173.8 статті 173 із змінами, внесеними згідно із Законами </w:t>
      </w:r>
      <w:hyperlink r:id="rId270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703" w:anchor="n22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E6ABE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7" w:name="n4213"/>
      <w:bookmarkEnd w:id="4957"/>
      <w:r w:rsidRPr="008B264B">
        <w:rPr>
          <w:rFonts w:ascii="Times New Roman" w:eastAsia="Times New Roman" w:hAnsi="Times New Roman" w:cs="Times New Roman"/>
          <w:b/>
          <w:bCs/>
          <w:color w:val="000000"/>
          <w:sz w:val="24"/>
          <w:szCs w:val="24"/>
          <w:lang/>
        </w:rPr>
        <w:t>Стаття 174.</w:t>
      </w:r>
      <w:r w:rsidRPr="008B264B">
        <w:rPr>
          <w:rFonts w:ascii="Times New Roman" w:eastAsia="Times New Roman" w:hAnsi="Times New Roman" w:cs="Times New Roman"/>
          <w:color w:val="000000"/>
          <w:sz w:val="24"/>
          <w:szCs w:val="24"/>
          <w:lang/>
        </w:rPr>
        <w:t> Оподаткування доходу, отриманого платником податку в результаті прийняття ним у спадщину чи дарунок коштів, майна, майнових чи немайнових прав</w:t>
      </w:r>
    </w:p>
    <w:p w14:paraId="402789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8" w:name="n4214"/>
      <w:bookmarkEnd w:id="4958"/>
      <w:r w:rsidRPr="008B264B">
        <w:rPr>
          <w:rFonts w:ascii="Times New Roman" w:eastAsia="Times New Roman" w:hAnsi="Times New Roman" w:cs="Times New Roman"/>
          <w:color w:val="000000"/>
          <w:sz w:val="24"/>
          <w:szCs w:val="24"/>
          <w:lang/>
        </w:rPr>
        <w:t>174.1. Об'єкти спадщини платника податку поділяються з метою оподаткування на:</w:t>
      </w:r>
    </w:p>
    <w:p w14:paraId="47DE8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59" w:name="n4215"/>
      <w:bookmarkEnd w:id="4959"/>
      <w:r w:rsidRPr="008B264B">
        <w:rPr>
          <w:rFonts w:ascii="Times New Roman" w:eastAsia="Times New Roman" w:hAnsi="Times New Roman" w:cs="Times New Roman"/>
          <w:color w:val="000000"/>
          <w:sz w:val="24"/>
          <w:szCs w:val="24"/>
          <w:lang/>
        </w:rPr>
        <w:t>а) об'єкт нерухомості;</w:t>
      </w:r>
    </w:p>
    <w:p w14:paraId="3EC45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0" w:name="n4216"/>
      <w:bookmarkEnd w:id="4960"/>
      <w:r w:rsidRPr="008B264B">
        <w:rPr>
          <w:rFonts w:ascii="Times New Roman" w:eastAsia="Times New Roman" w:hAnsi="Times New Roman" w:cs="Times New Roman"/>
          <w:color w:val="000000"/>
          <w:sz w:val="24"/>
          <w:szCs w:val="24"/>
          <w:lang/>
        </w:rPr>
        <w:t>б) об'єкт рухомого майна, зокрема:</w:t>
      </w:r>
    </w:p>
    <w:p w14:paraId="0DA27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1" w:name="n4217"/>
      <w:bookmarkEnd w:id="4961"/>
      <w:r w:rsidRPr="008B264B">
        <w:rPr>
          <w:rFonts w:ascii="Times New Roman" w:eastAsia="Times New Roman" w:hAnsi="Times New Roman" w:cs="Times New Roman"/>
          <w:color w:val="000000"/>
          <w:sz w:val="24"/>
          <w:szCs w:val="24"/>
          <w:lang/>
        </w:rPr>
        <w:t>предмет антикваріату або витвір мистецтва;</w:t>
      </w:r>
    </w:p>
    <w:p w14:paraId="2C164E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2" w:name="n4218"/>
      <w:bookmarkEnd w:id="4962"/>
      <w:r w:rsidRPr="008B264B">
        <w:rPr>
          <w:rFonts w:ascii="Times New Roman" w:eastAsia="Times New Roman" w:hAnsi="Times New Roman" w:cs="Times New Roman"/>
          <w:color w:val="000000"/>
          <w:sz w:val="24"/>
          <w:szCs w:val="24"/>
          <w:lang/>
        </w:rPr>
        <w:t>природне дорогоцінне каміння чи дорогоцінний метал, прикраса з використанням дорогоцінних металів та/або природного дорогоцінного каміння;</w:t>
      </w:r>
    </w:p>
    <w:p w14:paraId="6EC60E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3" w:name="n4219"/>
      <w:bookmarkEnd w:id="4963"/>
      <w:r w:rsidRPr="008B264B">
        <w:rPr>
          <w:rFonts w:ascii="Times New Roman" w:eastAsia="Times New Roman" w:hAnsi="Times New Roman" w:cs="Times New Roman"/>
          <w:color w:val="000000"/>
          <w:sz w:val="24"/>
          <w:szCs w:val="24"/>
          <w:lang/>
        </w:rPr>
        <w:t>будь-який транспортний засіб та приладдя до нього;</w:t>
      </w:r>
    </w:p>
    <w:p w14:paraId="3F2819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4" w:name="n4220"/>
      <w:bookmarkEnd w:id="4964"/>
      <w:r w:rsidRPr="008B264B">
        <w:rPr>
          <w:rFonts w:ascii="Times New Roman" w:eastAsia="Times New Roman" w:hAnsi="Times New Roman" w:cs="Times New Roman"/>
          <w:color w:val="000000"/>
          <w:sz w:val="24"/>
          <w:szCs w:val="24"/>
          <w:lang/>
        </w:rPr>
        <w:t>інші види рухомого майна;</w:t>
      </w:r>
    </w:p>
    <w:p w14:paraId="00756F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5" w:name="n4221"/>
      <w:bookmarkEnd w:id="4965"/>
      <w:r w:rsidRPr="008B264B">
        <w:rPr>
          <w:rFonts w:ascii="Times New Roman" w:eastAsia="Times New Roman" w:hAnsi="Times New Roman" w:cs="Times New Roman"/>
          <w:color w:val="000000"/>
          <w:sz w:val="24"/>
          <w:szCs w:val="24"/>
          <w:lang/>
        </w:rPr>
        <w:t>в) об'єкт комерційної власності, а саме: цінні папери (крім депозитного (ощадного), іпотечного сертифіката), корпоративне право, власність на об'єкт бізнесу як такий, тобто власність на цілісний майновий комплекс, інтелектуальна (промислова) власність або право на отримання доходу від неї, майнові та немайнові права;</w:t>
      </w:r>
    </w:p>
    <w:p w14:paraId="34352D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6" w:name="n4222"/>
      <w:bookmarkEnd w:id="4966"/>
      <w:r w:rsidRPr="008B264B">
        <w:rPr>
          <w:rFonts w:ascii="Times New Roman" w:eastAsia="Times New Roman" w:hAnsi="Times New Roman" w:cs="Times New Roman"/>
          <w:color w:val="000000"/>
          <w:sz w:val="24"/>
          <w:szCs w:val="24"/>
          <w:lang/>
        </w:rPr>
        <w:t>г) сума страхового відшкодування (страхових виплат) за страховими договорами, а також сума, що зберігається відповідно на пенсійному депозитному рахунку, накопичувальному пенсійному рахунку, індивідуальному пенсійному рахунку спадкодавця - учасника накопичувальної системи пенсійного забезпечення;</w:t>
      </w:r>
    </w:p>
    <w:p w14:paraId="771183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7" w:name="n4223"/>
      <w:bookmarkEnd w:id="4967"/>
      <w:r w:rsidRPr="008B264B">
        <w:rPr>
          <w:rFonts w:ascii="Times New Roman" w:eastAsia="Times New Roman" w:hAnsi="Times New Roman" w:cs="Times New Roman"/>
          <w:color w:val="000000"/>
          <w:sz w:val="24"/>
          <w:szCs w:val="24"/>
          <w:lang/>
        </w:rPr>
        <w:lastRenderedPageBreak/>
        <w:t>ґ) готівка або кошти, що зберігаються на рахунках спадкодавця, відкритих у банківських і небанківських фінансових установах, у тому числі депозитні (ощадні), іпотечні сертифікати, сертифікати фонду операцій з нерухомістю.</w:t>
      </w:r>
    </w:p>
    <w:p w14:paraId="760151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8" w:name="n4224"/>
      <w:bookmarkEnd w:id="4968"/>
      <w:r w:rsidRPr="008B264B">
        <w:rPr>
          <w:rFonts w:ascii="Times New Roman" w:eastAsia="Times New Roman" w:hAnsi="Times New Roman" w:cs="Times New Roman"/>
          <w:color w:val="000000"/>
          <w:sz w:val="24"/>
          <w:szCs w:val="24"/>
          <w:lang/>
        </w:rPr>
        <w:t>174.2. Об'єкти спадщини оподатковуються:</w:t>
      </w:r>
    </w:p>
    <w:p w14:paraId="2BB18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69" w:name="n4225"/>
      <w:bookmarkEnd w:id="4969"/>
      <w:r w:rsidRPr="008B264B">
        <w:rPr>
          <w:rFonts w:ascii="Times New Roman" w:eastAsia="Times New Roman" w:hAnsi="Times New Roman" w:cs="Times New Roman"/>
          <w:color w:val="000000"/>
          <w:sz w:val="24"/>
          <w:szCs w:val="24"/>
          <w:lang/>
        </w:rPr>
        <w:t>174.2.1. за нульовою ставкою:</w:t>
      </w:r>
    </w:p>
    <w:p w14:paraId="54D463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0" w:name="n4226"/>
      <w:bookmarkEnd w:id="4970"/>
      <w:r w:rsidRPr="008B264B">
        <w:rPr>
          <w:rFonts w:ascii="Times New Roman" w:eastAsia="Times New Roman" w:hAnsi="Times New Roman" w:cs="Times New Roman"/>
          <w:color w:val="000000"/>
          <w:sz w:val="24"/>
          <w:szCs w:val="24"/>
          <w:lang/>
        </w:rPr>
        <w:t>а) об’єкти спадщини, що успадковується членами сім’ї спадкодавця першого та другого ступенів споріднення;</w:t>
      </w:r>
    </w:p>
    <w:p w14:paraId="72F94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1" w:name="n14614"/>
      <w:bookmarkEnd w:id="4971"/>
      <w:r w:rsidRPr="008B264B">
        <w:rPr>
          <w:rFonts w:ascii="Times New Roman" w:eastAsia="Times New Roman" w:hAnsi="Times New Roman" w:cs="Times New Roman"/>
          <w:i/>
          <w:iCs/>
          <w:color w:val="000000"/>
          <w:sz w:val="24"/>
          <w:szCs w:val="24"/>
          <w:lang/>
        </w:rPr>
        <w:t>{Підпункт "а" підпункту 174.2.1 пункту 174.2 статті 174 в редакції Закону </w:t>
      </w:r>
      <w:hyperlink r:id="rId2704" w:anchor="n11"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600C5D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2" w:name="n4227"/>
      <w:bookmarkEnd w:id="4972"/>
      <w:r w:rsidRPr="008B264B">
        <w:rPr>
          <w:rFonts w:ascii="Times New Roman" w:eastAsia="Times New Roman" w:hAnsi="Times New Roman" w:cs="Times New Roman"/>
          <w:color w:val="000000"/>
          <w:sz w:val="24"/>
          <w:szCs w:val="24"/>
          <w:lang/>
        </w:rPr>
        <w:t>б) вартість власності, зазначеної в </w:t>
      </w:r>
      <w:hyperlink r:id="rId2705" w:anchor="n4215" w:history="1">
        <w:r w:rsidRPr="008B264B">
          <w:rPr>
            <w:rFonts w:ascii="Times New Roman" w:eastAsia="Times New Roman" w:hAnsi="Times New Roman" w:cs="Times New Roman"/>
            <w:color w:val="0000FF"/>
            <w:sz w:val="24"/>
            <w:szCs w:val="24"/>
            <w:u w:val="single"/>
            <w:lang/>
          </w:rPr>
          <w:t>підпунктах "а"</w:t>
        </w:r>
      </w:hyperlink>
      <w:r w:rsidRPr="008B264B">
        <w:rPr>
          <w:rFonts w:ascii="Times New Roman" w:eastAsia="Times New Roman" w:hAnsi="Times New Roman" w:cs="Times New Roman"/>
          <w:color w:val="000000"/>
          <w:sz w:val="24"/>
          <w:szCs w:val="24"/>
          <w:lang/>
        </w:rPr>
        <w:t>, </w:t>
      </w:r>
      <w:hyperlink r:id="rId2706" w:anchor="n4216" w:history="1">
        <w:r w:rsidRPr="008B264B">
          <w:rPr>
            <w:rFonts w:ascii="Times New Roman" w:eastAsia="Times New Roman" w:hAnsi="Times New Roman" w:cs="Times New Roman"/>
            <w:color w:val="0000FF"/>
            <w:sz w:val="24"/>
            <w:szCs w:val="24"/>
            <w:u w:val="single"/>
            <w:lang/>
          </w:rPr>
          <w:t>"б"</w:t>
        </w:r>
      </w:hyperlink>
      <w:r w:rsidRPr="008B264B">
        <w:rPr>
          <w:rFonts w:ascii="Times New Roman" w:eastAsia="Times New Roman" w:hAnsi="Times New Roman" w:cs="Times New Roman"/>
          <w:color w:val="000000"/>
          <w:sz w:val="24"/>
          <w:szCs w:val="24"/>
          <w:lang/>
        </w:rPr>
        <w:t>, </w:t>
      </w:r>
      <w:hyperlink r:id="rId2707" w:anchor="n4223" w:history="1">
        <w:r w:rsidRPr="008B264B">
          <w:rPr>
            <w:rFonts w:ascii="Times New Roman" w:eastAsia="Times New Roman" w:hAnsi="Times New Roman" w:cs="Times New Roman"/>
            <w:color w:val="0000FF"/>
            <w:sz w:val="24"/>
            <w:szCs w:val="24"/>
            <w:u w:val="single"/>
            <w:lang/>
          </w:rPr>
          <w:t>"ґ" пункту 174.1</w:t>
        </w:r>
      </w:hyperlink>
      <w:r w:rsidRPr="008B264B">
        <w:rPr>
          <w:rFonts w:ascii="Times New Roman" w:eastAsia="Times New Roman" w:hAnsi="Times New Roman" w:cs="Times New Roman"/>
          <w:color w:val="000000"/>
          <w:sz w:val="24"/>
          <w:szCs w:val="24"/>
          <w:lang/>
        </w:rPr>
        <w:t> цієї статті, що успадковується особою, яка є особою з інвалідністю I групи або має статус дитини-сироти або дитини, позбавленої батьківського піклування, та вартість власності, зазначеної в підпунктах "а", "б" пункту 174.1, що успадковуються дитиною з інвалідністю;</w:t>
      </w:r>
    </w:p>
    <w:p w14:paraId="556EFF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3" w:name="n4228"/>
      <w:bookmarkEnd w:id="4973"/>
      <w:r w:rsidRPr="008B264B">
        <w:rPr>
          <w:rFonts w:ascii="Times New Roman" w:eastAsia="Times New Roman" w:hAnsi="Times New Roman" w:cs="Times New Roman"/>
          <w:color w:val="000000"/>
          <w:sz w:val="24"/>
          <w:szCs w:val="24"/>
          <w:lang/>
        </w:rPr>
        <w:t>в) грошові заощадження, поміщені до 2 січня 1992 року в установи Ощадного банку СРСР та державного страхування СРСР, що діяли на території України, а також у державні цінні папери (облігації Державної цільової безпроцентної позики 1990 року, облігації Державної внутрішньої виграшної позики 1982 року, державні казначейські зобов'язання СРСР, сертифікати Ощадного банку СРСР) та грошові заощадження громадян України, поміщені в установи Ощадного банку України та колишнього Укрдержстраху протягом 1992-1994 років, погашення яких не відбулося, що успадковуються будь-яким спадкоємцем;</w:t>
      </w:r>
    </w:p>
    <w:p w14:paraId="1E418B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4" w:name="n4229"/>
      <w:bookmarkEnd w:id="4974"/>
      <w:r w:rsidRPr="008B264B">
        <w:rPr>
          <w:rFonts w:ascii="Times New Roman" w:eastAsia="Times New Roman" w:hAnsi="Times New Roman" w:cs="Times New Roman"/>
          <w:color w:val="000000"/>
          <w:sz w:val="24"/>
          <w:szCs w:val="24"/>
          <w:lang/>
        </w:rPr>
        <w:t>174.2.2. за ставкою, визначеною </w:t>
      </w:r>
      <w:hyperlink r:id="rId2708" w:anchor="n3858" w:history="1">
        <w:r w:rsidRPr="008B264B">
          <w:rPr>
            <w:rFonts w:ascii="Times New Roman" w:eastAsia="Times New Roman" w:hAnsi="Times New Roman" w:cs="Times New Roman"/>
            <w:color w:val="0000FF"/>
            <w:sz w:val="24"/>
            <w:szCs w:val="24"/>
            <w:u w:val="single"/>
            <w:lang/>
          </w:rPr>
          <w:t>пунктом 167.2</w:t>
        </w:r>
      </w:hyperlink>
      <w:r w:rsidRPr="008B264B">
        <w:rPr>
          <w:rFonts w:ascii="Times New Roman" w:eastAsia="Times New Roman" w:hAnsi="Times New Roman" w:cs="Times New Roman"/>
          <w:color w:val="000000"/>
          <w:sz w:val="24"/>
          <w:szCs w:val="24"/>
          <w:lang/>
        </w:rPr>
        <w:t> статті 167 цього Кодексу, вартість будь-якого об'єкта спадщини, що успадковується спадкоємцями, які не зазначені у </w:t>
      </w:r>
      <w:hyperlink r:id="rId2709" w:anchor="n4225" w:history="1">
        <w:r w:rsidRPr="008B264B">
          <w:rPr>
            <w:rFonts w:ascii="Times New Roman" w:eastAsia="Times New Roman" w:hAnsi="Times New Roman" w:cs="Times New Roman"/>
            <w:color w:val="0000FF"/>
            <w:sz w:val="24"/>
            <w:szCs w:val="24"/>
            <w:u w:val="single"/>
            <w:lang/>
          </w:rPr>
          <w:t>підпункті 174.2.1</w:t>
        </w:r>
      </w:hyperlink>
      <w:r w:rsidRPr="008B264B">
        <w:rPr>
          <w:rFonts w:ascii="Times New Roman" w:eastAsia="Times New Roman" w:hAnsi="Times New Roman" w:cs="Times New Roman"/>
          <w:color w:val="000000"/>
          <w:sz w:val="24"/>
          <w:szCs w:val="24"/>
          <w:lang/>
        </w:rPr>
        <w:t> цього пункту;</w:t>
      </w:r>
    </w:p>
    <w:p w14:paraId="53930D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5" w:name="n14615"/>
      <w:bookmarkEnd w:id="4975"/>
      <w:r w:rsidRPr="008B264B">
        <w:rPr>
          <w:rFonts w:ascii="Times New Roman" w:eastAsia="Times New Roman" w:hAnsi="Times New Roman" w:cs="Times New Roman"/>
          <w:i/>
          <w:iCs/>
          <w:color w:val="000000"/>
          <w:sz w:val="24"/>
          <w:szCs w:val="24"/>
          <w:lang/>
        </w:rPr>
        <w:t>{Підпункт 174.2.2 пункту 174.2 статті 174 із змінами, внесеними згідно із Законом </w:t>
      </w:r>
      <w:hyperlink r:id="rId2710" w:anchor="n13"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4B7C44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6" w:name="n4230"/>
      <w:bookmarkEnd w:id="4976"/>
      <w:r w:rsidRPr="008B264B">
        <w:rPr>
          <w:rFonts w:ascii="Times New Roman" w:eastAsia="Times New Roman" w:hAnsi="Times New Roman" w:cs="Times New Roman"/>
          <w:color w:val="000000"/>
          <w:sz w:val="24"/>
          <w:szCs w:val="24"/>
          <w:lang/>
        </w:rPr>
        <w:t>174.2.3. за ставкою, визначеною у </w:t>
      </w:r>
      <w:hyperlink r:id="rId2711" w:anchor="n3851" w:history="1">
        <w:r w:rsidRPr="008B264B">
          <w:rPr>
            <w:rFonts w:ascii="Times New Roman" w:eastAsia="Times New Roman" w:hAnsi="Times New Roman" w:cs="Times New Roman"/>
            <w:color w:val="0000FF"/>
            <w:sz w:val="24"/>
            <w:szCs w:val="24"/>
            <w:u w:val="single"/>
            <w:lang/>
          </w:rPr>
          <w:t>пункті 167.1</w:t>
        </w:r>
      </w:hyperlink>
      <w:r w:rsidRPr="008B264B">
        <w:rPr>
          <w:rFonts w:ascii="Times New Roman" w:eastAsia="Times New Roman" w:hAnsi="Times New Roman" w:cs="Times New Roman"/>
          <w:color w:val="000000"/>
          <w:sz w:val="24"/>
          <w:szCs w:val="24"/>
          <w:lang/>
        </w:rPr>
        <w:t> статті 167 цього Кодексу, для будь-якого об'єкта спадщини, що успадковується спадкоємцем від спадкодавця-нерезидента, та для будь-якого об'єкта спадщини, що успадковується спадкоємцем-нерезидентом від спадкодавця-резидента.</w:t>
      </w:r>
    </w:p>
    <w:p w14:paraId="796641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7" w:name="n12742"/>
      <w:bookmarkEnd w:id="4977"/>
      <w:r w:rsidRPr="008B264B">
        <w:rPr>
          <w:rFonts w:ascii="Times New Roman" w:eastAsia="Times New Roman" w:hAnsi="Times New Roman" w:cs="Times New Roman"/>
          <w:i/>
          <w:iCs/>
          <w:color w:val="000000"/>
          <w:sz w:val="24"/>
          <w:szCs w:val="24"/>
          <w:lang/>
        </w:rPr>
        <w:t>{Підпункт 174.2.3 пункту 174.2 статті 174 із змінами, внесеними згідно із Законом </w:t>
      </w:r>
      <w:hyperlink r:id="rId2712" w:anchor="n15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2F578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8" w:name="n4231"/>
      <w:bookmarkEnd w:id="4978"/>
      <w:r w:rsidRPr="008B264B">
        <w:rPr>
          <w:rFonts w:ascii="Times New Roman" w:eastAsia="Times New Roman" w:hAnsi="Times New Roman" w:cs="Times New Roman"/>
          <w:color w:val="000000"/>
          <w:sz w:val="24"/>
          <w:szCs w:val="24"/>
          <w:lang/>
        </w:rPr>
        <w:t>174.3. Особами, відповідальними за сплату (перерахування) податку до бюджету, є спадкоємці, які отримали спадщину.</w:t>
      </w:r>
    </w:p>
    <w:p w14:paraId="7E1537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79" w:name="n4232"/>
      <w:bookmarkEnd w:id="4979"/>
      <w:r w:rsidRPr="008B264B">
        <w:rPr>
          <w:rFonts w:ascii="Times New Roman" w:eastAsia="Times New Roman" w:hAnsi="Times New Roman" w:cs="Times New Roman"/>
          <w:color w:val="000000"/>
          <w:sz w:val="24"/>
          <w:szCs w:val="24"/>
          <w:lang/>
        </w:rPr>
        <w:t>Дохід у вигляді вартості успадкованого майна (кошти, майно, майнові чи немайнові права) у межах, що підлягає оподаткуванню, зазначається в річній податковій декларації, крім спадкоємців-нерезидентів, які зобов'язані сплатити податок до нотаріального оформлення об'єктів спадщини або в сільських населених пунктах - до оформлення уповноваженою на це посадовою особою відповідного органу місцевого самоврядування за місцем відкриття спадщини, та спадкоємців, які отримали у спадщину об'єкти, що оподатковуються за нульовою ставкою податку на доходи фізичних осіб, а також іншими спадкоємцями - резидентами, які сплатили податок до нотаріального оформлення об'єктів спадщини.</w:t>
      </w:r>
    </w:p>
    <w:p w14:paraId="0EFD45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0" w:name="n4233"/>
      <w:bookmarkEnd w:id="4980"/>
      <w:r w:rsidRPr="008B264B">
        <w:rPr>
          <w:rFonts w:ascii="Times New Roman" w:eastAsia="Times New Roman" w:hAnsi="Times New Roman" w:cs="Times New Roman"/>
          <w:i/>
          <w:iCs/>
          <w:color w:val="000000"/>
          <w:sz w:val="24"/>
          <w:szCs w:val="24"/>
          <w:lang/>
        </w:rPr>
        <w:t>{Абзац другий пункту 174.3 статті 174 із змінами, внесеними згідно із Законами </w:t>
      </w:r>
      <w:hyperlink r:id="rId271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714" w:anchor="n12"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 </w:t>
      </w:r>
      <w:hyperlink r:id="rId2715" w:anchor="n14"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255814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1" w:name="n4234"/>
      <w:bookmarkEnd w:id="4981"/>
      <w:r w:rsidRPr="008B264B">
        <w:rPr>
          <w:rFonts w:ascii="Times New Roman" w:eastAsia="Times New Roman" w:hAnsi="Times New Roman" w:cs="Times New Roman"/>
          <w:color w:val="000000"/>
          <w:sz w:val="24"/>
          <w:szCs w:val="24"/>
          <w:lang/>
        </w:rPr>
        <w:lastRenderedPageBreak/>
        <w:t>174.4. Нотаріус за місцем розташування державної нотаріальної контори або робочого місця приватного нотаріуса та/або в сільських населених пунктах - уповноважена на це посадова особа відповідного органу місцевого самоврядування за місцем відкриття спадщини щокварталу подають до контролюючого органу інформацію про видачу свідоцтв про право на спадщину в порядку, встановленому цим розділом для податкового розрахунку. У такому самому порядку нотаріуси подають інформацію про посвідчення договорів дарування.</w:t>
      </w:r>
    </w:p>
    <w:p w14:paraId="3F0FC7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2" w:name="n4235"/>
      <w:bookmarkEnd w:id="4982"/>
      <w:r w:rsidRPr="008B264B">
        <w:rPr>
          <w:rFonts w:ascii="Times New Roman" w:eastAsia="Times New Roman" w:hAnsi="Times New Roman" w:cs="Times New Roman"/>
          <w:color w:val="000000"/>
          <w:sz w:val="24"/>
          <w:szCs w:val="24"/>
          <w:lang/>
        </w:rPr>
        <w:t>При цьому у такому податковому розрахунку обов’язково зазначається сума доходу у вигляді вартості успадкованого майна, отриманого платником податку, зазначеним у </w:t>
      </w:r>
      <w:hyperlink r:id="rId2716" w:anchor="n4229" w:history="1">
        <w:r w:rsidRPr="008B264B">
          <w:rPr>
            <w:rFonts w:ascii="Times New Roman" w:eastAsia="Times New Roman" w:hAnsi="Times New Roman" w:cs="Times New Roman"/>
            <w:color w:val="0000FF"/>
            <w:sz w:val="24"/>
            <w:szCs w:val="24"/>
            <w:u w:val="single"/>
            <w:lang/>
          </w:rPr>
          <w:t>підпункті 174.2.2</w:t>
        </w:r>
      </w:hyperlink>
      <w:r w:rsidRPr="008B264B">
        <w:rPr>
          <w:rFonts w:ascii="Times New Roman" w:eastAsia="Times New Roman" w:hAnsi="Times New Roman" w:cs="Times New Roman"/>
          <w:color w:val="000000"/>
          <w:sz w:val="24"/>
          <w:szCs w:val="24"/>
          <w:lang/>
        </w:rPr>
        <w:t> цього пункту.</w:t>
      </w:r>
    </w:p>
    <w:p w14:paraId="5B7111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3" w:name="n14617"/>
      <w:bookmarkEnd w:id="4983"/>
      <w:r w:rsidRPr="008B264B">
        <w:rPr>
          <w:rFonts w:ascii="Times New Roman" w:eastAsia="Times New Roman" w:hAnsi="Times New Roman" w:cs="Times New Roman"/>
          <w:color w:val="000000"/>
          <w:sz w:val="24"/>
          <w:szCs w:val="24"/>
          <w:lang/>
        </w:rPr>
        <w:t>Нотаріус або в сільських населених пунктах - уповноважена на це посадова особа відповідного органу місцевого самоврядування видає спадкоємцю-нерезиденту свідоцтво про право на спадщину за наявності документа про сплату таким спадкоємцем податку з вартості об’єкта спадщини.</w:t>
      </w:r>
    </w:p>
    <w:p w14:paraId="1BA67E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4" w:name="n14616"/>
      <w:bookmarkEnd w:id="4984"/>
      <w:r w:rsidRPr="008B264B">
        <w:rPr>
          <w:rFonts w:ascii="Times New Roman" w:eastAsia="Times New Roman" w:hAnsi="Times New Roman" w:cs="Times New Roman"/>
          <w:i/>
          <w:iCs/>
          <w:color w:val="000000"/>
          <w:sz w:val="24"/>
          <w:szCs w:val="24"/>
          <w:lang/>
        </w:rPr>
        <w:t>{Пункт 174.4 статті 174 в редакції Закону </w:t>
      </w:r>
      <w:hyperlink r:id="rId2717" w:anchor="n15"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5D4FC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5" w:name="n4236"/>
      <w:bookmarkEnd w:id="4985"/>
      <w:r w:rsidRPr="008B264B">
        <w:rPr>
          <w:rFonts w:ascii="Times New Roman" w:eastAsia="Times New Roman" w:hAnsi="Times New Roman" w:cs="Times New Roman"/>
          <w:color w:val="000000"/>
          <w:sz w:val="24"/>
          <w:szCs w:val="24"/>
          <w:lang/>
        </w:rPr>
        <w:t>174.5. </w:t>
      </w:r>
      <w:r w:rsidRPr="008B264B">
        <w:rPr>
          <w:rFonts w:ascii="Times New Roman" w:eastAsia="Times New Roman" w:hAnsi="Times New Roman" w:cs="Times New Roman"/>
          <w:i/>
          <w:iCs/>
          <w:color w:val="000000"/>
          <w:sz w:val="24"/>
          <w:szCs w:val="24"/>
          <w:lang/>
        </w:rPr>
        <w:t>{Абзац перший пункту 174.5 статті 174 виключено на підставі Закону </w:t>
      </w:r>
      <w:hyperlink r:id="rId2718" w:anchor="n23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8E83A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6" w:name="n4237"/>
      <w:bookmarkEnd w:id="4986"/>
      <w:r w:rsidRPr="008B264B">
        <w:rPr>
          <w:rFonts w:ascii="Times New Roman" w:eastAsia="Times New Roman" w:hAnsi="Times New Roman" w:cs="Times New Roman"/>
          <w:color w:val="000000"/>
          <w:sz w:val="24"/>
          <w:szCs w:val="24"/>
          <w:lang/>
        </w:rPr>
        <w:t>У разі переходу права на отримання страхових виплат згідно із статтею 1229 </w:t>
      </w:r>
      <w:hyperlink r:id="rId2719" w:tgtFrame="_blank" w:history="1">
        <w:r w:rsidRPr="008B264B">
          <w:rPr>
            <w:rFonts w:ascii="Times New Roman" w:eastAsia="Times New Roman" w:hAnsi="Times New Roman" w:cs="Times New Roman"/>
            <w:color w:val="0000FF"/>
            <w:sz w:val="24"/>
            <w:szCs w:val="24"/>
            <w:u w:val="single"/>
            <w:lang/>
          </w:rPr>
          <w:t>Цивільного кодексу України</w:t>
        </w:r>
      </w:hyperlink>
      <w:r w:rsidRPr="008B264B">
        <w:rPr>
          <w:rFonts w:ascii="Times New Roman" w:eastAsia="Times New Roman" w:hAnsi="Times New Roman" w:cs="Times New Roman"/>
          <w:color w:val="000000"/>
          <w:sz w:val="24"/>
          <w:szCs w:val="24"/>
          <w:lang/>
        </w:rPr>
        <w:t> податковим агентом є страхувальник - фінансова установа.</w:t>
      </w:r>
    </w:p>
    <w:p w14:paraId="6008A9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7" w:name="n4238"/>
      <w:bookmarkEnd w:id="4987"/>
      <w:r w:rsidRPr="008B264B">
        <w:rPr>
          <w:rFonts w:ascii="Times New Roman" w:eastAsia="Times New Roman" w:hAnsi="Times New Roman" w:cs="Times New Roman"/>
          <w:color w:val="000000"/>
          <w:sz w:val="24"/>
          <w:szCs w:val="24"/>
          <w:lang/>
        </w:rPr>
        <w:t>174.6. Об’єкти дарування, зазначені в </w:t>
      </w:r>
      <w:hyperlink r:id="rId2720" w:anchor="n4214" w:history="1">
        <w:r w:rsidRPr="008B264B">
          <w:rPr>
            <w:rFonts w:ascii="Times New Roman" w:eastAsia="Times New Roman" w:hAnsi="Times New Roman" w:cs="Times New Roman"/>
            <w:color w:val="0000FF"/>
            <w:sz w:val="24"/>
            <w:szCs w:val="24"/>
            <w:u w:val="single"/>
            <w:lang/>
          </w:rPr>
          <w:t>пункті 174.1</w:t>
        </w:r>
      </w:hyperlink>
      <w:r w:rsidRPr="008B264B">
        <w:rPr>
          <w:rFonts w:ascii="Times New Roman" w:eastAsia="Times New Roman" w:hAnsi="Times New Roman" w:cs="Times New Roman"/>
          <w:color w:val="000000"/>
          <w:sz w:val="24"/>
          <w:szCs w:val="24"/>
          <w:lang/>
        </w:rPr>
        <w:t> цієї статті, подаровані платнику податку іншою фізичною особою, оподатковуються згідно з правилами, встановленими цим розділом для оподаткування спадщини.</w:t>
      </w:r>
    </w:p>
    <w:p w14:paraId="475FED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8" w:name="n4239"/>
      <w:bookmarkEnd w:id="4988"/>
      <w:r w:rsidRPr="008B264B">
        <w:rPr>
          <w:rFonts w:ascii="Times New Roman" w:eastAsia="Times New Roman" w:hAnsi="Times New Roman" w:cs="Times New Roman"/>
          <w:color w:val="000000"/>
          <w:sz w:val="24"/>
          <w:szCs w:val="24"/>
          <w:lang/>
        </w:rPr>
        <w:t>Доходи у вигляді дарунка, нараховані (виплачені, надані) платнику податку юридичною особою або фізичною особою - підприємцем, оподатковуються на загальних підставах, передбачених цим розділом для оподаткування додаткового блага.</w:t>
      </w:r>
    </w:p>
    <w:p w14:paraId="46278F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89" w:name="n14618"/>
      <w:bookmarkEnd w:id="4989"/>
      <w:r w:rsidRPr="008B264B">
        <w:rPr>
          <w:rFonts w:ascii="Times New Roman" w:eastAsia="Times New Roman" w:hAnsi="Times New Roman" w:cs="Times New Roman"/>
          <w:i/>
          <w:iCs/>
          <w:color w:val="000000"/>
          <w:sz w:val="24"/>
          <w:szCs w:val="24"/>
          <w:lang/>
        </w:rPr>
        <w:t>{Пункт 174.6 статті 174 в редакції Закону </w:t>
      </w:r>
      <w:hyperlink r:id="rId2721" w:anchor="n15"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76BE19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0" w:name="n4240"/>
      <w:bookmarkEnd w:id="4990"/>
      <w:r w:rsidRPr="008B264B">
        <w:rPr>
          <w:rFonts w:ascii="Times New Roman" w:eastAsia="Times New Roman" w:hAnsi="Times New Roman" w:cs="Times New Roman"/>
          <w:color w:val="000000"/>
          <w:sz w:val="24"/>
          <w:szCs w:val="24"/>
          <w:lang/>
        </w:rPr>
        <w:t>174.7. Вартість легкових автомобілів, мотоциклів, мопедів, отриманих у спадщину чи дарунок, які підлягають оподаткуванню згідно з цією статтею, визначається у порядку, встановленому </w:t>
      </w:r>
      <w:hyperlink r:id="rId2722" w:anchor="n4186" w:history="1">
        <w:r w:rsidRPr="008B264B">
          <w:rPr>
            <w:rFonts w:ascii="Times New Roman" w:eastAsia="Times New Roman" w:hAnsi="Times New Roman" w:cs="Times New Roman"/>
            <w:color w:val="0000FF"/>
            <w:sz w:val="24"/>
            <w:szCs w:val="24"/>
            <w:u w:val="single"/>
            <w:lang/>
          </w:rPr>
          <w:t>абзацом третім пункту 173.1</w:t>
        </w:r>
      </w:hyperlink>
      <w:r w:rsidRPr="008B264B">
        <w:rPr>
          <w:rFonts w:ascii="Times New Roman" w:eastAsia="Times New Roman" w:hAnsi="Times New Roman" w:cs="Times New Roman"/>
          <w:color w:val="000000"/>
          <w:sz w:val="24"/>
          <w:szCs w:val="24"/>
          <w:lang/>
        </w:rPr>
        <w:t> статті 173 цього Кодексу.</w:t>
      </w:r>
    </w:p>
    <w:p w14:paraId="75F4D4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1" w:name="n4241"/>
      <w:bookmarkEnd w:id="4991"/>
      <w:r w:rsidRPr="008B264B">
        <w:rPr>
          <w:rFonts w:ascii="Times New Roman" w:eastAsia="Times New Roman" w:hAnsi="Times New Roman" w:cs="Times New Roman"/>
          <w:i/>
          <w:iCs/>
          <w:color w:val="000000"/>
          <w:sz w:val="24"/>
          <w:szCs w:val="24"/>
          <w:lang/>
        </w:rPr>
        <w:t>{Статтю 174 доповнено пунктом 174.7 згідно із Законом </w:t>
      </w:r>
      <w:hyperlink r:id="rId2723" w:anchor="n20" w:tgtFrame="_blank" w:history="1">
        <w:r w:rsidRPr="008B264B">
          <w:rPr>
            <w:rFonts w:ascii="Times New Roman" w:eastAsia="Times New Roman" w:hAnsi="Times New Roman" w:cs="Times New Roman"/>
            <w:i/>
            <w:iCs/>
            <w:color w:val="0000FF"/>
            <w:sz w:val="24"/>
            <w:szCs w:val="24"/>
            <w:u w:val="single"/>
            <w:lang/>
          </w:rPr>
          <w:t>№ 5413-VI від 02.10.2012</w:t>
        </w:r>
      </w:hyperlink>
      <w:r w:rsidRPr="008B264B">
        <w:rPr>
          <w:rFonts w:ascii="Times New Roman" w:eastAsia="Times New Roman" w:hAnsi="Times New Roman" w:cs="Times New Roman"/>
          <w:i/>
          <w:iCs/>
          <w:color w:val="000000"/>
          <w:sz w:val="24"/>
          <w:szCs w:val="24"/>
          <w:lang/>
        </w:rPr>
        <w:t>}</w:t>
      </w:r>
    </w:p>
    <w:p w14:paraId="4C7F04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2" w:name="n14620"/>
      <w:bookmarkEnd w:id="4992"/>
      <w:r w:rsidRPr="008B264B">
        <w:rPr>
          <w:rFonts w:ascii="Times New Roman" w:eastAsia="Times New Roman" w:hAnsi="Times New Roman" w:cs="Times New Roman"/>
          <w:color w:val="000000"/>
          <w:sz w:val="24"/>
          <w:szCs w:val="24"/>
          <w:lang/>
        </w:rPr>
        <w:t>174.8. У разі спадкування будь-яких об’єктів спадщини, які оподатковуються за нульовою ставкою, оціночна вартість таких об’єктів з метою оподаткування не визначається.</w:t>
      </w:r>
    </w:p>
    <w:p w14:paraId="3FE9C6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3" w:name="n14621"/>
      <w:bookmarkEnd w:id="4993"/>
      <w:r w:rsidRPr="008B264B">
        <w:rPr>
          <w:rFonts w:ascii="Times New Roman" w:eastAsia="Times New Roman" w:hAnsi="Times New Roman" w:cs="Times New Roman"/>
          <w:color w:val="000000"/>
          <w:sz w:val="24"/>
          <w:szCs w:val="24"/>
          <w:lang/>
        </w:rPr>
        <w:t>Якщо об’єкти, подаровані платнику податку, оподатковуються за нульовою ставкою, оціночна вартість таких об’єктів з метою оподаткування не визначається.</w:t>
      </w:r>
    </w:p>
    <w:p w14:paraId="067DB6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4" w:name="n14622"/>
      <w:bookmarkEnd w:id="4994"/>
      <w:r w:rsidRPr="008B264B">
        <w:rPr>
          <w:rFonts w:ascii="Times New Roman" w:eastAsia="Times New Roman" w:hAnsi="Times New Roman" w:cs="Times New Roman"/>
          <w:color w:val="000000"/>
          <w:sz w:val="24"/>
          <w:szCs w:val="24"/>
          <w:lang/>
        </w:rPr>
        <w:t>В інших випадках отримання доходів у вигляді об’єктів спадщини/дарунків об’єктом оподаткування є оціночна вартість таких об’єктів спадщини/дарунків, визначена згідно із законом.</w:t>
      </w:r>
    </w:p>
    <w:p w14:paraId="1FD297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5" w:name="n14619"/>
      <w:bookmarkEnd w:id="4995"/>
      <w:r w:rsidRPr="008B264B">
        <w:rPr>
          <w:rFonts w:ascii="Times New Roman" w:eastAsia="Times New Roman" w:hAnsi="Times New Roman" w:cs="Times New Roman"/>
          <w:i/>
          <w:iCs/>
          <w:color w:val="000000"/>
          <w:sz w:val="24"/>
          <w:szCs w:val="24"/>
          <w:lang/>
        </w:rPr>
        <w:t>{Статтю 174 доповнено пунктом 174.8 згідно із Законом </w:t>
      </w:r>
      <w:hyperlink r:id="rId2724" w:anchor="n21" w:tgtFrame="_blank" w:history="1">
        <w:r w:rsidRPr="008B264B">
          <w:rPr>
            <w:rFonts w:ascii="Times New Roman" w:eastAsia="Times New Roman" w:hAnsi="Times New Roman" w:cs="Times New Roman"/>
            <w:i/>
            <w:iCs/>
            <w:color w:val="0000FF"/>
            <w:sz w:val="24"/>
            <w:szCs w:val="24"/>
            <w:u w:val="single"/>
            <w:lang/>
          </w:rPr>
          <w:t>№ 1910-VIII від 23.02.2017</w:t>
        </w:r>
      </w:hyperlink>
      <w:r w:rsidRPr="008B264B">
        <w:rPr>
          <w:rFonts w:ascii="Times New Roman" w:eastAsia="Times New Roman" w:hAnsi="Times New Roman" w:cs="Times New Roman"/>
          <w:i/>
          <w:iCs/>
          <w:color w:val="000000"/>
          <w:sz w:val="24"/>
          <w:szCs w:val="24"/>
          <w:lang/>
        </w:rPr>
        <w:t> - застосовується до доходів, отриманих починаючи з 1 січня 2017 року платником податків у вигляді спадщини/дарунка}</w:t>
      </w:r>
    </w:p>
    <w:p w14:paraId="6CFF3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6" w:name="n4242"/>
      <w:bookmarkEnd w:id="4996"/>
      <w:r w:rsidRPr="008B264B">
        <w:rPr>
          <w:rFonts w:ascii="Times New Roman" w:eastAsia="Times New Roman" w:hAnsi="Times New Roman" w:cs="Times New Roman"/>
          <w:b/>
          <w:bCs/>
          <w:color w:val="000000"/>
          <w:sz w:val="24"/>
          <w:szCs w:val="24"/>
          <w:lang/>
        </w:rPr>
        <w:t>Стаття 175.</w:t>
      </w:r>
      <w:r w:rsidRPr="008B264B">
        <w:rPr>
          <w:rFonts w:ascii="Times New Roman" w:eastAsia="Times New Roman" w:hAnsi="Times New Roman" w:cs="Times New Roman"/>
          <w:color w:val="000000"/>
          <w:sz w:val="24"/>
          <w:szCs w:val="24"/>
          <w:lang/>
        </w:rPr>
        <w:t> Визначення суми процентів, сплачених платником податку за користування іпотечним житловим кредитом з метою нарахування податкової знижки</w:t>
      </w:r>
    </w:p>
    <w:p w14:paraId="163794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7" w:name="n4243"/>
      <w:bookmarkEnd w:id="4997"/>
      <w:r w:rsidRPr="008B264B">
        <w:rPr>
          <w:rFonts w:ascii="Times New Roman" w:eastAsia="Times New Roman" w:hAnsi="Times New Roman" w:cs="Times New Roman"/>
          <w:color w:val="000000"/>
          <w:sz w:val="24"/>
          <w:szCs w:val="24"/>
          <w:lang/>
        </w:rPr>
        <w:lastRenderedPageBreak/>
        <w:t>175.1. Платник податку - резидент має право включити до податкової знижки частину суми процентів за користування іпотечним житловим кредитом, наданим позичальнику в національній або іноземній валютах, фактично сплачених протягом звітного податкового року.</w:t>
      </w:r>
    </w:p>
    <w:p w14:paraId="6D5503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8" w:name="n4244"/>
      <w:bookmarkEnd w:id="4998"/>
      <w:r w:rsidRPr="008B264B">
        <w:rPr>
          <w:rFonts w:ascii="Times New Roman" w:eastAsia="Times New Roman" w:hAnsi="Times New Roman" w:cs="Times New Roman"/>
          <w:color w:val="000000"/>
          <w:sz w:val="24"/>
          <w:szCs w:val="24"/>
          <w:lang/>
        </w:rPr>
        <w:t>При сплаті процентів за іпотечним житловим кредитом в іноземній валюті сума платежів за такими процентами, здійснених в іноземній валюті, перераховується у гривні за офіційним валютним (обмінним) курсом Національного банку України, що діє на день сплати таких процентів.</w:t>
      </w:r>
    </w:p>
    <w:p w14:paraId="7164A2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4999" w:name="n4245"/>
      <w:bookmarkEnd w:id="4999"/>
      <w:r w:rsidRPr="008B264B">
        <w:rPr>
          <w:rFonts w:ascii="Times New Roman" w:eastAsia="Times New Roman" w:hAnsi="Times New Roman" w:cs="Times New Roman"/>
          <w:color w:val="000000"/>
          <w:sz w:val="24"/>
          <w:szCs w:val="24"/>
          <w:lang/>
        </w:rPr>
        <w:t>Таке право виникає в разі якщо за рахунок іпотечного житлового кредиту будується чи купується житловий будинок (квартира, кімната), визначений платником податку як основне місце його проживання, зокрема згідно з позначкою в паспорті про реєстрацію за місцезнаходженням такого житла.</w:t>
      </w:r>
    </w:p>
    <w:p w14:paraId="3CBB39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0" w:name="n4246"/>
      <w:bookmarkEnd w:id="5000"/>
      <w:r w:rsidRPr="008B264B">
        <w:rPr>
          <w:rFonts w:ascii="Times New Roman" w:eastAsia="Times New Roman" w:hAnsi="Times New Roman" w:cs="Times New Roman"/>
          <w:color w:val="000000"/>
          <w:sz w:val="24"/>
          <w:szCs w:val="24"/>
          <w:lang/>
        </w:rPr>
        <w:t>175.2. У разі якщо будинок (квартира, кімната) купується за рахунок іпотечного житлового кредиту, частина суми процентів, що включається до податкової знижки платника податку - позичальника іпотечного житлового кредиту, дорівнює добутку суми процентів, фактично сплачених платником податку протягом звітного податкового року в рахунок його погашення, і коефіцієнта, що враховує мінімальну площу житла для визначення податкової знижки, розрахованого відповідно до пункту 175.3 цієї статті.</w:t>
      </w:r>
    </w:p>
    <w:p w14:paraId="759BDE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1" w:name="n4247"/>
      <w:bookmarkEnd w:id="5001"/>
      <w:r w:rsidRPr="008B264B">
        <w:rPr>
          <w:rFonts w:ascii="Times New Roman" w:eastAsia="Times New Roman" w:hAnsi="Times New Roman" w:cs="Times New Roman"/>
          <w:color w:val="000000"/>
          <w:sz w:val="24"/>
          <w:szCs w:val="24"/>
          <w:lang/>
        </w:rPr>
        <w:t>У разі якщо будинок (квартиру, кімнату) збудовано за рахунок іпотечного житлового кредиту, частина суми процентів, що включається до податкової знижки платника податку - позичальника іпотечного житлового кредиту, нарахована в перший рік погашення такого кредиту, може бути включена до податкової знижки за результатами звітного податкового року, в якому збудований об'єкт житлової іпотеки переходить у власність платника податку та починає використовуватися як основне місце проживання, з послідовним перенесенням права на включення до податкової знижки наступних щорічних фактично сплачених платником податку сум процентів протягом передбаченого пунктом 175.4 цієї статті строку дії права на включення частини таких процентів до податкової знижки. При цьому загальний розмір частини суми процентів, дозволених для включення до податкової знижки, дорівнює добутку суми процентів, фактично сплачених платником податку - позичальником протягом відповідного звітного податкового року, що враховується в погашення, і коефіцієнта, що враховує мінімальну площу житла для визначення податкової знижки, розрахованого відповідно до пункту 175.3 цієї статті.</w:t>
      </w:r>
    </w:p>
    <w:p w14:paraId="77BFD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2" w:name="n4248"/>
      <w:bookmarkEnd w:id="5002"/>
      <w:r w:rsidRPr="008B264B">
        <w:rPr>
          <w:rFonts w:ascii="Times New Roman" w:eastAsia="Times New Roman" w:hAnsi="Times New Roman" w:cs="Times New Roman"/>
          <w:color w:val="000000"/>
          <w:sz w:val="24"/>
          <w:szCs w:val="24"/>
          <w:lang/>
        </w:rPr>
        <w:t>175.3. Коефіцієнт, що враховує мінімальну площу житла для визначення податкової знижки на суму процентів за іпотечним житловим кредитом, обчислюється за такою формулою:</w:t>
      </w:r>
    </w:p>
    <w:p w14:paraId="159FB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3" w:name="n4249"/>
      <w:bookmarkEnd w:id="5003"/>
      <w:r w:rsidRPr="008B264B">
        <w:rPr>
          <w:rFonts w:ascii="Times New Roman" w:eastAsia="Times New Roman" w:hAnsi="Times New Roman" w:cs="Times New Roman"/>
          <w:color w:val="000000"/>
          <w:sz w:val="24"/>
          <w:szCs w:val="24"/>
          <w:lang/>
        </w:rPr>
        <w:t>К = МП/ФП,</w:t>
      </w:r>
    </w:p>
    <w:p w14:paraId="2AFD6A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4" w:name="n4250"/>
      <w:bookmarkEnd w:id="5004"/>
      <w:r w:rsidRPr="008B264B">
        <w:rPr>
          <w:rFonts w:ascii="Times New Roman" w:eastAsia="Times New Roman" w:hAnsi="Times New Roman" w:cs="Times New Roman"/>
          <w:color w:val="000000"/>
          <w:sz w:val="24"/>
          <w:szCs w:val="24"/>
          <w:lang/>
        </w:rPr>
        <w:t>де К - коефіцієнт;</w:t>
      </w:r>
    </w:p>
    <w:p w14:paraId="56E225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5" w:name="n4251"/>
      <w:bookmarkEnd w:id="5005"/>
      <w:r w:rsidRPr="008B264B">
        <w:rPr>
          <w:rFonts w:ascii="Times New Roman" w:eastAsia="Times New Roman" w:hAnsi="Times New Roman" w:cs="Times New Roman"/>
          <w:color w:val="000000"/>
          <w:sz w:val="24"/>
          <w:szCs w:val="24"/>
          <w:lang/>
        </w:rPr>
        <w:t>МП - мінімальна загальна площа житла, що дорівнює 100 квадратним метрам;</w:t>
      </w:r>
    </w:p>
    <w:p w14:paraId="3CCBD3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6" w:name="n4252"/>
      <w:bookmarkEnd w:id="5006"/>
      <w:r w:rsidRPr="008B264B">
        <w:rPr>
          <w:rFonts w:ascii="Times New Roman" w:eastAsia="Times New Roman" w:hAnsi="Times New Roman" w:cs="Times New Roman"/>
          <w:color w:val="000000"/>
          <w:sz w:val="24"/>
          <w:szCs w:val="24"/>
          <w:lang/>
        </w:rPr>
        <w:t>ФП - фактична загальна площа житла, що будується (придбавається) платником податку за рахунок іпотечного кредиту.</w:t>
      </w:r>
    </w:p>
    <w:p w14:paraId="72869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7" w:name="n4253"/>
      <w:bookmarkEnd w:id="5007"/>
      <w:r w:rsidRPr="008B264B">
        <w:rPr>
          <w:rFonts w:ascii="Times New Roman" w:eastAsia="Times New Roman" w:hAnsi="Times New Roman" w:cs="Times New Roman"/>
          <w:color w:val="000000"/>
          <w:sz w:val="24"/>
          <w:szCs w:val="24"/>
          <w:lang/>
        </w:rPr>
        <w:t>У разі якщо цей коефіцієнт більший ніж одиниця, до податкової знижки включається сума фактично сплачених процентів за іпотечним кредитом без застосування такого коефіцієнта.</w:t>
      </w:r>
    </w:p>
    <w:p w14:paraId="30AD6B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8" w:name="n4254"/>
      <w:bookmarkEnd w:id="5008"/>
      <w:r w:rsidRPr="008B264B">
        <w:rPr>
          <w:rFonts w:ascii="Times New Roman" w:eastAsia="Times New Roman" w:hAnsi="Times New Roman" w:cs="Times New Roman"/>
          <w:color w:val="000000"/>
          <w:sz w:val="24"/>
          <w:szCs w:val="24"/>
          <w:lang/>
        </w:rPr>
        <w:t>175.4. Право на включення до податкової знижки суми, розрахованої згідно з цією статтею, надається платнику податку за одним іпотечним кредитом протягом 10 послідовних календарних років починаючи з року, в якому:</w:t>
      </w:r>
    </w:p>
    <w:p w14:paraId="0811E3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09" w:name="n4255"/>
      <w:bookmarkEnd w:id="5009"/>
      <w:r w:rsidRPr="008B264B">
        <w:rPr>
          <w:rFonts w:ascii="Times New Roman" w:eastAsia="Times New Roman" w:hAnsi="Times New Roman" w:cs="Times New Roman"/>
          <w:color w:val="000000"/>
          <w:sz w:val="24"/>
          <w:szCs w:val="24"/>
          <w:lang/>
        </w:rPr>
        <w:t>об'єкт житлової іпотеки придбавається;</w:t>
      </w:r>
    </w:p>
    <w:p w14:paraId="31562F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0" w:name="n4256"/>
      <w:bookmarkEnd w:id="5010"/>
      <w:r w:rsidRPr="008B264B">
        <w:rPr>
          <w:rFonts w:ascii="Times New Roman" w:eastAsia="Times New Roman" w:hAnsi="Times New Roman" w:cs="Times New Roman"/>
          <w:color w:val="000000"/>
          <w:sz w:val="24"/>
          <w:szCs w:val="24"/>
          <w:lang/>
        </w:rPr>
        <w:t>збудований об'єкт житлової іпотеки переходить у власність платника податку та починає використовуватися як основне місце проживання.</w:t>
      </w:r>
    </w:p>
    <w:p w14:paraId="525687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1" w:name="n4257"/>
      <w:bookmarkEnd w:id="5011"/>
      <w:r w:rsidRPr="008B264B">
        <w:rPr>
          <w:rFonts w:ascii="Times New Roman" w:eastAsia="Times New Roman" w:hAnsi="Times New Roman" w:cs="Times New Roman"/>
          <w:color w:val="000000"/>
          <w:sz w:val="24"/>
          <w:szCs w:val="24"/>
          <w:lang/>
        </w:rPr>
        <w:t xml:space="preserve">У разі якщо іпотечний житловий кредит має строк погашення більше ніж 10 календарних років, право на включення частини суми процентів до податкової знижки за новим іпотечним </w:t>
      </w:r>
      <w:r w:rsidRPr="008B264B">
        <w:rPr>
          <w:rFonts w:ascii="Times New Roman" w:eastAsia="Times New Roman" w:hAnsi="Times New Roman" w:cs="Times New Roman"/>
          <w:color w:val="000000"/>
          <w:sz w:val="24"/>
          <w:szCs w:val="24"/>
          <w:lang/>
        </w:rPr>
        <w:lastRenderedPageBreak/>
        <w:t>житловим кредитом виникає у платника податку після повного погашення основної суми та процентів попереднього іпотечного житлового кредиту.</w:t>
      </w:r>
    </w:p>
    <w:p w14:paraId="5C9E7A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2" w:name="n4258"/>
      <w:bookmarkEnd w:id="5012"/>
      <w:r w:rsidRPr="008B264B">
        <w:rPr>
          <w:rFonts w:ascii="Times New Roman" w:eastAsia="Times New Roman" w:hAnsi="Times New Roman" w:cs="Times New Roman"/>
          <w:color w:val="000000"/>
          <w:sz w:val="24"/>
          <w:szCs w:val="24"/>
          <w:lang/>
        </w:rPr>
        <w:t>Платник податку може відновити право на включення частини суми процентів, фактично сплачених за новим іпотечним житловим кредитом, до податкової знижки без дотримання зазначених у цій статті строків у разі:</w:t>
      </w:r>
    </w:p>
    <w:p w14:paraId="46D1CE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3" w:name="n4259"/>
      <w:bookmarkEnd w:id="5013"/>
      <w:r w:rsidRPr="008B264B">
        <w:rPr>
          <w:rFonts w:ascii="Times New Roman" w:eastAsia="Times New Roman" w:hAnsi="Times New Roman" w:cs="Times New Roman"/>
          <w:color w:val="000000"/>
          <w:sz w:val="24"/>
          <w:szCs w:val="24"/>
          <w:lang/>
        </w:rPr>
        <w:t>а) примусового продажу або конфіскації об'єкта іпотеки у випадках, передбачених законом;</w:t>
      </w:r>
    </w:p>
    <w:p w14:paraId="79F716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4" w:name="n4260"/>
      <w:bookmarkEnd w:id="5014"/>
      <w:r w:rsidRPr="008B264B">
        <w:rPr>
          <w:rFonts w:ascii="Times New Roman" w:eastAsia="Times New Roman" w:hAnsi="Times New Roman" w:cs="Times New Roman"/>
          <w:color w:val="000000"/>
          <w:sz w:val="24"/>
          <w:szCs w:val="24"/>
          <w:lang/>
        </w:rPr>
        <w:t>б) ліквідації об'єкта житлової іпотеки за рішенням місцевого органу виконавчої влади або органу місцевого самоврядування у випадках, передбачених законом;</w:t>
      </w:r>
    </w:p>
    <w:p w14:paraId="172F4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5" w:name="n4261"/>
      <w:bookmarkEnd w:id="5015"/>
      <w:r w:rsidRPr="008B264B">
        <w:rPr>
          <w:rFonts w:ascii="Times New Roman" w:eastAsia="Times New Roman" w:hAnsi="Times New Roman" w:cs="Times New Roman"/>
          <w:color w:val="000000"/>
          <w:sz w:val="24"/>
          <w:szCs w:val="24"/>
          <w:lang/>
        </w:rPr>
        <w:t>в) зруйнування об'єкта житлової іпотеки або визнання його непридатним для використання з причин непереборної сили (форс-мажорних обставин);</w:t>
      </w:r>
    </w:p>
    <w:p w14:paraId="0B4010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6" w:name="n4262"/>
      <w:bookmarkEnd w:id="5016"/>
      <w:r w:rsidRPr="008B264B">
        <w:rPr>
          <w:rFonts w:ascii="Times New Roman" w:eastAsia="Times New Roman" w:hAnsi="Times New Roman" w:cs="Times New Roman"/>
          <w:color w:val="000000"/>
          <w:sz w:val="24"/>
          <w:szCs w:val="24"/>
          <w:lang/>
        </w:rPr>
        <w:t>г) продажу об'єкта іпотеки у зв'язку з неплатоспроможністю (банкрутством) платника податку відповідно до закону.</w:t>
      </w:r>
    </w:p>
    <w:p w14:paraId="33D27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7" w:name="n4263"/>
      <w:bookmarkEnd w:id="5017"/>
      <w:r w:rsidRPr="008B264B">
        <w:rPr>
          <w:rFonts w:ascii="Times New Roman" w:eastAsia="Times New Roman" w:hAnsi="Times New Roman" w:cs="Times New Roman"/>
          <w:color w:val="000000"/>
          <w:sz w:val="24"/>
          <w:szCs w:val="24"/>
          <w:lang/>
        </w:rPr>
        <w:t>175.5. У разі якщо сума одержаного фізичною особою іпотечного житлового кредиту перевищує суму, витрачену на придбання (будівництво) предмета іпотеки, до складу витрат включається сума відсотків, сплачена за користування іпотечним кредитом у частині, витраченій за цільовим призначенням.</w:t>
      </w:r>
    </w:p>
    <w:p w14:paraId="2C5AE9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8" w:name="n4264"/>
      <w:bookmarkEnd w:id="5018"/>
      <w:r w:rsidRPr="008B264B">
        <w:rPr>
          <w:rFonts w:ascii="Times New Roman" w:eastAsia="Times New Roman" w:hAnsi="Times New Roman" w:cs="Times New Roman"/>
          <w:b/>
          <w:bCs/>
          <w:color w:val="000000"/>
          <w:sz w:val="24"/>
          <w:szCs w:val="24"/>
          <w:lang/>
        </w:rPr>
        <w:t>Стаття 176.</w:t>
      </w:r>
      <w:r w:rsidRPr="008B264B">
        <w:rPr>
          <w:rFonts w:ascii="Times New Roman" w:eastAsia="Times New Roman" w:hAnsi="Times New Roman" w:cs="Times New Roman"/>
          <w:color w:val="000000"/>
          <w:sz w:val="24"/>
          <w:szCs w:val="24"/>
          <w:lang/>
        </w:rPr>
        <w:t> Забезпечення виконання податкових зобов'язань</w:t>
      </w:r>
    </w:p>
    <w:p w14:paraId="36ABFA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19" w:name="n4265"/>
      <w:bookmarkEnd w:id="5019"/>
      <w:r w:rsidRPr="008B264B">
        <w:rPr>
          <w:rFonts w:ascii="Times New Roman" w:eastAsia="Times New Roman" w:hAnsi="Times New Roman" w:cs="Times New Roman"/>
          <w:color w:val="000000"/>
          <w:sz w:val="24"/>
          <w:szCs w:val="24"/>
          <w:lang/>
        </w:rPr>
        <w:t>176.1. Платники податку зобов'язані:</w:t>
      </w:r>
    </w:p>
    <w:p w14:paraId="7EA8A7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0" w:name="n4266"/>
      <w:bookmarkEnd w:id="5020"/>
      <w:r w:rsidRPr="008B264B">
        <w:rPr>
          <w:rFonts w:ascii="Times New Roman" w:eastAsia="Times New Roman" w:hAnsi="Times New Roman" w:cs="Times New Roman"/>
          <w:color w:val="000000"/>
          <w:sz w:val="24"/>
          <w:szCs w:val="24"/>
          <w:lang/>
        </w:rPr>
        <w:t>а) вести облік доходів і витрат в обсягах, необхідних для визначення суми загального річного оподатковуваного доходу, у разі якщо такий платник податку зобов'язаний відповідно до цього розділу подавати декларацію або має право на таке подання з метою повернення надміру сплачених податків, у тому числі при застосуванні права на податкову знижку.</w:t>
      </w:r>
    </w:p>
    <w:bookmarkStart w:id="5021" w:name="n4267"/>
    <w:bookmarkEnd w:id="5021"/>
    <w:p w14:paraId="272415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"https://zakon.rada.gov.ua/laws/show/z0871-17" \l "n18"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такого обліку та </w:t>
      </w:r>
      <w:hyperlink r:id="rId2725" w:anchor="n22"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його ведення визначаються центральним органом виконавчої влади, що забезпечує формування та реалізує державну фінансову політику;</w:t>
      </w:r>
    </w:p>
    <w:p w14:paraId="2E5E15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2" w:name="n4268"/>
      <w:bookmarkEnd w:id="5022"/>
      <w:r w:rsidRPr="008B264B">
        <w:rPr>
          <w:rFonts w:ascii="Times New Roman" w:eastAsia="Times New Roman" w:hAnsi="Times New Roman" w:cs="Times New Roman"/>
          <w:color w:val="000000"/>
          <w:sz w:val="24"/>
          <w:szCs w:val="24"/>
          <w:lang/>
        </w:rPr>
        <w:t>б) отримувати та зберігати протягом строку давності, встановленого цим Кодексом, документи первинного обліку, в тому числі на підставі яких визначаються витрати при розрахунку інвестиційного прибутку та формується податкова знижка платника податку;</w:t>
      </w:r>
    </w:p>
    <w:p w14:paraId="6A5A9E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3" w:name="n4269"/>
      <w:bookmarkEnd w:id="5023"/>
      <w:r w:rsidRPr="008B264B">
        <w:rPr>
          <w:rFonts w:ascii="Times New Roman" w:eastAsia="Times New Roman" w:hAnsi="Times New Roman" w:cs="Times New Roman"/>
          <w:color w:val="000000"/>
          <w:sz w:val="24"/>
          <w:szCs w:val="24"/>
          <w:lang/>
        </w:rPr>
        <w:t>в) подавати податкову декларацію за встановленою формою у визначені строки у випадках, коли згідно з нормами цього розділу таке подання є обов'язковим.</w:t>
      </w:r>
    </w:p>
    <w:p w14:paraId="319049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4" w:name="n4270"/>
      <w:bookmarkEnd w:id="5024"/>
      <w:r w:rsidRPr="008B264B">
        <w:rPr>
          <w:rFonts w:ascii="Times New Roman" w:eastAsia="Times New Roman" w:hAnsi="Times New Roman" w:cs="Times New Roman"/>
          <w:color w:val="000000"/>
          <w:sz w:val="24"/>
          <w:szCs w:val="24"/>
          <w:lang/>
        </w:rPr>
        <w:t>На вимогу контролюючого органу та в межах його повноважень, визначених законодавством, платники податку зобов'язані пред'являти документи і відомості, пов'язані з виникненням доходу або права на отримання податкової знижки, обчисленням і сплатою податку, та підтверджувати необхідними документами достовірність відомостей, зазначених у податковій декларації з цього податку;</w:t>
      </w:r>
    </w:p>
    <w:p w14:paraId="076A78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5" w:name="n4271"/>
      <w:bookmarkEnd w:id="5025"/>
      <w:r w:rsidRPr="008B264B">
        <w:rPr>
          <w:rFonts w:ascii="Times New Roman" w:eastAsia="Times New Roman" w:hAnsi="Times New Roman" w:cs="Times New Roman"/>
          <w:color w:val="000000"/>
          <w:sz w:val="24"/>
          <w:szCs w:val="24"/>
          <w:lang/>
        </w:rPr>
        <w:t>г) подавати особам, які згідно з цим Кодексом визначені відповідальними за утримання (нарахування) та сплату податку до бюджету, документи на підтвердження права платника податку, який отримує такі доходи, на застосування соціальних податкових пільг;</w:t>
      </w:r>
    </w:p>
    <w:p w14:paraId="1AAC55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6" w:name="n4272"/>
      <w:bookmarkEnd w:id="5026"/>
      <w:r w:rsidRPr="008B264B">
        <w:rPr>
          <w:rFonts w:ascii="Times New Roman" w:eastAsia="Times New Roman" w:hAnsi="Times New Roman" w:cs="Times New Roman"/>
          <w:color w:val="000000"/>
          <w:sz w:val="24"/>
          <w:szCs w:val="24"/>
          <w:lang/>
        </w:rPr>
        <w:t>ґ) у порядку, визначеному законом, допускати посадових (службових) осіб контролюючого органу на територію або до приміщень, що використовуються платником податку для отримання доходів від провадження господарської діяльності;</w:t>
      </w:r>
    </w:p>
    <w:p w14:paraId="604719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7" w:name="n4273"/>
      <w:bookmarkEnd w:id="5027"/>
      <w:r w:rsidRPr="008B264B">
        <w:rPr>
          <w:rFonts w:ascii="Times New Roman" w:eastAsia="Times New Roman" w:hAnsi="Times New Roman" w:cs="Times New Roman"/>
          <w:color w:val="000000"/>
          <w:sz w:val="24"/>
          <w:szCs w:val="24"/>
          <w:lang/>
        </w:rPr>
        <w:t>д) здійснювати заходи, передбачені цим Кодексом, у разі зміни підстав для отримання податкової соціальної пільги;</w:t>
      </w:r>
    </w:p>
    <w:p w14:paraId="22A75E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8" w:name="n4274"/>
      <w:bookmarkEnd w:id="5028"/>
      <w:r w:rsidRPr="008B264B">
        <w:rPr>
          <w:rFonts w:ascii="Times New Roman" w:eastAsia="Times New Roman" w:hAnsi="Times New Roman" w:cs="Times New Roman"/>
          <w:color w:val="000000"/>
          <w:sz w:val="24"/>
          <w:szCs w:val="24"/>
          <w:lang/>
        </w:rPr>
        <w:t>е) своєчасно сплачувати узгоджену суму податкових зобов'язань, а також суму штрафних (фінансових) санкцій, нарахованих контролюючим органом, та пені, за винятком суми, що оскаржується в адміністративному або судовому порядку.</w:t>
      </w:r>
    </w:p>
    <w:p w14:paraId="09E761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29" w:name="n4275"/>
      <w:bookmarkEnd w:id="5029"/>
      <w:r w:rsidRPr="008B264B">
        <w:rPr>
          <w:rFonts w:ascii="Times New Roman" w:eastAsia="Times New Roman" w:hAnsi="Times New Roman" w:cs="Times New Roman"/>
          <w:i/>
          <w:iCs/>
          <w:color w:val="000000"/>
          <w:sz w:val="24"/>
          <w:szCs w:val="24"/>
          <w:lang/>
        </w:rPr>
        <w:lastRenderedPageBreak/>
        <w:t>{Підпункт "є" пункту 176.1 статті 176 виключено на підставі Закону </w:t>
      </w:r>
      <w:hyperlink r:id="rId2726" w:anchor="n15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C84BE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0" w:name="n9796"/>
      <w:bookmarkEnd w:id="5030"/>
      <w:r w:rsidRPr="008B264B">
        <w:rPr>
          <w:rFonts w:ascii="Times New Roman" w:eastAsia="Times New Roman" w:hAnsi="Times New Roman" w:cs="Times New Roman"/>
          <w:i/>
          <w:iCs/>
          <w:color w:val="000000"/>
          <w:sz w:val="24"/>
          <w:szCs w:val="24"/>
          <w:lang/>
        </w:rPr>
        <w:t>{Підпункт "ж" пункту 176.1 статті 176 виключено на підставі Закону </w:t>
      </w:r>
      <w:hyperlink r:id="rId2727" w:anchor="n47" w:tgtFrame="_blank" w:history="1">
        <w:r w:rsidRPr="008B264B">
          <w:rPr>
            <w:rFonts w:ascii="Times New Roman" w:eastAsia="Times New Roman" w:hAnsi="Times New Roman" w:cs="Times New Roman"/>
            <w:i/>
            <w:iCs/>
            <w:color w:val="0000FF"/>
            <w:sz w:val="24"/>
            <w:szCs w:val="24"/>
            <w:u w:val="single"/>
            <w:lang/>
          </w:rPr>
          <w:t>№ 1588-VII від 04.07.2014</w:t>
        </w:r>
      </w:hyperlink>
      <w:r w:rsidRPr="008B264B">
        <w:rPr>
          <w:rFonts w:ascii="Times New Roman" w:eastAsia="Times New Roman" w:hAnsi="Times New Roman" w:cs="Times New Roman"/>
          <w:i/>
          <w:iCs/>
          <w:color w:val="000000"/>
          <w:sz w:val="24"/>
          <w:szCs w:val="24"/>
          <w:lang/>
        </w:rPr>
        <w:t>}</w:t>
      </w:r>
    </w:p>
    <w:p w14:paraId="5B8EB8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1" w:name="n13445"/>
      <w:bookmarkEnd w:id="5031"/>
      <w:r w:rsidRPr="008B264B">
        <w:rPr>
          <w:rFonts w:ascii="Times New Roman" w:eastAsia="Times New Roman" w:hAnsi="Times New Roman" w:cs="Times New Roman"/>
          <w:i/>
          <w:iCs/>
          <w:color w:val="000000"/>
          <w:sz w:val="24"/>
          <w:szCs w:val="24"/>
          <w:lang/>
        </w:rPr>
        <w:t>{Пункт 176.1 статті 176 із змінами, внесеними згідно із Законом </w:t>
      </w:r>
      <w:hyperlink r:id="rId2728"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D52B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2" w:name="n4282"/>
      <w:bookmarkEnd w:id="5032"/>
      <w:r w:rsidRPr="008B264B">
        <w:rPr>
          <w:rFonts w:ascii="Times New Roman" w:eastAsia="Times New Roman" w:hAnsi="Times New Roman" w:cs="Times New Roman"/>
          <w:color w:val="000000"/>
          <w:sz w:val="24"/>
          <w:szCs w:val="24"/>
          <w:lang/>
        </w:rPr>
        <w:t>176.2. Особи, які відповідно до цього Кодексу мають статус податкових агентів, зобов'язані:</w:t>
      </w:r>
    </w:p>
    <w:p w14:paraId="386809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3" w:name="n4283"/>
      <w:bookmarkEnd w:id="5033"/>
      <w:r w:rsidRPr="008B264B">
        <w:rPr>
          <w:rFonts w:ascii="Times New Roman" w:eastAsia="Times New Roman" w:hAnsi="Times New Roman" w:cs="Times New Roman"/>
          <w:color w:val="000000"/>
          <w:sz w:val="24"/>
          <w:szCs w:val="24"/>
          <w:lang/>
        </w:rPr>
        <w:t>а) своєчасно та повністю нараховувати, утримувати та сплачувати (перераховувати) до бюджету податок з доходу, що виплачується на користь платника податку та оподатковується до або під час такої виплати за її рахунок;</w:t>
      </w:r>
    </w:p>
    <w:p w14:paraId="0A526D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4" w:name="n4284"/>
      <w:bookmarkEnd w:id="5034"/>
      <w:r w:rsidRPr="008B264B">
        <w:rPr>
          <w:rFonts w:ascii="Times New Roman" w:eastAsia="Times New Roman" w:hAnsi="Times New Roman" w:cs="Times New Roman"/>
          <w:color w:val="000000"/>
          <w:sz w:val="24"/>
          <w:szCs w:val="24"/>
          <w:lang/>
        </w:rPr>
        <w:t>б) подавати у строки, встановлені цим Кодексом для податкового кварталу </w:t>
      </w:r>
      <w:hyperlink r:id="rId2729" w:anchor="n20" w:tgtFrame="_blank" w:history="1">
        <w:r w:rsidRPr="008B264B">
          <w:rPr>
            <w:rFonts w:ascii="Times New Roman" w:eastAsia="Times New Roman" w:hAnsi="Times New Roman" w:cs="Times New Roman"/>
            <w:color w:val="0000FF"/>
            <w:sz w:val="24"/>
            <w:szCs w:val="24"/>
            <w:u w:val="single"/>
            <w:lang/>
          </w:rPr>
          <w:t>податковий розрахунок</w:t>
        </w:r>
      </w:hyperlink>
      <w:r w:rsidRPr="008B264B">
        <w:rPr>
          <w:rFonts w:ascii="Times New Roman" w:eastAsia="Times New Roman" w:hAnsi="Times New Roman" w:cs="Times New Roman"/>
          <w:color w:val="000000"/>
          <w:sz w:val="24"/>
          <w:szCs w:val="24"/>
          <w:lang/>
        </w:rPr>
        <w:t> суми доходу, нарахованого (сплаченого) на користь платників податку, а також суми утриманого з них податку до контролюючого органу за місцем свого розташування. Такий розрахунок подається лише у разі нарахування сум зазначених доходів платнику податку податковим агентом протягом звітного періоду. Запровадження інших форм звітності з зазначених питань не допускається.</w:t>
      </w:r>
    </w:p>
    <w:p w14:paraId="1735C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5" w:name="n4285"/>
      <w:bookmarkEnd w:id="5035"/>
      <w:r w:rsidRPr="008B264B">
        <w:rPr>
          <w:rFonts w:ascii="Times New Roman" w:eastAsia="Times New Roman" w:hAnsi="Times New Roman" w:cs="Times New Roman"/>
          <w:i/>
          <w:iCs/>
          <w:color w:val="000000"/>
          <w:sz w:val="24"/>
          <w:szCs w:val="24"/>
          <w:lang/>
        </w:rPr>
        <w:t>{Абзац перший підпункту "б" пункту 176.2 статті 176 із змінами, внесеними згідно із Законом </w:t>
      </w:r>
      <w:hyperlink r:id="rId2730" w:tgtFrame="_blank" w:history="1">
        <w:r w:rsidRPr="008B264B">
          <w:rPr>
            <w:rFonts w:ascii="Times New Roman" w:eastAsia="Times New Roman" w:hAnsi="Times New Roman" w:cs="Times New Roman"/>
            <w:i/>
            <w:iCs/>
            <w:color w:val="0000FF"/>
            <w:sz w:val="24"/>
            <w:szCs w:val="24"/>
            <w:u w:val="single"/>
            <w:lang/>
          </w:rPr>
          <w:t>№ 3221-VI від 07.04.2011</w:t>
        </w:r>
      </w:hyperlink>
      <w:r w:rsidRPr="008B264B">
        <w:rPr>
          <w:rFonts w:ascii="Times New Roman" w:eastAsia="Times New Roman" w:hAnsi="Times New Roman" w:cs="Times New Roman"/>
          <w:i/>
          <w:iCs/>
          <w:color w:val="000000"/>
          <w:sz w:val="24"/>
          <w:szCs w:val="24"/>
          <w:lang/>
        </w:rPr>
        <w:t>}</w:t>
      </w:r>
    </w:p>
    <w:p w14:paraId="04ED7C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6" w:name="n4286"/>
      <w:bookmarkEnd w:id="5036"/>
      <w:r w:rsidRPr="008B264B">
        <w:rPr>
          <w:rFonts w:ascii="Times New Roman" w:eastAsia="Times New Roman" w:hAnsi="Times New Roman" w:cs="Times New Roman"/>
          <w:color w:val="000000"/>
          <w:sz w:val="24"/>
          <w:szCs w:val="24"/>
          <w:lang/>
        </w:rPr>
        <w:t>У разі якщо відокремлений підрозділ юридичної особи не уповноважений нараховувати, утримувати і сплачувати (перераховувати) податок до бюджету, податковий розрахунок у вигляді окремого витягу за такий підрозділ подає юридична особа до контролюючого органу за своїм місцезнаходженням та надсилає копію такого розрахунку до контролюючого органу за місцезнаходженням такого відокремленого підрозділу в установленому порядку;</w:t>
      </w:r>
    </w:p>
    <w:p w14:paraId="25BECD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7" w:name="n4287"/>
      <w:bookmarkEnd w:id="5037"/>
      <w:r w:rsidRPr="008B264B">
        <w:rPr>
          <w:rFonts w:ascii="Times New Roman" w:eastAsia="Times New Roman" w:hAnsi="Times New Roman" w:cs="Times New Roman"/>
          <w:color w:val="000000"/>
          <w:sz w:val="24"/>
          <w:szCs w:val="24"/>
          <w:lang/>
        </w:rPr>
        <w:t>в) подавати на вимогу платника податку відомості про суму виплаченого на його користь доходу, суму застосованих соціальних податкових пільг та суму утриманого податку;</w:t>
      </w:r>
    </w:p>
    <w:p w14:paraId="23E85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8" w:name="n4288"/>
      <w:bookmarkEnd w:id="5038"/>
      <w:r w:rsidRPr="008B264B">
        <w:rPr>
          <w:rFonts w:ascii="Times New Roman" w:eastAsia="Times New Roman" w:hAnsi="Times New Roman" w:cs="Times New Roman"/>
          <w:color w:val="000000"/>
          <w:sz w:val="24"/>
          <w:szCs w:val="24"/>
          <w:lang/>
        </w:rPr>
        <w:t>г) подавати контролюючому органу інші відомості про оподаткування доходів окремого платника податку в обсягах та згідно з процедурою, визначеною цим розділом та </w:t>
      </w:r>
      <w:hyperlink r:id="rId2731" w:anchor="n1075" w:history="1">
        <w:r w:rsidRPr="008B264B">
          <w:rPr>
            <w:rFonts w:ascii="Times New Roman" w:eastAsia="Times New Roman" w:hAnsi="Times New Roman" w:cs="Times New Roman"/>
            <w:color w:val="0000FF"/>
            <w:sz w:val="24"/>
            <w:szCs w:val="24"/>
            <w:u w:val="single"/>
            <w:lang/>
          </w:rPr>
          <w:t>розділом II</w:t>
        </w:r>
      </w:hyperlink>
      <w:r w:rsidRPr="008B264B">
        <w:rPr>
          <w:rFonts w:ascii="Times New Roman" w:eastAsia="Times New Roman" w:hAnsi="Times New Roman" w:cs="Times New Roman"/>
          <w:color w:val="000000"/>
          <w:sz w:val="24"/>
          <w:szCs w:val="24"/>
          <w:lang/>
        </w:rPr>
        <w:t> цього Кодексу;</w:t>
      </w:r>
    </w:p>
    <w:p w14:paraId="2441B4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39" w:name="n4289"/>
      <w:bookmarkEnd w:id="5039"/>
      <w:r w:rsidRPr="008B264B">
        <w:rPr>
          <w:rFonts w:ascii="Times New Roman" w:eastAsia="Times New Roman" w:hAnsi="Times New Roman" w:cs="Times New Roman"/>
          <w:color w:val="000000"/>
          <w:sz w:val="24"/>
          <w:szCs w:val="24"/>
          <w:lang/>
        </w:rPr>
        <w:t>ґ) нести відповідальність у випадках, визначених цим Кодексом.</w:t>
      </w:r>
    </w:p>
    <w:p w14:paraId="07B99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0" w:name="n4290"/>
      <w:bookmarkEnd w:id="5040"/>
      <w:r w:rsidRPr="008B264B">
        <w:rPr>
          <w:rFonts w:ascii="Times New Roman" w:eastAsia="Times New Roman" w:hAnsi="Times New Roman" w:cs="Times New Roman"/>
          <w:i/>
          <w:iCs/>
          <w:color w:val="000000"/>
          <w:sz w:val="24"/>
          <w:szCs w:val="24"/>
          <w:lang/>
        </w:rPr>
        <w:t>{Підпункт "ґ" пункту 176.2 статті 176 в редакції Закону </w:t>
      </w:r>
      <w:hyperlink r:id="rId273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53E67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1" w:name="n4291"/>
      <w:bookmarkEnd w:id="5041"/>
      <w:r w:rsidRPr="008B264B">
        <w:rPr>
          <w:rFonts w:ascii="Times New Roman" w:eastAsia="Times New Roman" w:hAnsi="Times New Roman" w:cs="Times New Roman"/>
          <w:i/>
          <w:iCs/>
          <w:color w:val="000000"/>
          <w:sz w:val="24"/>
          <w:szCs w:val="24"/>
          <w:lang/>
        </w:rPr>
        <w:t>{Підпункт "д" пункту 176.2 статті 176 виключено на підставі Закону </w:t>
      </w:r>
      <w:hyperlink r:id="rId2733" w:tgtFrame="_blank" w:history="1">
        <w:r w:rsidRPr="008B264B">
          <w:rPr>
            <w:rFonts w:ascii="Times New Roman" w:eastAsia="Times New Roman" w:hAnsi="Times New Roman" w:cs="Times New Roman"/>
            <w:i/>
            <w:iCs/>
            <w:color w:val="0000FF"/>
            <w:sz w:val="24"/>
            <w:szCs w:val="24"/>
            <w:u w:val="single"/>
            <w:lang/>
          </w:rPr>
          <w:t>№ 3221-VI від 07.04.2011</w:t>
        </w:r>
      </w:hyperlink>
      <w:r w:rsidRPr="008B264B">
        <w:rPr>
          <w:rFonts w:ascii="Times New Roman" w:eastAsia="Times New Roman" w:hAnsi="Times New Roman" w:cs="Times New Roman"/>
          <w:i/>
          <w:iCs/>
          <w:color w:val="000000"/>
          <w:sz w:val="24"/>
          <w:szCs w:val="24"/>
          <w:lang/>
        </w:rPr>
        <w:t>}</w:t>
      </w:r>
    </w:p>
    <w:p w14:paraId="761463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2" w:name="n4292"/>
      <w:bookmarkEnd w:id="5042"/>
      <w:r w:rsidRPr="008B264B">
        <w:rPr>
          <w:rFonts w:ascii="Times New Roman" w:eastAsia="Times New Roman" w:hAnsi="Times New Roman" w:cs="Times New Roman"/>
          <w:b/>
          <w:bCs/>
          <w:color w:val="000000"/>
          <w:sz w:val="24"/>
          <w:szCs w:val="24"/>
          <w:lang/>
        </w:rPr>
        <w:t>Стаття 177.</w:t>
      </w:r>
      <w:r w:rsidRPr="008B264B">
        <w:rPr>
          <w:rFonts w:ascii="Times New Roman" w:eastAsia="Times New Roman" w:hAnsi="Times New Roman" w:cs="Times New Roman"/>
          <w:color w:val="000000"/>
          <w:sz w:val="24"/>
          <w:szCs w:val="24"/>
          <w:lang/>
        </w:rPr>
        <w:t> Оподаткування доходів, отриманих фізичною особою - підприємцем від провадження господарської діяльності, крім осіб, що обрали спрощену систему оподаткування</w:t>
      </w:r>
    </w:p>
    <w:p w14:paraId="0739F7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3" w:name="n4293"/>
      <w:bookmarkEnd w:id="5043"/>
      <w:r w:rsidRPr="008B264B">
        <w:rPr>
          <w:rFonts w:ascii="Times New Roman" w:eastAsia="Times New Roman" w:hAnsi="Times New Roman" w:cs="Times New Roman"/>
          <w:color w:val="000000"/>
          <w:sz w:val="24"/>
          <w:szCs w:val="24"/>
          <w:lang/>
        </w:rPr>
        <w:t>177.1. Доходи фізичних осіб - підприємців, отримані протягом календарного року від провадження господарської діяльності, оподатковуються за ставкою, визначеною </w:t>
      </w:r>
      <w:hyperlink r:id="rId2734"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55DA8B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4" w:name="n12743"/>
      <w:bookmarkEnd w:id="5044"/>
      <w:r w:rsidRPr="008B264B">
        <w:rPr>
          <w:rFonts w:ascii="Times New Roman" w:eastAsia="Times New Roman" w:hAnsi="Times New Roman" w:cs="Times New Roman"/>
          <w:i/>
          <w:iCs/>
          <w:color w:val="000000"/>
          <w:sz w:val="24"/>
          <w:szCs w:val="24"/>
          <w:lang/>
        </w:rPr>
        <w:t>{Пункт 177.1 статті 177 із змінами, внесеними згідно із Законом </w:t>
      </w:r>
      <w:hyperlink r:id="rId2735" w:anchor="n16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C321E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5" w:name="n4294"/>
      <w:bookmarkEnd w:id="5045"/>
      <w:r w:rsidRPr="008B264B">
        <w:rPr>
          <w:rFonts w:ascii="Times New Roman" w:eastAsia="Times New Roman" w:hAnsi="Times New Roman" w:cs="Times New Roman"/>
          <w:color w:val="000000"/>
          <w:sz w:val="24"/>
          <w:szCs w:val="24"/>
          <w:lang/>
        </w:rPr>
        <w:t>177.2. Об'єктом оподаткування є чистий оподатковуваний дохід, тобто різниця між загальним оподатковуваним доходом (виручка у грошовій та негрошовій формі) і документально підтвердженими витратами, пов'язаними з господарською діяльністю такої фізичної особи - підприємця.</w:t>
      </w:r>
    </w:p>
    <w:p w14:paraId="69C605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6" w:name="n4295"/>
      <w:bookmarkEnd w:id="5046"/>
      <w:r w:rsidRPr="008B264B">
        <w:rPr>
          <w:rFonts w:ascii="Times New Roman" w:eastAsia="Times New Roman" w:hAnsi="Times New Roman" w:cs="Times New Roman"/>
          <w:color w:val="000000"/>
          <w:sz w:val="24"/>
          <w:szCs w:val="24"/>
          <w:lang/>
        </w:rPr>
        <w:t>177.3. Для фізичної особи - підприємця, зареєстрованого як платник податку на додану вартість, не включаються до витрат і доходу суми податку на додану вартість, що входять до ціни придбаних або проданих товарів (робіт, послуг).</w:t>
      </w:r>
    </w:p>
    <w:p w14:paraId="6CBE97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7" w:name="n14148"/>
      <w:bookmarkEnd w:id="5047"/>
      <w:r w:rsidRPr="008B264B">
        <w:rPr>
          <w:rFonts w:ascii="Times New Roman" w:eastAsia="Times New Roman" w:hAnsi="Times New Roman" w:cs="Times New Roman"/>
          <w:color w:val="000000"/>
          <w:sz w:val="24"/>
          <w:szCs w:val="24"/>
          <w:lang/>
        </w:rPr>
        <w:lastRenderedPageBreak/>
        <w:t>177.3.1. Не включаються до доходу фізичної особи - підприємця суми акцизного податку з реалізованих суб’єктами господарювання роздрібної торгівлі підакцизних товарів.</w:t>
      </w:r>
    </w:p>
    <w:p w14:paraId="66C8E5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8" w:name="n14146"/>
      <w:bookmarkEnd w:id="5048"/>
      <w:r w:rsidRPr="008B264B">
        <w:rPr>
          <w:rFonts w:ascii="Times New Roman" w:eastAsia="Times New Roman" w:hAnsi="Times New Roman" w:cs="Times New Roman"/>
          <w:i/>
          <w:iCs/>
          <w:color w:val="000000"/>
          <w:sz w:val="24"/>
          <w:szCs w:val="24"/>
          <w:lang/>
        </w:rPr>
        <w:t>{Пункт 177.3 статті 177 доповнено підпунктом 177.3.1 згідно із Законом </w:t>
      </w:r>
      <w:hyperlink r:id="rId2736" w:anchor="n102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1EDA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49" w:name="n4296"/>
      <w:bookmarkEnd w:id="5049"/>
      <w:r w:rsidRPr="008B264B">
        <w:rPr>
          <w:rFonts w:ascii="Times New Roman" w:eastAsia="Times New Roman" w:hAnsi="Times New Roman" w:cs="Times New Roman"/>
          <w:color w:val="000000"/>
          <w:sz w:val="24"/>
          <w:szCs w:val="24"/>
          <w:lang/>
        </w:rPr>
        <w:t>177.4. До переліку витрат, безпосередньо пов’язаних з отриманням доходів, належать:</w:t>
      </w:r>
    </w:p>
    <w:p w14:paraId="6EB758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0" w:name="n11243"/>
      <w:bookmarkEnd w:id="5050"/>
      <w:r w:rsidRPr="008B264B">
        <w:rPr>
          <w:rFonts w:ascii="Times New Roman" w:eastAsia="Times New Roman" w:hAnsi="Times New Roman" w:cs="Times New Roman"/>
          <w:color w:val="000000"/>
          <w:sz w:val="24"/>
          <w:szCs w:val="24"/>
          <w:lang/>
        </w:rPr>
        <w:t>177.4.1. витрати, до складу яких включається вартість сировини, матеріалів, товарів, що утворюють основу для виготовлення (продажу) продукції або товарів (надання робіт, послуг), купівельних напівфабрикатів та комплектуючих виробів, палива й енергії, будівельних матеріалів, запасних частин, тари й тарних матеріалів, допоміжних та інших матеріалів, які можуть бути безпосередньо віднесені до конкретного об’єкта витрат;</w:t>
      </w:r>
    </w:p>
    <w:p w14:paraId="0ACD7D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1" w:name="n11244"/>
      <w:bookmarkEnd w:id="5051"/>
      <w:r w:rsidRPr="008B264B">
        <w:rPr>
          <w:rFonts w:ascii="Times New Roman" w:eastAsia="Times New Roman" w:hAnsi="Times New Roman" w:cs="Times New Roman"/>
          <w:color w:val="000000"/>
          <w:sz w:val="24"/>
          <w:szCs w:val="24"/>
          <w:lang/>
        </w:rPr>
        <w:t>177.4.2. витрати на оплату праці фізичних осіб, що перебувають у трудових відносинах з таким платником податку (далі - працівники), які включають витрати на оплату основної і додаткової заробітної плати та інших видів заохочень і виплат виходячи з тарифних ставок, у вигляді премій, заохочень, відшкодувань вартості товарів (робіт, послуг), витрати на оплату за виконання робіт, послуг згідно з договорами цивільно-правового характеру, будь-яка інша оплата у грошовій або натуральній формі, встановлена за домовленістю сторін (крім сум матеріальної допомоги, які звільняються від оподаткування згідно з нормами цього розділу);</w:t>
      </w:r>
    </w:p>
    <w:p w14:paraId="0866CE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2" w:name="n11245"/>
      <w:bookmarkEnd w:id="5052"/>
      <w:r w:rsidRPr="008B264B">
        <w:rPr>
          <w:rFonts w:ascii="Times New Roman" w:eastAsia="Times New Roman" w:hAnsi="Times New Roman" w:cs="Times New Roman"/>
          <w:color w:val="000000"/>
          <w:sz w:val="24"/>
          <w:szCs w:val="24"/>
          <w:lang/>
        </w:rPr>
        <w:t>обов’язкові виплати, а також компенсація вартості послуг, які надаються працівникам у випадках, передбачених законодавством, внески платника податку на обов’язкове страхування життя або здоров’я працівників у випадках, передбачених законодавством;</w:t>
      </w:r>
    </w:p>
    <w:p w14:paraId="6B17F5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3" w:name="n11246"/>
      <w:bookmarkEnd w:id="5053"/>
      <w:r w:rsidRPr="008B264B">
        <w:rPr>
          <w:rFonts w:ascii="Times New Roman" w:eastAsia="Times New Roman" w:hAnsi="Times New Roman" w:cs="Times New Roman"/>
          <w:color w:val="000000"/>
          <w:sz w:val="24"/>
          <w:szCs w:val="24"/>
          <w:lang/>
        </w:rPr>
        <w:t>177.4.3. суми податків, зборів, які пов’язані з проведенням господарської діяльності такої фізичної особи - підприємця (крім податку на додану вартість для фізичної особи - підприємця, зареєстрованого як платник податку на додану вартість, та акцизного податку, податку на доходи фізичних осіб з доходу від господарської діяльності, податку на майно); суми єдиного внеску на загальнообов’язкове державне соціальне страхування у розмірах і порядку, встановлених законом; платежі, сплачені за одержання ліцензій на провадження певних видів господарської діяльності фізичною особою - підприємцем, одержання дозволу, іншого документа дозвільного характеру, які пов’язані з господарською діяльністю фізичної особи - підприємця;</w:t>
      </w:r>
    </w:p>
    <w:p w14:paraId="1135BC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4" w:name="n14147"/>
      <w:bookmarkEnd w:id="5054"/>
      <w:r w:rsidRPr="008B264B">
        <w:rPr>
          <w:rFonts w:ascii="Times New Roman" w:eastAsia="Times New Roman" w:hAnsi="Times New Roman" w:cs="Times New Roman"/>
          <w:i/>
          <w:iCs/>
          <w:color w:val="000000"/>
          <w:sz w:val="24"/>
          <w:szCs w:val="24"/>
          <w:lang/>
        </w:rPr>
        <w:t>{Підпункт 177.4.3 пункту 177.4 статті 177 в редакції Закону </w:t>
      </w:r>
      <w:hyperlink r:id="rId2737" w:anchor="n10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963D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5" w:name="n11247"/>
      <w:bookmarkEnd w:id="5055"/>
      <w:r w:rsidRPr="008B264B">
        <w:rPr>
          <w:rFonts w:ascii="Times New Roman" w:eastAsia="Times New Roman" w:hAnsi="Times New Roman" w:cs="Times New Roman"/>
          <w:color w:val="000000"/>
          <w:sz w:val="24"/>
          <w:szCs w:val="24"/>
          <w:lang/>
        </w:rPr>
        <w:t>177.4.4. інші витрати, до складу яких включаються витрати, що пов’язані з веденням господарської діяльності, які не зазначені в підпунктах 177.4.1-177.4.3 цього пункту, до яких відносяться витрати на відрядження найманих працівників, на послуги зв’язку, реклами, плати за розрахунково-касове обслуговування, на оплату оренди, ремонт та експлуатацію майна, що використовується в господарській діяльності, на транспортування готової продукції (товарів), транспортно-експедиційні та інші послуги, пов’язані з транспортуванням продукції (товарів), вартість придбаних послуг, прямо пов’язаних з виробництвом товарів, виконанням робіт, наданням послуг.</w:t>
      </w:r>
    </w:p>
    <w:p w14:paraId="7FB4FE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6" w:name="n14150"/>
      <w:bookmarkEnd w:id="5056"/>
      <w:r w:rsidRPr="008B264B">
        <w:rPr>
          <w:rFonts w:ascii="Times New Roman" w:eastAsia="Times New Roman" w:hAnsi="Times New Roman" w:cs="Times New Roman"/>
          <w:color w:val="000000"/>
          <w:sz w:val="24"/>
          <w:szCs w:val="24"/>
          <w:lang/>
        </w:rPr>
        <w:t>177.4.5. Не включаються до складу витрат підприємця:</w:t>
      </w:r>
    </w:p>
    <w:p w14:paraId="5D980F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7" w:name="n14151"/>
      <w:bookmarkEnd w:id="5057"/>
      <w:r w:rsidRPr="008B264B">
        <w:rPr>
          <w:rFonts w:ascii="Times New Roman" w:eastAsia="Times New Roman" w:hAnsi="Times New Roman" w:cs="Times New Roman"/>
          <w:color w:val="000000"/>
          <w:sz w:val="24"/>
          <w:szCs w:val="24"/>
          <w:lang/>
        </w:rPr>
        <w:t>витрати, не пов’язані з провадженням господарської діяльності такою фізичною особою - підприємцем;</w:t>
      </w:r>
    </w:p>
    <w:p w14:paraId="2DA975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8" w:name="n14152"/>
      <w:bookmarkEnd w:id="5058"/>
      <w:r w:rsidRPr="008B264B">
        <w:rPr>
          <w:rFonts w:ascii="Times New Roman" w:eastAsia="Times New Roman" w:hAnsi="Times New Roman" w:cs="Times New Roman"/>
          <w:color w:val="000000"/>
          <w:sz w:val="24"/>
          <w:szCs w:val="24"/>
          <w:lang/>
        </w:rPr>
        <w:t>витрати на придбання, самостійне виготовлення основних засобів та витрати на придбання нематеріальних активів, які підлягають амортизації;</w:t>
      </w:r>
    </w:p>
    <w:p w14:paraId="5910C2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59" w:name="n14153"/>
      <w:bookmarkEnd w:id="5059"/>
      <w:r w:rsidRPr="008B264B">
        <w:rPr>
          <w:rFonts w:ascii="Times New Roman" w:eastAsia="Times New Roman" w:hAnsi="Times New Roman" w:cs="Times New Roman"/>
          <w:color w:val="000000"/>
          <w:sz w:val="24"/>
          <w:szCs w:val="24"/>
          <w:lang/>
        </w:rPr>
        <w:t>витрати на придбання та утримання основних засобів подвійного призначення, визначених цією статтею;</w:t>
      </w:r>
    </w:p>
    <w:p w14:paraId="730EEF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0" w:name="n14154"/>
      <w:bookmarkEnd w:id="5060"/>
      <w:r w:rsidRPr="008B264B">
        <w:rPr>
          <w:rFonts w:ascii="Times New Roman" w:eastAsia="Times New Roman" w:hAnsi="Times New Roman" w:cs="Times New Roman"/>
          <w:color w:val="000000"/>
          <w:sz w:val="24"/>
          <w:szCs w:val="24"/>
          <w:lang/>
        </w:rPr>
        <w:t>документально не підтверджені витрати.</w:t>
      </w:r>
    </w:p>
    <w:p w14:paraId="1F06A2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1" w:name="n14173"/>
      <w:bookmarkEnd w:id="5061"/>
      <w:r w:rsidRPr="008B264B">
        <w:rPr>
          <w:rFonts w:ascii="Times New Roman" w:eastAsia="Times New Roman" w:hAnsi="Times New Roman" w:cs="Times New Roman"/>
          <w:i/>
          <w:iCs/>
          <w:color w:val="000000"/>
          <w:sz w:val="24"/>
          <w:szCs w:val="24"/>
          <w:lang/>
        </w:rPr>
        <w:t>{Пункт 177.4 статті 177 доповнено підпунктом 177.4.5 згідно із Законом </w:t>
      </w:r>
      <w:hyperlink r:id="rId2738" w:anchor="n10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C996C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2" w:name="n14155"/>
      <w:bookmarkEnd w:id="5062"/>
      <w:r w:rsidRPr="008B264B">
        <w:rPr>
          <w:rFonts w:ascii="Times New Roman" w:eastAsia="Times New Roman" w:hAnsi="Times New Roman" w:cs="Times New Roman"/>
          <w:color w:val="000000"/>
          <w:sz w:val="24"/>
          <w:szCs w:val="24"/>
          <w:lang/>
        </w:rPr>
        <w:lastRenderedPageBreak/>
        <w:t>177.4.6. Зазначені у цій статті підприємці мають право (за власним бажанням) включати до складу витрат, пов’язаних з провадженням їх господарської діяльності, амортизаційні відрахування з відповідним веденням окремого обліку таких витрат. При цьому амортизації підлягають:</w:t>
      </w:r>
    </w:p>
    <w:p w14:paraId="04DD9F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3" w:name="n14156"/>
      <w:bookmarkEnd w:id="5063"/>
      <w:r w:rsidRPr="008B264B">
        <w:rPr>
          <w:rFonts w:ascii="Times New Roman" w:eastAsia="Times New Roman" w:hAnsi="Times New Roman" w:cs="Times New Roman"/>
          <w:color w:val="000000"/>
          <w:sz w:val="24"/>
          <w:szCs w:val="24"/>
          <w:lang/>
        </w:rPr>
        <w:t>витрати на придбання основних засобів та нематеріальних активів;</w:t>
      </w:r>
    </w:p>
    <w:p w14:paraId="454426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4" w:name="n14157"/>
      <w:bookmarkEnd w:id="5064"/>
      <w:r w:rsidRPr="008B264B">
        <w:rPr>
          <w:rFonts w:ascii="Times New Roman" w:eastAsia="Times New Roman" w:hAnsi="Times New Roman" w:cs="Times New Roman"/>
          <w:color w:val="000000"/>
          <w:sz w:val="24"/>
          <w:szCs w:val="24"/>
          <w:lang/>
        </w:rPr>
        <w:t>витрати на самостійне виготовлення основних засобів.</w:t>
      </w:r>
    </w:p>
    <w:p w14:paraId="628927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5" w:name="n14158"/>
      <w:bookmarkEnd w:id="5065"/>
      <w:r w:rsidRPr="008B264B">
        <w:rPr>
          <w:rFonts w:ascii="Times New Roman" w:eastAsia="Times New Roman" w:hAnsi="Times New Roman" w:cs="Times New Roman"/>
          <w:color w:val="000000"/>
          <w:sz w:val="24"/>
          <w:szCs w:val="24"/>
          <w:lang/>
        </w:rPr>
        <w:t>Не підлягають амортизації та повністю включаються до складу витрат звітного періоду витрати на:</w:t>
      </w:r>
    </w:p>
    <w:p w14:paraId="42C8BF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6" w:name="n14159"/>
      <w:bookmarkEnd w:id="5066"/>
      <w:r w:rsidRPr="008B264B">
        <w:rPr>
          <w:rFonts w:ascii="Times New Roman" w:eastAsia="Times New Roman" w:hAnsi="Times New Roman" w:cs="Times New Roman"/>
          <w:color w:val="000000"/>
          <w:sz w:val="24"/>
          <w:szCs w:val="24"/>
          <w:lang/>
        </w:rPr>
        <w:t>проведення ремонту, реконструкції, модернізації та інших видів поліпшення основних засобів;</w:t>
      </w:r>
    </w:p>
    <w:p w14:paraId="2A5874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7" w:name="n14160"/>
      <w:bookmarkEnd w:id="5067"/>
      <w:r w:rsidRPr="008B264B">
        <w:rPr>
          <w:rFonts w:ascii="Times New Roman" w:eastAsia="Times New Roman" w:hAnsi="Times New Roman" w:cs="Times New Roman"/>
          <w:color w:val="000000"/>
          <w:sz w:val="24"/>
          <w:szCs w:val="24"/>
          <w:lang/>
        </w:rPr>
        <w:t>ліквідацію основних засобів (у частині залишкової вартості).</w:t>
      </w:r>
    </w:p>
    <w:p w14:paraId="1E7F2E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8" w:name="n14161"/>
      <w:bookmarkEnd w:id="5068"/>
      <w:r w:rsidRPr="008B264B">
        <w:rPr>
          <w:rFonts w:ascii="Times New Roman" w:eastAsia="Times New Roman" w:hAnsi="Times New Roman" w:cs="Times New Roman"/>
          <w:color w:val="000000"/>
          <w:sz w:val="24"/>
          <w:szCs w:val="24"/>
          <w:lang/>
        </w:rPr>
        <w:t>Не підлягають амортизації такі основні засоби подвійного призначення:</w:t>
      </w:r>
    </w:p>
    <w:p w14:paraId="1016F3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69" w:name="n14162"/>
      <w:bookmarkEnd w:id="5069"/>
      <w:r w:rsidRPr="008B264B">
        <w:rPr>
          <w:rFonts w:ascii="Times New Roman" w:eastAsia="Times New Roman" w:hAnsi="Times New Roman" w:cs="Times New Roman"/>
          <w:color w:val="000000"/>
          <w:sz w:val="24"/>
          <w:szCs w:val="24"/>
          <w:lang/>
        </w:rPr>
        <w:t>земельні ділянки;</w:t>
      </w:r>
    </w:p>
    <w:p w14:paraId="5B763D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0" w:name="n14163"/>
      <w:bookmarkEnd w:id="5070"/>
      <w:r w:rsidRPr="008B264B">
        <w:rPr>
          <w:rFonts w:ascii="Times New Roman" w:eastAsia="Times New Roman" w:hAnsi="Times New Roman" w:cs="Times New Roman"/>
          <w:color w:val="000000"/>
          <w:sz w:val="24"/>
          <w:szCs w:val="24"/>
          <w:lang/>
        </w:rPr>
        <w:t>об’єкти житлової нерухомості;</w:t>
      </w:r>
    </w:p>
    <w:p w14:paraId="62303D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1" w:name="n14164"/>
      <w:bookmarkEnd w:id="5071"/>
      <w:r w:rsidRPr="008B264B">
        <w:rPr>
          <w:rFonts w:ascii="Times New Roman" w:eastAsia="Times New Roman" w:hAnsi="Times New Roman" w:cs="Times New Roman"/>
          <w:color w:val="000000"/>
          <w:sz w:val="24"/>
          <w:szCs w:val="24"/>
          <w:lang/>
        </w:rPr>
        <w:t>легкові та вантажні автомобілі.</w:t>
      </w:r>
    </w:p>
    <w:p w14:paraId="6FC08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2" w:name="n14172"/>
      <w:bookmarkEnd w:id="5072"/>
      <w:r w:rsidRPr="008B264B">
        <w:rPr>
          <w:rFonts w:ascii="Times New Roman" w:eastAsia="Times New Roman" w:hAnsi="Times New Roman" w:cs="Times New Roman"/>
          <w:i/>
          <w:iCs/>
          <w:color w:val="000000"/>
          <w:sz w:val="24"/>
          <w:szCs w:val="24"/>
          <w:lang/>
        </w:rPr>
        <w:t>{Пункт 177.4 статті 177 доповнено підпунктом 177.4.6 згідно із Законом </w:t>
      </w:r>
      <w:hyperlink r:id="rId2739" w:anchor="n10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4B9B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3" w:name="n14165"/>
      <w:bookmarkEnd w:id="5073"/>
      <w:r w:rsidRPr="008B264B">
        <w:rPr>
          <w:rFonts w:ascii="Times New Roman" w:eastAsia="Times New Roman" w:hAnsi="Times New Roman" w:cs="Times New Roman"/>
          <w:color w:val="000000"/>
          <w:sz w:val="24"/>
          <w:szCs w:val="24"/>
          <w:lang/>
        </w:rPr>
        <w:t>177.4.7. Розрахунок амортизації основних засобів та нематеріальних активів здійснюється із застосуванням прямолінійного методу нарахування амортизації, за яким річна сума амортизації визначається діленням первісної вартості об’єкта основних засобів та нематеріальних активів, яка амортизується, на строк корисного використання об’єкта основних засобів та нематеріальних активів.</w:t>
      </w:r>
    </w:p>
    <w:p w14:paraId="178ADE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4" w:name="n14171"/>
      <w:bookmarkEnd w:id="5074"/>
      <w:r w:rsidRPr="008B264B">
        <w:rPr>
          <w:rFonts w:ascii="Times New Roman" w:eastAsia="Times New Roman" w:hAnsi="Times New Roman" w:cs="Times New Roman"/>
          <w:i/>
          <w:iCs/>
          <w:color w:val="000000"/>
          <w:sz w:val="24"/>
          <w:szCs w:val="24"/>
          <w:lang/>
        </w:rPr>
        <w:t>{Пункт 177.4 статті 177 доповнено підпунктом 177.4.7 згідно із Законом </w:t>
      </w:r>
      <w:hyperlink r:id="rId2740" w:anchor="n10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9570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5" w:name="n14166"/>
      <w:bookmarkEnd w:id="5075"/>
      <w:r w:rsidRPr="008B264B">
        <w:rPr>
          <w:rFonts w:ascii="Times New Roman" w:eastAsia="Times New Roman" w:hAnsi="Times New Roman" w:cs="Times New Roman"/>
          <w:color w:val="000000"/>
          <w:sz w:val="24"/>
          <w:szCs w:val="24"/>
          <w:lang/>
        </w:rPr>
        <w:t>177.4.8. Облік вартості, яка амортизується, ведеться за кожним об’єктом.</w:t>
      </w:r>
    </w:p>
    <w:p w14:paraId="10FC38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6" w:name="n14170"/>
      <w:bookmarkEnd w:id="5076"/>
      <w:r w:rsidRPr="008B264B">
        <w:rPr>
          <w:rFonts w:ascii="Times New Roman" w:eastAsia="Times New Roman" w:hAnsi="Times New Roman" w:cs="Times New Roman"/>
          <w:i/>
          <w:iCs/>
          <w:color w:val="000000"/>
          <w:sz w:val="24"/>
          <w:szCs w:val="24"/>
          <w:lang/>
        </w:rPr>
        <w:t>{Пункт 177.4 статті 177 доповнено підпунктом 177.4.8 згідно із Законом </w:t>
      </w:r>
      <w:hyperlink r:id="rId2741" w:anchor="n10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71BBF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7" w:name="n14167"/>
      <w:bookmarkEnd w:id="5077"/>
      <w:r w:rsidRPr="008B264B">
        <w:rPr>
          <w:rFonts w:ascii="Times New Roman" w:eastAsia="Times New Roman" w:hAnsi="Times New Roman" w:cs="Times New Roman"/>
          <w:color w:val="000000"/>
          <w:sz w:val="24"/>
          <w:szCs w:val="24"/>
          <w:lang/>
        </w:rPr>
        <w:t>177.4.9. Амортизація нараховується протягом строку корисного використання (експлуатації) об’єкта основних засобів та нематеріальних активів, самостійно установленого фізичною особою, але не менше мінімально допустимого строку корисного використання об’єкта основних засобів та нематеріальних активів:</w:t>
      </w:r>
    </w:p>
    <w:tbl>
      <w:tblPr>
        <w:tblW w:w="5000" w:type="pct"/>
        <w:tblCellMar>
          <w:left w:w="0" w:type="dxa"/>
          <w:right w:w="0" w:type="dxa"/>
        </w:tblCellMar>
        <w:tblLook w:val="04A0" w:firstRow="1" w:lastRow="0" w:firstColumn="1" w:lastColumn="0" w:noHBand="0" w:noVBand="1"/>
      </w:tblPr>
      <w:tblGrid>
        <w:gridCol w:w="4998"/>
        <w:gridCol w:w="4918"/>
      </w:tblGrid>
      <w:tr w:rsidR="008B264B" w:rsidRPr="008B264B" w14:paraId="3D806B62" w14:textId="77777777" w:rsidTr="008B264B">
        <w:tc>
          <w:tcPr>
            <w:tcW w:w="4695" w:type="dxa"/>
            <w:tcBorders>
              <w:top w:val="single" w:sz="2" w:space="0" w:color="auto"/>
              <w:left w:val="single" w:sz="2" w:space="0" w:color="auto"/>
              <w:bottom w:val="single" w:sz="2" w:space="0" w:color="auto"/>
              <w:right w:val="single" w:sz="2" w:space="0" w:color="auto"/>
            </w:tcBorders>
            <w:shd w:val="clear" w:color="auto" w:fill="auto"/>
            <w:hideMark/>
          </w:tcPr>
          <w:p w14:paraId="3E8F7A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5078" w:name="n14168"/>
            <w:bookmarkEnd w:id="5078"/>
            <w:r w:rsidRPr="008B264B">
              <w:rPr>
                <w:rFonts w:ascii="Times New Roman" w:eastAsia="Times New Roman" w:hAnsi="Times New Roman" w:cs="Times New Roman"/>
                <w:sz w:val="24"/>
                <w:szCs w:val="24"/>
                <w:lang/>
              </w:rPr>
              <w:t>Групи</w:t>
            </w:r>
          </w:p>
        </w:tc>
        <w:tc>
          <w:tcPr>
            <w:tcW w:w="4620" w:type="dxa"/>
            <w:tcBorders>
              <w:top w:val="single" w:sz="2" w:space="0" w:color="auto"/>
              <w:left w:val="single" w:sz="2" w:space="0" w:color="auto"/>
              <w:bottom w:val="single" w:sz="2" w:space="0" w:color="auto"/>
              <w:right w:val="single" w:sz="2" w:space="0" w:color="auto"/>
            </w:tcBorders>
            <w:shd w:val="clear" w:color="auto" w:fill="auto"/>
            <w:hideMark/>
          </w:tcPr>
          <w:p w14:paraId="215E66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Мінімально допустимі строки корисного використання, років</w:t>
            </w:r>
          </w:p>
        </w:tc>
      </w:tr>
      <w:tr w:rsidR="008B264B" w:rsidRPr="008B264B" w14:paraId="303551DE" w14:textId="77777777" w:rsidTr="008B264B">
        <w:tc>
          <w:tcPr>
            <w:tcW w:w="4695" w:type="dxa"/>
            <w:tcBorders>
              <w:top w:val="single" w:sz="2" w:space="0" w:color="auto"/>
              <w:left w:val="single" w:sz="2" w:space="0" w:color="auto"/>
              <w:bottom w:val="single" w:sz="2" w:space="0" w:color="auto"/>
              <w:right w:val="single" w:sz="2" w:space="0" w:color="auto"/>
            </w:tcBorders>
            <w:shd w:val="clear" w:color="auto" w:fill="auto"/>
            <w:hideMark/>
          </w:tcPr>
          <w:p w14:paraId="02A46A5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1 - Капітальні витрати на поліпшення земель, не пов’язані з будівництвом</w:t>
            </w:r>
          </w:p>
        </w:tc>
        <w:tc>
          <w:tcPr>
            <w:tcW w:w="4620" w:type="dxa"/>
            <w:tcBorders>
              <w:top w:val="single" w:sz="2" w:space="0" w:color="auto"/>
              <w:left w:val="single" w:sz="2" w:space="0" w:color="auto"/>
              <w:bottom w:val="single" w:sz="2" w:space="0" w:color="auto"/>
              <w:right w:val="single" w:sz="2" w:space="0" w:color="auto"/>
            </w:tcBorders>
            <w:shd w:val="clear" w:color="auto" w:fill="auto"/>
            <w:hideMark/>
          </w:tcPr>
          <w:p w14:paraId="788F65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w:t>
            </w:r>
          </w:p>
        </w:tc>
      </w:tr>
      <w:tr w:rsidR="008B264B" w:rsidRPr="008B264B" w14:paraId="78C5909A" w14:textId="77777777" w:rsidTr="008B264B">
        <w:tc>
          <w:tcPr>
            <w:tcW w:w="4695" w:type="dxa"/>
            <w:tcBorders>
              <w:top w:val="single" w:sz="2" w:space="0" w:color="auto"/>
              <w:left w:val="single" w:sz="2" w:space="0" w:color="auto"/>
              <w:bottom w:val="single" w:sz="2" w:space="0" w:color="auto"/>
              <w:right w:val="single" w:sz="2" w:space="0" w:color="auto"/>
            </w:tcBorders>
            <w:shd w:val="clear" w:color="auto" w:fill="auto"/>
            <w:hideMark/>
          </w:tcPr>
          <w:p w14:paraId="089279F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2 - Будівлі, споруди, передавальні пристрої</w:t>
            </w:r>
          </w:p>
        </w:tc>
        <w:tc>
          <w:tcPr>
            <w:tcW w:w="4620" w:type="dxa"/>
            <w:tcBorders>
              <w:top w:val="single" w:sz="2" w:space="0" w:color="auto"/>
              <w:left w:val="single" w:sz="2" w:space="0" w:color="auto"/>
              <w:bottom w:val="single" w:sz="2" w:space="0" w:color="auto"/>
              <w:right w:val="single" w:sz="2" w:space="0" w:color="auto"/>
            </w:tcBorders>
            <w:shd w:val="clear" w:color="auto" w:fill="auto"/>
            <w:hideMark/>
          </w:tcPr>
          <w:p w14:paraId="765D6A5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w:t>
            </w:r>
          </w:p>
        </w:tc>
      </w:tr>
      <w:tr w:rsidR="008B264B" w:rsidRPr="008B264B" w14:paraId="383D0562" w14:textId="77777777" w:rsidTr="008B264B">
        <w:tc>
          <w:tcPr>
            <w:tcW w:w="4695" w:type="dxa"/>
            <w:tcBorders>
              <w:top w:val="single" w:sz="2" w:space="0" w:color="auto"/>
              <w:left w:val="single" w:sz="2" w:space="0" w:color="auto"/>
              <w:bottom w:val="single" w:sz="2" w:space="0" w:color="auto"/>
              <w:right w:val="single" w:sz="2" w:space="0" w:color="auto"/>
            </w:tcBorders>
            <w:shd w:val="clear" w:color="auto" w:fill="auto"/>
            <w:hideMark/>
          </w:tcPr>
          <w:p w14:paraId="4E494DA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3 - Машини, обладнання, тварини, багаторічні насадження та інше</w:t>
            </w:r>
          </w:p>
        </w:tc>
        <w:tc>
          <w:tcPr>
            <w:tcW w:w="4620" w:type="dxa"/>
            <w:tcBorders>
              <w:top w:val="single" w:sz="2" w:space="0" w:color="auto"/>
              <w:left w:val="single" w:sz="2" w:space="0" w:color="auto"/>
              <w:bottom w:val="single" w:sz="2" w:space="0" w:color="auto"/>
              <w:right w:val="single" w:sz="2" w:space="0" w:color="auto"/>
            </w:tcBorders>
            <w:shd w:val="clear" w:color="auto" w:fill="auto"/>
            <w:hideMark/>
          </w:tcPr>
          <w:p w14:paraId="6D357E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0004D768" w14:textId="77777777" w:rsidTr="008B264B">
        <w:tc>
          <w:tcPr>
            <w:tcW w:w="4695" w:type="dxa"/>
            <w:tcBorders>
              <w:top w:val="single" w:sz="2" w:space="0" w:color="auto"/>
              <w:left w:val="single" w:sz="2" w:space="0" w:color="auto"/>
              <w:bottom w:val="single" w:sz="2" w:space="0" w:color="auto"/>
              <w:right w:val="single" w:sz="2" w:space="0" w:color="auto"/>
            </w:tcBorders>
            <w:shd w:val="clear" w:color="auto" w:fill="auto"/>
            <w:hideMark/>
          </w:tcPr>
          <w:p w14:paraId="18044D8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4 - Нематеріальні активи</w:t>
            </w:r>
          </w:p>
        </w:tc>
        <w:tc>
          <w:tcPr>
            <w:tcW w:w="4620" w:type="dxa"/>
            <w:tcBorders>
              <w:top w:val="single" w:sz="2" w:space="0" w:color="auto"/>
              <w:left w:val="single" w:sz="2" w:space="0" w:color="auto"/>
              <w:bottom w:val="single" w:sz="2" w:space="0" w:color="auto"/>
              <w:right w:val="single" w:sz="2" w:space="0" w:color="auto"/>
            </w:tcBorders>
            <w:shd w:val="clear" w:color="auto" w:fill="auto"/>
            <w:hideMark/>
          </w:tcPr>
          <w:p w14:paraId="782008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відповідно до правовстановлюючого документа, але не менш як два роки</w:t>
            </w:r>
          </w:p>
        </w:tc>
      </w:tr>
    </w:tbl>
    <w:p w14:paraId="54C865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79" w:name="n14169"/>
      <w:bookmarkEnd w:id="5079"/>
      <w:r w:rsidRPr="008B264B">
        <w:rPr>
          <w:rFonts w:ascii="Times New Roman" w:eastAsia="Times New Roman" w:hAnsi="Times New Roman" w:cs="Times New Roman"/>
          <w:color w:val="000000"/>
          <w:sz w:val="24"/>
          <w:szCs w:val="24"/>
          <w:lang/>
        </w:rPr>
        <w:lastRenderedPageBreak/>
        <w:t>Дія цього підпункту поширюється виключно на об’єкти основних засобів та нематеріальних активів, витрати на придбання чи самостійне виготовлення яких підтверджені документально.</w:t>
      </w:r>
    </w:p>
    <w:p w14:paraId="26D7C8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0" w:name="n14149"/>
      <w:bookmarkEnd w:id="5080"/>
      <w:r w:rsidRPr="008B264B">
        <w:rPr>
          <w:rFonts w:ascii="Times New Roman" w:eastAsia="Times New Roman" w:hAnsi="Times New Roman" w:cs="Times New Roman"/>
          <w:i/>
          <w:iCs/>
          <w:color w:val="000000"/>
          <w:sz w:val="24"/>
          <w:szCs w:val="24"/>
          <w:lang/>
        </w:rPr>
        <w:t>{Пункт 177.4 статті 177 доповнено підпунктом 177.4.9 згідно із Законом </w:t>
      </w:r>
      <w:hyperlink r:id="rId2742" w:anchor="n10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F2E2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1" w:name="n4297"/>
      <w:bookmarkEnd w:id="5081"/>
      <w:r w:rsidRPr="008B264B">
        <w:rPr>
          <w:rFonts w:ascii="Times New Roman" w:eastAsia="Times New Roman" w:hAnsi="Times New Roman" w:cs="Times New Roman"/>
          <w:i/>
          <w:iCs/>
          <w:color w:val="000000"/>
          <w:sz w:val="24"/>
          <w:szCs w:val="24"/>
          <w:lang/>
        </w:rPr>
        <w:t>{Пункт 177.4 статті 177 в редакції Законів </w:t>
      </w:r>
      <w:hyperlink r:id="rId274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744" w:anchor="n59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9DFA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2" w:name="n4298"/>
      <w:bookmarkEnd w:id="5082"/>
      <w:r w:rsidRPr="008B264B">
        <w:rPr>
          <w:rFonts w:ascii="Times New Roman" w:eastAsia="Times New Roman" w:hAnsi="Times New Roman" w:cs="Times New Roman"/>
          <w:color w:val="000000"/>
          <w:sz w:val="24"/>
          <w:szCs w:val="24"/>
          <w:lang/>
        </w:rPr>
        <w:t>177.5. Фізичні особи - підприємці подають до контролюючого органу податкову декларацію за місцем своєї податкової адреси за результатами календарного року у строки, встановлені цим Кодексом для річного звітного податкового періоду, в якій також зазначаються авансові платежі з податку на доходи.</w:t>
      </w:r>
    </w:p>
    <w:p w14:paraId="44AFA6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3" w:name="n4299"/>
      <w:bookmarkEnd w:id="5083"/>
      <w:r w:rsidRPr="008B264B">
        <w:rPr>
          <w:rFonts w:ascii="Times New Roman" w:eastAsia="Times New Roman" w:hAnsi="Times New Roman" w:cs="Times New Roman"/>
          <w:color w:val="000000"/>
          <w:sz w:val="24"/>
          <w:szCs w:val="24"/>
          <w:lang/>
        </w:rPr>
        <w:t>177.5.1. Авансові платежі з податку на доходи фізичних осіб розраховуються платником податку самостійно згідно з фактичними даними, зазначеними у Книзі обліку доходів і витрат, кожного календарного кварталу та сплачуються до бюджету до 20 числа місяця, наступного за кожним календарним кварталом (до 20 квітня, до 20 липня і до 20 жовтня). Авансовий платіж за четвертий календарний квартал не розраховується та не сплачується.</w:t>
      </w:r>
    </w:p>
    <w:p w14:paraId="2181D0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4" w:name="n4300"/>
      <w:bookmarkEnd w:id="5084"/>
      <w:r w:rsidRPr="008B264B">
        <w:rPr>
          <w:rFonts w:ascii="Times New Roman" w:eastAsia="Times New Roman" w:hAnsi="Times New Roman" w:cs="Times New Roman"/>
          <w:color w:val="000000"/>
          <w:sz w:val="24"/>
          <w:szCs w:val="24"/>
          <w:lang/>
        </w:rPr>
        <w:t>Якщо результатом розрахунку авансового платежу за відповідний календарний квартал є від’ємне значення, то авансовий платіж за такий період не сплачується.</w:t>
      </w:r>
    </w:p>
    <w:p w14:paraId="0C2F97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5" w:name="n12744"/>
      <w:bookmarkEnd w:id="5085"/>
      <w:r w:rsidRPr="008B264B">
        <w:rPr>
          <w:rFonts w:ascii="Times New Roman" w:eastAsia="Times New Roman" w:hAnsi="Times New Roman" w:cs="Times New Roman"/>
          <w:i/>
          <w:iCs/>
          <w:color w:val="000000"/>
          <w:sz w:val="24"/>
          <w:szCs w:val="24"/>
          <w:lang/>
        </w:rPr>
        <w:t>{Підпункт 177.5.1 пункту 177.5 статті 177 із змінами, внесеними згідно із Законом </w:t>
      </w:r>
      <w:hyperlink r:id="rId274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746" w:anchor="n16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8D3DF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6" w:name="n4302"/>
      <w:bookmarkEnd w:id="5086"/>
      <w:r w:rsidRPr="008B264B">
        <w:rPr>
          <w:rFonts w:ascii="Times New Roman" w:eastAsia="Times New Roman" w:hAnsi="Times New Roman" w:cs="Times New Roman"/>
          <w:color w:val="000000"/>
          <w:sz w:val="24"/>
          <w:szCs w:val="24"/>
          <w:lang/>
        </w:rPr>
        <w:t>177.5.2. Фізичні особи - підприємці, які зареєстровані протягом року в установленому законом порядку або перейшли із спрощеної системи оподаткування на загальну систему оподаткування чи сплачували фіксований податок до набрання чинності цим Кодексом, подають податкову декларацію за результатами звітного кварталу, в якому розпочата така діяльність або відбувся перехід на загальну систему оподаткування. Вперше зареєстровані підприємці в податковій декларації також зазначають інформацію про майновий стан та доходи за станом на дату державної реєстрації підприємцем. Платники податку розраховують та сплачують авансові платежі у строки, визначені підпунктом 177.5.1 пункту 177.5 цієї статті, що настануть у звітному податковому році.</w:t>
      </w:r>
    </w:p>
    <w:p w14:paraId="133B58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7" w:name="n4303"/>
      <w:bookmarkEnd w:id="5087"/>
      <w:r w:rsidRPr="008B264B">
        <w:rPr>
          <w:rFonts w:ascii="Times New Roman" w:eastAsia="Times New Roman" w:hAnsi="Times New Roman" w:cs="Times New Roman"/>
          <w:color w:val="000000"/>
          <w:sz w:val="24"/>
          <w:szCs w:val="24"/>
          <w:lang/>
        </w:rPr>
        <w:t>177.5.3. Остаточний розрахунок податку на доходи фізичних осіб за звітний податковий рік здійснюється платником самостійно згідно з даними, зазначеними в річній податковій декларації, з урахуванням сплаченого ним протягом року податку на доходи фізичних осіб на підставі документального підтвердження факту його сплати.</w:t>
      </w:r>
    </w:p>
    <w:p w14:paraId="66BE6C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8" w:name="n4304"/>
      <w:bookmarkEnd w:id="5088"/>
      <w:r w:rsidRPr="008B264B">
        <w:rPr>
          <w:rFonts w:ascii="Times New Roman" w:eastAsia="Times New Roman" w:hAnsi="Times New Roman" w:cs="Times New Roman"/>
          <w:i/>
          <w:iCs/>
          <w:color w:val="000000"/>
          <w:sz w:val="24"/>
          <w:szCs w:val="24"/>
          <w:lang/>
        </w:rPr>
        <w:t>{Абзац перший підпункту 177.5.3 пункту 177.5 статті 177 із змінами, внесеними згідно із Законами </w:t>
      </w:r>
      <w:hyperlink r:id="rId274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748" w:anchor="n6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2529A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89" w:name="n4305"/>
      <w:bookmarkEnd w:id="5089"/>
      <w:r w:rsidRPr="008B264B">
        <w:rPr>
          <w:rFonts w:ascii="Times New Roman" w:eastAsia="Times New Roman" w:hAnsi="Times New Roman" w:cs="Times New Roman"/>
          <w:color w:val="000000"/>
          <w:sz w:val="24"/>
          <w:szCs w:val="24"/>
          <w:lang/>
        </w:rPr>
        <w:t>Надмірно сплачені суми податку підлягають зарахуванню в рахунок майбутніх платежів з цього податку або поверненню платнику податку в порядку, передбаченому цим Кодексом.</w:t>
      </w:r>
    </w:p>
    <w:p w14:paraId="260088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0" w:name="n4306"/>
      <w:bookmarkEnd w:id="5090"/>
      <w:r w:rsidRPr="008B264B">
        <w:rPr>
          <w:rFonts w:ascii="Times New Roman" w:eastAsia="Times New Roman" w:hAnsi="Times New Roman" w:cs="Times New Roman"/>
          <w:color w:val="000000"/>
          <w:sz w:val="24"/>
          <w:szCs w:val="24"/>
          <w:lang/>
        </w:rPr>
        <w:t>177.6. У разі якщо фізична особа - підприємець отримує інші доходи, ніж від провадження підприємницької діяльності, у межах обраних ним видів такої діяльності, такі доходи оподатковуються за загальними правилами, встановленими цим Кодексом для платників податку - фізичних осіб.</w:t>
      </w:r>
    </w:p>
    <w:p w14:paraId="7D6EC5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1" w:name="n4307"/>
      <w:bookmarkEnd w:id="5091"/>
      <w:r w:rsidRPr="008B264B">
        <w:rPr>
          <w:rFonts w:ascii="Times New Roman" w:eastAsia="Times New Roman" w:hAnsi="Times New Roman" w:cs="Times New Roman"/>
          <w:color w:val="000000"/>
          <w:sz w:val="24"/>
          <w:szCs w:val="24"/>
          <w:lang/>
        </w:rPr>
        <w:t>177.7. Фізична особа - підприємець вважається податковим агентом працівника - фізичної особи, яка перебуває з нею у трудових, цивільно-правових відносинах, або будь-якої іншої фізичної особи щодо будь-яких оподатковуваних доходів, нарахованих (виплачених, наданих) на користь такої особи.</w:t>
      </w:r>
    </w:p>
    <w:p w14:paraId="1D89E4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2" w:name="n4308"/>
      <w:bookmarkEnd w:id="5092"/>
      <w:r w:rsidRPr="008B264B">
        <w:rPr>
          <w:rFonts w:ascii="Times New Roman" w:eastAsia="Times New Roman" w:hAnsi="Times New Roman" w:cs="Times New Roman"/>
          <w:color w:val="000000"/>
          <w:sz w:val="24"/>
          <w:szCs w:val="24"/>
          <w:lang/>
        </w:rPr>
        <w:t xml:space="preserve">177.8. Під час нарахування (виплати) фізичній особі - підприємцю доходу від здійснення нею підприємницької діяльності, суб'єкт господарювання та/або самозайнята особа, які нараховують (виплачують) такий дохід, не утримують податок на доходи у джерела виплати, якщо фізичною </w:t>
      </w:r>
      <w:r w:rsidRPr="008B264B">
        <w:rPr>
          <w:rFonts w:ascii="Times New Roman" w:eastAsia="Times New Roman" w:hAnsi="Times New Roman" w:cs="Times New Roman"/>
          <w:color w:val="000000"/>
          <w:sz w:val="24"/>
          <w:szCs w:val="24"/>
          <w:lang/>
        </w:rPr>
        <w:lastRenderedPageBreak/>
        <w:t>особою - підприємцем, яка отримує такий дохід, надано копію документу, що підтверджує її державну реєстрацію відповідно до закону як суб'єкта підприємницької діяльності. Це правило не застосовується в разі нарахування (виплати) доходу за виконання певної роботи та/або надання послуги згідно з цивільно-правовим договором, коли буде встановлено, що відносини за таким договором фактично є трудовими, а сторони договору можуть бути прирівняні до працівника чи роботодавця відповідно до </w:t>
      </w:r>
      <w:hyperlink r:id="rId2749" w:anchor="n652" w:history="1">
        <w:r w:rsidRPr="008B264B">
          <w:rPr>
            <w:rFonts w:ascii="Times New Roman" w:eastAsia="Times New Roman" w:hAnsi="Times New Roman" w:cs="Times New Roman"/>
            <w:color w:val="0000FF"/>
            <w:sz w:val="24"/>
            <w:szCs w:val="24"/>
            <w:u w:val="single"/>
            <w:lang/>
          </w:rPr>
          <w:t>підпунктів 14.1.195</w:t>
        </w:r>
      </w:hyperlink>
      <w:r w:rsidRPr="008B264B">
        <w:rPr>
          <w:rFonts w:ascii="Times New Roman" w:eastAsia="Times New Roman" w:hAnsi="Times New Roman" w:cs="Times New Roman"/>
          <w:color w:val="000000"/>
          <w:sz w:val="24"/>
          <w:szCs w:val="24"/>
          <w:lang/>
        </w:rPr>
        <w:t> та </w:t>
      </w:r>
      <w:hyperlink r:id="rId2750" w:anchor="n710" w:history="1">
        <w:r w:rsidRPr="008B264B">
          <w:rPr>
            <w:rFonts w:ascii="Times New Roman" w:eastAsia="Times New Roman" w:hAnsi="Times New Roman" w:cs="Times New Roman"/>
            <w:color w:val="0000FF"/>
            <w:sz w:val="24"/>
            <w:szCs w:val="24"/>
            <w:u w:val="single"/>
            <w:lang/>
          </w:rPr>
          <w:t>14.1.222</w:t>
        </w:r>
      </w:hyperlink>
      <w:r w:rsidRPr="008B264B">
        <w:rPr>
          <w:rFonts w:ascii="Times New Roman" w:eastAsia="Times New Roman" w:hAnsi="Times New Roman" w:cs="Times New Roman"/>
          <w:color w:val="000000"/>
          <w:sz w:val="24"/>
          <w:szCs w:val="24"/>
          <w:lang/>
        </w:rPr>
        <w:t> пункту 14.1 статті 14 цього Кодексу.</w:t>
      </w:r>
    </w:p>
    <w:p w14:paraId="4E0940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3" w:name="n4309"/>
      <w:bookmarkEnd w:id="5093"/>
      <w:r w:rsidRPr="008B264B">
        <w:rPr>
          <w:rFonts w:ascii="Times New Roman" w:eastAsia="Times New Roman" w:hAnsi="Times New Roman" w:cs="Times New Roman"/>
          <w:i/>
          <w:iCs/>
          <w:color w:val="000000"/>
          <w:sz w:val="24"/>
          <w:szCs w:val="24"/>
          <w:lang/>
        </w:rPr>
        <w:t>{Пункт 177.8 статті 177 із змінами, внесеними згідно із Законом </w:t>
      </w:r>
      <w:hyperlink r:id="rId2751" w:tgtFrame="_blank" w:history="1">
        <w:r w:rsidRPr="008B264B">
          <w:rPr>
            <w:rFonts w:ascii="Times New Roman" w:eastAsia="Times New Roman" w:hAnsi="Times New Roman" w:cs="Times New Roman"/>
            <w:i/>
            <w:iCs/>
            <w:color w:val="0000FF"/>
            <w:sz w:val="24"/>
            <w:szCs w:val="24"/>
            <w:u w:val="single"/>
            <w:lang/>
          </w:rPr>
          <w:t>№ 3205-VI від 07.04.2011</w:t>
        </w:r>
      </w:hyperlink>
      <w:r w:rsidRPr="008B264B">
        <w:rPr>
          <w:rFonts w:ascii="Times New Roman" w:eastAsia="Times New Roman" w:hAnsi="Times New Roman" w:cs="Times New Roman"/>
          <w:i/>
          <w:iCs/>
          <w:color w:val="000000"/>
          <w:sz w:val="24"/>
          <w:szCs w:val="24"/>
          <w:lang/>
        </w:rPr>
        <w:t>; в редакції Закону </w:t>
      </w:r>
      <w:hyperlink r:id="rId275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753" w:anchor="n23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3F4EF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4" w:name="n4310"/>
      <w:bookmarkEnd w:id="5094"/>
      <w:r w:rsidRPr="008B264B">
        <w:rPr>
          <w:rFonts w:ascii="Times New Roman" w:eastAsia="Times New Roman" w:hAnsi="Times New Roman" w:cs="Times New Roman"/>
          <w:color w:val="000000"/>
          <w:sz w:val="24"/>
          <w:szCs w:val="24"/>
          <w:lang/>
        </w:rPr>
        <w:t>177.9. Оподаткування доходів, отриманих фізичною особою - підприємцем, який обрав іншу систему оподаткування доходів від провадження господарської діяльності, здійснюється за правилами, встановленими цим Кодексом.</w:t>
      </w:r>
    </w:p>
    <w:p w14:paraId="769D11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5" w:name="n4311"/>
      <w:bookmarkEnd w:id="5095"/>
      <w:r w:rsidRPr="008B264B">
        <w:rPr>
          <w:rFonts w:ascii="Times New Roman" w:eastAsia="Times New Roman" w:hAnsi="Times New Roman" w:cs="Times New Roman"/>
          <w:color w:val="000000"/>
          <w:sz w:val="24"/>
          <w:szCs w:val="24"/>
          <w:lang/>
        </w:rPr>
        <w:t>177.10. Фізичні особи - підприємці зобов'язані вести Книгу обліку доходів і витрат та мати підтверджуючі документи щодо походження товару.</w:t>
      </w:r>
    </w:p>
    <w:bookmarkStart w:id="5096" w:name="n4312"/>
    <w:bookmarkEnd w:id="5096"/>
    <w:p w14:paraId="02AABE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"https://zakon.rada.gov.ua/laws/show/z1686-13" \l "n15"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Книги обліку доходів і витрат</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2754" w:anchor="n20" w:tgtFrame="_blank" w:history="1">
        <w:r w:rsidRPr="008B264B">
          <w:rPr>
            <w:rFonts w:ascii="Times New Roman" w:eastAsia="Times New Roman" w:hAnsi="Times New Roman" w:cs="Times New Roman"/>
            <w:color w:val="0000FF"/>
            <w:sz w:val="24"/>
            <w:szCs w:val="24"/>
            <w:u w:val="single"/>
            <w:lang/>
          </w:rPr>
          <w:t>порядок її ведення</w:t>
        </w:r>
      </w:hyperlink>
      <w:r w:rsidRPr="008B264B">
        <w:rPr>
          <w:rFonts w:ascii="Times New Roman" w:eastAsia="Times New Roman" w:hAnsi="Times New Roman" w:cs="Times New Roman"/>
          <w:color w:val="000000"/>
          <w:sz w:val="24"/>
          <w:szCs w:val="24"/>
          <w:lang/>
        </w:rPr>
        <w:t> визначаються центральним органом виконавчої влади, що забезпечує формування та реалізує державну податкову і митну політику.</w:t>
      </w:r>
    </w:p>
    <w:p w14:paraId="6B584C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7" w:name="n11249"/>
      <w:bookmarkEnd w:id="5097"/>
      <w:r w:rsidRPr="008B264B">
        <w:rPr>
          <w:rFonts w:ascii="Times New Roman" w:eastAsia="Times New Roman" w:hAnsi="Times New Roman" w:cs="Times New Roman"/>
          <w:color w:val="000000"/>
          <w:sz w:val="24"/>
          <w:szCs w:val="24"/>
          <w:lang/>
        </w:rPr>
        <w:t>Для реєстрації Книги обліку доходів і витрат фізичні особи - підприємці подають до контролюючого органу за місцем обліку примірник Книги у разі обрання способу ведення Книги у паперовому вигляді.</w:t>
      </w:r>
    </w:p>
    <w:p w14:paraId="3570B4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8" w:name="n11248"/>
      <w:bookmarkEnd w:id="5098"/>
      <w:r w:rsidRPr="008B264B">
        <w:rPr>
          <w:rFonts w:ascii="Times New Roman" w:eastAsia="Times New Roman" w:hAnsi="Times New Roman" w:cs="Times New Roman"/>
          <w:i/>
          <w:iCs/>
          <w:color w:val="000000"/>
          <w:sz w:val="24"/>
          <w:szCs w:val="24"/>
          <w:lang/>
        </w:rPr>
        <w:t>{Пункт 177.10 статті 177 доповнено новим абзацом згідно із Законом </w:t>
      </w:r>
      <w:hyperlink r:id="rId2755" w:anchor="n60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FB807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099" w:name="n4313"/>
      <w:bookmarkEnd w:id="5099"/>
      <w:r w:rsidRPr="008B264B">
        <w:rPr>
          <w:rFonts w:ascii="Times New Roman" w:eastAsia="Times New Roman" w:hAnsi="Times New Roman" w:cs="Times New Roman"/>
          <w:color w:val="000000"/>
          <w:sz w:val="24"/>
          <w:szCs w:val="24"/>
          <w:lang/>
        </w:rPr>
        <w:t>Фізичні особи - підприємці застосовують реєстратори розрахункових операцій відповідно до </w:t>
      </w:r>
      <w:hyperlink r:id="rId2756" w:tgtFrame="_blank" w:history="1">
        <w:r w:rsidRPr="008B264B">
          <w:rPr>
            <w:rFonts w:ascii="Times New Roman" w:eastAsia="Times New Roman" w:hAnsi="Times New Roman" w:cs="Times New Roman"/>
            <w:color w:val="0000FF"/>
            <w:sz w:val="24"/>
            <w:szCs w:val="24"/>
            <w:u w:val="single"/>
            <w:lang/>
          </w:rPr>
          <w:t>Закону України "Про застосування реєстраторів розрахункових операцій у сфері торгівлі, громадського харчування та послуг"</w:t>
        </w:r>
      </w:hyperlink>
      <w:r w:rsidRPr="008B264B">
        <w:rPr>
          <w:rFonts w:ascii="Times New Roman" w:eastAsia="Times New Roman" w:hAnsi="Times New Roman" w:cs="Times New Roman"/>
          <w:color w:val="000000"/>
          <w:sz w:val="24"/>
          <w:szCs w:val="24"/>
          <w:lang/>
        </w:rPr>
        <w:t>.</w:t>
      </w:r>
    </w:p>
    <w:p w14:paraId="120A5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0" w:name="n4314"/>
      <w:bookmarkEnd w:id="5100"/>
      <w:r w:rsidRPr="008B264B">
        <w:rPr>
          <w:rFonts w:ascii="Times New Roman" w:eastAsia="Times New Roman" w:hAnsi="Times New Roman" w:cs="Times New Roman"/>
          <w:color w:val="000000"/>
          <w:sz w:val="24"/>
          <w:szCs w:val="24"/>
          <w:lang/>
        </w:rPr>
        <w:t>177.11. Фізичні особи - підприємці подають річну податкову декларацію у строк, визначений </w:t>
      </w:r>
      <w:hyperlink r:id="rId2757" w:anchor="n1252" w:history="1">
        <w:r w:rsidRPr="008B264B">
          <w:rPr>
            <w:rFonts w:ascii="Times New Roman" w:eastAsia="Times New Roman" w:hAnsi="Times New Roman" w:cs="Times New Roman"/>
            <w:color w:val="0000FF"/>
            <w:sz w:val="24"/>
            <w:szCs w:val="24"/>
            <w:u w:val="single"/>
            <w:lang/>
          </w:rPr>
          <w:t>підпунктом 49.18.5</w:t>
        </w:r>
      </w:hyperlink>
      <w:r w:rsidRPr="008B264B">
        <w:rPr>
          <w:rFonts w:ascii="Times New Roman" w:eastAsia="Times New Roman" w:hAnsi="Times New Roman" w:cs="Times New Roman"/>
          <w:color w:val="000000"/>
          <w:sz w:val="24"/>
          <w:szCs w:val="24"/>
          <w:lang/>
        </w:rPr>
        <w:t> пункту 49.18 статті 49 цього Кодексу, в якій поряд з доходами від підприємницької діяльності мають зазначатися інші доходи з джерел їх походження з України та іноземні доходи.</w:t>
      </w:r>
    </w:p>
    <w:p w14:paraId="328F25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1" w:name="n14175"/>
      <w:bookmarkEnd w:id="5101"/>
      <w:r w:rsidRPr="008B264B">
        <w:rPr>
          <w:rFonts w:ascii="Times New Roman" w:eastAsia="Times New Roman" w:hAnsi="Times New Roman" w:cs="Times New Roman"/>
          <w:color w:val="000000"/>
          <w:sz w:val="24"/>
          <w:szCs w:val="24"/>
          <w:lang/>
        </w:rPr>
        <w:t>Фізичні особи, стосовно яких проведено державну реєстрацію припинення підприємницької діяльності фізичної особи - підприємця за її рішенням, подають </w:t>
      </w:r>
      <w:hyperlink r:id="rId2758" w:anchor="n17" w:tgtFrame="_blank" w:history="1">
        <w:r w:rsidRPr="008B264B">
          <w:rPr>
            <w:rFonts w:ascii="Times New Roman" w:eastAsia="Times New Roman" w:hAnsi="Times New Roman" w:cs="Times New Roman"/>
            <w:color w:val="0000FF"/>
            <w:sz w:val="24"/>
            <w:szCs w:val="24"/>
            <w:u w:val="single"/>
            <w:lang/>
          </w:rPr>
          <w:t>податкову декларацію</w:t>
        </w:r>
      </w:hyperlink>
      <w:r w:rsidRPr="008B264B">
        <w:rPr>
          <w:rFonts w:ascii="Times New Roman" w:eastAsia="Times New Roman" w:hAnsi="Times New Roman" w:cs="Times New Roman"/>
          <w:color w:val="000000"/>
          <w:sz w:val="24"/>
          <w:szCs w:val="24"/>
          <w:lang/>
        </w:rPr>
        <w:t> за останній базовий податковий (звітний) період, в якій відображаються виключно доходи від проведення підприємницької діяльності, протягом 30 календарних днів з дня проведення державної реєстрації припинення підприємницької діяльності.</w:t>
      </w:r>
    </w:p>
    <w:p w14:paraId="38A39F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2" w:name="n14177"/>
      <w:bookmarkEnd w:id="5102"/>
      <w:r w:rsidRPr="008B264B">
        <w:rPr>
          <w:rFonts w:ascii="Times New Roman" w:eastAsia="Times New Roman" w:hAnsi="Times New Roman" w:cs="Times New Roman"/>
          <w:i/>
          <w:iCs/>
          <w:color w:val="000000"/>
          <w:sz w:val="24"/>
          <w:szCs w:val="24"/>
          <w:lang/>
        </w:rPr>
        <w:t>{Пункт 177.11 статті 177 доповнено абзацом другим згідно із Законом </w:t>
      </w:r>
      <w:hyperlink r:id="rId2759" w:anchor="n10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8328C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3" w:name="n14176"/>
      <w:bookmarkEnd w:id="5103"/>
      <w:r w:rsidRPr="008B264B">
        <w:rPr>
          <w:rFonts w:ascii="Times New Roman" w:eastAsia="Times New Roman" w:hAnsi="Times New Roman" w:cs="Times New Roman"/>
          <w:color w:val="000000"/>
          <w:sz w:val="24"/>
          <w:szCs w:val="24"/>
          <w:lang/>
        </w:rPr>
        <w:t>У разі проведення державної реєстрації припинення підприємницької діяльності фізичної особи - підприємця за її рішенням останнім базовим податковим (звітним) періодом є період з дня, наступного за днем закінчення попереднього базового податкового (звітного) періоду до останнього дня календарного місяця, в якому проведено державну реєстрацію припинення підприємницької діяльності.</w:t>
      </w:r>
    </w:p>
    <w:p w14:paraId="464FF7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4" w:name="n14174"/>
      <w:bookmarkEnd w:id="5104"/>
      <w:r w:rsidRPr="008B264B">
        <w:rPr>
          <w:rFonts w:ascii="Times New Roman" w:eastAsia="Times New Roman" w:hAnsi="Times New Roman" w:cs="Times New Roman"/>
          <w:i/>
          <w:iCs/>
          <w:color w:val="000000"/>
          <w:sz w:val="24"/>
          <w:szCs w:val="24"/>
          <w:lang/>
        </w:rPr>
        <w:t>{Пункт 177.11 статті 177 доповнено абзацом третім згідно із Законом </w:t>
      </w:r>
      <w:hyperlink r:id="rId2760" w:anchor="n105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4D2F1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5" w:name="n4315"/>
      <w:bookmarkEnd w:id="5105"/>
      <w:r w:rsidRPr="008B264B">
        <w:rPr>
          <w:rFonts w:ascii="Times New Roman" w:eastAsia="Times New Roman" w:hAnsi="Times New Roman" w:cs="Times New Roman"/>
          <w:color w:val="000000"/>
          <w:sz w:val="24"/>
          <w:szCs w:val="24"/>
          <w:lang/>
        </w:rPr>
        <w:t>177.12. Іноземці та особи без громадянства, які зареєстровані підприємцями згідно із законодавством України, є резидентами, і на них поширюється дія пункту 177.11 цієї статті.</w:t>
      </w:r>
    </w:p>
    <w:p w14:paraId="2B99C9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6" w:name="n4316"/>
      <w:bookmarkEnd w:id="5106"/>
      <w:r w:rsidRPr="008B264B">
        <w:rPr>
          <w:rFonts w:ascii="Times New Roman" w:eastAsia="Times New Roman" w:hAnsi="Times New Roman" w:cs="Times New Roman"/>
          <w:b/>
          <w:bCs/>
          <w:color w:val="000000"/>
          <w:sz w:val="24"/>
          <w:szCs w:val="24"/>
          <w:lang/>
        </w:rPr>
        <w:lastRenderedPageBreak/>
        <w:t>Стаття 178.</w:t>
      </w:r>
      <w:r w:rsidRPr="008B264B">
        <w:rPr>
          <w:rFonts w:ascii="Times New Roman" w:eastAsia="Times New Roman" w:hAnsi="Times New Roman" w:cs="Times New Roman"/>
          <w:color w:val="000000"/>
          <w:sz w:val="24"/>
          <w:szCs w:val="24"/>
          <w:lang/>
        </w:rPr>
        <w:t> Оподаткування доходів, отриманих фізичною особою, яка провадить незалежну професійну діяльність</w:t>
      </w:r>
    </w:p>
    <w:p w14:paraId="45C8B1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7" w:name="n4317"/>
      <w:bookmarkEnd w:id="5107"/>
      <w:r w:rsidRPr="008B264B">
        <w:rPr>
          <w:rFonts w:ascii="Times New Roman" w:eastAsia="Times New Roman" w:hAnsi="Times New Roman" w:cs="Times New Roman"/>
          <w:color w:val="000000"/>
          <w:sz w:val="24"/>
          <w:szCs w:val="24"/>
          <w:lang/>
        </w:rPr>
        <w:t>178.1. Особи, які мають намір здійснювати незалежну професійну діяльність, зобов'язані стати на облік у контролюючих органах за місцем свого постійного проживання як самозайняті особи та отримати довідку про взяття на облік згідно із </w:t>
      </w:r>
      <w:hyperlink r:id="rId2761" w:anchor="n1519" w:history="1">
        <w:r w:rsidRPr="008B264B">
          <w:rPr>
            <w:rFonts w:ascii="Times New Roman" w:eastAsia="Times New Roman" w:hAnsi="Times New Roman" w:cs="Times New Roman"/>
            <w:color w:val="0000FF"/>
            <w:sz w:val="24"/>
            <w:szCs w:val="24"/>
            <w:u w:val="single"/>
            <w:lang/>
          </w:rPr>
          <w:t>статтею 65</w:t>
        </w:r>
      </w:hyperlink>
      <w:r w:rsidRPr="008B264B">
        <w:rPr>
          <w:rFonts w:ascii="Times New Roman" w:eastAsia="Times New Roman" w:hAnsi="Times New Roman" w:cs="Times New Roman"/>
          <w:color w:val="000000"/>
          <w:sz w:val="24"/>
          <w:szCs w:val="24"/>
          <w:lang/>
        </w:rPr>
        <w:t> цього Кодексу.</w:t>
      </w:r>
    </w:p>
    <w:p w14:paraId="3F496F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8" w:name="n4318"/>
      <w:bookmarkEnd w:id="5108"/>
      <w:r w:rsidRPr="008B264B">
        <w:rPr>
          <w:rFonts w:ascii="Times New Roman" w:eastAsia="Times New Roman" w:hAnsi="Times New Roman" w:cs="Times New Roman"/>
          <w:i/>
          <w:iCs/>
          <w:color w:val="000000"/>
          <w:sz w:val="24"/>
          <w:szCs w:val="24"/>
          <w:lang/>
        </w:rPr>
        <w:t>{Пункт 178.1 статті 178 із змінами, внесеними згідно із Законом </w:t>
      </w:r>
      <w:hyperlink r:id="rId276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F4410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09" w:name="n4319"/>
      <w:bookmarkEnd w:id="5109"/>
      <w:r w:rsidRPr="008B264B">
        <w:rPr>
          <w:rFonts w:ascii="Times New Roman" w:eastAsia="Times New Roman" w:hAnsi="Times New Roman" w:cs="Times New Roman"/>
          <w:color w:val="000000"/>
          <w:sz w:val="24"/>
          <w:szCs w:val="24"/>
          <w:lang/>
        </w:rPr>
        <w:t>178.2. Доходи громадян, отримані протягом календарного року від провадження незалежної професійної діяльності, оподатковуються за ставкою, визначеною </w:t>
      </w:r>
      <w:hyperlink r:id="rId2763" w:anchor="n3851" w:history="1">
        <w:r w:rsidRPr="008B264B">
          <w:rPr>
            <w:rFonts w:ascii="Times New Roman" w:eastAsia="Times New Roman" w:hAnsi="Times New Roman" w:cs="Times New Roman"/>
            <w:color w:val="0000FF"/>
            <w:sz w:val="24"/>
            <w:szCs w:val="24"/>
            <w:u w:val="single"/>
            <w:lang/>
          </w:rPr>
          <w:t>пунктом 167.1</w:t>
        </w:r>
      </w:hyperlink>
      <w:r w:rsidRPr="008B264B">
        <w:rPr>
          <w:rFonts w:ascii="Times New Roman" w:eastAsia="Times New Roman" w:hAnsi="Times New Roman" w:cs="Times New Roman"/>
          <w:color w:val="000000"/>
          <w:sz w:val="24"/>
          <w:szCs w:val="24"/>
          <w:lang/>
        </w:rPr>
        <w:t> статті 167 цього Кодексу.</w:t>
      </w:r>
    </w:p>
    <w:p w14:paraId="713B98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0" w:name="n12745"/>
      <w:bookmarkEnd w:id="5110"/>
      <w:r w:rsidRPr="008B264B">
        <w:rPr>
          <w:rFonts w:ascii="Times New Roman" w:eastAsia="Times New Roman" w:hAnsi="Times New Roman" w:cs="Times New Roman"/>
          <w:i/>
          <w:iCs/>
          <w:color w:val="000000"/>
          <w:sz w:val="24"/>
          <w:szCs w:val="24"/>
          <w:lang/>
        </w:rPr>
        <w:t>{Пункт 178.2 статті 178 із змінами, внесеними згідно із Законом </w:t>
      </w:r>
      <w:hyperlink r:id="rId2764" w:anchor="n16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666ED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1" w:name="n4320"/>
      <w:bookmarkEnd w:id="5111"/>
      <w:r w:rsidRPr="008B264B">
        <w:rPr>
          <w:rFonts w:ascii="Times New Roman" w:eastAsia="Times New Roman" w:hAnsi="Times New Roman" w:cs="Times New Roman"/>
          <w:color w:val="000000"/>
          <w:sz w:val="24"/>
          <w:szCs w:val="24"/>
          <w:lang/>
        </w:rPr>
        <w:t>178.3. Оподатковуваним доходом вважається сукупний чистий дохід, тобто різниця між доходом і документально підтвердженими витратами, необхідними для провадження певного виду незалежної професійної діяльності.</w:t>
      </w:r>
    </w:p>
    <w:p w14:paraId="05A4D3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2" w:name="n4321"/>
      <w:bookmarkEnd w:id="5112"/>
      <w:r w:rsidRPr="008B264B">
        <w:rPr>
          <w:rFonts w:ascii="Times New Roman" w:eastAsia="Times New Roman" w:hAnsi="Times New Roman" w:cs="Times New Roman"/>
          <w:color w:val="000000"/>
          <w:sz w:val="24"/>
          <w:szCs w:val="24"/>
          <w:lang/>
        </w:rPr>
        <w:t>У разі неотримання довідки про взяття на облік особою, яка провадить незалежну професійну діяльність, об'єктом оподаткування є доходи, отримані від такої діяльності без урахування витрат.</w:t>
      </w:r>
    </w:p>
    <w:p w14:paraId="1F4ECE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3" w:name="n4322"/>
      <w:bookmarkEnd w:id="5113"/>
      <w:r w:rsidRPr="008B264B">
        <w:rPr>
          <w:rFonts w:ascii="Times New Roman" w:eastAsia="Times New Roman" w:hAnsi="Times New Roman" w:cs="Times New Roman"/>
          <w:i/>
          <w:iCs/>
          <w:color w:val="000000"/>
          <w:sz w:val="24"/>
          <w:szCs w:val="24"/>
          <w:lang/>
        </w:rPr>
        <w:t>{Абзац другий пункту 178.3 статті 178 із змінами, внесеними згідно із Законом </w:t>
      </w:r>
      <w:hyperlink r:id="rId276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D64BF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4" w:name="n4323"/>
      <w:bookmarkEnd w:id="5114"/>
      <w:r w:rsidRPr="008B264B">
        <w:rPr>
          <w:rFonts w:ascii="Times New Roman" w:eastAsia="Times New Roman" w:hAnsi="Times New Roman" w:cs="Times New Roman"/>
          <w:color w:val="000000"/>
          <w:sz w:val="24"/>
          <w:szCs w:val="24"/>
          <w:lang/>
        </w:rPr>
        <w:t>178.4. Фізичні особи, які провадять незалежну професійну діяльність, подають податкову декларацію за результатами звітного року відповідно до цього розділу у строки, передбачені для платників податку на доходи фізичних осіб.</w:t>
      </w:r>
    </w:p>
    <w:p w14:paraId="0D07D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5" w:name="n4324"/>
      <w:bookmarkEnd w:id="5115"/>
      <w:r w:rsidRPr="008B264B">
        <w:rPr>
          <w:rFonts w:ascii="Times New Roman" w:eastAsia="Times New Roman" w:hAnsi="Times New Roman" w:cs="Times New Roman"/>
          <w:color w:val="000000"/>
          <w:sz w:val="24"/>
          <w:szCs w:val="24"/>
          <w:lang/>
        </w:rPr>
        <w:t>Іноземці та особи без громадянства, які стали на облік у контролюючих органах як самозайняті особи, є резидентами і у річній податковій декларації поряд з доходами від провадження незалежної професійної діяльності мають зазначати інші доходи з джерел їх походження з України та іноземні доходи.</w:t>
      </w:r>
    </w:p>
    <w:p w14:paraId="012A12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6" w:name="n4325"/>
      <w:bookmarkEnd w:id="5116"/>
      <w:r w:rsidRPr="008B264B">
        <w:rPr>
          <w:rFonts w:ascii="Times New Roman" w:eastAsia="Times New Roman" w:hAnsi="Times New Roman" w:cs="Times New Roman"/>
          <w:color w:val="000000"/>
          <w:sz w:val="24"/>
          <w:szCs w:val="24"/>
          <w:lang/>
        </w:rPr>
        <w:t>178.5. Під час виплати суб'єктами господарювання - податковими агентами, фізичним особам, які провадять незалежну професійну діяльність, доходів, безпосередньо пов'язаних з такою діяльністю, податок на доходи у джерела виплати не утримується в разі надання такою фізичною особою копії довідки про взяття її на податковий облік як фізичної особи, яка провадить незалежну професійну діяльність. Це правило не застосовується в разі нарахування (виплати) доходу за виконання певної роботи та/або надання послуги згідно з цивільно-правовим договором, відносини за яким встановлено трудовими відносинами, а сторони договору можуть бути прирівняні до працівника чи роботодавця відповідно до </w:t>
      </w:r>
      <w:hyperlink r:id="rId2766" w:anchor="n652" w:history="1">
        <w:r w:rsidRPr="008B264B">
          <w:rPr>
            <w:rFonts w:ascii="Times New Roman" w:eastAsia="Times New Roman" w:hAnsi="Times New Roman" w:cs="Times New Roman"/>
            <w:color w:val="0000FF"/>
            <w:sz w:val="24"/>
            <w:szCs w:val="24"/>
            <w:u w:val="single"/>
            <w:lang/>
          </w:rPr>
          <w:t>пунктів 14.1.195</w:t>
        </w:r>
      </w:hyperlink>
      <w:r w:rsidRPr="008B264B">
        <w:rPr>
          <w:rFonts w:ascii="Times New Roman" w:eastAsia="Times New Roman" w:hAnsi="Times New Roman" w:cs="Times New Roman"/>
          <w:color w:val="000000"/>
          <w:sz w:val="24"/>
          <w:szCs w:val="24"/>
          <w:lang/>
        </w:rPr>
        <w:t> та </w:t>
      </w:r>
      <w:hyperlink r:id="rId2767" w:anchor="n710" w:history="1">
        <w:r w:rsidRPr="008B264B">
          <w:rPr>
            <w:rFonts w:ascii="Times New Roman" w:eastAsia="Times New Roman" w:hAnsi="Times New Roman" w:cs="Times New Roman"/>
            <w:color w:val="0000FF"/>
            <w:sz w:val="24"/>
            <w:szCs w:val="24"/>
            <w:u w:val="single"/>
            <w:lang/>
          </w:rPr>
          <w:t>14.1.222</w:t>
        </w:r>
      </w:hyperlink>
      <w:r w:rsidRPr="008B264B">
        <w:rPr>
          <w:rFonts w:ascii="Times New Roman" w:eastAsia="Times New Roman" w:hAnsi="Times New Roman" w:cs="Times New Roman"/>
          <w:color w:val="000000"/>
          <w:sz w:val="24"/>
          <w:szCs w:val="24"/>
          <w:lang/>
        </w:rPr>
        <w:t> пункту 14.1 статті 14 цього Кодексу.</w:t>
      </w:r>
    </w:p>
    <w:p w14:paraId="461AA3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7" w:name="n4326"/>
      <w:bookmarkEnd w:id="5117"/>
      <w:r w:rsidRPr="008B264B">
        <w:rPr>
          <w:rFonts w:ascii="Times New Roman" w:eastAsia="Times New Roman" w:hAnsi="Times New Roman" w:cs="Times New Roman"/>
          <w:i/>
          <w:iCs/>
          <w:color w:val="000000"/>
          <w:sz w:val="24"/>
          <w:szCs w:val="24"/>
          <w:lang/>
        </w:rPr>
        <w:t>{Пункт 178.5 статті 178 із змінами, внесеними згідно із Законом </w:t>
      </w:r>
      <w:hyperlink r:id="rId276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6FA8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18" w:name="n4327"/>
      <w:bookmarkEnd w:id="5118"/>
      <w:r w:rsidRPr="008B264B">
        <w:rPr>
          <w:rFonts w:ascii="Times New Roman" w:eastAsia="Times New Roman" w:hAnsi="Times New Roman" w:cs="Times New Roman"/>
          <w:color w:val="000000"/>
          <w:sz w:val="24"/>
          <w:szCs w:val="24"/>
          <w:lang/>
        </w:rPr>
        <w:t>178.6. Фізичні особи, які провадять незалежну професійну діяльність, зобов'язані вести облік доходів і витрат від такої діяльності.</w:t>
      </w:r>
    </w:p>
    <w:bookmarkStart w:id="5119" w:name="n4328"/>
    <w:bookmarkEnd w:id="5119"/>
    <w:p w14:paraId="54F625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"https://zakon.rada.gov.ua/laws/show/z1686-13" \l "n15"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такого обліку</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w:t>
      </w:r>
      <w:hyperlink r:id="rId2769" w:anchor="n20" w:tgtFrame="_blank" w:history="1">
        <w:r w:rsidRPr="008B264B">
          <w:rPr>
            <w:rFonts w:ascii="Times New Roman" w:eastAsia="Times New Roman" w:hAnsi="Times New Roman" w:cs="Times New Roman"/>
            <w:color w:val="0000FF"/>
            <w:sz w:val="24"/>
            <w:szCs w:val="24"/>
            <w:u w:val="single"/>
            <w:lang/>
          </w:rPr>
          <w:t>порядок його ведення</w:t>
        </w:r>
      </w:hyperlink>
      <w:r w:rsidRPr="008B264B">
        <w:rPr>
          <w:rFonts w:ascii="Times New Roman" w:eastAsia="Times New Roman" w:hAnsi="Times New Roman" w:cs="Times New Roman"/>
          <w:color w:val="000000"/>
          <w:sz w:val="24"/>
          <w:szCs w:val="24"/>
          <w:lang/>
        </w:rPr>
        <w:t> визначаються центральним органом виконавчої влади, що забезпечує формування та реалізує державну податкову і митну політику. Для реєстрації Книги обліку доходів і витрат фізичні особи, які провадять незалежну професійну діяльність, подають до контролюючого органу за місцем обліку примірник Книги у разі обрання способу ведення Книги у паперовому вигляді.</w:t>
      </w:r>
    </w:p>
    <w:p w14:paraId="020676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0" w:name="n11250"/>
      <w:bookmarkEnd w:id="5120"/>
      <w:r w:rsidRPr="008B264B">
        <w:rPr>
          <w:rFonts w:ascii="Times New Roman" w:eastAsia="Times New Roman" w:hAnsi="Times New Roman" w:cs="Times New Roman"/>
          <w:i/>
          <w:iCs/>
          <w:color w:val="000000"/>
          <w:sz w:val="24"/>
          <w:szCs w:val="24"/>
          <w:lang/>
        </w:rPr>
        <w:t>{Абзац другий пункту 178.6 статті 178 із змінами, внесеними згідно із Законом </w:t>
      </w:r>
      <w:hyperlink r:id="rId2770" w:anchor="n6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CF363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1" w:name="n4329"/>
      <w:bookmarkEnd w:id="5121"/>
      <w:r w:rsidRPr="008B264B">
        <w:rPr>
          <w:rFonts w:ascii="Times New Roman" w:eastAsia="Times New Roman" w:hAnsi="Times New Roman" w:cs="Times New Roman"/>
          <w:color w:val="000000"/>
          <w:sz w:val="24"/>
          <w:szCs w:val="24"/>
          <w:lang/>
        </w:rPr>
        <w:t>178.7. Остаточний розрахунок податку на доходи фізичних осіб за звітний податковий рік здійснюється платником самостійно згідно з даними, зазначеними в податковій декларації.</w:t>
      </w:r>
    </w:p>
    <w:p w14:paraId="303054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2" w:name="n4330"/>
      <w:bookmarkEnd w:id="5122"/>
      <w:r w:rsidRPr="008B264B">
        <w:rPr>
          <w:rFonts w:ascii="Times New Roman" w:eastAsia="Times New Roman" w:hAnsi="Times New Roman" w:cs="Times New Roman"/>
          <w:b/>
          <w:bCs/>
          <w:color w:val="000000"/>
          <w:sz w:val="24"/>
          <w:szCs w:val="24"/>
          <w:lang/>
        </w:rPr>
        <w:lastRenderedPageBreak/>
        <w:t>Стаття 179.</w:t>
      </w:r>
      <w:r w:rsidRPr="008B264B">
        <w:rPr>
          <w:rFonts w:ascii="Times New Roman" w:eastAsia="Times New Roman" w:hAnsi="Times New Roman" w:cs="Times New Roman"/>
          <w:color w:val="000000"/>
          <w:sz w:val="24"/>
          <w:szCs w:val="24"/>
          <w:lang/>
        </w:rPr>
        <w:t> Порядок подання річної декларації про майновий стан і доходи (податкової декларації)</w:t>
      </w:r>
    </w:p>
    <w:p w14:paraId="492192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3" w:name="n4331"/>
      <w:bookmarkEnd w:id="5123"/>
      <w:r w:rsidRPr="008B264B">
        <w:rPr>
          <w:rFonts w:ascii="Times New Roman" w:eastAsia="Times New Roman" w:hAnsi="Times New Roman" w:cs="Times New Roman"/>
          <w:color w:val="000000"/>
          <w:sz w:val="24"/>
          <w:szCs w:val="24"/>
          <w:lang/>
        </w:rPr>
        <w:t>179.1. Платник податку зобов'язаний подавати річну </w:t>
      </w:r>
      <w:hyperlink r:id="rId2771" w:anchor="n16" w:tgtFrame="_blank" w:history="1">
        <w:r w:rsidRPr="008B264B">
          <w:rPr>
            <w:rFonts w:ascii="Times New Roman" w:eastAsia="Times New Roman" w:hAnsi="Times New Roman" w:cs="Times New Roman"/>
            <w:color w:val="0000FF"/>
            <w:sz w:val="24"/>
            <w:szCs w:val="24"/>
            <w:u w:val="single"/>
            <w:lang/>
          </w:rPr>
          <w:t>декларацію про майновий стан і доходи</w:t>
        </w:r>
      </w:hyperlink>
      <w:r w:rsidRPr="008B264B">
        <w:rPr>
          <w:rFonts w:ascii="Times New Roman" w:eastAsia="Times New Roman" w:hAnsi="Times New Roman" w:cs="Times New Roman"/>
          <w:color w:val="000000"/>
          <w:sz w:val="24"/>
          <w:szCs w:val="24"/>
          <w:lang/>
        </w:rPr>
        <w:t> (податкову декларацію) відповідно до цього Кодексу.</w:t>
      </w:r>
    </w:p>
    <w:p w14:paraId="28032D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4" w:name="n4332"/>
      <w:bookmarkEnd w:id="5124"/>
      <w:r w:rsidRPr="008B264B">
        <w:rPr>
          <w:rFonts w:ascii="Times New Roman" w:eastAsia="Times New Roman" w:hAnsi="Times New Roman" w:cs="Times New Roman"/>
          <w:i/>
          <w:iCs/>
          <w:color w:val="000000"/>
          <w:sz w:val="24"/>
          <w:szCs w:val="24"/>
          <w:lang/>
        </w:rPr>
        <w:t>{Пункт 179.1 статті 179 із змінами, внесеними згідно із Законом </w:t>
      </w:r>
      <w:hyperlink r:id="rId2772" w:anchor="n23"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1CFC94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5" w:name="n4333"/>
      <w:bookmarkEnd w:id="5125"/>
      <w:r w:rsidRPr="008B264B">
        <w:rPr>
          <w:rFonts w:ascii="Times New Roman" w:eastAsia="Times New Roman" w:hAnsi="Times New Roman" w:cs="Times New Roman"/>
          <w:color w:val="000000"/>
          <w:sz w:val="24"/>
          <w:szCs w:val="24"/>
          <w:lang/>
        </w:rPr>
        <w:t>179.2. Відповідно до цього розділу обов'язок платника податку щодо подання податкової декларації вважається виконаним і податкова декларація не подається, якщо такий платник податку отримував доходи:</w:t>
      </w:r>
    </w:p>
    <w:p w14:paraId="20E54A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6" w:name="n4334"/>
      <w:bookmarkEnd w:id="5126"/>
      <w:r w:rsidRPr="008B264B">
        <w:rPr>
          <w:rFonts w:ascii="Times New Roman" w:eastAsia="Times New Roman" w:hAnsi="Times New Roman" w:cs="Times New Roman"/>
          <w:i/>
          <w:iCs/>
          <w:color w:val="000000"/>
          <w:sz w:val="24"/>
          <w:szCs w:val="24"/>
          <w:lang/>
        </w:rPr>
        <w:t>{Абзац перший пункту 179.2 статті 179 в редакції Закону </w:t>
      </w:r>
      <w:hyperlink r:id="rId2773" w:anchor="n24"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1766E1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7" w:name="n4335"/>
      <w:bookmarkEnd w:id="5127"/>
      <w:r w:rsidRPr="008B264B">
        <w:rPr>
          <w:rFonts w:ascii="Times New Roman" w:eastAsia="Times New Roman" w:hAnsi="Times New Roman" w:cs="Times New Roman"/>
          <w:color w:val="000000"/>
          <w:sz w:val="24"/>
          <w:szCs w:val="24"/>
          <w:lang/>
        </w:rPr>
        <w:t>від податкових агентів, які згідно з цим розділом не включаються до загального місячного (річного) оподатковуваного доходу;</w:t>
      </w:r>
    </w:p>
    <w:p w14:paraId="60D906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8" w:name="n4336"/>
      <w:bookmarkEnd w:id="5128"/>
      <w:r w:rsidRPr="008B264B">
        <w:rPr>
          <w:rFonts w:ascii="Times New Roman" w:eastAsia="Times New Roman" w:hAnsi="Times New Roman" w:cs="Times New Roman"/>
          <w:i/>
          <w:iCs/>
          <w:color w:val="000000"/>
          <w:sz w:val="24"/>
          <w:szCs w:val="24"/>
          <w:lang/>
        </w:rPr>
        <w:t>{Абзац другий пункту 179.2 статті 179 в редакції Закону </w:t>
      </w:r>
      <w:hyperlink r:id="rId2774" w:anchor="n24"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00ECEB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29" w:name="n4337"/>
      <w:bookmarkEnd w:id="5129"/>
      <w:r w:rsidRPr="008B264B">
        <w:rPr>
          <w:rFonts w:ascii="Times New Roman" w:eastAsia="Times New Roman" w:hAnsi="Times New Roman" w:cs="Times New Roman"/>
          <w:color w:val="000000"/>
          <w:sz w:val="24"/>
          <w:szCs w:val="24"/>
          <w:lang/>
        </w:rPr>
        <w:t>виключно від податкових агентів незалежно від виду та розміру нарахованого (виплаченого, наданого) доходу, крім випадків, прямо передбачених цим розділом;</w:t>
      </w:r>
    </w:p>
    <w:p w14:paraId="1C0509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0" w:name="n4338"/>
      <w:bookmarkEnd w:id="5130"/>
      <w:r w:rsidRPr="008B264B">
        <w:rPr>
          <w:rFonts w:ascii="Times New Roman" w:eastAsia="Times New Roman" w:hAnsi="Times New Roman" w:cs="Times New Roman"/>
          <w:i/>
          <w:iCs/>
          <w:color w:val="000000"/>
          <w:sz w:val="24"/>
          <w:szCs w:val="24"/>
          <w:lang/>
        </w:rPr>
        <w:t>{Абзац пункту 179.2 статті 179 в редакції Законів </w:t>
      </w:r>
      <w:hyperlink r:id="rId2775" w:anchor="n24"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 </w:t>
      </w:r>
      <w:hyperlink r:id="rId2776" w:anchor="n16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85251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1" w:name="n4339"/>
      <w:bookmarkEnd w:id="5131"/>
      <w:r w:rsidRPr="008B264B">
        <w:rPr>
          <w:rFonts w:ascii="Times New Roman" w:eastAsia="Times New Roman" w:hAnsi="Times New Roman" w:cs="Times New Roman"/>
          <w:color w:val="000000"/>
          <w:sz w:val="24"/>
          <w:szCs w:val="24"/>
          <w:lang/>
        </w:rPr>
        <w:t>від операцій продажу (обміну) майна, дарування, при нотаріальному посвідченні договорів за якими був сплачений податок відповідно до цього розділу;</w:t>
      </w:r>
    </w:p>
    <w:p w14:paraId="591AE9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2" w:name="n4340"/>
      <w:bookmarkEnd w:id="5132"/>
      <w:r w:rsidRPr="008B264B">
        <w:rPr>
          <w:rFonts w:ascii="Times New Roman" w:eastAsia="Times New Roman" w:hAnsi="Times New Roman" w:cs="Times New Roman"/>
          <w:color w:val="000000"/>
          <w:sz w:val="24"/>
          <w:szCs w:val="24"/>
          <w:lang/>
        </w:rPr>
        <w:t>у вигляді об'єктів спадщини, які відповідно до цього розділу оподатковуються за нульовою ставкою податку та/або з яких сплачено податок відповідно до </w:t>
      </w:r>
      <w:hyperlink r:id="rId2777" w:anchor="n4231" w:history="1">
        <w:r w:rsidRPr="008B264B">
          <w:rPr>
            <w:rFonts w:ascii="Times New Roman" w:eastAsia="Times New Roman" w:hAnsi="Times New Roman" w:cs="Times New Roman"/>
            <w:color w:val="0000FF"/>
            <w:sz w:val="24"/>
            <w:szCs w:val="24"/>
            <w:u w:val="single"/>
            <w:lang/>
          </w:rPr>
          <w:t>пункту 174.3</w:t>
        </w:r>
      </w:hyperlink>
      <w:r w:rsidRPr="008B264B">
        <w:rPr>
          <w:rFonts w:ascii="Times New Roman" w:eastAsia="Times New Roman" w:hAnsi="Times New Roman" w:cs="Times New Roman"/>
          <w:color w:val="000000"/>
          <w:sz w:val="24"/>
          <w:szCs w:val="24"/>
          <w:lang/>
        </w:rPr>
        <w:t> статті 174 цього Кодексу.</w:t>
      </w:r>
    </w:p>
    <w:p w14:paraId="786F74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3" w:name="n4341"/>
      <w:bookmarkEnd w:id="5133"/>
      <w:r w:rsidRPr="008B264B">
        <w:rPr>
          <w:rFonts w:ascii="Times New Roman" w:eastAsia="Times New Roman" w:hAnsi="Times New Roman" w:cs="Times New Roman"/>
          <w:i/>
          <w:iCs/>
          <w:color w:val="000000"/>
          <w:sz w:val="24"/>
          <w:szCs w:val="24"/>
          <w:lang/>
        </w:rPr>
        <w:t>{Пункт 179.2 статті 179 доповнено абзацом згідно із Законом </w:t>
      </w:r>
      <w:hyperlink r:id="rId27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779" w:anchor="n23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6CC3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4" w:name="n4342"/>
      <w:bookmarkEnd w:id="5134"/>
      <w:r w:rsidRPr="008B264B">
        <w:rPr>
          <w:rFonts w:ascii="Times New Roman" w:eastAsia="Times New Roman" w:hAnsi="Times New Roman" w:cs="Times New Roman"/>
          <w:i/>
          <w:iCs/>
          <w:color w:val="000000"/>
          <w:sz w:val="24"/>
          <w:szCs w:val="24"/>
          <w:lang/>
        </w:rPr>
        <w:t>{Абзац шостий пункту 179.2 статті 179 виключено на підставі Закону </w:t>
      </w:r>
      <w:hyperlink r:id="rId2780" w:anchor="n10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616D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5" w:name="n4344"/>
      <w:bookmarkEnd w:id="5135"/>
      <w:r w:rsidRPr="008B264B">
        <w:rPr>
          <w:rFonts w:ascii="Times New Roman" w:eastAsia="Times New Roman" w:hAnsi="Times New Roman" w:cs="Times New Roman"/>
          <w:i/>
          <w:iCs/>
          <w:color w:val="000000"/>
          <w:sz w:val="24"/>
          <w:szCs w:val="24"/>
          <w:lang/>
        </w:rPr>
        <w:t>{Абзац сьомий пункту 179.2 статті 179 виключено на підставі Закону </w:t>
      </w:r>
      <w:hyperlink r:id="rId2781" w:anchor="n16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BC460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6" w:name="n4346"/>
      <w:bookmarkEnd w:id="5136"/>
      <w:r w:rsidRPr="008B264B">
        <w:rPr>
          <w:rFonts w:ascii="Times New Roman" w:eastAsia="Times New Roman" w:hAnsi="Times New Roman" w:cs="Times New Roman"/>
          <w:color w:val="000000"/>
          <w:sz w:val="24"/>
          <w:szCs w:val="24"/>
          <w:lang/>
        </w:rPr>
        <w:t>179.3. Платники податку - резиденти, які виїжджають за кордон на постійне місце проживання, зобов'язані подати до контролюючого органу податкову декларацію не пізніше 60 календарних днів, що передують виїзду.</w:t>
      </w:r>
    </w:p>
    <w:p w14:paraId="07BB56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7" w:name="n4347"/>
      <w:bookmarkEnd w:id="5137"/>
      <w:r w:rsidRPr="008B264B">
        <w:rPr>
          <w:rFonts w:ascii="Times New Roman" w:eastAsia="Times New Roman" w:hAnsi="Times New Roman" w:cs="Times New Roman"/>
          <w:color w:val="000000"/>
          <w:sz w:val="24"/>
          <w:szCs w:val="24"/>
          <w:lang/>
        </w:rPr>
        <w:t>Контролюючий орган протягом 30 календарних днів після надходження податкової декларації зобов'язаний перевірити визначене податкове зобов'язання, сплату належної суми податку і видати довідку про таку сплату та про відсутність податкових зобов'язань з цього податку, що подається до органів митного контролю під час перетину митного кордону і є підставою для проведення митних процедур.</w:t>
      </w:r>
    </w:p>
    <w:p w14:paraId="38F63D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38" w:name="n4348"/>
      <w:bookmarkEnd w:id="5138"/>
      <w:r w:rsidRPr="008B264B">
        <w:rPr>
          <w:rFonts w:ascii="Times New Roman" w:eastAsia="Times New Roman" w:hAnsi="Times New Roman" w:cs="Times New Roman"/>
          <w:color w:val="000000"/>
          <w:sz w:val="24"/>
          <w:szCs w:val="24"/>
          <w:lang/>
        </w:rPr>
        <w:t>Форма такої </w:t>
      </w:r>
      <w:hyperlink r:id="rId2782" w:anchor="n6" w:tgtFrame="_blank" w:history="1">
        <w:r w:rsidRPr="008B264B">
          <w:rPr>
            <w:rFonts w:ascii="Times New Roman" w:eastAsia="Times New Roman" w:hAnsi="Times New Roman" w:cs="Times New Roman"/>
            <w:color w:val="0000FF"/>
            <w:sz w:val="24"/>
            <w:szCs w:val="24"/>
            <w:u w:val="single"/>
            <w:lang/>
          </w:rPr>
          <w:t>довідки</w:t>
        </w:r>
      </w:hyperlink>
      <w:r w:rsidRPr="008B264B">
        <w:rPr>
          <w:rFonts w:ascii="Times New Roman" w:eastAsia="Times New Roman" w:hAnsi="Times New Roman" w:cs="Times New Roman"/>
          <w:color w:val="000000"/>
          <w:sz w:val="24"/>
          <w:szCs w:val="24"/>
          <w:lang/>
        </w:rPr>
        <w:t> встановлюється центральним органом виконавчої влади, що забезпечує формування та реалізує державну фінансову політику.</w:t>
      </w:r>
    </w:p>
    <w:bookmarkStart w:id="5139" w:name="n4349"/>
    <w:bookmarkEnd w:id="5139"/>
    <w:p w14:paraId="59A3D1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"https://zakon.rada.gov.ua/laws/show/1243-2010-%D0%BF"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застосування цього пункту визначається Кабінетом Міністрів України.</w:t>
      </w:r>
    </w:p>
    <w:p w14:paraId="7C975A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0" w:name="n13446"/>
      <w:bookmarkEnd w:id="5140"/>
      <w:r w:rsidRPr="008B264B">
        <w:rPr>
          <w:rFonts w:ascii="Times New Roman" w:eastAsia="Times New Roman" w:hAnsi="Times New Roman" w:cs="Times New Roman"/>
          <w:i/>
          <w:iCs/>
          <w:color w:val="000000"/>
          <w:sz w:val="24"/>
          <w:szCs w:val="24"/>
          <w:lang/>
        </w:rPr>
        <w:t>{Пункт 179.3 статті 179 із змінами, внесеними згідно із Законом </w:t>
      </w:r>
      <w:hyperlink r:id="rId278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825E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1" w:name="n4350"/>
      <w:bookmarkEnd w:id="5141"/>
      <w:r w:rsidRPr="008B264B">
        <w:rPr>
          <w:rFonts w:ascii="Times New Roman" w:eastAsia="Times New Roman" w:hAnsi="Times New Roman" w:cs="Times New Roman"/>
          <w:color w:val="000000"/>
          <w:sz w:val="24"/>
          <w:szCs w:val="24"/>
          <w:lang/>
        </w:rPr>
        <w:t>179.4. Платники податку звільняються від обов'язку подання податкової декларації в таких випадках:</w:t>
      </w:r>
    </w:p>
    <w:p w14:paraId="05734F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2" w:name="n4351"/>
      <w:bookmarkEnd w:id="5142"/>
      <w:r w:rsidRPr="008B264B">
        <w:rPr>
          <w:rFonts w:ascii="Times New Roman" w:eastAsia="Times New Roman" w:hAnsi="Times New Roman" w:cs="Times New Roman"/>
          <w:color w:val="000000"/>
          <w:sz w:val="24"/>
          <w:szCs w:val="24"/>
          <w:lang/>
        </w:rPr>
        <w:t>а) незалежно від виду та суми отриманих доходів платниками податку, які:</w:t>
      </w:r>
    </w:p>
    <w:p w14:paraId="33B6EA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3" w:name="n4352"/>
      <w:bookmarkEnd w:id="5143"/>
      <w:r w:rsidRPr="008B264B">
        <w:rPr>
          <w:rFonts w:ascii="Times New Roman" w:eastAsia="Times New Roman" w:hAnsi="Times New Roman" w:cs="Times New Roman"/>
          <w:color w:val="000000"/>
          <w:sz w:val="24"/>
          <w:szCs w:val="24"/>
          <w:lang/>
        </w:rPr>
        <w:lastRenderedPageBreak/>
        <w:t>є малолітніми/неповнолітніми або недієздатними особами і при цьому перебувають на повному утриманні інших осіб (у тому числі батьків) та/або держави станом на кінець звітного податкового року;</w:t>
      </w:r>
    </w:p>
    <w:p w14:paraId="0B59ED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4" w:name="n9532"/>
      <w:bookmarkEnd w:id="5144"/>
      <w:r w:rsidRPr="008B264B">
        <w:rPr>
          <w:rFonts w:ascii="Times New Roman" w:eastAsia="Times New Roman" w:hAnsi="Times New Roman" w:cs="Times New Roman"/>
          <w:i/>
          <w:iCs/>
          <w:color w:val="000000"/>
          <w:sz w:val="24"/>
          <w:szCs w:val="24"/>
          <w:lang/>
        </w:rPr>
        <w:t>{Абзац третій пункту 179.4 статті 179 із змінами, внесеними згідно з Законом </w:t>
      </w:r>
      <w:hyperlink r:id="rId2784" w:anchor="n10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3F43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5" w:name="n4353"/>
      <w:bookmarkEnd w:id="5145"/>
      <w:r w:rsidRPr="008B264B">
        <w:rPr>
          <w:rFonts w:ascii="Times New Roman" w:eastAsia="Times New Roman" w:hAnsi="Times New Roman" w:cs="Times New Roman"/>
          <w:color w:val="000000"/>
          <w:sz w:val="24"/>
          <w:szCs w:val="24"/>
          <w:lang/>
        </w:rPr>
        <w:t>перебувають під арештом або є затриманими чи засудженими до позбавлення волі, перебувають у полоні або ув'язненні на території інших держав станом на кінець граничного строку подання декларації;</w:t>
      </w:r>
    </w:p>
    <w:p w14:paraId="1A507B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6" w:name="n4354"/>
      <w:bookmarkEnd w:id="5146"/>
      <w:r w:rsidRPr="008B264B">
        <w:rPr>
          <w:rFonts w:ascii="Times New Roman" w:eastAsia="Times New Roman" w:hAnsi="Times New Roman" w:cs="Times New Roman"/>
          <w:color w:val="000000"/>
          <w:sz w:val="24"/>
          <w:szCs w:val="24"/>
          <w:lang/>
        </w:rPr>
        <w:t>перебувають у розшуку станом на кінець звітного податкового року;</w:t>
      </w:r>
    </w:p>
    <w:p w14:paraId="1C969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7" w:name="n4355"/>
      <w:bookmarkEnd w:id="5147"/>
      <w:r w:rsidRPr="008B264B">
        <w:rPr>
          <w:rFonts w:ascii="Times New Roman" w:eastAsia="Times New Roman" w:hAnsi="Times New Roman" w:cs="Times New Roman"/>
          <w:color w:val="000000"/>
          <w:sz w:val="24"/>
          <w:szCs w:val="24"/>
          <w:lang/>
        </w:rPr>
        <w:t>перебувають на строковій військовій службі станом на кінець звітного податкового року;</w:t>
      </w:r>
    </w:p>
    <w:p w14:paraId="592131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8" w:name="n4356"/>
      <w:bookmarkEnd w:id="5148"/>
      <w:r w:rsidRPr="008B264B">
        <w:rPr>
          <w:rFonts w:ascii="Times New Roman" w:eastAsia="Times New Roman" w:hAnsi="Times New Roman" w:cs="Times New Roman"/>
          <w:color w:val="000000"/>
          <w:sz w:val="24"/>
          <w:szCs w:val="24"/>
          <w:lang/>
        </w:rPr>
        <w:t>б) в інших випадках, визначених цим розділом.</w:t>
      </w:r>
    </w:p>
    <w:p w14:paraId="6983B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49" w:name="n4357"/>
      <w:bookmarkEnd w:id="5149"/>
      <w:r w:rsidRPr="008B264B">
        <w:rPr>
          <w:rFonts w:ascii="Times New Roman" w:eastAsia="Times New Roman" w:hAnsi="Times New Roman" w:cs="Times New Roman"/>
          <w:color w:val="000000"/>
          <w:sz w:val="24"/>
          <w:szCs w:val="24"/>
          <w:lang/>
        </w:rPr>
        <w:t>179.5. Податкова декларація заповнюється платником податку самостійно або іншою особою, нотаріально уповноваженою платником податку здійснювати таке заповнення, у порядку, передбаченому </w:t>
      </w:r>
      <w:hyperlink r:id="rId2785" w:anchor="n1143" w:history="1">
        <w:r w:rsidRPr="008B264B">
          <w:rPr>
            <w:rFonts w:ascii="Times New Roman" w:eastAsia="Times New Roman" w:hAnsi="Times New Roman" w:cs="Times New Roman"/>
            <w:color w:val="0000FF"/>
            <w:sz w:val="24"/>
            <w:szCs w:val="24"/>
            <w:u w:val="single"/>
            <w:lang/>
          </w:rPr>
          <w:t>главою 2 розділу II</w:t>
        </w:r>
      </w:hyperlink>
      <w:r w:rsidRPr="008B264B">
        <w:rPr>
          <w:rFonts w:ascii="Times New Roman" w:eastAsia="Times New Roman" w:hAnsi="Times New Roman" w:cs="Times New Roman"/>
          <w:color w:val="000000"/>
          <w:sz w:val="24"/>
          <w:szCs w:val="24"/>
          <w:lang/>
        </w:rPr>
        <w:t> цього Кодексу.</w:t>
      </w:r>
    </w:p>
    <w:p w14:paraId="7D242B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0" w:name="n4358"/>
      <w:bookmarkEnd w:id="5150"/>
      <w:r w:rsidRPr="008B264B">
        <w:rPr>
          <w:rFonts w:ascii="Times New Roman" w:eastAsia="Times New Roman" w:hAnsi="Times New Roman" w:cs="Times New Roman"/>
          <w:color w:val="000000"/>
          <w:sz w:val="24"/>
          <w:szCs w:val="24"/>
          <w:lang/>
        </w:rPr>
        <w:t>179.6. Обов'язок щодо заповнення та подання податкової декларації від імені платника податку покладається на таких осіб:</w:t>
      </w:r>
    </w:p>
    <w:p w14:paraId="6FB60F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1" w:name="n4359"/>
      <w:bookmarkEnd w:id="5151"/>
      <w:r w:rsidRPr="008B264B">
        <w:rPr>
          <w:rFonts w:ascii="Times New Roman" w:eastAsia="Times New Roman" w:hAnsi="Times New Roman" w:cs="Times New Roman"/>
          <w:color w:val="000000"/>
          <w:sz w:val="24"/>
          <w:szCs w:val="24"/>
          <w:lang/>
        </w:rPr>
        <w:t>батьків, опікуна або піклувальника - щодо доходів, отриманих малолітньою/неповнолітньою особою або особою, визнаною судом недієздатною;</w:t>
      </w:r>
    </w:p>
    <w:p w14:paraId="367595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2" w:name="n9533"/>
      <w:bookmarkEnd w:id="5152"/>
      <w:r w:rsidRPr="008B264B">
        <w:rPr>
          <w:rFonts w:ascii="Times New Roman" w:eastAsia="Times New Roman" w:hAnsi="Times New Roman" w:cs="Times New Roman"/>
          <w:i/>
          <w:iCs/>
          <w:color w:val="000000"/>
          <w:sz w:val="24"/>
          <w:szCs w:val="24"/>
          <w:lang/>
        </w:rPr>
        <w:t>{Абзац другий пункту 179.6 статті 179 із змінами, внесеними згідно із Законами </w:t>
      </w:r>
      <w:hyperlink r:id="rId2786" w:anchor="n10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2787" w:anchor="n106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7E8A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3" w:name="n4360"/>
      <w:bookmarkEnd w:id="5153"/>
      <w:r w:rsidRPr="008B264B">
        <w:rPr>
          <w:rFonts w:ascii="Times New Roman" w:eastAsia="Times New Roman" w:hAnsi="Times New Roman" w:cs="Times New Roman"/>
          <w:color w:val="000000"/>
          <w:sz w:val="24"/>
          <w:szCs w:val="24"/>
          <w:lang/>
        </w:rPr>
        <w:t>спадкоємців (розпорядників майна, державних виконавців) - щодо доходів, отриманих протягом звітного податкового року платником податку, який помер;</w:t>
      </w:r>
    </w:p>
    <w:p w14:paraId="14324D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4" w:name="n4361"/>
      <w:bookmarkEnd w:id="5154"/>
      <w:r w:rsidRPr="008B264B">
        <w:rPr>
          <w:rFonts w:ascii="Times New Roman" w:eastAsia="Times New Roman" w:hAnsi="Times New Roman" w:cs="Times New Roman"/>
          <w:color w:val="000000"/>
          <w:sz w:val="24"/>
          <w:szCs w:val="24"/>
          <w:lang/>
        </w:rPr>
        <w:t>державного виконавця, уповноваженого здійснювати заходи щодо забезпечення майнових претензій кредиторів платника податку, визначеного в установленому порядку банкрутом.</w:t>
      </w:r>
    </w:p>
    <w:p w14:paraId="68E0E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5" w:name="n4362"/>
      <w:bookmarkEnd w:id="5155"/>
      <w:r w:rsidRPr="008B264B">
        <w:rPr>
          <w:rFonts w:ascii="Times New Roman" w:eastAsia="Times New Roman" w:hAnsi="Times New Roman" w:cs="Times New Roman"/>
          <w:color w:val="000000"/>
          <w:sz w:val="24"/>
          <w:szCs w:val="24"/>
          <w:lang/>
        </w:rPr>
        <w:t>179.7. Фізична особа зобов'язана самостійно до 1 серпня року, що настає за звітним, сплатити суму податкового зобов'язання, зазначену в поданій нею податковій декларації.</w:t>
      </w:r>
    </w:p>
    <w:p w14:paraId="16E1B7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6" w:name="n4363"/>
      <w:bookmarkEnd w:id="5156"/>
      <w:r w:rsidRPr="008B264B">
        <w:rPr>
          <w:rFonts w:ascii="Times New Roman" w:eastAsia="Times New Roman" w:hAnsi="Times New Roman" w:cs="Times New Roman"/>
          <w:color w:val="000000"/>
          <w:sz w:val="24"/>
          <w:szCs w:val="24"/>
          <w:lang/>
        </w:rPr>
        <w:t>Сума податкових зобов'язань, донарахована контролюючим органом, сплачується до відповідного бюджету у строки, встановлені цим Кодексом.</w:t>
      </w:r>
    </w:p>
    <w:p w14:paraId="6C4878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7" w:name="n4364"/>
      <w:bookmarkEnd w:id="5157"/>
      <w:r w:rsidRPr="008B264B">
        <w:rPr>
          <w:rFonts w:ascii="Times New Roman" w:eastAsia="Times New Roman" w:hAnsi="Times New Roman" w:cs="Times New Roman"/>
          <w:color w:val="000000"/>
          <w:sz w:val="24"/>
          <w:szCs w:val="24"/>
          <w:lang/>
        </w:rPr>
        <w:t>179.8. Сума, що має бути повернена платнику податку, зараховується на його банківський рахунок, відкритий у будь-якому комерційному банку, або надсилається поштовим переказом на адресу, зазначену в декларації, протягом 60 календарних днів після надходження такої податкової декларації.</w:t>
      </w:r>
    </w:p>
    <w:p w14:paraId="3352BE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8" w:name="n4365"/>
      <w:bookmarkEnd w:id="5158"/>
      <w:r w:rsidRPr="008B264B">
        <w:rPr>
          <w:rFonts w:ascii="Times New Roman" w:eastAsia="Times New Roman" w:hAnsi="Times New Roman" w:cs="Times New Roman"/>
          <w:color w:val="000000"/>
          <w:sz w:val="24"/>
          <w:szCs w:val="24"/>
          <w:lang/>
        </w:rPr>
        <w:t>179.9. </w:t>
      </w:r>
      <w:hyperlink r:id="rId2788" w:anchor="n17" w:tgtFrame="_blank" w:history="1">
        <w:r w:rsidRPr="008B264B">
          <w:rPr>
            <w:rFonts w:ascii="Times New Roman" w:eastAsia="Times New Roman" w:hAnsi="Times New Roman" w:cs="Times New Roman"/>
            <w:color w:val="0000FF"/>
            <w:sz w:val="24"/>
            <w:szCs w:val="24"/>
            <w:u w:val="single"/>
            <w:lang/>
          </w:rPr>
          <w:t>Форма податкової декларації</w:t>
        </w:r>
      </w:hyperlink>
      <w:r w:rsidRPr="008B264B">
        <w:rPr>
          <w:rFonts w:ascii="Times New Roman" w:eastAsia="Times New Roman" w:hAnsi="Times New Roman" w:cs="Times New Roman"/>
          <w:color w:val="000000"/>
          <w:sz w:val="24"/>
          <w:szCs w:val="24"/>
          <w:lang/>
        </w:rPr>
        <w:t> встановлюється центральним органом виконавчої влади, що забезпечує формування та реалізує державну фінансову політику, виходячи з таких умов:</w:t>
      </w:r>
    </w:p>
    <w:p w14:paraId="08560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59" w:name="n4366"/>
      <w:bookmarkEnd w:id="5159"/>
      <w:r w:rsidRPr="008B264B">
        <w:rPr>
          <w:rFonts w:ascii="Times New Roman" w:eastAsia="Times New Roman" w:hAnsi="Times New Roman" w:cs="Times New Roman"/>
          <w:color w:val="000000"/>
          <w:sz w:val="24"/>
          <w:szCs w:val="24"/>
          <w:lang/>
        </w:rPr>
        <w:t>загальна частина податкової декларації повинна мати спрощений вигляд та не містити відомостей про доходи (витрати), що отримує (несе) незначна кількість платників податку;</w:t>
      </w:r>
    </w:p>
    <w:p w14:paraId="66E97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0" w:name="n4367"/>
      <w:bookmarkEnd w:id="5160"/>
      <w:r w:rsidRPr="008B264B">
        <w:rPr>
          <w:rFonts w:ascii="Times New Roman" w:eastAsia="Times New Roman" w:hAnsi="Times New Roman" w:cs="Times New Roman"/>
          <w:color w:val="000000"/>
          <w:sz w:val="24"/>
          <w:szCs w:val="24"/>
          <w:lang/>
        </w:rPr>
        <w:t>податкова декларація є уніфікованою та єдиною для всіх встановлених цим розділом випадків її подання;</w:t>
      </w:r>
    </w:p>
    <w:p w14:paraId="24EDC1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1" w:name="n4368"/>
      <w:bookmarkEnd w:id="5161"/>
      <w:r w:rsidRPr="008B264B">
        <w:rPr>
          <w:rFonts w:ascii="Times New Roman" w:eastAsia="Times New Roman" w:hAnsi="Times New Roman" w:cs="Times New Roman"/>
          <w:i/>
          <w:iCs/>
          <w:color w:val="000000"/>
          <w:sz w:val="24"/>
          <w:szCs w:val="24"/>
          <w:lang/>
        </w:rPr>
        <w:t>{Абзац третій пункту 179.9 статті 179 із змінами, внесеними згідно із Законом </w:t>
      </w:r>
      <w:hyperlink r:id="rId2789" w:anchor="n30"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501FB1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2" w:name="n4369"/>
      <w:bookmarkEnd w:id="5162"/>
      <w:r w:rsidRPr="008B264B">
        <w:rPr>
          <w:rFonts w:ascii="Times New Roman" w:eastAsia="Times New Roman" w:hAnsi="Times New Roman" w:cs="Times New Roman"/>
          <w:i/>
          <w:iCs/>
          <w:color w:val="000000"/>
          <w:sz w:val="24"/>
          <w:szCs w:val="24"/>
          <w:lang/>
        </w:rPr>
        <w:t>{Абзац четвертий пункту 179.9 статті 179 виключено на підставі Закону </w:t>
      </w:r>
      <w:hyperlink r:id="rId2790" w:anchor="n31"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6AEF15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3" w:name="n4370"/>
      <w:bookmarkEnd w:id="5163"/>
      <w:r w:rsidRPr="008B264B">
        <w:rPr>
          <w:rFonts w:ascii="Times New Roman" w:eastAsia="Times New Roman" w:hAnsi="Times New Roman" w:cs="Times New Roman"/>
          <w:color w:val="000000"/>
          <w:sz w:val="24"/>
          <w:szCs w:val="24"/>
          <w:lang/>
        </w:rPr>
        <w:lastRenderedPageBreak/>
        <w:t>розрахунки окремих видів доходів (витрат) мають міститися в додатках до податкової декларації, що заповнюються виключно платниками податку за наявності таких доходів (витрат);</w:t>
      </w:r>
    </w:p>
    <w:p w14:paraId="710E4F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4" w:name="n4371"/>
      <w:bookmarkEnd w:id="5164"/>
      <w:r w:rsidRPr="008B264B">
        <w:rPr>
          <w:rFonts w:ascii="Times New Roman" w:eastAsia="Times New Roman" w:hAnsi="Times New Roman" w:cs="Times New Roman"/>
          <w:color w:val="000000"/>
          <w:sz w:val="24"/>
          <w:szCs w:val="24"/>
          <w:lang/>
        </w:rPr>
        <w:t>податкова декларація та додатки до неї мають складатися з використанням загальновживаної термінології, а також містити детальні інструкції щодо їх заповнення;</w:t>
      </w:r>
    </w:p>
    <w:p w14:paraId="4D183D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5" w:name="n4372"/>
      <w:bookmarkEnd w:id="5165"/>
      <w:r w:rsidRPr="008B264B">
        <w:rPr>
          <w:rFonts w:ascii="Times New Roman" w:eastAsia="Times New Roman" w:hAnsi="Times New Roman" w:cs="Times New Roman"/>
          <w:color w:val="000000"/>
          <w:sz w:val="24"/>
          <w:szCs w:val="24"/>
          <w:lang/>
        </w:rPr>
        <w:t>податкова декларація та додатки до неї мають ідентифікувати платника податку та містити інформацію, необхідну для визначення суми його податкових зобов'язань або суми податку, що підлягає поверненню у разі використання платником податку права на податкову знижку.</w:t>
      </w:r>
    </w:p>
    <w:p w14:paraId="35FCED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6" w:name="n4373"/>
      <w:bookmarkEnd w:id="5166"/>
      <w:r w:rsidRPr="008B264B">
        <w:rPr>
          <w:rFonts w:ascii="Times New Roman" w:eastAsia="Times New Roman" w:hAnsi="Times New Roman" w:cs="Times New Roman"/>
          <w:color w:val="000000"/>
          <w:sz w:val="24"/>
          <w:szCs w:val="24"/>
          <w:lang/>
        </w:rPr>
        <w:t>Бланки податкових декларацій мають безоплатно надаватися контролюючими органами платникам податку на їх запит, а також бути загальнодоступними для населення.</w:t>
      </w:r>
    </w:p>
    <w:p w14:paraId="4326E3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7" w:name="n13447"/>
      <w:bookmarkEnd w:id="5167"/>
      <w:r w:rsidRPr="008B264B">
        <w:rPr>
          <w:rFonts w:ascii="Times New Roman" w:eastAsia="Times New Roman" w:hAnsi="Times New Roman" w:cs="Times New Roman"/>
          <w:i/>
          <w:iCs/>
          <w:color w:val="000000"/>
          <w:sz w:val="24"/>
          <w:szCs w:val="24"/>
          <w:lang/>
        </w:rPr>
        <w:t>{Пункт 179.9 статті 179 із змінами, внесеними згідно із Законом </w:t>
      </w:r>
      <w:hyperlink r:id="rId279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602EA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8" w:name="n4374"/>
      <w:bookmarkEnd w:id="5168"/>
      <w:r w:rsidRPr="008B264B">
        <w:rPr>
          <w:rFonts w:ascii="Times New Roman" w:eastAsia="Times New Roman" w:hAnsi="Times New Roman" w:cs="Times New Roman"/>
          <w:color w:val="000000"/>
          <w:sz w:val="24"/>
          <w:szCs w:val="24"/>
          <w:lang/>
        </w:rPr>
        <w:t>179.10. Платник податку має право звернутися до відповідного контролюючого органу з проханням надати консультативну допомогу з питань щодо заповнення його річної </w:t>
      </w:r>
      <w:hyperlink r:id="rId2792"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а контролюючий орган зобов’язаний надати безоплатні послуги за таким зверненням.</w:t>
      </w:r>
    </w:p>
    <w:p w14:paraId="78FCE6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69" w:name="n14178"/>
      <w:bookmarkEnd w:id="5169"/>
      <w:r w:rsidRPr="008B264B">
        <w:rPr>
          <w:rFonts w:ascii="Times New Roman" w:eastAsia="Times New Roman" w:hAnsi="Times New Roman" w:cs="Times New Roman"/>
          <w:i/>
          <w:iCs/>
          <w:color w:val="000000"/>
          <w:sz w:val="24"/>
          <w:szCs w:val="24"/>
          <w:lang/>
        </w:rPr>
        <w:t>{Пункт 179.10 статті 179 в редакції Закону </w:t>
      </w:r>
      <w:hyperlink r:id="rId2793" w:anchor="n10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3089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0" w:name="n4375"/>
      <w:bookmarkEnd w:id="5170"/>
      <w:r w:rsidRPr="008B264B">
        <w:rPr>
          <w:rFonts w:ascii="Times New Roman" w:eastAsia="Times New Roman" w:hAnsi="Times New Roman" w:cs="Times New Roman"/>
          <w:color w:val="000000"/>
          <w:sz w:val="24"/>
          <w:szCs w:val="24"/>
          <w:lang/>
        </w:rPr>
        <w:t>179.11. Фізичні особи, які декларують майно, доходи, витрати і зобов'язання фінансового характеру відповідно до </w:t>
      </w:r>
      <w:hyperlink r:id="rId2794" w:anchor="n3" w:tgtFrame="_blank" w:history="1">
        <w:r w:rsidRPr="008B264B">
          <w:rPr>
            <w:rFonts w:ascii="Times New Roman" w:eastAsia="Times New Roman" w:hAnsi="Times New Roman" w:cs="Times New Roman"/>
            <w:color w:val="0000FF"/>
            <w:sz w:val="24"/>
            <w:szCs w:val="24"/>
            <w:u w:val="single"/>
            <w:lang/>
          </w:rPr>
          <w:t>Закону України "Про засади запобігання і протидії корупції"</w:t>
        </w:r>
      </w:hyperlink>
      <w:r w:rsidRPr="008B264B">
        <w:rPr>
          <w:rFonts w:ascii="Times New Roman" w:eastAsia="Times New Roman" w:hAnsi="Times New Roman" w:cs="Times New Roman"/>
          <w:color w:val="000000"/>
          <w:sz w:val="24"/>
          <w:szCs w:val="24"/>
          <w:lang/>
        </w:rPr>
        <w:t>, подають податкову декларацію виключно у випадках, передбачених цим розділом.</w:t>
      </w:r>
    </w:p>
    <w:p w14:paraId="760AFF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1" w:name="n4376"/>
      <w:bookmarkEnd w:id="5171"/>
      <w:r w:rsidRPr="008B264B">
        <w:rPr>
          <w:rFonts w:ascii="Times New Roman" w:eastAsia="Times New Roman" w:hAnsi="Times New Roman" w:cs="Times New Roman"/>
          <w:i/>
          <w:iCs/>
          <w:color w:val="000000"/>
          <w:sz w:val="24"/>
          <w:szCs w:val="24"/>
          <w:lang/>
        </w:rPr>
        <w:t>{Пункт 179.11 статті 179 в редакції Закону </w:t>
      </w:r>
      <w:hyperlink r:id="rId2795" w:anchor="n32" w:tgtFrame="_blank" w:history="1">
        <w:r w:rsidRPr="008B264B">
          <w:rPr>
            <w:rFonts w:ascii="Times New Roman" w:eastAsia="Times New Roman" w:hAnsi="Times New Roman" w:cs="Times New Roman"/>
            <w:i/>
            <w:iCs/>
            <w:color w:val="0000FF"/>
            <w:sz w:val="24"/>
            <w:szCs w:val="24"/>
            <w:u w:val="single"/>
            <w:lang/>
          </w:rPr>
          <w:t>№ 4661-VI від 24.04.2012</w:t>
        </w:r>
      </w:hyperlink>
      <w:r w:rsidRPr="008B264B">
        <w:rPr>
          <w:rFonts w:ascii="Times New Roman" w:eastAsia="Times New Roman" w:hAnsi="Times New Roman" w:cs="Times New Roman"/>
          <w:i/>
          <w:iCs/>
          <w:color w:val="000000"/>
          <w:sz w:val="24"/>
          <w:szCs w:val="24"/>
          <w:lang/>
        </w:rPr>
        <w:t>}</w:t>
      </w:r>
    </w:p>
    <w:p w14:paraId="1F0AEC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2" w:name="n4377"/>
      <w:bookmarkEnd w:id="5172"/>
      <w:r w:rsidRPr="008B264B">
        <w:rPr>
          <w:rFonts w:ascii="Times New Roman" w:eastAsia="Times New Roman" w:hAnsi="Times New Roman" w:cs="Times New Roman"/>
          <w:color w:val="000000"/>
          <w:sz w:val="24"/>
          <w:szCs w:val="24"/>
          <w:lang/>
        </w:rPr>
        <w:t>179.12. За зверненням платника податку контролюючий орган, до якого було подано податкову декларацію, видає </w:t>
      </w:r>
      <w:hyperlink r:id="rId2796" w:anchor="n15" w:tgtFrame="_blank" w:history="1">
        <w:r w:rsidRPr="008B264B">
          <w:rPr>
            <w:rFonts w:ascii="Times New Roman" w:eastAsia="Times New Roman" w:hAnsi="Times New Roman" w:cs="Times New Roman"/>
            <w:color w:val="0000FF"/>
            <w:sz w:val="24"/>
            <w:szCs w:val="24"/>
            <w:u w:val="single"/>
            <w:lang/>
          </w:rPr>
          <w:t>довідку про подану декларацію</w:t>
        </w:r>
      </w:hyperlink>
      <w:r w:rsidRPr="008B264B">
        <w:rPr>
          <w:rFonts w:ascii="Times New Roman" w:eastAsia="Times New Roman" w:hAnsi="Times New Roman" w:cs="Times New Roman"/>
          <w:color w:val="000000"/>
          <w:sz w:val="24"/>
          <w:szCs w:val="24"/>
          <w:lang/>
        </w:rPr>
        <w:t> про майновий стан і доходи (податкову декларацію) за формою, встановленою центральним органом виконавчої влади, що забезпечує формування та реалізує державну фінансову політику.</w:t>
      </w:r>
    </w:p>
    <w:p w14:paraId="013297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3" w:name="n13448"/>
      <w:bookmarkEnd w:id="5173"/>
      <w:r w:rsidRPr="008B264B">
        <w:rPr>
          <w:rFonts w:ascii="Times New Roman" w:eastAsia="Times New Roman" w:hAnsi="Times New Roman" w:cs="Times New Roman"/>
          <w:i/>
          <w:iCs/>
          <w:color w:val="000000"/>
          <w:sz w:val="24"/>
          <w:szCs w:val="24"/>
          <w:lang/>
        </w:rPr>
        <w:t>{Пункт 179.12 статті 179 із змінами, внесеними згідно із Законом </w:t>
      </w:r>
      <w:hyperlink r:id="rId279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CF3910A"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5174" w:name="n4379"/>
      <w:bookmarkEnd w:id="5174"/>
      <w:r w:rsidRPr="008B264B">
        <w:rPr>
          <w:rFonts w:ascii="Times New Roman" w:eastAsia="Times New Roman" w:hAnsi="Times New Roman" w:cs="Times New Roman"/>
          <w:b/>
          <w:bCs/>
          <w:color w:val="000000"/>
          <w:sz w:val="28"/>
          <w:szCs w:val="28"/>
          <w:lang/>
        </w:rPr>
        <w:t>РОЗДІЛ V. ПОДАТОК НА ДОДАНУ ВАРТІСТЬ</w:t>
      </w:r>
    </w:p>
    <w:p w14:paraId="770FF7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5" w:name="n4380"/>
      <w:bookmarkEnd w:id="5175"/>
      <w:r w:rsidRPr="008B264B">
        <w:rPr>
          <w:rFonts w:ascii="Times New Roman" w:eastAsia="Times New Roman" w:hAnsi="Times New Roman" w:cs="Times New Roman"/>
          <w:b/>
          <w:bCs/>
          <w:color w:val="000000"/>
          <w:sz w:val="24"/>
          <w:szCs w:val="24"/>
          <w:lang/>
        </w:rPr>
        <w:t>Стаття 180.</w:t>
      </w:r>
      <w:r w:rsidRPr="008B264B">
        <w:rPr>
          <w:rFonts w:ascii="Times New Roman" w:eastAsia="Times New Roman" w:hAnsi="Times New Roman" w:cs="Times New Roman"/>
          <w:color w:val="000000"/>
          <w:sz w:val="24"/>
          <w:szCs w:val="24"/>
          <w:lang/>
        </w:rPr>
        <w:t> Платники податку</w:t>
      </w:r>
    </w:p>
    <w:p w14:paraId="3A9C06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6" w:name="n4381"/>
      <w:bookmarkEnd w:id="5176"/>
      <w:r w:rsidRPr="008B264B">
        <w:rPr>
          <w:rFonts w:ascii="Times New Roman" w:eastAsia="Times New Roman" w:hAnsi="Times New Roman" w:cs="Times New Roman"/>
          <w:color w:val="000000"/>
          <w:sz w:val="24"/>
          <w:szCs w:val="24"/>
          <w:lang/>
        </w:rPr>
        <w:t>180.1. Для цілей оподаткування платником податку є:</w:t>
      </w:r>
    </w:p>
    <w:p w14:paraId="0EBB4C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7" w:name="n4382"/>
      <w:bookmarkEnd w:id="5177"/>
      <w:r w:rsidRPr="008B264B">
        <w:rPr>
          <w:rFonts w:ascii="Times New Roman" w:eastAsia="Times New Roman" w:hAnsi="Times New Roman" w:cs="Times New Roman"/>
          <w:color w:val="000000"/>
          <w:sz w:val="24"/>
          <w:szCs w:val="24"/>
          <w:lang/>
        </w:rPr>
        <w:t>1) будь-яка особа, що провадить або планує провадити господарську діяльність і реєструється за своїм добровільним рішенням як платник податку у порядку, визначеному </w:t>
      </w:r>
      <w:hyperlink r:id="rId2798" w:anchor="n4409" w:history="1">
        <w:r w:rsidRPr="008B264B">
          <w:rPr>
            <w:rFonts w:ascii="Times New Roman" w:eastAsia="Times New Roman" w:hAnsi="Times New Roman" w:cs="Times New Roman"/>
            <w:color w:val="0000FF"/>
            <w:sz w:val="24"/>
            <w:szCs w:val="24"/>
            <w:u w:val="single"/>
            <w:lang/>
          </w:rPr>
          <w:t>статтею 183</w:t>
        </w:r>
      </w:hyperlink>
      <w:r w:rsidRPr="008B264B">
        <w:rPr>
          <w:rFonts w:ascii="Times New Roman" w:eastAsia="Times New Roman" w:hAnsi="Times New Roman" w:cs="Times New Roman"/>
          <w:color w:val="000000"/>
          <w:sz w:val="24"/>
          <w:szCs w:val="24"/>
          <w:lang/>
        </w:rPr>
        <w:t> цього розділу;</w:t>
      </w:r>
    </w:p>
    <w:p w14:paraId="427AC9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8" w:name="n9391"/>
      <w:bookmarkEnd w:id="5178"/>
      <w:r w:rsidRPr="008B264B">
        <w:rPr>
          <w:rFonts w:ascii="Times New Roman" w:eastAsia="Times New Roman" w:hAnsi="Times New Roman" w:cs="Times New Roman"/>
          <w:i/>
          <w:iCs/>
          <w:color w:val="000000"/>
          <w:sz w:val="24"/>
          <w:szCs w:val="24"/>
          <w:lang/>
        </w:rPr>
        <w:t>{Підпункт 1 пункту 180.1 статті 180 із змінами, внесеними згідно із Законом </w:t>
      </w:r>
      <w:hyperlink r:id="rId2799" w:anchor="n6"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7BA2FF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79" w:name="n4383"/>
      <w:bookmarkEnd w:id="5179"/>
      <w:r w:rsidRPr="008B264B">
        <w:rPr>
          <w:rFonts w:ascii="Times New Roman" w:eastAsia="Times New Roman" w:hAnsi="Times New Roman" w:cs="Times New Roman"/>
          <w:color w:val="000000"/>
          <w:sz w:val="24"/>
          <w:szCs w:val="24"/>
          <w:lang/>
        </w:rPr>
        <w:t>2) будь-яка особа, що зареєстрована або підлягає реєстрації як платник податку;</w:t>
      </w:r>
    </w:p>
    <w:p w14:paraId="37305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0" w:name="n4384"/>
      <w:bookmarkEnd w:id="5180"/>
      <w:r w:rsidRPr="008B264B">
        <w:rPr>
          <w:rFonts w:ascii="Times New Roman" w:eastAsia="Times New Roman" w:hAnsi="Times New Roman" w:cs="Times New Roman"/>
          <w:color w:val="000000"/>
          <w:sz w:val="24"/>
          <w:szCs w:val="24"/>
          <w:lang/>
        </w:rPr>
        <w:t>3) будь-яка особа, що ввозить товари на митну територію України в обсягах, які підлягають оподаткуванню, та на яку покладається відповідальність за сплату податків у разі переміщення товарів через митний кордон України відповідно до </w:t>
      </w:r>
      <w:hyperlink r:id="rId2800"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 а також:</w:t>
      </w:r>
    </w:p>
    <w:p w14:paraId="5517E5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1" w:name="n4385"/>
      <w:bookmarkEnd w:id="5181"/>
      <w:r w:rsidRPr="008B264B">
        <w:rPr>
          <w:rFonts w:ascii="Times New Roman" w:eastAsia="Times New Roman" w:hAnsi="Times New Roman" w:cs="Times New Roman"/>
          <w:color w:val="000000"/>
          <w:sz w:val="24"/>
          <w:szCs w:val="24"/>
          <w:lang/>
        </w:rPr>
        <w:t>особа, на яку покладається дотримання вимог митних режимів, які передбачають повне або часткове умовне звільнення від оподаткування, у разі порушення таких митних режимів, встановлених митним законодавством;</w:t>
      </w:r>
    </w:p>
    <w:p w14:paraId="10C4A6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2" w:name="n4386"/>
      <w:bookmarkEnd w:id="5182"/>
      <w:r w:rsidRPr="008B264B">
        <w:rPr>
          <w:rFonts w:ascii="Times New Roman" w:eastAsia="Times New Roman" w:hAnsi="Times New Roman" w:cs="Times New Roman"/>
          <w:color w:val="000000"/>
          <w:sz w:val="24"/>
          <w:szCs w:val="24"/>
          <w:lang/>
        </w:rPr>
        <w:t>особа, яка використовує, у тому числі при ввезенні товарів на митну територію України, податкову пільгу не за цільовим призначенням та/або всупереч умовам чи цілям її надання згідно із цим Кодексом, а також будь-які інші особи, що використовують податкову пільгу, яку для них не призначено.</w:t>
      </w:r>
    </w:p>
    <w:p w14:paraId="633CC2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3" w:name="n4387"/>
      <w:bookmarkEnd w:id="5183"/>
      <w:r w:rsidRPr="008B264B">
        <w:rPr>
          <w:rFonts w:ascii="Times New Roman" w:eastAsia="Times New Roman" w:hAnsi="Times New Roman" w:cs="Times New Roman"/>
          <w:color w:val="000000"/>
          <w:sz w:val="24"/>
          <w:szCs w:val="24"/>
          <w:lang/>
        </w:rPr>
        <w:lastRenderedPageBreak/>
        <w:t>Норми цього пункту не застосовуються до операцій з ввезення на митну територію України фізичними особами (громадянами) чи суб'єктами підприємницької діяльності, які не є платниками податку, культурних цінностей, зазначених у </w:t>
      </w:r>
      <w:hyperlink r:id="rId2801" w:anchor="n4900" w:history="1">
        <w:r w:rsidRPr="008B264B">
          <w:rPr>
            <w:rFonts w:ascii="Times New Roman" w:eastAsia="Times New Roman" w:hAnsi="Times New Roman" w:cs="Times New Roman"/>
            <w:color w:val="0000FF"/>
            <w:sz w:val="24"/>
            <w:szCs w:val="24"/>
            <w:u w:val="single"/>
            <w:lang/>
          </w:rPr>
          <w:t>пункті 197.7</w:t>
        </w:r>
      </w:hyperlink>
      <w:r w:rsidRPr="008B264B">
        <w:rPr>
          <w:rFonts w:ascii="Times New Roman" w:eastAsia="Times New Roman" w:hAnsi="Times New Roman" w:cs="Times New Roman"/>
          <w:color w:val="000000"/>
          <w:sz w:val="24"/>
          <w:szCs w:val="24"/>
          <w:lang/>
        </w:rPr>
        <w:t> статті 197 цього Кодексу;</w:t>
      </w:r>
    </w:p>
    <w:p w14:paraId="2CF7D0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4" w:name="n4388"/>
      <w:bookmarkEnd w:id="5184"/>
      <w:r w:rsidRPr="008B264B">
        <w:rPr>
          <w:rFonts w:ascii="Times New Roman" w:eastAsia="Times New Roman" w:hAnsi="Times New Roman" w:cs="Times New Roman"/>
          <w:color w:val="000000"/>
          <w:sz w:val="24"/>
          <w:szCs w:val="24"/>
          <w:lang/>
        </w:rPr>
        <w:t>4) особа, що веде облік результатів діяльності за договором про спільну діяльність без утворення юридичної особи;</w:t>
      </w:r>
    </w:p>
    <w:p w14:paraId="39F584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5" w:name="n4389"/>
      <w:bookmarkEnd w:id="5185"/>
      <w:r w:rsidRPr="008B264B">
        <w:rPr>
          <w:rFonts w:ascii="Times New Roman" w:eastAsia="Times New Roman" w:hAnsi="Times New Roman" w:cs="Times New Roman"/>
          <w:color w:val="000000"/>
          <w:sz w:val="24"/>
          <w:szCs w:val="24"/>
          <w:lang/>
        </w:rPr>
        <w:t>5) особа - управитель майна, яка веде окремий податковий облік з податку на додану вартість щодо господарських операцій, пов'язаних з використанням майна, що отримане в управління за договорами управління майном.</w:t>
      </w:r>
    </w:p>
    <w:p w14:paraId="1ADA8D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6" w:name="n4390"/>
      <w:bookmarkEnd w:id="5186"/>
      <w:r w:rsidRPr="008B264B">
        <w:rPr>
          <w:rFonts w:ascii="Times New Roman" w:eastAsia="Times New Roman" w:hAnsi="Times New Roman" w:cs="Times New Roman"/>
          <w:color w:val="000000"/>
          <w:sz w:val="24"/>
          <w:szCs w:val="24"/>
          <w:lang/>
        </w:rPr>
        <w:t>Для цілей оподаткування господарські відносини між управителем майна з власної господарської діяльності та його діяльності з управління майном прирівнюються до відносин на основі окремих цивільно-правових договорів. Норми цього підпункту не поширюються на управителів майна, які здійснюють управління активами інститутів спільного інвестування, фондів банківського управління, фондів фінансування будівництва та фондів операцій з нерухомістю, створених відповідно до закону;</w:t>
      </w:r>
    </w:p>
    <w:p w14:paraId="4D7AF0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7" w:name="n4391"/>
      <w:bookmarkEnd w:id="5187"/>
      <w:r w:rsidRPr="008B264B">
        <w:rPr>
          <w:rFonts w:ascii="Times New Roman" w:eastAsia="Times New Roman" w:hAnsi="Times New Roman" w:cs="Times New Roman"/>
          <w:i/>
          <w:iCs/>
          <w:color w:val="000000"/>
          <w:sz w:val="24"/>
          <w:szCs w:val="24"/>
          <w:lang/>
        </w:rPr>
        <w:t>{Абзац другий підпункту 5 пункту 180.1 статті 180 із змінами, внесеними згідно із Законом </w:t>
      </w:r>
      <w:hyperlink r:id="rId280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05DF5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8" w:name="n4392"/>
      <w:bookmarkEnd w:id="5188"/>
      <w:r w:rsidRPr="008B264B">
        <w:rPr>
          <w:rFonts w:ascii="Times New Roman" w:eastAsia="Times New Roman" w:hAnsi="Times New Roman" w:cs="Times New Roman"/>
          <w:color w:val="000000"/>
          <w:sz w:val="24"/>
          <w:szCs w:val="24"/>
          <w:lang/>
        </w:rPr>
        <w:t>6) особа, що проводить операції з постачання конфіскованого майна, знахідок, скарбів, майна, визнаного безхазяйним, майна, за яким не звернувся власник до кінця строку зберігання, та майна, що за правом успадкування чи на інших законних підставах переходить у власність держави (у тому числі майна, визначеного у </w:t>
      </w:r>
      <w:hyperlink r:id="rId2803" w:anchor="n2013" w:tgtFrame="_blank" w:history="1">
        <w:r w:rsidRPr="008B264B">
          <w:rPr>
            <w:rFonts w:ascii="Times New Roman" w:eastAsia="Times New Roman" w:hAnsi="Times New Roman" w:cs="Times New Roman"/>
            <w:color w:val="0000FF"/>
            <w:sz w:val="24"/>
            <w:szCs w:val="24"/>
            <w:u w:val="single"/>
            <w:lang/>
          </w:rPr>
          <w:t>статті 243 Митного кодексу України</w:t>
        </w:r>
      </w:hyperlink>
      <w:r w:rsidRPr="008B264B">
        <w:rPr>
          <w:rFonts w:ascii="Times New Roman" w:eastAsia="Times New Roman" w:hAnsi="Times New Roman" w:cs="Times New Roman"/>
          <w:color w:val="000000"/>
          <w:sz w:val="24"/>
          <w:szCs w:val="24"/>
          <w:lang/>
        </w:rPr>
        <w:t>), незалежно від того, чи досягає вона загальної суми операцій із постачання товарів/послуг, визначеної </w:t>
      </w:r>
      <w:hyperlink r:id="rId2804" w:anchor="n4402" w:history="1">
        <w:r w:rsidRPr="008B264B">
          <w:rPr>
            <w:rFonts w:ascii="Times New Roman" w:eastAsia="Times New Roman" w:hAnsi="Times New Roman" w:cs="Times New Roman"/>
            <w:color w:val="0000FF"/>
            <w:sz w:val="24"/>
            <w:szCs w:val="24"/>
            <w:u w:val="single"/>
            <w:lang/>
          </w:rPr>
          <w:t>пунктом 181.1</w:t>
        </w:r>
      </w:hyperlink>
      <w:r w:rsidRPr="008B264B">
        <w:rPr>
          <w:rFonts w:ascii="Times New Roman" w:eastAsia="Times New Roman" w:hAnsi="Times New Roman" w:cs="Times New Roman"/>
          <w:color w:val="000000"/>
          <w:sz w:val="24"/>
          <w:szCs w:val="24"/>
          <w:lang/>
        </w:rPr>
        <w:t> статті 181 цього Кодексу, а також незалежно від того, який режим оподаткування використовує така особа згідно із законодавством;</w:t>
      </w:r>
    </w:p>
    <w:p w14:paraId="2F9F03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89" w:name="n4393"/>
      <w:bookmarkEnd w:id="5189"/>
      <w:r w:rsidRPr="008B264B">
        <w:rPr>
          <w:rFonts w:ascii="Times New Roman" w:eastAsia="Times New Roman" w:hAnsi="Times New Roman" w:cs="Times New Roman"/>
          <w:i/>
          <w:iCs/>
          <w:color w:val="000000"/>
          <w:sz w:val="24"/>
          <w:szCs w:val="24"/>
          <w:lang/>
        </w:rPr>
        <w:t>{Підпункт 6 пункту 180.1 статті 180 із змінами, внесеними згідно із Законом </w:t>
      </w:r>
      <w:hyperlink r:id="rId2805" w:anchor="n31"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2466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0" w:name="n4394"/>
      <w:bookmarkEnd w:id="5190"/>
      <w:r w:rsidRPr="008B264B">
        <w:rPr>
          <w:rFonts w:ascii="Times New Roman" w:eastAsia="Times New Roman" w:hAnsi="Times New Roman" w:cs="Times New Roman"/>
          <w:color w:val="000000"/>
          <w:sz w:val="24"/>
          <w:szCs w:val="24"/>
          <w:lang/>
        </w:rPr>
        <w:t>7) особа, що уповноважена вносити податок з об'єктів оподаткування, що виникають внаслідок поставки послуг підприємствами залізничного транспорту з їх основної діяльності, що перебувають у підпорядкуванні платника податку в </w:t>
      </w:r>
      <w:hyperlink r:id="rId2806"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встановленому Кабінетом Міністрів України;</w:t>
      </w:r>
    </w:p>
    <w:p w14:paraId="619A72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1" w:name="n4395"/>
      <w:bookmarkEnd w:id="5191"/>
      <w:r w:rsidRPr="008B264B">
        <w:rPr>
          <w:rFonts w:ascii="Times New Roman" w:eastAsia="Times New Roman" w:hAnsi="Times New Roman" w:cs="Times New Roman"/>
          <w:color w:val="000000"/>
          <w:sz w:val="24"/>
          <w:szCs w:val="24"/>
          <w:lang/>
        </w:rPr>
        <w:t>8) особа - інвестор (оператор), який веде окремий податковий облік, пов'язаний з виконанням угоди про розподіл продукції.</w:t>
      </w:r>
    </w:p>
    <w:p w14:paraId="7D1DC3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2" w:name="n4396"/>
      <w:bookmarkEnd w:id="5192"/>
      <w:r w:rsidRPr="008B264B">
        <w:rPr>
          <w:rFonts w:ascii="Times New Roman" w:eastAsia="Times New Roman" w:hAnsi="Times New Roman" w:cs="Times New Roman"/>
          <w:i/>
          <w:iCs/>
          <w:color w:val="000000"/>
          <w:sz w:val="24"/>
          <w:szCs w:val="24"/>
          <w:lang/>
        </w:rPr>
        <w:t>{Пункт 180.1 статті 180 доповнено підпунктом 8 згідно із Законом </w:t>
      </w:r>
      <w:hyperlink r:id="rId2807" w:anchor="n86"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9ECF2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3" w:name="n4397"/>
      <w:bookmarkEnd w:id="5193"/>
      <w:r w:rsidRPr="008B264B">
        <w:rPr>
          <w:rFonts w:ascii="Times New Roman" w:eastAsia="Times New Roman" w:hAnsi="Times New Roman" w:cs="Times New Roman"/>
          <w:color w:val="000000"/>
          <w:sz w:val="24"/>
          <w:szCs w:val="24"/>
          <w:lang/>
        </w:rPr>
        <w:t>180.2. Особою, відповідальною за нарахування та сплату податку до бюджету у разі постачання послуг нерезидентами, у тому числі їх постійними представництвами, не зареєстрованими як платники податку, якщо місце постачання послуг розташоване на митній території України, є отримувач послуг.</w:t>
      </w:r>
    </w:p>
    <w:p w14:paraId="12166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4" w:name="n15293"/>
      <w:bookmarkEnd w:id="5194"/>
      <w:r w:rsidRPr="008B264B">
        <w:rPr>
          <w:rFonts w:ascii="Times New Roman" w:eastAsia="Times New Roman" w:hAnsi="Times New Roman" w:cs="Times New Roman"/>
          <w:color w:val="000000"/>
          <w:sz w:val="24"/>
          <w:szCs w:val="24"/>
          <w:lang/>
        </w:rPr>
        <w:t>180.2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Особою, відповідальною за сплату до бюджету податку, нарахованого при ввезенні товарів на митну територію України у міжнародних поштових та експрес-відправленнях, є оператор поштового зв’язку, експрес-перевізник, якщо митне оформлення товарів здійснюється таким оператором поштового зв’язку, експрес-перевізником.</w:t>
      </w:r>
    </w:p>
    <w:p w14:paraId="7FA2C8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5" w:name="n15292"/>
      <w:bookmarkEnd w:id="5195"/>
      <w:r w:rsidRPr="008B264B">
        <w:rPr>
          <w:rFonts w:ascii="Times New Roman" w:eastAsia="Times New Roman" w:hAnsi="Times New Roman" w:cs="Times New Roman"/>
          <w:i/>
          <w:iCs/>
          <w:color w:val="000000"/>
          <w:sz w:val="24"/>
          <w:szCs w:val="24"/>
          <w:lang/>
        </w:rPr>
        <w:t>{Статтю 180 доповнено пунктом 180.2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2808" w:anchor="n20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2E8A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6" w:name="n4398"/>
      <w:bookmarkEnd w:id="5196"/>
      <w:r w:rsidRPr="008B264B">
        <w:rPr>
          <w:rFonts w:ascii="Times New Roman" w:eastAsia="Times New Roman" w:hAnsi="Times New Roman" w:cs="Times New Roman"/>
          <w:color w:val="000000"/>
          <w:sz w:val="24"/>
          <w:szCs w:val="24"/>
          <w:lang/>
        </w:rPr>
        <w:t>180.3. Особи, зазначені у пунктах 180.2 і 180.2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цієї статті, мають права, виконують обов'язки та несуть відповідальність, передбачену законом, як платники податку.</w:t>
      </w:r>
    </w:p>
    <w:p w14:paraId="530CB6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7" w:name="n15294"/>
      <w:bookmarkEnd w:id="5197"/>
      <w:r w:rsidRPr="008B264B">
        <w:rPr>
          <w:rFonts w:ascii="Times New Roman" w:eastAsia="Times New Roman" w:hAnsi="Times New Roman" w:cs="Times New Roman"/>
          <w:i/>
          <w:iCs/>
          <w:color w:val="000000"/>
          <w:sz w:val="24"/>
          <w:szCs w:val="24"/>
          <w:lang/>
        </w:rPr>
        <w:t>{Пункт 180.3 статті 180 із змінами, внесеними згідно із Законом </w:t>
      </w:r>
      <w:hyperlink r:id="rId2809" w:anchor="n21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9B3A8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8" w:name="n4399"/>
      <w:bookmarkEnd w:id="5198"/>
      <w:r w:rsidRPr="008B264B">
        <w:rPr>
          <w:rFonts w:ascii="Times New Roman" w:eastAsia="Times New Roman" w:hAnsi="Times New Roman" w:cs="Times New Roman"/>
          <w:color w:val="000000"/>
          <w:sz w:val="24"/>
          <w:szCs w:val="24"/>
          <w:lang/>
        </w:rPr>
        <w:lastRenderedPageBreak/>
        <w:t>180.4. Положення цієї статті не поширюються на осіб - нерезидентів, які надають послуги з підготовки до зняття і зняття енергоблоків Чорнобильської АЕС з експлуатації та перетворення об'єкта "Укриття" на екологічно безпечну систему, фінансування яких здійснюється за рахунок коштів міжнародної технічної допомоги, що надається на безоплатній та безповоротній основі, відповідно до положень </w:t>
      </w:r>
      <w:hyperlink r:id="rId2810" w:tgtFrame="_blank" w:history="1">
        <w:r w:rsidRPr="008B264B">
          <w:rPr>
            <w:rFonts w:ascii="Times New Roman" w:eastAsia="Times New Roman" w:hAnsi="Times New Roman" w:cs="Times New Roman"/>
            <w:color w:val="0000FF"/>
            <w:sz w:val="24"/>
            <w:szCs w:val="24"/>
            <w:u w:val="single"/>
            <w:lang/>
          </w:rPr>
          <w:t>Рамкової угоди між Україною та Європейським банком реконструкції та розвитку стосовно діяльності Чорнобильського фонду "Укриття" в Україні</w:t>
        </w:r>
      </w:hyperlink>
      <w:r w:rsidRPr="008B264B">
        <w:rPr>
          <w:rFonts w:ascii="Times New Roman" w:eastAsia="Times New Roman" w:hAnsi="Times New Roman" w:cs="Times New Roman"/>
          <w:color w:val="000000"/>
          <w:sz w:val="24"/>
          <w:szCs w:val="24"/>
          <w:lang/>
        </w:rPr>
        <w:t> та </w:t>
      </w:r>
      <w:hyperlink r:id="rId2811" w:tgtFrame="_blank" w:history="1">
        <w:r w:rsidRPr="008B264B">
          <w:rPr>
            <w:rFonts w:ascii="Times New Roman" w:eastAsia="Times New Roman" w:hAnsi="Times New Roman" w:cs="Times New Roman"/>
            <w:color w:val="0000FF"/>
            <w:sz w:val="24"/>
            <w:szCs w:val="24"/>
            <w:u w:val="single"/>
            <w:lang/>
          </w:rPr>
          <w:t>Угоди про грант (Проекту ядерної безпеки Чорнобильської АЕС) між Європейським банком реконструкції та розвитку як Розпорядником коштів, наданих згідно з Грантом з Рахунка ядерної безпеки, Урядом України та Чорнобильською атомною електростанцією</w:t>
        </w:r>
      </w:hyperlink>
      <w:r w:rsidRPr="008B264B">
        <w:rPr>
          <w:rFonts w:ascii="Times New Roman" w:eastAsia="Times New Roman" w:hAnsi="Times New Roman" w:cs="Times New Roman"/>
          <w:color w:val="000000"/>
          <w:sz w:val="24"/>
          <w:szCs w:val="24"/>
          <w:lang/>
        </w:rPr>
        <w:t>.</w:t>
      </w:r>
    </w:p>
    <w:p w14:paraId="6C50CC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199" w:name="n4400"/>
      <w:bookmarkEnd w:id="5199"/>
      <w:r w:rsidRPr="008B264B">
        <w:rPr>
          <w:rFonts w:ascii="Times New Roman" w:eastAsia="Times New Roman" w:hAnsi="Times New Roman" w:cs="Times New Roman"/>
          <w:i/>
          <w:iCs/>
          <w:color w:val="000000"/>
          <w:sz w:val="24"/>
          <w:szCs w:val="24"/>
          <w:lang/>
        </w:rPr>
        <w:t>{Статтю 180 доповнено пунктом 180.4 згідно із Законом </w:t>
      </w:r>
      <w:hyperlink r:id="rId281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2C58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0" w:name="n4401"/>
      <w:bookmarkEnd w:id="5200"/>
      <w:r w:rsidRPr="008B264B">
        <w:rPr>
          <w:rFonts w:ascii="Times New Roman" w:eastAsia="Times New Roman" w:hAnsi="Times New Roman" w:cs="Times New Roman"/>
          <w:b/>
          <w:bCs/>
          <w:color w:val="000000"/>
          <w:sz w:val="24"/>
          <w:szCs w:val="24"/>
          <w:lang/>
        </w:rPr>
        <w:t>Стаття 181.</w:t>
      </w:r>
      <w:r w:rsidRPr="008B264B">
        <w:rPr>
          <w:rFonts w:ascii="Times New Roman" w:eastAsia="Times New Roman" w:hAnsi="Times New Roman" w:cs="Times New Roman"/>
          <w:color w:val="000000"/>
          <w:sz w:val="24"/>
          <w:szCs w:val="24"/>
          <w:lang/>
        </w:rPr>
        <w:t> Вимоги щодо реєстрації осіб як платників податку</w:t>
      </w:r>
    </w:p>
    <w:p w14:paraId="1FDCE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1" w:name="n4402"/>
      <w:bookmarkEnd w:id="5201"/>
      <w:r w:rsidRPr="008B264B">
        <w:rPr>
          <w:rFonts w:ascii="Times New Roman" w:eastAsia="Times New Roman" w:hAnsi="Times New Roman" w:cs="Times New Roman"/>
          <w:color w:val="000000"/>
          <w:sz w:val="24"/>
          <w:szCs w:val="24"/>
          <w:lang/>
        </w:rPr>
        <w:t>181.1. У разі якщо загальна сума від здійснення операцій з постачання товарів/послуг, що підлягають оподаткуванню згідно з цим розділом, у тому числі з використанням локальної або глобальної комп'ютерної мережі, нарахована (сплачена) такій особі протягом останніх 12 календарних місяців, сукупно перевищує 1000000 гривень (без урахування податку на додану вартість), така особа зобов'язана зареєструватися як платник податку у контролюючому органі за своїм місцезнаходженням (місцем проживання) з дотриманням вимог, передбачених статтею 183 цього Кодексу, крім особи, яка є платником єдиного податку першої - третьої групи.</w:t>
      </w:r>
    </w:p>
    <w:p w14:paraId="794C0F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2" w:name="n10073"/>
      <w:bookmarkEnd w:id="5202"/>
      <w:r w:rsidRPr="008B264B">
        <w:rPr>
          <w:rFonts w:ascii="Times New Roman" w:eastAsia="Times New Roman" w:hAnsi="Times New Roman" w:cs="Times New Roman"/>
          <w:i/>
          <w:iCs/>
          <w:color w:val="000000"/>
          <w:sz w:val="24"/>
          <w:szCs w:val="24"/>
          <w:lang/>
        </w:rPr>
        <w:t>{Пункт 181.1 статті 181 із змінами, внесеними згідно із Законом </w:t>
      </w:r>
      <w:hyperlink r:id="rId2813" w:anchor="n17"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2814"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пункт 181.1 статті 181 із змінами, внесеними згідно із Законом </w:t>
      </w:r>
      <w:hyperlink r:id="rId2815" w:anchor="n6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603D4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3" w:name="n4403"/>
      <w:bookmarkEnd w:id="5203"/>
      <w:r w:rsidRPr="008B264B">
        <w:rPr>
          <w:rFonts w:ascii="Times New Roman" w:eastAsia="Times New Roman" w:hAnsi="Times New Roman" w:cs="Times New Roman"/>
          <w:color w:val="000000"/>
          <w:sz w:val="24"/>
          <w:szCs w:val="24"/>
          <w:lang/>
        </w:rPr>
        <w:t>181.2. Якщо особи, не зареєстровані як платники податку, ввозять товари на митну територію України в обсягах, що підлягають оподаткуванню згідно із законом, такі особи сплачують податок під час митного оформлення товарів без реєстрації як платники такого податку.</w:t>
      </w:r>
    </w:p>
    <w:p w14:paraId="0C0841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4" w:name="n4404"/>
      <w:bookmarkEnd w:id="5204"/>
      <w:r w:rsidRPr="008B264B">
        <w:rPr>
          <w:rFonts w:ascii="Times New Roman" w:eastAsia="Times New Roman" w:hAnsi="Times New Roman" w:cs="Times New Roman"/>
          <w:b/>
          <w:bCs/>
          <w:color w:val="000000"/>
          <w:sz w:val="24"/>
          <w:szCs w:val="24"/>
          <w:lang/>
        </w:rPr>
        <w:t>Стаття 182.</w:t>
      </w:r>
      <w:r w:rsidRPr="008B264B">
        <w:rPr>
          <w:rFonts w:ascii="Times New Roman" w:eastAsia="Times New Roman" w:hAnsi="Times New Roman" w:cs="Times New Roman"/>
          <w:color w:val="000000"/>
          <w:sz w:val="24"/>
          <w:szCs w:val="24"/>
          <w:lang/>
        </w:rPr>
        <w:t> Добровільна реєстрація платників податку</w:t>
      </w:r>
    </w:p>
    <w:p w14:paraId="33B825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5" w:name="n4405"/>
      <w:bookmarkEnd w:id="5205"/>
      <w:r w:rsidRPr="008B264B">
        <w:rPr>
          <w:rFonts w:ascii="Times New Roman" w:eastAsia="Times New Roman" w:hAnsi="Times New Roman" w:cs="Times New Roman"/>
          <w:color w:val="000000"/>
          <w:sz w:val="24"/>
          <w:szCs w:val="24"/>
          <w:lang/>
        </w:rPr>
        <w:t>182.1. Якщо особа, яка відповідно до </w:t>
      </w:r>
      <w:hyperlink r:id="rId2816" w:anchor="n4402" w:history="1">
        <w:r w:rsidRPr="008B264B">
          <w:rPr>
            <w:rFonts w:ascii="Times New Roman" w:eastAsia="Times New Roman" w:hAnsi="Times New Roman" w:cs="Times New Roman"/>
            <w:color w:val="0000FF"/>
            <w:sz w:val="24"/>
            <w:szCs w:val="24"/>
            <w:u w:val="single"/>
            <w:lang/>
          </w:rPr>
          <w:t>пункту 181.1 </w:t>
        </w:r>
      </w:hyperlink>
      <w:r w:rsidRPr="008B264B">
        <w:rPr>
          <w:rFonts w:ascii="Times New Roman" w:eastAsia="Times New Roman" w:hAnsi="Times New Roman" w:cs="Times New Roman"/>
          <w:color w:val="000000"/>
          <w:sz w:val="24"/>
          <w:szCs w:val="24"/>
          <w:lang/>
        </w:rPr>
        <w:t>статті 181 цього Кодексу не є платником податку у зв'язку з тим, що обсяги оподатковуваних операцій відсутні або є меншими від встановленої зазначеною статтею суми, вважає за доцільне добровільно зареєструватися як платник податку, така реєстрація здійснюється за її заявою.</w:t>
      </w:r>
    </w:p>
    <w:p w14:paraId="3A9498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6" w:name="n4406"/>
      <w:bookmarkEnd w:id="5206"/>
      <w:r w:rsidRPr="008B264B">
        <w:rPr>
          <w:rFonts w:ascii="Times New Roman" w:eastAsia="Times New Roman" w:hAnsi="Times New Roman" w:cs="Times New Roman"/>
          <w:i/>
          <w:iCs/>
          <w:color w:val="000000"/>
          <w:sz w:val="24"/>
          <w:szCs w:val="24"/>
          <w:lang/>
        </w:rPr>
        <w:t>{Абзац перший пункту 182.1 статті 182 із змінами, внесеними згідно із Законом </w:t>
      </w:r>
      <w:hyperlink r:id="rId2817" w:anchor="n23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1A263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7" w:name="n4407"/>
      <w:bookmarkEnd w:id="5207"/>
      <w:r w:rsidRPr="008B264B">
        <w:rPr>
          <w:rFonts w:ascii="Times New Roman" w:eastAsia="Times New Roman" w:hAnsi="Times New Roman" w:cs="Times New Roman"/>
          <w:i/>
          <w:iCs/>
          <w:color w:val="000000"/>
          <w:sz w:val="24"/>
          <w:szCs w:val="24"/>
          <w:lang/>
        </w:rPr>
        <w:t>{Абзац другий пункту 182.1 статті 182 виключено на підставі Закону </w:t>
      </w:r>
      <w:hyperlink r:id="rId2818" w:anchor="n23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DCAA7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8" w:name="n4408"/>
      <w:bookmarkEnd w:id="5208"/>
      <w:r w:rsidRPr="008B264B">
        <w:rPr>
          <w:rFonts w:ascii="Times New Roman" w:eastAsia="Times New Roman" w:hAnsi="Times New Roman" w:cs="Times New Roman"/>
          <w:i/>
          <w:iCs/>
          <w:color w:val="000000"/>
          <w:sz w:val="24"/>
          <w:szCs w:val="24"/>
          <w:lang/>
        </w:rPr>
        <w:t>{Пункт 182.1 статті 182 із змінами, внесеними згідно із Законами </w:t>
      </w:r>
      <w:hyperlink r:id="rId281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820" w:anchor="n7"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628997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09" w:name="n4409"/>
      <w:bookmarkEnd w:id="5209"/>
      <w:r w:rsidRPr="008B264B">
        <w:rPr>
          <w:rFonts w:ascii="Times New Roman" w:eastAsia="Times New Roman" w:hAnsi="Times New Roman" w:cs="Times New Roman"/>
          <w:b/>
          <w:bCs/>
          <w:color w:val="000000"/>
          <w:sz w:val="24"/>
          <w:szCs w:val="24"/>
          <w:lang/>
        </w:rPr>
        <w:t>Стаття 183.</w:t>
      </w:r>
      <w:r w:rsidRPr="008B264B">
        <w:rPr>
          <w:rFonts w:ascii="Times New Roman" w:eastAsia="Times New Roman" w:hAnsi="Times New Roman" w:cs="Times New Roman"/>
          <w:color w:val="000000"/>
          <w:sz w:val="24"/>
          <w:szCs w:val="24"/>
          <w:lang/>
        </w:rPr>
        <w:t> </w:t>
      </w:r>
      <w:hyperlink r:id="rId2821" w:anchor="n20"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реєстрації платників податку</w:t>
      </w:r>
    </w:p>
    <w:p w14:paraId="537759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0" w:name="n4410"/>
      <w:bookmarkEnd w:id="5210"/>
      <w:r w:rsidRPr="008B264B">
        <w:rPr>
          <w:rFonts w:ascii="Times New Roman" w:eastAsia="Times New Roman" w:hAnsi="Times New Roman" w:cs="Times New Roman"/>
          <w:color w:val="000000"/>
          <w:sz w:val="24"/>
          <w:szCs w:val="24"/>
          <w:lang/>
        </w:rPr>
        <w:t>183.1. Будь-яка особа, що підлягає обов'язковій реєстрації як платник податку, подає до контролюючого органу за своїм місцезнаходженням (місцем проживання) </w:t>
      </w:r>
      <w:hyperlink r:id="rId2822" w:anchor="n414" w:tgtFrame="_blank" w:history="1">
        <w:r w:rsidRPr="008B264B">
          <w:rPr>
            <w:rFonts w:ascii="Times New Roman" w:eastAsia="Times New Roman" w:hAnsi="Times New Roman" w:cs="Times New Roman"/>
            <w:color w:val="0000FF"/>
            <w:sz w:val="24"/>
            <w:szCs w:val="24"/>
            <w:u w:val="single"/>
            <w:lang/>
          </w:rPr>
          <w:t>реєстраційну заяву</w:t>
        </w:r>
      </w:hyperlink>
      <w:r w:rsidRPr="008B264B">
        <w:rPr>
          <w:rFonts w:ascii="Times New Roman" w:eastAsia="Times New Roman" w:hAnsi="Times New Roman" w:cs="Times New Roman"/>
          <w:color w:val="000000"/>
          <w:sz w:val="24"/>
          <w:szCs w:val="24"/>
          <w:lang/>
        </w:rPr>
        <w:t>.</w:t>
      </w:r>
    </w:p>
    <w:p w14:paraId="24A5EA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1" w:name="n9392"/>
      <w:bookmarkEnd w:id="5211"/>
      <w:r w:rsidRPr="008B264B">
        <w:rPr>
          <w:rFonts w:ascii="Times New Roman" w:eastAsia="Times New Roman" w:hAnsi="Times New Roman" w:cs="Times New Roman"/>
          <w:i/>
          <w:iCs/>
          <w:color w:val="000000"/>
          <w:sz w:val="24"/>
          <w:szCs w:val="24"/>
          <w:lang/>
        </w:rPr>
        <w:t>{Пункт 183.1 статті 183 із змінами, внесеними згідно із Законом </w:t>
      </w:r>
      <w:hyperlink r:id="rId2823" w:anchor="n9"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0C2886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2" w:name="n4411"/>
      <w:bookmarkEnd w:id="5212"/>
      <w:r w:rsidRPr="008B264B">
        <w:rPr>
          <w:rFonts w:ascii="Times New Roman" w:eastAsia="Times New Roman" w:hAnsi="Times New Roman" w:cs="Times New Roman"/>
          <w:color w:val="000000"/>
          <w:sz w:val="24"/>
          <w:szCs w:val="24"/>
          <w:lang/>
        </w:rPr>
        <w:t>183.2. У разі обов'язкової реєстрації особи як платника податку реєстраційна заява подається до контролюючого органу не пізніше 10 числа календарного місяця, що настає за місяцем, в якому вперше досягнуто обсягу оподатковуваних операцій, визначеного у </w:t>
      </w:r>
      <w:hyperlink r:id="rId2824" w:anchor="n4401" w:history="1">
        <w:r w:rsidRPr="008B264B">
          <w:rPr>
            <w:rFonts w:ascii="Times New Roman" w:eastAsia="Times New Roman" w:hAnsi="Times New Roman" w:cs="Times New Roman"/>
            <w:color w:val="0000FF"/>
            <w:sz w:val="24"/>
            <w:szCs w:val="24"/>
            <w:u w:val="single"/>
            <w:lang/>
          </w:rPr>
          <w:t>статті 181</w:t>
        </w:r>
      </w:hyperlink>
      <w:r w:rsidRPr="008B264B">
        <w:rPr>
          <w:rFonts w:ascii="Times New Roman" w:eastAsia="Times New Roman" w:hAnsi="Times New Roman" w:cs="Times New Roman"/>
          <w:color w:val="000000"/>
          <w:sz w:val="24"/>
          <w:szCs w:val="24"/>
          <w:lang/>
        </w:rPr>
        <w:t> цього Кодексу.</w:t>
      </w:r>
    </w:p>
    <w:p w14:paraId="09C08B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3" w:name="n4412"/>
      <w:bookmarkEnd w:id="5213"/>
      <w:r w:rsidRPr="008B264B">
        <w:rPr>
          <w:rFonts w:ascii="Times New Roman" w:eastAsia="Times New Roman" w:hAnsi="Times New Roman" w:cs="Times New Roman"/>
          <w:color w:val="000000"/>
          <w:sz w:val="24"/>
          <w:szCs w:val="24"/>
          <w:lang/>
        </w:rPr>
        <w:t>183.3. У разі добровільної реєстрації особи як платника податку або особи, яка відповідає вимогам, визначеним </w:t>
      </w:r>
      <w:hyperlink r:id="rId2825" w:anchor="n4392" w:history="1">
        <w:r w:rsidRPr="008B264B">
          <w:rPr>
            <w:rFonts w:ascii="Times New Roman" w:eastAsia="Times New Roman" w:hAnsi="Times New Roman" w:cs="Times New Roman"/>
            <w:color w:val="0000FF"/>
            <w:sz w:val="24"/>
            <w:szCs w:val="24"/>
            <w:u w:val="single"/>
            <w:lang/>
          </w:rPr>
          <w:t>підпунктом 6 пункту 180.1</w:t>
        </w:r>
      </w:hyperlink>
      <w:r w:rsidRPr="008B264B">
        <w:rPr>
          <w:rFonts w:ascii="Times New Roman" w:eastAsia="Times New Roman" w:hAnsi="Times New Roman" w:cs="Times New Roman"/>
          <w:color w:val="000000"/>
          <w:sz w:val="24"/>
          <w:szCs w:val="24"/>
          <w:lang/>
        </w:rPr>
        <w:t> статті 180 цього Кодексу, реєстраційна заява подається згідно з </w:t>
      </w:r>
      <w:hyperlink r:id="rId2826" w:anchor="n4424" w:history="1">
        <w:r w:rsidRPr="008B264B">
          <w:rPr>
            <w:rFonts w:ascii="Times New Roman" w:eastAsia="Times New Roman" w:hAnsi="Times New Roman" w:cs="Times New Roman"/>
            <w:color w:val="0000FF"/>
            <w:sz w:val="24"/>
            <w:szCs w:val="24"/>
            <w:u w:val="single"/>
            <w:lang/>
          </w:rPr>
          <w:t>пунктом 183.7</w:t>
        </w:r>
      </w:hyperlink>
      <w:r w:rsidRPr="008B264B">
        <w:rPr>
          <w:rFonts w:ascii="Times New Roman" w:eastAsia="Times New Roman" w:hAnsi="Times New Roman" w:cs="Times New Roman"/>
          <w:color w:val="000000"/>
          <w:sz w:val="24"/>
          <w:szCs w:val="24"/>
          <w:lang/>
        </w:rPr>
        <w:t xml:space="preserve"> цієї статті не пізніше ніж за 20 календарних днів до початку </w:t>
      </w:r>
      <w:r w:rsidRPr="008B264B">
        <w:rPr>
          <w:rFonts w:ascii="Times New Roman" w:eastAsia="Times New Roman" w:hAnsi="Times New Roman" w:cs="Times New Roman"/>
          <w:color w:val="000000"/>
          <w:sz w:val="24"/>
          <w:szCs w:val="24"/>
          <w:lang/>
        </w:rPr>
        <w:lastRenderedPageBreak/>
        <w:t>податкового періоду, з якого такі особи вважатимуться платниками податку та матимуть право на податковий кредит і складання податкових накладних.</w:t>
      </w:r>
    </w:p>
    <w:p w14:paraId="3ABB3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4" w:name="n4413"/>
      <w:bookmarkEnd w:id="5214"/>
      <w:r w:rsidRPr="008B264B">
        <w:rPr>
          <w:rFonts w:ascii="Times New Roman" w:eastAsia="Times New Roman" w:hAnsi="Times New Roman" w:cs="Times New Roman"/>
          <w:i/>
          <w:iCs/>
          <w:color w:val="000000"/>
          <w:sz w:val="24"/>
          <w:szCs w:val="24"/>
          <w:lang/>
        </w:rPr>
        <w:t>{Пункт 183.3 статті 183 із змінами, внесеними згідно із Законами </w:t>
      </w:r>
      <w:hyperlink r:id="rId282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828" w:anchor="n10"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 </w:t>
      </w:r>
      <w:hyperlink r:id="rId2829" w:anchor="n10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E654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5" w:name="n4414"/>
      <w:bookmarkEnd w:id="5215"/>
      <w:r w:rsidRPr="008B264B">
        <w:rPr>
          <w:rFonts w:ascii="Times New Roman" w:eastAsia="Times New Roman" w:hAnsi="Times New Roman" w:cs="Times New Roman"/>
          <w:color w:val="000000"/>
          <w:sz w:val="24"/>
          <w:szCs w:val="24"/>
          <w:lang/>
        </w:rPr>
        <w:t>183.4. У разі переходу осіб із спрощеної системи оподаткування, що не передбачає сплати податку, на сплату інших податків і зборів, встановлених цим Кодексом, у випадках, визначених </w:t>
      </w:r>
      <w:hyperlink r:id="rId2830" w:anchor="n6944" w:history="1">
        <w:r w:rsidRPr="008B264B">
          <w:rPr>
            <w:rFonts w:ascii="Times New Roman" w:eastAsia="Times New Roman" w:hAnsi="Times New Roman" w:cs="Times New Roman"/>
            <w:color w:val="0000FF"/>
            <w:sz w:val="24"/>
            <w:szCs w:val="24"/>
            <w:u w:val="single"/>
            <w:lang/>
          </w:rPr>
          <w:t>главою 1 розділу XIV</w:t>
        </w:r>
      </w:hyperlink>
      <w:r w:rsidRPr="008B264B">
        <w:rPr>
          <w:rFonts w:ascii="Times New Roman" w:eastAsia="Times New Roman" w:hAnsi="Times New Roman" w:cs="Times New Roman"/>
          <w:color w:val="000000"/>
          <w:sz w:val="24"/>
          <w:szCs w:val="24"/>
          <w:lang/>
        </w:rPr>
        <w:t> цього Кодексу, за умови, що такі особи відповідають вимогам, визначеним </w:t>
      </w:r>
      <w:hyperlink r:id="rId2831" w:anchor="n4402" w:history="1">
        <w:r w:rsidRPr="008B264B">
          <w:rPr>
            <w:rFonts w:ascii="Times New Roman" w:eastAsia="Times New Roman" w:hAnsi="Times New Roman" w:cs="Times New Roman"/>
            <w:color w:val="0000FF"/>
            <w:sz w:val="24"/>
            <w:szCs w:val="24"/>
            <w:u w:val="single"/>
            <w:lang/>
          </w:rPr>
          <w:t>пунктом 181.1 </w:t>
        </w:r>
      </w:hyperlink>
      <w:r w:rsidRPr="008B264B">
        <w:rPr>
          <w:rFonts w:ascii="Times New Roman" w:eastAsia="Times New Roman" w:hAnsi="Times New Roman" w:cs="Times New Roman"/>
          <w:color w:val="000000"/>
          <w:sz w:val="24"/>
          <w:szCs w:val="24"/>
          <w:lang/>
        </w:rPr>
        <w:t>статті 181 цього Кодексу, реєстраційна заява подається не пізніше 10 числа першого календарного місяця, в якому здійснено перехід на сплату інших податків і зборів, встановлених цим Кодексом. Якщо такі особи відповідають вимогам, визначеним </w:t>
      </w:r>
      <w:hyperlink r:id="rId2832" w:anchor="n4405" w:history="1">
        <w:r w:rsidRPr="008B264B">
          <w:rPr>
            <w:rFonts w:ascii="Times New Roman" w:eastAsia="Times New Roman" w:hAnsi="Times New Roman" w:cs="Times New Roman"/>
            <w:color w:val="0000FF"/>
            <w:sz w:val="24"/>
            <w:szCs w:val="24"/>
            <w:u w:val="single"/>
            <w:lang/>
          </w:rPr>
          <w:t>пунктом 182.1</w:t>
        </w:r>
      </w:hyperlink>
      <w:r w:rsidRPr="008B264B">
        <w:rPr>
          <w:rFonts w:ascii="Times New Roman" w:eastAsia="Times New Roman" w:hAnsi="Times New Roman" w:cs="Times New Roman"/>
          <w:color w:val="000000"/>
          <w:sz w:val="24"/>
          <w:szCs w:val="24"/>
          <w:lang/>
        </w:rPr>
        <w:t> статті 182 цього Кодексу, реєстраційна заява подається у строк, визначений </w:t>
      </w:r>
      <w:hyperlink r:id="rId2833" w:anchor="n4412" w:history="1">
        <w:r w:rsidRPr="008B264B">
          <w:rPr>
            <w:rFonts w:ascii="Times New Roman" w:eastAsia="Times New Roman" w:hAnsi="Times New Roman" w:cs="Times New Roman"/>
            <w:color w:val="0000FF"/>
            <w:sz w:val="24"/>
            <w:szCs w:val="24"/>
            <w:u w:val="single"/>
            <w:lang/>
          </w:rPr>
          <w:t>пунктом 183.3</w:t>
        </w:r>
      </w:hyperlink>
      <w:r w:rsidRPr="008B264B">
        <w:rPr>
          <w:rFonts w:ascii="Times New Roman" w:eastAsia="Times New Roman" w:hAnsi="Times New Roman" w:cs="Times New Roman"/>
          <w:color w:val="000000"/>
          <w:sz w:val="24"/>
          <w:szCs w:val="24"/>
          <w:lang/>
        </w:rPr>
        <w:t> цієї статті.</w:t>
      </w:r>
    </w:p>
    <w:p w14:paraId="0E38F2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6" w:name="n4415"/>
      <w:bookmarkEnd w:id="5216"/>
      <w:r w:rsidRPr="008B264B">
        <w:rPr>
          <w:rFonts w:ascii="Times New Roman" w:eastAsia="Times New Roman" w:hAnsi="Times New Roman" w:cs="Times New Roman"/>
          <w:color w:val="000000"/>
          <w:sz w:val="24"/>
          <w:szCs w:val="24"/>
          <w:lang/>
        </w:rPr>
        <w:t>У разі зміни ставки єдиного податку відповідно до </w:t>
      </w:r>
      <w:hyperlink r:id="rId2834" w:anchor="n7127" w:history="1">
        <w:r w:rsidRPr="008B264B">
          <w:rPr>
            <w:rFonts w:ascii="Times New Roman" w:eastAsia="Times New Roman" w:hAnsi="Times New Roman" w:cs="Times New Roman"/>
            <w:color w:val="0000FF"/>
            <w:sz w:val="24"/>
            <w:szCs w:val="24"/>
            <w:u w:val="single"/>
            <w:lang/>
          </w:rPr>
          <w:t>підпункту "б" підпункту 4 пункту 293.8</w:t>
        </w:r>
      </w:hyperlink>
      <w:r w:rsidRPr="008B264B">
        <w:rPr>
          <w:rFonts w:ascii="Times New Roman" w:eastAsia="Times New Roman" w:hAnsi="Times New Roman" w:cs="Times New Roman"/>
          <w:color w:val="000000"/>
          <w:sz w:val="24"/>
          <w:szCs w:val="24"/>
          <w:lang/>
        </w:rPr>
        <w:t> статті 293 цього Кодексу реєстраційна заява подається не пізніше ніж за 15 календарних днів до початку календарного кварталу, в якому буде застосовуватися ставка єдиного податку, що передбачає сплату податку на додану вартість.</w:t>
      </w:r>
    </w:p>
    <w:p w14:paraId="39CC7C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7" w:name="n4416"/>
      <w:bookmarkEnd w:id="5217"/>
      <w:r w:rsidRPr="008B264B">
        <w:rPr>
          <w:rFonts w:ascii="Times New Roman" w:eastAsia="Times New Roman" w:hAnsi="Times New Roman" w:cs="Times New Roman"/>
          <w:i/>
          <w:iCs/>
          <w:color w:val="000000"/>
          <w:sz w:val="24"/>
          <w:szCs w:val="24"/>
          <w:lang/>
        </w:rPr>
        <w:t>{Абзац другий пункту 183.4 статті 183 в редакції Закону </w:t>
      </w:r>
      <w:hyperlink r:id="rId2835" w:anchor="n24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36" w:anchor="n19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4CF99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8" w:name="n4417"/>
      <w:bookmarkEnd w:id="5218"/>
      <w:r w:rsidRPr="008B264B">
        <w:rPr>
          <w:rFonts w:ascii="Times New Roman" w:eastAsia="Times New Roman" w:hAnsi="Times New Roman" w:cs="Times New Roman"/>
          <w:i/>
          <w:iCs/>
          <w:color w:val="000000"/>
          <w:sz w:val="24"/>
          <w:szCs w:val="24"/>
          <w:lang/>
        </w:rPr>
        <w:t>{Пункт 183.4 статті 183 в редакції Законів </w:t>
      </w:r>
      <w:hyperlink r:id="rId283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838"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3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5B352D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19" w:name="n4418"/>
      <w:bookmarkEnd w:id="5219"/>
      <w:r w:rsidRPr="008B264B">
        <w:rPr>
          <w:rFonts w:ascii="Times New Roman" w:eastAsia="Times New Roman" w:hAnsi="Times New Roman" w:cs="Times New Roman"/>
          <w:color w:val="000000"/>
          <w:sz w:val="24"/>
          <w:szCs w:val="24"/>
          <w:lang/>
        </w:rPr>
        <w:t>183.5. Особи, зазначені у </w:t>
      </w:r>
      <w:hyperlink r:id="rId2840" w:anchor="n4412" w:history="1">
        <w:r w:rsidRPr="008B264B">
          <w:rPr>
            <w:rFonts w:ascii="Times New Roman" w:eastAsia="Times New Roman" w:hAnsi="Times New Roman" w:cs="Times New Roman"/>
            <w:color w:val="0000FF"/>
            <w:sz w:val="24"/>
            <w:szCs w:val="24"/>
            <w:u w:val="single"/>
            <w:lang/>
          </w:rPr>
          <w:t>пункті 183.3</w:t>
        </w:r>
      </w:hyperlink>
      <w:r w:rsidRPr="008B264B">
        <w:rPr>
          <w:rFonts w:ascii="Times New Roman" w:eastAsia="Times New Roman" w:hAnsi="Times New Roman" w:cs="Times New Roman"/>
          <w:color w:val="000000"/>
          <w:sz w:val="24"/>
          <w:szCs w:val="24"/>
          <w:lang/>
        </w:rPr>
        <w:t> цієї статті, можуть навести у заяві бажаний (запланований) день реєстрації як платника податку, що відповідає даті початку податкового періоду (календарний місяць), з якого такі особи вважатимуться платниками податку та матимуть право на складання податкових накладних.</w:t>
      </w:r>
    </w:p>
    <w:p w14:paraId="2225C1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0" w:name="n4419"/>
      <w:bookmarkEnd w:id="5220"/>
      <w:r w:rsidRPr="008B264B">
        <w:rPr>
          <w:rFonts w:ascii="Times New Roman" w:eastAsia="Times New Roman" w:hAnsi="Times New Roman" w:cs="Times New Roman"/>
          <w:i/>
          <w:iCs/>
          <w:color w:val="000000"/>
          <w:sz w:val="24"/>
          <w:szCs w:val="24"/>
          <w:lang/>
        </w:rPr>
        <w:t>{Абзац перший пункту 183.5 статті 183 із змінами, внесеними згідно із Законом </w:t>
      </w:r>
      <w:hyperlink r:id="rId2841" w:anchor="n24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D801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1" w:name="n4420"/>
      <w:bookmarkEnd w:id="5221"/>
      <w:r w:rsidRPr="008B264B">
        <w:rPr>
          <w:rFonts w:ascii="Times New Roman" w:eastAsia="Times New Roman" w:hAnsi="Times New Roman" w:cs="Times New Roman"/>
          <w:color w:val="000000"/>
          <w:sz w:val="24"/>
          <w:szCs w:val="24"/>
          <w:lang/>
        </w:rPr>
        <w:t>Реєстрація осіб, зазначених в </w:t>
      </w:r>
      <w:hyperlink r:id="rId2842" w:anchor="n4415" w:history="1">
        <w:r w:rsidRPr="008B264B">
          <w:rPr>
            <w:rFonts w:ascii="Times New Roman" w:eastAsia="Times New Roman" w:hAnsi="Times New Roman" w:cs="Times New Roman"/>
            <w:color w:val="0000FF"/>
            <w:sz w:val="24"/>
            <w:szCs w:val="24"/>
            <w:u w:val="single"/>
            <w:lang/>
          </w:rPr>
          <w:t>абзаці другому </w:t>
        </w:r>
      </w:hyperlink>
      <w:hyperlink r:id="rId2843" w:anchor="n4415" w:history="1">
        <w:r w:rsidRPr="008B264B">
          <w:rPr>
            <w:rFonts w:ascii="Times New Roman" w:eastAsia="Times New Roman" w:hAnsi="Times New Roman" w:cs="Times New Roman"/>
            <w:color w:val="0000FF"/>
            <w:sz w:val="24"/>
            <w:szCs w:val="24"/>
            <w:u w:val="single"/>
            <w:lang/>
          </w:rPr>
          <w:t>пункту 183.4</w:t>
        </w:r>
      </w:hyperlink>
      <w:r w:rsidRPr="008B264B">
        <w:rPr>
          <w:rFonts w:ascii="Times New Roman" w:eastAsia="Times New Roman" w:hAnsi="Times New Roman" w:cs="Times New Roman"/>
          <w:color w:val="000000"/>
          <w:sz w:val="24"/>
          <w:szCs w:val="24"/>
          <w:lang/>
        </w:rPr>
        <w:t> цієї статті, діє з першого числа календарного кварталу, в якому буде застосовуватися ставка єдиного податку, що передбачає сплату податку на додану вартість.</w:t>
      </w:r>
    </w:p>
    <w:p w14:paraId="5600D7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2" w:name="n4421"/>
      <w:bookmarkEnd w:id="5222"/>
      <w:r w:rsidRPr="008B264B">
        <w:rPr>
          <w:rFonts w:ascii="Times New Roman" w:eastAsia="Times New Roman" w:hAnsi="Times New Roman" w:cs="Times New Roman"/>
          <w:i/>
          <w:iCs/>
          <w:color w:val="000000"/>
          <w:sz w:val="24"/>
          <w:szCs w:val="24"/>
          <w:lang/>
        </w:rPr>
        <w:t>{Абзац другий пункту 183.5 статті 183 в редакції Закону </w:t>
      </w:r>
      <w:hyperlink r:id="rId2844" w:anchor="n24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45" w:anchor="n19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953DB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3" w:name="n4422"/>
      <w:bookmarkEnd w:id="5223"/>
      <w:r w:rsidRPr="008B264B">
        <w:rPr>
          <w:rFonts w:ascii="Times New Roman" w:eastAsia="Times New Roman" w:hAnsi="Times New Roman" w:cs="Times New Roman"/>
          <w:i/>
          <w:iCs/>
          <w:color w:val="000000"/>
          <w:sz w:val="24"/>
          <w:szCs w:val="24"/>
          <w:lang/>
        </w:rPr>
        <w:t>{Пункт 183.5 статті 183 в редакції Закону </w:t>
      </w:r>
      <w:hyperlink r:id="rId284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284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2848" w:anchor="n10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1135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4" w:name="n4423"/>
      <w:bookmarkEnd w:id="5224"/>
      <w:r w:rsidRPr="008B264B">
        <w:rPr>
          <w:rFonts w:ascii="Times New Roman" w:eastAsia="Times New Roman" w:hAnsi="Times New Roman" w:cs="Times New Roman"/>
          <w:color w:val="000000"/>
          <w:sz w:val="24"/>
          <w:szCs w:val="24"/>
          <w:lang/>
        </w:rPr>
        <w:t>183.6. У разі якщо останній день строку подання заяви припадає на вихідний, святковий або неробочий день, останнім днем строку вважається наступний за вихідним, святковим або неробочим робочий день.</w:t>
      </w:r>
    </w:p>
    <w:p w14:paraId="7DD448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5" w:name="n4424"/>
      <w:bookmarkEnd w:id="5225"/>
      <w:r w:rsidRPr="008B264B">
        <w:rPr>
          <w:rFonts w:ascii="Times New Roman" w:eastAsia="Times New Roman" w:hAnsi="Times New Roman" w:cs="Times New Roman"/>
          <w:color w:val="000000"/>
          <w:sz w:val="24"/>
          <w:szCs w:val="24"/>
          <w:lang/>
        </w:rPr>
        <w:t>183.7. Заява про реєстрацію особи як платника податку подається особисто такою фізичною особою або безпосередньо керівником або представником юридичної особи - платника (в обох випадках з документальним підтвердженням особи та повноважень) до контролюючого органу за місцезнаходженням (місцем проживання) особи.</w:t>
      </w:r>
    </w:p>
    <w:p w14:paraId="53EF3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6" w:name="n9394"/>
      <w:bookmarkEnd w:id="5226"/>
      <w:r w:rsidRPr="008B264B">
        <w:rPr>
          <w:rFonts w:ascii="Times New Roman" w:eastAsia="Times New Roman" w:hAnsi="Times New Roman" w:cs="Times New Roman"/>
          <w:color w:val="000000"/>
          <w:sz w:val="24"/>
          <w:szCs w:val="24"/>
          <w:lang/>
        </w:rPr>
        <w:t>Платники податку, які уклали з відповідним контролюючим органом договір про визнання електронних документів, можуть подати реєстраційну заяву засобами електронного зв’язку в електронній формі з дотриманням умови щодо реєстрації кваліфікованого електронного підпису підзвітних осіб у порядку, визначеному законодавством.</w:t>
      </w:r>
    </w:p>
    <w:p w14:paraId="1C3619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7" w:name="n9398"/>
      <w:bookmarkEnd w:id="5227"/>
      <w:r w:rsidRPr="008B264B">
        <w:rPr>
          <w:rFonts w:ascii="Times New Roman" w:eastAsia="Times New Roman" w:hAnsi="Times New Roman" w:cs="Times New Roman"/>
          <w:i/>
          <w:iCs/>
          <w:color w:val="000000"/>
          <w:sz w:val="24"/>
          <w:szCs w:val="24"/>
          <w:lang/>
        </w:rPr>
        <w:t>{Пункт 183.7 статті 183 доповнено абзацом згідно із Законом </w:t>
      </w:r>
      <w:hyperlink r:id="rId2849" w:anchor="n13"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50" w:anchor="n36"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627BC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8" w:name="n9395"/>
      <w:bookmarkEnd w:id="5228"/>
      <w:r w:rsidRPr="008B264B">
        <w:rPr>
          <w:rFonts w:ascii="Times New Roman" w:eastAsia="Times New Roman" w:hAnsi="Times New Roman" w:cs="Times New Roman"/>
          <w:color w:val="000000"/>
          <w:sz w:val="24"/>
          <w:szCs w:val="24"/>
          <w:lang/>
        </w:rPr>
        <w:lastRenderedPageBreak/>
        <w:t>Реєстраційна заява про добровільну реєстрацію як платника податку може бути подана державному реєстратору як додаток до заяви про державну реєстрацію, що подається для проведення державної реєстрації юридичної особи або фізичної особи - підприємця. Електронна копія реєстраційної заяви, виготовлена шляхом сканування, передається державним реєстратором до контролюючих органів одночасно з відомостями з Єдиного державного реєстру юридичних осіб, фізичних осіб - підприємців та громадських формувань про проведення державної реєстрації юридичної особи або фізичної особи - підприємця згідно із </w:t>
      </w:r>
      <w:hyperlink r:id="rId2851"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w:t>
      </w:r>
    </w:p>
    <w:p w14:paraId="42E6C3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29" w:name="n9397"/>
      <w:bookmarkEnd w:id="5229"/>
      <w:r w:rsidRPr="008B264B">
        <w:rPr>
          <w:rFonts w:ascii="Times New Roman" w:eastAsia="Times New Roman" w:hAnsi="Times New Roman" w:cs="Times New Roman"/>
          <w:i/>
          <w:iCs/>
          <w:color w:val="000000"/>
          <w:sz w:val="24"/>
          <w:szCs w:val="24"/>
          <w:lang/>
        </w:rPr>
        <w:t>{Пункт 183.7 статті 183 доповнено абзацом згідно із Законом </w:t>
      </w:r>
      <w:hyperlink r:id="rId2852" w:anchor="n13"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 в редакції Закону </w:t>
      </w:r>
      <w:hyperlink r:id="rId2853" w:anchor="n10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EC8D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0" w:name="n9396"/>
      <w:bookmarkEnd w:id="5230"/>
      <w:r w:rsidRPr="008B264B">
        <w:rPr>
          <w:rFonts w:ascii="Times New Roman" w:eastAsia="Times New Roman" w:hAnsi="Times New Roman" w:cs="Times New Roman"/>
          <w:color w:val="000000"/>
          <w:sz w:val="24"/>
          <w:szCs w:val="24"/>
          <w:lang/>
        </w:rPr>
        <w:t>У реєстраційній заяві зазначаються підстави для реєстрації особи як платника податку.</w:t>
      </w:r>
    </w:p>
    <w:p w14:paraId="7301F0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1" w:name="n9393"/>
      <w:bookmarkEnd w:id="5231"/>
      <w:r w:rsidRPr="008B264B">
        <w:rPr>
          <w:rFonts w:ascii="Times New Roman" w:eastAsia="Times New Roman" w:hAnsi="Times New Roman" w:cs="Times New Roman"/>
          <w:i/>
          <w:iCs/>
          <w:color w:val="000000"/>
          <w:sz w:val="24"/>
          <w:szCs w:val="24"/>
          <w:lang/>
        </w:rPr>
        <w:t>{Пункт 183.7 статті 183 доповнено абзацом згідно із Законом </w:t>
      </w:r>
      <w:hyperlink r:id="rId2854" w:anchor="n13"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2C6863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2" w:name="n4425"/>
      <w:bookmarkEnd w:id="5232"/>
      <w:r w:rsidRPr="008B264B">
        <w:rPr>
          <w:rFonts w:ascii="Times New Roman" w:eastAsia="Times New Roman" w:hAnsi="Times New Roman" w:cs="Times New Roman"/>
          <w:i/>
          <w:iCs/>
          <w:color w:val="000000"/>
          <w:sz w:val="24"/>
          <w:szCs w:val="24"/>
          <w:lang/>
        </w:rPr>
        <w:t>{Пункт 183.7 статті 183 із змінами, внесеними згідно із Законами </w:t>
      </w:r>
      <w:hyperlink r:id="rId285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856" w:anchor="n12"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3BAD3F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3" w:name="n4426"/>
      <w:bookmarkEnd w:id="5233"/>
      <w:r w:rsidRPr="008B264B">
        <w:rPr>
          <w:rFonts w:ascii="Times New Roman" w:eastAsia="Times New Roman" w:hAnsi="Times New Roman" w:cs="Times New Roman"/>
          <w:color w:val="000000"/>
          <w:sz w:val="24"/>
          <w:szCs w:val="24"/>
          <w:lang/>
        </w:rPr>
        <w:t>183.8. Контролюючий орган відмовляє в реєстрації особи як платника податку, якщо за результатами розгляду реєстраційної заяви та/або поданих документів встановлено, що особа не відповідає вимогам, визначеним </w:t>
      </w:r>
      <w:hyperlink r:id="rId2857" w:anchor="n4380" w:history="1">
        <w:r w:rsidRPr="008B264B">
          <w:rPr>
            <w:rFonts w:ascii="Times New Roman" w:eastAsia="Times New Roman" w:hAnsi="Times New Roman" w:cs="Times New Roman"/>
            <w:color w:val="0000FF"/>
            <w:sz w:val="24"/>
            <w:szCs w:val="24"/>
            <w:u w:val="single"/>
            <w:lang/>
          </w:rPr>
          <w:t>статтею 180</w:t>
        </w:r>
      </w:hyperlink>
      <w:r w:rsidRPr="008B264B">
        <w:rPr>
          <w:rFonts w:ascii="Times New Roman" w:eastAsia="Times New Roman" w:hAnsi="Times New Roman" w:cs="Times New Roman"/>
          <w:color w:val="000000"/>
          <w:sz w:val="24"/>
          <w:szCs w:val="24"/>
          <w:lang/>
        </w:rPr>
        <w:t>, </w:t>
      </w:r>
      <w:hyperlink r:id="rId2858" w:anchor="n4402" w:history="1">
        <w:r w:rsidRPr="008B264B">
          <w:rPr>
            <w:rFonts w:ascii="Times New Roman" w:eastAsia="Times New Roman" w:hAnsi="Times New Roman" w:cs="Times New Roman"/>
            <w:color w:val="0000FF"/>
            <w:sz w:val="24"/>
            <w:szCs w:val="24"/>
            <w:u w:val="single"/>
            <w:lang/>
          </w:rPr>
          <w:t>пунктом 181.1</w:t>
        </w:r>
      </w:hyperlink>
      <w:r w:rsidRPr="008B264B">
        <w:rPr>
          <w:rFonts w:ascii="Times New Roman" w:eastAsia="Times New Roman" w:hAnsi="Times New Roman" w:cs="Times New Roman"/>
          <w:color w:val="000000"/>
          <w:sz w:val="24"/>
          <w:szCs w:val="24"/>
          <w:lang/>
        </w:rPr>
        <w:t> статті 181, </w:t>
      </w:r>
      <w:hyperlink r:id="rId2859" w:anchor="n4405" w:history="1">
        <w:r w:rsidRPr="008B264B">
          <w:rPr>
            <w:rFonts w:ascii="Times New Roman" w:eastAsia="Times New Roman" w:hAnsi="Times New Roman" w:cs="Times New Roman"/>
            <w:color w:val="0000FF"/>
            <w:sz w:val="24"/>
            <w:szCs w:val="24"/>
            <w:u w:val="single"/>
            <w:lang/>
          </w:rPr>
          <w:t>пунктом 182.1 статті 182</w:t>
        </w:r>
      </w:hyperlink>
      <w:r w:rsidRPr="008B264B">
        <w:rPr>
          <w:rFonts w:ascii="Times New Roman" w:eastAsia="Times New Roman" w:hAnsi="Times New Roman" w:cs="Times New Roman"/>
          <w:color w:val="000000"/>
          <w:sz w:val="24"/>
          <w:szCs w:val="24"/>
          <w:lang/>
        </w:rPr>
        <w:t> та </w:t>
      </w:r>
      <w:hyperlink r:id="rId2860" w:anchor="n4424" w:history="1">
        <w:r w:rsidRPr="008B264B">
          <w:rPr>
            <w:rFonts w:ascii="Times New Roman" w:eastAsia="Times New Roman" w:hAnsi="Times New Roman" w:cs="Times New Roman"/>
            <w:color w:val="0000FF"/>
            <w:sz w:val="24"/>
            <w:szCs w:val="24"/>
            <w:u w:val="single"/>
            <w:lang/>
          </w:rPr>
          <w:t>пунктом 183.7</w:t>
        </w:r>
      </w:hyperlink>
      <w:r w:rsidRPr="008B264B">
        <w:rPr>
          <w:rFonts w:ascii="Times New Roman" w:eastAsia="Times New Roman" w:hAnsi="Times New Roman" w:cs="Times New Roman"/>
          <w:color w:val="000000"/>
          <w:sz w:val="24"/>
          <w:szCs w:val="24"/>
          <w:lang/>
        </w:rPr>
        <w:t> статті 183 цього Кодексу, або якщо існують обставини, які є підставою для анулювання реєстрації згідно із </w:t>
      </w:r>
      <w:hyperlink r:id="rId2861" w:anchor="n4447" w:history="1">
        <w:r w:rsidRPr="008B264B">
          <w:rPr>
            <w:rFonts w:ascii="Times New Roman" w:eastAsia="Times New Roman" w:hAnsi="Times New Roman" w:cs="Times New Roman"/>
            <w:color w:val="0000FF"/>
            <w:sz w:val="24"/>
            <w:szCs w:val="24"/>
            <w:u w:val="single"/>
            <w:lang/>
          </w:rPr>
          <w:t>статтею 184</w:t>
        </w:r>
      </w:hyperlink>
      <w:r w:rsidRPr="008B264B">
        <w:rPr>
          <w:rFonts w:ascii="Times New Roman" w:eastAsia="Times New Roman" w:hAnsi="Times New Roman" w:cs="Times New Roman"/>
          <w:color w:val="000000"/>
          <w:sz w:val="24"/>
          <w:szCs w:val="24"/>
          <w:lang/>
        </w:rPr>
        <w:t> цього Кодексу, а також якщо при поданні реєстраційної заяви чи визначенні бажаного (запланованого) дня реєстрації не дотримано порядок та строки (терміни), встановлені пунктами 183.1, 183.3-183.7 цієї статті.</w:t>
      </w:r>
    </w:p>
    <w:p w14:paraId="007AE6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4" w:name="n9534"/>
      <w:bookmarkEnd w:id="5234"/>
      <w:r w:rsidRPr="008B264B">
        <w:rPr>
          <w:rFonts w:ascii="Times New Roman" w:eastAsia="Times New Roman" w:hAnsi="Times New Roman" w:cs="Times New Roman"/>
          <w:i/>
          <w:iCs/>
          <w:color w:val="000000"/>
          <w:sz w:val="24"/>
          <w:szCs w:val="24"/>
          <w:lang/>
        </w:rPr>
        <w:t>{Пункт 183.8 статті 183 із змінами, внесеними згідно із Законами </w:t>
      </w:r>
      <w:hyperlink r:id="rId2862" w:anchor="n10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2863" w:anchor="n61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5E20B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5" w:name="n4427"/>
      <w:bookmarkEnd w:id="5235"/>
      <w:r w:rsidRPr="008B264B">
        <w:rPr>
          <w:rFonts w:ascii="Times New Roman" w:eastAsia="Times New Roman" w:hAnsi="Times New Roman" w:cs="Times New Roman"/>
          <w:color w:val="000000"/>
          <w:sz w:val="24"/>
          <w:szCs w:val="24"/>
          <w:lang/>
        </w:rPr>
        <w:t>183.9. У разі відсутності підстав для відмови у реєстрації особи як платника податку контролюючий орган зобов’язаний протягом трьох робочих днів після надходження реєстраційної заяви до контролюючого органу внести до реєстру платників податку запис про реєстрацію такої особи як платника податку:</w:t>
      </w:r>
    </w:p>
    <w:p w14:paraId="4BDD9E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6" w:name="n11253"/>
      <w:bookmarkEnd w:id="5236"/>
      <w:r w:rsidRPr="008B264B">
        <w:rPr>
          <w:rFonts w:ascii="Times New Roman" w:eastAsia="Times New Roman" w:hAnsi="Times New Roman" w:cs="Times New Roman"/>
          <w:color w:val="000000"/>
          <w:sz w:val="24"/>
          <w:szCs w:val="24"/>
          <w:lang/>
        </w:rPr>
        <w:t>з бажаного (запланованого) дня реєстрації, зазначеного у реєстраційній заяві, що відповідає даті початку податкового періоду (календарного місяця), з якого такі особи вважатимуться платниками податку та матимуть право на складання податкових накладних, у разі добровільної реєстрації особи як платника податку;</w:t>
      </w:r>
    </w:p>
    <w:p w14:paraId="10037B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7" w:name="n14179"/>
      <w:bookmarkEnd w:id="5237"/>
      <w:r w:rsidRPr="008B264B">
        <w:rPr>
          <w:rFonts w:ascii="Times New Roman" w:eastAsia="Times New Roman" w:hAnsi="Times New Roman" w:cs="Times New Roman"/>
          <w:i/>
          <w:iCs/>
          <w:color w:val="000000"/>
          <w:sz w:val="24"/>
          <w:szCs w:val="24"/>
          <w:lang/>
        </w:rPr>
        <w:t>{Абзац другий пункту 183.9 статті 183 із змінами, внесеними згідно із Законом </w:t>
      </w:r>
      <w:hyperlink r:id="rId2864" w:anchor="n10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09DA8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8" w:name="n11254"/>
      <w:bookmarkEnd w:id="5238"/>
      <w:r w:rsidRPr="008B264B">
        <w:rPr>
          <w:rFonts w:ascii="Times New Roman" w:eastAsia="Times New Roman" w:hAnsi="Times New Roman" w:cs="Times New Roman"/>
          <w:color w:val="000000"/>
          <w:sz w:val="24"/>
          <w:szCs w:val="24"/>
          <w:lang/>
        </w:rPr>
        <w:t>з першого числа місяця, наступного за днем спливу 20 календарних днів після подання реєстраційної заяви до контролюючого органу, у разі добровільної реєстрації особи як платника податку на додану вартість, якщо бажаний (запланований) день реєстрації у заяві не зазначено;</w:t>
      </w:r>
    </w:p>
    <w:p w14:paraId="6B4A1F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39" w:name="n11255"/>
      <w:bookmarkEnd w:id="5239"/>
      <w:r w:rsidRPr="008B264B">
        <w:rPr>
          <w:rFonts w:ascii="Times New Roman" w:eastAsia="Times New Roman" w:hAnsi="Times New Roman" w:cs="Times New Roman"/>
          <w:color w:val="000000"/>
          <w:sz w:val="24"/>
          <w:szCs w:val="24"/>
          <w:lang/>
        </w:rPr>
        <w:t>з бажаного (запланованого) дня, що відповідає першому числу календарного кварталу, в якому буде застосовуватися ставка єдиного податку, що передбачає сплату податку на додану вартість, у разі переходу осіб на спрощену систему оподаткування або зміни ставки єдиного податку;</w:t>
      </w:r>
    </w:p>
    <w:p w14:paraId="159E4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0" w:name="n11256"/>
      <w:bookmarkEnd w:id="5240"/>
      <w:r w:rsidRPr="008B264B">
        <w:rPr>
          <w:rFonts w:ascii="Times New Roman" w:eastAsia="Times New Roman" w:hAnsi="Times New Roman" w:cs="Times New Roman"/>
          <w:color w:val="000000"/>
          <w:sz w:val="24"/>
          <w:szCs w:val="24"/>
          <w:lang/>
        </w:rPr>
        <w:t>з першого числа календарного місяця, в якому здійснено перехід на сплату інших податків і зборів, у разі реєстрації осіб, визначених в </w:t>
      </w:r>
      <w:hyperlink r:id="rId2865" w:anchor="n4414" w:history="1">
        <w:r w:rsidRPr="008B264B">
          <w:rPr>
            <w:rFonts w:ascii="Times New Roman" w:eastAsia="Times New Roman" w:hAnsi="Times New Roman" w:cs="Times New Roman"/>
            <w:color w:val="0000FF"/>
            <w:sz w:val="24"/>
            <w:szCs w:val="24"/>
            <w:u w:val="single"/>
            <w:lang/>
          </w:rPr>
          <w:t>абзаці першому пункту 183.4</w:t>
        </w:r>
      </w:hyperlink>
      <w:r w:rsidRPr="008B264B">
        <w:rPr>
          <w:rFonts w:ascii="Times New Roman" w:eastAsia="Times New Roman" w:hAnsi="Times New Roman" w:cs="Times New Roman"/>
          <w:color w:val="000000"/>
          <w:sz w:val="24"/>
          <w:szCs w:val="24"/>
          <w:lang/>
        </w:rPr>
        <w:t>, що відповідають вимогам, визначеним </w:t>
      </w:r>
      <w:hyperlink r:id="rId2866" w:anchor="n4402" w:history="1">
        <w:r w:rsidRPr="008B264B">
          <w:rPr>
            <w:rFonts w:ascii="Times New Roman" w:eastAsia="Times New Roman" w:hAnsi="Times New Roman" w:cs="Times New Roman"/>
            <w:color w:val="0000FF"/>
            <w:sz w:val="24"/>
            <w:szCs w:val="24"/>
            <w:u w:val="single"/>
            <w:lang/>
          </w:rPr>
          <w:t>пунктом 181.1</w:t>
        </w:r>
      </w:hyperlink>
      <w:r w:rsidRPr="008B264B">
        <w:rPr>
          <w:rFonts w:ascii="Times New Roman" w:eastAsia="Times New Roman" w:hAnsi="Times New Roman" w:cs="Times New Roman"/>
          <w:color w:val="000000"/>
          <w:sz w:val="24"/>
          <w:szCs w:val="24"/>
          <w:lang/>
        </w:rPr>
        <w:t> статті 181 цього Кодексу, якщо перше число календарного місяця, з якого здійснюється перехід на сплату інших податків і зборів, на день подання реєстраційної заяви не настало;</w:t>
      </w:r>
    </w:p>
    <w:p w14:paraId="743729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1" w:name="n11257"/>
      <w:bookmarkEnd w:id="5241"/>
      <w:r w:rsidRPr="008B264B">
        <w:rPr>
          <w:rFonts w:ascii="Times New Roman" w:eastAsia="Times New Roman" w:hAnsi="Times New Roman" w:cs="Times New Roman"/>
          <w:color w:val="000000"/>
          <w:sz w:val="24"/>
          <w:szCs w:val="24"/>
          <w:lang/>
        </w:rPr>
        <w:lastRenderedPageBreak/>
        <w:t>з дня внесення запису до реєстру платників податку у разі обов’язкової реєстрації особи як платника податку або у разі реєстрації осіб, визначених в </w:t>
      </w:r>
      <w:hyperlink r:id="rId2867" w:anchor="n4414" w:history="1">
        <w:r w:rsidRPr="008B264B">
          <w:rPr>
            <w:rFonts w:ascii="Times New Roman" w:eastAsia="Times New Roman" w:hAnsi="Times New Roman" w:cs="Times New Roman"/>
            <w:color w:val="0000FF"/>
            <w:sz w:val="24"/>
            <w:szCs w:val="24"/>
            <w:u w:val="single"/>
            <w:lang/>
          </w:rPr>
          <w:t>абзаці першому пункту 183.4</w:t>
        </w:r>
      </w:hyperlink>
      <w:r w:rsidRPr="008B264B">
        <w:rPr>
          <w:rFonts w:ascii="Times New Roman" w:eastAsia="Times New Roman" w:hAnsi="Times New Roman" w:cs="Times New Roman"/>
          <w:color w:val="000000"/>
          <w:sz w:val="24"/>
          <w:szCs w:val="24"/>
          <w:lang/>
        </w:rPr>
        <w:t>, що відповідають вимогам, визначеним </w:t>
      </w:r>
      <w:hyperlink r:id="rId2868" w:anchor="n4402" w:history="1">
        <w:r w:rsidRPr="008B264B">
          <w:rPr>
            <w:rFonts w:ascii="Times New Roman" w:eastAsia="Times New Roman" w:hAnsi="Times New Roman" w:cs="Times New Roman"/>
            <w:color w:val="0000FF"/>
            <w:sz w:val="24"/>
            <w:szCs w:val="24"/>
            <w:u w:val="single"/>
            <w:lang/>
          </w:rPr>
          <w:t>пунктом 181.1</w:t>
        </w:r>
      </w:hyperlink>
      <w:r w:rsidRPr="008B264B">
        <w:rPr>
          <w:rFonts w:ascii="Times New Roman" w:eastAsia="Times New Roman" w:hAnsi="Times New Roman" w:cs="Times New Roman"/>
          <w:color w:val="000000"/>
          <w:sz w:val="24"/>
          <w:szCs w:val="24"/>
          <w:lang/>
        </w:rPr>
        <w:t> статті 181 цього Кодексу, якщо перше число календарного місяця, в якому здійснено перехід на сплату інших податків і зборів, на день подання реєстраційної заяви настало.</w:t>
      </w:r>
    </w:p>
    <w:p w14:paraId="032F7E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2" w:name="n4428"/>
      <w:bookmarkEnd w:id="5242"/>
      <w:r w:rsidRPr="008B264B">
        <w:rPr>
          <w:rFonts w:ascii="Times New Roman" w:eastAsia="Times New Roman" w:hAnsi="Times New Roman" w:cs="Times New Roman"/>
          <w:i/>
          <w:iCs/>
          <w:color w:val="000000"/>
          <w:sz w:val="24"/>
          <w:szCs w:val="24"/>
          <w:lang/>
        </w:rPr>
        <w:t>{Пункт 183.9 статті 183 із змінами, внесеними згідно із Законами </w:t>
      </w:r>
      <w:hyperlink r:id="rId2869" w:anchor="n24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2870" w:anchor="n10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2871" w:anchor="n6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08F1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3" w:name="n4429"/>
      <w:bookmarkEnd w:id="5243"/>
      <w:r w:rsidRPr="008B264B">
        <w:rPr>
          <w:rFonts w:ascii="Times New Roman" w:eastAsia="Times New Roman" w:hAnsi="Times New Roman" w:cs="Times New Roman"/>
          <w:color w:val="000000"/>
          <w:sz w:val="24"/>
          <w:szCs w:val="24"/>
          <w:lang/>
        </w:rPr>
        <w:t>183.10. Будь-яка особа, яка підлягає обов'язковій реєстрації як платник податку, і у випадках та в порядку, передбачених цією статтею, не подала до контролюючого органу реєстраційну заяву, несе відповідальність за ненарахування або несплату цього податку на рівні зареєстрованого платника без права нарахування податкового кредиту та отримання бюджетного відшкодування.</w:t>
      </w:r>
    </w:p>
    <w:p w14:paraId="0236AA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4" w:name="n4430"/>
      <w:bookmarkEnd w:id="5244"/>
      <w:r w:rsidRPr="008B264B">
        <w:rPr>
          <w:rFonts w:ascii="Times New Roman" w:eastAsia="Times New Roman" w:hAnsi="Times New Roman" w:cs="Times New Roman"/>
          <w:i/>
          <w:iCs/>
          <w:color w:val="000000"/>
          <w:sz w:val="24"/>
          <w:szCs w:val="24"/>
          <w:lang/>
        </w:rPr>
        <w:t>{Пункт 183.10 статті 183 в редакції Закону </w:t>
      </w:r>
      <w:hyperlink r:id="rId287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627B7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5" w:name="n4431"/>
      <w:bookmarkEnd w:id="5245"/>
      <w:r w:rsidRPr="008B264B">
        <w:rPr>
          <w:rFonts w:ascii="Times New Roman" w:eastAsia="Times New Roman" w:hAnsi="Times New Roman" w:cs="Times New Roman"/>
          <w:color w:val="000000"/>
          <w:sz w:val="24"/>
          <w:szCs w:val="24"/>
          <w:lang/>
        </w:rPr>
        <w:t>183.11. За запитом платника податку контролюючий орган надає безоплатно та безумовно протягом двох робочих днів, що настають за днем отримання такого запиту, витяг з реєстру платників податку. Витяг діє до внесення змін до реєстру.</w:t>
      </w:r>
    </w:p>
    <w:p w14:paraId="3CC8DA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6" w:name="n9536"/>
      <w:bookmarkEnd w:id="5246"/>
      <w:r w:rsidRPr="008B264B">
        <w:rPr>
          <w:rFonts w:ascii="Times New Roman" w:eastAsia="Times New Roman" w:hAnsi="Times New Roman" w:cs="Times New Roman"/>
          <w:color w:val="000000"/>
          <w:sz w:val="24"/>
          <w:szCs w:val="24"/>
          <w:lang/>
        </w:rPr>
        <w:t>Форма </w:t>
      </w:r>
      <w:hyperlink r:id="rId2873" w:anchor="n446" w:tgtFrame="_blank" w:history="1">
        <w:r w:rsidRPr="008B264B">
          <w:rPr>
            <w:rFonts w:ascii="Times New Roman" w:eastAsia="Times New Roman" w:hAnsi="Times New Roman" w:cs="Times New Roman"/>
            <w:color w:val="0000FF"/>
            <w:sz w:val="24"/>
            <w:szCs w:val="24"/>
            <w:u w:val="single"/>
            <w:lang/>
          </w:rPr>
          <w:t>запиту про отримання витягу</w:t>
        </w:r>
      </w:hyperlink>
      <w:r w:rsidRPr="008B264B">
        <w:rPr>
          <w:rFonts w:ascii="Times New Roman" w:eastAsia="Times New Roman" w:hAnsi="Times New Roman" w:cs="Times New Roman"/>
          <w:color w:val="000000"/>
          <w:sz w:val="24"/>
          <w:szCs w:val="24"/>
          <w:lang/>
        </w:rPr>
        <w:t> та </w:t>
      </w:r>
      <w:hyperlink r:id="rId2874" w:anchor="n448" w:tgtFrame="_blank" w:history="1">
        <w:r w:rsidRPr="008B264B">
          <w:rPr>
            <w:rFonts w:ascii="Times New Roman" w:eastAsia="Times New Roman" w:hAnsi="Times New Roman" w:cs="Times New Roman"/>
            <w:color w:val="0000FF"/>
            <w:sz w:val="24"/>
            <w:szCs w:val="24"/>
            <w:u w:val="single"/>
            <w:lang/>
          </w:rPr>
          <w:t>витягу з реєстру</w:t>
        </w:r>
      </w:hyperlink>
      <w:r w:rsidRPr="008B264B">
        <w:rPr>
          <w:rFonts w:ascii="Times New Roman" w:eastAsia="Times New Roman" w:hAnsi="Times New Roman" w:cs="Times New Roman"/>
          <w:color w:val="000000"/>
          <w:sz w:val="24"/>
          <w:szCs w:val="24"/>
          <w:lang/>
        </w:rPr>
        <w:t> платників податку затверджується центральним органом виконавчої влади, що забезпечує формування та реалізує державну фінансову політику.</w:t>
      </w:r>
    </w:p>
    <w:p w14:paraId="007A9A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7" w:name="n9535"/>
      <w:bookmarkEnd w:id="5247"/>
      <w:r w:rsidRPr="008B264B">
        <w:rPr>
          <w:rFonts w:ascii="Times New Roman" w:eastAsia="Times New Roman" w:hAnsi="Times New Roman" w:cs="Times New Roman"/>
          <w:i/>
          <w:iCs/>
          <w:color w:val="000000"/>
          <w:sz w:val="24"/>
          <w:szCs w:val="24"/>
          <w:lang/>
        </w:rPr>
        <w:t>{Пункт 183.11 статті 183 в редакції Закону </w:t>
      </w:r>
      <w:hyperlink r:id="rId2875" w:anchor="n10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876"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981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8" w:name="n4432"/>
      <w:bookmarkEnd w:id="5248"/>
      <w:r w:rsidRPr="008B264B">
        <w:rPr>
          <w:rFonts w:ascii="Times New Roman" w:eastAsia="Times New Roman" w:hAnsi="Times New Roman" w:cs="Times New Roman"/>
          <w:color w:val="000000"/>
          <w:sz w:val="24"/>
          <w:szCs w:val="24"/>
          <w:lang/>
        </w:rPr>
        <w:t>183.12. Центральний орган виконавчої влади, що реалізує державну податкову і митну політику, веде реєстр платників податку, в якому міститься інформація про осіб, зареєстрованих як платники податку.</w:t>
      </w:r>
    </w:p>
    <w:p w14:paraId="377CCD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49" w:name="n4433"/>
      <w:bookmarkEnd w:id="5249"/>
      <w:r w:rsidRPr="008B264B">
        <w:rPr>
          <w:rFonts w:ascii="Times New Roman" w:eastAsia="Times New Roman" w:hAnsi="Times New Roman" w:cs="Times New Roman"/>
          <w:i/>
          <w:iCs/>
          <w:color w:val="000000"/>
          <w:sz w:val="24"/>
          <w:szCs w:val="24"/>
          <w:lang/>
        </w:rPr>
        <w:t>{Пункт 183.12 статті 183 із змінами, внесеними згідно з Законами </w:t>
      </w:r>
      <w:hyperlink r:id="rId2877" w:anchor="n19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28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D348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0" w:name="n4434"/>
      <w:bookmarkEnd w:id="5250"/>
      <w:r w:rsidRPr="008B264B">
        <w:rPr>
          <w:rFonts w:ascii="Times New Roman" w:eastAsia="Times New Roman" w:hAnsi="Times New Roman" w:cs="Times New Roman"/>
          <w:color w:val="000000"/>
          <w:sz w:val="24"/>
          <w:szCs w:val="24"/>
          <w:lang/>
        </w:rPr>
        <w:t>183.13. З метою постійного забезпечення органів державної влади, органів місцевого самоврядування, юридичних та фізичних осіб інформацією центральний орган виконавчої влади, що реалізує державну податкову і митну політику, щоденно оприлюднює на єдиному державному реєстраційному веб-порталі юридичних осіб та фізичних осіб - підприємців та власному офіційному веб-сайті:</w:t>
      </w:r>
    </w:p>
    <w:p w14:paraId="498232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1" w:name="n13479"/>
      <w:bookmarkEnd w:id="5251"/>
      <w:r w:rsidRPr="008B264B">
        <w:rPr>
          <w:rFonts w:ascii="Times New Roman" w:eastAsia="Times New Roman" w:hAnsi="Times New Roman" w:cs="Times New Roman"/>
          <w:i/>
          <w:iCs/>
          <w:color w:val="000000"/>
          <w:sz w:val="24"/>
          <w:szCs w:val="24"/>
          <w:lang/>
        </w:rPr>
        <w:t>{Абзац перший пункту 183.13 статті 183 із змінами, внесеними згідно із Законом </w:t>
      </w:r>
      <w:hyperlink r:id="rId28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DB8B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2" w:name="n9538"/>
      <w:bookmarkEnd w:id="5252"/>
      <w:r w:rsidRPr="008B264B">
        <w:rPr>
          <w:rFonts w:ascii="Times New Roman" w:eastAsia="Times New Roman" w:hAnsi="Times New Roman" w:cs="Times New Roman"/>
          <w:color w:val="000000"/>
          <w:sz w:val="24"/>
          <w:szCs w:val="24"/>
          <w:lang/>
        </w:rPr>
        <w:t>183.13.1. дані з реєстру платників податку із зазначенням найменування або прізвища, імені та по батькові платника податку, дати податкової реєстрації, індивідуального податкового номера та терміну дії реєстрації платника податку;</w:t>
      </w:r>
    </w:p>
    <w:p w14:paraId="5B78B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3" w:name="n9539"/>
      <w:bookmarkEnd w:id="5253"/>
      <w:r w:rsidRPr="008B264B">
        <w:rPr>
          <w:rFonts w:ascii="Times New Roman" w:eastAsia="Times New Roman" w:hAnsi="Times New Roman" w:cs="Times New Roman"/>
          <w:color w:val="000000"/>
          <w:sz w:val="24"/>
          <w:szCs w:val="24"/>
          <w:lang/>
        </w:rPr>
        <w:t>183.13.2. інформацію про осіб, реєстрацію яких як платників податку анульовано, із зазначенням індивідуальних податкових номерів, дати анулювання, причин та підстав для анулювання реєстрації.</w:t>
      </w:r>
    </w:p>
    <w:p w14:paraId="4229A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4" w:name="n9540"/>
      <w:bookmarkEnd w:id="5254"/>
      <w:r w:rsidRPr="008B264B">
        <w:rPr>
          <w:rFonts w:ascii="Times New Roman" w:eastAsia="Times New Roman" w:hAnsi="Times New Roman" w:cs="Times New Roman"/>
          <w:color w:val="000000"/>
          <w:sz w:val="24"/>
          <w:szCs w:val="24"/>
          <w:lang/>
        </w:rPr>
        <w:t>За запитом у електронній формі платників податку, які подають податкові декларації засобами електронного зв’язку в електронній формі з дотриманням умови щодо реєстрації кваліфікованого електронного підпису підзвітних осіб у порядку, визначеному законодавством, контролюючі органи надають безоплатно протягом 5 робочих днів від дати надходження такого запиту інформацію, що оприлюднюється відповідно до цього пункту.</w:t>
      </w:r>
    </w:p>
    <w:p w14:paraId="527DFE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5" w:name="n15806"/>
      <w:bookmarkEnd w:id="5255"/>
      <w:r w:rsidRPr="008B264B">
        <w:rPr>
          <w:rFonts w:ascii="Times New Roman" w:eastAsia="Times New Roman" w:hAnsi="Times New Roman" w:cs="Times New Roman"/>
          <w:i/>
          <w:iCs/>
          <w:color w:val="000000"/>
          <w:sz w:val="24"/>
          <w:szCs w:val="24"/>
          <w:lang/>
        </w:rPr>
        <w:t>{Абзац другий підпункту 183.13.2 пункту 183.13 статті 183 із змінами, внесеними згідно із Законом </w:t>
      </w:r>
      <w:hyperlink r:id="rId2880" w:anchor="n36"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68B58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6" w:name="n9541"/>
      <w:bookmarkEnd w:id="5256"/>
      <w:r w:rsidRPr="008B264B">
        <w:rPr>
          <w:rFonts w:ascii="Times New Roman" w:eastAsia="Times New Roman" w:hAnsi="Times New Roman" w:cs="Times New Roman"/>
          <w:color w:val="000000"/>
          <w:sz w:val="24"/>
          <w:szCs w:val="24"/>
          <w:lang/>
        </w:rPr>
        <w:lastRenderedPageBreak/>
        <w:t>Форми </w:t>
      </w:r>
      <w:hyperlink r:id="rId2881" w:anchor="n450" w:tgtFrame="_blank" w:history="1">
        <w:r w:rsidRPr="008B264B">
          <w:rPr>
            <w:rFonts w:ascii="Times New Roman" w:eastAsia="Times New Roman" w:hAnsi="Times New Roman" w:cs="Times New Roman"/>
            <w:color w:val="0000FF"/>
            <w:sz w:val="24"/>
            <w:szCs w:val="24"/>
            <w:u w:val="single"/>
            <w:lang/>
          </w:rPr>
          <w:t>запиту про отримання інформації</w:t>
        </w:r>
      </w:hyperlink>
      <w:r w:rsidRPr="008B264B">
        <w:rPr>
          <w:rFonts w:ascii="Times New Roman" w:eastAsia="Times New Roman" w:hAnsi="Times New Roman" w:cs="Times New Roman"/>
          <w:color w:val="000000"/>
          <w:sz w:val="24"/>
          <w:szCs w:val="24"/>
          <w:lang/>
        </w:rPr>
        <w:t> та </w:t>
      </w:r>
      <w:hyperlink r:id="rId2882" w:anchor="n452" w:tgtFrame="_blank" w:history="1">
        <w:r w:rsidRPr="008B264B">
          <w:rPr>
            <w:rFonts w:ascii="Times New Roman" w:eastAsia="Times New Roman" w:hAnsi="Times New Roman" w:cs="Times New Roman"/>
            <w:color w:val="0000FF"/>
            <w:sz w:val="24"/>
            <w:szCs w:val="24"/>
            <w:u w:val="single"/>
            <w:lang/>
          </w:rPr>
          <w:t>довідки із реєстру</w:t>
        </w:r>
      </w:hyperlink>
      <w:r w:rsidRPr="008B264B">
        <w:rPr>
          <w:rFonts w:ascii="Times New Roman" w:eastAsia="Times New Roman" w:hAnsi="Times New Roman" w:cs="Times New Roman"/>
          <w:color w:val="000000"/>
          <w:sz w:val="24"/>
          <w:szCs w:val="24"/>
          <w:lang/>
        </w:rPr>
        <w:t> та порядок їх формування встановлюються центральним органом виконавчої влади, що забезпечує формування та реалізує державну фінансову політику.</w:t>
      </w:r>
    </w:p>
    <w:p w14:paraId="6AD149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7" w:name="n13450"/>
      <w:bookmarkEnd w:id="5257"/>
      <w:r w:rsidRPr="008B264B">
        <w:rPr>
          <w:rFonts w:ascii="Times New Roman" w:eastAsia="Times New Roman" w:hAnsi="Times New Roman" w:cs="Times New Roman"/>
          <w:i/>
          <w:iCs/>
          <w:color w:val="000000"/>
          <w:sz w:val="24"/>
          <w:szCs w:val="24"/>
          <w:lang/>
        </w:rPr>
        <w:t>{Підпункт 183.13.2 пункту 183.13 статті 183 із змінами, внесеними згідно із Законом </w:t>
      </w:r>
      <w:hyperlink r:id="rId288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A018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8" w:name="n9537"/>
      <w:bookmarkEnd w:id="5258"/>
      <w:r w:rsidRPr="008B264B">
        <w:rPr>
          <w:rFonts w:ascii="Times New Roman" w:eastAsia="Times New Roman" w:hAnsi="Times New Roman" w:cs="Times New Roman"/>
          <w:i/>
          <w:iCs/>
          <w:color w:val="000000"/>
          <w:sz w:val="24"/>
          <w:szCs w:val="24"/>
          <w:lang/>
        </w:rPr>
        <w:t>{Пункт 183.13 статті 183 із змінами, внесеними згідно із Законом </w:t>
      </w:r>
      <w:hyperlink r:id="rId2884" w:anchor="n19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2885" w:anchor="n10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7F5F4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59" w:name="n4438"/>
      <w:bookmarkEnd w:id="5259"/>
      <w:r w:rsidRPr="008B264B">
        <w:rPr>
          <w:rFonts w:ascii="Times New Roman" w:eastAsia="Times New Roman" w:hAnsi="Times New Roman" w:cs="Times New Roman"/>
          <w:color w:val="000000"/>
          <w:sz w:val="24"/>
          <w:szCs w:val="24"/>
          <w:lang/>
        </w:rPr>
        <w:t>183.14. Форми реєстраційної заяви, заяви про анулювання реєстрації, а також положення про реєстрацію платників податку затверджуються центральним органом виконавчої влади, що забезпечує формування та реалізує державну фінансову політику.</w:t>
      </w:r>
    </w:p>
    <w:p w14:paraId="21A735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0" w:name="n9542"/>
      <w:bookmarkEnd w:id="5260"/>
      <w:r w:rsidRPr="008B264B">
        <w:rPr>
          <w:rFonts w:ascii="Times New Roman" w:eastAsia="Times New Roman" w:hAnsi="Times New Roman" w:cs="Times New Roman"/>
          <w:i/>
          <w:iCs/>
          <w:color w:val="000000"/>
          <w:sz w:val="24"/>
          <w:szCs w:val="24"/>
          <w:lang/>
        </w:rPr>
        <w:t>{Пункт 183.14 статті 183 із змінами, внесеними згідно із Законами </w:t>
      </w:r>
      <w:hyperlink r:id="rId2886" w:anchor="n11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2887"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AB27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1" w:name="n4439"/>
      <w:bookmarkEnd w:id="5261"/>
      <w:r w:rsidRPr="008B264B">
        <w:rPr>
          <w:rFonts w:ascii="Times New Roman" w:eastAsia="Times New Roman" w:hAnsi="Times New Roman" w:cs="Times New Roman"/>
          <w:color w:val="000000"/>
          <w:sz w:val="24"/>
          <w:szCs w:val="24"/>
          <w:lang/>
        </w:rPr>
        <w:t>183.15. У разі зміни платником податку місцезнаходження (місця проживання) або його переведення на обслуговування до іншого контролюючого органу зняття такого платника з обліку в одному контролюючому органі і взяття на облік в іншому здійснюється в порядку, встановленому центральним органом виконавчої влади, що забезпечує формування та реалізує державну фінансову політику.</w:t>
      </w:r>
    </w:p>
    <w:p w14:paraId="0F1F51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2" w:name="n4440"/>
      <w:bookmarkEnd w:id="5262"/>
      <w:r w:rsidRPr="008B264B">
        <w:rPr>
          <w:rFonts w:ascii="Times New Roman" w:eastAsia="Times New Roman" w:hAnsi="Times New Roman" w:cs="Times New Roman"/>
          <w:color w:val="000000"/>
          <w:sz w:val="24"/>
          <w:szCs w:val="24"/>
          <w:lang/>
        </w:rPr>
        <w:t>У разі зміни даних про платника податку, які стосуються податкового номера та/або найменування (прізвища, імені та по батькові), та/або місцезнаходження (місця проживання) платника податку, а також встановлення розбіжностей чи помилок у записах реєстру платників податку платник податку подає відповідно до </w:t>
      </w:r>
      <w:hyperlink r:id="rId2888" w:anchor="n4424" w:history="1">
        <w:r w:rsidRPr="008B264B">
          <w:rPr>
            <w:rFonts w:ascii="Times New Roman" w:eastAsia="Times New Roman" w:hAnsi="Times New Roman" w:cs="Times New Roman"/>
            <w:color w:val="0000FF"/>
            <w:sz w:val="24"/>
            <w:szCs w:val="24"/>
            <w:u w:val="single"/>
            <w:lang/>
          </w:rPr>
          <w:t>пункту 183.7</w:t>
        </w:r>
      </w:hyperlink>
      <w:r w:rsidRPr="008B264B">
        <w:rPr>
          <w:rFonts w:ascii="Times New Roman" w:eastAsia="Times New Roman" w:hAnsi="Times New Roman" w:cs="Times New Roman"/>
          <w:color w:val="000000"/>
          <w:sz w:val="24"/>
          <w:szCs w:val="24"/>
          <w:lang/>
        </w:rPr>
        <w:t> цієї статті заяву протягом 10 робочих днів, що настають за днем, коли змінилися дані про платника податку або виникли інші підстави для перереєстрації.</w:t>
      </w:r>
    </w:p>
    <w:p w14:paraId="3F93DE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3" w:name="n4441"/>
      <w:bookmarkEnd w:id="5263"/>
      <w:r w:rsidRPr="008B264B">
        <w:rPr>
          <w:rFonts w:ascii="Times New Roman" w:eastAsia="Times New Roman" w:hAnsi="Times New Roman" w:cs="Times New Roman"/>
          <w:i/>
          <w:iCs/>
          <w:color w:val="000000"/>
          <w:sz w:val="24"/>
          <w:szCs w:val="24"/>
          <w:lang/>
        </w:rPr>
        <w:t>{Пункт 183.15 статті 183 доповнено другим абзацом згідно із Законом </w:t>
      </w:r>
      <w:hyperlink r:id="rId2889" w:anchor="n24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890" w:anchor="n11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6D656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4" w:name="n4442"/>
      <w:bookmarkEnd w:id="5264"/>
      <w:r w:rsidRPr="008B264B">
        <w:rPr>
          <w:rFonts w:ascii="Times New Roman" w:eastAsia="Times New Roman" w:hAnsi="Times New Roman" w:cs="Times New Roman"/>
          <w:color w:val="000000"/>
          <w:sz w:val="24"/>
          <w:szCs w:val="24"/>
          <w:lang/>
        </w:rPr>
        <w:t>Перереєстрація платника податку здійснюється з дотриманням правил та у строки, визначені цією статтею для реєстрації платників податку, шляхом внесення відповідного запису до реєстру платників податку.</w:t>
      </w:r>
    </w:p>
    <w:p w14:paraId="07B4E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5" w:name="n4443"/>
      <w:bookmarkEnd w:id="5265"/>
      <w:r w:rsidRPr="008B264B">
        <w:rPr>
          <w:rFonts w:ascii="Times New Roman" w:eastAsia="Times New Roman" w:hAnsi="Times New Roman" w:cs="Times New Roman"/>
          <w:i/>
          <w:iCs/>
          <w:color w:val="000000"/>
          <w:sz w:val="24"/>
          <w:szCs w:val="24"/>
          <w:lang/>
        </w:rPr>
        <w:t>{Пункт 183.15 статті 183 доповнено третім абзацом згідно із Законом </w:t>
      </w:r>
      <w:hyperlink r:id="rId2891" w:anchor="n24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892" w:anchor="n11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2F67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6" w:name="n13451"/>
      <w:bookmarkEnd w:id="5266"/>
      <w:r w:rsidRPr="008B264B">
        <w:rPr>
          <w:rFonts w:ascii="Times New Roman" w:eastAsia="Times New Roman" w:hAnsi="Times New Roman" w:cs="Times New Roman"/>
          <w:i/>
          <w:iCs/>
          <w:color w:val="000000"/>
          <w:sz w:val="24"/>
          <w:szCs w:val="24"/>
          <w:lang/>
        </w:rPr>
        <w:t>{Пункт 183.15 статті 183 із змінами, внесеними згідно із Законом </w:t>
      </w:r>
      <w:hyperlink r:id="rId289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4A651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7" w:name="n4444"/>
      <w:bookmarkEnd w:id="5267"/>
      <w:r w:rsidRPr="008B264B">
        <w:rPr>
          <w:rFonts w:ascii="Times New Roman" w:eastAsia="Times New Roman" w:hAnsi="Times New Roman" w:cs="Times New Roman"/>
          <w:color w:val="000000"/>
          <w:sz w:val="24"/>
          <w:szCs w:val="24"/>
          <w:lang/>
        </w:rPr>
        <w:t>183.16. Якщо відповідно до законодавства визначено строк, на який утворено особу, або строк, після якого змінюються дані реєстрації платника податку, реєстрація платником податку діє до закінчення такого строку.</w:t>
      </w:r>
    </w:p>
    <w:p w14:paraId="7B8678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8" w:name="n9543"/>
      <w:bookmarkEnd w:id="5268"/>
      <w:r w:rsidRPr="008B264B">
        <w:rPr>
          <w:rFonts w:ascii="Times New Roman" w:eastAsia="Times New Roman" w:hAnsi="Times New Roman" w:cs="Times New Roman"/>
          <w:i/>
          <w:iCs/>
          <w:color w:val="000000"/>
          <w:sz w:val="24"/>
          <w:szCs w:val="24"/>
          <w:lang/>
        </w:rPr>
        <w:t>{Пункт 183.16 статті 183 із змінами, внесеними згідно із Законом </w:t>
      </w:r>
      <w:hyperlink r:id="rId2894" w:anchor="n12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0C513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69" w:name="n4445"/>
      <w:bookmarkEnd w:id="5269"/>
      <w:r w:rsidRPr="008B264B">
        <w:rPr>
          <w:rFonts w:ascii="Times New Roman" w:eastAsia="Times New Roman" w:hAnsi="Times New Roman" w:cs="Times New Roman"/>
          <w:color w:val="000000"/>
          <w:sz w:val="24"/>
          <w:szCs w:val="24"/>
          <w:lang/>
        </w:rPr>
        <w:t>183.17. Особа, утворена в результаті реорганізації платника податку (крім особи, утвореної шляхом перетворення), реєструється платником податку як інша новоутворена особа в порядку, визначеному цим Кодексом, у тому числі у разі, коли до такої особи перейшли обов'язки із сплати податку у зв'язку з розподілом податкових зобов'язань чи податкового боргу.</w:t>
      </w:r>
    </w:p>
    <w:p w14:paraId="538735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0" w:name="n4446"/>
      <w:bookmarkEnd w:id="5270"/>
      <w:r w:rsidRPr="008B264B">
        <w:rPr>
          <w:rFonts w:ascii="Times New Roman" w:eastAsia="Times New Roman" w:hAnsi="Times New Roman" w:cs="Times New Roman"/>
          <w:color w:val="000000"/>
          <w:sz w:val="24"/>
          <w:szCs w:val="24"/>
          <w:lang/>
        </w:rPr>
        <w:t>183.18. Особі, що реєструється як платник податку, присвоюється індивідуальний податковий номер, який використовується для сплати податку.</w:t>
      </w:r>
    </w:p>
    <w:p w14:paraId="052BE2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1" w:name="n4447"/>
      <w:bookmarkEnd w:id="5271"/>
      <w:r w:rsidRPr="008B264B">
        <w:rPr>
          <w:rFonts w:ascii="Times New Roman" w:eastAsia="Times New Roman" w:hAnsi="Times New Roman" w:cs="Times New Roman"/>
          <w:b/>
          <w:bCs/>
          <w:color w:val="000000"/>
          <w:sz w:val="24"/>
          <w:szCs w:val="24"/>
          <w:lang/>
        </w:rPr>
        <w:t>Стаття 184.</w:t>
      </w:r>
      <w:r w:rsidRPr="008B264B">
        <w:rPr>
          <w:rFonts w:ascii="Times New Roman" w:eastAsia="Times New Roman" w:hAnsi="Times New Roman" w:cs="Times New Roman"/>
          <w:color w:val="000000"/>
          <w:sz w:val="24"/>
          <w:szCs w:val="24"/>
          <w:lang/>
        </w:rPr>
        <w:t> Анулювання реєстрації платника податку</w:t>
      </w:r>
    </w:p>
    <w:p w14:paraId="7F8E74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2" w:name="n4448"/>
      <w:bookmarkEnd w:id="5272"/>
      <w:r w:rsidRPr="008B264B">
        <w:rPr>
          <w:rFonts w:ascii="Times New Roman" w:eastAsia="Times New Roman" w:hAnsi="Times New Roman" w:cs="Times New Roman"/>
          <w:color w:val="000000"/>
          <w:sz w:val="24"/>
          <w:szCs w:val="24"/>
          <w:lang/>
        </w:rPr>
        <w:t>184.1. Реєстрація діє до дати анулювання реєстрації платника податку, яка проводиться шляхом виключення з реєстру платників податку і відбувається у разі якщо:</w:t>
      </w:r>
    </w:p>
    <w:p w14:paraId="17222A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3" w:name="n4449"/>
      <w:bookmarkEnd w:id="5273"/>
      <w:r w:rsidRPr="008B264B">
        <w:rPr>
          <w:rFonts w:ascii="Times New Roman" w:eastAsia="Times New Roman" w:hAnsi="Times New Roman" w:cs="Times New Roman"/>
          <w:color w:val="000000"/>
          <w:sz w:val="24"/>
          <w:szCs w:val="24"/>
          <w:lang/>
        </w:rPr>
        <w:lastRenderedPageBreak/>
        <w:t>а) будь-яка особа, зареєстрована як платник податку протягом попередніх 12 місяців, подала заяву про анулювання реєстрації, якщо загальна вартість оподатковуваних товарів/послуг, що надаються такою особою, за останні 12 календарних місяців була меншою від суми, визначеної </w:t>
      </w:r>
      <w:hyperlink r:id="rId2895" w:anchor="n4401" w:history="1">
        <w:r w:rsidRPr="008B264B">
          <w:rPr>
            <w:rFonts w:ascii="Times New Roman" w:eastAsia="Times New Roman" w:hAnsi="Times New Roman" w:cs="Times New Roman"/>
            <w:color w:val="0000FF"/>
            <w:sz w:val="24"/>
            <w:szCs w:val="24"/>
            <w:u w:val="single"/>
            <w:lang/>
          </w:rPr>
          <w:t>статтею 181</w:t>
        </w:r>
      </w:hyperlink>
      <w:r w:rsidRPr="008B264B">
        <w:rPr>
          <w:rFonts w:ascii="Times New Roman" w:eastAsia="Times New Roman" w:hAnsi="Times New Roman" w:cs="Times New Roman"/>
          <w:color w:val="000000"/>
          <w:sz w:val="24"/>
          <w:szCs w:val="24"/>
          <w:lang/>
        </w:rPr>
        <w:t> цього Кодексу, за умови сплати суми податкових зобов'язань у випадках, визначених цим розділом;</w:t>
      </w:r>
    </w:p>
    <w:p w14:paraId="14D257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4" w:name="n4450"/>
      <w:bookmarkEnd w:id="5274"/>
      <w:r w:rsidRPr="008B264B">
        <w:rPr>
          <w:rFonts w:ascii="Times New Roman" w:eastAsia="Times New Roman" w:hAnsi="Times New Roman" w:cs="Times New Roman"/>
          <w:color w:val="000000"/>
          <w:sz w:val="24"/>
          <w:szCs w:val="24"/>
          <w:lang/>
        </w:rPr>
        <w:t>б) будь-яка особа, зареєстрована як платник податку, прийняла рішення про припинення та затвердила ліквідаційний баланс, передавальний акт або розподільчий баланс відповідно до законодавства за умови сплати суми податкових зобов'язань із податку у випадках, визначених цим розділом;</w:t>
      </w:r>
    </w:p>
    <w:p w14:paraId="646F76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5" w:name="n4451"/>
      <w:bookmarkEnd w:id="5275"/>
      <w:r w:rsidRPr="008B264B">
        <w:rPr>
          <w:rFonts w:ascii="Times New Roman" w:eastAsia="Times New Roman" w:hAnsi="Times New Roman" w:cs="Times New Roman"/>
          <w:i/>
          <w:iCs/>
          <w:color w:val="000000"/>
          <w:sz w:val="24"/>
          <w:szCs w:val="24"/>
          <w:lang/>
        </w:rPr>
        <w:t>{Підпункт "б" пункту 184.1 статті 184 із змінами, внесеними згідно із Законом </w:t>
      </w:r>
      <w:hyperlink r:id="rId2896" w:anchor="n25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3272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6" w:name="n4452"/>
      <w:bookmarkEnd w:id="5276"/>
      <w:r w:rsidRPr="008B264B">
        <w:rPr>
          <w:rFonts w:ascii="Times New Roman" w:eastAsia="Times New Roman" w:hAnsi="Times New Roman" w:cs="Times New Roman"/>
          <w:color w:val="000000"/>
          <w:sz w:val="24"/>
          <w:szCs w:val="24"/>
          <w:lang/>
        </w:rPr>
        <w:t>в) будь-яка особа, зареєстрована як платник податку, реєструється як платник єдиного податку, умова сплати якого не передбачає сплати податку на додану вартість;</w:t>
      </w:r>
    </w:p>
    <w:p w14:paraId="300A5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7" w:name="n4453"/>
      <w:bookmarkEnd w:id="5277"/>
      <w:r w:rsidRPr="008B264B">
        <w:rPr>
          <w:rFonts w:ascii="Times New Roman" w:eastAsia="Times New Roman" w:hAnsi="Times New Roman" w:cs="Times New Roman"/>
          <w:color w:val="000000"/>
          <w:sz w:val="24"/>
          <w:szCs w:val="24"/>
          <w:lang/>
        </w:rPr>
        <w:t>г) особа, зареєстрована як платник податку, протягом 12 послідовних податкових місяців не подає контролюючому органу декларації з податку на додану вартість та/або подає таку декларацію (податковий розрахунок), яка (який) свідчить про відсутність постачання/придбання товарів/послуг, здійснених з метою формування податкового зобов'язання чи податкового кредиту;</w:t>
      </w:r>
    </w:p>
    <w:p w14:paraId="17F7E8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8" w:name="n14180"/>
      <w:bookmarkEnd w:id="5278"/>
      <w:r w:rsidRPr="008B264B">
        <w:rPr>
          <w:rFonts w:ascii="Times New Roman" w:eastAsia="Times New Roman" w:hAnsi="Times New Roman" w:cs="Times New Roman"/>
          <w:i/>
          <w:iCs/>
          <w:color w:val="000000"/>
          <w:sz w:val="24"/>
          <w:szCs w:val="24"/>
          <w:lang/>
        </w:rPr>
        <w:t>{Підпункт "г" пункту 184.1 статті 184 із змінами, внесеними згідно із Законом </w:t>
      </w:r>
      <w:hyperlink r:id="rId2897" w:anchor="n10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C9569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79" w:name="n4454"/>
      <w:bookmarkEnd w:id="5279"/>
      <w:r w:rsidRPr="008B264B">
        <w:rPr>
          <w:rFonts w:ascii="Times New Roman" w:eastAsia="Times New Roman" w:hAnsi="Times New Roman" w:cs="Times New Roman"/>
          <w:color w:val="000000"/>
          <w:sz w:val="24"/>
          <w:szCs w:val="24"/>
          <w:lang/>
        </w:rPr>
        <w:t>ґ) установчі документи будь-якої особи, зареєстрованої як платник податку, визнані рішенням суду недійсними;</w:t>
      </w:r>
    </w:p>
    <w:p w14:paraId="2B0661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0" w:name="n4455"/>
      <w:bookmarkEnd w:id="5280"/>
      <w:r w:rsidRPr="008B264B">
        <w:rPr>
          <w:rFonts w:ascii="Times New Roman" w:eastAsia="Times New Roman" w:hAnsi="Times New Roman" w:cs="Times New Roman"/>
          <w:color w:val="000000"/>
          <w:sz w:val="24"/>
          <w:szCs w:val="24"/>
          <w:lang/>
        </w:rPr>
        <w:t>д) господарським судом винесено ухвалу про ліквідацію юридичної особи - банкрута;</w:t>
      </w:r>
    </w:p>
    <w:p w14:paraId="2EE9D0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1" w:name="n4456"/>
      <w:bookmarkEnd w:id="5281"/>
      <w:r w:rsidRPr="008B264B">
        <w:rPr>
          <w:rFonts w:ascii="Times New Roman" w:eastAsia="Times New Roman" w:hAnsi="Times New Roman" w:cs="Times New Roman"/>
          <w:color w:val="000000"/>
          <w:sz w:val="24"/>
          <w:szCs w:val="24"/>
          <w:lang/>
        </w:rPr>
        <w:t>е) платник податку ліквідується за рішенням суду (фізична особа позбувається статусу суб'єкта господарювання) або особу звільнено від сплати податку чи її податкову реєстрацію анульовано (скасовано, визнано недійсною) за рішенням суду;</w:t>
      </w:r>
    </w:p>
    <w:p w14:paraId="5AF90A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2" w:name="n4457"/>
      <w:bookmarkEnd w:id="5282"/>
      <w:r w:rsidRPr="008B264B">
        <w:rPr>
          <w:rFonts w:ascii="Times New Roman" w:eastAsia="Times New Roman" w:hAnsi="Times New Roman" w:cs="Times New Roman"/>
          <w:color w:val="000000"/>
          <w:sz w:val="24"/>
          <w:szCs w:val="24"/>
          <w:lang/>
        </w:rPr>
        <w:t>є) фізична особа, зареєстрована як платник податку, померла, її оголошено померлою, визнано недієздатною або безвісно відсутньою, обмежено її цивільну дієздатність;</w:t>
      </w:r>
    </w:p>
    <w:p w14:paraId="1F0DBF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3" w:name="n4458"/>
      <w:bookmarkEnd w:id="5283"/>
      <w:r w:rsidRPr="008B264B">
        <w:rPr>
          <w:rFonts w:ascii="Times New Roman" w:eastAsia="Times New Roman" w:hAnsi="Times New Roman" w:cs="Times New Roman"/>
          <w:i/>
          <w:iCs/>
          <w:color w:val="000000"/>
          <w:sz w:val="24"/>
          <w:szCs w:val="24"/>
          <w:lang/>
        </w:rPr>
        <w:t>{Підпункт "ж" пункту 184.1 статті 184 виключено на підставі Закону </w:t>
      </w:r>
      <w:hyperlink r:id="rId2898" w:anchor="n17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D806D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4" w:name="n4459"/>
      <w:bookmarkEnd w:id="5284"/>
      <w:r w:rsidRPr="008B264B">
        <w:rPr>
          <w:rFonts w:ascii="Times New Roman" w:eastAsia="Times New Roman" w:hAnsi="Times New Roman" w:cs="Times New Roman"/>
          <w:color w:val="000000"/>
          <w:sz w:val="24"/>
          <w:szCs w:val="24"/>
          <w:lang/>
        </w:rPr>
        <w:t>з) припинено дію договору про спільну діяльність, договору управління майном, угоди про розподіл продукції (для платників податку, зазначених у </w:t>
      </w:r>
      <w:hyperlink r:id="rId2899" w:anchor="n4388" w:history="1">
        <w:r w:rsidRPr="008B264B">
          <w:rPr>
            <w:rFonts w:ascii="Times New Roman" w:eastAsia="Times New Roman" w:hAnsi="Times New Roman" w:cs="Times New Roman"/>
            <w:color w:val="0000FF"/>
            <w:sz w:val="24"/>
            <w:szCs w:val="24"/>
            <w:u w:val="single"/>
            <w:lang/>
          </w:rPr>
          <w:t>підпунктах 4</w:t>
        </w:r>
      </w:hyperlink>
      <w:r w:rsidRPr="008B264B">
        <w:rPr>
          <w:rFonts w:ascii="Times New Roman" w:eastAsia="Times New Roman" w:hAnsi="Times New Roman" w:cs="Times New Roman"/>
          <w:color w:val="000000"/>
          <w:sz w:val="24"/>
          <w:szCs w:val="24"/>
          <w:lang/>
        </w:rPr>
        <w:t>, </w:t>
      </w:r>
      <w:hyperlink r:id="rId2900" w:anchor="n4389" w:history="1">
        <w:r w:rsidRPr="008B264B">
          <w:rPr>
            <w:rFonts w:ascii="Times New Roman" w:eastAsia="Times New Roman" w:hAnsi="Times New Roman" w:cs="Times New Roman"/>
            <w:color w:val="0000FF"/>
            <w:sz w:val="24"/>
            <w:szCs w:val="24"/>
            <w:u w:val="single"/>
            <w:lang/>
          </w:rPr>
          <w:t>5</w:t>
        </w:r>
      </w:hyperlink>
      <w:r w:rsidRPr="008B264B">
        <w:rPr>
          <w:rFonts w:ascii="Times New Roman" w:eastAsia="Times New Roman" w:hAnsi="Times New Roman" w:cs="Times New Roman"/>
          <w:color w:val="000000"/>
          <w:sz w:val="24"/>
          <w:szCs w:val="24"/>
          <w:lang/>
        </w:rPr>
        <w:t> і </w:t>
      </w:r>
      <w:hyperlink r:id="rId2901" w:anchor="n4395" w:history="1">
        <w:r w:rsidRPr="008B264B">
          <w:rPr>
            <w:rFonts w:ascii="Times New Roman" w:eastAsia="Times New Roman" w:hAnsi="Times New Roman" w:cs="Times New Roman"/>
            <w:color w:val="0000FF"/>
            <w:sz w:val="24"/>
            <w:szCs w:val="24"/>
            <w:u w:val="single"/>
            <w:lang/>
          </w:rPr>
          <w:t>8 пункту 180.1 статті 180</w:t>
        </w:r>
      </w:hyperlink>
      <w:r w:rsidRPr="008B264B">
        <w:rPr>
          <w:rFonts w:ascii="Times New Roman" w:eastAsia="Times New Roman" w:hAnsi="Times New Roman" w:cs="Times New Roman"/>
          <w:color w:val="000000"/>
          <w:sz w:val="24"/>
          <w:szCs w:val="24"/>
          <w:lang/>
        </w:rPr>
        <w:t> цього Кодексу) або закінчився строк, на який утворено особу, зареєстровану як платник податку.</w:t>
      </w:r>
    </w:p>
    <w:p w14:paraId="72F0E7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5" w:name="n9545"/>
      <w:bookmarkEnd w:id="5285"/>
      <w:r w:rsidRPr="008B264B">
        <w:rPr>
          <w:rFonts w:ascii="Times New Roman" w:eastAsia="Times New Roman" w:hAnsi="Times New Roman" w:cs="Times New Roman"/>
          <w:i/>
          <w:iCs/>
          <w:color w:val="000000"/>
          <w:sz w:val="24"/>
          <w:szCs w:val="24"/>
          <w:lang/>
        </w:rPr>
        <w:t>{Підпункт "з" пункту 184.1 статті 184 в редакції Закону </w:t>
      </w:r>
      <w:hyperlink r:id="rId2902" w:anchor="n12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EFE1F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6" w:name="n4460"/>
      <w:bookmarkEnd w:id="5286"/>
      <w:r w:rsidRPr="008B264B">
        <w:rPr>
          <w:rFonts w:ascii="Times New Roman" w:eastAsia="Times New Roman" w:hAnsi="Times New Roman" w:cs="Times New Roman"/>
          <w:i/>
          <w:iCs/>
          <w:color w:val="000000"/>
          <w:sz w:val="24"/>
          <w:szCs w:val="24"/>
          <w:lang/>
        </w:rPr>
        <w:t>{Підпункт "и" пункту 184.1 статті 184 виключено на підставі Закону </w:t>
      </w:r>
      <w:hyperlink r:id="rId2903" w:anchor="n25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619B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7" w:name="n4461"/>
      <w:bookmarkEnd w:id="5287"/>
      <w:r w:rsidRPr="008B264B">
        <w:rPr>
          <w:rFonts w:ascii="Times New Roman" w:eastAsia="Times New Roman" w:hAnsi="Times New Roman" w:cs="Times New Roman"/>
          <w:color w:val="000000"/>
          <w:sz w:val="24"/>
          <w:szCs w:val="24"/>
          <w:lang/>
        </w:rPr>
        <w:t>184.2. Анулювання реєстрації на підставі, визначеній у </w:t>
      </w:r>
      <w:hyperlink r:id="rId2904" w:anchor="n4448" w:history="1">
        <w:r w:rsidRPr="008B264B">
          <w:rPr>
            <w:rFonts w:ascii="Times New Roman" w:eastAsia="Times New Roman" w:hAnsi="Times New Roman" w:cs="Times New Roman"/>
            <w:color w:val="0000FF"/>
            <w:sz w:val="24"/>
            <w:szCs w:val="24"/>
            <w:u w:val="single"/>
            <w:lang/>
          </w:rPr>
          <w:t>підпункті "а" пункту 184.1</w:t>
        </w:r>
      </w:hyperlink>
      <w:r w:rsidRPr="008B264B">
        <w:rPr>
          <w:rFonts w:ascii="Times New Roman" w:eastAsia="Times New Roman" w:hAnsi="Times New Roman" w:cs="Times New Roman"/>
          <w:color w:val="000000"/>
          <w:sz w:val="24"/>
          <w:szCs w:val="24"/>
          <w:lang/>
        </w:rPr>
        <w:t> цієї статті, здійснюється за </w:t>
      </w:r>
      <w:hyperlink r:id="rId2905" w:anchor="n420" w:tgtFrame="_blank" w:history="1">
        <w:r w:rsidRPr="008B264B">
          <w:rPr>
            <w:rFonts w:ascii="Times New Roman" w:eastAsia="Times New Roman" w:hAnsi="Times New Roman" w:cs="Times New Roman"/>
            <w:color w:val="0000FF"/>
            <w:sz w:val="24"/>
            <w:szCs w:val="24"/>
            <w:u w:val="single"/>
            <w:lang/>
          </w:rPr>
          <w:t>заявою</w:t>
        </w:r>
      </w:hyperlink>
      <w:r w:rsidRPr="008B264B">
        <w:rPr>
          <w:rFonts w:ascii="Times New Roman" w:eastAsia="Times New Roman" w:hAnsi="Times New Roman" w:cs="Times New Roman"/>
          <w:color w:val="000000"/>
          <w:sz w:val="24"/>
          <w:szCs w:val="24"/>
          <w:lang/>
        </w:rPr>
        <w:t> платника податку, а на підставах, визначених у </w:t>
      </w:r>
      <w:hyperlink r:id="rId2906" w:anchor="n4450" w:history="1">
        <w:r w:rsidRPr="008B264B">
          <w:rPr>
            <w:rFonts w:ascii="Times New Roman" w:eastAsia="Times New Roman" w:hAnsi="Times New Roman" w:cs="Times New Roman"/>
            <w:color w:val="0000FF"/>
            <w:sz w:val="24"/>
            <w:szCs w:val="24"/>
            <w:u w:val="single"/>
            <w:lang/>
          </w:rPr>
          <w:t>підпунктах "б"-"з" пункту 184.1</w:t>
        </w:r>
      </w:hyperlink>
      <w:r w:rsidRPr="008B264B">
        <w:rPr>
          <w:rFonts w:ascii="Times New Roman" w:eastAsia="Times New Roman" w:hAnsi="Times New Roman" w:cs="Times New Roman"/>
          <w:color w:val="000000"/>
          <w:sz w:val="24"/>
          <w:szCs w:val="24"/>
          <w:lang/>
        </w:rPr>
        <w:t> цієї статті, може здійснюватися за заявою платника податку або за самостійним рішенням відповідного контролюючого органу.</w:t>
      </w:r>
    </w:p>
    <w:p w14:paraId="73AD35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8" w:name="n4462"/>
      <w:bookmarkEnd w:id="5288"/>
      <w:r w:rsidRPr="008B264B">
        <w:rPr>
          <w:rFonts w:ascii="Times New Roman" w:eastAsia="Times New Roman" w:hAnsi="Times New Roman" w:cs="Times New Roman"/>
          <w:color w:val="000000"/>
          <w:sz w:val="24"/>
          <w:szCs w:val="24"/>
          <w:lang/>
        </w:rPr>
        <w:t>Анулювання реєстрації здійснюється на дату:</w:t>
      </w:r>
    </w:p>
    <w:p w14:paraId="56DAE3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89" w:name="n4463"/>
      <w:bookmarkEnd w:id="5289"/>
      <w:r w:rsidRPr="008B264B">
        <w:rPr>
          <w:rFonts w:ascii="Times New Roman" w:eastAsia="Times New Roman" w:hAnsi="Times New Roman" w:cs="Times New Roman"/>
          <w:i/>
          <w:iCs/>
          <w:color w:val="000000"/>
          <w:sz w:val="24"/>
          <w:szCs w:val="24"/>
          <w:lang/>
        </w:rPr>
        <w:t>{Пункт 184.2 статті 184 доповнено абзацом згідно із Законом </w:t>
      </w:r>
      <w:hyperlink r:id="rId2907" w:anchor="n25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645B4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0" w:name="n4464"/>
      <w:bookmarkEnd w:id="5290"/>
      <w:r w:rsidRPr="008B264B">
        <w:rPr>
          <w:rFonts w:ascii="Times New Roman" w:eastAsia="Times New Roman" w:hAnsi="Times New Roman" w:cs="Times New Roman"/>
          <w:color w:val="000000"/>
          <w:sz w:val="24"/>
          <w:szCs w:val="24"/>
          <w:lang/>
        </w:rPr>
        <w:t>подання заяви платником податку або прийняття рішення контролюючим органом про анулювання реєстрації;</w:t>
      </w:r>
    </w:p>
    <w:p w14:paraId="5B323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1" w:name="n4465"/>
      <w:bookmarkEnd w:id="5291"/>
      <w:r w:rsidRPr="008B264B">
        <w:rPr>
          <w:rFonts w:ascii="Times New Roman" w:eastAsia="Times New Roman" w:hAnsi="Times New Roman" w:cs="Times New Roman"/>
          <w:i/>
          <w:iCs/>
          <w:color w:val="000000"/>
          <w:sz w:val="24"/>
          <w:szCs w:val="24"/>
          <w:lang/>
        </w:rPr>
        <w:lastRenderedPageBreak/>
        <w:t>{Пункт 184.2 статті 184 доповнено абзацом згідно із Законом </w:t>
      </w:r>
      <w:hyperlink r:id="rId2908" w:anchor="n25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909" w:anchor="n12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0DC7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2" w:name="n4466"/>
      <w:bookmarkEnd w:id="5292"/>
      <w:r w:rsidRPr="008B264B">
        <w:rPr>
          <w:rFonts w:ascii="Times New Roman" w:eastAsia="Times New Roman" w:hAnsi="Times New Roman" w:cs="Times New Roman"/>
          <w:color w:val="000000"/>
          <w:sz w:val="24"/>
          <w:szCs w:val="24"/>
          <w:lang/>
        </w:rPr>
        <w:t>зазначену в судовому рішенні;</w:t>
      </w:r>
    </w:p>
    <w:p w14:paraId="16211F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3" w:name="n4467"/>
      <w:bookmarkEnd w:id="5293"/>
      <w:r w:rsidRPr="008B264B">
        <w:rPr>
          <w:rFonts w:ascii="Times New Roman" w:eastAsia="Times New Roman" w:hAnsi="Times New Roman" w:cs="Times New Roman"/>
          <w:i/>
          <w:iCs/>
          <w:color w:val="000000"/>
          <w:sz w:val="24"/>
          <w:szCs w:val="24"/>
          <w:lang/>
        </w:rPr>
        <w:t>{Пункт 184.2 статті 184 доповнено абзацом згідно із Законом </w:t>
      </w:r>
      <w:hyperlink r:id="rId2910" w:anchor="n25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FC5BE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4" w:name="n4468"/>
      <w:bookmarkEnd w:id="5294"/>
      <w:r w:rsidRPr="008B264B">
        <w:rPr>
          <w:rFonts w:ascii="Times New Roman" w:eastAsia="Times New Roman" w:hAnsi="Times New Roman" w:cs="Times New Roman"/>
          <w:color w:val="000000"/>
          <w:sz w:val="24"/>
          <w:szCs w:val="24"/>
          <w:lang/>
        </w:rPr>
        <w:t>припинення дії договору про спільну діяльність, договору управління майном, угоди про розподіл продукції або закінчення строку, на який утворено особу, зареєстровану як платник податку;</w:t>
      </w:r>
    </w:p>
    <w:p w14:paraId="3027E6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5" w:name="n4469"/>
      <w:bookmarkEnd w:id="5295"/>
      <w:r w:rsidRPr="008B264B">
        <w:rPr>
          <w:rFonts w:ascii="Times New Roman" w:eastAsia="Times New Roman" w:hAnsi="Times New Roman" w:cs="Times New Roman"/>
          <w:i/>
          <w:iCs/>
          <w:color w:val="000000"/>
          <w:sz w:val="24"/>
          <w:szCs w:val="24"/>
          <w:lang/>
        </w:rPr>
        <w:t>{Пункт 184.2 статті 184 доповнено абзацом згідно із Законом </w:t>
      </w:r>
      <w:hyperlink r:id="rId2911" w:anchor="n25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912" w:anchor="n12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5B10A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6" w:name="n4470"/>
      <w:bookmarkEnd w:id="5296"/>
      <w:r w:rsidRPr="008B264B">
        <w:rPr>
          <w:rFonts w:ascii="Times New Roman" w:eastAsia="Times New Roman" w:hAnsi="Times New Roman" w:cs="Times New Roman"/>
          <w:color w:val="000000"/>
          <w:sz w:val="24"/>
          <w:szCs w:val="24"/>
          <w:lang/>
        </w:rPr>
        <w:t>що передує дню втрати особою статусу платника податку на додану вартість.</w:t>
      </w:r>
    </w:p>
    <w:p w14:paraId="73EE22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7" w:name="n4471"/>
      <w:bookmarkEnd w:id="5297"/>
      <w:r w:rsidRPr="008B264B">
        <w:rPr>
          <w:rFonts w:ascii="Times New Roman" w:eastAsia="Times New Roman" w:hAnsi="Times New Roman" w:cs="Times New Roman"/>
          <w:i/>
          <w:iCs/>
          <w:color w:val="000000"/>
          <w:sz w:val="24"/>
          <w:szCs w:val="24"/>
          <w:lang/>
        </w:rPr>
        <w:t>{Пункт 184.2 статті 184 доповнено абзацом згідно із Законом </w:t>
      </w:r>
      <w:hyperlink r:id="rId2913" w:anchor="n25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19F34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8" w:name="n9547"/>
      <w:bookmarkEnd w:id="5298"/>
      <w:r w:rsidRPr="008B264B">
        <w:rPr>
          <w:rFonts w:ascii="Times New Roman" w:eastAsia="Times New Roman" w:hAnsi="Times New Roman" w:cs="Times New Roman"/>
          <w:color w:val="000000"/>
          <w:sz w:val="24"/>
          <w:szCs w:val="24"/>
          <w:lang/>
        </w:rPr>
        <w:t>При цьому датою анулювання реєстрації платника податку визначається дата, що настала раніше.</w:t>
      </w:r>
    </w:p>
    <w:p w14:paraId="23B5E7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299" w:name="n9546"/>
      <w:bookmarkEnd w:id="5299"/>
      <w:r w:rsidRPr="008B264B">
        <w:rPr>
          <w:rFonts w:ascii="Times New Roman" w:eastAsia="Times New Roman" w:hAnsi="Times New Roman" w:cs="Times New Roman"/>
          <w:i/>
          <w:iCs/>
          <w:color w:val="000000"/>
          <w:sz w:val="24"/>
          <w:szCs w:val="24"/>
          <w:lang/>
        </w:rPr>
        <w:t>{Пункт 184.2 статті 184 доповнено абзацом згідно із Законом </w:t>
      </w:r>
      <w:hyperlink r:id="rId2914" w:anchor="n12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48F90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0" w:name="n4472"/>
      <w:bookmarkEnd w:id="5300"/>
      <w:r w:rsidRPr="008B264B">
        <w:rPr>
          <w:rFonts w:ascii="Times New Roman" w:eastAsia="Times New Roman" w:hAnsi="Times New Roman" w:cs="Times New Roman"/>
          <w:i/>
          <w:iCs/>
          <w:color w:val="000000"/>
          <w:sz w:val="24"/>
          <w:szCs w:val="24"/>
          <w:lang/>
        </w:rPr>
        <w:t>{Пункт 184.2 статті 184 із змінами, внесеними згідно із Законом </w:t>
      </w:r>
      <w:hyperlink r:id="rId2915" w:anchor="n25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295D6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1" w:name="n4473"/>
      <w:bookmarkEnd w:id="5301"/>
      <w:r w:rsidRPr="008B264B">
        <w:rPr>
          <w:rFonts w:ascii="Times New Roman" w:eastAsia="Times New Roman" w:hAnsi="Times New Roman" w:cs="Times New Roman"/>
          <w:color w:val="000000"/>
          <w:sz w:val="24"/>
          <w:szCs w:val="24"/>
          <w:lang/>
        </w:rPr>
        <w:t>184.3. Контролюючий орган анулює реєстрацію особи як платника податку, що подав заяву про анулювання реєстрації, якщо встановить, що він відповідає вимогам </w:t>
      </w:r>
      <w:hyperlink r:id="rId2916" w:anchor="n4448" w:history="1">
        <w:r w:rsidRPr="008B264B">
          <w:rPr>
            <w:rFonts w:ascii="Times New Roman" w:eastAsia="Times New Roman" w:hAnsi="Times New Roman" w:cs="Times New Roman"/>
            <w:color w:val="0000FF"/>
            <w:sz w:val="24"/>
            <w:szCs w:val="24"/>
            <w:u w:val="single"/>
            <w:lang/>
          </w:rPr>
          <w:t>пункту 184.1</w:t>
        </w:r>
      </w:hyperlink>
      <w:r w:rsidRPr="008B264B">
        <w:rPr>
          <w:rFonts w:ascii="Times New Roman" w:eastAsia="Times New Roman" w:hAnsi="Times New Roman" w:cs="Times New Roman"/>
          <w:color w:val="000000"/>
          <w:sz w:val="24"/>
          <w:szCs w:val="24"/>
          <w:lang/>
        </w:rPr>
        <w:t> цієї статті.</w:t>
      </w:r>
    </w:p>
    <w:p w14:paraId="29448B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2" w:name="n4474"/>
      <w:bookmarkEnd w:id="5302"/>
      <w:r w:rsidRPr="008B264B">
        <w:rPr>
          <w:rFonts w:ascii="Times New Roman" w:eastAsia="Times New Roman" w:hAnsi="Times New Roman" w:cs="Times New Roman"/>
          <w:color w:val="000000"/>
          <w:sz w:val="24"/>
          <w:szCs w:val="24"/>
          <w:lang/>
        </w:rPr>
        <w:t>184.4. У разі відсутності законних підстав для анулювання реєстрації контролюючий орган протягом 10 календарних днів після надходження заяви платника податку про анулювання реєстрації подає такому платникові податку вмотивовану письмову відмову в анулюванні реєстрації з поясненнями із зазначеного питання.</w:t>
      </w:r>
    </w:p>
    <w:p w14:paraId="45AA78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3" w:name="n4475"/>
      <w:bookmarkEnd w:id="5303"/>
      <w:r w:rsidRPr="008B264B">
        <w:rPr>
          <w:rFonts w:ascii="Times New Roman" w:eastAsia="Times New Roman" w:hAnsi="Times New Roman" w:cs="Times New Roman"/>
          <w:color w:val="000000"/>
          <w:sz w:val="24"/>
          <w:szCs w:val="24"/>
          <w:lang/>
        </w:rPr>
        <w:t>184.5. З моменту анулювання реєстрації особи як платника податку така особа позбавляється права на віднесення сум податку до податкового кредиту, складання податкових накладних.</w:t>
      </w:r>
    </w:p>
    <w:p w14:paraId="37E5CB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4" w:name="n14181"/>
      <w:bookmarkEnd w:id="5304"/>
      <w:r w:rsidRPr="008B264B">
        <w:rPr>
          <w:rFonts w:ascii="Times New Roman" w:eastAsia="Times New Roman" w:hAnsi="Times New Roman" w:cs="Times New Roman"/>
          <w:i/>
          <w:iCs/>
          <w:color w:val="000000"/>
          <w:sz w:val="24"/>
          <w:szCs w:val="24"/>
          <w:lang/>
        </w:rPr>
        <w:t>{Пункт 184.5 статті 184 із змінами, внесеними згідно із Законом </w:t>
      </w:r>
      <w:hyperlink r:id="rId2917" w:anchor="n10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C8C1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5" w:name="n4476"/>
      <w:bookmarkEnd w:id="5305"/>
      <w:r w:rsidRPr="008B264B">
        <w:rPr>
          <w:rFonts w:ascii="Times New Roman" w:eastAsia="Times New Roman" w:hAnsi="Times New Roman" w:cs="Times New Roman"/>
          <w:color w:val="000000"/>
          <w:sz w:val="24"/>
          <w:szCs w:val="24"/>
          <w:lang/>
        </w:rPr>
        <w:t>184.6. У разі анулювання реєстрації особи як платника податку останнім звітним (податковим) періодом є період, який розпочинається від дня, що настає за останнім днем попереднього податкового періоду, та закінчується днем анулювання реєстрації.</w:t>
      </w:r>
    </w:p>
    <w:p w14:paraId="01B07A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6" w:name="n4477"/>
      <w:bookmarkEnd w:id="5306"/>
      <w:r w:rsidRPr="008B264B">
        <w:rPr>
          <w:rFonts w:ascii="Times New Roman" w:eastAsia="Times New Roman" w:hAnsi="Times New Roman" w:cs="Times New Roman"/>
          <w:color w:val="000000"/>
          <w:sz w:val="24"/>
          <w:szCs w:val="24"/>
          <w:lang/>
        </w:rPr>
        <w:t>184.7. Якщо товари/послуги, необоротні активи, суми податку по яких були включені до складу податкового кредиту, не були використані в оподатковуваних операціях у межах господарської діяльності, такий платник податку в останньому звітному (податковому) періоді не пізніше дати анулювання його реєстрації як платника податку зобов'язаний визначити податкові зобов'язання по таких товарах/послугах, необоротних активах виходячи із звичайної ціни відповідних товарів/послуг чи необоротних активів, крім випадків анулювання реєстрації як платника податку внаслідок реорганізації платника податку шляхом приєднання, злиття, перетворення, поділу та виділення відповідно до закону.</w:t>
      </w:r>
    </w:p>
    <w:p w14:paraId="6A4F41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7" w:name="n4478"/>
      <w:bookmarkEnd w:id="5307"/>
      <w:r w:rsidRPr="008B264B">
        <w:rPr>
          <w:rFonts w:ascii="Times New Roman" w:eastAsia="Times New Roman" w:hAnsi="Times New Roman" w:cs="Times New Roman"/>
          <w:i/>
          <w:iCs/>
          <w:color w:val="000000"/>
          <w:sz w:val="24"/>
          <w:szCs w:val="24"/>
          <w:lang/>
        </w:rPr>
        <w:t>{Пункт 184.7 статті 184 із змінами, внесеними згідно із Законом </w:t>
      </w:r>
      <w:hyperlink r:id="rId291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919" w:anchor="n26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D8201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8" w:name="n4479"/>
      <w:bookmarkEnd w:id="5308"/>
      <w:r w:rsidRPr="008B264B">
        <w:rPr>
          <w:rFonts w:ascii="Times New Roman" w:eastAsia="Times New Roman" w:hAnsi="Times New Roman" w:cs="Times New Roman"/>
          <w:color w:val="000000"/>
          <w:sz w:val="24"/>
          <w:szCs w:val="24"/>
          <w:lang/>
        </w:rPr>
        <w:t>184.8. У разі якщо платник податку, реєстрація якого анулюється, має податкові зобов'язання за результатами останнього податкового періоду, така сума податку враховується в суму зменшення бюджетного відшкодування, а в разі його відсутності у строки, визначені цим Кодексом, платник зобов'язаний погасити суму податкових зобов'язань або податкового боргу з цього податку, що виникли до такого анулювання, за їх наявності, незалежно від того, залишатиметься така особа зареєстрованою як платник цього податку на день сплати такої суми податку чи ні.</w:t>
      </w:r>
    </w:p>
    <w:p w14:paraId="7F8088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09" w:name="n4480"/>
      <w:bookmarkEnd w:id="5309"/>
      <w:r w:rsidRPr="008B264B">
        <w:rPr>
          <w:rFonts w:ascii="Times New Roman" w:eastAsia="Times New Roman" w:hAnsi="Times New Roman" w:cs="Times New Roman"/>
          <w:i/>
          <w:iCs/>
          <w:color w:val="000000"/>
          <w:sz w:val="24"/>
          <w:szCs w:val="24"/>
          <w:lang/>
        </w:rPr>
        <w:lastRenderedPageBreak/>
        <w:t>{Пункт 184.8 статті 184 в редакції Закону </w:t>
      </w:r>
      <w:hyperlink r:id="rId2920" w:anchor="n26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0EF70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0" w:name="n4481"/>
      <w:bookmarkEnd w:id="5310"/>
      <w:r w:rsidRPr="008B264B">
        <w:rPr>
          <w:rFonts w:ascii="Times New Roman" w:eastAsia="Times New Roman" w:hAnsi="Times New Roman" w:cs="Times New Roman"/>
          <w:color w:val="000000"/>
          <w:sz w:val="24"/>
          <w:szCs w:val="24"/>
          <w:lang/>
        </w:rPr>
        <w:t>184.9. У разі якщо за результатами останнього податкового періоду особа має право на отримання бюджетного відшкодування, таке відшкодування надається протягом строків, визначених цим розділом, незалежно від того, чи буде така особа залишатися зареєстрованою як платник цього податку на дату отримання такого бюджетного відшкодування, чи ні.</w:t>
      </w:r>
    </w:p>
    <w:p w14:paraId="7CBD9C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1" w:name="n4482"/>
      <w:bookmarkEnd w:id="5311"/>
      <w:r w:rsidRPr="008B264B">
        <w:rPr>
          <w:rFonts w:ascii="Times New Roman" w:eastAsia="Times New Roman" w:hAnsi="Times New Roman" w:cs="Times New Roman"/>
          <w:color w:val="000000"/>
          <w:sz w:val="24"/>
          <w:szCs w:val="24"/>
          <w:lang/>
        </w:rPr>
        <w:t>184.10. Про анулювання реєстрації платника податку контролюючий орган зобов'язаний письмово повідомити особу протягом трьох робочих днів після дня анулювання такої реєстрації.</w:t>
      </w:r>
    </w:p>
    <w:p w14:paraId="1124EF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2" w:name="n4483"/>
      <w:bookmarkEnd w:id="5312"/>
      <w:r w:rsidRPr="008B264B">
        <w:rPr>
          <w:rFonts w:ascii="Times New Roman" w:eastAsia="Times New Roman" w:hAnsi="Times New Roman" w:cs="Times New Roman"/>
          <w:b/>
          <w:bCs/>
          <w:color w:val="000000"/>
          <w:sz w:val="24"/>
          <w:szCs w:val="24"/>
          <w:lang/>
        </w:rPr>
        <w:t>Стаття 185.</w:t>
      </w:r>
      <w:r w:rsidRPr="008B264B">
        <w:rPr>
          <w:rFonts w:ascii="Times New Roman" w:eastAsia="Times New Roman" w:hAnsi="Times New Roman" w:cs="Times New Roman"/>
          <w:color w:val="000000"/>
          <w:sz w:val="24"/>
          <w:szCs w:val="24"/>
          <w:lang/>
        </w:rPr>
        <w:t> Визначення об'єкта оподаткування</w:t>
      </w:r>
    </w:p>
    <w:p w14:paraId="5111A5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3" w:name="n4484"/>
      <w:bookmarkEnd w:id="5313"/>
      <w:r w:rsidRPr="008B264B">
        <w:rPr>
          <w:rFonts w:ascii="Times New Roman" w:eastAsia="Times New Roman" w:hAnsi="Times New Roman" w:cs="Times New Roman"/>
          <w:color w:val="000000"/>
          <w:sz w:val="24"/>
          <w:szCs w:val="24"/>
          <w:lang/>
        </w:rPr>
        <w:t>185.1. Об'єктом оподаткування є операції платників податку з:</w:t>
      </w:r>
    </w:p>
    <w:p w14:paraId="2D0357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4" w:name="n4485"/>
      <w:bookmarkEnd w:id="5314"/>
      <w:r w:rsidRPr="008B264B">
        <w:rPr>
          <w:rFonts w:ascii="Times New Roman" w:eastAsia="Times New Roman" w:hAnsi="Times New Roman" w:cs="Times New Roman"/>
          <w:color w:val="000000"/>
          <w:sz w:val="24"/>
          <w:szCs w:val="24"/>
          <w:lang/>
        </w:rPr>
        <w:t>а) постачання товарів, місце постачання яких розташоване на митній території України, відповідно до </w:t>
      </w:r>
      <w:hyperlink r:id="rId2921" w:anchor="n4496" w:history="1">
        <w:r w:rsidRPr="008B264B">
          <w:rPr>
            <w:rFonts w:ascii="Times New Roman" w:eastAsia="Times New Roman" w:hAnsi="Times New Roman" w:cs="Times New Roman"/>
            <w:color w:val="0000FF"/>
            <w:sz w:val="24"/>
            <w:szCs w:val="24"/>
            <w:u w:val="single"/>
            <w:lang/>
          </w:rPr>
          <w:t>статті 186</w:t>
        </w:r>
      </w:hyperlink>
      <w:r w:rsidRPr="008B264B">
        <w:rPr>
          <w:rFonts w:ascii="Times New Roman" w:eastAsia="Times New Roman" w:hAnsi="Times New Roman" w:cs="Times New Roman"/>
          <w:color w:val="000000"/>
          <w:sz w:val="24"/>
          <w:szCs w:val="24"/>
          <w:lang/>
        </w:rPr>
        <w:t> цього Кодексу, у тому числі операції з безоплатної передачі та з передачі права власності на об'єкти застави позичальнику (кредитору), на товари, що передаються на умовах товарного кредиту, а також з передачі об'єкта фінансового лізингу в користування лізингоотримувачу/орендарю;</w:t>
      </w:r>
    </w:p>
    <w:p w14:paraId="74373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5" w:name="n14182"/>
      <w:bookmarkEnd w:id="5315"/>
      <w:r w:rsidRPr="008B264B">
        <w:rPr>
          <w:rFonts w:ascii="Times New Roman" w:eastAsia="Times New Roman" w:hAnsi="Times New Roman" w:cs="Times New Roman"/>
          <w:i/>
          <w:iCs/>
          <w:color w:val="000000"/>
          <w:sz w:val="24"/>
          <w:szCs w:val="24"/>
          <w:lang/>
        </w:rPr>
        <w:t>{Підпункт "а" пункту 185.1 статті 185 із змінами, внесеними згідно із Законом </w:t>
      </w:r>
      <w:hyperlink r:id="rId2922" w:anchor="n10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1018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6" w:name="n4486"/>
      <w:bookmarkEnd w:id="5316"/>
      <w:r w:rsidRPr="008B264B">
        <w:rPr>
          <w:rFonts w:ascii="Times New Roman" w:eastAsia="Times New Roman" w:hAnsi="Times New Roman" w:cs="Times New Roman"/>
          <w:color w:val="000000"/>
          <w:sz w:val="24"/>
          <w:szCs w:val="24"/>
          <w:lang/>
        </w:rPr>
        <w:t>б) постачання послуг, місце постачання яких розташоване на митній території України, відповідно до статті 186 цього Кодексу;</w:t>
      </w:r>
    </w:p>
    <w:p w14:paraId="55842D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7" w:name="n4487"/>
      <w:bookmarkEnd w:id="5317"/>
      <w:r w:rsidRPr="008B264B">
        <w:rPr>
          <w:rFonts w:ascii="Times New Roman" w:eastAsia="Times New Roman" w:hAnsi="Times New Roman" w:cs="Times New Roman"/>
          <w:color w:val="000000"/>
          <w:sz w:val="24"/>
          <w:szCs w:val="24"/>
          <w:lang/>
        </w:rPr>
        <w:t>в) ввезення товарів на митну територію України;</w:t>
      </w:r>
    </w:p>
    <w:p w14:paraId="4ACD00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8" w:name="n4488"/>
      <w:bookmarkEnd w:id="5318"/>
      <w:r w:rsidRPr="008B264B">
        <w:rPr>
          <w:rFonts w:ascii="Times New Roman" w:eastAsia="Times New Roman" w:hAnsi="Times New Roman" w:cs="Times New Roman"/>
          <w:i/>
          <w:iCs/>
          <w:color w:val="000000"/>
          <w:sz w:val="24"/>
          <w:szCs w:val="24"/>
          <w:lang/>
        </w:rPr>
        <w:t>{Підпункт "в" пункту 185.1 статті 185 в редакції Закону </w:t>
      </w:r>
      <w:hyperlink r:id="rId2923" w:anchor="n33"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59480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19" w:name="n4489"/>
      <w:bookmarkEnd w:id="5319"/>
      <w:r w:rsidRPr="008B264B">
        <w:rPr>
          <w:rFonts w:ascii="Times New Roman" w:eastAsia="Times New Roman" w:hAnsi="Times New Roman" w:cs="Times New Roman"/>
          <w:color w:val="000000"/>
          <w:sz w:val="24"/>
          <w:szCs w:val="24"/>
          <w:lang/>
        </w:rPr>
        <w:t>г) вивезення товарів за межі митної території України;</w:t>
      </w:r>
    </w:p>
    <w:p w14:paraId="1D21D4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0" w:name="n4490"/>
      <w:bookmarkEnd w:id="5320"/>
      <w:r w:rsidRPr="008B264B">
        <w:rPr>
          <w:rFonts w:ascii="Times New Roman" w:eastAsia="Times New Roman" w:hAnsi="Times New Roman" w:cs="Times New Roman"/>
          <w:i/>
          <w:iCs/>
          <w:color w:val="000000"/>
          <w:sz w:val="24"/>
          <w:szCs w:val="24"/>
          <w:lang/>
        </w:rPr>
        <w:t>{Підпункт "г" пункту 185.1 статті 185 в редакції Закону </w:t>
      </w:r>
      <w:hyperlink r:id="rId2924" w:anchor="n33"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5E0BC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1" w:name="n4491"/>
      <w:bookmarkEnd w:id="5321"/>
      <w:r w:rsidRPr="008B264B">
        <w:rPr>
          <w:rFonts w:ascii="Times New Roman" w:eastAsia="Times New Roman" w:hAnsi="Times New Roman" w:cs="Times New Roman"/>
          <w:i/>
          <w:iCs/>
          <w:color w:val="000000"/>
          <w:sz w:val="24"/>
          <w:szCs w:val="24"/>
          <w:lang/>
        </w:rPr>
        <w:t>{Підпункт "ґ" пункту 185.1 статті 185 виключено на підставі Закону </w:t>
      </w:r>
      <w:hyperlink r:id="rId2925" w:anchor="n3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99B7B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2" w:name="n4492"/>
      <w:bookmarkEnd w:id="5322"/>
      <w:r w:rsidRPr="008B264B">
        <w:rPr>
          <w:rFonts w:ascii="Times New Roman" w:eastAsia="Times New Roman" w:hAnsi="Times New Roman" w:cs="Times New Roman"/>
          <w:i/>
          <w:iCs/>
          <w:color w:val="000000"/>
          <w:sz w:val="24"/>
          <w:szCs w:val="24"/>
          <w:lang/>
        </w:rPr>
        <w:t>{Підпункт "д" пункту 185.1 статті 185 виключено на підставі Закону </w:t>
      </w:r>
      <w:hyperlink r:id="rId2926" w:anchor="n3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2CE512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3" w:name="n4493"/>
      <w:bookmarkEnd w:id="5323"/>
      <w:r w:rsidRPr="008B264B">
        <w:rPr>
          <w:rFonts w:ascii="Times New Roman" w:eastAsia="Times New Roman" w:hAnsi="Times New Roman" w:cs="Times New Roman"/>
          <w:color w:val="000000"/>
          <w:sz w:val="24"/>
          <w:szCs w:val="24"/>
          <w:lang/>
        </w:rPr>
        <w:t>е) постачання послуг з міжнародних перевезень пасажирів і багажу та вантажів залізничним, автомобільним, морським і річковим та авіаційним транспортом.</w:t>
      </w:r>
    </w:p>
    <w:p w14:paraId="6B1263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4" w:name="n4494"/>
      <w:bookmarkEnd w:id="5324"/>
      <w:r w:rsidRPr="008B264B">
        <w:rPr>
          <w:rFonts w:ascii="Times New Roman" w:eastAsia="Times New Roman" w:hAnsi="Times New Roman" w:cs="Times New Roman"/>
          <w:color w:val="000000"/>
          <w:sz w:val="24"/>
          <w:szCs w:val="24"/>
          <w:lang/>
        </w:rPr>
        <w:t>З метою оподаткування цим податком до операцій з ввезення товарів на митну територію України та вивезення товарів за межі митної території України прирівнюється поміщення товарів у будь-який митний режим, визначений </w:t>
      </w:r>
      <w:hyperlink r:id="rId2927"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3B77B2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5" w:name="n4495"/>
      <w:bookmarkEnd w:id="5325"/>
      <w:r w:rsidRPr="008B264B">
        <w:rPr>
          <w:rFonts w:ascii="Times New Roman" w:eastAsia="Times New Roman" w:hAnsi="Times New Roman" w:cs="Times New Roman"/>
          <w:i/>
          <w:iCs/>
          <w:color w:val="000000"/>
          <w:sz w:val="24"/>
          <w:szCs w:val="24"/>
          <w:lang/>
        </w:rPr>
        <w:t>{Пункт 185.1 статті 185 доповнено абзацом згідно із Законом </w:t>
      </w:r>
      <w:hyperlink r:id="rId2928" w:anchor="n37"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A0E51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6" w:name="n4496"/>
      <w:bookmarkEnd w:id="5326"/>
      <w:r w:rsidRPr="008B264B">
        <w:rPr>
          <w:rFonts w:ascii="Times New Roman" w:eastAsia="Times New Roman" w:hAnsi="Times New Roman" w:cs="Times New Roman"/>
          <w:b/>
          <w:bCs/>
          <w:color w:val="000000"/>
          <w:sz w:val="24"/>
          <w:szCs w:val="24"/>
          <w:lang/>
        </w:rPr>
        <w:t>Стаття 186.</w:t>
      </w:r>
      <w:r w:rsidRPr="008B264B">
        <w:rPr>
          <w:rFonts w:ascii="Times New Roman" w:eastAsia="Times New Roman" w:hAnsi="Times New Roman" w:cs="Times New Roman"/>
          <w:color w:val="000000"/>
          <w:sz w:val="24"/>
          <w:szCs w:val="24"/>
          <w:lang/>
        </w:rPr>
        <w:t> Місце постачання товарів та послуг</w:t>
      </w:r>
    </w:p>
    <w:p w14:paraId="125A17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7" w:name="n4497"/>
      <w:bookmarkEnd w:id="5327"/>
      <w:r w:rsidRPr="008B264B">
        <w:rPr>
          <w:rFonts w:ascii="Times New Roman" w:eastAsia="Times New Roman" w:hAnsi="Times New Roman" w:cs="Times New Roman"/>
          <w:color w:val="000000"/>
          <w:sz w:val="24"/>
          <w:szCs w:val="24"/>
          <w:lang/>
        </w:rPr>
        <w:t>186.1. Місцем постачання товарів є:</w:t>
      </w:r>
    </w:p>
    <w:p w14:paraId="2540E4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8" w:name="n4498"/>
      <w:bookmarkEnd w:id="5328"/>
      <w:r w:rsidRPr="008B264B">
        <w:rPr>
          <w:rFonts w:ascii="Times New Roman" w:eastAsia="Times New Roman" w:hAnsi="Times New Roman" w:cs="Times New Roman"/>
          <w:color w:val="000000"/>
          <w:sz w:val="24"/>
          <w:szCs w:val="24"/>
          <w:lang/>
        </w:rPr>
        <w:t>а) фактичне місцезнаходження товарів на момент їх постачання (крім випадків, передбачених у підпунктах "б" і "в" цього пункту);</w:t>
      </w:r>
    </w:p>
    <w:p w14:paraId="45925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29" w:name="n4499"/>
      <w:bookmarkEnd w:id="5329"/>
      <w:r w:rsidRPr="008B264B">
        <w:rPr>
          <w:rFonts w:ascii="Times New Roman" w:eastAsia="Times New Roman" w:hAnsi="Times New Roman" w:cs="Times New Roman"/>
          <w:color w:val="000000"/>
          <w:sz w:val="24"/>
          <w:szCs w:val="24"/>
          <w:lang/>
        </w:rPr>
        <w:t>б) місце, де товари перебувають на час початку їх перевезення або пересилання, у разі якщо товари перевозяться або пересилаються продавцем, покупцем чи третьою особою;</w:t>
      </w:r>
    </w:p>
    <w:p w14:paraId="1AA3F8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0" w:name="n4500"/>
      <w:bookmarkEnd w:id="5330"/>
      <w:r w:rsidRPr="008B264B">
        <w:rPr>
          <w:rFonts w:ascii="Times New Roman" w:eastAsia="Times New Roman" w:hAnsi="Times New Roman" w:cs="Times New Roman"/>
          <w:color w:val="000000"/>
          <w:sz w:val="24"/>
          <w:szCs w:val="24"/>
          <w:lang/>
        </w:rPr>
        <w:t>в) місце, де провадиться складання, монтаж чи встановлення, у разі якщо товари складаються, монтуються або встановлюються (з випробуванням чи без нього) продавцем або від його імені.</w:t>
      </w:r>
    </w:p>
    <w:p w14:paraId="1F876F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1" w:name="n4501"/>
      <w:bookmarkEnd w:id="5331"/>
      <w:r w:rsidRPr="008B264B">
        <w:rPr>
          <w:rFonts w:ascii="Times New Roman" w:eastAsia="Times New Roman" w:hAnsi="Times New Roman" w:cs="Times New Roman"/>
          <w:color w:val="000000"/>
          <w:sz w:val="24"/>
          <w:szCs w:val="24"/>
          <w:lang/>
        </w:rPr>
        <w:lastRenderedPageBreak/>
        <w:t>186.1.1. Якщо постачання товарів здійснюється для споживання на борту морських та повітряних суден або у поїздах на ділянці пасажирського перевезення, що здійснюється в межах митної території України, місцем постачання вважається пункт відправлення пасажирського транспортного засобу.</w:t>
      </w:r>
    </w:p>
    <w:p w14:paraId="29C477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2" w:name="n4502"/>
      <w:bookmarkEnd w:id="5332"/>
      <w:r w:rsidRPr="008B264B">
        <w:rPr>
          <w:rFonts w:ascii="Times New Roman" w:eastAsia="Times New Roman" w:hAnsi="Times New Roman" w:cs="Times New Roman"/>
          <w:color w:val="000000"/>
          <w:sz w:val="24"/>
          <w:szCs w:val="24"/>
          <w:lang/>
        </w:rPr>
        <w:t>Ділянкою пасажирського перевезення, що здійснюється в межах митної території України, вважається ділянка, на якій відбувається таке перевезення без зупинок за межами митної території України між пунктом відправлення та пунктом прибуття пасажирського транспортного засобу.</w:t>
      </w:r>
    </w:p>
    <w:p w14:paraId="713941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3" w:name="n4503"/>
      <w:bookmarkEnd w:id="5333"/>
      <w:r w:rsidRPr="008B264B">
        <w:rPr>
          <w:rFonts w:ascii="Times New Roman" w:eastAsia="Times New Roman" w:hAnsi="Times New Roman" w:cs="Times New Roman"/>
          <w:color w:val="000000"/>
          <w:sz w:val="24"/>
          <w:szCs w:val="24"/>
          <w:lang/>
        </w:rPr>
        <w:t>Пункт відправлення пасажирського транспортного засобу - перший пункт посадки пасажирів у межах митної території України, у разі потреби - після зупинки за межами митної території України.</w:t>
      </w:r>
    </w:p>
    <w:p w14:paraId="3C9837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4" w:name="n4504"/>
      <w:bookmarkEnd w:id="5334"/>
      <w:r w:rsidRPr="008B264B">
        <w:rPr>
          <w:rFonts w:ascii="Times New Roman" w:eastAsia="Times New Roman" w:hAnsi="Times New Roman" w:cs="Times New Roman"/>
          <w:color w:val="000000"/>
          <w:sz w:val="24"/>
          <w:szCs w:val="24"/>
          <w:lang/>
        </w:rPr>
        <w:t>Пункт прибуття транспортного засобу на митній території України - останній пункт на митній території України для посадки/висадки пасажирів на митній території України.</w:t>
      </w:r>
    </w:p>
    <w:p w14:paraId="3696EE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5" w:name="n4505"/>
      <w:bookmarkEnd w:id="5335"/>
      <w:r w:rsidRPr="008B264B">
        <w:rPr>
          <w:rFonts w:ascii="Times New Roman" w:eastAsia="Times New Roman" w:hAnsi="Times New Roman" w:cs="Times New Roman"/>
          <w:color w:val="000000"/>
          <w:sz w:val="24"/>
          <w:szCs w:val="24"/>
          <w:lang/>
        </w:rPr>
        <w:t>186.2. Місцем постачання послуг є:</w:t>
      </w:r>
    </w:p>
    <w:p w14:paraId="57529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6" w:name="n4506"/>
      <w:bookmarkEnd w:id="5336"/>
      <w:r w:rsidRPr="008B264B">
        <w:rPr>
          <w:rFonts w:ascii="Times New Roman" w:eastAsia="Times New Roman" w:hAnsi="Times New Roman" w:cs="Times New Roman"/>
          <w:color w:val="000000"/>
          <w:sz w:val="24"/>
          <w:szCs w:val="24"/>
          <w:lang/>
        </w:rPr>
        <w:t>186.2.1. місце фактичного постачання послуг, пов'язаних з рухомим майном, а саме:</w:t>
      </w:r>
    </w:p>
    <w:p w14:paraId="17350B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7" w:name="n4507"/>
      <w:bookmarkEnd w:id="5337"/>
      <w:r w:rsidRPr="008B264B">
        <w:rPr>
          <w:rFonts w:ascii="Times New Roman" w:eastAsia="Times New Roman" w:hAnsi="Times New Roman" w:cs="Times New Roman"/>
          <w:color w:val="000000"/>
          <w:sz w:val="24"/>
          <w:szCs w:val="24"/>
          <w:lang/>
        </w:rPr>
        <w:t>а) послуг, що є допоміжними у транспортній діяльності: навантаження, розвантаження, перевантаження, складська обробка товарів та інші аналогічні види послуг;</w:t>
      </w:r>
    </w:p>
    <w:p w14:paraId="690CA1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8" w:name="n4508"/>
      <w:bookmarkEnd w:id="5338"/>
      <w:r w:rsidRPr="008B264B">
        <w:rPr>
          <w:rFonts w:ascii="Times New Roman" w:eastAsia="Times New Roman" w:hAnsi="Times New Roman" w:cs="Times New Roman"/>
          <w:color w:val="000000"/>
          <w:sz w:val="24"/>
          <w:szCs w:val="24"/>
          <w:lang/>
        </w:rPr>
        <w:t>б) послуг із проведення експертизи та оцінки рухомого майна;</w:t>
      </w:r>
    </w:p>
    <w:p w14:paraId="24985B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39" w:name="n4509"/>
      <w:bookmarkEnd w:id="5339"/>
      <w:r w:rsidRPr="008B264B">
        <w:rPr>
          <w:rFonts w:ascii="Times New Roman" w:eastAsia="Times New Roman" w:hAnsi="Times New Roman" w:cs="Times New Roman"/>
          <w:color w:val="000000"/>
          <w:sz w:val="24"/>
          <w:szCs w:val="24"/>
          <w:lang/>
        </w:rPr>
        <w:t>в) послуг, пов'язаних із перевезенням пасажирів та вантажів, у тому числі з постачанням продовольчих продуктів і напоїв, призначених для споживання;</w:t>
      </w:r>
    </w:p>
    <w:p w14:paraId="03EC1C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0" w:name="n4510"/>
      <w:bookmarkEnd w:id="5340"/>
      <w:r w:rsidRPr="008B264B">
        <w:rPr>
          <w:rFonts w:ascii="Times New Roman" w:eastAsia="Times New Roman" w:hAnsi="Times New Roman" w:cs="Times New Roman"/>
          <w:color w:val="000000"/>
          <w:sz w:val="24"/>
          <w:szCs w:val="24"/>
          <w:lang/>
        </w:rPr>
        <w:t>г) послуг із виконання ремонтних робіт і послуг із переробки сировини, а також інших робіт і послуг, що пов'язані з рухомим майном;</w:t>
      </w:r>
    </w:p>
    <w:p w14:paraId="141171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1" w:name="n4511"/>
      <w:bookmarkEnd w:id="5341"/>
      <w:r w:rsidRPr="008B264B">
        <w:rPr>
          <w:rFonts w:ascii="Times New Roman" w:eastAsia="Times New Roman" w:hAnsi="Times New Roman" w:cs="Times New Roman"/>
          <w:color w:val="000000"/>
          <w:sz w:val="24"/>
          <w:szCs w:val="24"/>
          <w:lang/>
        </w:rPr>
        <w:t>186.2.2. фактичне місцезнаходження нерухомого майна, у тому числі що будується, для тих послуг, які пов'язані з нерухомим майном:</w:t>
      </w:r>
    </w:p>
    <w:p w14:paraId="7C2AA8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2" w:name="n4512"/>
      <w:bookmarkEnd w:id="5342"/>
      <w:r w:rsidRPr="008B264B">
        <w:rPr>
          <w:rFonts w:ascii="Times New Roman" w:eastAsia="Times New Roman" w:hAnsi="Times New Roman" w:cs="Times New Roman"/>
          <w:color w:val="000000"/>
          <w:sz w:val="24"/>
          <w:szCs w:val="24"/>
          <w:lang/>
        </w:rPr>
        <w:t>а) послуг агентств нерухомості;</w:t>
      </w:r>
    </w:p>
    <w:p w14:paraId="0B9FAE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3" w:name="n4513"/>
      <w:bookmarkEnd w:id="5343"/>
      <w:r w:rsidRPr="008B264B">
        <w:rPr>
          <w:rFonts w:ascii="Times New Roman" w:eastAsia="Times New Roman" w:hAnsi="Times New Roman" w:cs="Times New Roman"/>
          <w:color w:val="000000"/>
          <w:sz w:val="24"/>
          <w:szCs w:val="24"/>
          <w:lang/>
        </w:rPr>
        <w:t>б) послуг з підготовки та проведення будівельних робіт;</w:t>
      </w:r>
    </w:p>
    <w:p w14:paraId="08063B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4" w:name="n4514"/>
      <w:bookmarkEnd w:id="5344"/>
      <w:r w:rsidRPr="008B264B">
        <w:rPr>
          <w:rFonts w:ascii="Times New Roman" w:eastAsia="Times New Roman" w:hAnsi="Times New Roman" w:cs="Times New Roman"/>
          <w:color w:val="000000"/>
          <w:sz w:val="24"/>
          <w:szCs w:val="24"/>
          <w:lang/>
        </w:rPr>
        <w:t>в) інших послуг за місцезнаходженням нерухомого майна, у тому числі що будується;</w:t>
      </w:r>
    </w:p>
    <w:p w14:paraId="723787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5" w:name="n4515"/>
      <w:bookmarkEnd w:id="5345"/>
      <w:r w:rsidRPr="008B264B">
        <w:rPr>
          <w:rFonts w:ascii="Times New Roman" w:eastAsia="Times New Roman" w:hAnsi="Times New Roman" w:cs="Times New Roman"/>
          <w:color w:val="000000"/>
          <w:sz w:val="24"/>
          <w:szCs w:val="24"/>
          <w:lang/>
        </w:rPr>
        <w:t>186.2.3. місце фактичного надання послуг у сфері культури, мистецтва, освіти, науки, спорту, розваг або інших подібних послуг, включаючи послуги організаторів діяльності в зазначених сферах та послуги, що надаються для влаштування платних виставок, конференцій, навчальних семінарів та інших подібних заходів.</w:t>
      </w:r>
    </w:p>
    <w:p w14:paraId="575D48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6" w:name="n4516"/>
      <w:bookmarkEnd w:id="5346"/>
      <w:r w:rsidRPr="008B264B">
        <w:rPr>
          <w:rFonts w:ascii="Times New Roman" w:eastAsia="Times New Roman" w:hAnsi="Times New Roman" w:cs="Times New Roman"/>
          <w:color w:val="000000"/>
          <w:sz w:val="24"/>
          <w:szCs w:val="24"/>
          <w:lang/>
        </w:rPr>
        <w:t>186.3. Місцем постачання зазначених у цьому пункті послуг вважається місце, в якому отримувач послуг зареєстрований як суб'єкт господарювання або - у разі відсутності такого місця - місце постійного чи переважного його проживання. До таких послуг належать:</w:t>
      </w:r>
    </w:p>
    <w:p w14:paraId="30B9D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7" w:name="n4517"/>
      <w:bookmarkEnd w:id="5347"/>
      <w:r w:rsidRPr="008B264B">
        <w:rPr>
          <w:rFonts w:ascii="Times New Roman" w:eastAsia="Times New Roman" w:hAnsi="Times New Roman" w:cs="Times New Roman"/>
          <w:color w:val="000000"/>
          <w:sz w:val="24"/>
          <w:szCs w:val="24"/>
          <w:lang/>
        </w:rPr>
        <w:t>а) надання майнових прав інтелектуальної власності, створення за замовленням та використання об'єктів права інтелектуальної власності, у тому числі за ліцензійними договорами, а також надання (передача) права на скорочення викидів парникових газів (вуглецевих одиниць);</w:t>
      </w:r>
    </w:p>
    <w:p w14:paraId="639FDA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8" w:name="n4518"/>
      <w:bookmarkEnd w:id="5348"/>
      <w:r w:rsidRPr="008B264B">
        <w:rPr>
          <w:rFonts w:ascii="Times New Roman" w:eastAsia="Times New Roman" w:hAnsi="Times New Roman" w:cs="Times New Roman"/>
          <w:color w:val="000000"/>
          <w:sz w:val="24"/>
          <w:szCs w:val="24"/>
          <w:lang/>
        </w:rPr>
        <w:t>б) рекламні послуги;</w:t>
      </w:r>
    </w:p>
    <w:p w14:paraId="0686BF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49" w:name="n4519"/>
      <w:bookmarkEnd w:id="5349"/>
      <w:r w:rsidRPr="008B264B">
        <w:rPr>
          <w:rFonts w:ascii="Times New Roman" w:eastAsia="Times New Roman" w:hAnsi="Times New Roman" w:cs="Times New Roman"/>
          <w:color w:val="000000"/>
          <w:sz w:val="24"/>
          <w:szCs w:val="24"/>
          <w:lang/>
        </w:rPr>
        <w:t>в) консультаційні, інжинірингові, інженерні, юридичні (у тому числі адвокатські), бухгалтерські, аудиторські, актуарні, а також послуги з розроблення, постачання та тестування програмного забезпечення, з оброблення даних та надання консультацій з питань інформатизації, надання інформації та інших послуг у сфері інформатизації, у тому числі з використанням комп'ютерних систем;</w:t>
      </w:r>
    </w:p>
    <w:p w14:paraId="7A7D95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0" w:name="n4520"/>
      <w:bookmarkEnd w:id="5350"/>
      <w:r w:rsidRPr="008B264B">
        <w:rPr>
          <w:rFonts w:ascii="Times New Roman" w:eastAsia="Times New Roman" w:hAnsi="Times New Roman" w:cs="Times New Roman"/>
          <w:i/>
          <w:iCs/>
          <w:color w:val="000000"/>
          <w:sz w:val="24"/>
          <w:szCs w:val="24"/>
          <w:lang/>
        </w:rPr>
        <w:lastRenderedPageBreak/>
        <w:t>{Підпункт "в" пункту 186.3 статті 186 із змінами, внесеними згідно із Законом </w:t>
      </w:r>
      <w:hyperlink r:id="rId292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EDF33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1" w:name="n4521"/>
      <w:bookmarkEnd w:id="5351"/>
      <w:r w:rsidRPr="008B264B">
        <w:rPr>
          <w:rFonts w:ascii="Times New Roman" w:eastAsia="Times New Roman" w:hAnsi="Times New Roman" w:cs="Times New Roman"/>
          <w:color w:val="000000"/>
          <w:sz w:val="24"/>
          <w:szCs w:val="24"/>
          <w:lang/>
        </w:rPr>
        <w:t>г) надання персоналу, у тому числі якщо персонал працює за місцем здійснення діяльності покупця;</w:t>
      </w:r>
    </w:p>
    <w:p w14:paraId="13D0BA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2" w:name="n4522"/>
      <w:bookmarkEnd w:id="5352"/>
      <w:r w:rsidRPr="008B264B">
        <w:rPr>
          <w:rFonts w:ascii="Times New Roman" w:eastAsia="Times New Roman" w:hAnsi="Times New Roman" w:cs="Times New Roman"/>
          <w:color w:val="000000"/>
          <w:sz w:val="24"/>
          <w:szCs w:val="24"/>
          <w:lang/>
        </w:rPr>
        <w:t>ґ) надання в оренду (лізинг) рухомого майна, крім транспортних засобів та банківських сейфів;</w:t>
      </w:r>
    </w:p>
    <w:p w14:paraId="4996FA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3" w:name="n4523"/>
      <w:bookmarkEnd w:id="5353"/>
      <w:r w:rsidRPr="008B264B">
        <w:rPr>
          <w:rFonts w:ascii="Times New Roman" w:eastAsia="Times New Roman" w:hAnsi="Times New Roman" w:cs="Times New Roman"/>
          <w:color w:val="000000"/>
          <w:sz w:val="24"/>
          <w:szCs w:val="24"/>
          <w:lang/>
        </w:rPr>
        <w:t>д) телекомунікаційні послуги, а саме: послуги, пов'язані з передаванням, поширенням або прийманням сигналів, слів, зображень та звуків або інформації будь-якого характеру за допомогою дротових, супутникових, стільникових, радіотехнічних, оптичних або інших електромагнітних систем зв'язку, включаючи відповідне надання або передання права на використання можливостей такого передавання, поширення або приймання, у тому числі надання доступу до глобальних інформаційних мереж;</w:t>
      </w:r>
    </w:p>
    <w:p w14:paraId="401EB1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4" w:name="n4524"/>
      <w:bookmarkEnd w:id="5354"/>
      <w:r w:rsidRPr="008B264B">
        <w:rPr>
          <w:rFonts w:ascii="Times New Roman" w:eastAsia="Times New Roman" w:hAnsi="Times New Roman" w:cs="Times New Roman"/>
          <w:color w:val="000000"/>
          <w:sz w:val="24"/>
          <w:szCs w:val="24"/>
          <w:lang/>
        </w:rPr>
        <w:t>е) послуги радіомовлення та телевізійного мовлення;</w:t>
      </w:r>
    </w:p>
    <w:p w14:paraId="749AD0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5" w:name="n4525"/>
      <w:bookmarkEnd w:id="5355"/>
      <w:r w:rsidRPr="008B264B">
        <w:rPr>
          <w:rFonts w:ascii="Times New Roman" w:eastAsia="Times New Roman" w:hAnsi="Times New Roman" w:cs="Times New Roman"/>
          <w:color w:val="000000"/>
          <w:sz w:val="24"/>
          <w:szCs w:val="24"/>
          <w:lang/>
        </w:rPr>
        <w:t>є) надання посередницьких послуг від імені та за рахунок іншої особи або від свого імені, але за рахунок іншої особи, якщо забезпечується надання покупцю послуг, перерахованих у цьому підпункті;</w:t>
      </w:r>
    </w:p>
    <w:p w14:paraId="72401D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6" w:name="n4526"/>
      <w:bookmarkEnd w:id="5356"/>
      <w:r w:rsidRPr="008B264B">
        <w:rPr>
          <w:rFonts w:ascii="Times New Roman" w:eastAsia="Times New Roman" w:hAnsi="Times New Roman" w:cs="Times New Roman"/>
          <w:color w:val="000000"/>
          <w:sz w:val="24"/>
          <w:szCs w:val="24"/>
          <w:lang/>
        </w:rPr>
        <w:t>ж) надання транспортно-експедиторських послуг.</w:t>
      </w:r>
    </w:p>
    <w:p w14:paraId="20BD39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7" w:name="n4527"/>
      <w:bookmarkEnd w:id="5357"/>
      <w:r w:rsidRPr="008B264B">
        <w:rPr>
          <w:rFonts w:ascii="Times New Roman" w:eastAsia="Times New Roman" w:hAnsi="Times New Roman" w:cs="Times New Roman"/>
          <w:color w:val="000000"/>
          <w:sz w:val="24"/>
          <w:szCs w:val="24"/>
          <w:lang/>
        </w:rPr>
        <w:t>186.4. Місцем постачання послуг є місце реєстрації постачальника, крім операцій, зазначених у </w:t>
      </w:r>
      <w:hyperlink r:id="rId2930" w:anchor="n4505" w:history="1">
        <w:r w:rsidRPr="008B264B">
          <w:rPr>
            <w:rFonts w:ascii="Times New Roman" w:eastAsia="Times New Roman" w:hAnsi="Times New Roman" w:cs="Times New Roman"/>
            <w:color w:val="0000FF"/>
            <w:sz w:val="24"/>
            <w:szCs w:val="24"/>
            <w:u w:val="single"/>
            <w:lang/>
          </w:rPr>
          <w:t>пунктах 186.2</w:t>
        </w:r>
      </w:hyperlink>
      <w:r w:rsidRPr="008B264B">
        <w:rPr>
          <w:rFonts w:ascii="Times New Roman" w:eastAsia="Times New Roman" w:hAnsi="Times New Roman" w:cs="Times New Roman"/>
          <w:color w:val="000000"/>
          <w:sz w:val="24"/>
          <w:szCs w:val="24"/>
          <w:lang/>
        </w:rPr>
        <w:t> і </w:t>
      </w:r>
      <w:hyperlink r:id="rId2931" w:anchor="n4516" w:history="1">
        <w:r w:rsidRPr="008B264B">
          <w:rPr>
            <w:rFonts w:ascii="Times New Roman" w:eastAsia="Times New Roman" w:hAnsi="Times New Roman" w:cs="Times New Roman"/>
            <w:color w:val="0000FF"/>
            <w:sz w:val="24"/>
            <w:szCs w:val="24"/>
            <w:u w:val="single"/>
            <w:lang/>
          </w:rPr>
          <w:t>186.3</w:t>
        </w:r>
      </w:hyperlink>
      <w:r w:rsidRPr="008B264B">
        <w:rPr>
          <w:rFonts w:ascii="Times New Roman" w:eastAsia="Times New Roman" w:hAnsi="Times New Roman" w:cs="Times New Roman"/>
          <w:color w:val="000000"/>
          <w:sz w:val="24"/>
          <w:szCs w:val="24"/>
          <w:lang/>
        </w:rPr>
        <w:t> цієї статті.</w:t>
      </w:r>
    </w:p>
    <w:p w14:paraId="16577E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8" w:name="n4528"/>
      <w:bookmarkEnd w:id="5358"/>
      <w:r w:rsidRPr="008B264B">
        <w:rPr>
          <w:rFonts w:ascii="Times New Roman" w:eastAsia="Times New Roman" w:hAnsi="Times New Roman" w:cs="Times New Roman"/>
          <w:b/>
          <w:bCs/>
          <w:color w:val="000000"/>
          <w:sz w:val="24"/>
          <w:szCs w:val="24"/>
          <w:lang/>
        </w:rPr>
        <w:t>Стаття 187.</w:t>
      </w:r>
      <w:r w:rsidRPr="008B264B">
        <w:rPr>
          <w:rFonts w:ascii="Times New Roman" w:eastAsia="Times New Roman" w:hAnsi="Times New Roman" w:cs="Times New Roman"/>
          <w:color w:val="000000"/>
          <w:sz w:val="24"/>
          <w:szCs w:val="24"/>
          <w:lang/>
        </w:rPr>
        <w:t> Дата виникнення податкових зобов'язань</w:t>
      </w:r>
    </w:p>
    <w:p w14:paraId="359D89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59" w:name="n4529"/>
      <w:bookmarkEnd w:id="5359"/>
      <w:r w:rsidRPr="008B264B">
        <w:rPr>
          <w:rFonts w:ascii="Times New Roman" w:eastAsia="Times New Roman" w:hAnsi="Times New Roman" w:cs="Times New Roman"/>
          <w:color w:val="000000"/>
          <w:sz w:val="24"/>
          <w:szCs w:val="24"/>
          <w:lang/>
        </w:rPr>
        <w:t>187.1. Датою виникнення податкових зобов'язань з постачання товарів/послуг вважається дата, яка припадає на податковий період, протягом якого відбувається будь-яка з подій, що сталася раніше:</w:t>
      </w:r>
    </w:p>
    <w:p w14:paraId="77A88E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0" w:name="n4530"/>
      <w:bookmarkEnd w:id="5360"/>
      <w:r w:rsidRPr="008B264B">
        <w:rPr>
          <w:rFonts w:ascii="Times New Roman" w:eastAsia="Times New Roman" w:hAnsi="Times New Roman" w:cs="Times New Roman"/>
          <w:color w:val="000000"/>
          <w:sz w:val="24"/>
          <w:szCs w:val="24"/>
          <w:lang/>
        </w:rPr>
        <w:t>а) дата зарахування коштів від покупця/замовника на банківський рахунок платника податку як оплата товарів/послуг, що підлягають постачанню, а в разі постачання товарів/послуг за готівку - дата оприбуткування коштів у касі платника податку, а в разі відсутності такої - дата інкасації готівки у банківській установі, що обслуговує платника податку;</w:t>
      </w:r>
    </w:p>
    <w:p w14:paraId="1873CF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1" w:name="n4531"/>
      <w:bookmarkEnd w:id="5361"/>
      <w:r w:rsidRPr="008B264B">
        <w:rPr>
          <w:rFonts w:ascii="Times New Roman" w:eastAsia="Times New Roman" w:hAnsi="Times New Roman" w:cs="Times New Roman"/>
          <w:color w:val="000000"/>
          <w:sz w:val="24"/>
          <w:szCs w:val="24"/>
          <w:lang/>
        </w:rPr>
        <w:t>б) дата відвантаження товарів, а в разі експорту товарів - дата оформлення митної декларації, що засвідчує факт перетинання митного кордону України, оформлена відповідно до вимог митного законодавства, а для послуг - дата оформлення документа, що засвідчує факт постачання послуг платником податку.</w:t>
      </w:r>
    </w:p>
    <w:p w14:paraId="2DE7E5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2" w:name="n4532"/>
      <w:bookmarkEnd w:id="5362"/>
      <w:r w:rsidRPr="008B264B">
        <w:rPr>
          <w:rFonts w:ascii="Times New Roman" w:eastAsia="Times New Roman" w:hAnsi="Times New Roman" w:cs="Times New Roman"/>
          <w:color w:val="000000"/>
          <w:sz w:val="24"/>
          <w:szCs w:val="24"/>
          <w:lang/>
        </w:rPr>
        <w:t>За операціями з виконання підрядних будівельних робіт суб'єкти підприємницької діяльності можуть застосовувати касовий метод податкового обліку відповідно до підпункту </w:t>
      </w:r>
      <w:hyperlink r:id="rId2932" w:anchor="n780" w:history="1">
        <w:r w:rsidRPr="008B264B">
          <w:rPr>
            <w:rFonts w:ascii="Times New Roman" w:eastAsia="Times New Roman" w:hAnsi="Times New Roman" w:cs="Times New Roman"/>
            <w:color w:val="0000FF"/>
            <w:sz w:val="24"/>
            <w:szCs w:val="24"/>
            <w:u w:val="single"/>
            <w:lang/>
          </w:rPr>
          <w:t>14.1.266</w:t>
        </w:r>
      </w:hyperlink>
      <w:r w:rsidRPr="008B264B">
        <w:rPr>
          <w:rFonts w:ascii="Times New Roman" w:eastAsia="Times New Roman" w:hAnsi="Times New Roman" w:cs="Times New Roman"/>
          <w:color w:val="000000"/>
          <w:sz w:val="24"/>
          <w:szCs w:val="24"/>
          <w:lang/>
        </w:rPr>
        <w:t> пункту 14.1 статті 14 цього Кодексу.</w:t>
      </w:r>
    </w:p>
    <w:p w14:paraId="3450C6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3" w:name="n4533"/>
      <w:bookmarkEnd w:id="5363"/>
      <w:r w:rsidRPr="008B264B">
        <w:rPr>
          <w:rFonts w:ascii="Times New Roman" w:eastAsia="Times New Roman" w:hAnsi="Times New Roman" w:cs="Times New Roman"/>
          <w:i/>
          <w:iCs/>
          <w:color w:val="000000"/>
          <w:sz w:val="24"/>
          <w:szCs w:val="24"/>
          <w:lang/>
        </w:rPr>
        <w:t>{Пункт 187.1 статті 187 доповнено абзацом четвертим згідно із Законом </w:t>
      </w:r>
      <w:hyperlink r:id="rId2933" w:tgtFrame="_blank" w:history="1">
        <w:r w:rsidRPr="008B264B">
          <w:rPr>
            <w:rFonts w:ascii="Times New Roman" w:eastAsia="Times New Roman" w:hAnsi="Times New Roman" w:cs="Times New Roman"/>
            <w:i/>
            <w:iCs/>
            <w:color w:val="0000FF"/>
            <w:sz w:val="24"/>
            <w:szCs w:val="24"/>
            <w:u w:val="single"/>
            <w:lang/>
          </w:rPr>
          <w:t>№ 4220-VI від 22.12.2011</w:t>
        </w:r>
      </w:hyperlink>
      <w:r w:rsidRPr="008B264B">
        <w:rPr>
          <w:rFonts w:ascii="Times New Roman" w:eastAsia="Times New Roman" w:hAnsi="Times New Roman" w:cs="Times New Roman"/>
          <w:i/>
          <w:iCs/>
          <w:color w:val="000000"/>
          <w:sz w:val="24"/>
          <w:szCs w:val="24"/>
          <w:lang/>
        </w:rPr>
        <w:t>}</w:t>
      </w:r>
    </w:p>
    <w:p w14:paraId="19D6F3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4" w:name="n4534"/>
      <w:bookmarkEnd w:id="5364"/>
      <w:r w:rsidRPr="008B264B">
        <w:rPr>
          <w:rFonts w:ascii="Times New Roman" w:eastAsia="Times New Roman" w:hAnsi="Times New Roman" w:cs="Times New Roman"/>
          <w:color w:val="000000"/>
          <w:sz w:val="24"/>
          <w:szCs w:val="24"/>
          <w:lang/>
        </w:rPr>
        <w:t>187.2. У разі постачання товарів або послуг з використанням торговельних автоматів або іншого подібного устаткування, що не передбачає наявності касового апарата, контрольованого уповноваженою на це фізичною особою, датою виникнення податкових зобов'язань вважається дата виймання з таких торговельних апаратів або подібного устаткування грошової виручки. Правила інкасації зазначеної виручки встановлюються Національним банком України.</w:t>
      </w:r>
    </w:p>
    <w:p w14:paraId="6639A0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5" w:name="n4535"/>
      <w:bookmarkEnd w:id="5365"/>
      <w:r w:rsidRPr="008B264B">
        <w:rPr>
          <w:rFonts w:ascii="Times New Roman" w:eastAsia="Times New Roman" w:hAnsi="Times New Roman" w:cs="Times New Roman"/>
          <w:color w:val="000000"/>
          <w:sz w:val="24"/>
          <w:szCs w:val="24"/>
          <w:lang/>
        </w:rPr>
        <w:t>187.3. У разі постачання товарів за договорами товарного кредиту (товарної позики, розстрочки), умови яких передбачають сплату (нарахування) відсотків, датою збільшення податкових зобов'язань у частині таких відсотків вважається дата їх нарахування згідно з умовами відповідного договору.</w:t>
      </w:r>
    </w:p>
    <w:p w14:paraId="4BC046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6" w:name="n4536"/>
      <w:bookmarkEnd w:id="5366"/>
      <w:r w:rsidRPr="008B264B">
        <w:rPr>
          <w:rFonts w:ascii="Times New Roman" w:eastAsia="Times New Roman" w:hAnsi="Times New Roman" w:cs="Times New Roman"/>
          <w:color w:val="000000"/>
          <w:sz w:val="24"/>
          <w:szCs w:val="24"/>
          <w:lang/>
        </w:rPr>
        <w:lastRenderedPageBreak/>
        <w:t>187.4. У разі якщо постачання товарів/послуг через торговельні автомати здійснюється з використанням жетонів, карток або інших замінників національної валюти, датою збільшення податкових зобов'язань вважається дата постачання таких жетонів, карток або інших замінників національної валюти.</w:t>
      </w:r>
    </w:p>
    <w:p w14:paraId="2A6492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7" w:name="n4537"/>
      <w:bookmarkEnd w:id="5367"/>
      <w:r w:rsidRPr="008B264B">
        <w:rPr>
          <w:rFonts w:ascii="Times New Roman" w:eastAsia="Times New Roman" w:hAnsi="Times New Roman" w:cs="Times New Roman"/>
          <w:color w:val="000000"/>
          <w:sz w:val="24"/>
          <w:szCs w:val="24"/>
          <w:lang/>
        </w:rPr>
        <w:t>187.5. У разі якщо постачання товарів/послуг здійснюється з використанням кредитних або дебетових карток, дорожніх, комерційних, іменних або інших чеків, датою збільшення податкових зобов'язань вважається дата, що засвідчує факт постачання платником податку товарів/послуг покупцю, оформлена податковою накладною, або дата виписування відповідного рахунка (товарного чека), залежно від того, яка подія відбулася раніше.</w:t>
      </w:r>
    </w:p>
    <w:p w14:paraId="6F5D93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8" w:name="n4538"/>
      <w:bookmarkEnd w:id="5368"/>
      <w:r w:rsidRPr="008B264B">
        <w:rPr>
          <w:rFonts w:ascii="Times New Roman" w:eastAsia="Times New Roman" w:hAnsi="Times New Roman" w:cs="Times New Roman"/>
          <w:color w:val="000000"/>
          <w:sz w:val="24"/>
          <w:szCs w:val="24"/>
          <w:lang/>
        </w:rPr>
        <w:t>187.6. Датою виникнення податкових зобов'язань орендодавця (лізингодавця) для операцій фінансової оренди (лізингу) є дата фактичної передачі об'єкта фінансової оренди (лізингу) у користування орендарю (лізингоотримувачу).</w:t>
      </w:r>
    </w:p>
    <w:p w14:paraId="73E8F7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69" w:name="n4539"/>
      <w:bookmarkEnd w:id="5369"/>
      <w:r w:rsidRPr="008B264B">
        <w:rPr>
          <w:rFonts w:ascii="Times New Roman" w:eastAsia="Times New Roman" w:hAnsi="Times New Roman" w:cs="Times New Roman"/>
          <w:color w:val="000000"/>
          <w:sz w:val="24"/>
          <w:szCs w:val="24"/>
          <w:lang/>
        </w:rPr>
        <w:t>187.7. Датою виникнення податкових зобов'язань у разі постачання товарів/послуг з оплатою за рахунок бюджетних коштів є дата зарахування таких коштів на банківський рахунок платника податку або дата отримання відповідної компенсації у будь-якій іншій формі, включаючи зменшення заборгованості такого платника податку за його зобов'язаннями перед бюджетом.</w:t>
      </w:r>
    </w:p>
    <w:p w14:paraId="4B78F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0" w:name="n4540"/>
      <w:bookmarkEnd w:id="5370"/>
      <w:r w:rsidRPr="008B264B">
        <w:rPr>
          <w:rFonts w:ascii="Times New Roman" w:eastAsia="Times New Roman" w:hAnsi="Times New Roman" w:cs="Times New Roman"/>
          <w:color w:val="000000"/>
          <w:sz w:val="24"/>
          <w:szCs w:val="24"/>
          <w:lang/>
        </w:rPr>
        <w:t>187.8. Датою виникнення податкових зобов'язань у разі ввезення товарів на митну територію України є дата подання митної декларації для митного оформлення.</w:t>
      </w:r>
    </w:p>
    <w:p w14:paraId="79D5F2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1" w:name="n4541"/>
      <w:bookmarkEnd w:id="5371"/>
      <w:r w:rsidRPr="008B264B">
        <w:rPr>
          <w:rFonts w:ascii="Times New Roman" w:eastAsia="Times New Roman" w:hAnsi="Times New Roman" w:cs="Times New Roman"/>
          <w:color w:val="000000"/>
          <w:sz w:val="24"/>
          <w:szCs w:val="24"/>
          <w:lang/>
        </w:rPr>
        <w:t>У випадках, передбачених </w:t>
      </w:r>
      <w:hyperlink r:id="rId2934" w:anchor="n4608" w:history="1">
        <w:r w:rsidRPr="008B264B">
          <w:rPr>
            <w:rFonts w:ascii="Times New Roman" w:eastAsia="Times New Roman" w:hAnsi="Times New Roman" w:cs="Times New Roman"/>
            <w:color w:val="0000FF"/>
            <w:sz w:val="24"/>
            <w:szCs w:val="24"/>
            <w:u w:val="single"/>
            <w:lang/>
          </w:rPr>
          <w:t>статтею 191</w:t>
        </w:r>
      </w:hyperlink>
      <w:r w:rsidRPr="008B264B">
        <w:rPr>
          <w:rFonts w:ascii="Times New Roman" w:eastAsia="Times New Roman" w:hAnsi="Times New Roman" w:cs="Times New Roman"/>
          <w:color w:val="000000"/>
          <w:sz w:val="24"/>
          <w:szCs w:val="24"/>
          <w:lang/>
        </w:rPr>
        <w:t> цього Кодексу, дата виникнення податкових зобов’язань визначається з урахуванням положень статті 191 цього Кодексу.</w:t>
      </w:r>
    </w:p>
    <w:p w14:paraId="1FC6DB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2" w:name="n4542"/>
      <w:bookmarkEnd w:id="5372"/>
      <w:r w:rsidRPr="008B264B">
        <w:rPr>
          <w:rFonts w:ascii="Times New Roman" w:eastAsia="Times New Roman" w:hAnsi="Times New Roman" w:cs="Times New Roman"/>
          <w:i/>
          <w:iCs/>
          <w:color w:val="000000"/>
          <w:sz w:val="24"/>
          <w:szCs w:val="24"/>
          <w:lang/>
        </w:rPr>
        <w:t>{Пункт 187.8 статті 187 доповнено новим абзацом згідно із Законом </w:t>
      </w:r>
      <w:hyperlink r:id="rId2935" w:anchor="n39"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2ADB99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3" w:name="n4543"/>
      <w:bookmarkEnd w:id="5373"/>
      <w:r w:rsidRPr="008B264B">
        <w:rPr>
          <w:rFonts w:ascii="Times New Roman" w:eastAsia="Times New Roman" w:hAnsi="Times New Roman" w:cs="Times New Roman"/>
          <w:color w:val="000000"/>
          <w:sz w:val="24"/>
          <w:szCs w:val="24"/>
          <w:lang/>
        </w:rPr>
        <w:t>Датою виникнення податкових зобов'язань за операціями з постачання послуг нерезидентами, місцем надання яких є митна територія України, є дата списання коштів з банківського рахунка платника податку в оплату послуг або дата оформлення документа, що засвідчує факт постачання послуг нерезидентом, залежно від того, яка з подій відбулася раніше.</w:t>
      </w:r>
    </w:p>
    <w:p w14:paraId="45959A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4" w:name="n4544"/>
      <w:bookmarkEnd w:id="5374"/>
      <w:r w:rsidRPr="008B264B">
        <w:rPr>
          <w:rFonts w:ascii="Times New Roman" w:eastAsia="Times New Roman" w:hAnsi="Times New Roman" w:cs="Times New Roman"/>
          <w:color w:val="000000"/>
          <w:sz w:val="24"/>
          <w:szCs w:val="24"/>
          <w:lang/>
        </w:rPr>
        <w:t>187.9. Датою виникнення податкових зобов'язань виконавця довгострокових договорів (контрактів) є дата фактичної передачі виконавцем результатів робіт за такими договорами (контрактами).</w:t>
      </w:r>
    </w:p>
    <w:p w14:paraId="174C9E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5" w:name="n4545"/>
      <w:bookmarkEnd w:id="5375"/>
      <w:r w:rsidRPr="008B264B">
        <w:rPr>
          <w:rFonts w:ascii="Times New Roman" w:eastAsia="Times New Roman" w:hAnsi="Times New Roman" w:cs="Times New Roman"/>
          <w:color w:val="000000"/>
          <w:sz w:val="24"/>
          <w:szCs w:val="24"/>
          <w:lang/>
        </w:rPr>
        <w:t>Для цілей цього пункту довгостроковий договір (контракт) - це будь-який договір на виготовлення товарів, виконання робіт, надання послуг з довготривалим (більше одного року) технологічним циклом виробництва та якщо договорами, які укладені на виробництво таких товарів, виконання робіт, надання послуг, не передбачено поетапного їх здавання.</w:t>
      </w:r>
    </w:p>
    <w:p w14:paraId="716AD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6" w:name="n4546"/>
      <w:bookmarkEnd w:id="5376"/>
      <w:r w:rsidRPr="008B264B">
        <w:rPr>
          <w:rFonts w:ascii="Times New Roman" w:eastAsia="Times New Roman" w:hAnsi="Times New Roman" w:cs="Times New Roman"/>
          <w:color w:val="000000"/>
          <w:sz w:val="24"/>
          <w:szCs w:val="24"/>
          <w:lang/>
        </w:rPr>
        <w:t>187.10. Платники податку, які постачають теплову енергію, природний газ (крім скрапленого), надають послуги з транспортування та/або розподілу природного газу, інші житлово-комунальні послуги, перелік яких визначений законом, послуги (роботи), вартість яких включається до складу плати за послугу з утримання будинків і споруд та прибудинкових територій чи послугу з управління багатоквартирним будинком, фізичним особам, бюджетним установам, незареєстрованим як платники податку, а також житлово-експлуатаційним конторам, управителям багатоквартирних будинків, квартирно-експлуатаційним частинам, об’єднанням співвласників багатоквартирних будинків, іншим платникам податку, які здійснюють збір коштів від зазначених покупців з метою подальшого їх перерахування продавцям таких товарів (надавачам послуг) у рахунок компенсації їх вартості, визначають дату виникнення податкових зобов’язань та податкового кредиту за касовим методом.</w:t>
      </w:r>
    </w:p>
    <w:p w14:paraId="2B4FBC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7" w:name="n4547"/>
      <w:bookmarkEnd w:id="5377"/>
      <w:r w:rsidRPr="008B264B">
        <w:rPr>
          <w:rFonts w:ascii="Times New Roman" w:eastAsia="Times New Roman" w:hAnsi="Times New Roman" w:cs="Times New Roman"/>
          <w:i/>
          <w:iCs/>
          <w:color w:val="000000"/>
          <w:sz w:val="24"/>
          <w:szCs w:val="24"/>
          <w:lang/>
        </w:rPr>
        <w:t>{Абзац перший пункту 187.10 статті 187 в редакції Законів </w:t>
      </w:r>
      <w:hyperlink r:id="rId293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937" w:anchor="n26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2938" w:anchor="n6"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 </w:t>
      </w:r>
      <w:hyperlink r:id="rId2939" w:anchor="n2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D0418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8" w:name="n4548"/>
      <w:bookmarkEnd w:id="5378"/>
      <w:r w:rsidRPr="008B264B">
        <w:rPr>
          <w:rFonts w:ascii="Times New Roman" w:eastAsia="Times New Roman" w:hAnsi="Times New Roman" w:cs="Times New Roman"/>
          <w:color w:val="000000"/>
          <w:sz w:val="24"/>
          <w:szCs w:val="24"/>
          <w:lang/>
        </w:rPr>
        <w:t xml:space="preserve">Зазначене правило визначення дати виникнення податкових зобов'язань поширюється також на операції з постачання зазначених товарів/послуг для житлово-експлуатаційних контор, </w:t>
      </w:r>
      <w:r w:rsidRPr="008B264B">
        <w:rPr>
          <w:rFonts w:ascii="Times New Roman" w:eastAsia="Times New Roman" w:hAnsi="Times New Roman" w:cs="Times New Roman"/>
          <w:color w:val="000000"/>
          <w:sz w:val="24"/>
          <w:szCs w:val="24"/>
          <w:lang/>
        </w:rPr>
        <w:lastRenderedPageBreak/>
        <w:t>управителів багатоквартирних будинків та бюджетних установ, що отримують такі товари/послуги, якщо вони зареєстровані як платники податку.</w:t>
      </w:r>
    </w:p>
    <w:p w14:paraId="113724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79" w:name="n15295"/>
      <w:bookmarkEnd w:id="5379"/>
      <w:r w:rsidRPr="008B264B">
        <w:rPr>
          <w:rFonts w:ascii="Times New Roman" w:eastAsia="Times New Roman" w:hAnsi="Times New Roman" w:cs="Times New Roman"/>
          <w:i/>
          <w:iCs/>
          <w:color w:val="000000"/>
          <w:sz w:val="24"/>
          <w:szCs w:val="24"/>
          <w:lang/>
        </w:rPr>
        <w:t>{Абзац другий пункту 187.10 статті 187 із змінами, внесеними згідно із Законом </w:t>
      </w:r>
      <w:hyperlink r:id="rId2940" w:anchor="n21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B8C4B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0" w:name="n4549"/>
      <w:bookmarkEnd w:id="5380"/>
      <w:r w:rsidRPr="008B264B">
        <w:rPr>
          <w:rFonts w:ascii="Times New Roman" w:eastAsia="Times New Roman" w:hAnsi="Times New Roman" w:cs="Times New Roman"/>
          <w:color w:val="000000"/>
          <w:sz w:val="24"/>
          <w:szCs w:val="24"/>
          <w:lang/>
        </w:rPr>
        <w:t>Для цілей цього пункту послугами (роботами), вартість яких включається до складу плати за послугу з утримання будинків і споруд та прибудинкових територій чи послугу з управління багатоквартирним будинком, вважаються послуги з технічного обслуговування ліфтів та диспетчерських систем, систем протипожежної автоматики та димовидалення, обслуговування димових та вентиляційних каналів, внутрішньобудинкових систем, прибирання будинкової та прибудинкової території, купівлі електричної енергії для забезпечення функціонування спільного майна багатоквартирного будинку, а також інші послуги, які надаються житлово-експлуатаційними конторами чи управителями багатоквартирних будинків зазначеним у цьому пункті покупцям за їхній рахунок.</w:t>
      </w:r>
    </w:p>
    <w:p w14:paraId="2031BF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1" w:name="n15296"/>
      <w:bookmarkEnd w:id="5381"/>
      <w:r w:rsidRPr="008B264B">
        <w:rPr>
          <w:rFonts w:ascii="Times New Roman" w:eastAsia="Times New Roman" w:hAnsi="Times New Roman" w:cs="Times New Roman"/>
          <w:i/>
          <w:iCs/>
          <w:color w:val="000000"/>
          <w:sz w:val="24"/>
          <w:szCs w:val="24"/>
          <w:lang/>
        </w:rPr>
        <w:t>{Абзац третій пункту 187.10 статті 187 в редакції Закону </w:t>
      </w:r>
      <w:hyperlink r:id="rId2941" w:anchor="n21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F9E04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2" w:name="n4550"/>
      <w:bookmarkEnd w:id="5382"/>
      <w:r w:rsidRPr="008B264B">
        <w:rPr>
          <w:rFonts w:ascii="Times New Roman" w:eastAsia="Times New Roman" w:hAnsi="Times New Roman" w:cs="Times New Roman"/>
          <w:color w:val="000000"/>
          <w:sz w:val="24"/>
          <w:szCs w:val="24"/>
          <w:lang/>
        </w:rPr>
        <w:t>187.11. Попередня (авансова) оплата вартості товарів, що вивозяться за межі митної території України чи ввозяться на митну територію України, не змінює значення сум податку, які відносяться до податкового кредиту або податкових зобов'язань платника податку, такого експортера або імпортера.</w:t>
      </w:r>
    </w:p>
    <w:p w14:paraId="5C2FD9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3" w:name="n9548"/>
      <w:bookmarkEnd w:id="5383"/>
      <w:r w:rsidRPr="008B264B">
        <w:rPr>
          <w:rFonts w:ascii="Times New Roman" w:eastAsia="Times New Roman" w:hAnsi="Times New Roman" w:cs="Times New Roman"/>
          <w:i/>
          <w:iCs/>
          <w:color w:val="000000"/>
          <w:sz w:val="24"/>
          <w:szCs w:val="24"/>
          <w:lang/>
        </w:rPr>
        <w:t>{Пункт 187.11 статті 187 із змінами, внесеними згідно із Законом </w:t>
      </w:r>
      <w:hyperlink r:id="rId2942" w:anchor="n13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2BDC8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4" w:name="n4551"/>
      <w:bookmarkEnd w:id="5384"/>
      <w:r w:rsidRPr="008B264B">
        <w:rPr>
          <w:rFonts w:ascii="Times New Roman" w:eastAsia="Times New Roman" w:hAnsi="Times New Roman" w:cs="Times New Roman"/>
          <w:b/>
          <w:bCs/>
          <w:color w:val="000000"/>
          <w:sz w:val="24"/>
          <w:szCs w:val="24"/>
          <w:lang/>
        </w:rPr>
        <w:t>Стаття 188.</w:t>
      </w:r>
      <w:r w:rsidRPr="008B264B">
        <w:rPr>
          <w:rFonts w:ascii="Times New Roman" w:eastAsia="Times New Roman" w:hAnsi="Times New Roman" w:cs="Times New Roman"/>
          <w:color w:val="000000"/>
          <w:sz w:val="24"/>
          <w:szCs w:val="24"/>
          <w:lang/>
        </w:rPr>
        <w:t> Порядок визначення бази оподаткування в разі постачання товарів/послуг</w:t>
      </w:r>
    </w:p>
    <w:p w14:paraId="35C32D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5" w:name="n4552"/>
      <w:bookmarkEnd w:id="5385"/>
      <w:r w:rsidRPr="008B264B">
        <w:rPr>
          <w:rFonts w:ascii="Times New Roman" w:eastAsia="Times New Roman" w:hAnsi="Times New Roman" w:cs="Times New Roman"/>
          <w:color w:val="000000"/>
          <w:sz w:val="24"/>
          <w:szCs w:val="24"/>
          <w:lang/>
        </w:rPr>
        <w:t>188.1. База оподаткування операцій з постачання товарів/послуг визначається виходячи з їх договірної вартості з урахуванням загальнодержавних податків та зборів (крім акцизного податку на реалізацію суб’єктами господарювання роздрібної торгівлі підакцизних товарів, збору на обов’язкове державне пенсійне страхування, що справляється з вартості послуг стільникового рухомого зв’язку, податку на додану вартість та акцизного податку на спирт етиловий, що використовується виробниками - суб’єктами господарювання для виробництва лікарських засобів, у тому числі компонентів крові і вироблених з них препаратів (крім лікарських засобів у вигляді бальзамів та еліксирів).</w:t>
      </w:r>
    </w:p>
    <w:p w14:paraId="1BA41A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6" w:name="n9549"/>
      <w:bookmarkEnd w:id="5386"/>
      <w:r w:rsidRPr="008B264B">
        <w:rPr>
          <w:rFonts w:ascii="Times New Roman" w:eastAsia="Times New Roman" w:hAnsi="Times New Roman" w:cs="Times New Roman"/>
          <w:i/>
          <w:iCs/>
          <w:color w:val="000000"/>
          <w:sz w:val="24"/>
          <w:szCs w:val="24"/>
          <w:lang/>
        </w:rPr>
        <w:t>{Абзац перший пункту 188.1 статті 188 із змінами, внесеними згідно із Законом </w:t>
      </w:r>
      <w:hyperlink r:id="rId2943" w:anchor="n13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в редакції Закону </w:t>
      </w:r>
      <w:hyperlink r:id="rId2944" w:anchor="n91"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945" w:anchor="n17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18CEA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7" w:name="n11259"/>
      <w:bookmarkEnd w:id="5387"/>
      <w:r w:rsidRPr="008B264B">
        <w:rPr>
          <w:rFonts w:ascii="Times New Roman" w:eastAsia="Times New Roman" w:hAnsi="Times New Roman" w:cs="Times New Roman"/>
          <w:color w:val="000000"/>
          <w:sz w:val="24"/>
          <w:szCs w:val="24"/>
          <w:lang/>
        </w:rPr>
        <w:t>При цьому база оподаткування операцій з постачання товарів/послуг не може бути нижче ціни придбання таких товарів/послуг, база оподаткування операцій з постачання самостійно виготовлених товарів/послуг не може бути нижче звичайних цін, а база оподаткування операцій з постачання необоротних активів не може бути нижче балансової (залишкової) вартості за даними бухгалтерського обліку, що склалася станом на початок звітного (податкового) періоду, протягом якого здійснюються такі операції (у разі відсутності обліку необоротних активів - виходячи із звичайної ціни), за винятком:</w:t>
      </w:r>
    </w:p>
    <w:p w14:paraId="16127B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8" w:name="n11263"/>
      <w:bookmarkEnd w:id="5388"/>
      <w:r w:rsidRPr="008B264B">
        <w:rPr>
          <w:rFonts w:ascii="Times New Roman" w:eastAsia="Times New Roman" w:hAnsi="Times New Roman" w:cs="Times New Roman"/>
          <w:i/>
          <w:iCs/>
          <w:color w:val="000000"/>
          <w:sz w:val="24"/>
          <w:szCs w:val="24"/>
          <w:lang/>
        </w:rPr>
        <w:t>{Пункт 188.1 статті 188 доповнено новим абзацом згідно із Законом </w:t>
      </w:r>
      <w:hyperlink r:id="rId2946" w:anchor="n6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2947" w:anchor="n17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E1AD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89" w:name="n11260"/>
      <w:bookmarkEnd w:id="5389"/>
      <w:r w:rsidRPr="008B264B">
        <w:rPr>
          <w:rFonts w:ascii="Times New Roman" w:eastAsia="Times New Roman" w:hAnsi="Times New Roman" w:cs="Times New Roman"/>
          <w:color w:val="000000"/>
          <w:sz w:val="24"/>
          <w:szCs w:val="24"/>
          <w:lang/>
        </w:rPr>
        <w:t>товарів (послуг), ціни на які підлягають державному регулюванню;</w:t>
      </w:r>
    </w:p>
    <w:p w14:paraId="46F414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0" w:name="n11262"/>
      <w:bookmarkEnd w:id="5390"/>
      <w:r w:rsidRPr="008B264B">
        <w:rPr>
          <w:rFonts w:ascii="Times New Roman" w:eastAsia="Times New Roman" w:hAnsi="Times New Roman" w:cs="Times New Roman"/>
          <w:i/>
          <w:iCs/>
          <w:color w:val="000000"/>
          <w:sz w:val="24"/>
          <w:szCs w:val="24"/>
          <w:lang/>
        </w:rPr>
        <w:t>{Пункт 188.1 статті 188 доповнено новим абзацом згідно із Законом </w:t>
      </w:r>
      <w:hyperlink r:id="rId2948" w:anchor="n6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CC9FD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1" w:name="n11261"/>
      <w:bookmarkEnd w:id="5391"/>
      <w:r w:rsidRPr="008B264B">
        <w:rPr>
          <w:rFonts w:ascii="Times New Roman" w:eastAsia="Times New Roman" w:hAnsi="Times New Roman" w:cs="Times New Roman"/>
          <w:color w:val="000000"/>
          <w:sz w:val="24"/>
          <w:szCs w:val="24"/>
          <w:lang/>
        </w:rPr>
        <w:t>газу, який постачається для потреб населення.</w:t>
      </w:r>
    </w:p>
    <w:p w14:paraId="0C178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2" w:name="n11258"/>
      <w:bookmarkEnd w:id="5392"/>
      <w:r w:rsidRPr="008B264B">
        <w:rPr>
          <w:rFonts w:ascii="Times New Roman" w:eastAsia="Times New Roman" w:hAnsi="Times New Roman" w:cs="Times New Roman"/>
          <w:i/>
          <w:iCs/>
          <w:color w:val="000000"/>
          <w:sz w:val="24"/>
          <w:szCs w:val="24"/>
          <w:lang/>
        </w:rPr>
        <w:t>{Пункт 188.1 статті 188 доповнено новим абзацом згідно із Законом </w:t>
      </w:r>
      <w:hyperlink r:id="rId2949" w:anchor="n6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E1551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3" w:name="n9247"/>
      <w:bookmarkEnd w:id="5393"/>
      <w:r w:rsidRPr="008B264B">
        <w:rPr>
          <w:rFonts w:ascii="Times New Roman" w:eastAsia="Times New Roman" w:hAnsi="Times New Roman" w:cs="Times New Roman"/>
          <w:color w:val="000000"/>
          <w:sz w:val="24"/>
          <w:szCs w:val="24"/>
          <w:lang/>
        </w:rPr>
        <w:lastRenderedPageBreak/>
        <w:t>До складу договірної (контрактної) вартості включаються будь-які суми коштів, вартість матеріальних і нематеріальних активів, що передаються платнику податків безпосередньо покупцем або через будь-яку третю особу у зв’язку з компенсацією вартості товарів/послуг. До складу договірної (контрактної) вартості не включаються суми неустойки (штрафів та/або пені), три проценти річних та інфляційні, що отримані платником податку внаслідок невиконання або неналежного виконання договірних зобов’язань.</w:t>
      </w:r>
    </w:p>
    <w:p w14:paraId="12F6BD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4" w:name="n9550"/>
      <w:bookmarkEnd w:id="5394"/>
      <w:r w:rsidRPr="008B264B">
        <w:rPr>
          <w:rFonts w:ascii="Times New Roman" w:eastAsia="Times New Roman" w:hAnsi="Times New Roman" w:cs="Times New Roman"/>
          <w:i/>
          <w:iCs/>
          <w:color w:val="000000"/>
          <w:sz w:val="24"/>
          <w:szCs w:val="24"/>
          <w:lang/>
        </w:rPr>
        <w:t>{Абзац пункту 188.1 статті 188 із змінами, внесеними згідно із Законом </w:t>
      </w:r>
      <w:hyperlink r:id="rId2950" w:anchor="n13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EE24D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5" w:name="n9248"/>
      <w:bookmarkEnd w:id="5395"/>
      <w:r w:rsidRPr="008B264B">
        <w:rPr>
          <w:rFonts w:ascii="Times New Roman" w:eastAsia="Times New Roman" w:hAnsi="Times New Roman" w:cs="Times New Roman"/>
          <w:color w:val="000000"/>
          <w:sz w:val="24"/>
          <w:szCs w:val="24"/>
          <w:lang/>
        </w:rPr>
        <w:t>До бази оподаткування включаються вартість товарів/послуг, які постачаються (за виключенням суми компенсації на покриття різниці між фактичними витратами та регульованими цінами (тарифами) у вигляді виробничої дотації з бюджету та/або суми відшкодування орендодавцю - бюджетній установі витрат на утримання наданого в оренду нерухомого майна, на комунальні послуги та на енергоносії), та вартість матеріальних і нематеріальних активів, що передаються платнику податків безпосередньо отримувачем товарів/послуг, поставлених таким платником податку.</w:t>
      </w:r>
    </w:p>
    <w:p w14:paraId="6AC8C2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6" w:name="n9249"/>
      <w:bookmarkEnd w:id="5396"/>
      <w:r w:rsidRPr="008B264B">
        <w:rPr>
          <w:rFonts w:ascii="Times New Roman" w:eastAsia="Times New Roman" w:hAnsi="Times New Roman" w:cs="Times New Roman"/>
          <w:color w:val="000000"/>
          <w:sz w:val="24"/>
          <w:szCs w:val="24"/>
          <w:lang/>
        </w:rPr>
        <w:t>У випадках, передбачених статтею 189 цього Кодексу, база оподаткування визначається з урахуванням положень статті 189 цього Кодексу.</w:t>
      </w:r>
    </w:p>
    <w:p w14:paraId="32EDA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7" w:name="n9246"/>
      <w:bookmarkEnd w:id="5397"/>
      <w:r w:rsidRPr="008B264B">
        <w:rPr>
          <w:rFonts w:ascii="Times New Roman" w:eastAsia="Times New Roman" w:hAnsi="Times New Roman" w:cs="Times New Roman"/>
          <w:i/>
          <w:iCs/>
          <w:color w:val="000000"/>
          <w:sz w:val="24"/>
          <w:szCs w:val="24"/>
          <w:lang/>
        </w:rPr>
        <w:t>{Пункт 188.1 статті 188 із змінами, внесеними згідно із Законами </w:t>
      </w:r>
      <w:hyperlink r:id="rId295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952"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w:t>
      </w:r>
      <w:hyperlink r:id="rId2953" w:anchor="n27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2954" w:anchor="n363"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w:t>
      </w:r>
    </w:p>
    <w:p w14:paraId="6183D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8" w:name="n4564"/>
      <w:bookmarkEnd w:id="5398"/>
      <w:r w:rsidRPr="008B264B">
        <w:rPr>
          <w:rFonts w:ascii="Times New Roman" w:eastAsia="Times New Roman" w:hAnsi="Times New Roman" w:cs="Times New Roman"/>
          <w:b/>
          <w:bCs/>
          <w:color w:val="000000"/>
          <w:sz w:val="24"/>
          <w:szCs w:val="24"/>
          <w:lang/>
        </w:rPr>
        <w:t>Стаття 189.</w:t>
      </w:r>
      <w:r w:rsidRPr="008B264B">
        <w:rPr>
          <w:rFonts w:ascii="Times New Roman" w:eastAsia="Times New Roman" w:hAnsi="Times New Roman" w:cs="Times New Roman"/>
          <w:color w:val="000000"/>
          <w:sz w:val="24"/>
          <w:szCs w:val="24"/>
          <w:lang/>
        </w:rPr>
        <w:t> Особливості визначення бази оподаткування в разі постачання товарів/послуг в окремих випадках</w:t>
      </w:r>
    </w:p>
    <w:p w14:paraId="192C69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399" w:name="n4565"/>
      <w:bookmarkEnd w:id="5399"/>
      <w:r w:rsidRPr="008B264B">
        <w:rPr>
          <w:rFonts w:ascii="Times New Roman" w:eastAsia="Times New Roman" w:hAnsi="Times New Roman" w:cs="Times New Roman"/>
          <w:color w:val="000000"/>
          <w:sz w:val="24"/>
          <w:szCs w:val="24"/>
          <w:lang/>
        </w:rPr>
        <w:t>189.1. У разі здійснення операцій відповідно до </w:t>
      </w:r>
      <w:hyperlink r:id="rId2955"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цього Кодексу база оподаткування за необоротними активами визначається виходячи з балансової (залишкової) вартості, що склалася станом на початок звітного (податкового) періоду, протягом якого здійснюються такі операції (у разі відсутності обліку необоротних активів - виходячи із звичайної ціни), а за товарами/послугами - виходячи з вартості їх придбання.</w:t>
      </w:r>
    </w:p>
    <w:p w14:paraId="57D18B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0" w:name="n4566"/>
      <w:bookmarkEnd w:id="5400"/>
      <w:r w:rsidRPr="008B264B">
        <w:rPr>
          <w:rFonts w:ascii="Times New Roman" w:eastAsia="Times New Roman" w:hAnsi="Times New Roman" w:cs="Times New Roman"/>
          <w:i/>
          <w:iCs/>
          <w:color w:val="000000"/>
          <w:sz w:val="24"/>
          <w:szCs w:val="24"/>
          <w:lang/>
        </w:rPr>
        <w:t>{Пункт 189.1 статті 189 в редакції Законів </w:t>
      </w:r>
      <w:hyperlink r:id="rId295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2957" w:anchor="n27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CD4A7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1" w:name="n4567"/>
      <w:bookmarkEnd w:id="5401"/>
      <w:r w:rsidRPr="008B264B">
        <w:rPr>
          <w:rFonts w:ascii="Times New Roman" w:eastAsia="Times New Roman" w:hAnsi="Times New Roman" w:cs="Times New Roman"/>
          <w:color w:val="000000"/>
          <w:sz w:val="24"/>
          <w:szCs w:val="24"/>
          <w:lang/>
        </w:rPr>
        <w:t>189.2. Вартість тари, що згідно з умовами договору (контракту) визначена як зворотна (заставна), до бази оподаткування не включається. У разі якщо у строк більше ніж 12 календарних місяців з моменту надходження зворотної тари вона не повертається відправнику, вартість такої тари включається до бази оподаткування отримувача.</w:t>
      </w:r>
    </w:p>
    <w:p w14:paraId="2523BF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2" w:name="n4568"/>
      <w:bookmarkEnd w:id="5402"/>
      <w:r w:rsidRPr="008B264B">
        <w:rPr>
          <w:rFonts w:ascii="Times New Roman" w:eastAsia="Times New Roman" w:hAnsi="Times New Roman" w:cs="Times New Roman"/>
          <w:color w:val="000000"/>
          <w:sz w:val="24"/>
          <w:szCs w:val="24"/>
          <w:lang/>
        </w:rPr>
        <w:t>189.3. У разі якщо платник податку провадить підприємницьку діяльність з постачання вживаних товарів (комісійну торгівлю), що прийняті за договором комісії в осіб, не зареєстрованих як платники податку, базою оподаткування є комісійна винагорода такого платника податку.</w:t>
      </w:r>
    </w:p>
    <w:p w14:paraId="676AA2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3" w:name="n13271"/>
      <w:bookmarkEnd w:id="5403"/>
      <w:r w:rsidRPr="008B264B">
        <w:rPr>
          <w:rFonts w:ascii="Times New Roman" w:eastAsia="Times New Roman" w:hAnsi="Times New Roman" w:cs="Times New Roman"/>
          <w:i/>
          <w:iCs/>
          <w:color w:val="000000"/>
          <w:sz w:val="24"/>
          <w:szCs w:val="24"/>
          <w:lang/>
        </w:rPr>
        <w:t>{Абзац перший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58" w:anchor="n6"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00F470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4" w:name="n4569"/>
      <w:bookmarkEnd w:id="5404"/>
      <w:r w:rsidRPr="008B264B">
        <w:rPr>
          <w:rFonts w:ascii="Times New Roman" w:eastAsia="Times New Roman" w:hAnsi="Times New Roman" w:cs="Times New Roman"/>
          <w:color w:val="000000"/>
          <w:sz w:val="24"/>
          <w:szCs w:val="24"/>
          <w:lang/>
        </w:rPr>
        <w:t>У випадках, коли платник податку здійснює діяльність з постачання вживаних товарів, придбаних у осіб, не зареєстрованих як платники податку, за договорами, що передбачають перехід права власності на такі товари, базою оподаткування є позитивна різниця між ціною продажу та ціною придбання таких товарів, визначена у порядку, встановленому цим розділом.</w:t>
      </w:r>
    </w:p>
    <w:p w14:paraId="3C9882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5" w:name="n13272"/>
      <w:bookmarkEnd w:id="5405"/>
      <w:r w:rsidRPr="008B264B">
        <w:rPr>
          <w:rFonts w:ascii="Times New Roman" w:eastAsia="Times New Roman" w:hAnsi="Times New Roman" w:cs="Times New Roman"/>
          <w:i/>
          <w:iCs/>
          <w:color w:val="000000"/>
          <w:sz w:val="24"/>
          <w:szCs w:val="24"/>
          <w:lang/>
        </w:rPr>
        <w:t>{Абзац другий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Законами </w:t>
      </w:r>
      <w:hyperlink r:id="rId2959" w:anchor="n7"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 </w:t>
      </w:r>
      <w:hyperlink r:id="rId2960" w:anchor="n10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1E57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6" w:name="n4570"/>
      <w:bookmarkEnd w:id="5406"/>
      <w:r w:rsidRPr="008B264B">
        <w:rPr>
          <w:rFonts w:ascii="Times New Roman" w:eastAsia="Times New Roman" w:hAnsi="Times New Roman" w:cs="Times New Roman"/>
          <w:color w:val="000000"/>
          <w:sz w:val="24"/>
          <w:szCs w:val="24"/>
          <w:lang/>
        </w:rPr>
        <w:t>Датою збільшення податкових зобов'язань платника податку є дата, визначена за правилами, встановленими </w:t>
      </w:r>
      <w:hyperlink r:id="rId2961" w:anchor="n4529" w:history="1">
        <w:r w:rsidRPr="008B264B">
          <w:rPr>
            <w:rFonts w:ascii="Times New Roman" w:eastAsia="Times New Roman" w:hAnsi="Times New Roman" w:cs="Times New Roman"/>
            <w:color w:val="0000FF"/>
            <w:sz w:val="24"/>
            <w:szCs w:val="24"/>
            <w:u w:val="single"/>
            <w:lang/>
          </w:rPr>
          <w:t>пунктом 187.1</w:t>
        </w:r>
      </w:hyperlink>
      <w:r w:rsidRPr="008B264B">
        <w:rPr>
          <w:rFonts w:ascii="Times New Roman" w:eastAsia="Times New Roman" w:hAnsi="Times New Roman" w:cs="Times New Roman"/>
          <w:color w:val="000000"/>
          <w:sz w:val="24"/>
          <w:szCs w:val="24"/>
          <w:lang/>
        </w:rPr>
        <w:t> статті 187 цього Кодексу.</w:t>
      </w:r>
    </w:p>
    <w:p w14:paraId="1B64B0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7" w:name="n4571"/>
      <w:bookmarkEnd w:id="5407"/>
      <w:r w:rsidRPr="008B264B">
        <w:rPr>
          <w:rFonts w:ascii="Times New Roman" w:eastAsia="Times New Roman" w:hAnsi="Times New Roman" w:cs="Times New Roman"/>
          <w:color w:val="000000"/>
          <w:sz w:val="24"/>
          <w:szCs w:val="24"/>
          <w:lang/>
        </w:rPr>
        <w:lastRenderedPageBreak/>
        <w:t>При цьому ціна продажу вживаного транспортного засобу визначається:</w:t>
      </w:r>
    </w:p>
    <w:p w14:paraId="00DF32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8" w:name="n4572"/>
      <w:bookmarkEnd w:id="5408"/>
      <w:r w:rsidRPr="008B264B">
        <w:rPr>
          <w:rFonts w:ascii="Times New Roman" w:eastAsia="Times New Roman" w:hAnsi="Times New Roman" w:cs="Times New Roman"/>
          <w:color w:val="000000"/>
          <w:sz w:val="24"/>
          <w:szCs w:val="24"/>
          <w:lang/>
        </w:rPr>
        <w:t>для осіб, не зареєстрованих як платники податку, виходячи з ціни, зазначеної у договорі купівлі-продажу, але не нижче оціночної вартості такого засобу, розрахованої суб'єктом оціночної діяльності, уповноваженим здійснювати оцінку відповідно до закону;</w:t>
      </w:r>
    </w:p>
    <w:p w14:paraId="0D9BF2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09" w:name="n13273"/>
      <w:bookmarkEnd w:id="5409"/>
      <w:r w:rsidRPr="008B264B">
        <w:rPr>
          <w:rFonts w:ascii="Times New Roman" w:eastAsia="Times New Roman" w:hAnsi="Times New Roman" w:cs="Times New Roman"/>
          <w:i/>
          <w:iCs/>
          <w:color w:val="000000"/>
          <w:sz w:val="24"/>
          <w:szCs w:val="24"/>
          <w:lang/>
        </w:rPr>
        <w:t>{Абзац п’ятий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62" w:anchor="n8"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32BB94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0" w:name="n4573"/>
      <w:bookmarkEnd w:id="5410"/>
      <w:r w:rsidRPr="008B264B">
        <w:rPr>
          <w:rFonts w:ascii="Times New Roman" w:eastAsia="Times New Roman" w:hAnsi="Times New Roman" w:cs="Times New Roman"/>
          <w:color w:val="000000"/>
          <w:sz w:val="24"/>
          <w:szCs w:val="24"/>
          <w:lang/>
        </w:rPr>
        <w:t>для платників податку виходячи з договірної (контрактної) вартості, але не нижче звичайних цін.</w:t>
      </w:r>
    </w:p>
    <w:p w14:paraId="61370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1" w:name="n4574"/>
      <w:bookmarkEnd w:id="5411"/>
      <w:r w:rsidRPr="008B264B">
        <w:rPr>
          <w:rFonts w:ascii="Times New Roman" w:eastAsia="Times New Roman" w:hAnsi="Times New Roman" w:cs="Times New Roman"/>
          <w:color w:val="000000"/>
          <w:sz w:val="24"/>
          <w:szCs w:val="24"/>
          <w:lang/>
        </w:rPr>
        <w:t>Для цілей цього розділу:</w:t>
      </w:r>
    </w:p>
    <w:p w14:paraId="179377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2" w:name="n4575"/>
      <w:bookmarkEnd w:id="5412"/>
      <w:r w:rsidRPr="008B264B">
        <w:rPr>
          <w:rFonts w:ascii="Times New Roman" w:eastAsia="Times New Roman" w:hAnsi="Times New Roman" w:cs="Times New Roman"/>
          <w:color w:val="000000"/>
          <w:sz w:val="24"/>
          <w:szCs w:val="24"/>
          <w:lang/>
        </w:rPr>
        <w:t>вживаними товарами вважаються товари, що були в користуванні не менше року та придатні для подальшого користування у незмінному стані чи після ремонту, а також транспортні засоби, які не підпадають під визначення нового транспортного засобу.</w:t>
      </w:r>
    </w:p>
    <w:p w14:paraId="0F59FA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3" w:name="n13274"/>
      <w:bookmarkEnd w:id="5413"/>
      <w:r w:rsidRPr="008B264B">
        <w:rPr>
          <w:rFonts w:ascii="Times New Roman" w:eastAsia="Times New Roman" w:hAnsi="Times New Roman" w:cs="Times New Roman"/>
          <w:i/>
          <w:iCs/>
          <w:color w:val="000000"/>
          <w:sz w:val="24"/>
          <w:szCs w:val="24"/>
          <w:lang/>
        </w:rPr>
        <w:t>{Абзац восьмий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63" w:anchor="n9"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09DB84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4" w:name="n4576"/>
      <w:bookmarkEnd w:id="5414"/>
      <w:r w:rsidRPr="008B264B">
        <w:rPr>
          <w:rFonts w:ascii="Times New Roman" w:eastAsia="Times New Roman" w:hAnsi="Times New Roman" w:cs="Times New Roman"/>
          <w:color w:val="000000"/>
          <w:sz w:val="24"/>
          <w:szCs w:val="24"/>
          <w:lang/>
        </w:rPr>
        <w:t>Новими транспортними засобами вважаються:</w:t>
      </w:r>
    </w:p>
    <w:p w14:paraId="4574BF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5" w:name="n4577"/>
      <w:bookmarkEnd w:id="5415"/>
      <w:r w:rsidRPr="008B264B">
        <w:rPr>
          <w:rFonts w:ascii="Times New Roman" w:eastAsia="Times New Roman" w:hAnsi="Times New Roman" w:cs="Times New Roman"/>
          <w:color w:val="000000"/>
          <w:sz w:val="24"/>
          <w:szCs w:val="24"/>
          <w:lang/>
        </w:rPr>
        <w:t>а) наземний транспортний засіб - той, що вперше реєструється в Україні відповідно до законодавства, не був зареєстрований в інших державах та при цьому має загальний наземний пробіг до 6000 кілометрів;</w:t>
      </w:r>
    </w:p>
    <w:p w14:paraId="2AD864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6" w:name="n13275"/>
      <w:bookmarkEnd w:id="5416"/>
      <w:r w:rsidRPr="008B264B">
        <w:rPr>
          <w:rFonts w:ascii="Times New Roman" w:eastAsia="Times New Roman" w:hAnsi="Times New Roman" w:cs="Times New Roman"/>
          <w:i/>
          <w:iCs/>
          <w:color w:val="000000"/>
          <w:sz w:val="24"/>
          <w:szCs w:val="24"/>
          <w:lang/>
        </w:rPr>
        <w:t>{Абзац десятий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64" w:anchor="n10"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4A9402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7" w:name="n4578"/>
      <w:bookmarkEnd w:id="5417"/>
      <w:r w:rsidRPr="008B264B">
        <w:rPr>
          <w:rFonts w:ascii="Times New Roman" w:eastAsia="Times New Roman" w:hAnsi="Times New Roman" w:cs="Times New Roman"/>
          <w:color w:val="000000"/>
          <w:sz w:val="24"/>
          <w:szCs w:val="24"/>
          <w:lang/>
        </w:rPr>
        <w:t>б) судно - те, що вперше реєструється в Україні відповідно до законодавства, не було зареєстровано в інших державах та при цьому пройшло не більше 100 годин після першого введення його в експлуатацію;</w:t>
      </w:r>
    </w:p>
    <w:p w14:paraId="2B30C2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8" w:name="n13277"/>
      <w:bookmarkEnd w:id="5418"/>
      <w:r w:rsidRPr="008B264B">
        <w:rPr>
          <w:rFonts w:ascii="Times New Roman" w:eastAsia="Times New Roman" w:hAnsi="Times New Roman" w:cs="Times New Roman"/>
          <w:i/>
          <w:iCs/>
          <w:color w:val="000000"/>
          <w:sz w:val="24"/>
          <w:szCs w:val="24"/>
          <w:lang/>
        </w:rPr>
        <w:t>{Абзац одинадцятий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65" w:anchor="n11"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089C55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19" w:name="n4579"/>
      <w:bookmarkEnd w:id="5419"/>
      <w:r w:rsidRPr="008B264B">
        <w:rPr>
          <w:rFonts w:ascii="Times New Roman" w:eastAsia="Times New Roman" w:hAnsi="Times New Roman" w:cs="Times New Roman"/>
          <w:color w:val="000000"/>
          <w:sz w:val="24"/>
          <w:szCs w:val="24"/>
          <w:lang/>
        </w:rPr>
        <w:t>в) літальний апарат - той, що вперше реєструється в Україні відповідно до законодавства, не був зареєстрований в інших державах та при цьому його налітаний час до такої реєстрації не перевищує 40 годин після першого введення в експлуатацію. Налітаним вважається час, який розраховується від блок-часу зльоту літального апарата до блок-часу його приземлення;</w:t>
      </w:r>
    </w:p>
    <w:p w14:paraId="70805E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0" w:name="n13276"/>
      <w:bookmarkEnd w:id="5420"/>
      <w:r w:rsidRPr="008B264B">
        <w:rPr>
          <w:rFonts w:ascii="Times New Roman" w:eastAsia="Times New Roman" w:hAnsi="Times New Roman" w:cs="Times New Roman"/>
          <w:i/>
          <w:iCs/>
          <w:color w:val="000000"/>
          <w:sz w:val="24"/>
          <w:szCs w:val="24"/>
          <w:lang/>
        </w:rPr>
        <w:t>{Абзац дванадцятий пункту 189.3 статті 189 із змінами, внесеними згідно із</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Законом </w:t>
      </w:r>
      <w:hyperlink r:id="rId2966" w:anchor="n10"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07A9F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1" w:name="n4580"/>
      <w:bookmarkEnd w:id="5421"/>
      <w:r w:rsidRPr="008B264B">
        <w:rPr>
          <w:rFonts w:ascii="Times New Roman" w:eastAsia="Times New Roman" w:hAnsi="Times New Roman" w:cs="Times New Roman"/>
          <w:i/>
          <w:iCs/>
          <w:color w:val="000000"/>
          <w:sz w:val="24"/>
          <w:szCs w:val="24"/>
          <w:lang/>
        </w:rPr>
        <w:t>{Абзац тринадцятий пункту 189.3 статті 189 виключено на підставі</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Закону </w:t>
      </w:r>
      <w:hyperlink r:id="rId2967" w:anchor="n12" w:tgtFrame="_blank" w:history="1">
        <w:r w:rsidRPr="008B264B">
          <w:rPr>
            <w:rFonts w:ascii="Times New Roman" w:eastAsia="Times New Roman" w:hAnsi="Times New Roman" w:cs="Times New Roman"/>
            <w:i/>
            <w:iCs/>
            <w:color w:val="0000FF"/>
            <w:sz w:val="24"/>
            <w:szCs w:val="24"/>
            <w:u w:val="single"/>
            <w:lang/>
          </w:rPr>
          <w:t>№ 1084-VIII від 12.04.2016</w:t>
        </w:r>
      </w:hyperlink>
      <w:r w:rsidRPr="008B264B">
        <w:rPr>
          <w:rFonts w:ascii="Times New Roman" w:eastAsia="Times New Roman" w:hAnsi="Times New Roman" w:cs="Times New Roman"/>
          <w:i/>
          <w:iCs/>
          <w:color w:val="000000"/>
          <w:sz w:val="24"/>
          <w:szCs w:val="24"/>
          <w:lang/>
        </w:rPr>
        <w:t>}</w:t>
      </w:r>
    </w:p>
    <w:p w14:paraId="1FB3F8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2" w:name="n4581"/>
      <w:bookmarkEnd w:id="5422"/>
      <w:r w:rsidRPr="008B264B">
        <w:rPr>
          <w:rFonts w:ascii="Times New Roman" w:eastAsia="Times New Roman" w:hAnsi="Times New Roman" w:cs="Times New Roman"/>
          <w:color w:val="000000"/>
          <w:sz w:val="24"/>
          <w:szCs w:val="24"/>
          <w:lang/>
        </w:rPr>
        <w:t>189.4. Базою оподаткування для товарів/послуг, що передаються/отримуються у межах договорів комісії (консигнації), поруки, довірчого управління, є вартість постачання цих товарів, визначена у порядку, встановленому </w:t>
      </w:r>
      <w:hyperlink r:id="rId2968" w:anchor="n4551" w:history="1">
        <w:r w:rsidRPr="008B264B">
          <w:rPr>
            <w:rFonts w:ascii="Times New Roman" w:eastAsia="Times New Roman" w:hAnsi="Times New Roman" w:cs="Times New Roman"/>
            <w:color w:val="0000FF"/>
            <w:sz w:val="24"/>
            <w:szCs w:val="24"/>
            <w:u w:val="single"/>
            <w:lang/>
          </w:rPr>
          <w:t>статтею 188</w:t>
        </w:r>
      </w:hyperlink>
      <w:r w:rsidRPr="008B264B">
        <w:rPr>
          <w:rFonts w:ascii="Times New Roman" w:eastAsia="Times New Roman" w:hAnsi="Times New Roman" w:cs="Times New Roman"/>
          <w:color w:val="000000"/>
          <w:sz w:val="24"/>
          <w:szCs w:val="24"/>
          <w:lang/>
        </w:rPr>
        <w:t> цього Кодексу.</w:t>
      </w:r>
    </w:p>
    <w:p w14:paraId="5659C3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3" w:name="n4582"/>
      <w:bookmarkEnd w:id="5423"/>
      <w:r w:rsidRPr="008B264B">
        <w:rPr>
          <w:rFonts w:ascii="Times New Roman" w:eastAsia="Times New Roman" w:hAnsi="Times New Roman" w:cs="Times New Roman"/>
          <w:color w:val="000000"/>
          <w:sz w:val="24"/>
          <w:szCs w:val="24"/>
          <w:lang/>
        </w:rPr>
        <w:t>Дата збільшення податкових зобов'язань та податкового кредиту платників податку, що здійснюють постачання/отримання товарів/послуг у межах договорів комісії (консигнації), поруки, доручення, довірчого управління, інших цивільно-правових договорів та без права власності на такі товари/послуги, визначається за правилами, встановленими </w:t>
      </w:r>
      <w:hyperlink r:id="rId2969" w:anchor="n4528" w:history="1">
        <w:r w:rsidRPr="008B264B">
          <w:rPr>
            <w:rFonts w:ascii="Times New Roman" w:eastAsia="Times New Roman" w:hAnsi="Times New Roman" w:cs="Times New Roman"/>
            <w:color w:val="0000FF"/>
            <w:sz w:val="24"/>
            <w:szCs w:val="24"/>
            <w:u w:val="single"/>
            <w:lang/>
          </w:rPr>
          <w:t>статтями 187</w:t>
        </w:r>
      </w:hyperlink>
      <w:r w:rsidRPr="008B264B">
        <w:rPr>
          <w:rFonts w:ascii="Times New Roman" w:eastAsia="Times New Roman" w:hAnsi="Times New Roman" w:cs="Times New Roman"/>
          <w:color w:val="000000"/>
          <w:sz w:val="24"/>
          <w:szCs w:val="24"/>
          <w:lang/>
        </w:rPr>
        <w:t> і </w:t>
      </w:r>
      <w:hyperlink r:id="rId2970" w:anchor="n4931" w:history="1">
        <w:r w:rsidRPr="008B264B">
          <w:rPr>
            <w:rFonts w:ascii="Times New Roman" w:eastAsia="Times New Roman" w:hAnsi="Times New Roman" w:cs="Times New Roman"/>
            <w:color w:val="0000FF"/>
            <w:sz w:val="24"/>
            <w:szCs w:val="24"/>
            <w:u w:val="single"/>
            <w:lang/>
          </w:rPr>
          <w:t>198</w:t>
        </w:r>
      </w:hyperlink>
      <w:r w:rsidRPr="008B264B">
        <w:rPr>
          <w:rFonts w:ascii="Times New Roman" w:eastAsia="Times New Roman" w:hAnsi="Times New Roman" w:cs="Times New Roman"/>
          <w:color w:val="000000"/>
          <w:sz w:val="24"/>
          <w:szCs w:val="24"/>
          <w:lang/>
        </w:rPr>
        <w:t> цього Кодексу.</w:t>
      </w:r>
    </w:p>
    <w:p w14:paraId="4CAFB2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4" w:name="n4583"/>
      <w:bookmarkEnd w:id="5424"/>
      <w:r w:rsidRPr="008B264B">
        <w:rPr>
          <w:rFonts w:ascii="Times New Roman" w:eastAsia="Times New Roman" w:hAnsi="Times New Roman" w:cs="Times New Roman"/>
          <w:color w:val="000000"/>
          <w:sz w:val="24"/>
          <w:szCs w:val="24"/>
          <w:lang/>
        </w:rPr>
        <w:t>Зазначений порядок дати виникнення податкових зобов'язань та податкового кредиту застосовується також на операції з примусового продажу арештованого майна органами юстиції.</w:t>
      </w:r>
    </w:p>
    <w:p w14:paraId="0B68F7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5" w:name="n4584"/>
      <w:bookmarkEnd w:id="5425"/>
      <w:r w:rsidRPr="008B264B">
        <w:rPr>
          <w:rFonts w:ascii="Times New Roman" w:eastAsia="Times New Roman" w:hAnsi="Times New Roman" w:cs="Times New Roman"/>
          <w:color w:val="000000"/>
          <w:sz w:val="24"/>
          <w:szCs w:val="24"/>
          <w:lang/>
        </w:rPr>
        <w:t xml:space="preserve">189.5. У разі постачання товарів, які були повернуті лізингоодержувачем лізингодавцю за договором фінансового лізингу у зв’язку з його невиконанням чи неналежним виконанням (у </w:t>
      </w:r>
      <w:r w:rsidRPr="008B264B">
        <w:rPr>
          <w:rFonts w:ascii="Times New Roman" w:eastAsia="Times New Roman" w:hAnsi="Times New Roman" w:cs="Times New Roman"/>
          <w:color w:val="000000"/>
          <w:sz w:val="24"/>
          <w:szCs w:val="24"/>
          <w:lang/>
        </w:rPr>
        <w:lastRenderedPageBreak/>
        <w:t>тому числі повернуті на підставі виконавчого напису нотаріуса), та при цьому лізингодавцем за операцією з повернення таких товарів до складу податкового кредиту не включалися суми податку, базою оподаткування є позитивна різниця між ціною постачання та ціною придбання таких товарів.</w:t>
      </w:r>
    </w:p>
    <w:p w14:paraId="54ED65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6" w:name="n4585"/>
      <w:bookmarkEnd w:id="5426"/>
      <w:r w:rsidRPr="008B264B">
        <w:rPr>
          <w:rFonts w:ascii="Times New Roman" w:eastAsia="Times New Roman" w:hAnsi="Times New Roman" w:cs="Times New Roman"/>
          <w:color w:val="000000"/>
          <w:sz w:val="24"/>
          <w:szCs w:val="24"/>
          <w:lang/>
        </w:rPr>
        <w:t>Ціна придбання визначається як вартість товарів, за якою такі товари були повернуті лізингодавцю, а саме як первісна вартість товарів (об’єкта фінансового лізингу) за вирахуванням сплачених лізингових платежів у частині компенсації вартості об’єкта фінансового лізингу. У разі придбання товарів у платника податку ціна придбання визначається з урахуванням податку на додану вартість.</w:t>
      </w:r>
    </w:p>
    <w:p w14:paraId="324DE1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7" w:name="n4587"/>
      <w:bookmarkEnd w:id="5427"/>
      <w:r w:rsidRPr="008B264B">
        <w:rPr>
          <w:rFonts w:ascii="Times New Roman" w:eastAsia="Times New Roman" w:hAnsi="Times New Roman" w:cs="Times New Roman"/>
          <w:color w:val="000000"/>
          <w:sz w:val="24"/>
          <w:szCs w:val="24"/>
          <w:lang/>
        </w:rPr>
        <w:t>Якщо за товарами, база оподаткування при постачанні яких визначалася як позитивна різниця між ціною постачання та ціною придбання, в майбутніх податкових періодах суми податку за операцією з повернення таких товарів були включені до складу податкового кредиту лізингодавця, застосовується положення </w:t>
      </w:r>
      <w:hyperlink r:id="rId2971"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цього Кодексу.</w:t>
      </w:r>
    </w:p>
    <w:p w14:paraId="70C39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8" w:name="n16065"/>
      <w:bookmarkEnd w:id="5428"/>
      <w:r w:rsidRPr="008B264B">
        <w:rPr>
          <w:rFonts w:ascii="Times New Roman" w:eastAsia="Times New Roman" w:hAnsi="Times New Roman" w:cs="Times New Roman"/>
          <w:i/>
          <w:iCs/>
          <w:color w:val="000000"/>
          <w:sz w:val="24"/>
          <w:szCs w:val="24"/>
          <w:lang/>
        </w:rPr>
        <w:t>{Пункт 189.5 статті 189 із змінами, внесеними згідно із Законом </w:t>
      </w:r>
      <w:hyperlink r:id="rId297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2973" w:anchor="n6"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1A4BEE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29" w:name="n4588"/>
      <w:bookmarkEnd w:id="5429"/>
      <w:r w:rsidRPr="008B264B">
        <w:rPr>
          <w:rFonts w:ascii="Times New Roman" w:eastAsia="Times New Roman" w:hAnsi="Times New Roman" w:cs="Times New Roman"/>
          <w:color w:val="000000"/>
          <w:sz w:val="24"/>
          <w:szCs w:val="24"/>
          <w:lang/>
        </w:rPr>
        <w:t>189.6. Норми </w:t>
      </w:r>
      <w:hyperlink r:id="rId2974" w:anchor="n4568" w:history="1">
        <w:r w:rsidRPr="008B264B">
          <w:rPr>
            <w:rFonts w:ascii="Times New Roman" w:eastAsia="Times New Roman" w:hAnsi="Times New Roman" w:cs="Times New Roman"/>
            <w:color w:val="0000FF"/>
            <w:sz w:val="24"/>
            <w:szCs w:val="24"/>
            <w:u w:val="single"/>
            <w:lang/>
          </w:rPr>
          <w:t>пунктів 189.3-189.5</w:t>
        </w:r>
      </w:hyperlink>
      <w:r w:rsidRPr="008B264B">
        <w:rPr>
          <w:rFonts w:ascii="Times New Roman" w:eastAsia="Times New Roman" w:hAnsi="Times New Roman" w:cs="Times New Roman"/>
          <w:color w:val="000000"/>
          <w:sz w:val="24"/>
          <w:szCs w:val="24"/>
          <w:lang/>
        </w:rPr>
        <w:t> цієї статті не поширюються на операції з експортування товарів за межі митної території України або з ввезення на митну територію України товарів у межах зазначених договорів.</w:t>
      </w:r>
    </w:p>
    <w:p w14:paraId="6E19CB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0" w:name="n4589"/>
      <w:bookmarkEnd w:id="5430"/>
      <w:r w:rsidRPr="008B264B">
        <w:rPr>
          <w:rFonts w:ascii="Times New Roman" w:eastAsia="Times New Roman" w:hAnsi="Times New Roman" w:cs="Times New Roman"/>
          <w:color w:val="000000"/>
          <w:sz w:val="24"/>
          <w:szCs w:val="24"/>
          <w:lang/>
        </w:rPr>
        <w:t>189.7. У разі якщо платник податку здійснює операції з постачання товарів/послуг, які є об'єктом оподаткування згідно із </w:t>
      </w:r>
      <w:hyperlink r:id="rId2975" w:anchor="n4483" w:history="1">
        <w:r w:rsidRPr="008B264B">
          <w:rPr>
            <w:rFonts w:ascii="Times New Roman" w:eastAsia="Times New Roman" w:hAnsi="Times New Roman" w:cs="Times New Roman"/>
            <w:color w:val="0000FF"/>
            <w:sz w:val="24"/>
            <w:szCs w:val="24"/>
            <w:u w:val="single"/>
            <w:lang/>
          </w:rPr>
          <w:t>статтею 185</w:t>
        </w:r>
      </w:hyperlink>
      <w:r w:rsidRPr="008B264B">
        <w:rPr>
          <w:rFonts w:ascii="Times New Roman" w:eastAsia="Times New Roman" w:hAnsi="Times New Roman" w:cs="Times New Roman"/>
          <w:color w:val="000000"/>
          <w:sz w:val="24"/>
          <w:szCs w:val="24"/>
          <w:lang/>
        </w:rPr>
        <w:t> цього Кодексу, під забезпечення боргових зобов'язань покупця, наданих такому платнику податку у формі простого або переказного векселя, або інших боргових інструментів (далі - вексель), випущених таким покупцем або третьою особою, базою оподаткування є договірна вартість, визначена в порядку, встановленому </w:t>
      </w:r>
      <w:hyperlink r:id="rId2976" w:anchor="n4552" w:history="1">
        <w:r w:rsidRPr="008B264B">
          <w:rPr>
            <w:rFonts w:ascii="Times New Roman" w:eastAsia="Times New Roman" w:hAnsi="Times New Roman" w:cs="Times New Roman"/>
            <w:color w:val="0000FF"/>
            <w:sz w:val="24"/>
            <w:szCs w:val="24"/>
            <w:u w:val="single"/>
            <w:lang/>
          </w:rPr>
          <w:t>пунктом 188.1</w:t>
        </w:r>
      </w:hyperlink>
      <w:r w:rsidRPr="008B264B">
        <w:rPr>
          <w:rFonts w:ascii="Times New Roman" w:eastAsia="Times New Roman" w:hAnsi="Times New Roman" w:cs="Times New Roman"/>
          <w:color w:val="000000"/>
          <w:sz w:val="24"/>
          <w:szCs w:val="24"/>
          <w:lang/>
        </w:rPr>
        <w:t> статті 188 цього Кодексу, без урахування дисконтів або інших знижок з номіналу такого векселя, а за процентними векселями - така договірна вартість, збільшена на суму процентів, нарахованих або таких, що повинні бути нараховані на суму номіналу такого векселя.</w:t>
      </w:r>
    </w:p>
    <w:p w14:paraId="6E96F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1" w:name="n4590"/>
      <w:bookmarkEnd w:id="5431"/>
      <w:r w:rsidRPr="008B264B">
        <w:rPr>
          <w:rFonts w:ascii="Times New Roman" w:eastAsia="Times New Roman" w:hAnsi="Times New Roman" w:cs="Times New Roman"/>
          <w:color w:val="000000"/>
          <w:sz w:val="24"/>
          <w:szCs w:val="24"/>
          <w:lang/>
        </w:rPr>
        <w:t>189.8. На номінал векселя, у тому числі без урахування дисконтів або з урахуванням процентів, податкові зобов'язання не нараховуються.</w:t>
      </w:r>
    </w:p>
    <w:p w14:paraId="31BC2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2" w:name="n4591"/>
      <w:bookmarkEnd w:id="5432"/>
      <w:r w:rsidRPr="008B264B">
        <w:rPr>
          <w:rFonts w:ascii="Times New Roman" w:eastAsia="Times New Roman" w:hAnsi="Times New Roman" w:cs="Times New Roman"/>
          <w:color w:val="000000"/>
          <w:sz w:val="24"/>
          <w:szCs w:val="24"/>
          <w:lang/>
        </w:rPr>
        <w:t>189.9. У разі якщо основні виробничі або невиробничі засоби ліквідуються за самостійним рішенням платника податку, така ліквідація для цілей оподаткування розглядається як постачання таких основних виробничих або невиробничих засобів за звичайними цінами, але не нижче балансової вартості на момент ліквідації.</w:t>
      </w:r>
    </w:p>
    <w:p w14:paraId="1A8347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3" w:name="n4592"/>
      <w:bookmarkEnd w:id="5433"/>
      <w:r w:rsidRPr="008B264B">
        <w:rPr>
          <w:rFonts w:ascii="Times New Roman" w:eastAsia="Times New Roman" w:hAnsi="Times New Roman" w:cs="Times New Roman"/>
          <w:color w:val="000000"/>
          <w:sz w:val="24"/>
          <w:szCs w:val="24"/>
          <w:lang/>
        </w:rPr>
        <w:t>Норма цього пункту не поширюється на випадки, коли основні виробничі або невиробничі засоби ліквідуються у зв'язку з їх знищенням або зруйнуванням внаслідок дії обставин непереборної сили, в інших випадках, коли така ліквідація здійснюється без згоди платника податку, у тому числі в разі викрадення основних виробничих або невиробничих засобів, що підтверджується відповідно до законодавства або коли платник податку подає контролюючому органу відповідний документ про знищення, розібрання або перетворення основних виробничих або невиробничих засобів у інший спосіб, внаслідок чого вони не можуть використовуватися за первісним призначенням.</w:t>
      </w:r>
    </w:p>
    <w:p w14:paraId="395E02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4" w:name="n4593"/>
      <w:bookmarkEnd w:id="5434"/>
      <w:r w:rsidRPr="008B264B">
        <w:rPr>
          <w:rFonts w:ascii="Times New Roman" w:eastAsia="Times New Roman" w:hAnsi="Times New Roman" w:cs="Times New Roman"/>
          <w:i/>
          <w:iCs/>
          <w:color w:val="000000"/>
          <w:sz w:val="24"/>
          <w:szCs w:val="24"/>
          <w:lang/>
        </w:rPr>
        <w:t>{Пункт 189.9 статті 189 в редакції Закону </w:t>
      </w:r>
      <w:hyperlink r:id="rId297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69223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5" w:name="n4594"/>
      <w:bookmarkEnd w:id="5435"/>
      <w:r w:rsidRPr="008B264B">
        <w:rPr>
          <w:rFonts w:ascii="Times New Roman" w:eastAsia="Times New Roman" w:hAnsi="Times New Roman" w:cs="Times New Roman"/>
          <w:color w:val="000000"/>
          <w:sz w:val="24"/>
          <w:szCs w:val="24"/>
          <w:lang/>
        </w:rPr>
        <w:t>189.10. У разі якщо внаслідок ліквідації необоротних активів отримуються комплектувальні вироби, складові частини, компоненти або інші відходи, які оприбутковуються на матеріальних рахунках з метою їх використання в господарській діяльності платника, на такі операції не нараховуються податкові зобов'язання.</w:t>
      </w:r>
    </w:p>
    <w:p w14:paraId="0F62A7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6" w:name="n4595"/>
      <w:bookmarkEnd w:id="5436"/>
      <w:r w:rsidRPr="008B264B">
        <w:rPr>
          <w:rFonts w:ascii="Times New Roman" w:eastAsia="Times New Roman" w:hAnsi="Times New Roman" w:cs="Times New Roman"/>
          <w:i/>
          <w:iCs/>
          <w:color w:val="000000"/>
          <w:sz w:val="24"/>
          <w:szCs w:val="24"/>
          <w:lang/>
        </w:rPr>
        <w:t>{Пункт 189.11 статті 189 виключено на підставі Закону </w:t>
      </w:r>
      <w:hyperlink r:id="rId2978" w:anchor="n27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6C8A2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7" w:name="n4596"/>
      <w:bookmarkEnd w:id="5437"/>
      <w:r w:rsidRPr="008B264B">
        <w:rPr>
          <w:rFonts w:ascii="Times New Roman" w:eastAsia="Times New Roman" w:hAnsi="Times New Roman" w:cs="Times New Roman"/>
          <w:color w:val="000000"/>
          <w:sz w:val="24"/>
          <w:szCs w:val="24"/>
          <w:lang/>
        </w:rPr>
        <w:lastRenderedPageBreak/>
        <w:t>189.12. У випадках, коли платник податку здійснює операції з постачання особам, які не зареєстровані як платники податку, сільськогосподарської продукції та продуктів її переробки, раніше придбаних (заготовлених) таким платником податку у фізичних осіб, які не є платниками цього податку, об'єктом оподаткування є торгова націнка (надбавка), встановлена таким платником податку.</w:t>
      </w:r>
    </w:p>
    <w:p w14:paraId="6A0331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8" w:name="n4597"/>
      <w:bookmarkEnd w:id="5438"/>
      <w:r w:rsidRPr="008B264B">
        <w:rPr>
          <w:rFonts w:ascii="Times New Roman" w:eastAsia="Times New Roman" w:hAnsi="Times New Roman" w:cs="Times New Roman"/>
          <w:color w:val="000000"/>
          <w:sz w:val="24"/>
          <w:szCs w:val="24"/>
          <w:lang/>
        </w:rPr>
        <w:t>189.13. У разі постачання відповідно до </w:t>
      </w:r>
      <w:hyperlink r:id="rId2979" w:tgtFrame="_blank" w:history="1">
        <w:r w:rsidRPr="008B264B">
          <w:rPr>
            <w:rFonts w:ascii="Times New Roman" w:eastAsia="Times New Roman" w:hAnsi="Times New Roman" w:cs="Times New Roman"/>
            <w:color w:val="0000FF"/>
            <w:sz w:val="24"/>
            <w:szCs w:val="24"/>
            <w:u w:val="single"/>
            <w:lang/>
          </w:rPr>
          <w:t>Закону України "Про автомобільний транспорт"</w:t>
        </w:r>
      </w:hyperlink>
      <w:r w:rsidRPr="008B264B">
        <w:rPr>
          <w:rFonts w:ascii="Times New Roman" w:eastAsia="Times New Roman" w:hAnsi="Times New Roman" w:cs="Times New Roman"/>
          <w:color w:val="000000"/>
          <w:sz w:val="24"/>
          <w:szCs w:val="24"/>
          <w:lang/>
        </w:rPr>
        <w:t> квитків на проїзд в автобусах та на перевезення багажу базою оподаткування є винагорода, що включає автостанційний збір. До бази оподаткування не включається вартість перевезення, що перераховується перевізнику, та сума витрат на страхування пасажирів, яка перераховується страховій компанії.</w:t>
      </w:r>
    </w:p>
    <w:p w14:paraId="177CC3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39" w:name="n4598"/>
      <w:bookmarkEnd w:id="5439"/>
      <w:r w:rsidRPr="008B264B">
        <w:rPr>
          <w:rFonts w:ascii="Times New Roman" w:eastAsia="Times New Roman" w:hAnsi="Times New Roman" w:cs="Times New Roman"/>
          <w:i/>
          <w:iCs/>
          <w:color w:val="000000"/>
          <w:sz w:val="24"/>
          <w:szCs w:val="24"/>
          <w:lang/>
        </w:rPr>
        <w:t>{Статтю 189 доповнено пунктом 189.13 згідно із Законом </w:t>
      </w:r>
      <w:hyperlink r:id="rId2980" w:anchor="n27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86D2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0" w:name="n4599"/>
      <w:bookmarkEnd w:id="5440"/>
      <w:r w:rsidRPr="008B264B">
        <w:rPr>
          <w:rFonts w:ascii="Times New Roman" w:eastAsia="Times New Roman" w:hAnsi="Times New Roman" w:cs="Times New Roman"/>
          <w:color w:val="000000"/>
          <w:sz w:val="24"/>
          <w:szCs w:val="24"/>
          <w:lang/>
        </w:rPr>
        <w:t>189.14. У разі постачання на митній території України товарів, які є продуктами переробки товарів, поміщених у митний режим переробки на митній території, у тому числі отриманих як оплата за постачання послуг з переробки, база оподаткування визначається згідно із </w:t>
      </w:r>
      <w:hyperlink r:id="rId2981" w:anchor="n4551" w:history="1">
        <w:r w:rsidRPr="008B264B">
          <w:rPr>
            <w:rFonts w:ascii="Times New Roman" w:eastAsia="Times New Roman" w:hAnsi="Times New Roman" w:cs="Times New Roman"/>
            <w:color w:val="0000FF"/>
            <w:sz w:val="24"/>
            <w:szCs w:val="24"/>
            <w:u w:val="single"/>
            <w:lang/>
          </w:rPr>
          <w:t>статтею 188</w:t>
        </w:r>
      </w:hyperlink>
      <w:r w:rsidRPr="008B264B">
        <w:rPr>
          <w:rFonts w:ascii="Times New Roman" w:eastAsia="Times New Roman" w:hAnsi="Times New Roman" w:cs="Times New Roman"/>
          <w:color w:val="000000"/>
          <w:sz w:val="24"/>
          <w:szCs w:val="24"/>
          <w:lang/>
        </w:rPr>
        <w:t> цього Кодексу.</w:t>
      </w:r>
    </w:p>
    <w:p w14:paraId="7F40EA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1" w:name="n4600"/>
      <w:bookmarkEnd w:id="5441"/>
      <w:r w:rsidRPr="008B264B">
        <w:rPr>
          <w:rFonts w:ascii="Times New Roman" w:eastAsia="Times New Roman" w:hAnsi="Times New Roman" w:cs="Times New Roman"/>
          <w:i/>
          <w:iCs/>
          <w:color w:val="000000"/>
          <w:sz w:val="24"/>
          <w:szCs w:val="24"/>
          <w:lang/>
        </w:rPr>
        <w:t>{Статтю 189 доповнено пунктом 189.14 згідно із Законом </w:t>
      </w:r>
      <w:hyperlink r:id="rId2982" w:anchor="n4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88398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2" w:name="n12747"/>
      <w:bookmarkEnd w:id="5442"/>
      <w:r w:rsidRPr="008B264B">
        <w:rPr>
          <w:rFonts w:ascii="Times New Roman" w:eastAsia="Times New Roman" w:hAnsi="Times New Roman" w:cs="Times New Roman"/>
          <w:color w:val="000000"/>
          <w:sz w:val="24"/>
          <w:szCs w:val="24"/>
          <w:lang/>
        </w:rPr>
        <w:t>189.15. У разі постачання (продажу, відчуження іншим способом) банками та іншими фінансовими установами майна, набутого ними у власність внаслідок звернення стягнення на таке майно, базою оподаткування є позитивна різниця між ціною постачання та ціною придбання такого майна. Ціна придбання визначається як вартість майна, за якою таке майно набуте у власність. У разі придбання майна у платника податку ціна придбання визначається з урахуванням податку на додану вартість.</w:t>
      </w:r>
    </w:p>
    <w:p w14:paraId="6B8696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3" w:name="n12748"/>
      <w:bookmarkEnd w:id="5443"/>
      <w:r w:rsidRPr="008B264B">
        <w:rPr>
          <w:rFonts w:ascii="Times New Roman" w:eastAsia="Times New Roman" w:hAnsi="Times New Roman" w:cs="Times New Roman"/>
          <w:color w:val="000000"/>
          <w:sz w:val="24"/>
          <w:szCs w:val="24"/>
          <w:lang/>
        </w:rPr>
        <w:t>Якщо за таким майном суми податку були включені до складу податкового кредиту банком, іншою фінансовою установою, застосовуються положення пункту 198.5 статті 198 цього Кодексу.</w:t>
      </w:r>
    </w:p>
    <w:p w14:paraId="2540B8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4" w:name="n12750"/>
      <w:bookmarkEnd w:id="5444"/>
      <w:r w:rsidRPr="008B264B">
        <w:rPr>
          <w:rFonts w:ascii="Times New Roman" w:eastAsia="Times New Roman" w:hAnsi="Times New Roman" w:cs="Times New Roman"/>
          <w:i/>
          <w:iCs/>
          <w:color w:val="000000"/>
          <w:sz w:val="24"/>
          <w:szCs w:val="24"/>
          <w:lang/>
        </w:rPr>
        <w:t>{Статтю 189 доповнено пунктом 189.15 згідно із Законом </w:t>
      </w:r>
      <w:hyperlink r:id="rId2983" w:anchor="n17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EE582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5" w:name="n12749"/>
      <w:bookmarkEnd w:id="5445"/>
      <w:r w:rsidRPr="008B264B">
        <w:rPr>
          <w:rFonts w:ascii="Times New Roman" w:eastAsia="Times New Roman" w:hAnsi="Times New Roman" w:cs="Times New Roman"/>
          <w:color w:val="000000"/>
          <w:sz w:val="24"/>
          <w:szCs w:val="24"/>
          <w:lang/>
        </w:rPr>
        <w:t>189.16. База оподаткування операцій з постачання послуг з перевезення (переміщення, транспортування) природного газу транскордонними газопроводами (транспортування природного газу територією України в митному режимі транзиту), що виконуються (надаються) публічним акціонерним товариством "Національна акціонерна компанія "Нафтогаз України", визначається виходячи із договірної (контрактної) вартості з урахуванням загальнодержавних податків та зборів.</w:t>
      </w:r>
    </w:p>
    <w:p w14:paraId="05C14D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6" w:name="n12746"/>
      <w:bookmarkEnd w:id="5446"/>
      <w:r w:rsidRPr="008B264B">
        <w:rPr>
          <w:rFonts w:ascii="Times New Roman" w:eastAsia="Times New Roman" w:hAnsi="Times New Roman" w:cs="Times New Roman"/>
          <w:i/>
          <w:iCs/>
          <w:color w:val="000000"/>
          <w:sz w:val="24"/>
          <w:szCs w:val="24"/>
          <w:lang/>
        </w:rPr>
        <w:t>{Статтю 189 доповнено пунктом 189.15 згідно із Законом </w:t>
      </w:r>
      <w:hyperlink r:id="rId2984" w:anchor="n17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3D45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7" w:name="n4601"/>
      <w:bookmarkEnd w:id="5447"/>
      <w:r w:rsidRPr="008B264B">
        <w:rPr>
          <w:rFonts w:ascii="Times New Roman" w:eastAsia="Times New Roman" w:hAnsi="Times New Roman" w:cs="Times New Roman"/>
          <w:b/>
          <w:bCs/>
          <w:color w:val="000000"/>
          <w:sz w:val="24"/>
          <w:szCs w:val="24"/>
          <w:lang/>
        </w:rPr>
        <w:t>Стаття 190.</w:t>
      </w:r>
      <w:r w:rsidRPr="008B264B">
        <w:rPr>
          <w:rFonts w:ascii="Times New Roman" w:eastAsia="Times New Roman" w:hAnsi="Times New Roman" w:cs="Times New Roman"/>
          <w:color w:val="000000"/>
          <w:sz w:val="24"/>
          <w:szCs w:val="24"/>
          <w:lang/>
        </w:rPr>
        <w:t> Порядок визначення бази оподаткування для товарів, які ввозяться на митну територію України, послуг, які поставляються нерезидентами на митній території України</w:t>
      </w:r>
    </w:p>
    <w:p w14:paraId="651FE8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8" w:name="n4602"/>
      <w:bookmarkEnd w:id="5448"/>
      <w:r w:rsidRPr="008B264B">
        <w:rPr>
          <w:rFonts w:ascii="Times New Roman" w:eastAsia="Times New Roman" w:hAnsi="Times New Roman" w:cs="Times New Roman"/>
          <w:color w:val="000000"/>
          <w:sz w:val="24"/>
          <w:szCs w:val="24"/>
          <w:lang/>
        </w:rPr>
        <w:t>190.1. Базою оподаткування для товарів, що ввозяться на митну територію України, є договірна (контрактна) вартість, але не нижче митної вартості цих товарів, визначеної відповідно до </w:t>
      </w:r>
      <w:hyperlink r:id="rId2985" w:anchor="n746" w:tgtFrame="_blank" w:history="1">
        <w:r w:rsidRPr="008B264B">
          <w:rPr>
            <w:rFonts w:ascii="Times New Roman" w:eastAsia="Times New Roman" w:hAnsi="Times New Roman" w:cs="Times New Roman"/>
            <w:color w:val="0000FF"/>
            <w:sz w:val="24"/>
            <w:szCs w:val="24"/>
            <w:u w:val="single"/>
            <w:lang/>
          </w:rPr>
          <w:t>розділу ІІІ Митного кодексу України</w:t>
        </w:r>
      </w:hyperlink>
      <w:r w:rsidRPr="008B264B">
        <w:rPr>
          <w:rFonts w:ascii="Times New Roman" w:eastAsia="Times New Roman" w:hAnsi="Times New Roman" w:cs="Times New Roman"/>
          <w:color w:val="000000"/>
          <w:sz w:val="24"/>
          <w:szCs w:val="24"/>
          <w:lang/>
        </w:rPr>
        <w:t>, з урахуванням мита та акцизного податку, що підлягають сплаті і включаються до ціни товарів.</w:t>
      </w:r>
    </w:p>
    <w:p w14:paraId="142949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49" w:name="n4603"/>
      <w:bookmarkEnd w:id="5449"/>
      <w:r w:rsidRPr="008B264B">
        <w:rPr>
          <w:rFonts w:ascii="Times New Roman" w:eastAsia="Times New Roman" w:hAnsi="Times New Roman" w:cs="Times New Roman"/>
          <w:color w:val="000000"/>
          <w:sz w:val="24"/>
          <w:szCs w:val="24"/>
          <w:lang/>
        </w:rPr>
        <w:t>При визначенні бази оподаткування для товарів, що ввозяться на митну територію України, перерахунок іноземної валюти у валюту України здійснюється за курсом валюти, визначеним відповідно до статті 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0F0702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0" w:name="n9833"/>
      <w:bookmarkEnd w:id="5450"/>
      <w:r w:rsidRPr="008B264B">
        <w:rPr>
          <w:rFonts w:ascii="Times New Roman" w:eastAsia="Times New Roman" w:hAnsi="Times New Roman" w:cs="Times New Roman"/>
          <w:i/>
          <w:iCs/>
          <w:color w:val="000000"/>
          <w:sz w:val="24"/>
          <w:szCs w:val="24"/>
          <w:lang/>
        </w:rPr>
        <w:t>{Абзац другий пункту 190.1 статті 190 в редакції Закону </w:t>
      </w:r>
      <w:hyperlink r:id="rId2986" w:anchor="n13"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AFB1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1" w:name="n4604"/>
      <w:bookmarkEnd w:id="5451"/>
      <w:r w:rsidRPr="008B264B">
        <w:rPr>
          <w:rFonts w:ascii="Times New Roman" w:eastAsia="Times New Roman" w:hAnsi="Times New Roman" w:cs="Times New Roman"/>
          <w:i/>
          <w:iCs/>
          <w:color w:val="000000"/>
          <w:sz w:val="24"/>
          <w:szCs w:val="24"/>
          <w:lang/>
        </w:rPr>
        <w:t>{Пункт 190.1 статті 190 в редакції Закону </w:t>
      </w:r>
      <w:hyperlink r:id="rId2987" w:anchor="n4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2CFCDD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2" w:name="n4605"/>
      <w:bookmarkEnd w:id="5452"/>
      <w:r w:rsidRPr="008B264B">
        <w:rPr>
          <w:rFonts w:ascii="Times New Roman" w:eastAsia="Times New Roman" w:hAnsi="Times New Roman" w:cs="Times New Roman"/>
          <w:color w:val="000000"/>
          <w:sz w:val="24"/>
          <w:szCs w:val="24"/>
          <w:lang/>
        </w:rPr>
        <w:t xml:space="preserve">190.2. Для послуг, які постачаються нерезидентами на митній території України, базою оподаткування є договірна (контрактна) вартість таких послуг з урахуванням податків та зборів, </w:t>
      </w:r>
      <w:r w:rsidRPr="008B264B">
        <w:rPr>
          <w:rFonts w:ascii="Times New Roman" w:eastAsia="Times New Roman" w:hAnsi="Times New Roman" w:cs="Times New Roman"/>
          <w:color w:val="000000"/>
          <w:sz w:val="24"/>
          <w:szCs w:val="24"/>
          <w:lang/>
        </w:rPr>
        <w:lastRenderedPageBreak/>
        <w:t>за винятком податку на додану вартість, що включаються до ціни постачання відповідно до законодавства. Визначена вартість перераховується в національну валюту за валютним (обмінним) курсом Національного банку України на дату виникнення податкових зобов'язань. У разі отримання послуг від нерезидентів без їх оплати база оподаткування визначається, виходячи із звичайних цін на такі послуги без урахування податку.</w:t>
      </w:r>
    </w:p>
    <w:p w14:paraId="7BCCE4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3" w:name="n4606"/>
      <w:bookmarkEnd w:id="5453"/>
      <w:r w:rsidRPr="008B264B">
        <w:rPr>
          <w:rFonts w:ascii="Times New Roman" w:eastAsia="Times New Roman" w:hAnsi="Times New Roman" w:cs="Times New Roman"/>
          <w:color w:val="000000"/>
          <w:sz w:val="24"/>
          <w:szCs w:val="24"/>
          <w:lang/>
        </w:rPr>
        <w:t>190.3. У випадках, передбачених статтею 191 цього Кодексу, база оподаткування визначається з урахуванням положень статті 191 цього Кодексу.</w:t>
      </w:r>
    </w:p>
    <w:p w14:paraId="7E6ED6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4" w:name="n4607"/>
      <w:bookmarkEnd w:id="5454"/>
      <w:r w:rsidRPr="008B264B">
        <w:rPr>
          <w:rFonts w:ascii="Times New Roman" w:eastAsia="Times New Roman" w:hAnsi="Times New Roman" w:cs="Times New Roman"/>
          <w:i/>
          <w:iCs/>
          <w:color w:val="000000"/>
          <w:sz w:val="24"/>
          <w:szCs w:val="24"/>
          <w:lang/>
        </w:rPr>
        <w:t>{Статтю 190 доповнено пунктом 190.3 згідно із Законом </w:t>
      </w:r>
      <w:hyperlink r:id="rId2988" w:anchor="n48"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D1CA3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5" w:name="n4608"/>
      <w:bookmarkEnd w:id="5455"/>
      <w:r w:rsidRPr="008B264B">
        <w:rPr>
          <w:rFonts w:ascii="Times New Roman" w:eastAsia="Times New Roman" w:hAnsi="Times New Roman" w:cs="Times New Roman"/>
          <w:b/>
          <w:bCs/>
          <w:color w:val="000000"/>
          <w:sz w:val="24"/>
          <w:szCs w:val="24"/>
          <w:lang/>
        </w:rPr>
        <w:t>Стаття 191.</w:t>
      </w:r>
      <w:r w:rsidRPr="008B264B">
        <w:rPr>
          <w:rFonts w:ascii="Times New Roman" w:eastAsia="Times New Roman" w:hAnsi="Times New Roman" w:cs="Times New Roman"/>
          <w:color w:val="000000"/>
          <w:sz w:val="24"/>
          <w:szCs w:val="24"/>
          <w:lang/>
        </w:rPr>
        <w:t> Особливості оподаткування операцій з ввезення на митну територію України товарів у міжнародних поштових та експрес-відправленнях, у несупроводжуваному багажі та товарів, що ввозяться на митну територію України фізичними особами в ручній поклажі та/або у супроводжуваному багажі</w:t>
      </w:r>
    </w:p>
    <w:p w14:paraId="4EAC82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6" w:name="n15297"/>
      <w:bookmarkEnd w:id="5456"/>
      <w:r w:rsidRPr="008B264B">
        <w:rPr>
          <w:rFonts w:ascii="Times New Roman" w:eastAsia="Times New Roman" w:hAnsi="Times New Roman" w:cs="Times New Roman"/>
          <w:i/>
          <w:iCs/>
          <w:color w:val="000000"/>
          <w:sz w:val="24"/>
          <w:szCs w:val="24"/>
          <w:lang/>
        </w:rPr>
        <w:t>{Назва статті 191 в редакції Закону </w:t>
      </w:r>
      <w:hyperlink r:id="rId2989" w:anchor="n21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B15BA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7" w:name="n4609"/>
      <w:bookmarkEnd w:id="5457"/>
      <w:r w:rsidRPr="008B264B">
        <w:rPr>
          <w:rFonts w:ascii="Times New Roman" w:eastAsia="Times New Roman" w:hAnsi="Times New Roman" w:cs="Times New Roman"/>
          <w:color w:val="000000"/>
          <w:sz w:val="24"/>
          <w:szCs w:val="24"/>
          <w:lang/>
        </w:rPr>
        <w:t>191.1. Особливості оподаткування операцій з ввезення на митну територію України товарів у міжнародних поштових та експрес-відправленнях, у несупроводжуваному багажі.</w:t>
      </w:r>
    </w:p>
    <w:p w14:paraId="1BA4F9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8" w:name="n4610"/>
      <w:bookmarkEnd w:id="5458"/>
      <w:r w:rsidRPr="008B264B">
        <w:rPr>
          <w:rFonts w:ascii="Times New Roman" w:eastAsia="Times New Roman" w:hAnsi="Times New Roman" w:cs="Times New Roman"/>
          <w:color w:val="000000"/>
          <w:sz w:val="24"/>
          <w:szCs w:val="24"/>
          <w:lang/>
        </w:rPr>
        <w:t>191.1.1. У разі ввезення на митну територію України товарів у міжнародних поштових та експрес-відправленнях, у несупроводжуваному багажі базою оподаткування є їх митна вартість (для юридичних осіб або фізичних осіб - підприємців) або фактурна вартість (для фізичних осіб), визначені відповідно до </w:t>
      </w:r>
      <w:hyperlink r:id="rId2990"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 з урахуванням мита та акцизного податку, що підлягають сплаті.</w:t>
      </w:r>
    </w:p>
    <w:p w14:paraId="230061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59" w:name="n4611"/>
      <w:bookmarkEnd w:id="5459"/>
      <w:r w:rsidRPr="008B264B">
        <w:rPr>
          <w:rFonts w:ascii="Times New Roman" w:eastAsia="Times New Roman" w:hAnsi="Times New Roman" w:cs="Times New Roman"/>
          <w:color w:val="000000"/>
          <w:sz w:val="24"/>
          <w:szCs w:val="24"/>
          <w:lang/>
        </w:rPr>
        <w:t>191.1.2. Датою виникнення податкових зобов’язань у разі ввезення на митну територію України товарів у міжнародних поштових та експрес-відправленнях, у несупроводжуваному багажі є дата подання контролюючому органу митної декларації або документа, який відповідно до законодавства замінює митну декларацію.</w:t>
      </w:r>
    </w:p>
    <w:p w14:paraId="60B49B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0" w:name="n4612"/>
      <w:bookmarkEnd w:id="5460"/>
      <w:r w:rsidRPr="008B264B">
        <w:rPr>
          <w:rFonts w:ascii="Times New Roman" w:eastAsia="Times New Roman" w:hAnsi="Times New Roman" w:cs="Times New Roman"/>
          <w:color w:val="000000"/>
          <w:sz w:val="24"/>
          <w:szCs w:val="24"/>
          <w:lang/>
        </w:rPr>
        <w:t>191.1.3. Сплата податкових зобов’язань у разі ввезення на митну територію України товарів у міжнародних поштових та експрес-відправленнях здійснюється з урахуванням таких особливостей.</w:t>
      </w:r>
    </w:p>
    <w:p w14:paraId="0BB43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1" w:name="n15298"/>
      <w:bookmarkEnd w:id="5461"/>
      <w:r w:rsidRPr="008B264B">
        <w:rPr>
          <w:rFonts w:ascii="Times New Roman" w:eastAsia="Times New Roman" w:hAnsi="Times New Roman" w:cs="Times New Roman"/>
          <w:color w:val="000000"/>
          <w:sz w:val="24"/>
          <w:szCs w:val="24"/>
          <w:lang/>
        </w:rPr>
        <w:t>При ввезенні на митну територію України товарів, сумарна фактурна вартість яких не перевищує еквівалент 150 євро, для одного одержувача - фізичної особи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 до контролюючого органу подаються:</w:t>
      </w:r>
    </w:p>
    <w:p w14:paraId="1C5FE8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2" w:name="n15299"/>
      <w:bookmarkEnd w:id="5462"/>
      <w:r w:rsidRPr="008B264B">
        <w:rPr>
          <w:rFonts w:ascii="Times New Roman" w:eastAsia="Times New Roman" w:hAnsi="Times New Roman" w:cs="Times New Roman"/>
          <w:color w:val="000000"/>
          <w:sz w:val="24"/>
          <w:szCs w:val="24"/>
          <w:lang/>
        </w:rPr>
        <w:t>реєстри (тимчасові та додаткові) міжнародних поштових відправлень, складені з урахуванням вимог актiв Всесвітнього поштового союзу, - оператором поштового зв’язку;</w:t>
      </w:r>
    </w:p>
    <w:p w14:paraId="266E0B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3" w:name="n15300"/>
      <w:bookmarkEnd w:id="5463"/>
      <w:r w:rsidRPr="008B264B">
        <w:rPr>
          <w:rFonts w:ascii="Times New Roman" w:eastAsia="Times New Roman" w:hAnsi="Times New Roman" w:cs="Times New Roman"/>
          <w:color w:val="000000"/>
          <w:sz w:val="24"/>
          <w:szCs w:val="24"/>
          <w:lang/>
        </w:rPr>
        <w:t>реєстри (тимчасові та додаткові) міжнародних експрес-відправлень - експрес-перевізником;</w:t>
      </w:r>
    </w:p>
    <w:p w14:paraId="66B20D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4" w:name="n15301"/>
      <w:bookmarkEnd w:id="5464"/>
      <w:r w:rsidRPr="008B264B">
        <w:rPr>
          <w:rFonts w:ascii="Times New Roman" w:eastAsia="Times New Roman" w:hAnsi="Times New Roman" w:cs="Times New Roman"/>
          <w:color w:val="000000"/>
          <w:sz w:val="24"/>
          <w:szCs w:val="24"/>
          <w:lang/>
        </w:rPr>
        <w:t>митна декларація - фізичними особами у порядку, встановленому </w:t>
      </w:r>
      <w:hyperlink r:id="rId2991"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для фізичних осіб.</w:t>
      </w:r>
    </w:p>
    <w:p w14:paraId="57BEFE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5" w:name="n15302"/>
      <w:bookmarkEnd w:id="5465"/>
      <w:r w:rsidRPr="008B264B">
        <w:rPr>
          <w:rFonts w:ascii="Times New Roman" w:eastAsia="Times New Roman" w:hAnsi="Times New Roman" w:cs="Times New Roman"/>
          <w:color w:val="000000"/>
          <w:sz w:val="24"/>
          <w:szCs w:val="24"/>
          <w:lang/>
        </w:rPr>
        <w:t>Сплата податку, нарахованого у тимчасовому реєстрі, визначеному цим підпунктом, здійснюється протягом 30 днів з дати оформлення такого реєстру з одночасним поданням додаткового реєстру (додаткових реєстрів).</w:t>
      </w:r>
    </w:p>
    <w:p w14:paraId="55269B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6" w:name="n15303"/>
      <w:bookmarkEnd w:id="5466"/>
      <w:r w:rsidRPr="008B264B">
        <w:rPr>
          <w:rFonts w:ascii="Times New Roman" w:eastAsia="Times New Roman" w:hAnsi="Times New Roman" w:cs="Times New Roman"/>
          <w:color w:val="000000"/>
          <w:sz w:val="24"/>
          <w:szCs w:val="24"/>
          <w:lang/>
        </w:rPr>
        <w:t>Дата оформлення тимчасового реєстру засвідчується контролюючим органом у порядку, визначеному Кабінетом Міністрів України.</w:t>
      </w:r>
    </w:p>
    <w:p w14:paraId="453069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7" w:name="n15304"/>
      <w:bookmarkEnd w:id="5467"/>
      <w:r w:rsidRPr="008B264B">
        <w:rPr>
          <w:rFonts w:ascii="Times New Roman" w:eastAsia="Times New Roman" w:hAnsi="Times New Roman" w:cs="Times New Roman"/>
          <w:color w:val="000000"/>
          <w:sz w:val="24"/>
          <w:szCs w:val="24"/>
          <w:lang/>
        </w:rPr>
        <w:t>Сплата податку, нарахованого у митних деклараціях, здійснюється у загальному порядку, визначеному </w:t>
      </w:r>
      <w:hyperlink r:id="rId2992"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6D48C8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8" w:name="n15305"/>
      <w:bookmarkEnd w:id="5468"/>
      <w:r w:rsidRPr="008B264B">
        <w:rPr>
          <w:rFonts w:ascii="Times New Roman" w:eastAsia="Times New Roman" w:hAnsi="Times New Roman" w:cs="Times New Roman"/>
          <w:color w:val="000000"/>
          <w:sz w:val="24"/>
          <w:szCs w:val="24"/>
          <w:lang/>
        </w:rPr>
        <w:t xml:space="preserve">Наявність заборгованості оператора поштового зв’язку, експрес-перевізника із сплати митних платежів та/або пені за такими платежами є підставою для відмови контролюючого </w:t>
      </w:r>
      <w:r w:rsidRPr="008B264B">
        <w:rPr>
          <w:rFonts w:ascii="Times New Roman" w:eastAsia="Times New Roman" w:hAnsi="Times New Roman" w:cs="Times New Roman"/>
          <w:color w:val="000000"/>
          <w:sz w:val="24"/>
          <w:szCs w:val="24"/>
          <w:lang/>
        </w:rPr>
        <w:lastRenderedPageBreak/>
        <w:t>органу у прийнятті для митного оформлення нових тимчасових реєстрів міжнародних поштових відправлень, тимчасових реєстрів міжнародних експрес-відправлень до моменту погашення такої заборгованості.</w:t>
      </w:r>
    </w:p>
    <w:p w14:paraId="1C36F0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69" w:name="n15306"/>
      <w:bookmarkEnd w:id="5469"/>
      <w:r w:rsidRPr="008B264B">
        <w:rPr>
          <w:rFonts w:ascii="Times New Roman" w:eastAsia="Times New Roman" w:hAnsi="Times New Roman" w:cs="Times New Roman"/>
          <w:color w:val="000000"/>
          <w:sz w:val="24"/>
          <w:szCs w:val="24"/>
          <w:lang/>
        </w:rPr>
        <w:t>У разі якщо товари, зазначені у тимчасовому реєстрі, визначеному цим підпунктом, повертаються відправникам за межі митної території України протягом 30 днів з дати подання такого тимчасового реєстру, про що зазначається у додатковому реєстрі, нараховані суми податку на такі товари не сплачуються.</w:t>
      </w:r>
    </w:p>
    <w:p w14:paraId="02AE9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0" w:name="n15307"/>
      <w:bookmarkEnd w:id="5470"/>
      <w:r w:rsidRPr="008B264B">
        <w:rPr>
          <w:rFonts w:ascii="Times New Roman" w:eastAsia="Times New Roman" w:hAnsi="Times New Roman" w:cs="Times New Roman"/>
          <w:color w:val="000000"/>
          <w:sz w:val="24"/>
          <w:szCs w:val="24"/>
          <w:lang/>
        </w:rPr>
        <w:t>191.1.4. Порядок ведення, форма і формат зазначених у </w:t>
      </w:r>
      <w:hyperlink r:id="rId2993" w:anchor="n4612" w:history="1">
        <w:r w:rsidRPr="008B264B">
          <w:rPr>
            <w:rFonts w:ascii="Times New Roman" w:eastAsia="Times New Roman" w:hAnsi="Times New Roman" w:cs="Times New Roman"/>
            <w:color w:val="0000FF"/>
            <w:sz w:val="24"/>
            <w:szCs w:val="24"/>
            <w:u w:val="single"/>
            <w:lang/>
          </w:rPr>
          <w:t>підпункті 191.1.3</w:t>
        </w:r>
      </w:hyperlink>
      <w:r w:rsidRPr="008B264B">
        <w:rPr>
          <w:rFonts w:ascii="Times New Roman" w:eastAsia="Times New Roman" w:hAnsi="Times New Roman" w:cs="Times New Roman"/>
          <w:color w:val="000000"/>
          <w:sz w:val="24"/>
          <w:szCs w:val="24"/>
          <w:lang/>
        </w:rPr>
        <w:t> цього пункту реєстрів (тимчасового та додаткового), у тому числі порядок коригування зазначених реєстрів, затверджуються Кабінетом Міністрів України з урахуванням актiв Всесвітнього поштового союзу.</w:t>
      </w:r>
    </w:p>
    <w:p w14:paraId="002816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1" w:name="n15308"/>
      <w:bookmarkEnd w:id="5471"/>
      <w:r w:rsidRPr="008B264B">
        <w:rPr>
          <w:rFonts w:ascii="Times New Roman" w:eastAsia="Times New Roman" w:hAnsi="Times New Roman" w:cs="Times New Roman"/>
          <w:color w:val="000000"/>
          <w:sz w:val="24"/>
          <w:szCs w:val="24"/>
          <w:lang/>
        </w:rPr>
        <w:t>До тимчасового реєстру міжнародних поштових відправлень, тимчасового реєстру міжнародних експрес-відправлень, зокрема, вносяться відомості про:</w:t>
      </w:r>
    </w:p>
    <w:p w14:paraId="1CEBAC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2" w:name="n15309"/>
      <w:bookmarkEnd w:id="5472"/>
      <w:r w:rsidRPr="008B264B">
        <w:rPr>
          <w:rFonts w:ascii="Times New Roman" w:eastAsia="Times New Roman" w:hAnsi="Times New Roman" w:cs="Times New Roman"/>
          <w:color w:val="000000"/>
          <w:sz w:val="24"/>
          <w:szCs w:val="24"/>
          <w:lang/>
        </w:rPr>
        <w:t>дату подання тимчасового реєстру;</w:t>
      </w:r>
    </w:p>
    <w:p w14:paraId="184AC9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3" w:name="n15310"/>
      <w:bookmarkEnd w:id="5473"/>
      <w:r w:rsidRPr="008B264B">
        <w:rPr>
          <w:rFonts w:ascii="Times New Roman" w:eastAsia="Times New Roman" w:hAnsi="Times New Roman" w:cs="Times New Roman"/>
          <w:color w:val="000000"/>
          <w:sz w:val="24"/>
          <w:szCs w:val="24"/>
          <w:lang/>
        </w:rPr>
        <w:t>вид відправлення;</w:t>
      </w:r>
    </w:p>
    <w:p w14:paraId="0831FF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4" w:name="n15311"/>
      <w:bookmarkEnd w:id="5474"/>
      <w:r w:rsidRPr="008B264B">
        <w:rPr>
          <w:rFonts w:ascii="Times New Roman" w:eastAsia="Times New Roman" w:hAnsi="Times New Roman" w:cs="Times New Roman"/>
          <w:color w:val="000000"/>
          <w:sz w:val="24"/>
          <w:szCs w:val="24"/>
          <w:lang/>
        </w:rPr>
        <w:t>унікальний номер відправлення;</w:t>
      </w:r>
    </w:p>
    <w:p w14:paraId="011995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5" w:name="n15312"/>
      <w:bookmarkEnd w:id="5475"/>
      <w:r w:rsidRPr="008B264B">
        <w:rPr>
          <w:rFonts w:ascii="Times New Roman" w:eastAsia="Times New Roman" w:hAnsi="Times New Roman" w:cs="Times New Roman"/>
          <w:color w:val="000000"/>
          <w:sz w:val="24"/>
          <w:szCs w:val="24"/>
          <w:lang/>
        </w:rPr>
        <w:t>відправника міжнародного відправлення;</w:t>
      </w:r>
    </w:p>
    <w:p w14:paraId="4D7943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6" w:name="n15313"/>
      <w:bookmarkEnd w:id="5476"/>
      <w:r w:rsidRPr="008B264B">
        <w:rPr>
          <w:rFonts w:ascii="Times New Roman" w:eastAsia="Times New Roman" w:hAnsi="Times New Roman" w:cs="Times New Roman"/>
          <w:color w:val="000000"/>
          <w:sz w:val="24"/>
          <w:szCs w:val="24"/>
          <w:lang/>
        </w:rPr>
        <w:t>отримувача міжнародного відправлення;</w:t>
      </w:r>
    </w:p>
    <w:p w14:paraId="401531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7" w:name="n15314"/>
      <w:bookmarkEnd w:id="5477"/>
      <w:r w:rsidRPr="008B264B">
        <w:rPr>
          <w:rFonts w:ascii="Times New Roman" w:eastAsia="Times New Roman" w:hAnsi="Times New Roman" w:cs="Times New Roman"/>
          <w:color w:val="000000"/>
          <w:sz w:val="24"/>
          <w:szCs w:val="24"/>
          <w:lang/>
        </w:rPr>
        <w:t>вартість відправлення;</w:t>
      </w:r>
    </w:p>
    <w:p w14:paraId="080F9B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8" w:name="n15315"/>
      <w:bookmarkEnd w:id="5478"/>
      <w:r w:rsidRPr="008B264B">
        <w:rPr>
          <w:rFonts w:ascii="Times New Roman" w:eastAsia="Times New Roman" w:hAnsi="Times New Roman" w:cs="Times New Roman"/>
          <w:color w:val="000000"/>
          <w:sz w:val="24"/>
          <w:szCs w:val="24"/>
          <w:lang/>
        </w:rPr>
        <w:t>загальне найменування товарів, що пересилаються;</w:t>
      </w:r>
    </w:p>
    <w:p w14:paraId="59D9C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79" w:name="n15316"/>
      <w:bookmarkEnd w:id="5479"/>
      <w:r w:rsidRPr="008B264B">
        <w:rPr>
          <w:rFonts w:ascii="Times New Roman" w:eastAsia="Times New Roman" w:hAnsi="Times New Roman" w:cs="Times New Roman"/>
          <w:color w:val="000000"/>
          <w:sz w:val="24"/>
          <w:szCs w:val="24"/>
          <w:lang/>
        </w:rPr>
        <w:t>суму нарахованого податку;</w:t>
      </w:r>
    </w:p>
    <w:p w14:paraId="12E3BD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0" w:name="n15317"/>
      <w:bookmarkEnd w:id="5480"/>
      <w:r w:rsidRPr="008B264B">
        <w:rPr>
          <w:rFonts w:ascii="Times New Roman" w:eastAsia="Times New Roman" w:hAnsi="Times New Roman" w:cs="Times New Roman"/>
          <w:color w:val="000000"/>
          <w:sz w:val="24"/>
          <w:szCs w:val="24"/>
          <w:lang/>
        </w:rPr>
        <w:t>відправлення, митне оформлення яких не завершено;</w:t>
      </w:r>
    </w:p>
    <w:p w14:paraId="45DC57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1" w:name="n15318"/>
      <w:bookmarkEnd w:id="5481"/>
      <w:r w:rsidRPr="008B264B">
        <w:rPr>
          <w:rFonts w:ascii="Times New Roman" w:eastAsia="Times New Roman" w:hAnsi="Times New Roman" w:cs="Times New Roman"/>
          <w:color w:val="000000"/>
          <w:sz w:val="24"/>
          <w:szCs w:val="24"/>
          <w:lang/>
        </w:rPr>
        <w:t>дату оформлення тимчасового реєстру.</w:t>
      </w:r>
    </w:p>
    <w:p w14:paraId="311DB3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2" w:name="n15319"/>
      <w:bookmarkEnd w:id="5482"/>
      <w:r w:rsidRPr="008B264B">
        <w:rPr>
          <w:rFonts w:ascii="Times New Roman" w:eastAsia="Times New Roman" w:hAnsi="Times New Roman" w:cs="Times New Roman"/>
          <w:color w:val="000000"/>
          <w:sz w:val="24"/>
          <w:szCs w:val="24"/>
          <w:lang/>
        </w:rPr>
        <w:t>До додаткового реєстру міжнародних поштових відправлень, додаткового реєстру міжнародних експрес-відправлень, окрім відомостей, що вносяться до тимчасового реєстру міжнародних поштових відправлень, тимчасового реєстру міжнародних експрес-відправлень, додатково вносяться відомості, зокрема, про:</w:t>
      </w:r>
    </w:p>
    <w:p w14:paraId="5B6C4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3" w:name="n15320"/>
      <w:bookmarkEnd w:id="5483"/>
      <w:r w:rsidRPr="008B264B">
        <w:rPr>
          <w:rFonts w:ascii="Times New Roman" w:eastAsia="Times New Roman" w:hAnsi="Times New Roman" w:cs="Times New Roman"/>
          <w:color w:val="000000"/>
          <w:sz w:val="24"/>
          <w:szCs w:val="24"/>
          <w:lang/>
        </w:rPr>
        <w:t>дату подання додаткового реєстру;</w:t>
      </w:r>
    </w:p>
    <w:p w14:paraId="641CC9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4" w:name="n15321"/>
      <w:bookmarkEnd w:id="5484"/>
      <w:r w:rsidRPr="008B264B">
        <w:rPr>
          <w:rFonts w:ascii="Times New Roman" w:eastAsia="Times New Roman" w:hAnsi="Times New Roman" w:cs="Times New Roman"/>
          <w:color w:val="000000"/>
          <w:sz w:val="24"/>
          <w:szCs w:val="24"/>
          <w:lang/>
        </w:rPr>
        <w:t>суму сплаченого податку;</w:t>
      </w:r>
    </w:p>
    <w:p w14:paraId="3F7365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5" w:name="n15322"/>
      <w:bookmarkEnd w:id="5485"/>
      <w:r w:rsidRPr="008B264B">
        <w:rPr>
          <w:rFonts w:ascii="Times New Roman" w:eastAsia="Times New Roman" w:hAnsi="Times New Roman" w:cs="Times New Roman"/>
          <w:color w:val="000000"/>
          <w:sz w:val="24"/>
          <w:szCs w:val="24"/>
          <w:lang/>
        </w:rPr>
        <w:t>повернення міжнародного відправлення відправнику;</w:t>
      </w:r>
    </w:p>
    <w:p w14:paraId="48FA2D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6" w:name="n15323"/>
      <w:bookmarkEnd w:id="5486"/>
      <w:r w:rsidRPr="008B264B">
        <w:rPr>
          <w:rFonts w:ascii="Times New Roman" w:eastAsia="Times New Roman" w:hAnsi="Times New Roman" w:cs="Times New Roman"/>
          <w:color w:val="000000"/>
          <w:sz w:val="24"/>
          <w:szCs w:val="24"/>
          <w:lang/>
        </w:rPr>
        <w:t>дату оформлення додаткового реєстру.</w:t>
      </w:r>
    </w:p>
    <w:p w14:paraId="40C28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7" w:name="n15324"/>
      <w:bookmarkEnd w:id="5487"/>
      <w:r w:rsidRPr="008B264B">
        <w:rPr>
          <w:rFonts w:ascii="Times New Roman" w:eastAsia="Times New Roman" w:hAnsi="Times New Roman" w:cs="Times New Roman"/>
          <w:color w:val="000000"/>
          <w:sz w:val="24"/>
          <w:szCs w:val="24"/>
          <w:lang/>
        </w:rPr>
        <w:t>191.1.5. При визначенні бази оподаткування для товарів, що ввозяться на митну територію України у міжнародних поштових та експрес-відправленнях, у несупроводжуваному багажі, перерахунок іноземної валюти у валюту України здійснюється за курсом валюти, визначеним відповідно до </w:t>
      </w:r>
      <w:hyperlink r:id="rId2994" w:anchor="n9831" w:history="1">
        <w:r w:rsidRPr="008B264B">
          <w:rPr>
            <w:rFonts w:ascii="Times New Roman" w:eastAsia="Times New Roman" w:hAnsi="Times New Roman" w:cs="Times New Roman"/>
            <w:color w:val="0000FF"/>
            <w:sz w:val="24"/>
            <w:szCs w:val="24"/>
            <w:u w:val="single"/>
            <w:lang/>
          </w:rPr>
          <w:t>статті 39</w:t>
        </w:r>
      </w:hyperlink>
      <w:hyperlink r:id="rId2995" w:anchor="n983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цього Кодексу.</w:t>
      </w:r>
    </w:p>
    <w:p w14:paraId="016789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8" w:name="n9835"/>
      <w:bookmarkEnd w:id="5488"/>
      <w:r w:rsidRPr="008B264B">
        <w:rPr>
          <w:rFonts w:ascii="Times New Roman" w:eastAsia="Times New Roman" w:hAnsi="Times New Roman" w:cs="Times New Roman"/>
          <w:i/>
          <w:iCs/>
          <w:color w:val="000000"/>
          <w:sz w:val="24"/>
          <w:szCs w:val="24"/>
          <w:lang/>
        </w:rPr>
        <w:t>{Пункт 191.1 статті 191 із змінами, внесеними згідно із Законом </w:t>
      </w:r>
      <w:hyperlink r:id="rId2996" w:anchor="n16"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в редакції Закону </w:t>
      </w:r>
      <w:hyperlink r:id="rId2997" w:anchor="n22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C2431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89" w:name="n4613"/>
      <w:bookmarkEnd w:id="5489"/>
      <w:r w:rsidRPr="008B264B">
        <w:rPr>
          <w:rFonts w:ascii="Times New Roman" w:eastAsia="Times New Roman" w:hAnsi="Times New Roman" w:cs="Times New Roman"/>
          <w:color w:val="000000"/>
          <w:sz w:val="24"/>
          <w:szCs w:val="24"/>
          <w:lang/>
        </w:rPr>
        <w:t>191.2. Особливості визначення бази оподаткування для товарів, що ввозяться на митну територію України фізичними особами у ручній поклажі та/або у супроводжуваному багажі.</w:t>
      </w:r>
    </w:p>
    <w:p w14:paraId="138ECF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0" w:name="n4614"/>
      <w:bookmarkEnd w:id="5490"/>
      <w:r w:rsidRPr="008B264B">
        <w:rPr>
          <w:rFonts w:ascii="Times New Roman" w:eastAsia="Times New Roman" w:hAnsi="Times New Roman" w:cs="Times New Roman"/>
          <w:i/>
          <w:iCs/>
          <w:color w:val="000000"/>
          <w:sz w:val="24"/>
          <w:szCs w:val="24"/>
          <w:lang/>
        </w:rPr>
        <w:t>{Підпункт 191.2.1 пункту 191.2 статті 191 виключено на підставі Закону </w:t>
      </w:r>
      <w:hyperlink r:id="rId2998" w:anchor="n26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8C443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1" w:name="n4616"/>
      <w:bookmarkEnd w:id="5491"/>
      <w:r w:rsidRPr="008B264B">
        <w:rPr>
          <w:rFonts w:ascii="Times New Roman" w:eastAsia="Times New Roman" w:hAnsi="Times New Roman" w:cs="Times New Roman"/>
          <w:color w:val="000000"/>
          <w:sz w:val="24"/>
          <w:szCs w:val="24"/>
          <w:lang/>
        </w:rPr>
        <w:lastRenderedPageBreak/>
        <w:t>191.2.2. У разі ввезення на митну територію України фізичними особами у ручній поклажі та/або у супроводжуваному багажі товарів (крім підакцизних товарів та особистих речей), сумарна фактурна вартість яких перевищує еквівалент 1000 євро, через пункти пропуску через державний кордон України, відкриті для повітряного сполучення, базою оподаткування є частина їх сумарної фактурної вартості, що перевищує еквівалент 1000 євро, з урахуванням мита, що підлягає сплаті.</w:t>
      </w:r>
    </w:p>
    <w:p w14:paraId="4C6EB2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2" w:name="n9837"/>
      <w:bookmarkEnd w:id="5492"/>
      <w:r w:rsidRPr="008B264B">
        <w:rPr>
          <w:rFonts w:ascii="Times New Roman" w:eastAsia="Times New Roman" w:hAnsi="Times New Roman" w:cs="Times New Roman"/>
          <w:i/>
          <w:iCs/>
          <w:color w:val="000000"/>
          <w:sz w:val="24"/>
          <w:szCs w:val="24"/>
          <w:lang/>
        </w:rPr>
        <w:t>{Підпункт 191.2.2 пункту 191.2 статті 191 із змінами, внесеними згідно із Законом </w:t>
      </w:r>
      <w:hyperlink r:id="rId2999" w:anchor="n23"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4DCCD0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3" w:name="n4617"/>
      <w:bookmarkEnd w:id="5493"/>
      <w:r w:rsidRPr="008B264B">
        <w:rPr>
          <w:rFonts w:ascii="Times New Roman" w:eastAsia="Times New Roman" w:hAnsi="Times New Roman" w:cs="Times New Roman"/>
          <w:color w:val="000000"/>
          <w:sz w:val="24"/>
          <w:szCs w:val="24"/>
          <w:lang/>
        </w:rPr>
        <w:t>191.2.3. У разі ввезення на митну територію України фізичними особами у ручній поклажі та/або у супроводжуваному багажі товарів (крім підакцизних товарів та особистих речей), сумарна фактурна вартість яких перевищує еквівалент 500 євро, через інші, ніж відкриті для повітряного сполучення, пункти пропуску через державний кордон України базою оподаткування є частина їх сумарної фактурної вартості, що перевищує еквівалент 500 євро, з урахуванням мита, що підлягає сплаті.</w:t>
      </w:r>
    </w:p>
    <w:p w14:paraId="456BCE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4" w:name="n14859"/>
      <w:bookmarkEnd w:id="5494"/>
      <w:r w:rsidRPr="008B264B">
        <w:rPr>
          <w:rFonts w:ascii="Times New Roman" w:eastAsia="Times New Roman" w:hAnsi="Times New Roman" w:cs="Times New Roman"/>
          <w:color w:val="000000"/>
          <w:sz w:val="24"/>
          <w:szCs w:val="24"/>
          <w:lang/>
        </w:rPr>
        <w:t>У разі ввезення на митну територію України у ручній поклажі та/або у супроводжуваному багажі товарів (крім підакцизних товарів та особистих речей), сумарна фактурна вартість яких не перевищує еквівалент 500 євро та сумарна вага яких не перевищує 50 кг, через інші, ніж відкриті для повітряного сполучення, пункти пропуску через державний кордон України фізичною особою, яка була відсутня в Україні менше ніж 24 години або яка в’їжджає в Україну частіше одного разу протягом 72 годин, базою оподаткування є частина сумарної фактурної вартості таких товарів, що перевищує еквівалент 50 євро, з урахуванням мита, що підлягає сплаті.</w:t>
      </w:r>
    </w:p>
    <w:p w14:paraId="53DD2E68"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5495" w:name="n14858"/>
      <w:bookmarkEnd w:id="5495"/>
      <w:r w:rsidRPr="008B264B">
        <w:rPr>
          <w:rFonts w:ascii="Times New Roman" w:eastAsia="Times New Roman" w:hAnsi="Times New Roman" w:cs="Times New Roman"/>
          <w:i/>
          <w:iCs/>
          <w:color w:val="000000"/>
          <w:sz w:val="24"/>
          <w:szCs w:val="24"/>
          <w:lang/>
        </w:rPr>
        <w:t>{Підпункт 191.2.3 пункту 191.2 статті 191 доповнено абзацом другим згідно із Законом </w:t>
      </w:r>
      <w:hyperlink r:id="rId3000" w:anchor="n26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74A30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6" w:name="n9838"/>
      <w:bookmarkEnd w:id="5496"/>
      <w:r w:rsidRPr="008B264B">
        <w:rPr>
          <w:rFonts w:ascii="Times New Roman" w:eastAsia="Times New Roman" w:hAnsi="Times New Roman" w:cs="Times New Roman"/>
          <w:i/>
          <w:iCs/>
          <w:color w:val="000000"/>
          <w:sz w:val="24"/>
          <w:szCs w:val="24"/>
          <w:lang/>
        </w:rPr>
        <w:t>{Підпункт 191.2.3 пункту 191.2 статті 191 із змінами, внесеними згідно із Законом </w:t>
      </w:r>
      <w:hyperlink r:id="rId3001" w:anchor="n24"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244422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7" w:name="n4618"/>
      <w:bookmarkEnd w:id="5497"/>
      <w:r w:rsidRPr="008B264B">
        <w:rPr>
          <w:rFonts w:ascii="Times New Roman" w:eastAsia="Times New Roman" w:hAnsi="Times New Roman" w:cs="Times New Roman"/>
          <w:color w:val="000000"/>
          <w:sz w:val="24"/>
          <w:szCs w:val="24"/>
          <w:lang/>
        </w:rPr>
        <w:t>191.2.4. У разі ввезення на митну територію України фізичними особами у ручній поклажі та/або у супроводжуваному багажі товарів (крім підакцизних товарів та особистих речей) через інші, ніж відкриті для повітряного сполучення, пункти пропуску через державний кордон України, сумарна вага яких перевищує 50 кг, базою оподаткування є сумарна фактурна вартість товарів, обчислена пропорційно до ваги, що перевищує 50 кг, з урахуванням мита, що підлягає сплаті.</w:t>
      </w:r>
    </w:p>
    <w:p w14:paraId="64FBEF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8" w:name="n9839"/>
      <w:bookmarkEnd w:id="5498"/>
      <w:r w:rsidRPr="008B264B">
        <w:rPr>
          <w:rFonts w:ascii="Times New Roman" w:eastAsia="Times New Roman" w:hAnsi="Times New Roman" w:cs="Times New Roman"/>
          <w:i/>
          <w:iCs/>
          <w:color w:val="000000"/>
          <w:sz w:val="24"/>
          <w:szCs w:val="24"/>
          <w:lang/>
        </w:rPr>
        <w:t>{Підпункт 191.2.4 пункту 191.2 статті 191 із змінами, внесеними згідно із Законом </w:t>
      </w:r>
      <w:hyperlink r:id="rId3002" w:anchor="n25"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30147E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499" w:name="n4619"/>
      <w:bookmarkEnd w:id="5499"/>
      <w:r w:rsidRPr="008B264B">
        <w:rPr>
          <w:rFonts w:ascii="Times New Roman" w:eastAsia="Times New Roman" w:hAnsi="Times New Roman" w:cs="Times New Roman"/>
          <w:color w:val="000000"/>
          <w:sz w:val="24"/>
          <w:szCs w:val="24"/>
          <w:lang/>
        </w:rPr>
        <w:t>191.3. Фактурна вартість товарів, які ввозяться на митну територію України у міжнародних поштових та експрес-відправленнях, у несупроводжуваному багажі, фізичними особами у ручній поклажі та/або у супроводжуваному багажі, визначається відповідно до </w:t>
      </w:r>
      <w:hyperlink r:id="rId3003"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w:t>
      </w:r>
    </w:p>
    <w:p w14:paraId="1D3F07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0" w:name="n4620"/>
      <w:bookmarkEnd w:id="5500"/>
      <w:r w:rsidRPr="008B264B">
        <w:rPr>
          <w:rFonts w:ascii="Times New Roman" w:eastAsia="Times New Roman" w:hAnsi="Times New Roman" w:cs="Times New Roman"/>
          <w:i/>
          <w:iCs/>
          <w:color w:val="000000"/>
          <w:sz w:val="24"/>
          <w:szCs w:val="24"/>
          <w:lang/>
        </w:rPr>
        <w:t>{Стаття 191 в редакції Закону </w:t>
      </w:r>
      <w:hyperlink r:id="rId3004" w:anchor="n50"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160504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1" w:name="n4621"/>
      <w:bookmarkEnd w:id="5501"/>
      <w:r w:rsidRPr="008B264B">
        <w:rPr>
          <w:rFonts w:ascii="Times New Roman" w:eastAsia="Times New Roman" w:hAnsi="Times New Roman" w:cs="Times New Roman"/>
          <w:b/>
          <w:bCs/>
          <w:color w:val="000000"/>
          <w:sz w:val="24"/>
          <w:szCs w:val="24"/>
          <w:lang/>
        </w:rPr>
        <w:t>Стаття 192.</w:t>
      </w:r>
      <w:r w:rsidRPr="008B264B">
        <w:rPr>
          <w:rFonts w:ascii="Times New Roman" w:eastAsia="Times New Roman" w:hAnsi="Times New Roman" w:cs="Times New Roman"/>
          <w:color w:val="000000"/>
          <w:sz w:val="24"/>
          <w:szCs w:val="24"/>
          <w:lang/>
        </w:rPr>
        <w:t> Особливості визначення бази оподаткування в окремих випадках (порядок коригування податкових зобов'язань та податкового кредиту)</w:t>
      </w:r>
    </w:p>
    <w:p w14:paraId="597A3C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2" w:name="n4622"/>
      <w:bookmarkEnd w:id="5502"/>
      <w:r w:rsidRPr="008B264B">
        <w:rPr>
          <w:rFonts w:ascii="Times New Roman" w:eastAsia="Times New Roman" w:hAnsi="Times New Roman" w:cs="Times New Roman"/>
          <w:color w:val="000000"/>
          <w:sz w:val="24"/>
          <w:szCs w:val="24"/>
          <w:lang/>
        </w:rPr>
        <w:t>192.1. Якщо після постачання товарів/послуг здійснюється будь-яка зміна суми компенсації їх вартості, включаючи наступний за постачанням перегляд цін, перерахунок у випадках повернення товарів/послуг особі, яка їх надала, або при поверненні постачальником суми попередньої оплати товарів/послуг, суми податкових зобов'язань та податкового кредиту постачальника та отримувача підлягають відповідному коригуванню на підставі розрахунку коригування до податкової накладної, складеному в порядку, встановленому для податкових накладних, та зареєстрованому в Єдиному реєстрі податкових накладних.</w:t>
      </w:r>
    </w:p>
    <w:p w14:paraId="416053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3" w:name="n11265"/>
      <w:bookmarkEnd w:id="5503"/>
      <w:r w:rsidRPr="008B264B">
        <w:rPr>
          <w:rFonts w:ascii="Times New Roman" w:eastAsia="Times New Roman" w:hAnsi="Times New Roman" w:cs="Times New Roman"/>
          <w:i/>
          <w:iCs/>
          <w:color w:val="000000"/>
          <w:sz w:val="24"/>
          <w:szCs w:val="24"/>
          <w:lang/>
        </w:rPr>
        <w:lastRenderedPageBreak/>
        <w:t>{Абзац перший пункту 192.1 статті 192 із змінами, внесеними згідно із Законом </w:t>
      </w:r>
      <w:hyperlink r:id="rId3005" w:anchor="n62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77D20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4" w:name="n12385"/>
      <w:bookmarkEnd w:id="5504"/>
      <w:r w:rsidRPr="008B264B">
        <w:rPr>
          <w:rFonts w:ascii="Times New Roman" w:eastAsia="Times New Roman" w:hAnsi="Times New Roman" w:cs="Times New Roman"/>
          <w:color w:val="000000"/>
          <w:sz w:val="24"/>
          <w:szCs w:val="24"/>
          <w:lang/>
        </w:rPr>
        <w:t>Розрахунок коригування, складений постачальником товарів/послуг до податкової накладної, яка складена на отримувача - платника податку, підлягає реєстрації в Єдиному реєстрі податкових накладних:</w:t>
      </w:r>
    </w:p>
    <w:p w14:paraId="0663B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5" w:name="n12391"/>
      <w:bookmarkEnd w:id="5505"/>
      <w:r w:rsidRPr="008B264B">
        <w:rPr>
          <w:rFonts w:ascii="Times New Roman" w:eastAsia="Times New Roman" w:hAnsi="Times New Roman" w:cs="Times New Roman"/>
          <w:i/>
          <w:iCs/>
          <w:color w:val="000000"/>
          <w:sz w:val="24"/>
          <w:szCs w:val="24"/>
          <w:lang/>
        </w:rPr>
        <w:t>{Пункт 192.1 статті 192 доповнено новим абзацом згідно із Законом </w:t>
      </w:r>
      <w:hyperlink r:id="rId3006" w:anchor="n1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007" w:anchor="n10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7425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6" w:name="n12386"/>
      <w:bookmarkEnd w:id="5506"/>
      <w:r w:rsidRPr="008B264B">
        <w:rPr>
          <w:rFonts w:ascii="Times New Roman" w:eastAsia="Times New Roman" w:hAnsi="Times New Roman" w:cs="Times New Roman"/>
          <w:color w:val="000000"/>
          <w:sz w:val="24"/>
          <w:szCs w:val="24"/>
          <w:lang/>
        </w:rPr>
        <w:t>постачальником (продавцем) товарів/послуг, якщо передбачається збільшення суми компенсації їх вартості на користь такого постачальника або якщо коригування кількісних та вартісних показників у підсумку не змінює суму компенсації;</w:t>
      </w:r>
    </w:p>
    <w:p w14:paraId="14E1D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7" w:name="n12390"/>
      <w:bookmarkEnd w:id="5507"/>
      <w:r w:rsidRPr="008B264B">
        <w:rPr>
          <w:rFonts w:ascii="Times New Roman" w:eastAsia="Times New Roman" w:hAnsi="Times New Roman" w:cs="Times New Roman"/>
          <w:i/>
          <w:iCs/>
          <w:color w:val="000000"/>
          <w:sz w:val="24"/>
          <w:szCs w:val="24"/>
          <w:lang/>
        </w:rPr>
        <w:t>{Пункт 192.1 статті 192 доповнено новим абзацом згідно із Законом </w:t>
      </w:r>
      <w:hyperlink r:id="rId3008" w:anchor="n1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370B1C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8" w:name="n12387"/>
      <w:bookmarkEnd w:id="5508"/>
      <w:r w:rsidRPr="008B264B">
        <w:rPr>
          <w:rFonts w:ascii="Times New Roman" w:eastAsia="Times New Roman" w:hAnsi="Times New Roman" w:cs="Times New Roman"/>
          <w:color w:val="000000"/>
          <w:sz w:val="24"/>
          <w:szCs w:val="24"/>
          <w:lang/>
        </w:rPr>
        <w:t>отримувачем (покупцем) товарів/послуг, якщо передбачається зменшення суми компенсації вартості товарів/послуг їх постачальнику, для чого постачальник надсилає складений розрахунок коригування отримувачу.</w:t>
      </w:r>
    </w:p>
    <w:p w14:paraId="405D80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09" w:name="n12389"/>
      <w:bookmarkEnd w:id="5509"/>
      <w:r w:rsidRPr="008B264B">
        <w:rPr>
          <w:rFonts w:ascii="Times New Roman" w:eastAsia="Times New Roman" w:hAnsi="Times New Roman" w:cs="Times New Roman"/>
          <w:i/>
          <w:iCs/>
          <w:color w:val="000000"/>
          <w:sz w:val="24"/>
          <w:szCs w:val="24"/>
          <w:lang/>
        </w:rPr>
        <w:t>{Пункт 192.1 статті 192 доповнено новим абзацом згідно із Законом </w:t>
      </w:r>
      <w:hyperlink r:id="rId3009" w:anchor="n1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010" w:anchor="n17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E0746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0" w:name="n12388"/>
      <w:bookmarkEnd w:id="5510"/>
      <w:r w:rsidRPr="008B264B">
        <w:rPr>
          <w:rFonts w:ascii="Times New Roman" w:eastAsia="Times New Roman" w:hAnsi="Times New Roman" w:cs="Times New Roman"/>
          <w:color w:val="000000"/>
          <w:sz w:val="24"/>
          <w:szCs w:val="24"/>
          <w:lang/>
        </w:rPr>
        <w:t>Складені платником податку розрахунки коригування до </w:t>
      </w:r>
      <w:hyperlink r:id="rId3011"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складених до 1 лютого 2015 року, розрахунки коригування до податкових накладних, які не підлягали наданню отримувачу (покупцю) - платнику податку, підлягають реєстрації в Єдиному реєстрі податкових накладних постачальником (продавцем). Зазначене не поширюється на розрахунки коригування, що передбачають зменшення суми компенсації вартості товарів/послуг їх постачальнику (зменшення податкового зобов’язання постачальника та податкового кредиту отримувача), складені після 1 липня 2015 року до податкових накладних, складених до 1 липня 2015 року на отримувача (покупця) - платника податку, які підлягають реєстрації в Єдиному реєстрі податкових накладних отримувачем (покупцем) товарів/послуг.</w:t>
      </w:r>
    </w:p>
    <w:p w14:paraId="5820B2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1" w:name="n12384"/>
      <w:bookmarkEnd w:id="5511"/>
      <w:r w:rsidRPr="008B264B">
        <w:rPr>
          <w:rFonts w:ascii="Times New Roman" w:eastAsia="Times New Roman" w:hAnsi="Times New Roman" w:cs="Times New Roman"/>
          <w:i/>
          <w:iCs/>
          <w:color w:val="000000"/>
          <w:sz w:val="24"/>
          <w:szCs w:val="24"/>
          <w:lang/>
        </w:rPr>
        <w:t>{Пункт 192.1 статті 192 доповнено новим абзацом згідно із Законом </w:t>
      </w:r>
      <w:hyperlink r:id="rId3012" w:anchor="n1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013" w:anchor="n10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7D9F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2" w:name="n11267"/>
      <w:bookmarkEnd w:id="5512"/>
      <w:r w:rsidRPr="008B264B">
        <w:rPr>
          <w:rFonts w:ascii="Times New Roman" w:eastAsia="Times New Roman" w:hAnsi="Times New Roman" w:cs="Times New Roman"/>
          <w:color w:val="000000"/>
          <w:sz w:val="24"/>
          <w:szCs w:val="24"/>
          <w:lang/>
        </w:rPr>
        <w:t>Розрахунок коригування до податкової накладної складається також у випадку виправлення помилок, допущених при складанні податкової накладної, у тому числі не пов’язаних із зміною суми компенсації вартості товарів/послуг.</w:t>
      </w:r>
    </w:p>
    <w:p w14:paraId="635D6E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3" w:name="n11266"/>
      <w:bookmarkEnd w:id="5513"/>
      <w:r w:rsidRPr="008B264B">
        <w:rPr>
          <w:rFonts w:ascii="Times New Roman" w:eastAsia="Times New Roman" w:hAnsi="Times New Roman" w:cs="Times New Roman"/>
          <w:i/>
          <w:iCs/>
          <w:color w:val="000000"/>
          <w:sz w:val="24"/>
          <w:szCs w:val="24"/>
          <w:lang/>
        </w:rPr>
        <w:t>{Пункт 192.1 статті 192 доповнено абзацом згідно із Законом </w:t>
      </w:r>
      <w:hyperlink r:id="rId3014" w:anchor="n62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25AC1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4" w:name="n4623"/>
      <w:bookmarkEnd w:id="5514"/>
      <w:r w:rsidRPr="008B264B">
        <w:rPr>
          <w:rFonts w:ascii="Times New Roman" w:eastAsia="Times New Roman" w:hAnsi="Times New Roman" w:cs="Times New Roman"/>
          <w:i/>
          <w:iCs/>
          <w:color w:val="000000"/>
          <w:sz w:val="24"/>
          <w:szCs w:val="24"/>
          <w:lang/>
        </w:rPr>
        <w:t>{Пункт 192.1 статті 192 із змінами, внесеними згідно із Законами </w:t>
      </w:r>
      <w:hyperlink r:id="rId301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016" w:anchor="n23"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 урахуванням змін, внесених Законом </w:t>
      </w:r>
      <w:hyperlink r:id="rId3017"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EB28D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5" w:name="n4624"/>
      <w:bookmarkEnd w:id="5515"/>
      <w:r w:rsidRPr="008B264B">
        <w:rPr>
          <w:rFonts w:ascii="Times New Roman" w:eastAsia="Times New Roman" w:hAnsi="Times New Roman" w:cs="Times New Roman"/>
          <w:color w:val="000000"/>
          <w:sz w:val="24"/>
          <w:szCs w:val="24"/>
          <w:lang/>
        </w:rPr>
        <w:t>192.1.1. Якщо внаслідок такого перерахунку відбувається зменшення суми компенсації на користь платника податку - постачальника, то:</w:t>
      </w:r>
    </w:p>
    <w:p w14:paraId="62E5AF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6" w:name="n4625"/>
      <w:bookmarkEnd w:id="5516"/>
      <w:r w:rsidRPr="008B264B">
        <w:rPr>
          <w:rFonts w:ascii="Times New Roman" w:eastAsia="Times New Roman" w:hAnsi="Times New Roman" w:cs="Times New Roman"/>
          <w:color w:val="000000"/>
          <w:sz w:val="24"/>
          <w:szCs w:val="24"/>
          <w:lang/>
        </w:rPr>
        <w:t>а) постачальник відповідно зменшує суму податкових зобов'язань за результатами податкового періоду, протягом якого був проведений такий перерахунок;</w:t>
      </w:r>
    </w:p>
    <w:p w14:paraId="20779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7" w:name="n12392"/>
      <w:bookmarkEnd w:id="5517"/>
      <w:r w:rsidRPr="008B264B">
        <w:rPr>
          <w:rFonts w:ascii="Times New Roman" w:eastAsia="Times New Roman" w:hAnsi="Times New Roman" w:cs="Times New Roman"/>
          <w:i/>
          <w:iCs/>
          <w:color w:val="000000"/>
          <w:sz w:val="24"/>
          <w:szCs w:val="24"/>
          <w:lang/>
        </w:rPr>
        <w:t>{Абзац другий підпункту 192.1.1 пункту 192.1 статті 192 із змінами, внесеними згідно із Законом </w:t>
      </w:r>
      <w:hyperlink r:id="rId3018" w:anchor="n22"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6C71E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8" w:name="n4626"/>
      <w:bookmarkEnd w:id="5518"/>
      <w:r w:rsidRPr="008B264B">
        <w:rPr>
          <w:rFonts w:ascii="Times New Roman" w:eastAsia="Times New Roman" w:hAnsi="Times New Roman" w:cs="Times New Roman"/>
          <w:color w:val="000000"/>
          <w:sz w:val="24"/>
          <w:szCs w:val="24"/>
          <w:lang/>
        </w:rPr>
        <w:t>б) отримувач відповідно зменшує суму податкового кредиту за результатами такого податкового періоду в разі, якщо він зареєстрований як платник податку на дату проведення коригування, а також збільшив податковий кредит у зв'язку з отриманням таких товарів/послуг.</w:t>
      </w:r>
    </w:p>
    <w:p w14:paraId="3FEAA6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19" w:name="n12394"/>
      <w:bookmarkEnd w:id="5519"/>
      <w:r w:rsidRPr="008B264B">
        <w:rPr>
          <w:rFonts w:ascii="Times New Roman" w:eastAsia="Times New Roman" w:hAnsi="Times New Roman" w:cs="Times New Roman"/>
          <w:color w:val="000000"/>
          <w:sz w:val="24"/>
          <w:szCs w:val="24"/>
          <w:lang/>
        </w:rPr>
        <w:t>Постачальник має право зменшити суму податкових зобов’язань лише після реєстрації в Єдиному реєстрі податкових накладних розрахунку коригування до податкової накладної.</w:t>
      </w:r>
    </w:p>
    <w:p w14:paraId="27FFF3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0" w:name="n12393"/>
      <w:bookmarkEnd w:id="5520"/>
      <w:r w:rsidRPr="008B264B">
        <w:rPr>
          <w:rFonts w:ascii="Times New Roman" w:eastAsia="Times New Roman" w:hAnsi="Times New Roman" w:cs="Times New Roman"/>
          <w:i/>
          <w:iCs/>
          <w:color w:val="000000"/>
          <w:sz w:val="24"/>
          <w:szCs w:val="24"/>
          <w:lang/>
        </w:rPr>
        <w:lastRenderedPageBreak/>
        <w:t>{Підпункт 192.1.1 пункту 192.1 статті 192 доповнено абзацом згідно із Законом </w:t>
      </w:r>
      <w:hyperlink r:id="rId3019" w:anchor="n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12E3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1" w:name="n4627"/>
      <w:bookmarkEnd w:id="5521"/>
      <w:r w:rsidRPr="008B264B">
        <w:rPr>
          <w:rFonts w:ascii="Times New Roman" w:eastAsia="Times New Roman" w:hAnsi="Times New Roman" w:cs="Times New Roman"/>
          <w:color w:val="000000"/>
          <w:sz w:val="24"/>
          <w:szCs w:val="24"/>
          <w:lang/>
        </w:rPr>
        <w:t>192.1.2. Якщо внаслідок такого перерахунку відбувається збільшення суми компенсації на користь платника податку - постачальника, то:</w:t>
      </w:r>
    </w:p>
    <w:p w14:paraId="05159D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2" w:name="n4628"/>
      <w:bookmarkEnd w:id="5522"/>
      <w:r w:rsidRPr="008B264B">
        <w:rPr>
          <w:rFonts w:ascii="Times New Roman" w:eastAsia="Times New Roman" w:hAnsi="Times New Roman" w:cs="Times New Roman"/>
          <w:color w:val="000000"/>
          <w:sz w:val="24"/>
          <w:szCs w:val="24"/>
          <w:lang/>
        </w:rPr>
        <w:t>а) постачальник відповідно збільшує суму податкових зобов'язань за результатами податкового періоду, протягом якого був проведений такий перерахунок;</w:t>
      </w:r>
    </w:p>
    <w:p w14:paraId="2947EE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3" w:name="n12395"/>
      <w:bookmarkEnd w:id="5523"/>
      <w:r w:rsidRPr="008B264B">
        <w:rPr>
          <w:rFonts w:ascii="Times New Roman" w:eastAsia="Times New Roman" w:hAnsi="Times New Roman" w:cs="Times New Roman"/>
          <w:i/>
          <w:iCs/>
          <w:color w:val="000000"/>
          <w:sz w:val="24"/>
          <w:szCs w:val="24"/>
          <w:lang/>
        </w:rPr>
        <w:t>{Абзац другий підпункту 192.1.2 пункту 192.1 статті 192 із змінами, внесеними згідно із Законом </w:t>
      </w:r>
      <w:hyperlink r:id="rId3020" w:anchor="n2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78FA4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4" w:name="n4629"/>
      <w:bookmarkEnd w:id="5524"/>
      <w:r w:rsidRPr="008B264B">
        <w:rPr>
          <w:rFonts w:ascii="Times New Roman" w:eastAsia="Times New Roman" w:hAnsi="Times New Roman" w:cs="Times New Roman"/>
          <w:color w:val="000000"/>
          <w:sz w:val="24"/>
          <w:szCs w:val="24"/>
          <w:lang/>
        </w:rPr>
        <w:t>б) отримувач відповідно збільшує суму податкового кредиту за результатами такого податкового періоду в разі, якщо він зареєстрований як платник податку на дату проведення перерахунку.</w:t>
      </w:r>
    </w:p>
    <w:p w14:paraId="6CAD3A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5" w:name="n12397"/>
      <w:bookmarkEnd w:id="5525"/>
      <w:r w:rsidRPr="008B264B">
        <w:rPr>
          <w:rFonts w:ascii="Times New Roman" w:eastAsia="Times New Roman" w:hAnsi="Times New Roman" w:cs="Times New Roman"/>
          <w:color w:val="000000"/>
          <w:sz w:val="24"/>
          <w:szCs w:val="24"/>
          <w:lang/>
        </w:rPr>
        <w:t>Отримувач має право збільшити суму податкового кредиту лише після реєстрації постачальником в Єдиному реєстрі податкових накладних розрахунку коригування до податкової накладної.</w:t>
      </w:r>
    </w:p>
    <w:p w14:paraId="4CA03B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6" w:name="n12396"/>
      <w:bookmarkEnd w:id="5526"/>
      <w:r w:rsidRPr="008B264B">
        <w:rPr>
          <w:rFonts w:ascii="Times New Roman" w:eastAsia="Times New Roman" w:hAnsi="Times New Roman" w:cs="Times New Roman"/>
          <w:i/>
          <w:iCs/>
          <w:color w:val="000000"/>
          <w:sz w:val="24"/>
          <w:szCs w:val="24"/>
          <w:lang/>
        </w:rPr>
        <w:t>{Підпункт 192.1.2 пункту 192.1 статті 192 доповнено абзацом згідно із Законом </w:t>
      </w:r>
      <w:hyperlink r:id="rId3021" w:anchor="n27"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3A1B96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7" w:name="n4630"/>
      <w:bookmarkEnd w:id="5527"/>
      <w:r w:rsidRPr="008B264B">
        <w:rPr>
          <w:rFonts w:ascii="Times New Roman" w:eastAsia="Times New Roman" w:hAnsi="Times New Roman" w:cs="Times New Roman"/>
          <w:color w:val="000000"/>
          <w:sz w:val="24"/>
          <w:szCs w:val="24"/>
          <w:lang/>
        </w:rPr>
        <w:t>192.2. Норма </w:t>
      </w:r>
      <w:hyperlink r:id="rId3022" w:anchor="n4621" w:history="1">
        <w:r w:rsidRPr="008B264B">
          <w:rPr>
            <w:rFonts w:ascii="Times New Roman" w:eastAsia="Times New Roman" w:hAnsi="Times New Roman" w:cs="Times New Roman"/>
            <w:color w:val="0000FF"/>
            <w:sz w:val="24"/>
            <w:szCs w:val="24"/>
            <w:u w:val="single"/>
            <w:lang/>
          </w:rPr>
          <w:t>пункту 192.1</w:t>
        </w:r>
      </w:hyperlink>
      <w:r w:rsidRPr="008B264B">
        <w:rPr>
          <w:rFonts w:ascii="Times New Roman" w:eastAsia="Times New Roman" w:hAnsi="Times New Roman" w:cs="Times New Roman"/>
          <w:color w:val="000000"/>
          <w:sz w:val="24"/>
          <w:szCs w:val="24"/>
          <w:lang/>
        </w:rPr>
        <w:t> цієї статті не поширюється на випадки, коли постачальник товарів/послуг не є платником податку на кінець звітного (податкового) періоду, в якому був проведений такий перерахунок.</w:t>
      </w:r>
    </w:p>
    <w:p w14:paraId="4F68B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8" w:name="n4631"/>
      <w:bookmarkEnd w:id="5528"/>
      <w:r w:rsidRPr="008B264B">
        <w:rPr>
          <w:rFonts w:ascii="Times New Roman" w:eastAsia="Times New Roman" w:hAnsi="Times New Roman" w:cs="Times New Roman"/>
          <w:color w:val="000000"/>
          <w:sz w:val="24"/>
          <w:szCs w:val="24"/>
          <w:lang/>
        </w:rPr>
        <w:t>Зменшення суми податкових зобов'язань платника податку - постачальника в разі зміни суми компенсації вартості товарів/послуг, наданих особам, що не були платниками цього податку на дату такого постачання, дозволяється лише при поверненні раніше поставлених товарів у власність постачальника з наданням отримувачу повної грошової компенсації їх вартості, у тому числі при перегляді цін, пов'язаних з гарантійною заміною товарів або низькоякісних товарів відповідно до закону або договору.</w:t>
      </w:r>
    </w:p>
    <w:p w14:paraId="7F924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29" w:name="n13288"/>
      <w:bookmarkEnd w:id="5529"/>
      <w:r w:rsidRPr="008B264B">
        <w:rPr>
          <w:rFonts w:ascii="Times New Roman" w:eastAsia="Times New Roman" w:hAnsi="Times New Roman" w:cs="Times New Roman"/>
          <w:color w:val="000000"/>
          <w:sz w:val="24"/>
          <w:szCs w:val="24"/>
          <w:lang/>
        </w:rPr>
        <w:t>Зменшення суми податкових зобов’язань платника податку - постачальника - оператора телекомунікацій у разі відмови абонента від передплачених, але не отриманих телекомунікаційних послуг дозволяється при перерахуванні частини суми передоплати телекомунікаційних послуг у якості благодійної пожертви при виконанні благодійного телекомунікаційного повідомлення за дорученням абонента.</w:t>
      </w:r>
    </w:p>
    <w:p w14:paraId="2A674F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0" w:name="n13287"/>
      <w:bookmarkEnd w:id="5530"/>
      <w:r w:rsidRPr="008B264B">
        <w:rPr>
          <w:rFonts w:ascii="Times New Roman" w:eastAsia="Times New Roman" w:hAnsi="Times New Roman" w:cs="Times New Roman"/>
          <w:i/>
          <w:iCs/>
          <w:color w:val="000000"/>
          <w:sz w:val="24"/>
          <w:szCs w:val="24"/>
          <w:lang/>
        </w:rPr>
        <w:t>{Пункт 192.2 статті 192 доповнено абзацом третім згідно із Законом </w:t>
      </w:r>
      <w:hyperlink r:id="rId3023" w:anchor="n6" w:tgtFrame="_blank" w:history="1">
        <w:r w:rsidRPr="008B264B">
          <w:rPr>
            <w:rFonts w:ascii="Times New Roman" w:eastAsia="Times New Roman" w:hAnsi="Times New Roman" w:cs="Times New Roman"/>
            <w:i/>
            <w:iCs/>
            <w:color w:val="0000FF"/>
            <w:sz w:val="24"/>
            <w:szCs w:val="24"/>
            <w:u w:val="single"/>
            <w:lang/>
          </w:rPr>
          <w:t>№ 1665-VIII від 06.10.2016</w:t>
        </w:r>
      </w:hyperlink>
      <w:r w:rsidRPr="008B264B">
        <w:rPr>
          <w:rFonts w:ascii="Times New Roman" w:eastAsia="Times New Roman" w:hAnsi="Times New Roman" w:cs="Times New Roman"/>
          <w:i/>
          <w:iCs/>
          <w:color w:val="000000"/>
          <w:sz w:val="24"/>
          <w:szCs w:val="24"/>
          <w:lang/>
        </w:rPr>
        <w:t>}</w:t>
      </w:r>
    </w:p>
    <w:p w14:paraId="5867B8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1" w:name="n4632"/>
      <w:bookmarkEnd w:id="5531"/>
      <w:r w:rsidRPr="008B264B">
        <w:rPr>
          <w:rFonts w:ascii="Times New Roman" w:eastAsia="Times New Roman" w:hAnsi="Times New Roman" w:cs="Times New Roman"/>
          <w:color w:val="000000"/>
          <w:sz w:val="24"/>
          <w:szCs w:val="24"/>
          <w:lang/>
        </w:rPr>
        <w:t>192.3. Результат перерахунку податкових зобов'язань і податкового кредиту постачальника та отримувача відображається у складі податкової декларації за звітний податковий період у порядку, визначеному центральним органом виконавчої влади, що забезпечує формування та реалізує державну фінансову політику.</w:t>
      </w:r>
    </w:p>
    <w:p w14:paraId="1E0D74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2" w:name="n13452"/>
      <w:bookmarkEnd w:id="5532"/>
      <w:r w:rsidRPr="008B264B">
        <w:rPr>
          <w:rFonts w:ascii="Times New Roman" w:eastAsia="Times New Roman" w:hAnsi="Times New Roman" w:cs="Times New Roman"/>
          <w:i/>
          <w:iCs/>
          <w:color w:val="000000"/>
          <w:sz w:val="24"/>
          <w:szCs w:val="24"/>
          <w:lang/>
        </w:rPr>
        <w:t>{Пункт 192.3 статті 192 із змінами, внесеними згідно із Законом </w:t>
      </w:r>
      <w:hyperlink r:id="rId302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4632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3" w:name="n4633"/>
      <w:bookmarkEnd w:id="5533"/>
      <w:r w:rsidRPr="008B264B">
        <w:rPr>
          <w:rFonts w:ascii="Times New Roman" w:eastAsia="Times New Roman" w:hAnsi="Times New Roman" w:cs="Times New Roman"/>
          <w:b/>
          <w:bCs/>
          <w:color w:val="000000"/>
          <w:sz w:val="24"/>
          <w:szCs w:val="24"/>
          <w:lang/>
        </w:rPr>
        <w:t>Стаття 193.</w:t>
      </w:r>
      <w:r w:rsidRPr="008B264B">
        <w:rPr>
          <w:rFonts w:ascii="Times New Roman" w:eastAsia="Times New Roman" w:hAnsi="Times New Roman" w:cs="Times New Roman"/>
          <w:color w:val="000000"/>
          <w:sz w:val="24"/>
          <w:szCs w:val="24"/>
          <w:lang/>
        </w:rPr>
        <w:t> Розміри ставок податку</w:t>
      </w:r>
    </w:p>
    <w:p w14:paraId="710F90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4" w:name="n4634"/>
      <w:bookmarkEnd w:id="5534"/>
      <w:r w:rsidRPr="008B264B">
        <w:rPr>
          <w:rFonts w:ascii="Times New Roman" w:eastAsia="Times New Roman" w:hAnsi="Times New Roman" w:cs="Times New Roman"/>
          <w:color w:val="000000"/>
          <w:sz w:val="24"/>
          <w:szCs w:val="24"/>
          <w:lang/>
        </w:rPr>
        <w:t>193.1. Ставки податку встановлюються від бази оподаткування в таких розмірах:</w:t>
      </w:r>
    </w:p>
    <w:p w14:paraId="7D1795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5" w:name="n4635"/>
      <w:bookmarkEnd w:id="5535"/>
      <w:r w:rsidRPr="008B264B">
        <w:rPr>
          <w:rFonts w:ascii="Times New Roman" w:eastAsia="Times New Roman" w:hAnsi="Times New Roman" w:cs="Times New Roman"/>
          <w:color w:val="000000"/>
          <w:sz w:val="24"/>
          <w:szCs w:val="24"/>
          <w:lang/>
        </w:rPr>
        <w:t>а) 20 відсотків;</w:t>
      </w:r>
    </w:p>
    <w:p w14:paraId="0CDE86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6" w:name="n9668"/>
      <w:bookmarkEnd w:id="5536"/>
      <w:r w:rsidRPr="008B264B">
        <w:rPr>
          <w:rFonts w:ascii="Times New Roman" w:eastAsia="Times New Roman" w:hAnsi="Times New Roman" w:cs="Times New Roman"/>
          <w:i/>
          <w:iCs/>
          <w:color w:val="000000"/>
          <w:sz w:val="24"/>
          <w:szCs w:val="24"/>
          <w:lang/>
        </w:rPr>
        <w:t>{Підпункт "а" пункту 193.1 статті 193 із змінами, внесеними згідно із Законом </w:t>
      </w:r>
      <w:hyperlink r:id="rId3025" w:anchor="n58"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4FE53B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7" w:name="n4636"/>
      <w:bookmarkEnd w:id="5537"/>
      <w:r w:rsidRPr="008B264B">
        <w:rPr>
          <w:rFonts w:ascii="Times New Roman" w:eastAsia="Times New Roman" w:hAnsi="Times New Roman" w:cs="Times New Roman"/>
          <w:color w:val="000000"/>
          <w:sz w:val="24"/>
          <w:szCs w:val="24"/>
          <w:lang/>
        </w:rPr>
        <w:t>б) 0 відсотків;</w:t>
      </w:r>
    </w:p>
    <w:p w14:paraId="281F51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8" w:name="n9669"/>
      <w:bookmarkEnd w:id="5538"/>
      <w:r w:rsidRPr="008B264B">
        <w:rPr>
          <w:rFonts w:ascii="Times New Roman" w:eastAsia="Times New Roman" w:hAnsi="Times New Roman" w:cs="Times New Roman"/>
          <w:color w:val="000000"/>
          <w:sz w:val="24"/>
          <w:szCs w:val="24"/>
          <w:lang/>
        </w:rPr>
        <w:t>в) 7 відсотків по операціях з:</w:t>
      </w:r>
    </w:p>
    <w:p w14:paraId="547F00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39" w:name="n9841"/>
      <w:bookmarkEnd w:id="5539"/>
      <w:r w:rsidRPr="008B264B">
        <w:rPr>
          <w:rFonts w:ascii="Times New Roman" w:eastAsia="Times New Roman" w:hAnsi="Times New Roman" w:cs="Times New Roman"/>
          <w:color w:val="000000"/>
          <w:sz w:val="24"/>
          <w:szCs w:val="24"/>
          <w:lang/>
        </w:rPr>
        <w:lastRenderedPageBreak/>
        <w:t>постачання на митній території України та ввезення на митну територію України лікарських засобів, дозволених для виробництва і застосування в Україні та внесених до Державного реєстру лікарських засобів, а також медичних виробів, які внесені до Державного реєстру медичної техніки та виробів медичного призначення або відповідають вимогам відповідних технічних регламентів, що підтверджується документом про відповідність, та дозволені для надання на ринку та/або введення в експлуатацію і застосування в Україні;</w:t>
      </w:r>
    </w:p>
    <w:p w14:paraId="27477ABA"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5540" w:name="n14860"/>
      <w:bookmarkEnd w:id="5540"/>
      <w:r w:rsidRPr="008B264B">
        <w:rPr>
          <w:rFonts w:ascii="Times New Roman" w:eastAsia="Times New Roman" w:hAnsi="Times New Roman" w:cs="Times New Roman"/>
          <w:i/>
          <w:iCs/>
          <w:color w:val="000000"/>
          <w:sz w:val="24"/>
          <w:szCs w:val="24"/>
          <w:lang/>
        </w:rPr>
        <w:t>{Абзац другий підпункту "в" пункту 193.1 статті 193 в редакції Закону </w:t>
      </w:r>
      <w:hyperlink r:id="rId3026" w:anchor="n26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C3BF6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1" w:name="n9842"/>
      <w:bookmarkEnd w:id="5541"/>
      <w:r w:rsidRPr="008B264B">
        <w:rPr>
          <w:rFonts w:ascii="Times New Roman" w:eastAsia="Times New Roman" w:hAnsi="Times New Roman" w:cs="Times New Roman"/>
          <w:color w:val="000000"/>
          <w:sz w:val="24"/>
          <w:szCs w:val="24"/>
          <w:lang/>
        </w:rPr>
        <w:t>постачання на митній території України та ввезення на митну територію України лікарських засобів, медичних виробів та/або медичного обладнання, дозволених для застосування у межах клінічних випробувань, дозвіл на проведення яких надано центральним органом виконавчої влади, що забезпечує формування державної політики у сфері охорони здоров’я".</w:t>
      </w:r>
    </w:p>
    <w:p w14:paraId="2369B1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2" w:name="n9667"/>
      <w:bookmarkEnd w:id="5542"/>
      <w:r w:rsidRPr="008B264B">
        <w:rPr>
          <w:rFonts w:ascii="Times New Roman" w:eastAsia="Times New Roman" w:hAnsi="Times New Roman" w:cs="Times New Roman"/>
          <w:i/>
          <w:iCs/>
          <w:color w:val="000000"/>
          <w:sz w:val="24"/>
          <w:szCs w:val="24"/>
          <w:lang/>
        </w:rPr>
        <w:t>{Пункт 193.1 статті 193 доповнено підпунктом "в" згідно із Законом </w:t>
      </w:r>
      <w:hyperlink r:id="rId3027" w:anchor="n59"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3028" w:anchor="n26"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28B936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3" w:name="n4637"/>
      <w:bookmarkEnd w:id="5543"/>
      <w:r w:rsidRPr="008B264B">
        <w:rPr>
          <w:rFonts w:ascii="Times New Roman" w:eastAsia="Times New Roman" w:hAnsi="Times New Roman" w:cs="Times New Roman"/>
          <w:b/>
          <w:bCs/>
          <w:color w:val="000000"/>
          <w:sz w:val="24"/>
          <w:szCs w:val="24"/>
          <w:lang/>
        </w:rPr>
        <w:t>Стаття 194.</w:t>
      </w:r>
      <w:r w:rsidRPr="008B264B">
        <w:rPr>
          <w:rFonts w:ascii="Times New Roman" w:eastAsia="Times New Roman" w:hAnsi="Times New Roman" w:cs="Times New Roman"/>
          <w:color w:val="000000"/>
          <w:sz w:val="24"/>
          <w:szCs w:val="24"/>
          <w:lang/>
        </w:rPr>
        <w:t> Операції, що підлягають оподаткуванню за основною ставкою</w:t>
      </w:r>
    </w:p>
    <w:p w14:paraId="645C83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4" w:name="n4638"/>
      <w:bookmarkEnd w:id="5544"/>
      <w:r w:rsidRPr="008B264B">
        <w:rPr>
          <w:rFonts w:ascii="Times New Roman" w:eastAsia="Times New Roman" w:hAnsi="Times New Roman" w:cs="Times New Roman"/>
          <w:color w:val="000000"/>
          <w:sz w:val="24"/>
          <w:szCs w:val="24"/>
          <w:lang/>
        </w:rPr>
        <w:t>194.1. Операції, зазначені у </w:t>
      </w:r>
      <w:hyperlink r:id="rId3029" w:anchor="n4483" w:history="1">
        <w:r w:rsidRPr="008B264B">
          <w:rPr>
            <w:rFonts w:ascii="Times New Roman" w:eastAsia="Times New Roman" w:hAnsi="Times New Roman" w:cs="Times New Roman"/>
            <w:color w:val="0000FF"/>
            <w:sz w:val="24"/>
            <w:szCs w:val="24"/>
            <w:u w:val="single"/>
            <w:lang/>
          </w:rPr>
          <w:t>статті 185</w:t>
        </w:r>
      </w:hyperlink>
      <w:r w:rsidRPr="008B264B">
        <w:rPr>
          <w:rFonts w:ascii="Times New Roman" w:eastAsia="Times New Roman" w:hAnsi="Times New Roman" w:cs="Times New Roman"/>
          <w:color w:val="000000"/>
          <w:sz w:val="24"/>
          <w:szCs w:val="24"/>
          <w:lang/>
        </w:rPr>
        <w:t> цього Кодексу, крім операцій, що не є об'єктом оподаткування, звільнених від оподаткування, та операцій, до яких застосовується нульова ставка та 7 відсотків, оподатковуються за ставкою, зазначеною в </w:t>
      </w:r>
      <w:hyperlink r:id="rId3030" w:anchor="n4635" w:history="1">
        <w:r w:rsidRPr="008B264B">
          <w:rPr>
            <w:rFonts w:ascii="Times New Roman" w:eastAsia="Times New Roman" w:hAnsi="Times New Roman" w:cs="Times New Roman"/>
            <w:color w:val="0000FF"/>
            <w:sz w:val="24"/>
            <w:szCs w:val="24"/>
            <w:u w:val="single"/>
            <w:lang/>
          </w:rPr>
          <w:t>підпункті "а" пункту 193.1</w:t>
        </w:r>
      </w:hyperlink>
      <w:r w:rsidRPr="008B264B">
        <w:rPr>
          <w:rFonts w:ascii="Times New Roman" w:eastAsia="Times New Roman" w:hAnsi="Times New Roman" w:cs="Times New Roman"/>
          <w:color w:val="000000"/>
          <w:sz w:val="24"/>
          <w:szCs w:val="24"/>
          <w:lang/>
        </w:rPr>
        <w:t> статті 193 цього Кодексу, яка є основною.</w:t>
      </w:r>
    </w:p>
    <w:p w14:paraId="4C322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5" w:name="n9670"/>
      <w:bookmarkEnd w:id="5545"/>
      <w:r w:rsidRPr="008B264B">
        <w:rPr>
          <w:rFonts w:ascii="Times New Roman" w:eastAsia="Times New Roman" w:hAnsi="Times New Roman" w:cs="Times New Roman"/>
          <w:i/>
          <w:iCs/>
          <w:color w:val="000000"/>
          <w:sz w:val="24"/>
          <w:szCs w:val="24"/>
          <w:lang/>
        </w:rPr>
        <w:t>{Пункт 194.1 статті 194 із змінами, внесеними згідно із Законом </w:t>
      </w:r>
      <w:hyperlink r:id="rId3031" w:anchor="n62"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3A7113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6" w:name="n4639"/>
      <w:bookmarkEnd w:id="5546"/>
      <w:r w:rsidRPr="008B264B">
        <w:rPr>
          <w:rFonts w:ascii="Times New Roman" w:eastAsia="Times New Roman" w:hAnsi="Times New Roman" w:cs="Times New Roman"/>
          <w:color w:val="000000"/>
          <w:sz w:val="24"/>
          <w:szCs w:val="24"/>
          <w:lang/>
        </w:rPr>
        <w:t>194.1.1. Податок становить 20 відсотків, 7 відсотків бази оподаткування та додається до ціни товарів/послуг.</w:t>
      </w:r>
    </w:p>
    <w:p w14:paraId="1F11F8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7" w:name="n9671"/>
      <w:bookmarkEnd w:id="5547"/>
      <w:r w:rsidRPr="008B264B">
        <w:rPr>
          <w:rFonts w:ascii="Times New Roman" w:eastAsia="Times New Roman" w:hAnsi="Times New Roman" w:cs="Times New Roman"/>
          <w:i/>
          <w:iCs/>
          <w:color w:val="000000"/>
          <w:sz w:val="24"/>
          <w:szCs w:val="24"/>
          <w:lang/>
        </w:rPr>
        <w:t>{Підпункт 194.1.1 пункту 194.1 статті 194 із змінами, внесеними згідно із Законом </w:t>
      </w:r>
      <w:hyperlink r:id="rId3032" w:anchor="n63"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0F89E7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8" w:name="n4640"/>
      <w:bookmarkEnd w:id="5548"/>
      <w:r w:rsidRPr="008B264B">
        <w:rPr>
          <w:rFonts w:ascii="Times New Roman" w:eastAsia="Times New Roman" w:hAnsi="Times New Roman" w:cs="Times New Roman"/>
          <w:b/>
          <w:bCs/>
          <w:color w:val="000000"/>
          <w:sz w:val="24"/>
          <w:szCs w:val="24"/>
          <w:lang/>
        </w:rPr>
        <w:t>Стаття 195.</w:t>
      </w:r>
      <w:r w:rsidRPr="008B264B">
        <w:rPr>
          <w:rFonts w:ascii="Times New Roman" w:eastAsia="Times New Roman" w:hAnsi="Times New Roman" w:cs="Times New Roman"/>
          <w:color w:val="000000"/>
          <w:sz w:val="24"/>
          <w:szCs w:val="24"/>
          <w:lang/>
        </w:rPr>
        <w:t> Операції, що підлягають оподаткуванню за нульовою ставкою</w:t>
      </w:r>
    </w:p>
    <w:p w14:paraId="387DB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49" w:name="n4641"/>
      <w:bookmarkEnd w:id="5549"/>
      <w:r w:rsidRPr="008B264B">
        <w:rPr>
          <w:rFonts w:ascii="Times New Roman" w:eastAsia="Times New Roman" w:hAnsi="Times New Roman" w:cs="Times New Roman"/>
          <w:color w:val="000000"/>
          <w:sz w:val="24"/>
          <w:szCs w:val="24"/>
          <w:lang/>
        </w:rPr>
        <w:t>195.1. За нульовою ставкою оподатковуються операції з:</w:t>
      </w:r>
    </w:p>
    <w:p w14:paraId="4930F3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0" w:name="n4642"/>
      <w:bookmarkEnd w:id="5550"/>
      <w:r w:rsidRPr="008B264B">
        <w:rPr>
          <w:rFonts w:ascii="Times New Roman" w:eastAsia="Times New Roman" w:hAnsi="Times New Roman" w:cs="Times New Roman"/>
          <w:color w:val="000000"/>
          <w:sz w:val="24"/>
          <w:szCs w:val="24"/>
          <w:lang/>
        </w:rPr>
        <w:t>195.1.1. вивезення товарів за межі митної території України:</w:t>
      </w:r>
    </w:p>
    <w:p w14:paraId="760115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1" w:name="n4643"/>
      <w:bookmarkEnd w:id="5551"/>
      <w:r w:rsidRPr="008B264B">
        <w:rPr>
          <w:rFonts w:ascii="Times New Roman" w:eastAsia="Times New Roman" w:hAnsi="Times New Roman" w:cs="Times New Roman"/>
          <w:color w:val="000000"/>
          <w:sz w:val="24"/>
          <w:szCs w:val="24"/>
          <w:lang/>
        </w:rPr>
        <w:t>а) у митному режимі експорту;</w:t>
      </w:r>
    </w:p>
    <w:p w14:paraId="22AD5C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2" w:name="n4644"/>
      <w:bookmarkEnd w:id="5552"/>
      <w:r w:rsidRPr="008B264B">
        <w:rPr>
          <w:rFonts w:ascii="Times New Roman" w:eastAsia="Times New Roman" w:hAnsi="Times New Roman" w:cs="Times New Roman"/>
          <w:color w:val="000000"/>
          <w:sz w:val="24"/>
          <w:szCs w:val="24"/>
          <w:lang/>
        </w:rPr>
        <w:t>б) у митному режимі реекспорту, якщо товари поміщені у такий режим відповідно до </w:t>
      </w:r>
      <w:hyperlink r:id="rId3033" w:anchor="n1135" w:tgtFrame="_blank" w:history="1">
        <w:r w:rsidRPr="008B264B">
          <w:rPr>
            <w:rFonts w:ascii="Times New Roman" w:eastAsia="Times New Roman" w:hAnsi="Times New Roman" w:cs="Times New Roman"/>
            <w:color w:val="0000FF"/>
            <w:sz w:val="24"/>
            <w:szCs w:val="24"/>
            <w:u w:val="single"/>
            <w:lang/>
          </w:rPr>
          <w:t>пунктів 3</w:t>
        </w:r>
      </w:hyperlink>
      <w:r w:rsidRPr="008B264B">
        <w:rPr>
          <w:rFonts w:ascii="Times New Roman" w:eastAsia="Times New Roman" w:hAnsi="Times New Roman" w:cs="Times New Roman"/>
          <w:color w:val="000000"/>
          <w:sz w:val="24"/>
          <w:szCs w:val="24"/>
          <w:lang/>
        </w:rPr>
        <w:t> (щодо товарів у вигляді продуктів їх переробки) та </w:t>
      </w:r>
      <w:hyperlink r:id="rId3034" w:anchor="n1137" w:tgtFrame="_blank" w:history="1">
        <w:r w:rsidRPr="008B264B">
          <w:rPr>
            <w:rFonts w:ascii="Times New Roman" w:eastAsia="Times New Roman" w:hAnsi="Times New Roman" w:cs="Times New Roman"/>
            <w:color w:val="0000FF"/>
            <w:sz w:val="24"/>
            <w:szCs w:val="24"/>
            <w:u w:val="single"/>
            <w:lang/>
          </w:rPr>
          <w:t>5</w:t>
        </w:r>
      </w:hyperlink>
      <w:r w:rsidRPr="008B264B">
        <w:rPr>
          <w:rFonts w:ascii="Times New Roman" w:eastAsia="Times New Roman" w:hAnsi="Times New Roman" w:cs="Times New Roman"/>
          <w:color w:val="000000"/>
          <w:sz w:val="24"/>
          <w:szCs w:val="24"/>
          <w:lang/>
        </w:rPr>
        <w:t> частини першої статті 86 Митного кодексу України;</w:t>
      </w:r>
    </w:p>
    <w:p w14:paraId="6FC7E8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3" w:name="n15143"/>
      <w:bookmarkEnd w:id="5553"/>
      <w:r w:rsidRPr="008B264B">
        <w:rPr>
          <w:rFonts w:ascii="Times New Roman" w:eastAsia="Times New Roman" w:hAnsi="Times New Roman" w:cs="Times New Roman"/>
          <w:i/>
          <w:iCs/>
          <w:color w:val="000000"/>
          <w:sz w:val="24"/>
          <w:szCs w:val="24"/>
          <w:lang/>
        </w:rPr>
        <w:t>{Підпункт "б" підпункту 195.1.1 пункту 195.1 статті 195 із змінами, внесеними згідно із Законом </w:t>
      </w:r>
      <w:hyperlink r:id="rId3035" w:anchor="n19"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632B95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4" w:name="n4645"/>
      <w:bookmarkEnd w:id="5554"/>
      <w:r w:rsidRPr="008B264B">
        <w:rPr>
          <w:rFonts w:ascii="Times New Roman" w:eastAsia="Times New Roman" w:hAnsi="Times New Roman" w:cs="Times New Roman"/>
          <w:color w:val="000000"/>
          <w:sz w:val="24"/>
          <w:szCs w:val="24"/>
          <w:lang/>
        </w:rPr>
        <w:t>в) у митному режимі безмитної торгівлі;</w:t>
      </w:r>
    </w:p>
    <w:p w14:paraId="1A19FB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5" w:name="n4646"/>
      <w:bookmarkEnd w:id="5555"/>
      <w:r w:rsidRPr="008B264B">
        <w:rPr>
          <w:rFonts w:ascii="Times New Roman" w:eastAsia="Times New Roman" w:hAnsi="Times New Roman" w:cs="Times New Roman"/>
          <w:color w:val="000000"/>
          <w:sz w:val="24"/>
          <w:szCs w:val="24"/>
          <w:lang/>
        </w:rPr>
        <w:t>г) у митному режимі вільної митної зони.</w:t>
      </w:r>
    </w:p>
    <w:p w14:paraId="71C57A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6" w:name="n4647"/>
      <w:bookmarkEnd w:id="5556"/>
      <w:r w:rsidRPr="008B264B">
        <w:rPr>
          <w:rFonts w:ascii="Times New Roman" w:eastAsia="Times New Roman" w:hAnsi="Times New Roman" w:cs="Times New Roman"/>
          <w:color w:val="000000"/>
          <w:sz w:val="24"/>
          <w:szCs w:val="24"/>
          <w:lang/>
        </w:rPr>
        <w:t>Товари вважаються вивезеними за межі митної території України, якщо таке вивезення підтверджене в порядку, визначеному Кабінетом Міністрів України, митною декларацією, оформленою відповідно до вимог </w:t>
      </w:r>
      <w:hyperlink r:id="rId3036"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w:t>
      </w:r>
    </w:p>
    <w:p w14:paraId="400BF1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7" w:name="n4648"/>
      <w:bookmarkEnd w:id="5557"/>
      <w:r w:rsidRPr="008B264B">
        <w:rPr>
          <w:rFonts w:ascii="Times New Roman" w:eastAsia="Times New Roman" w:hAnsi="Times New Roman" w:cs="Times New Roman"/>
          <w:i/>
          <w:iCs/>
          <w:color w:val="000000"/>
          <w:sz w:val="24"/>
          <w:szCs w:val="24"/>
          <w:lang/>
        </w:rPr>
        <w:t>{Підпункт 195.1.1 пункту 195.1 статті 195 в редакції Закону </w:t>
      </w:r>
      <w:hyperlink r:id="rId3037" w:anchor="n64"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2541B6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8" w:name="n4649"/>
      <w:bookmarkEnd w:id="5558"/>
      <w:r w:rsidRPr="008B264B">
        <w:rPr>
          <w:rFonts w:ascii="Times New Roman" w:eastAsia="Times New Roman" w:hAnsi="Times New Roman" w:cs="Times New Roman"/>
          <w:color w:val="000000"/>
          <w:sz w:val="24"/>
          <w:szCs w:val="24"/>
          <w:lang/>
        </w:rPr>
        <w:t>195.1.2. постачання товарів:</w:t>
      </w:r>
    </w:p>
    <w:p w14:paraId="650FE1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59" w:name="n4650"/>
      <w:bookmarkEnd w:id="5559"/>
      <w:r w:rsidRPr="008B264B">
        <w:rPr>
          <w:rFonts w:ascii="Times New Roman" w:eastAsia="Times New Roman" w:hAnsi="Times New Roman" w:cs="Times New Roman"/>
          <w:color w:val="000000"/>
          <w:sz w:val="24"/>
          <w:szCs w:val="24"/>
          <w:lang/>
        </w:rPr>
        <w:t>а) для заправки або забезпечення морських суден, що:</w:t>
      </w:r>
    </w:p>
    <w:p w14:paraId="2D3F10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0" w:name="n4651"/>
      <w:bookmarkEnd w:id="5560"/>
      <w:r w:rsidRPr="008B264B">
        <w:rPr>
          <w:rFonts w:ascii="Times New Roman" w:eastAsia="Times New Roman" w:hAnsi="Times New Roman" w:cs="Times New Roman"/>
          <w:color w:val="000000"/>
          <w:sz w:val="24"/>
          <w:szCs w:val="24"/>
          <w:lang/>
        </w:rPr>
        <w:lastRenderedPageBreak/>
        <w:t>використовуються для навігаційної діяльності, перевезення пасажирів або вантажів за плату, промислової, риболовецької або іншої господарської діяльності, що провадиться за межами територіальних вод України;</w:t>
      </w:r>
    </w:p>
    <w:p w14:paraId="67692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1" w:name="n4652"/>
      <w:bookmarkEnd w:id="5561"/>
      <w:r w:rsidRPr="008B264B">
        <w:rPr>
          <w:rFonts w:ascii="Times New Roman" w:eastAsia="Times New Roman" w:hAnsi="Times New Roman" w:cs="Times New Roman"/>
          <w:color w:val="000000"/>
          <w:sz w:val="24"/>
          <w:szCs w:val="24"/>
          <w:lang/>
        </w:rPr>
        <w:t>використовуються для рятування або подання допомоги в нейтральних або територіальних водах інших країн;</w:t>
      </w:r>
    </w:p>
    <w:p w14:paraId="471BF6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2" w:name="n4653"/>
      <w:bookmarkEnd w:id="5562"/>
      <w:r w:rsidRPr="008B264B">
        <w:rPr>
          <w:rFonts w:ascii="Times New Roman" w:eastAsia="Times New Roman" w:hAnsi="Times New Roman" w:cs="Times New Roman"/>
          <w:color w:val="000000"/>
          <w:sz w:val="24"/>
          <w:szCs w:val="24"/>
          <w:lang/>
        </w:rPr>
        <w:t>входять до складу Військово-Морських Сил України та відправляються за межі територіальних вод України, у тому числі на якірні стоянки;</w:t>
      </w:r>
    </w:p>
    <w:p w14:paraId="16C1A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3" w:name="n4654"/>
      <w:bookmarkEnd w:id="5563"/>
      <w:r w:rsidRPr="008B264B">
        <w:rPr>
          <w:rFonts w:ascii="Times New Roman" w:eastAsia="Times New Roman" w:hAnsi="Times New Roman" w:cs="Times New Roman"/>
          <w:color w:val="000000"/>
          <w:sz w:val="24"/>
          <w:szCs w:val="24"/>
          <w:lang/>
        </w:rPr>
        <w:t>б) для заправки або забезпечення повітряних суден, що:</w:t>
      </w:r>
    </w:p>
    <w:p w14:paraId="1D3561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4" w:name="n4655"/>
      <w:bookmarkEnd w:id="5564"/>
      <w:r w:rsidRPr="008B264B">
        <w:rPr>
          <w:rFonts w:ascii="Times New Roman" w:eastAsia="Times New Roman" w:hAnsi="Times New Roman" w:cs="Times New Roman"/>
          <w:color w:val="000000"/>
          <w:sz w:val="24"/>
          <w:szCs w:val="24"/>
          <w:lang/>
        </w:rPr>
        <w:t>виконують міжнародні рейси для навігаційної діяльності чи перевезення пасажирів або вантажів за плату;</w:t>
      </w:r>
    </w:p>
    <w:p w14:paraId="23E574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5" w:name="n4656"/>
      <w:bookmarkEnd w:id="5565"/>
      <w:r w:rsidRPr="008B264B">
        <w:rPr>
          <w:rFonts w:ascii="Times New Roman" w:eastAsia="Times New Roman" w:hAnsi="Times New Roman" w:cs="Times New Roman"/>
          <w:color w:val="000000"/>
          <w:sz w:val="24"/>
          <w:szCs w:val="24"/>
          <w:lang/>
        </w:rPr>
        <w:t>входять до складу Повітряних Сил України та відправляються за межі повітряного кордону України, у тому числі у місця тимчасового базування;</w:t>
      </w:r>
    </w:p>
    <w:p w14:paraId="34B4DC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6" w:name="n4657"/>
      <w:bookmarkEnd w:id="5566"/>
      <w:r w:rsidRPr="008B264B">
        <w:rPr>
          <w:rFonts w:ascii="Times New Roman" w:eastAsia="Times New Roman" w:hAnsi="Times New Roman" w:cs="Times New Roman"/>
          <w:color w:val="000000"/>
          <w:sz w:val="24"/>
          <w:szCs w:val="24"/>
          <w:lang/>
        </w:rPr>
        <w:t>в) для заправки (дозаправки) та забезпечення космічних кораблів, космічних ракетних носіїв або супутників Землі;</w:t>
      </w:r>
    </w:p>
    <w:p w14:paraId="196BAE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7" w:name="n4658"/>
      <w:bookmarkEnd w:id="5567"/>
      <w:r w:rsidRPr="008B264B">
        <w:rPr>
          <w:rFonts w:ascii="Times New Roman" w:eastAsia="Times New Roman" w:hAnsi="Times New Roman" w:cs="Times New Roman"/>
          <w:color w:val="000000"/>
          <w:sz w:val="24"/>
          <w:szCs w:val="24"/>
          <w:lang/>
        </w:rPr>
        <w:t>г) для заправки (дозаправки) або забезпечення наземного військового транспорту чи іншого спеціального контингенту Збройних Сил України, що бере участь у миротворчих акціях за кордоном України, або в інших випадках, передбачених законодавством;</w:t>
      </w:r>
    </w:p>
    <w:p w14:paraId="5302F6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8" w:name="n4659"/>
      <w:bookmarkEnd w:id="5568"/>
      <w:r w:rsidRPr="008B264B">
        <w:rPr>
          <w:rFonts w:ascii="Times New Roman" w:eastAsia="Times New Roman" w:hAnsi="Times New Roman" w:cs="Times New Roman"/>
          <w:color w:val="000000"/>
          <w:sz w:val="24"/>
          <w:szCs w:val="24"/>
          <w:lang/>
        </w:rPr>
        <w:t>ґ) магазинами безмитної торгівлі, відповідно до порядку, встановленого Кабінетом Міністрів України.</w:t>
      </w:r>
    </w:p>
    <w:p w14:paraId="33AB41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69" w:name="n4661"/>
      <w:bookmarkEnd w:id="5569"/>
      <w:r w:rsidRPr="008B264B">
        <w:rPr>
          <w:rFonts w:ascii="Times New Roman" w:eastAsia="Times New Roman" w:hAnsi="Times New Roman" w:cs="Times New Roman"/>
          <w:color w:val="000000"/>
          <w:sz w:val="24"/>
          <w:szCs w:val="24"/>
          <w:lang/>
        </w:rPr>
        <w:t>Постачання товарів магазинами безмитної торгівлі може здійснюватися виключно:</w:t>
      </w:r>
    </w:p>
    <w:p w14:paraId="4C01FE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0" w:name="n14186"/>
      <w:bookmarkEnd w:id="5570"/>
      <w:r w:rsidRPr="008B264B">
        <w:rPr>
          <w:rFonts w:ascii="Times New Roman" w:eastAsia="Times New Roman" w:hAnsi="Times New Roman" w:cs="Times New Roman"/>
          <w:color w:val="000000"/>
          <w:sz w:val="24"/>
          <w:szCs w:val="24"/>
          <w:lang/>
        </w:rPr>
        <w:t>фізичним особам, які виїжджають за межі митної території України;</w:t>
      </w:r>
    </w:p>
    <w:p w14:paraId="039BD0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1" w:name="n14187"/>
      <w:bookmarkEnd w:id="5571"/>
      <w:r w:rsidRPr="008B264B">
        <w:rPr>
          <w:rFonts w:ascii="Times New Roman" w:eastAsia="Times New Roman" w:hAnsi="Times New Roman" w:cs="Times New Roman"/>
          <w:color w:val="000000"/>
          <w:sz w:val="24"/>
          <w:szCs w:val="24"/>
          <w:lang/>
        </w:rPr>
        <w:t>фізичним особам, які в’їжджають на митну територію України в пунктах пропуску через державний кордон України, відкритих для міжнародного повітряного сполучення;</w:t>
      </w:r>
    </w:p>
    <w:p w14:paraId="0B9906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2" w:name="n14188"/>
      <w:bookmarkEnd w:id="5572"/>
      <w:r w:rsidRPr="008B264B">
        <w:rPr>
          <w:rFonts w:ascii="Times New Roman" w:eastAsia="Times New Roman" w:hAnsi="Times New Roman" w:cs="Times New Roman"/>
          <w:color w:val="000000"/>
          <w:sz w:val="24"/>
          <w:szCs w:val="24"/>
          <w:lang/>
        </w:rPr>
        <w:t>фізичним особам, які переміщуються транспортними засобами, що належать резидентам та знаходяться за межами митного кордону України.</w:t>
      </w:r>
    </w:p>
    <w:p w14:paraId="08A3C8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3" w:name="n14189"/>
      <w:bookmarkEnd w:id="5573"/>
      <w:r w:rsidRPr="008B264B">
        <w:rPr>
          <w:rFonts w:ascii="Times New Roman" w:eastAsia="Times New Roman" w:hAnsi="Times New Roman" w:cs="Times New Roman"/>
          <w:color w:val="000000"/>
          <w:sz w:val="24"/>
          <w:szCs w:val="24"/>
          <w:lang/>
        </w:rPr>
        <w:t>Порушення норм цього підпункту тягне за собою відповідальність, встановлену законом. Порядок контролю за дотриманням норм цього підпункту встановлюється Кабінетом Міністрів України.</w:t>
      </w:r>
    </w:p>
    <w:p w14:paraId="0E4E4E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4" w:name="n14185"/>
      <w:bookmarkEnd w:id="5574"/>
      <w:r w:rsidRPr="008B264B">
        <w:rPr>
          <w:rFonts w:ascii="Times New Roman" w:eastAsia="Times New Roman" w:hAnsi="Times New Roman" w:cs="Times New Roman"/>
          <w:i/>
          <w:iCs/>
          <w:color w:val="000000"/>
          <w:sz w:val="24"/>
          <w:szCs w:val="24"/>
          <w:lang/>
        </w:rPr>
        <w:t>{Підпункт"ґ" підпункту 195.1.2 пункту 195.1 статті 195 із змінами, внесеними згідно із Законом </w:t>
      </w:r>
      <w:hyperlink r:id="rId3038" w:anchor="n71"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в редакції Закону </w:t>
      </w:r>
      <w:hyperlink r:id="rId3039" w:anchor="n107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D1BEE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5" w:name="n4663"/>
      <w:bookmarkEnd w:id="5575"/>
      <w:r w:rsidRPr="008B264B">
        <w:rPr>
          <w:rFonts w:ascii="Times New Roman" w:eastAsia="Times New Roman" w:hAnsi="Times New Roman" w:cs="Times New Roman"/>
          <w:color w:val="000000"/>
          <w:sz w:val="24"/>
          <w:szCs w:val="24"/>
          <w:lang/>
        </w:rPr>
        <w:t>195.1.3. постачання таких послуг:</w:t>
      </w:r>
    </w:p>
    <w:p w14:paraId="639864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6" w:name="n4664"/>
      <w:bookmarkEnd w:id="5576"/>
      <w:r w:rsidRPr="008B264B">
        <w:rPr>
          <w:rFonts w:ascii="Times New Roman" w:eastAsia="Times New Roman" w:hAnsi="Times New Roman" w:cs="Times New Roman"/>
          <w:color w:val="000000"/>
          <w:sz w:val="24"/>
          <w:szCs w:val="24"/>
          <w:lang/>
        </w:rPr>
        <w:t>а) міжнародні перевезення пасажирів і багажу та вантажів залізничним, автомобільним, морським і річковим та авіаційним транспортом.</w:t>
      </w:r>
    </w:p>
    <w:p w14:paraId="686407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7" w:name="n4665"/>
      <w:bookmarkEnd w:id="5577"/>
      <w:r w:rsidRPr="008B264B">
        <w:rPr>
          <w:rFonts w:ascii="Times New Roman" w:eastAsia="Times New Roman" w:hAnsi="Times New Roman" w:cs="Times New Roman"/>
          <w:color w:val="000000"/>
          <w:sz w:val="24"/>
          <w:szCs w:val="24"/>
          <w:lang/>
        </w:rPr>
        <w:t>Для цілей цього підпункту перевезення вважається міжнародним, якщо таке перевезення здійснюється за єдиним міжнародним перевізним документом;</w:t>
      </w:r>
    </w:p>
    <w:p w14:paraId="60713C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8" w:name="n4666"/>
      <w:bookmarkEnd w:id="5578"/>
      <w:r w:rsidRPr="008B264B">
        <w:rPr>
          <w:rFonts w:ascii="Times New Roman" w:eastAsia="Times New Roman" w:hAnsi="Times New Roman" w:cs="Times New Roman"/>
          <w:color w:val="000000"/>
          <w:sz w:val="24"/>
          <w:szCs w:val="24"/>
          <w:lang/>
        </w:rPr>
        <w:t>б) послуги, що передбачають роботи з рухомим майном, попередньо ввезеним на митну територію України для виконання таких робіт та вивезеним за межі митної території України платником, що виконував такі роботи, або отримувачем-нерезидентом.</w:t>
      </w:r>
    </w:p>
    <w:p w14:paraId="73335B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79" w:name="n4667"/>
      <w:bookmarkEnd w:id="5579"/>
      <w:r w:rsidRPr="008B264B">
        <w:rPr>
          <w:rFonts w:ascii="Times New Roman" w:eastAsia="Times New Roman" w:hAnsi="Times New Roman" w:cs="Times New Roman"/>
          <w:color w:val="000000"/>
          <w:sz w:val="24"/>
          <w:szCs w:val="24"/>
          <w:lang/>
        </w:rPr>
        <w:t xml:space="preserve">До робіт з рухомим майном належать роботи з переробки товарів, що можуть включати власне переробку (обробку) товарів - монтаж, збирання, монтування та налагодження, у результаті чого створюються інші товари, у тому числі постачання послуг з переробки давальницької сировини, а також модернізацію та ремонт товарів, що передбачає проведення комплексу операцій з частковим або повним відновленням виробничого ресурсу об'єкта (або його </w:t>
      </w:r>
      <w:r w:rsidRPr="008B264B">
        <w:rPr>
          <w:rFonts w:ascii="Times New Roman" w:eastAsia="Times New Roman" w:hAnsi="Times New Roman" w:cs="Times New Roman"/>
          <w:color w:val="000000"/>
          <w:sz w:val="24"/>
          <w:szCs w:val="24"/>
          <w:lang/>
        </w:rPr>
        <w:lastRenderedPageBreak/>
        <w:t>складових частин), визначеного нормативно-технічною документацією, у результаті виконання якого передбачається поліпшення стану такого об'єкта;</w:t>
      </w:r>
    </w:p>
    <w:p w14:paraId="144DE6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0" w:name="n4668"/>
      <w:bookmarkEnd w:id="5580"/>
      <w:r w:rsidRPr="008B264B">
        <w:rPr>
          <w:rFonts w:ascii="Times New Roman" w:eastAsia="Times New Roman" w:hAnsi="Times New Roman" w:cs="Times New Roman"/>
          <w:color w:val="000000"/>
          <w:sz w:val="24"/>
          <w:szCs w:val="24"/>
          <w:lang/>
        </w:rPr>
        <w:t>в) послуги з обслуговування повітряних суден, що виконують міжнародні рейси.</w:t>
      </w:r>
    </w:p>
    <w:p w14:paraId="0BA302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1" w:name="n4669"/>
      <w:bookmarkEnd w:id="5581"/>
      <w:r w:rsidRPr="008B264B">
        <w:rPr>
          <w:rFonts w:ascii="Times New Roman" w:eastAsia="Times New Roman" w:hAnsi="Times New Roman" w:cs="Times New Roman"/>
          <w:color w:val="000000"/>
          <w:sz w:val="24"/>
          <w:szCs w:val="24"/>
          <w:lang/>
        </w:rPr>
        <w:t>До послуг з обслуговування повітряних суден, які виконують міжнародні рейси, відносяться послуги, які комплексно необхідні та безпосередньо пов'язані з виконанням міжнародного рейсу, а саме:</w:t>
      </w:r>
    </w:p>
    <w:p w14:paraId="079D0D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2" w:name="n4670"/>
      <w:bookmarkEnd w:id="5582"/>
      <w:r w:rsidRPr="008B264B">
        <w:rPr>
          <w:rFonts w:ascii="Times New Roman" w:eastAsia="Times New Roman" w:hAnsi="Times New Roman" w:cs="Times New Roman"/>
          <w:color w:val="000000"/>
          <w:sz w:val="24"/>
          <w:szCs w:val="24"/>
          <w:lang/>
        </w:rPr>
        <w:t>обслуговування повітряних суден та пасажирів в аеропорту (посадка-зліт повітряного судна, обслуговування пасажирів в аеровокзалі, забезпечення авіаційної безпеки, наднормативна стоянка повітряного судна);</w:t>
      </w:r>
    </w:p>
    <w:p w14:paraId="2F1C08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3" w:name="n4671"/>
      <w:bookmarkEnd w:id="5583"/>
      <w:r w:rsidRPr="008B264B">
        <w:rPr>
          <w:rFonts w:ascii="Times New Roman" w:eastAsia="Times New Roman" w:hAnsi="Times New Roman" w:cs="Times New Roman"/>
          <w:color w:val="000000"/>
          <w:sz w:val="24"/>
          <w:szCs w:val="24"/>
          <w:lang/>
        </w:rPr>
        <w:t>послуги з наземного обслуговування повітряних суден та пасажирів в аеропортах;</w:t>
      </w:r>
    </w:p>
    <w:p w14:paraId="617FBD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4" w:name="n4672"/>
      <w:bookmarkEnd w:id="5584"/>
      <w:r w:rsidRPr="008B264B">
        <w:rPr>
          <w:rFonts w:ascii="Times New Roman" w:eastAsia="Times New Roman" w:hAnsi="Times New Roman" w:cs="Times New Roman"/>
          <w:color w:val="000000"/>
          <w:sz w:val="24"/>
          <w:szCs w:val="24"/>
          <w:lang/>
        </w:rPr>
        <w:t>оренда аеропортових приміщень у частині використання для обслуговування міжнародних рейсів (офіси, стійки реєстрації та інші службові приміщення, які орендуються авіаперевізниками, що виконують міжнародні рейси);</w:t>
      </w:r>
    </w:p>
    <w:p w14:paraId="7C9289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5" w:name="n4673"/>
      <w:bookmarkEnd w:id="5585"/>
      <w:r w:rsidRPr="008B264B">
        <w:rPr>
          <w:rFonts w:ascii="Times New Roman" w:eastAsia="Times New Roman" w:hAnsi="Times New Roman" w:cs="Times New Roman"/>
          <w:color w:val="000000"/>
          <w:sz w:val="24"/>
          <w:szCs w:val="24"/>
          <w:lang/>
        </w:rPr>
        <w:t>послуги персоналу з обслуговування повітряних суден.</w:t>
      </w:r>
    </w:p>
    <w:p w14:paraId="1CAA9A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6" w:name="n4674"/>
      <w:bookmarkEnd w:id="5586"/>
      <w:r w:rsidRPr="008B264B">
        <w:rPr>
          <w:rFonts w:ascii="Times New Roman" w:eastAsia="Times New Roman" w:hAnsi="Times New Roman" w:cs="Times New Roman"/>
          <w:i/>
          <w:iCs/>
          <w:color w:val="000000"/>
          <w:sz w:val="24"/>
          <w:szCs w:val="24"/>
          <w:lang/>
        </w:rPr>
        <w:t>{Підпункт "г" підпункту 195.1.3 пункту 195.1 статті 195 виключено на підставі Закону </w:t>
      </w:r>
      <w:hyperlink r:id="rId3040" w:anchor="n24"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w:t>
      </w:r>
    </w:p>
    <w:p w14:paraId="580660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7" w:name="n4676"/>
      <w:bookmarkEnd w:id="5587"/>
      <w:r w:rsidRPr="008B264B">
        <w:rPr>
          <w:rFonts w:ascii="Times New Roman" w:eastAsia="Times New Roman" w:hAnsi="Times New Roman" w:cs="Times New Roman"/>
          <w:color w:val="000000"/>
          <w:sz w:val="24"/>
          <w:szCs w:val="24"/>
          <w:lang/>
        </w:rPr>
        <w:t>195.2. У разі якщо операції з постачання товарів звільнено від оподаткування на митній території України відповідно до положення цього розділу, до операцій з експорту таких товарів застосовується нульова ставка.</w:t>
      </w:r>
    </w:p>
    <w:p w14:paraId="07ADDF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8" w:name="n4677"/>
      <w:bookmarkEnd w:id="5588"/>
      <w:r w:rsidRPr="008B264B">
        <w:rPr>
          <w:rFonts w:ascii="Times New Roman" w:eastAsia="Times New Roman" w:hAnsi="Times New Roman" w:cs="Times New Roman"/>
          <w:i/>
          <w:iCs/>
          <w:color w:val="000000"/>
          <w:sz w:val="24"/>
          <w:szCs w:val="24"/>
          <w:lang/>
        </w:rPr>
        <w:t>{Пункт 195.2 статті 195 із змінами, внесеними згідно із Законом </w:t>
      </w:r>
      <w:hyperlink r:id="rId3041" w:anchor="n2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46080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89" w:name="n4678"/>
      <w:bookmarkEnd w:id="5589"/>
      <w:r w:rsidRPr="008B264B">
        <w:rPr>
          <w:rFonts w:ascii="Times New Roman" w:eastAsia="Times New Roman" w:hAnsi="Times New Roman" w:cs="Times New Roman"/>
          <w:b/>
          <w:bCs/>
          <w:color w:val="000000"/>
          <w:sz w:val="24"/>
          <w:szCs w:val="24"/>
          <w:lang/>
        </w:rPr>
        <w:t>Стаття 196.</w:t>
      </w:r>
      <w:r w:rsidRPr="008B264B">
        <w:rPr>
          <w:rFonts w:ascii="Times New Roman" w:eastAsia="Times New Roman" w:hAnsi="Times New Roman" w:cs="Times New Roman"/>
          <w:color w:val="000000"/>
          <w:sz w:val="24"/>
          <w:szCs w:val="24"/>
          <w:lang/>
        </w:rPr>
        <w:t> Операції, що не є об'єктом оподаткування</w:t>
      </w:r>
    </w:p>
    <w:p w14:paraId="752537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0" w:name="n4679"/>
      <w:bookmarkEnd w:id="5590"/>
      <w:r w:rsidRPr="008B264B">
        <w:rPr>
          <w:rFonts w:ascii="Times New Roman" w:eastAsia="Times New Roman" w:hAnsi="Times New Roman" w:cs="Times New Roman"/>
          <w:color w:val="000000"/>
          <w:sz w:val="24"/>
          <w:szCs w:val="24"/>
          <w:lang/>
        </w:rPr>
        <w:t>196.1. Не є об'єктом оподаткування операції з:</w:t>
      </w:r>
    </w:p>
    <w:p w14:paraId="2FDE36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1" w:name="n4680"/>
      <w:bookmarkEnd w:id="5591"/>
      <w:r w:rsidRPr="008B264B">
        <w:rPr>
          <w:rFonts w:ascii="Times New Roman" w:eastAsia="Times New Roman" w:hAnsi="Times New Roman" w:cs="Times New Roman"/>
          <w:color w:val="000000"/>
          <w:sz w:val="24"/>
          <w:szCs w:val="24"/>
          <w:lang/>
        </w:rPr>
        <w:t>196.1.1. випуску (емісії), розміщення у будь-які форми управління та продажу (погашення, викупу) за кошти цінних паперів, що випущені в обіг (емітовані) суб'єктами підприємницької діяльності, Національним банком України, центральним органом виконавчої влади, що забезпечує формування та реалізує державну фінансову політику, органами місцевого самоврядування відповідно до закону, включаючи інвестиційні та іпотечні сертифікати, сертифікати фонду операцій з нерухомістю, деривативи, а також корпоративні права, виражені в інших, ніж цінні папери, формах; обміну зазначених цінних паперів та корпоративних прав, виражених в інших, ніж цінні папери, формах, на інші цінні папери, корпоративні права, виражені в інших, ніж цінні папери, формах; розрахунково-клірингової, реєстраторської та депозитарної діяльності на ринку цінних паперів, а також діяльності з управління активами (у тому числі пенсійними активами, фондами банківського управління), відповідно до закону та інших видів професійної діяльності на фондовому ринку, які підлягають ліцензуванню відповідно до закону.</w:t>
      </w:r>
    </w:p>
    <w:p w14:paraId="7AE9B5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2" w:name="n4681"/>
      <w:bookmarkEnd w:id="5592"/>
      <w:r w:rsidRPr="008B264B">
        <w:rPr>
          <w:rFonts w:ascii="Times New Roman" w:eastAsia="Times New Roman" w:hAnsi="Times New Roman" w:cs="Times New Roman"/>
          <w:i/>
          <w:iCs/>
          <w:color w:val="000000"/>
          <w:sz w:val="24"/>
          <w:szCs w:val="24"/>
          <w:lang/>
        </w:rPr>
        <w:t>{Абзац перший підпункту 196.1.1 пункту 196.1 статті 196 із змінами, внесеними згідно із Законами </w:t>
      </w:r>
      <w:hyperlink r:id="rId304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043" w:anchor="n27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044" w:anchor="n19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045" w:anchor="n108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EBD8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3" w:name="n4682"/>
      <w:bookmarkEnd w:id="5593"/>
      <w:r w:rsidRPr="008B264B">
        <w:rPr>
          <w:rFonts w:ascii="Times New Roman" w:eastAsia="Times New Roman" w:hAnsi="Times New Roman" w:cs="Times New Roman"/>
          <w:color w:val="000000"/>
          <w:sz w:val="24"/>
          <w:szCs w:val="24"/>
          <w:lang/>
        </w:rPr>
        <w:t>Норми цього підпункту не застосовуються до операцій з продажу бланків дорожніх, банківських та іменних чеків, цінних паперів, розрахункових та платіжних документів, пластикових (розрахункових) карток, а також ювілейних і пам'ятних монет, які реалізуються для нумізматичних цілей та інших товарів/послуг, за які стягується окрема плата у вигляді фіксованої суми або відсотка;</w:t>
      </w:r>
    </w:p>
    <w:p w14:paraId="5CDED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4" w:name="n4683"/>
      <w:bookmarkEnd w:id="5594"/>
      <w:r w:rsidRPr="008B264B">
        <w:rPr>
          <w:rFonts w:ascii="Times New Roman" w:eastAsia="Times New Roman" w:hAnsi="Times New Roman" w:cs="Times New Roman"/>
          <w:color w:val="000000"/>
          <w:sz w:val="24"/>
          <w:szCs w:val="24"/>
          <w:lang/>
        </w:rPr>
        <w:t>196.1.2. передачі майна у схов (відповідальне зберігання), у концесію, а також у лізинг (оренду), крім передачі у фінансовий лізинг;</w:t>
      </w:r>
    </w:p>
    <w:p w14:paraId="6B0D15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5" w:name="n4684"/>
      <w:bookmarkEnd w:id="5595"/>
      <w:r w:rsidRPr="008B264B">
        <w:rPr>
          <w:rFonts w:ascii="Times New Roman" w:eastAsia="Times New Roman" w:hAnsi="Times New Roman" w:cs="Times New Roman"/>
          <w:i/>
          <w:iCs/>
          <w:color w:val="000000"/>
          <w:sz w:val="24"/>
          <w:szCs w:val="24"/>
          <w:lang/>
        </w:rPr>
        <w:t>{Абзац перший підпункту 196.1.2 пункту 196.1 статті 196 в редакції Закону </w:t>
      </w:r>
      <w:hyperlink r:id="rId304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00E20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6" w:name="n4685"/>
      <w:bookmarkEnd w:id="5596"/>
      <w:r w:rsidRPr="008B264B">
        <w:rPr>
          <w:rFonts w:ascii="Times New Roman" w:eastAsia="Times New Roman" w:hAnsi="Times New Roman" w:cs="Times New Roman"/>
          <w:color w:val="000000"/>
          <w:sz w:val="24"/>
          <w:szCs w:val="24"/>
          <w:lang/>
        </w:rPr>
        <w:lastRenderedPageBreak/>
        <w:t>повернення майна із схову (відповідального зберігання) його власнику, а також майна, попередньо переданого в концесію або лізинг (оренду) концесієдавцю або лізингодавцю (орендодавцю), крім переданого у фінансовий лізинг;</w:t>
      </w:r>
    </w:p>
    <w:p w14:paraId="6900AE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7" w:name="n4686"/>
      <w:bookmarkEnd w:id="5597"/>
      <w:r w:rsidRPr="008B264B">
        <w:rPr>
          <w:rFonts w:ascii="Times New Roman" w:eastAsia="Times New Roman" w:hAnsi="Times New Roman" w:cs="Times New Roman"/>
          <w:i/>
          <w:iCs/>
          <w:color w:val="000000"/>
          <w:sz w:val="24"/>
          <w:szCs w:val="24"/>
          <w:lang/>
        </w:rPr>
        <w:t>{Абзац другий підпункту 196.1.2 пункту 196.1 статті 196 в редакції Закону </w:t>
      </w:r>
      <w:hyperlink r:id="rId304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A4591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8" w:name="n4687"/>
      <w:bookmarkEnd w:id="5598"/>
      <w:r w:rsidRPr="008B264B">
        <w:rPr>
          <w:rFonts w:ascii="Times New Roman" w:eastAsia="Times New Roman" w:hAnsi="Times New Roman" w:cs="Times New Roman"/>
          <w:color w:val="000000"/>
          <w:sz w:val="24"/>
          <w:szCs w:val="24"/>
          <w:lang/>
        </w:rPr>
        <w:t>нарахування та сплати процентів або комісій у складі орендного (лізингового) платежу у межах договору фінансового лізингу;</w:t>
      </w:r>
    </w:p>
    <w:p w14:paraId="39F53F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599" w:name="n4688"/>
      <w:bookmarkEnd w:id="5599"/>
      <w:r w:rsidRPr="008B264B">
        <w:rPr>
          <w:rFonts w:ascii="Times New Roman" w:eastAsia="Times New Roman" w:hAnsi="Times New Roman" w:cs="Times New Roman"/>
          <w:i/>
          <w:iCs/>
          <w:color w:val="000000"/>
          <w:sz w:val="24"/>
          <w:szCs w:val="24"/>
          <w:lang/>
        </w:rPr>
        <w:t>{Абзац третій підпункту 196.1.2 пункту 196.1 статті 196 із змінами, внесеними згідно із Законом </w:t>
      </w:r>
      <w:hyperlink r:id="rId30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0A244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0" w:name="n4689"/>
      <w:bookmarkEnd w:id="5600"/>
      <w:r w:rsidRPr="008B264B">
        <w:rPr>
          <w:rFonts w:ascii="Times New Roman" w:eastAsia="Times New Roman" w:hAnsi="Times New Roman" w:cs="Times New Roman"/>
          <w:color w:val="000000"/>
          <w:sz w:val="24"/>
          <w:szCs w:val="24"/>
          <w:lang/>
        </w:rPr>
        <w:t>передачі майна в заставу (іпотеку) позикодавцю (кредитору) та/або в забезпечення іншої дійсної вимоги кредитора, повернення такого майна із застави (іпотеки) його власнику після закінчення дії відповідного договору, якщо місце такої передачі (повернення) знаходиться на митній території України;</w:t>
      </w:r>
    </w:p>
    <w:p w14:paraId="3C2642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1" w:name="n4690"/>
      <w:bookmarkEnd w:id="5601"/>
      <w:r w:rsidRPr="008B264B">
        <w:rPr>
          <w:rFonts w:ascii="Times New Roman" w:eastAsia="Times New Roman" w:hAnsi="Times New Roman" w:cs="Times New Roman"/>
          <w:color w:val="000000"/>
          <w:sz w:val="24"/>
          <w:szCs w:val="24"/>
          <w:lang/>
        </w:rPr>
        <w:t>грошових виплат основної суми консолідованого іпотечного боргу та процентів, нарахованих на неї, об'єднання та/або купівлі (продажу) консолідованого іпотечного боргу, заміною однієї частки консолідованого іпотечного боргу на іншу, або поверненням (зворотним викупом) такого консолідованого іпотечного боргу відповідно до закону резидентом або на його користь;</w:t>
      </w:r>
    </w:p>
    <w:p w14:paraId="22E1C0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2" w:name="n4691"/>
      <w:bookmarkEnd w:id="5602"/>
      <w:r w:rsidRPr="008B264B">
        <w:rPr>
          <w:rFonts w:ascii="Times New Roman" w:eastAsia="Times New Roman" w:hAnsi="Times New Roman" w:cs="Times New Roman"/>
          <w:color w:val="000000"/>
          <w:sz w:val="24"/>
          <w:szCs w:val="24"/>
          <w:lang/>
        </w:rPr>
        <w:t>196.1.3. надання послуг із страхування, співстрахування або перестрахування особами, які мають ліцензію на здійснення страхової діяльності відповідно до закону, а також пов'язаних з такою діяльністю послуг страхових (перестрахових) брокерів та страхових агентів;</w:t>
      </w:r>
    </w:p>
    <w:p w14:paraId="499A69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3" w:name="n4692"/>
      <w:bookmarkEnd w:id="5603"/>
      <w:r w:rsidRPr="008B264B">
        <w:rPr>
          <w:rFonts w:ascii="Times New Roman" w:eastAsia="Times New Roman" w:hAnsi="Times New Roman" w:cs="Times New Roman"/>
          <w:color w:val="000000"/>
          <w:sz w:val="24"/>
          <w:szCs w:val="24"/>
          <w:lang/>
        </w:rPr>
        <w:t>надання послуг із загальнообов'язкового державного соціального страхування (у тому числі пенсійного страхування), недержавного пенсійного забезпечення, залучення та обслуговування пенсійних вкладів та рахунків учасників фондів банківського управління, адміністрування недержавних пенсійних фондів;</w:t>
      </w:r>
    </w:p>
    <w:p w14:paraId="43D295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4" w:name="n4693"/>
      <w:bookmarkEnd w:id="5604"/>
      <w:r w:rsidRPr="008B264B">
        <w:rPr>
          <w:rFonts w:ascii="Times New Roman" w:eastAsia="Times New Roman" w:hAnsi="Times New Roman" w:cs="Times New Roman"/>
          <w:color w:val="000000"/>
          <w:sz w:val="24"/>
          <w:szCs w:val="24"/>
          <w:lang/>
        </w:rPr>
        <w:t>196.1.4. обігу банківських металів, інших валютних цінностей (крім банкнот і монет, що використовуються для нумізматичних цілей, а також іноземних монет з дорогоцінних металів, базою оподаткування яких є продажна вартість); випуску, обігу та погашення лотерейних білетів, інших документів, що засвідчують право участі в лотереях; придбання фішок, жетонів, внесення в інший спосіб плати за право участі в азартній грі, виплата (передача) виграшу суб’єктом господарювання, який проводить азартні ігри; внесення ставки з метою укладення парі та виплата виграшу суб’єктом господарювання, який проводить парі (букмекерське парі, парі тоталізатора); виплати грошових виграшів (призів) і грошових винагород; постачання негашених поштових марок України, конвертів або листівок з негашеними поштовими марками України, крім колекційних марок, конвертів чи листівок для філателістичних потреб, базою оподаткування яких є продажна вартість;</w:t>
      </w:r>
    </w:p>
    <w:p w14:paraId="00C258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5" w:name="n4694"/>
      <w:bookmarkEnd w:id="5605"/>
      <w:r w:rsidRPr="008B264B">
        <w:rPr>
          <w:rFonts w:ascii="Times New Roman" w:eastAsia="Times New Roman" w:hAnsi="Times New Roman" w:cs="Times New Roman"/>
          <w:i/>
          <w:iCs/>
          <w:color w:val="000000"/>
          <w:sz w:val="24"/>
          <w:szCs w:val="24"/>
          <w:lang/>
        </w:rPr>
        <w:t>{Підпункт 196.1.4 пункту 196.1 статті 196 із змінами, внесеними згідно із Законом </w:t>
      </w:r>
      <w:hyperlink r:id="rId3049"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 в редакції Закону </w:t>
      </w:r>
      <w:hyperlink r:id="rId3050" w:anchor="n6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D8E6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6" w:name="n4695"/>
      <w:bookmarkEnd w:id="5606"/>
      <w:r w:rsidRPr="008B264B">
        <w:rPr>
          <w:rFonts w:ascii="Times New Roman" w:eastAsia="Times New Roman" w:hAnsi="Times New Roman" w:cs="Times New Roman"/>
          <w:color w:val="000000"/>
          <w:sz w:val="24"/>
          <w:szCs w:val="24"/>
          <w:lang/>
        </w:rPr>
        <w:t>196.1.5. надання послуг платіжних організацій платіжних систем, пов'язаних з переказом коштів, з інкасації, розрахунково-касового обслуговування, залучення, розміщення та повернення коштів за договорами позики, депозиту, вкладу (у тому числі пенсійного), управління коштами та цінними паперами (корпоративними правами та деривативами), доручення, надання, управління і відступлення прав вимоги за фінансовими кредитами фінансових установ, кредитних гарантій і банківських поручительств особою, що надала такі кредити, гарантії або поручительства. Перелік послуг з розрахунково-касового обслуговування визначається Національним банком України за погодженням з центральним органом виконавчої влади, що забезпечує формування та реалізує державну фінансову політику;</w:t>
      </w:r>
    </w:p>
    <w:p w14:paraId="2E1AA3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7" w:name="n4696"/>
      <w:bookmarkEnd w:id="5607"/>
      <w:r w:rsidRPr="008B264B">
        <w:rPr>
          <w:rFonts w:ascii="Times New Roman" w:eastAsia="Times New Roman" w:hAnsi="Times New Roman" w:cs="Times New Roman"/>
          <w:i/>
          <w:iCs/>
          <w:color w:val="000000"/>
          <w:sz w:val="24"/>
          <w:szCs w:val="24"/>
          <w:lang/>
        </w:rPr>
        <w:lastRenderedPageBreak/>
        <w:t>{Абзац перший підпункту 196.1.5 пункту 196.1 статті 196 із змінами, внесеними згідно із Законами </w:t>
      </w:r>
      <w:hyperlink r:id="rId305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052" w:anchor="n19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053"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w:t>
      </w:r>
      <w:hyperlink r:id="rId305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0171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8" w:name="n4697"/>
      <w:bookmarkEnd w:id="5608"/>
      <w:r w:rsidRPr="008B264B">
        <w:rPr>
          <w:rFonts w:ascii="Times New Roman" w:eastAsia="Times New Roman" w:hAnsi="Times New Roman" w:cs="Times New Roman"/>
          <w:color w:val="000000"/>
          <w:sz w:val="24"/>
          <w:szCs w:val="24"/>
          <w:lang/>
        </w:rPr>
        <w:t>відступлення права вимоги, переведення боргу, торгівлі за грошові кошти або цінні папери борговими зобов’язаннями (вимогами), за винятком операцій з інкасації боргових вимог та факторингу (факторингових) операцій, крім факторингових операцій, якщо об'єктом боргу є валютні цінності, цінні папери, у тому числі компенсаційні папери (сертифікати), інвестиційні сертифікати, іпотечні сертифікати з фіксованою дохідністю, операції з відступлення права вимоги за забезпеченими іпотекою кредитами (позиками), житлові чеки, земельні бони та деривативи;</w:t>
      </w:r>
    </w:p>
    <w:p w14:paraId="056D13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09" w:name="n14190"/>
      <w:bookmarkEnd w:id="5609"/>
      <w:r w:rsidRPr="008B264B">
        <w:rPr>
          <w:rFonts w:ascii="Times New Roman" w:eastAsia="Times New Roman" w:hAnsi="Times New Roman" w:cs="Times New Roman"/>
          <w:i/>
          <w:iCs/>
          <w:color w:val="000000"/>
          <w:sz w:val="24"/>
          <w:szCs w:val="24"/>
          <w:lang/>
        </w:rPr>
        <w:t>{Абзац другий підпункту 196.1.5 пункту 196.1 статті 196 із змінами, внесеними згідно із Законом </w:t>
      </w:r>
      <w:hyperlink r:id="rId3055" w:anchor="n10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4A304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0" w:name="n14192"/>
      <w:bookmarkEnd w:id="5610"/>
      <w:r w:rsidRPr="008B264B">
        <w:rPr>
          <w:rFonts w:ascii="Times New Roman" w:eastAsia="Times New Roman" w:hAnsi="Times New Roman" w:cs="Times New Roman"/>
          <w:color w:val="000000"/>
          <w:sz w:val="24"/>
          <w:szCs w:val="24"/>
          <w:lang/>
        </w:rPr>
        <w:t>переходу права власності на об’єкт фінансового лізингу до лізингодавця (нового кредитора) від лізингодавця (первинного кредитора) із збереженням прав та обов’язків сторін за договором фінансового лізингу в разі, коли лізингодавцем (первинним кредитором) під час передачі лізингоодержувачу такого об’єкта фінансового лізингу нараховані та відображені у податковій звітності за відповідний звітний (податковий) період податкові зобов’язання з податку;</w:t>
      </w:r>
    </w:p>
    <w:p w14:paraId="3CFD11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1" w:name="n14191"/>
      <w:bookmarkEnd w:id="5611"/>
      <w:r w:rsidRPr="008B264B">
        <w:rPr>
          <w:rFonts w:ascii="Times New Roman" w:eastAsia="Times New Roman" w:hAnsi="Times New Roman" w:cs="Times New Roman"/>
          <w:i/>
          <w:iCs/>
          <w:color w:val="000000"/>
          <w:sz w:val="24"/>
          <w:szCs w:val="24"/>
          <w:lang/>
        </w:rPr>
        <w:t>{Підпункт 196.1.5 пункту 196.1 статті 196 доповнено абзацом третім згідно із Законом </w:t>
      </w:r>
      <w:hyperlink r:id="rId3056" w:anchor="n108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39B2F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2" w:name="n4698"/>
      <w:bookmarkEnd w:id="5612"/>
      <w:r w:rsidRPr="008B264B">
        <w:rPr>
          <w:rFonts w:ascii="Times New Roman" w:eastAsia="Times New Roman" w:hAnsi="Times New Roman" w:cs="Times New Roman"/>
          <w:color w:val="000000"/>
          <w:sz w:val="24"/>
          <w:szCs w:val="24"/>
          <w:lang/>
        </w:rPr>
        <w:t>196.1.6. виплат у грошовій формі заробітної плати (інших прирівняних до неї виплат), а також пенсій, стипендій, субсидій, дотацій за рахунок бюджетів або Пенсійного фонду України чи інших фондів загальнообов'язкового соціального страхування (крім тих, що надаються у майновій формі);</w:t>
      </w:r>
    </w:p>
    <w:p w14:paraId="03726B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3" w:name="n4699"/>
      <w:bookmarkEnd w:id="5613"/>
      <w:r w:rsidRPr="008B264B">
        <w:rPr>
          <w:rFonts w:ascii="Times New Roman" w:eastAsia="Times New Roman" w:hAnsi="Times New Roman" w:cs="Times New Roman"/>
          <w:color w:val="000000"/>
          <w:sz w:val="24"/>
          <w:szCs w:val="24"/>
          <w:lang/>
        </w:rPr>
        <w:t>виплат дивідендів, роялті у грошовій формі або у вигляді цінних паперів, які здійснюються емітентом;</w:t>
      </w:r>
    </w:p>
    <w:p w14:paraId="5795AE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4" w:name="n4700"/>
      <w:bookmarkEnd w:id="5614"/>
      <w:r w:rsidRPr="008B264B">
        <w:rPr>
          <w:rFonts w:ascii="Times New Roman" w:eastAsia="Times New Roman" w:hAnsi="Times New Roman" w:cs="Times New Roman"/>
          <w:color w:val="000000"/>
          <w:sz w:val="24"/>
          <w:szCs w:val="24"/>
          <w:lang/>
        </w:rPr>
        <w:t>надання комісійних (брокерських, дилерських) послуг із торгівлі та/або управління цінними паперами (корпоративними правами), деривативами та валютними цінностями, включаючи будь-які грошові виплати (у тому числі комісійні) фондовим або валютним біржам чи позабіржовим фондовим системам або їх членам у зв'язку з організацією та торгівлею цінними паперами ліцензованими торговцями цінними паперами, а також деривативами та валютними цінностями;</w:t>
      </w:r>
    </w:p>
    <w:p w14:paraId="24595A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5" w:name="n4701"/>
      <w:bookmarkEnd w:id="5615"/>
      <w:r w:rsidRPr="008B264B">
        <w:rPr>
          <w:rFonts w:ascii="Times New Roman" w:eastAsia="Times New Roman" w:hAnsi="Times New Roman" w:cs="Times New Roman"/>
          <w:color w:val="000000"/>
          <w:sz w:val="24"/>
          <w:szCs w:val="24"/>
          <w:lang/>
        </w:rPr>
        <w:t>196.1.7. реорганізації (злиття, приєднання, поділу, виділення та перетворення) юридичних осіб.</w:t>
      </w:r>
    </w:p>
    <w:p w14:paraId="12F50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6" w:name="n4702"/>
      <w:bookmarkEnd w:id="5616"/>
      <w:r w:rsidRPr="008B264B">
        <w:rPr>
          <w:rFonts w:ascii="Times New Roman" w:eastAsia="Times New Roman" w:hAnsi="Times New Roman" w:cs="Times New Roman"/>
          <w:color w:val="000000"/>
          <w:sz w:val="24"/>
          <w:szCs w:val="24"/>
          <w:lang/>
        </w:rPr>
        <w:t>При здійсненні спільної (сумісної діяльності) передача товарів (робіт, послуг) на окремий баланс платника податку, уповноваженого договором вести облік результатів такої спільної діяльності, вважається постачанням таких товарів (робіт, послуг);</w:t>
      </w:r>
    </w:p>
    <w:p w14:paraId="5E56CD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7" w:name="n4703"/>
      <w:bookmarkEnd w:id="5617"/>
      <w:r w:rsidRPr="008B264B">
        <w:rPr>
          <w:rFonts w:ascii="Times New Roman" w:eastAsia="Times New Roman" w:hAnsi="Times New Roman" w:cs="Times New Roman"/>
          <w:color w:val="000000"/>
          <w:sz w:val="24"/>
          <w:szCs w:val="24"/>
          <w:lang/>
        </w:rPr>
        <w:t>196.1.8. постачання позашкільним навчальним закладом вихованцям, учням і слухачам платних послуг у сфері позашкільної освіти;</w:t>
      </w:r>
    </w:p>
    <w:p w14:paraId="43097F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8" w:name="n4704"/>
      <w:bookmarkEnd w:id="5618"/>
      <w:r w:rsidRPr="008B264B">
        <w:rPr>
          <w:rFonts w:ascii="Times New Roman" w:eastAsia="Times New Roman" w:hAnsi="Times New Roman" w:cs="Times New Roman"/>
          <w:color w:val="000000"/>
          <w:sz w:val="24"/>
          <w:szCs w:val="24"/>
          <w:lang/>
        </w:rPr>
        <w:t>196.1.9. надання банками (фінансовими установами) послуг у межах управління фондами банківського управління, фондами операцій з нерухомістю, фондами фінансування будівництва (в тому числі за перерахування коштів на фінансування будівництва із фонду фінансування будівництва), за здійснення платежів за іпотечними сертифікатами відповідно до законодавства;</w:t>
      </w:r>
    </w:p>
    <w:p w14:paraId="5E710B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19" w:name="n4705"/>
      <w:bookmarkEnd w:id="5619"/>
      <w:r w:rsidRPr="008B264B">
        <w:rPr>
          <w:rFonts w:ascii="Times New Roman" w:eastAsia="Times New Roman" w:hAnsi="Times New Roman" w:cs="Times New Roman"/>
          <w:color w:val="000000"/>
          <w:sz w:val="24"/>
          <w:szCs w:val="24"/>
          <w:lang/>
        </w:rPr>
        <w:t>196.1.10. оплати третейського збору та відшкодування інших витрат, пов'язаних з вирішенням спору третейським судом відповідно до закону;</w:t>
      </w:r>
    </w:p>
    <w:p w14:paraId="31CEC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0" w:name="n4706"/>
      <w:bookmarkEnd w:id="5620"/>
      <w:r w:rsidRPr="008B264B">
        <w:rPr>
          <w:rFonts w:ascii="Times New Roman" w:eastAsia="Times New Roman" w:hAnsi="Times New Roman" w:cs="Times New Roman"/>
          <w:color w:val="000000"/>
          <w:sz w:val="24"/>
          <w:szCs w:val="24"/>
          <w:lang/>
        </w:rPr>
        <w:t>196.1.11. надання послуг з агентування і фрахтування морського торговельного флоту судновими агентами на користь нерезидентів, які надають послуги з міжнародних перевезень пасажирів, їхнього багажу, вантажів чи міжнародних відправлень;</w:t>
      </w:r>
    </w:p>
    <w:p w14:paraId="652857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1" w:name="n4707"/>
      <w:bookmarkEnd w:id="5621"/>
      <w:r w:rsidRPr="008B264B">
        <w:rPr>
          <w:rFonts w:ascii="Times New Roman" w:eastAsia="Times New Roman" w:hAnsi="Times New Roman" w:cs="Times New Roman"/>
          <w:i/>
          <w:iCs/>
          <w:color w:val="000000"/>
          <w:sz w:val="24"/>
          <w:szCs w:val="24"/>
          <w:lang/>
        </w:rPr>
        <w:lastRenderedPageBreak/>
        <w:t>{Підпункт 196.1.12 пункту 196.1 статті 196 виключено на підставі Закону </w:t>
      </w:r>
      <w:hyperlink r:id="rId3057" w:anchor="n7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57B40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2" w:name="n4708"/>
      <w:bookmarkEnd w:id="5622"/>
      <w:r w:rsidRPr="008B264B">
        <w:rPr>
          <w:rFonts w:ascii="Times New Roman" w:eastAsia="Times New Roman" w:hAnsi="Times New Roman" w:cs="Times New Roman"/>
          <w:i/>
          <w:iCs/>
          <w:color w:val="000000"/>
          <w:sz w:val="24"/>
          <w:szCs w:val="24"/>
          <w:lang/>
        </w:rPr>
        <w:t>{Підпункт 196.1.13 пункту 196.1 статті 196 виключено на підставі Закону </w:t>
      </w:r>
      <w:hyperlink r:id="rId3058" w:anchor="n7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0C74F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3" w:name="n4709"/>
      <w:bookmarkEnd w:id="5623"/>
      <w:r w:rsidRPr="008B264B">
        <w:rPr>
          <w:rFonts w:ascii="Times New Roman" w:eastAsia="Times New Roman" w:hAnsi="Times New Roman" w:cs="Times New Roman"/>
          <w:i/>
          <w:iCs/>
          <w:color w:val="000000"/>
          <w:sz w:val="24"/>
          <w:szCs w:val="24"/>
          <w:lang/>
        </w:rPr>
        <w:t>{Підпункт 196.1.14 пункту 196.1 статті 196 виключено на підставі Закону </w:t>
      </w:r>
      <w:hyperlink r:id="rId3059" w:tgtFrame="_blank" w:history="1">
        <w:r w:rsidRPr="008B264B">
          <w:rPr>
            <w:rFonts w:ascii="Times New Roman" w:eastAsia="Times New Roman" w:hAnsi="Times New Roman" w:cs="Times New Roman"/>
            <w:i/>
            <w:iCs/>
            <w:color w:val="0000FF"/>
            <w:sz w:val="24"/>
            <w:szCs w:val="24"/>
            <w:u w:val="single"/>
            <w:lang/>
          </w:rPr>
          <w:t>№ 3387-VI від 19.05.2011</w:t>
        </w:r>
      </w:hyperlink>
      <w:r w:rsidRPr="008B264B">
        <w:rPr>
          <w:rFonts w:ascii="Times New Roman" w:eastAsia="Times New Roman" w:hAnsi="Times New Roman" w:cs="Times New Roman"/>
          <w:i/>
          <w:iCs/>
          <w:color w:val="000000"/>
          <w:sz w:val="24"/>
          <w:szCs w:val="24"/>
          <w:lang/>
        </w:rPr>
        <w:t>}</w:t>
      </w:r>
    </w:p>
    <w:p w14:paraId="693749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4" w:name="n4710"/>
      <w:bookmarkEnd w:id="5624"/>
      <w:r w:rsidRPr="008B264B">
        <w:rPr>
          <w:rFonts w:ascii="Times New Roman" w:eastAsia="Times New Roman" w:hAnsi="Times New Roman" w:cs="Times New Roman"/>
          <w:color w:val="000000"/>
          <w:sz w:val="24"/>
          <w:szCs w:val="24"/>
          <w:lang/>
        </w:rPr>
        <w:t>196.1.15. оплати орендної плати чи концесійного платежу за договорами відповідно оренди чи концесії цілісного майнового комплексу державного чи комунального підприємства (його структурного підрозділу), якщо орендодавцями чи концесієдавцями за договорами виступають органи державної влади чи органи місцевого самоврядування, а платежі відповідно до закону зараховуються до Державного бюджету України або місцевого бюджету.</w:t>
      </w:r>
    </w:p>
    <w:p w14:paraId="0917F0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5" w:name="n4711"/>
      <w:bookmarkEnd w:id="5625"/>
      <w:r w:rsidRPr="008B264B">
        <w:rPr>
          <w:rFonts w:ascii="Times New Roman" w:eastAsia="Times New Roman" w:hAnsi="Times New Roman" w:cs="Times New Roman"/>
          <w:i/>
          <w:iCs/>
          <w:color w:val="000000"/>
          <w:sz w:val="24"/>
          <w:szCs w:val="24"/>
          <w:lang/>
        </w:rPr>
        <w:t>{Пункт 196.1 статті 196 доповнено підпунктом 196.1.15 згідно із Законом </w:t>
      </w:r>
      <w:hyperlink r:id="rId3060" w:tgtFrame="_blank" w:history="1">
        <w:r w:rsidRPr="008B264B">
          <w:rPr>
            <w:rFonts w:ascii="Times New Roman" w:eastAsia="Times New Roman" w:hAnsi="Times New Roman" w:cs="Times New Roman"/>
            <w:i/>
            <w:iCs/>
            <w:color w:val="0000FF"/>
            <w:sz w:val="24"/>
            <w:szCs w:val="24"/>
            <w:u w:val="single"/>
            <w:lang/>
          </w:rPr>
          <w:t>№ 4057-VI від 17.11.2011</w:t>
        </w:r>
      </w:hyperlink>
      <w:r w:rsidRPr="008B264B">
        <w:rPr>
          <w:rFonts w:ascii="Times New Roman" w:eastAsia="Times New Roman" w:hAnsi="Times New Roman" w:cs="Times New Roman"/>
          <w:i/>
          <w:iCs/>
          <w:color w:val="000000"/>
          <w:sz w:val="24"/>
          <w:szCs w:val="24"/>
          <w:lang/>
        </w:rPr>
        <w:t>}</w:t>
      </w:r>
    </w:p>
    <w:p w14:paraId="767BF2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6" w:name="n4712"/>
      <w:bookmarkEnd w:id="5626"/>
      <w:r w:rsidRPr="008B264B">
        <w:rPr>
          <w:rFonts w:ascii="Times New Roman" w:eastAsia="Times New Roman" w:hAnsi="Times New Roman" w:cs="Times New Roman"/>
          <w:color w:val="000000"/>
          <w:sz w:val="24"/>
          <w:szCs w:val="24"/>
          <w:lang/>
        </w:rPr>
        <w:t>196.1.16. ввезення на митну територію України, вивезення за межі митної території України незалежно від обраного митного режиму товарів, митна вартість яких не перевищує еквівалент 150 євро;</w:t>
      </w:r>
    </w:p>
    <w:p w14:paraId="0C1049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7" w:name="n4713"/>
      <w:bookmarkEnd w:id="5627"/>
      <w:r w:rsidRPr="008B264B">
        <w:rPr>
          <w:rFonts w:ascii="Times New Roman" w:eastAsia="Times New Roman" w:hAnsi="Times New Roman" w:cs="Times New Roman"/>
          <w:i/>
          <w:iCs/>
          <w:color w:val="000000"/>
          <w:sz w:val="24"/>
          <w:szCs w:val="24"/>
          <w:lang/>
        </w:rPr>
        <w:t>{Пункт 196.1 статті 196 доповнено підпунктом 196.1.16 згідно із Законом </w:t>
      </w:r>
      <w:hyperlink r:id="rId3061" w:anchor="n7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062" w:anchor="n66"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67DC5C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8" w:name="n4714"/>
      <w:bookmarkEnd w:id="5628"/>
      <w:r w:rsidRPr="008B264B">
        <w:rPr>
          <w:rFonts w:ascii="Times New Roman" w:eastAsia="Times New Roman" w:hAnsi="Times New Roman" w:cs="Times New Roman"/>
          <w:color w:val="000000"/>
          <w:sz w:val="24"/>
          <w:szCs w:val="24"/>
          <w:lang/>
        </w:rPr>
        <w:t>196.1.17. ввезення на митну територію України товарів, сумарна фактурна вартість яких не перевищує еквівалент 150 євро, у несупроводжуваному багажі;</w:t>
      </w:r>
    </w:p>
    <w:p w14:paraId="0BDBCF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29" w:name="n4715"/>
      <w:bookmarkEnd w:id="5629"/>
      <w:r w:rsidRPr="008B264B">
        <w:rPr>
          <w:rFonts w:ascii="Times New Roman" w:eastAsia="Times New Roman" w:hAnsi="Times New Roman" w:cs="Times New Roman"/>
          <w:color w:val="000000"/>
          <w:sz w:val="24"/>
          <w:szCs w:val="24"/>
          <w:lang/>
        </w:rPr>
        <w:t>ввезення на митну територію України товарів, сумарна митна вартість яких не перевищує еквівалент 150 євро, на адресу одного одержувача - юридичної особи або фізичної особи - підприємця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w:t>
      </w:r>
    </w:p>
    <w:p w14:paraId="0ABC26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0" w:name="n4716"/>
      <w:bookmarkEnd w:id="5630"/>
      <w:r w:rsidRPr="008B264B">
        <w:rPr>
          <w:rFonts w:ascii="Times New Roman" w:eastAsia="Times New Roman" w:hAnsi="Times New Roman" w:cs="Times New Roman"/>
          <w:color w:val="000000"/>
          <w:sz w:val="24"/>
          <w:szCs w:val="24"/>
          <w:lang/>
        </w:rPr>
        <w:t>ввезення на митну територію України товарів, сумарна фактурна вартість яких не перевищує еквівалент 100 євро, для одного одержувача - фізичної особи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w:t>
      </w:r>
    </w:p>
    <w:p w14:paraId="6F1BDF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1" w:name="n4718"/>
      <w:bookmarkEnd w:id="5631"/>
      <w:r w:rsidRPr="008B264B">
        <w:rPr>
          <w:rFonts w:ascii="Times New Roman" w:eastAsia="Times New Roman" w:hAnsi="Times New Roman" w:cs="Times New Roman"/>
          <w:i/>
          <w:iCs/>
          <w:color w:val="000000"/>
          <w:sz w:val="24"/>
          <w:szCs w:val="24"/>
          <w:lang/>
        </w:rPr>
        <w:t>{Пункт 196.1 статті 196 доповнено підпунктом 196.1.17 згідно із Законом </w:t>
      </w:r>
      <w:hyperlink r:id="rId3063" w:anchor="n7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064" w:anchor="n67"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3065" w:anchor="n25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B59DD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2" w:name="n4719"/>
      <w:bookmarkEnd w:id="5632"/>
      <w:r w:rsidRPr="008B264B">
        <w:rPr>
          <w:rFonts w:ascii="Times New Roman" w:eastAsia="Times New Roman" w:hAnsi="Times New Roman" w:cs="Times New Roman"/>
          <w:color w:val="000000"/>
          <w:sz w:val="24"/>
          <w:szCs w:val="24"/>
          <w:lang/>
        </w:rPr>
        <w:t>196.1.18. ввезення на митну територію України фізичними особами у ручній поклажі та/або у супроводжуваному багажі товарів (крім підакцизних товарів та особистих речей), сумарна фактурна вартість яких не перевищує еквівалент 1000 євро, через пункти пропуску через державний кордон України, відкриті для повітряного сполучення;</w:t>
      </w:r>
    </w:p>
    <w:p w14:paraId="61872A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3" w:name="n4720"/>
      <w:bookmarkEnd w:id="5633"/>
      <w:r w:rsidRPr="008B264B">
        <w:rPr>
          <w:rFonts w:ascii="Times New Roman" w:eastAsia="Times New Roman" w:hAnsi="Times New Roman" w:cs="Times New Roman"/>
          <w:color w:val="000000"/>
          <w:sz w:val="24"/>
          <w:szCs w:val="24"/>
          <w:lang/>
        </w:rPr>
        <w:t>ввезення на митну територію України у ручній поклажі та/або у супроводжуваному багажі товарів (крім підакцизних товарів та особистих речей), сумарна фактурна вартість яких не перевищує еквівалент 500 євро та сумарна вага яких не перевищує 50 кг, через інші, ніж відкриті для повітряного сполучення, пункти пропуску через державний кордон України фізичною особою, яка була відсутня в Україні більше ніж 24 години та яка в’їжджає в Україну не частіше одного разу протягом 72 годин;</w:t>
      </w:r>
    </w:p>
    <w:p w14:paraId="1963C2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4" w:name="n14862"/>
      <w:bookmarkEnd w:id="5634"/>
      <w:r w:rsidRPr="008B264B">
        <w:rPr>
          <w:rFonts w:ascii="Times New Roman" w:eastAsia="Times New Roman" w:hAnsi="Times New Roman" w:cs="Times New Roman"/>
          <w:color w:val="000000"/>
          <w:sz w:val="24"/>
          <w:szCs w:val="24"/>
          <w:lang/>
        </w:rPr>
        <w:t xml:space="preserve">ввезення на митну територію України у ручній поклажі та/або у супроводжуваному багажі товарів (крім підакцизних товарів та особистих речей), сумарна фактурна вартість яких не перевищує еквівалент 50 євро та сумарна вага яких не перевищує 50 кг, через інші, ніж відкриті для повітряного сполучення, пункти пропуску через державний кордон України фізичною </w:t>
      </w:r>
      <w:r w:rsidRPr="008B264B">
        <w:rPr>
          <w:rFonts w:ascii="Times New Roman" w:eastAsia="Times New Roman" w:hAnsi="Times New Roman" w:cs="Times New Roman"/>
          <w:color w:val="000000"/>
          <w:sz w:val="24"/>
          <w:szCs w:val="24"/>
          <w:lang/>
        </w:rPr>
        <w:lastRenderedPageBreak/>
        <w:t>особою, яка була відсутня в Україні менше ніж 24 години або яка в’їжджає в Україну частіше одного разу протягом 72 годин;</w:t>
      </w:r>
    </w:p>
    <w:p w14:paraId="2325D9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5" w:name="n4721"/>
      <w:bookmarkEnd w:id="5635"/>
      <w:r w:rsidRPr="008B264B">
        <w:rPr>
          <w:rFonts w:ascii="Times New Roman" w:eastAsia="Times New Roman" w:hAnsi="Times New Roman" w:cs="Times New Roman"/>
          <w:i/>
          <w:iCs/>
          <w:color w:val="000000"/>
          <w:sz w:val="24"/>
          <w:szCs w:val="24"/>
          <w:lang/>
        </w:rPr>
        <w:t>{Пункт 196.1 статті 196 доповнено підпунктом 196.1.18 згідно із Законом </w:t>
      </w:r>
      <w:hyperlink r:id="rId3066" w:anchor="n7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в редакції Закону </w:t>
      </w:r>
      <w:hyperlink r:id="rId3067" w:anchor="n26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E0DA6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6" w:name="n15326"/>
      <w:bookmarkEnd w:id="5636"/>
      <w:r w:rsidRPr="008B264B">
        <w:rPr>
          <w:rFonts w:ascii="Times New Roman" w:eastAsia="Times New Roman" w:hAnsi="Times New Roman" w:cs="Times New Roman"/>
          <w:color w:val="000000"/>
          <w:sz w:val="24"/>
          <w:szCs w:val="24"/>
          <w:lang/>
        </w:rPr>
        <w:t>196.1.19. конверсії радіочастотного ресурсу України.</w:t>
      </w:r>
    </w:p>
    <w:p w14:paraId="6CBE31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7" w:name="n15325"/>
      <w:bookmarkEnd w:id="5637"/>
      <w:r w:rsidRPr="008B264B">
        <w:rPr>
          <w:rFonts w:ascii="Times New Roman" w:eastAsia="Times New Roman" w:hAnsi="Times New Roman" w:cs="Times New Roman"/>
          <w:i/>
          <w:iCs/>
          <w:color w:val="000000"/>
          <w:sz w:val="24"/>
          <w:szCs w:val="24"/>
          <w:lang/>
        </w:rPr>
        <w:t>{Пункт 196.1 статті 196 доповнено підпунктом 196.1.19 згідно із Законом </w:t>
      </w:r>
      <w:hyperlink r:id="rId3068" w:anchor="n25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77FB7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8" w:name="n4722"/>
      <w:bookmarkEnd w:id="5638"/>
      <w:r w:rsidRPr="008B264B">
        <w:rPr>
          <w:rFonts w:ascii="Times New Roman" w:eastAsia="Times New Roman" w:hAnsi="Times New Roman" w:cs="Times New Roman"/>
          <w:b/>
          <w:bCs/>
          <w:color w:val="000000"/>
          <w:sz w:val="24"/>
          <w:szCs w:val="24"/>
          <w:lang/>
        </w:rPr>
        <w:t>Стаття 197.</w:t>
      </w:r>
      <w:r w:rsidRPr="008B264B">
        <w:rPr>
          <w:rFonts w:ascii="Times New Roman" w:eastAsia="Times New Roman" w:hAnsi="Times New Roman" w:cs="Times New Roman"/>
          <w:color w:val="000000"/>
          <w:sz w:val="24"/>
          <w:szCs w:val="24"/>
          <w:lang/>
        </w:rPr>
        <w:t> Операції, звільнені від оподаткування</w:t>
      </w:r>
    </w:p>
    <w:p w14:paraId="59B27C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39" w:name="n4723"/>
      <w:bookmarkEnd w:id="5639"/>
      <w:r w:rsidRPr="008B264B">
        <w:rPr>
          <w:rFonts w:ascii="Times New Roman" w:eastAsia="Times New Roman" w:hAnsi="Times New Roman" w:cs="Times New Roman"/>
          <w:color w:val="000000"/>
          <w:sz w:val="24"/>
          <w:szCs w:val="24"/>
          <w:lang/>
        </w:rPr>
        <w:t>197.1. Звільняються від оподаткування операції з:</w:t>
      </w:r>
    </w:p>
    <w:p w14:paraId="2F4C51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0" w:name="n4724"/>
      <w:bookmarkEnd w:id="5640"/>
      <w:r w:rsidRPr="008B264B">
        <w:rPr>
          <w:rFonts w:ascii="Times New Roman" w:eastAsia="Times New Roman" w:hAnsi="Times New Roman" w:cs="Times New Roman"/>
          <w:color w:val="000000"/>
          <w:sz w:val="24"/>
          <w:szCs w:val="24"/>
          <w:lang/>
        </w:rPr>
        <w:t>197.1.1. постачання продуктів дитячого харчування та товарів дитячого асортименту для немовлят за переліком, затвердженим Кабінетом Міністрів України;</w:t>
      </w:r>
    </w:p>
    <w:p w14:paraId="1DDA21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1" w:name="n4725"/>
      <w:bookmarkEnd w:id="5641"/>
      <w:r w:rsidRPr="008B264B">
        <w:rPr>
          <w:rFonts w:ascii="Times New Roman" w:eastAsia="Times New Roman" w:hAnsi="Times New Roman" w:cs="Times New Roman"/>
          <w:color w:val="000000"/>
          <w:sz w:val="24"/>
          <w:szCs w:val="24"/>
          <w:lang/>
        </w:rPr>
        <w:t>197.1.2. постачання послуг із здобуття вищої, середньої, професійно-технічної та дошкільної освіти навчальними закладами, у тому числі навчання аспірантів і докторантів, навчальними закладами, що мають ліцензію на постачання таких послуг, а також послуг з виховання та навчання дітей у будинках культури, дитячих музичних, художніх, спортивних школах і клубах, школах мистецтв та послуг з проживання учнів або студентів у гуртожитках. До таких послуг належать послуги з:</w:t>
      </w:r>
    </w:p>
    <w:p w14:paraId="54384E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2" w:name="n4726"/>
      <w:bookmarkEnd w:id="5642"/>
      <w:r w:rsidRPr="008B264B">
        <w:rPr>
          <w:rFonts w:ascii="Times New Roman" w:eastAsia="Times New Roman" w:hAnsi="Times New Roman" w:cs="Times New Roman"/>
          <w:color w:val="000000"/>
          <w:sz w:val="24"/>
          <w:szCs w:val="24"/>
          <w:lang/>
        </w:rPr>
        <w:t>а) виховання та навчання дітей, які постачаються дитячими музичними та художніми школами, школами мистецтв, будинками культури (гра на музичних інструментах, хореографія, образотворче мистецтво, гуртки (факультативи) іноземних мов, комп'ютерного навчання);</w:t>
      </w:r>
    </w:p>
    <w:p w14:paraId="0F3343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3" w:name="n4727"/>
      <w:bookmarkEnd w:id="5643"/>
      <w:r w:rsidRPr="008B264B">
        <w:rPr>
          <w:rFonts w:ascii="Times New Roman" w:eastAsia="Times New Roman" w:hAnsi="Times New Roman" w:cs="Times New Roman"/>
          <w:color w:val="000000"/>
          <w:sz w:val="24"/>
          <w:szCs w:val="24"/>
          <w:lang/>
        </w:rPr>
        <w:t>б) утримання, виховання та навчання дітей у дошкільних навчальних закладах як у межах обсягу, установленого навчальними планами і програмами, так і понад зазначений обсяг;</w:t>
      </w:r>
    </w:p>
    <w:p w14:paraId="3CBBB2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4" w:name="n4728"/>
      <w:bookmarkEnd w:id="5644"/>
      <w:r w:rsidRPr="008B264B">
        <w:rPr>
          <w:rFonts w:ascii="Times New Roman" w:eastAsia="Times New Roman" w:hAnsi="Times New Roman" w:cs="Times New Roman"/>
          <w:color w:val="000000"/>
          <w:sz w:val="24"/>
          <w:szCs w:val="24"/>
          <w:lang/>
        </w:rPr>
        <w:t>в) усіх видів освітньої діяльності, які постачаються загальноосвітніми навчальними закладами I-III ступенів;</w:t>
      </w:r>
    </w:p>
    <w:p w14:paraId="07C4AB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5" w:name="n4729"/>
      <w:bookmarkEnd w:id="5645"/>
      <w:r w:rsidRPr="008B264B">
        <w:rPr>
          <w:rFonts w:ascii="Times New Roman" w:eastAsia="Times New Roman" w:hAnsi="Times New Roman" w:cs="Times New Roman"/>
          <w:color w:val="000000"/>
          <w:sz w:val="24"/>
          <w:szCs w:val="24"/>
          <w:lang/>
        </w:rPr>
        <w:t>г) усіх видів освітньої діяльності, які постачаються професійно-технічними навчальними закладами;</w:t>
      </w:r>
    </w:p>
    <w:p w14:paraId="1EFF47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6" w:name="n4730"/>
      <w:bookmarkEnd w:id="5646"/>
      <w:r w:rsidRPr="008B264B">
        <w:rPr>
          <w:rFonts w:ascii="Times New Roman" w:eastAsia="Times New Roman" w:hAnsi="Times New Roman" w:cs="Times New Roman"/>
          <w:color w:val="000000"/>
          <w:sz w:val="24"/>
          <w:szCs w:val="24"/>
          <w:lang/>
        </w:rPr>
        <w:t>ґ) усіх видів освітньої діяльності, які постачаються вищими навчальними закладами, у тому числі для здобуття іншої вищої та післядипломної освіти;</w:t>
      </w:r>
    </w:p>
    <w:p w14:paraId="4275B1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7" w:name="n14193"/>
      <w:bookmarkEnd w:id="5647"/>
      <w:r w:rsidRPr="008B264B">
        <w:rPr>
          <w:rFonts w:ascii="Times New Roman" w:eastAsia="Times New Roman" w:hAnsi="Times New Roman" w:cs="Times New Roman"/>
          <w:i/>
          <w:iCs/>
          <w:color w:val="000000"/>
          <w:sz w:val="24"/>
          <w:szCs w:val="24"/>
          <w:lang/>
        </w:rPr>
        <w:t>{Абзац шостий підпункту 197.1.2 пункту 197.1 статті 197 із змінами, внесеними згідно із Законом </w:t>
      </w:r>
      <w:hyperlink r:id="rId3069" w:anchor="n10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2ED8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8" w:name="n4731"/>
      <w:bookmarkEnd w:id="5648"/>
      <w:r w:rsidRPr="008B264B">
        <w:rPr>
          <w:rFonts w:ascii="Times New Roman" w:eastAsia="Times New Roman" w:hAnsi="Times New Roman" w:cs="Times New Roman"/>
          <w:color w:val="000000"/>
          <w:sz w:val="24"/>
          <w:szCs w:val="24"/>
          <w:lang/>
        </w:rPr>
        <w:t>д) навчання слухачів підготовчих відділень вищих навчальних закладів;</w:t>
      </w:r>
    </w:p>
    <w:p w14:paraId="783564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49" w:name="n4732"/>
      <w:bookmarkEnd w:id="5649"/>
      <w:r w:rsidRPr="008B264B">
        <w:rPr>
          <w:rFonts w:ascii="Times New Roman" w:eastAsia="Times New Roman" w:hAnsi="Times New Roman" w:cs="Times New Roman"/>
          <w:color w:val="000000"/>
          <w:sz w:val="24"/>
          <w:szCs w:val="24"/>
          <w:lang/>
        </w:rPr>
        <w:t>е) повторного вивчення відрахованими студентами (курсантами) окремих дисциплін і курсів з подальшим складенням іспитів;</w:t>
      </w:r>
    </w:p>
    <w:p w14:paraId="336B9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0" w:name="n4733"/>
      <w:bookmarkEnd w:id="5650"/>
      <w:r w:rsidRPr="008B264B">
        <w:rPr>
          <w:rFonts w:ascii="Times New Roman" w:eastAsia="Times New Roman" w:hAnsi="Times New Roman" w:cs="Times New Roman"/>
          <w:color w:val="000000"/>
          <w:sz w:val="24"/>
          <w:szCs w:val="24"/>
          <w:lang/>
        </w:rPr>
        <w:t>є) навчання аспірантів і докторантів;</w:t>
      </w:r>
    </w:p>
    <w:p w14:paraId="40A022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1" w:name="n4734"/>
      <w:bookmarkEnd w:id="5651"/>
      <w:r w:rsidRPr="008B264B">
        <w:rPr>
          <w:rFonts w:ascii="Times New Roman" w:eastAsia="Times New Roman" w:hAnsi="Times New Roman" w:cs="Times New Roman"/>
          <w:color w:val="000000"/>
          <w:sz w:val="24"/>
          <w:szCs w:val="24"/>
          <w:lang/>
        </w:rPr>
        <w:t>ж) приймання кандидатських іспитів;</w:t>
      </w:r>
    </w:p>
    <w:p w14:paraId="5A603F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2" w:name="n4735"/>
      <w:bookmarkEnd w:id="5652"/>
      <w:r w:rsidRPr="008B264B">
        <w:rPr>
          <w:rFonts w:ascii="Times New Roman" w:eastAsia="Times New Roman" w:hAnsi="Times New Roman" w:cs="Times New Roman"/>
          <w:color w:val="000000"/>
          <w:sz w:val="24"/>
          <w:szCs w:val="24"/>
          <w:lang/>
        </w:rPr>
        <w:t>з) надання наукових консультацій для осіб, які підвищують кваліфікацію самостійно;</w:t>
      </w:r>
    </w:p>
    <w:p w14:paraId="397A02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3" w:name="n4736"/>
      <w:bookmarkEnd w:id="5653"/>
      <w:r w:rsidRPr="008B264B">
        <w:rPr>
          <w:rFonts w:ascii="Times New Roman" w:eastAsia="Times New Roman" w:hAnsi="Times New Roman" w:cs="Times New Roman"/>
          <w:color w:val="000000"/>
          <w:sz w:val="24"/>
          <w:szCs w:val="24"/>
          <w:lang/>
        </w:rPr>
        <w:t>и) довузівської підготовки;</w:t>
      </w:r>
    </w:p>
    <w:p w14:paraId="18B1CA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4" w:name="n4737"/>
      <w:bookmarkEnd w:id="5654"/>
      <w:r w:rsidRPr="008B264B">
        <w:rPr>
          <w:rFonts w:ascii="Times New Roman" w:eastAsia="Times New Roman" w:hAnsi="Times New Roman" w:cs="Times New Roman"/>
          <w:color w:val="000000"/>
          <w:sz w:val="24"/>
          <w:szCs w:val="24"/>
          <w:lang/>
        </w:rPr>
        <w:t>і) проведення лекцій з питань науки і техніки, культури та мистецтва, фізичної культури і спорту, правових знань, туризму і краєзнавства;</w:t>
      </w:r>
    </w:p>
    <w:p w14:paraId="77A697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5" w:name="n4738"/>
      <w:bookmarkEnd w:id="5655"/>
      <w:r w:rsidRPr="008B264B">
        <w:rPr>
          <w:rFonts w:ascii="Times New Roman" w:eastAsia="Times New Roman" w:hAnsi="Times New Roman" w:cs="Times New Roman"/>
          <w:color w:val="000000"/>
          <w:sz w:val="24"/>
          <w:szCs w:val="24"/>
          <w:lang/>
        </w:rPr>
        <w:t>ї) надання консультацій для учнів, вихованців, студентів, курсантів понад обсяги, встановлені навчальними планами і програмами, для аспірантів, докторантів;</w:t>
      </w:r>
    </w:p>
    <w:p w14:paraId="4D1BC5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6" w:name="n4739"/>
      <w:bookmarkEnd w:id="5656"/>
      <w:r w:rsidRPr="008B264B">
        <w:rPr>
          <w:rFonts w:ascii="Times New Roman" w:eastAsia="Times New Roman" w:hAnsi="Times New Roman" w:cs="Times New Roman"/>
          <w:color w:val="000000"/>
          <w:sz w:val="24"/>
          <w:szCs w:val="24"/>
          <w:lang/>
        </w:rPr>
        <w:lastRenderedPageBreak/>
        <w:t>й) організації літніх мовних курсів, шкіл, семінарів; групових та індивідуальних занять фізичною культурою та спортом на стадіонах, у спортивних залах і плавальних басейнах, на тенісних кортах для дітей, учнів і студентів;</w:t>
      </w:r>
    </w:p>
    <w:p w14:paraId="3D61B6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7" w:name="n4740"/>
      <w:bookmarkEnd w:id="5657"/>
      <w:r w:rsidRPr="008B264B">
        <w:rPr>
          <w:rFonts w:ascii="Times New Roman" w:eastAsia="Times New Roman" w:hAnsi="Times New Roman" w:cs="Times New Roman"/>
          <w:color w:val="000000"/>
          <w:sz w:val="24"/>
          <w:szCs w:val="24"/>
          <w:lang/>
        </w:rPr>
        <w:t>197.1.3. постачання:</w:t>
      </w:r>
    </w:p>
    <w:p w14:paraId="68A988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8" w:name="n4741"/>
      <w:bookmarkEnd w:id="5658"/>
      <w:r w:rsidRPr="008B264B">
        <w:rPr>
          <w:rFonts w:ascii="Times New Roman" w:eastAsia="Times New Roman" w:hAnsi="Times New Roman" w:cs="Times New Roman"/>
          <w:color w:val="000000"/>
          <w:sz w:val="24"/>
          <w:szCs w:val="24"/>
          <w:lang/>
        </w:rPr>
        <w:t>а) технічних та інших засобів реабілітації (крім автомобілів), послуги з їх ремонту та доставки; товарів спеціального призначення, у тому числі виробів медичного призначення для індивідуального користування, для осіб з інвалідністю та інших пільгових категорій населення, визначених законодавством України за </w:t>
      </w:r>
      <w:hyperlink r:id="rId3070" w:tgtFrame="_blank" w:history="1">
        <w:r w:rsidRPr="008B264B">
          <w:rPr>
            <w:rFonts w:ascii="Times New Roman" w:eastAsia="Times New Roman" w:hAnsi="Times New Roman" w:cs="Times New Roman"/>
            <w:color w:val="0000FF"/>
            <w:sz w:val="24"/>
            <w:szCs w:val="24"/>
            <w:u w:val="single"/>
            <w:lang/>
          </w:rPr>
          <w:t>переліком</w:t>
        </w:r>
      </w:hyperlink>
      <w:r w:rsidRPr="008B264B">
        <w:rPr>
          <w:rFonts w:ascii="Times New Roman" w:eastAsia="Times New Roman" w:hAnsi="Times New Roman" w:cs="Times New Roman"/>
          <w:color w:val="000000"/>
          <w:sz w:val="24"/>
          <w:szCs w:val="24"/>
          <w:lang/>
        </w:rPr>
        <w:t>, затвердженим Кабінетом Міністрів України;</w:t>
      </w:r>
    </w:p>
    <w:p w14:paraId="4AF5C4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59" w:name="n4742"/>
      <w:bookmarkEnd w:id="5659"/>
      <w:r w:rsidRPr="008B264B">
        <w:rPr>
          <w:rFonts w:ascii="Times New Roman" w:eastAsia="Times New Roman" w:hAnsi="Times New Roman" w:cs="Times New Roman"/>
          <w:color w:val="000000"/>
          <w:sz w:val="24"/>
          <w:szCs w:val="24"/>
          <w:lang/>
        </w:rPr>
        <w:t>б) комплектуючих і напівфабрикатів для виготовлення технічних та інших засобів реабілітації (крім автомобілів), товарів спеціального призначення, у тому числі виробів медичного призначення для індивідуального користування, для осіб з інвалідністю та інших пільгових категорій населення за </w:t>
      </w:r>
      <w:hyperlink r:id="rId3071" w:tgtFrame="_blank" w:history="1">
        <w:r w:rsidRPr="008B264B">
          <w:rPr>
            <w:rFonts w:ascii="Times New Roman" w:eastAsia="Times New Roman" w:hAnsi="Times New Roman" w:cs="Times New Roman"/>
            <w:color w:val="0000FF"/>
            <w:sz w:val="24"/>
            <w:szCs w:val="24"/>
            <w:u w:val="single"/>
            <w:lang/>
          </w:rPr>
          <w:t>переліком</w:t>
        </w:r>
      </w:hyperlink>
      <w:r w:rsidRPr="008B264B">
        <w:rPr>
          <w:rFonts w:ascii="Times New Roman" w:eastAsia="Times New Roman" w:hAnsi="Times New Roman" w:cs="Times New Roman"/>
          <w:color w:val="000000"/>
          <w:sz w:val="24"/>
          <w:szCs w:val="24"/>
          <w:lang/>
        </w:rPr>
        <w:t>, затвердженим Кабінетом Міністрів України;</w:t>
      </w:r>
    </w:p>
    <w:p w14:paraId="516E57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0" w:name="n4743"/>
      <w:bookmarkEnd w:id="5660"/>
      <w:r w:rsidRPr="008B264B">
        <w:rPr>
          <w:rFonts w:ascii="Times New Roman" w:eastAsia="Times New Roman" w:hAnsi="Times New Roman" w:cs="Times New Roman"/>
          <w:color w:val="000000"/>
          <w:sz w:val="24"/>
          <w:szCs w:val="24"/>
          <w:lang/>
        </w:rPr>
        <w:t>в) легкових автомобілів для осіб з інвалідністю уповноваженому органу виконавчої влади з їх оплатою за рахунок коштів державного чи місцевих бюджетів та коштів фондів загальнообов'язкового державного страхування, а також операції з їх безоплатної передачі особам з інвалідністю;</w:t>
      </w:r>
    </w:p>
    <w:p w14:paraId="110C6A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1" w:name="n4744"/>
      <w:bookmarkEnd w:id="5661"/>
      <w:r w:rsidRPr="008B264B">
        <w:rPr>
          <w:rFonts w:ascii="Times New Roman" w:eastAsia="Times New Roman" w:hAnsi="Times New Roman" w:cs="Times New Roman"/>
          <w:color w:val="000000"/>
          <w:sz w:val="24"/>
          <w:szCs w:val="24"/>
          <w:lang/>
        </w:rPr>
        <w:t>197.1.4. постачання послуг із доставки пенсій, страхових виплат та грошової допомоги населенню (незалежно від способу доставки) на всіх етапах доставки до кінцевого споживача;</w:t>
      </w:r>
    </w:p>
    <w:p w14:paraId="24643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2" w:name="n4745"/>
      <w:bookmarkEnd w:id="5662"/>
      <w:r w:rsidRPr="008B264B">
        <w:rPr>
          <w:rFonts w:ascii="Times New Roman" w:eastAsia="Times New Roman" w:hAnsi="Times New Roman" w:cs="Times New Roman"/>
          <w:color w:val="000000"/>
          <w:sz w:val="24"/>
          <w:szCs w:val="24"/>
          <w:lang/>
        </w:rPr>
        <w:t>197.1.5. постачання послуг з охорони здоров'я закладами охорони здоров'я, що мають ліцензію на постачання таких послуг, а також постачання послуг реабілітаційними установами для осіб з інвалідністю та дітей з інвалідністю, що мають ліцензію на постачання таких послуг відповідно до законодавства, крім таких послуг:</w:t>
      </w:r>
    </w:p>
    <w:p w14:paraId="34DFC3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3" w:name="n4746"/>
      <w:bookmarkEnd w:id="5663"/>
      <w:r w:rsidRPr="008B264B">
        <w:rPr>
          <w:rFonts w:ascii="Times New Roman" w:eastAsia="Times New Roman" w:hAnsi="Times New Roman" w:cs="Times New Roman"/>
          <w:color w:val="000000"/>
          <w:sz w:val="24"/>
          <w:szCs w:val="24"/>
          <w:lang/>
        </w:rPr>
        <w:t>а) надання косметологічної допомоги, крім тієї, що надається за медичними показаннями;</w:t>
      </w:r>
    </w:p>
    <w:p w14:paraId="075DE0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4" w:name="n4747"/>
      <w:bookmarkEnd w:id="5664"/>
      <w:r w:rsidRPr="008B264B">
        <w:rPr>
          <w:rFonts w:ascii="Times New Roman" w:eastAsia="Times New Roman" w:hAnsi="Times New Roman" w:cs="Times New Roman"/>
          <w:color w:val="000000"/>
          <w:sz w:val="24"/>
          <w:szCs w:val="24"/>
          <w:lang/>
        </w:rPr>
        <w:t>б) масаж для зміцнення здоров'я дорослого населення, корекції осанки тощо;</w:t>
      </w:r>
    </w:p>
    <w:p w14:paraId="376FC9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5" w:name="n4748"/>
      <w:bookmarkEnd w:id="5665"/>
      <w:r w:rsidRPr="008B264B">
        <w:rPr>
          <w:rFonts w:ascii="Times New Roman" w:eastAsia="Times New Roman" w:hAnsi="Times New Roman" w:cs="Times New Roman"/>
          <w:color w:val="000000"/>
          <w:sz w:val="24"/>
          <w:szCs w:val="24"/>
          <w:lang/>
        </w:rPr>
        <w:t>в) проведення профілактичних медичних оглядів із підготовкою висновку про стан здоров'я на прохання громадян;</w:t>
      </w:r>
    </w:p>
    <w:p w14:paraId="568078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6" w:name="n4749"/>
      <w:bookmarkEnd w:id="5666"/>
      <w:r w:rsidRPr="008B264B">
        <w:rPr>
          <w:rFonts w:ascii="Times New Roman" w:eastAsia="Times New Roman" w:hAnsi="Times New Roman" w:cs="Times New Roman"/>
          <w:color w:val="000000"/>
          <w:sz w:val="24"/>
          <w:szCs w:val="24"/>
          <w:lang/>
        </w:rPr>
        <w:t>г) проведення гігієнічної експертизи проектних матеріалів та попередніх проектних пропозицій, у тому числі щодо розміщення об'єкта, а також нормативної документації на нові технології виробництва продукції та нові види продукції за заявкою замовника, гігієнічна оцінка зразків нових видів продукції;</w:t>
      </w:r>
    </w:p>
    <w:p w14:paraId="19A60C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7" w:name="n4750"/>
      <w:bookmarkEnd w:id="5667"/>
      <w:r w:rsidRPr="008B264B">
        <w:rPr>
          <w:rFonts w:ascii="Times New Roman" w:eastAsia="Times New Roman" w:hAnsi="Times New Roman" w:cs="Times New Roman"/>
          <w:color w:val="000000"/>
          <w:sz w:val="24"/>
          <w:szCs w:val="24"/>
          <w:lang/>
        </w:rPr>
        <w:t>ґ) надання консультаційної допомоги з питань проведення державної санітарно-гігієнічної експертизи;</w:t>
      </w:r>
    </w:p>
    <w:p w14:paraId="12303E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8" w:name="n4751"/>
      <w:bookmarkEnd w:id="5668"/>
      <w:r w:rsidRPr="008B264B">
        <w:rPr>
          <w:rFonts w:ascii="Times New Roman" w:eastAsia="Times New Roman" w:hAnsi="Times New Roman" w:cs="Times New Roman"/>
          <w:color w:val="000000"/>
          <w:sz w:val="24"/>
          <w:szCs w:val="24"/>
          <w:lang/>
        </w:rPr>
        <w:t>д) обстеження за заявкою замовника об'єктів, що будуються, реконструюються або функціонують, з метою їх відповідності санітарному законодавству;</w:t>
      </w:r>
    </w:p>
    <w:p w14:paraId="5FDA93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69" w:name="n4752"/>
      <w:bookmarkEnd w:id="5669"/>
      <w:r w:rsidRPr="008B264B">
        <w:rPr>
          <w:rFonts w:ascii="Times New Roman" w:eastAsia="Times New Roman" w:hAnsi="Times New Roman" w:cs="Times New Roman"/>
          <w:color w:val="000000"/>
          <w:sz w:val="24"/>
          <w:szCs w:val="24"/>
          <w:lang/>
        </w:rPr>
        <w:t>е) проведення за заявкою замовника токсиколого-гігієнічних, медико-біологічних, санітарно-гігієнічних, фізіологічних та інших обстежень з метою визначення безпеки продукції для здоров'я людини;</w:t>
      </w:r>
    </w:p>
    <w:p w14:paraId="5F4B6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0" w:name="n4753"/>
      <w:bookmarkEnd w:id="5670"/>
      <w:r w:rsidRPr="008B264B">
        <w:rPr>
          <w:rFonts w:ascii="Times New Roman" w:eastAsia="Times New Roman" w:hAnsi="Times New Roman" w:cs="Times New Roman"/>
          <w:color w:val="000000"/>
          <w:sz w:val="24"/>
          <w:szCs w:val="24"/>
          <w:lang/>
        </w:rPr>
        <w:t>є) видача суб'єктам господарювання дозволів на виробництво, використання, транспортування, зберігання, реалізацію, захоронення, знищення, утилізацію продукції і речовин вітчизняного та імпортного виробництва, що потенційно небезпечні для здоров'я людини;</w:t>
      </w:r>
    </w:p>
    <w:p w14:paraId="6B0803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1" w:name="n4754"/>
      <w:bookmarkEnd w:id="5671"/>
      <w:r w:rsidRPr="008B264B">
        <w:rPr>
          <w:rFonts w:ascii="Times New Roman" w:eastAsia="Times New Roman" w:hAnsi="Times New Roman" w:cs="Times New Roman"/>
          <w:color w:val="000000"/>
          <w:sz w:val="24"/>
          <w:szCs w:val="24"/>
          <w:lang/>
        </w:rPr>
        <w:t>ж) надання юридичним і фізичним особам консультаційної допомоги з питань застосування законодавства про охорону здоров'я, в тому числі щодо забезпечення санітарного та епідемічного благополуччя населення;</w:t>
      </w:r>
    </w:p>
    <w:p w14:paraId="2D6F0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2" w:name="n4755"/>
      <w:bookmarkEnd w:id="5672"/>
      <w:r w:rsidRPr="008B264B">
        <w:rPr>
          <w:rFonts w:ascii="Times New Roman" w:eastAsia="Times New Roman" w:hAnsi="Times New Roman" w:cs="Times New Roman"/>
          <w:color w:val="000000"/>
          <w:sz w:val="24"/>
          <w:szCs w:val="24"/>
          <w:lang/>
        </w:rPr>
        <w:t>з) проведення медичного огляду осіб для видачі:</w:t>
      </w:r>
    </w:p>
    <w:p w14:paraId="179D5C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3" w:name="n4756"/>
      <w:bookmarkEnd w:id="5673"/>
      <w:r w:rsidRPr="008B264B">
        <w:rPr>
          <w:rFonts w:ascii="Times New Roman" w:eastAsia="Times New Roman" w:hAnsi="Times New Roman" w:cs="Times New Roman"/>
          <w:color w:val="000000"/>
          <w:sz w:val="24"/>
          <w:szCs w:val="24"/>
          <w:lang/>
        </w:rPr>
        <w:lastRenderedPageBreak/>
        <w:t>дозволу на право отримання та носіння зброї громадянам, крім військовослужбовців і посадових осіб, носіння зброї якими передбачено законодавством;</w:t>
      </w:r>
    </w:p>
    <w:p w14:paraId="0AEC59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4" w:name="n4757"/>
      <w:bookmarkEnd w:id="5674"/>
      <w:r w:rsidRPr="008B264B">
        <w:rPr>
          <w:rFonts w:ascii="Times New Roman" w:eastAsia="Times New Roman" w:hAnsi="Times New Roman" w:cs="Times New Roman"/>
          <w:color w:val="000000"/>
          <w:sz w:val="24"/>
          <w:szCs w:val="24"/>
          <w:lang/>
        </w:rPr>
        <w:t>відповідних документів на виїзд громадян за кордон за викликом родичів, що проживають у зарубіжних країнах, оздоровлення в зарубіжних лікувальних або санаторних закладах за власним бажанням, а також у службові відрядження (крім державних службовців, робота яких пов'язана з такими виїздами і які мають відповідні медичні документи);</w:t>
      </w:r>
    </w:p>
    <w:p w14:paraId="2834A8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5" w:name="n4758"/>
      <w:bookmarkEnd w:id="5675"/>
      <w:r w:rsidRPr="008B264B">
        <w:rPr>
          <w:rFonts w:ascii="Times New Roman" w:eastAsia="Times New Roman" w:hAnsi="Times New Roman" w:cs="Times New Roman"/>
          <w:color w:val="000000"/>
          <w:sz w:val="24"/>
          <w:szCs w:val="24"/>
          <w:lang/>
        </w:rPr>
        <w:t>посвідчення водія транспортного засобу;</w:t>
      </w:r>
    </w:p>
    <w:p w14:paraId="0735EE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6" w:name="n4759"/>
      <w:bookmarkEnd w:id="5676"/>
      <w:r w:rsidRPr="008B264B">
        <w:rPr>
          <w:rFonts w:ascii="Times New Roman" w:eastAsia="Times New Roman" w:hAnsi="Times New Roman" w:cs="Times New Roman"/>
          <w:color w:val="000000"/>
          <w:sz w:val="24"/>
          <w:szCs w:val="24"/>
          <w:lang/>
        </w:rPr>
        <w:t>и) медичне обслуговування з'їздів, конференцій, симпозіумів, фестивалів, нарад, змагань тощо;</w:t>
      </w:r>
    </w:p>
    <w:p w14:paraId="3B1024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7" w:name="n4760"/>
      <w:bookmarkEnd w:id="5677"/>
      <w:r w:rsidRPr="008B264B">
        <w:rPr>
          <w:rFonts w:ascii="Times New Roman" w:eastAsia="Times New Roman" w:hAnsi="Times New Roman" w:cs="Times New Roman"/>
          <w:color w:val="000000"/>
          <w:sz w:val="24"/>
          <w:szCs w:val="24"/>
          <w:lang/>
        </w:rPr>
        <w:t>і) медичне обслуговування громадян за їх бажанням у медичних закладах із поліпшеним сервісним обслуговуванням;</w:t>
      </w:r>
    </w:p>
    <w:p w14:paraId="75499B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8" w:name="n4761"/>
      <w:bookmarkEnd w:id="5678"/>
      <w:r w:rsidRPr="008B264B">
        <w:rPr>
          <w:rFonts w:ascii="Times New Roman" w:eastAsia="Times New Roman" w:hAnsi="Times New Roman" w:cs="Times New Roman"/>
          <w:color w:val="000000"/>
          <w:sz w:val="24"/>
          <w:szCs w:val="24"/>
          <w:lang/>
        </w:rPr>
        <w:t>ї) організація медичного контролю осіб, які займаються фізичною культурою і спортом в оздоровчих закладах;</w:t>
      </w:r>
    </w:p>
    <w:p w14:paraId="23E281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79" w:name="n4762"/>
      <w:bookmarkEnd w:id="5679"/>
      <w:r w:rsidRPr="008B264B">
        <w:rPr>
          <w:rFonts w:ascii="Times New Roman" w:eastAsia="Times New Roman" w:hAnsi="Times New Roman" w:cs="Times New Roman"/>
          <w:color w:val="000000"/>
          <w:sz w:val="24"/>
          <w:szCs w:val="24"/>
          <w:lang/>
        </w:rPr>
        <w:t>й) проведення профілактичних щеплень громадянам, які від'їжджають за кордон за викликом, для оздоровлення в зарубіжних лікувальних або санаторних закладах за власним бажанням, а також у туристичні подорожі (крім тих, що від'їжджають на лікування та в службові відрядження);</w:t>
      </w:r>
    </w:p>
    <w:p w14:paraId="439EB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0" w:name="n4763"/>
      <w:bookmarkEnd w:id="5680"/>
      <w:r w:rsidRPr="008B264B">
        <w:rPr>
          <w:rFonts w:ascii="Times New Roman" w:eastAsia="Times New Roman" w:hAnsi="Times New Roman" w:cs="Times New Roman"/>
          <w:color w:val="000000"/>
          <w:sz w:val="24"/>
          <w:szCs w:val="24"/>
          <w:lang/>
        </w:rPr>
        <w:t>к) складення за заявками замовників санітарних паспортів радіотехнічних об'єктів та проведення досліджень для їх підтвердження;</w:t>
      </w:r>
    </w:p>
    <w:p w14:paraId="3C1DF0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1" w:name="n4764"/>
      <w:bookmarkEnd w:id="5681"/>
      <w:r w:rsidRPr="008B264B">
        <w:rPr>
          <w:rFonts w:ascii="Times New Roman" w:eastAsia="Times New Roman" w:hAnsi="Times New Roman" w:cs="Times New Roman"/>
          <w:color w:val="000000"/>
          <w:sz w:val="24"/>
          <w:szCs w:val="24"/>
          <w:lang/>
        </w:rPr>
        <w:t>л) проведення за заявками замовників державної санітарно-гігієнічної експертизи з акредитації та атестації підприємств, установ, організацій на право проведення токсиколого-гігієнічних, медико-біологічних, санітарно-гігієнічних та інших досліджень;</w:t>
      </w:r>
    </w:p>
    <w:p w14:paraId="639683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2" w:name="n4765"/>
      <w:bookmarkEnd w:id="5682"/>
      <w:r w:rsidRPr="008B264B">
        <w:rPr>
          <w:rFonts w:ascii="Times New Roman" w:eastAsia="Times New Roman" w:hAnsi="Times New Roman" w:cs="Times New Roman"/>
          <w:color w:val="000000"/>
          <w:sz w:val="24"/>
          <w:szCs w:val="24"/>
          <w:lang/>
        </w:rPr>
        <w:t>м) визначення за заявками замовника шкідливих і небезпечних факторів виробничого середовища, технологічного та трудового процесів, проведення досліджень для розробки засобів і заходів щодо усунення або зменшення їх небезпечної дії;</w:t>
      </w:r>
    </w:p>
    <w:p w14:paraId="2047F3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3" w:name="n4766"/>
      <w:bookmarkEnd w:id="5683"/>
      <w:r w:rsidRPr="008B264B">
        <w:rPr>
          <w:rFonts w:ascii="Times New Roman" w:eastAsia="Times New Roman" w:hAnsi="Times New Roman" w:cs="Times New Roman"/>
          <w:color w:val="000000"/>
          <w:sz w:val="24"/>
          <w:szCs w:val="24"/>
          <w:lang/>
        </w:rPr>
        <w:t>н) навчання за заявками замовників на робочих місцях фахівців підприємств, установ, організацій в установах санітарно-епідеміологічної служби, державних науково-дослідних інститутах гігієнічного та епідеміологічного профілю, а також фахівців підприємств, установ, організацій, проведення санітарно-гігієнічних та бактеріологічних досліджень;</w:t>
      </w:r>
    </w:p>
    <w:p w14:paraId="035DDD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4" w:name="n4767"/>
      <w:bookmarkEnd w:id="5684"/>
      <w:r w:rsidRPr="008B264B">
        <w:rPr>
          <w:rFonts w:ascii="Times New Roman" w:eastAsia="Times New Roman" w:hAnsi="Times New Roman" w:cs="Times New Roman"/>
          <w:color w:val="000000"/>
          <w:sz w:val="24"/>
          <w:szCs w:val="24"/>
          <w:lang/>
        </w:rPr>
        <w:t>о) надання за заявками замовників послуг з організації роботи відомчих санітарних лабораторій, оснащення їх медичною технікою (обладнанням, апаратурою, приладами); навчання на місці фахівців таких лабораторій методики проведення санітарно-гігієнічних досліджень;</w:t>
      </w:r>
    </w:p>
    <w:p w14:paraId="431289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5" w:name="n4768"/>
      <w:bookmarkEnd w:id="5685"/>
      <w:r w:rsidRPr="008B264B">
        <w:rPr>
          <w:rFonts w:ascii="Times New Roman" w:eastAsia="Times New Roman" w:hAnsi="Times New Roman" w:cs="Times New Roman"/>
          <w:color w:val="000000"/>
          <w:sz w:val="24"/>
          <w:szCs w:val="24"/>
          <w:lang/>
        </w:rPr>
        <w:t>197.1.6. постачання реабілітаційних послуг особам з інвалідністю, дітям з інвалідністю, а також постачання путівок на санаторно-курортне лікування, оздоровлення та відпочинок на території України фізичних осіб віком до 18 років, осіб з інвалідністю, дітей з інвалідністю;</w:t>
      </w:r>
    </w:p>
    <w:p w14:paraId="39344A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6" w:name="n4769"/>
      <w:bookmarkEnd w:id="5686"/>
      <w:r w:rsidRPr="008B264B">
        <w:rPr>
          <w:rFonts w:ascii="Times New Roman" w:eastAsia="Times New Roman" w:hAnsi="Times New Roman" w:cs="Times New Roman"/>
          <w:color w:val="000000"/>
          <w:sz w:val="24"/>
          <w:szCs w:val="24"/>
          <w:lang/>
        </w:rPr>
        <w:t>197.1.7. постачання послуг з:</w:t>
      </w:r>
    </w:p>
    <w:p w14:paraId="262787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7" w:name="n4770"/>
      <w:bookmarkEnd w:id="5687"/>
      <w:r w:rsidRPr="008B264B">
        <w:rPr>
          <w:rFonts w:ascii="Times New Roman" w:eastAsia="Times New Roman" w:hAnsi="Times New Roman" w:cs="Times New Roman"/>
          <w:color w:val="000000"/>
          <w:sz w:val="24"/>
          <w:szCs w:val="24"/>
          <w:lang/>
        </w:rPr>
        <w:t>а) утримання дітей у дошкільних навчально-виховних закладах, школах-інтернатах;</w:t>
      </w:r>
    </w:p>
    <w:p w14:paraId="55983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8" w:name="n4771"/>
      <w:bookmarkEnd w:id="5688"/>
      <w:r w:rsidRPr="008B264B">
        <w:rPr>
          <w:rFonts w:ascii="Times New Roman" w:eastAsia="Times New Roman" w:hAnsi="Times New Roman" w:cs="Times New Roman"/>
          <w:color w:val="000000"/>
          <w:sz w:val="24"/>
          <w:szCs w:val="24"/>
          <w:lang/>
        </w:rPr>
        <w:t>б) утримання осіб у будинках-інтернатах для громадян похилого віку та осіб з інвалідністю, дитячих будинках-інтернатах, пансіонатах для ветеранів війни і праці, геріатричних пансіонатах, реабілітаційних установах, територіальних центрах соціального обслуговування (надання соціальних послуг);</w:t>
      </w:r>
    </w:p>
    <w:p w14:paraId="4B80B3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89" w:name="n4772"/>
      <w:bookmarkEnd w:id="5689"/>
      <w:r w:rsidRPr="008B264B">
        <w:rPr>
          <w:rFonts w:ascii="Times New Roman" w:eastAsia="Times New Roman" w:hAnsi="Times New Roman" w:cs="Times New Roman"/>
          <w:color w:val="000000"/>
          <w:sz w:val="24"/>
          <w:szCs w:val="24"/>
          <w:lang/>
        </w:rPr>
        <w:t>в) харчування та облаштування на нічліг та надання інших соціальних послуг бездомним особам у центрах обліку, закладах соціального захисту для бездомних осіб, а також особам, звільненим з місць позбавлення волі, у центрах соціальної адаптації осіб, звільнених з місць позбавлення волі;</w:t>
      </w:r>
    </w:p>
    <w:p w14:paraId="23709B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0" w:name="n4773"/>
      <w:bookmarkEnd w:id="5690"/>
      <w:r w:rsidRPr="008B264B">
        <w:rPr>
          <w:rFonts w:ascii="Times New Roman" w:eastAsia="Times New Roman" w:hAnsi="Times New Roman" w:cs="Times New Roman"/>
          <w:i/>
          <w:iCs/>
          <w:color w:val="000000"/>
          <w:sz w:val="24"/>
          <w:szCs w:val="24"/>
          <w:lang/>
        </w:rPr>
        <w:lastRenderedPageBreak/>
        <w:t>{Підпункт "в" підпункту 197.1.7 пункту 197.1 статті 197 із змінами, внесеними згідно із Законом </w:t>
      </w:r>
      <w:hyperlink r:id="rId3072" w:anchor="n28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1FC8A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1" w:name="n4774"/>
      <w:bookmarkEnd w:id="5691"/>
      <w:r w:rsidRPr="008B264B">
        <w:rPr>
          <w:rFonts w:ascii="Times New Roman" w:eastAsia="Times New Roman" w:hAnsi="Times New Roman" w:cs="Times New Roman"/>
          <w:color w:val="000000"/>
          <w:sz w:val="24"/>
          <w:szCs w:val="24"/>
          <w:lang/>
        </w:rPr>
        <w:t>г) харчування </w:t>
      </w:r>
      <w:hyperlink r:id="rId3073" w:anchor="n11" w:tgtFrame="_blank" w:history="1">
        <w:r w:rsidRPr="008B264B">
          <w:rPr>
            <w:rFonts w:ascii="Times New Roman" w:eastAsia="Times New Roman" w:hAnsi="Times New Roman" w:cs="Times New Roman"/>
            <w:color w:val="0000FF"/>
            <w:sz w:val="24"/>
            <w:szCs w:val="24"/>
            <w:u w:val="single"/>
            <w:lang/>
          </w:rPr>
          <w:t>дітей у дошкільних, загальноосвітніх та професійно-технічних навчальних закладах</w:t>
        </w:r>
      </w:hyperlink>
      <w:r w:rsidRPr="008B264B">
        <w:rPr>
          <w:rFonts w:ascii="Times New Roman" w:eastAsia="Times New Roman" w:hAnsi="Times New Roman" w:cs="Times New Roman"/>
          <w:color w:val="000000"/>
          <w:sz w:val="24"/>
          <w:szCs w:val="24"/>
          <w:lang/>
        </w:rPr>
        <w:t> та </w:t>
      </w:r>
      <w:hyperlink r:id="rId3074" w:anchor="n8" w:tgtFrame="_blank" w:history="1">
        <w:r w:rsidRPr="008B264B">
          <w:rPr>
            <w:rFonts w:ascii="Times New Roman" w:eastAsia="Times New Roman" w:hAnsi="Times New Roman" w:cs="Times New Roman"/>
            <w:color w:val="0000FF"/>
            <w:sz w:val="24"/>
            <w:szCs w:val="24"/>
            <w:u w:val="single"/>
            <w:lang/>
          </w:rPr>
          <w:t>громадян у закладах охорони здоров'я</w:t>
        </w:r>
      </w:hyperlink>
      <w:r w:rsidRPr="008B264B">
        <w:rPr>
          <w:rFonts w:ascii="Times New Roman" w:eastAsia="Times New Roman" w:hAnsi="Times New Roman" w:cs="Times New Roman"/>
          <w:color w:val="000000"/>
          <w:sz w:val="24"/>
          <w:szCs w:val="24"/>
          <w:lang/>
        </w:rPr>
        <w:t>. Порядок надання таких послуг затверджується Кабінетом Міністрів України;</w:t>
      </w:r>
    </w:p>
    <w:p w14:paraId="405BE7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2" w:name="n4775"/>
      <w:bookmarkEnd w:id="5692"/>
      <w:r w:rsidRPr="008B264B">
        <w:rPr>
          <w:rFonts w:ascii="Times New Roman" w:eastAsia="Times New Roman" w:hAnsi="Times New Roman" w:cs="Times New Roman"/>
          <w:i/>
          <w:iCs/>
          <w:color w:val="000000"/>
          <w:sz w:val="24"/>
          <w:szCs w:val="24"/>
          <w:lang/>
        </w:rPr>
        <w:t>{Підпункт "г" підпункту 197.1.7 пункту 197.1 статті 197 із змінами, внесеними згідно із Законом </w:t>
      </w:r>
      <w:hyperlink r:id="rId307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0DADC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3" w:name="n4776"/>
      <w:bookmarkEnd w:id="5693"/>
      <w:r w:rsidRPr="008B264B">
        <w:rPr>
          <w:rFonts w:ascii="Times New Roman" w:eastAsia="Times New Roman" w:hAnsi="Times New Roman" w:cs="Times New Roman"/>
          <w:color w:val="000000"/>
          <w:sz w:val="24"/>
          <w:szCs w:val="24"/>
          <w:lang/>
        </w:rPr>
        <w:t>ґ) харчування, забезпечення майном, комунально-побутовими та іншими послугами, що надаються особам, які утримуються в установах пенітенціарної системи, а саме:</w:t>
      </w:r>
    </w:p>
    <w:p w14:paraId="074280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4" w:name="n4777"/>
      <w:bookmarkEnd w:id="5694"/>
      <w:r w:rsidRPr="008B264B">
        <w:rPr>
          <w:rFonts w:ascii="Times New Roman" w:eastAsia="Times New Roman" w:hAnsi="Times New Roman" w:cs="Times New Roman"/>
          <w:color w:val="000000"/>
          <w:sz w:val="24"/>
          <w:szCs w:val="24"/>
          <w:lang/>
        </w:rPr>
        <w:t>харчування, у тому числі приготування їжі;</w:t>
      </w:r>
    </w:p>
    <w:p w14:paraId="1D37DC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5" w:name="n4778"/>
      <w:bookmarkEnd w:id="5695"/>
      <w:r w:rsidRPr="008B264B">
        <w:rPr>
          <w:rFonts w:ascii="Times New Roman" w:eastAsia="Times New Roman" w:hAnsi="Times New Roman" w:cs="Times New Roman"/>
          <w:color w:val="000000"/>
          <w:sz w:val="24"/>
          <w:szCs w:val="24"/>
          <w:lang/>
        </w:rPr>
        <w:t>забезпечення одягом, білизною, взуттям та постільними речами;</w:t>
      </w:r>
    </w:p>
    <w:p w14:paraId="032428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6" w:name="n4779"/>
      <w:bookmarkEnd w:id="5696"/>
      <w:r w:rsidRPr="008B264B">
        <w:rPr>
          <w:rFonts w:ascii="Times New Roman" w:eastAsia="Times New Roman" w:hAnsi="Times New Roman" w:cs="Times New Roman"/>
          <w:color w:val="000000"/>
          <w:sz w:val="24"/>
          <w:szCs w:val="24"/>
          <w:lang/>
        </w:rPr>
        <w:t>користування кімнатами тривалих побачень;</w:t>
      </w:r>
    </w:p>
    <w:p w14:paraId="1D3D0D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7" w:name="n4780"/>
      <w:bookmarkEnd w:id="5697"/>
      <w:r w:rsidRPr="008B264B">
        <w:rPr>
          <w:rFonts w:ascii="Times New Roman" w:eastAsia="Times New Roman" w:hAnsi="Times New Roman" w:cs="Times New Roman"/>
          <w:color w:val="000000"/>
          <w:sz w:val="24"/>
          <w:szCs w:val="24"/>
          <w:lang/>
        </w:rPr>
        <w:t>послуги поштового та телефонно-телеграфного зв'язку;</w:t>
      </w:r>
    </w:p>
    <w:p w14:paraId="4A31F1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8" w:name="n4781"/>
      <w:bookmarkEnd w:id="5698"/>
      <w:r w:rsidRPr="008B264B">
        <w:rPr>
          <w:rFonts w:ascii="Times New Roman" w:eastAsia="Times New Roman" w:hAnsi="Times New Roman" w:cs="Times New Roman"/>
          <w:color w:val="000000"/>
          <w:sz w:val="24"/>
          <w:szCs w:val="24"/>
          <w:lang/>
        </w:rPr>
        <w:t>постачання продуктів харчування і предметів першої необхідності;</w:t>
      </w:r>
    </w:p>
    <w:p w14:paraId="78FCFF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699" w:name="n4782"/>
      <w:bookmarkEnd w:id="5699"/>
      <w:r w:rsidRPr="008B264B">
        <w:rPr>
          <w:rFonts w:ascii="Times New Roman" w:eastAsia="Times New Roman" w:hAnsi="Times New Roman" w:cs="Times New Roman"/>
          <w:color w:val="000000"/>
          <w:sz w:val="24"/>
          <w:szCs w:val="24"/>
          <w:lang/>
        </w:rPr>
        <w:t>ремонт взуття та одягу;</w:t>
      </w:r>
    </w:p>
    <w:p w14:paraId="1CDBAF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0" w:name="n4783"/>
      <w:bookmarkEnd w:id="5700"/>
      <w:r w:rsidRPr="008B264B">
        <w:rPr>
          <w:rFonts w:ascii="Times New Roman" w:eastAsia="Times New Roman" w:hAnsi="Times New Roman" w:cs="Times New Roman"/>
          <w:color w:val="000000"/>
          <w:sz w:val="24"/>
          <w:szCs w:val="24"/>
          <w:lang/>
        </w:rPr>
        <w:t>додаткове медичне обслуговування;</w:t>
      </w:r>
    </w:p>
    <w:p w14:paraId="32E1E8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1" w:name="n4784"/>
      <w:bookmarkEnd w:id="5701"/>
      <w:r w:rsidRPr="008B264B">
        <w:rPr>
          <w:rFonts w:ascii="Times New Roman" w:eastAsia="Times New Roman" w:hAnsi="Times New Roman" w:cs="Times New Roman"/>
          <w:color w:val="000000"/>
          <w:sz w:val="24"/>
          <w:szCs w:val="24"/>
          <w:lang/>
        </w:rPr>
        <w:t>банно-пральні послуги;</w:t>
      </w:r>
    </w:p>
    <w:p w14:paraId="1F9CB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2" w:name="n4785"/>
      <w:bookmarkEnd w:id="5702"/>
      <w:r w:rsidRPr="008B264B">
        <w:rPr>
          <w:rFonts w:ascii="Times New Roman" w:eastAsia="Times New Roman" w:hAnsi="Times New Roman" w:cs="Times New Roman"/>
          <w:color w:val="000000"/>
          <w:sz w:val="24"/>
          <w:szCs w:val="24"/>
          <w:lang/>
        </w:rPr>
        <w:t>прокат кіно- та відеофільмів, культурно-освітні заходи;</w:t>
      </w:r>
    </w:p>
    <w:p w14:paraId="5AA37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3" w:name="n4786"/>
      <w:bookmarkEnd w:id="5703"/>
      <w:r w:rsidRPr="008B264B">
        <w:rPr>
          <w:rFonts w:ascii="Times New Roman" w:eastAsia="Times New Roman" w:hAnsi="Times New Roman" w:cs="Times New Roman"/>
          <w:color w:val="000000"/>
          <w:sz w:val="24"/>
          <w:szCs w:val="24"/>
          <w:lang/>
        </w:rPr>
        <w:t>д) харчування, забезпечення майном, комунально-побутовими та іншими соціальними послугами за рахунок державних коштів, що надаються особам, які утримуються в реабілітаційних установах, територіальних центрах соціального обслуговування (надання соціальних послуг), установах, підприємствах, організаціях всеукраїнських громадських об’єднань осіб з інвалідністю та їх спілок, які займаються реабілітацією, оздоровленням та фізкультурно-спортивною діяльністю, центрах обліку та закладах соціального захисту для бездомних осіб, центрах соціальної адаптації осіб, звільнених з місць позбавлення волі, санаторіях для ветеранів та осіб з інвалідністю, будинках-інтернатах для громадян похилого віку, осіб з інвалідністю та дітей з інвалідністю, психоневрологічних та спеціалізованих будинках-інтернатах, пансіонатах для ветеранів війни і праці, геріатричних пансіонатах;</w:t>
      </w:r>
    </w:p>
    <w:p w14:paraId="4BE69B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4" w:name="n4787"/>
      <w:bookmarkEnd w:id="5704"/>
      <w:r w:rsidRPr="008B264B">
        <w:rPr>
          <w:rFonts w:ascii="Times New Roman" w:eastAsia="Times New Roman" w:hAnsi="Times New Roman" w:cs="Times New Roman"/>
          <w:i/>
          <w:iCs/>
          <w:color w:val="000000"/>
          <w:sz w:val="24"/>
          <w:szCs w:val="24"/>
          <w:lang/>
        </w:rPr>
        <w:t>{Підпункт "д" підпункту 197.1.7 пункту 197.1 статті 197 із змінами, внесеними згідно із Законом </w:t>
      </w:r>
      <w:hyperlink r:id="rId3076" w:anchor="n28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8E3CC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5" w:name="n4788"/>
      <w:bookmarkEnd w:id="5705"/>
      <w:r w:rsidRPr="008B264B">
        <w:rPr>
          <w:rFonts w:ascii="Times New Roman" w:eastAsia="Times New Roman" w:hAnsi="Times New Roman" w:cs="Times New Roman"/>
          <w:color w:val="000000"/>
          <w:sz w:val="24"/>
          <w:szCs w:val="24"/>
          <w:lang/>
        </w:rPr>
        <w:t>197.1.8. постачання послуг з перевезення пасажирів міським пасажирським транспортом (крім таксі), тарифи на які регулюються в установленому законом порядку.</w:t>
      </w:r>
    </w:p>
    <w:p w14:paraId="061BCD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6" w:name="n4789"/>
      <w:bookmarkEnd w:id="5706"/>
      <w:r w:rsidRPr="008B264B">
        <w:rPr>
          <w:rFonts w:ascii="Times New Roman" w:eastAsia="Times New Roman" w:hAnsi="Times New Roman" w:cs="Times New Roman"/>
          <w:color w:val="000000"/>
          <w:sz w:val="24"/>
          <w:szCs w:val="24"/>
          <w:lang/>
        </w:rPr>
        <w:t>Ця норма не поширюється на операції з надання пасажирського транспорту в оренду (прокат);</w:t>
      </w:r>
    </w:p>
    <w:p w14:paraId="73B814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7" w:name="n4790"/>
      <w:bookmarkEnd w:id="5707"/>
      <w:r w:rsidRPr="008B264B">
        <w:rPr>
          <w:rFonts w:ascii="Times New Roman" w:eastAsia="Times New Roman" w:hAnsi="Times New Roman" w:cs="Times New Roman"/>
          <w:color w:val="000000"/>
          <w:sz w:val="24"/>
          <w:szCs w:val="24"/>
          <w:lang/>
        </w:rPr>
        <w:t>197.1.9. постачання релігійними організаціями культових послуг та предметів культового призначення за переліком, а саме:</w:t>
      </w:r>
    </w:p>
    <w:p w14:paraId="77F85C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8" w:name="n4791"/>
      <w:bookmarkEnd w:id="5708"/>
      <w:r w:rsidRPr="008B264B">
        <w:rPr>
          <w:rFonts w:ascii="Times New Roman" w:eastAsia="Times New Roman" w:hAnsi="Times New Roman" w:cs="Times New Roman"/>
          <w:color w:val="000000"/>
          <w:sz w:val="24"/>
          <w:szCs w:val="24"/>
          <w:lang/>
        </w:rPr>
        <w:t>а) культові послуги: хрещення, укладення церковного шлюбу, похорони, молебень, панахида, освячення (помешкань, автомобілів тощо), обрізання, перше причастя, бар-міцво (повноліття);</w:t>
      </w:r>
    </w:p>
    <w:p w14:paraId="0E0381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09" w:name="n4792"/>
      <w:bookmarkEnd w:id="5709"/>
      <w:r w:rsidRPr="008B264B">
        <w:rPr>
          <w:rFonts w:ascii="Times New Roman" w:eastAsia="Times New Roman" w:hAnsi="Times New Roman" w:cs="Times New Roman"/>
          <w:color w:val="000000"/>
          <w:sz w:val="24"/>
          <w:szCs w:val="24"/>
          <w:lang/>
        </w:rPr>
        <w:t xml:space="preserve">б) предмети культового призначення: свічки, ікони (образи), хрести (натільні, погребальні, вівтарні, требні, водосвятні, ієрейські, з прикрасами тощо), вервиці, покривала (вівтарні, погребальні тощо), медальйони з релігійною символікою, вугілля кадильне, ладан, лампадне масло, миро, лампади, кадила, підсвічники (семисвічники, трисвічники пасхальні тощо), плащаниці, облачення священнослужителів (ризи, підризники, воздухи, орлиці, стихарі, скуфії, </w:t>
      </w:r>
      <w:r w:rsidRPr="008B264B">
        <w:rPr>
          <w:rFonts w:ascii="Times New Roman" w:eastAsia="Times New Roman" w:hAnsi="Times New Roman" w:cs="Times New Roman"/>
          <w:color w:val="000000"/>
          <w:sz w:val="24"/>
          <w:szCs w:val="24"/>
          <w:lang/>
        </w:rPr>
        <w:lastRenderedPageBreak/>
        <w:t>митри, камілавки тощо), вінці, граматки, приладдя для хрещення (хрестильна скринька), дароносиці, дарохранильниці (реліквіарії), купелі, печатки для просфор, кропила, копія, стрючці, чаші (потирі), блюдця, звіздиці, лжиці, ковшики, дискоси, поплавки, дзвони, органи, фісгармонії, прохідні молитви, пояс "живий в помощі", мезузи, талеси, тфіліни (філактерії), скульптурні зображення святих, хоругви, фани, маца, проскури, облатки, богослужбова література;</w:t>
      </w:r>
    </w:p>
    <w:p w14:paraId="378975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0" w:name="n4793"/>
      <w:bookmarkEnd w:id="5710"/>
      <w:r w:rsidRPr="008B264B">
        <w:rPr>
          <w:rFonts w:ascii="Times New Roman" w:eastAsia="Times New Roman" w:hAnsi="Times New Roman" w:cs="Times New Roman"/>
          <w:color w:val="000000"/>
          <w:sz w:val="24"/>
          <w:szCs w:val="24"/>
          <w:lang/>
        </w:rPr>
        <w:t>197.1.10. постачання послуг з поховання та постачання ритуальних товарів державними та комунальними службами, а саме:</w:t>
      </w:r>
    </w:p>
    <w:p w14:paraId="2F5BC1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1" w:name="n4794"/>
      <w:bookmarkEnd w:id="5711"/>
      <w:r w:rsidRPr="008B264B">
        <w:rPr>
          <w:rFonts w:ascii="Times New Roman" w:eastAsia="Times New Roman" w:hAnsi="Times New Roman" w:cs="Times New Roman"/>
          <w:color w:val="000000"/>
          <w:sz w:val="24"/>
          <w:szCs w:val="24"/>
          <w:lang/>
        </w:rPr>
        <w:t>а) виклик агента ритуальної служби для оформлення замовлення на організацію та проведення поховання;</w:t>
      </w:r>
    </w:p>
    <w:p w14:paraId="6E2770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2" w:name="n4795"/>
      <w:bookmarkEnd w:id="5712"/>
      <w:r w:rsidRPr="008B264B">
        <w:rPr>
          <w:rFonts w:ascii="Times New Roman" w:eastAsia="Times New Roman" w:hAnsi="Times New Roman" w:cs="Times New Roman"/>
          <w:color w:val="000000"/>
          <w:sz w:val="24"/>
          <w:szCs w:val="24"/>
          <w:lang/>
        </w:rPr>
        <w:t>б) оформлення медичної довідки про причини смерті;</w:t>
      </w:r>
    </w:p>
    <w:p w14:paraId="7A0754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3" w:name="n4796"/>
      <w:bookmarkEnd w:id="5713"/>
      <w:r w:rsidRPr="008B264B">
        <w:rPr>
          <w:rFonts w:ascii="Times New Roman" w:eastAsia="Times New Roman" w:hAnsi="Times New Roman" w:cs="Times New Roman"/>
          <w:color w:val="000000"/>
          <w:sz w:val="24"/>
          <w:szCs w:val="24"/>
          <w:lang/>
        </w:rPr>
        <w:t>в) доставка замовникові ритуальних атрибутів для організації поховання;</w:t>
      </w:r>
    </w:p>
    <w:p w14:paraId="064EF5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4" w:name="n4797"/>
      <w:bookmarkEnd w:id="5714"/>
      <w:r w:rsidRPr="008B264B">
        <w:rPr>
          <w:rFonts w:ascii="Times New Roman" w:eastAsia="Times New Roman" w:hAnsi="Times New Roman" w:cs="Times New Roman"/>
          <w:color w:val="000000"/>
          <w:sz w:val="24"/>
          <w:szCs w:val="24"/>
          <w:lang/>
        </w:rPr>
        <w:t>г) навантаження, розвантаження та перенесення ритуальних атрибутів;</w:t>
      </w:r>
    </w:p>
    <w:p w14:paraId="1E2392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5" w:name="n4798"/>
      <w:bookmarkEnd w:id="5715"/>
      <w:r w:rsidRPr="008B264B">
        <w:rPr>
          <w:rFonts w:ascii="Times New Roman" w:eastAsia="Times New Roman" w:hAnsi="Times New Roman" w:cs="Times New Roman"/>
          <w:color w:val="000000"/>
          <w:sz w:val="24"/>
          <w:szCs w:val="24"/>
          <w:lang/>
        </w:rPr>
        <w:t>ґ) транспортні послуги, що надаються у процесі організації поховання;</w:t>
      </w:r>
    </w:p>
    <w:p w14:paraId="55AAF6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6" w:name="n4799"/>
      <w:bookmarkEnd w:id="5716"/>
      <w:r w:rsidRPr="008B264B">
        <w:rPr>
          <w:rFonts w:ascii="Times New Roman" w:eastAsia="Times New Roman" w:hAnsi="Times New Roman" w:cs="Times New Roman"/>
          <w:color w:val="000000"/>
          <w:sz w:val="24"/>
          <w:szCs w:val="24"/>
          <w:lang/>
        </w:rPr>
        <w:t>д) продаж стандартної труни;</w:t>
      </w:r>
    </w:p>
    <w:p w14:paraId="1AC625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7" w:name="n4800"/>
      <w:bookmarkEnd w:id="5717"/>
      <w:r w:rsidRPr="008B264B">
        <w:rPr>
          <w:rFonts w:ascii="Times New Roman" w:eastAsia="Times New Roman" w:hAnsi="Times New Roman" w:cs="Times New Roman"/>
          <w:color w:val="000000"/>
          <w:sz w:val="24"/>
          <w:szCs w:val="24"/>
          <w:lang/>
        </w:rPr>
        <w:t>е) продаж контейнера для перевезення оцинкованої труни; запаювання оцинкованої труни;</w:t>
      </w:r>
    </w:p>
    <w:p w14:paraId="3E8B8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8" w:name="n4801"/>
      <w:bookmarkEnd w:id="5718"/>
      <w:r w:rsidRPr="008B264B">
        <w:rPr>
          <w:rFonts w:ascii="Times New Roman" w:eastAsia="Times New Roman" w:hAnsi="Times New Roman" w:cs="Times New Roman"/>
          <w:color w:val="000000"/>
          <w:sz w:val="24"/>
          <w:szCs w:val="24"/>
          <w:lang/>
        </w:rPr>
        <w:t>є) утримання тіл померлих у холодильних камерах понад норму перебування (після смерті у лікувальному закладі, а також тих, що померли вдома чи інших місцях);</w:t>
      </w:r>
    </w:p>
    <w:p w14:paraId="0973C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19" w:name="n4802"/>
      <w:bookmarkEnd w:id="5719"/>
      <w:r w:rsidRPr="008B264B">
        <w:rPr>
          <w:rFonts w:ascii="Times New Roman" w:eastAsia="Times New Roman" w:hAnsi="Times New Roman" w:cs="Times New Roman"/>
          <w:color w:val="000000"/>
          <w:sz w:val="24"/>
          <w:szCs w:val="24"/>
          <w:lang/>
        </w:rPr>
        <w:t>ж) послуги з підготовки тіла покійного до поховання або кремації (послуги перукаря та косметолога, обмивання, бальзамування, укладання в труну);</w:t>
      </w:r>
    </w:p>
    <w:p w14:paraId="398F54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0" w:name="n4803"/>
      <w:bookmarkEnd w:id="5720"/>
      <w:r w:rsidRPr="008B264B">
        <w:rPr>
          <w:rFonts w:ascii="Times New Roman" w:eastAsia="Times New Roman" w:hAnsi="Times New Roman" w:cs="Times New Roman"/>
          <w:color w:val="000000"/>
          <w:sz w:val="24"/>
          <w:szCs w:val="24"/>
          <w:lang/>
        </w:rPr>
        <w:t>з) копання могили;</w:t>
      </w:r>
    </w:p>
    <w:p w14:paraId="4AA01E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1" w:name="n4804"/>
      <w:bookmarkEnd w:id="5721"/>
      <w:r w:rsidRPr="008B264B">
        <w:rPr>
          <w:rFonts w:ascii="Times New Roman" w:eastAsia="Times New Roman" w:hAnsi="Times New Roman" w:cs="Times New Roman"/>
          <w:color w:val="000000"/>
          <w:sz w:val="24"/>
          <w:szCs w:val="24"/>
          <w:lang/>
        </w:rPr>
        <w:t>и) перенесення труни з тілом покійного (додому, до квартири в багатоповерховому будинку, до моргу; з дому, квартири, моргу тощо до місця поховання);</w:t>
      </w:r>
    </w:p>
    <w:p w14:paraId="7BC2BD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2" w:name="n4805"/>
      <w:bookmarkEnd w:id="5722"/>
      <w:r w:rsidRPr="008B264B">
        <w:rPr>
          <w:rFonts w:ascii="Times New Roman" w:eastAsia="Times New Roman" w:hAnsi="Times New Roman" w:cs="Times New Roman"/>
          <w:color w:val="000000"/>
          <w:sz w:val="24"/>
          <w:szCs w:val="24"/>
          <w:lang/>
        </w:rPr>
        <w:t>і) музичний супровід обряду поховання;</w:t>
      </w:r>
    </w:p>
    <w:p w14:paraId="78E81E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3" w:name="n4806"/>
      <w:bookmarkEnd w:id="5723"/>
      <w:r w:rsidRPr="008B264B">
        <w:rPr>
          <w:rFonts w:ascii="Times New Roman" w:eastAsia="Times New Roman" w:hAnsi="Times New Roman" w:cs="Times New Roman"/>
          <w:color w:val="000000"/>
          <w:sz w:val="24"/>
          <w:szCs w:val="24"/>
          <w:lang/>
        </w:rPr>
        <w:t>ї) проведення громадянської панахиди;</w:t>
      </w:r>
    </w:p>
    <w:p w14:paraId="7BE18D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4" w:name="n4807"/>
      <w:bookmarkEnd w:id="5724"/>
      <w:r w:rsidRPr="008B264B">
        <w:rPr>
          <w:rFonts w:ascii="Times New Roman" w:eastAsia="Times New Roman" w:hAnsi="Times New Roman" w:cs="Times New Roman"/>
          <w:color w:val="000000"/>
          <w:sz w:val="24"/>
          <w:szCs w:val="24"/>
          <w:lang/>
        </w:rPr>
        <w:t>й) послуги організатора обряду поховання;</w:t>
      </w:r>
    </w:p>
    <w:p w14:paraId="16FC99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5" w:name="n4808"/>
      <w:bookmarkEnd w:id="5725"/>
      <w:r w:rsidRPr="008B264B">
        <w:rPr>
          <w:rFonts w:ascii="Times New Roman" w:eastAsia="Times New Roman" w:hAnsi="Times New Roman" w:cs="Times New Roman"/>
          <w:color w:val="000000"/>
          <w:sz w:val="24"/>
          <w:szCs w:val="24"/>
          <w:lang/>
        </w:rPr>
        <w:t>к) виготовлення та встановлення металевої намогильної таблички, хреста, надголовника або тимчасового пам'ятного знака;</w:t>
      </w:r>
    </w:p>
    <w:p w14:paraId="73A6D3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6" w:name="n4809"/>
      <w:bookmarkEnd w:id="5726"/>
      <w:r w:rsidRPr="008B264B">
        <w:rPr>
          <w:rFonts w:ascii="Times New Roman" w:eastAsia="Times New Roman" w:hAnsi="Times New Roman" w:cs="Times New Roman"/>
          <w:color w:val="000000"/>
          <w:sz w:val="24"/>
          <w:szCs w:val="24"/>
          <w:lang/>
        </w:rPr>
        <w:t>л) продаж стандартних похоронних вінків і траурних стрічок для них;</w:t>
      </w:r>
    </w:p>
    <w:p w14:paraId="620517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7" w:name="n4810"/>
      <w:bookmarkEnd w:id="5727"/>
      <w:r w:rsidRPr="008B264B">
        <w:rPr>
          <w:rFonts w:ascii="Times New Roman" w:eastAsia="Times New Roman" w:hAnsi="Times New Roman" w:cs="Times New Roman"/>
          <w:color w:val="000000"/>
          <w:sz w:val="24"/>
          <w:szCs w:val="24"/>
          <w:lang/>
        </w:rPr>
        <w:t>м) організація відправлення труни з тілом покійного чи урни з прахом покійного за кордон;</w:t>
      </w:r>
    </w:p>
    <w:p w14:paraId="78512A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8" w:name="n4811"/>
      <w:bookmarkEnd w:id="5728"/>
      <w:r w:rsidRPr="008B264B">
        <w:rPr>
          <w:rFonts w:ascii="Times New Roman" w:eastAsia="Times New Roman" w:hAnsi="Times New Roman" w:cs="Times New Roman"/>
          <w:color w:val="000000"/>
          <w:sz w:val="24"/>
          <w:szCs w:val="24"/>
          <w:lang/>
        </w:rPr>
        <w:t>н) у разі проведення підпоховання в могилу послуги з демонтажу елементів існуючого надгробка (пам'ятника) та їх установка;</w:t>
      </w:r>
    </w:p>
    <w:p w14:paraId="5CD0C6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29" w:name="n4812"/>
      <w:bookmarkEnd w:id="5729"/>
      <w:r w:rsidRPr="008B264B">
        <w:rPr>
          <w:rFonts w:ascii="Times New Roman" w:eastAsia="Times New Roman" w:hAnsi="Times New Roman" w:cs="Times New Roman"/>
          <w:color w:val="000000"/>
          <w:sz w:val="24"/>
          <w:szCs w:val="24"/>
          <w:lang/>
        </w:rPr>
        <w:t>о) написання тексту на траурній стрічці;</w:t>
      </w:r>
    </w:p>
    <w:p w14:paraId="504CD6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0" w:name="n4813"/>
      <w:bookmarkEnd w:id="5730"/>
      <w:r w:rsidRPr="008B264B">
        <w:rPr>
          <w:rFonts w:ascii="Times New Roman" w:eastAsia="Times New Roman" w:hAnsi="Times New Roman" w:cs="Times New Roman"/>
          <w:color w:val="000000"/>
          <w:sz w:val="24"/>
          <w:szCs w:val="24"/>
          <w:lang/>
        </w:rPr>
        <w:t>п) кремація;</w:t>
      </w:r>
    </w:p>
    <w:p w14:paraId="2ED353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1" w:name="n4814"/>
      <w:bookmarkEnd w:id="5731"/>
      <w:r w:rsidRPr="008B264B">
        <w:rPr>
          <w:rFonts w:ascii="Times New Roman" w:eastAsia="Times New Roman" w:hAnsi="Times New Roman" w:cs="Times New Roman"/>
          <w:color w:val="000000"/>
          <w:sz w:val="24"/>
          <w:szCs w:val="24"/>
          <w:lang/>
        </w:rPr>
        <w:t>р) продаж урни;</w:t>
      </w:r>
    </w:p>
    <w:p w14:paraId="7C42D3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2" w:name="n4815"/>
      <w:bookmarkEnd w:id="5732"/>
      <w:r w:rsidRPr="008B264B">
        <w:rPr>
          <w:rFonts w:ascii="Times New Roman" w:eastAsia="Times New Roman" w:hAnsi="Times New Roman" w:cs="Times New Roman"/>
          <w:color w:val="000000"/>
          <w:sz w:val="24"/>
          <w:szCs w:val="24"/>
          <w:lang/>
        </w:rPr>
        <w:t>с) продаж кубка для урни;</w:t>
      </w:r>
    </w:p>
    <w:p w14:paraId="2AC595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3" w:name="n4816"/>
      <w:bookmarkEnd w:id="5733"/>
      <w:r w:rsidRPr="008B264B">
        <w:rPr>
          <w:rFonts w:ascii="Times New Roman" w:eastAsia="Times New Roman" w:hAnsi="Times New Roman" w:cs="Times New Roman"/>
          <w:color w:val="000000"/>
          <w:sz w:val="24"/>
          <w:szCs w:val="24"/>
          <w:lang/>
        </w:rPr>
        <w:t>т) поховання урни з прахом у могилу, у колумбарії, розвіювання праху;</w:t>
      </w:r>
    </w:p>
    <w:p w14:paraId="791689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4" w:name="n4817"/>
      <w:bookmarkEnd w:id="5734"/>
      <w:r w:rsidRPr="008B264B">
        <w:rPr>
          <w:rFonts w:ascii="Times New Roman" w:eastAsia="Times New Roman" w:hAnsi="Times New Roman" w:cs="Times New Roman"/>
          <w:color w:val="000000"/>
          <w:sz w:val="24"/>
          <w:szCs w:val="24"/>
          <w:lang/>
        </w:rPr>
        <w:t>197.1.11. звільнення, зазначені у </w:t>
      </w:r>
      <w:hyperlink r:id="rId3077" w:anchor="n4793" w:history="1">
        <w:r w:rsidRPr="008B264B">
          <w:rPr>
            <w:rFonts w:ascii="Times New Roman" w:eastAsia="Times New Roman" w:hAnsi="Times New Roman" w:cs="Times New Roman"/>
            <w:color w:val="0000FF"/>
            <w:sz w:val="24"/>
            <w:szCs w:val="24"/>
            <w:u w:val="single"/>
            <w:lang/>
          </w:rPr>
          <w:t>підпункті 197.1.10</w:t>
        </w:r>
      </w:hyperlink>
      <w:r w:rsidRPr="008B264B">
        <w:rPr>
          <w:rFonts w:ascii="Times New Roman" w:eastAsia="Times New Roman" w:hAnsi="Times New Roman" w:cs="Times New Roman"/>
          <w:color w:val="000000"/>
          <w:sz w:val="24"/>
          <w:szCs w:val="24"/>
          <w:lang/>
        </w:rPr>
        <w:t> цього пункту, не поширюються на операції з постачання послуг з поховання та кремації трупів тварин і пов'язану з цим діяльність;</w:t>
      </w:r>
    </w:p>
    <w:p w14:paraId="70B841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5" w:name="n4818"/>
      <w:bookmarkEnd w:id="5735"/>
      <w:r w:rsidRPr="008B264B">
        <w:rPr>
          <w:rFonts w:ascii="Times New Roman" w:eastAsia="Times New Roman" w:hAnsi="Times New Roman" w:cs="Times New Roman"/>
          <w:color w:val="000000"/>
          <w:sz w:val="24"/>
          <w:szCs w:val="24"/>
          <w:lang/>
        </w:rPr>
        <w:lastRenderedPageBreak/>
        <w:t>197.1.12. безкоштовної передачі рухомого складу однією залізницею або підприємством залізничного транспорту загального користування іншим залізницям або підприємствам залізничного транспорту загального користування державної форми власності.</w:t>
      </w:r>
    </w:p>
    <w:p w14:paraId="67C699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6" w:name="n4819"/>
      <w:bookmarkEnd w:id="5736"/>
      <w:r w:rsidRPr="008B264B">
        <w:rPr>
          <w:rFonts w:ascii="Times New Roman" w:eastAsia="Times New Roman" w:hAnsi="Times New Roman" w:cs="Times New Roman"/>
          <w:color w:val="000000"/>
          <w:sz w:val="24"/>
          <w:szCs w:val="24"/>
          <w:lang/>
        </w:rPr>
        <w:t>Безкоштовна передача рухомого складу між підприємствами в межах залізниці проводиться за поданням начальника залізниці на основі рішення Укрзалізниці, а в межах Укрзалізниці - згідно з наказом її генерального директора. Безкоштовна передача рухомого складу оформляється актом приймання-передачі відповідно до законодавства.</w:t>
      </w:r>
    </w:p>
    <w:p w14:paraId="49068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7" w:name="n4820"/>
      <w:bookmarkEnd w:id="5737"/>
      <w:r w:rsidRPr="008B264B">
        <w:rPr>
          <w:rFonts w:ascii="Times New Roman" w:eastAsia="Times New Roman" w:hAnsi="Times New Roman" w:cs="Times New Roman"/>
          <w:color w:val="000000"/>
          <w:sz w:val="24"/>
          <w:szCs w:val="24"/>
          <w:lang/>
        </w:rPr>
        <w:t>Безкоштовна передача здійснюється в разі:</w:t>
      </w:r>
    </w:p>
    <w:p w14:paraId="1AB98B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8" w:name="n4821"/>
      <w:bookmarkEnd w:id="5738"/>
      <w:r w:rsidRPr="008B264B">
        <w:rPr>
          <w:rFonts w:ascii="Times New Roman" w:eastAsia="Times New Roman" w:hAnsi="Times New Roman" w:cs="Times New Roman"/>
          <w:color w:val="000000"/>
          <w:sz w:val="24"/>
          <w:szCs w:val="24"/>
          <w:lang/>
        </w:rPr>
        <w:t>виробничої потреби у зв'язку з єдиним технологічним процесом;</w:t>
      </w:r>
    </w:p>
    <w:p w14:paraId="5B253A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39" w:name="n4822"/>
      <w:bookmarkEnd w:id="5739"/>
      <w:r w:rsidRPr="008B264B">
        <w:rPr>
          <w:rFonts w:ascii="Times New Roman" w:eastAsia="Times New Roman" w:hAnsi="Times New Roman" w:cs="Times New Roman"/>
          <w:color w:val="000000"/>
          <w:sz w:val="24"/>
          <w:szCs w:val="24"/>
          <w:lang/>
        </w:rPr>
        <w:t>розподілу рухомого складу у зв'язку з реструктуризацією галузі та ліквідацією окремих підрозділів.</w:t>
      </w:r>
    </w:p>
    <w:p w14:paraId="3E3093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0" w:name="n4823"/>
      <w:bookmarkEnd w:id="5740"/>
      <w:r w:rsidRPr="008B264B">
        <w:rPr>
          <w:rFonts w:ascii="Times New Roman" w:eastAsia="Times New Roman" w:hAnsi="Times New Roman" w:cs="Times New Roman"/>
          <w:color w:val="000000"/>
          <w:sz w:val="24"/>
          <w:szCs w:val="24"/>
          <w:lang/>
        </w:rPr>
        <w:t>У разі якщо на дату проведення операцій з безоплатної передачі рухомого складу однією залізницею або підприємством залізничного транспорту загального користування іншим залізницям або підприємствам залізничного транспорту загального користування державної форми власності податкові зобов'язання не виникають. При цьому залізниці або підприємства залізничного транспорту, які безоплатно передають рухомий склад, коригування сум податкового кредиту не провадять;</w:t>
      </w:r>
    </w:p>
    <w:p w14:paraId="68886E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1" w:name="n4824"/>
      <w:bookmarkEnd w:id="5741"/>
      <w:r w:rsidRPr="008B264B">
        <w:rPr>
          <w:rFonts w:ascii="Times New Roman" w:eastAsia="Times New Roman" w:hAnsi="Times New Roman" w:cs="Times New Roman"/>
          <w:i/>
          <w:iCs/>
          <w:color w:val="000000"/>
          <w:sz w:val="24"/>
          <w:szCs w:val="24"/>
          <w:lang/>
        </w:rPr>
        <w:t>{Абзац шостий підпункту 197.1.12 пункту 197.1 статті 197 із змінами, внесеними згідно із Законом </w:t>
      </w:r>
      <w:hyperlink r:id="rId30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4F914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2" w:name="n4825"/>
      <w:bookmarkEnd w:id="5742"/>
      <w:r w:rsidRPr="008B264B">
        <w:rPr>
          <w:rFonts w:ascii="Times New Roman" w:eastAsia="Times New Roman" w:hAnsi="Times New Roman" w:cs="Times New Roman"/>
          <w:color w:val="000000"/>
          <w:sz w:val="24"/>
          <w:szCs w:val="24"/>
          <w:lang/>
        </w:rPr>
        <w:t>197.1.13. безоплатної приватизації житлового фонду, включаючи місця загального користування у багатоквартирних будинках та прибудинкових територій, присадибних земельних ділянок відповідно до законодавства, а також постачання послуг, отримання яких згідно із законодавством є обов'язковою передумовою приватизації житла, прибудинкових територій багатоквартирних будинків, присадибних земельних ділянок;</w:t>
      </w:r>
    </w:p>
    <w:p w14:paraId="72829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3" w:name="n4826"/>
      <w:bookmarkEnd w:id="5743"/>
      <w:r w:rsidRPr="008B264B">
        <w:rPr>
          <w:rFonts w:ascii="Times New Roman" w:eastAsia="Times New Roman" w:hAnsi="Times New Roman" w:cs="Times New Roman"/>
          <w:color w:val="000000"/>
          <w:sz w:val="24"/>
          <w:szCs w:val="24"/>
          <w:lang/>
        </w:rPr>
        <w:t>безоплатної передачі працівникам радгоспів та інших сільськогосподарських підприємств, що приватизуються, та прирівняним до них особам частки державного майна (акцій) відповідно до </w:t>
      </w:r>
      <w:hyperlink r:id="rId3079" w:anchor="n3" w:tgtFrame="_blank" w:history="1">
        <w:r w:rsidRPr="008B264B">
          <w:rPr>
            <w:rFonts w:ascii="Times New Roman" w:eastAsia="Times New Roman" w:hAnsi="Times New Roman" w:cs="Times New Roman"/>
            <w:color w:val="0000FF"/>
            <w:sz w:val="24"/>
            <w:szCs w:val="24"/>
            <w:u w:val="single"/>
            <w:lang/>
          </w:rPr>
          <w:t>Закону України "Про особливості приватизації майна в агропромисловому комплексі"</w:t>
        </w:r>
      </w:hyperlink>
      <w:r w:rsidRPr="008B264B">
        <w:rPr>
          <w:rFonts w:ascii="Times New Roman" w:eastAsia="Times New Roman" w:hAnsi="Times New Roman" w:cs="Times New Roman"/>
          <w:color w:val="000000"/>
          <w:sz w:val="24"/>
          <w:szCs w:val="24"/>
          <w:lang/>
        </w:rPr>
        <w:t>. </w:t>
      </w:r>
      <w:hyperlink r:id="rId3080" w:tgtFrame="_blank" w:history="1">
        <w:r w:rsidRPr="008B264B">
          <w:rPr>
            <w:rFonts w:ascii="Times New Roman" w:eastAsia="Times New Roman" w:hAnsi="Times New Roman" w:cs="Times New Roman"/>
            <w:color w:val="0000FF"/>
            <w:sz w:val="24"/>
            <w:szCs w:val="24"/>
            <w:u w:val="single"/>
            <w:lang/>
          </w:rPr>
          <w:t>Перелік підприємств, які підлягають приватизації</w:t>
        </w:r>
      </w:hyperlink>
      <w:r w:rsidRPr="008B264B">
        <w:rPr>
          <w:rFonts w:ascii="Times New Roman" w:eastAsia="Times New Roman" w:hAnsi="Times New Roman" w:cs="Times New Roman"/>
          <w:color w:val="000000"/>
          <w:sz w:val="24"/>
          <w:szCs w:val="24"/>
          <w:lang/>
        </w:rPr>
        <w:t>, визначається Кабінетом Міністрів України;</w:t>
      </w:r>
    </w:p>
    <w:p w14:paraId="1716C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4" w:name="n4827"/>
      <w:bookmarkEnd w:id="5744"/>
      <w:r w:rsidRPr="008B264B">
        <w:rPr>
          <w:rFonts w:ascii="Times New Roman" w:eastAsia="Times New Roman" w:hAnsi="Times New Roman" w:cs="Times New Roman"/>
          <w:color w:val="000000"/>
          <w:sz w:val="24"/>
          <w:szCs w:val="24"/>
          <w:lang/>
        </w:rPr>
        <w:t>197.1.14. постачання житла (об'єктів житлового фонду), крім їх першого постачання, якщо інше не передбачено цим підпунктом.</w:t>
      </w:r>
    </w:p>
    <w:p w14:paraId="5FAA91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5" w:name="n4828"/>
      <w:bookmarkEnd w:id="5745"/>
      <w:r w:rsidRPr="008B264B">
        <w:rPr>
          <w:rFonts w:ascii="Times New Roman" w:eastAsia="Times New Roman" w:hAnsi="Times New Roman" w:cs="Times New Roman"/>
          <w:i/>
          <w:iCs/>
          <w:color w:val="000000"/>
          <w:sz w:val="24"/>
          <w:szCs w:val="24"/>
          <w:lang/>
        </w:rPr>
        <w:t>{Абзац перший підпункту 197.1.14 пункту 197.1 статті 197 із змінами, внесеними згідно із Законом </w:t>
      </w:r>
      <w:hyperlink r:id="rId3081" w:tgtFrame="_blank" w:history="1">
        <w:r w:rsidRPr="008B264B">
          <w:rPr>
            <w:rFonts w:ascii="Times New Roman" w:eastAsia="Times New Roman" w:hAnsi="Times New Roman" w:cs="Times New Roman"/>
            <w:i/>
            <w:iCs/>
            <w:color w:val="0000FF"/>
            <w:sz w:val="24"/>
            <w:szCs w:val="24"/>
            <w:u w:val="single"/>
            <w:lang/>
          </w:rPr>
          <w:t>№ 4220-VI від 22.12.2011</w:t>
        </w:r>
      </w:hyperlink>
      <w:r w:rsidRPr="008B264B">
        <w:rPr>
          <w:rFonts w:ascii="Times New Roman" w:eastAsia="Times New Roman" w:hAnsi="Times New Roman" w:cs="Times New Roman"/>
          <w:i/>
          <w:iCs/>
          <w:color w:val="000000"/>
          <w:sz w:val="24"/>
          <w:szCs w:val="24"/>
          <w:lang/>
        </w:rPr>
        <w:t>}</w:t>
      </w:r>
    </w:p>
    <w:p w14:paraId="2D9DE8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6" w:name="n4829"/>
      <w:bookmarkEnd w:id="5746"/>
      <w:r w:rsidRPr="008B264B">
        <w:rPr>
          <w:rFonts w:ascii="Times New Roman" w:eastAsia="Times New Roman" w:hAnsi="Times New Roman" w:cs="Times New Roman"/>
          <w:color w:val="000000"/>
          <w:sz w:val="24"/>
          <w:szCs w:val="24"/>
          <w:lang/>
        </w:rPr>
        <w:t>У цьому підпункті перше постачання житла (об'єкта житлового фонду) означає:</w:t>
      </w:r>
    </w:p>
    <w:p w14:paraId="1DF7A9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7" w:name="n4830"/>
      <w:bookmarkEnd w:id="5747"/>
      <w:r w:rsidRPr="008B264B">
        <w:rPr>
          <w:rFonts w:ascii="Times New Roman" w:eastAsia="Times New Roman" w:hAnsi="Times New Roman" w:cs="Times New Roman"/>
          <w:color w:val="000000"/>
          <w:sz w:val="24"/>
          <w:szCs w:val="24"/>
          <w:lang/>
        </w:rPr>
        <w:t>а) першу передачу готового новозбудованого житла (об'єкта житлового фонду) у власність покупця або постачання послуг (включаючи вартість придбаних за рахунок виконавця матеріалів) із спорудження такого житла за рахунок замовника;</w:t>
      </w:r>
    </w:p>
    <w:p w14:paraId="41344E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8" w:name="n4831"/>
      <w:bookmarkEnd w:id="5748"/>
      <w:r w:rsidRPr="008B264B">
        <w:rPr>
          <w:rFonts w:ascii="Times New Roman" w:eastAsia="Times New Roman" w:hAnsi="Times New Roman" w:cs="Times New Roman"/>
          <w:color w:val="000000"/>
          <w:sz w:val="24"/>
          <w:szCs w:val="24"/>
          <w:lang/>
        </w:rPr>
        <w:t>б) перший продаж реконструйованого або капітально відремонтованого житла (об'єкта житлового фонду) покупцю, який є особою, іншою, ніж власник такого об'єкта на момент виведення його з експлуатації (використання) у зв'язку з такою реконструкцією або капітальним ремонтом, або постачання послуг (включаючи вартість придбаних за рахунок виконавця матеріалів) на таку реконструкцію чи капітальний ремонт за рахунок замовника.</w:t>
      </w:r>
    </w:p>
    <w:p w14:paraId="0EB72E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49" w:name="n4832"/>
      <w:bookmarkEnd w:id="5749"/>
      <w:r w:rsidRPr="008B264B">
        <w:rPr>
          <w:rFonts w:ascii="Times New Roman" w:eastAsia="Times New Roman" w:hAnsi="Times New Roman" w:cs="Times New Roman"/>
          <w:color w:val="000000"/>
          <w:sz w:val="24"/>
          <w:szCs w:val="24"/>
          <w:lang/>
        </w:rPr>
        <w:t>Норми цього підпункту поширюються також на перший продаж дачних або садових будинків, а також будь-яких інших об'єктів власності, зареєстрованих згідно із законодавством як житло (житловий фонд).</w:t>
      </w:r>
    </w:p>
    <w:p w14:paraId="247626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0" w:name="n4833"/>
      <w:bookmarkEnd w:id="5750"/>
      <w:r w:rsidRPr="008B264B">
        <w:rPr>
          <w:rFonts w:ascii="Times New Roman" w:eastAsia="Times New Roman" w:hAnsi="Times New Roman" w:cs="Times New Roman"/>
          <w:color w:val="000000"/>
          <w:sz w:val="24"/>
          <w:szCs w:val="24"/>
          <w:lang/>
        </w:rPr>
        <w:lastRenderedPageBreak/>
        <w:t>Операції з першого постачання доступного житла та житла, що будується із залученням державних коштів, звільняються від оподаткування;</w:t>
      </w:r>
    </w:p>
    <w:p w14:paraId="63B80F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1" w:name="n4834"/>
      <w:bookmarkEnd w:id="5751"/>
      <w:r w:rsidRPr="008B264B">
        <w:rPr>
          <w:rFonts w:ascii="Times New Roman" w:eastAsia="Times New Roman" w:hAnsi="Times New Roman" w:cs="Times New Roman"/>
          <w:i/>
          <w:iCs/>
          <w:color w:val="000000"/>
          <w:sz w:val="24"/>
          <w:szCs w:val="24"/>
          <w:lang/>
        </w:rPr>
        <w:t>{Підпункт 197.1.14 пункту 197.1 статті 197 доповнено абзацом шостим згідно із Законом </w:t>
      </w:r>
      <w:hyperlink r:id="rId3082" w:tgtFrame="_blank" w:history="1">
        <w:r w:rsidRPr="008B264B">
          <w:rPr>
            <w:rFonts w:ascii="Times New Roman" w:eastAsia="Times New Roman" w:hAnsi="Times New Roman" w:cs="Times New Roman"/>
            <w:i/>
            <w:iCs/>
            <w:color w:val="0000FF"/>
            <w:sz w:val="24"/>
            <w:szCs w:val="24"/>
            <w:u w:val="single"/>
            <w:lang/>
          </w:rPr>
          <w:t>№ 4220-VI від 22.12.2011</w:t>
        </w:r>
      </w:hyperlink>
      <w:r w:rsidRPr="008B264B">
        <w:rPr>
          <w:rFonts w:ascii="Times New Roman" w:eastAsia="Times New Roman" w:hAnsi="Times New Roman" w:cs="Times New Roman"/>
          <w:i/>
          <w:iCs/>
          <w:color w:val="000000"/>
          <w:sz w:val="24"/>
          <w:szCs w:val="24"/>
          <w:lang/>
        </w:rPr>
        <w:t>}</w:t>
      </w:r>
    </w:p>
    <w:p w14:paraId="273E27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2" w:name="n4835"/>
      <w:bookmarkEnd w:id="5752"/>
      <w:r w:rsidRPr="008B264B">
        <w:rPr>
          <w:rFonts w:ascii="Times New Roman" w:eastAsia="Times New Roman" w:hAnsi="Times New Roman" w:cs="Times New Roman"/>
          <w:color w:val="000000"/>
          <w:sz w:val="24"/>
          <w:szCs w:val="24"/>
          <w:lang/>
        </w:rPr>
        <w:t>197.1.15. надання благодійної допомоги, зокрема безоплатне постачання товарів/послуг благодійним організаціям, утвореним і зареєстрованим відповідно до законодавства, а також надання такої допомоги благодійними організаціями набувачам (суб'єктам) благодійної допомоги відповідно до законодавства про благодійну діяльність та благодійні організації.</w:t>
      </w:r>
    </w:p>
    <w:p w14:paraId="167D66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3" w:name="n4836"/>
      <w:bookmarkEnd w:id="5753"/>
      <w:r w:rsidRPr="008B264B">
        <w:rPr>
          <w:rFonts w:ascii="Times New Roman" w:eastAsia="Times New Roman" w:hAnsi="Times New Roman" w:cs="Times New Roman"/>
          <w:i/>
          <w:iCs/>
          <w:color w:val="000000"/>
          <w:sz w:val="24"/>
          <w:szCs w:val="24"/>
          <w:lang/>
        </w:rPr>
        <w:t>{Абзац перший підпункту 197.1.15 пункту 197.1 статті 197 із змінами, внесеними згідно із Законом </w:t>
      </w:r>
      <w:hyperlink r:id="rId3083" w:anchor="n197" w:tgtFrame="_blank" w:history="1">
        <w:r w:rsidRPr="008B264B">
          <w:rPr>
            <w:rFonts w:ascii="Times New Roman" w:eastAsia="Times New Roman" w:hAnsi="Times New Roman" w:cs="Times New Roman"/>
            <w:i/>
            <w:iCs/>
            <w:color w:val="0000FF"/>
            <w:sz w:val="24"/>
            <w:szCs w:val="24"/>
            <w:u w:val="single"/>
            <w:lang/>
          </w:rPr>
          <w:t>№ 5073-VI від 05.07.2012</w:t>
        </w:r>
      </w:hyperlink>
      <w:r w:rsidRPr="008B264B">
        <w:rPr>
          <w:rFonts w:ascii="Times New Roman" w:eastAsia="Times New Roman" w:hAnsi="Times New Roman" w:cs="Times New Roman"/>
          <w:i/>
          <w:iCs/>
          <w:color w:val="000000"/>
          <w:sz w:val="24"/>
          <w:szCs w:val="24"/>
          <w:lang/>
        </w:rPr>
        <w:t>}</w:t>
      </w:r>
    </w:p>
    <w:p w14:paraId="63C044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4" w:name="n4837"/>
      <w:bookmarkEnd w:id="5754"/>
      <w:r w:rsidRPr="008B264B">
        <w:rPr>
          <w:rFonts w:ascii="Times New Roman" w:eastAsia="Times New Roman" w:hAnsi="Times New Roman" w:cs="Times New Roman"/>
          <w:color w:val="000000"/>
          <w:sz w:val="24"/>
          <w:szCs w:val="24"/>
          <w:lang/>
        </w:rPr>
        <w:t>Під безоплатним постачанням слід розуміти постачання товарів/послуг благодійним організаціям та набувачам благодійної допомоги без будь-якої грошової, матеріальної або інших видів компенсації. У разі недотримання умов, визначених цим підпунктом, такі операції оподатковуються на загальних підставах.</w:t>
      </w:r>
    </w:p>
    <w:p w14:paraId="6215BA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5" w:name="n4838"/>
      <w:bookmarkEnd w:id="5755"/>
      <w:r w:rsidRPr="008B264B">
        <w:rPr>
          <w:rFonts w:ascii="Times New Roman" w:eastAsia="Times New Roman" w:hAnsi="Times New Roman" w:cs="Times New Roman"/>
          <w:color w:val="000000"/>
          <w:sz w:val="24"/>
          <w:szCs w:val="24"/>
          <w:lang/>
        </w:rPr>
        <w:t>На товари, які надходять як благодійна допомога від вітчизняних благодійників за цілями, визначеними </w:t>
      </w:r>
      <w:hyperlink r:id="rId3084" w:anchor="n19" w:tgtFrame="_blank" w:history="1">
        <w:r w:rsidRPr="008B264B">
          <w:rPr>
            <w:rFonts w:ascii="Times New Roman" w:eastAsia="Times New Roman" w:hAnsi="Times New Roman" w:cs="Times New Roman"/>
            <w:color w:val="0000FF"/>
            <w:sz w:val="24"/>
            <w:szCs w:val="24"/>
            <w:u w:val="single"/>
            <w:lang/>
          </w:rPr>
          <w:t>статтею 3 Закону України</w:t>
        </w:r>
      </w:hyperlink>
      <w:r w:rsidRPr="008B264B">
        <w:rPr>
          <w:rFonts w:ascii="Times New Roman" w:eastAsia="Times New Roman" w:hAnsi="Times New Roman" w:cs="Times New Roman"/>
          <w:color w:val="000000"/>
          <w:sz w:val="24"/>
          <w:szCs w:val="24"/>
          <w:lang/>
        </w:rPr>
        <w:t> "Про благодійну діяльність та благодійні організації", поширюються правила маркування.</w:t>
      </w:r>
    </w:p>
    <w:p w14:paraId="76AAC8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6" w:name="n4839"/>
      <w:bookmarkEnd w:id="5756"/>
      <w:r w:rsidRPr="008B264B">
        <w:rPr>
          <w:rFonts w:ascii="Times New Roman" w:eastAsia="Times New Roman" w:hAnsi="Times New Roman" w:cs="Times New Roman"/>
          <w:i/>
          <w:iCs/>
          <w:color w:val="000000"/>
          <w:sz w:val="24"/>
          <w:szCs w:val="24"/>
          <w:lang/>
        </w:rPr>
        <w:t>{Абзац третій підпункту 197.1.15 пункту 197.1 статті 197 із змінами, внесеними згідно із Законом </w:t>
      </w:r>
      <w:hyperlink r:id="rId3085" w:anchor="n198" w:tgtFrame="_blank" w:history="1">
        <w:r w:rsidRPr="008B264B">
          <w:rPr>
            <w:rFonts w:ascii="Times New Roman" w:eastAsia="Times New Roman" w:hAnsi="Times New Roman" w:cs="Times New Roman"/>
            <w:i/>
            <w:iCs/>
            <w:color w:val="0000FF"/>
            <w:sz w:val="24"/>
            <w:szCs w:val="24"/>
            <w:u w:val="single"/>
            <w:lang/>
          </w:rPr>
          <w:t>№ 5073-VI від 05.07.2012</w:t>
        </w:r>
      </w:hyperlink>
      <w:r w:rsidRPr="008B264B">
        <w:rPr>
          <w:rFonts w:ascii="Times New Roman" w:eastAsia="Times New Roman" w:hAnsi="Times New Roman" w:cs="Times New Roman"/>
          <w:i/>
          <w:iCs/>
          <w:color w:val="000000"/>
          <w:sz w:val="24"/>
          <w:szCs w:val="24"/>
          <w:lang/>
        </w:rPr>
        <w:t>}</w:t>
      </w:r>
    </w:p>
    <w:p w14:paraId="10E31A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7" w:name="n4840"/>
      <w:bookmarkEnd w:id="5757"/>
      <w:r w:rsidRPr="008B264B">
        <w:rPr>
          <w:rFonts w:ascii="Times New Roman" w:eastAsia="Times New Roman" w:hAnsi="Times New Roman" w:cs="Times New Roman"/>
          <w:color w:val="000000"/>
          <w:sz w:val="24"/>
          <w:szCs w:val="24"/>
          <w:lang/>
        </w:rPr>
        <w:t>Маркування проводиться шляхом нанесення напису "Благодійна допомога. Продаж заборонено" на етикетку, ярлик або безпосередньо на зовнішню або внутрішню упаковку товару. Під час маркування товарів благодійної допомоги може використовуватися символіка благодійної організації та благодійника.</w:t>
      </w:r>
    </w:p>
    <w:p w14:paraId="738344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8" w:name="n4841"/>
      <w:bookmarkEnd w:id="5758"/>
      <w:r w:rsidRPr="008B264B">
        <w:rPr>
          <w:rFonts w:ascii="Times New Roman" w:eastAsia="Times New Roman" w:hAnsi="Times New Roman" w:cs="Times New Roman"/>
          <w:color w:val="000000"/>
          <w:sz w:val="24"/>
          <w:szCs w:val="24"/>
          <w:lang/>
        </w:rPr>
        <w:t>Товари маркуються таким чином, щоб під час огляду упаковки або безпосередньо товарів напис було видно повністю і чітко.</w:t>
      </w:r>
    </w:p>
    <w:p w14:paraId="0DF9F4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59" w:name="n4842"/>
      <w:bookmarkEnd w:id="5759"/>
      <w:r w:rsidRPr="008B264B">
        <w:rPr>
          <w:rFonts w:ascii="Times New Roman" w:eastAsia="Times New Roman" w:hAnsi="Times New Roman" w:cs="Times New Roman"/>
          <w:color w:val="000000"/>
          <w:sz w:val="24"/>
          <w:szCs w:val="24"/>
          <w:lang/>
        </w:rPr>
        <w:t>Товари благодійної допомоги маркуються благодійниками, які надають таку допомогу.</w:t>
      </w:r>
    </w:p>
    <w:p w14:paraId="4921D5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0" w:name="n4843"/>
      <w:bookmarkEnd w:id="5760"/>
      <w:r w:rsidRPr="008B264B">
        <w:rPr>
          <w:rFonts w:ascii="Times New Roman" w:eastAsia="Times New Roman" w:hAnsi="Times New Roman" w:cs="Times New Roman"/>
          <w:color w:val="000000"/>
          <w:sz w:val="24"/>
          <w:szCs w:val="24"/>
          <w:lang/>
        </w:rPr>
        <w:t>Контроль за виконанням правил маркування здійснюють місцеві органи виконавчої влади та контролюючі органи.</w:t>
      </w:r>
    </w:p>
    <w:p w14:paraId="31FFF8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1" w:name="n4844"/>
      <w:bookmarkEnd w:id="5761"/>
      <w:r w:rsidRPr="008B264B">
        <w:rPr>
          <w:rFonts w:ascii="Times New Roman" w:eastAsia="Times New Roman" w:hAnsi="Times New Roman" w:cs="Times New Roman"/>
          <w:color w:val="000000"/>
          <w:sz w:val="24"/>
          <w:szCs w:val="24"/>
          <w:lang/>
        </w:rPr>
        <w:t>Благодійна допомога може надаватися у вигляді товарів, робіт, послуг, призначених для використання юридичними особами - її набувачами з метою провадження діяльності за цілями, передбаченими </w:t>
      </w:r>
      <w:hyperlink r:id="rId3086" w:anchor="n19" w:tgtFrame="_blank" w:history="1">
        <w:r w:rsidRPr="008B264B">
          <w:rPr>
            <w:rFonts w:ascii="Times New Roman" w:eastAsia="Times New Roman" w:hAnsi="Times New Roman" w:cs="Times New Roman"/>
            <w:color w:val="0000FF"/>
            <w:sz w:val="24"/>
            <w:szCs w:val="24"/>
            <w:u w:val="single"/>
            <w:lang/>
          </w:rPr>
          <w:t>статтею 3 Закону України</w:t>
        </w:r>
      </w:hyperlink>
      <w:r w:rsidRPr="008B264B">
        <w:rPr>
          <w:rFonts w:ascii="Times New Roman" w:eastAsia="Times New Roman" w:hAnsi="Times New Roman" w:cs="Times New Roman"/>
          <w:color w:val="000000"/>
          <w:sz w:val="24"/>
          <w:szCs w:val="24"/>
          <w:lang/>
        </w:rPr>
        <w:t> "Про благодійну діяльність та благодійні організації".</w:t>
      </w:r>
    </w:p>
    <w:p w14:paraId="43DB3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2" w:name="n4845"/>
      <w:bookmarkEnd w:id="5762"/>
      <w:r w:rsidRPr="008B264B">
        <w:rPr>
          <w:rFonts w:ascii="Times New Roman" w:eastAsia="Times New Roman" w:hAnsi="Times New Roman" w:cs="Times New Roman"/>
          <w:i/>
          <w:iCs/>
          <w:color w:val="000000"/>
          <w:sz w:val="24"/>
          <w:szCs w:val="24"/>
          <w:lang/>
        </w:rPr>
        <w:t>{Абзац восьмий підпункту 197.1.15 пункту 197.1 статті 197 із змінами, внесеними згідно із Законом </w:t>
      </w:r>
      <w:hyperlink r:id="rId3087" w:anchor="n199" w:tgtFrame="_blank" w:history="1">
        <w:r w:rsidRPr="008B264B">
          <w:rPr>
            <w:rFonts w:ascii="Times New Roman" w:eastAsia="Times New Roman" w:hAnsi="Times New Roman" w:cs="Times New Roman"/>
            <w:i/>
            <w:iCs/>
            <w:color w:val="0000FF"/>
            <w:sz w:val="24"/>
            <w:szCs w:val="24"/>
            <w:u w:val="single"/>
            <w:lang/>
          </w:rPr>
          <w:t>№ 5073-VI від 05.07.2012</w:t>
        </w:r>
      </w:hyperlink>
      <w:r w:rsidRPr="008B264B">
        <w:rPr>
          <w:rFonts w:ascii="Times New Roman" w:eastAsia="Times New Roman" w:hAnsi="Times New Roman" w:cs="Times New Roman"/>
          <w:i/>
          <w:iCs/>
          <w:color w:val="000000"/>
          <w:sz w:val="24"/>
          <w:szCs w:val="24"/>
          <w:lang/>
        </w:rPr>
        <w:t>}</w:t>
      </w:r>
    </w:p>
    <w:p w14:paraId="4B342D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3" w:name="n4846"/>
      <w:bookmarkEnd w:id="5763"/>
      <w:r w:rsidRPr="008B264B">
        <w:rPr>
          <w:rFonts w:ascii="Times New Roman" w:eastAsia="Times New Roman" w:hAnsi="Times New Roman" w:cs="Times New Roman"/>
          <w:color w:val="000000"/>
          <w:sz w:val="24"/>
          <w:szCs w:val="24"/>
          <w:lang/>
        </w:rPr>
        <w:t>Після отримання від благодійника пропозиції щодо надання благодійної допомоги у вигляді товарів, її видів, розмірів тощо юридична особа - набувач благодійної допомоги:</w:t>
      </w:r>
    </w:p>
    <w:p w14:paraId="2BAF59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4" w:name="n4847"/>
      <w:bookmarkEnd w:id="5764"/>
      <w:r w:rsidRPr="008B264B">
        <w:rPr>
          <w:rFonts w:ascii="Times New Roman" w:eastAsia="Times New Roman" w:hAnsi="Times New Roman" w:cs="Times New Roman"/>
          <w:color w:val="000000"/>
          <w:sz w:val="24"/>
          <w:szCs w:val="24"/>
          <w:lang/>
        </w:rPr>
        <w:t>визначає з урахуванням рекомендацій відповідних органів виконавчої влади та органів місцевого самоврядування коло осіб, яким вона надаватиметься;</w:t>
      </w:r>
    </w:p>
    <w:p w14:paraId="010971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5" w:name="n4848"/>
      <w:bookmarkEnd w:id="5765"/>
      <w:r w:rsidRPr="008B264B">
        <w:rPr>
          <w:rFonts w:ascii="Times New Roman" w:eastAsia="Times New Roman" w:hAnsi="Times New Roman" w:cs="Times New Roman"/>
          <w:color w:val="000000"/>
          <w:sz w:val="24"/>
          <w:szCs w:val="24"/>
          <w:lang/>
        </w:rPr>
        <w:t>повідомляє благодійника про намір прийняти запропоновану благодійну допомогу.</w:t>
      </w:r>
    </w:p>
    <w:p w14:paraId="6242A2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6" w:name="n4849"/>
      <w:bookmarkEnd w:id="5766"/>
      <w:r w:rsidRPr="008B264B">
        <w:rPr>
          <w:rFonts w:ascii="Times New Roman" w:eastAsia="Times New Roman" w:hAnsi="Times New Roman" w:cs="Times New Roman"/>
          <w:color w:val="000000"/>
          <w:sz w:val="24"/>
          <w:szCs w:val="24"/>
          <w:lang/>
        </w:rPr>
        <w:t>Юридичні особи - набувачі благодійної допомоги ведуть бухгалтерський та оперативний облік надходження, зберігання, розподілу та використання благодійної допомоги у вигляді товарів, робіт, послуг, а також звітність за встановленою центральним органом виконавчої влади, що забезпечує формування державної політики у сфері статистики формою, яку надсилають контролюючим органам.</w:t>
      </w:r>
    </w:p>
    <w:p w14:paraId="3157D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7" w:name="n4850"/>
      <w:bookmarkEnd w:id="5767"/>
      <w:r w:rsidRPr="008B264B">
        <w:rPr>
          <w:rFonts w:ascii="Times New Roman" w:eastAsia="Times New Roman" w:hAnsi="Times New Roman" w:cs="Times New Roman"/>
          <w:i/>
          <w:iCs/>
          <w:color w:val="000000"/>
          <w:sz w:val="24"/>
          <w:szCs w:val="24"/>
          <w:lang/>
        </w:rPr>
        <w:t>{Абзац дванадцятий підпункту 197.1.15 пункту 197.1 статті 197 із змінами, внесеними згідно із Законом </w:t>
      </w:r>
      <w:hyperlink r:id="rId3088" w:anchor="n20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126377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8" w:name="n4851"/>
      <w:bookmarkEnd w:id="5768"/>
      <w:r w:rsidRPr="008B264B">
        <w:rPr>
          <w:rFonts w:ascii="Times New Roman" w:eastAsia="Times New Roman" w:hAnsi="Times New Roman" w:cs="Times New Roman"/>
          <w:color w:val="000000"/>
          <w:sz w:val="24"/>
          <w:szCs w:val="24"/>
          <w:lang/>
        </w:rPr>
        <w:lastRenderedPageBreak/>
        <w:t>Для бухгалтерського обліку операцій, пов'язаних з благодійною допомогою, юридичні особи - набувачі благодійної допомоги користуються планом рахунків та інструкцією, що діють в Україні.</w:t>
      </w:r>
    </w:p>
    <w:p w14:paraId="0CDC91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69" w:name="n4852"/>
      <w:bookmarkEnd w:id="5769"/>
      <w:r w:rsidRPr="008B264B">
        <w:rPr>
          <w:rFonts w:ascii="Times New Roman" w:eastAsia="Times New Roman" w:hAnsi="Times New Roman" w:cs="Times New Roman"/>
          <w:color w:val="000000"/>
          <w:sz w:val="24"/>
          <w:szCs w:val="24"/>
          <w:lang/>
        </w:rPr>
        <w:t>Юридичні особи - набувачі благодійної допомоги самостійно визначають порядок аналітичного обліку операцій, пов'язаних з благодійною допомогою, відкривають відповідні рахунки.</w:t>
      </w:r>
    </w:p>
    <w:p w14:paraId="04D948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0" w:name="n4853"/>
      <w:bookmarkEnd w:id="5770"/>
      <w:r w:rsidRPr="008B264B">
        <w:rPr>
          <w:rFonts w:ascii="Times New Roman" w:eastAsia="Times New Roman" w:hAnsi="Times New Roman" w:cs="Times New Roman"/>
          <w:color w:val="000000"/>
          <w:sz w:val="24"/>
          <w:szCs w:val="24"/>
          <w:lang/>
        </w:rPr>
        <w:t>Юридичні особи - набувачі благодійної допомоги у своїй річній фінансовій звітності відображають:</w:t>
      </w:r>
    </w:p>
    <w:p w14:paraId="1EB42D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1" w:name="n4854"/>
      <w:bookmarkEnd w:id="5771"/>
      <w:r w:rsidRPr="008B264B">
        <w:rPr>
          <w:rFonts w:ascii="Times New Roman" w:eastAsia="Times New Roman" w:hAnsi="Times New Roman" w:cs="Times New Roman"/>
          <w:color w:val="000000"/>
          <w:sz w:val="24"/>
          <w:szCs w:val="24"/>
          <w:lang/>
        </w:rPr>
        <w:t>у бухгалтерському балансі - окремо кошти (товари, роботи, послуги), отримані як благодійна допомога;</w:t>
      </w:r>
    </w:p>
    <w:p w14:paraId="013E0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2" w:name="n4855"/>
      <w:bookmarkEnd w:id="5772"/>
      <w:r w:rsidRPr="008B264B">
        <w:rPr>
          <w:rFonts w:ascii="Times New Roman" w:eastAsia="Times New Roman" w:hAnsi="Times New Roman" w:cs="Times New Roman"/>
          <w:color w:val="000000"/>
          <w:sz w:val="24"/>
          <w:szCs w:val="24"/>
          <w:lang/>
        </w:rPr>
        <w:t>у звіті про прибутки та збитки - окремо вартісну величину отриманої благодійної допомоги.</w:t>
      </w:r>
    </w:p>
    <w:p w14:paraId="447CF1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3" w:name="n4856"/>
      <w:bookmarkEnd w:id="5773"/>
      <w:r w:rsidRPr="008B264B">
        <w:rPr>
          <w:rFonts w:ascii="Times New Roman" w:eastAsia="Times New Roman" w:hAnsi="Times New Roman" w:cs="Times New Roman"/>
          <w:color w:val="000000"/>
          <w:sz w:val="24"/>
          <w:szCs w:val="24"/>
          <w:lang/>
        </w:rPr>
        <w:t>У додатку (коментарі) до річного звіту робляться необхідні пояснення щодо зазначених показників діяльності, пов'язаної з благодійною допомогою.</w:t>
      </w:r>
    </w:p>
    <w:p w14:paraId="084F7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4" w:name="n4857"/>
      <w:bookmarkEnd w:id="5774"/>
      <w:r w:rsidRPr="008B264B">
        <w:rPr>
          <w:rFonts w:ascii="Times New Roman" w:eastAsia="Times New Roman" w:hAnsi="Times New Roman" w:cs="Times New Roman"/>
          <w:color w:val="000000"/>
          <w:sz w:val="24"/>
          <w:szCs w:val="24"/>
          <w:lang/>
        </w:rPr>
        <w:t>Контроль за отриманням, зберіганням, розподілом благодійної допомоги у вигляді товарів, робіт, послуг здійснюють місцеві органи виконавчої влади, а за їх цільовим використанням - місцеві органи виконавчої влади та контролюючі органи.</w:t>
      </w:r>
    </w:p>
    <w:p w14:paraId="6BDAFD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5" w:name="n4858"/>
      <w:bookmarkEnd w:id="5775"/>
      <w:r w:rsidRPr="008B264B">
        <w:rPr>
          <w:rFonts w:ascii="Times New Roman" w:eastAsia="Times New Roman" w:hAnsi="Times New Roman" w:cs="Times New Roman"/>
          <w:color w:val="000000"/>
          <w:sz w:val="24"/>
          <w:szCs w:val="24"/>
          <w:lang/>
        </w:rPr>
        <w:t>Отримані з метою надання благодійної допомоги марковані товари, які поставляються за кошти чи інші види компенсації, та/або виручка, отримана за таке постачання, підлягають вилученню в недобросовісного продавця і конфіскуються в дохід держави в установленому порядку.</w:t>
      </w:r>
    </w:p>
    <w:p w14:paraId="4B48C3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6" w:name="n4859"/>
      <w:bookmarkEnd w:id="5776"/>
      <w:r w:rsidRPr="008B264B">
        <w:rPr>
          <w:rFonts w:ascii="Times New Roman" w:eastAsia="Times New Roman" w:hAnsi="Times New Roman" w:cs="Times New Roman"/>
          <w:color w:val="000000"/>
          <w:sz w:val="24"/>
          <w:szCs w:val="24"/>
          <w:lang/>
        </w:rPr>
        <w:t>Не підлягають звільненню від оподаткування операції з надання благодійної допомоги у вигляді зазначених у </w:t>
      </w:r>
      <w:hyperlink r:id="rId3089" w:anchor="n5400" w:history="1">
        <w:r w:rsidRPr="008B264B">
          <w:rPr>
            <w:rFonts w:ascii="Times New Roman" w:eastAsia="Times New Roman" w:hAnsi="Times New Roman" w:cs="Times New Roman"/>
            <w:color w:val="0000FF"/>
            <w:sz w:val="24"/>
            <w:szCs w:val="24"/>
            <w:u w:val="single"/>
            <w:lang/>
          </w:rPr>
          <w:t>розділі VI</w:t>
        </w:r>
      </w:hyperlink>
      <w:r w:rsidRPr="008B264B">
        <w:rPr>
          <w:rFonts w:ascii="Times New Roman" w:eastAsia="Times New Roman" w:hAnsi="Times New Roman" w:cs="Times New Roman"/>
          <w:color w:val="000000"/>
          <w:sz w:val="24"/>
          <w:szCs w:val="24"/>
          <w:lang/>
        </w:rPr>
        <w:t> цього Кодексу підакцизних товарів, цінних паперів (крім наданих ендавментів, зазначених у </w:t>
      </w:r>
      <w:hyperlink r:id="rId3090" w:anchor="n3610" w:history="1">
        <w:r w:rsidRPr="008B264B">
          <w:rPr>
            <w:rFonts w:ascii="Times New Roman" w:eastAsia="Times New Roman" w:hAnsi="Times New Roman" w:cs="Times New Roman"/>
            <w:color w:val="0000FF"/>
            <w:sz w:val="24"/>
            <w:szCs w:val="24"/>
            <w:u w:val="single"/>
            <w:lang/>
          </w:rPr>
          <w:t>розділі IV</w:t>
        </w:r>
      </w:hyperlink>
      <w:r w:rsidRPr="008B264B">
        <w:rPr>
          <w:rFonts w:ascii="Times New Roman" w:eastAsia="Times New Roman" w:hAnsi="Times New Roman" w:cs="Times New Roman"/>
          <w:color w:val="000000"/>
          <w:sz w:val="24"/>
          <w:szCs w:val="24"/>
          <w:lang/>
        </w:rPr>
        <w:t> цього Кодексу), нематеріальних активів і товарів/послуг, призначених для використання в господарській діяльності;</w:t>
      </w:r>
    </w:p>
    <w:p w14:paraId="41868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7" w:name="n4860"/>
      <w:bookmarkEnd w:id="5777"/>
      <w:r w:rsidRPr="008B264B">
        <w:rPr>
          <w:rFonts w:ascii="Times New Roman" w:eastAsia="Times New Roman" w:hAnsi="Times New Roman" w:cs="Times New Roman"/>
          <w:color w:val="000000"/>
          <w:sz w:val="24"/>
          <w:szCs w:val="24"/>
          <w:lang/>
        </w:rPr>
        <w:t>197.1.16. безоплатної передачі в державну власність чи комунальну власність територіальних громад сіл, селищ, міст або у їх спільну власність об'єктів усіх форм власності, які перебувають на балансі одного платника податку і передаються на баланс іншого платника податку, якщо такі операції проводяться за рішенням Кабінету Міністрів України, центральних та місцевих органів виконавчої влади, органів місцевого самоврядування, прийнятим у межах їх повноважень.</w:t>
      </w:r>
    </w:p>
    <w:p w14:paraId="60F9DB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8" w:name="n4861"/>
      <w:bookmarkEnd w:id="5778"/>
      <w:r w:rsidRPr="008B264B">
        <w:rPr>
          <w:rFonts w:ascii="Times New Roman" w:eastAsia="Times New Roman" w:hAnsi="Times New Roman" w:cs="Times New Roman"/>
          <w:color w:val="000000"/>
          <w:sz w:val="24"/>
          <w:szCs w:val="24"/>
          <w:lang/>
        </w:rPr>
        <w:t>Норми цього підпункту поширюються також на операції з безоплатної передачі об'єктів з балансу юридичної особи будь-якої форми власності на баланс іншої юридичної особи, яка перебуває в державній або комунальній власності, що проводяться за рішенням органу державної влади України або органу місцевого самоврядування, прийнятим у межах їх повноважень та за рішенням юридичних осіб, у разі передачі основних засобів інфраструктури залізничного транспорту, незалежно від того, чи є суб'єкти операції платниками податку;</w:t>
      </w:r>
    </w:p>
    <w:p w14:paraId="6C646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79" w:name="n4862"/>
      <w:bookmarkEnd w:id="5779"/>
      <w:r w:rsidRPr="008B264B">
        <w:rPr>
          <w:rFonts w:ascii="Times New Roman" w:eastAsia="Times New Roman" w:hAnsi="Times New Roman" w:cs="Times New Roman"/>
          <w:i/>
          <w:iCs/>
          <w:color w:val="000000"/>
          <w:sz w:val="24"/>
          <w:szCs w:val="24"/>
          <w:lang/>
        </w:rPr>
        <w:t>{Абзац другий підпункту 197.1.16 пункту 197.1 статті 197 із змінами, внесеними згідно із Законом </w:t>
      </w:r>
      <w:hyperlink r:id="rId309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2BFFE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0" w:name="n4863"/>
      <w:bookmarkEnd w:id="5780"/>
      <w:r w:rsidRPr="008B264B">
        <w:rPr>
          <w:rFonts w:ascii="Times New Roman" w:eastAsia="Times New Roman" w:hAnsi="Times New Roman" w:cs="Times New Roman"/>
          <w:color w:val="000000"/>
          <w:sz w:val="24"/>
          <w:szCs w:val="24"/>
          <w:lang/>
        </w:rPr>
        <w:t>197.1.17. безоплатного постачання товарів/послуг власного виробництва підсобними господарствами і лікувально-виробничими трудовими майстернями (цехами, дільницями) будинків-інтернатів, територіальних центрів соціального обслуговування (надання соціальних послуг), центрів реінтеграції бездомних осіб, центрів соціальної адаптації осіб, звільнених з місць позбавлення волі, спеціалізованих лікарень, лікувально-профілактичних закладів особливого типу та диспансерів за умови, що така передача здійснюється для задоволення власних потреб зазначених закладів;</w:t>
      </w:r>
    </w:p>
    <w:p w14:paraId="7A85F5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1" w:name="n4864"/>
      <w:bookmarkEnd w:id="5781"/>
      <w:r w:rsidRPr="008B264B">
        <w:rPr>
          <w:rFonts w:ascii="Times New Roman" w:eastAsia="Times New Roman" w:hAnsi="Times New Roman" w:cs="Times New Roman"/>
          <w:i/>
          <w:iCs/>
          <w:color w:val="000000"/>
          <w:sz w:val="24"/>
          <w:szCs w:val="24"/>
          <w:lang/>
        </w:rPr>
        <w:t>{Підпункт 197.1.17 пункту 197.1 статті 197 із змінами, внесеними згідно із Законом </w:t>
      </w:r>
      <w:hyperlink r:id="rId3092" w:anchor="n28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02C3A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2" w:name="n4865"/>
      <w:bookmarkEnd w:id="5782"/>
      <w:r w:rsidRPr="008B264B">
        <w:rPr>
          <w:rFonts w:ascii="Times New Roman" w:eastAsia="Times New Roman" w:hAnsi="Times New Roman" w:cs="Times New Roman"/>
          <w:color w:val="000000"/>
          <w:sz w:val="24"/>
          <w:szCs w:val="24"/>
          <w:lang/>
        </w:rPr>
        <w:lastRenderedPageBreak/>
        <w:t>197.1.18. постачання державних платних послуг фізичним або юридичним особам органами виконавчої влади та органами місцевого самоврядування, а також іншими особами, уповноваженими такими органами або законодавством надавати зазначені послуги, обов'язковість отримання (надання) яких установлюється законодавством, включаючи плату за реєстрацію, видачу ліцензії, сертифікатів у вигляді зборів, державного мита тощо;</w:t>
      </w:r>
    </w:p>
    <w:p w14:paraId="3BCE84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3" w:name="n4866"/>
      <w:bookmarkEnd w:id="5783"/>
      <w:r w:rsidRPr="008B264B">
        <w:rPr>
          <w:rFonts w:ascii="Times New Roman" w:eastAsia="Times New Roman" w:hAnsi="Times New Roman" w:cs="Times New Roman"/>
          <w:color w:val="000000"/>
          <w:sz w:val="24"/>
          <w:szCs w:val="24"/>
          <w:lang/>
        </w:rPr>
        <w:t>197.1.19. надання послуг з реєстрації актів цивільного стану державними органами, уповноваженими здійснювати таку реєстрацію згідно із законодавством;</w:t>
      </w:r>
    </w:p>
    <w:p w14:paraId="7CAE5C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4" w:name="n4867"/>
      <w:bookmarkEnd w:id="5784"/>
      <w:r w:rsidRPr="008B264B">
        <w:rPr>
          <w:rFonts w:ascii="Times New Roman" w:eastAsia="Times New Roman" w:hAnsi="Times New Roman" w:cs="Times New Roman"/>
          <w:i/>
          <w:iCs/>
          <w:color w:val="000000"/>
          <w:sz w:val="24"/>
          <w:szCs w:val="24"/>
          <w:lang/>
        </w:rPr>
        <w:t>{Підпункт 197.1.19 пункту 197.1 статті 197 із змінами, внесеними згідно із Законом </w:t>
      </w:r>
      <w:hyperlink r:id="rId3093" w:anchor="n28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82E8C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5" w:name="n4868"/>
      <w:bookmarkEnd w:id="5785"/>
      <w:r w:rsidRPr="008B264B">
        <w:rPr>
          <w:rFonts w:ascii="Times New Roman" w:eastAsia="Times New Roman" w:hAnsi="Times New Roman" w:cs="Times New Roman"/>
          <w:color w:val="000000"/>
          <w:sz w:val="24"/>
          <w:szCs w:val="24"/>
          <w:lang/>
        </w:rPr>
        <w:t>197.1.20. постачання бібліотеками, які перебувають у державній або комунальній власності або у власності всеукраїнських громадських об’єднань осіб з інвалідністю, платних послуг з комплектування реєстраційно-облікових документів (квитків, формулярів), користування рідкісними, цінними довідниками, книгами (у тому числі нічним абонементом), тематичного добору літератури за запитом споживача та надання тематичних, адресно-бібліографічних та фактографічних довідок;</w:t>
      </w:r>
    </w:p>
    <w:p w14:paraId="3CD831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6" w:name="n4869"/>
      <w:bookmarkEnd w:id="5786"/>
      <w:r w:rsidRPr="008B264B">
        <w:rPr>
          <w:rFonts w:ascii="Times New Roman" w:eastAsia="Times New Roman" w:hAnsi="Times New Roman" w:cs="Times New Roman"/>
          <w:color w:val="000000"/>
          <w:sz w:val="24"/>
          <w:szCs w:val="24"/>
          <w:lang/>
        </w:rPr>
        <w:t>197.1.21. постачання (продажу, передачі) земельних ділянок, земельних часток (паїв), крім тих, що розміщені під об'єктами нерухомого майна та включаються до їх вартості відповідно до законодавства (з урахуванням положень </w:t>
      </w:r>
      <w:hyperlink r:id="rId3094" w:anchor="n4825" w:history="1">
        <w:r w:rsidRPr="008B264B">
          <w:rPr>
            <w:rFonts w:ascii="Times New Roman" w:eastAsia="Times New Roman" w:hAnsi="Times New Roman" w:cs="Times New Roman"/>
            <w:color w:val="0000FF"/>
            <w:sz w:val="24"/>
            <w:szCs w:val="24"/>
            <w:u w:val="single"/>
            <w:lang/>
          </w:rPr>
          <w:t>абзацу першого підпункту 197.1.13</w:t>
        </w:r>
      </w:hyperlink>
      <w:r w:rsidRPr="008B264B">
        <w:rPr>
          <w:rFonts w:ascii="Times New Roman" w:eastAsia="Times New Roman" w:hAnsi="Times New Roman" w:cs="Times New Roman"/>
          <w:color w:val="000000"/>
          <w:sz w:val="24"/>
          <w:szCs w:val="24"/>
          <w:lang/>
        </w:rPr>
        <w:t> пункту 197.1 статті 197 цього Кодексу);</w:t>
      </w:r>
    </w:p>
    <w:p w14:paraId="4CEFD5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7" w:name="n4870"/>
      <w:bookmarkEnd w:id="5787"/>
      <w:r w:rsidRPr="008B264B">
        <w:rPr>
          <w:rFonts w:ascii="Times New Roman" w:eastAsia="Times New Roman" w:hAnsi="Times New Roman" w:cs="Times New Roman"/>
          <w:color w:val="000000"/>
          <w:sz w:val="24"/>
          <w:szCs w:val="24"/>
          <w:lang/>
        </w:rPr>
        <w:t>постачання послуг з надання в оренду (суборенду) земельних ділянок, що перебувають у власності держави або територіальної громади, якщо кошти за такі послуги у повному обсязі сплачуються безпосередньо на відповідні рахунки органів, що здійснюють казначейське обслуговування бюджетних коштів;</w:t>
      </w:r>
    </w:p>
    <w:p w14:paraId="27CF9C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8" w:name="n15327"/>
      <w:bookmarkEnd w:id="5788"/>
      <w:r w:rsidRPr="008B264B">
        <w:rPr>
          <w:rFonts w:ascii="Times New Roman" w:eastAsia="Times New Roman" w:hAnsi="Times New Roman" w:cs="Times New Roman"/>
          <w:i/>
          <w:iCs/>
          <w:color w:val="000000"/>
          <w:sz w:val="24"/>
          <w:szCs w:val="24"/>
          <w:lang/>
        </w:rPr>
        <w:t>{Абзац другий підпункту 197.1.21 пункту 197.1 статті 197 в редакції Закону </w:t>
      </w:r>
      <w:hyperlink r:id="rId3095" w:anchor="n26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2BA0B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89" w:name="n4871"/>
      <w:bookmarkEnd w:id="5789"/>
      <w:r w:rsidRPr="008B264B">
        <w:rPr>
          <w:rFonts w:ascii="Times New Roman" w:eastAsia="Times New Roman" w:hAnsi="Times New Roman" w:cs="Times New Roman"/>
          <w:color w:val="000000"/>
          <w:sz w:val="24"/>
          <w:szCs w:val="24"/>
          <w:lang/>
        </w:rPr>
        <w:t>197.1.22. оплати вартості фундаментальних досліджень, науково-дослідних і дослідницько-конструкторських робіт особою, яка безпосередньо отримує такі кошти з рахунка органу, що здійснює казначейське обслуговування бюджетних коштів;</w:t>
      </w:r>
    </w:p>
    <w:p w14:paraId="16586D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0" w:name="n4872"/>
      <w:bookmarkEnd w:id="5790"/>
      <w:r w:rsidRPr="008B264B">
        <w:rPr>
          <w:rFonts w:ascii="Times New Roman" w:eastAsia="Times New Roman" w:hAnsi="Times New Roman" w:cs="Times New Roman"/>
          <w:i/>
          <w:iCs/>
          <w:color w:val="000000"/>
          <w:sz w:val="24"/>
          <w:szCs w:val="24"/>
          <w:lang/>
        </w:rPr>
        <w:t>{Підпункт 197.1.22 пункту 197.1 статті 197 із змінами, внесеними згідно із Законом </w:t>
      </w:r>
      <w:hyperlink r:id="rId3096" w:anchor="n20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5974F5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1" w:name="n4873"/>
      <w:bookmarkEnd w:id="5791"/>
      <w:r w:rsidRPr="008B264B">
        <w:rPr>
          <w:rFonts w:ascii="Times New Roman" w:eastAsia="Times New Roman" w:hAnsi="Times New Roman" w:cs="Times New Roman"/>
          <w:color w:val="000000"/>
          <w:sz w:val="24"/>
          <w:szCs w:val="24"/>
          <w:lang/>
        </w:rPr>
        <w:t>197.1.23. безкоштовної передачі приладів, обладнання, матеріалів, крім підакцизних, науковим установам та науковим організаціям, вищим навчальним закладам III-IV рівнів акредитації, внесеним до Державного реєстру наукових організацій, яким надається підтримка держави;</w:t>
      </w:r>
    </w:p>
    <w:p w14:paraId="76FF91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2" w:name="n4874"/>
      <w:bookmarkEnd w:id="5792"/>
      <w:r w:rsidRPr="008B264B">
        <w:rPr>
          <w:rFonts w:ascii="Times New Roman" w:eastAsia="Times New Roman" w:hAnsi="Times New Roman" w:cs="Times New Roman"/>
          <w:color w:val="000000"/>
          <w:sz w:val="24"/>
          <w:szCs w:val="24"/>
          <w:lang/>
        </w:rPr>
        <w:t>197.1.24. постачання в сільській місцевості сільськогосподарськими товаровиробниками послуг з ремонту шкіл, дошкільних закладів, інтернатів, закладів охорони здоров'я та надання матеріальної допомоги (в межах одного неоподатковуваного мінімуму доходів громадян на місяць на одну особу) продуктами харчування власного виробництва та послуг з обробки землі багатодітним сім'ям, ветеранам праці і війни, реабілітованим громадянам, особам з інвалідністю, одиноким особам похилого віку, особам, які постраждали внаслідок Чорнобильської катастрофи, та школам, дошкільним закладам, інтернатам, закладам охорони здоров'я;</w:t>
      </w:r>
    </w:p>
    <w:p w14:paraId="458A4D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3" w:name="n4875"/>
      <w:bookmarkEnd w:id="5793"/>
      <w:r w:rsidRPr="008B264B">
        <w:rPr>
          <w:rFonts w:ascii="Times New Roman" w:eastAsia="Times New Roman" w:hAnsi="Times New Roman" w:cs="Times New Roman"/>
          <w:color w:val="000000"/>
          <w:sz w:val="24"/>
          <w:szCs w:val="24"/>
          <w:lang/>
        </w:rPr>
        <w:t xml:space="preserve">197.1.25. постачання (передплати) та доставки періодичних видань друкованих засобів масової інформації (крім видань еротичного характеру) вітчизняного виробництва, підготовлення (літературне, наукове і технічне редагування, коригування, дизайн та верстка), виготовлення (друк на папері чи запис на електронному носієві), розповсюдження книжок, у тому числі електронного контенту (крім видань еротичного характеру) та дитячих книжкових видань, вітчизняного виробництва, учнівських зошитів, підручників та навчальних посібників, словників </w:t>
      </w:r>
      <w:r w:rsidRPr="008B264B">
        <w:rPr>
          <w:rFonts w:ascii="Times New Roman" w:eastAsia="Times New Roman" w:hAnsi="Times New Roman" w:cs="Times New Roman"/>
          <w:color w:val="000000"/>
          <w:sz w:val="24"/>
          <w:szCs w:val="24"/>
          <w:lang/>
        </w:rPr>
        <w:lastRenderedPageBreak/>
        <w:t>українсько-іноземної або іноземно-української мови вітчизняного виробництва на митній території України;</w:t>
      </w:r>
    </w:p>
    <w:p w14:paraId="65C37F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4" w:name="n4876"/>
      <w:bookmarkEnd w:id="5794"/>
      <w:r w:rsidRPr="008B264B">
        <w:rPr>
          <w:rFonts w:ascii="Times New Roman" w:eastAsia="Times New Roman" w:hAnsi="Times New Roman" w:cs="Times New Roman"/>
          <w:i/>
          <w:iCs/>
          <w:color w:val="000000"/>
          <w:sz w:val="24"/>
          <w:szCs w:val="24"/>
          <w:lang/>
        </w:rPr>
        <w:t>{Підпункт 197.1.25 пункту 197.1 статті 197 із змінами, внесеними згідно із Законом </w:t>
      </w:r>
      <w:hyperlink r:id="rId309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Законів </w:t>
      </w:r>
      <w:hyperlink r:id="rId3098" w:anchor="n6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099" w:anchor="n5" w:tgtFrame="_blank" w:history="1">
        <w:r w:rsidRPr="008B264B">
          <w:rPr>
            <w:rFonts w:ascii="Times New Roman" w:eastAsia="Times New Roman" w:hAnsi="Times New Roman" w:cs="Times New Roman"/>
            <w:i/>
            <w:iCs/>
            <w:color w:val="0000FF"/>
            <w:sz w:val="24"/>
            <w:szCs w:val="24"/>
            <w:u w:val="single"/>
            <w:lang/>
          </w:rPr>
          <w:t>№ 206-VIII від 13.02.2015</w:t>
        </w:r>
      </w:hyperlink>
      <w:r w:rsidRPr="008B264B">
        <w:rPr>
          <w:rFonts w:ascii="Times New Roman" w:eastAsia="Times New Roman" w:hAnsi="Times New Roman" w:cs="Times New Roman"/>
          <w:i/>
          <w:iCs/>
          <w:color w:val="000000"/>
          <w:sz w:val="24"/>
          <w:szCs w:val="24"/>
          <w:lang/>
        </w:rPr>
        <w:t>, </w:t>
      </w:r>
      <w:hyperlink r:id="rId3100" w:anchor="n2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80F66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5" w:name="n4877"/>
      <w:bookmarkEnd w:id="5795"/>
      <w:r w:rsidRPr="008B264B">
        <w:rPr>
          <w:rFonts w:ascii="Times New Roman" w:eastAsia="Times New Roman" w:hAnsi="Times New Roman" w:cs="Times New Roman"/>
          <w:color w:val="000000"/>
          <w:sz w:val="24"/>
          <w:szCs w:val="24"/>
          <w:lang/>
        </w:rPr>
        <w:t>197.1.26. передачі конфіскованого майна, знахідок, скарбів, майна, визнаного безхазяйним, майна, за яким не звернувся власник до кінця строку зберігання, та майна, що за правом успадкування чи на інших законних підставах переходить у власність держави (у тому числі майна, визначеного у </w:t>
      </w:r>
      <w:hyperlink r:id="rId3101" w:anchor="n1695" w:tgtFrame="_blank" w:history="1">
        <w:r w:rsidRPr="008B264B">
          <w:rPr>
            <w:rFonts w:ascii="Times New Roman" w:eastAsia="Times New Roman" w:hAnsi="Times New Roman" w:cs="Times New Roman"/>
            <w:color w:val="0000FF"/>
            <w:sz w:val="24"/>
            <w:szCs w:val="24"/>
            <w:u w:val="single"/>
            <w:lang/>
          </w:rPr>
          <w:t>статті 184 Митного кодексу України</w:t>
        </w:r>
      </w:hyperlink>
      <w:r w:rsidRPr="008B264B">
        <w:rPr>
          <w:rFonts w:ascii="Times New Roman" w:eastAsia="Times New Roman" w:hAnsi="Times New Roman" w:cs="Times New Roman"/>
          <w:color w:val="000000"/>
          <w:sz w:val="24"/>
          <w:szCs w:val="24"/>
          <w:lang/>
        </w:rPr>
        <w:t>), у розпорядження державних установ або організацій, уповноважених здійснювати їх збереження або постачання згідно із законодавством, а також операції з безоплатної передачі зазначеного в цьому пункті майна у випадках, визначених законодавством, у володіння і користування державних органів, установ (організацій), які утримуються за рахунок бюджетних коштів, а також закладів, в яких виховуються діти-сироти та діти, позбавлені батьківського піклування, дитячих будинків сімейного типу, прийомних сімей.</w:t>
      </w:r>
    </w:p>
    <w:p w14:paraId="21DB96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6" w:name="n4878"/>
      <w:bookmarkEnd w:id="5796"/>
      <w:r w:rsidRPr="008B264B">
        <w:rPr>
          <w:rFonts w:ascii="Times New Roman" w:eastAsia="Times New Roman" w:hAnsi="Times New Roman" w:cs="Times New Roman"/>
          <w:i/>
          <w:iCs/>
          <w:color w:val="000000"/>
          <w:sz w:val="24"/>
          <w:szCs w:val="24"/>
          <w:lang/>
        </w:rPr>
        <w:t>{Абзац перший підпункту 197.1.26 пункту 197.1 статті 197 із змінами, внесеними згідно із Законом </w:t>
      </w:r>
      <w:hyperlink r:id="rId3102" w:anchor="n8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029F5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7" w:name="n4879"/>
      <w:bookmarkEnd w:id="5797"/>
      <w:r w:rsidRPr="008B264B">
        <w:rPr>
          <w:rFonts w:ascii="Times New Roman" w:eastAsia="Times New Roman" w:hAnsi="Times New Roman" w:cs="Times New Roman"/>
          <w:color w:val="000000"/>
          <w:sz w:val="24"/>
          <w:szCs w:val="24"/>
          <w:lang/>
        </w:rPr>
        <w:t>Операції з подальшого постачання зазначених товарів оподатковуються на загальних підставах;</w:t>
      </w:r>
    </w:p>
    <w:p w14:paraId="64CBA8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8" w:name="n4880"/>
      <w:bookmarkEnd w:id="5798"/>
      <w:r w:rsidRPr="008B264B">
        <w:rPr>
          <w:rFonts w:ascii="Times New Roman" w:eastAsia="Times New Roman" w:hAnsi="Times New Roman" w:cs="Times New Roman"/>
          <w:i/>
          <w:iCs/>
          <w:color w:val="000000"/>
          <w:sz w:val="24"/>
          <w:szCs w:val="24"/>
          <w:lang/>
        </w:rPr>
        <w:t>{Підпункт 197.1.27 пункту 197.1 статті 197 виключено на підставі Закону </w:t>
      </w:r>
      <w:hyperlink r:id="rId3103" w:anchor="n68"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74142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799" w:name="n4881"/>
      <w:bookmarkEnd w:id="5799"/>
      <w:r w:rsidRPr="008B264B">
        <w:rPr>
          <w:rFonts w:ascii="Times New Roman" w:eastAsia="Times New Roman" w:hAnsi="Times New Roman" w:cs="Times New Roman"/>
          <w:color w:val="000000"/>
          <w:sz w:val="24"/>
          <w:szCs w:val="24"/>
          <w:lang/>
        </w:rPr>
        <w:t>197.1.28. постачання товарів/послуг у частині суми компенсації на покриття різниці між фактичними витратами та регульованими цінами (тарифами) у вигляді виробничої дотації з бюджету;</w:t>
      </w:r>
    </w:p>
    <w:p w14:paraId="44845F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0" w:name="n4882"/>
      <w:bookmarkEnd w:id="5800"/>
      <w:r w:rsidRPr="008B264B">
        <w:rPr>
          <w:rFonts w:ascii="Times New Roman" w:eastAsia="Times New Roman" w:hAnsi="Times New Roman" w:cs="Times New Roman"/>
          <w:color w:val="000000"/>
          <w:sz w:val="24"/>
          <w:szCs w:val="24"/>
          <w:lang/>
        </w:rPr>
        <w:t>197.1.29. безоплатної передачі у державну або комунальну власність відповідних територіальних громад трамвайних вагонів (товарна позиція згідно з </w:t>
      </w:r>
      <w:hyperlink r:id="rId3104"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8603 10 00 10), тролейбусів (товарна позиція згідно з УКТ ЗЕД 8702 90 90 10), автобусів (товарна позиція згідно з УКТ ЗЕД 8702) для перевезення громадян на маршрутах (лініях) відповідно до вимог життєзабезпечення населених пунктів. У разі нецільового використання зазначених товарів платник податку зобов'язаний збільшити податкові зобов'язання за наслідками податкового періоду, на який припадає таке порушення, на суму податку на додану вартість, що мала бути сплачена в момент імпорту (постачання) таких товарів, а також сплатити пеню відповідно до закону;</w:t>
      </w:r>
    </w:p>
    <w:p w14:paraId="255490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1" w:name="n4883"/>
      <w:bookmarkEnd w:id="5801"/>
      <w:r w:rsidRPr="008B264B">
        <w:rPr>
          <w:rFonts w:ascii="Times New Roman" w:eastAsia="Times New Roman" w:hAnsi="Times New Roman" w:cs="Times New Roman"/>
          <w:i/>
          <w:iCs/>
          <w:color w:val="000000"/>
          <w:sz w:val="24"/>
          <w:szCs w:val="24"/>
          <w:lang/>
        </w:rPr>
        <w:t>{Пункт 197.1 статті 197 доповнено підпунктом 197.1.29 згідно із Законом </w:t>
      </w:r>
      <w:hyperlink r:id="rId3105" w:anchor="n28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834AA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2" w:name="n4884"/>
      <w:bookmarkEnd w:id="5802"/>
      <w:r w:rsidRPr="008B264B">
        <w:rPr>
          <w:rFonts w:ascii="Times New Roman" w:eastAsia="Times New Roman" w:hAnsi="Times New Roman" w:cs="Times New Roman"/>
          <w:color w:val="000000"/>
          <w:sz w:val="24"/>
          <w:szCs w:val="24"/>
          <w:lang/>
        </w:rPr>
        <w:t>197.1.30. безоплатної передачі майна Державним концерном "Укроборонпром" та державними підприємствами, у тому числі казенними, які включені до його складу, якщо така передача здійснюється підприємствам, установам чи організаціям з метою проведення демонстрації товарів військового призначення або подвійного використання (з подальшим поверненням цього майна), проведення спільних або самостійних випробувань виробів військового призначення (з подальшим поверненням цього майна або без такого), підтримки науково-дослідної та дослідно-конструкторської діяльності державних підприємств, установ та організацій (з подальшим поверненням цього майна або без такого), забезпечення діяльності представництв Державного концерну "Укроборонпром" та підприємств оборонно-промислового комплексу, включених до його складу (з подальшим поверненням цього майна або без такого);</w:t>
      </w:r>
    </w:p>
    <w:p w14:paraId="576F0D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3" w:name="n4885"/>
      <w:bookmarkEnd w:id="5803"/>
      <w:r w:rsidRPr="008B264B">
        <w:rPr>
          <w:rFonts w:ascii="Times New Roman" w:eastAsia="Times New Roman" w:hAnsi="Times New Roman" w:cs="Times New Roman"/>
          <w:i/>
          <w:iCs/>
          <w:color w:val="000000"/>
          <w:sz w:val="24"/>
          <w:szCs w:val="24"/>
          <w:lang/>
        </w:rPr>
        <w:t>{Пункт 197.1 статті 197 доповнено підпунктом 197.1.30 згідно із Законом </w:t>
      </w:r>
      <w:hyperlink r:id="rId3106" w:anchor="n8" w:tgtFrame="_blank" w:history="1">
        <w:r w:rsidRPr="008B264B">
          <w:rPr>
            <w:rFonts w:ascii="Times New Roman" w:eastAsia="Times New Roman" w:hAnsi="Times New Roman" w:cs="Times New Roman"/>
            <w:i/>
            <w:iCs/>
            <w:color w:val="0000FF"/>
            <w:sz w:val="24"/>
            <w:szCs w:val="24"/>
            <w:u w:val="single"/>
            <w:lang/>
          </w:rPr>
          <w:t>№ 5414-VI від 02.10.2012</w:t>
        </w:r>
      </w:hyperlink>
      <w:r w:rsidRPr="008B264B">
        <w:rPr>
          <w:rFonts w:ascii="Times New Roman" w:eastAsia="Times New Roman" w:hAnsi="Times New Roman" w:cs="Times New Roman"/>
          <w:i/>
          <w:iCs/>
          <w:color w:val="000000"/>
          <w:sz w:val="24"/>
          <w:szCs w:val="24"/>
          <w:lang/>
        </w:rPr>
        <w:t>}</w:t>
      </w:r>
    </w:p>
    <w:p w14:paraId="5A67AD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4" w:name="n4886"/>
      <w:bookmarkEnd w:id="5804"/>
      <w:r w:rsidRPr="008B264B">
        <w:rPr>
          <w:rFonts w:ascii="Times New Roman" w:eastAsia="Times New Roman" w:hAnsi="Times New Roman" w:cs="Times New Roman"/>
          <w:color w:val="000000"/>
          <w:sz w:val="24"/>
          <w:szCs w:val="24"/>
          <w:lang/>
        </w:rPr>
        <w:lastRenderedPageBreak/>
        <w:t>197.1.31. створення, постачання, просування, реставрація і розповсюдження національного культурного продукту в порядку, визначеному Кабінетом Міністрів України.</w:t>
      </w:r>
    </w:p>
    <w:p w14:paraId="566847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5" w:name="n4887"/>
      <w:bookmarkEnd w:id="5805"/>
      <w:r w:rsidRPr="008B264B">
        <w:rPr>
          <w:rFonts w:ascii="Times New Roman" w:eastAsia="Times New Roman" w:hAnsi="Times New Roman" w:cs="Times New Roman"/>
          <w:i/>
          <w:iCs/>
          <w:color w:val="000000"/>
          <w:sz w:val="24"/>
          <w:szCs w:val="24"/>
          <w:lang/>
        </w:rPr>
        <w:t>{Пункт 197.1 статті 197 доповнено підпунктом 197.1.30 згідно із Законом </w:t>
      </w:r>
      <w:hyperlink r:id="rId3107" w:anchor="n8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98C45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6" w:name="n4888"/>
      <w:bookmarkEnd w:id="5806"/>
      <w:r w:rsidRPr="008B264B">
        <w:rPr>
          <w:rFonts w:ascii="Times New Roman" w:eastAsia="Times New Roman" w:hAnsi="Times New Roman" w:cs="Times New Roman"/>
          <w:color w:val="000000"/>
          <w:sz w:val="24"/>
          <w:szCs w:val="24"/>
          <w:lang/>
        </w:rPr>
        <w:t>197.2. Звільняються від оподаткування операції з постачання та ввезення на митну територію України товарів/послуг, передбачених для власних потреб дипломатичних представництв, консульських установ іноземних держав і представництв міжнародних організацій в Україні, а також для використання особами з числа дипломатичного персоналу цих дипломатичних місій та членами їх сімей, що проживають разом з такими особами. </w:t>
      </w:r>
      <w:hyperlink r:id="rId3108"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звільнення від оподаткування та перелік операцій, що підлягають звільненню від оподаткування, встановлюються Кабінетом Міністрів України виходячи з принципу взаємності стосовно кожної окремої держави.</w:t>
      </w:r>
    </w:p>
    <w:p w14:paraId="15571D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7" w:name="n4889"/>
      <w:bookmarkEnd w:id="5807"/>
      <w:r w:rsidRPr="008B264B">
        <w:rPr>
          <w:rFonts w:ascii="Times New Roman" w:eastAsia="Times New Roman" w:hAnsi="Times New Roman" w:cs="Times New Roman"/>
          <w:color w:val="000000"/>
          <w:sz w:val="24"/>
          <w:szCs w:val="24"/>
          <w:lang/>
        </w:rPr>
        <w:t>У разі подальшого постачання (продажу) на митній території України транспортних засобів, що були ввезені із звільненням від оподаткування відповідно до норм цього підпункту, податок сплачується особою, зазначеною у </w:t>
      </w:r>
      <w:hyperlink r:id="rId3109" w:anchor="n4386" w:history="1">
        <w:r w:rsidRPr="008B264B">
          <w:rPr>
            <w:rFonts w:ascii="Times New Roman" w:eastAsia="Times New Roman" w:hAnsi="Times New Roman" w:cs="Times New Roman"/>
            <w:color w:val="0000FF"/>
            <w:sz w:val="24"/>
            <w:szCs w:val="24"/>
            <w:u w:val="single"/>
            <w:lang/>
          </w:rPr>
          <w:t>третьому абзаці підпункту 3</w:t>
        </w:r>
      </w:hyperlink>
      <w:r w:rsidRPr="008B264B">
        <w:rPr>
          <w:rFonts w:ascii="Times New Roman" w:eastAsia="Times New Roman" w:hAnsi="Times New Roman" w:cs="Times New Roman"/>
          <w:color w:val="000000"/>
          <w:sz w:val="24"/>
          <w:szCs w:val="24"/>
          <w:lang/>
        </w:rPr>
        <w:t> пункту 180.1 статті 180 цього Кодексу не пізніше дня такого постачання.</w:t>
      </w:r>
    </w:p>
    <w:p w14:paraId="4A0282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8" w:name="n4890"/>
      <w:bookmarkEnd w:id="5808"/>
      <w:r w:rsidRPr="008B264B">
        <w:rPr>
          <w:rFonts w:ascii="Times New Roman" w:eastAsia="Times New Roman" w:hAnsi="Times New Roman" w:cs="Times New Roman"/>
          <w:color w:val="000000"/>
          <w:sz w:val="24"/>
          <w:szCs w:val="24"/>
          <w:lang/>
        </w:rPr>
        <w:t>197.3. Звільняються від оподаткування операції із ввезення на митну територію України товарів морського промислу (риба, ссавці, мушлі, ракоподібні, водні рослини тощо в охолодженому, солоному, мороженому, консервованому вигляді, перероблені на борошно або іншу продукцію), видобутих (виловлених, вироблених) суднами, зареєстрованими у Державному судновому реєстрі України або </w:t>
      </w:r>
      <w:hyperlink r:id="rId3110" w:tgtFrame="_blank" w:history="1">
        <w:r w:rsidRPr="008B264B">
          <w:rPr>
            <w:rFonts w:ascii="Times New Roman" w:eastAsia="Times New Roman" w:hAnsi="Times New Roman" w:cs="Times New Roman"/>
            <w:color w:val="0000FF"/>
            <w:sz w:val="24"/>
            <w:szCs w:val="24"/>
            <w:u w:val="single"/>
            <w:lang/>
          </w:rPr>
          <w:t>Судновій книзі України</w:t>
        </w:r>
      </w:hyperlink>
      <w:r w:rsidRPr="008B264B">
        <w:rPr>
          <w:rFonts w:ascii="Times New Roman" w:eastAsia="Times New Roman" w:hAnsi="Times New Roman" w:cs="Times New Roman"/>
          <w:color w:val="000000"/>
          <w:sz w:val="24"/>
          <w:szCs w:val="24"/>
          <w:lang/>
        </w:rPr>
        <w:t>. Операції з подальшого постачання зазначених товарів юридичними особами - судновласниками або фрахтувальниками оподатковуються в загальному порядку, встановленому цим Кодексом.</w:t>
      </w:r>
    </w:p>
    <w:p w14:paraId="5D55F9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09" w:name="n4891"/>
      <w:bookmarkEnd w:id="5809"/>
      <w:r w:rsidRPr="008B264B">
        <w:rPr>
          <w:rFonts w:ascii="Times New Roman" w:eastAsia="Times New Roman" w:hAnsi="Times New Roman" w:cs="Times New Roman"/>
          <w:color w:val="000000"/>
          <w:sz w:val="24"/>
          <w:szCs w:val="24"/>
          <w:lang/>
        </w:rPr>
        <w:t>197.4. Звільнення від оподаткування товарів, передбачене </w:t>
      </w:r>
      <w:hyperlink r:id="rId3111" w:anchor="n4723" w:history="1">
        <w:r w:rsidRPr="008B264B">
          <w:rPr>
            <w:rFonts w:ascii="Times New Roman" w:eastAsia="Times New Roman" w:hAnsi="Times New Roman" w:cs="Times New Roman"/>
            <w:color w:val="0000FF"/>
            <w:sz w:val="24"/>
            <w:szCs w:val="24"/>
            <w:u w:val="single"/>
            <w:lang/>
          </w:rPr>
          <w:t>пунктом 197.1</w:t>
        </w:r>
      </w:hyperlink>
      <w:r w:rsidRPr="008B264B">
        <w:rPr>
          <w:rFonts w:ascii="Times New Roman" w:eastAsia="Times New Roman" w:hAnsi="Times New Roman" w:cs="Times New Roman"/>
          <w:color w:val="000000"/>
          <w:sz w:val="24"/>
          <w:szCs w:val="24"/>
          <w:lang/>
        </w:rPr>
        <w:t> цієї статті, поширюється на операції із ввезення на митну територію України.</w:t>
      </w:r>
    </w:p>
    <w:p w14:paraId="464D39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0" w:name="n4892"/>
      <w:bookmarkEnd w:id="5810"/>
      <w:r w:rsidRPr="008B264B">
        <w:rPr>
          <w:rFonts w:ascii="Times New Roman" w:eastAsia="Times New Roman" w:hAnsi="Times New Roman" w:cs="Times New Roman"/>
          <w:color w:val="000000"/>
          <w:sz w:val="24"/>
          <w:szCs w:val="24"/>
          <w:lang/>
        </w:rPr>
        <w:t>197.5. Звільнення від оподаткування, передбачене пунктом 197.1 цієї статті, не поширюється на операції з підакцизними товарами, зазначеними в </w:t>
      </w:r>
      <w:hyperlink r:id="rId3112" w:anchor="n5400" w:history="1">
        <w:r w:rsidRPr="008B264B">
          <w:rPr>
            <w:rFonts w:ascii="Times New Roman" w:eastAsia="Times New Roman" w:hAnsi="Times New Roman" w:cs="Times New Roman"/>
            <w:color w:val="0000FF"/>
            <w:sz w:val="24"/>
            <w:szCs w:val="24"/>
            <w:u w:val="single"/>
            <w:lang/>
          </w:rPr>
          <w:t>розділі VI</w:t>
        </w:r>
      </w:hyperlink>
      <w:r w:rsidRPr="008B264B">
        <w:rPr>
          <w:rFonts w:ascii="Times New Roman" w:eastAsia="Times New Roman" w:hAnsi="Times New Roman" w:cs="Times New Roman"/>
          <w:color w:val="000000"/>
          <w:sz w:val="24"/>
          <w:szCs w:val="24"/>
          <w:lang/>
        </w:rPr>
        <w:t> цього Кодексу.</w:t>
      </w:r>
    </w:p>
    <w:p w14:paraId="1B9D61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1" w:name="n4893"/>
      <w:bookmarkEnd w:id="5811"/>
      <w:r w:rsidRPr="008B264B">
        <w:rPr>
          <w:rFonts w:ascii="Times New Roman" w:eastAsia="Times New Roman" w:hAnsi="Times New Roman" w:cs="Times New Roman"/>
          <w:color w:val="000000"/>
          <w:sz w:val="24"/>
          <w:szCs w:val="24"/>
          <w:lang/>
        </w:rPr>
        <w:t>197.6. Звільняються від оподаткування операції з постачання товарів (крім підакцизних товарів) та послуг (крім послуг, що надаються під час проведення лотерей і розважальних ігор та послуг з постачання товарів, отриманих у межах договорів комісії (консигнації), поруки, доручення, довірчого управління, інших цивільно-правових договорів, що уповноважують такого платника податку здійснювати постачання товарів від імені та за дорученням іншої особи без передачі права власності на такі товари), що безпосередньо виготовляються підприємствами та організаціями, які засновані громадськими об’єднаннями осіб з інвалідністю, де кількість осіб з інвалідністю, які мають у таких організаціях основне місце роботи, становить протягом попереднього звітного періоду не менш як 50 відсотків середньооблікової кількості штатних працівників, і за умови, що фонд оплати праці таких осіб з інвалідністю становить протягом звітного періоду не менш як 25 відсотків суми загальних витрат з оплати праці, що належать до складу витрат згідно з правилами оподаткування податком на прибуток підприємств.</w:t>
      </w:r>
    </w:p>
    <w:p w14:paraId="7FA1D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2" w:name="n4894"/>
      <w:bookmarkEnd w:id="5812"/>
      <w:r w:rsidRPr="008B264B">
        <w:rPr>
          <w:rFonts w:ascii="Times New Roman" w:eastAsia="Times New Roman" w:hAnsi="Times New Roman" w:cs="Times New Roman"/>
          <w:i/>
          <w:iCs/>
          <w:color w:val="000000"/>
          <w:sz w:val="24"/>
          <w:szCs w:val="24"/>
          <w:lang/>
        </w:rPr>
        <w:t>{Абзац перший пункту 197.6 статті 197 із змінами, внесеними згідно із Законами </w:t>
      </w:r>
      <w:hyperlink r:id="rId311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114" w:anchor="n28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FE7BB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3" w:name="n4895"/>
      <w:bookmarkEnd w:id="5813"/>
      <w:r w:rsidRPr="008B264B">
        <w:rPr>
          <w:rFonts w:ascii="Times New Roman" w:eastAsia="Times New Roman" w:hAnsi="Times New Roman" w:cs="Times New Roman"/>
          <w:color w:val="000000"/>
          <w:sz w:val="24"/>
          <w:szCs w:val="24"/>
          <w:lang/>
        </w:rPr>
        <w:t>Безпосереднім вважається виготовлення товарів/послуг, у результаті якого сума витрат з переробки (обробка, інші види перетворення) сировини, комплектувальних виробів, складових частин, інших покупних товарів/послуг, які використовуються при виготовлені таких товарів/послуг, становить не менш як 8 відсотків ціни постачання таких виготовлених товарів/послуг.</w:t>
      </w:r>
    </w:p>
    <w:p w14:paraId="7804C0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4" w:name="n4896"/>
      <w:bookmarkEnd w:id="5814"/>
      <w:r w:rsidRPr="008B264B">
        <w:rPr>
          <w:rFonts w:ascii="Times New Roman" w:eastAsia="Times New Roman" w:hAnsi="Times New Roman" w:cs="Times New Roman"/>
          <w:color w:val="000000"/>
          <w:sz w:val="24"/>
          <w:szCs w:val="24"/>
          <w:lang/>
        </w:rPr>
        <w:t xml:space="preserve">Зазначені підприємства та організації громадських об’єднань осіб з інвалідністю мають право застосовувати зазначену пільгу за наявності реєстрації у відповідному контролюючому органі, яка здійснюється на підставі відповідної заяви платника податку про бажання отримати </w:t>
      </w:r>
      <w:r w:rsidRPr="008B264B">
        <w:rPr>
          <w:rFonts w:ascii="Times New Roman" w:eastAsia="Times New Roman" w:hAnsi="Times New Roman" w:cs="Times New Roman"/>
          <w:color w:val="000000"/>
          <w:sz w:val="24"/>
          <w:szCs w:val="24"/>
          <w:lang/>
        </w:rPr>
        <w:lastRenderedPageBreak/>
        <w:t>таку пільгу і рішення уповноваженого органу відповідно до </w:t>
      </w:r>
      <w:hyperlink r:id="rId3115"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основи соціальної захищеності осіб з інвалідністю в Україні".</w:t>
      </w:r>
    </w:p>
    <w:p w14:paraId="694BAB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5" w:name="n4897"/>
      <w:bookmarkEnd w:id="5815"/>
      <w:r w:rsidRPr="008B264B">
        <w:rPr>
          <w:rFonts w:ascii="Times New Roman" w:eastAsia="Times New Roman" w:hAnsi="Times New Roman" w:cs="Times New Roman"/>
          <w:i/>
          <w:iCs/>
          <w:color w:val="000000"/>
          <w:sz w:val="24"/>
          <w:szCs w:val="24"/>
          <w:lang/>
        </w:rPr>
        <w:t>{Абзац третій пункту 197.6 статті 197 із змінами, внесеними згідно із Законами </w:t>
      </w:r>
      <w:hyperlink r:id="rId3116" w:anchor="n20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117" w:anchor="n6"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170E5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6" w:name="n4898"/>
      <w:bookmarkEnd w:id="5816"/>
      <w:r w:rsidRPr="008B264B">
        <w:rPr>
          <w:rFonts w:ascii="Times New Roman" w:eastAsia="Times New Roman" w:hAnsi="Times New Roman" w:cs="Times New Roman"/>
          <w:color w:val="000000"/>
          <w:sz w:val="24"/>
          <w:szCs w:val="24"/>
          <w:lang/>
        </w:rPr>
        <w:t>У разі порушення вимог цього підпункту платником податку контролюючий орган скасовує його реєстрацію як особи, що має право на податкову пільгу, а податкові зобов'язання такого платника податку перераховуються з податкового періоду, за результатами якого були виявлені такі порушення, відповідно до загальних правил оподаткування, встановлених цим Кодексом, та з одночасним застосуванням відповідних фінансових санкцій.</w:t>
      </w:r>
    </w:p>
    <w:p w14:paraId="1D48C3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7" w:name="n4899"/>
      <w:bookmarkEnd w:id="5817"/>
      <w:r w:rsidRPr="008B264B">
        <w:rPr>
          <w:rFonts w:ascii="Times New Roman" w:eastAsia="Times New Roman" w:hAnsi="Times New Roman" w:cs="Times New Roman"/>
          <w:color w:val="000000"/>
          <w:sz w:val="24"/>
          <w:szCs w:val="24"/>
          <w:lang/>
        </w:rPr>
        <w:t>Податкова звітність таких підприємств та організацій подається в порядку, встановленому законодавством.</w:t>
      </w:r>
    </w:p>
    <w:p w14:paraId="0B7D17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8" w:name="n4900"/>
      <w:bookmarkEnd w:id="5818"/>
      <w:r w:rsidRPr="008B264B">
        <w:rPr>
          <w:rFonts w:ascii="Times New Roman" w:eastAsia="Times New Roman" w:hAnsi="Times New Roman" w:cs="Times New Roman"/>
          <w:color w:val="000000"/>
          <w:sz w:val="24"/>
          <w:szCs w:val="24"/>
          <w:lang/>
        </w:rPr>
        <w:t>197.7. Звільняються від оподаткування операції із ввезення на митну територію України культурних цінностей за кодами згідно з </w:t>
      </w:r>
      <w:hyperlink r:id="rId3118"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9701 10 00 00, 9701 90 00 00, 9702 00 00 00, 9703 00 00 00, 9704 00 00 00, 9705 00 00 00, 9706 00 00 00, виготовлених 50 і більше років тому.</w:t>
      </w:r>
    </w:p>
    <w:p w14:paraId="58F824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19" w:name="n4901"/>
      <w:bookmarkEnd w:id="5819"/>
      <w:r w:rsidRPr="008B264B">
        <w:rPr>
          <w:rFonts w:ascii="Times New Roman" w:eastAsia="Times New Roman" w:hAnsi="Times New Roman" w:cs="Times New Roman"/>
          <w:color w:val="000000"/>
          <w:sz w:val="24"/>
          <w:szCs w:val="24"/>
          <w:lang/>
        </w:rPr>
        <w:t>197.8. Звільняються від оподаткування операції з постачання послуг з перевезення (переміщення) пасажирів та вантажів транзитом через митну територію України, а також з постачання послуг, пов'язаних із таким перевезенням (переміщенням).</w:t>
      </w:r>
    </w:p>
    <w:p w14:paraId="42ACCB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0" w:name="n12752"/>
      <w:bookmarkEnd w:id="5820"/>
      <w:r w:rsidRPr="008B264B">
        <w:rPr>
          <w:rFonts w:ascii="Times New Roman" w:eastAsia="Times New Roman" w:hAnsi="Times New Roman" w:cs="Times New Roman"/>
          <w:color w:val="000000"/>
          <w:sz w:val="24"/>
          <w:szCs w:val="24"/>
          <w:lang/>
        </w:rPr>
        <w:t>Звільнення від оподаткування, передбачене абзацом першим цього пункту, не поширюється на операції з постачання послуг, що виконуються (надаються) для забезпечення переміщення (транспортування) природного газу транскордонними газопроводами (транспортування природного газу територією України в митному режимі транзиту).</w:t>
      </w:r>
    </w:p>
    <w:p w14:paraId="7A0B74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1" w:name="n12751"/>
      <w:bookmarkEnd w:id="5821"/>
      <w:r w:rsidRPr="008B264B">
        <w:rPr>
          <w:rFonts w:ascii="Times New Roman" w:eastAsia="Times New Roman" w:hAnsi="Times New Roman" w:cs="Times New Roman"/>
          <w:i/>
          <w:iCs/>
          <w:color w:val="000000"/>
          <w:sz w:val="24"/>
          <w:szCs w:val="24"/>
          <w:lang/>
        </w:rPr>
        <w:t>{Пункт 197.8 статті 197 доповнено абзацом другим згідно із Законом </w:t>
      </w:r>
      <w:hyperlink r:id="rId3119" w:anchor="n1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492E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2" w:name="n4902"/>
      <w:bookmarkEnd w:id="5822"/>
      <w:r w:rsidRPr="008B264B">
        <w:rPr>
          <w:rFonts w:ascii="Times New Roman" w:eastAsia="Times New Roman" w:hAnsi="Times New Roman" w:cs="Times New Roman"/>
          <w:i/>
          <w:iCs/>
          <w:color w:val="000000"/>
          <w:sz w:val="24"/>
          <w:szCs w:val="24"/>
          <w:lang/>
        </w:rPr>
        <w:t>{Пункт 197.9 статті 197 виключено на підставі Закону </w:t>
      </w:r>
      <w:hyperlink r:id="rId3120" w:tgtFrame="_blank" w:history="1">
        <w:r w:rsidRPr="008B264B">
          <w:rPr>
            <w:rFonts w:ascii="Times New Roman" w:eastAsia="Times New Roman" w:hAnsi="Times New Roman" w:cs="Times New Roman"/>
            <w:i/>
            <w:iCs/>
            <w:color w:val="0000FF"/>
            <w:sz w:val="24"/>
            <w:szCs w:val="24"/>
            <w:u w:val="single"/>
            <w:lang/>
          </w:rPr>
          <w:t>№ 3387-VI від 19.05.2011</w:t>
        </w:r>
      </w:hyperlink>
      <w:r w:rsidRPr="008B264B">
        <w:rPr>
          <w:rFonts w:ascii="Times New Roman" w:eastAsia="Times New Roman" w:hAnsi="Times New Roman" w:cs="Times New Roman"/>
          <w:i/>
          <w:iCs/>
          <w:color w:val="000000"/>
          <w:sz w:val="24"/>
          <w:szCs w:val="24"/>
          <w:lang/>
        </w:rPr>
        <w:t>}</w:t>
      </w:r>
    </w:p>
    <w:p w14:paraId="339C73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3" w:name="n4903"/>
      <w:bookmarkEnd w:id="5823"/>
      <w:r w:rsidRPr="008B264B">
        <w:rPr>
          <w:rFonts w:ascii="Times New Roman" w:eastAsia="Times New Roman" w:hAnsi="Times New Roman" w:cs="Times New Roman"/>
          <w:color w:val="000000"/>
          <w:sz w:val="24"/>
          <w:szCs w:val="24"/>
          <w:lang/>
        </w:rPr>
        <w:t>197.9. Звільняються від оподаткування операції з постачання послуг, що надаються іноземним та вітчизняним суднам, які здійснюють міжнародні перевезення пасажирів, їхнього багажу і вантажів та оплачуються ними відповідно до законодавства України портовими зборами.</w:t>
      </w:r>
    </w:p>
    <w:p w14:paraId="13FD1C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4" w:name="n4904"/>
      <w:bookmarkEnd w:id="5824"/>
      <w:r w:rsidRPr="008B264B">
        <w:rPr>
          <w:rFonts w:ascii="Times New Roman" w:eastAsia="Times New Roman" w:hAnsi="Times New Roman" w:cs="Times New Roman"/>
          <w:i/>
          <w:iCs/>
          <w:color w:val="000000"/>
          <w:sz w:val="24"/>
          <w:szCs w:val="24"/>
          <w:lang/>
        </w:rPr>
        <w:t>{До статті 197 включено пункт 197.9 згідно із Законом </w:t>
      </w:r>
      <w:hyperlink r:id="rId312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з першого числа звітного (податкового) місяця, у якому набирає чинності Закон </w:t>
      </w:r>
      <w:hyperlink r:id="rId312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034E5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5" w:name="n4905"/>
      <w:bookmarkEnd w:id="5825"/>
      <w:r w:rsidRPr="008B264B">
        <w:rPr>
          <w:rFonts w:ascii="Times New Roman" w:eastAsia="Times New Roman" w:hAnsi="Times New Roman" w:cs="Times New Roman"/>
          <w:color w:val="000000"/>
          <w:sz w:val="24"/>
          <w:szCs w:val="24"/>
          <w:lang/>
        </w:rPr>
        <w:t>197.10. Звільняються від оподаткування операції з постачання послуг з аеронавігаційного обслуговування повітряних суден, які здійснюють внутрішні, міжнародні та транзитні польоти в районах польотної інформації зони відповідальності України. </w:t>
      </w:r>
      <w:hyperlink r:id="rId3123"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документального оформлення, складання податкових накладних та відображення цих операцій у податковій звітності визначається Кабінетом Міністрів України.</w:t>
      </w:r>
    </w:p>
    <w:p w14:paraId="386021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6" w:name="n14194"/>
      <w:bookmarkEnd w:id="5826"/>
      <w:r w:rsidRPr="008B264B">
        <w:rPr>
          <w:rFonts w:ascii="Times New Roman" w:eastAsia="Times New Roman" w:hAnsi="Times New Roman" w:cs="Times New Roman"/>
          <w:i/>
          <w:iCs/>
          <w:color w:val="000000"/>
          <w:sz w:val="24"/>
          <w:szCs w:val="24"/>
          <w:lang/>
        </w:rPr>
        <w:t>{Пункт 197.10 статті 197 із змінами, внесеними згідно із Законом </w:t>
      </w:r>
      <w:hyperlink r:id="rId3124" w:anchor="n10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04DC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7" w:name="n4906"/>
      <w:bookmarkEnd w:id="5827"/>
      <w:r w:rsidRPr="008B264B">
        <w:rPr>
          <w:rFonts w:ascii="Times New Roman" w:eastAsia="Times New Roman" w:hAnsi="Times New Roman" w:cs="Times New Roman"/>
          <w:color w:val="000000"/>
          <w:sz w:val="24"/>
          <w:szCs w:val="24"/>
          <w:lang/>
        </w:rPr>
        <w:t>197.11. Звільняються від оподаткування операції із:</w:t>
      </w:r>
    </w:p>
    <w:p w14:paraId="648527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8" w:name="n12754"/>
      <w:bookmarkEnd w:id="5828"/>
      <w:r w:rsidRPr="008B264B">
        <w:rPr>
          <w:rFonts w:ascii="Times New Roman" w:eastAsia="Times New Roman" w:hAnsi="Times New Roman" w:cs="Times New Roman"/>
          <w:color w:val="000000"/>
          <w:sz w:val="24"/>
          <w:szCs w:val="24"/>
          <w:lang/>
        </w:rPr>
        <w:t>постачання товарів та послуг на митній території України та ввезення на митну територію України товарів як міжнародної технічної допомоги, яка надається відповідно до міжнародних договорів України, згода на обов’язковість яких надана у встановленому законодавством порядку;</w:t>
      </w:r>
    </w:p>
    <w:p w14:paraId="6355DB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29" w:name="n12755"/>
      <w:bookmarkEnd w:id="5829"/>
      <w:r w:rsidRPr="008B264B">
        <w:rPr>
          <w:rFonts w:ascii="Times New Roman" w:eastAsia="Times New Roman" w:hAnsi="Times New Roman" w:cs="Times New Roman"/>
          <w:color w:val="000000"/>
          <w:sz w:val="24"/>
          <w:szCs w:val="24"/>
          <w:lang/>
        </w:rPr>
        <w:t>постачання товарів та послуг на митній території України та ввезення на митну територію України товарів, що фінансуються за рахунок міжнародної технічної допомоги, яка надається відповідно до міжнародних договорів України, згода на обов’язковість яких надана у встановленому законодавством порядку;</w:t>
      </w:r>
    </w:p>
    <w:p w14:paraId="6FCE4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0" w:name="n12756"/>
      <w:bookmarkEnd w:id="5830"/>
      <w:r w:rsidRPr="008B264B">
        <w:rPr>
          <w:rFonts w:ascii="Times New Roman" w:eastAsia="Times New Roman" w:hAnsi="Times New Roman" w:cs="Times New Roman"/>
          <w:color w:val="000000"/>
          <w:sz w:val="24"/>
          <w:szCs w:val="24"/>
          <w:lang/>
        </w:rPr>
        <w:lastRenderedPageBreak/>
        <w:t>ввезення на митну територію України майна як гуманітарної допомоги, наданої згідно з нормами </w:t>
      </w:r>
      <w:hyperlink r:id="rId3125"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гуманітарну допомогу".</w:t>
      </w:r>
    </w:p>
    <w:p w14:paraId="57F883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1" w:name="n12753"/>
      <w:bookmarkEnd w:id="5831"/>
      <w:r w:rsidRPr="008B264B">
        <w:rPr>
          <w:rFonts w:ascii="Times New Roman" w:eastAsia="Times New Roman" w:hAnsi="Times New Roman" w:cs="Times New Roman"/>
          <w:i/>
          <w:iCs/>
          <w:color w:val="000000"/>
          <w:sz w:val="24"/>
          <w:szCs w:val="24"/>
          <w:lang/>
        </w:rPr>
        <w:t>{Пункт 197.11 статті 197 в редакції Закону </w:t>
      </w:r>
      <w:hyperlink r:id="rId3126" w:anchor="n18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3CF94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2" w:name="n4907"/>
      <w:bookmarkEnd w:id="5832"/>
      <w:r w:rsidRPr="008B264B">
        <w:rPr>
          <w:rFonts w:ascii="Times New Roman" w:eastAsia="Times New Roman" w:hAnsi="Times New Roman" w:cs="Times New Roman"/>
          <w:color w:val="000000"/>
          <w:sz w:val="24"/>
          <w:szCs w:val="24"/>
          <w:lang/>
        </w:rPr>
        <w:t>197.12. Звільняються від оподаткування операції банків та інших фінансових установ з постачання (продажу, відчуження іншим способом) майна, що передане фізичними особами, а також суб'єктами підприємницької діяльності - приватними підприємцями та іншими особами, які не є платниками податку, у заставу, у тому числі іпотеку, та на яке було звернено стягнення.</w:t>
      </w:r>
    </w:p>
    <w:p w14:paraId="7D7CF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3" w:name="n12758"/>
      <w:bookmarkEnd w:id="5833"/>
      <w:r w:rsidRPr="008B264B">
        <w:rPr>
          <w:rFonts w:ascii="Times New Roman" w:eastAsia="Times New Roman" w:hAnsi="Times New Roman" w:cs="Times New Roman"/>
          <w:color w:val="000000"/>
          <w:sz w:val="24"/>
          <w:szCs w:val="24"/>
          <w:lang/>
        </w:rPr>
        <w:t>Звільняються від оподаткування операції банків та інших фінансових установ з постачання майна, набутого ними у власність внаслідок звернення стягнення на таке майно. Звільнення від оподаткування стосується тієї частини вартості майна, за якою воно було набуте у власність в рахунок погашення зобов’язань за договором кредиту (позики).</w:t>
      </w:r>
    </w:p>
    <w:p w14:paraId="3D9E3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4" w:name="n12757"/>
      <w:bookmarkEnd w:id="5834"/>
      <w:r w:rsidRPr="008B264B">
        <w:rPr>
          <w:rFonts w:ascii="Times New Roman" w:eastAsia="Times New Roman" w:hAnsi="Times New Roman" w:cs="Times New Roman"/>
          <w:i/>
          <w:iCs/>
          <w:color w:val="000000"/>
          <w:sz w:val="24"/>
          <w:szCs w:val="24"/>
          <w:lang/>
        </w:rPr>
        <w:t>{Пункт 197.12 статті 197 доповнено абзацом другим згідно із Законом </w:t>
      </w:r>
      <w:hyperlink r:id="rId3127" w:anchor="n18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A4662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5" w:name="n4908"/>
      <w:bookmarkEnd w:id="5835"/>
      <w:r w:rsidRPr="008B264B">
        <w:rPr>
          <w:rFonts w:ascii="Times New Roman" w:eastAsia="Times New Roman" w:hAnsi="Times New Roman" w:cs="Times New Roman"/>
          <w:color w:val="000000"/>
          <w:sz w:val="24"/>
          <w:szCs w:val="24"/>
          <w:lang/>
        </w:rPr>
        <w:t>197.13. Звільняються від оподаткування операції банків з продажу (передачі) або придбання зобов'язань за депозитами (вкладами).</w:t>
      </w:r>
    </w:p>
    <w:p w14:paraId="7948EC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6" w:name="n4909"/>
      <w:bookmarkEnd w:id="5836"/>
      <w:r w:rsidRPr="008B264B">
        <w:rPr>
          <w:rFonts w:ascii="Times New Roman" w:eastAsia="Times New Roman" w:hAnsi="Times New Roman" w:cs="Times New Roman"/>
          <w:i/>
          <w:iCs/>
          <w:color w:val="000000"/>
          <w:sz w:val="24"/>
          <w:szCs w:val="24"/>
          <w:lang/>
        </w:rPr>
        <w:t>{Пункт 197.14 статті 197 виключено на підставі Закону </w:t>
      </w:r>
      <w:hyperlink r:id="rId3128" w:anchor="n7"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7DA1D9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7" w:name="n4910"/>
      <w:bookmarkEnd w:id="5837"/>
      <w:r w:rsidRPr="008B264B">
        <w:rPr>
          <w:rFonts w:ascii="Times New Roman" w:eastAsia="Times New Roman" w:hAnsi="Times New Roman" w:cs="Times New Roman"/>
          <w:color w:val="000000"/>
          <w:sz w:val="24"/>
          <w:szCs w:val="24"/>
          <w:lang/>
        </w:rPr>
        <w:t>197.15. Звільняються від оподаткування операції з постачання будівельно-монтажних робіт з будівництва доступного житла та житла, що будується за державні кошти.</w:t>
      </w:r>
    </w:p>
    <w:p w14:paraId="451652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8" w:name="n4911"/>
      <w:bookmarkEnd w:id="5838"/>
      <w:r w:rsidRPr="008B264B">
        <w:rPr>
          <w:rFonts w:ascii="Times New Roman" w:eastAsia="Times New Roman" w:hAnsi="Times New Roman" w:cs="Times New Roman"/>
          <w:color w:val="000000"/>
          <w:sz w:val="24"/>
          <w:szCs w:val="24"/>
          <w:lang/>
        </w:rPr>
        <w:t>197.16. Звільняються від оподаткування операції із ввезення на митну територію України:</w:t>
      </w:r>
    </w:p>
    <w:p w14:paraId="04720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39" w:name="n4912"/>
      <w:bookmarkEnd w:id="5839"/>
      <w:r w:rsidRPr="008B264B">
        <w:rPr>
          <w:rFonts w:ascii="Times New Roman" w:eastAsia="Times New Roman" w:hAnsi="Times New Roman" w:cs="Times New Roman"/>
          <w:color w:val="000000"/>
          <w:sz w:val="24"/>
          <w:szCs w:val="24"/>
          <w:lang/>
        </w:rPr>
        <w:t>197.16.1. устаткування, яке працює на відновлюваних джерелах енергії, енергозберігаючого обладнання і матеріалів, засобів вимірювання, контролю та управління витратами паливно-енергетичних ресурсів, обладнання та матеріалів для виробництва альтернативних видів палива або для виробництва енергії з відновлюваних джерел енергії;</w:t>
      </w:r>
    </w:p>
    <w:p w14:paraId="26D9F8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0" w:name="n4913"/>
      <w:bookmarkEnd w:id="5840"/>
      <w:r w:rsidRPr="008B264B">
        <w:rPr>
          <w:rFonts w:ascii="Times New Roman" w:eastAsia="Times New Roman" w:hAnsi="Times New Roman" w:cs="Times New Roman"/>
          <w:color w:val="000000"/>
          <w:sz w:val="24"/>
          <w:szCs w:val="24"/>
          <w:lang/>
        </w:rPr>
        <w:t>197.16.2. матеріалів, устаткування, комплектуючих, що використовуються для виробництва:</w:t>
      </w:r>
    </w:p>
    <w:p w14:paraId="131C34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1" w:name="n4914"/>
      <w:bookmarkEnd w:id="5841"/>
      <w:r w:rsidRPr="008B264B">
        <w:rPr>
          <w:rFonts w:ascii="Times New Roman" w:eastAsia="Times New Roman" w:hAnsi="Times New Roman" w:cs="Times New Roman"/>
          <w:color w:val="000000"/>
          <w:sz w:val="24"/>
          <w:szCs w:val="24"/>
          <w:lang/>
        </w:rPr>
        <w:t>197.16.2.1. устаткування, яке працює на відновлюваних джерелах енергії;</w:t>
      </w:r>
    </w:p>
    <w:p w14:paraId="3C1EC5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2" w:name="n4915"/>
      <w:bookmarkEnd w:id="5842"/>
      <w:r w:rsidRPr="008B264B">
        <w:rPr>
          <w:rFonts w:ascii="Times New Roman" w:eastAsia="Times New Roman" w:hAnsi="Times New Roman" w:cs="Times New Roman"/>
          <w:color w:val="000000"/>
          <w:sz w:val="24"/>
          <w:szCs w:val="24"/>
          <w:lang/>
        </w:rPr>
        <w:t>197.16.2.2. матеріалів, сировини, устаткування та комплектуючих, які будуть використовуватися у виробництві альтернативних видів палива або виробництві енергії з відновлюваних джерел енергії;</w:t>
      </w:r>
    </w:p>
    <w:p w14:paraId="0392EB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3" w:name="n4916"/>
      <w:bookmarkEnd w:id="5843"/>
      <w:r w:rsidRPr="008B264B">
        <w:rPr>
          <w:rFonts w:ascii="Times New Roman" w:eastAsia="Times New Roman" w:hAnsi="Times New Roman" w:cs="Times New Roman"/>
          <w:color w:val="000000"/>
          <w:sz w:val="24"/>
          <w:szCs w:val="24"/>
          <w:lang/>
        </w:rPr>
        <w:t>197.16.2.3. енергозберігаючого обладнання і матеріалів, виробів, експлуатація яких забезпечує економію та раціональне використання паливно-енергетичних ресурсів;</w:t>
      </w:r>
    </w:p>
    <w:p w14:paraId="3653CE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4" w:name="n4917"/>
      <w:bookmarkEnd w:id="5844"/>
      <w:r w:rsidRPr="008B264B">
        <w:rPr>
          <w:rFonts w:ascii="Times New Roman" w:eastAsia="Times New Roman" w:hAnsi="Times New Roman" w:cs="Times New Roman"/>
          <w:color w:val="000000"/>
          <w:sz w:val="24"/>
          <w:szCs w:val="24"/>
          <w:lang/>
        </w:rPr>
        <w:t>197.16.2.4. засобів вимірювання, контролю та управління витратами паливно-енергетичних ресурсів.</w:t>
      </w:r>
    </w:p>
    <w:p w14:paraId="48165E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5" w:name="n4918"/>
      <w:bookmarkEnd w:id="5845"/>
      <w:r w:rsidRPr="008B264B">
        <w:rPr>
          <w:rFonts w:ascii="Times New Roman" w:eastAsia="Times New Roman" w:hAnsi="Times New Roman" w:cs="Times New Roman"/>
          <w:color w:val="000000"/>
          <w:sz w:val="24"/>
          <w:szCs w:val="24"/>
          <w:lang/>
        </w:rPr>
        <w:t>Операції із ввезення на митну територію України зазначених у цьому пункті товарів звільняються від оподаткування, якщо ці товари застосовуються платником податку для власного виробництва та якщо ідентичні товари з аналогічними якісними показниками не виробляються в Україні.</w:t>
      </w:r>
    </w:p>
    <w:bookmarkStart w:id="5846" w:name="n4919"/>
    <w:bookmarkEnd w:id="5846"/>
    <w:p w14:paraId="1D4301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"https://zakon.rada.gov.ua/laws/show/293-2016-%D0%BF" \l "n16"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Перелік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таких товарів із зазначенням кодів </w:t>
      </w:r>
      <w:hyperlink r:id="rId312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встановлюється Кабінетом Міністрів України.</w:t>
      </w:r>
    </w:p>
    <w:p w14:paraId="2E8D5B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7" w:name="n4920"/>
      <w:bookmarkEnd w:id="5847"/>
      <w:r w:rsidRPr="008B264B">
        <w:rPr>
          <w:rFonts w:ascii="Times New Roman" w:eastAsia="Times New Roman" w:hAnsi="Times New Roman" w:cs="Times New Roman"/>
          <w:color w:val="000000"/>
          <w:sz w:val="24"/>
          <w:szCs w:val="24"/>
          <w:lang/>
        </w:rPr>
        <w:t>У разі порушення вимог щодо цільового використання таких товарів платник податку зобов'язаний збільшити податкові зобов'язання за результатами податкового періоду, на який припадає таке порушення, на суму податку на додану вартість, що мала бути сплачена із зазначених операцій у момент ввезення таких товарів, а також сплатити пеню, нараховану на таку суму податку, виходячи із 120 відсотків облікової ставки Національного банку України, що діяла на день сплати податкового зобов'язання, та за період з дня ввезення таких товарів до дня збільшення податкового зобов'язання.</w:t>
      </w:r>
    </w:p>
    <w:p w14:paraId="7FFEBA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48" w:name="n4921"/>
      <w:bookmarkEnd w:id="5848"/>
      <w:r w:rsidRPr="008B264B">
        <w:rPr>
          <w:rFonts w:ascii="Times New Roman" w:eastAsia="Times New Roman" w:hAnsi="Times New Roman" w:cs="Times New Roman"/>
          <w:color w:val="000000"/>
          <w:sz w:val="24"/>
          <w:szCs w:val="24"/>
          <w:lang/>
        </w:rPr>
        <w:lastRenderedPageBreak/>
        <w:t>197.17. На період проведення військових навчань на території України, які проводяться в рамках </w:t>
      </w:r>
      <w:hyperlink r:id="rId3130" w:tgtFrame="_blank" w:history="1">
        <w:r w:rsidRPr="008B264B">
          <w:rPr>
            <w:rFonts w:ascii="Times New Roman" w:eastAsia="Times New Roman" w:hAnsi="Times New Roman" w:cs="Times New Roman"/>
            <w:color w:val="0000FF"/>
            <w:sz w:val="24"/>
            <w:szCs w:val="24"/>
            <w:u w:val="single"/>
            <w:lang/>
          </w:rPr>
          <w:t>програми "Партнерство заради миру"</w:t>
        </w:r>
      </w:hyperlink>
      <w:r w:rsidRPr="008B264B">
        <w:rPr>
          <w:rFonts w:ascii="Times New Roman" w:eastAsia="Times New Roman" w:hAnsi="Times New Roman" w:cs="Times New Roman"/>
          <w:color w:val="000000"/>
          <w:sz w:val="24"/>
          <w:szCs w:val="24"/>
          <w:lang/>
        </w:rPr>
        <w:t>, звільняються від оподаткування операції з поставки на митній території України пально-мастильних матеріалів, що придбаваються нерезидентами для передання учасникам спільних з підрозділами Збройних Сил України військових навчань.</w:t>
      </w:r>
    </w:p>
    <w:bookmarkStart w:id="5849" w:name="n4922"/>
    <w:bookmarkEnd w:id="5849"/>
    <w:p w14:paraId="6A51C8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"https://zakon.rada.gov.ua/laws/show/569-2011-%D0%BF"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перелік підприємств та обсяги поставки пально-мастильних матеріалів встановлюються Кабінетом Міністрів України.</w:t>
      </w:r>
    </w:p>
    <w:p w14:paraId="5E8207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0" w:name="n4923"/>
      <w:bookmarkEnd w:id="5850"/>
      <w:r w:rsidRPr="008B264B">
        <w:rPr>
          <w:rFonts w:ascii="Times New Roman" w:eastAsia="Times New Roman" w:hAnsi="Times New Roman" w:cs="Times New Roman"/>
          <w:color w:val="000000"/>
          <w:sz w:val="24"/>
          <w:szCs w:val="24"/>
          <w:lang/>
        </w:rPr>
        <w:t>197.18. Звільняються від оподаткування операції з ввезення на митну територію України племінних чистопородних тварин, племінних (генетичних) ресурсів за кодами згідно з </w:t>
      </w:r>
      <w:hyperlink r:id="rId313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0101 10 10 00, 0102 10 10 00, 0102 10 30 00, 0103 10 00 00, 0104 10 10 00, 0511 10 00 00, 0511 99 85 10, що здійснюються суб'єктами спеціального режиму оподаткування, встановленого </w:t>
      </w:r>
      <w:hyperlink r:id="rId3132" w:anchor="n5191" w:history="1">
        <w:r w:rsidRPr="008B264B">
          <w:rPr>
            <w:rFonts w:ascii="Times New Roman" w:eastAsia="Times New Roman" w:hAnsi="Times New Roman" w:cs="Times New Roman"/>
            <w:color w:val="0000FF"/>
            <w:sz w:val="24"/>
            <w:szCs w:val="24"/>
            <w:u w:val="single"/>
            <w:lang/>
          </w:rPr>
          <w:t>статтею 209</w:t>
        </w:r>
      </w:hyperlink>
      <w:r w:rsidRPr="008B264B">
        <w:rPr>
          <w:rFonts w:ascii="Times New Roman" w:eastAsia="Times New Roman" w:hAnsi="Times New Roman" w:cs="Times New Roman"/>
          <w:color w:val="000000"/>
          <w:sz w:val="24"/>
          <w:szCs w:val="24"/>
          <w:lang/>
        </w:rPr>
        <w:t> цього Кодексу. Операції з подальшої поставки зазначених племінних чистопородних тварин або племінних (генетичних) ресурсів оподатковуються у загальному порядку, встановленому цим Кодексом.</w:t>
      </w:r>
    </w:p>
    <w:p w14:paraId="3D69DC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1" w:name="n4924"/>
      <w:bookmarkEnd w:id="5851"/>
      <w:r w:rsidRPr="008B264B">
        <w:rPr>
          <w:rFonts w:ascii="Times New Roman" w:eastAsia="Times New Roman" w:hAnsi="Times New Roman" w:cs="Times New Roman"/>
          <w:i/>
          <w:iCs/>
          <w:color w:val="000000"/>
          <w:sz w:val="24"/>
          <w:szCs w:val="24"/>
          <w:lang/>
        </w:rPr>
        <w:t>{Статтю 197 доповнено пунктом 197.18 згідно із Законом </w:t>
      </w:r>
      <w:hyperlink r:id="rId3133"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212DF7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2" w:name="n4925"/>
      <w:bookmarkEnd w:id="5852"/>
      <w:r w:rsidRPr="008B264B">
        <w:rPr>
          <w:rFonts w:ascii="Times New Roman" w:eastAsia="Times New Roman" w:hAnsi="Times New Roman" w:cs="Times New Roman"/>
          <w:color w:val="000000"/>
          <w:sz w:val="24"/>
          <w:szCs w:val="24"/>
          <w:lang/>
        </w:rPr>
        <w:t>197.19. Звільняються від оподаткування операції з постачання Національному банку України:</w:t>
      </w:r>
    </w:p>
    <w:p w14:paraId="7B6DD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3" w:name="n4926"/>
      <w:bookmarkEnd w:id="5853"/>
      <w:r w:rsidRPr="008B264B">
        <w:rPr>
          <w:rFonts w:ascii="Times New Roman" w:eastAsia="Times New Roman" w:hAnsi="Times New Roman" w:cs="Times New Roman"/>
          <w:color w:val="000000"/>
          <w:sz w:val="24"/>
          <w:szCs w:val="24"/>
          <w:lang/>
        </w:rPr>
        <w:t>дорогоцінних металів, у тому числі їх ввезення на митну територію України;</w:t>
      </w:r>
    </w:p>
    <w:p w14:paraId="40F68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4" w:name="n4927"/>
      <w:bookmarkEnd w:id="5854"/>
      <w:r w:rsidRPr="008B264B">
        <w:rPr>
          <w:rFonts w:ascii="Times New Roman" w:eastAsia="Times New Roman" w:hAnsi="Times New Roman" w:cs="Times New Roman"/>
          <w:color w:val="000000"/>
          <w:sz w:val="24"/>
          <w:szCs w:val="24"/>
          <w:lang/>
        </w:rPr>
        <w:t>послуг, пов'язаних з розвідкою, видобутком, виробництвом і використанням дорогоцінних металів з метою поповнення золотовалютних резервів та виготовлення банківських металів.</w:t>
      </w:r>
    </w:p>
    <w:p w14:paraId="4CBAA9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5" w:name="n4928"/>
      <w:bookmarkEnd w:id="5855"/>
      <w:r w:rsidRPr="008B264B">
        <w:rPr>
          <w:rFonts w:ascii="Times New Roman" w:eastAsia="Times New Roman" w:hAnsi="Times New Roman" w:cs="Times New Roman"/>
          <w:i/>
          <w:iCs/>
          <w:color w:val="000000"/>
          <w:sz w:val="24"/>
          <w:szCs w:val="24"/>
          <w:lang/>
        </w:rPr>
        <w:t>{Статтю 197 доповнено пунктом 197.19 згідно із Законом </w:t>
      </w:r>
      <w:hyperlink r:id="rId3134" w:tgtFrame="_blank" w:history="1">
        <w:r w:rsidRPr="008B264B">
          <w:rPr>
            <w:rFonts w:ascii="Times New Roman" w:eastAsia="Times New Roman" w:hAnsi="Times New Roman" w:cs="Times New Roman"/>
            <w:i/>
            <w:iCs/>
            <w:color w:val="0000FF"/>
            <w:sz w:val="24"/>
            <w:szCs w:val="24"/>
            <w:u w:val="single"/>
            <w:lang/>
          </w:rPr>
          <w:t>№ 4238-VI від 22.12.2011</w:t>
        </w:r>
      </w:hyperlink>
      <w:r w:rsidRPr="008B264B">
        <w:rPr>
          <w:rFonts w:ascii="Times New Roman" w:eastAsia="Times New Roman" w:hAnsi="Times New Roman" w:cs="Times New Roman"/>
          <w:i/>
          <w:iCs/>
          <w:color w:val="000000"/>
          <w:sz w:val="24"/>
          <w:szCs w:val="24"/>
          <w:lang/>
        </w:rPr>
        <w:t>}</w:t>
      </w:r>
    </w:p>
    <w:p w14:paraId="2FFDC5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6" w:name="n4929"/>
      <w:bookmarkEnd w:id="5856"/>
      <w:r w:rsidRPr="008B264B">
        <w:rPr>
          <w:rFonts w:ascii="Times New Roman" w:eastAsia="Times New Roman" w:hAnsi="Times New Roman" w:cs="Times New Roman"/>
          <w:color w:val="000000"/>
          <w:sz w:val="24"/>
          <w:szCs w:val="24"/>
          <w:lang/>
        </w:rPr>
        <w:t>197.20. Звільняються від оподаткування операції з ввезення на митну територію України фізичними особами товарів, визначених </w:t>
      </w:r>
      <w:hyperlink r:id="rId3135" w:anchor="n3242" w:tgtFrame="_blank" w:history="1">
        <w:r w:rsidRPr="008B264B">
          <w:rPr>
            <w:rFonts w:ascii="Times New Roman" w:eastAsia="Times New Roman" w:hAnsi="Times New Roman" w:cs="Times New Roman"/>
            <w:color w:val="0000FF"/>
            <w:sz w:val="24"/>
            <w:szCs w:val="24"/>
            <w:u w:val="single"/>
            <w:lang/>
          </w:rPr>
          <w:t>частиною десятою статті 374 Митного кодексу України</w:t>
        </w:r>
      </w:hyperlink>
      <w:r w:rsidRPr="008B264B">
        <w:rPr>
          <w:rFonts w:ascii="Times New Roman" w:eastAsia="Times New Roman" w:hAnsi="Times New Roman" w:cs="Times New Roman"/>
          <w:color w:val="000000"/>
          <w:sz w:val="24"/>
          <w:szCs w:val="24"/>
          <w:lang/>
        </w:rPr>
        <w:t>.</w:t>
      </w:r>
    </w:p>
    <w:p w14:paraId="35920A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7" w:name="n4930"/>
      <w:bookmarkEnd w:id="5857"/>
      <w:r w:rsidRPr="008B264B">
        <w:rPr>
          <w:rFonts w:ascii="Times New Roman" w:eastAsia="Times New Roman" w:hAnsi="Times New Roman" w:cs="Times New Roman"/>
          <w:i/>
          <w:iCs/>
          <w:color w:val="000000"/>
          <w:sz w:val="24"/>
          <w:szCs w:val="24"/>
          <w:lang/>
        </w:rPr>
        <w:t>{Статтю 197 доповнено пунктом 197.20 згідно із Законом </w:t>
      </w:r>
      <w:hyperlink r:id="rId3136" w:anchor="n8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EB4FE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8" w:name="n9621"/>
      <w:bookmarkEnd w:id="5858"/>
      <w:r w:rsidRPr="008B264B">
        <w:rPr>
          <w:rFonts w:ascii="Times New Roman" w:eastAsia="Times New Roman" w:hAnsi="Times New Roman" w:cs="Times New Roman"/>
          <w:i/>
          <w:iCs/>
          <w:color w:val="000000"/>
          <w:sz w:val="24"/>
          <w:szCs w:val="24"/>
          <w:lang/>
        </w:rPr>
        <w:t>{Пункт 197.21 статті 197 виключено на підставі Закону </w:t>
      </w:r>
      <w:hyperlink r:id="rId3137" w:anchor="n18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0A32E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59" w:name="n9653"/>
      <w:bookmarkEnd w:id="5859"/>
      <w:r w:rsidRPr="008B264B">
        <w:rPr>
          <w:rFonts w:ascii="Times New Roman" w:eastAsia="Times New Roman" w:hAnsi="Times New Roman" w:cs="Times New Roman"/>
          <w:i/>
          <w:iCs/>
          <w:color w:val="000000"/>
          <w:sz w:val="24"/>
          <w:szCs w:val="24"/>
          <w:lang/>
        </w:rPr>
        <w:t>{Пункт 197.22 статті 197 виключено на підставі Закону </w:t>
      </w:r>
      <w:hyperlink r:id="rId3138" w:anchor="n10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4CC3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0" w:name="n12363"/>
      <w:bookmarkEnd w:id="5860"/>
      <w:r w:rsidRPr="008B264B">
        <w:rPr>
          <w:rFonts w:ascii="Times New Roman" w:eastAsia="Times New Roman" w:hAnsi="Times New Roman" w:cs="Times New Roman"/>
          <w:color w:val="000000"/>
          <w:sz w:val="24"/>
          <w:szCs w:val="24"/>
          <w:lang/>
        </w:rPr>
        <w:t>197.23. Звільняються від оподаткування операції із ввезення на митну територію України у митному режимі імпорту товарів, визначених </w:t>
      </w:r>
      <w:hyperlink r:id="rId3139" w:anchor="n2411" w:tgtFrame="_blank" w:history="1">
        <w:r w:rsidRPr="008B264B">
          <w:rPr>
            <w:rFonts w:ascii="Times New Roman" w:eastAsia="Times New Roman" w:hAnsi="Times New Roman" w:cs="Times New Roman"/>
            <w:color w:val="0000FF"/>
            <w:sz w:val="24"/>
            <w:szCs w:val="24"/>
            <w:u w:val="single"/>
            <w:lang/>
          </w:rPr>
          <w:t>частиною восьмою</w:t>
        </w:r>
      </w:hyperlink>
      <w:r w:rsidRPr="008B264B">
        <w:rPr>
          <w:rFonts w:ascii="Times New Roman" w:eastAsia="Times New Roman" w:hAnsi="Times New Roman" w:cs="Times New Roman"/>
          <w:color w:val="000000"/>
          <w:sz w:val="24"/>
          <w:szCs w:val="24"/>
          <w:lang/>
        </w:rPr>
        <w:t> статті 287 Митного кодексу України, та з першого постачання цих товарів на митній території України для їх використання у виробництві продукції оборонного призначення, визначеної згідно із законом, та якщо замовником такої продукції є державний замовник, визначений Кабінетом Міністрів України.</w:t>
      </w:r>
    </w:p>
    <w:p w14:paraId="4EFA6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1" w:name="n12364"/>
      <w:bookmarkEnd w:id="5861"/>
      <w:r w:rsidRPr="008B264B">
        <w:rPr>
          <w:rFonts w:ascii="Times New Roman" w:eastAsia="Times New Roman" w:hAnsi="Times New Roman" w:cs="Times New Roman"/>
          <w:color w:val="000000"/>
          <w:sz w:val="24"/>
          <w:szCs w:val="24"/>
          <w:lang/>
        </w:rPr>
        <w:t>У разі нецільового використання товарів, визначених </w:t>
      </w:r>
      <w:hyperlink r:id="rId3140" w:anchor="n2411" w:tgtFrame="_blank" w:history="1">
        <w:r w:rsidRPr="008B264B">
          <w:rPr>
            <w:rFonts w:ascii="Times New Roman" w:eastAsia="Times New Roman" w:hAnsi="Times New Roman" w:cs="Times New Roman"/>
            <w:color w:val="0000FF"/>
            <w:sz w:val="24"/>
            <w:szCs w:val="24"/>
            <w:u w:val="single"/>
            <w:lang/>
          </w:rPr>
          <w:t>частиною восьмою</w:t>
        </w:r>
      </w:hyperlink>
      <w:r w:rsidRPr="008B264B">
        <w:rPr>
          <w:rFonts w:ascii="Times New Roman" w:eastAsia="Times New Roman" w:hAnsi="Times New Roman" w:cs="Times New Roman"/>
          <w:color w:val="000000"/>
          <w:sz w:val="24"/>
          <w:szCs w:val="24"/>
          <w:lang/>
        </w:rPr>
        <w:t> статті 287 Митного кодексу України, платник податку збільшує податкові зобов’язання за результатами податкового періоду, на який припадає порушення, на суму податку, що мала бути сплачена у момент ввезення таких товарів чи нарахована за операціями із постачання таких товарів, сплачує пеню, нараховану відповідно до цього Кодексу, та несе фінансову, адміністративну та кримінальну відповідальність, встановлену цим Кодексом та законодавством України.</w:t>
      </w:r>
    </w:p>
    <w:bookmarkStart w:id="5862" w:name="n12365"/>
    <w:bookmarkEnd w:id="5862"/>
    <w:p w14:paraId="76585D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"https://zakon.rada.gov.ua/laws/show/170-2016-%D0%BF" \l "n11"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ввезення, постачання та цільового використання товарів, визначених </w:t>
      </w:r>
      <w:hyperlink r:id="rId3141" w:anchor="n2411" w:tgtFrame="_blank" w:history="1">
        <w:r w:rsidRPr="008B264B">
          <w:rPr>
            <w:rFonts w:ascii="Times New Roman" w:eastAsia="Times New Roman" w:hAnsi="Times New Roman" w:cs="Times New Roman"/>
            <w:color w:val="0000FF"/>
            <w:sz w:val="24"/>
            <w:szCs w:val="24"/>
            <w:u w:val="single"/>
            <w:lang/>
          </w:rPr>
          <w:t>частиною восьмою</w:t>
        </w:r>
      </w:hyperlink>
      <w:r w:rsidRPr="008B264B">
        <w:rPr>
          <w:rFonts w:ascii="Times New Roman" w:eastAsia="Times New Roman" w:hAnsi="Times New Roman" w:cs="Times New Roman"/>
          <w:color w:val="000000"/>
          <w:sz w:val="24"/>
          <w:szCs w:val="24"/>
          <w:lang/>
        </w:rPr>
        <w:t> статті 287 Митного кодексу України, що ввозяться на митну територію України у митному режимі імпорту та постачаються на митній території України, визначається Кабінетом Міністрів України.</w:t>
      </w:r>
    </w:p>
    <w:p w14:paraId="3717CA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3" w:name="n12366"/>
      <w:bookmarkEnd w:id="5863"/>
      <w:r w:rsidRPr="008B264B">
        <w:rPr>
          <w:rFonts w:ascii="Times New Roman" w:eastAsia="Times New Roman" w:hAnsi="Times New Roman" w:cs="Times New Roman"/>
          <w:color w:val="000000"/>
          <w:sz w:val="24"/>
          <w:szCs w:val="24"/>
          <w:lang/>
        </w:rPr>
        <w:t xml:space="preserve">Звільнення від оподаткування, встановлене цим пунктом, не застосовується до операцій із ввезення на митну територію України у митному режимі імпорту та з постачання на митній території України товарів, що мають походження з країни, визнаної державою-окупантом згідно із законом України та/або визнаної державою-агресором по відношенню до України згідно із </w:t>
      </w:r>
      <w:r w:rsidRPr="008B264B">
        <w:rPr>
          <w:rFonts w:ascii="Times New Roman" w:eastAsia="Times New Roman" w:hAnsi="Times New Roman" w:cs="Times New Roman"/>
          <w:color w:val="000000"/>
          <w:sz w:val="24"/>
          <w:szCs w:val="24"/>
          <w:lang/>
        </w:rPr>
        <w:lastRenderedPageBreak/>
        <w:t>законодавством, або ввозяться з території такої держави-окупанта (агресора) та/або з окупованої території України, визначеної такою згідно із законом України.</w:t>
      </w:r>
    </w:p>
    <w:p w14:paraId="26CAF6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4" w:name="n12362"/>
      <w:bookmarkEnd w:id="5864"/>
      <w:r w:rsidRPr="008B264B">
        <w:rPr>
          <w:rFonts w:ascii="Times New Roman" w:eastAsia="Times New Roman" w:hAnsi="Times New Roman" w:cs="Times New Roman"/>
          <w:i/>
          <w:iCs/>
          <w:color w:val="000000"/>
          <w:sz w:val="24"/>
          <w:szCs w:val="24"/>
          <w:lang/>
        </w:rPr>
        <w:t>{Статтю 197 доповнено пунктом 197.23 згідно із Законом </w:t>
      </w:r>
      <w:hyperlink r:id="rId3142" w:anchor="n5" w:tgtFrame="_blank" w:history="1">
        <w:r w:rsidRPr="008B264B">
          <w:rPr>
            <w:rFonts w:ascii="Times New Roman" w:eastAsia="Times New Roman" w:hAnsi="Times New Roman" w:cs="Times New Roman"/>
            <w:i/>
            <w:iCs/>
            <w:color w:val="0000FF"/>
            <w:sz w:val="24"/>
            <w:szCs w:val="24"/>
            <w:u w:val="single"/>
            <w:lang/>
          </w:rPr>
          <w:t>№ 366-VIII від 23.04.2015</w:t>
        </w:r>
      </w:hyperlink>
      <w:r w:rsidRPr="008B264B">
        <w:rPr>
          <w:rFonts w:ascii="Times New Roman" w:eastAsia="Times New Roman" w:hAnsi="Times New Roman" w:cs="Times New Roman"/>
          <w:i/>
          <w:iCs/>
          <w:color w:val="000000"/>
          <w:sz w:val="24"/>
          <w:szCs w:val="24"/>
          <w:lang/>
        </w:rPr>
        <w:t>}</w:t>
      </w:r>
    </w:p>
    <w:p w14:paraId="534C6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5" w:name="n13290"/>
      <w:bookmarkEnd w:id="5865"/>
      <w:r w:rsidRPr="008B264B">
        <w:rPr>
          <w:rFonts w:ascii="Times New Roman" w:eastAsia="Times New Roman" w:hAnsi="Times New Roman" w:cs="Times New Roman"/>
          <w:color w:val="000000"/>
          <w:sz w:val="24"/>
          <w:szCs w:val="24"/>
          <w:lang/>
        </w:rPr>
        <w:t>197.24. Звільняються від оподаткування операції оператора телекомунікацій з надання телекомунікаційних послуг у частині здійснення благодійного телекомунікаційного повідомлення на благодійні цілі.</w:t>
      </w:r>
    </w:p>
    <w:p w14:paraId="357E8E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6" w:name="n13289"/>
      <w:bookmarkEnd w:id="5866"/>
      <w:r w:rsidRPr="008B264B">
        <w:rPr>
          <w:rFonts w:ascii="Times New Roman" w:eastAsia="Times New Roman" w:hAnsi="Times New Roman" w:cs="Times New Roman"/>
          <w:i/>
          <w:iCs/>
          <w:color w:val="000000"/>
          <w:sz w:val="24"/>
          <w:szCs w:val="24"/>
          <w:lang/>
        </w:rPr>
        <w:t>{Статтю 197 доповнено пунктом 197.24 згідно із Законом </w:t>
      </w:r>
      <w:hyperlink r:id="rId3143" w:anchor="n10" w:tgtFrame="_blank" w:history="1">
        <w:r w:rsidRPr="008B264B">
          <w:rPr>
            <w:rFonts w:ascii="Times New Roman" w:eastAsia="Times New Roman" w:hAnsi="Times New Roman" w:cs="Times New Roman"/>
            <w:i/>
            <w:iCs/>
            <w:color w:val="0000FF"/>
            <w:sz w:val="24"/>
            <w:szCs w:val="24"/>
            <w:u w:val="single"/>
            <w:lang/>
          </w:rPr>
          <w:t>№ 1665-VIII від 06.10.2016</w:t>
        </w:r>
      </w:hyperlink>
      <w:r w:rsidRPr="008B264B">
        <w:rPr>
          <w:rFonts w:ascii="Times New Roman" w:eastAsia="Times New Roman" w:hAnsi="Times New Roman" w:cs="Times New Roman"/>
          <w:i/>
          <w:iCs/>
          <w:color w:val="000000"/>
          <w:sz w:val="24"/>
          <w:szCs w:val="24"/>
          <w:lang/>
        </w:rPr>
        <w:t>}</w:t>
      </w:r>
    </w:p>
    <w:p w14:paraId="533830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7" w:name="n4931"/>
      <w:bookmarkEnd w:id="5867"/>
      <w:r w:rsidRPr="008B264B">
        <w:rPr>
          <w:rFonts w:ascii="Times New Roman" w:eastAsia="Times New Roman" w:hAnsi="Times New Roman" w:cs="Times New Roman"/>
          <w:b/>
          <w:bCs/>
          <w:color w:val="000000"/>
          <w:sz w:val="24"/>
          <w:szCs w:val="24"/>
          <w:lang/>
        </w:rPr>
        <w:t>Стаття 198.</w:t>
      </w:r>
      <w:r w:rsidRPr="008B264B">
        <w:rPr>
          <w:rFonts w:ascii="Times New Roman" w:eastAsia="Times New Roman" w:hAnsi="Times New Roman" w:cs="Times New Roman"/>
          <w:color w:val="000000"/>
          <w:sz w:val="24"/>
          <w:szCs w:val="24"/>
          <w:lang/>
        </w:rPr>
        <w:t> Податковий кредит</w:t>
      </w:r>
    </w:p>
    <w:p w14:paraId="2DBBA1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8" w:name="n4932"/>
      <w:bookmarkEnd w:id="5868"/>
      <w:r w:rsidRPr="008B264B">
        <w:rPr>
          <w:rFonts w:ascii="Times New Roman" w:eastAsia="Times New Roman" w:hAnsi="Times New Roman" w:cs="Times New Roman"/>
          <w:color w:val="000000"/>
          <w:sz w:val="24"/>
          <w:szCs w:val="24"/>
          <w:lang/>
        </w:rPr>
        <w:t>198.1. До податкового кредиту відносяться суми податку, сплачені/нараховані у разі здійснення операцій з:</w:t>
      </w:r>
    </w:p>
    <w:p w14:paraId="1234DA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69" w:name="n12398"/>
      <w:bookmarkEnd w:id="5869"/>
      <w:r w:rsidRPr="008B264B">
        <w:rPr>
          <w:rFonts w:ascii="Times New Roman" w:eastAsia="Times New Roman" w:hAnsi="Times New Roman" w:cs="Times New Roman"/>
          <w:i/>
          <w:iCs/>
          <w:color w:val="000000"/>
          <w:sz w:val="24"/>
          <w:szCs w:val="24"/>
          <w:lang/>
        </w:rPr>
        <w:t>{Абзац перший пункту 198.1 статті 198 в редакції Закону </w:t>
      </w:r>
      <w:hyperlink r:id="rId3144" w:anchor="n30"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10B357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0" w:name="n4933"/>
      <w:bookmarkEnd w:id="5870"/>
      <w:r w:rsidRPr="008B264B">
        <w:rPr>
          <w:rFonts w:ascii="Times New Roman" w:eastAsia="Times New Roman" w:hAnsi="Times New Roman" w:cs="Times New Roman"/>
          <w:color w:val="000000"/>
          <w:sz w:val="24"/>
          <w:szCs w:val="24"/>
          <w:lang/>
        </w:rPr>
        <w:t>а) придбання або виготовлення товарів та послуг;</w:t>
      </w:r>
    </w:p>
    <w:p w14:paraId="4B3D52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1" w:name="n14195"/>
      <w:bookmarkEnd w:id="5871"/>
      <w:r w:rsidRPr="008B264B">
        <w:rPr>
          <w:rFonts w:ascii="Times New Roman" w:eastAsia="Times New Roman" w:hAnsi="Times New Roman" w:cs="Times New Roman"/>
          <w:i/>
          <w:iCs/>
          <w:color w:val="000000"/>
          <w:sz w:val="24"/>
          <w:szCs w:val="24"/>
          <w:lang/>
        </w:rPr>
        <w:t>{Абзац другий пункту 198.1 статті 198 із змінами, внесеними згідно із Законом </w:t>
      </w:r>
      <w:hyperlink r:id="rId3145" w:anchor="n10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AA44C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2" w:name="n4934"/>
      <w:bookmarkEnd w:id="5872"/>
      <w:r w:rsidRPr="008B264B">
        <w:rPr>
          <w:rFonts w:ascii="Times New Roman" w:eastAsia="Times New Roman" w:hAnsi="Times New Roman" w:cs="Times New Roman"/>
          <w:color w:val="000000"/>
          <w:sz w:val="24"/>
          <w:szCs w:val="24"/>
          <w:lang/>
        </w:rPr>
        <w:t>б) придбання (будівництво, спорудження, створення) необоротних активів (у тому числі у зв'язку з придбанням та/або ввезенням таких активів як внесок до статутного фонду та/або при передачі таких активів на баланс платника податку, уповноваженого вести облік результатів спільної діяльності);</w:t>
      </w:r>
    </w:p>
    <w:p w14:paraId="5C273A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3" w:name="n14196"/>
      <w:bookmarkEnd w:id="5873"/>
      <w:r w:rsidRPr="008B264B">
        <w:rPr>
          <w:rFonts w:ascii="Times New Roman" w:eastAsia="Times New Roman" w:hAnsi="Times New Roman" w:cs="Times New Roman"/>
          <w:i/>
          <w:iCs/>
          <w:color w:val="000000"/>
          <w:sz w:val="24"/>
          <w:szCs w:val="24"/>
          <w:lang/>
        </w:rPr>
        <w:t>{Абзац третій пункту 198.1 статті 198 із змінами, внесеними згідно із Законом </w:t>
      </w:r>
      <w:hyperlink r:id="rId3146" w:anchor="n10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F068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4" w:name="n4935"/>
      <w:bookmarkEnd w:id="5874"/>
      <w:r w:rsidRPr="008B264B">
        <w:rPr>
          <w:rFonts w:ascii="Times New Roman" w:eastAsia="Times New Roman" w:hAnsi="Times New Roman" w:cs="Times New Roman"/>
          <w:color w:val="000000"/>
          <w:sz w:val="24"/>
          <w:szCs w:val="24"/>
          <w:lang/>
        </w:rPr>
        <w:t>в) отримання послуг, наданих нерезидентом на митній території України, та в разі отримання послуг, місцем постачання яких є митна територія України;</w:t>
      </w:r>
    </w:p>
    <w:p w14:paraId="0CF17C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5" w:name="n4936"/>
      <w:bookmarkEnd w:id="5875"/>
      <w:r w:rsidRPr="008B264B">
        <w:rPr>
          <w:rFonts w:ascii="Times New Roman" w:eastAsia="Times New Roman" w:hAnsi="Times New Roman" w:cs="Times New Roman"/>
          <w:color w:val="000000"/>
          <w:sz w:val="24"/>
          <w:szCs w:val="24"/>
          <w:lang/>
        </w:rPr>
        <w:t>г) ввезення необоротних активів на митну територію України за договорами оперативного або фінансового лізингу;</w:t>
      </w:r>
    </w:p>
    <w:p w14:paraId="2732E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6" w:name="n14198"/>
      <w:bookmarkEnd w:id="5876"/>
      <w:r w:rsidRPr="008B264B">
        <w:rPr>
          <w:rFonts w:ascii="Times New Roman" w:eastAsia="Times New Roman" w:hAnsi="Times New Roman" w:cs="Times New Roman"/>
          <w:color w:val="000000"/>
          <w:sz w:val="24"/>
          <w:szCs w:val="24"/>
          <w:lang/>
        </w:rPr>
        <w:t>ґ) ввезення товарів та/або необоротних активів на митну територію України.</w:t>
      </w:r>
    </w:p>
    <w:p w14:paraId="66BE12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7" w:name="n14197"/>
      <w:bookmarkEnd w:id="5877"/>
      <w:r w:rsidRPr="008B264B">
        <w:rPr>
          <w:rFonts w:ascii="Times New Roman" w:eastAsia="Times New Roman" w:hAnsi="Times New Roman" w:cs="Times New Roman"/>
          <w:i/>
          <w:iCs/>
          <w:color w:val="000000"/>
          <w:sz w:val="24"/>
          <w:szCs w:val="24"/>
          <w:lang/>
        </w:rPr>
        <w:t>{Пункт 198.1 статті 198 доповнено абзацом шостим згідно із Законом </w:t>
      </w:r>
      <w:hyperlink r:id="rId3147" w:anchor="n10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D3CA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8" w:name="n4937"/>
      <w:bookmarkEnd w:id="5878"/>
      <w:r w:rsidRPr="008B264B">
        <w:rPr>
          <w:rFonts w:ascii="Times New Roman" w:eastAsia="Times New Roman" w:hAnsi="Times New Roman" w:cs="Times New Roman"/>
          <w:color w:val="000000"/>
          <w:sz w:val="24"/>
          <w:szCs w:val="24"/>
          <w:lang/>
        </w:rPr>
        <w:t>198.2. Датою віднесення сум податку до податкового кредиту вважається дата тієї події, що відбулася раніше:</w:t>
      </w:r>
    </w:p>
    <w:p w14:paraId="6C10A5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79" w:name="n4938"/>
      <w:bookmarkEnd w:id="5879"/>
      <w:r w:rsidRPr="008B264B">
        <w:rPr>
          <w:rFonts w:ascii="Times New Roman" w:eastAsia="Times New Roman" w:hAnsi="Times New Roman" w:cs="Times New Roman"/>
          <w:i/>
          <w:iCs/>
          <w:color w:val="000000"/>
          <w:sz w:val="24"/>
          <w:szCs w:val="24"/>
          <w:lang/>
        </w:rPr>
        <w:t>{Абзаци перший та другий пункту 198.2 статті 198 замінено одним абзацом згідно із Законом </w:t>
      </w:r>
      <w:hyperlink r:id="rId31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3149" w:anchor="n3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5A72F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0" w:name="n4939"/>
      <w:bookmarkEnd w:id="5880"/>
      <w:r w:rsidRPr="008B264B">
        <w:rPr>
          <w:rFonts w:ascii="Times New Roman" w:eastAsia="Times New Roman" w:hAnsi="Times New Roman" w:cs="Times New Roman"/>
          <w:color w:val="000000"/>
          <w:sz w:val="24"/>
          <w:szCs w:val="24"/>
          <w:lang/>
        </w:rPr>
        <w:t>дата списання коштів з банківського рахунка платника податку на оплату товарів/послуг;</w:t>
      </w:r>
    </w:p>
    <w:p w14:paraId="09E45F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1" w:name="n4940"/>
      <w:bookmarkEnd w:id="5881"/>
      <w:r w:rsidRPr="008B264B">
        <w:rPr>
          <w:rFonts w:ascii="Times New Roman" w:eastAsia="Times New Roman" w:hAnsi="Times New Roman" w:cs="Times New Roman"/>
          <w:color w:val="000000"/>
          <w:sz w:val="24"/>
          <w:szCs w:val="24"/>
          <w:lang/>
        </w:rPr>
        <w:t>дата отримання платником податку товарів/послуг.</w:t>
      </w:r>
    </w:p>
    <w:p w14:paraId="193BCA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2" w:name="n10080"/>
      <w:bookmarkEnd w:id="5882"/>
      <w:r w:rsidRPr="008B264B">
        <w:rPr>
          <w:rFonts w:ascii="Times New Roman" w:eastAsia="Times New Roman" w:hAnsi="Times New Roman" w:cs="Times New Roman"/>
          <w:i/>
          <w:iCs/>
          <w:color w:val="000000"/>
          <w:sz w:val="24"/>
          <w:szCs w:val="24"/>
          <w:lang/>
        </w:rPr>
        <w:t>{Абзац третій пункту 198.2 статті 198 в редакції Закону </w:t>
      </w:r>
      <w:hyperlink r:id="rId3150" w:anchor="n27"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 урахуванням змін, внесених Законом </w:t>
      </w:r>
      <w:hyperlink r:id="rId3151"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152" w:anchor="n6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5C751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3" w:name="n4941"/>
      <w:bookmarkEnd w:id="5883"/>
      <w:r w:rsidRPr="008B264B">
        <w:rPr>
          <w:rFonts w:ascii="Times New Roman" w:eastAsia="Times New Roman" w:hAnsi="Times New Roman" w:cs="Times New Roman"/>
          <w:color w:val="000000"/>
          <w:sz w:val="24"/>
          <w:szCs w:val="24"/>
          <w:lang/>
        </w:rPr>
        <w:t>Для операцій із ввезення на митну територію України товарів датою віднесення сум податку до податкового кредиту є дата сплати податку за податковими зобов'язаннями згідно з </w:t>
      </w:r>
      <w:hyperlink r:id="rId3153" w:anchor="n4540" w:history="1">
        <w:r w:rsidRPr="008B264B">
          <w:rPr>
            <w:rFonts w:ascii="Times New Roman" w:eastAsia="Times New Roman" w:hAnsi="Times New Roman" w:cs="Times New Roman"/>
            <w:color w:val="0000FF"/>
            <w:sz w:val="24"/>
            <w:szCs w:val="24"/>
            <w:u w:val="single"/>
            <w:lang/>
          </w:rPr>
          <w:t>пунктом 187.8</w:t>
        </w:r>
      </w:hyperlink>
      <w:r w:rsidRPr="008B264B">
        <w:rPr>
          <w:rFonts w:ascii="Times New Roman" w:eastAsia="Times New Roman" w:hAnsi="Times New Roman" w:cs="Times New Roman"/>
          <w:color w:val="000000"/>
          <w:sz w:val="24"/>
          <w:szCs w:val="24"/>
          <w:lang/>
        </w:rPr>
        <w:t> статті 187 цього Кодексу, а для операцій з постачання послуг нерезидентом на митній території України - дата складення платником податкової накладної за такими операціями, за умови реєстрації такої податкової накладної в Єдиному реєстрі податкових накладних.</w:t>
      </w:r>
    </w:p>
    <w:p w14:paraId="6A8C78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4" w:name="n4942"/>
      <w:bookmarkEnd w:id="5884"/>
      <w:r w:rsidRPr="008B264B">
        <w:rPr>
          <w:rFonts w:ascii="Times New Roman" w:eastAsia="Times New Roman" w:hAnsi="Times New Roman" w:cs="Times New Roman"/>
          <w:i/>
          <w:iCs/>
          <w:color w:val="000000"/>
          <w:sz w:val="24"/>
          <w:szCs w:val="24"/>
          <w:lang/>
        </w:rPr>
        <w:t>{Абзац четвертий пункту 198.2 статті 198 в редакції Закону </w:t>
      </w:r>
      <w:hyperlink r:id="rId315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155" w:anchor="n29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156" w:anchor="n29"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 xml:space="preserve">з </w:t>
      </w:r>
      <w:r w:rsidRPr="008B264B">
        <w:rPr>
          <w:rFonts w:ascii="Times New Roman" w:eastAsia="Times New Roman" w:hAnsi="Times New Roman" w:cs="Times New Roman"/>
          <w:i/>
          <w:iCs/>
          <w:color w:val="000000"/>
          <w:sz w:val="24"/>
          <w:szCs w:val="24"/>
          <w:lang/>
        </w:rPr>
        <w:lastRenderedPageBreak/>
        <w:t>урахуванням змін, внесених Законом </w:t>
      </w:r>
      <w:hyperlink r:id="rId3157"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158" w:anchor="n6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159" w:anchor="n3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9F1EA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5" w:name="n4943"/>
      <w:bookmarkEnd w:id="5885"/>
      <w:r w:rsidRPr="008B264B">
        <w:rPr>
          <w:rFonts w:ascii="Times New Roman" w:eastAsia="Times New Roman" w:hAnsi="Times New Roman" w:cs="Times New Roman"/>
          <w:color w:val="000000"/>
          <w:sz w:val="24"/>
          <w:szCs w:val="24"/>
          <w:lang/>
        </w:rPr>
        <w:t>Датою збільшення податкового кредиту орендаря (лізингоотримувача) для операцій фінансової оренди (лізингу) є дата фактичного отримання об’єкта фінансового лізингу таким орендарем.</w:t>
      </w:r>
    </w:p>
    <w:p w14:paraId="40C915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6" w:name="n12399"/>
      <w:bookmarkEnd w:id="5886"/>
      <w:r w:rsidRPr="008B264B">
        <w:rPr>
          <w:rFonts w:ascii="Times New Roman" w:eastAsia="Times New Roman" w:hAnsi="Times New Roman" w:cs="Times New Roman"/>
          <w:i/>
          <w:iCs/>
          <w:color w:val="000000"/>
          <w:sz w:val="24"/>
          <w:szCs w:val="24"/>
          <w:lang/>
        </w:rPr>
        <w:t>{Абзац п'ятий пункту 198.2 статті 198 в редакції Закону </w:t>
      </w:r>
      <w:hyperlink r:id="rId3160" w:anchor="n3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7D5A4C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7" w:name="n4944"/>
      <w:bookmarkEnd w:id="5887"/>
      <w:r w:rsidRPr="008B264B">
        <w:rPr>
          <w:rFonts w:ascii="Times New Roman" w:eastAsia="Times New Roman" w:hAnsi="Times New Roman" w:cs="Times New Roman"/>
          <w:color w:val="000000"/>
          <w:sz w:val="24"/>
          <w:szCs w:val="24"/>
          <w:lang/>
        </w:rPr>
        <w:t>Датою віднесення сум до податкового кредиту замовника з договорів (контрактів), визначених довгостроковими відповідно до </w:t>
      </w:r>
      <w:hyperlink r:id="rId3161" w:anchor="n4544" w:history="1">
        <w:r w:rsidRPr="008B264B">
          <w:rPr>
            <w:rFonts w:ascii="Times New Roman" w:eastAsia="Times New Roman" w:hAnsi="Times New Roman" w:cs="Times New Roman"/>
            <w:color w:val="0000FF"/>
            <w:sz w:val="24"/>
            <w:szCs w:val="24"/>
            <w:u w:val="single"/>
            <w:lang/>
          </w:rPr>
          <w:t>пункту 187.9</w:t>
        </w:r>
      </w:hyperlink>
      <w:r w:rsidRPr="008B264B">
        <w:rPr>
          <w:rFonts w:ascii="Times New Roman" w:eastAsia="Times New Roman" w:hAnsi="Times New Roman" w:cs="Times New Roman"/>
          <w:color w:val="000000"/>
          <w:sz w:val="24"/>
          <w:szCs w:val="24"/>
          <w:lang/>
        </w:rPr>
        <w:t> статті 187 цього Кодексу, є дата фактичного отримання замовником результатів робіт (оформлених актами виконаних робіт) за такими договорами (контрактами).</w:t>
      </w:r>
    </w:p>
    <w:p w14:paraId="0C4542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8" w:name="n12400"/>
      <w:bookmarkEnd w:id="5888"/>
      <w:r w:rsidRPr="008B264B">
        <w:rPr>
          <w:rFonts w:ascii="Times New Roman" w:eastAsia="Times New Roman" w:hAnsi="Times New Roman" w:cs="Times New Roman"/>
          <w:i/>
          <w:iCs/>
          <w:color w:val="000000"/>
          <w:sz w:val="24"/>
          <w:szCs w:val="24"/>
          <w:lang/>
        </w:rPr>
        <w:t>{Абзац шостий пункту 198.2 статті 198 із змінами, внесеними згідно із Законом </w:t>
      </w:r>
      <w:hyperlink r:id="rId3162" w:anchor="n38"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8071B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89" w:name="n4945"/>
      <w:bookmarkEnd w:id="5889"/>
      <w:r w:rsidRPr="008B264B">
        <w:rPr>
          <w:rFonts w:ascii="Times New Roman" w:eastAsia="Times New Roman" w:hAnsi="Times New Roman" w:cs="Times New Roman"/>
          <w:color w:val="000000"/>
          <w:sz w:val="24"/>
          <w:szCs w:val="24"/>
          <w:lang/>
        </w:rPr>
        <w:t>Для товарів/послуг, постачання (придбання) яких контролюється приладами обліку, факт постачання (придбання) таких товарів/послуг засвідчується даними обліку.</w:t>
      </w:r>
    </w:p>
    <w:p w14:paraId="23AD14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0" w:name="n4946"/>
      <w:bookmarkEnd w:id="5890"/>
      <w:r w:rsidRPr="008B264B">
        <w:rPr>
          <w:rFonts w:ascii="Times New Roman" w:eastAsia="Times New Roman" w:hAnsi="Times New Roman" w:cs="Times New Roman"/>
          <w:color w:val="000000"/>
          <w:sz w:val="24"/>
          <w:szCs w:val="24"/>
          <w:lang/>
        </w:rPr>
        <w:t>198.3. Податковий кредит звітного періоду визначається виходячи з договірної (контрактної) вартості товарів/послуг та складається із сум податків, нарахованих (сплачених) платником податку за ставкою, встановленою </w:t>
      </w:r>
      <w:hyperlink r:id="rId3163" w:anchor="n4634" w:history="1">
        <w:r w:rsidRPr="008B264B">
          <w:rPr>
            <w:rFonts w:ascii="Times New Roman" w:eastAsia="Times New Roman" w:hAnsi="Times New Roman" w:cs="Times New Roman"/>
            <w:color w:val="0000FF"/>
            <w:sz w:val="24"/>
            <w:szCs w:val="24"/>
            <w:u w:val="single"/>
            <w:lang/>
          </w:rPr>
          <w:t>пунктом 193.1</w:t>
        </w:r>
      </w:hyperlink>
      <w:r w:rsidRPr="008B264B">
        <w:rPr>
          <w:rFonts w:ascii="Times New Roman" w:eastAsia="Times New Roman" w:hAnsi="Times New Roman" w:cs="Times New Roman"/>
          <w:color w:val="000000"/>
          <w:sz w:val="24"/>
          <w:szCs w:val="24"/>
          <w:lang/>
        </w:rPr>
        <w:t> статті 193 цього Кодексу, протягом такого звітного періоду у зв’язку з:</w:t>
      </w:r>
    </w:p>
    <w:p w14:paraId="41EEEF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1" w:name="n4947"/>
      <w:bookmarkEnd w:id="5891"/>
      <w:r w:rsidRPr="008B264B">
        <w:rPr>
          <w:rFonts w:ascii="Times New Roman" w:eastAsia="Times New Roman" w:hAnsi="Times New Roman" w:cs="Times New Roman"/>
          <w:color w:val="000000"/>
          <w:sz w:val="24"/>
          <w:szCs w:val="24"/>
          <w:lang/>
        </w:rPr>
        <w:t>придбанням або виготовленням товарів та наданням послуг;</w:t>
      </w:r>
    </w:p>
    <w:p w14:paraId="066DDF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2" w:name="n4948"/>
      <w:bookmarkEnd w:id="5892"/>
      <w:r w:rsidRPr="008B264B">
        <w:rPr>
          <w:rFonts w:ascii="Times New Roman" w:eastAsia="Times New Roman" w:hAnsi="Times New Roman" w:cs="Times New Roman"/>
          <w:color w:val="000000"/>
          <w:sz w:val="24"/>
          <w:szCs w:val="24"/>
          <w:lang/>
        </w:rPr>
        <w:t>придбанням (будівництвом, спорудженням) основних фондів (основних засобів, у тому числі інших необоротних матеріальних активів та незавершених капітальних інвестицій у необоротні капітальні активи);</w:t>
      </w:r>
    </w:p>
    <w:p w14:paraId="40332D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3" w:name="n14200"/>
      <w:bookmarkEnd w:id="5893"/>
      <w:r w:rsidRPr="008B264B">
        <w:rPr>
          <w:rFonts w:ascii="Times New Roman" w:eastAsia="Times New Roman" w:hAnsi="Times New Roman" w:cs="Times New Roman"/>
          <w:color w:val="000000"/>
          <w:sz w:val="24"/>
          <w:szCs w:val="24"/>
          <w:lang/>
        </w:rPr>
        <w:t>ввезенням товарів та/або необоротних активів на митну територію України.</w:t>
      </w:r>
    </w:p>
    <w:p w14:paraId="0662BB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4" w:name="n4949"/>
      <w:bookmarkEnd w:id="5894"/>
      <w:r w:rsidRPr="008B264B">
        <w:rPr>
          <w:rFonts w:ascii="Times New Roman" w:eastAsia="Times New Roman" w:hAnsi="Times New Roman" w:cs="Times New Roman"/>
          <w:color w:val="000000"/>
          <w:sz w:val="24"/>
          <w:szCs w:val="24"/>
          <w:lang/>
        </w:rPr>
        <w:t>Нарахування податкового кредиту здійснюється незалежно від того, чи такі товари/послуги та основні фонди почали використовуватися в оподатковуваних операціях у межах провадження господарської діяльності платника податку протягом звітного податкового періоду, а також від того, чи здійснював платник податку оподатковувані операції протягом такого звітного податкового періоду.</w:t>
      </w:r>
    </w:p>
    <w:p w14:paraId="14C44A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5" w:name="n14199"/>
      <w:bookmarkEnd w:id="5895"/>
      <w:r w:rsidRPr="008B264B">
        <w:rPr>
          <w:rFonts w:ascii="Times New Roman" w:eastAsia="Times New Roman" w:hAnsi="Times New Roman" w:cs="Times New Roman"/>
          <w:i/>
          <w:iCs/>
          <w:color w:val="000000"/>
          <w:sz w:val="24"/>
          <w:szCs w:val="24"/>
          <w:lang/>
        </w:rPr>
        <w:t>{Пункт 198.3 статті 198 із змінами, внесеними згідно із Законами </w:t>
      </w:r>
      <w:hyperlink r:id="rId3164" w:anchor="n368"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w:t>
      </w:r>
      <w:hyperlink r:id="rId3165" w:anchor="n6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166" w:anchor="n93"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 </w:t>
      </w:r>
      <w:hyperlink r:id="rId3167" w:anchor="n39"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168" w:anchor="n10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58E0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6" w:name="n4950"/>
      <w:bookmarkEnd w:id="5896"/>
      <w:r w:rsidRPr="008B264B">
        <w:rPr>
          <w:rFonts w:ascii="Times New Roman" w:eastAsia="Times New Roman" w:hAnsi="Times New Roman" w:cs="Times New Roman"/>
          <w:i/>
          <w:iCs/>
          <w:color w:val="000000"/>
          <w:sz w:val="24"/>
          <w:szCs w:val="24"/>
          <w:lang/>
        </w:rPr>
        <w:t>{Пункт 198.4 статті 198 виключено на підставі Закону </w:t>
      </w:r>
      <w:hyperlink r:id="rId3169" w:anchor="n63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19B60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7" w:name="n4951"/>
      <w:bookmarkEnd w:id="5897"/>
      <w:r w:rsidRPr="008B264B">
        <w:rPr>
          <w:rFonts w:ascii="Times New Roman" w:eastAsia="Times New Roman" w:hAnsi="Times New Roman" w:cs="Times New Roman"/>
          <w:color w:val="000000"/>
          <w:sz w:val="24"/>
          <w:szCs w:val="24"/>
          <w:lang/>
        </w:rPr>
        <w:t>198.5. Платник податку зобов'язаний нарахувати податкові зобов'язання виходячи з бази оподаткування, визначеної відповідно до </w:t>
      </w:r>
      <w:hyperlink r:id="rId3170" w:anchor="n4565" w:history="1">
        <w:r w:rsidRPr="008B264B">
          <w:rPr>
            <w:rFonts w:ascii="Times New Roman" w:eastAsia="Times New Roman" w:hAnsi="Times New Roman" w:cs="Times New Roman"/>
            <w:color w:val="0000FF"/>
            <w:sz w:val="24"/>
            <w:szCs w:val="24"/>
            <w:u w:val="single"/>
            <w:lang/>
          </w:rPr>
          <w:t>пункту 189.1</w:t>
        </w:r>
      </w:hyperlink>
      <w:r w:rsidRPr="008B264B">
        <w:rPr>
          <w:rFonts w:ascii="Times New Roman" w:eastAsia="Times New Roman" w:hAnsi="Times New Roman" w:cs="Times New Roman"/>
          <w:color w:val="000000"/>
          <w:sz w:val="24"/>
          <w:szCs w:val="24"/>
          <w:lang/>
        </w:rPr>
        <w:t> статті 189 цього Кодексу, та скласти не пізніше останнього дня звітного (податкового) періоду і зареєструвати в Єдиному реєстрі податкових накладних в терміни, встановлені цим Кодексом для такої реєстрації, зведену податкову накладну за товарами/послугами, необоротними активами, придбаними/виготовленими з податком на додану вартість (для товарів/послуг, необоротних активів, придбаних або виготовлених до 1 липня 2015 року, - у разі якщо під час такого придбання або виготовлення суми податку були включені до складу податкового кредиту), у разі якщо такі товари/послуги, необоротні активи призначаються для їх використання або починають використовуватися:</w:t>
      </w:r>
    </w:p>
    <w:p w14:paraId="70C95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8" w:name="n10081"/>
      <w:bookmarkEnd w:id="5898"/>
      <w:r w:rsidRPr="008B264B">
        <w:rPr>
          <w:rFonts w:ascii="Times New Roman" w:eastAsia="Times New Roman" w:hAnsi="Times New Roman" w:cs="Times New Roman"/>
          <w:i/>
          <w:iCs/>
          <w:color w:val="000000"/>
          <w:sz w:val="24"/>
          <w:szCs w:val="24"/>
          <w:lang/>
        </w:rPr>
        <w:t>{Абзац перший пункту 198.5 статті 198 із змінами, внесеними згідно із Законом </w:t>
      </w:r>
      <w:hyperlink r:id="rId3171" w:anchor="n30"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 урахуванням змін, внесених Законом </w:t>
      </w:r>
      <w:hyperlink r:id="rId3172" w:anchor="n6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173" w:anchor="n6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174" w:anchor="n40"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77BB05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899" w:name="n4952"/>
      <w:bookmarkEnd w:id="5899"/>
      <w:r w:rsidRPr="008B264B">
        <w:rPr>
          <w:rFonts w:ascii="Times New Roman" w:eastAsia="Times New Roman" w:hAnsi="Times New Roman" w:cs="Times New Roman"/>
          <w:color w:val="000000"/>
          <w:sz w:val="24"/>
          <w:szCs w:val="24"/>
          <w:lang/>
        </w:rPr>
        <w:lastRenderedPageBreak/>
        <w:t>а) в операціях, що не є об’єктом оподаткування відповідно до </w:t>
      </w:r>
      <w:hyperlink r:id="rId3175" w:anchor="n4678" w:history="1">
        <w:r w:rsidRPr="008B264B">
          <w:rPr>
            <w:rFonts w:ascii="Times New Roman" w:eastAsia="Times New Roman" w:hAnsi="Times New Roman" w:cs="Times New Roman"/>
            <w:color w:val="0000FF"/>
            <w:sz w:val="24"/>
            <w:szCs w:val="24"/>
            <w:u w:val="single"/>
            <w:lang/>
          </w:rPr>
          <w:t>статті 196</w:t>
        </w:r>
      </w:hyperlink>
      <w:r w:rsidRPr="008B264B">
        <w:rPr>
          <w:rFonts w:ascii="Times New Roman" w:eastAsia="Times New Roman" w:hAnsi="Times New Roman" w:cs="Times New Roman"/>
          <w:color w:val="000000"/>
          <w:sz w:val="24"/>
          <w:szCs w:val="24"/>
          <w:lang/>
        </w:rPr>
        <w:t> цього Кодексу (крім випадків проведення операцій, передбачених </w:t>
      </w:r>
      <w:hyperlink r:id="rId3176" w:anchor="n4701" w:history="1">
        <w:r w:rsidRPr="008B264B">
          <w:rPr>
            <w:rFonts w:ascii="Times New Roman" w:eastAsia="Times New Roman" w:hAnsi="Times New Roman" w:cs="Times New Roman"/>
            <w:color w:val="0000FF"/>
            <w:sz w:val="24"/>
            <w:szCs w:val="24"/>
            <w:u w:val="single"/>
            <w:lang/>
          </w:rPr>
          <w:t>підпунктом 196.1.7</w:t>
        </w:r>
      </w:hyperlink>
      <w:r w:rsidRPr="008B264B">
        <w:rPr>
          <w:rFonts w:ascii="Times New Roman" w:eastAsia="Times New Roman" w:hAnsi="Times New Roman" w:cs="Times New Roman"/>
          <w:color w:val="000000"/>
          <w:sz w:val="24"/>
          <w:szCs w:val="24"/>
          <w:lang/>
        </w:rPr>
        <w:t> пункту 196.1 статті 196 цього Кодексу) або місце постачання яких розташоване за межами митної території України;</w:t>
      </w:r>
    </w:p>
    <w:p w14:paraId="5CDFC4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0" w:name="n9551"/>
      <w:bookmarkEnd w:id="5900"/>
      <w:r w:rsidRPr="008B264B">
        <w:rPr>
          <w:rFonts w:ascii="Times New Roman" w:eastAsia="Times New Roman" w:hAnsi="Times New Roman" w:cs="Times New Roman"/>
          <w:i/>
          <w:iCs/>
          <w:color w:val="000000"/>
          <w:sz w:val="24"/>
          <w:szCs w:val="24"/>
          <w:lang/>
        </w:rPr>
        <w:t>{Підпункт "а" пункту 198.5 статті 198 із змінами, внесеними згідно із Законами </w:t>
      </w:r>
      <w:hyperlink r:id="rId3177" w:anchor="n13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3178" w:anchor="n19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179" w:anchor="n11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81FC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1" w:name="n4953"/>
      <w:bookmarkEnd w:id="5901"/>
      <w:r w:rsidRPr="008B264B">
        <w:rPr>
          <w:rFonts w:ascii="Times New Roman" w:eastAsia="Times New Roman" w:hAnsi="Times New Roman" w:cs="Times New Roman"/>
          <w:color w:val="000000"/>
          <w:sz w:val="24"/>
          <w:szCs w:val="24"/>
          <w:lang/>
        </w:rPr>
        <w:t>б) в операціях, звільнених від оподаткування відповідно до статті 197, </w:t>
      </w:r>
      <w:hyperlink r:id="rId3180" w:anchor="n8035" w:history="1">
        <w:r w:rsidRPr="008B264B">
          <w:rPr>
            <w:rFonts w:ascii="Times New Roman" w:eastAsia="Times New Roman" w:hAnsi="Times New Roman" w:cs="Times New Roman"/>
            <w:color w:val="0000FF"/>
            <w:sz w:val="24"/>
            <w:szCs w:val="24"/>
            <w:u w:val="single"/>
            <w:lang/>
          </w:rPr>
          <w:t>підрозділу 2</w:t>
        </w:r>
      </w:hyperlink>
      <w:r w:rsidRPr="008B264B">
        <w:rPr>
          <w:rFonts w:ascii="Times New Roman" w:eastAsia="Times New Roman" w:hAnsi="Times New Roman" w:cs="Times New Roman"/>
          <w:color w:val="000000"/>
          <w:sz w:val="24"/>
          <w:szCs w:val="24"/>
          <w:lang/>
        </w:rPr>
        <w:t> розділу XX цього Кодексу, міжнародних договорів (угод) (крім випадків проведення операцій, передбачених </w:t>
      </w:r>
      <w:hyperlink r:id="rId3181" w:anchor="n4881" w:history="1">
        <w:r w:rsidRPr="008B264B">
          <w:rPr>
            <w:rFonts w:ascii="Times New Roman" w:eastAsia="Times New Roman" w:hAnsi="Times New Roman" w:cs="Times New Roman"/>
            <w:color w:val="0000FF"/>
            <w:sz w:val="24"/>
            <w:szCs w:val="24"/>
            <w:u w:val="single"/>
            <w:lang/>
          </w:rPr>
          <w:t>підпунктом 197.1.28</w:t>
        </w:r>
      </w:hyperlink>
      <w:r w:rsidRPr="008B264B">
        <w:rPr>
          <w:rFonts w:ascii="Times New Roman" w:eastAsia="Times New Roman" w:hAnsi="Times New Roman" w:cs="Times New Roman"/>
          <w:color w:val="000000"/>
          <w:sz w:val="24"/>
          <w:szCs w:val="24"/>
          <w:lang/>
        </w:rPr>
        <w:t> пункту 197.1 статті 197 цього Кодексу та операцій, передбачених </w:t>
      </w:r>
      <w:hyperlink r:id="rId3182" w:anchor="n4906" w:history="1">
        <w:r w:rsidRPr="008B264B">
          <w:rPr>
            <w:rFonts w:ascii="Times New Roman" w:eastAsia="Times New Roman" w:hAnsi="Times New Roman" w:cs="Times New Roman"/>
            <w:color w:val="0000FF"/>
            <w:sz w:val="24"/>
            <w:szCs w:val="24"/>
            <w:u w:val="single"/>
            <w:lang/>
          </w:rPr>
          <w:t>пунктом 197.11</w:t>
        </w:r>
      </w:hyperlink>
      <w:r w:rsidRPr="008B264B">
        <w:rPr>
          <w:rFonts w:ascii="Times New Roman" w:eastAsia="Times New Roman" w:hAnsi="Times New Roman" w:cs="Times New Roman"/>
          <w:color w:val="000000"/>
          <w:sz w:val="24"/>
          <w:szCs w:val="24"/>
          <w:lang/>
        </w:rPr>
        <w:t> статті 197 цього Кодексу);</w:t>
      </w:r>
    </w:p>
    <w:p w14:paraId="08CC14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2" w:name="n9552"/>
      <w:bookmarkEnd w:id="5902"/>
      <w:r w:rsidRPr="008B264B">
        <w:rPr>
          <w:rFonts w:ascii="Times New Roman" w:eastAsia="Times New Roman" w:hAnsi="Times New Roman" w:cs="Times New Roman"/>
          <w:i/>
          <w:iCs/>
          <w:color w:val="000000"/>
          <w:sz w:val="24"/>
          <w:szCs w:val="24"/>
          <w:lang/>
        </w:rPr>
        <w:t>{Підпункт "б" пункту 198.5 статті 198 із змінами, внесеними згідно із Законами </w:t>
      </w:r>
      <w:hyperlink r:id="rId3183" w:anchor="n13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3184" w:anchor="n19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84C64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3" w:name="n4954"/>
      <w:bookmarkEnd w:id="5903"/>
      <w:r w:rsidRPr="008B264B">
        <w:rPr>
          <w:rFonts w:ascii="Times New Roman" w:eastAsia="Times New Roman" w:hAnsi="Times New Roman" w:cs="Times New Roman"/>
          <w:color w:val="000000"/>
          <w:sz w:val="24"/>
          <w:szCs w:val="24"/>
          <w:lang/>
        </w:rPr>
        <w:t>в) в операціях, що здійснюються платником податку в межах балансу платника податку, у тому числі передача для невиробничого використання, переведення виробничих необоротних активів до складу невиробничих необоротних активів;</w:t>
      </w:r>
    </w:p>
    <w:p w14:paraId="45C7B5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4" w:name="n4955"/>
      <w:bookmarkEnd w:id="5904"/>
      <w:r w:rsidRPr="008B264B">
        <w:rPr>
          <w:rFonts w:ascii="Times New Roman" w:eastAsia="Times New Roman" w:hAnsi="Times New Roman" w:cs="Times New Roman"/>
          <w:color w:val="000000"/>
          <w:sz w:val="24"/>
          <w:szCs w:val="24"/>
          <w:lang/>
        </w:rPr>
        <w:t>г) в операціях, що не є господарською діяльністю платника податку (крім випадків, передбачених </w:t>
      </w:r>
      <w:hyperlink r:id="rId3185" w:anchor="n4591" w:history="1">
        <w:r w:rsidRPr="008B264B">
          <w:rPr>
            <w:rFonts w:ascii="Times New Roman" w:eastAsia="Times New Roman" w:hAnsi="Times New Roman" w:cs="Times New Roman"/>
            <w:color w:val="0000FF"/>
            <w:sz w:val="24"/>
            <w:szCs w:val="24"/>
            <w:u w:val="single"/>
            <w:lang/>
          </w:rPr>
          <w:t>пунктом 189.9</w:t>
        </w:r>
      </w:hyperlink>
      <w:r w:rsidRPr="008B264B">
        <w:rPr>
          <w:rFonts w:ascii="Times New Roman" w:eastAsia="Times New Roman" w:hAnsi="Times New Roman" w:cs="Times New Roman"/>
          <w:color w:val="000000"/>
          <w:sz w:val="24"/>
          <w:szCs w:val="24"/>
          <w:lang/>
        </w:rPr>
        <w:t> статті 189 цього Кодексу).</w:t>
      </w:r>
    </w:p>
    <w:p w14:paraId="198529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5" w:name="n14201"/>
      <w:bookmarkEnd w:id="5905"/>
      <w:r w:rsidRPr="008B264B">
        <w:rPr>
          <w:rFonts w:ascii="Times New Roman" w:eastAsia="Times New Roman" w:hAnsi="Times New Roman" w:cs="Times New Roman"/>
          <w:i/>
          <w:iCs/>
          <w:color w:val="000000"/>
          <w:sz w:val="24"/>
          <w:szCs w:val="24"/>
          <w:lang/>
        </w:rPr>
        <w:t>{Абзац п'ятий пункту 198.5 статті 198 із змінами, внесеними згідно із Законом </w:t>
      </w:r>
      <w:hyperlink r:id="rId3186" w:anchor="n11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A214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6" w:name="n4956"/>
      <w:bookmarkEnd w:id="5906"/>
      <w:r w:rsidRPr="008B264B">
        <w:rPr>
          <w:rFonts w:ascii="Times New Roman" w:eastAsia="Times New Roman" w:hAnsi="Times New Roman" w:cs="Times New Roman"/>
          <w:color w:val="000000"/>
          <w:sz w:val="24"/>
          <w:szCs w:val="24"/>
          <w:lang/>
        </w:rPr>
        <w:t>У разі якщо такі товари/послуги, необоротні активи в подальшому починають використовуватися в оподатковуваних операціях у межах господарської діяльності, у тому числі переведення невиробничих необоротних активів до складу виробничих необоротних активів, платник податку може зменшити суму податкових зобов’язань, що були нараховані відповідно до цього пункту, на підставі розрахунку коригування до податкової накладної, зазначеної в абзаці першому цього пункту, зареєстрованого в Єдиному реєстрі податкових накладних.</w:t>
      </w:r>
    </w:p>
    <w:p w14:paraId="79081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7" w:name="n11272"/>
      <w:bookmarkEnd w:id="5907"/>
      <w:r w:rsidRPr="008B264B">
        <w:rPr>
          <w:rFonts w:ascii="Times New Roman" w:eastAsia="Times New Roman" w:hAnsi="Times New Roman" w:cs="Times New Roman"/>
          <w:i/>
          <w:iCs/>
          <w:color w:val="000000"/>
          <w:sz w:val="24"/>
          <w:szCs w:val="24"/>
          <w:lang/>
        </w:rPr>
        <w:t>{Абзац шостий пункту 198.5 статті 198 в редакції Закону </w:t>
      </w:r>
      <w:hyperlink r:id="rId3187" w:anchor="n6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6D12A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8" w:name="n4957"/>
      <w:bookmarkEnd w:id="5908"/>
      <w:r w:rsidRPr="008B264B">
        <w:rPr>
          <w:rFonts w:ascii="Times New Roman" w:eastAsia="Times New Roman" w:hAnsi="Times New Roman" w:cs="Times New Roman"/>
          <w:color w:val="000000"/>
          <w:sz w:val="24"/>
          <w:szCs w:val="24"/>
          <w:lang/>
        </w:rPr>
        <w:t>З метою застосування цього пункту податкові зобов’язання визначаються по товарах/послугах, необоротних активах:</w:t>
      </w:r>
    </w:p>
    <w:p w14:paraId="6161EA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09" w:name="n11273"/>
      <w:bookmarkEnd w:id="5909"/>
      <w:r w:rsidRPr="008B264B">
        <w:rPr>
          <w:rFonts w:ascii="Times New Roman" w:eastAsia="Times New Roman" w:hAnsi="Times New Roman" w:cs="Times New Roman"/>
          <w:i/>
          <w:iCs/>
          <w:color w:val="000000"/>
          <w:sz w:val="24"/>
          <w:szCs w:val="24"/>
          <w:lang/>
        </w:rPr>
        <w:t>{Абзац сьомий пункту 198.5 статті 198 в редакції Закону </w:t>
      </w:r>
      <w:hyperlink r:id="rId3188" w:anchor="n6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47120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0" w:name="n11275"/>
      <w:bookmarkEnd w:id="5910"/>
      <w:r w:rsidRPr="008B264B">
        <w:rPr>
          <w:rFonts w:ascii="Times New Roman" w:eastAsia="Times New Roman" w:hAnsi="Times New Roman" w:cs="Times New Roman"/>
          <w:color w:val="000000"/>
          <w:sz w:val="24"/>
          <w:szCs w:val="24"/>
          <w:lang/>
        </w:rPr>
        <w:t>придбаних для використання в неоподатковуваних операціях - на дату їх придбання;</w:t>
      </w:r>
    </w:p>
    <w:p w14:paraId="02E5CA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1" w:name="n11277"/>
      <w:bookmarkEnd w:id="5911"/>
      <w:r w:rsidRPr="008B264B">
        <w:rPr>
          <w:rFonts w:ascii="Times New Roman" w:eastAsia="Times New Roman" w:hAnsi="Times New Roman" w:cs="Times New Roman"/>
          <w:i/>
          <w:iCs/>
          <w:color w:val="000000"/>
          <w:sz w:val="24"/>
          <w:szCs w:val="24"/>
          <w:lang/>
        </w:rPr>
        <w:t>{Абзац пункту 198.5 статті 198 в редакції Закону </w:t>
      </w:r>
      <w:hyperlink r:id="rId3189" w:anchor="n6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48F33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2" w:name="n11276"/>
      <w:bookmarkEnd w:id="5912"/>
      <w:r w:rsidRPr="008B264B">
        <w:rPr>
          <w:rFonts w:ascii="Times New Roman" w:eastAsia="Times New Roman" w:hAnsi="Times New Roman" w:cs="Times New Roman"/>
          <w:color w:val="000000"/>
          <w:sz w:val="24"/>
          <w:szCs w:val="24"/>
          <w:lang/>
        </w:rPr>
        <w:t>придбаних для використання в оподатковуваних операціях, які починають використовуватися в неоподатковуваних операціях, - на дату початку їх фактичного використання, визначену в первинних документах, складених відповідно до </w:t>
      </w:r>
      <w:hyperlink r:id="rId319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бухгалтерський облік та фінансову звітність в Україні.</w:t>
      </w:r>
    </w:p>
    <w:p w14:paraId="44C630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3" w:name="n11274"/>
      <w:bookmarkEnd w:id="5913"/>
      <w:r w:rsidRPr="008B264B">
        <w:rPr>
          <w:rFonts w:ascii="Times New Roman" w:eastAsia="Times New Roman" w:hAnsi="Times New Roman" w:cs="Times New Roman"/>
          <w:i/>
          <w:iCs/>
          <w:color w:val="000000"/>
          <w:sz w:val="24"/>
          <w:szCs w:val="24"/>
          <w:lang/>
        </w:rPr>
        <w:t>{Абзац пункту 198.5 статті 198 в редакції Закону </w:t>
      </w:r>
      <w:hyperlink r:id="rId3191" w:anchor="n6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3625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4" w:name="n12760"/>
      <w:bookmarkEnd w:id="5914"/>
      <w:r w:rsidRPr="008B264B">
        <w:rPr>
          <w:rFonts w:ascii="Times New Roman" w:eastAsia="Times New Roman" w:hAnsi="Times New Roman" w:cs="Times New Roman"/>
          <w:color w:val="000000"/>
          <w:sz w:val="24"/>
          <w:szCs w:val="24"/>
          <w:lang/>
        </w:rPr>
        <w:t>У разі якщо на момент перевірки платника податку контролюючим органом в акті вибіркової (часткової) інвентаризації, проведеної платником податку на вимогу такого органу, виявлено нестачу придбаних таким платником товарів (крім випадку, якщо така нестача обумовлена знищенням внаслідок дії обставин непереборної сили, що підтверджується відповідно до законодавства), для цілей розділу V цього Кодексу такі товари вважаються використаними платником податку в операціях, що не є господарською діяльністю платника податку.</w:t>
      </w:r>
    </w:p>
    <w:p w14:paraId="724C4A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5" w:name="n12759"/>
      <w:bookmarkEnd w:id="5915"/>
      <w:r w:rsidRPr="008B264B">
        <w:rPr>
          <w:rFonts w:ascii="Times New Roman" w:eastAsia="Times New Roman" w:hAnsi="Times New Roman" w:cs="Times New Roman"/>
          <w:i/>
          <w:iCs/>
          <w:color w:val="000000"/>
          <w:sz w:val="24"/>
          <w:szCs w:val="24"/>
          <w:lang/>
        </w:rPr>
        <w:t>{Пункт 198.5 статті 198 доповнено абзацом десятим згідно із Законом </w:t>
      </w:r>
      <w:hyperlink r:id="rId3192" w:anchor="n19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3DF52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6" w:name="n4958"/>
      <w:bookmarkEnd w:id="5916"/>
      <w:r w:rsidRPr="008B264B">
        <w:rPr>
          <w:rFonts w:ascii="Times New Roman" w:eastAsia="Times New Roman" w:hAnsi="Times New Roman" w:cs="Times New Roman"/>
          <w:i/>
          <w:iCs/>
          <w:color w:val="000000"/>
          <w:sz w:val="24"/>
          <w:szCs w:val="24"/>
          <w:lang/>
        </w:rPr>
        <w:t>{Пункт 198.5 статті 198 в редакції Законів </w:t>
      </w:r>
      <w:hyperlink r:id="rId319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194" w:anchor="n29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195" w:anchor="n27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9800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7" w:name="n4959"/>
      <w:bookmarkEnd w:id="5917"/>
      <w:r w:rsidRPr="008B264B">
        <w:rPr>
          <w:rFonts w:ascii="Times New Roman" w:eastAsia="Times New Roman" w:hAnsi="Times New Roman" w:cs="Times New Roman"/>
          <w:color w:val="000000"/>
          <w:sz w:val="24"/>
          <w:szCs w:val="24"/>
          <w:lang/>
        </w:rPr>
        <w:lastRenderedPageBreak/>
        <w:t>198.6. Не відносяться до податкового кредиту суми податку, сплаченого (нарахованого) у зв'язку з придбанням товарів/послуг, не підтверджені зареєстрованими в Єдиному реєстрі податкових накладних податковими накладними/розрахунками коригування до таких податкових накладних чи не підтверджені митними деклараціями, іншими документами, передбаченими </w:t>
      </w:r>
      <w:hyperlink r:id="rId3196" w:anchor="n5108" w:history="1">
        <w:r w:rsidRPr="008B264B">
          <w:rPr>
            <w:rFonts w:ascii="Times New Roman" w:eastAsia="Times New Roman" w:hAnsi="Times New Roman" w:cs="Times New Roman"/>
            <w:color w:val="0000FF"/>
            <w:sz w:val="24"/>
            <w:szCs w:val="24"/>
            <w:u w:val="single"/>
            <w:lang/>
          </w:rPr>
          <w:t>пунктом 201.11</w:t>
        </w:r>
      </w:hyperlink>
      <w:r w:rsidRPr="008B264B">
        <w:rPr>
          <w:rFonts w:ascii="Times New Roman" w:eastAsia="Times New Roman" w:hAnsi="Times New Roman" w:cs="Times New Roman"/>
          <w:color w:val="000000"/>
          <w:sz w:val="24"/>
          <w:szCs w:val="24"/>
          <w:lang/>
        </w:rPr>
        <w:t> статті 201 цього Кодексу.</w:t>
      </w:r>
    </w:p>
    <w:p w14:paraId="1FF4BB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8" w:name="n4960"/>
      <w:bookmarkEnd w:id="5918"/>
      <w:r w:rsidRPr="008B264B">
        <w:rPr>
          <w:rFonts w:ascii="Times New Roman" w:eastAsia="Times New Roman" w:hAnsi="Times New Roman" w:cs="Times New Roman"/>
          <w:i/>
          <w:iCs/>
          <w:color w:val="000000"/>
          <w:sz w:val="24"/>
          <w:szCs w:val="24"/>
          <w:lang/>
        </w:rPr>
        <w:t>{Абзац перший пункту 198.6 статті 198 в редакції Закону </w:t>
      </w:r>
      <w:hyperlink r:id="rId319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198" w:anchor="n31"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 урахуванням змін, внесених Законом </w:t>
      </w:r>
      <w:hyperlink r:id="rId3199"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200" w:anchor="n64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201" w:anchor="n1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ABAF8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19" w:name="n4961"/>
      <w:bookmarkEnd w:id="5919"/>
      <w:r w:rsidRPr="008B264B">
        <w:rPr>
          <w:rFonts w:ascii="Times New Roman" w:eastAsia="Times New Roman" w:hAnsi="Times New Roman" w:cs="Times New Roman"/>
          <w:color w:val="000000"/>
          <w:sz w:val="24"/>
          <w:szCs w:val="24"/>
          <w:lang/>
        </w:rPr>
        <w:t>У разі коли на момент перевірки платника податку контролюючим органом суми податку, попередньо включені до складу податкового кредиту, залишаються не підтвердженими зазначеними у абзаці першому цього пункту документами, платник податку несе відповідальність відповідно до цього Кодексу.</w:t>
      </w:r>
    </w:p>
    <w:p w14:paraId="41CC58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0" w:name="n4962"/>
      <w:bookmarkEnd w:id="5920"/>
      <w:r w:rsidRPr="008B264B">
        <w:rPr>
          <w:rFonts w:ascii="Times New Roman" w:eastAsia="Times New Roman" w:hAnsi="Times New Roman" w:cs="Times New Roman"/>
          <w:i/>
          <w:iCs/>
          <w:color w:val="000000"/>
          <w:sz w:val="24"/>
          <w:szCs w:val="24"/>
          <w:lang/>
        </w:rPr>
        <w:t>{Абзац другий пункту 198.6 статті 198 в редакції Закону </w:t>
      </w:r>
      <w:hyperlink r:id="rId320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203" w:anchor="n64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777B7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1" w:name="n12403"/>
      <w:bookmarkEnd w:id="5921"/>
      <w:r w:rsidRPr="008B264B">
        <w:rPr>
          <w:rFonts w:ascii="Times New Roman" w:eastAsia="Times New Roman" w:hAnsi="Times New Roman" w:cs="Times New Roman"/>
          <w:color w:val="000000"/>
          <w:sz w:val="24"/>
          <w:szCs w:val="24"/>
          <w:lang/>
        </w:rPr>
        <w:t>Податкові накладні, отримані з Єдиного реєстру податкових накладних, є для отримувача товарів/послуг підставою для нарахування сум податку, що відносяться до податкового кредиту.</w:t>
      </w:r>
    </w:p>
    <w:p w14:paraId="26C742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2" w:name="n12405"/>
      <w:bookmarkEnd w:id="5922"/>
      <w:r w:rsidRPr="008B264B">
        <w:rPr>
          <w:rFonts w:ascii="Times New Roman" w:eastAsia="Times New Roman" w:hAnsi="Times New Roman" w:cs="Times New Roman"/>
          <w:i/>
          <w:iCs/>
          <w:color w:val="000000"/>
          <w:sz w:val="24"/>
          <w:szCs w:val="24"/>
          <w:lang/>
        </w:rPr>
        <w:t>{Пункт 198.6 статті 198 доповнено новим абзацом згідно із Законом </w:t>
      </w:r>
      <w:hyperlink r:id="rId3204" w:anchor="n41"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558A1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3" w:name="n12404"/>
      <w:bookmarkEnd w:id="5923"/>
      <w:r w:rsidRPr="008B264B">
        <w:rPr>
          <w:rFonts w:ascii="Times New Roman" w:eastAsia="Times New Roman" w:hAnsi="Times New Roman" w:cs="Times New Roman"/>
          <w:color w:val="000000"/>
          <w:sz w:val="24"/>
          <w:szCs w:val="24"/>
          <w:lang/>
        </w:rPr>
        <w:t>У разі якщо платник податку не включив у відповідному звітному періоді до податкового кредиту суму податку на додану вартість на підставі отриманих </w:t>
      </w:r>
      <w:hyperlink r:id="rId3205"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/розрахунків коригування до таких податкових накладних, зареєстрованих в Єдиному реєстрі податкових накладних, таке право зберігається за ним протягом 1095 календарних днів з дати складення податкової накладної/розрахунку коригування.</w:t>
      </w:r>
    </w:p>
    <w:p w14:paraId="744259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4" w:name="n12402"/>
      <w:bookmarkEnd w:id="5924"/>
      <w:r w:rsidRPr="008B264B">
        <w:rPr>
          <w:rFonts w:ascii="Times New Roman" w:eastAsia="Times New Roman" w:hAnsi="Times New Roman" w:cs="Times New Roman"/>
          <w:i/>
          <w:iCs/>
          <w:color w:val="000000"/>
          <w:sz w:val="24"/>
          <w:szCs w:val="24"/>
          <w:lang/>
        </w:rPr>
        <w:t>{Пункт 198.6 статті 198 доповнено новим абзацом згідно із Законом </w:t>
      </w:r>
      <w:hyperlink r:id="rId3206" w:anchor="n41"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207" w:anchor="n110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208" w:anchor="n9" w:tgtFrame="_blank" w:history="1">
        <w:r w:rsidRPr="008B264B">
          <w:rPr>
            <w:rFonts w:ascii="Times New Roman" w:eastAsia="Times New Roman" w:hAnsi="Times New Roman" w:cs="Times New Roman"/>
            <w:i/>
            <w:iCs/>
            <w:color w:val="0000FF"/>
            <w:sz w:val="24"/>
            <w:szCs w:val="24"/>
            <w:u w:val="single"/>
            <w:lang/>
          </w:rPr>
          <w:t>№ 2198-VIII від 09.11.2017</w:t>
        </w:r>
      </w:hyperlink>
      <w:r w:rsidRPr="008B264B">
        <w:rPr>
          <w:rFonts w:ascii="Times New Roman" w:eastAsia="Times New Roman" w:hAnsi="Times New Roman" w:cs="Times New Roman"/>
          <w:i/>
          <w:iCs/>
          <w:color w:val="000000"/>
          <w:sz w:val="24"/>
          <w:szCs w:val="24"/>
          <w:lang/>
        </w:rPr>
        <w:t>}</w:t>
      </w:r>
    </w:p>
    <w:p w14:paraId="306DB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5" w:name="n4963"/>
      <w:bookmarkEnd w:id="5925"/>
      <w:r w:rsidRPr="008B264B">
        <w:rPr>
          <w:rFonts w:ascii="Times New Roman" w:eastAsia="Times New Roman" w:hAnsi="Times New Roman" w:cs="Times New Roman"/>
          <w:color w:val="000000"/>
          <w:sz w:val="24"/>
          <w:szCs w:val="24"/>
          <w:lang/>
        </w:rPr>
        <w:t>Суми податку, сплачені (нараховані) у зв’язку з придбанням товарів/послуг, зазначені в </w:t>
      </w:r>
      <w:hyperlink r:id="rId3209"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/розрахунках коригування до таких податкових накладних, зареєстрованих в Єдиному реєстрі податкових накладних з порушенням строку реєстрації, включаються до податкового кредиту за звітний податковий період, в якому зареєстровано податкові накладні/розрахунки коригування до таких податкових накладних в Єдиному реєстрі податкових накладних, але не пізніше ніж через 1095 календарних днів з дати складення податкових накладних/розрахунків коригування до таких податкових накладних, у тому числі для платників податку, які застосовують касовий метод.</w:t>
      </w:r>
    </w:p>
    <w:p w14:paraId="7BD95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6" w:name="n14202"/>
      <w:bookmarkEnd w:id="5926"/>
      <w:r w:rsidRPr="008B264B">
        <w:rPr>
          <w:rFonts w:ascii="Times New Roman" w:eastAsia="Times New Roman" w:hAnsi="Times New Roman" w:cs="Times New Roman"/>
          <w:i/>
          <w:iCs/>
          <w:color w:val="000000"/>
          <w:sz w:val="24"/>
          <w:szCs w:val="24"/>
          <w:lang/>
        </w:rPr>
        <w:t>{Абзаци п'ятий - сьомий пункту 198.6 статті 198 замінено одним абзацом згідно із Законом </w:t>
      </w:r>
      <w:hyperlink r:id="rId3210" w:anchor="n11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211" w:anchor="n9" w:tgtFrame="_blank" w:history="1">
        <w:r w:rsidRPr="008B264B">
          <w:rPr>
            <w:rFonts w:ascii="Times New Roman" w:eastAsia="Times New Roman" w:hAnsi="Times New Roman" w:cs="Times New Roman"/>
            <w:i/>
            <w:iCs/>
            <w:color w:val="0000FF"/>
            <w:sz w:val="24"/>
            <w:szCs w:val="24"/>
            <w:u w:val="single"/>
            <w:lang/>
          </w:rPr>
          <w:t>№ 2198-VIII від 09.11.2017</w:t>
        </w:r>
      </w:hyperlink>
      <w:r w:rsidRPr="008B264B">
        <w:rPr>
          <w:rFonts w:ascii="Times New Roman" w:eastAsia="Times New Roman" w:hAnsi="Times New Roman" w:cs="Times New Roman"/>
          <w:i/>
          <w:iCs/>
          <w:color w:val="000000"/>
          <w:sz w:val="24"/>
          <w:szCs w:val="24"/>
          <w:lang/>
        </w:rPr>
        <w:t>}</w:t>
      </w:r>
    </w:p>
    <w:p w14:paraId="5C56E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7" w:name="n11281"/>
      <w:bookmarkEnd w:id="5927"/>
      <w:r w:rsidRPr="008B264B">
        <w:rPr>
          <w:rFonts w:ascii="Times New Roman" w:eastAsia="Times New Roman" w:hAnsi="Times New Roman" w:cs="Times New Roman"/>
          <w:i/>
          <w:iCs/>
          <w:color w:val="000000"/>
          <w:sz w:val="24"/>
          <w:szCs w:val="24"/>
          <w:lang/>
        </w:rPr>
        <w:t>{Абзац пункту 198.6 статті 198 виключено на підставі Закону </w:t>
      </w:r>
      <w:hyperlink r:id="rId3212" w:anchor="n20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CE65A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8" w:name="n15329"/>
      <w:bookmarkEnd w:id="5928"/>
      <w:r w:rsidRPr="008B264B">
        <w:rPr>
          <w:rFonts w:ascii="Times New Roman" w:eastAsia="Times New Roman" w:hAnsi="Times New Roman" w:cs="Times New Roman"/>
          <w:color w:val="000000"/>
          <w:sz w:val="24"/>
          <w:szCs w:val="24"/>
          <w:lang/>
        </w:rPr>
        <w:t>Не відносяться до податкового кредиту суми податку, сплаченого (нарахованого) відповідно до </w:t>
      </w:r>
      <w:hyperlink r:id="rId3213" w:anchor="n4611" w:history="1">
        <w:r w:rsidRPr="008B264B">
          <w:rPr>
            <w:rFonts w:ascii="Times New Roman" w:eastAsia="Times New Roman" w:hAnsi="Times New Roman" w:cs="Times New Roman"/>
            <w:color w:val="0000FF"/>
            <w:sz w:val="24"/>
            <w:szCs w:val="24"/>
            <w:u w:val="single"/>
            <w:lang/>
          </w:rPr>
          <w:t>підпункту 191.1.2</w:t>
        </w:r>
      </w:hyperlink>
      <w:r w:rsidRPr="008B264B">
        <w:rPr>
          <w:rFonts w:ascii="Times New Roman" w:eastAsia="Times New Roman" w:hAnsi="Times New Roman" w:cs="Times New Roman"/>
          <w:color w:val="000000"/>
          <w:sz w:val="24"/>
          <w:szCs w:val="24"/>
          <w:lang/>
        </w:rPr>
        <w:t> пункту 191.1 статті 191 цього Кодексу оператором поштового зв’язку, експрес-перевізником.</w:t>
      </w:r>
    </w:p>
    <w:p w14:paraId="7C2BE8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29" w:name="n15328"/>
      <w:bookmarkEnd w:id="5929"/>
      <w:r w:rsidRPr="008B264B">
        <w:rPr>
          <w:rFonts w:ascii="Times New Roman" w:eastAsia="Times New Roman" w:hAnsi="Times New Roman" w:cs="Times New Roman"/>
          <w:i/>
          <w:iCs/>
          <w:color w:val="000000"/>
          <w:sz w:val="24"/>
          <w:szCs w:val="24"/>
          <w:lang/>
        </w:rPr>
        <w:t>{Пункт 198.6 статті 198 доповнено абзацом згідно із Законом </w:t>
      </w:r>
      <w:hyperlink r:id="rId3214" w:anchor="n26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B9582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0" w:name="n14204"/>
      <w:bookmarkEnd w:id="5930"/>
      <w:r w:rsidRPr="008B264B">
        <w:rPr>
          <w:rFonts w:ascii="Times New Roman" w:eastAsia="Times New Roman" w:hAnsi="Times New Roman" w:cs="Times New Roman"/>
          <w:color w:val="000000"/>
          <w:sz w:val="24"/>
          <w:szCs w:val="24"/>
          <w:lang/>
        </w:rPr>
        <w:t>198.7. Сума від’ємного значення, що підлягає включенню до складу податкового кредиту наступного звітного (податкового) періоду платника, що реорганізується шляхом:</w:t>
      </w:r>
    </w:p>
    <w:p w14:paraId="71CCC2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1" w:name="n14205"/>
      <w:bookmarkEnd w:id="5931"/>
      <w:r w:rsidRPr="008B264B">
        <w:rPr>
          <w:rFonts w:ascii="Times New Roman" w:eastAsia="Times New Roman" w:hAnsi="Times New Roman" w:cs="Times New Roman"/>
          <w:color w:val="000000"/>
          <w:sz w:val="24"/>
          <w:szCs w:val="24"/>
          <w:lang/>
        </w:rPr>
        <w:lastRenderedPageBreak/>
        <w:t>приєднання, злиття, перетворення, - підлягає перенесенню до складу податкового кредиту правонаступника у наступному періоді після підписання передавального акта відповідно до законодавства;</w:t>
      </w:r>
    </w:p>
    <w:p w14:paraId="57541A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2" w:name="n14206"/>
      <w:bookmarkEnd w:id="5932"/>
      <w:r w:rsidRPr="008B264B">
        <w:rPr>
          <w:rFonts w:ascii="Times New Roman" w:eastAsia="Times New Roman" w:hAnsi="Times New Roman" w:cs="Times New Roman"/>
          <w:color w:val="000000"/>
          <w:sz w:val="24"/>
          <w:szCs w:val="24"/>
          <w:lang/>
        </w:rPr>
        <w:t>поділу, виділення, - підлягає перенесенню до складу податкового кредиту правонаступника пропорційно до отриманої частки майна згідно з розподільчим балансом у наступному періоді після підписання розподільчого балансу відповідно до законодавства.</w:t>
      </w:r>
    </w:p>
    <w:p w14:paraId="507BCD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3" w:name="n14207"/>
      <w:bookmarkEnd w:id="5933"/>
      <w:r w:rsidRPr="008B264B">
        <w:rPr>
          <w:rFonts w:ascii="Times New Roman" w:eastAsia="Times New Roman" w:hAnsi="Times New Roman" w:cs="Times New Roman"/>
          <w:color w:val="000000"/>
          <w:sz w:val="24"/>
          <w:szCs w:val="24"/>
          <w:lang/>
        </w:rPr>
        <w:t>Таке перенесення здійснюється в разі, якщо сума від’ємного значення, що підлягає включенню до складу податкового кредиту наступного звітного (податкового) періоду платника, що реорганізується, підтверджена документальною перевіркою контролюючого органу.</w:t>
      </w:r>
    </w:p>
    <w:p w14:paraId="389A46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4" w:name="n14203"/>
      <w:bookmarkEnd w:id="5934"/>
      <w:r w:rsidRPr="008B264B">
        <w:rPr>
          <w:rFonts w:ascii="Times New Roman" w:eastAsia="Times New Roman" w:hAnsi="Times New Roman" w:cs="Times New Roman"/>
          <w:i/>
          <w:iCs/>
          <w:color w:val="000000"/>
          <w:sz w:val="24"/>
          <w:szCs w:val="24"/>
          <w:lang/>
        </w:rPr>
        <w:t>{Статтю 198 доповнено пунктом 198.7 згідно із Законом </w:t>
      </w:r>
      <w:hyperlink r:id="rId3215" w:anchor="n11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9D71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5" w:name="n4967"/>
      <w:bookmarkEnd w:id="5935"/>
      <w:r w:rsidRPr="008B264B">
        <w:rPr>
          <w:rFonts w:ascii="Times New Roman" w:eastAsia="Times New Roman" w:hAnsi="Times New Roman" w:cs="Times New Roman"/>
          <w:b/>
          <w:bCs/>
          <w:color w:val="000000"/>
          <w:sz w:val="24"/>
          <w:szCs w:val="24"/>
          <w:lang/>
        </w:rPr>
        <w:t>Стаття 199.</w:t>
      </w:r>
      <w:r w:rsidRPr="008B264B">
        <w:rPr>
          <w:rFonts w:ascii="Times New Roman" w:eastAsia="Times New Roman" w:hAnsi="Times New Roman" w:cs="Times New Roman"/>
          <w:color w:val="000000"/>
          <w:sz w:val="24"/>
          <w:szCs w:val="24"/>
          <w:lang/>
        </w:rPr>
        <w:t> Пропорційне віднесення сум податку до податкового кредиту</w:t>
      </w:r>
    </w:p>
    <w:p w14:paraId="6029D6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6" w:name="n4968"/>
      <w:bookmarkEnd w:id="5936"/>
      <w:r w:rsidRPr="008B264B">
        <w:rPr>
          <w:rFonts w:ascii="Times New Roman" w:eastAsia="Times New Roman" w:hAnsi="Times New Roman" w:cs="Times New Roman"/>
          <w:color w:val="000000"/>
          <w:sz w:val="24"/>
          <w:szCs w:val="24"/>
          <w:lang/>
        </w:rPr>
        <w:t>199.1. У разі якщо придбані та/або виготовлені товари/послуги, необоротні активи частково використовуються в оподатковуваних операціях, а частково - ні, платник податку зобов’язаний нарахувати податкові зобов’язання виходячи з бази оподаткування, визначеної відповідно до </w:t>
      </w:r>
      <w:hyperlink r:id="rId3216" w:anchor="n4565" w:history="1">
        <w:r w:rsidRPr="008B264B">
          <w:rPr>
            <w:rFonts w:ascii="Times New Roman" w:eastAsia="Times New Roman" w:hAnsi="Times New Roman" w:cs="Times New Roman"/>
            <w:color w:val="0000FF"/>
            <w:sz w:val="24"/>
            <w:szCs w:val="24"/>
            <w:u w:val="single"/>
            <w:lang/>
          </w:rPr>
          <w:t>пункту 189.1</w:t>
        </w:r>
      </w:hyperlink>
      <w:r w:rsidRPr="008B264B">
        <w:rPr>
          <w:rFonts w:ascii="Times New Roman" w:eastAsia="Times New Roman" w:hAnsi="Times New Roman" w:cs="Times New Roman"/>
          <w:color w:val="000000"/>
          <w:sz w:val="24"/>
          <w:szCs w:val="24"/>
          <w:lang/>
        </w:rPr>
        <w:t> статті 189 цього Кодексу, та скласти не пізніше останнього дня звітного (податкового) періоду і зареєструвати зведену податкову накладну в Єдиному реєстрі податкових накладних на загальну суму частки сплаченого (нарахованого) податку під час їх придбання або виготовлення, яка відповідає частці використання таких товарів/послуг, необоротних активів в неоподатковуваних операціях.</w:t>
      </w:r>
    </w:p>
    <w:p w14:paraId="4024B6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7" w:name="n4969"/>
      <w:bookmarkEnd w:id="5937"/>
      <w:r w:rsidRPr="008B264B">
        <w:rPr>
          <w:rFonts w:ascii="Times New Roman" w:eastAsia="Times New Roman" w:hAnsi="Times New Roman" w:cs="Times New Roman"/>
          <w:i/>
          <w:iCs/>
          <w:color w:val="000000"/>
          <w:sz w:val="24"/>
          <w:szCs w:val="24"/>
          <w:lang/>
        </w:rPr>
        <w:t>{Пункт 199.1 статті 199 із змінами, внесеними згідно із Законом </w:t>
      </w:r>
      <w:hyperlink r:id="rId3217" w:anchor="n30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3218" w:anchor="n65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219" w:anchor="n47"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B82BA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8" w:name="n4970"/>
      <w:bookmarkEnd w:id="5938"/>
      <w:r w:rsidRPr="008B264B">
        <w:rPr>
          <w:rFonts w:ascii="Times New Roman" w:eastAsia="Times New Roman" w:hAnsi="Times New Roman" w:cs="Times New Roman"/>
          <w:color w:val="000000"/>
          <w:sz w:val="24"/>
          <w:szCs w:val="24"/>
          <w:lang/>
        </w:rPr>
        <w:t>199.2. Частка використання товарів/послуг, необоротних активів в оподатковуваних операціях визначається у відсотках як відношення обсягів з постачання оподатковуваних операцій (без урахування сум податку) за попередній календарний рік до сукупних обсягів постачання оподатковуваних та неоподатковуваних операцій (без урахування сум податку) за цей же попередній календарний рік. Визначена у процентах величина застосовується протягом поточного календарного року.</w:t>
      </w:r>
    </w:p>
    <w:p w14:paraId="41307B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39" w:name="n4971"/>
      <w:bookmarkEnd w:id="5939"/>
      <w:r w:rsidRPr="008B264B">
        <w:rPr>
          <w:rFonts w:ascii="Times New Roman" w:eastAsia="Times New Roman" w:hAnsi="Times New Roman" w:cs="Times New Roman"/>
          <w:i/>
          <w:iCs/>
          <w:color w:val="000000"/>
          <w:sz w:val="24"/>
          <w:szCs w:val="24"/>
          <w:lang/>
        </w:rPr>
        <w:t>{Пункт 199.2 статті 199 із змінами, внесеними згідно із Законом </w:t>
      </w:r>
      <w:hyperlink r:id="rId3220" w:anchor="n30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BF04B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0" w:name="n4972"/>
      <w:bookmarkEnd w:id="5940"/>
      <w:r w:rsidRPr="008B264B">
        <w:rPr>
          <w:rFonts w:ascii="Times New Roman" w:eastAsia="Times New Roman" w:hAnsi="Times New Roman" w:cs="Times New Roman"/>
          <w:color w:val="000000"/>
          <w:sz w:val="24"/>
          <w:szCs w:val="24"/>
          <w:lang/>
        </w:rPr>
        <w:t>199.3. Платники податку, у яких протягом попереднього календарного року були відсутні неоподатковувані операції, а такі неоподатковувані операції почали здійснюватися у звітному періоді, а також новостворені платники податку проводять у поточному календарному році розрахунок частки використання товарів/послуг, необоротних активів в оподатковуваних операціях на підставі розрахунку, визначеного за фактичними даними обсягів з постачання оподатковуваних та неоподатковуваних операцій першого звітного податкового періоду, в якому задекларовані такі операції.</w:t>
      </w:r>
    </w:p>
    <w:p w14:paraId="4C9A99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1" w:name="n4973"/>
      <w:bookmarkEnd w:id="5941"/>
      <w:r w:rsidRPr="008B264B">
        <w:rPr>
          <w:rFonts w:ascii="Times New Roman" w:eastAsia="Times New Roman" w:hAnsi="Times New Roman" w:cs="Times New Roman"/>
          <w:i/>
          <w:iCs/>
          <w:color w:val="000000"/>
          <w:sz w:val="24"/>
          <w:szCs w:val="24"/>
          <w:lang/>
        </w:rPr>
        <w:t>{Абзац перший пункту 199.3 статті 199 із змінами, внесеними згідно із Законом </w:t>
      </w:r>
      <w:hyperlink r:id="rId3221" w:anchor="n30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20A27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2" w:name="n4974"/>
      <w:bookmarkEnd w:id="5942"/>
      <w:r w:rsidRPr="008B264B">
        <w:rPr>
          <w:rFonts w:ascii="Times New Roman" w:eastAsia="Times New Roman" w:hAnsi="Times New Roman" w:cs="Times New Roman"/>
          <w:color w:val="000000"/>
          <w:sz w:val="24"/>
          <w:szCs w:val="24"/>
          <w:lang/>
        </w:rPr>
        <w:t>Розрахунок частки використання товарів/послуг, необоротних активів в оподатковуваних операціях подається до контролюючого органу одночасно з податковою декларацією звітного податкового періоду, в якому задекларовані такі оподатковувані та неоподатковувані операції.</w:t>
      </w:r>
    </w:p>
    <w:p w14:paraId="3AABB2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3" w:name="n4975"/>
      <w:bookmarkEnd w:id="5943"/>
      <w:r w:rsidRPr="008B264B">
        <w:rPr>
          <w:rFonts w:ascii="Times New Roman" w:eastAsia="Times New Roman" w:hAnsi="Times New Roman" w:cs="Times New Roman"/>
          <w:i/>
          <w:iCs/>
          <w:color w:val="000000"/>
          <w:sz w:val="24"/>
          <w:szCs w:val="24"/>
          <w:lang/>
        </w:rPr>
        <w:t>{Абзац другий пункту 199.3 статті 199 із змінами, внесеними згідно із Законом </w:t>
      </w:r>
      <w:hyperlink r:id="rId3222" w:anchor="n30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7EAC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4" w:name="n4976"/>
      <w:bookmarkEnd w:id="5944"/>
      <w:r w:rsidRPr="008B264B">
        <w:rPr>
          <w:rFonts w:ascii="Times New Roman" w:eastAsia="Times New Roman" w:hAnsi="Times New Roman" w:cs="Times New Roman"/>
          <w:color w:val="000000"/>
          <w:sz w:val="24"/>
          <w:szCs w:val="24"/>
          <w:lang/>
        </w:rPr>
        <w:t xml:space="preserve">199.4. Платник податку за підсумками календарного року здійснює перерахунок частки використання товарів/послуг та необоротних активів в оподатковуваних операціях виходячи з фактичних обсягів проведених протягом року оподатковуваних та неоподатковуваних операцій. У разі зняття з обліку платника податку, у тому числі за рішенням суду, перерахунок частки </w:t>
      </w:r>
      <w:r w:rsidRPr="008B264B">
        <w:rPr>
          <w:rFonts w:ascii="Times New Roman" w:eastAsia="Times New Roman" w:hAnsi="Times New Roman" w:cs="Times New Roman"/>
          <w:color w:val="000000"/>
          <w:sz w:val="24"/>
          <w:szCs w:val="24"/>
          <w:lang/>
        </w:rPr>
        <w:lastRenderedPageBreak/>
        <w:t>здійснюється виходячи з фактичних обсягів оподатковуваних та неоподатковуваних операцій, проведених з початку поточного року до дати зняття з обліку.</w:t>
      </w:r>
    </w:p>
    <w:p w14:paraId="361FCD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5" w:name="n4977"/>
      <w:bookmarkEnd w:id="5945"/>
      <w:r w:rsidRPr="008B264B">
        <w:rPr>
          <w:rFonts w:ascii="Times New Roman" w:eastAsia="Times New Roman" w:hAnsi="Times New Roman" w:cs="Times New Roman"/>
          <w:i/>
          <w:iCs/>
          <w:color w:val="000000"/>
          <w:sz w:val="24"/>
          <w:szCs w:val="24"/>
          <w:lang/>
        </w:rPr>
        <w:t>{Абзац перший пункту 199.4 статті 199 із змінами, внесеними згідно із Законом </w:t>
      </w:r>
      <w:hyperlink r:id="rId3223" w:anchor="n30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D0D7D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6" w:name="n4978"/>
      <w:bookmarkEnd w:id="5946"/>
      <w:r w:rsidRPr="008B264B">
        <w:rPr>
          <w:rFonts w:ascii="Times New Roman" w:eastAsia="Times New Roman" w:hAnsi="Times New Roman" w:cs="Times New Roman"/>
          <w:i/>
          <w:iCs/>
          <w:color w:val="000000"/>
          <w:sz w:val="24"/>
          <w:szCs w:val="24"/>
          <w:lang/>
        </w:rPr>
        <w:t>{Абзац другий пункту 199.4 статті 199 виключено на підставі Закону </w:t>
      </w:r>
      <w:hyperlink r:id="rId3224" w:anchor="n48"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099368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7" w:name="n4980"/>
      <w:bookmarkEnd w:id="5947"/>
      <w:r w:rsidRPr="008B264B">
        <w:rPr>
          <w:rFonts w:ascii="Times New Roman" w:eastAsia="Times New Roman" w:hAnsi="Times New Roman" w:cs="Times New Roman"/>
          <w:color w:val="000000"/>
          <w:sz w:val="24"/>
          <w:szCs w:val="24"/>
          <w:lang/>
        </w:rPr>
        <w:t>199.5. Частка використання товарів/послуг, необоротних активів в оподатковуваних операціях, визначена з урахуванням норм </w:t>
      </w:r>
      <w:hyperlink r:id="rId3225" w:anchor="n4970" w:history="1">
        <w:r w:rsidRPr="008B264B">
          <w:rPr>
            <w:rFonts w:ascii="Times New Roman" w:eastAsia="Times New Roman" w:hAnsi="Times New Roman" w:cs="Times New Roman"/>
            <w:color w:val="0000FF"/>
            <w:sz w:val="24"/>
            <w:szCs w:val="24"/>
            <w:u w:val="single"/>
            <w:lang/>
          </w:rPr>
          <w:t>пунктів 199.2-199.4</w:t>
        </w:r>
      </w:hyperlink>
      <w:r w:rsidRPr="008B264B">
        <w:rPr>
          <w:rFonts w:ascii="Times New Roman" w:eastAsia="Times New Roman" w:hAnsi="Times New Roman" w:cs="Times New Roman"/>
          <w:color w:val="000000"/>
          <w:sz w:val="24"/>
          <w:szCs w:val="24"/>
          <w:lang/>
        </w:rPr>
        <w:t> статті 199 цього Кодексу, застосовується для проведення коригування сум податкових зобов’язань, зазначених у </w:t>
      </w:r>
      <w:hyperlink r:id="rId3226" w:anchor="n4968" w:history="1">
        <w:r w:rsidRPr="008B264B">
          <w:rPr>
            <w:rFonts w:ascii="Times New Roman" w:eastAsia="Times New Roman" w:hAnsi="Times New Roman" w:cs="Times New Roman"/>
            <w:color w:val="0000FF"/>
            <w:sz w:val="24"/>
            <w:szCs w:val="24"/>
            <w:u w:val="single"/>
            <w:lang/>
          </w:rPr>
          <w:t>пункті 199.1</w:t>
        </w:r>
      </w:hyperlink>
      <w:r w:rsidRPr="008B264B">
        <w:rPr>
          <w:rFonts w:ascii="Times New Roman" w:eastAsia="Times New Roman" w:hAnsi="Times New Roman" w:cs="Times New Roman"/>
          <w:color w:val="000000"/>
          <w:sz w:val="24"/>
          <w:szCs w:val="24"/>
          <w:lang/>
        </w:rPr>
        <w:t> статті 199 цього Кодексу. Результати перерахунку сум податкових зобов’язань відображаються у податковій декларації за останній податковий період року. У разі зняття з обліку платника податку, у тому числі за рішенням суду, коригування відображається платником податку у податковій декларації останнього податкового періоду, коли відбулося зняття з обліку.</w:t>
      </w:r>
    </w:p>
    <w:p w14:paraId="772CD0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8" w:name="n4981"/>
      <w:bookmarkEnd w:id="5948"/>
      <w:r w:rsidRPr="008B264B">
        <w:rPr>
          <w:rFonts w:ascii="Times New Roman" w:eastAsia="Times New Roman" w:hAnsi="Times New Roman" w:cs="Times New Roman"/>
          <w:i/>
          <w:iCs/>
          <w:color w:val="000000"/>
          <w:sz w:val="24"/>
          <w:szCs w:val="24"/>
          <w:lang/>
        </w:rPr>
        <w:t>{Пункт 199.5 статті 199 із змінами, внесеними згідно із Законами </w:t>
      </w:r>
      <w:hyperlink r:id="rId322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228" w:anchor="n30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229" w:anchor="n111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D53C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49" w:name="n4982"/>
      <w:bookmarkEnd w:id="5949"/>
      <w:r w:rsidRPr="008B264B">
        <w:rPr>
          <w:rFonts w:ascii="Times New Roman" w:eastAsia="Times New Roman" w:hAnsi="Times New Roman" w:cs="Times New Roman"/>
          <w:color w:val="000000"/>
          <w:sz w:val="24"/>
          <w:szCs w:val="24"/>
          <w:lang/>
        </w:rPr>
        <w:t>199.6. Правила цієї статті не застосовуються в разі:</w:t>
      </w:r>
    </w:p>
    <w:p w14:paraId="62E3A2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0" w:name="n12303"/>
      <w:bookmarkEnd w:id="5950"/>
      <w:r w:rsidRPr="008B264B">
        <w:rPr>
          <w:rFonts w:ascii="Times New Roman" w:eastAsia="Times New Roman" w:hAnsi="Times New Roman" w:cs="Times New Roman"/>
          <w:i/>
          <w:iCs/>
          <w:color w:val="000000"/>
          <w:sz w:val="24"/>
          <w:szCs w:val="24"/>
          <w:lang/>
        </w:rPr>
        <w:t>{Абзац перший пункту 199.6 статті 199 із змінами, внесеними згідно із Законом </w:t>
      </w:r>
      <w:hyperlink r:id="rId3230" w:anchor="n6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1E452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1" w:name="n4983"/>
      <w:bookmarkEnd w:id="5951"/>
      <w:r w:rsidRPr="008B264B">
        <w:rPr>
          <w:rFonts w:ascii="Times New Roman" w:eastAsia="Times New Roman" w:hAnsi="Times New Roman" w:cs="Times New Roman"/>
          <w:color w:val="000000"/>
          <w:sz w:val="24"/>
          <w:szCs w:val="24"/>
          <w:lang/>
        </w:rPr>
        <w:t>проведення операцій, передбачених </w:t>
      </w:r>
      <w:hyperlink r:id="rId3231" w:anchor="n4701" w:history="1">
        <w:r w:rsidRPr="008B264B">
          <w:rPr>
            <w:rFonts w:ascii="Times New Roman" w:eastAsia="Times New Roman" w:hAnsi="Times New Roman" w:cs="Times New Roman"/>
            <w:color w:val="0000FF"/>
            <w:sz w:val="24"/>
            <w:szCs w:val="24"/>
            <w:u w:val="single"/>
            <w:lang/>
          </w:rPr>
          <w:t>підпунктом 196.1.7</w:t>
        </w:r>
      </w:hyperlink>
      <w:r w:rsidRPr="008B264B">
        <w:rPr>
          <w:rFonts w:ascii="Times New Roman" w:eastAsia="Times New Roman" w:hAnsi="Times New Roman" w:cs="Times New Roman"/>
          <w:color w:val="000000"/>
          <w:sz w:val="24"/>
          <w:szCs w:val="24"/>
          <w:lang/>
        </w:rPr>
        <w:t> пункту 196.1 статті 196 цього Кодексу;</w:t>
      </w:r>
    </w:p>
    <w:p w14:paraId="3F44F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2" w:name="n4984"/>
      <w:bookmarkEnd w:id="5952"/>
      <w:r w:rsidRPr="008B264B">
        <w:rPr>
          <w:rFonts w:ascii="Times New Roman" w:eastAsia="Times New Roman" w:hAnsi="Times New Roman" w:cs="Times New Roman"/>
          <w:color w:val="000000"/>
          <w:sz w:val="24"/>
          <w:szCs w:val="24"/>
          <w:lang/>
        </w:rPr>
        <w:t>постачання платником податку відходів і брухту чорних і кольорових металів, які утворилися в такого платника внаслідок переробки, обробки, плавлення товарів (сировини, матеріалів, заготовок тощо) на виробництві, будівництві, розібранні (демонтажу) ліквідованих основних фондів та інших подібних операцій;</w:t>
      </w:r>
    </w:p>
    <w:p w14:paraId="53F40E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3" w:name="n4985"/>
      <w:bookmarkEnd w:id="5953"/>
      <w:r w:rsidRPr="008B264B">
        <w:rPr>
          <w:rFonts w:ascii="Times New Roman" w:eastAsia="Times New Roman" w:hAnsi="Times New Roman" w:cs="Times New Roman"/>
          <w:color w:val="000000"/>
          <w:sz w:val="24"/>
          <w:szCs w:val="24"/>
          <w:lang/>
        </w:rPr>
        <w:t>проведення операцій, передбачених </w:t>
      </w:r>
      <w:hyperlink r:id="rId3232" w:anchor="n4881" w:history="1">
        <w:r w:rsidRPr="008B264B">
          <w:rPr>
            <w:rFonts w:ascii="Times New Roman" w:eastAsia="Times New Roman" w:hAnsi="Times New Roman" w:cs="Times New Roman"/>
            <w:color w:val="0000FF"/>
            <w:sz w:val="24"/>
            <w:szCs w:val="24"/>
            <w:u w:val="single"/>
            <w:lang/>
          </w:rPr>
          <w:t>підпунктом 197.1.28</w:t>
        </w:r>
      </w:hyperlink>
      <w:r w:rsidRPr="008B264B">
        <w:rPr>
          <w:rFonts w:ascii="Times New Roman" w:eastAsia="Times New Roman" w:hAnsi="Times New Roman" w:cs="Times New Roman"/>
          <w:color w:val="000000"/>
          <w:sz w:val="24"/>
          <w:szCs w:val="24"/>
          <w:lang/>
        </w:rPr>
        <w:t> пункту 197.1, </w:t>
      </w:r>
      <w:hyperlink r:id="rId3233" w:anchor="n4906" w:history="1">
        <w:r w:rsidRPr="008B264B">
          <w:rPr>
            <w:rFonts w:ascii="Times New Roman" w:eastAsia="Times New Roman" w:hAnsi="Times New Roman" w:cs="Times New Roman"/>
            <w:color w:val="0000FF"/>
            <w:sz w:val="24"/>
            <w:szCs w:val="24"/>
            <w:u w:val="single"/>
            <w:lang/>
          </w:rPr>
          <w:t>пунктами 197.11</w:t>
        </w:r>
      </w:hyperlink>
      <w:r w:rsidRPr="008B264B">
        <w:rPr>
          <w:rFonts w:ascii="Times New Roman" w:eastAsia="Times New Roman" w:hAnsi="Times New Roman" w:cs="Times New Roman"/>
          <w:color w:val="000000"/>
          <w:sz w:val="24"/>
          <w:szCs w:val="24"/>
          <w:lang/>
        </w:rPr>
        <w:t> та 197.24 статті 197 цього Кодексу.</w:t>
      </w:r>
    </w:p>
    <w:p w14:paraId="54EBBB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4" w:name="n4986"/>
      <w:bookmarkEnd w:id="5954"/>
      <w:r w:rsidRPr="008B264B">
        <w:rPr>
          <w:rFonts w:ascii="Times New Roman" w:eastAsia="Times New Roman" w:hAnsi="Times New Roman" w:cs="Times New Roman"/>
          <w:i/>
          <w:iCs/>
          <w:color w:val="000000"/>
          <w:sz w:val="24"/>
          <w:szCs w:val="24"/>
          <w:lang/>
        </w:rPr>
        <w:t>{Пункт 199.6 статті 199 доповнено абзацом четвертим згідно із Законом </w:t>
      </w:r>
      <w:hyperlink r:id="rId3234" w:anchor="n31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235" w:anchor="n2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236" w:anchor="n10" w:tgtFrame="_blank" w:history="1">
        <w:r w:rsidRPr="008B264B">
          <w:rPr>
            <w:rFonts w:ascii="Times New Roman" w:eastAsia="Times New Roman" w:hAnsi="Times New Roman" w:cs="Times New Roman"/>
            <w:i/>
            <w:iCs/>
            <w:color w:val="0000FF"/>
            <w:sz w:val="24"/>
            <w:szCs w:val="24"/>
            <w:u w:val="single"/>
            <w:lang/>
          </w:rPr>
          <w:t>№ 1665-VIII від 06.10.2016</w:t>
        </w:r>
      </w:hyperlink>
      <w:r w:rsidRPr="008B264B">
        <w:rPr>
          <w:rFonts w:ascii="Times New Roman" w:eastAsia="Times New Roman" w:hAnsi="Times New Roman" w:cs="Times New Roman"/>
          <w:i/>
          <w:iCs/>
          <w:color w:val="000000"/>
          <w:sz w:val="24"/>
          <w:szCs w:val="24"/>
          <w:lang/>
        </w:rPr>
        <w:t>}</w:t>
      </w:r>
    </w:p>
    <w:p w14:paraId="729687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5" w:name="n4987"/>
      <w:bookmarkEnd w:id="5955"/>
      <w:r w:rsidRPr="008B264B">
        <w:rPr>
          <w:rFonts w:ascii="Times New Roman" w:eastAsia="Times New Roman" w:hAnsi="Times New Roman" w:cs="Times New Roman"/>
          <w:b/>
          <w:bCs/>
          <w:color w:val="000000"/>
          <w:sz w:val="24"/>
          <w:szCs w:val="24"/>
          <w:lang/>
        </w:rPr>
        <w:t>Стаття 200.</w:t>
      </w:r>
      <w:r w:rsidRPr="008B264B">
        <w:rPr>
          <w:rFonts w:ascii="Times New Roman" w:eastAsia="Times New Roman" w:hAnsi="Times New Roman" w:cs="Times New Roman"/>
          <w:color w:val="000000"/>
          <w:sz w:val="24"/>
          <w:szCs w:val="24"/>
          <w:lang/>
        </w:rPr>
        <w:t> Порядок визначення суми податку, що підлягає сплаті (перерахуванню) до Державного бюджету України або відшкодуванню з Державного бюджету України (бюджетному відшкодуванню), та строки проведення розрахунків</w:t>
      </w:r>
    </w:p>
    <w:p w14:paraId="13CFE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6" w:name="n4988"/>
      <w:bookmarkEnd w:id="5956"/>
      <w:r w:rsidRPr="008B264B">
        <w:rPr>
          <w:rFonts w:ascii="Times New Roman" w:eastAsia="Times New Roman" w:hAnsi="Times New Roman" w:cs="Times New Roman"/>
          <w:color w:val="000000"/>
          <w:sz w:val="24"/>
          <w:szCs w:val="24"/>
          <w:lang/>
        </w:rPr>
        <w:t>200.1. Сума податку, що підлягає сплаті (перерахуванню) до Державного бюджету України або бюджетному відшкодуванню, визначається як різниця між сумою податкового зобов'язання звітного (податкового) періоду та сумою податкового кредиту такого звітного (податкового) періоду.</w:t>
      </w:r>
    </w:p>
    <w:p w14:paraId="29C458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7" w:name="n4989"/>
      <w:bookmarkEnd w:id="5957"/>
      <w:r w:rsidRPr="008B264B">
        <w:rPr>
          <w:rFonts w:ascii="Times New Roman" w:eastAsia="Times New Roman" w:hAnsi="Times New Roman" w:cs="Times New Roman"/>
          <w:color w:val="000000"/>
          <w:sz w:val="24"/>
          <w:szCs w:val="24"/>
          <w:lang/>
        </w:rPr>
        <w:t>200.2. При позитивному значенні суми, розрахованої згідно з </w:t>
      </w:r>
      <w:hyperlink r:id="rId3237" w:anchor="n4988" w:history="1">
        <w:r w:rsidRPr="008B264B">
          <w:rPr>
            <w:rFonts w:ascii="Times New Roman" w:eastAsia="Times New Roman" w:hAnsi="Times New Roman" w:cs="Times New Roman"/>
            <w:color w:val="0000FF"/>
            <w:sz w:val="24"/>
            <w:szCs w:val="24"/>
            <w:u w:val="single"/>
            <w:lang/>
          </w:rPr>
          <w:t>пунктом 200.1</w:t>
        </w:r>
      </w:hyperlink>
      <w:r w:rsidRPr="008B264B">
        <w:rPr>
          <w:rFonts w:ascii="Times New Roman" w:eastAsia="Times New Roman" w:hAnsi="Times New Roman" w:cs="Times New Roman"/>
          <w:color w:val="000000"/>
          <w:sz w:val="24"/>
          <w:szCs w:val="24"/>
          <w:lang/>
        </w:rPr>
        <w:t> цієї статті, така сума підлягає сплаті (перерахуванню) до бюджету у строки, встановлені цим розділом.</w:t>
      </w:r>
    </w:p>
    <w:p w14:paraId="6C8C5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8" w:name="n11283"/>
      <w:bookmarkEnd w:id="5958"/>
      <w:r w:rsidRPr="008B264B">
        <w:rPr>
          <w:rFonts w:ascii="Times New Roman" w:eastAsia="Times New Roman" w:hAnsi="Times New Roman" w:cs="Times New Roman"/>
          <w:color w:val="000000"/>
          <w:sz w:val="24"/>
          <w:szCs w:val="24"/>
          <w:lang/>
        </w:rPr>
        <w:t xml:space="preserve">Для перерахування податку до бюджету центральний орган виконавчої влади, що реалізує державну податкову та митну політику, надсилає центральному органу виконавчої влади, що реалізує державну політику у сфері казначейського обслуговування бюджетних коштів, в якому відкриті рахунки платників у системі електронного адміністрування податку на додану вартість, реєстр платників, в якому зазначаються назва платника, податковий номер та індивідуальний податковий номер платника, звітний період та сума податку, що підлягає перерахуванню до бюджету. На підставі такого реєстру центральний орган виконавчої влади, що реалізує державну політику у сфері казначейського обслуговування бюджетних коштів, в якому відкриті рахунки платників у системі електронного адміністрування податку на додану вартість, не пізніше </w:t>
      </w:r>
      <w:r w:rsidRPr="008B264B">
        <w:rPr>
          <w:rFonts w:ascii="Times New Roman" w:eastAsia="Times New Roman" w:hAnsi="Times New Roman" w:cs="Times New Roman"/>
          <w:color w:val="000000"/>
          <w:sz w:val="24"/>
          <w:szCs w:val="24"/>
          <w:lang/>
        </w:rPr>
        <w:lastRenderedPageBreak/>
        <w:t>останнього дня строку, встановленого цим Кодексом для самостійної сплати податкових зобов’язань, перераховує суми податку до бюджету.</w:t>
      </w:r>
    </w:p>
    <w:p w14:paraId="601C49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59" w:name="n11282"/>
      <w:bookmarkEnd w:id="5959"/>
      <w:r w:rsidRPr="008B264B">
        <w:rPr>
          <w:rFonts w:ascii="Times New Roman" w:eastAsia="Times New Roman" w:hAnsi="Times New Roman" w:cs="Times New Roman"/>
          <w:i/>
          <w:iCs/>
          <w:color w:val="000000"/>
          <w:sz w:val="24"/>
          <w:szCs w:val="24"/>
          <w:lang/>
        </w:rPr>
        <w:t>{Пункт 200.2 статті 200 доповнено абзацом другим згідно із Законом </w:t>
      </w:r>
      <w:hyperlink r:id="rId3238" w:anchor="n66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239" w:anchor="n11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3B1F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0" w:name="n4990"/>
      <w:bookmarkEnd w:id="5960"/>
      <w:r w:rsidRPr="008B264B">
        <w:rPr>
          <w:rFonts w:ascii="Times New Roman" w:eastAsia="Times New Roman" w:hAnsi="Times New Roman" w:cs="Times New Roman"/>
          <w:i/>
          <w:iCs/>
          <w:color w:val="000000"/>
          <w:sz w:val="24"/>
          <w:szCs w:val="24"/>
          <w:lang/>
        </w:rPr>
        <w:t>{Пункт 200.3 статті 200 виключено на підставі Закону </w:t>
      </w:r>
      <w:hyperlink r:id="rId3240" w:anchor="n66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F470A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1" w:name="n4991"/>
      <w:bookmarkEnd w:id="5961"/>
      <w:r w:rsidRPr="008B264B">
        <w:rPr>
          <w:rFonts w:ascii="Times New Roman" w:eastAsia="Times New Roman" w:hAnsi="Times New Roman" w:cs="Times New Roman"/>
          <w:color w:val="000000"/>
          <w:sz w:val="24"/>
          <w:szCs w:val="24"/>
          <w:lang/>
        </w:rPr>
        <w:t>200.4. При від’ємному значенні суми, розрахованої згідно з пунктом 200.1 цієї статті, така сума:</w:t>
      </w:r>
    </w:p>
    <w:p w14:paraId="7378D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2" w:name="n11285"/>
      <w:bookmarkEnd w:id="5962"/>
      <w:r w:rsidRPr="008B264B">
        <w:rPr>
          <w:rFonts w:ascii="Times New Roman" w:eastAsia="Times New Roman" w:hAnsi="Times New Roman" w:cs="Times New Roman"/>
          <w:color w:val="000000"/>
          <w:sz w:val="24"/>
          <w:szCs w:val="24"/>
          <w:lang/>
        </w:rPr>
        <w:t>а) враховується у зменшення суми податкового боргу з податку, що виник за попередні звітні (податкові) періоди (у тому числі розстроченого або відстроченого відповідно до цього Кодексу) в частині, що не перевищує суму, обчислену відповідно до </w:t>
      </w:r>
      <w:hyperlink r:id="rId3241" w:anchor="n11312" w:history="1">
        <w:r w:rsidRPr="008B264B">
          <w:rPr>
            <w:rFonts w:ascii="Times New Roman" w:eastAsia="Times New Roman" w:hAnsi="Times New Roman" w:cs="Times New Roman"/>
            <w:color w:val="0000FF"/>
            <w:sz w:val="24"/>
            <w:szCs w:val="24"/>
            <w:u w:val="single"/>
            <w:lang/>
          </w:rPr>
          <w:t>пункту 200</w:t>
        </w:r>
      </w:hyperlink>
      <w:hyperlink r:id="rId3242"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243"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на момент отримання контролюючим органом податкової декларації, а в разі відсутності податкового боргу -</w:t>
      </w:r>
    </w:p>
    <w:p w14:paraId="7EF55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3" w:name="n11286"/>
      <w:bookmarkEnd w:id="5963"/>
      <w:r w:rsidRPr="008B264B">
        <w:rPr>
          <w:rFonts w:ascii="Times New Roman" w:eastAsia="Times New Roman" w:hAnsi="Times New Roman" w:cs="Times New Roman"/>
          <w:color w:val="000000"/>
          <w:sz w:val="24"/>
          <w:szCs w:val="24"/>
          <w:lang/>
        </w:rPr>
        <w:t>б) або підлягає бюджетному відшкодуванню за заявою платника у сумі податку, фактично сплаченій отримувачем товарів/послуг у попередніх та звітному податкових періодах постачальникам таких товарів/послуг або до Державного бюджету України, в частині, що не перевищує суму, обчислену відповідно до </w:t>
      </w:r>
      <w:hyperlink r:id="rId3244" w:anchor="n11312" w:history="1">
        <w:r w:rsidRPr="008B264B">
          <w:rPr>
            <w:rFonts w:ascii="Times New Roman" w:eastAsia="Times New Roman" w:hAnsi="Times New Roman" w:cs="Times New Roman"/>
            <w:color w:val="0000FF"/>
            <w:sz w:val="24"/>
            <w:szCs w:val="24"/>
            <w:u w:val="single"/>
            <w:lang/>
          </w:rPr>
          <w:t>пункту 200</w:t>
        </w:r>
      </w:hyperlink>
      <w:hyperlink r:id="rId3245"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246"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на момент отримання контролюючим органом податкової декларації, на поточний рахунок платника податку та/або у рахунок сплати грошових зобов’язань або погашення податкового боргу такого платника податку з інших платежів, що сплачуються до державного бюджету;</w:t>
      </w:r>
    </w:p>
    <w:p w14:paraId="257B98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4" w:name="n12763"/>
      <w:bookmarkEnd w:id="5964"/>
      <w:r w:rsidRPr="008B264B">
        <w:rPr>
          <w:rFonts w:ascii="Times New Roman" w:eastAsia="Times New Roman" w:hAnsi="Times New Roman" w:cs="Times New Roman"/>
          <w:i/>
          <w:iCs/>
          <w:color w:val="000000"/>
          <w:sz w:val="24"/>
          <w:szCs w:val="24"/>
          <w:lang/>
        </w:rPr>
        <w:t>{Підпункт "б" пункту 200.4 статті 200 із змінами, внесеними згідно із Законами </w:t>
      </w:r>
      <w:hyperlink r:id="rId3247" w:anchor="n2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1965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5" w:name="n11287"/>
      <w:bookmarkEnd w:id="5965"/>
      <w:r w:rsidRPr="008B264B">
        <w:rPr>
          <w:rFonts w:ascii="Times New Roman" w:eastAsia="Times New Roman" w:hAnsi="Times New Roman" w:cs="Times New Roman"/>
          <w:color w:val="000000"/>
          <w:sz w:val="24"/>
          <w:szCs w:val="24"/>
          <w:lang/>
        </w:rPr>
        <w:t>в) та/або зараховується до складу податкового кредиту наступного звітного (податкового) періоду.</w:t>
      </w:r>
    </w:p>
    <w:p w14:paraId="4F8D7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6" w:name="n11284"/>
      <w:bookmarkEnd w:id="5966"/>
      <w:r w:rsidRPr="008B264B">
        <w:rPr>
          <w:rFonts w:ascii="Times New Roman" w:eastAsia="Times New Roman" w:hAnsi="Times New Roman" w:cs="Times New Roman"/>
          <w:i/>
          <w:iCs/>
          <w:color w:val="000000"/>
          <w:sz w:val="24"/>
          <w:szCs w:val="24"/>
          <w:lang/>
        </w:rPr>
        <w:t>{Пункт 200.4 статті 200 із змінами, внесеними згідно із Законами </w:t>
      </w:r>
      <w:hyperlink r:id="rId32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249" w:anchor="n3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250" w:anchor="n40"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 урахуванням змін, внесених Законом </w:t>
      </w:r>
      <w:hyperlink r:id="rId3251"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252" w:anchor="n66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0BA63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7" w:name="n4995"/>
      <w:bookmarkEnd w:id="5967"/>
      <w:r w:rsidRPr="008B264B">
        <w:rPr>
          <w:rFonts w:ascii="Times New Roman" w:eastAsia="Times New Roman" w:hAnsi="Times New Roman" w:cs="Times New Roman"/>
          <w:i/>
          <w:iCs/>
          <w:color w:val="000000"/>
          <w:sz w:val="24"/>
          <w:szCs w:val="24"/>
          <w:lang/>
        </w:rPr>
        <w:t>{Пункт 200.5 статті 200 виключено на підставі Закону </w:t>
      </w:r>
      <w:hyperlink r:id="rId3253" w:anchor="n20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98372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8" w:name="n10371"/>
      <w:bookmarkEnd w:id="5968"/>
      <w:r w:rsidRPr="008B264B">
        <w:rPr>
          <w:rFonts w:ascii="Times New Roman" w:eastAsia="Times New Roman" w:hAnsi="Times New Roman" w:cs="Times New Roman"/>
          <w:i/>
          <w:iCs/>
          <w:color w:val="000000"/>
          <w:sz w:val="24"/>
          <w:szCs w:val="24"/>
          <w:lang/>
        </w:rPr>
        <w:t>{Пункт 200.6 статті 200 виключено на підставі Закону </w:t>
      </w:r>
      <w:hyperlink r:id="rId3254" w:anchor="n6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2BE39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69" w:name="n4999"/>
      <w:bookmarkEnd w:id="5969"/>
      <w:r w:rsidRPr="008B264B">
        <w:rPr>
          <w:rFonts w:ascii="Times New Roman" w:eastAsia="Times New Roman" w:hAnsi="Times New Roman" w:cs="Times New Roman"/>
          <w:color w:val="000000"/>
          <w:sz w:val="24"/>
          <w:szCs w:val="24"/>
          <w:lang/>
        </w:rPr>
        <w:t>200.7. Платник податку, який має право на отримання бюджетного відшкодування та прийняв рішення про повернення суми бюджетного відшкодування, подає відповідному контролюючому органу податкову декларацію та заяву про повернення суми бюджетного відшкодування, яка відображається у податковій декларації.</w:t>
      </w:r>
    </w:p>
    <w:p w14:paraId="26ADDC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0" w:name="n13061"/>
      <w:bookmarkEnd w:id="5970"/>
      <w:r w:rsidRPr="008B264B">
        <w:rPr>
          <w:rFonts w:ascii="Times New Roman" w:eastAsia="Times New Roman" w:hAnsi="Times New Roman" w:cs="Times New Roman"/>
          <w:i/>
          <w:iCs/>
          <w:color w:val="000000"/>
          <w:sz w:val="24"/>
          <w:szCs w:val="24"/>
          <w:lang/>
        </w:rPr>
        <w:t>{Абзац перший пункту 200.7 статті 200 із змінами, внесеними згідно із Законами </w:t>
      </w:r>
      <w:hyperlink r:id="rId3255" w:anchor="n20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256" w:anchor="n112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7036B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1" w:name="n13063"/>
      <w:bookmarkEnd w:id="5971"/>
      <w:r w:rsidRPr="008B264B">
        <w:rPr>
          <w:rFonts w:ascii="Times New Roman" w:eastAsia="Times New Roman" w:hAnsi="Times New Roman" w:cs="Times New Roman"/>
          <w:color w:val="000000"/>
          <w:sz w:val="24"/>
          <w:szCs w:val="24"/>
          <w:lang/>
        </w:rPr>
        <w:t>200.7.1. Формування Реєстру заяв про повернення суми бюджетного відшкодування здійснюється на підставі баз даних центрального органу виконавчої влади, що реалізує податкову і митну політику, та центрального органу виконавчої влади, що реалізує державну політику у сфері казначейського обслуговування бюджетних коштів.</w:t>
      </w:r>
    </w:p>
    <w:p w14:paraId="593570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2" w:name="n14208"/>
      <w:bookmarkEnd w:id="5972"/>
      <w:r w:rsidRPr="008B264B">
        <w:rPr>
          <w:rFonts w:ascii="Times New Roman" w:eastAsia="Times New Roman" w:hAnsi="Times New Roman" w:cs="Times New Roman"/>
          <w:color w:val="000000"/>
          <w:sz w:val="24"/>
          <w:szCs w:val="24"/>
          <w:lang/>
        </w:rPr>
        <w:t>До такого Реєстру вносяться такі дані:</w:t>
      </w:r>
    </w:p>
    <w:p w14:paraId="723105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3" w:name="n14209"/>
      <w:bookmarkEnd w:id="5973"/>
      <w:r w:rsidRPr="008B264B">
        <w:rPr>
          <w:rFonts w:ascii="Times New Roman" w:eastAsia="Times New Roman" w:hAnsi="Times New Roman" w:cs="Times New Roman"/>
          <w:color w:val="000000"/>
          <w:sz w:val="24"/>
          <w:szCs w:val="24"/>
          <w:lang/>
        </w:rPr>
        <w:t>1) найменування платника податку та його індивідуальний податковий номер;</w:t>
      </w:r>
    </w:p>
    <w:p w14:paraId="5DB298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4" w:name="n14210"/>
      <w:bookmarkEnd w:id="5974"/>
      <w:r w:rsidRPr="008B264B">
        <w:rPr>
          <w:rFonts w:ascii="Times New Roman" w:eastAsia="Times New Roman" w:hAnsi="Times New Roman" w:cs="Times New Roman"/>
          <w:color w:val="000000"/>
          <w:sz w:val="24"/>
          <w:szCs w:val="24"/>
          <w:lang/>
        </w:rPr>
        <w:t>2) дата подання заяви про повернення суми бюджетного відшкодування на рахунок платника у банку, поданої у складі </w:t>
      </w:r>
      <w:hyperlink r:id="rId3257"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або уточнюючого розрахунку (в разі їх подання);</w:t>
      </w:r>
    </w:p>
    <w:p w14:paraId="279EE4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5" w:name="n14211"/>
      <w:bookmarkEnd w:id="5975"/>
      <w:r w:rsidRPr="008B264B">
        <w:rPr>
          <w:rFonts w:ascii="Times New Roman" w:eastAsia="Times New Roman" w:hAnsi="Times New Roman" w:cs="Times New Roman"/>
          <w:color w:val="000000"/>
          <w:sz w:val="24"/>
          <w:szCs w:val="24"/>
          <w:lang/>
        </w:rPr>
        <w:t>3) сума податку, заявленого до бюджетного відшкодування, зазначена у кожній заяві, поданій у складі </w:t>
      </w:r>
      <w:hyperlink r:id="rId3258"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xml:space="preserve"> або уточнюючого розрахунку (в разі їх подання), у тому числі окремо, яка підлягає перерахуванню на рахунок платника податку у банку та/або в рахунок </w:t>
      </w:r>
      <w:r w:rsidRPr="008B264B">
        <w:rPr>
          <w:rFonts w:ascii="Times New Roman" w:eastAsia="Times New Roman" w:hAnsi="Times New Roman" w:cs="Times New Roman"/>
          <w:color w:val="000000"/>
          <w:sz w:val="24"/>
          <w:szCs w:val="24"/>
          <w:lang/>
        </w:rPr>
        <w:lastRenderedPageBreak/>
        <w:t>сплати грошових зобов’язань, та/або погашення податкового боргу такого платника податку з інших платежів, що сплачуються до державного бюджету;</w:t>
      </w:r>
    </w:p>
    <w:p w14:paraId="15B48F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6" w:name="n14212"/>
      <w:bookmarkEnd w:id="5976"/>
      <w:r w:rsidRPr="008B264B">
        <w:rPr>
          <w:rFonts w:ascii="Times New Roman" w:eastAsia="Times New Roman" w:hAnsi="Times New Roman" w:cs="Times New Roman"/>
          <w:color w:val="000000"/>
          <w:sz w:val="24"/>
          <w:szCs w:val="24"/>
          <w:lang/>
        </w:rPr>
        <w:t>4) сума податку, заявленого до бюджетного відшкодування, зменшена на суму податкового боргу;</w:t>
      </w:r>
    </w:p>
    <w:p w14:paraId="4AF80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7" w:name="n14213"/>
      <w:bookmarkEnd w:id="5977"/>
      <w:r w:rsidRPr="008B264B">
        <w:rPr>
          <w:rFonts w:ascii="Times New Roman" w:eastAsia="Times New Roman" w:hAnsi="Times New Roman" w:cs="Times New Roman"/>
          <w:color w:val="000000"/>
          <w:sz w:val="24"/>
          <w:szCs w:val="24"/>
          <w:lang/>
        </w:rPr>
        <w:t>5) реквізити поточного рахунка платника податку для перерахування бюджетного відшкодування;</w:t>
      </w:r>
    </w:p>
    <w:p w14:paraId="27C65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8" w:name="n14214"/>
      <w:bookmarkEnd w:id="5978"/>
      <w:r w:rsidRPr="008B264B">
        <w:rPr>
          <w:rFonts w:ascii="Times New Roman" w:eastAsia="Times New Roman" w:hAnsi="Times New Roman" w:cs="Times New Roman"/>
          <w:color w:val="000000"/>
          <w:sz w:val="24"/>
          <w:szCs w:val="24"/>
          <w:lang/>
        </w:rPr>
        <w:t>6) реквізити бюджетних рахунків для перерахування у рахунок сплати грошових зобов’язань або погашення податкового боргу такого платника податку з інших платежів, що сплачуються до державного бюджету;</w:t>
      </w:r>
    </w:p>
    <w:p w14:paraId="005774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79" w:name="n14215"/>
      <w:bookmarkEnd w:id="5979"/>
      <w:r w:rsidRPr="008B264B">
        <w:rPr>
          <w:rFonts w:ascii="Times New Roman" w:eastAsia="Times New Roman" w:hAnsi="Times New Roman" w:cs="Times New Roman"/>
          <w:color w:val="000000"/>
          <w:sz w:val="24"/>
          <w:szCs w:val="24"/>
          <w:lang/>
        </w:rPr>
        <w:t>7) реквізити бюджетного рахунка, з якого здійснюється бюджетне відшкодування податку;</w:t>
      </w:r>
    </w:p>
    <w:p w14:paraId="362B90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0" w:name="n14216"/>
      <w:bookmarkEnd w:id="5980"/>
      <w:r w:rsidRPr="008B264B">
        <w:rPr>
          <w:rFonts w:ascii="Times New Roman" w:eastAsia="Times New Roman" w:hAnsi="Times New Roman" w:cs="Times New Roman"/>
          <w:color w:val="000000"/>
          <w:sz w:val="24"/>
          <w:szCs w:val="24"/>
          <w:lang/>
        </w:rPr>
        <w:t>8) дата початку та закінчення проведення перевірки даних, зазначених у </w:t>
      </w:r>
      <w:hyperlink r:id="rId3259" w:anchor="n20" w:tgtFrame="_blank" w:history="1">
        <w:r w:rsidRPr="008B264B">
          <w:rPr>
            <w:rFonts w:ascii="Times New Roman" w:eastAsia="Times New Roman" w:hAnsi="Times New Roman" w:cs="Times New Roman"/>
            <w:color w:val="0000FF"/>
            <w:sz w:val="24"/>
            <w:szCs w:val="24"/>
            <w:u w:val="single"/>
            <w:lang/>
          </w:rPr>
          <w:t>податковій декларації</w:t>
        </w:r>
      </w:hyperlink>
      <w:r w:rsidRPr="008B264B">
        <w:rPr>
          <w:rFonts w:ascii="Times New Roman" w:eastAsia="Times New Roman" w:hAnsi="Times New Roman" w:cs="Times New Roman"/>
          <w:color w:val="000000"/>
          <w:sz w:val="24"/>
          <w:szCs w:val="24"/>
          <w:lang/>
        </w:rPr>
        <w:t> або уточнюючому розрахунку (в разі їх подання), в складі яких подана заява про повернення суми бюджетного відшкодування, з обов’язковою відміткою щодо виду перевірки (камеральна, документальна);</w:t>
      </w:r>
    </w:p>
    <w:p w14:paraId="40641F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1" w:name="n14217"/>
      <w:bookmarkEnd w:id="5981"/>
      <w:r w:rsidRPr="008B264B">
        <w:rPr>
          <w:rFonts w:ascii="Times New Roman" w:eastAsia="Times New Roman" w:hAnsi="Times New Roman" w:cs="Times New Roman"/>
          <w:color w:val="000000"/>
          <w:sz w:val="24"/>
          <w:szCs w:val="24"/>
          <w:lang/>
        </w:rPr>
        <w:t>9) сума податку, заявленого до бюджетного відшкодування, та дата поданої до контролюючого органу заяви в разі виникнення у платника податку необхідності змінити напрям узгодженого бюджетного відшкодування;</w:t>
      </w:r>
    </w:p>
    <w:p w14:paraId="5C202B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2" w:name="n14218"/>
      <w:bookmarkEnd w:id="5982"/>
      <w:r w:rsidRPr="008B264B">
        <w:rPr>
          <w:rFonts w:ascii="Times New Roman" w:eastAsia="Times New Roman" w:hAnsi="Times New Roman" w:cs="Times New Roman"/>
          <w:color w:val="000000"/>
          <w:sz w:val="24"/>
          <w:szCs w:val="24"/>
          <w:lang/>
        </w:rPr>
        <w:t>10) дата складення та вручення платнику податків акта перевірки;</w:t>
      </w:r>
    </w:p>
    <w:p w14:paraId="59421B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3" w:name="n14219"/>
      <w:bookmarkEnd w:id="5983"/>
      <w:r w:rsidRPr="008B264B">
        <w:rPr>
          <w:rFonts w:ascii="Times New Roman" w:eastAsia="Times New Roman" w:hAnsi="Times New Roman" w:cs="Times New Roman"/>
          <w:color w:val="000000"/>
          <w:sz w:val="24"/>
          <w:szCs w:val="24"/>
          <w:lang/>
        </w:rPr>
        <w:t>11) дата та номер податкового повідомлення-рішення та сума бюджетного відшкодування за кожною заявою з урахуванням (у разі подання) уточнюючого розрахунку, неузгоджена контролюючим органом;</w:t>
      </w:r>
    </w:p>
    <w:p w14:paraId="582620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4" w:name="n14220"/>
      <w:bookmarkEnd w:id="5984"/>
      <w:r w:rsidRPr="008B264B">
        <w:rPr>
          <w:rFonts w:ascii="Times New Roman" w:eastAsia="Times New Roman" w:hAnsi="Times New Roman" w:cs="Times New Roman"/>
          <w:color w:val="000000"/>
          <w:sz w:val="24"/>
          <w:szCs w:val="24"/>
          <w:lang/>
        </w:rPr>
        <w:t>12) дата початку оскарження податкового повідомлення-рішення та сума бюджетного відшкодування, що оскаржується;</w:t>
      </w:r>
    </w:p>
    <w:p w14:paraId="49AA18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5" w:name="n14221"/>
      <w:bookmarkEnd w:id="5985"/>
      <w:r w:rsidRPr="008B264B">
        <w:rPr>
          <w:rFonts w:ascii="Times New Roman" w:eastAsia="Times New Roman" w:hAnsi="Times New Roman" w:cs="Times New Roman"/>
          <w:color w:val="000000"/>
          <w:sz w:val="24"/>
          <w:szCs w:val="24"/>
          <w:lang/>
        </w:rPr>
        <w:t>13) дата закінчення оскарження податкового повідомлення-рішення та сума бюджетного відшкодування, узгоджена за результатами оскарження;</w:t>
      </w:r>
    </w:p>
    <w:p w14:paraId="1D827F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6" w:name="n14222"/>
      <w:bookmarkEnd w:id="5986"/>
      <w:r w:rsidRPr="008B264B">
        <w:rPr>
          <w:rFonts w:ascii="Times New Roman" w:eastAsia="Times New Roman" w:hAnsi="Times New Roman" w:cs="Times New Roman"/>
          <w:color w:val="000000"/>
          <w:sz w:val="24"/>
          <w:szCs w:val="24"/>
          <w:lang/>
        </w:rPr>
        <w:t>14) сума узгодженого контролюючим органом бюджетного відшкодування за кожною заявою та дата її узгодження;</w:t>
      </w:r>
    </w:p>
    <w:p w14:paraId="324F9D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7" w:name="n14223"/>
      <w:bookmarkEnd w:id="5987"/>
      <w:r w:rsidRPr="008B264B">
        <w:rPr>
          <w:rFonts w:ascii="Times New Roman" w:eastAsia="Times New Roman" w:hAnsi="Times New Roman" w:cs="Times New Roman"/>
          <w:color w:val="000000"/>
          <w:sz w:val="24"/>
          <w:szCs w:val="24"/>
          <w:lang/>
        </w:rPr>
        <w:t>15) дата та сума повернення бюджетного відшкодування на рахунок платника у банку;</w:t>
      </w:r>
    </w:p>
    <w:p w14:paraId="334E01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8" w:name="n14224"/>
      <w:bookmarkEnd w:id="5988"/>
      <w:r w:rsidRPr="008B264B">
        <w:rPr>
          <w:rFonts w:ascii="Times New Roman" w:eastAsia="Times New Roman" w:hAnsi="Times New Roman" w:cs="Times New Roman"/>
          <w:color w:val="000000"/>
          <w:sz w:val="24"/>
          <w:szCs w:val="24"/>
          <w:lang/>
        </w:rPr>
        <w:t>16) дата та сума зарахування (перерахування) в рахунок сплати грошових зобов’язань або погашення податкового боргу такого платника податку з інших платежів, що сплачуються до державного бюджету.</w:t>
      </w:r>
    </w:p>
    <w:p w14:paraId="5289FA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89" w:name="n14225"/>
      <w:bookmarkEnd w:id="5989"/>
      <w:r w:rsidRPr="008B264B">
        <w:rPr>
          <w:rFonts w:ascii="Times New Roman" w:eastAsia="Times New Roman" w:hAnsi="Times New Roman" w:cs="Times New Roman"/>
          <w:color w:val="000000"/>
          <w:sz w:val="24"/>
          <w:szCs w:val="24"/>
          <w:lang/>
        </w:rPr>
        <w:t>Внесення даних до Реєстру заяв про повернення суми бюджетного відшкодування посадовими особами відповідних органів здійснюється з дотриманням вимог законів України </w:t>
      </w:r>
      <w:hyperlink r:id="rId3260"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3261"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126395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0" w:name="n15807"/>
      <w:bookmarkEnd w:id="5990"/>
      <w:r w:rsidRPr="008B264B">
        <w:rPr>
          <w:rFonts w:ascii="Times New Roman" w:eastAsia="Times New Roman" w:hAnsi="Times New Roman" w:cs="Times New Roman"/>
          <w:i/>
          <w:iCs/>
          <w:color w:val="000000"/>
          <w:sz w:val="24"/>
          <w:szCs w:val="24"/>
          <w:lang/>
        </w:rPr>
        <w:t>{Абзац дев'ятнадцятий підпункту 200.7.1 пункту 200.7 статті 200 із змінами, внесеними згідно із Законом </w:t>
      </w:r>
      <w:hyperlink r:id="rId3262" w:anchor="n38"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bookmarkStart w:id="5991" w:name="n13077"/>
    <w:bookmarkEnd w:id="5991"/>
    <w:p w14:paraId="117394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"https://zakon.rada.gov.ua/laws/show/26-2017-%D0%BF" \l "n13"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ведення та </w:t>
      </w:r>
      <w:hyperlink r:id="rId3263" w:anchor="n56" w:tgtFrame="_blank" w:history="1">
        <w:r w:rsidRPr="008B264B">
          <w:rPr>
            <w:rFonts w:ascii="Times New Roman" w:eastAsia="Times New Roman" w:hAnsi="Times New Roman" w:cs="Times New Roman"/>
            <w:color w:val="0000FF"/>
            <w:sz w:val="24"/>
            <w:szCs w:val="24"/>
            <w:u w:val="single"/>
            <w:lang/>
          </w:rPr>
          <w:t>форма Реєстру заяв</w:t>
        </w:r>
      </w:hyperlink>
      <w:r w:rsidRPr="008B264B">
        <w:rPr>
          <w:rFonts w:ascii="Times New Roman" w:eastAsia="Times New Roman" w:hAnsi="Times New Roman" w:cs="Times New Roman"/>
          <w:color w:val="000000"/>
          <w:sz w:val="24"/>
          <w:szCs w:val="24"/>
          <w:lang/>
        </w:rPr>
        <w:t> про повернення суми бюджетного відшкодування затверджуються Кабінетом Міністрів України.</w:t>
      </w:r>
    </w:p>
    <w:p w14:paraId="1A2337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2" w:name="n13082"/>
      <w:bookmarkEnd w:id="5992"/>
      <w:r w:rsidRPr="008B264B">
        <w:rPr>
          <w:rFonts w:ascii="Times New Roman" w:eastAsia="Times New Roman" w:hAnsi="Times New Roman" w:cs="Times New Roman"/>
          <w:i/>
          <w:iCs/>
          <w:color w:val="000000"/>
          <w:sz w:val="24"/>
          <w:szCs w:val="24"/>
          <w:lang/>
        </w:rPr>
        <w:t>{Пункт 200.7 статті 200 доповнено підпунктом 200.7.1 згідно із Законами </w:t>
      </w:r>
      <w:hyperlink r:id="rId3264" w:anchor="n20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265" w:anchor="n11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21B3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3" w:name="n13078"/>
      <w:bookmarkEnd w:id="5993"/>
      <w:r w:rsidRPr="008B264B">
        <w:rPr>
          <w:rFonts w:ascii="Times New Roman" w:eastAsia="Times New Roman" w:hAnsi="Times New Roman" w:cs="Times New Roman"/>
          <w:color w:val="000000"/>
          <w:sz w:val="24"/>
          <w:szCs w:val="24"/>
          <w:lang/>
        </w:rPr>
        <w:t>200.7.2. Заяви про повернення сум бюджетного відшкодування автоматично вносяться до Реєстру заяв про повернення суми бюджетного відшкодування протягом операційного дня їх отримання у хронологічному порядку їх надходження.</w:t>
      </w:r>
    </w:p>
    <w:p w14:paraId="2BFAC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4" w:name="n14226"/>
      <w:bookmarkEnd w:id="5994"/>
      <w:r w:rsidRPr="008B264B">
        <w:rPr>
          <w:rFonts w:ascii="Times New Roman" w:eastAsia="Times New Roman" w:hAnsi="Times New Roman" w:cs="Times New Roman"/>
          <w:color w:val="000000"/>
          <w:sz w:val="24"/>
          <w:szCs w:val="24"/>
          <w:lang/>
        </w:rPr>
        <w:lastRenderedPageBreak/>
        <w:t>Повернення узгоджених сум бюджетного відшкодування здійснюється у хронологічному порядку відповідно до черговості внесення до Реєстру заяв про повернення суми бюджетного відшкодування.</w:t>
      </w:r>
    </w:p>
    <w:p w14:paraId="4F5D26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5" w:name="n13081"/>
      <w:bookmarkEnd w:id="5995"/>
      <w:r w:rsidRPr="008B264B">
        <w:rPr>
          <w:rFonts w:ascii="Times New Roman" w:eastAsia="Times New Roman" w:hAnsi="Times New Roman" w:cs="Times New Roman"/>
          <w:i/>
          <w:iCs/>
          <w:color w:val="000000"/>
          <w:sz w:val="24"/>
          <w:szCs w:val="24"/>
          <w:lang/>
        </w:rPr>
        <w:t>{Пункт 200.7 статті 200 доповнено підпунктом 200.7.2 згідно із Законами </w:t>
      </w:r>
      <w:hyperlink r:id="rId3266" w:anchor="n20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267" w:anchor="n11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ADBB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6" w:name="n13079"/>
      <w:bookmarkEnd w:id="5996"/>
      <w:r w:rsidRPr="008B264B">
        <w:rPr>
          <w:rFonts w:ascii="Times New Roman" w:eastAsia="Times New Roman" w:hAnsi="Times New Roman" w:cs="Times New Roman"/>
          <w:color w:val="000000"/>
          <w:sz w:val="24"/>
          <w:szCs w:val="24"/>
          <w:lang/>
        </w:rPr>
        <w:t>200.7.3. Дані Реєстру заяв про повернення суми бюджетного відшкодування, передбачені підпунктом 200.7.1 цього пункту, крім підпункту 5 підпункту 200.7.1 цього пункту щодо реквізитів поточного рахунка платника податку для перерахування бюджетного відшкодування, не є інформацією з обмеженим доступом та підлягають щоденному, крім вихідних, святкових та неробочих днів, оприлюдненню на офіційному веб-сайті центрального органу виконавчої влади, що забезпечує формування державної фінансової політики.</w:t>
      </w:r>
    </w:p>
    <w:p w14:paraId="7AED1D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7" w:name="n13080"/>
      <w:bookmarkEnd w:id="5997"/>
      <w:r w:rsidRPr="008B264B">
        <w:rPr>
          <w:rFonts w:ascii="Times New Roman" w:eastAsia="Times New Roman" w:hAnsi="Times New Roman" w:cs="Times New Roman"/>
          <w:color w:val="000000"/>
          <w:sz w:val="24"/>
          <w:szCs w:val="24"/>
          <w:lang/>
        </w:rPr>
        <w:t>Порядок надання відповідної інформації центральним органом виконавчої влади, що реалізує податкову та митну політику, та центральним органом виконавчої влади, що реалізує державну політику у сфері казначейського обслуговування бюджетних коштів, для її оприлюднення на офіційному веб-сайті центрального органу виконавчої влади, що забезпечує формування державної фінансової політики, встановлюється центральним органом виконавчої влади, що забезпечує формування державної фінансової політики.</w:t>
      </w:r>
    </w:p>
    <w:p w14:paraId="7584A6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8" w:name="n13062"/>
      <w:bookmarkEnd w:id="5998"/>
      <w:r w:rsidRPr="008B264B">
        <w:rPr>
          <w:rFonts w:ascii="Times New Roman" w:eastAsia="Times New Roman" w:hAnsi="Times New Roman" w:cs="Times New Roman"/>
          <w:i/>
          <w:iCs/>
          <w:color w:val="000000"/>
          <w:sz w:val="24"/>
          <w:szCs w:val="24"/>
          <w:lang/>
        </w:rPr>
        <w:t>{Пункт 200.7 статті 200 доповнено підпунктом 200.7.3 згідно із Законами </w:t>
      </w:r>
      <w:hyperlink r:id="rId3268" w:anchor="n20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269" w:anchor="n11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CEFB4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5999" w:name="n5000"/>
      <w:bookmarkEnd w:id="5999"/>
      <w:r w:rsidRPr="008B264B">
        <w:rPr>
          <w:rFonts w:ascii="Times New Roman" w:eastAsia="Times New Roman" w:hAnsi="Times New Roman" w:cs="Times New Roman"/>
          <w:color w:val="000000"/>
          <w:sz w:val="24"/>
          <w:szCs w:val="24"/>
          <w:lang/>
        </w:rPr>
        <w:t>200.8. До податкової декларації або уточнюючих розрахунків (в разі їх подання) платником податків додаються розрахунок суми бюджетного відшкодування та оригінали митних декларацій. У разі якщо митне оформлення товарів, вивезених за межі митної території України, здійснювалося з використанням електронної митної декларації, така електронна митна декларація надається контролюючим органом за місцем митного оформлення контролюючому органу за місцем обліку такого платника податків в порядку, затвердженому центральним органом виконавчої влади, що забезпечує формування та реалізує державну фінансову політику, в електронній формі з дотриманням умови щодо реєстрації кваліфікованого електронного підпису відповідно до закону.</w:t>
      </w:r>
    </w:p>
    <w:p w14:paraId="12DC18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0" w:name="n5001"/>
      <w:bookmarkEnd w:id="6000"/>
      <w:r w:rsidRPr="008B264B">
        <w:rPr>
          <w:rFonts w:ascii="Times New Roman" w:eastAsia="Times New Roman" w:hAnsi="Times New Roman" w:cs="Times New Roman"/>
          <w:i/>
          <w:iCs/>
          <w:color w:val="000000"/>
          <w:sz w:val="24"/>
          <w:szCs w:val="24"/>
          <w:lang/>
        </w:rPr>
        <w:t>{Пункт 200.8 статті 200 в редакції Закону </w:t>
      </w:r>
      <w:hyperlink r:id="rId3270" w:anchor="n88"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271" w:anchor="n174"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327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3273" w:anchor="n39"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20B1C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1" w:name="n5002"/>
      <w:bookmarkEnd w:id="6001"/>
      <w:r w:rsidRPr="008B264B">
        <w:rPr>
          <w:rFonts w:ascii="Times New Roman" w:eastAsia="Times New Roman" w:hAnsi="Times New Roman" w:cs="Times New Roman"/>
          <w:color w:val="000000"/>
          <w:sz w:val="24"/>
          <w:szCs w:val="24"/>
          <w:lang/>
        </w:rPr>
        <w:t>200.9. Форма заяви про відшкодування та форма розрахунку суми бюджетного відшкодування визначаються центральним органом виконавчої влади, що забезпечує формування державної фінансової політики.</w:t>
      </w:r>
    </w:p>
    <w:p w14:paraId="5EE522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2" w:name="n12764"/>
      <w:bookmarkEnd w:id="6002"/>
      <w:r w:rsidRPr="008B264B">
        <w:rPr>
          <w:rFonts w:ascii="Times New Roman" w:eastAsia="Times New Roman" w:hAnsi="Times New Roman" w:cs="Times New Roman"/>
          <w:i/>
          <w:iCs/>
          <w:color w:val="000000"/>
          <w:sz w:val="24"/>
          <w:szCs w:val="24"/>
          <w:lang/>
        </w:rPr>
        <w:t>{Пункт 200.9 статті 200 із змінами, внесеними згідно із Законами </w:t>
      </w:r>
      <w:hyperlink r:id="rId3274" w:anchor="n22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275"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774C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3" w:name="n10327"/>
      <w:bookmarkEnd w:id="6003"/>
      <w:r w:rsidRPr="008B264B">
        <w:rPr>
          <w:rFonts w:ascii="Times New Roman" w:eastAsia="Times New Roman" w:hAnsi="Times New Roman" w:cs="Times New Roman"/>
          <w:color w:val="000000"/>
          <w:sz w:val="24"/>
          <w:szCs w:val="24"/>
          <w:lang/>
        </w:rPr>
        <w:t>200.10. У строк, передбачений абзацом першим пункту 76.3 статті 76 цього Кодексу, контролюючий орган проводить камеральну перевірку даних </w:t>
      </w:r>
      <w:hyperlink r:id="rId3276"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або уточнюючих розрахунків (в разі їх подання).</w:t>
      </w:r>
    </w:p>
    <w:p w14:paraId="56CD30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4" w:name="n12766"/>
      <w:bookmarkEnd w:id="6004"/>
      <w:r w:rsidRPr="008B264B">
        <w:rPr>
          <w:rFonts w:ascii="Times New Roman" w:eastAsia="Times New Roman" w:hAnsi="Times New Roman" w:cs="Times New Roman"/>
          <w:color w:val="000000"/>
          <w:sz w:val="24"/>
          <w:szCs w:val="24"/>
          <w:lang/>
        </w:rPr>
        <w:t>Платники податку, які мають право на бюджетне відшкодування відповідно до цієї статті та подали заяву про повернення суми бюджетного відшкодування, отримують таке бюджетне відшкодування в разі узгодження контролюючим органом заявленої суми бюджетного відшкодування за результатами камеральної перевірки, а у випадках, визначених пунктом 200.11 цієї статті, - за результатами перевірки, зазначеної у такому пункті, що проводяться відповідно до цього Кодексу.</w:t>
      </w:r>
    </w:p>
    <w:p w14:paraId="18C4B3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5" w:name="n14227"/>
      <w:bookmarkEnd w:id="6005"/>
      <w:r w:rsidRPr="008B264B">
        <w:rPr>
          <w:rFonts w:ascii="Times New Roman" w:eastAsia="Times New Roman" w:hAnsi="Times New Roman" w:cs="Times New Roman"/>
          <w:i/>
          <w:iCs/>
          <w:color w:val="000000"/>
          <w:sz w:val="24"/>
          <w:szCs w:val="24"/>
          <w:lang/>
        </w:rPr>
        <w:t>{Пункт 200.10 статті 200 із змінами, внесеними згідно із Законом </w:t>
      </w:r>
      <w:hyperlink r:id="rId3277" w:anchor="n22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278" w:anchor="n11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2CE8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6" w:name="n10328"/>
      <w:bookmarkEnd w:id="6006"/>
      <w:r w:rsidRPr="008B264B">
        <w:rPr>
          <w:rFonts w:ascii="Times New Roman" w:eastAsia="Times New Roman" w:hAnsi="Times New Roman" w:cs="Times New Roman"/>
          <w:i/>
          <w:iCs/>
          <w:color w:val="000000"/>
          <w:sz w:val="24"/>
          <w:szCs w:val="24"/>
          <w:lang/>
        </w:rPr>
        <w:lastRenderedPageBreak/>
        <w:t>{Дія пункту 200.11 статті 200 призупиняється з 1 липня 2015 року до 1 січня 2017 року - див. </w:t>
      </w:r>
      <w:hyperlink r:id="rId3279" w:anchor="n12129" w:history="1">
        <w:r w:rsidRPr="008B264B">
          <w:rPr>
            <w:rFonts w:ascii="Times New Roman" w:eastAsia="Times New Roman" w:hAnsi="Times New Roman" w:cs="Times New Roman"/>
            <w:i/>
            <w:iCs/>
            <w:color w:val="0000FF"/>
            <w:sz w:val="24"/>
            <w:szCs w:val="24"/>
            <w:u w:val="single"/>
            <w:lang/>
          </w:rPr>
          <w:t>пункт 37</w:t>
        </w:r>
      </w:hyperlink>
      <w:r w:rsidRPr="008B264B">
        <w:rPr>
          <w:rFonts w:ascii="Times New Roman" w:eastAsia="Times New Roman" w:hAnsi="Times New Roman" w:cs="Times New Roman"/>
          <w:i/>
          <w:iCs/>
          <w:color w:val="000000"/>
          <w:sz w:val="24"/>
          <w:szCs w:val="24"/>
          <w:lang/>
        </w:rPr>
        <w:t> підрозділу 2 розділу XX цього Кодексу} </w:t>
      </w:r>
      <w:r w:rsidRPr="008B264B">
        <w:rPr>
          <w:rFonts w:ascii="Times New Roman" w:eastAsia="Times New Roman" w:hAnsi="Times New Roman" w:cs="Times New Roman"/>
          <w:color w:val="000000"/>
          <w:sz w:val="24"/>
          <w:szCs w:val="24"/>
          <w:lang/>
        </w:rPr>
        <w:t>200.11. Контролюючий орган має право протягом 60 календарних днів, що настають за граничним строком подання </w:t>
      </w:r>
      <w:hyperlink r:id="rId3280" w:anchor="n21"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а в разі якщо така податкова декларація надана після закінчення граничного строку - за днем її фактичного подання провести документальну перевірку платника податку в разі, якщо розрахунок суми бюджетного відшкодування було зроблено за рахунок від’ємного значення, сформованого за операціями:</w:t>
      </w:r>
    </w:p>
    <w:p w14:paraId="4ECE56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7" w:name="n13330"/>
      <w:bookmarkEnd w:id="6007"/>
      <w:r w:rsidRPr="008B264B">
        <w:rPr>
          <w:rFonts w:ascii="Times New Roman" w:eastAsia="Times New Roman" w:hAnsi="Times New Roman" w:cs="Times New Roman"/>
          <w:i/>
          <w:iCs/>
          <w:color w:val="000000"/>
          <w:sz w:val="24"/>
          <w:szCs w:val="24"/>
          <w:lang/>
        </w:rPr>
        <w:t>{Абзац перший пункту 200.11 статті 200 із змінами, внесеними згідно із Законом </w:t>
      </w:r>
      <w:hyperlink r:id="rId3281" w:anchor="n2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CEC31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8" w:name="n12770"/>
      <w:bookmarkEnd w:id="6008"/>
      <w:r w:rsidRPr="008B264B">
        <w:rPr>
          <w:rFonts w:ascii="Times New Roman" w:eastAsia="Times New Roman" w:hAnsi="Times New Roman" w:cs="Times New Roman"/>
          <w:color w:val="000000"/>
          <w:sz w:val="24"/>
          <w:szCs w:val="24"/>
          <w:lang/>
        </w:rPr>
        <w:t>за періоди до 1 липня 2015 року, що не підтверджені документальними перевірками;</w:t>
      </w:r>
    </w:p>
    <w:p w14:paraId="6C278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09" w:name="n12771"/>
      <w:bookmarkEnd w:id="6009"/>
      <w:r w:rsidRPr="008B264B">
        <w:rPr>
          <w:rFonts w:ascii="Times New Roman" w:eastAsia="Times New Roman" w:hAnsi="Times New Roman" w:cs="Times New Roman"/>
          <w:color w:val="000000"/>
          <w:sz w:val="24"/>
          <w:szCs w:val="24"/>
          <w:lang/>
        </w:rPr>
        <w:t>з придбання товарів/послуг за період до 1 січня 2017 року у платників податку, що використовували спеціальний режим оподаткування, визначений відповідно до статті 209 цього Кодексу.</w:t>
      </w:r>
    </w:p>
    <w:p w14:paraId="42C881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0" w:name="n13331"/>
      <w:bookmarkEnd w:id="6010"/>
      <w:r w:rsidRPr="008B264B">
        <w:rPr>
          <w:rFonts w:ascii="Times New Roman" w:eastAsia="Times New Roman" w:hAnsi="Times New Roman" w:cs="Times New Roman"/>
          <w:i/>
          <w:iCs/>
          <w:color w:val="000000"/>
          <w:sz w:val="24"/>
          <w:szCs w:val="24"/>
          <w:lang/>
        </w:rPr>
        <w:t>{Абзац третій пункту 200.11 статті 200 в редакції Закону </w:t>
      </w:r>
      <w:hyperlink r:id="rId3282" w:anchor="n3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11994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1" w:name="n13333"/>
      <w:bookmarkEnd w:id="6011"/>
      <w:r w:rsidRPr="008B264B">
        <w:rPr>
          <w:rFonts w:ascii="Times New Roman" w:eastAsia="Times New Roman" w:hAnsi="Times New Roman" w:cs="Times New Roman"/>
          <w:color w:val="000000"/>
          <w:sz w:val="24"/>
          <w:szCs w:val="24"/>
          <w:lang/>
        </w:rPr>
        <w:t>Рішення про проведення документальної перевірки має бути прийнято не пізніше закінчення граничного строку проведення камеральної перевірки.</w:t>
      </w:r>
    </w:p>
    <w:p w14:paraId="6D704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2" w:name="n13332"/>
      <w:bookmarkEnd w:id="6012"/>
      <w:r w:rsidRPr="008B264B">
        <w:rPr>
          <w:rFonts w:ascii="Times New Roman" w:eastAsia="Times New Roman" w:hAnsi="Times New Roman" w:cs="Times New Roman"/>
          <w:i/>
          <w:iCs/>
          <w:color w:val="000000"/>
          <w:sz w:val="24"/>
          <w:szCs w:val="24"/>
          <w:lang/>
        </w:rPr>
        <w:t>{Пункт 200.11 статті 200 доповнено абзацом четвертим згідно із Законом </w:t>
      </w:r>
      <w:hyperlink r:id="rId3283" w:anchor="n3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70AD7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3" w:name="n12769"/>
      <w:bookmarkEnd w:id="6013"/>
      <w:r w:rsidRPr="008B264B">
        <w:rPr>
          <w:rFonts w:ascii="Times New Roman" w:eastAsia="Times New Roman" w:hAnsi="Times New Roman" w:cs="Times New Roman"/>
          <w:i/>
          <w:iCs/>
          <w:color w:val="000000"/>
          <w:sz w:val="24"/>
          <w:szCs w:val="24"/>
          <w:lang/>
        </w:rPr>
        <w:t>{Пункт 200.11 статті 200 в редакції Закону </w:t>
      </w:r>
      <w:hyperlink r:id="rId3284" w:anchor="n23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5F2F6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4" w:name="n10330"/>
      <w:bookmarkEnd w:id="6014"/>
      <w:r w:rsidRPr="008B264B">
        <w:rPr>
          <w:rFonts w:ascii="Times New Roman" w:eastAsia="Times New Roman" w:hAnsi="Times New Roman" w:cs="Times New Roman"/>
          <w:color w:val="000000"/>
          <w:sz w:val="24"/>
          <w:szCs w:val="24"/>
          <w:lang/>
        </w:rPr>
        <w:t>200.12. Зазначена у заяві сума бюджетного відшкодування вважається узгодженою в Реєстрі заяв про повернення суми бюджетного відшкодування з однієї із таких дат:</w:t>
      </w:r>
    </w:p>
    <w:p w14:paraId="14DDB5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5" w:name="n14228"/>
      <w:bookmarkEnd w:id="6015"/>
      <w:r w:rsidRPr="008B264B">
        <w:rPr>
          <w:rFonts w:ascii="Times New Roman" w:eastAsia="Times New Roman" w:hAnsi="Times New Roman" w:cs="Times New Roman"/>
          <w:i/>
          <w:iCs/>
          <w:color w:val="000000"/>
          <w:sz w:val="24"/>
          <w:szCs w:val="24"/>
          <w:lang/>
        </w:rPr>
        <w:t>{Абзац перший пункту 200.12 статті 200 в редакції Закону </w:t>
      </w:r>
      <w:hyperlink r:id="rId3285"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7903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6" w:name="n12773"/>
      <w:bookmarkEnd w:id="6016"/>
      <w:r w:rsidRPr="008B264B">
        <w:rPr>
          <w:rFonts w:ascii="Times New Roman" w:eastAsia="Times New Roman" w:hAnsi="Times New Roman" w:cs="Times New Roman"/>
          <w:color w:val="000000"/>
          <w:sz w:val="24"/>
          <w:szCs w:val="24"/>
          <w:lang/>
        </w:rPr>
        <w:t>а) з дня, наступного за днем закінчення граничного строку проведення перевірки, в разі, якщо контролюючим органом внесені до Реєстру заяв про повернення суми бюджетного відшкодування відомості про відсутність порушень під час такої перевірки;</w:t>
      </w:r>
    </w:p>
    <w:p w14:paraId="759798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7" w:name="n14229"/>
      <w:bookmarkEnd w:id="6017"/>
      <w:r w:rsidRPr="008B264B">
        <w:rPr>
          <w:rFonts w:ascii="Times New Roman" w:eastAsia="Times New Roman" w:hAnsi="Times New Roman" w:cs="Times New Roman"/>
          <w:i/>
          <w:iCs/>
          <w:color w:val="000000"/>
          <w:sz w:val="24"/>
          <w:szCs w:val="24"/>
          <w:lang/>
        </w:rPr>
        <w:t>{Абзац другий пункту 200.12 статті 200 в редакції Закону </w:t>
      </w:r>
      <w:hyperlink r:id="rId3286"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3D08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8" w:name="n12774"/>
      <w:bookmarkEnd w:id="6018"/>
      <w:r w:rsidRPr="008B264B">
        <w:rPr>
          <w:rFonts w:ascii="Times New Roman" w:eastAsia="Times New Roman" w:hAnsi="Times New Roman" w:cs="Times New Roman"/>
          <w:color w:val="000000"/>
          <w:sz w:val="24"/>
          <w:szCs w:val="24"/>
          <w:lang/>
        </w:rPr>
        <w:t>б) з дня, наступного за днем закінчення граничного строку проведення камеральної перевірки, в разі, якщо контролюючим органом не внесені до Реєстру заяв про повернення суми бюджетного відшкодування відомості про дату початку та закінчення проведення перевірки даних, зазначених у </w:t>
      </w:r>
      <w:hyperlink r:id="rId3287" w:anchor="n20" w:tgtFrame="_blank" w:history="1">
        <w:r w:rsidRPr="008B264B">
          <w:rPr>
            <w:rFonts w:ascii="Times New Roman" w:eastAsia="Times New Roman" w:hAnsi="Times New Roman" w:cs="Times New Roman"/>
            <w:color w:val="0000FF"/>
            <w:sz w:val="24"/>
            <w:szCs w:val="24"/>
            <w:u w:val="single"/>
            <w:lang/>
          </w:rPr>
          <w:t>податковій декларації</w:t>
        </w:r>
      </w:hyperlink>
      <w:r w:rsidRPr="008B264B">
        <w:rPr>
          <w:rFonts w:ascii="Times New Roman" w:eastAsia="Times New Roman" w:hAnsi="Times New Roman" w:cs="Times New Roman"/>
          <w:color w:val="000000"/>
          <w:sz w:val="24"/>
          <w:szCs w:val="24"/>
          <w:lang/>
        </w:rPr>
        <w:t> або уточнюючому розрахунку, з обов’язковою відміткою щодо виду перевірки (камеральна, документальна);</w:t>
      </w:r>
    </w:p>
    <w:p w14:paraId="0218B4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19" w:name="n14230"/>
      <w:bookmarkEnd w:id="6019"/>
      <w:r w:rsidRPr="008B264B">
        <w:rPr>
          <w:rFonts w:ascii="Times New Roman" w:eastAsia="Times New Roman" w:hAnsi="Times New Roman" w:cs="Times New Roman"/>
          <w:i/>
          <w:iCs/>
          <w:color w:val="000000"/>
          <w:sz w:val="24"/>
          <w:szCs w:val="24"/>
          <w:lang/>
        </w:rPr>
        <w:t>{Абзац третій пункту 200.12 статті 200 в редакції Закону </w:t>
      </w:r>
      <w:hyperlink r:id="rId3288"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8D1C0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0" w:name="n14232"/>
      <w:bookmarkEnd w:id="6020"/>
      <w:r w:rsidRPr="008B264B">
        <w:rPr>
          <w:rFonts w:ascii="Times New Roman" w:eastAsia="Times New Roman" w:hAnsi="Times New Roman" w:cs="Times New Roman"/>
          <w:color w:val="000000"/>
          <w:sz w:val="24"/>
          <w:szCs w:val="24"/>
          <w:lang/>
        </w:rPr>
        <w:t>в) з дня, наступного за днем закінчення граничного строку, передбаченого цим Кодексом для складення акта перевірки, в разі, якщо контролюючим органом не внесені до Реєстру заяв про повернення суми бюджетного відшкодування відомості про дату складення акта перевірки;</w:t>
      </w:r>
    </w:p>
    <w:p w14:paraId="71D7E5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1" w:name="n14242"/>
      <w:bookmarkEnd w:id="6021"/>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89"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9746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2" w:name="n14233"/>
      <w:bookmarkEnd w:id="6022"/>
      <w:r w:rsidRPr="008B264B">
        <w:rPr>
          <w:rFonts w:ascii="Times New Roman" w:eastAsia="Times New Roman" w:hAnsi="Times New Roman" w:cs="Times New Roman"/>
          <w:color w:val="000000"/>
          <w:sz w:val="24"/>
          <w:szCs w:val="24"/>
          <w:lang/>
        </w:rPr>
        <w:t>г) з дня, наступного за днем закінчення граничного строку, передбаченого цим Кодексом для надсилання (вручення) податкового повідомлення-рішення, в разі, якщо контролюючим органом не внесені до Реєстру заяв про повернення суми бюджетного відшкодування відомості про дату та номер податкового повідомлення-рішення;</w:t>
      </w:r>
    </w:p>
    <w:p w14:paraId="006BE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3" w:name="n14241"/>
      <w:bookmarkEnd w:id="6023"/>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90"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C12F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4" w:name="n14234"/>
      <w:bookmarkEnd w:id="6024"/>
      <w:r w:rsidRPr="008B264B">
        <w:rPr>
          <w:rFonts w:ascii="Times New Roman" w:eastAsia="Times New Roman" w:hAnsi="Times New Roman" w:cs="Times New Roman"/>
          <w:color w:val="000000"/>
          <w:sz w:val="24"/>
          <w:szCs w:val="24"/>
          <w:lang/>
        </w:rPr>
        <w:t>ґ) з дня визнання протиправним та/або скасування податкового повідомлення-рішення.</w:t>
      </w:r>
    </w:p>
    <w:p w14:paraId="1F59E8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5" w:name="n14240"/>
      <w:bookmarkEnd w:id="6025"/>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91"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740D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6" w:name="n14235"/>
      <w:bookmarkEnd w:id="6026"/>
      <w:r w:rsidRPr="008B264B">
        <w:rPr>
          <w:rFonts w:ascii="Times New Roman" w:eastAsia="Times New Roman" w:hAnsi="Times New Roman" w:cs="Times New Roman"/>
          <w:color w:val="000000"/>
          <w:sz w:val="24"/>
          <w:szCs w:val="24"/>
          <w:lang/>
        </w:rPr>
        <w:lastRenderedPageBreak/>
        <w:t>У випадках, передбачених підпунктами "б" і "в" цього пункту, інформація про узгодженість бюджетного відшкодування та його суму відображається в Реєстрі заяв про повернення суми бюджетного відшкодування в автоматичному режимі на наступний робочий день після виникнення такого випадку.</w:t>
      </w:r>
    </w:p>
    <w:p w14:paraId="6D7E0E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7" w:name="n14239"/>
      <w:bookmarkEnd w:id="6027"/>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92"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F2D7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8" w:name="n14236"/>
      <w:bookmarkEnd w:id="6028"/>
      <w:r w:rsidRPr="008B264B">
        <w:rPr>
          <w:rFonts w:ascii="Times New Roman" w:eastAsia="Times New Roman" w:hAnsi="Times New Roman" w:cs="Times New Roman"/>
          <w:color w:val="000000"/>
          <w:sz w:val="24"/>
          <w:szCs w:val="24"/>
          <w:lang/>
        </w:rPr>
        <w:t>У випадках, передбачених підпунктами "а", "г" і "ґ" цього пункту, інформація про узгодженість бюджетного відшкодування та його суму відображається в Реєстрі заяв про повернення суми бюджетного відшкодування контролюючим органом на наступний робочий день після виникнення такого випадку.</w:t>
      </w:r>
    </w:p>
    <w:p w14:paraId="5A2FD2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29" w:name="n14238"/>
      <w:bookmarkEnd w:id="6029"/>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93"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7B02E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0" w:name="n14237"/>
      <w:bookmarkEnd w:id="6030"/>
      <w:r w:rsidRPr="008B264B">
        <w:rPr>
          <w:rFonts w:ascii="Times New Roman" w:eastAsia="Times New Roman" w:hAnsi="Times New Roman" w:cs="Times New Roman"/>
          <w:color w:val="000000"/>
          <w:sz w:val="24"/>
          <w:szCs w:val="24"/>
          <w:lang/>
        </w:rPr>
        <w:t>Узгоджена сума бюджетного відшкодування стає доступною органу, що здійснює казначейське обслуговування бюджетних коштів, для виконання на наступний операційний день за днем її відображення в Реєстрі заяв про повернення суми бюджетного відшкодування та перераховується органом, що здійснює казначейське обслуговування бюджетних коштів, у строки, передбачені пунктом 200.13 цієї статті, на поточний банківський рахунок платника податку в обслуговуючому банку та/або на бюджетні рахунки для перерахування у рахунок сплати грошових зобов’язань або погашення податкового боргу такого платника податку з інших платежів, що сплачуються до Державного бюджету України".</w:t>
      </w:r>
    </w:p>
    <w:p w14:paraId="3D06E1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1" w:name="n14231"/>
      <w:bookmarkEnd w:id="6031"/>
      <w:r w:rsidRPr="008B264B">
        <w:rPr>
          <w:rFonts w:ascii="Times New Roman" w:eastAsia="Times New Roman" w:hAnsi="Times New Roman" w:cs="Times New Roman"/>
          <w:i/>
          <w:iCs/>
          <w:color w:val="000000"/>
          <w:sz w:val="24"/>
          <w:szCs w:val="24"/>
          <w:lang/>
        </w:rPr>
        <w:t>{Абзац пункту 200.12 статті 200 в редакції Закону </w:t>
      </w:r>
      <w:hyperlink r:id="rId3294" w:anchor="n11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BF454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2" w:name="n12775"/>
      <w:bookmarkEnd w:id="6032"/>
      <w:r w:rsidRPr="008B264B">
        <w:rPr>
          <w:rFonts w:ascii="Times New Roman" w:eastAsia="Times New Roman" w:hAnsi="Times New Roman" w:cs="Times New Roman"/>
          <w:color w:val="000000"/>
          <w:sz w:val="24"/>
          <w:szCs w:val="24"/>
          <w:lang/>
        </w:rPr>
        <w:t>У разі наявності у платника податку податкового боргу бюджетному відшкодуванню підлягає заявлена сума податку, зменшена на суму такого податкового боргу.</w:t>
      </w:r>
    </w:p>
    <w:p w14:paraId="7749C7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3" w:name="n12776"/>
      <w:bookmarkEnd w:id="6033"/>
      <w:r w:rsidRPr="008B264B">
        <w:rPr>
          <w:rFonts w:ascii="Times New Roman" w:eastAsia="Times New Roman" w:hAnsi="Times New Roman" w:cs="Times New Roman"/>
          <w:color w:val="000000"/>
          <w:sz w:val="24"/>
          <w:szCs w:val="24"/>
          <w:lang/>
        </w:rPr>
        <w:t>У разі виникнення у платника податку необхідності зміни напряму узгодженого бюджетного відшкодування, такий платник податку має право подати відповідну заяву до контролюючого органу, який не пізніше наступного робочого дня з дня отримання такої заяви зобов’язаний внести відповідні дані до Реєстру заяв про повернення суми бюджетного відшкодування.</w:t>
      </w:r>
    </w:p>
    <w:p w14:paraId="64708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4" w:name="n14243"/>
      <w:bookmarkEnd w:id="6034"/>
      <w:r w:rsidRPr="008B264B">
        <w:rPr>
          <w:rFonts w:ascii="Times New Roman" w:eastAsia="Times New Roman" w:hAnsi="Times New Roman" w:cs="Times New Roman"/>
          <w:i/>
          <w:iCs/>
          <w:color w:val="000000"/>
          <w:sz w:val="24"/>
          <w:szCs w:val="24"/>
          <w:lang/>
        </w:rPr>
        <w:t>{Абзац одинадцятий пункту 200.12 статті 200 із змінами, внесеними згідно із Законом </w:t>
      </w:r>
      <w:hyperlink r:id="rId3295" w:anchor="n11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44BA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5" w:name="n12772"/>
      <w:bookmarkEnd w:id="6035"/>
      <w:r w:rsidRPr="008B264B">
        <w:rPr>
          <w:rFonts w:ascii="Times New Roman" w:eastAsia="Times New Roman" w:hAnsi="Times New Roman" w:cs="Times New Roman"/>
          <w:i/>
          <w:iCs/>
          <w:color w:val="000000"/>
          <w:sz w:val="24"/>
          <w:szCs w:val="24"/>
          <w:lang/>
        </w:rPr>
        <w:t>{Пункт 200.12 статті 200 в редакції Закону </w:t>
      </w:r>
      <w:hyperlink r:id="rId3296" w:anchor="n23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3BBBF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6" w:name="n10331"/>
      <w:bookmarkEnd w:id="6036"/>
      <w:r w:rsidRPr="008B264B">
        <w:rPr>
          <w:rFonts w:ascii="Times New Roman" w:eastAsia="Times New Roman" w:hAnsi="Times New Roman" w:cs="Times New Roman"/>
          <w:color w:val="000000"/>
          <w:sz w:val="24"/>
          <w:szCs w:val="24"/>
          <w:lang/>
        </w:rPr>
        <w:t>200.13. На підставі даних Реєстру заяв про повернення суми бюджетного відшкодування орган, що здійснює казначейське обслуговування бюджетних коштів, після дня набуття статусу узгодженої суми бюджетного відшкодування перераховує таку суму з бюджетного рахунка на поточний банківський рахунок платника податку в обслуговуючому банку та/або на бюджетні рахунки для перерахування у рахунок сплати грошових зобов’язань або погашення податкового боргу такого платника податку з інших платежів, що сплачуються до державного бюджету, протягом п’яти операційних днів.</w:t>
      </w:r>
    </w:p>
    <w:p w14:paraId="54B4DE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7" w:name="n10332"/>
      <w:bookmarkEnd w:id="6037"/>
      <w:r w:rsidRPr="008B264B">
        <w:rPr>
          <w:rFonts w:ascii="Times New Roman" w:eastAsia="Times New Roman" w:hAnsi="Times New Roman" w:cs="Times New Roman"/>
          <w:i/>
          <w:iCs/>
          <w:color w:val="000000"/>
          <w:sz w:val="24"/>
          <w:szCs w:val="24"/>
          <w:lang/>
        </w:rPr>
        <w:t>{Пункт 200.13 статті 200 в редакції Законів </w:t>
      </w:r>
      <w:hyperlink r:id="rId3297"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w:t>
      </w:r>
      <w:hyperlink r:id="rId3298" w:anchor="n8" w:tgtFrame="_blank" w:history="1">
        <w:r w:rsidRPr="008B264B">
          <w:rPr>
            <w:rFonts w:ascii="Times New Roman" w:eastAsia="Times New Roman" w:hAnsi="Times New Roman" w:cs="Times New Roman"/>
            <w:i/>
            <w:iCs/>
            <w:color w:val="0000FF"/>
            <w:sz w:val="24"/>
            <w:szCs w:val="24"/>
            <w:u w:val="single"/>
            <w:lang/>
          </w:rPr>
          <w:t>№ 407-VII від 04.07.2013</w:t>
        </w:r>
      </w:hyperlink>
      <w:r w:rsidRPr="008B264B">
        <w:rPr>
          <w:rFonts w:ascii="Times New Roman" w:eastAsia="Times New Roman" w:hAnsi="Times New Roman" w:cs="Times New Roman"/>
          <w:i/>
          <w:iCs/>
          <w:color w:val="000000"/>
          <w:sz w:val="24"/>
          <w:szCs w:val="24"/>
          <w:lang/>
        </w:rPr>
        <w:t>, </w:t>
      </w:r>
      <w:hyperlink r:id="rId3299" w:anchor="n11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9B5D9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8" w:name="n5009"/>
      <w:bookmarkEnd w:id="6038"/>
      <w:r w:rsidRPr="008B264B">
        <w:rPr>
          <w:rFonts w:ascii="Times New Roman" w:eastAsia="Times New Roman" w:hAnsi="Times New Roman" w:cs="Times New Roman"/>
          <w:i/>
          <w:iCs/>
          <w:color w:val="000000"/>
          <w:sz w:val="24"/>
          <w:szCs w:val="24"/>
          <w:lang/>
        </w:rPr>
        <w:t>{Дія пункту 200.14 статті 200 призупиняється з 1 липня 2015 року до 1 січня 2017 року в частині проведення документальних позапланових виїзних перевірок - див. </w:t>
      </w:r>
      <w:hyperlink r:id="rId3300" w:anchor="n12129" w:history="1">
        <w:r w:rsidRPr="008B264B">
          <w:rPr>
            <w:rFonts w:ascii="Times New Roman" w:eastAsia="Times New Roman" w:hAnsi="Times New Roman" w:cs="Times New Roman"/>
            <w:i/>
            <w:iCs/>
            <w:color w:val="0000FF"/>
            <w:sz w:val="24"/>
            <w:szCs w:val="24"/>
            <w:u w:val="single"/>
            <w:lang/>
          </w:rPr>
          <w:t>пункт 37</w:t>
        </w:r>
      </w:hyperlink>
      <w:r w:rsidRPr="008B264B">
        <w:rPr>
          <w:rFonts w:ascii="Times New Roman" w:eastAsia="Times New Roman" w:hAnsi="Times New Roman" w:cs="Times New Roman"/>
          <w:i/>
          <w:iCs/>
          <w:color w:val="000000"/>
          <w:sz w:val="24"/>
          <w:szCs w:val="24"/>
          <w:lang/>
        </w:rPr>
        <w:t> підрозділу 2 розділу XX цього Кодексу} </w:t>
      </w:r>
      <w:r w:rsidRPr="008B264B">
        <w:rPr>
          <w:rFonts w:ascii="Times New Roman" w:eastAsia="Times New Roman" w:hAnsi="Times New Roman" w:cs="Times New Roman"/>
          <w:color w:val="000000"/>
          <w:sz w:val="24"/>
          <w:szCs w:val="24"/>
          <w:lang/>
        </w:rPr>
        <w:t>200.14. Якщо за результатами камеральної або документальної перевірки, контролюючий орган виявляє невідповідність суми бюджетного відшкодування сумі, заявленій у податковій декларації, то такий орган:</w:t>
      </w:r>
    </w:p>
    <w:p w14:paraId="105B72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39" w:name="n12777"/>
      <w:bookmarkEnd w:id="6039"/>
      <w:r w:rsidRPr="008B264B">
        <w:rPr>
          <w:rFonts w:ascii="Times New Roman" w:eastAsia="Times New Roman" w:hAnsi="Times New Roman" w:cs="Times New Roman"/>
          <w:i/>
          <w:iCs/>
          <w:color w:val="000000"/>
          <w:sz w:val="24"/>
          <w:szCs w:val="24"/>
          <w:lang/>
        </w:rPr>
        <w:t>{Абзац перший пункту 200.14 статті 200 із змінами, внесеними згідно із Законами </w:t>
      </w:r>
      <w:hyperlink r:id="rId3301" w:anchor="n24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302" w:anchor="n11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F441F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0" w:name="n5010"/>
      <w:bookmarkEnd w:id="6040"/>
      <w:r w:rsidRPr="008B264B">
        <w:rPr>
          <w:rFonts w:ascii="Times New Roman" w:eastAsia="Times New Roman" w:hAnsi="Times New Roman" w:cs="Times New Roman"/>
          <w:i/>
          <w:iCs/>
          <w:color w:val="000000"/>
          <w:sz w:val="24"/>
          <w:szCs w:val="24"/>
          <w:lang/>
        </w:rPr>
        <w:t>{Абзац другий пункту 200.14 статті 200 виключено на підставі Закону </w:t>
      </w:r>
      <w:hyperlink r:id="rId3303" w:anchor="n11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36F74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1" w:name="n5011"/>
      <w:bookmarkEnd w:id="6041"/>
      <w:r w:rsidRPr="008B264B">
        <w:rPr>
          <w:rFonts w:ascii="Times New Roman" w:eastAsia="Times New Roman" w:hAnsi="Times New Roman" w:cs="Times New Roman"/>
          <w:color w:val="000000"/>
          <w:sz w:val="24"/>
          <w:szCs w:val="24"/>
          <w:lang/>
        </w:rPr>
        <w:lastRenderedPageBreak/>
        <w:t>б) у разі перевищення заявленої платником податку суми бюджетного відшкодування над сумою, визначеною контролюючим органом за результатами перевірок, надсилає платнику податку податкове повідомлення, в якому зазначаються сума такого перевищення та підстави для її вирахування;</w:t>
      </w:r>
    </w:p>
    <w:p w14:paraId="35DCD5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2" w:name="n5012"/>
      <w:bookmarkEnd w:id="6042"/>
      <w:r w:rsidRPr="008B264B">
        <w:rPr>
          <w:rFonts w:ascii="Times New Roman" w:eastAsia="Times New Roman" w:hAnsi="Times New Roman" w:cs="Times New Roman"/>
          <w:color w:val="000000"/>
          <w:sz w:val="24"/>
          <w:szCs w:val="24"/>
          <w:lang/>
        </w:rPr>
        <w:t>в) у разі з'ясування за результатами проведення перевірок факту, за яким платник податку не має права на отримання бюджетного відшкодування, надсилає платнику податку податкове повідомлення, в якому зазначаються підстави відмови в наданні бюджетного відшкодування.</w:t>
      </w:r>
    </w:p>
    <w:p w14:paraId="73F4FE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3" w:name="n11288"/>
      <w:bookmarkEnd w:id="6043"/>
      <w:r w:rsidRPr="008B264B">
        <w:rPr>
          <w:rFonts w:ascii="Times New Roman" w:eastAsia="Times New Roman" w:hAnsi="Times New Roman" w:cs="Times New Roman"/>
          <w:i/>
          <w:iCs/>
          <w:color w:val="000000"/>
          <w:sz w:val="24"/>
          <w:szCs w:val="24"/>
          <w:lang/>
        </w:rPr>
        <w:t>{Пункт 200.14 статті 200 із змінами, внесеними згідно із Законом </w:t>
      </w:r>
      <w:hyperlink r:id="rId3304" w:anchor="n6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D1AC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4" w:name="n5013"/>
      <w:bookmarkEnd w:id="6044"/>
      <w:r w:rsidRPr="008B264B">
        <w:rPr>
          <w:rFonts w:ascii="Times New Roman" w:eastAsia="Times New Roman" w:hAnsi="Times New Roman" w:cs="Times New Roman"/>
          <w:color w:val="000000"/>
          <w:sz w:val="24"/>
          <w:szCs w:val="24"/>
          <w:lang/>
        </w:rPr>
        <w:t>200.15. У разі коли за результатами перевірки сум податку, заявлених до відшкодування, платник податку розпочинає процедуру адміністративного або судового оскарження, контролюючий орган не пізніше наступного робочого дня після отримання відповідного повідомлення від платника або ухвали суду про порушення провадження у справі зобов’язаний внести відповідні дані до Реєстру заяв про повернення суми бюджетного відшкодування.</w:t>
      </w:r>
    </w:p>
    <w:p w14:paraId="3ED3DC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5" w:name="n14244"/>
      <w:bookmarkEnd w:id="6045"/>
      <w:r w:rsidRPr="008B264B">
        <w:rPr>
          <w:rFonts w:ascii="Times New Roman" w:eastAsia="Times New Roman" w:hAnsi="Times New Roman" w:cs="Times New Roman"/>
          <w:i/>
          <w:iCs/>
          <w:color w:val="000000"/>
          <w:sz w:val="24"/>
          <w:szCs w:val="24"/>
          <w:lang/>
        </w:rPr>
        <w:t>{Абзац перший пункту 200.15 статті 200 в редакції Закону </w:t>
      </w:r>
      <w:hyperlink r:id="rId3305" w:anchor="n11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0BD3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6" w:name="n5014"/>
      <w:bookmarkEnd w:id="6046"/>
      <w:r w:rsidRPr="008B264B">
        <w:rPr>
          <w:rFonts w:ascii="Times New Roman" w:eastAsia="Times New Roman" w:hAnsi="Times New Roman" w:cs="Times New Roman"/>
          <w:color w:val="000000"/>
          <w:sz w:val="24"/>
          <w:szCs w:val="24"/>
          <w:lang/>
        </w:rPr>
        <w:t>Після закінчення процедури адміністративного оскарження або набрання законної сили рішенням суду контролюючий орган на наступний робочий день після отримання відповідного рішення зобов’язаний внести до Реєстру заяв про повернення суми бюджетного відшкодування дані щодо узгодженої суми бюджетного відшкодування платника.</w:t>
      </w:r>
    </w:p>
    <w:p w14:paraId="55FB1F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7" w:name="n14245"/>
      <w:bookmarkEnd w:id="6047"/>
      <w:r w:rsidRPr="008B264B">
        <w:rPr>
          <w:rFonts w:ascii="Times New Roman" w:eastAsia="Times New Roman" w:hAnsi="Times New Roman" w:cs="Times New Roman"/>
          <w:i/>
          <w:iCs/>
          <w:color w:val="000000"/>
          <w:sz w:val="24"/>
          <w:szCs w:val="24"/>
          <w:lang/>
        </w:rPr>
        <w:t>{Абзац другий пункту 200.15 статті 200 в редакції Закону </w:t>
      </w:r>
      <w:hyperlink r:id="rId3306" w:anchor="n11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F837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8" w:name="n12779"/>
      <w:bookmarkEnd w:id="6048"/>
      <w:r w:rsidRPr="008B264B">
        <w:rPr>
          <w:rFonts w:ascii="Times New Roman" w:eastAsia="Times New Roman" w:hAnsi="Times New Roman" w:cs="Times New Roman"/>
          <w:color w:val="000000"/>
          <w:sz w:val="24"/>
          <w:szCs w:val="24"/>
          <w:lang/>
        </w:rPr>
        <w:t>У разі неузгодження контролюючим органом суми податку, заявленої до відшкодування, або її частини зобов’язання з бюджетного відшкодування податку в частині неузгодженої суми виникає з дня закінчення процедури адміністративного або судового оскарження, за результатами якої прийнято рішення на користь платника податків.</w:t>
      </w:r>
    </w:p>
    <w:p w14:paraId="567FB4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49" w:name="n12778"/>
      <w:bookmarkEnd w:id="6049"/>
      <w:r w:rsidRPr="008B264B">
        <w:rPr>
          <w:rFonts w:ascii="Times New Roman" w:eastAsia="Times New Roman" w:hAnsi="Times New Roman" w:cs="Times New Roman"/>
          <w:i/>
          <w:iCs/>
          <w:color w:val="000000"/>
          <w:sz w:val="24"/>
          <w:szCs w:val="24"/>
          <w:lang/>
        </w:rPr>
        <w:t>{Пункт 200.15 статті 200 доповнено абзацом третім згідно із Законом </w:t>
      </w:r>
      <w:hyperlink r:id="rId3307" w:anchor="n24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C42B7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0" w:name="n5015"/>
      <w:bookmarkEnd w:id="6050"/>
      <w:r w:rsidRPr="008B264B">
        <w:rPr>
          <w:rFonts w:ascii="Times New Roman" w:eastAsia="Times New Roman" w:hAnsi="Times New Roman" w:cs="Times New Roman"/>
          <w:color w:val="000000"/>
          <w:sz w:val="24"/>
          <w:szCs w:val="24"/>
          <w:lang/>
        </w:rPr>
        <w:t>200.16. У разі якщо платник податку експортує товари за межі митної території України, отримані від іншого платника податку на умовах комісії, консигнації, доручення або інших видів договорів, які не передбачають переходу права власності на такі товари від такого іншого платника податку до експортера, право на отримання бюджетного відшкодування має такий інший платник податку. При цьому комісійна винагорода, отримана платником податку - експортером від такого іншого платника податку, включається до бази оподаткування за ставкою, визначеною </w:t>
      </w:r>
      <w:hyperlink r:id="rId3308" w:anchor="n4635" w:history="1">
        <w:r w:rsidRPr="008B264B">
          <w:rPr>
            <w:rFonts w:ascii="Times New Roman" w:eastAsia="Times New Roman" w:hAnsi="Times New Roman" w:cs="Times New Roman"/>
            <w:color w:val="0000FF"/>
            <w:sz w:val="24"/>
            <w:szCs w:val="24"/>
            <w:u w:val="single"/>
            <w:lang/>
          </w:rPr>
          <w:t>підпунктом "а" пункту 193.1</w:t>
        </w:r>
      </w:hyperlink>
      <w:r w:rsidRPr="008B264B">
        <w:rPr>
          <w:rFonts w:ascii="Times New Roman" w:eastAsia="Times New Roman" w:hAnsi="Times New Roman" w:cs="Times New Roman"/>
          <w:color w:val="000000"/>
          <w:sz w:val="24"/>
          <w:szCs w:val="24"/>
          <w:lang/>
        </w:rPr>
        <w:t> статті 193 цього Кодексу, та не включається до митної вартості товарів, які експортуються.</w:t>
      </w:r>
    </w:p>
    <w:p w14:paraId="26875A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1" w:name="n5016"/>
      <w:bookmarkEnd w:id="6051"/>
      <w:r w:rsidRPr="008B264B">
        <w:rPr>
          <w:rFonts w:ascii="Times New Roman" w:eastAsia="Times New Roman" w:hAnsi="Times New Roman" w:cs="Times New Roman"/>
          <w:i/>
          <w:iCs/>
          <w:color w:val="000000"/>
          <w:sz w:val="24"/>
          <w:szCs w:val="24"/>
          <w:lang/>
        </w:rPr>
        <w:t>{Пункт 200.16 статті 200 із змінами, внесеними згідно із Законом </w:t>
      </w:r>
      <w:hyperlink r:id="rId3309" w:anchor="n2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31A33F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2" w:name="n5017"/>
      <w:bookmarkEnd w:id="6052"/>
      <w:r w:rsidRPr="008B264B">
        <w:rPr>
          <w:rFonts w:ascii="Times New Roman" w:eastAsia="Times New Roman" w:hAnsi="Times New Roman" w:cs="Times New Roman"/>
          <w:color w:val="000000"/>
          <w:sz w:val="24"/>
          <w:szCs w:val="24"/>
          <w:lang/>
        </w:rPr>
        <w:t>200.17. Джерелом сплати бюджетного відшкодування (у тому числі заборгованості бюджету) є доходи бюджету, до якого сплачується податок</w:t>
      </w:r>
    </w:p>
    <w:p w14:paraId="5EBBE9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3" w:name="n9673"/>
      <w:bookmarkEnd w:id="6053"/>
      <w:r w:rsidRPr="008B264B">
        <w:rPr>
          <w:rFonts w:ascii="Times New Roman" w:eastAsia="Times New Roman" w:hAnsi="Times New Roman" w:cs="Times New Roman"/>
          <w:i/>
          <w:iCs/>
          <w:color w:val="000000"/>
          <w:sz w:val="24"/>
          <w:szCs w:val="24"/>
          <w:lang/>
        </w:rPr>
        <w:t>{Абзац перший пункту 200.17 статті 200 в редакції Закону </w:t>
      </w:r>
      <w:hyperlink r:id="rId3310" w:anchor="n69"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69F054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4" w:name="n5018"/>
      <w:bookmarkEnd w:id="6054"/>
      <w:r w:rsidRPr="008B264B">
        <w:rPr>
          <w:rFonts w:ascii="Times New Roman" w:eastAsia="Times New Roman" w:hAnsi="Times New Roman" w:cs="Times New Roman"/>
          <w:color w:val="000000"/>
          <w:sz w:val="24"/>
          <w:szCs w:val="24"/>
          <w:lang/>
        </w:rPr>
        <w:t>Забороняється обумовлювати або обмежувати виплату бюджетного відшкодування наявністю або відсутністю доходів, отриманих від цього податку в окремих регіонах України.</w:t>
      </w:r>
    </w:p>
    <w:p w14:paraId="43D85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5" w:name="n5019"/>
      <w:bookmarkEnd w:id="6055"/>
      <w:r w:rsidRPr="008B264B">
        <w:rPr>
          <w:rFonts w:ascii="Times New Roman" w:eastAsia="Times New Roman" w:hAnsi="Times New Roman" w:cs="Times New Roman"/>
          <w:i/>
          <w:iCs/>
          <w:color w:val="000000"/>
          <w:sz w:val="24"/>
          <w:szCs w:val="24"/>
          <w:lang/>
        </w:rPr>
        <w:t>{Пункт 200.18 статті 200 виключено на підставі Закону </w:t>
      </w:r>
      <w:hyperlink r:id="rId3311" w:anchor="n24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D8C5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6" w:name="n10375"/>
      <w:bookmarkEnd w:id="6056"/>
      <w:r w:rsidRPr="008B264B">
        <w:rPr>
          <w:rFonts w:ascii="Times New Roman" w:eastAsia="Times New Roman" w:hAnsi="Times New Roman" w:cs="Times New Roman"/>
          <w:i/>
          <w:iCs/>
          <w:color w:val="000000"/>
          <w:sz w:val="24"/>
          <w:szCs w:val="24"/>
          <w:lang/>
        </w:rPr>
        <w:t>{Пункт 200.19 статті 200 виключено на підставі Закону </w:t>
      </w:r>
      <w:hyperlink r:id="rId3312" w:anchor="n11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CE80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7" w:name="n5046"/>
      <w:bookmarkEnd w:id="6057"/>
      <w:r w:rsidRPr="008B264B">
        <w:rPr>
          <w:rFonts w:ascii="Times New Roman" w:eastAsia="Times New Roman" w:hAnsi="Times New Roman" w:cs="Times New Roman"/>
          <w:i/>
          <w:iCs/>
          <w:color w:val="000000"/>
          <w:sz w:val="24"/>
          <w:szCs w:val="24"/>
          <w:lang/>
        </w:rPr>
        <w:t>{Пункт 200.20 статті 200 виключено на підставі Закону </w:t>
      </w:r>
      <w:hyperlink r:id="rId3313" w:anchor="n11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CD22E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8" w:name="n5047"/>
      <w:bookmarkEnd w:id="6058"/>
      <w:r w:rsidRPr="008B264B">
        <w:rPr>
          <w:rFonts w:ascii="Times New Roman" w:eastAsia="Times New Roman" w:hAnsi="Times New Roman" w:cs="Times New Roman"/>
          <w:i/>
          <w:iCs/>
          <w:color w:val="000000"/>
          <w:sz w:val="24"/>
          <w:szCs w:val="24"/>
          <w:lang/>
        </w:rPr>
        <w:t>{Пункт 200.21 статті 200 виключено на підставі Закону </w:t>
      </w:r>
      <w:hyperlink r:id="rId3314" w:anchor="n11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63BB2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59" w:name="n10373"/>
      <w:bookmarkEnd w:id="6059"/>
      <w:r w:rsidRPr="008B264B">
        <w:rPr>
          <w:rFonts w:ascii="Times New Roman" w:eastAsia="Times New Roman" w:hAnsi="Times New Roman" w:cs="Times New Roman"/>
          <w:i/>
          <w:iCs/>
          <w:color w:val="000000"/>
          <w:sz w:val="24"/>
          <w:szCs w:val="24"/>
          <w:lang/>
        </w:rPr>
        <w:t>{Пункт 200.22 статті 200 виключено на підставі Закону </w:t>
      </w:r>
      <w:hyperlink r:id="rId3315" w:anchor="n6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4B40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0" w:name="n5051"/>
      <w:bookmarkEnd w:id="6060"/>
      <w:r w:rsidRPr="008B264B">
        <w:rPr>
          <w:rFonts w:ascii="Times New Roman" w:eastAsia="Times New Roman" w:hAnsi="Times New Roman" w:cs="Times New Roman"/>
          <w:color w:val="000000"/>
          <w:sz w:val="24"/>
          <w:szCs w:val="24"/>
          <w:lang/>
        </w:rPr>
        <w:lastRenderedPageBreak/>
        <w:t>200.23. Суми податку, не відшкодовані платникам протягом визначеного цією статтею строку, вважаються заборгованістю бюджету з відшкодування податку на додану вартість. На суму такої заборгованості нараховується пеня на рівні 120 відсотків облікової ставки Національного банку України, встановленої на момент виникнення пені, протягом строку її дії, включаючи день погашення.</w:t>
      </w:r>
    </w:p>
    <w:p w14:paraId="10ECCC84"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6061" w:name="n11303"/>
      <w:bookmarkEnd w:id="6061"/>
      <w:r w:rsidRPr="008B264B">
        <w:rPr>
          <w:rFonts w:ascii="Times New Roman" w:eastAsia="Times New Roman" w:hAnsi="Times New Roman" w:cs="Times New Roman"/>
          <w:b/>
          <w:bCs/>
          <w:color w:val="000000"/>
          <w:sz w:val="24"/>
          <w:szCs w:val="24"/>
          <w:lang/>
        </w:rPr>
        <w:t>Стаття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Електронне адміністрування податку на додану вартість</w:t>
      </w:r>
    </w:p>
    <w:p w14:paraId="676EA1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2" w:name="n11304"/>
      <w:bookmarkEnd w:id="6062"/>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Система електронного адміністрування податку на додану вартість забезпечує автоматичний облік в розрізі платників податку:</w:t>
      </w:r>
    </w:p>
    <w:p w14:paraId="1A40D6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3" w:name="n11305"/>
      <w:bookmarkEnd w:id="6063"/>
      <w:r w:rsidRPr="008B264B">
        <w:rPr>
          <w:rFonts w:ascii="Times New Roman" w:eastAsia="Times New Roman" w:hAnsi="Times New Roman" w:cs="Times New Roman"/>
          <w:color w:val="000000"/>
          <w:sz w:val="24"/>
          <w:szCs w:val="24"/>
          <w:lang/>
        </w:rPr>
        <w:t>суми податку, що містяться у складених та отриманих податкових накладних та розрахунках коригування, зареєстрованих в Єдиному реєстрі податкових накладних;</w:t>
      </w:r>
    </w:p>
    <w:p w14:paraId="447CBD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4" w:name="n14246"/>
      <w:bookmarkEnd w:id="6064"/>
      <w:r w:rsidRPr="008B264B">
        <w:rPr>
          <w:rFonts w:ascii="Times New Roman" w:eastAsia="Times New Roman" w:hAnsi="Times New Roman" w:cs="Times New Roman"/>
          <w:i/>
          <w:iCs/>
          <w:color w:val="000000"/>
          <w:sz w:val="24"/>
          <w:szCs w:val="24"/>
          <w:lang/>
        </w:rPr>
        <w:t>{Абзац другий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16" w:anchor="n117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0715C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5" w:name="n11306"/>
      <w:bookmarkEnd w:id="6065"/>
      <w:r w:rsidRPr="008B264B">
        <w:rPr>
          <w:rFonts w:ascii="Times New Roman" w:eastAsia="Times New Roman" w:hAnsi="Times New Roman" w:cs="Times New Roman"/>
          <w:color w:val="000000"/>
          <w:sz w:val="24"/>
          <w:szCs w:val="24"/>
          <w:lang/>
        </w:rPr>
        <w:t>суми податку, сплачені платниками при ввезенні товару на митну територію України;</w:t>
      </w:r>
    </w:p>
    <w:p w14:paraId="17FF4A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6" w:name="n11307"/>
      <w:bookmarkEnd w:id="6066"/>
      <w:r w:rsidRPr="008B264B">
        <w:rPr>
          <w:rFonts w:ascii="Times New Roman" w:eastAsia="Times New Roman" w:hAnsi="Times New Roman" w:cs="Times New Roman"/>
          <w:color w:val="000000"/>
          <w:sz w:val="24"/>
          <w:szCs w:val="24"/>
          <w:lang/>
        </w:rPr>
        <w:t>суми поповнення та залишку коштів на рахунках в системі електронного адміністрування податку на додану вартість;</w:t>
      </w:r>
    </w:p>
    <w:p w14:paraId="37D6FE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7" w:name="n11308"/>
      <w:bookmarkEnd w:id="6067"/>
      <w:r w:rsidRPr="008B264B">
        <w:rPr>
          <w:rFonts w:ascii="Times New Roman" w:eastAsia="Times New Roman" w:hAnsi="Times New Roman" w:cs="Times New Roman"/>
          <w:color w:val="000000"/>
          <w:sz w:val="24"/>
          <w:szCs w:val="24"/>
          <w:lang/>
        </w:rPr>
        <w:t>суми податку, на яку платники мають право зареєструвати податкові накладні та розрахунки коригування до податкових накладних в Єдиному реєстрі податкових накладних;</w:t>
      </w:r>
    </w:p>
    <w:p w14:paraId="4DFED2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8" w:name="n12407"/>
      <w:bookmarkEnd w:id="6068"/>
      <w:r w:rsidRPr="008B264B">
        <w:rPr>
          <w:rFonts w:ascii="Times New Roman" w:eastAsia="Times New Roman" w:hAnsi="Times New Roman" w:cs="Times New Roman"/>
          <w:color w:val="000000"/>
          <w:sz w:val="24"/>
          <w:szCs w:val="24"/>
          <w:lang/>
        </w:rPr>
        <w:t>інші показники, які згідно з вимогами </w:t>
      </w:r>
      <w:hyperlink r:id="rId3317" w:anchor="n12119" w:history="1">
        <w:r w:rsidRPr="008B264B">
          <w:rPr>
            <w:rFonts w:ascii="Times New Roman" w:eastAsia="Times New Roman" w:hAnsi="Times New Roman" w:cs="Times New Roman"/>
            <w:color w:val="0000FF"/>
            <w:sz w:val="24"/>
            <w:szCs w:val="24"/>
            <w:u w:val="single"/>
            <w:lang/>
          </w:rPr>
          <w:t>пункту 34</w:t>
        </w:r>
      </w:hyperlink>
      <w:r w:rsidRPr="008B264B">
        <w:rPr>
          <w:rFonts w:ascii="Times New Roman" w:eastAsia="Times New Roman" w:hAnsi="Times New Roman" w:cs="Times New Roman"/>
          <w:color w:val="000000"/>
          <w:sz w:val="24"/>
          <w:szCs w:val="24"/>
          <w:lang/>
        </w:rPr>
        <w:t> підрозділу 2 розділу XX "Перехідні положення" цього Кодексу враховуються під час обрахунку суми податку, обчисленої за формулою, визначеною пунктом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43E9FF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69" w:name="n12406"/>
      <w:bookmarkEnd w:id="6069"/>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18" w:anchor="n50"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02E89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0" w:name="n11309"/>
      <w:bookmarkEnd w:id="6070"/>
      <w:r w:rsidRPr="008B264B">
        <w:rPr>
          <w:rFonts w:ascii="Times New Roman" w:eastAsia="Times New Roman" w:hAnsi="Times New Roman" w:cs="Times New Roman"/>
          <w:color w:val="000000"/>
          <w:sz w:val="24"/>
          <w:szCs w:val="24"/>
          <w:lang/>
        </w:rPr>
        <w:t>Порядок електронного адміністрування податку на додану вартість встановлюється Кабінетом Міністрів України.</w:t>
      </w:r>
    </w:p>
    <w:p w14:paraId="31231B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1" w:name="n11310"/>
      <w:bookmarkEnd w:id="6071"/>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Платникам податку автоматично відкриваються рахунки в системі електронного адміністрування податку на додану вартість.</w:t>
      </w:r>
    </w:p>
    <w:p w14:paraId="2AD21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2" w:name="n14248"/>
      <w:bookmarkEnd w:id="6072"/>
      <w:r w:rsidRPr="008B264B">
        <w:rPr>
          <w:rFonts w:ascii="Times New Roman" w:eastAsia="Times New Roman" w:hAnsi="Times New Roman" w:cs="Times New Roman"/>
          <w:color w:val="000000"/>
          <w:sz w:val="24"/>
          <w:szCs w:val="24"/>
          <w:lang/>
        </w:rPr>
        <w:t>Розрахунки з бюджетом у системі електронного адміністрування податку на додану вартість здійснюються з цих рахунків, крім випадку, передбаченого абзацом другим </w:t>
      </w:r>
      <w:hyperlink r:id="rId3319" w:anchor="n1971" w:history="1">
        <w:r w:rsidRPr="008B264B">
          <w:rPr>
            <w:rFonts w:ascii="Times New Roman" w:eastAsia="Times New Roman" w:hAnsi="Times New Roman" w:cs="Times New Roman"/>
            <w:color w:val="0000FF"/>
            <w:sz w:val="24"/>
            <w:szCs w:val="24"/>
            <w:u w:val="single"/>
            <w:lang/>
          </w:rPr>
          <w:t>пункту 87.1</w:t>
        </w:r>
      </w:hyperlink>
      <w:r w:rsidRPr="008B264B">
        <w:rPr>
          <w:rFonts w:ascii="Times New Roman" w:eastAsia="Times New Roman" w:hAnsi="Times New Roman" w:cs="Times New Roman"/>
          <w:color w:val="000000"/>
          <w:sz w:val="24"/>
          <w:szCs w:val="24"/>
          <w:lang/>
        </w:rPr>
        <w:t> статті 87 цього Кодексу.</w:t>
      </w:r>
    </w:p>
    <w:p w14:paraId="58CAF6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3" w:name="n14247"/>
      <w:bookmarkEnd w:id="6073"/>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20" w:anchor="n11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D6D25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4" w:name="n12409"/>
      <w:bookmarkEnd w:id="6074"/>
      <w:r w:rsidRPr="008B264B">
        <w:rPr>
          <w:rFonts w:ascii="Times New Roman" w:eastAsia="Times New Roman" w:hAnsi="Times New Roman" w:cs="Times New Roman"/>
          <w:color w:val="000000"/>
          <w:sz w:val="24"/>
          <w:szCs w:val="24"/>
          <w:lang/>
        </w:rPr>
        <w:t>Платникам - сільськогосподарським підприємствам, що обрали спеціальний режим оподаткування відповідно до </w:t>
      </w:r>
      <w:hyperlink r:id="rId3321"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додатково відкриваються:</w:t>
      </w:r>
    </w:p>
    <w:p w14:paraId="5F3310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5" w:name="n12408"/>
      <w:bookmarkEnd w:id="6075"/>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22" w:anchor="n5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323" w:anchor="n2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4F9DD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6" w:name="n12783"/>
      <w:bookmarkEnd w:id="6076"/>
      <w:r w:rsidRPr="008B264B">
        <w:rPr>
          <w:rFonts w:ascii="Times New Roman" w:eastAsia="Times New Roman" w:hAnsi="Times New Roman" w:cs="Times New Roman"/>
          <w:color w:val="000000"/>
          <w:sz w:val="24"/>
          <w:szCs w:val="24"/>
          <w:lang/>
        </w:rPr>
        <w:t>а) рахунки в системі електронного адміністрування податку, призначені для перерахування коштів до Державного бюджету України та на їх спеціальні рахунки, відкриті в установах банків та/або органах, що здійснюють казначейське обслуговування бюджетних коштів, для здійснення операцій з постачання сільськогосподарських товарів/послуг (крім зернових і технічних культур та продукції тваринництва, визначеної у пункті 209.19 статті 209 цього Кодексу);</w:t>
      </w:r>
    </w:p>
    <w:p w14:paraId="40BA95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7" w:name="n12787"/>
      <w:bookmarkEnd w:id="6077"/>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24" w:anchor="n25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0FDDE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8" w:name="n12784"/>
      <w:bookmarkEnd w:id="6078"/>
      <w:r w:rsidRPr="008B264B">
        <w:rPr>
          <w:rFonts w:ascii="Times New Roman" w:eastAsia="Times New Roman" w:hAnsi="Times New Roman" w:cs="Times New Roman"/>
          <w:color w:val="000000"/>
          <w:sz w:val="24"/>
          <w:szCs w:val="24"/>
          <w:lang/>
        </w:rPr>
        <w:t xml:space="preserve">б) рахунки в системі електронного адміністрування податку, призначені для перерахування коштів до Державного бюджету України та на їх спеціальні рахунки, відкриті в установах банків та/або органах, що здійснюють казначейське обслуговування бюджетних коштів, для здійснення </w:t>
      </w:r>
      <w:r w:rsidRPr="008B264B">
        <w:rPr>
          <w:rFonts w:ascii="Times New Roman" w:eastAsia="Times New Roman" w:hAnsi="Times New Roman" w:cs="Times New Roman"/>
          <w:color w:val="000000"/>
          <w:sz w:val="24"/>
          <w:szCs w:val="24"/>
          <w:lang/>
        </w:rPr>
        <w:lastRenderedPageBreak/>
        <w:t>операцій з постачання зернових та технічних культур, визначених у пункті 209.19 статті 209 цього Кодексу;</w:t>
      </w:r>
    </w:p>
    <w:p w14:paraId="363B5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79" w:name="n12786"/>
      <w:bookmarkEnd w:id="6079"/>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25" w:anchor="n25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CA3A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0" w:name="n12785"/>
      <w:bookmarkEnd w:id="6080"/>
      <w:r w:rsidRPr="008B264B">
        <w:rPr>
          <w:rFonts w:ascii="Times New Roman" w:eastAsia="Times New Roman" w:hAnsi="Times New Roman" w:cs="Times New Roman"/>
          <w:color w:val="000000"/>
          <w:sz w:val="24"/>
          <w:szCs w:val="24"/>
          <w:lang/>
        </w:rPr>
        <w:t>в) рахунки в системі електронного адміністрування податку, призначені для перерахування коштів до Державного бюджету України та на їх спеціальні рахунки, відкриті в установах банків та/або органах, що здійснюють казначейське обслуговування бюджетних коштів, для здійснення операцій з постачання продукції тваринництва, визначеної у пункті 209.19 статті 209 цього Кодексу.</w:t>
      </w:r>
    </w:p>
    <w:p w14:paraId="4CC6F0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1" w:name="n12782"/>
      <w:bookmarkEnd w:id="6081"/>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26" w:anchor="n25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6FDB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2" w:name="n11311"/>
      <w:bookmarkEnd w:id="6082"/>
      <w:r w:rsidRPr="008B264B">
        <w:rPr>
          <w:rFonts w:ascii="Times New Roman" w:eastAsia="Times New Roman" w:hAnsi="Times New Roman" w:cs="Times New Roman"/>
          <w:color w:val="000000"/>
          <w:sz w:val="24"/>
          <w:szCs w:val="24"/>
          <w:lang/>
        </w:rPr>
        <w:t>Для відкриття рахунків у системі електронного адміністрування податку на додану вартість центральний орган виконавчої влади, що забезпечує реалізацію податкової та митної політики, надсилає центральному органу виконавчої влади, що реалізує державну політику у сфері казначейського обслуговування бюджетних коштів, в якому відкриваються рахунки платників у системі електронного адміністрування податку на додану вартість, реєстр платників, в якому зазначаються назва платника, податковий номер та індивідуальний податковий номер платника.</w:t>
      </w:r>
    </w:p>
    <w:p w14:paraId="4EB3E3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3" w:name="n14249"/>
      <w:bookmarkEnd w:id="6083"/>
      <w:r w:rsidRPr="008B264B">
        <w:rPr>
          <w:rFonts w:ascii="Times New Roman" w:eastAsia="Times New Roman" w:hAnsi="Times New Roman" w:cs="Times New Roman"/>
          <w:i/>
          <w:iCs/>
          <w:color w:val="000000"/>
          <w:sz w:val="24"/>
          <w:szCs w:val="24"/>
          <w:lang/>
        </w:rPr>
        <w:t>{Абзац сьомий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27" w:anchor="n118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3828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4" w:name="n11312"/>
      <w:bookmarkEnd w:id="6084"/>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Платник податку має право зареєструвати податкові накладні та/або розрахунки коригування в Єдиному реєстрі податкових накладних на суму податку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Накл), обчислену за такою формулою:</w:t>
      </w:r>
    </w:p>
    <w:p w14:paraId="137FA3A5"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6085" w:name="n11313"/>
      <w:bookmarkEnd w:id="6085"/>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Накл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НаклОтр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Митн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ПопРах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Овердрафт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НаклВид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Відшкод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Перевищ;</w:t>
      </w:r>
    </w:p>
    <w:p w14:paraId="22B5A1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6" w:name="n12788"/>
      <w:bookmarkEnd w:id="6086"/>
      <w:r w:rsidRPr="008B264B">
        <w:rPr>
          <w:rFonts w:ascii="Times New Roman" w:eastAsia="Times New Roman" w:hAnsi="Times New Roman" w:cs="Times New Roman"/>
          <w:i/>
          <w:iCs/>
          <w:color w:val="000000"/>
          <w:sz w:val="24"/>
          <w:szCs w:val="24"/>
          <w:lang/>
        </w:rPr>
        <w:t>{Абзац другий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28" w:anchor="n26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CF8B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7" w:name="n11314"/>
      <w:bookmarkEnd w:id="6087"/>
      <w:r w:rsidRPr="008B264B">
        <w:rPr>
          <w:rFonts w:ascii="Times New Roman" w:eastAsia="Times New Roman" w:hAnsi="Times New Roman" w:cs="Times New Roman"/>
          <w:color w:val="000000"/>
          <w:sz w:val="24"/>
          <w:szCs w:val="24"/>
          <w:lang/>
        </w:rPr>
        <w:t>де:</w:t>
      </w:r>
    </w:p>
    <w:p w14:paraId="5C1D44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8" w:name="n11315"/>
      <w:bookmarkEnd w:id="6088"/>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НаклОтр - загальна сума податку за отриманими платником податковими накладними, зареєстрованими в Єдиному реєстрі податкових накладних, податковими накладними, складеними платником податку відповідно до </w:t>
      </w:r>
      <w:hyperlink r:id="rId3329" w:anchor="n5183" w:history="1">
        <w:r w:rsidRPr="008B264B">
          <w:rPr>
            <w:rFonts w:ascii="Times New Roman" w:eastAsia="Times New Roman" w:hAnsi="Times New Roman" w:cs="Times New Roman"/>
            <w:color w:val="0000FF"/>
            <w:sz w:val="24"/>
            <w:szCs w:val="24"/>
            <w:u w:val="single"/>
            <w:lang/>
          </w:rPr>
          <w:t>пункту 208.2</w:t>
        </w:r>
      </w:hyperlink>
      <w:r w:rsidRPr="008B264B">
        <w:rPr>
          <w:rFonts w:ascii="Times New Roman" w:eastAsia="Times New Roman" w:hAnsi="Times New Roman" w:cs="Times New Roman"/>
          <w:color w:val="000000"/>
          <w:sz w:val="24"/>
          <w:szCs w:val="24"/>
          <w:lang/>
        </w:rPr>
        <w:t> статті 208 цього Кодексу та зареєстрованими в Єдиному реєстрі податкових накладних, та розрахунками коригування до таких податкових накладних, зареєстрованими в Єдиному реєстрі податкових накладних;</w:t>
      </w:r>
    </w:p>
    <w:p w14:paraId="69D8E1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89" w:name="n11316"/>
      <w:bookmarkEnd w:id="6089"/>
      <w:r w:rsidRPr="008B264B">
        <w:rPr>
          <w:rFonts w:ascii="Times New Roman" w:eastAsia="Times New Roman" w:hAnsi="Times New Roman" w:cs="Times New Roman"/>
          <w:color w:val="000000"/>
          <w:sz w:val="24"/>
          <w:szCs w:val="24"/>
          <w:lang/>
        </w:rPr>
        <w:t>SМитн - загальна сума податку, сплаченого платником при ввезенні товарів на митну територію України, крім сум податку, сплаченого (нарахованого) відповідно до </w:t>
      </w:r>
      <w:hyperlink r:id="rId3330" w:anchor="n4611" w:history="1">
        <w:r w:rsidRPr="008B264B">
          <w:rPr>
            <w:rFonts w:ascii="Times New Roman" w:eastAsia="Times New Roman" w:hAnsi="Times New Roman" w:cs="Times New Roman"/>
            <w:color w:val="0000FF"/>
            <w:sz w:val="24"/>
            <w:szCs w:val="24"/>
            <w:u w:val="single"/>
            <w:lang/>
          </w:rPr>
          <w:t>підпункту 191.1.2</w:t>
        </w:r>
      </w:hyperlink>
      <w:r w:rsidRPr="008B264B">
        <w:rPr>
          <w:rFonts w:ascii="Times New Roman" w:eastAsia="Times New Roman" w:hAnsi="Times New Roman" w:cs="Times New Roman"/>
          <w:color w:val="000000"/>
          <w:sz w:val="24"/>
          <w:szCs w:val="24"/>
          <w:lang/>
        </w:rPr>
        <w:t> пункту 191.1 статті 191 цього Кодексу оператором поштового зв’язку, експрес-перевізником;</w:t>
      </w:r>
    </w:p>
    <w:p w14:paraId="404341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0" w:name="n15330"/>
      <w:bookmarkEnd w:id="6090"/>
      <w:r w:rsidRPr="008B264B">
        <w:rPr>
          <w:rFonts w:ascii="Times New Roman" w:eastAsia="Times New Roman" w:hAnsi="Times New Roman" w:cs="Times New Roman"/>
          <w:i/>
          <w:iCs/>
          <w:color w:val="000000"/>
          <w:sz w:val="24"/>
          <w:szCs w:val="24"/>
          <w:lang/>
        </w:rPr>
        <w:t>{Абзац п'ятий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31" w:anchor="n26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F36C5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1" w:name="n11317"/>
      <w:bookmarkEnd w:id="6091"/>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ПопРах - загальна сума поповнення з поточного рахунку платника податку рахунка в системі електронного адміністрування податку, в тому числі рахунків у системі електронного адміністрування податку платника - сільськогосподарського підприємства, що обрало спеціальний режим оподаткування відповідно до </w:t>
      </w:r>
      <w:hyperlink r:id="rId3332"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зазначених у підпунктах "а" - "в"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цієї статті.</w:t>
      </w:r>
    </w:p>
    <w:p w14:paraId="235680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2" w:name="n12410"/>
      <w:bookmarkEnd w:id="6092"/>
      <w:r w:rsidRPr="008B264B">
        <w:rPr>
          <w:rFonts w:ascii="Times New Roman" w:eastAsia="Times New Roman" w:hAnsi="Times New Roman" w:cs="Times New Roman"/>
          <w:i/>
          <w:iCs/>
          <w:color w:val="000000"/>
          <w:sz w:val="24"/>
          <w:szCs w:val="24"/>
          <w:lang/>
        </w:rPr>
        <w:t>{Абзац шостий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33" w:anchor="n57"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334"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88150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3" w:name="n14251"/>
      <w:bookmarkEnd w:id="6093"/>
      <w:r w:rsidRPr="008B264B">
        <w:rPr>
          <w:rFonts w:ascii="Times New Roman" w:eastAsia="Times New Roman" w:hAnsi="Times New Roman" w:cs="Times New Roman"/>
          <w:color w:val="000000"/>
          <w:sz w:val="24"/>
          <w:szCs w:val="24"/>
          <w:lang/>
        </w:rPr>
        <w:t>Під час розрахунку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 xml:space="preserve">ПопРах також враховується сума коштів у разі проведення органом, що здійснює казначейське обслуговування бюджетних коштів, розрахунків платника податку з погашення заборгованості з різниці в тарифах на теплову енергію, опалення та постачання гарячої води, послуги з централізованого водопостачання, водовідведення, що вироблялися, транспортувалися та постачалися населенню та/або іншим підприємствам </w:t>
      </w:r>
      <w:r w:rsidRPr="008B264B">
        <w:rPr>
          <w:rFonts w:ascii="Times New Roman" w:eastAsia="Times New Roman" w:hAnsi="Times New Roman" w:cs="Times New Roman"/>
          <w:color w:val="000000"/>
          <w:sz w:val="24"/>
          <w:szCs w:val="24"/>
          <w:lang/>
        </w:rPr>
        <w:lastRenderedPageBreak/>
        <w:t>централізованого питного водопостачання та водовідведення, які надають населенню послуги з централізованого водопостачання та водовідведення, яка виникла у зв’язку з невідповідністю фактичної вартості теплової енергії та послуг з централізованого водопостачання, водовідведення, опалення та постачання гарячої води тарифам, що затверджувалися та/або погоджувалися органами державної влади чи органами місцевого самоврядування, за рахунок субвенції з державного бюджету місцевим бюджетам з подальшим спрямуванням коштів відповідно до Закону України про Державний бюджет України в рахунок погашення заборгованості з податку. При цьому для поповнення рахунка в системі електронного адміністрування податку враховується в межах проведених розрахунків з податку сума зменшення залишку узгоджених податкових зобов’язань такого платника податку, не сплачених до бюджету, строк сплати яких настав, що обліковується органом, що здійснює казначейське обслуговування бюджетних коштів, до виконання в повному обсязі за коригуючими реєстрами.</w:t>
      </w:r>
    </w:p>
    <w:p w14:paraId="23F9A0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4" w:name="n14253"/>
      <w:bookmarkEnd w:id="6094"/>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35" w:anchor="n11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7F02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5" w:name="n14252"/>
      <w:bookmarkEnd w:id="6095"/>
      <w:r w:rsidRPr="008B264B">
        <w:rPr>
          <w:rFonts w:ascii="Times New Roman" w:eastAsia="Times New Roman" w:hAnsi="Times New Roman" w:cs="Times New Roman"/>
          <w:color w:val="000000"/>
          <w:sz w:val="24"/>
          <w:szCs w:val="24"/>
          <w:lang/>
        </w:rPr>
        <w:t>Порядок та строки врахування таких сум у системі електронного адміністрування податку встановлюються Кабінетом Міністрів України.</w:t>
      </w:r>
    </w:p>
    <w:p w14:paraId="359D01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6" w:name="n14250"/>
      <w:bookmarkEnd w:id="6096"/>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36" w:anchor="n11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355D7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7" w:name="n12790"/>
      <w:bookmarkEnd w:id="6097"/>
      <w:r w:rsidRPr="008B264B">
        <w:rPr>
          <w:rFonts w:ascii="Times New Roman" w:eastAsia="Times New Roman" w:hAnsi="Times New Roman" w:cs="Times New Roman"/>
          <w:color w:val="000000"/>
          <w:sz w:val="24"/>
          <w:szCs w:val="24"/>
          <w:lang/>
        </w:rPr>
        <w:t>Не враховуються в обрахунку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ПопРах суми, зараховані на рахунки платників у системі електронного адміністрування податку з:</w:t>
      </w:r>
    </w:p>
    <w:p w14:paraId="6F46E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8" w:name="n12806"/>
      <w:bookmarkEnd w:id="6098"/>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37"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EC4E8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099" w:name="n12791"/>
      <w:bookmarkEnd w:id="6099"/>
      <w:r w:rsidRPr="008B264B">
        <w:rPr>
          <w:rFonts w:ascii="Times New Roman" w:eastAsia="Times New Roman" w:hAnsi="Times New Roman" w:cs="Times New Roman"/>
          <w:color w:val="000000"/>
          <w:sz w:val="24"/>
          <w:szCs w:val="24"/>
          <w:lang/>
        </w:rPr>
        <w:t>а) рахунків у системі електронного адміністрування податку, відкритих для перерахування коштів до Державного бюджету України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з постачання сільськогосподарських товарів/послуг (крім зернових та технічних культур та продукції тваринництва, визначених у пункті 209.19 статті 209 цього Кодексу);</w:t>
      </w:r>
    </w:p>
    <w:p w14:paraId="332060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0" w:name="n12805"/>
      <w:bookmarkEnd w:id="6100"/>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38"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C32BF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1" w:name="n12792"/>
      <w:bookmarkEnd w:id="6101"/>
      <w:r w:rsidRPr="008B264B">
        <w:rPr>
          <w:rFonts w:ascii="Times New Roman" w:eastAsia="Times New Roman" w:hAnsi="Times New Roman" w:cs="Times New Roman"/>
          <w:color w:val="000000"/>
          <w:sz w:val="24"/>
          <w:szCs w:val="24"/>
          <w:lang/>
        </w:rPr>
        <w:t>б) рахунків у системі електронного адміністрування податку, відкритих для перерахування коштів до Державного бюджету України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з постачання зернових та технічних культур, визначених у пункті 209.19 статті 209 цього Кодексу;</w:t>
      </w:r>
    </w:p>
    <w:p w14:paraId="41F62B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2" w:name="n12804"/>
      <w:bookmarkEnd w:id="6102"/>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39"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BF038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3" w:name="n12793"/>
      <w:bookmarkEnd w:id="6103"/>
      <w:r w:rsidRPr="008B264B">
        <w:rPr>
          <w:rFonts w:ascii="Times New Roman" w:eastAsia="Times New Roman" w:hAnsi="Times New Roman" w:cs="Times New Roman"/>
          <w:color w:val="000000"/>
          <w:sz w:val="24"/>
          <w:szCs w:val="24"/>
          <w:lang/>
        </w:rPr>
        <w:t>в) рахунків у системі електронного адміністрування податку, відкритих для перерахування коштів до Державного бюджету України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з постачання продукції тваринництва, визначеної у пункті 209.19 статті 209 цього Кодексу.</w:t>
      </w:r>
    </w:p>
    <w:p w14:paraId="69B08B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4" w:name="n12803"/>
      <w:bookmarkEnd w:id="6104"/>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40"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4F3F7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5" w:name="n12794"/>
      <w:bookmarkEnd w:id="6105"/>
      <w:r w:rsidRPr="008B264B">
        <w:rPr>
          <w:rFonts w:ascii="Times New Roman" w:eastAsia="Times New Roman" w:hAnsi="Times New Roman" w:cs="Times New Roman"/>
          <w:i/>
          <w:iCs/>
          <w:color w:val="000000"/>
          <w:sz w:val="24"/>
          <w:szCs w:val="24"/>
          <w:lang/>
        </w:rPr>
        <w:t>{Абзац тринадцятий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3341" w:anchor="n11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E6B00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6" w:name="n12795"/>
      <w:bookmarkEnd w:id="6106"/>
      <w:r w:rsidRPr="008B264B">
        <w:rPr>
          <w:rFonts w:ascii="Times New Roman" w:eastAsia="Times New Roman" w:hAnsi="Times New Roman" w:cs="Times New Roman"/>
          <w:i/>
          <w:iCs/>
          <w:color w:val="000000"/>
          <w:sz w:val="24"/>
          <w:szCs w:val="24"/>
          <w:lang/>
        </w:rPr>
        <w:t>{Абзац чотирнадцятий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3342" w:anchor="n11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0CA8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7" w:name="n12796"/>
      <w:bookmarkEnd w:id="6107"/>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 xml:space="preserve">Овердрафт - сума середньомісячного розміру сум податку, які за останніх 12 звітних (податкових) місяців були задекларовані платником до сплати до бюджету та погашені чи розстрочені або відстрочені, а також задекларовані платником - сільськогосподарським </w:t>
      </w:r>
      <w:r w:rsidRPr="008B264B">
        <w:rPr>
          <w:rFonts w:ascii="Times New Roman" w:eastAsia="Times New Roman" w:hAnsi="Times New Roman" w:cs="Times New Roman"/>
          <w:color w:val="000000"/>
          <w:sz w:val="24"/>
          <w:szCs w:val="24"/>
          <w:lang/>
        </w:rPr>
        <w:lastRenderedPageBreak/>
        <w:t>підприємством, що обрав спеціальний режим оподаткування відповідно до статті 209 цього Кодексу.</w:t>
      </w:r>
    </w:p>
    <w:p w14:paraId="1299BF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8" w:name="n12800"/>
      <w:bookmarkEnd w:id="6108"/>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43"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F513A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09" w:name="n12797"/>
      <w:bookmarkEnd w:id="6109"/>
      <w:r w:rsidRPr="008B264B">
        <w:rPr>
          <w:rFonts w:ascii="Times New Roman" w:eastAsia="Times New Roman" w:hAnsi="Times New Roman" w:cs="Times New Roman"/>
          <w:color w:val="000000"/>
          <w:sz w:val="24"/>
          <w:szCs w:val="24"/>
          <w:lang/>
        </w:rPr>
        <w:t>Показник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Овердрафт щокварталу (протягом перших шести робочих днів такого кварталу) підлягає автоматичному перерахунку з урахуванням показника середньомісячного розміру сум податку, які за останніх 12 звітних (податкових) місяців станом на дату такого перерахунку, були задекларовані платником до сплати до бюджету та погашені чи розстрочені або відстрочені, а також задекларовані платником - сільськогосподарським підприємством, що обрав спеціальний режим оподаткування відповідно до статті 209 цього Кодексу. Такий перерахунок здійснюється шляхом віднімання суми попереднього збільшення та додавання суми збільшення згідно з поточним перерахунком.</w:t>
      </w:r>
    </w:p>
    <w:p w14:paraId="5A487B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0" w:name="n12799"/>
      <w:bookmarkEnd w:id="6110"/>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44"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9BD42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1" w:name="n12798"/>
      <w:bookmarkEnd w:id="6111"/>
      <w:r w:rsidRPr="008B264B">
        <w:rPr>
          <w:rFonts w:ascii="Times New Roman" w:eastAsia="Times New Roman" w:hAnsi="Times New Roman" w:cs="Times New Roman"/>
          <w:color w:val="000000"/>
          <w:sz w:val="24"/>
          <w:szCs w:val="24"/>
          <w:lang/>
        </w:rPr>
        <w:t>Платникам податку, які станом на 1 січня 2016 року зареєстровані платниками податку на додану вартість менш як 12 звітних (податкових) місяців, а також платникам, зареєстрованим платниками податку на додану вартість після 1 січня 2016 року, - таке збільшення здійснюється протягом перших шести робочих днів кварталу, що настає за кварталом, в якому строк такої реєстрації досягає 12 звітних (податкових) місяців.</w:t>
      </w:r>
    </w:p>
    <w:p w14:paraId="5CB60A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2" w:name="n12789"/>
      <w:bookmarkEnd w:id="6112"/>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45" w:anchor="n2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EBF9E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3" w:name="n11318"/>
      <w:bookmarkEnd w:id="6113"/>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НаклВид - загальна сума податку за складеними платником податковими накладними, зареєстрованими в Єдиному реєстрі податкових накладних та розрахунками коригування до таких податкових накладних, зареєстрованими в Єдиному реєстрі податкових накладних;</w:t>
      </w:r>
    </w:p>
    <w:p w14:paraId="282CFE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4" w:name="n14254"/>
      <w:bookmarkEnd w:id="6114"/>
      <w:r w:rsidRPr="008B264B">
        <w:rPr>
          <w:rFonts w:ascii="Times New Roman" w:eastAsia="Times New Roman" w:hAnsi="Times New Roman" w:cs="Times New Roman"/>
          <w:i/>
          <w:iCs/>
          <w:color w:val="000000"/>
          <w:sz w:val="24"/>
          <w:szCs w:val="24"/>
          <w:lang/>
        </w:rPr>
        <w:t>{Абзац вісімнадцятий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46" w:anchor="n11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11F20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5" w:name="n11319"/>
      <w:bookmarkEnd w:id="6115"/>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Відшкод - загальна сума податку, заявлена платником до бюджетного відшкодування з урахуванням сум коригувань та результатів перевірок, що проводяться відповідно до цього Кодексу;</w:t>
      </w:r>
    </w:p>
    <w:p w14:paraId="022D70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6" w:name="n14255"/>
      <w:bookmarkEnd w:id="6116"/>
      <w:r w:rsidRPr="008B264B">
        <w:rPr>
          <w:rFonts w:ascii="Times New Roman" w:eastAsia="Times New Roman" w:hAnsi="Times New Roman" w:cs="Times New Roman"/>
          <w:i/>
          <w:iCs/>
          <w:color w:val="000000"/>
          <w:sz w:val="24"/>
          <w:szCs w:val="24"/>
          <w:lang/>
        </w:rPr>
        <w:t>{Абзац дев'ятнадцятий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47" w:anchor="n119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441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7" w:name="n11320"/>
      <w:bookmarkEnd w:id="6117"/>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Перевищ - загальна сума перевищення податкових зобов’язань, зазначених платником у поданих податкових деклараціях з урахуванням поданих уточнюючих розрахунків до них, над сумою податку, що міститься в складених таким платником податкових накладних та розрахунках коригування до таких податкових накладних, зареєстрованих в Єдиному реєстрі податкових накладних.</w:t>
      </w:r>
    </w:p>
    <w:p w14:paraId="6428D1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8" w:name="n12412"/>
      <w:bookmarkEnd w:id="6118"/>
      <w:r w:rsidRPr="008B264B">
        <w:rPr>
          <w:rFonts w:ascii="Times New Roman" w:eastAsia="Times New Roman" w:hAnsi="Times New Roman" w:cs="Times New Roman"/>
          <w:color w:val="000000"/>
          <w:sz w:val="24"/>
          <w:szCs w:val="24"/>
          <w:lang/>
        </w:rPr>
        <w:t>Показники формули, визначеної цим пунктом, обраховуються з 1 липня 2015 року. Під час обрахунку показників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НаклОтр</w:t>
      </w:r>
      <w:r w:rsidRPr="008B264B">
        <w:rPr>
          <w:rFonts w:ascii="Times New Roman" w:eastAsia="Times New Roman" w:hAnsi="Times New Roman" w:cs="Times New Roman"/>
          <w:color w:val="000000"/>
          <w:sz w:val="24"/>
          <w:szCs w:val="24"/>
          <w:lang/>
        </w:rPr>
        <w:t> та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НаклВид</w:t>
      </w:r>
      <w:r w:rsidRPr="008B264B">
        <w:rPr>
          <w:rFonts w:ascii="Times New Roman" w:eastAsia="Times New Roman" w:hAnsi="Times New Roman" w:cs="Times New Roman"/>
          <w:color w:val="000000"/>
          <w:sz w:val="24"/>
          <w:szCs w:val="24"/>
          <w:lang/>
        </w:rPr>
        <w:t> також використовуються розрахунки коригування, складені починаючи з 1 липня 2015 року та зареєстровані в Єдиному реєстрі податкових накладних, до податкових накладних, складених до 1 липня 2015 року, що підлягали наданню покупцям - платникам податку. Для обрахунку показників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НаклОтр</w:t>
      </w:r>
      <w:r w:rsidRPr="008B264B">
        <w:rPr>
          <w:rFonts w:ascii="Times New Roman" w:eastAsia="Times New Roman" w:hAnsi="Times New Roman" w:cs="Times New Roman"/>
          <w:color w:val="000000"/>
          <w:sz w:val="24"/>
          <w:szCs w:val="24"/>
          <w:lang/>
        </w:rPr>
        <w:t>,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НаклВид</w:t>
      </w:r>
      <w:r w:rsidRPr="008B264B">
        <w:rPr>
          <w:rFonts w:ascii="Times New Roman" w:eastAsia="Times New Roman" w:hAnsi="Times New Roman" w:cs="Times New Roman"/>
          <w:color w:val="000000"/>
          <w:sz w:val="24"/>
          <w:szCs w:val="24"/>
          <w:lang/>
        </w:rPr>
        <w:t> та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Митн</w:t>
      </w:r>
      <w:r w:rsidRPr="008B264B">
        <w:rPr>
          <w:rFonts w:ascii="Times New Roman" w:eastAsia="Times New Roman" w:hAnsi="Times New Roman" w:cs="Times New Roman"/>
          <w:color w:val="000000"/>
          <w:sz w:val="24"/>
          <w:szCs w:val="24"/>
          <w:lang/>
        </w:rPr>
        <w:t> використовуються документи (податкові накладні, розрахунки коригування, митні декларації, аркуші коригування та додаткові декларації), складені починаючи з 1 липня 2015 року.</w:t>
      </w:r>
    </w:p>
    <w:p w14:paraId="0CEBF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19" w:name="n12414"/>
      <w:bookmarkEnd w:id="6119"/>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абзацом згідно із Законом </w:t>
      </w:r>
      <w:hyperlink r:id="rId3348" w:anchor="n59"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3ACA0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0" w:name="n12413"/>
      <w:bookmarkEnd w:id="6120"/>
      <w:r w:rsidRPr="008B264B">
        <w:rPr>
          <w:rFonts w:ascii="Times New Roman" w:eastAsia="Times New Roman" w:hAnsi="Times New Roman" w:cs="Times New Roman"/>
          <w:color w:val="000000"/>
          <w:sz w:val="24"/>
          <w:szCs w:val="24"/>
          <w:lang/>
        </w:rPr>
        <w:t>Під час обрахунку суми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w:t>
      </w:r>
      <w:r w:rsidRPr="008B264B">
        <w:rPr>
          <w:rFonts w:ascii="Times New Roman" w:eastAsia="Times New Roman" w:hAnsi="Times New Roman" w:cs="Times New Roman"/>
          <w:color w:val="000000"/>
          <w:sz w:val="24"/>
          <w:szCs w:val="24"/>
          <w:lang/>
        </w:rPr>
        <w:t> також використовуються показники, визначені пунктами </w:t>
      </w:r>
      <w:hyperlink r:id="rId3349" w:anchor="n12119" w:history="1">
        <w:r w:rsidRPr="008B264B">
          <w:rPr>
            <w:rFonts w:ascii="Times New Roman" w:eastAsia="Times New Roman" w:hAnsi="Times New Roman" w:cs="Times New Roman"/>
            <w:color w:val="0000FF"/>
            <w:sz w:val="24"/>
            <w:szCs w:val="24"/>
            <w:u w:val="single"/>
            <w:lang/>
          </w:rPr>
          <w:t>34</w:t>
        </w:r>
      </w:hyperlink>
      <w:r w:rsidRPr="008B264B">
        <w:rPr>
          <w:rFonts w:ascii="Times New Roman" w:eastAsia="Times New Roman" w:hAnsi="Times New Roman" w:cs="Times New Roman"/>
          <w:color w:val="000000"/>
          <w:sz w:val="24"/>
          <w:szCs w:val="24"/>
          <w:lang/>
        </w:rPr>
        <w:t>, </w:t>
      </w:r>
      <w:hyperlink r:id="rId3350" w:anchor="n12967" w:history="1">
        <w:r w:rsidRPr="008B264B">
          <w:rPr>
            <w:rFonts w:ascii="Times New Roman" w:eastAsia="Times New Roman" w:hAnsi="Times New Roman" w:cs="Times New Roman"/>
            <w:color w:val="0000FF"/>
            <w:sz w:val="24"/>
            <w:szCs w:val="24"/>
            <w:u w:val="single"/>
            <w:lang/>
          </w:rPr>
          <w:t>34</w:t>
        </w:r>
      </w:hyperlink>
      <w:hyperlink r:id="rId3351" w:anchor="n12967"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підрозділу 2 розділу XX "Перехідні положення" цього Кодексу.</w:t>
      </w:r>
    </w:p>
    <w:p w14:paraId="209B30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1" w:name="n12411"/>
      <w:bookmarkEnd w:id="6121"/>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абзацом згідно із Законом </w:t>
      </w:r>
      <w:hyperlink r:id="rId3352" w:anchor="n59"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53" w:anchor="n27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C9814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2" w:name="n14257"/>
      <w:bookmarkEnd w:id="6122"/>
      <w:r w:rsidRPr="008B264B">
        <w:rPr>
          <w:rFonts w:ascii="Times New Roman" w:eastAsia="Times New Roman" w:hAnsi="Times New Roman" w:cs="Times New Roman"/>
          <w:color w:val="000000"/>
          <w:sz w:val="24"/>
          <w:szCs w:val="24"/>
          <w:lang/>
        </w:rPr>
        <w:lastRenderedPageBreak/>
        <w:t>Сума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платника, реорганізованого шляхом приєднання, злиття, перетворення, сформована на момент державної реєстрації припинення юридичної особи, використовується під час обрахунку суми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правонаступника такого платника податку.</w:t>
      </w:r>
    </w:p>
    <w:p w14:paraId="714F6E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3" w:name="n14259"/>
      <w:bookmarkEnd w:id="6123"/>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абзацом двадцять третім згідно із Законом </w:t>
      </w:r>
      <w:hyperlink r:id="rId3354" w:anchor="n11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5A2A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4" w:name="n14258"/>
      <w:bookmarkEnd w:id="6124"/>
      <w:r w:rsidRPr="008B264B">
        <w:rPr>
          <w:rFonts w:ascii="Times New Roman" w:eastAsia="Times New Roman" w:hAnsi="Times New Roman" w:cs="Times New Roman"/>
          <w:color w:val="000000"/>
          <w:sz w:val="24"/>
          <w:szCs w:val="24"/>
          <w:lang/>
        </w:rPr>
        <w:t>Сума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платника, реорганізованого шляхом поділу (з якого здійснюється виділ), сформована на момент державної реєстрації припинення юридичної особи такого платника (державної реєстрації створення юридичної особи правонаступника), використовується під час обрахунку суми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правонаступника такого платника податку пропорційно до отриманої частки майна згідно з розподільчим балансом.</w:t>
      </w:r>
    </w:p>
    <w:p w14:paraId="1128D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5" w:name="n14256"/>
      <w:bookmarkEnd w:id="6125"/>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абзацом двадцять четвертим згідно із Законом </w:t>
      </w:r>
      <w:hyperlink r:id="rId3355" w:anchor="n119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6FB4C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6" w:name="n11321"/>
      <w:bookmarkEnd w:id="6126"/>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 На рахунок у системі електронного адміністрування податку на додану вартість платника зараховуються кошти:</w:t>
      </w:r>
    </w:p>
    <w:p w14:paraId="519FD2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7" w:name="n11322"/>
      <w:bookmarkEnd w:id="6127"/>
      <w:r w:rsidRPr="008B264B">
        <w:rPr>
          <w:rFonts w:ascii="Times New Roman" w:eastAsia="Times New Roman" w:hAnsi="Times New Roman" w:cs="Times New Roman"/>
          <w:color w:val="000000"/>
          <w:sz w:val="24"/>
          <w:szCs w:val="24"/>
          <w:lang/>
        </w:rPr>
        <w:t>а) з поточного рахунку такого платника в сумах, необхідних для збільшення розміру суми, що обчислюється відповідно до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7B482B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8" w:name="n14865"/>
      <w:bookmarkEnd w:id="6128"/>
      <w:r w:rsidRPr="008B264B">
        <w:rPr>
          <w:rFonts w:ascii="Times New Roman" w:eastAsia="Times New Roman" w:hAnsi="Times New Roman" w:cs="Times New Roman"/>
          <w:i/>
          <w:iCs/>
          <w:color w:val="000000"/>
          <w:sz w:val="24"/>
          <w:szCs w:val="24"/>
          <w:lang/>
        </w:rPr>
        <w:t>{Підпункт "а"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56" w:anchor="n27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AC193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29" w:name="n11323"/>
      <w:bookmarkEnd w:id="6129"/>
      <w:r w:rsidRPr="008B264B">
        <w:rPr>
          <w:rFonts w:ascii="Times New Roman" w:eastAsia="Times New Roman" w:hAnsi="Times New Roman" w:cs="Times New Roman"/>
          <w:color w:val="000000"/>
          <w:sz w:val="24"/>
          <w:szCs w:val="24"/>
          <w:lang/>
        </w:rPr>
        <w:t>б) з поточного рахунку такого платника в сумах, недостатніх для сплати до бюджету узгоджених податкових зобов’язань з цього податку;</w:t>
      </w:r>
    </w:p>
    <w:p w14:paraId="0F38DA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0" w:name="n14866"/>
      <w:bookmarkEnd w:id="6130"/>
      <w:r w:rsidRPr="008B264B">
        <w:rPr>
          <w:rFonts w:ascii="Times New Roman" w:eastAsia="Times New Roman" w:hAnsi="Times New Roman" w:cs="Times New Roman"/>
          <w:i/>
          <w:iCs/>
          <w:color w:val="000000"/>
          <w:sz w:val="24"/>
          <w:szCs w:val="24"/>
          <w:lang/>
        </w:rPr>
        <w:t>{Підпункт "б"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57" w:anchor="n27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31AA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1" w:name="n12416"/>
      <w:bookmarkEnd w:id="6131"/>
      <w:r w:rsidRPr="008B264B">
        <w:rPr>
          <w:rFonts w:ascii="Times New Roman" w:eastAsia="Times New Roman" w:hAnsi="Times New Roman" w:cs="Times New Roman"/>
          <w:color w:val="000000"/>
          <w:sz w:val="24"/>
          <w:szCs w:val="24"/>
          <w:lang/>
        </w:rPr>
        <w:t>в) з рахунків платників, відкритих у відповідних органах казначейства для проведення розрахунків з погашення заборгованості з різниці в тарифах на теплову енергію, опалення та постачання гарячої води, послуги з централізованого водопостачання, водовідведення, що вироблялися, транспортувалися та постачалися населенню та/або іншим підприємствам централізованого питного водопостачання та водовідведення, які надають населенню послуги з централізованого водопостачання та водовідведення, яка виникла у зв’язку з невідповідністю фактичної вартості теплової енергії та послуг з централізованого водопостачання, водовідведення, опалення та постачання гарячої води тарифам, що затверджувалися та/або погоджувалися органами державної влади чи місцевого самоврядування, а рахунок субвенції з державного бюджету місцевим бюджетам з подальшим спрямуванням коштів відповідно до Закону України про Державний бюджет України;</w:t>
      </w:r>
    </w:p>
    <w:p w14:paraId="0143D1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2" w:name="n12415"/>
      <w:bookmarkEnd w:id="6132"/>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підпунктом "в" згідно із Законом </w:t>
      </w:r>
      <w:hyperlink r:id="rId3358" w:anchor="n62"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1D6C8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3" w:name="n12808"/>
      <w:bookmarkEnd w:id="6133"/>
      <w:r w:rsidRPr="008B264B">
        <w:rPr>
          <w:rFonts w:ascii="Times New Roman" w:eastAsia="Times New Roman" w:hAnsi="Times New Roman" w:cs="Times New Roman"/>
          <w:color w:val="000000"/>
          <w:sz w:val="24"/>
          <w:szCs w:val="24"/>
          <w:lang/>
        </w:rPr>
        <w:t>г) з бюджету в сумах надміру сплачених грошових зобов’язань з податку на додану вартість, повернутих платнику податків у порядку, встановленому </w:t>
      </w:r>
      <w:hyperlink r:id="rId3359" w:anchor="n13828" w:history="1">
        <w:r w:rsidRPr="008B264B">
          <w:rPr>
            <w:rFonts w:ascii="Times New Roman" w:eastAsia="Times New Roman" w:hAnsi="Times New Roman" w:cs="Times New Roman"/>
            <w:color w:val="0000FF"/>
            <w:sz w:val="24"/>
            <w:szCs w:val="24"/>
            <w:u w:val="single"/>
            <w:lang/>
          </w:rPr>
          <w:t>пунктом 43.4</w:t>
        </w:r>
      </w:hyperlink>
      <w:hyperlink r:id="rId3360" w:anchor="n13828"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статті 43 цього Кодексу.</w:t>
      </w:r>
    </w:p>
    <w:p w14:paraId="47D3DF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4" w:name="n12807"/>
      <w:bookmarkEnd w:id="6134"/>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підпунктом "г" згідно із Законом </w:t>
      </w:r>
      <w:hyperlink r:id="rId3361" w:anchor="n2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362" w:anchor="n11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3EB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5" w:name="n11324"/>
      <w:bookmarkEnd w:id="6135"/>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xml:space="preserve">.5. З рахунку у системі електронного адміністрування податку на додану вартість платника перераховуються кошти до державного бюджету в сумі податкових зобов’язань з податку на додану вартість, що підлягає сплаті за наслідками звітного податкового періоду, та на поточний рахунок платника податку за його заявою, яка подається до контролюючого органу у складі податкової звітності з податку на додану вартість, у розмірі суми коштів, що перевищує суму задекларованих до сплати до бюджету податкових зобов’язань та суми податкового боргу з податку. При цьому перерахування коштів на поточний рахунок платника може здійснюватися у разі відсутності перевищення суми податку, зазначеної у складених податкових накладних, </w:t>
      </w:r>
      <w:r w:rsidRPr="008B264B">
        <w:rPr>
          <w:rFonts w:ascii="Times New Roman" w:eastAsia="Times New Roman" w:hAnsi="Times New Roman" w:cs="Times New Roman"/>
          <w:color w:val="000000"/>
          <w:sz w:val="24"/>
          <w:szCs w:val="24"/>
          <w:lang/>
        </w:rPr>
        <w:lastRenderedPageBreak/>
        <w:t>складених у звітному періоді та зареєстрованих у Єдиному реєстрі податкових накладних, над сумою податкових зобов’язань з податку за операціями з постачання товарів/послуг, задекларованих у податковій звітності з податку на додану вартість у цьому звітному періоді.</w:t>
      </w:r>
    </w:p>
    <w:p w14:paraId="4E4DF3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6" w:name="n14260"/>
      <w:bookmarkEnd w:id="6136"/>
      <w:r w:rsidRPr="008B264B">
        <w:rPr>
          <w:rFonts w:ascii="Times New Roman" w:eastAsia="Times New Roman" w:hAnsi="Times New Roman" w:cs="Times New Roman"/>
          <w:i/>
          <w:iCs/>
          <w:color w:val="000000"/>
          <w:sz w:val="24"/>
          <w:szCs w:val="24"/>
          <w:lang/>
        </w:rPr>
        <w:t>{Абзац перший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63" w:anchor="n119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F8A15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7" w:name="n12418"/>
      <w:bookmarkEnd w:id="6137"/>
      <w:r w:rsidRPr="008B264B">
        <w:rPr>
          <w:rFonts w:ascii="Times New Roman" w:eastAsia="Times New Roman" w:hAnsi="Times New Roman" w:cs="Times New Roman"/>
          <w:color w:val="000000"/>
          <w:sz w:val="24"/>
          <w:szCs w:val="24"/>
          <w:lang/>
        </w:rPr>
        <w:t>Кошти, що надійшли на рахунки, визначені у підпунктах "а" - "в"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цієї статті, автоматично перераховуються органом, що здійснює казначейське обслуговування бюджетних коштів, на рахунок такого платника в системі електронного адміністрування податку на додану вартість та на спеціальний рахунок такого платника протягом наступного операційного дня. Реквізити такого спеціального рахунка платник - сільськогосподарське підприємство, що обрав спеціальний режим оподаткування відповідно до статті 209 цього Кодексу, зобов’язаний зазначати у податковій звітності з податку на додану вартість.</w:t>
      </w:r>
    </w:p>
    <w:p w14:paraId="0F725C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8" w:name="n12809"/>
      <w:bookmarkEnd w:id="6138"/>
      <w:r w:rsidRPr="008B264B">
        <w:rPr>
          <w:rFonts w:ascii="Times New Roman" w:eastAsia="Times New Roman" w:hAnsi="Times New Roman" w:cs="Times New Roman"/>
          <w:i/>
          <w:iCs/>
          <w:color w:val="000000"/>
          <w:sz w:val="24"/>
          <w:szCs w:val="24"/>
          <w:lang/>
        </w:rPr>
        <w:t>{Абзац другий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64" w:anchor="n28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158E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39" w:name="n12419"/>
      <w:bookmarkEnd w:id="6139"/>
      <w:r w:rsidRPr="008B264B">
        <w:rPr>
          <w:rFonts w:ascii="Times New Roman" w:eastAsia="Times New Roman" w:hAnsi="Times New Roman" w:cs="Times New Roman"/>
          <w:color w:val="000000"/>
          <w:sz w:val="24"/>
          <w:szCs w:val="24"/>
          <w:lang/>
        </w:rPr>
        <w:t>На запит платника податку йому шляхом надсилання електронного повідомлення надається інформація про рух коштів на його рахунках у системі електронного адміністрування податку.</w:t>
      </w:r>
    </w:p>
    <w:p w14:paraId="3AD2D5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0" w:name="n12417"/>
      <w:bookmarkEnd w:id="6140"/>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.5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65" w:anchor="n64"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56627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1" w:name="n11325"/>
      <w:bookmarkEnd w:id="6141"/>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.6. За підсумками звітного податкового періоду, відповідно до задекларованих в податковій декларації результатів, а також у разі подання уточнюючих розрахунків до </w:t>
      </w:r>
      <w:hyperlink r:id="rId3366"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платником проводиться розрахунок з бюджетом у порядку, визначеному </w:t>
      </w:r>
      <w:hyperlink r:id="rId3367" w:anchor="n4987" w:history="1">
        <w:r w:rsidRPr="008B264B">
          <w:rPr>
            <w:rFonts w:ascii="Times New Roman" w:eastAsia="Times New Roman" w:hAnsi="Times New Roman" w:cs="Times New Roman"/>
            <w:color w:val="0000FF"/>
            <w:sz w:val="24"/>
            <w:szCs w:val="24"/>
            <w:u w:val="single"/>
            <w:lang/>
          </w:rPr>
          <w:t>статтями 200</w:t>
        </w:r>
      </w:hyperlink>
      <w:r w:rsidRPr="008B264B">
        <w:rPr>
          <w:rFonts w:ascii="Times New Roman" w:eastAsia="Times New Roman" w:hAnsi="Times New Roman" w:cs="Times New Roman"/>
          <w:color w:val="000000"/>
          <w:sz w:val="24"/>
          <w:szCs w:val="24"/>
          <w:lang/>
        </w:rPr>
        <w:t> та </w:t>
      </w:r>
      <w:hyperlink r:id="rId3368" w:anchor="n5191" w:history="1">
        <w:r w:rsidRPr="008B264B">
          <w:rPr>
            <w:rFonts w:ascii="Times New Roman" w:eastAsia="Times New Roman" w:hAnsi="Times New Roman" w:cs="Times New Roman"/>
            <w:color w:val="0000FF"/>
            <w:sz w:val="24"/>
            <w:szCs w:val="24"/>
            <w:u w:val="single"/>
            <w:lang/>
          </w:rPr>
          <w:t>209</w:t>
        </w:r>
      </w:hyperlink>
      <w:r w:rsidRPr="008B264B">
        <w:rPr>
          <w:rFonts w:ascii="Times New Roman" w:eastAsia="Times New Roman" w:hAnsi="Times New Roman" w:cs="Times New Roman"/>
          <w:color w:val="000000"/>
          <w:sz w:val="24"/>
          <w:szCs w:val="24"/>
          <w:lang/>
        </w:rPr>
        <w:t> цього Кодексу.</w:t>
      </w:r>
    </w:p>
    <w:p w14:paraId="7AFC1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2" w:name="n12810"/>
      <w:bookmarkEnd w:id="6142"/>
      <w:r w:rsidRPr="008B264B">
        <w:rPr>
          <w:rFonts w:ascii="Times New Roman" w:eastAsia="Times New Roman" w:hAnsi="Times New Roman" w:cs="Times New Roman"/>
          <w:i/>
          <w:iCs/>
          <w:color w:val="000000"/>
          <w:sz w:val="24"/>
          <w:szCs w:val="24"/>
          <w:lang/>
        </w:rPr>
        <w:t>{Абзац перший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369" w:anchor="n28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370" w:anchor="n12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9E6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3" w:name="n11326"/>
      <w:bookmarkEnd w:id="6143"/>
      <w:r w:rsidRPr="008B264B">
        <w:rPr>
          <w:rFonts w:ascii="Times New Roman" w:eastAsia="Times New Roman" w:hAnsi="Times New Roman" w:cs="Times New Roman"/>
          <w:color w:val="000000"/>
          <w:sz w:val="24"/>
          <w:szCs w:val="24"/>
          <w:lang/>
        </w:rPr>
        <w:t>Якщо на дату подання податкової звітності з податку сума коштів на рахунку в системі електронного адміністрування податку на додану вартість платника податку перевищує суму, що підлягає перерахуванню до бюджету відповідно до поданої звітності, платник податку має право подати до контролюючого органу у складі такої податкової звітності заяву, відповідно до якої такі кошти підлягають перерахуванню на поточний рахунок такого платника податку, реквізити якого платник зазначає в заяві, у сумі залишку коштів, що перевищує суму податкового боргу з податку та суму узгоджених податкових зобов’язань з податку.</w:t>
      </w:r>
    </w:p>
    <w:p w14:paraId="3D1990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4" w:name="n12811"/>
      <w:bookmarkEnd w:id="6144"/>
      <w:r w:rsidRPr="008B264B">
        <w:rPr>
          <w:rFonts w:ascii="Times New Roman" w:eastAsia="Times New Roman" w:hAnsi="Times New Roman" w:cs="Times New Roman"/>
          <w:i/>
          <w:iCs/>
          <w:color w:val="000000"/>
          <w:sz w:val="24"/>
          <w:szCs w:val="24"/>
          <w:lang/>
        </w:rPr>
        <w:t>{Абзаци другий - четвертий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замінено одним абзацом згідно із Законом </w:t>
      </w:r>
      <w:hyperlink r:id="rId3371" w:anchor="n120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CDB2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5" w:name="n11329"/>
      <w:bookmarkEnd w:id="6145"/>
      <w:r w:rsidRPr="008B264B">
        <w:rPr>
          <w:rFonts w:ascii="Times New Roman" w:eastAsia="Times New Roman" w:hAnsi="Times New Roman" w:cs="Times New Roman"/>
          <w:color w:val="000000"/>
          <w:sz w:val="24"/>
          <w:szCs w:val="24"/>
          <w:lang/>
        </w:rPr>
        <w:t>На суму податку, що відповідно до поданої заяви підлягає перерахуванню на поточний рахунок платника, на момент подання заяви зменшується значення суми податку, визначеної </w:t>
      </w:r>
      <w:hyperlink r:id="rId3372" w:anchor="n11312" w:history="1">
        <w:r w:rsidRPr="008B264B">
          <w:rPr>
            <w:rFonts w:ascii="Times New Roman" w:eastAsia="Times New Roman" w:hAnsi="Times New Roman" w:cs="Times New Roman"/>
            <w:color w:val="0000FF"/>
            <w:sz w:val="24"/>
            <w:szCs w:val="24"/>
            <w:u w:val="single"/>
            <w:lang/>
          </w:rPr>
          <w:t>пунктом 200</w:t>
        </w:r>
      </w:hyperlink>
      <w:hyperlink r:id="rId3373"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374"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шляхом зменшення на таку суму показника загальної суми поповнення рахунку в системі електронного адміністрування податку з поточного рахунку платника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color w:val="000000"/>
          <w:sz w:val="24"/>
          <w:szCs w:val="24"/>
          <w:lang/>
        </w:rPr>
        <w:t>ПопРах).</w:t>
      </w:r>
    </w:p>
    <w:p w14:paraId="263830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6" w:name="n14261"/>
      <w:bookmarkEnd w:id="6146"/>
      <w:r w:rsidRPr="008B264B">
        <w:rPr>
          <w:rFonts w:ascii="Times New Roman" w:eastAsia="Times New Roman" w:hAnsi="Times New Roman" w:cs="Times New Roman"/>
          <w:i/>
          <w:iCs/>
          <w:color w:val="000000"/>
          <w:sz w:val="24"/>
          <w:szCs w:val="24"/>
          <w:lang/>
        </w:rPr>
        <w:t>{Абзац третій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75" w:anchor="n120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B6D4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7" w:name="n12813"/>
      <w:bookmarkEnd w:id="6147"/>
      <w:r w:rsidRPr="008B264B">
        <w:rPr>
          <w:rFonts w:ascii="Times New Roman" w:eastAsia="Times New Roman" w:hAnsi="Times New Roman" w:cs="Times New Roman"/>
          <w:color w:val="000000"/>
          <w:sz w:val="24"/>
          <w:szCs w:val="24"/>
          <w:lang/>
        </w:rPr>
        <w:t>Перерахування коштів на поточний рахунок платника може здійснюватися у разі, якщо таке зменшення загальної суми поповнення електронного рахунка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ПопРах) не призведе до формування від’ємного значення суми податку, визначеної відповідно до </w:t>
      </w:r>
      <w:hyperlink r:id="rId3376" w:anchor="n11312" w:history="1">
        <w:r w:rsidRPr="008B264B">
          <w:rPr>
            <w:rFonts w:ascii="Times New Roman" w:eastAsia="Times New Roman" w:hAnsi="Times New Roman" w:cs="Times New Roman"/>
            <w:color w:val="0000FF"/>
            <w:sz w:val="24"/>
            <w:szCs w:val="24"/>
            <w:u w:val="single"/>
            <w:lang/>
          </w:rPr>
          <w:t>пункту 200</w:t>
        </w:r>
      </w:hyperlink>
      <w:hyperlink r:id="rId3377"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378"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w:t>
      </w:r>
    </w:p>
    <w:p w14:paraId="051203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8" w:name="n12812"/>
      <w:bookmarkEnd w:id="6148"/>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новим абзацом згідно із Законом </w:t>
      </w:r>
      <w:hyperlink r:id="rId3379" w:anchor="n28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F1A22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49" w:name="n11330"/>
      <w:bookmarkEnd w:id="6149"/>
      <w:r w:rsidRPr="008B264B">
        <w:rPr>
          <w:rFonts w:ascii="Times New Roman" w:eastAsia="Times New Roman" w:hAnsi="Times New Roman" w:cs="Times New Roman"/>
          <w:color w:val="000000"/>
          <w:sz w:val="24"/>
          <w:szCs w:val="24"/>
          <w:lang/>
        </w:rPr>
        <w:t xml:space="preserve">Для відповідного перерахування таких коштів центральний орган виконавчої влади, що забезпечує реалізацію податкової та митної політики, надсилає центральному органу виконавчої влади, що реалізує державну політику у сфері казначейського обслуговування бюджетних </w:t>
      </w:r>
      <w:r w:rsidRPr="008B264B">
        <w:rPr>
          <w:rFonts w:ascii="Times New Roman" w:eastAsia="Times New Roman" w:hAnsi="Times New Roman" w:cs="Times New Roman"/>
          <w:color w:val="000000"/>
          <w:sz w:val="24"/>
          <w:szCs w:val="24"/>
          <w:lang/>
        </w:rPr>
        <w:lastRenderedPageBreak/>
        <w:t>коштів, в якому відкриті рахунки платників у системі електронного адміністрування податку на додану вартість, реєстр, в якому зазначаються назва платника, податковий номер та індивідуальний податковий номер платника, сума податку, що підлягає перерахуванню до бюджету/на поточний рахунок та реквізити поточного рахунку платника (у випадку подання заяви платника на повернення коштів на такий рахунок).</w:t>
      </w:r>
    </w:p>
    <w:p w14:paraId="48B7A5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0" w:name="n14262"/>
      <w:bookmarkEnd w:id="6150"/>
      <w:r w:rsidRPr="008B264B">
        <w:rPr>
          <w:rFonts w:ascii="Times New Roman" w:eastAsia="Times New Roman" w:hAnsi="Times New Roman" w:cs="Times New Roman"/>
          <w:i/>
          <w:iCs/>
          <w:color w:val="000000"/>
          <w:sz w:val="24"/>
          <w:szCs w:val="24"/>
          <w:lang/>
        </w:rPr>
        <w:t>{Абзац п'ятий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80" w:anchor="n120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6010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1" w:name="n11331"/>
      <w:bookmarkEnd w:id="6151"/>
      <w:r w:rsidRPr="008B264B">
        <w:rPr>
          <w:rFonts w:ascii="Times New Roman" w:eastAsia="Times New Roman" w:hAnsi="Times New Roman" w:cs="Times New Roman"/>
          <w:color w:val="000000"/>
          <w:sz w:val="24"/>
          <w:szCs w:val="24"/>
          <w:lang/>
        </w:rPr>
        <w:t>На підставі такого реєстру центральний орган виконавчої влади, що реалізує державну політику у сфері казначейського обслуговування бюджетних коштів, протягом п’яти робочих днів після граничного терміну, встановленого цим Кодексом для самостійної сплати платником сум податкових зобов’язань, здійснює таке перерахування до бюджету/на поточний рахунок платника податку.</w:t>
      </w:r>
    </w:p>
    <w:p w14:paraId="286F4B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2" w:name="n14263"/>
      <w:bookmarkEnd w:id="6152"/>
      <w:r w:rsidRPr="008B264B">
        <w:rPr>
          <w:rFonts w:ascii="Times New Roman" w:eastAsia="Times New Roman" w:hAnsi="Times New Roman" w:cs="Times New Roman"/>
          <w:i/>
          <w:iCs/>
          <w:color w:val="000000"/>
          <w:sz w:val="24"/>
          <w:szCs w:val="24"/>
          <w:lang/>
        </w:rPr>
        <w:t>{Абзац шостий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81" w:anchor="n12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0AF43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3" w:name="n12421"/>
      <w:bookmarkEnd w:id="6153"/>
      <w:r w:rsidRPr="008B264B">
        <w:rPr>
          <w:rFonts w:ascii="Times New Roman" w:eastAsia="Times New Roman" w:hAnsi="Times New Roman" w:cs="Times New Roman"/>
          <w:color w:val="000000"/>
          <w:sz w:val="24"/>
          <w:szCs w:val="24"/>
          <w:lang/>
        </w:rPr>
        <w:t>Центральний орган виконавчої влади, що реалізує податкову та митну політику, має право надсилати центральному органу виконавчої влади, що реалізує державну політику у сфері казначейського обслуговування бюджетних коштів, у якому відкриті рахунки платників у системі електронного адміністрування податку на додану вартість:</w:t>
      </w:r>
    </w:p>
    <w:p w14:paraId="6ECB46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4" w:name="n12420"/>
      <w:bookmarkEnd w:id="6154"/>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абзацом згідно із Законом </w:t>
      </w:r>
      <w:hyperlink r:id="rId3382" w:anchor="n68"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383" w:anchor="n12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74E5F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5" w:name="n14265"/>
      <w:bookmarkEnd w:id="6155"/>
      <w:r w:rsidRPr="008B264B">
        <w:rPr>
          <w:rFonts w:ascii="Times New Roman" w:eastAsia="Times New Roman" w:hAnsi="Times New Roman" w:cs="Times New Roman"/>
          <w:color w:val="000000"/>
          <w:sz w:val="24"/>
          <w:szCs w:val="24"/>
          <w:lang/>
        </w:rPr>
        <w:t>реєстри - для перерахування податку до бюджету в разі подання платником податку уточнюючих розрахунків до </w:t>
      </w:r>
      <w:hyperlink r:id="rId3384" w:anchor="n20" w:tgtFrame="_blank" w:history="1">
        <w:r w:rsidRPr="008B264B">
          <w:rPr>
            <w:rFonts w:ascii="Times New Roman" w:eastAsia="Times New Roman" w:hAnsi="Times New Roman" w:cs="Times New Roman"/>
            <w:color w:val="0000FF"/>
            <w:sz w:val="24"/>
            <w:szCs w:val="24"/>
            <w:u w:val="single"/>
            <w:lang/>
          </w:rPr>
          <w:t>податкових декларацій</w:t>
        </w:r>
      </w:hyperlink>
      <w:r w:rsidRPr="008B264B">
        <w:rPr>
          <w:rFonts w:ascii="Times New Roman" w:eastAsia="Times New Roman" w:hAnsi="Times New Roman" w:cs="Times New Roman"/>
          <w:color w:val="000000"/>
          <w:sz w:val="24"/>
          <w:szCs w:val="24"/>
          <w:lang/>
        </w:rPr>
        <w:t>;</w:t>
      </w:r>
    </w:p>
    <w:p w14:paraId="64BEAA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6" w:name="n14267"/>
      <w:bookmarkEnd w:id="6156"/>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85" w:anchor="n12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96EE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7" w:name="n14266"/>
      <w:bookmarkEnd w:id="6157"/>
      <w:r w:rsidRPr="008B264B">
        <w:rPr>
          <w:rFonts w:ascii="Times New Roman" w:eastAsia="Times New Roman" w:hAnsi="Times New Roman" w:cs="Times New Roman"/>
          <w:color w:val="000000"/>
          <w:sz w:val="24"/>
          <w:szCs w:val="24"/>
          <w:lang/>
        </w:rPr>
        <w:t>коригуючі реєстри - для уточнення інформації, зазначеної у раніше надісланих реєстрах.</w:t>
      </w:r>
    </w:p>
    <w:p w14:paraId="164DA7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8" w:name="n14264"/>
      <w:bookmarkEnd w:id="6158"/>
      <w:r w:rsidRPr="008B264B">
        <w:rPr>
          <w:rFonts w:ascii="Times New Roman" w:eastAsia="Times New Roman" w:hAnsi="Times New Roman" w:cs="Times New Roman"/>
          <w:i/>
          <w:iCs/>
          <w:color w:val="000000"/>
          <w:sz w:val="24"/>
          <w:szCs w:val="24"/>
          <w:lang/>
        </w:rPr>
        <w:t>{Абзац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.6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 редакції Закону </w:t>
      </w:r>
      <w:hyperlink r:id="rId3386" w:anchor="n12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C18F9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59" w:name="n11332"/>
      <w:bookmarkEnd w:id="6159"/>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.7. Кошти, зараховані на рахунок платника в системі електронного адміністрування податку на додану вартість, є коштами, які використовуються виключно у цілях, визначених пунктом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та погашення податкового боргу з податку на додану вартість.</w:t>
      </w:r>
    </w:p>
    <w:p w14:paraId="251F6A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0" w:name="n12422"/>
      <w:bookmarkEnd w:id="6160"/>
      <w:r w:rsidRPr="008B264B">
        <w:rPr>
          <w:rFonts w:ascii="Times New Roman" w:eastAsia="Times New Roman" w:hAnsi="Times New Roman" w:cs="Times New Roman"/>
          <w:i/>
          <w:iCs/>
          <w:color w:val="000000"/>
          <w:sz w:val="24"/>
          <w:szCs w:val="24"/>
          <w:lang/>
        </w:rPr>
        <w:t>{Пункт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.7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87" w:anchor="n70"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1353E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1" w:name="n11333"/>
      <w:bookmarkEnd w:id="6161"/>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.8. Після анулювання реєстрації платника податку залишок коштів на його рахунку у системі електронного адміністрування податку на додану вартість перераховується до бюджету, а такий рахунок закривається. Перерахування коштів до бюджету здійснюється на підставі реєстру, який центральний орган виконавчої влади, що забезпечує реалізацію податкової та митної політики, надсилає органу, що здійснює казначейське обслуговування бюджетних коштів, в якому відкриті рахунки платників у системі електронного адміністрування податку на додану вартість, в якому зазначаються назва платника, податковий номер та індивідуальний податковий номер платника і сума податку, що підлягає перерахуванню до бюджету. На підставі такого реєстру такий орган перераховує суми податку до бюджету.</w:t>
      </w:r>
    </w:p>
    <w:p w14:paraId="32A23E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2" w:name="n14269"/>
      <w:bookmarkEnd w:id="6162"/>
      <w:r w:rsidRPr="008B264B">
        <w:rPr>
          <w:rFonts w:ascii="Times New Roman" w:eastAsia="Times New Roman" w:hAnsi="Times New Roman" w:cs="Times New Roman"/>
          <w:color w:val="000000"/>
          <w:sz w:val="24"/>
          <w:szCs w:val="24"/>
          <w:lang/>
        </w:rPr>
        <w:t>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.9. Якщо у платника податку загальна сума податкових зобов’язань, зазначених ним у поданих </w:t>
      </w:r>
      <w:hyperlink r:id="rId3388" w:anchor="n20" w:tgtFrame="_blank" w:history="1">
        <w:r w:rsidRPr="008B264B">
          <w:rPr>
            <w:rFonts w:ascii="Times New Roman" w:eastAsia="Times New Roman" w:hAnsi="Times New Roman" w:cs="Times New Roman"/>
            <w:color w:val="0000FF"/>
            <w:sz w:val="24"/>
            <w:szCs w:val="24"/>
            <w:u w:val="single"/>
            <w:lang/>
          </w:rPr>
          <w:t>податкових деклараціях</w:t>
        </w:r>
      </w:hyperlink>
      <w:r w:rsidRPr="008B264B">
        <w:rPr>
          <w:rFonts w:ascii="Times New Roman" w:eastAsia="Times New Roman" w:hAnsi="Times New Roman" w:cs="Times New Roman"/>
          <w:color w:val="000000"/>
          <w:sz w:val="24"/>
          <w:szCs w:val="24"/>
          <w:lang/>
        </w:rPr>
        <w:t> з урахуванням уточнюючих розрахунків до них, перевищує суму податку, що міститься в складених таким платником </w:t>
      </w:r>
      <w:hyperlink r:id="rId3389"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 розрахунках коригування до таких податкових накладних, зареєстрованих в Єдиному реєстрі податкових накладних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Перевищ), а сума, визначена </w:t>
      </w:r>
      <w:hyperlink r:id="rId3390" w:anchor="n11312" w:history="1">
        <w:r w:rsidRPr="008B264B">
          <w:rPr>
            <w:rFonts w:ascii="Times New Roman" w:eastAsia="Times New Roman" w:hAnsi="Times New Roman" w:cs="Times New Roman"/>
            <w:color w:val="0000FF"/>
            <w:sz w:val="24"/>
            <w:szCs w:val="24"/>
            <w:u w:val="single"/>
            <w:lang/>
          </w:rPr>
          <w:t>пунктом 200</w:t>
        </w:r>
      </w:hyperlink>
      <w:hyperlink r:id="rId3391"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392"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 xml:space="preserve">Накл), є недостатньою для реєстрації таким платником податкової накладної або розрахунку коригування до такої податкової накладної за звітні періоди виникнення такого перевищення, платник податку </w:t>
      </w:r>
      <w:r w:rsidRPr="008B264B">
        <w:rPr>
          <w:rFonts w:ascii="Times New Roman" w:eastAsia="Times New Roman" w:hAnsi="Times New Roman" w:cs="Times New Roman"/>
          <w:color w:val="000000"/>
          <w:sz w:val="24"/>
          <w:szCs w:val="24"/>
          <w:lang/>
        </w:rPr>
        <w:lastRenderedPageBreak/>
        <w:t>має право зареєструвати податкову накладну або розрахунок коригування в Єдиному реєстрі податкових накладних на суму податку, що дорівнює значенню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Перевищ, зменшеного на суму задекларованих до сплати податкових зобов’язань за періоди починаючи з 1 липня 2015 року (включаючи податкові зобов’язання, які були сплачені платником податку, та податкові зобов’язання, які не були сплачені платником податку) та збільшеного на значення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ПопРах незалежно від значення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визначеного відповідно до пункту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цієї статті.</w:t>
      </w:r>
    </w:p>
    <w:p w14:paraId="153BC4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3" w:name="n14270"/>
      <w:bookmarkEnd w:id="6163"/>
      <w:r w:rsidRPr="008B264B">
        <w:rPr>
          <w:rFonts w:ascii="Times New Roman" w:eastAsia="Times New Roman" w:hAnsi="Times New Roman" w:cs="Times New Roman"/>
          <w:color w:val="000000"/>
          <w:sz w:val="24"/>
          <w:szCs w:val="24"/>
          <w:lang/>
        </w:rPr>
        <w:t>Платник податку має право зареєструвати в порядку, визначеному абзацом першим цього пункту, тільки </w:t>
      </w:r>
      <w:hyperlink r:id="rId3393" w:anchor="n20" w:tgtFrame="_blank" w:history="1">
        <w:r w:rsidRPr="008B264B">
          <w:rPr>
            <w:rFonts w:ascii="Times New Roman" w:eastAsia="Times New Roman" w:hAnsi="Times New Roman" w:cs="Times New Roman"/>
            <w:color w:val="0000FF"/>
            <w:sz w:val="24"/>
            <w:szCs w:val="24"/>
            <w:u w:val="single"/>
            <w:lang/>
          </w:rPr>
          <w:t>податкові накладні</w:t>
        </w:r>
      </w:hyperlink>
      <w:r w:rsidRPr="008B264B">
        <w:rPr>
          <w:rFonts w:ascii="Times New Roman" w:eastAsia="Times New Roman" w:hAnsi="Times New Roman" w:cs="Times New Roman"/>
          <w:color w:val="000000"/>
          <w:sz w:val="24"/>
          <w:szCs w:val="24"/>
          <w:lang/>
        </w:rPr>
        <w:t> за звітні періоди, в яких виникло перевищення податкових зобов’язань, зазначених платником у поданих </w:t>
      </w:r>
      <w:hyperlink r:id="rId3394" w:anchor="n20" w:tgtFrame="_blank" w:history="1">
        <w:r w:rsidRPr="008B264B">
          <w:rPr>
            <w:rFonts w:ascii="Times New Roman" w:eastAsia="Times New Roman" w:hAnsi="Times New Roman" w:cs="Times New Roman"/>
            <w:color w:val="0000FF"/>
            <w:sz w:val="24"/>
            <w:szCs w:val="24"/>
            <w:u w:val="single"/>
            <w:lang/>
          </w:rPr>
          <w:t>податкових деклараціях</w:t>
        </w:r>
      </w:hyperlink>
      <w:r w:rsidRPr="008B264B">
        <w:rPr>
          <w:rFonts w:ascii="Times New Roman" w:eastAsia="Times New Roman" w:hAnsi="Times New Roman" w:cs="Times New Roman"/>
          <w:color w:val="000000"/>
          <w:sz w:val="24"/>
          <w:szCs w:val="24"/>
          <w:lang/>
        </w:rPr>
        <w:t> з урахуванням уточнюючих розрахунків до них, над сумою податку, що міститься в складених таким платником податкових накладних та розрахунках коригування до таких податкових накладних, зареєстрованих в Єдиному реєстрі податкових накладних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Перевищ).</w:t>
      </w:r>
    </w:p>
    <w:p w14:paraId="30E17D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4" w:name="n14268"/>
      <w:bookmarkEnd w:id="6164"/>
      <w:r w:rsidRPr="008B264B">
        <w:rPr>
          <w:rFonts w:ascii="Times New Roman" w:eastAsia="Times New Roman" w:hAnsi="Times New Roman" w:cs="Times New Roman"/>
          <w:i/>
          <w:iCs/>
          <w:color w:val="000000"/>
          <w:sz w:val="24"/>
          <w:szCs w:val="24"/>
          <w:lang/>
        </w:rPr>
        <w:t>{Статтю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доповнено пунктом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.9 згідно із Законом </w:t>
      </w:r>
      <w:hyperlink r:id="rId3395" w:anchor="n12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87A7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5" w:name="n11302"/>
      <w:bookmarkEnd w:id="6165"/>
      <w:r w:rsidRPr="008B264B">
        <w:rPr>
          <w:rFonts w:ascii="Times New Roman" w:eastAsia="Times New Roman" w:hAnsi="Times New Roman" w:cs="Times New Roman"/>
          <w:i/>
          <w:iCs/>
          <w:color w:val="000000"/>
          <w:sz w:val="24"/>
          <w:szCs w:val="24"/>
          <w:lang/>
        </w:rPr>
        <w:t>{Кодекс доповнено статтею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396" w:anchor="n6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3882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6" w:name="n5052"/>
      <w:bookmarkEnd w:id="6166"/>
      <w:r w:rsidRPr="008B264B">
        <w:rPr>
          <w:rFonts w:ascii="Times New Roman" w:eastAsia="Times New Roman" w:hAnsi="Times New Roman" w:cs="Times New Roman"/>
          <w:b/>
          <w:bCs/>
          <w:color w:val="000000"/>
          <w:sz w:val="24"/>
          <w:szCs w:val="24"/>
          <w:lang/>
        </w:rPr>
        <w:t>Стаття 201.</w:t>
      </w:r>
      <w:r w:rsidRPr="008B264B">
        <w:rPr>
          <w:rFonts w:ascii="Times New Roman" w:eastAsia="Times New Roman" w:hAnsi="Times New Roman" w:cs="Times New Roman"/>
          <w:color w:val="000000"/>
          <w:sz w:val="24"/>
          <w:szCs w:val="24"/>
          <w:lang/>
        </w:rPr>
        <w:t> Податкова накладна</w:t>
      </w:r>
    </w:p>
    <w:p w14:paraId="22E0E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7" w:name="n10396"/>
      <w:bookmarkEnd w:id="6167"/>
      <w:r w:rsidRPr="008B264B">
        <w:rPr>
          <w:rFonts w:ascii="Times New Roman" w:eastAsia="Times New Roman" w:hAnsi="Times New Roman" w:cs="Times New Roman"/>
          <w:color w:val="000000"/>
          <w:sz w:val="24"/>
          <w:szCs w:val="24"/>
          <w:lang/>
        </w:rPr>
        <w:t>201.1. На дату виникнення податкових зобов’язань платник податку зобов’язаний скласти податкову накладну в електронній формі з дотриманням умови щодо реєстрації у порядку, визначеному законодавством, кваліфікованого електронного підпису уповноваженої платником особи та зареєструвати її в Єдиному реєстрі податкових накладних у встановлений цим Кодексом термін.</w:t>
      </w:r>
    </w:p>
    <w:p w14:paraId="285AEC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8" w:name="n10132"/>
      <w:bookmarkEnd w:id="6168"/>
      <w:r w:rsidRPr="008B264B">
        <w:rPr>
          <w:rFonts w:ascii="Times New Roman" w:eastAsia="Times New Roman" w:hAnsi="Times New Roman" w:cs="Times New Roman"/>
          <w:i/>
          <w:iCs/>
          <w:color w:val="000000"/>
          <w:sz w:val="24"/>
          <w:szCs w:val="24"/>
          <w:lang/>
        </w:rPr>
        <w:t>{Абзаци перший - третій пункту 201.1 статті 201 замінено одним абзацом згідно із Законом </w:t>
      </w:r>
      <w:hyperlink r:id="rId3397" w:anchor="n7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398" w:anchor="n7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399" w:anchor="n29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400" w:anchor="n41"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432540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69" w:name="n5059"/>
      <w:bookmarkEnd w:id="6169"/>
      <w:r w:rsidRPr="008B264B">
        <w:rPr>
          <w:rFonts w:ascii="Times New Roman" w:eastAsia="Times New Roman" w:hAnsi="Times New Roman" w:cs="Times New Roman"/>
          <w:color w:val="000000"/>
          <w:sz w:val="24"/>
          <w:szCs w:val="24"/>
          <w:lang/>
        </w:rPr>
        <w:t>У податковій накладній зазначаються в окремих рядках такі обов'язкові реквізити:</w:t>
      </w:r>
    </w:p>
    <w:p w14:paraId="071E55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0" w:name="n5060"/>
      <w:bookmarkEnd w:id="6170"/>
      <w:r w:rsidRPr="008B264B">
        <w:rPr>
          <w:rFonts w:ascii="Times New Roman" w:eastAsia="Times New Roman" w:hAnsi="Times New Roman" w:cs="Times New Roman"/>
          <w:i/>
          <w:iCs/>
          <w:color w:val="000000"/>
          <w:sz w:val="24"/>
          <w:szCs w:val="24"/>
          <w:lang/>
        </w:rPr>
        <w:t>{Абзац пункту 201.1 статті 201 в редакції Закону </w:t>
      </w:r>
      <w:hyperlink r:id="rId3401" w:anchor="n32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1CF6E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1" w:name="n5061"/>
      <w:bookmarkEnd w:id="6171"/>
      <w:r w:rsidRPr="008B264B">
        <w:rPr>
          <w:rFonts w:ascii="Times New Roman" w:eastAsia="Times New Roman" w:hAnsi="Times New Roman" w:cs="Times New Roman"/>
          <w:color w:val="000000"/>
          <w:sz w:val="24"/>
          <w:szCs w:val="24"/>
          <w:lang/>
        </w:rPr>
        <w:t>а) порядковий номер податкової накладної;</w:t>
      </w:r>
    </w:p>
    <w:p w14:paraId="7DD0C4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2" w:name="n5062"/>
      <w:bookmarkEnd w:id="6172"/>
      <w:r w:rsidRPr="008B264B">
        <w:rPr>
          <w:rFonts w:ascii="Times New Roman" w:eastAsia="Times New Roman" w:hAnsi="Times New Roman" w:cs="Times New Roman"/>
          <w:i/>
          <w:iCs/>
          <w:color w:val="000000"/>
          <w:sz w:val="24"/>
          <w:szCs w:val="24"/>
          <w:lang/>
        </w:rPr>
        <w:t>{Абзац пункту 201.1 статті 201 в редакції Закону </w:t>
      </w:r>
      <w:hyperlink r:id="rId3402" w:anchor="n32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D0012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3" w:name="n5063"/>
      <w:bookmarkEnd w:id="6173"/>
      <w:r w:rsidRPr="008B264B">
        <w:rPr>
          <w:rFonts w:ascii="Times New Roman" w:eastAsia="Times New Roman" w:hAnsi="Times New Roman" w:cs="Times New Roman"/>
          <w:color w:val="000000"/>
          <w:sz w:val="24"/>
          <w:szCs w:val="24"/>
          <w:lang/>
        </w:rPr>
        <w:t>б) дата складання податкової накладної;</w:t>
      </w:r>
    </w:p>
    <w:p w14:paraId="16C274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4" w:name="n14271"/>
      <w:bookmarkEnd w:id="6174"/>
      <w:r w:rsidRPr="008B264B">
        <w:rPr>
          <w:rFonts w:ascii="Times New Roman" w:eastAsia="Times New Roman" w:hAnsi="Times New Roman" w:cs="Times New Roman"/>
          <w:i/>
          <w:iCs/>
          <w:color w:val="000000"/>
          <w:sz w:val="24"/>
          <w:szCs w:val="24"/>
          <w:lang/>
        </w:rPr>
        <w:t>{Абзац четвертий пункту 201.1 статті 201 із змінами, внесеними згідно із Законом </w:t>
      </w:r>
      <w:hyperlink r:id="rId3403" w:anchor="n12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CF036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5" w:name="n5064"/>
      <w:bookmarkEnd w:id="6175"/>
      <w:r w:rsidRPr="008B264B">
        <w:rPr>
          <w:rFonts w:ascii="Times New Roman" w:eastAsia="Times New Roman" w:hAnsi="Times New Roman" w:cs="Times New Roman"/>
          <w:color w:val="000000"/>
          <w:sz w:val="24"/>
          <w:szCs w:val="24"/>
          <w:lang/>
        </w:rPr>
        <w:t>в) повна або скорочена назва, зазначена у статутних документах юридичної особи або прізвище, ім'я та по батькові фізичної особи, зареєстрованої як платник податку на додану вартість, - продавця товарів/послуг;</w:t>
      </w:r>
    </w:p>
    <w:p w14:paraId="667A9B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6" w:name="n5065"/>
      <w:bookmarkEnd w:id="6176"/>
      <w:r w:rsidRPr="008B264B">
        <w:rPr>
          <w:rFonts w:ascii="Times New Roman" w:eastAsia="Times New Roman" w:hAnsi="Times New Roman" w:cs="Times New Roman"/>
          <w:color w:val="000000"/>
          <w:sz w:val="24"/>
          <w:szCs w:val="24"/>
          <w:lang/>
        </w:rPr>
        <w:t>г) податковий номер платника податку (продавця та покупця). У разі постачання/придбання філією (структурним підрозділом) товарів/послуг, яка фактично є від імені головного підприємства - платника податку стороною договору, у податковій накладній, крім податкового номера платника податку додатково зазначається числовий номер такої філії (структурного підрозділу);</w:t>
      </w:r>
    </w:p>
    <w:p w14:paraId="089EB1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7" w:name="n12423"/>
      <w:bookmarkEnd w:id="6177"/>
      <w:r w:rsidRPr="008B264B">
        <w:rPr>
          <w:rFonts w:ascii="Times New Roman" w:eastAsia="Times New Roman" w:hAnsi="Times New Roman" w:cs="Times New Roman"/>
          <w:i/>
          <w:iCs/>
          <w:color w:val="000000"/>
          <w:sz w:val="24"/>
          <w:szCs w:val="24"/>
          <w:lang/>
        </w:rPr>
        <w:t>{Підпункт "г" пункту 201.1 статті 201 із змінами, внесеними згідно із Законом </w:t>
      </w:r>
      <w:hyperlink r:id="rId3404" w:anchor="n74"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B06E4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8" w:name="n5066"/>
      <w:bookmarkEnd w:id="6178"/>
      <w:r w:rsidRPr="008B264B">
        <w:rPr>
          <w:rFonts w:ascii="Times New Roman" w:eastAsia="Times New Roman" w:hAnsi="Times New Roman" w:cs="Times New Roman"/>
          <w:i/>
          <w:iCs/>
          <w:color w:val="000000"/>
          <w:sz w:val="24"/>
          <w:szCs w:val="24"/>
          <w:lang/>
        </w:rPr>
        <w:t>{Підпункт "ґ" пункту 201.1 статті 201 виключено на підставі Закону </w:t>
      </w:r>
      <w:hyperlink r:id="rId3405" w:anchor="n7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62871F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79" w:name="n5067"/>
      <w:bookmarkEnd w:id="6179"/>
      <w:r w:rsidRPr="008B264B">
        <w:rPr>
          <w:rFonts w:ascii="Times New Roman" w:eastAsia="Times New Roman" w:hAnsi="Times New Roman" w:cs="Times New Roman"/>
          <w:color w:val="000000"/>
          <w:sz w:val="24"/>
          <w:szCs w:val="24"/>
          <w:lang/>
        </w:rPr>
        <w:lastRenderedPageBreak/>
        <w:t>д) повна або скорочена назва, зазначена у статутних документах юридичної особи або прізвище, ім'я та по батькові фізичної особи, зареєстрованої як платник податку на додану вартість, - покупця (отримувача) товарів/послуг;</w:t>
      </w:r>
    </w:p>
    <w:p w14:paraId="74D6C9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0" w:name="n5068"/>
      <w:bookmarkEnd w:id="6180"/>
      <w:r w:rsidRPr="008B264B">
        <w:rPr>
          <w:rFonts w:ascii="Times New Roman" w:eastAsia="Times New Roman" w:hAnsi="Times New Roman" w:cs="Times New Roman"/>
          <w:color w:val="000000"/>
          <w:sz w:val="24"/>
          <w:szCs w:val="24"/>
          <w:lang/>
        </w:rPr>
        <w:t>е) опис (номенклатура) товарів/послуг та їх кількість, обсяг;</w:t>
      </w:r>
    </w:p>
    <w:p w14:paraId="6EEDA6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1" w:name="n5069"/>
      <w:bookmarkEnd w:id="6181"/>
      <w:r w:rsidRPr="008B264B">
        <w:rPr>
          <w:rFonts w:ascii="Times New Roman" w:eastAsia="Times New Roman" w:hAnsi="Times New Roman" w:cs="Times New Roman"/>
          <w:color w:val="000000"/>
          <w:sz w:val="24"/>
          <w:szCs w:val="24"/>
          <w:lang/>
        </w:rPr>
        <w:t>є) ціна постачання без урахування податку;</w:t>
      </w:r>
    </w:p>
    <w:p w14:paraId="2E098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2" w:name="n5070"/>
      <w:bookmarkEnd w:id="6182"/>
      <w:r w:rsidRPr="008B264B">
        <w:rPr>
          <w:rFonts w:ascii="Times New Roman" w:eastAsia="Times New Roman" w:hAnsi="Times New Roman" w:cs="Times New Roman"/>
          <w:color w:val="000000"/>
          <w:sz w:val="24"/>
          <w:szCs w:val="24"/>
          <w:lang/>
        </w:rPr>
        <w:t>ж) ставка податку та відповідна сума податку в цифровому значенні;</w:t>
      </w:r>
    </w:p>
    <w:p w14:paraId="3F0BDD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3" w:name="n5071"/>
      <w:bookmarkEnd w:id="6183"/>
      <w:r w:rsidRPr="008B264B">
        <w:rPr>
          <w:rFonts w:ascii="Times New Roman" w:eastAsia="Times New Roman" w:hAnsi="Times New Roman" w:cs="Times New Roman"/>
          <w:color w:val="000000"/>
          <w:sz w:val="24"/>
          <w:szCs w:val="24"/>
          <w:lang/>
        </w:rPr>
        <w:t>з) загальна сума коштів, що підлягають сплаті з урахуванням податку;</w:t>
      </w:r>
    </w:p>
    <w:p w14:paraId="4536B7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4" w:name="n5072"/>
      <w:bookmarkEnd w:id="6184"/>
      <w:r w:rsidRPr="008B264B">
        <w:rPr>
          <w:rFonts w:ascii="Times New Roman" w:eastAsia="Times New Roman" w:hAnsi="Times New Roman" w:cs="Times New Roman"/>
          <w:i/>
          <w:iCs/>
          <w:color w:val="000000"/>
          <w:sz w:val="24"/>
          <w:szCs w:val="24"/>
          <w:lang/>
        </w:rPr>
        <w:t>{Підпункт "и" пункту 201.1 статті 201 виключено на підставі Закону </w:t>
      </w:r>
      <w:hyperlink r:id="rId3406" w:anchor="n75"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F1E4D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5" w:name="n5073"/>
      <w:bookmarkEnd w:id="6185"/>
      <w:r w:rsidRPr="008B264B">
        <w:rPr>
          <w:rFonts w:ascii="Times New Roman" w:eastAsia="Times New Roman" w:hAnsi="Times New Roman" w:cs="Times New Roman"/>
          <w:color w:val="000000"/>
          <w:sz w:val="24"/>
          <w:szCs w:val="24"/>
          <w:lang/>
        </w:rPr>
        <w:t>і) код товару згідно з </w:t>
      </w:r>
      <w:hyperlink r:id="rId340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для послуг - код послуги згідно з </w:t>
      </w:r>
      <w:hyperlink r:id="rId3408" w:anchor="n133" w:tgtFrame="_blank" w:history="1">
        <w:r w:rsidRPr="008B264B">
          <w:rPr>
            <w:rFonts w:ascii="Times New Roman" w:eastAsia="Times New Roman" w:hAnsi="Times New Roman" w:cs="Times New Roman"/>
            <w:color w:val="0000FF"/>
            <w:sz w:val="24"/>
            <w:szCs w:val="24"/>
            <w:u w:val="single"/>
            <w:lang/>
          </w:rPr>
          <w:t>Державним класифікатором продукції та послуг</w:t>
        </w:r>
      </w:hyperlink>
      <w:r w:rsidRPr="008B264B">
        <w:rPr>
          <w:rFonts w:ascii="Times New Roman" w:eastAsia="Times New Roman" w:hAnsi="Times New Roman" w:cs="Times New Roman"/>
          <w:color w:val="000000"/>
          <w:sz w:val="24"/>
          <w:szCs w:val="24"/>
          <w:lang/>
        </w:rPr>
        <w:t>; платники податків, крім випадків постачання підакцизних товарів та товарів, ввезених на митну територію України, мають право зазначати код товару згідно з УКТ ЗЕД або код послуги згідно з Державним класифікатором продукції та послуг неповністю, але не менше ніж чотири перших цифри відповідного коду;</w:t>
      </w:r>
    </w:p>
    <w:p w14:paraId="288F45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6" w:name="n5074"/>
      <w:bookmarkEnd w:id="6186"/>
      <w:r w:rsidRPr="008B264B">
        <w:rPr>
          <w:rFonts w:ascii="Times New Roman" w:eastAsia="Times New Roman" w:hAnsi="Times New Roman" w:cs="Times New Roman"/>
          <w:i/>
          <w:iCs/>
          <w:color w:val="000000"/>
          <w:sz w:val="24"/>
          <w:szCs w:val="24"/>
          <w:lang/>
        </w:rPr>
        <w:t>{Пункт 201.1 статті 201 доповнено підпунктом "і" згідно із Законом </w:t>
      </w:r>
      <w:hyperlink r:id="rId340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3410" w:anchor="n12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B69DC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7" w:name="n5076"/>
      <w:bookmarkEnd w:id="6187"/>
      <w:r w:rsidRPr="008B264B">
        <w:rPr>
          <w:rFonts w:ascii="Times New Roman" w:eastAsia="Times New Roman" w:hAnsi="Times New Roman" w:cs="Times New Roman"/>
          <w:i/>
          <w:iCs/>
          <w:color w:val="000000"/>
          <w:sz w:val="24"/>
          <w:szCs w:val="24"/>
          <w:lang/>
        </w:rPr>
        <w:t>{Підпункт "ї" пункту 201.1 статті 201 виключено на підставі Закону </w:t>
      </w:r>
      <w:hyperlink r:id="rId3411" w:anchor="n13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473CD9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8" w:name="n15332"/>
      <w:bookmarkEnd w:id="6188"/>
      <w:r w:rsidRPr="008B264B">
        <w:rPr>
          <w:rFonts w:ascii="Times New Roman" w:eastAsia="Times New Roman" w:hAnsi="Times New Roman" w:cs="Times New Roman"/>
          <w:color w:val="000000"/>
          <w:sz w:val="24"/>
          <w:szCs w:val="24"/>
          <w:lang/>
        </w:rPr>
        <w:t>й) індивідуальний податковий номер.</w:t>
      </w:r>
    </w:p>
    <w:p w14:paraId="0468CD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89" w:name="n15331"/>
      <w:bookmarkEnd w:id="6189"/>
      <w:r w:rsidRPr="008B264B">
        <w:rPr>
          <w:rFonts w:ascii="Times New Roman" w:eastAsia="Times New Roman" w:hAnsi="Times New Roman" w:cs="Times New Roman"/>
          <w:i/>
          <w:iCs/>
          <w:color w:val="000000"/>
          <w:sz w:val="24"/>
          <w:szCs w:val="24"/>
          <w:lang/>
        </w:rPr>
        <w:t>{Пункт 201.1 статті 201 доповнено підпунктом "й" згідно із Законом </w:t>
      </w:r>
      <w:hyperlink r:id="rId3412" w:anchor="n26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3B24D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0" w:name="n10402"/>
      <w:bookmarkEnd w:id="6190"/>
      <w:r w:rsidRPr="008B264B">
        <w:rPr>
          <w:rFonts w:ascii="Times New Roman" w:eastAsia="Times New Roman" w:hAnsi="Times New Roman" w:cs="Times New Roman"/>
          <w:i/>
          <w:iCs/>
          <w:color w:val="000000"/>
          <w:sz w:val="24"/>
          <w:szCs w:val="24"/>
          <w:lang/>
        </w:rPr>
        <w:t>{Пункт 201.1 статті 201 із змінами, внесеними згідно із Законом </w:t>
      </w:r>
      <w:hyperlink r:id="rId3413" w:anchor="n88"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414"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A59E0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1" w:name="n5078"/>
      <w:bookmarkEnd w:id="6191"/>
      <w:r w:rsidRPr="008B264B">
        <w:rPr>
          <w:rFonts w:ascii="Times New Roman" w:eastAsia="Times New Roman" w:hAnsi="Times New Roman" w:cs="Times New Roman"/>
          <w:color w:val="000000"/>
          <w:sz w:val="24"/>
          <w:szCs w:val="24"/>
          <w:lang/>
        </w:rPr>
        <w:t>201.2. </w:t>
      </w:r>
      <w:hyperlink r:id="rId3415" w:anchor="n17" w:tgtFrame="_blank" w:history="1">
        <w:r w:rsidRPr="008B264B">
          <w:rPr>
            <w:rFonts w:ascii="Times New Roman" w:eastAsia="Times New Roman" w:hAnsi="Times New Roman" w:cs="Times New Roman"/>
            <w:color w:val="0000FF"/>
            <w:sz w:val="24"/>
            <w:szCs w:val="24"/>
            <w:u w:val="single"/>
            <w:lang/>
          </w:rPr>
          <w:t>Форма</w:t>
        </w:r>
      </w:hyperlink>
      <w:r w:rsidRPr="008B264B">
        <w:rPr>
          <w:rFonts w:ascii="Times New Roman" w:eastAsia="Times New Roman" w:hAnsi="Times New Roman" w:cs="Times New Roman"/>
          <w:color w:val="000000"/>
          <w:sz w:val="24"/>
          <w:szCs w:val="24"/>
          <w:lang/>
        </w:rPr>
        <w:t> та </w:t>
      </w:r>
      <w:hyperlink r:id="rId3416" w:anchor="n21"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заповнення податкової накладної затверджуються центральним органом виконавчої влади, що забезпечує формування та реалізує державну фінансову політику.</w:t>
      </w:r>
    </w:p>
    <w:p w14:paraId="54F716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2" w:name="n13453"/>
      <w:bookmarkEnd w:id="6192"/>
      <w:r w:rsidRPr="008B264B">
        <w:rPr>
          <w:rFonts w:ascii="Times New Roman" w:eastAsia="Times New Roman" w:hAnsi="Times New Roman" w:cs="Times New Roman"/>
          <w:i/>
          <w:iCs/>
          <w:color w:val="000000"/>
          <w:sz w:val="24"/>
          <w:szCs w:val="24"/>
          <w:lang/>
        </w:rPr>
        <w:t>{Пункт 201.2 статті 201 із змінами, внесеними згідно із Законом </w:t>
      </w:r>
      <w:hyperlink r:id="rId34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627B4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3" w:name="n5079"/>
      <w:bookmarkEnd w:id="6193"/>
      <w:r w:rsidRPr="008B264B">
        <w:rPr>
          <w:rFonts w:ascii="Times New Roman" w:eastAsia="Times New Roman" w:hAnsi="Times New Roman" w:cs="Times New Roman"/>
          <w:color w:val="000000"/>
          <w:sz w:val="24"/>
          <w:szCs w:val="24"/>
          <w:lang/>
        </w:rPr>
        <w:t>201.3. У разі звільнення від оподаткування у </w:t>
      </w:r>
      <w:hyperlink r:id="rId3418"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робиться запис "Без ПДВ" з посиланням на відповідні пункти (підпункти), статті, підрозділи, розділи цього Кодексу та/або міжнародного договору, якими передбачено звільнення від оподаткування податком.</w:t>
      </w:r>
    </w:p>
    <w:p w14:paraId="5C3D9C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4" w:name="n14272"/>
      <w:bookmarkEnd w:id="6194"/>
      <w:r w:rsidRPr="008B264B">
        <w:rPr>
          <w:rFonts w:ascii="Times New Roman" w:eastAsia="Times New Roman" w:hAnsi="Times New Roman" w:cs="Times New Roman"/>
          <w:i/>
          <w:iCs/>
          <w:color w:val="000000"/>
          <w:sz w:val="24"/>
          <w:szCs w:val="24"/>
          <w:lang/>
        </w:rPr>
        <w:t>{Пункт 201.3 статті 201 в редакції Закону </w:t>
      </w:r>
      <w:hyperlink r:id="rId3419" w:anchor="n121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2BC38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5" w:name="n5080"/>
      <w:bookmarkEnd w:id="6195"/>
      <w:r w:rsidRPr="008B264B">
        <w:rPr>
          <w:rFonts w:ascii="Times New Roman" w:eastAsia="Times New Roman" w:hAnsi="Times New Roman" w:cs="Times New Roman"/>
          <w:color w:val="000000"/>
          <w:sz w:val="24"/>
          <w:szCs w:val="24"/>
          <w:lang/>
        </w:rPr>
        <w:t>201.4. </w:t>
      </w:r>
      <w:r w:rsidRPr="008B264B">
        <w:rPr>
          <w:rFonts w:ascii="Times New Roman" w:eastAsia="Times New Roman" w:hAnsi="Times New Roman" w:cs="Times New Roman"/>
          <w:i/>
          <w:iCs/>
          <w:color w:val="000000"/>
          <w:sz w:val="24"/>
          <w:szCs w:val="24"/>
          <w:lang/>
        </w:rPr>
        <w:t>{Абзац перший пункту 201.4 статті 201 виключено на підставі Закону </w:t>
      </w:r>
      <w:hyperlink r:id="rId3420" w:anchor="n29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9C8CA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6" w:name="n11334"/>
      <w:bookmarkEnd w:id="6196"/>
      <w:r w:rsidRPr="008B264B">
        <w:rPr>
          <w:rFonts w:ascii="Times New Roman" w:eastAsia="Times New Roman" w:hAnsi="Times New Roman" w:cs="Times New Roman"/>
          <w:color w:val="000000"/>
          <w:sz w:val="24"/>
          <w:szCs w:val="24"/>
          <w:lang/>
        </w:rPr>
        <w:t>Платники податку в разі здійснення постачання товарів/послуг протягом періоду, за який складається така податкова накладна, постачання яких має безперервний або ритмічний характер:</w:t>
      </w:r>
    </w:p>
    <w:p w14:paraId="36FEF3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7" w:name="n12424"/>
      <w:bookmarkEnd w:id="6197"/>
      <w:r w:rsidRPr="008B264B">
        <w:rPr>
          <w:rFonts w:ascii="Times New Roman" w:eastAsia="Times New Roman" w:hAnsi="Times New Roman" w:cs="Times New Roman"/>
          <w:i/>
          <w:iCs/>
          <w:color w:val="000000"/>
          <w:sz w:val="24"/>
          <w:szCs w:val="24"/>
          <w:lang/>
        </w:rPr>
        <w:t>{Абзац другий пункту 201.4 статті 201 в редакції Закону </w:t>
      </w:r>
      <w:hyperlink r:id="rId3421"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422" w:anchor="n29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DD194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8" w:name="n12425"/>
      <w:bookmarkEnd w:id="6198"/>
      <w:r w:rsidRPr="008B264B">
        <w:rPr>
          <w:rFonts w:ascii="Times New Roman" w:eastAsia="Times New Roman" w:hAnsi="Times New Roman" w:cs="Times New Roman"/>
          <w:color w:val="000000"/>
          <w:sz w:val="24"/>
          <w:szCs w:val="24"/>
          <w:lang/>
        </w:rPr>
        <w:t>покупцям - платникам податку - можуть складати не пізніше останнього дня місяця, в якому здійснено такі постачання, зведені податкові накладні на кожного платника податку, з яким постачання мають такий характер протягом періоду, за який складається така податкова накладна, з урахуванням усього обсягу постачання товарів/послуг відповідному платнику протягом такого місяця;</w:t>
      </w:r>
    </w:p>
    <w:p w14:paraId="1C333D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199" w:name="n12433"/>
      <w:bookmarkEnd w:id="6199"/>
      <w:r w:rsidRPr="008B264B">
        <w:rPr>
          <w:rFonts w:ascii="Times New Roman" w:eastAsia="Times New Roman" w:hAnsi="Times New Roman" w:cs="Times New Roman"/>
          <w:i/>
          <w:iCs/>
          <w:color w:val="000000"/>
          <w:sz w:val="24"/>
          <w:szCs w:val="24"/>
          <w:lang/>
        </w:rPr>
        <w:lastRenderedPageBreak/>
        <w:t>{Абзац пункту 201.4 статті 201 в редакції Закону </w:t>
      </w:r>
      <w:hyperlink r:id="rId3423"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424" w:anchor="n29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4C703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0" w:name="n12426"/>
      <w:bookmarkEnd w:id="6200"/>
      <w:r w:rsidRPr="008B264B">
        <w:rPr>
          <w:rFonts w:ascii="Times New Roman" w:eastAsia="Times New Roman" w:hAnsi="Times New Roman" w:cs="Times New Roman"/>
          <w:color w:val="000000"/>
          <w:sz w:val="24"/>
          <w:szCs w:val="24"/>
          <w:lang/>
        </w:rPr>
        <w:t>покупцям - особам, не зареєстрованим платниками податку, - можуть складати не пізніше останнього дня місяця, в якому здійснено такі постачання, зведену податкову накладну з урахуванням всього обсягу постачання товарів/послуг таким покупцям, з якими постачання мають такий характер, протягом такого місяця.</w:t>
      </w:r>
    </w:p>
    <w:p w14:paraId="11CD5F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1" w:name="n12434"/>
      <w:bookmarkEnd w:id="6201"/>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25"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0ED82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2" w:name="n12427"/>
      <w:bookmarkEnd w:id="6202"/>
      <w:r w:rsidRPr="008B264B">
        <w:rPr>
          <w:rFonts w:ascii="Times New Roman" w:eastAsia="Times New Roman" w:hAnsi="Times New Roman" w:cs="Times New Roman"/>
          <w:color w:val="000000"/>
          <w:sz w:val="24"/>
          <w:szCs w:val="24"/>
          <w:lang/>
        </w:rPr>
        <w:t>У разі якщо станом на дату складення зазначених податкових накладних сума коштів, що надійшла на поточний рахунок продавця як оплата (передоплата) за товари/послуги, перевищує вартість поставлених товарів/послуг протягом місяця, таке перевищення вважається попередньою оплатою (авансом), на суму якої складається податкова накладна у загальному порядку не пізніше останнього дня такого місяця.</w:t>
      </w:r>
    </w:p>
    <w:p w14:paraId="1560D9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3" w:name="n12435"/>
      <w:bookmarkEnd w:id="6203"/>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26"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3F8D80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4" w:name="n12428"/>
      <w:bookmarkEnd w:id="6204"/>
      <w:r w:rsidRPr="008B264B">
        <w:rPr>
          <w:rFonts w:ascii="Times New Roman" w:eastAsia="Times New Roman" w:hAnsi="Times New Roman" w:cs="Times New Roman"/>
          <w:color w:val="000000"/>
          <w:sz w:val="24"/>
          <w:szCs w:val="24"/>
          <w:lang/>
        </w:rPr>
        <w:t>Для цілей цього пункту ритмічним характером постачання вважається постачання товарів/послуг одному покупцю два та більше разів на місяць.</w:t>
      </w:r>
    </w:p>
    <w:p w14:paraId="3291FB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5" w:name="n12436"/>
      <w:bookmarkEnd w:id="6205"/>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27"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5649A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6" w:name="n12429"/>
      <w:bookmarkEnd w:id="6206"/>
      <w:r w:rsidRPr="008B264B">
        <w:rPr>
          <w:rFonts w:ascii="Times New Roman" w:eastAsia="Times New Roman" w:hAnsi="Times New Roman" w:cs="Times New Roman"/>
          <w:color w:val="000000"/>
          <w:sz w:val="24"/>
          <w:szCs w:val="24"/>
          <w:lang/>
        </w:rPr>
        <w:t>Податкова накладна може бути складена за щоденними підсумками операцій (якщо податкова накладна не була складена на ці операції) у разі:</w:t>
      </w:r>
    </w:p>
    <w:p w14:paraId="1F7D06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7" w:name="n12437"/>
      <w:bookmarkEnd w:id="6207"/>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28"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1A78B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8" w:name="n12430"/>
      <w:bookmarkEnd w:id="6208"/>
      <w:r w:rsidRPr="008B264B">
        <w:rPr>
          <w:rFonts w:ascii="Times New Roman" w:eastAsia="Times New Roman" w:hAnsi="Times New Roman" w:cs="Times New Roman"/>
          <w:color w:val="000000"/>
          <w:sz w:val="24"/>
          <w:szCs w:val="24"/>
          <w:lang/>
        </w:rPr>
        <w:t>здійснення постачання товарів/послуг за готівку кінцевому споживачеві (який не є платником податку), розрахунки за які проводяться через касу/реєстратори розрахункових операцій або через банківську установу чи платіжний пристрій (безпосередньо на поточний рахунок постачальника);</w:t>
      </w:r>
    </w:p>
    <w:p w14:paraId="23A85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09" w:name="n12438"/>
      <w:bookmarkEnd w:id="6209"/>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29"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0C27A4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0" w:name="n12431"/>
      <w:bookmarkEnd w:id="6210"/>
      <w:r w:rsidRPr="008B264B">
        <w:rPr>
          <w:rFonts w:ascii="Times New Roman" w:eastAsia="Times New Roman" w:hAnsi="Times New Roman" w:cs="Times New Roman"/>
          <w:color w:val="000000"/>
          <w:sz w:val="24"/>
          <w:szCs w:val="24"/>
          <w:lang/>
        </w:rPr>
        <w:t>виписки транспортних квитків, готельних рахунків або рахунків, які виставляються платнику податку за послуги зв’язку, інші послуги, вартість яких визначається за показниками приладів обліку, що містять загальну суму платежу, суму податку та податковий номер постачальника (продавця), крім тих, форма яких встановлена міжнародними стандартами;</w:t>
      </w:r>
    </w:p>
    <w:p w14:paraId="67DA53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1" w:name="n12439"/>
      <w:bookmarkEnd w:id="6211"/>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30"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3DAF8D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2" w:name="n12432"/>
      <w:bookmarkEnd w:id="6212"/>
      <w:r w:rsidRPr="008B264B">
        <w:rPr>
          <w:rFonts w:ascii="Times New Roman" w:eastAsia="Times New Roman" w:hAnsi="Times New Roman" w:cs="Times New Roman"/>
          <w:color w:val="000000"/>
          <w:sz w:val="24"/>
          <w:szCs w:val="24"/>
          <w:lang/>
        </w:rPr>
        <w:t>надання платнику податку касових чеків, що містять суму поставлених товарів/послуг, загальну суму нарахованого податку (з визначенням фіскального та податкового номерів постачальника).</w:t>
      </w:r>
    </w:p>
    <w:p w14:paraId="12CAD7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3" w:name="n12440"/>
      <w:bookmarkEnd w:id="6213"/>
      <w:r w:rsidRPr="008B264B">
        <w:rPr>
          <w:rFonts w:ascii="Times New Roman" w:eastAsia="Times New Roman" w:hAnsi="Times New Roman" w:cs="Times New Roman"/>
          <w:i/>
          <w:iCs/>
          <w:color w:val="000000"/>
          <w:sz w:val="24"/>
          <w:szCs w:val="24"/>
          <w:lang/>
        </w:rPr>
        <w:t>{Абзац пункту 201.4 статті 201 в редакції Закону </w:t>
      </w:r>
      <w:hyperlink r:id="rId3431" w:anchor="n7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0AB717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4" w:name="n14274"/>
      <w:bookmarkEnd w:id="6214"/>
      <w:r w:rsidRPr="008B264B">
        <w:rPr>
          <w:rFonts w:ascii="Times New Roman" w:eastAsia="Times New Roman" w:hAnsi="Times New Roman" w:cs="Times New Roman"/>
          <w:color w:val="000000"/>
          <w:sz w:val="24"/>
          <w:szCs w:val="24"/>
          <w:lang/>
        </w:rPr>
        <w:t>Платники податку в разі здійснення постачання товарів/послуг, база оподаткування яких, визначена відповідно до </w:t>
      </w:r>
      <w:hyperlink r:id="rId3432" w:anchor="n4551" w:history="1">
        <w:r w:rsidRPr="008B264B">
          <w:rPr>
            <w:rFonts w:ascii="Times New Roman" w:eastAsia="Times New Roman" w:hAnsi="Times New Roman" w:cs="Times New Roman"/>
            <w:color w:val="0000FF"/>
            <w:sz w:val="24"/>
            <w:szCs w:val="24"/>
            <w:u w:val="single"/>
            <w:lang/>
          </w:rPr>
          <w:t>статей 188</w:t>
        </w:r>
      </w:hyperlink>
      <w:r w:rsidRPr="008B264B">
        <w:rPr>
          <w:rFonts w:ascii="Times New Roman" w:eastAsia="Times New Roman" w:hAnsi="Times New Roman" w:cs="Times New Roman"/>
          <w:color w:val="000000"/>
          <w:sz w:val="24"/>
          <w:szCs w:val="24"/>
          <w:lang/>
        </w:rPr>
        <w:t> і </w:t>
      </w:r>
      <w:hyperlink r:id="rId3433" w:anchor="n4564" w:history="1">
        <w:r w:rsidRPr="008B264B">
          <w:rPr>
            <w:rFonts w:ascii="Times New Roman" w:eastAsia="Times New Roman" w:hAnsi="Times New Roman" w:cs="Times New Roman"/>
            <w:color w:val="0000FF"/>
            <w:sz w:val="24"/>
            <w:szCs w:val="24"/>
            <w:u w:val="single"/>
            <w:lang/>
          </w:rPr>
          <w:t>189</w:t>
        </w:r>
      </w:hyperlink>
      <w:r w:rsidRPr="008B264B">
        <w:rPr>
          <w:rFonts w:ascii="Times New Roman" w:eastAsia="Times New Roman" w:hAnsi="Times New Roman" w:cs="Times New Roman"/>
          <w:color w:val="000000"/>
          <w:sz w:val="24"/>
          <w:szCs w:val="24"/>
          <w:lang/>
        </w:rPr>
        <w:t> цього Кодексу, перевищує фактичну ціну постачання таких товарів/послуг, можуть скласти не пізніше останнього дня місяця, в якому здійснено такі постачання, зведену </w:t>
      </w:r>
      <w:hyperlink r:id="rId3434" w:anchor="n20" w:tgtFrame="_blank" w:history="1">
        <w:r w:rsidRPr="008B264B">
          <w:rPr>
            <w:rFonts w:ascii="Times New Roman" w:eastAsia="Times New Roman" w:hAnsi="Times New Roman" w:cs="Times New Roman"/>
            <w:color w:val="0000FF"/>
            <w:sz w:val="24"/>
            <w:szCs w:val="24"/>
            <w:u w:val="single"/>
            <w:lang/>
          </w:rPr>
          <w:t>податкову накладну</w:t>
        </w:r>
      </w:hyperlink>
      <w:r w:rsidRPr="008B264B">
        <w:rPr>
          <w:rFonts w:ascii="Times New Roman" w:eastAsia="Times New Roman" w:hAnsi="Times New Roman" w:cs="Times New Roman"/>
          <w:color w:val="000000"/>
          <w:sz w:val="24"/>
          <w:szCs w:val="24"/>
          <w:lang/>
        </w:rPr>
        <w:t> з урахуванням сум податку, розрахованих виходячи з перевищення бази оподаткування над фактичною ціною, визначених окремо по кожній операції з постачання товарів/послуг.</w:t>
      </w:r>
    </w:p>
    <w:p w14:paraId="2D1853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5" w:name="n14273"/>
      <w:bookmarkEnd w:id="6215"/>
      <w:r w:rsidRPr="008B264B">
        <w:rPr>
          <w:rFonts w:ascii="Times New Roman" w:eastAsia="Times New Roman" w:hAnsi="Times New Roman" w:cs="Times New Roman"/>
          <w:i/>
          <w:iCs/>
          <w:color w:val="000000"/>
          <w:sz w:val="24"/>
          <w:szCs w:val="24"/>
          <w:lang/>
        </w:rPr>
        <w:t>{Пункт 201.4 статті 201 доповнено абзацом одинадцятим згідно із Законом </w:t>
      </w:r>
      <w:hyperlink r:id="rId3435" w:anchor="n122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5310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6" w:name="n5081"/>
      <w:bookmarkEnd w:id="6216"/>
      <w:r w:rsidRPr="008B264B">
        <w:rPr>
          <w:rFonts w:ascii="Times New Roman" w:eastAsia="Times New Roman" w:hAnsi="Times New Roman" w:cs="Times New Roman"/>
          <w:i/>
          <w:iCs/>
          <w:color w:val="000000"/>
          <w:sz w:val="24"/>
          <w:szCs w:val="24"/>
          <w:lang/>
        </w:rPr>
        <w:t>{Пункт 201.4 статті 201 в редакції Законів </w:t>
      </w:r>
      <w:hyperlink r:id="rId3436" w:anchor="n32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437" w:anchor="n91"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438"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439" w:anchor="n7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2B566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7" w:name="n5082"/>
      <w:bookmarkEnd w:id="6217"/>
      <w:r w:rsidRPr="008B264B">
        <w:rPr>
          <w:rFonts w:ascii="Times New Roman" w:eastAsia="Times New Roman" w:hAnsi="Times New Roman" w:cs="Times New Roman"/>
          <w:color w:val="000000"/>
          <w:sz w:val="24"/>
          <w:szCs w:val="24"/>
          <w:lang/>
        </w:rPr>
        <w:lastRenderedPageBreak/>
        <w:t>201.5. Для операцій, що оподатковуються, і операцій, звільнених від оподаткування, складаються окремі податкові накладні.</w:t>
      </w:r>
    </w:p>
    <w:p w14:paraId="24326E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8" w:name="n10403"/>
      <w:bookmarkEnd w:id="6218"/>
      <w:r w:rsidRPr="008B264B">
        <w:rPr>
          <w:rFonts w:ascii="Times New Roman" w:eastAsia="Times New Roman" w:hAnsi="Times New Roman" w:cs="Times New Roman"/>
          <w:i/>
          <w:iCs/>
          <w:color w:val="000000"/>
          <w:sz w:val="24"/>
          <w:szCs w:val="24"/>
          <w:lang/>
        </w:rPr>
        <w:t>{Пункт 201.6 виключено на підставі Закону </w:t>
      </w:r>
      <w:hyperlink r:id="rId3440" w:anchor="n72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DCD71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19" w:name="n5085"/>
      <w:bookmarkEnd w:id="6219"/>
      <w:r w:rsidRPr="008B264B">
        <w:rPr>
          <w:rFonts w:ascii="Times New Roman" w:eastAsia="Times New Roman" w:hAnsi="Times New Roman" w:cs="Times New Roman"/>
          <w:color w:val="000000"/>
          <w:sz w:val="24"/>
          <w:szCs w:val="24"/>
          <w:lang/>
        </w:rPr>
        <w:t>201.7. Податкова накладна складається на кожне повне або часткове постачання товарів/послуг, а також на суму коштів, що надійшли на поточний рахунок як попередня оплата (аванс).</w:t>
      </w:r>
    </w:p>
    <w:p w14:paraId="0D98E4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0" w:name="n5086"/>
      <w:bookmarkEnd w:id="6220"/>
      <w:r w:rsidRPr="008B264B">
        <w:rPr>
          <w:rFonts w:ascii="Times New Roman" w:eastAsia="Times New Roman" w:hAnsi="Times New Roman" w:cs="Times New Roman"/>
          <w:i/>
          <w:iCs/>
          <w:color w:val="000000"/>
          <w:sz w:val="24"/>
          <w:szCs w:val="24"/>
          <w:lang/>
        </w:rPr>
        <w:t>{Абзац перший пункту 201.7 статті 201 із змінами, внесеними згідно із Законом </w:t>
      </w:r>
      <w:hyperlink r:id="rId3441" w:anchor="n32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D8D38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1" w:name="n5087"/>
      <w:bookmarkEnd w:id="6221"/>
      <w:r w:rsidRPr="008B264B">
        <w:rPr>
          <w:rFonts w:ascii="Times New Roman" w:eastAsia="Times New Roman" w:hAnsi="Times New Roman" w:cs="Times New Roman"/>
          <w:color w:val="000000"/>
          <w:sz w:val="24"/>
          <w:szCs w:val="24"/>
          <w:lang/>
        </w:rPr>
        <w:t>У разі якщо частка товарів/послуг, послуг не містить відокремленої вартості, перелік (номенклатура) частково поставлених товарів/послуг зазначається в додатку до податкової накладної у порядку, встановленому центральним органом виконавчої влади, що забезпечує формування та реалізує державну фінансову політику, та враховується при визначенні загальних податкових зобов'язань.</w:t>
      </w:r>
    </w:p>
    <w:p w14:paraId="6DC045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2" w:name="n13454"/>
      <w:bookmarkEnd w:id="6222"/>
      <w:r w:rsidRPr="008B264B">
        <w:rPr>
          <w:rFonts w:ascii="Times New Roman" w:eastAsia="Times New Roman" w:hAnsi="Times New Roman" w:cs="Times New Roman"/>
          <w:i/>
          <w:iCs/>
          <w:color w:val="000000"/>
          <w:sz w:val="24"/>
          <w:szCs w:val="24"/>
          <w:lang/>
        </w:rPr>
        <w:t>{Пункт 201.7 статті 201 із змінами, внесеними згідно із Законом </w:t>
      </w:r>
      <w:hyperlink r:id="rId3442"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4383B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3" w:name="n5088"/>
      <w:bookmarkEnd w:id="6223"/>
      <w:r w:rsidRPr="008B264B">
        <w:rPr>
          <w:rFonts w:ascii="Times New Roman" w:eastAsia="Times New Roman" w:hAnsi="Times New Roman" w:cs="Times New Roman"/>
          <w:color w:val="000000"/>
          <w:sz w:val="24"/>
          <w:szCs w:val="24"/>
          <w:lang/>
        </w:rPr>
        <w:t>201.8. Право на нарахування податку та складання податкових накладних надається виключно особам, зареєстрованим як платники податку в порядку, передбаченому </w:t>
      </w:r>
      <w:hyperlink r:id="rId3443" w:anchor="n4409" w:history="1">
        <w:r w:rsidRPr="008B264B">
          <w:rPr>
            <w:rFonts w:ascii="Times New Roman" w:eastAsia="Times New Roman" w:hAnsi="Times New Roman" w:cs="Times New Roman"/>
            <w:color w:val="0000FF"/>
            <w:sz w:val="24"/>
            <w:szCs w:val="24"/>
            <w:u w:val="single"/>
            <w:lang/>
          </w:rPr>
          <w:t>статтею 183</w:t>
        </w:r>
      </w:hyperlink>
      <w:r w:rsidRPr="008B264B">
        <w:rPr>
          <w:rFonts w:ascii="Times New Roman" w:eastAsia="Times New Roman" w:hAnsi="Times New Roman" w:cs="Times New Roman"/>
          <w:color w:val="000000"/>
          <w:sz w:val="24"/>
          <w:szCs w:val="24"/>
          <w:lang/>
        </w:rPr>
        <w:t> цього Кодексу.</w:t>
      </w:r>
    </w:p>
    <w:p w14:paraId="7C621A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4" w:name="n5089"/>
      <w:bookmarkEnd w:id="6224"/>
      <w:r w:rsidRPr="008B264B">
        <w:rPr>
          <w:rFonts w:ascii="Times New Roman" w:eastAsia="Times New Roman" w:hAnsi="Times New Roman" w:cs="Times New Roman"/>
          <w:color w:val="000000"/>
          <w:sz w:val="24"/>
          <w:szCs w:val="24"/>
          <w:lang/>
        </w:rPr>
        <w:t>201.9. Не дає права на віднесення сум податку до податкового кредиту податкова накладна, складена платником, звільненим від сплати податку за рішенням суду, після набрання чинності таким рішенням суду.</w:t>
      </w:r>
    </w:p>
    <w:p w14:paraId="5AA9EA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5" w:name="n5090"/>
      <w:bookmarkEnd w:id="6225"/>
      <w:r w:rsidRPr="008B264B">
        <w:rPr>
          <w:rFonts w:ascii="Times New Roman" w:eastAsia="Times New Roman" w:hAnsi="Times New Roman" w:cs="Times New Roman"/>
          <w:i/>
          <w:iCs/>
          <w:color w:val="000000"/>
          <w:sz w:val="24"/>
          <w:szCs w:val="24"/>
          <w:lang/>
        </w:rPr>
        <w:t>{Пункт 201.9 статті 201 із змінами, внесеними згідно із Законами </w:t>
      </w:r>
      <w:hyperlink r:id="rId344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445" w:anchor="n33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3A1C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6" w:name="n5091"/>
      <w:bookmarkEnd w:id="6226"/>
      <w:r w:rsidRPr="008B264B">
        <w:rPr>
          <w:rFonts w:ascii="Times New Roman" w:eastAsia="Times New Roman" w:hAnsi="Times New Roman" w:cs="Times New Roman"/>
          <w:i/>
          <w:iCs/>
          <w:color w:val="000000"/>
          <w:sz w:val="24"/>
          <w:szCs w:val="24"/>
          <w:lang/>
        </w:rPr>
        <w:t>{Зміни до пункту 201.10 статті 201 по Закону </w:t>
      </w:r>
      <w:hyperlink r:id="rId3446" w:anchor="n12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частині зупинення реєстрації податкових накладних/розрахунків коригування у Єдиному реєстрі податкових накладних набирають чинності з 01.04.2017, див. </w:t>
      </w:r>
      <w:hyperlink r:id="rId3447" w:anchor="n1612" w:tgtFrame="_blank" w:history="1">
        <w:r w:rsidRPr="008B264B">
          <w:rPr>
            <w:rFonts w:ascii="Times New Roman" w:eastAsia="Times New Roman" w:hAnsi="Times New Roman" w:cs="Times New Roman"/>
            <w:i/>
            <w:iCs/>
            <w:color w:val="0000FF"/>
            <w:sz w:val="24"/>
            <w:szCs w:val="24"/>
            <w:u w:val="single"/>
            <w:lang/>
          </w:rPr>
          <w:t>абзац п'ятий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r w:rsidRPr="008B264B">
        <w:rPr>
          <w:rFonts w:ascii="Times New Roman" w:eastAsia="Times New Roman" w:hAnsi="Times New Roman" w:cs="Times New Roman"/>
          <w:color w:val="000000"/>
          <w:sz w:val="24"/>
          <w:szCs w:val="24"/>
          <w:lang/>
        </w:rPr>
        <w:br/>
        <w:t>     201.10. При здійсненні операцій з постачання товарів/послуг платник податку - продавець товарів/послуг зобов’язаний в установлені терміни скласти податкову накладну, зареєструвати її в Єдиному реєстрі податкових накладних та надати покупцю за його вимогою.</w:t>
      </w:r>
    </w:p>
    <w:p w14:paraId="309FB8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7" w:name="n11335"/>
      <w:bookmarkEnd w:id="6227"/>
      <w:r w:rsidRPr="008B264B">
        <w:rPr>
          <w:rFonts w:ascii="Times New Roman" w:eastAsia="Times New Roman" w:hAnsi="Times New Roman" w:cs="Times New Roman"/>
          <w:i/>
          <w:iCs/>
          <w:color w:val="000000"/>
          <w:sz w:val="24"/>
          <w:szCs w:val="24"/>
          <w:lang/>
        </w:rPr>
        <w:t>{Абзац перший пункту 201.10 статті 201 в редакції Закону </w:t>
      </w:r>
      <w:hyperlink r:id="rId3448" w:anchor="n7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A6A9B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8" w:name="n5092"/>
      <w:bookmarkEnd w:id="6228"/>
      <w:r w:rsidRPr="008B264B">
        <w:rPr>
          <w:rFonts w:ascii="Times New Roman" w:eastAsia="Times New Roman" w:hAnsi="Times New Roman" w:cs="Times New Roman"/>
          <w:color w:val="000000"/>
          <w:sz w:val="24"/>
          <w:szCs w:val="24"/>
          <w:lang/>
        </w:rPr>
        <w:t>Податкова накладна, складена та зареєстрована в Єдиному реєстрі податкових накладних платником податку, який здійснює операції з постачання товарів/послуг, є для покупця таких товарів/послуг підставою для нарахування сум податку, що відносяться до податкового кредиту.</w:t>
      </w:r>
    </w:p>
    <w:p w14:paraId="66CEEF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29" w:name="n5093"/>
      <w:bookmarkEnd w:id="6229"/>
      <w:r w:rsidRPr="008B264B">
        <w:rPr>
          <w:rFonts w:ascii="Times New Roman" w:eastAsia="Times New Roman" w:hAnsi="Times New Roman" w:cs="Times New Roman"/>
          <w:i/>
          <w:iCs/>
          <w:color w:val="000000"/>
          <w:sz w:val="24"/>
          <w:szCs w:val="24"/>
          <w:lang/>
        </w:rPr>
        <w:t>{Абзац другий пункту 201.10 статті 201 із змінами, внесеними згідно із Законом </w:t>
      </w:r>
      <w:hyperlink r:id="rId3449" w:anchor="n33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3450" w:anchor="n7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bookmarkStart w:id="6230" w:name="n14276"/>
    <w:bookmarkEnd w:id="6230"/>
    <w:p w14:paraId="2BB77A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"https://zakon.rada.gov.ua/laws/show/z0137-16" \l "n20"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Податкова накладна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та/або розрахунок коригування до неї, складені та зареєстровані після 1 липня 2017 року в Єдиному реєстрі податкових накладних платником податку, який здійснює операції з постачання товарів/послуг, є для покупця таких товарів/послуг достатньою підставою для нарахування сум податку, що відносяться до податкового кредиту, та не потребує будь-якого іншого додаткового підтвердження.</w:t>
      </w:r>
    </w:p>
    <w:p w14:paraId="38DBF5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1" w:name="n14275"/>
      <w:bookmarkEnd w:id="6231"/>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51" w:anchor="n12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968F0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2" w:name="n11337"/>
      <w:bookmarkEnd w:id="6232"/>
      <w:r w:rsidRPr="008B264B">
        <w:rPr>
          <w:rFonts w:ascii="Times New Roman" w:eastAsia="Times New Roman" w:hAnsi="Times New Roman" w:cs="Times New Roman"/>
          <w:color w:val="000000"/>
          <w:sz w:val="24"/>
          <w:szCs w:val="24"/>
          <w:lang/>
        </w:rPr>
        <w:t>Податкові накладні, які не надаються покупцю, а також податкові накладні, складені за операціями з постачання товарів/послуг, які звільнені від оподаткування, підлягають реєстрації в Єдиному реєстрі податкових накладних.</w:t>
      </w:r>
    </w:p>
    <w:p w14:paraId="79D2DE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3" w:name="n11336"/>
      <w:bookmarkEnd w:id="6233"/>
      <w:r w:rsidRPr="008B264B">
        <w:rPr>
          <w:rFonts w:ascii="Times New Roman" w:eastAsia="Times New Roman" w:hAnsi="Times New Roman" w:cs="Times New Roman"/>
          <w:i/>
          <w:iCs/>
          <w:color w:val="000000"/>
          <w:sz w:val="24"/>
          <w:szCs w:val="24"/>
          <w:lang/>
        </w:rPr>
        <w:lastRenderedPageBreak/>
        <w:t>{Абзац пункту 201.10 статті 201 в редакції Закону </w:t>
      </w:r>
      <w:hyperlink r:id="rId3452" w:anchor="n7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9A0E5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4" w:name="n5094"/>
      <w:bookmarkEnd w:id="6234"/>
      <w:r w:rsidRPr="008B264B">
        <w:rPr>
          <w:rFonts w:ascii="Times New Roman" w:eastAsia="Times New Roman" w:hAnsi="Times New Roman" w:cs="Times New Roman"/>
          <w:color w:val="000000"/>
          <w:sz w:val="24"/>
          <w:szCs w:val="24"/>
          <w:lang/>
        </w:rPr>
        <w:t>Підтвердженням продавцю про прийняття його податкової накладної та/або розрахунку коригування до Єдиного реєстру податкових накладних є квитанція в електронному вигляді у текстовому форматі, яка надсилається протягом операційного дня.</w:t>
      </w:r>
    </w:p>
    <w:p w14:paraId="1C865C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5" w:name="n11339"/>
      <w:bookmarkEnd w:id="6235"/>
      <w:r w:rsidRPr="008B264B">
        <w:rPr>
          <w:rFonts w:ascii="Times New Roman" w:eastAsia="Times New Roman" w:hAnsi="Times New Roman" w:cs="Times New Roman"/>
          <w:color w:val="000000"/>
          <w:sz w:val="24"/>
          <w:szCs w:val="24"/>
          <w:lang/>
        </w:rPr>
        <w:t>З метою отримання податкової накладної/розрахунку коригування, зареєстрованих в Єдиному реєстрі податкових накладних, покупець надсилає в електронному вигляді запит до Єдиного реєстру податкових накладних, за яким отримує в електронному вигляді повідомлення про реєстрацію податкової накладної/розрахунку коригування в Єдиному реєстрі податкових накладних та податкову накладну/розрахунок коригування в електронному вигляді. Такі податкова накладна/розрахунок коригування вважаються зареєстрованими в Єдиному реєстрі податкових накладних та отриманими покупцем.</w:t>
      </w:r>
    </w:p>
    <w:p w14:paraId="699B4F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6" w:name="n11341"/>
      <w:bookmarkEnd w:id="6236"/>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53" w:anchor="n73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651F6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7" w:name="n12442"/>
      <w:bookmarkEnd w:id="6237"/>
      <w:r w:rsidRPr="008B264B">
        <w:rPr>
          <w:rFonts w:ascii="Times New Roman" w:eastAsia="Times New Roman" w:hAnsi="Times New Roman" w:cs="Times New Roman"/>
          <w:color w:val="000000"/>
          <w:sz w:val="24"/>
          <w:szCs w:val="24"/>
          <w:lang/>
        </w:rPr>
        <w:t>Покупцю товарів/послуг податкова накладна/розрахунок коригування можуть бути надані продавцем таких товарів/послуг в електронній формі з дотриманням вимог законів України </w:t>
      </w:r>
      <w:hyperlink r:id="rId3454" w:tgtFrame="_blank" w:history="1">
        <w:r w:rsidRPr="008B264B">
          <w:rPr>
            <w:rFonts w:ascii="Times New Roman" w:eastAsia="Times New Roman" w:hAnsi="Times New Roman" w:cs="Times New Roman"/>
            <w:color w:val="0000FF"/>
            <w:sz w:val="24"/>
            <w:szCs w:val="24"/>
            <w:u w:val="single"/>
            <w:lang/>
          </w:rPr>
          <w:t>"Про електронні документи та електронний документообіг"</w:t>
        </w:r>
      </w:hyperlink>
      <w:r w:rsidRPr="008B264B">
        <w:rPr>
          <w:rFonts w:ascii="Times New Roman" w:eastAsia="Times New Roman" w:hAnsi="Times New Roman" w:cs="Times New Roman"/>
          <w:color w:val="000000"/>
          <w:sz w:val="24"/>
          <w:szCs w:val="24"/>
          <w:lang/>
        </w:rPr>
        <w:t> та </w:t>
      </w:r>
      <w:hyperlink r:id="rId3455" w:tgtFrame="_blank" w:history="1">
        <w:r w:rsidRPr="008B264B">
          <w:rPr>
            <w:rFonts w:ascii="Times New Roman" w:eastAsia="Times New Roman" w:hAnsi="Times New Roman" w:cs="Times New Roman"/>
            <w:color w:val="0000FF"/>
            <w:sz w:val="24"/>
            <w:szCs w:val="24"/>
            <w:u w:val="single"/>
            <w:lang/>
          </w:rPr>
          <w:t>"Про електронні довірчі послуги"</w:t>
        </w:r>
      </w:hyperlink>
      <w:r w:rsidRPr="008B264B">
        <w:rPr>
          <w:rFonts w:ascii="Times New Roman" w:eastAsia="Times New Roman" w:hAnsi="Times New Roman" w:cs="Times New Roman"/>
          <w:color w:val="000000"/>
          <w:sz w:val="24"/>
          <w:szCs w:val="24"/>
          <w:lang/>
        </w:rPr>
        <w:t>.</w:t>
      </w:r>
    </w:p>
    <w:p w14:paraId="11796D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8" w:name="n12441"/>
      <w:bookmarkEnd w:id="6238"/>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56" w:anchor="n87"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457" w:anchor="n42"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7A6059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39" w:name="n11340"/>
      <w:bookmarkEnd w:id="6239"/>
      <w:r w:rsidRPr="008B264B">
        <w:rPr>
          <w:rFonts w:ascii="Times New Roman" w:eastAsia="Times New Roman" w:hAnsi="Times New Roman" w:cs="Times New Roman"/>
          <w:color w:val="000000"/>
          <w:sz w:val="24"/>
          <w:szCs w:val="24"/>
          <w:lang/>
        </w:rPr>
        <w:t>З метою отримання продавцем зареєстрованого в Єдиному реєстрі податкових накладних розрахунку коригування, що підлягає реєстрації в Єдиному реєстрі податкових накладних покупцем, такий продавець надсилає в електронному вигляді запит до Єдиного реєстру податкових накладних, за яким отримує в електронному вигляді повідомлення про реєстрацію розрахунку коригування в Єдиному реєстрі податкових накладних та розрахунок коригування в електронному вигляді. Такий розрахунок коригування вважається зареєстрованим в Єдиному реєстрі податкових накладних та отриманими продавцем.</w:t>
      </w:r>
    </w:p>
    <w:p w14:paraId="5D5896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0" w:name="n11338"/>
      <w:bookmarkEnd w:id="6240"/>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58" w:anchor="n73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A9AED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1" w:name="n5095"/>
      <w:bookmarkEnd w:id="6241"/>
      <w:r w:rsidRPr="008B264B">
        <w:rPr>
          <w:rFonts w:ascii="Times New Roman" w:eastAsia="Times New Roman" w:hAnsi="Times New Roman" w:cs="Times New Roman"/>
          <w:color w:val="000000"/>
          <w:sz w:val="24"/>
          <w:szCs w:val="24"/>
          <w:lang/>
        </w:rPr>
        <w:t>Датою та часом надання податкової накладної та/або розрахунку коригування в електронному вигляді до центрального органу виконавчої влади, що реалізує державну податкову і митну політику, є дата та час, зафіксовані у квитанції.</w:t>
      </w:r>
    </w:p>
    <w:p w14:paraId="149D08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2" w:name="n5096"/>
      <w:bookmarkEnd w:id="6242"/>
      <w:r w:rsidRPr="008B264B">
        <w:rPr>
          <w:rFonts w:ascii="Times New Roman" w:eastAsia="Times New Roman" w:hAnsi="Times New Roman" w:cs="Times New Roman"/>
          <w:i/>
          <w:iCs/>
          <w:color w:val="000000"/>
          <w:sz w:val="24"/>
          <w:szCs w:val="24"/>
          <w:lang/>
        </w:rPr>
        <w:t>{Абзац пункту 201.10 статті 201 із змінами, внесеними згідно із Законами </w:t>
      </w:r>
      <w:hyperlink r:id="rId3459" w:anchor="n20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46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4B8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3" w:name="n5097"/>
      <w:bookmarkEnd w:id="6243"/>
      <w:r w:rsidRPr="008B264B">
        <w:rPr>
          <w:rFonts w:ascii="Times New Roman" w:eastAsia="Times New Roman" w:hAnsi="Times New Roman" w:cs="Times New Roman"/>
          <w:color w:val="000000"/>
          <w:sz w:val="24"/>
          <w:szCs w:val="24"/>
          <w:lang/>
        </w:rPr>
        <w:t>Якщо надіслані </w:t>
      </w:r>
      <w:hyperlink r:id="rId3461" w:anchor="n20" w:tgtFrame="_blank" w:history="1">
        <w:r w:rsidRPr="008B264B">
          <w:rPr>
            <w:rFonts w:ascii="Times New Roman" w:eastAsia="Times New Roman" w:hAnsi="Times New Roman" w:cs="Times New Roman"/>
            <w:color w:val="0000FF"/>
            <w:sz w:val="24"/>
            <w:szCs w:val="24"/>
            <w:u w:val="single"/>
            <w:lang/>
          </w:rPr>
          <w:t>податкові накладні</w:t>
        </w:r>
      </w:hyperlink>
      <w:r w:rsidRPr="008B264B">
        <w:rPr>
          <w:rFonts w:ascii="Times New Roman" w:eastAsia="Times New Roman" w:hAnsi="Times New Roman" w:cs="Times New Roman"/>
          <w:color w:val="000000"/>
          <w:sz w:val="24"/>
          <w:szCs w:val="24"/>
          <w:lang/>
        </w:rPr>
        <w:t>/розрахунки коригування сформовано з порушенням вимог, передбачених </w:t>
      </w:r>
      <w:hyperlink r:id="rId3462" w:anchor="n10396" w:history="1">
        <w:r w:rsidRPr="008B264B">
          <w:rPr>
            <w:rFonts w:ascii="Times New Roman" w:eastAsia="Times New Roman" w:hAnsi="Times New Roman" w:cs="Times New Roman"/>
            <w:color w:val="0000FF"/>
            <w:sz w:val="24"/>
            <w:szCs w:val="24"/>
            <w:u w:val="single"/>
            <w:lang/>
          </w:rPr>
          <w:t>пунктом 201.1</w:t>
        </w:r>
      </w:hyperlink>
      <w:r w:rsidRPr="008B264B">
        <w:rPr>
          <w:rFonts w:ascii="Times New Roman" w:eastAsia="Times New Roman" w:hAnsi="Times New Roman" w:cs="Times New Roman"/>
          <w:color w:val="000000"/>
          <w:sz w:val="24"/>
          <w:szCs w:val="24"/>
          <w:lang/>
        </w:rPr>
        <w:t> цієї статті та/або </w:t>
      </w:r>
      <w:hyperlink r:id="rId3463" w:anchor="n4622" w:history="1">
        <w:r w:rsidRPr="008B264B">
          <w:rPr>
            <w:rFonts w:ascii="Times New Roman" w:eastAsia="Times New Roman" w:hAnsi="Times New Roman" w:cs="Times New Roman"/>
            <w:color w:val="0000FF"/>
            <w:sz w:val="24"/>
            <w:szCs w:val="24"/>
            <w:u w:val="single"/>
            <w:lang/>
          </w:rPr>
          <w:t>пунктом 192.1</w:t>
        </w:r>
      </w:hyperlink>
      <w:r w:rsidRPr="008B264B">
        <w:rPr>
          <w:rFonts w:ascii="Times New Roman" w:eastAsia="Times New Roman" w:hAnsi="Times New Roman" w:cs="Times New Roman"/>
          <w:color w:val="000000"/>
          <w:sz w:val="24"/>
          <w:szCs w:val="24"/>
          <w:lang/>
        </w:rPr>
        <w:t> статті 192 цього Кодексу, а також у разі зупинення реєстрації податкової накладної/розрахунку коригування відповідно до </w:t>
      </w:r>
      <w:hyperlink r:id="rId3464" w:anchor="n14571" w:history="1">
        <w:r w:rsidRPr="008B264B">
          <w:rPr>
            <w:rFonts w:ascii="Times New Roman" w:eastAsia="Times New Roman" w:hAnsi="Times New Roman" w:cs="Times New Roman"/>
            <w:color w:val="0000FF"/>
            <w:sz w:val="24"/>
            <w:szCs w:val="24"/>
            <w:u w:val="single"/>
            <w:lang/>
          </w:rPr>
          <w:t>пункту 201.16</w:t>
        </w:r>
      </w:hyperlink>
      <w:r w:rsidRPr="008B264B">
        <w:rPr>
          <w:rFonts w:ascii="Times New Roman" w:eastAsia="Times New Roman" w:hAnsi="Times New Roman" w:cs="Times New Roman"/>
          <w:color w:val="000000"/>
          <w:sz w:val="24"/>
          <w:szCs w:val="24"/>
          <w:lang/>
        </w:rPr>
        <w:t> цієї статті, протягом операційного дня продавцю/покупцю надсилається квитанція в електронному вигляді у текстовому форматі про неприйняття їх в електронному вигляді або зупинення їх реєстрації із зазначенням причин.</w:t>
      </w:r>
    </w:p>
    <w:p w14:paraId="58B611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4" w:name="n11342"/>
      <w:bookmarkEnd w:id="6244"/>
      <w:r w:rsidRPr="008B264B">
        <w:rPr>
          <w:rFonts w:ascii="Times New Roman" w:eastAsia="Times New Roman" w:hAnsi="Times New Roman" w:cs="Times New Roman"/>
          <w:i/>
          <w:iCs/>
          <w:color w:val="000000"/>
          <w:sz w:val="24"/>
          <w:szCs w:val="24"/>
          <w:lang/>
        </w:rPr>
        <w:t>{Абзац пункту 201.10 статті 201 із змінами, внесеними згідно із Законом </w:t>
      </w:r>
      <w:hyperlink r:id="rId3465" w:anchor="n7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466" w:anchor="n12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BBF7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5" w:name="n14278"/>
      <w:bookmarkEnd w:id="6245"/>
      <w:r w:rsidRPr="008B264B">
        <w:rPr>
          <w:rFonts w:ascii="Times New Roman" w:eastAsia="Times New Roman" w:hAnsi="Times New Roman" w:cs="Times New Roman"/>
          <w:color w:val="000000"/>
          <w:sz w:val="24"/>
          <w:szCs w:val="24"/>
          <w:lang/>
        </w:rPr>
        <w:t>Помилки в реквізитах, визначених </w:t>
      </w:r>
      <w:hyperlink r:id="rId3467" w:anchor="n10396" w:history="1">
        <w:r w:rsidRPr="008B264B">
          <w:rPr>
            <w:rFonts w:ascii="Times New Roman" w:eastAsia="Times New Roman" w:hAnsi="Times New Roman" w:cs="Times New Roman"/>
            <w:color w:val="0000FF"/>
            <w:sz w:val="24"/>
            <w:szCs w:val="24"/>
            <w:u w:val="single"/>
            <w:lang/>
          </w:rPr>
          <w:t>пунктом 201.1</w:t>
        </w:r>
      </w:hyperlink>
      <w:r w:rsidRPr="008B264B">
        <w:rPr>
          <w:rFonts w:ascii="Times New Roman" w:eastAsia="Times New Roman" w:hAnsi="Times New Roman" w:cs="Times New Roman"/>
          <w:color w:val="000000"/>
          <w:sz w:val="24"/>
          <w:szCs w:val="24"/>
          <w:lang/>
        </w:rPr>
        <w:t> цієї статті (крім коду товару згідно з </w:t>
      </w:r>
      <w:hyperlink r:id="rId346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не заважають ідентифікувати здійснену операцію, її зміст (товар/послугу, що постачаються), період, сторони та суму податкових зобов’язань, не можуть бути причиною неприйняття </w:t>
      </w:r>
      <w:hyperlink r:id="rId3469"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у електронному вигляді.</w:t>
      </w:r>
    </w:p>
    <w:p w14:paraId="550C31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6" w:name="n14280"/>
      <w:bookmarkEnd w:id="6246"/>
      <w:r w:rsidRPr="008B264B">
        <w:rPr>
          <w:rFonts w:ascii="Times New Roman" w:eastAsia="Times New Roman" w:hAnsi="Times New Roman" w:cs="Times New Roman"/>
          <w:i/>
          <w:iCs/>
          <w:color w:val="000000"/>
          <w:sz w:val="24"/>
          <w:szCs w:val="24"/>
          <w:lang/>
        </w:rPr>
        <w:t>{Абзац пункту 201.10 статті 201 в редакції Закону </w:t>
      </w:r>
      <w:hyperlink r:id="rId3470" w:anchor="n12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CB29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7" w:name="n14279"/>
      <w:bookmarkEnd w:id="6247"/>
      <w:r w:rsidRPr="008B264B">
        <w:rPr>
          <w:rFonts w:ascii="Times New Roman" w:eastAsia="Times New Roman" w:hAnsi="Times New Roman" w:cs="Times New Roman"/>
          <w:color w:val="000000"/>
          <w:sz w:val="24"/>
          <w:szCs w:val="24"/>
          <w:lang/>
        </w:rPr>
        <w:t>Квитанція про зупинення реєстрації </w:t>
      </w:r>
      <w:hyperlink r:id="rId3471"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надсилається одночасно продавцю та покупцю платнику податку.</w:t>
      </w:r>
    </w:p>
    <w:p w14:paraId="400473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8" w:name="n14277"/>
      <w:bookmarkEnd w:id="6248"/>
      <w:r w:rsidRPr="008B264B">
        <w:rPr>
          <w:rFonts w:ascii="Times New Roman" w:eastAsia="Times New Roman" w:hAnsi="Times New Roman" w:cs="Times New Roman"/>
          <w:i/>
          <w:iCs/>
          <w:color w:val="000000"/>
          <w:sz w:val="24"/>
          <w:szCs w:val="24"/>
          <w:lang/>
        </w:rPr>
        <w:lastRenderedPageBreak/>
        <w:t>{Абзац пункту 201.10 статті 201 в редакції Закону </w:t>
      </w:r>
      <w:hyperlink r:id="rId3472" w:anchor="n12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D6EC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49" w:name="n5098"/>
      <w:bookmarkEnd w:id="6249"/>
      <w:r w:rsidRPr="008B264B">
        <w:rPr>
          <w:rFonts w:ascii="Times New Roman" w:eastAsia="Times New Roman" w:hAnsi="Times New Roman" w:cs="Times New Roman"/>
          <w:color w:val="000000"/>
          <w:sz w:val="24"/>
          <w:szCs w:val="24"/>
          <w:lang/>
        </w:rPr>
        <w:t>Якщо протягом операційного дня не надіслано квитанції про прийняття або неприйняття, або зупинення реєстрації </w:t>
      </w:r>
      <w:hyperlink r:id="rId3473"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така податкова накладна вважається зареєстрованою в Єдиному реєстрі податкових накладних.</w:t>
      </w:r>
    </w:p>
    <w:p w14:paraId="2137C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0" w:name="n14281"/>
      <w:bookmarkEnd w:id="6250"/>
      <w:r w:rsidRPr="008B264B">
        <w:rPr>
          <w:rFonts w:ascii="Times New Roman" w:eastAsia="Times New Roman" w:hAnsi="Times New Roman" w:cs="Times New Roman"/>
          <w:i/>
          <w:iCs/>
          <w:color w:val="000000"/>
          <w:sz w:val="24"/>
          <w:szCs w:val="24"/>
          <w:lang/>
        </w:rPr>
        <w:t>{Абзац тринадцятий пункту 201.10 статті 201 із змінами, внесеними згідно із Законом </w:t>
      </w:r>
      <w:hyperlink r:id="rId3474" w:anchor="n12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DF91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1" w:name="n5099"/>
      <w:bookmarkEnd w:id="6251"/>
      <w:r w:rsidRPr="008B264B">
        <w:rPr>
          <w:rFonts w:ascii="Times New Roman" w:eastAsia="Times New Roman" w:hAnsi="Times New Roman" w:cs="Times New Roman"/>
          <w:color w:val="000000"/>
          <w:sz w:val="24"/>
          <w:szCs w:val="24"/>
          <w:lang/>
        </w:rPr>
        <w:t>Реєстрація </w:t>
      </w:r>
      <w:hyperlink r:id="rId3475"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та/або розрахунків коригування до податкових накладних у Єдиному реєстрі податкових накладних повинна здійснюватися з урахуванням граничних строків:</w:t>
      </w:r>
    </w:p>
    <w:p w14:paraId="62EB80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2" w:name="n5100"/>
      <w:bookmarkEnd w:id="6252"/>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7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477" w:anchor="n33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Законів </w:t>
      </w:r>
      <w:hyperlink r:id="rId3478" w:anchor="n2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479" w:anchor="n1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A72D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3" w:name="n11344"/>
      <w:bookmarkEnd w:id="6253"/>
      <w:r w:rsidRPr="008B264B">
        <w:rPr>
          <w:rFonts w:ascii="Times New Roman" w:eastAsia="Times New Roman" w:hAnsi="Times New Roman" w:cs="Times New Roman"/>
          <w:color w:val="000000"/>
          <w:sz w:val="24"/>
          <w:szCs w:val="24"/>
          <w:lang/>
        </w:rPr>
        <w:t>для </w:t>
      </w:r>
      <w:hyperlink r:id="rId3480"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/розрахунків коригування до податкових накладних, складених з 1 по 15 календарний день (включно) календарного місяця, - до останнього дня (включно) календарного місяця, в якому вони складені;</w:t>
      </w:r>
    </w:p>
    <w:p w14:paraId="4B94BA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4" w:name="n11346"/>
      <w:bookmarkEnd w:id="6254"/>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81" w:anchor="n73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482" w:anchor="n1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CAA1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5" w:name="n14283"/>
      <w:bookmarkEnd w:id="6255"/>
      <w:r w:rsidRPr="008B264B">
        <w:rPr>
          <w:rFonts w:ascii="Times New Roman" w:eastAsia="Times New Roman" w:hAnsi="Times New Roman" w:cs="Times New Roman"/>
          <w:color w:val="000000"/>
          <w:sz w:val="24"/>
          <w:szCs w:val="24"/>
          <w:lang/>
        </w:rPr>
        <w:t>для </w:t>
      </w:r>
      <w:hyperlink r:id="rId3483"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/розрахунків коригування до податкових накладних, складених з 16 по останній календарний день (включно) календарного місяця, - до 15 календарного дня (включно) календарного місяця, наступного за місяцем, в якому вони складені;</w:t>
      </w:r>
    </w:p>
    <w:p w14:paraId="2FAEAB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6" w:name="n14287"/>
      <w:bookmarkEnd w:id="6256"/>
      <w:r w:rsidRPr="008B264B">
        <w:rPr>
          <w:rFonts w:ascii="Times New Roman" w:eastAsia="Times New Roman" w:hAnsi="Times New Roman" w:cs="Times New Roman"/>
          <w:i/>
          <w:iCs/>
          <w:color w:val="000000"/>
          <w:sz w:val="24"/>
          <w:szCs w:val="24"/>
          <w:lang/>
        </w:rPr>
        <w:t>{Абзац пункту 201.10 статті 201 в редакції Закону </w:t>
      </w:r>
      <w:hyperlink r:id="rId3484" w:anchor="n1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F1D4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7" w:name="n14868"/>
      <w:bookmarkEnd w:id="6257"/>
      <w:r w:rsidRPr="008B264B">
        <w:rPr>
          <w:rFonts w:ascii="Times New Roman" w:eastAsia="Times New Roman" w:hAnsi="Times New Roman" w:cs="Times New Roman"/>
          <w:color w:val="000000"/>
          <w:sz w:val="24"/>
          <w:szCs w:val="24"/>
          <w:lang/>
        </w:rPr>
        <w:t>для розрахунків коригування, складених постачальником товарів/послуг до </w:t>
      </w:r>
      <w:hyperlink r:id="rId3485"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що складена на отримувача - платника податку, в яких передбачається зменшення суми компенсації вартості товарів/послуг їх постачальнику, - протягом 15 календарних днів з дня отримання такого розрахунку коригування до податкової накладної отримувачем (покупцем).</w:t>
      </w:r>
    </w:p>
    <w:p w14:paraId="0A6C3C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8" w:name="n14867"/>
      <w:bookmarkEnd w:id="6258"/>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86" w:anchor="n27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56A9E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59" w:name="n14284"/>
      <w:bookmarkEnd w:id="6259"/>
      <w:r w:rsidRPr="008B264B">
        <w:rPr>
          <w:rFonts w:ascii="Times New Roman" w:eastAsia="Times New Roman" w:hAnsi="Times New Roman" w:cs="Times New Roman"/>
          <w:color w:val="000000"/>
          <w:sz w:val="24"/>
          <w:szCs w:val="24"/>
          <w:lang/>
        </w:rPr>
        <w:t>У разі порушення таких строків застосовуються штрафні санкції згідно з цим Кодексом.</w:t>
      </w:r>
    </w:p>
    <w:p w14:paraId="165064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0" w:name="n14286"/>
      <w:bookmarkEnd w:id="6260"/>
      <w:r w:rsidRPr="008B264B">
        <w:rPr>
          <w:rFonts w:ascii="Times New Roman" w:eastAsia="Times New Roman" w:hAnsi="Times New Roman" w:cs="Times New Roman"/>
          <w:i/>
          <w:iCs/>
          <w:color w:val="000000"/>
          <w:sz w:val="24"/>
          <w:szCs w:val="24"/>
          <w:lang/>
        </w:rPr>
        <w:t>{Абзац пункту 201.10 статті 201 в редакції Закону </w:t>
      </w:r>
      <w:hyperlink r:id="rId3487" w:anchor="n1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5314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1" w:name="n14285"/>
      <w:bookmarkEnd w:id="6261"/>
      <w:r w:rsidRPr="008B264B">
        <w:rPr>
          <w:rFonts w:ascii="Times New Roman" w:eastAsia="Times New Roman" w:hAnsi="Times New Roman" w:cs="Times New Roman"/>
          <w:color w:val="000000"/>
          <w:sz w:val="24"/>
          <w:szCs w:val="24"/>
          <w:lang/>
        </w:rPr>
        <w:t>Платник податку має право зареєструвати в Єдиному реєстрі податкових накладних </w:t>
      </w:r>
      <w:hyperlink r:id="rId3488" w:anchor="n20" w:tgtFrame="_blank" w:history="1">
        <w:r w:rsidRPr="008B264B">
          <w:rPr>
            <w:rFonts w:ascii="Times New Roman" w:eastAsia="Times New Roman" w:hAnsi="Times New Roman" w:cs="Times New Roman"/>
            <w:color w:val="0000FF"/>
            <w:sz w:val="24"/>
            <w:szCs w:val="24"/>
            <w:u w:val="single"/>
            <w:lang/>
          </w:rPr>
          <w:t>податкову накладну</w:t>
        </w:r>
      </w:hyperlink>
      <w:r w:rsidRPr="008B264B">
        <w:rPr>
          <w:rFonts w:ascii="Times New Roman" w:eastAsia="Times New Roman" w:hAnsi="Times New Roman" w:cs="Times New Roman"/>
          <w:color w:val="000000"/>
          <w:sz w:val="24"/>
          <w:szCs w:val="24"/>
          <w:lang/>
        </w:rPr>
        <w:t> та/або розрахунок коригування, складені починаючи з 1 липня 2015 року, в яких загальна сума податку не перевищує суму, обчислену відповідно до </w:t>
      </w:r>
      <w:hyperlink r:id="rId3489" w:anchor="n11312" w:history="1">
        <w:r w:rsidRPr="008B264B">
          <w:rPr>
            <w:rFonts w:ascii="Times New Roman" w:eastAsia="Times New Roman" w:hAnsi="Times New Roman" w:cs="Times New Roman"/>
            <w:color w:val="0000FF"/>
            <w:sz w:val="24"/>
            <w:szCs w:val="24"/>
            <w:u w:val="single"/>
            <w:lang/>
          </w:rPr>
          <w:t>пункту 200</w:t>
        </w:r>
      </w:hyperlink>
      <w:hyperlink r:id="rId3490"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491"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6EB0C8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2" w:name="n14282"/>
      <w:bookmarkEnd w:id="6262"/>
      <w:r w:rsidRPr="008B264B">
        <w:rPr>
          <w:rFonts w:ascii="Times New Roman" w:eastAsia="Times New Roman" w:hAnsi="Times New Roman" w:cs="Times New Roman"/>
          <w:i/>
          <w:iCs/>
          <w:color w:val="000000"/>
          <w:sz w:val="24"/>
          <w:szCs w:val="24"/>
          <w:lang/>
        </w:rPr>
        <w:t>{Абзац пункту 201.10 статті 201 в редакції Законів </w:t>
      </w:r>
      <w:hyperlink r:id="rId3492" w:anchor="n123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3493" w:anchor="n12" w:tgtFrame="_blank" w:history="1">
        <w:r w:rsidRPr="008B264B">
          <w:rPr>
            <w:rFonts w:ascii="Times New Roman" w:eastAsia="Times New Roman" w:hAnsi="Times New Roman" w:cs="Times New Roman"/>
            <w:i/>
            <w:iCs/>
            <w:color w:val="0000FF"/>
            <w:sz w:val="24"/>
            <w:szCs w:val="24"/>
            <w:u w:val="single"/>
            <w:lang/>
          </w:rPr>
          <w:t>№ 2198-VIII від 09.11.2017</w:t>
        </w:r>
      </w:hyperlink>
      <w:r w:rsidRPr="008B264B">
        <w:rPr>
          <w:rFonts w:ascii="Times New Roman" w:eastAsia="Times New Roman" w:hAnsi="Times New Roman" w:cs="Times New Roman"/>
          <w:i/>
          <w:iCs/>
          <w:color w:val="000000"/>
          <w:sz w:val="24"/>
          <w:szCs w:val="24"/>
          <w:lang/>
        </w:rPr>
        <w:t>}</w:t>
      </w:r>
    </w:p>
    <w:p w14:paraId="0F09F9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3" w:name="n11345"/>
      <w:bookmarkEnd w:id="6263"/>
      <w:r w:rsidRPr="008B264B">
        <w:rPr>
          <w:rFonts w:ascii="Times New Roman" w:eastAsia="Times New Roman" w:hAnsi="Times New Roman" w:cs="Times New Roman"/>
          <w:color w:val="000000"/>
          <w:sz w:val="24"/>
          <w:szCs w:val="24"/>
          <w:lang/>
        </w:rPr>
        <w:t>Якщо сума, визначена відповідно до </w:t>
      </w:r>
      <w:hyperlink r:id="rId3494" w:anchor="n11312" w:history="1">
        <w:r w:rsidRPr="008B264B">
          <w:rPr>
            <w:rFonts w:ascii="Times New Roman" w:eastAsia="Times New Roman" w:hAnsi="Times New Roman" w:cs="Times New Roman"/>
            <w:color w:val="0000FF"/>
            <w:sz w:val="24"/>
            <w:szCs w:val="24"/>
            <w:u w:val="single"/>
            <w:lang/>
          </w:rPr>
          <w:t>пункту 200</w:t>
        </w:r>
      </w:hyperlink>
      <w:hyperlink r:id="rId3495"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3496"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є меншою, ніж сума податку в податковій накладній та/або розрахунок коригування, які платник повинен зареєструвати в Єдиному реєстрі податкових накладних, то платник зобов’язаний перерахувати потрібну суму коштів із свого поточного рахунку на свій рахунок в системі електронного адміністрування податку на додану вартість.</w:t>
      </w:r>
    </w:p>
    <w:p w14:paraId="0CB853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4" w:name="n11343"/>
      <w:bookmarkEnd w:id="6264"/>
      <w:r w:rsidRPr="008B264B">
        <w:rPr>
          <w:rFonts w:ascii="Times New Roman" w:eastAsia="Times New Roman" w:hAnsi="Times New Roman" w:cs="Times New Roman"/>
          <w:i/>
          <w:iCs/>
          <w:color w:val="000000"/>
          <w:sz w:val="24"/>
          <w:szCs w:val="24"/>
          <w:lang/>
        </w:rPr>
        <w:t>{Пункт 201.10 статті 201 доповнено новим абзацом згідно із Законом </w:t>
      </w:r>
      <w:hyperlink r:id="rId3497" w:anchor="n73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bookmarkStart w:id="6265" w:name="n5101"/>
    <w:bookmarkEnd w:id="6265"/>
    <w:p w14:paraId="16589F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"https://zakon.rada.gov.ua/laws/show/1246-2010-%D0%BF"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ведення Єдиного реєстру податкових накладних</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Кабінетом Міністрів України. Покупець має право звіряти дані отриманої податкової накладної на відповідність із даними Єдиного реєстру податкових накладних.</w:t>
      </w:r>
    </w:p>
    <w:p w14:paraId="60F0A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6" w:name="n5102"/>
      <w:bookmarkEnd w:id="6266"/>
      <w:r w:rsidRPr="008B264B">
        <w:rPr>
          <w:rFonts w:ascii="Times New Roman" w:eastAsia="Times New Roman" w:hAnsi="Times New Roman" w:cs="Times New Roman"/>
          <w:color w:val="000000"/>
          <w:sz w:val="24"/>
          <w:szCs w:val="24"/>
          <w:lang/>
        </w:rPr>
        <w:lastRenderedPageBreak/>
        <w:t>Відсутність факту реєстрації платником податку - продавцем товарів/послуг податкових накладних в Єдиному реєстрі податкових накладних не дає права покупцю на включення сум податку на додану вартість до податкового кредиту та не звільняє продавця від обов'язку включення суми податку на додану вартість, вказаної в податковій накладній, до суми податкових зобов'язань за відповідний звітний період.</w:t>
      </w:r>
    </w:p>
    <w:p w14:paraId="0BBC32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7" w:name="n5103"/>
      <w:bookmarkEnd w:id="6267"/>
      <w:r w:rsidRPr="008B264B">
        <w:rPr>
          <w:rFonts w:ascii="Times New Roman" w:eastAsia="Times New Roman" w:hAnsi="Times New Roman" w:cs="Times New Roman"/>
          <w:i/>
          <w:iCs/>
          <w:color w:val="000000"/>
          <w:sz w:val="24"/>
          <w:szCs w:val="24"/>
          <w:lang/>
        </w:rPr>
        <w:t>{Абзац пункту 201.10 статті 201 із змінами, внесеними згідно із Законами </w:t>
      </w:r>
      <w:hyperlink r:id="rId3498" w:anchor="n33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499" w:anchor="n90"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w:t>
      </w:r>
      <w:hyperlink r:id="rId3500" w:anchor="n30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DE253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8" w:name="n5104"/>
      <w:bookmarkEnd w:id="6268"/>
      <w:r w:rsidRPr="008B264B">
        <w:rPr>
          <w:rFonts w:ascii="Times New Roman" w:eastAsia="Times New Roman" w:hAnsi="Times New Roman" w:cs="Times New Roman"/>
          <w:color w:val="000000"/>
          <w:sz w:val="24"/>
          <w:szCs w:val="24"/>
          <w:lang/>
        </w:rPr>
        <w:t>Виявлення розбіжностей даних податкової декларації та даних Єдиного реєстру податкових накладних є підставою для проведення контролюючими органами документальної позапланової виїзної перевірки продавця та у відповідних випадках покупця товарів/послуг.</w:t>
      </w:r>
    </w:p>
    <w:p w14:paraId="7EB65A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69" w:name="n10137"/>
      <w:bookmarkEnd w:id="6269"/>
      <w:r w:rsidRPr="008B264B">
        <w:rPr>
          <w:rFonts w:ascii="Times New Roman" w:eastAsia="Times New Roman" w:hAnsi="Times New Roman" w:cs="Times New Roman"/>
          <w:i/>
          <w:iCs/>
          <w:color w:val="000000"/>
          <w:sz w:val="24"/>
          <w:szCs w:val="24"/>
          <w:lang/>
        </w:rPr>
        <w:t>{Абзац пункту 201.10 статті 201 із змінами, внесеними згідно із Законом </w:t>
      </w:r>
      <w:hyperlink r:id="rId3501" w:anchor="n99"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502"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503" w:anchor="n7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4B44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0" w:name="n5105"/>
      <w:bookmarkEnd w:id="6270"/>
      <w:r w:rsidRPr="008B264B">
        <w:rPr>
          <w:rFonts w:ascii="Times New Roman" w:eastAsia="Times New Roman" w:hAnsi="Times New Roman" w:cs="Times New Roman"/>
          <w:color w:val="000000"/>
          <w:sz w:val="24"/>
          <w:szCs w:val="24"/>
          <w:lang/>
        </w:rPr>
        <w:t>У разі допущення продавцем товарів/послуг помилок при зазначенні обов’язкових реквізитів </w:t>
      </w:r>
      <w:hyperlink r:id="rId3504"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передбачених </w:t>
      </w:r>
      <w:hyperlink r:id="rId3505" w:anchor="n10396" w:history="1">
        <w:r w:rsidRPr="008B264B">
          <w:rPr>
            <w:rFonts w:ascii="Times New Roman" w:eastAsia="Times New Roman" w:hAnsi="Times New Roman" w:cs="Times New Roman"/>
            <w:color w:val="0000FF"/>
            <w:sz w:val="24"/>
            <w:szCs w:val="24"/>
            <w:u w:val="single"/>
            <w:lang/>
          </w:rPr>
          <w:t>пунктом 201.1</w:t>
        </w:r>
      </w:hyperlink>
      <w:r w:rsidRPr="008B264B">
        <w:rPr>
          <w:rFonts w:ascii="Times New Roman" w:eastAsia="Times New Roman" w:hAnsi="Times New Roman" w:cs="Times New Roman"/>
          <w:color w:val="000000"/>
          <w:sz w:val="24"/>
          <w:szCs w:val="24"/>
          <w:lang/>
        </w:rPr>
        <w:t> статті 201 цього Кодексу, та/або порушення продавцем/покупцем граничних термінів реєстрації в Єдиному реєстрі податкових накладних (крім податкових накладних/розрахунків коригування, реєстрація яких зупинена згідно з </w:t>
      </w:r>
      <w:hyperlink r:id="rId3506" w:anchor="n14571" w:history="1">
        <w:r w:rsidRPr="008B264B">
          <w:rPr>
            <w:rFonts w:ascii="Times New Roman" w:eastAsia="Times New Roman" w:hAnsi="Times New Roman" w:cs="Times New Roman"/>
            <w:color w:val="0000FF"/>
            <w:sz w:val="24"/>
            <w:szCs w:val="24"/>
            <w:u w:val="single"/>
            <w:lang/>
          </w:rPr>
          <w:t>пунктом 201.16</w:t>
        </w:r>
      </w:hyperlink>
      <w:r w:rsidRPr="008B264B">
        <w:rPr>
          <w:rFonts w:ascii="Times New Roman" w:eastAsia="Times New Roman" w:hAnsi="Times New Roman" w:cs="Times New Roman"/>
          <w:color w:val="000000"/>
          <w:sz w:val="24"/>
          <w:szCs w:val="24"/>
          <w:lang/>
        </w:rPr>
        <w:t> цієї статті) податкової накладної та/або розрахунку коригування покупець/продавець таких товарів/послуг має право додати до </w:t>
      </w:r>
      <w:hyperlink r:id="rId3507"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за звітний податковий період заяву із скаргою на такого продавця/покупця. Таке право зберігається за ним протягом 365 календарних днів, що настають за граничним терміном подання податкової декларації за звітний (податковий) період, у якому не надано податкову накладну або допущено помилки при зазначенні обов’язкових реквізитів податкової накладної та/або порушено граничні терміни реєстрації в Єдиному реєстрі податкових накладних. До заяви додаються копії товарних чеків або інших розрахункових документів, що засвідчують факт сплати податку у зв’язку з придбанням таких товарів/послуг, або копії первинних документів, складених відповідно до </w:t>
      </w:r>
      <w:hyperlink r:id="rId3508"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бухгалтерський облік та фінансову звітність в Україні", що підтверджують факт отримання таких товарів/послуг.</w:t>
      </w:r>
    </w:p>
    <w:p w14:paraId="041A03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1" w:name="n5106"/>
      <w:bookmarkEnd w:id="6271"/>
      <w:r w:rsidRPr="008B264B">
        <w:rPr>
          <w:rFonts w:ascii="Times New Roman" w:eastAsia="Times New Roman" w:hAnsi="Times New Roman" w:cs="Times New Roman"/>
          <w:i/>
          <w:iCs/>
          <w:color w:val="000000"/>
          <w:sz w:val="24"/>
          <w:szCs w:val="24"/>
          <w:lang/>
        </w:rPr>
        <w:t>{Абзац пункту 201.10 статті 201 із змінами, внесеними згідно із Законами </w:t>
      </w:r>
      <w:hyperlink r:id="rId350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510" w:anchor="n14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3511" w:anchor="n100"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512"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513" w:anchor="n7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514" w:anchor="n91"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515" w:anchor="n3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516" w:anchor="n12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107D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2" w:name="n5107"/>
      <w:bookmarkEnd w:id="6272"/>
      <w:r w:rsidRPr="008B264B">
        <w:rPr>
          <w:rFonts w:ascii="Times New Roman" w:eastAsia="Times New Roman" w:hAnsi="Times New Roman" w:cs="Times New Roman"/>
          <w:color w:val="000000"/>
          <w:sz w:val="24"/>
          <w:szCs w:val="24"/>
          <w:lang/>
        </w:rPr>
        <w:t>Протягом 90 календарних днів з дня надходження такої заяви із скаргою з урахуванням вимог, встановлених </w:t>
      </w:r>
      <w:hyperlink r:id="rId3517" w:anchor="n1801" w:history="1">
        <w:r w:rsidRPr="008B264B">
          <w:rPr>
            <w:rFonts w:ascii="Times New Roman" w:eastAsia="Times New Roman" w:hAnsi="Times New Roman" w:cs="Times New Roman"/>
            <w:color w:val="0000FF"/>
            <w:sz w:val="24"/>
            <w:szCs w:val="24"/>
            <w:u w:val="single"/>
            <w:lang/>
          </w:rPr>
          <w:t>підпунктом 78.1.9</w:t>
        </w:r>
      </w:hyperlink>
      <w:r w:rsidRPr="008B264B">
        <w:rPr>
          <w:rFonts w:ascii="Times New Roman" w:eastAsia="Times New Roman" w:hAnsi="Times New Roman" w:cs="Times New Roman"/>
          <w:color w:val="000000"/>
          <w:sz w:val="24"/>
          <w:szCs w:val="24"/>
          <w:lang/>
        </w:rPr>
        <w:t> пункту 78.1 статті 78 цього Кодексу, контролюючий орган зобов’язаний провести документальну перевірку зазначеного продавця для з’ясування достовірності та повноти нарахування ним зобов’язань з податку за такою операцією.</w:t>
      </w:r>
    </w:p>
    <w:p w14:paraId="14B61E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3" w:name="n12814"/>
      <w:bookmarkEnd w:id="6273"/>
      <w:r w:rsidRPr="008B264B">
        <w:rPr>
          <w:rFonts w:ascii="Times New Roman" w:eastAsia="Times New Roman" w:hAnsi="Times New Roman" w:cs="Times New Roman"/>
          <w:i/>
          <w:iCs/>
          <w:color w:val="000000"/>
          <w:sz w:val="24"/>
          <w:szCs w:val="24"/>
          <w:lang/>
        </w:rPr>
        <w:t>{Абзац пункту 201.10 статті 201 в редакції Законів </w:t>
      </w:r>
      <w:hyperlink r:id="rId3518" w:anchor="n30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519" w:anchor="n12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CB3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4" w:name="n14311"/>
      <w:bookmarkEnd w:id="6274"/>
      <w:r w:rsidRPr="008B264B">
        <w:rPr>
          <w:rFonts w:ascii="Times New Roman" w:eastAsia="Times New Roman" w:hAnsi="Times New Roman" w:cs="Times New Roman"/>
          <w:color w:val="000000"/>
          <w:sz w:val="24"/>
          <w:szCs w:val="24"/>
          <w:lang/>
        </w:rPr>
        <w:t>Податкова накладна, що містить помилки в реквізитах, визначених пунктом 201.1 цієї статті (крім коду товару згідно з </w:t>
      </w:r>
      <w:hyperlink r:id="rId352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не заважають ідентифікувати здійснену операцію, її зміст (товар/послугу, що постачаються), період, сторони та суму податкових зобов’язань, є підставою для віднесення покупцем сум податку до податкового кредиту.</w:t>
      </w:r>
    </w:p>
    <w:p w14:paraId="7487E4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5" w:name="n14312"/>
      <w:bookmarkEnd w:id="6275"/>
      <w:r w:rsidRPr="008B264B">
        <w:rPr>
          <w:rFonts w:ascii="Times New Roman" w:eastAsia="Times New Roman" w:hAnsi="Times New Roman" w:cs="Times New Roman"/>
          <w:i/>
          <w:iCs/>
          <w:color w:val="000000"/>
          <w:sz w:val="24"/>
          <w:szCs w:val="24"/>
          <w:lang/>
        </w:rPr>
        <w:t>{Пункт 201.10 статті 201 доповнено абзацом згідно із Законом </w:t>
      </w:r>
      <w:hyperlink r:id="rId3521" w:anchor="n30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щодо виключення абзацу пункту 201.10 статті 201 по Закону № 1797-VIII від 21.12.2016 див. </w:t>
      </w:r>
      <w:hyperlink r:id="rId3522" w:anchor="n1609" w:tgtFrame="_blank" w:history="1">
        <w:r w:rsidRPr="008B264B">
          <w:rPr>
            <w:rFonts w:ascii="Times New Roman" w:eastAsia="Times New Roman" w:hAnsi="Times New Roman" w:cs="Times New Roman"/>
            <w:i/>
            <w:iCs/>
            <w:color w:val="0000FF"/>
            <w:sz w:val="24"/>
            <w:szCs w:val="24"/>
            <w:u w:val="single"/>
            <w:lang/>
          </w:rPr>
          <w:t>розділ II</w:t>
        </w:r>
      </w:hyperlink>
      <w:r w:rsidRPr="008B264B">
        <w:rPr>
          <w:rFonts w:ascii="Times New Roman" w:eastAsia="Times New Roman" w:hAnsi="Times New Roman" w:cs="Times New Roman"/>
          <w:i/>
          <w:iCs/>
          <w:color w:val="000000"/>
          <w:sz w:val="24"/>
          <w:szCs w:val="24"/>
          <w:lang/>
        </w:rPr>
        <w:t> "Прикінцеві та перехідні положення"}</w:t>
      </w:r>
    </w:p>
    <w:p w14:paraId="1C4B59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6" w:name="n14309"/>
      <w:bookmarkEnd w:id="6276"/>
      <w:r w:rsidRPr="008B264B">
        <w:rPr>
          <w:rFonts w:ascii="Times New Roman" w:eastAsia="Times New Roman" w:hAnsi="Times New Roman" w:cs="Times New Roman"/>
          <w:i/>
          <w:iCs/>
          <w:color w:val="000000"/>
          <w:sz w:val="24"/>
          <w:szCs w:val="24"/>
          <w:lang/>
        </w:rPr>
        <w:t>{Зміни до пункту 201.10 статті 201 по Закону </w:t>
      </w:r>
      <w:hyperlink r:id="rId3523" w:anchor="n12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xml:space="preserve"> в частині зупинення реєстрації податкових накладних/розрахунків коригування у Єдиному реєстрі </w:t>
      </w:r>
      <w:r w:rsidRPr="008B264B">
        <w:rPr>
          <w:rFonts w:ascii="Times New Roman" w:eastAsia="Times New Roman" w:hAnsi="Times New Roman" w:cs="Times New Roman"/>
          <w:i/>
          <w:iCs/>
          <w:color w:val="000000"/>
          <w:sz w:val="24"/>
          <w:szCs w:val="24"/>
          <w:lang/>
        </w:rPr>
        <w:lastRenderedPageBreak/>
        <w:t>податкових накладних набирають чинності з 01.04.2017, див. </w:t>
      </w:r>
      <w:hyperlink r:id="rId3524" w:anchor="n1612" w:tgtFrame="_blank" w:history="1">
        <w:r w:rsidRPr="008B264B">
          <w:rPr>
            <w:rFonts w:ascii="Times New Roman" w:eastAsia="Times New Roman" w:hAnsi="Times New Roman" w:cs="Times New Roman"/>
            <w:i/>
            <w:iCs/>
            <w:color w:val="0000FF"/>
            <w:sz w:val="24"/>
            <w:szCs w:val="24"/>
            <w:u w:val="single"/>
            <w:lang/>
          </w:rPr>
          <w:t>абзац п'ятий</w:t>
        </w:r>
      </w:hyperlink>
      <w:r w:rsidRPr="008B264B">
        <w:rPr>
          <w:rFonts w:ascii="Times New Roman" w:eastAsia="Times New Roman" w:hAnsi="Times New Roman" w:cs="Times New Roman"/>
          <w:i/>
          <w:iCs/>
          <w:color w:val="000000"/>
          <w:sz w:val="24"/>
          <w:szCs w:val="24"/>
          <w:lang/>
        </w:rPr>
        <w:t> пункту 1 розділу II Закону № 1797-VIII від 21.12.2016}</w:t>
      </w:r>
    </w:p>
    <w:p w14:paraId="11B5EB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7" w:name="n5108"/>
      <w:bookmarkEnd w:id="6277"/>
      <w:r w:rsidRPr="008B264B">
        <w:rPr>
          <w:rFonts w:ascii="Times New Roman" w:eastAsia="Times New Roman" w:hAnsi="Times New Roman" w:cs="Times New Roman"/>
          <w:color w:val="000000"/>
          <w:sz w:val="24"/>
          <w:szCs w:val="24"/>
          <w:lang/>
        </w:rPr>
        <w:t>201.11. Підставою для нарахування сум податку, що відносяться до податкового кредиту без отримання </w:t>
      </w:r>
      <w:hyperlink r:id="rId3525"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 також є:</w:t>
      </w:r>
    </w:p>
    <w:p w14:paraId="0B202E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8" w:name="n5109"/>
      <w:bookmarkEnd w:id="6278"/>
      <w:r w:rsidRPr="008B264B">
        <w:rPr>
          <w:rFonts w:ascii="Times New Roman" w:eastAsia="Times New Roman" w:hAnsi="Times New Roman" w:cs="Times New Roman"/>
          <w:color w:val="000000"/>
          <w:sz w:val="24"/>
          <w:szCs w:val="24"/>
          <w:lang/>
        </w:rPr>
        <w:t>а) транспортний квиток, готельний рахунок або рахунок, який виставляється платнику податку за послуги зв'язку, інші послуги, вартість яких визначається за показниками приладів обліку, що містять загальну суму платежу, суму податку та податковий номер продавця, крім тих, форма яких встановлена міжнародними стандартами;</w:t>
      </w:r>
    </w:p>
    <w:p w14:paraId="6CA6F9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79" w:name="n5110"/>
      <w:bookmarkEnd w:id="6279"/>
      <w:r w:rsidRPr="008B264B">
        <w:rPr>
          <w:rFonts w:ascii="Times New Roman" w:eastAsia="Times New Roman" w:hAnsi="Times New Roman" w:cs="Times New Roman"/>
          <w:color w:val="000000"/>
          <w:sz w:val="24"/>
          <w:szCs w:val="24"/>
          <w:lang/>
        </w:rPr>
        <w:t>б) касові чеки, які містять суму отриманих товарів/послуг, загальну суму нарахованого податку (з визначенням фіскального номера та податкового номера постачальника). При цьому з метою такого нарахування загальна сума отриманих товарів/послуг не може перевищувати 200 гривень за день (без урахування податку).</w:t>
      </w:r>
    </w:p>
    <w:p w14:paraId="5CBC47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0" w:name="n5111"/>
      <w:bookmarkEnd w:id="6280"/>
      <w:r w:rsidRPr="008B264B">
        <w:rPr>
          <w:rFonts w:ascii="Times New Roman" w:eastAsia="Times New Roman" w:hAnsi="Times New Roman" w:cs="Times New Roman"/>
          <w:color w:val="000000"/>
          <w:sz w:val="24"/>
          <w:szCs w:val="24"/>
          <w:lang/>
        </w:rPr>
        <w:t>У разі використання платниками для розрахунків із споживачами реєстраторів розрахункових операцій касовий чек повинен містити дані про загальну суму коштів, що підлягає сплаті покупцем з урахуванням податку, та суму цього податку, що сплачується у складі загальної суми.</w:t>
      </w:r>
    </w:p>
    <w:bookmarkStart w:id="6281" w:name="n5112"/>
    <w:bookmarkEnd w:id="6281"/>
    <w:p w14:paraId="3E11F4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"https://zakon.rada.gov.ua/laws/show/1224-2010-%D0%BF"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обчислення та накопичення реєстраторами розрахункових операцій сум податку</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 Кабінет Міністрів України;</w:t>
      </w:r>
    </w:p>
    <w:p w14:paraId="51E9D4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2" w:name="n5113"/>
      <w:bookmarkEnd w:id="6282"/>
      <w:r w:rsidRPr="008B264B">
        <w:rPr>
          <w:rFonts w:ascii="Times New Roman" w:eastAsia="Times New Roman" w:hAnsi="Times New Roman" w:cs="Times New Roman"/>
          <w:i/>
          <w:iCs/>
          <w:color w:val="000000"/>
          <w:sz w:val="24"/>
          <w:szCs w:val="24"/>
          <w:lang/>
        </w:rPr>
        <w:t>{Абзац третій підпункту "б" пункту 201.11 статті 201 із змінами, внесеними згідно із Законом </w:t>
      </w:r>
      <w:hyperlink r:id="rId352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294FB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3" w:name="n11348"/>
      <w:bookmarkEnd w:id="6283"/>
      <w:r w:rsidRPr="008B264B">
        <w:rPr>
          <w:rFonts w:ascii="Times New Roman" w:eastAsia="Times New Roman" w:hAnsi="Times New Roman" w:cs="Times New Roman"/>
          <w:color w:val="000000"/>
          <w:sz w:val="24"/>
          <w:szCs w:val="24"/>
          <w:lang/>
        </w:rPr>
        <w:t>в) бухгалтерська довідка, складена відповідно до </w:t>
      </w:r>
      <w:hyperlink r:id="rId3527" w:anchor="n12126" w:history="1">
        <w:r w:rsidRPr="008B264B">
          <w:rPr>
            <w:rFonts w:ascii="Times New Roman" w:eastAsia="Times New Roman" w:hAnsi="Times New Roman" w:cs="Times New Roman"/>
            <w:color w:val="0000FF"/>
            <w:sz w:val="24"/>
            <w:szCs w:val="24"/>
            <w:u w:val="single"/>
            <w:lang/>
          </w:rPr>
          <w:t>пункту 36 підрозділу 2 розділу XX</w:t>
        </w:r>
      </w:hyperlink>
      <w:r w:rsidRPr="008B264B">
        <w:rPr>
          <w:rFonts w:ascii="Times New Roman" w:eastAsia="Times New Roman" w:hAnsi="Times New Roman" w:cs="Times New Roman"/>
          <w:color w:val="000000"/>
          <w:sz w:val="24"/>
          <w:szCs w:val="24"/>
          <w:lang/>
        </w:rPr>
        <w:t> цього Кодексу;</w:t>
      </w:r>
    </w:p>
    <w:p w14:paraId="787618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4" w:name="n11350"/>
      <w:bookmarkEnd w:id="6284"/>
      <w:r w:rsidRPr="008B264B">
        <w:rPr>
          <w:rFonts w:ascii="Times New Roman" w:eastAsia="Times New Roman" w:hAnsi="Times New Roman" w:cs="Times New Roman"/>
          <w:i/>
          <w:iCs/>
          <w:color w:val="000000"/>
          <w:sz w:val="24"/>
          <w:szCs w:val="24"/>
          <w:lang/>
        </w:rPr>
        <w:t>{Пункт 201.11 статті 201 доповнено підпунктом "в" згідно із Законом </w:t>
      </w:r>
      <w:hyperlink r:id="rId3528" w:anchor="n7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529" w:anchor="n7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9468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5" w:name="n11349"/>
      <w:bookmarkEnd w:id="6285"/>
      <w:r w:rsidRPr="008B264B">
        <w:rPr>
          <w:rFonts w:ascii="Times New Roman" w:eastAsia="Times New Roman" w:hAnsi="Times New Roman" w:cs="Times New Roman"/>
          <w:color w:val="000000"/>
          <w:sz w:val="24"/>
          <w:szCs w:val="24"/>
          <w:lang/>
        </w:rPr>
        <w:t>г) податкова накладна, складена платником податку відповідно до </w:t>
      </w:r>
      <w:hyperlink r:id="rId3530" w:anchor="n5183" w:history="1">
        <w:r w:rsidRPr="008B264B">
          <w:rPr>
            <w:rFonts w:ascii="Times New Roman" w:eastAsia="Times New Roman" w:hAnsi="Times New Roman" w:cs="Times New Roman"/>
            <w:color w:val="0000FF"/>
            <w:sz w:val="24"/>
            <w:szCs w:val="24"/>
            <w:u w:val="single"/>
            <w:lang/>
          </w:rPr>
          <w:t>пункту 208.2</w:t>
        </w:r>
      </w:hyperlink>
      <w:r w:rsidRPr="008B264B">
        <w:rPr>
          <w:rFonts w:ascii="Times New Roman" w:eastAsia="Times New Roman" w:hAnsi="Times New Roman" w:cs="Times New Roman"/>
          <w:color w:val="000000"/>
          <w:sz w:val="24"/>
          <w:szCs w:val="24"/>
          <w:lang/>
        </w:rPr>
        <w:t> статті 208 цього Кодексу та зареєстрована в Єдиному реєстрі податкових накладних.</w:t>
      </w:r>
    </w:p>
    <w:p w14:paraId="09672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6" w:name="n11347"/>
      <w:bookmarkEnd w:id="6286"/>
      <w:r w:rsidRPr="008B264B">
        <w:rPr>
          <w:rFonts w:ascii="Times New Roman" w:eastAsia="Times New Roman" w:hAnsi="Times New Roman" w:cs="Times New Roman"/>
          <w:i/>
          <w:iCs/>
          <w:color w:val="000000"/>
          <w:sz w:val="24"/>
          <w:szCs w:val="24"/>
          <w:lang/>
        </w:rPr>
        <w:t>{Пункт 201.11 статті 201 доповнено підпунктом "г" згідно із Законом </w:t>
      </w:r>
      <w:hyperlink r:id="rId3531" w:anchor="n7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563A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7" w:name="n11352"/>
      <w:bookmarkEnd w:id="6287"/>
      <w:r w:rsidRPr="008B264B">
        <w:rPr>
          <w:rFonts w:ascii="Times New Roman" w:eastAsia="Times New Roman" w:hAnsi="Times New Roman" w:cs="Times New Roman"/>
          <w:color w:val="000000"/>
          <w:sz w:val="24"/>
          <w:szCs w:val="24"/>
          <w:lang/>
        </w:rPr>
        <w:t>201.11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Платник податку веде реєстр документів, зазначених у підпунктах "а" - "в" пункту 201.11 цієї статті.</w:t>
      </w:r>
    </w:p>
    <w:p w14:paraId="6A0046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8" w:name="n11351"/>
      <w:bookmarkEnd w:id="6288"/>
      <w:r w:rsidRPr="008B264B">
        <w:rPr>
          <w:rFonts w:ascii="Times New Roman" w:eastAsia="Times New Roman" w:hAnsi="Times New Roman" w:cs="Times New Roman"/>
          <w:i/>
          <w:iCs/>
          <w:color w:val="000000"/>
          <w:sz w:val="24"/>
          <w:szCs w:val="24"/>
          <w:lang/>
        </w:rPr>
        <w:t>{Статтю 201 доповнено пунктом 201.11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532" w:anchor="n74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7A246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89" w:name="n5114"/>
      <w:bookmarkEnd w:id="6289"/>
      <w:r w:rsidRPr="008B264B">
        <w:rPr>
          <w:rFonts w:ascii="Times New Roman" w:eastAsia="Times New Roman" w:hAnsi="Times New Roman" w:cs="Times New Roman"/>
          <w:color w:val="000000"/>
          <w:sz w:val="24"/>
          <w:szCs w:val="24"/>
          <w:lang/>
        </w:rPr>
        <w:t>201.12. У разі ввезення товарів на митну територію України документом, що посвідчує право на віднесення сум податку до податкового кредиту, вважається митна декларація, оформлена відповідно до вимог законодавства, яка підтверджує сплату податку.</w:t>
      </w:r>
    </w:p>
    <w:p w14:paraId="1778C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0" w:name="n5115"/>
      <w:bookmarkEnd w:id="6290"/>
      <w:r w:rsidRPr="008B264B">
        <w:rPr>
          <w:rFonts w:ascii="Times New Roman" w:eastAsia="Times New Roman" w:hAnsi="Times New Roman" w:cs="Times New Roman"/>
          <w:color w:val="000000"/>
          <w:sz w:val="24"/>
          <w:szCs w:val="24"/>
          <w:lang/>
        </w:rPr>
        <w:t>Для операцій з постачання послуг нерезидентом на митній території України документом, що посвідчує право на віднесення сум податку до податкового кредиту, вважається податкова накладна, складена платником за такими операціями та зареєстрована в Єдиному реєстрі податкових накладних, податкові зобов’язання за якою включені до податкової декларації відповідного звітного періоду.</w:t>
      </w:r>
    </w:p>
    <w:p w14:paraId="0FFDEE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1" w:name="n11353"/>
      <w:bookmarkEnd w:id="6291"/>
      <w:r w:rsidRPr="008B264B">
        <w:rPr>
          <w:rFonts w:ascii="Times New Roman" w:eastAsia="Times New Roman" w:hAnsi="Times New Roman" w:cs="Times New Roman"/>
          <w:i/>
          <w:iCs/>
          <w:color w:val="000000"/>
          <w:sz w:val="24"/>
          <w:szCs w:val="24"/>
          <w:lang/>
        </w:rPr>
        <w:t>{Пункт 201.12 статті 201 із змінами, внесеними згідно із Законом </w:t>
      </w:r>
      <w:hyperlink r:id="rId3533" w:anchor="n74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A59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2" w:name="n5116"/>
      <w:bookmarkEnd w:id="6292"/>
      <w:r w:rsidRPr="008B264B">
        <w:rPr>
          <w:rFonts w:ascii="Times New Roman" w:eastAsia="Times New Roman" w:hAnsi="Times New Roman" w:cs="Times New Roman"/>
          <w:color w:val="000000"/>
          <w:sz w:val="24"/>
          <w:szCs w:val="24"/>
          <w:lang/>
        </w:rPr>
        <w:t>201.13. Для фізичних осіб, не зареєстрованих як суб'єкти господарювання, що ввозять товари (предмети) на митну територію України в обсягах, які підлягають оподаткуванню згідно із законодавством, оформлення </w:t>
      </w:r>
      <w:hyperlink r:id="rId3534" w:anchor="n14" w:tgtFrame="_blank" w:history="1">
        <w:r w:rsidRPr="008B264B">
          <w:rPr>
            <w:rFonts w:ascii="Times New Roman" w:eastAsia="Times New Roman" w:hAnsi="Times New Roman" w:cs="Times New Roman"/>
            <w:color w:val="0000FF"/>
            <w:sz w:val="24"/>
            <w:szCs w:val="24"/>
            <w:u w:val="single"/>
            <w:lang/>
          </w:rPr>
          <w:t>митної декларації</w:t>
        </w:r>
      </w:hyperlink>
      <w:r w:rsidRPr="008B264B">
        <w:rPr>
          <w:rFonts w:ascii="Times New Roman" w:eastAsia="Times New Roman" w:hAnsi="Times New Roman" w:cs="Times New Roman"/>
          <w:color w:val="000000"/>
          <w:sz w:val="24"/>
          <w:szCs w:val="24"/>
          <w:lang/>
        </w:rPr>
        <w:t> прирівнюється до подання </w:t>
      </w:r>
      <w:hyperlink r:id="rId3535"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w:t>
      </w:r>
    </w:p>
    <w:p w14:paraId="3B09D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3" w:name="n5117"/>
      <w:bookmarkEnd w:id="6293"/>
      <w:r w:rsidRPr="008B264B">
        <w:rPr>
          <w:rFonts w:ascii="Times New Roman" w:eastAsia="Times New Roman" w:hAnsi="Times New Roman" w:cs="Times New Roman"/>
          <w:color w:val="000000"/>
          <w:sz w:val="24"/>
          <w:szCs w:val="24"/>
          <w:lang/>
        </w:rPr>
        <w:lastRenderedPageBreak/>
        <w:t>201.14. Платники податку зобов'язані вести окремий облік операцій з постачання та придбання товарів/послуг, які підлягають оподаткуванню, а також які не є об'єктами оподаткування та звільнені від оподаткування згідно з цим розділом.</w:t>
      </w:r>
    </w:p>
    <w:p w14:paraId="04445B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4" w:name="n10405"/>
      <w:bookmarkEnd w:id="6294"/>
      <w:r w:rsidRPr="008B264B">
        <w:rPr>
          <w:rFonts w:ascii="Times New Roman" w:eastAsia="Times New Roman" w:hAnsi="Times New Roman" w:cs="Times New Roman"/>
          <w:color w:val="000000"/>
          <w:sz w:val="24"/>
          <w:szCs w:val="24"/>
          <w:lang/>
        </w:rPr>
        <w:t>201.15. Зведені результати такого обліку відображаються в </w:t>
      </w:r>
      <w:hyperlink r:id="rId3536" w:anchor="n21" w:tgtFrame="_blank" w:history="1">
        <w:r w:rsidRPr="008B264B">
          <w:rPr>
            <w:rFonts w:ascii="Times New Roman" w:eastAsia="Times New Roman" w:hAnsi="Times New Roman" w:cs="Times New Roman"/>
            <w:color w:val="0000FF"/>
            <w:sz w:val="24"/>
            <w:szCs w:val="24"/>
            <w:u w:val="single"/>
            <w:lang/>
          </w:rPr>
          <w:t>податкових деклараціях</w:t>
        </w:r>
      </w:hyperlink>
      <w:r w:rsidRPr="008B264B">
        <w:rPr>
          <w:rFonts w:ascii="Times New Roman" w:eastAsia="Times New Roman" w:hAnsi="Times New Roman" w:cs="Times New Roman"/>
          <w:color w:val="000000"/>
          <w:sz w:val="24"/>
          <w:szCs w:val="24"/>
          <w:lang/>
        </w:rPr>
        <w:t>, форма яких встановлюється у порядку, передбаченому </w:t>
      </w:r>
      <w:hyperlink r:id="rId3537"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w:t>
      </w:r>
    </w:p>
    <w:p w14:paraId="4D88F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5" w:name="n10142"/>
      <w:bookmarkEnd w:id="6295"/>
      <w:r w:rsidRPr="008B264B">
        <w:rPr>
          <w:rFonts w:ascii="Times New Roman" w:eastAsia="Times New Roman" w:hAnsi="Times New Roman" w:cs="Times New Roman"/>
          <w:i/>
          <w:iCs/>
          <w:color w:val="000000"/>
          <w:sz w:val="24"/>
          <w:szCs w:val="24"/>
          <w:lang/>
        </w:rPr>
        <w:t>{Пункт 201.15 статті 201 із змінами, внесеними згідно із Законом </w:t>
      </w:r>
      <w:hyperlink r:id="rId3538" w:anchor="n105"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539"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540" w:anchor="n7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9D703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6" w:name="n14571"/>
      <w:bookmarkEnd w:id="6296"/>
      <w:r w:rsidRPr="008B264B">
        <w:rPr>
          <w:rFonts w:ascii="Times New Roman" w:eastAsia="Times New Roman" w:hAnsi="Times New Roman" w:cs="Times New Roman"/>
          <w:color w:val="000000"/>
          <w:sz w:val="24"/>
          <w:szCs w:val="24"/>
          <w:lang/>
        </w:rPr>
        <w:t>201.16. Реєстрація </w:t>
      </w:r>
      <w:hyperlink r:id="rId3541"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в Єдиному реєстрі податкових накладних може бути зупинена в </w:t>
      </w:r>
      <w:hyperlink r:id="rId3542" w:anchor="n18"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та на підставах, визначених Кабінетом Міністрів України.</w:t>
      </w:r>
    </w:p>
    <w:p w14:paraId="68C06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7" w:name="n14715"/>
      <w:bookmarkEnd w:id="6297"/>
      <w:r w:rsidRPr="008B264B">
        <w:rPr>
          <w:rFonts w:ascii="Times New Roman" w:eastAsia="Times New Roman" w:hAnsi="Times New Roman" w:cs="Times New Roman"/>
          <w:i/>
          <w:iCs/>
          <w:color w:val="000000"/>
          <w:sz w:val="24"/>
          <w:szCs w:val="24"/>
          <w:lang/>
        </w:rPr>
        <w:t>{Статтю 201 доповнено пунктом 201.16 згідно із Законом </w:t>
      </w:r>
      <w:hyperlink r:id="rId3543" w:anchor="n124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3544" w:anchor="n19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8BFEB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8" w:name="n5121"/>
      <w:bookmarkEnd w:id="6298"/>
      <w:r w:rsidRPr="008B264B">
        <w:rPr>
          <w:rFonts w:ascii="Times New Roman" w:eastAsia="Times New Roman" w:hAnsi="Times New Roman" w:cs="Times New Roman"/>
          <w:b/>
          <w:bCs/>
          <w:color w:val="000000"/>
          <w:sz w:val="24"/>
          <w:szCs w:val="24"/>
          <w:lang/>
        </w:rPr>
        <w:t>Стаття 202.</w:t>
      </w:r>
      <w:r w:rsidRPr="008B264B">
        <w:rPr>
          <w:rFonts w:ascii="Times New Roman" w:eastAsia="Times New Roman" w:hAnsi="Times New Roman" w:cs="Times New Roman"/>
          <w:color w:val="000000"/>
          <w:sz w:val="24"/>
          <w:szCs w:val="24"/>
          <w:lang/>
        </w:rPr>
        <w:t> Звітні (податкові) періоди</w:t>
      </w:r>
    </w:p>
    <w:p w14:paraId="35B203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299" w:name="n5122"/>
      <w:bookmarkEnd w:id="6299"/>
      <w:r w:rsidRPr="008B264B">
        <w:rPr>
          <w:rFonts w:ascii="Times New Roman" w:eastAsia="Times New Roman" w:hAnsi="Times New Roman" w:cs="Times New Roman"/>
          <w:color w:val="000000"/>
          <w:sz w:val="24"/>
          <w:szCs w:val="24"/>
          <w:lang/>
        </w:rPr>
        <w:t>202.1. Звітним (податковим) періодом є один календарний місяць, а у випадках, особливо визначених цим Кодексом, календарний квартал, з урахуванням таких особливостей:</w:t>
      </w:r>
    </w:p>
    <w:p w14:paraId="093DE1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0" w:name="n5123"/>
      <w:bookmarkEnd w:id="6300"/>
      <w:r w:rsidRPr="008B264B">
        <w:rPr>
          <w:rFonts w:ascii="Times New Roman" w:eastAsia="Times New Roman" w:hAnsi="Times New Roman" w:cs="Times New Roman"/>
          <w:color w:val="000000"/>
          <w:sz w:val="24"/>
          <w:szCs w:val="24"/>
          <w:lang/>
        </w:rPr>
        <w:t>а) якщо особа реєструється як платник податку з іншого дня, ніж перший день календарного місяця, першим звітним (податковим) періодом є період, який розпочинається від дня такої реєстрації та закінчується останнім днем першого повного календарного місяця;</w:t>
      </w:r>
    </w:p>
    <w:p w14:paraId="25FD0F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1" w:name="n5124"/>
      <w:bookmarkEnd w:id="6301"/>
      <w:r w:rsidRPr="008B264B">
        <w:rPr>
          <w:rFonts w:ascii="Times New Roman" w:eastAsia="Times New Roman" w:hAnsi="Times New Roman" w:cs="Times New Roman"/>
          <w:color w:val="000000"/>
          <w:sz w:val="24"/>
          <w:szCs w:val="24"/>
          <w:lang/>
        </w:rPr>
        <w:t>б) якщо податкова реєстрація особи анулюється в інший день, ніж останній день календарного місяця, то останнім звітним (податковим) періодом є період, який розпочинається з першого дня такого місяця та закінчується днем такого анулювання.</w:t>
      </w:r>
    </w:p>
    <w:p w14:paraId="7841B3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2" w:name="n5125"/>
      <w:bookmarkEnd w:id="6302"/>
      <w:r w:rsidRPr="008B264B">
        <w:rPr>
          <w:rFonts w:ascii="Times New Roman" w:eastAsia="Times New Roman" w:hAnsi="Times New Roman" w:cs="Times New Roman"/>
          <w:color w:val="000000"/>
          <w:sz w:val="24"/>
          <w:szCs w:val="24"/>
          <w:lang/>
        </w:rPr>
        <w:t>202.2. Платники податку, які сплачують єдиний податок, можуть вибрати квартальний податковий період. Заява про вибір квартального податкового періоду подається контролюючому органу разом з декларацією за наслідками останнього податкового періоду календарного року. При цьому квартальний податковий період починає застосовуватися з першого податкового періоду наступного календарного року.</w:t>
      </w:r>
    </w:p>
    <w:p w14:paraId="0BA33D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3" w:name="n5126"/>
      <w:bookmarkEnd w:id="6303"/>
      <w:r w:rsidRPr="008B264B">
        <w:rPr>
          <w:rFonts w:ascii="Times New Roman" w:eastAsia="Times New Roman" w:hAnsi="Times New Roman" w:cs="Times New Roman"/>
          <w:i/>
          <w:iCs/>
          <w:color w:val="000000"/>
          <w:sz w:val="24"/>
          <w:szCs w:val="24"/>
          <w:lang/>
        </w:rPr>
        <w:t>{Абзац перший пункту 202.2 статті 202 із змінами, внесеними згідно із Законами </w:t>
      </w:r>
      <w:hyperlink r:id="rId3545"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w:t>
      </w:r>
      <w:hyperlink r:id="rId3546" w:anchor="n12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079D3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4" w:name="n5127"/>
      <w:bookmarkEnd w:id="6304"/>
      <w:r w:rsidRPr="008B264B">
        <w:rPr>
          <w:rFonts w:ascii="Times New Roman" w:eastAsia="Times New Roman" w:hAnsi="Times New Roman" w:cs="Times New Roman"/>
          <w:i/>
          <w:iCs/>
          <w:color w:val="000000"/>
          <w:sz w:val="24"/>
          <w:szCs w:val="24"/>
          <w:lang/>
        </w:rPr>
        <w:t>{Абзац другий пункту 202.2 статті 202 виключено на підставі Закону </w:t>
      </w:r>
      <w:hyperlink r:id="rId3547" w:anchor="n12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CB68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5" w:name="n5128"/>
      <w:bookmarkEnd w:id="6305"/>
      <w:r w:rsidRPr="008B264B">
        <w:rPr>
          <w:rFonts w:ascii="Times New Roman" w:eastAsia="Times New Roman" w:hAnsi="Times New Roman" w:cs="Times New Roman"/>
          <w:color w:val="000000"/>
          <w:sz w:val="24"/>
          <w:szCs w:val="24"/>
          <w:lang/>
        </w:rPr>
        <w:t>У разі якщо платник податку, який застосовував спрощену систему оподаткування, переходить на сплату інших податків і зборів, встановлених цим Кодексом, такий платник податку зобов'язаний самостійно перейти на місячний податковий період, починаючи з першого місяця переходу на сплату інших податків і зборів, встановлених цим Кодексом, що зазначається у відповідній податковій декларації за наслідками такого місяця.</w:t>
      </w:r>
    </w:p>
    <w:p w14:paraId="70F1AB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6" w:name="n5129"/>
      <w:bookmarkEnd w:id="6306"/>
      <w:r w:rsidRPr="008B264B">
        <w:rPr>
          <w:rFonts w:ascii="Times New Roman" w:eastAsia="Times New Roman" w:hAnsi="Times New Roman" w:cs="Times New Roman"/>
          <w:i/>
          <w:iCs/>
          <w:color w:val="000000"/>
          <w:sz w:val="24"/>
          <w:szCs w:val="24"/>
          <w:lang/>
        </w:rPr>
        <w:t>{Пункт 202.2 статті 202 доповнено абзацом третім згідно із Законом </w:t>
      </w:r>
      <w:hyperlink r:id="rId3548"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024FB7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7" w:name="n5130"/>
      <w:bookmarkEnd w:id="6307"/>
      <w:r w:rsidRPr="008B264B">
        <w:rPr>
          <w:rFonts w:ascii="Times New Roman" w:eastAsia="Times New Roman" w:hAnsi="Times New Roman" w:cs="Times New Roman"/>
          <w:b/>
          <w:bCs/>
          <w:color w:val="000000"/>
          <w:sz w:val="24"/>
          <w:szCs w:val="24"/>
          <w:lang/>
        </w:rPr>
        <w:t>Стаття 203.</w:t>
      </w:r>
      <w:r w:rsidRPr="008B264B">
        <w:rPr>
          <w:rFonts w:ascii="Times New Roman" w:eastAsia="Times New Roman" w:hAnsi="Times New Roman" w:cs="Times New Roman"/>
          <w:color w:val="000000"/>
          <w:sz w:val="24"/>
          <w:szCs w:val="24"/>
          <w:lang/>
        </w:rPr>
        <w:t> Порядок надання податкової декларації та строки розрахунків з бюджетом</w:t>
      </w:r>
    </w:p>
    <w:p w14:paraId="474A79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8" w:name="n5131"/>
      <w:bookmarkEnd w:id="6308"/>
      <w:r w:rsidRPr="008B264B">
        <w:rPr>
          <w:rFonts w:ascii="Times New Roman" w:eastAsia="Times New Roman" w:hAnsi="Times New Roman" w:cs="Times New Roman"/>
          <w:color w:val="000000"/>
          <w:sz w:val="24"/>
          <w:szCs w:val="24"/>
          <w:lang/>
        </w:rPr>
        <w:t>203.1. Податкова декларація подається за базовий звітний (податковий) період, що дорівнює календарному місяцю, протягом 20 календарних днів, що настають за останнім календарним днем звітного (податкового) місяця.</w:t>
      </w:r>
    </w:p>
    <w:p w14:paraId="0F1A87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09" w:name="n5132"/>
      <w:bookmarkEnd w:id="6309"/>
      <w:r w:rsidRPr="008B264B">
        <w:rPr>
          <w:rFonts w:ascii="Times New Roman" w:eastAsia="Times New Roman" w:hAnsi="Times New Roman" w:cs="Times New Roman"/>
          <w:color w:val="000000"/>
          <w:sz w:val="24"/>
          <w:szCs w:val="24"/>
          <w:lang/>
        </w:rPr>
        <w:t>203.2. Сума податкового зобов’язання, зазначена платником податку в поданій ним податковій декларації, підлягає сплаті протягом 10 календарних днів, що настають за останнім днем відповідного граничного строку, передбаченого пунктом 203.1 цієї статті для подання податкової декларації.</w:t>
      </w:r>
    </w:p>
    <w:p w14:paraId="07C4CF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0" w:name="n10143"/>
      <w:bookmarkEnd w:id="6310"/>
      <w:r w:rsidRPr="008B264B">
        <w:rPr>
          <w:rFonts w:ascii="Times New Roman" w:eastAsia="Times New Roman" w:hAnsi="Times New Roman" w:cs="Times New Roman"/>
          <w:i/>
          <w:iCs/>
          <w:color w:val="000000"/>
          <w:sz w:val="24"/>
          <w:szCs w:val="24"/>
          <w:lang/>
        </w:rPr>
        <w:lastRenderedPageBreak/>
        <w:t>{Пункт 203.2 статті 203 із змінами, внесеними згідно із Законом </w:t>
      </w:r>
      <w:hyperlink r:id="rId3549" w:anchor="n107"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550"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551" w:anchor="n75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46265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1" w:name="n5133"/>
      <w:bookmarkEnd w:id="6311"/>
      <w:r w:rsidRPr="008B264B">
        <w:rPr>
          <w:rFonts w:ascii="Times New Roman" w:eastAsia="Times New Roman" w:hAnsi="Times New Roman" w:cs="Times New Roman"/>
          <w:i/>
          <w:iCs/>
          <w:color w:val="000000"/>
          <w:sz w:val="24"/>
          <w:szCs w:val="24"/>
          <w:lang/>
        </w:rPr>
        <w:t>{Статтю 204 виключено на підставі Закону </w:t>
      </w:r>
      <w:hyperlink r:id="rId3552" w:anchor="n90"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6DE7F8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2" w:name="n5134"/>
      <w:bookmarkEnd w:id="6312"/>
      <w:r w:rsidRPr="008B264B">
        <w:rPr>
          <w:rFonts w:ascii="Times New Roman" w:eastAsia="Times New Roman" w:hAnsi="Times New Roman" w:cs="Times New Roman"/>
          <w:i/>
          <w:iCs/>
          <w:color w:val="000000"/>
          <w:sz w:val="24"/>
          <w:szCs w:val="24"/>
          <w:lang/>
        </w:rPr>
        <w:t>{Статтю 205 виключено на підставі Закону </w:t>
      </w:r>
      <w:hyperlink r:id="rId3553" w:anchor="n90"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72DC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3" w:name="n5135"/>
      <w:bookmarkEnd w:id="6313"/>
      <w:r w:rsidRPr="008B264B">
        <w:rPr>
          <w:rFonts w:ascii="Times New Roman" w:eastAsia="Times New Roman" w:hAnsi="Times New Roman" w:cs="Times New Roman"/>
          <w:b/>
          <w:bCs/>
          <w:color w:val="000000"/>
          <w:sz w:val="24"/>
          <w:szCs w:val="24"/>
          <w:lang/>
        </w:rPr>
        <w:t>Стаття 206.</w:t>
      </w:r>
      <w:r w:rsidRPr="008B264B">
        <w:rPr>
          <w:rFonts w:ascii="Times New Roman" w:eastAsia="Times New Roman" w:hAnsi="Times New Roman" w:cs="Times New Roman"/>
          <w:color w:val="000000"/>
          <w:sz w:val="24"/>
          <w:szCs w:val="24"/>
          <w:lang/>
        </w:rPr>
        <w:t> Особливості оподаткування операцій під час переміщення товарів через митний кордон України залежно від обраного митного режиму</w:t>
      </w:r>
    </w:p>
    <w:p w14:paraId="323F6A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4" w:name="n5136"/>
      <w:bookmarkEnd w:id="6314"/>
      <w:r w:rsidRPr="008B264B">
        <w:rPr>
          <w:rFonts w:ascii="Times New Roman" w:eastAsia="Times New Roman" w:hAnsi="Times New Roman" w:cs="Times New Roman"/>
          <w:color w:val="000000"/>
          <w:sz w:val="24"/>
          <w:szCs w:val="24"/>
          <w:lang/>
        </w:rPr>
        <w:t>206.1. Під час ввезення товарів на митну територію України суми податку підлягають сплаті до державного бюджету платниками податку до/або на день подання митної декларації безпосередньо на єдиний казначейський рахунок, крім операцій, за якими надається звільнення (умовне звільнення) від оподаткування.</w:t>
      </w:r>
    </w:p>
    <w:p w14:paraId="45DA51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5" w:name="n5137"/>
      <w:bookmarkEnd w:id="6315"/>
      <w:r w:rsidRPr="008B264B">
        <w:rPr>
          <w:rFonts w:ascii="Times New Roman" w:eastAsia="Times New Roman" w:hAnsi="Times New Roman" w:cs="Times New Roman"/>
          <w:color w:val="000000"/>
          <w:sz w:val="24"/>
          <w:szCs w:val="24"/>
          <w:lang/>
        </w:rPr>
        <w:t>206.2. Операції із ввезення на митну територію України товарів у митному режимі імпорту оподатковуються податком за ставкою, визначеною </w:t>
      </w:r>
      <w:hyperlink r:id="rId3554" w:anchor="n4609" w:history="1">
        <w:r w:rsidRPr="008B264B">
          <w:rPr>
            <w:rFonts w:ascii="Times New Roman" w:eastAsia="Times New Roman" w:hAnsi="Times New Roman" w:cs="Times New Roman"/>
            <w:color w:val="0000FF"/>
            <w:sz w:val="24"/>
            <w:szCs w:val="24"/>
            <w:u w:val="single"/>
            <w:lang/>
          </w:rPr>
          <w:t>підпунктом 194.1.1</w:t>
        </w:r>
      </w:hyperlink>
      <w:r w:rsidRPr="008B264B">
        <w:rPr>
          <w:rFonts w:ascii="Times New Roman" w:eastAsia="Times New Roman" w:hAnsi="Times New Roman" w:cs="Times New Roman"/>
          <w:color w:val="000000"/>
          <w:sz w:val="24"/>
          <w:szCs w:val="24"/>
          <w:lang/>
        </w:rPr>
        <w:t> пункту 194.1 статті 194 цього Кодексу, крім операцій:</w:t>
      </w:r>
    </w:p>
    <w:p w14:paraId="63679C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6" w:name="n5138"/>
      <w:bookmarkEnd w:id="6316"/>
      <w:r w:rsidRPr="008B264B">
        <w:rPr>
          <w:rFonts w:ascii="Times New Roman" w:eastAsia="Times New Roman" w:hAnsi="Times New Roman" w:cs="Times New Roman"/>
          <w:color w:val="000000"/>
          <w:sz w:val="24"/>
          <w:szCs w:val="24"/>
          <w:lang/>
        </w:rPr>
        <w:t>206.2.1. із ввезення товарів, звільнених від оподаткування відповідно до </w:t>
      </w:r>
      <w:hyperlink r:id="rId3555" w:anchor="n4722" w:history="1">
        <w:r w:rsidRPr="008B264B">
          <w:rPr>
            <w:rFonts w:ascii="Times New Roman" w:eastAsia="Times New Roman" w:hAnsi="Times New Roman" w:cs="Times New Roman"/>
            <w:color w:val="0000FF"/>
            <w:sz w:val="24"/>
            <w:szCs w:val="24"/>
            <w:u w:val="single"/>
            <w:lang/>
          </w:rPr>
          <w:t>статті 197</w:t>
        </w:r>
      </w:hyperlink>
      <w:r w:rsidRPr="008B264B">
        <w:rPr>
          <w:rFonts w:ascii="Times New Roman" w:eastAsia="Times New Roman" w:hAnsi="Times New Roman" w:cs="Times New Roman"/>
          <w:color w:val="000000"/>
          <w:sz w:val="24"/>
          <w:szCs w:val="24"/>
          <w:lang/>
        </w:rPr>
        <w:t> та </w:t>
      </w:r>
      <w:hyperlink r:id="rId3556" w:anchor="n8035" w:history="1">
        <w:r w:rsidRPr="008B264B">
          <w:rPr>
            <w:rFonts w:ascii="Times New Roman" w:eastAsia="Times New Roman" w:hAnsi="Times New Roman" w:cs="Times New Roman"/>
            <w:color w:val="0000FF"/>
            <w:sz w:val="24"/>
            <w:szCs w:val="24"/>
            <w:u w:val="single"/>
            <w:lang/>
          </w:rPr>
          <w:t>підрозділу 2 розділу ХХ</w:t>
        </w:r>
      </w:hyperlink>
      <w:r w:rsidRPr="008B264B">
        <w:rPr>
          <w:rFonts w:ascii="Times New Roman" w:eastAsia="Times New Roman" w:hAnsi="Times New Roman" w:cs="Times New Roman"/>
          <w:color w:val="000000"/>
          <w:sz w:val="24"/>
          <w:szCs w:val="24"/>
          <w:lang/>
        </w:rPr>
        <w:t> цього Кодексу, а також відповідно до міжнародних договорів, ратифікованих Верховною Радою України;</w:t>
      </w:r>
    </w:p>
    <w:p w14:paraId="18E822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7" w:name="n5139"/>
      <w:bookmarkEnd w:id="6317"/>
      <w:r w:rsidRPr="008B264B">
        <w:rPr>
          <w:rFonts w:ascii="Times New Roman" w:eastAsia="Times New Roman" w:hAnsi="Times New Roman" w:cs="Times New Roman"/>
          <w:color w:val="000000"/>
          <w:sz w:val="24"/>
          <w:szCs w:val="24"/>
          <w:lang/>
        </w:rPr>
        <w:t>206.2.2. із ввезення із звільненням від оподаткування товарів, що були поміщені в митний режим переробки за межами митної території України та в межах визначеного </w:t>
      </w:r>
      <w:hyperlink r:id="rId3557"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строку повертаються на митну територію України:</w:t>
      </w:r>
    </w:p>
    <w:p w14:paraId="1C8C68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8" w:name="n5140"/>
      <w:bookmarkEnd w:id="6318"/>
      <w:r w:rsidRPr="008B264B">
        <w:rPr>
          <w:rFonts w:ascii="Times New Roman" w:eastAsia="Times New Roman" w:hAnsi="Times New Roman" w:cs="Times New Roman"/>
          <w:color w:val="000000"/>
          <w:sz w:val="24"/>
          <w:szCs w:val="24"/>
          <w:lang/>
        </w:rPr>
        <w:t>у тому самому стані, в якому вони були вивезені за межі митної території України, з дотриманням умов, встановлених Митним кодексом України;</w:t>
      </w:r>
    </w:p>
    <w:p w14:paraId="517F55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19" w:name="n5141"/>
      <w:bookmarkEnd w:id="6319"/>
      <w:r w:rsidRPr="008B264B">
        <w:rPr>
          <w:rFonts w:ascii="Times New Roman" w:eastAsia="Times New Roman" w:hAnsi="Times New Roman" w:cs="Times New Roman"/>
          <w:color w:val="000000"/>
          <w:sz w:val="24"/>
          <w:szCs w:val="24"/>
          <w:lang/>
        </w:rPr>
        <w:t>у відремонтованому вигляді, якщо ремонт проведено в рамках гарантійних зобов’язань;</w:t>
      </w:r>
    </w:p>
    <w:p w14:paraId="1CF511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0" w:name="n5142"/>
      <w:bookmarkEnd w:id="6320"/>
      <w:r w:rsidRPr="008B264B">
        <w:rPr>
          <w:rFonts w:ascii="Times New Roman" w:eastAsia="Times New Roman" w:hAnsi="Times New Roman" w:cs="Times New Roman"/>
          <w:color w:val="000000"/>
          <w:sz w:val="24"/>
          <w:szCs w:val="24"/>
          <w:lang/>
        </w:rPr>
        <w:t>206.2.3. із ввезення з частковим звільненням від оподаткування товарів, що були поміщені:</w:t>
      </w:r>
    </w:p>
    <w:p w14:paraId="00A097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1" w:name="n5143"/>
      <w:bookmarkEnd w:id="6321"/>
      <w:r w:rsidRPr="008B264B">
        <w:rPr>
          <w:rFonts w:ascii="Times New Roman" w:eastAsia="Times New Roman" w:hAnsi="Times New Roman" w:cs="Times New Roman"/>
          <w:color w:val="000000"/>
          <w:sz w:val="24"/>
          <w:szCs w:val="24"/>
          <w:lang/>
        </w:rPr>
        <w:t>у митний режим переробки за межами митної території України (крім зазначених у пункті 206.2.2 цієї статті) та в межах визначеного Митним кодексом України строку повертаються на митну територію України. Сплаті підлягає позитивна різниця між сумами податку, розрахованими виходячи із бази оподаткування продуктів переробки та бази оподаткування товарів, вивезених за межі митної території України для переробки, визначеними за правилами, встановленими </w:t>
      </w:r>
      <w:hyperlink r:id="rId3558" w:anchor="n4602" w:history="1">
        <w:r w:rsidRPr="008B264B">
          <w:rPr>
            <w:rFonts w:ascii="Times New Roman" w:eastAsia="Times New Roman" w:hAnsi="Times New Roman" w:cs="Times New Roman"/>
            <w:color w:val="0000FF"/>
            <w:sz w:val="24"/>
            <w:szCs w:val="24"/>
            <w:u w:val="single"/>
            <w:lang/>
          </w:rPr>
          <w:t>пунктом 190.1</w:t>
        </w:r>
      </w:hyperlink>
      <w:r w:rsidRPr="008B264B">
        <w:rPr>
          <w:rFonts w:ascii="Times New Roman" w:eastAsia="Times New Roman" w:hAnsi="Times New Roman" w:cs="Times New Roman"/>
          <w:color w:val="000000"/>
          <w:sz w:val="24"/>
          <w:szCs w:val="24"/>
          <w:lang/>
        </w:rPr>
        <w:t> статті 190 цього Кодексу;</w:t>
      </w:r>
    </w:p>
    <w:p w14:paraId="2BF162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2" w:name="n5144"/>
      <w:bookmarkEnd w:id="6322"/>
      <w:r w:rsidRPr="008B264B">
        <w:rPr>
          <w:rFonts w:ascii="Times New Roman" w:eastAsia="Times New Roman" w:hAnsi="Times New Roman" w:cs="Times New Roman"/>
          <w:color w:val="000000"/>
          <w:sz w:val="24"/>
          <w:szCs w:val="24"/>
          <w:lang/>
        </w:rPr>
        <w:t>у митний режим переробки на митній території України та в межах визначеного Митним кодексом України строку не вивозяться за межі митної території України. Сплаті підлягає сума податку, розрахована виходячи із бази оподаткування, визначеної за правилами, встановленими </w:t>
      </w:r>
      <w:hyperlink r:id="rId3559" w:anchor="n4602" w:history="1">
        <w:r w:rsidRPr="008B264B">
          <w:rPr>
            <w:rFonts w:ascii="Times New Roman" w:eastAsia="Times New Roman" w:hAnsi="Times New Roman" w:cs="Times New Roman"/>
            <w:color w:val="0000FF"/>
            <w:sz w:val="24"/>
            <w:szCs w:val="24"/>
            <w:u w:val="single"/>
            <w:lang/>
          </w:rPr>
          <w:t>пунктом 190.1</w:t>
        </w:r>
      </w:hyperlink>
      <w:r w:rsidRPr="008B264B">
        <w:rPr>
          <w:rFonts w:ascii="Times New Roman" w:eastAsia="Times New Roman" w:hAnsi="Times New Roman" w:cs="Times New Roman"/>
          <w:color w:val="000000"/>
          <w:sz w:val="24"/>
          <w:szCs w:val="24"/>
          <w:lang/>
        </w:rPr>
        <w:t> статті 190 цього Кодексу, товарів, ввезених на митну територію України для переробки.</w:t>
      </w:r>
    </w:p>
    <w:p w14:paraId="6651F9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3" w:name="n5145"/>
      <w:bookmarkEnd w:id="6323"/>
      <w:r w:rsidRPr="008B264B">
        <w:rPr>
          <w:rFonts w:ascii="Times New Roman" w:eastAsia="Times New Roman" w:hAnsi="Times New Roman" w:cs="Times New Roman"/>
          <w:color w:val="000000"/>
          <w:sz w:val="24"/>
          <w:szCs w:val="24"/>
          <w:lang/>
        </w:rPr>
        <w:t>206.3. Операції із ввезення товарів у митному режимі реімпорту звільняються від оподаткування, крім операцій із ввезення відповідно до </w:t>
      </w:r>
      <w:hyperlink r:id="rId3560" w:anchor="n1085" w:tgtFrame="_blank" w:history="1">
        <w:r w:rsidRPr="008B264B">
          <w:rPr>
            <w:rFonts w:ascii="Times New Roman" w:eastAsia="Times New Roman" w:hAnsi="Times New Roman" w:cs="Times New Roman"/>
            <w:color w:val="0000FF"/>
            <w:sz w:val="24"/>
            <w:szCs w:val="24"/>
            <w:u w:val="single"/>
            <w:lang/>
          </w:rPr>
          <w:t>пункту 3 частини другої статті 78 Митного кодексу України</w:t>
        </w:r>
      </w:hyperlink>
      <w:r w:rsidRPr="008B264B">
        <w:rPr>
          <w:rFonts w:ascii="Times New Roman" w:eastAsia="Times New Roman" w:hAnsi="Times New Roman" w:cs="Times New Roman"/>
          <w:color w:val="000000"/>
          <w:sz w:val="24"/>
          <w:szCs w:val="24"/>
          <w:lang/>
        </w:rPr>
        <w:t>, що оподатковуються податком за ставкою, визначеною </w:t>
      </w:r>
      <w:hyperlink r:id="rId3561" w:anchor="n4639" w:history="1">
        <w:r w:rsidRPr="008B264B">
          <w:rPr>
            <w:rFonts w:ascii="Times New Roman" w:eastAsia="Times New Roman" w:hAnsi="Times New Roman" w:cs="Times New Roman"/>
            <w:color w:val="0000FF"/>
            <w:sz w:val="24"/>
            <w:szCs w:val="24"/>
            <w:u w:val="single"/>
            <w:lang/>
          </w:rPr>
          <w:t>підпунктом 194.1.1</w:t>
        </w:r>
      </w:hyperlink>
      <w:r w:rsidRPr="008B264B">
        <w:rPr>
          <w:rFonts w:ascii="Times New Roman" w:eastAsia="Times New Roman" w:hAnsi="Times New Roman" w:cs="Times New Roman"/>
          <w:color w:val="000000"/>
          <w:sz w:val="24"/>
          <w:szCs w:val="24"/>
          <w:lang/>
        </w:rPr>
        <w:t> пункту 194.1 статті 194 цього Кодексу.</w:t>
      </w:r>
    </w:p>
    <w:p w14:paraId="71E166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4" w:name="n5146"/>
      <w:bookmarkEnd w:id="6324"/>
      <w:r w:rsidRPr="008B264B">
        <w:rPr>
          <w:rFonts w:ascii="Times New Roman" w:eastAsia="Times New Roman" w:hAnsi="Times New Roman" w:cs="Times New Roman"/>
          <w:color w:val="000000"/>
          <w:sz w:val="24"/>
          <w:szCs w:val="24"/>
          <w:lang/>
        </w:rPr>
        <w:t>206.4. Операції з вивезення товарів у митному режимі експорту оподатковуються за ставкою, визначеною </w:t>
      </w:r>
      <w:hyperlink r:id="rId3562" w:anchor="n4642" w:history="1">
        <w:r w:rsidRPr="008B264B">
          <w:rPr>
            <w:rFonts w:ascii="Times New Roman" w:eastAsia="Times New Roman" w:hAnsi="Times New Roman" w:cs="Times New Roman"/>
            <w:color w:val="0000FF"/>
            <w:sz w:val="24"/>
            <w:szCs w:val="24"/>
            <w:u w:val="single"/>
            <w:lang/>
          </w:rPr>
          <w:t>підпунктом 195.1.1</w:t>
        </w:r>
      </w:hyperlink>
      <w:r w:rsidRPr="008B264B">
        <w:rPr>
          <w:rFonts w:ascii="Times New Roman" w:eastAsia="Times New Roman" w:hAnsi="Times New Roman" w:cs="Times New Roman"/>
          <w:color w:val="000000"/>
          <w:sz w:val="24"/>
          <w:szCs w:val="24"/>
          <w:lang/>
        </w:rPr>
        <w:t> пункту 195.1 статті 195 цього Кодексу.</w:t>
      </w:r>
    </w:p>
    <w:p w14:paraId="6F28B4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5" w:name="n5147"/>
      <w:bookmarkEnd w:id="6325"/>
      <w:r w:rsidRPr="008B264B">
        <w:rPr>
          <w:rFonts w:ascii="Times New Roman" w:eastAsia="Times New Roman" w:hAnsi="Times New Roman" w:cs="Times New Roman"/>
          <w:color w:val="000000"/>
          <w:sz w:val="24"/>
          <w:szCs w:val="24"/>
          <w:lang/>
        </w:rPr>
        <w:t>206.5. Операції з вивезення товарів у митному режимі реекспорту звільняються від оподаткування, крім операцій з вивезення відповідно до </w:t>
      </w:r>
      <w:hyperlink r:id="rId3563" w:anchor="n1135" w:tgtFrame="_blank" w:history="1">
        <w:r w:rsidRPr="008B264B">
          <w:rPr>
            <w:rFonts w:ascii="Times New Roman" w:eastAsia="Times New Roman" w:hAnsi="Times New Roman" w:cs="Times New Roman"/>
            <w:color w:val="0000FF"/>
            <w:sz w:val="24"/>
            <w:szCs w:val="24"/>
            <w:u w:val="single"/>
            <w:lang/>
          </w:rPr>
          <w:t>пунктів 3</w:t>
        </w:r>
      </w:hyperlink>
      <w:r w:rsidRPr="008B264B">
        <w:rPr>
          <w:rFonts w:ascii="Times New Roman" w:eastAsia="Times New Roman" w:hAnsi="Times New Roman" w:cs="Times New Roman"/>
          <w:color w:val="000000"/>
          <w:sz w:val="24"/>
          <w:szCs w:val="24"/>
          <w:lang/>
        </w:rPr>
        <w:t> (щодо товарів у вигляді продуктів їх переробки) та </w:t>
      </w:r>
      <w:hyperlink r:id="rId3564" w:anchor="n1137" w:tgtFrame="_blank" w:history="1">
        <w:r w:rsidRPr="008B264B">
          <w:rPr>
            <w:rFonts w:ascii="Times New Roman" w:eastAsia="Times New Roman" w:hAnsi="Times New Roman" w:cs="Times New Roman"/>
            <w:color w:val="0000FF"/>
            <w:sz w:val="24"/>
            <w:szCs w:val="24"/>
            <w:u w:val="single"/>
            <w:lang/>
          </w:rPr>
          <w:t>5</w:t>
        </w:r>
      </w:hyperlink>
      <w:r w:rsidRPr="008B264B">
        <w:rPr>
          <w:rFonts w:ascii="Times New Roman" w:eastAsia="Times New Roman" w:hAnsi="Times New Roman" w:cs="Times New Roman"/>
          <w:color w:val="000000"/>
          <w:sz w:val="24"/>
          <w:szCs w:val="24"/>
          <w:lang/>
        </w:rPr>
        <w:t> частини першої статті 86 Митного кодексу України, що оподатковуються податком за ставкою, визначеною </w:t>
      </w:r>
      <w:hyperlink r:id="rId3565" w:anchor="n4642" w:history="1">
        <w:r w:rsidRPr="008B264B">
          <w:rPr>
            <w:rFonts w:ascii="Times New Roman" w:eastAsia="Times New Roman" w:hAnsi="Times New Roman" w:cs="Times New Roman"/>
            <w:color w:val="0000FF"/>
            <w:sz w:val="24"/>
            <w:szCs w:val="24"/>
            <w:u w:val="single"/>
            <w:lang/>
          </w:rPr>
          <w:t>підпунктом 195.1.1</w:t>
        </w:r>
      </w:hyperlink>
      <w:r w:rsidRPr="008B264B">
        <w:rPr>
          <w:rFonts w:ascii="Times New Roman" w:eastAsia="Times New Roman" w:hAnsi="Times New Roman" w:cs="Times New Roman"/>
          <w:color w:val="000000"/>
          <w:sz w:val="24"/>
          <w:szCs w:val="24"/>
          <w:lang/>
        </w:rPr>
        <w:t> пункту 195.1 статті 195 цього Кодексу.</w:t>
      </w:r>
    </w:p>
    <w:p w14:paraId="0792F5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6" w:name="n15144"/>
      <w:bookmarkEnd w:id="6326"/>
      <w:r w:rsidRPr="008B264B">
        <w:rPr>
          <w:rFonts w:ascii="Times New Roman" w:eastAsia="Times New Roman" w:hAnsi="Times New Roman" w:cs="Times New Roman"/>
          <w:i/>
          <w:iCs/>
          <w:color w:val="000000"/>
          <w:sz w:val="24"/>
          <w:szCs w:val="24"/>
          <w:lang/>
        </w:rPr>
        <w:lastRenderedPageBreak/>
        <w:t>{Пункт 206.5 статті 206 із змінами, внесеними згідно із Законом</w:t>
      </w:r>
      <w:r w:rsidRPr="008B264B">
        <w:rPr>
          <w:rFonts w:ascii="Times New Roman" w:eastAsia="Times New Roman" w:hAnsi="Times New Roman" w:cs="Times New Roman"/>
          <w:color w:val="000000"/>
          <w:sz w:val="24"/>
          <w:szCs w:val="24"/>
          <w:lang/>
        </w:rPr>
        <w:t> </w:t>
      </w:r>
      <w:hyperlink r:id="rId3566" w:anchor="n19"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BDC8E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7" w:name="n5148"/>
      <w:bookmarkEnd w:id="6327"/>
      <w:r w:rsidRPr="008B264B">
        <w:rPr>
          <w:rFonts w:ascii="Times New Roman" w:eastAsia="Times New Roman" w:hAnsi="Times New Roman" w:cs="Times New Roman"/>
          <w:color w:val="000000"/>
          <w:sz w:val="24"/>
          <w:szCs w:val="24"/>
          <w:lang/>
        </w:rPr>
        <w:t>206.6. До операцій із ввезення товарів у митному режимі транзиту застосовується умовне повне звільнення від оподаткування за умови дотримання вимог та обмежень, встановлених </w:t>
      </w:r>
      <w:hyperlink r:id="rId3567" w:anchor="n1165" w:tgtFrame="_blank" w:history="1">
        <w:r w:rsidRPr="008B264B">
          <w:rPr>
            <w:rFonts w:ascii="Times New Roman" w:eastAsia="Times New Roman" w:hAnsi="Times New Roman" w:cs="Times New Roman"/>
            <w:color w:val="0000FF"/>
            <w:sz w:val="24"/>
            <w:szCs w:val="24"/>
            <w:u w:val="single"/>
            <w:lang/>
          </w:rPr>
          <w:t>главою 17 Митного кодексу України</w:t>
        </w:r>
      </w:hyperlink>
      <w:r w:rsidRPr="008B264B">
        <w:rPr>
          <w:rFonts w:ascii="Times New Roman" w:eastAsia="Times New Roman" w:hAnsi="Times New Roman" w:cs="Times New Roman"/>
          <w:color w:val="000000"/>
          <w:sz w:val="24"/>
          <w:szCs w:val="24"/>
          <w:lang/>
        </w:rPr>
        <w:t>.</w:t>
      </w:r>
    </w:p>
    <w:p w14:paraId="4758DB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8" w:name="n5149"/>
      <w:bookmarkEnd w:id="6328"/>
      <w:r w:rsidRPr="008B264B">
        <w:rPr>
          <w:rFonts w:ascii="Times New Roman" w:eastAsia="Times New Roman" w:hAnsi="Times New Roman" w:cs="Times New Roman"/>
          <w:color w:val="000000"/>
          <w:sz w:val="24"/>
          <w:szCs w:val="24"/>
          <w:lang/>
        </w:rPr>
        <w:t>206.7. До операцій із ввезення товарів на митну територію України у митному режимі тимчасового ввезення застосовується умовне повне звільнення від оподаткування або умовне часткове звільнення від оподаткування за умови дотримання вимог та обмежень, встановлених </w:t>
      </w:r>
      <w:hyperlink r:id="rId3568" w:anchor="n1248" w:tgtFrame="_blank" w:history="1">
        <w:r w:rsidRPr="008B264B">
          <w:rPr>
            <w:rFonts w:ascii="Times New Roman" w:eastAsia="Times New Roman" w:hAnsi="Times New Roman" w:cs="Times New Roman"/>
            <w:color w:val="0000FF"/>
            <w:sz w:val="24"/>
            <w:szCs w:val="24"/>
            <w:u w:val="single"/>
            <w:lang/>
          </w:rPr>
          <w:t>главою 18 Митного кодексу України</w:t>
        </w:r>
      </w:hyperlink>
      <w:r w:rsidRPr="008B264B">
        <w:rPr>
          <w:rFonts w:ascii="Times New Roman" w:eastAsia="Times New Roman" w:hAnsi="Times New Roman" w:cs="Times New Roman"/>
          <w:color w:val="000000"/>
          <w:sz w:val="24"/>
          <w:szCs w:val="24"/>
          <w:lang/>
        </w:rPr>
        <w:t>:</w:t>
      </w:r>
    </w:p>
    <w:p w14:paraId="36E8D6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29" w:name="n5150"/>
      <w:bookmarkEnd w:id="6329"/>
      <w:r w:rsidRPr="008B264B">
        <w:rPr>
          <w:rFonts w:ascii="Times New Roman" w:eastAsia="Times New Roman" w:hAnsi="Times New Roman" w:cs="Times New Roman"/>
          <w:color w:val="000000"/>
          <w:sz w:val="24"/>
          <w:szCs w:val="24"/>
          <w:lang/>
        </w:rPr>
        <w:t>206.7.1. умовне повне звільнення від оподаткування застосовується до товарів та в порядку, визначених </w:t>
      </w:r>
      <w:hyperlink r:id="rId3569" w:anchor="n1262" w:tgtFrame="_blank" w:history="1">
        <w:r w:rsidRPr="008B264B">
          <w:rPr>
            <w:rFonts w:ascii="Times New Roman" w:eastAsia="Times New Roman" w:hAnsi="Times New Roman" w:cs="Times New Roman"/>
            <w:color w:val="0000FF"/>
            <w:sz w:val="24"/>
            <w:szCs w:val="24"/>
            <w:u w:val="single"/>
            <w:lang/>
          </w:rPr>
          <w:t>статтею 105 Митного кодексу України</w:t>
        </w:r>
      </w:hyperlink>
      <w:r w:rsidRPr="008B264B">
        <w:rPr>
          <w:rFonts w:ascii="Times New Roman" w:eastAsia="Times New Roman" w:hAnsi="Times New Roman" w:cs="Times New Roman"/>
          <w:color w:val="000000"/>
          <w:sz w:val="24"/>
          <w:szCs w:val="24"/>
          <w:lang/>
        </w:rPr>
        <w:t>;</w:t>
      </w:r>
    </w:p>
    <w:p w14:paraId="1D78C3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0" w:name="n5151"/>
      <w:bookmarkEnd w:id="6330"/>
      <w:r w:rsidRPr="008B264B">
        <w:rPr>
          <w:rFonts w:ascii="Times New Roman" w:eastAsia="Times New Roman" w:hAnsi="Times New Roman" w:cs="Times New Roman"/>
          <w:color w:val="000000"/>
          <w:sz w:val="24"/>
          <w:szCs w:val="24"/>
          <w:lang/>
        </w:rPr>
        <w:t>206.7.2. умовне часткове звільнення від оподаткування застосовується до товарів та в порядку, визначених </w:t>
      </w:r>
      <w:hyperlink r:id="rId3570" w:anchor="n1265" w:tgtFrame="_blank" w:history="1">
        <w:r w:rsidRPr="008B264B">
          <w:rPr>
            <w:rFonts w:ascii="Times New Roman" w:eastAsia="Times New Roman" w:hAnsi="Times New Roman" w:cs="Times New Roman"/>
            <w:color w:val="0000FF"/>
            <w:sz w:val="24"/>
            <w:szCs w:val="24"/>
            <w:u w:val="single"/>
            <w:lang/>
          </w:rPr>
          <w:t>статтею 106 Митного кодексу України</w:t>
        </w:r>
      </w:hyperlink>
      <w:r w:rsidRPr="008B264B">
        <w:rPr>
          <w:rFonts w:ascii="Times New Roman" w:eastAsia="Times New Roman" w:hAnsi="Times New Roman" w:cs="Times New Roman"/>
          <w:color w:val="000000"/>
          <w:sz w:val="24"/>
          <w:szCs w:val="24"/>
          <w:lang/>
        </w:rPr>
        <w:t>. Сплачені суми податку включаються платником до складу податкового кредиту у звітному (податковому) періоді, в якому було сплачено податок.</w:t>
      </w:r>
    </w:p>
    <w:p w14:paraId="3CE3E8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1" w:name="n5152"/>
      <w:bookmarkEnd w:id="6331"/>
      <w:r w:rsidRPr="008B264B">
        <w:rPr>
          <w:rFonts w:ascii="Times New Roman" w:eastAsia="Times New Roman" w:hAnsi="Times New Roman" w:cs="Times New Roman"/>
          <w:color w:val="000000"/>
          <w:sz w:val="24"/>
          <w:szCs w:val="24"/>
          <w:lang/>
        </w:rPr>
        <w:t>206.8. До операцій із вивезення товарів за межі митної території України в митному режимі тимчасового вивезення застосовується умовне повне звільнення від оподаткування за умови дотримання вимог та обмежень, встановлених </w:t>
      </w:r>
      <w:hyperlink r:id="rId3571" w:anchor="n1309" w:tgtFrame="_blank" w:history="1">
        <w:r w:rsidRPr="008B264B">
          <w:rPr>
            <w:rFonts w:ascii="Times New Roman" w:eastAsia="Times New Roman" w:hAnsi="Times New Roman" w:cs="Times New Roman"/>
            <w:color w:val="0000FF"/>
            <w:sz w:val="24"/>
            <w:szCs w:val="24"/>
            <w:u w:val="single"/>
            <w:lang/>
          </w:rPr>
          <w:t>главою 19 Митного кодексу України</w:t>
        </w:r>
      </w:hyperlink>
      <w:r w:rsidRPr="008B264B">
        <w:rPr>
          <w:rFonts w:ascii="Times New Roman" w:eastAsia="Times New Roman" w:hAnsi="Times New Roman" w:cs="Times New Roman"/>
          <w:color w:val="000000"/>
          <w:sz w:val="24"/>
          <w:szCs w:val="24"/>
          <w:lang/>
        </w:rPr>
        <w:t>.</w:t>
      </w:r>
    </w:p>
    <w:p w14:paraId="0E5FBE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2" w:name="n5153"/>
      <w:bookmarkEnd w:id="6332"/>
      <w:r w:rsidRPr="008B264B">
        <w:rPr>
          <w:rFonts w:ascii="Times New Roman" w:eastAsia="Times New Roman" w:hAnsi="Times New Roman" w:cs="Times New Roman"/>
          <w:color w:val="000000"/>
          <w:sz w:val="24"/>
          <w:szCs w:val="24"/>
          <w:lang/>
        </w:rPr>
        <w:t>206.9. До операцій із вивезення товарів з митної території України на митний склад та операцій із ввезення товарів з-за меж митної території України на митний склад застосовується умовне повне звільнення від оподаткування за умови дотримання вимог та обмежень, встановлених </w:t>
      </w:r>
      <w:hyperlink r:id="rId3572" w:anchor="n1341" w:tgtFrame="_blank" w:history="1">
        <w:r w:rsidRPr="008B264B">
          <w:rPr>
            <w:rFonts w:ascii="Times New Roman" w:eastAsia="Times New Roman" w:hAnsi="Times New Roman" w:cs="Times New Roman"/>
            <w:color w:val="0000FF"/>
            <w:sz w:val="24"/>
            <w:szCs w:val="24"/>
            <w:u w:val="single"/>
            <w:lang/>
          </w:rPr>
          <w:t>главою 20 Митного кодексу України</w:t>
        </w:r>
      </w:hyperlink>
      <w:r w:rsidRPr="008B264B">
        <w:rPr>
          <w:rFonts w:ascii="Times New Roman" w:eastAsia="Times New Roman" w:hAnsi="Times New Roman" w:cs="Times New Roman"/>
          <w:color w:val="000000"/>
          <w:sz w:val="24"/>
          <w:szCs w:val="24"/>
          <w:lang/>
        </w:rPr>
        <w:t>.</w:t>
      </w:r>
    </w:p>
    <w:p w14:paraId="0A1765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3" w:name="n5154"/>
      <w:bookmarkEnd w:id="6333"/>
      <w:r w:rsidRPr="008B264B">
        <w:rPr>
          <w:rFonts w:ascii="Times New Roman" w:eastAsia="Times New Roman" w:hAnsi="Times New Roman" w:cs="Times New Roman"/>
          <w:color w:val="000000"/>
          <w:sz w:val="24"/>
          <w:szCs w:val="24"/>
          <w:lang/>
        </w:rPr>
        <w:t>206.10. Операції з товарами, поміщеними в митний режим вільної митної зони, оподатковуються в такому порядку:</w:t>
      </w:r>
    </w:p>
    <w:p w14:paraId="3EAE3B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4" w:name="n5155"/>
      <w:bookmarkEnd w:id="6334"/>
      <w:r w:rsidRPr="008B264B">
        <w:rPr>
          <w:rFonts w:ascii="Times New Roman" w:eastAsia="Times New Roman" w:hAnsi="Times New Roman" w:cs="Times New Roman"/>
          <w:color w:val="000000"/>
          <w:sz w:val="24"/>
          <w:szCs w:val="24"/>
          <w:lang/>
        </w:rPr>
        <w:t>206.10.1. операції з вивезення товарів з митної території України до вільної митної зони оподатковуються за ставкою, визначеною </w:t>
      </w:r>
      <w:hyperlink r:id="rId3573" w:anchor="n4642" w:history="1">
        <w:r w:rsidRPr="008B264B">
          <w:rPr>
            <w:rFonts w:ascii="Times New Roman" w:eastAsia="Times New Roman" w:hAnsi="Times New Roman" w:cs="Times New Roman"/>
            <w:color w:val="0000FF"/>
            <w:sz w:val="24"/>
            <w:szCs w:val="24"/>
            <w:u w:val="single"/>
            <w:lang/>
          </w:rPr>
          <w:t>підпунктом 195.1.1</w:t>
        </w:r>
      </w:hyperlink>
      <w:r w:rsidRPr="008B264B">
        <w:rPr>
          <w:rFonts w:ascii="Times New Roman" w:eastAsia="Times New Roman" w:hAnsi="Times New Roman" w:cs="Times New Roman"/>
          <w:color w:val="000000"/>
          <w:sz w:val="24"/>
          <w:szCs w:val="24"/>
          <w:lang/>
        </w:rPr>
        <w:t> пункту 195.1 статті 195 цього Кодексу;</w:t>
      </w:r>
    </w:p>
    <w:p w14:paraId="3D2872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5" w:name="n5156"/>
      <w:bookmarkEnd w:id="6335"/>
      <w:r w:rsidRPr="008B264B">
        <w:rPr>
          <w:rFonts w:ascii="Times New Roman" w:eastAsia="Times New Roman" w:hAnsi="Times New Roman" w:cs="Times New Roman"/>
          <w:color w:val="000000"/>
          <w:sz w:val="24"/>
          <w:szCs w:val="24"/>
          <w:lang/>
        </w:rPr>
        <w:t>206.10.2. до операцій із ввезення товарів з-за меж митної території України до вільної митної зони застосовується умовне повне звільнення від оподаткування за умови дотримання вимог та обмежень, встановлених </w:t>
      </w:r>
      <w:hyperlink r:id="rId3574" w:anchor="n1405" w:tgtFrame="_blank" w:history="1">
        <w:r w:rsidRPr="008B264B">
          <w:rPr>
            <w:rFonts w:ascii="Times New Roman" w:eastAsia="Times New Roman" w:hAnsi="Times New Roman" w:cs="Times New Roman"/>
            <w:color w:val="0000FF"/>
            <w:sz w:val="24"/>
            <w:szCs w:val="24"/>
            <w:u w:val="single"/>
            <w:lang/>
          </w:rPr>
          <w:t>главою 21 Митного кодексу України</w:t>
        </w:r>
      </w:hyperlink>
      <w:r w:rsidRPr="008B264B">
        <w:rPr>
          <w:rFonts w:ascii="Times New Roman" w:eastAsia="Times New Roman" w:hAnsi="Times New Roman" w:cs="Times New Roman"/>
          <w:color w:val="000000"/>
          <w:sz w:val="24"/>
          <w:szCs w:val="24"/>
          <w:lang/>
        </w:rPr>
        <w:t>;</w:t>
      </w:r>
    </w:p>
    <w:p w14:paraId="53B0C0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6" w:name="n5157"/>
      <w:bookmarkEnd w:id="6336"/>
      <w:r w:rsidRPr="008B264B">
        <w:rPr>
          <w:rFonts w:ascii="Times New Roman" w:eastAsia="Times New Roman" w:hAnsi="Times New Roman" w:cs="Times New Roman"/>
          <w:color w:val="000000"/>
          <w:sz w:val="24"/>
          <w:szCs w:val="24"/>
          <w:lang/>
        </w:rPr>
        <w:t>206.10.3. операції із ввезення на митну територію України продуктів переробки товарів, поміщених у митний режим вільної митної зони, оподатковуються за ставкою, визначеною </w:t>
      </w:r>
      <w:hyperlink r:id="rId3575" w:anchor="n4639" w:history="1">
        <w:r w:rsidRPr="008B264B">
          <w:rPr>
            <w:rFonts w:ascii="Times New Roman" w:eastAsia="Times New Roman" w:hAnsi="Times New Roman" w:cs="Times New Roman"/>
            <w:color w:val="0000FF"/>
            <w:sz w:val="24"/>
            <w:szCs w:val="24"/>
            <w:u w:val="single"/>
            <w:lang/>
          </w:rPr>
          <w:t>підпунктом 194.1.1</w:t>
        </w:r>
      </w:hyperlink>
      <w:r w:rsidRPr="008B264B">
        <w:rPr>
          <w:rFonts w:ascii="Times New Roman" w:eastAsia="Times New Roman" w:hAnsi="Times New Roman" w:cs="Times New Roman"/>
          <w:color w:val="000000"/>
          <w:sz w:val="24"/>
          <w:szCs w:val="24"/>
          <w:lang/>
        </w:rPr>
        <w:t> пункту 194.1 статті 194 цього Кодексу, та сплатою процентів, що підлягали б сплаті у разі розстрочення або відстрочення сплати податку відповідно до </w:t>
      </w:r>
      <w:hyperlink r:id="rId3576" w:anchor="n2246" w:history="1">
        <w:r w:rsidRPr="008B264B">
          <w:rPr>
            <w:rFonts w:ascii="Times New Roman" w:eastAsia="Times New Roman" w:hAnsi="Times New Roman" w:cs="Times New Roman"/>
            <w:color w:val="0000FF"/>
            <w:sz w:val="24"/>
            <w:szCs w:val="24"/>
            <w:u w:val="single"/>
            <w:lang/>
          </w:rPr>
          <w:t>статті 100</w:t>
        </w:r>
      </w:hyperlink>
      <w:r w:rsidRPr="008B264B">
        <w:rPr>
          <w:rFonts w:ascii="Times New Roman" w:eastAsia="Times New Roman" w:hAnsi="Times New Roman" w:cs="Times New Roman"/>
          <w:color w:val="000000"/>
          <w:sz w:val="24"/>
          <w:szCs w:val="24"/>
          <w:lang/>
        </w:rPr>
        <w:t> цього Кодексу.</w:t>
      </w:r>
    </w:p>
    <w:p w14:paraId="3ED4CE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7" w:name="n5158"/>
      <w:bookmarkEnd w:id="6337"/>
      <w:r w:rsidRPr="008B264B">
        <w:rPr>
          <w:rFonts w:ascii="Times New Roman" w:eastAsia="Times New Roman" w:hAnsi="Times New Roman" w:cs="Times New Roman"/>
          <w:color w:val="000000"/>
          <w:sz w:val="24"/>
          <w:szCs w:val="24"/>
          <w:lang/>
        </w:rPr>
        <w:t>206.11. Операції з товарами, поміщеними в митний режим безмитної торгівлі, оподатковуються у такому порядку:</w:t>
      </w:r>
    </w:p>
    <w:p w14:paraId="0503F2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8" w:name="n5159"/>
      <w:bookmarkEnd w:id="6338"/>
      <w:r w:rsidRPr="008B264B">
        <w:rPr>
          <w:rFonts w:ascii="Times New Roman" w:eastAsia="Times New Roman" w:hAnsi="Times New Roman" w:cs="Times New Roman"/>
          <w:color w:val="000000"/>
          <w:sz w:val="24"/>
          <w:szCs w:val="24"/>
          <w:lang/>
        </w:rPr>
        <w:t>206.11.1. до операцій із ввезення товарів з-за меж митної території України в магазин безмитної торгівлі застосовується умовне повне звільнення від оподаткування за умови дотримання вимог та обмежень, встановлених </w:t>
      </w:r>
      <w:hyperlink r:id="rId3577" w:anchor="n1445" w:tgtFrame="_blank" w:history="1">
        <w:r w:rsidRPr="008B264B">
          <w:rPr>
            <w:rFonts w:ascii="Times New Roman" w:eastAsia="Times New Roman" w:hAnsi="Times New Roman" w:cs="Times New Roman"/>
            <w:color w:val="0000FF"/>
            <w:sz w:val="24"/>
            <w:szCs w:val="24"/>
            <w:u w:val="single"/>
            <w:lang/>
          </w:rPr>
          <w:t>главою 22 Митного кодексу України</w:t>
        </w:r>
      </w:hyperlink>
      <w:r w:rsidRPr="008B264B">
        <w:rPr>
          <w:rFonts w:ascii="Times New Roman" w:eastAsia="Times New Roman" w:hAnsi="Times New Roman" w:cs="Times New Roman"/>
          <w:color w:val="000000"/>
          <w:sz w:val="24"/>
          <w:szCs w:val="24"/>
          <w:lang/>
        </w:rPr>
        <w:t>;</w:t>
      </w:r>
    </w:p>
    <w:p w14:paraId="037904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39" w:name="n5160"/>
      <w:bookmarkEnd w:id="6339"/>
      <w:r w:rsidRPr="008B264B">
        <w:rPr>
          <w:rFonts w:ascii="Times New Roman" w:eastAsia="Times New Roman" w:hAnsi="Times New Roman" w:cs="Times New Roman"/>
          <w:color w:val="000000"/>
          <w:sz w:val="24"/>
          <w:szCs w:val="24"/>
          <w:lang/>
        </w:rPr>
        <w:t>206.11.2. операції з вивезення товарів з митної території України в магазин безмитної торгівлі оподатковуються відповідно до </w:t>
      </w:r>
      <w:hyperlink r:id="rId3578" w:anchor="n4642" w:history="1">
        <w:r w:rsidRPr="008B264B">
          <w:rPr>
            <w:rFonts w:ascii="Times New Roman" w:eastAsia="Times New Roman" w:hAnsi="Times New Roman" w:cs="Times New Roman"/>
            <w:color w:val="0000FF"/>
            <w:sz w:val="24"/>
            <w:szCs w:val="24"/>
            <w:u w:val="single"/>
            <w:lang/>
          </w:rPr>
          <w:t>підпункту 195.1.1</w:t>
        </w:r>
      </w:hyperlink>
      <w:r w:rsidRPr="008B264B">
        <w:rPr>
          <w:rFonts w:ascii="Times New Roman" w:eastAsia="Times New Roman" w:hAnsi="Times New Roman" w:cs="Times New Roman"/>
          <w:color w:val="000000"/>
          <w:sz w:val="24"/>
          <w:szCs w:val="24"/>
          <w:lang/>
        </w:rPr>
        <w:t> пункту 195.1 статті 195 цього Кодексу.</w:t>
      </w:r>
    </w:p>
    <w:p w14:paraId="54B699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0" w:name="n5161"/>
      <w:bookmarkEnd w:id="6340"/>
      <w:r w:rsidRPr="008B264B">
        <w:rPr>
          <w:rFonts w:ascii="Times New Roman" w:eastAsia="Times New Roman" w:hAnsi="Times New Roman" w:cs="Times New Roman"/>
          <w:color w:val="000000"/>
          <w:sz w:val="24"/>
          <w:szCs w:val="24"/>
          <w:lang/>
        </w:rPr>
        <w:t>206.12. До операцій із ввезення товарів на митну територію України в митному режимі переробки на митній території застосовується умовне повне звільнення від оподаткування за умови дотримання вимог та обмежень, встановлених </w:t>
      </w:r>
      <w:hyperlink r:id="rId3579" w:anchor="n1479" w:tgtFrame="_blank" w:history="1">
        <w:r w:rsidRPr="008B264B">
          <w:rPr>
            <w:rFonts w:ascii="Times New Roman" w:eastAsia="Times New Roman" w:hAnsi="Times New Roman" w:cs="Times New Roman"/>
            <w:color w:val="0000FF"/>
            <w:sz w:val="24"/>
            <w:szCs w:val="24"/>
            <w:u w:val="single"/>
            <w:lang/>
          </w:rPr>
          <w:t>главою 23 Митного кодексу України</w:t>
        </w:r>
      </w:hyperlink>
      <w:r w:rsidRPr="008B264B">
        <w:rPr>
          <w:rFonts w:ascii="Times New Roman" w:eastAsia="Times New Roman" w:hAnsi="Times New Roman" w:cs="Times New Roman"/>
          <w:color w:val="000000"/>
          <w:sz w:val="24"/>
          <w:szCs w:val="24"/>
          <w:lang/>
        </w:rPr>
        <w:t>.</w:t>
      </w:r>
    </w:p>
    <w:p w14:paraId="7C2306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1" w:name="n5162"/>
      <w:bookmarkEnd w:id="6341"/>
      <w:r w:rsidRPr="008B264B">
        <w:rPr>
          <w:rFonts w:ascii="Times New Roman" w:eastAsia="Times New Roman" w:hAnsi="Times New Roman" w:cs="Times New Roman"/>
          <w:color w:val="000000"/>
          <w:sz w:val="24"/>
          <w:szCs w:val="24"/>
          <w:lang/>
        </w:rPr>
        <w:lastRenderedPageBreak/>
        <w:t>206.13. До операцій із вивезення товарів з митної території України у митному режимі переробки за межами митної території застосовується умовне повне звільнення від оподаткування за умови дотримання вимог та обмежень, встановлених </w:t>
      </w:r>
      <w:hyperlink r:id="rId3580" w:anchor="n1574" w:tgtFrame="_blank" w:history="1">
        <w:r w:rsidRPr="008B264B">
          <w:rPr>
            <w:rFonts w:ascii="Times New Roman" w:eastAsia="Times New Roman" w:hAnsi="Times New Roman" w:cs="Times New Roman"/>
            <w:color w:val="0000FF"/>
            <w:sz w:val="24"/>
            <w:szCs w:val="24"/>
            <w:u w:val="single"/>
            <w:lang/>
          </w:rPr>
          <w:t>главою 24 Митного кодексу України</w:t>
        </w:r>
      </w:hyperlink>
      <w:r w:rsidRPr="008B264B">
        <w:rPr>
          <w:rFonts w:ascii="Times New Roman" w:eastAsia="Times New Roman" w:hAnsi="Times New Roman" w:cs="Times New Roman"/>
          <w:color w:val="000000"/>
          <w:sz w:val="24"/>
          <w:szCs w:val="24"/>
          <w:lang/>
        </w:rPr>
        <w:t>.</w:t>
      </w:r>
    </w:p>
    <w:p w14:paraId="66BCF7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2" w:name="n5163"/>
      <w:bookmarkEnd w:id="6342"/>
      <w:r w:rsidRPr="008B264B">
        <w:rPr>
          <w:rFonts w:ascii="Times New Roman" w:eastAsia="Times New Roman" w:hAnsi="Times New Roman" w:cs="Times New Roman"/>
          <w:color w:val="000000"/>
          <w:sz w:val="24"/>
          <w:szCs w:val="24"/>
          <w:lang/>
        </w:rPr>
        <w:t>206.14. До операцій із ввезення товарів у митному режимі знищення або руйнування застосовується умовне повне звільнення від оподаткування за умови дотримання вимог та обмежень, встановлених </w:t>
      </w:r>
      <w:hyperlink r:id="rId3581" w:anchor="n1651" w:tgtFrame="_blank" w:history="1">
        <w:r w:rsidRPr="008B264B">
          <w:rPr>
            <w:rFonts w:ascii="Times New Roman" w:eastAsia="Times New Roman" w:hAnsi="Times New Roman" w:cs="Times New Roman"/>
            <w:color w:val="0000FF"/>
            <w:sz w:val="24"/>
            <w:szCs w:val="24"/>
            <w:u w:val="single"/>
            <w:lang/>
          </w:rPr>
          <w:t>главою 25 Митного кодексу України</w:t>
        </w:r>
      </w:hyperlink>
      <w:r w:rsidRPr="008B264B">
        <w:rPr>
          <w:rFonts w:ascii="Times New Roman" w:eastAsia="Times New Roman" w:hAnsi="Times New Roman" w:cs="Times New Roman"/>
          <w:color w:val="000000"/>
          <w:sz w:val="24"/>
          <w:szCs w:val="24"/>
          <w:lang/>
        </w:rPr>
        <w:t>.</w:t>
      </w:r>
    </w:p>
    <w:p w14:paraId="7A6EC5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3" w:name="n5164"/>
      <w:bookmarkEnd w:id="6343"/>
      <w:r w:rsidRPr="008B264B">
        <w:rPr>
          <w:rFonts w:ascii="Times New Roman" w:eastAsia="Times New Roman" w:hAnsi="Times New Roman" w:cs="Times New Roman"/>
          <w:color w:val="000000"/>
          <w:sz w:val="24"/>
          <w:szCs w:val="24"/>
          <w:lang/>
        </w:rPr>
        <w:t>206.15. Операції із ввезення товарів у митному режимі відмови на користь держави у порядку, визначеному </w:t>
      </w:r>
      <w:hyperlink r:id="rId3582" w:anchor="n1692" w:tgtFrame="_blank" w:history="1">
        <w:r w:rsidRPr="008B264B">
          <w:rPr>
            <w:rFonts w:ascii="Times New Roman" w:eastAsia="Times New Roman" w:hAnsi="Times New Roman" w:cs="Times New Roman"/>
            <w:color w:val="0000FF"/>
            <w:sz w:val="24"/>
            <w:szCs w:val="24"/>
            <w:u w:val="single"/>
            <w:lang/>
          </w:rPr>
          <w:t>главою 26 Митного кодексу України</w:t>
        </w:r>
      </w:hyperlink>
      <w:r w:rsidRPr="008B264B">
        <w:rPr>
          <w:rFonts w:ascii="Times New Roman" w:eastAsia="Times New Roman" w:hAnsi="Times New Roman" w:cs="Times New Roman"/>
          <w:color w:val="000000"/>
          <w:sz w:val="24"/>
          <w:szCs w:val="24"/>
          <w:lang/>
        </w:rPr>
        <w:t>, звільняються від оподаткування податком.</w:t>
      </w:r>
    </w:p>
    <w:p w14:paraId="06A667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4" w:name="n5165"/>
      <w:bookmarkEnd w:id="6344"/>
      <w:r w:rsidRPr="008B264B">
        <w:rPr>
          <w:rFonts w:ascii="Times New Roman" w:eastAsia="Times New Roman" w:hAnsi="Times New Roman" w:cs="Times New Roman"/>
          <w:color w:val="000000"/>
          <w:sz w:val="24"/>
          <w:szCs w:val="24"/>
          <w:lang/>
        </w:rPr>
        <w:t>206.16. У разі втрати товарів, що перебувають під митним контролем у митних режимах, в яких надано звільнення або умовне звільнення від оподаткування, нецільового використання цих товарів або в разі невиконання у строки, встановлені </w:t>
      </w:r>
      <w:hyperlink r:id="rId3583"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заходів щодо завершення таких митних режимів особа, відповідальна за дотримання митного режиму, зобов’язана сплатити суму податкового зобов’язання, на яку було надане таке звільнення або умовне звільнення, та пеню, нараховану відповідно до </w:t>
      </w:r>
      <w:hyperlink r:id="rId3584" w:anchor="n2457" w:history="1">
        <w:r w:rsidRPr="008B264B">
          <w:rPr>
            <w:rFonts w:ascii="Times New Roman" w:eastAsia="Times New Roman" w:hAnsi="Times New Roman" w:cs="Times New Roman"/>
            <w:color w:val="0000FF"/>
            <w:sz w:val="24"/>
            <w:szCs w:val="24"/>
            <w:u w:val="single"/>
            <w:lang/>
          </w:rPr>
          <w:t>статті 129</w:t>
        </w:r>
      </w:hyperlink>
      <w:r w:rsidRPr="008B264B">
        <w:rPr>
          <w:rFonts w:ascii="Times New Roman" w:eastAsia="Times New Roman" w:hAnsi="Times New Roman" w:cs="Times New Roman"/>
          <w:color w:val="000000"/>
          <w:sz w:val="24"/>
          <w:szCs w:val="24"/>
          <w:lang/>
        </w:rPr>
        <w:t> цього Кодексу, розраховану з дня надання звільнення або умовного звільнення від оподаткування.</w:t>
      </w:r>
    </w:p>
    <w:p w14:paraId="38ED69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5" w:name="n5166"/>
      <w:bookmarkEnd w:id="6345"/>
      <w:r w:rsidRPr="008B264B">
        <w:rPr>
          <w:rFonts w:ascii="Times New Roman" w:eastAsia="Times New Roman" w:hAnsi="Times New Roman" w:cs="Times New Roman"/>
          <w:i/>
          <w:iCs/>
          <w:color w:val="000000"/>
          <w:sz w:val="24"/>
          <w:szCs w:val="24"/>
          <w:lang/>
        </w:rPr>
        <w:t>{Стаття 206 із змінами, внесеними згідно із Законом </w:t>
      </w:r>
      <w:hyperlink r:id="rId358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3586" w:anchor="n91"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6EE95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6" w:name="n5167"/>
      <w:bookmarkEnd w:id="6346"/>
      <w:r w:rsidRPr="008B264B">
        <w:rPr>
          <w:rFonts w:ascii="Times New Roman" w:eastAsia="Times New Roman" w:hAnsi="Times New Roman" w:cs="Times New Roman"/>
          <w:b/>
          <w:bCs/>
          <w:color w:val="000000"/>
          <w:sz w:val="24"/>
          <w:szCs w:val="24"/>
          <w:lang/>
        </w:rPr>
        <w:t>Стаття 207.</w:t>
      </w:r>
      <w:r w:rsidRPr="008B264B">
        <w:rPr>
          <w:rFonts w:ascii="Times New Roman" w:eastAsia="Times New Roman" w:hAnsi="Times New Roman" w:cs="Times New Roman"/>
          <w:color w:val="000000"/>
          <w:sz w:val="24"/>
          <w:szCs w:val="24"/>
          <w:lang/>
        </w:rPr>
        <w:t> Порядок оподаткування туроператорської та турагентської діяльності</w:t>
      </w:r>
    </w:p>
    <w:p w14:paraId="09F8B4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7" w:name="n5168"/>
      <w:bookmarkEnd w:id="6347"/>
      <w:r w:rsidRPr="008B264B">
        <w:rPr>
          <w:rFonts w:ascii="Times New Roman" w:eastAsia="Times New Roman" w:hAnsi="Times New Roman" w:cs="Times New Roman"/>
          <w:color w:val="000000"/>
          <w:sz w:val="24"/>
          <w:szCs w:val="24"/>
          <w:lang/>
        </w:rPr>
        <w:t>207.1. Цією статтею встановлюються особливості оподаткування туристичного продукту (туристичної послуги), що надаються туристичним оператором та туристичним агентом відповідно до законодавства. Туристичний продукт, як комплекс туристичних послуг, з метою оподаткування розглядається як єдина послуга.</w:t>
      </w:r>
    </w:p>
    <w:p w14:paraId="253DE5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8" w:name="n5169"/>
      <w:bookmarkEnd w:id="6348"/>
      <w:r w:rsidRPr="008B264B">
        <w:rPr>
          <w:rFonts w:ascii="Times New Roman" w:eastAsia="Times New Roman" w:hAnsi="Times New Roman" w:cs="Times New Roman"/>
          <w:color w:val="000000"/>
          <w:sz w:val="24"/>
          <w:szCs w:val="24"/>
          <w:lang/>
        </w:rPr>
        <w:t>207.2. Базою оподаткування в разі проведення операцій з постачання туристичним оператором туристичного продукту (туристичної послуги), призначеного для його споживання (отримання) на території України, є винагорода, яка визначається як різниця між вартістю поставленого ним туристичного продукту (туристичної послуги) та вартістю витрат, понесених таким туристичним оператором внаслідок придбання (створення) такого туристичного продукту (туристичної послуги).</w:t>
      </w:r>
    </w:p>
    <w:p w14:paraId="529C6F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49" w:name="n5170"/>
      <w:bookmarkEnd w:id="6349"/>
      <w:r w:rsidRPr="008B264B">
        <w:rPr>
          <w:rFonts w:ascii="Times New Roman" w:eastAsia="Times New Roman" w:hAnsi="Times New Roman" w:cs="Times New Roman"/>
          <w:color w:val="000000"/>
          <w:sz w:val="24"/>
          <w:szCs w:val="24"/>
          <w:lang/>
        </w:rPr>
        <w:t>207.3. Базою оподаткування в разі проведення операцій з постачання на території України туристичним оператором туристичного продукту (туристичної послуги), призначеного для його споживання (отримання) за межами території України, є винагорода, яка визначається як різниця між вартістю поставленого ним туристичного продукту (туристичної послуги) та вартістю витрат, понесених таким туристичним оператором внаслідок придбання (створення) такого туристичного продукту (туристичної послуги).</w:t>
      </w:r>
    </w:p>
    <w:p w14:paraId="5679BE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0" w:name="n5171"/>
      <w:bookmarkEnd w:id="6350"/>
      <w:r w:rsidRPr="008B264B">
        <w:rPr>
          <w:rFonts w:ascii="Times New Roman" w:eastAsia="Times New Roman" w:hAnsi="Times New Roman" w:cs="Times New Roman"/>
          <w:color w:val="000000"/>
          <w:sz w:val="24"/>
          <w:szCs w:val="24"/>
          <w:lang/>
        </w:rPr>
        <w:t>207.4. Базою оподаткування туристичного оператора, який здійснює посередницьку діяльність на території України з укладання договорів на туристичне обслуговування з іноземними суб'єктами туристичної діяльності, є винагорода, яка нараховується (виплачується) йому таким іноземним суб'єктом туристичної діяльності, в тому числі шляхом надання права самостійно утримувати належну такому туроператору суму винагороди із коштів, сплачених замовником (споживачем) туристичних послуг.</w:t>
      </w:r>
    </w:p>
    <w:p w14:paraId="1790E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1" w:name="n5172"/>
      <w:bookmarkEnd w:id="6351"/>
      <w:r w:rsidRPr="008B264B">
        <w:rPr>
          <w:rFonts w:ascii="Times New Roman" w:eastAsia="Times New Roman" w:hAnsi="Times New Roman" w:cs="Times New Roman"/>
          <w:color w:val="000000"/>
          <w:sz w:val="24"/>
          <w:szCs w:val="24"/>
          <w:lang/>
        </w:rPr>
        <w:t>207.5. Базою оподаткування для операцій, які здійснюються туристичним агентом, є винагорода, яка нараховується (виплачується) туристичним оператором, іншими постачальниками послуг на користь такого туристичного агента, у тому числі за рахунок коштів, отриманих останнім від споживача туристичного продукту (туристичної послуги).</w:t>
      </w:r>
    </w:p>
    <w:p w14:paraId="2C51CF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2" w:name="n5173"/>
      <w:bookmarkEnd w:id="6352"/>
      <w:r w:rsidRPr="008B264B">
        <w:rPr>
          <w:rFonts w:ascii="Times New Roman" w:eastAsia="Times New Roman" w:hAnsi="Times New Roman" w:cs="Times New Roman"/>
          <w:i/>
          <w:iCs/>
          <w:color w:val="000000"/>
          <w:sz w:val="24"/>
          <w:szCs w:val="24"/>
          <w:lang/>
        </w:rPr>
        <w:t>{Пункт 207.5 статті 207 із змінами, внесеними згідно із Законом </w:t>
      </w:r>
      <w:hyperlink r:id="rId3587" w:anchor="n33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9873D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3" w:name="n5174"/>
      <w:bookmarkEnd w:id="6353"/>
      <w:r w:rsidRPr="008B264B">
        <w:rPr>
          <w:rFonts w:ascii="Times New Roman" w:eastAsia="Times New Roman" w:hAnsi="Times New Roman" w:cs="Times New Roman"/>
          <w:color w:val="000000"/>
          <w:sz w:val="24"/>
          <w:szCs w:val="24"/>
          <w:lang/>
        </w:rPr>
        <w:lastRenderedPageBreak/>
        <w:t>207.6. Суми податку, сплачені (нараховані) при придбанні товарів/послуг, які включаються у вартість туристичного продукту (туристичної послуги), не відносяться до податкового кредиту та не включаються до бази оподаткування туристичного оператора.</w:t>
      </w:r>
    </w:p>
    <w:p w14:paraId="3448C3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4" w:name="n5175"/>
      <w:bookmarkEnd w:id="6354"/>
      <w:r w:rsidRPr="008B264B">
        <w:rPr>
          <w:rFonts w:ascii="Times New Roman" w:eastAsia="Times New Roman" w:hAnsi="Times New Roman" w:cs="Times New Roman"/>
          <w:color w:val="000000"/>
          <w:sz w:val="24"/>
          <w:szCs w:val="24"/>
          <w:lang/>
        </w:rPr>
        <w:t>Суми податку, сплачені (нараховані) при придбанні товарів/послуг, які не включаються у вартість туристичного продукту (туристичної послуги), включаються до податкового кредиту в порядку, визначеному цим Кодексом.</w:t>
      </w:r>
    </w:p>
    <w:p w14:paraId="6676E1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5" w:name="n5176"/>
      <w:bookmarkEnd w:id="6355"/>
      <w:r w:rsidRPr="008B264B">
        <w:rPr>
          <w:rFonts w:ascii="Times New Roman" w:eastAsia="Times New Roman" w:hAnsi="Times New Roman" w:cs="Times New Roman"/>
          <w:color w:val="000000"/>
          <w:sz w:val="24"/>
          <w:szCs w:val="24"/>
          <w:lang/>
        </w:rPr>
        <w:t>Датою виникнення податкових зобов'язань у туристичного оператора при постачанні туристичного продукту (туристичної послуги) є дата оформлення документа, що засвідчує факт постачання туристичного продукту (туристичної послуги).</w:t>
      </w:r>
    </w:p>
    <w:p w14:paraId="79B35D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6" w:name="n5177"/>
      <w:bookmarkEnd w:id="6356"/>
      <w:r w:rsidRPr="008B264B">
        <w:rPr>
          <w:rFonts w:ascii="Times New Roman" w:eastAsia="Times New Roman" w:hAnsi="Times New Roman" w:cs="Times New Roman"/>
          <w:color w:val="000000"/>
          <w:sz w:val="24"/>
          <w:szCs w:val="24"/>
          <w:lang/>
        </w:rPr>
        <w:t>Датою виникнення права на віднесення сум податку до податкового кредиту туристичного оператора при придбанні товарів/послуг, які не включаються у вартість туристичного продукту (туристичної послуги), є дата отримання товарів/послуг, підтверджена податковою накладною.</w:t>
      </w:r>
    </w:p>
    <w:p w14:paraId="710B73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7" w:name="n5178"/>
      <w:bookmarkEnd w:id="6357"/>
      <w:r w:rsidRPr="008B264B">
        <w:rPr>
          <w:rFonts w:ascii="Times New Roman" w:eastAsia="Times New Roman" w:hAnsi="Times New Roman" w:cs="Times New Roman"/>
          <w:i/>
          <w:iCs/>
          <w:color w:val="000000"/>
          <w:sz w:val="24"/>
          <w:szCs w:val="24"/>
          <w:lang/>
        </w:rPr>
        <w:t>{Пункт 207.6 статті 207 в редакції Закону </w:t>
      </w:r>
      <w:hyperlink r:id="rId3588" w:anchor="n33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F6366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8" w:name="n5179"/>
      <w:bookmarkEnd w:id="6358"/>
      <w:r w:rsidRPr="008B264B">
        <w:rPr>
          <w:rFonts w:ascii="Times New Roman" w:eastAsia="Times New Roman" w:hAnsi="Times New Roman" w:cs="Times New Roman"/>
          <w:color w:val="000000"/>
          <w:sz w:val="24"/>
          <w:szCs w:val="24"/>
          <w:lang/>
        </w:rPr>
        <w:t>207.7. Ставка податку, визначена у </w:t>
      </w:r>
      <w:hyperlink r:id="rId3589" w:anchor="n4635" w:history="1">
        <w:r w:rsidRPr="008B264B">
          <w:rPr>
            <w:rFonts w:ascii="Times New Roman" w:eastAsia="Times New Roman" w:hAnsi="Times New Roman" w:cs="Times New Roman"/>
            <w:color w:val="0000FF"/>
            <w:sz w:val="24"/>
            <w:szCs w:val="24"/>
            <w:u w:val="single"/>
            <w:lang/>
          </w:rPr>
          <w:t>підпункті "а" пункту 193.1</w:t>
        </w:r>
      </w:hyperlink>
      <w:r w:rsidRPr="008B264B">
        <w:rPr>
          <w:rFonts w:ascii="Times New Roman" w:eastAsia="Times New Roman" w:hAnsi="Times New Roman" w:cs="Times New Roman"/>
          <w:color w:val="000000"/>
          <w:sz w:val="24"/>
          <w:szCs w:val="24"/>
          <w:lang/>
        </w:rPr>
        <w:t> статті 193 цього розділу, застосовується до бази оподаткування, визначеної згідно з </w:t>
      </w:r>
      <w:hyperlink r:id="rId3590" w:anchor="n5169" w:history="1">
        <w:r w:rsidRPr="008B264B">
          <w:rPr>
            <w:rFonts w:ascii="Times New Roman" w:eastAsia="Times New Roman" w:hAnsi="Times New Roman" w:cs="Times New Roman"/>
            <w:color w:val="0000FF"/>
            <w:sz w:val="24"/>
            <w:szCs w:val="24"/>
            <w:u w:val="single"/>
            <w:lang/>
          </w:rPr>
          <w:t>пунктами 207.2-207.5</w:t>
        </w:r>
      </w:hyperlink>
      <w:r w:rsidRPr="008B264B">
        <w:rPr>
          <w:rFonts w:ascii="Times New Roman" w:eastAsia="Times New Roman" w:hAnsi="Times New Roman" w:cs="Times New Roman"/>
          <w:color w:val="000000"/>
          <w:sz w:val="24"/>
          <w:szCs w:val="24"/>
          <w:lang/>
        </w:rPr>
        <w:t> цієї статті.</w:t>
      </w:r>
    </w:p>
    <w:p w14:paraId="0359BA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59" w:name="n5180"/>
      <w:bookmarkEnd w:id="6359"/>
      <w:r w:rsidRPr="008B264B">
        <w:rPr>
          <w:rFonts w:ascii="Times New Roman" w:eastAsia="Times New Roman" w:hAnsi="Times New Roman" w:cs="Times New Roman"/>
          <w:i/>
          <w:iCs/>
          <w:color w:val="000000"/>
          <w:sz w:val="24"/>
          <w:szCs w:val="24"/>
          <w:lang/>
        </w:rPr>
        <w:t>{Стаття 207 в редакції Закону </w:t>
      </w:r>
      <w:hyperlink r:id="rId359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463D2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0" w:name="n5181"/>
      <w:bookmarkEnd w:id="6360"/>
      <w:r w:rsidRPr="008B264B">
        <w:rPr>
          <w:rFonts w:ascii="Times New Roman" w:eastAsia="Times New Roman" w:hAnsi="Times New Roman" w:cs="Times New Roman"/>
          <w:b/>
          <w:bCs/>
          <w:color w:val="000000"/>
          <w:sz w:val="24"/>
          <w:szCs w:val="24"/>
          <w:lang/>
        </w:rPr>
        <w:t>Стаття 208.</w:t>
      </w:r>
      <w:r w:rsidRPr="008B264B">
        <w:rPr>
          <w:rFonts w:ascii="Times New Roman" w:eastAsia="Times New Roman" w:hAnsi="Times New Roman" w:cs="Times New Roman"/>
          <w:color w:val="000000"/>
          <w:sz w:val="24"/>
          <w:szCs w:val="24"/>
          <w:lang/>
        </w:rPr>
        <w:t> Оподаткування послуг, що постачаються нерезидентами, місце постачання яких розташоване на митній території України</w:t>
      </w:r>
    </w:p>
    <w:p w14:paraId="248528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1" w:name="n5182"/>
      <w:bookmarkEnd w:id="6361"/>
      <w:r w:rsidRPr="008B264B">
        <w:rPr>
          <w:rFonts w:ascii="Times New Roman" w:eastAsia="Times New Roman" w:hAnsi="Times New Roman" w:cs="Times New Roman"/>
          <w:color w:val="000000"/>
          <w:sz w:val="24"/>
          <w:szCs w:val="24"/>
          <w:lang/>
        </w:rPr>
        <w:t>208.1. Цією статтею встановлюються правила оподаткування в разі постачання особою-нерезидентом, яку не зареєстровано як платника податку, послуг, місце постачання яких розташоване на митній території України, особі, яку зареєстровано як платника податку, чи будь-якій іншій юридичній особі-резиденту.</w:t>
      </w:r>
    </w:p>
    <w:p w14:paraId="2381EF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2" w:name="n5183"/>
      <w:bookmarkEnd w:id="6362"/>
      <w:r w:rsidRPr="008B264B">
        <w:rPr>
          <w:rFonts w:ascii="Times New Roman" w:eastAsia="Times New Roman" w:hAnsi="Times New Roman" w:cs="Times New Roman"/>
          <w:color w:val="000000"/>
          <w:sz w:val="24"/>
          <w:szCs w:val="24"/>
          <w:lang/>
        </w:rPr>
        <w:t>208.2. Отримувач послуг, що постачаються нерезидентами, місце постачання яких розташоване на митній території України, нараховує податок за основною ставкою податку на базу оподаткування, визначену згідно з </w:t>
      </w:r>
      <w:hyperlink r:id="rId3592" w:anchor="n4605" w:history="1">
        <w:r w:rsidRPr="008B264B">
          <w:rPr>
            <w:rFonts w:ascii="Times New Roman" w:eastAsia="Times New Roman" w:hAnsi="Times New Roman" w:cs="Times New Roman"/>
            <w:color w:val="0000FF"/>
            <w:sz w:val="24"/>
            <w:szCs w:val="24"/>
            <w:u w:val="single"/>
            <w:lang/>
          </w:rPr>
          <w:t>пунктом 190.2</w:t>
        </w:r>
      </w:hyperlink>
      <w:r w:rsidRPr="008B264B">
        <w:rPr>
          <w:rFonts w:ascii="Times New Roman" w:eastAsia="Times New Roman" w:hAnsi="Times New Roman" w:cs="Times New Roman"/>
          <w:color w:val="000000"/>
          <w:sz w:val="24"/>
          <w:szCs w:val="24"/>
          <w:lang/>
        </w:rPr>
        <w:t> статті 190 цього Кодексу.</w:t>
      </w:r>
    </w:p>
    <w:p w14:paraId="4AC2D6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3" w:name="n5184"/>
      <w:bookmarkEnd w:id="6363"/>
      <w:r w:rsidRPr="008B264B">
        <w:rPr>
          <w:rFonts w:ascii="Times New Roman" w:eastAsia="Times New Roman" w:hAnsi="Times New Roman" w:cs="Times New Roman"/>
          <w:color w:val="000000"/>
          <w:sz w:val="24"/>
          <w:szCs w:val="24"/>
          <w:lang/>
        </w:rPr>
        <w:t>При цьому отримувач послуг - платник податку у порядку, визначеному </w:t>
      </w:r>
      <w:hyperlink r:id="rId3593" w:anchor="n5052" w:history="1">
        <w:r w:rsidRPr="008B264B">
          <w:rPr>
            <w:rFonts w:ascii="Times New Roman" w:eastAsia="Times New Roman" w:hAnsi="Times New Roman" w:cs="Times New Roman"/>
            <w:color w:val="0000FF"/>
            <w:sz w:val="24"/>
            <w:szCs w:val="24"/>
            <w:u w:val="single"/>
            <w:lang/>
          </w:rPr>
          <w:t>статтею 201</w:t>
        </w:r>
      </w:hyperlink>
      <w:r w:rsidRPr="008B264B">
        <w:rPr>
          <w:rFonts w:ascii="Times New Roman" w:eastAsia="Times New Roman" w:hAnsi="Times New Roman" w:cs="Times New Roman"/>
          <w:color w:val="000000"/>
          <w:sz w:val="24"/>
          <w:szCs w:val="24"/>
          <w:lang/>
        </w:rPr>
        <w:t> цього Кодексу, складає податкову накладну із зазначенням суми нарахованого ним податку, яка є підставою для віднесення сум податку до податкового кредиту у встановленому порядку.</w:t>
      </w:r>
    </w:p>
    <w:p w14:paraId="2F9DEF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4" w:name="n5185"/>
      <w:bookmarkEnd w:id="6364"/>
      <w:r w:rsidRPr="008B264B">
        <w:rPr>
          <w:rFonts w:ascii="Times New Roman" w:eastAsia="Times New Roman" w:hAnsi="Times New Roman" w:cs="Times New Roman"/>
          <w:color w:val="000000"/>
          <w:sz w:val="24"/>
          <w:szCs w:val="24"/>
          <w:lang/>
        </w:rPr>
        <w:t>Така податкова накладна підлягає обов’язковій реєстрації в Єдиному реєстрі податкових накладних.</w:t>
      </w:r>
    </w:p>
    <w:p w14:paraId="58FFC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5" w:name="n10144"/>
      <w:bookmarkEnd w:id="6365"/>
      <w:r w:rsidRPr="008B264B">
        <w:rPr>
          <w:rFonts w:ascii="Times New Roman" w:eastAsia="Times New Roman" w:hAnsi="Times New Roman" w:cs="Times New Roman"/>
          <w:i/>
          <w:iCs/>
          <w:color w:val="000000"/>
          <w:sz w:val="24"/>
          <w:szCs w:val="24"/>
          <w:lang/>
        </w:rPr>
        <w:t>{Абзац третій пункту 208.2 статті 208 із змінами, внесеними згідно із Законом </w:t>
      </w:r>
      <w:hyperlink r:id="rId3594" w:anchor="n108"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3595"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596" w:anchor="n75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3F69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6" w:name="n5186"/>
      <w:bookmarkEnd w:id="6366"/>
      <w:r w:rsidRPr="008B264B">
        <w:rPr>
          <w:rFonts w:ascii="Times New Roman" w:eastAsia="Times New Roman" w:hAnsi="Times New Roman" w:cs="Times New Roman"/>
          <w:color w:val="000000"/>
          <w:sz w:val="24"/>
          <w:szCs w:val="24"/>
          <w:lang/>
        </w:rPr>
        <w:t>208.3. Якщо отримувача послуг зареєстровано як платника податку, сума нарахованого податку включається до складу податкових зобов'язань декларації за відповідний звітний період.</w:t>
      </w:r>
    </w:p>
    <w:p w14:paraId="63C850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7" w:name="n5187"/>
      <w:bookmarkEnd w:id="6367"/>
      <w:r w:rsidRPr="008B264B">
        <w:rPr>
          <w:rFonts w:ascii="Times New Roman" w:eastAsia="Times New Roman" w:hAnsi="Times New Roman" w:cs="Times New Roman"/>
          <w:color w:val="000000"/>
          <w:sz w:val="24"/>
          <w:szCs w:val="24"/>
          <w:lang/>
        </w:rPr>
        <w:t>208.4. Якщо отримувача послуг не зареєстровано як платника податку, то податкова накладна не складається. Форма розрахунку податкових зобов'язань такого отримувача послуг у вигляді додатку до декларації з цього податку, затверджується у порядку, передбаченому </w:t>
      </w:r>
      <w:hyperlink r:id="rId3597"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w:t>
      </w:r>
    </w:p>
    <w:p w14:paraId="16BD6F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8" w:name="n14320"/>
      <w:bookmarkEnd w:id="6368"/>
      <w:r w:rsidRPr="008B264B">
        <w:rPr>
          <w:rFonts w:ascii="Times New Roman" w:eastAsia="Times New Roman" w:hAnsi="Times New Roman" w:cs="Times New Roman"/>
          <w:i/>
          <w:iCs/>
          <w:color w:val="000000"/>
          <w:sz w:val="24"/>
          <w:szCs w:val="24"/>
          <w:lang/>
        </w:rPr>
        <w:t>{Пункт 208.4 статті 208 із змінами, внесеними згідно із Законом </w:t>
      </w:r>
      <w:hyperlink r:id="rId3598" w:anchor="n12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C616C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69" w:name="n5188"/>
      <w:bookmarkEnd w:id="6369"/>
      <w:r w:rsidRPr="008B264B">
        <w:rPr>
          <w:rFonts w:ascii="Times New Roman" w:eastAsia="Times New Roman" w:hAnsi="Times New Roman" w:cs="Times New Roman"/>
          <w:color w:val="000000"/>
          <w:sz w:val="24"/>
          <w:szCs w:val="24"/>
          <w:lang/>
        </w:rPr>
        <w:t>208.5. Отримувач послуг прирівнюється до платника податку для цілей застосування правил цього розділу щодо сплати податку, стягнення податкового боргу та притягнення до відповідальності за правопорушення у сфері оподаткування.</w:t>
      </w:r>
    </w:p>
    <w:p w14:paraId="407DCF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0" w:name="n5189"/>
      <w:bookmarkEnd w:id="6370"/>
      <w:r w:rsidRPr="008B264B">
        <w:rPr>
          <w:rFonts w:ascii="Times New Roman" w:eastAsia="Times New Roman" w:hAnsi="Times New Roman" w:cs="Times New Roman"/>
          <w:color w:val="000000"/>
          <w:sz w:val="24"/>
          <w:szCs w:val="24"/>
          <w:lang/>
        </w:rPr>
        <w:lastRenderedPageBreak/>
        <w:t>208.6. Положення цієї статті не поширюються на постачання особою - нерезидентом, яку не зареєстровано як платника податку, послуг з підготовки до зняття і зняття енергоблоків Чорнобильської АЕС з експлуатації та перетворення об'єкта "Укриття" на екологічно безпечну систему, фінансування яких здійснюється за рахунок коштів міжнародної технічної допомоги, що надається на безоплатній та безповоротній основі, відповідно до положень </w:t>
      </w:r>
      <w:hyperlink r:id="rId3599" w:tgtFrame="_blank" w:history="1">
        <w:r w:rsidRPr="008B264B">
          <w:rPr>
            <w:rFonts w:ascii="Times New Roman" w:eastAsia="Times New Roman" w:hAnsi="Times New Roman" w:cs="Times New Roman"/>
            <w:color w:val="0000FF"/>
            <w:sz w:val="24"/>
            <w:szCs w:val="24"/>
            <w:u w:val="single"/>
            <w:lang/>
          </w:rPr>
          <w:t>Рамкової угоди між Україною та Європейським банком реконструкції та розвитку стосовно діяльності Чорнобильського фонду "Укриття" в Україні</w:t>
        </w:r>
      </w:hyperlink>
      <w:r w:rsidRPr="008B264B">
        <w:rPr>
          <w:rFonts w:ascii="Times New Roman" w:eastAsia="Times New Roman" w:hAnsi="Times New Roman" w:cs="Times New Roman"/>
          <w:color w:val="000000"/>
          <w:sz w:val="24"/>
          <w:szCs w:val="24"/>
          <w:lang/>
        </w:rPr>
        <w:t> та </w:t>
      </w:r>
      <w:hyperlink r:id="rId3600" w:tgtFrame="_blank" w:history="1">
        <w:r w:rsidRPr="008B264B">
          <w:rPr>
            <w:rFonts w:ascii="Times New Roman" w:eastAsia="Times New Roman" w:hAnsi="Times New Roman" w:cs="Times New Roman"/>
            <w:color w:val="0000FF"/>
            <w:sz w:val="24"/>
            <w:szCs w:val="24"/>
            <w:u w:val="single"/>
            <w:lang/>
          </w:rPr>
          <w:t>Угоди про грант (Проекту ядерної безпеки Чорнобильської АЕС) між Європейським банком реконструкції та розвитку як Розпорядником коштів, наданих згідно з Грантом з Рахунка ядерної безпеки, Урядом України та Чорнобильською атомною електростанцією</w:t>
        </w:r>
      </w:hyperlink>
      <w:r w:rsidRPr="008B264B">
        <w:rPr>
          <w:rFonts w:ascii="Times New Roman" w:eastAsia="Times New Roman" w:hAnsi="Times New Roman" w:cs="Times New Roman"/>
          <w:color w:val="000000"/>
          <w:sz w:val="24"/>
          <w:szCs w:val="24"/>
          <w:lang/>
        </w:rPr>
        <w:t>.</w:t>
      </w:r>
    </w:p>
    <w:p w14:paraId="359BE2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1" w:name="n5190"/>
      <w:bookmarkEnd w:id="6371"/>
      <w:r w:rsidRPr="008B264B">
        <w:rPr>
          <w:rFonts w:ascii="Times New Roman" w:eastAsia="Times New Roman" w:hAnsi="Times New Roman" w:cs="Times New Roman"/>
          <w:i/>
          <w:iCs/>
          <w:color w:val="000000"/>
          <w:sz w:val="24"/>
          <w:szCs w:val="24"/>
          <w:lang/>
        </w:rPr>
        <w:t>{Статтю 208 доповнено пунктом 208.6 згідно із Законом </w:t>
      </w:r>
      <w:hyperlink r:id="rId360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8453A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2" w:name="n5191"/>
      <w:bookmarkEnd w:id="6372"/>
      <w:r w:rsidRPr="008B264B">
        <w:rPr>
          <w:rFonts w:ascii="Times New Roman" w:eastAsia="Times New Roman" w:hAnsi="Times New Roman" w:cs="Times New Roman"/>
          <w:i/>
          <w:iCs/>
          <w:color w:val="000000"/>
          <w:sz w:val="24"/>
          <w:szCs w:val="24"/>
          <w:lang/>
        </w:rPr>
        <w:t>{Стаття 209 втратила чинність з 1 січня 2017 року - див. </w:t>
      </w:r>
      <w:hyperlink r:id="rId3602" w:anchor="n7982" w:history="1">
        <w:r w:rsidRPr="008B264B">
          <w:rPr>
            <w:rFonts w:ascii="Times New Roman" w:eastAsia="Times New Roman" w:hAnsi="Times New Roman" w:cs="Times New Roman"/>
            <w:i/>
            <w:iCs/>
            <w:color w:val="0000FF"/>
            <w:sz w:val="24"/>
            <w:szCs w:val="24"/>
            <w:u w:val="single"/>
            <w:lang/>
          </w:rPr>
          <w:t>підпункт 4</w:t>
        </w:r>
      </w:hyperlink>
      <w:r w:rsidRPr="008B264B">
        <w:rPr>
          <w:rFonts w:ascii="Times New Roman" w:eastAsia="Times New Roman" w:hAnsi="Times New Roman" w:cs="Times New Roman"/>
          <w:i/>
          <w:iCs/>
          <w:color w:val="000000"/>
          <w:sz w:val="24"/>
          <w:szCs w:val="24"/>
          <w:lang/>
        </w:rPr>
        <w:t> пункту 2 розділу XIX цього Кодексу}</w:t>
      </w:r>
    </w:p>
    <w:p w14:paraId="52CEFB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3" w:name="n5192"/>
      <w:bookmarkEnd w:id="6373"/>
      <w:r w:rsidRPr="008B264B">
        <w:rPr>
          <w:rFonts w:ascii="Times New Roman" w:eastAsia="Times New Roman" w:hAnsi="Times New Roman" w:cs="Times New Roman"/>
          <w:color w:val="000000"/>
          <w:sz w:val="24"/>
          <w:szCs w:val="24"/>
          <w:lang/>
        </w:rPr>
        <w:t>209.1. Резидент, який провадить підприємницьку діяльність у сфері сільського і лісового господарства та рибальства та відповідає критеріям, встановленим у </w:t>
      </w:r>
      <w:hyperlink r:id="rId3603" w:anchor="n5201" w:history="1">
        <w:r w:rsidRPr="008B264B">
          <w:rPr>
            <w:rFonts w:ascii="Times New Roman" w:eastAsia="Times New Roman" w:hAnsi="Times New Roman" w:cs="Times New Roman"/>
            <w:color w:val="0000FF"/>
            <w:sz w:val="24"/>
            <w:szCs w:val="24"/>
            <w:u w:val="single"/>
            <w:lang/>
          </w:rPr>
          <w:t>пункті 209.6</w:t>
        </w:r>
      </w:hyperlink>
      <w:r w:rsidRPr="008B264B">
        <w:rPr>
          <w:rFonts w:ascii="Times New Roman" w:eastAsia="Times New Roman" w:hAnsi="Times New Roman" w:cs="Times New Roman"/>
          <w:color w:val="000000"/>
          <w:sz w:val="24"/>
          <w:szCs w:val="24"/>
          <w:lang/>
        </w:rPr>
        <w:t> цієї статті (далі - сільськогосподарське підприємство), може обрати спеціальний режим оподаткування.</w:t>
      </w:r>
    </w:p>
    <w:p w14:paraId="698A8E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4" w:name="n5193"/>
      <w:bookmarkEnd w:id="6374"/>
      <w:r w:rsidRPr="008B264B">
        <w:rPr>
          <w:rFonts w:ascii="Times New Roman" w:eastAsia="Times New Roman" w:hAnsi="Times New Roman" w:cs="Times New Roman"/>
          <w:color w:val="000000"/>
          <w:sz w:val="24"/>
          <w:szCs w:val="24"/>
          <w:lang/>
        </w:rPr>
        <w:t>209.2. Позитивна різниця між сумою податкових зобов’язань звітного (податкового) періоду та сумою податкового кредиту звітного (податкового) періоду, визначена:</w:t>
      </w:r>
    </w:p>
    <w:p w14:paraId="037BA9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5" w:name="n12818"/>
      <w:bookmarkEnd w:id="6375"/>
      <w:r w:rsidRPr="008B264B">
        <w:rPr>
          <w:rFonts w:ascii="Times New Roman" w:eastAsia="Times New Roman" w:hAnsi="Times New Roman" w:cs="Times New Roman"/>
          <w:color w:val="000000"/>
          <w:sz w:val="24"/>
          <w:szCs w:val="24"/>
          <w:lang/>
        </w:rPr>
        <w:t>а) за операціями з сільськогосподарськими товарами/послугами (крім операцій із зерновими і технічними культурами та операцій з продукцією тваринництва) підлягає перерахуванню:</w:t>
      </w:r>
    </w:p>
    <w:p w14:paraId="3A1558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6" w:name="n12819"/>
      <w:bookmarkEnd w:id="6376"/>
      <w:r w:rsidRPr="008B264B">
        <w:rPr>
          <w:rFonts w:ascii="Times New Roman" w:eastAsia="Times New Roman" w:hAnsi="Times New Roman" w:cs="Times New Roman"/>
          <w:color w:val="000000"/>
          <w:sz w:val="24"/>
          <w:szCs w:val="24"/>
          <w:lang/>
        </w:rPr>
        <w:t>до державного бюджету - у розмірі 50 відсотків;</w:t>
      </w:r>
    </w:p>
    <w:p w14:paraId="5FF3A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7" w:name="n12820"/>
      <w:bookmarkEnd w:id="6377"/>
      <w:r w:rsidRPr="008B264B">
        <w:rPr>
          <w:rFonts w:ascii="Times New Roman" w:eastAsia="Times New Roman" w:hAnsi="Times New Roman" w:cs="Times New Roman"/>
          <w:color w:val="000000"/>
          <w:sz w:val="24"/>
          <w:szCs w:val="24"/>
          <w:lang/>
        </w:rPr>
        <w:t>на спеціальні рахунки, відкриті сільськогосподарським підприємствам - суб’єктам спеціального режиму оподаткування в установах банків та/або в органах, що здійснюють казначейське обслуговування бюджетних коштів, - у розмірі 50 відсотків;</w:t>
      </w:r>
    </w:p>
    <w:p w14:paraId="218A05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8" w:name="n12821"/>
      <w:bookmarkEnd w:id="6378"/>
      <w:r w:rsidRPr="008B264B">
        <w:rPr>
          <w:rFonts w:ascii="Times New Roman" w:eastAsia="Times New Roman" w:hAnsi="Times New Roman" w:cs="Times New Roman"/>
          <w:color w:val="000000"/>
          <w:sz w:val="24"/>
          <w:szCs w:val="24"/>
          <w:lang/>
        </w:rPr>
        <w:t>б) за операціями із зерновими і технічними культурами підлягає перерахуванню:</w:t>
      </w:r>
    </w:p>
    <w:p w14:paraId="470C6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79" w:name="n12822"/>
      <w:bookmarkEnd w:id="6379"/>
      <w:r w:rsidRPr="008B264B">
        <w:rPr>
          <w:rFonts w:ascii="Times New Roman" w:eastAsia="Times New Roman" w:hAnsi="Times New Roman" w:cs="Times New Roman"/>
          <w:color w:val="000000"/>
          <w:sz w:val="24"/>
          <w:szCs w:val="24"/>
          <w:lang/>
        </w:rPr>
        <w:t>до державного бюджету - у розмірі 85 відсотків;</w:t>
      </w:r>
    </w:p>
    <w:p w14:paraId="40CE05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0" w:name="n12823"/>
      <w:bookmarkEnd w:id="6380"/>
      <w:r w:rsidRPr="008B264B">
        <w:rPr>
          <w:rFonts w:ascii="Times New Roman" w:eastAsia="Times New Roman" w:hAnsi="Times New Roman" w:cs="Times New Roman"/>
          <w:color w:val="000000"/>
          <w:sz w:val="24"/>
          <w:szCs w:val="24"/>
          <w:lang/>
        </w:rPr>
        <w:t>на спеціальні рахунки, відкриті сільськогосподарським підприємствам - суб’єктам спеціального режиму оподаткування в установах банків та/або в органах, що здійснюють казначейське обслуговування бюджетних коштів, - у розмірі 15 відсотків;</w:t>
      </w:r>
    </w:p>
    <w:p w14:paraId="3AAA68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1" w:name="n12824"/>
      <w:bookmarkEnd w:id="6381"/>
      <w:r w:rsidRPr="008B264B">
        <w:rPr>
          <w:rFonts w:ascii="Times New Roman" w:eastAsia="Times New Roman" w:hAnsi="Times New Roman" w:cs="Times New Roman"/>
          <w:color w:val="000000"/>
          <w:sz w:val="24"/>
          <w:szCs w:val="24"/>
          <w:lang/>
        </w:rPr>
        <w:t>в) за операціями з продукцією тваринництва підлягає перерахуванню:</w:t>
      </w:r>
    </w:p>
    <w:p w14:paraId="368AAE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2" w:name="n12825"/>
      <w:bookmarkEnd w:id="6382"/>
      <w:r w:rsidRPr="008B264B">
        <w:rPr>
          <w:rFonts w:ascii="Times New Roman" w:eastAsia="Times New Roman" w:hAnsi="Times New Roman" w:cs="Times New Roman"/>
          <w:color w:val="000000"/>
          <w:sz w:val="24"/>
          <w:szCs w:val="24"/>
          <w:lang/>
        </w:rPr>
        <w:t>до державного бюджету - у розмірі 20 відсотків;</w:t>
      </w:r>
    </w:p>
    <w:p w14:paraId="0158B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3" w:name="n12826"/>
      <w:bookmarkEnd w:id="6383"/>
      <w:r w:rsidRPr="008B264B">
        <w:rPr>
          <w:rFonts w:ascii="Times New Roman" w:eastAsia="Times New Roman" w:hAnsi="Times New Roman" w:cs="Times New Roman"/>
          <w:color w:val="000000"/>
          <w:sz w:val="24"/>
          <w:szCs w:val="24"/>
          <w:lang/>
        </w:rPr>
        <w:t>на спеціальні рахунки, відкриті сільськогосподарським підприємствам - суб’єктам спеціального режиму оподаткування в установах банків та/або в органах, що здійснюють казначейське обслуговування бюджетних коштів, - у розмірі 80 відсотків.</w:t>
      </w:r>
    </w:p>
    <w:p w14:paraId="43EF5D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4" w:name="n12827"/>
      <w:bookmarkEnd w:id="6384"/>
      <w:r w:rsidRPr="008B264B">
        <w:rPr>
          <w:rFonts w:ascii="Times New Roman" w:eastAsia="Times New Roman" w:hAnsi="Times New Roman" w:cs="Times New Roman"/>
          <w:color w:val="000000"/>
          <w:sz w:val="24"/>
          <w:szCs w:val="24"/>
          <w:lang/>
        </w:rPr>
        <w:t>209.2.1. Сільськогосподарські підприємства для забезпечення перерахування, зазначеного у:</w:t>
      </w:r>
    </w:p>
    <w:p w14:paraId="50EDA4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5" w:name="n12828"/>
      <w:bookmarkEnd w:id="6385"/>
      <w:r w:rsidRPr="008B264B">
        <w:rPr>
          <w:rFonts w:ascii="Times New Roman" w:eastAsia="Times New Roman" w:hAnsi="Times New Roman" w:cs="Times New Roman"/>
          <w:color w:val="000000"/>
          <w:sz w:val="24"/>
          <w:szCs w:val="24"/>
          <w:lang/>
        </w:rPr>
        <w:t>а) підпункті "а" пункту 209.2 цієї статті, зараховують кошти на власні рахунки в системі електронного адміністрування податку на додану вартість, відкриті для перерахування коштів до державного бюджету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з сільськогосподарськими товарами/послугами (крім операцій із зерновими і технічними культурами та операцій з продукцією тваринництва);</w:t>
      </w:r>
    </w:p>
    <w:p w14:paraId="47D1E4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6" w:name="n12829"/>
      <w:bookmarkEnd w:id="6386"/>
      <w:r w:rsidRPr="008B264B">
        <w:rPr>
          <w:rFonts w:ascii="Times New Roman" w:eastAsia="Times New Roman" w:hAnsi="Times New Roman" w:cs="Times New Roman"/>
          <w:color w:val="000000"/>
          <w:sz w:val="24"/>
          <w:szCs w:val="24"/>
          <w:lang/>
        </w:rPr>
        <w:t>б) підпункті "б" пункту 209.2 цієї статті, зараховують кошти на власні рахунки в системі електронного адміністрування податку на додану вартість, відкриті для перерахування коштів до державного бюджету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з постачання зернових і технічних культур;</w:t>
      </w:r>
    </w:p>
    <w:p w14:paraId="5A37A9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7" w:name="n12830"/>
      <w:bookmarkEnd w:id="6387"/>
      <w:r w:rsidRPr="008B264B">
        <w:rPr>
          <w:rFonts w:ascii="Times New Roman" w:eastAsia="Times New Roman" w:hAnsi="Times New Roman" w:cs="Times New Roman"/>
          <w:color w:val="000000"/>
          <w:sz w:val="24"/>
          <w:szCs w:val="24"/>
          <w:lang/>
        </w:rPr>
        <w:lastRenderedPageBreak/>
        <w:t>в) підпункті "в" пункту 209.2 цієї статті, зараховують кошти на власні рахунки в системі електронного адміністрування податку на додану вартість, відкриті для перерахування коштів до державного бюджету та на спеціальні рахунки, відкриті в установах банків та/або в органах, що здійснюють казначейське обслуговування бюджетних коштів, для здійснення операцій із продукцією тваринництва.</w:t>
      </w:r>
    </w:p>
    <w:p w14:paraId="246CFF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8" w:name="n12831"/>
      <w:bookmarkEnd w:id="6388"/>
      <w:r w:rsidRPr="008B264B">
        <w:rPr>
          <w:rFonts w:ascii="Times New Roman" w:eastAsia="Times New Roman" w:hAnsi="Times New Roman" w:cs="Times New Roman"/>
          <w:color w:val="000000"/>
          <w:sz w:val="24"/>
          <w:szCs w:val="24"/>
          <w:lang/>
        </w:rPr>
        <w:t>209.2.2. Кошти, зараховані на рахунки в системі електронного адміністрування податку на додану вартість, зазначені у підпункті 209.2.1 пункту 209.2 цієї статті, автоматично протягом наступного операційного дня за днем, в якому кошти надійшли на такі рахунки, перераховуються органом, що здійснює казначейське обслуговування бюджетних коштів, у таких розмірах:</w:t>
      </w:r>
    </w:p>
    <w:p w14:paraId="0482EC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89" w:name="n12832"/>
      <w:bookmarkEnd w:id="6389"/>
      <w:r w:rsidRPr="008B264B">
        <w:rPr>
          <w:rFonts w:ascii="Times New Roman" w:eastAsia="Times New Roman" w:hAnsi="Times New Roman" w:cs="Times New Roman"/>
          <w:color w:val="000000"/>
          <w:sz w:val="24"/>
          <w:szCs w:val="24"/>
          <w:lang/>
        </w:rPr>
        <w:t>а) з рахунків, зазначених у підпункті "а" підпункту 209.2.1 пункту 209.2 цієї статті:</w:t>
      </w:r>
    </w:p>
    <w:p w14:paraId="2DB4C7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0" w:name="n12833"/>
      <w:bookmarkEnd w:id="6390"/>
      <w:r w:rsidRPr="008B264B">
        <w:rPr>
          <w:rFonts w:ascii="Times New Roman" w:eastAsia="Times New Roman" w:hAnsi="Times New Roman" w:cs="Times New Roman"/>
          <w:color w:val="000000"/>
          <w:sz w:val="24"/>
          <w:szCs w:val="24"/>
          <w:lang/>
        </w:rPr>
        <w:t>50 відсотків - на рахунки платників у системі електронного адміністрування податку на додану вартість;</w:t>
      </w:r>
    </w:p>
    <w:p w14:paraId="0B5AF7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1" w:name="n12834"/>
      <w:bookmarkEnd w:id="6391"/>
      <w:r w:rsidRPr="008B264B">
        <w:rPr>
          <w:rFonts w:ascii="Times New Roman" w:eastAsia="Times New Roman" w:hAnsi="Times New Roman" w:cs="Times New Roman"/>
          <w:color w:val="000000"/>
          <w:sz w:val="24"/>
          <w:szCs w:val="24"/>
          <w:lang/>
        </w:rPr>
        <w:t>50 відсотків - на спеціальні рахунки сільськогосподарських підприємств, відкриті в установах банків та/або в органах, що здійснюють казначейське обслуговування бюджетних коштів;</w:t>
      </w:r>
    </w:p>
    <w:p w14:paraId="3BC960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2" w:name="n12835"/>
      <w:bookmarkEnd w:id="6392"/>
      <w:r w:rsidRPr="008B264B">
        <w:rPr>
          <w:rFonts w:ascii="Times New Roman" w:eastAsia="Times New Roman" w:hAnsi="Times New Roman" w:cs="Times New Roman"/>
          <w:color w:val="000000"/>
          <w:sz w:val="24"/>
          <w:szCs w:val="24"/>
          <w:lang/>
        </w:rPr>
        <w:t>б) з рахунків, зазначених у підпункті "б" підпункту 209.2.1 пункту 209.2 цієї статті:</w:t>
      </w:r>
    </w:p>
    <w:p w14:paraId="377793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3" w:name="n12836"/>
      <w:bookmarkEnd w:id="6393"/>
      <w:r w:rsidRPr="008B264B">
        <w:rPr>
          <w:rFonts w:ascii="Times New Roman" w:eastAsia="Times New Roman" w:hAnsi="Times New Roman" w:cs="Times New Roman"/>
          <w:color w:val="000000"/>
          <w:sz w:val="24"/>
          <w:szCs w:val="24"/>
          <w:lang/>
        </w:rPr>
        <w:t>85 відсотків - на рахунки платників у системі електронного адміністрування податку на додану вартість;</w:t>
      </w:r>
    </w:p>
    <w:p w14:paraId="017072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4" w:name="n12837"/>
      <w:bookmarkEnd w:id="6394"/>
      <w:r w:rsidRPr="008B264B">
        <w:rPr>
          <w:rFonts w:ascii="Times New Roman" w:eastAsia="Times New Roman" w:hAnsi="Times New Roman" w:cs="Times New Roman"/>
          <w:color w:val="000000"/>
          <w:sz w:val="24"/>
          <w:szCs w:val="24"/>
          <w:lang/>
        </w:rPr>
        <w:t>15 відсотків - на спеціальні рахунки сільськогосподарських підприємств, відкриті в установах банків та/або в органах, що здійснюють казначейське обслуговування бюджетних коштів;</w:t>
      </w:r>
    </w:p>
    <w:p w14:paraId="51EF3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5" w:name="n12838"/>
      <w:bookmarkEnd w:id="6395"/>
      <w:r w:rsidRPr="008B264B">
        <w:rPr>
          <w:rFonts w:ascii="Times New Roman" w:eastAsia="Times New Roman" w:hAnsi="Times New Roman" w:cs="Times New Roman"/>
          <w:color w:val="000000"/>
          <w:sz w:val="24"/>
          <w:szCs w:val="24"/>
          <w:lang/>
        </w:rPr>
        <w:t>в) з рахунків, зазначених у підпункті "в" підпункту 209.2.1 пункту 209.2 цієї статті:</w:t>
      </w:r>
    </w:p>
    <w:p w14:paraId="623A3C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6" w:name="n12839"/>
      <w:bookmarkEnd w:id="6396"/>
      <w:r w:rsidRPr="008B264B">
        <w:rPr>
          <w:rFonts w:ascii="Times New Roman" w:eastAsia="Times New Roman" w:hAnsi="Times New Roman" w:cs="Times New Roman"/>
          <w:color w:val="000000"/>
          <w:sz w:val="24"/>
          <w:szCs w:val="24"/>
          <w:lang/>
        </w:rPr>
        <w:t>20 відсотків - на рахунки платників у системі електронного адміністрування податку на додану вартість;</w:t>
      </w:r>
    </w:p>
    <w:p w14:paraId="6F2A37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7" w:name="n12840"/>
      <w:bookmarkEnd w:id="6397"/>
      <w:r w:rsidRPr="008B264B">
        <w:rPr>
          <w:rFonts w:ascii="Times New Roman" w:eastAsia="Times New Roman" w:hAnsi="Times New Roman" w:cs="Times New Roman"/>
          <w:color w:val="000000"/>
          <w:sz w:val="24"/>
          <w:szCs w:val="24"/>
          <w:lang/>
        </w:rPr>
        <w:t>80 відсотків - на спеціальні рахунки сільськогосподарських підприємств, відкриті в установах банків та/або в органах, що здійснюють казначейське обслуговування бюджетних коштів.</w:t>
      </w:r>
    </w:p>
    <w:p w14:paraId="41AC0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8" w:name="n12841"/>
      <w:bookmarkEnd w:id="6398"/>
      <w:r w:rsidRPr="008B264B">
        <w:rPr>
          <w:rFonts w:ascii="Times New Roman" w:eastAsia="Times New Roman" w:hAnsi="Times New Roman" w:cs="Times New Roman"/>
          <w:color w:val="000000"/>
          <w:sz w:val="24"/>
          <w:szCs w:val="24"/>
          <w:lang/>
        </w:rPr>
        <w:t>209.2.3. Для перерахування до державного бюджету коштів, зарахованих на рахунки платників у системі електронного адміністрування податку на додану вартість з рахунків платників у системі електронного адміністрування податку на додану вартість, зазначених у підпункті 209.2.1 пункту 209.2 цієї статті, центральний орган виконавчої влади, що забезпечує реалізацію державної податкової та митної політики, надсилає органу, що здійснює казначейське обслуговування бюджетних коштів, в якому відкриті рахунки платників у системі електронного адміністрування податку на додану вартість, реєстр платників, в якому зазначаються назва платника, податковий номер та індивідуальний податковий номер платника, звітний період та сума податку, що підлягає перерахуванню до бюджету, зазначена у податковій декларації, в якій відображаються результати діяльності в межах спеціального режиму оподаткування за звітний (податковий) період. На підставі такого реєстру орган, що здійснює казначейське обслуговування бюджетних коштів, в якому відкриті рахунки платників у системі електронного адміністрування податку на додану вартість, не пізніше останнього дня строку, встановленого цим Кодексом для самостійної сплати податкових зобов’язань, перераховує суми податку до бюджету.</w:t>
      </w:r>
    </w:p>
    <w:p w14:paraId="00BD48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399" w:name="n12842"/>
      <w:bookmarkEnd w:id="6399"/>
      <w:r w:rsidRPr="008B264B">
        <w:rPr>
          <w:rFonts w:ascii="Times New Roman" w:eastAsia="Times New Roman" w:hAnsi="Times New Roman" w:cs="Times New Roman"/>
          <w:color w:val="000000"/>
          <w:sz w:val="24"/>
          <w:szCs w:val="24"/>
          <w:lang/>
        </w:rPr>
        <w:t>Суми податку на додану вартість, що підлягають перерахуванню на спеціальні рахунки, відкриті в установах банків та/або в органах, що здійснюють казначейське обслуговування бюджетних коштів, не підлягають сплаті до бюджету та повністю залишаються в розпорядженні такого сільськогосподарського підприємства для використання у виробництві сільськогосподарських товарів/послуг. Зазначені суми коштів акумулюються сільськогосподарськими підприємствами на таких рахунках у порядку, затвердженому Кабінетом Міністрів України.</w:t>
      </w:r>
    </w:p>
    <w:p w14:paraId="7894A9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0" w:name="n12843"/>
      <w:bookmarkEnd w:id="6400"/>
      <w:r w:rsidRPr="008B264B">
        <w:rPr>
          <w:rFonts w:ascii="Times New Roman" w:eastAsia="Times New Roman" w:hAnsi="Times New Roman" w:cs="Times New Roman"/>
          <w:color w:val="000000"/>
          <w:sz w:val="24"/>
          <w:szCs w:val="24"/>
          <w:lang/>
        </w:rPr>
        <w:lastRenderedPageBreak/>
        <w:t>209.2.4. Сільськогосподарські підприємства - суб’єкти спеціального режиму оподаткування у строки, встановлені цим Кодексом для самостійної сплати податкових зобов’язань, повинні забезпечити перерахування на їхні рахунки у системі електронного адміністрування податку, зазначені у підпункті 209.2.1 пункту 209.2 цієї статті, коштів у розмірі, достатньому для перерахування до державного бюджету та на спеціальний рахунок, на підставі поданої податкової декларації, в якій відображаються результати діяльності в межах спеціального режиму оподаткування протягом звітного (податкового) періоду.</w:t>
      </w:r>
    </w:p>
    <w:p w14:paraId="7A3B60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1" w:name="n12844"/>
      <w:bookmarkEnd w:id="6401"/>
      <w:r w:rsidRPr="008B264B">
        <w:rPr>
          <w:rFonts w:ascii="Times New Roman" w:eastAsia="Times New Roman" w:hAnsi="Times New Roman" w:cs="Times New Roman"/>
          <w:color w:val="000000"/>
          <w:sz w:val="24"/>
          <w:szCs w:val="24"/>
          <w:lang/>
        </w:rPr>
        <w:t>Проведення сільськогосподарським підприємством - суб’єктом спеціального режиму оподаткування розрахунків з бюджетом за іншими операціями, здійсненими протягом звітного (податкового) періоду не в межах спеціального режиму оподаткування, здійснюється у порядку, передбаченому </w:t>
      </w:r>
      <w:hyperlink r:id="rId3604"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w:t>
      </w:r>
    </w:p>
    <w:p w14:paraId="52E36F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2" w:name="n12817"/>
      <w:bookmarkEnd w:id="6402"/>
      <w:r w:rsidRPr="008B264B">
        <w:rPr>
          <w:rFonts w:ascii="Times New Roman" w:eastAsia="Times New Roman" w:hAnsi="Times New Roman" w:cs="Times New Roman"/>
          <w:i/>
          <w:iCs/>
          <w:color w:val="000000"/>
          <w:sz w:val="24"/>
          <w:szCs w:val="24"/>
          <w:lang/>
        </w:rPr>
        <w:t>{Пункт 209.2 із змінами, внесеними згідно із Законами </w:t>
      </w:r>
      <w:hyperlink r:id="rId3605" w:anchor="n34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3606" w:anchor="n111"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w:t>
      </w:r>
      <w:hyperlink r:id="rId3607" w:anchor="n75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608" w:anchor="n96"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в редакції Закону </w:t>
      </w:r>
      <w:hyperlink r:id="rId3609" w:anchor="n30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A311E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3" w:name="n5196"/>
      <w:bookmarkEnd w:id="6403"/>
      <w:r w:rsidRPr="008B264B">
        <w:rPr>
          <w:rFonts w:ascii="Times New Roman" w:eastAsia="Times New Roman" w:hAnsi="Times New Roman" w:cs="Times New Roman"/>
          <w:color w:val="000000"/>
          <w:sz w:val="24"/>
          <w:szCs w:val="24"/>
          <w:lang/>
        </w:rPr>
        <w:t>209.3. Якщо сума податку на додану вартість, сплачена (нарахована) сільськогосподарським підприємством постачальнику на вартість виробничих факторів, перевищує суму податку, нараховану за операціями з постачання сільськогосподарських товарів/послуг, то різниця між такими сумами не підлягає бюджетному відшкодуванню та зараховується до складу податкового кредиту наступного звітного (податкового) періоду.</w:t>
      </w:r>
    </w:p>
    <w:p w14:paraId="4962A2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4" w:name="n5197"/>
      <w:bookmarkEnd w:id="6404"/>
      <w:r w:rsidRPr="008B264B">
        <w:rPr>
          <w:rFonts w:ascii="Times New Roman" w:eastAsia="Times New Roman" w:hAnsi="Times New Roman" w:cs="Times New Roman"/>
          <w:i/>
          <w:iCs/>
          <w:color w:val="000000"/>
          <w:sz w:val="24"/>
          <w:szCs w:val="24"/>
          <w:lang/>
        </w:rPr>
        <w:t>{Пункт 209.3 статті 209 із змінами, внесеними згідно із Законом </w:t>
      </w:r>
      <w:hyperlink r:id="rId361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68027C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5" w:name="n5198"/>
      <w:bookmarkEnd w:id="6405"/>
      <w:r w:rsidRPr="008B264B">
        <w:rPr>
          <w:rFonts w:ascii="Times New Roman" w:eastAsia="Times New Roman" w:hAnsi="Times New Roman" w:cs="Times New Roman"/>
          <w:color w:val="000000"/>
          <w:sz w:val="24"/>
          <w:szCs w:val="24"/>
          <w:lang/>
        </w:rPr>
        <w:t>209.4. При вивезенні сільськогосподарських товарів у митному режимі експорту сільськогосподарське підприємство - виробник таких товарів/послуг має право на бюджетне відшкодування податку на додану вартість, сплаченого (нарахованого) постачальникам товарів/послуг, вартість яких включається до складу виробничих факторів. Таке відшкодування здійснюється в загальному порядку.</w:t>
      </w:r>
    </w:p>
    <w:p w14:paraId="428030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6" w:name="n5199"/>
      <w:bookmarkEnd w:id="6406"/>
      <w:r w:rsidRPr="008B264B">
        <w:rPr>
          <w:rFonts w:ascii="Times New Roman" w:eastAsia="Times New Roman" w:hAnsi="Times New Roman" w:cs="Times New Roman"/>
          <w:i/>
          <w:iCs/>
          <w:color w:val="000000"/>
          <w:sz w:val="24"/>
          <w:szCs w:val="24"/>
          <w:lang/>
        </w:rPr>
        <w:t>{Пункт 209.4 статті 209 із змінами, внесеними згідно із Законом </w:t>
      </w:r>
      <w:hyperlink r:id="rId3611" w:anchor="n2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4AD437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7" w:name="n5200"/>
      <w:bookmarkEnd w:id="6407"/>
      <w:r w:rsidRPr="008B264B">
        <w:rPr>
          <w:rFonts w:ascii="Times New Roman" w:eastAsia="Times New Roman" w:hAnsi="Times New Roman" w:cs="Times New Roman"/>
          <w:color w:val="000000"/>
          <w:sz w:val="24"/>
          <w:szCs w:val="24"/>
          <w:lang/>
        </w:rPr>
        <w:t>209.5. Платник податку, який придбаває сільськогосподарські товари/послуги в сільськогосподарського підприємства, який обрав спеціальний режим оподаткування, має право збільшити податковий кредит на суму сплаченого (нарахованого) податку в загальному порядку.</w:t>
      </w:r>
    </w:p>
    <w:p w14:paraId="4A4F76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8" w:name="n5201"/>
      <w:bookmarkEnd w:id="6408"/>
      <w:r w:rsidRPr="008B264B">
        <w:rPr>
          <w:rFonts w:ascii="Times New Roman" w:eastAsia="Times New Roman" w:hAnsi="Times New Roman" w:cs="Times New Roman"/>
          <w:color w:val="000000"/>
          <w:sz w:val="24"/>
          <w:szCs w:val="24"/>
          <w:lang/>
        </w:rPr>
        <w:t>209.6. Сільськогосподарським вважається підприємство, основною діяльністю якого є постачання вироблених (наданих) ним сільськогосподарських товарів (послуг) на власних або орендованих основних фондах, а також на давальницьких умовах, в якій питома вага вартості сільськогосподарських товарів/послуг становить не менш як 75 відсотків вартості всіх товарів/послуг, поставлених протягом попередніх 12 послідовних звітних податкових періодів сукупно.</w:t>
      </w:r>
    </w:p>
    <w:p w14:paraId="658056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09" w:name="n5202"/>
      <w:bookmarkEnd w:id="6409"/>
      <w:r w:rsidRPr="008B264B">
        <w:rPr>
          <w:rFonts w:ascii="Times New Roman" w:eastAsia="Times New Roman" w:hAnsi="Times New Roman" w:cs="Times New Roman"/>
          <w:i/>
          <w:iCs/>
          <w:color w:val="000000"/>
          <w:sz w:val="24"/>
          <w:szCs w:val="24"/>
          <w:lang/>
        </w:rPr>
        <w:t>{Абзац перший пункту 209.6 статті 209 із змінами, внесеними згідно із Законом </w:t>
      </w:r>
      <w:hyperlink r:id="rId3612" w:anchor="n34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78F9A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0" w:name="n5203"/>
      <w:bookmarkEnd w:id="6410"/>
      <w:r w:rsidRPr="008B264B">
        <w:rPr>
          <w:rFonts w:ascii="Times New Roman" w:eastAsia="Times New Roman" w:hAnsi="Times New Roman" w:cs="Times New Roman"/>
          <w:color w:val="000000"/>
          <w:sz w:val="24"/>
          <w:szCs w:val="24"/>
          <w:lang/>
        </w:rPr>
        <w:t>Ця норма діє з урахуванням того, що:</w:t>
      </w:r>
    </w:p>
    <w:p w14:paraId="2B3421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1" w:name="n5204"/>
      <w:bookmarkEnd w:id="6411"/>
      <w:r w:rsidRPr="008B264B">
        <w:rPr>
          <w:rFonts w:ascii="Times New Roman" w:eastAsia="Times New Roman" w:hAnsi="Times New Roman" w:cs="Times New Roman"/>
          <w:color w:val="000000"/>
          <w:sz w:val="24"/>
          <w:szCs w:val="24"/>
          <w:lang/>
        </w:rPr>
        <w:t>а) для новоутвореного сільськогосподарського підприємства, зареєстрованого як суб'єкт господарювання, який провадить господарську діяльність менше ніж 12 календарних місяців, така питома вага сільськогосподарських товарів/послуг розраховується за наслідками кожного окремого звітного податкового періоду;</w:t>
      </w:r>
    </w:p>
    <w:p w14:paraId="09E93A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2" w:name="n5205"/>
      <w:bookmarkEnd w:id="6412"/>
      <w:r w:rsidRPr="008B264B">
        <w:rPr>
          <w:rFonts w:ascii="Times New Roman" w:eastAsia="Times New Roman" w:hAnsi="Times New Roman" w:cs="Times New Roman"/>
          <w:color w:val="000000"/>
          <w:sz w:val="24"/>
          <w:szCs w:val="24"/>
          <w:lang/>
        </w:rPr>
        <w:t>б) з метою розрахунку такої питомої ваги до складу основної діяльності сільськогосподарського підприємства не включаються оподатковувані операції з постачання основних фондів, що перебували у складі його основних фондів не менше ніж 12 послідовних звітних податкових періодів сукупно, якщо такі операції не були постійними і не становили окремої підприємницької діяльності.</w:t>
      </w:r>
    </w:p>
    <w:p w14:paraId="5368A1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3" w:name="n5206"/>
      <w:bookmarkEnd w:id="6413"/>
      <w:r w:rsidRPr="008B264B">
        <w:rPr>
          <w:rFonts w:ascii="Times New Roman" w:eastAsia="Times New Roman" w:hAnsi="Times New Roman" w:cs="Times New Roman"/>
          <w:i/>
          <w:iCs/>
          <w:color w:val="000000"/>
          <w:sz w:val="24"/>
          <w:szCs w:val="24"/>
          <w:lang/>
        </w:rPr>
        <w:lastRenderedPageBreak/>
        <w:t>{Абзац четвертий пункту 209.6 статті 209 із змінами, внесеними згідно із Законом </w:t>
      </w:r>
      <w:hyperlink r:id="rId3613" w:anchor="n34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FFE8E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4" w:name="n5207"/>
      <w:bookmarkEnd w:id="6414"/>
      <w:r w:rsidRPr="008B264B">
        <w:rPr>
          <w:rFonts w:ascii="Times New Roman" w:eastAsia="Times New Roman" w:hAnsi="Times New Roman" w:cs="Times New Roman"/>
          <w:color w:val="000000"/>
          <w:sz w:val="24"/>
          <w:szCs w:val="24"/>
          <w:lang/>
        </w:rPr>
        <w:t>209.7. Сільськогосподарськими вважаються товари, зазначені у товарних групах 1-24, товарних позиціях 4101, 4102, 4103, 4301 згідно з </w:t>
      </w:r>
      <w:hyperlink r:id="rId3614"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послуги, які отримані в результаті здійснення діяльності, на яку відповідно до </w:t>
      </w:r>
      <w:hyperlink r:id="rId3615" w:anchor="n5262" w:history="1">
        <w:r w:rsidRPr="008B264B">
          <w:rPr>
            <w:rFonts w:ascii="Times New Roman" w:eastAsia="Times New Roman" w:hAnsi="Times New Roman" w:cs="Times New Roman"/>
            <w:color w:val="0000FF"/>
            <w:sz w:val="24"/>
            <w:szCs w:val="24"/>
            <w:u w:val="single"/>
            <w:lang/>
          </w:rPr>
          <w:t>пункту 209.17</w:t>
        </w:r>
      </w:hyperlink>
      <w:r w:rsidRPr="008B264B">
        <w:rPr>
          <w:rFonts w:ascii="Times New Roman" w:eastAsia="Times New Roman" w:hAnsi="Times New Roman" w:cs="Times New Roman"/>
          <w:color w:val="000000"/>
          <w:sz w:val="24"/>
          <w:szCs w:val="24"/>
          <w:lang/>
        </w:rPr>
        <w:t> цієї статті поширюється дія спеціального режиму оподаткування у сфері сільського та лісового господарства, а також рибальства, якщо такі товари вирощуються, відгодовуються, виловлюються або збираються (заготовляються), а послуги надаються, безпосередньо платником податку - суб'єктом спеціального режиму оподаткування (крім придбання таких товарів/послуг у інших осіб), які поставляються зазначеним платником податку - їх виробником.</w:t>
      </w:r>
    </w:p>
    <w:p w14:paraId="13A9FF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5" w:name="n5208"/>
      <w:bookmarkEnd w:id="6415"/>
      <w:r w:rsidRPr="008B264B">
        <w:rPr>
          <w:rFonts w:ascii="Times New Roman" w:eastAsia="Times New Roman" w:hAnsi="Times New Roman" w:cs="Times New Roman"/>
          <w:i/>
          <w:iCs/>
          <w:color w:val="000000"/>
          <w:sz w:val="24"/>
          <w:szCs w:val="24"/>
          <w:lang/>
        </w:rPr>
        <w:t>{Пункт 209.7 статті 209 в редакції Закону </w:t>
      </w:r>
      <w:hyperlink r:id="rId361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BAF4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6" w:name="n5209"/>
      <w:bookmarkEnd w:id="6416"/>
      <w:r w:rsidRPr="008B264B">
        <w:rPr>
          <w:rFonts w:ascii="Times New Roman" w:eastAsia="Times New Roman" w:hAnsi="Times New Roman" w:cs="Times New Roman"/>
          <w:color w:val="000000"/>
          <w:sz w:val="24"/>
          <w:szCs w:val="24"/>
          <w:lang/>
        </w:rPr>
        <w:t>209.8. Норми цієї статті не поширюються на виробників підакцизних товарів, крім підприємств первинного виноробства, які поставляють виноматеріали (коди згідно з </w:t>
      </w:r>
      <w:hyperlink r:id="rId361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2204 29 - 2204 30).</w:t>
      </w:r>
    </w:p>
    <w:p w14:paraId="0D75A6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7" w:name="n5210"/>
      <w:bookmarkEnd w:id="6417"/>
      <w:r w:rsidRPr="008B264B">
        <w:rPr>
          <w:rFonts w:ascii="Times New Roman" w:eastAsia="Times New Roman" w:hAnsi="Times New Roman" w:cs="Times New Roman"/>
          <w:color w:val="000000"/>
          <w:sz w:val="24"/>
          <w:szCs w:val="24"/>
          <w:lang/>
        </w:rPr>
        <w:t>209.9. Сільськогосподарське підприємство надає покупцю податкову накладну в порядку, встановленому цим розділом.</w:t>
      </w:r>
    </w:p>
    <w:p w14:paraId="759408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8" w:name="n5211"/>
      <w:bookmarkEnd w:id="6418"/>
      <w:r w:rsidRPr="008B264B">
        <w:rPr>
          <w:rFonts w:ascii="Times New Roman" w:eastAsia="Times New Roman" w:hAnsi="Times New Roman" w:cs="Times New Roman"/>
          <w:color w:val="000000"/>
          <w:sz w:val="24"/>
          <w:szCs w:val="24"/>
          <w:lang/>
        </w:rPr>
        <w:t>209.10. Сільськогосподарське підприємство реєструється як суб’єкт спеціального режиму оподаткування з дотриманням правил та у строки, що визначені </w:t>
      </w:r>
      <w:hyperlink r:id="rId3618" w:anchor="n4409" w:history="1">
        <w:r w:rsidRPr="008B264B">
          <w:rPr>
            <w:rFonts w:ascii="Times New Roman" w:eastAsia="Times New Roman" w:hAnsi="Times New Roman" w:cs="Times New Roman"/>
            <w:color w:val="0000FF"/>
            <w:sz w:val="24"/>
            <w:szCs w:val="24"/>
            <w:u w:val="single"/>
            <w:lang/>
          </w:rPr>
          <w:t>статтею 183</w:t>
        </w:r>
      </w:hyperlink>
      <w:r w:rsidRPr="008B264B">
        <w:rPr>
          <w:rFonts w:ascii="Times New Roman" w:eastAsia="Times New Roman" w:hAnsi="Times New Roman" w:cs="Times New Roman"/>
          <w:color w:val="000000"/>
          <w:sz w:val="24"/>
          <w:szCs w:val="24"/>
          <w:lang/>
        </w:rPr>
        <w:t> цього Кодексу для реєстрації платників податку на додану вартість.</w:t>
      </w:r>
    </w:p>
    <w:p w14:paraId="4B09D4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19" w:name="n9556"/>
      <w:bookmarkEnd w:id="6419"/>
      <w:r w:rsidRPr="008B264B">
        <w:rPr>
          <w:rFonts w:ascii="Times New Roman" w:eastAsia="Times New Roman" w:hAnsi="Times New Roman" w:cs="Times New Roman"/>
          <w:color w:val="000000"/>
          <w:sz w:val="24"/>
          <w:szCs w:val="24"/>
          <w:lang/>
        </w:rPr>
        <w:t>У реєстрі суб’єктів спеціального режиму оподаткування, крім відомостей, передбачених для реєстрації платників податку на додану вартість на загальних підставах, повинен міститися перелік видів діяльності такого сільськогосподарського підприємства, на які поширюється дія спеціального режиму оподаткування діяльності у сфері сільського та лісового господарства, а також рибальства, та дата внесення запису про такі види діяльності.</w:t>
      </w:r>
    </w:p>
    <w:p w14:paraId="533C4A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0" w:name="n9557"/>
      <w:bookmarkEnd w:id="6420"/>
      <w:r w:rsidRPr="008B264B">
        <w:rPr>
          <w:rFonts w:ascii="Times New Roman" w:eastAsia="Times New Roman" w:hAnsi="Times New Roman" w:cs="Times New Roman"/>
          <w:color w:val="000000"/>
          <w:sz w:val="24"/>
          <w:szCs w:val="24"/>
          <w:lang/>
        </w:rPr>
        <w:t>При оприлюдненні даних з реєстру платників податку на додану вартість згідно з </w:t>
      </w:r>
      <w:hyperlink r:id="rId3619" w:anchor="n4434" w:history="1">
        <w:r w:rsidRPr="008B264B">
          <w:rPr>
            <w:rFonts w:ascii="Times New Roman" w:eastAsia="Times New Roman" w:hAnsi="Times New Roman" w:cs="Times New Roman"/>
            <w:color w:val="0000FF"/>
            <w:sz w:val="24"/>
            <w:szCs w:val="24"/>
            <w:u w:val="single"/>
            <w:lang/>
          </w:rPr>
          <w:t>пунктом 183.13</w:t>
        </w:r>
      </w:hyperlink>
      <w:r w:rsidRPr="008B264B">
        <w:rPr>
          <w:rFonts w:ascii="Times New Roman" w:eastAsia="Times New Roman" w:hAnsi="Times New Roman" w:cs="Times New Roman"/>
          <w:color w:val="000000"/>
          <w:sz w:val="24"/>
          <w:szCs w:val="24"/>
          <w:lang/>
        </w:rPr>
        <w:t> статті 183 цього Кодексу додатково оприлюднюються дані з реєстру суб’єктів спеціального режиму оподаткування про дату реєстрації суб’єктом спеціального режиму оподаткування, перелік видів діяльності сільськогосподарського підприємства із зазначенням дати внесення запису про такі види діяльності, дату виключення з такого реєстру, а також дату, з якої сільськогосподарське підприємство вважається платником зазначеного податку на загальних підставах.</w:t>
      </w:r>
    </w:p>
    <w:p w14:paraId="4B0D3A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1" w:name="n9555"/>
      <w:bookmarkEnd w:id="6421"/>
      <w:r w:rsidRPr="008B264B">
        <w:rPr>
          <w:rFonts w:ascii="Times New Roman" w:eastAsia="Times New Roman" w:hAnsi="Times New Roman" w:cs="Times New Roman"/>
          <w:i/>
          <w:iCs/>
          <w:color w:val="000000"/>
          <w:sz w:val="24"/>
          <w:szCs w:val="24"/>
          <w:lang/>
        </w:rPr>
        <w:t>{Пункт 209.10 статті 209 в редакції Закону </w:t>
      </w:r>
      <w:hyperlink r:id="rId3620" w:anchor="n14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57C3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2" w:name="n5213"/>
      <w:bookmarkEnd w:id="6422"/>
      <w:r w:rsidRPr="008B264B">
        <w:rPr>
          <w:rFonts w:ascii="Times New Roman" w:eastAsia="Times New Roman" w:hAnsi="Times New Roman" w:cs="Times New Roman"/>
          <w:color w:val="000000"/>
          <w:sz w:val="24"/>
          <w:szCs w:val="24"/>
          <w:lang/>
        </w:rPr>
        <w:t>209.11. Якщо суб'єкт спеціального режиму оподаткування поставляє протягом попередніх 12 послідовних звітних податкових періодів сукупно несільськогосподарські товари/послуги, питома вага яких перевищує 25 відсотків вартості всіх поставлених товарів/послуг, то:</w:t>
      </w:r>
    </w:p>
    <w:p w14:paraId="187090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3" w:name="n5214"/>
      <w:bookmarkEnd w:id="6423"/>
      <w:r w:rsidRPr="008B264B">
        <w:rPr>
          <w:rFonts w:ascii="Times New Roman" w:eastAsia="Times New Roman" w:hAnsi="Times New Roman" w:cs="Times New Roman"/>
          <w:color w:val="000000"/>
          <w:sz w:val="24"/>
          <w:szCs w:val="24"/>
          <w:lang/>
        </w:rPr>
        <w:t>а) на таке підприємство не поширюється спеціальний режим оподаткування, встановлений цією статтею. Таке підприємство зобов'язане визначити податкове зобов'язання з цього податку за підсумками звітного податкового періоду, в якому було допущено таке перевищення, і сплатити податок до бюджету в загальному порядку;</w:t>
      </w:r>
    </w:p>
    <w:p w14:paraId="31565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4" w:name="n5215"/>
      <w:bookmarkEnd w:id="6424"/>
      <w:r w:rsidRPr="008B264B">
        <w:rPr>
          <w:rFonts w:ascii="Times New Roman" w:eastAsia="Times New Roman" w:hAnsi="Times New Roman" w:cs="Times New Roman"/>
          <w:color w:val="000000"/>
          <w:sz w:val="24"/>
          <w:szCs w:val="24"/>
          <w:lang/>
        </w:rPr>
        <w:t>б) контролюючий орган виключає таке підприємство з реєстру суб'єктів спеціального режиму оподаткування та може повторно включити його до такого реєстру після закінчення наступних 12 послідовних звітних податкових періодів за наявності підстав, визначених цією статтею;</w:t>
      </w:r>
    </w:p>
    <w:p w14:paraId="5985F1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5" w:name="n5216"/>
      <w:bookmarkEnd w:id="6425"/>
      <w:r w:rsidRPr="008B264B">
        <w:rPr>
          <w:rFonts w:ascii="Times New Roman" w:eastAsia="Times New Roman" w:hAnsi="Times New Roman" w:cs="Times New Roman"/>
          <w:color w:val="000000"/>
          <w:sz w:val="24"/>
          <w:szCs w:val="24"/>
          <w:lang/>
        </w:rPr>
        <w:t>в) таке підприємство вважається платником зазначеного податку на загальних підставах з першого числа місяця, в якому було допущено таке перевищення.</w:t>
      </w:r>
    </w:p>
    <w:p w14:paraId="029A88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6" w:name="n5217"/>
      <w:bookmarkEnd w:id="6426"/>
      <w:r w:rsidRPr="008B264B">
        <w:rPr>
          <w:rFonts w:ascii="Times New Roman" w:eastAsia="Times New Roman" w:hAnsi="Times New Roman" w:cs="Times New Roman"/>
          <w:color w:val="000000"/>
          <w:sz w:val="24"/>
          <w:szCs w:val="24"/>
          <w:lang/>
        </w:rPr>
        <w:t xml:space="preserve">Якщо суб'єкти спеціального режиму оподаткування не можуть самостійно покрити збитки, що виникли внаслідок дії обставин непереборної сили, такі суб'єкти мають право продовжити </w:t>
      </w:r>
      <w:r w:rsidRPr="008B264B">
        <w:rPr>
          <w:rFonts w:ascii="Times New Roman" w:eastAsia="Times New Roman" w:hAnsi="Times New Roman" w:cs="Times New Roman"/>
          <w:color w:val="000000"/>
          <w:sz w:val="24"/>
          <w:szCs w:val="24"/>
          <w:lang/>
        </w:rPr>
        <w:lastRenderedPageBreak/>
        <w:t>строк застосування спеціального режиму оподаткування без дотримання розміру питомої ваги, встановленої цим пунктом.</w:t>
      </w:r>
    </w:p>
    <w:p w14:paraId="7D6E1C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7" w:name="n5218"/>
      <w:bookmarkEnd w:id="6427"/>
      <w:r w:rsidRPr="008B264B">
        <w:rPr>
          <w:rFonts w:ascii="Times New Roman" w:eastAsia="Times New Roman" w:hAnsi="Times New Roman" w:cs="Times New Roman"/>
          <w:color w:val="000000"/>
          <w:sz w:val="24"/>
          <w:szCs w:val="24"/>
          <w:lang/>
        </w:rPr>
        <w:t>Це правило не застосовується, якщо ризики втрати товарів (запасів) були належно застраховані. У такому випадку суми одержаних страхових виплат враховуються при визначенні питомої ваги вартості сільськогосподарських товарів/послуг у загальному обсязі постачання за відповідний звітний період.</w:t>
      </w:r>
    </w:p>
    <w:p w14:paraId="04451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8" w:name="n5219"/>
      <w:bookmarkEnd w:id="6428"/>
      <w:r w:rsidRPr="008B264B">
        <w:rPr>
          <w:rFonts w:ascii="Times New Roman" w:eastAsia="Times New Roman" w:hAnsi="Times New Roman" w:cs="Times New Roman"/>
          <w:color w:val="000000"/>
          <w:sz w:val="24"/>
          <w:szCs w:val="24"/>
          <w:lang/>
        </w:rPr>
        <w:t>Рішення про наявність обставин непереборної сили, перелік суб'єктів, що постраждали внаслідок таких обставин, та терміни застосування спеціального режиму оподаткування без дотримання розміру питомої ваги, встановленої цим пунктом, визначаються Верховною Радою Автономної Республіки Крим, обласними радами.</w:t>
      </w:r>
    </w:p>
    <w:p w14:paraId="6A85AB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29" w:name="n5220"/>
      <w:bookmarkEnd w:id="6429"/>
      <w:r w:rsidRPr="008B264B">
        <w:rPr>
          <w:rFonts w:ascii="Times New Roman" w:eastAsia="Times New Roman" w:hAnsi="Times New Roman" w:cs="Times New Roman"/>
          <w:color w:val="000000"/>
          <w:sz w:val="24"/>
          <w:szCs w:val="24"/>
          <w:lang/>
        </w:rPr>
        <w:t>Норми цього пункту починають застосовуватися після закінчення терміну, визначеного Верховною Радою Автономної Республіки Крим, обласними радами.</w:t>
      </w:r>
    </w:p>
    <w:p w14:paraId="250F02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0" w:name="n5221"/>
      <w:bookmarkEnd w:id="6430"/>
      <w:r w:rsidRPr="008B264B">
        <w:rPr>
          <w:rFonts w:ascii="Times New Roman" w:eastAsia="Times New Roman" w:hAnsi="Times New Roman" w:cs="Times New Roman"/>
          <w:color w:val="000000"/>
          <w:sz w:val="24"/>
          <w:szCs w:val="24"/>
          <w:lang/>
        </w:rPr>
        <w:t>209.12. Сільськогосподарське підприємство виключається з реєстру суб’єктів спеціального режиму оподаткування у разі, коли:</w:t>
      </w:r>
    </w:p>
    <w:p w14:paraId="4BE519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1" w:name="n9559"/>
      <w:bookmarkEnd w:id="6431"/>
      <w:r w:rsidRPr="008B264B">
        <w:rPr>
          <w:rFonts w:ascii="Times New Roman" w:eastAsia="Times New Roman" w:hAnsi="Times New Roman" w:cs="Times New Roman"/>
          <w:color w:val="000000"/>
          <w:sz w:val="24"/>
          <w:szCs w:val="24"/>
          <w:lang/>
        </w:rPr>
        <w:t>а) підприємство подає заяву про зняття його з реєстрації як суб’єкта спеціального режиму оподаткування та/або про його реєстрацію як платника зазначеного податку на загальних підставах;</w:t>
      </w:r>
    </w:p>
    <w:p w14:paraId="2F099D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2" w:name="n9560"/>
      <w:bookmarkEnd w:id="6432"/>
      <w:r w:rsidRPr="008B264B">
        <w:rPr>
          <w:rFonts w:ascii="Times New Roman" w:eastAsia="Times New Roman" w:hAnsi="Times New Roman" w:cs="Times New Roman"/>
          <w:color w:val="000000"/>
          <w:sz w:val="24"/>
          <w:szCs w:val="24"/>
          <w:lang/>
        </w:rPr>
        <w:t>б) підприємство підлягає реєстрації як платник податку на загальних підставах;</w:t>
      </w:r>
    </w:p>
    <w:p w14:paraId="1EF9BB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3" w:name="n9561"/>
      <w:bookmarkEnd w:id="6433"/>
      <w:r w:rsidRPr="008B264B">
        <w:rPr>
          <w:rFonts w:ascii="Times New Roman" w:eastAsia="Times New Roman" w:hAnsi="Times New Roman" w:cs="Times New Roman"/>
          <w:color w:val="000000"/>
          <w:sz w:val="24"/>
          <w:szCs w:val="24"/>
          <w:lang/>
        </w:rPr>
        <w:t>в) щодо підприємства прийняте рішення про припинення шляхом ліквідації або реорганізації.</w:t>
      </w:r>
    </w:p>
    <w:p w14:paraId="6D98B2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4" w:name="n9562"/>
      <w:bookmarkEnd w:id="6434"/>
      <w:r w:rsidRPr="008B264B">
        <w:rPr>
          <w:rFonts w:ascii="Times New Roman" w:eastAsia="Times New Roman" w:hAnsi="Times New Roman" w:cs="Times New Roman"/>
          <w:color w:val="000000"/>
          <w:sz w:val="24"/>
          <w:szCs w:val="24"/>
          <w:lang/>
        </w:rPr>
        <w:t>За наявності підстав, визначених у підпунктах "а", "б" цього пункту, сільськогосподарське підприємство знімається з реєстрації як суб’єкт спеціального режиму оподаткування з одночасною реєстрацією як платник податку на загальних підставах.</w:t>
      </w:r>
    </w:p>
    <w:p w14:paraId="160760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5" w:name="n9563"/>
      <w:bookmarkEnd w:id="6435"/>
      <w:r w:rsidRPr="008B264B">
        <w:rPr>
          <w:rFonts w:ascii="Times New Roman" w:eastAsia="Times New Roman" w:hAnsi="Times New Roman" w:cs="Times New Roman"/>
          <w:color w:val="000000"/>
          <w:sz w:val="24"/>
          <w:szCs w:val="24"/>
          <w:lang/>
        </w:rPr>
        <w:t>За наявності підстав, визначених у </w:t>
      </w:r>
      <w:hyperlink r:id="rId3621" w:anchor="n4448" w:history="1">
        <w:r w:rsidRPr="008B264B">
          <w:rPr>
            <w:rFonts w:ascii="Times New Roman" w:eastAsia="Times New Roman" w:hAnsi="Times New Roman" w:cs="Times New Roman"/>
            <w:color w:val="0000FF"/>
            <w:sz w:val="24"/>
            <w:szCs w:val="24"/>
            <w:u w:val="single"/>
            <w:lang/>
          </w:rPr>
          <w:t>пункті 184.1</w:t>
        </w:r>
      </w:hyperlink>
      <w:r w:rsidRPr="008B264B">
        <w:rPr>
          <w:rFonts w:ascii="Times New Roman" w:eastAsia="Times New Roman" w:hAnsi="Times New Roman" w:cs="Times New Roman"/>
          <w:color w:val="000000"/>
          <w:sz w:val="24"/>
          <w:szCs w:val="24"/>
          <w:lang/>
        </w:rPr>
        <w:t> статті 184 цього Кодексу (за винятком підстави, визначеної у підпункті "є" пункту 184.1 статті 184 цього Кодексу), проводиться анулювання реєстрації сільськогосподарського підприємства як платника податку на загальних підставах та суб’єкта спеціального режиму оподаткування з дотриманням правил та у строки, що визначені статтею 184 цього Кодексу.</w:t>
      </w:r>
    </w:p>
    <w:p w14:paraId="3414E4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6" w:name="n9558"/>
      <w:bookmarkEnd w:id="6436"/>
      <w:r w:rsidRPr="008B264B">
        <w:rPr>
          <w:rFonts w:ascii="Times New Roman" w:eastAsia="Times New Roman" w:hAnsi="Times New Roman" w:cs="Times New Roman"/>
          <w:i/>
          <w:iCs/>
          <w:color w:val="000000"/>
          <w:sz w:val="24"/>
          <w:szCs w:val="24"/>
          <w:lang/>
        </w:rPr>
        <w:t>{Пункт 209.12 статті 209 в редакції Закону </w:t>
      </w:r>
      <w:hyperlink r:id="rId3622" w:anchor="n14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09794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7" w:name="n5227"/>
      <w:bookmarkEnd w:id="6437"/>
      <w:r w:rsidRPr="008B264B">
        <w:rPr>
          <w:rFonts w:ascii="Times New Roman" w:eastAsia="Times New Roman" w:hAnsi="Times New Roman" w:cs="Times New Roman"/>
          <w:color w:val="000000"/>
          <w:sz w:val="24"/>
          <w:szCs w:val="24"/>
          <w:lang/>
        </w:rPr>
        <w:t>209.13. Сільськогосподарське підприємство - суб'єкт спеціального режиму оподаткування подає податкову декларацію у строки та в порядку, що встановлені для інших платників податку. Форма податкової декларації, яка подається сільськогосподарським підприємством - суб'єктом спеціального режиму оподаткування, затверджується відповідно до </w:t>
      </w:r>
      <w:hyperlink r:id="rId3623" w:anchor="n5118" w:history="1">
        <w:r w:rsidRPr="008B264B">
          <w:rPr>
            <w:rFonts w:ascii="Times New Roman" w:eastAsia="Times New Roman" w:hAnsi="Times New Roman" w:cs="Times New Roman"/>
            <w:color w:val="0000FF"/>
            <w:sz w:val="24"/>
            <w:szCs w:val="24"/>
            <w:u w:val="single"/>
            <w:lang/>
          </w:rPr>
          <w:t>пункту 201.15</w:t>
        </w:r>
      </w:hyperlink>
      <w:r w:rsidRPr="008B264B">
        <w:rPr>
          <w:rFonts w:ascii="Times New Roman" w:eastAsia="Times New Roman" w:hAnsi="Times New Roman" w:cs="Times New Roman"/>
          <w:color w:val="000000"/>
          <w:sz w:val="24"/>
          <w:szCs w:val="24"/>
          <w:lang/>
        </w:rPr>
        <w:t> статті 201 цього Кодексу.</w:t>
      </w:r>
    </w:p>
    <w:p w14:paraId="7229DA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8" w:name="n5228"/>
      <w:bookmarkEnd w:id="6438"/>
      <w:r w:rsidRPr="008B264B">
        <w:rPr>
          <w:rFonts w:ascii="Times New Roman" w:eastAsia="Times New Roman" w:hAnsi="Times New Roman" w:cs="Times New Roman"/>
          <w:color w:val="000000"/>
          <w:sz w:val="24"/>
          <w:szCs w:val="24"/>
          <w:lang/>
        </w:rPr>
        <w:t>209.14. Сільськогосподарське підприємство - суб'єкт спеціального режиму оподаткування здійснює оподаткування операцій з продажу (постачання) сільськогосподарської продукції за ставкою, визначеною </w:t>
      </w:r>
      <w:hyperlink r:id="rId3624" w:anchor="n4635" w:history="1">
        <w:r w:rsidRPr="008B264B">
          <w:rPr>
            <w:rFonts w:ascii="Times New Roman" w:eastAsia="Times New Roman" w:hAnsi="Times New Roman" w:cs="Times New Roman"/>
            <w:color w:val="0000FF"/>
            <w:sz w:val="24"/>
            <w:szCs w:val="24"/>
            <w:u w:val="single"/>
            <w:lang/>
          </w:rPr>
          <w:t>підпунктом "а" пункту 193.1</w:t>
        </w:r>
      </w:hyperlink>
      <w:r w:rsidRPr="008B264B">
        <w:rPr>
          <w:rFonts w:ascii="Times New Roman" w:eastAsia="Times New Roman" w:hAnsi="Times New Roman" w:cs="Times New Roman"/>
          <w:color w:val="000000"/>
          <w:sz w:val="24"/>
          <w:szCs w:val="24"/>
          <w:lang/>
        </w:rPr>
        <w:t> статті 193 цього Кодексу.</w:t>
      </w:r>
    </w:p>
    <w:p w14:paraId="4AB164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39" w:name="n5229"/>
      <w:bookmarkEnd w:id="6439"/>
      <w:r w:rsidRPr="008B264B">
        <w:rPr>
          <w:rFonts w:ascii="Times New Roman" w:eastAsia="Times New Roman" w:hAnsi="Times New Roman" w:cs="Times New Roman"/>
          <w:color w:val="000000"/>
          <w:sz w:val="24"/>
          <w:szCs w:val="24"/>
          <w:lang/>
        </w:rPr>
        <w:t>У разі експорту сільськогосподарської продукції застосовується ставка податку, визначена </w:t>
      </w:r>
      <w:hyperlink r:id="rId3625" w:anchor="n4636" w:history="1">
        <w:r w:rsidRPr="008B264B">
          <w:rPr>
            <w:rFonts w:ascii="Times New Roman" w:eastAsia="Times New Roman" w:hAnsi="Times New Roman" w:cs="Times New Roman"/>
            <w:color w:val="0000FF"/>
            <w:sz w:val="24"/>
            <w:szCs w:val="24"/>
            <w:u w:val="single"/>
            <w:lang/>
          </w:rPr>
          <w:t>підпунктом "б" пункту 193.1</w:t>
        </w:r>
      </w:hyperlink>
      <w:r w:rsidRPr="008B264B">
        <w:rPr>
          <w:rFonts w:ascii="Times New Roman" w:eastAsia="Times New Roman" w:hAnsi="Times New Roman" w:cs="Times New Roman"/>
          <w:color w:val="000000"/>
          <w:sz w:val="24"/>
          <w:szCs w:val="24"/>
          <w:lang/>
        </w:rPr>
        <w:t> статті 193 цього Кодексу.</w:t>
      </w:r>
    </w:p>
    <w:p w14:paraId="1279C9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0" w:name="n5230"/>
      <w:bookmarkEnd w:id="6440"/>
      <w:r w:rsidRPr="008B264B">
        <w:rPr>
          <w:rFonts w:ascii="Times New Roman" w:eastAsia="Times New Roman" w:hAnsi="Times New Roman" w:cs="Times New Roman"/>
          <w:color w:val="000000"/>
          <w:sz w:val="24"/>
          <w:szCs w:val="24"/>
          <w:lang/>
        </w:rPr>
        <w:t>209.15. Для цілей цієї статті застосовуються такі терміни:</w:t>
      </w:r>
    </w:p>
    <w:p w14:paraId="6543EC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1" w:name="n5231"/>
      <w:bookmarkEnd w:id="6441"/>
      <w:r w:rsidRPr="008B264B">
        <w:rPr>
          <w:rFonts w:ascii="Times New Roman" w:eastAsia="Times New Roman" w:hAnsi="Times New Roman" w:cs="Times New Roman"/>
          <w:color w:val="000000"/>
          <w:sz w:val="24"/>
          <w:szCs w:val="24"/>
          <w:lang/>
        </w:rPr>
        <w:t>209.15.1. виробничі фактори, за рахунок яких сформовано податковий кредит:</w:t>
      </w:r>
    </w:p>
    <w:p w14:paraId="79D3CF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2" w:name="n5232"/>
      <w:bookmarkEnd w:id="6442"/>
      <w:r w:rsidRPr="008B264B">
        <w:rPr>
          <w:rFonts w:ascii="Times New Roman" w:eastAsia="Times New Roman" w:hAnsi="Times New Roman" w:cs="Times New Roman"/>
          <w:color w:val="000000"/>
          <w:sz w:val="24"/>
          <w:szCs w:val="24"/>
          <w:lang/>
        </w:rPr>
        <w:t>а) товари/послуги, які придбаваються сільськогосподарським підприємством для їх використання у виробництві сільськогосподарської продукції, а також основні фонди, які придбаваються (споруджуються) з метою їх використання у виробництві сільськогосподарської продукції.</w:t>
      </w:r>
    </w:p>
    <w:p w14:paraId="4DC576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3" w:name="n5233"/>
      <w:bookmarkEnd w:id="6443"/>
      <w:r w:rsidRPr="008B264B">
        <w:rPr>
          <w:rFonts w:ascii="Times New Roman" w:eastAsia="Times New Roman" w:hAnsi="Times New Roman" w:cs="Times New Roman"/>
          <w:color w:val="000000"/>
          <w:sz w:val="24"/>
          <w:szCs w:val="24"/>
          <w:lang/>
        </w:rPr>
        <w:lastRenderedPageBreak/>
        <w:t>У разі якщо товари/послуги, основні фонди, виготовлені та/або придбані, використовуються сільськогосподарським підприємством частково для виробництва сільськогосподарських товарів/послуг, у тому числі зернових і технічних культур, та/або продукції тваринництва, а частково для інших товарів/послуг, сума сплаченого (нарахованого) податкового кредиту розподіляється виходячи з питомої ваги вартості таких сільськогосподарських товарів/послуг у загальній вартості всіх товарів/послуг, поставлених за 12 попередніх послідовних звітних (податкових) періодів.</w:t>
      </w:r>
    </w:p>
    <w:p w14:paraId="2B5359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4" w:name="n5234"/>
      <w:bookmarkEnd w:id="6444"/>
      <w:r w:rsidRPr="008B264B">
        <w:rPr>
          <w:rFonts w:ascii="Times New Roman" w:eastAsia="Times New Roman" w:hAnsi="Times New Roman" w:cs="Times New Roman"/>
          <w:i/>
          <w:iCs/>
          <w:color w:val="000000"/>
          <w:sz w:val="24"/>
          <w:szCs w:val="24"/>
          <w:lang/>
        </w:rPr>
        <w:t>{Абзац другий підпункту "а" підпункту 209.15.1 пункту 209.15 статті 209 із змінами, внесеними згідно із Законом </w:t>
      </w:r>
      <w:hyperlink r:id="rId3626" w:anchor="n34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3627" w:anchor="n33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7A592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5" w:name="n5235"/>
      <w:bookmarkEnd w:id="6445"/>
      <w:r w:rsidRPr="008B264B">
        <w:rPr>
          <w:rFonts w:ascii="Times New Roman" w:eastAsia="Times New Roman" w:hAnsi="Times New Roman" w:cs="Times New Roman"/>
          <w:color w:val="000000"/>
          <w:sz w:val="24"/>
          <w:szCs w:val="24"/>
          <w:lang/>
        </w:rPr>
        <w:t>У разі якщо товари/послуги, основні фонди, виготовлені та/або придбані, використовуються сільськогосподарським підприємством частково для виробництва зернових культур і технічних культур, та/або частково для виробництва продукції тваринництва, та/або частково для інших сільськогосподарських товарів/послуг, сума сплаченого (нарахованого) податкового кредиту розподіляється виходячи з питомої ваги вартості таких зернових і технічних культур, продукції тваринництва та інших сільськогосподарських товарів/послуг у загальній вартості усіх сільськогосподарських товарів/послуг, поставлених за 12 попередніх послідовних звітних (податкових) періодів;</w:t>
      </w:r>
    </w:p>
    <w:p w14:paraId="65E89A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6" w:name="n5236"/>
      <w:bookmarkEnd w:id="6446"/>
      <w:r w:rsidRPr="008B264B">
        <w:rPr>
          <w:rFonts w:ascii="Times New Roman" w:eastAsia="Times New Roman" w:hAnsi="Times New Roman" w:cs="Times New Roman"/>
          <w:i/>
          <w:iCs/>
          <w:color w:val="000000"/>
          <w:sz w:val="24"/>
          <w:szCs w:val="24"/>
          <w:lang/>
        </w:rPr>
        <w:t>{Підпункт "а" підпункту 209.15.1 пункту 209.15 статті 209 доповнено абзацом третім згідно із Законом </w:t>
      </w:r>
      <w:hyperlink r:id="rId3628" w:anchor="n34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3629" w:anchor="n33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76CFD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7" w:name="n5237"/>
      <w:bookmarkEnd w:id="6447"/>
      <w:r w:rsidRPr="008B264B">
        <w:rPr>
          <w:rFonts w:ascii="Times New Roman" w:eastAsia="Times New Roman" w:hAnsi="Times New Roman" w:cs="Times New Roman"/>
          <w:color w:val="000000"/>
          <w:sz w:val="24"/>
          <w:szCs w:val="24"/>
          <w:lang/>
        </w:rPr>
        <w:t>б) послуги, супутні постачанню сільськогосподарського товару, який вирощується, відгодовується, виловлюється або збирається (заготовлюється) безпосередньо платником податку:</w:t>
      </w:r>
    </w:p>
    <w:p w14:paraId="1B456B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8" w:name="n5238"/>
      <w:bookmarkEnd w:id="6448"/>
      <w:r w:rsidRPr="008B264B">
        <w:rPr>
          <w:rFonts w:ascii="Times New Roman" w:eastAsia="Times New Roman" w:hAnsi="Times New Roman" w:cs="Times New Roman"/>
          <w:color w:val="000000"/>
          <w:sz w:val="24"/>
          <w:szCs w:val="24"/>
          <w:lang/>
        </w:rPr>
        <w:t>сіяння та саджання рослин, збирання врожаю, його брикетування чи складування, проведення інших польових робіт, включаючи внесення добрив та засобів захисту рослин;</w:t>
      </w:r>
    </w:p>
    <w:p w14:paraId="51404E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49" w:name="n5239"/>
      <w:bookmarkEnd w:id="6449"/>
      <w:r w:rsidRPr="008B264B">
        <w:rPr>
          <w:rFonts w:ascii="Times New Roman" w:eastAsia="Times New Roman" w:hAnsi="Times New Roman" w:cs="Times New Roman"/>
          <w:color w:val="000000"/>
          <w:sz w:val="24"/>
          <w:szCs w:val="24"/>
          <w:lang/>
        </w:rPr>
        <w:t>пакування та підготовка до продажу, у тому числі сушіння, очищення, розмелювання, дезінфекція та силосування сільськогосподарської продукції (01.41.0 </w:t>
      </w:r>
      <w:hyperlink r:id="rId3630"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2B2358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0" w:name="n5240"/>
      <w:bookmarkEnd w:id="6450"/>
      <w:r w:rsidRPr="008B264B">
        <w:rPr>
          <w:rFonts w:ascii="Times New Roman" w:eastAsia="Times New Roman" w:hAnsi="Times New Roman" w:cs="Times New Roman"/>
          <w:color w:val="000000"/>
          <w:sz w:val="24"/>
          <w:szCs w:val="24"/>
          <w:lang/>
        </w:rPr>
        <w:t>зберігання сільськогосподарської продукції;</w:t>
      </w:r>
    </w:p>
    <w:p w14:paraId="05FD00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1" w:name="n5241"/>
      <w:bookmarkEnd w:id="6451"/>
      <w:r w:rsidRPr="008B264B">
        <w:rPr>
          <w:rFonts w:ascii="Times New Roman" w:eastAsia="Times New Roman" w:hAnsi="Times New Roman" w:cs="Times New Roman"/>
          <w:color w:val="000000"/>
          <w:sz w:val="24"/>
          <w:szCs w:val="24"/>
          <w:lang/>
        </w:rPr>
        <w:t>вирощування, розведення, відгодівля та забій свійських сільськогосподарських тварин, застосування засобів захисту тварин, проведення протиепізоотичних заходів;</w:t>
      </w:r>
    </w:p>
    <w:p w14:paraId="560B7D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2" w:name="n5242"/>
      <w:bookmarkEnd w:id="6452"/>
      <w:r w:rsidRPr="008B264B">
        <w:rPr>
          <w:rFonts w:ascii="Times New Roman" w:eastAsia="Times New Roman" w:hAnsi="Times New Roman" w:cs="Times New Roman"/>
          <w:color w:val="000000"/>
          <w:sz w:val="24"/>
          <w:szCs w:val="24"/>
          <w:lang/>
        </w:rPr>
        <w:t>отримання послуг з використання сільськогосподарської техніки, крім отримання її у фінансову оренду (лізинг);</w:t>
      </w:r>
    </w:p>
    <w:p w14:paraId="11D805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3" w:name="n5243"/>
      <w:bookmarkEnd w:id="6453"/>
      <w:r w:rsidRPr="008B264B">
        <w:rPr>
          <w:rFonts w:ascii="Times New Roman" w:eastAsia="Times New Roman" w:hAnsi="Times New Roman" w:cs="Times New Roman"/>
          <w:color w:val="000000"/>
          <w:sz w:val="24"/>
          <w:szCs w:val="24"/>
          <w:lang/>
        </w:rPr>
        <w:t>отримання послуг, супутніх веденню сільськогосподарської діяльності, а саме з питань оподаткування, бухгалтерської звітності та обліку, організації внутрішнього виробничого управління (74.14.0 </w:t>
      </w:r>
      <w:hyperlink r:id="rId3631"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275636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4" w:name="n5244"/>
      <w:bookmarkEnd w:id="6454"/>
      <w:r w:rsidRPr="008B264B">
        <w:rPr>
          <w:rFonts w:ascii="Times New Roman" w:eastAsia="Times New Roman" w:hAnsi="Times New Roman" w:cs="Times New Roman"/>
          <w:color w:val="000000"/>
          <w:sz w:val="24"/>
          <w:szCs w:val="24"/>
          <w:lang/>
        </w:rPr>
        <w:t>знищення бур'яну та шкідливих комах, оброблення посівів і сільськогосподарських площ засобами захисту рослин, а також використання засобів захисту тварин;</w:t>
      </w:r>
    </w:p>
    <w:p w14:paraId="3169C3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5" w:name="n5245"/>
      <w:bookmarkEnd w:id="6455"/>
      <w:r w:rsidRPr="008B264B">
        <w:rPr>
          <w:rFonts w:ascii="Times New Roman" w:eastAsia="Times New Roman" w:hAnsi="Times New Roman" w:cs="Times New Roman"/>
          <w:color w:val="000000"/>
          <w:sz w:val="24"/>
          <w:szCs w:val="24"/>
          <w:lang/>
        </w:rPr>
        <w:t>експлуатація меліоративних зрошувальних та осушувальних систем для посівних площ і сільськогосподарських угідь;</w:t>
      </w:r>
    </w:p>
    <w:p w14:paraId="41868C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6" w:name="n5246"/>
      <w:bookmarkEnd w:id="6456"/>
      <w:r w:rsidRPr="008B264B">
        <w:rPr>
          <w:rFonts w:ascii="Times New Roman" w:eastAsia="Times New Roman" w:hAnsi="Times New Roman" w:cs="Times New Roman"/>
          <w:color w:val="000000"/>
          <w:sz w:val="24"/>
          <w:szCs w:val="24"/>
          <w:lang/>
        </w:rPr>
        <w:t>розділ м'яса для товарної кондиції;</w:t>
      </w:r>
    </w:p>
    <w:p w14:paraId="61D4E4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7" w:name="n5247"/>
      <w:bookmarkEnd w:id="6457"/>
      <w:r w:rsidRPr="008B264B">
        <w:rPr>
          <w:rFonts w:ascii="Times New Roman" w:eastAsia="Times New Roman" w:hAnsi="Times New Roman" w:cs="Times New Roman"/>
          <w:color w:val="000000"/>
          <w:sz w:val="24"/>
          <w:szCs w:val="24"/>
          <w:lang/>
        </w:rPr>
        <w:t>209.15.2. діяльність у сфері сільського господарства:</w:t>
      </w:r>
    </w:p>
    <w:p w14:paraId="3F3C99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8" w:name="n5248"/>
      <w:bookmarkEnd w:id="6458"/>
      <w:r w:rsidRPr="008B264B">
        <w:rPr>
          <w:rFonts w:ascii="Times New Roman" w:eastAsia="Times New Roman" w:hAnsi="Times New Roman" w:cs="Times New Roman"/>
          <w:color w:val="000000"/>
          <w:sz w:val="24"/>
          <w:szCs w:val="24"/>
          <w:lang/>
        </w:rPr>
        <w:t>а) виробництво продукції рослинництва, а саме рослинних культур, а також вирощування фруктів та овочів, квітів та декоративних рослин (у відкритих або закритих ґрунтах), грибів, насіння, прянощів, саджанців та водоростей, а також їх обробка, переробка та/або консервація;</w:t>
      </w:r>
    </w:p>
    <w:p w14:paraId="12DC0B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59" w:name="n5249"/>
      <w:bookmarkEnd w:id="6459"/>
      <w:r w:rsidRPr="008B264B">
        <w:rPr>
          <w:rFonts w:ascii="Times New Roman" w:eastAsia="Times New Roman" w:hAnsi="Times New Roman" w:cs="Times New Roman"/>
          <w:color w:val="000000"/>
          <w:sz w:val="24"/>
          <w:szCs w:val="24"/>
          <w:lang/>
        </w:rPr>
        <w:t xml:space="preserve">б) виробництво продукції тваринництва, а саме свійських сільськогосподарських тварин, птахівництва, кролівництва, бджільництва, а також розведення шовкопрядів, змій та інших </w:t>
      </w:r>
      <w:r w:rsidRPr="008B264B">
        <w:rPr>
          <w:rFonts w:ascii="Times New Roman" w:eastAsia="Times New Roman" w:hAnsi="Times New Roman" w:cs="Times New Roman"/>
          <w:color w:val="000000"/>
          <w:sz w:val="24"/>
          <w:szCs w:val="24"/>
          <w:lang/>
        </w:rPr>
        <w:lastRenderedPageBreak/>
        <w:t>плазунів або слимаків та інших наземних ссавців, безхребетних та комах, а також їх обробка, переробка та/або консервація;</w:t>
      </w:r>
    </w:p>
    <w:p w14:paraId="1EC211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0" w:name="n5250"/>
      <w:bookmarkEnd w:id="6460"/>
      <w:r w:rsidRPr="008B264B">
        <w:rPr>
          <w:rFonts w:ascii="Times New Roman" w:eastAsia="Times New Roman" w:hAnsi="Times New Roman" w:cs="Times New Roman"/>
          <w:color w:val="000000"/>
          <w:sz w:val="24"/>
          <w:szCs w:val="24"/>
          <w:lang/>
        </w:rPr>
        <w:t>в) надання послуг іншим сільгосптоваровиробникам (юридичним особам) та/або фізичним особам з використанням сільськогосподарської техніки, крім надання її у фінансову оренду (лізинг);</w:t>
      </w:r>
    </w:p>
    <w:p w14:paraId="162E36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1" w:name="n5251"/>
      <w:bookmarkEnd w:id="6461"/>
      <w:r w:rsidRPr="008B264B">
        <w:rPr>
          <w:rFonts w:ascii="Times New Roman" w:eastAsia="Times New Roman" w:hAnsi="Times New Roman" w:cs="Times New Roman"/>
          <w:i/>
          <w:iCs/>
          <w:color w:val="000000"/>
          <w:sz w:val="24"/>
          <w:szCs w:val="24"/>
          <w:lang/>
        </w:rPr>
        <w:t>{Підпункт "в" підпункту 209.15.2 пункту 209.15 статті 209 в редакції Закону </w:t>
      </w:r>
      <w:hyperlink r:id="rId363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5F56B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2" w:name="n5252"/>
      <w:bookmarkEnd w:id="6462"/>
      <w:r w:rsidRPr="008B264B">
        <w:rPr>
          <w:rFonts w:ascii="Times New Roman" w:eastAsia="Times New Roman" w:hAnsi="Times New Roman" w:cs="Times New Roman"/>
          <w:color w:val="000000"/>
          <w:sz w:val="24"/>
          <w:szCs w:val="24"/>
          <w:lang/>
        </w:rPr>
        <w:t>209.15.3. діяльність у сфері лісового господарства (лісництва):</w:t>
      </w:r>
    </w:p>
    <w:p w14:paraId="331A00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3" w:name="n5253"/>
      <w:bookmarkEnd w:id="6463"/>
      <w:r w:rsidRPr="008B264B">
        <w:rPr>
          <w:rFonts w:ascii="Times New Roman" w:eastAsia="Times New Roman" w:hAnsi="Times New Roman" w:cs="Times New Roman"/>
          <w:color w:val="000000"/>
          <w:sz w:val="24"/>
          <w:szCs w:val="24"/>
          <w:lang/>
        </w:rPr>
        <w:t>а) залісення, вирощування і догляд за деревами або чагарниками чи вирубування дерев та/або чагарників;</w:t>
      </w:r>
    </w:p>
    <w:p w14:paraId="079A18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4" w:name="n5254"/>
      <w:bookmarkEnd w:id="6464"/>
      <w:r w:rsidRPr="008B264B">
        <w:rPr>
          <w:rFonts w:ascii="Times New Roman" w:eastAsia="Times New Roman" w:hAnsi="Times New Roman" w:cs="Times New Roman"/>
          <w:color w:val="000000"/>
          <w:sz w:val="24"/>
          <w:szCs w:val="24"/>
          <w:lang/>
        </w:rPr>
        <w:t>б) збирання дикорослих грибів та ягід, інших дикорослих рослин, їх обробка та консервація;</w:t>
      </w:r>
    </w:p>
    <w:p w14:paraId="3D9DD9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5" w:name="n5255"/>
      <w:bookmarkEnd w:id="6465"/>
      <w:r w:rsidRPr="008B264B">
        <w:rPr>
          <w:rFonts w:ascii="Times New Roman" w:eastAsia="Times New Roman" w:hAnsi="Times New Roman" w:cs="Times New Roman"/>
          <w:color w:val="000000"/>
          <w:sz w:val="24"/>
          <w:szCs w:val="24"/>
          <w:lang/>
        </w:rPr>
        <w:t>209.15.4. діяльність у сфері рибальства:</w:t>
      </w:r>
    </w:p>
    <w:p w14:paraId="6B9F80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6" w:name="n5256"/>
      <w:bookmarkEnd w:id="6466"/>
      <w:r w:rsidRPr="008B264B">
        <w:rPr>
          <w:rFonts w:ascii="Times New Roman" w:eastAsia="Times New Roman" w:hAnsi="Times New Roman" w:cs="Times New Roman"/>
          <w:color w:val="000000"/>
          <w:sz w:val="24"/>
          <w:szCs w:val="24"/>
          <w:lang/>
        </w:rPr>
        <w:t>а) розведення та/або виловлення прісноводної (лиманної) риби чи інших прісноводних (лиманних) (05.02.0, 05.01.0 </w:t>
      </w:r>
      <w:hyperlink r:id="rId3633"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6115AE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7" w:name="n5257"/>
      <w:bookmarkEnd w:id="6467"/>
      <w:r w:rsidRPr="008B264B">
        <w:rPr>
          <w:rFonts w:ascii="Times New Roman" w:eastAsia="Times New Roman" w:hAnsi="Times New Roman" w:cs="Times New Roman"/>
          <w:color w:val="000000"/>
          <w:sz w:val="24"/>
          <w:szCs w:val="24"/>
          <w:lang/>
        </w:rPr>
        <w:t>б) розведення та виловлення морської або океанічної риби або безхребетних (05.02.0, 05.01.0 КВЕД);</w:t>
      </w:r>
    </w:p>
    <w:p w14:paraId="17CC7A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8" w:name="n5258"/>
      <w:bookmarkEnd w:id="6468"/>
      <w:r w:rsidRPr="008B264B">
        <w:rPr>
          <w:rFonts w:ascii="Times New Roman" w:eastAsia="Times New Roman" w:hAnsi="Times New Roman" w:cs="Times New Roman"/>
          <w:color w:val="000000"/>
          <w:sz w:val="24"/>
          <w:szCs w:val="24"/>
          <w:lang/>
        </w:rPr>
        <w:t>в) розведення та виловлювання мушель, устриць, ракоподібних, жаб, дикорослих водоростей;</w:t>
      </w:r>
    </w:p>
    <w:p w14:paraId="1A7E48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69" w:name="n5259"/>
      <w:bookmarkEnd w:id="6469"/>
      <w:r w:rsidRPr="008B264B">
        <w:rPr>
          <w:rFonts w:ascii="Times New Roman" w:eastAsia="Times New Roman" w:hAnsi="Times New Roman" w:cs="Times New Roman"/>
          <w:color w:val="000000"/>
          <w:sz w:val="24"/>
          <w:szCs w:val="24"/>
          <w:lang/>
        </w:rPr>
        <w:t>г) обробка та/або консервація риби або інших прісноводних чи морських безхребетних, мушель, устриць, ракоподібних, жаб, дикорослих водоростей;</w:t>
      </w:r>
    </w:p>
    <w:p w14:paraId="79B22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0" w:name="n5260"/>
      <w:bookmarkEnd w:id="6470"/>
      <w:r w:rsidRPr="008B264B">
        <w:rPr>
          <w:rFonts w:ascii="Times New Roman" w:eastAsia="Times New Roman" w:hAnsi="Times New Roman" w:cs="Times New Roman"/>
          <w:color w:val="000000"/>
          <w:sz w:val="24"/>
          <w:szCs w:val="24"/>
          <w:lang/>
        </w:rPr>
        <w:t>209.15.5. виробництво продукції на давальницьких умовах із сировини, яка вирощується, відгодовується, виловлюється або збирається (заготовлюється) безпосередньо платником податку, - це операція з постачання сільськогосподарської сировини замовником (власником) - суб'єктом спецрежиму виробникові (переробникові) та прийняття останнім для переробки (обробки, збагачення чи використання) на готову продукцію на виробничих потужностях такого виробника (переробника) за відповідну плату без отримання права власності на таку продукцію.</w:t>
      </w:r>
    </w:p>
    <w:p w14:paraId="429327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1" w:name="n5261"/>
      <w:bookmarkEnd w:id="6471"/>
      <w:r w:rsidRPr="008B264B">
        <w:rPr>
          <w:rFonts w:ascii="Times New Roman" w:eastAsia="Times New Roman" w:hAnsi="Times New Roman" w:cs="Times New Roman"/>
          <w:color w:val="000000"/>
          <w:sz w:val="24"/>
          <w:szCs w:val="24"/>
          <w:lang/>
        </w:rPr>
        <w:t>209.16. Обробка чи переробка продукції, одержаної в результаті діяльності платника податку у сфері сільського та лісового господарства і рибальства, вважається діяльністю у сфері сільського та лісового господарства і рибальства за умови, якщо така продукція вирощується, відгодовується, виловлюється або збирається (заготовлюється) безпосередньо платником податку (крім їх придбання в інших осіб) (05.01.0, 15.11.0, 15.12.0, 15.13.0, 15.20.0, 15.31.0, 15.32.0, 15.33.0, 15.41.0, 15.42.0, 15.43.0, 15.51.0, 15.61.0, 15.62.0, 15.71.0, 15.81.0, 15.83.0, 15.85.0 </w:t>
      </w:r>
      <w:hyperlink r:id="rId3634"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225F3A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2" w:name="n5262"/>
      <w:bookmarkEnd w:id="6472"/>
      <w:r w:rsidRPr="008B264B">
        <w:rPr>
          <w:rFonts w:ascii="Times New Roman" w:eastAsia="Times New Roman" w:hAnsi="Times New Roman" w:cs="Times New Roman"/>
          <w:color w:val="000000"/>
          <w:sz w:val="24"/>
          <w:szCs w:val="24"/>
          <w:lang/>
        </w:rPr>
        <w:t>209.17. Дія спеціального режиму оподаткування діяльності у сфері сільського та лісового господарства, а також рибальства поширюється на:</w:t>
      </w:r>
    </w:p>
    <w:p w14:paraId="3A5555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3" w:name="n5263"/>
      <w:bookmarkEnd w:id="6473"/>
      <w:r w:rsidRPr="008B264B">
        <w:rPr>
          <w:rFonts w:ascii="Times New Roman" w:eastAsia="Times New Roman" w:hAnsi="Times New Roman" w:cs="Times New Roman"/>
          <w:color w:val="000000"/>
          <w:sz w:val="24"/>
          <w:szCs w:val="24"/>
          <w:lang/>
        </w:rPr>
        <w:t>209.17.1. вирощування зернових та технічних культур (01.11.0 КВЕД):</w:t>
      </w:r>
    </w:p>
    <w:p w14:paraId="76CBCC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4" w:name="n5264"/>
      <w:bookmarkEnd w:id="6474"/>
      <w:r w:rsidRPr="008B264B">
        <w:rPr>
          <w:rFonts w:ascii="Times New Roman" w:eastAsia="Times New Roman" w:hAnsi="Times New Roman" w:cs="Times New Roman"/>
          <w:color w:val="000000"/>
          <w:sz w:val="24"/>
          <w:szCs w:val="24"/>
          <w:lang/>
        </w:rPr>
        <w:t>вирощування зернових культур на зерно для продовольчого споживання, на корм, на насіння;</w:t>
      </w:r>
    </w:p>
    <w:p w14:paraId="037847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5" w:name="n5265"/>
      <w:bookmarkEnd w:id="6475"/>
      <w:r w:rsidRPr="008B264B">
        <w:rPr>
          <w:rFonts w:ascii="Times New Roman" w:eastAsia="Times New Roman" w:hAnsi="Times New Roman" w:cs="Times New Roman"/>
          <w:color w:val="000000"/>
          <w:sz w:val="24"/>
          <w:szCs w:val="24"/>
          <w:lang/>
        </w:rPr>
        <w:t>вирощування бобових культур, які підлягатимуть сушінню, лущінню на зерно для продовольчого споживання, на корм, на насіння;</w:t>
      </w:r>
    </w:p>
    <w:p w14:paraId="3865FD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6" w:name="n5266"/>
      <w:bookmarkEnd w:id="6476"/>
      <w:r w:rsidRPr="008B264B">
        <w:rPr>
          <w:rFonts w:ascii="Times New Roman" w:eastAsia="Times New Roman" w:hAnsi="Times New Roman" w:cs="Times New Roman"/>
          <w:color w:val="000000"/>
          <w:sz w:val="24"/>
          <w:szCs w:val="24"/>
          <w:lang/>
        </w:rPr>
        <w:t>вирощування картоплі для продовольчого споживання, технічних цілей, на насіння;</w:t>
      </w:r>
    </w:p>
    <w:p w14:paraId="3BAD7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7" w:name="n5267"/>
      <w:bookmarkEnd w:id="6477"/>
      <w:r w:rsidRPr="008B264B">
        <w:rPr>
          <w:rFonts w:ascii="Times New Roman" w:eastAsia="Times New Roman" w:hAnsi="Times New Roman" w:cs="Times New Roman"/>
          <w:color w:val="000000"/>
          <w:sz w:val="24"/>
          <w:szCs w:val="24"/>
          <w:lang/>
        </w:rPr>
        <w:t>вирощування фабричного цукрового буряку;</w:t>
      </w:r>
    </w:p>
    <w:p w14:paraId="08D0C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8" w:name="n5268"/>
      <w:bookmarkEnd w:id="6478"/>
      <w:r w:rsidRPr="008B264B">
        <w:rPr>
          <w:rFonts w:ascii="Times New Roman" w:eastAsia="Times New Roman" w:hAnsi="Times New Roman" w:cs="Times New Roman"/>
          <w:color w:val="000000"/>
          <w:sz w:val="24"/>
          <w:szCs w:val="24"/>
          <w:lang/>
        </w:rPr>
        <w:t>вирощування тютюну і махорки, первинне оброблення листя (збирання, сушіння, сортування тощо), вирощування розсади;</w:t>
      </w:r>
    </w:p>
    <w:p w14:paraId="4CF815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79" w:name="n5269"/>
      <w:bookmarkEnd w:id="6479"/>
      <w:r w:rsidRPr="008B264B">
        <w:rPr>
          <w:rFonts w:ascii="Times New Roman" w:eastAsia="Times New Roman" w:hAnsi="Times New Roman" w:cs="Times New Roman"/>
          <w:color w:val="000000"/>
          <w:sz w:val="24"/>
          <w:szCs w:val="24"/>
          <w:lang/>
        </w:rPr>
        <w:lastRenderedPageBreak/>
        <w:t>вирощування насіння та плодів олійних культур (арахісу, сої, соняшнику, кользи, рапсу, рижію тощо) для продовольчого споживання, технічних цілей, а також на насіння;</w:t>
      </w:r>
    </w:p>
    <w:p w14:paraId="6450A2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0" w:name="n5270"/>
      <w:bookmarkEnd w:id="6480"/>
      <w:r w:rsidRPr="008B264B">
        <w:rPr>
          <w:rFonts w:ascii="Times New Roman" w:eastAsia="Times New Roman" w:hAnsi="Times New Roman" w:cs="Times New Roman"/>
          <w:color w:val="000000"/>
          <w:sz w:val="24"/>
          <w:szCs w:val="24"/>
          <w:lang/>
        </w:rPr>
        <w:t>вирощування однорічних і багаторічних трав на зелений корм, випас, сіно, сінаж і силос;</w:t>
      </w:r>
    </w:p>
    <w:p w14:paraId="047FBB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1" w:name="n5271"/>
      <w:bookmarkEnd w:id="6481"/>
      <w:r w:rsidRPr="008B264B">
        <w:rPr>
          <w:rFonts w:ascii="Times New Roman" w:eastAsia="Times New Roman" w:hAnsi="Times New Roman" w:cs="Times New Roman"/>
          <w:color w:val="000000"/>
          <w:sz w:val="24"/>
          <w:szCs w:val="24"/>
          <w:lang/>
        </w:rPr>
        <w:t>вирощування кормових коренеплодів (буряку, брукви, турнепсу тощо);</w:t>
      </w:r>
    </w:p>
    <w:p w14:paraId="33544F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2" w:name="n5272"/>
      <w:bookmarkEnd w:id="6482"/>
      <w:r w:rsidRPr="008B264B">
        <w:rPr>
          <w:rFonts w:ascii="Times New Roman" w:eastAsia="Times New Roman" w:hAnsi="Times New Roman" w:cs="Times New Roman"/>
          <w:color w:val="000000"/>
          <w:sz w:val="24"/>
          <w:szCs w:val="24"/>
          <w:lang/>
        </w:rPr>
        <w:t>вирощування баштанних кормових культур;</w:t>
      </w:r>
    </w:p>
    <w:p w14:paraId="446BC2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3" w:name="n5273"/>
      <w:bookmarkEnd w:id="6483"/>
      <w:r w:rsidRPr="008B264B">
        <w:rPr>
          <w:rFonts w:ascii="Times New Roman" w:eastAsia="Times New Roman" w:hAnsi="Times New Roman" w:cs="Times New Roman"/>
          <w:color w:val="000000"/>
          <w:sz w:val="24"/>
          <w:szCs w:val="24"/>
          <w:lang/>
        </w:rPr>
        <w:t>вирощування зернових і зернобобових, а також їх сумішей на зелений корм, випас, сіно, сінаж, силос;</w:t>
      </w:r>
    </w:p>
    <w:p w14:paraId="750D01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4" w:name="n5274"/>
      <w:bookmarkEnd w:id="6484"/>
      <w:r w:rsidRPr="008B264B">
        <w:rPr>
          <w:rFonts w:ascii="Times New Roman" w:eastAsia="Times New Roman" w:hAnsi="Times New Roman" w:cs="Times New Roman"/>
          <w:color w:val="000000"/>
          <w:sz w:val="24"/>
          <w:szCs w:val="24"/>
          <w:lang/>
        </w:rPr>
        <w:t>одержування насіння цукрового буряку та насіння кормових культур (включаючи трави);</w:t>
      </w:r>
    </w:p>
    <w:p w14:paraId="0F105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5" w:name="n5275"/>
      <w:bookmarkEnd w:id="6485"/>
      <w:r w:rsidRPr="008B264B">
        <w:rPr>
          <w:rFonts w:ascii="Times New Roman" w:eastAsia="Times New Roman" w:hAnsi="Times New Roman" w:cs="Times New Roman"/>
          <w:color w:val="000000"/>
          <w:sz w:val="24"/>
          <w:szCs w:val="24"/>
          <w:lang/>
        </w:rPr>
        <w:t>вирощування та первинне оброблення (замочування) прядивних культур;</w:t>
      </w:r>
    </w:p>
    <w:p w14:paraId="016567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6" w:name="n5276"/>
      <w:bookmarkEnd w:id="6486"/>
      <w:r w:rsidRPr="008B264B">
        <w:rPr>
          <w:rFonts w:ascii="Times New Roman" w:eastAsia="Times New Roman" w:hAnsi="Times New Roman" w:cs="Times New Roman"/>
          <w:color w:val="000000"/>
          <w:sz w:val="24"/>
          <w:szCs w:val="24"/>
          <w:lang/>
        </w:rPr>
        <w:t>вирощування ефіроолійних культур;</w:t>
      </w:r>
    </w:p>
    <w:p w14:paraId="2A5110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7" w:name="n5277"/>
      <w:bookmarkEnd w:id="6487"/>
      <w:r w:rsidRPr="008B264B">
        <w:rPr>
          <w:rFonts w:ascii="Times New Roman" w:eastAsia="Times New Roman" w:hAnsi="Times New Roman" w:cs="Times New Roman"/>
          <w:color w:val="000000"/>
          <w:sz w:val="24"/>
          <w:szCs w:val="24"/>
          <w:lang/>
        </w:rPr>
        <w:t>вирощування лікарських однорічних і багаторічних трав'янистих, напівчагарникових, ліано- та деревоподібних культур;</w:t>
      </w:r>
    </w:p>
    <w:p w14:paraId="02F295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8" w:name="n5278"/>
      <w:bookmarkEnd w:id="6488"/>
      <w:r w:rsidRPr="008B264B">
        <w:rPr>
          <w:rFonts w:ascii="Times New Roman" w:eastAsia="Times New Roman" w:hAnsi="Times New Roman" w:cs="Times New Roman"/>
          <w:color w:val="000000"/>
          <w:sz w:val="24"/>
          <w:szCs w:val="24"/>
          <w:lang/>
        </w:rPr>
        <w:t>вирощування садивного матеріалу ефіроолійних та лікарських культур;</w:t>
      </w:r>
    </w:p>
    <w:p w14:paraId="2F5892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89" w:name="n5279"/>
      <w:bookmarkEnd w:id="6489"/>
      <w:r w:rsidRPr="008B264B">
        <w:rPr>
          <w:rFonts w:ascii="Times New Roman" w:eastAsia="Times New Roman" w:hAnsi="Times New Roman" w:cs="Times New Roman"/>
          <w:color w:val="000000"/>
          <w:sz w:val="24"/>
          <w:szCs w:val="24"/>
          <w:lang/>
        </w:rPr>
        <w:t>вирощування коренеплодів і бульбоплодів з високим вмістом крохмалю або інуліну (топінамбуру, батату тощо);</w:t>
      </w:r>
    </w:p>
    <w:p w14:paraId="73F516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0" w:name="n5280"/>
      <w:bookmarkEnd w:id="6490"/>
      <w:r w:rsidRPr="008B264B">
        <w:rPr>
          <w:rFonts w:ascii="Times New Roman" w:eastAsia="Times New Roman" w:hAnsi="Times New Roman" w:cs="Times New Roman"/>
          <w:color w:val="000000"/>
          <w:sz w:val="24"/>
          <w:szCs w:val="24"/>
          <w:lang/>
        </w:rPr>
        <w:t>вирощування шишок хмелю, цикорію;</w:t>
      </w:r>
    </w:p>
    <w:p w14:paraId="1C5CED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1" w:name="n5281"/>
      <w:bookmarkEnd w:id="6491"/>
      <w:r w:rsidRPr="008B264B">
        <w:rPr>
          <w:rFonts w:ascii="Times New Roman" w:eastAsia="Times New Roman" w:hAnsi="Times New Roman" w:cs="Times New Roman"/>
          <w:color w:val="000000"/>
          <w:sz w:val="24"/>
          <w:szCs w:val="24"/>
          <w:lang/>
        </w:rPr>
        <w:t>209.17.2. овочівництво; декоративне садівництво та вирощування продукції розсадників (01.12.0 </w:t>
      </w:r>
      <w:hyperlink r:id="rId3635"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34066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2" w:name="n5282"/>
      <w:bookmarkEnd w:id="6492"/>
      <w:r w:rsidRPr="008B264B">
        <w:rPr>
          <w:rFonts w:ascii="Times New Roman" w:eastAsia="Times New Roman" w:hAnsi="Times New Roman" w:cs="Times New Roman"/>
          <w:color w:val="000000"/>
          <w:sz w:val="24"/>
          <w:szCs w:val="24"/>
          <w:lang/>
        </w:rPr>
        <w:t>вирощування овочевих та баштанних культур для продовольчого споживання: помідорів, огірків, капусти, столової моркви та буряків, кабачків, баклажанів, динь, кавунів, бобових, які не підлягатимуть лущінню, салатів, цибулі, цукрової кукурудзи та інших;</w:t>
      </w:r>
    </w:p>
    <w:p w14:paraId="73F8EA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3" w:name="n5283"/>
      <w:bookmarkEnd w:id="6493"/>
      <w:r w:rsidRPr="008B264B">
        <w:rPr>
          <w:rFonts w:ascii="Times New Roman" w:eastAsia="Times New Roman" w:hAnsi="Times New Roman" w:cs="Times New Roman"/>
          <w:color w:val="000000"/>
          <w:sz w:val="24"/>
          <w:szCs w:val="24"/>
          <w:lang/>
        </w:rPr>
        <w:t>вирощування зелені: кропу, петрушки, салату, шпинату тощо;</w:t>
      </w:r>
    </w:p>
    <w:p w14:paraId="2F4BB9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4" w:name="n5284"/>
      <w:bookmarkEnd w:id="6494"/>
      <w:r w:rsidRPr="008B264B">
        <w:rPr>
          <w:rFonts w:ascii="Times New Roman" w:eastAsia="Times New Roman" w:hAnsi="Times New Roman" w:cs="Times New Roman"/>
          <w:color w:val="000000"/>
          <w:sz w:val="24"/>
          <w:szCs w:val="24"/>
          <w:lang/>
        </w:rPr>
        <w:t>вирощування овочевої розсади, насіння овочевих культур;</w:t>
      </w:r>
    </w:p>
    <w:p w14:paraId="0726DA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5" w:name="n5285"/>
      <w:bookmarkEnd w:id="6495"/>
      <w:r w:rsidRPr="008B264B">
        <w:rPr>
          <w:rFonts w:ascii="Times New Roman" w:eastAsia="Times New Roman" w:hAnsi="Times New Roman" w:cs="Times New Roman"/>
          <w:color w:val="000000"/>
          <w:sz w:val="24"/>
          <w:szCs w:val="24"/>
          <w:lang/>
        </w:rPr>
        <w:t>вирощування міцелію та грибів, збирання лісових грибів;</w:t>
      </w:r>
    </w:p>
    <w:p w14:paraId="789F4A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6" w:name="n5286"/>
      <w:bookmarkEnd w:id="6496"/>
      <w:r w:rsidRPr="008B264B">
        <w:rPr>
          <w:rFonts w:ascii="Times New Roman" w:eastAsia="Times New Roman" w:hAnsi="Times New Roman" w:cs="Times New Roman"/>
          <w:color w:val="000000"/>
          <w:sz w:val="24"/>
          <w:szCs w:val="24"/>
          <w:lang/>
        </w:rPr>
        <w:t>вирощування квітів, насіння, розсади, квіткових цибулин, бульб тощо;</w:t>
      </w:r>
    </w:p>
    <w:p w14:paraId="120495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7" w:name="n5287"/>
      <w:bookmarkEnd w:id="6497"/>
      <w:r w:rsidRPr="008B264B">
        <w:rPr>
          <w:rFonts w:ascii="Times New Roman" w:eastAsia="Times New Roman" w:hAnsi="Times New Roman" w:cs="Times New Roman"/>
          <w:color w:val="000000"/>
          <w:sz w:val="24"/>
          <w:szCs w:val="24"/>
          <w:lang/>
        </w:rPr>
        <w:t>вирощування садивного матеріалу плодово-ягідних і горіхоплідних культур та винограду;</w:t>
      </w:r>
    </w:p>
    <w:p w14:paraId="54F2B2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8" w:name="n5288"/>
      <w:bookmarkEnd w:id="6498"/>
      <w:r w:rsidRPr="008B264B">
        <w:rPr>
          <w:rFonts w:ascii="Times New Roman" w:eastAsia="Times New Roman" w:hAnsi="Times New Roman" w:cs="Times New Roman"/>
          <w:color w:val="000000"/>
          <w:sz w:val="24"/>
          <w:szCs w:val="24"/>
          <w:lang/>
        </w:rPr>
        <w:t>209.17.3. вирощування фруктів, ягід, горіхів, культур для виробництва напоїв і прянощів (01.13.0 КВЕД):</w:t>
      </w:r>
    </w:p>
    <w:p w14:paraId="7DC650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499" w:name="n5289"/>
      <w:bookmarkEnd w:id="6499"/>
      <w:r w:rsidRPr="008B264B">
        <w:rPr>
          <w:rFonts w:ascii="Times New Roman" w:eastAsia="Times New Roman" w:hAnsi="Times New Roman" w:cs="Times New Roman"/>
          <w:color w:val="000000"/>
          <w:sz w:val="24"/>
          <w:szCs w:val="24"/>
          <w:lang/>
        </w:rPr>
        <w:t>вирощування фруктів: яблук, слив тощо;</w:t>
      </w:r>
    </w:p>
    <w:p w14:paraId="3C02F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0" w:name="n5290"/>
      <w:bookmarkEnd w:id="6500"/>
      <w:r w:rsidRPr="008B264B">
        <w:rPr>
          <w:rFonts w:ascii="Times New Roman" w:eastAsia="Times New Roman" w:hAnsi="Times New Roman" w:cs="Times New Roman"/>
          <w:color w:val="000000"/>
          <w:sz w:val="24"/>
          <w:szCs w:val="24"/>
          <w:lang/>
        </w:rPr>
        <w:t>вирощування ягід: суниці, малини, смородини тощо;</w:t>
      </w:r>
    </w:p>
    <w:p w14:paraId="57DE26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1" w:name="n5291"/>
      <w:bookmarkEnd w:id="6501"/>
      <w:r w:rsidRPr="008B264B">
        <w:rPr>
          <w:rFonts w:ascii="Times New Roman" w:eastAsia="Times New Roman" w:hAnsi="Times New Roman" w:cs="Times New Roman"/>
          <w:color w:val="000000"/>
          <w:sz w:val="24"/>
          <w:szCs w:val="24"/>
          <w:lang/>
        </w:rPr>
        <w:t>вирощування винограду;</w:t>
      </w:r>
    </w:p>
    <w:p w14:paraId="0072E2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2" w:name="n5292"/>
      <w:bookmarkEnd w:id="6502"/>
      <w:r w:rsidRPr="008B264B">
        <w:rPr>
          <w:rFonts w:ascii="Times New Roman" w:eastAsia="Times New Roman" w:hAnsi="Times New Roman" w:cs="Times New Roman"/>
          <w:color w:val="000000"/>
          <w:sz w:val="24"/>
          <w:szCs w:val="24"/>
          <w:lang/>
        </w:rPr>
        <w:t>вирощування горіхів (горіхів волоських, мигдалю, фісташок, фундука тощо);</w:t>
      </w:r>
    </w:p>
    <w:p w14:paraId="525BC6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3" w:name="n5293"/>
      <w:bookmarkEnd w:id="6503"/>
      <w:r w:rsidRPr="008B264B">
        <w:rPr>
          <w:rFonts w:ascii="Times New Roman" w:eastAsia="Times New Roman" w:hAnsi="Times New Roman" w:cs="Times New Roman"/>
          <w:color w:val="000000"/>
          <w:sz w:val="24"/>
          <w:szCs w:val="24"/>
          <w:lang/>
        </w:rPr>
        <w:t>вирощування культур для виробництва прянощів (листя, квітів, насіння, плодів);</w:t>
      </w:r>
    </w:p>
    <w:p w14:paraId="25CC4A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4" w:name="n5294"/>
      <w:bookmarkEnd w:id="6504"/>
      <w:r w:rsidRPr="008B264B">
        <w:rPr>
          <w:rFonts w:ascii="Times New Roman" w:eastAsia="Times New Roman" w:hAnsi="Times New Roman" w:cs="Times New Roman"/>
          <w:color w:val="000000"/>
          <w:sz w:val="24"/>
          <w:szCs w:val="24"/>
          <w:lang/>
        </w:rPr>
        <w:t>вирощування садивного матеріалу рослин для виробництва прянощів;</w:t>
      </w:r>
    </w:p>
    <w:p w14:paraId="295AF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5" w:name="n5295"/>
      <w:bookmarkEnd w:id="6505"/>
      <w:r w:rsidRPr="008B264B">
        <w:rPr>
          <w:rFonts w:ascii="Times New Roman" w:eastAsia="Times New Roman" w:hAnsi="Times New Roman" w:cs="Times New Roman"/>
          <w:color w:val="000000"/>
          <w:sz w:val="24"/>
          <w:szCs w:val="24"/>
          <w:lang/>
        </w:rPr>
        <w:t>перероблення фруктів, ягід і винограду на вино в межах господарства, що їх вирощує;</w:t>
      </w:r>
    </w:p>
    <w:p w14:paraId="21C05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6" w:name="n5296"/>
      <w:bookmarkEnd w:id="6506"/>
      <w:r w:rsidRPr="008B264B">
        <w:rPr>
          <w:rFonts w:ascii="Times New Roman" w:eastAsia="Times New Roman" w:hAnsi="Times New Roman" w:cs="Times New Roman"/>
          <w:color w:val="000000"/>
          <w:sz w:val="24"/>
          <w:szCs w:val="24"/>
          <w:lang/>
        </w:rPr>
        <w:t>209.17.4. розведення великої рогатої худоби (01.21.0 </w:t>
      </w:r>
      <w:hyperlink r:id="rId3636"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6B1729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7" w:name="n5297"/>
      <w:bookmarkEnd w:id="6507"/>
      <w:r w:rsidRPr="008B264B">
        <w:rPr>
          <w:rFonts w:ascii="Times New Roman" w:eastAsia="Times New Roman" w:hAnsi="Times New Roman" w:cs="Times New Roman"/>
          <w:color w:val="000000"/>
          <w:sz w:val="24"/>
          <w:szCs w:val="24"/>
          <w:lang/>
        </w:rPr>
        <w:t>відтворювання поголів'я великої рогатої худоби;</w:t>
      </w:r>
    </w:p>
    <w:p w14:paraId="72989F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8" w:name="n5298"/>
      <w:bookmarkEnd w:id="6508"/>
      <w:r w:rsidRPr="008B264B">
        <w:rPr>
          <w:rFonts w:ascii="Times New Roman" w:eastAsia="Times New Roman" w:hAnsi="Times New Roman" w:cs="Times New Roman"/>
          <w:color w:val="000000"/>
          <w:sz w:val="24"/>
          <w:szCs w:val="24"/>
          <w:lang/>
        </w:rPr>
        <w:t>вирощування великої рогатої худоби;</w:t>
      </w:r>
    </w:p>
    <w:p w14:paraId="642ECF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09" w:name="n5299"/>
      <w:bookmarkEnd w:id="6509"/>
      <w:r w:rsidRPr="008B264B">
        <w:rPr>
          <w:rFonts w:ascii="Times New Roman" w:eastAsia="Times New Roman" w:hAnsi="Times New Roman" w:cs="Times New Roman"/>
          <w:color w:val="000000"/>
          <w:sz w:val="24"/>
          <w:szCs w:val="24"/>
          <w:lang/>
        </w:rPr>
        <w:lastRenderedPageBreak/>
        <w:t>одержання сирого молока корів, буйволиць, ячих;</w:t>
      </w:r>
    </w:p>
    <w:p w14:paraId="72DD2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0" w:name="n5300"/>
      <w:bookmarkEnd w:id="6510"/>
      <w:r w:rsidRPr="008B264B">
        <w:rPr>
          <w:rFonts w:ascii="Times New Roman" w:eastAsia="Times New Roman" w:hAnsi="Times New Roman" w:cs="Times New Roman"/>
          <w:color w:val="000000"/>
          <w:sz w:val="24"/>
          <w:szCs w:val="24"/>
          <w:lang/>
        </w:rPr>
        <w:t>одержання сперми бугаїв;</w:t>
      </w:r>
    </w:p>
    <w:p w14:paraId="28F53C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1" w:name="n5301"/>
      <w:bookmarkEnd w:id="6511"/>
      <w:r w:rsidRPr="008B264B">
        <w:rPr>
          <w:rFonts w:ascii="Times New Roman" w:eastAsia="Times New Roman" w:hAnsi="Times New Roman" w:cs="Times New Roman"/>
          <w:color w:val="000000"/>
          <w:sz w:val="24"/>
          <w:szCs w:val="24"/>
          <w:lang/>
        </w:rPr>
        <w:t>209.17.5. розведення овець, кіз, коней (01.22.0 КВЕД):</w:t>
      </w:r>
    </w:p>
    <w:p w14:paraId="63145F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2" w:name="n5302"/>
      <w:bookmarkEnd w:id="6512"/>
      <w:r w:rsidRPr="008B264B">
        <w:rPr>
          <w:rFonts w:ascii="Times New Roman" w:eastAsia="Times New Roman" w:hAnsi="Times New Roman" w:cs="Times New Roman"/>
          <w:color w:val="000000"/>
          <w:sz w:val="24"/>
          <w:szCs w:val="24"/>
          <w:lang/>
        </w:rPr>
        <w:t>відтворювання поголів'я овець, кіз, коней, мулів, віслюків;</w:t>
      </w:r>
    </w:p>
    <w:p w14:paraId="1FAFEA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3" w:name="n5303"/>
      <w:bookmarkEnd w:id="6513"/>
      <w:r w:rsidRPr="008B264B">
        <w:rPr>
          <w:rFonts w:ascii="Times New Roman" w:eastAsia="Times New Roman" w:hAnsi="Times New Roman" w:cs="Times New Roman"/>
          <w:color w:val="000000"/>
          <w:sz w:val="24"/>
          <w:szCs w:val="24"/>
          <w:lang/>
        </w:rPr>
        <w:t>вирощування овець, кіз, коней, мулів, віслюків;</w:t>
      </w:r>
    </w:p>
    <w:p w14:paraId="3ACF71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4" w:name="n5304"/>
      <w:bookmarkEnd w:id="6514"/>
      <w:r w:rsidRPr="008B264B">
        <w:rPr>
          <w:rFonts w:ascii="Times New Roman" w:eastAsia="Times New Roman" w:hAnsi="Times New Roman" w:cs="Times New Roman"/>
          <w:color w:val="000000"/>
          <w:sz w:val="24"/>
          <w:szCs w:val="24"/>
          <w:lang/>
        </w:rPr>
        <w:t>одержання сирого овечого і козячого молока;</w:t>
      </w:r>
    </w:p>
    <w:p w14:paraId="43498E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5" w:name="n5305"/>
      <w:bookmarkEnd w:id="6515"/>
      <w:r w:rsidRPr="008B264B">
        <w:rPr>
          <w:rFonts w:ascii="Times New Roman" w:eastAsia="Times New Roman" w:hAnsi="Times New Roman" w:cs="Times New Roman"/>
          <w:color w:val="000000"/>
          <w:sz w:val="24"/>
          <w:szCs w:val="24"/>
          <w:lang/>
        </w:rPr>
        <w:t>одержання сирого кобилячого молока;</w:t>
      </w:r>
    </w:p>
    <w:p w14:paraId="77EBF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6" w:name="n5306"/>
      <w:bookmarkEnd w:id="6516"/>
      <w:r w:rsidRPr="008B264B">
        <w:rPr>
          <w:rFonts w:ascii="Times New Roman" w:eastAsia="Times New Roman" w:hAnsi="Times New Roman" w:cs="Times New Roman"/>
          <w:color w:val="000000"/>
          <w:sz w:val="24"/>
          <w:szCs w:val="24"/>
          <w:lang/>
        </w:rPr>
        <w:t>одержання овечої вовни;</w:t>
      </w:r>
    </w:p>
    <w:p w14:paraId="3250E3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7" w:name="n5307"/>
      <w:bookmarkEnd w:id="6517"/>
      <w:r w:rsidRPr="008B264B">
        <w:rPr>
          <w:rFonts w:ascii="Times New Roman" w:eastAsia="Times New Roman" w:hAnsi="Times New Roman" w:cs="Times New Roman"/>
          <w:color w:val="000000"/>
          <w:sz w:val="24"/>
          <w:szCs w:val="24"/>
          <w:lang/>
        </w:rPr>
        <w:t>одержання козячої вовни та козячого пуху;</w:t>
      </w:r>
    </w:p>
    <w:p w14:paraId="6433E7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8" w:name="n5308"/>
      <w:bookmarkEnd w:id="6518"/>
      <w:r w:rsidRPr="008B264B">
        <w:rPr>
          <w:rFonts w:ascii="Times New Roman" w:eastAsia="Times New Roman" w:hAnsi="Times New Roman" w:cs="Times New Roman"/>
          <w:color w:val="000000"/>
          <w:sz w:val="24"/>
          <w:szCs w:val="24"/>
          <w:lang/>
        </w:rPr>
        <w:t>одержання волос тварин;</w:t>
      </w:r>
    </w:p>
    <w:p w14:paraId="364C04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19" w:name="n5309"/>
      <w:bookmarkEnd w:id="6519"/>
      <w:r w:rsidRPr="008B264B">
        <w:rPr>
          <w:rFonts w:ascii="Times New Roman" w:eastAsia="Times New Roman" w:hAnsi="Times New Roman" w:cs="Times New Roman"/>
          <w:color w:val="000000"/>
          <w:sz w:val="24"/>
          <w:szCs w:val="24"/>
          <w:lang/>
        </w:rPr>
        <w:t>одержання сперми баранів, козлів, жеребців;</w:t>
      </w:r>
    </w:p>
    <w:p w14:paraId="1D439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0" w:name="n5310"/>
      <w:bookmarkEnd w:id="6520"/>
      <w:r w:rsidRPr="008B264B">
        <w:rPr>
          <w:rFonts w:ascii="Times New Roman" w:eastAsia="Times New Roman" w:hAnsi="Times New Roman" w:cs="Times New Roman"/>
          <w:color w:val="000000"/>
          <w:sz w:val="24"/>
          <w:szCs w:val="24"/>
          <w:lang/>
        </w:rPr>
        <w:t>209.17.6. розведення свиней (01.23.0 </w:t>
      </w:r>
      <w:hyperlink r:id="rId3637"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440A95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1" w:name="n5311"/>
      <w:bookmarkEnd w:id="6521"/>
      <w:r w:rsidRPr="008B264B">
        <w:rPr>
          <w:rFonts w:ascii="Times New Roman" w:eastAsia="Times New Roman" w:hAnsi="Times New Roman" w:cs="Times New Roman"/>
          <w:color w:val="000000"/>
          <w:sz w:val="24"/>
          <w:szCs w:val="24"/>
          <w:lang/>
        </w:rPr>
        <w:t>відтворювання поголів'я свиней;</w:t>
      </w:r>
    </w:p>
    <w:p w14:paraId="65258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2" w:name="n5312"/>
      <w:bookmarkEnd w:id="6522"/>
      <w:r w:rsidRPr="008B264B">
        <w:rPr>
          <w:rFonts w:ascii="Times New Roman" w:eastAsia="Times New Roman" w:hAnsi="Times New Roman" w:cs="Times New Roman"/>
          <w:color w:val="000000"/>
          <w:sz w:val="24"/>
          <w:szCs w:val="24"/>
          <w:lang/>
        </w:rPr>
        <w:t>вирощування свиней;</w:t>
      </w:r>
    </w:p>
    <w:p w14:paraId="6B1AC1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3" w:name="n5313"/>
      <w:bookmarkEnd w:id="6523"/>
      <w:r w:rsidRPr="008B264B">
        <w:rPr>
          <w:rFonts w:ascii="Times New Roman" w:eastAsia="Times New Roman" w:hAnsi="Times New Roman" w:cs="Times New Roman"/>
          <w:color w:val="000000"/>
          <w:sz w:val="24"/>
          <w:szCs w:val="24"/>
          <w:lang/>
        </w:rPr>
        <w:t>одержання сперми кнурів;</w:t>
      </w:r>
    </w:p>
    <w:p w14:paraId="7C8DE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4" w:name="n5314"/>
      <w:bookmarkEnd w:id="6524"/>
      <w:r w:rsidRPr="008B264B">
        <w:rPr>
          <w:rFonts w:ascii="Times New Roman" w:eastAsia="Times New Roman" w:hAnsi="Times New Roman" w:cs="Times New Roman"/>
          <w:color w:val="000000"/>
          <w:sz w:val="24"/>
          <w:szCs w:val="24"/>
          <w:lang/>
        </w:rPr>
        <w:t>209.17.7. розведення птиці (01.24.0 КВЕД):</w:t>
      </w:r>
    </w:p>
    <w:p w14:paraId="6C1B4C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5" w:name="n5315"/>
      <w:bookmarkEnd w:id="6525"/>
      <w:r w:rsidRPr="008B264B">
        <w:rPr>
          <w:rFonts w:ascii="Times New Roman" w:eastAsia="Times New Roman" w:hAnsi="Times New Roman" w:cs="Times New Roman"/>
          <w:color w:val="000000"/>
          <w:sz w:val="24"/>
          <w:szCs w:val="24"/>
          <w:lang/>
        </w:rPr>
        <w:t>відтворювання поголів'я свійської птиці (курей, гусей, індиків, цесарок, перепілок, страусів тощо);</w:t>
      </w:r>
    </w:p>
    <w:p w14:paraId="6E494B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6" w:name="n5316"/>
      <w:bookmarkEnd w:id="6526"/>
      <w:r w:rsidRPr="008B264B">
        <w:rPr>
          <w:rFonts w:ascii="Times New Roman" w:eastAsia="Times New Roman" w:hAnsi="Times New Roman" w:cs="Times New Roman"/>
          <w:color w:val="000000"/>
          <w:sz w:val="24"/>
          <w:szCs w:val="24"/>
          <w:lang/>
        </w:rPr>
        <w:t>вирощування свійської птиці;</w:t>
      </w:r>
    </w:p>
    <w:p w14:paraId="0CD9D1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7" w:name="n5317"/>
      <w:bookmarkEnd w:id="6527"/>
      <w:r w:rsidRPr="008B264B">
        <w:rPr>
          <w:rFonts w:ascii="Times New Roman" w:eastAsia="Times New Roman" w:hAnsi="Times New Roman" w:cs="Times New Roman"/>
          <w:color w:val="000000"/>
          <w:sz w:val="24"/>
          <w:szCs w:val="24"/>
          <w:lang/>
        </w:rPr>
        <w:t>одержання яєць;</w:t>
      </w:r>
    </w:p>
    <w:p w14:paraId="1B5100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8" w:name="n5318"/>
      <w:bookmarkEnd w:id="6528"/>
      <w:r w:rsidRPr="008B264B">
        <w:rPr>
          <w:rFonts w:ascii="Times New Roman" w:eastAsia="Times New Roman" w:hAnsi="Times New Roman" w:cs="Times New Roman"/>
          <w:color w:val="000000"/>
          <w:sz w:val="24"/>
          <w:szCs w:val="24"/>
          <w:lang/>
        </w:rPr>
        <w:t>209.17.8. розведення інших тварин (01.25.0 КВЕД):</w:t>
      </w:r>
    </w:p>
    <w:p w14:paraId="0D7EC7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29" w:name="n5319"/>
      <w:bookmarkEnd w:id="6529"/>
      <w:r w:rsidRPr="008B264B">
        <w:rPr>
          <w:rFonts w:ascii="Times New Roman" w:eastAsia="Times New Roman" w:hAnsi="Times New Roman" w:cs="Times New Roman"/>
          <w:color w:val="000000"/>
          <w:sz w:val="24"/>
          <w:szCs w:val="24"/>
          <w:lang/>
        </w:rPr>
        <w:t>розведення тварин на фермах;</w:t>
      </w:r>
    </w:p>
    <w:p w14:paraId="53A93D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0" w:name="n5320"/>
      <w:bookmarkEnd w:id="6530"/>
      <w:r w:rsidRPr="008B264B">
        <w:rPr>
          <w:rFonts w:ascii="Times New Roman" w:eastAsia="Times New Roman" w:hAnsi="Times New Roman" w:cs="Times New Roman"/>
          <w:color w:val="000000"/>
          <w:sz w:val="24"/>
          <w:szCs w:val="24"/>
          <w:lang/>
        </w:rPr>
        <w:t>розведення кролів, одержання продукції кролівництва (шкурки);</w:t>
      </w:r>
    </w:p>
    <w:p w14:paraId="1EB60B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1" w:name="n5321"/>
      <w:bookmarkEnd w:id="6531"/>
      <w:r w:rsidRPr="008B264B">
        <w:rPr>
          <w:rFonts w:ascii="Times New Roman" w:eastAsia="Times New Roman" w:hAnsi="Times New Roman" w:cs="Times New Roman"/>
          <w:color w:val="000000"/>
          <w:sz w:val="24"/>
          <w:szCs w:val="24"/>
          <w:lang/>
        </w:rPr>
        <w:t>розведення бджіл, одержання меду, воску тощо;</w:t>
      </w:r>
    </w:p>
    <w:p w14:paraId="48D91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2" w:name="n5322"/>
      <w:bookmarkEnd w:id="6532"/>
      <w:r w:rsidRPr="008B264B">
        <w:rPr>
          <w:rFonts w:ascii="Times New Roman" w:eastAsia="Times New Roman" w:hAnsi="Times New Roman" w:cs="Times New Roman"/>
          <w:color w:val="000000"/>
          <w:sz w:val="24"/>
          <w:szCs w:val="24"/>
          <w:lang/>
        </w:rPr>
        <w:t>розведення хутрових звірів, одержання хутрової сировини;</w:t>
      </w:r>
    </w:p>
    <w:p w14:paraId="4BC602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3" w:name="n5323"/>
      <w:bookmarkEnd w:id="6533"/>
      <w:r w:rsidRPr="008B264B">
        <w:rPr>
          <w:rFonts w:ascii="Times New Roman" w:eastAsia="Times New Roman" w:hAnsi="Times New Roman" w:cs="Times New Roman"/>
          <w:color w:val="000000"/>
          <w:sz w:val="24"/>
          <w:szCs w:val="24"/>
          <w:lang/>
        </w:rPr>
        <w:t>розведення водоплавних тварин (нутрій, ондатр тощо);</w:t>
      </w:r>
    </w:p>
    <w:p w14:paraId="065BE1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4" w:name="n5324"/>
      <w:bookmarkEnd w:id="6534"/>
      <w:r w:rsidRPr="008B264B">
        <w:rPr>
          <w:rFonts w:ascii="Times New Roman" w:eastAsia="Times New Roman" w:hAnsi="Times New Roman" w:cs="Times New Roman"/>
          <w:color w:val="000000"/>
          <w:sz w:val="24"/>
          <w:szCs w:val="24"/>
          <w:lang/>
        </w:rPr>
        <w:t>розведення шовкопряда, одержання коконів шовкопряда;</w:t>
      </w:r>
    </w:p>
    <w:p w14:paraId="0DD9E6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5" w:name="n5325"/>
      <w:bookmarkEnd w:id="6535"/>
      <w:r w:rsidRPr="008B264B">
        <w:rPr>
          <w:rFonts w:ascii="Times New Roman" w:eastAsia="Times New Roman" w:hAnsi="Times New Roman" w:cs="Times New Roman"/>
          <w:color w:val="000000"/>
          <w:sz w:val="24"/>
          <w:szCs w:val="24"/>
          <w:lang/>
        </w:rPr>
        <w:t>вирощування каліфорнійського червоного черв'яка та інших вермікультур;</w:t>
      </w:r>
    </w:p>
    <w:p w14:paraId="7B61C3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6" w:name="n5326"/>
      <w:bookmarkEnd w:id="6536"/>
      <w:r w:rsidRPr="008B264B">
        <w:rPr>
          <w:rFonts w:ascii="Times New Roman" w:eastAsia="Times New Roman" w:hAnsi="Times New Roman" w:cs="Times New Roman"/>
          <w:color w:val="000000"/>
          <w:sz w:val="24"/>
          <w:szCs w:val="24"/>
          <w:lang/>
        </w:rPr>
        <w:t>одержання біогумусу;</w:t>
      </w:r>
    </w:p>
    <w:p w14:paraId="709B47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7" w:name="n5327"/>
      <w:bookmarkEnd w:id="6537"/>
      <w:r w:rsidRPr="008B264B">
        <w:rPr>
          <w:rFonts w:ascii="Times New Roman" w:eastAsia="Times New Roman" w:hAnsi="Times New Roman" w:cs="Times New Roman"/>
          <w:color w:val="000000"/>
          <w:sz w:val="24"/>
          <w:szCs w:val="24"/>
          <w:lang/>
        </w:rPr>
        <w:t>розведення інших тварин (верблюдів, оленів, лабораторних тварин тощо);</w:t>
      </w:r>
    </w:p>
    <w:p w14:paraId="10126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8" w:name="n5328"/>
      <w:bookmarkEnd w:id="6538"/>
      <w:r w:rsidRPr="008B264B">
        <w:rPr>
          <w:rFonts w:ascii="Times New Roman" w:eastAsia="Times New Roman" w:hAnsi="Times New Roman" w:cs="Times New Roman"/>
          <w:color w:val="000000"/>
          <w:sz w:val="24"/>
          <w:szCs w:val="24"/>
          <w:lang/>
        </w:rPr>
        <w:t>одержання іншої продукції тварин;</w:t>
      </w:r>
    </w:p>
    <w:p w14:paraId="2D5C3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39" w:name="n5329"/>
      <w:bookmarkEnd w:id="6539"/>
      <w:r w:rsidRPr="008B264B">
        <w:rPr>
          <w:rFonts w:ascii="Times New Roman" w:eastAsia="Times New Roman" w:hAnsi="Times New Roman" w:cs="Times New Roman"/>
          <w:color w:val="000000"/>
          <w:sz w:val="24"/>
          <w:szCs w:val="24"/>
          <w:lang/>
        </w:rPr>
        <w:t>одержання сирої шкури свиней;</w:t>
      </w:r>
    </w:p>
    <w:p w14:paraId="4615E1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0" w:name="n5330"/>
      <w:bookmarkEnd w:id="6540"/>
      <w:r w:rsidRPr="008B264B">
        <w:rPr>
          <w:rFonts w:ascii="Times New Roman" w:eastAsia="Times New Roman" w:hAnsi="Times New Roman" w:cs="Times New Roman"/>
          <w:color w:val="000000"/>
          <w:sz w:val="24"/>
          <w:szCs w:val="24"/>
          <w:lang/>
        </w:rPr>
        <w:t>209.17.9. змішане сільське господарство (01.30.0 </w:t>
      </w:r>
      <w:hyperlink r:id="rId3638"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50871F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1" w:name="n5331"/>
      <w:bookmarkEnd w:id="6541"/>
      <w:r w:rsidRPr="008B264B">
        <w:rPr>
          <w:rFonts w:ascii="Times New Roman" w:eastAsia="Times New Roman" w:hAnsi="Times New Roman" w:cs="Times New Roman"/>
          <w:color w:val="000000"/>
          <w:sz w:val="24"/>
          <w:szCs w:val="24"/>
          <w:lang/>
        </w:rPr>
        <w:t>209.17.10. лісівництво (02.01.1 </w:t>
      </w:r>
      <w:hyperlink r:id="rId3639"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6ABFE7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2" w:name="n10038"/>
      <w:bookmarkEnd w:id="6542"/>
      <w:r w:rsidRPr="008B264B">
        <w:rPr>
          <w:rFonts w:ascii="Times New Roman" w:eastAsia="Times New Roman" w:hAnsi="Times New Roman" w:cs="Times New Roman"/>
          <w:color w:val="000000"/>
          <w:sz w:val="24"/>
          <w:szCs w:val="24"/>
          <w:lang/>
        </w:rPr>
        <w:t>вирощування будівельного лісу: посадка, підсадка саджанців, охорона лісу та лісосік;</w:t>
      </w:r>
    </w:p>
    <w:p w14:paraId="5F1E44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3" w:name="n10039"/>
      <w:bookmarkEnd w:id="6543"/>
      <w:r w:rsidRPr="008B264B">
        <w:rPr>
          <w:rFonts w:ascii="Times New Roman" w:eastAsia="Times New Roman" w:hAnsi="Times New Roman" w:cs="Times New Roman"/>
          <w:color w:val="000000"/>
          <w:sz w:val="24"/>
          <w:szCs w:val="24"/>
          <w:lang/>
        </w:rPr>
        <w:t>вирощування молодого порослевого лісу та балансової деревини;</w:t>
      </w:r>
    </w:p>
    <w:p w14:paraId="2732C3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4" w:name="n10040"/>
      <w:bookmarkEnd w:id="6544"/>
      <w:r w:rsidRPr="008B264B">
        <w:rPr>
          <w:rFonts w:ascii="Times New Roman" w:eastAsia="Times New Roman" w:hAnsi="Times New Roman" w:cs="Times New Roman"/>
          <w:color w:val="000000"/>
          <w:sz w:val="24"/>
          <w:szCs w:val="24"/>
          <w:lang/>
        </w:rPr>
        <w:lastRenderedPageBreak/>
        <w:t>вирощування лісосадивних матеріалів;</w:t>
      </w:r>
    </w:p>
    <w:p w14:paraId="6193A1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5" w:name="n10041"/>
      <w:bookmarkEnd w:id="6545"/>
      <w:r w:rsidRPr="008B264B">
        <w:rPr>
          <w:rFonts w:ascii="Times New Roman" w:eastAsia="Times New Roman" w:hAnsi="Times New Roman" w:cs="Times New Roman"/>
          <w:color w:val="000000"/>
          <w:sz w:val="24"/>
          <w:szCs w:val="24"/>
          <w:lang/>
        </w:rPr>
        <w:t>вирощування різдвяних ялинок;</w:t>
      </w:r>
    </w:p>
    <w:p w14:paraId="77AAB1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6" w:name="n10042"/>
      <w:bookmarkEnd w:id="6546"/>
      <w:r w:rsidRPr="008B264B">
        <w:rPr>
          <w:rFonts w:ascii="Times New Roman" w:eastAsia="Times New Roman" w:hAnsi="Times New Roman" w:cs="Times New Roman"/>
          <w:color w:val="000000"/>
          <w:sz w:val="24"/>
          <w:szCs w:val="24"/>
          <w:lang/>
        </w:rPr>
        <w:t>вирощування рослинних матеріалів для плетіння;</w:t>
      </w:r>
    </w:p>
    <w:p w14:paraId="6A6212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7" w:name="n10037"/>
      <w:bookmarkEnd w:id="6547"/>
      <w:r w:rsidRPr="008B264B">
        <w:rPr>
          <w:rFonts w:ascii="Times New Roman" w:eastAsia="Times New Roman" w:hAnsi="Times New Roman" w:cs="Times New Roman"/>
          <w:i/>
          <w:iCs/>
          <w:color w:val="000000"/>
          <w:sz w:val="24"/>
          <w:szCs w:val="24"/>
          <w:lang/>
        </w:rPr>
        <w:t>{Підпункт 209.17.10 пункту 209.17 статті 209 в редакції Закону </w:t>
      </w:r>
      <w:hyperlink r:id="rId3640" w:anchor="n112"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w:t>
      </w:r>
    </w:p>
    <w:p w14:paraId="4F770A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8" w:name="n5339"/>
      <w:bookmarkEnd w:id="6548"/>
      <w:r w:rsidRPr="008B264B">
        <w:rPr>
          <w:rFonts w:ascii="Times New Roman" w:eastAsia="Times New Roman" w:hAnsi="Times New Roman" w:cs="Times New Roman"/>
          <w:color w:val="000000"/>
          <w:sz w:val="24"/>
          <w:szCs w:val="24"/>
          <w:lang/>
        </w:rPr>
        <w:t>209.17.11. одержання продукції лісового господарства (02.01.2 КВЕД):</w:t>
      </w:r>
    </w:p>
    <w:p w14:paraId="24D5D3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49" w:name="n5340"/>
      <w:bookmarkEnd w:id="6549"/>
      <w:r w:rsidRPr="008B264B">
        <w:rPr>
          <w:rFonts w:ascii="Times New Roman" w:eastAsia="Times New Roman" w:hAnsi="Times New Roman" w:cs="Times New Roman"/>
          <w:color w:val="000000"/>
          <w:sz w:val="24"/>
          <w:szCs w:val="24"/>
          <w:lang/>
        </w:rPr>
        <w:t>збирання лісових продуктів (жолудів, каштанів, моху тощо);</w:t>
      </w:r>
    </w:p>
    <w:p w14:paraId="3A2197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0" w:name="n5341"/>
      <w:bookmarkEnd w:id="6550"/>
      <w:r w:rsidRPr="008B264B">
        <w:rPr>
          <w:rFonts w:ascii="Times New Roman" w:eastAsia="Times New Roman" w:hAnsi="Times New Roman" w:cs="Times New Roman"/>
          <w:color w:val="000000"/>
          <w:sz w:val="24"/>
          <w:szCs w:val="24"/>
          <w:lang/>
        </w:rPr>
        <w:t>збирання соків (березового, кленового тощо);</w:t>
      </w:r>
    </w:p>
    <w:p w14:paraId="35BAE3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1" w:name="n5342"/>
      <w:bookmarkEnd w:id="6551"/>
      <w:r w:rsidRPr="008B264B">
        <w:rPr>
          <w:rFonts w:ascii="Times New Roman" w:eastAsia="Times New Roman" w:hAnsi="Times New Roman" w:cs="Times New Roman"/>
          <w:color w:val="000000"/>
          <w:sz w:val="24"/>
          <w:szCs w:val="24"/>
          <w:lang/>
        </w:rPr>
        <w:t>збирання живиці, природних смол;</w:t>
      </w:r>
    </w:p>
    <w:p w14:paraId="5DC3DE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2" w:name="n5343"/>
      <w:bookmarkEnd w:id="6552"/>
      <w:r w:rsidRPr="008B264B">
        <w:rPr>
          <w:rFonts w:ascii="Times New Roman" w:eastAsia="Times New Roman" w:hAnsi="Times New Roman" w:cs="Times New Roman"/>
          <w:color w:val="000000"/>
          <w:sz w:val="24"/>
          <w:szCs w:val="24"/>
          <w:lang/>
        </w:rPr>
        <w:t>збирання насіння дерев і чагарників для лісонасаджень;</w:t>
      </w:r>
    </w:p>
    <w:p w14:paraId="3E4D69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3" w:name="n5344"/>
      <w:bookmarkEnd w:id="6553"/>
      <w:r w:rsidRPr="008B264B">
        <w:rPr>
          <w:rFonts w:ascii="Times New Roman" w:eastAsia="Times New Roman" w:hAnsi="Times New Roman" w:cs="Times New Roman"/>
          <w:color w:val="000000"/>
          <w:sz w:val="24"/>
          <w:szCs w:val="24"/>
          <w:lang/>
        </w:rPr>
        <w:t>збирання корка, шелаку, камеді, бальзамів, дикорослих луб'яних рослин;</w:t>
      </w:r>
    </w:p>
    <w:p w14:paraId="3AC697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4" w:name="n5345"/>
      <w:bookmarkEnd w:id="6554"/>
      <w:r w:rsidRPr="008B264B">
        <w:rPr>
          <w:rFonts w:ascii="Times New Roman" w:eastAsia="Times New Roman" w:hAnsi="Times New Roman" w:cs="Times New Roman"/>
          <w:color w:val="000000"/>
          <w:sz w:val="24"/>
          <w:szCs w:val="24"/>
          <w:lang/>
        </w:rPr>
        <w:t>209.17.12. рибництво (05.02.0 КВЕД):</w:t>
      </w:r>
    </w:p>
    <w:p w14:paraId="6FA9A1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5" w:name="n5346"/>
      <w:bookmarkEnd w:id="6555"/>
      <w:r w:rsidRPr="008B264B">
        <w:rPr>
          <w:rFonts w:ascii="Times New Roman" w:eastAsia="Times New Roman" w:hAnsi="Times New Roman" w:cs="Times New Roman"/>
          <w:color w:val="000000"/>
          <w:sz w:val="24"/>
          <w:szCs w:val="24"/>
          <w:lang/>
        </w:rPr>
        <w:t>морське і прісноводне рибництво;</w:t>
      </w:r>
    </w:p>
    <w:p w14:paraId="59964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6" w:name="n5347"/>
      <w:bookmarkEnd w:id="6556"/>
      <w:r w:rsidRPr="008B264B">
        <w:rPr>
          <w:rFonts w:ascii="Times New Roman" w:eastAsia="Times New Roman" w:hAnsi="Times New Roman" w:cs="Times New Roman"/>
          <w:color w:val="000000"/>
          <w:sz w:val="24"/>
          <w:szCs w:val="24"/>
          <w:lang/>
        </w:rPr>
        <w:t>209.17.13. надання послуг у рибальстві, рибництві:</w:t>
      </w:r>
    </w:p>
    <w:p w14:paraId="75037D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7" w:name="n5348"/>
      <w:bookmarkEnd w:id="6557"/>
      <w:r w:rsidRPr="008B264B">
        <w:rPr>
          <w:rFonts w:ascii="Times New Roman" w:eastAsia="Times New Roman" w:hAnsi="Times New Roman" w:cs="Times New Roman"/>
          <w:color w:val="000000"/>
          <w:sz w:val="24"/>
          <w:szCs w:val="24"/>
          <w:lang/>
        </w:rPr>
        <w:t>послуги, пов'язані з рибальством (05.01.0 КВЕД);</w:t>
      </w:r>
    </w:p>
    <w:p w14:paraId="21FA99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8" w:name="n5349"/>
      <w:bookmarkEnd w:id="6558"/>
      <w:r w:rsidRPr="008B264B">
        <w:rPr>
          <w:rFonts w:ascii="Times New Roman" w:eastAsia="Times New Roman" w:hAnsi="Times New Roman" w:cs="Times New Roman"/>
          <w:color w:val="000000"/>
          <w:sz w:val="24"/>
          <w:szCs w:val="24"/>
          <w:lang/>
        </w:rPr>
        <w:t>надання послуг, пов'язаних з діяльністю риборозплідників та рибних ферм, обстеження стану водоймищ (05.02.0 КВЕД);</w:t>
      </w:r>
    </w:p>
    <w:p w14:paraId="25CEF5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59" w:name="n5350"/>
      <w:bookmarkEnd w:id="6559"/>
      <w:r w:rsidRPr="008B264B">
        <w:rPr>
          <w:rFonts w:ascii="Times New Roman" w:eastAsia="Times New Roman" w:hAnsi="Times New Roman" w:cs="Times New Roman"/>
          <w:color w:val="000000"/>
          <w:sz w:val="24"/>
          <w:szCs w:val="24"/>
          <w:lang/>
        </w:rPr>
        <w:t>209.17.14. надання послуг у рослинництві, облаштування ландшафту (01.41.0 </w:t>
      </w:r>
      <w:hyperlink r:id="rId3641"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0F9AA4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0" w:name="n5351"/>
      <w:bookmarkEnd w:id="6560"/>
      <w:r w:rsidRPr="008B264B">
        <w:rPr>
          <w:rFonts w:ascii="Times New Roman" w:eastAsia="Times New Roman" w:hAnsi="Times New Roman" w:cs="Times New Roman"/>
          <w:color w:val="000000"/>
          <w:sz w:val="24"/>
          <w:szCs w:val="24"/>
          <w:lang/>
        </w:rPr>
        <w:t>надання послуг у рослинництві за винагороду або на договірній основі: передпосівна підготовка полів і насіння сільськогосподарських культур; посів і садіння сільськогосподарських культур; обприскування сільськогосподарських культур, у тому числі з повітря; обрізання плодових дерев та винограду; пересаджування рису, розсаджування буряку;</w:t>
      </w:r>
    </w:p>
    <w:p w14:paraId="3AA47F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1" w:name="n5352"/>
      <w:bookmarkEnd w:id="6561"/>
      <w:r w:rsidRPr="008B264B">
        <w:rPr>
          <w:rFonts w:ascii="Times New Roman" w:eastAsia="Times New Roman" w:hAnsi="Times New Roman" w:cs="Times New Roman"/>
          <w:color w:val="000000"/>
          <w:sz w:val="24"/>
          <w:szCs w:val="24"/>
          <w:lang/>
        </w:rPr>
        <w:t>надання послуг із збирання врожаю та підготовка продукції до первинної реалізації: очищення, різання, сортування, сушіння, дезінфекція, покривання воском, полірування, пакування, лущення, замочування, охолодження чи пакування навалом, у тому числі з фасуванням у безкисневому середовищі; захист рослин від хвороб і шкідників; агрохімічне обслуговування;</w:t>
      </w:r>
    </w:p>
    <w:p w14:paraId="53C632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2" w:name="n5353"/>
      <w:bookmarkEnd w:id="6562"/>
      <w:r w:rsidRPr="008B264B">
        <w:rPr>
          <w:rFonts w:ascii="Times New Roman" w:eastAsia="Times New Roman" w:hAnsi="Times New Roman" w:cs="Times New Roman"/>
          <w:color w:val="000000"/>
          <w:sz w:val="24"/>
          <w:szCs w:val="24"/>
          <w:lang/>
        </w:rPr>
        <w:t>надання послуг із використанням сільськогосподарської техніки за участю обслуговуючого персоналу;</w:t>
      </w:r>
    </w:p>
    <w:p w14:paraId="758A8B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3" w:name="n5354"/>
      <w:bookmarkEnd w:id="6563"/>
      <w:r w:rsidRPr="008B264B">
        <w:rPr>
          <w:rFonts w:ascii="Times New Roman" w:eastAsia="Times New Roman" w:hAnsi="Times New Roman" w:cs="Times New Roman"/>
          <w:color w:val="000000"/>
          <w:sz w:val="24"/>
          <w:szCs w:val="24"/>
          <w:lang/>
        </w:rPr>
        <w:t>експлуатація зрошувальних і осушувальних систем;</w:t>
      </w:r>
    </w:p>
    <w:p w14:paraId="5F145F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4" w:name="n5355"/>
      <w:bookmarkEnd w:id="6564"/>
      <w:r w:rsidRPr="008B264B">
        <w:rPr>
          <w:rFonts w:ascii="Times New Roman" w:eastAsia="Times New Roman" w:hAnsi="Times New Roman" w:cs="Times New Roman"/>
          <w:color w:val="000000"/>
          <w:sz w:val="24"/>
          <w:szCs w:val="24"/>
          <w:lang/>
        </w:rPr>
        <w:t>насадження та облаштування ландшафту для захисту від шуму, вітру, ерозії, видимості та засліплення;</w:t>
      </w:r>
    </w:p>
    <w:p w14:paraId="2B94BF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5" w:name="n5356"/>
      <w:bookmarkEnd w:id="6565"/>
      <w:r w:rsidRPr="008B264B">
        <w:rPr>
          <w:rFonts w:ascii="Times New Roman" w:eastAsia="Times New Roman" w:hAnsi="Times New Roman" w:cs="Times New Roman"/>
          <w:color w:val="000000"/>
          <w:sz w:val="24"/>
          <w:szCs w:val="24"/>
          <w:lang/>
        </w:rPr>
        <w:t>облаштування і догляд ландшафту з метою захисту навколишнього природного середовища (відновлення природного стану, рекультивація, меліорація земель, створення зон затримки вологи, відстійників дощової води тощо);</w:t>
      </w:r>
    </w:p>
    <w:p w14:paraId="0480B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6" w:name="n5357"/>
      <w:bookmarkEnd w:id="6566"/>
      <w:r w:rsidRPr="008B264B">
        <w:rPr>
          <w:rFonts w:ascii="Times New Roman" w:eastAsia="Times New Roman" w:hAnsi="Times New Roman" w:cs="Times New Roman"/>
          <w:color w:val="000000"/>
          <w:sz w:val="24"/>
          <w:szCs w:val="24"/>
          <w:lang/>
        </w:rPr>
        <w:t>209.17.15. надання послуг у тваринництві (01.42.0 КВЕД):</w:t>
      </w:r>
    </w:p>
    <w:p w14:paraId="58EB0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7" w:name="n5358"/>
      <w:bookmarkEnd w:id="6567"/>
      <w:r w:rsidRPr="008B264B">
        <w:rPr>
          <w:rFonts w:ascii="Times New Roman" w:eastAsia="Times New Roman" w:hAnsi="Times New Roman" w:cs="Times New Roman"/>
          <w:color w:val="000000"/>
          <w:sz w:val="24"/>
          <w:szCs w:val="24"/>
          <w:lang/>
        </w:rPr>
        <w:t>надання послуг у тваринництві за винагороду або на договірній основі:</w:t>
      </w:r>
    </w:p>
    <w:p w14:paraId="4B4E00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8" w:name="n5359"/>
      <w:bookmarkEnd w:id="6568"/>
      <w:r w:rsidRPr="008B264B">
        <w:rPr>
          <w:rFonts w:ascii="Times New Roman" w:eastAsia="Times New Roman" w:hAnsi="Times New Roman" w:cs="Times New Roman"/>
          <w:color w:val="000000"/>
          <w:sz w:val="24"/>
          <w:szCs w:val="24"/>
          <w:lang/>
        </w:rPr>
        <w:t>утримання тварин та послуги з догляду за свійською худобою і птицею;</w:t>
      </w:r>
    </w:p>
    <w:p w14:paraId="0A62E9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69" w:name="n5360"/>
      <w:bookmarkEnd w:id="6569"/>
      <w:r w:rsidRPr="008B264B">
        <w:rPr>
          <w:rFonts w:ascii="Times New Roman" w:eastAsia="Times New Roman" w:hAnsi="Times New Roman" w:cs="Times New Roman"/>
          <w:color w:val="000000"/>
          <w:sz w:val="24"/>
          <w:szCs w:val="24"/>
          <w:lang/>
        </w:rPr>
        <w:t>послуги з обстеження стану стада, перегону та випасу худоби, очищення та дезінфекції тваринницьких приміщень тощо;</w:t>
      </w:r>
    </w:p>
    <w:p w14:paraId="0FAD43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0" w:name="n5361"/>
      <w:bookmarkEnd w:id="6570"/>
      <w:r w:rsidRPr="008B264B">
        <w:rPr>
          <w:rFonts w:ascii="Times New Roman" w:eastAsia="Times New Roman" w:hAnsi="Times New Roman" w:cs="Times New Roman"/>
          <w:color w:val="000000"/>
          <w:sz w:val="24"/>
          <w:szCs w:val="24"/>
          <w:lang/>
        </w:rPr>
        <w:lastRenderedPageBreak/>
        <w:t>послуги із стимулювання розведення худоби і птиці та забезпечення зростання їх продуктивності;</w:t>
      </w:r>
    </w:p>
    <w:p w14:paraId="04FE02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1" w:name="n5362"/>
      <w:bookmarkEnd w:id="6571"/>
      <w:r w:rsidRPr="008B264B">
        <w:rPr>
          <w:rFonts w:ascii="Times New Roman" w:eastAsia="Times New Roman" w:hAnsi="Times New Roman" w:cs="Times New Roman"/>
          <w:color w:val="000000"/>
          <w:sz w:val="24"/>
          <w:szCs w:val="24"/>
          <w:lang/>
        </w:rPr>
        <w:t>штучне запліднення тварин;</w:t>
      </w:r>
    </w:p>
    <w:p w14:paraId="1FB2DF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2" w:name="n5363"/>
      <w:bookmarkEnd w:id="6572"/>
      <w:r w:rsidRPr="008B264B">
        <w:rPr>
          <w:rFonts w:ascii="Times New Roman" w:eastAsia="Times New Roman" w:hAnsi="Times New Roman" w:cs="Times New Roman"/>
          <w:color w:val="000000"/>
          <w:sz w:val="24"/>
          <w:szCs w:val="24"/>
          <w:lang/>
        </w:rPr>
        <w:t>стриження овець;</w:t>
      </w:r>
    </w:p>
    <w:p w14:paraId="2C4002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3" w:name="n5364"/>
      <w:bookmarkEnd w:id="6573"/>
      <w:r w:rsidRPr="008B264B">
        <w:rPr>
          <w:rFonts w:ascii="Times New Roman" w:eastAsia="Times New Roman" w:hAnsi="Times New Roman" w:cs="Times New Roman"/>
          <w:color w:val="000000"/>
          <w:sz w:val="24"/>
          <w:szCs w:val="24"/>
          <w:lang/>
        </w:rPr>
        <w:t>209.17.16. надання послуг у лісовому господарстві (02.02.0 </w:t>
      </w:r>
      <w:hyperlink r:id="rId3642"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2EAAED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4" w:name="n5365"/>
      <w:bookmarkEnd w:id="6574"/>
      <w:r w:rsidRPr="008B264B">
        <w:rPr>
          <w:rFonts w:ascii="Times New Roman" w:eastAsia="Times New Roman" w:hAnsi="Times New Roman" w:cs="Times New Roman"/>
          <w:color w:val="000000"/>
          <w:sz w:val="24"/>
          <w:szCs w:val="24"/>
          <w:lang/>
        </w:rPr>
        <w:t>послуги з лісівництва (таксація, оцінка промислового використання лісу, посадка саджанців, залісення та лісовідновлення тощо);</w:t>
      </w:r>
    </w:p>
    <w:p w14:paraId="6E5B1E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5" w:name="n5366"/>
      <w:bookmarkEnd w:id="6575"/>
      <w:r w:rsidRPr="008B264B">
        <w:rPr>
          <w:rFonts w:ascii="Times New Roman" w:eastAsia="Times New Roman" w:hAnsi="Times New Roman" w:cs="Times New Roman"/>
          <w:color w:val="000000"/>
          <w:sz w:val="24"/>
          <w:szCs w:val="24"/>
          <w:lang/>
        </w:rPr>
        <w:t>захист лісу від пожеж;</w:t>
      </w:r>
    </w:p>
    <w:p w14:paraId="38C098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6" w:name="n5367"/>
      <w:bookmarkEnd w:id="6576"/>
      <w:r w:rsidRPr="008B264B">
        <w:rPr>
          <w:rFonts w:ascii="Times New Roman" w:eastAsia="Times New Roman" w:hAnsi="Times New Roman" w:cs="Times New Roman"/>
          <w:color w:val="000000"/>
          <w:sz w:val="24"/>
          <w:szCs w:val="24"/>
          <w:lang/>
        </w:rPr>
        <w:t>боротьба із шкідниками та хворобами лісу;</w:t>
      </w:r>
    </w:p>
    <w:p w14:paraId="4FB079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7" w:name="n5368"/>
      <w:bookmarkEnd w:id="6577"/>
      <w:r w:rsidRPr="008B264B">
        <w:rPr>
          <w:rFonts w:ascii="Times New Roman" w:eastAsia="Times New Roman" w:hAnsi="Times New Roman" w:cs="Times New Roman"/>
          <w:color w:val="000000"/>
          <w:sz w:val="24"/>
          <w:szCs w:val="24"/>
          <w:lang/>
        </w:rPr>
        <w:t>послуги з лісозаготівлі (транспортування необробленої деревини в межах лісу);</w:t>
      </w:r>
    </w:p>
    <w:p w14:paraId="403CAF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8" w:name="n5369"/>
      <w:bookmarkEnd w:id="6578"/>
      <w:r w:rsidRPr="008B264B">
        <w:rPr>
          <w:rFonts w:ascii="Times New Roman" w:eastAsia="Times New Roman" w:hAnsi="Times New Roman" w:cs="Times New Roman"/>
          <w:color w:val="000000"/>
          <w:sz w:val="24"/>
          <w:szCs w:val="24"/>
          <w:lang/>
        </w:rPr>
        <w:t>209.17.17. обробка чи переробка продукції, одержаної в результаті діяльності платника податку у сфері сільського та лісового господарства і рибальства, вважається діяльністю у сфері сільського та лісового господарства і рибальства за умови, якщо така продукція вирощується, відгодовується, виловлюється або збирається (заготовлюється) безпосередньо платником податку (крім їх придбання в інших осіб) (05.01.0, 15.11.0, 15.12.0, 15.13.0, 15.20.0, 15.31.0, 15.32.0, 15.33.0, 15.41.0, 15.42.0, 15.43.0, 15.51.0, 15.61.0, 15.62.0, 15.71.0, 15.81.0, 15.83.0, 15.85.0 </w:t>
      </w:r>
      <w:hyperlink r:id="rId3643" w:tgtFrame="_blank" w:history="1">
        <w:r w:rsidRPr="008B264B">
          <w:rPr>
            <w:rFonts w:ascii="Times New Roman" w:eastAsia="Times New Roman" w:hAnsi="Times New Roman" w:cs="Times New Roman"/>
            <w:color w:val="0000FF"/>
            <w:sz w:val="24"/>
            <w:szCs w:val="24"/>
            <w:u w:val="single"/>
            <w:lang/>
          </w:rPr>
          <w:t>КВЕД</w:t>
        </w:r>
      </w:hyperlink>
      <w:r w:rsidRPr="008B264B">
        <w:rPr>
          <w:rFonts w:ascii="Times New Roman" w:eastAsia="Times New Roman" w:hAnsi="Times New Roman" w:cs="Times New Roman"/>
          <w:color w:val="000000"/>
          <w:sz w:val="24"/>
          <w:szCs w:val="24"/>
          <w:lang/>
        </w:rPr>
        <w:t>).</w:t>
      </w:r>
    </w:p>
    <w:p w14:paraId="73236E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79" w:name="n5370"/>
      <w:bookmarkEnd w:id="6579"/>
      <w:r w:rsidRPr="008B264B">
        <w:rPr>
          <w:rFonts w:ascii="Times New Roman" w:eastAsia="Times New Roman" w:hAnsi="Times New Roman" w:cs="Times New Roman"/>
          <w:color w:val="000000"/>
          <w:sz w:val="24"/>
          <w:szCs w:val="24"/>
          <w:lang/>
        </w:rPr>
        <w:t>209.18. Сума податку на додану вартість, що підлягає сплаті до бюджету сільськогосподарськими підприємствами усіх форм власності, які відповідають критеріям, визначеним </w:t>
      </w:r>
      <w:hyperlink r:id="rId3644" w:anchor="n5191" w:history="1">
        <w:r w:rsidRPr="008B264B">
          <w:rPr>
            <w:rFonts w:ascii="Times New Roman" w:eastAsia="Times New Roman" w:hAnsi="Times New Roman" w:cs="Times New Roman"/>
            <w:color w:val="0000FF"/>
            <w:sz w:val="24"/>
            <w:szCs w:val="24"/>
            <w:u w:val="single"/>
            <w:lang/>
          </w:rPr>
          <w:t>статтею 209</w:t>
        </w:r>
      </w:hyperlink>
      <w:r w:rsidRPr="008B264B">
        <w:rPr>
          <w:rFonts w:ascii="Times New Roman" w:eastAsia="Times New Roman" w:hAnsi="Times New Roman" w:cs="Times New Roman"/>
          <w:color w:val="000000"/>
          <w:sz w:val="24"/>
          <w:szCs w:val="24"/>
          <w:lang/>
        </w:rPr>
        <w:t> цього Кодексу, але не обрали спеціального режиму оподаткування діяльності у сфері сільського, лісового господарства та рибальства, передбаченого статтею 209 цього Кодексу, і на загальних підставах вважаються платником податку на додану вартість, за реалізовані ними молоко, худобу, птицю, вовну власного виробництва, а також за молочні продукти, молочну сировину та м'ясопродукти, вироблені у власних переробних цехах, залишається у розпорядженні цих сільськогосподарських підприємств у розмірі, зазначеному у пункті 209.2 цієї статті і спрямовується на підтримку власного виробництва тваринницької продукції.</w:t>
      </w:r>
    </w:p>
    <w:p w14:paraId="314C2B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0" w:name="n12845"/>
      <w:bookmarkEnd w:id="6580"/>
      <w:r w:rsidRPr="008B264B">
        <w:rPr>
          <w:rFonts w:ascii="Times New Roman" w:eastAsia="Times New Roman" w:hAnsi="Times New Roman" w:cs="Times New Roman"/>
          <w:i/>
          <w:iCs/>
          <w:color w:val="000000"/>
          <w:sz w:val="24"/>
          <w:szCs w:val="24"/>
          <w:lang/>
        </w:rPr>
        <w:t>{Абзац перший пункту 209.18 статті 209 із змінами, внесеними згідно із Законом </w:t>
      </w:r>
      <w:hyperlink r:id="rId3645" w:anchor="n34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234C7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1" w:name="n5371"/>
      <w:bookmarkEnd w:id="6581"/>
      <w:r w:rsidRPr="008B264B">
        <w:rPr>
          <w:rFonts w:ascii="Times New Roman" w:eastAsia="Times New Roman" w:hAnsi="Times New Roman" w:cs="Times New Roman"/>
          <w:color w:val="000000"/>
          <w:sz w:val="24"/>
          <w:szCs w:val="24"/>
          <w:lang/>
        </w:rPr>
        <w:t>У разі якщо товарно-матеріальні цінності, виготовлені та/або придбані, використовуються сільськогосподарським підприємством частково для виготовлення зазначених у цьому пункті товарів (послуг), а частково для інших товарів/послуг, то сума сплаченого (нарахованого) податкового кредиту розподіляється виходячи з частки використання таких товарно-матеріальних цінностей в операціях сільськогосподарського виробництва та відповідно в інших операціях.</w:t>
      </w:r>
    </w:p>
    <w:p w14:paraId="4DE938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2" w:name="n12847"/>
      <w:bookmarkEnd w:id="6582"/>
      <w:r w:rsidRPr="008B264B">
        <w:rPr>
          <w:rFonts w:ascii="Times New Roman" w:eastAsia="Times New Roman" w:hAnsi="Times New Roman" w:cs="Times New Roman"/>
          <w:color w:val="000000"/>
          <w:sz w:val="24"/>
          <w:szCs w:val="24"/>
          <w:lang/>
        </w:rPr>
        <w:t>209.19. З метою застосування пункту 209.2 і підпункту 209.15.1 пункту 209.15 цієї статті:</w:t>
      </w:r>
    </w:p>
    <w:p w14:paraId="073A04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3" w:name="n12848"/>
      <w:bookmarkEnd w:id="6583"/>
      <w:r w:rsidRPr="008B264B">
        <w:rPr>
          <w:rFonts w:ascii="Times New Roman" w:eastAsia="Times New Roman" w:hAnsi="Times New Roman" w:cs="Times New Roman"/>
          <w:color w:val="000000"/>
          <w:sz w:val="24"/>
          <w:szCs w:val="24"/>
          <w:lang/>
        </w:rPr>
        <w:t>зернові культури - зернові культури товарних позицій 1001-1008 згідно з </w:t>
      </w:r>
      <w:hyperlink r:id="rId3646" w:anchor="n20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7CFC2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4" w:name="n12849"/>
      <w:bookmarkEnd w:id="6584"/>
      <w:r w:rsidRPr="008B264B">
        <w:rPr>
          <w:rFonts w:ascii="Times New Roman" w:eastAsia="Times New Roman" w:hAnsi="Times New Roman" w:cs="Times New Roman"/>
          <w:color w:val="000000"/>
          <w:sz w:val="24"/>
          <w:szCs w:val="24"/>
          <w:lang/>
        </w:rPr>
        <w:t>технічні культури - технічні культури товарних позицій 1205 і 1206 00 згідно з </w:t>
      </w:r>
      <w:hyperlink r:id="rId3647" w:anchor="n2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854E7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5" w:name="n12850"/>
      <w:bookmarkEnd w:id="6585"/>
      <w:r w:rsidRPr="008B264B">
        <w:rPr>
          <w:rFonts w:ascii="Times New Roman" w:eastAsia="Times New Roman" w:hAnsi="Times New Roman" w:cs="Times New Roman"/>
          <w:color w:val="000000"/>
          <w:sz w:val="24"/>
          <w:szCs w:val="24"/>
          <w:lang/>
        </w:rPr>
        <w:t>продукція тваринництва - продукція товарних позицій 0102 і 0401 згідно з </w:t>
      </w:r>
      <w:hyperlink r:id="rId3648" w:anchor="n3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4C423E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6" w:name="n12846"/>
      <w:bookmarkEnd w:id="6586"/>
      <w:r w:rsidRPr="008B264B">
        <w:rPr>
          <w:rFonts w:ascii="Times New Roman" w:eastAsia="Times New Roman" w:hAnsi="Times New Roman" w:cs="Times New Roman"/>
          <w:i/>
          <w:iCs/>
          <w:color w:val="000000"/>
          <w:sz w:val="24"/>
          <w:szCs w:val="24"/>
          <w:lang/>
        </w:rPr>
        <w:t>{Статтю 209 доповнено пунктом 209.19 згідно із Законом </w:t>
      </w:r>
      <w:hyperlink r:id="rId3649" w:anchor="n34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458C1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7" w:name="n5372"/>
      <w:bookmarkEnd w:id="6587"/>
      <w:r w:rsidRPr="008B264B">
        <w:rPr>
          <w:rFonts w:ascii="Times New Roman" w:eastAsia="Times New Roman" w:hAnsi="Times New Roman" w:cs="Times New Roman"/>
          <w:b/>
          <w:bCs/>
          <w:color w:val="000000"/>
          <w:sz w:val="24"/>
          <w:szCs w:val="24"/>
          <w:lang/>
        </w:rPr>
        <w:t>Стаття 210.</w:t>
      </w:r>
      <w:r w:rsidRPr="008B264B">
        <w:rPr>
          <w:rFonts w:ascii="Times New Roman" w:eastAsia="Times New Roman" w:hAnsi="Times New Roman" w:cs="Times New Roman"/>
          <w:color w:val="000000"/>
          <w:sz w:val="24"/>
          <w:szCs w:val="24"/>
          <w:lang/>
        </w:rPr>
        <w:t> Спеціальний режим оподаткування діяльності щодо виробів мистецтва, предметів колекціонування або антикваріату</w:t>
      </w:r>
    </w:p>
    <w:p w14:paraId="7BF40F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8" w:name="n5373"/>
      <w:bookmarkEnd w:id="6588"/>
      <w:r w:rsidRPr="008B264B">
        <w:rPr>
          <w:rFonts w:ascii="Times New Roman" w:eastAsia="Times New Roman" w:hAnsi="Times New Roman" w:cs="Times New Roman"/>
          <w:color w:val="000000"/>
          <w:sz w:val="24"/>
          <w:szCs w:val="24"/>
          <w:lang/>
        </w:rPr>
        <w:t>210.1. У випадках, визначених цією статтею, операції з постачання виробів мистецтва, предметів колекціонування або антикваріату підлягають оподаткуванню згідно з нормами цієї статті та не підлягають оподаткуванню в загальному порядку, встановленому цим розділом.</w:t>
      </w:r>
    </w:p>
    <w:p w14:paraId="5D14EE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89" w:name="n5374"/>
      <w:bookmarkEnd w:id="6589"/>
      <w:r w:rsidRPr="008B264B">
        <w:rPr>
          <w:rFonts w:ascii="Times New Roman" w:eastAsia="Times New Roman" w:hAnsi="Times New Roman" w:cs="Times New Roman"/>
          <w:color w:val="000000"/>
          <w:sz w:val="24"/>
          <w:szCs w:val="24"/>
          <w:lang/>
        </w:rPr>
        <w:lastRenderedPageBreak/>
        <w:t>210.2. У цій статті терміни вживаються в такому значенні:</w:t>
      </w:r>
    </w:p>
    <w:p w14:paraId="071C6B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0" w:name="n5375"/>
      <w:bookmarkEnd w:id="6590"/>
      <w:r w:rsidRPr="008B264B">
        <w:rPr>
          <w:rFonts w:ascii="Times New Roman" w:eastAsia="Times New Roman" w:hAnsi="Times New Roman" w:cs="Times New Roman"/>
          <w:color w:val="000000"/>
          <w:sz w:val="24"/>
          <w:szCs w:val="24"/>
          <w:lang/>
        </w:rPr>
        <w:t>культурні цінності - вироби мистецтва, предмети колекціонування або антикваріату - товари, що належать до товарних позицій за кодами 9701-9706 згідно з </w:t>
      </w:r>
      <w:hyperlink r:id="rId3650"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685217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1" w:name="n5376"/>
      <w:bookmarkEnd w:id="6591"/>
      <w:r w:rsidRPr="008B264B">
        <w:rPr>
          <w:rFonts w:ascii="Times New Roman" w:eastAsia="Times New Roman" w:hAnsi="Times New Roman" w:cs="Times New Roman"/>
          <w:color w:val="000000"/>
          <w:sz w:val="24"/>
          <w:szCs w:val="24"/>
          <w:lang/>
        </w:rPr>
        <w:t>дилер - платник податку, який придбаває (набуває за іншими цивільно-правовими договорами), у тому числі шляхом ввезення на митну територію України, культурні цінності, незалежно від мети та цілей їх ввезення, з метою їх подальшого перепродажу, незалежно від того, діє така особа від свого імені або від імені іншої особи за винагороду;</w:t>
      </w:r>
    </w:p>
    <w:p w14:paraId="306DBF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2" w:name="n5377"/>
      <w:bookmarkEnd w:id="6592"/>
      <w:r w:rsidRPr="008B264B">
        <w:rPr>
          <w:rFonts w:ascii="Times New Roman" w:eastAsia="Times New Roman" w:hAnsi="Times New Roman" w:cs="Times New Roman"/>
          <w:color w:val="000000"/>
          <w:sz w:val="24"/>
          <w:szCs w:val="24"/>
          <w:lang/>
        </w:rPr>
        <w:t>маржинальний прибуток (без урахування податку) - це сума, отримана у вигляді різниці між ціною продажу товарів та ціною їх придбання, розрахованих за звичайними цінами.</w:t>
      </w:r>
    </w:p>
    <w:p w14:paraId="7D691A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3" w:name="n5378"/>
      <w:bookmarkEnd w:id="6593"/>
      <w:r w:rsidRPr="008B264B">
        <w:rPr>
          <w:rFonts w:ascii="Times New Roman" w:eastAsia="Times New Roman" w:hAnsi="Times New Roman" w:cs="Times New Roman"/>
          <w:color w:val="000000"/>
          <w:sz w:val="24"/>
          <w:szCs w:val="24"/>
          <w:lang/>
        </w:rPr>
        <w:t>У разі продажу культурних цінностей на публічних торгах (аукціонах) його організатор прирівнюється з метою оподаткування до дилера відповідно до цього підпункту.</w:t>
      </w:r>
    </w:p>
    <w:p w14:paraId="443ACD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4" w:name="n5379"/>
      <w:bookmarkEnd w:id="6594"/>
      <w:r w:rsidRPr="008B264B">
        <w:rPr>
          <w:rFonts w:ascii="Times New Roman" w:eastAsia="Times New Roman" w:hAnsi="Times New Roman" w:cs="Times New Roman"/>
          <w:color w:val="000000"/>
          <w:sz w:val="24"/>
          <w:szCs w:val="24"/>
          <w:lang/>
        </w:rPr>
        <w:t>210.3. У разі постачання культурних цінностей застосовується спеціальна схема оподаткування маржинального прибутку, отриманого дилером, відповідно до положень цієї статті.</w:t>
      </w:r>
    </w:p>
    <w:p w14:paraId="1EEC00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5" w:name="n5380"/>
      <w:bookmarkEnd w:id="6595"/>
      <w:r w:rsidRPr="008B264B">
        <w:rPr>
          <w:rFonts w:ascii="Times New Roman" w:eastAsia="Times New Roman" w:hAnsi="Times New Roman" w:cs="Times New Roman"/>
          <w:color w:val="000000"/>
          <w:sz w:val="24"/>
          <w:szCs w:val="24"/>
          <w:lang/>
        </w:rPr>
        <w:t>210.4. Маржинальна схема застосовується до постачання дилером культурних цінностей, якщо такі цінності були поставлені йому однією із зазначених нижче осіб:</w:t>
      </w:r>
    </w:p>
    <w:p w14:paraId="5ECBA3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6" w:name="n5381"/>
      <w:bookmarkEnd w:id="6596"/>
      <w:r w:rsidRPr="008B264B">
        <w:rPr>
          <w:rFonts w:ascii="Times New Roman" w:eastAsia="Times New Roman" w:hAnsi="Times New Roman" w:cs="Times New Roman"/>
          <w:color w:val="000000"/>
          <w:sz w:val="24"/>
          <w:szCs w:val="24"/>
          <w:lang/>
        </w:rPr>
        <w:t>а) особою, що не зареєстрована як платник податку;</w:t>
      </w:r>
    </w:p>
    <w:p w14:paraId="45532E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7" w:name="n5382"/>
      <w:bookmarkEnd w:id="6597"/>
      <w:r w:rsidRPr="008B264B">
        <w:rPr>
          <w:rFonts w:ascii="Times New Roman" w:eastAsia="Times New Roman" w:hAnsi="Times New Roman" w:cs="Times New Roman"/>
          <w:color w:val="000000"/>
          <w:sz w:val="24"/>
          <w:szCs w:val="24"/>
          <w:lang/>
        </w:rPr>
        <w:t>б) платником податку, якщо операція з постачання ним таких культурних цінностей звільняється від оподаткування або не підлягає оподаткуванню згідно з цим розділом;</w:t>
      </w:r>
    </w:p>
    <w:p w14:paraId="233306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8" w:name="n5383"/>
      <w:bookmarkEnd w:id="6598"/>
      <w:r w:rsidRPr="008B264B">
        <w:rPr>
          <w:rFonts w:ascii="Times New Roman" w:eastAsia="Times New Roman" w:hAnsi="Times New Roman" w:cs="Times New Roman"/>
          <w:color w:val="000000"/>
          <w:sz w:val="24"/>
          <w:szCs w:val="24"/>
          <w:lang/>
        </w:rPr>
        <w:t>в) платником податку, якщо цим платником податку при постачанні культурних цінностей був нарахований податок за маржинальною схемою;</w:t>
      </w:r>
    </w:p>
    <w:p w14:paraId="777B30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599" w:name="n5384"/>
      <w:bookmarkEnd w:id="6599"/>
      <w:r w:rsidRPr="008B264B">
        <w:rPr>
          <w:rFonts w:ascii="Times New Roman" w:eastAsia="Times New Roman" w:hAnsi="Times New Roman" w:cs="Times New Roman"/>
          <w:color w:val="000000"/>
          <w:sz w:val="24"/>
          <w:szCs w:val="24"/>
          <w:lang/>
        </w:rPr>
        <w:t>г) авторами культурних цінностей чи їх правонаступниками.</w:t>
      </w:r>
    </w:p>
    <w:p w14:paraId="4C029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0" w:name="n5385"/>
      <w:bookmarkEnd w:id="6600"/>
      <w:r w:rsidRPr="008B264B">
        <w:rPr>
          <w:rFonts w:ascii="Times New Roman" w:eastAsia="Times New Roman" w:hAnsi="Times New Roman" w:cs="Times New Roman"/>
          <w:color w:val="000000"/>
          <w:sz w:val="24"/>
          <w:szCs w:val="24"/>
          <w:lang/>
        </w:rPr>
        <w:t>Маржинальна схема може застосовуватися дилером до операцій з постачання на митній території України культурних цінностей, що були ввезені дилером у митному режимі імпорту.</w:t>
      </w:r>
    </w:p>
    <w:p w14:paraId="1A0D6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1" w:name="n5386"/>
      <w:bookmarkEnd w:id="6601"/>
      <w:r w:rsidRPr="008B264B">
        <w:rPr>
          <w:rFonts w:ascii="Times New Roman" w:eastAsia="Times New Roman" w:hAnsi="Times New Roman" w:cs="Times New Roman"/>
          <w:color w:val="000000"/>
          <w:sz w:val="24"/>
          <w:szCs w:val="24"/>
          <w:lang/>
        </w:rPr>
        <w:t>210.5. Базою оподаткування для операцій з постачання дилером культурних цінностей є його маржинальний прибуток (без урахування податку), до якого застосовується ставка, визначена </w:t>
      </w:r>
      <w:hyperlink r:id="rId3651" w:anchor="n4635" w:history="1">
        <w:r w:rsidRPr="008B264B">
          <w:rPr>
            <w:rFonts w:ascii="Times New Roman" w:eastAsia="Times New Roman" w:hAnsi="Times New Roman" w:cs="Times New Roman"/>
            <w:color w:val="0000FF"/>
            <w:sz w:val="24"/>
            <w:szCs w:val="24"/>
            <w:u w:val="single"/>
            <w:lang/>
          </w:rPr>
          <w:t>підпунктом "а" пункту 193.1</w:t>
        </w:r>
      </w:hyperlink>
      <w:r w:rsidRPr="008B264B">
        <w:rPr>
          <w:rFonts w:ascii="Times New Roman" w:eastAsia="Times New Roman" w:hAnsi="Times New Roman" w:cs="Times New Roman"/>
          <w:color w:val="000000"/>
          <w:sz w:val="24"/>
          <w:szCs w:val="24"/>
          <w:lang/>
        </w:rPr>
        <w:t> статті 193 цього Кодексу.</w:t>
      </w:r>
    </w:p>
    <w:p w14:paraId="1062BD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2" w:name="n5387"/>
      <w:bookmarkEnd w:id="6602"/>
      <w:r w:rsidRPr="008B264B">
        <w:rPr>
          <w:rFonts w:ascii="Times New Roman" w:eastAsia="Times New Roman" w:hAnsi="Times New Roman" w:cs="Times New Roman"/>
          <w:color w:val="000000"/>
          <w:sz w:val="24"/>
          <w:szCs w:val="24"/>
          <w:lang/>
        </w:rPr>
        <w:t>На операції з постачання на митній території України дилером, який застосовує правила, встановлені цією статтею, податкова накладна не виписується.</w:t>
      </w:r>
    </w:p>
    <w:p w14:paraId="370C87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3" w:name="n14321"/>
      <w:bookmarkEnd w:id="6603"/>
      <w:r w:rsidRPr="008B264B">
        <w:rPr>
          <w:rFonts w:ascii="Times New Roman" w:eastAsia="Times New Roman" w:hAnsi="Times New Roman" w:cs="Times New Roman"/>
          <w:i/>
          <w:iCs/>
          <w:color w:val="000000"/>
          <w:sz w:val="24"/>
          <w:szCs w:val="24"/>
          <w:lang/>
        </w:rPr>
        <w:t>{Пункт 206.5 статті 208 із змінами, внесеними згідно із Законом </w:t>
      </w:r>
      <w:hyperlink r:id="rId3652" w:anchor="n12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6ACB0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4" w:name="n14322"/>
      <w:bookmarkEnd w:id="6604"/>
      <w:r w:rsidRPr="008B264B">
        <w:rPr>
          <w:rFonts w:ascii="Times New Roman" w:eastAsia="Times New Roman" w:hAnsi="Times New Roman" w:cs="Times New Roman"/>
          <w:i/>
          <w:iCs/>
          <w:color w:val="000000"/>
          <w:sz w:val="24"/>
          <w:szCs w:val="24"/>
          <w:lang/>
        </w:rPr>
        <w:t>{Пункт 206.5 статті 208 із змінами, внесеними згідно із Законом </w:t>
      </w:r>
      <w:hyperlink r:id="rId3653" w:anchor="n12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0D8E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5" w:name="n5388"/>
      <w:bookmarkEnd w:id="6605"/>
      <w:r w:rsidRPr="008B264B">
        <w:rPr>
          <w:rFonts w:ascii="Times New Roman" w:eastAsia="Times New Roman" w:hAnsi="Times New Roman" w:cs="Times New Roman"/>
          <w:color w:val="000000"/>
          <w:sz w:val="24"/>
          <w:szCs w:val="24"/>
          <w:lang/>
        </w:rPr>
        <w:t>210.6. Дилер, який придбаває культурні цінності в осіб, визначених у </w:t>
      </w:r>
      <w:hyperlink r:id="rId3654" w:anchor="n5380" w:history="1">
        <w:r w:rsidRPr="008B264B">
          <w:rPr>
            <w:rFonts w:ascii="Times New Roman" w:eastAsia="Times New Roman" w:hAnsi="Times New Roman" w:cs="Times New Roman"/>
            <w:color w:val="0000FF"/>
            <w:sz w:val="24"/>
            <w:szCs w:val="24"/>
            <w:u w:val="single"/>
            <w:lang/>
          </w:rPr>
          <w:t>пункті 210.4</w:t>
        </w:r>
      </w:hyperlink>
      <w:r w:rsidRPr="008B264B">
        <w:rPr>
          <w:rFonts w:ascii="Times New Roman" w:eastAsia="Times New Roman" w:hAnsi="Times New Roman" w:cs="Times New Roman"/>
          <w:color w:val="000000"/>
          <w:sz w:val="24"/>
          <w:szCs w:val="24"/>
          <w:lang/>
        </w:rPr>
        <w:t> цієї статті, не має права на податковий кредит.</w:t>
      </w:r>
    </w:p>
    <w:p w14:paraId="552598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6" w:name="n5389"/>
      <w:bookmarkEnd w:id="6606"/>
      <w:r w:rsidRPr="008B264B">
        <w:rPr>
          <w:rFonts w:ascii="Times New Roman" w:eastAsia="Times New Roman" w:hAnsi="Times New Roman" w:cs="Times New Roman"/>
          <w:color w:val="000000"/>
          <w:sz w:val="24"/>
          <w:szCs w:val="24"/>
          <w:lang/>
        </w:rPr>
        <w:t>210.7. На операції з вивезення культурних цінностей у митному режимі експорту нульова ставка податку не застосовується.</w:t>
      </w:r>
    </w:p>
    <w:p w14:paraId="1E552A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7" w:name="n5390"/>
      <w:bookmarkEnd w:id="6607"/>
      <w:r w:rsidRPr="008B264B">
        <w:rPr>
          <w:rFonts w:ascii="Times New Roman" w:eastAsia="Times New Roman" w:hAnsi="Times New Roman" w:cs="Times New Roman"/>
          <w:color w:val="000000"/>
          <w:sz w:val="24"/>
          <w:szCs w:val="24"/>
          <w:lang/>
        </w:rPr>
        <w:t>210.8. Платник податку, що придбаває культурні цінності в дилера, який застосовує маржинальну схему, не має права вимагати податкову накладну та відносити до податкового кредиту суму податку, сплаченого на маржинальний прибуток.</w:t>
      </w:r>
    </w:p>
    <w:p w14:paraId="44418F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8" w:name="n5391"/>
      <w:bookmarkEnd w:id="6608"/>
      <w:r w:rsidRPr="008B264B">
        <w:rPr>
          <w:rFonts w:ascii="Times New Roman" w:eastAsia="Times New Roman" w:hAnsi="Times New Roman" w:cs="Times New Roman"/>
          <w:color w:val="000000"/>
          <w:sz w:val="24"/>
          <w:szCs w:val="24"/>
          <w:lang/>
        </w:rPr>
        <w:t>Дилер зобов'язаний вести окремий податковий облік операцій з придбання та постачання культурних цінностей та окремий облік операцій з придбання та постачання інших товарів/послуг, до яких застосовується загальний режим оподаткування.</w:t>
      </w:r>
    </w:p>
    <w:p w14:paraId="221883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09" w:name="n5392"/>
      <w:bookmarkEnd w:id="6609"/>
      <w:r w:rsidRPr="008B264B">
        <w:rPr>
          <w:rFonts w:ascii="Times New Roman" w:eastAsia="Times New Roman" w:hAnsi="Times New Roman" w:cs="Times New Roman"/>
          <w:b/>
          <w:bCs/>
          <w:color w:val="000000"/>
          <w:sz w:val="24"/>
          <w:szCs w:val="24"/>
          <w:lang/>
        </w:rPr>
        <w:lastRenderedPageBreak/>
        <w:t>Стаття 211.</w:t>
      </w:r>
      <w:r w:rsidRPr="008B264B">
        <w:rPr>
          <w:rFonts w:ascii="Times New Roman" w:eastAsia="Times New Roman" w:hAnsi="Times New Roman" w:cs="Times New Roman"/>
          <w:color w:val="000000"/>
          <w:sz w:val="24"/>
          <w:szCs w:val="24"/>
          <w:lang/>
        </w:rPr>
        <w:t> Особливості оподаткування операцій, пов'язаних із виконанням робіт з підготовки до зняття і зняття енергоблоків Чорнобильської АЕС з експлуатації та перетворення об'єкта "Укриття" на екологічно безпечну систему</w:t>
      </w:r>
    </w:p>
    <w:p w14:paraId="216BCB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0" w:name="n5393"/>
      <w:bookmarkEnd w:id="6610"/>
      <w:r w:rsidRPr="008B264B">
        <w:rPr>
          <w:rFonts w:ascii="Times New Roman" w:eastAsia="Times New Roman" w:hAnsi="Times New Roman" w:cs="Times New Roman"/>
          <w:color w:val="000000"/>
          <w:sz w:val="24"/>
          <w:szCs w:val="24"/>
          <w:lang/>
        </w:rPr>
        <w:t>211.1. На період виконання робіт з підготовки до зняття і зняття енергоблоків Чорнобильської АЕС з експлуатації та перетворення об'єкта "Укриття" на екологічно безпечну систему, які виконуються за рахунок коштів міжнародної технічної допомоги, що надається на безоплатній та безповоротній основі, або за рахунок коштів, які передбачаються в Державному бюджеті України як внесок України до Чорнобильського фонду "Укриття" для виконання міжнародної програми - Плану здійснення заходів на об'єкті "Укриття" відповідно до положень </w:t>
      </w:r>
      <w:hyperlink r:id="rId3655" w:tgtFrame="_blank" w:history="1">
        <w:r w:rsidRPr="008B264B">
          <w:rPr>
            <w:rFonts w:ascii="Times New Roman" w:eastAsia="Times New Roman" w:hAnsi="Times New Roman" w:cs="Times New Roman"/>
            <w:color w:val="0000FF"/>
            <w:sz w:val="24"/>
            <w:szCs w:val="24"/>
            <w:u w:val="single"/>
            <w:lang/>
          </w:rPr>
          <w:t>Рамкової угоди між Україною та Європейським банком реконструкції та розвитку щодо діяльності Чорнобильського фонду "Укриття" в Україні</w:t>
        </w:r>
      </w:hyperlink>
      <w:r w:rsidRPr="008B264B">
        <w:rPr>
          <w:rFonts w:ascii="Times New Roman" w:eastAsia="Times New Roman" w:hAnsi="Times New Roman" w:cs="Times New Roman"/>
          <w:color w:val="000000"/>
          <w:sz w:val="24"/>
          <w:szCs w:val="24"/>
          <w:lang/>
        </w:rPr>
        <w:t> та </w:t>
      </w:r>
      <w:hyperlink r:id="rId3656" w:tgtFrame="_blank" w:history="1">
        <w:r w:rsidRPr="008B264B">
          <w:rPr>
            <w:rFonts w:ascii="Times New Roman" w:eastAsia="Times New Roman" w:hAnsi="Times New Roman" w:cs="Times New Roman"/>
            <w:color w:val="0000FF"/>
            <w:sz w:val="24"/>
            <w:szCs w:val="24"/>
            <w:u w:val="single"/>
            <w:lang/>
          </w:rPr>
          <w:t>Угоди про грант (проект ядерної безпеки Чорнобильської АЕС) між Європейським банком реконструкції та розвитку, Урядом України і Чорнобильською атомною електростанцією</w:t>
        </w:r>
      </w:hyperlink>
      <w:r w:rsidRPr="008B264B">
        <w:rPr>
          <w:rFonts w:ascii="Times New Roman" w:eastAsia="Times New Roman" w:hAnsi="Times New Roman" w:cs="Times New Roman"/>
          <w:color w:val="000000"/>
          <w:sz w:val="24"/>
          <w:szCs w:val="24"/>
          <w:lang/>
        </w:rPr>
        <w:t>:</w:t>
      </w:r>
    </w:p>
    <w:p w14:paraId="3F5C7C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1" w:name="n5394"/>
      <w:bookmarkEnd w:id="6611"/>
      <w:r w:rsidRPr="008B264B">
        <w:rPr>
          <w:rFonts w:ascii="Times New Roman" w:eastAsia="Times New Roman" w:hAnsi="Times New Roman" w:cs="Times New Roman"/>
          <w:color w:val="000000"/>
          <w:sz w:val="24"/>
          <w:szCs w:val="24"/>
          <w:lang/>
        </w:rPr>
        <w:t>звільняються від оподаткування операції з імпорту товарів (сировини, матеріалів, устаткування та обладнання);</w:t>
      </w:r>
    </w:p>
    <w:p w14:paraId="5A2771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2" w:name="n5395"/>
      <w:bookmarkEnd w:id="6612"/>
      <w:r w:rsidRPr="008B264B">
        <w:rPr>
          <w:rFonts w:ascii="Times New Roman" w:eastAsia="Times New Roman" w:hAnsi="Times New Roman" w:cs="Times New Roman"/>
          <w:color w:val="000000"/>
          <w:sz w:val="24"/>
          <w:szCs w:val="24"/>
          <w:lang/>
        </w:rPr>
        <w:t>оподатковуються за нульовою ставкою операції з постачання товарів (сировини, матеріалів, устаткування та обладнання), виконання робіт та постачання послуг на митній території України, що здійснюються в рамках міжнародної технічної допомоги. Суми податку, сплачені платником податку - виконавцем робіт, послуг за контрактом, укладеним з особою-нерезидентом, яка уклала контракт з реципієнтом, відшкодовуються з бюджету протягом місяця, що настає після місяця, в якому подається податкова декларація, за умови наявності належним чином оформлених документів та підтвердження їх матеріалами документальної перевірки.</w:t>
      </w:r>
    </w:p>
    <w:p w14:paraId="362BE3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3" w:name="n5396"/>
      <w:bookmarkEnd w:id="6613"/>
      <w:r w:rsidRPr="008B264B">
        <w:rPr>
          <w:rFonts w:ascii="Times New Roman" w:eastAsia="Times New Roman" w:hAnsi="Times New Roman" w:cs="Times New Roman"/>
          <w:i/>
          <w:iCs/>
          <w:color w:val="000000"/>
          <w:sz w:val="24"/>
          <w:szCs w:val="24"/>
          <w:lang/>
        </w:rPr>
        <w:t>{Абзац третій пункту 211.1 статті 211 із змінами, внесеними згідно із Законом </w:t>
      </w:r>
      <w:hyperlink r:id="rId365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CD65B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4" w:name="n5397"/>
      <w:bookmarkEnd w:id="6614"/>
      <w:r w:rsidRPr="008B264B">
        <w:rPr>
          <w:rFonts w:ascii="Times New Roman" w:eastAsia="Times New Roman" w:hAnsi="Times New Roman" w:cs="Times New Roman"/>
          <w:color w:val="000000"/>
          <w:sz w:val="24"/>
          <w:szCs w:val="24"/>
          <w:lang/>
        </w:rPr>
        <w:t>211.2. Зазначені в цій статті пільги не поширюються на операції, що стосуються підакцизних товарів та товарів 1-24 груп </w:t>
      </w:r>
      <w:hyperlink r:id="rId3658"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67DF1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5" w:name="n5398"/>
      <w:bookmarkEnd w:id="6615"/>
      <w:r w:rsidRPr="008B264B">
        <w:rPr>
          <w:rFonts w:ascii="Times New Roman" w:eastAsia="Times New Roman" w:hAnsi="Times New Roman" w:cs="Times New Roman"/>
          <w:color w:val="000000"/>
          <w:sz w:val="24"/>
          <w:szCs w:val="24"/>
          <w:lang/>
        </w:rPr>
        <w:t>211.3. У разі порушення вимог щодо цільового використання зазначених товарів або виконання робіт та постачання послуг платник податку зобов'язаний збільшити податкові зобов'язання за результатами податкового періоду, на який припадає таке порушення, на суму податку, що повинна бути сплачена в момент ввезення на митну територію України таких товарів або виконання робіт та постачання послуг на митній території України, а також сплатити пеню, нараховану на таку суму податку, виходячи з 120 відсотків облікової ставки Національного банку України, що діяла на день збільшення податкового зобов'язання, та за період від дати ввезення на митну територію України таких товарів або виконання робіт і постачання послуг до дати збільшення податкових зобов'язань.</w:t>
      </w:r>
    </w:p>
    <w:p w14:paraId="3894C5F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6616" w:name="n5400"/>
      <w:bookmarkEnd w:id="6616"/>
      <w:r w:rsidRPr="008B264B">
        <w:rPr>
          <w:rFonts w:ascii="Times New Roman" w:eastAsia="Times New Roman" w:hAnsi="Times New Roman" w:cs="Times New Roman"/>
          <w:b/>
          <w:bCs/>
          <w:color w:val="000000"/>
          <w:sz w:val="28"/>
          <w:szCs w:val="28"/>
          <w:lang/>
        </w:rPr>
        <w:t>РОЗДІЛ VI. АКЦИЗНИЙ ПОДАТОК</w:t>
      </w:r>
    </w:p>
    <w:p w14:paraId="3E7AF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7" w:name="n5401"/>
      <w:bookmarkEnd w:id="6617"/>
      <w:r w:rsidRPr="008B264B">
        <w:rPr>
          <w:rFonts w:ascii="Times New Roman" w:eastAsia="Times New Roman" w:hAnsi="Times New Roman" w:cs="Times New Roman"/>
          <w:b/>
          <w:bCs/>
          <w:color w:val="000000"/>
          <w:sz w:val="24"/>
          <w:szCs w:val="24"/>
          <w:lang/>
        </w:rPr>
        <w:t>Стаття 212. </w:t>
      </w:r>
      <w:r w:rsidRPr="008B264B">
        <w:rPr>
          <w:rFonts w:ascii="Times New Roman" w:eastAsia="Times New Roman" w:hAnsi="Times New Roman" w:cs="Times New Roman"/>
          <w:color w:val="000000"/>
          <w:sz w:val="24"/>
          <w:szCs w:val="24"/>
          <w:lang/>
        </w:rPr>
        <w:t>Платники податку</w:t>
      </w:r>
    </w:p>
    <w:p w14:paraId="0ECC52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8" w:name="n5402"/>
      <w:bookmarkEnd w:id="6618"/>
      <w:r w:rsidRPr="008B264B">
        <w:rPr>
          <w:rFonts w:ascii="Times New Roman" w:eastAsia="Times New Roman" w:hAnsi="Times New Roman" w:cs="Times New Roman"/>
          <w:color w:val="000000"/>
          <w:sz w:val="24"/>
          <w:szCs w:val="24"/>
          <w:lang/>
        </w:rPr>
        <w:t>212.1. Платниками податку є:</w:t>
      </w:r>
    </w:p>
    <w:p w14:paraId="4F7F4B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19" w:name="n5403"/>
      <w:bookmarkEnd w:id="6619"/>
      <w:r w:rsidRPr="008B264B">
        <w:rPr>
          <w:rFonts w:ascii="Times New Roman" w:eastAsia="Times New Roman" w:hAnsi="Times New Roman" w:cs="Times New Roman"/>
          <w:color w:val="000000"/>
          <w:sz w:val="24"/>
          <w:szCs w:val="24"/>
          <w:lang/>
        </w:rPr>
        <w:t>212.1.1. Особа, постійне представництво, які виробляють підакцизні товари (продукцію) на митній території України, у тому числі з давальницької сировини.</w:t>
      </w:r>
    </w:p>
    <w:p w14:paraId="61920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0" w:name="n15934"/>
      <w:bookmarkEnd w:id="6620"/>
      <w:r w:rsidRPr="008B264B">
        <w:rPr>
          <w:rFonts w:ascii="Times New Roman" w:eastAsia="Times New Roman" w:hAnsi="Times New Roman" w:cs="Times New Roman"/>
          <w:i/>
          <w:iCs/>
          <w:color w:val="000000"/>
          <w:sz w:val="24"/>
          <w:szCs w:val="24"/>
          <w:lang/>
        </w:rPr>
        <w:t>{Підпункт 212.1.1 пункту 212.1 статті 212 із змінами, внесеними згідно із Законом </w:t>
      </w:r>
      <w:hyperlink r:id="rId3659" w:anchor="n5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A56C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1" w:name="n5404"/>
      <w:bookmarkEnd w:id="6621"/>
      <w:r w:rsidRPr="008B264B">
        <w:rPr>
          <w:rFonts w:ascii="Times New Roman" w:eastAsia="Times New Roman" w:hAnsi="Times New Roman" w:cs="Times New Roman"/>
          <w:color w:val="000000"/>
          <w:sz w:val="24"/>
          <w:szCs w:val="24"/>
          <w:lang/>
        </w:rPr>
        <w:t>212.1.2. Особа - суб'єкт господарювання, постійне представництво, які ввозять підакцизні товари (продукцію) на митну територію України.</w:t>
      </w:r>
    </w:p>
    <w:p w14:paraId="2D4F17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2" w:name="n15935"/>
      <w:bookmarkEnd w:id="6622"/>
      <w:r w:rsidRPr="008B264B">
        <w:rPr>
          <w:rFonts w:ascii="Times New Roman" w:eastAsia="Times New Roman" w:hAnsi="Times New Roman" w:cs="Times New Roman"/>
          <w:i/>
          <w:iCs/>
          <w:color w:val="000000"/>
          <w:sz w:val="24"/>
          <w:szCs w:val="24"/>
          <w:lang/>
        </w:rPr>
        <w:t>{Підпункт 212.1.2 пункту 212.1 статті 212 із змінами, внесеними згідно із Законом </w:t>
      </w:r>
      <w:hyperlink r:id="rId3660" w:anchor="n5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E334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3" w:name="n5405"/>
      <w:bookmarkEnd w:id="6623"/>
      <w:r w:rsidRPr="008B264B">
        <w:rPr>
          <w:rFonts w:ascii="Times New Roman" w:eastAsia="Times New Roman" w:hAnsi="Times New Roman" w:cs="Times New Roman"/>
          <w:color w:val="000000"/>
          <w:sz w:val="24"/>
          <w:szCs w:val="24"/>
          <w:lang/>
        </w:rPr>
        <w:lastRenderedPageBreak/>
        <w:t>212.1.3. Фізична особа - резидент або нерезидент, яка ввозить підакцизні товари (продукцію) на митну територію України в обсягах, що підлягають оподаткуванню, відповідно до митного законодавства.</w:t>
      </w:r>
    </w:p>
    <w:p w14:paraId="1FB93A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4" w:name="n5406"/>
      <w:bookmarkEnd w:id="6624"/>
      <w:r w:rsidRPr="008B264B">
        <w:rPr>
          <w:rFonts w:ascii="Times New Roman" w:eastAsia="Times New Roman" w:hAnsi="Times New Roman" w:cs="Times New Roman"/>
          <w:color w:val="000000"/>
          <w:sz w:val="24"/>
          <w:szCs w:val="24"/>
          <w:lang/>
        </w:rPr>
        <w:t>212.1.4. Особа, яка реалізує конфісковані підакцизні товари (продукцію), підакцизні товари (продукцію), визнані безхазяйними, підакцизні товари (продукцію), за якими не звернувся власник до кінця строку зберігання, та підакцизні товари (продукцію), що за правом успадкування чи на інших законних підставах переходять у власність держави, якщо ці товари (продукція) підлягають реалізації (продажу) в установленому законодавством порядку.</w:t>
      </w:r>
    </w:p>
    <w:p w14:paraId="1FFD0F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5" w:name="n5407"/>
      <w:bookmarkEnd w:id="6625"/>
      <w:r w:rsidRPr="008B264B">
        <w:rPr>
          <w:rFonts w:ascii="Times New Roman" w:eastAsia="Times New Roman" w:hAnsi="Times New Roman" w:cs="Times New Roman"/>
          <w:color w:val="000000"/>
          <w:sz w:val="24"/>
          <w:szCs w:val="24"/>
          <w:lang/>
        </w:rPr>
        <w:t>212.1.5. Особа, яка реалізує або передає у володіння, користування чи розпорядження підакцизні товари (продукцію), що були ввезені на митну територію України із звільненням від оподаткування до закінчення строку, визначеного законом відповідно до </w:t>
      </w:r>
      <w:hyperlink r:id="rId3661" w:anchor="n5451" w:history="1">
        <w:r w:rsidRPr="008B264B">
          <w:rPr>
            <w:rFonts w:ascii="Times New Roman" w:eastAsia="Times New Roman" w:hAnsi="Times New Roman" w:cs="Times New Roman"/>
            <w:color w:val="0000FF"/>
            <w:sz w:val="24"/>
            <w:szCs w:val="24"/>
            <w:u w:val="single"/>
            <w:lang/>
          </w:rPr>
          <w:t>пункту 213.3</w:t>
        </w:r>
      </w:hyperlink>
      <w:r w:rsidRPr="008B264B">
        <w:rPr>
          <w:rFonts w:ascii="Times New Roman" w:eastAsia="Times New Roman" w:hAnsi="Times New Roman" w:cs="Times New Roman"/>
          <w:color w:val="000000"/>
          <w:sz w:val="24"/>
          <w:szCs w:val="24"/>
          <w:lang/>
        </w:rPr>
        <w:t> статті 213 цього Кодексу.</w:t>
      </w:r>
    </w:p>
    <w:p w14:paraId="4A45C8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6" w:name="n5408"/>
      <w:bookmarkEnd w:id="6626"/>
      <w:r w:rsidRPr="008B264B">
        <w:rPr>
          <w:rFonts w:ascii="Times New Roman" w:eastAsia="Times New Roman" w:hAnsi="Times New Roman" w:cs="Times New Roman"/>
          <w:color w:val="000000"/>
          <w:sz w:val="24"/>
          <w:szCs w:val="24"/>
          <w:lang/>
        </w:rPr>
        <w:t>212.1.6. Особа, на яку покладається дотримання вимог митних режимів, що передбачають звільнення від оподаткування, у разі порушення таких вимог.</w:t>
      </w:r>
    </w:p>
    <w:p w14:paraId="723532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7" w:name="n5409"/>
      <w:bookmarkEnd w:id="6627"/>
      <w:r w:rsidRPr="008B264B">
        <w:rPr>
          <w:rFonts w:ascii="Times New Roman" w:eastAsia="Times New Roman" w:hAnsi="Times New Roman" w:cs="Times New Roman"/>
          <w:color w:val="000000"/>
          <w:sz w:val="24"/>
          <w:szCs w:val="24"/>
          <w:lang/>
        </w:rPr>
        <w:t>212.1.7. Особа, на яку покладається виконання умов щодо цільового використання підакцизних товарів (продукції), на які встановлено ставку податку 0 гривень за 1 літр 100-відсоткового спирту, 0 євро за 1000 кг нафтопродуктів у разі порушення таких умов.</w:t>
      </w:r>
    </w:p>
    <w:p w14:paraId="7DD18E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8" w:name="n5410"/>
      <w:bookmarkEnd w:id="6628"/>
      <w:r w:rsidRPr="008B264B">
        <w:rPr>
          <w:rFonts w:ascii="Times New Roman" w:eastAsia="Times New Roman" w:hAnsi="Times New Roman" w:cs="Times New Roman"/>
          <w:color w:val="000000"/>
          <w:sz w:val="24"/>
          <w:szCs w:val="24"/>
          <w:lang/>
        </w:rPr>
        <w:t>212.1.8. Особа, на яку при здійсненні операцій з підакцизними товарами (продукцією), які не підлягають оподаткуванню або звільняються від оподаткування, покладається виконання умов щодо цільового використання підакцизних товарів (продукції) в разі порушення таких умов.</w:t>
      </w:r>
    </w:p>
    <w:p w14:paraId="6B614F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29" w:name="n5411"/>
      <w:bookmarkEnd w:id="6629"/>
      <w:r w:rsidRPr="008B264B">
        <w:rPr>
          <w:rFonts w:ascii="Times New Roman" w:eastAsia="Times New Roman" w:hAnsi="Times New Roman" w:cs="Times New Roman"/>
          <w:i/>
          <w:iCs/>
          <w:color w:val="000000"/>
          <w:sz w:val="24"/>
          <w:szCs w:val="24"/>
          <w:lang/>
        </w:rPr>
        <w:t>{Підпункт 212.1.9 пункту 212.1 статті 212 виключено на підставі Закону </w:t>
      </w:r>
      <w:hyperlink r:id="rId3662" w:anchor="n7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F3A99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0" w:name="n9624"/>
      <w:bookmarkEnd w:id="6630"/>
      <w:r w:rsidRPr="008B264B">
        <w:rPr>
          <w:rFonts w:ascii="Times New Roman" w:eastAsia="Times New Roman" w:hAnsi="Times New Roman" w:cs="Times New Roman"/>
          <w:i/>
          <w:iCs/>
          <w:color w:val="000000"/>
          <w:sz w:val="24"/>
          <w:szCs w:val="24"/>
          <w:lang/>
        </w:rPr>
        <w:t>{Підпункт 212.1.10 пункту 212.1 статті 212 виключено на підставі Закону </w:t>
      </w:r>
      <w:hyperlink r:id="rId3663" w:anchor="n7"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560CB0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1" w:name="n11356"/>
      <w:bookmarkEnd w:id="6631"/>
      <w:r w:rsidRPr="008B264B">
        <w:rPr>
          <w:rFonts w:ascii="Times New Roman" w:eastAsia="Times New Roman" w:hAnsi="Times New Roman" w:cs="Times New Roman"/>
          <w:color w:val="000000"/>
          <w:sz w:val="24"/>
          <w:szCs w:val="24"/>
          <w:lang/>
        </w:rPr>
        <w:t>212.1.11. Особа - суб’єкт господарювання роздрібної торгівлі, яка здійснює реалізацію підакцизних товарів.</w:t>
      </w:r>
    </w:p>
    <w:p w14:paraId="3FE0CE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2" w:name="n11363"/>
      <w:bookmarkEnd w:id="6632"/>
      <w:r w:rsidRPr="008B264B">
        <w:rPr>
          <w:rFonts w:ascii="Times New Roman" w:eastAsia="Times New Roman" w:hAnsi="Times New Roman" w:cs="Times New Roman"/>
          <w:i/>
          <w:iCs/>
          <w:color w:val="000000"/>
          <w:sz w:val="24"/>
          <w:szCs w:val="24"/>
          <w:lang/>
        </w:rPr>
        <w:t>{Пункт 212.1 статті 212 доповнено підпунктом 212.1.11 згідно із Законом </w:t>
      </w:r>
      <w:hyperlink r:id="rId3664" w:anchor="n7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E547A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3" w:name="n11357"/>
      <w:bookmarkEnd w:id="6633"/>
      <w:r w:rsidRPr="008B264B">
        <w:rPr>
          <w:rFonts w:ascii="Times New Roman" w:eastAsia="Times New Roman" w:hAnsi="Times New Roman" w:cs="Times New Roman"/>
          <w:color w:val="000000"/>
          <w:sz w:val="24"/>
          <w:szCs w:val="24"/>
          <w:lang/>
        </w:rPr>
        <w:t>212.1.12. Оптовий постачальник електричної енергії.</w:t>
      </w:r>
    </w:p>
    <w:p w14:paraId="79F36F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4" w:name="n11362"/>
      <w:bookmarkEnd w:id="6634"/>
      <w:r w:rsidRPr="008B264B">
        <w:rPr>
          <w:rFonts w:ascii="Times New Roman" w:eastAsia="Times New Roman" w:hAnsi="Times New Roman" w:cs="Times New Roman"/>
          <w:i/>
          <w:iCs/>
          <w:color w:val="000000"/>
          <w:sz w:val="24"/>
          <w:szCs w:val="24"/>
          <w:lang/>
        </w:rPr>
        <w:t>{Пункт 212.1 статті 212 доповнено підпунктом 212.1.12 згідно із Законом </w:t>
      </w:r>
      <w:hyperlink r:id="rId3665" w:anchor="n7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B15F3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5" w:name="n11358"/>
      <w:bookmarkEnd w:id="6635"/>
      <w:r w:rsidRPr="008B264B">
        <w:rPr>
          <w:rFonts w:ascii="Times New Roman" w:eastAsia="Times New Roman" w:hAnsi="Times New Roman" w:cs="Times New Roman"/>
          <w:color w:val="000000"/>
          <w:sz w:val="24"/>
          <w:szCs w:val="24"/>
          <w:lang/>
        </w:rPr>
        <w:t>212.1.13. Виробники електричної енергії, які мають ліцензію на право здійснення підприємницької діяльності з виробництва електричної енергії і продають її поза оптовим ринком електричної енергії.</w:t>
      </w:r>
    </w:p>
    <w:p w14:paraId="641FED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6" w:name="n11359"/>
      <w:bookmarkEnd w:id="6636"/>
      <w:r w:rsidRPr="008B264B">
        <w:rPr>
          <w:rFonts w:ascii="Times New Roman" w:eastAsia="Times New Roman" w:hAnsi="Times New Roman" w:cs="Times New Roman"/>
          <w:color w:val="000000"/>
          <w:sz w:val="24"/>
          <w:szCs w:val="24"/>
          <w:lang/>
        </w:rPr>
        <w:t>Не є платниками податку особи, які здійснюють діяльність з виробництва електричної енергії за умови її продажу на оптовому ринку електричної енергії та/або з постачання електричної енергії, крім платників, зазначених в підпункті 212.1.12 цього пункту.</w:t>
      </w:r>
    </w:p>
    <w:p w14:paraId="37F972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7" w:name="n11361"/>
      <w:bookmarkEnd w:id="6637"/>
      <w:r w:rsidRPr="008B264B">
        <w:rPr>
          <w:rFonts w:ascii="Times New Roman" w:eastAsia="Times New Roman" w:hAnsi="Times New Roman" w:cs="Times New Roman"/>
          <w:i/>
          <w:iCs/>
          <w:color w:val="000000"/>
          <w:sz w:val="24"/>
          <w:szCs w:val="24"/>
          <w:lang/>
        </w:rPr>
        <w:t>{Пункт 212.1 статті 212 доповнено підпунктом 212.1.13 згідно із Законом </w:t>
      </w:r>
      <w:hyperlink r:id="rId3666" w:anchor="n7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7B31A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8" w:name="n11360"/>
      <w:bookmarkEnd w:id="6638"/>
      <w:r w:rsidRPr="008B264B">
        <w:rPr>
          <w:rFonts w:ascii="Times New Roman" w:eastAsia="Times New Roman" w:hAnsi="Times New Roman" w:cs="Times New Roman"/>
          <w:color w:val="000000"/>
          <w:sz w:val="24"/>
          <w:szCs w:val="24"/>
          <w:lang/>
        </w:rPr>
        <w:t>212.1.14. Особа - власник ввезеного на митну територію України вантажного транспортного засобу, що переобладнується у легковий автомобіль, з якого справляється акцизний податок.</w:t>
      </w:r>
    </w:p>
    <w:p w14:paraId="2D0954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39" w:name="n11355"/>
      <w:bookmarkEnd w:id="6639"/>
      <w:r w:rsidRPr="008B264B">
        <w:rPr>
          <w:rFonts w:ascii="Times New Roman" w:eastAsia="Times New Roman" w:hAnsi="Times New Roman" w:cs="Times New Roman"/>
          <w:i/>
          <w:iCs/>
          <w:color w:val="000000"/>
          <w:sz w:val="24"/>
          <w:szCs w:val="24"/>
          <w:lang/>
        </w:rPr>
        <w:t>{Пункт 212.1 статті 212 доповнено підпунктом 212.1.14 згідно із Законом </w:t>
      </w:r>
      <w:hyperlink r:id="rId3667" w:anchor="n75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9F53C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0" w:name="n12852"/>
      <w:bookmarkEnd w:id="6640"/>
      <w:r w:rsidRPr="008B264B">
        <w:rPr>
          <w:rFonts w:ascii="Times New Roman" w:eastAsia="Times New Roman" w:hAnsi="Times New Roman" w:cs="Times New Roman"/>
          <w:color w:val="000000"/>
          <w:sz w:val="24"/>
          <w:szCs w:val="24"/>
          <w:lang/>
        </w:rPr>
        <w:lastRenderedPageBreak/>
        <w:t>212.1.15. Особа (у тому числі юридична особа, що веде облік результатів діяльності за договором про спільну діяльність без створення юридичної особи), постійне представництво, які реалізують пальне або спирт етиловий.</w:t>
      </w:r>
    </w:p>
    <w:p w14:paraId="30221C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1" w:name="n12851"/>
      <w:bookmarkEnd w:id="6641"/>
      <w:r w:rsidRPr="008B264B">
        <w:rPr>
          <w:rFonts w:ascii="Times New Roman" w:eastAsia="Times New Roman" w:hAnsi="Times New Roman" w:cs="Times New Roman"/>
          <w:i/>
          <w:iCs/>
          <w:color w:val="000000"/>
          <w:sz w:val="24"/>
          <w:szCs w:val="24"/>
          <w:lang/>
        </w:rPr>
        <w:t>{Пункт 212.1 статті 212 доповнено підпунктом 212.1.15 згідно із Законом </w:t>
      </w:r>
      <w:hyperlink r:id="rId3668" w:anchor="n34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669" w:anchor="n2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670" w:anchor="n5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79B55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2" w:name="n15937"/>
      <w:bookmarkEnd w:id="6642"/>
      <w:r w:rsidRPr="008B264B">
        <w:rPr>
          <w:rFonts w:ascii="Times New Roman" w:eastAsia="Times New Roman" w:hAnsi="Times New Roman" w:cs="Times New Roman"/>
          <w:color w:val="000000"/>
          <w:sz w:val="24"/>
          <w:szCs w:val="24"/>
          <w:lang/>
        </w:rPr>
        <w:t>212.1.16. Особа - суб’єкт господарювання, постійне представництво, які використовують товари (продукцію), коди яких згідно з УКТ ЗЕД не зазначені у </w:t>
      </w:r>
      <w:hyperlink r:id="rId3671"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672"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 пальне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w:t>
      </w:r>
    </w:p>
    <w:p w14:paraId="0D3C1C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3" w:name="n15936"/>
      <w:bookmarkEnd w:id="6643"/>
      <w:r w:rsidRPr="008B264B">
        <w:rPr>
          <w:rFonts w:ascii="Times New Roman" w:eastAsia="Times New Roman" w:hAnsi="Times New Roman" w:cs="Times New Roman"/>
          <w:i/>
          <w:iCs/>
          <w:color w:val="000000"/>
          <w:sz w:val="24"/>
          <w:szCs w:val="24"/>
          <w:lang/>
        </w:rPr>
        <w:t>{Пункт 212.1 статті 212 доповнено підпунктом 212.1.16 згідно із Законом </w:t>
      </w:r>
      <w:hyperlink r:id="rId3673" w:anchor="n6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62B69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4" w:name="n5415"/>
      <w:bookmarkEnd w:id="6644"/>
      <w:r w:rsidRPr="008B264B">
        <w:rPr>
          <w:rFonts w:ascii="Times New Roman" w:eastAsia="Times New Roman" w:hAnsi="Times New Roman" w:cs="Times New Roman"/>
          <w:color w:val="000000"/>
          <w:sz w:val="24"/>
          <w:szCs w:val="24"/>
          <w:lang/>
        </w:rPr>
        <w:t>212.2. Замовники, за дорученням яких виробляються підакцизні товари (продукція) з давальницької сировини, сплачують податок виробнику.</w:t>
      </w:r>
    </w:p>
    <w:p w14:paraId="5A82F3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5" w:name="n5416"/>
      <w:bookmarkEnd w:id="6645"/>
      <w:r w:rsidRPr="008B264B">
        <w:rPr>
          <w:rFonts w:ascii="Times New Roman" w:eastAsia="Times New Roman" w:hAnsi="Times New Roman" w:cs="Times New Roman"/>
          <w:color w:val="000000"/>
          <w:sz w:val="24"/>
          <w:szCs w:val="24"/>
          <w:lang/>
        </w:rPr>
        <w:t>212.3. Реєстрація осіб як платників податку.</w:t>
      </w:r>
    </w:p>
    <w:p w14:paraId="6CB36A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6" w:name="n5417"/>
      <w:bookmarkEnd w:id="6646"/>
      <w:r w:rsidRPr="008B264B">
        <w:rPr>
          <w:rFonts w:ascii="Times New Roman" w:eastAsia="Times New Roman" w:hAnsi="Times New Roman" w:cs="Times New Roman"/>
          <w:color w:val="000000"/>
          <w:sz w:val="24"/>
          <w:szCs w:val="24"/>
          <w:lang/>
        </w:rPr>
        <w:t>212.3.1. Реєстрація у контролюючих органах як платника податку суб’єкта господарювання, постійного представництва, які здійснюють діяльність з виробництва підакцизних товарів (продукції), яка підлягає ліцензуванню, здійснюється на підставі відомостей щодо видачі такому суб'єкту відповідної ліцензії.</w:t>
      </w:r>
    </w:p>
    <w:p w14:paraId="39F777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7" w:name="n15938"/>
      <w:bookmarkEnd w:id="6647"/>
      <w:r w:rsidRPr="008B264B">
        <w:rPr>
          <w:rFonts w:ascii="Times New Roman" w:eastAsia="Times New Roman" w:hAnsi="Times New Roman" w:cs="Times New Roman"/>
          <w:i/>
          <w:iCs/>
          <w:color w:val="000000"/>
          <w:sz w:val="24"/>
          <w:szCs w:val="24"/>
          <w:lang/>
        </w:rPr>
        <w:t>{Абзац перший підпункту 212.3.1 пункту 212.3 статті 212 із змінами, внесеними згідно із Законом </w:t>
      </w:r>
      <w:hyperlink r:id="rId3674" w:anchor="n6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5B98E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8" w:name="n5418"/>
      <w:bookmarkEnd w:id="6648"/>
      <w:r w:rsidRPr="008B264B">
        <w:rPr>
          <w:rFonts w:ascii="Times New Roman" w:eastAsia="Times New Roman" w:hAnsi="Times New Roman" w:cs="Times New Roman"/>
          <w:color w:val="000000"/>
          <w:sz w:val="24"/>
          <w:szCs w:val="24"/>
          <w:lang/>
        </w:rPr>
        <w:t>Органи ліцензування, що уповноважені видавати ліцензії на зазначені види діяльності, зобов'язані надати контролюючому органу за місцезнаходженням юридичних осіб, постійних представництв, місцем проживання фізичних осіб - підприємців інформацію про видані, переоформлені, призупинені або анульовані ліцензії у п'ятиденний строк з дня здійснення таких дій.</w:t>
      </w:r>
    </w:p>
    <w:p w14:paraId="1AA6A7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49" w:name="n5419"/>
      <w:bookmarkEnd w:id="6649"/>
      <w:r w:rsidRPr="008B264B">
        <w:rPr>
          <w:rFonts w:ascii="Times New Roman" w:eastAsia="Times New Roman" w:hAnsi="Times New Roman" w:cs="Times New Roman"/>
          <w:i/>
          <w:iCs/>
          <w:color w:val="000000"/>
          <w:sz w:val="24"/>
          <w:szCs w:val="24"/>
          <w:lang/>
        </w:rPr>
        <w:t>{Абзац другий підпункту 212.3.1 пункту 212.3 статті 212 із змінами, внесеними згідно із Законами </w:t>
      </w:r>
      <w:hyperlink r:id="rId367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3676" w:anchor="n6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6710F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0" w:name="n11365"/>
      <w:bookmarkEnd w:id="6650"/>
      <w:r w:rsidRPr="008B264B">
        <w:rPr>
          <w:rFonts w:ascii="Times New Roman" w:eastAsia="Times New Roman" w:hAnsi="Times New Roman" w:cs="Times New Roman"/>
          <w:color w:val="000000"/>
          <w:sz w:val="24"/>
          <w:szCs w:val="24"/>
          <w:lang/>
        </w:rPr>
        <w:t>212.3.1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Особи - суб’єкти господарювання роздрібної торгівлі, які здійснюють реалізацію підакцизних товарів, підлягають обов’язковій реєстрації як платники податку контролюючими органами за місцезнаходженням пункту продажу товарів не пізніше граничного терміну подання декларації акцизного податку за місяць, в якому здійснюється господарська діяльність.</w:t>
      </w:r>
    </w:p>
    <w:p w14:paraId="3A5C6B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1" w:name="n11364"/>
      <w:bookmarkEnd w:id="6651"/>
      <w:r w:rsidRPr="008B264B">
        <w:rPr>
          <w:rFonts w:ascii="Times New Roman" w:eastAsia="Times New Roman" w:hAnsi="Times New Roman" w:cs="Times New Roman"/>
          <w:i/>
          <w:iCs/>
          <w:color w:val="000000"/>
          <w:sz w:val="24"/>
          <w:szCs w:val="24"/>
          <w:lang/>
        </w:rPr>
        <w:t>{Пункт 212.3 статті 212 доповнено підпунктом 212.3.1</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677" w:anchor="n76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68F23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2" w:name="n5420"/>
      <w:bookmarkEnd w:id="6652"/>
      <w:r w:rsidRPr="008B264B">
        <w:rPr>
          <w:rFonts w:ascii="Times New Roman" w:eastAsia="Times New Roman" w:hAnsi="Times New Roman" w:cs="Times New Roman"/>
          <w:color w:val="000000"/>
          <w:sz w:val="24"/>
          <w:szCs w:val="24"/>
          <w:lang/>
        </w:rPr>
        <w:t>212.3.2. Інші платники підлягають обов'язковій реєстрації як платники податку контролюючими органами за місцезнаходженням юридичних осіб, місцем проживання фізичних осіб - підприємців, не пізніше граничного терміну подання декларації акцизного податку за місяць, в якому розпочато господарську діяльність.</w:t>
      </w:r>
    </w:p>
    <w:p w14:paraId="3C53B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3" w:name="n5421"/>
      <w:bookmarkEnd w:id="6653"/>
      <w:r w:rsidRPr="008B264B">
        <w:rPr>
          <w:rFonts w:ascii="Times New Roman" w:eastAsia="Times New Roman" w:hAnsi="Times New Roman" w:cs="Times New Roman"/>
          <w:i/>
          <w:iCs/>
          <w:color w:val="000000"/>
          <w:sz w:val="24"/>
          <w:szCs w:val="24"/>
          <w:lang/>
        </w:rPr>
        <w:t>{Підпункт 212.3.2 пункту 212.3 статті 212 із змінами, внесеними згідно із Законом </w:t>
      </w:r>
      <w:hyperlink r:id="rId367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2FF74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4" w:name="n5422"/>
      <w:bookmarkEnd w:id="6654"/>
      <w:r w:rsidRPr="008B264B">
        <w:rPr>
          <w:rFonts w:ascii="Times New Roman" w:eastAsia="Times New Roman" w:hAnsi="Times New Roman" w:cs="Times New Roman"/>
          <w:i/>
          <w:iCs/>
          <w:color w:val="000000"/>
          <w:sz w:val="24"/>
          <w:szCs w:val="24"/>
          <w:lang/>
        </w:rPr>
        <w:t>{Підпункт 212.3.3 пункту 212.3 статті 212 виключено на підставі Закону </w:t>
      </w:r>
      <w:hyperlink r:id="rId3679" w:anchor="n7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D2C1E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5" w:name="n12854"/>
      <w:bookmarkEnd w:id="6655"/>
      <w:r w:rsidRPr="008B264B">
        <w:rPr>
          <w:rFonts w:ascii="Times New Roman" w:eastAsia="Times New Roman" w:hAnsi="Times New Roman" w:cs="Times New Roman"/>
          <w:color w:val="000000"/>
          <w:sz w:val="24"/>
          <w:szCs w:val="24"/>
          <w:lang/>
        </w:rPr>
        <w:lastRenderedPageBreak/>
        <w:t>212.3.4. Особи, які здійснюватимуть реалізацію пального або спирту етилового, підлягають обов’язковій реєстрації як платники податку контролюючими органами за місцезнаходженням юридичних осіб, постійних представництв, місцем проживання фізичних осіб - підприємців до початку здійснення реалізації пального або спирту етилового.</w:t>
      </w:r>
    </w:p>
    <w:p w14:paraId="309F39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6" w:name="n15939"/>
      <w:bookmarkEnd w:id="6656"/>
      <w:r w:rsidRPr="008B264B">
        <w:rPr>
          <w:rFonts w:ascii="Times New Roman" w:eastAsia="Times New Roman" w:hAnsi="Times New Roman" w:cs="Times New Roman"/>
          <w:i/>
          <w:iCs/>
          <w:color w:val="000000"/>
          <w:sz w:val="24"/>
          <w:szCs w:val="24"/>
          <w:lang/>
        </w:rPr>
        <w:t>{Абзац перший підпункту 212.3.4 пункту 212.3 статті 212 із змінами, внесеними згідно із Законом </w:t>
      </w:r>
      <w:hyperlink r:id="rId3680" w:anchor="n6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78067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7" w:name="n12855"/>
      <w:bookmarkEnd w:id="6657"/>
      <w:r w:rsidRPr="008B264B">
        <w:rPr>
          <w:rFonts w:ascii="Times New Roman" w:eastAsia="Times New Roman" w:hAnsi="Times New Roman" w:cs="Times New Roman"/>
          <w:color w:val="000000"/>
          <w:sz w:val="24"/>
          <w:szCs w:val="24"/>
          <w:lang/>
        </w:rPr>
        <w:t>Реєстрація платника податку здійснюється на підставі подання особою не пізніше ніж за три робочі дні до початку здійснення реалізації пального або спирту етилового заяви, </w:t>
      </w:r>
      <w:hyperlink r:id="rId3681" w:anchor="n19" w:tgtFrame="_blank" w:history="1">
        <w:r w:rsidRPr="008B264B">
          <w:rPr>
            <w:rFonts w:ascii="Times New Roman" w:eastAsia="Times New Roman" w:hAnsi="Times New Roman" w:cs="Times New Roman"/>
            <w:color w:val="0000FF"/>
            <w:sz w:val="24"/>
            <w:szCs w:val="24"/>
            <w:u w:val="single"/>
            <w:lang/>
          </w:rPr>
          <w:t>форма</w:t>
        </w:r>
      </w:hyperlink>
      <w:r w:rsidRPr="008B264B">
        <w:rPr>
          <w:rFonts w:ascii="Times New Roman" w:eastAsia="Times New Roman" w:hAnsi="Times New Roman" w:cs="Times New Roman"/>
          <w:color w:val="000000"/>
          <w:sz w:val="24"/>
          <w:szCs w:val="24"/>
          <w:lang/>
        </w:rPr>
        <w:t> якої затверджується центральним органом виконавчої влади, що забезпечує формування державної фінансової політики.</w:t>
      </w:r>
    </w:p>
    <w:p w14:paraId="44076D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8" w:name="n12856"/>
      <w:bookmarkEnd w:id="6658"/>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податкову політику, веде реєстр платників акцизного податку з реалізації пального або спирту етилового, в якому міститься інформація про осіб, зареєстрованих платниками акцизного податку.</w:t>
      </w:r>
    </w:p>
    <w:p w14:paraId="6C02B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59" w:name="n15940"/>
      <w:bookmarkEnd w:id="6659"/>
      <w:r w:rsidRPr="008B264B">
        <w:rPr>
          <w:rFonts w:ascii="Times New Roman" w:eastAsia="Times New Roman" w:hAnsi="Times New Roman" w:cs="Times New Roman"/>
          <w:i/>
          <w:iCs/>
          <w:color w:val="000000"/>
          <w:sz w:val="24"/>
          <w:szCs w:val="24"/>
          <w:lang/>
        </w:rPr>
        <w:t>{Абзац третій підпункту 212.3.4 пункту 212.3 статті 212 із змінами, внесеними згідно із Законом </w:t>
      </w:r>
      <w:hyperlink r:id="rId3682" w:anchor="n6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FD098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0" w:name="n12853"/>
      <w:bookmarkEnd w:id="6660"/>
      <w:r w:rsidRPr="008B264B">
        <w:rPr>
          <w:rFonts w:ascii="Times New Roman" w:eastAsia="Times New Roman" w:hAnsi="Times New Roman" w:cs="Times New Roman"/>
          <w:i/>
          <w:iCs/>
          <w:color w:val="000000"/>
          <w:sz w:val="24"/>
          <w:szCs w:val="24"/>
          <w:lang/>
        </w:rPr>
        <w:t>{Пункт 212.3 статті 212 доповнено підпунктом 212.3.4 згідно із Законом </w:t>
      </w:r>
      <w:hyperlink r:id="rId3683" w:anchor="n34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684" w:anchor="n27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0681E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1" w:name="n5424"/>
      <w:bookmarkEnd w:id="6661"/>
      <w:r w:rsidRPr="008B264B">
        <w:rPr>
          <w:rFonts w:ascii="Times New Roman" w:eastAsia="Times New Roman" w:hAnsi="Times New Roman" w:cs="Times New Roman"/>
          <w:b/>
          <w:bCs/>
          <w:color w:val="000000"/>
          <w:sz w:val="24"/>
          <w:szCs w:val="24"/>
          <w:lang/>
        </w:rPr>
        <w:t>Стаття 213.</w:t>
      </w:r>
      <w:r w:rsidRPr="008B264B">
        <w:rPr>
          <w:rFonts w:ascii="Times New Roman" w:eastAsia="Times New Roman" w:hAnsi="Times New Roman" w:cs="Times New Roman"/>
          <w:color w:val="000000"/>
          <w:sz w:val="24"/>
          <w:szCs w:val="24"/>
          <w:lang/>
        </w:rPr>
        <w:t> Об'єкти оподаткування</w:t>
      </w:r>
    </w:p>
    <w:p w14:paraId="7568B9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2" w:name="n5425"/>
      <w:bookmarkEnd w:id="6662"/>
      <w:r w:rsidRPr="008B264B">
        <w:rPr>
          <w:rFonts w:ascii="Times New Roman" w:eastAsia="Times New Roman" w:hAnsi="Times New Roman" w:cs="Times New Roman"/>
          <w:color w:val="000000"/>
          <w:sz w:val="24"/>
          <w:szCs w:val="24"/>
          <w:lang/>
        </w:rPr>
        <w:t>213.1. Об'єктами оподаткування є операції з:</w:t>
      </w:r>
    </w:p>
    <w:p w14:paraId="4D9E58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3" w:name="n5426"/>
      <w:bookmarkEnd w:id="6663"/>
      <w:r w:rsidRPr="008B264B">
        <w:rPr>
          <w:rFonts w:ascii="Times New Roman" w:eastAsia="Times New Roman" w:hAnsi="Times New Roman" w:cs="Times New Roman"/>
          <w:color w:val="000000"/>
          <w:sz w:val="24"/>
          <w:szCs w:val="24"/>
          <w:lang/>
        </w:rPr>
        <w:t>213.1.1. реалізації вироблених в Україні підакцизних товарів (продукції);</w:t>
      </w:r>
    </w:p>
    <w:p w14:paraId="4EC542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4" w:name="n5427"/>
      <w:bookmarkEnd w:id="6664"/>
      <w:r w:rsidRPr="008B264B">
        <w:rPr>
          <w:rFonts w:ascii="Times New Roman" w:eastAsia="Times New Roman" w:hAnsi="Times New Roman" w:cs="Times New Roman"/>
          <w:color w:val="000000"/>
          <w:sz w:val="24"/>
          <w:szCs w:val="24"/>
          <w:lang/>
        </w:rPr>
        <w:t>213.1.2. реалізації та/або передачі в межах одного підприємства підакцизних товарів (продукції) з метою власного споживання, промислової переробки, своїм працівникам, а також здійснення внесків підакцизними товарами (продукцією) до статутного капіталу;</w:t>
      </w:r>
    </w:p>
    <w:p w14:paraId="008F45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5" w:name="n11366"/>
      <w:bookmarkEnd w:id="6665"/>
      <w:r w:rsidRPr="008B264B">
        <w:rPr>
          <w:rFonts w:ascii="Times New Roman" w:eastAsia="Times New Roman" w:hAnsi="Times New Roman" w:cs="Times New Roman"/>
          <w:i/>
          <w:iCs/>
          <w:color w:val="000000"/>
          <w:sz w:val="24"/>
          <w:szCs w:val="24"/>
          <w:lang/>
        </w:rPr>
        <w:t>{Підпункт 213.1.2 пункту 213.1 статті 213 в редакції Закону </w:t>
      </w:r>
      <w:hyperlink r:id="rId3685" w:anchor="n7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36ADC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6" w:name="n5428"/>
      <w:bookmarkEnd w:id="6666"/>
      <w:r w:rsidRPr="008B264B">
        <w:rPr>
          <w:rFonts w:ascii="Times New Roman" w:eastAsia="Times New Roman" w:hAnsi="Times New Roman" w:cs="Times New Roman"/>
          <w:color w:val="000000"/>
          <w:sz w:val="24"/>
          <w:szCs w:val="24"/>
          <w:lang/>
        </w:rPr>
        <w:t>213.1.3. ввезення підакцизних товарів (продукції) на митну територію України;</w:t>
      </w:r>
    </w:p>
    <w:p w14:paraId="05981F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7" w:name="n5429"/>
      <w:bookmarkEnd w:id="6667"/>
      <w:r w:rsidRPr="008B264B">
        <w:rPr>
          <w:rFonts w:ascii="Times New Roman" w:eastAsia="Times New Roman" w:hAnsi="Times New Roman" w:cs="Times New Roman"/>
          <w:color w:val="000000"/>
          <w:sz w:val="24"/>
          <w:szCs w:val="24"/>
          <w:lang/>
        </w:rPr>
        <w:t>213.1.4. реалізації конфіскованих підакцизних товарів (продукції), підакцизних товарів (продукції), визнаних безхазяйними, підакцизних товарів (продукції), за якими не звернувся власник до кінця строку зберігання, та підакцизних товарів (продукції), що за правом успадкування чи на інших законних підставах переходять у власність держави;</w:t>
      </w:r>
    </w:p>
    <w:p w14:paraId="37FDD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8" w:name="n5430"/>
      <w:bookmarkEnd w:id="6668"/>
      <w:r w:rsidRPr="008B264B">
        <w:rPr>
          <w:rFonts w:ascii="Times New Roman" w:eastAsia="Times New Roman" w:hAnsi="Times New Roman" w:cs="Times New Roman"/>
          <w:color w:val="000000"/>
          <w:sz w:val="24"/>
          <w:szCs w:val="24"/>
          <w:lang/>
        </w:rPr>
        <w:t>213.1.5. реалізації або передачі у володіння, користування чи розпорядження підакцизних товарів (продукції), що були ввезені на митну територію України із звільненням від оподаткування до закінчення строку, визначеного законодавством, відповідно до </w:t>
      </w:r>
      <w:hyperlink r:id="rId3686" w:anchor="n5451" w:history="1">
        <w:r w:rsidRPr="008B264B">
          <w:rPr>
            <w:rFonts w:ascii="Times New Roman" w:eastAsia="Times New Roman" w:hAnsi="Times New Roman" w:cs="Times New Roman"/>
            <w:color w:val="0000FF"/>
            <w:sz w:val="24"/>
            <w:szCs w:val="24"/>
            <w:u w:val="single"/>
            <w:lang/>
          </w:rPr>
          <w:t>пункту 213.3</w:t>
        </w:r>
      </w:hyperlink>
      <w:r w:rsidRPr="008B264B">
        <w:rPr>
          <w:rFonts w:ascii="Times New Roman" w:eastAsia="Times New Roman" w:hAnsi="Times New Roman" w:cs="Times New Roman"/>
          <w:color w:val="000000"/>
          <w:sz w:val="24"/>
          <w:szCs w:val="24"/>
          <w:lang/>
        </w:rPr>
        <w:t> статті 213 цього Кодексу;</w:t>
      </w:r>
    </w:p>
    <w:p w14:paraId="1FB9BE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69" w:name="n5431"/>
      <w:bookmarkEnd w:id="6669"/>
      <w:r w:rsidRPr="008B264B">
        <w:rPr>
          <w:rFonts w:ascii="Times New Roman" w:eastAsia="Times New Roman" w:hAnsi="Times New Roman" w:cs="Times New Roman"/>
          <w:color w:val="000000"/>
          <w:sz w:val="24"/>
          <w:szCs w:val="24"/>
          <w:lang/>
        </w:rPr>
        <w:t>213.1.6. обсяги та вартість втрачених підакцизних товарів (продукції), що перевищують встановлені норми втрат з урахуванням </w:t>
      </w:r>
      <w:hyperlink r:id="rId3687" w:anchor="n5477" w:history="1">
        <w:r w:rsidRPr="008B264B">
          <w:rPr>
            <w:rFonts w:ascii="Times New Roman" w:eastAsia="Times New Roman" w:hAnsi="Times New Roman" w:cs="Times New Roman"/>
            <w:color w:val="0000FF"/>
            <w:sz w:val="24"/>
            <w:szCs w:val="24"/>
            <w:u w:val="single"/>
            <w:lang/>
          </w:rPr>
          <w:t>пункту 214.6 статті</w:t>
        </w:r>
      </w:hyperlink>
      <w:r w:rsidRPr="008B264B">
        <w:rPr>
          <w:rFonts w:ascii="Times New Roman" w:eastAsia="Times New Roman" w:hAnsi="Times New Roman" w:cs="Times New Roman"/>
          <w:color w:val="000000"/>
          <w:sz w:val="24"/>
          <w:szCs w:val="24"/>
          <w:lang/>
        </w:rPr>
        <w:t> 214 цього Кодексу;</w:t>
      </w:r>
    </w:p>
    <w:p w14:paraId="33CC32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0" w:name="n5432"/>
      <w:bookmarkEnd w:id="6670"/>
      <w:r w:rsidRPr="008B264B">
        <w:rPr>
          <w:rFonts w:ascii="Times New Roman" w:eastAsia="Times New Roman" w:hAnsi="Times New Roman" w:cs="Times New Roman"/>
          <w:i/>
          <w:iCs/>
          <w:color w:val="000000"/>
          <w:sz w:val="24"/>
          <w:szCs w:val="24"/>
          <w:lang/>
        </w:rPr>
        <w:t>{Підпункт 213.1.7 пункту 213.1 статті 213 виключено на підставі Закону </w:t>
      </w:r>
      <w:hyperlink r:id="rId3688" w:anchor="n7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BC486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1" w:name="n9626"/>
      <w:bookmarkEnd w:id="6671"/>
      <w:r w:rsidRPr="008B264B">
        <w:rPr>
          <w:rFonts w:ascii="Times New Roman" w:eastAsia="Times New Roman" w:hAnsi="Times New Roman" w:cs="Times New Roman"/>
          <w:i/>
          <w:iCs/>
          <w:color w:val="000000"/>
          <w:sz w:val="24"/>
          <w:szCs w:val="24"/>
          <w:lang/>
        </w:rPr>
        <w:t>{Підпункт 213.1.8 пункту 213.1 статті 213 виключено на підставі Закону </w:t>
      </w:r>
      <w:hyperlink r:id="rId3689" w:anchor="n8"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7D59B2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2" w:name="n11368"/>
      <w:bookmarkEnd w:id="6672"/>
      <w:r w:rsidRPr="008B264B">
        <w:rPr>
          <w:rFonts w:ascii="Times New Roman" w:eastAsia="Times New Roman" w:hAnsi="Times New Roman" w:cs="Times New Roman"/>
          <w:color w:val="000000"/>
          <w:sz w:val="24"/>
          <w:szCs w:val="24"/>
          <w:lang/>
        </w:rPr>
        <w:t>213.1.9. реалізації суб’єктами господарювання роздрібної торгівлі підакцизних товарів;</w:t>
      </w:r>
    </w:p>
    <w:p w14:paraId="751404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3" w:name="n11372"/>
      <w:bookmarkEnd w:id="6673"/>
      <w:r w:rsidRPr="008B264B">
        <w:rPr>
          <w:rFonts w:ascii="Times New Roman" w:eastAsia="Times New Roman" w:hAnsi="Times New Roman" w:cs="Times New Roman"/>
          <w:i/>
          <w:iCs/>
          <w:color w:val="000000"/>
          <w:sz w:val="24"/>
          <w:szCs w:val="24"/>
          <w:lang/>
        </w:rPr>
        <w:t>{Пункт 213.1 статті 213 доповнено підпунктом 213.1.9 згідно із Законом </w:t>
      </w:r>
      <w:hyperlink r:id="rId3690" w:anchor="n7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F761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4" w:name="n11369"/>
      <w:bookmarkEnd w:id="6674"/>
      <w:r w:rsidRPr="008B264B">
        <w:rPr>
          <w:rFonts w:ascii="Times New Roman" w:eastAsia="Times New Roman" w:hAnsi="Times New Roman" w:cs="Times New Roman"/>
          <w:color w:val="000000"/>
          <w:sz w:val="24"/>
          <w:szCs w:val="24"/>
          <w:lang/>
        </w:rPr>
        <w:t>213.1.10. оптового постачання електричної енергії;</w:t>
      </w:r>
    </w:p>
    <w:p w14:paraId="7C6F30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5" w:name="n11371"/>
      <w:bookmarkEnd w:id="6675"/>
      <w:r w:rsidRPr="008B264B">
        <w:rPr>
          <w:rFonts w:ascii="Times New Roman" w:eastAsia="Times New Roman" w:hAnsi="Times New Roman" w:cs="Times New Roman"/>
          <w:i/>
          <w:iCs/>
          <w:color w:val="000000"/>
          <w:sz w:val="24"/>
          <w:szCs w:val="24"/>
          <w:lang/>
        </w:rPr>
        <w:lastRenderedPageBreak/>
        <w:t>{Пункт 213.1 статті 213 доповнено підпунктом 213.1.10 згідно із Законом </w:t>
      </w:r>
      <w:hyperlink r:id="rId3691" w:anchor="n7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9D54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6" w:name="n11370"/>
      <w:bookmarkEnd w:id="6676"/>
      <w:r w:rsidRPr="008B264B">
        <w:rPr>
          <w:rFonts w:ascii="Times New Roman" w:eastAsia="Times New Roman" w:hAnsi="Times New Roman" w:cs="Times New Roman"/>
          <w:color w:val="000000"/>
          <w:sz w:val="24"/>
          <w:szCs w:val="24"/>
          <w:lang/>
        </w:rPr>
        <w:t>213.1.11. переобладнання ввезеного на митну територію України транспортного засобу у підакцизний легковий автомобіль.</w:t>
      </w:r>
    </w:p>
    <w:p w14:paraId="3EB2A6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7" w:name="n11367"/>
      <w:bookmarkEnd w:id="6677"/>
      <w:r w:rsidRPr="008B264B">
        <w:rPr>
          <w:rFonts w:ascii="Times New Roman" w:eastAsia="Times New Roman" w:hAnsi="Times New Roman" w:cs="Times New Roman"/>
          <w:i/>
          <w:iCs/>
          <w:color w:val="000000"/>
          <w:sz w:val="24"/>
          <w:szCs w:val="24"/>
          <w:lang/>
        </w:rPr>
        <w:t>{Пункт 213.1 статті 213 доповнено підпунктом 213.1.11 згідно із Законом </w:t>
      </w:r>
      <w:hyperlink r:id="rId3692" w:anchor="n7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6B1F9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8" w:name="n12858"/>
      <w:bookmarkEnd w:id="6678"/>
      <w:r w:rsidRPr="008B264B">
        <w:rPr>
          <w:rFonts w:ascii="Times New Roman" w:eastAsia="Times New Roman" w:hAnsi="Times New Roman" w:cs="Times New Roman"/>
          <w:color w:val="000000"/>
          <w:sz w:val="24"/>
          <w:szCs w:val="24"/>
          <w:lang/>
        </w:rPr>
        <w:t>213.1.12. реалізації з акцизного складу/акцизного складу пересувного будь-яких обсягів пального або спирту етилового понад обсяги, що:</w:t>
      </w:r>
    </w:p>
    <w:p w14:paraId="54CC8A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79" w:name="n15524"/>
      <w:bookmarkEnd w:id="6679"/>
      <w:r w:rsidRPr="008B264B">
        <w:rPr>
          <w:rFonts w:ascii="Times New Roman" w:eastAsia="Times New Roman" w:hAnsi="Times New Roman" w:cs="Times New Roman"/>
          <w:i/>
          <w:iCs/>
          <w:color w:val="000000"/>
          <w:sz w:val="24"/>
          <w:szCs w:val="24"/>
          <w:lang/>
        </w:rPr>
        <w:t>{Абзац перший підпункту 213.1.12 пункту 213.1 статті 213 із змінами, внесеними згідно із Законом </w:t>
      </w:r>
      <w:hyperlink r:id="rId3693" w:anchor="n27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5D70A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0" w:name="n12859"/>
      <w:bookmarkEnd w:id="6680"/>
      <w:r w:rsidRPr="008B264B">
        <w:rPr>
          <w:rFonts w:ascii="Times New Roman" w:eastAsia="Times New Roman" w:hAnsi="Times New Roman" w:cs="Times New Roman"/>
          <w:color w:val="000000"/>
          <w:sz w:val="24"/>
          <w:szCs w:val="24"/>
          <w:lang/>
        </w:rPr>
        <w:t>отримані з інших акцизних складів/акцизних складів пересувних, що підтверджені зареєстрованими акцизними накладними в Єдиному реєстрі акцизних накладних;</w:t>
      </w:r>
    </w:p>
    <w:p w14:paraId="65BE7F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1" w:name="n15525"/>
      <w:bookmarkEnd w:id="6681"/>
      <w:r w:rsidRPr="008B264B">
        <w:rPr>
          <w:rFonts w:ascii="Times New Roman" w:eastAsia="Times New Roman" w:hAnsi="Times New Roman" w:cs="Times New Roman"/>
          <w:i/>
          <w:iCs/>
          <w:color w:val="000000"/>
          <w:sz w:val="24"/>
          <w:szCs w:val="24"/>
          <w:lang/>
        </w:rPr>
        <w:t>{Абзац другий підпункту 213.1.12 пункту 213.1 статті 213 із змінами, внесеними згідно із Законом </w:t>
      </w:r>
      <w:hyperlink r:id="rId3694" w:anchor="n2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82680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2" w:name="n12860"/>
      <w:bookmarkEnd w:id="6682"/>
      <w:r w:rsidRPr="008B264B">
        <w:rPr>
          <w:rFonts w:ascii="Times New Roman" w:eastAsia="Times New Roman" w:hAnsi="Times New Roman" w:cs="Times New Roman"/>
          <w:color w:val="000000"/>
          <w:sz w:val="24"/>
          <w:szCs w:val="24"/>
          <w:lang/>
        </w:rPr>
        <w:t>ввезені (імпортовані) на митну територію України, що засвідчені належно оформленою митною декларацією;</w:t>
      </w:r>
    </w:p>
    <w:p w14:paraId="580ED6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3" w:name="n12861"/>
      <w:bookmarkEnd w:id="6683"/>
      <w:r w:rsidRPr="008B264B">
        <w:rPr>
          <w:rFonts w:ascii="Times New Roman" w:eastAsia="Times New Roman" w:hAnsi="Times New Roman" w:cs="Times New Roman"/>
          <w:color w:val="000000"/>
          <w:sz w:val="24"/>
          <w:szCs w:val="24"/>
          <w:lang/>
        </w:rPr>
        <w:t>вироблені в Україні, реалізація яких є об’єктом оподаткування відповідно до </w:t>
      </w:r>
      <w:hyperlink r:id="rId3695" w:anchor="n5426" w:history="1">
        <w:r w:rsidRPr="008B264B">
          <w:rPr>
            <w:rFonts w:ascii="Times New Roman" w:eastAsia="Times New Roman" w:hAnsi="Times New Roman" w:cs="Times New Roman"/>
            <w:color w:val="0000FF"/>
            <w:sz w:val="24"/>
            <w:szCs w:val="24"/>
            <w:u w:val="single"/>
            <w:lang/>
          </w:rPr>
          <w:t>підпункту 213.1.1</w:t>
        </w:r>
      </w:hyperlink>
      <w:r w:rsidRPr="008B264B">
        <w:rPr>
          <w:rFonts w:ascii="Times New Roman" w:eastAsia="Times New Roman" w:hAnsi="Times New Roman" w:cs="Times New Roman"/>
          <w:color w:val="000000"/>
          <w:sz w:val="24"/>
          <w:szCs w:val="24"/>
          <w:lang/>
        </w:rPr>
        <w:t> цього пункту, або не підлягає оподаткуванню, або звільняється від оподаткування, або оподатковується на умовах, встановлених </w:t>
      </w:r>
      <w:hyperlink r:id="rId3696"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що підтверджені зареєстрованими акцизними накладними в Єдиному реєстрі акцизних накладних.</w:t>
      </w:r>
    </w:p>
    <w:p w14:paraId="4C512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4" w:name="n15526"/>
      <w:bookmarkEnd w:id="6684"/>
      <w:r w:rsidRPr="008B264B">
        <w:rPr>
          <w:rFonts w:ascii="Times New Roman" w:eastAsia="Times New Roman" w:hAnsi="Times New Roman" w:cs="Times New Roman"/>
          <w:i/>
          <w:iCs/>
          <w:color w:val="000000"/>
          <w:sz w:val="24"/>
          <w:szCs w:val="24"/>
          <w:lang/>
        </w:rPr>
        <w:t>{Абзац четвертий підпункту 213.1.12 пункту 213.1 статті 213 із змінами, внесеними згідно із Законом </w:t>
      </w:r>
      <w:hyperlink r:id="rId3697" w:anchor="n27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0287B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5" w:name="n12857"/>
      <w:bookmarkEnd w:id="6685"/>
      <w:r w:rsidRPr="008B264B">
        <w:rPr>
          <w:rFonts w:ascii="Times New Roman" w:eastAsia="Times New Roman" w:hAnsi="Times New Roman" w:cs="Times New Roman"/>
          <w:i/>
          <w:iCs/>
          <w:color w:val="000000"/>
          <w:sz w:val="24"/>
          <w:szCs w:val="24"/>
          <w:lang/>
        </w:rPr>
        <w:t>{Пункт 213.1 статті 213 доповнено підпунктом 213.1.12 згідно із Законом </w:t>
      </w:r>
      <w:hyperlink r:id="rId3698" w:anchor="n35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C1B2E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6" w:name="n15942"/>
      <w:bookmarkEnd w:id="6686"/>
      <w:r w:rsidRPr="008B264B">
        <w:rPr>
          <w:rFonts w:ascii="Times New Roman" w:eastAsia="Times New Roman" w:hAnsi="Times New Roman" w:cs="Times New Roman"/>
          <w:color w:val="000000"/>
          <w:sz w:val="24"/>
          <w:szCs w:val="24"/>
          <w:lang/>
        </w:rPr>
        <w:t>213.1.13. використання товарів (продукції), коди яких згідно з УКТ ЗЕД не зазначені у </w:t>
      </w:r>
      <w:hyperlink r:id="rId3699"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70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 пального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w:t>
      </w:r>
    </w:p>
    <w:p w14:paraId="09DA40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7" w:name="n15941"/>
      <w:bookmarkEnd w:id="6687"/>
      <w:r w:rsidRPr="008B264B">
        <w:rPr>
          <w:rFonts w:ascii="Times New Roman" w:eastAsia="Times New Roman" w:hAnsi="Times New Roman" w:cs="Times New Roman"/>
          <w:i/>
          <w:iCs/>
          <w:color w:val="000000"/>
          <w:sz w:val="24"/>
          <w:szCs w:val="24"/>
          <w:lang/>
        </w:rPr>
        <w:t>{Пункт 213.1 статті 213 доповнено підпунктом 213.1.13 згідно із Законом </w:t>
      </w:r>
      <w:hyperlink r:id="rId3701" w:anchor="n6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4F864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8" w:name="n5435"/>
      <w:bookmarkEnd w:id="6688"/>
      <w:r w:rsidRPr="008B264B">
        <w:rPr>
          <w:rFonts w:ascii="Times New Roman" w:eastAsia="Times New Roman" w:hAnsi="Times New Roman" w:cs="Times New Roman"/>
          <w:color w:val="000000"/>
          <w:sz w:val="24"/>
          <w:szCs w:val="24"/>
          <w:lang/>
        </w:rPr>
        <w:t>213.2. Операції з підакцизними товарами, які не підлягають оподаткуванню:</w:t>
      </w:r>
    </w:p>
    <w:p w14:paraId="18404E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89" w:name="n5436"/>
      <w:bookmarkEnd w:id="6689"/>
      <w:r w:rsidRPr="008B264B">
        <w:rPr>
          <w:rFonts w:ascii="Times New Roman" w:eastAsia="Times New Roman" w:hAnsi="Times New Roman" w:cs="Times New Roman"/>
          <w:color w:val="000000"/>
          <w:sz w:val="24"/>
          <w:szCs w:val="24"/>
          <w:lang/>
        </w:rPr>
        <w:t>213.2.1. вивезення (експорту) підакцизних товарів (продукції) платником податку за межі митної території України.</w:t>
      </w:r>
    </w:p>
    <w:p w14:paraId="760929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0" w:name="n5437"/>
      <w:bookmarkEnd w:id="6690"/>
      <w:r w:rsidRPr="008B264B">
        <w:rPr>
          <w:rFonts w:ascii="Times New Roman" w:eastAsia="Times New Roman" w:hAnsi="Times New Roman" w:cs="Times New Roman"/>
          <w:color w:val="000000"/>
          <w:sz w:val="24"/>
          <w:szCs w:val="24"/>
          <w:lang/>
        </w:rPr>
        <w:t>Товари (продукція) вважаються вивезеними (експортованими) платником податку за межі митної території України, якщо їх вивезення (експортування) засвідчене належно оформленою митною декларацією, у тому числі, якщо відвантаження відбулося у звітному періоді, а вивезення (експортування) - у наступному звітному періоді і на дату подання декларації з акцизного податку за звітний місяць наявна така митна декларація;</w:t>
      </w:r>
    </w:p>
    <w:p w14:paraId="587F91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1" w:name="n5438"/>
      <w:bookmarkEnd w:id="6691"/>
      <w:r w:rsidRPr="008B264B">
        <w:rPr>
          <w:rFonts w:ascii="Times New Roman" w:eastAsia="Times New Roman" w:hAnsi="Times New Roman" w:cs="Times New Roman"/>
          <w:i/>
          <w:iCs/>
          <w:color w:val="000000"/>
          <w:sz w:val="24"/>
          <w:szCs w:val="24"/>
          <w:lang/>
        </w:rPr>
        <w:t>{Абзац другий підпункту 213.2.1 пункту 213.2 статті 213 із змінами, внесеними згідно із Законом </w:t>
      </w:r>
      <w:hyperlink r:id="rId370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10E14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2" w:name="n5439"/>
      <w:bookmarkEnd w:id="6692"/>
      <w:r w:rsidRPr="008B264B">
        <w:rPr>
          <w:rFonts w:ascii="Times New Roman" w:eastAsia="Times New Roman" w:hAnsi="Times New Roman" w:cs="Times New Roman"/>
          <w:color w:val="000000"/>
          <w:sz w:val="24"/>
          <w:szCs w:val="24"/>
          <w:lang/>
        </w:rPr>
        <w:t>213.2.2. ввезення на митну територію України раніше експортованих підакцизних товарів (продукції), у яких виявлено недоліки, що перешкоджають реалізації цих товарів на митній території країни імпортера, для їх повернення експортеру.</w:t>
      </w:r>
    </w:p>
    <w:p w14:paraId="043C1A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3" w:name="n5440"/>
      <w:bookmarkEnd w:id="6693"/>
      <w:r w:rsidRPr="008B264B">
        <w:rPr>
          <w:rFonts w:ascii="Times New Roman" w:eastAsia="Times New Roman" w:hAnsi="Times New Roman" w:cs="Times New Roman"/>
          <w:color w:val="000000"/>
          <w:sz w:val="24"/>
          <w:szCs w:val="24"/>
          <w:lang/>
        </w:rPr>
        <w:lastRenderedPageBreak/>
        <w:t>Такі підакцизні товари (продукція) ввозяться їх продавцем (експортером) без подальшої реалізації на митній території України;</w:t>
      </w:r>
    </w:p>
    <w:p w14:paraId="10C019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4" w:name="n5441"/>
      <w:bookmarkEnd w:id="6694"/>
      <w:r w:rsidRPr="008B264B">
        <w:rPr>
          <w:rFonts w:ascii="Times New Roman" w:eastAsia="Times New Roman" w:hAnsi="Times New Roman" w:cs="Times New Roman"/>
          <w:i/>
          <w:iCs/>
          <w:color w:val="000000"/>
          <w:sz w:val="24"/>
          <w:szCs w:val="24"/>
          <w:lang/>
        </w:rPr>
        <w:t>{Підпункт 213.2.3 пункту 213.2 статті 213 виключено на підставі Закону </w:t>
      </w:r>
      <w:hyperlink r:id="rId3703" w:anchor="n7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48FAC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5" w:name="n5443"/>
      <w:bookmarkEnd w:id="6695"/>
      <w:r w:rsidRPr="008B264B">
        <w:rPr>
          <w:rFonts w:ascii="Times New Roman" w:eastAsia="Times New Roman" w:hAnsi="Times New Roman" w:cs="Times New Roman"/>
          <w:i/>
          <w:iCs/>
          <w:color w:val="000000"/>
          <w:sz w:val="24"/>
          <w:szCs w:val="24"/>
          <w:lang/>
        </w:rPr>
        <w:t>{Підпункт 213.2.4 пункту 213.2 статті 213 виключено на підставі Закону </w:t>
      </w:r>
      <w:hyperlink r:id="rId3704" w:anchor="n7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6DF2A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6" w:name="n5445"/>
      <w:bookmarkEnd w:id="6696"/>
      <w:r w:rsidRPr="008B264B">
        <w:rPr>
          <w:rFonts w:ascii="Times New Roman" w:eastAsia="Times New Roman" w:hAnsi="Times New Roman" w:cs="Times New Roman"/>
          <w:i/>
          <w:iCs/>
          <w:color w:val="000000"/>
          <w:sz w:val="24"/>
          <w:szCs w:val="24"/>
          <w:lang/>
        </w:rPr>
        <w:t>{Підпункт 213.2.5 пункту 213.2 статті 213 виключено на підставі Закону </w:t>
      </w:r>
      <w:hyperlink r:id="rId3705" w:anchor="n7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724F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7" w:name="n5447"/>
      <w:bookmarkEnd w:id="6697"/>
      <w:r w:rsidRPr="008B264B">
        <w:rPr>
          <w:rFonts w:ascii="Times New Roman" w:eastAsia="Times New Roman" w:hAnsi="Times New Roman" w:cs="Times New Roman"/>
          <w:i/>
          <w:iCs/>
          <w:color w:val="000000"/>
          <w:sz w:val="24"/>
          <w:szCs w:val="24"/>
          <w:lang/>
        </w:rPr>
        <w:t>{Підпункт 213.2.6 пункту 213.2 статті 213 виключено на підставі Закону </w:t>
      </w:r>
      <w:hyperlink r:id="rId3706" w:anchor="n7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E4EAD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8" w:name="n5449"/>
      <w:bookmarkEnd w:id="6698"/>
      <w:r w:rsidRPr="008B264B">
        <w:rPr>
          <w:rFonts w:ascii="Times New Roman" w:eastAsia="Times New Roman" w:hAnsi="Times New Roman" w:cs="Times New Roman"/>
          <w:i/>
          <w:iCs/>
          <w:color w:val="000000"/>
          <w:sz w:val="24"/>
          <w:szCs w:val="24"/>
          <w:lang/>
        </w:rPr>
        <w:t>{Підпункт 213.2.7 пункту 213.2 статті 213 виключено на підставі Закону </w:t>
      </w:r>
      <w:hyperlink r:id="rId3707" w:anchor="n7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B6CF3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699" w:name="n11374"/>
      <w:bookmarkEnd w:id="6699"/>
      <w:r w:rsidRPr="008B264B">
        <w:rPr>
          <w:rFonts w:ascii="Times New Roman" w:eastAsia="Times New Roman" w:hAnsi="Times New Roman" w:cs="Times New Roman"/>
          <w:color w:val="000000"/>
          <w:sz w:val="24"/>
          <w:szCs w:val="24"/>
          <w:lang/>
        </w:rPr>
        <w:t>213.2.8. реалізації електричної енергії, виробленої кваліфікованими когенераційними установками та/або з відновлюваних джерел енергії.</w:t>
      </w:r>
    </w:p>
    <w:p w14:paraId="5DB6D7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0" w:name="n11373"/>
      <w:bookmarkEnd w:id="6700"/>
      <w:r w:rsidRPr="008B264B">
        <w:rPr>
          <w:rFonts w:ascii="Times New Roman" w:eastAsia="Times New Roman" w:hAnsi="Times New Roman" w:cs="Times New Roman"/>
          <w:i/>
          <w:iCs/>
          <w:color w:val="000000"/>
          <w:sz w:val="24"/>
          <w:szCs w:val="24"/>
          <w:lang/>
        </w:rPr>
        <w:t>{Пункт 213.2 статті 213 доповнено підпунктом 213.2.8 згідно із Законом </w:t>
      </w:r>
      <w:hyperlink r:id="rId3708" w:anchor="n7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A6601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1" w:name="n5451"/>
      <w:bookmarkEnd w:id="6701"/>
      <w:r w:rsidRPr="008B264B">
        <w:rPr>
          <w:rFonts w:ascii="Times New Roman" w:eastAsia="Times New Roman" w:hAnsi="Times New Roman" w:cs="Times New Roman"/>
          <w:color w:val="000000"/>
          <w:sz w:val="24"/>
          <w:szCs w:val="24"/>
          <w:lang/>
        </w:rPr>
        <w:t>213.3. Операції з підакцизними товарами, які звільняються від оподаткування:</w:t>
      </w:r>
    </w:p>
    <w:p w14:paraId="465ACA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2" w:name="n5452"/>
      <w:bookmarkEnd w:id="6702"/>
      <w:r w:rsidRPr="008B264B">
        <w:rPr>
          <w:rFonts w:ascii="Times New Roman" w:eastAsia="Times New Roman" w:hAnsi="Times New Roman" w:cs="Times New Roman"/>
          <w:color w:val="000000"/>
          <w:sz w:val="24"/>
          <w:szCs w:val="24"/>
          <w:lang/>
        </w:rPr>
        <w:t>213.3.1. реалізації легкових автомобілів для осіб з інвалідністю, у тому числі дітей з інвалідністю, оплата вартості яких здійснюється за рахунок коштів державного або місцевих бюджетів, коштів фондів загальнообов'язкового державного страхування, а також легкових автомобілів спеціального призначення (швидка медична допомога та для потреб центральних органів виконавчої влади, що реалізують державну політику у сферах цивільного захисту, рятувальної справи, пожежної і техногенної безпеки), оплата вартості яких здійснюється за рахунок коштів державного та місцевих бюджетів;</w:t>
      </w:r>
    </w:p>
    <w:p w14:paraId="24070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3" w:name="n5453"/>
      <w:bookmarkEnd w:id="6703"/>
      <w:r w:rsidRPr="008B264B">
        <w:rPr>
          <w:rFonts w:ascii="Times New Roman" w:eastAsia="Times New Roman" w:hAnsi="Times New Roman" w:cs="Times New Roman"/>
          <w:i/>
          <w:iCs/>
          <w:color w:val="000000"/>
          <w:sz w:val="24"/>
          <w:szCs w:val="24"/>
          <w:lang/>
        </w:rPr>
        <w:t>{Підпункт 213.3.1 пункту 213.3 статті 213 із змінами, внесеними згідно із Законом </w:t>
      </w:r>
      <w:hyperlink r:id="rId3709" w:anchor="n20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C15CC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4" w:name="n5454"/>
      <w:bookmarkEnd w:id="6704"/>
      <w:r w:rsidRPr="008B264B">
        <w:rPr>
          <w:rFonts w:ascii="Times New Roman" w:eastAsia="Times New Roman" w:hAnsi="Times New Roman" w:cs="Times New Roman"/>
          <w:color w:val="000000"/>
          <w:sz w:val="24"/>
          <w:szCs w:val="24"/>
          <w:lang/>
        </w:rPr>
        <w:t>213.3.2. ввезення підакцизних товарів (продукції) на митну територію України, призначених для офіційного (службового) користування дипломатичними представництвами іноземних держав, консульськими установами іноземних держав та для особистого використання членами дипломатичних представництв іноземних держав, консульських установ іноземних держав виходячи з принципу взаємності стосовно кожної окремої держави.</w:t>
      </w:r>
    </w:p>
    <w:p w14:paraId="2B5FBB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5" w:name="n5455"/>
      <w:bookmarkEnd w:id="6705"/>
      <w:r w:rsidRPr="008B264B">
        <w:rPr>
          <w:rFonts w:ascii="Times New Roman" w:eastAsia="Times New Roman" w:hAnsi="Times New Roman" w:cs="Times New Roman"/>
          <w:color w:val="000000"/>
          <w:sz w:val="24"/>
          <w:szCs w:val="24"/>
          <w:lang/>
        </w:rPr>
        <w:t>У разі реалізації на митній території України підакцизних товарів (продукції), що були ввезені із звільненням від оподаткування відповідно до норм цього підпункту, податок сплачується особами, що реалізують або передають у володіння, користування чи розпорядження такі підакцизні товари (продукцію), не пізніше дати такої реалізації одночасно із сплатою податку на додану вартість за ставками, що діяли на момент подання </w:t>
      </w:r>
      <w:hyperlink r:id="rId3710" w:anchor="n14" w:tgtFrame="_blank" w:history="1">
        <w:r w:rsidRPr="008B264B">
          <w:rPr>
            <w:rFonts w:ascii="Times New Roman" w:eastAsia="Times New Roman" w:hAnsi="Times New Roman" w:cs="Times New Roman"/>
            <w:color w:val="0000FF"/>
            <w:sz w:val="24"/>
            <w:szCs w:val="24"/>
            <w:u w:val="single"/>
            <w:lang/>
          </w:rPr>
          <w:t>митної декларації</w:t>
        </w:r>
      </w:hyperlink>
      <w:r w:rsidRPr="008B264B">
        <w:rPr>
          <w:rFonts w:ascii="Times New Roman" w:eastAsia="Times New Roman" w:hAnsi="Times New Roman" w:cs="Times New Roman"/>
          <w:color w:val="000000"/>
          <w:sz w:val="24"/>
          <w:szCs w:val="24"/>
          <w:lang/>
        </w:rPr>
        <w:t> при ввезенні підакцизних товарів (продукції) на митну територію України;</w:t>
      </w:r>
    </w:p>
    <w:p w14:paraId="12AA14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6" w:name="n5456"/>
      <w:bookmarkEnd w:id="6706"/>
      <w:r w:rsidRPr="008B264B">
        <w:rPr>
          <w:rFonts w:ascii="Times New Roman" w:eastAsia="Times New Roman" w:hAnsi="Times New Roman" w:cs="Times New Roman"/>
          <w:color w:val="000000"/>
          <w:sz w:val="24"/>
          <w:szCs w:val="24"/>
          <w:lang/>
        </w:rPr>
        <w:t xml:space="preserve">213.3.3. ввезення підакцизних товарів (продукції) з-за меж митної території України на митну територію України, якщо при цьому згідно із законом не справляється податок на додану вартість у зв’язку з розміщенням товарів (продукції) у митних режимах: реімпорту, транзиту, тимчасового ввезення, митного складу, вільної митної зони, безмитної торгівлі, переробки на митній території, знищення або руйнування, відмови на користь держави. У разі порушення умов митних режимів, що передбачають повне або часткове звільнення від оподаткування, особа, відповідальна за дотримання режиму, зобов'язана обчислити та сплатити суму податкового зобов'язання. У разі коли в зазначених випадках митним законодавством України передбачається вимога щодо здійснення заходів гарантування, така вимога встановлюється і для цілей акцизного </w:t>
      </w:r>
      <w:r w:rsidRPr="008B264B">
        <w:rPr>
          <w:rFonts w:ascii="Times New Roman" w:eastAsia="Times New Roman" w:hAnsi="Times New Roman" w:cs="Times New Roman"/>
          <w:color w:val="000000"/>
          <w:sz w:val="24"/>
          <w:szCs w:val="24"/>
          <w:lang/>
        </w:rPr>
        <w:lastRenderedPageBreak/>
        <w:t>податку. Податок справляється, якщо в подальшому щодо таких товарів (продукції) виникають зобов'язання зі сплати податку на додану вартість;</w:t>
      </w:r>
    </w:p>
    <w:p w14:paraId="21D0AA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7" w:name="n5457"/>
      <w:bookmarkEnd w:id="6707"/>
      <w:r w:rsidRPr="008B264B">
        <w:rPr>
          <w:rFonts w:ascii="Times New Roman" w:eastAsia="Times New Roman" w:hAnsi="Times New Roman" w:cs="Times New Roman"/>
          <w:i/>
          <w:iCs/>
          <w:color w:val="000000"/>
          <w:sz w:val="24"/>
          <w:szCs w:val="24"/>
          <w:lang/>
        </w:rPr>
        <w:t>{Підпункт 213.3.3 пункту 213.3 статті 213 із змінами, внесеними згідно із Законом </w:t>
      </w:r>
      <w:hyperlink r:id="rId3711" w:anchor="n124"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5D36CB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8" w:name="n5458"/>
      <w:bookmarkEnd w:id="6708"/>
      <w:r w:rsidRPr="008B264B">
        <w:rPr>
          <w:rFonts w:ascii="Times New Roman" w:eastAsia="Times New Roman" w:hAnsi="Times New Roman" w:cs="Times New Roman"/>
          <w:color w:val="000000"/>
          <w:sz w:val="24"/>
          <w:szCs w:val="24"/>
          <w:lang/>
        </w:rPr>
        <w:t>213.3.4. безоплатної передачі для знищення підакцизних товарів (продукції), конфіскованих за рішенням суду та таких, що перейшли у власність держави внаслідок відмови власника, якщо вони не підлягають реалізації (продажу) в установленому законодавством порядку;</w:t>
      </w:r>
    </w:p>
    <w:p w14:paraId="1A318A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09" w:name="n5459"/>
      <w:bookmarkEnd w:id="6709"/>
      <w:r w:rsidRPr="008B264B">
        <w:rPr>
          <w:rFonts w:ascii="Times New Roman" w:eastAsia="Times New Roman" w:hAnsi="Times New Roman" w:cs="Times New Roman"/>
          <w:color w:val="000000"/>
          <w:sz w:val="24"/>
          <w:szCs w:val="24"/>
          <w:lang/>
        </w:rPr>
        <w:t>213.3.5. реалізації та/або передачі в межах одного підприємства підакцизних товарів (продукції), вироблених на митній території України, що використовуються як сировина для виробництва підакцизних товарів (продукції) та бензолу (за кодом 2902 20 00 00 згідно з УКТ ЗЕД). Ця норма не поширюється на операції з реалізації та/або передачі в межах одного підприємства нафтопродуктів (крім товарів (продукції) за кодами 2707 10 90 00, 2707 50 90 00, 2710 12 90 00 та 2711 19 00 00 згідно з </w:t>
      </w:r>
      <w:hyperlink r:id="rId3712"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79A71F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0" w:name="n11375"/>
      <w:bookmarkEnd w:id="6710"/>
      <w:r w:rsidRPr="008B264B">
        <w:rPr>
          <w:rFonts w:ascii="Times New Roman" w:eastAsia="Times New Roman" w:hAnsi="Times New Roman" w:cs="Times New Roman"/>
          <w:i/>
          <w:iCs/>
          <w:color w:val="000000"/>
          <w:sz w:val="24"/>
          <w:szCs w:val="24"/>
          <w:lang/>
        </w:rPr>
        <w:t>{Підпункт 213.3.5 пункту 213.3 статті 213 в редакції Закону </w:t>
      </w:r>
      <w:hyperlink r:id="rId3713" w:anchor="n78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14" w:anchor="n28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B7FF9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1" w:name="n5460"/>
      <w:bookmarkEnd w:id="6711"/>
      <w:r w:rsidRPr="008B264B">
        <w:rPr>
          <w:rFonts w:ascii="Times New Roman" w:eastAsia="Times New Roman" w:hAnsi="Times New Roman" w:cs="Times New Roman"/>
          <w:color w:val="000000"/>
          <w:sz w:val="24"/>
          <w:szCs w:val="24"/>
          <w:lang/>
        </w:rPr>
        <w:t>213.3.6. ввезення на митну територію України підакцизних товарів (продукції), що використовуються як сировина для виробництва підакцизних товарів (продукції, у тому числі сировини), за умови подальшого виготовлення з такої сировини інших підакцизних товарів (продукції, у тому числі сировини), які реалізуються на митній території України або на експорт, та пред’явлення контролюючому органу ліцензії на право виробництва алкогольних напоїв або тютюнових виробів. Ця норма не поширюється на операції з ввезення пального;</w:t>
      </w:r>
    </w:p>
    <w:p w14:paraId="17812A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2" w:name="n5462"/>
      <w:bookmarkEnd w:id="6712"/>
      <w:r w:rsidRPr="008B264B">
        <w:rPr>
          <w:rFonts w:ascii="Times New Roman" w:eastAsia="Times New Roman" w:hAnsi="Times New Roman" w:cs="Times New Roman"/>
          <w:i/>
          <w:iCs/>
          <w:color w:val="000000"/>
          <w:sz w:val="24"/>
          <w:szCs w:val="24"/>
          <w:lang/>
        </w:rPr>
        <w:t>{Підпункт 213.3.6 пункту 213.3 статті 213 в редакції Закону </w:t>
      </w:r>
      <w:hyperlink r:id="rId371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16" w:anchor="n78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717" w:anchor="n36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154E4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3" w:name="n5463"/>
      <w:bookmarkEnd w:id="6713"/>
      <w:r w:rsidRPr="008B264B">
        <w:rPr>
          <w:rFonts w:ascii="Times New Roman" w:eastAsia="Times New Roman" w:hAnsi="Times New Roman" w:cs="Times New Roman"/>
          <w:color w:val="000000"/>
          <w:sz w:val="24"/>
          <w:szCs w:val="24"/>
          <w:lang/>
        </w:rPr>
        <w:t>213.3.7. ввезення фізичними особами на митну територію України підакцизних товарів (продукції) в обсягах, що не перевищують норм безмитного ввезення, встановлених </w:t>
      </w:r>
      <w:hyperlink r:id="rId3718"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w:t>
      </w:r>
    </w:p>
    <w:p w14:paraId="40BE9D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4" w:name="n5464"/>
      <w:bookmarkEnd w:id="6714"/>
      <w:r w:rsidRPr="008B264B">
        <w:rPr>
          <w:rFonts w:ascii="Times New Roman" w:eastAsia="Times New Roman" w:hAnsi="Times New Roman" w:cs="Times New Roman"/>
          <w:i/>
          <w:iCs/>
          <w:color w:val="000000"/>
          <w:sz w:val="24"/>
          <w:szCs w:val="24"/>
          <w:lang/>
        </w:rPr>
        <w:t>{Підпункт 213.3.7 пункту 213.3 статті 213 із змінами, внесеними згідно із Законом </w:t>
      </w:r>
      <w:hyperlink r:id="rId3719" w:anchor="n126"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6BB391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5" w:name="n5465"/>
      <w:bookmarkEnd w:id="6715"/>
      <w:r w:rsidRPr="008B264B">
        <w:rPr>
          <w:rFonts w:ascii="Times New Roman" w:eastAsia="Times New Roman" w:hAnsi="Times New Roman" w:cs="Times New Roman"/>
          <w:color w:val="000000"/>
          <w:sz w:val="24"/>
          <w:szCs w:val="24"/>
          <w:lang/>
        </w:rPr>
        <w:t>213.3.8. реалізації безпосередньо вітчизняними виробниками алкогольних напоїв і тютюнових виробів магазинам безмитної торгівлі. Підставою для звільнення від сплати податку продукції, яка призначена для реалізації магазинами безмитної торгівлі, є належно оформлена митна декларація, що оформляється під час відвантаження продукції від такого виробника;</w:t>
      </w:r>
    </w:p>
    <w:p w14:paraId="62D330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6" w:name="n5466"/>
      <w:bookmarkEnd w:id="6716"/>
      <w:r w:rsidRPr="008B264B">
        <w:rPr>
          <w:rFonts w:ascii="Times New Roman" w:eastAsia="Times New Roman" w:hAnsi="Times New Roman" w:cs="Times New Roman"/>
          <w:color w:val="000000"/>
          <w:sz w:val="24"/>
          <w:szCs w:val="24"/>
          <w:lang/>
        </w:rPr>
        <w:t>213.3.9. ввезення на митну територію України підакцизних товарів (продукції) (крім алкогольних напоїв і тютюнових виробів) як міжнародної технічної допомоги, яка надається відповідно до міжнародних договорів України, згода на обов'язковість яких надана Верховною Радою України, або як гуманітарної допомоги, наданої згідно з нормами </w:t>
      </w:r>
      <w:hyperlink r:id="rId3720" w:tgtFrame="_blank" w:history="1">
        <w:r w:rsidRPr="008B264B">
          <w:rPr>
            <w:rFonts w:ascii="Times New Roman" w:eastAsia="Times New Roman" w:hAnsi="Times New Roman" w:cs="Times New Roman"/>
            <w:color w:val="0000FF"/>
            <w:sz w:val="24"/>
            <w:szCs w:val="24"/>
            <w:u w:val="single"/>
            <w:lang/>
          </w:rPr>
          <w:t>Закону України "Про гуманітарну допомогу"</w:t>
        </w:r>
      </w:hyperlink>
      <w:r w:rsidRPr="008B264B">
        <w:rPr>
          <w:rFonts w:ascii="Times New Roman" w:eastAsia="Times New Roman" w:hAnsi="Times New Roman" w:cs="Times New Roman"/>
          <w:color w:val="000000"/>
          <w:sz w:val="24"/>
          <w:szCs w:val="24"/>
          <w:lang/>
        </w:rPr>
        <w:t>;</w:t>
      </w:r>
    </w:p>
    <w:p w14:paraId="5AFC2B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7" w:name="n5467"/>
      <w:bookmarkEnd w:id="6717"/>
      <w:r w:rsidRPr="008B264B">
        <w:rPr>
          <w:rFonts w:ascii="Times New Roman" w:eastAsia="Times New Roman" w:hAnsi="Times New Roman" w:cs="Times New Roman"/>
          <w:color w:val="000000"/>
          <w:sz w:val="24"/>
          <w:szCs w:val="24"/>
          <w:lang/>
        </w:rPr>
        <w:t>213.3.10. ввезення акредитованими державними випробувальними лабораторіями та/або суб'єктами господарювання, які мають ліцензії на виробництво тютюнових виробів, еталонних (моніторингових) чи тестових зразків тютюнових виробів (не призначених для продажу вроздріб) для проведення досліджень чи випробувань (калібрування лабораторного обладнання, проведення дегустацій, вивчення фізико-хімічних показників, дизайну);</w:t>
      </w:r>
    </w:p>
    <w:p w14:paraId="171B10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8" w:name="n5468"/>
      <w:bookmarkEnd w:id="6718"/>
      <w:r w:rsidRPr="008B264B">
        <w:rPr>
          <w:rFonts w:ascii="Times New Roman" w:eastAsia="Times New Roman" w:hAnsi="Times New Roman" w:cs="Times New Roman"/>
          <w:color w:val="000000"/>
          <w:sz w:val="24"/>
          <w:szCs w:val="24"/>
          <w:lang/>
        </w:rPr>
        <w:t>213.3.11. реалізації скрапленого газу на спеціалізованих аукціонах для потреб населення у </w:t>
      </w:r>
      <w:hyperlink r:id="rId3721" w:anchor="n24"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встановленому Кабінетом Міністрів України;</w:t>
      </w:r>
    </w:p>
    <w:p w14:paraId="04589E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19" w:name="n12863"/>
      <w:bookmarkEnd w:id="6719"/>
      <w:r w:rsidRPr="008B264B">
        <w:rPr>
          <w:rFonts w:ascii="Times New Roman" w:eastAsia="Times New Roman" w:hAnsi="Times New Roman" w:cs="Times New Roman"/>
          <w:color w:val="000000"/>
          <w:sz w:val="24"/>
          <w:szCs w:val="24"/>
          <w:lang/>
        </w:rPr>
        <w:t>213.3.12. реалізація відходів тютюнової сировини за умови документального підтвердження їх утворення та подальшого знищення або утилізації;</w:t>
      </w:r>
    </w:p>
    <w:p w14:paraId="56B890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0" w:name="n12862"/>
      <w:bookmarkEnd w:id="6720"/>
      <w:r w:rsidRPr="008B264B">
        <w:rPr>
          <w:rFonts w:ascii="Times New Roman" w:eastAsia="Times New Roman" w:hAnsi="Times New Roman" w:cs="Times New Roman"/>
          <w:i/>
          <w:iCs/>
          <w:color w:val="000000"/>
          <w:sz w:val="24"/>
          <w:szCs w:val="24"/>
          <w:lang/>
        </w:rPr>
        <w:lastRenderedPageBreak/>
        <w:t>{Пункт 213.3 статті 213 доповнено підпунктом 213.3.12 згідно із Законом </w:t>
      </w:r>
      <w:hyperlink r:id="rId3722" w:anchor="n36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18366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1" w:name="n14326"/>
      <w:bookmarkEnd w:id="6721"/>
      <w:r w:rsidRPr="008B264B">
        <w:rPr>
          <w:rFonts w:ascii="Times New Roman" w:eastAsia="Times New Roman" w:hAnsi="Times New Roman" w:cs="Times New Roman"/>
          <w:color w:val="000000"/>
          <w:sz w:val="24"/>
          <w:szCs w:val="24"/>
          <w:lang/>
        </w:rPr>
        <w:t>213.3.13. ввезення на митну територію України неферментованої (непереробленої) тютюнової сировини тютюново-ферментаційними заводами, які здійснюють реалізацію ферментованої (переробленої) тютюнової сировини виробникам тютюнових виробів або її експорт; реалізація тютюнової сировини тютюново-ферментаційним заводам особами, які виробляють тютюнову сировину на митній території України; реалізація ферментованої (переробленої) тютюнової сировини тютюново-ферментаційними заводами виробникам тютюнових виробів;</w:t>
      </w:r>
    </w:p>
    <w:p w14:paraId="290CC2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2" w:name="n14325"/>
      <w:bookmarkEnd w:id="6722"/>
      <w:r w:rsidRPr="008B264B">
        <w:rPr>
          <w:rFonts w:ascii="Times New Roman" w:eastAsia="Times New Roman" w:hAnsi="Times New Roman" w:cs="Times New Roman"/>
          <w:i/>
          <w:iCs/>
          <w:color w:val="000000"/>
          <w:sz w:val="24"/>
          <w:szCs w:val="24"/>
          <w:lang/>
        </w:rPr>
        <w:t>{Пункт 213.3 статті 213 доповнено підпунктом 213.3.13 згідно із Законом </w:t>
      </w:r>
      <w:hyperlink r:id="rId3723" w:anchor="n12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9A019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3" w:name="n15189"/>
      <w:bookmarkEnd w:id="6723"/>
      <w:r w:rsidRPr="008B264B">
        <w:rPr>
          <w:rFonts w:ascii="Times New Roman" w:eastAsia="Times New Roman" w:hAnsi="Times New Roman" w:cs="Times New Roman"/>
          <w:color w:val="000000"/>
          <w:sz w:val="24"/>
          <w:szCs w:val="24"/>
          <w:lang/>
        </w:rPr>
        <w:t>213.3.14. ввезення на митну територію України та реалізація на митній території України кузовів до автомобілів легкових, за умови подальшого виготовлення з них автомобілів, зазначених у товарній позиції 8703 згідно з </w:t>
      </w:r>
      <w:hyperlink r:id="rId3724"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3DEF05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4" w:name="n15188"/>
      <w:bookmarkEnd w:id="6724"/>
      <w:r w:rsidRPr="008B264B">
        <w:rPr>
          <w:rFonts w:ascii="Times New Roman" w:eastAsia="Times New Roman" w:hAnsi="Times New Roman" w:cs="Times New Roman"/>
          <w:i/>
          <w:iCs/>
          <w:color w:val="000000"/>
          <w:sz w:val="24"/>
          <w:szCs w:val="24"/>
          <w:lang/>
        </w:rPr>
        <w:t>{Пункт 213.3 статті 213 доповнено підпунктом 213.3.14 згідно із Законом </w:t>
      </w:r>
      <w:hyperlink r:id="rId3725" w:anchor="n8"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15A25B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5" w:name="n5469"/>
      <w:bookmarkEnd w:id="6725"/>
      <w:r w:rsidRPr="008B264B">
        <w:rPr>
          <w:rFonts w:ascii="Times New Roman" w:eastAsia="Times New Roman" w:hAnsi="Times New Roman" w:cs="Times New Roman"/>
          <w:b/>
          <w:bCs/>
          <w:color w:val="000000"/>
          <w:sz w:val="24"/>
          <w:szCs w:val="24"/>
          <w:lang/>
        </w:rPr>
        <w:t>Стаття 214.</w:t>
      </w:r>
      <w:r w:rsidRPr="008B264B">
        <w:rPr>
          <w:rFonts w:ascii="Times New Roman" w:eastAsia="Times New Roman" w:hAnsi="Times New Roman" w:cs="Times New Roman"/>
          <w:color w:val="000000"/>
          <w:sz w:val="24"/>
          <w:szCs w:val="24"/>
          <w:lang/>
        </w:rPr>
        <w:t> База оподаткування</w:t>
      </w:r>
    </w:p>
    <w:p w14:paraId="10A8C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6" w:name="n5470"/>
      <w:bookmarkEnd w:id="6726"/>
      <w:r w:rsidRPr="008B264B">
        <w:rPr>
          <w:rFonts w:ascii="Times New Roman" w:eastAsia="Times New Roman" w:hAnsi="Times New Roman" w:cs="Times New Roman"/>
          <w:color w:val="000000"/>
          <w:sz w:val="24"/>
          <w:szCs w:val="24"/>
          <w:lang/>
        </w:rPr>
        <w:t>214.1. У разі обчислення податку із застосуванням адвалорних ставок базою оподаткування є:</w:t>
      </w:r>
    </w:p>
    <w:p w14:paraId="35D8CB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7" w:name="n5471"/>
      <w:bookmarkEnd w:id="6727"/>
      <w:r w:rsidRPr="008B264B">
        <w:rPr>
          <w:rFonts w:ascii="Times New Roman" w:eastAsia="Times New Roman" w:hAnsi="Times New Roman" w:cs="Times New Roman"/>
          <w:color w:val="000000"/>
          <w:sz w:val="24"/>
          <w:szCs w:val="24"/>
          <w:lang/>
        </w:rPr>
        <w:t>214.1.1. вартість реалізованого товару (продукції), виробленого на митній території України, за встановленими виробником максимальними роздрібними цінами з урахуванням податку на додану вартість та акцизного податку;</w:t>
      </w:r>
    </w:p>
    <w:p w14:paraId="58FD42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8" w:name="n12864"/>
      <w:bookmarkEnd w:id="6728"/>
      <w:r w:rsidRPr="008B264B">
        <w:rPr>
          <w:rFonts w:ascii="Times New Roman" w:eastAsia="Times New Roman" w:hAnsi="Times New Roman" w:cs="Times New Roman"/>
          <w:i/>
          <w:iCs/>
          <w:color w:val="000000"/>
          <w:sz w:val="24"/>
          <w:szCs w:val="24"/>
          <w:lang/>
        </w:rPr>
        <w:t>{Підпункт 214.1.1 пункту 214.1 статті 214 в редакції Закону </w:t>
      </w:r>
      <w:hyperlink r:id="rId3726" w:anchor="n36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6E2E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29" w:name="n5472"/>
      <w:bookmarkEnd w:id="6729"/>
      <w:r w:rsidRPr="008B264B">
        <w:rPr>
          <w:rFonts w:ascii="Times New Roman" w:eastAsia="Times New Roman" w:hAnsi="Times New Roman" w:cs="Times New Roman"/>
          <w:color w:val="000000"/>
          <w:sz w:val="24"/>
          <w:szCs w:val="24"/>
          <w:lang/>
        </w:rPr>
        <w:t>214.1.2. вартість товарів (продукції), що ввозяться на митну територію України, за встановленими імпортером максимальними роздрібними цінами на товари (продукцію), які він імпортує, з урахуванням податку на додану вартість та акцизного податку;</w:t>
      </w:r>
    </w:p>
    <w:p w14:paraId="49CA26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0" w:name="n12865"/>
      <w:bookmarkEnd w:id="6730"/>
      <w:r w:rsidRPr="008B264B">
        <w:rPr>
          <w:rFonts w:ascii="Times New Roman" w:eastAsia="Times New Roman" w:hAnsi="Times New Roman" w:cs="Times New Roman"/>
          <w:i/>
          <w:iCs/>
          <w:color w:val="000000"/>
          <w:sz w:val="24"/>
          <w:szCs w:val="24"/>
          <w:lang/>
        </w:rPr>
        <w:t>{Підпункт 214.1.2 пункту 214.1 статті 214 в редакції Закону </w:t>
      </w:r>
      <w:hyperlink r:id="rId3727" w:anchor="n36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B3E33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1" w:name="n11378"/>
      <w:bookmarkEnd w:id="6731"/>
      <w:r w:rsidRPr="008B264B">
        <w:rPr>
          <w:rFonts w:ascii="Times New Roman" w:eastAsia="Times New Roman" w:hAnsi="Times New Roman" w:cs="Times New Roman"/>
          <w:color w:val="000000"/>
          <w:sz w:val="24"/>
          <w:szCs w:val="24"/>
          <w:lang/>
        </w:rPr>
        <w:t>214.1.3. вартість реалізованої електричної енергії без податку на додану вартість;</w:t>
      </w:r>
    </w:p>
    <w:p w14:paraId="4C4995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2" w:name="n11380"/>
      <w:bookmarkEnd w:id="6732"/>
      <w:r w:rsidRPr="008B264B">
        <w:rPr>
          <w:rFonts w:ascii="Times New Roman" w:eastAsia="Times New Roman" w:hAnsi="Times New Roman" w:cs="Times New Roman"/>
          <w:i/>
          <w:iCs/>
          <w:color w:val="000000"/>
          <w:sz w:val="24"/>
          <w:szCs w:val="24"/>
          <w:lang/>
        </w:rPr>
        <w:t>{Пункт 214.1 статті 214 доповнено підпунктом 214.1.3 згідно із Законом </w:t>
      </w:r>
      <w:hyperlink r:id="rId3728" w:anchor="n7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E0B7C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3" w:name="n11379"/>
      <w:bookmarkEnd w:id="6733"/>
      <w:r w:rsidRPr="008B264B">
        <w:rPr>
          <w:rFonts w:ascii="Times New Roman" w:eastAsia="Times New Roman" w:hAnsi="Times New Roman" w:cs="Times New Roman"/>
          <w:color w:val="000000"/>
          <w:sz w:val="24"/>
          <w:szCs w:val="24"/>
          <w:lang/>
        </w:rPr>
        <w:t>214.1.4. вартість (з податком на додану вартість та без урахування акцизного податку з реалізації суб’єктами господарювання роздрібної торгівлі підакцизних товарів) підакцизних товарів, що реалізовані відповідно до </w:t>
      </w:r>
      <w:hyperlink r:id="rId3729" w:anchor="n11368" w:history="1">
        <w:r w:rsidRPr="008B264B">
          <w:rPr>
            <w:rFonts w:ascii="Times New Roman" w:eastAsia="Times New Roman" w:hAnsi="Times New Roman" w:cs="Times New Roman"/>
            <w:color w:val="0000FF"/>
            <w:sz w:val="24"/>
            <w:szCs w:val="24"/>
            <w:u w:val="single"/>
            <w:lang/>
          </w:rPr>
          <w:t>підпункту 213.1.9</w:t>
        </w:r>
      </w:hyperlink>
      <w:r w:rsidRPr="008B264B">
        <w:rPr>
          <w:rFonts w:ascii="Times New Roman" w:eastAsia="Times New Roman" w:hAnsi="Times New Roman" w:cs="Times New Roman"/>
          <w:color w:val="000000"/>
          <w:sz w:val="24"/>
          <w:szCs w:val="24"/>
          <w:lang/>
        </w:rPr>
        <w:t> пункту 213.1 статті 213 цього Кодексу.</w:t>
      </w:r>
    </w:p>
    <w:p w14:paraId="59BD9E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4" w:name="n11377"/>
      <w:bookmarkEnd w:id="6734"/>
      <w:r w:rsidRPr="008B264B">
        <w:rPr>
          <w:rFonts w:ascii="Times New Roman" w:eastAsia="Times New Roman" w:hAnsi="Times New Roman" w:cs="Times New Roman"/>
          <w:i/>
          <w:iCs/>
          <w:color w:val="000000"/>
          <w:sz w:val="24"/>
          <w:szCs w:val="24"/>
          <w:lang/>
        </w:rPr>
        <w:t>{Пункт 214.1 статті 214 доповнено підпунктом 214.1.4 згідно із Законом </w:t>
      </w:r>
      <w:hyperlink r:id="rId3730" w:anchor="n7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731" w:anchor="n36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A86C7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5" w:name="n5473"/>
      <w:bookmarkEnd w:id="6735"/>
      <w:r w:rsidRPr="008B264B">
        <w:rPr>
          <w:rFonts w:ascii="Times New Roman" w:eastAsia="Times New Roman" w:hAnsi="Times New Roman" w:cs="Times New Roman"/>
          <w:color w:val="000000"/>
          <w:sz w:val="24"/>
          <w:szCs w:val="24"/>
          <w:lang/>
        </w:rPr>
        <w:t>214.2. При визначенні бази оподаткування перерахунок іноземної валюти у валюту України здійснюється за курсом валюти, визначеним відповідно до статті 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7F9BD9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6" w:name="n9846"/>
      <w:bookmarkEnd w:id="6736"/>
      <w:r w:rsidRPr="008B264B">
        <w:rPr>
          <w:rFonts w:ascii="Times New Roman" w:eastAsia="Times New Roman" w:hAnsi="Times New Roman" w:cs="Times New Roman"/>
          <w:i/>
          <w:iCs/>
          <w:color w:val="000000"/>
          <w:sz w:val="24"/>
          <w:szCs w:val="24"/>
          <w:lang/>
        </w:rPr>
        <w:t>{Пункт 214.2 статті 214 в редакції Закону </w:t>
      </w:r>
      <w:hyperlink r:id="rId3732" w:anchor="n35"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9039B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7" w:name="n5474"/>
      <w:bookmarkEnd w:id="6737"/>
      <w:r w:rsidRPr="008B264B">
        <w:rPr>
          <w:rFonts w:ascii="Times New Roman" w:eastAsia="Times New Roman" w:hAnsi="Times New Roman" w:cs="Times New Roman"/>
          <w:color w:val="000000"/>
          <w:sz w:val="24"/>
          <w:szCs w:val="24"/>
          <w:lang/>
        </w:rPr>
        <w:t>214.3. Митна вартість товарів, що ввозяться на митну територію України, визначається відповідно до </w:t>
      </w:r>
      <w:hyperlink r:id="rId3733"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w:t>
      </w:r>
    </w:p>
    <w:p w14:paraId="3A68F8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8" w:name="n5475"/>
      <w:bookmarkEnd w:id="6738"/>
      <w:r w:rsidRPr="008B264B">
        <w:rPr>
          <w:rFonts w:ascii="Times New Roman" w:eastAsia="Times New Roman" w:hAnsi="Times New Roman" w:cs="Times New Roman"/>
          <w:color w:val="000000"/>
          <w:sz w:val="24"/>
          <w:szCs w:val="24"/>
          <w:lang/>
        </w:rPr>
        <w:t>214.4. У разі обчислення податку із застосуванням специфічних ставок з підакцизних товарів (продукції) базою оподаткування є їх величина, визначена в одиницях виміру ваги, об'єму, кількості товару (продукції), об'єму циліндрів двигуна автомобіля або в інших натуральних показниках.</w:t>
      </w:r>
    </w:p>
    <w:p w14:paraId="681968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39" w:name="n12866"/>
      <w:bookmarkEnd w:id="6739"/>
      <w:r w:rsidRPr="008B264B">
        <w:rPr>
          <w:rFonts w:ascii="Times New Roman" w:eastAsia="Times New Roman" w:hAnsi="Times New Roman" w:cs="Times New Roman"/>
          <w:i/>
          <w:iCs/>
          <w:color w:val="000000"/>
          <w:sz w:val="24"/>
          <w:szCs w:val="24"/>
          <w:lang/>
        </w:rPr>
        <w:lastRenderedPageBreak/>
        <w:t>{Пункт 214.4 статті 214 із змінами, внесеними згідно із Законом </w:t>
      </w:r>
      <w:hyperlink r:id="rId3734" w:anchor="n37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1CA09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0" w:name="n5476"/>
      <w:bookmarkEnd w:id="6740"/>
      <w:r w:rsidRPr="008B264B">
        <w:rPr>
          <w:rFonts w:ascii="Times New Roman" w:eastAsia="Times New Roman" w:hAnsi="Times New Roman" w:cs="Times New Roman"/>
          <w:color w:val="000000"/>
          <w:sz w:val="24"/>
          <w:szCs w:val="24"/>
          <w:lang/>
        </w:rPr>
        <w:t>214.5. У разі обчислення податку із застосуванням одночасно адвалорних та специфічних ставок податку базою оподаткування є база, визначена відповідно до </w:t>
      </w:r>
      <w:hyperlink r:id="rId3735" w:anchor="n5471" w:history="1">
        <w:r w:rsidRPr="008B264B">
          <w:rPr>
            <w:rFonts w:ascii="Times New Roman" w:eastAsia="Times New Roman" w:hAnsi="Times New Roman" w:cs="Times New Roman"/>
            <w:color w:val="0000FF"/>
            <w:sz w:val="24"/>
            <w:szCs w:val="24"/>
            <w:u w:val="single"/>
            <w:lang/>
          </w:rPr>
          <w:t>пунктів 214.1</w:t>
        </w:r>
      </w:hyperlink>
      <w:r w:rsidRPr="008B264B">
        <w:rPr>
          <w:rFonts w:ascii="Times New Roman" w:eastAsia="Times New Roman" w:hAnsi="Times New Roman" w:cs="Times New Roman"/>
          <w:color w:val="000000"/>
          <w:sz w:val="24"/>
          <w:szCs w:val="24"/>
          <w:lang/>
        </w:rPr>
        <w:t> та </w:t>
      </w:r>
      <w:hyperlink r:id="rId3736" w:anchor="n5475" w:history="1">
        <w:r w:rsidRPr="008B264B">
          <w:rPr>
            <w:rFonts w:ascii="Times New Roman" w:eastAsia="Times New Roman" w:hAnsi="Times New Roman" w:cs="Times New Roman"/>
            <w:color w:val="0000FF"/>
            <w:sz w:val="24"/>
            <w:szCs w:val="24"/>
            <w:u w:val="single"/>
            <w:lang/>
          </w:rPr>
          <w:t>214.4</w:t>
        </w:r>
      </w:hyperlink>
      <w:r w:rsidRPr="008B264B">
        <w:rPr>
          <w:rFonts w:ascii="Times New Roman" w:eastAsia="Times New Roman" w:hAnsi="Times New Roman" w:cs="Times New Roman"/>
          <w:color w:val="000000"/>
          <w:sz w:val="24"/>
          <w:szCs w:val="24"/>
          <w:lang/>
        </w:rPr>
        <w:t> цієї статті.</w:t>
      </w:r>
    </w:p>
    <w:p w14:paraId="2EE601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1" w:name="n5477"/>
      <w:bookmarkEnd w:id="6741"/>
      <w:r w:rsidRPr="008B264B">
        <w:rPr>
          <w:rFonts w:ascii="Times New Roman" w:eastAsia="Times New Roman" w:hAnsi="Times New Roman" w:cs="Times New Roman"/>
          <w:color w:val="000000"/>
          <w:sz w:val="24"/>
          <w:szCs w:val="24"/>
          <w:lang/>
        </w:rPr>
        <w:t>214.6. У разі наявності наднормативних втрат спирту етилового, коньячного і плодового, спирту етилового ректифікованого виноградного, спирту етилового ректифікованого плодового, спирту-сирцю виноградного, спирту-сирцю плодового та алкогольних напоїв, допущених з вини виробника під час виробництва підакцизних товарів (продукції), базою оподаткування є вартість (кількість) цих товарів, які можна було б виробити з наднормативно втрачених товарів (продукції).</w:t>
      </w:r>
    </w:p>
    <w:p w14:paraId="48E739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2" w:name="n5478"/>
      <w:bookmarkEnd w:id="6742"/>
      <w:r w:rsidRPr="008B264B">
        <w:rPr>
          <w:rFonts w:ascii="Times New Roman" w:eastAsia="Times New Roman" w:hAnsi="Times New Roman" w:cs="Times New Roman"/>
          <w:color w:val="000000"/>
          <w:sz w:val="24"/>
          <w:szCs w:val="24"/>
          <w:lang/>
        </w:rPr>
        <w:t>Норми втрат і виходу спирту етилового, коньячного і плодового, спирту етилового ректифікованого виноградного, спирту етилового ректифікованого плодового, спирту-сирцю виноградного, спирту-сирцю плодового та алкогольних напоїв затверджуються в порядку, що визначається Кабінетом Міністрів України.</w:t>
      </w:r>
    </w:p>
    <w:p w14:paraId="69A60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3" w:name="n5479"/>
      <w:bookmarkEnd w:id="6743"/>
      <w:r w:rsidRPr="008B264B">
        <w:rPr>
          <w:rFonts w:ascii="Times New Roman" w:eastAsia="Times New Roman" w:hAnsi="Times New Roman" w:cs="Times New Roman"/>
          <w:i/>
          <w:iCs/>
          <w:color w:val="000000"/>
          <w:sz w:val="24"/>
          <w:szCs w:val="24"/>
          <w:lang/>
        </w:rPr>
        <w:t>{Абзац другий пункту 214.6 статті 214 із змінами, внесеними згідно із Законом </w:t>
      </w:r>
      <w:hyperlink r:id="rId3737" w:anchor="n35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225FE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4" w:name="n5480"/>
      <w:bookmarkEnd w:id="6744"/>
      <w:r w:rsidRPr="008B264B">
        <w:rPr>
          <w:rFonts w:ascii="Times New Roman" w:eastAsia="Times New Roman" w:hAnsi="Times New Roman" w:cs="Times New Roman"/>
          <w:color w:val="000000"/>
          <w:sz w:val="24"/>
          <w:szCs w:val="24"/>
          <w:lang/>
        </w:rPr>
        <w:t>214.7. При псуванні, знищенні, втраті підакцизних товарів (продукції), крім випадків, передбачених у </w:t>
      </w:r>
      <w:hyperlink r:id="rId3738" w:anchor="n5529" w:history="1">
        <w:r w:rsidRPr="008B264B">
          <w:rPr>
            <w:rFonts w:ascii="Times New Roman" w:eastAsia="Times New Roman" w:hAnsi="Times New Roman" w:cs="Times New Roman"/>
            <w:color w:val="0000FF"/>
            <w:sz w:val="24"/>
            <w:szCs w:val="24"/>
            <w:u w:val="single"/>
            <w:lang/>
          </w:rPr>
          <w:t>пункті 216.3</w:t>
        </w:r>
      </w:hyperlink>
      <w:r w:rsidRPr="008B264B">
        <w:rPr>
          <w:rFonts w:ascii="Times New Roman" w:eastAsia="Times New Roman" w:hAnsi="Times New Roman" w:cs="Times New Roman"/>
          <w:color w:val="000000"/>
          <w:sz w:val="24"/>
          <w:szCs w:val="24"/>
          <w:lang/>
        </w:rPr>
        <w:t> статті 216 цього Кодексу, базою оподаткування є вартість та обсяги втрачених товарів (продукції), що перевищують встановлені норми втрат згідно з </w:t>
      </w:r>
      <w:hyperlink r:id="rId3739" w:anchor="n5477" w:history="1">
        <w:r w:rsidRPr="008B264B">
          <w:rPr>
            <w:rFonts w:ascii="Times New Roman" w:eastAsia="Times New Roman" w:hAnsi="Times New Roman" w:cs="Times New Roman"/>
            <w:color w:val="0000FF"/>
            <w:sz w:val="24"/>
            <w:szCs w:val="24"/>
            <w:u w:val="single"/>
            <w:lang/>
          </w:rPr>
          <w:t>пунктом 214.6</w:t>
        </w:r>
      </w:hyperlink>
      <w:r w:rsidRPr="008B264B">
        <w:rPr>
          <w:rFonts w:ascii="Times New Roman" w:eastAsia="Times New Roman" w:hAnsi="Times New Roman" w:cs="Times New Roman"/>
          <w:color w:val="000000"/>
          <w:sz w:val="24"/>
          <w:szCs w:val="24"/>
          <w:lang/>
        </w:rPr>
        <w:t> статті 214 цього Кодексу.</w:t>
      </w:r>
    </w:p>
    <w:p w14:paraId="26B023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5" w:name="n5481"/>
      <w:bookmarkEnd w:id="6745"/>
      <w:r w:rsidRPr="008B264B">
        <w:rPr>
          <w:rFonts w:ascii="Times New Roman" w:eastAsia="Times New Roman" w:hAnsi="Times New Roman" w:cs="Times New Roman"/>
          <w:i/>
          <w:iCs/>
          <w:color w:val="000000"/>
          <w:sz w:val="24"/>
          <w:szCs w:val="24"/>
          <w:lang/>
        </w:rPr>
        <w:t>{Пункт 214.8 статті 214 виключено на підставі Закону </w:t>
      </w:r>
      <w:hyperlink r:id="rId3740" w:anchor="n7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E4DF7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6" w:name="n5483"/>
      <w:bookmarkEnd w:id="6746"/>
      <w:r w:rsidRPr="008B264B">
        <w:rPr>
          <w:rFonts w:ascii="Times New Roman" w:eastAsia="Times New Roman" w:hAnsi="Times New Roman" w:cs="Times New Roman"/>
          <w:b/>
          <w:bCs/>
          <w:color w:val="000000"/>
          <w:sz w:val="24"/>
          <w:szCs w:val="24"/>
          <w:lang/>
        </w:rPr>
        <w:t>Стаття 215.</w:t>
      </w:r>
      <w:r w:rsidRPr="008B264B">
        <w:rPr>
          <w:rFonts w:ascii="Times New Roman" w:eastAsia="Times New Roman" w:hAnsi="Times New Roman" w:cs="Times New Roman"/>
          <w:color w:val="000000"/>
          <w:sz w:val="24"/>
          <w:szCs w:val="24"/>
          <w:lang/>
        </w:rPr>
        <w:t> Підакцизні товари та ставки податку</w:t>
      </w:r>
    </w:p>
    <w:p w14:paraId="201A17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7" w:name="n5484"/>
      <w:bookmarkEnd w:id="6747"/>
      <w:r w:rsidRPr="008B264B">
        <w:rPr>
          <w:rFonts w:ascii="Times New Roman" w:eastAsia="Times New Roman" w:hAnsi="Times New Roman" w:cs="Times New Roman"/>
          <w:color w:val="000000"/>
          <w:sz w:val="24"/>
          <w:szCs w:val="24"/>
          <w:lang/>
        </w:rPr>
        <w:t>215.1. До підакцизних товарів належать:</w:t>
      </w:r>
    </w:p>
    <w:p w14:paraId="23FD6E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8" w:name="n5485"/>
      <w:bookmarkEnd w:id="6748"/>
      <w:r w:rsidRPr="008B264B">
        <w:rPr>
          <w:rFonts w:ascii="Times New Roman" w:eastAsia="Times New Roman" w:hAnsi="Times New Roman" w:cs="Times New Roman"/>
          <w:color w:val="000000"/>
          <w:sz w:val="24"/>
          <w:szCs w:val="24"/>
          <w:lang/>
        </w:rPr>
        <w:t>спирт етиловий та інші спиртові дистиляти, алкогольні напої, пиво (крім квасу "живого" бродіння);</w:t>
      </w:r>
    </w:p>
    <w:p w14:paraId="4C9413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49" w:name="n14871"/>
      <w:bookmarkEnd w:id="6749"/>
      <w:r w:rsidRPr="008B264B">
        <w:rPr>
          <w:rFonts w:ascii="Times New Roman" w:eastAsia="Times New Roman" w:hAnsi="Times New Roman" w:cs="Times New Roman"/>
          <w:i/>
          <w:iCs/>
          <w:color w:val="000000"/>
          <w:sz w:val="24"/>
          <w:szCs w:val="24"/>
          <w:lang/>
        </w:rPr>
        <w:t>{Абзац другий пункту 215.1 статті 215 із змінами, внесеними згідно із Законом </w:t>
      </w:r>
      <w:hyperlink r:id="rId3741" w:anchor="n28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7B5F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0" w:name="n5486"/>
      <w:bookmarkEnd w:id="6750"/>
      <w:r w:rsidRPr="008B264B">
        <w:rPr>
          <w:rFonts w:ascii="Times New Roman" w:eastAsia="Times New Roman" w:hAnsi="Times New Roman" w:cs="Times New Roman"/>
          <w:color w:val="000000"/>
          <w:sz w:val="24"/>
          <w:szCs w:val="24"/>
          <w:lang/>
        </w:rPr>
        <w:t>тютюнові вироби, тютюн та промислові замінники тютюну;</w:t>
      </w:r>
    </w:p>
    <w:p w14:paraId="4B27B2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1" w:name="n5487"/>
      <w:bookmarkEnd w:id="6751"/>
      <w:r w:rsidRPr="008B264B">
        <w:rPr>
          <w:rFonts w:ascii="Times New Roman" w:eastAsia="Times New Roman" w:hAnsi="Times New Roman" w:cs="Times New Roman"/>
          <w:color w:val="000000"/>
          <w:sz w:val="24"/>
          <w:szCs w:val="24"/>
          <w:lang/>
        </w:rPr>
        <w:t>пальне, у тому числі товари (продукція), що використовуються як пальне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 та коди яких згідно з УКТ ЗЕД не зазначені у </w:t>
      </w:r>
      <w:hyperlink r:id="rId3742"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цієї статті (крім газу природного у газоподібному стані за кодом 2711 21 00 00 згідно з </w:t>
      </w:r>
      <w:hyperlink r:id="rId374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4CEACB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2" w:name="n11381"/>
      <w:bookmarkEnd w:id="6752"/>
      <w:r w:rsidRPr="008B264B">
        <w:rPr>
          <w:rFonts w:ascii="Times New Roman" w:eastAsia="Times New Roman" w:hAnsi="Times New Roman" w:cs="Times New Roman"/>
          <w:i/>
          <w:iCs/>
          <w:color w:val="000000"/>
          <w:sz w:val="24"/>
          <w:szCs w:val="24"/>
          <w:lang/>
        </w:rPr>
        <w:t>{Абзац четвертий пункту 215.1 статті 215 із змінами, внесеними згідно із Законом </w:t>
      </w:r>
      <w:hyperlink r:id="rId3744" w:anchor="n79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745" w:anchor="n37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46" w:anchor="n7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6938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3" w:name="n5488"/>
      <w:bookmarkEnd w:id="6753"/>
      <w:r w:rsidRPr="008B264B">
        <w:rPr>
          <w:rFonts w:ascii="Times New Roman" w:eastAsia="Times New Roman" w:hAnsi="Times New Roman" w:cs="Times New Roman"/>
          <w:color w:val="000000"/>
          <w:sz w:val="24"/>
          <w:szCs w:val="24"/>
          <w:lang/>
        </w:rPr>
        <w:t>автомобілі легкові, кузови до них, причепи та напівпричепи, мотоцикли, транспортні засоби, призначені для перевезення 10 осіб i більше, транспортні засоби для перевезення вантажів;</w:t>
      </w:r>
    </w:p>
    <w:p w14:paraId="451695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4" w:name="n11382"/>
      <w:bookmarkEnd w:id="6754"/>
      <w:r w:rsidRPr="008B264B">
        <w:rPr>
          <w:rFonts w:ascii="Times New Roman" w:eastAsia="Times New Roman" w:hAnsi="Times New Roman" w:cs="Times New Roman"/>
          <w:i/>
          <w:iCs/>
          <w:color w:val="000000"/>
          <w:sz w:val="24"/>
          <w:szCs w:val="24"/>
          <w:lang/>
        </w:rPr>
        <w:t>{Абзац п'ятий пункту 215.1 статті 215 із змінами, внесеними згідно із Законом </w:t>
      </w:r>
      <w:hyperlink r:id="rId3747" w:anchor="n79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E7365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5" w:name="n11384"/>
      <w:bookmarkEnd w:id="6755"/>
      <w:r w:rsidRPr="008B264B">
        <w:rPr>
          <w:rFonts w:ascii="Times New Roman" w:eastAsia="Times New Roman" w:hAnsi="Times New Roman" w:cs="Times New Roman"/>
          <w:color w:val="000000"/>
          <w:sz w:val="24"/>
          <w:szCs w:val="24"/>
          <w:lang/>
        </w:rPr>
        <w:t>електрична енергія.</w:t>
      </w:r>
    </w:p>
    <w:p w14:paraId="7C13BE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6" w:name="n11383"/>
      <w:bookmarkEnd w:id="6756"/>
      <w:r w:rsidRPr="008B264B">
        <w:rPr>
          <w:rFonts w:ascii="Times New Roman" w:eastAsia="Times New Roman" w:hAnsi="Times New Roman" w:cs="Times New Roman"/>
          <w:i/>
          <w:iCs/>
          <w:color w:val="000000"/>
          <w:sz w:val="24"/>
          <w:szCs w:val="24"/>
          <w:lang/>
        </w:rPr>
        <w:t>{Пункт 215.1 статті 215 доповнено абзацом шостим згідно із Законом </w:t>
      </w:r>
      <w:hyperlink r:id="rId3748" w:anchor="n79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C7205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7" w:name="n5489"/>
      <w:bookmarkEnd w:id="6757"/>
      <w:r w:rsidRPr="008B264B">
        <w:rPr>
          <w:rFonts w:ascii="Times New Roman" w:eastAsia="Times New Roman" w:hAnsi="Times New Roman" w:cs="Times New Roman"/>
          <w:color w:val="000000"/>
          <w:sz w:val="24"/>
          <w:szCs w:val="24"/>
          <w:lang/>
        </w:rPr>
        <w:t>215.2. Ставки податку та перелік товарів, з яких справляється податок:</w:t>
      </w:r>
    </w:p>
    <w:p w14:paraId="5D480A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8" w:name="n5490"/>
      <w:bookmarkEnd w:id="6758"/>
      <w:r w:rsidRPr="008B264B">
        <w:rPr>
          <w:rFonts w:ascii="Times New Roman" w:eastAsia="Times New Roman" w:hAnsi="Times New Roman" w:cs="Times New Roman"/>
          <w:color w:val="000000"/>
          <w:sz w:val="24"/>
          <w:szCs w:val="24"/>
          <w:lang/>
        </w:rPr>
        <w:lastRenderedPageBreak/>
        <w:t>215.2.1. ставки податку встановлюються цією статтею і є єдиними на всій території України;</w:t>
      </w:r>
    </w:p>
    <w:p w14:paraId="2FCACE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59" w:name="n5491"/>
      <w:bookmarkEnd w:id="6759"/>
      <w:r w:rsidRPr="008B264B">
        <w:rPr>
          <w:rFonts w:ascii="Times New Roman" w:eastAsia="Times New Roman" w:hAnsi="Times New Roman" w:cs="Times New Roman"/>
          <w:color w:val="000000"/>
          <w:sz w:val="24"/>
          <w:szCs w:val="24"/>
          <w:lang/>
        </w:rPr>
        <w:t>215.2.2. ставки податку встановлюються відповідно до визначень </w:t>
      </w:r>
      <w:hyperlink r:id="rId3749" w:anchor="n130" w:history="1">
        <w:r w:rsidRPr="008B264B">
          <w:rPr>
            <w:rFonts w:ascii="Times New Roman" w:eastAsia="Times New Roman" w:hAnsi="Times New Roman" w:cs="Times New Roman"/>
            <w:color w:val="0000FF"/>
            <w:sz w:val="24"/>
            <w:szCs w:val="24"/>
            <w:u w:val="single"/>
            <w:lang/>
          </w:rPr>
          <w:t>розділу I</w:t>
        </w:r>
      </w:hyperlink>
      <w:r w:rsidRPr="008B264B">
        <w:rPr>
          <w:rFonts w:ascii="Times New Roman" w:eastAsia="Times New Roman" w:hAnsi="Times New Roman" w:cs="Times New Roman"/>
          <w:color w:val="000000"/>
          <w:sz w:val="24"/>
          <w:szCs w:val="24"/>
          <w:lang/>
        </w:rPr>
        <w:t> цього Кодексу:</w:t>
      </w:r>
    </w:p>
    <w:p w14:paraId="1273D0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0" w:name="n5492"/>
      <w:bookmarkEnd w:id="6760"/>
      <w:r w:rsidRPr="008B264B">
        <w:rPr>
          <w:rFonts w:ascii="Times New Roman" w:eastAsia="Times New Roman" w:hAnsi="Times New Roman" w:cs="Times New Roman"/>
          <w:color w:val="000000"/>
          <w:sz w:val="24"/>
          <w:szCs w:val="24"/>
          <w:lang/>
        </w:rPr>
        <w:t>адвалорні,</w:t>
      </w:r>
    </w:p>
    <w:p w14:paraId="00108E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1" w:name="n5493"/>
      <w:bookmarkEnd w:id="6761"/>
      <w:r w:rsidRPr="008B264B">
        <w:rPr>
          <w:rFonts w:ascii="Times New Roman" w:eastAsia="Times New Roman" w:hAnsi="Times New Roman" w:cs="Times New Roman"/>
          <w:color w:val="000000"/>
          <w:sz w:val="24"/>
          <w:szCs w:val="24"/>
          <w:lang/>
        </w:rPr>
        <w:t>специфічні,</w:t>
      </w:r>
    </w:p>
    <w:p w14:paraId="1624F8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2" w:name="n5494"/>
      <w:bookmarkEnd w:id="6762"/>
      <w:r w:rsidRPr="008B264B">
        <w:rPr>
          <w:rFonts w:ascii="Times New Roman" w:eastAsia="Times New Roman" w:hAnsi="Times New Roman" w:cs="Times New Roman"/>
          <w:color w:val="000000"/>
          <w:sz w:val="24"/>
          <w:szCs w:val="24"/>
          <w:lang/>
        </w:rPr>
        <w:t>адвалорні та специфічні одночасно;</w:t>
      </w:r>
    </w:p>
    <w:p w14:paraId="2369F0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3" w:name="n5495"/>
      <w:bookmarkEnd w:id="6763"/>
      <w:r w:rsidRPr="008B264B">
        <w:rPr>
          <w:rFonts w:ascii="Times New Roman" w:eastAsia="Times New Roman" w:hAnsi="Times New Roman" w:cs="Times New Roman"/>
          <w:color w:val="000000"/>
          <w:sz w:val="24"/>
          <w:szCs w:val="24"/>
          <w:lang/>
        </w:rPr>
        <w:t>215.2.3. ставки акцизного податку на бензин моторний за кодами згідно з </w:t>
      </w:r>
      <w:hyperlink r:id="rId3750"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2710 11 51 00, 2710 11 59 00, що містить тетраетилсвинець, збільшуються в 1,5 раза.</w:t>
      </w:r>
    </w:p>
    <w:p w14:paraId="32374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4" w:name="n5496"/>
      <w:bookmarkEnd w:id="6764"/>
      <w:r w:rsidRPr="008B264B">
        <w:rPr>
          <w:rFonts w:ascii="Times New Roman" w:eastAsia="Times New Roman" w:hAnsi="Times New Roman" w:cs="Times New Roman"/>
          <w:color w:val="000000"/>
          <w:sz w:val="24"/>
          <w:szCs w:val="24"/>
          <w:lang/>
        </w:rPr>
        <w:t>215.3. Податок справляється з таких товарів та обчислюється за такими ставками:</w:t>
      </w:r>
    </w:p>
    <w:p w14:paraId="0D70F5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5" w:name="n5497"/>
      <w:bookmarkEnd w:id="6765"/>
      <w:r w:rsidRPr="008B264B">
        <w:rPr>
          <w:rFonts w:ascii="Times New Roman" w:eastAsia="Times New Roman" w:hAnsi="Times New Roman" w:cs="Times New Roman"/>
          <w:color w:val="000000"/>
          <w:sz w:val="24"/>
          <w:szCs w:val="24"/>
          <w:lang/>
        </w:rPr>
        <w:t>215.3.1. спирт етиловий та інші спиртові дистиляти, алкогольні напої, пиво:</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712"/>
        <w:gridCol w:w="2793"/>
        <w:gridCol w:w="2273"/>
        <w:gridCol w:w="2144"/>
      </w:tblGrid>
      <w:tr w:rsidR="008B264B" w:rsidRPr="008B264B" w14:paraId="48D6A47E" w14:textId="77777777" w:rsidTr="008B264B">
        <w:trPr>
          <w:trHeight w:val="585"/>
        </w:trPr>
        <w:tc>
          <w:tcPr>
            <w:tcW w:w="2505" w:type="dxa"/>
            <w:tcBorders>
              <w:top w:val="single" w:sz="6" w:space="0" w:color="000000"/>
              <w:left w:val="nil"/>
              <w:bottom w:val="single" w:sz="6" w:space="0" w:color="000000"/>
              <w:right w:val="single" w:sz="6" w:space="0" w:color="000000"/>
            </w:tcBorders>
            <w:shd w:val="clear" w:color="auto" w:fill="auto"/>
            <w:hideMark/>
          </w:tcPr>
          <w:p w14:paraId="419527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66" w:name="n13264"/>
            <w:bookmarkEnd w:id="6766"/>
            <w:r w:rsidRPr="008B264B">
              <w:rPr>
                <w:rFonts w:ascii="Times New Roman" w:eastAsia="Times New Roman" w:hAnsi="Times New Roman" w:cs="Times New Roman"/>
                <w:sz w:val="24"/>
                <w:szCs w:val="24"/>
                <w:lang/>
              </w:rPr>
              <w:t>Код товару (продукції) згідно з УКТ ЗЕД</w:t>
            </w:r>
          </w:p>
        </w:tc>
        <w:tc>
          <w:tcPr>
            <w:tcW w:w="2580" w:type="dxa"/>
            <w:tcBorders>
              <w:top w:val="single" w:sz="6" w:space="0" w:color="000000"/>
              <w:left w:val="single" w:sz="6" w:space="0" w:color="000000"/>
              <w:bottom w:val="single" w:sz="6" w:space="0" w:color="000000"/>
              <w:right w:val="single" w:sz="6" w:space="0" w:color="000000"/>
            </w:tcBorders>
            <w:shd w:val="clear" w:color="auto" w:fill="auto"/>
            <w:hideMark/>
          </w:tcPr>
          <w:p w14:paraId="1213A2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2100" w:type="dxa"/>
            <w:tcBorders>
              <w:top w:val="single" w:sz="6" w:space="0" w:color="000000"/>
              <w:left w:val="single" w:sz="6" w:space="0" w:color="000000"/>
              <w:bottom w:val="single" w:sz="6" w:space="0" w:color="000000"/>
              <w:right w:val="single" w:sz="6" w:space="0" w:color="000000"/>
            </w:tcBorders>
            <w:shd w:val="clear" w:color="auto" w:fill="auto"/>
            <w:hideMark/>
          </w:tcPr>
          <w:p w14:paraId="164DFD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1980" w:type="dxa"/>
            <w:tcBorders>
              <w:top w:val="single" w:sz="6" w:space="0" w:color="000000"/>
              <w:left w:val="single" w:sz="6" w:space="0" w:color="000000"/>
              <w:bottom w:val="single" w:sz="6" w:space="0" w:color="000000"/>
              <w:right w:val="nil"/>
            </w:tcBorders>
            <w:shd w:val="clear" w:color="auto" w:fill="auto"/>
            <w:hideMark/>
          </w:tcPr>
          <w:p w14:paraId="490466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p>
        </w:tc>
      </w:tr>
      <w:tr w:rsidR="008B264B" w:rsidRPr="008B264B" w14:paraId="1D739E6A" w14:textId="77777777" w:rsidTr="008B264B">
        <w:trPr>
          <w:trHeight w:val="510"/>
        </w:trPr>
        <w:tc>
          <w:tcPr>
            <w:tcW w:w="2505" w:type="dxa"/>
            <w:tcBorders>
              <w:top w:val="single" w:sz="6" w:space="0" w:color="000000"/>
              <w:left w:val="nil"/>
              <w:bottom w:val="nil"/>
              <w:right w:val="nil"/>
            </w:tcBorders>
            <w:shd w:val="clear" w:color="auto" w:fill="auto"/>
            <w:hideMark/>
          </w:tcPr>
          <w:p w14:paraId="6D7158E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2203 00</w:t>
            </w:r>
          </w:p>
        </w:tc>
        <w:tc>
          <w:tcPr>
            <w:tcW w:w="2580" w:type="dxa"/>
            <w:tcBorders>
              <w:top w:val="single" w:sz="6" w:space="0" w:color="000000"/>
              <w:left w:val="nil"/>
              <w:bottom w:val="nil"/>
              <w:right w:val="nil"/>
            </w:tcBorders>
            <w:shd w:val="clear" w:color="auto" w:fill="auto"/>
            <w:hideMark/>
          </w:tcPr>
          <w:p w14:paraId="306C7BA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Пиво із солоду (солодове)</w:t>
            </w:r>
          </w:p>
        </w:tc>
        <w:tc>
          <w:tcPr>
            <w:tcW w:w="2100" w:type="dxa"/>
            <w:tcBorders>
              <w:top w:val="single" w:sz="6" w:space="0" w:color="000000"/>
              <w:left w:val="nil"/>
              <w:bottom w:val="nil"/>
              <w:right w:val="nil"/>
            </w:tcBorders>
            <w:shd w:val="clear" w:color="auto" w:fill="auto"/>
            <w:hideMark/>
          </w:tcPr>
          <w:p w14:paraId="4CD142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літр</w:t>
            </w:r>
          </w:p>
        </w:tc>
        <w:tc>
          <w:tcPr>
            <w:tcW w:w="1980" w:type="dxa"/>
            <w:tcBorders>
              <w:top w:val="single" w:sz="6" w:space="0" w:color="000000"/>
              <w:left w:val="nil"/>
              <w:bottom w:val="nil"/>
              <w:right w:val="nil"/>
            </w:tcBorders>
            <w:shd w:val="clear" w:color="auto" w:fill="auto"/>
            <w:hideMark/>
          </w:tcPr>
          <w:p w14:paraId="12FA0A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2,78</w:t>
            </w:r>
          </w:p>
        </w:tc>
      </w:tr>
      <w:tr w:rsidR="008B264B" w:rsidRPr="008B264B" w14:paraId="5F133B06" w14:textId="77777777" w:rsidTr="008B264B">
        <w:trPr>
          <w:trHeight w:val="510"/>
        </w:trPr>
        <w:tc>
          <w:tcPr>
            <w:tcW w:w="2505" w:type="dxa"/>
            <w:tcBorders>
              <w:top w:val="nil"/>
              <w:left w:val="nil"/>
              <w:bottom w:val="nil"/>
              <w:right w:val="nil"/>
            </w:tcBorders>
            <w:shd w:val="clear" w:color="auto" w:fill="auto"/>
            <w:hideMark/>
          </w:tcPr>
          <w:p w14:paraId="7790FE2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2204</w:t>
            </w:r>
            <w:r w:rsidRPr="008B264B">
              <w:rPr>
                <w:rFonts w:ascii="Times New Roman" w:eastAsia="Times New Roman" w:hAnsi="Times New Roman" w:cs="Times New Roman"/>
                <w:sz w:val="24"/>
                <w:szCs w:val="24"/>
                <w:lang/>
              </w:rPr>
              <w:br/>
              <w:t>(крім 2204 10,</w:t>
            </w:r>
            <w:r w:rsidRPr="008B264B">
              <w:rPr>
                <w:rFonts w:ascii="Times New Roman" w:eastAsia="Times New Roman" w:hAnsi="Times New Roman" w:cs="Times New Roman"/>
                <w:sz w:val="24"/>
                <w:szCs w:val="24"/>
                <w:lang/>
              </w:rPr>
              <w:br/>
              <w:t>2204 21 06 00,</w:t>
            </w:r>
            <w:r w:rsidRPr="008B264B">
              <w:rPr>
                <w:rFonts w:ascii="Times New Roman" w:eastAsia="Times New Roman" w:hAnsi="Times New Roman" w:cs="Times New Roman"/>
                <w:sz w:val="24"/>
                <w:szCs w:val="24"/>
                <w:lang/>
              </w:rPr>
              <w:br/>
              <w:t>2204 21 07 00,</w:t>
            </w:r>
            <w:r w:rsidRPr="008B264B">
              <w:rPr>
                <w:rFonts w:ascii="Times New Roman" w:eastAsia="Times New Roman" w:hAnsi="Times New Roman" w:cs="Times New Roman"/>
                <w:sz w:val="24"/>
                <w:szCs w:val="24"/>
                <w:lang/>
              </w:rPr>
              <w:br/>
              <w:t>2204 21 08 00,</w:t>
            </w:r>
            <w:r w:rsidRPr="008B264B">
              <w:rPr>
                <w:rFonts w:ascii="Times New Roman" w:eastAsia="Times New Roman" w:hAnsi="Times New Roman" w:cs="Times New Roman"/>
                <w:sz w:val="24"/>
                <w:szCs w:val="24"/>
                <w:lang/>
              </w:rPr>
              <w:br/>
              <w:t>2204 21 09 00,</w:t>
            </w:r>
            <w:r w:rsidRPr="008B264B">
              <w:rPr>
                <w:rFonts w:ascii="Times New Roman" w:eastAsia="Times New Roman" w:hAnsi="Times New Roman" w:cs="Times New Roman"/>
                <w:sz w:val="24"/>
                <w:szCs w:val="24"/>
                <w:lang/>
              </w:rPr>
              <w:br/>
              <w:t>2204 29 10 00),</w:t>
            </w:r>
            <w:r w:rsidRPr="008B264B">
              <w:rPr>
                <w:rFonts w:ascii="Times New Roman" w:eastAsia="Times New Roman" w:hAnsi="Times New Roman" w:cs="Times New Roman"/>
                <w:sz w:val="24"/>
                <w:szCs w:val="24"/>
                <w:lang/>
              </w:rPr>
              <w:br/>
              <w:t>2205 10 10 00,</w:t>
            </w:r>
            <w:r w:rsidRPr="008B264B">
              <w:rPr>
                <w:rFonts w:ascii="Times New Roman" w:eastAsia="Times New Roman" w:hAnsi="Times New Roman" w:cs="Times New Roman"/>
                <w:sz w:val="24"/>
                <w:szCs w:val="24"/>
                <w:lang/>
              </w:rPr>
              <w:br/>
              <w:t>2205 90 10 00,</w:t>
            </w:r>
            <w:r w:rsidRPr="008B264B">
              <w:rPr>
                <w:rFonts w:ascii="Times New Roman" w:eastAsia="Times New Roman" w:hAnsi="Times New Roman" w:cs="Times New Roman"/>
                <w:sz w:val="24"/>
                <w:szCs w:val="24"/>
                <w:lang/>
              </w:rPr>
              <w:br/>
              <w:t>2206 00 59 00,</w:t>
            </w:r>
            <w:r w:rsidRPr="008B264B">
              <w:rPr>
                <w:rFonts w:ascii="Times New Roman" w:eastAsia="Times New Roman" w:hAnsi="Times New Roman" w:cs="Times New Roman"/>
                <w:sz w:val="24"/>
                <w:szCs w:val="24"/>
                <w:lang/>
              </w:rPr>
              <w:br/>
              <w:t>2206 00 89 00</w:t>
            </w:r>
          </w:p>
        </w:tc>
        <w:tc>
          <w:tcPr>
            <w:tcW w:w="2580" w:type="dxa"/>
            <w:tcBorders>
              <w:top w:val="nil"/>
              <w:left w:val="nil"/>
              <w:bottom w:val="nil"/>
              <w:right w:val="nil"/>
            </w:tcBorders>
            <w:shd w:val="clear" w:color="auto" w:fill="auto"/>
            <w:hideMark/>
          </w:tcPr>
          <w:p w14:paraId="1073207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Звичайні (неігристі) вина, сусло виноградне, зброджені напої, фактична міцність яких вища за 1,2 відсотка об’ємних одиниць етилового спирту, але не вища за 15 відсотків об’ємних одиниць етилового спирту, за умови що етиловий спирт, який міститься у готовому продукті, має повністю ферментне (ендогенне) походження</w:t>
            </w:r>
          </w:p>
        </w:tc>
        <w:tc>
          <w:tcPr>
            <w:tcW w:w="2100" w:type="dxa"/>
            <w:tcBorders>
              <w:top w:val="nil"/>
              <w:left w:val="nil"/>
              <w:bottom w:val="nil"/>
              <w:right w:val="nil"/>
            </w:tcBorders>
            <w:shd w:val="clear" w:color="auto" w:fill="auto"/>
            <w:hideMark/>
          </w:tcPr>
          <w:p w14:paraId="2BB170A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w:t>
            </w:r>
            <w:r w:rsidRPr="008B264B">
              <w:rPr>
                <w:rFonts w:ascii="Times New Roman" w:eastAsia="Times New Roman" w:hAnsi="Times New Roman" w:cs="Times New Roman"/>
                <w:sz w:val="24"/>
                <w:szCs w:val="24"/>
                <w:lang/>
              </w:rPr>
              <w:br/>
              <w:t>1 літр</w:t>
            </w:r>
          </w:p>
        </w:tc>
        <w:tc>
          <w:tcPr>
            <w:tcW w:w="1980" w:type="dxa"/>
            <w:tcBorders>
              <w:top w:val="nil"/>
              <w:left w:val="nil"/>
              <w:bottom w:val="nil"/>
              <w:right w:val="nil"/>
            </w:tcBorders>
            <w:shd w:val="clear" w:color="auto" w:fill="auto"/>
            <w:hideMark/>
          </w:tcPr>
          <w:p w14:paraId="513AFD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w:t>
            </w:r>
          </w:p>
        </w:tc>
      </w:tr>
      <w:tr w:rsidR="008B264B" w:rsidRPr="008B264B" w14:paraId="5B973F52" w14:textId="77777777" w:rsidTr="008B264B">
        <w:trPr>
          <w:trHeight w:val="510"/>
        </w:trPr>
        <w:tc>
          <w:tcPr>
            <w:tcW w:w="2505" w:type="dxa"/>
            <w:tcBorders>
              <w:top w:val="nil"/>
              <w:left w:val="nil"/>
              <w:bottom w:val="nil"/>
              <w:right w:val="nil"/>
            </w:tcBorders>
            <w:shd w:val="clear" w:color="auto" w:fill="auto"/>
            <w:hideMark/>
          </w:tcPr>
          <w:p w14:paraId="7FCC31C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2204 10,</w:t>
            </w:r>
            <w:r w:rsidRPr="008B264B">
              <w:rPr>
                <w:rFonts w:ascii="Times New Roman" w:eastAsia="Times New Roman" w:hAnsi="Times New Roman" w:cs="Times New Roman"/>
                <w:sz w:val="24"/>
                <w:szCs w:val="24"/>
                <w:lang/>
              </w:rPr>
              <w:br/>
              <w:t>2204 21 06 00,</w:t>
            </w:r>
            <w:r w:rsidRPr="008B264B">
              <w:rPr>
                <w:rFonts w:ascii="Times New Roman" w:eastAsia="Times New Roman" w:hAnsi="Times New Roman" w:cs="Times New Roman"/>
                <w:sz w:val="24"/>
                <w:szCs w:val="24"/>
                <w:lang/>
              </w:rPr>
              <w:br/>
              <w:t>2204 21 07 00,</w:t>
            </w:r>
            <w:r w:rsidRPr="008B264B">
              <w:rPr>
                <w:rFonts w:ascii="Times New Roman" w:eastAsia="Times New Roman" w:hAnsi="Times New Roman" w:cs="Times New Roman"/>
                <w:sz w:val="24"/>
                <w:szCs w:val="24"/>
                <w:lang/>
              </w:rPr>
              <w:br/>
              <w:t>2204 21 08 00,</w:t>
            </w:r>
            <w:r w:rsidRPr="008B264B">
              <w:rPr>
                <w:rFonts w:ascii="Times New Roman" w:eastAsia="Times New Roman" w:hAnsi="Times New Roman" w:cs="Times New Roman"/>
                <w:sz w:val="24"/>
                <w:szCs w:val="24"/>
                <w:lang/>
              </w:rPr>
              <w:br/>
              <w:t>2204 21 09 00,</w:t>
            </w:r>
            <w:r w:rsidRPr="008B264B">
              <w:rPr>
                <w:rFonts w:ascii="Times New Roman" w:eastAsia="Times New Roman" w:hAnsi="Times New Roman" w:cs="Times New Roman"/>
                <w:sz w:val="24"/>
                <w:szCs w:val="24"/>
                <w:lang/>
              </w:rPr>
              <w:br/>
              <w:t>2204 29 10 00,</w:t>
            </w:r>
            <w:r w:rsidRPr="008B264B">
              <w:rPr>
                <w:rFonts w:ascii="Times New Roman" w:eastAsia="Times New Roman" w:hAnsi="Times New Roman" w:cs="Times New Roman"/>
                <w:sz w:val="24"/>
                <w:szCs w:val="24"/>
                <w:lang/>
              </w:rPr>
              <w:br/>
              <w:t>2205 10 10 00,</w:t>
            </w:r>
            <w:r w:rsidRPr="008B264B">
              <w:rPr>
                <w:rFonts w:ascii="Times New Roman" w:eastAsia="Times New Roman" w:hAnsi="Times New Roman" w:cs="Times New Roman"/>
                <w:sz w:val="24"/>
                <w:szCs w:val="24"/>
                <w:lang/>
              </w:rPr>
              <w:br/>
              <w:t>2205 90 10 00,</w:t>
            </w:r>
            <w:r w:rsidRPr="008B264B">
              <w:rPr>
                <w:rFonts w:ascii="Times New Roman" w:eastAsia="Times New Roman" w:hAnsi="Times New Roman" w:cs="Times New Roman"/>
                <w:sz w:val="24"/>
                <w:szCs w:val="24"/>
                <w:lang/>
              </w:rPr>
              <w:br/>
              <w:t>2206 00 39 00</w:t>
            </w:r>
          </w:p>
        </w:tc>
        <w:tc>
          <w:tcPr>
            <w:tcW w:w="2580" w:type="dxa"/>
            <w:tcBorders>
              <w:top w:val="nil"/>
              <w:left w:val="nil"/>
              <w:bottom w:val="nil"/>
              <w:right w:val="nil"/>
            </w:tcBorders>
            <w:shd w:val="clear" w:color="auto" w:fill="auto"/>
            <w:hideMark/>
          </w:tcPr>
          <w:p w14:paraId="579EFFB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Вина ігристі та вина газовані, зброджені напої, вина (напої) ароматизовані ігристі (газовані), фактична міцність яких вища за 1,2 відсотка об’ємних одиниць етилового спирту, але не вища за 15 відсотків об’ємних одиниць етилового спирту, за умови що етиловий спирт, який міститься у готовому продукті, має повністю ферментне (ендогенне) походження, які розливаються у пляшки, закорковані спеціальними </w:t>
            </w:r>
            <w:r w:rsidRPr="008B264B">
              <w:rPr>
                <w:rFonts w:ascii="Times New Roman" w:eastAsia="Times New Roman" w:hAnsi="Times New Roman" w:cs="Times New Roman"/>
                <w:sz w:val="24"/>
                <w:szCs w:val="24"/>
                <w:lang/>
              </w:rPr>
              <w:lastRenderedPageBreak/>
              <w:t>пробками для таких напоїв типу "гриб", що утримуються на місці за допомогою стяжок або застібок, та/або мають надмірний тиск, спричинений наявністю діоксиду вуглецю у розчині на рівні не менше 1 бар при температурі 20</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sz w:val="24"/>
                <w:szCs w:val="24"/>
                <w:lang/>
              </w:rPr>
              <w:t> С</w:t>
            </w:r>
          </w:p>
        </w:tc>
        <w:tc>
          <w:tcPr>
            <w:tcW w:w="2100" w:type="dxa"/>
            <w:tcBorders>
              <w:top w:val="nil"/>
              <w:left w:val="nil"/>
              <w:bottom w:val="nil"/>
              <w:right w:val="nil"/>
            </w:tcBorders>
            <w:shd w:val="clear" w:color="auto" w:fill="auto"/>
            <w:hideMark/>
          </w:tcPr>
          <w:p w14:paraId="09C476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w:t>
            </w:r>
          </w:p>
        </w:tc>
        <w:tc>
          <w:tcPr>
            <w:tcW w:w="1980" w:type="dxa"/>
            <w:tcBorders>
              <w:top w:val="nil"/>
              <w:left w:val="nil"/>
              <w:bottom w:val="nil"/>
              <w:right w:val="nil"/>
            </w:tcBorders>
            <w:shd w:val="clear" w:color="auto" w:fill="auto"/>
            <w:hideMark/>
          </w:tcPr>
          <w:p w14:paraId="510F861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11,65</w:t>
            </w:r>
          </w:p>
        </w:tc>
      </w:tr>
      <w:tr w:rsidR="008B264B" w:rsidRPr="008B264B" w14:paraId="30877CA2" w14:textId="77777777" w:rsidTr="008B264B">
        <w:trPr>
          <w:trHeight w:val="510"/>
        </w:trPr>
        <w:tc>
          <w:tcPr>
            <w:tcW w:w="2505" w:type="dxa"/>
            <w:tcBorders>
              <w:top w:val="nil"/>
              <w:left w:val="nil"/>
              <w:bottom w:val="nil"/>
              <w:right w:val="nil"/>
            </w:tcBorders>
            <w:shd w:val="clear" w:color="auto" w:fill="auto"/>
            <w:hideMark/>
          </w:tcPr>
          <w:p w14:paraId="5465246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2204, 2205, 2206 (вина та інші зброджені напої без додання етилового спирту в іншому місці не зазначені; вина та інші зброджені напої з доданням етилового спирту)</w:t>
            </w:r>
          </w:p>
        </w:tc>
        <w:tc>
          <w:tcPr>
            <w:tcW w:w="2580" w:type="dxa"/>
            <w:tcBorders>
              <w:top w:val="nil"/>
              <w:left w:val="nil"/>
              <w:bottom w:val="nil"/>
              <w:right w:val="nil"/>
            </w:tcBorders>
            <w:shd w:val="clear" w:color="auto" w:fill="auto"/>
            <w:hideMark/>
          </w:tcPr>
          <w:p w14:paraId="47314CD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Вина та інші зброджені напої (у тому числі суміші із зброджених напоїв та суміші на основі зброджених напоїв), фактична міцність яких вища за 1,2 відсотка об’ємних одиниць етилового спирту, але не вища за  22 відсотки об’ємних одиниць етилового спирту</w:t>
            </w:r>
          </w:p>
        </w:tc>
        <w:tc>
          <w:tcPr>
            <w:tcW w:w="2100" w:type="dxa"/>
            <w:tcBorders>
              <w:top w:val="nil"/>
              <w:left w:val="nil"/>
              <w:bottom w:val="nil"/>
              <w:right w:val="nil"/>
            </w:tcBorders>
            <w:shd w:val="clear" w:color="auto" w:fill="auto"/>
            <w:hideMark/>
          </w:tcPr>
          <w:p w14:paraId="495CD4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літр</w:t>
            </w:r>
          </w:p>
        </w:tc>
        <w:tc>
          <w:tcPr>
            <w:tcW w:w="1980" w:type="dxa"/>
            <w:tcBorders>
              <w:top w:val="nil"/>
              <w:left w:val="nil"/>
              <w:bottom w:val="nil"/>
              <w:right w:val="nil"/>
            </w:tcBorders>
            <w:shd w:val="clear" w:color="auto" w:fill="auto"/>
            <w:hideMark/>
          </w:tcPr>
          <w:p w14:paraId="095F853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8,02</w:t>
            </w:r>
          </w:p>
        </w:tc>
      </w:tr>
      <w:tr w:rsidR="008B264B" w:rsidRPr="008B264B" w14:paraId="3096DD50" w14:textId="77777777" w:rsidTr="008B264B">
        <w:trPr>
          <w:trHeight w:val="510"/>
        </w:trPr>
        <w:tc>
          <w:tcPr>
            <w:tcW w:w="2505" w:type="dxa"/>
            <w:tcBorders>
              <w:top w:val="nil"/>
              <w:left w:val="nil"/>
              <w:bottom w:val="nil"/>
              <w:right w:val="nil"/>
            </w:tcBorders>
            <w:shd w:val="clear" w:color="auto" w:fill="auto"/>
            <w:hideMark/>
          </w:tcPr>
          <w:p w14:paraId="58C515E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2204, 2205, 2206 (алкогольні напої з доданням або без додання етилового спирту в іншому місці не зазначені)</w:t>
            </w:r>
          </w:p>
        </w:tc>
        <w:tc>
          <w:tcPr>
            <w:tcW w:w="2580" w:type="dxa"/>
            <w:tcBorders>
              <w:top w:val="nil"/>
              <w:left w:val="nil"/>
              <w:bottom w:val="nil"/>
              <w:right w:val="nil"/>
            </w:tcBorders>
            <w:shd w:val="clear" w:color="auto" w:fill="auto"/>
            <w:hideMark/>
          </w:tcPr>
          <w:p w14:paraId="1BE67B4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Алкогольні напої, фактична міцність яких вища за 22 відсотки об’ємних одиниць етилового спирту, інші суміші із зброджених напоїв та суміші на основі зброджених напоїв</w:t>
            </w:r>
          </w:p>
        </w:tc>
        <w:tc>
          <w:tcPr>
            <w:tcW w:w="2100" w:type="dxa"/>
            <w:tcBorders>
              <w:top w:val="nil"/>
              <w:left w:val="nil"/>
              <w:bottom w:val="nil"/>
              <w:right w:val="nil"/>
            </w:tcBorders>
            <w:shd w:val="clear" w:color="auto" w:fill="auto"/>
            <w:hideMark/>
          </w:tcPr>
          <w:p w14:paraId="741492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літр 100-відсоткового спирту</w:t>
            </w:r>
          </w:p>
        </w:tc>
        <w:tc>
          <w:tcPr>
            <w:tcW w:w="1980" w:type="dxa"/>
            <w:tcBorders>
              <w:top w:val="nil"/>
              <w:left w:val="nil"/>
              <w:bottom w:val="nil"/>
              <w:right w:val="nil"/>
            </w:tcBorders>
            <w:shd w:val="clear" w:color="auto" w:fill="auto"/>
            <w:hideMark/>
          </w:tcPr>
          <w:p w14:paraId="543525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126,96</w:t>
            </w:r>
          </w:p>
          <w:p w14:paraId="15E942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20CF090" w14:textId="77777777" w:rsidTr="008B264B">
        <w:trPr>
          <w:trHeight w:val="510"/>
        </w:trPr>
        <w:tc>
          <w:tcPr>
            <w:tcW w:w="2505" w:type="dxa"/>
            <w:tcBorders>
              <w:top w:val="nil"/>
              <w:left w:val="nil"/>
              <w:bottom w:val="nil"/>
              <w:right w:val="nil"/>
            </w:tcBorders>
            <w:shd w:val="clear" w:color="auto" w:fill="auto"/>
            <w:hideMark/>
          </w:tcPr>
          <w:p w14:paraId="26B506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2206 00 31 00,</w:t>
            </w:r>
            <w:r w:rsidRPr="008B264B">
              <w:rPr>
                <w:rFonts w:ascii="Times New Roman" w:eastAsia="Times New Roman" w:hAnsi="Times New Roman" w:cs="Times New Roman"/>
                <w:sz w:val="24"/>
                <w:szCs w:val="24"/>
                <w:lang/>
              </w:rPr>
              <w:br/>
              <w:t>2206 00 51 00,</w:t>
            </w:r>
            <w:r w:rsidRPr="008B264B">
              <w:rPr>
                <w:rFonts w:ascii="Times New Roman" w:eastAsia="Times New Roman" w:hAnsi="Times New Roman" w:cs="Times New Roman"/>
                <w:sz w:val="24"/>
                <w:szCs w:val="24"/>
                <w:lang/>
              </w:rPr>
              <w:br/>
              <w:t>2206 00 81 00</w:t>
            </w:r>
          </w:p>
        </w:tc>
        <w:tc>
          <w:tcPr>
            <w:tcW w:w="2580" w:type="dxa"/>
            <w:tcBorders>
              <w:top w:val="nil"/>
              <w:left w:val="nil"/>
              <w:bottom w:val="nil"/>
              <w:right w:val="nil"/>
            </w:tcBorders>
            <w:shd w:val="clear" w:color="auto" w:fill="auto"/>
            <w:hideMark/>
          </w:tcPr>
          <w:p w14:paraId="09CA1E4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Сидр і перрі (без додання спирту)</w:t>
            </w:r>
          </w:p>
        </w:tc>
        <w:tc>
          <w:tcPr>
            <w:tcW w:w="2100" w:type="dxa"/>
            <w:tcBorders>
              <w:top w:val="nil"/>
              <w:left w:val="nil"/>
              <w:bottom w:val="nil"/>
              <w:right w:val="nil"/>
            </w:tcBorders>
            <w:shd w:val="clear" w:color="auto" w:fill="auto"/>
            <w:hideMark/>
          </w:tcPr>
          <w:p w14:paraId="29F955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літр</w:t>
            </w:r>
          </w:p>
        </w:tc>
        <w:tc>
          <w:tcPr>
            <w:tcW w:w="1980" w:type="dxa"/>
            <w:tcBorders>
              <w:top w:val="nil"/>
              <w:left w:val="nil"/>
              <w:bottom w:val="nil"/>
              <w:right w:val="nil"/>
            </w:tcBorders>
            <w:shd w:val="clear" w:color="auto" w:fill="auto"/>
            <w:hideMark/>
          </w:tcPr>
          <w:p w14:paraId="5D466E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1,06</w:t>
            </w:r>
          </w:p>
        </w:tc>
      </w:tr>
      <w:tr w:rsidR="008B264B" w:rsidRPr="008B264B" w14:paraId="70BF81AB" w14:textId="77777777" w:rsidTr="008B264B">
        <w:trPr>
          <w:trHeight w:val="510"/>
        </w:trPr>
        <w:tc>
          <w:tcPr>
            <w:tcW w:w="2505" w:type="dxa"/>
            <w:tcBorders>
              <w:top w:val="nil"/>
              <w:left w:val="nil"/>
              <w:bottom w:val="nil"/>
              <w:right w:val="nil"/>
            </w:tcBorders>
            <w:shd w:val="clear" w:color="auto" w:fill="auto"/>
            <w:hideMark/>
          </w:tcPr>
          <w:p w14:paraId="7575CB7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2207</w:t>
            </w:r>
          </w:p>
        </w:tc>
        <w:tc>
          <w:tcPr>
            <w:tcW w:w="2580" w:type="dxa"/>
            <w:tcBorders>
              <w:top w:val="nil"/>
              <w:left w:val="nil"/>
              <w:bottom w:val="nil"/>
              <w:right w:val="nil"/>
            </w:tcBorders>
            <w:shd w:val="clear" w:color="auto" w:fill="auto"/>
            <w:hideMark/>
          </w:tcPr>
          <w:p w14:paraId="430C219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Спирт етиловий, неденатурований, з концентрацією спирту 80 відсотків об’ємних одиниць або більше; спирт етиловий та інші спиртові дистиляти та спиртні напої, одержані шляхом перегонки, денатуровані, будь-якої концентрації</w:t>
            </w:r>
          </w:p>
        </w:tc>
        <w:tc>
          <w:tcPr>
            <w:tcW w:w="2100" w:type="dxa"/>
            <w:tcBorders>
              <w:top w:val="nil"/>
              <w:left w:val="nil"/>
              <w:bottom w:val="nil"/>
              <w:right w:val="nil"/>
            </w:tcBorders>
            <w:shd w:val="clear" w:color="auto" w:fill="auto"/>
            <w:hideMark/>
          </w:tcPr>
          <w:p w14:paraId="4371C4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літр 100-відсоткового спирту</w:t>
            </w:r>
          </w:p>
        </w:tc>
        <w:tc>
          <w:tcPr>
            <w:tcW w:w="1980" w:type="dxa"/>
            <w:tcBorders>
              <w:top w:val="nil"/>
              <w:left w:val="nil"/>
              <w:bottom w:val="nil"/>
              <w:right w:val="nil"/>
            </w:tcBorders>
            <w:shd w:val="clear" w:color="auto" w:fill="auto"/>
            <w:hideMark/>
          </w:tcPr>
          <w:p w14:paraId="7E8934E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126,96</w:t>
            </w:r>
          </w:p>
        </w:tc>
      </w:tr>
      <w:tr w:rsidR="008B264B" w:rsidRPr="008B264B" w14:paraId="78162FB9" w14:textId="77777777" w:rsidTr="008B264B">
        <w:trPr>
          <w:trHeight w:val="510"/>
        </w:trPr>
        <w:tc>
          <w:tcPr>
            <w:tcW w:w="2505" w:type="dxa"/>
            <w:tcBorders>
              <w:top w:val="nil"/>
              <w:left w:val="nil"/>
              <w:bottom w:val="nil"/>
              <w:right w:val="nil"/>
            </w:tcBorders>
            <w:shd w:val="clear" w:color="auto" w:fill="auto"/>
            <w:hideMark/>
          </w:tcPr>
          <w:p w14:paraId="7DDE71C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2208</w:t>
            </w:r>
          </w:p>
        </w:tc>
        <w:tc>
          <w:tcPr>
            <w:tcW w:w="2580" w:type="dxa"/>
            <w:tcBorders>
              <w:top w:val="nil"/>
              <w:left w:val="nil"/>
              <w:bottom w:val="nil"/>
              <w:right w:val="nil"/>
            </w:tcBorders>
            <w:shd w:val="clear" w:color="auto" w:fill="auto"/>
            <w:hideMark/>
          </w:tcPr>
          <w:p w14:paraId="59BFFED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Спирт етиловий, неденатурований, з концентрацією спирту менш як 80 відсотків </w:t>
            </w:r>
            <w:r w:rsidRPr="008B264B">
              <w:rPr>
                <w:rFonts w:ascii="Times New Roman" w:eastAsia="Times New Roman" w:hAnsi="Times New Roman" w:cs="Times New Roman"/>
                <w:sz w:val="24"/>
                <w:szCs w:val="24"/>
                <w:lang/>
              </w:rPr>
              <w:lastRenderedPageBreak/>
              <w:t>об’ємних одиниць, спиртові дистиляти та спиртні напої, одержані шляхом перегонки, лікери та інші напої, що містять спирт</w:t>
            </w:r>
          </w:p>
        </w:tc>
        <w:tc>
          <w:tcPr>
            <w:tcW w:w="2100" w:type="dxa"/>
            <w:tcBorders>
              <w:top w:val="nil"/>
              <w:left w:val="nil"/>
              <w:bottom w:val="nil"/>
              <w:right w:val="nil"/>
            </w:tcBorders>
            <w:shd w:val="clear" w:color="auto" w:fill="auto"/>
            <w:hideMark/>
          </w:tcPr>
          <w:p w14:paraId="359F66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w:t>
            </w:r>
          </w:p>
        </w:tc>
        <w:tc>
          <w:tcPr>
            <w:tcW w:w="1980" w:type="dxa"/>
            <w:tcBorders>
              <w:top w:val="nil"/>
              <w:left w:val="nil"/>
              <w:bottom w:val="nil"/>
              <w:right w:val="nil"/>
            </w:tcBorders>
            <w:shd w:val="clear" w:color="auto" w:fill="auto"/>
            <w:hideMark/>
          </w:tcPr>
          <w:p w14:paraId="3F3890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126,96</w:t>
            </w:r>
          </w:p>
        </w:tc>
      </w:tr>
      <w:tr w:rsidR="008B264B" w:rsidRPr="008B264B" w14:paraId="71C8001D" w14:textId="77777777" w:rsidTr="008B264B">
        <w:trPr>
          <w:trHeight w:val="510"/>
        </w:trPr>
        <w:tc>
          <w:tcPr>
            <w:tcW w:w="2505" w:type="dxa"/>
            <w:tcBorders>
              <w:top w:val="nil"/>
              <w:left w:val="nil"/>
              <w:bottom w:val="nil"/>
              <w:right w:val="nil"/>
            </w:tcBorders>
            <w:shd w:val="clear" w:color="auto" w:fill="auto"/>
            <w:hideMark/>
          </w:tcPr>
          <w:p w14:paraId="0631D6D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2103 90 30 00,</w:t>
            </w:r>
            <w:r w:rsidRPr="008B264B">
              <w:rPr>
                <w:rFonts w:ascii="Times New Roman" w:eastAsia="Times New Roman" w:hAnsi="Times New Roman" w:cs="Times New Roman"/>
                <w:sz w:val="24"/>
                <w:szCs w:val="24"/>
                <w:lang/>
              </w:rPr>
              <w:br/>
              <w:t>2106 90</w:t>
            </w:r>
          </w:p>
        </w:tc>
        <w:tc>
          <w:tcPr>
            <w:tcW w:w="2580" w:type="dxa"/>
            <w:tcBorders>
              <w:top w:val="nil"/>
              <w:left w:val="nil"/>
              <w:bottom w:val="nil"/>
              <w:right w:val="nil"/>
            </w:tcBorders>
            <w:shd w:val="clear" w:color="auto" w:fill="auto"/>
            <w:hideMark/>
          </w:tcPr>
          <w:p w14:paraId="410B37F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Тільки продукти з вмістом спирту етилового 8,5 відсотка об’ємних одиниць та більше</w:t>
            </w:r>
          </w:p>
        </w:tc>
        <w:tc>
          <w:tcPr>
            <w:tcW w:w="2100" w:type="dxa"/>
            <w:tcBorders>
              <w:top w:val="nil"/>
              <w:left w:val="nil"/>
              <w:bottom w:val="nil"/>
              <w:right w:val="nil"/>
            </w:tcBorders>
            <w:shd w:val="clear" w:color="auto" w:fill="auto"/>
            <w:hideMark/>
          </w:tcPr>
          <w:p w14:paraId="666FCE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80" w:type="dxa"/>
            <w:tcBorders>
              <w:top w:val="nil"/>
              <w:left w:val="nil"/>
              <w:bottom w:val="nil"/>
              <w:right w:val="nil"/>
            </w:tcBorders>
            <w:shd w:val="clear" w:color="auto" w:fill="auto"/>
            <w:hideMark/>
          </w:tcPr>
          <w:p w14:paraId="6A5FA19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169,27;</w:t>
            </w:r>
          </w:p>
        </w:tc>
      </w:tr>
    </w:tbl>
    <w:p w14:paraId="20B950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7" w:name="n5499"/>
      <w:bookmarkEnd w:id="6767"/>
      <w:r w:rsidRPr="008B264B">
        <w:rPr>
          <w:rFonts w:ascii="Times New Roman" w:eastAsia="Times New Roman" w:hAnsi="Times New Roman" w:cs="Times New Roman"/>
          <w:i/>
          <w:iCs/>
          <w:color w:val="000000"/>
          <w:sz w:val="24"/>
          <w:szCs w:val="24"/>
          <w:lang/>
        </w:rPr>
        <w:t>{Підпункт 215.3.1 пункту 215.3 статті 215 в редакції Законів </w:t>
      </w:r>
      <w:hyperlink r:id="rId3751"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3752" w:anchor="n16"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753" w:anchor="n74"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3754" w:anchor="n120"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в редакції Закону </w:t>
      </w:r>
      <w:hyperlink r:id="rId3755" w:anchor="n37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 зміна щодо ставок акцизного податку на алкогольні напої, що підлягають маркуванню марками акцизного податку, набирає чинності з першого числа третього місяця з дня набрання чинності Законом </w:t>
      </w:r>
      <w:hyperlink r:id="rId3756" w:anchor="n74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757" w:anchor="n3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58" w:anchor="n28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3759" w:anchor="n27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06329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68" w:name="n5500"/>
      <w:bookmarkEnd w:id="6768"/>
      <w:r w:rsidRPr="008B264B">
        <w:rPr>
          <w:rFonts w:ascii="Times New Roman" w:eastAsia="Times New Roman" w:hAnsi="Times New Roman" w:cs="Times New Roman"/>
          <w:color w:val="000000"/>
          <w:sz w:val="24"/>
          <w:szCs w:val="24"/>
          <w:lang/>
        </w:rPr>
        <w:t>215.3.2. тютюнові вироби, тютюн та промислові замінники тютюну:</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403"/>
        <w:gridCol w:w="3335"/>
        <w:gridCol w:w="2092"/>
        <w:gridCol w:w="2092"/>
      </w:tblGrid>
      <w:tr w:rsidR="008B264B" w:rsidRPr="008B264B" w14:paraId="17454A72" w14:textId="77777777" w:rsidTr="008B264B">
        <w:tc>
          <w:tcPr>
            <w:tcW w:w="2205" w:type="dxa"/>
            <w:tcBorders>
              <w:top w:val="single" w:sz="6" w:space="0" w:color="000000"/>
              <w:left w:val="nil"/>
              <w:bottom w:val="single" w:sz="6" w:space="0" w:color="000000"/>
              <w:right w:val="single" w:sz="6" w:space="0" w:color="000000"/>
            </w:tcBorders>
            <w:shd w:val="clear" w:color="auto" w:fill="auto"/>
            <w:hideMark/>
          </w:tcPr>
          <w:p w14:paraId="77499D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69" w:name="n15333"/>
            <w:bookmarkEnd w:id="6769"/>
            <w:r w:rsidRPr="008B264B">
              <w:rPr>
                <w:rFonts w:ascii="Times New Roman" w:eastAsia="Times New Roman" w:hAnsi="Times New Roman" w:cs="Times New Roman"/>
                <w:sz w:val="24"/>
                <w:szCs w:val="24"/>
                <w:lang/>
              </w:rPr>
              <w:t>Код товару (продукції) згідно</w:t>
            </w:r>
            <w:r w:rsidRPr="008B264B">
              <w:rPr>
                <w:rFonts w:ascii="Times New Roman" w:eastAsia="Times New Roman" w:hAnsi="Times New Roman" w:cs="Times New Roman"/>
                <w:sz w:val="24"/>
                <w:szCs w:val="24"/>
                <w:lang/>
              </w:rPr>
              <w:br/>
              <w:t>з </w:t>
            </w:r>
            <w:hyperlink r:id="rId3760"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3060" w:type="dxa"/>
            <w:tcBorders>
              <w:top w:val="single" w:sz="6" w:space="0" w:color="000000"/>
              <w:left w:val="single" w:sz="6" w:space="0" w:color="000000"/>
              <w:bottom w:val="single" w:sz="6" w:space="0" w:color="000000"/>
              <w:right w:val="single" w:sz="6" w:space="0" w:color="000000"/>
            </w:tcBorders>
            <w:shd w:val="clear" w:color="auto" w:fill="auto"/>
            <w:hideMark/>
          </w:tcPr>
          <w:p w14:paraId="5E2C74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3761"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920" w:type="dxa"/>
            <w:tcBorders>
              <w:top w:val="single" w:sz="6" w:space="0" w:color="000000"/>
              <w:left w:val="single" w:sz="6" w:space="0" w:color="000000"/>
              <w:bottom w:val="single" w:sz="6" w:space="0" w:color="000000"/>
              <w:right w:val="single" w:sz="6" w:space="0" w:color="000000"/>
            </w:tcBorders>
            <w:shd w:val="clear" w:color="auto" w:fill="auto"/>
            <w:hideMark/>
          </w:tcPr>
          <w:p w14:paraId="6A6EAC4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1920" w:type="dxa"/>
            <w:tcBorders>
              <w:top w:val="single" w:sz="6" w:space="0" w:color="000000"/>
              <w:left w:val="single" w:sz="6" w:space="0" w:color="000000"/>
              <w:bottom w:val="single" w:sz="6" w:space="0" w:color="000000"/>
              <w:right w:val="nil"/>
            </w:tcBorders>
            <w:shd w:val="clear" w:color="auto" w:fill="auto"/>
            <w:hideMark/>
          </w:tcPr>
          <w:p w14:paraId="32D4581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p>
        </w:tc>
      </w:tr>
      <w:tr w:rsidR="008B264B" w:rsidRPr="008B264B" w14:paraId="6BBA8BD5" w14:textId="77777777" w:rsidTr="008B264B">
        <w:tc>
          <w:tcPr>
            <w:tcW w:w="2205" w:type="dxa"/>
            <w:tcBorders>
              <w:top w:val="single" w:sz="6" w:space="0" w:color="000000"/>
              <w:left w:val="nil"/>
              <w:bottom w:val="nil"/>
              <w:right w:val="nil"/>
            </w:tcBorders>
            <w:shd w:val="clear" w:color="auto" w:fill="auto"/>
            <w:hideMark/>
          </w:tcPr>
          <w:p w14:paraId="5845BF3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2401</w:t>
            </w:r>
          </w:p>
        </w:tc>
        <w:tc>
          <w:tcPr>
            <w:tcW w:w="3060" w:type="dxa"/>
            <w:tcBorders>
              <w:top w:val="single" w:sz="6" w:space="0" w:color="000000"/>
              <w:left w:val="nil"/>
              <w:bottom w:val="nil"/>
              <w:right w:val="nil"/>
            </w:tcBorders>
            <w:shd w:val="clear" w:color="auto" w:fill="auto"/>
            <w:hideMark/>
          </w:tcPr>
          <w:p w14:paraId="06C4BB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Тютюнова сировина</w:t>
            </w:r>
            <w:r w:rsidRPr="008B264B">
              <w:rPr>
                <w:rFonts w:ascii="Times New Roman" w:eastAsia="Times New Roman" w:hAnsi="Times New Roman" w:cs="Times New Roman"/>
                <w:sz w:val="24"/>
                <w:szCs w:val="24"/>
                <w:lang/>
              </w:rPr>
              <w:br/>
              <w:t>Тютюнові відходи</w:t>
            </w:r>
          </w:p>
        </w:tc>
        <w:tc>
          <w:tcPr>
            <w:tcW w:w="1920" w:type="dxa"/>
            <w:tcBorders>
              <w:top w:val="single" w:sz="6" w:space="0" w:color="000000"/>
              <w:left w:val="nil"/>
              <w:bottom w:val="nil"/>
              <w:right w:val="nil"/>
            </w:tcBorders>
            <w:shd w:val="clear" w:color="auto" w:fill="auto"/>
            <w:hideMark/>
          </w:tcPr>
          <w:p w14:paraId="445826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920" w:type="dxa"/>
            <w:tcBorders>
              <w:top w:val="single" w:sz="6" w:space="0" w:color="000000"/>
              <w:left w:val="nil"/>
              <w:bottom w:val="nil"/>
              <w:right w:val="nil"/>
            </w:tcBorders>
            <w:shd w:val="clear" w:color="auto" w:fill="auto"/>
            <w:hideMark/>
          </w:tcPr>
          <w:p w14:paraId="04C099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2836,08</w:t>
            </w:r>
          </w:p>
        </w:tc>
      </w:tr>
      <w:tr w:rsidR="008B264B" w:rsidRPr="008B264B" w14:paraId="53A654EF" w14:textId="77777777" w:rsidTr="008B264B">
        <w:tc>
          <w:tcPr>
            <w:tcW w:w="2205" w:type="dxa"/>
            <w:tcBorders>
              <w:top w:val="nil"/>
              <w:left w:val="nil"/>
              <w:bottom w:val="nil"/>
              <w:right w:val="nil"/>
            </w:tcBorders>
            <w:shd w:val="clear" w:color="auto" w:fill="auto"/>
            <w:hideMark/>
          </w:tcPr>
          <w:p w14:paraId="6E936DB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2402 10 00 00</w:t>
            </w:r>
          </w:p>
        </w:tc>
        <w:tc>
          <w:tcPr>
            <w:tcW w:w="3060" w:type="dxa"/>
            <w:tcBorders>
              <w:top w:val="nil"/>
              <w:left w:val="nil"/>
              <w:bottom w:val="nil"/>
              <w:right w:val="nil"/>
            </w:tcBorders>
            <w:shd w:val="clear" w:color="auto" w:fill="auto"/>
            <w:hideMark/>
          </w:tcPr>
          <w:p w14:paraId="28E5627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Сигари, включаючи сигари з відрізаними кінцями, та сигарили (тонкі сигари), з вмістом тютюну</w:t>
            </w:r>
          </w:p>
        </w:tc>
        <w:tc>
          <w:tcPr>
            <w:tcW w:w="1920" w:type="dxa"/>
            <w:tcBorders>
              <w:top w:val="nil"/>
              <w:left w:val="nil"/>
              <w:bottom w:val="nil"/>
              <w:right w:val="nil"/>
            </w:tcBorders>
            <w:shd w:val="clear" w:color="auto" w:fill="auto"/>
            <w:hideMark/>
          </w:tcPr>
          <w:p w14:paraId="02FE7C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920" w:type="dxa"/>
            <w:tcBorders>
              <w:top w:val="nil"/>
              <w:left w:val="nil"/>
              <w:bottom w:val="nil"/>
              <w:right w:val="nil"/>
            </w:tcBorders>
            <w:shd w:val="clear" w:color="auto" w:fill="auto"/>
            <w:hideMark/>
          </w:tcPr>
          <w:p w14:paraId="77F02A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2836,08</w:t>
            </w:r>
          </w:p>
        </w:tc>
      </w:tr>
      <w:tr w:rsidR="008B264B" w:rsidRPr="008B264B" w14:paraId="1CE73C67" w14:textId="77777777" w:rsidTr="008B264B">
        <w:tc>
          <w:tcPr>
            <w:tcW w:w="2205" w:type="dxa"/>
            <w:tcBorders>
              <w:top w:val="nil"/>
              <w:left w:val="nil"/>
              <w:bottom w:val="nil"/>
              <w:right w:val="nil"/>
            </w:tcBorders>
            <w:shd w:val="clear" w:color="auto" w:fill="auto"/>
            <w:hideMark/>
          </w:tcPr>
          <w:p w14:paraId="2F1545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3060" w:type="dxa"/>
            <w:tcBorders>
              <w:top w:val="nil"/>
              <w:left w:val="nil"/>
              <w:bottom w:val="nil"/>
              <w:right w:val="nil"/>
            </w:tcBorders>
            <w:shd w:val="clear" w:color="auto" w:fill="auto"/>
            <w:hideMark/>
          </w:tcPr>
          <w:p w14:paraId="5E1B99D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920" w:type="dxa"/>
            <w:tcBorders>
              <w:top w:val="nil"/>
              <w:left w:val="nil"/>
              <w:bottom w:val="nil"/>
              <w:right w:val="nil"/>
            </w:tcBorders>
            <w:shd w:val="clear" w:color="auto" w:fill="auto"/>
            <w:hideMark/>
          </w:tcPr>
          <w:p w14:paraId="63EA44E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920" w:type="dxa"/>
            <w:tcBorders>
              <w:top w:val="nil"/>
              <w:left w:val="nil"/>
              <w:bottom w:val="nil"/>
              <w:right w:val="nil"/>
            </w:tcBorders>
            <w:shd w:val="clear" w:color="auto" w:fill="auto"/>
            <w:hideMark/>
          </w:tcPr>
          <w:p w14:paraId="2D61D2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2257,4</w:t>
            </w:r>
          </w:p>
        </w:tc>
      </w:tr>
      <w:tr w:rsidR="008B264B" w:rsidRPr="008B264B" w14:paraId="64F9E10C" w14:textId="77777777" w:rsidTr="008B264B">
        <w:tc>
          <w:tcPr>
            <w:tcW w:w="2205" w:type="dxa"/>
            <w:tcBorders>
              <w:top w:val="nil"/>
              <w:left w:val="nil"/>
              <w:bottom w:val="nil"/>
              <w:right w:val="nil"/>
            </w:tcBorders>
            <w:shd w:val="clear" w:color="auto" w:fill="auto"/>
            <w:hideMark/>
          </w:tcPr>
          <w:p w14:paraId="6E04F9C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3060" w:type="dxa"/>
            <w:tcBorders>
              <w:top w:val="nil"/>
              <w:left w:val="nil"/>
              <w:bottom w:val="nil"/>
              <w:right w:val="nil"/>
            </w:tcBorders>
            <w:shd w:val="clear" w:color="auto" w:fill="auto"/>
            <w:hideMark/>
          </w:tcPr>
          <w:p w14:paraId="4FEE661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920" w:type="dxa"/>
            <w:tcBorders>
              <w:top w:val="nil"/>
              <w:left w:val="nil"/>
              <w:bottom w:val="nil"/>
              <w:right w:val="nil"/>
            </w:tcBorders>
            <w:shd w:val="clear" w:color="auto" w:fill="auto"/>
            <w:hideMark/>
          </w:tcPr>
          <w:p w14:paraId="07D029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920" w:type="dxa"/>
            <w:tcBorders>
              <w:top w:val="nil"/>
              <w:left w:val="nil"/>
              <w:bottom w:val="nil"/>
              <w:right w:val="nil"/>
            </w:tcBorders>
            <w:shd w:val="clear" w:color="auto" w:fill="auto"/>
            <w:hideMark/>
          </w:tcPr>
          <w:p w14:paraId="57E41B5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2257,4</w:t>
            </w:r>
          </w:p>
        </w:tc>
      </w:tr>
      <w:tr w:rsidR="008B264B" w:rsidRPr="008B264B" w14:paraId="5B847059" w14:textId="77777777" w:rsidTr="008B264B">
        <w:tc>
          <w:tcPr>
            <w:tcW w:w="2205" w:type="dxa"/>
            <w:tcBorders>
              <w:top w:val="nil"/>
              <w:left w:val="nil"/>
              <w:bottom w:val="nil"/>
              <w:right w:val="nil"/>
            </w:tcBorders>
            <w:shd w:val="clear" w:color="auto" w:fill="auto"/>
            <w:hideMark/>
          </w:tcPr>
          <w:p w14:paraId="613B80A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2403</w:t>
            </w:r>
          </w:p>
        </w:tc>
        <w:tc>
          <w:tcPr>
            <w:tcW w:w="3060" w:type="dxa"/>
            <w:tcBorders>
              <w:top w:val="nil"/>
              <w:left w:val="nil"/>
              <w:bottom w:val="nil"/>
              <w:right w:val="nil"/>
            </w:tcBorders>
            <w:shd w:val="clear" w:color="auto" w:fill="auto"/>
            <w:hideMark/>
          </w:tcPr>
          <w:p w14:paraId="42C31A6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Тютюн та замінники тютюну, інші, промислового виробництва; тютюн "гомогенізований" або "відновлений"; тютюнові екстракти та есенції</w:t>
            </w:r>
          </w:p>
        </w:tc>
        <w:tc>
          <w:tcPr>
            <w:tcW w:w="1920" w:type="dxa"/>
            <w:tcBorders>
              <w:top w:val="nil"/>
              <w:left w:val="nil"/>
              <w:bottom w:val="nil"/>
              <w:right w:val="nil"/>
            </w:tcBorders>
            <w:shd w:val="clear" w:color="auto" w:fill="auto"/>
            <w:hideMark/>
          </w:tcPr>
          <w:p w14:paraId="51D7A5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920" w:type="dxa"/>
            <w:tcBorders>
              <w:top w:val="nil"/>
              <w:left w:val="nil"/>
              <w:bottom w:val="nil"/>
              <w:right w:val="nil"/>
            </w:tcBorders>
            <w:shd w:val="clear" w:color="auto" w:fill="auto"/>
            <w:hideMark/>
          </w:tcPr>
          <w:p w14:paraId="590623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2836,08</w:t>
            </w:r>
          </w:p>
        </w:tc>
      </w:tr>
    </w:tbl>
    <w:p w14:paraId="02D6F5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0" w:name="n14873"/>
      <w:bookmarkEnd w:id="6770"/>
      <w:r w:rsidRPr="008B264B">
        <w:rPr>
          <w:rFonts w:ascii="Times New Roman" w:eastAsia="Times New Roman" w:hAnsi="Times New Roman" w:cs="Times New Roman"/>
          <w:color w:val="000000"/>
          <w:sz w:val="24"/>
          <w:szCs w:val="24"/>
          <w:lang/>
        </w:rPr>
        <w:t>____________</w:t>
      </w:r>
    </w:p>
    <w:p w14:paraId="0B9324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1" w:name="n14874"/>
      <w:bookmarkEnd w:id="6771"/>
      <w:r w:rsidRPr="008B264B">
        <w:rPr>
          <w:rFonts w:ascii="Times New Roman" w:eastAsia="Times New Roman" w:hAnsi="Times New Roman" w:cs="Times New Roman"/>
          <w:color w:val="000000"/>
          <w:sz w:val="24"/>
          <w:szCs w:val="24"/>
          <w:lang/>
        </w:rPr>
        <w:t>* Вагою нетто вважається вага товару (продукції) без урахування ваги будь-якої тари чи упаковки. У разі якщо складовими частинами (елементами) підакцизного товару (продукції) є сукупно підакцизні товари (продукція) та інші види продукції, для цілей оподаткування акцизним податком врахуванню підлягає лише вага тих складових частин (елементів), які належать до підакцизних товарів (продукції);</w:t>
      </w:r>
    </w:p>
    <w:p w14:paraId="26FC84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2" w:name="n5502"/>
      <w:bookmarkEnd w:id="6772"/>
      <w:r w:rsidRPr="008B264B">
        <w:rPr>
          <w:rFonts w:ascii="Times New Roman" w:eastAsia="Times New Roman" w:hAnsi="Times New Roman" w:cs="Times New Roman"/>
          <w:i/>
          <w:iCs/>
          <w:color w:val="000000"/>
          <w:sz w:val="24"/>
          <w:szCs w:val="24"/>
          <w:lang/>
        </w:rPr>
        <w:lastRenderedPageBreak/>
        <w:t>{Підпункт 215.3.2 пункту 215.3 статті 215 в редакції Законів </w:t>
      </w:r>
      <w:hyperlink r:id="rId376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3763" w:anchor="n73"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3764" w:anchor="n122"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65" w:anchor="n7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Законів </w:t>
      </w:r>
      <w:hyperlink r:id="rId3766" w:anchor="n37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767" w:anchor="n3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3768" w:anchor="n28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3769" w:anchor="n28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06F0D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3" w:name="n14876"/>
      <w:bookmarkEnd w:id="6773"/>
      <w:r w:rsidRPr="008B264B">
        <w:rPr>
          <w:rFonts w:ascii="Times New Roman" w:eastAsia="Times New Roman" w:hAnsi="Times New Roman" w:cs="Times New Roman"/>
          <w:color w:val="000000"/>
          <w:sz w:val="24"/>
          <w:szCs w:val="24"/>
          <w:lang/>
        </w:rPr>
        <w:t>215.3.2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сигарети та цигарки:</w:t>
      </w:r>
    </w:p>
    <w:tbl>
      <w:tblPr>
        <w:tblW w:w="5000" w:type="pct"/>
        <w:jc w:val="center"/>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460"/>
        <w:gridCol w:w="3302"/>
        <w:gridCol w:w="1619"/>
        <w:gridCol w:w="2541"/>
      </w:tblGrid>
      <w:tr w:rsidR="008B264B" w:rsidRPr="008B264B" w14:paraId="1ABD859E" w14:textId="77777777" w:rsidTr="008B264B">
        <w:trPr>
          <w:jc w:val="center"/>
        </w:trPr>
        <w:tc>
          <w:tcPr>
            <w:tcW w:w="2280" w:type="dxa"/>
            <w:tcBorders>
              <w:top w:val="single" w:sz="6" w:space="0" w:color="000000"/>
              <w:left w:val="nil"/>
              <w:bottom w:val="single" w:sz="6" w:space="0" w:color="000000"/>
              <w:right w:val="single" w:sz="6" w:space="0" w:color="000000"/>
            </w:tcBorders>
            <w:shd w:val="clear" w:color="auto" w:fill="auto"/>
            <w:hideMark/>
          </w:tcPr>
          <w:p w14:paraId="7F540F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74" w:name="n14877"/>
            <w:bookmarkEnd w:id="6774"/>
            <w:r w:rsidRPr="008B264B">
              <w:rPr>
                <w:rFonts w:ascii="Times New Roman" w:eastAsia="Times New Roman" w:hAnsi="Times New Roman" w:cs="Times New Roman"/>
                <w:sz w:val="24"/>
                <w:szCs w:val="24"/>
                <w:lang/>
              </w:rPr>
              <w:t>Код товару (продукції) згідно</w:t>
            </w:r>
            <w:r w:rsidRPr="008B264B">
              <w:rPr>
                <w:rFonts w:ascii="Times New Roman" w:eastAsia="Times New Roman" w:hAnsi="Times New Roman" w:cs="Times New Roman"/>
                <w:sz w:val="24"/>
                <w:szCs w:val="24"/>
                <w:lang/>
              </w:rPr>
              <w:br/>
              <w:t>з </w:t>
            </w:r>
            <w:hyperlink r:id="rId3770"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3060" w:type="dxa"/>
            <w:tcBorders>
              <w:top w:val="single" w:sz="6" w:space="0" w:color="000000"/>
              <w:left w:val="nil"/>
              <w:bottom w:val="single" w:sz="6" w:space="0" w:color="000000"/>
              <w:right w:val="single" w:sz="6" w:space="0" w:color="000000"/>
            </w:tcBorders>
            <w:shd w:val="clear" w:color="auto" w:fill="auto"/>
            <w:hideMark/>
          </w:tcPr>
          <w:p w14:paraId="56EC92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w:t>
            </w:r>
            <w:r w:rsidRPr="008B264B">
              <w:rPr>
                <w:rFonts w:ascii="Times New Roman" w:eastAsia="Times New Roman" w:hAnsi="Times New Roman" w:cs="Times New Roman"/>
                <w:sz w:val="24"/>
                <w:szCs w:val="24"/>
                <w:lang/>
              </w:rPr>
              <w:br/>
              <w:t>з </w:t>
            </w:r>
            <w:hyperlink r:id="rId3771"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500" w:type="dxa"/>
            <w:tcBorders>
              <w:top w:val="single" w:sz="6" w:space="0" w:color="000000"/>
              <w:left w:val="nil"/>
              <w:bottom w:val="single" w:sz="6" w:space="0" w:color="000000"/>
              <w:right w:val="single" w:sz="6" w:space="0" w:color="000000"/>
            </w:tcBorders>
            <w:shd w:val="clear" w:color="auto" w:fill="auto"/>
            <w:hideMark/>
          </w:tcPr>
          <w:p w14:paraId="4CB8B9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2355" w:type="dxa"/>
            <w:tcBorders>
              <w:top w:val="single" w:sz="6" w:space="0" w:color="000000"/>
              <w:left w:val="nil"/>
              <w:bottom w:val="single" w:sz="6" w:space="0" w:color="000000"/>
              <w:right w:val="nil"/>
            </w:tcBorders>
            <w:shd w:val="clear" w:color="auto" w:fill="auto"/>
            <w:hideMark/>
          </w:tcPr>
          <w:p w14:paraId="65BCE5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79B46731" w14:textId="77777777" w:rsidTr="008B264B">
        <w:trPr>
          <w:jc w:val="center"/>
        </w:trPr>
        <w:tc>
          <w:tcPr>
            <w:tcW w:w="2280" w:type="dxa"/>
            <w:tcBorders>
              <w:top w:val="nil"/>
              <w:left w:val="nil"/>
              <w:bottom w:val="nil"/>
              <w:right w:val="nil"/>
            </w:tcBorders>
            <w:shd w:val="clear" w:color="auto" w:fill="auto"/>
            <w:hideMark/>
          </w:tcPr>
          <w:p w14:paraId="73BBCC9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3060" w:type="dxa"/>
            <w:tcBorders>
              <w:top w:val="nil"/>
              <w:left w:val="nil"/>
              <w:bottom w:val="nil"/>
              <w:right w:val="nil"/>
            </w:tcBorders>
            <w:shd w:val="clear" w:color="auto" w:fill="auto"/>
            <w:hideMark/>
          </w:tcPr>
          <w:p w14:paraId="06A5E1E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500" w:type="dxa"/>
            <w:tcBorders>
              <w:top w:val="nil"/>
              <w:left w:val="nil"/>
              <w:bottom w:val="nil"/>
              <w:right w:val="nil"/>
            </w:tcBorders>
            <w:shd w:val="clear" w:color="auto" w:fill="auto"/>
            <w:hideMark/>
          </w:tcPr>
          <w:p w14:paraId="24D740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відсотків</w:t>
            </w:r>
          </w:p>
        </w:tc>
        <w:tc>
          <w:tcPr>
            <w:tcW w:w="2355" w:type="dxa"/>
            <w:tcBorders>
              <w:top w:val="nil"/>
              <w:left w:val="nil"/>
              <w:bottom w:val="nil"/>
              <w:right w:val="nil"/>
            </w:tcBorders>
            <w:shd w:val="clear" w:color="auto" w:fill="auto"/>
            <w:hideMark/>
          </w:tcPr>
          <w:p w14:paraId="70DD6D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r>
      <w:tr w:rsidR="008B264B" w:rsidRPr="008B264B" w14:paraId="65822957" w14:textId="77777777" w:rsidTr="008B264B">
        <w:trPr>
          <w:jc w:val="center"/>
        </w:trPr>
        <w:tc>
          <w:tcPr>
            <w:tcW w:w="2280" w:type="dxa"/>
            <w:tcBorders>
              <w:top w:val="nil"/>
              <w:left w:val="nil"/>
              <w:bottom w:val="nil"/>
              <w:right w:val="nil"/>
            </w:tcBorders>
            <w:shd w:val="clear" w:color="auto" w:fill="auto"/>
            <w:hideMark/>
          </w:tcPr>
          <w:p w14:paraId="18E7BF4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3060" w:type="dxa"/>
            <w:tcBorders>
              <w:top w:val="nil"/>
              <w:left w:val="nil"/>
              <w:bottom w:val="nil"/>
              <w:right w:val="nil"/>
            </w:tcBorders>
            <w:shd w:val="clear" w:color="auto" w:fill="auto"/>
            <w:hideMark/>
          </w:tcPr>
          <w:p w14:paraId="0DA115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500" w:type="dxa"/>
            <w:tcBorders>
              <w:top w:val="nil"/>
              <w:left w:val="nil"/>
              <w:bottom w:val="nil"/>
              <w:right w:val="nil"/>
            </w:tcBorders>
            <w:shd w:val="clear" w:color="auto" w:fill="auto"/>
            <w:hideMark/>
          </w:tcPr>
          <w:p w14:paraId="77C596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відсотків</w:t>
            </w:r>
          </w:p>
        </w:tc>
        <w:tc>
          <w:tcPr>
            <w:tcW w:w="2355" w:type="dxa"/>
            <w:tcBorders>
              <w:top w:val="nil"/>
              <w:left w:val="nil"/>
              <w:bottom w:val="nil"/>
              <w:right w:val="nil"/>
            </w:tcBorders>
            <w:shd w:val="clear" w:color="auto" w:fill="auto"/>
            <w:hideMark/>
          </w:tcPr>
          <w:p w14:paraId="723E92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r>
    </w:tbl>
    <w:p w14:paraId="4D78DE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5" w:name="n14875"/>
      <w:bookmarkEnd w:id="6775"/>
      <w:r w:rsidRPr="008B264B">
        <w:rPr>
          <w:rFonts w:ascii="Times New Roman" w:eastAsia="Times New Roman" w:hAnsi="Times New Roman" w:cs="Times New Roman"/>
          <w:i/>
          <w:iCs/>
          <w:color w:val="000000"/>
          <w:sz w:val="24"/>
          <w:szCs w:val="24"/>
          <w:lang/>
        </w:rPr>
        <w:t>{Пункт 215.3 статті 215 доповнено підпунктом 215.3.2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772" w:anchor="n29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10CE8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6" w:name="n5503"/>
      <w:bookmarkEnd w:id="6776"/>
      <w:r w:rsidRPr="008B264B">
        <w:rPr>
          <w:rFonts w:ascii="Times New Roman" w:eastAsia="Times New Roman" w:hAnsi="Times New Roman" w:cs="Times New Roman"/>
          <w:color w:val="000000"/>
          <w:sz w:val="24"/>
          <w:szCs w:val="24"/>
          <w:lang/>
        </w:rPr>
        <w:t>215.3.3. мінімальне акцизне податкове зобов’язання із сплати акцизного податку з тютюнових виробів:</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089"/>
        <w:gridCol w:w="3019"/>
        <w:gridCol w:w="2252"/>
        <w:gridCol w:w="2562"/>
      </w:tblGrid>
      <w:tr w:rsidR="008B264B" w:rsidRPr="008B264B" w14:paraId="170669B8" w14:textId="77777777" w:rsidTr="008B264B">
        <w:tc>
          <w:tcPr>
            <w:tcW w:w="1920" w:type="dxa"/>
            <w:tcBorders>
              <w:top w:val="single" w:sz="6" w:space="0" w:color="000000"/>
              <w:left w:val="nil"/>
              <w:bottom w:val="single" w:sz="6" w:space="0" w:color="000000"/>
              <w:right w:val="single" w:sz="6" w:space="0" w:color="000000"/>
            </w:tcBorders>
            <w:shd w:val="clear" w:color="auto" w:fill="auto"/>
            <w:hideMark/>
          </w:tcPr>
          <w:p w14:paraId="57382F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77" w:name="n15334"/>
            <w:bookmarkEnd w:id="6777"/>
            <w:r w:rsidRPr="008B264B">
              <w:rPr>
                <w:rFonts w:ascii="Times New Roman" w:eastAsia="Times New Roman" w:hAnsi="Times New Roman" w:cs="Times New Roman"/>
                <w:sz w:val="24"/>
                <w:szCs w:val="24"/>
                <w:lang/>
              </w:rPr>
              <w:t>Код товару (продукції) згідно з </w:t>
            </w:r>
            <w:hyperlink r:id="rId3773"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2775" w:type="dxa"/>
            <w:tcBorders>
              <w:top w:val="single" w:sz="6" w:space="0" w:color="000000"/>
              <w:left w:val="single" w:sz="6" w:space="0" w:color="000000"/>
              <w:bottom w:val="single" w:sz="6" w:space="0" w:color="000000"/>
              <w:right w:val="single" w:sz="6" w:space="0" w:color="000000"/>
            </w:tcBorders>
            <w:shd w:val="clear" w:color="auto" w:fill="auto"/>
            <w:hideMark/>
          </w:tcPr>
          <w:p w14:paraId="218632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3774"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2070" w:type="dxa"/>
            <w:tcBorders>
              <w:top w:val="single" w:sz="6" w:space="0" w:color="000000"/>
              <w:left w:val="single" w:sz="6" w:space="0" w:color="000000"/>
              <w:bottom w:val="single" w:sz="6" w:space="0" w:color="000000"/>
              <w:right w:val="single" w:sz="6" w:space="0" w:color="000000"/>
            </w:tcBorders>
            <w:shd w:val="clear" w:color="auto" w:fill="auto"/>
            <w:hideMark/>
          </w:tcPr>
          <w:p w14:paraId="345234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2355" w:type="dxa"/>
            <w:tcBorders>
              <w:top w:val="single" w:sz="6" w:space="0" w:color="000000"/>
              <w:left w:val="single" w:sz="6" w:space="0" w:color="000000"/>
              <w:bottom w:val="single" w:sz="6" w:space="0" w:color="000000"/>
              <w:right w:val="nil"/>
            </w:tcBorders>
            <w:shd w:val="clear" w:color="auto" w:fill="auto"/>
            <w:hideMark/>
          </w:tcPr>
          <w:p w14:paraId="50B3A6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p>
        </w:tc>
      </w:tr>
      <w:tr w:rsidR="008B264B" w:rsidRPr="008B264B" w14:paraId="2979D6E6" w14:textId="77777777" w:rsidTr="008B264B">
        <w:tc>
          <w:tcPr>
            <w:tcW w:w="1920" w:type="dxa"/>
            <w:tcBorders>
              <w:top w:val="single" w:sz="6" w:space="0" w:color="000000"/>
              <w:left w:val="nil"/>
              <w:bottom w:val="nil"/>
              <w:right w:val="nil"/>
            </w:tcBorders>
            <w:shd w:val="clear" w:color="auto" w:fill="auto"/>
            <w:hideMark/>
          </w:tcPr>
          <w:p w14:paraId="6C1271B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2775" w:type="dxa"/>
            <w:tcBorders>
              <w:top w:val="single" w:sz="6" w:space="0" w:color="000000"/>
              <w:left w:val="nil"/>
              <w:bottom w:val="nil"/>
              <w:right w:val="nil"/>
            </w:tcBorders>
            <w:shd w:val="clear" w:color="auto" w:fill="auto"/>
            <w:hideMark/>
          </w:tcPr>
          <w:p w14:paraId="1AA04F7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2070" w:type="dxa"/>
            <w:tcBorders>
              <w:top w:val="single" w:sz="6" w:space="0" w:color="000000"/>
              <w:left w:val="nil"/>
              <w:bottom w:val="nil"/>
              <w:right w:val="nil"/>
            </w:tcBorders>
            <w:shd w:val="clear" w:color="auto" w:fill="auto"/>
            <w:hideMark/>
          </w:tcPr>
          <w:p w14:paraId="1315830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2355" w:type="dxa"/>
            <w:tcBorders>
              <w:top w:val="single" w:sz="6" w:space="0" w:color="000000"/>
              <w:left w:val="nil"/>
              <w:bottom w:val="nil"/>
              <w:right w:val="nil"/>
            </w:tcBorders>
            <w:shd w:val="clear" w:color="auto" w:fill="auto"/>
            <w:hideMark/>
          </w:tcPr>
          <w:p w14:paraId="3B50E5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3019,85</w:t>
            </w:r>
          </w:p>
        </w:tc>
      </w:tr>
      <w:tr w:rsidR="008B264B" w:rsidRPr="008B264B" w14:paraId="71E5FD0C" w14:textId="77777777" w:rsidTr="008B264B">
        <w:tc>
          <w:tcPr>
            <w:tcW w:w="1920" w:type="dxa"/>
            <w:tcBorders>
              <w:top w:val="nil"/>
              <w:left w:val="nil"/>
              <w:bottom w:val="nil"/>
              <w:right w:val="nil"/>
            </w:tcBorders>
            <w:shd w:val="clear" w:color="auto" w:fill="auto"/>
            <w:hideMark/>
          </w:tcPr>
          <w:p w14:paraId="42360F2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2775" w:type="dxa"/>
            <w:tcBorders>
              <w:top w:val="nil"/>
              <w:left w:val="nil"/>
              <w:bottom w:val="nil"/>
              <w:right w:val="nil"/>
            </w:tcBorders>
            <w:shd w:val="clear" w:color="auto" w:fill="auto"/>
            <w:hideMark/>
          </w:tcPr>
          <w:p w14:paraId="2EF0C7C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2070" w:type="dxa"/>
            <w:tcBorders>
              <w:top w:val="nil"/>
              <w:left w:val="nil"/>
              <w:bottom w:val="nil"/>
              <w:right w:val="nil"/>
            </w:tcBorders>
            <w:shd w:val="clear" w:color="auto" w:fill="auto"/>
            <w:hideMark/>
          </w:tcPr>
          <w:p w14:paraId="662BF6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2355" w:type="dxa"/>
            <w:tcBorders>
              <w:top w:val="nil"/>
              <w:left w:val="nil"/>
              <w:bottom w:val="nil"/>
              <w:right w:val="nil"/>
            </w:tcBorders>
            <w:shd w:val="clear" w:color="auto" w:fill="auto"/>
            <w:hideMark/>
          </w:tcPr>
          <w:p w14:paraId="3F9C7F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3019,85</w:t>
            </w:r>
          </w:p>
        </w:tc>
      </w:tr>
    </w:tbl>
    <w:p w14:paraId="1F2998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8" w:name="n5505"/>
      <w:bookmarkEnd w:id="6778"/>
      <w:r w:rsidRPr="008B264B">
        <w:rPr>
          <w:rFonts w:ascii="Times New Roman" w:eastAsia="Times New Roman" w:hAnsi="Times New Roman" w:cs="Times New Roman"/>
          <w:i/>
          <w:iCs/>
          <w:color w:val="000000"/>
          <w:sz w:val="24"/>
          <w:szCs w:val="24"/>
          <w:lang/>
        </w:rPr>
        <w:t>{Підпункт 215.3.3 пункту 215.3 статті 215 в редакції Законів </w:t>
      </w:r>
      <w:hyperlink r:id="rId377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3776" w:anchor="n73"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3777" w:anchor="n125"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78" w:anchor="n8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Законів </w:t>
      </w:r>
      <w:hyperlink r:id="rId3779" w:anchor="n37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780" w:anchor="n3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3781" w:anchor="n29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3782" w:anchor="n2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9D758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79" w:name="n5506"/>
      <w:bookmarkEnd w:id="6779"/>
      <w:r w:rsidRPr="008B264B">
        <w:rPr>
          <w:rFonts w:ascii="Times New Roman" w:eastAsia="Times New Roman" w:hAnsi="Times New Roman" w:cs="Times New Roman"/>
          <w:color w:val="000000"/>
          <w:sz w:val="24"/>
          <w:szCs w:val="24"/>
          <w:lang/>
        </w:rPr>
        <w:t>215.3.4. пальне:</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469"/>
        <w:gridCol w:w="3648"/>
        <w:gridCol w:w="1698"/>
        <w:gridCol w:w="16"/>
        <w:gridCol w:w="2091"/>
      </w:tblGrid>
      <w:tr w:rsidR="008B264B" w:rsidRPr="008B264B" w14:paraId="3D6E267C" w14:textId="77777777" w:rsidTr="008B264B">
        <w:tc>
          <w:tcPr>
            <w:tcW w:w="2355" w:type="dxa"/>
            <w:vMerge w:val="restart"/>
            <w:tcBorders>
              <w:top w:val="single" w:sz="6" w:space="0" w:color="000000"/>
              <w:left w:val="nil"/>
              <w:bottom w:val="single" w:sz="6" w:space="0" w:color="000000"/>
              <w:right w:val="single" w:sz="6" w:space="0" w:color="000000"/>
            </w:tcBorders>
            <w:shd w:val="clear" w:color="auto" w:fill="auto"/>
            <w:hideMark/>
          </w:tcPr>
          <w:p w14:paraId="757374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80" w:name="n13337"/>
            <w:bookmarkEnd w:id="6780"/>
            <w:r w:rsidRPr="008B264B">
              <w:rPr>
                <w:rFonts w:ascii="Times New Roman" w:eastAsia="Times New Roman" w:hAnsi="Times New Roman" w:cs="Times New Roman"/>
                <w:sz w:val="24"/>
                <w:szCs w:val="24"/>
                <w:lang/>
              </w:rPr>
              <w:t>Код товару (продукції) згідно з </w:t>
            </w:r>
            <w:hyperlink r:id="rId3783" w:anchor="n621" w:tgtFrame="_blank" w:history="1">
              <w:r w:rsidRPr="008B264B">
                <w:rPr>
                  <w:rFonts w:ascii="Times New Roman" w:eastAsia="Times New Roman" w:hAnsi="Times New Roman" w:cs="Times New Roman"/>
                  <w:color w:val="0000FF"/>
                  <w:sz w:val="24"/>
                  <w:szCs w:val="24"/>
                  <w:u w:val="single"/>
                  <w:lang/>
                </w:rPr>
                <w:t>УКТ ЗЕД</w:t>
              </w:r>
            </w:hyperlink>
          </w:p>
        </w:tc>
        <w:tc>
          <w:tcPr>
            <w:tcW w:w="348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695463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3784" w:anchor="n621" w:tgtFrame="_blank" w:history="1">
              <w:r w:rsidRPr="008B264B">
                <w:rPr>
                  <w:rFonts w:ascii="Times New Roman" w:eastAsia="Times New Roman" w:hAnsi="Times New Roman" w:cs="Times New Roman"/>
                  <w:color w:val="0000FF"/>
                  <w:sz w:val="24"/>
                  <w:szCs w:val="24"/>
                  <w:u w:val="single"/>
                  <w:lang/>
                </w:rPr>
                <w:t>УКТ ЗЕД</w:t>
              </w:r>
            </w:hyperlink>
          </w:p>
        </w:tc>
        <w:tc>
          <w:tcPr>
            <w:tcW w:w="3630" w:type="dxa"/>
            <w:gridSpan w:val="3"/>
            <w:tcBorders>
              <w:top w:val="single" w:sz="6" w:space="0" w:color="000000"/>
              <w:left w:val="single" w:sz="6" w:space="0" w:color="000000"/>
              <w:bottom w:val="single" w:sz="6" w:space="0" w:color="000000"/>
              <w:right w:val="nil"/>
            </w:tcBorders>
            <w:shd w:val="clear" w:color="auto" w:fill="auto"/>
            <w:hideMark/>
          </w:tcPr>
          <w:p w14:paraId="6577BB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акцизного податку у твердих сумах з одиниці реалізованого товару (продукції)</w:t>
            </w:r>
          </w:p>
        </w:tc>
      </w:tr>
      <w:tr w:rsidR="008B264B" w:rsidRPr="008B264B" w14:paraId="4B817D2C" w14:textId="77777777" w:rsidTr="008B264B">
        <w:tc>
          <w:tcPr>
            <w:tcW w:w="0" w:type="auto"/>
            <w:vMerge/>
            <w:tcBorders>
              <w:top w:val="single" w:sz="6" w:space="0" w:color="000000"/>
              <w:left w:val="nil"/>
              <w:bottom w:val="single" w:sz="6" w:space="0" w:color="000000"/>
              <w:right w:val="single" w:sz="6" w:space="0" w:color="000000"/>
            </w:tcBorders>
            <w:shd w:val="clear" w:color="auto" w:fill="auto"/>
            <w:hideMark/>
          </w:tcPr>
          <w:p w14:paraId="45C734C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0641301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DDF45E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 (об’єм у літрах, приведених до t 15° C)</w:t>
            </w:r>
          </w:p>
        </w:tc>
        <w:tc>
          <w:tcPr>
            <w:tcW w:w="1920" w:type="dxa"/>
            <w:tcBorders>
              <w:top w:val="single" w:sz="6" w:space="0" w:color="000000"/>
              <w:left w:val="single" w:sz="6" w:space="0" w:color="000000"/>
              <w:bottom w:val="single" w:sz="6" w:space="0" w:color="000000"/>
              <w:right w:val="nil"/>
            </w:tcBorders>
            <w:shd w:val="clear" w:color="auto" w:fill="auto"/>
            <w:hideMark/>
          </w:tcPr>
          <w:p w14:paraId="4989EE2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w:t>
            </w:r>
          </w:p>
        </w:tc>
      </w:tr>
      <w:tr w:rsidR="008B264B" w:rsidRPr="008B264B" w14:paraId="3ED4942C" w14:textId="77777777" w:rsidTr="008B264B">
        <w:tc>
          <w:tcPr>
            <w:tcW w:w="2355" w:type="dxa"/>
            <w:tcBorders>
              <w:top w:val="single" w:sz="6" w:space="0" w:color="000000"/>
              <w:left w:val="nil"/>
              <w:bottom w:val="nil"/>
              <w:right w:val="nil"/>
            </w:tcBorders>
            <w:shd w:val="clear" w:color="auto" w:fill="auto"/>
            <w:hideMark/>
          </w:tcPr>
          <w:p w14:paraId="41ABCD4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2707 50 10 00</w:t>
            </w:r>
            <w:r w:rsidRPr="008B264B">
              <w:rPr>
                <w:rFonts w:ascii="Times New Roman" w:eastAsia="Times New Roman" w:hAnsi="Times New Roman" w:cs="Times New Roman"/>
                <w:sz w:val="24"/>
                <w:szCs w:val="24"/>
                <w:lang/>
              </w:rPr>
              <w:br/>
              <w:t>2707 50 90 00</w:t>
            </w:r>
          </w:p>
        </w:tc>
        <w:tc>
          <w:tcPr>
            <w:tcW w:w="3480" w:type="dxa"/>
            <w:tcBorders>
              <w:top w:val="single" w:sz="6" w:space="0" w:color="000000"/>
              <w:left w:val="nil"/>
              <w:bottom w:val="nil"/>
              <w:right w:val="nil"/>
            </w:tcBorders>
            <w:shd w:val="clear" w:color="auto" w:fill="auto"/>
            <w:hideMark/>
          </w:tcPr>
          <w:p w14:paraId="76EE59B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суміші ароматичних вуглеводнів, з яких 65 відсотків об’ємних одиниць або більше (включаючи втрати) переганяється при температурі до 250° C за методом, визначеним згідно з ASTM D 86</w:t>
            </w:r>
          </w:p>
        </w:tc>
        <w:tc>
          <w:tcPr>
            <w:tcW w:w="1635" w:type="dxa"/>
            <w:gridSpan w:val="2"/>
            <w:tcBorders>
              <w:top w:val="single" w:sz="6" w:space="0" w:color="000000"/>
              <w:left w:val="nil"/>
              <w:bottom w:val="nil"/>
              <w:right w:val="nil"/>
            </w:tcBorders>
            <w:shd w:val="clear" w:color="auto" w:fill="auto"/>
            <w:hideMark/>
          </w:tcPr>
          <w:p w14:paraId="30F545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20" w:type="dxa"/>
            <w:tcBorders>
              <w:top w:val="single" w:sz="6" w:space="0" w:color="000000"/>
              <w:left w:val="nil"/>
              <w:bottom w:val="nil"/>
              <w:right w:val="nil"/>
            </w:tcBorders>
            <w:shd w:val="clear" w:color="auto" w:fill="auto"/>
            <w:hideMark/>
          </w:tcPr>
          <w:p w14:paraId="4C71A5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6EDEE3A7" w14:textId="77777777" w:rsidTr="008B264B">
        <w:tc>
          <w:tcPr>
            <w:tcW w:w="2355" w:type="dxa"/>
            <w:tcBorders>
              <w:top w:val="nil"/>
              <w:left w:val="nil"/>
              <w:bottom w:val="nil"/>
              <w:right w:val="nil"/>
            </w:tcBorders>
            <w:shd w:val="clear" w:color="auto" w:fill="auto"/>
            <w:hideMark/>
          </w:tcPr>
          <w:p w14:paraId="7C45304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0559FAE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Легкі дистиляти:</w:t>
            </w:r>
          </w:p>
        </w:tc>
        <w:tc>
          <w:tcPr>
            <w:tcW w:w="1635" w:type="dxa"/>
            <w:gridSpan w:val="2"/>
            <w:tcBorders>
              <w:top w:val="nil"/>
              <w:left w:val="nil"/>
              <w:bottom w:val="nil"/>
              <w:right w:val="nil"/>
            </w:tcBorders>
            <w:shd w:val="clear" w:color="auto" w:fill="auto"/>
            <w:hideMark/>
          </w:tcPr>
          <w:p w14:paraId="67FAFA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20" w:type="dxa"/>
            <w:tcBorders>
              <w:top w:val="nil"/>
              <w:left w:val="nil"/>
              <w:bottom w:val="nil"/>
              <w:right w:val="nil"/>
            </w:tcBorders>
            <w:shd w:val="clear" w:color="auto" w:fill="auto"/>
            <w:hideMark/>
          </w:tcPr>
          <w:p w14:paraId="226DF1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DED336A" w14:textId="77777777" w:rsidTr="008B264B">
        <w:tc>
          <w:tcPr>
            <w:tcW w:w="2355" w:type="dxa"/>
            <w:tcBorders>
              <w:top w:val="nil"/>
              <w:left w:val="nil"/>
              <w:bottom w:val="nil"/>
              <w:right w:val="nil"/>
            </w:tcBorders>
            <w:shd w:val="clear" w:color="auto" w:fill="auto"/>
            <w:hideMark/>
          </w:tcPr>
          <w:p w14:paraId="77D0664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2710 12 11 10</w:t>
            </w:r>
            <w:r w:rsidRPr="008B264B">
              <w:rPr>
                <w:rFonts w:ascii="Times New Roman" w:eastAsia="Times New Roman" w:hAnsi="Times New Roman" w:cs="Times New Roman"/>
                <w:sz w:val="24"/>
                <w:szCs w:val="24"/>
                <w:lang/>
              </w:rPr>
              <w:br/>
              <w:t>2710 12 11 20</w:t>
            </w:r>
          </w:p>
        </w:tc>
        <w:tc>
          <w:tcPr>
            <w:tcW w:w="3480" w:type="dxa"/>
            <w:tcBorders>
              <w:top w:val="nil"/>
              <w:left w:val="nil"/>
              <w:bottom w:val="nil"/>
              <w:right w:val="nil"/>
            </w:tcBorders>
            <w:shd w:val="clear" w:color="auto" w:fill="auto"/>
            <w:hideMark/>
          </w:tcPr>
          <w:p w14:paraId="10F02E6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635" w:type="dxa"/>
            <w:gridSpan w:val="2"/>
            <w:tcBorders>
              <w:top w:val="nil"/>
              <w:left w:val="nil"/>
              <w:bottom w:val="nil"/>
              <w:right w:val="nil"/>
            </w:tcBorders>
            <w:shd w:val="clear" w:color="auto" w:fill="auto"/>
            <w:hideMark/>
          </w:tcPr>
          <w:p w14:paraId="6931B8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337F18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0A618F7F" w14:textId="77777777" w:rsidTr="008B264B">
        <w:tc>
          <w:tcPr>
            <w:tcW w:w="2355" w:type="dxa"/>
            <w:tcBorders>
              <w:top w:val="nil"/>
              <w:left w:val="nil"/>
              <w:bottom w:val="nil"/>
              <w:right w:val="nil"/>
            </w:tcBorders>
            <w:shd w:val="clear" w:color="auto" w:fill="auto"/>
            <w:hideMark/>
          </w:tcPr>
          <w:p w14:paraId="7FDA3D2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2710 12 11 90</w:t>
            </w:r>
            <w:r w:rsidRPr="008B264B">
              <w:rPr>
                <w:rFonts w:ascii="Times New Roman" w:eastAsia="Times New Roman" w:hAnsi="Times New Roman" w:cs="Times New Roman"/>
                <w:sz w:val="24"/>
                <w:szCs w:val="24"/>
                <w:lang/>
              </w:rPr>
              <w:br/>
              <w:t>2710 12 15 10</w:t>
            </w:r>
            <w:r w:rsidRPr="008B264B">
              <w:rPr>
                <w:rFonts w:ascii="Times New Roman" w:eastAsia="Times New Roman" w:hAnsi="Times New Roman" w:cs="Times New Roman"/>
                <w:sz w:val="24"/>
                <w:szCs w:val="24"/>
                <w:lang/>
              </w:rPr>
              <w:br/>
              <w:t>2710 12 15 20</w:t>
            </w:r>
            <w:r w:rsidRPr="008B264B">
              <w:rPr>
                <w:rFonts w:ascii="Times New Roman" w:eastAsia="Times New Roman" w:hAnsi="Times New Roman" w:cs="Times New Roman"/>
                <w:sz w:val="24"/>
                <w:szCs w:val="24"/>
                <w:lang/>
              </w:rPr>
              <w:br/>
              <w:t>2710 12 15 90</w:t>
            </w:r>
          </w:p>
        </w:tc>
        <w:tc>
          <w:tcPr>
            <w:tcW w:w="3480" w:type="dxa"/>
            <w:tcBorders>
              <w:top w:val="nil"/>
              <w:left w:val="nil"/>
              <w:bottom w:val="nil"/>
              <w:right w:val="nil"/>
            </w:tcBorders>
            <w:shd w:val="clear" w:color="auto" w:fill="auto"/>
            <w:hideMark/>
          </w:tcPr>
          <w:p w14:paraId="7267E9B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крім зазначених у товарних підкатегоріях</w:t>
            </w:r>
            <w:r w:rsidRPr="008B264B">
              <w:rPr>
                <w:rFonts w:ascii="Times New Roman" w:eastAsia="Times New Roman" w:hAnsi="Times New Roman" w:cs="Times New Roman"/>
                <w:sz w:val="24"/>
                <w:szCs w:val="24"/>
                <w:lang/>
              </w:rPr>
              <w:br/>
              <w:t>2710 12 11 10,</w:t>
            </w:r>
            <w:r w:rsidRPr="008B264B">
              <w:rPr>
                <w:rFonts w:ascii="Times New Roman" w:eastAsia="Times New Roman" w:hAnsi="Times New Roman" w:cs="Times New Roman"/>
                <w:sz w:val="24"/>
                <w:szCs w:val="24"/>
                <w:lang/>
              </w:rPr>
              <w:br/>
              <w:t>2710 12 11 20,</w:t>
            </w:r>
            <w:r w:rsidRPr="008B264B">
              <w:rPr>
                <w:rFonts w:ascii="Times New Roman" w:eastAsia="Times New Roman" w:hAnsi="Times New Roman" w:cs="Times New Roman"/>
                <w:sz w:val="24"/>
                <w:szCs w:val="24"/>
                <w:lang/>
              </w:rPr>
              <w:br/>
              <w:t>2710 12 11 90</w:t>
            </w:r>
          </w:p>
        </w:tc>
        <w:tc>
          <w:tcPr>
            <w:tcW w:w="1635" w:type="dxa"/>
            <w:gridSpan w:val="2"/>
            <w:tcBorders>
              <w:top w:val="nil"/>
              <w:left w:val="nil"/>
              <w:bottom w:val="nil"/>
              <w:right w:val="nil"/>
            </w:tcBorders>
            <w:shd w:val="clear" w:color="auto" w:fill="auto"/>
            <w:hideMark/>
          </w:tcPr>
          <w:p w14:paraId="177ECD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76ADF3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1F63DF7E" w14:textId="77777777" w:rsidTr="008B264B">
        <w:tc>
          <w:tcPr>
            <w:tcW w:w="2355" w:type="dxa"/>
            <w:tcBorders>
              <w:top w:val="nil"/>
              <w:left w:val="nil"/>
              <w:bottom w:val="nil"/>
              <w:right w:val="nil"/>
            </w:tcBorders>
            <w:shd w:val="clear" w:color="auto" w:fill="auto"/>
            <w:hideMark/>
          </w:tcPr>
          <w:p w14:paraId="5BCAB36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0A51866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спеціальні:</w:t>
            </w:r>
          </w:p>
        </w:tc>
        <w:tc>
          <w:tcPr>
            <w:tcW w:w="1635" w:type="dxa"/>
            <w:gridSpan w:val="2"/>
            <w:tcBorders>
              <w:top w:val="nil"/>
              <w:left w:val="nil"/>
              <w:bottom w:val="nil"/>
              <w:right w:val="nil"/>
            </w:tcBorders>
            <w:shd w:val="clear" w:color="auto" w:fill="auto"/>
            <w:hideMark/>
          </w:tcPr>
          <w:p w14:paraId="749F08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20" w:type="dxa"/>
            <w:tcBorders>
              <w:top w:val="nil"/>
              <w:left w:val="nil"/>
              <w:bottom w:val="nil"/>
              <w:right w:val="nil"/>
            </w:tcBorders>
            <w:shd w:val="clear" w:color="auto" w:fill="auto"/>
            <w:hideMark/>
          </w:tcPr>
          <w:p w14:paraId="140859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A34EDC3" w14:textId="77777777" w:rsidTr="008B264B">
        <w:tc>
          <w:tcPr>
            <w:tcW w:w="2355" w:type="dxa"/>
            <w:tcBorders>
              <w:top w:val="nil"/>
              <w:left w:val="nil"/>
              <w:bottom w:val="nil"/>
              <w:right w:val="nil"/>
            </w:tcBorders>
            <w:shd w:val="clear" w:color="auto" w:fill="auto"/>
            <w:hideMark/>
          </w:tcPr>
          <w:p w14:paraId="5581A25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2710 12 21 00</w:t>
            </w:r>
          </w:p>
        </w:tc>
        <w:tc>
          <w:tcPr>
            <w:tcW w:w="3480" w:type="dxa"/>
            <w:tcBorders>
              <w:top w:val="nil"/>
              <w:left w:val="nil"/>
              <w:bottom w:val="nil"/>
              <w:right w:val="nil"/>
            </w:tcBorders>
            <w:shd w:val="clear" w:color="auto" w:fill="auto"/>
            <w:hideMark/>
          </w:tcPr>
          <w:p w14:paraId="693EAF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уайт-спірит</w:t>
            </w:r>
          </w:p>
        </w:tc>
        <w:tc>
          <w:tcPr>
            <w:tcW w:w="1635" w:type="dxa"/>
            <w:gridSpan w:val="2"/>
            <w:tcBorders>
              <w:top w:val="nil"/>
              <w:left w:val="nil"/>
              <w:bottom w:val="nil"/>
              <w:right w:val="nil"/>
            </w:tcBorders>
            <w:shd w:val="clear" w:color="auto" w:fill="auto"/>
            <w:hideMark/>
          </w:tcPr>
          <w:p w14:paraId="24DE2E5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7AA580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51B62ED8" w14:textId="77777777" w:rsidTr="008B264B">
        <w:tc>
          <w:tcPr>
            <w:tcW w:w="2355" w:type="dxa"/>
            <w:tcBorders>
              <w:top w:val="nil"/>
              <w:left w:val="nil"/>
              <w:bottom w:val="nil"/>
              <w:right w:val="nil"/>
            </w:tcBorders>
            <w:shd w:val="clear" w:color="auto" w:fill="auto"/>
            <w:hideMark/>
          </w:tcPr>
          <w:p w14:paraId="1B9230C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2710 12 25 00</w:t>
            </w:r>
          </w:p>
        </w:tc>
        <w:tc>
          <w:tcPr>
            <w:tcW w:w="3480" w:type="dxa"/>
            <w:tcBorders>
              <w:top w:val="nil"/>
              <w:left w:val="nil"/>
              <w:bottom w:val="nil"/>
              <w:right w:val="nil"/>
            </w:tcBorders>
            <w:shd w:val="clear" w:color="auto" w:fill="auto"/>
            <w:hideMark/>
          </w:tcPr>
          <w:p w14:paraId="5265FB1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спеціальні бензини</w:t>
            </w:r>
          </w:p>
        </w:tc>
        <w:tc>
          <w:tcPr>
            <w:tcW w:w="1635" w:type="dxa"/>
            <w:gridSpan w:val="2"/>
            <w:tcBorders>
              <w:top w:val="nil"/>
              <w:left w:val="nil"/>
              <w:bottom w:val="nil"/>
              <w:right w:val="nil"/>
            </w:tcBorders>
            <w:shd w:val="clear" w:color="auto" w:fill="auto"/>
            <w:hideMark/>
          </w:tcPr>
          <w:p w14:paraId="2D5E6F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1AD753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55C948F7" w14:textId="77777777" w:rsidTr="008B264B">
        <w:tc>
          <w:tcPr>
            <w:tcW w:w="2355" w:type="dxa"/>
            <w:tcBorders>
              <w:top w:val="nil"/>
              <w:left w:val="nil"/>
              <w:bottom w:val="nil"/>
              <w:right w:val="nil"/>
            </w:tcBorders>
            <w:shd w:val="clear" w:color="auto" w:fill="auto"/>
            <w:hideMark/>
          </w:tcPr>
          <w:p w14:paraId="552FF2B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2B7FB6B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w:t>
            </w:r>
          </w:p>
        </w:tc>
        <w:tc>
          <w:tcPr>
            <w:tcW w:w="1635" w:type="dxa"/>
            <w:gridSpan w:val="2"/>
            <w:tcBorders>
              <w:top w:val="nil"/>
              <w:left w:val="nil"/>
              <w:bottom w:val="nil"/>
              <w:right w:val="nil"/>
            </w:tcBorders>
            <w:shd w:val="clear" w:color="auto" w:fill="auto"/>
            <w:hideMark/>
          </w:tcPr>
          <w:p w14:paraId="5D9263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20" w:type="dxa"/>
            <w:tcBorders>
              <w:top w:val="nil"/>
              <w:left w:val="nil"/>
              <w:bottom w:val="nil"/>
              <w:right w:val="nil"/>
            </w:tcBorders>
            <w:shd w:val="clear" w:color="auto" w:fill="auto"/>
            <w:hideMark/>
          </w:tcPr>
          <w:p w14:paraId="53FE17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F51B94D" w14:textId="77777777" w:rsidTr="008B264B">
        <w:tc>
          <w:tcPr>
            <w:tcW w:w="2355" w:type="dxa"/>
            <w:tcBorders>
              <w:top w:val="nil"/>
              <w:left w:val="nil"/>
              <w:bottom w:val="nil"/>
              <w:right w:val="nil"/>
            </w:tcBorders>
            <w:shd w:val="clear" w:color="auto" w:fill="auto"/>
            <w:hideMark/>
          </w:tcPr>
          <w:p w14:paraId="260103A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2710 12 31 00</w:t>
            </w:r>
          </w:p>
        </w:tc>
        <w:tc>
          <w:tcPr>
            <w:tcW w:w="3480" w:type="dxa"/>
            <w:tcBorders>
              <w:top w:val="nil"/>
              <w:left w:val="nil"/>
              <w:bottom w:val="nil"/>
              <w:right w:val="nil"/>
            </w:tcBorders>
            <w:shd w:val="clear" w:color="auto" w:fill="auto"/>
            <w:hideMark/>
          </w:tcPr>
          <w:p w14:paraId="0FF4C71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авіаційні</w:t>
            </w:r>
          </w:p>
        </w:tc>
        <w:tc>
          <w:tcPr>
            <w:tcW w:w="1635" w:type="dxa"/>
            <w:gridSpan w:val="2"/>
            <w:tcBorders>
              <w:top w:val="nil"/>
              <w:left w:val="nil"/>
              <w:bottom w:val="nil"/>
              <w:right w:val="nil"/>
            </w:tcBorders>
            <w:shd w:val="clear" w:color="auto" w:fill="auto"/>
            <w:hideMark/>
          </w:tcPr>
          <w:p w14:paraId="3C85F55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7A2242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w:t>
            </w:r>
          </w:p>
        </w:tc>
      </w:tr>
      <w:tr w:rsidR="008B264B" w:rsidRPr="008B264B" w14:paraId="2703AFD9" w14:textId="77777777" w:rsidTr="008B264B">
        <w:tc>
          <w:tcPr>
            <w:tcW w:w="2355" w:type="dxa"/>
            <w:tcBorders>
              <w:top w:val="nil"/>
              <w:left w:val="nil"/>
              <w:bottom w:val="nil"/>
              <w:right w:val="nil"/>
            </w:tcBorders>
            <w:shd w:val="clear" w:color="auto" w:fill="auto"/>
            <w:hideMark/>
          </w:tcPr>
          <w:p w14:paraId="4D3E89A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73348F5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 з вмістом свинцю 0,013 г/л або менше:</w:t>
            </w:r>
          </w:p>
        </w:tc>
        <w:tc>
          <w:tcPr>
            <w:tcW w:w="1635" w:type="dxa"/>
            <w:gridSpan w:val="2"/>
            <w:tcBorders>
              <w:top w:val="nil"/>
              <w:left w:val="nil"/>
              <w:bottom w:val="nil"/>
              <w:right w:val="nil"/>
            </w:tcBorders>
            <w:shd w:val="clear" w:color="auto" w:fill="auto"/>
            <w:hideMark/>
          </w:tcPr>
          <w:p w14:paraId="426C8A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20" w:type="dxa"/>
            <w:tcBorders>
              <w:top w:val="nil"/>
              <w:left w:val="nil"/>
              <w:bottom w:val="nil"/>
              <w:right w:val="nil"/>
            </w:tcBorders>
            <w:shd w:val="clear" w:color="auto" w:fill="auto"/>
            <w:hideMark/>
          </w:tcPr>
          <w:p w14:paraId="59016E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CFFDA5C" w14:textId="77777777" w:rsidTr="008B264B">
        <w:tc>
          <w:tcPr>
            <w:tcW w:w="2355" w:type="dxa"/>
            <w:tcBorders>
              <w:top w:val="nil"/>
              <w:left w:val="nil"/>
              <w:bottom w:val="nil"/>
              <w:right w:val="nil"/>
            </w:tcBorders>
            <w:shd w:val="clear" w:color="auto" w:fill="auto"/>
            <w:hideMark/>
          </w:tcPr>
          <w:p w14:paraId="537DCC5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2710 12 41 11</w:t>
            </w:r>
            <w:r w:rsidRPr="008B264B">
              <w:rPr>
                <w:rFonts w:ascii="Times New Roman" w:eastAsia="Times New Roman" w:hAnsi="Times New Roman" w:cs="Times New Roman"/>
                <w:sz w:val="24"/>
                <w:szCs w:val="24"/>
                <w:lang/>
              </w:rPr>
              <w:br/>
              <w:t>2710 12 41 12</w:t>
            </w:r>
            <w:r w:rsidRPr="008B264B">
              <w:rPr>
                <w:rFonts w:ascii="Times New Roman" w:eastAsia="Times New Roman" w:hAnsi="Times New Roman" w:cs="Times New Roman"/>
                <w:sz w:val="24"/>
                <w:szCs w:val="24"/>
                <w:lang/>
              </w:rPr>
              <w:br/>
              <w:t>2710 12 41 13</w:t>
            </w:r>
            <w:r w:rsidRPr="008B264B">
              <w:rPr>
                <w:rFonts w:ascii="Times New Roman" w:eastAsia="Times New Roman" w:hAnsi="Times New Roman" w:cs="Times New Roman"/>
                <w:sz w:val="24"/>
                <w:szCs w:val="24"/>
                <w:lang/>
              </w:rPr>
              <w:br/>
              <w:t>2710 12 41 31</w:t>
            </w:r>
            <w:r w:rsidRPr="008B264B">
              <w:rPr>
                <w:rFonts w:ascii="Times New Roman" w:eastAsia="Times New Roman" w:hAnsi="Times New Roman" w:cs="Times New Roman"/>
                <w:sz w:val="24"/>
                <w:szCs w:val="24"/>
                <w:lang/>
              </w:rPr>
              <w:br/>
              <w:t>2710 12 41 32</w:t>
            </w:r>
            <w:r w:rsidRPr="008B264B">
              <w:rPr>
                <w:rFonts w:ascii="Times New Roman" w:eastAsia="Times New Roman" w:hAnsi="Times New Roman" w:cs="Times New Roman"/>
                <w:sz w:val="24"/>
                <w:szCs w:val="24"/>
                <w:lang/>
              </w:rPr>
              <w:br/>
              <w:t>2710 12 41 33</w:t>
            </w:r>
            <w:r w:rsidRPr="008B264B">
              <w:rPr>
                <w:rFonts w:ascii="Times New Roman" w:eastAsia="Times New Roman" w:hAnsi="Times New Roman" w:cs="Times New Roman"/>
                <w:sz w:val="24"/>
                <w:szCs w:val="24"/>
                <w:lang/>
              </w:rPr>
              <w:br/>
              <w:t>2710 12 41 91</w:t>
            </w:r>
            <w:r w:rsidRPr="008B264B">
              <w:rPr>
                <w:rFonts w:ascii="Times New Roman" w:eastAsia="Times New Roman" w:hAnsi="Times New Roman" w:cs="Times New Roman"/>
                <w:sz w:val="24"/>
                <w:szCs w:val="24"/>
                <w:lang/>
              </w:rPr>
              <w:br/>
              <w:t>2710 12 41 92</w:t>
            </w:r>
            <w:r w:rsidRPr="008B264B">
              <w:rPr>
                <w:rFonts w:ascii="Times New Roman" w:eastAsia="Times New Roman" w:hAnsi="Times New Roman" w:cs="Times New Roman"/>
                <w:sz w:val="24"/>
                <w:szCs w:val="24"/>
                <w:lang/>
              </w:rPr>
              <w:br/>
              <w:t>2710 12 41 93</w:t>
            </w:r>
            <w:r w:rsidRPr="008B264B">
              <w:rPr>
                <w:rFonts w:ascii="Times New Roman" w:eastAsia="Times New Roman" w:hAnsi="Times New Roman" w:cs="Times New Roman"/>
                <w:sz w:val="24"/>
                <w:szCs w:val="24"/>
                <w:lang/>
              </w:rPr>
              <w:br/>
              <w:t>2710 12 45 01</w:t>
            </w:r>
            <w:r w:rsidRPr="008B264B">
              <w:rPr>
                <w:rFonts w:ascii="Times New Roman" w:eastAsia="Times New Roman" w:hAnsi="Times New Roman" w:cs="Times New Roman"/>
                <w:sz w:val="24"/>
                <w:szCs w:val="24"/>
                <w:lang/>
              </w:rPr>
              <w:br/>
              <w:t>2710 12 45 02</w:t>
            </w:r>
            <w:r w:rsidRPr="008B264B">
              <w:rPr>
                <w:rFonts w:ascii="Times New Roman" w:eastAsia="Times New Roman" w:hAnsi="Times New Roman" w:cs="Times New Roman"/>
                <w:sz w:val="24"/>
                <w:szCs w:val="24"/>
                <w:lang/>
              </w:rPr>
              <w:br/>
              <w:t>2710 12 45 09</w:t>
            </w:r>
            <w:r w:rsidRPr="008B264B">
              <w:rPr>
                <w:rFonts w:ascii="Times New Roman" w:eastAsia="Times New Roman" w:hAnsi="Times New Roman" w:cs="Times New Roman"/>
                <w:sz w:val="24"/>
                <w:szCs w:val="24"/>
                <w:lang/>
              </w:rPr>
              <w:br/>
              <w:t>2710 12 49 01</w:t>
            </w:r>
            <w:r w:rsidRPr="008B264B">
              <w:rPr>
                <w:rFonts w:ascii="Times New Roman" w:eastAsia="Times New Roman" w:hAnsi="Times New Roman" w:cs="Times New Roman"/>
                <w:sz w:val="24"/>
                <w:szCs w:val="24"/>
                <w:lang/>
              </w:rPr>
              <w:br/>
              <w:t>2710 12 49 02</w:t>
            </w:r>
            <w:r w:rsidRPr="008B264B">
              <w:rPr>
                <w:rFonts w:ascii="Times New Roman" w:eastAsia="Times New Roman" w:hAnsi="Times New Roman" w:cs="Times New Roman"/>
                <w:sz w:val="24"/>
                <w:szCs w:val="24"/>
                <w:lang/>
              </w:rPr>
              <w:br/>
              <w:t>2710 12 49 09</w:t>
            </w:r>
          </w:p>
        </w:tc>
        <w:tc>
          <w:tcPr>
            <w:tcW w:w="3480" w:type="dxa"/>
            <w:tcBorders>
              <w:top w:val="nil"/>
              <w:left w:val="nil"/>
              <w:bottom w:val="nil"/>
              <w:right w:val="nil"/>
            </w:tcBorders>
            <w:shd w:val="clear" w:color="auto" w:fill="auto"/>
            <w:hideMark/>
          </w:tcPr>
          <w:p w14:paraId="1C15A5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не менш як 5 мас. % біоетанолу або не менш як 5 мас. % етил-трет-бутилового ефіру або їх суміші</w:t>
            </w:r>
          </w:p>
        </w:tc>
        <w:tc>
          <w:tcPr>
            <w:tcW w:w="1635" w:type="dxa"/>
            <w:gridSpan w:val="2"/>
            <w:tcBorders>
              <w:top w:val="nil"/>
              <w:left w:val="nil"/>
              <w:bottom w:val="nil"/>
              <w:right w:val="nil"/>
            </w:tcBorders>
            <w:shd w:val="clear" w:color="auto" w:fill="auto"/>
            <w:hideMark/>
          </w:tcPr>
          <w:p w14:paraId="057D4B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20" w:type="dxa"/>
            <w:tcBorders>
              <w:top w:val="nil"/>
              <w:left w:val="nil"/>
              <w:bottom w:val="nil"/>
              <w:right w:val="nil"/>
            </w:tcBorders>
            <w:shd w:val="clear" w:color="auto" w:fill="auto"/>
            <w:hideMark/>
          </w:tcPr>
          <w:p w14:paraId="32C14E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67EBB0FB" w14:textId="77777777" w:rsidTr="008B264B">
        <w:tc>
          <w:tcPr>
            <w:tcW w:w="2355" w:type="dxa"/>
            <w:tcBorders>
              <w:top w:val="nil"/>
              <w:left w:val="nil"/>
              <w:bottom w:val="nil"/>
              <w:right w:val="nil"/>
            </w:tcBorders>
            <w:shd w:val="clear" w:color="auto" w:fill="auto"/>
            <w:hideMark/>
          </w:tcPr>
          <w:p w14:paraId="3E68D9D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2710 12 41 14</w:t>
            </w:r>
            <w:r w:rsidRPr="008B264B">
              <w:rPr>
                <w:rFonts w:ascii="Times New Roman" w:eastAsia="Times New Roman" w:hAnsi="Times New Roman" w:cs="Times New Roman"/>
                <w:sz w:val="24"/>
                <w:szCs w:val="24"/>
                <w:lang/>
              </w:rPr>
              <w:br/>
              <w:t>2710 12 41 15</w:t>
            </w:r>
            <w:r w:rsidRPr="008B264B">
              <w:rPr>
                <w:rFonts w:ascii="Times New Roman" w:eastAsia="Times New Roman" w:hAnsi="Times New Roman" w:cs="Times New Roman"/>
                <w:sz w:val="24"/>
                <w:szCs w:val="24"/>
                <w:lang/>
              </w:rPr>
              <w:br/>
              <w:t>2710 12 41 19</w:t>
            </w:r>
            <w:r w:rsidRPr="008B264B">
              <w:rPr>
                <w:rFonts w:ascii="Times New Roman" w:eastAsia="Times New Roman" w:hAnsi="Times New Roman" w:cs="Times New Roman"/>
                <w:sz w:val="24"/>
                <w:szCs w:val="24"/>
                <w:lang/>
              </w:rPr>
              <w:br/>
              <w:t>2710 12 41 34</w:t>
            </w:r>
            <w:r w:rsidRPr="008B264B">
              <w:rPr>
                <w:rFonts w:ascii="Times New Roman" w:eastAsia="Times New Roman" w:hAnsi="Times New Roman" w:cs="Times New Roman"/>
                <w:sz w:val="24"/>
                <w:szCs w:val="24"/>
                <w:lang/>
              </w:rPr>
              <w:br/>
              <w:t>2710 12 41 35</w:t>
            </w:r>
            <w:r w:rsidRPr="008B264B">
              <w:rPr>
                <w:rFonts w:ascii="Times New Roman" w:eastAsia="Times New Roman" w:hAnsi="Times New Roman" w:cs="Times New Roman"/>
                <w:sz w:val="24"/>
                <w:szCs w:val="24"/>
                <w:lang/>
              </w:rPr>
              <w:br/>
              <w:t>2710 12 41 39</w:t>
            </w:r>
            <w:r w:rsidRPr="008B264B">
              <w:rPr>
                <w:rFonts w:ascii="Times New Roman" w:eastAsia="Times New Roman" w:hAnsi="Times New Roman" w:cs="Times New Roman"/>
                <w:sz w:val="24"/>
                <w:szCs w:val="24"/>
                <w:lang/>
              </w:rPr>
              <w:br/>
              <w:t>2710 12 41 94</w:t>
            </w:r>
            <w:r w:rsidRPr="008B264B">
              <w:rPr>
                <w:rFonts w:ascii="Times New Roman" w:eastAsia="Times New Roman" w:hAnsi="Times New Roman" w:cs="Times New Roman"/>
                <w:sz w:val="24"/>
                <w:szCs w:val="24"/>
                <w:lang/>
              </w:rPr>
              <w:br/>
              <w:t>2710 12 41 95</w:t>
            </w:r>
            <w:r w:rsidRPr="008B264B">
              <w:rPr>
                <w:rFonts w:ascii="Times New Roman" w:eastAsia="Times New Roman" w:hAnsi="Times New Roman" w:cs="Times New Roman"/>
                <w:sz w:val="24"/>
                <w:szCs w:val="24"/>
                <w:lang/>
              </w:rPr>
              <w:br/>
              <w:t>2710 12 41 99</w:t>
            </w:r>
            <w:r w:rsidRPr="008B264B">
              <w:rPr>
                <w:rFonts w:ascii="Times New Roman" w:eastAsia="Times New Roman" w:hAnsi="Times New Roman" w:cs="Times New Roman"/>
                <w:sz w:val="24"/>
                <w:szCs w:val="24"/>
                <w:lang/>
              </w:rPr>
              <w:br/>
              <w:t>2710 12 45 12</w:t>
            </w:r>
            <w:r w:rsidRPr="008B264B">
              <w:rPr>
                <w:rFonts w:ascii="Times New Roman" w:eastAsia="Times New Roman" w:hAnsi="Times New Roman" w:cs="Times New Roman"/>
                <w:sz w:val="24"/>
                <w:szCs w:val="24"/>
                <w:lang/>
              </w:rPr>
              <w:br/>
              <w:t>2710 12 45 13</w:t>
            </w:r>
            <w:r w:rsidRPr="008B264B">
              <w:rPr>
                <w:rFonts w:ascii="Times New Roman" w:eastAsia="Times New Roman" w:hAnsi="Times New Roman" w:cs="Times New Roman"/>
                <w:sz w:val="24"/>
                <w:szCs w:val="24"/>
                <w:lang/>
              </w:rPr>
              <w:br/>
              <w:t>2710 12 45 99</w:t>
            </w:r>
            <w:r w:rsidRPr="008B264B">
              <w:rPr>
                <w:rFonts w:ascii="Times New Roman" w:eastAsia="Times New Roman" w:hAnsi="Times New Roman" w:cs="Times New Roman"/>
                <w:sz w:val="24"/>
                <w:szCs w:val="24"/>
                <w:lang/>
              </w:rPr>
              <w:br/>
              <w:t>2710 12 49 12</w:t>
            </w:r>
            <w:r w:rsidRPr="008B264B">
              <w:rPr>
                <w:rFonts w:ascii="Times New Roman" w:eastAsia="Times New Roman" w:hAnsi="Times New Roman" w:cs="Times New Roman"/>
                <w:sz w:val="24"/>
                <w:szCs w:val="24"/>
                <w:lang/>
              </w:rPr>
              <w:br/>
            </w:r>
            <w:r w:rsidRPr="008B264B">
              <w:rPr>
                <w:rFonts w:ascii="Times New Roman" w:eastAsia="Times New Roman" w:hAnsi="Times New Roman" w:cs="Times New Roman"/>
                <w:sz w:val="24"/>
                <w:szCs w:val="24"/>
                <w:lang/>
              </w:rPr>
              <w:lastRenderedPageBreak/>
              <w:t>2710 12 49 13</w:t>
            </w:r>
            <w:r w:rsidRPr="008B264B">
              <w:rPr>
                <w:rFonts w:ascii="Times New Roman" w:eastAsia="Times New Roman" w:hAnsi="Times New Roman" w:cs="Times New Roman"/>
                <w:sz w:val="24"/>
                <w:szCs w:val="24"/>
                <w:lang/>
              </w:rPr>
              <w:br/>
              <w:t>2710 12 49 99</w:t>
            </w:r>
          </w:p>
        </w:tc>
        <w:tc>
          <w:tcPr>
            <w:tcW w:w="3480" w:type="dxa"/>
            <w:tcBorders>
              <w:top w:val="nil"/>
              <w:left w:val="nil"/>
              <w:bottom w:val="nil"/>
              <w:right w:val="nil"/>
            </w:tcBorders>
            <w:shd w:val="clear" w:color="auto" w:fill="auto"/>
            <w:hideMark/>
          </w:tcPr>
          <w:p w14:paraId="5779951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інші бензини</w:t>
            </w:r>
          </w:p>
        </w:tc>
        <w:tc>
          <w:tcPr>
            <w:tcW w:w="1635" w:type="dxa"/>
            <w:gridSpan w:val="2"/>
            <w:tcBorders>
              <w:top w:val="nil"/>
              <w:left w:val="nil"/>
              <w:bottom w:val="nil"/>
              <w:right w:val="nil"/>
            </w:tcBorders>
            <w:shd w:val="clear" w:color="auto" w:fill="auto"/>
            <w:hideMark/>
          </w:tcPr>
          <w:p w14:paraId="6E5AB0C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283DDA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40D53A4C" w14:textId="77777777" w:rsidTr="008B264B">
        <w:tc>
          <w:tcPr>
            <w:tcW w:w="2355" w:type="dxa"/>
            <w:tcBorders>
              <w:top w:val="nil"/>
              <w:left w:val="nil"/>
              <w:bottom w:val="nil"/>
              <w:right w:val="nil"/>
            </w:tcBorders>
            <w:shd w:val="clear" w:color="auto" w:fill="auto"/>
            <w:hideMark/>
          </w:tcPr>
          <w:p w14:paraId="57F1693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2710 20 90 00</w:t>
            </w:r>
          </w:p>
        </w:tc>
        <w:tc>
          <w:tcPr>
            <w:tcW w:w="3480" w:type="dxa"/>
            <w:tcBorders>
              <w:top w:val="nil"/>
              <w:left w:val="nil"/>
              <w:bottom w:val="nil"/>
              <w:right w:val="nil"/>
            </w:tcBorders>
            <w:shd w:val="clear" w:color="auto" w:fill="auto"/>
            <w:hideMark/>
          </w:tcPr>
          <w:p w14:paraId="635D7F1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нафтопродукти</w:t>
            </w:r>
          </w:p>
        </w:tc>
        <w:tc>
          <w:tcPr>
            <w:tcW w:w="1635" w:type="dxa"/>
            <w:gridSpan w:val="2"/>
            <w:tcBorders>
              <w:top w:val="nil"/>
              <w:left w:val="nil"/>
              <w:bottom w:val="nil"/>
              <w:right w:val="nil"/>
            </w:tcBorders>
            <w:shd w:val="clear" w:color="auto" w:fill="auto"/>
            <w:hideMark/>
          </w:tcPr>
          <w:p w14:paraId="14E1DD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20" w:type="dxa"/>
            <w:tcBorders>
              <w:top w:val="nil"/>
              <w:left w:val="nil"/>
              <w:bottom w:val="nil"/>
              <w:right w:val="nil"/>
            </w:tcBorders>
            <w:shd w:val="clear" w:color="auto" w:fill="auto"/>
            <w:hideMark/>
          </w:tcPr>
          <w:p w14:paraId="37F8049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0BD15C65" w14:textId="77777777" w:rsidTr="008B264B">
        <w:tc>
          <w:tcPr>
            <w:tcW w:w="2355" w:type="dxa"/>
            <w:tcBorders>
              <w:top w:val="nil"/>
              <w:left w:val="nil"/>
              <w:bottom w:val="nil"/>
              <w:right w:val="nil"/>
            </w:tcBorders>
            <w:shd w:val="clear" w:color="auto" w:fill="auto"/>
            <w:hideMark/>
          </w:tcPr>
          <w:p w14:paraId="4F2A51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2710 12 51 10</w:t>
            </w:r>
            <w:r w:rsidRPr="008B264B">
              <w:rPr>
                <w:rFonts w:ascii="Times New Roman" w:eastAsia="Times New Roman" w:hAnsi="Times New Roman" w:cs="Times New Roman"/>
                <w:sz w:val="24"/>
                <w:szCs w:val="24"/>
                <w:lang/>
              </w:rPr>
              <w:br/>
              <w:t>2710 12 51 20</w:t>
            </w:r>
            <w:r w:rsidRPr="008B264B">
              <w:rPr>
                <w:rFonts w:ascii="Times New Roman" w:eastAsia="Times New Roman" w:hAnsi="Times New Roman" w:cs="Times New Roman"/>
                <w:sz w:val="24"/>
                <w:szCs w:val="24"/>
                <w:lang/>
              </w:rPr>
              <w:br/>
              <w:t>2710 12 51 90</w:t>
            </w:r>
            <w:r w:rsidRPr="008B264B">
              <w:rPr>
                <w:rFonts w:ascii="Times New Roman" w:eastAsia="Times New Roman" w:hAnsi="Times New Roman" w:cs="Times New Roman"/>
                <w:sz w:val="24"/>
                <w:szCs w:val="24"/>
                <w:lang/>
              </w:rPr>
              <w:br/>
              <w:t>2710 12 59 10</w:t>
            </w:r>
            <w:r w:rsidRPr="008B264B">
              <w:rPr>
                <w:rFonts w:ascii="Times New Roman" w:eastAsia="Times New Roman" w:hAnsi="Times New Roman" w:cs="Times New Roman"/>
                <w:sz w:val="24"/>
                <w:szCs w:val="24"/>
                <w:lang/>
              </w:rPr>
              <w:br/>
              <w:t>2710 12 59 20</w:t>
            </w:r>
            <w:r w:rsidRPr="008B264B">
              <w:rPr>
                <w:rFonts w:ascii="Times New Roman" w:eastAsia="Times New Roman" w:hAnsi="Times New Roman" w:cs="Times New Roman"/>
                <w:sz w:val="24"/>
                <w:szCs w:val="24"/>
                <w:lang/>
              </w:rPr>
              <w:br/>
              <w:t>2710 12 59 90</w:t>
            </w:r>
          </w:p>
        </w:tc>
        <w:tc>
          <w:tcPr>
            <w:tcW w:w="3480" w:type="dxa"/>
            <w:tcBorders>
              <w:top w:val="nil"/>
              <w:left w:val="nil"/>
              <w:bottom w:val="nil"/>
              <w:right w:val="nil"/>
            </w:tcBorders>
            <w:shd w:val="clear" w:color="auto" w:fill="auto"/>
            <w:hideMark/>
          </w:tcPr>
          <w:p w14:paraId="2592BC5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свинцю більш як 0,013 г/л</w:t>
            </w:r>
          </w:p>
        </w:tc>
        <w:tc>
          <w:tcPr>
            <w:tcW w:w="1620" w:type="dxa"/>
            <w:tcBorders>
              <w:top w:val="nil"/>
              <w:left w:val="nil"/>
              <w:bottom w:val="nil"/>
              <w:right w:val="nil"/>
            </w:tcBorders>
            <w:shd w:val="clear" w:color="auto" w:fill="auto"/>
            <w:hideMark/>
          </w:tcPr>
          <w:p w14:paraId="094F11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50" w:type="dxa"/>
            <w:gridSpan w:val="2"/>
            <w:tcBorders>
              <w:top w:val="nil"/>
              <w:left w:val="nil"/>
              <w:bottom w:val="nil"/>
              <w:right w:val="nil"/>
            </w:tcBorders>
            <w:shd w:val="clear" w:color="auto" w:fill="auto"/>
            <w:hideMark/>
          </w:tcPr>
          <w:p w14:paraId="3965A7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79E460EE" w14:textId="77777777" w:rsidTr="008B264B">
        <w:tc>
          <w:tcPr>
            <w:tcW w:w="2355" w:type="dxa"/>
            <w:tcBorders>
              <w:top w:val="nil"/>
              <w:left w:val="nil"/>
              <w:bottom w:val="nil"/>
              <w:right w:val="nil"/>
            </w:tcBorders>
            <w:shd w:val="clear" w:color="auto" w:fill="auto"/>
            <w:hideMark/>
          </w:tcPr>
          <w:p w14:paraId="79D2537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2710 12 70 00</w:t>
            </w:r>
          </w:p>
        </w:tc>
        <w:tc>
          <w:tcPr>
            <w:tcW w:w="3480" w:type="dxa"/>
            <w:tcBorders>
              <w:top w:val="nil"/>
              <w:left w:val="nil"/>
              <w:bottom w:val="nil"/>
              <w:right w:val="nil"/>
            </w:tcBorders>
            <w:shd w:val="clear" w:color="auto" w:fill="auto"/>
            <w:hideMark/>
          </w:tcPr>
          <w:p w14:paraId="14D93F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620" w:type="dxa"/>
            <w:tcBorders>
              <w:top w:val="nil"/>
              <w:left w:val="nil"/>
              <w:bottom w:val="nil"/>
              <w:right w:val="nil"/>
            </w:tcBorders>
            <w:shd w:val="clear" w:color="auto" w:fill="auto"/>
            <w:hideMark/>
          </w:tcPr>
          <w:p w14:paraId="6D62CC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024A5D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w:t>
            </w:r>
          </w:p>
        </w:tc>
      </w:tr>
      <w:tr w:rsidR="008B264B" w:rsidRPr="008B264B" w14:paraId="2A60D8DE" w14:textId="77777777" w:rsidTr="008B264B">
        <w:tc>
          <w:tcPr>
            <w:tcW w:w="2355" w:type="dxa"/>
            <w:tcBorders>
              <w:top w:val="nil"/>
              <w:left w:val="nil"/>
              <w:bottom w:val="nil"/>
              <w:right w:val="nil"/>
            </w:tcBorders>
            <w:shd w:val="clear" w:color="auto" w:fill="auto"/>
            <w:hideMark/>
          </w:tcPr>
          <w:p w14:paraId="49677A6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2710 12 90 00</w:t>
            </w:r>
          </w:p>
        </w:tc>
        <w:tc>
          <w:tcPr>
            <w:tcW w:w="3480" w:type="dxa"/>
            <w:tcBorders>
              <w:top w:val="nil"/>
              <w:left w:val="nil"/>
              <w:bottom w:val="nil"/>
              <w:right w:val="nil"/>
            </w:tcBorders>
            <w:shd w:val="clear" w:color="auto" w:fill="auto"/>
            <w:hideMark/>
          </w:tcPr>
          <w:p w14:paraId="21CFC09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легкі дистиляти</w:t>
            </w:r>
          </w:p>
        </w:tc>
        <w:tc>
          <w:tcPr>
            <w:tcW w:w="1620" w:type="dxa"/>
            <w:tcBorders>
              <w:top w:val="nil"/>
              <w:left w:val="nil"/>
              <w:bottom w:val="nil"/>
              <w:right w:val="nil"/>
            </w:tcBorders>
            <w:shd w:val="clear" w:color="auto" w:fill="auto"/>
            <w:hideMark/>
          </w:tcPr>
          <w:p w14:paraId="3A1B843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4CAD2B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39442040" w14:textId="77777777" w:rsidTr="008B264B">
        <w:tc>
          <w:tcPr>
            <w:tcW w:w="2355" w:type="dxa"/>
            <w:tcBorders>
              <w:top w:val="nil"/>
              <w:left w:val="nil"/>
              <w:bottom w:val="nil"/>
              <w:right w:val="nil"/>
            </w:tcBorders>
            <w:shd w:val="clear" w:color="auto" w:fill="auto"/>
            <w:hideMark/>
          </w:tcPr>
          <w:p w14:paraId="606C935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405D50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Середні дистиляти:</w:t>
            </w:r>
          </w:p>
        </w:tc>
        <w:tc>
          <w:tcPr>
            <w:tcW w:w="1620" w:type="dxa"/>
            <w:tcBorders>
              <w:top w:val="nil"/>
              <w:left w:val="nil"/>
              <w:bottom w:val="nil"/>
              <w:right w:val="nil"/>
            </w:tcBorders>
            <w:shd w:val="clear" w:color="auto" w:fill="auto"/>
            <w:hideMark/>
          </w:tcPr>
          <w:p w14:paraId="56E69E9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50" w:type="dxa"/>
            <w:gridSpan w:val="2"/>
            <w:tcBorders>
              <w:top w:val="nil"/>
              <w:left w:val="nil"/>
              <w:bottom w:val="nil"/>
              <w:right w:val="nil"/>
            </w:tcBorders>
            <w:shd w:val="clear" w:color="auto" w:fill="auto"/>
            <w:hideMark/>
          </w:tcPr>
          <w:p w14:paraId="685FAB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48D7BBF" w14:textId="77777777" w:rsidTr="008B264B">
        <w:tc>
          <w:tcPr>
            <w:tcW w:w="2355" w:type="dxa"/>
            <w:tcBorders>
              <w:top w:val="nil"/>
              <w:left w:val="nil"/>
              <w:bottom w:val="nil"/>
              <w:right w:val="nil"/>
            </w:tcBorders>
            <w:shd w:val="clear" w:color="auto" w:fill="auto"/>
            <w:hideMark/>
          </w:tcPr>
          <w:p w14:paraId="059618A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2710 19 11 10</w:t>
            </w:r>
            <w:r w:rsidRPr="008B264B">
              <w:rPr>
                <w:rFonts w:ascii="Times New Roman" w:eastAsia="Times New Roman" w:hAnsi="Times New Roman" w:cs="Times New Roman"/>
                <w:sz w:val="24"/>
                <w:szCs w:val="24"/>
                <w:lang/>
              </w:rPr>
              <w:br/>
              <w:t>2710 19 11 20</w:t>
            </w:r>
            <w:r w:rsidRPr="008B264B">
              <w:rPr>
                <w:rFonts w:ascii="Times New Roman" w:eastAsia="Times New Roman" w:hAnsi="Times New Roman" w:cs="Times New Roman"/>
                <w:sz w:val="24"/>
                <w:szCs w:val="24"/>
                <w:lang/>
              </w:rPr>
              <w:br/>
              <w:t>2710 19 11 90</w:t>
            </w:r>
          </w:p>
        </w:tc>
        <w:tc>
          <w:tcPr>
            <w:tcW w:w="3480" w:type="dxa"/>
            <w:tcBorders>
              <w:top w:val="nil"/>
              <w:left w:val="nil"/>
              <w:bottom w:val="nil"/>
              <w:right w:val="nil"/>
            </w:tcBorders>
            <w:shd w:val="clear" w:color="auto" w:fill="auto"/>
            <w:hideMark/>
          </w:tcPr>
          <w:p w14:paraId="6A3CC3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620" w:type="dxa"/>
            <w:tcBorders>
              <w:top w:val="nil"/>
              <w:left w:val="nil"/>
              <w:bottom w:val="nil"/>
              <w:right w:val="nil"/>
            </w:tcBorders>
            <w:shd w:val="clear" w:color="auto" w:fill="auto"/>
            <w:hideMark/>
          </w:tcPr>
          <w:p w14:paraId="3836B9E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26862D8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547F00EC" w14:textId="77777777" w:rsidTr="008B264B">
        <w:tc>
          <w:tcPr>
            <w:tcW w:w="2355" w:type="dxa"/>
            <w:tcBorders>
              <w:top w:val="nil"/>
              <w:left w:val="nil"/>
              <w:bottom w:val="nil"/>
              <w:right w:val="nil"/>
            </w:tcBorders>
            <w:shd w:val="clear" w:color="auto" w:fill="auto"/>
            <w:hideMark/>
          </w:tcPr>
          <w:p w14:paraId="42D110D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2710 19 15 10</w:t>
            </w:r>
            <w:r w:rsidRPr="008B264B">
              <w:rPr>
                <w:rFonts w:ascii="Times New Roman" w:eastAsia="Times New Roman" w:hAnsi="Times New Roman" w:cs="Times New Roman"/>
                <w:sz w:val="24"/>
                <w:szCs w:val="24"/>
                <w:lang/>
              </w:rPr>
              <w:br/>
              <w:t>2710 19 15 20</w:t>
            </w:r>
            <w:r w:rsidRPr="008B264B">
              <w:rPr>
                <w:rFonts w:ascii="Times New Roman" w:eastAsia="Times New Roman" w:hAnsi="Times New Roman" w:cs="Times New Roman"/>
                <w:sz w:val="24"/>
                <w:szCs w:val="24"/>
                <w:lang/>
              </w:rPr>
              <w:br/>
              <w:t>2710 19 15 90</w:t>
            </w:r>
          </w:p>
        </w:tc>
        <w:tc>
          <w:tcPr>
            <w:tcW w:w="3480" w:type="dxa"/>
            <w:tcBorders>
              <w:top w:val="nil"/>
              <w:left w:val="nil"/>
              <w:bottom w:val="nil"/>
              <w:right w:val="nil"/>
            </w:tcBorders>
            <w:shd w:val="clear" w:color="auto" w:fill="auto"/>
            <w:hideMark/>
          </w:tcPr>
          <w:p w14:paraId="698033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не зазначених у товарній категорії 2710 19 11</w:t>
            </w:r>
          </w:p>
        </w:tc>
        <w:tc>
          <w:tcPr>
            <w:tcW w:w="1620" w:type="dxa"/>
            <w:tcBorders>
              <w:top w:val="nil"/>
              <w:left w:val="nil"/>
              <w:bottom w:val="nil"/>
              <w:right w:val="nil"/>
            </w:tcBorders>
            <w:shd w:val="clear" w:color="auto" w:fill="auto"/>
            <w:hideMark/>
          </w:tcPr>
          <w:p w14:paraId="7634E6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667C95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1A3E34AC" w14:textId="77777777" w:rsidTr="008B264B">
        <w:tc>
          <w:tcPr>
            <w:tcW w:w="2355" w:type="dxa"/>
            <w:tcBorders>
              <w:top w:val="nil"/>
              <w:left w:val="nil"/>
              <w:bottom w:val="nil"/>
              <w:right w:val="nil"/>
            </w:tcBorders>
            <w:shd w:val="clear" w:color="auto" w:fill="auto"/>
            <w:hideMark/>
          </w:tcPr>
          <w:p w14:paraId="27533FE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nil"/>
              <w:left w:val="nil"/>
              <w:bottom w:val="nil"/>
              <w:right w:val="nil"/>
            </w:tcBorders>
            <w:shd w:val="clear" w:color="auto" w:fill="auto"/>
            <w:hideMark/>
          </w:tcPr>
          <w:p w14:paraId="3FC6E5B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Гас:</w:t>
            </w:r>
          </w:p>
        </w:tc>
        <w:tc>
          <w:tcPr>
            <w:tcW w:w="1620" w:type="dxa"/>
            <w:tcBorders>
              <w:top w:val="nil"/>
              <w:left w:val="nil"/>
              <w:bottom w:val="nil"/>
              <w:right w:val="nil"/>
            </w:tcBorders>
            <w:shd w:val="clear" w:color="auto" w:fill="auto"/>
            <w:hideMark/>
          </w:tcPr>
          <w:p w14:paraId="4C67A02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950" w:type="dxa"/>
            <w:gridSpan w:val="2"/>
            <w:tcBorders>
              <w:top w:val="nil"/>
              <w:left w:val="nil"/>
              <w:bottom w:val="nil"/>
              <w:right w:val="nil"/>
            </w:tcBorders>
            <w:shd w:val="clear" w:color="auto" w:fill="auto"/>
            <w:hideMark/>
          </w:tcPr>
          <w:p w14:paraId="3E77EFF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39E73BA" w14:textId="77777777" w:rsidTr="008B264B">
        <w:tc>
          <w:tcPr>
            <w:tcW w:w="2355" w:type="dxa"/>
            <w:tcBorders>
              <w:top w:val="nil"/>
              <w:left w:val="nil"/>
              <w:bottom w:val="nil"/>
              <w:right w:val="nil"/>
            </w:tcBorders>
            <w:shd w:val="clear" w:color="auto" w:fill="auto"/>
            <w:hideMark/>
          </w:tcPr>
          <w:p w14:paraId="5F775EB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2710 19 21 00</w:t>
            </w:r>
          </w:p>
        </w:tc>
        <w:tc>
          <w:tcPr>
            <w:tcW w:w="3480" w:type="dxa"/>
            <w:tcBorders>
              <w:top w:val="nil"/>
              <w:left w:val="nil"/>
              <w:bottom w:val="nil"/>
              <w:right w:val="nil"/>
            </w:tcBorders>
            <w:shd w:val="clear" w:color="auto" w:fill="auto"/>
            <w:hideMark/>
          </w:tcPr>
          <w:p w14:paraId="017936C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620" w:type="dxa"/>
            <w:tcBorders>
              <w:top w:val="nil"/>
              <w:left w:val="nil"/>
              <w:bottom w:val="nil"/>
              <w:right w:val="nil"/>
            </w:tcBorders>
            <w:shd w:val="clear" w:color="auto" w:fill="auto"/>
            <w:hideMark/>
          </w:tcPr>
          <w:p w14:paraId="223613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0FA763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w:t>
            </w:r>
          </w:p>
        </w:tc>
      </w:tr>
      <w:tr w:rsidR="008B264B" w:rsidRPr="008B264B" w14:paraId="4328F0C0" w14:textId="77777777" w:rsidTr="008B264B">
        <w:tc>
          <w:tcPr>
            <w:tcW w:w="2355" w:type="dxa"/>
            <w:tcBorders>
              <w:top w:val="nil"/>
              <w:left w:val="nil"/>
              <w:bottom w:val="nil"/>
              <w:right w:val="nil"/>
            </w:tcBorders>
            <w:shd w:val="clear" w:color="auto" w:fill="auto"/>
            <w:hideMark/>
          </w:tcPr>
          <w:p w14:paraId="10CA72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2710 19 25 00</w:t>
            </w:r>
          </w:p>
        </w:tc>
        <w:tc>
          <w:tcPr>
            <w:tcW w:w="3480" w:type="dxa"/>
            <w:tcBorders>
              <w:top w:val="nil"/>
              <w:left w:val="nil"/>
              <w:bottom w:val="nil"/>
              <w:right w:val="nil"/>
            </w:tcBorders>
            <w:shd w:val="clear" w:color="auto" w:fill="auto"/>
            <w:hideMark/>
          </w:tcPr>
          <w:p w14:paraId="41A9150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інший гас</w:t>
            </w:r>
          </w:p>
        </w:tc>
        <w:tc>
          <w:tcPr>
            <w:tcW w:w="1620" w:type="dxa"/>
            <w:tcBorders>
              <w:top w:val="nil"/>
              <w:left w:val="nil"/>
              <w:bottom w:val="nil"/>
              <w:right w:val="nil"/>
            </w:tcBorders>
            <w:shd w:val="clear" w:color="auto" w:fill="auto"/>
            <w:hideMark/>
          </w:tcPr>
          <w:p w14:paraId="0E98A4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10FC89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183</w:t>
            </w:r>
          </w:p>
        </w:tc>
      </w:tr>
      <w:tr w:rsidR="008B264B" w:rsidRPr="008B264B" w14:paraId="2F582089" w14:textId="77777777" w:rsidTr="008B264B">
        <w:tc>
          <w:tcPr>
            <w:tcW w:w="2355" w:type="dxa"/>
            <w:tcBorders>
              <w:top w:val="nil"/>
              <w:left w:val="nil"/>
              <w:bottom w:val="nil"/>
              <w:right w:val="nil"/>
            </w:tcBorders>
            <w:shd w:val="clear" w:color="auto" w:fill="auto"/>
            <w:hideMark/>
          </w:tcPr>
          <w:p w14:paraId="14A8D3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2710 19 29 00</w:t>
            </w:r>
          </w:p>
        </w:tc>
        <w:tc>
          <w:tcPr>
            <w:tcW w:w="3480" w:type="dxa"/>
            <w:tcBorders>
              <w:top w:val="nil"/>
              <w:left w:val="nil"/>
              <w:bottom w:val="nil"/>
              <w:right w:val="nil"/>
            </w:tcBorders>
            <w:shd w:val="clear" w:color="auto" w:fill="auto"/>
            <w:hideMark/>
          </w:tcPr>
          <w:p w14:paraId="2BC8FEA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середні дистиляти</w:t>
            </w:r>
          </w:p>
        </w:tc>
        <w:tc>
          <w:tcPr>
            <w:tcW w:w="1620" w:type="dxa"/>
            <w:tcBorders>
              <w:top w:val="nil"/>
              <w:left w:val="nil"/>
              <w:bottom w:val="nil"/>
              <w:right w:val="nil"/>
            </w:tcBorders>
            <w:shd w:val="clear" w:color="auto" w:fill="auto"/>
            <w:hideMark/>
          </w:tcPr>
          <w:p w14:paraId="58DEF1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7BE8DC4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183</w:t>
            </w:r>
          </w:p>
        </w:tc>
      </w:tr>
      <w:tr w:rsidR="008B264B" w:rsidRPr="008B264B" w14:paraId="280BC59C" w14:textId="77777777" w:rsidTr="008B264B">
        <w:tc>
          <w:tcPr>
            <w:tcW w:w="2355" w:type="dxa"/>
            <w:tcBorders>
              <w:top w:val="nil"/>
              <w:left w:val="nil"/>
              <w:bottom w:val="nil"/>
              <w:right w:val="nil"/>
            </w:tcBorders>
            <w:shd w:val="clear" w:color="auto" w:fill="auto"/>
            <w:hideMark/>
          </w:tcPr>
          <w:p w14:paraId="62E4E1D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2710 19 31 01</w:t>
            </w:r>
            <w:r w:rsidRPr="008B264B">
              <w:rPr>
                <w:rFonts w:ascii="Times New Roman" w:eastAsia="Times New Roman" w:hAnsi="Times New Roman" w:cs="Times New Roman"/>
                <w:sz w:val="24"/>
                <w:szCs w:val="24"/>
                <w:lang/>
              </w:rPr>
              <w:br/>
              <w:t>2710 19 31 10</w:t>
            </w:r>
            <w:r w:rsidRPr="008B264B">
              <w:rPr>
                <w:rFonts w:ascii="Times New Roman" w:eastAsia="Times New Roman" w:hAnsi="Times New Roman" w:cs="Times New Roman"/>
                <w:sz w:val="24"/>
                <w:szCs w:val="24"/>
                <w:lang/>
              </w:rPr>
              <w:br/>
              <w:t>2710 19 31 20</w:t>
            </w:r>
            <w:r w:rsidRPr="008B264B">
              <w:rPr>
                <w:rFonts w:ascii="Times New Roman" w:eastAsia="Times New Roman" w:hAnsi="Times New Roman" w:cs="Times New Roman"/>
                <w:sz w:val="24"/>
                <w:szCs w:val="24"/>
                <w:lang/>
              </w:rPr>
              <w:br/>
              <w:t>2710 19 31 30</w:t>
            </w:r>
            <w:r w:rsidRPr="008B264B">
              <w:rPr>
                <w:rFonts w:ascii="Times New Roman" w:eastAsia="Times New Roman" w:hAnsi="Times New Roman" w:cs="Times New Roman"/>
                <w:sz w:val="24"/>
                <w:szCs w:val="24"/>
                <w:lang/>
              </w:rPr>
              <w:br/>
              <w:t>2710 19 31 40</w:t>
            </w:r>
            <w:r w:rsidRPr="008B264B">
              <w:rPr>
                <w:rFonts w:ascii="Times New Roman" w:eastAsia="Times New Roman" w:hAnsi="Times New Roman" w:cs="Times New Roman"/>
                <w:sz w:val="24"/>
                <w:szCs w:val="24"/>
                <w:lang/>
              </w:rPr>
              <w:br/>
              <w:t>2710 19 35 01</w:t>
            </w:r>
            <w:r w:rsidRPr="008B264B">
              <w:rPr>
                <w:rFonts w:ascii="Times New Roman" w:eastAsia="Times New Roman" w:hAnsi="Times New Roman" w:cs="Times New Roman"/>
                <w:sz w:val="24"/>
                <w:szCs w:val="24"/>
                <w:lang/>
              </w:rPr>
              <w:br/>
              <w:t>2710 19 35 10</w:t>
            </w:r>
            <w:r w:rsidRPr="008B264B">
              <w:rPr>
                <w:rFonts w:ascii="Times New Roman" w:eastAsia="Times New Roman" w:hAnsi="Times New Roman" w:cs="Times New Roman"/>
                <w:sz w:val="24"/>
                <w:szCs w:val="24"/>
                <w:lang/>
              </w:rPr>
              <w:br/>
              <w:t>2710 19 35 20</w:t>
            </w:r>
            <w:r w:rsidRPr="008B264B">
              <w:rPr>
                <w:rFonts w:ascii="Times New Roman" w:eastAsia="Times New Roman" w:hAnsi="Times New Roman" w:cs="Times New Roman"/>
                <w:sz w:val="24"/>
                <w:szCs w:val="24"/>
                <w:lang/>
              </w:rPr>
              <w:br/>
              <w:t>2710 19 35 30</w:t>
            </w:r>
            <w:r w:rsidRPr="008B264B">
              <w:rPr>
                <w:rFonts w:ascii="Times New Roman" w:eastAsia="Times New Roman" w:hAnsi="Times New Roman" w:cs="Times New Roman"/>
                <w:sz w:val="24"/>
                <w:szCs w:val="24"/>
                <w:lang/>
              </w:rPr>
              <w:br/>
              <w:t>2710 19 35 40</w:t>
            </w:r>
            <w:r w:rsidRPr="008B264B">
              <w:rPr>
                <w:rFonts w:ascii="Times New Roman" w:eastAsia="Times New Roman" w:hAnsi="Times New Roman" w:cs="Times New Roman"/>
                <w:sz w:val="24"/>
                <w:szCs w:val="24"/>
                <w:lang/>
              </w:rPr>
              <w:br/>
              <w:t>2710 19 43 00</w:t>
            </w:r>
            <w:r w:rsidRPr="008B264B">
              <w:rPr>
                <w:rFonts w:ascii="Times New Roman" w:eastAsia="Times New Roman" w:hAnsi="Times New Roman" w:cs="Times New Roman"/>
                <w:sz w:val="24"/>
                <w:szCs w:val="24"/>
                <w:lang/>
              </w:rPr>
              <w:br/>
              <w:t>2710 19 46 00</w:t>
            </w:r>
            <w:r w:rsidRPr="008B264B">
              <w:rPr>
                <w:rFonts w:ascii="Times New Roman" w:eastAsia="Times New Roman" w:hAnsi="Times New Roman" w:cs="Times New Roman"/>
                <w:sz w:val="24"/>
                <w:szCs w:val="24"/>
                <w:lang/>
              </w:rPr>
              <w:br/>
              <w:t>2710 19 47 10</w:t>
            </w:r>
            <w:r w:rsidRPr="008B264B">
              <w:rPr>
                <w:rFonts w:ascii="Times New Roman" w:eastAsia="Times New Roman" w:hAnsi="Times New Roman" w:cs="Times New Roman"/>
                <w:sz w:val="24"/>
                <w:szCs w:val="24"/>
                <w:lang/>
              </w:rPr>
              <w:br/>
              <w:t>2710 19 47 90</w:t>
            </w:r>
            <w:r w:rsidRPr="008B264B">
              <w:rPr>
                <w:rFonts w:ascii="Times New Roman" w:eastAsia="Times New Roman" w:hAnsi="Times New Roman" w:cs="Times New Roman"/>
                <w:sz w:val="24"/>
                <w:szCs w:val="24"/>
                <w:lang/>
              </w:rPr>
              <w:br/>
              <w:t>2710 19 48 00</w:t>
            </w:r>
            <w:r w:rsidRPr="008B264B">
              <w:rPr>
                <w:rFonts w:ascii="Times New Roman" w:eastAsia="Times New Roman" w:hAnsi="Times New Roman" w:cs="Times New Roman"/>
                <w:sz w:val="24"/>
                <w:szCs w:val="24"/>
                <w:lang/>
              </w:rPr>
              <w:br/>
              <w:t>2710 20 11 00</w:t>
            </w:r>
            <w:r w:rsidRPr="008B264B">
              <w:rPr>
                <w:rFonts w:ascii="Times New Roman" w:eastAsia="Times New Roman" w:hAnsi="Times New Roman" w:cs="Times New Roman"/>
                <w:sz w:val="24"/>
                <w:szCs w:val="24"/>
                <w:lang/>
              </w:rPr>
              <w:br/>
              <w:t>2710 20 15 00</w:t>
            </w:r>
            <w:r w:rsidRPr="008B264B">
              <w:rPr>
                <w:rFonts w:ascii="Times New Roman" w:eastAsia="Times New Roman" w:hAnsi="Times New Roman" w:cs="Times New Roman"/>
                <w:sz w:val="24"/>
                <w:szCs w:val="24"/>
                <w:lang/>
              </w:rPr>
              <w:br/>
            </w:r>
            <w:r w:rsidRPr="008B264B">
              <w:rPr>
                <w:rFonts w:ascii="Times New Roman" w:eastAsia="Times New Roman" w:hAnsi="Times New Roman" w:cs="Times New Roman"/>
                <w:sz w:val="24"/>
                <w:szCs w:val="24"/>
                <w:lang/>
              </w:rPr>
              <w:lastRenderedPageBreak/>
              <w:t>2710 20 17 00</w:t>
            </w:r>
            <w:r w:rsidRPr="008B264B">
              <w:rPr>
                <w:rFonts w:ascii="Times New Roman" w:eastAsia="Times New Roman" w:hAnsi="Times New Roman" w:cs="Times New Roman"/>
                <w:sz w:val="24"/>
                <w:szCs w:val="24"/>
                <w:lang/>
              </w:rPr>
              <w:br/>
              <w:t>2710 20 19 00</w:t>
            </w:r>
          </w:p>
        </w:tc>
        <w:tc>
          <w:tcPr>
            <w:tcW w:w="3480" w:type="dxa"/>
            <w:tcBorders>
              <w:top w:val="nil"/>
              <w:left w:val="nil"/>
              <w:bottom w:val="nil"/>
              <w:right w:val="nil"/>
            </w:tcBorders>
            <w:shd w:val="clear" w:color="auto" w:fill="auto"/>
            <w:hideMark/>
          </w:tcPr>
          <w:p w14:paraId="01B8C62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Важкі дистиляти (газойль)</w:t>
            </w:r>
          </w:p>
        </w:tc>
        <w:tc>
          <w:tcPr>
            <w:tcW w:w="1620" w:type="dxa"/>
            <w:tcBorders>
              <w:top w:val="nil"/>
              <w:left w:val="nil"/>
              <w:bottom w:val="nil"/>
              <w:right w:val="nil"/>
            </w:tcBorders>
            <w:shd w:val="clear" w:color="auto" w:fill="auto"/>
            <w:hideMark/>
          </w:tcPr>
          <w:p w14:paraId="28979A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50" w:type="dxa"/>
            <w:gridSpan w:val="2"/>
            <w:tcBorders>
              <w:top w:val="nil"/>
              <w:left w:val="nil"/>
              <w:bottom w:val="nil"/>
              <w:right w:val="nil"/>
            </w:tcBorders>
            <w:shd w:val="clear" w:color="auto" w:fill="auto"/>
            <w:hideMark/>
          </w:tcPr>
          <w:p w14:paraId="5B174D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139,50</w:t>
            </w:r>
          </w:p>
        </w:tc>
      </w:tr>
      <w:tr w:rsidR="008B264B" w:rsidRPr="008B264B" w14:paraId="6233306B" w14:textId="77777777" w:rsidTr="008B264B">
        <w:tc>
          <w:tcPr>
            <w:tcW w:w="2355" w:type="dxa"/>
            <w:tcBorders>
              <w:top w:val="nil"/>
              <w:left w:val="nil"/>
              <w:bottom w:val="nil"/>
              <w:right w:val="nil"/>
            </w:tcBorders>
            <w:shd w:val="clear" w:color="auto" w:fill="auto"/>
            <w:hideMark/>
          </w:tcPr>
          <w:p w14:paraId="66A8AA6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2710 19 62 00</w:t>
            </w:r>
            <w:r w:rsidRPr="008B264B">
              <w:rPr>
                <w:rFonts w:ascii="Times New Roman" w:eastAsia="Times New Roman" w:hAnsi="Times New Roman" w:cs="Times New Roman"/>
                <w:sz w:val="24"/>
                <w:szCs w:val="24"/>
                <w:lang/>
              </w:rPr>
              <w:br/>
              <w:t>2710 19 64 00</w:t>
            </w:r>
            <w:r w:rsidRPr="008B264B">
              <w:rPr>
                <w:rFonts w:ascii="Times New Roman" w:eastAsia="Times New Roman" w:hAnsi="Times New Roman" w:cs="Times New Roman"/>
                <w:sz w:val="24"/>
                <w:szCs w:val="24"/>
                <w:lang/>
              </w:rPr>
              <w:br/>
              <w:t>2710 19 68 10</w:t>
            </w:r>
            <w:r w:rsidRPr="008B264B">
              <w:rPr>
                <w:rFonts w:ascii="Times New Roman" w:eastAsia="Times New Roman" w:hAnsi="Times New Roman" w:cs="Times New Roman"/>
                <w:sz w:val="24"/>
                <w:szCs w:val="24"/>
                <w:lang/>
              </w:rPr>
              <w:br/>
              <w:t>2710 19 68 20</w:t>
            </w:r>
            <w:r w:rsidRPr="008B264B">
              <w:rPr>
                <w:rFonts w:ascii="Times New Roman" w:eastAsia="Times New Roman" w:hAnsi="Times New Roman" w:cs="Times New Roman"/>
                <w:sz w:val="24"/>
                <w:szCs w:val="24"/>
                <w:lang/>
              </w:rPr>
              <w:br/>
              <w:t>2710 19 68 90</w:t>
            </w:r>
            <w:r w:rsidRPr="008B264B">
              <w:rPr>
                <w:rFonts w:ascii="Times New Roman" w:eastAsia="Times New Roman" w:hAnsi="Times New Roman" w:cs="Times New Roman"/>
                <w:sz w:val="24"/>
                <w:szCs w:val="24"/>
                <w:lang/>
              </w:rPr>
              <w:br/>
              <w:t>2710 20 31 00</w:t>
            </w:r>
            <w:r w:rsidRPr="008B264B">
              <w:rPr>
                <w:rFonts w:ascii="Times New Roman" w:eastAsia="Times New Roman" w:hAnsi="Times New Roman" w:cs="Times New Roman"/>
                <w:sz w:val="24"/>
                <w:szCs w:val="24"/>
                <w:lang/>
              </w:rPr>
              <w:br/>
              <w:t>2710 20 35 00</w:t>
            </w:r>
            <w:r w:rsidRPr="008B264B">
              <w:rPr>
                <w:rFonts w:ascii="Times New Roman" w:eastAsia="Times New Roman" w:hAnsi="Times New Roman" w:cs="Times New Roman"/>
                <w:sz w:val="24"/>
                <w:szCs w:val="24"/>
                <w:lang/>
              </w:rPr>
              <w:br/>
              <w:t>2710 20 39 00</w:t>
            </w:r>
          </w:p>
        </w:tc>
        <w:tc>
          <w:tcPr>
            <w:tcW w:w="3480" w:type="dxa"/>
            <w:tcBorders>
              <w:top w:val="nil"/>
              <w:left w:val="nil"/>
              <w:bottom w:val="nil"/>
              <w:right w:val="nil"/>
            </w:tcBorders>
            <w:shd w:val="clear" w:color="auto" w:fill="auto"/>
            <w:hideMark/>
          </w:tcPr>
          <w:p w14:paraId="6F9DAB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Тільки паливо пічне побутове</w:t>
            </w:r>
          </w:p>
        </w:tc>
        <w:tc>
          <w:tcPr>
            <w:tcW w:w="1620" w:type="dxa"/>
            <w:tcBorders>
              <w:top w:val="nil"/>
              <w:left w:val="nil"/>
              <w:bottom w:val="nil"/>
              <w:right w:val="nil"/>
            </w:tcBorders>
            <w:shd w:val="clear" w:color="auto" w:fill="auto"/>
            <w:hideMark/>
          </w:tcPr>
          <w:p w14:paraId="0EC63A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65AE139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139,50</w:t>
            </w:r>
          </w:p>
        </w:tc>
      </w:tr>
      <w:tr w:rsidR="008B264B" w:rsidRPr="008B264B" w14:paraId="24D91189" w14:textId="77777777" w:rsidTr="008B264B">
        <w:tc>
          <w:tcPr>
            <w:tcW w:w="2355" w:type="dxa"/>
            <w:tcBorders>
              <w:top w:val="nil"/>
              <w:left w:val="nil"/>
              <w:bottom w:val="nil"/>
              <w:right w:val="nil"/>
            </w:tcBorders>
            <w:shd w:val="clear" w:color="auto" w:fill="auto"/>
            <w:hideMark/>
          </w:tcPr>
          <w:p w14:paraId="60D5768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2710 19 51 00</w:t>
            </w:r>
          </w:p>
        </w:tc>
        <w:tc>
          <w:tcPr>
            <w:tcW w:w="3480" w:type="dxa"/>
            <w:tcBorders>
              <w:top w:val="nil"/>
              <w:left w:val="nil"/>
              <w:bottom w:val="nil"/>
              <w:right w:val="nil"/>
            </w:tcBorders>
            <w:shd w:val="clear" w:color="auto" w:fill="auto"/>
            <w:hideMark/>
          </w:tcPr>
          <w:p w14:paraId="7830E3F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рідке (мазут) для специфічних процесів переробки</w:t>
            </w:r>
          </w:p>
        </w:tc>
        <w:tc>
          <w:tcPr>
            <w:tcW w:w="1620" w:type="dxa"/>
            <w:tcBorders>
              <w:top w:val="nil"/>
              <w:left w:val="nil"/>
              <w:bottom w:val="nil"/>
              <w:right w:val="nil"/>
            </w:tcBorders>
            <w:shd w:val="clear" w:color="auto" w:fill="auto"/>
            <w:hideMark/>
          </w:tcPr>
          <w:p w14:paraId="06A693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3F75CA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139,50</w:t>
            </w:r>
          </w:p>
        </w:tc>
      </w:tr>
      <w:tr w:rsidR="008B264B" w:rsidRPr="008B264B" w14:paraId="2B3252F2" w14:textId="77777777" w:rsidTr="008B264B">
        <w:tc>
          <w:tcPr>
            <w:tcW w:w="2355" w:type="dxa"/>
            <w:tcBorders>
              <w:top w:val="nil"/>
              <w:left w:val="nil"/>
              <w:bottom w:val="nil"/>
              <w:right w:val="nil"/>
            </w:tcBorders>
            <w:shd w:val="clear" w:color="auto" w:fill="auto"/>
            <w:hideMark/>
          </w:tcPr>
          <w:p w14:paraId="368286A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2710 19 55 00</w:t>
            </w:r>
          </w:p>
        </w:tc>
        <w:tc>
          <w:tcPr>
            <w:tcW w:w="3480" w:type="dxa"/>
            <w:tcBorders>
              <w:top w:val="nil"/>
              <w:left w:val="nil"/>
              <w:bottom w:val="nil"/>
              <w:right w:val="nil"/>
            </w:tcBorders>
            <w:shd w:val="clear" w:color="auto" w:fill="auto"/>
            <w:hideMark/>
          </w:tcPr>
          <w:p w14:paraId="4875160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рідке (мазут) для хімічних перетворень у процесах, крім зазначених у товарній підкатегорії 2710 19 51 00</w:t>
            </w:r>
          </w:p>
        </w:tc>
        <w:tc>
          <w:tcPr>
            <w:tcW w:w="1620" w:type="dxa"/>
            <w:tcBorders>
              <w:top w:val="nil"/>
              <w:left w:val="nil"/>
              <w:bottom w:val="nil"/>
              <w:right w:val="nil"/>
            </w:tcBorders>
            <w:shd w:val="clear" w:color="auto" w:fill="auto"/>
            <w:hideMark/>
          </w:tcPr>
          <w:p w14:paraId="4EDBD8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631EAF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139,50</w:t>
            </w:r>
          </w:p>
        </w:tc>
      </w:tr>
      <w:tr w:rsidR="008B264B" w:rsidRPr="008B264B" w14:paraId="493C0375" w14:textId="77777777" w:rsidTr="008B264B">
        <w:tc>
          <w:tcPr>
            <w:tcW w:w="2355" w:type="dxa"/>
            <w:tcBorders>
              <w:top w:val="nil"/>
              <w:left w:val="nil"/>
              <w:bottom w:val="nil"/>
              <w:right w:val="nil"/>
            </w:tcBorders>
            <w:shd w:val="clear" w:color="auto" w:fill="auto"/>
            <w:hideMark/>
          </w:tcPr>
          <w:p w14:paraId="44A4D75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2711 11 00 00</w:t>
            </w:r>
          </w:p>
        </w:tc>
        <w:tc>
          <w:tcPr>
            <w:tcW w:w="3480" w:type="dxa"/>
            <w:tcBorders>
              <w:top w:val="nil"/>
              <w:left w:val="nil"/>
              <w:bottom w:val="nil"/>
              <w:right w:val="nil"/>
            </w:tcBorders>
            <w:shd w:val="clear" w:color="auto" w:fill="auto"/>
            <w:hideMark/>
          </w:tcPr>
          <w:p w14:paraId="02E6251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Скраплений газ природний</w:t>
            </w:r>
          </w:p>
        </w:tc>
        <w:tc>
          <w:tcPr>
            <w:tcW w:w="1620" w:type="dxa"/>
            <w:tcBorders>
              <w:top w:val="nil"/>
              <w:left w:val="nil"/>
              <w:bottom w:val="nil"/>
              <w:right w:val="nil"/>
            </w:tcBorders>
            <w:shd w:val="clear" w:color="auto" w:fill="auto"/>
            <w:hideMark/>
          </w:tcPr>
          <w:p w14:paraId="522A6A5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403EED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3,67</w:t>
            </w:r>
          </w:p>
        </w:tc>
      </w:tr>
      <w:tr w:rsidR="008B264B" w:rsidRPr="008B264B" w14:paraId="00E37D15" w14:textId="77777777" w:rsidTr="008B264B">
        <w:tc>
          <w:tcPr>
            <w:tcW w:w="2355" w:type="dxa"/>
            <w:tcBorders>
              <w:top w:val="nil"/>
              <w:left w:val="nil"/>
              <w:bottom w:val="nil"/>
              <w:right w:val="nil"/>
            </w:tcBorders>
            <w:shd w:val="clear" w:color="auto" w:fill="auto"/>
            <w:hideMark/>
          </w:tcPr>
          <w:p w14:paraId="1E5D7A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2711 12 11 00</w:t>
            </w:r>
            <w:r w:rsidRPr="008B264B">
              <w:rPr>
                <w:rFonts w:ascii="Times New Roman" w:eastAsia="Times New Roman" w:hAnsi="Times New Roman" w:cs="Times New Roman"/>
                <w:sz w:val="24"/>
                <w:szCs w:val="24"/>
                <w:lang/>
              </w:rPr>
              <w:br/>
              <w:t>2711 12 19 00</w:t>
            </w:r>
            <w:r w:rsidRPr="008B264B">
              <w:rPr>
                <w:rFonts w:ascii="Times New Roman" w:eastAsia="Times New Roman" w:hAnsi="Times New Roman" w:cs="Times New Roman"/>
                <w:sz w:val="24"/>
                <w:szCs w:val="24"/>
                <w:lang/>
              </w:rPr>
              <w:br/>
              <w:t>2711 12 91 00</w:t>
            </w:r>
            <w:r w:rsidRPr="008B264B">
              <w:rPr>
                <w:rFonts w:ascii="Times New Roman" w:eastAsia="Times New Roman" w:hAnsi="Times New Roman" w:cs="Times New Roman"/>
                <w:sz w:val="24"/>
                <w:szCs w:val="24"/>
                <w:lang/>
              </w:rPr>
              <w:br/>
              <w:t>2711 12 93 00</w:t>
            </w:r>
            <w:r w:rsidRPr="008B264B">
              <w:rPr>
                <w:rFonts w:ascii="Times New Roman" w:eastAsia="Times New Roman" w:hAnsi="Times New Roman" w:cs="Times New Roman"/>
                <w:sz w:val="24"/>
                <w:szCs w:val="24"/>
                <w:lang/>
              </w:rPr>
              <w:br/>
              <w:t>2711 12 94 00</w:t>
            </w:r>
            <w:r w:rsidRPr="008B264B">
              <w:rPr>
                <w:rFonts w:ascii="Times New Roman" w:eastAsia="Times New Roman" w:hAnsi="Times New Roman" w:cs="Times New Roman"/>
                <w:sz w:val="24"/>
                <w:szCs w:val="24"/>
                <w:lang/>
              </w:rPr>
              <w:br/>
              <w:t>2711 12 97 00</w:t>
            </w:r>
            <w:r w:rsidRPr="008B264B">
              <w:rPr>
                <w:rFonts w:ascii="Times New Roman" w:eastAsia="Times New Roman" w:hAnsi="Times New Roman" w:cs="Times New Roman"/>
                <w:sz w:val="24"/>
                <w:szCs w:val="24"/>
                <w:lang/>
              </w:rPr>
              <w:br/>
              <w:t>2711 13 10 00</w:t>
            </w:r>
            <w:r w:rsidRPr="008B264B">
              <w:rPr>
                <w:rFonts w:ascii="Times New Roman" w:eastAsia="Times New Roman" w:hAnsi="Times New Roman" w:cs="Times New Roman"/>
                <w:sz w:val="24"/>
                <w:szCs w:val="24"/>
                <w:lang/>
              </w:rPr>
              <w:br/>
              <w:t>2711 13 30 00</w:t>
            </w:r>
            <w:r w:rsidRPr="008B264B">
              <w:rPr>
                <w:rFonts w:ascii="Times New Roman" w:eastAsia="Times New Roman" w:hAnsi="Times New Roman" w:cs="Times New Roman"/>
                <w:sz w:val="24"/>
                <w:szCs w:val="24"/>
                <w:lang/>
              </w:rPr>
              <w:br/>
              <w:t>2711 13 91 00</w:t>
            </w:r>
            <w:r w:rsidRPr="008B264B">
              <w:rPr>
                <w:rFonts w:ascii="Times New Roman" w:eastAsia="Times New Roman" w:hAnsi="Times New Roman" w:cs="Times New Roman"/>
                <w:sz w:val="24"/>
                <w:szCs w:val="24"/>
                <w:lang/>
              </w:rPr>
              <w:br/>
              <w:t>2711 13 97 00</w:t>
            </w:r>
            <w:r w:rsidRPr="008B264B">
              <w:rPr>
                <w:rFonts w:ascii="Times New Roman" w:eastAsia="Times New Roman" w:hAnsi="Times New Roman" w:cs="Times New Roman"/>
                <w:sz w:val="24"/>
                <w:szCs w:val="24"/>
                <w:lang/>
              </w:rPr>
              <w:br/>
              <w:t>2711 14 00 00</w:t>
            </w:r>
            <w:r w:rsidRPr="008B264B">
              <w:rPr>
                <w:rFonts w:ascii="Times New Roman" w:eastAsia="Times New Roman" w:hAnsi="Times New Roman" w:cs="Times New Roman"/>
                <w:sz w:val="24"/>
                <w:szCs w:val="24"/>
                <w:lang/>
              </w:rPr>
              <w:br/>
              <w:t>2711 19 00 00</w:t>
            </w:r>
          </w:p>
        </w:tc>
        <w:tc>
          <w:tcPr>
            <w:tcW w:w="3480" w:type="dxa"/>
            <w:tcBorders>
              <w:top w:val="nil"/>
              <w:left w:val="nil"/>
              <w:bottom w:val="nil"/>
              <w:right w:val="nil"/>
            </w:tcBorders>
            <w:shd w:val="clear" w:color="auto" w:fill="auto"/>
            <w:hideMark/>
          </w:tcPr>
          <w:p w14:paraId="033014B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Скраплений газ (пропан або суміш пропану з бутаном) та інші гази</w:t>
            </w:r>
          </w:p>
        </w:tc>
        <w:tc>
          <w:tcPr>
            <w:tcW w:w="1620" w:type="dxa"/>
            <w:tcBorders>
              <w:top w:val="nil"/>
              <w:left w:val="nil"/>
              <w:bottom w:val="nil"/>
              <w:right w:val="nil"/>
            </w:tcBorders>
            <w:shd w:val="clear" w:color="auto" w:fill="auto"/>
            <w:hideMark/>
          </w:tcPr>
          <w:p w14:paraId="6696FF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50" w:type="dxa"/>
            <w:gridSpan w:val="2"/>
            <w:tcBorders>
              <w:top w:val="nil"/>
              <w:left w:val="nil"/>
              <w:bottom w:val="nil"/>
              <w:right w:val="nil"/>
            </w:tcBorders>
            <w:shd w:val="clear" w:color="auto" w:fill="auto"/>
            <w:hideMark/>
          </w:tcPr>
          <w:p w14:paraId="49CE0D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w:t>
            </w:r>
          </w:p>
        </w:tc>
      </w:tr>
      <w:tr w:rsidR="008B264B" w:rsidRPr="008B264B" w14:paraId="5E528A4E" w14:textId="77777777" w:rsidTr="008B264B">
        <w:tc>
          <w:tcPr>
            <w:tcW w:w="2355" w:type="dxa"/>
            <w:tcBorders>
              <w:top w:val="nil"/>
              <w:left w:val="nil"/>
              <w:bottom w:val="nil"/>
              <w:right w:val="nil"/>
            </w:tcBorders>
            <w:shd w:val="clear" w:color="auto" w:fill="auto"/>
            <w:hideMark/>
          </w:tcPr>
          <w:p w14:paraId="32424F5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2707 10 10 00</w:t>
            </w:r>
            <w:r w:rsidRPr="008B264B">
              <w:rPr>
                <w:rFonts w:ascii="Times New Roman" w:eastAsia="Times New Roman" w:hAnsi="Times New Roman" w:cs="Times New Roman"/>
                <w:sz w:val="24"/>
                <w:szCs w:val="24"/>
                <w:lang/>
              </w:rPr>
              <w:br/>
              <w:t>2707 10 90 00</w:t>
            </w:r>
          </w:p>
        </w:tc>
        <w:tc>
          <w:tcPr>
            <w:tcW w:w="3480" w:type="dxa"/>
            <w:tcBorders>
              <w:top w:val="nil"/>
              <w:left w:val="nil"/>
              <w:bottom w:val="nil"/>
              <w:right w:val="nil"/>
            </w:tcBorders>
            <w:shd w:val="clear" w:color="auto" w:fill="auto"/>
            <w:hideMark/>
          </w:tcPr>
          <w:p w14:paraId="34EBA0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Бензол</w:t>
            </w:r>
          </w:p>
        </w:tc>
        <w:tc>
          <w:tcPr>
            <w:tcW w:w="1620" w:type="dxa"/>
            <w:tcBorders>
              <w:top w:val="nil"/>
              <w:left w:val="nil"/>
              <w:bottom w:val="nil"/>
              <w:right w:val="nil"/>
            </w:tcBorders>
            <w:shd w:val="clear" w:color="auto" w:fill="auto"/>
            <w:hideMark/>
          </w:tcPr>
          <w:p w14:paraId="4E7CA5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1EDB4E2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w:t>
            </w:r>
          </w:p>
        </w:tc>
      </w:tr>
      <w:tr w:rsidR="008B264B" w:rsidRPr="008B264B" w14:paraId="2F335528" w14:textId="77777777" w:rsidTr="008B264B">
        <w:tc>
          <w:tcPr>
            <w:tcW w:w="2355" w:type="dxa"/>
            <w:tcBorders>
              <w:top w:val="nil"/>
              <w:left w:val="nil"/>
              <w:bottom w:val="nil"/>
              <w:right w:val="nil"/>
            </w:tcBorders>
            <w:shd w:val="clear" w:color="auto" w:fill="auto"/>
            <w:hideMark/>
          </w:tcPr>
          <w:p w14:paraId="1F90C58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2707 20 10 00</w:t>
            </w:r>
            <w:r w:rsidRPr="008B264B">
              <w:rPr>
                <w:rFonts w:ascii="Times New Roman" w:eastAsia="Times New Roman" w:hAnsi="Times New Roman" w:cs="Times New Roman"/>
                <w:sz w:val="24"/>
                <w:szCs w:val="24"/>
                <w:lang/>
              </w:rPr>
              <w:br/>
              <w:t>2707 20 90 00</w:t>
            </w:r>
          </w:p>
        </w:tc>
        <w:tc>
          <w:tcPr>
            <w:tcW w:w="3480" w:type="dxa"/>
            <w:tcBorders>
              <w:top w:val="nil"/>
              <w:left w:val="nil"/>
              <w:bottom w:val="nil"/>
              <w:right w:val="nil"/>
            </w:tcBorders>
            <w:shd w:val="clear" w:color="auto" w:fill="auto"/>
            <w:hideMark/>
          </w:tcPr>
          <w:p w14:paraId="0FF5A05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Толуол</w:t>
            </w:r>
          </w:p>
        </w:tc>
        <w:tc>
          <w:tcPr>
            <w:tcW w:w="1620" w:type="dxa"/>
            <w:tcBorders>
              <w:top w:val="nil"/>
              <w:left w:val="nil"/>
              <w:bottom w:val="nil"/>
              <w:right w:val="nil"/>
            </w:tcBorders>
            <w:shd w:val="clear" w:color="auto" w:fill="auto"/>
            <w:hideMark/>
          </w:tcPr>
          <w:p w14:paraId="5D13C44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5A5CA5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w:t>
            </w:r>
          </w:p>
        </w:tc>
      </w:tr>
      <w:tr w:rsidR="008B264B" w:rsidRPr="008B264B" w14:paraId="62E01769" w14:textId="77777777" w:rsidTr="008B264B">
        <w:tc>
          <w:tcPr>
            <w:tcW w:w="2355" w:type="dxa"/>
            <w:tcBorders>
              <w:top w:val="nil"/>
              <w:left w:val="nil"/>
              <w:bottom w:val="nil"/>
              <w:right w:val="nil"/>
            </w:tcBorders>
            <w:shd w:val="clear" w:color="auto" w:fill="auto"/>
            <w:hideMark/>
          </w:tcPr>
          <w:p w14:paraId="5F56BD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2707 30 10 00</w:t>
            </w:r>
            <w:r w:rsidRPr="008B264B">
              <w:rPr>
                <w:rFonts w:ascii="Times New Roman" w:eastAsia="Times New Roman" w:hAnsi="Times New Roman" w:cs="Times New Roman"/>
                <w:sz w:val="24"/>
                <w:szCs w:val="24"/>
                <w:lang/>
              </w:rPr>
              <w:br/>
              <w:t>2707 30 90 00</w:t>
            </w:r>
          </w:p>
        </w:tc>
        <w:tc>
          <w:tcPr>
            <w:tcW w:w="3480" w:type="dxa"/>
            <w:tcBorders>
              <w:top w:val="nil"/>
              <w:left w:val="nil"/>
              <w:bottom w:val="nil"/>
              <w:right w:val="nil"/>
            </w:tcBorders>
            <w:shd w:val="clear" w:color="auto" w:fill="auto"/>
            <w:hideMark/>
          </w:tcPr>
          <w:p w14:paraId="1D9F1CD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Ксилол</w:t>
            </w:r>
          </w:p>
        </w:tc>
        <w:tc>
          <w:tcPr>
            <w:tcW w:w="1620" w:type="dxa"/>
            <w:tcBorders>
              <w:top w:val="nil"/>
              <w:left w:val="nil"/>
              <w:bottom w:val="nil"/>
              <w:right w:val="nil"/>
            </w:tcBorders>
            <w:shd w:val="clear" w:color="auto" w:fill="auto"/>
            <w:hideMark/>
          </w:tcPr>
          <w:p w14:paraId="7C2280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52996C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w:t>
            </w:r>
          </w:p>
        </w:tc>
      </w:tr>
      <w:tr w:rsidR="008B264B" w:rsidRPr="008B264B" w14:paraId="045A6602" w14:textId="77777777" w:rsidTr="008B264B">
        <w:tc>
          <w:tcPr>
            <w:tcW w:w="2355" w:type="dxa"/>
            <w:tcBorders>
              <w:top w:val="nil"/>
              <w:left w:val="nil"/>
              <w:bottom w:val="nil"/>
              <w:right w:val="nil"/>
            </w:tcBorders>
            <w:shd w:val="clear" w:color="auto" w:fill="auto"/>
            <w:hideMark/>
          </w:tcPr>
          <w:p w14:paraId="49EF043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2901 10 00 90</w:t>
            </w:r>
          </w:p>
        </w:tc>
        <w:tc>
          <w:tcPr>
            <w:tcW w:w="3480" w:type="dxa"/>
            <w:tcBorders>
              <w:top w:val="nil"/>
              <w:left w:val="nil"/>
              <w:bottom w:val="nil"/>
              <w:right w:val="nil"/>
            </w:tcBorders>
            <w:shd w:val="clear" w:color="auto" w:fill="auto"/>
            <w:hideMark/>
          </w:tcPr>
          <w:p w14:paraId="718283F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Вуглеводні ациклічні насичені (крім бутану, ізобутану)</w:t>
            </w:r>
          </w:p>
        </w:tc>
        <w:tc>
          <w:tcPr>
            <w:tcW w:w="1620" w:type="dxa"/>
            <w:tcBorders>
              <w:top w:val="nil"/>
              <w:left w:val="nil"/>
              <w:bottom w:val="nil"/>
              <w:right w:val="nil"/>
            </w:tcBorders>
            <w:shd w:val="clear" w:color="auto" w:fill="auto"/>
            <w:hideMark/>
          </w:tcPr>
          <w:p w14:paraId="370E1C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336D54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50856636" w14:textId="77777777" w:rsidTr="008B264B">
        <w:tc>
          <w:tcPr>
            <w:tcW w:w="2355" w:type="dxa"/>
            <w:tcBorders>
              <w:top w:val="nil"/>
              <w:left w:val="nil"/>
              <w:bottom w:val="nil"/>
              <w:right w:val="nil"/>
            </w:tcBorders>
            <w:shd w:val="clear" w:color="auto" w:fill="auto"/>
            <w:hideMark/>
          </w:tcPr>
          <w:p w14:paraId="1B081D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2901 10 00 10</w:t>
            </w:r>
          </w:p>
        </w:tc>
        <w:tc>
          <w:tcPr>
            <w:tcW w:w="3480" w:type="dxa"/>
            <w:tcBorders>
              <w:top w:val="nil"/>
              <w:left w:val="nil"/>
              <w:bottom w:val="nil"/>
              <w:right w:val="nil"/>
            </w:tcBorders>
            <w:shd w:val="clear" w:color="auto" w:fill="auto"/>
            <w:hideMark/>
          </w:tcPr>
          <w:p w14:paraId="214ED8F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Бутан, ізобутан</w:t>
            </w:r>
          </w:p>
        </w:tc>
        <w:tc>
          <w:tcPr>
            <w:tcW w:w="1620" w:type="dxa"/>
            <w:tcBorders>
              <w:top w:val="nil"/>
              <w:left w:val="nil"/>
              <w:bottom w:val="nil"/>
              <w:right w:val="nil"/>
            </w:tcBorders>
            <w:shd w:val="clear" w:color="auto" w:fill="auto"/>
            <w:hideMark/>
          </w:tcPr>
          <w:p w14:paraId="68E5FE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5A502A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w:t>
            </w:r>
          </w:p>
        </w:tc>
      </w:tr>
      <w:tr w:rsidR="008B264B" w:rsidRPr="008B264B" w14:paraId="3CB84A33" w14:textId="77777777" w:rsidTr="008B264B">
        <w:tc>
          <w:tcPr>
            <w:tcW w:w="2355" w:type="dxa"/>
            <w:tcBorders>
              <w:top w:val="nil"/>
              <w:left w:val="nil"/>
              <w:bottom w:val="nil"/>
              <w:right w:val="nil"/>
            </w:tcBorders>
            <w:shd w:val="clear" w:color="auto" w:fill="auto"/>
            <w:hideMark/>
          </w:tcPr>
          <w:p w14:paraId="28AF0A9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2905 11 00 00</w:t>
            </w:r>
          </w:p>
        </w:tc>
        <w:tc>
          <w:tcPr>
            <w:tcW w:w="3480" w:type="dxa"/>
            <w:tcBorders>
              <w:top w:val="nil"/>
              <w:left w:val="nil"/>
              <w:bottom w:val="nil"/>
              <w:right w:val="nil"/>
            </w:tcBorders>
            <w:shd w:val="clear" w:color="auto" w:fill="auto"/>
            <w:hideMark/>
          </w:tcPr>
          <w:p w14:paraId="5E3749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Метанол технічний (метиловий спирт)</w:t>
            </w:r>
          </w:p>
        </w:tc>
        <w:tc>
          <w:tcPr>
            <w:tcW w:w="1620" w:type="dxa"/>
            <w:tcBorders>
              <w:top w:val="nil"/>
              <w:left w:val="nil"/>
              <w:bottom w:val="nil"/>
              <w:right w:val="nil"/>
            </w:tcBorders>
            <w:shd w:val="clear" w:color="auto" w:fill="auto"/>
            <w:hideMark/>
          </w:tcPr>
          <w:p w14:paraId="0A1B22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4E054F1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w:t>
            </w:r>
          </w:p>
        </w:tc>
      </w:tr>
      <w:tr w:rsidR="008B264B" w:rsidRPr="008B264B" w14:paraId="70F66B82" w14:textId="77777777" w:rsidTr="008B264B">
        <w:tc>
          <w:tcPr>
            <w:tcW w:w="2355" w:type="dxa"/>
            <w:tcBorders>
              <w:top w:val="nil"/>
              <w:left w:val="nil"/>
              <w:bottom w:val="nil"/>
              <w:right w:val="nil"/>
            </w:tcBorders>
            <w:shd w:val="clear" w:color="auto" w:fill="auto"/>
            <w:hideMark/>
          </w:tcPr>
          <w:p w14:paraId="0503516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2909 19 10 00</w:t>
            </w:r>
            <w:r w:rsidRPr="008B264B">
              <w:rPr>
                <w:rFonts w:ascii="Times New Roman" w:eastAsia="Times New Roman" w:hAnsi="Times New Roman" w:cs="Times New Roman"/>
                <w:sz w:val="24"/>
                <w:szCs w:val="24"/>
                <w:lang/>
              </w:rPr>
              <w:br/>
              <w:t>2909 19 90 10</w:t>
            </w:r>
            <w:r w:rsidRPr="008B264B">
              <w:rPr>
                <w:rFonts w:ascii="Times New Roman" w:eastAsia="Times New Roman" w:hAnsi="Times New Roman" w:cs="Times New Roman"/>
                <w:sz w:val="24"/>
                <w:szCs w:val="24"/>
                <w:lang/>
              </w:rPr>
              <w:br/>
              <w:t>2909 19 90 20</w:t>
            </w:r>
            <w:r w:rsidRPr="008B264B">
              <w:rPr>
                <w:rFonts w:ascii="Times New Roman" w:eastAsia="Times New Roman" w:hAnsi="Times New Roman" w:cs="Times New Roman"/>
                <w:sz w:val="24"/>
                <w:szCs w:val="24"/>
                <w:lang/>
              </w:rPr>
              <w:br/>
              <w:t>2909 19 90 90</w:t>
            </w:r>
          </w:p>
        </w:tc>
        <w:tc>
          <w:tcPr>
            <w:tcW w:w="3480" w:type="dxa"/>
            <w:tcBorders>
              <w:top w:val="nil"/>
              <w:left w:val="nil"/>
              <w:bottom w:val="nil"/>
              <w:right w:val="nil"/>
            </w:tcBorders>
            <w:shd w:val="clear" w:color="auto" w:fill="auto"/>
            <w:hideMark/>
          </w:tcPr>
          <w:p w14:paraId="6B55E1A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ефіри прості, ефіроспирти, ефірофеноли, ефіроспиртофеноли, пероксиди спиртів, пероксиди простих ефірів, пероксиди кетонів (визначеного або невизначеного хімічного складу) та їх галогеновані, сульфовані, нітровані або нітрозовані похідні, крім диетилового ефіру (код згідно з </w:t>
            </w:r>
            <w:hyperlink r:id="rId3785" w:anchor="n7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sz w:val="24"/>
                <w:szCs w:val="24"/>
                <w:lang/>
              </w:rPr>
              <w:t> 2909 11 00 00)</w:t>
            </w:r>
            <w:r w:rsidRPr="008B264B">
              <w:rPr>
                <w:rFonts w:ascii="Times New Roman" w:eastAsia="Times New Roman" w:hAnsi="Times New Roman" w:cs="Times New Roman"/>
                <w:sz w:val="24"/>
                <w:szCs w:val="24"/>
                <w:lang/>
              </w:rPr>
              <w:br/>
              <w:t>Антидетонатори, антиоксиданти, інгібітори смолоутворення, загусники, антикорозійні препарати та інші готові присадки, добавки для нафтопродуктів (включаючи бензин) або для інших рідин, які використовують з тією самою метою, що і нафтопродукти:</w:t>
            </w:r>
          </w:p>
        </w:tc>
        <w:tc>
          <w:tcPr>
            <w:tcW w:w="1620" w:type="dxa"/>
            <w:tcBorders>
              <w:top w:val="nil"/>
              <w:left w:val="nil"/>
              <w:bottom w:val="nil"/>
              <w:right w:val="nil"/>
            </w:tcBorders>
            <w:shd w:val="clear" w:color="auto" w:fill="auto"/>
            <w:hideMark/>
          </w:tcPr>
          <w:p w14:paraId="58BFE2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5462E4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752F83EC" w14:textId="77777777" w:rsidTr="008B264B">
        <w:tc>
          <w:tcPr>
            <w:tcW w:w="2355" w:type="dxa"/>
            <w:tcBorders>
              <w:top w:val="nil"/>
              <w:left w:val="nil"/>
              <w:bottom w:val="nil"/>
              <w:right w:val="nil"/>
            </w:tcBorders>
            <w:shd w:val="clear" w:color="auto" w:fill="auto"/>
            <w:hideMark/>
          </w:tcPr>
          <w:p w14:paraId="388758A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3811 11 10 00</w:t>
            </w:r>
            <w:r w:rsidRPr="008B264B">
              <w:rPr>
                <w:rFonts w:ascii="Times New Roman" w:eastAsia="Times New Roman" w:hAnsi="Times New Roman" w:cs="Times New Roman"/>
                <w:sz w:val="24"/>
                <w:szCs w:val="24"/>
                <w:lang/>
              </w:rPr>
              <w:br/>
              <w:t>3811 11 90 00</w:t>
            </w:r>
            <w:r w:rsidRPr="008B264B">
              <w:rPr>
                <w:rFonts w:ascii="Times New Roman" w:eastAsia="Times New Roman" w:hAnsi="Times New Roman" w:cs="Times New Roman"/>
                <w:sz w:val="24"/>
                <w:szCs w:val="24"/>
                <w:lang/>
              </w:rPr>
              <w:br/>
              <w:t>3811 19 00 00</w:t>
            </w:r>
          </w:p>
        </w:tc>
        <w:tc>
          <w:tcPr>
            <w:tcW w:w="3480" w:type="dxa"/>
            <w:tcBorders>
              <w:top w:val="nil"/>
              <w:left w:val="nil"/>
              <w:bottom w:val="nil"/>
              <w:right w:val="nil"/>
            </w:tcBorders>
            <w:shd w:val="clear" w:color="auto" w:fill="auto"/>
            <w:hideMark/>
          </w:tcPr>
          <w:p w14:paraId="3B6002D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антидетонатори</w:t>
            </w:r>
          </w:p>
        </w:tc>
        <w:tc>
          <w:tcPr>
            <w:tcW w:w="1620" w:type="dxa"/>
            <w:tcBorders>
              <w:top w:val="nil"/>
              <w:left w:val="nil"/>
              <w:bottom w:val="nil"/>
              <w:right w:val="nil"/>
            </w:tcBorders>
            <w:shd w:val="clear" w:color="auto" w:fill="auto"/>
            <w:hideMark/>
          </w:tcPr>
          <w:p w14:paraId="6D58B5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літрів</w:t>
            </w:r>
          </w:p>
        </w:tc>
        <w:tc>
          <w:tcPr>
            <w:tcW w:w="1950" w:type="dxa"/>
            <w:gridSpan w:val="2"/>
            <w:tcBorders>
              <w:top w:val="nil"/>
              <w:left w:val="nil"/>
              <w:bottom w:val="nil"/>
              <w:right w:val="nil"/>
            </w:tcBorders>
            <w:shd w:val="clear" w:color="auto" w:fill="auto"/>
            <w:hideMark/>
          </w:tcPr>
          <w:p w14:paraId="7F40D4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213,50</w:t>
            </w:r>
          </w:p>
        </w:tc>
      </w:tr>
      <w:tr w:rsidR="008B264B" w:rsidRPr="008B264B" w14:paraId="6735F153" w14:textId="77777777" w:rsidTr="008B264B">
        <w:tc>
          <w:tcPr>
            <w:tcW w:w="2355" w:type="dxa"/>
            <w:tcBorders>
              <w:top w:val="nil"/>
              <w:left w:val="nil"/>
              <w:bottom w:val="nil"/>
              <w:right w:val="nil"/>
            </w:tcBorders>
            <w:shd w:val="clear" w:color="auto" w:fill="auto"/>
            <w:hideMark/>
          </w:tcPr>
          <w:p w14:paraId="3AE4E66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3811 90 00 00</w:t>
            </w:r>
          </w:p>
        </w:tc>
        <w:tc>
          <w:tcPr>
            <w:tcW w:w="3480" w:type="dxa"/>
            <w:tcBorders>
              <w:top w:val="nil"/>
              <w:left w:val="nil"/>
              <w:bottom w:val="nil"/>
              <w:right w:val="nil"/>
            </w:tcBorders>
            <w:shd w:val="clear" w:color="auto" w:fill="auto"/>
            <w:hideMark/>
          </w:tcPr>
          <w:p w14:paraId="7A67C60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w:t>
            </w:r>
          </w:p>
        </w:tc>
        <w:tc>
          <w:tcPr>
            <w:tcW w:w="1620" w:type="dxa"/>
            <w:tcBorders>
              <w:top w:val="nil"/>
              <w:left w:val="nil"/>
              <w:bottom w:val="nil"/>
              <w:right w:val="nil"/>
            </w:tcBorders>
            <w:shd w:val="clear" w:color="auto" w:fill="auto"/>
            <w:hideMark/>
          </w:tcPr>
          <w:p w14:paraId="7A24AE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6C4326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w:t>
            </w:r>
          </w:p>
        </w:tc>
      </w:tr>
      <w:tr w:rsidR="008B264B" w:rsidRPr="008B264B" w14:paraId="467B79B5" w14:textId="77777777" w:rsidTr="008B264B">
        <w:tc>
          <w:tcPr>
            <w:tcW w:w="2355" w:type="dxa"/>
            <w:tcBorders>
              <w:top w:val="nil"/>
              <w:left w:val="nil"/>
              <w:bottom w:val="nil"/>
              <w:right w:val="nil"/>
            </w:tcBorders>
            <w:shd w:val="clear" w:color="auto" w:fill="auto"/>
            <w:hideMark/>
          </w:tcPr>
          <w:p w14:paraId="1B77FAA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3826 00 10 00</w:t>
            </w:r>
            <w:r w:rsidRPr="008B264B">
              <w:rPr>
                <w:rFonts w:ascii="Times New Roman" w:eastAsia="Times New Roman" w:hAnsi="Times New Roman" w:cs="Times New Roman"/>
                <w:sz w:val="24"/>
                <w:szCs w:val="24"/>
                <w:lang/>
              </w:rPr>
              <w:br/>
              <w:t>3826 00 90 00</w:t>
            </w:r>
          </w:p>
        </w:tc>
        <w:tc>
          <w:tcPr>
            <w:tcW w:w="3480" w:type="dxa"/>
            <w:tcBorders>
              <w:top w:val="nil"/>
              <w:left w:val="nil"/>
              <w:bottom w:val="nil"/>
              <w:right w:val="nil"/>
            </w:tcBorders>
            <w:shd w:val="clear" w:color="auto" w:fill="auto"/>
            <w:hideMark/>
          </w:tcPr>
          <w:p w14:paraId="64D7E26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Біодизель та його суміші (що не містять або містять менш як 70 мас. % нафти або нафтопродуктів, одержаних з бітумінозних порід) на основі моноалкільних складних ефірів жирних кислот</w:t>
            </w:r>
          </w:p>
        </w:tc>
        <w:tc>
          <w:tcPr>
            <w:tcW w:w="1620" w:type="dxa"/>
            <w:tcBorders>
              <w:top w:val="nil"/>
              <w:left w:val="nil"/>
              <w:bottom w:val="nil"/>
              <w:right w:val="nil"/>
            </w:tcBorders>
            <w:shd w:val="clear" w:color="auto" w:fill="auto"/>
            <w:hideMark/>
          </w:tcPr>
          <w:p w14:paraId="4914C4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3CB9FF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106</w:t>
            </w:r>
          </w:p>
        </w:tc>
      </w:tr>
      <w:tr w:rsidR="008B264B" w:rsidRPr="008B264B" w14:paraId="756350FE" w14:textId="77777777" w:rsidTr="008B264B">
        <w:tc>
          <w:tcPr>
            <w:tcW w:w="2355" w:type="dxa"/>
            <w:tcBorders>
              <w:top w:val="nil"/>
              <w:left w:val="nil"/>
              <w:bottom w:val="nil"/>
              <w:right w:val="nil"/>
            </w:tcBorders>
            <w:shd w:val="clear" w:color="auto" w:fill="auto"/>
            <w:hideMark/>
          </w:tcPr>
          <w:p w14:paraId="09F8ED9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3824 90 97 10</w:t>
            </w:r>
          </w:p>
        </w:tc>
        <w:tc>
          <w:tcPr>
            <w:tcW w:w="3480" w:type="dxa"/>
            <w:tcBorders>
              <w:top w:val="nil"/>
              <w:left w:val="nil"/>
              <w:bottom w:val="nil"/>
              <w:right w:val="nil"/>
            </w:tcBorders>
            <w:shd w:val="clear" w:color="auto" w:fill="auto"/>
            <w:hideMark/>
          </w:tcPr>
          <w:p w14:paraId="2DC0B09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моторне альтернативне</w:t>
            </w:r>
          </w:p>
        </w:tc>
        <w:tc>
          <w:tcPr>
            <w:tcW w:w="1620" w:type="dxa"/>
            <w:tcBorders>
              <w:top w:val="nil"/>
              <w:left w:val="nil"/>
              <w:bottom w:val="nil"/>
              <w:right w:val="nil"/>
            </w:tcBorders>
            <w:shd w:val="clear" w:color="auto" w:fill="auto"/>
            <w:hideMark/>
          </w:tcPr>
          <w:p w14:paraId="5442B9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950" w:type="dxa"/>
            <w:gridSpan w:val="2"/>
            <w:tcBorders>
              <w:top w:val="nil"/>
              <w:left w:val="nil"/>
              <w:bottom w:val="nil"/>
              <w:right w:val="nil"/>
            </w:tcBorders>
            <w:shd w:val="clear" w:color="auto" w:fill="auto"/>
            <w:hideMark/>
          </w:tcPr>
          <w:p w14:paraId="1ED891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162</w:t>
            </w:r>
          </w:p>
        </w:tc>
      </w:tr>
    </w:tbl>
    <w:p w14:paraId="7E2711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1" w:name="n15335"/>
      <w:bookmarkEnd w:id="6781"/>
      <w:r w:rsidRPr="008B264B">
        <w:rPr>
          <w:rFonts w:ascii="Times New Roman" w:eastAsia="Times New Roman" w:hAnsi="Times New Roman" w:cs="Times New Roman"/>
          <w:color w:val="000000"/>
          <w:sz w:val="24"/>
          <w:szCs w:val="24"/>
          <w:lang/>
        </w:rPr>
        <w:t>* До ставки податку застосовується підвищувальний коефіцієнт 10 при:</w:t>
      </w:r>
    </w:p>
    <w:p w14:paraId="3BE813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2" w:name="n15336"/>
      <w:bookmarkEnd w:id="6782"/>
      <w:r w:rsidRPr="008B264B">
        <w:rPr>
          <w:rFonts w:ascii="Times New Roman" w:eastAsia="Times New Roman" w:hAnsi="Times New Roman" w:cs="Times New Roman"/>
          <w:color w:val="000000"/>
          <w:sz w:val="24"/>
          <w:szCs w:val="24"/>
          <w:lang/>
        </w:rPr>
        <w:t>ввезенні на митну територію України пального;</w:t>
      </w:r>
    </w:p>
    <w:p w14:paraId="5133BF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3" w:name="n15337"/>
      <w:bookmarkEnd w:id="6783"/>
      <w:r w:rsidRPr="008B264B">
        <w:rPr>
          <w:rFonts w:ascii="Times New Roman" w:eastAsia="Times New Roman" w:hAnsi="Times New Roman" w:cs="Times New Roman"/>
          <w:color w:val="000000"/>
          <w:sz w:val="24"/>
          <w:szCs w:val="24"/>
          <w:lang/>
        </w:rPr>
        <w:t>реалізації виробником виробленого в Україні пального.</w:t>
      </w:r>
    </w:p>
    <w:p w14:paraId="4952B0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4" w:name="n15338"/>
      <w:bookmarkEnd w:id="6784"/>
      <w:r w:rsidRPr="008B264B">
        <w:rPr>
          <w:rFonts w:ascii="Times New Roman" w:eastAsia="Times New Roman" w:hAnsi="Times New Roman" w:cs="Times New Roman"/>
          <w:color w:val="000000"/>
          <w:sz w:val="24"/>
          <w:szCs w:val="24"/>
          <w:lang/>
        </w:rPr>
        <w:t>Підвищувальний коефіцієнт 10 не застосовується для суб’єктів господарювання, які відповідно до </w:t>
      </w:r>
      <w:hyperlink r:id="rId3786" w:anchor="n15340" w:history="1">
        <w:r w:rsidRPr="008B264B">
          <w:rPr>
            <w:rFonts w:ascii="Times New Roman" w:eastAsia="Times New Roman" w:hAnsi="Times New Roman" w:cs="Times New Roman"/>
            <w:color w:val="0000FF"/>
            <w:sz w:val="24"/>
            <w:szCs w:val="24"/>
            <w:u w:val="single"/>
            <w:lang/>
          </w:rPr>
          <w:t>пункту 229.8</w:t>
        </w:r>
      </w:hyperlink>
      <w:r w:rsidRPr="008B264B">
        <w:rPr>
          <w:rFonts w:ascii="Times New Roman" w:eastAsia="Times New Roman" w:hAnsi="Times New Roman" w:cs="Times New Roman"/>
          <w:color w:val="000000"/>
          <w:sz w:val="24"/>
          <w:szCs w:val="24"/>
          <w:lang/>
        </w:rPr>
        <w:t> статті 229 цього Кодексу видали податковий вексель.</w:t>
      </w:r>
    </w:p>
    <w:p w14:paraId="04466C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5" w:name="n15944"/>
      <w:bookmarkEnd w:id="6785"/>
      <w:r w:rsidRPr="008B264B">
        <w:rPr>
          <w:rFonts w:ascii="Times New Roman" w:eastAsia="Times New Roman" w:hAnsi="Times New Roman" w:cs="Times New Roman"/>
          <w:i/>
          <w:iCs/>
          <w:color w:val="000000"/>
          <w:sz w:val="24"/>
          <w:szCs w:val="24"/>
          <w:lang/>
        </w:rPr>
        <w:t>{Абзац четвертий примітки до підпункту 215.3.4 пункту 215.3 в редакції Закону </w:t>
      </w:r>
      <w:hyperlink r:id="rId3787" w:anchor="n7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CC911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6" w:name="n15946"/>
      <w:bookmarkEnd w:id="6786"/>
      <w:r w:rsidRPr="008B264B">
        <w:rPr>
          <w:rFonts w:ascii="Times New Roman" w:eastAsia="Times New Roman" w:hAnsi="Times New Roman" w:cs="Times New Roman"/>
          <w:color w:val="000000"/>
          <w:sz w:val="24"/>
          <w:szCs w:val="24"/>
          <w:lang/>
        </w:rPr>
        <w:t>Товари (продукція), що використовуються як пальне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 коди яких згідно з УКТ ЗЕД не зазначені у цьому підпункті (крім газу природного у газоподібному стані за кодом 2711 21 00 00 згідно з </w:t>
      </w:r>
      <w:hyperlink r:id="rId378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оподатковуються за ставкою податку 213,5 євро за 1000 літрів.</w:t>
      </w:r>
    </w:p>
    <w:p w14:paraId="68B7D0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7" w:name="n15945"/>
      <w:bookmarkEnd w:id="6787"/>
      <w:r w:rsidRPr="008B264B">
        <w:rPr>
          <w:rFonts w:ascii="Times New Roman" w:eastAsia="Times New Roman" w:hAnsi="Times New Roman" w:cs="Times New Roman"/>
          <w:i/>
          <w:iCs/>
          <w:color w:val="000000"/>
          <w:sz w:val="24"/>
          <w:szCs w:val="24"/>
          <w:lang/>
        </w:rPr>
        <w:t>{Абзац примітки до підпункту 215.3.4 пункту 215.3 в редакції Закону </w:t>
      </w:r>
      <w:hyperlink r:id="rId3789" w:anchor="n7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EC575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8" w:name="n15372"/>
      <w:bookmarkEnd w:id="6788"/>
      <w:r w:rsidRPr="008B264B">
        <w:rPr>
          <w:rFonts w:ascii="Times New Roman" w:eastAsia="Times New Roman" w:hAnsi="Times New Roman" w:cs="Times New Roman"/>
          <w:i/>
          <w:iCs/>
          <w:color w:val="000000"/>
          <w:sz w:val="24"/>
          <w:szCs w:val="24"/>
          <w:lang/>
        </w:rPr>
        <w:lastRenderedPageBreak/>
        <w:t>{Пункт 215.3.4 статті 215 доповнено приміткою згідно із Законом </w:t>
      </w:r>
      <w:hyperlink r:id="rId3790" w:anchor="n29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83569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89" w:name="n5508"/>
      <w:bookmarkEnd w:id="6789"/>
      <w:r w:rsidRPr="008B264B">
        <w:rPr>
          <w:rFonts w:ascii="Times New Roman" w:eastAsia="Times New Roman" w:hAnsi="Times New Roman" w:cs="Times New Roman"/>
          <w:i/>
          <w:iCs/>
          <w:color w:val="000000"/>
          <w:sz w:val="24"/>
          <w:szCs w:val="24"/>
          <w:lang/>
        </w:rPr>
        <w:t>{Підпункт 215.3.4 пункту 215.3 статті 215 в редакції Закону </w:t>
      </w:r>
      <w:hyperlink r:id="rId3791" w:tgtFrame="_blank" w:history="1">
        <w:r w:rsidRPr="008B264B">
          <w:rPr>
            <w:rFonts w:ascii="Times New Roman" w:eastAsia="Times New Roman" w:hAnsi="Times New Roman" w:cs="Times New Roman"/>
            <w:i/>
            <w:iCs/>
            <w:color w:val="0000FF"/>
            <w:sz w:val="24"/>
            <w:szCs w:val="24"/>
            <w:u w:val="single"/>
            <w:lang/>
          </w:rPr>
          <w:t>№ 5471-VI від 06.11.2012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79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3793"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 в редакції Законів </w:t>
      </w:r>
      <w:hyperlink r:id="rId3794" w:anchor="n73"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3795" w:anchor="n8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796" w:anchor="n37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3797" w:anchor="n3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798" w:anchor="n28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41B3E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0" w:name="n5509"/>
      <w:bookmarkEnd w:id="6790"/>
      <w:r w:rsidRPr="008B264B">
        <w:rPr>
          <w:rFonts w:ascii="Times New Roman" w:eastAsia="Times New Roman" w:hAnsi="Times New Roman" w:cs="Times New Roman"/>
          <w:color w:val="000000"/>
          <w:sz w:val="24"/>
          <w:szCs w:val="24"/>
          <w:lang/>
        </w:rPr>
        <w:t>215.3.5. Моторні транспортні засоби, призначені для перевезення 10 осіб i більше, включаючи водія (крім моторних транспортних засобів, зазначених у товарній позиції 8702 90 90 згідно з </w:t>
      </w:r>
      <w:hyperlink r:id="rId3799"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067"/>
        <w:gridCol w:w="4738"/>
        <w:gridCol w:w="3101"/>
      </w:tblGrid>
      <w:tr w:rsidR="008B264B" w:rsidRPr="008B264B" w14:paraId="7513D85A" w14:textId="77777777" w:rsidTr="008B264B">
        <w:trPr>
          <w:trHeight w:val="570"/>
        </w:trPr>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444589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791" w:name="n11386"/>
            <w:bookmarkEnd w:id="6791"/>
            <w:r w:rsidRPr="008B264B">
              <w:rPr>
                <w:rFonts w:ascii="Times New Roman" w:eastAsia="Times New Roman" w:hAnsi="Times New Roman" w:cs="Times New Roman"/>
                <w:sz w:val="24"/>
                <w:szCs w:val="24"/>
                <w:lang/>
              </w:rPr>
              <w:t>Код товару (продукції) згідно з </w:t>
            </w:r>
            <w:hyperlink r:id="rId3800" w:anchor="n339" w:tgtFrame="_blank" w:history="1">
              <w:r w:rsidRPr="008B264B">
                <w:rPr>
                  <w:rFonts w:ascii="Times New Roman" w:eastAsia="Times New Roman" w:hAnsi="Times New Roman" w:cs="Times New Roman"/>
                  <w:color w:val="0000FF"/>
                  <w:sz w:val="24"/>
                  <w:szCs w:val="24"/>
                  <w:u w:val="single"/>
                  <w:lang/>
                </w:rPr>
                <w:t>УКТ ЗЕД</w:t>
              </w:r>
            </w:hyperlink>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3AC562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416C5C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у твердій сумі з одиниці реалізованого товару (продукції) (специфічні)</w:t>
            </w:r>
          </w:p>
        </w:tc>
      </w:tr>
      <w:tr w:rsidR="008B264B" w:rsidRPr="008B264B" w14:paraId="506D0A40"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155FE40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1ABC2A7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Моторні транспортні засоби, призначені для перевезення 10 осіб i більше, включаючи водія:</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3FB651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DC4D9E2"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022F1ED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64BF76B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з двигуном внутрішнього згоряння із запалюванням від стиснення (дизелем або напівдизелем):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203A75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2F69465"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03E7B2B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6ABF8A1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робочим об’ємом циліндрів двигуна понад 2 500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51227B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3DE4D92"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38A7A8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8702 10 11</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12FCFC5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нові:</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0E692C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7947618"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3252D70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8702 10 11 10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2F0FB3C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циліндрів двигуна не більш як 5 000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086FE4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tc>
      </w:tr>
      <w:tr w:rsidR="008B264B" w:rsidRPr="008B264B" w14:paraId="463DBC1C"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258340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8702 10 11 30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374C4B6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циліндрів двигуна понад 5 000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04F671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p w14:paraId="7D732A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E4B17E7"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49665C8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8702 10 19</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76F7B50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що використовувалися:</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17E7AF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F4BB18F"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11E0B82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8702 10 19 10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7505BC0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циліндрів двигуна не більш як 5 000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780C6A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tc>
      </w:tr>
      <w:tr w:rsidR="008B264B" w:rsidRPr="008B264B" w14:paraId="1F3C88A3"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65E784E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8702 10 19 90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7DE276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циліндрів двигуна понад 5 000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73E7D0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0,007 євро за 1 куб. см об’єму циліндрів двигуна</w:t>
            </w:r>
          </w:p>
        </w:tc>
      </w:tr>
      <w:tr w:rsidR="008B264B" w:rsidRPr="008B264B" w14:paraId="4CCBABD9"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7052935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2AEAED9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робочим об’ємом циліндрів двигуна не більш як 2 500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11AA49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D15EE14"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3C8C949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8702 10 91 00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782D99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нові</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0869C7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tc>
      </w:tr>
      <w:tr w:rsidR="008B264B" w:rsidRPr="008B264B" w14:paraId="4D9C1A5A"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2D5B6A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8702 10 99 00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2721008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що використовувалися</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381D0D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0,007 євро за 1 куб. см об’єму циліндрів двигуна</w:t>
            </w:r>
          </w:p>
        </w:tc>
      </w:tr>
      <w:tr w:rsidR="008B264B" w:rsidRPr="008B264B" w14:paraId="68117A09"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78ABDEA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8702 90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7488FB4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iншi:</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461D2B4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68151BD"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01839D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31310B5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двигуном внутрішнього згоряння з iскровим запалюванням: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418C82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38CDC42"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6A29883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565A930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з робочим об’ємом цилiндрів двигуна понад 2800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6BC805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C28D5A2"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7DEACA0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8702 90 11 00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3355911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новi</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74AAEB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tc>
      </w:tr>
      <w:tr w:rsidR="008B264B" w:rsidRPr="008B264B" w14:paraId="51E7128C"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259884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8702 90 19 00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671030D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що використовувалися</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732E4A5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0,007 євро за 1 куб. см об’єму циліндрів двигуна</w:t>
            </w:r>
          </w:p>
        </w:tc>
      </w:tr>
      <w:tr w:rsidR="008B264B" w:rsidRPr="008B264B" w14:paraId="12EE0D78"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28BF530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4EE05EE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з робочим об’ємом цилiндрів двигуна не бiльш як 2800 куб. см:</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10A487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6CECF17"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5187664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8702 90 31 00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526B4F5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новi</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79CE9F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0,003 євро за 1 куб. см об’єму циліндрів двигуна</w:t>
            </w:r>
          </w:p>
        </w:tc>
      </w:tr>
      <w:tr w:rsidR="008B264B" w:rsidRPr="008B264B" w14:paraId="34B10EBB" w14:textId="77777777" w:rsidTr="008B264B">
        <w:tc>
          <w:tcPr>
            <w:tcW w:w="1950" w:type="dxa"/>
            <w:tcBorders>
              <w:top w:val="single" w:sz="6" w:space="0" w:color="000000"/>
              <w:left w:val="single" w:sz="6" w:space="0" w:color="000000"/>
              <w:bottom w:val="single" w:sz="6" w:space="0" w:color="000000"/>
              <w:right w:val="single" w:sz="6" w:space="0" w:color="000000"/>
            </w:tcBorders>
            <w:shd w:val="clear" w:color="auto" w:fill="auto"/>
            <w:hideMark/>
          </w:tcPr>
          <w:p w14:paraId="46EB528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8702 90 39 00</w:t>
            </w:r>
          </w:p>
        </w:tc>
        <w:tc>
          <w:tcPr>
            <w:tcW w:w="4470" w:type="dxa"/>
            <w:tcBorders>
              <w:top w:val="single" w:sz="6" w:space="0" w:color="000000"/>
              <w:left w:val="single" w:sz="6" w:space="0" w:color="000000"/>
              <w:bottom w:val="single" w:sz="6" w:space="0" w:color="000000"/>
              <w:right w:val="single" w:sz="6" w:space="0" w:color="000000"/>
            </w:tcBorders>
            <w:shd w:val="clear" w:color="auto" w:fill="auto"/>
            <w:hideMark/>
          </w:tcPr>
          <w:p w14:paraId="4CCA3FE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що використовувалися</w:t>
            </w:r>
          </w:p>
        </w:tc>
        <w:tc>
          <w:tcPr>
            <w:tcW w:w="2925" w:type="dxa"/>
            <w:tcBorders>
              <w:top w:val="single" w:sz="6" w:space="0" w:color="000000"/>
              <w:left w:val="single" w:sz="6" w:space="0" w:color="000000"/>
              <w:bottom w:val="single" w:sz="6" w:space="0" w:color="000000"/>
              <w:right w:val="single" w:sz="6" w:space="0" w:color="000000"/>
            </w:tcBorders>
            <w:shd w:val="clear" w:color="auto" w:fill="auto"/>
            <w:hideMark/>
          </w:tcPr>
          <w:p w14:paraId="0602CE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0,007 євро за 1 куб. см об’єму циліндрів двигуна.</w:t>
            </w:r>
          </w:p>
        </w:tc>
      </w:tr>
    </w:tbl>
    <w:p w14:paraId="078EDC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2" w:name="n11387"/>
      <w:bookmarkEnd w:id="6792"/>
      <w:r w:rsidRPr="008B264B">
        <w:rPr>
          <w:rFonts w:ascii="Times New Roman" w:eastAsia="Times New Roman" w:hAnsi="Times New Roman" w:cs="Times New Roman"/>
          <w:color w:val="000000"/>
          <w:sz w:val="24"/>
          <w:szCs w:val="24"/>
          <w:lang/>
        </w:rPr>
        <w:t>Ставки податку для транспортних засобів, що використовувалися понад 8 років і відповідають коду 8702 згідно з </w:t>
      </w:r>
      <w:hyperlink r:id="rId3801"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застосовуються з коефіцієнтом 50;</w:t>
      </w:r>
    </w:p>
    <w:p w14:paraId="0EB1AA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3" w:name="n9676"/>
      <w:bookmarkEnd w:id="6793"/>
      <w:r w:rsidRPr="008B264B">
        <w:rPr>
          <w:rFonts w:ascii="Times New Roman" w:eastAsia="Times New Roman" w:hAnsi="Times New Roman" w:cs="Times New Roman"/>
          <w:i/>
          <w:iCs/>
          <w:color w:val="000000"/>
          <w:sz w:val="24"/>
          <w:szCs w:val="24"/>
          <w:lang/>
        </w:rPr>
        <w:t>{Підпункт 215.3.5 пункту 215.3 статті 215 із змінами, внесеними згідно із Законами </w:t>
      </w:r>
      <w:hyperlink r:id="rId3802" w:anchor="n19"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 </w:t>
      </w:r>
      <w:hyperlink r:id="rId3803" w:anchor="n82"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3804" w:anchor="n9"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 в редакції Закону </w:t>
      </w:r>
      <w:hyperlink r:id="rId3805" w:anchor="n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D5B8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4" w:name="n11389"/>
      <w:bookmarkEnd w:id="6794"/>
      <w:r w:rsidRPr="008B264B">
        <w:rPr>
          <w:rFonts w:ascii="Times New Roman" w:eastAsia="Times New Roman" w:hAnsi="Times New Roman" w:cs="Times New Roman"/>
          <w:color w:val="000000"/>
          <w:sz w:val="24"/>
          <w:szCs w:val="24"/>
          <w:lang/>
        </w:rPr>
        <w:t>215.3.5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автомобілі легкові та інші моторні транспортні засоби, призначені головним чином для перевезення людей, що відповідають товарній позиції 8703 згідно з </w:t>
      </w:r>
      <w:hyperlink r:id="rId3806"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(крім моторних транспортних засобів, зазначених у товарній позиції 8702 згідно з УКТ ЗЕД), включаючи вантажопасажирські автомобілі-фургони, гоночні автомобілі, у тому числі автомобілі, які в установленому законодавством порядку подаються до органів, що здійснюють державну реєстрацію транспортних засобів, для реєстрації або перереєстрації у зв’язку із зміною моделі транспортного засобу, що до переобладнання під час ввезення відповідала товарній позиції 8704 згідно з УКТ ЗЕД, а після переобладнання відповідає товарній позиції 8703 згідно з УКТ ЗЕД:</w:t>
      </w:r>
    </w:p>
    <w:p w14:paraId="320374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5" w:name="n15190"/>
      <w:bookmarkEnd w:id="6795"/>
      <w:r w:rsidRPr="008B264B">
        <w:rPr>
          <w:rFonts w:ascii="Times New Roman" w:eastAsia="Times New Roman" w:hAnsi="Times New Roman" w:cs="Times New Roman"/>
          <w:color w:val="000000"/>
          <w:sz w:val="24"/>
          <w:szCs w:val="24"/>
          <w:lang/>
        </w:rPr>
        <w:t>ставка податку (Ставка) для відповідного транспортного засобу визначається за формулою:</w:t>
      </w:r>
    </w:p>
    <w:p w14:paraId="4992F3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6" w:name="n15191"/>
      <w:bookmarkEnd w:id="6796"/>
      <w:r w:rsidRPr="008B264B">
        <w:rPr>
          <w:rFonts w:ascii="Times New Roman" w:eastAsia="Times New Roman" w:hAnsi="Times New Roman" w:cs="Times New Roman"/>
          <w:color w:val="000000"/>
          <w:sz w:val="24"/>
          <w:szCs w:val="24"/>
          <w:lang/>
        </w:rPr>
        <w:t>Ставка = Ставка </w:t>
      </w:r>
      <w:r w:rsidRPr="008B264B">
        <w:rPr>
          <w:rFonts w:ascii="Times New Roman" w:eastAsia="Times New Roman" w:hAnsi="Times New Roman" w:cs="Times New Roman"/>
          <w:b/>
          <w:bCs/>
          <w:color w:val="000000"/>
          <w:sz w:val="16"/>
          <w:szCs w:val="16"/>
          <w:vertAlign w:val="superscript"/>
          <w:lang/>
        </w:rPr>
        <w:t>базова</w:t>
      </w:r>
      <w:r w:rsidRPr="008B264B">
        <w:rPr>
          <w:rFonts w:ascii="Times New Roman" w:eastAsia="Times New Roman" w:hAnsi="Times New Roman" w:cs="Times New Roman"/>
          <w:color w:val="000000"/>
          <w:sz w:val="24"/>
          <w:szCs w:val="24"/>
          <w:lang/>
        </w:rPr>
        <w:t> х К </w:t>
      </w:r>
      <w:r w:rsidRPr="008B264B">
        <w:rPr>
          <w:rFonts w:ascii="Times New Roman" w:eastAsia="Times New Roman" w:hAnsi="Times New Roman" w:cs="Times New Roman"/>
          <w:b/>
          <w:bCs/>
          <w:color w:val="000000"/>
          <w:sz w:val="16"/>
          <w:szCs w:val="16"/>
          <w:vertAlign w:val="superscript"/>
          <w:lang/>
        </w:rPr>
        <w:t>двигун</w:t>
      </w:r>
      <w:r w:rsidRPr="008B264B">
        <w:rPr>
          <w:rFonts w:ascii="Times New Roman" w:eastAsia="Times New Roman" w:hAnsi="Times New Roman" w:cs="Times New Roman"/>
          <w:color w:val="000000"/>
          <w:sz w:val="24"/>
          <w:szCs w:val="24"/>
          <w:lang/>
        </w:rPr>
        <w:t> х К </w:t>
      </w:r>
      <w:r w:rsidRPr="008B264B">
        <w:rPr>
          <w:rFonts w:ascii="Times New Roman" w:eastAsia="Times New Roman" w:hAnsi="Times New Roman" w:cs="Times New Roman"/>
          <w:b/>
          <w:bCs/>
          <w:color w:val="000000"/>
          <w:sz w:val="16"/>
          <w:szCs w:val="16"/>
          <w:vertAlign w:val="superscript"/>
          <w:lang/>
        </w:rPr>
        <w:t>вік</w:t>
      </w:r>
      <w:r w:rsidRPr="008B264B">
        <w:rPr>
          <w:rFonts w:ascii="Times New Roman" w:eastAsia="Times New Roman" w:hAnsi="Times New Roman" w:cs="Times New Roman"/>
          <w:color w:val="000000"/>
          <w:sz w:val="24"/>
          <w:szCs w:val="24"/>
          <w:lang/>
        </w:rPr>
        <w:t>,</w:t>
      </w:r>
    </w:p>
    <w:p w14:paraId="258F14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7" w:name="n15192"/>
      <w:bookmarkEnd w:id="6797"/>
      <w:r w:rsidRPr="008B264B">
        <w:rPr>
          <w:rFonts w:ascii="Times New Roman" w:eastAsia="Times New Roman" w:hAnsi="Times New Roman" w:cs="Times New Roman"/>
          <w:color w:val="000000"/>
          <w:sz w:val="24"/>
          <w:szCs w:val="24"/>
          <w:lang/>
        </w:rPr>
        <w:t>де Ставка </w:t>
      </w:r>
      <w:r w:rsidRPr="008B264B">
        <w:rPr>
          <w:rFonts w:ascii="Times New Roman" w:eastAsia="Times New Roman" w:hAnsi="Times New Roman" w:cs="Times New Roman"/>
          <w:b/>
          <w:bCs/>
          <w:color w:val="000000"/>
          <w:sz w:val="16"/>
          <w:szCs w:val="16"/>
          <w:vertAlign w:val="superscript"/>
          <w:lang/>
        </w:rPr>
        <w:t>базова</w:t>
      </w:r>
      <w:r w:rsidRPr="008B264B">
        <w:rPr>
          <w:rFonts w:ascii="Times New Roman" w:eastAsia="Times New Roman" w:hAnsi="Times New Roman" w:cs="Times New Roman"/>
          <w:color w:val="000000"/>
          <w:sz w:val="24"/>
          <w:szCs w:val="24"/>
          <w:lang/>
        </w:rPr>
        <w:t> - ставка податку в євро за 1 штуку транспортного засобу:</w:t>
      </w:r>
    </w:p>
    <w:p w14:paraId="7D1BB4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8" w:name="n15193"/>
      <w:bookmarkEnd w:id="6798"/>
      <w:r w:rsidRPr="008B264B">
        <w:rPr>
          <w:rFonts w:ascii="Times New Roman" w:eastAsia="Times New Roman" w:hAnsi="Times New Roman" w:cs="Times New Roman"/>
          <w:color w:val="000000"/>
          <w:sz w:val="24"/>
          <w:szCs w:val="24"/>
          <w:lang/>
        </w:rPr>
        <w:t>з двигуном внутрішнього згоряння з іскровим запалюванням та кривошипно-шатунним механізмом з об’ємом циліндрів до 3000 куб. сантиметрів (включно) - 50,0;</w:t>
      </w:r>
    </w:p>
    <w:p w14:paraId="2AEF7A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799" w:name="n15194"/>
      <w:bookmarkEnd w:id="6799"/>
      <w:r w:rsidRPr="008B264B">
        <w:rPr>
          <w:rFonts w:ascii="Times New Roman" w:eastAsia="Times New Roman" w:hAnsi="Times New Roman" w:cs="Times New Roman"/>
          <w:color w:val="000000"/>
          <w:sz w:val="24"/>
          <w:szCs w:val="24"/>
          <w:lang/>
        </w:rPr>
        <w:t>з двигуном внутрішнього згоряння з іскровим запалюванням та кривошипно-шатунним механізмом з об’ємом циліндрів понад 3000 куб. сантиметрів - 100,0;</w:t>
      </w:r>
    </w:p>
    <w:p w14:paraId="403AC9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0" w:name="n15195"/>
      <w:bookmarkEnd w:id="6800"/>
      <w:r w:rsidRPr="008B264B">
        <w:rPr>
          <w:rFonts w:ascii="Times New Roman" w:eastAsia="Times New Roman" w:hAnsi="Times New Roman" w:cs="Times New Roman"/>
          <w:color w:val="000000"/>
          <w:sz w:val="24"/>
          <w:szCs w:val="24"/>
          <w:lang/>
        </w:rPr>
        <w:t>з двигуном внутрішнього згоряння із запалюванням від стиснення (дизелем або напівдизелем) з об’ємом циліндрів до 3500 куб. сантиметрів (включно) - 75,0;</w:t>
      </w:r>
    </w:p>
    <w:p w14:paraId="2A5F86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1" w:name="n15196"/>
      <w:bookmarkEnd w:id="6801"/>
      <w:r w:rsidRPr="008B264B">
        <w:rPr>
          <w:rFonts w:ascii="Times New Roman" w:eastAsia="Times New Roman" w:hAnsi="Times New Roman" w:cs="Times New Roman"/>
          <w:color w:val="000000"/>
          <w:sz w:val="24"/>
          <w:szCs w:val="24"/>
          <w:lang/>
        </w:rPr>
        <w:lastRenderedPageBreak/>
        <w:t>з двигуном внутрішнього згоряння із запалюванням від стиснення (дизелем або напівдизелем) з об’ємом циліндрів понад 3500 куб. сантиметрів - 150,0;</w:t>
      </w:r>
    </w:p>
    <w:p w14:paraId="2DBC38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2" w:name="n15197"/>
      <w:bookmarkEnd w:id="6802"/>
      <w:r w:rsidRPr="008B264B">
        <w:rPr>
          <w:rFonts w:ascii="Times New Roman" w:eastAsia="Times New Roman" w:hAnsi="Times New Roman" w:cs="Times New Roman"/>
          <w:color w:val="000000"/>
          <w:sz w:val="24"/>
          <w:szCs w:val="24"/>
          <w:lang/>
        </w:rPr>
        <w:t>К </w:t>
      </w:r>
      <w:r w:rsidRPr="008B264B">
        <w:rPr>
          <w:rFonts w:ascii="Times New Roman" w:eastAsia="Times New Roman" w:hAnsi="Times New Roman" w:cs="Times New Roman"/>
          <w:b/>
          <w:bCs/>
          <w:color w:val="000000"/>
          <w:sz w:val="16"/>
          <w:szCs w:val="16"/>
          <w:vertAlign w:val="superscript"/>
          <w:lang/>
        </w:rPr>
        <w:t>двигун</w:t>
      </w:r>
      <w:r w:rsidRPr="008B264B">
        <w:rPr>
          <w:rFonts w:ascii="Times New Roman" w:eastAsia="Times New Roman" w:hAnsi="Times New Roman" w:cs="Times New Roman"/>
          <w:color w:val="000000"/>
          <w:sz w:val="24"/>
          <w:szCs w:val="24"/>
          <w:lang/>
        </w:rPr>
        <w:t> - коефіцієнт, що визначається діленням об’єму циліндрів двигуна внутрішнього згоряння відповідного транспортного засобу в куб. сантиметрах на 1000 куб. сантиметрів;</w:t>
      </w:r>
    </w:p>
    <w:p w14:paraId="28E2F0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3" w:name="n15198"/>
      <w:bookmarkEnd w:id="6803"/>
      <w:r w:rsidRPr="008B264B">
        <w:rPr>
          <w:rFonts w:ascii="Times New Roman" w:eastAsia="Times New Roman" w:hAnsi="Times New Roman" w:cs="Times New Roman"/>
          <w:color w:val="000000"/>
          <w:sz w:val="24"/>
          <w:szCs w:val="24"/>
          <w:lang/>
        </w:rPr>
        <w:t>К </w:t>
      </w:r>
      <w:r w:rsidRPr="008B264B">
        <w:rPr>
          <w:rFonts w:ascii="Times New Roman" w:eastAsia="Times New Roman" w:hAnsi="Times New Roman" w:cs="Times New Roman"/>
          <w:b/>
          <w:bCs/>
          <w:color w:val="000000"/>
          <w:sz w:val="16"/>
          <w:szCs w:val="16"/>
          <w:vertAlign w:val="superscript"/>
          <w:lang/>
        </w:rPr>
        <w:t>вік</w:t>
      </w:r>
      <w:r w:rsidRPr="008B264B">
        <w:rPr>
          <w:rFonts w:ascii="Times New Roman" w:eastAsia="Times New Roman" w:hAnsi="Times New Roman" w:cs="Times New Roman"/>
          <w:color w:val="000000"/>
          <w:sz w:val="24"/>
          <w:szCs w:val="24"/>
          <w:lang/>
        </w:rPr>
        <w:t> - коефіцієнт, що дорівнює кількості повних календарних років з року, наступного за роком виробництва відповідного транспортного засобу, до року визначення ставки податку (для нових транспортних засобів та транспортних засобів, що використовувалися до одного повного календарного року, коефіцієнт дорівнює 1, а для транспортних засобів, що використовувалися понад п’ятнадцять повних календарних років, коефіцієнт дорівнює 15).</w:t>
      </w:r>
    </w:p>
    <w:p w14:paraId="252C11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4" w:name="n15199"/>
      <w:bookmarkEnd w:id="6804"/>
      <w:r w:rsidRPr="008B264B">
        <w:rPr>
          <w:rFonts w:ascii="Times New Roman" w:eastAsia="Times New Roman" w:hAnsi="Times New Roman" w:cs="Times New Roman"/>
          <w:color w:val="000000"/>
          <w:sz w:val="24"/>
          <w:szCs w:val="24"/>
          <w:lang/>
        </w:rPr>
        <w:t>Ставка податку для транспортних засобів, зазначених у товарній позиції 8703 90 10 10 згідно з </w:t>
      </w:r>
      <w:hyperlink r:id="rId3807"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оснащених виключно електричними двигунами (одним чи кількома), встановлюється у розмірі 1 євро за 1 кіловат-годину ємності електричного акумулятора таких транспортних засобів.</w:t>
      </w:r>
    </w:p>
    <w:p w14:paraId="26A097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5" w:name="n15200"/>
      <w:bookmarkEnd w:id="6805"/>
      <w:r w:rsidRPr="008B264B">
        <w:rPr>
          <w:rFonts w:ascii="Times New Roman" w:eastAsia="Times New Roman" w:hAnsi="Times New Roman" w:cs="Times New Roman"/>
          <w:color w:val="000000"/>
          <w:sz w:val="24"/>
          <w:szCs w:val="24"/>
          <w:lang/>
        </w:rPr>
        <w:t>Ставка податку для транспортних засобів, зазначених у товарних підкатегоріях 8703 10 18 00 (для транспортних засобів, що приводяться в рух тільки електричним двигуном, одним або кількома), 8703 90 10 90, 8703 90 90 00 згідно з </w:t>
      </w:r>
      <w:hyperlink r:id="rId3808"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встановлюється у розмірі 100 євро за 1 штуку.</w:t>
      </w:r>
    </w:p>
    <w:p w14:paraId="79F160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6" w:name="n11394"/>
      <w:bookmarkEnd w:id="6806"/>
      <w:r w:rsidRPr="008B264B">
        <w:rPr>
          <w:rFonts w:ascii="Times New Roman" w:eastAsia="Times New Roman" w:hAnsi="Times New Roman" w:cs="Times New Roman"/>
          <w:i/>
          <w:iCs/>
          <w:color w:val="000000"/>
          <w:sz w:val="24"/>
          <w:szCs w:val="24"/>
          <w:lang/>
        </w:rPr>
        <w:t>{Пункт 215.3 статті 215 доповнено підпунктом 215.3.5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3809" w:anchor="n8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10" w:anchor="n12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3811" w:anchor="n10"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3C211B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7" w:name="n11391"/>
      <w:bookmarkEnd w:id="6807"/>
      <w:r w:rsidRPr="008B264B">
        <w:rPr>
          <w:rFonts w:ascii="Times New Roman" w:eastAsia="Times New Roman" w:hAnsi="Times New Roman" w:cs="Times New Roman"/>
          <w:color w:val="000000"/>
          <w:sz w:val="24"/>
          <w:szCs w:val="24"/>
          <w:lang/>
        </w:rPr>
        <w:t>215.3.5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моторні транспортні засоби для перевезення вантажів:</w:t>
      </w:r>
    </w:p>
    <w:tbl>
      <w:tblPr>
        <w:tblW w:w="5000" w:type="pct"/>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2148"/>
        <w:gridCol w:w="4841"/>
        <w:gridCol w:w="2917"/>
      </w:tblGrid>
      <w:tr w:rsidR="008B264B" w:rsidRPr="008B264B" w14:paraId="0FED7B3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D3452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808" w:name="n11392"/>
            <w:bookmarkEnd w:id="6808"/>
            <w:r w:rsidRPr="008B264B">
              <w:rPr>
                <w:rFonts w:ascii="Times New Roman" w:eastAsia="Times New Roman" w:hAnsi="Times New Roman" w:cs="Times New Roman"/>
                <w:sz w:val="24"/>
                <w:szCs w:val="24"/>
                <w:lang/>
              </w:rPr>
              <w:t>Код товару (продукції) згідно з </w:t>
            </w:r>
            <w:hyperlink r:id="rId3812" w:anchor="n339" w:tgtFrame="_blank" w:history="1">
              <w:r w:rsidRPr="008B264B">
                <w:rPr>
                  <w:rFonts w:ascii="Times New Roman" w:eastAsia="Times New Roman" w:hAnsi="Times New Roman" w:cs="Times New Roman"/>
                  <w:color w:val="0000FF"/>
                  <w:sz w:val="24"/>
                  <w:szCs w:val="24"/>
                  <w:u w:val="single"/>
                  <w:lang/>
                </w:rPr>
                <w:t>УКТ ЗЕД</w:t>
              </w:r>
            </w:hyperlink>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3B5E24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25AD99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у твердій сумі з одиниці реалізованого товару (продукції) (специфічні)</w:t>
            </w:r>
          </w:p>
        </w:tc>
      </w:tr>
      <w:tr w:rsidR="008B264B" w:rsidRPr="008B264B" w14:paraId="558227BB"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249D6A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45FE9E0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Моторні транспортні засоби для перевезення вантажів:</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54016B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8A996B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7D3B1E8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00FFD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автомобілі-самоскиди, призначені для використання на бездоріжжі:</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607B639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8586D0D"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1D08B18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8704 10 10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18FF61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двигуном внутрішнього згоряння із запалюванням від стиснення (дизелем або напівдизелем) або з двигуном внутрішнього згоряння з іскровим запалюванням: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3AE0AC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319E8D5"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35C661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8704 10 10 10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1AC5361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вантажопідйомністю понад 75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1AB880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0,016 євро за 1 куб. см об’єму циліндрів двигуна</w:t>
            </w:r>
          </w:p>
        </w:tc>
      </w:tr>
      <w:tr w:rsidR="008B264B" w:rsidRPr="008B264B" w14:paraId="1949ACAF"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4060CD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8704 10 10 90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7278FA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інші</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43BF34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0,016 євро за 1 куб. см об’єму циліндрів двигуна</w:t>
            </w:r>
          </w:p>
        </w:tc>
      </w:tr>
      <w:tr w:rsidR="008B264B" w:rsidRPr="008B264B" w14:paraId="29352A63"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A726C9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8704 10 90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2BC035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інші:</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11D811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7216DCD"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77A7D7A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8704 10 90 10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D090AA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автомобілі-самоскиди масою до 5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5EEA21D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5DFDF16A"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87E47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8704 10 90 90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F979C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інші</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565A37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19FEA68B"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722362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28A61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iншi з двигуном внутрішнього згоряння із запалюванням вiд стиснення (дизелем або напiвдизелем):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21C83D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0008EB3"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947EC9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8704 21</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374C9C1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повною масою транспортного засобу не бiльш як 5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110C4D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1DA909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06F3F6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6E0D64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цилiндрів двигуна понад 2500 куб. см: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0A88EC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8E21927"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78EA84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8704 21 31 00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7FBDED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74A068D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367C9B40"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24EBD77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8704 21 39 00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06B6CCF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2DE147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 євро за 1 куб. см об’єму циліндрів двигуна</w:t>
            </w:r>
          </w:p>
        </w:tc>
      </w:tr>
      <w:tr w:rsidR="008B264B" w:rsidRPr="008B264B" w14:paraId="7829B9A6"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655CAA8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2F06294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цилiндрів двигуна не бiльш як 2500 куб. см: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1A6A39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0F9C834"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73C4183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8704 21 91 00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44E1695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16922D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42119F8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9822F3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8704 21 99 00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259E68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2DEEED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 євро за 1 куб. см об’єму циліндрів двигуна</w:t>
            </w:r>
          </w:p>
        </w:tc>
      </w:tr>
      <w:tr w:rsidR="008B264B" w:rsidRPr="008B264B" w14:paraId="0E4F93DF"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922A72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8704 22</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0172A51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повною масою транспортного засобу понад 5 т, але не бiльш як 20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263304E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BF6197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1DE886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8704 22 91 00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C76EC9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795F66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0,013 євро за 1 куб. см об’єму циліндрів двигуна</w:t>
            </w:r>
          </w:p>
        </w:tc>
      </w:tr>
      <w:tr w:rsidR="008B264B" w:rsidRPr="008B264B" w14:paraId="7F268B87"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B3C916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8704 22 99 00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2DA1D5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349625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0,026 євро за 1 куб. см об’єму циліндрів двигуна</w:t>
            </w:r>
          </w:p>
        </w:tc>
      </w:tr>
      <w:tr w:rsidR="008B264B" w:rsidRPr="008B264B" w14:paraId="74660C13"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4C3BE7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8704 23</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46DCD6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повною масою транспортного засобу понад 20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636D55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17A7992"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9EA220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8704 23 91 00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6271F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55EEB3F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0,016 євро за 1 куб. см об’єму циліндрів двигуна</w:t>
            </w:r>
          </w:p>
        </w:tc>
      </w:tr>
      <w:tr w:rsidR="008B264B" w:rsidRPr="008B264B" w14:paraId="19AE4CF8"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1296BF6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8704 23 99 00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3C3921A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76CC60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0,033 євро за 1 куб. см об’єму циліндрів двигуна</w:t>
            </w:r>
          </w:p>
        </w:tc>
      </w:tr>
      <w:tr w:rsidR="008B264B" w:rsidRPr="008B264B" w14:paraId="0F0C2D3A"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4ECB91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2A6FDC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іншi з двигуном внутрішнього згоряння з iскровим запалюванням: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0B63CF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C9CE6FC"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612FC05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8704 31</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FF1D0B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повною масою транспортного засобу не бiльш як 5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7AE209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A2AEAFD"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A56427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1A409EC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цилiндрів двигуна понад 2800 куб. см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3C191A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15C155D8"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4B85AD2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8704 31 31 00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25152D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64E3E47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47DA1774"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5070F6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8704 31 39 00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AE74E7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46B925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 євро за 1 куб. см об’єму циліндрів двигуна</w:t>
            </w:r>
          </w:p>
        </w:tc>
      </w:tr>
      <w:tr w:rsidR="008B264B" w:rsidRPr="008B264B" w14:paraId="05604F69"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14C2945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07C2516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з робочим об’ємом цилiндрів двигуна не бiльш як 2 800 куб. см:</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44B8EC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7D960D7"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AD31CB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8704 31 91 00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7000E9A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6E1071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 євро за 1 куб. см об’єму циліндрів двигуна</w:t>
            </w:r>
          </w:p>
        </w:tc>
      </w:tr>
      <w:tr w:rsidR="008B264B" w:rsidRPr="008B264B" w14:paraId="2228B78B"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3964D52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8704 31 99 00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6C52D43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40A557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0,020 євро за 1 куб. см об’єму циліндрів двигуна</w:t>
            </w:r>
          </w:p>
        </w:tc>
      </w:tr>
      <w:tr w:rsidR="008B264B" w:rsidRPr="008B264B" w14:paraId="5FFF2927"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0F1605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8704 32</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5ADBB7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з повною масою транспортного засобу понад 5 т:</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3A295D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6C2E8D4B"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ADAAE2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8704 32 91 00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1258317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новi</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5C6D67A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0,013 євро за 1 куб. см об’єму циліндрів двигуна</w:t>
            </w:r>
          </w:p>
        </w:tc>
      </w:tr>
      <w:tr w:rsidR="008B264B" w:rsidRPr="008B264B" w14:paraId="2F63E7CF" w14:textId="77777777" w:rsidTr="008B264B">
        <w:tc>
          <w:tcPr>
            <w:tcW w:w="2010" w:type="dxa"/>
            <w:tcBorders>
              <w:top w:val="single" w:sz="6" w:space="0" w:color="000000"/>
              <w:left w:val="single" w:sz="6" w:space="0" w:color="000000"/>
              <w:bottom w:val="single" w:sz="6" w:space="0" w:color="000000"/>
              <w:right w:val="single" w:sz="6" w:space="0" w:color="000000"/>
            </w:tcBorders>
            <w:shd w:val="clear" w:color="auto" w:fill="auto"/>
            <w:hideMark/>
          </w:tcPr>
          <w:p w14:paraId="50EF5A5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8704 32 99 00</w:t>
            </w:r>
          </w:p>
        </w:tc>
        <w:tc>
          <w:tcPr>
            <w:tcW w:w="4530" w:type="dxa"/>
            <w:tcBorders>
              <w:top w:val="single" w:sz="6" w:space="0" w:color="000000"/>
              <w:left w:val="single" w:sz="6" w:space="0" w:color="000000"/>
              <w:bottom w:val="single" w:sz="6" w:space="0" w:color="000000"/>
              <w:right w:val="single" w:sz="6" w:space="0" w:color="000000"/>
            </w:tcBorders>
            <w:shd w:val="clear" w:color="auto" w:fill="auto"/>
            <w:hideMark/>
          </w:tcPr>
          <w:p w14:paraId="0969FBF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 що використовувалися</w:t>
            </w:r>
          </w:p>
        </w:tc>
        <w:tc>
          <w:tcPr>
            <w:tcW w:w="2730" w:type="dxa"/>
            <w:tcBorders>
              <w:top w:val="single" w:sz="6" w:space="0" w:color="000000"/>
              <w:left w:val="single" w:sz="6" w:space="0" w:color="000000"/>
              <w:bottom w:val="single" w:sz="6" w:space="0" w:color="000000"/>
              <w:right w:val="single" w:sz="6" w:space="0" w:color="000000"/>
            </w:tcBorders>
            <w:shd w:val="clear" w:color="auto" w:fill="auto"/>
            <w:hideMark/>
          </w:tcPr>
          <w:p w14:paraId="41F3572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0,026 євро за 1 куб. см об’єму циліндрів двигуна.</w:t>
            </w:r>
          </w:p>
        </w:tc>
      </w:tr>
    </w:tbl>
    <w:p w14:paraId="26C0CC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09" w:name="n11393"/>
      <w:bookmarkEnd w:id="6809"/>
      <w:r w:rsidRPr="008B264B">
        <w:rPr>
          <w:rFonts w:ascii="Times New Roman" w:eastAsia="Times New Roman" w:hAnsi="Times New Roman" w:cs="Times New Roman"/>
          <w:color w:val="000000"/>
          <w:sz w:val="24"/>
          <w:szCs w:val="24"/>
          <w:lang/>
        </w:rPr>
        <w:t>Ставки податку для транспортних засобів, що відповідають коду 8704 згідно з </w:t>
      </w:r>
      <w:hyperlink r:id="rId3813"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застосовуються для автомобілів, що використовувалися з 5 до 8 років з коефіцієнтом 40 для автомобілів, що використовувалися понад 8 років з коефіцієнтом - 50.</w:t>
      </w:r>
    </w:p>
    <w:p w14:paraId="4D670F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0" w:name="n11388"/>
      <w:bookmarkEnd w:id="6810"/>
      <w:r w:rsidRPr="008B264B">
        <w:rPr>
          <w:rFonts w:ascii="Times New Roman" w:eastAsia="Times New Roman" w:hAnsi="Times New Roman" w:cs="Times New Roman"/>
          <w:i/>
          <w:iCs/>
          <w:color w:val="000000"/>
          <w:sz w:val="24"/>
          <w:szCs w:val="24"/>
          <w:lang/>
        </w:rPr>
        <w:t>{Пункт 215.3 статті 215 доповнено підпунктом 215.3.5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3814" w:anchor="n8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5CC8F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1" w:name="n5511"/>
      <w:bookmarkEnd w:id="6811"/>
      <w:r w:rsidRPr="008B264B">
        <w:rPr>
          <w:rFonts w:ascii="Times New Roman" w:eastAsia="Times New Roman" w:hAnsi="Times New Roman" w:cs="Times New Roman"/>
          <w:color w:val="000000"/>
          <w:sz w:val="24"/>
          <w:szCs w:val="24"/>
          <w:lang/>
        </w:rPr>
        <w:t>215.3.6. кузови для автомобілів, зазначених у товарній позиції згідно з </w:t>
      </w:r>
      <w:hyperlink r:id="rId3815"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8703:</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625"/>
        <w:gridCol w:w="5655"/>
        <w:gridCol w:w="1626"/>
      </w:tblGrid>
      <w:tr w:rsidR="008B264B" w:rsidRPr="008B264B" w14:paraId="795AA7B3"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13AC13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812" w:name="n5512"/>
            <w:bookmarkEnd w:id="6812"/>
            <w:r w:rsidRPr="008B264B">
              <w:rPr>
                <w:rFonts w:ascii="Times New Roman" w:eastAsia="Times New Roman" w:hAnsi="Times New Roman" w:cs="Times New Roman"/>
                <w:sz w:val="24"/>
                <w:szCs w:val="24"/>
                <w:lang/>
              </w:rPr>
              <w:t>Код товару (продукції) згідно з </w:t>
            </w:r>
            <w:hyperlink r:id="rId3816" w:tgtFrame="_blank" w:history="1">
              <w:r w:rsidRPr="008B264B">
                <w:rPr>
                  <w:rFonts w:ascii="Times New Roman" w:eastAsia="Times New Roman" w:hAnsi="Times New Roman" w:cs="Times New Roman"/>
                  <w:color w:val="0000FF"/>
                  <w:sz w:val="24"/>
                  <w:szCs w:val="24"/>
                  <w:u w:val="single"/>
                  <w:lang/>
                </w:rPr>
                <w:t>УКТ ЗЕД</w:t>
              </w:r>
            </w:hyperlink>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4B7BAC9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97EC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у твердій сумі з одиниці реалізованого товару (продукції) (специфічні)</w:t>
            </w:r>
          </w:p>
        </w:tc>
      </w:tr>
      <w:tr w:rsidR="008B264B" w:rsidRPr="008B264B" w14:paraId="3C852602"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25E06D0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2DC24C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Кузови (включаючи кабіни) для моторних транспортних засобів товарних позицій 8701-8705: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0DF5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7CE2116"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5B0FEB3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8707 10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0CBEE0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кузови для моторних транспортних засобів товарної позиції 8703: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B7EB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19908CEA"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19D826F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8707 10 10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145B2FF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для промислового складення:</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94AE7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348EAA6"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597AB6E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8707 10 10 10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53C7000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укомплектовані</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459C7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218 євро за 1 штуку</w:t>
            </w:r>
          </w:p>
        </w:tc>
      </w:tr>
      <w:tr w:rsidR="008B264B" w:rsidRPr="008B264B" w14:paraId="4DD49396"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2F5EC34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8707 10 10 20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6175BCD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не укомплектовані</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CD9E2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218 євро за 1 штуку</w:t>
            </w:r>
          </w:p>
        </w:tc>
      </w:tr>
      <w:tr w:rsidR="008B264B" w:rsidRPr="008B264B" w14:paraId="56684327"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6F2EB80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8707 10 90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6E57033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інші:</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B2430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CD34AD0"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78E5218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8707 10 90 10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0943591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що використовувалися п'ять років або менше</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7BE5B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 євро за 1 штуку</w:t>
            </w:r>
          </w:p>
        </w:tc>
      </w:tr>
      <w:tr w:rsidR="008B264B" w:rsidRPr="008B264B" w14:paraId="6EEDAD54"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30E9FAE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8707 10 90 20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1B4A8A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що використовувалися понад п'ять років</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5AED3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 євро за 1 штуку</w:t>
            </w:r>
          </w:p>
        </w:tc>
      </w:tr>
      <w:tr w:rsidR="008B264B" w:rsidRPr="008B264B" w14:paraId="683AFBC0" w14:textId="77777777" w:rsidTr="008B264B">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2F1F66B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8707 10 90 90</w:t>
            </w:r>
          </w:p>
        </w:tc>
        <w:tc>
          <w:tcPr>
            <w:tcW w:w="5655" w:type="dxa"/>
            <w:tcBorders>
              <w:top w:val="single" w:sz="6" w:space="0" w:color="000000"/>
              <w:left w:val="single" w:sz="6" w:space="0" w:color="000000"/>
              <w:bottom w:val="single" w:sz="6" w:space="0" w:color="000000"/>
              <w:right w:val="single" w:sz="6" w:space="0" w:color="000000"/>
            </w:tcBorders>
            <w:shd w:val="clear" w:color="auto" w:fill="auto"/>
            <w:hideMark/>
          </w:tcPr>
          <w:p w14:paraId="62B4C71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 - інші</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C4759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 євро за 1 штуку</w:t>
            </w:r>
          </w:p>
        </w:tc>
      </w:tr>
    </w:tbl>
    <w:p w14:paraId="39D8E7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3" w:name="n9677"/>
      <w:bookmarkEnd w:id="6813"/>
      <w:r w:rsidRPr="008B264B">
        <w:rPr>
          <w:rFonts w:ascii="Times New Roman" w:eastAsia="Times New Roman" w:hAnsi="Times New Roman" w:cs="Times New Roman"/>
          <w:i/>
          <w:iCs/>
          <w:color w:val="000000"/>
          <w:sz w:val="24"/>
          <w:szCs w:val="24"/>
          <w:lang/>
        </w:rPr>
        <w:t>{Підпункт 215.3.6 пункту 215.3 статті 215 із змінами, внесеними згідно із Законом </w:t>
      </w:r>
      <w:hyperlink r:id="rId3817" w:anchor="n115"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5142FC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4" w:name="n5513"/>
      <w:bookmarkEnd w:id="6814"/>
      <w:r w:rsidRPr="008B264B">
        <w:rPr>
          <w:rFonts w:ascii="Times New Roman" w:eastAsia="Times New Roman" w:hAnsi="Times New Roman" w:cs="Times New Roman"/>
          <w:color w:val="000000"/>
          <w:sz w:val="24"/>
          <w:szCs w:val="24"/>
          <w:lang/>
        </w:rPr>
        <w:t>215.3.7. мотоцикли (включаючи мопеди) та велосипеди з допоміжним двигуном, з колясками або без них:</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819"/>
        <w:gridCol w:w="4301"/>
        <w:gridCol w:w="2786"/>
      </w:tblGrid>
      <w:tr w:rsidR="008B264B" w:rsidRPr="008B264B" w14:paraId="330A2E45"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11EEA1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815" w:name="n14327"/>
            <w:bookmarkEnd w:id="6815"/>
            <w:r w:rsidRPr="008B264B">
              <w:rPr>
                <w:rFonts w:ascii="Times New Roman" w:eastAsia="Times New Roman" w:hAnsi="Times New Roman" w:cs="Times New Roman"/>
                <w:sz w:val="24"/>
                <w:szCs w:val="24"/>
                <w:lang/>
              </w:rPr>
              <w:t>Код товару (продукції) згідно з </w:t>
            </w:r>
            <w:hyperlink r:id="rId3818" w:anchor="n339" w:tgtFrame="_blank" w:history="1">
              <w:r w:rsidRPr="008B264B">
                <w:rPr>
                  <w:rFonts w:ascii="Times New Roman" w:eastAsia="Times New Roman" w:hAnsi="Times New Roman" w:cs="Times New Roman"/>
                  <w:color w:val="0000FF"/>
                  <w:sz w:val="24"/>
                  <w:szCs w:val="24"/>
                  <w:u w:val="single"/>
                  <w:lang/>
                </w:rPr>
                <w:t>УКТ ЗЕД</w:t>
              </w:r>
            </w:hyperlink>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0AB9D0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3819" w:anchor="n339" w:tgtFrame="_blank" w:history="1">
              <w:r w:rsidRPr="008B264B">
                <w:rPr>
                  <w:rFonts w:ascii="Times New Roman" w:eastAsia="Times New Roman" w:hAnsi="Times New Roman" w:cs="Times New Roman"/>
                  <w:color w:val="0000FF"/>
                  <w:sz w:val="24"/>
                  <w:szCs w:val="24"/>
                  <w:u w:val="single"/>
                  <w:lang/>
                </w:rPr>
                <w:t>УКТ ЗЕД</w:t>
              </w:r>
            </w:hyperlink>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158F3C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у твердій сумі з одиниці реалізованого товару (продукції) (специфічні)</w:t>
            </w:r>
          </w:p>
        </w:tc>
      </w:tr>
      <w:tr w:rsidR="008B264B" w:rsidRPr="008B264B" w14:paraId="4CBA089F"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289DD90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8711 10 00 00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4A9C5BE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Мотоцикли (включаючи мопеди) та велосипеди з допоміжним двигуном, з колясками або без них, з двигуном внутрішнього згоряння з кривошипно-шатунним механізмом і робочим об’ємом циліндрів двигуна не більш як 50 куб. см</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6B7D9B4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0,062 євро за 1 куб. см об’єму циліндрів двигуна</w:t>
            </w:r>
          </w:p>
        </w:tc>
      </w:tr>
      <w:tr w:rsidR="008B264B" w:rsidRPr="008B264B" w14:paraId="4A1E0FF1"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17E986E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8711 20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74E99FF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Мотоцикли (включаючи мопеди) та велосипеди з допоміжним двигуном, з колясками або без них, з двигуном внутрішнього згоряння з кривошипно-шатунним механізмом і робочим об’ємом циліндрів двигуна понад 50 куб. см, але не більш як 250 куб. см</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41AAA23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0,062 євро за 1 куб. см об’єму циліндрів двигуна</w:t>
            </w:r>
          </w:p>
        </w:tc>
      </w:tr>
      <w:tr w:rsidR="008B264B" w:rsidRPr="008B264B" w14:paraId="6AE74B59"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7E5662F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8711 30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531FBCC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Мотоцикли (включаючи мопеди) та велосипеди з допоміжним двигуном, з колясками або без них, з двигуном </w:t>
            </w:r>
            <w:r w:rsidRPr="008B264B">
              <w:rPr>
                <w:rFonts w:ascii="Times New Roman" w:eastAsia="Times New Roman" w:hAnsi="Times New Roman" w:cs="Times New Roman"/>
                <w:sz w:val="24"/>
                <w:szCs w:val="24"/>
                <w:lang/>
              </w:rPr>
              <w:lastRenderedPageBreak/>
              <w:t>внутрішнього згоряння з кривошипно-шатунним механізмом і робочим об’ємом циліндрів двигуна понад 250 куб. см, але не більш як 500 куб. см</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039AF64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0,062 євро за 1 куб. см об’єму циліндрів двигуна</w:t>
            </w:r>
          </w:p>
        </w:tc>
      </w:tr>
      <w:tr w:rsidR="008B264B" w:rsidRPr="008B264B" w14:paraId="47789105"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464286B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8711 40 00 00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0136542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Мотоцикли (включаючи мопеди) та велосипеди з допоміжним двигуном, з колясками або без них, з двигуном внутрішнього згоряння з кривошипно-шатунним механізмом і робочим об’ємом циліндрів понад 500 куб. см, але не більш як 800 куб. см</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1C4613F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0,443 євро за 1 куб. см об’єму циліндрів двигуна</w:t>
            </w:r>
          </w:p>
        </w:tc>
      </w:tr>
      <w:tr w:rsidR="008B264B" w:rsidRPr="008B264B" w14:paraId="4F1F9C34"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77604B2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8711 50 00 00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443154D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Мотоцикли (включаючи мопеди) та велосипеди з допоміжним двигуном, з колясками або без них, з двигуном внутрішнього згоряння з кривошипно-шатунним механізмом і робочим об’ємом циліндрів понад 800 куб. см</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3390A53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0,447 євро за 1 куб. см об’єму циліндрів двигуна</w:t>
            </w:r>
          </w:p>
        </w:tc>
      </w:tr>
      <w:tr w:rsidR="008B264B" w:rsidRPr="008B264B" w14:paraId="564DCEF5" w14:textId="77777777" w:rsidTr="008B264B">
        <w:tc>
          <w:tcPr>
            <w:tcW w:w="4500" w:type="dxa"/>
            <w:tcBorders>
              <w:top w:val="single" w:sz="6" w:space="0" w:color="000000"/>
              <w:left w:val="single" w:sz="6" w:space="0" w:color="000000"/>
              <w:bottom w:val="single" w:sz="6" w:space="0" w:color="000000"/>
              <w:right w:val="single" w:sz="6" w:space="0" w:color="000000"/>
            </w:tcBorders>
            <w:shd w:val="clear" w:color="auto" w:fill="auto"/>
            <w:hideMark/>
          </w:tcPr>
          <w:p w14:paraId="0AB8539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8711 90</w:t>
            </w:r>
          </w:p>
        </w:tc>
        <w:tc>
          <w:tcPr>
            <w:tcW w:w="7230" w:type="dxa"/>
            <w:tcBorders>
              <w:top w:val="single" w:sz="6" w:space="0" w:color="000000"/>
              <w:left w:val="single" w:sz="6" w:space="0" w:color="000000"/>
              <w:bottom w:val="single" w:sz="6" w:space="0" w:color="000000"/>
              <w:right w:val="single" w:sz="6" w:space="0" w:color="000000"/>
            </w:tcBorders>
            <w:shd w:val="clear" w:color="auto" w:fill="auto"/>
            <w:hideMark/>
          </w:tcPr>
          <w:p w14:paraId="5C6B22B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Мотоцикли (включаючи мопеди) та велосипеди з електричним двигуном, з колясками або без них, тобто крім тих, що з двигуном внутрішнього згоряння з кривошипно-шатунним механізмом; коляски</w:t>
            </w:r>
          </w:p>
        </w:tc>
        <w:tc>
          <w:tcPr>
            <w:tcW w:w="4155" w:type="dxa"/>
            <w:tcBorders>
              <w:top w:val="single" w:sz="6" w:space="0" w:color="000000"/>
              <w:left w:val="single" w:sz="6" w:space="0" w:color="000000"/>
              <w:bottom w:val="single" w:sz="6" w:space="0" w:color="000000"/>
              <w:right w:val="single" w:sz="6" w:space="0" w:color="000000"/>
            </w:tcBorders>
            <w:shd w:val="clear" w:color="auto" w:fill="auto"/>
            <w:hideMark/>
          </w:tcPr>
          <w:p w14:paraId="151EB68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 євро за 1 штуку.</w:t>
            </w:r>
          </w:p>
        </w:tc>
      </w:tr>
    </w:tbl>
    <w:p w14:paraId="02096C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6" w:name="n9678"/>
      <w:bookmarkEnd w:id="6816"/>
      <w:r w:rsidRPr="008B264B">
        <w:rPr>
          <w:rFonts w:ascii="Times New Roman" w:eastAsia="Times New Roman" w:hAnsi="Times New Roman" w:cs="Times New Roman"/>
          <w:i/>
          <w:iCs/>
          <w:color w:val="000000"/>
          <w:sz w:val="24"/>
          <w:szCs w:val="24"/>
          <w:lang/>
        </w:rPr>
        <w:t>{Підпункт 215.3.7 пункту 215.3 статті 215 в редакції Законів </w:t>
      </w:r>
      <w:hyperlink r:id="rId3820" w:anchor="n124"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color w:val="000000"/>
          <w:sz w:val="24"/>
          <w:szCs w:val="24"/>
          <w:lang/>
        </w:rPr>
        <w:t>, </w:t>
      </w:r>
      <w:hyperlink r:id="rId3821" w:anchor="n81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822" w:anchor="n12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8FF4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7" w:name="n5515"/>
      <w:bookmarkEnd w:id="6817"/>
      <w:r w:rsidRPr="008B264B">
        <w:rPr>
          <w:rFonts w:ascii="Times New Roman" w:eastAsia="Times New Roman" w:hAnsi="Times New Roman" w:cs="Times New Roman"/>
          <w:color w:val="000000"/>
          <w:sz w:val="24"/>
          <w:szCs w:val="24"/>
          <w:lang/>
        </w:rPr>
        <w:t>215.3.8. причепи та напівпричепи для тимчасового проживання у кемпінгах, типу причіпних будиночків:</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610"/>
        <w:gridCol w:w="5670"/>
        <w:gridCol w:w="1626"/>
      </w:tblGrid>
      <w:tr w:rsidR="008B264B" w:rsidRPr="008B264B" w14:paraId="12671E7D" w14:textId="77777777" w:rsidTr="008B264B">
        <w:tc>
          <w:tcPr>
            <w:tcW w:w="2610" w:type="dxa"/>
            <w:tcBorders>
              <w:top w:val="single" w:sz="6" w:space="0" w:color="000000"/>
              <w:left w:val="single" w:sz="6" w:space="0" w:color="000000"/>
              <w:bottom w:val="single" w:sz="6" w:space="0" w:color="000000"/>
              <w:right w:val="single" w:sz="6" w:space="0" w:color="000000"/>
            </w:tcBorders>
            <w:shd w:val="clear" w:color="auto" w:fill="auto"/>
            <w:hideMark/>
          </w:tcPr>
          <w:p w14:paraId="33A660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818" w:name="n5516"/>
            <w:bookmarkEnd w:id="6818"/>
            <w:r w:rsidRPr="008B264B">
              <w:rPr>
                <w:rFonts w:ascii="Times New Roman" w:eastAsia="Times New Roman" w:hAnsi="Times New Roman" w:cs="Times New Roman"/>
                <w:sz w:val="24"/>
                <w:szCs w:val="24"/>
                <w:lang/>
              </w:rPr>
              <w:t>Код товару (продукції) згідно з </w:t>
            </w:r>
            <w:hyperlink r:id="rId3823" w:tgtFrame="_blank" w:history="1">
              <w:r w:rsidRPr="008B264B">
                <w:rPr>
                  <w:rFonts w:ascii="Times New Roman" w:eastAsia="Times New Roman" w:hAnsi="Times New Roman" w:cs="Times New Roman"/>
                  <w:color w:val="0000FF"/>
                  <w:sz w:val="24"/>
                  <w:szCs w:val="24"/>
                  <w:u w:val="single"/>
                  <w:lang/>
                </w:rPr>
                <w:t>УКТ ЗЕД</w:t>
              </w:r>
            </w:hyperlink>
          </w:p>
        </w:tc>
        <w:tc>
          <w:tcPr>
            <w:tcW w:w="5670" w:type="dxa"/>
            <w:tcBorders>
              <w:top w:val="single" w:sz="6" w:space="0" w:color="000000"/>
              <w:left w:val="single" w:sz="6" w:space="0" w:color="000000"/>
              <w:bottom w:val="single" w:sz="6" w:space="0" w:color="000000"/>
              <w:right w:val="single" w:sz="6" w:space="0" w:color="000000"/>
            </w:tcBorders>
            <w:shd w:val="clear" w:color="auto" w:fill="auto"/>
            <w:hideMark/>
          </w:tcPr>
          <w:p w14:paraId="10CC43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52E6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у твердій сумі з одиниці реалізованого товару (продукції) (специфічні)</w:t>
            </w:r>
          </w:p>
        </w:tc>
      </w:tr>
      <w:tr w:rsidR="008B264B" w:rsidRPr="008B264B" w14:paraId="5E7956BE" w14:textId="77777777" w:rsidTr="008B264B">
        <w:tc>
          <w:tcPr>
            <w:tcW w:w="2610" w:type="dxa"/>
            <w:tcBorders>
              <w:top w:val="single" w:sz="6" w:space="0" w:color="000000"/>
              <w:left w:val="single" w:sz="6" w:space="0" w:color="000000"/>
              <w:bottom w:val="single" w:sz="6" w:space="0" w:color="000000"/>
              <w:right w:val="single" w:sz="6" w:space="0" w:color="000000"/>
            </w:tcBorders>
            <w:shd w:val="clear" w:color="auto" w:fill="auto"/>
            <w:hideMark/>
          </w:tcPr>
          <w:p w14:paraId="19094D0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8716 10 99 00</w:t>
            </w:r>
          </w:p>
        </w:tc>
        <w:tc>
          <w:tcPr>
            <w:tcW w:w="5670" w:type="dxa"/>
            <w:tcBorders>
              <w:top w:val="single" w:sz="6" w:space="0" w:color="000000"/>
              <w:left w:val="single" w:sz="6" w:space="0" w:color="000000"/>
              <w:bottom w:val="single" w:sz="6" w:space="0" w:color="000000"/>
              <w:right w:val="single" w:sz="6" w:space="0" w:color="000000"/>
            </w:tcBorders>
            <w:shd w:val="clear" w:color="auto" w:fill="auto"/>
            <w:hideMark/>
          </w:tcPr>
          <w:p w14:paraId="14DC87B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причепи та напівпричепи для тимчасового проживання у кемпінгах, типу причіпних будиночків масою понад 3500 кг, крім тих, що складаються</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4F5B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109 євро за 1 штуку</w:t>
            </w:r>
          </w:p>
        </w:tc>
      </w:tr>
    </w:tbl>
    <w:p w14:paraId="70019B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19" w:name="n11397"/>
      <w:bookmarkEnd w:id="6819"/>
      <w:r w:rsidRPr="008B264B">
        <w:rPr>
          <w:rFonts w:ascii="Times New Roman" w:eastAsia="Times New Roman" w:hAnsi="Times New Roman" w:cs="Times New Roman"/>
          <w:color w:val="000000"/>
          <w:sz w:val="24"/>
          <w:szCs w:val="24"/>
          <w:lang/>
        </w:rPr>
        <w:t>215.3.9. електрична енергія:</w:t>
      </w:r>
    </w:p>
    <w:tbl>
      <w:tblPr>
        <w:tblW w:w="5000" w:type="pct"/>
        <w:tblBorders>
          <w:top w:val="outset" w:sz="2" w:space="0" w:color="auto"/>
          <w:left w:val="outset" w:sz="2" w:space="0" w:color="auto"/>
          <w:bottom w:val="outset" w:sz="2" w:space="0" w:color="auto"/>
          <w:right w:val="outset" w:sz="2" w:space="0" w:color="auto"/>
        </w:tblBorders>
        <w:tblCellMar>
          <w:top w:w="60" w:type="dxa"/>
          <w:left w:w="60" w:type="dxa"/>
          <w:bottom w:w="60" w:type="dxa"/>
          <w:right w:w="60" w:type="dxa"/>
        </w:tblCellMar>
        <w:tblLook w:val="04A0" w:firstRow="1" w:lastRow="0" w:firstColumn="1" w:lastColumn="0" w:noHBand="0" w:noVBand="1"/>
      </w:tblPr>
      <w:tblGrid>
        <w:gridCol w:w="3029"/>
        <w:gridCol w:w="2928"/>
        <w:gridCol w:w="1874"/>
        <w:gridCol w:w="2075"/>
      </w:tblGrid>
      <w:tr w:rsidR="008B264B" w:rsidRPr="008B264B" w14:paraId="66EC94E8" w14:textId="77777777" w:rsidTr="008B264B">
        <w:trPr>
          <w:trHeight w:val="1410"/>
        </w:trPr>
        <w:tc>
          <w:tcPr>
            <w:tcW w:w="2715" w:type="dxa"/>
            <w:tcBorders>
              <w:top w:val="single" w:sz="6" w:space="0" w:color="000000"/>
              <w:left w:val="single" w:sz="6" w:space="0" w:color="000000"/>
              <w:bottom w:val="single" w:sz="6" w:space="0" w:color="000000"/>
              <w:right w:val="single" w:sz="6" w:space="0" w:color="000000"/>
            </w:tcBorders>
            <w:shd w:val="clear" w:color="auto" w:fill="auto"/>
            <w:hideMark/>
          </w:tcPr>
          <w:p w14:paraId="08B1AD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6820" w:name="n11398"/>
            <w:bookmarkEnd w:id="6820"/>
            <w:r w:rsidRPr="008B264B">
              <w:rPr>
                <w:rFonts w:ascii="Times New Roman" w:eastAsia="Times New Roman" w:hAnsi="Times New Roman" w:cs="Times New Roman"/>
                <w:sz w:val="24"/>
                <w:szCs w:val="24"/>
                <w:lang/>
              </w:rPr>
              <w:t>Код товару (продукції) згідно з </w:t>
            </w:r>
            <w:hyperlink r:id="rId3824" w:anchor="n621" w:tgtFrame="_blank" w:history="1">
              <w:r w:rsidRPr="008B264B">
                <w:rPr>
                  <w:rFonts w:ascii="Times New Roman" w:eastAsia="Times New Roman" w:hAnsi="Times New Roman" w:cs="Times New Roman"/>
                  <w:color w:val="0000FF"/>
                  <w:sz w:val="24"/>
                  <w:szCs w:val="24"/>
                  <w:u w:val="single"/>
                  <w:lang/>
                </w:rPr>
                <w:t>УКТ ЗЕД</w:t>
              </w:r>
            </w:hyperlink>
          </w:p>
        </w:tc>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23675C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1680" w:type="dxa"/>
            <w:tcBorders>
              <w:top w:val="single" w:sz="6" w:space="0" w:color="000000"/>
              <w:left w:val="single" w:sz="6" w:space="0" w:color="000000"/>
              <w:bottom w:val="single" w:sz="6" w:space="0" w:color="000000"/>
              <w:right w:val="single" w:sz="6" w:space="0" w:color="000000"/>
            </w:tcBorders>
            <w:shd w:val="clear" w:color="auto" w:fill="auto"/>
            <w:hideMark/>
          </w:tcPr>
          <w:p w14:paraId="4F4A54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1860" w:type="dxa"/>
            <w:tcBorders>
              <w:top w:val="single" w:sz="6" w:space="0" w:color="000000"/>
              <w:left w:val="single" w:sz="6" w:space="0" w:color="000000"/>
              <w:bottom w:val="single" w:sz="6" w:space="0" w:color="000000"/>
              <w:right w:val="single" w:sz="6" w:space="0" w:color="000000"/>
            </w:tcBorders>
            <w:shd w:val="clear" w:color="auto" w:fill="auto"/>
            <w:hideMark/>
          </w:tcPr>
          <w:p w14:paraId="7187199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 (адвалорна)</w:t>
            </w:r>
          </w:p>
        </w:tc>
      </w:tr>
      <w:tr w:rsidR="008B264B" w:rsidRPr="008B264B" w14:paraId="68D2D4CE" w14:textId="77777777" w:rsidTr="008B264B">
        <w:tc>
          <w:tcPr>
            <w:tcW w:w="2715" w:type="dxa"/>
            <w:tcBorders>
              <w:top w:val="single" w:sz="6" w:space="0" w:color="000000"/>
              <w:left w:val="single" w:sz="6" w:space="0" w:color="000000"/>
              <w:bottom w:val="single" w:sz="6" w:space="0" w:color="000000"/>
              <w:right w:val="single" w:sz="6" w:space="0" w:color="000000"/>
            </w:tcBorders>
            <w:shd w:val="clear" w:color="auto" w:fill="auto"/>
            <w:hideMark/>
          </w:tcPr>
          <w:p w14:paraId="1D19823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2716 00 00 00</w:t>
            </w:r>
          </w:p>
        </w:tc>
        <w:tc>
          <w:tcPr>
            <w:tcW w:w="2625" w:type="dxa"/>
            <w:tcBorders>
              <w:top w:val="single" w:sz="6" w:space="0" w:color="000000"/>
              <w:left w:val="single" w:sz="6" w:space="0" w:color="000000"/>
              <w:bottom w:val="single" w:sz="6" w:space="0" w:color="000000"/>
              <w:right w:val="single" w:sz="6" w:space="0" w:color="000000"/>
            </w:tcBorders>
            <w:shd w:val="clear" w:color="auto" w:fill="auto"/>
            <w:hideMark/>
          </w:tcPr>
          <w:p w14:paraId="76A459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Електроенергія</w:t>
            </w:r>
          </w:p>
        </w:tc>
        <w:tc>
          <w:tcPr>
            <w:tcW w:w="1680" w:type="dxa"/>
            <w:tcBorders>
              <w:top w:val="single" w:sz="6" w:space="0" w:color="000000"/>
              <w:left w:val="single" w:sz="6" w:space="0" w:color="000000"/>
              <w:bottom w:val="single" w:sz="6" w:space="0" w:color="000000"/>
              <w:right w:val="single" w:sz="6" w:space="0" w:color="000000"/>
            </w:tcBorders>
            <w:shd w:val="clear" w:color="auto" w:fill="auto"/>
            <w:hideMark/>
          </w:tcPr>
          <w:p w14:paraId="1A0D83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відсотків</w:t>
            </w:r>
          </w:p>
        </w:tc>
        <w:tc>
          <w:tcPr>
            <w:tcW w:w="1860" w:type="dxa"/>
            <w:tcBorders>
              <w:top w:val="single" w:sz="6" w:space="0" w:color="000000"/>
              <w:left w:val="single" w:sz="6" w:space="0" w:color="000000"/>
              <w:bottom w:val="single" w:sz="6" w:space="0" w:color="000000"/>
              <w:right w:val="single" w:sz="6" w:space="0" w:color="000000"/>
            </w:tcBorders>
            <w:shd w:val="clear" w:color="auto" w:fill="auto"/>
            <w:hideMark/>
          </w:tcPr>
          <w:p w14:paraId="1377751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w:t>
            </w:r>
          </w:p>
        </w:tc>
      </w:tr>
    </w:tbl>
    <w:p w14:paraId="7B3AD5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1" w:name="n11400"/>
      <w:bookmarkEnd w:id="6821"/>
      <w:r w:rsidRPr="008B264B">
        <w:rPr>
          <w:rFonts w:ascii="Times New Roman" w:eastAsia="Times New Roman" w:hAnsi="Times New Roman" w:cs="Times New Roman"/>
          <w:i/>
          <w:iCs/>
          <w:color w:val="000000"/>
          <w:sz w:val="24"/>
          <w:szCs w:val="24"/>
          <w:lang/>
        </w:rPr>
        <w:t>{Пункт 215.3 статті 215 доповнено підпунктом 215.3.9 згідно із Законом </w:t>
      </w:r>
      <w:hyperlink r:id="rId3825" w:anchor="n82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1F5F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2" w:name="n11399"/>
      <w:bookmarkEnd w:id="6822"/>
      <w:r w:rsidRPr="008B264B">
        <w:rPr>
          <w:rFonts w:ascii="Times New Roman" w:eastAsia="Times New Roman" w:hAnsi="Times New Roman" w:cs="Times New Roman"/>
          <w:color w:val="000000"/>
          <w:sz w:val="24"/>
          <w:szCs w:val="24"/>
          <w:lang/>
        </w:rPr>
        <w:t>215.3.10. Для пива, алкогольних напоїв, тютюнових виробів, тютюну та промислових замінників тютюну, реалізованих відповідно до </w:t>
      </w:r>
      <w:hyperlink r:id="rId3826" w:anchor="n11368" w:history="1">
        <w:r w:rsidRPr="008B264B">
          <w:rPr>
            <w:rFonts w:ascii="Times New Roman" w:eastAsia="Times New Roman" w:hAnsi="Times New Roman" w:cs="Times New Roman"/>
            <w:color w:val="0000FF"/>
            <w:sz w:val="24"/>
            <w:szCs w:val="24"/>
            <w:u w:val="single"/>
            <w:lang/>
          </w:rPr>
          <w:t>підпункту 213.1.9</w:t>
        </w:r>
      </w:hyperlink>
      <w:r w:rsidRPr="008B264B">
        <w:rPr>
          <w:rFonts w:ascii="Times New Roman" w:eastAsia="Times New Roman" w:hAnsi="Times New Roman" w:cs="Times New Roman"/>
          <w:color w:val="000000"/>
          <w:sz w:val="24"/>
          <w:szCs w:val="24"/>
          <w:lang/>
        </w:rPr>
        <w:t> пункту 213.1 статті 213 цього Кодексу, ставка податку становить 5 відсотків.</w:t>
      </w:r>
    </w:p>
    <w:p w14:paraId="1DA2BD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3" w:name="n11396"/>
      <w:bookmarkEnd w:id="6823"/>
      <w:r w:rsidRPr="008B264B">
        <w:rPr>
          <w:rFonts w:ascii="Times New Roman" w:eastAsia="Times New Roman" w:hAnsi="Times New Roman" w:cs="Times New Roman"/>
          <w:i/>
          <w:iCs/>
          <w:color w:val="000000"/>
          <w:sz w:val="24"/>
          <w:szCs w:val="24"/>
          <w:lang/>
        </w:rPr>
        <w:t>{Пункт 215.3 статті 215 доповнено підпунктом 215.3.10 згідно із Законом </w:t>
      </w:r>
      <w:hyperlink r:id="rId3827" w:anchor="n82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828" w:anchor="n38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29" w:anchor="n4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74ED6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4" w:name="n5517"/>
      <w:bookmarkEnd w:id="6824"/>
      <w:r w:rsidRPr="008B264B">
        <w:rPr>
          <w:rFonts w:ascii="Times New Roman" w:eastAsia="Times New Roman" w:hAnsi="Times New Roman" w:cs="Times New Roman"/>
          <w:i/>
          <w:iCs/>
          <w:color w:val="000000"/>
          <w:sz w:val="24"/>
          <w:szCs w:val="24"/>
          <w:lang/>
        </w:rPr>
        <w:t>{Пункт 215.3 статті 215 із змінами, внесеними згідно із Законом </w:t>
      </w:r>
      <w:hyperlink r:id="rId383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3831"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w:t>
      </w:r>
    </w:p>
    <w:p w14:paraId="767615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5" w:name="n5518"/>
      <w:bookmarkEnd w:id="6825"/>
      <w:r w:rsidRPr="008B264B">
        <w:rPr>
          <w:rFonts w:ascii="Times New Roman" w:eastAsia="Times New Roman" w:hAnsi="Times New Roman" w:cs="Times New Roman"/>
          <w:i/>
          <w:iCs/>
          <w:color w:val="000000"/>
          <w:sz w:val="24"/>
          <w:szCs w:val="24"/>
          <w:lang/>
        </w:rPr>
        <w:t>{Статтю 215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3832" w:anchor="n8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191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6" w:name="n5526"/>
      <w:bookmarkEnd w:id="6826"/>
      <w:r w:rsidRPr="008B264B">
        <w:rPr>
          <w:rFonts w:ascii="Times New Roman" w:eastAsia="Times New Roman" w:hAnsi="Times New Roman" w:cs="Times New Roman"/>
          <w:b/>
          <w:bCs/>
          <w:color w:val="000000"/>
          <w:sz w:val="24"/>
          <w:szCs w:val="24"/>
          <w:lang/>
        </w:rPr>
        <w:t>Стаття 216.</w:t>
      </w:r>
      <w:r w:rsidRPr="008B264B">
        <w:rPr>
          <w:rFonts w:ascii="Times New Roman" w:eastAsia="Times New Roman" w:hAnsi="Times New Roman" w:cs="Times New Roman"/>
          <w:color w:val="000000"/>
          <w:sz w:val="24"/>
          <w:szCs w:val="24"/>
          <w:lang/>
        </w:rPr>
        <w:t> Дата виникнення податкових зобов'язань</w:t>
      </w:r>
    </w:p>
    <w:p w14:paraId="7BE7E7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7" w:name="n5527"/>
      <w:bookmarkEnd w:id="6827"/>
      <w:r w:rsidRPr="008B264B">
        <w:rPr>
          <w:rFonts w:ascii="Times New Roman" w:eastAsia="Times New Roman" w:hAnsi="Times New Roman" w:cs="Times New Roman"/>
          <w:color w:val="000000"/>
          <w:sz w:val="24"/>
          <w:szCs w:val="24"/>
          <w:lang/>
        </w:rPr>
        <w:t>216.1. Датою виникнення податкових зобов'язань щодо підакцизних товарів (продукції), вироблених на митній території України, є дата їх реалізації особою, яка їх виробляє, незалежно від цілей і напрямів подальшого використання таких товарів (продукції), крім випадків, зазначених у </w:t>
      </w:r>
      <w:hyperlink r:id="rId3833" w:anchor="n5611" w:history="1">
        <w:r w:rsidRPr="008B264B">
          <w:rPr>
            <w:rFonts w:ascii="Times New Roman" w:eastAsia="Times New Roman" w:hAnsi="Times New Roman" w:cs="Times New Roman"/>
            <w:color w:val="0000FF"/>
            <w:sz w:val="24"/>
            <w:szCs w:val="24"/>
            <w:u w:val="single"/>
            <w:lang/>
          </w:rPr>
          <w:t>статтях 225</w:t>
        </w:r>
      </w:hyperlink>
      <w:r w:rsidRPr="008B264B">
        <w:rPr>
          <w:rFonts w:ascii="Times New Roman" w:eastAsia="Times New Roman" w:hAnsi="Times New Roman" w:cs="Times New Roman"/>
          <w:color w:val="000000"/>
          <w:sz w:val="24"/>
          <w:szCs w:val="24"/>
          <w:lang/>
        </w:rPr>
        <w:t> та </w:t>
      </w:r>
      <w:hyperlink r:id="rId3834" w:anchor="n5676" w:history="1">
        <w:r w:rsidRPr="008B264B">
          <w:rPr>
            <w:rFonts w:ascii="Times New Roman" w:eastAsia="Times New Roman" w:hAnsi="Times New Roman" w:cs="Times New Roman"/>
            <w:color w:val="0000FF"/>
            <w:sz w:val="24"/>
            <w:szCs w:val="24"/>
            <w:u w:val="single"/>
            <w:lang/>
          </w:rPr>
          <w:t>229</w:t>
        </w:r>
      </w:hyperlink>
      <w:r w:rsidRPr="008B264B">
        <w:rPr>
          <w:rFonts w:ascii="Times New Roman" w:eastAsia="Times New Roman" w:hAnsi="Times New Roman" w:cs="Times New Roman"/>
          <w:color w:val="000000"/>
          <w:sz w:val="24"/>
          <w:szCs w:val="24"/>
          <w:lang/>
        </w:rPr>
        <w:t> цього Кодексу.</w:t>
      </w:r>
    </w:p>
    <w:p w14:paraId="0A9BD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8" w:name="n5528"/>
      <w:bookmarkEnd w:id="6828"/>
      <w:r w:rsidRPr="008B264B">
        <w:rPr>
          <w:rFonts w:ascii="Times New Roman" w:eastAsia="Times New Roman" w:hAnsi="Times New Roman" w:cs="Times New Roman"/>
          <w:color w:val="000000"/>
          <w:sz w:val="24"/>
          <w:szCs w:val="24"/>
          <w:lang/>
        </w:rPr>
        <w:t>216.2. Датою виникнення податкового зобов'язання щодо зіпсованого, знищеного, втраченого підакцизного товару (продукції) є дата складання відповідного акта. У цьому пункті втраченим є товар (продукція), місцезнаходження якого платник податку не може встановити.</w:t>
      </w:r>
    </w:p>
    <w:p w14:paraId="16F5EA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29" w:name="n5529"/>
      <w:bookmarkEnd w:id="6829"/>
      <w:r w:rsidRPr="008B264B">
        <w:rPr>
          <w:rFonts w:ascii="Times New Roman" w:eastAsia="Times New Roman" w:hAnsi="Times New Roman" w:cs="Times New Roman"/>
          <w:color w:val="000000"/>
          <w:sz w:val="24"/>
          <w:szCs w:val="24"/>
          <w:lang/>
        </w:rPr>
        <w:t>216.3. Податкове зобов'язання щодо втраченого підакцизного товару (продукції) не виникає, якщо:</w:t>
      </w:r>
    </w:p>
    <w:p w14:paraId="733474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0" w:name="n5530"/>
      <w:bookmarkEnd w:id="6830"/>
      <w:r w:rsidRPr="008B264B">
        <w:rPr>
          <w:rFonts w:ascii="Times New Roman" w:eastAsia="Times New Roman" w:hAnsi="Times New Roman" w:cs="Times New Roman"/>
          <w:color w:val="000000"/>
          <w:sz w:val="24"/>
          <w:szCs w:val="24"/>
          <w:lang/>
        </w:rPr>
        <w:t>а) платник податку документально зафіксував ці втрати та надав контролюючим органам необхідні докази того, що відповідний підакцизний товар (продукцію) утрачено внаслідок аварії, пожежі, повені чи інших форс-мажорних обставин і його використання на митній території України є неможливим;</w:t>
      </w:r>
    </w:p>
    <w:p w14:paraId="3E68F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1" w:name="n5531"/>
      <w:bookmarkEnd w:id="6831"/>
      <w:r w:rsidRPr="008B264B">
        <w:rPr>
          <w:rFonts w:ascii="Times New Roman" w:eastAsia="Times New Roman" w:hAnsi="Times New Roman" w:cs="Times New Roman"/>
          <w:color w:val="000000"/>
          <w:sz w:val="24"/>
          <w:szCs w:val="24"/>
          <w:lang/>
        </w:rPr>
        <w:t>б) підакцизний товар (продукцію) утрачено внаслідок випаровування в процесі виробництва, обробки, переробки, зберігання чи транспортування такого товару (продукції) чи з іншої причини, пов'язаної з природним результатом. Ця вимога застосовується у разі втрати підакцизних товарів (продукції) у межах нормативів втрат, які затверджуються в порядку, що визначається Кабінетом Міністрів України.</w:t>
      </w:r>
    </w:p>
    <w:p w14:paraId="5B20CE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2" w:name="n5532"/>
      <w:bookmarkEnd w:id="6832"/>
      <w:r w:rsidRPr="008B264B">
        <w:rPr>
          <w:rFonts w:ascii="Times New Roman" w:eastAsia="Times New Roman" w:hAnsi="Times New Roman" w:cs="Times New Roman"/>
          <w:i/>
          <w:iCs/>
          <w:color w:val="000000"/>
          <w:sz w:val="24"/>
          <w:szCs w:val="24"/>
          <w:lang/>
        </w:rPr>
        <w:t>{Підпункт "б" пункту 216.3 статті 216 із змінами, внесеними згідно із Законом </w:t>
      </w:r>
      <w:hyperlink r:id="rId3835" w:anchor="n35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щодо змін додатково див. </w:t>
      </w:r>
      <w:hyperlink r:id="rId3836" w:anchor="n2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37" w:anchor="n9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49040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3" w:name="n5533"/>
      <w:bookmarkEnd w:id="6833"/>
      <w:r w:rsidRPr="008B264B">
        <w:rPr>
          <w:rFonts w:ascii="Times New Roman" w:eastAsia="Times New Roman" w:hAnsi="Times New Roman" w:cs="Times New Roman"/>
          <w:color w:val="000000"/>
          <w:sz w:val="24"/>
          <w:szCs w:val="24"/>
          <w:lang/>
        </w:rPr>
        <w:t>216.4. Датою виникнення податкових зобов'язань у разі ввезення підакцизних товарів (продукції) на митну територію України є дата подання контролюючому органу </w:t>
      </w:r>
      <w:hyperlink r:id="rId3838" w:anchor="n14" w:tgtFrame="_blank" w:history="1">
        <w:r w:rsidRPr="008B264B">
          <w:rPr>
            <w:rFonts w:ascii="Times New Roman" w:eastAsia="Times New Roman" w:hAnsi="Times New Roman" w:cs="Times New Roman"/>
            <w:color w:val="0000FF"/>
            <w:sz w:val="24"/>
            <w:szCs w:val="24"/>
            <w:u w:val="single"/>
            <w:lang/>
          </w:rPr>
          <w:t>митної декларації</w:t>
        </w:r>
      </w:hyperlink>
      <w:r w:rsidRPr="008B264B">
        <w:rPr>
          <w:rFonts w:ascii="Times New Roman" w:eastAsia="Times New Roman" w:hAnsi="Times New Roman" w:cs="Times New Roman"/>
          <w:color w:val="000000"/>
          <w:sz w:val="24"/>
          <w:szCs w:val="24"/>
          <w:lang/>
        </w:rPr>
        <w:t> для митного оформлення або дата нарахування такого податкового зобов'язання контролюючим органом у визначених законодавством випадках.</w:t>
      </w:r>
    </w:p>
    <w:p w14:paraId="7CFB9C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4" w:name="n5534"/>
      <w:bookmarkEnd w:id="6834"/>
      <w:r w:rsidRPr="008B264B">
        <w:rPr>
          <w:rFonts w:ascii="Times New Roman" w:eastAsia="Times New Roman" w:hAnsi="Times New Roman" w:cs="Times New Roman"/>
          <w:color w:val="000000"/>
          <w:sz w:val="24"/>
          <w:szCs w:val="24"/>
          <w:lang/>
        </w:rPr>
        <w:t>216.5. При передачі підакцизних товарів (продукції), вироблених з давальницької сировини, датою виникнення податкових зобов'язань є дата їх відвантаження виробником замовнику або за його дорученням іншій особі.</w:t>
      </w:r>
    </w:p>
    <w:p w14:paraId="5BA428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5" w:name="n5535"/>
      <w:bookmarkEnd w:id="6835"/>
      <w:r w:rsidRPr="008B264B">
        <w:rPr>
          <w:rFonts w:ascii="Times New Roman" w:eastAsia="Times New Roman" w:hAnsi="Times New Roman" w:cs="Times New Roman"/>
          <w:color w:val="000000"/>
          <w:sz w:val="24"/>
          <w:szCs w:val="24"/>
          <w:lang/>
        </w:rPr>
        <w:t>216.6. При використанні підакцизних товарів (продукції) для власних виробничих потреб датою виникнення податкових зобов'язань є дата їх передачі для такого використання, крім використання для виробництва підакцизних товарів (продукції).</w:t>
      </w:r>
    </w:p>
    <w:p w14:paraId="43BDCC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6" w:name="n5536"/>
      <w:bookmarkEnd w:id="6836"/>
      <w:r w:rsidRPr="008B264B">
        <w:rPr>
          <w:rFonts w:ascii="Times New Roman" w:eastAsia="Times New Roman" w:hAnsi="Times New Roman" w:cs="Times New Roman"/>
          <w:i/>
          <w:iCs/>
          <w:color w:val="000000"/>
          <w:sz w:val="24"/>
          <w:szCs w:val="24"/>
          <w:lang/>
        </w:rPr>
        <w:t>{Пункт 216.7 статті 216 виключено на підставі Закону </w:t>
      </w:r>
      <w:hyperlink r:id="rId3839" w:anchor="n82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36246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7" w:name="n9629"/>
      <w:bookmarkEnd w:id="6837"/>
      <w:r w:rsidRPr="008B264B">
        <w:rPr>
          <w:rFonts w:ascii="Times New Roman" w:eastAsia="Times New Roman" w:hAnsi="Times New Roman" w:cs="Times New Roman"/>
          <w:i/>
          <w:iCs/>
          <w:color w:val="000000"/>
          <w:sz w:val="24"/>
          <w:szCs w:val="24"/>
          <w:lang/>
        </w:rPr>
        <w:lastRenderedPageBreak/>
        <w:t>{Пункт  216.8 статті 216 виключено на підставі Закону </w:t>
      </w:r>
      <w:hyperlink r:id="rId3840" w:anchor="n11"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4C3FBE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8" w:name="n11402"/>
      <w:bookmarkEnd w:id="6838"/>
      <w:r w:rsidRPr="008B264B">
        <w:rPr>
          <w:rFonts w:ascii="Times New Roman" w:eastAsia="Times New Roman" w:hAnsi="Times New Roman" w:cs="Times New Roman"/>
          <w:color w:val="000000"/>
          <w:sz w:val="24"/>
          <w:szCs w:val="24"/>
          <w:lang/>
        </w:rPr>
        <w:t>216.9. Датою виникнення податкових зобов’язань щодо реалізації суб’єктами господарювання роздрібної торгівлі підакцизних товарів є дата здійснення розрахункової операції відповідно до </w:t>
      </w:r>
      <w:hyperlink r:id="rId384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застосування реєстраторів розрахункових операцій в сфері торгівлі, громадського харчування та послуг", для безготівкових розрахунків - дата оформлення розрахункового документа на суму проведеної операції, який підтверджує факт продажу, а у разі реалізації товарів фізичними особами - підприємцями, які сплачують єдиний податок, - дата надходження оплати за проданий товар.</w:t>
      </w:r>
    </w:p>
    <w:p w14:paraId="448DAD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39" w:name="n11406"/>
      <w:bookmarkEnd w:id="6839"/>
      <w:r w:rsidRPr="008B264B">
        <w:rPr>
          <w:rFonts w:ascii="Times New Roman" w:eastAsia="Times New Roman" w:hAnsi="Times New Roman" w:cs="Times New Roman"/>
          <w:i/>
          <w:iCs/>
          <w:color w:val="000000"/>
          <w:sz w:val="24"/>
          <w:szCs w:val="24"/>
          <w:lang/>
        </w:rPr>
        <w:t>{Статтю 216 доповнено пунктом 216.9 згідно із Законом </w:t>
      </w:r>
      <w:hyperlink r:id="rId3842" w:anchor="n8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3843" w:anchor="n38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44" w:anchor="n47"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A3667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0" w:name="n11403"/>
      <w:bookmarkEnd w:id="6840"/>
      <w:r w:rsidRPr="008B264B">
        <w:rPr>
          <w:rFonts w:ascii="Times New Roman" w:eastAsia="Times New Roman" w:hAnsi="Times New Roman" w:cs="Times New Roman"/>
          <w:color w:val="000000"/>
          <w:sz w:val="24"/>
          <w:szCs w:val="24"/>
          <w:lang/>
        </w:rPr>
        <w:t>216.10. Датою виникнення податкових зобов’язань щодо постачання електроенергії є дата підписання акту прийому-передачі електроенергії.</w:t>
      </w:r>
    </w:p>
    <w:p w14:paraId="64364D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1" w:name="n11405"/>
      <w:bookmarkEnd w:id="6841"/>
      <w:r w:rsidRPr="008B264B">
        <w:rPr>
          <w:rFonts w:ascii="Times New Roman" w:eastAsia="Times New Roman" w:hAnsi="Times New Roman" w:cs="Times New Roman"/>
          <w:i/>
          <w:iCs/>
          <w:color w:val="000000"/>
          <w:sz w:val="24"/>
          <w:szCs w:val="24"/>
          <w:lang/>
        </w:rPr>
        <w:t>{Статтю 216 доповнено пунктом 216.10 згідно із Законом </w:t>
      </w:r>
      <w:hyperlink r:id="rId3845" w:anchor="n8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25AFA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2" w:name="n11404"/>
      <w:bookmarkEnd w:id="6842"/>
      <w:r w:rsidRPr="008B264B">
        <w:rPr>
          <w:rFonts w:ascii="Times New Roman" w:eastAsia="Times New Roman" w:hAnsi="Times New Roman" w:cs="Times New Roman"/>
          <w:color w:val="000000"/>
          <w:sz w:val="24"/>
          <w:szCs w:val="24"/>
          <w:lang/>
        </w:rPr>
        <w:t>216.11. Датою виникнення податкових зобов’язань у разі здійснення переобладнання вантажного транспортного засобу, який відповідає товарній позиції 8704 згідно з </w:t>
      </w:r>
      <w:hyperlink r:id="rId3846"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легковий автомобіль, який відповідає товарній позиції 8703 згідно з УКТ ЗЕД, є дата видачі документа про відповідність переобладнаного автомобіля вимогам безпеки дорожнього руху. У цьому випадку акцизний податок сплачується власником такого транспортного засобу не пізніше дати подання документів до органу, що здійснює державну реєстрацію транспортних засобів, для реєстрації або перереєстрації такого транспортного засобу.</w:t>
      </w:r>
    </w:p>
    <w:p w14:paraId="473739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3" w:name="n11401"/>
      <w:bookmarkEnd w:id="6843"/>
      <w:r w:rsidRPr="008B264B">
        <w:rPr>
          <w:rFonts w:ascii="Times New Roman" w:eastAsia="Times New Roman" w:hAnsi="Times New Roman" w:cs="Times New Roman"/>
          <w:i/>
          <w:iCs/>
          <w:color w:val="000000"/>
          <w:sz w:val="24"/>
          <w:szCs w:val="24"/>
          <w:lang/>
        </w:rPr>
        <w:t>{Статтю 216 доповнено пунктом 216.11 згідно із Законом </w:t>
      </w:r>
      <w:hyperlink r:id="rId3847" w:anchor="n8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48" w:anchor="n23"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2CAADA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4" w:name="n12868"/>
      <w:bookmarkEnd w:id="6844"/>
      <w:r w:rsidRPr="008B264B">
        <w:rPr>
          <w:rFonts w:ascii="Times New Roman" w:eastAsia="Times New Roman" w:hAnsi="Times New Roman" w:cs="Times New Roman"/>
          <w:color w:val="000000"/>
          <w:sz w:val="24"/>
          <w:szCs w:val="24"/>
          <w:lang/>
        </w:rPr>
        <w:t>216.12. Датою виникнення податкових зобов’язань щодо операцій, визначених у </w:t>
      </w:r>
      <w:hyperlink r:id="rId3849" w:anchor="n12858" w:history="1">
        <w:r w:rsidRPr="008B264B">
          <w:rPr>
            <w:rFonts w:ascii="Times New Roman" w:eastAsia="Times New Roman" w:hAnsi="Times New Roman" w:cs="Times New Roman"/>
            <w:color w:val="0000FF"/>
            <w:sz w:val="24"/>
            <w:szCs w:val="24"/>
            <w:u w:val="single"/>
            <w:lang/>
          </w:rPr>
          <w:t>підпункті 213.1.12</w:t>
        </w:r>
      </w:hyperlink>
      <w:r w:rsidRPr="008B264B">
        <w:rPr>
          <w:rFonts w:ascii="Times New Roman" w:eastAsia="Times New Roman" w:hAnsi="Times New Roman" w:cs="Times New Roman"/>
          <w:color w:val="000000"/>
          <w:sz w:val="24"/>
          <w:szCs w:val="24"/>
          <w:lang/>
        </w:rPr>
        <w:t> пункту 213.1 статті 213 цього Кодексу, є дата реалізації таких обсягів пального або спирту етилового.</w:t>
      </w:r>
    </w:p>
    <w:p w14:paraId="31813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5" w:name="n12867"/>
      <w:bookmarkEnd w:id="6845"/>
      <w:r w:rsidRPr="008B264B">
        <w:rPr>
          <w:rFonts w:ascii="Times New Roman" w:eastAsia="Times New Roman" w:hAnsi="Times New Roman" w:cs="Times New Roman"/>
          <w:i/>
          <w:iCs/>
          <w:color w:val="000000"/>
          <w:sz w:val="24"/>
          <w:szCs w:val="24"/>
          <w:lang/>
        </w:rPr>
        <w:t>{Статтю 216 доповнено пунктом 216.12 згідно із Законом </w:t>
      </w:r>
      <w:hyperlink r:id="rId3850" w:anchor="n38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851" w:anchor="n29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449D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6" w:name="n15948"/>
      <w:bookmarkEnd w:id="6846"/>
      <w:r w:rsidRPr="008B264B">
        <w:rPr>
          <w:rFonts w:ascii="Times New Roman" w:eastAsia="Times New Roman" w:hAnsi="Times New Roman" w:cs="Times New Roman"/>
          <w:color w:val="000000"/>
          <w:sz w:val="24"/>
          <w:szCs w:val="24"/>
          <w:lang/>
        </w:rPr>
        <w:t>216.13. Датою виникнення податкових зобов’язань щодо операцій, визначених у підпункті 213.1.13 пункту 213.1 статті 213 цього Кодексу, є дата використання товарів (продукції) як пального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 коди яких згідно з УКТ ЗЕД не зазначені у </w:t>
      </w:r>
      <w:hyperlink r:id="rId3852"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85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F3B7C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7" w:name="n15947"/>
      <w:bookmarkEnd w:id="6847"/>
      <w:r w:rsidRPr="008B264B">
        <w:rPr>
          <w:rFonts w:ascii="Times New Roman" w:eastAsia="Times New Roman" w:hAnsi="Times New Roman" w:cs="Times New Roman"/>
          <w:i/>
          <w:iCs/>
          <w:color w:val="000000"/>
          <w:sz w:val="24"/>
          <w:szCs w:val="24"/>
          <w:lang/>
        </w:rPr>
        <w:t>{Статтю 216 доповнено пунктом 216.13 згідно із Законом </w:t>
      </w:r>
      <w:hyperlink r:id="rId3854" w:anchor="n7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81975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8" w:name="n5538"/>
      <w:bookmarkEnd w:id="6848"/>
      <w:r w:rsidRPr="008B264B">
        <w:rPr>
          <w:rFonts w:ascii="Times New Roman" w:eastAsia="Times New Roman" w:hAnsi="Times New Roman" w:cs="Times New Roman"/>
          <w:b/>
          <w:bCs/>
          <w:color w:val="000000"/>
          <w:sz w:val="24"/>
          <w:szCs w:val="24"/>
          <w:lang/>
        </w:rPr>
        <w:t>Стаття 217.</w:t>
      </w:r>
      <w:r w:rsidRPr="008B264B">
        <w:rPr>
          <w:rFonts w:ascii="Times New Roman" w:eastAsia="Times New Roman" w:hAnsi="Times New Roman" w:cs="Times New Roman"/>
          <w:color w:val="000000"/>
          <w:sz w:val="24"/>
          <w:szCs w:val="24"/>
          <w:lang/>
        </w:rPr>
        <w:t> Порядок обчислення податку з підакцизних товарів (продукції), вироблених на митній території України, а також з підакцизних товарів (продукції), реалізованих суб’єктами господарювання роздрібної торгівлі, та з товарів (продукції), використаних як пальне</w:t>
      </w:r>
    </w:p>
    <w:p w14:paraId="53B774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49" w:name="n12869"/>
      <w:bookmarkEnd w:id="6849"/>
      <w:r w:rsidRPr="008B264B">
        <w:rPr>
          <w:rFonts w:ascii="Times New Roman" w:eastAsia="Times New Roman" w:hAnsi="Times New Roman" w:cs="Times New Roman"/>
          <w:i/>
          <w:iCs/>
          <w:color w:val="000000"/>
          <w:sz w:val="24"/>
          <w:szCs w:val="24"/>
          <w:lang/>
        </w:rPr>
        <w:t>{Назва статті 217 із змінами, внесеними згідно із Законом </w:t>
      </w:r>
      <w:hyperlink r:id="rId3855" w:anchor="n39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856" w:anchor="n7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FF3BF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0" w:name="n5539"/>
      <w:bookmarkEnd w:id="6850"/>
      <w:r w:rsidRPr="008B264B">
        <w:rPr>
          <w:rFonts w:ascii="Times New Roman" w:eastAsia="Times New Roman" w:hAnsi="Times New Roman" w:cs="Times New Roman"/>
          <w:color w:val="000000"/>
          <w:sz w:val="24"/>
          <w:szCs w:val="24"/>
          <w:lang/>
        </w:rPr>
        <w:t>217.1. Суми податку, що підлягають сплаті, з підакцизних товарів (продукції), вироблених на митній території України, з підакцизних товарів (продукції), реалізованих суб’єктами господарювання роздрібної торгівлі, та товарів (продукції), коди яких згідно з УКТ ЗЕД не зазначені у </w:t>
      </w:r>
      <w:hyperlink r:id="rId3857"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85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xml:space="preserve">), які використані як пальне для </w:t>
      </w:r>
      <w:r w:rsidRPr="008B264B">
        <w:rPr>
          <w:rFonts w:ascii="Times New Roman" w:eastAsia="Times New Roman" w:hAnsi="Times New Roman" w:cs="Times New Roman"/>
          <w:color w:val="000000"/>
          <w:sz w:val="24"/>
          <w:szCs w:val="24"/>
          <w:lang/>
        </w:rPr>
        <w:lastRenderedPageBreak/>
        <w:t>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 визначаються платником податку самостійно виходячи з об’єктів оподаткування, бази оподаткування та ставок цього податку, що діють на дату виникнення податкових зобов’язань.</w:t>
      </w:r>
    </w:p>
    <w:p w14:paraId="0511DB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1" w:name="n12870"/>
      <w:bookmarkEnd w:id="6851"/>
      <w:r w:rsidRPr="008B264B">
        <w:rPr>
          <w:rFonts w:ascii="Times New Roman" w:eastAsia="Times New Roman" w:hAnsi="Times New Roman" w:cs="Times New Roman"/>
          <w:i/>
          <w:iCs/>
          <w:color w:val="000000"/>
          <w:sz w:val="24"/>
          <w:szCs w:val="24"/>
          <w:lang/>
        </w:rPr>
        <w:t>{Пункт 217.1 статті 217 із змінами, внесеними згідно із Законом </w:t>
      </w:r>
      <w:hyperlink r:id="rId3859" w:anchor="n39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3860" w:anchor="n8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9175C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2" w:name="n5540"/>
      <w:bookmarkEnd w:id="6852"/>
      <w:r w:rsidRPr="008B264B">
        <w:rPr>
          <w:rFonts w:ascii="Times New Roman" w:eastAsia="Times New Roman" w:hAnsi="Times New Roman" w:cs="Times New Roman"/>
          <w:color w:val="000000"/>
          <w:sz w:val="24"/>
          <w:szCs w:val="24"/>
          <w:lang/>
        </w:rPr>
        <w:t>217.2. Суми податку з підакцизних товарів (продукції), вироблених з давальницької сировини, визначаються виробником (переробником), виходячи з об'єктів оподаткування, бази оподаткування та ставок цього податку, що діють на дату відвантаження готової продукції її замовнику або за його дорученням іншій особі.</w:t>
      </w:r>
    </w:p>
    <w:p w14:paraId="3048B0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3" w:name="n5541"/>
      <w:bookmarkEnd w:id="6853"/>
      <w:r w:rsidRPr="008B264B">
        <w:rPr>
          <w:rFonts w:ascii="Times New Roman" w:eastAsia="Times New Roman" w:hAnsi="Times New Roman" w:cs="Times New Roman"/>
          <w:color w:val="000000"/>
          <w:sz w:val="24"/>
          <w:szCs w:val="24"/>
          <w:lang/>
        </w:rPr>
        <w:t>217.3. Податок з підакцизних товарів (продукції), вироблених на митній території України, та товарів (продукції), коди яких згідно з УКТ ЗЕД не зазначені у </w:t>
      </w:r>
      <w:hyperlink r:id="rId3861"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862"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використані як пальне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 на які встановлені ставки податку в іноземній валюті, сплачується у національній валюті і розраховується за офіційним курсом гривні до іноземної валюти, встановленим Національним банком України, що діє на перший день кварталу, в якому здійснюється реалізація товару (продукції), і залишається незмінним протягом кварталу.</w:t>
      </w:r>
    </w:p>
    <w:p w14:paraId="6FACCF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4" w:name="n12872"/>
      <w:bookmarkEnd w:id="6854"/>
      <w:r w:rsidRPr="008B264B">
        <w:rPr>
          <w:rFonts w:ascii="Times New Roman" w:eastAsia="Times New Roman" w:hAnsi="Times New Roman" w:cs="Times New Roman"/>
          <w:i/>
          <w:iCs/>
          <w:color w:val="000000"/>
          <w:sz w:val="24"/>
          <w:szCs w:val="24"/>
          <w:lang/>
        </w:rPr>
        <w:t>{Абзац другий пункту 217.3 статті 217 виключено на підставі Закону </w:t>
      </w:r>
      <w:hyperlink r:id="rId3863" w:anchor="n48"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3ACD7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5" w:name="n15949"/>
      <w:bookmarkEnd w:id="6855"/>
      <w:r w:rsidRPr="008B264B">
        <w:rPr>
          <w:rFonts w:ascii="Times New Roman" w:eastAsia="Times New Roman" w:hAnsi="Times New Roman" w:cs="Times New Roman"/>
          <w:i/>
          <w:iCs/>
          <w:color w:val="000000"/>
          <w:sz w:val="24"/>
          <w:szCs w:val="24"/>
          <w:lang/>
        </w:rPr>
        <w:t>{Пункт 217.3 статті 217 із змінами, внесеними згідно із Законом </w:t>
      </w:r>
      <w:hyperlink r:id="rId3864" w:anchor="n8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8E61F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6" w:name="n5542"/>
      <w:bookmarkEnd w:id="6856"/>
      <w:r w:rsidRPr="008B264B">
        <w:rPr>
          <w:rFonts w:ascii="Times New Roman" w:eastAsia="Times New Roman" w:hAnsi="Times New Roman" w:cs="Times New Roman"/>
          <w:color w:val="000000"/>
          <w:sz w:val="24"/>
          <w:szCs w:val="24"/>
          <w:lang/>
        </w:rPr>
        <w:t>217.4. Забороняється сплата сум податку шляхом взаємних заліків, зустрічних зобов'язань, векселями та в інших формах, що не передбачають сплати сум такого податку коштами.</w:t>
      </w:r>
    </w:p>
    <w:p w14:paraId="1F5487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7" w:name="n5543"/>
      <w:bookmarkEnd w:id="6857"/>
      <w:r w:rsidRPr="008B264B">
        <w:rPr>
          <w:rFonts w:ascii="Times New Roman" w:eastAsia="Times New Roman" w:hAnsi="Times New Roman" w:cs="Times New Roman"/>
          <w:color w:val="000000"/>
          <w:sz w:val="24"/>
          <w:szCs w:val="24"/>
          <w:lang/>
        </w:rPr>
        <w:t>217.5. У разі повного або часткового повернення покупцем підакцизних товарів (продукції), вироблених (виготовлених) на митній території України, продавцю для усунення недоліків товару (продукції) або його знищення (переробки) у зв'язку з неможливістю усунення таких недоліків, платник податку - продавець проводить коригування податкових зобов'язань зі сплати акцизного податку у звітному періоді, у якому відбулося таке повернення.</w:t>
      </w:r>
    </w:p>
    <w:p w14:paraId="08DD9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8" w:name="n5544"/>
      <w:bookmarkEnd w:id="6858"/>
      <w:r w:rsidRPr="008B264B">
        <w:rPr>
          <w:rFonts w:ascii="Times New Roman" w:eastAsia="Times New Roman" w:hAnsi="Times New Roman" w:cs="Times New Roman"/>
          <w:color w:val="000000"/>
          <w:sz w:val="24"/>
          <w:szCs w:val="24"/>
          <w:lang/>
        </w:rPr>
        <w:t>Сума коригування обчислюється платником податку із застосуванням максимальних роздрібних цін, ставок акцизного податку з урахуванням мінімального податкового зобов'язання зі сплати акцизного податку, які діяли на дату виникнення податкового зобов'язання щодо таких товарів (продукції).</w:t>
      </w:r>
    </w:p>
    <w:p w14:paraId="38360F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59" w:name="n5545"/>
      <w:bookmarkEnd w:id="6859"/>
      <w:r w:rsidRPr="008B264B">
        <w:rPr>
          <w:rFonts w:ascii="Times New Roman" w:eastAsia="Times New Roman" w:hAnsi="Times New Roman" w:cs="Times New Roman"/>
          <w:color w:val="000000"/>
          <w:sz w:val="24"/>
          <w:szCs w:val="24"/>
          <w:lang/>
        </w:rPr>
        <w:t>Сума коригування зазначається в декларації з акцизного податку за звітний період, у якому відбулось таке повернення.</w:t>
      </w:r>
    </w:p>
    <w:p w14:paraId="0D0C73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0" w:name="n5546"/>
      <w:bookmarkEnd w:id="6860"/>
      <w:r w:rsidRPr="008B264B">
        <w:rPr>
          <w:rFonts w:ascii="Times New Roman" w:eastAsia="Times New Roman" w:hAnsi="Times New Roman" w:cs="Times New Roman"/>
          <w:color w:val="000000"/>
          <w:sz w:val="24"/>
          <w:szCs w:val="24"/>
          <w:lang/>
        </w:rPr>
        <w:t>У разі подальшої реалізації цих товарів (продукції) зобов'язання з акцизного податку обчислюються у загальному порядку.</w:t>
      </w:r>
    </w:p>
    <w:p w14:paraId="31C233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1" w:name="n12874"/>
      <w:bookmarkEnd w:id="6861"/>
      <w:r w:rsidRPr="008B264B">
        <w:rPr>
          <w:rFonts w:ascii="Times New Roman" w:eastAsia="Times New Roman" w:hAnsi="Times New Roman" w:cs="Times New Roman"/>
          <w:color w:val="000000"/>
          <w:sz w:val="24"/>
          <w:szCs w:val="24"/>
          <w:lang/>
        </w:rPr>
        <w:t>217.6. Для пального, при виробництві якого в якості сировини використані інші оподатковувані підакцизні товари, сума податку до сплати зменшується на суму податку, розрахованого для такої сировини.</w:t>
      </w:r>
    </w:p>
    <w:p w14:paraId="023F3E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2" w:name="n12875"/>
      <w:bookmarkEnd w:id="6862"/>
      <w:r w:rsidRPr="008B264B">
        <w:rPr>
          <w:rFonts w:ascii="Times New Roman" w:eastAsia="Times New Roman" w:hAnsi="Times New Roman" w:cs="Times New Roman"/>
          <w:color w:val="000000"/>
          <w:sz w:val="24"/>
          <w:szCs w:val="24"/>
          <w:lang/>
        </w:rPr>
        <w:t>Сума податку щодо сировини, що підлягає відніманню, обчислюється із застосуванням ставок податку на таку сировину, чинних на дату реалізації пального. У разі якщо така сума перевищує суму податку з пального, виробленого з такої сировини, різниця платнику не відшкодовується.</w:t>
      </w:r>
    </w:p>
    <w:p w14:paraId="4F59DF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3" w:name="n12876"/>
      <w:bookmarkEnd w:id="6863"/>
      <w:r w:rsidRPr="008B264B">
        <w:rPr>
          <w:rFonts w:ascii="Times New Roman" w:eastAsia="Times New Roman" w:hAnsi="Times New Roman" w:cs="Times New Roman"/>
          <w:color w:val="000000"/>
          <w:sz w:val="24"/>
          <w:szCs w:val="24"/>
          <w:lang/>
        </w:rPr>
        <w:lastRenderedPageBreak/>
        <w:t>Норми цього пункту застосовуються під час функціонування системи електронного адміністрування реалізації пального та спирту етилового, визначеної </w:t>
      </w:r>
      <w:hyperlink r:id="rId3865" w:anchor="n13211" w:history="1">
        <w:r w:rsidRPr="008B264B">
          <w:rPr>
            <w:rFonts w:ascii="Times New Roman" w:eastAsia="Times New Roman" w:hAnsi="Times New Roman" w:cs="Times New Roman"/>
            <w:color w:val="0000FF"/>
            <w:sz w:val="24"/>
            <w:szCs w:val="24"/>
            <w:u w:val="single"/>
            <w:lang/>
          </w:rPr>
          <w:t>статтею 232</w:t>
        </w:r>
      </w:hyperlink>
      <w:r w:rsidRPr="008B264B">
        <w:rPr>
          <w:rFonts w:ascii="Times New Roman" w:eastAsia="Times New Roman" w:hAnsi="Times New Roman" w:cs="Times New Roman"/>
          <w:color w:val="000000"/>
          <w:sz w:val="24"/>
          <w:szCs w:val="24"/>
          <w:lang/>
        </w:rPr>
        <w:t> цього Кодексу.</w:t>
      </w:r>
    </w:p>
    <w:p w14:paraId="45DC0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4" w:name="n15528"/>
      <w:bookmarkEnd w:id="6864"/>
      <w:r w:rsidRPr="008B264B">
        <w:rPr>
          <w:rFonts w:ascii="Times New Roman" w:eastAsia="Times New Roman" w:hAnsi="Times New Roman" w:cs="Times New Roman"/>
          <w:i/>
          <w:iCs/>
          <w:color w:val="000000"/>
          <w:sz w:val="24"/>
          <w:szCs w:val="24"/>
          <w:lang/>
        </w:rPr>
        <w:t>{Абзац третій пункту 217.6 статті 217 із змінами, внесеними згідно із Законом </w:t>
      </w:r>
      <w:hyperlink r:id="rId3866" w:anchor="n29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63CD2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5" w:name="n12873"/>
      <w:bookmarkEnd w:id="6865"/>
      <w:r w:rsidRPr="008B264B">
        <w:rPr>
          <w:rFonts w:ascii="Times New Roman" w:eastAsia="Times New Roman" w:hAnsi="Times New Roman" w:cs="Times New Roman"/>
          <w:i/>
          <w:iCs/>
          <w:color w:val="000000"/>
          <w:sz w:val="24"/>
          <w:szCs w:val="24"/>
          <w:lang/>
        </w:rPr>
        <w:t>{Статтю 217 доповнено пунктом 217.6 згідно із Законом </w:t>
      </w:r>
      <w:hyperlink r:id="rId3867" w:anchor="n3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65818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6" w:name="n5547"/>
      <w:bookmarkEnd w:id="6866"/>
      <w:r w:rsidRPr="008B264B">
        <w:rPr>
          <w:rFonts w:ascii="Times New Roman" w:eastAsia="Times New Roman" w:hAnsi="Times New Roman" w:cs="Times New Roman"/>
          <w:b/>
          <w:bCs/>
          <w:color w:val="000000"/>
          <w:sz w:val="24"/>
          <w:szCs w:val="24"/>
          <w:lang/>
        </w:rPr>
        <w:t>Стаття 218.</w:t>
      </w:r>
      <w:r w:rsidRPr="008B264B">
        <w:rPr>
          <w:rFonts w:ascii="Times New Roman" w:eastAsia="Times New Roman" w:hAnsi="Times New Roman" w:cs="Times New Roman"/>
          <w:color w:val="000000"/>
          <w:sz w:val="24"/>
          <w:szCs w:val="24"/>
          <w:lang/>
        </w:rPr>
        <w:t> Порядок обчислення податку з товарів, які ввозяться на митну територію України</w:t>
      </w:r>
    </w:p>
    <w:p w14:paraId="7CA59F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7" w:name="n5548"/>
      <w:bookmarkEnd w:id="6867"/>
      <w:r w:rsidRPr="008B264B">
        <w:rPr>
          <w:rFonts w:ascii="Times New Roman" w:eastAsia="Times New Roman" w:hAnsi="Times New Roman" w:cs="Times New Roman"/>
          <w:color w:val="000000"/>
          <w:sz w:val="24"/>
          <w:szCs w:val="24"/>
          <w:lang/>
        </w:rPr>
        <w:t>218.1. Суми податку з товарів (продукції), які ввозяться на митну територію України, що підлягають сплаті, визначаються платниками податку самостійно, виходячи з об'єктів оподаткування, бази оподаткування та ставок цього податку.</w:t>
      </w:r>
    </w:p>
    <w:p w14:paraId="78F2CF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8" w:name="n5549"/>
      <w:bookmarkEnd w:id="6868"/>
      <w:r w:rsidRPr="008B264B">
        <w:rPr>
          <w:rFonts w:ascii="Times New Roman" w:eastAsia="Times New Roman" w:hAnsi="Times New Roman" w:cs="Times New Roman"/>
          <w:color w:val="000000"/>
          <w:sz w:val="24"/>
          <w:szCs w:val="24"/>
          <w:lang/>
        </w:rPr>
        <w:t>218.2. Податок із підакцизних товарів (продукції), що ввозяться на митну територію України, обчислюється у національній валюті за курсом валюти, визначеним відповідно до статті 39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161808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69" w:name="n9847"/>
      <w:bookmarkEnd w:id="6869"/>
      <w:r w:rsidRPr="008B264B">
        <w:rPr>
          <w:rFonts w:ascii="Times New Roman" w:eastAsia="Times New Roman" w:hAnsi="Times New Roman" w:cs="Times New Roman"/>
          <w:i/>
          <w:iCs/>
          <w:color w:val="000000"/>
          <w:sz w:val="24"/>
          <w:szCs w:val="24"/>
          <w:lang/>
        </w:rPr>
        <w:t>{Пункт 218.2 статті 218 в редакції Закону </w:t>
      </w:r>
      <w:hyperlink r:id="rId3868" w:anchor="n37"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331998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0" w:name="n5550"/>
      <w:bookmarkEnd w:id="6870"/>
      <w:r w:rsidRPr="008B264B">
        <w:rPr>
          <w:rFonts w:ascii="Times New Roman" w:eastAsia="Times New Roman" w:hAnsi="Times New Roman" w:cs="Times New Roman"/>
          <w:color w:val="000000"/>
          <w:sz w:val="24"/>
          <w:szCs w:val="24"/>
          <w:lang/>
        </w:rPr>
        <w:t>218.3. У разі втрати товарів, що перебувають під митним контролем у митних режимах, в яких надано звільнення або умовне звільнення від оподаткування, нецільового використання цих товарів або в разі невиконання у строки, встановлені </w:t>
      </w:r>
      <w:hyperlink r:id="rId3869"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заходів щодо завершення таких митних режимів суми податку, що підлягають сплаті, визначаються виходячи з об’єктів оподаткування, бази оподаткування та ставок цього податку, що діяли на день подання митної декларації при розміщенні у відповідний митний режим. При цьому особа, відповідальна за дотримання митного режиму, зобов’язана сплатити таку суму та пеню, нараховану відповідно до </w:t>
      </w:r>
      <w:hyperlink r:id="rId3870" w:anchor="n2457" w:history="1">
        <w:r w:rsidRPr="008B264B">
          <w:rPr>
            <w:rFonts w:ascii="Times New Roman" w:eastAsia="Times New Roman" w:hAnsi="Times New Roman" w:cs="Times New Roman"/>
            <w:color w:val="0000FF"/>
            <w:sz w:val="24"/>
            <w:szCs w:val="24"/>
            <w:u w:val="single"/>
            <w:lang/>
          </w:rPr>
          <w:t>статті 129</w:t>
        </w:r>
      </w:hyperlink>
      <w:r w:rsidRPr="008B264B">
        <w:rPr>
          <w:rFonts w:ascii="Times New Roman" w:eastAsia="Times New Roman" w:hAnsi="Times New Roman" w:cs="Times New Roman"/>
          <w:color w:val="000000"/>
          <w:sz w:val="24"/>
          <w:szCs w:val="24"/>
          <w:lang/>
        </w:rPr>
        <w:t> цього Кодексу, розраховану з дня надання звільнення або умовного звільнення від оподаткування.</w:t>
      </w:r>
    </w:p>
    <w:p w14:paraId="7805BE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1" w:name="n5551"/>
      <w:bookmarkEnd w:id="6871"/>
      <w:r w:rsidRPr="008B264B">
        <w:rPr>
          <w:rFonts w:ascii="Times New Roman" w:eastAsia="Times New Roman" w:hAnsi="Times New Roman" w:cs="Times New Roman"/>
          <w:i/>
          <w:iCs/>
          <w:color w:val="000000"/>
          <w:sz w:val="24"/>
          <w:szCs w:val="24"/>
          <w:lang/>
        </w:rPr>
        <w:t>{Пункт 218.3 статті 218 в редакції Закону </w:t>
      </w:r>
      <w:hyperlink r:id="rId3871" w:anchor="n127"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F6F58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2" w:name="n5552"/>
      <w:bookmarkEnd w:id="6872"/>
      <w:r w:rsidRPr="008B264B">
        <w:rPr>
          <w:rFonts w:ascii="Times New Roman" w:eastAsia="Times New Roman" w:hAnsi="Times New Roman" w:cs="Times New Roman"/>
          <w:color w:val="000000"/>
          <w:sz w:val="24"/>
          <w:szCs w:val="24"/>
          <w:lang/>
        </w:rPr>
        <w:t>218.4. У разі повного або часткового повернення імпортером підакцизних товарів (продукції), ввезених на митну територію України, продавцю у зв'язку з непридатністю їх для реалізації на митній території України, платник податків - імпортер проводить коригування податкових зобов'язань зі сплати акцизного податку у звітному періоді, у якому відбулось повернення невикористаних та пошкоджених марок, або контролюючому органу, який видав марки, надані відповідні документи, що підтверджують втрату марок.</w:t>
      </w:r>
    </w:p>
    <w:p w14:paraId="3DA68F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3" w:name="n5553"/>
      <w:bookmarkEnd w:id="6873"/>
      <w:r w:rsidRPr="008B264B">
        <w:rPr>
          <w:rFonts w:ascii="Times New Roman" w:eastAsia="Times New Roman" w:hAnsi="Times New Roman" w:cs="Times New Roman"/>
          <w:color w:val="000000"/>
          <w:sz w:val="24"/>
          <w:szCs w:val="24"/>
          <w:lang/>
        </w:rPr>
        <w:t>Сума коригування обчислюється платником податку із застосуванням максимальних роздрібних цін, ставок акцизного податку з урахуванням мінімального податкового зобов'язання зі сплати акцизного податку, які діяли на дату виникнення податкового зобов'язання щодо таких товарів (продукції).</w:t>
      </w:r>
    </w:p>
    <w:p w14:paraId="39EBF5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4" w:name="n5554"/>
      <w:bookmarkEnd w:id="6874"/>
      <w:r w:rsidRPr="008B264B">
        <w:rPr>
          <w:rFonts w:ascii="Times New Roman" w:eastAsia="Times New Roman" w:hAnsi="Times New Roman" w:cs="Times New Roman"/>
          <w:color w:val="000000"/>
          <w:sz w:val="24"/>
          <w:szCs w:val="24"/>
          <w:lang/>
        </w:rPr>
        <w:t>Сума коригування зазначається в декларації з акцизного податку за відповідний звітний період. При цьому сума акцизного податку за бажанням імпортера повертається йому на поточний рахунок у банку або зараховується при придбанні наступних партій марок акцизного податку.</w:t>
      </w:r>
    </w:p>
    <w:p w14:paraId="2C4555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5" w:name="n5555"/>
      <w:bookmarkEnd w:id="6875"/>
      <w:r w:rsidRPr="008B264B">
        <w:rPr>
          <w:rFonts w:ascii="Times New Roman" w:eastAsia="Times New Roman" w:hAnsi="Times New Roman" w:cs="Times New Roman"/>
          <w:i/>
          <w:iCs/>
          <w:color w:val="000000"/>
          <w:sz w:val="24"/>
          <w:szCs w:val="24"/>
          <w:lang/>
        </w:rPr>
        <w:t>{Статтю 219 виключено на підставі Закону </w:t>
      </w:r>
      <w:hyperlink r:id="rId3872" w:anchor="n129"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7B00B8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6" w:name="n5556"/>
      <w:bookmarkEnd w:id="6876"/>
      <w:r w:rsidRPr="008B264B">
        <w:rPr>
          <w:rFonts w:ascii="Times New Roman" w:eastAsia="Times New Roman" w:hAnsi="Times New Roman" w:cs="Times New Roman"/>
          <w:i/>
          <w:iCs/>
          <w:color w:val="000000"/>
          <w:sz w:val="24"/>
          <w:szCs w:val="24"/>
          <w:lang/>
        </w:rPr>
        <w:t>{Статтю 219 виключено на підставі Закону </w:t>
      </w:r>
      <w:hyperlink r:id="rId3873" w:anchor="n8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A5A9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7" w:name="n5565"/>
      <w:bookmarkEnd w:id="6877"/>
      <w:r w:rsidRPr="008B264B">
        <w:rPr>
          <w:rFonts w:ascii="Times New Roman" w:eastAsia="Times New Roman" w:hAnsi="Times New Roman" w:cs="Times New Roman"/>
          <w:b/>
          <w:bCs/>
          <w:color w:val="000000"/>
          <w:sz w:val="24"/>
          <w:szCs w:val="24"/>
          <w:lang/>
        </w:rPr>
        <w:t>Стаття 220.</w:t>
      </w:r>
      <w:r w:rsidRPr="008B264B">
        <w:rPr>
          <w:rFonts w:ascii="Times New Roman" w:eastAsia="Times New Roman" w:hAnsi="Times New Roman" w:cs="Times New Roman"/>
          <w:color w:val="000000"/>
          <w:sz w:val="24"/>
          <w:szCs w:val="24"/>
          <w:lang/>
        </w:rPr>
        <w:t> Особливості обчислення податку з тютюнових виробів за адвалорними ставками</w:t>
      </w:r>
    </w:p>
    <w:p w14:paraId="1F74C9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8" w:name="n11407"/>
      <w:bookmarkEnd w:id="6878"/>
      <w:r w:rsidRPr="008B264B">
        <w:rPr>
          <w:rFonts w:ascii="Times New Roman" w:eastAsia="Times New Roman" w:hAnsi="Times New Roman" w:cs="Times New Roman"/>
          <w:i/>
          <w:iCs/>
          <w:color w:val="000000"/>
          <w:sz w:val="24"/>
          <w:szCs w:val="24"/>
          <w:lang/>
        </w:rPr>
        <w:t>{Назва статті 220 із змінами, внесеними згідно із Законом </w:t>
      </w:r>
      <w:hyperlink r:id="rId3874" w:anchor="n8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E5E77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79" w:name="n5566"/>
      <w:bookmarkEnd w:id="6879"/>
      <w:r w:rsidRPr="008B264B">
        <w:rPr>
          <w:rFonts w:ascii="Times New Roman" w:eastAsia="Times New Roman" w:hAnsi="Times New Roman" w:cs="Times New Roman"/>
          <w:i/>
          <w:iCs/>
          <w:color w:val="000000"/>
          <w:sz w:val="24"/>
          <w:szCs w:val="24"/>
          <w:lang/>
        </w:rPr>
        <w:t xml:space="preserve">{На часткову зміну положень статті 220 виробники або імпортери тютюнових виробів можуть подати у місяці, в якому опубліковано Закон № 4235-VI від 22.12.2011, нову декларацію </w:t>
      </w:r>
      <w:r w:rsidRPr="008B264B">
        <w:rPr>
          <w:rFonts w:ascii="Times New Roman" w:eastAsia="Times New Roman" w:hAnsi="Times New Roman" w:cs="Times New Roman"/>
          <w:i/>
          <w:iCs/>
          <w:color w:val="000000"/>
          <w:sz w:val="24"/>
          <w:szCs w:val="24"/>
          <w:lang/>
        </w:rPr>
        <w:lastRenderedPageBreak/>
        <w:t>про встановлені максимальні роздрібні ціни, включаючи останній робочий день цього календарного місяця - див. пункт 2 розділу II Закону </w:t>
      </w:r>
      <w:hyperlink r:id="rId3875"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w:t>
      </w:r>
    </w:p>
    <w:p w14:paraId="69245D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0" w:name="n5567"/>
      <w:bookmarkEnd w:id="6880"/>
      <w:r w:rsidRPr="008B264B">
        <w:rPr>
          <w:rFonts w:ascii="Times New Roman" w:eastAsia="Times New Roman" w:hAnsi="Times New Roman" w:cs="Times New Roman"/>
          <w:color w:val="000000"/>
          <w:sz w:val="24"/>
          <w:szCs w:val="24"/>
          <w:lang/>
        </w:rPr>
        <w:t>220.1. Встановлення максимальних роздрібних цін на підакцизні товари (продукцію) здійснюється виробником або імпортером товарів (продукції) шляхом декларування таких цін.</w:t>
      </w:r>
    </w:p>
    <w:p w14:paraId="33337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1" w:name="n5568"/>
      <w:bookmarkEnd w:id="6881"/>
      <w:r w:rsidRPr="008B264B">
        <w:rPr>
          <w:rFonts w:ascii="Times New Roman" w:eastAsia="Times New Roman" w:hAnsi="Times New Roman" w:cs="Times New Roman"/>
          <w:color w:val="000000"/>
          <w:sz w:val="24"/>
          <w:szCs w:val="24"/>
          <w:lang/>
        </w:rPr>
        <w:t>220.2. </w:t>
      </w:r>
      <w:hyperlink r:id="rId3876" w:tgtFrame="_blank" w:history="1">
        <w:r w:rsidRPr="008B264B">
          <w:rPr>
            <w:rFonts w:ascii="Times New Roman" w:eastAsia="Times New Roman" w:hAnsi="Times New Roman" w:cs="Times New Roman"/>
            <w:color w:val="0000FF"/>
            <w:sz w:val="24"/>
            <w:szCs w:val="24"/>
            <w:u w:val="single"/>
            <w:lang/>
          </w:rPr>
          <w:t>Декларація про максимальні роздрібні ціни на підакцизні товари (продукцію)</w:t>
        </w:r>
      </w:hyperlink>
      <w:r w:rsidRPr="008B264B">
        <w:rPr>
          <w:rFonts w:ascii="Times New Roman" w:eastAsia="Times New Roman" w:hAnsi="Times New Roman" w:cs="Times New Roman"/>
          <w:color w:val="000000"/>
          <w:sz w:val="24"/>
          <w:szCs w:val="24"/>
          <w:lang/>
        </w:rPr>
        <w:t> (далі - декларація), встановлені виробником або імпортером товарів (продукції), подається центральному органу виконавчої влади, що реалізує державну податкову та митну політику, в електронній формі, визначеній центральним органом виконавчої влади, що забезпечує формування та реалізацію державної фінансової політики, з дотриманням умови щодо реєстрації кваліфікованого електронного підпису підзвітних осіб у порядку, визначеному законодавством.</w:t>
      </w:r>
    </w:p>
    <w:p w14:paraId="591E5E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2" w:name="n5569"/>
      <w:bookmarkEnd w:id="6882"/>
      <w:r w:rsidRPr="008B264B">
        <w:rPr>
          <w:rFonts w:ascii="Times New Roman" w:eastAsia="Times New Roman" w:hAnsi="Times New Roman" w:cs="Times New Roman"/>
          <w:i/>
          <w:iCs/>
          <w:color w:val="000000"/>
          <w:sz w:val="24"/>
          <w:szCs w:val="24"/>
          <w:lang/>
        </w:rPr>
        <w:t>{Пункт 220.2 статті 220 із змінами, внесеними згідно із Законом </w:t>
      </w:r>
      <w:hyperlink r:id="rId3877" w:anchor="n21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3878" w:anchor="n83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3879" w:anchor="n128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3880" w:anchor="n43"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7D172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3" w:name="n5570"/>
      <w:bookmarkEnd w:id="6883"/>
      <w:r w:rsidRPr="008B264B">
        <w:rPr>
          <w:rFonts w:ascii="Times New Roman" w:eastAsia="Times New Roman" w:hAnsi="Times New Roman" w:cs="Times New Roman"/>
          <w:color w:val="000000"/>
          <w:sz w:val="24"/>
          <w:szCs w:val="24"/>
          <w:lang/>
        </w:rPr>
        <w:t>220.3. У декларації повинні міститися відомості про встановлені виробником або імпортером максимальні роздрібні ціни на всі підакцизні товари (продукцію), що виробляються ним в Україні, або на всі підакцизні товари (продукцію), що імпортуються ним в Україну, і дата, з якої встановлюються максимальні роздрібні ціни.</w:t>
      </w:r>
    </w:p>
    <w:p w14:paraId="7C459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4" w:name="n5571"/>
      <w:bookmarkEnd w:id="6884"/>
      <w:r w:rsidRPr="008B264B">
        <w:rPr>
          <w:rFonts w:ascii="Times New Roman" w:eastAsia="Times New Roman" w:hAnsi="Times New Roman" w:cs="Times New Roman"/>
          <w:color w:val="000000"/>
          <w:sz w:val="24"/>
          <w:szCs w:val="24"/>
          <w:lang/>
        </w:rPr>
        <w:t>220.4. Декларація подається виробником або імпортером підакцизних товарів (продукції) до центрального органу виконавчої влади, що реалізує державну податкову і митну політику, не пізніше ніж 10 та 25 числа місяця.</w:t>
      </w:r>
    </w:p>
    <w:p w14:paraId="15F052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5" w:name="n5572"/>
      <w:bookmarkEnd w:id="6885"/>
      <w:r w:rsidRPr="008B264B">
        <w:rPr>
          <w:rFonts w:ascii="Times New Roman" w:eastAsia="Times New Roman" w:hAnsi="Times New Roman" w:cs="Times New Roman"/>
          <w:i/>
          <w:iCs/>
          <w:color w:val="000000"/>
          <w:sz w:val="24"/>
          <w:szCs w:val="24"/>
          <w:lang/>
        </w:rPr>
        <w:t>{Пункт 220.4 статті 220 із змінами, внесеними згідно з Законом </w:t>
      </w:r>
      <w:hyperlink r:id="rId3881"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3882" w:anchor="n176"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із змінами, внесеними згідно із Законом </w:t>
      </w:r>
      <w:hyperlink r:id="rId3883" w:anchor="n83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F9BEF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6" w:name="n5573"/>
      <w:bookmarkEnd w:id="6886"/>
      <w:r w:rsidRPr="008B264B">
        <w:rPr>
          <w:rFonts w:ascii="Times New Roman" w:eastAsia="Times New Roman" w:hAnsi="Times New Roman" w:cs="Times New Roman"/>
          <w:color w:val="000000"/>
          <w:sz w:val="24"/>
          <w:szCs w:val="24"/>
          <w:lang/>
        </w:rPr>
        <w:t>220.5. Декларація не приймається у разі:</w:t>
      </w:r>
    </w:p>
    <w:p w14:paraId="5C4FFE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7" w:name="n5574"/>
      <w:bookmarkEnd w:id="6887"/>
      <w:r w:rsidRPr="008B264B">
        <w:rPr>
          <w:rFonts w:ascii="Times New Roman" w:eastAsia="Times New Roman" w:hAnsi="Times New Roman" w:cs="Times New Roman"/>
          <w:color w:val="000000"/>
          <w:sz w:val="24"/>
          <w:szCs w:val="24"/>
          <w:lang/>
        </w:rPr>
        <w:t>подання пізніше ніж за п'ять календарних днів до дати встановлення у ній максимальних роздрібних цін;</w:t>
      </w:r>
    </w:p>
    <w:p w14:paraId="03E3AF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8" w:name="n5575"/>
      <w:bookmarkEnd w:id="6888"/>
      <w:r w:rsidRPr="008B264B">
        <w:rPr>
          <w:rFonts w:ascii="Times New Roman" w:eastAsia="Times New Roman" w:hAnsi="Times New Roman" w:cs="Times New Roman"/>
          <w:color w:val="000000"/>
          <w:sz w:val="24"/>
          <w:szCs w:val="24"/>
          <w:lang/>
        </w:rPr>
        <w:t>невідповідності її форми тій, що визначена центральним органом виконавчої влади, що забезпечує формування та реалізує державну фінансову політику.</w:t>
      </w:r>
    </w:p>
    <w:p w14:paraId="50DFC8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89" w:name="n5576"/>
      <w:bookmarkEnd w:id="6889"/>
      <w:r w:rsidRPr="008B264B">
        <w:rPr>
          <w:rFonts w:ascii="Times New Roman" w:eastAsia="Times New Roman" w:hAnsi="Times New Roman" w:cs="Times New Roman"/>
          <w:i/>
          <w:iCs/>
          <w:color w:val="000000"/>
          <w:sz w:val="24"/>
          <w:szCs w:val="24"/>
          <w:lang/>
        </w:rPr>
        <w:t>{Абзац третій пункту 220.5 статті 220 із змінами, внесеними згідно із Законом </w:t>
      </w:r>
      <w:hyperlink r:id="rId3884" w:anchor="n21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42AD7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0" w:name="n13455"/>
      <w:bookmarkEnd w:id="6890"/>
      <w:r w:rsidRPr="008B264B">
        <w:rPr>
          <w:rFonts w:ascii="Times New Roman" w:eastAsia="Times New Roman" w:hAnsi="Times New Roman" w:cs="Times New Roman"/>
          <w:i/>
          <w:iCs/>
          <w:color w:val="000000"/>
          <w:sz w:val="24"/>
          <w:szCs w:val="24"/>
          <w:lang/>
        </w:rPr>
        <w:t>{Пункт 220.5 статті 220 із змінами, внесеними згідно із Законом </w:t>
      </w:r>
      <w:hyperlink r:id="rId388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AA6A3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1" w:name="n5577"/>
      <w:bookmarkEnd w:id="6891"/>
      <w:r w:rsidRPr="008B264B">
        <w:rPr>
          <w:rFonts w:ascii="Times New Roman" w:eastAsia="Times New Roman" w:hAnsi="Times New Roman" w:cs="Times New Roman"/>
          <w:color w:val="000000"/>
          <w:sz w:val="24"/>
          <w:szCs w:val="24"/>
          <w:lang/>
        </w:rPr>
        <w:t>220.6. Декларація подається засобами електронного зв’язку в електронній формі уповноваженою особою виробника або імпортера підакцизних товарів (продукції) та вважається прийнятою за наявності квитанції про отримання податкової декларації засобами електронного зв’язку, що містить дату прийняття та реєстраційного номера прийнятої декларації.</w:t>
      </w:r>
    </w:p>
    <w:p w14:paraId="15D39F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2" w:name="n5578"/>
      <w:bookmarkEnd w:id="6892"/>
      <w:r w:rsidRPr="008B264B">
        <w:rPr>
          <w:rFonts w:ascii="Times New Roman" w:eastAsia="Times New Roman" w:hAnsi="Times New Roman" w:cs="Times New Roman"/>
          <w:i/>
          <w:iCs/>
          <w:color w:val="000000"/>
          <w:sz w:val="24"/>
          <w:szCs w:val="24"/>
          <w:lang/>
        </w:rPr>
        <w:t>{Пункт 220.6 статті 220 із змінами, внесеними згідно із Законами </w:t>
      </w:r>
      <w:hyperlink r:id="rId3886"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887" w:anchor="n17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Закону </w:t>
      </w:r>
      <w:hyperlink r:id="rId3888" w:anchor="n8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28DA7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3" w:name="n5579"/>
      <w:bookmarkEnd w:id="6893"/>
      <w:r w:rsidRPr="008B264B">
        <w:rPr>
          <w:rFonts w:ascii="Times New Roman" w:eastAsia="Times New Roman" w:hAnsi="Times New Roman" w:cs="Times New Roman"/>
          <w:color w:val="000000"/>
          <w:sz w:val="24"/>
          <w:szCs w:val="24"/>
          <w:lang/>
        </w:rPr>
        <w:t>220.7. Установлені виробником або імпортером максимальні роздрібні ціни на перелічені у декларації товари (продукцію) не пізніше ніж 10 числа запроваджуються з 15 числа місяця, в якому подається декларація, а установлені не пізніше ніж 25 числа - з 1 числа місяця, що настає за місяцем, у якому декларацію подано центральному органу виконавчої влади, що реалізує державну податкову і митну політику, і діють до їх зміни у порядку, встановленому цим Кодексом.</w:t>
      </w:r>
    </w:p>
    <w:p w14:paraId="3F68A7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4" w:name="n5580"/>
      <w:bookmarkEnd w:id="6894"/>
      <w:r w:rsidRPr="008B264B">
        <w:rPr>
          <w:rFonts w:ascii="Times New Roman" w:eastAsia="Times New Roman" w:hAnsi="Times New Roman" w:cs="Times New Roman"/>
          <w:i/>
          <w:iCs/>
          <w:color w:val="000000"/>
          <w:sz w:val="24"/>
          <w:szCs w:val="24"/>
          <w:lang/>
        </w:rPr>
        <w:t>{Пункт 220.7 статті 220 із змінами, внесеними згідно із Законами </w:t>
      </w:r>
      <w:hyperlink r:id="rId3889"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890" w:anchor="n17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Закону </w:t>
      </w:r>
      <w:hyperlink r:id="rId3891" w:anchor="n8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CFBED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5" w:name="n5581"/>
      <w:bookmarkEnd w:id="6895"/>
      <w:r w:rsidRPr="008B264B">
        <w:rPr>
          <w:rFonts w:ascii="Times New Roman" w:eastAsia="Times New Roman" w:hAnsi="Times New Roman" w:cs="Times New Roman"/>
          <w:color w:val="000000"/>
          <w:sz w:val="24"/>
          <w:szCs w:val="24"/>
          <w:lang/>
        </w:rPr>
        <w:lastRenderedPageBreak/>
        <w:t>220.8. У разі потреби у зміні будь-яких відомостей, що містяться у декларації про максимальні роздрібні ціни на підакцизні товари (продукцію), поданій їх виробником або імпортером центральному органу виконавчої влади, що реалізує державну податкову та митну політику, виробник або імпортер повинен подати таким органам нову декларацію.</w:t>
      </w:r>
    </w:p>
    <w:p w14:paraId="57D30D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6" w:name="n5582"/>
      <w:bookmarkEnd w:id="6896"/>
      <w:r w:rsidRPr="008B264B">
        <w:rPr>
          <w:rFonts w:ascii="Times New Roman" w:eastAsia="Times New Roman" w:hAnsi="Times New Roman" w:cs="Times New Roman"/>
          <w:i/>
          <w:iCs/>
          <w:color w:val="000000"/>
          <w:sz w:val="24"/>
          <w:szCs w:val="24"/>
          <w:lang/>
        </w:rPr>
        <w:t>{Пункт 220.8 статті 220 із змінами, внесеними згідно із Законами </w:t>
      </w:r>
      <w:hyperlink r:id="rId3892"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893" w:anchor="n17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38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3895" w:anchor="n128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C49A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7" w:name="n5583"/>
      <w:bookmarkEnd w:id="6897"/>
      <w:r w:rsidRPr="008B264B">
        <w:rPr>
          <w:rFonts w:ascii="Times New Roman" w:eastAsia="Times New Roman" w:hAnsi="Times New Roman" w:cs="Times New Roman"/>
          <w:color w:val="000000"/>
          <w:sz w:val="24"/>
          <w:szCs w:val="24"/>
          <w:lang/>
        </w:rPr>
        <w:t>220.9. Зміна будь-яких відомостей, що містяться у декларації про максимальні роздрібні ціни на підакцизні товари (продукцію), поданій їх виробником або імпортером центральному органу виконавчої влади, що реалізує державну податкову і митну політику, може здійснюватися не частіше двох разів на місяць.</w:t>
      </w:r>
    </w:p>
    <w:p w14:paraId="4F55F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8" w:name="n5584"/>
      <w:bookmarkEnd w:id="6898"/>
      <w:r w:rsidRPr="008B264B">
        <w:rPr>
          <w:rFonts w:ascii="Times New Roman" w:eastAsia="Times New Roman" w:hAnsi="Times New Roman" w:cs="Times New Roman"/>
          <w:i/>
          <w:iCs/>
          <w:color w:val="000000"/>
          <w:sz w:val="24"/>
          <w:szCs w:val="24"/>
          <w:lang/>
        </w:rPr>
        <w:t>{Пункт 220.9 статті 220 із змінами, внесеними згідно із Законами </w:t>
      </w:r>
      <w:hyperlink r:id="rId3896" w:anchor="n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897" w:anchor="n17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3898" w:anchor="n84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89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14015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899" w:name="n5585"/>
      <w:bookmarkEnd w:id="6899"/>
      <w:r w:rsidRPr="008B264B">
        <w:rPr>
          <w:rFonts w:ascii="Times New Roman" w:eastAsia="Times New Roman" w:hAnsi="Times New Roman" w:cs="Times New Roman"/>
          <w:i/>
          <w:iCs/>
          <w:color w:val="000000"/>
          <w:sz w:val="24"/>
          <w:szCs w:val="24"/>
          <w:lang/>
        </w:rPr>
        <w:t>{Пункт 220.10 статті 220 виключено на підставі Закону </w:t>
      </w:r>
      <w:hyperlink r:id="rId3900" w:anchor="n8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80F4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0" w:name="n5587"/>
      <w:bookmarkEnd w:id="6900"/>
      <w:r w:rsidRPr="008B264B">
        <w:rPr>
          <w:rFonts w:ascii="Times New Roman" w:eastAsia="Times New Roman" w:hAnsi="Times New Roman" w:cs="Times New Roman"/>
          <w:color w:val="000000"/>
          <w:sz w:val="24"/>
          <w:szCs w:val="24"/>
          <w:lang/>
        </w:rPr>
        <w:t>220.11. Встановлені виробником або імпортером максимальні роздрібні ціни на підакцизні товари (продукцію) повинні наноситися на споживчу упаковку таких товарів разом з датою їх виробництва.</w:t>
      </w:r>
    </w:p>
    <w:p w14:paraId="282D7F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1" w:name="n5588"/>
      <w:bookmarkEnd w:id="6901"/>
      <w:r w:rsidRPr="008B264B">
        <w:rPr>
          <w:rFonts w:ascii="Times New Roman" w:eastAsia="Times New Roman" w:hAnsi="Times New Roman" w:cs="Times New Roman"/>
          <w:b/>
          <w:bCs/>
          <w:color w:val="000000"/>
          <w:sz w:val="24"/>
          <w:szCs w:val="24"/>
          <w:lang/>
        </w:rPr>
        <w:t>Стаття 221.</w:t>
      </w:r>
      <w:r w:rsidRPr="008B264B">
        <w:rPr>
          <w:rFonts w:ascii="Times New Roman" w:eastAsia="Times New Roman" w:hAnsi="Times New Roman" w:cs="Times New Roman"/>
          <w:color w:val="000000"/>
          <w:sz w:val="24"/>
          <w:szCs w:val="24"/>
          <w:lang/>
        </w:rPr>
        <w:t> Особливості обчислення податку з тютюнових виробів</w:t>
      </w:r>
    </w:p>
    <w:p w14:paraId="749311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2" w:name="n5589"/>
      <w:bookmarkEnd w:id="6902"/>
      <w:r w:rsidRPr="008B264B">
        <w:rPr>
          <w:rFonts w:ascii="Times New Roman" w:eastAsia="Times New Roman" w:hAnsi="Times New Roman" w:cs="Times New Roman"/>
          <w:color w:val="000000"/>
          <w:sz w:val="24"/>
          <w:szCs w:val="24"/>
          <w:lang/>
        </w:rPr>
        <w:t>221.1. Обчислення сум податку з тютюнових виробів здійснюється одночасно за адвалорними та специфічними ставками.</w:t>
      </w:r>
    </w:p>
    <w:p w14:paraId="49108C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3" w:name="n5590"/>
      <w:bookmarkEnd w:id="6903"/>
      <w:r w:rsidRPr="008B264B">
        <w:rPr>
          <w:rFonts w:ascii="Times New Roman" w:eastAsia="Times New Roman" w:hAnsi="Times New Roman" w:cs="Times New Roman"/>
          <w:color w:val="000000"/>
          <w:sz w:val="24"/>
          <w:szCs w:val="24"/>
          <w:lang/>
        </w:rPr>
        <w:t>221.2. При визначенні податкового зобов'язання на сигарети одного найменування сума акцизного податку, обчислена одночасно за встановленими адвалорною та специфічною ставками акцизного податку, не повинна бути меншою встановленого мінімального акцизного податкового зобов'язання.</w:t>
      </w:r>
    </w:p>
    <w:p w14:paraId="1AEF53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4" w:name="n5591"/>
      <w:bookmarkEnd w:id="6904"/>
      <w:r w:rsidRPr="008B264B">
        <w:rPr>
          <w:rFonts w:ascii="Times New Roman" w:eastAsia="Times New Roman" w:hAnsi="Times New Roman" w:cs="Times New Roman"/>
          <w:color w:val="000000"/>
          <w:sz w:val="24"/>
          <w:szCs w:val="24"/>
          <w:lang/>
        </w:rPr>
        <w:t>221.3. За наявності у місці торгівлі тютюновими виробами таких виробів одного найменування, на пачках, коробках та сувенірних коробках яких зазначені різні максимальні роздрібні ціни, продаж таких тютюнових виробів здійснюється за цінами, не вищими ніж ті, що зазначені на відповідних пачках, коробках та сувенірних коробках, збільшеними на суму акцизного податку з реалізованих суб’єктами господарювання роздрібної торгівлі тютюнових виробів, тютюну та промислових замінників тютюну.</w:t>
      </w:r>
    </w:p>
    <w:p w14:paraId="6A5D88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5" w:name="n11408"/>
      <w:bookmarkEnd w:id="6905"/>
      <w:r w:rsidRPr="008B264B">
        <w:rPr>
          <w:rFonts w:ascii="Times New Roman" w:eastAsia="Times New Roman" w:hAnsi="Times New Roman" w:cs="Times New Roman"/>
          <w:i/>
          <w:iCs/>
          <w:color w:val="000000"/>
          <w:sz w:val="24"/>
          <w:szCs w:val="24"/>
          <w:lang/>
        </w:rPr>
        <w:t>{Пункт 221.3 статті 221 із змінами, внесеними згідно із Законом </w:t>
      </w:r>
      <w:hyperlink r:id="rId3901" w:anchor="n84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140CF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6" w:name="n5592"/>
      <w:bookmarkEnd w:id="6906"/>
      <w:r w:rsidRPr="008B264B">
        <w:rPr>
          <w:rFonts w:ascii="Times New Roman" w:eastAsia="Times New Roman" w:hAnsi="Times New Roman" w:cs="Times New Roman"/>
          <w:color w:val="000000"/>
          <w:sz w:val="24"/>
          <w:szCs w:val="24"/>
          <w:lang/>
        </w:rPr>
        <w:t>221.4. Контроль за дотриманням суб'єктами господарювання, які здійснюють роздрібну торгівлю тютюновими виробами, вимог щодо максимальних роздрібних цін на тютюнові вироби, встановлених виробниками або імпортерами таких виробів, та правильності нарахування акцизного податку з реалізованих суб’єктами господарювання роздрібної торгівлі тютюнових виробів, тютюну та промислових замінників тютюну здійснюють контролюючі органи.</w:t>
      </w:r>
    </w:p>
    <w:p w14:paraId="4E7668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7" w:name="n11409"/>
      <w:bookmarkEnd w:id="6907"/>
      <w:r w:rsidRPr="008B264B">
        <w:rPr>
          <w:rFonts w:ascii="Times New Roman" w:eastAsia="Times New Roman" w:hAnsi="Times New Roman" w:cs="Times New Roman"/>
          <w:i/>
          <w:iCs/>
          <w:color w:val="000000"/>
          <w:sz w:val="24"/>
          <w:szCs w:val="24"/>
          <w:lang/>
        </w:rPr>
        <w:t>{Пункт 221.4 статті 221 із змінами, внесеними згідно із Законом </w:t>
      </w:r>
      <w:hyperlink r:id="rId3902" w:anchor="n84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F9F84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8" w:name="n14330"/>
      <w:bookmarkEnd w:id="6908"/>
      <w:r w:rsidRPr="008B264B">
        <w:rPr>
          <w:rFonts w:ascii="Times New Roman" w:eastAsia="Times New Roman" w:hAnsi="Times New Roman" w:cs="Times New Roman"/>
          <w:color w:val="000000"/>
          <w:sz w:val="24"/>
          <w:szCs w:val="24"/>
          <w:lang/>
        </w:rPr>
        <w:t>221.5. У разі реалізації тютюнової сировини суб’єктам господарювання, які не є виробниками тютюнових виробів та/або тютюново-ферментаційними заводами, із суб’єктів, що здійснили таку реалізацію, справляється штраф у розмірі 200 відсотків вартості реалізованої тютюнової сировини. Реалізована таким чином сировина підлягає конфіскації та знищенню.</w:t>
      </w:r>
    </w:p>
    <w:p w14:paraId="15A238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09" w:name="n14329"/>
      <w:bookmarkEnd w:id="6909"/>
      <w:r w:rsidRPr="008B264B">
        <w:rPr>
          <w:rFonts w:ascii="Times New Roman" w:eastAsia="Times New Roman" w:hAnsi="Times New Roman" w:cs="Times New Roman"/>
          <w:i/>
          <w:iCs/>
          <w:color w:val="000000"/>
          <w:sz w:val="24"/>
          <w:szCs w:val="24"/>
          <w:lang/>
        </w:rPr>
        <w:t>{Статтю 221 доповнено пунктом 221.5 згідно із Законом </w:t>
      </w:r>
      <w:hyperlink r:id="rId3903" w:anchor="n128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B5728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0" w:name="n14880"/>
      <w:bookmarkEnd w:id="6910"/>
      <w:r w:rsidRPr="008B264B">
        <w:rPr>
          <w:rFonts w:ascii="Times New Roman" w:eastAsia="Times New Roman" w:hAnsi="Times New Roman" w:cs="Times New Roman"/>
          <w:color w:val="000000"/>
          <w:sz w:val="24"/>
          <w:szCs w:val="24"/>
          <w:lang/>
        </w:rPr>
        <w:t>221.6. Частка загальної суми податкових зобов’язань з акцизного податку на сигарети повинна становити не менше 60 відсотків середньозваженої роздрібної ціни продажу сигарет.</w:t>
      </w:r>
    </w:p>
    <w:p w14:paraId="29B7F0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1" w:name="n14881"/>
      <w:bookmarkEnd w:id="6911"/>
      <w:r w:rsidRPr="008B264B">
        <w:rPr>
          <w:rFonts w:ascii="Times New Roman" w:eastAsia="Times New Roman" w:hAnsi="Times New Roman" w:cs="Times New Roman"/>
          <w:color w:val="000000"/>
          <w:sz w:val="24"/>
          <w:szCs w:val="24"/>
          <w:lang/>
        </w:rPr>
        <w:t>У разі якщо частка загальної суми податкових зобов’язань з акцизного податку на сигарети за попередній рік менша за 60 відсотків середньозваженої роздрібної ціни продажу сигарет за той самий рік, під час визначення податкового зобов’язання на сигарети за кодами </w:t>
      </w:r>
      <w:hyperlink r:id="rId3904" w:anchor="n57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xml:space="preserve"> 2402 20 </w:t>
      </w:r>
      <w:r w:rsidRPr="008B264B">
        <w:rPr>
          <w:rFonts w:ascii="Times New Roman" w:eastAsia="Times New Roman" w:hAnsi="Times New Roman" w:cs="Times New Roman"/>
          <w:color w:val="000000"/>
          <w:sz w:val="24"/>
          <w:szCs w:val="24"/>
          <w:lang/>
        </w:rPr>
        <w:lastRenderedPageBreak/>
        <w:t>90 10, 2402 20 90 20 з 1 квітня до 31 грудня поточного року сума акцизного податку не повинна бути меншою за встановлене мінімальне акцизне податкове зобов’язання, помножене на коефіцієнт 1,1.</w:t>
      </w:r>
    </w:p>
    <w:p w14:paraId="109A58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2" w:name="n14879"/>
      <w:bookmarkEnd w:id="6912"/>
      <w:r w:rsidRPr="008B264B">
        <w:rPr>
          <w:rFonts w:ascii="Times New Roman" w:eastAsia="Times New Roman" w:hAnsi="Times New Roman" w:cs="Times New Roman"/>
          <w:i/>
          <w:iCs/>
          <w:color w:val="000000"/>
          <w:sz w:val="24"/>
          <w:szCs w:val="24"/>
          <w:lang/>
        </w:rPr>
        <w:t>{Статтю 221 доповнено пунктом 221.6 згідно із Законом </w:t>
      </w:r>
      <w:hyperlink r:id="rId3905" w:anchor="n30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 набирає чинності з 1 січня 2025 року, див. </w:t>
      </w:r>
      <w:hyperlink r:id="rId3906" w:anchor="n581"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роділу II Закону № 2245-VIII від 07.12.2017}</w:t>
      </w:r>
    </w:p>
    <w:p w14:paraId="0C47AC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3" w:name="n5593"/>
      <w:bookmarkEnd w:id="6913"/>
      <w:r w:rsidRPr="008B264B">
        <w:rPr>
          <w:rFonts w:ascii="Times New Roman" w:eastAsia="Times New Roman" w:hAnsi="Times New Roman" w:cs="Times New Roman"/>
          <w:b/>
          <w:bCs/>
          <w:color w:val="000000"/>
          <w:sz w:val="24"/>
          <w:szCs w:val="24"/>
          <w:lang/>
        </w:rPr>
        <w:t>Стаття 222.</w:t>
      </w:r>
      <w:r w:rsidRPr="008B264B">
        <w:rPr>
          <w:rFonts w:ascii="Times New Roman" w:eastAsia="Times New Roman" w:hAnsi="Times New Roman" w:cs="Times New Roman"/>
          <w:color w:val="000000"/>
          <w:sz w:val="24"/>
          <w:szCs w:val="24"/>
          <w:lang/>
        </w:rPr>
        <w:t> Порядок і строки сплати податку</w:t>
      </w:r>
    </w:p>
    <w:p w14:paraId="34B830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4" w:name="n5594"/>
      <w:bookmarkEnd w:id="6914"/>
      <w:r w:rsidRPr="008B264B">
        <w:rPr>
          <w:rFonts w:ascii="Times New Roman" w:eastAsia="Times New Roman" w:hAnsi="Times New Roman" w:cs="Times New Roman"/>
          <w:color w:val="000000"/>
          <w:sz w:val="24"/>
          <w:szCs w:val="24"/>
          <w:lang/>
        </w:rPr>
        <w:t>222.1. Строки сплати податку з підакцизних товарів (продукції), вироблених на митній території України, з підакцизних товарів (продукції), реалізованих суб’єктами господарювання роздрібної торгівлі, та товарів (продукції), коди яких згідно з УКТ ЗЕД не зазначені у </w:t>
      </w:r>
      <w:hyperlink r:id="rId3907" w:anchor="n5506" w:history="1">
        <w:r w:rsidRPr="008B264B">
          <w:rPr>
            <w:rFonts w:ascii="Times New Roman" w:eastAsia="Times New Roman" w:hAnsi="Times New Roman" w:cs="Times New Roman"/>
            <w:color w:val="0000FF"/>
            <w:sz w:val="24"/>
            <w:szCs w:val="24"/>
            <w:u w:val="single"/>
            <w:lang/>
          </w:rPr>
          <w:t>підпункті 215.3.4</w:t>
        </w:r>
      </w:hyperlink>
      <w:r w:rsidRPr="008B264B">
        <w:rPr>
          <w:rFonts w:ascii="Times New Roman" w:eastAsia="Times New Roman" w:hAnsi="Times New Roman" w:cs="Times New Roman"/>
          <w:color w:val="000000"/>
          <w:sz w:val="24"/>
          <w:szCs w:val="24"/>
          <w:lang/>
        </w:rPr>
        <w:t> пункту 215.3 статті 215 цього Кодексу (крім газу природного у газоподібному стані за кодом 2711 21 00 00 згідно з </w:t>
      </w:r>
      <w:hyperlink r:id="rId390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використані як пальне для заправлення транспортних засобів, обладнання або пристроїв з двигунами внутрішнього згоряння із запалюванням від стиснення, з двигунами внутрішнього згоряння з іскровим запалюванням, з двигунами внутрішнього згоряння з кривошипно-шатунним механізмом</w:t>
      </w:r>
    </w:p>
    <w:p w14:paraId="192B8A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5" w:name="n12878"/>
      <w:bookmarkEnd w:id="6915"/>
      <w:r w:rsidRPr="008B264B">
        <w:rPr>
          <w:rFonts w:ascii="Times New Roman" w:eastAsia="Times New Roman" w:hAnsi="Times New Roman" w:cs="Times New Roman"/>
          <w:i/>
          <w:iCs/>
          <w:color w:val="000000"/>
          <w:sz w:val="24"/>
          <w:szCs w:val="24"/>
          <w:lang/>
        </w:rPr>
        <w:t>{Абзац перший пункту 222.1 статті 222 із змінами, внесеними згідно із Законом </w:t>
      </w:r>
      <w:hyperlink r:id="rId3909" w:anchor="n4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пункт 222.1 статті 222 в редакції Закону </w:t>
      </w:r>
      <w:hyperlink r:id="rId3910" w:anchor="n8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67CBF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6" w:name="n5595"/>
      <w:bookmarkEnd w:id="6916"/>
      <w:r w:rsidRPr="008B264B">
        <w:rPr>
          <w:rFonts w:ascii="Times New Roman" w:eastAsia="Times New Roman" w:hAnsi="Times New Roman" w:cs="Times New Roman"/>
          <w:color w:val="000000"/>
          <w:sz w:val="24"/>
          <w:szCs w:val="24"/>
          <w:lang/>
        </w:rPr>
        <w:t>222.1.1. Суми податку перераховуються до бюджету платниками акцизного податку протягом 10 календарних днів, що настають за останнім днем відповідного граничного строку, передбаченого цим Кодексом для подання податкової декларації за місячний податковий період.</w:t>
      </w:r>
    </w:p>
    <w:p w14:paraId="6ACC37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7" w:name="n11410"/>
      <w:bookmarkEnd w:id="6917"/>
      <w:r w:rsidRPr="008B264B">
        <w:rPr>
          <w:rFonts w:ascii="Times New Roman" w:eastAsia="Times New Roman" w:hAnsi="Times New Roman" w:cs="Times New Roman"/>
          <w:i/>
          <w:iCs/>
          <w:color w:val="000000"/>
          <w:sz w:val="24"/>
          <w:szCs w:val="24"/>
          <w:lang/>
        </w:rPr>
        <w:t>{Підпункт 222.1.1 пункту 222.1 статті 222 із змінами, внесеними згідно із Законом </w:t>
      </w:r>
      <w:hyperlink r:id="rId3911" w:anchor="n85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78BF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8" w:name="n5596"/>
      <w:bookmarkEnd w:id="6918"/>
      <w:r w:rsidRPr="008B264B">
        <w:rPr>
          <w:rFonts w:ascii="Times New Roman" w:eastAsia="Times New Roman" w:hAnsi="Times New Roman" w:cs="Times New Roman"/>
          <w:color w:val="000000"/>
          <w:sz w:val="24"/>
          <w:szCs w:val="24"/>
          <w:lang/>
        </w:rPr>
        <w:t>222.1.2. Суми податку з алкогольних напоїв, для виробництва яких використовується спирт етиловий неденатурований, сплачуються при придбанні марок акцизного податку.</w:t>
      </w:r>
    </w:p>
    <w:p w14:paraId="0FDFB2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19" w:name="n5597"/>
      <w:bookmarkEnd w:id="6919"/>
      <w:r w:rsidRPr="008B264B">
        <w:rPr>
          <w:rFonts w:ascii="Times New Roman" w:eastAsia="Times New Roman" w:hAnsi="Times New Roman" w:cs="Times New Roman"/>
          <w:color w:val="000000"/>
          <w:sz w:val="24"/>
          <w:szCs w:val="24"/>
          <w:lang/>
        </w:rPr>
        <w:t>Суми податку з урахуванням мінімального акцизного податкового зобов’язання із сплати акцизного податку на тютюнові вироби та ставок податку, діючих відповідно до норм цього Кодексу, виробниками тютюнових виробів сплачуються до бюджету протягом п’ятнадцяти робочих днів після отримання марок акцизного податку з доплатою (у разі потреби) на день подання </w:t>
      </w:r>
      <w:hyperlink r:id="rId3912" w:anchor="n20" w:tgtFrame="_blank" w:history="1">
        <w:r w:rsidRPr="008B264B">
          <w:rPr>
            <w:rFonts w:ascii="Times New Roman" w:eastAsia="Times New Roman" w:hAnsi="Times New Roman" w:cs="Times New Roman"/>
            <w:color w:val="0000FF"/>
            <w:sz w:val="24"/>
            <w:szCs w:val="24"/>
            <w:u w:val="single"/>
            <w:lang/>
          </w:rPr>
          <w:t>податкової декларації</w:t>
        </w:r>
      </w:hyperlink>
      <w:r w:rsidRPr="008B264B">
        <w:rPr>
          <w:rFonts w:ascii="Times New Roman" w:eastAsia="Times New Roman" w:hAnsi="Times New Roman" w:cs="Times New Roman"/>
          <w:color w:val="000000"/>
          <w:sz w:val="24"/>
          <w:szCs w:val="24"/>
          <w:lang/>
        </w:rPr>
        <w:t>. Якщо зазначений строк припадає на день наступного бюджетного року, сума акцизного податку сплачується виробникам тютюнових виробів до закінчення бюджетного року, в якому отримані марки.</w:t>
      </w:r>
    </w:p>
    <w:p w14:paraId="13D5C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0" w:name="n5598"/>
      <w:bookmarkEnd w:id="6920"/>
      <w:r w:rsidRPr="008B264B">
        <w:rPr>
          <w:rFonts w:ascii="Times New Roman" w:eastAsia="Times New Roman" w:hAnsi="Times New Roman" w:cs="Times New Roman"/>
          <w:i/>
          <w:iCs/>
          <w:color w:val="000000"/>
          <w:sz w:val="24"/>
          <w:szCs w:val="24"/>
          <w:lang/>
        </w:rPr>
        <w:t>{Підпункт 222.1.2 пункту 222.1 статті 222 доповнено абзацом другим згідно із Законом </w:t>
      </w:r>
      <w:hyperlink r:id="rId391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3914" w:anchor="n12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915" w:anchor="n30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B16E8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1" w:name="n14332"/>
      <w:bookmarkEnd w:id="6921"/>
      <w:r w:rsidRPr="008B264B">
        <w:rPr>
          <w:rFonts w:ascii="Times New Roman" w:eastAsia="Times New Roman" w:hAnsi="Times New Roman" w:cs="Times New Roman"/>
          <w:color w:val="000000"/>
          <w:sz w:val="24"/>
          <w:szCs w:val="24"/>
          <w:lang/>
        </w:rPr>
        <w:t>У разі невиконання умов, визначених абзацом другим цього підпункту, марки за наступними заявками-розрахунками виробників тютюнових виробів не видаються до дня, в якому здійснено в повному обсязі сплату акцизного податку та штрафних санкцій, розрахованих відповідно до </w:t>
      </w:r>
      <w:hyperlink r:id="rId3916" w:anchor="n14035" w:history="1">
        <w:r w:rsidRPr="008B264B">
          <w:rPr>
            <w:rFonts w:ascii="Times New Roman" w:eastAsia="Times New Roman" w:hAnsi="Times New Roman" w:cs="Times New Roman"/>
            <w:color w:val="0000FF"/>
            <w:sz w:val="24"/>
            <w:szCs w:val="24"/>
            <w:u w:val="single"/>
            <w:lang/>
          </w:rPr>
          <w:t>пункту 126.2</w:t>
        </w:r>
      </w:hyperlink>
      <w:r w:rsidRPr="008B264B">
        <w:rPr>
          <w:rFonts w:ascii="Times New Roman" w:eastAsia="Times New Roman" w:hAnsi="Times New Roman" w:cs="Times New Roman"/>
          <w:color w:val="000000"/>
          <w:sz w:val="24"/>
          <w:szCs w:val="24"/>
          <w:lang/>
        </w:rPr>
        <w:t> статті 126 цього Кодексу.</w:t>
      </w:r>
    </w:p>
    <w:p w14:paraId="08DC4A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2" w:name="n14331"/>
      <w:bookmarkEnd w:id="6922"/>
      <w:r w:rsidRPr="008B264B">
        <w:rPr>
          <w:rFonts w:ascii="Times New Roman" w:eastAsia="Times New Roman" w:hAnsi="Times New Roman" w:cs="Times New Roman"/>
          <w:i/>
          <w:iCs/>
          <w:color w:val="000000"/>
          <w:sz w:val="24"/>
          <w:szCs w:val="24"/>
          <w:lang/>
        </w:rPr>
        <w:t>{Підпункт 222.1.2 пункту 222.1 статті 222 доповнено абзацом третім згідно із Законом </w:t>
      </w:r>
      <w:hyperlink r:id="rId3917" w:anchor="n12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18F0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3" w:name="n5599"/>
      <w:bookmarkEnd w:id="6923"/>
      <w:r w:rsidRPr="008B264B">
        <w:rPr>
          <w:rFonts w:ascii="Times New Roman" w:eastAsia="Times New Roman" w:hAnsi="Times New Roman" w:cs="Times New Roman"/>
          <w:color w:val="000000"/>
          <w:sz w:val="24"/>
          <w:szCs w:val="24"/>
          <w:lang/>
        </w:rPr>
        <w:t>222.1.3. Підприємства, які виробляють вина виноградні з додаванням спирту та міцні, вермути, інші зброджені напої з додаванням спирту, суміші із зброджених напоїв з додаванням спирту, суміші зброджених напоїв з безалкогольними напоями з додаванням спирту, сплачують податок при придбанні марок акцизного податку на суму, розраховану із ставок податку на готову продукцію, вироблену з виноматеріалів чи сусла, при виробництві яких використовується спирт етиловий.</w:t>
      </w:r>
    </w:p>
    <w:p w14:paraId="05DFD4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4" w:name="n5600"/>
      <w:bookmarkEnd w:id="6924"/>
      <w:r w:rsidRPr="008B264B">
        <w:rPr>
          <w:rFonts w:ascii="Times New Roman" w:eastAsia="Times New Roman" w:hAnsi="Times New Roman" w:cs="Times New Roman"/>
          <w:color w:val="000000"/>
          <w:sz w:val="24"/>
          <w:szCs w:val="24"/>
          <w:lang/>
        </w:rPr>
        <w:lastRenderedPageBreak/>
        <w:t>222.1.4. Власник готової продукції, виробленої з давальницької сировини, сплачує податок виробнику (переробнику) не пізніше дати відвантаження готової продукції такому власнику або за його дорученням іншій особі.</w:t>
      </w:r>
    </w:p>
    <w:p w14:paraId="76E5E8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5" w:name="n5601"/>
      <w:bookmarkEnd w:id="6925"/>
      <w:r w:rsidRPr="008B264B">
        <w:rPr>
          <w:rFonts w:ascii="Times New Roman" w:eastAsia="Times New Roman" w:hAnsi="Times New Roman" w:cs="Times New Roman"/>
          <w:color w:val="000000"/>
          <w:sz w:val="24"/>
          <w:szCs w:val="24"/>
          <w:lang/>
        </w:rPr>
        <w:t>222.1.5. Умовою відвантаження виробником готової продукції, виробленої з давальницької сировини, його замовнику або за його дорученням іншій особі є документальне підтвердження банківської установи про перерахування відповідної суми податку на поточний рахунок виробника.</w:t>
      </w:r>
    </w:p>
    <w:p w14:paraId="6D0869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6" w:name="n5602"/>
      <w:bookmarkEnd w:id="6926"/>
      <w:r w:rsidRPr="008B264B">
        <w:rPr>
          <w:rFonts w:ascii="Times New Roman" w:eastAsia="Times New Roman" w:hAnsi="Times New Roman" w:cs="Times New Roman"/>
          <w:color w:val="000000"/>
          <w:sz w:val="24"/>
          <w:szCs w:val="24"/>
          <w:lang/>
        </w:rPr>
        <w:t>222.2. Сплата податку в разі ввезення підакцизних товарів на митну територію України</w:t>
      </w:r>
    </w:p>
    <w:p w14:paraId="76C150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7" w:name="n5603"/>
      <w:bookmarkEnd w:id="6927"/>
      <w:r w:rsidRPr="008B264B">
        <w:rPr>
          <w:rFonts w:ascii="Times New Roman" w:eastAsia="Times New Roman" w:hAnsi="Times New Roman" w:cs="Times New Roman"/>
          <w:color w:val="000000"/>
          <w:sz w:val="24"/>
          <w:szCs w:val="24"/>
          <w:lang/>
        </w:rPr>
        <w:t>222.2.1. Податок із ввезених на митну територію України підакцизних товарів (продукції) сплачується платниками податку до або в день подання митної декларації.</w:t>
      </w:r>
    </w:p>
    <w:p w14:paraId="713025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8" w:name="n5604"/>
      <w:bookmarkEnd w:id="6928"/>
      <w:r w:rsidRPr="008B264B">
        <w:rPr>
          <w:rFonts w:ascii="Times New Roman" w:eastAsia="Times New Roman" w:hAnsi="Times New Roman" w:cs="Times New Roman"/>
          <w:color w:val="000000"/>
          <w:sz w:val="24"/>
          <w:szCs w:val="24"/>
          <w:lang/>
        </w:rPr>
        <w:t>222.2.2. У разі ввезення маркованої підакцизної продукції на митну територію України податок сплачується під час придбання марок акцизного податку з доплатою (у разі потреби) на день подання митної декларації.</w:t>
      </w:r>
    </w:p>
    <w:p w14:paraId="5F223E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29" w:name="n9631"/>
      <w:bookmarkEnd w:id="6929"/>
      <w:r w:rsidRPr="008B264B">
        <w:rPr>
          <w:rFonts w:ascii="Times New Roman" w:eastAsia="Times New Roman" w:hAnsi="Times New Roman" w:cs="Times New Roman"/>
          <w:i/>
          <w:iCs/>
          <w:color w:val="000000"/>
          <w:sz w:val="24"/>
          <w:szCs w:val="24"/>
          <w:lang/>
        </w:rPr>
        <w:t>{Підпункт 222.2.3 пункту  222.2 статті 222 виключено на підставі Закону </w:t>
      </w:r>
      <w:hyperlink r:id="rId3918" w:anchor="n12"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FD320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0" w:name="n11412"/>
      <w:bookmarkEnd w:id="6930"/>
      <w:r w:rsidRPr="008B264B">
        <w:rPr>
          <w:rFonts w:ascii="Times New Roman" w:eastAsia="Times New Roman" w:hAnsi="Times New Roman" w:cs="Times New Roman"/>
          <w:color w:val="000000"/>
          <w:sz w:val="24"/>
          <w:szCs w:val="24"/>
          <w:lang/>
        </w:rPr>
        <w:t>222.2.4. Платники акцизного податку при зверненні до органів, що здійснюють державну реєстрацію транспортних засобів, для реєстрації або перереєстрації переобладнаного вантажного транспортного засобу у легковий автомобіль зобов’язані пред’явити квитанції або платіжні доручення про сплату податку з відміткою банку про дату виконання платіжного доручення.</w:t>
      </w:r>
    </w:p>
    <w:p w14:paraId="2189CB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1" w:name="n11411"/>
      <w:bookmarkEnd w:id="6931"/>
      <w:r w:rsidRPr="008B264B">
        <w:rPr>
          <w:rFonts w:ascii="Times New Roman" w:eastAsia="Times New Roman" w:hAnsi="Times New Roman" w:cs="Times New Roman"/>
          <w:i/>
          <w:iCs/>
          <w:color w:val="000000"/>
          <w:sz w:val="24"/>
          <w:szCs w:val="24"/>
          <w:lang/>
        </w:rPr>
        <w:t>{Пункт 222.2 статті 222 доповнено підпунктом 222.2.4 згідно із Законом </w:t>
      </w:r>
      <w:hyperlink r:id="rId3919" w:anchor="n85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920" w:anchor="n24"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3E4E4F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2" w:name="n11414"/>
      <w:bookmarkEnd w:id="6932"/>
      <w:r w:rsidRPr="008B264B">
        <w:rPr>
          <w:rFonts w:ascii="Times New Roman" w:eastAsia="Times New Roman" w:hAnsi="Times New Roman" w:cs="Times New Roman"/>
          <w:color w:val="000000"/>
          <w:sz w:val="24"/>
          <w:szCs w:val="24"/>
          <w:lang/>
        </w:rPr>
        <w:t>222.3. Сплата податку при реалізації суб’єктом господарювання роздрібної торгівлі підакцизних товарів.</w:t>
      </w:r>
    </w:p>
    <w:p w14:paraId="5D48A9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3" w:name="n11415"/>
      <w:bookmarkEnd w:id="6933"/>
      <w:r w:rsidRPr="008B264B">
        <w:rPr>
          <w:rFonts w:ascii="Times New Roman" w:eastAsia="Times New Roman" w:hAnsi="Times New Roman" w:cs="Times New Roman"/>
          <w:color w:val="000000"/>
          <w:sz w:val="24"/>
          <w:szCs w:val="24"/>
          <w:lang/>
        </w:rPr>
        <w:t>222.3.1. Суми податку перераховуються до бюджету суб’єктом господарювання роздрібної торгівлі, який здійснює реалізацію підакцизних товарів, протягом 10 календарних днів, що настають за останнім днем відповідного граничного строку, передбаченого цим Кодексом для подання податкової декларації за місячний податковий період.</w:t>
      </w:r>
    </w:p>
    <w:p w14:paraId="4788B1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4" w:name="n11416"/>
      <w:bookmarkEnd w:id="6934"/>
      <w:r w:rsidRPr="008B264B">
        <w:rPr>
          <w:rFonts w:ascii="Times New Roman" w:eastAsia="Times New Roman" w:hAnsi="Times New Roman" w:cs="Times New Roman"/>
          <w:color w:val="000000"/>
          <w:sz w:val="24"/>
          <w:szCs w:val="24"/>
          <w:lang/>
        </w:rPr>
        <w:t>222.3.2. Особа - суб’єкт господарювання роздрібної торгівлі, який здійснює реалізацію підакцизних товарів, сплачує податок за місцем здійснення реалізації таких товарів.</w:t>
      </w:r>
    </w:p>
    <w:p w14:paraId="6207CA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5" w:name="n11413"/>
      <w:bookmarkEnd w:id="6935"/>
      <w:r w:rsidRPr="008B264B">
        <w:rPr>
          <w:rFonts w:ascii="Times New Roman" w:eastAsia="Times New Roman" w:hAnsi="Times New Roman" w:cs="Times New Roman"/>
          <w:i/>
          <w:iCs/>
          <w:color w:val="000000"/>
          <w:sz w:val="24"/>
          <w:szCs w:val="24"/>
          <w:lang/>
        </w:rPr>
        <w:t>{Статтю 222 доповнено пунктом 222.3 згідно із Законом </w:t>
      </w:r>
      <w:hyperlink r:id="rId3921" w:anchor="n85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FE3A7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6" w:name="n5605"/>
      <w:bookmarkEnd w:id="6936"/>
      <w:r w:rsidRPr="008B264B">
        <w:rPr>
          <w:rFonts w:ascii="Times New Roman" w:eastAsia="Times New Roman" w:hAnsi="Times New Roman" w:cs="Times New Roman"/>
          <w:b/>
          <w:bCs/>
          <w:color w:val="000000"/>
          <w:sz w:val="24"/>
          <w:szCs w:val="24"/>
          <w:lang/>
        </w:rPr>
        <w:t>Стаття 223.</w:t>
      </w:r>
      <w:r w:rsidRPr="008B264B">
        <w:rPr>
          <w:rFonts w:ascii="Times New Roman" w:eastAsia="Times New Roman" w:hAnsi="Times New Roman" w:cs="Times New Roman"/>
          <w:color w:val="000000"/>
          <w:sz w:val="24"/>
          <w:szCs w:val="24"/>
          <w:lang/>
        </w:rPr>
        <w:t> Складення та подання декларації з акцизного податку</w:t>
      </w:r>
    </w:p>
    <w:p w14:paraId="3BA223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7" w:name="n5606"/>
      <w:bookmarkEnd w:id="6937"/>
      <w:r w:rsidRPr="008B264B">
        <w:rPr>
          <w:rFonts w:ascii="Times New Roman" w:eastAsia="Times New Roman" w:hAnsi="Times New Roman" w:cs="Times New Roman"/>
          <w:color w:val="000000"/>
          <w:sz w:val="24"/>
          <w:szCs w:val="24"/>
          <w:lang/>
        </w:rPr>
        <w:t>223.1. Базовий податковий період для сплати податку відповідає календарному місяцю.</w:t>
      </w:r>
    </w:p>
    <w:p w14:paraId="563D99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8" w:name="n5607"/>
      <w:bookmarkEnd w:id="6938"/>
      <w:r w:rsidRPr="008B264B">
        <w:rPr>
          <w:rFonts w:ascii="Times New Roman" w:eastAsia="Times New Roman" w:hAnsi="Times New Roman" w:cs="Times New Roman"/>
          <w:color w:val="000000"/>
          <w:sz w:val="24"/>
          <w:szCs w:val="24"/>
          <w:lang/>
        </w:rPr>
        <w:t>223.2. Платники податку, визначені </w:t>
      </w:r>
      <w:hyperlink r:id="rId3922" w:anchor="n5402" w:history="1">
        <w:r w:rsidRPr="008B264B">
          <w:rPr>
            <w:rFonts w:ascii="Times New Roman" w:eastAsia="Times New Roman" w:hAnsi="Times New Roman" w:cs="Times New Roman"/>
            <w:color w:val="0000FF"/>
            <w:sz w:val="24"/>
            <w:szCs w:val="24"/>
            <w:u w:val="single"/>
            <w:lang/>
          </w:rPr>
          <w:t>пунктом 212.1</w:t>
        </w:r>
      </w:hyperlink>
      <w:r w:rsidRPr="008B264B">
        <w:rPr>
          <w:rFonts w:ascii="Times New Roman" w:eastAsia="Times New Roman" w:hAnsi="Times New Roman" w:cs="Times New Roman"/>
          <w:color w:val="000000"/>
          <w:sz w:val="24"/>
          <w:szCs w:val="24"/>
          <w:lang/>
        </w:rPr>
        <w:t> статті 212 цього Кодексу (крім імпортерів підакцизних товарів, зазначених у </w:t>
      </w:r>
      <w:hyperlink r:id="rId3923" w:anchor="n5506" w:history="1">
        <w:r w:rsidRPr="008B264B">
          <w:rPr>
            <w:rFonts w:ascii="Times New Roman" w:eastAsia="Times New Roman" w:hAnsi="Times New Roman" w:cs="Times New Roman"/>
            <w:color w:val="0000FF"/>
            <w:sz w:val="24"/>
            <w:szCs w:val="24"/>
            <w:u w:val="single"/>
            <w:lang/>
          </w:rPr>
          <w:t>підпунктах 215.3.4</w:t>
        </w:r>
      </w:hyperlink>
      <w:r w:rsidRPr="008B264B">
        <w:rPr>
          <w:rFonts w:ascii="Times New Roman" w:eastAsia="Times New Roman" w:hAnsi="Times New Roman" w:cs="Times New Roman"/>
          <w:color w:val="000000"/>
          <w:sz w:val="24"/>
          <w:szCs w:val="24"/>
          <w:lang/>
        </w:rPr>
        <w:t>, </w:t>
      </w:r>
      <w:hyperlink r:id="rId3924" w:anchor="n5509" w:history="1">
        <w:r w:rsidRPr="008B264B">
          <w:rPr>
            <w:rFonts w:ascii="Times New Roman" w:eastAsia="Times New Roman" w:hAnsi="Times New Roman" w:cs="Times New Roman"/>
            <w:color w:val="0000FF"/>
            <w:sz w:val="24"/>
            <w:szCs w:val="24"/>
            <w:u w:val="single"/>
            <w:lang/>
          </w:rPr>
          <w:t>215.3.5</w:t>
        </w:r>
      </w:hyperlink>
      <w:r w:rsidRPr="008B264B">
        <w:rPr>
          <w:rFonts w:ascii="Times New Roman" w:eastAsia="Times New Roman" w:hAnsi="Times New Roman" w:cs="Times New Roman"/>
          <w:color w:val="000000"/>
          <w:sz w:val="24"/>
          <w:szCs w:val="24"/>
          <w:lang/>
        </w:rPr>
        <w:t>, </w:t>
      </w:r>
      <w:hyperlink r:id="rId3925" w:anchor="n11389" w:history="1">
        <w:r w:rsidRPr="008B264B">
          <w:rPr>
            <w:rFonts w:ascii="Times New Roman" w:eastAsia="Times New Roman" w:hAnsi="Times New Roman" w:cs="Times New Roman"/>
            <w:color w:val="0000FF"/>
            <w:sz w:val="24"/>
            <w:szCs w:val="24"/>
            <w:u w:val="single"/>
            <w:lang/>
          </w:rPr>
          <w:t>215.3.5</w:t>
        </w:r>
      </w:hyperlink>
      <w:hyperlink r:id="rId3926" w:anchor="n11389"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w:t>
      </w:r>
      <w:hyperlink r:id="rId3927" w:anchor="n11391" w:history="1">
        <w:r w:rsidRPr="008B264B">
          <w:rPr>
            <w:rFonts w:ascii="Times New Roman" w:eastAsia="Times New Roman" w:hAnsi="Times New Roman" w:cs="Times New Roman"/>
            <w:color w:val="0000FF"/>
            <w:sz w:val="24"/>
            <w:szCs w:val="24"/>
            <w:u w:val="single"/>
            <w:lang/>
          </w:rPr>
          <w:t>215.3.5</w:t>
        </w:r>
      </w:hyperlink>
      <w:hyperlink r:id="rId3928" w:anchor="n1139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w:t>
      </w:r>
      <w:hyperlink r:id="rId3929" w:anchor="n5511" w:history="1">
        <w:r w:rsidRPr="008B264B">
          <w:rPr>
            <w:rFonts w:ascii="Times New Roman" w:eastAsia="Times New Roman" w:hAnsi="Times New Roman" w:cs="Times New Roman"/>
            <w:color w:val="0000FF"/>
            <w:sz w:val="24"/>
            <w:szCs w:val="24"/>
            <w:u w:val="single"/>
            <w:lang/>
          </w:rPr>
          <w:t>215.3.6</w:t>
        </w:r>
      </w:hyperlink>
      <w:r w:rsidRPr="008B264B">
        <w:rPr>
          <w:rFonts w:ascii="Times New Roman" w:eastAsia="Times New Roman" w:hAnsi="Times New Roman" w:cs="Times New Roman"/>
          <w:color w:val="000000"/>
          <w:sz w:val="24"/>
          <w:szCs w:val="24"/>
          <w:lang/>
        </w:rPr>
        <w:t>, </w:t>
      </w:r>
      <w:hyperlink r:id="rId3930" w:anchor="n5513" w:history="1">
        <w:r w:rsidRPr="008B264B">
          <w:rPr>
            <w:rFonts w:ascii="Times New Roman" w:eastAsia="Times New Roman" w:hAnsi="Times New Roman" w:cs="Times New Roman"/>
            <w:color w:val="0000FF"/>
            <w:sz w:val="24"/>
            <w:szCs w:val="24"/>
            <w:u w:val="single"/>
            <w:lang/>
          </w:rPr>
          <w:t>215.3.7</w:t>
        </w:r>
      </w:hyperlink>
      <w:r w:rsidRPr="008B264B">
        <w:rPr>
          <w:rFonts w:ascii="Times New Roman" w:eastAsia="Times New Roman" w:hAnsi="Times New Roman" w:cs="Times New Roman"/>
          <w:color w:val="000000"/>
          <w:sz w:val="24"/>
          <w:szCs w:val="24"/>
          <w:lang/>
        </w:rPr>
        <w:t>, </w:t>
      </w:r>
      <w:hyperlink r:id="rId3931" w:anchor="n5515" w:history="1">
        <w:r w:rsidRPr="008B264B">
          <w:rPr>
            <w:rFonts w:ascii="Times New Roman" w:eastAsia="Times New Roman" w:hAnsi="Times New Roman" w:cs="Times New Roman"/>
            <w:color w:val="0000FF"/>
            <w:sz w:val="24"/>
            <w:szCs w:val="24"/>
            <w:u w:val="single"/>
            <w:lang/>
          </w:rPr>
          <w:t>215.3.8</w:t>
        </w:r>
      </w:hyperlink>
      <w:r w:rsidRPr="008B264B">
        <w:rPr>
          <w:rFonts w:ascii="Times New Roman" w:eastAsia="Times New Roman" w:hAnsi="Times New Roman" w:cs="Times New Roman"/>
          <w:color w:val="000000"/>
          <w:sz w:val="24"/>
          <w:szCs w:val="24"/>
          <w:lang/>
        </w:rPr>
        <w:t> пункту 215.3 статті 215 цього Кодексу), подають щомісяця не пізніше 20 числа наступного звітного (податкового) періоду контролюючому органу за місцем реєстрації </w:t>
      </w:r>
      <w:hyperlink r:id="rId3932" w:anchor="n18" w:tgtFrame="_blank" w:history="1">
        <w:r w:rsidRPr="008B264B">
          <w:rPr>
            <w:rFonts w:ascii="Times New Roman" w:eastAsia="Times New Roman" w:hAnsi="Times New Roman" w:cs="Times New Roman"/>
            <w:color w:val="0000FF"/>
            <w:sz w:val="24"/>
            <w:szCs w:val="24"/>
            <w:u w:val="single"/>
            <w:lang/>
          </w:rPr>
          <w:t>декларацію з акцизного податку</w:t>
        </w:r>
      </w:hyperlink>
      <w:r w:rsidRPr="008B264B">
        <w:rPr>
          <w:rFonts w:ascii="Times New Roman" w:eastAsia="Times New Roman" w:hAnsi="Times New Roman" w:cs="Times New Roman"/>
          <w:color w:val="000000"/>
          <w:sz w:val="24"/>
          <w:szCs w:val="24"/>
          <w:lang/>
        </w:rPr>
        <w:t> за формою, затвердженою у порядку, встановленому</w:t>
      </w:r>
      <w:hyperlink r:id="rId3933" w:anchor="n1144" w:history="1">
        <w:r w:rsidRPr="008B264B">
          <w:rPr>
            <w:rFonts w:ascii="Times New Roman" w:eastAsia="Times New Roman" w:hAnsi="Times New Roman" w:cs="Times New Roman"/>
            <w:color w:val="0000FF"/>
            <w:sz w:val="24"/>
            <w:szCs w:val="24"/>
            <w:u w:val="single"/>
            <w:lang/>
          </w:rPr>
          <w:t> статтею 46</w:t>
        </w:r>
      </w:hyperlink>
      <w:r w:rsidRPr="008B264B">
        <w:rPr>
          <w:rFonts w:ascii="Times New Roman" w:eastAsia="Times New Roman" w:hAnsi="Times New Roman" w:cs="Times New Roman"/>
          <w:color w:val="000000"/>
          <w:sz w:val="24"/>
          <w:szCs w:val="24"/>
          <w:lang/>
        </w:rPr>
        <w:t> цього Кодексу.</w:t>
      </w:r>
    </w:p>
    <w:p w14:paraId="14255F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39" w:name="n11417"/>
      <w:bookmarkEnd w:id="6939"/>
      <w:r w:rsidRPr="008B264B">
        <w:rPr>
          <w:rFonts w:ascii="Times New Roman" w:eastAsia="Times New Roman" w:hAnsi="Times New Roman" w:cs="Times New Roman"/>
          <w:i/>
          <w:iCs/>
          <w:color w:val="000000"/>
          <w:sz w:val="24"/>
          <w:szCs w:val="24"/>
          <w:lang/>
        </w:rPr>
        <w:t>{Пункт 223.2 статті 223 в редакції Законів </w:t>
      </w:r>
      <w:hyperlink r:id="rId3934" w:anchor="n8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935" w:anchor="n129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8BDC7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0" w:name="n5608"/>
      <w:bookmarkEnd w:id="6940"/>
      <w:r w:rsidRPr="008B264B">
        <w:rPr>
          <w:rFonts w:ascii="Times New Roman" w:eastAsia="Times New Roman" w:hAnsi="Times New Roman" w:cs="Times New Roman"/>
          <w:b/>
          <w:bCs/>
          <w:color w:val="000000"/>
          <w:sz w:val="24"/>
          <w:szCs w:val="24"/>
          <w:lang/>
        </w:rPr>
        <w:t>Стаття 224.</w:t>
      </w:r>
      <w:r w:rsidRPr="008B264B">
        <w:rPr>
          <w:rFonts w:ascii="Times New Roman" w:eastAsia="Times New Roman" w:hAnsi="Times New Roman" w:cs="Times New Roman"/>
          <w:color w:val="000000"/>
          <w:sz w:val="24"/>
          <w:szCs w:val="24"/>
          <w:lang/>
        </w:rPr>
        <w:t> Контроль за сплатою податку</w:t>
      </w:r>
    </w:p>
    <w:p w14:paraId="2391D0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1" w:name="n5609"/>
      <w:bookmarkEnd w:id="6941"/>
      <w:r w:rsidRPr="008B264B">
        <w:rPr>
          <w:rFonts w:ascii="Times New Roman" w:eastAsia="Times New Roman" w:hAnsi="Times New Roman" w:cs="Times New Roman"/>
          <w:color w:val="000000"/>
          <w:sz w:val="24"/>
          <w:szCs w:val="24"/>
          <w:lang/>
        </w:rPr>
        <w:t>224.1. Контроль за правильністю обчислення і своєчасністю сплати до бюджету податку з підакцизних товарів (продукції), що виробляються на території України, здійснюється контролюючими органами.</w:t>
      </w:r>
    </w:p>
    <w:p w14:paraId="2BFA4C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2" w:name="n5610"/>
      <w:bookmarkEnd w:id="6942"/>
      <w:r w:rsidRPr="008B264B">
        <w:rPr>
          <w:rFonts w:ascii="Times New Roman" w:eastAsia="Times New Roman" w:hAnsi="Times New Roman" w:cs="Times New Roman"/>
          <w:color w:val="000000"/>
          <w:sz w:val="24"/>
          <w:szCs w:val="24"/>
          <w:lang/>
        </w:rPr>
        <w:lastRenderedPageBreak/>
        <w:t>224.2. Контроль за правильністю обчислення, повнотою і своєчасністю сплати до бюджету податку з підакцизних товарів (продукції), що ввозяться на митну територію України, під час митного оформлення здійснюється контролюючими органами.</w:t>
      </w:r>
    </w:p>
    <w:p w14:paraId="3C5E22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3" w:name="n8807"/>
      <w:bookmarkEnd w:id="6943"/>
      <w:r w:rsidRPr="008B264B">
        <w:rPr>
          <w:rFonts w:ascii="Times New Roman" w:eastAsia="Times New Roman" w:hAnsi="Times New Roman" w:cs="Times New Roman"/>
          <w:i/>
          <w:iCs/>
          <w:color w:val="000000"/>
          <w:sz w:val="24"/>
          <w:szCs w:val="24"/>
          <w:lang/>
        </w:rPr>
        <w:t>{Пункт 224.2 статті 224 в редакції Закону </w:t>
      </w:r>
      <w:hyperlink r:id="rId3936" w:anchor="n18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024E67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4" w:name="n5611"/>
      <w:bookmarkEnd w:id="6944"/>
      <w:r w:rsidRPr="008B264B">
        <w:rPr>
          <w:rFonts w:ascii="Times New Roman" w:eastAsia="Times New Roman" w:hAnsi="Times New Roman" w:cs="Times New Roman"/>
          <w:b/>
          <w:bCs/>
          <w:color w:val="000000"/>
          <w:sz w:val="24"/>
          <w:szCs w:val="24"/>
          <w:lang/>
        </w:rPr>
        <w:t>Стаття 225.</w:t>
      </w:r>
      <w:r w:rsidRPr="008B264B">
        <w:rPr>
          <w:rFonts w:ascii="Times New Roman" w:eastAsia="Times New Roman" w:hAnsi="Times New Roman" w:cs="Times New Roman"/>
          <w:color w:val="000000"/>
          <w:sz w:val="24"/>
          <w:szCs w:val="24"/>
          <w:lang/>
        </w:rPr>
        <w:t> Особливості оподаткування алкогольних напоїв</w:t>
      </w:r>
    </w:p>
    <w:p w14:paraId="14E1CA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5" w:name="n5612"/>
      <w:bookmarkEnd w:id="6945"/>
      <w:r w:rsidRPr="008B264B">
        <w:rPr>
          <w:rFonts w:ascii="Times New Roman" w:eastAsia="Times New Roman" w:hAnsi="Times New Roman" w:cs="Times New Roman"/>
          <w:color w:val="000000"/>
          <w:sz w:val="24"/>
          <w:szCs w:val="24"/>
          <w:lang/>
        </w:rPr>
        <w:t>225.1. Суб'єкт господарювання зобов'язаний сплатити податок або подати контролюючому органу за своїм місцезнаходженням до отримання з акцизного складу спирту етилового неденатурованого, призначеного для переробки на алкогольні напої (крім виноматеріалів та вермутів), податковий вексель, який є забезпеченням виконання зобов'язання такого платника у строк до 90 календарних днів, починаючи з дня видачі податкового векселя, сплатити суму податку, розраховану за ставками для цієї продукції.</w:t>
      </w:r>
    </w:p>
    <w:p w14:paraId="351753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6" w:name="n5613"/>
      <w:bookmarkEnd w:id="6946"/>
      <w:r w:rsidRPr="008B264B">
        <w:rPr>
          <w:rFonts w:ascii="Times New Roman" w:eastAsia="Times New Roman" w:hAnsi="Times New Roman" w:cs="Times New Roman"/>
          <w:i/>
          <w:iCs/>
          <w:color w:val="000000"/>
          <w:sz w:val="24"/>
          <w:szCs w:val="24"/>
          <w:lang/>
        </w:rPr>
        <w:t>{Пункт 225.1 статті 225 із змінами, внесеними згідно із Законом </w:t>
      </w:r>
      <w:hyperlink r:id="rId3937" w:anchor="n6" w:tgtFrame="_blank" w:history="1">
        <w:r w:rsidRPr="008B264B">
          <w:rPr>
            <w:rFonts w:ascii="Times New Roman" w:eastAsia="Times New Roman" w:hAnsi="Times New Roman" w:cs="Times New Roman"/>
            <w:i/>
            <w:iCs/>
            <w:color w:val="0000FF"/>
            <w:sz w:val="24"/>
            <w:szCs w:val="24"/>
            <w:u w:val="single"/>
            <w:lang/>
          </w:rPr>
          <w:t>№ 5074-VI від 05.07.2012</w:t>
        </w:r>
      </w:hyperlink>
      <w:r w:rsidRPr="008B264B">
        <w:rPr>
          <w:rFonts w:ascii="Times New Roman" w:eastAsia="Times New Roman" w:hAnsi="Times New Roman" w:cs="Times New Roman"/>
          <w:i/>
          <w:iCs/>
          <w:color w:val="000000"/>
          <w:sz w:val="24"/>
          <w:szCs w:val="24"/>
          <w:lang/>
        </w:rPr>
        <w:t>}</w:t>
      </w:r>
    </w:p>
    <w:p w14:paraId="5AF517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7" w:name="n5614"/>
      <w:bookmarkEnd w:id="6947"/>
      <w:r w:rsidRPr="008B264B">
        <w:rPr>
          <w:rFonts w:ascii="Times New Roman" w:eastAsia="Times New Roman" w:hAnsi="Times New Roman" w:cs="Times New Roman"/>
          <w:color w:val="000000"/>
          <w:sz w:val="24"/>
          <w:szCs w:val="24"/>
          <w:lang/>
        </w:rPr>
        <w:t>225.2. Під час отримання спирту етилового неденатурованого підприємство-векселедавець за участю представника контролюючого органу на акцизному складі складає акт про фактично отриману кількість спирту та розрахунок акцизного податку виходячи з фактично отриманої кількості спирту. Цей акт є коригуванням вже сплаченої суми податку або наданого податкового векселя із зазначенням остаточної суми податку, яка підлягає сплаті.</w:t>
      </w:r>
    </w:p>
    <w:p w14:paraId="079994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8" w:name="n5615"/>
      <w:bookmarkEnd w:id="6948"/>
      <w:r w:rsidRPr="008B264B">
        <w:rPr>
          <w:rFonts w:ascii="Times New Roman" w:eastAsia="Times New Roman" w:hAnsi="Times New Roman" w:cs="Times New Roman"/>
          <w:color w:val="000000"/>
          <w:sz w:val="24"/>
          <w:szCs w:val="24"/>
          <w:lang/>
        </w:rPr>
        <w:t>225.3. Скоригована сума податку в податковому векселі сплачується частково у разі придбання марок акцизного податку в період дії такого векселя.</w:t>
      </w:r>
    </w:p>
    <w:p w14:paraId="29E682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49" w:name="n5616"/>
      <w:bookmarkEnd w:id="6949"/>
      <w:r w:rsidRPr="008B264B">
        <w:rPr>
          <w:rFonts w:ascii="Times New Roman" w:eastAsia="Times New Roman" w:hAnsi="Times New Roman" w:cs="Times New Roman"/>
          <w:color w:val="000000"/>
          <w:sz w:val="24"/>
          <w:szCs w:val="24"/>
          <w:lang/>
        </w:rPr>
        <w:t>225.4. Податковий вексель вважається погашеним векселедавцем у разі сплати суми податку в повному обсязі та в зазначений у податковому векселі строк.</w:t>
      </w:r>
    </w:p>
    <w:p w14:paraId="0B1B0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0" w:name="n5617"/>
      <w:bookmarkEnd w:id="6950"/>
      <w:r w:rsidRPr="008B264B">
        <w:rPr>
          <w:rFonts w:ascii="Times New Roman" w:eastAsia="Times New Roman" w:hAnsi="Times New Roman" w:cs="Times New Roman"/>
          <w:color w:val="000000"/>
          <w:sz w:val="24"/>
          <w:szCs w:val="24"/>
          <w:lang/>
        </w:rPr>
        <w:t>225.5. Сума податку, на яку погашається вексель, визначається виходячи з фактично отриманої кількості спирту (згідно з актом) та ставок податку на готову продукцію, зменшується на суму податку, розраховану виходячи з фактично втраченої кількості спирту етилового при транспортуванні та зберіганні, у процесі виробництва готової продукції в межах норм, затверджених у встановленому порядку, а також фактично повернутого невиправного браку. Розрахунок суми зменшення податку проводиться у </w:t>
      </w:r>
      <w:hyperlink r:id="rId3938"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встановленому Кабінетом Міністрів України.</w:t>
      </w:r>
    </w:p>
    <w:p w14:paraId="283F76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1" w:name="n5618"/>
      <w:bookmarkEnd w:id="6951"/>
      <w:r w:rsidRPr="008B264B">
        <w:rPr>
          <w:rFonts w:ascii="Times New Roman" w:eastAsia="Times New Roman" w:hAnsi="Times New Roman" w:cs="Times New Roman"/>
          <w:color w:val="000000"/>
          <w:sz w:val="24"/>
          <w:szCs w:val="24"/>
          <w:lang/>
        </w:rPr>
        <w:t>225.6. У разі експорту (вивезення) підакцизних товарів (продукції) за межі митної території України сума податку для погашення податкового векселя визначається з урахуванням обсягів відвантаженої на експорт продукції згідно з належно оформленою митною декларацією.</w:t>
      </w:r>
    </w:p>
    <w:p w14:paraId="25A77B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2" w:name="n5619"/>
      <w:bookmarkEnd w:id="6952"/>
      <w:r w:rsidRPr="008B264B">
        <w:rPr>
          <w:rFonts w:ascii="Times New Roman" w:eastAsia="Times New Roman" w:hAnsi="Times New Roman" w:cs="Times New Roman"/>
          <w:color w:val="000000"/>
          <w:sz w:val="24"/>
          <w:szCs w:val="24"/>
          <w:lang/>
        </w:rPr>
        <w:t>225.7. У разі якщо передбачений цією статтею податковий вексель не погашається у визначений строк, векселедержатель вчиняє протест такого векселя у неплатежі згідно із законодавством та звертається протягом одного робочого дня з дати вчинення протесту до банку, який здійснив аваль цього векселя, з опротестованим векселем. Банк-аваліст зобов'язаний не пізніше операційного дня, що настає за датою звернення векселедержателя з опротестованим векселем, переказати суму, зазначену в цьому векселі, векселедержателю. Забороняється часткове погашення податкового векселя після закінчення строку, на який він виданий.</w:t>
      </w:r>
    </w:p>
    <w:p w14:paraId="253C44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3" w:name="n5620"/>
      <w:bookmarkEnd w:id="6953"/>
      <w:r w:rsidRPr="008B264B">
        <w:rPr>
          <w:rFonts w:ascii="Times New Roman" w:eastAsia="Times New Roman" w:hAnsi="Times New Roman" w:cs="Times New Roman"/>
          <w:color w:val="000000"/>
          <w:sz w:val="24"/>
          <w:szCs w:val="24"/>
          <w:lang/>
        </w:rPr>
        <w:t>225.8. У разі якщо податковий вексель, строк сплати за яким настав, не погашений, наступний вексель не може бути виданий таким суб'єктом.</w:t>
      </w:r>
    </w:p>
    <w:p w14:paraId="140DEF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4" w:name="n5621"/>
      <w:bookmarkEnd w:id="6954"/>
      <w:r w:rsidRPr="008B264B">
        <w:rPr>
          <w:rFonts w:ascii="Times New Roman" w:eastAsia="Times New Roman" w:hAnsi="Times New Roman" w:cs="Times New Roman"/>
          <w:color w:val="000000"/>
          <w:sz w:val="24"/>
          <w:szCs w:val="24"/>
          <w:lang/>
        </w:rPr>
        <w:t>225.9. Виноматеріали, що реалізуються підприємствам вторинного виноробства, які використовують ці виноматеріали для виробництва готової продукції, не оподатковуються. В інших випадках реалізація виноматеріалів оподатковується за ставками податку на виноробну продукцію, встановленими </w:t>
      </w:r>
      <w:hyperlink r:id="rId3939" w:anchor="n5497" w:history="1">
        <w:r w:rsidRPr="008B264B">
          <w:rPr>
            <w:rFonts w:ascii="Times New Roman" w:eastAsia="Times New Roman" w:hAnsi="Times New Roman" w:cs="Times New Roman"/>
            <w:color w:val="0000FF"/>
            <w:sz w:val="24"/>
            <w:szCs w:val="24"/>
            <w:u w:val="single"/>
            <w:lang/>
          </w:rPr>
          <w:t>підпунктом 215.3.1</w:t>
        </w:r>
      </w:hyperlink>
      <w:r w:rsidRPr="008B264B">
        <w:rPr>
          <w:rFonts w:ascii="Times New Roman" w:eastAsia="Times New Roman" w:hAnsi="Times New Roman" w:cs="Times New Roman"/>
          <w:color w:val="000000"/>
          <w:sz w:val="24"/>
          <w:szCs w:val="24"/>
          <w:lang/>
        </w:rPr>
        <w:t> пункту 215.3 статті 215 цього Кодексу.</w:t>
      </w:r>
    </w:p>
    <w:p w14:paraId="75AD52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5" w:name="n5622"/>
      <w:bookmarkEnd w:id="6955"/>
      <w:r w:rsidRPr="008B264B">
        <w:rPr>
          <w:rFonts w:ascii="Times New Roman" w:eastAsia="Times New Roman" w:hAnsi="Times New Roman" w:cs="Times New Roman"/>
          <w:b/>
          <w:bCs/>
          <w:color w:val="000000"/>
          <w:sz w:val="24"/>
          <w:szCs w:val="24"/>
          <w:lang/>
        </w:rPr>
        <w:t>Стаття 226.</w:t>
      </w:r>
      <w:r w:rsidRPr="008B264B">
        <w:rPr>
          <w:rFonts w:ascii="Times New Roman" w:eastAsia="Times New Roman" w:hAnsi="Times New Roman" w:cs="Times New Roman"/>
          <w:color w:val="000000"/>
          <w:sz w:val="24"/>
          <w:szCs w:val="24"/>
          <w:lang/>
        </w:rPr>
        <w:t> Виготовлення, зберігання, продаж марок акцизного податку та маркування алкогольних напоїв і тютюнових виробів</w:t>
      </w:r>
    </w:p>
    <w:p w14:paraId="15482E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6" w:name="n5623"/>
      <w:bookmarkEnd w:id="6956"/>
      <w:r w:rsidRPr="008B264B">
        <w:rPr>
          <w:rFonts w:ascii="Times New Roman" w:eastAsia="Times New Roman" w:hAnsi="Times New Roman" w:cs="Times New Roman"/>
          <w:color w:val="000000"/>
          <w:sz w:val="24"/>
          <w:szCs w:val="24"/>
          <w:lang/>
        </w:rPr>
        <w:lastRenderedPageBreak/>
        <w:t>226.1. У разі виробництва на митній території України алкогольних напоїв і тютюнових виробів чи ввезення таких товарів на митну територію України платники податку зобов'язані забезпечити їх маркування марками встановленого зразка у такий спосіб, щоб марка акцизного податку розривалася під час відкупорювання (розкривання) товару.</w:t>
      </w:r>
    </w:p>
    <w:p w14:paraId="0D3844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7" w:name="n5624"/>
      <w:bookmarkEnd w:id="6957"/>
      <w:r w:rsidRPr="008B264B">
        <w:rPr>
          <w:rFonts w:ascii="Times New Roman" w:eastAsia="Times New Roman" w:hAnsi="Times New Roman" w:cs="Times New Roman"/>
          <w:color w:val="000000"/>
          <w:sz w:val="24"/>
          <w:szCs w:val="24"/>
          <w:lang/>
        </w:rPr>
        <w:t>226.2. Наявність наклеєної в установленому порядку марки акцизного податку встановленого зразка на пляшці (упаковці) алкогольного напою та пачці (упаковці) тютюнового виробу є однією з умов для ввезення на митну територію України і продажу таких товарів споживачам, а також підтвердженням сплати податку та легальності ввезення товарів.</w:t>
      </w:r>
    </w:p>
    <w:p w14:paraId="42A57D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8" w:name="n5625"/>
      <w:bookmarkEnd w:id="6958"/>
      <w:r w:rsidRPr="008B264B">
        <w:rPr>
          <w:rFonts w:ascii="Times New Roman" w:eastAsia="Times New Roman" w:hAnsi="Times New Roman" w:cs="Times New Roman"/>
          <w:color w:val="000000"/>
          <w:sz w:val="24"/>
          <w:szCs w:val="24"/>
          <w:lang/>
        </w:rPr>
        <w:t>226.3. Виготовлення, зберігання, продаж марок акцизного податку та маркування алкогольних напоїв і тютюнових виробів здійснюються відповідно до </w:t>
      </w:r>
      <w:hyperlink r:id="rId3940" w:tgtFrame="_blank" w:history="1">
        <w:r w:rsidRPr="008B264B">
          <w:rPr>
            <w:rFonts w:ascii="Times New Roman" w:eastAsia="Times New Roman" w:hAnsi="Times New Roman" w:cs="Times New Roman"/>
            <w:color w:val="0000FF"/>
            <w:sz w:val="24"/>
            <w:szCs w:val="24"/>
            <w:u w:val="single"/>
            <w:lang/>
          </w:rPr>
          <w:t>положення</w:t>
        </w:r>
      </w:hyperlink>
      <w:r w:rsidRPr="008B264B">
        <w:rPr>
          <w:rFonts w:ascii="Times New Roman" w:eastAsia="Times New Roman" w:hAnsi="Times New Roman" w:cs="Times New Roman"/>
          <w:color w:val="000000"/>
          <w:sz w:val="24"/>
          <w:szCs w:val="24"/>
          <w:lang/>
        </w:rPr>
        <w:t>, затвердженого Кабінетом Міністрів України.</w:t>
      </w:r>
    </w:p>
    <w:p w14:paraId="61CAE1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59" w:name="n5626"/>
      <w:bookmarkEnd w:id="6959"/>
      <w:r w:rsidRPr="008B264B">
        <w:rPr>
          <w:rFonts w:ascii="Times New Roman" w:eastAsia="Times New Roman" w:hAnsi="Times New Roman" w:cs="Times New Roman"/>
          <w:color w:val="000000"/>
          <w:sz w:val="24"/>
          <w:szCs w:val="24"/>
          <w:lang/>
        </w:rPr>
        <w:t>226.4. Марки акцизного податку для вироблених в Україні алкогольних напоїв і тютюнових виробів відрізняються від марок для ввезених на митну територію України алкогольних напоїв і тютюнових виробів дизайном та кольором.</w:t>
      </w:r>
    </w:p>
    <w:p w14:paraId="3F34DA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0" w:name="n14884"/>
      <w:bookmarkEnd w:id="6960"/>
      <w:r w:rsidRPr="008B264B">
        <w:rPr>
          <w:rFonts w:ascii="Times New Roman" w:eastAsia="Times New Roman" w:hAnsi="Times New Roman" w:cs="Times New Roman"/>
          <w:color w:val="000000"/>
          <w:sz w:val="24"/>
          <w:szCs w:val="24"/>
          <w:lang/>
        </w:rPr>
        <w:t>Марки акцизного податку для вироблених в Україні тютюнових виробів за кодом </w:t>
      </w:r>
      <w:hyperlink r:id="rId3941" w:anchor="n57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2402 20 90 20 та 2402 20 90 10 відрізняються від марок акцизного податку для вироблених в Україні інших тютюнових виробів дизайном і кольором. Марки акцизного податку для ввезених в Україну тютюнових виробів за кодом УКТ ЗЕД 2402 20 90 20 та 2402 20 90 10 відрізняються від марок акцизного податку для ввезених в Україну інших тютюнових виробів дизайном і кольором.</w:t>
      </w:r>
    </w:p>
    <w:p w14:paraId="69B3C8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1" w:name="n14882"/>
      <w:bookmarkEnd w:id="6961"/>
      <w:r w:rsidRPr="008B264B">
        <w:rPr>
          <w:rFonts w:ascii="Times New Roman" w:eastAsia="Times New Roman" w:hAnsi="Times New Roman" w:cs="Times New Roman"/>
          <w:i/>
          <w:iCs/>
          <w:color w:val="000000"/>
          <w:sz w:val="24"/>
          <w:szCs w:val="24"/>
          <w:lang/>
        </w:rPr>
        <w:t>{Пункт 226.4 статті 226 доповнено абзацом другим згідно із Законом </w:t>
      </w:r>
      <w:hyperlink r:id="rId3942" w:anchor="n30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 набирає чинності з 1 липня 2018 року, див. </w:t>
      </w:r>
      <w:hyperlink r:id="rId3943" w:anchor="n579"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роділу II Закону № 2245-VIII від 07.12.2017}</w:t>
      </w:r>
    </w:p>
    <w:p w14:paraId="312C0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2" w:name="n5627"/>
      <w:bookmarkEnd w:id="6962"/>
      <w:r w:rsidRPr="008B264B">
        <w:rPr>
          <w:rFonts w:ascii="Times New Roman" w:eastAsia="Times New Roman" w:hAnsi="Times New Roman" w:cs="Times New Roman"/>
          <w:color w:val="000000"/>
          <w:sz w:val="24"/>
          <w:szCs w:val="24"/>
          <w:lang/>
        </w:rPr>
        <w:t>226.5. Маркування алкогольних напоїв та тютюнових виробів здійснюється марками акцизного податку, </w:t>
      </w:r>
      <w:hyperlink r:id="rId3944" w:anchor="n15" w:tgtFrame="_blank" w:history="1">
        <w:r w:rsidRPr="008B264B">
          <w:rPr>
            <w:rFonts w:ascii="Times New Roman" w:eastAsia="Times New Roman" w:hAnsi="Times New Roman" w:cs="Times New Roman"/>
            <w:color w:val="0000FF"/>
            <w:sz w:val="24"/>
            <w:szCs w:val="24"/>
            <w:u w:val="single"/>
            <w:lang/>
          </w:rPr>
          <w:t>зразки</w:t>
        </w:r>
      </w:hyperlink>
      <w:r w:rsidRPr="008B264B">
        <w:rPr>
          <w:rFonts w:ascii="Times New Roman" w:eastAsia="Times New Roman" w:hAnsi="Times New Roman" w:cs="Times New Roman"/>
          <w:color w:val="000000"/>
          <w:sz w:val="24"/>
          <w:szCs w:val="24"/>
          <w:lang/>
        </w:rPr>
        <w:t> яких затверджуються Кабінетом Міністрів України.</w:t>
      </w:r>
    </w:p>
    <w:p w14:paraId="026C1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3" w:name="n5628"/>
      <w:bookmarkEnd w:id="6963"/>
      <w:r w:rsidRPr="008B264B">
        <w:rPr>
          <w:rFonts w:ascii="Times New Roman" w:eastAsia="Times New Roman" w:hAnsi="Times New Roman" w:cs="Times New Roman"/>
          <w:color w:val="000000"/>
          <w:sz w:val="24"/>
          <w:szCs w:val="24"/>
          <w:lang/>
        </w:rPr>
        <w:t>226.6. Маркуванню підлягають усі алкогольні напої з вмістом спирту етилового понад 8,5 відсотка об'ємних одиниць. Маркування вироблених в Україні алкогольних напоїв із вмістом спирту етилового до 8,5 відсотка об'ємних одиниць не здійснюється.</w:t>
      </w:r>
    </w:p>
    <w:p w14:paraId="06AFAB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4" w:name="n11418"/>
      <w:bookmarkEnd w:id="6964"/>
      <w:r w:rsidRPr="008B264B">
        <w:rPr>
          <w:rFonts w:ascii="Times New Roman" w:eastAsia="Times New Roman" w:hAnsi="Times New Roman" w:cs="Times New Roman"/>
          <w:i/>
          <w:iCs/>
          <w:color w:val="000000"/>
          <w:sz w:val="24"/>
          <w:szCs w:val="24"/>
          <w:lang/>
        </w:rPr>
        <w:t>{Пункт 226.6 статті 226 із змінами, внесеними згідно із Законом </w:t>
      </w:r>
      <w:hyperlink r:id="rId3945" w:anchor="n86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C6511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5" w:name="n5629"/>
      <w:bookmarkEnd w:id="6965"/>
      <w:r w:rsidRPr="008B264B">
        <w:rPr>
          <w:rFonts w:ascii="Times New Roman" w:eastAsia="Times New Roman" w:hAnsi="Times New Roman" w:cs="Times New Roman"/>
          <w:color w:val="000000"/>
          <w:sz w:val="24"/>
          <w:szCs w:val="24"/>
          <w:lang/>
        </w:rPr>
        <w:t>226.7. Кожна марка акцизного податку на алкогольні напої повинна мати окремий номер, місяць і рік випуску марки та позначення про суму сплаченого акцизного податку за одиницю маркованої продукції, крім суми акцизного податку з реалізації суб’єктами господарювання роздрібної торгівлі алкогольних напоїв.</w:t>
      </w:r>
    </w:p>
    <w:p w14:paraId="6C53B2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6" w:name="n11419"/>
      <w:bookmarkEnd w:id="6966"/>
      <w:r w:rsidRPr="008B264B">
        <w:rPr>
          <w:rFonts w:ascii="Times New Roman" w:eastAsia="Times New Roman" w:hAnsi="Times New Roman" w:cs="Times New Roman"/>
          <w:i/>
          <w:iCs/>
          <w:color w:val="000000"/>
          <w:sz w:val="24"/>
          <w:szCs w:val="24"/>
          <w:lang/>
        </w:rPr>
        <w:t>{Пункт 226.7 статті 226 в редакції Закону </w:t>
      </w:r>
      <w:hyperlink r:id="rId3946" w:anchor="n86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E0EB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7" w:name="n5630"/>
      <w:bookmarkEnd w:id="6967"/>
      <w:r w:rsidRPr="008B264B">
        <w:rPr>
          <w:rFonts w:ascii="Times New Roman" w:eastAsia="Times New Roman" w:hAnsi="Times New Roman" w:cs="Times New Roman"/>
          <w:color w:val="000000"/>
          <w:sz w:val="24"/>
          <w:szCs w:val="24"/>
          <w:lang/>
        </w:rPr>
        <w:t>226.8. Кожна марка акцизного податку на тютюнові вироби повинна мати окремий номер та позначення про квартал і рік випуску марки.</w:t>
      </w:r>
    </w:p>
    <w:p w14:paraId="0CBD3D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8" w:name="n5631"/>
      <w:bookmarkEnd w:id="6968"/>
      <w:r w:rsidRPr="008B264B">
        <w:rPr>
          <w:rFonts w:ascii="Times New Roman" w:eastAsia="Times New Roman" w:hAnsi="Times New Roman" w:cs="Times New Roman"/>
          <w:color w:val="000000"/>
          <w:sz w:val="24"/>
          <w:szCs w:val="24"/>
          <w:lang/>
        </w:rPr>
        <w:t>Виробники та імпортери тютюнових виробів ведуть облік та звітують про використання марок акцизного податку за видами марок (ТІ - "тютюн імпортний", ТВ - "тютюн вітчизняний") у кількісному виразі.</w:t>
      </w:r>
    </w:p>
    <w:p w14:paraId="52F53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69" w:name="n5632"/>
      <w:bookmarkEnd w:id="6969"/>
      <w:r w:rsidRPr="008B264B">
        <w:rPr>
          <w:rFonts w:ascii="Times New Roman" w:eastAsia="Times New Roman" w:hAnsi="Times New Roman" w:cs="Times New Roman"/>
          <w:i/>
          <w:iCs/>
          <w:color w:val="000000"/>
          <w:sz w:val="24"/>
          <w:szCs w:val="24"/>
          <w:lang/>
        </w:rPr>
        <w:t>{Пункт 226.8 статті 226 доповнено абзацом другим згідно із Законом </w:t>
      </w:r>
      <w:hyperlink r:id="rId394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3B276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0" w:name="n5633"/>
      <w:bookmarkEnd w:id="6970"/>
      <w:r w:rsidRPr="008B264B">
        <w:rPr>
          <w:rFonts w:ascii="Times New Roman" w:eastAsia="Times New Roman" w:hAnsi="Times New Roman" w:cs="Times New Roman"/>
          <w:color w:val="000000"/>
          <w:sz w:val="24"/>
          <w:szCs w:val="24"/>
          <w:lang/>
        </w:rPr>
        <w:t>226.9. Вважаються такими, що немарковані:</w:t>
      </w:r>
    </w:p>
    <w:p w14:paraId="107B84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1" w:name="n5634"/>
      <w:bookmarkEnd w:id="6971"/>
      <w:r w:rsidRPr="008B264B">
        <w:rPr>
          <w:rFonts w:ascii="Times New Roman" w:eastAsia="Times New Roman" w:hAnsi="Times New Roman" w:cs="Times New Roman"/>
          <w:color w:val="000000"/>
          <w:sz w:val="24"/>
          <w:szCs w:val="24"/>
          <w:lang/>
        </w:rPr>
        <w:t>алкогольні напої та тютюнові вироби з підробленими марками акцизного податку;</w:t>
      </w:r>
    </w:p>
    <w:p w14:paraId="6D8E44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2" w:name="n5635"/>
      <w:bookmarkEnd w:id="6972"/>
      <w:r w:rsidRPr="008B264B">
        <w:rPr>
          <w:rFonts w:ascii="Times New Roman" w:eastAsia="Times New Roman" w:hAnsi="Times New Roman" w:cs="Times New Roman"/>
          <w:color w:val="000000"/>
          <w:sz w:val="24"/>
          <w:szCs w:val="24"/>
          <w:lang/>
        </w:rPr>
        <w:t>алкогольні напої та тютюнові вироби, марковані з відхиленням від вимог </w:t>
      </w:r>
      <w:hyperlink r:id="rId3948" w:tgtFrame="_blank" w:history="1">
        <w:r w:rsidRPr="008B264B">
          <w:rPr>
            <w:rFonts w:ascii="Times New Roman" w:eastAsia="Times New Roman" w:hAnsi="Times New Roman" w:cs="Times New Roman"/>
            <w:color w:val="0000FF"/>
            <w:sz w:val="24"/>
            <w:szCs w:val="24"/>
            <w:u w:val="single"/>
            <w:lang/>
          </w:rPr>
          <w:t>положення</w:t>
        </w:r>
      </w:hyperlink>
      <w:r w:rsidRPr="008B264B">
        <w:rPr>
          <w:rFonts w:ascii="Times New Roman" w:eastAsia="Times New Roman" w:hAnsi="Times New Roman" w:cs="Times New Roman"/>
          <w:color w:val="000000"/>
          <w:sz w:val="24"/>
          <w:szCs w:val="24"/>
          <w:lang/>
        </w:rPr>
        <w:t xml:space="preserve">, затвердженого Кабінетом Міністрів України, відповідно до якого здійснюються виготовлення, зберігання, продаж марок акцизного податку та маркування алкогольних напоїв і тютюнових </w:t>
      </w:r>
      <w:r w:rsidRPr="008B264B">
        <w:rPr>
          <w:rFonts w:ascii="Times New Roman" w:eastAsia="Times New Roman" w:hAnsi="Times New Roman" w:cs="Times New Roman"/>
          <w:color w:val="000000"/>
          <w:sz w:val="24"/>
          <w:szCs w:val="24"/>
          <w:lang/>
        </w:rPr>
        <w:lastRenderedPageBreak/>
        <w:t>виробів, та/або марками, що не видавалися безпосередньо виробнику або імпортеру зазначеної продукції;</w:t>
      </w:r>
    </w:p>
    <w:p w14:paraId="05F8F2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3" w:name="n5636"/>
      <w:bookmarkEnd w:id="6973"/>
      <w:r w:rsidRPr="008B264B">
        <w:rPr>
          <w:rFonts w:ascii="Times New Roman" w:eastAsia="Times New Roman" w:hAnsi="Times New Roman" w:cs="Times New Roman"/>
          <w:color w:val="000000"/>
          <w:sz w:val="24"/>
          <w:szCs w:val="24"/>
          <w:lang/>
        </w:rPr>
        <w:t>вироблені в Україні алкогольні напої з марками акцизного податку, на яких зазначення суми акцизного податку, сплаченого за одиницю маркованої продукції, не відповідає сумі, визначеній з урахуванням чинних на дату розливу продукції ставок акцизного податку, міцності продукції та місткості тари;</w:t>
      </w:r>
    </w:p>
    <w:p w14:paraId="3A7FD8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4" w:name="n14333"/>
      <w:bookmarkEnd w:id="6974"/>
      <w:r w:rsidRPr="008B264B">
        <w:rPr>
          <w:rFonts w:ascii="Times New Roman" w:eastAsia="Times New Roman" w:hAnsi="Times New Roman" w:cs="Times New Roman"/>
          <w:i/>
          <w:iCs/>
          <w:color w:val="000000"/>
          <w:sz w:val="24"/>
          <w:szCs w:val="24"/>
          <w:lang/>
        </w:rPr>
        <w:t>{Абзац четвертий пункту 226.9 статті 226 із змінами, внесеними згідно із Законом </w:t>
      </w:r>
      <w:hyperlink r:id="rId3949" w:anchor="n129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9D0A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5" w:name="n14335"/>
      <w:bookmarkEnd w:id="6975"/>
      <w:r w:rsidRPr="008B264B">
        <w:rPr>
          <w:rFonts w:ascii="Times New Roman" w:eastAsia="Times New Roman" w:hAnsi="Times New Roman" w:cs="Times New Roman"/>
          <w:color w:val="000000"/>
          <w:sz w:val="24"/>
          <w:szCs w:val="24"/>
          <w:lang/>
        </w:rPr>
        <w:t>алкогольні напої іноземного виробництва з марками акцизного податку, на яких зазначена сума акцизного податку, сплаченого за одиницю маркованої продукції, не відповідає сумі, визначеній з урахуванням міцності продукції, місткості тари та розміру ставок акцизного податку, діючих на момент виробництва марки.</w:t>
      </w:r>
    </w:p>
    <w:p w14:paraId="04AEAD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6" w:name="n14334"/>
      <w:bookmarkEnd w:id="6976"/>
      <w:r w:rsidRPr="008B264B">
        <w:rPr>
          <w:rFonts w:ascii="Times New Roman" w:eastAsia="Times New Roman" w:hAnsi="Times New Roman" w:cs="Times New Roman"/>
          <w:i/>
          <w:iCs/>
          <w:color w:val="000000"/>
          <w:sz w:val="24"/>
          <w:szCs w:val="24"/>
          <w:lang/>
        </w:rPr>
        <w:t>{Пункт 226.9 статті 226 доповнено абзацом п'ятим згідно із Законом </w:t>
      </w:r>
      <w:hyperlink r:id="rId3950" w:anchor="n129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C4EFC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7" w:name="n5637"/>
      <w:bookmarkEnd w:id="6977"/>
      <w:r w:rsidRPr="008B264B">
        <w:rPr>
          <w:rFonts w:ascii="Times New Roman" w:eastAsia="Times New Roman" w:hAnsi="Times New Roman" w:cs="Times New Roman"/>
          <w:color w:val="000000"/>
          <w:sz w:val="24"/>
          <w:szCs w:val="24"/>
          <w:lang/>
        </w:rPr>
        <w:t>226.10. Не підлягають маркуванню:</w:t>
      </w:r>
    </w:p>
    <w:p w14:paraId="3D2C13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8" w:name="n5638"/>
      <w:bookmarkEnd w:id="6978"/>
      <w:r w:rsidRPr="008B264B">
        <w:rPr>
          <w:rFonts w:ascii="Times New Roman" w:eastAsia="Times New Roman" w:hAnsi="Times New Roman" w:cs="Times New Roman"/>
          <w:color w:val="000000"/>
          <w:sz w:val="24"/>
          <w:szCs w:val="24"/>
          <w:lang/>
        </w:rPr>
        <w:t>алкогольні напої і тютюнові вироби, які постачаються для реалізації магазинам безмитної торгівлі безпосередньо вітчизняними виробниками такої продукції за прямими договорами, укладеними між вітчизняними виробниками алкогольних напоїв і тютюнових виробів і власниками магазинів безмитної торгівлі. При цьому переміщення алкогольних напоїв і тютюнових виробів, що спрямовуються виробниками до магазинів безмитної торгівлі, здійснюється під митним контролем із застосуванням заходів гарантування доставки;</w:t>
      </w:r>
    </w:p>
    <w:p w14:paraId="5EFE6D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79" w:name="n5639"/>
      <w:bookmarkEnd w:id="6979"/>
      <w:r w:rsidRPr="008B264B">
        <w:rPr>
          <w:rFonts w:ascii="Times New Roman" w:eastAsia="Times New Roman" w:hAnsi="Times New Roman" w:cs="Times New Roman"/>
          <w:color w:val="000000"/>
          <w:sz w:val="24"/>
          <w:szCs w:val="24"/>
          <w:lang/>
        </w:rPr>
        <w:t>алкогольні напої і тютюнові вироби, які ввозяться в Україну і розміщуються у митному режимі магазину безмитної торгівлі;</w:t>
      </w:r>
    </w:p>
    <w:p w14:paraId="61B56C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0" w:name="n5640"/>
      <w:bookmarkEnd w:id="6980"/>
      <w:r w:rsidRPr="008B264B">
        <w:rPr>
          <w:rFonts w:ascii="Times New Roman" w:eastAsia="Times New Roman" w:hAnsi="Times New Roman" w:cs="Times New Roman"/>
          <w:color w:val="000000"/>
          <w:sz w:val="24"/>
          <w:szCs w:val="24"/>
          <w:lang/>
        </w:rPr>
        <w:t>еталонні (моніторингові) чи тестові зразки тютюнових виробів, які не призначені для продажу вроздріб і ввозяться на митну територію України акредитованими державними випробувальними лабораторіями та/або суб'єктами господарювання, які мають ліцензії на право виробництва відповідної продукції, для проведення досліджень чи випробувань (калібрування лабораторного обладнання, проведення дегустацій, вивчення фізико-хімічних показників, дизайну).</w:t>
      </w:r>
    </w:p>
    <w:p w14:paraId="08014F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1" w:name="n5641"/>
      <w:bookmarkEnd w:id="6981"/>
      <w:r w:rsidRPr="008B264B">
        <w:rPr>
          <w:rFonts w:ascii="Times New Roman" w:eastAsia="Times New Roman" w:hAnsi="Times New Roman" w:cs="Times New Roman"/>
          <w:color w:val="000000"/>
          <w:sz w:val="24"/>
          <w:szCs w:val="24"/>
          <w:lang/>
        </w:rPr>
        <w:t>226.11. Ввезення на митну територію України, зберігання, транспортування, прийняття на комісію з метою продажу та продаж на митній території України не маркованих в установленому порядку алкогольних напоїв та тютюнових виробів забороняються.</w:t>
      </w:r>
    </w:p>
    <w:p w14:paraId="354B40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2" w:name="n5642"/>
      <w:bookmarkEnd w:id="6982"/>
      <w:r w:rsidRPr="008B264B">
        <w:rPr>
          <w:rFonts w:ascii="Times New Roman" w:eastAsia="Times New Roman" w:hAnsi="Times New Roman" w:cs="Times New Roman"/>
          <w:color w:val="000000"/>
          <w:sz w:val="24"/>
          <w:szCs w:val="24"/>
          <w:lang/>
        </w:rPr>
        <w:t>226.12. Продаж марок акцизного податку вітчизняним виробникам алкогольних напоїв і тютюнових виробів провадиться на підставі:</w:t>
      </w:r>
    </w:p>
    <w:bookmarkStart w:id="6983" w:name="n5643"/>
    <w:bookmarkEnd w:id="6983"/>
    <w:p w14:paraId="22EB6D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"https://zakon.rada.gov.ua/laws/show/z1134-17" \l "n21"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довідок про сплату суми податку, яка розрахована за ставками на готову продукцію</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(для алкогольних напоїв, для виробництва яких використовується спирт етиловий неденатурований);</w:t>
      </w:r>
    </w:p>
    <w:p w14:paraId="3CD95F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4" w:name="n5644"/>
      <w:bookmarkEnd w:id="6984"/>
      <w:r w:rsidRPr="008B264B">
        <w:rPr>
          <w:rFonts w:ascii="Times New Roman" w:eastAsia="Times New Roman" w:hAnsi="Times New Roman" w:cs="Times New Roman"/>
          <w:color w:val="000000"/>
          <w:sz w:val="24"/>
          <w:szCs w:val="24"/>
          <w:lang/>
        </w:rPr>
        <w:t>заявки-розрахунку кількості марок акцизного податку (далі - заявка-розрахунок);</w:t>
      </w:r>
    </w:p>
    <w:p w14:paraId="7A2AE8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5" w:name="n5645"/>
      <w:bookmarkEnd w:id="6985"/>
      <w:r w:rsidRPr="008B264B">
        <w:rPr>
          <w:rFonts w:ascii="Times New Roman" w:eastAsia="Times New Roman" w:hAnsi="Times New Roman" w:cs="Times New Roman"/>
          <w:color w:val="000000"/>
          <w:sz w:val="24"/>
          <w:szCs w:val="24"/>
          <w:lang/>
        </w:rPr>
        <w:t>звіту про використання марок, придбаних у попередньому місяці, за затвердженою центральним органом виконавчої влади, що забезпечує формування та реалізує державну фінансову політику, формою у двох примірниках, один з яких залишається у продавця марок, другий (з відміткою продавця) - у виробника;</w:t>
      </w:r>
    </w:p>
    <w:p w14:paraId="5B372D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6" w:name="n5646"/>
      <w:bookmarkEnd w:id="6986"/>
      <w:r w:rsidRPr="008B264B">
        <w:rPr>
          <w:rFonts w:ascii="Times New Roman" w:eastAsia="Times New Roman" w:hAnsi="Times New Roman" w:cs="Times New Roman"/>
          <w:i/>
          <w:iCs/>
          <w:color w:val="000000"/>
          <w:sz w:val="24"/>
          <w:szCs w:val="24"/>
          <w:lang/>
        </w:rPr>
        <w:t>{Абзац четвертий пункту 226.12 статті 226 із змінами, внесеними згідно із Законом </w:t>
      </w:r>
      <w:hyperlink r:id="rId3951" w:anchor="n2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6EE14F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7" w:name="n5647"/>
      <w:bookmarkEnd w:id="6987"/>
      <w:r w:rsidRPr="008B264B">
        <w:rPr>
          <w:rFonts w:ascii="Times New Roman" w:eastAsia="Times New Roman" w:hAnsi="Times New Roman" w:cs="Times New Roman"/>
          <w:color w:val="000000"/>
          <w:sz w:val="24"/>
          <w:szCs w:val="24"/>
          <w:lang/>
        </w:rPr>
        <w:t>платіжного документа на перерахування плати за марки з відміткою банку про дату виконання платіжного доручення.</w:t>
      </w:r>
    </w:p>
    <w:p w14:paraId="54B768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8" w:name="n5648"/>
      <w:bookmarkEnd w:id="6988"/>
      <w:r w:rsidRPr="008B264B">
        <w:rPr>
          <w:rFonts w:ascii="Times New Roman" w:eastAsia="Times New Roman" w:hAnsi="Times New Roman" w:cs="Times New Roman"/>
          <w:color w:val="000000"/>
          <w:sz w:val="24"/>
          <w:szCs w:val="24"/>
          <w:lang/>
        </w:rPr>
        <w:lastRenderedPageBreak/>
        <w:t>Форми довідок та заявки-розрахунку затверджуються центральним органом виконавчої влади, що забезпечує формування та реалізує державну фінансову політику.</w:t>
      </w:r>
    </w:p>
    <w:p w14:paraId="1B2012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89" w:name="n13456"/>
      <w:bookmarkEnd w:id="6989"/>
      <w:r w:rsidRPr="008B264B">
        <w:rPr>
          <w:rFonts w:ascii="Times New Roman" w:eastAsia="Times New Roman" w:hAnsi="Times New Roman" w:cs="Times New Roman"/>
          <w:i/>
          <w:iCs/>
          <w:color w:val="000000"/>
          <w:sz w:val="24"/>
          <w:szCs w:val="24"/>
          <w:lang/>
        </w:rPr>
        <w:t>{Пункт 226.12 статті 226 із змінами, внесеними згідно із Законом </w:t>
      </w:r>
      <w:hyperlink r:id="rId39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7BD0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0" w:name="n5649"/>
      <w:bookmarkEnd w:id="6990"/>
      <w:r w:rsidRPr="008B264B">
        <w:rPr>
          <w:rFonts w:ascii="Times New Roman" w:eastAsia="Times New Roman" w:hAnsi="Times New Roman" w:cs="Times New Roman"/>
          <w:color w:val="000000"/>
          <w:sz w:val="24"/>
          <w:szCs w:val="24"/>
          <w:lang/>
        </w:rPr>
        <w:t>226.13. Кількість марок акцизного податку, яку можуть отримати виробники алкогольних напоїв, для виробництва яких використовується спирт етиловий неденатурований, визначається відповідно до сплаченої суми податку. Виробники тютюнових виробів та алкогольних напоїв, для виробництва яких не використовується спирт етиловий неденатурований, визначають потребу в марках акцизного податку з урахуванням планових щомісячних обсягів реалізації продукції.</w:t>
      </w:r>
    </w:p>
    <w:p w14:paraId="00EF11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1" w:name="n5650"/>
      <w:bookmarkEnd w:id="6991"/>
      <w:r w:rsidRPr="008B264B">
        <w:rPr>
          <w:rFonts w:ascii="Times New Roman" w:eastAsia="Times New Roman" w:hAnsi="Times New Roman" w:cs="Times New Roman"/>
          <w:color w:val="000000"/>
          <w:sz w:val="24"/>
          <w:szCs w:val="24"/>
          <w:lang/>
        </w:rPr>
        <w:t>226.14. Для одержання марок акцизного податку імпортер повинен подати продавцю таких марок заявку-розрахунок за формою, затвердженою центральним органом виконавчої влади, що забезпечує формування та реалізує державну фінансову політику, платіжні документи, що підтверджують внесення плати за марки та сплату податку до відповідного бюджету.</w:t>
      </w:r>
    </w:p>
    <w:p w14:paraId="6E8B37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2" w:name="n14336"/>
      <w:bookmarkEnd w:id="6992"/>
      <w:r w:rsidRPr="008B264B">
        <w:rPr>
          <w:rFonts w:ascii="Times New Roman" w:eastAsia="Times New Roman" w:hAnsi="Times New Roman" w:cs="Times New Roman"/>
          <w:i/>
          <w:iCs/>
          <w:color w:val="000000"/>
          <w:sz w:val="24"/>
          <w:szCs w:val="24"/>
          <w:lang/>
        </w:rPr>
        <w:t>{Абзац перший пункту 226.14 статті 226 в редакції Закону </w:t>
      </w:r>
      <w:hyperlink r:id="rId3953" w:anchor="n12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DEB41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3" w:name="n5651"/>
      <w:bookmarkEnd w:id="6993"/>
      <w:r w:rsidRPr="008B264B">
        <w:rPr>
          <w:rFonts w:ascii="Times New Roman" w:eastAsia="Times New Roman" w:hAnsi="Times New Roman" w:cs="Times New Roman"/>
          <w:color w:val="000000"/>
          <w:sz w:val="24"/>
          <w:szCs w:val="24"/>
          <w:lang/>
        </w:rPr>
        <w:t>Контролюючому органу забороняється вимагати від імпортерів додаткові документи для видачі марок акцизного податку, якщо вони не передбачені цією статтею.</w:t>
      </w:r>
    </w:p>
    <w:p w14:paraId="754268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4" w:name="n5652"/>
      <w:bookmarkEnd w:id="6994"/>
      <w:r w:rsidRPr="008B264B">
        <w:rPr>
          <w:rFonts w:ascii="Times New Roman" w:eastAsia="Times New Roman" w:hAnsi="Times New Roman" w:cs="Times New Roman"/>
          <w:color w:val="000000"/>
          <w:sz w:val="24"/>
          <w:szCs w:val="24"/>
          <w:lang/>
        </w:rPr>
        <w:t>226.15. Продаж (передача) придбаних марок акцизного податку покупцем марок іншим особам забороняється, крім випадків, передбачених у </w:t>
      </w:r>
      <w:hyperlink r:id="rId3954" w:anchor="n5663" w:history="1">
        <w:r w:rsidRPr="008B264B">
          <w:rPr>
            <w:rFonts w:ascii="Times New Roman" w:eastAsia="Times New Roman" w:hAnsi="Times New Roman" w:cs="Times New Roman"/>
            <w:color w:val="0000FF"/>
            <w:sz w:val="24"/>
            <w:szCs w:val="24"/>
            <w:u w:val="single"/>
            <w:lang/>
          </w:rPr>
          <w:t>пункті 227.4</w:t>
        </w:r>
      </w:hyperlink>
      <w:r w:rsidRPr="008B264B">
        <w:rPr>
          <w:rFonts w:ascii="Times New Roman" w:eastAsia="Times New Roman" w:hAnsi="Times New Roman" w:cs="Times New Roman"/>
          <w:color w:val="000000"/>
          <w:sz w:val="24"/>
          <w:szCs w:val="24"/>
          <w:lang/>
        </w:rPr>
        <w:t> статті 227 цього Кодексу.</w:t>
      </w:r>
    </w:p>
    <w:p w14:paraId="0FAB1A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5" w:name="n5653"/>
      <w:bookmarkEnd w:id="6995"/>
      <w:r w:rsidRPr="008B264B">
        <w:rPr>
          <w:rFonts w:ascii="Times New Roman" w:eastAsia="Times New Roman" w:hAnsi="Times New Roman" w:cs="Times New Roman"/>
          <w:color w:val="000000"/>
          <w:sz w:val="24"/>
          <w:szCs w:val="24"/>
          <w:lang/>
        </w:rPr>
        <w:t>226.16. Марки акцизного податку, не використані для маркування товарів через їх пошкодження, приймаються від покупців марок для утилізації з відшкодуванням фактично сплачених сум податку відповідно до </w:t>
      </w:r>
      <w:hyperlink r:id="rId3955" w:tgtFrame="_blank" w:history="1">
        <w:r w:rsidRPr="008B264B">
          <w:rPr>
            <w:rFonts w:ascii="Times New Roman" w:eastAsia="Times New Roman" w:hAnsi="Times New Roman" w:cs="Times New Roman"/>
            <w:color w:val="0000FF"/>
            <w:sz w:val="24"/>
            <w:szCs w:val="24"/>
            <w:u w:val="single"/>
            <w:lang/>
          </w:rPr>
          <w:t>Положення про виробництво, зберігання, продаж марок акцизного податку, маркування алкогольних напоїв і тютюнових виробів</w:t>
        </w:r>
      </w:hyperlink>
      <w:r w:rsidRPr="008B264B">
        <w:rPr>
          <w:rFonts w:ascii="Times New Roman" w:eastAsia="Times New Roman" w:hAnsi="Times New Roman" w:cs="Times New Roman"/>
          <w:color w:val="000000"/>
          <w:sz w:val="24"/>
          <w:szCs w:val="24"/>
          <w:lang/>
        </w:rPr>
        <w:t>. Плата за марки поверненню не підлягає.</w:t>
      </w:r>
    </w:p>
    <w:p w14:paraId="32224C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6" w:name="n5654"/>
      <w:bookmarkEnd w:id="6996"/>
      <w:r w:rsidRPr="008B264B">
        <w:rPr>
          <w:rFonts w:ascii="Times New Roman" w:eastAsia="Times New Roman" w:hAnsi="Times New Roman" w:cs="Times New Roman"/>
          <w:b/>
          <w:bCs/>
          <w:color w:val="000000"/>
          <w:sz w:val="24"/>
          <w:szCs w:val="24"/>
          <w:lang/>
        </w:rPr>
        <w:t>Стаття 227.</w:t>
      </w:r>
      <w:r w:rsidRPr="008B264B">
        <w:rPr>
          <w:rFonts w:ascii="Times New Roman" w:eastAsia="Times New Roman" w:hAnsi="Times New Roman" w:cs="Times New Roman"/>
          <w:color w:val="000000"/>
          <w:sz w:val="24"/>
          <w:szCs w:val="24"/>
          <w:lang/>
        </w:rPr>
        <w:t> Ввезення на митну територію України імпортних алкогольних напоїв і тютюнових виробів</w:t>
      </w:r>
    </w:p>
    <w:p w14:paraId="68E62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7" w:name="n5655"/>
      <w:bookmarkEnd w:id="6997"/>
      <w:r w:rsidRPr="008B264B">
        <w:rPr>
          <w:rFonts w:ascii="Times New Roman" w:eastAsia="Times New Roman" w:hAnsi="Times New Roman" w:cs="Times New Roman"/>
          <w:color w:val="000000"/>
          <w:sz w:val="24"/>
          <w:szCs w:val="24"/>
          <w:lang/>
        </w:rPr>
        <w:t>227.1. Суб'єкти господарювання - юридичні та фізичні особи, які уклали з іноземними виробниками або іншими нерезидентами контракт (договір) про постачання в Україну алкогольних напоїв і тютюнових виробів, мають право ввозити на митну територію України імпортні алкогольні напої і тютюнові вироби, якщо:</w:t>
      </w:r>
    </w:p>
    <w:p w14:paraId="61C18F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8" w:name="n11420"/>
      <w:bookmarkEnd w:id="6998"/>
      <w:r w:rsidRPr="008B264B">
        <w:rPr>
          <w:rFonts w:ascii="Times New Roman" w:eastAsia="Times New Roman" w:hAnsi="Times New Roman" w:cs="Times New Roman"/>
          <w:i/>
          <w:iCs/>
          <w:color w:val="000000"/>
          <w:sz w:val="24"/>
          <w:szCs w:val="24"/>
          <w:lang/>
        </w:rPr>
        <w:t>{Абзац перший пункту 227.1 статті 227 із змінами, внесеними згідно із Законом </w:t>
      </w:r>
      <w:hyperlink r:id="rId3956" w:anchor="n86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9B912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6999" w:name="n5656"/>
      <w:bookmarkEnd w:id="6999"/>
      <w:r w:rsidRPr="008B264B">
        <w:rPr>
          <w:rFonts w:ascii="Times New Roman" w:eastAsia="Times New Roman" w:hAnsi="Times New Roman" w:cs="Times New Roman"/>
          <w:color w:val="000000"/>
          <w:sz w:val="24"/>
          <w:szCs w:val="24"/>
          <w:lang/>
        </w:rPr>
        <w:t>а) ввезення їх на митну територію України здійснюється виключно через визначені Кабінетом Міністрів України пункти пропуску через державний кордон, які зазначені покупцями марок (імпортерами) у заявці-розрахунку;</w:t>
      </w:r>
    </w:p>
    <w:p w14:paraId="2C0058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0" w:name="n5657"/>
      <w:bookmarkEnd w:id="7000"/>
      <w:r w:rsidRPr="008B264B">
        <w:rPr>
          <w:rFonts w:ascii="Times New Roman" w:eastAsia="Times New Roman" w:hAnsi="Times New Roman" w:cs="Times New Roman"/>
          <w:color w:val="000000"/>
          <w:sz w:val="24"/>
          <w:szCs w:val="24"/>
          <w:lang/>
        </w:rPr>
        <w:t>б) маркування алкогольних напоїв і тютюнових виробів здійснюється в установленому порядку марками акцизного податку встановленого зразка;</w:t>
      </w:r>
    </w:p>
    <w:p w14:paraId="24561D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1" w:name="n5658"/>
      <w:bookmarkEnd w:id="7001"/>
      <w:r w:rsidRPr="008B264B">
        <w:rPr>
          <w:rFonts w:ascii="Times New Roman" w:eastAsia="Times New Roman" w:hAnsi="Times New Roman" w:cs="Times New Roman"/>
          <w:color w:val="000000"/>
          <w:sz w:val="24"/>
          <w:szCs w:val="24"/>
          <w:lang/>
        </w:rPr>
        <w:t>в) алкогольні напої в автомобільних і залізничних цистернах, а також у баках, бачках та інших ємностях місткістю більш як 5 літрів ввозяться в Україну з метою продажу або обміну на митній території України та не підлягають маркуванню. У такому разі податок сплачується до або під час митного оформлення. Контроль за його сплатою здійснюється контролюючими органами;</w:t>
      </w:r>
    </w:p>
    <w:p w14:paraId="16C2AD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2" w:name="n5659"/>
      <w:bookmarkEnd w:id="7002"/>
      <w:r w:rsidRPr="008B264B">
        <w:rPr>
          <w:rFonts w:ascii="Times New Roman" w:eastAsia="Times New Roman" w:hAnsi="Times New Roman" w:cs="Times New Roman"/>
          <w:color w:val="000000"/>
          <w:sz w:val="24"/>
          <w:szCs w:val="24"/>
          <w:lang/>
        </w:rPr>
        <w:t>г) покупець марок (імпортер) подав контролюючому органу митну декларацію, копію декларації про максимальні роздрібні ціни (для тютюнових виробів) та примірник заявки-розрахунку з відміткою продавця марок акцизного податку про сплату сум податку до відповідного бюджету в повному обсязі.</w:t>
      </w:r>
    </w:p>
    <w:p w14:paraId="457E21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3" w:name="n5660"/>
      <w:bookmarkEnd w:id="7003"/>
      <w:r w:rsidRPr="008B264B">
        <w:rPr>
          <w:rFonts w:ascii="Times New Roman" w:eastAsia="Times New Roman" w:hAnsi="Times New Roman" w:cs="Times New Roman"/>
          <w:color w:val="000000"/>
          <w:sz w:val="24"/>
          <w:szCs w:val="24"/>
          <w:lang/>
        </w:rPr>
        <w:lastRenderedPageBreak/>
        <w:t>227.2. У разі ввезення покупцем марок (імпортером) на територію України за контрактом (договором) про постачання алкогольних напоїв і тютюнових виробів кількома партіями у такому контракті (договорі) центральним органом виконавчої влади, що реалізує державну податкову та митну політику, робляться відмітки про кількість виданих марок акцизного податку із зазначенням дати їх видачі.</w:t>
      </w:r>
    </w:p>
    <w:p w14:paraId="12E3D1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4" w:name="n5661"/>
      <w:bookmarkEnd w:id="7004"/>
      <w:r w:rsidRPr="008B264B">
        <w:rPr>
          <w:rFonts w:ascii="Times New Roman" w:eastAsia="Times New Roman" w:hAnsi="Times New Roman" w:cs="Times New Roman"/>
          <w:i/>
          <w:iCs/>
          <w:color w:val="000000"/>
          <w:sz w:val="24"/>
          <w:szCs w:val="24"/>
          <w:lang/>
        </w:rPr>
        <w:t>{Пункт 227.2 статті 227 із змінами, внесеними згідно із Законами </w:t>
      </w:r>
      <w:hyperlink r:id="rId3957" w:anchor="n21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39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F08F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5" w:name="n5662"/>
      <w:bookmarkEnd w:id="7005"/>
      <w:r w:rsidRPr="008B264B">
        <w:rPr>
          <w:rFonts w:ascii="Times New Roman" w:eastAsia="Times New Roman" w:hAnsi="Times New Roman" w:cs="Times New Roman"/>
          <w:color w:val="000000"/>
          <w:sz w:val="24"/>
          <w:szCs w:val="24"/>
          <w:lang/>
        </w:rPr>
        <w:t>227.3. Строк одержання марок акцизного податку для кожного контракту визначається покупцями марок (імпортерами) за погодженням із продавцем марок залежно від обсягу товарів, що ввозяться, але становить не більше п'яти робочих днів від дати подання документів для одержання марок акцизного податку, зазначених у </w:t>
      </w:r>
      <w:hyperlink r:id="rId3959" w:anchor="n5650" w:history="1">
        <w:r w:rsidRPr="008B264B">
          <w:rPr>
            <w:rFonts w:ascii="Times New Roman" w:eastAsia="Times New Roman" w:hAnsi="Times New Roman" w:cs="Times New Roman"/>
            <w:color w:val="0000FF"/>
            <w:sz w:val="24"/>
            <w:szCs w:val="24"/>
            <w:u w:val="single"/>
            <w:lang/>
          </w:rPr>
          <w:t>пункті 226.14</w:t>
        </w:r>
      </w:hyperlink>
      <w:r w:rsidRPr="008B264B">
        <w:rPr>
          <w:rFonts w:ascii="Times New Roman" w:eastAsia="Times New Roman" w:hAnsi="Times New Roman" w:cs="Times New Roman"/>
          <w:color w:val="000000"/>
          <w:sz w:val="24"/>
          <w:szCs w:val="24"/>
          <w:lang/>
        </w:rPr>
        <w:t> статті 226 цього Кодексу.</w:t>
      </w:r>
    </w:p>
    <w:p w14:paraId="4FB09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6" w:name="n5663"/>
      <w:bookmarkEnd w:id="7006"/>
      <w:r w:rsidRPr="008B264B">
        <w:rPr>
          <w:rFonts w:ascii="Times New Roman" w:eastAsia="Times New Roman" w:hAnsi="Times New Roman" w:cs="Times New Roman"/>
          <w:color w:val="000000"/>
          <w:sz w:val="24"/>
          <w:szCs w:val="24"/>
          <w:lang/>
        </w:rPr>
        <w:t>227.4. Придбані марки акцизного податку передаються покупцями марок (імпортерами) іноземним суб’єктам господарювання для маркування алкогольних напоїв і тютюнових виробів, що підлягають подальшому ввезенню на митну територію України.</w:t>
      </w:r>
    </w:p>
    <w:p w14:paraId="45A31B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7" w:name="n11421"/>
      <w:bookmarkEnd w:id="7007"/>
      <w:r w:rsidRPr="008B264B">
        <w:rPr>
          <w:rFonts w:ascii="Times New Roman" w:eastAsia="Times New Roman" w:hAnsi="Times New Roman" w:cs="Times New Roman"/>
          <w:i/>
          <w:iCs/>
          <w:color w:val="000000"/>
          <w:sz w:val="24"/>
          <w:szCs w:val="24"/>
          <w:lang/>
        </w:rPr>
        <w:t>{Пункт 227.4 статті 227 в редакції Закону </w:t>
      </w:r>
      <w:hyperlink r:id="rId3960" w:anchor="n86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D6EDF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8" w:name="n5664"/>
      <w:bookmarkEnd w:id="7008"/>
      <w:r w:rsidRPr="008B264B">
        <w:rPr>
          <w:rFonts w:ascii="Times New Roman" w:eastAsia="Times New Roman" w:hAnsi="Times New Roman" w:cs="Times New Roman"/>
          <w:color w:val="000000"/>
          <w:sz w:val="24"/>
          <w:szCs w:val="24"/>
          <w:lang/>
        </w:rPr>
        <w:t>227.5. Транзитні перевезення алкогольних напоїв і тютюнових виробів через митну територію України здійснюються з додержанням вимог, установлених митним законодавством.</w:t>
      </w:r>
    </w:p>
    <w:p w14:paraId="4191F1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09" w:name="n14885"/>
      <w:bookmarkEnd w:id="7009"/>
      <w:r w:rsidRPr="008B264B">
        <w:rPr>
          <w:rFonts w:ascii="Times New Roman" w:eastAsia="Times New Roman" w:hAnsi="Times New Roman" w:cs="Times New Roman"/>
          <w:i/>
          <w:iCs/>
          <w:color w:val="000000"/>
          <w:sz w:val="24"/>
          <w:szCs w:val="24"/>
          <w:lang/>
        </w:rPr>
        <w:t>{Пункт 227.5 статті 227 із змінами, внесеними згідно із Законом </w:t>
      </w:r>
      <w:hyperlink r:id="rId3961" w:anchor="n30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6DE0F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0" w:name="n5665"/>
      <w:bookmarkEnd w:id="7010"/>
      <w:r w:rsidRPr="008B264B">
        <w:rPr>
          <w:rFonts w:ascii="Times New Roman" w:eastAsia="Times New Roman" w:hAnsi="Times New Roman" w:cs="Times New Roman"/>
          <w:color w:val="000000"/>
          <w:sz w:val="24"/>
          <w:szCs w:val="24"/>
          <w:lang/>
        </w:rPr>
        <w:t>227.6. У разі порушення порядку маркування ввезених алкогольних напоїв і тютюнових виробів та/або неповної сплати податку товар не допускається до митного оформлення і ввезення його на митну територію України забороняється.</w:t>
      </w:r>
    </w:p>
    <w:p w14:paraId="601518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1" w:name="n5666"/>
      <w:bookmarkEnd w:id="7011"/>
      <w:r w:rsidRPr="008B264B">
        <w:rPr>
          <w:rFonts w:ascii="Times New Roman" w:eastAsia="Times New Roman" w:hAnsi="Times New Roman" w:cs="Times New Roman"/>
          <w:b/>
          <w:bCs/>
          <w:color w:val="000000"/>
          <w:sz w:val="24"/>
          <w:szCs w:val="24"/>
          <w:lang/>
        </w:rPr>
        <w:t>Стаття 228.</w:t>
      </w:r>
      <w:r w:rsidRPr="008B264B">
        <w:rPr>
          <w:rFonts w:ascii="Times New Roman" w:eastAsia="Times New Roman" w:hAnsi="Times New Roman" w:cs="Times New Roman"/>
          <w:color w:val="000000"/>
          <w:sz w:val="24"/>
          <w:szCs w:val="24"/>
          <w:lang/>
        </w:rPr>
        <w:t> Контроль за надходженням податку з алкогольних напоїв, тютюнових виробів, пального та спирту етилового</w:t>
      </w:r>
    </w:p>
    <w:p w14:paraId="2466B6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2" w:name="n15529"/>
      <w:bookmarkEnd w:id="7012"/>
      <w:r w:rsidRPr="008B264B">
        <w:rPr>
          <w:rFonts w:ascii="Times New Roman" w:eastAsia="Times New Roman" w:hAnsi="Times New Roman" w:cs="Times New Roman"/>
          <w:i/>
          <w:iCs/>
          <w:color w:val="000000"/>
          <w:sz w:val="24"/>
          <w:szCs w:val="24"/>
          <w:lang/>
        </w:rPr>
        <w:t>{Назва статті 228 із змінами, внесеними згідно із Законом </w:t>
      </w:r>
      <w:hyperlink r:id="rId3962" w:anchor="n29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3787B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3" w:name="n5667"/>
      <w:bookmarkEnd w:id="7013"/>
      <w:r w:rsidRPr="008B264B">
        <w:rPr>
          <w:rFonts w:ascii="Times New Roman" w:eastAsia="Times New Roman" w:hAnsi="Times New Roman" w:cs="Times New Roman"/>
          <w:color w:val="000000"/>
          <w:sz w:val="24"/>
          <w:szCs w:val="24"/>
          <w:lang/>
        </w:rPr>
        <w:t>228.1. Контроль за сплатою податку на митній території України з алкогольних напоїв і тютюнових виробів, пального та спирту етилового здійснюють контролюючі органи.</w:t>
      </w:r>
    </w:p>
    <w:p w14:paraId="10380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4" w:name="n15530"/>
      <w:bookmarkEnd w:id="7014"/>
      <w:r w:rsidRPr="008B264B">
        <w:rPr>
          <w:rFonts w:ascii="Times New Roman" w:eastAsia="Times New Roman" w:hAnsi="Times New Roman" w:cs="Times New Roman"/>
          <w:i/>
          <w:iCs/>
          <w:color w:val="000000"/>
          <w:sz w:val="24"/>
          <w:szCs w:val="24"/>
          <w:lang/>
        </w:rPr>
        <w:t>{Пункт 228.1 статті 228 із змінами, внесеними згідно із Законом </w:t>
      </w:r>
      <w:hyperlink r:id="rId3963" w:anchor="n30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18169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5" w:name="n5668"/>
      <w:bookmarkEnd w:id="7015"/>
      <w:r w:rsidRPr="008B264B">
        <w:rPr>
          <w:rFonts w:ascii="Times New Roman" w:eastAsia="Times New Roman" w:hAnsi="Times New Roman" w:cs="Times New Roman"/>
          <w:color w:val="000000"/>
          <w:sz w:val="24"/>
          <w:szCs w:val="24"/>
          <w:lang/>
        </w:rPr>
        <w:t>228.2. Контроль за наявністю марок акцизного податку на пляшках (упаковках) алкогольних напоїв і на пачках (упаковках) тютюнових виробів під час їх транспортування, зберігання та продажу, а також у разі ввезення таких товарів на митну територію України, контроль за переміщенням, зберіганням та реалізацією пального та спирту етилового здійснюють відповідні контролюючі органи.</w:t>
      </w:r>
    </w:p>
    <w:p w14:paraId="6CA67E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6" w:name="n8808"/>
      <w:bookmarkEnd w:id="7016"/>
      <w:r w:rsidRPr="008B264B">
        <w:rPr>
          <w:rFonts w:ascii="Times New Roman" w:eastAsia="Times New Roman" w:hAnsi="Times New Roman" w:cs="Times New Roman"/>
          <w:i/>
          <w:iCs/>
          <w:color w:val="000000"/>
          <w:sz w:val="24"/>
          <w:szCs w:val="24"/>
          <w:lang/>
        </w:rPr>
        <w:t>{Пункт 228.2 статті 228 в редакції Закону </w:t>
      </w:r>
      <w:hyperlink r:id="rId3964" w:anchor="n183"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3965" w:anchor="n30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A3F34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7" w:name="n5669"/>
      <w:bookmarkEnd w:id="7017"/>
      <w:r w:rsidRPr="008B264B">
        <w:rPr>
          <w:rFonts w:ascii="Times New Roman" w:eastAsia="Times New Roman" w:hAnsi="Times New Roman" w:cs="Times New Roman"/>
          <w:color w:val="000000"/>
          <w:sz w:val="24"/>
          <w:szCs w:val="24"/>
          <w:lang/>
        </w:rPr>
        <w:t>228.3. У разі виявлення фактів ввезення на митну територію України, зберігання, транспортування та продажу на митній території України алкогольних напоїв і тютюнових виробів без наявності марок акцизного податку встановленого зразка, контролюючі органи, зазначені у пункті 228.2 цієї статті, вилучають такі товари з вільного обігу та подають відповідні матеріали до суду для винесення постанови про їх вилучення в дохід держави (конфіскацію).</w:t>
      </w:r>
    </w:p>
    <w:p w14:paraId="75C1B9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8" w:name="n15532"/>
      <w:bookmarkEnd w:id="7018"/>
      <w:r w:rsidRPr="008B264B">
        <w:rPr>
          <w:rFonts w:ascii="Times New Roman" w:eastAsia="Times New Roman" w:hAnsi="Times New Roman" w:cs="Times New Roman"/>
          <w:color w:val="000000"/>
          <w:sz w:val="24"/>
          <w:szCs w:val="24"/>
          <w:lang/>
        </w:rPr>
        <w:t xml:space="preserve">У разі виявлення фактів переміщення та/або зберігання пального або спирту етилового з використанням транспортних засобів, що не зазначені в акцизних накладних, зареєстрованих у Єдиному реєстрі акцизних накладних, складених на операції, при здійсненні яких переміщується та/або зберігається пальне або спирт етиловий у таких транспортних засобах, або в заявках на переміщення пального або спирту етилового транспортними засобами, що не є акцизними </w:t>
      </w:r>
      <w:r w:rsidRPr="008B264B">
        <w:rPr>
          <w:rFonts w:ascii="Times New Roman" w:eastAsia="Times New Roman" w:hAnsi="Times New Roman" w:cs="Times New Roman"/>
          <w:color w:val="000000"/>
          <w:sz w:val="24"/>
          <w:szCs w:val="24"/>
          <w:lang/>
        </w:rPr>
        <w:lastRenderedPageBreak/>
        <w:t>складами пересувними, або в митних деклараціях при переміщенні пального або спирту етилового митною територією України прохідним транзитом або внутрішнім транзитом, визначеним </w:t>
      </w:r>
      <w:hyperlink r:id="rId3966" w:anchor="n1173" w:tgtFrame="_blank" w:history="1">
        <w:r w:rsidRPr="008B264B">
          <w:rPr>
            <w:rFonts w:ascii="Times New Roman" w:eastAsia="Times New Roman" w:hAnsi="Times New Roman" w:cs="Times New Roman"/>
            <w:color w:val="0000FF"/>
            <w:sz w:val="24"/>
            <w:szCs w:val="24"/>
            <w:u w:val="single"/>
            <w:lang/>
          </w:rPr>
          <w:t>підпунктом "а"</w:t>
        </w:r>
      </w:hyperlink>
      <w:r w:rsidRPr="008B264B">
        <w:rPr>
          <w:rFonts w:ascii="Times New Roman" w:eastAsia="Times New Roman" w:hAnsi="Times New Roman" w:cs="Times New Roman"/>
          <w:color w:val="000000"/>
          <w:sz w:val="24"/>
          <w:szCs w:val="24"/>
          <w:lang/>
        </w:rPr>
        <w:t> пункту 2 частини другої статті 91 Митного кодексу України, а також фактів реалізації пального або спирту етилового з таких транспортних засобів відповідні контролюючі органи тимчасово (до винесення рішення суду) вилучають такі пальне або спирт етиловий та транспортні засоби з вільного обігу та подають відповідні матеріали до суду для винесення постанови про їх вилучення в дохід держави (конфіскацію).</w:t>
      </w:r>
    </w:p>
    <w:p w14:paraId="23E426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19" w:name="n15534"/>
      <w:bookmarkEnd w:id="7019"/>
      <w:r w:rsidRPr="008B264B">
        <w:rPr>
          <w:rFonts w:ascii="Times New Roman" w:eastAsia="Times New Roman" w:hAnsi="Times New Roman" w:cs="Times New Roman"/>
          <w:i/>
          <w:iCs/>
          <w:color w:val="000000"/>
          <w:sz w:val="24"/>
          <w:szCs w:val="24"/>
          <w:lang/>
        </w:rPr>
        <w:t>{Пункт 228.3 статті 228 доповнено абзацом другим згідно із Законом </w:t>
      </w:r>
      <w:hyperlink r:id="rId3967" w:anchor="n30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2965D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0" w:name="n15533"/>
      <w:bookmarkEnd w:id="7020"/>
      <w:r w:rsidRPr="008B264B">
        <w:rPr>
          <w:rFonts w:ascii="Times New Roman" w:eastAsia="Times New Roman" w:hAnsi="Times New Roman" w:cs="Times New Roman"/>
          <w:color w:val="000000"/>
          <w:sz w:val="24"/>
          <w:szCs w:val="24"/>
          <w:lang/>
        </w:rPr>
        <w:t>У разі виявлення фактів зберігання або реалізації на митній території України пального або спирту етилового на акцизному складі, незареєстрованому в системі електронного адміністрування реалізації пального та спирту етилового, відповідні контролюючі органи тимчасово (до винесення рішення суду) вилучають з вільного обігу таке пальне або спирт етиловий, ємності та обладнання, що використовувалися для зберігання або реалізації такого пального або спирту етилового, та подають відповідні матеріали до суду для винесення постанови про їх вилучення в дохід держави (конфіскацію).</w:t>
      </w:r>
    </w:p>
    <w:p w14:paraId="5D9E4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1" w:name="n15531"/>
      <w:bookmarkEnd w:id="7021"/>
      <w:r w:rsidRPr="008B264B">
        <w:rPr>
          <w:rFonts w:ascii="Times New Roman" w:eastAsia="Times New Roman" w:hAnsi="Times New Roman" w:cs="Times New Roman"/>
          <w:i/>
          <w:iCs/>
          <w:color w:val="000000"/>
          <w:sz w:val="24"/>
          <w:szCs w:val="24"/>
          <w:lang/>
        </w:rPr>
        <w:t>{Пункт 228.3 статті 228 доповнено абзацом третім згідно із Законом </w:t>
      </w:r>
      <w:hyperlink r:id="rId3968" w:anchor="n30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CF9F5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2" w:name="n5670"/>
      <w:bookmarkEnd w:id="7022"/>
      <w:r w:rsidRPr="008B264B">
        <w:rPr>
          <w:rFonts w:ascii="Times New Roman" w:eastAsia="Times New Roman" w:hAnsi="Times New Roman" w:cs="Times New Roman"/>
          <w:color w:val="000000"/>
          <w:sz w:val="24"/>
          <w:szCs w:val="24"/>
          <w:lang/>
        </w:rPr>
        <w:t>228.4. Виконання постанови суду про вилучення в дохід держави (конфіскацію) алкогольних напоїв і тютюнових виробів та пального або спирту етилового, а також ємностей, обладнання та транспортних засобів, в яких таке пальне або спирт етиловий переміщувалося та/або зберігалося або з яких реалізовувалося, здійснюється відповідно до закону.</w:t>
      </w:r>
    </w:p>
    <w:p w14:paraId="3C441C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3" w:name="n15535"/>
      <w:bookmarkEnd w:id="7023"/>
      <w:r w:rsidRPr="008B264B">
        <w:rPr>
          <w:rFonts w:ascii="Times New Roman" w:eastAsia="Times New Roman" w:hAnsi="Times New Roman" w:cs="Times New Roman"/>
          <w:i/>
          <w:iCs/>
          <w:color w:val="000000"/>
          <w:sz w:val="24"/>
          <w:szCs w:val="24"/>
          <w:lang/>
        </w:rPr>
        <w:t>{Пункт 228.4 статті 228 із змінами, внесеними згідно із Законом </w:t>
      </w:r>
      <w:hyperlink r:id="rId3969" w:anchor="n30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C14CD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4" w:name="n5671"/>
      <w:bookmarkEnd w:id="7024"/>
      <w:r w:rsidRPr="008B264B">
        <w:rPr>
          <w:rFonts w:ascii="Times New Roman" w:eastAsia="Times New Roman" w:hAnsi="Times New Roman" w:cs="Times New Roman"/>
          <w:color w:val="000000"/>
          <w:sz w:val="24"/>
          <w:szCs w:val="24"/>
          <w:lang/>
        </w:rPr>
        <w:t>228.5. Вилучені в дохід держави (конфісковані) підакцизні товари (крім спирту етилового, алкогольних напоїв і тютюнових виробів) у разі їх реалізації (продажу) в установленому законодавством порядку оподатковуються акцизним податком та іншими податками відповідно до законів України.</w:t>
      </w:r>
    </w:p>
    <w:p w14:paraId="65182D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5" w:name="n8809"/>
      <w:bookmarkEnd w:id="7025"/>
      <w:r w:rsidRPr="008B264B">
        <w:rPr>
          <w:rFonts w:ascii="Times New Roman" w:eastAsia="Times New Roman" w:hAnsi="Times New Roman" w:cs="Times New Roman"/>
          <w:i/>
          <w:iCs/>
          <w:color w:val="000000"/>
          <w:sz w:val="24"/>
          <w:szCs w:val="24"/>
          <w:lang/>
        </w:rPr>
        <w:t>{Пункт 228.5 статті 228 із змінами, внесеними згідно із Законом </w:t>
      </w:r>
      <w:hyperlink r:id="rId3970" w:anchor="n18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B88F1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6" w:name="n5672"/>
      <w:bookmarkEnd w:id="7026"/>
      <w:r w:rsidRPr="008B264B">
        <w:rPr>
          <w:rFonts w:ascii="Times New Roman" w:eastAsia="Times New Roman" w:hAnsi="Times New Roman" w:cs="Times New Roman"/>
          <w:color w:val="000000"/>
          <w:sz w:val="24"/>
          <w:szCs w:val="24"/>
          <w:lang/>
        </w:rPr>
        <w:t>228.6. Вилучені в дохід держави (конфісковані) спирт етиловий та алкогольні напої підлягають знищенню або промисловій переробці у порядку, встановленому Кабінетом Міністрів України.</w:t>
      </w:r>
    </w:p>
    <w:p w14:paraId="7F92AA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7" w:name="n5673"/>
      <w:bookmarkEnd w:id="7027"/>
      <w:r w:rsidRPr="008B264B">
        <w:rPr>
          <w:rFonts w:ascii="Times New Roman" w:eastAsia="Times New Roman" w:hAnsi="Times New Roman" w:cs="Times New Roman"/>
          <w:color w:val="000000"/>
          <w:sz w:val="24"/>
          <w:szCs w:val="24"/>
          <w:lang/>
        </w:rPr>
        <w:t>228.7. Вилучені в дохід держави (конфісковані) тютюнові вироби підлягають знищенню у порядку, встановленому Кабінетом Міністрів України.</w:t>
      </w:r>
    </w:p>
    <w:p w14:paraId="389B23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8" w:name="n5674"/>
      <w:bookmarkEnd w:id="7028"/>
      <w:r w:rsidRPr="008B264B">
        <w:rPr>
          <w:rFonts w:ascii="Times New Roman" w:eastAsia="Times New Roman" w:hAnsi="Times New Roman" w:cs="Times New Roman"/>
          <w:color w:val="000000"/>
          <w:sz w:val="24"/>
          <w:szCs w:val="24"/>
          <w:lang/>
        </w:rPr>
        <w:t>228.8. У разі виявлення нестачі марок акцизного податку в їх покупця (у зв'язку з їх розкраданням, знищенням, маркуванням алкогольних напоїв і тютюнових виробів, призначених для продажу на експорт, тощо) покупці марок несуть повну майнову відповідальність у розмірі розрахункової суми податку, яка повинна бути сплачена до бюджету в разі реалізації підакцизних товарів, для маркування яких придбавалися марки акцизного податку. Зазначені суми нараховуються за формою, встановленою центральним органом виконавчої влади, що забезпечує формування та реалізує державну фінансову політику.</w:t>
      </w:r>
    </w:p>
    <w:p w14:paraId="32AC2C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29" w:name="n11422"/>
      <w:bookmarkEnd w:id="7029"/>
      <w:r w:rsidRPr="008B264B">
        <w:rPr>
          <w:rFonts w:ascii="Times New Roman" w:eastAsia="Times New Roman" w:hAnsi="Times New Roman" w:cs="Times New Roman"/>
          <w:i/>
          <w:iCs/>
          <w:color w:val="000000"/>
          <w:sz w:val="24"/>
          <w:szCs w:val="24"/>
          <w:lang/>
        </w:rPr>
        <w:t>{Пункт 228.8 статті 228 із змінами, внесеними згідно із Законами </w:t>
      </w:r>
      <w:hyperlink r:id="rId3971" w:anchor="n8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39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2297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0" w:name="n5675"/>
      <w:bookmarkEnd w:id="7030"/>
      <w:r w:rsidRPr="008B264B">
        <w:rPr>
          <w:rFonts w:ascii="Times New Roman" w:eastAsia="Times New Roman" w:hAnsi="Times New Roman" w:cs="Times New Roman"/>
          <w:color w:val="000000"/>
          <w:sz w:val="24"/>
          <w:szCs w:val="24"/>
          <w:lang/>
        </w:rPr>
        <w:t>228.9. Відповідальність за недодержання порядку маркування, продажу алкогольних напоїв і тютюнових виробів, несплату чи несвоєчасну сплату податку несуть виробники (замовники), імпортери, продавці таких товарів та їх посадові особи відповідно до закону.</w:t>
      </w:r>
    </w:p>
    <w:p w14:paraId="5BA2A7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1" w:name="n5676"/>
      <w:bookmarkEnd w:id="7031"/>
      <w:r w:rsidRPr="008B264B">
        <w:rPr>
          <w:rFonts w:ascii="Times New Roman" w:eastAsia="Times New Roman" w:hAnsi="Times New Roman" w:cs="Times New Roman"/>
          <w:b/>
          <w:bCs/>
          <w:color w:val="000000"/>
          <w:sz w:val="24"/>
          <w:szCs w:val="24"/>
          <w:lang/>
        </w:rPr>
        <w:lastRenderedPageBreak/>
        <w:t>Стаття 229.</w:t>
      </w:r>
      <w:r w:rsidRPr="008B264B">
        <w:rPr>
          <w:rFonts w:ascii="Times New Roman" w:eastAsia="Times New Roman" w:hAnsi="Times New Roman" w:cs="Times New Roman"/>
          <w:color w:val="000000"/>
          <w:sz w:val="24"/>
          <w:szCs w:val="24"/>
          <w:lang/>
        </w:rPr>
        <w:t> Особливості оподаткування деяких підакцизних товарів залежно від напряму його використання</w:t>
      </w:r>
    </w:p>
    <w:p w14:paraId="09FD6D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2" w:name="n5677"/>
      <w:bookmarkEnd w:id="7032"/>
      <w:r w:rsidRPr="008B264B">
        <w:rPr>
          <w:rFonts w:ascii="Times New Roman" w:eastAsia="Times New Roman" w:hAnsi="Times New Roman" w:cs="Times New Roman"/>
          <w:color w:val="000000"/>
          <w:sz w:val="24"/>
          <w:szCs w:val="24"/>
          <w:lang/>
        </w:rPr>
        <w:t>229.1. Особливості оподаткування спирту етилового</w:t>
      </w:r>
    </w:p>
    <w:p w14:paraId="5A5B68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3" w:name="n5678"/>
      <w:bookmarkEnd w:id="7033"/>
      <w:r w:rsidRPr="008B264B">
        <w:rPr>
          <w:rFonts w:ascii="Times New Roman" w:eastAsia="Times New Roman" w:hAnsi="Times New Roman" w:cs="Times New Roman"/>
          <w:color w:val="000000"/>
          <w:sz w:val="24"/>
          <w:szCs w:val="24"/>
          <w:lang/>
        </w:rPr>
        <w:t>229.1.1. Податок справляється за ставкою 0 гривень за 1 літр 100-відсоткового спирту із:</w:t>
      </w:r>
    </w:p>
    <w:p w14:paraId="7FC5E7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4" w:name="n5679"/>
      <w:bookmarkEnd w:id="7034"/>
      <w:r w:rsidRPr="008B264B">
        <w:rPr>
          <w:rFonts w:ascii="Times New Roman" w:eastAsia="Times New Roman" w:hAnsi="Times New Roman" w:cs="Times New Roman"/>
          <w:color w:val="000000"/>
          <w:sz w:val="24"/>
          <w:szCs w:val="24"/>
          <w:lang/>
        </w:rPr>
        <w:t>а) спирту етилового, який використовується підприємствами первинного та змішаного виноробства для виробництва виноградних, плодово-ягідних, інших виноматеріалів і сусла та вермутів;</w:t>
      </w:r>
    </w:p>
    <w:p w14:paraId="665E2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5" w:name="n5680"/>
      <w:bookmarkEnd w:id="7035"/>
      <w:r w:rsidRPr="008B264B">
        <w:rPr>
          <w:rFonts w:ascii="Times New Roman" w:eastAsia="Times New Roman" w:hAnsi="Times New Roman" w:cs="Times New Roman"/>
          <w:i/>
          <w:iCs/>
          <w:color w:val="000000"/>
          <w:sz w:val="24"/>
          <w:szCs w:val="24"/>
          <w:lang/>
        </w:rPr>
        <w:t>{Підпункт "а" підпункту 229.1.1 пункту 229.1 статті 229 із змінами, внесеними згідно із Законом </w:t>
      </w:r>
      <w:hyperlink r:id="rId3973" w:anchor="n8" w:tgtFrame="_blank" w:history="1">
        <w:r w:rsidRPr="008B264B">
          <w:rPr>
            <w:rFonts w:ascii="Times New Roman" w:eastAsia="Times New Roman" w:hAnsi="Times New Roman" w:cs="Times New Roman"/>
            <w:i/>
            <w:iCs/>
            <w:color w:val="0000FF"/>
            <w:sz w:val="24"/>
            <w:szCs w:val="24"/>
            <w:u w:val="single"/>
            <w:lang/>
          </w:rPr>
          <w:t>№ 5074-VI від 05.07.2012</w:t>
        </w:r>
      </w:hyperlink>
      <w:r w:rsidRPr="008B264B">
        <w:rPr>
          <w:rFonts w:ascii="Times New Roman" w:eastAsia="Times New Roman" w:hAnsi="Times New Roman" w:cs="Times New Roman"/>
          <w:i/>
          <w:iCs/>
          <w:color w:val="000000"/>
          <w:sz w:val="24"/>
          <w:szCs w:val="24"/>
          <w:lang/>
        </w:rPr>
        <w:t>}</w:t>
      </w:r>
    </w:p>
    <w:p w14:paraId="454EA2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6" w:name="n5681"/>
      <w:bookmarkEnd w:id="7036"/>
      <w:r w:rsidRPr="008B264B">
        <w:rPr>
          <w:rFonts w:ascii="Times New Roman" w:eastAsia="Times New Roman" w:hAnsi="Times New Roman" w:cs="Times New Roman"/>
          <w:color w:val="000000"/>
          <w:sz w:val="24"/>
          <w:szCs w:val="24"/>
          <w:lang/>
        </w:rPr>
        <w:t>б) спирту етилового, який використовується для виробництва лікарських засобів (у тому числі компонентів крові і вироблених з них препаратів), крім лікарських засобів у вигляді бальзамів та еліксирів;</w:t>
      </w:r>
    </w:p>
    <w:p w14:paraId="74B609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7" w:name="n5682"/>
      <w:bookmarkEnd w:id="7037"/>
      <w:r w:rsidRPr="008B264B">
        <w:rPr>
          <w:rFonts w:ascii="Times New Roman" w:eastAsia="Times New Roman" w:hAnsi="Times New Roman" w:cs="Times New Roman"/>
          <w:color w:val="000000"/>
          <w:sz w:val="24"/>
          <w:szCs w:val="24"/>
          <w:lang/>
        </w:rPr>
        <w:t>в) спирту етилового денатурованого (спирту технічного), який реалізується суб'єктам господарювання з метою його використання як сировини для виробництва продуктів органічного синтезу, які не містять у своєму складі більш як 0,1 відсотка залишкового етанолу;</w:t>
      </w:r>
    </w:p>
    <w:p w14:paraId="069EA6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8" w:name="n5683"/>
      <w:bookmarkEnd w:id="7038"/>
      <w:r w:rsidRPr="008B264B">
        <w:rPr>
          <w:rFonts w:ascii="Times New Roman" w:eastAsia="Times New Roman" w:hAnsi="Times New Roman" w:cs="Times New Roman"/>
          <w:color w:val="000000"/>
          <w:sz w:val="24"/>
          <w:szCs w:val="24"/>
          <w:lang/>
        </w:rPr>
        <w:t>г) біоетанолу, що використовується підприємствами для виробництва бензинів моторних сумішевих із вмістом біоетанолу, етил-трет-бутилового етеру (ЕТБЕ), інших добавок на основі біоетанолу;</w:t>
      </w:r>
    </w:p>
    <w:p w14:paraId="0F6025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39" w:name="n5684"/>
      <w:bookmarkEnd w:id="7039"/>
      <w:r w:rsidRPr="008B264B">
        <w:rPr>
          <w:rFonts w:ascii="Times New Roman" w:eastAsia="Times New Roman" w:hAnsi="Times New Roman" w:cs="Times New Roman"/>
          <w:color w:val="000000"/>
          <w:sz w:val="24"/>
          <w:szCs w:val="24"/>
          <w:lang/>
        </w:rPr>
        <w:t>ґ) біоетанолу, який використовується для виробництва біопалива;</w:t>
      </w:r>
    </w:p>
    <w:p w14:paraId="769548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0" w:name="n15537"/>
      <w:bookmarkEnd w:id="7040"/>
      <w:r w:rsidRPr="008B264B">
        <w:rPr>
          <w:rFonts w:ascii="Times New Roman" w:eastAsia="Times New Roman" w:hAnsi="Times New Roman" w:cs="Times New Roman"/>
          <w:color w:val="000000"/>
          <w:sz w:val="24"/>
          <w:szCs w:val="24"/>
          <w:lang/>
        </w:rPr>
        <w:t>д) спирту етилового денатурованого, який використовується для виробництва продукції хімічного і технічного призначення, включеної до </w:t>
      </w:r>
      <w:hyperlink r:id="rId3974" w:anchor="n12" w:tgtFrame="_blank" w:history="1">
        <w:r w:rsidRPr="008B264B">
          <w:rPr>
            <w:rFonts w:ascii="Times New Roman" w:eastAsia="Times New Roman" w:hAnsi="Times New Roman" w:cs="Times New Roman"/>
            <w:color w:val="0000FF"/>
            <w:sz w:val="24"/>
            <w:szCs w:val="24"/>
            <w:u w:val="single"/>
            <w:lang/>
          </w:rPr>
          <w:t>переліку</w:t>
        </w:r>
      </w:hyperlink>
      <w:r w:rsidRPr="008B264B">
        <w:rPr>
          <w:rFonts w:ascii="Times New Roman" w:eastAsia="Times New Roman" w:hAnsi="Times New Roman" w:cs="Times New Roman"/>
          <w:color w:val="000000"/>
          <w:sz w:val="24"/>
          <w:szCs w:val="24"/>
          <w:lang/>
        </w:rPr>
        <w:t>, затвердженого Кабінетом Міністрів України;</w:t>
      </w:r>
    </w:p>
    <w:p w14:paraId="580202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1" w:name="n15545"/>
      <w:bookmarkEnd w:id="7041"/>
      <w:r w:rsidRPr="008B264B">
        <w:rPr>
          <w:rFonts w:ascii="Times New Roman" w:eastAsia="Times New Roman" w:hAnsi="Times New Roman" w:cs="Times New Roman"/>
          <w:i/>
          <w:iCs/>
          <w:color w:val="000000"/>
          <w:sz w:val="24"/>
          <w:szCs w:val="24"/>
          <w:lang/>
        </w:rPr>
        <w:t>{Підпункт 229.1.1 пункту 229.1 статті 229 доповнено підпунктом "д" згідно із Законом </w:t>
      </w:r>
      <w:hyperlink r:id="rId3975" w:anchor="n3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02463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2" w:name="n15538"/>
      <w:bookmarkEnd w:id="7042"/>
      <w:r w:rsidRPr="008B264B">
        <w:rPr>
          <w:rFonts w:ascii="Times New Roman" w:eastAsia="Times New Roman" w:hAnsi="Times New Roman" w:cs="Times New Roman"/>
          <w:color w:val="000000"/>
          <w:sz w:val="24"/>
          <w:szCs w:val="24"/>
          <w:lang/>
        </w:rPr>
        <w:t>е) спирту етилового неденатурованого, який використовується для виробництва оцту з харчової сировини;</w:t>
      </w:r>
    </w:p>
    <w:p w14:paraId="6F012D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3" w:name="n15544"/>
      <w:bookmarkEnd w:id="7043"/>
      <w:r w:rsidRPr="008B264B">
        <w:rPr>
          <w:rFonts w:ascii="Times New Roman" w:eastAsia="Times New Roman" w:hAnsi="Times New Roman" w:cs="Times New Roman"/>
          <w:i/>
          <w:iCs/>
          <w:color w:val="000000"/>
          <w:sz w:val="24"/>
          <w:szCs w:val="24"/>
          <w:lang/>
        </w:rPr>
        <w:t>{Підпункт 229.1.1 пункту 229.1 статті 229 доповнено підпунктом "е" згідно із Законом </w:t>
      </w:r>
      <w:hyperlink r:id="rId3976" w:anchor="n3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B2B18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4" w:name="n15539"/>
      <w:bookmarkEnd w:id="7044"/>
      <w:r w:rsidRPr="008B264B">
        <w:rPr>
          <w:rFonts w:ascii="Times New Roman" w:eastAsia="Times New Roman" w:hAnsi="Times New Roman" w:cs="Times New Roman"/>
          <w:color w:val="000000"/>
          <w:sz w:val="24"/>
          <w:szCs w:val="24"/>
          <w:lang/>
        </w:rPr>
        <w:t>є) спирту етилового денатурованого, який використовується для виробництва парфумерно-косметичної продукції;</w:t>
      </w:r>
    </w:p>
    <w:p w14:paraId="5F45B4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5" w:name="n15543"/>
      <w:bookmarkEnd w:id="7045"/>
      <w:r w:rsidRPr="008B264B">
        <w:rPr>
          <w:rFonts w:ascii="Times New Roman" w:eastAsia="Times New Roman" w:hAnsi="Times New Roman" w:cs="Times New Roman"/>
          <w:i/>
          <w:iCs/>
          <w:color w:val="000000"/>
          <w:sz w:val="24"/>
          <w:szCs w:val="24"/>
          <w:lang/>
        </w:rPr>
        <w:t>{Підпункт 229.1.1 пункту 229.1 статті 229 доповнено підпунктом "є" згідно із Законом </w:t>
      </w:r>
      <w:hyperlink r:id="rId3977" w:anchor="n3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02CC0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6" w:name="n15540"/>
      <w:bookmarkEnd w:id="7046"/>
      <w:r w:rsidRPr="008B264B">
        <w:rPr>
          <w:rFonts w:ascii="Times New Roman" w:eastAsia="Times New Roman" w:hAnsi="Times New Roman" w:cs="Times New Roman"/>
          <w:color w:val="000000"/>
          <w:sz w:val="24"/>
          <w:szCs w:val="24"/>
          <w:lang/>
        </w:rPr>
        <w:t>ж) спирту етилового-сирцю, який використовується в межах одного суб’єкта господарювання для виробництва біоетанолу;</w:t>
      </w:r>
    </w:p>
    <w:p w14:paraId="1FF4B1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7" w:name="n15542"/>
      <w:bookmarkEnd w:id="7047"/>
      <w:r w:rsidRPr="008B264B">
        <w:rPr>
          <w:rFonts w:ascii="Times New Roman" w:eastAsia="Times New Roman" w:hAnsi="Times New Roman" w:cs="Times New Roman"/>
          <w:i/>
          <w:iCs/>
          <w:color w:val="000000"/>
          <w:sz w:val="24"/>
          <w:szCs w:val="24"/>
          <w:lang/>
        </w:rPr>
        <w:t>{Підпункт 229.1.1 пункту 229.1 статті 229 доповнено підпунктом "ж" згідно із Законом </w:t>
      </w:r>
      <w:hyperlink r:id="rId3978" w:anchor="n3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9489F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8" w:name="n15541"/>
      <w:bookmarkEnd w:id="7048"/>
      <w:r w:rsidRPr="008B264B">
        <w:rPr>
          <w:rFonts w:ascii="Times New Roman" w:eastAsia="Times New Roman" w:hAnsi="Times New Roman" w:cs="Times New Roman"/>
          <w:color w:val="000000"/>
          <w:sz w:val="24"/>
          <w:szCs w:val="24"/>
          <w:lang/>
        </w:rPr>
        <w:t>з) спирту етилового, що переміщується між акцизними складами в межах одного суб’єкта господарювання.</w:t>
      </w:r>
    </w:p>
    <w:p w14:paraId="421D0F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49" w:name="n15536"/>
      <w:bookmarkEnd w:id="7049"/>
      <w:r w:rsidRPr="008B264B">
        <w:rPr>
          <w:rFonts w:ascii="Times New Roman" w:eastAsia="Times New Roman" w:hAnsi="Times New Roman" w:cs="Times New Roman"/>
          <w:i/>
          <w:iCs/>
          <w:color w:val="000000"/>
          <w:sz w:val="24"/>
          <w:szCs w:val="24"/>
          <w:lang/>
        </w:rPr>
        <w:t>{Підпункт 229.1.1 пункту 229.1 статті 229 доповнено підпунктом "з" згідно із Законом </w:t>
      </w:r>
      <w:hyperlink r:id="rId3979" w:anchor="n3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FF8EA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0" w:name="n5685"/>
      <w:bookmarkEnd w:id="7050"/>
      <w:r w:rsidRPr="008B264B">
        <w:rPr>
          <w:rFonts w:ascii="Times New Roman" w:eastAsia="Times New Roman" w:hAnsi="Times New Roman" w:cs="Times New Roman"/>
          <w:color w:val="000000"/>
          <w:sz w:val="24"/>
          <w:szCs w:val="24"/>
          <w:lang/>
        </w:rPr>
        <w:t>229.1.2. До отримання з акцизного складу спирту етилового неденатурованого, спирту етилового денатурованого (спирту технічного), біоетанолу, що використовуються для виробництва окремих видів продукції та на які </w:t>
      </w:r>
      <w:hyperlink r:id="rId3980" w:anchor="n5678" w:history="1">
        <w:r w:rsidRPr="008B264B">
          <w:rPr>
            <w:rFonts w:ascii="Times New Roman" w:eastAsia="Times New Roman" w:hAnsi="Times New Roman" w:cs="Times New Roman"/>
            <w:color w:val="0000FF"/>
            <w:sz w:val="24"/>
            <w:szCs w:val="24"/>
            <w:u w:val="single"/>
            <w:lang/>
          </w:rPr>
          <w:t>підпунктом 229.1.1</w:t>
        </w:r>
      </w:hyperlink>
      <w:r w:rsidRPr="008B264B">
        <w:rPr>
          <w:rFonts w:ascii="Times New Roman" w:eastAsia="Times New Roman" w:hAnsi="Times New Roman" w:cs="Times New Roman"/>
          <w:color w:val="000000"/>
          <w:sz w:val="24"/>
          <w:szCs w:val="24"/>
          <w:lang/>
        </w:rPr>
        <w:t xml:space="preserve"> цієї статті встановлено ставку податку 0 гривень за 1 літр 100-відсоткового спирту, видається податковий вексель на суму </w:t>
      </w:r>
      <w:r w:rsidRPr="008B264B">
        <w:rPr>
          <w:rFonts w:ascii="Times New Roman" w:eastAsia="Times New Roman" w:hAnsi="Times New Roman" w:cs="Times New Roman"/>
          <w:color w:val="000000"/>
          <w:sz w:val="24"/>
          <w:szCs w:val="24"/>
          <w:lang/>
        </w:rPr>
        <w:lastRenderedPageBreak/>
        <w:t>податку, нарахованого на обсяг спирту, що отримується виходячи із ставки, визначеної у </w:t>
      </w:r>
      <w:hyperlink r:id="rId3981" w:anchor="n5496" w:history="1">
        <w:r w:rsidRPr="008B264B">
          <w:rPr>
            <w:rFonts w:ascii="Times New Roman" w:eastAsia="Times New Roman" w:hAnsi="Times New Roman" w:cs="Times New Roman"/>
            <w:color w:val="0000FF"/>
            <w:sz w:val="24"/>
            <w:szCs w:val="24"/>
            <w:u w:val="single"/>
            <w:lang/>
          </w:rPr>
          <w:t>пункті 215.3</w:t>
        </w:r>
      </w:hyperlink>
      <w:r w:rsidRPr="008B264B">
        <w:rPr>
          <w:rFonts w:ascii="Times New Roman" w:eastAsia="Times New Roman" w:hAnsi="Times New Roman" w:cs="Times New Roman"/>
          <w:color w:val="000000"/>
          <w:sz w:val="24"/>
          <w:szCs w:val="24"/>
          <w:lang/>
        </w:rPr>
        <w:t> статті 215 цього Кодексу.</w:t>
      </w:r>
    </w:p>
    <w:p w14:paraId="3B374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1" w:name="n5686"/>
      <w:bookmarkEnd w:id="7051"/>
      <w:r w:rsidRPr="008B264B">
        <w:rPr>
          <w:rFonts w:ascii="Times New Roman" w:eastAsia="Times New Roman" w:hAnsi="Times New Roman" w:cs="Times New Roman"/>
          <w:color w:val="000000"/>
          <w:sz w:val="24"/>
          <w:szCs w:val="24"/>
          <w:lang/>
        </w:rPr>
        <w:t>229.1.3. Строк, на який видається податковий вексель підприємствами-виробниками для виробництва окремих видів продукції, не може перевищувати 90 календарних днів, а підприємствами первинного виноробства, виробниками вермутів та виробниками лікарських засобів - 180 календарних днів.</w:t>
      </w:r>
    </w:p>
    <w:p w14:paraId="53A65A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2" w:name="n5687"/>
      <w:bookmarkEnd w:id="7052"/>
      <w:r w:rsidRPr="008B264B">
        <w:rPr>
          <w:rFonts w:ascii="Times New Roman" w:eastAsia="Times New Roman" w:hAnsi="Times New Roman" w:cs="Times New Roman"/>
          <w:i/>
          <w:iCs/>
          <w:color w:val="000000"/>
          <w:sz w:val="24"/>
          <w:szCs w:val="24"/>
          <w:lang/>
        </w:rPr>
        <w:t>{Підпункт 229.1.3 пункту 229.1 статті 229 із змінами, внесеними згідно із Законом </w:t>
      </w:r>
      <w:hyperlink r:id="rId3982" w:anchor="n9" w:tgtFrame="_blank" w:history="1">
        <w:r w:rsidRPr="008B264B">
          <w:rPr>
            <w:rFonts w:ascii="Times New Roman" w:eastAsia="Times New Roman" w:hAnsi="Times New Roman" w:cs="Times New Roman"/>
            <w:i/>
            <w:iCs/>
            <w:color w:val="0000FF"/>
            <w:sz w:val="24"/>
            <w:szCs w:val="24"/>
            <w:u w:val="single"/>
            <w:lang/>
          </w:rPr>
          <w:t>№ 5074-VI від 05.07.2012</w:t>
        </w:r>
      </w:hyperlink>
      <w:r w:rsidRPr="008B264B">
        <w:rPr>
          <w:rFonts w:ascii="Times New Roman" w:eastAsia="Times New Roman" w:hAnsi="Times New Roman" w:cs="Times New Roman"/>
          <w:i/>
          <w:iCs/>
          <w:color w:val="000000"/>
          <w:sz w:val="24"/>
          <w:szCs w:val="24"/>
          <w:lang/>
        </w:rPr>
        <w:t>}</w:t>
      </w:r>
    </w:p>
    <w:p w14:paraId="2FF4A4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3" w:name="n5688"/>
      <w:bookmarkEnd w:id="7053"/>
      <w:r w:rsidRPr="008B264B">
        <w:rPr>
          <w:rFonts w:ascii="Times New Roman" w:eastAsia="Times New Roman" w:hAnsi="Times New Roman" w:cs="Times New Roman"/>
          <w:color w:val="000000"/>
          <w:sz w:val="24"/>
          <w:szCs w:val="24"/>
          <w:lang/>
        </w:rPr>
        <w:t>229.1.4. Видача податкового векселя здійснюється до моменту отримання спирту етилового з акцизного складу.</w:t>
      </w:r>
    </w:p>
    <w:p w14:paraId="5747B1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4" w:name="n5689"/>
      <w:bookmarkEnd w:id="7054"/>
      <w:r w:rsidRPr="008B264B">
        <w:rPr>
          <w:rFonts w:ascii="Times New Roman" w:eastAsia="Times New Roman" w:hAnsi="Times New Roman" w:cs="Times New Roman"/>
          <w:color w:val="000000"/>
          <w:sz w:val="24"/>
          <w:szCs w:val="24"/>
          <w:lang/>
        </w:rPr>
        <w:t>229.1.5. Податковий вексель може бути виданий:</w:t>
      </w:r>
    </w:p>
    <w:p w14:paraId="746381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5" w:name="n5690"/>
      <w:bookmarkEnd w:id="7055"/>
      <w:r w:rsidRPr="008B264B">
        <w:rPr>
          <w:rFonts w:ascii="Times New Roman" w:eastAsia="Times New Roman" w:hAnsi="Times New Roman" w:cs="Times New Roman"/>
          <w:color w:val="000000"/>
          <w:sz w:val="24"/>
          <w:szCs w:val="24"/>
          <w:lang/>
        </w:rPr>
        <w:t>а) підприємством первинного виноробства, яке є виробником виноградних, плодово-ягідних, інших виноматеріалів і сусла та вермутів;</w:t>
      </w:r>
    </w:p>
    <w:p w14:paraId="285ABA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6" w:name="n5691"/>
      <w:bookmarkEnd w:id="7056"/>
      <w:r w:rsidRPr="008B264B">
        <w:rPr>
          <w:rFonts w:ascii="Times New Roman" w:eastAsia="Times New Roman" w:hAnsi="Times New Roman" w:cs="Times New Roman"/>
          <w:i/>
          <w:iCs/>
          <w:color w:val="000000"/>
          <w:sz w:val="24"/>
          <w:szCs w:val="24"/>
          <w:lang/>
        </w:rPr>
        <w:t>{Підпункт "а" підпункту 229.1.5 пункту 229.1 статті 229 із змінами, внесеними згідно із Законом </w:t>
      </w:r>
      <w:hyperlink r:id="rId3983" w:anchor="n10" w:tgtFrame="_blank" w:history="1">
        <w:r w:rsidRPr="008B264B">
          <w:rPr>
            <w:rFonts w:ascii="Times New Roman" w:eastAsia="Times New Roman" w:hAnsi="Times New Roman" w:cs="Times New Roman"/>
            <w:i/>
            <w:iCs/>
            <w:color w:val="0000FF"/>
            <w:sz w:val="24"/>
            <w:szCs w:val="24"/>
            <w:u w:val="single"/>
            <w:lang/>
          </w:rPr>
          <w:t>№ 5074-VI від 05.07.2012</w:t>
        </w:r>
      </w:hyperlink>
      <w:r w:rsidRPr="008B264B">
        <w:rPr>
          <w:rFonts w:ascii="Times New Roman" w:eastAsia="Times New Roman" w:hAnsi="Times New Roman" w:cs="Times New Roman"/>
          <w:i/>
          <w:iCs/>
          <w:color w:val="000000"/>
          <w:sz w:val="24"/>
          <w:szCs w:val="24"/>
          <w:lang/>
        </w:rPr>
        <w:t>}</w:t>
      </w:r>
    </w:p>
    <w:p w14:paraId="3BBCED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7" w:name="n5692"/>
      <w:bookmarkEnd w:id="7057"/>
      <w:r w:rsidRPr="008B264B">
        <w:rPr>
          <w:rFonts w:ascii="Times New Roman" w:eastAsia="Times New Roman" w:hAnsi="Times New Roman" w:cs="Times New Roman"/>
          <w:color w:val="000000"/>
          <w:sz w:val="24"/>
          <w:szCs w:val="24"/>
          <w:lang/>
        </w:rPr>
        <w:t>б) виробником лікарських засобів;</w:t>
      </w:r>
    </w:p>
    <w:p w14:paraId="59E901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8" w:name="n5693"/>
      <w:bookmarkEnd w:id="7058"/>
      <w:r w:rsidRPr="008B264B">
        <w:rPr>
          <w:rFonts w:ascii="Times New Roman" w:eastAsia="Times New Roman" w:hAnsi="Times New Roman" w:cs="Times New Roman"/>
          <w:color w:val="000000"/>
          <w:sz w:val="24"/>
          <w:szCs w:val="24"/>
          <w:lang/>
        </w:rPr>
        <w:t>в) виробником продуктів органічного синтезу;</w:t>
      </w:r>
    </w:p>
    <w:p w14:paraId="5AF183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59" w:name="n5694"/>
      <w:bookmarkEnd w:id="7059"/>
      <w:r w:rsidRPr="008B264B">
        <w:rPr>
          <w:rFonts w:ascii="Times New Roman" w:eastAsia="Times New Roman" w:hAnsi="Times New Roman" w:cs="Times New Roman"/>
          <w:color w:val="000000"/>
          <w:sz w:val="24"/>
          <w:szCs w:val="24"/>
          <w:lang/>
        </w:rPr>
        <w:t>г) нафтопереробними заводами (чи іншими суб'єктами господарювання), які використовують біоетанол для виробництва бензинів моторних сумішевих із вмістом біоетанолу, етил-трет-бутилового етеру (ЕТБЕ), інших добавок на основі біоетанолу;</w:t>
      </w:r>
    </w:p>
    <w:p w14:paraId="7E5F7C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0" w:name="n5695"/>
      <w:bookmarkEnd w:id="7060"/>
      <w:r w:rsidRPr="008B264B">
        <w:rPr>
          <w:rFonts w:ascii="Times New Roman" w:eastAsia="Times New Roman" w:hAnsi="Times New Roman" w:cs="Times New Roman"/>
          <w:color w:val="000000"/>
          <w:sz w:val="24"/>
          <w:szCs w:val="24"/>
          <w:lang/>
        </w:rPr>
        <w:t>ґ) виробниками біопалива;</w:t>
      </w:r>
    </w:p>
    <w:p w14:paraId="3031A3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1" w:name="n15547"/>
      <w:bookmarkEnd w:id="7061"/>
      <w:r w:rsidRPr="008B264B">
        <w:rPr>
          <w:rFonts w:ascii="Times New Roman" w:eastAsia="Times New Roman" w:hAnsi="Times New Roman" w:cs="Times New Roman"/>
          <w:color w:val="000000"/>
          <w:sz w:val="24"/>
          <w:szCs w:val="24"/>
          <w:lang/>
        </w:rPr>
        <w:t>д) виробником продукції хімічного і технічного призначення, включеної до переліку, затвердженого Кабінетом Міністрів України;</w:t>
      </w:r>
    </w:p>
    <w:p w14:paraId="7B4D7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2" w:name="n15551"/>
      <w:bookmarkEnd w:id="7062"/>
      <w:r w:rsidRPr="008B264B">
        <w:rPr>
          <w:rFonts w:ascii="Times New Roman" w:eastAsia="Times New Roman" w:hAnsi="Times New Roman" w:cs="Times New Roman"/>
          <w:i/>
          <w:iCs/>
          <w:color w:val="000000"/>
          <w:sz w:val="24"/>
          <w:szCs w:val="24"/>
          <w:lang/>
        </w:rPr>
        <w:t>{Підпункт 229.1.5 пункту 229.1 статті 229 доповнено підпунктом "д" згідно із Законом </w:t>
      </w:r>
      <w:hyperlink r:id="rId3984" w:anchor="n31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6E08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3" w:name="n15548"/>
      <w:bookmarkEnd w:id="7063"/>
      <w:r w:rsidRPr="008B264B">
        <w:rPr>
          <w:rFonts w:ascii="Times New Roman" w:eastAsia="Times New Roman" w:hAnsi="Times New Roman" w:cs="Times New Roman"/>
          <w:color w:val="000000"/>
          <w:sz w:val="24"/>
          <w:szCs w:val="24"/>
          <w:lang/>
        </w:rPr>
        <w:t>е) виробником оцту з харчової сировини;</w:t>
      </w:r>
    </w:p>
    <w:p w14:paraId="4DFD74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4" w:name="n15550"/>
      <w:bookmarkEnd w:id="7064"/>
      <w:r w:rsidRPr="008B264B">
        <w:rPr>
          <w:rFonts w:ascii="Times New Roman" w:eastAsia="Times New Roman" w:hAnsi="Times New Roman" w:cs="Times New Roman"/>
          <w:i/>
          <w:iCs/>
          <w:color w:val="000000"/>
          <w:sz w:val="24"/>
          <w:szCs w:val="24"/>
          <w:lang/>
        </w:rPr>
        <w:t>{Підпункт 229.1.5 пункту 229.1 статті 229 доповнено підпунктом "е" згідно із Законом </w:t>
      </w:r>
      <w:hyperlink r:id="rId3985" w:anchor="n31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F638B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5" w:name="n15549"/>
      <w:bookmarkEnd w:id="7065"/>
      <w:r w:rsidRPr="008B264B">
        <w:rPr>
          <w:rFonts w:ascii="Times New Roman" w:eastAsia="Times New Roman" w:hAnsi="Times New Roman" w:cs="Times New Roman"/>
          <w:color w:val="000000"/>
          <w:sz w:val="24"/>
          <w:szCs w:val="24"/>
          <w:lang/>
        </w:rPr>
        <w:t>є) виробником парфумерно-косметичної продукції.</w:t>
      </w:r>
    </w:p>
    <w:p w14:paraId="78E522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6" w:name="n15546"/>
      <w:bookmarkEnd w:id="7066"/>
      <w:r w:rsidRPr="008B264B">
        <w:rPr>
          <w:rFonts w:ascii="Times New Roman" w:eastAsia="Times New Roman" w:hAnsi="Times New Roman" w:cs="Times New Roman"/>
          <w:i/>
          <w:iCs/>
          <w:color w:val="000000"/>
          <w:sz w:val="24"/>
          <w:szCs w:val="24"/>
          <w:lang/>
        </w:rPr>
        <w:t>{Підпункт 229.1.5 пункту 229.1 статті 229 доповнено підпунктом "є" згідно із Законом </w:t>
      </w:r>
      <w:hyperlink r:id="rId3986" w:anchor="n31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95C30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7" w:name="n5696"/>
      <w:bookmarkEnd w:id="7067"/>
      <w:r w:rsidRPr="008B264B">
        <w:rPr>
          <w:rFonts w:ascii="Times New Roman" w:eastAsia="Times New Roman" w:hAnsi="Times New Roman" w:cs="Times New Roman"/>
          <w:color w:val="000000"/>
          <w:sz w:val="24"/>
          <w:szCs w:val="24"/>
          <w:lang/>
        </w:rPr>
        <w:t>229.1.6. Обов'язки з погашення податкового векселя не можуть передаватися іншим особам незалежно від їх відносин з векселедавцем.</w:t>
      </w:r>
    </w:p>
    <w:p w14:paraId="30AC1C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8" w:name="n5697"/>
      <w:bookmarkEnd w:id="7068"/>
      <w:r w:rsidRPr="008B264B">
        <w:rPr>
          <w:rFonts w:ascii="Times New Roman" w:eastAsia="Times New Roman" w:hAnsi="Times New Roman" w:cs="Times New Roman"/>
          <w:color w:val="000000"/>
          <w:sz w:val="24"/>
          <w:szCs w:val="24"/>
          <w:lang/>
        </w:rPr>
        <w:t>229.1.7. За користування податковим векселем не нараховуються відсотки або інші види плати, передбачені законодавством для інших видів векселів.</w:t>
      </w:r>
    </w:p>
    <w:p w14:paraId="55C269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69" w:name="n5698"/>
      <w:bookmarkEnd w:id="7069"/>
      <w:r w:rsidRPr="008B264B">
        <w:rPr>
          <w:rFonts w:ascii="Times New Roman" w:eastAsia="Times New Roman" w:hAnsi="Times New Roman" w:cs="Times New Roman"/>
          <w:color w:val="000000"/>
          <w:sz w:val="24"/>
          <w:szCs w:val="24"/>
          <w:lang/>
        </w:rPr>
        <w:t>229.1.8. Податковий вексель вважається погашеним у разі документального підтвердження факту цільового використання спирту етилового для виробництва продукції, визначеної в </w:t>
      </w:r>
      <w:hyperlink r:id="rId3987" w:anchor="n5678" w:history="1">
        <w:r w:rsidRPr="008B264B">
          <w:rPr>
            <w:rFonts w:ascii="Times New Roman" w:eastAsia="Times New Roman" w:hAnsi="Times New Roman" w:cs="Times New Roman"/>
            <w:color w:val="0000FF"/>
            <w:sz w:val="24"/>
            <w:szCs w:val="24"/>
            <w:u w:val="single"/>
            <w:lang/>
          </w:rPr>
          <w:t>підпункті 229.1.1</w:t>
        </w:r>
      </w:hyperlink>
      <w:r w:rsidRPr="008B264B">
        <w:rPr>
          <w:rFonts w:ascii="Times New Roman" w:eastAsia="Times New Roman" w:hAnsi="Times New Roman" w:cs="Times New Roman"/>
          <w:color w:val="000000"/>
          <w:sz w:val="24"/>
          <w:szCs w:val="24"/>
          <w:lang/>
        </w:rPr>
        <w:t> цієї статті, поданого векселедержателю у формі електронного документа відповідно до законодавства.</w:t>
      </w:r>
    </w:p>
    <w:p w14:paraId="1E63B9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0" w:name="n15553"/>
      <w:bookmarkEnd w:id="7070"/>
      <w:r w:rsidRPr="008B264B">
        <w:rPr>
          <w:rFonts w:ascii="Times New Roman" w:eastAsia="Times New Roman" w:hAnsi="Times New Roman" w:cs="Times New Roman"/>
          <w:i/>
          <w:iCs/>
          <w:color w:val="000000"/>
          <w:sz w:val="24"/>
          <w:szCs w:val="24"/>
          <w:lang/>
        </w:rPr>
        <w:t>{Підпункт 229.1.8 пункту 229.1 статті 229 із змінами, внесеними згідно із Законом </w:t>
      </w:r>
      <w:hyperlink r:id="rId3988" w:anchor="n31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2C392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1" w:name="n15554"/>
      <w:bookmarkEnd w:id="7071"/>
      <w:r w:rsidRPr="008B264B">
        <w:rPr>
          <w:rFonts w:ascii="Times New Roman" w:eastAsia="Times New Roman" w:hAnsi="Times New Roman" w:cs="Times New Roman"/>
          <w:color w:val="000000"/>
          <w:sz w:val="24"/>
          <w:szCs w:val="24"/>
          <w:lang/>
        </w:rPr>
        <w:t>Суб’єкти господарювання, які використовують спирт етиловий для виробництва продукції, визначеної у підпунктах "д"-"ж" підпункту 229.1.1 пункту 229.1 цієї статті, зобов’язані:</w:t>
      </w:r>
    </w:p>
    <w:p w14:paraId="53E440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2" w:name="n15570"/>
      <w:bookmarkEnd w:id="7072"/>
      <w:r w:rsidRPr="008B264B">
        <w:rPr>
          <w:rFonts w:ascii="Times New Roman" w:eastAsia="Times New Roman" w:hAnsi="Times New Roman" w:cs="Times New Roman"/>
          <w:i/>
          <w:iCs/>
          <w:color w:val="000000"/>
          <w:sz w:val="24"/>
          <w:szCs w:val="24"/>
          <w:lang/>
        </w:rPr>
        <w:lastRenderedPageBreak/>
        <w:t>{Підпункт 229.1.8 пункту 229.1 статті 229 доповнено абзацом другим згідно із Законом </w:t>
      </w:r>
      <w:hyperlink r:id="rId3989"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698D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3" w:name="n15555"/>
      <w:bookmarkEnd w:id="7073"/>
      <w:r w:rsidRPr="008B264B">
        <w:rPr>
          <w:rFonts w:ascii="Times New Roman" w:eastAsia="Times New Roman" w:hAnsi="Times New Roman" w:cs="Times New Roman"/>
          <w:color w:val="000000"/>
          <w:sz w:val="24"/>
          <w:szCs w:val="24"/>
          <w:lang/>
        </w:rPr>
        <w:t>а) обладнати кожне місце отримання спирту етилового витратомірами-лічильниками обсягу виробленого спирту етилового, зареєстрованими в Єдиному державному реєстрі витратомірів-лічильників обсягу виробленого спирту етилового;</w:t>
      </w:r>
    </w:p>
    <w:p w14:paraId="61A88F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4" w:name="n15569"/>
      <w:bookmarkEnd w:id="7074"/>
      <w:r w:rsidRPr="008B264B">
        <w:rPr>
          <w:rFonts w:ascii="Times New Roman" w:eastAsia="Times New Roman" w:hAnsi="Times New Roman" w:cs="Times New Roman"/>
          <w:i/>
          <w:iCs/>
          <w:color w:val="000000"/>
          <w:sz w:val="24"/>
          <w:szCs w:val="24"/>
          <w:lang/>
        </w:rPr>
        <w:t>{Підпункт 229.1.8 пункту 229.1 статті 229 доповнено абзацом третім згідно із Законом </w:t>
      </w:r>
      <w:hyperlink r:id="rId3990"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A9430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5" w:name="n15556"/>
      <w:bookmarkEnd w:id="7075"/>
      <w:r w:rsidRPr="008B264B">
        <w:rPr>
          <w:rFonts w:ascii="Times New Roman" w:eastAsia="Times New Roman" w:hAnsi="Times New Roman" w:cs="Times New Roman"/>
          <w:color w:val="000000"/>
          <w:sz w:val="24"/>
          <w:szCs w:val="24"/>
          <w:lang/>
        </w:rPr>
        <w:t>б) обладнати кожне місце відпуску продукції, для виробництва якої використовується отриманий спирт етиловий, витратомірами-лічильниками обсягу виробленої продукції, зареєстрованими в Єдиному державному реєстрі витратомірів-лічильників обсягу виробленого спирту етилового;</w:t>
      </w:r>
    </w:p>
    <w:p w14:paraId="4214A2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6" w:name="n15568"/>
      <w:bookmarkEnd w:id="7076"/>
      <w:r w:rsidRPr="008B264B">
        <w:rPr>
          <w:rFonts w:ascii="Times New Roman" w:eastAsia="Times New Roman" w:hAnsi="Times New Roman" w:cs="Times New Roman"/>
          <w:i/>
          <w:iCs/>
          <w:color w:val="000000"/>
          <w:sz w:val="24"/>
          <w:szCs w:val="24"/>
          <w:lang/>
        </w:rPr>
        <w:t>{Підпункт 229.1.8 пункту 229.1 статті 229 доповнено абзацом четвертим згідно із Законом </w:t>
      </w:r>
      <w:hyperlink r:id="rId3991"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CA20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7" w:name="n15557"/>
      <w:bookmarkEnd w:id="7077"/>
      <w:r w:rsidRPr="008B264B">
        <w:rPr>
          <w:rFonts w:ascii="Times New Roman" w:eastAsia="Times New Roman" w:hAnsi="Times New Roman" w:cs="Times New Roman"/>
          <w:color w:val="000000"/>
          <w:sz w:val="24"/>
          <w:szCs w:val="24"/>
          <w:lang/>
        </w:rPr>
        <w:t>в) щоденно формувати та подавати до центрального органу виконавчої влади, що реалізує державну податкову та митну політику, дані про добовий фактичний обсяг отриманого спирту етилового та обсяг продукції, виробленої з його використанням.</w:t>
      </w:r>
    </w:p>
    <w:p w14:paraId="5E9D8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8" w:name="n15567"/>
      <w:bookmarkEnd w:id="7078"/>
      <w:r w:rsidRPr="008B264B">
        <w:rPr>
          <w:rFonts w:ascii="Times New Roman" w:eastAsia="Times New Roman" w:hAnsi="Times New Roman" w:cs="Times New Roman"/>
          <w:i/>
          <w:iCs/>
          <w:color w:val="000000"/>
          <w:sz w:val="24"/>
          <w:szCs w:val="24"/>
          <w:lang/>
        </w:rPr>
        <w:t>{Підпункт 229.1.8 пункту 229.1 статті 229 доповнено абзацом п'ятим згідно із Законом </w:t>
      </w:r>
      <w:hyperlink r:id="rId3992"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BA679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79" w:name="n15558"/>
      <w:bookmarkEnd w:id="7079"/>
      <w:r w:rsidRPr="008B264B">
        <w:rPr>
          <w:rFonts w:ascii="Times New Roman" w:eastAsia="Times New Roman" w:hAnsi="Times New Roman" w:cs="Times New Roman"/>
          <w:color w:val="000000"/>
          <w:sz w:val="24"/>
          <w:szCs w:val="24"/>
          <w:lang/>
        </w:rPr>
        <w:t>Дані про добовий фактичний обсяг отриманого спирту етилового та обсяг продукції, виробленої з його використанням, подаються електронними засобами зв’язку у формі електронних документів, яка затверджується центральним органом виконавчої влади, що забезпечує формування та реалізує державну фінансову політику.</w:t>
      </w:r>
    </w:p>
    <w:p w14:paraId="1CA30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0" w:name="n15566"/>
      <w:bookmarkEnd w:id="7080"/>
      <w:r w:rsidRPr="008B264B">
        <w:rPr>
          <w:rFonts w:ascii="Times New Roman" w:eastAsia="Times New Roman" w:hAnsi="Times New Roman" w:cs="Times New Roman"/>
          <w:i/>
          <w:iCs/>
          <w:color w:val="000000"/>
          <w:sz w:val="24"/>
          <w:szCs w:val="24"/>
          <w:lang/>
        </w:rPr>
        <w:t>{Підпункт 229.1.8 пункту 229.1 статті 229 доповнено абзацом шостим згідно із Законом </w:t>
      </w:r>
      <w:hyperlink r:id="rId3993"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47D91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1" w:name="n15559"/>
      <w:bookmarkEnd w:id="7081"/>
      <w:r w:rsidRPr="008B264B">
        <w:rPr>
          <w:rFonts w:ascii="Times New Roman" w:eastAsia="Times New Roman" w:hAnsi="Times New Roman" w:cs="Times New Roman"/>
          <w:color w:val="000000"/>
          <w:sz w:val="24"/>
          <w:szCs w:val="24"/>
          <w:lang/>
        </w:rPr>
        <w:t>Електронні документи заповнюються автоматично шляхом передачі до них даних з витратомірів-лічильників спирту етилового та витратомірів-лічильників обсягу виробленої продукції.</w:t>
      </w:r>
    </w:p>
    <w:p w14:paraId="5050FF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2" w:name="n15565"/>
      <w:bookmarkEnd w:id="7082"/>
      <w:r w:rsidRPr="008B264B">
        <w:rPr>
          <w:rFonts w:ascii="Times New Roman" w:eastAsia="Times New Roman" w:hAnsi="Times New Roman" w:cs="Times New Roman"/>
          <w:i/>
          <w:iCs/>
          <w:color w:val="000000"/>
          <w:sz w:val="24"/>
          <w:szCs w:val="24"/>
          <w:lang/>
        </w:rPr>
        <w:t>{Підпункт 229.1.8 пункту 229.1 статті 229 доповнено абзацом сьомим згідно із Законом </w:t>
      </w:r>
      <w:hyperlink r:id="rId3994"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E650C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3" w:name="n15560"/>
      <w:bookmarkEnd w:id="7083"/>
      <w:r w:rsidRPr="008B264B">
        <w:rPr>
          <w:rFonts w:ascii="Times New Roman" w:eastAsia="Times New Roman" w:hAnsi="Times New Roman" w:cs="Times New Roman"/>
          <w:color w:val="000000"/>
          <w:sz w:val="24"/>
          <w:szCs w:val="24"/>
          <w:lang/>
        </w:rPr>
        <w:t>Дані про добовий фактичний обсяг отриманого спирту етилового та обсяг продукції, виробленої з його використанням, формуються після проведення останньої операції з отримання спирту етилового та виробництва продукції з його використанням у звітній добі, але не пізніше 23 години 59 хвилин цієї доби, до початку здійснення операцій з отримання спирту етилового та виробництва продукції з його використанням у добу, що настає за звітною добою, та подаються до центрального органу виконавчої влади, що реалізує державну податкову та митну політику, не пізніше 23 години 59 хвилин доби, що настає за звітною добою.</w:t>
      </w:r>
    </w:p>
    <w:p w14:paraId="159346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4" w:name="n15564"/>
      <w:bookmarkEnd w:id="7084"/>
      <w:r w:rsidRPr="008B264B">
        <w:rPr>
          <w:rFonts w:ascii="Times New Roman" w:eastAsia="Times New Roman" w:hAnsi="Times New Roman" w:cs="Times New Roman"/>
          <w:i/>
          <w:iCs/>
          <w:color w:val="000000"/>
          <w:sz w:val="24"/>
          <w:szCs w:val="24"/>
          <w:lang/>
        </w:rPr>
        <w:t>{Підпункт 229.1.8 пункту 229.1 статті 229 доповнено абзацом восьмим згідно із Законом </w:t>
      </w:r>
      <w:hyperlink r:id="rId3995"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E0DC4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5" w:name="n15561"/>
      <w:bookmarkEnd w:id="7085"/>
      <w:r w:rsidRPr="008B264B">
        <w:rPr>
          <w:rFonts w:ascii="Times New Roman" w:eastAsia="Times New Roman" w:hAnsi="Times New Roman" w:cs="Times New Roman"/>
          <w:color w:val="000000"/>
          <w:sz w:val="24"/>
          <w:szCs w:val="24"/>
          <w:lang/>
        </w:rPr>
        <w:t>Забороняється отримання спирту етилового та виробництво продукції з його використанням без наявності зареєстрованих витратомірів-лічильників спирту етилового та витратомірів-лічильників обсягу виробленої продукції, а також через кожне місце отримання спирту етилового та виробництва продукції з його використанням, на якому вийшов з ладу або відсутній витратомір-лічильник спирту етилового або витратомір-лічильник обсягу виробленої продукції.</w:t>
      </w:r>
    </w:p>
    <w:p w14:paraId="0147E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6" w:name="n15563"/>
      <w:bookmarkEnd w:id="7086"/>
      <w:r w:rsidRPr="008B264B">
        <w:rPr>
          <w:rFonts w:ascii="Times New Roman" w:eastAsia="Times New Roman" w:hAnsi="Times New Roman" w:cs="Times New Roman"/>
          <w:i/>
          <w:iCs/>
          <w:color w:val="000000"/>
          <w:sz w:val="24"/>
          <w:szCs w:val="24"/>
          <w:lang/>
        </w:rPr>
        <w:t>{Підпункт 229.1.8 пункту 229.1 статті 229 доповнено абзацом дев'ятим згідно із Законом </w:t>
      </w:r>
      <w:hyperlink r:id="rId3996"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EC179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7" w:name="n15562"/>
      <w:bookmarkEnd w:id="7087"/>
      <w:r w:rsidRPr="008B264B">
        <w:rPr>
          <w:rFonts w:ascii="Times New Roman" w:eastAsia="Times New Roman" w:hAnsi="Times New Roman" w:cs="Times New Roman"/>
          <w:color w:val="000000"/>
          <w:sz w:val="24"/>
          <w:szCs w:val="24"/>
          <w:lang/>
        </w:rPr>
        <w:lastRenderedPageBreak/>
        <w:t>Витратоміри-лічильники спирту етилового та витратоміри-лічильники обсягу виробленої продукції повинні відповідати вимогам законодавства та мати позитивний результат повірки або оцінку відповідності, проведені відповідно до законодавства. У разі відсутності позитивного результату повірки або оцінки відповідності витратомірів-лічильників спирту етилового та витратомірів-лічильників обсягу виробленої продукції для цілей цього Кодексу витратоміри-лічильники спирту етилового та витратоміри-лічильники обсягу виробленої продукції вважаються невстановленими.</w:t>
      </w:r>
    </w:p>
    <w:p w14:paraId="1F5E92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8" w:name="n15552"/>
      <w:bookmarkEnd w:id="7088"/>
      <w:r w:rsidRPr="008B264B">
        <w:rPr>
          <w:rFonts w:ascii="Times New Roman" w:eastAsia="Times New Roman" w:hAnsi="Times New Roman" w:cs="Times New Roman"/>
          <w:i/>
          <w:iCs/>
          <w:color w:val="000000"/>
          <w:sz w:val="24"/>
          <w:szCs w:val="24"/>
          <w:lang/>
        </w:rPr>
        <w:t>{Підпункт 229.1.8 пункту 229.1 статті 229 доповнено абзацом десятим згідно із Законом </w:t>
      </w:r>
      <w:hyperlink r:id="rId3997" w:anchor="n3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A352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89" w:name="n5699"/>
      <w:bookmarkEnd w:id="7089"/>
      <w:r w:rsidRPr="008B264B">
        <w:rPr>
          <w:rFonts w:ascii="Times New Roman" w:eastAsia="Times New Roman" w:hAnsi="Times New Roman" w:cs="Times New Roman"/>
          <w:color w:val="000000"/>
          <w:sz w:val="24"/>
          <w:szCs w:val="24"/>
          <w:lang/>
        </w:rPr>
        <w:t>229.1.9. У разі якщо передбачений цією статтею податковий вексель не погашається в установлений строк, векселедержатель здійснює протест такого податкового векселя у неплатежі згідно із законодавством та протягом одного робочого дня з дати вчинення протесту звертається до банку, який здійснив аваль цього податкового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зазначену в податковому векселі, векселедержателю.</w:t>
      </w:r>
    </w:p>
    <w:p w14:paraId="3439B6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0" w:name="n5700"/>
      <w:bookmarkEnd w:id="7090"/>
      <w:r w:rsidRPr="008B264B">
        <w:rPr>
          <w:rFonts w:ascii="Times New Roman" w:eastAsia="Times New Roman" w:hAnsi="Times New Roman" w:cs="Times New Roman"/>
          <w:color w:val="000000"/>
          <w:sz w:val="24"/>
          <w:szCs w:val="24"/>
          <w:lang/>
        </w:rPr>
        <w:t>229.1.10. </w:t>
      </w:r>
      <w:hyperlink r:id="rId3998" w:tgtFrame="_blank" w:history="1">
        <w:r w:rsidRPr="008B264B">
          <w:rPr>
            <w:rFonts w:ascii="Times New Roman" w:eastAsia="Times New Roman" w:hAnsi="Times New Roman" w:cs="Times New Roman"/>
            <w:color w:val="0000FF"/>
            <w:sz w:val="24"/>
            <w:szCs w:val="24"/>
            <w:u w:val="single"/>
            <w:lang/>
          </w:rPr>
          <w:t>Порядок випуску, обігу та погашення податкових векселів</w:t>
        </w:r>
      </w:hyperlink>
      <w:r w:rsidRPr="008B264B">
        <w:rPr>
          <w:rFonts w:ascii="Times New Roman" w:eastAsia="Times New Roman" w:hAnsi="Times New Roman" w:cs="Times New Roman"/>
          <w:color w:val="000000"/>
          <w:sz w:val="24"/>
          <w:szCs w:val="24"/>
          <w:lang/>
        </w:rPr>
        <w:t>, що видаються до отримання з акцизного складу спирту етилового, який використовується суб'єктами господарювання для виробництва окремих видів продукції, встановлюється Кабінетом Міністрів України.</w:t>
      </w:r>
    </w:p>
    <w:p w14:paraId="25253F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1" w:name="n5701"/>
      <w:bookmarkEnd w:id="7091"/>
      <w:r w:rsidRPr="008B264B">
        <w:rPr>
          <w:rFonts w:ascii="Times New Roman" w:eastAsia="Times New Roman" w:hAnsi="Times New Roman" w:cs="Times New Roman"/>
          <w:color w:val="000000"/>
          <w:sz w:val="24"/>
          <w:szCs w:val="24"/>
          <w:lang/>
        </w:rPr>
        <w:t>229.1.11. Переліки виробників спирту етилового денатурованого (спирту технічного) для потреб підприємств, що виробляють продукти органічного синтезу, затверджуються Кабінетом Міністрів України.</w:t>
      </w:r>
    </w:p>
    <w:p w14:paraId="20FF9B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2" w:name="n10242"/>
      <w:bookmarkEnd w:id="7092"/>
      <w:r w:rsidRPr="008B264B">
        <w:rPr>
          <w:rFonts w:ascii="Times New Roman" w:eastAsia="Times New Roman" w:hAnsi="Times New Roman" w:cs="Times New Roman"/>
          <w:i/>
          <w:iCs/>
          <w:color w:val="000000"/>
          <w:sz w:val="24"/>
          <w:szCs w:val="24"/>
          <w:lang/>
        </w:rPr>
        <w:t>{Підпункт 229.1.11 пункту 229.1 статті 229 із змінами, внесеними згідно із Законом </w:t>
      </w:r>
      <w:hyperlink r:id="rId3999" w:anchor="n10"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08F9B7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3" w:name="n5702"/>
      <w:bookmarkEnd w:id="7093"/>
      <w:r w:rsidRPr="008B264B">
        <w:rPr>
          <w:rFonts w:ascii="Times New Roman" w:eastAsia="Times New Roman" w:hAnsi="Times New Roman" w:cs="Times New Roman"/>
          <w:color w:val="000000"/>
          <w:sz w:val="24"/>
          <w:szCs w:val="24"/>
          <w:lang/>
        </w:rPr>
        <w:t>229.1.12. Відвантаження спирту етилового денатурованого (спирту технічного) для потреб підприємств, що виробляють продукти органічного синтезу, проводиться в межах </w:t>
      </w:r>
      <w:hyperlink r:id="rId4000" w:tgtFrame="_blank" w:history="1">
        <w:r w:rsidRPr="008B264B">
          <w:rPr>
            <w:rFonts w:ascii="Times New Roman" w:eastAsia="Times New Roman" w:hAnsi="Times New Roman" w:cs="Times New Roman"/>
            <w:color w:val="0000FF"/>
            <w:sz w:val="24"/>
            <w:szCs w:val="24"/>
            <w:u w:val="single"/>
            <w:lang/>
          </w:rPr>
          <w:t>квот</w:t>
        </w:r>
      </w:hyperlink>
      <w:r w:rsidRPr="008B264B">
        <w:rPr>
          <w:rFonts w:ascii="Times New Roman" w:eastAsia="Times New Roman" w:hAnsi="Times New Roman" w:cs="Times New Roman"/>
          <w:color w:val="000000"/>
          <w:sz w:val="24"/>
          <w:szCs w:val="24"/>
          <w:lang/>
        </w:rPr>
        <w:t>, установлених Кабінетом Міністрів України.</w:t>
      </w:r>
    </w:p>
    <w:p w14:paraId="6F12D6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4" w:name="n5703"/>
      <w:bookmarkEnd w:id="7094"/>
      <w:r w:rsidRPr="008B264B">
        <w:rPr>
          <w:rFonts w:ascii="Times New Roman" w:eastAsia="Times New Roman" w:hAnsi="Times New Roman" w:cs="Times New Roman"/>
          <w:color w:val="000000"/>
          <w:sz w:val="24"/>
          <w:szCs w:val="24"/>
          <w:lang/>
        </w:rPr>
        <w:t>229.1.13. Відвантаження спирту етилового для виробництва лікарських засобів проводиться в межах </w:t>
      </w:r>
      <w:hyperlink r:id="rId4001" w:anchor="n16" w:tgtFrame="_blank" w:history="1">
        <w:r w:rsidRPr="008B264B">
          <w:rPr>
            <w:rFonts w:ascii="Times New Roman" w:eastAsia="Times New Roman" w:hAnsi="Times New Roman" w:cs="Times New Roman"/>
            <w:color w:val="0000FF"/>
            <w:sz w:val="24"/>
            <w:szCs w:val="24"/>
            <w:u w:val="single"/>
            <w:lang/>
          </w:rPr>
          <w:t>квот</w:t>
        </w:r>
      </w:hyperlink>
      <w:r w:rsidRPr="008B264B">
        <w:rPr>
          <w:rFonts w:ascii="Times New Roman" w:eastAsia="Times New Roman" w:hAnsi="Times New Roman" w:cs="Times New Roman"/>
          <w:color w:val="000000"/>
          <w:sz w:val="24"/>
          <w:szCs w:val="24"/>
          <w:lang/>
        </w:rPr>
        <w:t>, установлених Кабінетом Міністрів України. Перелік лікарських засобів, для виробництва яких використовується спирт етиловий, затверджується Кабінетом Міністрів України.</w:t>
      </w:r>
    </w:p>
    <w:p w14:paraId="40CCCA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5" w:name="n5704"/>
      <w:bookmarkEnd w:id="7095"/>
      <w:r w:rsidRPr="008B264B">
        <w:rPr>
          <w:rFonts w:ascii="Times New Roman" w:eastAsia="Times New Roman" w:hAnsi="Times New Roman" w:cs="Times New Roman"/>
          <w:color w:val="000000"/>
          <w:sz w:val="24"/>
          <w:szCs w:val="24"/>
          <w:lang/>
        </w:rPr>
        <w:t>229.1.14. На підприємствах, де використовують спирт за нульовою ставкою, встановлюються податкові пости, порядок роботи яких визначається центральним органом виконавчої влади, що забезпечує формування та реалізує державну фінансову політику.</w:t>
      </w:r>
    </w:p>
    <w:p w14:paraId="0B7F4A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6" w:name="n15572"/>
      <w:bookmarkEnd w:id="7096"/>
      <w:r w:rsidRPr="008B264B">
        <w:rPr>
          <w:rFonts w:ascii="Times New Roman" w:eastAsia="Times New Roman" w:hAnsi="Times New Roman" w:cs="Times New Roman"/>
          <w:color w:val="000000"/>
          <w:sz w:val="24"/>
          <w:szCs w:val="24"/>
          <w:lang/>
        </w:rPr>
        <w:t>Податкові пости на підприємствах, які використовують спирт етиловий для виробництва продукції, визначеної у підпунктах "д"-"ж" підпункту 229.1.1 пункту 229.1 цієї статті, не встановлюються.</w:t>
      </w:r>
    </w:p>
    <w:p w14:paraId="2D6007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7" w:name="n15571"/>
      <w:bookmarkEnd w:id="7097"/>
      <w:r w:rsidRPr="008B264B">
        <w:rPr>
          <w:rFonts w:ascii="Times New Roman" w:eastAsia="Times New Roman" w:hAnsi="Times New Roman" w:cs="Times New Roman"/>
          <w:i/>
          <w:iCs/>
          <w:color w:val="000000"/>
          <w:sz w:val="24"/>
          <w:szCs w:val="24"/>
          <w:lang/>
        </w:rPr>
        <w:t>{Підпункт 229.1.14 пункту 229.1 статті 229 доповнено абзацом другим згідно із Законом </w:t>
      </w:r>
      <w:hyperlink r:id="rId4002" w:anchor="n33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812EF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8" w:name="n13458"/>
      <w:bookmarkEnd w:id="7098"/>
      <w:r w:rsidRPr="008B264B">
        <w:rPr>
          <w:rFonts w:ascii="Times New Roman" w:eastAsia="Times New Roman" w:hAnsi="Times New Roman" w:cs="Times New Roman"/>
          <w:i/>
          <w:iCs/>
          <w:color w:val="000000"/>
          <w:sz w:val="24"/>
          <w:szCs w:val="24"/>
          <w:lang/>
        </w:rPr>
        <w:t>{Підпункт 229.1.14 пункту 229.1 статті 229 із змінами, внесеними згідно із Законом </w:t>
      </w:r>
      <w:hyperlink r:id="rId400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97C08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099" w:name="n5705"/>
      <w:bookmarkEnd w:id="7099"/>
      <w:r w:rsidRPr="008B264B">
        <w:rPr>
          <w:rFonts w:ascii="Times New Roman" w:eastAsia="Times New Roman" w:hAnsi="Times New Roman" w:cs="Times New Roman"/>
          <w:color w:val="000000"/>
          <w:sz w:val="24"/>
          <w:szCs w:val="24"/>
          <w:lang/>
        </w:rPr>
        <w:t>229.1.15. На акцизних складах, на яких здійснюється виробництво біоетанолу, забороняється:</w:t>
      </w:r>
    </w:p>
    <w:p w14:paraId="564CC3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0" w:name="n5706"/>
      <w:bookmarkEnd w:id="7100"/>
      <w:r w:rsidRPr="008B264B">
        <w:rPr>
          <w:rFonts w:ascii="Times New Roman" w:eastAsia="Times New Roman" w:hAnsi="Times New Roman" w:cs="Times New Roman"/>
          <w:color w:val="000000"/>
          <w:sz w:val="24"/>
          <w:szCs w:val="24"/>
          <w:lang/>
        </w:rPr>
        <w:t>а)  виробництво та зберігання інших видів спирту етилового (крім зберігання спирту етилового-сирцю, який використовується для виробництва біоетанолу);</w:t>
      </w:r>
    </w:p>
    <w:p w14:paraId="59ECEA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1" w:name="n5707"/>
      <w:bookmarkEnd w:id="7101"/>
      <w:r w:rsidRPr="008B264B">
        <w:rPr>
          <w:rFonts w:ascii="Times New Roman" w:eastAsia="Times New Roman" w:hAnsi="Times New Roman" w:cs="Times New Roman"/>
          <w:color w:val="000000"/>
          <w:sz w:val="24"/>
          <w:szCs w:val="24"/>
          <w:lang/>
        </w:rPr>
        <w:t>б) зберігання біоетанолу без денатурації його бензином (1-10 відсотків).</w:t>
      </w:r>
    </w:p>
    <w:p w14:paraId="70E9BA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2" w:name="n10243"/>
      <w:bookmarkEnd w:id="7102"/>
      <w:r w:rsidRPr="008B264B">
        <w:rPr>
          <w:rFonts w:ascii="Times New Roman" w:eastAsia="Times New Roman" w:hAnsi="Times New Roman" w:cs="Times New Roman"/>
          <w:i/>
          <w:iCs/>
          <w:color w:val="000000"/>
          <w:sz w:val="24"/>
          <w:szCs w:val="24"/>
          <w:lang/>
        </w:rPr>
        <w:lastRenderedPageBreak/>
        <w:t>{Підпункт 229.1.15 пункту 229.1 статті 229 в редакції Законів </w:t>
      </w:r>
      <w:hyperlink r:id="rId4004" w:anchor="n11"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w:t>
      </w:r>
      <w:hyperlink r:id="rId4005" w:anchor="n33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19175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3" w:name="n5709"/>
      <w:bookmarkEnd w:id="7103"/>
      <w:r w:rsidRPr="008B264B">
        <w:rPr>
          <w:rFonts w:ascii="Times New Roman" w:eastAsia="Times New Roman" w:hAnsi="Times New Roman" w:cs="Times New Roman"/>
          <w:color w:val="000000"/>
          <w:sz w:val="24"/>
          <w:szCs w:val="24"/>
          <w:lang/>
        </w:rPr>
        <w:t>229.1.16. Податковий вексель не видається суб’єктами господарювання, які одночасно є:</w:t>
      </w:r>
    </w:p>
    <w:p w14:paraId="5455B8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4" w:name="n15574"/>
      <w:bookmarkEnd w:id="7104"/>
      <w:r w:rsidRPr="008B264B">
        <w:rPr>
          <w:rFonts w:ascii="Times New Roman" w:eastAsia="Times New Roman" w:hAnsi="Times New Roman" w:cs="Times New Roman"/>
          <w:color w:val="000000"/>
          <w:sz w:val="24"/>
          <w:szCs w:val="24"/>
          <w:lang/>
        </w:rPr>
        <w:t>а) виробниками біоетанолу та біопалива;</w:t>
      </w:r>
    </w:p>
    <w:p w14:paraId="77844F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5" w:name="n15575"/>
      <w:bookmarkEnd w:id="7105"/>
      <w:r w:rsidRPr="008B264B">
        <w:rPr>
          <w:rFonts w:ascii="Times New Roman" w:eastAsia="Times New Roman" w:hAnsi="Times New Roman" w:cs="Times New Roman"/>
          <w:color w:val="000000"/>
          <w:sz w:val="24"/>
          <w:szCs w:val="24"/>
          <w:lang/>
        </w:rPr>
        <w:t>б) виробниками спирту етилового денатурованого та продукції хімічного і технічного призначення, включеної до переліку, затвердженого Кабінетом Міністрів України;</w:t>
      </w:r>
    </w:p>
    <w:p w14:paraId="29EDB8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6" w:name="n15576"/>
      <w:bookmarkEnd w:id="7106"/>
      <w:r w:rsidRPr="008B264B">
        <w:rPr>
          <w:rFonts w:ascii="Times New Roman" w:eastAsia="Times New Roman" w:hAnsi="Times New Roman" w:cs="Times New Roman"/>
          <w:color w:val="000000"/>
          <w:sz w:val="24"/>
          <w:szCs w:val="24"/>
          <w:lang/>
        </w:rPr>
        <w:t>в) виробниками спирту етилового неденатурованого та оцту з харчової сировини;</w:t>
      </w:r>
    </w:p>
    <w:p w14:paraId="1FDD60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7" w:name="n15577"/>
      <w:bookmarkEnd w:id="7107"/>
      <w:r w:rsidRPr="008B264B">
        <w:rPr>
          <w:rFonts w:ascii="Times New Roman" w:eastAsia="Times New Roman" w:hAnsi="Times New Roman" w:cs="Times New Roman"/>
          <w:color w:val="000000"/>
          <w:sz w:val="24"/>
          <w:szCs w:val="24"/>
          <w:lang/>
        </w:rPr>
        <w:t>г) виробниками спирту етилового денатурованого та парфумерно-косметичної продукції;</w:t>
      </w:r>
    </w:p>
    <w:p w14:paraId="0ADB45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8" w:name="n15578"/>
      <w:bookmarkEnd w:id="7108"/>
      <w:r w:rsidRPr="008B264B">
        <w:rPr>
          <w:rFonts w:ascii="Times New Roman" w:eastAsia="Times New Roman" w:hAnsi="Times New Roman" w:cs="Times New Roman"/>
          <w:color w:val="000000"/>
          <w:sz w:val="24"/>
          <w:szCs w:val="24"/>
          <w:lang/>
        </w:rPr>
        <w:t>ґ) виробниками спирту етилового-сирцю та біоетанолу.</w:t>
      </w:r>
    </w:p>
    <w:p w14:paraId="19137E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09" w:name="n15579"/>
      <w:bookmarkEnd w:id="7109"/>
      <w:r w:rsidRPr="008B264B">
        <w:rPr>
          <w:rFonts w:ascii="Times New Roman" w:eastAsia="Times New Roman" w:hAnsi="Times New Roman" w:cs="Times New Roman"/>
          <w:color w:val="000000"/>
          <w:sz w:val="24"/>
          <w:szCs w:val="24"/>
          <w:lang/>
        </w:rPr>
        <w:t>Підтвердженням факту цільового використання спирту етилового для виробництва продукції, визначеної цим підпунктом, є довідка, що додається до декларації акцизного податку.</w:t>
      </w:r>
    </w:p>
    <w:p w14:paraId="1BD7D2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0" w:name="n15573"/>
      <w:bookmarkEnd w:id="7110"/>
      <w:r w:rsidRPr="008B264B">
        <w:rPr>
          <w:rFonts w:ascii="Times New Roman" w:eastAsia="Times New Roman" w:hAnsi="Times New Roman" w:cs="Times New Roman"/>
          <w:i/>
          <w:iCs/>
          <w:color w:val="000000"/>
          <w:sz w:val="24"/>
          <w:szCs w:val="24"/>
          <w:lang/>
        </w:rPr>
        <w:t>{Підпункт 229.1.16 пункту 229.1 статті 229 в редакції Закону </w:t>
      </w:r>
      <w:hyperlink r:id="rId4006" w:anchor="n33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1ACA1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1" w:name="n5710"/>
      <w:bookmarkEnd w:id="7111"/>
      <w:r w:rsidRPr="008B264B">
        <w:rPr>
          <w:rFonts w:ascii="Times New Roman" w:eastAsia="Times New Roman" w:hAnsi="Times New Roman" w:cs="Times New Roman"/>
          <w:color w:val="000000"/>
          <w:sz w:val="24"/>
          <w:szCs w:val="24"/>
          <w:lang/>
        </w:rPr>
        <w:t>229.1.17. У разі нецільового використання суб'єктами господарювання спирту етилового та біоетанолу, що отримані як сировина для виробництва продукції, зазначеної в </w:t>
      </w:r>
      <w:hyperlink r:id="rId4007" w:anchor="n5678" w:history="1">
        <w:r w:rsidRPr="008B264B">
          <w:rPr>
            <w:rFonts w:ascii="Times New Roman" w:eastAsia="Times New Roman" w:hAnsi="Times New Roman" w:cs="Times New Roman"/>
            <w:color w:val="0000FF"/>
            <w:sz w:val="24"/>
            <w:szCs w:val="24"/>
            <w:u w:val="single"/>
            <w:lang/>
          </w:rPr>
          <w:t>пункті 229.1.1</w:t>
        </w:r>
      </w:hyperlink>
      <w:r w:rsidRPr="008B264B">
        <w:rPr>
          <w:rFonts w:ascii="Times New Roman" w:eastAsia="Times New Roman" w:hAnsi="Times New Roman" w:cs="Times New Roman"/>
          <w:color w:val="000000"/>
          <w:sz w:val="24"/>
          <w:szCs w:val="24"/>
          <w:lang/>
        </w:rPr>
        <w:t> цієї статті, з таких суб'єктів справляється штраф у розмірі, який обчислюється виходячи з обсягів використаних не за призначенням спирту етилового та біоетанолу та ставки акцизного податку, передбаченої </w:t>
      </w:r>
      <w:hyperlink r:id="rId4008"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16CCF0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2" w:name="n5711"/>
      <w:bookmarkEnd w:id="7112"/>
      <w:r w:rsidRPr="008B264B">
        <w:rPr>
          <w:rFonts w:ascii="Times New Roman" w:eastAsia="Times New Roman" w:hAnsi="Times New Roman" w:cs="Times New Roman"/>
          <w:color w:val="000000"/>
          <w:sz w:val="24"/>
          <w:szCs w:val="24"/>
          <w:lang/>
        </w:rPr>
        <w:t>229.2. Особливості оподаткування нафтопродуктів, вироблених в Україні, що використовуються в якості сировини для нафтохімічної промисловості.</w:t>
      </w:r>
    </w:p>
    <w:p w14:paraId="4F4234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3" w:name="n5712"/>
      <w:bookmarkEnd w:id="7113"/>
      <w:r w:rsidRPr="008B264B">
        <w:rPr>
          <w:rFonts w:ascii="Times New Roman" w:eastAsia="Times New Roman" w:hAnsi="Times New Roman" w:cs="Times New Roman"/>
          <w:color w:val="000000"/>
          <w:sz w:val="24"/>
          <w:szCs w:val="24"/>
          <w:lang/>
        </w:rPr>
        <w:t>229.2.1. Легкі дистиляти (код 2710 12 11 10, 2710 12 11 20, 2710 12 11 90 згідно з </w:t>
      </w:r>
      <w:hyperlink r:id="rId4009" w:anchor="n684"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важкі дистиляти (код 2710 19 31 30 згідно з УКТ ЗЕД) можуть бути реалізованими у якості сировини для виробництва етилену за нульовою ставкою акцизного податку.</w:t>
      </w:r>
    </w:p>
    <w:p w14:paraId="39F6D5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4" w:name="n11423"/>
      <w:bookmarkEnd w:id="7114"/>
      <w:r w:rsidRPr="008B264B">
        <w:rPr>
          <w:rFonts w:ascii="Times New Roman" w:eastAsia="Times New Roman" w:hAnsi="Times New Roman" w:cs="Times New Roman"/>
          <w:i/>
          <w:iCs/>
          <w:color w:val="000000"/>
          <w:sz w:val="24"/>
          <w:szCs w:val="24"/>
          <w:lang/>
        </w:rPr>
        <w:t>{Підпункт 229.2.1 пункту 229.2 статті 229 із змінами, внесеними згідно із Законом </w:t>
      </w:r>
      <w:hyperlink r:id="rId4010" w:anchor="n8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D60C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5" w:name="n5713"/>
      <w:bookmarkEnd w:id="7115"/>
      <w:r w:rsidRPr="008B264B">
        <w:rPr>
          <w:rFonts w:ascii="Times New Roman" w:eastAsia="Times New Roman" w:hAnsi="Times New Roman" w:cs="Times New Roman"/>
          <w:color w:val="000000"/>
          <w:sz w:val="24"/>
          <w:szCs w:val="24"/>
          <w:lang/>
        </w:rPr>
        <w:t>229.2.2. У разі використання цих нафтопродуктів у якості сировини для виробництва етилену за нульовою ставкою акцизного податку контролюючими органами здійснюється контроль за їх цільовим використанням.</w:t>
      </w:r>
    </w:p>
    <w:p w14:paraId="15C01B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6" w:name="n5714"/>
      <w:bookmarkEnd w:id="7116"/>
      <w:r w:rsidRPr="008B264B">
        <w:rPr>
          <w:rFonts w:ascii="Times New Roman" w:eastAsia="Times New Roman" w:hAnsi="Times New Roman" w:cs="Times New Roman"/>
          <w:color w:val="000000"/>
          <w:sz w:val="24"/>
          <w:szCs w:val="24"/>
          <w:lang/>
        </w:rPr>
        <w:t>229.2.3. До отримання легких дистилятів (код 2710 12 11 10, 2710 12 11 20, 2710 12 11 90 згідно з УКТ ЗЕД) та важких дистилятів (код 2710 19 31 30 згідно з УКТ ЗЕД), які використовуються суб'єктами господарювання в якості сировини для виробництва етилену, виробниками видається податковий вексель на суму акцизного податку, нарахованого на обсяг нафтопродуктів, що отримуються виходячи із ставки, яка визначається як різниця між ставкою акцизного податку, що передбачена </w:t>
      </w:r>
      <w:hyperlink r:id="rId4011"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розділу, та ставкою 0 євро за 1000 кг.</w:t>
      </w:r>
    </w:p>
    <w:p w14:paraId="05F578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7" w:name="n11424"/>
      <w:bookmarkEnd w:id="7117"/>
      <w:r w:rsidRPr="008B264B">
        <w:rPr>
          <w:rFonts w:ascii="Times New Roman" w:eastAsia="Times New Roman" w:hAnsi="Times New Roman" w:cs="Times New Roman"/>
          <w:i/>
          <w:iCs/>
          <w:color w:val="000000"/>
          <w:sz w:val="24"/>
          <w:szCs w:val="24"/>
          <w:lang/>
        </w:rPr>
        <w:t>{Підпункт 229.2.3 пункту 229.2 статті 229 із змінами, внесеними згідно із Законом </w:t>
      </w:r>
      <w:hyperlink r:id="rId4012" w:anchor="n8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52756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8" w:name="n5715"/>
      <w:bookmarkEnd w:id="7118"/>
      <w:r w:rsidRPr="008B264B">
        <w:rPr>
          <w:rFonts w:ascii="Times New Roman" w:eastAsia="Times New Roman" w:hAnsi="Times New Roman" w:cs="Times New Roman"/>
          <w:color w:val="000000"/>
          <w:sz w:val="24"/>
          <w:szCs w:val="24"/>
          <w:lang/>
        </w:rPr>
        <w:t>229.2.4. Податковий вексель може бути виданий лише суб'єктом господарювання - виробником етилену.</w:t>
      </w:r>
    </w:p>
    <w:p w14:paraId="413F1D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19" w:name="n5716"/>
      <w:bookmarkEnd w:id="7119"/>
      <w:r w:rsidRPr="008B264B">
        <w:rPr>
          <w:rFonts w:ascii="Times New Roman" w:eastAsia="Times New Roman" w:hAnsi="Times New Roman" w:cs="Times New Roman"/>
          <w:color w:val="000000"/>
          <w:sz w:val="24"/>
          <w:szCs w:val="24"/>
          <w:lang/>
        </w:rPr>
        <w:t>229.2.5. Строк, на який видається податковий вексель, не може перевищувати 90 календарних днів.</w:t>
      </w:r>
    </w:p>
    <w:p w14:paraId="2D5DF8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0" w:name="n5717"/>
      <w:bookmarkEnd w:id="7120"/>
      <w:r w:rsidRPr="008B264B">
        <w:rPr>
          <w:rFonts w:ascii="Times New Roman" w:eastAsia="Times New Roman" w:hAnsi="Times New Roman" w:cs="Times New Roman"/>
          <w:color w:val="000000"/>
          <w:sz w:val="24"/>
          <w:szCs w:val="24"/>
          <w:lang/>
        </w:rPr>
        <w:t>229.2.6. Обов'язки з погашення податкового векселя не можуть передаватися іншим особам незалежно від їх взаємовідносин з векселедавцем.</w:t>
      </w:r>
    </w:p>
    <w:p w14:paraId="0904C3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1" w:name="n5718"/>
      <w:bookmarkEnd w:id="7121"/>
      <w:r w:rsidRPr="008B264B">
        <w:rPr>
          <w:rFonts w:ascii="Times New Roman" w:eastAsia="Times New Roman" w:hAnsi="Times New Roman" w:cs="Times New Roman"/>
          <w:color w:val="000000"/>
          <w:sz w:val="24"/>
          <w:szCs w:val="24"/>
          <w:lang/>
        </w:rPr>
        <w:t>229.2.7. За користування податковим векселем не нараховуються відсотки або інші види плати, передбачені законодавством для інших видів векселів.</w:t>
      </w:r>
    </w:p>
    <w:p w14:paraId="16BFC6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2" w:name="n5719"/>
      <w:bookmarkEnd w:id="7122"/>
      <w:r w:rsidRPr="008B264B">
        <w:rPr>
          <w:rFonts w:ascii="Times New Roman" w:eastAsia="Times New Roman" w:hAnsi="Times New Roman" w:cs="Times New Roman"/>
          <w:color w:val="000000"/>
          <w:sz w:val="24"/>
          <w:szCs w:val="24"/>
          <w:lang/>
        </w:rPr>
        <w:lastRenderedPageBreak/>
        <w:t>229.2.8. Векселедержателем є контролюючий орган за місцем реєстрації векселедавця.</w:t>
      </w:r>
    </w:p>
    <w:p w14:paraId="561E99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3" w:name="n5720"/>
      <w:bookmarkEnd w:id="7123"/>
      <w:r w:rsidRPr="008B264B">
        <w:rPr>
          <w:rFonts w:ascii="Times New Roman" w:eastAsia="Times New Roman" w:hAnsi="Times New Roman" w:cs="Times New Roman"/>
          <w:color w:val="000000"/>
          <w:sz w:val="24"/>
          <w:szCs w:val="24"/>
          <w:lang/>
        </w:rPr>
        <w:t>229.2.9. На підприємствах, що використовують легкі та важкі дистиляти в якості сировини у виробництві етилену, встановлюються податкові пости. На податковому посту представники контролюючого органу за місцем його розташування здійснюють постійний безпосередній контроль за цільовим використанням нафтопродуктів в якості сировини для виробництва етилену.</w:t>
      </w:r>
    </w:p>
    <w:p w14:paraId="6F06B6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4" w:name="n5721"/>
      <w:bookmarkEnd w:id="7124"/>
      <w:r w:rsidRPr="008B264B">
        <w:rPr>
          <w:rFonts w:ascii="Times New Roman" w:eastAsia="Times New Roman" w:hAnsi="Times New Roman" w:cs="Times New Roman"/>
          <w:color w:val="000000"/>
          <w:sz w:val="24"/>
          <w:szCs w:val="24"/>
          <w:lang/>
        </w:rPr>
        <w:t>229.2.10. Податковий вексель вважається погашеним у разі документального підтвердження факту цільового використання легких та важких дистилятів виключно як сировини у виробництві етилену.</w:t>
      </w:r>
    </w:p>
    <w:p w14:paraId="6F8DCD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5" w:name="n5722"/>
      <w:bookmarkEnd w:id="7125"/>
      <w:r w:rsidRPr="008B264B">
        <w:rPr>
          <w:rFonts w:ascii="Times New Roman" w:eastAsia="Times New Roman" w:hAnsi="Times New Roman" w:cs="Times New Roman"/>
          <w:color w:val="000000"/>
          <w:sz w:val="24"/>
          <w:szCs w:val="24"/>
          <w:lang/>
        </w:rPr>
        <w:t>229.2.11. Для погашення податкового векселя векселедержателю подається </w:t>
      </w:r>
      <w:hyperlink r:id="rId4013" w:anchor="n18" w:tgtFrame="_blank" w:history="1">
        <w:r w:rsidRPr="008B264B">
          <w:rPr>
            <w:rFonts w:ascii="Times New Roman" w:eastAsia="Times New Roman" w:hAnsi="Times New Roman" w:cs="Times New Roman"/>
            <w:color w:val="0000FF"/>
            <w:sz w:val="24"/>
            <w:szCs w:val="24"/>
            <w:u w:val="single"/>
            <w:lang/>
          </w:rPr>
          <w:t>довідка</w:t>
        </w:r>
      </w:hyperlink>
      <w:r w:rsidRPr="008B264B">
        <w:rPr>
          <w:rFonts w:ascii="Times New Roman" w:eastAsia="Times New Roman" w:hAnsi="Times New Roman" w:cs="Times New Roman"/>
          <w:color w:val="000000"/>
          <w:sz w:val="24"/>
          <w:szCs w:val="24"/>
          <w:lang/>
        </w:rPr>
        <w:t> векселедавця про цільове використання легких та важких дистилятів як сировини у виробництві етилену, погоджена представником податкового посту, встановленого на підприємстві.</w:t>
      </w:r>
    </w:p>
    <w:p w14:paraId="2E209D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6" w:name="n5723"/>
      <w:bookmarkEnd w:id="7126"/>
      <w:r w:rsidRPr="008B264B">
        <w:rPr>
          <w:rFonts w:ascii="Times New Roman" w:eastAsia="Times New Roman" w:hAnsi="Times New Roman" w:cs="Times New Roman"/>
          <w:color w:val="000000"/>
          <w:sz w:val="24"/>
          <w:szCs w:val="24"/>
          <w:lang/>
        </w:rPr>
        <w:t>229.2.12. У разі якщо передбачений цією статтею податковий вексель не погашається в установлений строк, векселедержатель здійснює протест такого податкового векселя у неплатежі згідно із законодавством та протягом одного робочого дня з дати вчинення протесту звертається до банку, який здійснив аваль цього податкового векселя, з опротестованим податковим векселем. Банк-аваліст зобов'язаний не пізніше операційного дня, наступного за днем звернення векселедержателя з опротестованим податковим векселем, переказати суму, яка зазначена у податковому векселі, векселедержателю.</w:t>
      </w:r>
    </w:p>
    <w:p w14:paraId="343924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7" w:name="n5724"/>
      <w:bookmarkEnd w:id="7127"/>
      <w:r w:rsidRPr="008B264B">
        <w:rPr>
          <w:rFonts w:ascii="Times New Roman" w:eastAsia="Times New Roman" w:hAnsi="Times New Roman" w:cs="Times New Roman"/>
          <w:color w:val="000000"/>
          <w:sz w:val="24"/>
          <w:szCs w:val="24"/>
          <w:lang/>
        </w:rPr>
        <w:t>229.2.13. </w:t>
      </w:r>
      <w:hyperlink r:id="rId4014" w:tgtFrame="_blank" w:history="1">
        <w:r w:rsidRPr="008B264B">
          <w:rPr>
            <w:rFonts w:ascii="Times New Roman" w:eastAsia="Times New Roman" w:hAnsi="Times New Roman" w:cs="Times New Roman"/>
            <w:color w:val="0000FF"/>
            <w:sz w:val="24"/>
            <w:szCs w:val="24"/>
            <w:u w:val="single"/>
            <w:lang/>
          </w:rPr>
          <w:t>Порядок випуску, обігу та погашення податкових векселів, які видаються до отримання легких та важких дистилятів для використання у якості сировини для виробництва етилену</w:t>
        </w:r>
      </w:hyperlink>
      <w:r w:rsidRPr="008B264B">
        <w:rPr>
          <w:rFonts w:ascii="Times New Roman" w:eastAsia="Times New Roman" w:hAnsi="Times New Roman" w:cs="Times New Roman"/>
          <w:color w:val="000000"/>
          <w:sz w:val="24"/>
          <w:szCs w:val="24"/>
          <w:lang/>
        </w:rPr>
        <w:t>, встановлюється Кабінетом Міністрів України.</w:t>
      </w:r>
    </w:p>
    <w:p w14:paraId="0F3C11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8" w:name="n5725"/>
      <w:bookmarkEnd w:id="7128"/>
      <w:r w:rsidRPr="008B264B">
        <w:rPr>
          <w:rFonts w:ascii="Times New Roman" w:eastAsia="Times New Roman" w:hAnsi="Times New Roman" w:cs="Times New Roman"/>
          <w:color w:val="000000"/>
          <w:sz w:val="24"/>
          <w:szCs w:val="24"/>
          <w:lang/>
        </w:rPr>
        <w:t>229.2.14. Перелік підприємств, що отримують легкі та важкі дистиляти для використання у якості сировини для виробництва етилену, затверджується Кабінетом Міністрів України.</w:t>
      </w:r>
    </w:p>
    <w:p w14:paraId="0E6846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29" w:name="n5726"/>
      <w:bookmarkEnd w:id="7129"/>
      <w:r w:rsidRPr="008B264B">
        <w:rPr>
          <w:rFonts w:ascii="Times New Roman" w:eastAsia="Times New Roman" w:hAnsi="Times New Roman" w:cs="Times New Roman"/>
          <w:color w:val="000000"/>
          <w:sz w:val="24"/>
          <w:szCs w:val="24"/>
          <w:lang/>
        </w:rPr>
        <w:t>229.2.15. Відвантаження легких та важких дистилятів, що використовуються в якості сировини для виробництва етилену, проводиться в межах квот, встановлених Кабінетом Міністрів України.</w:t>
      </w:r>
    </w:p>
    <w:p w14:paraId="51785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0" w:name="n5727"/>
      <w:bookmarkEnd w:id="7130"/>
      <w:r w:rsidRPr="008B264B">
        <w:rPr>
          <w:rFonts w:ascii="Times New Roman" w:eastAsia="Times New Roman" w:hAnsi="Times New Roman" w:cs="Times New Roman"/>
          <w:color w:val="000000"/>
          <w:sz w:val="24"/>
          <w:szCs w:val="24"/>
          <w:lang/>
        </w:rPr>
        <w:t>229.2.16. У разі нецільового використання суб'єктами господарювання легких та важких дистилятів, що отримані в якості сировини для виробництва етилену, з таких суб'єктів справляється штраф у розмірі, який обчислюється виходячи з обсягів використаних не за призначенням легких та важких дистилятів та ставки акцизного податку, передбаченої </w:t>
      </w:r>
      <w:hyperlink r:id="rId4015"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115A7C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1" w:name="n5728"/>
      <w:bookmarkEnd w:id="7131"/>
      <w:r w:rsidRPr="008B264B">
        <w:rPr>
          <w:rFonts w:ascii="Times New Roman" w:eastAsia="Times New Roman" w:hAnsi="Times New Roman" w:cs="Times New Roman"/>
          <w:color w:val="000000"/>
          <w:sz w:val="24"/>
          <w:szCs w:val="24"/>
          <w:lang/>
        </w:rPr>
        <w:t>229.3. Особливості оподаткування нафтопродуктів, ввезених в Україну, що використовуються в якості сировини для нафтохімічної промисловості</w:t>
      </w:r>
    </w:p>
    <w:p w14:paraId="5762C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2" w:name="n5729"/>
      <w:bookmarkEnd w:id="7132"/>
      <w:r w:rsidRPr="008B264B">
        <w:rPr>
          <w:rFonts w:ascii="Times New Roman" w:eastAsia="Times New Roman" w:hAnsi="Times New Roman" w:cs="Times New Roman"/>
          <w:color w:val="000000"/>
          <w:sz w:val="24"/>
          <w:szCs w:val="24"/>
          <w:lang/>
        </w:rPr>
        <w:t>229.3.1. Легкі дистиляти (код 2710 12 11 10, 2710 12 11 20, 2710 12 11 90 згідно з </w:t>
      </w:r>
      <w:hyperlink r:id="rId4016"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важкі дистиляти (коди 2710 19 31 01, 2710 19 31 10, 2710 19 31 20, 2710 19 31 30 згідно з </w:t>
      </w:r>
      <w:hyperlink r:id="rId4017"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 також скраплений газ (коди 2711 12 11 00, 2711 12 19 00, 2711 12 91 00, 2711 12 93 00, 2711 12 94 00, 2711 12 97 00, 2711 13 10 00, 2711 13 30 00, 2711 13 91 00, 2711 13 97 00, 2711 14 00 00, 2711 19 00 00 згідно з УКТ ЗЕД) та бутан, ізобутан (код 2901 10 00 10 згідно з </w:t>
      </w:r>
      <w:hyperlink r:id="rId4018" w:anchor="n7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можуть ввозитися в Україну в якості сировини для виробництва етилену без сплати акцизного податку.</w:t>
      </w:r>
    </w:p>
    <w:p w14:paraId="02AEB5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3" w:name="n11425"/>
      <w:bookmarkEnd w:id="7133"/>
      <w:r w:rsidRPr="008B264B">
        <w:rPr>
          <w:rFonts w:ascii="Times New Roman" w:eastAsia="Times New Roman" w:hAnsi="Times New Roman" w:cs="Times New Roman"/>
          <w:i/>
          <w:iCs/>
          <w:color w:val="000000"/>
          <w:sz w:val="24"/>
          <w:szCs w:val="24"/>
          <w:lang/>
        </w:rPr>
        <w:t>{Підпункт 229.3.1 пункту 229.3 статті 229 із змінами, внесеними згідно із Законами </w:t>
      </w:r>
      <w:hyperlink r:id="rId4019" w:anchor="n8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020" w:anchor="n5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36DC4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4" w:name="n5730"/>
      <w:bookmarkEnd w:id="7134"/>
      <w:r w:rsidRPr="008B264B">
        <w:rPr>
          <w:rFonts w:ascii="Times New Roman" w:eastAsia="Times New Roman" w:hAnsi="Times New Roman" w:cs="Times New Roman"/>
          <w:color w:val="000000"/>
          <w:sz w:val="24"/>
          <w:szCs w:val="24"/>
          <w:lang/>
        </w:rPr>
        <w:t>229.3.2. У разі використання цих нафтопродуктів у якості сировини для виробництва етилену без сплати акцизного податку контролюючими органами здійснюється контроль за їх цільовим використанням.</w:t>
      </w:r>
    </w:p>
    <w:p w14:paraId="252A96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5" w:name="n5731"/>
      <w:bookmarkEnd w:id="7135"/>
      <w:r w:rsidRPr="008B264B">
        <w:rPr>
          <w:rFonts w:ascii="Times New Roman" w:eastAsia="Times New Roman" w:hAnsi="Times New Roman" w:cs="Times New Roman"/>
          <w:color w:val="000000"/>
          <w:sz w:val="24"/>
          <w:szCs w:val="24"/>
          <w:lang/>
        </w:rPr>
        <w:lastRenderedPageBreak/>
        <w:t>229.3.3. Для ввезення на митну територію України легких дистилятів (код 2710 12 11 10, 2710 12 11 20, 2710 12 11 90 згідно з УКТ ЗЕД) та важких дистилятів (коди 2710 19 31 01, 2710 19 31 10, 2710 19 31 20, 2710 19 31 30 згідно з </w:t>
      </w:r>
      <w:hyperlink r:id="rId4021"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 також скрапленого газу (коди 2711 12 11 00, 2711 12 19 00, 2711 12 91 00, 2711 12 93 00, 2711 12 94 00, 2711 12 97 00, 2711 13 10 00, 2711 13 30 00, 2711 13 91 00, 2711 13 97 00, 2711 14 00 00, 2711 19 00 00 згідно з УКТ ЗЕД) та бутану, ізобутану (код 2901 10 00 10 згідно з </w:t>
      </w:r>
      <w:hyperlink r:id="rId4022" w:anchor="n7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з метою використання їх в якості сировини у виробництві етилену виробник етилену оформлює податковий вексель у трьох примірниках. Один примірник подається контролюючому органу за місцезнаходженням виробника, другий - контролюючому органу за місцем митного оформлення зазначених товарів, третій залишається платнику податку.</w:t>
      </w:r>
    </w:p>
    <w:p w14:paraId="6DE211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6" w:name="n8810"/>
      <w:bookmarkEnd w:id="7136"/>
      <w:r w:rsidRPr="008B264B">
        <w:rPr>
          <w:rFonts w:ascii="Times New Roman" w:eastAsia="Times New Roman" w:hAnsi="Times New Roman" w:cs="Times New Roman"/>
          <w:i/>
          <w:iCs/>
          <w:color w:val="000000"/>
          <w:sz w:val="24"/>
          <w:szCs w:val="24"/>
          <w:lang/>
        </w:rPr>
        <w:t>{Підпункт 229.3.3 пункту 229.3 статті 229 із змінами, внесеними згідно із Законами </w:t>
      </w:r>
      <w:hyperlink r:id="rId4023" w:anchor="n18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4024" w:anchor="n8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025" w:anchor="n5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4B3DC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7" w:name="n5732"/>
      <w:bookmarkEnd w:id="7137"/>
      <w:r w:rsidRPr="008B264B">
        <w:rPr>
          <w:rFonts w:ascii="Times New Roman" w:eastAsia="Times New Roman" w:hAnsi="Times New Roman" w:cs="Times New Roman"/>
          <w:color w:val="000000"/>
          <w:sz w:val="24"/>
          <w:szCs w:val="24"/>
          <w:lang/>
        </w:rPr>
        <w:t>229.3.4. Податковий вексель видається на суму акцизного податку, що справляється при ввезенні товарів відповідно до законодавства.</w:t>
      </w:r>
    </w:p>
    <w:p w14:paraId="532496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8" w:name="n5733"/>
      <w:bookmarkEnd w:id="7138"/>
      <w:r w:rsidRPr="008B264B">
        <w:rPr>
          <w:rFonts w:ascii="Times New Roman" w:eastAsia="Times New Roman" w:hAnsi="Times New Roman" w:cs="Times New Roman"/>
          <w:color w:val="000000"/>
          <w:sz w:val="24"/>
          <w:szCs w:val="24"/>
          <w:lang/>
        </w:rPr>
        <w:t>229.3.5. Податковий вексель може бути виданий лише суб'єктом господарювання - виробником етилену.</w:t>
      </w:r>
    </w:p>
    <w:p w14:paraId="3DBC45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39" w:name="n5734"/>
      <w:bookmarkEnd w:id="7139"/>
      <w:r w:rsidRPr="008B264B">
        <w:rPr>
          <w:rFonts w:ascii="Times New Roman" w:eastAsia="Times New Roman" w:hAnsi="Times New Roman" w:cs="Times New Roman"/>
          <w:color w:val="000000"/>
          <w:sz w:val="24"/>
          <w:szCs w:val="24"/>
          <w:lang/>
        </w:rPr>
        <w:t>229.3.6. Строк, на який видається авальований податковий вексель, не може перевищувати 90 календарних днів з дати оформлення митної декларації.</w:t>
      </w:r>
    </w:p>
    <w:p w14:paraId="7AC2EF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0" w:name="n5735"/>
      <w:bookmarkEnd w:id="7140"/>
      <w:r w:rsidRPr="008B264B">
        <w:rPr>
          <w:rFonts w:ascii="Times New Roman" w:eastAsia="Times New Roman" w:hAnsi="Times New Roman" w:cs="Times New Roman"/>
          <w:color w:val="000000"/>
          <w:sz w:val="24"/>
          <w:szCs w:val="24"/>
          <w:lang/>
        </w:rPr>
        <w:t>229.3.7. Підставою для митного оформлення легких дистилятів (код 2710 12 11 10, 2710 12 11 20, 2710 12 11 90 згідно з </w:t>
      </w:r>
      <w:hyperlink r:id="rId4026"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важких дистилятів (коди 2710 19 31 01, 2710 19 31 10, 2710 19 31 20, 2710 19 31 30 згідно з УКТ ЗЕД), а також скрапленого газу (коди 2711 12 11 00, 2711 12 19 00, 2711 12 91 00, 2711 12 93 00, 2711 12 94 00, 2711 12 97 00, 2711 13 10 00, 2711 13 30 00, 2711 13 91 00, 2711 13 97 00, 2711 14 00 00, 2711 19 00 00 згідно з УКТ ЗЕД) та бутану, ізобутану (код 2901 10 00 10 згідно з </w:t>
      </w:r>
      <w:hyperlink r:id="rId4027" w:anchor="n7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що ввозяться на митну територію України з метою використання у виробництві етилену, є подання виробником етилену контролюючому органу, який здійснює митне оформлення, в порядку, передбаченому </w:t>
      </w:r>
      <w:hyperlink r:id="rId4028"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засобами електронного зв’язку копії податкового векселя, авальованого банком та взятого на облік контролюючим органом.</w:t>
      </w:r>
    </w:p>
    <w:p w14:paraId="236078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1" w:name="n8813"/>
      <w:bookmarkEnd w:id="7141"/>
      <w:r w:rsidRPr="008B264B">
        <w:rPr>
          <w:rFonts w:ascii="Times New Roman" w:eastAsia="Times New Roman" w:hAnsi="Times New Roman" w:cs="Times New Roman"/>
          <w:i/>
          <w:iCs/>
          <w:color w:val="000000"/>
          <w:sz w:val="24"/>
          <w:szCs w:val="24"/>
          <w:lang/>
        </w:rPr>
        <w:t>{Підпункт 229.3.7 пункту 229.3 статті 229 із змінами, внесеними згідно із Законами </w:t>
      </w:r>
      <w:hyperlink r:id="rId4029" w:anchor="n18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4030" w:anchor="n8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031" w:anchor="n5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в редакції Закону </w:t>
      </w:r>
      <w:hyperlink r:id="rId4032" w:anchor="n30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70D3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2" w:name="n5736"/>
      <w:bookmarkEnd w:id="7142"/>
      <w:r w:rsidRPr="008B264B">
        <w:rPr>
          <w:rFonts w:ascii="Times New Roman" w:eastAsia="Times New Roman" w:hAnsi="Times New Roman" w:cs="Times New Roman"/>
          <w:color w:val="000000"/>
          <w:sz w:val="24"/>
          <w:szCs w:val="24"/>
          <w:lang/>
        </w:rPr>
        <w:t>229.3.8. Обов'язки з погашення податкового векселя не можуть передаватись іншим особам незалежно від їх взаємовідносин з векселедавцем.</w:t>
      </w:r>
    </w:p>
    <w:p w14:paraId="60F5A0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3" w:name="n5737"/>
      <w:bookmarkEnd w:id="7143"/>
      <w:r w:rsidRPr="008B264B">
        <w:rPr>
          <w:rFonts w:ascii="Times New Roman" w:eastAsia="Times New Roman" w:hAnsi="Times New Roman" w:cs="Times New Roman"/>
          <w:color w:val="000000"/>
          <w:sz w:val="24"/>
          <w:szCs w:val="24"/>
          <w:lang/>
        </w:rPr>
        <w:t>229.3.9. За користування податковим векселем не нараховуються відсотки або інші види плати, передбачені законодавством для інших видів векселів.</w:t>
      </w:r>
    </w:p>
    <w:p w14:paraId="4A1532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4" w:name="n5738"/>
      <w:bookmarkEnd w:id="7144"/>
      <w:r w:rsidRPr="008B264B">
        <w:rPr>
          <w:rFonts w:ascii="Times New Roman" w:eastAsia="Times New Roman" w:hAnsi="Times New Roman" w:cs="Times New Roman"/>
          <w:color w:val="000000"/>
          <w:sz w:val="24"/>
          <w:szCs w:val="24"/>
          <w:lang/>
        </w:rPr>
        <w:t>229.3.10. Векселедержателем є контролюючий орган за місцем реєстрації векселедавця.</w:t>
      </w:r>
    </w:p>
    <w:p w14:paraId="2A396D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5" w:name="n5739"/>
      <w:bookmarkEnd w:id="7145"/>
      <w:r w:rsidRPr="008B264B">
        <w:rPr>
          <w:rFonts w:ascii="Times New Roman" w:eastAsia="Times New Roman" w:hAnsi="Times New Roman" w:cs="Times New Roman"/>
          <w:color w:val="000000"/>
          <w:sz w:val="24"/>
          <w:szCs w:val="24"/>
          <w:lang/>
        </w:rPr>
        <w:t>229.3.11. На підприємствах, що використовують легкі та важкі дистиляти, а також скраплений газ та бутан, ізобутан в якості сировини у виробництві етилену, встановлюються податкові пости. На податковому посту представники контролюючого органу за місцем його розташування здійснюють постійний безпосередній контроль за цільовим використанням нафтопродуктів в якості сировини для виробництва етилену.</w:t>
      </w:r>
    </w:p>
    <w:p w14:paraId="781C5A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6" w:name="n13338"/>
      <w:bookmarkEnd w:id="7146"/>
      <w:r w:rsidRPr="008B264B">
        <w:rPr>
          <w:rFonts w:ascii="Times New Roman" w:eastAsia="Times New Roman" w:hAnsi="Times New Roman" w:cs="Times New Roman"/>
          <w:i/>
          <w:iCs/>
          <w:color w:val="000000"/>
          <w:sz w:val="24"/>
          <w:szCs w:val="24"/>
          <w:lang/>
        </w:rPr>
        <w:t>{Підпункт 229.3.11 пункту 229.3 статті 229 із змінами, внесеними згідно із Законом </w:t>
      </w:r>
      <w:hyperlink r:id="rId4033"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72D97B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7" w:name="n5740"/>
      <w:bookmarkEnd w:id="7147"/>
      <w:r w:rsidRPr="008B264B">
        <w:rPr>
          <w:rFonts w:ascii="Times New Roman" w:eastAsia="Times New Roman" w:hAnsi="Times New Roman" w:cs="Times New Roman"/>
          <w:color w:val="000000"/>
          <w:sz w:val="24"/>
          <w:szCs w:val="24"/>
          <w:lang/>
        </w:rPr>
        <w:t>229.3.12. Податковий вексель без сплати суми акцизного податку коштами вважається погашеним у разі документального підтвердження факту цільового використання легких та важких дистилятів, а також скрапленого газу та бутану, ізобутану виключно як сировини у виробництві етилену.</w:t>
      </w:r>
    </w:p>
    <w:p w14:paraId="1C6DA1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8" w:name="n13339"/>
      <w:bookmarkEnd w:id="7148"/>
      <w:r w:rsidRPr="008B264B">
        <w:rPr>
          <w:rFonts w:ascii="Times New Roman" w:eastAsia="Times New Roman" w:hAnsi="Times New Roman" w:cs="Times New Roman"/>
          <w:i/>
          <w:iCs/>
          <w:color w:val="000000"/>
          <w:sz w:val="24"/>
          <w:szCs w:val="24"/>
          <w:lang/>
        </w:rPr>
        <w:lastRenderedPageBreak/>
        <w:t>{Підпункт 229.3.12 пункту 229.3 статті 229 із змінами, внесеними згідно із Законом </w:t>
      </w:r>
      <w:hyperlink r:id="rId4034"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4E938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49" w:name="n5741"/>
      <w:bookmarkEnd w:id="7149"/>
      <w:r w:rsidRPr="008B264B">
        <w:rPr>
          <w:rFonts w:ascii="Times New Roman" w:eastAsia="Times New Roman" w:hAnsi="Times New Roman" w:cs="Times New Roman"/>
          <w:color w:val="000000"/>
          <w:sz w:val="24"/>
          <w:szCs w:val="24"/>
          <w:lang/>
        </w:rPr>
        <w:t>229.3.13. Для погашення податкового векселя векселедержателю подається </w:t>
      </w:r>
      <w:hyperlink r:id="rId4035" w:anchor="n18" w:tgtFrame="_blank" w:history="1">
        <w:r w:rsidRPr="008B264B">
          <w:rPr>
            <w:rFonts w:ascii="Times New Roman" w:eastAsia="Times New Roman" w:hAnsi="Times New Roman" w:cs="Times New Roman"/>
            <w:color w:val="0000FF"/>
            <w:sz w:val="24"/>
            <w:szCs w:val="24"/>
            <w:u w:val="single"/>
            <w:lang/>
          </w:rPr>
          <w:t>довідка</w:t>
        </w:r>
      </w:hyperlink>
      <w:r w:rsidRPr="008B264B">
        <w:rPr>
          <w:rFonts w:ascii="Times New Roman" w:eastAsia="Times New Roman" w:hAnsi="Times New Roman" w:cs="Times New Roman"/>
          <w:color w:val="000000"/>
          <w:sz w:val="24"/>
          <w:szCs w:val="24"/>
          <w:lang/>
        </w:rPr>
        <w:t> векселедавця про цільове використання легких та важких дистилятів, а також скрапленого газу та бутану, ізобутану як сировини у виробництві етилену, погоджена представником податкового посту, встановленого на підприємстві. Копія довідки про цільове використання подається контролюючому органу.</w:t>
      </w:r>
    </w:p>
    <w:p w14:paraId="723492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0" w:name="n13340"/>
      <w:bookmarkEnd w:id="7150"/>
      <w:r w:rsidRPr="008B264B">
        <w:rPr>
          <w:rFonts w:ascii="Times New Roman" w:eastAsia="Times New Roman" w:hAnsi="Times New Roman" w:cs="Times New Roman"/>
          <w:i/>
          <w:iCs/>
          <w:color w:val="000000"/>
          <w:sz w:val="24"/>
          <w:szCs w:val="24"/>
          <w:lang/>
        </w:rPr>
        <w:t>{Підпункт 229.3.13 пункту 229.3 статті 229 із змінами, внесеними згідно із Законом </w:t>
      </w:r>
      <w:hyperlink r:id="rId4036"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65ED87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1" w:name="n5742"/>
      <w:bookmarkEnd w:id="7151"/>
      <w:r w:rsidRPr="008B264B">
        <w:rPr>
          <w:rFonts w:ascii="Times New Roman" w:eastAsia="Times New Roman" w:hAnsi="Times New Roman" w:cs="Times New Roman"/>
          <w:color w:val="000000"/>
          <w:sz w:val="24"/>
          <w:szCs w:val="24"/>
          <w:lang/>
        </w:rPr>
        <w:t>229.3.14. У разі якщо передбачений цією статтею податковий вексель не погашається в установлений строк, векселедержатель здійснює протест такого податкового векселя у неплатежі згідно із законодавством та протягом одного робочого дня з дати вчинення протесту звертається до банку, який здійснив аваль цього податкового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зазначену у податковому векселі, векселедержателю.</w:t>
      </w:r>
    </w:p>
    <w:p w14:paraId="64840B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2" w:name="n5743"/>
      <w:bookmarkEnd w:id="7152"/>
      <w:r w:rsidRPr="008B264B">
        <w:rPr>
          <w:rFonts w:ascii="Times New Roman" w:eastAsia="Times New Roman" w:hAnsi="Times New Roman" w:cs="Times New Roman"/>
          <w:color w:val="000000"/>
          <w:sz w:val="24"/>
          <w:szCs w:val="24"/>
          <w:lang/>
        </w:rPr>
        <w:t>229.3.15. Порядок випуску, обігу та погашення податкових векселів, які видаються до ввезення легких та важких дистилятів, а також скрапленого газу та бутану, ізобутану для використання у якості сировини для виробництва етилену, встановлюється Кабінетом Міністрів України.</w:t>
      </w:r>
    </w:p>
    <w:p w14:paraId="38BCF2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3" w:name="n13341"/>
      <w:bookmarkEnd w:id="7153"/>
      <w:r w:rsidRPr="008B264B">
        <w:rPr>
          <w:rFonts w:ascii="Times New Roman" w:eastAsia="Times New Roman" w:hAnsi="Times New Roman" w:cs="Times New Roman"/>
          <w:i/>
          <w:iCs/>
          <w:color w:val="000000"/>
          <w:sz w:val="24"/>
          <w:szCs w:val="24"/>
          <w:lang/>
        </w:rPr>
        <w:t>{Підпункт 229.3.15 пункту 229.3 статті 229 із змінами, внесеними згідно із Законом </w:t>
      </w:r>
      <w:hyperlink r:id="rId4037"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39CBD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4" w:name="n5744"/>
      <w:bookmarkEnd w:id="7154"/>
      <w:r w:rsidRPr="008B264B">
        <w:rPr>
          <w:rFonts w:ascii="Times New Roman" w:eastAsia="Times New Roman" w:hAnsi="Times New Roman" w:cs="Times New Roman"/>
          <w:color w:val="000000"/>
          <w:sz w:val="24"/>
          <w:szCs w:val="24"/>
          <w:lang/>
        </w:rPr>
        <w:t>229.3.16. Перелік підприємств, що здійснюють ввезення легких та важких дистилятів, а також скрапленого газу та бутану, ізобутану для використання у якості сировини для виробництва етилену, затверджується Кабінетом Міністрів України.</w:t>
      </w:r>
    </w:p>
    <w:p w14:paraId="6F206B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5" w:name="n13342"/>
      <w:bookmarkEnd w:id="7155"/>
      <w:r w:rsidRPr="008B264B">
        <w:rPr>
          <w:rFonts w:ascii="Times New Roman" w:eastAsia="Times New Roman" w:hAnsi="Times New Roman" w:cs="Times New Roman"/>
          <w:i/>
          <w:iCs/>
          <w:color w:val="000000"/>
          <w:sz w:val="24"/>
          <w:szCs w:val="24"/>
          <w:lang/>
        </w:rPr>
        <w:t>{Підпункт 229.3.16 пункту 229.3 статті 229 із змінами, внесеними згідно із Законом </w:t>
      </w:r>
      <w:hyperlink r:id="rId4038"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9CE4C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6" w:name="n5745"/>
      <w:bookmarkEnd w:id="7156"/>
      <w:r w:rsidRPr="008B264B">
        <w:rPr>
          <w:rFonts w:ascii="Times New Roman" w:eastAsia="Times New Roman" w:hAnsi="Times New Roman" w:cs="Times New Roman"/>
          <w:color w:val="000000"/>
          <w:sz w:val="24"/>
          <w:szCs w:val="24"/>
          <w:lang/>
        </w:rPr>
        <w:t>229.3.17. Ввезення легких та важких дистилятів, а також скрапленого газу та бутану, ізобутану, що використовуються в якості сировини для виробництва етилену, здійснюється в межах квот, встановлених Кабінетом Міністрів України.</w:t>
      </w:r>
    </w:p>
    <w:p w14:paraId="0A67B5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7" w:name="n13343"/>
      <w:bookmarkEnd w:id="7157"/>
      <w:r w:rsidRPr="008B264B">
        <w:rPr>
          <w:rFonts w:ascii="Times New Roman" w:eastAsia="Times New Roman" w:hAnsi="Times New Roman" w:cs="Times New Roman"/>
          <w:i/>
          <w:iCs/>
          <w:color w:val="000000"/>
          <w:sz w:val="24"/>
          <w:szCs w:val="24"/>
          <w:lang/>
        </w:rPr>
        <w:t>{Підпункт 229.3.18 пункту 229.3 статті 229 із змінами, внесеними згідно із Законом </w:t>
      </w:r>
      <w:hyperlink r:id="rId4039"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7B7E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58" w:name="n5746"/>
      <w:bookmarkEnd w:id="7158"/>
      <w:r w:rsidRPr="008B264B">
        <w:rPr>
          <w:rFonts w:ascii="Times New Roman" w:eastAsia="Times New Roman" w:hAnsi="Times New Roman" w:cs="Times New Roman"/>
          <w:color w:val="000000"/>
          <w:sz w:val="24"/>
          <w:szCs w:val="24"/>
          <w:lang/>
        </w:rPr>
        <w:t>229.3.18. У разі нецільового використання суб'єктами господарювання легких та важких дистилятів, а також скрапленого газу та бутану, ізобутану, що ввезені в якості сировини для виробництва етилену, з таких суб'єктів справляється штраф у розмірі, який обчислюється виходячи з обсягів використаних не за призначенням легких та важких дистилятів та ставки акцизного податку, передбаченої </w:t>
      </w:r>
      <w:hyperlink r:id="rId4040"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75299CCB"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7159" w:name="n14313"/>
      <w:bookmarkEnd w:id="7159"/>
      <w:r w:rsidRPr="008B264B">
        <w:rPr>
          <w:rFonts w:ascii="Times New Roman" w:eastAsia="Times New Roman" w:hAnsi="Times New Roman" w:cs="Times New Roman"/>
          <w:color w:val="000000"/>
          <w:sz w:val="24"/>
          <w:szCs w:val="24"/>
          <w:lang/>
        </w:rPr>
        <w:t>а також скраплений газ та бутан, ізобутан</w:t>
      </w:r>
    </w:p>
    <w:p w14:paraId="58711B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0" w:name="n13344"/>
      <w:bookmarkEnd w:id="7160"/>
      <w:r w:rsidRPr="008B264B">
        <w:rPr>
          <w:rFonts w:ascii="Times New Roman" w:eastAsia="Times New Roman" w:hAnsi="Times New Roman" w:cs="Times New Roman"/>
          <w:i/>
          <w:iCs/>
          <w:color w:val="000000"/>
          <w:sz w:val="24"/>
          <w:szCs w:val="24"/>
          <w:lang/>
        </w:rPr>
        <w:t>{Підпункт 229.3.17 пункту 229.3 статті 229 із змінами, внесеними згідно із Законом </w:t>
      </w:r>
      <w:hyperlink r:id="rId4041" w:anchor="n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637B1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1" w:name="n5747"/>
      <w:bookmarkEnd w:id="7161"/>
      <w:r w:rsidRPr="008B264B">
        <w:rPr>
          <w:rFonts w:ascii="Times New Roman" w:eastAsia="Times New Roman" w:hAnsi="Times New Roman" w:cs="Times New Roman"/>
          <w:color w:val="000000"/>
          <w:sz w:val="24"/>
          <w:szCs w:val="24"/>
          <w:lang/>
        </w:rPr>
        <w:t>229.4. Особливості оподаткування нафтопродуктів, вироблених в Україні, що використовуються в якості сировини для хімічної промисловості</w:t>
      </w:r>
    </w:p>
    <w:p w14:paraId="218EF2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2" w:name="n5748"/>
      <w:bookmarkEnd w:id="7162"/>
      <w:r w:rsidRPr="008B264B">
        <w:rPr>
          <w:rFonts w:ascii="Times New Roman" w:eastAsia="Times New Roman" w:hAnsi="Times New Roman" w:cs="Times New Roman"/>
          <w:color w:val="000000"/>
          <w:sz w:val="24"/>
          <w:szCs w:val="24"/>
          <w:lang/>
        </w:rPr>
        <w:t>229.4.1. Нафтопродукти (коди 2710 12 11 10, 2710 12 11 20, 2710 12 11 90; 2710 12 15 10, 2710 12 15 20, 2710 12 15 90; 2710 12 21 00; 2710 19 11 10, 2710 19 11 20, 2710 19 11 90; 2710 19 15 10, 2710 19 15 20, 2710 19 15 90, 2710 19 25 00, 2710 19 29 00 згідно з </w:t>
      </w:r>
      <w:hyperlink r:id="rId4042" w:anchor="n684"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xml:space="preserve">) можуть бути </w:t>
      </w:r>
      <w:r w:rsidRPr="008B264B">
        <w:rPr>
          <w:rFonts w:ascii="Times New Roman" w:eastAsia="Times New Roman" w:hAnsi="Times New Roman" w:cs="Times New Roman"/>
          <w:color w:val="000000"/>
          <w:sz w:val="24"/>
          <w:szCs w:val="24"/>
          <w:lang/>
        </w:rPr>
        <w:lastRenderedPageBreak/>
        <w:t>реалізованими у якості сировини для виробництва у хімічній промисловості за нульовою ставкою акцизного податку.</w:t>
      </w:r>
    </w:p>
    <w:p w14:paraId="03F118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3" w:name="n11426"/>
      <w:bookmarkEnd w:id="7163"/>
      <w:r w:rsidRPr="008B264B">
        <w:rPr>
          <w:rFonts w:ascii="Times New Roman" w:eastAsia="Times New Roman" w:hAnsi="Times New Roman" w:cs="Times New Roman"/>
          <w:i/>
          <w:iCs/>
          <w:color w:val="000000"/>
          <w:sz w:val="24"/>
          <w:szCs w:val="24"/>
          <w:lang/>
        </w:rPr>
        <w:t>{Підпункт 229.4.1 пункту 229.4 статті 229 із змінами, внесеними згідно із Законом </w:t>
      </w:r>
      <w:hyperlink r:id="rId4043" w:anchor="n8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34BCB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4" w:name="n5749"/>
      <w:bookmarkEnd w:id="7164"/>
      <w:r w:rsidRPr="008B264B">
        <w:rPr>
          <w:rFonts w:ascii="Times New Roman" w:eastAsia="Times New Roman" w:hAnsi="Times New Roman" w:cs="Times New Roman"/>
          <w:color w:val="000000"/>
          <w:sz w:val="24"/>
          <w:szCs w:val="24"/>
          <w:lang/>
        </w:rPr>
        <w:t>229.4.2. У разі використання цих нафтопродуктів у якості сировини для виробництва у хімічній промисловості за нульовою ставкою акцизного податку контролюючими органами здійснюється контроль за їх цільовим використанням.</w:t>
      </w:r>
    </w:p>
    <w:p w14:paraId="1DD78C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5" w:name="n5750"/>
      <w:bookmarkEnd w:id="7165"/>
      <w:r w:rsidRPr="008B264B">
        <w:rPr>
          <w:rFonts w:ascii="Times New Roman" w:eastAsia="Times New Roman" w:hAnsi="Times New Roman" w:cs="Times New Roman"/>
          <w:color w:val="000000"/>
          <w:sz w:val="24"/>
          <w:szCs w:val="24"/>
          <w:lang/>
        </w:rPr>
        <w:t>229.4.3. До отримання нафтопродуктів, які використовуються суб'єктами господарювання в якості сировини для виробництва у хімічній промисловості, виробниками видається податковий вексель на суму акцизного податку, нарахованого на обсяг нафтопродуктів, що отримуються виходячи із ставки, яка визначається як різниця між ставкою акцизного податку, що передбачена </w:t>
      </w:r>
      <w:hyperlink r:id="rId4044"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розділу, та ставкою 0 євро за 1000 кг.</w:t>
      </w:r>
    </w:p>
    <w:p w14:paraId="712E9C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6" w:name="n5751"/>
      <w:bookmarkEnd w:id="7166"/>
      <w:r w:rsidRPr="008B264B">
        <w:rPr>
          <w:rFonts w:ascii="Times New Roman" w:eastAsia="Times New Roman" w:hAnsi="Times New Roman" w:cs="Times New Roman"/>
          <w:color w:val="000000"/>
          <w:sz w:val="24"/>
          <w:szCs w:val="24"/>
          <w:lang/>
        </w:rPr>
        <w:t>229.4.4. Податковий вексель може бути виданий лише суб'єктом господарювання - виробником, що використовує ці нафтопродукти у якості сировини у хімічній промисловості.</w:t>
      </w:r>
    </w:p>
    <w:p w14:paraId="242561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7" w:name="n5752"/>
      <w:bookmarkEnd w:id="7167"/>
      <w:r w:rsidRPr="008B264B">
        <w:rPr>
          <w:rFonts w:ascii="Times New Roman" w:eastAsia="Times New Roman" w:hAnsi="Times New Roman" w:cs="Times New Roman"/>
          <w:color w:val="000000"/>
          <w:sz w:val="24"/>
          <w:szCs w:val="24"/>
          <w:lang/>
        </w:rPr>
        <w:t>229.4.5. Строк, на який видається податковий вексель, не може перевищувати 90 календарних днів.</w:t>
      </w:r>
    </w:p>
    <w:p w14:paraId="490866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8" w:name="n5753"/>
      <w:bookmarkEnd w:id="7168"/>
      <w:r w:rsidRPr="008B264B">
        <w:rPr>
          <w:rFonts w:ascii="Times New Roman" w:eastAsia="Times New Roman" w:hAnsi="Times New Roman" w:cs="Times New Roman"/>
          <w:color w:val="000000"/>
          <w:sz w:val="24"/>
          <w:szCs w:val="24"/>
          <w:lang/>
        </w:rPr>
        <w:t>229.4.6. Обов'язки з погашення податкового векселя не можуть передаватися іншим особам незалежно від їх взаємовідносин з векселедавцем.</w:t>
      </w:r>
    </w:p>
    <w:p w14:paraId="62578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69" w:name="n5754"/>
      <w:bookmarkEnd w:id="7169"/>
      <w:r w:rsidRPr="008B264B">
        <w:rPr>
          <w:rFonts w:ascii="Times New Roman" w:eastAsia="Times New Roman" w:hAnsi="Times New Roman" w:cs="Times New Roman"/>
          <w:color w:val="000000"/>
          <w:sz w:val="24"/>
          <w:szCs w:val="24"/>
          <w:lang/>
        </w:rPr>
        <w:t>229.4.7. За користування податковим векселем не нараховуються відсотки або інші види плати, передбачені законодавством для інших видів векселів.</w:t>
      </w:r>
    </w:p>
    <w:p w14:paraId="527520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0" w:name="n5755"/>
      <w:bookmarkEnd w:id="7170"/>
      <w:r w:rsidRPr="008B264B">
        <w:rPr>
          <w:rFonts w:ascii="Times New Roman" w:eastAsia="Times New Roman" w:hAnsi="Times New Roman" w:cs="Times New Roman"/>
          <w:color w:val="000000"/>
          <w:sz w:val="24"/>
          <w:szCs w:val="24"/>
          <w:lang/>
        </w:rPr>
        <w:t>229.4.8. Векселедержателем є контролюючий орган за місцем реєстрації векселедавця.</w:t>
      </w:r>
    </w:p>
    <w:p w14:paraId="7271D2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1" w:name="n5756"/>
      <w:bookmarkEnd w:id="7171"/>
      <w:r w:rsidRPr="008B264B">
        <w:rPr>
          <w:rFonts w:ascii="Times New Roman" w:eastAsia="Times New Roman" w:hAnsi="Times New Roman" w:cs="Times New Roman"/>
          <w:color w:val="000000"/>
          <w:sz w:val="24"/>
          <w:szCs w:val="24"/>
          <w:lang/>
        </w:rPr>
        <w:t>229.4.9. На підприємствах, що використовують нафтопродукти в якості сировини для виробництва у хімічній промисловості, встановлюються податкові пости. На податковому посту представники контролюючого органу за місцем його розташування здійснюють постійний безпосередній контроль за цільовим використанням нафтопродуктів в якості сировини для хімічної промисловості.</w:t>
      </w:r>
    </w:p>
    <w:p w14:paraId="13A919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2" w:name="n5757"/>
      <w:bookmarkEnd w:id="7172"/>
      <w:r w:rsidRPr="008B264B">
        <w:rPr>
          <w:rFonts w:ascii="Times New Roman" w:eastAsia="Times New Roman" w:hAnsi="Times New Roman" w:cs="Times New Roman"/>
          <w:color w:val="000000"/>
          <w:sz w:val="24"/>
          <w:szCs w:val="24"/>
          <w:lang/>
        </w:rPr>
        <w:t>229.4.10. Податковий вексель вважається погашеним у разі документального підтвердження факту цільового використання нафтопродуктів виключно як сировини для виробництва у хімічній промисловості.</w:t>
      </w:r>
    </w:p>
    <w:p w14:paraId="593360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3" w:name="n5758"/>
      <w:bookmarkEnd w:id="7173"/>
      <w:r w:rsidRPr="008B264B">
        <w:rPr>
          <w:rFonts w:ascii="Times New Roman" w:eastAsia="Times New Roman" w:hAnsi="Times New Roman" w:cs="Times New Roman"/>
          <w:color w:val="000000"/>
          <w:sz w:val="24"/>
          <w:szCs w:val="24"/>
          <w:lang/>
        </w:rPr>
        <w:t>229.4.11. Для погашення податкового векселя векселедержателю подається довідка векселедавця про цільове використання нафтопродуктів як сировини для виробництва у хімічній промисловості, погоджена представником податкового поста, встановленого на підприємстві.</w:t>
      </w:r>
    </w:p>
    <w:p w14:paraId="231507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4" w:name="n5759"/>
      <w:bookmarkEnd w:id="7174"/>
      <w:r w:rsidRPr="008B264B">
        <w:rPr>
          <w:rFonts w:ascii="Times New Roman" w:eastAsia="Times New Roman" w:hAnsi="Times New Roman" w:cs="Times New Roman"/>
          <w:color w:val="000000"/>
          <w:sz w:val="24"/>
          <w:szCs w:val="24"/>
          <w:lang/>
        </w:rPr>
        <w:t>229.4.12. У разі якщо передбачений цією статтею податковий вексель не погашається в установлений строк, векселедержатель здійснює протест такого податкового векселя у неплатежі згідно із законодавством та протягом одного робочого дня з дати вчинення протесту звертається до банку, який здійснив аваль цього податкового векселя, з опротестованим податковим векселем. Банк-аваліст зобов'язаний не пізніше операційного дня, наступного за днем звернення векселедержателя з опротестованим податковим векселем, переказати суму, яка зазначена у податковому векселі, векселедержателю.</w:t>
      </w:r>
    </w:p>
    <w:p w14:paraId="78C951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5" w:name="n5760"/>
      <w:bookmarkEnd w:id="7175"/>
      <w:r w:rsidRPr="008B264B">
        <w:rPr>
          <w:rFonts w:ascii="Times New Roman" w:eastAsia="Times New Roman" w:hAnsi="Times New Roman" w:cs="Times New Roman"/>
          <w:color w:val="000000"/>
          <w:sz w:val="24"/>
          <w:szCs w:val="24"/>
          <w:lang/>
        </w:rPr>
        <w:t>229.4.13. </w:t>
      </w:r>
      <w:hyperlink r:id="rId4045" w:anchor="n10" w:tgtFrame="_blank" w:history="1">
        <w:r w:rsidRPr="008B264B">
          <w:rPr>
            <w:rFonts w:ascii="Times New Roman" w:eastAsia="Times New Roman" w:hAnsi="Times New Roman" w:cs="Times New Roman"/>
            <w:color w:val="0000FF"/>
            <w:sz w:val="24"/>
            <w:szCs w:val="24"/>
            <w:u w:val="single"/>
            <w:lang/>
          </w:rPr>
          <w:t>Порядок</w:t>
        </w:r>
      </w:hyperlink>
      <w:hyperlink r:id="rId4046" w:anchor="n10" w:tgtFrame="_blank" w:history="1">
        <w:r w:rsidRPr="008B264B">
          <w:rPr>
            <w:rFonts w:ascii="Times New Roman" w:eastAsia="Times New Roman" w:hAnsi="Times New Roman" w:cs="Times New Roman"/>
            <w:color w:val="0000FF"/>
            <w:sz w:val="24"/>
            <w:szCs w:val="24"/>
            <w:u w:val="single"/>
            <w:lang/>
          </w:rPr>
          <w:t> випуску, обігу та погашення податкових векселів</w:t>
        </w:r>
      </w:hyperlink>
      <w:r w:rsidRPr="008B264B">
        <w:rPr>
          <w:rFonts w:ascii="Times New Roman" w:eastAsia="Times New Roman" w:hAnsi="Times New Roman" w:cs="Times New Roman"/>
          <w:color w:val="000000"/>
          <w:sz w:val="24"/>
          <w:szCs w:val="24"/>
          <w:lang/>
        </w:rPr>
        <w:t>, які видаються до отримання нафтопродуктів для використання у якості сировини для виробництва у хімічній промисловості, встановлюється Кабінетом Міністрів України.</w:t>
      </w:r>
    </w:p>
    <w:p w14:paraId="5E401B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6" w:name="n5761"/>
      <w:bookmarkEnd w:id="7176"/>
      <w:r w:rsidRPr="008B264B">
        <w:rPr>
          <w:rFonts w:ascii="Times New Roman" w:eastAsia="Times New Roman" w:hAnsi="Times New Roman" w:cs="Times New Roman"/>
          <w:color w:val="000000"/>
          <w:sz w:val="24"/>
          <w:szCs w:val="24"/>
          <w:lang/>
        </w:rPr>
        <w:t>229.4.14. Перелік підприємств, що отримують нафтопродукти для використання у якості сировини для виробництва у хімічній промисловості, затверджується Кабінетом Міністрів України.</w:t>
      </w:r>
    </w:p>
    <w:p w14:paraId="5C73E5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7" w:name="n5762"/>
      <w:bookmarkEnd w:id="7177"/>
      <w:r w:rsidRPr="008B264B">
        <w:rPr>
          <w:rFonts w:ascii="Times New Roman" w:eastAsia="Times New Roman" w:hAnsi="Times New Roman" w:cs="Times New Roman"/>
          <w:color w:val="000000"/>
          <w:sz w:val="24"/>
          <w:szCs w:val="24"/>
          <w:lang/>
        </w:rPr>
        <w:lastRenderedPageBreak/>
        <w:t>229.4.15. Відвантаження нафтопродуктів, що використовуються в якості сировини для виробництва у хімічній промисловості, проводиться в межах квот, встановлених Кабінетом Міністрів України.</w:t>
      </w:r>
    </w:p>
    <w:p w14:paraId="654A0E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8" w:name="n5763"/>
      <w:bookmarkEnd w:id="7178"/>
      <w:r w:rsidRPr="008B264B">
        <w:rPr>
          <w:rFonts w:ascii="Times New Roman" w:eastAsia="Times New Roman" w:hAnsi="Times New Roman" w:cs="Times New Roman"/>
          <w:color w:val="000000"/>
          <w:sz w:val="24"/>
          <w:szCs w:val="24"/>
          <w:lang/>
        </w:rPr>
        <w:t>229.4.16. У разі нецільового використання суб'єктами господарювання нафтопродуктів, що отримані в якості сировини для виробництва у хімічній промисловості, з таких суб'єктів справляється штраф у розмірі, який обчислюється виходячи з обсягів використаних не за призначенням нафтопродуктів та ставки акцизного податку, передбаченої </w:t>
      </w:r>
      <w:hyperlink r:id="rId4047"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650F69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79" w:name="n5764"/>
      <w:bookmarkEnd w:id="7179"/>
      <w:r w:rsidRPr="008B264B">
        <w:rPr>
          <w:rFonts w:ascii="Times New Roman" w:eastAsia="Times New Roman" w:hAnsi="Times New Roman" w:cs="Times New Roman"/>
          <w:i/>
          <w:iCs/>
          <w:color w:val="000000"/>
          <w:sz w:val="24"/>
          <w:szCs w:val="24"/>
          <w:lang/>
        </w:rPr>
        <w:t>{Статтю 229 доповнено пунктом 229.4 згідно із Законом </w:t>
      </w:r>
      <w:hyperlink r:id="rId40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B49B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0" w:name="n5765"/>
      <w:bookmarkEnd w:id="7180"/>
      <w:r w:rsidRPr="008B264B">
        <w:rPr>
          <w:rFonts w:ascii="Times New Roman" w:eastAsia="Times New Roman" w:hAnsi="Times New Roman" w:cs="Times New Roman"/>
          <w:color w:val="000000"/>
          <w:sz w:val="24"/>
          <w:szCs w:val="24"/>
          <w:lang/>
        </w:rPr>
        <w:t>229.5. Особливості оподаткування нафтопродуктів, ввезених в Україну, що використовуються в якості сировини для хімічної промисловості</w:t>
      </w:r>
    </w:p>
    <w:p w14:paraId="75DA03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1" w:name="n5766"/>
      <w:bookmarkEnd w:id="7181"/>
      <w:r w:rsidRPr="008B264B">
        <w:rPr>
          <w:rFonts w:ascii="Times New Roman" w:eastAsia="Times New Roman" w:hAnsi="Times New Roman" w:cs="Times New Roman"/>
          <w:color w:val="000000"/>
          <w:sz w:val="24"/>
          <w:szCs w:val="24"/>
          <w:lang/>
        </w:rPr>
        <w:t>229.5.1. Нафтопродукти (коди 2710 12 11 10, 2710 12 11 20, 2710 12 11 90; 2710 12 15 10, 2710 12 15 20, 2710 12 15 90; 2710 12 21 00; 2710 19 11 10, 2710 19 11 20, 2710 19 11 90; 2710 19 15 10, 2710 19 15 20, 2710 19 15 90, 2710 19 25 00, 2710 19 29 00 згідно з </w:t>
      </w:r>
      <w:hyperlink r:id="rId40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можуть ввозитися в Україну в якості сировини для виробництва у хімічній промисловості без сплати акцизного податку.</w:t>
      </w:r>
    </w:p>
    <w:p w14:paraId="47C2BD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2" w:name="n11427"/>
      <w:bookmarkEnd w:id="7182"/>
      <w:r w:rsidRPr="008B264B">
        <w:rPr>
          <w:rFonts w:ascii="Times New Roman" w:eastAsia="Times New Roman" w:hAnsi="Times New Roman" w:cs="Times New Roman"/>
          <w:i/>
          <w:iCs/>
          <w:color w:val="000000"/>
          <w:sz w:val="24"/>
          <w:szCs w:val="24"/>
          <w:lang/>
        </w:rPr>
        <w:t>{Підпункт 229.5.1 пункту 229.5 статті 229 із змінами, внесеними згідно із Законом </w:t>
      </w:r>
      <w:hyperlink r:id="rId4050" w:anchor="n8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4DB5B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3" w:name="n5767"/>
      <w:bookmarkEnd w:id="7183"/>
      <w:r w:rsidRPr="008B264B">
        <w:rPr>
          <w:rFonts w:ascii="Times New Roman" w:eastAsia="Times New Roman" w:hAnsi="Times New Roman" w:cs="Times New Roman"/>
          <w:color w:val="000000"/>
          <w:sz w:val="24"/>
          <w:szCs w:val="24"/>
          <w:lang/>
        </w:rPr>
        <w:t>229.5.2. У разі використання цих нафтопродуктів у якості сировини для виробництва у хімічній промисловості без сплати акцизного податку контролюючими органами здійснюється контроль за їх цільовим використанням.</w:t>
      </w:r>
    </w:p>
    <w:p w14:paraId="3E5D13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4" w:name="n5768"/>
      <w:bookmarkEnd w:id="7184"/>
      <w:r w:rsidRPr="008B264B">
        <w:rPr>
          <w:rFonts w:ascii="Times New Roman" w:eastAsia="Times New Roman" w:hAnsi="Times New Roman" w:cs="Times New Roman"/>
          <w:color w:val="000000"/>
          <w:sz w:val="24"/>
          <w:szCs w:val="24"/>
          <w:lang/>
        </w:rPr>
        <w:t>229.5.3. Для ввезення на митну територію України нафтопродуктів (коди 2710 12 11 10, 2710 12 11 20, 2710 12 11 90; 2710 12 15 10, 2710 12 15 20, 2710 12 15 90; 2710 12 21 00; 2710 19 11 10, 2710 19 11 20, 2710 19 11 90; 2710 19 15 10, 2710 19 15 20, 2710 19 15 90, 2710 19 25 00, 2710 19 29 00 згідно з УКТ ЗЕД) з метою використання їх в якості сировини у хімічній промисловості виробник оформлює податковий вексель у трьох примірниках. Один примірник подається контролюючому органу за місцезнаходженням виробника, другий - контролюючому органу за місцем митного оформлення зазначених товарів, третій залишається платнику податку.</w:t>
      </w:r>
    </w:p>
    <w:p w14:paraId="13C0E0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5" w:name="n8811"/>
      <w:bookmarkEnd w:id="7185"/>
      <w:r w:rsidRPr="008B264B">
        <w:rPr>
          <w:rFonts w:ascii="Times New Roman" w:eastAsia="Times New Roman" w:hAnsi="Times New Roman" w:cs="Times New Roman"/>
          <w:i/>
          <w:iCs/>
          <w:color w:val="000000"/>
          <w:sz w:val="24"/>
          <w:szCs w:val="24"/>
          <w:lang/>
        </w:rPr>
        <w:t>{Підпункт 229.5.3 пункту 229.5 статті 229 із змінами, внесеними згідно із Законами </w:t>
      </w:r>
      <w:hyperlink r:id="rId4051" w:anchor="n18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4052" w:anchor="n8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97341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6" w:name="n5769"/>
      <w:bookmarkEnd w:id="7186"/>
      <w:r w:rsidRPr="008B264B">
        <w:rPr>
          <w:rFonts w:ascii="Times New Roman" w:eastAsia="Times New Roman" w:hAnsi="Times New Roman" w:cs="Times New Roman"/>
          <w:color w:val="000000"/>
          <w:sz w:val="24"/>
          <w:szCs w:val="24"/>
          <w:lang/>
        </w:rPr>
        <w:t>229.5.4. Податковий вексель видається на суму акцизного податку, що справляється при ввезенні товарів відповідно до законодавства.</w:t>
      </w:r>
    </w:p>
    <w:p w14:paraId="05AAD2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7" w:name="n5770"/>
      <w:bookmarkEnd w:id="7187"/>
      <w:r w:rsidRPr="008B264B">
        <w:rPr>
          <w:rFonts w:ascii="Times New Roman" w:eastAsia="Times New Roman" w:hAnsi="Times New Roman" w:cs="Times New Roman"/>
          <w:color w:val="000000"/>
          <w:sz w:val="24"/>
          <w:szCs w:val="24"/>
          <w:lang/>
        </w:rPr>
        <w:t>229.5.5. Податковий вексель може бути виданий лише суб'єктом господарювання - виробником, що використовує ці нафтопродукти у якості сировини у хімічній промисловості.</w:t>
      </w:r>
    </w:p>
    <w:p w14:paraId="0553A3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8" w:name="n5771"/>
      <w:bookmarkEnd w:id="7188"/>
      <w:r w:rsidRPr="008B264B">
        <w:rPr>
          <w:rFonts w:ascii="Times New Roman" w:eastAsia="Times New Roman" w:hAnsi="Times New Roman" w:cs="Times New Roman"/>
          <w:color w:val="000000"/>
          <w:sz w:val="24"/>
          <w:szCs w:val="24"/>
          <w:lang/>
        </w:rPr>
        <w:t>229.5.6. Строк, на який видається авальований податковий вексель, не може перевищувати 90 календарних днів з дати оформлення митної декларації.</w:t>
      </w:r>
    </w:p>
    <w:p w14:paraId="74B44E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89" w:name="n5772"/>
      <w:bookmarkEnd w:id="7189"/>
      <w:r w:rsidRPr="008B264B">
        <w:rPr>
          <w:rFonts w:ascii="Times New Roman" w:eastAsia="Times New Roman" w:hAnsi="Times New Roman" w:cs="Times New Roman"/>
          <w:color w:val="000000"/>
          <w:sz w:val="24"/>
          <w:szCs w:val="24"/>
          <w:lang/>
        </w:rPr>
        <w:t>229.5.7. Підставою для митного оформлення нафтопродуктів (коди 2710 12 11 10, 2710 12 11 20, 2710 12 11 90; 2710 12 15 10, 2710 12 15 20, 2710 12 15 90; 2710 12 21 00; 2710 19 11 10, 2710 19 11 20, 2710 19 11 90; 2710 19 15 10, 2710 19 15 20, 2710 19 15 90, 2710 19 25 00, 2710 19 29 00 згідно з УКТ ЗЕД), що ввозяться на митну територію України з метою використання у хімічній промисловості, є подання виробником контролюючому органу, який здійснює митне оформлення, другого примірника податкового векселя, авальованого банком та взятого на облік контролюючим органом за місцезнаходженням виробника.</w:t>
      </w:r>
    </w:p>
    <w:p w14:paraId="4427E4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0" w:name="n8814"/>
      <w:bookmarkEnd w:id="7190"/>
      <w:r w:rsidRPr="008B264B">
        <w:rPr>
          <w:rFonts w:ascii="Times New Roman" w:eastAsia="Times New Roman" w:hAnsi="Times New Roman" w:cs="Times New Roman"/>
          <w:i/>
          <w:iCs/>
          <w:color w:val="000000"/>
          <w:sz w:val="24"/>
          <w:szCs w:val="24"/>
          <w:lang/>
        </w:rPr>
        <w:t>{Підпункт 229.5.7 пункту 229.5 статті 229 із змінами, внесеними згідно із Законами </w:t>
      </w:r>
      <w:hyperlink r:id="rId4053" w:anchor="n18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4054" w:anchor="n8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7C69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1" w:name="n5773"/>
      <w:bookmarkEnd w:id="7191"/>
      <w:r w:rsidRPr="008B264B">
        <w:rPr>
          <w:rFonts w:ascii="Times New Roman" w:eastAsia="Times New Roman" w:hAnsi="Times New Roman" w:cs="Times New Roman"/>
          <w:color w:val="000000"/>
          <w:sz w:val="24"/>
          <w:szCs w:val="24"/>
          <w:lang/>
        </w:rPr>
        <w:t>229.5.8. Обов'язки з погашення податкового векселя не можуть передаватись іншим особам незалежно від їх взаємовідносин з векселедавцем.</w:t>
      </w:r>
    </w:p>
    <w:p w14:paraId="44E978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2" w:name="n5774"/>
      <w:bookmarkEnd w:id="7192"/>
      <w:r w:rsidRPr="008B264B">
        <w:rPr>
          <w:rFonts w:ascii="Times New Roman" w:eastAsia="Times New Roman" w:hAnsi="Times New Roman" w:cs="Times New Roman"/>
          <w:color w:val="000000"/>
          <w:sz w:val="24"/>
          <w:szCs w:val="24"/>
          <w:lang/>
        </w:rPr>
        <w:lastRenderedPageBreak/>
        <w:t>229.5.9. За користування податковим векселем не нараховуються відсотки або інші види плати, передбачені законодавством для інших видів векселів.</w:t>
      </w:r>
    </w:p>
    <w:p w14:paraId="4BBE98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3" w:name="n5775"/>
      <w:bookmarkEnd w:id="7193"/>
      <w:r w:rsidRPr="008B264B">
        <w:rPr>
          <w:rFonts w:ascii="Times New Roman" w:eastAsia="Times New Roman" w:hAnsi="Times New Roman" w:cs="Times New Roman"/>
          <w:color w:val="000000"/>
          <w:sz w:val="24"/>
          <w:szCs w:val="24"/>
          <w:lang/>
        </w:rPr>
        <w:t>229.5.10. Векселедержателем є контролюючий орган за місцем реєстрації векселедавця.</w:t>
      </w:r>
    </w:p>
    <w:p w14:paraId="69F83C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4" w:name="n5776"/>
      <w:bookmarkEnd w:id="7194"/>
      <w:r w:rsidRPr="008B264B">
        <w:rPr>
          <w:rFonts w:ascii="Times New Roman" w:eastAsia="Times New Roman" w:hAnsi="Times New Roman" w:cs="Times New Roman"/>
          <w:color w:val="000000"/>
          <w:sz w:val="24"/>
          <w:szCs w:val="24"/>
          <w:lang/>
        </w:rPr>
        <w:t>229.5.11. На підприємствах, що використовують нафтопродукти в якості сировини для виробництва у хімічній промисловості, встановлюються податкові пости. На податковому посту представники контролюючого органу за місцем його розташування здійснюють постійний безпосередній контроль за цільовим використанням нафтопродуктів в якості сировини для хімічної промисловості.</w:t>
      </w:r>
    </w:p>
    <w:p w14:paraId="732386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5" w:name="n5777"/>
      <w:bookmarkEnd w:id="7195"/>
      <w:r w:rsidRPr="008B264B">
        <w:rPr>
          <w:rFonts w:ascii="Times New Roman" w:eastAsia="Times New Roman" w:hAnsi="Times New Roman" w:cs="Times New Roman"/>
          <w:color w:val="000000"/>
          <w:sz w:val="24"/>
          <w:szCs w:val="24"/>
          <w:lang/>
        </w:rPr>
        <w:t>229.5.12. Податковий вексель без сплати суми акцизного податку коштами вважається погашеним у разі документального підтвердження факту цільового використання нафтопродуктів виключно як сировини для виробництва у хімічній промисловості.</w:t>
      </w:r>
    </w:p>
    <w:p w14:paraId="34E4F7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6" w:name="n5778"/>
      <w:bookmarkEnd w:id="7196"/>
      <w:r w:rsidRPr="008B264B">
        <w:rPr>
          <w:rFonts w:ascii="Times New Roman" w:eastAsia="Times New Roman" w:hAnsi="Times New Roman" w:cs="Times New Roman"/>
          <w:color w:val="000000"/>
          <w:sz w:val="24"/>
          <w:szCs w:val="24"/>
          <w:lang/>
        </w:rPr>
        <w:t>229.5.13. Для погашення податкового векселя векселедержателю подається </w:t>
      </w:r>
      <w:hyperlink r:id="rId4055" w:anchor="n61" w:tgtFrame="_blank" w:history="1">
        <w:r w:rsidRPr="008B264B">
          <w:rPr>
            <w:rFonts w:ascii="Times New Roman" w:eastAsia="Times New Roman" w:hAnsi="Times New Roman" w:cs="Times New Roman"/>
            <w:color w:val="0000FF"/>
            <w:sz w:val="24"/>
            <w:szCs w:val="24"/>
            <w:u w:val="single"/>
            <w:lang/>
          </w:rPr>
          <w:t>довідка векселедавця про цільове використання нафтопродуктів як сировини для виробництва у хімічній промисловості</w:t>
        </w:r>
      </w:hyperlink>
      <w:r w:rsidRPr="008B264B">
        <w:rPr>
          <w:rFonts w:ascii="Times New Roman" w:eastAsia="Times New Roman" w:hAnsi="Times New Roman" w:cs="Times New Roman"/>
          <w:color w:val="000000"/>
          <w:sz w:val="24"/>
          <w:szCs w:val="24"/>
          <w:lang/>
        </w:rPr>
        <w:t>, погоджена представником податкового поста, встановленого на підприємстві. Копія довідки про цільове використання подається контролюючому органу.</w:t>
      </w:r>
    </w:p>
    <w:p w14:paraId="4EF0BE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7" w:name="n5779"/>
      <w:bookmarkEnd w:id="7197"/>
      <w:r w:rsidRPr="008B264B">
        <w:rPr>
          <w:rFonts w:ascii="Times New Roman" w:eastAsia="Times New Roman" w:hAnsi="Times New Roman" w:cs="Times New Roman"/>
          <w:color w:val="000000"/>
          <w:sz w:val="24"/>
          <w:szCs w:val="24"/>
          <w:lang/>
        </w:rPr>
        <w:t>229.5.14. У разі якщо передбачений цією статтею податковий вексель не погашається в установлений строк, векселедержатель здійснює протест такого податкового векселя у неплатежі згідно із законодавством та протягом одного робочого дня з дати вчинення протесту звертається до банку, який здійснив аваль цього податкового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зазначену у податковому векселі, векселедержателю.</w:t>
      </w:r>
    </w:p>
    <w:p w14:paraId="04BFD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8" w:name="n5780"/>
      <w:bookmarkEnd w:id="7198"/>
      <w:r w:rsidRPr="008B264B">
        <w:rPr>
          <w:rFonts w:ascii="Times New Roman" w:eastAsia="Times New Roman" w:hAnsi="Times New Roman" w:cs="Times New Roman"/>
          <w:color w:val="000000"/>
          <w:sz w:val="24"/>
          <w:szCs w:val="24"/>
          <w:lang/>
        </w:rPr>
        <w:t>229.5.15. </w:t>
      </w:r>
      <w:hyperlink r:id="rId4056" w:anchor="n10" w:tgtFrame="_blank" w:history="1">
        <w:r w:rsidRPr="008B264B">
          <w:rPr>
            <w:rFonts w:ascii="Times New Roman" w:eastAsia="Times New Roman" w:hAnsi="Times New Roman" w:cs="Times New Roman"/>
            <w:color w:val="0000FF"/>
            <w:sz w:val="24"/>
            <w:szCs w:val="24"/>
            <w:u w:val="single"/>
            <w:lang/>
          </w:rPr>
          <w:t>Порядок випуску, обігу та погашення податкових векселів</w:t>
        </w:r>
      </w:hyperlink>
      <w:r w:rsidRPr="008B264B">
        <w:rPr>
          <w:rFonts w:ascii="Times New Roman" w:eastAsia="Times New Roman" w:hAnsi="Times New Roman" w:cs="Times New Roman"/>
          <w:color w:val="000000"/>
          <w:sz w:val="24"/>
          <w:szCs w:val="24"/>
          <w:lang/>
        </w:rPr>
        <w:t>, які видаються до ввезення нафтопродуктів для використання у якості сировини для виробництва у хімічній промисловості, встановлюється Кабінетом Міністрів України.</w:t>
      </w:r>
    </w:p>
    <w:p w14:paraId="4D9C8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199" w:name="n5781"/>
      <w:bookmarkEnd w:id="7199"/>
      <w:r w:rsidRPr="008B264B">
        <w:rPr>
          <w:rFonts w:ascii="Times New Roman" w:eastAsia="Times New Roman" w:hAnsi="Times New Roman" w:cs="Times New Roman"/>
          <w:color w:val="000000"/>
          <w:sz w:val="24"/>
          <w:szCs w:val="24"/>
          <w:lang/>
        </w:rPr>
        <w:t>229.5.16. Перелік підприємств, що здійснюють ввезення нафтопродуктів для використання у якості сировини для виробництва у хімічній промисловості, затверджується Кабінетом Міністрів України.</w:t>
      </w:r>
    </w:p>
    <w:p w14:paraId="08BB0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0" w:name="n5782"/>
      <w:bookmarkEnd w:id="7200"/>
      <w:r w:rsidRPr="008B264B">
        <w:rPr>
          <w:rFonts w:ascii="Times New Roman" w:eastAsia="Times New Roman" w:hAnsi="Times New Roman" w:cs="Times New Roman"/>
          <w:color w:val="000000"/>
          <w:sz w:val="24"/>
          <w:szCs w:val="24"/>
          <w:lang/>
        </w:rPr>
        <w:t>229.5.17. Ввезення нафтопродуктів, що використовуються в якості сировини для виробництва у хімічній промисловості, здійснюється в межах квот, встановлених Кабінетом Міністрів України.</w:t>
      </w:r>
    </w:p>
    <w:p w14:paraId="09C16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1" w:name="n5783"/>
      <w:bookmarkEnd w:id="7201"/>
      <w:r w:rsidRPr="008B264B">
        <w:rPr>
          <w:rFonts w:ascii="Times New Roman" w:eastAsia="Times New Roman" w:hAnsi="Times New Roman" w:cs="Times New Roman"/>
          <w:color w:val="000000"/>
          <w:sz w:val="24"/>
          <w:szCs w:val="24"/>
          <w:lang/>
        </w:rPr>
        <w:t>229.5.18. У разі нецільового використання суб'єктами господарювання нафтопродуктів, що ввезені в якості сировини для виробництва у хімічній промисловості, з таких суб'єктів справляється штраф у розмірі, який обчислюється виходячи з обсягів використаних не за призначенням нафтопродуктів та ставки акцизного податку, передбаченої </w:t>
      </w:r>
      <w:hyperlink r:id="rId4057"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5BB564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2" w:name="n5784"/>
      <w:bookmarkEnd w:id="7202"/>
      <w:r w:rsidRPr="008B264B">
        <w:rPr>
          <w:rFonts w:ascii="Times New Roman" w:eastAsia="Times New Roman" w:hAnsi="Times New Roman" w:cs="Times New Roman"/>
          <w:i/>
          <w:iCs/>
          <w:color w:val="000000"/>
          <w:sz w:val="24"/>
          <w:szCs w:val="24"/>
          <w:lang/>
        </w:rPr>
        <w:t>{Статтю 229 доповнено пунктом 229.5 згідно із Законом </w:t>
      </w:r>
      <w:hyperlink r:id="rId405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8DC53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3" w:name="n5785"/>
      <w:bookmarkEnd w:id="7203"/>
      <w:r w:rsidRPr="008B264B">
        <w:rPr>
          <w:rFonts w:ascii="Times New Roman" w:eastAsia="Times New Roman" w:hAnsi="Times New Roman" w:cs="Times New Roman"/>
          <w:color w:val="000000"/>
          <w:sz w:val="24"/>
          <w:szCs w:val="24"/>
          <w:lang/>
        </w:rPr>
        <w:t>229.6. Особливості оподаткування речовин, що використовуються як компоненти вироблених в Україні моторних палив, які використовуються як сировина для хімічної промисловості</w:t>
      </w:r>
    </w:p>
    <w:p w14:paraId="17725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4" w:name="n5786"/>
      <w:bookmarkEnd w:id="7204"/>
      <w:r w:rsidRPr="008B264B">
        <w:rPr>
          <w:rFonts w:ascii="Times New Roman" w:eastAsia="Times New Roman" w:hAnsi="Times New Roman" w:cs="Times New Roman"/>
          <w:color w:val="000000"/>
          <w:sz w:val="24"/>
          <w:szCs w:val="24"/>
          <w:lang/>
        </w:rPr>
        <w:t>229.6.1. Речовини, що використовуються як компоненти моторних палив (коди 2707 10 90 00, 2707 20 90 00, 2707 30 90 00, 2707 50 90 00, 2905 11 00 00, 2909 19 10 00, 2909 19 90 10, 2909 19 90 20, 2909 19 90 90 згідно з </w:t>
      </w:r>
      <w:hyperlink r:id="rId4059"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можуть бути реалізовані як сировина для виробництва в хімічній промисловості за нульовою ставкою акцизного податку.</w:t>
      </w:r>
    </w:p>
    <w:p w14:paraId="1793D7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5" w:name="n12879"/>
      <w:bookmarkEnd w:id="7205"/>
      <w:r w:rsidRPr="008B264B">
        <w:rPr>
          <w:rFonts w:ascii="Times New Roman" w:eastAsia="Times New Roman" w:hAnsi="Times New Roman" w:cs="Times New Roman"/>
          <w:i/>
          <w:iCs/>
          <w:color w:val="000000"/>
          <w:sz w:val="24"/>
          <w:szCs w:val="24"/>
          <w:lang/>
        </w:rPr>
        <w:t>{Абзац перший підпункту 229.6.1 пункту 229.6 статті 229 із змінами, внесеними згідно із Законом </w:t>
      </w:r>
      <w:hyperlink r:id="rId4060" w:anchor="n40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DAC93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6" w:name="n5787"/>
      <w:bookmarkEnd w:id="7206"/>
      <w:r w:rsidRPr="008B264B">
        <w:rPr>
          <w:rFonts w:ascii="Times New Roman" w:eastAsia="Times New Roman" w:hAnsi="Times New Roman" w:cs="Times New Roman"/>
          <w:color w:val="000000"/>
          <w:sz w:val="24"/>
          <w:szCs w:val="24"/>
          <w:lang/>
        </w:rPr>
        <w:t>У такому разі контролюючі органи здійснюють контроль за їх цільовим використанням.</w:t>
      </w:r>
    </w:p>
    <w:p w14:paraId="00B33B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7" w:name="n11429"/>
      <w:bookmarkEnd w:id="7207"/>
      <w:r w:rsidRPr="008B264B">
        <w:rPr>
          <w:rFonts w:ascii="Times New Roman" w:eastAsia="Times New Roman" w:hAnsi="Times New Roman" w:cs="Times New Roman"/>
          <w:color w:val="000000"/>
          <w:sz w:val="24"/>
          <w:szCs w:val="24"/>
          <w:lang/>
        </w:rPr>
        <w:lastRenderedPageBreak/>
        <w:t>Операції з передачі речовин, що використовуються як компоненти моторних палив (коди 2707 10 90 00, 2707 20 90 00, 2707 30 90 00, 2707 50 90 00, 2905 11 00 00, 2909 19 10 00, 2909 19 90 10, 2909 19 90 20, 2909 19 90 90 згідно з </w:t>
      </w:r>
      <w:hyperlink r:id="rId4061"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межах однієї юридичної особи здійснюються без оформлення податкового векселя з обов’язковим підтвердженням цільового використання таких речовин в порядку, передбаченому цим пунктом цієї статті для операцій з оформлення податкового векселя.</w:t>
      </w:r>
    </w:p>
    <w:p w14:paraId="76F3AA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8" w:name="n11428"/>
      <w:bookmarkEnd w:id="7208"/>
      <w:r w:rsidRPr="008B264B">
        <w:rPr>
          <w:rFonts w:ascii="Times New Roman" w:eastAsia="Times New Roman" w:hAnsi="Times New Roman" w:cs="Times New Roman"/>
          <w:i/>
          <w:iCs/>
          <w:color w:val="000000"/>
          <w:sz w:val="24"/>
          <w:szCs w:val="24"/>
          <w:lang/>
        </w:rPr>
        <w:t>{Підпункт 229.6.1 пункту 229.6 статті 229 доповнено абзацом третім згідно із Законом </w:t>
      </w:r>
      <w:hyperlink r:id="rId4062" w:anchor="n8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063" w:anchor="n40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064" w:anchor="n3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CE31A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09" w:name="n5788"/>
      <w:bookmarkEnd w:id="7209"/>
      <w:r w:rsidRPr="008B264B">
        <w:rPr>
          <w:rFonts w:ascii="Times New Roman" w:eastAsia="Times New Roman" w:hAnsi="Times New Roman" w:cs="Times New Roman"/>
          <w:color w:val="000000"/>
          <w:sz w:val="24"/>
          <w:szCs w:val="24"/>
          <w:lang/>
        </w:rPr>
        <w:t>229.6.2. До отримання речовин, що використовуються як компоненти моторних палив, які використовуються суб'єктами господарювання як сировина для виробництва в хімічній промисловості, виробник видає податковий вексель на суму акцизного податку, нарахованого на обсяг таких речовин виходячи із ставки, яка визначається як різниця між ставкою акцизного податку, передбаченою </w:t>
      </w:r>
      <w:hyperlink r:id="rId4065" w:anchor="n5496" w:history="1">
        <w:r w:rsidRPr="008B264B">
          <w:rPr>
            <w:rFonts w:ascii="Times New Roman" w:eastAsia="Times New Roman" w:hAnsi="Times New Roman" w:cs="Times New Roman"/>
            <w:color w:val="0000FF"/>
            <w:sz w:val="24"/>
            <w:szCs w:val="24"/>
            <w:u w:val="single"/>
            <w:lang/>
          </w:rPr>
          <w:t>пунктом 215.3 статті 215</w:t>
        </w:r>
      </w:hyperlink>
      <w:r w:rsidRPr="008B264B">
        <w:rPr>
          <w:rFonts w:ascii="Times New Roman" w:eastAsia="Times New Roman" w:hAnsi="Times New Roman" w:cs="Times New Roman"/>
          <w:color w:val="000000"/>
          <w:sz w:val="24"/>
          <w:szCs w:val="24"/>
          <w:lang/>
        </w:rPr>
        <w:t> цього Кодексу, та ставкою 0 євро за 1000 кілограмів.</w:t>
      </w:r>
    </w:p>
    <w:p w14:paraId="2F73CB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0" w:name="n5789"/>
      <w:bookmarkEnd w:id="7210"/>
      <w:r w:rsidRPr="008B264B">
        <w:rPr>
          <w:rFonts w:ascii="Times New Roman" w:eastAsia="Times New Roman" w:hAnsi="Times New Roman" w:cs="Times New Roman"/>
          <w:color w:val="000000"/>
          <w:sz w:val="24"/>
          <w:szCs w:val="24"/>
          <w:lang/>
        </w:rPr>
        <w:t>229.6.3. Податковий вексель може бути виданий лише суб'єктом господарювання - виробником, що використовує як сировину в хімічній промисловості речовини, які використовуються як компоненти моторних палив.</w:t>
      </w:r>
    </w:p>
    <w:p w14:paraId="0847EA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1" w:name="n5790"/>
      <w:bookmarkEnd w:id="7211"/>
      <w:r w:rsidRPr="008B264B">
        <w:rPr>
          <w:rFonts w:ascii="Times New Roman" w:eastAsia="Times New Roman" w:hAnsi="Times New Roman" w:cs="Times New Roman"/>
          <w:color w:val="000000"/>
          <w:sz w:val="24"/>
          <w:szCs w:val="24"/>
          <w:lang/>
        </w:rPr>
        <w:t>229.6.4. Строк, на який видається податковий вексель, не може перевищувати 90 календарних днів.</w:t>
      </w:r>
    </w:p>
    <w:p w14:paraId="49FA26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2" w:name="n5791"/>
      <w:bookmarkEnd w:id="7212"/>
      <w:r w:rsidRPr="008B264B">
        <w:rPr>
          <w:rFonts w:ascii="Times New Roman" w:eastAsia="Times New Roman" w:hAnsi="Times New Roman" w:cs="Times New Roman"/>
          <w:color w:val="000000"/>
          <w:sz w:val="24"/>
          <w:szCs w:val="24"/>
          <w:lang/>
        </w:rPr>
        <w:t>229.6.5. Обов'язки з погашення податкового векселя не можуть передаватися іншим особам.</w:t>
      </w:r>
    </w:p>
    <w:p w14:paraId="1C93A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3" w:name="n5792"/>
      <w:bookmarkEnd w:id="7213"/>
      <w:r w:rsidRPr="008B264B">
        <w:rPr>
          <w:rFonts w:ascii="Times New Roman" w:eastAsia="Times New Roman" w:hAnsi="Times New Roman" w:cs="Times New Roman"/>
          <w:color w:val="000000"/>
          <w:sz w:val="24"/>
          <w:szCs w:val="24"/>
          <w:lang/>
        </w:rPr>
        <w:t>229.6.6. За користування податковим векселем не нараховуються відсотки або інші види плати, передбачені законодавством для інших видів векселів.</w:t>
      </w:r>
    </w:p>
    <w:p w14:paraId="669892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4" w:name="n5793"/>
      <w:bookmarkEnd w:id="7214"/>
      <w:r w:rsidRPr="008B264B">
        <w:rPr>
          <w:rFonts w:ascii="Times New Roman" w:eastAsia="Times New Roman" w:hAnsi="Times New Roman" w:cs="Times New Roman"/>
          <w:color w:val="000000"/>
          <w:sz w:val="24"/>
          <w:szCs w:val="24"/>
          <w:lang/>
        </w:rPr>
        <w:t>229.6.7. Векселедержателем є контролюючий орган за місцем реєстрації векселедавця.</w:t>
      </w:r>
    </w:p>
    <w:p w14:paraId="064598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5" w:name="n5794"/>
      <w:bookmarkEnd w:id="7215"/>
      <w:r w:rsidRPr="008B264B">
        <w:rPr>
          <w:rFonts w:ascii="Times New Roman" w:eastAsia="Times New Roman" w:hAnsi="Times New Roman" w:cs="Times New Roman"/>
          <w:color w:val="000000"/>
          <w:sz w:val="24"/>
          <w:szCs w:val="24"/>
          <w:lang/>
        </w:rPr>
        <w:t>229.6.8. На підприємствах, що використовують як сировину для виробництва в хімічній промисловості речовини, що використовуються як компоненти моторних палив, встановлюються податкові пости. Представники контролюючого органу за місцезнаходженням податкового поста здійснюють постійний безпосередній контроль за цільовим використанням таких речовин.</w:t>
      </w:r>
    </w:p>
    <w:p w14:paraId="370486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6" w:name="n5795"/>
      <w:bookmarkEnd w:id="7216"/>
      <w:r w:rsidRPr="008B264B">
        <w:rPr>
          <w:rFonts w:ascii="Times New Roman" w:eastAsia="Times New Roman" w:hAnsi="Times New Roman" w:cs="Times New Roman"/>
          <w:color w:val="000000"/>
          <w:sz w:val="24"/>
          <w:szCs w:val="24"/>
          <w:lang/>
        </w:rPr>
        <w:t>229.6.9. Податковий вексель вважається погашеним у разі документального підтвердження факту цільового використання виключно як сировини для виробництва в хімічній промисловості речовин, що використовуються як компоненти моторних палив.</w:t>
      </w:r>
    </w:p>
    <w:p w14:paraId="43B84B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7" w:name="n5796"/>
      <w:bookmarkEnd w:id="7217"/>
      <w:r w:rsidRPr="008B264B">
        <w:rPr>
          <w:rFonts w:ascii="Times New Roman" w:eastAsia="Times New Roman" w:hAnsi="Times New Roman" w:cs="Times New Roman"/>
          <w:color w:val="000000"/>
          <w:sz w:val="24"/>
          <w:szCs w:val="24"/>
          <w:lang/>
        </w:rPr>
        <w:t>229.6.10. Для погашення податкового векселя векселедержателю подається </w:t>
      </w:r>
      <w:hyperlink r:id="rId4066" w:anchor="n57" w:tgtFrame="_blank" w:history="1">
        <w:r w:rsidRPr="008B264B">
          <w:rPr>
            <w:rFonts w:ascii="Times New Roman" w:eastAsia="Times New Roman" w:hAnsi="Times New Roman" w:cs="Times New Roman"/>
            <w:color w:val="0000FF"/>
            <w:sz w:val="24"/>
            <w:szCs w:val="24"/>
            <w:u w:val="single"/>
            <w:lang/>
          </w:rPr>
          <w:t>довідка векселедавця про цільове використання як сировини для виробництва в хімічній промисловості речовин, що використовуються як компоненти моторних палив</w:t>
        </w:r>
      </w:hyperlink>
      <w:r w:rsidRPr="008B264B">
        <w:rPr>
          <w:rFonts w:ascii="Times New Roman" w:eastAsia="Times New Roman" w:hAnsi="Times New Roman" w:cs="Times New Roman"/>
          <w:color w:val="000000"/>
          <w:sz w:val="24"/>
          <w:szCs w:val="24"/>
          <w:lang/>
        </w:rPr>
        <w:t>, погоджена представником податкового поста, встановленого на підприємстві.</w:t>
      </w:r>
    </w:p>
    <w:p w14:paraId="102A94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8" w:name="n5797"/>
      <w:bookmarkEnd w:id="7218"/>
      <w:r w:rsidRPr="008B264B">
        <w:rPr>
          <w:rFonts w:ascii="Times New Roman" w:eastAsia="Times New Roman" w:hAnsi="Times New Roman" w:cs="Times New Roman"/>
          <w:color w:val="000000"/>
          <w:sz w:val="24"/>
          <w:szCs w:val="24"/>
          <w:lang/>
        </w:rPr>
        <w:t>229.6.11. У разі якщо передбачений цим пунктом податковий вексель не погашено в установлений строк, векселедержатель здійснює протест такого векселя у неплатежі згідно із законодавством та протягом одного робочого дня з дати вчинення протесту звертається до банку, який здійснив аваль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яка зазначена у податковому векселі, векселедержателю.</w:t>
      </w:r>
    </w:p>
    <w:p w14:paraId="4C8F3D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19" w:name="n5798"/>
      <w:bookmarkEnd w:id="7219"/>
      <w:r w:rsidRPr="008B264B">
        <w:rPr>
          <w:rFonts w:ascii="Times New Roman" w:eastAsia="Times New Roman" w:hAnsi="Times New Roman" w:cs="Times New Roman"/>
          <w:color w:val="000000"/>
          <w:sz w:val="24"/>
          <w:szCs w:val="24"/>
          <w:lang/>
        </w:rPr>
        <w:t>229.6.12. </w:t>
      </w:r>
      <w:hyperlink r:id="rId4067" w:anchor="n10" w:tgtFrame="_blank" w:history="1">
        <w:r w:rsidRPr="008B264B">
          <w:rPr>
            <w:rFonts w:ascii="Times New Roman" w:eastAsia="Times New Roman" w:hAnsi="Times New Roman" w:cs="Times New Roman"/>
            <w:color w:val="0000FF"/>
            <w:sz w:val="24"/>
            <w:szCs w:val="24"/>
            <w:u w:val="single"/>
            <w:lang/>
          </w:rPr>
          <w:t>Порядок випуску, обігу та погашення податкових векселів</w:t>
        </w:r>
      </w:hyperlink>
      <w:r w:rsidRPr="008B264B">
        <w:rPr>
          <w:rFonts w:ascii="Times New Roman" w:eastAsia="Times New Roman" w:hAnsi="Times New Roman" w:cs="Times New Roman"/>
          <w:color w:val="000000"/>
          <w:sz w:val="24"/>
          <w:szCs w:val="24"/>
          <w:lang/>
        </w:rPr>
        <w:t>, які видаються до отримання речовин, що використовуються як компоненти моторних палив, для використання як сировини для виробництва в хімічній промисловості, а також перелік підприємств, що отримують такі речовини, затверджуються Кабінетом Міністрів України.</w:t>
      </w:r>
    </w:p>
    <w:p w14:paraId="2E382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0" w:name="n5799"/>
      <w:bookmarkEnd w:id="7220"/>
      <w:r w:rsidRPr="008B264B">
        <w:rPr>
          <w:rFonts w:ascii="Times New Roman" w:eastAsia="Times New Roman" w:hAnsi="Times New Roman" w:cs="Times New Roman"/>
          <w:color w:val="000000"/>
          <w:sz w:val="24"/>
          <w:szCs w:val="24"/>
          <w:lang/>
        </w:rPr>
        <w:lastRenderedPageBreak/>
        <w:t>229.6.13. Відвантаження речовин, що використовуються як компоненти моторних палив, які отримані як сировина для виробництва в хімічній промисловості, проводиться в межах квот, встановлених Кабінетом Міністрів України.</w:t>
      </w:r>
    </w:p>
    <w:p w14:paraId="3C40D4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1" w:name="n5800"/>
      <w:bookmarkEnd w:id="7221"/>
      <w:r w:rsidRPr="008B264B">
        <w:rPr>
          <w:rFonts w:ascii="Times New Roman" w:eastAsia="Times New Roman" w:hAnsi="Times New Roman" w:cs="Times New Roman"/>
          <w:color w:val="000000"/>
          <w:sz w:val="24"/>
          <w:szCs w:val="24"/>
          <w:lang/>
        </w:rPr>
        <w:t>229.6.14. У разі нецільового використання суб'єктами господарювання речовин, що використовуються як компоненти моторних палив, які отримані як сировина для виробництва в хімічній промисловості, з таких суб'єктів справляється штраф у розмірі, який обчислюється виходячи з обсягів зазначених речовин, що використані не за призначенням, та ставки акцизного податку, передбаченої </w:t>
      </w:r>
      <w:hyperlink r:id="rId4068"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1E280E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2" w:name="n5801"/>
      <w:bookmarkEnd w:id="7222"/>
      <w:r w:rsidRPr="008B264B">
        <w:rPr>
          <w:rFonts w:ascii="Times New Roman" w:eastAsia="Times New Roman" w:hAnsi="Times New Roman" w:cs="Times New Roman"/>
          <w:i/>
          <w:iCs/>
          <w:color w:val="000000"/>
          <w:sz w:val="24"/>
          <w:szCs w:val="24"/>
          <w:lang/>
        </w:rPr>
        <w:t>{Статтю 229 доповнено пунктом 229.6 згідно із Законом </w:t>
      </w:r>
      <w:hyperlink r:id="rId4069" w:tgtFrame="_blank" w:history="1">
        <w:r w:rsidRPr="008B264B">
          <w:rPr>
            <w:rFonts w:ascii="Times New Roman" w:eastAsia="Times New Roman" w:hAnsi="Times New Roman" w:cs="Times New Roman"/>
            <w:i/>
            <w:iCs/>
            <w:color w:val="0000FF"/>
            <w:sz w:val="24"/>
            <w:szCs w:val="24"/>
            <w:u w:val="single"/>
            <w:lang/>
          </w:rPr>
          <w:t>№ 5471-VI від 06.11.2012</w:t>
        </w:r>
      </w:hyperlink>
      <w:r w:rsidRPr="008B264B">
        <w:rPr>
          <w:rFonts w:ascii="Times New Roman" w:eastAsia="Times New Roman" w:hAnsi="Times New Roman" w:cs="Times New Roman"/>
          <w:i/>
          <w:iCs/>
          <w:color w:val="000000"/>
          <w:sz w:val="24"/>
          <w:szCs w:val="24"/>
          <w:lang/>
        </w:rPr>
        <w:t>}</w:t>
      </w:r>
    </w:p>
    <w:p w14:paraId="01CDA5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3" w:name="n5802"/>
      <w:bookmarkEnd w:id="7223"/>
      <w:r w:rsidRPr="008B264B">
        <w:rPr>
          <w:rFonts w:ascii="Times New Roman" w:eastAsia="Times New Roman" w:hAnsi="Times New Roman" w:cs="Times New Roman"/>
          <w:color w:val="000000"/>
          <w:sz w:val="24"/>
          <w:szCs w:val="24"/>
          <w:lang/>
        </w:rPr>
        <w:t>229.7. Особливості оподаткування речовин, що використовуються як компоненти ввезених в Україну моторних палив, які використовуються як сировина для хімічної промисловості</w:t>
      </w:r>
    </w:p>
    <w:p w14:paraId="494FE1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4" w:name="n5803"/>
      <w:bookmarkEnd w:id="7224"/>
      <w:r w:rsidRPr="008B264B">
        <w:rPr>
          <w:rFonts w:ascii="Times New Roman" w:eastAsia="Times New Roman" w:hAnsi="Times New Roman" w:cs="Times New Roman"/>
          <w:color w:val="000000"/>
          <w:sz w:val="24"/>
          <w:szCs w:val="24"/>
          <w:lang/>
        </w:rPr>
        <w:t>229.7.1. Речовини, що використовуються як компоненти моторних палив (коди 2707 10 90 00, 2707 20 90 00, 2707 30 90 00, 2707 50 90 00, 2905 11 00 00, 2909 19 10 00, 2909 19 90 10, 2909 19 90 20, 2909 19 90 90 згідно з </w:t>
      </w:r>
      <w:hyperlink r:id="rId407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можуть ввозитися в Україну як сировина для виробництва в хімічній промисловості без сплати акцизного податку.</w:t>
      </w:r>
    </w:p>
    <w:p w14:paraId="189906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5" w:name="n12880"/>
      <w:bookmarkEnd w:id="7225"/>
      <w:r w:rsidRPr="008B264B">
        <w:rPr>
          <w:rFonts w:ascii="Times New Roman" w:eastAsia="Times New Roman" w:hAnsi="Times New Roman" w:cs="Times New Roman"/>
          <w:i/>
          <w:iCs/>
          <w:color w:val="000000"/>
          <w:sz w:val="24"/>
          <w:szCs w:val="24"/>
          <w:lang/>
        </w:rPr>
        <w:t>{Абзац перший підпункту 229.7.1 пункту 229.7 статті 229 із змінами, внесеними згідно із Законом </w:t>
      </w:r>
      <w:hyperlink r:id="rId4071" w:anchor="n40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1956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6" w:name="n5804"/>
      <w:bookmarkEnd w:id="7226"/>
      <w:r w:rsidRPr="008B264B">
        <w:rPr>
          <w:rFonts w:ascii="Times New Roman" w:eastAsia="Times New Roman" w:hAnsi="Times New Roman" w:cs="Times New Roman"/>
          <w:color w:val="000000"/>
          <w:sz w:val="24"/>
          <w:szCs w:val="24"/>
          <w:lang/>
        </w:rPr>
        <w:t>У такому разі контролюючі органи здійснюють контроль за їх цільовим використанням.</w:t>
      </w:r>
    </w:p>
    <w:p w14:paraId="1BEE3C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7" w:name="n5805"/>
      <w:bookmarkEnd w:id="7227"/>
      <w:r w:rsidRPr="008B264B">
        <w:rPr>
          <w:rFonts w:ascii="Times New Roman" w:eastAsia="Times New Roman" w:hAnsi="Times New Roman" w:cs="Times New Roman"/>
          <w:color w:val="000000"/>
          <w:sz w:val="24"/>
          <w:szCs w:val="24"/>
          <w:lang/>
        </w:rPr>
        <w:t>229.7.2. Для ввезення на митну територію України речовин, що використовуються як компоненти моторних палив, з метою використання їх як сировини в хімічній промисловості виробник оформляє податковий вексель у трьох примірниках. Один примірник подається контролюючому органу за місцезнаходженням виробника, другий - контролюючому органу за місцем митного оформлення зазначених товарів, третій залишається платнику податку.</w:t>
      </w:r>
    </w:p>
    <w:p w14:paraId="1D9E5D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8" w:name="n8812"/>
      <w:bookmarkEnd w:id="7228"/>
      <w:r w:rsidRPr="008B264B">
        <w:rPr>
          <w:rFonts w:ascii="Times New Roman" w:eastAsia="Times New Roman" w:hAnsi="Times New Roman" w:cs="Times New Roman"/>
          <w:i/>
          <w:iCs/>
          <w:color w:val="000000"/>
          <w:sz w:val="24"/>
          <w:szCs w:val="24"/>
          <w:lang/>
        </w:rPr>
        <w:t>{Підпункт 229.7.2 пункту 229.7 статті 229 із змінами, внесеними згідно із Законом </w:t>
      </w:r>
      <w:hyperlink r:id="rId4072" w:anchor="n18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5F743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29" w:name="n5806"/>
      <w:bookmarkEnd w:id="7229"/>
      <w:r w:rsidRPr="008B264B">
        <w:rPr>
          <w:rFonts w:ascii="Times New Roman" w:eastAsia="Times New Roman" w:hAnsi="Times New Roman" w:cs="Times New Roman"/>
          <w:color w:val="000000"/>
          <w:sz w:val="24"/>
          <w:szCs w:val="24"/>
          <w:lang/>
        </w:rPr>
        <w:t>229.7.3. Податковий вексель видається на суму акцизного податку, що справляється під час ввезення товарів відповідно до законодавства.</w:t>
      </w:r>
    </w:p>
    <w:p w14:paraId="0764B8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0" w:name="n5807"/>
      <w:bookmarkEnd w:id="7230"/>
      <w:r w:rsidRPr="008B264B">
        <w:rPr>
          <w:rFonts w:ascii="Times New Roman" w:eastAsia="Times New Roman" w:hAnsi="Times New Roman" w:cs="Times New Roman"/>
          <w:color w:val="000000"/>
          <w:sz w:val="24"/>
          <w:szCs w:val="24"/>
          <w:lang/>
        </w:rPr>
        <w:t>229.7.4. Податковий вексель може бути виданий лише суб'єктом господарювання - виробником, що використовує як сировину в хімічній промисловості речовини, що використовуються як компоненти моторних палив.</w:t>
      </w:r>
    </w:p>
    <w:p w14:paraId="3E069C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1" w:name="n5808"/>
      <w:bookmarkEnd w:id="7231"/>
      <w:r w:rsidRPr="008B264B">
        <w:rPr>
          <w:rFonts w:ascii="Times New Roman" w:eastAsia="Times New Roman" w:hAnsi="Times New Roman" w:cs="Times New Roman"/>
          <w:color w:val="000000"/>
          <w:sz w:val="24"/>
          <w:szCs w:val="24"/>
          <w:lang/>
        </w:rPr>
        <w:t>229.7.5. Строк, на який видається авальований податковий вексель, не може перевищувати 90 календарних днів з дати оформлення митної декларації.</w:t>
      </w:r>
    </w:p>
    <w:p w14:paraId="1E9E91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2" w:name="n5809"/>
      <w:bookmarkEnd w:id="7232"/>
      <w:r w:rsidRPr="008B264B">
        <w:rPr>
          <w:rFonts w:ascii="Times New Roman" w:eastAsia="Times New Roman" w:hAnsi="Times New Roman" w:cs="Times New Roman"/>
          <w:color w:val="000000"/>
          <w:sz w:val="24"/>
          <w:szCs w:val="24"/>
          <w:lang/>
        </w:rPr>
        <w:t>229.7.6. Підставою для митного оформлення речовин, що використовуються як компоненти моторних палив, які ввозяться на митну територію України з метою використання в хімічній промисловості, є подання виробником контролюючому органу, який здійснює митне оформлення, в порядку, передбаченому Митним кодексом України, засобами електронного зв’язку копії податкового векселя, авальованого банком та взятого на облік контролюючим органом.</w:t>
      </w:r>
    </w:p>
    <w:p w14:paraId="443119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3" w:name="n8815"/>
      <w:bookmarkEnd w:id="7233"/>
      <w:r w:rsidRPr="008B264B">
        <w:rPr>
          <w:rFonts w:ascii="Times New Roman" w:eastAsia="Times New Roman" w:hAnsi="Times New Roman" w:cs="Times New Roman"/>
          <w:i/>
          <w:iCs/>
          <w:color w:val="000000"/>
          <w:sz w:val="24"/>
          <w:szCs w:val="24"/>
          <w:lang/>
        </w:rPr>
        <w:t>{Підпункт 229.7.6 пункту 229.7 статті 229 із змінами, внесеними згідно із Законом </w:t>
      </w:r>
      <w:hyperlink r:id="rId4073" w:anchor="n18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в редакції Закону </w:t>
      </w:r>
      <w:hyperlink r:id="rId4074" w:anchor="n31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AB72C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4" w:name="n5810"/>
      <w:bookmarkEnd w:id="7234"/>
      <w:r w:rsidRPr="008B264B">
        <w:rPr>
          <w:rFonts w:ascii="Times New Roman" w:eastAsia="Times New Roman" w:hAnsi="Times New Roman" w:cs="Times New Roman"/>
          <w:color w:val="000000"/>
          <w:sz w:val="24"/>
          <w:szCs w:val="24"/>
          <w:lang/>
        </w:rPr>
        <w:t>229.7.7. Обов'язки з погашення податкового векселя не можуть передаватися іншим особам.</w:t>
      </w:r>
    </w:p>
    <w:p w14:paraId="50360D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5" w:name="n5811"/>
      <w:bookmarkEnd w:id="7235"/>
      <w:r w:rsidRPr="008B264B">
        <w:rPr>
          <w:rFonts w:ascii="Times New Roman" w:eastAsia="Times New Roman" w:hAnsi="Times New Roman" w:cs="Times New Roman"/>
          <w:color w:val="000000"/>
          <w:sz w:val="24"/>
          <w:szCs w:val="24"/>
          <w:lang/>
        </w:rPr>
        <w:t>229.7.8. За користування податковим векселем не нараховуються відсотки або інші види плати, передбачені законодавством для інших видів векселів.</w:t>
      </w:r>
    </w:p>
    <w:p w14:paraId="44B371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6" w:name="n5812"/>
      <w:bookmarkEnd w:id="7236"/>
      <w:r w:rsidRPr="008B264B">
        <w:rPr>
          <w:rFonts w:ascii="Times New Roman" w:eastAsia="Times New Roman" w:hAnsi="Times New Roman" w:cs="Times New Roman"/>
          <w:color w:val="000000"/>
          <w:sz w:val="24"/>
          <w:szCs w:val="24"/>
          <w:lang/>
        </w:rPr>
        <w:t>229.7.9. Векселедержателем є контролюючий орган за місцем реєстрації векселедавця.</w:t>
      </w:r>
    </w:p>
    <w:p w14:paraId="3320D4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7" w:name="n5813"/>
      <w:bookmarkEnd w:id="7237"/>
      <w:r w:rsidRPr="008B264B">
        <w:rPr>
          <w:rFonts w:ascii="Times New Roman" w:eastAsia="Times New Roman" w:hAnsi="Times New Roman" w:cs="Times New Roman"/>
          <w:color w:val="000000"/>
          <w:sz w:val="24"/>
          <w:szCs w:val="24"/>
          <w:lang/>
        </w:rPr>
        <w:lastRenderedPageBreak/>
        <w:t>229.7.10. На підприємствах, що використовують як сировину для виробництва в хімічній промисловості речовини, що використовуються як компоненти моторних палив, встановлюються податкові пости. Представники контролюючого органу за місцезнаходженням податкового поста здійснюють постійний безпосередній контроль за цільовим використанням таких речовин.</w:t>
      </w:r>
    </w:p>
    <w:p w14:paraId="0D7310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8" w:name="n5814"/>
      <w:bookmarkEnd w:id="7238"/>
      <w:r w:rsidRPr="008B264B">
        <w:rPr>
          <w:rFonts w:ascii="Times New Roman" w:eastAsia="Times New Roman" w:hAnsi="Times New Roman" w:cs="Times New Roman"/>
          <w:color w:val="000000"/>
          <w:sz w:val="24"/>
          <w:szCs w:val="24"/>
          <w:lang/>
        </w:rPr>
        <w:t>229.7.11. Податковий вексель вважається погашеним без сплати суми акцизного податку коштами в разі документального підтвердження факту цільового використання речовин, що використовуються як компоненти моторних палив, виключно як сировини для виробництва в хімічній промисловості.</w:t>
      </w:r>
    </w:p>
    <w:p w14:paraId="125081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39" w:name="n5815"/>
      <w:bookmarkEnd w:id="7239"/>
      <w:r w:rsidRPr="008B264B">
        <w:rPr>
          <w:rFonts w:ascii="Times New Roman" w:eastAsia="Times New Roman" w:hAnsi="Times New Roman" w:cs="Times New Roman"/>
          <w:color w:val="000000"/>
          <w:sz w:val="24"/>
          <w:szCs w:val="24"/>
          <w:lang/>
        </w:rPr>
        <w:t>229.7.12. Для погашення податкового векселя векселедержателю подається </w:t>
      </w:r>
      <w:hyperlink r:id="rId4075" w:anchor="n57" w:tgtFrame="_blank" w:history="1">
        <w:r w:rsidRPr="008B264B">
          <w:rPr>
            <w:rFonts w:ascii="Times New Roman" w:eastAsia="Times New Roman" w:hAnsi="Times New Roman" w:cs="Times New Roman"/>
            <w:color w:val="0000FF"/>
            <w:sz w:val="24"/>
            <w:szCs w:val="24"/>
            <w:u w:val="single"/>
            <w:lang/>
          </w:rPr>
          <w:t>довідка векселедавця про цільове використання як сировини для виробництва в хімічній промисловості речовин, що використовуються як компоненти моторних палив</w:t>
        </w:r>
      </w:hyperlink>
      <w:r w:rsidRPr="008B264B">
        <w:rPr>
          <w:rFonts w:ascii="Times New Roman" w:eastAsia="Times New Roman" w:hAnsi="Times New Roman" w:cs="Times New Roman"/>
          <w:color w:val="000000"/>
          <w:sz w:val="24"/>
          <w:szCs w:val="24"/>
          <w:lang/>
        </w:rPr>
        <w:t>, погоджена представником податкового поста, встановленого на підприємстві. Копія довідки подається контролюючому органу.</w:t>
      </w:r>
    </w:p>
    <w:p w14:paraId="357DE2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0" w:name="n5816"/>
      <w:bookmarkEnd w:id="7240"/>
      <w:r w:rsidRPr="008B264B">
        <w:rPr>
          <w:rFonts w:ascii="Times New Roman" w:eastAsia="Times New Roman" w:hAnsi="Times New Roman" w:cs="Times New Roman"/>
          <w:color w:val="000000"/>
          <w:sz w:val="24"/>
          <w:szCs w:val="24"/>
          <w:lang/>
        </w:rPr>
        <w:t>229.7.13. У разі якщо передбачений цим пунктом податковий вексель не погашено в установлений строк, векселедержатель здійснює протест такого векселя у неплатежі згідно із законодавством та протягом одного робочого дня з дати вчинення протесту звертається до банку, який здійснив аваль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зазначену в податковому векселі, векселедержателю.</w:t>
      </w:r>
    </w:p>
    <w:p w14:paraId="395626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1" w:name="n5817"/>
      <w:bookmarkEnd w:id="7241"/>
      <w:r w:rsidRPr="008B264B">
        <w:rPr>
          <w:rFonts w:ascii="Times New Roman" w:eastAsia="Times New Roman" w:hAnsi="Times New Roman" w:cs="Times New Roman"/>
          <w:color w:val="000000"/>
          <w:sz w:val="24"/>
          <w:szCs w:val="24"/>
          <w:lang/>
        </w:rPr>
        <w:t>229.7.14. </w:t>
      </w:r>
      <w:hyperlink r:id="rId4076" w:anchor="n10" w:tgtFrame="_blank" w:history="1">
        <w:r w:rsidRPr="008B264B">
          <w:rPr>
            <w:rFonts w:ascii="Times New Roman" w:eastAsia="Times New Roman" w:hAnsi="Times New Roman" w:cs="Times New Roman"/>
            <w:color w:val="0000FF"/>
            <w:sz w:val="24"/>
            <w:szCs w:val="24"/>
            <w:u w:val="single"/>
            <w:lang/>
          </w:rPr>
          <w:t>Порядок випуску, обігу та погашення податкових векселів</w:t>
        </w:r>
      </w:hyperlink>
      <w:r w:rsidRPr="008B264B">
        <w:rPr>
          <w:rFonts w:ascii="Times New Roman" w:eastAsia="Times New Roman" w:hAnsi="Times New Roman" w:cs="Times New Roman"/>
          <w:color w:val="000000"/>
          <w:sz w:val="24"/>
          <w:szCs w:val="24"/>
          <w:lang/>
        </w:rPr>
        <w:t>, які видаються для ввезення на митну територію України речовин, що використовуються як компоненти моторних палив, для використання як сировини для виробництва в хімічній промисловості, а також перелік підприємств, що здійснюють ввезення таких речовин, затверджуються Кабінетом Міністрів України.</w:t>
      </w:r>
    </w:p>
    <w:p w14:paraId="392024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2" w:name="n5818"/>
      <w:bookmarkEnd w:id="7242"/>
      <w:r w:rsidRPr="008B264B">
        <w:rPr>
          <w:rFonts w:ascii="Times New Roman" w:eastAsia="Times New Roman" w:hAnsi="Times New Roman" w:cs="Times New Roman"/>
          <w:color w:val="000000"/>
          <w:sz w:val="24"/>
          <w:szCs w:val="24"/>
          <w:lang/>
        </w:rPr>
        <w:t>229.7.15. Ввезення речовин, що використовуються як компоненти моторних палив, які використовуються як сировина для виробництва в хімічній промисловості, здійснюється в межах квот, встановлених Кабінетом Міністрів України.</w:t>
      </w:r>
    </w:p>
    <w:p w14:paraId="213434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3" w:name="n5819"/>
      <w:bookmarkEnd w:id="7243"/>
      <w:r w:rsidRPr="008B264B">
        <w:rPr>
          <w:rFonts w:ascii="Times New Roman" w:eastAsia="Times New Roman" w:hAnsi="Times New Roman" w:cs="Times New Roman"/>
          <w:color w:val="000000"/>
          <w:sz w:val="24"/>
          <w:szCs w:val="24"/>
          <w:lang/>
        </w:rPr>
        <w:t>229.7.16. У разі нецільового використання суб'єктами господарювання речовин, що використовуються як компоненти моторних палив, які ввезені як сировина для виробництва в хімічній промисловості, з таких суб'єктів справляється штраф у розмірі, який обчислюється виходячи з обсягів зазначених речовин, що використані не за призначенням, та ставки акцизного податку, передбаченої </w:t>
      </w:r>
      <w:hyperlink r:id="rId4077" w:anchor="n5496" w:history="1">
        <w:r w:rsidRPr="008B264B">
          <w:rPr>
            <w:rFonts w:ascii="Times New Roman" w:eastAsia="Times New Roman" w:hAnsi="Times New Roman" w:cs="Times New Roman"/>
            <w:color w:val="0000FF"/>
            <w:sz w:val="24"/>
            <w:szCs w:val="24"/>
            <w:u w:val="single"/>
            <w:lang/>
          </w:rPr>
          <w:t>пунктом 215.3</w:t>
        </w:r>
      </w:hyperlink>
      <w:r w:rsidRPr="008B264B">
        <w:rPr>
          <w:rFonts w:ascii="Times New Roman" w:eastAsia="Times New Roman" w:hAnsi="Times New Roman" w:cs="Times New Roman"/>
          <w:color w:val="000000"/>
          <w:sz w:val="24"/>
          <w:szCs w:val="24"/>
          <w:lang/>
        </w:rPr>
        <w:t> статті 215 цього Кодексу, збільшеної в 1,5 раза.</w:t>
      </w:r>
    </w:p>
    <w:p w14:paraId="6ABC5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4" w:name="n5820"/>
      <w:bookmarkEnd w:id="7244"/>
      <w:r w:rsidRPr="008B264B">
        <w:rPr>
          <w:rFonts w:ascii="Times New Roman" w:eastAsia="Times New Roman" w:hAnsi="Times New Roman" w:cs="Times New Roman"/>
          <w:i/>
          <w:iCs/>
          <w:color w:val="000000"/>
          <w:sz w:val="24"/>
          <w:szCs w:val="24"/>
          <w:lang/>
        </w:rPr>
        <w:t>{Статтю 229 доповнено пунктом 229.7 згідно із Законом </w:t>
      </w:r>
      <w:hyperlink r:id="rId4078" w:tgtFrame="_blank" w:history="1">
        <w:r w:rsidRPr="008B264B">
          <w:rPr>
            <w:rFonts w:ascii="Times New Roman" w:eastAsia="Times New Roman" w:hAnsi="Times New Roman" w:cs="Times New Roman"/>
            <w:i/>
            <w:iCs/>
            <w:color w:val="0000FF"/>
            <w:sz w:val="24"/>
            <w:szCs w:val="24"/>
            <w:u w:val="single"/>
            <w:lang/>
          </w:rPr>
          <w:t>№ 5471-VI від 06.11.2012</w:t>
        </w:r>
      </w:hyperlink>
      <w:r w:rsidRPr="008B264B">
        <w:rPr>
          <w:rFonts w:ascii="Times New Roman" w:eastAsia="Times New Roman" w:hAnsi="Times New Roman" w:cs="Times New Roman"/>
          <w:i/>
          <w:iCs/>
          <w:color w:val="000000"/>
          <w:sz w:val="24"/>
          <w:szCs w:val="24"/>
          <w:lang/>
        </w:rPr>
        <w:t>}</w:t>
      </w:r>
    </w:p>
    <w:p w14:paraId="56EC24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5" w:name="n15340"/>
      <w:bookmarkEnd w:id="7245"/>
      <w:r w:rsidRPr="008B264B">
        <w:rPr>
          <w:rFonts w:ascii="Times New Roman" w:eastAsia="Times New Roman" w:hAnsi="Times New Roman" w:cs="Times New Roman"/>
          <w:color w:val="000000"/>
          <w:sz w:val="24"/>
          <w:szCs w:val="24"/>
          <w:lang/>
        </w:rPr>
        <w:t>229.8. Особливості оподаткування бензинів авіаційних та палива для реактивних двигунів</w:t>
      </w:r>
    </w:p>
    <w:p w14:paraId="3C36A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6" w:name="n15341"/>
      <w:bookmarkEnd w:id="7246"/>
      <w:r w:rsidRPr="008B264B">
        <w:rPr>
          <w:rFonts w:ascii="Times New Roman" w:eastAsia="Times New Roman" w:hAnsi="Times New Roman" w:cs="Times New Roman"/>
          <w:color w:val="000000"/>
          <w:sz w:val="24"/>
          <w:szCs w:val="24"/>
          <w:lang/>
        </w:rPr>
        <w:t>229.8.1. Ввезення на митну територію України або реалізація вироблених в Україні бензинів авіаційних (код 2710 12 31 00 згідно з </w:t>
      </w:r>
      <w:hyperlink r:id="rId4079"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палива для реактивних двигунів (код 2710 12 70 00, 2710 19 21 00 згідно з </w:t>
      </w:r>
      <w:hyperlink r:id="rId4080"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може здійснюватися із сплатою акцизного податку за ставками, визначеними </w:t>
      </w:r>
      <w:hyperlink r:id="rId4081"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без застосування підвищувального коефіцієнта 10.</w:t>
      </w:r>
    </w:p>
    <w:p w14:paraId="17FC50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7" w:name="n15342"/>
      <w:bookmarkEnd w:id="7247"/>
      <w:r w:rsidRPr="008B264B">
        <w:rPr>
          <w:rFonts w:ascii="Times New Roman" w:eastAsia="Times New Roman" w:hAnsi="Times New Roman" w:cs="Times New Roman"/>
          <w:color w:val="000000"/>
          <w:sz w:val="24"/>
          <w:szCs w:val="24"/>
          <w:lang/>
        </w:rPr>
        <w:t>229.8.2. Для ввезення на митну територію України або реалізації вироблених в Україні бензинів авіаційних або палива для реактивних двигунів імпортер бензинів авіаційних або палива для реактивних двигунів (далі - імпортер) оформлює податковий вексель у трьох примірниках, а виробник бензинів авіаційних або палива для реактивних двигунів (далі - виробник) - у двох примірниках. Перший примірник подається до контролюючого органу (векселедержателя) за місцезнаходженням імпортера або виробника, другий примірник залишається імпортеру або виробнику, а третій примірник подається до контролюючого органу за місцем митного оформлення таких бензинів авіаційних або палива для реактивних двигунів.</w:t>
      </w:r>
    </w:p>
    <w:p w14:paraId="45BBC4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8" w:name="n15343"/>
      <w:bookmarkEnd w:id="7248"/>
      <w:r w:rsidRPr="008B264B">
        <w:rPr>
          <w:rFonts w:ascii="Times New Roman" w:eastAsia="Times New Roman" w:hAnsi="Times New Roman" w:cs="Times New Roman"/>
          <w:color w:val="000000"/>
          <w:sz w:val="24"/>
          <w:szCs w:val="24"/>
          <w:lang/>
        </w:rPr>
        <w:lastRenderedPageBreak/>
        <w:t>229.8.3. Податковий вексель видається на суму акцизного податку, нарахованого на обсяг ввезених на митну територію України або вироблених в Україні бензинів авіаційних або палива для реактивних двигунів, виходячи із ставки, яка визначається як різниця між ставкою, встановленою </w:t>
      </w:r>
      <w:hyperlink r:id="rId4082"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із застосуванням підвищувального коефіцієнта 10, та ставкою, встановленою підпунктом 215.3.4 пункту 215.3 статті 215 цього Кодексу без застосування підвищувального коефіцієнта 10. До податкового векселя додається розрахунок суми акцизного податку.</w:t>
      </w:r>
    </w:p>
    <w:p w14:paraId="4F6159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49" w:name="n15344"/>
      <w:bookmarkEnd w:id="7249"/>
      <w:r w:rsidRPr="008B264B">
        <w:rPr>
          <w:rFonts w:ascii="Times New Roman" w:eastAsia="Times New Roman" w:hAnsi="Times New Roman" w:cs="Times New Roman"/>
          <w:color w:val="000000"/>
          <w:sz w:val="24"/>
          <w:szCs w:val="24"/>
          <w:lang/>
        </w:rPr>
        <w:t>Реалізація обсягів бензинів авіаційних або палива для реактивних двигунів суб’єктами господарювання, які отримали акцизні накладні, зареєстровані в Єдиному реєстрі акцизних накладних, із зазначенням в них реквізитів податкового векселя, виданого на суму акцизного податку, нарахованого на такі обсяги, здійснюється без сплати акцизного податку.</w:t>
      </w:r>
    </w:p>
    <w:p w14:paraId="64AC8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0" w:name="n15345"/>
      <w:bookmarkEnd w:id="7250"/>
      <w:r w:rsidRPr="008B264B">
        <w:rPr>
          <w:rFonts w:ascii="Times New Roman" w:eastAsia="Times New Roman" w:hAnsi="Times New Roman" w:cs="Times New Roman"/>
          <w:color w:val="000000"/>
          <w:sz w:val="24"/>
          <w:szCs w:val="24"/>
          <w:lang/>
        </w:rPr>
        <w:t>229.8.4. Строк, на який видається податковий вексель, не може перевищувати 90 календарних днів для палива для реактивних двигунів (код 2710 12 70 00, 2710 19 21 00 згідно з </w:t>
      </w:r>
      <w:hyperlink r:id="rId408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270 календарних днів - для бензинів авіаційних (код 2710 12 31 00 згідно з </w:t>
      </w:r>
      <w:hyperlink r:id="rId4084"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498534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1" w:name="n15951"/>
      <w:bookmarkEnd w:id="7251"/>
      <w:r w:rsidRPr="008B264B">
        <w:rPr>
          <w:rFonts w:ascii="Times New Roman" w:eastAsia="Times New Roman" w:hAnsi="Times New Roman" w:cs="Times New Roman"/>
          <w:i/>
          <w:iCs/>
          <w:color w:val="000000"/>
          <w:sz w:val="24"/>
          <w:szCs w:val="24"/>
          <w:lang/>
        </w:rPr>
        <w:t>{Підпункт 229.8.4 пункту 229.8 статті 229 із змінами, внесеними згідно із Законом </w:t>
      </w:r>
      <w:hyperlink r:id="rId4085" w:anchor="n8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62F71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2" w:name="n15346"/>
      <w:bookmarkEnd w:id="7252"/>
      <w:r w:rsidRPr="008B264B">
        <w:rPr>
          <w:rFonts w:ascii="Times New Roman" w:eastAsia="Times New Roman" w:hAnsi="Times New Roman" w:cs="Times New Roman"/>
          <w:color w:val="000000"/>
          <w:sz w:val="24"/>
          <w:szCs w:val="24"/>
          <w:lang/>
        </w:rPr>
        <w:t>229.8.5. Податковий вексель може бути виданий лише імпортером або виробником - платником податку.</w:t>
      </w:r>
    </w:p>
    <w:p w14:paraId="3529A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3" w:name="n15347"/>
      <w:bookmarkEnd w:id="7253"/>
      <w:r w:rsidRPr="008B264B">
        <w:rPr>
          <w:rFonts w:ascii="Times New Roman" w:eastAsia="Times New Roman" w:hAnsi="Times New Roman" w:cs="Times New Roman"/>
          <w:color w:val="000000"/>
          <w:sz w:val="24"/>
          <w:szCs w:val="24"/>
          <w:lang/>
        </w:rPr>
        <w:t>229.8.6. Виданий виробником податковий вексель є підставою для реалізації бензинів авіаційних або палива для реактивних двигунів із сплатою акцизного податку за ставкою, встановленою </w:t>
      </w:r>
      <w:hyperlink r:id="rId4086"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без застосування підвищувального коефіцієнта 10.</w:t>
      </w:r>
    </w:p>
    <w:p w14:paraId="191A95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4" w:name="n15348"/>
      <w:bookmarkEnd w:id="7254"/>
      <w:r w:rsidRPr="008B264B">
        <w:rPr>
          <w:rFonts w:ascii="Times New Roman" w:eastAsia="Times New Roman" w:hAnsi="Times New Roman" w:cs="Times New Roman"/>
          <w:color w:val="000000"/>
          <w:sz w:val="24"/>
          <w:szCs w:val="24"/>
          <w:lang/>
        </w:rPr>
        <w:t>229.8.7. Підставою для митного оформлення бензинів авіаційних або палива для реактивних двигунів, що ввозяться на митну територію України імпортером із сплатою акцизного податку за ставкою, встановленою </w:t>
      </w:r>
      <w:hyperlink r:id="rId4087"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без застосування підвищувального коефіцієнта 10, є подання таким імпортером до контролюючого органу, який здійснює митне оформлення, в порядку, передбаченому </w:t>
      </w:r>
      <w:hyperlink r:id="rId4088"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засобами електронного зв’язку копії податкового векселя, взятого на облік контролюючим органом.</w:t>
      </w:r>
    </w:p>
    <w:p w14:paraId="2BF44C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5" w:name="n15349"/>
      <w:bookmarkEnd w:id="7255"/>
      <w:r w:rsidRPr="008B264B">
        <w:rPr>
          <w:rFonts w:ascii="Times New Roman" w:eastAsia="Times New Roman" w:hAnsi="Times New Roman" w:cs="Times New Roman"/>
          <w:color w:val="000000"/>
          <w:sz w:val="24"/>
          <w:szCs w:val="24"/>
          <w:lang/>
        </w:rPr>
        <w:t>229.8.8. Обов’язки з погашення податкового векселя не можуть передаватися іншим особам незалежно від їх взаємовідносин з векселедавцем.</w:t>
      </w:r>
    </w:p>
    <w:p w14:paraId="561A3A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6" w:name="n15350"/>
      <w:bookmarkEnd w:id="7256"/>
      <w:r w:rsidRPr="008B264B">
        <w:rPr>
          <w:rFonts w:ascii="Times New Roman" w:eastAsia="Times New Roman" w:hAnsi="Times New Roman" w:cs="Times New Roman"/>
          <w:color w:val="000000"/>
          <w:sz w:val="24"/>
          <w:szCs w:val="24"/>
          <w:lang/>
        </w:rPr>
        <w:t>229.8.9. За користування податковим векселем не нараховуються відсотки або інші види плати, передбачені законодавством для інших видів векселів.</w:t>
      </w:r>
    </w:p>
    <w:p w14:paraId="473896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7" w:name="n15351"/>
      <w:bookmarkEnd w:id="7257"/>
      <w:r w:rsidRPr="008B264B">
        <w:rPr>
          <w:rFonts w:ascii="Times New Roman" w:eastAsia="Times New Roman" w:hAnsi="Times New Roman" w:cs="Times New Roman"/>
          <w:color w:val="000000"/>
          <w:sz w:val="24"/>
          <w:szCs w:val="24"/>
          <w:lang/>
        </w:rPr>
        <w:t>229.8.10. Податковий вексель без сплати коштами зазначеної в ньому суми акцизного податку погашається у разі підтвердження факту цільового використання бензинів авіаційних або палива для реактивних двигунів протягом строку, на який виданий такий вексель, шляхом реєстрації акцизних накладних в Єдиному реєстрі акцизних накладних на операції з:</w:t>
      </w:r>
    </w:p>
    <w:p w14:paraId="60F413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8" w:name="n15352"/>
      <w:bookmarkEnd w:id="7258"/>
      <w:r w:rsidRPr="008B264B">
        <w:rPr>
          <w:rFonts w:ascii="Times New Roman" w:eastAsia="Times New Roman" w:hAnsi="Times New Roman" w:cs="Times New Roman"/>
          <w:color w:val="000000"/>
          <w:sz w:val="24"/>
          <w:szCs w:val="24"/>
          <w:lang/>
        </w:rPr>
        <w:t>1) заправлення повітряних суден бензинами авіаційними або паливом для реактивних двигунів, складених суб’єктами господарювання, які здійснюють авіапаливозабезпечення згідно з чинним сертифікатом на відповідність вимогам авіаційних правил України на здійснення наземного обслуговування, виданим уповноваженим органом з питань цивільної авіації, або суб’єктами господарювання, які мають посвідчення про допуск до експлуатації постійного злітно-посадкового майданчика, видане уповноваженим органом з питань цивільної авіації відповідно до вимог авіаційних правил України;</w:t>
      </w:r>
    </w:p>
    <w:p w14:paraId="0E959C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59" w:name="n15952"/>
      <w:bookmarkEnd w:id="7259"/>
      <w:r w:rsidRPr="008B264B">
        <w:rPr>
          <w:rFonts w:ascii="Times New Roman" w:eastAsia="Times New Roman" w:hAnsi="Times New Roman" w:cs="Times New Roman"/>
          <w:i/>
          <w:iCs/>
          <w:color w:val="000000"/>
          <w:sz w:val="24"/>
          <w:szCs w:val="24"/>
          <w:lang/>
        </w:rPr>
        <w:t>{Абзац другий підпункту 229.8.10 пункту 229.8 статті 229 із змінами, внесеними згідно із Законом </w:t>
      </w:r>
      <w:hyperlink r:id="rId4089" w:anchor="n8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C92B2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0" w:name="n15353"/>
      <w:bookmarkEnd w:id="7260"/>
      <w:r w:rsidRPr="008B264B">
        <w:rPr>
          <w:rFonts w:ascii="Times New Roman" w:eastAsia="Times New Roman" w:hAnsi="Times New Roman" w:cs="Times New Roman"/>
          <w:color w:val="000000"/>
          <w:sz w:val="24"/>
          <w:szCs w:val="24"/>
          <w:lang/>
        </w:rPr>
        <w:lastRenderedPageBreak/>
        <w:t>2) реалізації бензинів авіаційних або палива для реактивних двигунів суб’єктам літакобудування, на яких поширюється дія норм </w:t>
      </w:r>
      <w:hyperlink r:id="rId4090" w:tgtFrame="_blank" w:history="1">
        <w:r w:rsidRPr="008B264B">
          <w:rPr>
            <w:rFonts w:ascii="Times New Roman" w:eastAsia="Times New Roman" w:hAnsi="Times New Roman" w:cs="Times New Roman"/>
            <w:color w:val="0000FF"/>
            <w:sz w:val="24"/>
            <w:szCs w:val="24"/>
            <w:u w:val="single"/>
            <w:lang/>
          </w:rPr>
          <w:t>статті 2</w:t>
        </w:r>
      </w:hyperlink>
      <w:r w:rsidRPr="008B264B">
        <w:rPr>
          <w:rFonts w:ascii="Times New Roman" w:eastAsia="Times New Roman" w:hAnsi="Times New Roman" w:cs="Times New Roman"/>
          <w:color w:val="000000"/>
          <w:sz w:val="24"/>
          <w:szCs w:val="24"/>
          <w:lang/>
        </w:rPr>
        <w:t> Закону України "Про розвиток літакобудівної промисловості", складених платником податку, який здійснює таку реалізацію;</w:t>
      </w:r>
    </w:p>
    <w:p w14:paraId="42E6A5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1" w:name="n15354"/>
      <w:bookmarkEnd w:id="7261"/>
      <w:r w:rsidRPr="008B264B">
        <w:rPr>
          <w:rFonts w:ascii="Times New Roman" w:eastAsia="Times New Roman" w:hAnsi="Times New Roman" w:cs="Times New Roman"/>
          <w:color w:val="000000"/>
          <w:sz w:val="24"/>
          <w:szCs w:val="24"/>
          <w:lang/>
        </w:rPr>
        <w:t>3) реалізації бензинів авіаційних або палива для реактивних двигунів замовникам, які здійснили закупівлю для забезпечення потреб держави або територіальної громади відповідно до </w:t>
      </w:r>
      <w:hyperlink r:id="rId409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публічні закупівлі", складених платником податку, який здійснює таку реалізацію;</w:t>
      </w:r>
    </w:p>
    <w:p w14:paraId="256A1D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2" w:name="n15355"/>
      <w:bookmarkEnd w:id="7262"/>
      <w:r w:rsidRPr="008B264B">
        <w:rPr>
          <w:rFonts w:ascii="Times New Roman" w:eastAsia="Times New Roman" w:hAnsi="Times New Roman" w:cs="Times New Roman"/>
          <w:color w:val="000000"/>
          <w:sz w:val="24"/>
          <w:szCs w:val="24"/>
          <w:lang/>
        </w:rPr>
        <w:t>4) реалізації бензинів авіаційних або палива для реактивних двигунів центральному органу виконавчої влади, що реалізує державну політику у сфері державного матеріального резерву, складених платником податку, який здійснює таку реалізацію.</w:t>
      </w:r>
    </w:p>
    <w:p w14:paraId="7300D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3" w:name="n15953"/>
      <w:bookmarkEnd w:id="7263"/>
      <w:r w:rsidRPr="008B264B">
        <w:rPr>
          <w:rFonts w:ascii="Times New Roman" w:eastAsia="Times New Roman" w:hAnsi="Times New Roman" w:cs="Times New Roman"/>
          <w:i/>
          <w:iCs/>
          <w:color w:val="000000"/>
          <w:sz w:val="24"/>
          <w:szCs w:val="24"/>
          <w:lang/>
        </w:rPr>
        <w:t>{Абзац п'ятий підпункту 229.8.10 пункту 229.8 статті 229 із змінами, внесеними згідно із Законом </w:t>
      </w:r>
      <w:hyperlink r:id="rId4092" w:anchor="n9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34C89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4" w:name="n15356"/>
      <w:bookmarkEnd w:id="7264"/>
      <w:r w:rsidRPr="008B264B">
        <w:rPr>
          <w:rFonts w:ascii="Times New Roman" w:eastAsia="Times New Roman" w:hAnsi="Times New Roman" w:cs="Times New Roman"/>
          <w:color w:val="000000"/>
          <w:sz w:val="24"/>
          <w:szCs w:val="24"/>
          <w:lang/>
        </w:rPr>
        <w:t>Акцизні накладні на такі операції складаються на підставі первинних документів.</w:t>
      </w:r>
    </w:p>
    <w:p w14:paraId="2A32BE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5" w:name="n15357"/>
      <w:bookmarkEnd w:id="7265"/>
      <w:r w:rsidRPr="008B264B">
        <w:rPr>
          <w:rFonts w:ascii="Times New Roman" w:eastAsia="Times New Roman" w:hAnsi="Times New Roman" w:cs="Times New Roman"/>
          <w:color w:val="000000"/>
          <w:sz w:val="24"/>
          <w:szCs w:val="24"/>
          <w:lang/>
        </w:rPr>
        <w:t>Податковий вексель без сплати коштами зазначеної в ньому суми акцизного податку за операціями, визначеними:</w:t>
      </w:r>
    </w:p>
    <w:p w14:paraId="77B845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6" w:name="n15954"/>
      <w:bookmarkEnd w:id="7266"/>
      <w:r w:rsidRPr="008B264B">
        <w:rPr>
          <w:rFonts w:ascii="Times New Roman" w:eastAsia="Times New Roman" w:hAnsi="Times New Roman" w:cs="Times New Roman"/>
          <w:i/>
          <w:iCs/>
          <w:color w:val="000000"/>
          <w:sz w:val="24"/>
          <w:szCs w:val="24"/>
          <w:lang/>
        </w:rPr>
        <w:t>{Абзац сьомий підпункту 229.8.10 пункту 229.8 статті 229 в редакції Закону </w:t>
      </w:r>
      <w:hyperlink r:id="rId4093"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35EC4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7" w:name="n15358"/>
      <w:bookmarkEnd w:id="7267"/>
      <w:r w:rsidRPr="008B264B">
        <w:rPr>
          <w:rFonts w:ascii="Times New Roman" w:eastAsia="Times New Roman" w:hAnsi="Times New Roman" w:cs="Times New Roman"/>
          <w:color w:val="000000"/>
          <w:sz w:val="24"/>
          <w:szCs w:val="24"/>
          <w:lang/>
        </w:rPr>
        <w:t>у підпункті 1 цього підпункту, - погашається на підставі акцизних накладних, зареєстрованих в Єдиному реєстрі акцизних накладних, суб’єктами господарювання, визначеними у підпункті 1 цього підпункту, виходячи з обсягів пального, зазначених в таких акцизних накладних;</w:t>
      </w:r>
    </w:p>
    <w:p w14:paraId="15AFC4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8" w:name="n15955"/>
      <w:bookmarkEnd w:id="7268"/>
      <w:r w:rsidRPr="008B264B">
        <w:rPr>
          <w:rFonts w:ascii="Times New Roman" w:eastAsia="Times New Roman" w:hAnsi="Times New Roman" w:cs="Times New Roman"/>
          <w:i/>
          <w:iCs/>
          <w:color w:val="000000"/>
          <w:sz w:val="24"/>
          <w:szCs w:val="24"/>
          <w:lang/>
        </w:rPr>
        <w:t>{Абзац восьмий підпункту 229.8.10 пункту 229.8 статті 229 в редакції Закону </w:t>
      </w:r>
      <w:hyperlink r:id="rId4094"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31479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69" w:name="n15957"/>
      <w:bookmarkEnd w:id="7269"/>
      <w:r w:rsidRPr="008B264B">
        <w:rPr>
          <w:rFonts w:ascii="Times New Roman" w:eastAsia="Times New Roman" w:hAnsi="Times New Roman" w:cs="Times New Roman"/>
          <w:color w:val="000000"/>
          <w:sz w:val="24"/>
          <w:szCs w:val="24"/>
          <w:lang/>
        </w:rPr>
        <w:t>у підпунктах 2-4 цього підпункту, - погашається на підставі копій первинних документів та договорів на реалізацію пального, що підтверджують реалізацію пального по всьому ланцюгу реалізації пального від виробника/імпортера до суб’єктів, визначених у підпунктах 2-4 цього підпункту, поданих до контролюючого органу, та акцизних накладних, складених на такі операції та зареєстрованих в Єдиному реєстрі акцизних накладних.</w:t>
      </w:r>
    </w:p>
    <w:p w14:paraId="138D49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0" w:name="n15963"/>
      <w:bookmarkEnd w:id="7270"/>
      <w:r w:rsidRPr="008B264B">
        <w:rPr>
          <w:rFonts w:ascii="Times New Roman" w:eastAsia="Times New Roman" w:hAnsi="Times New Roman" w:cs="Times New Roman"/>
          <w:i/>
          <w:iCs/>
          <w:color w:val="000000"/>
          <w:sz w:val="24"/>
          <w:szCs w:val="24"/>
          <w:lang/>
        </w:rPr>
        <w:t>{Абзац підпункту 229.8.10 пункту 229.8 статті 229 в редакції Закону </w:t>
      </w:r>
      <w:hyperlink r:id="rId4095"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E504B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1" w:name="n15958"/>
      <w:bookmarkEnd w:id="7271"/>
      <w:r w:rsidRPr="008B264B">
        <w:rPr>
          <w:rFonts w:ascii="Times New Roman" w:eastAsia="Times New Roman" w:hAnsi="Times New Roman" w:cs="Times New Roman"/>
          <w:color w:val="000000"/>
          <w:sz w:val="24"/>
          <w:szCs w:val="24"/>
          <w:lang/>
        </w:rPr>
        <w:t>Податковий вексель без сплати коштами зазначеної в ньому суми акцизного податку на обсяги втрачених бензинів авіаційних або палива для реактивних двигунів, що не перевищують нормативів втрат, затверджених Кабінетом Міністрів України, погашається на підставі копій первинних документів про втрати таких обсягів пального та акцизних накладних, зареєстрованих в Єдиному реєстрі акцизних накладних.</w:t>
      </w:r>
    </w:p>
    <w:p w14:paraId="596EB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2" w:name="n15962"/>
      <w:bookmarkEnd w:id="7272"/>
      <w:r w:rsidRPr="008B264B">
        <w:rPr>
          <w:rFonts w:ascii="Times New Roman" w:eastAsia="Times New Roman" w:hAnsi="Times New Roman" w:cs="Times New Roman"/>
          <w:i/>
          <w:iCs/>
          <w:color w:val="000000"/>
          <w:sz w:val="24"/>
          <w:szCs w:val="24"/>
          <w:lang/>
        </w:rPr>
        <w:t>{Абзац підпункту 229.8.10 пункту 229.8 статті 229 в редакції Закону </w:t>
      </w:r>
      <w:hyperlink r:id="rId4096"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68416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3" w:name="n15959"/>
      <w:bookmarkEnd w:id="7273"/>
      <w:r w:rsidRPr="008B264B">
        <w:rPr>
          <w:rFonts w:ascii="Times New Roman" w:eastAsia="Times New Roman" w:hAnsi="Times New Roman" w:cs="Times New Roman"/>
          <w:color w:val="000000"/>
          <w:sz w:val="24"/>
          <w:szCs w:val="24"/>
          <w:lang/>
        </w:rPr>
        <w:t>Сума акцизного податку, сплачена виробником/імпортером до закінчення строку, на який видано податковий вексель, виходячи з обсягів бензинів авіаційних або палива для реактивних двигунів, цільове використання яких не підтверджено, враховується векселедержателем при погашенні податкового векселя. Така сума податку обчислюється виходячи з обсягу бензинів авіаційних або палива для реактивних двигунів, цільове використання якого не підтверджено, та ставки податку, яка визначається як різниця між ставкою, встановленою </w:t>
      </w:r>
      <w:hyperlink r:id="rId4097"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із застосуванням підвищувального коефіцієнта 10, та ставкою, встановленою </w:t>
      </w:r>
      <w:hyperlink r:id="rId4098"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без застосування підвищувального коефіцієнта 10.</w:t>
      </w:r>
    </w:p>
    <w:p w14:paraId="145795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4" w:name="n15961"/>
      <w:bookmarkEnd w:id="7274"/>
      <w:r w:rsidRPr="008B264B">
        <w:rPr>
          <w:rFonts w:ascii="Times New Roman" w:eastAsia="Times New Roman" w:hAnsi="Times New Roman" w:cs="Times New Roman"/>
          <w:i/>
          <w:iCs/>
          <w:color w:val="000000"/>
          <w:sz w:val="24"/>
          <w:szCs w:val="24"/>
          <w:lang/>
        </w:rPr>
        <w:t>{Абзац підпункту 229.8.10 пункту 229.8 статті 229 в редакції Закону </w:t>
      </w:r>
      <w:hyperlink r:id="rId4099"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F143A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5" w:name="n15960"/>
      <w:bookmarkEnd w:id="7275"/>
      <w:r w:rsidRPr="008B264B">
        <w:rPr>
          <w:rFonts w:ascii="Times New Roman" w:eastAsia="Times New Roman" w:hAnsi="Times New Roman" w:cs="Times New Roman"/>
          <w:color w:val="000000"/>
          <w:sz w:val="24"/>
          <w:szCs w:val="24"/>
          <w:lang/>
        </w:rPr>
        <w:lastRenderedPageBreak/>
        <w:t>Векселедержатель перевіряє документи, надані виробником/імпортером для погашення податкового векселя, протягом п’яти робочих днів з дня їх отримання. За результатами перевірки векселедержатель приймає рішення про погашення податкового векселя або про здійснення процедур, передбачених </w:t>
      </w:r>
      <w:hyperlink r:id="rId4100" w:anchor="n15361" w:history="1">
        <w:r w:rsidRPr="008B264B">
          <w:rPr>
            <w:rFonts w:ascii="Times New Roman" w:eastAsia="Times New Roman" w:hAnsi="Times New Roman" w:cs="Times New Roman"/>
            <w:color w:val="0000FF"/>
            <w:sz w:val="24"/>
            <w:szCs w:val="24"/>
            <w:u w:val="single"/>
            <w:lang/>
          </w:rPr>
          <w:t>підпунктом 229.8.11</w:t>
        </w:r>
      </w:hyperlink>
      <w:r w:rsidRPr="008B264B">
        <w:rPr>
          <w:rFonts w:ascii="Times New Roman" w:eastAsia="Times New Roman" w:hAnsi="Times New Roman" w:cs="Times New Roman"/>
          <w:color w:val="000000"/>
          <w:sz w:val="24"/>
          <w:szCs w:val="24"/>
          <w:lang/>
        </w:rPr>
        <w:t> цього пункту.</w:t>
      </w:r>
    </w:p>
    <w:p w14:paraId="461AC1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6" w:name="n15956"/>
      <w:bookmarkEnd w:id="7276"/>
      <w:r w:rsidRPr="008B264B">
        <w:rPr>
          <w:rFonts w:ascii="Times New Roman" w:eastAsia="Times New Roman" w:hAnsi="Times New Roman" w:cs="Times New Roman"/>
          <w:i/>
          <w:iCs/>
          <w:color w:val="000000"/>
          <w:sz w:val="24"/>
          <w:szCs w:val="24"/>
          <w:lang/>
        </w:rPr>
        <w:t>{Абзац підпункту 229.8.10 пункту 229.8 статті 229 в редакції Закону </w:t>
      </w:r>
      <w:hyperlink r:id="rId4101" w:anchor="n9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B6FEC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7" w:name="n15359"/>
      <w:bookmarkEnd w:id="7277"/>
      <w:r w:rsidRPr="008B264B">
        <w:rPr>
          <w:rFonts w:ascii="Times New Roman" w:eastAsia="Times New Roman" w:hAnsi="Times New Roman" w:cs="Times New Roman"/>
          <w:color w:val="000000"/>
          <w:sz w:val="24"/>
          <w:szCs w:val="24"/>
          <w:lang/>
        </w:rPr>
        <w:t>Інформація про суб’єктів господарювання, які здійснюють авіапаливозабезпечення згідно з чинним сертифікатом на відповідність вимогам авіаційних правил України на здійснення наземного обслуговування, та суб’єктів господарювання, які мають посвідчення про допуск до експлуатації постійного злітно-посадкового майданчика, видане уповноваженим органом з питань цивільної авіації відповідно до вимог авіаційних правил України, оприлюднюється центральним органом виконавчої влади, що реалізує державну політику у сфері цивільної авіації та використання повітряного простору України, на його офіційному веб-сайті.</w:t>
      </w:r>
    </w:p>
    <w:p w14:paraId="5FC258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8" w:name="n15964"/>
      <w:bookmarkEnd w:id="7278"/>
      <w:r w:rsidRPr="008B264B">
        <w:rPr>
          <w:rFonts w:ascii="Times New Roman" w:eastAsia="Times New Roman" w:hAnsi="Times New Roman" w:cs="Times New Roman"/>
          <w:i/>
          <w:iCs/>
          <w:color w:val="000000"/>
          <w:sz w:val="24"/>
          <w:szCs w:val="24"/>
          <w:lang/>
        </w:rPr>
        <w:t>{Абзац тринадцятий підпункту 229.8.10 пункту 229.8 статті 229 із змінами, внесеними згідно із Законом </w:t>
      </w:r>
      <w:hyperlink r:id="rId4102" w:anchor="n9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DDD12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79" w:name="n15360"/>
      <w:bookmarkEnd w:id="7279"/>
      <w:r w:rsidRPr="008B264B">
        <w:rPr>
          <w:rFonts w:ascii="Times New Roman" w:eastAsia="Times New Roman" w:hAnsi="Times New Roman" w:cs="Times New Roman"/>
          <w:color w:val="000000"/>
          <w:sz w:val="24"/>
          <w:szCs w:val="24"/>
          <w:lang/>
        </w:rPr>
        <w:t>Суб’єктами господарювання, які здійснюють авіапаливозабезпечення згідно з чинним сертифікатом на відповідність вимогам авіаційних правил України на здійснення наземного обслуговування, та суб’єктами господарювання, які мають посвідчення про допуск до експлуатації постійного злітно-посадкового майданчика, видане уповноваженим органом з питань цивільної авіації відповідно до вимог авіаційних правил України, у складі декларації акцизного податку надається інформація про повітряні судна, які були заправлені, та про обсяги бензинів авіаційних або палива для реактивних двигунів, використані для заправлення таких суден.</w:t>
      </w:r>
    </w:p>
    <w:p w14:paraId="651C30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0" w:name="n15965"/>
      <w:bookmarkEnd w:id="7280"/>
      <w:r w:rsidRPr="008B264B">
        <w:rPr>
          <w:rFonts w:ascii="Times New Roman" w:eastAsia="Times New Roman" w:hAnsi="Times New Roman" w:cs="Times New Roman"/>
          <w:i/>
          <w:iCs/>
          <w:color w:val="000000"/>
          <w:sz w:val="24"/>
          <w:szCs w:val="24"/>
          <w:lang/>
        </w:rPr>
        <w:t>{Абзац чотирнадцятий підпункту 229.8.10 пункту 229.8 статті 229 із змінами, внесеними згідно із Законом </w:t>
      </w:r>
      <w:hyperlink r:id="rId4103" w:anchor="n10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583B4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1" w:name="n15361"/>
      <w:bookmarkEnd w:id="7281"/>
      <w:r w:rsidRPr="008B264B">
        <w:rPr>
          <w:rFonts w:ascii="Times New Roman" w:eastAsia="Times New Roman" w:hAnsi="Times New Roman" w:cs="Times New Roman"/>
          <w:color w:val="000000"/>
          <w:sz w:val="24"/>
          <w:szCs w:val="24"/>
          <w:lang/>
        </w:rPr>
        <w:t>229.8.11. У разі якщо передбачений цим пунктом податковий вексель не погашено в установлений строк, векселедержатель протягом п’яти робочих днів, наступних за останнім днем строку, на який видано податковий вексель, здійснює протест такого векселя у неплатежі згідно із законодавством та протягом одного робочого дня з дати вчинення протесту звертається до банку, який здійснив аваль векселя, з опротестованим податковим векселем. Банк-аваліст зобов’язаний не пізніше операційного дня, що настає за датою звернення векселедержателя з опротестованим податковим векселем, переказати суму, зазначену в податковому векселі, векселедержателю.</w:t>
      </w:r>
    </w:p>
    <w:p w14:paraId="289DB1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2" w:name="n15966"/>
      <w:bookmarkEnd w:id="7282"/>
      <w:r w:rsidRPr="008B264B">
        <w:rPr>
          <w:rFonts w:ascii="Times New Roman" w:eastAsia="Times New Roman" w:hAnsi="Times New Roman" w:cs="Times New Roman"/>
          <w:i/>
          <w:iCs/>
          <w:color w:val="000000"/>
          <w:sz w:val="24"/>
          <w:szCs w:val="24"/>
          <w:lang/>
        </w:rPr>
        <w:t>{Підпункт 229.8.11 пункту 229.8 статті 229 із змінами, внесеними згідно із Законом </w:t>
      </w:r>
      <w:hyperlink r:id="rId4104" w:anchor="n10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4A20B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3" w:name="n15362"/>
      <w:bookmarkEnd w:id="7283"/>
      <w:r w:rsidRPr="008B264B">
        <w:rPr>
          <w:rFonts w:ascii="Times New Roman" w:eastAsia="Times New Roman" w:hAnsi="Times New Roman" w:cs="Times New Roman"/>
          <w:color w:val="000000"/>
          <w:sz w:val="24"/>
          <w:szCs w:val="24"/>
          <w:lang/>
        </w:rPr>
        <w:t>229.8.12. У разі відсутності підтвердження у встановлений строк цільового використання імпортером або виробником, які видали податковий вексель, бензинів авіаційних або палива для реактивних двигунів з таких імпортера або виробника справляється штраф у розмірі 50 відсотків суми акцизного податку, яка обчислюється виходячи з обсягів бензинів авіаційних або палива для реактивних двигунів, за якими відсутнє підтвердження цільового використання, та ставки акцизного податку, встановленої </w:t>
      </w:r>
      <w:hyperlink r:id="rId4105"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із застосуванням підвищувального коефіцієнта 10.</w:t>
      </w:r>
    </w:p>
    <w:p w14:paraId="17A96B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4" w:name="n15968"/>
      <w:bookmarkEnd w:id="7284"/>
      <w:r w:rsidRPr="008B264B">
        <w:rPr>
          <w:rFonts w:ascii="Times New Roman" w:eastAsia="Times New Roman" w:hAnsi="Times New Roman" w:cs="Times New Roman"/>
          <w:color w:val="000000"/>
          <w:sz w:val="24"/>
          <w:szCs w:val="24"/>
          <w:lang/>
        </w:rPr>
        <w:t>229.8.13. Суб’єкти господарювання, визначені у </w:t>
      </w:r>
      <w:hyperlink r:id="rId4106" w:anchor="n15353" w:history="1">
        <w:r w:rsidRPr="008B264B">
          <w:rPr>
            <w:rFonts w:ascii="Times New Roman" w:eastAsia="Times New Roman" w:hAnsi="Times New Roman" w:cs="Times New Roman"/>
            <w:color w:val="0000FF"/>
            <w:sz w:val="24"/>
            <w:szCs w:val="24"/>
            <w:u w:val="single"/>
            <w:lang/>
          </w:rPr>
          <w:t>підпунктах 2-3</w:t>
        </w:r>
      </w:hyperlink>
      <w:r w:rsidRPr="008B264B">
        <w:rPr>
          <w:rFonts w:ascii="Times New Roman" w:eastAsia="Times New Roman" w:hAnsi="Times New Roman" w:cs="Times New Roman"/>
          <w:color w:val="000000"/>
          <w:sz w:val="24"/>
          <w:szCs w:val="24"/>
          <w:lang/>
        </w:rPr>
        <w:t> підпункту 229.8.10 цього пункту, мають право реалізовувати бензини авіаційні та/або паливо для реактивних двигунів іншим особам у разі сплати акцизного податку, нарахованого на обсяги такого пального, виходячи із ставки, яка визначається як різниця між ставкою, встановленою підпунктом 215.3.4 пункту 215.3 статті 215 цього Кодексу із застосуванням підвищувального коефіцієнта 10, та ставкою, встановленою </w:t>
      </w:r>
      <w:hyperlink r:id="rId4107" w:anchor="n5506" w:history="1">
        <w:r w:rsidRPr="008B264B">
          <w:rPr>
            <w:rFonts w:ascii="Times New Roman" w:eastAsia="Times New Roman" w:hAnsi="Times New Roman" w:cs="Times New Roman"/>
            <w:color w:val="0000FF"/>
            <w:sz w:val="24"/>
            <w:szCs w:val="24"/>
            <w:u w:val="single"/>
            <w:lang/>
          </w:rPr>
          <w:t>підпунктом 215.3.4</w:t>
        </w:r>
      </w:hyperlink>
      <w:r w:rsidRPr="008B264B">
        <w:rPr>
          <w:rFonts w:ascii="Times New Roman" w:eastAsia="Times New Roman" w:hAnsi="Times New Roman" w:cs="Times New Roman"/>
          <w:color w:val="000000"/>
          <w:sz w:val="24"/>
          <w:szCs w:val="24"/>
          <w:lang/>
        </w:rPr>
        <w:t> пункту 215.3 статті 215 цього Кодексу без застосування підвищувального коефіцієнта 10.</w:t>
      </w:r>
    </w:p>
    <w:p w14:paraId="598A90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5" w:name="n15967"/>
      <w:bookmarkEnd w:id="7285"/>
      <w:r w:rsidRPr="008B264B">
        <w:rPr>
          <w:rFonts w:ascii="Times New Roman" w:eastAsia="Times New Roman" w:hAnsi="Times New Roman" w:cs="Times New Roman"/>
          <w:i/>
          <w:iCs/>
          <w:color w:val="000000"/>
          <w:sz w:val="24"/>
          <w:szCs w:val="24"/>
          <w:lang/>
        </w:rPr>
        <w:lastRenderedPageBreak/>
        <w:t>{Пункт 229.8 статті 229 доповнено підпунктом 229.8.13 згідно із Законом </w:t>
      </w:r>
      <w:hyperlink r:id="rId4108" w:anchor="n10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3E40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6" w:name="n15339"/>
      <w:bookmarkEnd w:id="7286"/>
      <w:r w:rsidRPr="008B264B">
        <w:rPr>
          <w:rFonts w:ascii="Times New Roman" w:eastAsia="Times New Roman" w:hAnsi="Times New Roman" w:cs="Times New Roman"/>
          <w:i/>
          <w:iCs/>
          <w:color w:val="000000"/>
          <w:sz w:val="24"/>
          <w:szCs w:val="24"/>
          <w:lang/>
        </w:rPr>
        <w:t>{Статтю 229 доповнено пунктом 229.8 згідно із Законом </w:t>
      </w:r>
      <w:hyperlink r:id="rId4109" w:anchor="n34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E3E52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7" w:name="n5821"/>
      <w:bookmarkEnd w:id="7287"/>
      <w:r w:rsidRPr="008B264B">
        <w:rPr>
          <w:rFonts w:ascii="Times New Roman" w:eastAsia="Times New Roman" w:hAnsi="Times New Roman" w:cs="Times New Roman"/>
          <w:b/>
          <w:bCs/>
          <w:color w:val="000000"/>
          <w:sz w:val="24"/>
          <w:szCs w:val="24"/>
          <w:lang/>
        </w:rPr>
        <w:t>Стаття 230.</w:t>
      </w:r>
      <w:r w:rsidRPr="008B264B">
        <w:rPr>
          <w:rFonts w:ascii="Times New Roman" w:eastAsia="Times New Roman" w:hAnsi="Times New Roman" w:cs="Times New Roman"/>
          <w:color w:val="000000"/>
          <w:sz w:val="24"/>
          <w:szCs w:val="24"/>
          <w:lang/>
        </w:rPr>
        <w:t> Акцизні склади</w:t>
      </w:r>
    </w:p>
    <w:p w14:paraId="47DEEF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8" w:name="n5822"/>
      <w:bookmarkEnd w:id="7288"/>
      <w:r w:rsidRPr="008B264B">
        <w:rPr>
          <w:rFonts w:ascii="Times New Roman" w:eastAsia="Times New Roman" w:hAnsi="Times New Roman" w:cs="Times New Roman"/>
          <w:color w:val="000000"/>
          <w:sz w:val="24"/>
          <w:szCs w:val="24"/>
          <w:lang/>
        </w:rPr>
        <w:t>230.1. Акцизні склади та акцизні склади пересувні утворюються з метою підвищення ефективності роботи із запобігання та боротьби з незаконним виробництвом і обігом спирту етилового, горілки та лікеро-горілчаних виробів, пального, посилення контролю за повнотою та своєчасністю надходження до бюджету акцизного податку.</w:t>
      </w:r>
    </w:p>
    <w:p w14:paraId="4EA82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89" w:name="n15581"/>
      <w:bookmarkEnd w:id="7289"/>
      <w:r w:rsidRPr="008B264B">
        <w:rPr>
          <w:rFonts w:ascii="Times New Roman" w:eastAsia="Times New Roman" w:hAnsi="Times New Roman" w:cs="Times New Roman"/>
          <w:color w:val="000000"/>
          <w:sz w:val="24"/>
          <w:szCs w:val="24"/>
          <w:lang/>
        </w:rPr>
        <w:t>230.1.1. Акцизні склади, на території яких виробляється спирт етиловий, повинні бути обладнані на кожному місці отримання та відпуску спирту етилового, розташованому на акцизному складі, витратомірами-лічильниками спирту етилового, що призначені для безперервного вимірювання, запам’ятовування, фіксування та відображення в електронному вигляді даних про обсяг отримання або відпуску спирту етилового в декалітрах 100-відсоткового спирту, приведених до температури 20° С, та обсяг вмісту денатуруючих добавок (далі - витратомір-лічильник спирту етилового), зареєстрованими в Єдиному державному реєстрі витратомірів-лічильників обсягу виробленого спирту етилового.</w:t>
      </w:r>
    </w:p>
    <w:p w14:paraId="24548B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0" w:name="n15582"/>
      <w:bookmarkEnd w:id="7290"/>
      <w:r w:rsidRPr="008B264B">
        <w:rPr>
          <w:rFonts w:ascii="Times New Roman" w:eastAsia="Times New Roman" w:hAnsi="Times New Roman" w:cs="Times New Roman"/>
          <w:color w:val="000000"/>
          <w:sz w:val="24"/>
          <w:szCs w:val="24"/>
          <w:lang/>
        </w:rPr>
        <w:t>Платники податку - розпорядники акцизних складів зобов’язані зареєструвати:</w:t>
      </w:r>
    </w:p>
    <w:p w14:paraId="5A786E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1" w:name="n15583"/>
      <w:bookmarkEnd w:id="7291"/>
      <w:r w:rsidRPr="008B264B">
        <w:rPr>
          <w:rFonts w:ascii="Times New Roman" w:eastAsia="Times New Roman" w:hAnsi="Times New Roman" w:cs="Times New Roman"/>
          <w:color w:val="000000"/>
          <w:sz w:val="24"/>
          <w:szCs w:val="24"/>
          <w:lang/>
        </w:rPr>
        <w:t>а) усі розташовані на акцизних складах витратоміри-лічильники спирту етилового у розрізі акцизних складів - в Єдиному державному реєстрі витратомірів-лічильників обсягу виробленого спирту етилового;</w:t>
      </w:r>
    </w:p>
    <w:p w14:paraId="592CD1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2" w:name="n15584"/>
      <w:bookmarkEnd w:id="7292"/>
      <w:r w:rsidRPr="008B264B">
        <w:rPr>
          <w:rFonts w:ascii="Times New Roman" w:eastAsia="Times New Roman" w:hAnsi="Times New Roman" w:cs="Times New Roman"/>
          <w:color w:val="000000"/>
          <w:sz w:val="24"/>
          <w:szCs w:val="24"/>
          <w:lang/>
        </w:rPr>
        <w:t>б) усі акцизні склади - у системі електронного адміністрування реалізації пального та спирту етилового.</w:t>
      </w:r>
    </w:p>
    <w:p w14:paraId="276CE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3" w:name="n15585"/>
      <w:bookmarkEnd w:id="7293"/>
      <w:r w:rsidRPr="008B264B">
        <w:rPr>
          <w:rFonts w:ascii="Times New Roman" w:eastAsia="Times New Roman" w:hAnsi="Times New Roman" w:cs="Times New Roman"/>
          <w:color w:val="000000"/>
          <w:sz w:val="24"/>
          <w:szCs w:val="24"/>
          <w:lang/>
        </w:rPr>
        <w:t>Один акцизний склад може бути зареєстрований виключно одним розпорядником акцизного складу. Один розпорядник акцизного складу може зареєструвати один і більше акцизних складів.</w:t>
      </w:r>
    </w:p>
    <w:p w14:paraId="176834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4" w:name="n15586"/>
      <w:bookmarkEnd w:id="7294"/>
      <w:r w:rsidRPr="008B264B">
        <w:rPr>
          <w:rFonts w:ascii="Times New Roman" w:eastAsia="Times New Roman" w:hAnsi="Times New Roman" w:cs="Times New Roman"/>
          <w:color w:val="000000"/>
          <w:sz w:val="24"/>
          <w:szCs w:val="24"/>
          <w:lang/>
        </w:rPr>
        <w:t>Забороняється отримання та реалізація спирту етилового без наявності зареєстрованих витратомірів-лічильників спирту етилового, без реєстрації акцизного складу, а також через кожне місце отримання та відпуску спирту етилового, на якому вийшов з ладу або відсутній витратомір-лічильник спирту етилового.</w:t>
      </w:r>
    </w:p>
    <w:p w14:paraId="13B5D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5" w:name="n15587"/>
      <w:bookmarkEnd w:id="7295"/>
      <w:r w:rsidRPr="008B264B">
        <w:rPr>
          <w:rFonts w:ascii="Times New Roman" w:eastAsia="Times New Roman" w:hAnsi="Times New Roman" w:cs="Times New Roman"/>
          <w:color w:val="000000"/>
          <w:sz w:val="24"/>
          <w:szCs w:val="24"/>
          <w:lang/>
        </w:rPr>
        <w:t>Витратоміри-лічильники спирту етилового повинні відповідати вимогам законодавства та мати позитивний результат повірки або оцінку відповідності, проведені відповідно до законодавства. У разі відсутності позитивного результату повірки або оцінки відповідності витратомірів-лічильників спирту етилового для цілей цього Кодексу акцизні склади, на яких вони розташовані, вважаються необладнаними витратомірами-лічильниками спирту етилового.</w:t>
      </w:r>
    </w:p>
    <w:p w14:paraId="410BD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6" w:name="n15588"/>
      <w:bookmarkEnd w:id="7296"/>
      <w:r w:rsidRPr="008B264B">
        <w:rPr>
          <w:rFonts w:ascii="Times New Roman" w:eastAsia="Times New Roman" w:hAnsi="Times New Roman" w:cs="Times New Roman"/>
          <w:color w:val="000000"/>
          <w:sz w:val="24"/>
          <w:szCs w:val="24"/>
          <w:lang/>
        </w:rPr>
        <w:t>Розпорядники акцизних складів зобов’язані на кожному акцизному складі щоденно (крім днів, в які акцизний склад не працює) формувати дані про добові фактичні обсяги отриманого та реалізованого спирту етилового (далі у цьому розділі - обсяг обігу спирту етилового) у розрізі кодів товарних підкатегорій згідно з </w:t>
      </w:r>
      <w:hyperlink r:id="rId411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декалітрах 100-відсоткового спирту, приведених до температури 20° С.</w:t>
      </w:r>
    </w:p>
    <w:p w14:paraId="7EAF3C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7" w:name="n15589"/>
      <w:bookmarkEnd w:id="7297"/>
      <w:r w:rsidRPr="008B264B">
        <w:rPr>
          <w:rFonts w:ascii="Times New Roman" w:eastAsia="Times New Roman" w:hAnsi="Times New Roman" w:cs="Times New Roman"/>
          <w:color w:val="000000"/>
          <w:sz w:val="24"/>
          <w:szCs w:val="24"/>
          <w:lang/>
        </w:rPr>
        <w:t>Дані про обсяг обігу спирту етилового формуються після проведення останньої операції з обігу спирту етилового у звітній добі, але не пізніше 23 години 59 хвилин цієї доби, до початку здійснення операцій з обігу спирту етилового у добу, що настає за звітною добою, та подаються до центрального органу виконавчої влади, що реалізує державну податкову та митну політику, не пізніше 23 години 59 хвилин доби, що настає за звітною добою.</w:t>
      </w:r>
    </w:p>
    <w:p w14:paraId="23A384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8" w:name="n15590"/>
      <w:bookmarkEnd w:id="7298"/>
      <w:r w:rsidRPr="008B264B">
        <w:rPr>
          <w:rFonts w:ascii="Times New Roman" w:eastAsia="Times New Roman" w:hAnsi="Times New Roman" w:cs="Times New Roman"/>
          <w:color w:val="000000"/>
          <w:sz w:val="24"/>
          <w:szCs w:val="24"/>
          <w:lang/>
        </w:rPr>
        <w:t>Дані про обсяг обігу спирту етилового подаються електронними засобами зв’язку у формі електронних документів, яка затверджується центральним органом виконавчої влади, що забезпечує формування та реалізує державну фінансову політику.</w:t>
      </w:r>
    </w:p>
    <w:p w14:paraId="531479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299" w:name="n15591"/>
      <w:bookmarkEnd w:id="7299"/>
      <w:r w:rsidRPr="008B264B">
        <w:rPr>
          <w:rFonts w:ascii="Times New Roman" w:eastAsia="Times New Roman" w:hAnsi="Times New Roman" w:cs="Times New Roman"/>
          <w:color w:val="000000"/>
          <w:sz w:val="24"/>
          <w:szCs w:val="24"/>
          <w:lang/>
        </w:rPr>
        <w:lastRenderedPageBreak/>
        <w:t>Електронні документи заповнюються автоматично шляхом передачі до них даних з витратомірів-лічильників спирту етилового. В електронних документах також зазначаються відповідальною особою розпорядника акцизного складу дані про обсяги залишків спирту етилового, що знаходяться на акцизному складі в тарі, упаковці, про добовий обсяг реалізованого спирту етилового в тарі, упаковці, а також інформація про дні, в які акцизний склад не працює.</w:t>
      </w:r>
    </w:p>
    <w:p w14:paraId="53920B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0" w:name="n15592"/>
      <w:bookmarkEnd w:id="7300"/>
      <w:r w:rsidRPr="008B264B">
        <w:rPr>
          <w:rFonts w:ascii="Times New Roman" w:eastAsia="Times New Roman" w:hAnsi="Times New Roman" w:cs="Times New Roman"/>
          <w:color w:val="000000"/>
          <w:sz w:val="24"/>
          <w:szCs w:val="24"/>
          <w:lang/>
        </w:rPr>
        <w:t>Порядок ведення Єдиного державного реєстру витратомірів-лічильників обсягу виробленого спирту етилового, передачі облікових даних з них електронними засобами зв’язку до контролюючих органів встановлюється Кабінетом Міністрів України.</w:t>
      </w:r>
    </w:p>
    <w:p w14:paraId="24C116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1" w:name="n15593"/>
      <w:bookmarkEnd w:id="7301"/>
      <w:r w:rsidRPr="008B264B">
        <w:rPr>
          <w:rFonts w:ascii="Times New Roman" w:eastAsia="Times New Roman" w:hAnsi="Times New Roman" w:cs="Times New Roman"/>
          <w:color w:val="000000"/>
          <w:sz w:val="24"/>
          <w:szCs w:val="24"/>
          <w:lang/>
        </w:rPr>
        <w:t>У такому реєстрі міститься податкова інформація про розпорядників акцизних складів, наявні у них акцизні склади, розташовані на акцизних складах витратоміри-лічильники спирту етилового, їх серійні (ідентифікаційні) номери, а також дані про фактичний обсяг обігу спирту етилового у розрізі кодів товарних підкатегорій згідно з </w:t>
      </w:r>
      <w:hyperlink r:id="rId4111"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акцизних складів та розпорядників акцизних складів.</w:t>
      </w:r>
    </w:p>
    <w:p w14:paraId="1E7F70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2" w:name="n15594"/>
      <w:bookmarkEnd w:id="7302"/>
      <w:r w:rsidRPr="008B264B">
        <w:rPr>
          <w:rFonts w:ascii="Times New Roman" w:eastAsia="Times New Roman" w:hAnsi="Times New Roman" w:cs="Times New Roman"/>
          <w:color w:val="000000"/>
          <w:sz w:val="24"/>
          <w:szCs w:val="24"/>
          <w:lang/>
        </w:rPr>
        <w:t>Дані про фактичний обсяг обігу спирту етилового у розрізі кодів товарних підкатегорій згідно з </w:t>
      </w:r>
      <w:hyperlink r:id="rId4112"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акцизних складів та розпорядників акцизних складів зіставляються центральним органом виконавчої влади, що реалізує державну податкову та митну політику, з показниками системи електронного адміністрування реалізації пального та спирту етилового.</w:t>
      </w:r>
    </w:p>
    <w:p w14:paraId="1A067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3" w:name="n15595"/>
      <w:bookmarkEnd w:id="7303"/>
      <w:r w:rsidRPr="008B264B">
        <w:rPr>
          <w:rFonts w:ascii="Times New Roman" w:eastAsia="Times New Roman" w:hAnsi="Times New Roman" w:cs="Times New Roman"/>
          <w:color w:val="000000"/>
          <w:sz w:val="24"/>
          <w:szCs w:val="24"/>
          <w:lang/>
        </w:rPr>
        <w:t>230.1.2. Акцизні склади, на території яких здійснюється виробництво, оброблення (перероблення), змішування, розлив, навантаження-розвантаження, зберігання, реалізація пального, повинні бути обладнані витратомірами-лічильниками на кожному місці відпуску пального наливом з акцизного складу, розташованому на акцизному складі, та рівнемірами-лічильниками рівня таких товарів (продукції) у резервуарі, а для скрапленого газу (пропану або суміші пропану з бутаном), інших газів, бутану, ізобутану за кодами згідно з </w:t>
      </w:r>
      <w:hyperlink r:id="rId411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2711 12 11 00, 2711 12 19 00, 2711 12 91 00, 2711 12 93 00, 2711 12 94 00, 2711 12 97 00, 2711 13 10 00, 2711 13 30 00, 2711 13 91 00, 2711 13 97 00, 2711 14 00 00, 2711 19 00 00, 2901 10 00 10 - також можуть бути обладнані пристроями для вимірювання рівня або відсотка пального у резервуарі (далі - рівнемір-лічильник) на кожному введеному в експлуатацію стаціонарному резервуарі, розташованому на акцизному складі.</w:t>
      </w:r>
    </w:p>
    <w:p w14:paraId="04BCC9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4" w:name="n15969"/>
      <w:bookmarkEnd w:id="7304"/>
      <w:r w:rsidRPr="008B264B">
        <w:rPr>
          <w:rFonts w:ascii="Times New Roman" w:eastAsia="Times New Roman" w:hAnsi="Times New Roman" w:cs="Times New Roman"/>
          <w:i/>
          <w:iCs/>
          <w:color w:val="000000"/>
          <w:sz w:val="24"/>
          <w:szCs w:val="24"/>
          <w:lang/>
        </w:rPr>
        <w:t>{Абзац перший підпункту 230.1.2 пункту 230.1 статті 230 із змінами, внесеними згідно із Законом </w:t>
      </w:r>
      <w:hyperlink r:id="rId4114" w:anchor="n10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97AB2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5" w:name="n15596"/>
      <w:bookmarkEnd w:id="7305"/>
      <w:r w:rsidRPr="008B264B">
        <w:rPr>
          <w:rFonts w:ascii="Times New Roman" w:eastAsia="Times New Roman" w:hAnsi="Times New Roman" w:cs="Times New Roman"/>
          <w:color w:val="000000"/>
          <w:sz w:val="24"/>
          <w:szCs w:val="24"/>
          <w:lang/>
        </w:rPr>
        <w:t>Акцизні склади, на яких здійснюється діяльність з переробки нафти, газового конденсату, природного газу та їх суміші, з очищення коксового газу, з метою вилучення цільових компонентів (сировини), що передбачає повний технологічний цикл їх переробки в готову продукцію (пальне), повинні бути обладнані лише витратомірами-лічильниками на кожному місці відпуску готової підакцизної продукції (пального) наливом з такого акцизного складу.</w:t>
      </w:r>
    </w:p>
    <w:p w14:paraId="531E8E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6" w:name="n15970"/>
      <w:bookmarkEnd w:id="7306"/>
      <w:r w:rsidRPr="008B264B">
        <w:rPr>
          <w:rFonts w:ascii="Times New Roman" w:eastAsia="Times New Roman" w:hAnsi="Times New Roman" w:cs="Times New Roman"/>
          <w:i/>
          <w:iCs/>
          <w:color w:val="000000"/>
          <w:sz w:val="24"/>
          <w:szCs w:val="24"/>
          <w:lang/>
        </w:rPr>
        <w:t>{Абзац другий підпункту 230.1.2 пункту 230.1 статті 230 із змінами, внесеними згідно із Законом </w:t>
      </w:r>
      <w:hyperlink r:id="rId4115" w:anchor="n10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65722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7" w:name="n15597"/>
      <w:bookmarkEnd w:id="7307"/>
      <w:r w:rsidRPr="008B264B">
        <w:rPr>
          <w:rFonts w:ascii="Times New Roman" w:eastAsia="Times New Roman" w:hAnsi="Times New Roman" w:cs="Times New Roman"/>
          <w:color w:val="000000"/>
          <w:sz w:val="24"/>
          <w:szCs w:val="24"/>
          <w:lang/>
        </w:rPr>
        <w:t>Акцизні склади, на яких здійснюються виключно зберігання та реалізація пального, що отримується та реалізується виключно у споживчій тарі без зміни розфасовки, а також скрапленого газу природного, бензолу, метанолу, не обладнуються витратомірами-лічильниками та рівнемірами-лічильниками.</w:t>
      </w:r>
    </w:p>
    <w:p w14:paraId="67DB54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8" w:name="n15971"/>
      <w:bookmarkEnd w:id="7308"/>
      <w:r w:rsidRPr="008B264B">
        <w:rPr>
          <w:rFonts w:ascii="Times New Roman" w:eastAsia="Times New Roman" w:hAnsi="Times New Roman" w:cs="Times New Roman"/>
          <w:i/>
          <w:iCs/>
          <w:color w:val="000000"/>
          <w:sz w:val="24"/>
          <w:szCs w:val="24"/>
          <w:lang/>
        </w:rPr>
        <w:t>{Абзац третій підпункту 230.1.2 пункту 230.1 статті 230 із змінами, внесеними згідно із Законом </w:t>
      </w:r>
      <w:hyperlink r:id="rId4116" w:anchor="n10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436DE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09" w:name="n15598"/>
      <w:bookmarkEnd w:id="7309"/>
      <w:r w:rsidRPr="008B264B">
        <w:rPr>
          <w:rFonts w:ascii="Times New Roman" w:eastAsia="Times New Roman" w:hAnsi="Times New Roman" w:cs="Times New Roman"/>
          <w:color w:val="000000"/>
          <w:sz w:val="24"/>
          <w:szCs w:val="24"/>
          <w:lang/>
        </w:rPr>
        <w:t xml:space="preserve">Витратоміри-лічильники та резервуари повинні відповідати вимогам законодавства та мати позитивний результат повірки або оцінку відповідності, проведені відповідно до законодавства, а рівнеміри-лічильники повинні відповідати вимогам законодавства та мати позитивний результат повірки або оцінку відповідності, або калібрування, проведені відповідно до законодавства. У разі відсутності позитивного результату повірки або оцінки відповідності, або калібрування витратомірів-лічильників та рівнемірів-лічильників для цілей цього Кодексу </w:t>
      </w:r>
      <w:r w:rsidRPr="008B264B">
        <w:rPr>
          <w:rFonts w:ascii="Times New Roman" w:eastAsia="Times New Roman" w:hAnsi="Times New Roman" w:cs="Times New Roman"/>
          <w:color w:val="000000"/>
          <w:sz w:val="24"/>
          <w:szCs w:val="24"/>
          <w:lang/>
        </w:rPr>
        <w:lastRenderedPageBreak/>
        <w:t>акцизні склади, на яких вони розташовані, вважаються необладнаними витратомірами-лічильниками та рівнемірами-лічильниками.</w:t>
      </w:r>
    </w:p>
    <w:p w14:paraId="28154C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0" w:name="n15599"/>
      <w:bookmarkEnd w:id="7310"/>
      <w:r w:rsidRPr="008B264B">
        <w:rPr>
          <w:rFonts w:ascii="Times New Roman" w:eastAsia="Times New Roman" w:hAnsi="Times New Roman" w:cs="Times New Roman"/>
          <w:color w:val="000000"/>
          <w:sz w:val="24"/>
          <w:szCs w:val="24"/>
          <w:lang/>
        </w:rPr>
        <w:t>Паливороздавальні колонки та/або оливороздавальні колонки, встановлені на акцизних складах, на які є позитивні результати повірки або оцінка відповідності, проведені відповідно до законодавства, виконують функції витратомірів-лічильників.</w:t>
      </w:r>
    </w:p>
    <w:p w14:paraId="5422CE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1" w:name="n15600"/>
      <w:bookmarkEnd w:id="7311"/>
      <w:r w:rsidRPr="008B264B">
        <w:rPr>
          <w:rFonts w:ascii="Times New Roman" w:eastAsia="Times New Roman" w:hAnsi="Times New Roman" w:cs="Times New Roman"/>
          <w:color w:val="000000"/>
          <w:sz w:val="24"/>
          <w:szCs w:val="24"/>
          <w:lang/>
        </w:rPr>
        <w:t>Платники податку - розпорядники акцизних складів зобов’язані зареєструвати:</w:t>
      </w:r>
    </w:p>
    <w:p w14:paraId="566B99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2" w:name="n15601"/>
      <w:bookmarkEnd w:id="7312"/>
      <w:r w:rsidRPr="008B264B">
        <w:rPr>
          <w:rFonts w:ascii="Times New Roman" w:eastAsia="Times New Roman" w:hAnsi="Times New Roman" w:cs="Times New Roman"/>
          <w:color w:val="000000"/>
          <w:sz w:val="24"/>
          <w:szCs w:val="24"/>
          <w:lang/>
        </w:rPr>
        <w:t>а) усі розташовані на акцизних складах резервуари, введені в експлуатацію, витратоміри-лічильники та рівнеміри-лічильники у розрізі акцизних складів - в Єдиному державному реєстрі витратомірів-лічильників та рівнемірів-лічильників рівня пального у резервуарі;</w:t>
      </w:r>
    </w:p>
    <w:p w14:paraId="78E7CD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3" w:name="n15602"/>
      <w:bookmarkEnd w:id="7313"/>
      <w:r w:rsidRPr="008B264B">
        <w:rPr>
          <w:rFonts w:ascii="Times New Roman" w:eastAsia="Times New Roman" w:hAnsi="Times New Roman" w:cs="Times New Roman"/>
          <w:color w:val="000000"/>
          <w:sz w:val="24"/>
          <w:szCs w:val="24"/>
          <w:lang/>
        </w:rPr>
        <w:t>б) усі акцизні склади - в системі електронного адміністрування реалізації пального та спирту етилового.</w:t>
      </w:r>
    </w:p>
    <w:p w14:paraId="6FB2F3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4" w:name="n15603"/>
      <w:bookmarkEnd w:id="7314"/>
      <w:r w:rsidRPr="008B264B">
        <w:rPr>
          <w:rFonts w:ascii="Times New Roman" w:eastAsia="Times New Roman" w:hAnsi="Times New Roman" w:cs="Times New Roman"/>
          <w:color w:val="000000"/>
          <w:sz w:val="24"/>
          <w:szCs w:val="24"/>
          <w:lang/>
        </w:rPr>
        <w:t>Один акцизний склад може бути зареєстрований виключно одним розпорядником акцизного складу. Один розпорядник акцизного складу може зареєструвати один і більше акцизних складів.</w:t>
      </w:r>
    </w:p>
    <w:p w14:paraId="3F27AB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5" w:name="n15604"/>
      <w:bookmarkEnd w:id="7315"/>
      <w:r w:rsidRPr="008B264B">
        <w:rPr>
          <w:rFonts w:ascii="Times New Roman" w:eastAsia="Times New Roman" w:hAnsi="Times New Roman" w:cs="Times New Roman"/>
          <w:color w:val="000000"/>
          <w:sz w:val="24"/>
          <w:szCs w:val="24"/>
          <w:lang/>
        </w:rPr>
        <w:t>Забороняється здійснення реалізації пального без наявності зареєстрованих витратомірів-лічильників, рівнемірів-лічильників та резервуарів, без реєстрації акцизного складу.</w:t>
      </w:r>
    </w:p>
    <w:p w14:paraId="6FE4DF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6" w:name="n15605"/>
      <w:bookmarkEnd w:id="7316"/>
      <w:r w:rsidRPr="008B264B">
        <w:rPr>
          <w:rFonts w:ascii="Times New Roman" w:eastAsia="Times New Roman" w:hAnsi="Times New Roman" w:cs="Times New Roman"/>
          <w:color w:val="000000"/>
          <w:sz w:val="24"/>
          <w:szCs w:val="24"/>
          <w:lang/>
        </w:rPr>
        <w:t>230.1.3. Розпорядники акцизних складів зобов’язані на кожному акцизному складі щоденно (крім днів, в які акцизний склад не працює) формувати дані про фактичні залишки пального на початок та кінець звітної доби та про добові фактичні обсяги отриманого та реалізованого пального (далі у цьому розділі - обсяг обігу пального) у розрізі кодів товарних підкатегорій згідно з </w:t>
      </w:r>
      <w:hyperlink r:id="rId4117"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літрах, приведених до температури 15° С.</w:t>
      </w:r>
    </w:p>
    <w:p w14:paraId="3A65DD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7" w:name="n15606"/>
      <w:bookmarkEnd w:id="7317"/>
      <w:r w:rsidRPr="008B264B">
        <w:rPr>
          <w:rFonts w:ascii="Times New Roman" w:eastAsia="Times New Roman" w:hAnsi="Times New Roman" w:cs="Times New Roman"/>
          <w:color w:val="000000"/>
          <w:sz w:val="24"/>
          <w:szCs w:val="24"/>
          <w:lang/>
        </w:rPr>
        <w:t>Розпорядники акцизних складів, на акцизних складах яких здійснюється діяльність з переробки нафти, газового конденсату, природного газу та їх суміші, з очищення коксового газу, з метою вилучення цільових компонентів (сировини), що передбачає повний технологічний цикл їх переробки в готову продукцію (пальне), зобов’язані на кожному акцизному складі щоденно формувати дані лише про добовий фактичний обсяг реалізованого пального у розрізі кодів товарних підкатегорій згідно з </w:t>
      </w:r>
      <w:hyperlink r:id="rId411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літрах, приведених до температури 15° С.</w:t>
      </w:r>
    </w:p>
    <w:p w14:paraId="70DFB5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8" w:name="n15972"/>
      <w:bookmarkEnd w:id="7318"/>
      <w:r w:rsidRPr="008B264B">
        <w:rPr>
          <w:rFonts w:ascii="Times New Roman" w:eastAsia="Times New Roman" w:hAnsi="Times New Roman" w:cs="Times New Roman"/>
          <w:i/>
          <w:iCs/>
          <w:color w:val="000000"/>
          <w:sz w:val="24"/>
          <w:szCs w:val="24"/>
          <w:lang/>
        </w:rPr>
        <w:t>{Абзац другий підпункту 230.1.3 пункту 230.1 статті 230 із змінами, внесеними згідно із Законом </w:t>
      </w:r>
      <w:hyperlink r:id="rId4119" w:anchor="n11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139B9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19" w:name="n15974"/>
      <w:bookmarkEnd w:id="7319"/>
      <w:r w:rsidRPr="008B264B">
        <w:rPr>
          <w:rFonts w:ascii="Times New Roman" w:eastAsia="Times New Roman" w:hAnsi="Times New Roman" w:cs="Times New Roman"/>
          <w:color w:val="000000"/>
          <w:sz w:val="24"/>
          <w:szCs w:val="24"/>
          <w:lang/>
        </w:rPr>
        <w:t>Розпорядники акцизних складів, що використовують пальне виключно для потреб власного споживання чи промислової переробки і не здійснюють операцій з реалізації та зберігання пального іншим особам, зобов’язані на кожному акцизному складі формувати дані про обсяги обігу пального за звітний календарний місяць та фактичні залишки пального станом на перший та останній дні такого місяця у розрізі кодів товарних підкатегорій згідно з </w:t>
      </w:r>
      <w:hyperlink r:id="rId412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літрах, приведених до температури 15°С.</w:t>
      </w:r>
    </w:p>
    <w:p w14:paraId="2E8DA4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0" w:name="n15976"/>
      <w:bookmarkEnd w:id="7320"/>
      <w:r w:rsidRPr="008B264B">
        <w:rPr>
          <w:rFonts w:ascii="Times New Roman" w:eastAsia="Times New Roman" w:hAnsi="Times New Roman" w:cs="Times New Roman"/>
          <w:i/>
          <w:iCs/>
          <w:color w:val="000000"/>
          <w:sz w:val="24"/>
          <w:szCs w:val="24"/>
          <w:lang/>
        </w:rPr>
        <w:t>{Підпункт 230.1.3 пункту 230.1 статті 230 доповнено новим абзацом згідно із Законом </w:t>
      </w:r>
      <w:hyperlink r:id="rId4121" w:anchor="n11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AEC0C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1" w:name="n15975"/>
      <w:bookmarkEnd w:id="7321"/>
      <w:r w:rsidRPr="008B264B">
        <w:rPr>
          <w:rFonts w:ascii="Times New Roman" w:eastAsia="Times New Roman" w:hAnsi="Times New Roman" w:cs="Times New Roman"/>
          <w:color w:val="000000"/>
          <w:sz w:val="24"/>
          <w:szCs w:val="24"/>
          <w:lang/>
        </w:rPr>
        <w:t>Для цілей </w:t>
      </w:r>
      <w:hyperlink r:id="rId4122" w:anchor="n5821" w:history="1">
        <w:r w:rsidRPr="008B264B">
          <w:rPr>
            <w:rFonts w:ascii="Times New Roman" w:eastAsia="Times New Roman" w:hAnsi="Times New Roman" w:cs="Times New Roman"/>
            <w:color w:val="0000FF"/>
            <w:sz w:val="24"/>
            <w:szCs w:val="24"/>
            <w:u w:val="single"/>
            <w:lang/>
          </w:rPr>
          <w:t>статей 230-233</w:t>
        </w:r>
      </w:hyperlink>
      <w:r w:rsidRPr="008B264B">
        <w:rPr>
          <w:rFonts w:ascii="Times New Roman" w:eastAsia="Times New Roman" w:hAnsi="Times New Roman" w:cs="Times New Roman"/>
          <w:color w:val="000000"/>
          <w:sz w:val="24"/>
          <w:szCs w:val="24"/>
          <w:lang/>
        </w:rPr>
        <w:t> цього Кодексу скраплений газ (пропан або суміш пропану з бутаном), інші гази, бутан, ізобутан за кодами згідно з </w:t>
      </w:r>
      <w:hyperlink r:id="rId412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2711 12 11 00, 2711 12 19 00, 2711 12 91 00, 2711 12 93 00, 2711 12 94 00, 2711 12 97 00, 2711 13 10 00, 2711 13 30 00, 2711 13 91 00, 2711 13 97 00, 2711 14 00 00, 2711 19 00 00, 2901 10 00 10 обліковуються за умовним кодом 2711 у літрах, приведених до температури 15°С.</w:t>
      </w:r>
    </w:p>
    <w:p w14:paraId="1C9920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2" w:name="n15973"/>
      <w:bookmarkEnd w:id="7322"/>
      <w:r w:rsidRPr="008B264B">
        <w:rPr>
          <w:rFonts w:ascii="Times New Roman" w:eastAsia="Times New Roman" w:hAnsi="Times New Roman" w:cs="Times New Roman"/>
          <w:i/>
          <w:iCs/>
          <w:color w:val="000000"/>
          <w:sz w:val="24"/>
          <w:szCs w:val="24"/>
          <w:lang/>
        </w:rPr>
        <w:t>{Підпункт 230.1.3 пункту 230.1 статті 230 доповнено новим абзацом згідно із Законом </w:t>
      </w:r>
      <w:hyperlink r:id="rId4124" w:anchor="n11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9764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3" w:name="n15607"/>
      <w:bookmarkEnd w:id="7323"/>
      <w:r w:rsidRPr="008B264B">
        <w:rPr>
          <w:rFonts w:ascii="Times New Roman" w:eastAsia="Times New Roman" w:hAnsi="Times New Roman" w:cs="Times New Roman"/>
          <w:color w:val="000000"/>
          <w:sz w:val="24"/>
          <w:szCs w:val="24"/>
          <w:lang/>
        </w:rPr>
        <w:t xml:space="preserve">Дані про фактичні залишки пального та про обсяг обігу пального формуються після проведення останньої операції з обігу пального у звітній добі, але не пізніше 23 години 59 хвилин цієї доби, до початку здійснення операцій з обігу пального у добу, що настає за звітною добою, </w:t>
      </w:r>
      <w:r w:rsidRPr="008B264B">
        <w:rPr>
          <w:rFonts w:ascii="Times New Roman" w:eastAsia="Times New Roman" w:hAnsi="Times New Roman" w:cs="Times New Roman"/>
          <w:color w:val="000000"/>
          <w:sz w:val="24"/>
          <w:szCs w:val="24"/>
          <w:lang/>
        </w:rPr>
        <w:lastRenderedPageBreak/>
        <w:t>та подаються до центрального органу виконавчої влади, що реалізує державну податкову політику, не пізніше 23 години 59 хвилин доби, що настає за звітною добою.</w:t>
      </w:r>
    </w:p>
    <w:p w14:paraId="09CE2A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4" w:name="n15977"/>
      <w:bookmarkEnd w:id="7324"/>
      <w:r w:rsidRPr="008B264B">
        <w:rPr>
          <w:rFonts w:ascii="Times New Roman" w:eastAsia="Times New Roman" w:hAnsi="Times New Roman" w:cs="Times New Roman"/>
          <w:i/>
          <w:iCs/>
          <w:color w:val="000000"/>
          <w:sz w:val="24"/>
          <w:szCs w:val="24"/>
          <w:lang/>
        </w:rPr>
        <w:t>{Абзац п'ятий підпункту 230.1.3 пункту 230.1 статті 230 із змінами, внесеними згідно із Законом </w:t>
      </w:r>
      <w:hyperlink r:id="rId4125" w:anchor="n11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55379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5" w:name="n15979"/>
      <w:bookmarkEnd w:id="7325"/>
      <w:r w:rsidRPr="008B264B">
        <w:rPr>
          <w:rFonts w:ascii="Times New Roman" w:eastAsia="Times New Roman" w:hAnsi="Times New Roman" w:cs="Times New Roman"/>
          <w:color w:val="000000"/>
          <w:sz w:val="24"/>
          <w:szCs w:val="24"/>
          <w:lang/>
        </w:rPr>
        <w:t>Дані про фактичні залишки пального на перший та останній дні календарного місяця та про обсяг обігу пального за звітний календарний місяць формуються розпорядниками акцизних складів, що використовують пальне виключно для потреб власного споживання чи промислової переробки і не здійснюють операцій з реалізації та зберігання пального іншим особам, після проведення останньої операції з обігу пального у звітному календарному місяці, але не пізніше 23 години 59 хвилин останнього дня звітного календарного місяця, до початку здійснення операцій з обігу пального у день, що настає за таким останнім днем звітного календарного місяця, та подаються до центрального органу виконавчої влади, що реалізує державну податкову політику, не пізніше 15 календарних днів, що настають за останнім днем звітного календарного місяця.</w:t>
      </w:r>
    </w:p>
    <w:p w14:paraId="2E657A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6" w:name="n15978"/>
      <w:bookmarkEnd w:id="7326"/>
      <w:r w:rsidRPr="008B264B">
        <w:rPr>
          <w:rFonts w:ascii="Times New Roman" w:eastAsia="Times New Roman" w:hAnsi="Times New Roman" w:cs="Times New Roman"/>
          <w:i/>
          <w:iCs/>
          <w:color w:val="000000"/>
          <w:sz w:val="24"/>
          <w:szCs w:val="24"/>
          <w:lang/>
        </w:rPr>
        <w:t>{Підпункт 230.1.3 пункту 230.1 статті 230 доповнено новим абзацом згідно із Законом </w:t>
      </w:r>
      <w:hyperlink r:id="rId4126" w:anchor="n11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61F13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7" w:name="n15608"/>
      <w:bookmarkEnd w:id="7327"/>
      <w:r w:rsidRPr="008B264B">
        <w:rPr>
          <w:rFonts w:ascii="Times New Roman" w:eastAsia="Times New Roman" w:hAnsi="Times New Roman" w:cs="Times New Roman"/>
          <w:color w:val="000000"/>
          <w:sz w:val="24"/>
          <w:szCs w:val="24"/>
          <w:lang/>
        </w:rPr>
        <w:t>На кожному акцизному складі за кожним кодом товарної підкатегорії згідно з </w:t>
      </w:r>
      <w:hyperlink r:id="rId4127"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формуються показники про:</w:t>
      </w:r>
    </w:p>
    <w:p w14:paraId="71388C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8" w:name="n15609"/>
      <w:bookmarkEnd w:id="7328"/>
      <w:r w:rsidRPr="008B264B">
        <w:rPr>
          <w:rFonts w:ascii="Times New Roman" w:eastAsia="Times New Roman" w:hAnsi="Times New Roman" w:cs="Times New Roman"/>
          <w:color w:val="000000"/>
          <w:sz w:val="24"/>
          <w:szCs w:val="24"/>
          <w:lang/>
        </w:rPr>
        <w:t>обсяги залишків пального на початок та кінець звітної доби, що визначаються шляхом підсумовування обсягів залишків пального в кожному резервуарі на підставі показників рівнемірів-лічильників, встановлених на таких резервуарах, розташованих на такому акцизному складі;</w:t>
      </w:r>
    </w:p>
    <w:p w14:paraId="217586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29" w:name="n15610"/>
      <w:bookmarkEnd w:id="7329"/>
      <w:r w:rsidRPr="008B264B">
        <w:rPr>
          <w:rFonts w:ascii="Times New Roman" w:eastAsia="Times New Roman" w:hAnsi="Times New Roman" w:cs="Times New Roman"/>
          <w:color w:val="000000"/>
          <w:sz w:val="24"/>
          <w:szCs w:val="24"/>
          <w:lang/>
        </w:rPr>
        <w:t>добовий обсяг реалізованого пального, що визначається шляхом підсумовування обсягів реалізованого за звітну добу пального через кожне місце відпуску пального наливом з акцизного складу на підставі показників витратомірів-лічильників, встановлених на кожному місці відпуску пального наливом з акцизного складу, розташованому на такому акцизному складі;</w:t>
      </w:r>
    </w:p>
    <w:p w14:paraId="34AEC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0" w:name="n15611"/>
      <w:bookmarkEnd w:id="7330"/>
      <w:r w:rsidRPr="008B264B">
        <w:rPr>
          <w:rFonts w:ascii="Times New Roman" w:eastAsia="Times New Roman" w:hAnsi="Times New Roman" w:cs="Times New Roman"/>
          <w:color w:val="000000"/>
          <w:sz w:val="24"/>
          <w:szCs w:val="24"/>
          <w:lang/>
        </w:rPr>
        <w:t>добовий обсяг отриманого пального, що визначається шляхом віднімання від обсягу залишків пального на кінець звітної доби обсягу залишків пального на початок звітної доби та додавання добового обсягу реалізованого пального з такого акцизного складу з додаванням обсягу втраченого пального, зазначеного в акцизних накладних, зареєстрованих в Єдиному реєстрі акцизних накладних, та з відніманням додаткового обсягу пального, зазначеного в заявках на поповнення обсягу залишку пального або спирту етилового, зареєстрованих у системі електронного адміністрування реалізації пального та спирту етилового.</w:t>
      </w:r>
    </w:p>
    <w:p w14:paraId="2FA776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1" w:name="n15612"/>
      <w:bookmarkEnd w:id="7331"/>
      <w:r w:rsidRPr="008B264B">
        <w:rPr>
          <w:rFonts w:ascii="Times New Roman" w:eastAsia="Times New Roman" w:hAnsi="Times New Roman" w:cs="Times New Roman"/>
          <w:color w:val="000000"/>
          <w:sz w:val="24"/>
          <w:szCs w:val="24"/>
          <w:lang/>
        </w:rPr>
        <w:t>Фактичні показники витратомірів-лічильників та рівнемірів-лічильників щодо обсягів залишків пального та добового обсягу реалізованого пального перераховуються у літри, приведені до температури 15° С, крім показників паливороздавальних колонок та/або оливороздавальних колонок, які виконують функції витратомірів-лічильників.</w:t>
      </w:r>
    </w:p>
    <w:p w14:paraId="46778C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2" w:name="n15613"/>
      <w:bookmarkEnd w:id="7332"/>
      <w:r w:rsidRPr="008B264B">
        <w:rPr>
          <w:rFonts w:ascii="Times New Roman" w:eastAsia="Times New Roman" w:hAnsi="Times New Roman" w:cs="Times New Roman"/>
          <w:color w:val="000000"/>
          <w:sz w:val="24"/>
          <w:szCs w:val="24"/>
          <w:lang/>
        </w:rPr>
        <w:t>Під час виходу з ладу, проведення повірки або калібрування рівнеміра-лічильника або витратоміра-лічильника визначення даних про обсяги залишків пального та обсяги обігу пального здійснюється у мірах повної місткості, які мають позитивний результат повірки, проведеної відповідно до законодавства, та/або за допомогою рулетки та метроштока або переносного (портативного) рівнеміра-аналізатора, які мають позитивний результат повірки, проведеної відповідно до законодавства. Застосування такого способу вимірювання може здійснюватися не більше 20 календарних днів поспіль (для акцизних складів, які є місцями роздрібної торгівлі пальним, на які отримано ліцензії на право роздрібної торгівлі пальним, - не більше 15 календарних днів поспіль) та не більше чотирьох разів протягом календарного року.</w:t>
      </w:r>
    </w:p>
    <w:p w14:paraId="7367B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3" w:name="n15614"/>
      <w:bookmarkEnd w:id="7333"/>
      <w:r w:rsidRPr="008B264B">
        <w:rPr>
          <w:rFonts w:ascii="Times New Roman" w:eastAsia="Times New Roman" w:hAnsi="Times New Roman" w:cs="Times New Roman"/>
          <w:color w:val="000000"/>
          <w:sz w:val="24"/>
          <w:szCs w:val="24"/>
          <w:lang/>
        </w:rPr>
        <w:t>Дані про залишки пального та про обсяг обігу пального подаються електронними засобами зв’язку у формі електронних документів, яка затверджується центральним органом виконавчої влади, що забезпечує формування та реалізує державну фінансову політику.</w:t>
      </w:r>
    </w:p>
    <w:p w14:paraId="6CEDCB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4" w:name="n15615"/>
      <w:bookmarkEnd w:id="7334"/>
      <w:r w:rsidRPr="008B264B">
        <w:rPr>
          <w:rFonts w:ascii="Times New Roman" w:eastAsia="Times New Roman" w:hAnsi="Times New Roman" w:cs="Times New Roman"/>
          <w:color w:val="000000"/>
          <w:sz w:val="24"/>
          <w:szCs w:val="24"/>
          <w:lang/>
        </w:rPr>
        <w:lastRenderedPageBreak/>
        <w:t>Електронні документи заповнюються автоматично шляхом передачі до них даних з витратомірів-лічильників та рівнемірів-лічильників (під час виходу з ладу, проведення повірки або калібрування рівнеміра-лічильника або витратоміра-лічильника - заповнюються відповідальною особою розпорядника акцизного складу).</w:t>
      </w:r>
    </w:p>
    <w:p w14:paraId="79AD37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5" w:name="n15616"/>
      <w:bookmarkEnd w:id="7335"/>
      <w:r w:rsidRPr="008B264B">
        <w:rPr>
          <w:rFonts w:ascii="Times New Roman" w:eastAsia="Times New Roman" w:hAnsi="Times New Roman" w:cs="Times New Roman"/>
          <w:color w:val="000000"/>
          <w:sz w:val="24"/>
          <w:szCs w:val="24"/>
          <w:lang/>
        </w:rPr>
        <w:t>В електронних документах також зазначаються відповідальною особою розпорядника акцизного складу дані про обсяги залишків пального, що знаходяться на акцизному складі в тарі, балонах, упаковці, про добовий обсяг реалізованого пального в тарі, балонах, упаковці, а також інформація про дні, в які акцизний склад не працює.</w:t>
      </w:r>
    </w:p>
    <w:p w14:paraId="054915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6" w:name="n15617"/>
      <w:bookmarkEnd w:id="7336"/>
      <w:r w:rsidRPr="008B264B">
        <w:rPr>
          <w:rFonts w:ascii="Times New Roman" w:eastAsia="Times New Roman" w:hAnsi="Times New Roman" w:cs="Times New Roman"/>
          <w:color w:val="000000"/>
          <w:sz w:val="24"/>
          <w:szCs w:val="24"/>
          <w:lang/>
        </w:rPr>
        <w:t>230.1.4. Порядок ведення Єдиного державного реєстру витратомірів-лічильників та рівнемірів-лічильників рівня пального у резервуарі, передачі облікових даних з них електронними засобами зв’язку до контролюючих органів встановлюється Кабінетом Міністрів України.</w:t>
      </w:r>
    </w:p>
    <w:p w14:paraId="5FBBC2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7" w:name="n15618"/>
      <w:bookmarkEnd w:id="7337"/>
      <w:r w:rsidRPr="008B264B">
        <w:rPr>
          <w:rFonts w:ascii="Times New Roman" w:eastAsia="Times New Roman" w:hAnsi="Times New Roman" w:cs="Times New Roman"/>
          <w:color w:val="000000"/>
          <w:sz w:val="24"/>
          <w:szCs w:val="24"/>
          <w:lang/>
        </w:rPr>
        <w:t>У такому реєстрі міститься податкова інформація про розпорядників акцизних складів, наявні у них акцизні склади, розташовані на акцизних складах резервуари, витратоміри-лічильники та рівнеміри-лічильники, їх серійні (ідентифікаційні) номери, а також дані про фактичні залишки пального на початок та кінець звітної доби та про фактичний обсяг обігу пального у розрізі кодів товарних підкатегорій згідно з </w:t>
      </w:r>
      <w:hyperlink r:id="rId412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акцизних складів та розпорядників акцизних складів.</w:t>
      </w:r>
    </w:p>
    <w:p w14:paraId="411979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8" w:name="n15619"/>
      <w:bookmarkEnd w:id="7338"/>
      <w:r w:rsidRPr="008B264B">
        <w:rPr>
          <w:rFonts w:ascii="Times New Roman" w:eastAsia="Times New Roman" w:hAnsi="Times New Roman" w:cs="Times New Roman"/>
          <w:color w:val="000000"/>
          <w:sz w:val="24"/>
          <w:szCs w:val="24"/>
          <w:lang/>
        </w:rPr>
        <w:t>Дані про фактичні залишки пального на початок та кінець доби та про фактичний обсяг обігу пального у розрізі кодів товарних підкатегорій згідно з </w:t>
      </w:r>
      <w:hyperlink r:id="rId4129"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акцизних складів та розпорядників акцизних складів зіставляються центральним органом виконавчої влади, що реалізує державну податкову та митну політику, з показниками системи електронного адміністрування реалізації пального та спирту етилового.</w:t>
      </w:r>
    </w:p>
    <w:p w14:paraId="094514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39" w:name="n15620"/>
      <w:bookmarkEnd w:id="7339"/>
      <w:r w:rsidRPr="008B264B">
        <w:rPr>
          <w:rFonts w:ascii="Times New Roman" w:eastAsia="Times New Roman" w:hAnsi="Times New Roman" w:cs="Times New Roman"/>
          <w:color w:val="000000"/>
          <w:sz w:val="24"/>
          <w:szCs w:val="24"/>
          <w:lang/>
        </w:rPr>
        <w:t>230.1.5. Транспортні засоби, що набули статусу акцизних складів пересувних, а також транспортні засоби, що використовуються суб’єктом господарювання, який не є розпорядником акцизного складу, для переміщення на митній території України власного пального або спирту етилового для потреб власного споживання чи промислової переробки, повинні обліковуватися в Переліку транспортних засобів, що переміщують пальне або спирт етиловий, створення та ведення якого забезпечується центральним органом виконавчої влади, що реалізує державну податкову та митну політику, у порядку, затвердженому центральним органом виконавчої влади, що забезпечує формування та реалізує державну фінансову політику. Перелік транспортних засобів, що переміщують пальне або спирт етиловий, розміщується на офіційному веб-сайті центрального органу виконавчої влади, що реалізує державну податкову та митну політику.</w:t>
      </w:r>
    </w:p>
    <w:p w14:paraId="3A23EE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0" w:name="n15621"/>
      <w:bookmarkEnd w:id="7340"/>
      <w:r w:rsidRPr="008B264B">
        <w:rPr>
          <w:rFonts w:ascii="Times New Roman" w:eastAsia="Times New Roman" w:hAnsi="Times New Roman" w:cs="Times New Roman"/>
          <w:color w:val="000000"/>
          <w:sz w:val="24"/>
          <w:szCs w:val="24"/>
          <w:lang/>
        </w:rPr>
        <w:t>Включення/виключення транспортних засобів до/з Переліку транспортних засобів, що переміщують пальне або спирт етиловий, здійснюється автоматично на підставі даних акцизних накладних, зареєстрованих в Єдиному реєстрі акцизних накладних, або на підставі заявок на переміщення пального або спирту етилового транспортними засобами, що не є акцизними складами пересувними, із зазначенням періоду переміщення такого пального або спирту етилового, або на підставі митних декларацій при переміщенні пального або спирту етилового митною територією України прохідним транзитом або внутрішнім транзитом, визначеним </w:t>
      </w:r>
      <w:hyperlink r:id="rId4130" w:anchor="n1173" w:tgtFrame="_blank" w:history="1">
        <w:r w:rsidRPr="008B264B">
          <w:rPr>
            <w:rFonts w:ascii="Times New Roman" w:eastAsia="Times New Roman" w:hAnsi="Times New Roman" w:cs="Times New Roman"/>
            <w:color w:val="0000FF"/>
            <w:sz w:val="24"/>
            <w:szCs w:val="24"/>
            <w:u w:val="single"/>
            <w:lang/>
          </w:rPr>
          <w:t>підпунктом "а"</w:t>
        </w:r>
      </w:hyperlink>
      <w:r w:rsidRPr="008B264B">
        <w:rPr>
          <w:rFonts w:ascii="Times New Roman" w:eastAsia="Times New Roman" w:hAnsi="Times New Roman" w:cs="Times New Roman"/>
          <w:color w:val="000000"/>
          <w:sz w:val="24"/>
          <w:szCs w:val="24"/>
          <w:lang/>
        </w:rPr>
        <w:t> пункту 2 частини другої статті 91 Митного кодексу України. Такі заявки подаються суб’єктами господарювання, які не є розпорядниками акцизних складів, до переміщення митною територією України у транспортних засобах, які не є акцизними складами пересувними, власного пального або спирту етилового для потреб власного споживання чи промислової переробки. Форма заявки на переміщення пального або спирту етилового транспортними засобами, що не є акцизними складами пересувними, затверджується центральним органом виконавчої влади, що забезпечує формування та реалізує державну фінансову політику. Такі заявки у формі електронних документів надсилаються центральному органу виконавчої влади, що реалізує державну податкову та митну політику.</w:t>
      </w:r>
    </w:p>
    <w:p w14:paraId="0F77A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1" w:name="n15622"/>
      <w:bookmarkEnd w:id="7341"/>
      <w:r w:rsidRPr="008B264B">
        <w:rPr>
          <w:rFonts w:ascii="Times New Roman" w:eastAsia="Times New Roman" w:hAnsi="Times New Roman" w:cs="Times New Roman"/>
          <w:color w:val="000000"/>
          <w:sz w:val="24"/>
          <w:szCs w:val="24"/>
          <w:lang/>
        </w:rPr>
        <w:t xml:space="preserve">Переміщення пального або спирту етилового транспортними засобами, що не зазначені в акцизних накладних, зареєстрованих у Єдиному реєстрі акцизних накладних, складених на </w:t>
      </w:r>
      <w:r w:rsidRPr="008B264B">
        <w:rPr>
          <w:rFonts w:ascii="Times New Roman" w:eastAsia="Times New Roman" w:hAnsi="Times New Roman" w:cs="Times New Roman"/>
          <w:color w:val="000000"/>
          <w:sz w:val="24"/>
          <w:szCs w:val="24"/>
          <w:lang/>
        </w:rPr>
        <w:lastRenderedPageBreak/>
        <w:t>операції, при здійсненні яких переміщується пальне або спирт етиловий у таких транспортних засобах, а також не зазначені у заявках на переміщення пального або спирту етилового транспортними засобами, що не є акцизними складами пересувними, які надіслані центральному органу виконавчої влади, що реалізує державну податкову та митну політику, забороняється.</w:t>
      </w:r>
    </w:p>
    <w:p w14:paraId="7DA58E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2" w:name="n15623"/>
      <w:bookmarkEnd w:id="7342"/>
      <w:r w:rsidRPr="008B264B">
        <w:rPr>
          <w:rFonts w:ascii="Times New Roman" w:eastAsia="Times New Roman" w:hAnsi="Times New Roman" w:cs="Times New Roman"/>
          <w:color w:val="000000"/>
          <w:sz w:val="24"/>
          <w:szCs w:val="24"/>
          <w:lang/>
        </w:rPr>
        <w:t>Транспортні засоби, що використовуються для переміщення на митній території України пального або спирту етилового, не облаштовуються витратомірами-лічильниками та рівнемірами-лічильниками.</w:t>
      </w:r>
    </w:p>
    <w:p w14:paraId="534D89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3" w:name="n12285"/>
      <w:bookmarkEnd w:id="7343"/>
      <w:r w:rsidRPr="008B264B">
        <w:rPr>
          <w:rFonts w:ascii="Times New Roman" w:eastAsia="Times New Roman" w:hAnsi="Times New Roman" w:cs="Times New Roman"/>
          <w:i/>
          <w:iCs/>
          <w:color w:val="000000"/>
          <w:sz w:val="24"/>
          <w:szCs w:val="24"/>
          <w:lang/>
        </w:rPr>
        <w:t>{Пункт 230.1 статті 230 із змінами, внесеними згідно із Законами </w:t>
      </w:r>
      <w:hyperlink r:id="rId4131"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132"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133" w:anchor="n40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4134" w:anchor="n33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09D21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4" w:name="n5829"/>
      <w:bookmarkEnd w:id="7344"/>
      <w:r w:rsidRPr="008B264B">
        <w:rPr>
          <w:rFonts w:ascii="Times New Roman" w:eastAsia="Times New Roman" w:hAnsi="Times New Roman" w:cs="Times New Roman"/>
          <w:color w:val="000000"/>
          <w:sz w:val="24"/>
          <w:szCs w:val="24"/>
          <w:lang/>
        </w:rPr>
        <w:t>230.2. На акцизних складах постійно діють представники контролюючого органу за місцем розташування акцизного складу (крім пального).</w:t>
      </w:r>
    </w:p>
    <w:p w14:paraId="0729E9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5" w:name="n12888"/>
      <w:bookmarkEnd w:id="7345"/>
      <w:r w:rsidRPr="008B264B">
        <w:rPr>
          <w:rFonts w:ascii="Times New Roman" w:eastAsia="Times New Roman" w:hAnsi="Times New Roman" w:cs="Times New Roman"/>
          <w:i/>
          <w:iCs/>
          <w:color w:val="000000"/>
          <w:sz w:val="24"/>
          <w:szCs w:val="24"/>
          <w:lang/>
        </w:rPr>
        <w:t>{Пункт 230.2 статті 230 із змінами, внесеними згідно із Законом </w:t>
      </w:r>
      <w:hyperlink r:id="rId4135" w:anchor="n41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DF9D8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6" w:name="n5830"/>
      <w:bookmarkEnd w:id="7346"/>
      <w:r w:rsidRPr="008B264B">
        <w:rPr>
          <w:rFonts w:ascii="Times New Roman" w:eastAsia="Times New Roman" w:hAnsi="Times New Roman" w:cs="Times New Roman"/>
          <w:color w:val="000000"/>
          <w:sz w:val="24"/>
          <w:szCs w:val="24"/>
          <w:lang/>
        </w:rPr>
        <w:t>230.3. Контролюючий орган за місцем розташування акцизного складу призначає свого постійного представника (представників) на такому складі.</w:t>
      </w:r>
    </w:p>
    <w:p w14:paraId="24E228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7" w:name="n5831"/>
      <w:bookmarkEnd w:id="7347"/>
      <w:r w:rsidRPr="008B264B">
        <w:rPr>
          <w:rFonts w:ascii="Times New Roman" w:eastAsia="Times New Roman" w:hAnsi="Times New Roman" w:cs="Times New Roman"/>
          <w:color w:val="000000"/>
          <w:sz w:val="24"/>
          <w:szCs w:val="24"/>
          <w:lang/>
        </w:rPr>
        <w:t>230.4. Копія наказу про призначення представника (представників) контролюючого органу надсилається у день прийняття такого рішення розпоряднику акцизного складу.</w:t>
      </w:r>
    </w:p>
    <w:p w14:paraId="1325EB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8" w:name="n5832"/>
      <w:bookmarkEnd w:id="7348"/>
      <w:r w:rsidRPr="008B264B">
        <w:rPr>
          <w:rFonts w:ascii="Times New Roman" w:eastAsia="Times New Roman" w:hAnsi="Times New Roman" w:cs="Times New Roman"/>
          <w:color w:val="000000"/>
          <w:sz w:val="24"/>
          <w:szCs w:val="24"/>
          <w:lang/>
        </w:rPr>
        <w:t>230.5. Представник (представники) контролюючого органу здійснює (здійснюють) постійний безпосередній контроль за наявністю витратомірів-лічильників спирту етилового та інших вимірювальних приладів; дотриманням установленого порядку відпуску спирту етилового, горілки та лікеро-горілчаних виробів та сплати податку з них.</w:t>
      </w:r>
    </w:p>
    <w:p w14:paraId="30C4D9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49" w:name="n5833"/>
      <w:bookmarkEnd w:id="7349"/>
      <w:r w:rsidRPr="008B264B">
        <w:rPr>
          <w:rFonts w:ascii="Times New Roman" w:eastAsia="Times New Roman" w:hAnsi="Times New Roman" w:cs="Times New Roman"/>
          <w:i/>
          <w:iCs/>
          <w:color w:val="000000"/>
          <w:sz w:val="24"/>
          <w:szCs w:val="24"/>
          <w:lang/>
        </w:rPr>
        <w:t>{Пункт 230.5 статті 230 із змінами, внесеними згідно із Законом </w:t>
      </w:r>
      <w:hyperlink r:id="rId413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137" w:anchor="n87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138" w:anchor="n4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139" w:anchor="n4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AD288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0" w:name="n5834"/>
      <w:bookmarkEnd w:id="7350"/>
      <w:r w:rsidRPr="008B264B">
        <w:rPr>
          <w:rFonts w:ascii="Times New Roman" w:eastAsia="Times New Roman" w:hAnsi="Times New Roman" w:cs="Times New Roman"/>
          <w:color w:val="000000"/>
          <w:sz w:val="24"/>
          <w:szCs w:val="24"/>
          <w:lang/>
        </w:rPr>
        <w:t>230.6. Розпорядок роботи представників контролюючого органу повинен відповідати режиму роботи акцизного складу, встановленому його розпорядником.</w:t>
      </w:r>
    </w:p>
    <w:p w14:paraId="49DC51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1" w:name="n5835"/>
      <w:bookmarkEnd w:id="7351"/>
      <w:r w:rsidRPr="008B264B">
        <w:rPr>
          <w:rFonts w:ascii="Times New Roman" w:eastAsia="Times New Roman" w:hAnsi="Times New Roman" w:cs="Times New Roman"/>
          <w:color w:val="000000"/>
          <w:sz w:val="24"/>
          <w:szCs w:val="24"/>
          <w:lang/>
        </w:rPr>
        <w:t>230.7. Посадові особи, які призначаються представниками контролюючого органу на акцизному складі, повинні пройти спеціальне навчання або інструктаж щодо специфіки контролю за виробництвом та обігом спирту етилового, горілки та лікеро-горілчаних виробів, а також методики користування вимірювальними приладами.</w:t>
      </w:r>
    </w:p>
    <w:p w14:paraId="241F49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2" w:name="n8816"/>
      <w:bookmarkEnd w:id="7352"/>
      <w:r w:rsidRPr="008B264B">
        <w:rPr>
          <w:rFonts w:ascii="Times New Roman" w:eastAsia="Times New Roman" w:hAnsi="Times New Roman" w:cs="Times New Roman"/>
          <w:i/>
          <w:iCs/>
          <w:color w:val="000000"/>
          <w:sz w:val="24"/>
          <w:szCs w:val="24"/>
          <w:lang/>
        </w:rPr>
        <w:t>{Пункт 230.7 статті 230 із змінами, внесеними згідно із Законами </w:t>
      </w:r>
      <w:hyperlink r:id="rId4140" w:anchor="n189"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4141"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142" w:anchor="n4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F5B45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3" w:name="n5836"/>
      <w:bookmarkEnd w:id="7353"/>
      <w:r w:rsidRPr="008B264B">
        <w:rPr>
          <w:rFonts w:ascii="Times New Roman" w:eastAsia="Times New Roman" w:hAnsi="Times New Roman" w:cs="Times New Roman"/>
          <w:color w:val="000000"/>
          <w:sz w:val="24"/>
          <w:szCs w:val="24"/>
          <w:lang/>
        </w:rPr>
        <w:t>230.8. Порядок проведення спеціального навчання або інструктажу затверджується центральним органом виконавчої влади, що забезпечує формування та реалізує державну фінансову політику.</w:t>
      </w:r>
    </w:p>
    <w:p w14:paraId="4B7D61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4" w:name="n13459"/>
      <w:bookmarkEnd w:id="7354"/>
      <w:r w:rsidRPr="008B264B">
        <w:rPr>
          <w:rFonts w:ascii="Times New Roman" w:eastAsia="Times New Roman" w:hAnsi="Times New Roman" w:cs="Times New Roman"/>
          <w:i/>
          <w:iCs/>
          <w:color w:val="000000"/>
          <w:sz w:val="24"/>
          <w:szCs w:val="24"/>
          <w:lang/>
        </w:rPr>
        <w:t>{Пункт 230.8 статті 230 із змінами, внесеними згідно із Законом </w:t>
      </w:r>
      <w:hyperlink r:id="rId41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41EBB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5" w:name="n5837"/>
      <w:bookmarkEnd w:id="7355"/>
      <w:r w:rsidRPr="008B264B">
        <w:rPr>
          <w:rFonts w:ascii="Times New Roman" w:eastAsia="Times New Roman" w:hAnsi="Times New Roman" w:cs="Times New Roman"/>
          <w:color w:val="000000"/>
          <w:sz w:val="24"/>
          <w:szCs w:val="24"/>
          <w:lang/>
        </w:rPr>
        <w:t>230.9. У наказах про призначення керівник (його заступник або уповноважена особа) контролюючого органу визначає режим роботи представника контролюючого органу з урахуванням режиму роботи акцизного складу, порядок контролю за роботою представника контролюючого органу, розробляє заходи матеріально-технічного забезпечення представника контролюючого органу, транспортного обслуговування, інші умови, необхідні для забезпечення ефективності контролю.</w:t>
      </w:r>
    </w:p>
    <w:p w14:paraId="4A19C9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6" w:name="n14337"/>
      <w:bookmarkEnd w:id="7356"/>
      <w:r w:rsidRPr="008B264B">
        <w:rPr>
          <w:rFonts w:ascii="Times New Roman" w:eastAsia="Times New Roman" w:hAnsi="Times New Roman" w:cs="Times New Roman"/>
          <w:i/>
          <w:iCs/>
          <w:color w:val="000000"/>
          <w:sz w:val="24"/>
          <w:szCs w:val="24"/>
          <w:lang/>
        </w:rPr>
        <w:t>{Пункт 230.9 статті 230 із змінами, внесеними згідно із Законом </w:t>
      </w:r>
      <w:hyperlink r:id="rId4144" w:anchor="n13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523B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7" w:name="n5838"/>
      <w:bookmarkEnd w:id="7357"/>
      <w:r w:rsidRPr="008B264B">
        <w:rPr>
          <w:rFonts w:ascii="Times New Roman" w:eastAsia="Times New Roman" w:hAnsi="Times New Roman" w:cs="Times New Roman"/>
          <w:color w:val="000000"/>
          <w:sz w:val="24"/>
          <w:szCs w:val="24"/>
          <w:lang/>
        </w:rPr>
        <w:lastRenderedPageBreak/>
        <w:t>230.10. Копія наказу надсилається розпоряднику акцизного складу, який зобов'язаний видати у триденний строк відповідний наказ, передбачивши створення належних умов для ефективної роботи представника контролюючого органу.</w:t>
      </w:r>
    </w:p>
    <w:p w14:paraId="1FC1D8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8" w:name="n5839"/>
      <w:bookmarkEnd w:id="7358"/>
      <w:r w:rsidRPr="008B264B">
        <w:rPr>
          <w:rFonts w:ascii="Times New Roman" w:eastAsia="Times New Roman" w:hAnsi="Times New Roman" w:cs="Times New Roman"/>
          <w:color w:val="000000"/>
          <w:sz w:val="24"/>
          <w:szCs w:val="24"/>
          <w:lang/>
        </w:rPr>
        <w:t>230.11. Основним завданням представника контролюючого органу на акцизних складах є здійснення постійного безпосереднього контролю за дотриманням установленого порядку виробництва, зберігання, відпуску спирту етилового, горілки та лікеро-горілчаних виробів і сплати податку, вжиття заходів для недопущення порушення законодавства України.</w:t>
      </w:r>
    </w:p>
    <w:p w14:paraId="6A93AE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59" w:name="n12286"/>
      <w:bookmarkEnd w:id="7359"/>
      <w:r w:rsidRPr="008B264B">
        <w:rPr>
          <w:rFonts w:ascii="Times New Roman" w:eastAsia="Times New Roman" w:hAnsi="Times New Roman" w:cs="Times New Roman"/>
          <w:i/>
          <w:iCs/>
          <w:color w:val="000000"/>
          <w:sz w:val="24"/>
          <w:szCs w:val="24"/>
          <w:lang/>
        </w:rPr>
        <w:t>{Пункт 230.11 статті 230 із змінами, внесеними згідно із Законами </w:t>
      </w:r>
      <w:hyperlink r:id="rId4145"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146" w:anchor="n4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EAAB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0" w:name="n5840"/>
      <w:bookmarkEnd w:id="7360"/>
      <w:r w:rsidRPr="008B264B">
        <w:rPr>
          <w:rFonts w:ascii="Times New Roman" w:eastAsia="Times New Roman" w:hAnsi="Times New Roman" w:cs="Times New Roman"/>
          <w:color w:val="000000"/>
          <w:sz w:val="24"/>
          <w:szCs w:val="24"/>
          <w:lang/>
        </w:rPr>
        <w:t>230.12. Представник контролюючого органу на акцизному складі відповідно до покладених на нього завдань:</w:t>
      </w:r>
    </w:p>
    <w:p w14:paraId="36A2EE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1" w:name="n5841"/>
      <w:bookmarkEnd w:id="7361"/>
      <w:r w:rsidRPr="008B264B">
        <w:rPr>
          <w:rFonts w:ascii="Times New Roman" w:eastAsia="Times New Roman" w:hAnsi="Times New Roman" w:cs="Times New Roman"/>
          <w:color w:val="000000"/>
          <w:sz w:val="24"/>
          <w:szCs w:val="24"/>
          <w:lang/>
        </w:rPr>
        <w:t>а) здійснює контроль за виробництвом, зберіганням, відпуском, за наявності витратоміра-лічильника спирту етилового та інших вимірювальних приладів, та обліком спирту етилового, горілки та лікеро-горілчаних виробів за даними бухгалтерського обліку акцизного складу;</w:t>
      </w:r>
    </w:p>
    <w:p w14:paraId="23AB5D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2" w:name="n5842"/>
      <w:bookmarkEnd w:id="7362"/>
      <w:r w:rsidRPr="008B264B">
        <w:rPr>
          <w:rFonts w:ascii="Times New Roman" w:eastAsia="Times New Roman" w:hAnsi="Times New Roman" w:cs="Times New Roman"/>
          <w:i/>
          <w:iCs/>
          <w:color w:val="000000"/>
          <w:sz w:val="24"/>
          <w:szCs w:val="24"/>
          <w:lang/>
        </w:rPr>
        <w:t>{Підпункт "а" пункту 230.12 статті 230 із змінами, внесеними згідно із Законами </w:t>
      </w:r>
      <w:hyperlink r:id="rId414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148"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149" w:anchor="n41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02385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3" w:name="n5843"/>
      <w:bookmarkEnd w:id="7363"/>
      <w:r w:rsidRPr="008B264B">
        <w:rPr>
          <w:rFonts w:ascii="Times New Roman" w:eastAsia="Times New Roman" w:hAnsi="Times New Roman" w:cs="Times New Roman"/>
          <w:color w:val="000000"/>
          <w:sz w:val="24"/>
          <w:szCs w:val="24"/>
          <w:lang/>
        </w:rPr>
        <w:t>б) здійснює контроль за обліком, зберіганням та використанням марок акцизного податку і маркуванням продукції;</w:t>
      </w:r>
    </w:p>
    <w:p w14:paraId="6DC4A7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4" w:name="n5844"/>
      <w:bookmarkEnd w:id="7364"/>
      <w:r w:rsidRPr="008B264B">
        <w:rPr>
          <w:rFonts w:ascii="Times New Roman" w:eastAsia="Times New Roman" w:hAnsi="Times New Roman" w:cs="Times New Roman"/>
          <w:color w:val="000000"/>
          <w:sz w:val="24"/>
          <w:szCs w:val="24"/>
          <w:lang/>
        </w:rPr>
        <w:t>в) здійснює контроль за обліком надходження, витрачання сировини, яка використовується для виробництва спирту етилового, горілки та лікеро-горілчаних виробів, і кількістю виробленої продукції;</w:t>
      </w:r>
    </w:p>
    <w:p w14:paraId="2C5EE3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5" w:name="n12287"/>
      <w:bookmarkEnd w:id="7365"/>
      <w:r w:rsidRPr="008B264B">
        <w:rPr>
          <w:rFonts w:ascii="Times New Roman" w:eastAsia="Times New Roman" w:hAnsi="Times New Roman" w:cs="Times New Roman"/>
          <w:i/>
          <w:iCs/>
          <w:color w:val="000000"/>
          <w:sz w:val="24"/>
          <w:szCs w:val="24"/>
          <w:lang/>
        </w:rPr>
        <w:t>{Підпункт "в" пункту 230.12 статті 230 із змінами, внесеними згідно із Законом </w:t>
      </w:r>
      <w:hyperlink r:id="rId4150"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F38D6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6" w:name="n5845"/>
      <w:bookmarkEnd w:id="7366"/>
      <w:r w:rsidRPr="008B264B">
        <w:rPr>
          <w:rFonts w:ascii="Times New Roman" w:eastAsia="Times New Roman" w:hAnsi="Times New Roman" w:cs="Times New Roman"/>
          <w:color w:val="000000"/>
          <w:sz w:val="24"/>
          <w:szCs w:val="24"/>
          <w:lang/>
        </w:rPr>
        <w:t>г) здійснює контроль за додержанням установленого порядку обчислення та сплати податку;</w:t>
      </w:r>
    </w:p>
    <w:p w14:paraId="5299B8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7" w:name="n5846"/>
      <w:bookmarkEnd w:id="7367"/>
      <w:r w:rsidRPr="008B264B">
        <w:rPr>
          <w:rFonts w:ascii="Times New Roman" w:eastAsia="Times New Roman" w:hAnsi="Times New Roman" w:cs="Times New Roman"/>
          <w:color w:val="000000"/>
          <w:sz w:val="24"/>
          <w:szCs w:val="24"/>
          <w:lang/>
        </w:rPr>
        <w:t>ґ) бере участь у проведенні інвентаризації сировини, спирту етилового, горілки та лікеро-горілчаних виробів і марок акцизного податку;</w:t>
      </w:r>
    </w:p>
    <w:p w14:paraId="6E4823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8" w:name="n12288"/>
      <w:bookmarkEnd w:id="7368"/>
      <w:r w:rsidRPr="008B264B">
        <w:rPr>
          <w:rFonts w:ascii="Times New Roman" w:eastAsia="Times New Roman" w:hAnsi="Times New Roman" w:cs="Times New Roman"/>
          <w:i/>
          <w:iCs/>
          <w:color w:val="000000"/>
          <w:sz w:val="24"/>
          <w:szCs w:val="24"/>
          <w:lang/>
        </w:rPr>
        <w:t>{Підпункт "ґ" пункту 230.12 статті 230 із змінами, внесеними згідно із Законом </w:t>
      </w:r>
      <w:hyperlink r:id="rId4151"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085C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69" w:name="n5847"/>
      <w:bookmarkEnd w:id="7369"/>
      <w:r w:rsidRPr="008B264B">
        <w:rPr>
          <w:rFonts w:ascii="Times New Roman" w:eastAsia="Times New Roman" w:hAnsi="Times New Roman" w:cs="Times New Roman"/>
          <w:color w:val="000000"/>
          <w:sz w:val="24"/>
          <w:szCs w:val="24"/>
          <w:lang/>
        </w:rPr>
        <w:t>д) надає у разі виявлення порушень установленого законодавством порядку ведення обліку, зберігання і відпуску спирту етилового, горілки та лікеро-горілчаних виробів, марок акцизного податку, сировини розпоряднику акцизного складу пропозиції щодо усунення виявлених порушень та контролюють їх виконання;</w:t>
      </w:r>
    </w:p>
    <w:p w14:paraId="073F8A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0" w:name="n12289"/>
      <w:bookmarkEnd w:id="7370"/>
      <w:r w:rsidRPr="008B264B">
        <w:rPr>
          <w:rFonts w:ascii="Times New Roman" w:eastAsia="Times New Roman" w:hAnsi="Times New Roman" w:cs="Times New Roman"/>
          <w:i/>
          <w:iCs/>
          <w:color w:val="000000"/>
          <w:sz w:val="24"/>
          <w:szCs w:val="24"/>
          <w:lang/>
        </w:rPr>
        <w:t>{Підпункт "д" пункту 230.12 статті 230 із змінами, внесеними згідно із Законом </w:t>
      </w:r>
      <w:hyperlink r:id="rId4152"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AC0A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1" w:name="n5848"/>
      <w:bookmarkEnd w:id="7371"/>
      <w:r w:rsidRPr="008B264B">
        <w:rPr>
          <w:rFonts w:ascii="Times New Roman" w:eastAsia="Times New Roman" w:hAnsi="Times New Roman" w:cs="Times New Roman"/>
          <w:color w:val="000000"/>
          <w:sz w:val="24"/>
          <w:szCs w:val="24"/>
          <w:lang/>
        </w:rPr>
        <w:t>е) вносить пропозиції щодо вдосконалення системи контролю за обліком, зберіганням, відпуском і транспортуванням горілки та лікеро-горілчаних виробів;</w:t>
      </w:r>
    </w:p>
    <w:p w14:paraId="022415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2" w:name="n12290"/>
      <w:bookmarkEnd w:id="7372"/>
      <w:r w:rsidRPr="008B264B">
        <w:rPr>
          <w:rFonts w:ascii="Times New Roman" w:eastAsia="Times New Roman" w:hAnsi="Times New Roman" w:cs="Times New Roman"/>
          <w:i/>
          <w:iCs/>
          <w:color w:val="000000"/>
          <w:sz w:val="24"/>
          <w:szCs w:val="24"/>
          <w:lang/>
        </w:rPr>
        <w:t>{Підпункт "е" пункту 230.12 статті 230 із змінами, внесеними згідно із Законом </w:t>
      </w:r>
      <w:hyperlink r:id="rId4153"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D4B5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3" w:name="n5849"/>
      <w:bookmarkEnd w:id="7373"/>
      <w:r w:rsidRPr="008B264B">
        <w:rPr>
          <w:rFonts w:ascii="Times New Roman" w:eastAsia="Times New Roman" w:hAnsi="Times New Roman" w:cs="Times New Roman"/>
          <w:color w:val="000000"/>
          <w:sz w:val="24"/>
          <w:szCs w:val="24"/>
          <w:lang/>
        </w:rPr>
        <w:t>є) присутній у разі опломбування місць можливого доступу до спирту (в тому числі витратомірів-лічильників спирту етилового), спиртосховища, цеху розливу та складу готової продукції після закінчення робочого дня.</w:t>
      </w:r>
    </w:p>
    <w:p w14:paraId="0E33D9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4" w:name="n15624"/>
      <w:bookmarkEnd w:id="7374"/>
      <w:r w:rsidRPr="008B264B">
        <w:rPr>
          <w:rFonts w:ascii="Times New Roman" w:eastAsia="Times New Roman" w:hAnsi="Times New Roman" w:cs="Times New Roman"/>
          <w:i/>
          <w:iCs/>
          <w:color w:val="000000"/>
          <w:sz w:val="24"/>
          <w:szCs w:val="24"/>
          <w:lang/>
        </w:rPr>
        <w:t>{Підпункт "є" пункту 230.12 статті 230 із змінами, внесеними згідно із Законом </w:t>
      </w:r>
      <w:hyperlink r:id="rId4154" w:anchor="n41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63A45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5" w:name="n12889"/>
      <w:bookmarkEnd w:id="7375"/>
      <w:r w:rsidRPr="008B264B">
        <w:rPr>
          <w:rFonts w:ascii="Times New Roman" w:eastAsia="Times New Roman" w:hAnsi="Times New Roman" w:cs="Times New Roman"/>
          <w:i/>
          <w:iCs/>
          <w:color w:val="000000"/>
          <w:sz w:val="24"/>
          <w:szCs w:val="24"/>
          <w:lang/>
        </w:rPr>
        <w:t>{Пункт 230.12 статті 230 із змінами, внесеними згідно із Законом </w:t>
      </w:r>
      <w:hyperlink r:id="rId4155" w:anchor="n4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48786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6" w:name="n5850"/>
      <w:bookmarkEnd w:id="7376"/>
      <w:r w:rsidRPr="008B264B">
        <w:rPr>
          <w:rFonts w:ascii="Times New Roman" w:eastAsia="Times New Roman" w:hAnsi="Times New Roman" w:cs="Times New Roman"/>
          <w:color w:val="000000"/>
          <w:sz w:val="24"/>
          <w:szCs w:val="24"/>
          <w:lang/>
        </w:rPr>
        <w:lastRenderedPageBreak/>
        <w:t>230.13. Під час ввезення спирту представник контролюючого органу на акцизному складі підприємства, на якому виробляються горілка та лікеро-горілчані вироби:</w:t>
      </w:r>
    </w:p>
    <w:p w14:paraId="4E4387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7" w:name="n5851"/>
      <w:bookmarkEnd w:id="7377"/>
      <w:r w:rsidRPr="008B264B">
        <w:rPr>
          <w:rFonts w:ascii="Times New Roman" w:eastAsia="Times New Roman" w:hAnsi="Times New Roman" w:cs="Times New Roman"/>
          <w:color w:val="000000"/>
          <w:sz w:val="24"/>
          <w:szCs w:val="24"/>
          <w:lang/>
        </w:rPr>
        <w:t>а) здійснює запис у журналі реєстрації отримання спирту етилового, а також бере участь у роботі комісії з приймання спирту етилового;</w:t>
      </w:r>
    </w:p>
    <w:p w14:paraId="0FAE62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8" w:name="n5852"/>
      <w:bookmarkEnd w:id="7378"/>
      <w:r w:rsidRPr="008B264B">
        <w:rPr>
          <w:rFonts w:ascii="Times New Roman" w:eastAsia="Times New Roman" w:hAnsi="Times New Roman" w:cs="Times New Roman"/>
          <w:i/>
          <w:iCs/>
          <w:color w:val="000000"/>
          <w:sz w:val="24"/>
          <w:szCs w:val="24"/>
          <w:lang/>
        </w:rPr>
        <w:t>{Підпункт "а" пункту 230.13 статті 230 із змінами, внесеними згідно із Законом </w:t>
      </w:r>
      <w:hyperlink r:id="rId415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в редакції  Закону </w:t>
      </w:r>
      <w:hyperlink r:id="rId4157" w:anchor="n16"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158" w:anchor="n12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013C0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79" w:name="n5853"/>
      <w:bookmarkEnd w:id="7379"/>
      <w:r w:rsidRPr="008B264B">
        <w:rPr>
          <w:rFonts w:ascii="Times New Roman" w:eastAsia="Times New Roman" w:hAnsi="Times New Roman" w:cs="Times New Roman"/>
          <w:color w:val="000000"/>
          <w:sz w:val="24"/>
          <w:szCs w:val="24"/>
          <w:lang/>
        </w:rPr>
        <w:t>б) надсилає протягом трьох діб довідку про отримання спирту етилового представнику контролюючого органу на акцизному складі підприємства, що відпустило спирт, про що робить відмітку в зазначеному журналі.</w:t>
      </w:r>
    </w:p>
    <w:p w14:paraId="00CA17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0" w:name="n10245"/>
      <w:bookmarkEnd w:id="7380"/>
      <w:r w:rsidRPr="008B264B">
        <w:rPr>
          <w:rFonts w:ascii="Times New Roman" w:eastAsia="Times New Roman" w:hAnsi="Times New Roman" w:cs="Times New Roman"/>
          <w:i/>
          <w:iCs/>
          <w:color w:val="000000"/>
          <w:sz w:val="24"/>
          <w:szCs w:val="24"/>
          <w:lang/>
        </w:rPr>
        <w:t>{Пункт 230.13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230 виключено на підставі Закону </w:t>
      </w:r>
      <w:hyperlink r:id="rId4159" w:anchor="n41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3EF88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1" w:name="n5854"/>
      <w:bookmarkEnd w:id="7381"/>
      <w:r w:rsidRPr="008B264B">
        <w:rPr>
          <w:rFonts w:ascii="Times New Roman" w:eastAsia="Times New Roman" w:hAnsi="Times New Roman" w:cs="Times New Roman"/>
          <w:color w:val="000000"/>
          <w:sz w:val="24"/>
          <w:szCs w:val="24"/>
          <w:lang/>
        </w:rPr>
        <w:t>230.14. У разі виявлення фактів неоприбуткування або неповного оприбуткування спирту етилового контролюючі органи вживають відповідних заходів згідно із законом.</w:t>
      </w:r>
    </w:p>
    <w:p w14:paraId="7751B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2" w:name="n10250"/>
      <w:bookmarkEnd w:id="7382"/>
      <w:r w:rsidRPr="008B264B">
        <w:rPr>
          <w:rFonts w:ascii="Times New Roman" w:eastAsia="Times New Roman" w:hAnsi="Times New Roman" w:cs="Times New Roman"/>
          <w:color w:val="000000"/>
          <w:sz w:val="24"/>
          <w:szCs w:val="24"/>
          <w:lang/>
        </w:rPr>
        <w:t>Інвентаризація спирту етилового на акцизному складі, у тому числі інвентаризація, що проводиться на перше число кожного місяця, проводиться у присутності представника контролюючого органу на акцизному складі.</w:t>
      </w:r>
    </w:p>
    <w:p w14:paraId="146170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3" w:name="n10251"/>
      <w:bookmarkEnd w:id="7383"/>
      <w:r w:rsidRPr="008B264B">
        <w:rPr>
          <w:rFonts w:ascii="Times New Roman" w:eastAsia="Times New Roman" w:hAnsi="Times New Roman" w:cs="Times New Roman"/>
          <w:i/>
          <w:iCs/>
          <w:color w:val="000000"/>
          <w:sz w:val="24"/>
          <w:szCs w:val="24"/>
          <w:lang/>
        </w:rPr>
        <w:t>{Пункт 230.14 статті 230 доповнено абзацом другим згідно із Законом </w:t>
      </w:r>
      <w:hyperlink r:id="rId4160" w:anchor="n22"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791F0D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4" w:name="n10252"/>
      <w:bookmarkEnd w:id="7384"/>
      <w:r w:rsidRPr="008B264B">
        <w:rPr>
          <w:rFonts w:ascii="Times New Roman" w:eastAsia="Times New Roman" w:hAnsi="Times New Roman" w:cs="Times New Roman"/>
          <w:color w:val="000000"/>
          <w:sz w:val="24"/>
          <w:szCs w:val="24"/>
          <w:lang/>
        </w:rPr>
        <w:t>Якщо за результатами інвентаризації виявлено втрати спирту етилового, що перевищують норми втрат, встановлені згідно з пунктом 214.6 статті 214 цього Кодексу, або якщо ці втрати виникли не з причин, визначених пунктом 216.3 статті 216 цього Кодексу, платник сплачує акцизний податок виходячи з розміру таких втрат та ставки акцизного податку, що діє на дату складення акта інвентаризації.</w:t>
      </w:r>
    </w:p>
    <w:p w14:paraId="374935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5" w:name="n10253"/>
      <w:bookmarkEnd w:id="7385"/>
      <w:r w:rsidRPr="008B264B">
        <w:rPr>
          <w:rFonts w:ascii="Times New Roman" w:eastAsia="Times New Roman" w:hAnsi="Times New Roman" w:cs="Times New Roman"/>
          <w:i/>
          <w:iCs/>
          <w:color w:val="000000"/>
          <w:sz w:val="24"/>
          <w:szCs w:val="24"/>
          <w:lang/>
        </w:rPr>
        <w:t>{Пункт 230.14 статті 230 доповнено абзацом третім згідно із Законом </w:t>
      </w:r>
      <w:hyperlink r:id="rId4161" w:anchor="n22"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0EA33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6" w:name="n10254"/>
      <w:bookmarkEnd w:id="7386"/>
      <w:r w:rsidRPr="008B264B">
        <w:rPr>
          <w:rFonts w:ascii="Times New Roman" w:eastAsia="Times New Roman" w:hAnsi="Times New Roman" w:cs="Times New Roman"/>
          <w:color w:val="000000"/>
          <w:sz w:val="24"/>
          <w:szCs w:val="24"/>
          <w:lang/>
        </w:rPr>
        <w:t>У разі виявлення фактів надлишку спирту етилового контролюючий орган вживає відповідних заходів згідно із законом.</w:t>
      </w:r>
    </w:p>
    <w:p w14:paraId="27C681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7" w:name="n10255"/>
      <w:bookmarkEnd w:id="7387"/>
      <w:r w:rsidRPr="008B264B">
        <w:rPr>
          <w:rFonts w:ascii="Times New Roman" w:eastAsia="Times New Roman" w:hAnsi="Times New Roman" w:cs="Times New Roman"/>
          <w:i/>
          <w:iCs/>
          <w:color w:val="000000"/>
          <w:sz w:val="24"/>
          <w:szCs w:val="24"/>
          <w:lang/>
        </w:rPr>
        <w:t>{Пункт 230.14 статті 230 доповнено абзацом четвертим згідно із Законом </w:t>
      </w:r>
      <w:hyperlink r:id="rId4162" w:anchor="n22"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0557CB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8" w:name="n5855"/>
      <w:bookmarkEnd w:id="7388"/>
      <w:r w:rsidRPr="008B264B">
        <w:rPr>
          <w:rFonts w:ascii="Times New Roman" w:eastAsia="Times New Roman" w:hAnsi="Times New Roman" w:cs="Times New Roman"/>
          <w:color w:val="000000"/>
          <w:sz w:val="24"/>
          <w:szCs w:val="24"/>
          <w:lang/>
        </w:rPr>
        <w:t>230.15. Під час відвантаження горілки та лікеро-горілчаних виробів заповнюється товарно-транспортна накладна, зареєстрована в Єдиному реєстрі товарно-транспортних накладних на переміщення алкогольних напоїв, в якій представник контролюючого органу на акцизному складі робить відмітку про погодження відпуску шляхом проставляння штампа "Виїзд дозволено" та особистого підпису, зазначення часу виїзду з акцизного складу та показників пробігу транспортного засобу, а також здійснює запис у журналі реєстрації відвантаження горілки та лікеро-горілчаних виробів.</w:t>
      </w:r>
    </w:p>
    <w:p w14:paraId="141F75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89" w:name="n5856"/>
      <w:bookmarkEnd w:id="7389"/>
      <w:r w:rsidRPr="008B264B">
        <w:rPr>
          <w:rFonts w:ascii="Times New Roman" w:eastAsia="Times New Roman" w:hAnsi="Times New Roman" w:cs="Times New Roman"/>
          <w:i/>
          <w:iCs/>
          <w:color w:val="000000"/>
          <w:sz w:val="24"/>
          <w:szCs w:val="24"/>
          <w:lang/>
        </w:rPr>
        <w:t>{Пункт 230.15 статті 230 із змінами, внесеними згідно із Законами </w:t>
      </w:r>
      <w:hyperlink r:id="rId416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4164" w:anchor="n26"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w:t>
      </w:r>
      <w:hyperlink r:id="rId4165" w:anchor="n12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5EFA8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0" w:name="n5857"/>
      <w:bookmarkEnd w:id="7390"/>
      <w:r w:rsidRPr="008B264B">
        <w:rPr>
          <w:rFonts w:ascii="Times New Roman" w:eastAsia="Times New Roman" w:hAnsi="Times New Roman" w:cs="Times New Roman"/>
          <w:color w:val="000000"/>
          <w:sz w:val="24"/>
          <w:szCs w:val="24"/>
          <w:lang/>
        </w:rPr>
        <w:t>230.16. Усі документи, які є підставою для відпуску спирту етилового, горілки та лікеро-горілчаних виробів, обов'язково перевіряються представником контролюючого органу на акцизному складі.</w:t>
      </w:r>
    </w:p>
    <w:p w14:paraId="261983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1" w:name="n10256"/>
      <w:bookmarkEnd w:id="7391"/>
      <w:r w:rsidRPr="008B264B">
        <w:rPr>
          <w:rFonts w:ascii="Times New Roman" w:eastAsia="Times New Roman" w:hAnsi="Times New Roman" w:cs="Times New Roman"/>
          <w:i/>
          <w:iCs/>
          <w:color w:val="000000"/>
          <w:sz w:val="24"/>
          <w:szCs w:val="24"/>
          <w:lang/>
        </w:rPr>
        <w:t>{Пункт 230.16 статті 230 із змінами, внесеними згідно із Законом </w:t>
      </w:r>
      <w:hyperlink r:id="rId4166" w:anchor="n27"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3BD199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2" w:name="n5858"/>
      <w:bookmarkEnd w:id="7392"/>
      <w:r w:rsidRPr="008B264B">
        <w:rPr>
          <w:rFonts w:ascii="Times New Roman" w:eastAsia="Times New Roman" w:hAnsi="Times New Roman" w:cs="Times New Roman"/>
          <w:color w:val="000000"/>
          <w:sz w:val="24"/>
          <w:szCs w:val="24"/>
          <w:lang/>
        </w:rPr>
        <w:t xml:space="preserve">230.17. Під час ввезення горілки та лікеро-горілчаних виробів на акцизний склад представник контролюючого органу робить відмітку на товарно-транспортній накладній, зареєстрованій в Єдиному реєстрі товарно-транспортних накладних на переміщення алкогольних </w:t>
      </w:r>
      <w:r w:rsidRPr="008B264B">
        <w:rPr>
          <w:rFonts w:ascii="Times New Roman" w:eastAsia="Times New Roman" w:hAnsi="Times New Roman" w:cs="Times New Roman"/>
          <w:color w:val="000000"/>
          <w:sz w:val="24"/>
          <w:szCs w:val="24"/>
          <w:lang/>
        </w:rPr>
        <w:lastRenderedPageBreak/>
        <w:t>напоїв, про погодження їх ввезення шляхом проставляння штампа "В'їзд дозволено" і особистого підпису, зазначення часу в’їзду на акцизний склад та показників пробігу транспортного засобу, а також здійснює запис в журналі реєстрації отримання горілки та лікеро-горілчаних виробів.</w:t>
      </w:r>
    </w:p>
    <w:p w14:paraId="730309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3" w:name="n5859"/>
      <w:bookmarkEnd w:id="7393"/>
      <w:r w:rsidRPr="008B264B">
        <w:rPr>
          <w:rFonts w:ascii="Times New Roman" w:eastAsia="Times New Roman" w:hAnsi="Times New Roman" w:cs="Times New Roman"/>
          <w:i/>
          <w:iCs/>
          <w:color w:val="000000"/>
          <w:sz w:val="24"/>
          <w:szCs w:val="24"/>
          <w:lang/>
        </w:rPr>
        <w:t>{Пункт 230.17 статті 230 із змінами, внесеними згідно із Законами </w:t>
      </w:r>
      <w:hyperlink r:id="rId416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4168" w:anchor="n28"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w:t>
      </w:r>
      <w:hyperlink r:id="rId4169" w:anchor="n12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686BB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4" w:name="n5860"/>
      <w:bookmarkEnd w:id="7394"/>
      <w:r w:rsidRPr="008B264B">
        <w:rPr>
          <w:rFonts w:ascii="Times New Roman" w:eastAsia="Times New Roman" w:hAnsi="Times New Roman" w:cs="Times New Roman"/>
          <w:color w:val="000000"/>
          <w:sz w:val="24"/>
          <w:szCs w:val="24"/>
          <w:lang/>
        </w:rPr>
        <w:t>230.18. Транспортування горілки та лікеро-горілчаних виробів, відвантажених з акцизного складу підприємства, на якому виробляються горілка та лікеро-горілчані вироби, без товарно-транспортних накладних, зареєстрованих в Єдиному реєстрі товарно-транспортних накладних на переміщення алкогольних напоїв, з відміткою представника контролюючого органу на акцизному складі забороняється.</w:t>
      </w:r>
    </w:p>
    <w:p w14:paraId="09C7D9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5" w:name="n10257"/>
      <w:bookmarkEnd w:id="7395"/>
      <w:r w:rsidRPr="008B264B">
        <w:rPr>
          <w:rFonts w:ascii="Times New Roman" w:eastAsia="Times New Roman" w:hAnsi="Times New Roman" w:cs="Times New Roman"/>
          <w:i/>
          <w:iCs/>
          <w:color w:val="000000"/>
          <w:sz w:val="24"/>
          <w:szCs w:val="24"/>
          <w:lang/>
        </w:rPr>
        <w:t>{Абзац перший пункту 230.18 статті 230 із змінами, внесеними згідно із Законом </w:t>
      </w:r>
      <w:hyperlink r:id="rId4170" w:anchor="n29" w:tgtFrame="_blank" w:history="1">
        <w:r w:rsidRPr="008B264B">
          <w:rPr>
            <w:rFonts w:ascii="Times New Roman" w:eastAsia="Times New Roman" w:hAnsi="Times New Roman" w:cs="Times New Roman"/>
            <w:i/>
            <w:iCs/>
            <w:color w:val="0000FF"/>
            <w:sz w:val="24"/>
            <w:szCs w:val="24"/>
            <w:u w:val="single"/>
            <w:lang/>
          </w:rPr>
          <w:t>№ 1638-VII від 12.08.2</w:t>
        </w:r>
      </w:hyperlink>
      <w:hyperlink r:id="rId4171" w:anchor="n29" w:tgtFrame="_blank" w:history="1">
        <w:r w:rsidRPr="008B264B">
          <w:rPr>
            <w:rFonts w:ascii="Times New Roman" w:eastAsia="Times New Roman" w:hAnsi="Times New Roman" w:cs="Times New Roman"/>
            <w:i/>
            <w:iCs/>
            <w:color w:val="0000FF"/>
            <w:sz w:val="24"/>
            <w:szCs w:val="24"/>
            <w:u w:val="single"/>
            <w:lang/>
          </w:rPr>
          <w:t>014</w:t>
        </w:r>
      </w:hyperlink>
      <w:r w:rsidRPr="008B264B">
        <w:rPr>
          <w:rFonts w:ascii="Times New Roman" w:eastAsia="Times New Roman" w:hAnsi="Times New Roman" w:cs="Times New Roman"/>
          <w:i/>
          <w:iCs/>
          <w:color w:val="000000"/>
          <w:sz w:val="24"/>
          <w:szCs w:val="24"/>
          <w:lang/>
        </w:rPr>
        <w:t>}</w:t>
      </w:r>
    </w:p>
    <w:bookmarkStart w:id="7396" w:name="n5861"/>
    <w:bookmarkEnd w:id="7396"/>
    <w:p w14:paraId="52E880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"https://zakon.rada.gov.ua/laws/show/806-2013-%D0%BF"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ведення Єдиного реєстру товарно-транспортних накладних на переміщення алкогольних напоїв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Кабінетом Міністрів України.</w:t>
      </w:r>
    </w:p>
    <w:p w14:paraId="3C9179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7" w:name="n5862"/>
      <w:bookmarkEnd w:id="7397"/>
      <w:r w:rsidRPr="008B264B">
        <w:rPr>
          <w:rFonts w:ascii="Times New Roman" w:eastAsia="Times New Roman" w:hAnsi="Times New Roman" w:cs="Times New Roman"/>
          <w:i/>
          <w:iCs/>
          <w:color w:val="000000"/>
          <w:sz w:val="24"/>
          <w:szCs w:val="24"/>
          <w:lang/>
        </w:rPr>
        <w:t>{Пункт 230.18 статті 230 доповнено абзацом другим згідно із Законом </w:t>
      </w:r>
      <w:hyperlink r:id="rId417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33F7B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8" w:name="n5863"/>
      <w:bookmarkEnd w:id="7398"/>
      <w:r w:rsidRPr="008B264B">
        <w:rPr>
          <w:rFonts w:ascii="Times New Roman" w:eastAsia="Times New Roman" w:hAnsi="Times New Roman" w:cs="Times New Roman"/>
          <w:i/>
          <w:iCs/>
          <w:color w:val="000000"/>
          <w:sz w:val="24"/>
          <w:szCs w:val="24"/>
          <w:lang/>
        </w:rPr>
        <w:t>{Пункт 230.18 статті 230 із змінами, внесеними згідно із Законами </w:t>
      </w:r>
      <w:hyperlink r:id="rId417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174" w:anchor="n41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23809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399" w:name="n5864"/>
      <w:bookmarkEnd w:id="7399"/>
      <w:r w:rsidRPr="008B264B">
        <w:rPr>
          <w:rFonts w:ascii="Times New Roman" w:eastAsia="Times New Roman" w:hAnsi="Times New Roman" w:cs="Times New Roman"/>
          <w:color w:val="000000"/>
          <w:sz w:val="24"/>
          <w:szCs w:val="24"/>
          <w:lang/>
        </w:rPr>
        <w:t>230.19. Розпорядник акцизного складу зобов'язаний:</w:t>
      </w:r>
    </w:p>
    <w:p w14:paraId="7AC9CD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0" w:name="n5865"/>
      <w:bookmarkEnd w:id="7400"/>
      <w:r w:rsidRPr="008B264B">
        <w:rPr>
          <w:rFonts w:ascii="Times New Roman" w:eastAsia="Times New Roman" w:hAnsi="Times New Roman" w:cs="Times New Roman"/>
          <w:color w:val="000000"/>
          <w:sz w:val="24"/>
          <w:szCs w:val="24"/>
          <w:lang/>
        </w:rPr>
        <w:t>а) надати постійному представнику контролюючого органу окреме приміщення, яке відповідає санітарно-гігієнічним нормам, обладнане телефоном, а також вжити заходів для запобігання несанкціонованому втручанню в роботу представника контролюючого органу і користуванню службовою та іншою інформацією, що зберігається представником контролюючого органу на акцизному складі;</w:t>
      </w:r>
    </w:p>
    <w:p w14:paraId="2AECE5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1" w:name="n5866"/>
      <w:bookmarkEnd w:id="7401"/>
      <w:r w:rsidRPr="008B264B">
        <w:rPr>
          <w:rFonts w:ascii="Times New Roman" w:eastAsia="Times New Roman" w:hAnsi="Times New Roman" w:cs="Times New Roman"/>
          <w:color w:val="000000"/>
          <w:sz w:val="24"/>
          <w:szCs w:val="24"/>
          <w:lang/>
        </w:rPr>
        <w:t>б) встановлювати та підтримувати у належному стані необхідні замки, пломби, лічильники чи інші вимірювальні прилади, які можуть бути затребувані постійним представником контролюючого органу на акцизному складі з метою забезпечення повноти сплати належної суми податку із спирту, горілки та лікеро-горілчаних виробів, пального, що виробляються на акцизному складі;</w:t>
      </w:r>
    </w:p>
    <w:p w14:paraId="5D2268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2" w:name="n12291"/>
      <w:bookmarkEnd w:id="7402"/>
      <w:r w:rsidRPr="008B264B">
        <w:rPr>
          <w:rFonts w:ascii="Times New Roman" w:eastAsia="Times New Roman" w:hAnsi="Times New Roman" w:cs="Times New Roman"/>
          <w:i/>
          <w:iCs/>
          <w:color w:val="000000"/>
          <w:sz w:val="24"/>
          <w:szCs w:val="24"/>
          <w:lang/>
        </w:rPr>
        <w:t>{Підпункт "б" пункту 230.19 статті 230 із змінами, внесеними згідно із Законом </w:t>
      </w:r>
      <w:hyperlink r:id="rId4175" w:anchor="n8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C01FB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3" w:name="n5867"/>
      <w:bookmarkEnd w:id="7403"/>
      <w:r w:rsidRPr="008B264B">
        <w:rPr>
          <w:rFonts w:ascii="Times New Roman" w:eastAsia="Times New Roman" w:hAnsi="Times New Roman" w:cs="Times New Roman"/>
          <w:color w:val="000000"/>
          <w:sz w:val="24"/>
          <w:szCs w:val="24"/>
          <w:lang/>
        </w:rPr>
        <w:t>в) забезпечувати облік наявності та руху сировини, спирту етилового та водно-спиртових розчинів у незавершеному виробництві горілки та лікеро-горілчаних виробів і готової продукції, розміщених на акцизному складі;</w:t>
      </w:r>
    </w:p>
    <w:p w14:paraId="4329A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4" w:name="n5868"/>
      <w:bookmarkEnd w:id="7404"/>
      <w:r w:rsidRPr="008B264B">
        <w:rPr>
          <w:rFonts w:ascii="Times New Roman" w:eastAsia="Times New Roman" w:hAnsi="Times New Roman" w:cs="Times New Roman"/>
          <w:color w:val="000000"/>
          <w:sz w:val="24"/>
          <w:szCs w:val="24"/>
          <w:lang/>
        </w:rPr>
        <w:t>г) подавати постійному представнику контролюючого органу достовірну інформацію з цього питання, а також відповідні документи первинного, бухгалтерського обліку та звітності для ознайомлення.</w:t>
      </w:r>
    </w:p>
    <w:p w14:paraId="306DAC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5" w:name="n12881"/>
      <w:bookmarkEnd w:id="7405"/>
      <w:r w:rsidRPr="008B264B">
        <w:rPr>
          <w:rFonts w:ascii="Times New Roman" w:eastAsia="Times New Roman" w:hAnsi="Times New Roman" w:cs="Times New Roman"/>
          <w:i/>
          <w:iCs/>
          <w:color w:val="000000"/>
          <w:sz w:val="24"/>
          <w:szCs w:val="24"/>
          <w:lang/>
        </w:rPr>
        <w:t>{Пункт 230.19 статті 230 із змінами, внесеними згідно із Законом </w:t>
      </w:r>
      <w:hyperlink r:id="rId4176" w:anchor="n40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A7DE8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6" w:name="n12293"/>
      <w:bookmarkEnd w:id="7406"/>
      <w:r w:rsidRPr="008B264B">
        <w:rPr>
          <w:rFonts w:ascii="Times New Roman" w:eastAsia="Times New Roman" w:hAnsi="Times New Roman" w:cs="Times New Roman"/>
          <w:i/>
          <w:iCs/>
          <w:color w:val="000000"/>
          <w:sz w:val="24"/>
          <w:szCs w:val="24"/>
          <w:lang/>
        </w:rPr>
        <w:t>{Пункт 230.20 статті 230 виключено на підставі Закону </w:t>
      </w:r>
      <w:hyperlink r:id="rId4177" w:anchor="n4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B48D6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7" w:name="n12294"/>
      <w:bookmarkEnd w:id="7407"/>
      <w:r w:rsidRPr="008B264B">
        <w:rPr>
          <w:rFonts w:ascii="Times New Roman" w:eastAsia="Times New Roman" w:hAnsi="Times New Roman" w:cs="Times New Roman"/>
          <w:i/>
          <w:iCs/>
          <w:color w:val="000000"/>
          <w:sz w:val="24"/>
          <w:szCs w:val="24"/>
          <w:lang/>
        </w:rPr>
        <w:t>{Пункт 230.21 статті 230 виключено на підставі Закону </w:t>
      </w:r>
      <w:hyperlink r:id="rId4178" w:anchor="n4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45285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8" w:name="n12295"/>
      <w:bookmarkEnd w:id="7408"/>
      <w:r w:rsidRPr="008B264B">
        <w:rPr>
          <w:rFonts w:ascii="Times New Roman" w:eastAsia="Times New Roman" w:hAnsi="Times New Roman" w:cs="Times New Roman"/>
          <w:i/>
          <w:iCs/>
          <w:color w:val="000000"/>
          <w:sz w:val="24"/>
          <w:szCs w:val="24"/>
          <w:lang/>
        </w:rPr>
        <w:t>{Пункт 230.22 статті 230 виключено на підставі Закону </w:t>
      </w:r>
      <w:hyperlink r:id="rId4179" w:anchor="n4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CD14E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09" w:name="n12296"/>
      <w:bookmarkEnd w:id="7409"/>
      <w:r w:rsidRPr="008B264B">
        <w:rPr>
          <w:rFonts w:ascii="Times New Roman" w:eastAsia="Times New Roman" w:hAnsi="Times New Roman" w:cs="Times New Roman"/>
          <w:i/>
          <w:iCs/>
          <w:color w:val="000000"/>
          <w:sz w:val="24"/>
          <w:szCs w:val="24"/>
          <w:lang/>
        </w:rPr>
        <w:t>{Пункт 230.23 статті 230 виключено на підставі Закону </w:t>
      </w:r>
      <w:hyperlink r:id="rId4180" w:anchor="n4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4BCF7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0" w:name="n13174"/>
      <w:bookmarkEnd w:id="7410"/>
      <w:r w:rsidRPr="008B264B">
        <w:rPr>
          <w:rFonts w:ascii="Times New Roman" w:eastAsia="Times New Roman" w:hAnsi="Times New Roman" w:cs="Times New Roman"/>
          <w:b/>
          <w:bCs/>
          <w:color w:val="000000"/>
          <w:sz w:val="24"/>
          <w:szCs w:val="24"/>
          <w:lang/>
        </w:rPr>
        <w:t>Стаття 231.</w:t>
      </w:r>
      <w:r w:rsidRPr="008B264B">
        <w:rPr>
          <w:rFonts w:ascii="Times New Roman" w:eastAsia="Times New Roman" w:hAnsi="Times New Roman" w:cs="Times New Roman"/>
          <w:color w:val="000000"/>
          <w:sz w:val="24"/>
          <w:szCs w:val="24"/>
          <w:lang/>
        </w:rPr>
        <w:t> Акцизна накладна</w:t>
      </w:r>
    </w:p>
    <w:p w14:paraId="108271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1" w:name="n13175"/>
      <w:bookmarkEnd w:id="7411"/>
      <w:r w:rsidRPr="008B264B">
        <w:rPr>
          <w:rFonts w:ascii="Times New Roman" w:eastAsia="Times New Roman" w:hAnsi="Times New Roman" w:cs="Times New Roman"/>
          <w:color w:val="000000"/>
          <w:sz w:val="24"/>
          <w:szCs w:val="24"/>
          <w:lang/>
        </w:rPr>
        <w:lastRenderedPageBreak/>
        <w:t>231.1. Платник податку при ввезенні на митну територію України пального або спирту етилового, з якого сплачено акцизний податок, або на умовах, визначених </w:t>
      </w:r>
      <w:hyperlink r:id="rId4181"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або реалізації пального або спирту етилового зобов’язаний скласти в електронній формі акцизну накладну за кожним кодом товарної підкатегорії згідно з </w:t>
      </w:r>
      <w:hyperlink r:id="rId4182"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реалізованого пального або спирту етилового та зареєструвати її в Єдиному реєстрі акцизних накладних з дотриманням умови щодо реєстрації у порядку, визначеному законодавством, електронного підпису уповноваженої платником особи.</w:t>
      </w:r>
    </w:p>
    <w:p w14:paraId="7759D3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2" w:name="n15626"/>
      <w:bookmarkEnd w:id="7412"/>
      <w:r w:rsidRPr="008B264B">
        <w:rPr>
          <w:rFonts w:ascii="Times New Roman" w:eastAsia="Times New Roman" w:hAnsi="Times New Roman" w:cs="Times New Roman"/>
          <w:color w:val="000000"/>
          <w:sz w:val="24"/>
          <w:szCs w:val="24"/>
          <w:lang/>
        </w:rPr>
        <w:t>Платник податку зобов’язаний скласти акцизну накладну на обсяги пального або спирту етилового, використаного для власного споживання; реалізованого та/або використаного для виробництва непідакцизної продукції на умовах, встановлених </w:t>
      </w:r>
      <w:hyperlink r:id="rId4183"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втраченого у межах та/або понад встановлені норми втрат; зіпсованого, знищеного, в тому числі внаслідок аварії, пожежі, повені, інших форс-мажорних обставин чи з іншої причини, пов’язаної з природним результатом, а також внаслідок випаровування у процесі виробництва, обробки, переробки, зберігання чи транспортування такого пального або спирту етилового, а також при здійсненні операцій, які не підлягають оподаткуванню або звільняються від оподаткування.</w:t>
      </w:r>
    </w:p>
    <w:p w14:paraId="4C1516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3" w:name="n15627"/>
      <w:bookmarkEnd w:id="7413"/>
      <w:r w:rsidRPr="008B264B">
        <w:rPr>
          <w:rFonts w:ascii="Times New Roman" w:eastAsia="Times New Roman" w:hAnsi="Times New Roman" w:cs="Times New Roman"/>
          <w:color w:val="000000"/>
          <w:sz w:val="24"/>
          <w:szCs w:val="24"/>
          <w:lang/>
        </w:rPr>
        <w:t>Виробник пального, а також особа, яка здійснює розлив пального у споживчу тару ємністю до 5 літрів (включно), зобов’язані скласти акцизну накладну на обсяги такого пального.</w:t>
      </w:r>
    </w:p>
    <w:p w14:paraId="600622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4" w:name="n15628"/>
      <w:bookmarkEnd w:id="7414"/>
      <w:r w:rsidRPr="008B264B">
        <w:rPr>
          <w:rFonts w:ascii="Times New Roman" w:eastAsia="Times New Roman" w:hAnsi="Times New Roman" w:cs="Times New Roman"/>
          <w:color w:val="000000"/>
          <w:sz w:val="24"/>
          <w:szCs w:val="24"/>
          <w:lang/>
        </w:rPr>
        <w:t>Виробник спирту етилового, що здійснює розлив спирту етилового, який використовується як лікарський засіб, у флакони з медичного скла об’ємом не більше 100 кубічних сантиметрів, зобов’язаний скласти акцизну накладну на обсяги такого спирту етилового.</w:t>
      </w:r>
    </w:p>
    <w:p w14:paraId="6672ED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5" w:name="n15629"/>
      <w:bookmarkEnd w:id="7415"/>
      <w:r w:rsidRPr="008B264B">
        <w:rPr>
          <w:rFonts w:ascii="Times New Roman" w:eastAsia="Times New Roman" w:hAnsi="Times New Roman" w:cs="Times New Roman"/>
          <w:color w:val="000000"/>
          <w:sz w:val="24"/>
          <w:szCs w:val="24"/>
          <w:lang/>
        </w:rPr>
        <w:t>В акцизній накладній зазначаються в окремих полях такі обов’язкові реквізити:</w:t>
      </w:r>
    </w:p>
    <w:p w14:paraId="61FE6F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6" w:name="n15630"/>
      <w:bookmarkEnd w:id="7416"/>
      <w:r w:rsidRPr="008B264B">
        <w:rPr>
          <w:rFonts w:ascii="Times New Roman" w:eastAsia="Times New Roman" w:hAnsi="Times New Roman" w:cs="Times New Roman"/>
          <w:color w:val="000000"/>
          <w:sz w:val="24"/>
          <w:szCs w:val="24"/>
          <w:lang/>
        </w:rPr>
        <w:t>а) порядковий номер акцизної накладної з номером примірника;</w:t>
      </w:r>
    </w:p>
    <w:p w14:paraId="7909AE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7" w:name="n15631"/>
      <w:bookmarkEnd w:id="7417"/>
      <w:r w:rsidRPr="008B264B">
        <w:rPr>
          <w:rFonts w:ascii="Times New Roman" w:eastAsia="Times New Roman" w:hAnsi="Times New Roman" w:cs="Times New Roman"/>
          <w:color w:val="000000"/>
          <w:sz w:val="24"/>
          <w:szCs w:val="24"/>
          <w:lang/>
        </w:rPr>
        <w:t>б) дата складання акцизної накладної;</w:t>
      </w:r>
    </w:p>
    <w:p w14:paraId="038B00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8" w:name="n15632"/>
      <w:bookmarkEnd w:id="7418"/>
      <w:r w:rsidRPr="008B264B">
        <w:rPr>
          <w:rFonts w:ascii="Times New Roman" w:eastAsia="Times New Roman" w:hAnsi="Times New Roman" w:cs="Times New Roman"/>
          <w:color w:val="000000"/>
          <w:sz w:val="24"/>
          <w:szCs w:val="24"/>
          <w:lang/>
        </w:rPr>
        <w:t>в) повна або скорочена назва юридичної особи або прізвище, ім’я та по батькові фізичної особи, зареєстрованої як платник акцизного податку, - особи, яка реалізує пальне або спирт етиловий;</w:t>
      </w:r>
    </w:p>
    <w:p w14:paraId="068D8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19" w:name="n15633"/>
      <w:bookmarkEnd w:id="7419"/>
      <w:r w:rsidRPr="008B264B">
        <w:rPr>
          <w:rFonts w:ascii="Times New Roman" w:eastAsia="Times New Roman" w:hAnsi="Times New Roman" w:cs="Times New Roman"/>
          <w:color w:val="000000"/>
          <w:sz w:val="24"/>
          <w:szCs w:val="24"/>
          <w:lang/>
        </w:rPr>
        <w:t>г) код ЄДРПОУ (для юридичних осіб) або реєстраційний номер облікової картки платника податків (для фізичних осіб) особи, яка реалізує пальне або спирт етиловий, та суб’єкта господарювання - отримувача пального або спирту етилового;</w:t>
      </w:r>
    </w:p>
    <w:p w14:paraId="7DB303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0" w:name="n15634"/>
      <w:bookmarkEnd w:id="7420"/>
      <w:r w:rsidRPr="008B264B">
        <w:rPr>
          <w:rFonts w:ascii="Times New Roman" w:eastAsia="Times New Roman" w:hAnsi="Times New Roman" w:cs="Times New Roman"/>
          <w:color w:val="000000"/>
          <w:sz w:val="24"/>
          <w:szCs w:val="24"/>
          <w:lang/>
        </w:rPr>
        <w:t>ґ) повна або скорочена назва юридичної особи або прізвище, ім’я та по батькові фізичної особи - суб’єкта господарювання - отримувача пального або спирту етилового;</w:t>
      </w:r>
    </w:p>
    <w:p w14:paraId="5792D7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1" w:name="n15635"/>
      <w:bookmarkEnd w:id="7421"/>
      <w:r w:rsidRPr="008B264B">
        <w:rPr>
          <w:rFonts w:ascii="Times New Roman" w:eastAsia="Times New Roman" w:hAnsi="Times New Roman" w:cs="Times New Roman"/>
          <w:color w:val="000000"/>
          <w:sz w:val="24"/>
          <w:szCs w:val="24"/>
          <w:lang/>
        </w:rPr>
        <w:t>д) код товарної підкатегорії згідно з </w:t>
      </w:r>
      <w:hyperlink r:id="rId4184"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i/>
          <w:iCs/>
          <w:color w:val="000000"/>
          <w:sz w:val="24"/>
          <w:szCs w:val="24"/>
          <w:lang/>
        </w:rPr>
        <w:t> </w:t>
      </w:r>
      <w:r w:rsidRPr="008B264B">
        <w:rPr>
          <w:rFonts w:ascii="Times New Roman" w:eastAsia="Times New Roman" w:hAnsi="Times New Roman" w:cs="Times New Roman"/>
          <w:color w:val="000000"/>
          <w:sz w:val="24"/>
          <w:szCs w:val="24"/>
          <w:lang/>
        </w:rPr>
        <w:t>або умовний код, визначений </w:t>
      </w:r>
      <w:hyperlink r:id="rId4185" w:anchor="n15605" w:history="1">
        <w:r w:rsidRPr="008B264B">
          <w:rPr>
            <w:rFonts w:ascii="Times New Roman" w:eastAsia="Times New Roman" w:hAnsi="Times New Roman" w:cs="Times New Roman"/>
            <w:color w:val="0000FF"/>
            <w:sz w:val="24"/>
            <w:szCs w:val="24"/>
            <w:u w:val="single"/>
            <w:lang/>
          </w:rPr>
          <w:t>підпунктом 230.1.3</w:t>
        </w:r>
      </w:hyperlink>
      <w:r w:rsidRPr="008B264B">
        <w:rPr>
          <w:rFonts w:ascii="Times New Roman" w:eastAsia="Times New Roman" w:hAnsi="Times New Roman" w:cs="Times New Roman"/>
          <w:color w:val="000000"/>
          <w:sz w:val="24"/>
          <w:szCs w:val="24"/>
          <w:lang/>
        </w:rPr>
        <w:t> пункту 230.1 цієї статті;</w:t>
      </w:r>
    </w:p>
    <w:p w14:paraId="37596F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2" w:name="n15980"/>
      <w:bookmarkEnd w:id="7422"/>
      <w:r w:rsidRPr="008B264B">
        <w:rPr>
          <w:rFonts w:ascii="Times New Roman" w:eastAsia="Times New Roman" w:hAnsi="Times New Roman" w:cs="Times New Roman"/>
          <w:i/>
          <w:iCs/>
          <w:color w:val="000000"/>
          <w:sz w:val="24"/>
          <w:szCs w:val="24"/>
          <w:lang/>
        </w:rPr>
        <w:t>{Абзац одинадцятий пункту 231.1 статті 231 із змінами, внесеними згідно із Законом </w:t>
      </w:r>
      <w:hyperlink r:id="rId4186" w:anchor="n12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D1FD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3" w:name="n15636"/>
      <w:bookmarkEnd w:id="7423"/>
      <w:r w:rsidRPr="008B264B">
        <w:rPr>
          <w:rFonts w:ascii="Times New Roman" w:eastAsia="Times New Roman" w:hAnsi="Times New Roman" w:cs="Times New Roman"/>
          <w:color w:val="000000"/>
          <w:sz w:val="24"/>
          <w:szCs w:val="24"/>
          <w:lang/>
        </w:rPr>
        <w:t>е) опис пального або спирту етилового;</w:t>
      </w:r>
    </w:p>
    <w:p w14:paraId="498D25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4" w:name="n15637"/>
      <w:bookmarkEnd w:id="7424"/>
      <w:r w:rsidRPr="008B264B">
        <w:rPr>
          <w:rFonts w:ascii="Times New Roman" w:eastAsia="Times New Roman" w:hAnsi="Times New Roman" w:cs="Times New Roman"/>
          <w:color w:val="000000"/>
          <w:sz w:val="24"/>
          <w:szCs w:val="24"/>
          <w:lang/>
        </w:rPr>
        <w:t>є) обсяг пального в літрах, приведених до температури 15° C, або обсяг спирту етилового в декалітрах 100-відсоткового спирту, приведених до температури 20° C;</w:t>
      </w:r>
    </w:p>
    <w:p w14:paraId="46EEB8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5" w:name="n15638"/>
      <w:bookmarkEnd w:id="7425"/>
      <w:r w:rsidRPr="008B264B">
        <w:rPr>
          <w:rFonts w:ascii="Times New Roman" w:eastAsia="Times New Roman" w:hAnsi="Times New Roman" w:cs="Times New Roman"/>
          <w:color w:val="000000"/>
          <w:sz w:val="24"/>
          <w:szCs w:val="24"/>
          <w:lang/>
        </w:rPr>
        <w:t>ж) уніфікований номер акцизного складу в системі електронного адміністрування реалізації пального та спирту етилового, з якого реалізовано пальне або спирт етиловий;</w:t>
      </w:r>
    </w:p>
    <w:p w14:paraId="4F1AA1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6" w:name="n15639"/>
      <w:bookmarkEnd w:id="7426"/>
      <w:r w:rsidRPr="008B264B">
        <w:rPr>
          <w:rFonts w:ascii="Times New Roman" w:eastAsia="Times New Roman" w:hAnsi="Times New Roman" w:cs="Times New Roman"/>
          <w:color w:val="000000"/>
          <w:sz w:val="24"/>
          <w:szCs w:val="24"/>
          <w:lang/>
        </w:rPr>
        <w:t>з) уніфікований номер акцизного складу в системі електронного адміністрування реалізації пального та спирту етилового, на який отримане пальне;</w:t>
      </w:r>
    </w:p>
    <w:p w14:paraId="4BACF1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7" w:name="n15640"/>
      <w:bookmarkEnd w:id="7427"/>
      <w:r w:rsidRPr="008B264B">
        <w:rPr>
          <w:rFonts w:ascii="Times New Roman" w:eastAsia="Times New Roman" w:hAnsi="Times New Roman" w:cs="Times New Roman"/>
          <w:color w:val="000000"/>
          <w:sz w:val="24"/>
          <w:szCs w:val="24"/>
          <w:lang/>
        </w:rPr>
        <w:t xml:space="preserve">и) номер реєстрації транспортного засобу в уповноважених органах відповідної держави та тип і ємність транспортного засобу - акцизного складу пересувного, а для трубопровідного транспорту - назва трубопроводу. При зазначенні номера державної реєстрації (української, міжнародної або іноземної) транспортного засобу допускається використання літер (латиниця, </w:t>
      </w:r>
      <w:r w:rsidRPr="008B264B">
        <w:rPr>
          <w:rFonts w:ascii="Times New Roman" w:eastAsia="Times New Roman" w:hAnsi="Times New Roman" w:cs="Times New Roman"/>
          <w:color w:val="000000"/>
          <w:sz w:val="24"/>
          <w:szCs w:val="24"/>
          <w:lang/>
        </w:rPr>
        <w:lastRenderedPageBreak/>
        <w:t>кирилиця) та цифр без пропусків та розділових знаків. У разі якщо літерна частина номера збігається в написанні кирилицею та латиницею, вона зазначається латиницею, а якщо зустрічається специфічна літера кирилиці, літерна частина зазначається кирилицею;</w:t>
      </w:r>
    </w:p>
    <w:p w14:paraId="44CB0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8" w:name="n15981"/>
      <w:bookmarkEnd w:id="7428"/>
      <w:r w:rsidRPr="008B264B">
        <w:rPr>
          <w:rFonts w:ascii="Times New Roman" w:eastAsia="Times New Roman" w:hAnsi="Times New Roman" w:cs="Times New Roman"/>
          <w:i/>
          <w:iCs/>
          <w:color w:val="000000"/>
          <w:sz w:val="24"/>
          <w:szCs w:val="24"/>
          <w:lang/>
        </w:rPr>
        <w:t>{Абзац шістнадцятий пункту 231.1 статті 231 із змінами, внесеними згідно із Законом </w:t>
      </w:r>
      <w:hyperlink r:id="rId4187" w:anchor="n12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C95B8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29" w:name="n15641"/>
      <w:bookmarkEnd w:id="7429"/>
      <w:r w:rsidRPr="008B264B">
        <w:rPr>
          <w:rFonts w:ascii="Times New Roman" w:eastAsia="Times New Roman" w:hAnsi="Times New Roman" w:cs="Times New Roman"/>
          <w:color w:val="000000"/>
          <w:sz w:val="24"/>
          <w:szCs w:val="24"/>
          <w:lang/>
        </w:rPr>
        <w:t>і) ознака напряму використання та умов оподаткування пального або спирту етилового;</w:t>
      </w:r>
    </w:p>
    <w:p w14:paraId="56C297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0" w:name="n15642"/>
      <w:bookmarkEnd w:id="7430"/>
      <w:r w:rsidRPr="008B264B">
        <w:rPr>
          <w:rFonts w:ascii="Times New Roman" w:eastAsia="Times New Roman" w:hAnsi="Times New Roman" w:cs="Times New Roman"/>
          <w:color w:val="000000"/>
          <w:sz w:val="24"/>
          <w:szCs w:val="24"/>
          <w:lang/>
        </w:rPr>
        <w:t>ї) ознака щодо реалізації пального у паливний бак транспортного засобу або в тару споживача через паливороздавальну або оливороздавальну колонку з акцизного складу, який є місцем роздрібної торгівлі пальним, на яке отримано ліцензію на право роздрібної торгівлі пальним;</w:t>
      </w:r>
    </w:p>
    <w:p w14:paraId="023EB0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1" w:name="n15982"/>
      <w:bookmarkEnd w:id="7431"/>
      <w:r w:rsidRPr="008B264B">
        <w:rPr>
          <w:rFonts w:ascii="Times New Roman" w:eastAsia="Times New Roman" w:hAnsi="Times New Roman" w:cs="Times New Roman"/>
          <w:i/>
          <w:iCs/>
          <w:color w:val="000000"/>
          <w:sz w:val="24"/>
          <w:szCs w:val="24"/>
          <w:lang/>
        </w:rPr>
        <w:t>{Абзац вісімнадцятий пункту 231.1 статті 231 із змінами, внесеними згідно із Законом </w:t>
      </w:r>
      <w:hyperlink r:id="rId4188" w:anchor="n12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A0082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2" w:name="n15643"/>
      <w:bookmarkEnd w:id="7432"/>
      <w:r w:rsidRPr="008B264B">
        <w:rPr>
          <w:rFonts w:ascii="Times New Roman" w:eastAsia="Times New Roman" w:hAnsi="Times New Roman" w:cs="Times New Roman"/>
          <w:color w:val="000000"/>
          <w:sz w:val="24"/>
          <w:szCs w:val="24"/>
          <w:lang/>
        </w:rPr>
        <w:t>й) ознака щодо ввезення/вивезення пального або спирту етилового на митну територію України/за межі митної території України;</w:t>
      </w:r>
    </w:p>
    <w:p w14:paraId="40A8BF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3" w:name="n15983"/>
      <w:bookmarkEnd w:id="7433"/>
      <w:r w:rsidRPr="008B264B">
        <w:rPr>
          <w:rFonts w:ascii="Times New Roman" w:eastAsia="Times New Roman" w:hAnsi="Times New Roman" w:cs="Times New Roman"/>
          <w:i/>
          <w:iCs/>
          <w:color w:val="000000"/>
          <w:sz w:val="24"/>
          <w:szCs w:val="24"/>
          <w:lang/>
        </w:rPr>
        <w:t>{Абзац дев'ятнадцятий пункту 231.1 статті 231 із змінами, внесеними згідно із Законом </w:t>
      </w:r>
      <w:hyperlink r:id="rId4189" w:anchor="n12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4C124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4" w:name="n15644"/>
      <w:bookmarkEnd w:id="7434"/>
      <w:r w:rsidRPr="008B264B">
        <w:rPr>
          <w:rFonts w:ascii="Times New Roman" w:eastAsia="Times New Roman" w:hAnsi="Times New Roman" w:cs="Times New Roman"/>
          <w:color w:val="000000"/>
          <w:sz w:val="24"/>
          <w:szCs w:val="24"/>
          <w:lang/>
        </w:rPr>
        <w:t>к) ознака щодо реалізації пального або спирту етилового з акцизного складу до іншого акцизного складу з використанням акцизного складу пересувного, у разі якщо до реалізації пального або спирту етилового такий інший акцизний склад уже відомий;</w:t>
      </w:r>
    </w:p>
    <w:p w14:paraId="209F4F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5" w:name="n15645"/>
      <w:bookmarkEnd w:id="7435"/>
      <w:r w:rsidRPr="008B264B">
        <w:rPr>
          <w:rFonts w:ascii="Times New Roman" w:eastAsia="Times New Roman" w:hAnsi="Times New Roman" w:cs="Times New Roman"/>
          <w:color w:val="000000"/>
          <w:sz w:val="24"/>
          <w:szCs w:val="24"/>
          <w:lang/>
        </w:rPr>
        <w:t>л) ознака щодо реалізації пального на умовах, визначених пунктом 229.8 статті 229 цього Кодексу, із зазначенням реквізитів податкового векселя, суб’єктів господарювання, які здійснюють авіапаливозабезпечення згідно з чинним сертифікатом на відповідність вимогам авіаційних правил України на здійснення наземного обслуговування, або суб’єктів літакобудування, або замовників, які здійснили закупівлю для забезпечення потреб держави або територіальної громади відповідно до </w:t>
      </w:r>
      <w:hyperlink r:id="rId419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публічні закупівлі", або підприємств, установ та організацій системи державного резерву;</w:t>
      </w:r>
    </w:p>
    <w:p w14:paraId="1AC53C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6" w:name="n15646"/>
      <w:bookmarkEnd w:id="7436"/>
      <w:r w:rsidRPr="008B264B">
        <w:rPr>
          <w:rFonts w:ascii="Times New Roman" w:eastAsia="Times New Roman" w:hAnsi="Times New Roman" w:cs="Times New Roman"/>
          <w:color w:val="000000"/>
          <w:sz w:val="24"/>
          <w:szCs w:val="24"/>
          <w:lang/>
        </w:rPr>
        <w:t>м) адреса місця зберігання пального, яке не є акцизним складом, на якому суб’єкт господарювання - не платник податку зберігає пальне виключно для потреб власного споживання чи промислової переробки;</w:t>
      </w:r>
    </w:p>
    <w:p w14:paraId="1B9C6F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7" w:name="n15985"/>
      <w:bookmarkEnd w:id="7437"/>
      <w:r w:rsidRPr="008B264B">
        <w:rPr>
          <w:rFonts w:ascii="Times New Roman" w:eastAsia="Times New Roman" w:hAnsi="Times New Roman" w:cs="Times New Roman"/>
          <w:color w:val="000000"/>
          <w:sz w:val="24"/>
          <w:szCs w:val="24"/>
          <w:lang/>
        </w:rPr>
        <w:t>н) ознака для зведених акцизних накладних;</w:t>
      </w:r>
    </w:p>
    <w:p w14:paraId="5B78B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8" w:name="n15989"/>
      <w:bookmarkEnd w:id="7438"/>
      <w:r w:rsidRPr="008B264B">
        <w:rPr>
          <w:rFonts w:ascii="Times New Roman" w:eastAsia="Times New Roman" w:hAnsi="Times New Roman" w:cs="Times New Roman"/>
          <w:i/>
          <w:iCs/>
          <w:color w:val="000000"/>
          <w:sz w:val="24"/>
          <w:szCs w:val="24"/>
          <w:lang/>
        </w:rPr>
        <w:t>{Пункт 231.1 статті 231 доповнено новим абзацом згідно із Законом </w:t>
      </w:r>
      <w:hyperlink r:id="rId4191" w:anchor="n12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2273D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39" w:name="n15986"/>
      <w:bookmarkEnd w:id="7439"/>
      <w:r w:rsidRPr="008B264B">
        <w:rPr>
          <w:rFonts w:ascii="Times New Roman" w:eastAsia="Times New Roman" w:hAnsi="Times New Roman" w:cs="Times New Roman"/>
          <w:color w:val="000000"/>
          <w:sz w:val="24"/>
          <w:szCs w:val="24"/>
          <w:lang/>
        </w:rPr>
        <w:t>о) ознака щодо реалізації пального у паливний бак транспортного засобу платника податку через паливороздавальну або оливороздавальну колонку з акцизного складу, який не є місцем роздрібної торгівлі пальним;</w:t>
      </w:r>
    </w:p>
    <w:p w14:paraId="765CC3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0" w:name="n15988"/>
      <w:bookmarkEnd w:id="7440"/>
      <w:r w:rsidRPr="008B264B">
        <w:rPr>
          <w:rFonts w:ascii="Times New Roman" w:eastAsia="Times New Roman" w:hAnsi="Times New Roman" w:cs="Times New Roman"/>
          <w:i/>
          <w:iCs/>
          <w:color w:val="000000"/>
          <w:sz w:val="24"/>
          <w:szCs w:val="24"/>
          <w:lang/>
        </w:rPr>
        <w:t>{Пункт 231.1 статті 231 доповнено новим абзацом згідно із Законом </w:t>
      </w:r>
      <w:hyperlink r:id="rId4192" w:anchor="n12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FBB77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1" w:name="n15987"/>
      <w:bookmarkEnd w:id="7441"/>
      <w:r w:rsidRPr="008B264B">
        <w:rPr>
          <w:rFonts w:ascii="Times New Roman" w:eastAsia="Times New Roman" w:hAnsi="Times New Roman" w:cs="Times New Roman"/>
          <w:color w:val="000000"/>
          <w:sz w:val="24"/>
          <w:szCs w:val="24"/>
          <w:lang/>
        </w:rPr>
        <w:t>п) ознака щодо реалізації пального з акцизного складу пересувного у паливний бак транспортного засобу, обладнання або пристрою.</w:t>
      </w:r>
    </w:p>
    <w:p w14:paraId="35EAB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2" w:name="n15984"/>
      <w:bookmarkEnd w:id="7442"/>
      <w:r w:rsidRPr="008B264B">
        <w:rPr>
          <w:rFonts w:ascii="Times New Roman" w:eastAsia="Times New Roman" w:hAnsi="Times New Roman" w:cs="Times New Roman"/>
          <w:i/>
          <w:iCs/>
          <w:color w:val="000000"/>
          <w:sz w:val="24"/>
          <w:szCs w:val="24"/>
          <w:lang/>
        </w:rPr>
        <w:t>{Пункт 231.1 статті 231 доповнено новим абзацом згідно із Законом </w:t>
      </w:r>
      <w:hyperlink r:id="rId4193" w:anchor="n12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8F08A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3" w:name="n15647"/>
      <w:bookmarkEnd w:id="7443"/>
      <w:r w:rsidRPr="008B264B">
        <w:rPr>
          <w:rFonts w:ascii="Times New Roman" w:eastAsia="Times New Roman" w:hAnsi="Times New Roman" w:cs="Times New Roman"/>
          <w:color w:val="000000"/>
          <w:sz w:val="24"/>
          <w:szCs w:val="24"/>
          <w:lang/>
        </w:rPr>
        <w:t>При реалізації пального через паливороздавальну або оливороздавальну колонку з акцизного складу, який є місцем роздрібної торгівлі пальним, на яке отримано ліцензію на право роздрібної торгівлі пальним, обов’язкові реквізити акцизної накладної, що ідентифікують отримувача пального, визначені підпунктами "г" та "ґ" цього пункту:</w:t>
      </w:r>
    </w:p>
    <w:p w14:paraId="0EF46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4" w:name="n15648"/>
      <w:bookmarkEnd w:id="7444"/>
      <w:r w:rsidRPr="008B264B">
        <w:rPr>
          <w:rFonts w:ascii="Times New Roman" w:eastAsia="Times New Roman" w:hAnsi="Times New Roman" w:cs="Times New Roman"/>
          <w:color w:val="000000"/>
          <w:sz w:val="24"/>
          <w:szCs w:val="24"/>
          <w:lang/>
        </w:rPr>
        <w:lastRenderedPageBreak/>
        <w:t>можуть не заповнюватися виключно при реалізації пального не суб’єкту господарювання;</w:t>
      </w:r>
    </w:p>
    <w:p w14:paraId="502A42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5" w:name="n15649"/>
      <w:bookmarkEnd w:id="7445"/>
      <w:r w:rsidRPr="008B264B">
        <w:rPr>
          <w:rFonts w:ascii="Times New Roman" w:eastAsia="Times New Roman" w:hAnsi="Times New Roman" w:cs="Times New Roman"/>
          <w:color w:val="000000"/>
          <w:sz w:val="24"/>
          <w:szCs w:val="24"/>
          <w:lang/>
        </w:rPr>
        <w:t>обов’язково заповнюються при реалізації пального суб’єкту господарювання із зазначенням даних, що ідентифікують такого суб’єкта господарювання.</w:t>
      </w:r>
    </w:p>
    <w:p w14:paraId="003A3A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6" w:name="n15650"/>
      <w:bookmarkEnd w:id="7446"/>
      <w:r w:rsidRPr="008B264B">
        <w:rPr>
          <w:rFonts w:ascii="Times New Roman" w:eastAsia="Times New Roman" w:hAnsi="Times New Roman" w:cs="Times New Roman"/>
          <w:color w:val="000000"/>
          <w:sz w:val="24"/>
          <w:szCs w:val="24"/>
          <w:lang/>
        </w:rPr>
        <w:t>При реалізації пального або спирту етилового з акцизного складу до іншого акцизного складу з використанням акцизного складу пересувного, у разі якщо до реалізації пального або спирту етилового такий інший акцизний склад уже відомий, складається одна акцизна накладна на реалізацію пального з акцизного складу на такий інший акцизний склад із зазначенням у такій акцизній накладній ідентифікаційних даних такого акцизного складу пересувного.</w:t>
      </w:r>
    </w:p>
    <w:p w14:paraId="54E7EA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7" w:name="n15991"/>
      <w:bookmarkEnd w:id="7447"/>
      <w:r w:rsidRPr="008B264B">
        <w:rPr>
          <w:rFonts w:ascii="Times New Roman" w:eastAsia="Times New Roman" w:hAnsi="Times New Roman" w:cs="Times New Roman"/>
          <w:color w:val="000000"/>
          <w:sz w:val="24"/>
          <w:szCs w:val="24"/>
          <w:lang/>
        </w:rPr>
        <w:t>При заправленні повітряних суден бензинами авіаційними або паливом для реактивних двигунів суб’єктами господарювання, визначеними </w:t>
      </w:r>
      <w:hyperlink r:id="rId4194" w:anchor="n15352" w:history="1">
        <w:r w:rsidRPr="008B264B">
          <w:rPr>
            <w:rFonts w:ascii="Times New Roman" w:eastAsia="Times New Roman" w:hAnsi="Times New Roman" w:cs="Times New Roman"/>
            <w:color w:val="0000FF"/>
            <w:sz w:val="24"/>
            <w:szCs w:val="24"/>
            <w:u w:val="single"/>
            <w:lang/>
          </w:rPr>
          <w:t>підпунктом 1</w:t>
        </w:r>
      </w:hyperlink>
      <w:r w:rsidRPr="008B264B">
        <w:rPr>
          <w:rFonts w:ascii="Times New Roman" w:eastAsia="Times New Roman" w:hAnsi="Times New Roman" w:cs="Times New Roman"/>
          <w:color w:val="000000"/>
          <w:sz w:val="24"/>
          <w:szCs w:val="24"/>
          <w:lang/>
        </w:rPr>
        <w:t> підпункту 229.8.10 статті 229 цього Кодексу, акцизні накладні на такі операції складаються та реєструються в Єдиному реєстрі акцизних накладних такими суб’єктами господарювання незалежно від того, кому належать такі бензини авіаційні або паливо для реактивних двигунів.</w:t>
      </w:r>
    </w:p>
    <w:p w14:paraId="60179E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8" w:name="n15993"/>
      <w:bookmarkEnd w:id="7448"/>
      <w:r w:rsidRPr="008B264B">
        <w:rPr>
          <w:rFonts w:ascii="Times New Roman" w:eastAsia="Times New Roman" w:hAnsi="Times New Roman" w:cs="Times New Roman"/>
          <w:i/>
          <w:iCs/>
          <w:color w:val="000000"/>
          <w:sz w:val="24"/>
          <w:szCs w:val="24"/>
          <w:lang/>
        </w:rPr>
        <w:t>{Пункт 231.1 статті 231 доповнено абзацом тридцятим згідно із Законом </w:t>
      </w:r>
      <w:hyperlink r:id="rId4195" w:anchor="n13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532E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49" w:name="n15992"/>
      <w:bookmarkEnd w:id="7449"/>
      <w:r w:rsidRPr="008B264B">
        <w:rPr>
          <w:rFonts w:ascii="Times New Roman" w:eastAsia="Times New Roman" w:hAnsi="Times New Roman" w:cs="Times New Roman"/>
          <w:color w:val="000000"/>
          <w:sz w:val="24"/>
          <w:szCs w:val="24"/>
          <w:lang/>
        </w:rPr>
        <w:t>При переході права власності від одного суб’єкта господарювання до іншого на пальне, що знаходиться у транспортному засобі, змінюється розпорядник акцизного складу пересувного, а транспортний засіб стає іншим акцизним складом пересувним і на таку операцію складається акцизна накладна.</w:t>
      </w:r>
    </w:p>
    <w:p w14:paraId="0DB114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0" w:name="n15990"/>
      <w:bookmarkEnd w:id="7450"/>
      <w:r w:rsidRPr="008B264B">
        <w:rPr>
          <w:rFonts w:ascii="Times New Roman" w:eastAsia="Times New Roman" w:hAnsi="Times New Roman" w:cs="Times New Roman"/>
          <w:i/>
          <w:iCs/>
          <w:color w:val="000000"/>
          <w:sz w:val="24"/>
          <w:szCs w:val="24"/>
          <w:lang/>
        </w:rPr>
        <w:t>{Пункт 231.1 статті 231 доповнено абзацом тридцять першим згідно із Законом </w:t>
      </w:r>
      <w:hyperlink r:id="rId4196" w:anchor="n13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D6E7C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1" w:name="n15625"/>
      <w:bookmarkEnd w:id="7451"/>
      <w:r w:rsidRPr="008B264B">
        <w:rPr>
          <w:rFonts w:ascii="Times New Roman" w:eastAsia="Times New Roman" w:hAnsi="Times New Roman" w:cs="Times New Roman"/>
          <w:i/>
          <w:iCs/>
          <w:color w:val="000000"/>
          <w:sz w:val="24"/>
          <w:szCs w:val="24"/>
          <w:lang/>
        </w:rPr>
        <w:t>{Пункт 231.1 статті 231 із змінами, внесеними згідно із Законами </w:t>
      </w:r>
      <w:hyperlink r:id="rId4197" w:anchor="n130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color w:val="000000"/>
          <w:sz w:val="24"/>
          <w:szCs w:val="24"/>
          <w:lang/>
        </w:rPr>
        <w:t>, </w:t>
      </w:r>
      <w:hyperlink r:id="rId4198" w:anchor="n44"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 в редакції Закону </w:t>
      </w:r>
      <w:hyperlink r:id="rId4199" w:anchor="n4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29CD1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2" w:name="n13185"/>
      <w:bookmarkEnd w:id="7452"/>
      <w:r w:rsidRPr="008B264B">
        <w:rPr>
          <w:rFonts w:ascii="Times New Roman" w:eastAsia="Times New Roman" w:hAnsi="Times New Roman" w:cs="Times New Roman"/>
          <w:color w:val="000000"/>
          <w:sz w:val="24"/>
          <w:szCs w:val="24"/>
          <w:lang/>
        </w:rPr>
        <w:t>231.2. </w:t>
      </w:r>
      <w:hyperlink r:id="rId4200" w:anchor="n22" w:tgtFrame="_blank" w:history="1">
        <w:r w:rsidRPr="008B264B">
          <w:rPr>
            <w:rFonts w:ascii="Times New Roman" w:eastAsia="Times New Roman" w:hAnsi="Times New Roman" w:cs="Times New Roman"/>
            <w:color w:val="0000FF"/>
            <w:sz w:val="24"/>
            <w:szCs w:val="24"/>
            <w:u w:val="single"/>
            <w:lang/>
          </w:rPr>
          <w:t>Форма</w:t>
        </w:r>
      </w:hyperlink>
      <w:r w:rsidRPr="008B264B">
        <w:rPr>
          <w:rFonts w:ascii="Times New Roman" w:eastAsia="Times New Roman" w:hAnsi="Times New Roman" w:cs="Times New Roman"/>
          <w:color w:val="000000"/>
          <w:sz w:val="24"/>
          <w:szCs w:val="24"/>
          <w:lang/>
        </w:rPr>
        <w:t> та </w:t>
      </w:r>
      <w:hyperlink r:id="rId4201" w:anchor="n35"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заповнення акцизної накладної затверджуються центральним органом виконавчої влади, що забезпечує формування державної фінансової політики.</w:t>
      </w:r>
    </w:p>
    <w:p w14:paraId="050DFD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3" w:name="n13186"/>
      <w:bookmarkEnd w:id="7453"/>
      <w:r w:rsidRPr="008B264B">
        <w:rPr>
          <w:rFonts w:ascii="Times New Roman" w:eastAsia="Times New Roman" w:hAnsi="Times New Roman" w:cs="Times New Roman"/>
          <w:color w:val="000000"/>
          <w:sz w:val="24"/>
          <w:szCs w:val="24"/>
          <w:lang/>
        </w:rPr>
        <w:t>231.3. Акцизна накладна складається платником податку в день ввезення на митну територію України пального або спирту етилового чи в день реалізації пального або спирту етилового при кожній повній або частковій операції з реалізації пального або спирту етилового.</w:t>
      </w:r>
    </w:p>
    <w:p w14:paraId="04BC4C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4" w:name="n15651"/>
      <w:bookmarkEnd w:id="7454"/>
      <w:r w:rsidRPr="008B264B">
        <w:rPr>
          <w:rFonts w:ascii="Times New Roman" w:eastAsia="Times New Roman" w:hAnsi="Times New Roman" w:cs="Times New Roman"/>
          <w:i/>
          <w:iCs/>
          <w:color w:val="000000"/>
          <w:sz w:val="24"/>
          <w:szCs w:val="24"/>
          <w:lang/>
        </w:rPr>
        <w:t>{Абзац перший пункту 231.3 статті 231 в редакції Закону </w:t>
      </w:r>
      <w:hyperlink r:id="rId4202" w:anchor="n44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6C2E0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5" w:name="n13187"/>
      <w:bookmarkEnd w:id="7455"/>
      <w:r w:rsidRPr="008B264B">
        <w:rPr>
          <w:rFonts w:ascii="Times New Roman" w:eastAsia="Times New Roman" w:hAnsi="Times New Roman" w:cs="Times New Roman"/>
          <w:i/>
          <w:iCs/>
          <w:color w:val="000000"/>
          <w:sz w:val="24"/>
          <w:szCs w:val="24"/>
          <w:lang/>
        </w:rPr>
        <w:t>{Абзац другий пункту 231.3 статті 231 виключено на підставі Закону </w:t>
      </w:r>
      <w:hyperlink r:id="rId4203" w:anchor="n45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D2B1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6" w:name="n13188"/>
      <w:bookmarkEnd w:id="7456"/>
      <w:r w:rsidRPr="008B264B">
        <w:rPr>
          <w:rFonts w:ascii="Times New Roman" w:eastAsia="Times New Roman" w:hAnsi="Times New Roman" w:cs="Times New Roman"/>
          <w:color w:val="000000"/>
          <w:sz w:val="24"/>
          <w:szCs w:val="24"/>
          <w:lang/>
        </w:rPr>
        <w:t>Акцизна накладна може бути складена за щоденними підсумками операцій (якщо акцизні накладні не були складені на ці операції) за кожним кодом товарної підкатегорії згідно з </w:t>
      </w:r>
      <w:hyperlink r:id="rId4204"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у разі здійснення реалізації пального за готівку кінцевому споживачеві (який не є суб’єктом господарювання), розрахунки за які проводяться через касу/реєстратори розрахункових операцій або через банківську установу чи платіжний пристрій (безпосередньо на поточний рахунок особи, що реалізує пальне). При цьому окремі обов’язкові реквізити акцизної накладної, що ідентифікують отримувача пального, визначені підпунктами "г" та "ґ" пункту 231.1 цієї статті, не заповнюються.</w:t>
      </w:r>
    </w:p>
    <w:p w14:paraId="3933EE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7" w:name="n15652"/>
      <w:bookmarkEnd w:id="7457"/>
      <w:r w:rsidRPr="008B264B">
        <w:rPr>
          <w:rFonts w:ascii="Times New Roman" w:eastAsia="Times New Roman" w:hAnsi="Times New Roman" w:cs="Times New Roman"/>
          <w:i/>
          <w:iCs/>
          <w:color w:val="000000"/>
          <w:sz w:val="24"/>
          <w:szCs w:val="24"/>
          <w:lang/>
        </w:rPr>
        <w:t>{Абзац третій пункту 231.3 статті 231 із змінами, внесеними згідно із Законом </w:t>
      </w:r>
      <w:hyperlink r:id="rId4205" w:anchor="n45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858C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8" w:name="n13189"/>
      <w:bookmarkEnd w:id="7458"/>
      <w:r w:rsidRPr="008B264B">
        <w:rPr>
          <w:rFonts w:ascii="Times New Roman" w:eastAsia="Times New Roman" w:hAnsi="Times New Roman" w:cs="Times New Roman"/>
          <w:color w:val="000000"/>
          <w:sz w:val="24"/>
          <w:szCs w:val="24"/>
          <w:lang/>
        </w:rPr>
        <w:t>У разі забезпечення безперервного постачання пального особа, яка реалізує пальне, може скласти для кожного отримувача пального зведені акцизні накладні за кожним кодом товарної підкатегорії згідно з </w:t>
      </w:r>
      <w:hyperlink r:id="rId4206"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не пізніше останнього дня такого місяця на весь обсяг реалізованого пального протягом такого місяця.</w:t>
      </w:r>
    </w:p>
    <w:p w14:paraId="21E582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59" w:name="n15653"/>
      <w:bookmarkEnd w:id="7459"/>
      <w:r w:rsidRPr="008B264B">
        <w:rPr>
          <w:rFonts w:ascii="Times New Roman" w:eastAsia="Times New Roman" w:hAnsi="Times New Roman" w:cs="Times New Roman"/>
          <w:i/>
          <w:iCs/>
          <w:color w:val="000000"/>
          <w:sz w:val="24"/>
          <w:szCs w:val="24"/>
          <w:lang/>
        </w:rPr>
        <w:lastRenderedPageBreak/>
        <w:t>{Абзац четвертий пункту 231.3 статті 231 із змінами, внесеними згідно із Законами </w:t>
      </w:r>
      <w:hyperlink r:id="rId4207" w:anchor="n45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4208" w:anchor="n13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CD49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0" w:name="n13190"/>
      <w:bookmarkEnd w:id="7460"/>
      <w:r w:rsidRPr="008B264B">
        <w:rPr>
          <w:rFonts w:ascii="Times New Roman" w:eastAsia="Times New Roman" w:hAnsi="Times New Roman" w:cs="Times New Roman"/>
          <w:color w:val="000000"/>
          <w:sz w:val="24"/>
          <w:szCs w:val="24"/>
          <w:lang/>
        </w:rPr>
        <w:t>Для цілей цього пункту під безперервним постачанням вважається забезпечення особою, яка реалізує пальне, можливості для отримувачів пального отримувати пальне в будь-яку годину доби та будь-який день відповідного місяця.</w:t>
      </w:r>
    </w:p>
    <w:p w14:paraId="02AFB4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1" w:name="n15654"/>
      <w:bookmarkEnd w:id="7461"/>
      <w:r w:rsidRPr="008B264B">
        <w:rPr>
          <w:rFonts w:ascii="Times New Roman" w:eastAsia="Times New Roman" w:hAnsi="Times New Roman" w:cs="Times New Roman"/>
          <w:i/>
          <w:iCs/>
          <w:color w:val="000000"/>
          <w:sz w:val="24"/>
          <w:szCs w:val="24"/>
          <w:lang/>
        </w:rPr>
        <w:t>{Абзац п'ятий пункту 231.3 статті 231 із змінами, внесеними згідно із Законами </w:t>
      </w:r>
      <w:hyperlink r:id="rId4209" w:anchor="n45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4210" w:anchor="n13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9A8C2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2" w:name="n13191"/>
      <w:bookmarkEnd w:id="7462"/>
      <w:r w:rsidRPr="008B264B">
        <w:rPr>
          <w:rFonts w:ascii="Times New Roman" w:eastAsia="Times New Roman" w:hAnsi="Times New Roman" w:cs="Times New Roman"/>
          <w:color w:val="000000"/>
          <w:sz w:val="24"/>
          <w:szCs w:val="24"/>
          <w:lang/>
        </w:rPr>
        <w:t>Зведена акцизна накладна також може бути складена за кожним кодом товарної підкатегорії згідно з </w:t>
      </w:r>
      <w:hyperlink r:id="rId4211"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окремо за кожним акцизним складом/акцизним складом пересувним особою, яка реалізує пальне, не пізніше останнього дня звітного місяця на загальний обсяг пального, реалізованого у паливний бак транспортного засобу або в тару споживача через паливороздавальні або оливороздавальні колонки з акцизного складу, який є місцем роздрібної торгівлі, на яке отримана відповідна ліцензія, якщо акцизні накладні не були складені на ці операції, або використаного для власного споживання чи промислової переробки протягом звітного місяця, або втраченого у межах та/або понад встановлені норми втрат, зіпсованого, знищеного, у тому числі внаслідок аварії, пожежі, повені, інших форс-мажорних обставин чи з інших причин, пов’язаних з природним результатом, а також внаслідок випаровування у процесі виробництва, обробки, переробки, зберігання чи транспортування протягом звітного місяця. У разі реалізації пального через паливороздавальну або оливороздавальну колонку у паливний бак транспортного засобу або в тару споживача за готівку кінцевому споживачеві, розрахунки за які проводяться через реєстратори розрахункових операцій або через банківську установу чи платіжний пристрій, платник має право самостійно обирати спосіб складання акцизних накладних на такі операції (зведені або за щоденними підсумками операцій).</w:t>
      </w:r>
    </w:p>
    <w:p w14:paraId="4A306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3" w:name="n15655"/>
      <w:bookmarkEnd w:id="7463"/>
      <w:r w:rsidRPr="008B264B">
        <w:rPr>
          <w:rFonts w:ascii="Times New Roman" w:eastAsia="Times New Roman" w:hAnsi="Times New Roman" w:cs="Times New Roman"/>
          <w:i/>
          <w:iCs/>
          <w:color w:val="000000"/>
          <w:sz w:val="24"/>
          <w:szCs w:val="24"/>
          <w:lang/>
        </w:rPr>
        <w:t>{Абзац шостий пункту 231.3 статті 231 із змінами, внесеними згідно із Законом </w:t>
      </w:r>
      <w:hyperlink r:id="rId4212" w:anchor="n45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в редакції Закону </w:t>
      </w:r>
      <w:hyperlink r:id="rId4213" w:anchor="n14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E7038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4" w:name="n15657"/>
      <w:bookmarkEnd w:id="7464"/>
      <w:r w:rsidRPr="008B264B">
        <w:rPr>
          <w:rFonts w:ascii="Times New Roman" w:eastAsia="Times New Roman" w:hAnsi="Times New Roman" w:cs="Times New Roman"/>
          <w:color w:val="000000"/>
          <w:sz w:val="24"/>
          <w:szCs w:val="24"/>
          <w:lang/>
        </w:rPr>
        <w:t>Особа, яка реалізує пальне або спирт етиловий, зобов’язана скласти акцизну накладну в одному примірнику у разі реалізації пального або спирту етилового:</w:t>
      </w:r>
    </w:p>
    <w:p w14:paraId="72245E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5" w:name="n15691"/>
      <w:bookmarkEnd w:id="7465"/>
      <w:r w:rsidRPr="008B264B">
        <w:rPr>
          <w:rFonts w:ascii="Times New Roman" w:eastAsia="Times New Roman" w:hAnsi="Times New Roman" w:cs="Times New Roman"/>
          <w:i/>
          <w:iCs/>
          <w:color w:val="000000"/>
          <w:sz w:val="24"/>
          <w:szCs w:val="24"/>
          <w:lang/>
        </w:rPr>
        <w:t>{Пункт 231.3 статті 231 доповнено абзацом сьомим згідно із Законом </w:t>
      </w:r>
      <w:hyperlink r:id="rId4214"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85BD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6" w:name="n15658"/>
      <w:bookmarkEnd w:id="7466"/>
      <w:r w:rsidRPr="008B264B">
        <w:rPr>
          <w:rFonts w:ascii="Times New Roman" w:eastAsia="Times New Roman" w:hAnsi="Times New Roman" w:cs="Times New Roman"/>
          <w:color w:val="000000"/>
          <w:sz w:val="24"/>
          <w:szCs w:val="24"/>
          <w:lang/>
        </w:rPr>
        <w:t>а) з акцизного складу:</w:t>
      </w:r>
    </w:p>
    <w:p w14:paraId="76FA2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7" w:name="n15690"/>
      <w:bookmarkEnd w:id="7467"/>
      <w:r w:rsidRPr="008B264B">
        <w:rPr>
          <w:rFonts w:ascii="Times New Roman" w:eastAsia="Times New Roman" w:hAnsi="Times New Roman" w:cs="Times New Roman"/>
          <w:i/>
          <w:iCs/>
          <w:color w:val="000000"/>
          <w:sz w:val="24"/>
          <w:szCs w:val="24"/>
          <w:lang/>
        </w:rPr>
        <w:t>{Пункт 231.3 статті 231 доповнено абзацом восьмим згідно із Законом </w:t>
      </w:r>
      <w:hyperlink r:id="rId4215"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6F5C5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8" w:name="n15659"/>
      <w:bookmarkEnd w:id="7468"/>
      <w:r w:rsidRPr="008B264B">
        <w:rPr>
          <w:rFonts w:ascii="Times New Roman" w:eastAsia="Times New Roman" w:hAnsi="Times New Roman" w:cs="Times New Roman"/>
          <w:color w:val="000000"/>
          <w:sz w:val="24"/>
          <w:szCs w:val="24"/>
          <w:lang/>
        </w:rPr>
        <w:t>для власного споживання чи промислової переробки або на обсяги втраченого у межах та/або понад встановлені норми втрат, зіпсованого, знищеного, у тому числі внаслідок аварії, пожежі, повені, інших форс-мажорних обставин чи з іншої причини, пов’язаної з природним результатом, а також внаслідок випаровування у процесі виробництва, обробки, переробки, зберігання чи транспортування пального або спирту етилового;</w:t>
      </w:r>
    </w:p>
    <w:p w14:paraId="4D94D4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69" w:name="n15689"/>
      <w:bookmarkEnd w:id="7469"/>
      <w:r w:rsidRPr="008B264B">
        <w:rPr>
          <w:rFonts w:ascii="Times New Roman" w:eastAsia="Times New Roman" w:hAnsi="Times New Roman" w:cs="Times New Roman"/>
          <w:i/>
          <w:iCs/>
          <w:color w:val="000000"/>
          <w:sz w:val="24"/>
          <w:szCs w:val="24"/>
          <w:lang/>
        </w:rPr>
        <w:t>{Пункт 231.3 статті 231 доповнено абзацом дев'ятим згідно із Законом </w:t>
      </w:r>
      <w:hyperlink r:id="rId4216"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217" w:anchor="n14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1A11B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0" w:name="n15660"/>
      <w:bookmarkEnd w:id="7470"/>
      <w:r w:rsidRPr="008B264B">
        <w:rPr>
          <w:rFonts w:ascii="Times New Roman" w:eastAsia="Times New Roman" w:hAnsi="Times New Roman" w:cs="Times New Roman"/>
          <w:color w:val="000000"/>
          <w:sz w:val="24"/>
          <w:szCs w:val="24"/>
          <w:lang/>
        </w:rPr>
        <w:t>будь-яким іншим особам - не платникам податку;</w:t>
      </w:r>
    </w:p>
    <w:p w14:paraId="7CBB6B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1" w:name="n15688"/>
      <w:bookmarkEnd w:id="7471"/>
      <w:r w:rsidRPr="008B264B">
        <w:rPr>
          <w:rFonts w:ascii="Times New Roman" w:eastAsia="Times New Roman" w:hAnsi="Times New Roman" w:cs="Times New Roman"/>
          <w:i/>
          <w:iCs/>
          <w:color w:val="000000"/>
          <w:sz w:val="24"/>
          <w:szCs w:val="24"/>
          <w:lang/>
        </w:rPr>
        <w:t>{Пункт 231.3 статті 231 доповнено абзацом десятим згідно із Законом </w:t>
      </w:r>
      <w:hyperlink r:id="rId4218"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D090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2" w:name="n15995"/>
      <w:bookmarkEnd w:id="7472"/>
      <w:r w:rsidRPr="008B264B">
        <w:rPr>
          <w:rFonts w:ascii="Times New Roman" w:eastAsia="Times New Roman" w:hAnsi="Times New Roman" w:cs="Times New Roman"/>
          <w:color w:val="000000"/>
          <w:sz w:val="24"/>
          <w:szCs w:val="24"/>
          <w:lang/>
        </w:rPr>
        <w:t>платнику податку, суб’єкту господарювання, який не є платником податку, особі, яка не є суб’єктом господарювання, у паливний бак транспортного засобу через паливороздавальну або оливороздавальну колонку з акцизного складу, який є місцем роздрібної торгівлі пальним, на яке отримано ліцензію на право роздрібної торгівлі пальним;</w:t>
      </w:r>
    </w:p>
    <w:p w14:paraId="1E31B5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3" w:name="n15999"/>
      <w:bookmarkEnd w:id="7473"/>
      <w:r w:rsidRPr="008B264B">
        <w:rPr>
          <w:rFonts w:ascii="Times New Roman" w:eastAsia="Times New Roman" w:hAnsi="Times New Roman" w:cs="Times New Roman"/>
          <w:i/>
          <w:iCs/>
          <w:color w:val="000000"/>
          <w:sz w:val="24"/>
          <w:szCs w:val="24"/>
          <w:lang/>
        </w:rPr>
        <w:lastRenderedPageBreak/>
        <w:t>{Пункт 231.3 статті 231 доповнено новим абзацом згідно із Законом  </w:t>
      </w:r>
      <w:hyperlink r:id="rId4219" w:anchor="n14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40E3D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4" w:name="n15996"/>
      <w:bookmarkEnd w:id="7474"/>
      <w:r w:rsidRPr="008B264B">
        <w:rPr>
          <w:rFonts w:ascii="Times New Roman" w:eastAsia="Times New Roman" w:hAnsi="Times New Roman" w:cs="Times New Roman"/>
          <w:color w:val="000000"/>
          <w:sz w:val="24"/>
          <w:szCs w:val="24"/>
          <w:lang/>
        </w:rPr>
        <w:t>платнику податку в паливний бак транспортного засобу через паливороздавальну або оливороздавальну колонку з акцизного складу, який не є місцем роздрібної торгівлі пальним;</w:t>
      </w:r>
    </w:p>
    <w:p w14:paraId="616BBD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5" w:name="n15998"/>
      <w:bookmarkEnd w:id="7475"/>
      <w:r w:rsidRPr="008B264B">
        <w:rPr>
          <w:rFonts w:ascii="Times New Roman" w:eastAsia="Times New Roman" w:hAnsi="Times New Roman" w:cs="Times New Roman"/>
          <w:i/>
          <w:iCs/>
          <w:color w:val="000000"/>
          <w:sz w:val="24"/>
          <w:szCs w:val="24"/>
          <w:lang/>
        </w:rPr>
        <w:t>{Пункт 231.3 статті 231 доповнено новим абзацом згідно із Законом  </w:t>
      </w:r>
      <w:hyperlink r:id="rId4220" w:anchor="n14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D43DF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6" w:name="n15997"/>
      <w:bookmarkEnd w:id="7476"/>
      <w:r w:rsidRPr="008B264B">
        <w:rPr>
          <w:rFonts w:ascii="Times New Roman" w:eastAsia="Times New Roman" w:hAnsi="Times New Roman" w:cs="Times New Roman"/>
          <w:color w:val="000000"/>
          <w:sz w:val="24"/>
          <w:szCs w:val="24"/>
          <w:lang/>
        </w:rPr>
        <w:t>пального у споживчій тарі ємністю до 5 літрів (включно);</w:t>
      </w:r>
    </w:p>
    <w:p w14:paraId="2FE302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7" w:name="n15994"/>
      <w:bookmarkEnd w:id="7477"/>
      <w:r w:rsidRPr="008B264B">
        <w:rPr>
          <w:rFonts w:ascii="Times New Roman" w:eastAsia="Times New Roman" w:hAnsi="Times New Roman" w:cs="Times New Roman"/>
          <w:i/>
          <w:iCs/>
          <w:color w:val="000000"/>
          <w:sz w:val="24"/>
          <w:szCs w:val="24"/>
          <w:lang/>
        </w:rPr>
        <w:t>{Пункт 231.3 статті 231 доповнено новим абзацом згідно із Законом  </w:t>
      </w:r>
      <w:hyperlink r:id="rId4221" w:anchor="n14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2E4CF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8" w:name="n16001"/>
      <w:bookmarkEnd w:id="7478"/>
      <w:r w:rsidRPr="008B264B">
        <w:rPr>
          <w:rFonts w:ascii="Times New Roman" w:eastAsia="Times New Roman" w:hAnsi="Times New Roman" w:cs="Times New Roman"/>
          <w:color w:val="000000"/>
          <w:sz w:val="24"/>
          <w:szCs w:val="24"/>
          <w:lang/>
        </w:rPr>
        <w:t>у паливний бак транспортного засобу, обладнання або пристрою;</w:t>
      </w:r>
    </w:p>
    <w:p w14:paraId="0F0404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79" w:name="n16003"/>
      <w:bookmarkEnd w:id="7479"/>
      <w:r w:rsidRPr="008B264B">
        <w:rPr>
          <w:rFonts w:ascii="Times New Roman" w:eastAsia="Times New Roman" w:hAnsi="Times New Roman" w:cs="Times New Roman"/>
          <w:i/>
          <w:iCs/>
          <w:color w:val="000000"/>
          <w:sz w:val="24"/>
          <w:szCs w:val="24"/>
          <w:lang/>
        </w:rPr>
        <w:t>{Пункт 231.3 статті 231 доповнено новим абзацом згідно із Законом  </w:t>
      </w:r>
      <w:hyperlink r:id="rId4222" w:anchor="n14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822CD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0" w:name="n16002"/>
      <w:bookmarkEnd w:id="7480"/>
      <w:r w:rsidRPr="008B264B">
        <w:rPr>
          <w:rFonts w:ascii="Times New Roman" w:eastAsia="Times New Roman" w:hAnsi="Times New Roman" w:cs="Times New Roman"/>
          <w:color w:val="000000"/>
          <w:sz w:val="24"/>
          <w:szCs w:val="24"/>
          <w:lang/>
        </w:rPr>
        <w:t>при заправленні повітряних суден бензинами авіаційними або паливом для реактивних двигунів;</w:t>
      </w:r>
    </w:p>
    <w:p w14:paraId="5A1F98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1" w:name="n16000"/>
      <w:bookmarkEnd w:id="7481"/>
      <w:r w:rsidRPr="008B264B">
        <w:rPr>
          <w:rFonts w:ascii="Times New Roman" w:eastAsia="Times New Roman" w:hAnsi="Times New Roman" w:cs="Times New Roman"/>
          <w:i/>
          <w:iCs/>
          <w:color w:val="000000"/>
          <w:sz w:val="24"/>
          <w:szCs w:val="24"/>
          <w:lang/>
        </w:rPr>
        <w:t>{Пункт 231.3 статті 231 доповнено новим абзацом згідно із Законом  </w:t>
      </w:r>
      <w:hyperlink r:id="rId4223" w:anchor="n14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9283B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2" w:name="n15661"/>
      <w:bookmarkEnd w:id="7482"/>
      <w:r w:rsidRPr="008B264B">
        <w:rPr>
          <w:rFonts w:ascii="Times New Roman" w:eastAsia="Times New Roman" w:hAnsi="Times New Roman" w:cs="Times New Roman"/>
          <w:color w:val="000000"/>
          <w:sz w:val="24"/>
          <w:szCs w:val="24"/>
          <w:lang/>
        </w:rPr>
        <w:t>б) з акцизного складу пересувного:</w:t>
      </w:r>
    </w:p>
    <w:p w14:paraId="67849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3" w:name="n15687"/>
      <w:bookmarkEnd w:id="7483"/>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24"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4A5DE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4" w:name="n15662"/>
      <w:bookmarkEnd w:id="7484"/>
      <w:r w:rsidRPr="008B264B">
        <w:rPr>
          <w:rFonts w:ascii="Times New Roman" w:eastAsia="Times New Roman" w:hAnsi="Times New Roman" w:cs="Times New Roman"/>
          <w:color w:val="000000"/>
          <w:sz w:val="24"/>
          <w:szCs w:val="24"/>
          <w:lang/>
        </w:rPr>
        <w:t>для власного споживання чи промислової переробки або на обсяги втраченого/зіпсованого/знищеного пального або спирту етилового;</w:t>
      </w:r>
    </w:p>
    <w:p w14:paraId="4A48FF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5" w:name="n15686"/>
      <w:bookmarkEnd w:id="7485"/>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25"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D6C56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6" w:name="n15663"/>
      <w:bookmarkEnd w:id="7486"/>
      <w:r w:rsidRPr="008B264B">
        <w:rPr>
          <w:rFonts w:ascii="Times New Roman" w:eastAsia="Times New Roman" w:hAnsi="Times New Roman" w:cs="Times New Roman"/>
          <w:color w:val="000000"/>
          <w:sz w:val="24"/>
          <w:szCs w:val="24"/>
          <w:lang/>
        </w:rPr>
        <w:t>будь-яким іншим особам - не платникам податку.</w:t>
      </w:r>
    </w:p>
    <w:p w14:paraId="70311E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7" w:name="n15685"/>
      <w:bookmarkEnd w:id="7487"/>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26"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774D7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8" w:name="n15664"/>
      <w:bookmarkEnd w:id="7488"/>
      <w:r w:rsidRPr="008B264B">
        <w:rPr>
          <w:rFonts w:ascii="Times New Roman" w:eastAsia="Times New Roman" w:hAnsi="Times New Roman" w:cs="Times New Roman"/>
          <w:color w:val="000000"/>
          <w:sz w:val="24"/>
          <w:szCs w:val="24"/>
          <w:lang/>
        </w:rPr>
        <w:t>Особа, яка ввозить/вивозить пальне або спирт етиловий на митну територію України/за межі митної території України, зобов’язана скласти акцизну накладну в одному примірнику на підставі даних відповідної митної декларації.</w:t>
      </w:r>
    </w:p>
    <w:p w14:paraId="4885EF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89" w:name="n15684"/>
      <w:bookmarkEnd w:id="7489"/>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27"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228" w:anchor="n15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54728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0" w:name="n15665"/>
      <w:bookmarkEnd w:id="7490"/>
      <w:r w:rsidRPr="008B264B">
        <w:rPr>
          <w:rFonts w:ascii="Times New Roman" w:eastAsia="Times New Roman" w:hAnsi="Times New Roman" w:cs="Times New Roman"/>
          <w:color w:val="000000"/>
          <w:sz w:val="24"/>
          <w:szCs w:val="24"/>
          <w:lang/>
        </w:rPr>
        <w:t>Особа, яка склала акцизну накладну в одному примірнику, зобов’язана зареєструвати таку акцизну накладну в Єдиному реєстрі акцизних накладних.</w:t>
      </w:r>
    </w:p>
    <w:p w14:paraId="25FB63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1" w:name="n15683"/>
      <w:bookmarkEnd w:id="7491"/>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29"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812A8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2" w:name="n15666"/>
      <w:bookmarkEnd w:id="7492"/>
      <w:r w:rsidRPr="008B264B">
        <w:rPr>
          <w:rFonts w:ascii="Times New Roman" w:eastAsia="Times New Roman" w:hAnsi="Times New Roman" w:cs="Times New Roman"/>
          <w:color w:val="000000"/>
          <w:sz w:val="24"/>
          <w:szCs w:val="24"/>
          <w:lang/>
        </w:rPr>
        <w:t>Особа, яка реалізує пальне або спирт етиловий, зобов’язана скласти акцизну накладну в двох примірниках у разі реалізації пального або спирту етилового:</w:t>
      </w:r>
    </w:p>
    <w:p w14:paraId="3EC806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3" w:name="n15682"/>
      <w:bookmarkEnd w:id="7493"/>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0"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AA3A0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4" w:name="n15667"/>
      <w:bookmarkEnd w:id="7494"/>
      <w:r w:rsidRPr="008B264B">
        <w:rPr>
          <w:rFonts w:ascii="Times New Roman" w:eastAsia="Times New Roman" w:hAnsi="Times New Roman" w:cs="Times New Roman"/>
          <w:color w:val="000000"/>
          <w:sz w:val="24"/>
          <w:szCs w:val="24"/>
          <w:lang/>
        </w:rPr>
        <w:t>а) з акцизного складу до іншого акцизного складу, в тому числі через трубопровід або з використанням акцизного складу пересувного, у разі якщо до реалізації пального або спирту етилового такий інший акцизний склад уже відомий;</w:t>
      </w:r>
    </w:p>
    <w:p w14:paraId="12535E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5" w:name="n15681"/>
      <w:bookmarkEnd w:id="7495"/>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1"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35752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6" w:name="n15668"/>
      <w:bookmarkEnd w:id="7496"/>
      <w:r w:rsidRPr="008B264B">
        <w:rPr>
          <w:rFonts w:ascii="Times New Roman" w:eastAsia="Times New Roman" w:hAnsi="Times New Roman" w:cs="Times New Roman"/>
          <w:color w:val="000000"/>
          <w:sz w:val="24"/>
          <w:szCs w:val="24"/>
          <w:lang/>
        </w:rPr>
        <w:t>б) з акцизного складу до акцизного складу пересувного;</w:t>
      </w:r>
    </w:p>
    <w:p w14:paraId="67FF0E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7" w:name="n15680"/>
      <w:bookmarkEnd w:id="7497"/>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2"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ED298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8" w:name="n15669"/>
      <w:bookmarkEnd w:id="7498"/>
      <w:r w:rsidRPr="008B264B">
        <w:rPr>
          <w:rFonts w:ascii="Times New Roman" w:eastAsia="Times New Roman" w:hAnsi="Times New Roman" w:cs="Times New Roman"/>
          <w:color w:val="000000"/>
          <w:sz w:val="24"/>
          <w:szCs w:val="24"/>
          <w:lang/>
        </w:rPr>
        <w:t>в) з акцизного складу пересувного до іншого акцизного складу пересувного;</w:t>
      </w:r>
    </w:p>
    <w:p w14:paraId="304450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499" w:name="n15679"/>
      <w:bookmarkEnd w:id="7499"/>
      <w:r w:rsidRPr="008B264B">
        <w:rPr>
          <w:rFonts w:ascii="Times New Roman" w:eastAsia="Times New Roman" w:hAnsi="Times New Roman" w:cs="Times New Roman"/>
          <w:i/>
          <w:iCs/>
          <w:color w:val="000000"/>
          <w:sz w:val="24"/>
          <w:szCs w:val="24"/>
          <w:lang/>
        </w:rPr>
        <w:lastRenderedPageBreak/>
        <w:t>{Пункт 231.3 статті 231 доповнено абзацом згідно із Законом </w:t>
      </w:r>
      <w:hyperlink r:id="rId4233"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7C274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0" w:name="n15670"/>
      <w:bookmarkEnd w:id="7500"/>
      <w:r w:rsidRPr="008B264B">
        <w:rPr>
          <w:rFonts w:ascii="Times New Roman" w:eastAsia="Times New Roman" w:hAnsi="Times New Roman" w:cs="Times New Roman"/>
          <w:color w:val="000000"/>
          <w:sz w:val="24"/>
          <w:szCs w:val="24"/>
          <w:lang/>
        </w:rPr>
        <w:t>г) з акцизного складу пересувного до акцизного складу.</w:t>
      </w:r>
    </w:p>
    <w:p w14:paraId="0A07B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1" w:name="n15678"/>
      <w:bookmarkEnd w:id="7501"/>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4"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517EA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2" w:name="n15671"/>
      <w:bookmarkEnd w:id="7502"/>
      <w:r w:rsidRPr="008B264B">
        <w:rPr>
          <w:rFonts w:ascii="Times New Roman" w:eastAsia="Times New Roman" w:hAnsi="Times New Roman" w:cs="Times New Roman"/>
          <w:color w:val="000000"/>
          <w:sz w:val="24"/>
          <w:szCs w:val="24"/>
          <w:lang/>
        </w:rPr>
        <w:t>Особа, яка склала акцизну накладну в двох примірниках, зобов’язана зареєструвати перший примірник такої акцизної накладної в Єдиному реєстрі акцизних накладних, а другий примірник такої акцизної накладної в день її складання надіслати розпоряднику акцизного складу - отримувачу пального або спирту етилового.</w:t>
      </w:r>
    </w:p>
    <w:p w14:paraId="61925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3" w:name="n15677"/>
      <w:bookmarkEnd w:id="7503"/>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5"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7774E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4" w:name="n15672"/>
      <w:bookmarkEnd w:id="7504"/>
      <w:r w:rsidRPr="008B264B">
        <w:rPr>
          <w:rFonts w:ascii="Times New Roman" w:eastAsia="Times New Roman" w:hAnsi="Times New Roman" w:cs="Times New Roman"/>
          <w:color w:val="000000"/>
          <w:sz w:val="24"/>
          <w:szCs w:val="24"/>
          <w:lang/>
        </w:rPr>
        <w:t>Розпорядник акцизного складу/розпорядник акцизного складу пересувного - отримувач пального або спирту етилового зобов’язаний зареєструвати другий примірник такої акцизної накладної в Єдиному реєстрі акцизних накладних після реєстрації першого примірника такої акцизної накладної в Єдиному реєстрі акцизних накладних та отримання пального або спирту етилового на акцизний склад/акцизний склад пересувний.</w:t>
      </w:r>
    </w:p>
    <w:p w14:paraId="4707CB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5" w:name="n15676"/>
      <w:bookmarkEnd w:id="7505"/>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6"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126AB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6" w:name="n15673"/>
      <w:bookmarkEnd w:id="7506"/>
      <w:r w:rsidRPr="008B264B">
        <w:rPr>
          <w:rFonts w:ascii="Times New Roman" w:eastAsia="Times New Roman" w:hAnsi="Times New Roman" w:cs="Times New Roman"/>
          <w:color w:val="000000"/>
          <w:sz w:val="24"/>
          <w:szCs w:val="24"/>
          <w:lang/>
        </w:rPr>
        <w:t>Якщо платник податку одночасно є особою, яка реалізує та отримує пальне або спирт етиловий, складання та реєстрація акцизних накладних у двох примірниках здійснюються у встановленому цим пунктом порядку для складання та реєстрації акцизних накладних у двох примірниках.</w:t>
      </w:r>
    </w:p>
    <w:p w14:paraId="1390D8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7" w:name="n15675"/>
      <w:bookmarkEnd w:id="7507"/>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7"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6CFA0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8" w:name="n15674"/>
      <w:bookmarkEnd w:id="7508"/>
      <w:r w:rsidRPr="008B264B">
        <w:rPr>
          <w:rFonts w:ascii="Times New Roman" w:eastAsia="Times New Roman" w:hAnsi="Times New Roman" w:cs="Times New Roman"/>
          <w:color w:val="000000"/>
          <w:sz w:val="24"/>
          <w:szCs w:val="24"/>
          <w:lang/>
        </w:rPr>
        <w:t>Платник податку - розпорядник акцизного складу пересувного, акцизний склад пересувний якого використовувався при ввезенні пального або спирту етилового на митну територію України, завжди складає акцизні накладні при реалізації такого пального або спирту етилового з такого акцизного складу пересувного до іншого акцизного складу пересувного або акцизного складу.</w:t>
      </w:r>
    </w:p>
    <w:p w14:paraId="565649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09" w:name="n15656"/>
      <w:bookmarkEnd w:id="7509"/>
      <w:r w:rsidRPr="008B264B">
        <w:rPr>
          <w:rFonts w:ascii="Times New Roman" w:eastAsia="Times New Roman" w:hAnsi="Times New Roman" w:cs="Times New Roman"/>
          <w:i/>
          <w:iCs/>
          <w:color w:val="000000"/>
          <w:sz w:val="24"/>
          <w:szCs w:val="24"/>
          <w:lang/>
        </w:rPr>
        <w:t>{Пункт 231.3 статті 231 доповнено абзацом згідно із Законом </w:t>
      </w:r>
      <w:hyperlink r:id="rId4238" w:anchor="n4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74EA1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0" w:name="n16005"/>
      <w:bookmarkEnd w:id="7510"/>
      <w:r w:rsidRPr="008B264B">
        <w:rPr>
          <w:rFonts w:ascii="Times New Roman" w:eastAsia="Times New Roman" w:hAnsi="Times New Roman" w:cs="Times New Roman"/>
          <w:color w:val="000000"/>
          <w:sz w:val="24"/>
          <w:szCs w:val="24"/>
          <w:lang/>
        </w:rPr>
        <w:t>Перехід права власності на пальне або спирт етиловий, що переміщується та/або зберігається у транспортному засобі, від одного суб’єкта господарювання до іншого вважається реалізацією пального або спирту етилового з одного акцизного складу пересувного до іншого. При цьому суб’єкт господарювання, від якого переходить право власності на таке пальне або спирт етиловий, вважається особою, яка реалізує пальне, а суб’єкт господарювання, до якого переходить право власності на таке пальне або спирт етиловий, вважається отримувачем пального або спирту етилового.</w:t>
      </w:r>
    </w:p>
    <w:p w14:paraId="2E909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1" w:name="n16004"/>
      <w:bookmarkEnd w:id="7511"/>
      <w:r w:rsidRPr="008B264B">
        <w:rPr>
          <w:rFonts w:ascii="Times New Roman" w:eastAsia="Times New Roman" w:hAnsi="Times New Roman" w:cs="Times New Roman"/>
          <w:i/>
          <w:iCs/>
          <w:color w:val="000000"/>
          <w:sz w:val="24"/>
          <w:szCs w:val="24"/>
          <w:lang/>
        </w:rPr>
        <w:t>{Пункт 231.3 статті 231 доповнено абзацом тридцятим згідно із Законом </w:t>
      </w:r>
      <w:hyperlink r:id="rId4239" w:anchor="n152"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B3431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2" w:name="n13192"/>
      <w:bookmarkEnd w:id="7512"/>
      <w:r w:rsidRPr="008B264B">
        <w:rPr>
          <w:rFonts w:ascii="Times New Roman" w:eastAsia="Times New Roman" w:hAnsi="Times New Roman" w:cs="Times New Roman"/>
          <w:color w:val="000000"/>
          <w:sz w:val="24"/>
          <w:szCs w:val="24"/>
          <w:lang/>
        </w:rPr>
        <w:t>231.4. Право на складання акцизних накладних надається виключно особам, зареєстрованим як платники акцизного податку в порядку, передбаченому </w:t>
      </w:r>
      <w:hyperlink r:id="rId4240" w:anchor="n5401" w:history="1">
        <w:r w:rsidRPr="008B264B">
          <w:rPr>
            <w:rFonts w:ascii="Times New Roman" w:eastAsia="Times New Roman" w:hAnsi="Times New Roman" w:cs="Times New Roman"/>
            <w:color w:val="0000FF"/>
            <w:sz w:val="24"/>
            <w:szCs w:val="24"/>
            <w:u w:val="single"/>
            <w:lang/>
          </w:rPr>
          <w:t>статтею 212</w:t>
        </w:r>
      </w:hyperlink>
      <w:r w:rsidRPr="008B264B">
        <w:rPr>
          <w:rFonts w:ascii="Times New Roman" w:eastAsia="Times New Roman" w:hAnsi="Times New Roman" w:cs="Times New Roman"/>
          <w:color w:val="000000"/>
          <w:sz w:val="24"/>
          <w:szCs w:val="24"/>
          <w:lang/>
        </w:rPr>
        <w:t> цього Кодексу.</w:t>
      </w:r>
    </w:p>
    <w:p w14:paraId="1C6E9C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3" w:name="n13193"/>
      <w:bookmarkEnd w:id="7513"/>
      <w:r w:rsidRPr="008B264B">
        <w:rPr>
          <w:rFonts w:ascii="Times New Roman" w:eastAsia="Times New Roman" w:hAnsi="Times New Roman" w:cs="Times New Roman"/>
          <w:color w:val="000000"/>
          <w:sz w:val="24"/>
          <w:szCs w:val="24"/>
          <w:lang/>
        </w:rPr>
        <w:t>231.5. При реалізації пального або спирту етилового особа, яка реалізує пальне або спирт етиловий, зобов’язана в установлені терміни скласти акцизну накладну, зареєструвати її в Єдиному реєстрі акцизних накладних, така реєстрація вважається наданням акцизної накладної отримувачу пального або спирту етилового. Акцизні накладні, які не надаються отримувачу пального або спирту етилового, та акцизні накладні/розрахунки коригування, складені за операціями з реалізації пального або спирту етилового суб’єктам господарювання та фізичним особам, які не є платниками акцизного податку, також підлягають реєстрації в Єдиному реєстрі акцизних накладних.</w:t>
      </w:r>
    </w:p>
    <w:p w14:paraId="5A7453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4" w:name="n15692"/>
      <w:bookmarkEnd w:id="7514"/>
      <w:r w:rsidRPr="008B264B">
        <w:rPr>
          <w:rFonts w:ascii="Times New Roman" w:eastAsia="Times New Roman" w:hAnsi="Times New Roman" w:cs="Times New Roman"/>
          <w:i/>
          <w:iCs/>
          <w:color w:val="000000"/>
          <w:sz w:val="24"/>
          <w:szCs w:val="24"/>
          <w:lang/>
        </w:rPr>
        <w:t>{Пункт 231.5 статті 231 із змінами, внесеними згідно із Законом </w:t>
      </w:r>
      <w:hyperlink r:id="rId4241" w:anchor="n47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BAD5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5" w:name="n13194"/>
      <w:bookmarkEnd w:id="7515"/>
      <w:r w:rsidRPr="008B264B">
        <w:rPr>
          <w:rFonts w:ascii="Times New Roman" w:eastAsia="Times New Roman" w:hAnsi="Times New Roman" w:cs="Times New Roman"/>
          <w:color w:val="000000"/>
          <w:sz w:val="24"/>
          <w:szCs w:val="24"/>
          <w:lang/>
        </w:rPr>
        <w:lastRenderedPageBreak/>
        <w:t>231.6. Реєстрація в Єдиному реєстрі акцизних накладних здійснюється:</w:t>
      </w:r>
    </w:p>
    <w:p w14:paraId="047358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6" w:name="n15694"/>
      <w:bookmarkEnd w:id="7516"/>
      <w:r w:rsidRPr="008B264B">
        <w:rPr>
          <w:rFonts w:ascii="Times New Roman" w:eastAsia="Times New Roman" w:hAnsi="Times New Roman" w:cs="Times New Roman"/>
          <w:color w:val="000000"/>
          <w:sz w:val="24"/>
          <w:szCs w:val="24"/>
          <w:lang/>
        </w:rPr>
        <w:t>акцизних накладних, складених при реалізації пального через паливороздавальну або оливороздавальну колонку у паливний бак транспортного засобу з акцизного складу, який є місцем роздрібної торгівлі пальним, на яке отримано ліцензію на право роздрібної торгівлі пальним, - не пізніше п’ятнадцяти календарних днів, наступних за датою їх складання;</w:t>
      </w:r>
    </w:p>
    <w:p w14:paraId="582549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7" w:name="n16006"/>
      <w:bookmarkEnd w:id="7517"/>
      <w:r w:rsidRPr="008B264B">
        <w:rPr>
          <w:rFonts w:ascii="Times New Roman" w:eastAsia="Times New Roman" w:hAnsi="Times New Roman" w:cs="Times New Roman"/>
          <w:i/>
          <w:iCs/>
          <w:color w:val="000000"/>
          <w:sz w:val="24"/>
          <w:szCs w:val="24"/>
          <w:lang/>
        </w:rPr>
        <w:t>{Абзац другий пункту 231.6 статті 231 із змінами, внесеними згідно із Законом </w:t>
      </w:r>
      <w:hyperlink r:id="rId4242" w:anchor="n15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9769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8" w:name="n15695"/>
      <w:bookmarkEnd w:id="7518"/>
      <w:r w:rsidRPr="008B264B">
        <w:rPr>
          <w:rFonts w:ascii="Times New Roman" w:eastAsia="Times New Roman" w:hAnsi="Times New Roman" w:cs="Times New Roman"/>
          <w:color w:val="000000"/>
          <w:sz w:val="24"/>
          <w:szCs w:val="24"/>
          <w:lang/>
        </w:rPr>
        <w:t>першого примірника акцизної накладної при реалізації пального або спирту етилового з акцизного складу - у день складання такої акцизної накладної, але не пізніше здійснення операції з реалізації пального або спирту етилового з акцизного складу;</w:t>
      </w:r>
    </w:p>
    <w:p w14:paraId="450685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19" w:name="n15696"/>
      <w:bookmarkEnd w:id="7519"/>
      <w:r w:rsidRPr="008B264B">
        <w:rPr>
          <w:rFonts w:ascii="Times New Roman" w:eastAsia="Times New Roman" w:hAnsi="Times New Roman" w:cs="Times New Roman"/>
          <w:color w:val="000000"/>
          <w:sz w:val="24"/>
          <w:szCs w:val="24"/>
          <w:lang/>
        </w:rPr>
        <w:t>першого примірника акцизної накладної при реалізації пального або спирту етилового з акцизного складу пересувного до іншого акцизного складу пересувного - у день складання такої акцизної накладної, але не пізніше здійснення операції з реалізації пального або спирту етилового з акцизного складу пересувного;</w:t>
      </w:r>
    </w:p>
    <w:p w14:paraId="264F6D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0" w:name="n15697"/>
      <w:bookmarkEnd w:id="7520"/>
      <w:r w:rsidRPr="008B264B">
        <w:rPr>
          <w:rFonts w:ascii="Times New Roman" w:eastAsia="Times New Roman" w:hAnsi="Times New Roman" w:cs="Times New Roman"/>
          <w:color w:val="000000"/>
          <w:sz w:val="24"/>
          <w:szCs w:val="24"/>
          <w:lang/>
        </w:rPr>
        <w:t>першого примірника акцизної накладної при реалізації пального або спирту етилового з акцизного складу пересувного до акцизного складу - після фактичного отримання пального або спирту етилового на акцизний склад, але не пізніше трьох календарних днів, наступних за датою складання акцизної накладної;</w:t>
      </w:r>
    </w:p>
    <w:p w14:paraId="502182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1" w:name="n16008"/>
      <w:bookmarkEnd w:id="7521"/>
      <w:r w:rsidRPr="008B264B">
        <w:rPr>
          <w:rFonts w:ascii="Times New Roman" w:eastAsia="Times New Roman" w:hAnsi="Times New Roman" w:cs="Times New Roman"/>
          <w:color w:val="000000"/>
          <w:sz w:val="24"/>
          <w:szCs w:val="24"/>
          <w:lang/>
        </w:rPr>
        <w:t>першого примірника акцизної накладної при реалізації пального з акцизного складу пересувного до паливного баку транспортного засобу, обладнання або пристрою, до місця зберігання пального, яке не є акцизним складом, - протягом трьох календарних днів з дня фактичного отримання пального;</w:t>
      </w:r>
    </w:p>
    <w:p w14:paraId="309A82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2" w:name="n16010"/>
      <w:bookmarkEnd w:id="7522"/>
      <w:r w:rsidRPr="008B264B">
        <w:rPr>
          <w:rFonts w:ascii="Times New Roman" w:eastAsia="Times New Roman" w:hAnsi="Times New Roman" w:cs="Times New Roman"/>
          <w:i/>
          <w:iCs/>
          <w:color w:val="000000"/>
          <w:sz w:val="24"/>
          <w:szCs w:val="24"/>
          <w:lang/>
        </w:rPr>
        <w:t>{Пункт 231.6 статті 231 доповнено новим абзацом згідно із Законом </w:t>
      </w:r>
      <w:hyperlink r:id="rId4243" w:anchor="n15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288F3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3" w:name="n16009"/>
      <w:bookmarkEnd w:id="7523"/>
      <w:r w:rsidRPr="008B264B">
        <w:rPr>
          <w:rFonts w:ascii="Times New Roman" w:eastAsia="Times New Roman" w:hAnsi="Times New Roman" w:cs="Times New Roman"/>
          <w:color w:val="000000"/>
          <w:sz w:val="24"/>
          <w:szCs w:val="24"/>
          <w:lang/>
        </w:rPr>
        <w:t>першого примірника зведеної акцизної накладної та акцизної накладної, складеної на операції, визначені в </w:t>
      </w:r>
      <w:hyperlink r:id="rId4244" w:anchor="n15352" w:history="1">
        <w:r w:rsidRPr="008B264B">
          <w:rPr>
            <w:rFonts w:ascii="Times New Roman" w:eastAsia="Times New Roman" w:hAnsi="Times New Roman" w:cs="Times New Roman"/>
            <w:color w:val="0000FF"/>
            <w:sz w:val="24"/>
            <w:szCs w:val="24"/>
            <w:u w:val="single"/>
            <w:lang/>
          </w:rPr>
          <w:t>підпункті 1</w:t>
        </w:r>
      </w:hyperlink>
      <w:r w:rsidRPr="008B264B">
        <w:rPr>
          <w:rFonts w:ascii="Times New Roman" w:eastAsia="Times New Roman" w:hAnsi="Times New Roman" w:cs="Times New Roman"/>
          <w:color w:val="000000"/>
          <w:sz w:val="24"/>
          <w:szCs w:val="24"/>
          <w:lang/>
        </w:rPr>
        <w:t> підпункту 229.8.10 пункту 229.8 статті 229 цього Кодексу, - не пізніше 15 календарних днів з дня їх складання;</w:t>
      </w:r>
    </w:p>
    <w:p w14:paraId="4ADFE5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4" w:name="n16007"/>
      <w:bookmarkEnd w:id="7524"/>
      <w:r w:rsidRPr="008B264B">
        <w:rPr>
          <w:rFonts w:ascii="Times New Roman" w:eastAsia="Times New Roman" w:hAnsi="Times New Roman" w:cs="Times New Roman"/>
          <w:i/>
          <w:iCs/>
          <w:color w:val="000000"/>
          <w:sz w:val="24"/>
          <w:szCs w:val="24"/>
          <w:lang/>
        </w:rPr>
        <w:t>{Пункт 231.6 статті 231 доповнено новим абзацом згідно із Законом </w:t>
      </w:r>
      <w:hyperlink r:id="rId4245" w:anchor="n15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A7816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5" w:name="n15698"/>
      <w:bookmarkEnd w:id="7525"/>
      <w:r w:rsidRPr="008B264B">
        <w:rPr>
          <w:rFonts w:ascii="Times New Roman" w:eastAsia="Times New Roman" w:hAnsi="Times New Roman" w:cs="Times New Roman"/>
          <w:color w:val="000000"/>
          <w:sz w:val="24"/>
          <w:szCs w:val="24"/>
          <w:lang/>
        </w:rPr>
        <w:t>акцизної накладної при ввезенні пального або спирту етилового на митну територію України - не пізніше дня, наступного за днем оформлення належним чином митної декларації;</w:t>
      </w:r>
    </w:p>
    <w:p w14:paraId="3BF745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6" w:name="n16011"/>
      <w:bookmarkEnd w:id="7526"/>
      <w:r w:rsidRPr="008B264B">
        <w:rPr>
          <w:rFonts w:ascii="Times New Roman" w:eastAsia="Times New Roman" w:hAnsi="Times New Roman" w:cs="Times New Roman"/>
          <w:i/>
          <w:iCs/>
          <w:color w:val="000000"/>
          <w:sz w:val="24"/>
          <w:szCs w:val="24"/>
          <w:lang/>
        </w:rPr>
        <w:t>{Абзац восьмий пункту 231.6 статті 231 із змінами, внесеними згідно із Законом </w:t>
      </w:r>
      <w:hyperlink r:id="rId4246" w:anchor="n16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8348C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7" w:name="n16013"/>
      <w:bookmarkEnd w:id="7527"/>
      <w:r w:rsidRPr="008B264B">
        <w:rPr>
          <w:rFonts w:ascii="Times New Roman" w:eastAsia="Times New Roman" w:hAnsi="Times New Roman" w:cs="Times New Roman"/>
          <w:color w:val="000000"/>
          <w:sz w:val="24"/>
          <w:szCs w:val="24"/>
          <w:lang/>
        </w:rPr>
        <w:t>першого примірника акцизної накладної, що складається при вивезенні пального за межі митної території України, - протягом трьох календарних днівз дня фактичного вивезення пального за межі митної території України, що підтверджено належним чином оформленою митною декларацією;</w:t>
      </w:r>
    </w:p>
    <w:p w14:paraId="32F5D6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8" w:name="n16012"/>
      <w:bookmarkEnd w:id="7528"/>
      <w:r w:rsidRPr="008B264B">
        <w:rPr>
          <w:rFonts w:ascii="Times New Roman" w:eastAsia="Times New Roman" w:hAnsi="Times New Roman" w:cs="Times New Roman"/>
          <w:i/>
          <w:iCs/>
          <w:color w:val="000000"/>
          <w:sz w:val="24"/>
          <w:szCs w:val="24"/>
          <w:lang/>
        </w:rPr>
        <w:t>{Пункт 231.6 статті 231 доповнено новим абзацом згідно із Законом </w:t>
      </w:r>
      <w:hyperlink r:id="rId4247" w:anchor="n161"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C2790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29" w:name="n15699"/>
      <w:bookmarkEnd w:id="7529"/>
      <w:r w:rsidRPr="008B264B">
        <w:rPr>
          <w:rFonts w:ascii="Times New Roman" w:eastAsia="Times New Roman" w:hAnsi="Times New Roman" w:cs="Times New Roman"/>
          <w:color w:val="000000"/>
          <w:sz w:val="24"/>
          <w:szCs w:val="24"/>
          <w:lang/>
        </w:rPr>
        <w:t>другого примірника акцизної накладної - після фактичного отримання пального або спирту етилового на акцизний склад/акцизний склад пересувний, але не пізніше трьох календарних днів, наступних за днем отримання пального або спирту етилового на акцизний склад/акцизний склад пересувний розпорядником акцизного складу/акцизного складу пересувного - отримувачем пального або спирту етилового;</w:t>
      </w:r>
    </w:p>
    <w:p w14:paraId="34DA02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0" w:name="n15700"/>
      <w:bookmarkEnd w:id="7530"/>
      <w:r w:rsidRPr="008B264B">
        <w:rPr>
          <w:rFonts w:ascii="Times New Roman" w:eastAsia="Times New Roman" w:hAnsi="Times New Roman" w:cs="Times New Roman"/>
          <w:color w:val="000000"/>
          <w:sz w:val="24"/>
          <w:szCs w:val="24"/>
          <w:lang/>
        </w:rPr>
        <w:t>розрахунку коригування - не пізніше трьох календарних днів, наступних за датою його складання.</w:t>
      </w:r>
    </w:p>
    <w:p w14:paraId="2AAC08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1" w:name="n13195"/>
      <w:bookmarkEnd w:id="7531"/>
      <w:r w:rsidRPr="008B264B">
        <w:rPr>
          <w:rFonts w:ascii="Times New Roman" w:eastAsia="Times New Roman" w:hAnsi="Times New Roman" w:cs="Times New Roman"/>
          <w:color w:val="000000"/>
          <w:sz w:val="24"/>
          <w:szCs w:val="24"/>
          <w:lang/>
        </w:rPr>
        <w:lastRenderedPageBreak/>
        <w:t>Підтвердженням особі, яка реалізує пальне або спирт етиловий, про прийняття її акцизної накладної та/або розрахунку коригування до Єдиного реєстру акцизних накладних є квитанція в електронному вигляді у текстовому форматі, яка надсилається протягом операційного дня.</w:t>
      </w:r>
    </w:p>
    <w:p w14:paraId="24C00C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2" w:name="n13196"/>
      <w:bookmarkEnd w:id="7532"/>
      <w:r w:rsidRPr="008B264B">
        <w:rPr>
          <w:rFonts w:ascii="Times New Roman" w:eastAsia="Times New Roman" w:hAnsi="Times New Roman" w:cs="Times New Roman"/>
          <w:color w:val="000000"/>
          <w:sz w:val="24"/>
          <w:szCs w:val="24"/>
          <w:lang/>
        </w:rPr>
        <w:t>З метою отримання акцизної накладної/розрахунку коригування, зареєстрованих в Єдиному реєстрі акцизних накладних, отримувач пального або спирту етилового надсилає в електронному вигляді запит до Єдиного реєстру акцизних накладних, за яким отримує в електронному вигляді повідомлення про реєстрацію акцизної накладної/розрахунку коригування в Єдиному реєстрі акцизних накладних та акцизну накладну/розрахунок коригування в електронному вигляді. Такі акцизна накладна/розрахунок коригування вважаються зареєстрованими в Єдиному реєстрі акцизних накладних та отриманими отримувачем пального або спирту етилового.</w:t>
      </w:r>
    </w:p>
    <w:p w14:paraId="76B57E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3" w:name="n13197"/>
      <w:bookmarkEnd w:id="7533"/>
      <w:r w:rsidRPr="008B264B">
        <w:rPr>
          <w:rFonts w:ascii="Times New Roman" w:eastAsia="Times New Roman" w:hAnsi="Times New Roman" w:cs="Times New Roman"/>
          <w:color w:val="000000"/>
          <w:sz w:val="24"/>
          <w:szCs w:val="24"/>
          <w:lang/>
        </w:rPr>
        <w:t>З метою отримання особою, яка реалізує пальне або спирт етиловий, зареєстрованого в Єдиному реєстрі акцизних накладних розрахунку коригування, що підлягає реєстрації в Єдиному реєстрі акцизних накладних отримувачем пального або спирту етилового, така особа, яка реалізує пальне або спирт етиловий, надсилає в електронному вигляді запит до Єдиного реєстру акцизних накладних, за яким отримує в електронному вигляді повідомлення про реєстрацію розрахунку коригування в Єдиному реєстрі акцизних накладних та розрахунок коригування в електронному вигляді. Такий розрахунок коригування вважається зареєстрованим в Єдиному реєстрі акцизних накладних та отриманим особою, яка реалізує пальне або спирт етиловий.</w:t>
      </w:r>
    </w:p>
    <w:p w14:paraId="2BB2DA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4" w:name="n16015"/>
      <w:bookmarkEnd w:id="7534"/>
      <w:r w:rsidRPr="008B264B">
        <w:rPr>
          <w:rFonts w:ascii="Times New Roman" w:eastAsia="Times New Roman" w:hAnsi="Times New Roman" w:cs="Times New Roman"/>
          <w:color w:val="000000"/>
          <w:sz w:val="24"/>
          <w:szCs w:val="24"/>
          <w:lang/>
        </w:rPr>
        <w:t>Особа, яка видала податковий вексель згідно з </w:t>
      </w:r>
      <w:hyperlink r:id="rId4248" w:anchor="n15351" w:history="1">
        <w:r w:rsidRPr="008B264B">
          <w:rPr>
            <w:rFonts w:ascii="Times New Roman" w:eastAsia="Times New Roman" w:hAnsi="Times New Roman" w:cs="Times New Roman"/>
            <w:color w:val="0000FF"/>
            <w:sz w:val="24"/>
            <w:szCs w:val="24"/>
            <w:u w:val="single"/>
            <w:lang/>
          </w:rPr>
          <w:t>підпунктом 229.8.10</w:t>
        </w:r>
      </w:hyperlink>
      <w:r w:rsidRPr="008B264B">
        <w:rPr>
          <w:rFonts w:ascii="Times New Roman" w:eastAsia="Times New Roman" w:hAnsi="Times New Roman" w:cs="Times New Roman"/>
          <w:color w:val="000000"/>
          <w:sz w:val="24"/>
          <w:szCs w:val="24"/>
          <w:lang/>
        </w:rPr>
        <w:t> пункту 229.8 статті 229 цього Кодексу, має право отримувати повідомлення в електронному вигляді з інформацією щодо всіх акцизних накладних, зареєстрованих в Єдиному реєстрі акцизних накладних, в яких зазначений виданий нею податковий вексель, за запитом до Єдиного реєстру акцизних накладних.</w:t>
      </w:r>
    </w:p>
    <w:p w14:paraId="0767BA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5" w:name="n16014"/>
      <w:bookmarkEnd w:id="7535"/>
      <w:r w:rsidRPr="008B264B">
        <w:rPr>
          <w:rFonts w:ascii="Times New Roman" w:eastAsia="Times New Roman" w:hAnsi="Times New Roman" w:cs="Times New Roman"/>
          <w:i/>
          <w:iCs/>
          <w:color w:val="000000"/>
          <w:sz w:val="24"/>
          <w:szCs w:val="24"/>
          <w:lang/>
        </w:rPr>
        <w:t>{Пункт 231.6 статті 231 доповнено новим абзацом згідно із Законом </w:t>
      </w:r>
      <w:hyperlink r:id="rId4249" w:anchor="n16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17039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6" w:name="n13198"/>
      <w:bookmarkEnd w:id="7536"/>
      <w:r w:rsidRPr="008B264B">
        <w:rPr>
          <w:rFonts w:ascii="Times New Roman" w:eastAsia="Times New Roman" w:hAnsi="Times New Roman" w:cs="Times New Roman"/>
          <w:color w:val="000000"/>
          <w:sz w:val="24"/>
          <w:szCs w:val="24"/>
          <w:lang/>
        </w:rPr>
        <w:t>Датою та часом надання акцизної накладної та/або розрахунку коригування в електронному вигляді до центрального органу виконавчої влади, що реалізує державну податкову політику, є дата та час, зафіксовані у квитанції.</w:t>
      </w:r>
    </w:p>
    <w:p w14:paraId="3965B8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7" w:name="n16016"/>
      <w:bookmarkEnd w:id="7537"/>
      <w:r w:rsidRPr="008B264B">
        <w:rPr>
          <w:rFonts w:ascii="Times New Roman" w:eastAsia="Times New Roman" w:hAnsi="Times New Roman" w:cs="Times New Roman"/>
          <w:i/>
          <w:iCs/>
          <w:color w:val="000000"/>
          <w:sz w:val="24"/>
          <w:szCs w:val="24"/>
          <w:lang/>
        </w:rPr>
        <w:t>{Абзац шістнадцятий пункту 231.6 статті 231 із змінами, внесеними згідно із Законом </w:t>
      </w:r>
      <w:hyperlink r:id="rId4250" w:anchor="n16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E6F4F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8" w:name="n13199"/>
      <w:bookmarkEnd w:id="7538"/>
      <w:r w:rsidRPr="008B264B">
        <w:rPr>
          <w:rFonts w:ascii="Times New Roman" w:eastAsia="Times New Roman" w:hAnsi="Times New Roman" w:cs="Times New Roman"/>
          <w:color w:val="000000"/>
          <w:sz w:val="24"/>
          <w:szCs w:val="24"/>
          <w:lang/>
        </w:rPr>
        <w:t>Якщо надіслані акцизні накладні та/або розрахунки коригування сформовано з порушенням вимог, передбачених </w:t>
      </w:r>
      <w:hyperlink r:id="rId4251" w:anchor="n13175" w:history="1">
        <w:r w:rsidRPr="008B264B">
          <w:rPr>
            <w:rFonts w:ascii="Times New Roman" w:eastAsia="Times New Roman" w:hAnsi="Times New Roman" w:cs="Times New Roman"/>
            <w:color w:val="0000FF"/>
            <w:sz w:val="24"/>
            <w:szCs w:val="24"/>
            <w:u w:val="single"/>
            <w:lang/>
          </w:rPr>
          <w:t>пунктом 231.1</w:t>
        </w:r>
      </w:hyperlink>
      <w:r w:rsidRPr="008B264B">
        <w:rPr>
          <w:rFonts w:ascii="Times New Roman" w:eastAsia="Times New Roman" w:hAnsi="Times New Roman" w:cs="Times New Roman"/>
          <w:color w:val="000000"/>
          <w:sz w:val="24"/>
          <w:szCs w:val="24"/>
          <w:lang/>
        </w:rPr>
        <w:t> цієї статті, протягом операційного дня отримувачу пального або спирту етилового/особі, яка реалізує пальне або спирт етиловий, надсилається квитанція в електронному вигляді у текстовому форматі про неприйняття їх в електронному вигляді із зазначенням причин.</w:t>
      </w:r>
    </w:p>
    <w:p w14:paraId="5F51DE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39" w:name="n13200"/>
      <w:bookmarkEnd w:id="7539"/>
      <w:r w:rsidRPr="008B264B">
        <w:rPr>
          <w:rFonts w:ascii="Times New Roman" w:eastAsia="Times New Roman" w:hAnsi="Times New Roman" w:cs="Times New Roman"/>
          <w:color w:val="000000"/>
          <w:sz w:val="24"/>
          <w:szCs w:val="24"/>
          <w:lang/>
        </w:rPr>
        <w:t>Якщо протягом операційного дня не надіслано квитанції про прийняття або неприйняття, такі акцизна накладна/розрахунок коригування вважаються зареєстрованими в Єдиному реєстрі акцизних накладних.</w:t>
      </w:r>
    </w:p>
    <w:p w14:paraId="62D73E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0" w:name="n13201"/>
      <w:bookmarkEnd w:id="7540"/>
      <w:r w:rsidRPr="008B264B">
        <w:rPr>
          <w:rFonts w:ascii="Times New Roman" w:eastAsia="Times New Roman" w:hAnsi="Times New Roman" w:cs="Times New Roman"/>
          <w:color w:val="000000"/>
          <w:sz w:val="24"/>
          <w:szCs w:val="24"/>
          <w:lang/>
        </w:rPr>
        <w:t>Підтвердження надання другого примірника акцизної накладної отримувачу пального або спирту етилового, реєстрації в Єдиному реєстрі акцизних накладних та отримання з Єдиного реєстру акцизних накладних другого примірника акцизної накладної здійснюється за правилами, передбаченими цим розділом для підтвердження надання, реєстрації та отримання з Єдиного реєстру акцизних накладних розрахунків коригування, які реєструються отримувачами пального або спирту етилового.</w:t>
      </w:r>
    </w:p>
    <w:p w14:paraId="768597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1" w:name="n13202"/>
      <w:bookmarkEnd w:id="7541"/>
      <w:r w:rsidRPr="008B264B">
        <w:rPr>
          <w:rFonts w:ascii="Times New Roman" w:eastAsia="Times New Roman" w:hAnsi="Times New Roman" w:cs="Times New Roman"/>
          <w:color w:val="000000"/>
          <w:sz w:val="24"/>
          <w:szCs w:val="24"/>
          <w:lang/>
        </w:rPr>
        <w:t>Отримувач пального або спирту етилового має право звіряти дані отриманої акцизної накладної на відповідність з даними Єдиного реєстру акцизних накладних.</w:t>
      </w:r>
    </w:p>
    <w:p w14:paraId="7E05A2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2" w:name="n15701"/>
      <w:bookmarkEnd w:id="7542"/>
      <w:r w:rsidRPr="008B264B">
        <w:rPr>
          <w:rFonts w:ascii="Times New Roman" w:eastAsia="Times New Roman" w:hAnsi="Times New Roman" w:cs="Times New Roman"/>
          <w:color w:val="000000"/>
          <w:sz w:val="24"/>
          <w:szCs w:val="24"/>
          <w:lang/>
        </w:rPr>
        <w:lastRenderedPageBreak/>
        <w:t>Платник податку має право зареєструвати акцизну накладну та/або розрахунок коригування в Єдиному реєстрі акцизних накладних, в якій загальний обсяг реалізованого пального або спирту етилового не перевищує обсяг, обчислений відповідно до </w:t>
      </w:r>
      <w:hyperlink r:id="rId4252" w:anchor="n13223" w:history="1">
        <w:r w:rsidRPr="008B264B">
          <w:rPr>
            <w:rFonts w:ascii="Times New Roman" w:eastAsia="Times New Roman" w:hAnsi="Times New Roman" w:cs="Times New Roman"/>
            <w:color w:val="0000FF"/>
            <w:sz w:val="24"/>
            <w:szCs w:val="24"/>
            <w:u w:val="single"/>
            <w:lang/>
          </w:rPr>
          <w:t>пункту 232.3</w:t>
        </w:r>
      </w:hyperlink>
      <w:r w:rsidRPr="008B264B">
        <w:rPr>
          <w:rFonts w:ascii="Times New Roman" w:eastAsia="Times New Roman" w:hAnsi="Times New Roman" w:cs="Times New Roman"/>
          <w:color w:val="000000"/>
          <w:sz w:val="24"/>
          <w:szCs w:val="24"/>
          <w:lang/>
        </w:rPr>
        <w:t> статті 232 цього Кодексу.</w:t>
      </w:r>
    </w:p>
    <w:p w14:paraId="392559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3" w:name="n15702"/>
      <w:bookmarkEnd w:id="7543"/>
      <w:r w:rsidRPr="008B264B">
        <w:rPr>
          <w:rFonts w:ascii="Times New Roman" w:eastAsia="Times New Roman" w:hAnsi="Times New Roman" w:cs="Times New Roman"/>
          <w:color w:val="000000"/>
          <w:sz w:val="24"/>
          <w:szCs w:val="24"/>
          <w:lang/>
        </w:rPr>
        <w:t>Якщо обсяг, визначений відповідно до </w:t>
      </w:r>
      <w:hyperlink r:id="rId4253" w:anchor="n13223" w:history="1">
        <w:r w:rsidRPr="008B264B">
          <w:rPr>
            <w:rFonts w:ascii="Times New Roman" w:eastAsia="Times New Roman" w:hAnsi="Times New Roman" w:cs="Times New Roman"/>
            <w:color w:val="0000FF"/>
            <w:sz w:val="24"/>
            <w:szCs w:val="24"/>
            <w:u w:val="single"/>
            <w:lang/>
          </w:rPr>
          <w:t>пункту 232.3</w:t>
        </w:r>
      </w:hyperlink>
      <w:r w:rsidRPr="008B264B">
        <w:rPr>
          <w:rFonts w:ascii="Times New Roman" w:eastAsia="Times New Roman" w:hAnsi="Times New Roman" w:cs="Times New Roman"/>
          <w:color w:val="000000"/>
          <w:sz w:val="24"/>
          <w:szCs w:val="24"/>
          <w:lang/>
        </w:rPr>
        <w:t> статті 232 цього Кодексу, є меншим за обсяг пального або спирту етилового в акцизній накладній та/або розрахунку коригування, які платник податку повинен зареєструвати в Єдиному реєстрі акцизних накладних, платник податку зобов’язаний перерахувати до бюджету суму коштів у розмірі акцизного податку за відповідний обсяг реалізованого пального або спирту етилового, самостійно розрахованого за ставками, передбаченими </w:t>
      </w:r>
      <w:hyperlink r:id="rId4254" w:anchor="n5497" w:history="1">
        <w:r w:rsidRPr="008B264B">
          <w:rPr>
            <w:rFonts w:ascii="Times New Roman" w:eastAsia="Times New Roman" w:hAnsi="Times New Roman" w:cs="Times New Roman"/>
            <w:color w:val="0000FF"/>
            <w:sz w:val="24"/>
            <w:szCs w:val="24"/>
            <w:u w:val="single"/>
            <w:lang/>
          </w:rPr>
          <w:t>підпунктами 215.3.1</w:t>
        </w:r>
      </w:hyperlink>
      <w:r w:rsidRPr="008B264B">
        <w:rPr>
          <w:rFonts w:ascii="Times New Roman" w:eastAsia="Times New Roman" w:hAnsi="Times New Roman" w:cs="Times New Roman"/>
          <w:color w:val="000000"/>
          <w:sz w:val="24"/>
          <w:szCs w:val="24"/>
          <w:lang/>
        </w:rPr>
        <w:t> або </w:t>
      </w:r>
      <w:hyperlink r:id="rId4255" w:anchor="n5506" w:history="1">
        <w:r w:rsidRPr="008B264B">
          <w:rPr>
            <w:rFonts w:ascii="Times New Roman" w:eastAsia="Times New Roman" w:hAnsi="Times New Roman" w:cs="Times New Roman"/>
            <w:color w:val="0000FF"/>
            <w:sz w:val="24"/>
            <w:szCs w:val="24"/>
            <w:u w:val="single"/>
            <w:lang/>
          </w:rPr>
          <w:t>215.3.4</w:t>
        </w:r>
      </w:hyperlink>
      <w:r w:rsidRPr="008B264B">
        <w:rPr>
          <w:rFonts w:ascii="Times New Roman" w:eastAsia="Times New Roman" w:hAnsi="Times New Roman" w:cs="Times New Roman"/>
          <w:color w:val="000000"/>
          <w:sz w:val="24"/>
          <w:szCs w:val="24"/>
          <w:lang/>
        </w:rPr>
        <w:t> пункту 215.3 статті 215 цього Кодексу, та зареєструвати заявку на поповнення обсягу залишку пального або спирту етилового в системі електронного адміністрування реалізації пального та спирту етилового.</w:t>
      </w:r>
    </w:p>
    <w:p w14:paraId="68DEF3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4" w:name="n15703"/>
      <w:bookmarkEnd w:id="7544"/>
      <w:r w:rsidRPr="008B264B">
        <w:rPr>
          <w:rFonts w:ascii="Times New Roman" w:eastAsia="Times New Roman" w:hAnsi="Times New Roman" w:cs="Times New Roman"/>
          <w:color w:val="000000"/>
          <w:sz w:val="24"/>
          <w:szCs w:val="24"/>
          <w:lang/>
        </w:rPr>
        <w:t>У разі виявлення технічної помилки у програмному забезпеченні або програмних складових, програмно-апаратному устаткуванні, каналах зв’язку, функціонуванні електронного цифрового підпису (далі - проведення технічного обслуговування), що унеможливлює реєстрацію акцизних накладних/розрахунків коригування в Єдиному реєстрі акцизних накладних, центральний орган виконавчої влади, що реалізує державну податкову політику, зобов’язаний невідкладно розмістити на своєму офіційному веб-сайті повідомлення про виявлення такої технічної помилки із зазначенням дати та часу її початку, вжити всіх необхідних заходів для відновлення реєстрації акцизних накладних/розрахунків коригування в Єдиному реєстрі акцизних накладних, за результатами яких розмістити на своєму офіційному веб-сайті повідомлення про усунення технічної помилки із зазначенням дати та часу її завершення.</w:t>
      </w:r>
    </w:p>
    <w:p w14:paraId="4C28AA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5" w:name="n16017"/>
      <w:bookmarkEnd w:id="7545"/>
      <w:r w:rsidRPr="008B264B">
        <w:rPr>
          <w:rFonts w:ascii="Times New Roman" w:eastAsia="Times New Roman" w:hAnsi="Times New Roman" w:cs="Times New Roman"/>
          <w:i/>
          <w:iCs/>
          <w:color w:val="000000"/>
          <w:sz w:val="24"/>
          <w:szCs w:val="24"/>
          <w:lang/>
        </w:rPr>
        <w:t>{Абзац двадцять третій пункту 231.6 статті 231 із змінами, внесеними згідно із Законом </w:t>
      </w:r>
      <w:hyperlink r:id="rId4256" w:anchor="n16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F13E0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6" w:name="n15704"/>
      <w:bookmarkEnd w:id="7546"/>
      <w:r w:rsidRPr="008B264B">
        <w:rPr>
          <w:rFonts w:ascii="Times New Roman" w:eastAsia="Times New Roman" w:hAnsi="Times New Roman" w:cs="Times New Roman"/>
          <w:color w:val="000000"/>
          <w:sz w:val="24"/>
          <w:szCs w:val="24"/>
          <w:lang/>
        </w:rPr>
        <w:t>У період проведення технічного обслуговування, у разі неможливості зареєструвати акцизну накладну в Єдиному реєстрі акцизних накладних, дозволяється переміщення пального або спирту етилового транспортними засобами за наявності товарно-транспортної накладної, яка повинна містити інформацію з відповідної акцизної накладної, та паперового примірника акцизної накладної, підписаної особою, уповноваженою на її складання.</w:t>
      </w:r>
    </w:p>
    <w:p w14:paraId="489481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7" w:name="n16018"/>
      <w:bookmarkEnd w:id="7547"/>
      <w:r w:rsidRPr="008B264B">
        <w:rPr>
          <w:rFonts w:ascii="Times New Roman" w:eastAsia="Times New Roman" w:hAnsi="Times New Roman" w:cs="Times New Roman"/>
          <w:i/>
          <w:iCs/>
          <w:color w:val="000000"/>
          <w:sz w:val="24"/>
          <w:szCs w:val="24"/>
          <w:lang/>
        </w:rPr>
        <w:t>{Абзац двадцять четвертий пункту 231.6 статті 231 із змінами, внесеними згідно із Законом </w:t>
      </w:r>
      <w:hyperlink r:id="rId4257" w:anchor="n169"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42C3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8" w:name="n15705"/>
      <w:bookmarkEnd w:id="7548"/>
      <w:r w:rsidRPr="008B264B">
        <w:rPr>
          <w:rFonts w:ascii="Times New Roman" w:eastAsia="Times New Roman" w:hAnsi="Times New Roman" w:cs="Times New Roman"/>
          <w:color w:val="000000"/>
          <w:sz w:val="24"/>
          <w:szCs w:val="24"/>
          <w:lang/>
        </w:rPr>
        <w:t>Платник податку зобов’язаний протягом трьох календарних днів з дня відновлення реєстрації акцизних накладних/розрахунків коригування в Єдиному реєстрі акцизних накладних зареєструвати всі акцизні накладні/розрахунки коригування, граничний термін реєстрації яких припадає на період існування технічної помилки.</w:t>
      </w:r>
    </w:p>
    <w:p w14:paraId="3099E0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49" w:name="n15706"/>
      <w:bookmarkEnd w:id="7549"/>
      <w:r w:rsidRPr="008B264B">
        <w:rPr>
          <w:rFonts w:ascii="Times New Roman" w:eastAsia="Times New Roman" w:hAnsi="Times New Roman" w:cs="Times New Roman"/>
          <w:color w:val="000000"/>
          <w:sz w:val="24"/>
          <w:szCs w:val="24"/>
          <w:lang/>
        </w:rPr>
        <w:t>Штрафні санкції за несвоєчасну реєстрацію акцизних накладних/розрахунків коригування в Єдиному реєстрі акцизних накладних, граничний термін реєстрації яких припадає на період існування технічної помилки, не застосовуються.</w:t>
      </w:r>
    </w:p>
    <w:p w14:paraId="1A3A7D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0" w:name="n15693"/>
      <w:bookmarkEnd w:id="7550"/>
      <w:r w:rsidRPr="008B264B">
        <w:rPr>
          <w:rFonts w:ascii="Times New Roman" w:eastAsia="Times New Roman" w:hAnsi="Times New Roman" w:cs="Times New Roman"/>
          <w:i/>
          <w:iCs/>
          <w:color w:val="000000"/>
          <w:sz w:val="24"/>
          <w:szCs w:val="24"/>
          <w:lang/>
        </w:rPr>
        <w:t>{Пункт 231.6 статті 231 в редакції Закону </w:t>
      </w:r>
      <w:hyperlink r:id="rId4258" w:anchor="n47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0E9F5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1" w:name="n13203"/>
      <w:bookmarkEnd w:id="7551"/>
      <w:r w:rsidRPr="008B264B">
        <w:rPr>
          <w:rFonts w:ascii="Times New Roman" w:eastAsia="Times New Roman" w:hAnsi="Times New Roman" w:cs="Times New Roman"/>
          <w:color w:val="000000"/>
          <w:sz w:val="24"/>
          <w:szCs w:val="24"/>
          <w:lang/>
        </w:rPr>
        <w:t>231.7. Якщо після реалізації пального або спирту етилового відбувається повернення частини чи всього обсягу пального або спирту етилового особі, яка реалізує пальне або спирт етиловий, або виникає потреба у виправленні помилок, допущених при складанні акцизної накладної, показники такої акцизної накладної підлягають коригуванню шляхом складання розрахунку коригування та реєстрації його в Єдиному реєстрі акцизних накладних:</w:t>
      </w:r>
    </w:p>
    <w:p w14:paraId="3A6F4C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2" w:name="n13204"/>
      <w:bookmarkEnd w:id="7552"/>
      <w:r w:rsidRPr="008B264B">
        <w:rPr>
          <w:rFonts w:ascii="Times New Roman" w:eastAsia="Times New Roman" w:hAnsi="Times New Roman" w:cs="Times New Roman"/>
          <w:color w:val="000000"/>
          <w:sz w:val="24"/>
          <w:szCs w:val="24"/>
          <w:lang/>
        </w:rPr>
        <w:t>особою, яка реалізує пальне або спирт етиловий, якщо передбачається збільшення обсягів реалізованого пального або спирту етилового або якщо коригування показників у підсумку не змінює обсяг реалізованого пального або спирту етилового;</w:t>
      </w:r>
    </w:p>
    <w:p w14:paraId="5AC99D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3" w:name="n13205"/>
      <w:bookmarkEnd w:id="7553"/>
      <w:r w:rsidRPr="008B264B">
        <w:rPr>
          <w:rFonts w:ascii="Times New Roman" w:eastAsia="Times New Roman" w:hAnsi="Times New Roman" w:cs="Times New Roman"/>
          <w:color w:val="000000"/>
          <w:sz w:val="24"/>
          <w:szCs w:val="24"/>
          <w:lang/>
        </w:rPr>
        <w:t xml:space="preserve">отримувачем пального або спирту етилового, якщо передбачається зменшення обсягів реалізованого пального або спирту етилового, для чого особа, яка реалізує пальне або спирт </w:t>
      </w:r>
      <w:r w:rsidRPr="008B264B">
        <w:rPr>
          <w:rFonts w:ascii="Times New Roman" w:eastAsia="Times New Roman" w:hAnsi="Times New Roman" w:cs="Times New Roman"/>
          <w:color w:val="000000"/>
          <w:sz w:val="24"/>
          <w:szCs w:val="24"/>
          <w:lang/>
        </w:rPr>
        <w:lastRenderedPageBreak/>
        <w:t>етиловий, надсилає складений розрахунок коригування отримувачу пального або спирту етилового. При цьому особа, що реалізує пальне або спирт етиловий, має право зменшити обсяг реалізованого пального або спирту етилового за таким розрахунком коригування після його реєстрації в Єдиному реєстрі акцизних накладних отримувачем пального або спирту етилового.</w:t>
      </w:r>
    </w:p>
    <w:p w14:paraId="039B0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4" w:name="n13206"/>
      <w:bookmarkEnd w:id="7554"/>
      <w:r w:rsidRPr="008B264B">
        <w:rPr>
          <w:rFonts w:ascii="Times New Roman" w:eastAsia="Times New Roman" w:hAnsi="Times New Roman" w:cs="Times New Roman"/>
          <w:color w:val="000000"/>
          <w:sz w:val="24"/>
          <w:szCs w:val="24"/>
          <w:lang/>
        </w:rPr>
        <w:t>Розрахунок коригування, складений платником податку до акцизних накладних з реалізації пального або спирту етилового не платникам акцизного податку, або розрахунок коригування, складений за іншими операціями, ніж реалізація пального або спирту етилового отримувачам пального або спирту етилового, підлягає реєстрації у Єдиному реєстрі акцизних накладних таким платником податку.</w:t>
      </w:r>
    </w:p>
    <w:p w14:paraId="6E26A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5" w:name="n15714"/>
      <w:bookmarkEnd w:id="7555"/>
      <w:r w:rsidRPr="008B264B">
        <w:rPr>
          <w:rFonts w:ascii="Times New Roman" w:eastAsia="Times New Roman" w:hAnsi="Times New Roman" w:cs="Times New Roman"/>
          <w:color w:val="000000"/>
          <w:sz w:val="24"/>
          <w:szCs w:val="24"/>
          <w:lang/>
        </w:rPr>
        <w:t>Складання розрахунків коригування здійснюється у такій самій кількості примірників, як і кількість примірників акцизної накладної, до якої вони складаються, крім розрахунків коригування, складених до акцизної накладної, у якій зазначені помилкові реквізити особи, яка отримує пальне, або допущені помилки у визначених </w:t>
      </w:r>
      <w:hyperlink r:id="rId4259" w:anchor="n15639" w:history="1">
        <w:r w:rsidRPr="008B264B">
          <w:rPr>
            <w:rFonts w:ascii="Times New Roman" w:eastAsia="Times New Roman" w:hAnsi="Times New Roman" w:cs="Times New Roman"/>
            <w:color w:val="0000FF"/>
            <w:sz w:val="24"/>
            <w:szCs w:val="24"/>
            <w:u w:val="single"/>
            <w:lang/>
          </w:rPr>
          <w:t>підпунктами "з"</w:t>
        </w:r>
      </w:hyperlink>
      <w:r w:rsidRPr="008B264B">
        <w:rPr>
          <w:rFonts w:ascii="Times New Roman" w:eastAsia="Times New Roman" w:hAnsi="Times New Roman" w:cs="Times New Roman"/>
          <w:color w:val="000000"/>
          <w:sz w:val="24"/>
          <w:szCs w:val="24"/>
          <w:lang/>
        </w:rPr>
        <w:t> та </w:t>
      </w:r>
      <w:hyperlink r:id="rId4260" w:anchor="n15640" w:history="1">
        <w:r w:rsidRPr="008B264B">
          <w:rPr>
            <w:rFonts w:ascii="Times New Roman" w:eastAsia="Times New Roman" w:hAnsi="Times New Roman" w:cs="Times New Roman"/>
            <w:color w:val="0000FF"/>
            <w:sz w:val="24"/>
            <w:szCs w:val="24"/>
            <w:u w:val="single"/>
            <w:lang/>
          </w:rPr>
          <w:t>"и"</w:t>
        </w:r>
      </w:hyperlink>
      <w:r w:rsidRPr="008B264B">
        <w:rPr>
          <w:rFonts w:ascii="Times New Roman" w:eastAsia="Times New Roman" w:hAnsi="Times New Roman" w:cs="Times New Roman"/>
          <w:color w:val="000000"/>
          <w:sz w:val="24"/>
          <w:szCs w:val="24"/>
          <w:lang/>
        </w:rPr>
        <w:t> пункту 231.1 цієї статті реквізитах акцизного складу або акцизного складу пересувного, на який отримано пальне, або акцизної накладної на операцію з реалізації пального або спирту етилового, яка не відбулася.</w:t>
      </w:r>
    </w:p>
    <w:p w14:paraId="5C31D7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6" w:name="n15708"/>
      <w:bookmarkEnd w:id="7556"/>
      <w:r w:rsidRPr="008B264B">
        <w:rPr>
          <w:rFonts w:ascii="Times New Roman" w:eastAsia="Times New Roman" w:hAnsi="Times New Roman" w:cs="Times New Roman"/>
          <w:i/>
          <w:iCs/>
          <w:color w:val="000000"/>
          <w:sz w:val="24"/>
          <w:szCs w:val="24"/>
          <w:lang/>
        </w:rPr>
        <w:t>{Пункт 231.7 статті 231 доповнено абзацом п'ятим згідно із Законом </w:t>
      </w:r>
      <w:hyperlink r:id="rId4261" w:anchor="n50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262" w:anchor="n17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F275A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7" w:name="n16020"/>
      <w:bookmarkEnd w:id="7557"/>
      <w:r w:rsidRPr="008B264B">
        <w:rPr>
          <w:rFonts w:ascii="Times New Roman" w:eastAsia="Times New Roman" w:hAnsi="Times New Roman" w:cs="Times New Roman"/>
          <w:color w:val="000000"/>
          <w:sz w:val="24"/>
          <w:szCs w:val="24"/>
          <w:lang/>
        </w:rPr>
        <w:t>У разі зазначення платником податку в акцизній накладній помилкових реквізитів особи, яка отримує пальне, або допущення помилки у визначених </w:t>
      </w:r>
      <w:hyperlink r:id="rId4263" w:anchor="n15639" w:history="1">
        <w:r w:rsidRPr="008B264B">
          <w:rPr>
            <w:rFonts w:ascii="Times New Roman" w:eastAsia="Times New Roman" w:hAnsi="Times New Roman" w:cs="Times New Roman"/>
            <w:color w:val="0000FF"/>
            <w:sz w:val="24"/>
            <w:szCs w:val="24"/>
            <w:u w:val="single"/>
            <w:lang/>
          </w:rPr>
          <w:t>підпунктами "з"</w:t>
        </w:r>
      </w:hyperlink>
      <w:r w:rsidRPr="008B264B">
        <w:rPr>
          <w:rFonts w:ascii="Times New Roman" w:eastAsia="Times New Roman" w:hAnsi="Times New Roman" w:cs="Times New Roman"/>
          <w:color w:val="000000"/>
          <w:sz w:val="24"/>
          <w:szCs w:val="24"/>
          <w:lang/>
        </w:rPr>
        <w:t> та </w:t>
      </w:r>
      <w:hyperlink r:id="rId4264" w:anchor="n15640" w:history="1">
        <w:r w:rsidRPr="008B264B">
          <w:rPr>
            <w:rFonts w:ascii="Times New Roman" w:eastAsia="Times New Roman" w:hAnsi="Times New Roman" w:cs="Times New Roman"/>
            <w:color w:val="0000FF"/>
            <w:sz w:val="24"/>
            <w:szCs w:val="24"/>
            <w:u w:val="single"/>
            <w:lang/>
          </w:rPr>
          <w:t>"и"</w:t>
        </w:r>
      </w:hyperlink>
      <w:r w:rsidRPr="008B264B">
        <w:rPr>
          <w:rFonts w:ascii="Times New Roman" w:eastAsia="Times New Roman" w:hAnsi="Times New Roman" w:cs="Times New Roman"/>
          <w:color w:val="000000"/>
          <w:sz w:val="24"/>
          <w:szCs w:val="24"/>
          <w:lang/>
        </w:rPr>
        <w:t> пункту 231.1 цієї статті реквізитах акцизного складу або акцизного складу пересувного, на який отримано пальне, або складання акцизної накладної на операцію з реалізації пального або спирту етилового, яка не відбулася, та реєстрації в Єдиному реєстрі акцизних накладних такої акцизної накладної (першого примірника такої акцизної накладної) платником податку складається розрахунок коригування до такої акцизної накладної:</w:t>
      </w:r>
    </w:p>
    <w:p w14:paraId="23CF3F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8" w:name="n16032"/>
      <w:bookmarkEnd w:id="7558"/>
      <w:r w:rsidRPr="008B264B">
        <w:rPr>
          <w:rFonts w:ascii="Times New Roman" w:eastAsia="Times New Roman" w:hAnsi="Times New Roman" w:cs="Times New Roman"/>
          <w:i/>
          <w:iCs/>
          <w:color w:val="000000"/>
          <w:sz w:val="24"/>
          <w:szCs w:val="24"/>
          <w:lang/>
        </w:rPr>
        <w:t>{Пункт 231.7 статті 231 доповнено абзацом шостим згідно із Законом </w:t>
      </w:r>
      <w:hyperlink r:id="rId4265"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0B193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59" w:name="n16021"/>
      <w:bookmarkEnd w:id="7559"/>
      <w:r w:rsidRPr="008B264B">
        <w:rPr>
          <w:rFonts w:ascii="Times New Roman" w:eastAsia="Times New Roman" w:hAnsi="Times New Roman" w:cs="Times New Roman"/>
          <w:color w:val="000000"/>
          <w:sz w:val="24"/>
          <w:szCs w:val="24"/>
          <w:lang/>
        </w:rPr>
        <w:t>в одному примірнику - для коригування складеної в одному примірнику акцизної накладної;</w:t>
      </w:r>
    </w:p>
    <w:p w14:paraId="1771E3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0" w:name="n16031"/>
      <w:bookmarkEnd w:id="7560"/>
      <w:r w:rsidRPr="008B264B">
        <w:rPr>
          <w:rFonts w:ascii="Times New Roman" w:eastAsia="Times New Roman" w:hAnsi="Times New Roman" w:cs="Times New Roman"/>
          <w:i/>
          <w:iCs/>
          <w:color w:val="000000"/>
          <w:sz w:val="24"/>
          <w:szCs w:val="24"/>
          <w:lang/>
        </w:rPr>
        <w:t>{Пункт 231.7 статті 231 доповнено абзацом сьомим згідно із Законом </w:t>
      </w:r>
      <w:hyperlink r:id="rId4266"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72D33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1" w:name="n16022"/>
      <w:bookmarkEnd w:id="7561"/>
      <w:r w:rsidRPr="008B264B">
        <w:rPr>
          <w:rFonts w:ascii="Times New Roman" w:eastAsia="Times New Roman" w:hAnsi="Times New Roman" w:cs="Times New Roman"/>
          <w:color w:val="000000"/>
          <w:sz w:val="24"/>
          <w:szCs w:val="24"/>
          <w:lang/>
        </w:rPr>
        <w:t>в одному примірнику - для коригування складеної у двох примірниках акцизної накладної, другий примірник якої не зареєстрований отримувачем в Єдиному реєстрі акцизних накладних;</w:t>
      </w:r>
    </w:p>
    <w:p w14:paraId="6C1F28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2" w:name="n16030"/>
      <w:bookmarkEnd w:id="7562"/>
      <w:r w:rsidRPr="008B264B">
        <w:rPr>
          <w:rFonts w:ascii="Times New Roman" w:eastAsia="Times New Roman" w:hAnsi="Times New Roman" w:cs="Times New Roman"/>
          <w:i/>
          <w:iCs/>
          <w:color w:val="000000"/>
          <w:sz w:val="24"/>
          <w:szCs w:val="24"/>
          <w:lang/>
        </w:rPr>
        <w:t>{Пункт 231.7 статті 231 доповнено абзацом восьмим згідно із Законом </w:t>
      </w:r>
      <w:hyperlink r:id="rId4267"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2626C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3" w:name="n16023"/>
      <w:bookmarkEnd w:id="7563"/>
      <w:r w:rsidRPr="008B264B">
        <w:rPr>
          <w:rFonts w:ascii="Times New Roman" w:eastAsia="Times New Roman" w:hAnsi="Times New Roman" w:cs="Times New Roman"/>
          <w:color w:val="000000"/>
          <w:sz w:val="24"/>
          <w:szCs w:val="24"/>
          <w:lang/>
        </w:rPr>
        <w:t>у двох примірниках - для коригування складеної у двох примірниках акцизної накладної, другий примірник якої зареєстрований отримувачем в Єдиному реєстрі акцизних накладних.</w:t>
      </w:r>
    </w:p>
    <w:p w14:paraId="14D730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4" w:name="n16029"/>
      <w:bookmarkEnd w:id="7564"/>
      <w:r w:rsidRPr="008B264B">
        <w:rPr>
          <w:rFonts w:ascii="Times New Roman" w:eastAsia="Times New Roman" w:hAnsi="Times New Roman" w:cs="Times New Roman"/>
          <w:i/>
          <w:iCs/>
          <w:color w:val="000000"/>
          <w:sz w:val="24"/>
          <w:szCs w:val="24"/>
          <w:lang/>
        </w:rPr>
        <w:t>{Пункт 231.7 статті 231 доповнено абзацом дев'ятим згідно із Законом </w:t>
      </w:r>
      <w:hyperlink r:id="rId4268"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E5FC3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5" w:name="n16024"/>
      <w:bookmarkEnd w:id="7565"/>
      <w:r w:rsidRPr="008B264B">
        <w:rPr>
          <w:rFonts w:ascii="Times New Roman" w:eastAsia="Times New Roman" w:hAnsi="Times New Roman" w:cs="Times New Roman"/>
          <w:color w:val="000000"/>
          <w:sz w:val="24"/>
          <w:szCs w:val="24"/>
          <w:lang/>
        </w:rPr>
        <w:t>Розрахунок коригування до акцизної накладної, у якій зазначені помилкові реквізити особи, яка отримує пальне, або допущені помилки у визначених </w:t>
      </w:r>
      <w:hyperlink r:id="rId4269" w:anchor="n15639" w:history="1">
        <w:r w:rsidRPr="008B264B">
          <w:rPr>
            <w:rFonts w:ascii="Times New Roman" w:eastAsia="Times New Roman" w:hAnsi="Times New Roman" w:cs="Times New Roman"/>
            <w:color w:val="0000FF"/>
            <w:sz w:val="24"/>
            <w:szCs w:val="24"/>
            <w:u w:val="single"/>
            <w:lang/>
          </w:rPr>
          <w:t>підпунктами "з"</w:t>
        </w:r>
      </w:hyperlink>
      <w:r w:rsidRPr="008B264B">
        <w:rPr>
          <w:rFonts w:ascii="Times New Roman" w:eastAsia="Times New Roman" w:hAnsi="Times New Roman" w:cs="Times New Roman"/>
          <w:color w:val="000000"/>
          <w:sz w:val="24"/>
          <w:szCs w:val="24"/>
          <w:lang/>
        </w:rPr>
        <w:t> та </w:t>
      </w:r>
      <w:hyperlink r:id="rId4270" w:anchor="n15640" w:history="1">
        <w:r w:rsidRPr="008B264B">
          <w:rPr>
            <w:rFonts w:ascii="Times New Roman" w:eastAsia="Times New Roman" w:hAnsi="Times New Roman" w:cs="Times New Roman"/>
            <w:color w:val="0000FF"/>
            <w:sz w:val="24"/>
            <w:szCs w:val="24"/>
            <w:u w:val="single"/>
            <w:lang/>
          </w:rPr>
          <w:t>"и"</w:t>
        </w:r>
      </w:hyperlink>
      <w:r w:rsidRPr="008B264B">
        <w:rPr>
          <w:rFonts w:ascii="Times New Roman" w:eastAsia="Times New Roman" w:hAnsi="Times New Roman" w:cs="Times New Roman"/>
          <w:color w:val="000000"/>
          <w:sz w:val="24"/>
          <w:szCs w:val="24"/>
          <w:lang/>
        </w:rPr>
        <w:t> пункту 231.1 цієї статті реквізитах акцизного складу або акцизного складу пересувного, на який отримано пальне, або акцизної накладної на операцію з реалізації пального або спирту етилового, яка не відбулася, реєструється в Єдиному реєстрі акцизних накладних:</w:t>
      </w:r>
    </w:p>
    <w:p w14:paraId="5ADB18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6" w:name="n16028"/>
      <w:bookmarkEnd w:id="7566"/>
      <w:r w:rsidRPr="008B264B">
        <w:rPr>
          <w:rFonts w:ascii="Times New Roman" w:eastAsia="Times New Roman" w:hAnsi="Times New Roman" w:cs="Times New Roman"/>
          <w:i/>
          <w:iCs/>
          <w:color w:val="000000"/>
          <w:sz w:val="24"/>
          <w:szCs w:val="24"/>
          <w:lang/>
        </w:rPr>
        <w:t>{Пункт 231.7 статті 231 доповнено абзацом десятим згідно із Законом </w:t>
      </w:r>
      <w:hyperlink r:id="rId4271"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24F95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7" w:name="n16025"/>
      <w:bookmarkEnd w:id="7567"/>
      <w:r w:rsidRPr="008B264B">
        <w:rPr>
          <w:rFonts w:ascii="Times New Roman" w:eastAsia="Times New Roman" w:hAnsi="Times New Roman" w:cs="Times New Roman"/>
          <w:color w:val="000000"/>
          <w:sz w:val="24"/>
          <w:szCs w:val="24"/>
          <w:lang/>
        </w:rPr>
        <w:t>особою, яка реалізує пальне або спирт етиловий, - розрахунок коригування, складений в одному примірнику;</w:t>
      </w:r>
    </w:p>
    <w:p w14:paraId="621897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8" w:name="n16027"/>
      <w:bookmarkEnd w:id="7568"/>
      <w:r w:rsidRPr="008B264B">
        <w:rPr>
          <w:rFonts w:ascii="Times New Roman" w:eastAsia="Times New Roman" w:hAnsi="Times New Roman" w:cs="Times New Roman"/>
          <w:i/>
          <w:iCs/>
          <w:color w:val="000000"/>
          <w:sz w:val="24"/>
          <w:szCs w:val="24"/>
          <w:lang/>
        </w:rPr>
        <w:lastRenderedPageBreak/>
        <w:t>{Пункт 231.7 статті 231 доповнено абзацом одинадцятим згідно із Законом </w:t>
      </w:r>
      <w:hyperlink r:id="rId4272"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46706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69" w:name="n16026"/>
      <w:bookmarkEnd w:id="7569"/>
      <w:r w:rsidRPr="008B264B">
        <w:rPr>
          <w:rFonts w:ascii="Times New Roman" w:eastAsia="Times New Roman" w:hAnsi="Times New Roman" w:cs="Times New Roman"/>
          <w:color w:val="000000"/>
          <w:sz w:val="24"/>
          <w:szCs w:val="24"/>
          <w:lang/>
        </w:rPr>
        <w:t>отримувачем пального або спирту етилового - розрахунок коригування, складений у двох примірниках.</w:t>
      </w:r>
    </w:p>
    <w:p w14:paraId="5F7B66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0" w:name="n16019"/>
      <w:bookmarkEnd w:id="7570"/>
      <w:r w:rsidRPr="008B264B">
        <w:rPr>
          <w:rFonts w:ascii="Times New Roman" w:eastAsia="Times New Roman" w:hAnsi="Times New Roman" w:cs="Times New Roman"/>
          <w:i/>
          <w:iCs/>
          <w:color w:val="000000"/>
          <w:sz w:val="24"/>
          <w:szCs w:val="24"/>
          <w:lang/>
        </w:rPr>
        <w:t>{Пункт 231.7 статті 231 доповнено абзацом дванадцятим згідно із Законом </w:t>
      </w:r>
      <w:hyperlink r:id="rId4273" w:anchor="n17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C18C3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1" w:name="n15707"/>
      <w:bookmarkEnd w:id="7571"/>
      <w:r w:rsidRPr="008B264B">
        <w:rPr>
          <w:rFonts w:ascii="Times New Roman" w:eastAsia="Times New Roman" w:hAnsi="Times New Roman" w:cs="Times New Roman"/>
          <w:i/>
          <w:iCs/>
          <w:color w:val="000000"/>
          <w:sz w:val="24"/>
          <w:szCs w:val="24"/>
          <w:lang/>
        </w:rPr>
        <w:t>{Пункт 231.7 статті 231 із змінами, внесеними згідно із Законом </w:t>
      </w:r>
      <w:hyperlink r:id="rId4274" w:anchor="n49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D13AE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2" w:name="n13207"/>
      <w:bookmarkEnd w:id="7572"/>
      <w:r w:rsidRPr="008B264B">
        <w:rPr>
          <w:rFonts w:ascii="Times New Roman" w:eastAsia="Times New Roman" w:hAnsi="Times New Roman" w:cs="Times New Roman"/>
          <w:color w:val="000000"/>
          <w:sz w:val="24"/>
          <w:szCs w:val="24"/>
          <w:lang/>
        </w:rPr>
        <w:t>231.8. Єдиний реєстр акцизних накладних працює постійно (24 години щоденно), крім часу, необхідного для його технічного обслуговування.</w:t>
      </w:r>
    </w:p>
    <w:p w14:paraId="7711A5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3" w:name="n15711"/>
      <w:bookmarkEnd w:id="7573"/>
      <w:r w:rsidRPr="008B264B">
        <w:rPr>
          <w:rFonts w:ascii="Times New Roman" w:eastAsia="Times New Roman" w:hAnsi="Times New Roman" w:cs="Times New Roman"/>
          <w:color w:val="000000"/>
          <w:sz w:val="24"/>
          <w:szCs w:val="24"/>
          <w:lang/>
        </w:rPr>
        <w:t>Технічне обслуговування Єдиного реєстру акцизних накладних проводиться у часові проміжки з незначною кількістю реєстрації акцизних накладних/розрахунків коригування.</w:t>
      </w:r>
    </w:p>
    <w:p w14:paraId="7B02F8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4" w:name="n15712"/>
      <w:bookmarkEnd w:id="7574"/>
      <w:r w:rsidRPr="008B264B">
        <w:rPr>
          <w:rFonts w:ascii="Times New Roman" w:eastAsia="Times New Roman" w:hAnsi="Times New Roman" w:cs="Times New Roman"/>
          <w:color w:val="000000"/>
          <w:sz w:val="24"/>
          <w:szCs w:val="24"/>
          <w:lang/>
        </w:rPr>
        <w:t>Інформація про запланований час технічного обслуговування Єдиного реєстру акцизних накладних розміщується на офіційному веб-сайті центрального органу виконавчої влади, що реалізує державну податкову та митну політику, не пізніше ніж за 24 години до початку проведення технічного обслуговування.</w:t>
      </w:r>
    </w:p>
    <w:bookmarkStart w:id="7575" w:name="n15713"/>
    <w:bookmarkEnd w:id="7575"/>
    <w:p w14:paraId="3BF779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"https://zakon.rada.gov.ua/laws/show/114-2016-%D0%BF" \l "n9"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ведення Єдиного реєстру акцизних накладних</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Кабінетом Міністрів України.</w:t>
      </w:r>
    </w:p>
    <w:p w14:paraId="200811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6" w:name="n15710"/>
      <w:bookmarkEnd w:id="7576"/>
      <w:r w:rsidRPr="008B264B">
        <w:rPr>
          <w:rFonts w:ascii="Times New Roman" w:eastAsia="Times New Roman" w:hAnsi="Times New Roman" w:cs="Times New Roman"/>
          <w:i/>
          <w:iCs/>
          <w:color w:val="000000"/>
          <w:sz w:val="24"/>
          <w:szCs w:val="24"/>
          <w:lang/>
        </w:rPr>
        <w:t>{Пункт 231.8 статті 231 в редакції Закону </w:t>
      </w:r>
      <w:hyperlink r:id="rId4275" w:anchor="n50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083E5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7" w:name="n13208"/>
      <w:bookmarkEnd w:id="7577"/>
      <w:r w:rsidRPr="008B264B">
        <w:rPr>
          <w:rFonts w:ascii="Times New Roman" w:eastAsia="Times New Roman" w:hAnsi="Times New Roman" w:cs="Times New Roman"/>
          <w:color w:val="000000"/>
          <w:sz w:val="24"/>
          <w:szCs w:val="24"/>
          <w:lang/>
        </w:rPr>
        <w:t>231.9. Виявлення розбіжностей даних декларацій з акцизного податку платника податків та даних Єдиного реєстру акцизних накладних є підставою для проведення контролюючими органами документальної позапланової виїзної перевірки особи, яка реалізує пальне або спирт етиловий, та у відповідних випадках отримувача пального або спирту етилового.</w:t>
      </w:r>
    </w:p>
    <w:p w14:paraId="0F1423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8" w:name="n15715"/>
      <w:bookmarkEnd w:id="7578"/>
      <w:r w:rsidRPr="008B264B">
        <w:rPr>
          <w:rFonts w:ascii="Times New Roman" w:eastAsia="Times New Roman" w:hAnsi="Times New Roman" w:cs="Times New Roman"/>
          <w:i/>
          <w:iCs/>
          <w:color w:val="000000"/>
          <w:sz w:val="24"/>
          <w:szCs w:val="24"/>
          <w:lang/>
        </w:rPr>
        <w:t>{Пункт 231.9 статті 231 із змінами, внесеними згідно із Законом </w:t>
      </w:r>
      <w:hyperlink r:id="rId4276" w:anchor="n50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29800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79" w:name="n13209"/>
      <w:bookmarkEnd w:id="7579"/>
      <w:r w:rsidRPr="008B264B">
        <w:rPr>
          <w:rFonts w:ascii="Times New Roman" w:eastAsia="Times New Roman" w:hAnsi="Times New Roman" w:cs="Times New Roman"/>
          <w:color w:val="000000"/>
          <w:sz w:val="24"/>
          <w:szCs w:val="24"/>
          <w:lang/>
        </w:rPr>
        <w:t>231.10. У разі порушення особою, яка реалізує пальне або спирт етиловий, порядку заповнення та/або порядку реєстрації акцизної накладної в Єдиному реєстрі акцизних накладних отримувач пального або спирту етилового має право протягом 60 календарних днів, що настають за днем реалізації пального або спирту етилового, подати до контролюючого органу заяву із скаргою на таку особу, яка реалізує пальне або спирт етиловий. До заяви додаються копії первинних документів, складених відповідно до </w:t>
      </w:r>
      <w:hyperlink r:id="rId4277"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бухгалтерський облік та фінансову звітність в Україні", що підтверджують факт отримання такого пального або спирту етилового, або додаткові письмові пояснення суб’єкта господарювання, який фактично не отримував пальне або спирт етиловий, але зазначений в акцизній накладній, зареєстрованій в Єдиному реєстрі акцизних накладних, як отримувач пального або спирту етилового.</w:t>
      </w:r>
    </w:p>
    <w:p w14:paraId="6C4F4A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0" w:name="n15716"/>
      <w:bookmarkEnd w:id="7580"/>
      <w:r w:rsidRPr="008B264B">
        <w:rPr>
          <w:rFonts w:ascii="Times New Roman" w:eastAsia="Times New Roman" w:hAnsi="Times New Roman" w:cs="Times New Roman"/>
          <w:i/>
          <w:iCs/>
          <w:color w:val="000000"/>
          <w:sz w:val="24"/>
          <w:szCs w:val="24"/>
          <w:lang/>
        </w:rPr>
        <w:t>{Абзац перший пункту 231.10 статті 231 із змінами, внесеними згідно із Законом </w:t>
      </w:r>
      <w:hyperlink r:id="rId4278" w:anchor="n50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8EDF9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1" w:name="n13210"/>
      <w:bookmarkEnd w:id="7581"/>
      <w:r w:rsidRPr="008B264B">
        <w:rPr>
          <w:rFonts w:ascii="Times New Roman" w:eastAsia="Times New Roman" w:hAnsi="Times New Roman" w:cs="Times New Roman"/>
          <w:color w:val="000000"/>
          <w:sz w:val="24"/>
          <w:szCs w:val="24"/>
          <w:lang/>
        </w:rPr>
        <w:t>Надходження такої заяви із скаргою є підставою для проведення документальної позапланової виїзної перевірки зазначеної особи, яка реалізує пальне або спирт етиловий.</w:t>
      </w:r>
    </w:p>
    <w:p w14:paraId="1C8D1B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2" w:name="n15717"/>
      <w:bookmarkEnd w:id="7582"/>
      <w:r w:rsidRPr="008B264B">
        <w:rPr>
          <w:rFonts w:ascii="Times New Roman" w:eastAsia="Times New Roman" w:hAnsi="Times New Roman" w:cs="Times New Roman"/>
          <w:i/>
          <w:iCs/>
          <w:color w:val="000000"/>
          <w:sz w:val="24"/>
          <w:szCs w:val="24"/>
          <w:lang/>
        </w:rPr>
        <w:t>{Абзац другий пункту 231.10 статті 231 із змінами, внесеними згідно із Законом </w:t>
      </w:r>
      <w:hyperlink r:id="rId4279" w:anchor="n51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C68C5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3" w:name="n13254"/>
      <w:bookmarkEnd w:id="7583"/>
      <w:r w:rsidRPr="008B264B">
        <w:rPr>
          <w:rFonts w:ascii="Times New Roman" w:eastAsia="Times New Roman" w:hAnsi="Times New Roman" w:cs="Times New Roman"/>
          <w:i/>
          <w:iCs/>
          <w:color w:val="000000"/>
          <w:sz w:val="24"/>
          <w:szCs w:val="24"/>
          <w:lang/>
        </w:rPr>
        <w:t>{Кодекс доповнено статтею 231 згідно із Законом </w:t>
      </w:r>
      <w:hyperlink r:id="rId4280" w:anchor="n41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 зміна щодо запровадження акцизних накладних при реалізації пального, Єдиного реєстру акцизних накладних та системи електронного адміністрування реалізації пального набирає чинності з 1 березня 2016 року - див. </w:t>
      </w:r>
      <w:hyperlink r:id="rId4281" w:anchor="n746"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909-VIII від 24.12.2015}</w:t>
      </w:r>
    </w:p>
    <w:p w14:paraId="0A6F8D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4" w:name="n13211"/>
      <w:bookmarkEnd w:id="7584"/>
      <w:r w:rsidRPr="008B264B">
        <w:rPr>
          <w:rFonts w:ascii="Times New Roman" w:eastAsia="Times New Roman" w:hAnsi="Times New Roman" w:cs="Times New Roman"/>
          <w:b/>
          <w:bCs/>
          <w:color w:val="000000"/>
          <w:sz w:val="24"/>
          <w:szCs w:val="24"/>
          <w:lang/>
        </w:rPr>
        <w:t>Стаття 232.</w:t>
      </w:r>
      <w:r w:rsidRPr="008B264B">
        <w:rPr>
          <w:rFonts w:ascii="Times New Roman" w:eastAsia="Times New Roman" w:hAnsi="Times New Roman" w:cs="Times New Roman"/>
          <w:color w:val="000000"/>
          <w:sz w:val="24"/>
          <w:szCs w:val="24"/>
          <w:lang/>
        </w:rPr>
        <w:t> Електронне адміністрування реалізації пального та спирту етилового</w:t>
      </w:r>
    </w:p>
    <w:p w14:paraId="749690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5" w:name="n15718"/>
      <w:bookmarkEnd w:id="7585"/>
      <w:r w:rsidRPr="008B264B">
        <w:rPr>
          <w:rFonts w:ascii="Times New Roman" w:eastAsia="Times New Roman" w:hAnsi="Times New Roman" w:cs="Times New Roman"/>
          <w:i/>
          <w:iCs/>
          <w:color w:val="000000"/>
          <w:sz w:val="24"/>
          <w:szCs w:val="24"/>
          <w:lang/>
        </w:rPr>
        <w:lastRenderedPageBreak/>
        <w:t>{Назва статті 232 із змінами, внесеними згідно із Законом </w:t>
      </w:r>
      <w:hyperlink r:id="rId4282" w:anchor="n51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F447B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6" w:name="n13212"/>
      <w:bookmarkEnd w:id="7586"/>
      <w:r w:rsidRPr="008B264B">
        <w:rPr>
          <w:rFonts w:ascii="Times New Roman" w:eastAsia="Times New Roman" w:hAnsi="Times New Roman" w:cs="Times New Roman"/>
          <w:color w:val="000000"/>
          <w:sz w:val="24"/>
          <w:szCs w:val="24"/>
          <w:lang/>
        </w:rPr>
        <w:t>232.1. У системі електронного адміністрування реалізації пального та спирту етилового в розрізі платників податку - розпорядників акцизних складів/акцизних складів пересувних та акцизних складів/акцизних складів пересувних за кожним кодом товарної підкатегорії згідно з </w:t>
      </w:r>
      <w:hyperlink r:id="rId428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умовним кодом ведеться окремо облік обсягів пального або спирту етилового, що:</w:t>
      </w:r>
    </w:p>
    <w:p w14:paraId="113426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7" w:name="n16033"/>
      <w:bookmarkEnd w:id="7587"/>
      <w:r w:rsidRPr="008B264B">
        <w:rPr>
          <w:rFonts w:ascii="Times New Roman" w:eastAsia="Times New Roman" w:hAnsi="Times New Roman" w:cs="Times New Roman"/>
          <w:i/>
          <w:iCs/>
          <w:color w:val="000000"/>
          <w:sz w:val="24"/>
          <w:szCs w:val="24"/>
          <w:lang/>
        </w:rPr>
        <w:t>{Абзац перший пункту 232.1 статті 232 із змінами, внесеними згідно із Законом </w:t>
      </w:r>
      <w:hyperlink r:id="rId4284" w:anchor="n18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8A2FB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8" w:name="n15720"/>
      <w:bookmarkEnd w:id="7588"/>
      <w:r w:rsidRPr="008B264B">
        <w:rPr>
          <w:rFonts w:ascii="Times New Roman" w:eastAsia="Times New Roman" w:hAnsi="Times New Roman" w:cs="Times New Roman"/>
          <w:color w:val="000000"/>
          <w:sz w:val="24"/>
          <w:szCs w:val="24"/>
          <w:lang/>
        </w:rPr>
        <w:t>оподатковуються акцизним податком, у тому числі окремо за кожною відмінною ставкою податку;</w:t>
      </w:r>
    </w:p>
    <w:p w14:paraId="3F8745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89" w:name="n15721"/>
      <w:bookmarkEnd w:id="7589"/>
      <w:r w:rsidRPr="008B264B">
        <w:rPr>
          <w:rFonts w:ascii="Times New Roman" w:eastAsia="Times New Roman" w:hAnsi="Times New Roman" w:cs="Times New Roman"/>
          <w:color w:val="000000"/>
          <w:sz w:val="24"/>
          <w:szCs w:val="24"/>
          <w:lang/>
        </w:rPr>
        <w:t>оподатковуються на умовах, встановлених </w:t>
      </w:r>
      <w:hyperlink r:id="rId4285"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w:t>
      </w:r>
    </w:p>
    <w:p w14:paraId="43729C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0" w:name="n15722"/>
      <w:bookmarkEnd w:id="7590"/>
      <w:r w:rsidRPr="008B264B">
        <w:rPr>
          <w:rFonts w:ascii="Times New Roman" w:eastAsia="Times New Roman" w:hAnsi="Times New Roman" w:cs="Times New Roman"/>
          <w:color w:val="000000"/>
          <w:sz w:val="24"/>
          <w:szCs w:val="24"/>
          <w:lang/>
        </w:rPr>
        <w:t>не підлягають оподаткуванню;</w:t>
      </w:r>
    </w:p>
    <w:p w14:paraId="1EDF8C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1" w:name="n15723"/>
      <w:bookmarkEnd w:id="7591"/>
      <w:r w:rsidRPr="008B264B">
        <w:rPr>
          <w:rFonts w:ascii="Times New Roman" w:eastAsia="Times New Roman" w:hAnsi="Times New Roman" w:cs="Times New Roman"/>
          <w:color w:val="000000"/>
          <w:sz w:val="24"/>
          <w:szCs w:val="24"/>
          <w:lang/>
        </w:rPr>
        <w:t>звільняються від оподаткування.</w:t>
      </w:r>
    </w:p>
    <w:p w14:paraId="010D81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2" w:name="n15724"/>
      <w:bookmarkEnd w:id="7592"/>
      <w:r w:rsidRPr="008B264B">
        <w:rPr>
          <w:rFonts w:ascii="Times New Roman" w:eastAsia="Times New Roman" w:hAnsi="Times New Roman" w:cs="Times New Roman"/>
          <w:color w:val="000000"/>
          <w:sz w:val="24"/>
          <w:szCs w:val="24"/>
          <w:lang/>
        </w:rPr>
        <w:t>Обсяги ввезеного на митну територію України пального або спирту етилового обліковуються в системі електронного адміністрування реалізації пального та спирту етилового в такій послідовності:</w:t>
      </w:r>
    </w:p>
    <w:p w14:paraId="7E2198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3" w:name="n15725"/>
      <w:bookmarkEnd w:id="7593"/>
      <w:r w:rsidRPr="008B264B">
        <w:rPr>
          <w:rFonts w:ascii="Times New Roman" w:eastAsia="Times New Roman" w:hAnsi="Times New Roman" w:cs="Times New Roman"/>
          <w:color w:val="000000"/>
          <w:sz w:val="24"/>
          <w:szCs w:val="24"/>
          <w:lang/>
        </w:rPr>
        <w:t>1) зараховуються автоматично на підставі оформлених належним чином митних декларацій у розрізі платників податку та умов оподаткування пального або спирту етилового за кожним кодом товарної підкатегорії згідно з </w:t>
      </w:r>
      <w:hyperlink r:id="rId4286"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69D507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4" w:name="n15726"/>
      <w:bookmarkEnd w:id="7594"/>
      <w:r w:rsidRPr="008B264B">
        <w:rPr>
          <w:rFonts w:ascii="Times New Roman" w:eastAsia="Times New Roman" w:hAnsi="Times New Roman" w:cs="Times New Roman"/>
          <w:color w:val="000000"/>
          <w:sz w:val="24"/>
          <w:szCs w:val="24"/>
          <w:lang/>
        </w:rPr>
        <w:t>2) розподіляються між акцизними складами пересувними, що використовуються під час такого ввезення, або акцизними складами, які є ліцензійними митними складами, на яких здійснюється митне оформлення, на підставі акцизних накладних, зареєстрованих в Єдиному реєстрі акцизних накладних, складених платником податку - розпорядником таких акцизних складів пересувних/акцизних складів.</w:t>
      </w:r>
    </w:p>
    <w:p w14:paraId="2C9ACC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5" w:name="n16034"/>
      <w:bookmarkEnd w:id="7595"/>
      <w:r w:rsidRPr="008B264B">
        <w:rPr>
          <w:rFonts w:ascii="Times New Roman" w:eastAsia="Times New Roman" w:hAnsi="Times New Roman" w:cs="Times New Roman"/>
          <w:i/>
          <w:iCs/>
          <w:color w:val="000000"/>
          <w:sz w:val="24"/>
          <w:szCs w:val="24"/>
          <w:lang/>
        </w:rPr>
        <w:t>{Абзац восьмий пункту 232.1 статті 232 із змінами, внесеними згідно із Законом </w:t>
      </w:r>
      <w:hyperlink r:id="rId4287" w:anchor="n18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996B0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6" w:name="n15727"/>
      <w:bookmarkEnd w:id="7596"/>
      <w:r w:rsidRPr="008B264B">
        <w:rPr>
          <w:rFonts w:ascii="Times New Roman" w:eastAsia="Times New Roman" w:hAnsi="Times New Roman" w:cs="Times New Roman"/>
          <w:color w:val="000000"/>
          <w:sz w:val="24"/>
          <w:szCs w:val="24"/>
          <w:lang/>
        </w:rPr>
        <w:t>Ведення обліку обсягів пального або спирту етилового у системі електронного адміністрування реалізації пального та спирту етилового здійснює центральний орган виконавчої влади, що реалізує державну податкову політику.</w:t>
      </w:r>
    </w:p>
    <w:p w14:paraId="34EF08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7" w:name="n16035"/>
      <w:bookmarkEnd w:id="7597"/>
      <w:r w:rsidRPr="008B264B">
        <w:rPr>
          <w:rFonts w:ascii="Times New Roman" w:eastAsia="Times New Roman" w:hAnsi="Times New Roman" w:cs="Times New Roman"/>
          <w:i/>
          <w:iCs/>
          <w:color w:val="000000"/>
          <w:sz w:val="24"/>
          <w:szCs w:val="24"/>
          <w:lang/>
        </w:rPr>
        <w:t>{Абзац дев'ятий пункту 232.1 статті 232 із змінами, внесеними згідно із Законом </w:t>
      </w:r>
      <w:hyperlink r:id="rId4288" w:anchor="n18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112BC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8" w:name="n16038"/>
      <w:bookmarkEnd w:id="7598"/>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податкову політику, розміщує на своєму офіційному веб-сайті відомості щодо зареєстрованих у системі електронного адміністрування реалізації пального та спирту етилового акцизних складів з уніфікованими номерами та адресами їх місцезнаходження.</w:t>
      </w:r>
    </w:p>
    <w:p w14:paraId="56C5D0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599" w:name="n16037"/>
      <w:bookmarkEnd w:id="7599"/>
      <w:r w:rsidRPr="008B264B">
        <w:rPr>
          <w:rFonts w:ascii="Times New Roman" w:eastAsia="Times New Roman" w:hAnsi="Times New Roman" w:cs="Times New Roman"/>
          <w:i/>
          <w:iCs/>
          <w:color w:val="000000"/>
          <w:sz w:val="24"/>
          <w:szCs w:val="24"/>
          <w:lang/>
        </w:rPr>
        <w:t>{Пункт 232.1 статті 232 доповнено новим абзацом згідно із Законом </w:t>
      </w:r>
      <w:hyperlink r:id="rId4289" w:anchor="n187"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DE5A0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0" w:name="n15728"/>
      <w:bookmarkEnd w:id="7600"/>
      <w:r w:rsidRPr="008B264B">
        <w:rPr>
          <w:rFonts w:ascii="Times New Roman" w:eastAsia="Times New Roman" w:hAnsi="Times New Roman" w:cs="Times New Roman"/>
          <w:color w:val="000000"/>
          <w:sz w:val="24"/>
          <w:szCs w:val="24"/>
          <w:lang/>
        </w:rPr>
        <w:t>Одиницею обліку обсягів пального в системі електронного адміністрування реалізації пального та спирту етилового є літри, приведені до температури 15° C, - для пального та декалітри 100-відсоткового спирту, приведені до температури 20° C, - для спирту етилового. При цьому відпущені літри в місцях роздрібної торгівлі пальним, на які отримано ліцензію на право роздрібної торгівлі пальним, для цілей цього розділу вважаються як літри, приведені до температури 15° C. Такі одиниці обліку для пального та спирту етилового повинні використовуватися в первинних бухгалтерських документах, акцизних накладних/розрахунках коригування до акцизних накладних, декларації з акцизного податку.</w:t>
      </w:r>
    </w:p>
    <w:p w14:paraId="6D3BDD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1" w:name="n15729"/>
      <w:bookmarkEnd w:id="7601"/>
      <w:r w:rsidRPr="008B264B">
        <w:rPr>
          <w:rFonts w:ascii="Times New Roman" w:eastAsia="Times New Roman" w:hAnsi="Times New Roman" w:cs="Times New Roman"/>
          <w:color w:val="000000"/>
          <w:sz w:val="24"/>
          <w:szCs w:val="24"/>
          <w:lang/>
        </w:rPr>
        <w:lastRenderedPageBreak/>
        <w:t>Система електронного адміністрування реалізації пального та спирту етилового забезпечує автоматичний облік у розрізі платників податку - розпорядників акцизних складів/акцизних складів пересувних за кожним кодом товарної підкатегорії згідно з </w:t>
      </w:r>
      <w:hyperlink r:id="rId429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2CA148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2" w:name="n15730"/>
      <w:bookmarkEnd w:id="7602"/>
      <w:r w:rsidRPr="008B264B">
        <w:rPr>
          <w:rFonts w:ascii="Times New Roman" w:eastAsia="Times New Roman" w:hAnsi="Times New Roman" w:cs="Times New Roman"/>
          <w:color w:val="000000"/>
          <w:sz w:val="24"/>
          <w:szCs w:val="24"/>
          <w:lang/>
        </w:rPr>
        <w:t>обсягів пального або спирту етилового в розрізі акцизних складів/акцизних складів пересувних, що містяться у виданих та отриманих акцизних накладних та розрахунках коригування, зареєстрованих в Єдиному реєстрі акцизних накладних;</w:t>
      </w:r>
    </w:p>
    <w:p w14:paraId="42760D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3" w:name="n15731"/>
      <w:bookmarkEnd w:id="7603"/>
      <w:r w:rsidRPr="008B264B">
        <w:rPr>
          <w:rFonts w:ascii="Times New Roman" w:eastAsia="Times New Roman" w:hAnsi="Times New Roman" w:cs="Times New Roman"/>
          <w:color w:val="000000"/>
          <w:sz w:val="24"/>
          <w:szCs w:val="24"/>
          <w:lang/>
        </w:rPr>
        <w:t>обсягів пального або спирту етилового, виробленого на митній території України або ввезеного на митну територію України, з яких сплачено акцизний податок, які оподатковуються на умовах, встановлених </w:t>
      </w:r>
      <w:hyperlink r:id="rId4291"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не підлягають оподаткуванню або звільняються від оподаткування в розрізі акцизних складів/акцизних складів пересувних;</w:t>
      </w:r>
    </w:p>
    <w:p w14:paraId="45E524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4" w:name="n15732"/>
      <w:bookmarkEnd w:id="7604"/>
      <w:r w:rsidRPr="008B264B">
        <w:rPr>
          <w:rFonts w:ascii="Times New Roman" w:eastAsia="Times New Roman" w:hAnsi="Times New Roman" w:cs="Times New Roman"/>
          <w:color w:val="000000"/>
          <w:sz w:val="24"/>
          <w:szCs w:val="24"/>
          <w:lang/>
        </w:rPr>
        <w:t>обсягів пального або спирту етилового, на які платники податку зареєстрували заявки на поповнення обсягів залишку пального або спирту етилового за рахунок коштів, сплачених до бюджету, в системі електронного адміністрування реалізації пального та спирту етилового в розрізі акцизних складів/акцизних складів пересувних;</w:t>
      </w:r>
    </w:p>
    <w:p w14:paraId="02A724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5" w:name="n15733"/>
      <w:bookmarkEnd w:id="7605"/>
      <w:r w:rsidRPr="008B264B">
        <w:rPr>
          <w:rFonts w:ascii="Times New Roman" w:eastAsia="Times New Roman" w:hAnsi="Times New Roman" w:cs="Times New Roman"/>
          <w:color w:val="000000"/>
          <w:sz w:val="24"/>
          <w:szCs w:val="24"/>
          <w:lang/>
        </w:rPr>
        <w:t>сум сплаченого акцизного податку, за рахунок яких платники податку можуть зареєструвати заявки на поповнення обсягів залишку пального та спирту етилового;</w:t>
      </w:r>
    </w:p>
    <w:p w14:paraId="611F1D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6" w:name="n15734"/>
      <w:bookmarkEnd w:id="7606"/>
      <w:r w:rsidRPr="008B264B">
        <w:rPr>
          <w:rFonts w:ascii="Times New Roman" w:eastAsia="Times New Roman" w:hAnsi="Times New Roman" w:cs="Times New Roman"/>
          <w:color w:val="000000"/>
          <w:sz w:val="24"/>
          <w:szCs w:val="24"/>
          <w:lang/>
        </w:rPr>
        <w:t>обсягів залишків пального або спирту етилового в розрізі акцизних складів/акцизних складів пересувних, на які платники податку мають право зареєструвати акцизні накладні та розрахунки коригування в Єдиному реєстрі акцизних накладних.</w:t>
      </w:r>
    </w:p>
    <w:p w14:paraId="01C63C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7" w:name="n15735"/>
      <w:bookmarkEnd w:id="7607"/>
      <w:r w:rsidRPr="008B264B">
        <w:rPr>
          <w:rFonts w:ascii="Times New Roman" w:eastAsia="Times New Roman" w:hAnsi="Times New Roman" w:cs="Times New Roman"/>
          <w:color w:val="000000"/>
          <w:sz w:val="24"/>
          <w:szCs w:val="24"/>
          <w:lang/>
        </w:rPr>
        <w:t>Система електронного адміністрування реалізації пального та спирту етилового працює постійно (24 години щоденно), крім часу, необхідного для її технічного обслуговування.</w:t>
      </w:r>
    </w:p>
    <w:p w14:paraId="2D0535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8" w:name="n15736"/>
      <w:bookmarkEnd w:id="7608"/>
      <w:r w:rsidRPr="008B264B">
        <w:rPr>
          <w:rFonts w:ascii="Times New Roman" w:eastAsia="Times New Roman" w:hAnsi="Times New Roman" w:cs="Times New Roman"/>
          <w:color w:val="000000"/>
          <w:sz w:val="24"/>
          <w:szCs w:val="24"/>
          <w:lang/>
        </w:rPr>
        <w:t>Технічне обслуговування системи електронного адміністрування реалізації пального та спирту етилового проводиться у часові проміжки з незначною кількістю звернень до неї платників акцизного податку.</w:t>
      </w:r>
    </w:p>
    <w:p w14:paraId="3BE68C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09" w:name="n15737"/>
      <w:bookmarkEnd w:id="7609"/>
      <w:r w:rsidRPr="008B264B">
        <w:rPr>
          <w:rFonts w:ascii="Times New Roman" w:eastAsia="Times New Roman" w:hAnsi="Times New Roman" w:cs="Times New Roman"/>
          <w:color w:val="000000"/>
          <w:sz w:val="24"/>
          <w:szCs w:val="24"/>
          <w:lang/>
        </w:rPr>
        <w:t>Інформація про запланований час технічного обслуговування cистеми електронного адміністрування реалізації пального та спирту етилового розміщується на офіційному веб-сайті центрального органу виконавчої влади, що реалізує державну податкову політику, не пізніше ніж за 24 години до початку проведення технічного обслуговування.</w:t>
      </w:r>
    </w:p>
    <w:p w14:paraId="16A3FC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0" w:name="n16036"/>
      <w:bookmarkEnd w:id="7610"/>
      <w:r w:rsidRPr="008B264B">
        <w:rPr>
          <w:rFonts w:ascii="Times New Roman" w:eastAsia="Times New Roman" w:hAnsi="Times New Roman" w:cs="Times New Roman"/>
          <w:i/>
          <w:iCs/>
          <w:color w:val="000000"/>
          <w:sz w:val="24"/>
          <w:szCs w:val="24"/>
          <w:lang/>
        </w:rPr>
        <w:t>{Абзац пункту 232.1 статті 232 із змінами, внесеними згідно із Законом </w:t>
      </w:r>
      <w:hyperlink r:id="rId4292" w:anchor="n18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bookmarkStart w:id="7611" w:name="n15738"/>
    <w:bookmarkEnd w:id="7611"/>
    <w:p w14:paraId="2C0DC7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"https://zakon.rada.gov.ua/laws/show/113-2016-%D0%BF" \l "n14"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електронного адміністрування реалізації пального</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та спирту етилового та реєстрації платників податків - розпорядників акцизних складів/акцизних складів пересувних, акцизних складів/акцизних складів пересувних у системі електронного адміністрування реалізації пального та спирту етилового встановлюється Кабінетом Міністрів України.</w:t>
      </w:r>
    </w:p>
    <w:p w14:paraId="27A877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2" w:name="n15719"/>
      <w:bookmarkEnd w:id="7612"/>
      <w:r w:rsidRPr="008B264B">
        <w:rPr>
          <w:rFonts w:ascii="Times New Roman" w:eastAsia="Times New Roman" w:hAnsi="Times New Roman" w:cs="Times New Roman"/>
          <w:i/>
          <w:iCs/>
          <w:color w:val="000000"/>
          <w:sz w:val="24"/>
          <w:szCs w:val="24"/>
          <w:lang/>
        </w:rPr>
        <w:t>{Пункт 232.1 статті 232 в редакції Закону </w:t>
      </w:r>
      <w:hyperlink r:id="rId4293" w:anchor="n51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4F251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3" w:name="n13222"/>
      <w:bookmarkEnd w:id="7613"/>
      <w:r w:rsidRPr="008B264B">
        <w:rPr>
          <w:rFonts w:ascii="Times New Roman" w:eastAsia="Times New Roman" w:hAnsi="Times New Roman" w:cs="Times New Roman"/>
          <w:color w:val="000000"/>
          <w:sz w:val="24"/>
          <w:szCs w:val="24"/>
          <w:lang/>
        </w:rPr>
        <w:t>232.2. Платникам акцизного податку автоматично відкриваються облікові картки в системі електронного адміністрування реалізації пального та спирту етилового за кожним кодом товарної підкатегорії згідно з </w:t>
      </w:r>
      <w:hyperlink r:id="rId4294"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5F3D95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4" w:name="n15739"/>
      <w:bookmarkEnd w:id="7614"/>
      <w:r w:rsidRPr="008B264B">
        <w:rPr>
          <w:rFonts w:ascii="Times New Roman" w:eastAsia="Times New Roman" w:hAnsi="Times New Roman" w:cs="Times New Roman"/>
          <w:i/>
          <w:iCs/>
          <w:color w:val="000000"/>
          <w:sz w:val="24"/>
          <w:szCs w:val="24"/>
          <w:lang/>
        </w:rPr>
        <w:t>{Пункт 232.2 статті 232 із змінами, внесеними згідно із Законом </w:t>
      </w:r>
      <w:hyperlink r:id="rId4295" w:anchor="n53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89DA7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5" w:name="n13223"/>
      <w:bookmarkEnd w:id="7615"/>
      <w:r w:rsidRPr="008B264B">
        <w:rPr>
          <w:rFonts w:ascii="Times New Roman" w:eastAsia="Times New Roman" w:hAnsi="Times New Roman" w:cs="Times New Roman"/>
          <w:color w:val="000000"/>
          <w:sz w:val="24"/>
          <w:szCs w:val="24"/>
          <w:lang/>
        </w:rPr>
        <w:t>232.3. Платник податку має право зареєструвати акцизні накладні та/або розрахунки коригування, а також коригування до заявок на поповнення обсягу залишку пального або спирту етилового в Єдиному реєстрі акцизних накладних на обсяг реалізованого пального або спирту етилового за кожним кодом товарної підкатегорії згідно з </w:t>
      </w:r>
      <w:hyperlink r:id="rId4296"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 обчислений за такою формулою:</w:t>
      </w:r>
    </w:p>
    <w:p w14:paraId="331F27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6" w:name="n15740"/>
      <w:bookmarkEnd w:id="7616"/>
      <w:r w:rsidRPr="008B264B">
        <w:rPr>
          <w:rFonts w:ascii="Times New Roman" w:eastAsia="Times New Roman" w:hAnsi="Times New Roman" w:cs="Times New Roman"/>
          <w:i/>
          <w:iCs/>
          <w:color w:val="000000"/>
          <w:sz w:val="24"/>
          <w:szCs w:val="24"/>
          <w:lang/>
        </w:rPr>
        <w:lastRenderedPageBreak/>
        <w:t>{Абзац перший пункту 232.3 статті 232 із змінами, внесеними згідно із Законом </w:t>
      </w:r>
      <w:hyperlink r:id="rId4297" w:anchor="n53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D3251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7" w:name="n13224"/>
      <w:bookmarkEnd w:id="7617"/>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АМитн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ЗаявкиПоповн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КоригЗаявкиПоповн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АНаклВид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Втрат -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АМитнЕкспорт,</w:t>
      </w:r>
    </w:p>
    <w:p w14:paraId="1E75B6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8" w:name="n15741"/>
      <w:bookmarkEnd w:id="7618"/>
      <w:r w:rsidRPr="008B264B">
        <w:rPr>
          <w:rFonts w:ascii="Times New Roman" w:eastAsia="Times New Roman" w:hAnsi="Times New Roman" w:cs="Times New Roman"/>
          <w:i/>
          <w:iCs/>
          <w:color w:val="000000"/>
          <w:sz w:val="24"/>
          <w:szCs w:val="24"/>
          <w:lang/>
        </w:rPr>
        <w:t>{Абзац другий пункту 232.3 статті 232 із змінами, внесеними згідно із Законом </w:t>
      </w:r>
      <w:hyperlink r:id="rId4298" w:anchor="n53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4E8BC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19" w:name="n13225"/>
      <w:bookmarkEnd w:id="7619"/>
      <w:r w:rsidRPr="008B264B">
        <w:rPr>
          <w:rFonts w:ascii="Times New Roman" w:eastAsia="Times New Roman" w:hAnsi="Times New Roman" w:cs="Times New Roman"/>
          <w:color w:val="000000"/>
          <w:sz w:val="24"/>
          <w:szCs w:val="24"/>
          <w:lang/>
        </w:rPr>
        <w:t>де:</w:t>
      </w:r>
    </w:p>
    <w:p w14:paraId="0FA3AB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0" w:name="n13226"/>
      <w:bookmarkEnd w:id="7620"/>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 загальний обсяг пального або спирту етилового за отриманими платником податку акцизними накладними, зареєстрованими в Єдиному реєстрі акцизних накладних, що підтверджено другим примірником акцизної накладної, зареєстрованим в Єдиному реєстрі акцизних накладних, та розрахунками коригування до таких акцизних накладних, зареєстрованими в Єдиному реєстрі акцизних накладних;</w:t>
      </w:r>
    </w:p>
    <w:p w14:paraId="14F94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1" w:name="n15742"/>
      <w:bookmarkEnd w:id="7621"/>
      <w:r w:rsidRPr="008B264B">
        <w:rPr>
          <w:rFonts w:ascii="Times New Roman" w:eastAsia="Times New Roman" w:hAnsi="Times New Roman" w:cs="Times New Roman"/>
          <w:i/>
          <w:iCs/>
          <w:color w:val="000000"/>
          <w:sz w:val="24"/>
          <w:szCs w:val="24"/>
          <w:lang/>
        </w:rPr>
        <w:t>{Абзац четвертий пункту 232.3 статті 232 в редакції Закону </w:t>
      </w:r>
      <w:hyperlink r:id="rId4299" w:anchor="n54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9D5DF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2" w:name="n13227"/>
      <w:bookmarkEnd w:id="7622"/>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АМитн - загальний обсяг пального або спирту етилового, ввезеного на митну територію України, оформленого належним чином митними деклараціями, з якого сплачено акцизний податок;</w:t>
      </w:r>
    </w:p>
    <w:p w14:paraId="5CEC6C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3" w:name="n15743"/>
      <w:bookmarkEnd w:id="7623"/>
      <w:r w:rsidRPr="008B264B">
        <w:rPr>
          <w:rFonts w:ascii="Times New Roman" w:eastAsia="Times New Roman" w:hAnsi="Times New Roman" w:cs="Times New Roman"/>
          <w:i/>
          <w:iCs/>
          <w:color w:val="000000"/>
          <w:sz w:val="24"/>
          <w:szCs w:val="24"/>
          <w:lang/>
        </w:rPr>
        <w:t>{Абзац п'ятий пункту 232.3 статті 232 із змінами, внесеними згідно із Законом </w:t>
      </w:r>
      <w:hyperlink r:id="rId4300" w:anchor="n54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51A71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4" w:name="n13228"/>
      <w:bookmarkEnd w:id="7624"/>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ЗаявкиПоповн - загальний обсяг пального або спирту етилового за оформленими та зареєстрованими в системі електронного адміністрування реалізації пального та спирту етилового заявками на поповнення обсягу залишку пального або спирту етилового, із списанням з облікових карток грошових коштів акцизного податку, сплаченого до бюджету, що дорівнюють сумі акцизного податку для відповідного обсягу пального або спирту етилового;</w:t>
      </w:r>
    </w:p>
    <w:p w14:paraId="12903C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5" w:name="n15744"/>
      <w:bookmarkEnd w:id="7625"/>
      <w:r w:rsidRPr="008B264B">
        <w:rPr>
          <w:rFonts w:ascii="Times New Roman" w:eastAsia="Times New Roman" w:hAnsi="Times New Roman" w:cs="Times New Roman"/>
          <w:i/>
          <w:iCs/>
          <w:color w:val="000000"/>
          <w:sz w:val="24"/>
          <w:szCs w:val="24"/>
          <w:lang/>
        </w:rPr>
        <w:t>{Абзац шостий пункту 232.3 статті 232 в редакції Закону </w:t>
      </w:r>
      <w:hyperlink r:id="rId4301" w:anchor="n54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27A54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6" w:name="n13229"/>
      <w:bookmarkEnd w:id="7626"/>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КоригЗаявкиПоповн - загальний обсяг пального або спирту етилового за оформленими та зареєстрованими в системі електронного адміністрування реалізації пального та спирту етилового коригуваннями до заявок на поповнення обсягу залишку пального або спирту етилового, за якими зменшується попередньо збільшений обсяг залишку пального або спирту етилового;</w:t>
      </w:r>
    </w:p>
    <w:p w14:paraId="6A03CC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7" w:name="n15745"/>
      <w:bookmarkEnd w:id="7627"/>
      <w:r w:rsidRPr="008B264B">
        <w:rPr>
          <w:rFonts w:ascii="Times New Roman" w:eastAsia="Times New Roman" w:hAnsi="Times New Roman" w:cs="Times New Roman"/>
          <w:i/>
          <w:iCs/>
          <w:color w:val="000000"/>
          <w:sz w:val="24"/>
          <w:szCs w:val="24"/>
          <w:lang/>
        </w:rPr>
        <w:t>{Абзац сьомий пункту 232.3 статті 232 в редакції Закону </w:t>
      </w:r>
      <w:hyperlink r:id="rId4302" w:anchor="n54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EB70A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8" w:name="n13230"/>
      <w:bookmarkEnd w:id="7628"/>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АНаклВид - загальний обсяг пального або спирту етилового за виданими платником податку акцизними накладними, зареєстрованими в Єдиному реєстрі акцизних накладних, та розрахунками коригування до таких акцизних накладних, зареєстрованими в Єдиному реєстрі акцизних накладних;</w:t>
      </w:r>
    </w:p>
    <w:p w14:paraId="3F1F6D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29" w:name="n15746"/>
      <w:bookmarkEnd w:id="7629"/>
      <w:r w:rsidRPr="008B264B">
        <w:rPr>
          <w:rFonts w:ascii="Times New Roman" w:eastAsia="Times New Roman" w:hAnsi="Times New Roman" w:cs="Times New Roman"/>
          <w:i/>
          <w:iCs/>
          <w:color w:val="000000"/>
          <w:sz w:val="24"/>
          <w:szCs w:val="24"/>
          <w:lang/>
        </w:rPr>
        <w:t>{Абзац восьмий пункту 232.3 статті 232 із змінами, внесеними згідно із Законом </w:t>
      </w:r>
      <w:hyperlink r:id="rId4303" w:anchor="n54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3A745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0" w:name="n13231"/>
      <w:bookmarkEnd w:id="7630"/>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Втрат - загальний обсяг пального або спирту етилового втраченого, як в межах, так і понад встановлені норми втрат, зіпсованого, знищеного, включаючи випадки внаслідок аварії, пожежі, повені, інших форс-мажорних обставин чи з іншої причини, пов’язаної з природним результатом, а також внаслідок випаровування в процесі виробництва, обробки, переробки, зберігання чи транспортування такого пального або спирту етилового, що засвідчені відповідним актом втрати, псування чи знищення пального або спирту етилового, зазначений в акцизній накладній/розрахунку коригування, зареєстрованій в Єдиному реєстрі акцизних накладних;</w:t>
      </w:r>
    </w:p>
    <w:p w14:paraId="332D4D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1" w:name="n15747"/>
      <w:bookmarkEnd w:id="7631"/>
      <w:r w:rsidRPr="008B264B">
        <w:rPr>
          <w:rFonts w:ascii="Times New Roman" w:eastAsia="Times New Roman" w:hAnsi="Times New Roman" w:cs="Times New Roman"/>
          <w:i/>
          <w:iCs/>
          <w:color w:val="000000"/>
          <w:sz w:val="24"/>
          <w:szCs w:val="24"/>
          <w:lang/>
        </w:rPr>
        <w:t>{Абзац дев'ятий пункту 232.3 статті 232 із змінами, внесеними згідно із Законом </w:t>
      </w:r>
      <w:hyperlink r:id="rId4304" w:anchor="n54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C0F3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2" w:name="n15749"/>
      <w:bookmarkEnd w:id="7632"/>
      <w:r w:rsidRPr="008B264B">
        <w:rPr>
          <w:rFonts w:ascii="Arial Unicode MS" w:eastAsia="Times New Roman" w:hAnsi="Arial Unicode MS" w:cs="Times New Roman"/>
          <w:b/>
          <w:bCs/>
          <w:color w:val="000000"/>
          <w:sz w:val="24"/>
          <w:szCs w:val="24"/>
          <w:lang/>
        </w:rPr>
        <w:lastRenderedPageBreak/>
        <w:t>∑</w:t>
      </w:r>
      <w:r w:rsidRPr="008B264B">
        <w:rPr>
          <w:rFonts w:ascii="Times New Roman" w:eastAsia="Times New Roman" w:hAnsi="Times New Roman" w:cs="Times New Roman"/>
          <w:color w:val="000000"/>
          <w:sz w:val="24"/>
          <w:szCs w:val="24"/>
          <w:lang/>
        </w:rPr>
        <w:t>АМитнЕкспорт - загальний обсяг пального або спирту етилового, вивезеного за межі митної території України, оформленого належним чином митними деклараціями, на який складені акцизні накладні, зареєстровані в Єдиному реєстрі акцизних накладних.</w:t>
      </w:r>
    </w:p>
    <w:p w14:paraId="1F15E1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3" w:name="n15748"/>
      <w:bookmarkEnd w:id="7633"/>
      <w:r w:rsidRPr="008B264B">
        <w:rPr>
          <w:rFonts w:ascii="Times New Roman" w:eastAsia="Times New Roman" w:hAnsi="Times New Roman" w:cs="Times New Roman"/>
          <w:i/>
          <w:iCs/>
          <w:color w:val="000000"/>
          <w:sz w:val="24"/>
          <w:szCs w:val="24"/>
          <w:lang/>
        </w:rPr>
        <w:t>{Пункт 232.3 статті 232 доповнено новим абзацом згідно із Законом </w:t>
      </w:r>
      <w:hyperlink r:id="rId4305" w:anchor="n55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57674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4" w:name="n14344"/>
      <w:bookmarkEnd w:id="7634"/>
      <w:r w:rsidRPr="008B264B">
        <w:rPr>
          <w:rFonts w:ascii="Times New Roman" w:eastAsia="Times New Roman" w:hAnsi="Times New Roman" w:cs="Times New Roman"/>
          <w:color w:val="000000"/>
          <w:sz w:val="24"/>
          <w:szCs w:val="24"/>
          <w:lang/>
        </w:rPr>
        <w:t>Акцизні накладні, які передбачають відвантаження пального або спирту етилового на умовах, встановлених </w:t>
      </w:r>
      <w:hyperlink r:id="rId4306"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можуть бути виписані в межах ліміту квот, встановлених Кабінетом Міністрів України для отримувачів такого пального або спирту етилового.</w:t>
      </w:r>
    </w:p>
    <w:p w14:paraId="4C6BEA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5" w:name="n14343"/>
      <w:bookmarkEnd w:id="7635"/>
      <w:r w:rsidRPr="008B264B">
        <w:rPr>
          <w:rFonts w:ascii="Times New Roman" w:eastAsia="Times New Roman" w:hAnsi="Times New Roman" w:cs="Times New Roman"/>
          <w:i/>
          <w:iCs/>
          <w:color w:val="000000"/>
          <w:sz w:val="24"/>
          <w:szCs w:val="24"/>
          <w:lang/>
        </w:rPr>
        <w:t>{Пункт 232.3 статті 232 доповнено абзацом згідно із Законом </w:t>
      </w:r>
      <w:hyperlink r:id="rId4307" w:anchor="n130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308" w:anchor="n55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322B1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6" w:name="n15751"/>
      <w:bookmarkEnd w:id="7636"/>
      <w:r w:rsidRPr="008B264B">
        <w:rPr>
          <w:rFonts w:ascii="Times New Roman" w:eastAsia="Times New Roman" w:hAnsi="Times New Roman" w:cs="Times New Roman"/>
          <w:color w:val="000000"/>
          <w:sz w:val="24"/>
          <w:szCs w:val="24"/>
          <w:lang/>
        </w:rPr>
        <w:t>Зміна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АНаклВид</w:t>
      </w:r>
      <w:r w:rsidRPr="008B264B">
        <w:rPr>
          <w:rFonts w:ascii="Times New Roman" w:eastAsia="Times New Roman" w:hAnsi="Times New Roman" w:cs="Times New Roman"/>
          <w:b/>
          <w:bCs/>
          <w:color w:val="000000"/>
          <w:sz w:val="16"/>
          <w:szCs w:val="16"/>
          <w:vertAlign w:val="subscript"/>
          <w:lang/>
        </w:rPr>
        <w:t> </w:t>
      </w:r>
      <w:r w:rsidRPr="008B264B">
        <w:rPr>
          <w:rFonts w:ascii="Times New Roman" w:eastAsia="Times New Roman" w:hAnsi="Times New Roman" w:cs="Times New Roman"/>
          <w:color w:val="000000"/>
          <w:sz w:val="24"/>
          <w:szCs w:val="24"/>
          <w:lang/>
        </w:rPr>
        <w:t>відбувається у день реєстрації акцизної накладної в Єдиному реєстрі акцизних накладних, а зміна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 у день реєстрації другого примірника акцизної накладної (при ввезенні пального або спирту етилового на митну територію України - у день реєстрації першого примірника акцизної накладної) в Єдиному реєстрі акцизних накладних.</w:t>
      </w:r>
    </w:p>
    <w:p w14:paraId="450C8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7" w:name="n15761"/>
      <w:bookmarkEnd w:id="7637"/>
      <w:r w:rsidRPr="008B264B">
        <w:rPr>
          <w:rFonts w:ascii="Times New Roman" w:eastAsia="Times New Roman" w:hAnsi="Times New Roman" w:cs="Times New Roman"/>
          <w:i/>
          <w:iCs/>
          <w:color w:val="000000"/>
          <w:sz w:val="24"/>
          <w:szCs w:val="24"/>
          <w:lang/>
        </w:rPr>
        <w:t>{Пункт 232.3 статті 232 доповнено абзацом дванадцятим згідно із Законом </w:t>
      </w:r>
      <w:hyperlink r:id="rId4309"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D3689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8" w:name="n15752"/>
      <w:bookmarkEnd w:id="7638"/>
      <w:r w:rsidRPr="008B264B">
        <w:rPr>
          <w:rFonts w:ascii="Times New Roman" w:eastAsia="Times New Roman" w:hAnsi="Times New Roman" w:cs="Times New Roman"/>
          <w:color w:val="000000"/>
          <w:sz w:val="24"/>
          <w:szCs w:val="24"/>
          <w:lang/>
        </w:rPr>
        <w:t>При реалізації пального або спирту етилового з акцизного складу до іншого акцизного складу з використанням акцизного складу пересувного, у разі якщо до реалізації пального або спирту етилового такий інший акцизний склад уже відомий:</w:t>
      </w:r>
    </w:p>
    <w:p w14:paraId="004DC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39" w:name="n15760"/>
      <w:bookmarkEnd w:id="7639"/>
      <w:r w:rsidRPr="008B264B">
        <w:rPr>
          <w:rFonts w:ascii="Times New Roman" w:eastAsia="Times New Roman" w:hAnsi="Times New Roman" w:cs="Times New Roman"/>
          <w:i/>
          <w:iCs/>
          <w:color w:val="000000"/>
          <w:sz w:val="24"/>
          <w:szCs w:val="24"/>
          <w:lang/>
        </w:rPr>
        <w:t>{Пункт 232.3 статті 232 доповнено абзацом тринадцятим згідно із Законом </w:t>
      </w:r>
      <w:hyperlink r:id="rId4310"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22838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0" w:name="n15753"/>
      <w:bookmarkEnd w:id="7640"/>
      <w:r w:rsidRPr="008B264B">
        <w:rPr>
          <w:rFonts w:ascii="Times New Roman" w:eastAsia="Times New Roman" w:hAnsi="Times New Roman" w:cs="Times New Roman"/>
          <w:color w:val="000000"/>
          <w:sz w:val="24"/>
          <w:szCs w:val="24"/>
          <w:lang/>
        </w:rPr>
        <w:t>у день реєстрації в Єдиному реєстрі акцизних накладних першого примірника акцизної накладної здійснюється зміна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АНаклВид по акцизному складу;</w:t>
      </w:r>
    </w:p>
    <w:p w14:paraId="1C0482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1" w:name="n15759"/>
      <w:bookmarkEnd w:id="7641"/>
      <w:r w:rsidRPr="008B264B">
        <w:rPr>
          <w:rFonts w:ascii="Times New Roman" w:eastAsia="Times New Roman" w:hAnsi="Times New Roman" w:cs="Times New Roman"/>
          <w:i/>
          <w:iCs/>
          <w:color w:val="000000"/>
          <w:sz w:val="24"/>
          <w:szCs w:val="24"/>
          <w:lang/>
        </w:rPr>
        <w:t>{Пункт 232.3 статті 232 доповнено абзацом чотирнадцятим згідно із Законом </w:t>
      </w:r>
      <w:hyperlink r:id="rId4311"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414BD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2" w:name="n15754"/>
      <w:bookmarkEnd w:id="7642"/>
      <w:r w:rsidRPr="008B264B">
        <w:rPr>
          <w:rFonts w:ascii="Times New Roman" w:eastAsia="Times New Roman" w:hAnsi="Times New Roman" w:cs="Times New Roman"/>
          <w:color w:val="000000"/>
          <w:sz w:val="24"/>
          <w:szCs w:val="24"/>
          <w:lang/>
        </w:rPr>
        <w:t>у день реєстрації в Єдиному реєстрі акцизних накладних другого примірника акцизної накладної здійснюється зміна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по такому іншому акцизному складу;</w:t>
      </w:r>
    </w:p>
    <w:p w14:paraId="5AAEDF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3" w:name="n15758"/>
      <w:bookmarkEnd w:id="7643"/>
      <w:r w:rsidRPr="008B264B">
        <w:rPr>
          <w:rFonts w:ascii="Times New Roman" w:eastAsia="Times New Roman" w:hAnsi="Times New Roman" w:cs="Times New Roman"/>
          <w:i/>
          <w:iCs/>
          <w:color w:val="000000"/>
          <w:sz w:val="24"/>
          <w:szCs w:val="24"/>
          <w:lang/>
        </w:rPr>
        <w:t>{Пункт 232.3 статті 232 доповнено абзацом п'ятнадцятим згідно із Законом </w:t>
      </w:r>
      <w:hyperlink r:id="rId4312"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1CBC7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4" w:name="n15755"/>
      <w:bookmarkEnd w:id="7644"/>
      <w:r w:rsidRPr="008B264B">
        <w:rPr>
          <w:rFonts w:ascii="Times New Roman" w:eastAsia="Times New Roman" w:hAnsi="Times New Roman" w:cs="Times New Roman"/>
          <w:color w:val="000000"/>
          <w:sz w:val="24"/>
          <w:szCs w:val="24"/>
          <w:lang/>
        </w:rPr>
        <w:t>показники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та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АНаклВид по акцизному складу пересувному не змінюються.</w:t>
      </w:r>
    </w:p>
    <w:p w14:paraId="01A253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5" w:name="n15757"/>
      <w:bookmarkEnd w:id="7645"/>
      <w:r w:rsidRPr="008B264B">
        <w:rPr>
          <w:rFonts w:ascii="Times New Roman" w:eastAsia="Times New Roman" w:hAnsi="Times New Roman" w:cs="Times New Roman"/>
          <w:i/>
          <w:iCs/>
          <w:color w:val="000000"/>
          <w:sz w:val="24"/>
          <w:szCs w:val="24"/>
          <w:lang/>
        </w:rPr>
        <w:t>{Пункт 232.3 статті 232 доповнено абзацом шістнадцятим згідно із Законом </w:t>
      </w:r>
      <w:hyperlink r:id="rId4313"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B6F85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6" w:name="n15756"/>
      <w:bookmarkEnd w:id="7646"/>
      <w:r w:rsidRPr="008B264B">
        <w:rPr>
          <w:rFonts w:ascii="Times New Roman" w:eastAsia="Times New Roman" w:hAnsi="Times New Roman" w:cs="Times New Roman"/>
          <w:color w:val="000000"/>
          <w:sz w:val="24"/>
          <w:szCs w:val="24"/>
          <w:lang/>
        </w:rPr>
        <w:t>У платника податку - отримувача пального зміна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АНаклОтр не відбувається на обсяги пального, що реалізується:</w:t>
      </w:r>
    </w:p>
    <w:p w14:paraId="10648F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7" w:name="n15750"/>
      <w:bookmarkEnd w:id="7647"/>
      <w:r w:rsidRPr="008B264B">
        <w:rPr>
          <w:rFonts w:ascii="Times New Roman" w:eastAsia="Times New Roman" w:hAnsi="Times New Roman" w:cs="Times New Roman"/>
          <w:i/>
          <w:iCs/>
          <w:color w:val="000000"/>
          <w:sz w:val="24"/>
          <w:szCs w:val="24"/>
          <w:lang/>
        </w:rPr>
        <w:t>{Пункт 232.3 статті 232 доповнено абзацом сімнадцятим згідно із Законом </w:t>
      </w:r>
      <w:hyperlink r:id="rId4314" w:anchor="n5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в редакції Закону </w:t>
      </w:r>
      <w:hyperlink r:id="rId4315" w:anchor="n19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7CD46C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8" w:name="n16040"/>
      <w:bookmarkEnd w:id="7648"/>
      <w:r w:rsidRPr="008B264B">
        <w:rPr>
          <w:rFonts w:ascii="Times New Roman" w:eastAsia="Times New Roman" w:hAnsi="Times New Roman" w:cs="Times New Roman"/>
          <w:color w:val="000000"/>
          <w:sz w:val="24"/>
          <w:szCs w:val="24"/>
          <w:lang/>
        </w:rPr>
        <w:t>з акцизного складу, який є місцем роздрібної торгівлі пальним, на яке отримано ліцензію на право роздрібної торгівлі пальним, через паливороздавальні або оливороздавальні колонки у паливний бак транспортного засобу або в тару споживача;</w:t>
      </w:r>
    </w:p>
    <w:p w14:paraId="7C4DF1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49" w:name="n16044"/>
      <w:bookmarkEnd w:id="7649"/>
      <w:r w:rsidRPr="008B264B">
        <w:rPr>
          <w:rFonts w:ascii="Times New Roman" w:eastAsia="Times New Roman" w:hAnsi="Times New Roman" w:cs="Times New Roman"/>
          <w:i/>
          <w:iCs/>
          <w:color w:val="000000"/>
          <w:sz w:val="24"/>
          <w:szCs w:val="24"/>
          <w:lang/>
        </w:rPr>
        <w:t>{Абзац пункту 232.3 статті 232 в редакції Закону </w:t>
      </w:r>
      <w:hyperlink r:id="rId4316" w:anchor="n19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529E0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0" w:name="n16041"/>
      <w:bookmarkEnd w:id="7650"/>
      <w:r w:rsidRPr="008B264B">
        <w:rPr>
          <w:rFonts w:ascii="Times New Roman" w:eastAsia="Times New Roman" w:hAnsi="Times New Roman" w:cs="Times New Roman"/>
          <w:color w:val="000000"/>
          <w:sz w:val="24"/>
          <w:szCs w:val="24"/>
          <w:lang/>
        </w:rPr>
        <w:t>з акцизного складу, який не є місцем роздрібної торгівлі пальним, через паливороздавальні або оливороздавальні колонки у паливний бак транспортного засобу;</w:t>
      </w:r>
    </w:p>
    <w:p w14:paraId="428CEB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1" w:name="n16043"/>
      <w:bookmarkEnd w:id="7651"/>
      <w:r w:rsidRPr="008B264B">
        <w:rPr>
          <w:rFonts w:ascii="Times New Roman" w:eastAsia="Times New Roman" w:hAnsi="Times New Roman" w:cs="Times New Roman"/>
          <w:i/>
          <w:iCs/>
          <w:color w:val="000000"/>
          <w:sz w:val="24"/>
          <w:szCs w:val="24"/>
          <w:lang/>
        </w:rPr>
        <w:lastRenderedPageBreak/>
        <w:t>{Абзац пункту 232.3 статті 232 в редакції Закону </w:t>
      </w:r>
      <w:hyperlink r:id="rId4317" w:anchor="n19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32684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2" w:name="n16042"/>
      <w:bookmarkEnd w:id="7652"/>
      <w:r w:rsidRPr="008B264B">
        <w:rPr>
          <w:rFonts w:ascii="Times New Roman" w:eastAsia="Times New Roman" w:hAnsi="Times New Roman" w:cs="Times New Roman"/>
          <w:color w:val="000000"/>
          <w:sz w:val="24"/>
          <w:szCs w:val="24"/>
          <w:lang/>
        </w:rPr>
        <w:t>з акцизного складу пересувного у паливний бак транспортного засобу, обладнання або пристрою.</w:t>
      </w:r>
    </w:p>
    <w:p w14:paraId="67A3A4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3" w:name="n16039"/>
      <w:bookmarkEnd w:id="7653"/>
      <w:r w:rsidRPr="008B264B">
        <w:rPr>
          <w:rFonts w:ascii="Times New Roman" w:eastAsia="Times New Roman" w:hAnsi="Times New Roman" w:cs="Times New Roman"/>
          <w:i/>
          <w:iCs/>
          <w:color w:val="000000"/>
          <w:sz w:val="24"/>
          <w:szCs w:val="24"/>
          <w:lang/>
        </w:rPr>
        <w:t>{Абзац пункту 232.3 статті 232 в редакції Закону </w:t>
      </w:r>
      <w:hyperlink r:id="rId4318" w:anchor="n19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0BF94F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4" w:name="n13232"/>
      <w:bookmarkEnd w:id="7654"/>
      <w:r w:rsidRPr="008B264B">
        <w:rPr>
          <w:rFonts w:ascii="Times New Roman" w:eastAsia="Times New Roman" w:hAnsi="Times New Roman" w:cs="Times New Roman"/>
          <w:color w:val="000000"/>
          <w:sz w:val="24"/>
          <w:szCs w:val="24"/>
          <w:lang/>
        </w:rPr>
        <w:t>232.4. Порядок реєстрації заявок на поповнення обсягу залишку пального або спирту етилового в системі електронного адміністрування реалізації пального та спирту етилового";</w:t>
      </w:r>
    </w:p>
    <w:p w14:paraId="767007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5" w:name="n15762"/>
      <w:bookmarkEnd w:id="7655"/>
      <w:r w:rsidRPr="008B264B">
        <w:rPr>
          <w:rFonts w:ascii="Times New Roman" w:eastAsia="Times New Roman" w:hAnsi="Times New Roman" w:cs="Times New Roman"/>
          <w:i/>
          <w:iCs/>
          <w:color w:val="000000"/>
          <w:sz w:val="24"/>
          <w:szCs w:val="24"/>
          <w:lang/>
        </w:rPr>
        <w:t>{Абзац перший пункту 232.4 статті 232 в редакції Закону </w:t>
      </w:r>
      <w:hyperlink r:id="rId4319" w:anchor="n56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2EB5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6" w:name="n13233"/>
      <w:bookmarkEnd w:id="7656"/>
      <w:r w:rsidRPr="008B264B">
        <w:rPr>
          <w:rFonts w:ascii="Times New Roman" w:eastAsia="Times New Roman" w:hAnsi="Times New Roman" w:cs="Times New Roman"/>
          <w:color w:val="000000"/>
          <w:sz w:val="24"/>
          <w:szCs w:val="24"/>
          <w:lang/>
        </w:rPr>
        <w:t>232.4.1. Заявки на поповнення обсягу залишку пального або спирту етилового в системі електронного адміністрування реалізації пального та спирту етилового повинні містити такі обов’язкові поля (реквізити):</w:t>
      </w:r>
    </w:p>
    <w:p w14:paraId="5A9E59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7" w:name="n15763"/>
      <w:bookmarkEnd w:id="7657"/>
      <w:r w:rsidRPr="008B264B">
        <w:rPr>
          <w:rFonts w:ascii="Times New Roman" w:eastAsia="Times New Roman" w:hAnsi="Times New Roman" w:cs="Times New Roman"/>
          <w:i/>
          <w:iCs/>
          <w:color w:val="000000"/>
          <w:sz w:val="24"/>
          <w:szCs w:val="24"/>
          <w:lang/>
        </w:rPr>
        <w:t>{Абзац перший підпункту 232.4.1 пункту 232.4 статті 232 в редакції Закону </w:t>
      </w:r>
      <w:hyperlink r:id="rId4320" w:anchor="n56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7D83E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8" w:name="n13234"/>
      <w:bookmarkEnd w:id="7658"/>
      <w:r w:rsidRPr="008B264B">
        <w:rPr>
          <w:rFonts w:ascii="Times New Roman" w:eastAsia="Times New Roman" w:hAnsi="Times New Roman" w:cs="Times New Roman"/>
          <w:color w:val="000000"/>
          <w:sz w:val="24"/>
          <w:szCs w:val="24"/>
          <w:lang/>
        </w:rPr>
        <w:t>а) порядковий номер заявки;</w:t>
      </w:r>
    </w:p>
    <w:p w14:paraId="0DD9E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59" w:name="n13235"/>
      <w:bookmarkEnd w:id="7659"/>
      <w:r w:rsidRPr="008B264B">
        <w:rPr>
          <w:rFonts w:ascii="Times New Roman" w:eastAsia="Times New Roman" w:hAnsi="Times New Roman" w:cs="Times New Roman"/>
          <w:color w:val="000000"/>
          <w:sz w:val="24"/>
          <w:szCs w:val="24"/>
          <w:lang/>
        </w:rPr>
        <w:t>б) дата складання заявки;</w:t>
      </w:r>
    </w:p>
    <w:p w14:paraId="7AA5AA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0" w:name="n13236"/>
      <w:bookmarkEnd w:id="7660"/>
      <w:r w:rsidRPr="008B264B">
        <w:rPr>
          <w:rFonts w:ascii="Times New Roman" w:eastAsia="Times New Roman" w:hAnsi="Times New Roman" w:cs="Times New Roman"/>
          <w:color w:val="000000"/>
          <w:sz w:val="24"/>
          <w:szCs w:val="24"/>
          <w:lang/>
        </w:rPr>
        <w:t>в) повна або скорочена назва юридичної особи або прізвище, ім’я та по батькові фізичної особи, зареєстрованої як платник акцизного податку, - особи, що реєструє заявку на поповнення обсягу залишку пального або спирту етилового;</w:t>
      </w:r>
    </w:p>
    <w:p w14:paraId="40948F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1" w:name="n15764"/>
      <w:bookmarkEnd w:id="7661"/>
      <w:r w:rsidRPr="008B264B">
        <w:rPr>
          <w:rFonts w:ascii="Times New Roman" w:eastAsia="Times New Roman" w:hAnsi="Times New Roman" w:cs="Times New Roman"/>
          <w:i/>
          <w:iCs/>
          <w:color w:val="000000"/>
          <w:sz w:val="24"/>
          <w:szCs w:val="24"/>
          <w:lang/>
        </w:rPr>
        <w:t>{Підпункт "в" підпункту 232.4.1 пункту 232.4 статті 232 із змінами, внесеними згідно із Законом </w:t>
      </w:r>
      <w:hyperlink r:id="rId4321" w:anchor="n5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E4460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2" w:name="n13237"/>
      <w:bookmarkEnd w:id="7662"/>
      <w:r w:rsidRPr="008B264B">
        <w:rPr>
          <w:rFonts w:ascii="Times New Roman" w:eastAsia="Times New Roman" w:hAnsi="Times New Roman" w:cs="Times New Roman"/>
          <w:color w:val="000000"/>
          <w:sz w:val="24"/>
          <w:szCs w:val="24"/>
          <w:lang/>
        </w:rPr>
        <w:t>г) код ЄДРПОУ (для юридичних осіб) або реєстраційний номер облікової картки платника податків (для фізичних осіб) платника податку, що реєструє заявку на поповнення обсягу залишку пального або спирту етилового;</w:t>
      </w:r>
    </w:p>
    <w:p w14:paraId="404904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3" w:name="n15765"/>
      <w:bookmarkEnd w:id="7663"/>
      <w:r w:rsidRPr="008B264B">
        <w:rPr>
          <w:rFonts w:ascii="Times New Roman" w:eastAsia="Times New Roman" w:hAnsi="Times New Roman" w:cs="Times New Roman"/>
          <w:i/>
          <w:iCs/>
          <w:color w:val="000000"/>
          <w:sz w:val="24"/>
          <w:szCs w:val="24"/>
          <w:lang/>
        </w:rPr>
        <w:t>{Підпункт "г" підпункту 232.4.1 пункту 232.4 статті 232 із змінами, внесеними згідно із Законом </w:t>
      </w:r>
      <w:hyperlink r:id="rId4322" w:anchor="n5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C4B00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4" w:name="n13238"/>
      <w:bookmarkEnd w:id="7664"/>
      <w:r w:rsidRPr="008B264B">
        <w:rPr>
          <w:rFonts w:ascii="Times New Roman" w:eastAsia="Times New Roman" w:hAnsi="Times New Roman" w:cs="Times New Roman"/>
          <w:color w:val="000000"/>
          <w:sz w:val="24"/>
          <w:szCs w:val="24"/>
          <w:lang/>
        </w:rPr>
        <w:t>ґ) код товарної підкатегорії згідно з </w:t>
      </w:r>
      <w:hyperlink r:id="rId4323"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74678C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5" w:name="n13239"/>
      <w:bookmarkEnd w:id="7665"/>
      <w:r w:rsidRPr="008B264B">
        <w:rPr>
          <w:rFonts w:ascii="Times New Roman" w:eastAsia="Times New Roman" w:hAnsi="Times New Roman" w:cs="Times New Roman"/>
          <w:color w:val="000000"/>
          <w:sz w:val="24"/>
          <w:szCs w:val="24"/>
          <w:lang/>
        </w:rPr>
        <w:t>д) опис пального або спирту етилового;</w:t>
      </w:r>
    </w:p>
    <w:p w14:paraId="4386F0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6" w:name="n15766"/>
      <w:bookmarkEnd w:id="7666"/>
      <w:r w:rsidRPr="008B264B">
        <w:rPr>
          <w:rFonts w:ascii="Times New Roman" w:eastAsia="Times New Roman" w:hAnsi="Times New Roman" w:cs="Times New Roman"/>
          <w:i/>
          <w:iCs/>
          <w:color w:val="000000"/>
          <w:sz w:val="24"/>
          <w:szCs w:val="24"/>
          <w:lang/>
        </w:rPr>
        <w:t>{Підпункт "д" підпункту 232.4.1 пункту 232.4 статті 232 із змінами, внесеними згідно із Законом </w:t>
      </w:r>
      <w:hyperlink r:id="rId4324" w:anchor="n5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ABCE0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7" w:name="n13240"/>
      <w:bookmarkEnd w:id="7667"/>
      <w:r w:rsidRPr="008B264B">
        <w:rPr>
          <w:rFonts w:ascii="Times New Roman" w:eastAsia="Times New Roman" w:hAnsi="Times New Roman" w:cs="Times New Roman"/>
          <w:color w:val="000000"/>
          <w:sz w:val="24"/>
          <w:szCs w:val="24"/>
          <w:lang/>
        </w:rPr>
        <w:t>е) обсяг пального в літрах, приведених до температури 15° C, або спирту етилового в декалітрах 100-відсоткового спирту, приведених до температури 20° C до зарахування в Системі електронного адміністрування реалізації пального та спирту етилового за кожним кодом товарної підкатегорії згідно з </w:t>
      </w:r>
      <w:hyperlink r:id="rId4325"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2B0C19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8" w:name="n15767"/>
      <w:bookmarkEnd w:id="7668"/>
      <w:r w:rsidRPr="008B264B">
        <w:rPr>
          <w:rFonts w:ascii="Times New Roman" w:eastAsia="Times New Roman" w:hAnsi="Times New Roman" w:cs="Times New Roman"/>
          <w:i/>
          <w:iCs/>
          <w:color w:val="000000"/>
          <w:sz w:val="24"/>
          <w:szCs w:val="24"/>
          <w:lang/>
        </w:rPr>
        <w:t>{Підпункт "е" підпункту 232.4.1 пункту 232.4 статті 232 із змінами, внесеними згідно із Законом </w:t>
      </w:r>
      <w:hyperlink r:id="rId4326" w:anchor="n56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A2A68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69" w:name="n13241"/>
      <w:bookmarkEnd w:id="7669"/>
      <w:r w:rsidRPr="008B264B">
        <w:rPr>
          <w:rFonts w:ascii="Times New Roman" w:eastAsia="Times New Roman" w:hAnsi="Times New Roman" w:cs="Times New Roman"/>
          <w:color w:val="000000"/>
          <w:sz w:val="24"/>
          <w:szCs w:val="24"/>
          <w:lang/>
        </w:rPr>
        <w:t>є) ставка акцизного податку на відповідне пальне або спирт етиловий, встановлена на дату реалізації пального або спирту етилового;</w:t>
      </w:r>
    </w:p>
    <w:p w14:paraId="17EF7A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0" w:name="n15768"/>
      <w:bookmarkEnd w:id="7670"/>
      <w:r w:rsidRPr="008B264B">
        <w:rPr>
          <w:rFonts w:ascii="Times New Roman" w:eastAsia="Times New Roman" w:hAnsi="Times New Roman" w:cs="Times New Roman"/>
          <w:i/>
          <w:iCs/>
          <w:color w:val="000000"/>
          <w:sz w:val="24"/>
          <w:szCs w:val="24"/>
          <w:lang/>
        </w:rPr>
        <w:t>{Підпункт "є" підпункту 232.4.1 пункту 232.4 статті 232 в редакції Закону </w:t>
      </w:r>
      <w:hyperlink r:id="rId4327" w:anchor="n57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939AE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1" w:name="n13242"/>
      <w:bookmarkEnd w:id="7671"/>
      <w:r w:rsidRPr="008B264B">
        <w:rPr>
          <w:rFonts w:ascii="Times New Roman" w:eastAsia="Times New Roman" w:hAnsi="Times New Roman" w:cs="Times New Roman"/>
          <w:color w:val="000000"/>
          <w:sz w:val="24"/>
          <w:szCs w:val="24"/>
          <w:lang/>
        </w:rPr>
        <w:t>ж) курс Національного банку України, що діє на перший день кварталу, в якому здійснюється реалізація пального;</w:t>
      </w:r>
    </w:p>
    <w:p w14:paraId="14E26F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2" w:name="n13243"/>
      <w:bookmarkEnd w:id="7672"/>
      <w:r w:rsidRPr="008B264B">
        <w:rPr>
          <w:rFonts w:ascii="Times New Roman" w:eastAsia="Times New Roman" w:hAnsi="Times New Roman" w:cs="Times New Roman"/>
          <w:color w:val="000000"/>
          <w:sz w:val="24"/>
          <w:szCs w:val="24"/>
          <w:lang/>
        </w:rPr>
        <w:t>з) сума акцизного податку за кожним кодом товарної підкатегорії згідно з </w:t>
      </w:r>
      <w:hyperlink r:id="rId432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розрахованого за ставкою акцизного податку, передбаченою </w:t>
      </w:r>
      <w:hyperlink r:id="rId4329" w:anchor="n5497" w:history="1">
        <w:r w:rsidRPr="008B264B">
          <w:rPr>
            <w:rFonts w:ascii="Times New Roman" w:eastAsia="Times New Roman" w:hAnsi="Times New Roman" w:cs="Times New Roman"/>
            <w:color w:val="0000FF"/>
            <w:sz w:val="24"/>
            <w:szCs w:val="24"/>
            <w:u w:val="single"/>
            <w:lang/>
          </w:rPr>
          <w:t>підпунктами 215.3.1</w:t>
        </w:r>
      </w:hyperlink>
      <w:r w:rsidRPr="008B264B">
        <w:rPr>
          <w:rFonts w:ascii="Times New Roman" w:eastAsia="Times New Roman" w:hAnsi="Times New Roman" w:cs="Times New Roman"/>
          <w:color w:val="000000"/>
          <w:sz w:val="24"/>
          <w:szCs w:val="24"/>
          <w:lang/>
        </w:rPr>
        <w:t> або </w:t>
      </w:r>
      <w:hyperlink r:id="rId4330" w:anchor="n5506" w:history="1">
        <w:r w:rsidRPr="008B264B">
          <w:rPr>
            <w:rFonts w:ascii="Times New Roman" w:eastAsia="Times New Roman" w:hAnsi="Times New Roman" w:cs="Times New Roman"/>
            <w:color w:val="0000FF"/>
            <w:sz w:val="24"/>
            <w:szCs w:val="24"/>
            <w:u w:val="single"/>
            <w:lang/>
          </w:rPr>
          <w:t>215.3.4</w:t>
        </w:r>
      </w:hyperlink>
      <w:r w:rsidRPr="008B264B">
        <w:rPr>
          <w:rFonts w:ascii="Times New Roman" w:eastAsia="Times New Roman" w:hAnsi="Times New Roman" w:cs="Times New Roman"/>
          <w:color w:val="000000"/>
          <w:sz w:val="24"/>
          <w:szCs w:val="24"/>
          <w:lang/>
        </w:rPr>
        <w:t xml:space="preserve"> пункту 215.3 статті 215 цього Кодексу, та обсягами пального або спирту </w:t>
      </w:r>
      <w:r w:rsidRPr="008B264B">
        <w:rPr>
          <w:rFonts w:ascii="Times New Roman" w:eastAsia="Times New Roman" w:hAnsi="Times New Roman" w:cs="Times New Roman"/>
          <w:color w:val="000000"/>
          <w:sz w:val="24"/>
          <w:szCs w:val="24"/>
          <w:lang/>
        </w:rPr>
        <w:lastRenderedPageBreak/>
        <w:t>етилового, що містяться в таких заявках (крім заявок на поповнення обсягу залишку пального або спирту етилового, що відвантажується на умовах, встановлених </w:t>
      </w:r>
      <w:hyperlink r:id="rId4331" w:anchor="n5676" w:history="1">
        <w:r w:rsidRPr="008B264B">
          <w:rPr>
            <w:rFonts w:ascii="Times New Roman" w:eastAsia="Times New Roman" w:hAnsi="Times New Roman" w:cs="Times New Roman"/>
            <w:color w:val="0000FF"/>
            <w:sz w:val="24"/>
            <w:szCs w:val="24"/>
            <w:u w:val="single"/>
            <w:lang/>
          </w:rPr>
          <w:t>статтею 229</w:t>
        </w:r>
      </w:hyperlink>
      <w:r w:rsidRPr="008B264B">
        <w:rPr>
          <w:rFonts w:ascii="Times New Roman" w:eastAsia="Times New Roman" w:hAnsi="Times New Roman" w:cs="Times New Roman"/>
          <w:color w:val="000000"/>
          <w:sz w:val="24"/>
          <w:szCs w:val="24"/>
          <w:lang/>
        </w:rPr>
        <w:t> цього Кодексу, не підлягає оподаткуванню або звільняється від оподаткування);</w:t>
      </w:r>
    </w:p>
    <w:p w14:paraId="4DEF06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3" w:name="n14345"/>
      <w:bookmarkEnd w:id="7673"/>
      <w:r w:rsidRPr="008B264B">
        <w:rPr>
          <w:rFonts w:ascii="Times New Roman" w:eastAsia="Times New Roman" w:hAnsi="Times New Roman" w:cs="Times New Roman"/>
          <w:i/>
          <w:iCs/>
          <w:color w:val="000000"/>
          <w:sz w:val="24"/>
          <w:szCs w:val="24"/>
          <w:lang/>
        </w:rPr>
        <w:t>{Підпункт "з" підпункту 232.4.1 пункту 232.4 статті 232 в редакції Законів </w:t>
      </w:r>
      <w:hyperlink r:id="rId4332" w:anchor="n130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4333" w:anchor="n57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5E171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4" w:name="n13244"/>
      <w:bookmarkEnd w:id="7674"/>
      <w:r w:rsidRPr="008B264B">
        <w:rPr>
          <w:rFonts w:ascii="Times New Roman" w:eastAsia="Times New Roman" w:hAnsi="Times New Roman" w:cs="Times New Roman"/>
          <w:color w:val="000000"/>
          <w:sz w:val="24"/>
          <w:szCs w:val="24"/>
          <w:lang/>
        </w:rPr>
        <w:t>и) номер та дата заявки на поповнення обсягу залишку пального або спирту етилового у випадку складання коригування до заявок на поповнення обсягу залишку пального або спирту етилового в Єдиному реєстрі акцизних накладних;</w:t>
      </w:r>
    </w:p>
    <w:p w14:paraId="14BCA5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5" w:name="n15769"/>
      <w:bookmarkEnd w:id="7675"/>
      <w:r w:rsidRPr="008B264B">
        <w:rPr>
          <w:rFonts w:ascii="Times New Roman" w:eastAsia="Times New Roman" w:hAnsi="Times New Roman" w:cs="Times New Roman"/>
          <w:i/>
          <w:iCs/>
          <w:color w:val="000000"/>
          <w:sz w:val="24"/>
          <w:szCs w:val="24"/>
          <w:lang/>
        </w:rPr>
        <w:t>{Підпункт "и" підпункту 232.4.1 пункту 232.4 статті 232 із змінами, внесеними згідно із Законом </w:t>
      </w:r>
      <w:hyperlink r:id="rId4334" w:anchor="n5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413A1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6" w:name="n15771"/>
      <w:bookmarkEnd w:id="7676"/>
      <w:r w:rsidRPr="008B264B">
        <w:rPr>
          <w:rFonts w:ascii="Times New Roman" w:eastAsia="Times New Roman" w:hAnsi="Times New Roman" w:cs="Times New Roman"/>
          <w:color w:val="000000"/>
          <w:sz w:val="24"/>
          <w:szCs w:val="24"/>
          <w:lang/>
        </w:rPr>
        <w:t>і) ознака умов оподаткування пального або спирту етилового;</w:t>
      </w:r>
    </w:p>
    <w:p w14:paraId="203918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7" w:name="n15773"/>
      <w:bookmarkEnd w:id="7677"/>
      <w:r w:rsidRPr="008B264B">
        <w:rPr>
          <w:rFonts w:ascii="Times New Roman" w:eastAsia="Times New Roman" w:hAnsi="Times New Roman" w:cs="Times New Roman"/>
          <w:i/>
          <w:iCs/>
          <w:color w:val="000000"/>
          <w:sz w:val="24"/>
          <w:szCs w:val="24"/>
          <w:lang/>
        </w:rPr>
        <w:t>{Підпункт 232.4.1 пункту 232.4 статті 232 доповнено підпунктом "і" згідно із Законом </w:t>
      </w:r>
      <w:hyperlink r:id="rId4335" w:anchor="n57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96D16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8" w:name="n15772"/>
      <w:bookmarkEnd w:id="7678"/>
      <w:r w:rsidRPr="008B264B">
        <w:rPr>
          <w:rFonts w:ascii="Times New Roman" w:eastAsia="Times New Roman" w:hAnsi="Times New Roman" w:cs="Times New Roman"/>
          <w:color w:val="000000"/>
          <w:sz w:val="24"/>
          <w:szCs w:val="24"/>
          <w:lang/>
        </w:rPr>
        <w:t>ї) уніфікований номер акцизного складу в системі електронного адміністрування реалізації пального та спирту етилового або номер реєстрації транспортного засобу в уповноважених органах відповідної держави, який є акцизним складом пересувним, на якому виникає потреба поповнити обсяги залишків пального або спирту етилового.</w:t>
      </w:r>
    </w:p>
    <w:p w14:paraId="790F9F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79" w:name="n15770"/>
      <w:bookmarkEnd w:id="7679"/>
      <w:r w:rsidRPr="008B264B">
        <w:rPr>
          <w:rFonts w:ascii="Times New Roman" w:eastAsia="Times New Roman" w:hAnsi="Times New Roman" w:cs="Times New Roman"/>
          <w:i/>
          <w:iCs/>
          <w:color w:val="000000"/>
          <w:sz w:val="24"/>
          <w:szCs w:val="24"/>
          <w:lang/>
        </w:rPr>
        <w:t>{Підпункт 232.4.1 пункту 232.4 статті 232 доповнено підпунктом "ї" згідно із Законом </w:t>
      </w:r>
      <w:hyperlink r:id="rId4336" w:anchor="n57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337" w:anchor="n195"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777BD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0" w:name="n13245"/>
      <w:bookmarkEnd w:id="7680"/>
      <w:r w:rsidRPr="008B264B">
        <w:rPr>
          <w:rFonts w:ascii="Times New Roman" w:eastAsia="Times New Roman" w:hAnsi="Times New Roman" w:cs="Times New Roman"/>
          <w:color w:val="000000"/>
          <w:sz w:val="24"/>
          <w:szCs w:val="24"/>
          <w:lang/>
        </w:rPr>
        <w:t>232.4.2. У разі якщо у платника акцизного податку виникає потреба поповнити обсяги залишків пального або спирту етилового в системі електронного адміністрування реалізації пального та спирту етилового, він може зареєструвати заявку на поповнення обсягу залишку пального або спирту етилового за умови:</w:t>
      </w:r>
    </w:p>
    <w:p w14:paraId="77B1F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1" w:name="n15777"/>
      <w:bookmarkEnd w:id="7681"/>
      <w:r w:rsidRPr="008B264B">
        <w:rPr>
          <w:rFonts w:ascii="Times New Roman" w:eastAsia="Times New Roman" w:hAnsi="Times New Roman" w:cs="Times New Roman"/>
          <w:i/>
          <w:iCs/>
          <w:color w:val="000000"/>
          <w:sz w:val="24"/>
          <w:szCs w:val="24"/>
          <w:lang/>
        </w:rPr>
        <w:t>{Абзац перший підпункту 232.4.1 пункту 232.4 статті 232 в редакції Закону </w:t>
      </w:r>
      <w:hyperlink r:id="rId4338" w:anchor="n57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1E74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2" w:name="n15775"/>
      <w:bookmarkEnd w:id="7682"/>
      <w:r w:rsidRPr="008B264B">
        <w:rPr>
          <w:rFonts w:ascii="Times New Roman" w:eastAsia="Times New Roman" w:hAnsi="Times New Roman" w:cs="Times New Roman"/>
          <w:color w:val="000000"/>
          <w:sz w:val="24"/>
          <w:szCs w:val="24"/>
          <w:lang/>
        </w:rPr>
        <w:t>наявності на обліковій картці сум коштів сплаченого акцизного податку, не менше ніж сума акцизного податку, розрахованого з обсягу пального або спирту етилового у такій заявці, - для обсягів пального або спирту етилового, що оподатковуються акцизним податком;</w:t>
      </w:r>
    </w:p>
    <w:p w14:paraId="1FEC4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3" w:name="n15778"/>
      <w:bookmarkEnd w:id="7683"/>
      <w:r w:rsidRPr="008B264B">
        <w:rPr>
          <w:rFonts w:ascii="Times New Roman" w:eastAsia="Times New Roman" w:hAnsi="Times New Roman" w:cs="Times New Roman"/>
          <w:i/>
          <w:iCs/>
          <w:color w:val="000000"/>
          <w:sz w:val="24"/>
          <w:szCs w:val="24"/>
          <w:lang/>
        </w:rPr>
        <w:t>{Абзац підпункту 232.4.1 пункту 232.4 статті 232 в редакції Закону </w:t>
      </w:r>
      <w:hyperlink r:id="rId4339" w:anchor="n57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73443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4" w:name="n15776"/>
      <w:bookmarkEnd w:id="7684"/>
      <w:r w:rsidRPr="008B264B">
        <w:rPr>
          <w:rFonts w:ascii="Times New Roman" w:eastAsia="Times New Roman" w:hAnsi="Times New Roman" w:cs="Times New Roman"/>
          <w:color w:val="000000"/>
          <w:sz w:val="24"/>
          <w:szCs w:val="24"/>
          <w:lang/>
        </w:rPr>
        <w:t>без наявності на обліковій картці сум коштів сплаченого акцизного податку - для обсягів пального або спирту етилового, що оподатковуються на умовах, встановлених статтею 229 цього Кодексу, або не підлягають оподаткуванню, або звільняються від оподаткування.</w:t>
      </w:r>
    </w:p>
    <w:p w14:paraId="3B08CA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5" w:name="n15774"/>
      <w:bookmarkEnd w:id="7685"/>
      <w:r w:rsidRPr="008B264B">
        <w:rPr>
          <w:rFonts w:ascii="Times New Roman" w:eastAsia="Times New Roman" w:hAnsi="Times New Roman" w:cs="Times New Roman"/>
          <w:i/>
          <w:iCs/>
          <w:color w:val="000000"/>
          <w:sz w:val="24"/>
          <w:szCs w:val="24"/>
          <w:lang/>
        </w:rPr>
        <w:t>{Абзац підпункту 232.4.1 пункту 232.4 статті 232 в редакції Закону </w:t>
      </w:r>
      <w:hyperlink r:id="rId4340" w:anchor="n57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B3D61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6" w:name="n13246"/>
      <w:bookmarkEnd w:id="7686"/>
      <w:r w:rsidRPr="008B264B">
        <w:rPr>
          <w:rFonts w:ascii="Times New Roman" w:eastAsia="Times New Roman" w:hAnsi="Times New Roman" w:cs="Times New Roman"/>
          <w:color w:val="000000"/>
          <w:sz w:val="24"/>
          <w:szCs w:val="24"/>
          <w:lang/>
        </w:rPr>
        <w:t>Кошти сплаченого акцизного податку, які обліковуються в системі електронного адміністрування реалізації пального та спирту етилового, зараховуються на окремі рахунки, відкриті платнику акцизного податку в центральному органі виконавчої влади, що здійснює казначейське обслуговування бюджетних коштів.</w:t>
      </w:r>
    </w:p>
    <w:p w14:paraId="5CC58A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7" w:name="n15779"/>
      <w:bookmarkEnd w:id="7687"/>
      <w:r w:rsidRPr="008B264B">
        <w:rPr>
          <w:rFonts w:ascii="Times New Roman" w:eastAsia="Times New Roman" w:hAnsi="Times New Roman" w:cs="Times New Roman"/>
          <w:i/>
          <w:iCs/>
          <w:color w:val="000000"/>
          <w:sz w:val="24"/>
          <w:szCs w:val="24"/>
          <w:lang/>
        </w:rPr>
        <w:t>{Абзац четвертий підпункту 232.4.1 пункту 232.4 статті 232 із змінами, внесеними згідно із Законом </w:t>
      </w:r>
      <w:hyperlink r:id="rId4341" w:anchor="n58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16A04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8" w:name="n13247"/>
      <w:bookmarkEnd w:id="7688"/>
      <w:r w:rsidRPr="008B264B">
        <w:rPr>
          <w:rFonts w:ascii="Times New Roman" w:eastAsia="Times New Roman" w:hAnsi="Times New Roman" w:cs="Times New Roman"/>
          <w:color w:val="000000"/>
          <w:sz w:val="24"/>
          <w:szCs w:val="24"/>
          <w:lang/>
        </w:rPr>
        <w:t>232.4.3. У разі якщо у платника акцизного податку в результаті зміни фізико-хімічних показників пального або спирту етилового є необхідність провести збільшення обсягів пального або спирту етилового за певним кодом товарної підкатегорії згідно з </w:t>
      </w:r>
      <w:hyperlink r:id="rId4342"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xml:space="preserve"> і при цьому одночасно зменшити обсяги пального або спирту етилового за іншим кодом товарної підкатегорії згідно з УКТ ЗЕД, такий платник податку може оформити заявку на поповнення обсягу залишку </w:t>
      </w:r>
      <w:r w:rsidRPr="008B264B">
        <w:rPr>
          <w:rFonts w:ascii="Times New Roman" w:eastAsia="Times New Roman" w:hAnsi="Times New Roman" w:cs="Times New Roman"/>
          <w:color w:val="000000"/>
          <w:sz w:val="24"/>
          <w:szCs w:val="24"/>
          <w:lang/>
        </w:rPr>
        <w:lastRenderedPageBreak/>
        <w:t>пального або спирту етилового, в якій зазначаються обсяги пального або спирту етилового, що збільшуються та що зменшуються.</w:t>
      </w:r>
    </w:p>
    <w:p w14:paraId="7B3CA2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89" w:name="n13248"/>
      <w:bookmarkEnd w:id="7689"/>
      <w:r w:rsidRPr="008B264B">
        <w:rPr>
          <w:rFonts w:ascii="Times New Roman" w:eastAsia="Times New Roman" w:hAnsi="Times New Roman" w:cs="Times New Roman"/>
          <w:color w:val="000000"/>
          <w:sz w:val="24"/>
          <w:szCs w:val="24"/>
          <w:lang/>
        </w:rPr>
        <w:t>При цьому якщо суми акцизного податку на таке пальне або спирт етиловий є рівними, то така заявка оформляється з нульовою сумою акцизного податку і реєструється без списання з облікової картки грошових коштів сплаченого акцизного податку.</w:t>
      </w:r>
    </w:p>
    <w:p w14:paraId="6024CC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0" w:name="n13249"/>
      <w:bookmarkEnd w:id="7690"/>
      <w:r w:rsidRPr="008B264B">
        <w:rPr>
          <w:rFonts w:ascii="Times New Roman" w:eastAsia="Times New Roman" w:hAnsi="Times New Roman" w:cs="Times New Roman"/>
          <w:color w:val="000000"/>
          <w:sz w:val="24"/>
          <w:szCs w:val="24"/>
          <w:lang/>
        </w:rPr>
        <w:t>У разі якщо сума акцизного податку на пальне або спирт етиловий, обсяг залишків якого збільшується, є більшою, ніж сума акцизного податку на пальне або спирт етиловий, обсяг залишків якого зменшується у зв’язку із зміною їх фізико-хімічних показників, заявка на поповнення обсягу залишку пального або спирту етилового оформляється на суму різниці сум акцизного податку, розрахованих за відповідними ставками з відповідних обсягів залишку пального або спирту етилового, що збільшуються та зменшуються, та реєструється із списанням з облікової картки грошових коштів в розмірі такої різниці.</w:t>
      </w:r>
    </w:p>
    <w:p w14:paraId="7EBA45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1" w:name="n13250"/>
      <w:bookmarkEnd w:id="7691"/>
      <w:r w:rsidRPr="008B264B">
        <w:rPr>
          <w:rFonts w:ascii="Times New Roman" w:eastAsia="Times New Roman" w:hAnsi="Times New Roman" w:cs="Times New Roman"/>
          <w:color w:val="000000"/>
          <w:sz w:val="24"/>
          <w:szCs w:val="24"/>
          <w:lang/>
        </w:rPr>
        <w:t>У разі якщо сума акцизного податку на пальне або спирт етиловий, обсяги залишків якого збільшуються, є меншою, ніж сума акцизного податку на пальне або спирт етиловий, обсяги залишків якого зменшуються у зв’язку із зміною їх фізико-хімічних показників, заявка на поповнення обсягу залишку пального або спирту етилового оформляється з нульовою сумою акцизного податку і реєструється без повернення на облікову картку грошових коштів сплаченого акцизного податку.</w:t>
      </w:r>
    </w:p>
    <w:p w14:paraId="4B0AEC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2" w:name="n15780"/>
      <w:bookmarkEnd w:id="7692"/>
      <w:r w:rsidRPr="008B264B">
        <w:rPr>
          <w:rFonts w:ascii="Times New Roman" w:eastAsia="Times New Roman" w:hAnsi="Times New Roman" w:cs="Times New Roman"/>
          <w:i/>
          <w:iCs/>
          <w:color w:val="000000"/>
          <w:sz w:val="24"/>
          <w:szCs w:val="24"/>
          <w:lang/>
        </w:rPr>
        <w:t>{Підпункт 232.4.3 пункту 232.4 статті 232 із змінами, внесеними згідно із Законом </w:t>
      </w:r>
      <w:hyperlink r:id="rId4343" w:anchor="n58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D14EA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3" w:name="n13251"/>
      <w:bookmarkEnd w:id="7693"/>
      <w:r w:rsidRPr="008B264B">
        <w:rPr>
          <w:rFonts w:ascii="Times New Roman" w:eastAsia="Times New Roman" w:hAnsi="Times New Roman" w:cs="Times New Roman"/>
          <w:color w:val="000000"/>
          <w:sz w:val="24"/>
          <w:szCs w:val="24"/>
          <w:lang/>
        </w:rPr>
        <w:t>232.4.4. У разі виявлення помилок у зареєстрованих заявках на поповнення обсягу залишку пального або спирту етилового платник податку має право в межах 365 днів зареєструвати коригування до такої заявки на поповнення обсягу залишку пального або спирту етилового в межах позитивного значення показника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АНакл, визначеного відповідно до </w:t>
      </w:r>
      <w:hyperlink r:id="rId4344" w:anchor="n13223" w:history="1">
        <w:r w:rsidRPr="008B264B">
          <w:rPr>
            <w:rFonts w:ascii="Times New Roman" w:eastAsia="Times New Roman" w:hAnsi="Times New Roman" w:cs="Times New Roman"/>
            <w:color w:val="0000FF"/>
            <w:sz w:val="24"/>
            <w:szCs w:val="24"/>
            <w:u w:val="single"/>
            <w:lang/>
          </w:rPr>
          <w:t>пункту 232.3</w:t>
        </w:r>
      </w:hyperlink>
      <w:r w:rsidRPr="008B264B">
        <w:rPr>
          <w:rFonts w:ascii="Times New Roman" w:eastAsia="Times New Roman" w:hAnsi="Times New Roman" w:cs="Times New Roman"/>
          <w:color w:val="000000"/>
          <w:sz w:val="24"/>
          <w:szCs w:val="24"/>
          <w:lang/>
        </w:rPr>
        <w:t> цієї статті. При цьому таке коригування до заявки на поповнення обсягу залишку пального або спирту етилового повинно відображатися у декларації з акцизного податку за період, в якому відбулося таке коригування.</w:t>
      </w:r>
    </w:p>
    <w:p w14:paraId="2678C9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4" w:name="n15781"/>
      <w:bookmarkEnd w:id="7694"/>
      <w:r w:rsidRPr="008B264B">
        <w:rPr>
          <w:rFonts w:ascii="Times New Roman" w:eastAsia="Times New Roman" w:hAnsi="Times New Roman" w:cs="Times New Roman"/>
          <w:i/>
          <w:iCs/>
          <w:color w:val="000000"/>
          <w:sz w:val="24"/>
          <w:szCs w:val="24"/>
          <w:lang/>
        </w:rPr>
        <w:t>{Підпункт 232.4.4 пункту 232.4 статті 232 із змінами, внесеними згідно із Законом </w:t>
      </w:r>
      <w:hyperlink r:id="rId4345" w:anchor="n58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2DCA5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5" w:name="n13252"/>
      <w:bookmarkEnd w:id="7695"/>
      <w:r w:rsidRPr="008B264B">
        <w:rPr>
          <w:rFonts w:ascii="Times New Roman" w:eastAsia="Times New Roman" w:hAnsi="Times New Roman" w:cs="Times New Roman"/>
          <w:color w:val="000000"/>
          <w:sz w:val="24"/>
          <w:szCs w:val="24"/>
          <w:lang/>
        </w:rPr>
        <w:t>232.4.5. </w:t>
      </w:r>
      <w:hyperlink r:id="rId4346" w:anchor="n31" w:tgtFrame="_blank" w:history="1">
        <w:r w:rsidRPr="008B264B">
          <w:rPr>
            <w:rFonts w:ascii="Times New Roman" w:eastAsia="Times New Roman" w:hAnsi="Times New Roman" w:cs="Times New Roman"/>
            <w:color w:val="0000FF"/>
            <w:sz w:val="24"/>
            <w:szCs w:val="24"/>
            <w:u w:val="single"/>
            <w:lang/>
          </w:rPr>
          <w:t>Форма</w:t>
        </w:r>
      </w:hyperlink>
      <w:r w:rsidRPr="008B264B">
        <w:rPr>
          <w:rFonts w:ascii="Times New Roman" w:eastAsia="Times New Roman" w:hAnsi="Times New Roman" w:cs="Times New Roman"/>
          <w:color w:val="000000"/>
          <w:sz w:val="24"/>
          <w:szCs w:val="24"/>
          <w:lang/>
        </w:rPr>
        <w:t> та </w:t>
      </w:r>
      <w:hyperlink r:id="rId4347" w:anchor="n35"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заповнення заявки на поповнення обсягу залишку пального або спирту етилового та коригування до заявок на поповнення обсягу залишку пального або спирту етилового в системі електронного адміністрування реалізації пального та спирту етилового затверджуються центральним органом виконавчої влади, що забезпечує формування та реалізує державну фінансову політику.</w:t>
      </w:r>
    </w:p>
    <w:p w14:paraId="65CC6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6" w:name="n15782"/>
      <w:bookmarkEnd w:id="7696"/>
      <w:r w:rsidRPr="008B264B">
        <w:rPr>
          <w:rFonts w:ascii="Times New Roman" w:eastAsia="Times New Roman" w:hAnsi="Times New Roman" w:cs="Times New Roman"/>
          <w:i/>
          <w:iCs/>
          <w:color w:val="000000"/>
          <w:sz w:val="24"/>
          <w:szCs w:val="24"/>
          <w:lang/>
        </w:rPr>
        <w:t>{Підпункт 232.4.5 пункту 232.4 статті 232 в редакції Закону </w:t>
      </w:r>
      <w:hyperlink r:id="rId4348" w:anchor="n58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E5B4F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7" w:name="n13173"/>
      <w:bookmarkEnd w:id="7697"/>
      <w:r w:rsidRPr="008B264B">
        <w:rPr>
          <w:rFonts w:ascii="Times New Roman" w:eastAsia="Times New Roman" w:hAnsi="Times New Roman" w:cs="Times New Roman"/>
          <w:i/>
          <w:iCs/>
          <w:color w:val="000000"/>
          <w:sz w:val="24"/>
          <w:szCs w:val="24"/>
          <w:lang/>
        </w:rPr>
        <w:t>{Кодекс доповнено статтею 232 згідно із Законом </w:t>
      </w:r>
      <w:hyperlink r:id="rId4349" w:anchor="n41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 зміна щодо запровадження акцизних накладних при реалізації пального, Єдиного реєстру акцизних накладних та системи електронного адміністрування реалізації пального набирає чинності з 1 березня 2016 року - див. </w:t>
      </w:r>
      <w:hyperlink r:id="rId4350" w:anchor="n746"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909-VIII від 24.12.2015}</w:t>
      </w:r>
    </w:p>
    <w:p w14:paraId="3FF67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698" w:name="n5869"/>
      <w:bookmarkEnd w:id="7698"/>
      <w:r w:rsidRPr="008B264B">
        <w:rPr>
          <w:rFonts w:ascii="Times New Roman" w:eastAsia="Times New Roman" w:hAnsi="Times New Roman" w:cs="Times New Roman"/>
          <w:b/>
          <w:bCs/>
          <w:i/>
          <w:iCs/>
          <w:color w:val="000000"/>
          <w:sz w:val="24"/>
          <w:szCs w:val="24"/>
          <w:lang/>
        </w:rPr>
        <w:t>{Розділ VII "Збір за першу реєстрацію транспортного засобу" виключено на підставі Закону </w:t>
      </w:r>
      <w:hyperlink r:id="rId4351" w:anchor="n886"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6C68ADD1"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7699" w:name="n5958"/>
      <w:bookmarkEnd w:id="7699"/>
      <w:r w:rsidRPr="008B264B">
        <w:rPr>
          <w:rFonts w:ascii="Times New Roman" w:eastAsia="Times New Roman" w:hAnsi="Times New Roman" w:cs="Times New Roman"/>
          <w:b/>
          <w:bCs/>
          <w:color w:val="000000"/>
          <w:sz w:val="28"/>
          <w:szCs w:val="28"/>
          <w:lang/>
        </w:rPr>
        <w:t>РОЗДІЛ VIII. ЕКОЛОГІЧНИЙ ПОДАТОК</w:t>
      </w:r>
    </w:p>
    <w:p w14:paraId="06E116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0" w:name="n5959"/>
      <w:bookmarkEnd w:id="7700"/>
      <w:r w:rsidRPr="008B264B">
        <w:rPr>
          <w:rFonts w:ascii="Times New Roman" w:eastAsia="Times New Roman" w:hAnsi="Times New Roman" w:cs="Times New Roman"/>
          <w:b/>
          <w:bCs/>
          <w:color w:val="000000"/>
          <w:sz w:val="24"/>
          <w:szCs w:val="24"/>
          <w:lang/>
        </w:rPr>
        <w:t>Стаття 240.</w:t>
      </w:r>
      <w:r w:rsidRPr="008B264B">
        <w:rPr>
          <w:rFonts w:ascii="Times New Roman" w:eastAsia="Times New Roman" w:hAnsi="Times New Roman" w:cs="Times New Roman"/>
          <w:color w:val="000000"/>
          <w:sz w:val="24"/>
          <w:szCs w:val="24"/>
          <w:lang/>
        </w:rPr>
        <w:t> Платники податку</w:t>
      </w:r>
    </w:p>
    <w:p w14:paraId="042426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1" w:name="n5960"/>
      <w:bookmarkEnd w:id="7701"/>
      <w:r w:rsidRPr="008B264B">
        <w:rPr>
          <w:rFonts w:ascii="Times New Roman" w:eastAsia="Times New Roman" w:hAnsi="Times New Roman" w:cs="Times New Roman"/>
          <w:color w:val="000000"/>
          <w:sz w:val="24"/>
          <w:szCs w:val="24"/>
          <w:lang/>
        </w:rPr>
        <w:t xml:space="preserve">240.1. Платниками податку є суб'єкти господарювання, юридичні особи, що не провадять господарську (підприємницьку) діяльність, бюджетні установи, громадські та інші підприємства, установи та організації, постійні представництва нерезидентів, включаючи тих, які виконують агентські (представницькі) функції стосовно таких нерезидентів або їх засновників, під час </w:t>
      </w:r>
      <w:r w:rsidRPr="008B264B">
        <w:rPr>
          <w:rFonts w:ascii="Times New Roman" w:eastAsia="Times New Roman" w:hAnsi="Times New Roman" w:cs="Times New Roman"/>
          <w:color w:val="000000"/>
          <w:sz w:val="24"/>
          <w:szCs w:val="24"/>
          <w:lang/>
        </w:rPr>
        <w:lastRenderedPageBreak/>
        <w:t>провадження діяльності яких на території України і в межах її континентального шельфу та виключної (морської) економічної зони здійснюються:</w:t>
      </w:r>
    </w:p>
    <w:p w14:paraId="79EAF2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2" w:name="n5961"/>
      <w:bookmarkEnd w:id="7702"/>
      <w:r w:rsidRPr="008B264B">
        <w:rPr>
          <w:rFonts w:ascii="Times New Roman" w:eastAsia="Times New Roman" w:hAnsi="Times New Roman" w:cs="Times New Roman"/>
          <w:color w:val="000000"/>
          <w:sz w:val="24"/>
          <w:szCs w:val="24"/>
          <w:lang/>
        </w:rPr>
        <w:t>240.1.1. викиди забруднюючих речовин в атмосферне повітря стаціонарними джерелами забруднення;</w:t>
      </w:r>
    </w:p>
    <w:p w14:paraId="4571E6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3" w:name="n5962"/>
      <w:bookmarkEnd w:id="7703"/>
      <w:r w:rsidRPr="008B264B">
        <w:rPr>
          <w:rFonts w:ascii="Times New Roman" w:eastAsia="Times New Roman" w:hAnsi="Times New Roman" w:cs="Times New Roman"/>
          <w:color w:val="000000"/>
          <w:sz w:val="24"/>
          <w:szCs w:val="24"/>
          <w:lang/>
        </w:rPr>
        <w:t>240.1.2. скиди забруднюючих речовин безпосередньо у водні об'єкти;</w:t>
      </w:r>
    </w:p>
    <w:p w14:paraId="3DB262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4" w:name="n5963"/>
      <w:bookmarkEnd w:id="7704"/>
      <w:r w:rsidRPr="008B264B">
        <w:rPr>
          <w:rFonts w:ascii="Times New Roman" w:eastAsia="Times New Roman" w:hAnsi="Times New Roman" w:cs="Times New Roman"/>
          <w:color w:val="000000"/>
          <w:sz w:val="24"/>
          <w:szCs w:val="24"/>
          <w:lang/>
        </w:rPr>
        <w:t>240.1.3. розміщення відходів (крім розміщення окремих видів (класів) відходів як вторинної сировини, що розміщуються на власних територіях (об'єктах) суб'єктів господарювання);</w:t>
      </w:r>
    </w:p>
    <w:p w14:paraId="7F8948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5" w:name="n5964"/>
      <w:bookmarkEnd w:id="7705"/>
      <w:r w:rsidRPr="008B264B">
        <w:rPr>
          <w:rFonts w:ascii="Times New Roman" w:eastAsia="Times New Roman" w:hAnsi="Times New Roman" w:cs="Times New Roman"/>
          <w:i/>
          <w:iCs/>
          <w:color w:val="000000"/>
          <w:sz w:val="24"/>
          <w:szCs w:val="24"/>
          <w:lang/>
        </w:rPr>
        <w:t>{Підпункт 240.1.3 пункту 240.1 статті 240 в редакції Закону </w:t>
      </w:r>
      <w:hyperlink r:id="rId4352" w:anchor="n35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09F13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6" w:name="n5965"/>
      <w:bookmarkEnd w:id="7706"/>
      <w:r w:rsidRPr="008B264B">
        <w:rPr>
          <w:rFonts w:ascii="Times New Roman" w:eastAsia="Times New Roman" w:hAnsi="Times New Roman" w:cs="Times New Roman"/>
          <w:color w:val="000000"/>
          <w:sz w:val="24"/>
          <w:szCs w:val="24"/>
          <w:lang/>
        </w:rPr>
        <w:t>240.1.4. утворення радіоактивних відходів (включаючи вже накопичені);</w:t>
      </w:r>
    </w:p>
    <w:p w14:paraId="01B79B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7" w:name="n5966"/>
      <w:bookmarkEnd w:id="7707"/>
      <w:r w:rsidRPr="008B264B">
        <w:rPr>
          <w:rFonts w:ascii="Times New Roman" w:eastAsia="Times New Roman" w:hAnsi="Times New Roman" w:cs="Times New Roman"/>
          <w:color w:val="000000"/>
          <w:sz w:val="24"/>
          <w:szCs w:val="24"/>
          <w:lang/>
        </w:rPr>
        <w:t>240.1.5. тимчасове зберігання радіоактивних відходів їх виробниками понад установлений особливими умовами ліцензії строк.</w:t>
      </w:r>
    </w:p>
    <w:p w14:paraId="7BC227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8" w:name="n9269"/>
      <w:bookmarkEnd w:id="7708"/>
      <w:r w:rsidRPr="008B264B">
        <w:rPr>
          <w:rFonts w:ascii="Times New Roman" w:eastAsia="Times New Roman" w:hAnsi="Times New Roman" w:cs="Times New Roman"/>
          <w:i/>
          <w:iCs/>
          <w:color w:val="000000"/>
          <w:sz w:val="24"/>
          <w:szCs w:val="24"/>
          <w:lang/>
        </w:rPr>
        <w:t>{Підпункт 240.1.6 пункту  240.1 статті 240 виключено на підставі Закону </w:t>
      </w:r>
      <w:hyperlink r:id="rId4353" w:anchor="n13"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26934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09" w:name="n5967"/>
      <w:bookmarkEnd w:id="7709"/>
      <w:r w:rsidRPr="008B264B">
        <w:rPr>
          <w:rFonts w:ascii="Times New Roman" w:eastAsia="Times New Roman" w:hAnsi="Times New Roman" w:cs="Times New Roman"/>
          <w:i/>
          <w:iCs/>
          <w:color w:val="000000"/>
          <w:sz w:val="24"/>
          <w:szCs w:val="24"/>
          <w:lang/>
        </w:rPr>
        <w:t>{Пункт  240.2 статті 240 виключено на підставі Закону</w:t>
      </w:r>
      <w:r w:rsidRPr="008B264B">
        <w:rPr>
          <w:rFonts w:ascii="Times New Roman" w:eastAsia="Times New Roman" w:hAnsi="Times New Roman" w:cs="Times New Roman"/>
          <w:b/>
          <w:bCs/>
          <w:i/>
          <w:iCs/>
          <w:color w:val="000000"/>
          <w:sz w:val="24"/>
          <w:szCs w:val="24"/>
          <w:lang/>
        </w:rPr>
        <w:t> </w:t>
      </w:r>
      <w:hyperlink r:id="rId4354" w:anchor="n8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90FBF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0" w:name="n9272"/>
      <w:bookmarkEnd w:id="7710"/>
      <w:r w:rsidRPr="008B264B">
        <w:rPr>
          <w:rFonts w:ascii="Times New Roman" w:eastAsia="Times New Roman" w:hAnsi="Times New Roman" w:cs="Times New Roman"/>
          <w:i/>
          <w:iCs/>
          <w:color w:val="000000"/>
          <w:sz w:val="24"/>
          <w:szCs w:val="24"/>
          <w:lang/>
        </w:rPr>
        <w:t>{Пункт  240.2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240 виключено на підставі Закону </w:t>
      </w:r>
      <w:hyperlink r:id="rId4355" w:anchor="n13"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C44E3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1" w:name="n5968"/>
      <w:bookmarkEnd w:id="7711"/>
      <w:r w:rsidRPr="008B264B">
        <w:rPr>
          <w:rFonts w:ascii="Times New Roman" w:eastAsia="Times New Roman" w:hAnsi="Times New Roman" w:cs="Times New Roman"/>
          <w:color w:val="000000"/>
          <w:sz w:val="24"/>
          <w:szCs w:val="24"/>
          <w:lang/>
        </w:rPr>
        <w:t>240.3. Не є платниками податку за утворення радіоактивних відходів (включаючи вже накопичені) суб'єкти діяльності у сфері використання ядерної енергії, які:</w:t>
      </w:r>
    </w:p>
    <w:p w14:paraId="29E579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2" w:name="n5969"/>
      <w:bookmarkEnd w:id="7712"/>
      <w:r w:rsidRPr="008B264B">
        <w:rPr>
          <w:rFonts w:ascii="Times New Roman" w:eastAsia="Times New Roman" w:hAnsi="Times New Roman" w:cs="Times New Roman"/>
          <w:color w:val="000000"/>
          <w:sz w:val="24"/>
          <w:szCs w:val="24"/>
          <w:lang/>
        </w:rPr>
        <w:t>240.3.1. до останнього календарного дня (включно) звітного кварталу, у якому придбано джерело іонізуючого випромінювання, уклали договір щодо повернення відпрацьованого закритого джерела іонізуючого випромінювання за межі України до підприємства - виробника такого джерела;</w:t>
      </w:r>
    </w:p>
    <w:p w14:paraId="636219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3" w:name="n5970"/>
      <w:bookmarkEnd w:id="7713"/>
      <w:r w:rsidRPr="008B264B">
        <w:rPr>
          <w:rFonts w:ascii="Times New Roman" w:eastAsia="Times New Roman" w:hAnsi="Times New Roman" w:cs="Times New Roman"/>
          <w:color w:val="000000"/>
          <w:sz w:val="24"/>
          <w:szCs w:val="24"/>
          <w:lang/>
        </w:rPr>
        <w:t>240.3.2. здійснюють поводження з радіоактивними відходами, що утворилися внаслідок Чорнобильської катастрофи, в частині діяльності, пов'язаної з такими відходами.</w:t>
      </w:r>
    </w:p>
    <w:p w14:paraId="4568E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4" w:name="n5971"/>
      <w:bookmarkEnd w:id="7714"/>
      <w:r w:rsidRPr="008B264B">
        <w:rPr>
          <w:rFonts w:ascii="Times New Roman" w:eastAsia="Times New Roman" w:hAnsi="Times New Roman" w:cs="Times New Roman"/>
          <w:color w:val="000000"/>
          <w:sz w:val="24"/>
          <w:szCs w:val="24"/>
          <w:lang/>
        </w:rPr>
        <w:t>240.4. Не є платниками податку, що справляється за утворення радіоактивних відходів (включаючи вже накопичені) та/або тимчасове зберігання радіоактивних відходів їх виробниками понад установлений особливими умовами ліцензії строк, державні спеціалізовані підприємства з поводження з радіоактивними відходами, основною діяльністю яких є зберігання, переробка та захоронення тих радіоактивних відходів, що знаходяться у власності держави, а також дезактивація радіаційно-забруднених об'єктів.</w:t>
      </w:r>
    </w:p>
    <w:p w14:paraId="652FF7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5" w:name="n5972"/>
      <w:bookmarkEnd w:id="7715"/>
      <w:r w:rsidRPr="008B264B">
        <w:rPr>
          <w:rFonts w:ascii="Times New Roman" w:eastAsia="Times New Roman" w:hAnsi="Times New Roman" w:cs="Times New Roman"/>
          <w:color w:val="000000"/>
          <w:sz w:val="24"/>
          <w:szCs w:val="24"/>
          <w:lang/>
        </w:rPr>
        <w:t>240.5. Не є платниками податку за розміщення відходів суб'єкти господарювання, які розміщують на власних територіях (об'єктах) виключно відходи як вторинну сировину.</w:t>
      </w:r>
    </w:p>
    <w:p w14:paraId="7C2C70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6" w:name="n5973"/>
      <w:bookmarkEnd w:id="7716"/>
      <w:r w:rsidRPr="008B264B">
        <w:rPr>
          <w:rFonts w:ascii="Times New Roman" w:eastAsia="Times New Roman" w:hAnsi="Times New Roman" w:cs="Times New Roman"/>
          <w:i/>
          <w:iCs/>
          <w:color w:val="000000"/>
          <w:sz w:val="24"/>
          <w:szCs w:val="24"/>
          <w:lang/>
        </w:rPr>
        <w:t>{Пункт 240.5 статті 240 в редакції Закону </w:t>
      </w:r>
      <w:hyperlink r:id="rId4356" w:anchor="n35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FDAE4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7" w:name="n9277"/>
      <w:bookmarkEnd w:id="7717"/>
      <w:r w:rsidRPr="008B264B">
        <w:rPr>
          <w:rFonts w:ascii="Times New Roman" w:eastAsia="Times New Roman" w:hAnsi="Times New Roman" w:cs="Times New Roman"/>
          <w:i/>
          <w:iCs/>
          <w:color w:val="000000"/>
          <w:sz w:val="24"/>
          <w:szCs w:val="24"/>
          <w:lang/>
        </w:rPr>
        <w:t>{Пункт  240.6 статті 240 виключено на підставі Закону </w:t>
      </w:r>
      <w:hyperlink r:id="rId4357" w:anchor="n13"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1B732A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8" w:name="n15364"/>
      <w:bookmarkEnd w:id="7718"/>
      <w:r w:rsidRPr="008B264B">
        <w:rPr>
          <w:rFonts w:ascii="Times New Roman" w:eastAsia="Times New Roman" w:hAnsi="Times New Roman" w:cs="Times New Roman"/>
          <w:color w:val="000000"/>
          <w:sz w:val="24"/>
          <w:szCs w:val="24"/>
          <w:lang/>
        </w:rPr>
        <w:t>240.7. Не є платниками податку за викиди двоокису вуглецю суб’єкти, зазначені у пункті 240.1 цієї статті, якими здійснюються такі викиди в обсязі не більше 500 тонн за рік.</w:t>
      </w:r>
    </w:p>
    <w:p w14:paraId="2C2383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19" w:name="n15365"/>
      <w:bookmarkEnd w:id="7719"/>
      <w:r w:rsidRPr="008B264B">
        <w:rPr>
          <w:rFonts w:ascii="Times New Roman" w:eastAsia="Times New Roman" w:hAnsi="Times New Roman" w:cs="Times New Roman"/>
          <w:color w:val="000000"/>
          <w:sz w:val="24"/>
          <w:szCs w:val="24"/>
          <w:lang/>
        </w:rPr>
        <w:t>У разі якщо річний обсяг викидів двоокису вуглецю перевищує 500 тонн за рік, суб’єкти зобов’язані зареєструватися платниками податку у податковому (звітному) періоді, в якому відбулося таке перевищення. Такі платники зобов’язані скласти та подати податкову звітність, нарахувати та сплатити податок за податковий (звітний) період, у якому відбулося таке перевищення, у порядку, передбаченому цим Кодексом.</w:t>
      </w:r>
    </w:p>
    <w:p w14:paraId="697BDE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0" w:name="n15363"/>
      <w:bookmarkEnd w:id="7720"/>
      <w:r w:rsidRPr="008B264B">
        <w:rPr>
          <w:rFonts w:ascii="Times New Roman" w:eastAsia="Times New Roman" w:hAnsi="Times New Roman" w:cs="Times New Roman"/>
          <w:i/>
          <w:iCs/>
          <w:color w:val="000000"/>
          <w:sz w:val="24"/>
          <w:szCs w:val="24"/>
          <w:lang/>
        </w:rPr>
        <w:t>{Статтю 240 доповнено пунктом 240.7 згідно із Законом </w:t>
      </w:r>
      <w:hyperlink r:id="rId4358" w:anchor="n59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00BC4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1" w:name="n5974"/>
      <w:bookmarkEnd w:id="7721"/>
      <w:r w:rsidRPr="008B264B">
        <w:rPr>
          <w:rFonts w:ascii="Times New Roman" w:eastAsia="Times New Roman" w:hAnsi="Times New Roman" w:cs="Times New Roman"/>
          <w:i/>
          <w:iCs/>
          <w:color w:val="000000"/>
          <w:sz w:val="24"/>
          <w:szCs w:val="24"/>
          <w:lang/>
        </w:rPr>
        <w:t>{Статтю 241 виключено на підставі Закону</w:t>
      </w:r>
      <w:r w:rsidRPr="008B264B">
        <w:rPr>
          <w:rFonts w:ascii="Times New Roman" w:eastAsia="Times New Roman" w:hAnsi="Times New Roman" w:cs="Times New Roman"/>
          <w:b/>
          <w:bCs/>
          <w:i/>
          <w:iCs/>
          <w:color w:val="000000"/>
          <w:sz w:val="24"/>
          <w:szCs w:val="24"/>
          <w:lang/>
        </w:rPr>
        <w:t> </w:t>
      </w:r>
      <w:hyperlink r:id="rId4359" w:anchor="n88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E6D1A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2" w:name="n5980"/>
      <w:bookmarkEnd w:id="7722"/>
      <w:r w:rsidRPr="008B264B">
        <w:rPr>
          <w:rFonts w:ascii="Times New Roman" w:eastAsia="Times New Roman" w:hAnsi="Times New Roman" w:cs="Times New Roman"/>
          <w:b/>
          <w:bCs/>
          <w:color w:val="000000"/>
          <w:sz w:val="24"/>
          <w:szCs w:val="24"/>
          <w:lang/>
        </w:rPr>
        <w:t>Стаття 242.</w:t>
      </w:r>
      <w:r w:rsidRPr="008B264B">
        <w:rPr>
          <w:rFonts w:ascii="Times New Roman" w:eastAsia="Times New Roman" w:hAnsi="Times New Roman" w:cs="Times New Roman"/>
          <w:color w:val="000000"/>
          <w:sz w:val="24"/>
          <w:szCs w:val="24"/>
          <w:lang/>
        </w:rPr>
        <w:t> Об'єкт та база оподаткування</w:t>
      </w:r>
    </w:p>
    <w:p w14:paraId="6AA3B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3" w:name="n5981"/>
      <w:bookmarkEnd w:id="7723"/>
      <w:r w:rsidRPr="008B264B">
        <w:rPr>
          <w:rFonts w:ascii="Times New Roman" w:eastAsia="Times New Roman" w:hAnsi="Times New Roman" w:cs="Times New Roman"/>
          <w:color w:val="000000"/>
          <w:sz w:val="24"/>
          <w:szCs w:val="24"/>
          <w:lang/>
        </w:rPr>
        <w:lastRenderedPageBreak/>
        <w:t>242.1. Об'єктом та базою оподаткування є:</w:t>
      </w:r>
    </w:p>
    <w:p w14:paraId="25FC40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4" w:name="n5982"/>
      <w:bookmarkEnd w:id="7724"/>
      <w:r w:rsidRPr="008B264B">
        <w:rPr>
          <w:rFonts w:ascii="Times New Roman" w:eastAsia="Times New Roman" w:hAnsi="Times New Roman" w:cs="Times New Roman"/>
          <w:color w:val="000000"/>
          <w:sz w:val="24"/>
          <w:szCs w:val="24"/>
          <w:lang/>
        </w:rPr>
        <w:t>242.1.1. обсяги та види забруднюючих речовин, які викидаються в атмосферне повітря стаціонарними джерелами;</w:t>
      </w:r>
    </w:p>
    <w:p w14:paraId="593184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5" w:name="n5983"/>
      <w:bookmarkEnd w:id="7725"/>
      <w:r w:rsidRPr="008B264B">
        <w:rPr>
          <w:rFonts w:ascii="Times New Roman" w:eastAsia="Times New Roman" w:hAnsi="Times New Roman" w:cs="Times New Roman"/>
          <w:color w:val="000000"/>
          <w:sz w:val="24"/>
          <w:szCs w:val="24"/>
          <w:lang/>
        </w:rPr>
        <w:t>242.1.2. обсяги та види забруднюючих речовин, які скидаються безпосередньо у водні об'єкти;</w:t>
      </w:r>
    </w:p>
    <w:p w14:paraId="5BBD4C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6" w:name="n5984"/>
      <w:bookmarkEnd w:id="7726"/>
      <w:r w:rsidRPr="008B264B">
        <w:rPr>
          <w:rFonts w:ascii="Times New Roman" w:eastAsia="Times New Roman" w:hAnsi="Times New Roman" w:cs="Times New Roman"/>
          <w:color w:val="000000"/>
          <w:sz w:val="24"/>
          <w:szCs w:val="24"/>
          <w:lang/>
        </w:rPr>
        <w:t>242.1.3. обсяги та види (класи) розміщених відходів, крім обсягів та видів (класів) відходів як вторинної сировини, що розміщуються на власних територіях (об'єктах) суб'єктів господарювання;</w:t>
      </w:r>
    </w:p>
    <w:p w14:paraId="082ACE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7" w:name="n5985"/>
      <w:bookmarkEnd w:id="7727"/>
      <w:r w:rsidRPr="008B264B">
        <w:rPr>
          <w:rFonts w:ascii="Times New Roman" w:eastAsia="Times New Roman" w:hAnsi="Times New Roman" w:cs="Times New Roman"/>
          <w:i/>
          <w:iCs/>
          <w:color w:val="000000"/>
          <w:sz w:val="24"/>
          <w:szCs w:val="24"/>
          <w:lang/>
        </w:rPr>
        <w:t>{Підпункт 242.1.3 пункту 242.1 статті 242 в редакції Закону </w:t>
      </w:r>
      <w:hyperlink r:id="rId4360" w:anchor="n36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D33F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8" w:name="n5986"/>
      <w:bookmarkEnd w:id="7728"/>
      <w:r w:rsidRPr="008B264B">
        <w:rPr>
          <w:rFonts w:ascii="Times New Roman" w:eastAsia="Times New Roman" w:hAnsi="Times New Roman" w:cs="Times New Roman"/>
          <w:i/>
          <w:iCs/>
          <w:color w:val="000000"/>
          <w:sz w:val="24"/>
          <w:szCs w:val="24"/>
          <w:lang/>
        </w:rPr>
        <w:t>{Підпункт 242.1.4 пункту 242.1 статті 242 виключено на підставі Закону</w:t>
      </w:r>
      <w:r w:rsidRPr="008B264B">
        <w:rPr>
          <w:rFonts w:ascii="Times New Roman" w:eastAsia="Times New Roman" w:hAnsi="Times New Roman" w:cs="Times New Roman"/>
          <w:b/>
          <w:bCs/>
          <w:i/>
          <w:iCs/>
          <w:color w:val="000000"/>
          <w:sz w:val="24"/>
          <w:szCs w:val="24"/>
          <w:lang/>
        </w:rPr>
        <w:t> </w:t>
      </w:r>
      <w:hyperlink r:id="rId4361" w:anchor="n8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E2940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29" w:name="n5990"/>
      <w:bookmarkEnd w:id="7729"/>
      <w:r w:rsidRPr="008B264B">
        <w:rPr>
          <w:rFonts w:ascii="Times New Roman" w:eastAsia="Times New Roman" w:hAnsi="Times New Roman" w:cs="Times New Roman"/>
          <w:color w:val="000000"/>
          <w:sz w:val="24"/>
          <w:szCs w:val="24"/>
          <w:lang/>
        </w:rPr>
        <w:t>242.1.5. обсяги та категорія радіоактивних відходів, що утворюються внаслідок діяльності суб'єктів господарювання та/або тимчасово зберігаються їх виробниками понад установлений особливими умовами ліцензії строк;</w:t>
      </w:r>
    </w:p>
    <w:p w14:paraId="0F9381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0" w:name="n5991"/>
      <w:bookmarkEnd w:id="7730"/>
      <w:r w:rsidRPr="008B264B">
        <w:rPr>
          <w:rFonts w:ascii="Times New Roman" w:eastAsia="Times New Roman" w:hAnsi="Times New Roman" w:cs="Times New Roman"/>
          <w:color w:val="000000"/>
          <w:sz w:val="24"/>
          <w:szCs w:val="24"/>
          <w:lang/>
        </w:rPr>
        <w:t>242.1.6. обсяги електричної енергії, виробленої експлуатуючими організаціями ядерних установок (атомних електростанцій).</w:t>
      </w:r>
    </w:p>
    <w:p w14:paraId="28CC2A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1" w:name="n9290"/>
      <w:bookmarkEnd w:id="7731"/>
      <w:r w:rsidRPr="008B264B">
        <w:rPr>
          <w:rFonts w:ascii="Times New Roman" w:eastAsia="Times New Roman" w:hAnsi="Times New Roman" w:cs="Times New Roman"/>
          <w:i/>
          <w:iCs/>
          <w:color w:val="000000"/>
          <w:sz w:val="24"/>
          <w:szCs w:val="24"/>
          <w:lang/>
        </w:rPr>
        <w:t>{Пункт  242.2 статті 242 виключено на підставі Закону </w:t>
      </w:r>
      <w:hyperlink r:id="rId4362" w:anchor="n14"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B77B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2" w:name="n9297"/>
      <w:bookmarkEnd w:id="7732"/>
      <w:r w:rsidRPr="008B264B">
        <w:rPr>
          <w:rFonts w:ascii="Times New Roman" w:eastAsia="Times New Roman" w:hAnsi="Times New Roman" w:cs="Times New Roman"/>
          <w:i/>
          <w:iCs/>
          <w:color w:val="000000"/>
          <w:sz w:val="24"/>
          <w:szCs w:val="24"/>
          <w:lang/>
        </w:rPr>
        <w:t>{Пункт  242.3 статті 242 виключено на підставі Закону </w:t>
      </w:r>
      <w:hyperlink r:id="rId4363" w:anchor="n14"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7A25C5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3" w:name="n15367"/>
      <w:bookmarkEnd w:id="7733"/>
      <w:r w:rsidRPr="008B264B">
        <w:rPr>
          <w:rFonts w:ascii="Times New Roman" w:eastAsia="Times New Roman" w:hAnsi="Times New Roman" w:cs="Times New Roman"/>
          <w:color w:val="000000"/>
          <w:sz w:val="24"/>
          <w:szCs w:val="24"/>
          <w:lang/>
        </w:rPr>
        <w:t>242.4. База оподаткування податком за викиди двоокису вуглецю за результатами податкового (звітного) року зменшується на обсяг таких викидів у розмірі 500 тонн за рік.</w:t>
      </w:r>
    </w:p>
    <w:p w14:paraId="1622DC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4" w:name="n15366"/>
      <w:bookmarkEnd w:id="7734"/>
      <w:r w:rsidRPr="008B264B">
        <w:rPr>
          <w:rFonts w:ascii="Times New Roman" w:eastAsia="Times New Roman" w:hAnsi="Times New Roman" w:cs="Times New Roman"/>
          <w:i/>
          <w:iCs/>
          <w:color w:val="000000"/>
          <w:sz w:val="24"/>
          <w:szCs w:val="24"/>
          <w:lang/>
        </w:rPr>
        <w:t>{Статтю 242 доповнено пунктом 242.4 згідно із Законом </w:t>
      </w:r>
      <w:hyperlink r:id="rId4364" w:anchor="n59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25F26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5" w:name="n5992"/>
      <w:bookmarkEnd w:id="7735"/>
      <w:r w:rsidRPr="008B264B">
        <w:rPr>
          <w:rFonts w:ascii="Times New Roman" w:eastAsia="Times New Roman" w:hAnsi="Times New Roman" w:cs="Times New Roman"/>
          <w:b/>
          <w:bCs/>
          <w:color w:val="000000"/>
          <w:sz w:val="24"/>
          <w:szCs w:val="24"/>
          <w:lang/>
        </w:rPr>
        <w:t>Стаття 243.</w:t>
      </w:r>
      <w:r w:rsidRPr="008B264B">
        <w:rPr>
          <w:rFonts w:ascii="Times New Roman" w:eastAsia="Times New Roman" w:hAnsi="Times New Roman" w:cs="Times New Roman"/>
          <w:color w:val="000000"/>
          <w:sz w:val="24"/>
          <w:szCs w:val="24"/>
          <w:lang/>
        </w:rPr>
        <w:t> Ставки податку за викиди в атмосферне повітря забруднюючих речовин стаціонарними джерелами забруднення</w:t>
      </w:r>
    </w:p>
    <w:p w14:paraId="2765F3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6" w:name="n5993"/>
      <w:bookmarkEnd w:id="7736"/>
      <w:r w:rsidRPr="008B264B">
        <w:rPr>
          <w:rFonts w:ascii="Times New Roman" w:eastAsia="Times New Roman" w:hAnsi="Times New Roman" w:cs="Times New Roman"/>
          <w:color w:val="000000"/>
          <w:sz w:val="24"/>
          <w:szCs w:val="24"/>
          <w:lang/>
        </w:rPr>
        <w:t>243.1. Ставки податку за викиди в атмосферне повітря окремих забруднюючих речовин стаціонарними джерелами забруднення:</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5690"/>
        <w:gridCol w:w="4232"/>
      </w:tblGrid>
      <w:tr w:rsidR="008B264B" w:rsidRPr="008B264B" w14:paraId="5DEFA271" w14:textId="77777777" w:rsidTr="008B264B">
        <w:trPr>
          <w:jc w:val="center"/>
        </w:trPr>
        <w:tc>
          <w:tcPr>
            <w:tcW w:w="5325" w:type="dxa"/>
            <w:tcBorders>
              <w:top w:val="single" w:sz="6" w:space="0" w:color="000000"/>
              <w:left w:val="nil"/>
              <w:bottom w:val="single" w:sz="6" w:space="0" w:color="000000"/>
              <w:right w:val="single" w:sz="6" w:space="0" w:color="000000"/>
            </w:tcBorders>
            <w:shd w:val="clear" w:color="auto" w:fill="auto"/>
            <w:hideMark/>
          </w:tcPr>
          <w:p w14:paraId="0D2EAF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37" w:name="n14886"/>
            <w:bookmarkEnd w:id="7737"/>
            <w:r w:rsidRPr="008B264B">
              <w:rPr>
                <w:rFonts w:ascii="Times New Roman" w:eastAsia="Times New Roman" w:hAnsi="Times New Roman" w:cs="Times New Roman"/>
                <w:sz w:val="24"/>
                <w:szCs w:val="24"/>
                <w:lang/>
              </w:rPr>
              <w:t>Найменування забруднюючої речовини</w:t>
            </w:r>
          </w:p>
        </w:tc>
        <w:tc>
          <w:tcPr>
            <w:tcW w:w="3960" w:type="dxa"/>
            <w:tcBorders>
              <w:top w:val="single" w:sz="6" w:space="0" w:color="000000"/>
              <w:left w:val="single" w:sz="6" w:space="0" w:color="000000"/>
              <w:bottom w:val="single" w:sz="6" w:space="0" w:color="000000"/>
              <w:right w:val="nil"/>
            </w:tcBorders>
            <w:shd w:val="clear" w:color="auto" w:fill="auto"/>
            <w:hideMark/>
          </w:tcPr>
          <w:p w14:paraId="532217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r w:rsidRPr="008B264B">
              <w:rPr>
                <w:rFonts w:ascii="Times New Roman" w:eastAsia="Times New Roman" w:hAnsi="Times New Roman" w:cs="Times New Roman"/>
                <w:sz w:val="24"/>
                <w:szCs w:val="24"/>
                <w:lang/>
              </w:rPr>
              <w:br/>
              <w:t>гривень за 1 тонну</w:t>
            </w:r>
          </w:p>
        </w:tc>
      </w:tr>
      <w:tr w:rsidR="008B264B" w:rsidRPr="008B264B" w14:paraId="349F2D63" w14:textId="77777777" w:rsidTr="008B264B">
        <w:trPr>
          <w:jc w:val="center"/>
        </w:trPr>
        <w:tc>
          <w:tcPr>
            <w:tcW w:w="5325" w:type="dxa"/>
            <w:tcBorders>
              <w:top w:val="single" w:sz="6" w:space="0" w:color="000000"/>
              <w:left w:val="nil"/>
              <w:bottom w:val="nil"/>
              <w:right w:val="nil"/>
            </w:tcBorders>
            <w:shd w:val="clear" w:color="auto" w:fill="auto"/>
            <w:hideMark/>
          </w:tcPr>
          <w:p w14:paraId="4D37B7C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Азоту оксиди</w:t>
            </w:r>
          </w:p>
        </w:tc>
        <w:tc>
          <w:tcPr>
            <w:tcW w:w="3960" w:type="dxa"/>
            <w:tcBorders>
              <w:top w:val="single" w:sz="6" w:space="0" w:color="000000"/>
              <w:left w:val="nil"/>
              <w:bottom w:val="nil"/>
              <w:right w:val="nil"/>
            </w:tcBorders>
            <w:shd w:val="clear" w:color="auto" w:fill="auto"/>
            <w:hideMark/>
          </w:tcPr>
          <w:p w14:paraId="6D92D2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2451,84</w:t>
            </w:r>
          </w:p>
        </w:tc>
      </w:tr>
      <w:tr w:rsidR="008B264B" w:rsidRPr="008B264B" w14:paraId="37E81CFB" w14:textId="77777777" w:rsidTr="008B264B">
        <w:trPr>
          <w:jc w:val="center"/>
        </w:trPr>
        <w:tc>
          <w:tcPr>
            <w:tcW w:w="5325" w:type="dxa"/>
            <w:tcBorders>
              <w:top w:val="nil"/>
              <w:left w:val="nil"/>
              <w:bottom w:val="nil"/>
              <w:right w:val="nil"/>
            </w:tcBorders>
            <w:shd w:val="clear" w:color="auto" w:fill="auto"/>
            <w:hideMark/>
          </w:tcPr>
          <w:p w14:paraId="599CF2A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Аміак</w:t>
            </w:r>
          </w:p>
        </w:tc>
        <w:tc>
          <w:tcPr>
            <w:tcW w:w="3960" w:type="dxa"/>
            <w:tcBorders>
              <w:top w:val="nil"/>
              <w:left w:val="nil"/>
              <w:bottom w:val="nil"/>
              <w:right w:val="nil"/>
            </w:tcBorders>
            <w:shd w:val="clear" w:color="auto" w:fill="auto"/>
            <w:hideMark/>
          </w:tcPr>
          <w:p w14:paraId="7514BE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459,85</w:t>
            </w:r>
          </w:p>
        </w:tc>
      </w:tr>
      <w:tr w:rsidR="008B264B" w:rsidRPr="008B264B" w14:paraId="2841714D" w14:textId="77777777" w:rsidTr="008B264B">
        <w:trPr>
          <w:jc w:val="center"/>
        </w:trPr>
        <w:tc>
          <w:tcPr>
            <w:tcW w:w="5325" w:type="dxa"/>
            <w:tcBorders>
              <w:top w:val="nil"/>
              <w:left w:val="nil"/>
              <w:bottom w:val="nil"/>
              <w:right w:val="nil"/>
            </w:tcBorders>
            <w:shd w:val="clear" w:color="auto" w:fill="auto"/>
            <w:hideMark/>
          </w:tcPr>
          <w:p w14:paraId="5EAC9BA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Ангідрид сірчистий</w:t>
            </w:r>
          </w:p>
        </w:tc>
        <w:tc>
          <w:tcPr>
            <w:tcW w:w="3960" w:type="dxa"/>
            <w:tcBorders>
              <w:top w:val="nil"/>
              <w:left w:val="nil"/>
              <w:bottom w:val="nil"/>
              <w:right w:val="nil"/>
            </w:tcBorders>
            <w:shd w:val="clear" w:color="auto" w:fill="auto"/>
            <w:hideMark/>
          </w:tcPr>
          <w:p w14:paraId="1EDD3B8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2451,84</w:t>
            </w:r>
          </w:p>
        </w:tc>
      </w:tr>
      <w:tr w:rsidR="008B264B" w:rsidRPr="008B264B" w14:paraId="67D5ACCD" w14:textId="77777777" w:rsidTr="008B264B">
        <w:trPr>
          <w:jc w:val="center"/>
        </w:trPr>
        <w:tc>
          <w:tcPr>
            <w:tcW w:w="5325" w:type="dxa"/>
            <w:tcBorders>
              <w:top w:val="nil"/>
              <w:left w:val="nil"/>
              <w:bottom w:val="nil"/>
              <w:right w:val="nil"/>
            </w:tcBorders>
            <w:shd w:val="clear" w:color="auto" w:fill="auto"/>
            <w:hideMark/>
          </w:tcPr>
          <w:p w14:paraId="71A466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Ацетон</w:t>
            </w:r>
          </w:p>
        </w:tc>
        <w:tc>
          <w:tcPr>
            <w:tcW w:w="3960" w:type="dxa"/>
            <w:tcBorders>
              <w:top w:val="nil"/>
              <w:left w:val="nil"/>
              <w:bottom w:val="nil"/>
              <w:right w:val="nil"/>
            </w:tcBorders>
            <w:shd w:val="clear" w:color="auto" w:fill="auto"/>
            <w:hideMark/>
          </w:tcPr>
          <w:p w14:paraId="4B0A5E6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919,69</w:t>
            </w:r>
          </w:p>
        </w:tc>
      </w:tr>
      <w:tr w:rsidR="008B264B" w:rsidRPr="008B264B" w14:paraId="38FCB337" w14:textId="77777777" w:rsidTr="008B264B">
        <w:trPr>
          <w:jc w:val="center"/>
        </w:trPr>
        <w:tc>
          <w:tcPr>
            <w:tcW w:w="5325" w:type="dxa"/>
            <w:tcBorders>
              <w:top w:val="nil"/>
              <w:left w:val="nil"/>
              <w:bottom w:val="nil"/>
              <w:right w:val="nil"/>
            </w:tcBorders>
            <w:shd w:val="clear" w:color="auto" w:fill="auto"/>
            <w:hideMark/>
          </w:tcPr>
          <w:p w14:paraId="0B53249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Бенз(о)пірен</w:t>
            </w:r>
          </w:p>
        </w:tc>
        <w:tc>
          <w:tcPr>
            <w:tcW w:w="3960" w:type="dxa"/>
            <w:tcBorders>
              <w:top w:val="nil"/>
              <w:left w:val="nil"/>
              <w:bottom w:val="nil"/>
              <w:right w:val="nil"/>
            </w:tcBorders>
            <w:shd w:val="clear" w:color="auto" w:fill="auto"/>
            <w:hideMark/>
          </w:tcPr>
          <w:p w14:paraId="0FAE9E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3121217,74</w:t>
            </w:r>
          </w:p>
        </w:tc>
      </w:tr>
      <w:tr w:rsidR="008B264B" w:rsidRPr="008B264B" w14:paraId="60C69447" w14:textId="77777777" w:rsidTr="008B264B">
        <w:trPr>
          <w:jc w:val="center"/>
        </w:trPr>
        <w:tc>
          <w:tcPr>
            <w:tcW w:w="5325" w:type="dxa"/>
            <w:tcBorders>
              <w:top w:val="nil"/>
              <w:left w:val="nil"/>
              <w:bottom w:val="nil"/>
              <w:right w:val="nil"/>
            </w:tcBorders>
            <w:shd w:val="clear" w:color="auto" w:fill="auto"/>
            <w:hideMark/>
          </w:tcPr>
          <w:p w14:paraId="51740F6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Бутилацетат</w:t>
            </w:r>
          </w:p>
        </w:tc>
        <w:tc>
          <w:tcPr>
            <w:tcW w:w="3960" w:type="dxa"/>
            <w:tcBorders>
              <w:top w:val="nil"/>
              <w:left w:val="nil"/>
              <w:bottom w:val="nil"/>
              <w:right w:val="nil"/>
            </w:tcBorders>
            <w:shd w:val="clear" w:color="auto" w:fill="auto"/>
            <w:hideMark/>
          </w:tcPr>
          <w:p w14:paraId="6C7F0A9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552,23</w:t>
            </w:r>
          </w:p>
        </w:tc>
      </w:tr>
      <w:tr w:rsidR="008B264B" w:rsidRPr="008B264B" w14:paraId="7D374894" w14:textId="77777777" w:rsidTr="008B264B">
        <w:trPr>
          <w:jc w:val="center"/>
        </w:trPr>
        <w:tc>
          <w:tcPr>
            <w:tcW w:w="5325" w:type="dxa"/>
            <w:tcBorders>
              <w:top w:val="nil"/>
              <w:left w:val="nil"/>
              <w:bottom w:val="nil"/>
              <w:right w:val="nil"/>
            </w:tcBorders>
            <w:shd w:val="clear" w:color="auto" w:fill="auto"/>
            <w:hideMark/>
          </w:tcPr>
          <w:p w14:paraId="3D335C0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Ванадію п’ятиокис</w:t>
            </w:r>
          </w:p>
        </w:tc>
        <w:tc>
          <w:tcPr>
            <w:tcW w:w="3960" w:type="dxa"/>
            <w:tcBorders>
              <w:top w:val="nil"/>
              <w:left w:val="nil"/>
              <w:bottom w:val="nil"/>
              <w:right w:val="nil"/>
            </w:tcBorders>
            <w:shd w:val="clear" w:color="auto" w:fill="auto"/>
            <w:hideMark/>
          </w:tcPr>
          <w:p w14:paraId="765D87F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9196,93</w:t>
            </w:r>
          </w:p>
        </w:tc>
      </w:tr>
      <w:tr w:rsidR="008B264B" w:rsidRPr="008B264B" w14:paraId="6303F8CF" w14:textId="77777777" w:rsidTr="008B264B">
        <w:trPr>
          <w:jc w:val="center"/>
        </w:trPr>
        <w:tc>
          <w:tcPr>
            <w:tcW w:w="5325" w:type="dxa"/>
            <w:tcBorders>
              <w:top w:val="nil"/>
              <w:left w:val="nil"/>
              <w:bottom w:val="nil"/>
              <w:right w:val="nil"/>
            </w:tcBorders>
            <w:shd w:val="clear" w:color="auto" w:fill="auto"/>
            <w:hideMark/>
          </w:tcPr>
          <w:p w14:paraId="4CE85B3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Водень хлористий</w:t>
            </w:r>
          </w:p>
        </w:tc>
        <w:tc>
          <w:tcPr>
            <w:tcW w:w="3960" w:type="dxa"/>
            <w:tcBorders>
              <w:top w:val="nil"/>
              <w:left w:val="nil"/>
              <w:bottom w:val="nil"/>
              <w:right w:val="nil"/>
            </w:tcBorders>
            <w:shd w:val="clear" w:color="auto" w:fill="auto"/>
            <w:hideMark/>
          </w:tcPr>
          <w:p w14:paraId="090013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92,37</w:t>
            </w:r>
          </w:p>
        </w:tc>
      </w:tr>
      <w:tr w:rsidR="008B264B" w:rsidRPr="008B264B" w14:paraId="68BCCE6B" w14:textId="77777777" w:rsidTr="008B264B">
        <w:trPr>
          <w:jc w:val="center"/>
        </w:trPr>
        <w:tc>
          <w:tcPr>
            <w:tcW w:w="5325" w:type="dxa"/>
            <w:tcBorders>
              <w:top w:val="nil"/>
              <w:left w:val="nil"/>
              <w:bottom w:val="nil"/>
              <w:right w:val="nil"/>
            </w:tcBorders>
            <w:shd w:val="clear" w:color="auto" w:fill="auto"/>
            <w:hideMark/>
          </w:tcPr>
          <w:p w14:paraId="2A6D018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Вуглецю окис</w:t>
            </w:r>
          </w:p>
        </w:tc>
        <w:tc>
          <w:tcPr>
            <w:tcW w:w="3960" w:type="dxa"/>
            <w:tcBorders>
              <w:top w:val="nil"/>
              <w:left w:val="nil"/>
              <w:bottom w:val="nil"/>
              <w:right w:val="nil"/>
            </w:tcBorders>
            <w:shd w:val="clear" w:color="auto" w:fill="auto"/>
            <w:hideMark/>
          </w:tcPr>
          <w:p w14:paraId="32E07A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92,37</w:t>
            </w:r>
          </w:p>
        </w:tc>
      </w:tr>
      <w:tr w:rsidR="008B264B" w:rsidRPr="008B264B" w14:paraId="3460982A" w14:textId="77777777" w:rsidTr="008B264B">
        <w:trPr>
          <w:jc w:val="center"/>
        </w:trPr>
        <w:tc>
          <w:tcPr>
            <w:tcW w:w="5325" w:type="dxa"/>
            <w:tcBorders>
              <w:top w:val="nil"/>
              <w:left w:val="nil"/>
              <w:bottom w:val="nil"/>
              <w:right w:val="nil"/>
            </w:tcBorders>
            <w:shd w:val="clear" w:color="auto" w:fill="auto"/>
            <w:hideMark/>
          </w:tcPr>
          <w:p w14:paraId="2E47BB2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Вуглеводні</w:t>
            </w:r>
          </w:p>
        </w:tc>
        <w:tc>
          <w:tcPr>
            <w:tcW w:w="3960" w:type="dxa"/>
            <w:tcBorders>
              <w:top w:val="nil"/>
              <w:left w:val="nil"/>
              <w:bottom w:val="nil"/>
              <w:right w:val="nil"/>
            </w:tcBorders>
            <w:shd w:val="clear" w:color="auto" w:fill="auto"/>
            <w:hideMark/>
          </w:tcPr>
          <w:p w14:paraId="10E4CB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138,57</w:t>
            </w:r>
          </w:p>
        </w:tc>
      </w:tr>
      <w:tr w:rsidR="008B264B" w:rsidRPr="008B264B" w14:paraId="784A3D68" w14:textId="77777777" w:rsidTr="008B264B">
        <w:trPr>
          <w:jc w:val="center"/>
        </w:trPr>
        <w:tc>
          <w:tcPr>
            <w:tcW w:w="5325" w:type="dxa"/>
            <w:tcBorders>
              <w:top w:val="nil"/>
              <w:left w:val="nil"/>
              <w:bottom w:val="nil"/>
              <w:right w:val="nil"/>
            </w:tcBorders>
            <w:shd w:val="clear" w:color="auto" w:fill="auto"/>
            <w:hideMark/>
          </w:tcPr>
          <w:p w14:paraId="78BA5D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Газоподібні фтористі сполуки</w:t>
            </w:r>
          </w:p>
        </w:tc>
        <w:tc>
          <w:tcPr>
            <w:tcW w:w="3960" w:type="dxa"/>
            <w:tcBorders>
              <w:top w:val="nil"/>
              <w:left w:val="nil"/>
              <w:bottom w:val="nil"/>
              <w:right w:val="nil"/>
            </w:tcBorders>
            <w:shd w:val="clear" w:color="auto" w:fill="auto"/>
            <w:hideMark/>
          </w:tcPr>
          <w:p w14:paraId="20AF187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6070,39</w:t>
            </w:r>
          </w:p>
        </w:tc>
      </w:tr>
      <w:tr w:rsidR="008B264B" w:rsidRPr="008B264B" w14:paraId="7244DDF4" w14:textId="77777777" w:rsidTr="008B264B">
        <w:trPr>
          <w:jc w:val="center"/>
        </w:trPr>
        <w:tc>
          <w:tcPr>
            <w:tcW w:w="5325" w:type="dxa"/>
            <w:tcBorders>
              <w:top w:val="nil"/>
              <w:left w:val="nil"/>
              <w:bottom w:val="nil"/>
              <w:right w:val="nil"/>
            </w:tcBorders>
            <w:shd w:val="clear" w:color="auto" w:fill="auto"/>
            <w:hideMark/>
          </w:tcPr>
          <w:p w14:paraId="5322B71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Тверді речовини</w:t>
            </w:r>
          </w:p>
        </w:tc>
        <w:tc>
          <w:tcPr>
            <w:tcW w:w="3960" w:type="dxa"/>
            <w:tcBorders>
              <w:top w:val="nil"/>
              <w:left w:val="nil"/>
              <w:bottom w:val="nil"/>
              <w:right w:val="nil"/>
            </w:tcBorders>
            <w:shd w:val="clear" w:color="auto" w:fill="auto"/>
            <w:hideMark/>
          </w:tcPr>
          <w:p w14:paraId="75D7C8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92,37</w:t>
            </w:r>
          </w:p>
        </w:tc>
      </w:tr>
      <w:tr w:rsidR="008B264B" w:rsidRPr="008B264B" w14:paraId="5BEFC584" w14:textId="77777777" w:rsidTr="008B264B">
        <w:trPr>
          <w:jc w:val="center"/>
        </w:trPr>
        <w:tc>
          <w:tcPr>
            <w:tcW w:w="5325" w:type="dxa"/>
            <w:tcBorders>
              <w:top w:val="nil"/>
              <w:left w:val="nil"/>
              <w:bottom w:val="nil"/>
              <w:right w:val="nil"/>
            </w:tcBorders>
            <w:shd w:val="clear" w:color="auto" w:fill="auto"/>
            <w:hideMark/>
          </w:tcPr>
          <w:p w14:paraId="5703C52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Кадмію сполуки</w:t>
            </w:r>
          </w:p>
        </w:tc>
        <w:tc>
          <w:tcPr>
            <w:tcW w:w="3960" w:type="dxa"/>
            <w:tcBorders>
              <w:top w:val="nil"/>
              <w:left w:val="nil"/>
              <w:bottom w:val="nil"/>
              <w:right w:val="nil"/>
            </w:tcBorders>
            <w:shd w:val="clear" w:color="auto" w:fill="auto"/>
            <w:hideMark/>
          </w:tcPr>
          <w:p w14:paraId="46AFA8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19405,92</w:t>
            </w:r>
          </w:p>
        </w:tc>
      </w:tr>
      <w:tr w:rsidR="008B264B" w:rsidRPr="008B264B" w14:paraId="2117F72B" w14:textId="77777777" w:rsidTr="008B264B">
        <w:trPr>
          <w:jc w:val="center"/>
        </w:trPr>
        <w:tc>
          <w:tcPr>
            <w:tcW w:w="5325" w:type="dxa"/>
            <w:tcBorders>
              <w:top w:val="nil"/>
              <w:left w:val="nil"/>
              <w:bottom w:val="nil"/>
              <w:right w:val="nil"/>
            </w:tcBorders>
            <w:shd w:val="clear" w:color="auto" w:fill="auto"/>
            <w:hideMark/>
          </w:tcPr>
          <w:p w14:paraId="18792EC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Марганець та його сполуки</w:t>
            </w:r>
          </w:p>
        </w:tc>
        <w:tc>
          <w:tcPr>
            <w:tcW w:w="3960" w:type="dxa"/>
            <w:tcBorders>
              <w:top w:val="nil"/>
              <w:left w:val="nil"/>
              <w:bottom w:val="nil"/>
              <w:right w:val="nil"/>
            </w:tcBorders>
            <w:shd w:val="clear" w:color="auto" w:fill="auto"/>
            <w:hideMark/>
          </w:tcPr>
          <w:p w14:paraId="7C032E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19405,92</w:t>
            </w:r>
          </w:p>
        </w:tc>
      </w:tr>
      <w:tr w:rsidR="008B264B" w:rsidRPr="008B264B" w14:paraId="408B5BE2" w14:textId="77777777" w:rsidTr="008B264B">
        <w:trPr>
          <w:jc w:val="center"/>
        </w:trPr>
        <w:tc>
          <w:tcPr>
            <w:tcW w:w="5325" w:type="dxa"/>
            <w:tcBorders>
              <w:top w:val="nil"/>
              <w:left w:val="nil"/>
              <w:bottom w:val="nil"/>
              <w:right w:val="nil"/>
            </w:tcBorders>
            <w:shd w:val="clear" w:color="auto" w:fill="auto"/>
            <w:hideMark/>
          </w:tcPr>
          <w:p w14:paraId="2F71E6B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Нікель та його сполуки</w:t>
            </w:r>
          </w:p>
        </w:tc>
        <w:tc>
          <w:tcPr>
            <w:tcW w:w="3960" w:type="dxa"/>
            <w:tcBorders>
              <w:top w:val="nil"/>
              <w:left w:val="nil"/>
              <w:bottom w:val="nil"/>
              <w:right w:val="nil"/>
            </w:tcBorders>
            <w:shd w:val="clear" w:color="auto" w:fill="auto"/>
            <w:hideMark/>
          </w:tcPr>
          <w:p w14:paraId="3FABE5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98872,97</w:t>
            </w:r>
          </w:p>
        </w:tc>
      </w:tr>
      <w:tr w:rsidR="008B264B" w:rsidRPr="008B264B" w14:paraId="777FC7EA" w14:textId="77777777" w:rsidTr="008B264B">
        <w:trPr>
          <w:jc w:val="center"/>
        </w:trPr>
        <w:tc>
          <w:tcPr>
            <w:tcW w:w="5325" w:type="dxa"/>
            <w:tcBorders>
              <w:top w:val="nil"/>
              <w:left w:val="nil"/>
              <w:bottom w:val="nil"/>
              <w:right w:val="nil"/>
            </w:tcBorders>
            <w:shd w:val="clear" w:color="auto" w:fill="auto"/>
            <w:hideMark/>
          </w:tcPr>
          <w:p w14:paraId="3D50B5E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Озон</w:t>
            </w:r>
          </w:p>
        </w:tc>
        <w:tc>
          <w:tcPr>
            <w:tcW w:w="3960" w:type="dxa"/>
            <w:tcBorders>
              <w:top w:val="nil"/>
              <w:left w:val="nil"/>
              <w:bottom w:val="nil"/>
              <w:right w:val="nil"/>
            </w:tcBorders>
            <w:shd w:val="clear" w:color="auto" w:fill="auto"/>
            <w:hideMark/>
          </w:tcPr>
          <w:p w14:paraId="5C605A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2451,84</w:t>
            </w:r>
          </w:p>
        </w:tc>
      </w:tr>
      <w:tr w:rsidR="008B264B" w:rsidRPr="008B264B" w14:paraId="2960AA4E" w14:textId="77777777" w:rsidTr="008B264B">
        <w:trPr>
          <w:jc w:val="center"/>
        </w:trPr>
        <w:tc>
          <w:tcPr>
            <w:tcW w:w="5325" w:type="dxa"/>
            <w:tcBorders>
              <w:top w:val="nil"/>
              <w:left w:val="nil"/>
              <w:bottom w:val="nil"/>
              <w:right w:val="nil"/>
            </w:tcBorders>
            <w:shd w:val="clear" w:color="auto" w:fill="auto"/>
            <w:hideMark/>
          </w:tcPr>
          <w:p w14:paraId="7C25484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Ртуть та її сполуки</w:t>
            </w:r>
          </w:p>
        </w:tc>
        <w:tc>
          <w:tcPr>
            <w:tcW w:w="3960" w:type="dxa"/>
            <w:tcBorders>
              <w:top w:val="nil"/>
              <w:left w:val="nil"/>
              <w:bottom w:val="nil"/>
              <w:right w:val="nil"/>
            </w:tcBorders>
            <w:shd w:val="clear" w:color="auto" w:fill="auto"/>
            <w:hideMark/>
          </w:tcPr>
          <w:p w14:paraId="3D52B7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103931,28</w:t>
            </w:r>
          </w:p>
        </w:tc>
      </w:tr>
      <w:tr w:rsidR="008B264B" w:rsidRPr="008B264B" w14:paraId="6E099D87" w14:textId="77777777" w:rsidTr="008B264B">
        <w:trPr>
          <w:jc w:val="center"/>
        </w:trPr>
        <w:tc>
          <w:tcPr>
            <w:tcW w:w="5325" w:type="dxa"/>
            <w:tcBorders>
              <w:top w:val="nil"/>
              <w:left w:val="nil"/>
              <w:bottom w:val="nil"/>
              <w:right w:val="nil"/>
            </w:tcBorders>
            <w:shd w:val="clear" w:color="auto" w:fill="auto"/>
            <w:hideMark/>
          </w:tcPr>
          <w:p w14:paraId="7C722C7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Свинець та його сполуки</w:t>
            </w:r>
          </w:p>
        </w:tc>
        <w:tc>
          <w:tcPr>
            <w:tcW w:w="3960" w:type="dxa"/>
            <w:tcBorders>
              <w:top w:val="nil"/>
              <w:left w:val="nil"/>
              <w:bottom w:val="nil"/>
              <w:right w:val="nil"/>
            </w:tcBorders>
            <w:shd w:val="clear" w:color="auto" w:fill="auto"/>
            <w:hideMark/>
          </w:tcPr>
          <w:p w14:paraId="432142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103931,28</w:t>
            </w:r>
          </w:p>
        </w:tc>
      </w:tr>
      <w:tr w:rsidR="008B264B" w:rsidRPr="008B264B" w14:paraId="190D0931" w14:textId="77777777" w:rsidTr="008B264B">
        <w:trPr>
          <w:jc w:val="center"/>
        </w:trPr>
        <w:tc>
          <w:tcPr>
            <w:tcW w:w="5325" w:type="dxa"/>
            <w:tcBorders>
              <w:top w:val="nil"/>
              <w:left w:val="nil"/>
              <w:bottom w:val="nil"/>
              <w:right w:val="nil"/>
            </w:tcBorders>
            <w:shd w:val="clear" w:color="auto" w:fill="auto"/>
            <w:hideMark/>
          </w:tcPr>
          <w:p w14:paraId="01ED3A9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Сірководень</w:t>
            </w:r>
          </w:p>
        </w:tc>
        <w:tc>
          <w:tcPr>
            <w:tcW w:w="3960" w:type="dxa"/>
            <w:tcBorders>
              <w:top w:val="nil"/>
              <w:left w:val="nil"/>
              <w:bottom w:val="nil"/>
              <w:right w:val="nil"/>
            </w:tcBorders>
            <w:shd w:val="clear" w:color="auto" w:fill="auto"/>
            <w:hideMark/>
          </w:tcPr>
          <w:p w14:paraId="04ED27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7879,65</w:t>
            </w:r>
          </w:p>
        </w:tc>
      </w:tr>
      <w:tr w:rsidR="008B264B" w:rsidRPr="008B264B" w14:paraId="0856EA52" w14:textId="77777777" w:rsidTr="008B264B">
        <w:trPr>
          <w:jc w:val="center"/>
        </w:trPr>
        <w:tc>
          <w:tcPr>
            <w:tcW w:w="5325" w:type="dxa"/>
            <w:tcBorders>
              <w:top w:val="nil"/>
              <w:left w:val="nil"/>
              <w:bottom w:val="nil"/>
              <w:right w:val="nil"/>
            </w:tcBorders>
            <w:shd w:val="clear" w:color="auto" w:fill="auto"/>
            <w:hideMark/>
          </w:tcPr>
          <w:p w14:paraId="242649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Сірковуглець</w:t>
            </w:r>
          </w:p>
        </w:tc>
        <w:tc>
          <w:tcPr>
            <w:tcW w:w="3960" w:type="dxa"/>
            <w:tcBorders>
              <w:top w:val="nil"/>
              <w:left w:val="nil"/>
              <w:bottom w:val="nil"/>
              <w:right w:val="nil"/>
            </w:tcBorders>
            <w:shd w:val="clear" w:color="auto" w:fill="auto"/>
            <w:hideMark/>
          </w:tcPr>
          <w:p w14:paraId="6BDC95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5120,56</w:t>
            </w:r>
          </w:p>
        </w:tc>
      </w:tr>
      <w:tr w:rsidR="008B264B" w:rsidRPr="008B264B" w14:paraId="2FE193A5" w14:textId="77777777" w:rsidTr="008B264B">
        <w:trPr>
          <w:jc w:val="center"/>
        </w:trPr>
        <w:tc>
          <w:tcPr>
            <w:tcW w:w="5325" w:type="dxa"/>
            <w:tcBorders>
              <w:top w:val="nil"/>
              <w:left w:val="nil"/>
              <w:bottom w:val="nil"/>
              <w:right w:val="nil"/>
            </w:tcBorders>
            <w:shd w:val="clear" w:color="auto" w:fill="auto"/>
            <w:hideMark/>
          </w:tcPr>
          <w:p w14:paraId="096805D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Спирт н-бутиловий</w:t>
            </w:r>
          </w:p>
        </w:tc>
        <w:tc>
          <w:tcPr>
            <w:tcW w:w="3960" w:type="dxa"/>
            <w:tcBorders>
              <w:top w:val="nil"/>
              <w:left w:val="nil"/>
              <w:bottom w:val="nil"/>
              <w:right w:val="nil"/>
            </w:tcBorders>
            <w:shd w:val="clear" w:color="auto" w:fill="auto"/>
            <w:hideMark/>
          </w:tcPr>
          <w:p w14:paraId="76B599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2451,84</w:t>
            </w:r>
          </w:p>
        </w:tc>
      </w:tr>
      <w:tr w:rsidR="008B264B" w:rsidRPr="008B264B" w14:paraId="07BEA09E" w14:textId="77777777" w:rsidTr="008B264B">
        <w:trPr>
          <w:jc w:val="center"/>
        </w:trPr>
        <w:tc>
          <w:tcPr>
            <w:tcW w:w="5325" w:type="dxa"/>
            <w:tcBorders>
              <w:top w:val="nil"/>
              <w:left w:val="nil"/>
              <w:bottom w:val="nil"/>
              <w:right w:val="nil"/>
            </w:tcBorders>
            <w:shd w:val="clear" w:color="auto" w:fill="auto"/>
            <w:hideMark/>
          </w:tcPr>
          <w:p w14:paraId="7BE9E9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Стирол</w:t>
            </w:r>
          </w:p>
        </w:tc>
        <w:tc>
          <w:tcPr>
            <w:tcW w:w="3960" w:type="dxa"/>
            <w:tcBorders>
              <w:top w:val="nil"/>
              <w:left w:val="nil"/>
              <w:bottom w:val="nil"/>
              <w:right w:val="nil"/>
            </w:tcBorders>
            <w:shd w:val="clear" w:color="auto" w:fill="auto"/>
            <w:hideMark/>
          </w:tcPr>
          <w:p w14:paraId="57BCF9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17903,89</w:t>
            </w:r>
          </w:p>
        </w:tc>
      </w:tr>
      <w:tr w:rsidR="008B264B" w:rsidRPr="008B264B" w14:paraId="3ACCEF4E" w14:textId="77777777" w:rsidTr="008B264B">
        <w:trPr>
          <w:jc w:val="center"/>
        </w:trPr>
        <w:tc>
          <w:tcPr>
            <w:tcW w:w="5325" w:type="dxa"/>
            <w:tcBorders>
              <w:top w:val="nil"/>
              <w:left w:val="nil"/>
              <w:bottom w:val="nil"/>
              <w:right w:val="nil"/>
            </w:tcBorders>
            <w:shd w:val="clear" w:color="auto" w:fill="auto"/>
            <w:hideMark/>
          </w:tcPr>
          <w:p w14:paraId="372493A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Фенол</w:t>
            </w:r>
          </w:p>
        </w:tc>
        <w:tc>
          <w:tcPr>
            <w:tcW w:w="3960" w:type="dxa"/>
            <w:tcBorders>
              <w:top w:val="nil"/>
              <w:left w:val="nil"/>
              <w:bottom w:val="nil"/>
              <w:right w:val="nil"/>
            </w:tcBorders>
            <w:shd w:val="clear" w:color="auto" w:fill="auto"/>
            <w:hideMark/>
          </w:tcPr>
          <w:p w14:paraId="114262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11128,67</w:t>
            </w:r>
          </w:p>
        </w:tc>
      </w:tr>
      <w:tr w:rsidR="008B264B" w:rsidRPr="008B264B" w14:paraId="2D4F5DE6" w14:textId="77777777" w:rsidTr="008B264B">
        <w:trPr>
          <w:jc w:val="center"/>
        </w:trPr>
        <w:tc>
          <w:tcPr>
            <w:tcW w:w="5325" w:type="dxa"/>
            <w:tcBorders>
              <w:top w:val="nil"/>
              <w:left w:val="nil"/>
              <w:bottom w:val="nil"/>
              <w:right w:val="nil"/>
            </w:tcBorders>
            <w:shd w:val="clear" w:color="auto" w:fill="auto"/>
            <w:hideMark/>
          </w:tcPr>
          <w:p w14:paraId="630562D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Формальдегід</w:t>
            </w:r>
          </w:p>
        </w:tc>
        <w:tc>
          <w:tcPr>
            <w:tcW w:w="3960" w:type="dxa"/>
            <w:tcBorders>
              <w:top w:val="nil"/>
              <w:left w:val="nil"/>
              <w:bottom w:val="nil"/>
              <w:right w:val="nil"/>
            </w:tcBorders>
            <w:shd w:val="clear" w:color="auto" w:fill="auto"/>
            <w:hideMark/>
          </w:tcPr>
          <w:p w14:paraId="60AECF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6070,39</w:t>
            </w:r>
          </w:p>
        </w:tc>
      </w:tr>
      <w:tr w:rsidR="008B264B" w:rsidRPr="008B264B" w14:paraId="39B2208E" w14:textId="77777777" w:rsidTr="008B264B">
        <w:trPr>
          <w:jc w:val="center"/>
        </w:trPr>
        <w:tc>
          <w:tcPr>
            <w:tcW w:w="5325" w:type="dxa"/>
            <w:tcBorders>
              <w:top w:val="nil"/>
              <w:left w:val="nil"/>
              <w:bottom w:val="nil"/>
              <w:right w:val="nil"/>
            </w:tcBorders>
            <w:shd w:val="clear" w:color="auto" w:fill="auto"/>
            <w:hideMark/>
          </w:tcPr>
          <w:p w14:paraId="58D204E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Хром та його сполуки</w:t>
            </w:r>
          </w:p>
        </w:tc>
        <w:tc>
          <w:tcPr>
            <w:tcW w:w="3960" w:type="dxa"/>
            <w:tcBorders>
              <w:top w:val="nil"/>
              <w:left w:val="nil"/>
              <w:bottom w:val="nil"/>
              <w:right w:val="nil"/>
            </w:tcBorders>
            <w:shd w:val="clear" w:color="auto" w:fill="auto"/>
            <w:hideMark/>
          </w:tcPr>
          <w:p w14:paraId="0C126B7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65822,27.</w:t>
            </w:r>
          </w:p>
        </w:tc>
      </w:tr>
    </w:tbl>
    <w:p w14:paraId="0197BD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8" w:name="n5995"/>
      <w:bookmarkEnd w:id="7738"/>
      <w:r w:rsidRPr="008B264B">
        <w:rPr>
          <w:rFonts w:ascii="Times New Roman" w:eastAsia="Times New Roman" w:hAnsi="Times New Roman" w:cs="Times New Roman"/>
          <w:i/>
          <w:iCs/>
          <w:color w:val="000000"/>
          <w:sz w:val="24"/>
          <w:szCs w:val="24"/>
          <w:lang/>
        </w:rPr>
        <w:t>{Пункт 243.1 статті 243 в редакції Законів </w:t>
      </w:r>
      <w:hyperlink r:id="rId4365"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36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367" w:anchor="n15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4368" w:anchor="n4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369" w:anchor="n5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color w:val="000000"/>
          <w:sz w:val="24"/>
          <w:szCs w:val="24"/>
          <w:lang/>
        </w:rPr>
        <w:t>, </w:t>
      </w:r>
      <w:hyperlink r:id="rId4370" w:anchor="n31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5490B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39" w:name="n5996"/>
      <w:bookmarkEnd w:id="7739"/>
      <w:r w:rsidRPr="008B264B">
        <w:rPr>
          <w:rFonts w:ascii="Times New Roman" w:eastAsia="Times New Roman" w:hAnsi="Times New Roman" w:cs="Times New Roman"/>
          <w:color w:val="000000"/>
          <w:sz w:val="24"/>
          <w:szCs w:val="24"/>
          <w:lang/>
        </w:rPr>
        <w:t>243.2. Ставки податку за викиди в атмосферне повітря стаціонарними джерелами забруднення забруднюючих речовин (сполук), які не увійшли до </w:t>
      </w:r>
      <w:hyperlink r:id="rId4371" w:anchor="n5993" w:history="1">
        <w:r w:rsidRPr="008B264B">
          <w:rPr>
            <w:rFonts w:ascii="Times New Roman" w:eastAsia="Times New Roman" w:hAnsi="Times New Roman" w:cs="Times New Roman"/>
            <w:color w:val="0000FF"/>
            <w:sz w:val="24"/>
            <w:szCs w:val="24"/>
            <w:u w:val="single"/>
            <w:lang/>
          </w:rPr>
          <w:t>пункту 243.1</w:t>
        </w:r>
      </w:hyperlink>
      <w:r w:rsidRPr="008B264B">
        <w:rPr>
          <w:rFonts w:ascii="Times New Roman" w:eastAsia="Times New Roman" w:hAnsi="Times New Roman" w:cs="Times New Roman"/>
          <w:color w:val="000000"/>
          <w:sz w:val="24"/>
          <w:szCs w:val="24"/>
          <w:lang/>
        </w:rPr>
        <w:t> цієї статті та на які встановлено клас небезпечності:</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4090"/>
        <w:gridCol w:w="5832"/>
      </w:tblGrid>
      <w:tr w:rsidR="008B264B" w:rsidRPr="008B264B" w14:paraId="33F7E1DF" w14:textId="77777777" w:rsidTr="008B264B">
        <w:trPr>
          <w:jc w:val="center"/>
        </w:trPr>
        <w:tc>
          <w:tcPr>
            <w:tcW w:w="3840" w:type="dxa"/>
            <w:tcBorders>
              <w:top w:val="single" w:sz="6" w:space="0" w:color="000000"/>
              <w:left w:val="nil"/>
              <w:bottom w:val="single" w:sz="6" w:space="0" w:color="000000"/>
              <w:right w:val="single" w:sz="6" w:space="0" w:color="000000"/>
            </w:tcBorders>
            <w:shd w:val="clear" w:color="auto" w:fill="auto"/>
            <w:hideMark/>
          </w:tcPr>
          <w:p w14:paraId="4E418E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40" w:name="n14887"/>
            <w:bookmarkEnd w:id="7740"/>
            <w:r w:rsidRPr="008B264B">
              <w:rPr>
                <w:rFonts w:ascii="Times New Roman" w:eastAsia="Times New Roman" w:hAnsi="Times New Roman" w:cs="Times New Roman"/>
                <w:sz w:val="24"/>
                <w:szCs w:val="24"/>
                <w:lang/>
              </w:rPr>
              <w:t>Клас небезпечності</w:t>
            </w:r>
          </w:p>
        </w:tc>
        <w:tc>
          <w:tcPr>
            <w:tcW w:w="5475" w:type="dxa"/>
            <w:tcBorders>
              <w:top w:val="single" w:sz="6" w:space="0" w:color="000000"/>
              <w:left w:val="single" w:sz="6" w:space="0" w:color="000000"/>
              <w:bottom w:val="single" w:sz="6" w:space="0" w:color="000000"/>
              <w:right w:val="nil"/>
            </w:tcBorders>
            <w:shd w:val="clear" w:color="auto" w:fill="auto"/>
            <w:hideMark/>
          </w:tcPr>
          <w:p w14:paraId="43FF4B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гривень за 1 тонну</w:t>
            </w:r>
          </w:p>
        </w:tc>
      </w:tr>
      <w:tr w:rsidR="008B264B" w:rsidRPr="008B264B" w14:paraId="5E102F8A" w14:textId="77777777" w:rsidTr="008B264B">
        <w:trPr>
          <w:jc w:val="center"/>
        </w:trPr>
        <w:tc>
          <w:tcPr>
            <w:tcW w:w="3840" w:type="dxa"/>
            <w:tcBorders>
              <w:top w:val="single" w:sz="6" w:space="0" w:color="000000"/>
              <w:left w:val="nil"/>
              <w:bottom w:val="nil"/>
              <w:right w:val="nil"/>
            </w:tcBorders>
            <w:shd w:val="clear" w:color="auto" w:fill="auto"/>
            <w:hideMark/>
          </w:tcPr>
          <w:p w14:paraId="47A1044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w:t>
            </w:r>
          </w:p>
        </w:tc>
        <w:tc>
          <w:tcPr>
            <w:tcW w:w="5475" w:type="dxa"/>
            <w:tcBorders>
              <w:top w:val="single" w:sz="6" w:space="0" w:color="000000"/>
              <w:left w:val="nil"/>
              <w:bottom w:val="nil"/>
              <w:right w:val="nil"/>
            </w:tcBorders>
            <w:shd w:val="clear" w:color="auto" w:fill="auto"/>
            <w:hideMark/>
          </w:tcPr>
          <w:p w14:paraId="072CD5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17536,42</w:t>
            </w:r>
          </w:p>
        </w:tc>
      </w:tr>
      <w:tr w:rsidR="008B264B" w:rsidRPr="008B264B" w14:paraId="13BB20D6" w14:textId="77777777" w:rsidTr="008B264B">
        <w:trPr>
          <w:jc w:val="center"/>
        </w:trPr>
        <w:tc>
          <w:tcPr>
            <w:tcW w:w="3840" w:type="dxa"/>
            <w:tcBorders>
              <w:top w:val="nil"/>
              <w:left w:val="nil"/>
              <w:bottom w:val="nil"/>
              <w:right w:val="nil"/>
            </w:tcBorders>
            <w:shd w:val="clear" w:color="auto" w:fill="auto"/>
            <w:hideMark/>
          </w:tcPr>
          <w:p w14:paraId="2DFC9B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II</w:t>
            </w:r>
          </w:p>
        </w:tc>
        <w:tc>
          <w:tcPr>
            <w:tcW w:w="5475" w:type="dxa"/>
            <w:tcBorders>
              <w:top w:val="nil"/>
              <w:left w:val="nil"/>
              <w:bottom w:val="nil"/>
              <w:right w:val="nil"/>
            </w:tcBorders>
            <w:shd w:val="clear" w:color="auto" w:fill="auto"/>
            <w:hideMark/>
          </w:tcPr>
          <w:p w14:paraId="4EE073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4016,11</w:t>
            </w:r>
          </w:p>
        </w:tc>
      </w:tr>
      <w:tr w:rsidR="008B264B" w:rsidRPr="008B264B" w14:paraId="6A43980E" w14:textId="77777777" w:rsidTr="008B264B">
        <w:trPr>
          <w:jc w:val="center"/>
        </w:trPr>
        <w:tc>
          <w:tcPr>
            <w:tcW w:w="3840" w:type="dxa"/>
            <w:tcBorders>
              <w:top w:val="nil"/>
              <w:left w:val="nil"/>
              <w:bottom w:val="nil"/>
              <w:right w:val="nil"/>
            </w:tcBorders>
            <w:shd w:val="clear" w:color="auto" w:fill="auto"/>
            <w:hideMark/>
          </w:tcPr>
          <w:p w14:paraId="0CE75B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III</w:t>
            </w:r>
          </w:p>
        </w:tc>
        <w:tc>
          <w:tcPr>
            <w:tcW w:w="5475" w:type="dxa"/>
            <w:tcBorders>
              <w:top w:val="nil"/>
              <w:left w:val="nil"/>
              <w:bottom w:val="nil"/>
              <w:right w:val="nil"/>
            </w:tcBorders>
            <w:shd w:val="clear" w:color="auto" w:fill="auto"/>
            <w:hideMark/>
          </w:tcPr>
          <w:p w14:paraId="22AD37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598,4</w:t>
            </w:r>
          </w:p>
        </w:tc>
      </w:tr>
      <w:tr w:rsidR="008B264B" w:rsidRPr="008B264B" w14:paraId="7E0BD002" w14:textId="77777777" w:rsidTr="008B264B">
        <w:trPr>
          <w:jc w:val="center"/>
        </w:trPr>
        <w:tc>
          <w:tcPr>
            <w:tcW w:w="3840" w:type="dxa"/>
            <w:tcBorders>
              <w:top w:val="nil"/>
              <w:left w:val="nil"/>
              <w:bottom w:val="nil"/>
              <w:right w:val="nil"/>
            </w:tcBorders>
            <w:shd w:val="clear" w:color="auto" w:fill="auto"/>
            <w:hideMark/>
          </w:tcPr>
          <w:p w14:paraId="3E2D3B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IV</w:t>
            </w:r>
          </w:p>
        </w:tc>
        <w:tc>
          <w:tcPr>
            <w:tcW w:w="5475" w:type="dxa"/>
            <w:tcBorders>
              <w:top w:val="nil"/>
              <w:left w:val="nil"/>
              <w:bottom w:val="nil"/>
              <w:right w:val="nil"/>
            </w:tcBorders>
            <w:shd w:val="clear" w:color="auto" w:fill="auto"/>
            <w:hideMark/>
          </w:tcPr>
          <w:p w14:paraId="684A1B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138,57.</w:t>
            </w:r>
          </w:p>
        </w:tc>
      </w:tr>
    </w:tbl>
    <w:p w14:paraId="2637D6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1" w:name="n5998"/>
      <w:bookmarkEnd w:id="7741"/>
      <w:r w:rsidRPr="008B264B">
        <w:rPr>
          <w:rFonts w:ascii="Times New Roman" w:eastAsia="Times New Roman" w:hAnsi="Times New Roman" w:cs="Times New Roman"/>
          <w:i/>
          <w:iCs/>
          <w:color w:val="000000"/>
          <w:sz w:val="24"/>
          <w:szCs w:val="24"/>
          <w:lang/>
        </w:rPr>
        <w:t>{Пункт 243.2 статті 243 в редакції Законів </w:t>
      </w:r>
      <w:hyperlink r:id="rId4372"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37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374" w:anchor="n15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4375" w:anchor="n4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376" w:anchor="n5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377" w:anchor="n31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731F3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2" w:name="n5999"/>
      <w:bookmarkEnd w:id="7742"/>
      <w:r w:rsidRPr="008B264B">
        <w:rPr>
          <w:rFonts w:ascii="Times New Roman" w:eastAsia="Times New Roman" w:hAnsi="Times New Roman" w:cs="Times New Roman"/>
          <w:color w:val="000000"/>
          <w:sz w:val="24"/>
          <w:szCs w:val="24"/>
          <w:lang/>
        </w:rPr>
        <w:t>243.3. Для забруднюючих речовин (сполук), які не увійшли до пункту 243.1 цієї статті та на які не встановлено клас небезпечності (крім двоокису вуглецю), ставки податку застосовуються залежно від установлених орієнтовно безпечних рівнів впливу таких речовин (сполук) в атмосферному повітрі населених пунктів:</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5905"/>
        <w:gridCol w:w="4017"/>
      </w:tblGrid>
      <w:tr w:rsidR="008B264B" w:rsidRPr="008B264B" w14:paraId="09191437" w14:textId="77777777" w:rsidTr="008B264B">
        <w:trPr>
          <w:jc w:val="center"/>
        </w:trPr>
        <w:tc>
          <w:tcPr>
            <w:tcW w:w="5535" w:type="dxa"/>
            <w:tcBorders>
              <w:top w:val="single" w:sz="6" w:space="0" w:color="000000"/>
              <w:left w:val="nil"/>
              <w:bottom w:val="single" w:sz="6" w:space="0" w:color="000000"/>
              <w:right w:val="single" w:sz="6" w:space="0" w:color="000000"/>
            </w:tcBorders>
            <w:shd w:val="clear" w:color="auto" w:fill="auto"/>
            <w:hideMark/>
          </w:tcPr>
          <w:p w14:paraId="6246DA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43" w:name="n14888"/>
            <w:bookmarkEnd w:id="7743"/>
            <w:r w:rsidRPr="008B264B">
              <w:rPr>
                <w:rFonts w:ascii="Times New Roman" w:eastAsia="Times New Roman" w:hAnsi="Times New Roman" w:cs="Times New Roman"/>
                <w:sz w:val="24"/>
                <w:szCs w:val="24"/>
                <w:lang/>
              </w:rPr>
              <w:t>Орієнтовно безпечний рівень</w:t>
            </w:r>
            <w:r w:rsidRPr="008B264B">
              <w:rPr>
                <w:rFonts w:ascii="Times New Roman" w:eastAsia="Times New Roman" w:hAnsi="Times New Roman" w:cs="Times New Roman"/>
                <w:sz w:val="24"/>
                <w:szCs w:val="24"/>
                <w:lang/>
              </w:rPr>
              <w:br/>
              <w:t>впливу речовин (сполук), міліграмів</w:t>
            </w:r>
            <w:r w:rsidRPr="008B264B">
              <w:rPr>
                <w:rFonts w:ascii="Times New Roman" w:eastAsia="Times New Roman" w:hAnsi="Times New Roman" w:cs="Times New Roman"/>
                <w:sz w:val="24"/>
                <w:szCs w:val="24"/>
                <w:lang/>
              </w:rPr>
              <w:br/>
              <w:t>на 1 куб. метр</w:t>
            </w:r>
          </w:p>
        </w:tc>
        <w:tc>
          <w:tcPr>
            <w:tcW w:w="3765" w:type="dxa"/>
            <w:tcBorders>
              <w:top w:val="single" w:sz="6" w:space="0" w:color="000000"/>
              <w:left w:val="single" w:sz="6" w:space="0" w:color="000000"/>
              <w:bottom w:val="single" w:sz="6" w:space="0" w:color="000000"/>
              <w:right w:val="nil"/>
            </w:tcBorders>
            <w:shd w:val="clear" w:color="auto" w:fill="auto"/>
            <w:hideMark/>
          </w:tcPr>
          <w:p w14:paraId="534495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r w:rsidRPr="008B264B">
              <w:rPr>
                <w:rFonts w:ascii="Times New Roman" w:eastAsia="Times New Roman" w:hAnsi="Times New Roman" w:cs="Times New Roman"/>
                <w:sz w:val="24"/>
                <w:szCs w:val="24"/>
                <w:lang/>
              </w:rPr>
              <w:br/>
              <w:t>гривень за 1 тонну</w:t>
            </w:r>
          </w:p>
        </w:tc>
      </w:tr>
      <w:tr w:rsidR="008B264B" w:rsidRPr="008B264B" w14:paraId="28A2C18B" w14:textId="77777777" w:rsidTr="008B264B">
        <w:trPr>
          <w:jc w:val="center"/>
        </w:trPr>
        <w:tc>
          <w:tcPr>
            <w:tcW w:w="5535" w:type="dxa"/>
            <w:tcBorders>
              <w:top w:val="single" w:sz="6" w:space="0" w:color="000000"/>
              <w:left w:val="nil"/>
              <w:bottom w:val="nil"/>
              <w:right w:val="nil"/>
            </w:tcBorders>
            <w:shd w:val="clear" w:color="auto" w:fill="auto"/>
            <w:hideMark/>
          </w:tcPr>
          <w:p w14:paraId="2229289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Менше ніж 0,0001</w:t>
            </w:r>
          </w:p>
        </w:tc>
        <w:tc>
          <w:tcPr>
            <w:tcW w:w="3765" w:type="dxa"/>
            <w:tcBorders>
              <w:top w:val="single" w:sz="6" w:space="0" w:color="000000"/>
              <w:left w:val="nil"/>
              <w:bottom w:val="nil"/>
              <w:right w:val="nil"/>
            </w:tcBorders>
            <w:shd w:val="clear" w:color="auto" w:fill="auto"/>
            <w:hideMark/>
          </w:tcPr>
          <w:p w14:paraId="200631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738187,86</w:t>
            </w:r>
          </w:p>
        </w:tc>
      </w:tr>
      <w:tr w:rsidR="008B264B" w:rsidRPr="008B264B" w14:paraId="26956A6A" w14:textId="77777777" w:rsidTr="008B264B">
        <w:trPr>
          <w:jc w:val="center"/>
        </w:trPr>
        <w:tc>
          <w:tcPr>
            <w:tcW w:w="5535" w:type="dxa"/>
            <w:tcBorders>
              <w:top w:val="nil"/>
              <w:left w:val="nil"/>
              <w:bottom w:val="nil"/>
              <w:right w:val="nil"/>
            </w:tcBorders>
            <w:shd w:val="clear" w:color="auto" w:fill="auto"/>
            <w:hideMark/>
          </w:tcPr>
          <w:p w14:paraId="06E7CC0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0,0001 - 0,001 (включно)</w:t>
            </w:r>
          </w:p>
        </w:tc>
        <w:tc>
          <w:tcPr>
            <w:tcW w:w="3765" w:type="dxa"/>
            <w:tcBorders>
              <w:top w:val="nil"/>
              <w:left w:val="nil"/>
              <w:bottom w:val="nil"/>
              <w:right w:val="nil"/>
            </w:tcBorders>
            <w:shd w:val="clear" w:color="auto" w:fill="auto"/>
            <w:hideMark/>
          </w:tcPr>
          <w:p w14:paraId="058A52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63247,95</w:t>
            </w:r>
          </w:p>
        </w:tc>
      </w:tr>
      <w:tr w:rsidR="008B264B" w:rsidRPr="008B264B" w14:paraId="1152B5C8" w14:textId="77777777" w:rsidTr="008B264B">
        <w:trPr>
          <w:jc w:val="center"/>
        </w:trPr>
        <w:tc>
          <w:tcPr>
            <w:tcW w:w="5535" w:type="dxa"/>
            <w:tcBorders>
              <w:top w:val="nil"/>
              <w:left w:val="nil"/>
              <w:bottom w:val="nil"/>
              <w:right w:val="nil"/>
            </w:tcBorders>
            <w:shd w:val="clear" w:color="auto" w:fill="auto"/>
            <w:hideMark/>
          </w:tcPr>
          <w:p w14:paraId="4D20361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0,001 - 0,01 (включно)</w:t>
            </w:r>
          </w:p>
        </w:tc>
        <w:tc>
          <w:tcPr>
            <w:tcW w:w="3765" w:type="dxa"/>
            <w:tcBorders>
              <w:top w:val="nil"/>
              <w:left w:val="nil"/>
              <w:bottom w:val="nil"/>
              <w:right w:val="nil"/>
            </w:tcBorders>
            <w:shd w:val="clear" w:color="auto" w:fill="auto"/>
            <w:hideMark/>
          </w:tcPr>
          <w:p w14:paraId="67C87C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8737,07</w:t>
            </w:r>
          </w:p>
        </w:tc>
      </w:tr>
      <w:tr w:rsidR="008B264B" w:rsidRPr="008B264B" w14:paraId="4F8C49B1" w14:textId="77777777" w:rsidTr="008B264B">
        <w:trPr>
          <w:jc w:val="center"/>
        </w:trPr>
        <w:tc>
          <w:tcPr>
            <w:tcW w:w="5535" w:type="dxa"/>
            <w:tcBorders>
              <w:top w:val="nil"/>
              <w:left w:val="nil"/>
              <w:bottom w:val="nil"/>
              <w:right w:val="nil"/>
            </w:tcBorders>
            <w:shd w:val="clear" w:color="auto" w:fill="auto"/>
            <w:hideMark/>
          </w:tcPr>
          <w:p w14:paraId="2D14850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0,01 - 0,1 (включно)</w:t>
            </w:r>
          </w:p>
        </w:tc>
        <w:tc>
          <w:tcPr>
            <w:tcW w:w="3765" w:type="dxa"/>
            <w:tcBorders>
              <w:top w:val="nil"/>
              <w:left w:val="nil"/>
              <w:bottom w:val="nil"/>
              <w:right w:val="nil"/>
            </w:tcBorders>
            <w:shd w:val="clear" w:color="auto" w:fill="auto"/>
            <w:hideMark/>
          </w:tcPr>
          <w:p w14:paraId="074079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2451,84</w:t>
            </w:r>
          </w:p>
        </w:tc>
      </w:tr>
      <w:tr w:rsidR="008B264B" w:rsidRPr="008B264B" w14:paraId="1FF354A3" w14:textId="77777777" w:rsidTr="008B264B">
        <w:trPr>
          <w:jc w:val="center"/>
        </w:trPr>
        <w:tc>
          <w:tcPr>
            <w:tcW w:w="5535" w:type="dxa"/>
            <w:tcBorders>
              <w:top w:val="nil"/>
              <w:left w:val="nil"/>
              <w:bottom w:val="nil"/>
              <w:right w:val="nil"/>
            </w:tcBorders>
            <w:shd w:val="clear" w:color="auto" w:fill="auto"/>
            <w:hideMark/>
          </w:tcPr>
          <w:p w14:paraId="53F3DDF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0,1</w:t>
            </w:r>
          </w:p>
        </w:tc>
        <w:tc>
          <w:tcPr>
            <w:tcW w:w="3765" w:type="dxa"/>
            <w:tcBorders>
              <w:top w:val="nil"/>
              <w:left w:val="nil"/>
              <w:bottom w:val="nil"/>
              <w:right w:val="nil"/>
            </w:tcBorders>
            <w:shd w:val="clear" w:color="auto" w:fill="auto"/>
            <w:hideMark/>
          </w:tcPr>
          <w:p w14:paraId="4D96742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92,37.</w:t>
            </w:r>
          </w:p>
        </w:tc>
      </w:tr>
    </w:tbl>
    <w:p w14:paraId="5502C1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4" w:name="n6001"/>
      <w:bookmarkEnd w:id="7744"/>
      <w:r w:rsidRPr="008B264B">
        <w:rPr>
          <w:rFonts w:ascii="Times New Roman" w:eastAsia="Times New Roman" w:hAnsi="Times New Roman" w:cs="Times New Roman"/>
          <w:i/>
          <w:iCs/>
          <w:color w:val="000000"/>
          <w:sz w:val="24"/>
          <w:szCs w:val="24"/>
          <w:lang/>
        </w:rPr>
        <w:t>{Пункт 243.3 статті 243 в редакції Законів </w:t>
      </w:r>
      <w:hyperlink r:id="rId4378"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37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380" w:anchor="n15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4381" w:anchor="n4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382" w:anchor="n5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383" w:anchor="n31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5D31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5" w:name="n6002"/>
      <w:bookmarkEnd w:id="7745"/>
      <w:r w:rsidRPr="008B264B">
        <w:rPr>
          <w:rFonts w:ascii="Times New Roman" w:eastAsia="Times New Roman" w:hAnsi="Times New Roman" w:cs="Times New Roman"/>
          <w:color w:val="000000"/>
          <w:sz w:val="24"/>
          <w:szCs w:val="24"/>
          <w:lang/>
        </w:rPr>
        <w:t>243.4. Ставка податку за викиди двоокису вуглецю становить 10,00 гривень за 1 тонну.</w:t>
      </w:r>
    </w:p>
    <w:p w14:paraId="6E8C70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6" w:name="n6003"/>
      <w:bookmarkEnd w:id="7746"/>
      <w:r w:rsidRPr="008B264B">
        <w:rPr>
          <w:rFonts w:ascii="Times New Roman" w:eastAsia="Times New Roman" w:hAnsi="Times New Roman" w:cs="Times New Roman"/>
          <w:i/>
          <w:iCs/>
          <w:color w:val="000000"/>
          <w:sz w:val="24"/>
          <w:szCs w:val="24"/>
          <w:lang/>
        </w:rPr>
        <w:t>{Пункт 243.4 статті 243 в редакції Законів </w:t>
      </w:r>
      <w:hyperlink r:id="rId4384"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38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386" w:anchor="n15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4387" w:anchor="n49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388" w:anchor="n5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389" w:anchor="n31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390" w:anchor="n59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CBD9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7" w:name="n6004"/>
      <w:bookmarkEnd w:id="7747"/>
      <w:r w:rsidRPr="008B264B">
        <w:rPr>
          <w:rFonts w:ascii="Times New Roman" w:eastAsia="Times New Roman" w:hAnsi="Times New Roman" w:cs="Times New Roman"/>
          <w:color w:val="000000"/>
          <w:sz w:val="24"/>
          <w:szCs w:val="24"/>
          <w:lang/>
        </w:rPr>
        <w:t>243.5. Для забруднюючих речовин (сполук), на які не встановлено клас небезпечності та орієнтовнобезпечний рівень впливу (крім двоокису вуглецю), ставки податку встановлюються як за викиди забруднюючих речовин I класу небезпечності згідно з </w:t>
      </w:r>
      <w:hyperlink r:id="rId4391" w:anchor="n5996" w:history="1">
        <w:r w:rsidRPr="008B264B">
          <w:rPr>
            <w:rFonts w:ascii="Times New Roman" w:eastAsia="Times New Roman" w:hAnsi="Times New Roman" w:cs="Times New Roman"/>
            <w:color w:val="0000FF"/>
            <w:sz w:val="24"/>
            <w:szCs w:val="24"/>
            <w:u w:val="single"/>
            <w:lang/>
          </w:rPr>
          <w:t>пунктом 243.2</w:t>
        </w:r>
      </w:hyperlink>
      <w:r w:rsidRPr="008B264B">
        <w:rPr>
          <w:rFonts w:ascii="Times New Roman" w:eastAsia="Times New Roman" w:hAnsi="Times New Roman" w:cs="Times New Roman"/>
          <w:color w:val="000000"/>
          <w:sz w:val="24"/>
          <w:szCs w:val="24"/>
          <w:lang/>
        </w:rPr>
        <w:t> цієї статті.</w:t>
      </w:r>
    </w:p>
    <w:p w14:paraId="30C73C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8" w:name="n6005"/>
      <w:bookmarkEnd w:id="7748"/>
      <w:r w:rsidRPr="008B264B">
        <w:rPr>
          <w:rFonts w:ascii="Times New Roman" w:eastAsia="Times New Roman" w:hAnsi="Times New Roman" w:cs="Times New Roman"/>
          <w:i/>
          <w:iCs/>
          <w:color w:val="000000"/>
          <w:sz w:val="24"/>
          <w:szCs w:val="24"/>
          <w:lang/>
        </w:rPr>
        <w:t>{Статтю 244 виключено на підставі Закону</w:t>
      </w:r>
      <w:r w:rsidRPr="008B264B">
        <w:rPr>
          <w:rFonts w:ascii="Times New Roman" w:eastAsia="Times New Roman" w:hAnsi="Times New Roman" w:cs="Times New Roman"/>
          <w:b/>
          <w:bCs/>
          <w:i/>
          <w:iCs/>
          <w:color w:val="000000"/>
          <w:sz w:val="24"/>
          <w:szCs w:val="24"/>
          <w:lang/>
        </w:rPr>
        <w:t> </w:t>
      </w:r>
      <w:hyperlink r:id="rId4392" w:anchor="n89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674F3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49" w:name="n6011"/>
      <w:bookmarkEnd w:id="7749"/>
      <w:r w:rsidRPr="008B264B">
        <w:rPr>
          <w:rFonts w:ascii="Times New Roman" w:eastAsia="Times New Roman" w:hAnsi="Times New Roman" w:cs="Times New Roman"/>
          <w:b/>
          <w:bCs/>
          <w:color w:val="000000"/>
          <w:sz w:val="24"/>
          <w:szCs w:val="24"/>
          <w:lang/>
        </w:rPr>
        <w:t>Стаття 245.</w:t>
      </w:r>
      <w:r w:rsidRPr="008B264B">
        <w:rPr>
          <w:rFonts w:ascii="Times New Roman" w:eastAsia="Times New Roman" w:hAnsi="Times New Roman" w:cs="Times New Roman"/>
          <w:color w:val="000000"/>
          <w:sz w:val="24"/>
          <w:szCs w:val="24"/>
          <w:lang/>
        </w:rPr>
        <w:t> Ставки податку за скиди забруднюючих речовин у водні об'єкти</w:t>
      </w:r>
    </w:p>
    <w:p w14:paraId="2FA853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0" w:name="n6012"/>
      <w:bookmarkEnd w:id="7750"/>
      <w:r w:rsidRPr="008B264B">
        <w:rPr>
          <w:rFonts w:ascii="Times New Roman" w:eastAsia="Times New Roman" w:hAnsi="Times New Roman" w:cs="Times New Roman"/>
          <w:color w:val="000000"/>
          <w:sz w:val="24"/>
          <w:szCs w:val="24"/>
          <w:lang/>
        </w:rPr>
        <w:t>245.1. Ставки податку за скиди окремих забруднюючих речовин у водні об’єкти:</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5811"/>
        <w:gridCol w:w="4111"/>
      </w:tblGrid>
      <w:tr w:rsidR="008B264B" w:rsidRPr="008B264B" w14:paraId="08F0CEF2" w14:textId="77777777" w:rsidTr="008B264B">
        <w:trPr>
          <w:jc w:val="center"/>
        </w:trPr>
        <w:tc>
          <w:tcPr>
            <w:tcW w:w="5535" w:type="dxa"/>
            <w:tcBorders>
              <w:top w:val="single" w:sz="6" w:space="0" w:color="000000"/>
              <w:left w:val="nil"/>
              <w:bottom w:val="single" w:sz="6" w:space="0" w:color="000000"/>
              <w:right w:val="single" w:sz="6" w:space="0" w:color="000000"/>
            </w:tcBorders>
            <w:shd w:val="clear" w:color="auto" w:fill="auto"/>
            <w:hideMark/>
          </w:tcPr>
          <w:p w14:paraId="679862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51" w:name="n14889"/>
            <w:bookmarkEnd w:id="7751"/>
            <w:r w:rsidRPr="008B264B">
              <w:rPr>
                <w:rFonts w:ascii="Times New Roman" w:eastAsia="Times New Roman" w:hAnsi="Times New Roman" w:cs="Times New Roman"/>
                <w:sz w:val="24"/>
                <w:szCs w:val="24"/>
                <w:lang/>
              </w:rPr>
              <w:t>Найменування забруднюючої речовини</w:t>
            </w:r>
          </w:p>
        </w:tc>
        <w:tc>
          <w:tcPr>
            <w:tcW w:w="3915" w:type="dxa"/>
            <w:tcBorders>
              <w:top w:val="single" w:sz="6" w:space="0" w:color="000000"/>
              <w:left w:val="single" w:sz="6" w:space="0" w:color="000000"/>
              <w:bottom w:val="single" w:sz="6" w:space="0" w:color="000000"/>
              <w:right w:val="nil"/>
            </w:tcBorders>
            <w:shd w:val="clear" w:color="auto" w:fill="auto"/>
            <w:hideMark/>
          </w:tcPr>
          <w:p w14:paraId="5BFCB6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r w:rsidRPr="008B264B">
              <w:rPr>
                <w:rFonts w:ascii="Times New Roman" w:eastAsia="Times New Roman" w:hAnsi="Times New Roman" w:cs="Times New Roman"/>
                <w:sz w:val="24"/>
                <w:szCs w:val="24"/>
                <w:lang/>
              </w:rPr>
              <w:br/>
              <w:t>гривень за 1 тонну</w:t>
            </w:r>
          </w:p>
        </w:tc>
      </w:tr>
      <w:tr w:rsidR="008B264B" w:rsidRPr="008B264B" w14:paraId="53612205" w14:textId="77777777" w:rsidTr="008B264B">
        <w:trPr>
          <w:jc w:val="center"/>
        </w:trPr>
        <w:tc>
          <w:tcPr>
            <w:tcW w:w="5535" w:type="dxa"/>
            <w:tcBorders>
              <w:top w:val="single" w:sz="6" w:space="0" w:color="000000"/>
              <w:left w:val="nil"/>
              <w:bottom w:val="nil"/>
              <w:right w:val="nil"/>
            </w:tcBorders>
            <w:shd w:val="clear" w:color="auto" w:fill="auto"/>
            <w:hideMark/>
          </w:tcPr>
          <w:p w14:paraId="193FD9F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Азот амонійний</w:t>
            </w:r>
          </w:p>
        </w:tc>
        <w:tc>
          <w:tcPr>
            <w:tcW w:w="3915" w:type="dxa"/>
            <w:tcBorders>
              <w:top w:val="single" w:sz="6" w:space="0" w:color="000000"/>
              <w:left w:val="nil"/>
              <w:bottom w:val="nil"/>
              <w:right w:val="nil"/>
            </w:tcBorders>
            <w:shd w:val="clear" w:color="auto" w:fill="auto"/>
            <w:hideMark/>
          </w:tcPr>
          <w:p w14:paraId="419A31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1610,48</w:t>
            </w:r>
          </w:p>
        </w:tc>
      </w:tr>
      <w:tr w:rsidR="008B264B" w:rsidRPr="008B264B" w14:paraId="195672DE" w14:textId="77777777" w:rsidTr="008B264B">
        <w:trPr>
          <w:jc w:val="center"/>
        </w:trPr>
        <w:tc>
          <w:tcPr>
            <w:tcW w:w="5535" w:type="dxa"/>
            <w:tcBorders>
              <w:top w:val="nil"/>
              <w:left w:val="nil"/>
              <w:bottom w:val="nil"/>
              <w:right w:val="nil"/>
            </w:tcBorders>
            <w:shd w:val="clear" w:color="auto" w:fill="auto"/>
            <w:hideMark/>
          </w:tcPr>
          <w:p w14:paraId="5063009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Органічні речовини (за показниками біохімічного споживання кисню (БСК 5)</w:t>
            </w:r>
          </w:p>
        </w:tc>
        <w:tc>
          <w:tcPr>
            <w:tcW w:w="3915" w:type="dxa"/>
            <w:tcBorders>
              <w:top w:val="nil"/>
              <w:left w:val="nil"/>
              <w:bottom w:val="nil"/>
              <w:right w:val="nil"/>
            </w:tcBorders>
            <w:shd w:val="clear" w:color="auto" w:fill="auto"/>
            <w:hideMark/>
          </w:tcPr>
          <w:p w14:paraId="011B8F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644,6</w:t>
            </w:r>
          </w:p>
        </w:tc>
      </w:tr>
      <w:tr w:rsidR="008B264B" w:rsidRPr="008B264B" w14:paraId="26EB5A80" w14:textId="77777777" w:rsidTr="008B264B">
        <w:trPr>
          <w:jc w:val="center"/>
        </w:trPr>
        <w:tc>
          <w:tcPr>
            <w:tcW w:w="5535" w:type="dxa"/>
            <w:tcBorders>
              <w:top w:val="nil"/>
              <w:left w:val="nil"/>
              <w:bottom w:val="nil"/>
              <w:right w:val="nil"/>
            </w:tcBorders>
            <w:shd w:val="clear" w:color="auto" w:fill="auto"/>
            <w:hideMark/>
          </w:tcPr>
          <w:p w14:paraId="248170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Завислі речовини</w:t>
            </w:r>
          </w:p>
        </w:tc>
        <w:tc>
          <w:tcPr>
            <w:tcW w:w="3915" w:type="dxa"/>
            <w:tcBorders>
              <w:top w:val="nil"/>
              <w:left w:val="nil"/>
              <w:bottom w:val="nil"/>
              <w:right w:val="nil"/>
            </w:tcBorders>
            <w:shd w:val="clear" w:color="auto" w:fill="auto"/>
            <w:hideMark/>
          </w:tcPr>
          <w:p w14:paraId="14D7693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46,19</w:t>
            </w:r>
          </w:p>
        </w:tc>
      </w:tr>
      <w:tr w:rsidR="008B264B" w:rsidRPr="008B264B" w14:paraId="777C2F3E" w14:textId="77777777" w:rsidTr="008B264B">
        <w:trPr>
          <w:jc w:val="center"/>
        </w:trPr>
        <w:tc>
          <w:tcPr>
            <w:tcW w:w="5535" w:type="dxa"/>
            <w:tcBorders>
              <w:top w:val="nil"/>
              <w:left w:val="nil"/>
              <w:bottom w:val="nil"/>
              <w:right w:val="nil"/>
            </w:tcBorders>
            <w:shd w:val="clear" w:color="auto" w:fill="auto"/>
            <w:hideMark/>
          </w:tcPr>
          <w:p w14:paraId="2DFBAC9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Нафтопродукти</w:t>
            </w:r>
          </w:p>
        </w:tc>
        <w:tc>
          <w:tcPr>
            <w:tcW w:w="3915" w:type="dxa"/>
            <w:tcBorders>
              <w:top w:val="nil"/>
              <w:left w:val="nil"/>
              <w:bottom w:val="nil"/>
              <w:right w:val="nil"/>
            </w:tcBorders>
            <w:shd w:val="clear" w:color="auto" w:fill="auto"/>
            <w:hideMark/>
          </w:tcPr>
          <w:p w14:paraId="2B18F5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9474,05</w:t>
            </w:r>
          </w:p>
        </w:tc>
      </w:tr>
      <w:tr w:rsidR="008B264B" w:rsidRPr="008B264B" w14:paraId="2518B619" w14:textId="77777777" w:rsidTr="008B264B">
        <w:trPr>
          <w:jc w:val="center"/>
        </w:trPr>
        <w:tc>
          <w:tcPr>
            <w:tcW w:w="5535" w:type="dxa"/>
            <w:tcBorders>
              <w:top w:val="nil"/>
              <w:left w:val="nil"/>
              <w:bottom w:val="nil"/>
              <w:right w:val="nil"/>
            </w:tcBorders>
            <w:shd w:val="clear" w:color="auto" w:fill="auto"/>
            <w:hideMark/>
          </w:tcPr>
          <w:p w14:paraId="722D5A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Нітрати</w:t>
            </w:r>
          </w:p>
        </w:tc>
        <w:tc>
          <w:tcPr>
            <w:tcW w:w="3915" w:type="dxa"/>
            <w:tcBorders>
              <w:top w:val="nil"/>
              <w:left w:val="nil"/>
              <w:bottom w:val="nil"/>
              <w:right w:val="nil"/>
            </w:tcBorders>
            <w:shd w:val="clear" w:color="auto" w:fill="auto"/>
            <w:hideMark/>
          </w:tcPr>
          <w:p w14:paraId="50E610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138,57</w:t>
            </w:r>
          </w:p>
        </w:tc>
      </w:tr>
      <w:tr w:rsidR="008B264B" w:rsidRPr="008B264B" w14:paraId="267A387F" w14:textId="77777777" w:rsidTr="008B264B">
        <w:trPr>
          <w:jc w:val="center"/>
        </w:trPr>
        <w:tc>
          <w:tcPr>
            <w:tcW w:w="5535" w:type="dxa"/>
            <w:tcBorders>
              <w:top w:val="nil"/>
              <w:left w:val="nil"/>
              <w:bottom w:val="nil"/>
              <w:right w:val="nil"/>
            </w:tcBorders>
            <w:shd w:val="clear" w:color="auto" w:fill="auto"/>
            <w:hideMark/>
          </w:tcPr>
          <w:p w14:paraId="400EAD1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Нітрити</w:t>
            </w:r>
          </w:p>
        </w:tc>
        <w:tc>
          <w:tcPr>
            <w:tcW w:w="3915" w:type="dxa"/>
            <w:tcBorders>
              <w:top w:val="nil"/>
              <w:left w:val="nil"/>
              <w:bottom w:val="nil"/>
              <w:right w:val="nil"/>
            </w:tcBorders>
            <w:shd w:val="clear" w:color="auto" w:fill="auto"/>
            <w:hideMark/>
          </w:tcPr>
          <w:p w14:paraId="0E13BE5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7909,77</w:t>
            </w:r>
          </w:p>
        </w:tc>
      </w:tr>
      <w:tr w:rsidR="008B264B" w:rsidRPr="008B264B" w14:paraId="2D6460BF" w14:textId="77777777" w:rsidTr="008B264B">
        <w:trPr>
          <w:jc w:val="center"/>
        </w:trPr>
        <w:tc>
          <w:tcPr>
            <w:tcW w:w="5535" w:type="dxa"/>
            <w:tcBorders>
              <w:top w:val="nil"/>
              <w:left w:val="nil"/>
              <w:bottom w:val="nil"/>
              <w:right w:val="nil"/>
            </w:tcBorders>
            <w:shd w:val="clear" w:color="auto" w:fill="auto"/>
            <w:hideMark/>
          </w:tcPr>
          <w:p w14:paraId="39D623A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Сульфати</w:t>
            </w:r>
          </w:p>
        </w:tc>
        <w:tc>
          <w:tcPr>
            <w:tcW w:w="3915" w:type="dxa"/>
            <w:tcBorders>
              <w:top w:val="nil"/>
              <w:left w:val="nil"/>
              <w:bottom w:val="nil"/>
              <w:right w:val="nil"/>
            </w:tcBorders>
            <w:shd w:val="clear" w:color="auto" w:fill="auto"/>
            <w:hideMark/>
          </w:tcPr>
          <w:p w14:paraId="672264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46,19</w:t>
            </w:r>
          </w:p>
        </w:tc>
      </w:tr>
      <w:tr w:rsidR="008B264B" w:rsidRPr="008B264B" w14:paraId="56255768" w14:textId="77777777" w:rsidTr="008B264B">
        <w:trPr>
          <w:jc w:val="center"/>
        </w:trPr>
        <w:tc>
          <w:tcPr>
            <w:tcW w:w="5535" w:type="dxa"/>
            <w:tcBorders>
              <w:top w:val="nil"/>
              <w:left w:val="nil"/>
              <w:bottom w:val="nil"/>
              <w:right w:val="nil"/>
            </w:tcBorders>
            <w:shd w:val="clear" w:color="auto" w:fill="auto"/>
            <w:hideMark/>
          </w:tcPr>
          <w:p w14:paraId="7EE0510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Фосфати</w:t>
            </w:r>
          </w:p>
        </w:tc>
        <w:tc>
          <w:tcPr>
            <w:tcW w:w="3915" w:type="dxa"/>
            <w:tcBorders>
              <w:top w:val="nil"/>
              <w:left w:val="nil"/>
              <w:bottom w:val="nil"/>
              <w:right w:val="nil"/>
            </w:tcBorders>
            <w:shd w:val="clear" w:color="auto" w:fill="auto"/>
            <w:hideMark/>
          </w:tcPr>
          <w:p w14:paraId="7E9285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1287,18</w:t>
            </w:r>
          </w:p>
        </w:tc>
      </w:tr>
      <w:tr w:rsidR="008B264B" w:rsidRPr="008B264B" w14:paraId="120964FF" w14:textId="77777777" w:rsidTr="008B264B">
        <w:trPr>
          <w:jc w:val="center"/>
        </w:trPr>
        <w:tc>
          <w:tcPr>
            <w:tcW w:w="5535" w:type="dxa"/>
            <w:tcBorders>
              <w:top w:val="nil"/>
              <w:left w:val="nil"/>
              <w:bottom w:val="nil"/>
              <w:right w:val="nil"/>
            </w:tcBorders>
            <w:shd w:val="clear" w:color="auto" w:fill="auto"/>
            <w:hideMark/>
          </w:tcPr>
          <w:p w14:paraId="7197039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Хлориди</w:t>
            </w:r>
          </w:p>
        </w:tc>
        <w:tc>
          <w:tcPr>
            <w:tcW w:w="3915" w:type="dxa"/>
            <w:tcBorders>
              <w:top w:val="nil"/>
              <w:left w:val="nil"/>
              <w:bottom w:val="nil"/>
              <w:right w:val="nil"/>
            </w:tcBorders>
            <w:shd w:val="clear" w:color="auto" w:fill="auto"/>
            <w:hideMark/>
          </w:tcPr>
          <w:p w14:paraId="497113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46,19.</w:t>
            </w:r>
          </w:p>
        </w:tc>
      </w:tr>
    </w:tbl>
    <w:p w14:paraId="0D7435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2" w:name="n6014"/>
      <w:bookmarkEnd w:id="7752"/>
      <w:r w:rsidRPr="008B264B">
        <w:rPr>
          <w:rFonts w:ascii="Times New Roman" w:eastAsia="Times New Roman" w:hAnsi="Times New Roman" w:cs="Times New Roman"/>
          <w:i/>
          <w:iCs/>
          <w:color w:val="000000"/>
          <w:sz w:val="24"/>
          <w:szCs w:val="24"/>
          <w:lang/>
        </w:rPr>
        <w:t>{Пункт 245.1 статті 245 в редакції Законів </w:t>
      </w:r>
      <w:hyperlink r:id="rId4393"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39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395" w:anchor="n164"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 </w:t>
      </w:r>
      <w:hyperlink r:id="rId4396" w:anchor="n50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397" w:anchor="n6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398" w:anchor="n32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E3ADE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3" w:name="n6015"/>
      <w:bookmarkEnd w:id="7753"/>
      <w:r w:rsidRPr="008B264B">
        <w:rPr>
          <w:rFonts w:ascii="Times New Roman" w:eastAsia="Times New Roman" w:hAnsi="Times New Roman" w:cs="Times New Roman"/>
          <w:color w:val="000000"/>
          <w:sz w:val="24"/>
          <w:szCs w:val="24"/>
          <w:lang/>
        </w:rPr>
        <w:t>245.2. Ставки податку за скиди у водні об’єкти забруднюючих речовин, які не увійшли до </w:t>
      </w:r>
      <w:hyperlink r:id="rId4399" w:anchor="n6012" w:history="1">
        <w:r w:rsidRPr="008B264B">
          <w:rPr>
            <w:rFonts w:ascii="Times New Roman" w:eastAsia="Times New Roman" w:hAnsi="Times New Roman" w:cs="Times New Roman"/>
            <w:color w:val="0000FF"/>
            <w:sz w:val="24"/>
            <w:szCs w:val="24"/>
            <w:u w:val="single"/>
            <w:lang/>
          </w:rPr>
          <w:t>пункту 245.1</w:t>
        </w:r>
      </w:hyperlink>
      <w:r w:rsidRPr="008B264B">
        <w:rPr>
          <w:rFonts w:ascii="Times New Roman" w:eastAsia="Times New Roman" w:hAnsi="Times New Roman" w:cs="Times New Roman"/>
          <w:color w:val="000000"/>
          <w:sz w:val="24"/>
          <w:szCs w:val="24"/>
          <w:lang/>
        </w:rPr>
        <w:t> цієї статті та на які встановлено гранично допустиму концентрацію або орієнтовно безпечний рівень впливу:</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4697"/>
        <w:gridCol w:w="5225"/>
      </w:tblGrid>
      <w:tr w:rsidR="008B264B" w:rsidRPr="008B264B" w14:paraId="7E599EC0" w14:textId="77777777" w:rsidTr="008B264B">
        <w:trPr>
          <w:jc w:val="center"/>
        </w:trPr>
        <w:tc>
          <w:tcPr>
            <w:tcW w:w="4410" w:type="dxa"/>
            <w:tcBorders>
              <w:top w:val="single" w:sz="6" w:space="0" w:color="000000"/>
              <w:left w:val="nil"/>
              <w:bottom w:val="single" w:sz="6" w:space="0" w:color="000000"/>
              <w:right w:val="single" w:sz="6" w:space="0" w:color="000000"/>
            </w:tcBorders>
            <w:shd w:val="clear" w:color="auto" w:fill="auto"/>
            <w:hideMark/>
          </w:tcPr>
          <w:p w14:paraId="7382FCF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54" w:name="n14890"/>
            <w:bookmarkEnd w:id="7754"/>
            <w:r w:rsidRPr="008B264B">
              <w:rPr>
                <w:rFonts w:ascii="Times New Roman" w:eastAsia="Times New Roman" w:hAnsi="Times New Roman" w:cs="Times New Roman"/>
                <w:sz w:val="24"/>
                <w:szCs w:val="24"/>
                <w:lang/>
              </w:rPr>
              <w:t>Гранично допустима концентрація забруднюючих речовин або орієнтовно безпечний рівень впливу, міліграмів на 1 літр</w:t>
            </w:r>
          </w:p>
        </w:tc>
        <w:tc>
          <w:tcPr>
            <w:tcW w:w="4905" w:type="dxa"/>
            <w:tcBorders>
              <w:top w:val="single" w:sz="6" w:space="0" w:color="000000"/>
              <w:left w:val="single" w:sz="6" w:space="0" w:color="000000"/>
              <w:bottom w:val="single" w:sz="6" w:space="0" w:color="000000"/>
              <w:right w:val="nil"/>
            </w:tcBorders>
            <w:shd w:val="clear" w:color="auto" w:fill="auto"/>
            <w:hideMark/>
          </w:tcPr>
          <w:p w14:paraId="0330B3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r w:rsidRPr="008B264B">
              <w:rPr>
                <w:rFonts w:ascii="Times New Roman" w:eastAsia="Times New Roman" w:hAnsi="Times New Roman" w:cs="Times New Roman"/>
                <w:sz w:val="24"/>
                <w:szCs w:val="24"/>
                <w:lang/>
              </w:rPr>
              <w:br/>
              <w:t>гривень за 1 тонну</w:t>
            </w:r>
          </w:p>
        </w:tc>
      </w:tr>
      <w:tr w:rsidR="008B264B" w:rsidRPr="008B264B" w14:paraId="6BFA8CD8" w14:textId="77777777" w:rsidTr="008B264B">
        <w:trPr>
          <w:jc w:val="center"/>
        </w:trPr>
        <w:tc>
          <w:tcPr>
            <w:tcW w:w="4410" w:type="dxa"/>
            <w:tcBorders>
              <w:top w:val="single" w:sz="6" w:space="0" w:color="000000"/>
              <w:left w:val="nil"/>
              <w:bottom w:val="nil"/>
              <w:right w:val="nil"/>
            </w:tcBorders>
            <w:shd w:val="clear" w:color="auto" w:fill="auto"/>
            <w:hideMark/>
          </w:tcPr>
          <w:p w14:paraId="4F2C194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 0,001 (включно)</w:t>
            </w:r>
          </w:p>
        </w:tc>
        <w:tc>
          <w:tcPr>
            <w:tcW w:w="4905" w:type="dxa"/>
            <w:tcBorders>
              <w:top w:val="single" w:sz="6" w:space="0" w:color="000000"/>
              <w:left w:val="nil"/>
              <w:bottom w:val="nil"/>
              <w:right w:val="nil"/>
            </w:tcBorders>
            <w:shd w:val="clear" w:color="auto" w:fill="auto"/>
            <w:hideMark/>
          </w:tcPr>
          <w:p w14:paraId="69D358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168743,5</w:t>
            </w:r>
          </w:p>
        </w:tc>
      </w:tr>
      <w:tr w:rsidR="008B264B" w:rsidRPr="008B264B" w14:paraId="7B6EBFB6" w14:textId="77777777" w:rsidTr="008B264B">
        <w:trPr>
          <w:jc w:val="center"/>
        </w:trPr>
        <w:tc>
          <w:tcPr>
            <w:tcW w:w="4410" w:type="dxa"/>
            <w:tcBorders>
              <w:top w:val="nil"/>
              <w:left w:val="nil"/>
              <w:bottom w:val="nil"/>
              <w:right w:val="nil"/>
            </w:tcBorders>
            <w:shd w:val="clear" w:color="auto" w:fill="auto"/>
            <w:hideMark/>
          </w:tcPr>
          <w:p w14:paraId="05FA1B3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0,001-0,1 (включно)</w:t>
            </w:r>
          </w:p>
        </w:tc>
        <w:tc>
          <w:tcPr>
            <w:tcW w:w="4905" w:type="dxa"/>
            <w:tcBorders>
              <w:top w:val="nil"/>
              <w:left w:val="nil"/>
              <w:bottom w:val="nil"/>
              <w:right w:val="nil"/>
            </w:tcBorders>
            <w:shd w:val="clear" w:color="auto" w:fill="auto"/>
            <w:hideMark/>
          </w:tcPr>
          <w:p w14:paraId="66F260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122347,23</w:t>
            </w:r>
          </w:p>
        </w:tc>
      </w:tr>
      <w:tr w:rsidR="008B264B" w:rsidRPr="008B264B" w14:paraId="74E088C5" w14:textId="77777777" w:rsidTr="008B264B">
        <w:trPr>
          <w:jc w:val="center"/>
        </w:trPr>
        <w:tc>
          <w:tcPr>
            <w:tcW w:w="4410" w:type="dxa"/>
            <w:tcBorders>
              <w:top w:val="nil"/>
              <w:left w:val="nil"/>
              <w:bottom w:val="nil"/>
              <w:right w:val="nil"/>
            </w:tcBorders>
            <w:shd w:val="clear" w:color="auto" w:fill="auto"/>
            <w:hideMark/>
          </w:tcPr>
          <w:p w14:paraId="62BD95B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0,1-1 (включно)</w:t>
            </w:r>
          </w:p>
        </w:tc>
        <w:tc>
          <w:tcPr>
            <w:tcW w:w="4905" w:type="dxa"/>
            <w:tcBorders>
              <w:top w:val="nil"/>
              <w:left w:val="nil"/>
              <w:bottom w:val="nil"/>
              <w:right w:val="nil"/>
            </w:tcBorders>
            <w:shd w:val="clear" w:color="auto" w:fill="auto"/>
            <w:hideMark/>
          </w:tcPr>
          <w:p w14:paraId="1E2462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21092,69</w:t>
            </w:r>
          </w:p>
        </w:tc>
      </w:tr>
      <w:tr w:rsidR="008B264B" w:rsidRPr="008B264B" w14:paraId="65012BAB" w14:textId="77777777" w:rsidTr="008B264B">
        <w:trPr>
          <w:jc w:val="center"/>
        </w:trPr>
        <w:tc>
          <w:tcPr>
            <w:tcW w:w="4410" w:type="dxa"/>
            <w:tcBorders>
              <w:top w:val="nil"/>
              <w:left w:val="nil"/>
              <w:bottom w:val="nil"/>
              <w:right w:val="nil"/>
            </w:tcBorders>
            <w:shd w:val="clear" w:color="auto" w:fill="auto"/>
            <w:hideMark/>
          </w:tcPr>
          <w:p w14:paraId="64EBEE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1-10 (включно)</w:t>
            </w:r>
          </w:p>
        </w:tc>
        <w:tc>
          <w:tcPr>
            <w:tcW w:w="4905" w:type="dxa"/>
            <w:tcBorders>
              <w:top w:val="nil"/>
              <w:left w:val="nil"/>
              <w:bottom w:val="nil"/>
              <w:right w:val="nil"/>
            </w:tcBorders>
            <w:shd w:val="clear" w:color="auto" w:fill="auto"/>
            <w:hideMark/>
          </w:tcPr>
          <w:p w14:paraId="4A3B6E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2146,63</w:t>
            </w:r>
          </w:p>
        </w:tc>
      </w:tr>
      <w:tr w:rsidR="008B264B" w:rsidRPr="008B264B" w14:paraId="3C4EC642" w14:textId="77777777" w:rsidTr="008B264B">
        <w:trPr>
          <w:jc w:val="center"/>
        </w:trPr>
        <w:tc>
          <w:tcPr>
            <w:tcW w:w="4410" w:type="dxa"/>
            <w:tcBorders>
              <w:top w:val="nil"/>
              <w:left w:val="nil"/>
              <w:bottom w:val="nil"/>
              <w:right w:val="nil"/>
            </w:tcBorders>
            <w:shd w:val="clear" w:color="auto" w:fill="auto"/>
            <w:hideMark/>
          </w:tcPr>
          <w:p w14:paraId="78F535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Понад 10</w:t>
            </w:r>
          </w:p>
        </w:tc>
        <w:tc>
          <w:tcPr>
            <w:tcW w:w="4905" w:type="dxa"/>
            <w:tcBorders>
              <w:top w:val="nil"/>
              <w:left w:val="nil"/>
              <w:bottom w:val="nil"/>
              <w:right w:val="nil"/>
            </w:tcBorders>
            <w:shd w:val="clear" w:color="auto" w:fill="auto"/>
            <w:hideMark/>
          </w:tcPr>
          <w:p w14:paraId="721575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429,72.</w:t>
            </w:r>
          </w:p>
        </w:tc>
      </w:tr>
    </w:tbl>
    <w:p w14:paraId="351895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5" w:name="n6017"/>
      <w:bookmarkEnd w:id="7755"/>
      <w:r w:rsidRPr="008B264B">
        <w:rPr>
          <w:rFonts w:ascii="Times New Roman" w:eastAsia="Times New Roman" w:hAnsi="Times New Roman" w:cs="Times New Roman"/>
          <w:i/>
          <w:iCs/>
          <w:color w:val="000000"/>
          <w:sz w:val="24"/>
          <w:szCs w:val="24"/>
          <w:lang/>
        </w:rPr>
        <w:t>{Пункт 245.2 статті 245 в редакції Законів </w:t>
      </w:r>
      <w:hyperlink r:id="rId4400"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401"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w:t>
      </w:r>
      <w:hyperlink r:id="rId4402" w:anchor="n164"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 </w:t>
      </w:r>
      <w:hyperlink r:id="rId4403" w:anchor="n50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404" w:anchor="n6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405" w:anchor="n32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B3CE8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6" w:name="n6018"/>
      <w:bookmarkEnd w:id="7756"/>
      <w:r w:rsidRPr="008B264B">
        <w:rPr>
          <w:rFonts w:ascii="Times New Roman" w:eastAsia="Times New Roman" w:hAnsi="Times New Roman" w:cs="Times New Roman"/>
          <w:color w:val="000000"/>
          <w:sz w:val="24"/>
          <w:szCs w:val="24"/>
          <w:lang/>
        </w:rPr>
        <w:t>245.3. За скиди забруднюючих речовин, на які не встановлено гранично допустиму концентрацію або орієнтовнобезпечний рівень впливу, застосовуються ставки податку за найменшою величиною гранично допустимої концентрації, наведеної у </w:t>
      </w:r>
      <w:hyperlink r:id="rId4406" w:anchor="n6015" w:history="1">
        <w:r w:rsidRPr="008B264B">
          <w:rPr>
            <w:rFonts w:ascii="Times New Roman" w:eastAsia="Times New Roman" w:hAnsi="Times New Roman" w:cs="Times New Roman"/>
            <w:color w:val="0000FF"/>
            <w:sz w:val="24"/>
            <w:szCs w:val="24"/>
            <w:u w:val="single"/>
            <w:lang/>
          </w:rPr>
          <w:t>пункті 245.2</w:t>
        </w:r>
      </w:hyperlink>
      <w:r w:rsidRPr="008B264B">
        <w:rPr>
          <w:rFonts w:ascii="Times New Roman" w:eastAsia="Times New Roman" w:hAnsi="Times New Roman" w:cs="Times New Roman"/>
          <w:color w:val="000000"/>
          <w:sz w:val="24"/>
          <w:szCs w:val="24"/>
          <w:lang/>
        </w:rPr>
        <w:t> цієї статті.</w:t>
      </w:r>
    </w:p>
    <w:p w14:paraId="3AAAF8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7" w:name="n6019"/>
      <w:bookmarkEnd w:id="7757"/>
      <w:r w:rsidRPr="008B264B">
        <w:rPr>
          <w:rFonts w:ascii="Times New Roman" w:eastAsia="Times New Roman" w:hAnsi="Times New Roman" w:cs="Times New Roman"/>
          <w:color w:val="000000"/>
          <w:sz w:val="24"/>
          <w:szCs w:val="24"/>
          <w:lang/>
        </w:rPr>
        <w:t>245.4. За скиди забруднюючих речовин у ставки та озера ставки податку, зазначені у </w:t>
      </w:r>
      <w:hyperlink r:id="rId4407" w:anchor="n6012" w:history="1">
        <w:r w:rsidRPr="008B264B">
          <w:rPr>
            <w:rFonts w:ascii="Times New Roman" w:eastAsia="Times New Roman" w:hAnsi="Times New Roman" w:cs="Times New Roman"/>
            <w:color w:val="0000FF"/>
            <w:sz w:val="24"/>
            <w:szCs w:val="24"/>
            <w:u w:val="single"/>
            <w:lang/>
          </w:rPr>
          <w:t>пунктах 245.1</w:t>
        </w:r>
      </w:hyperlink>
      <w:r w:rsidRPr="008B264B">
        <w:rPr>
          <w:rFonts w:ascii="Times New Roman" w:eastAsia="Times New Roman" w:hAnsi="Times New Roman" w:cs="Times New Roman"/>
          <w:color w:val="000000"/>
          <w:sz w:val="24"/>
          <w:szCs w:val="24"/>
          <w:lang/>
        </w:rPr>
        <w:t> і </w:t>
      </w:r>
      <w:hyperlink r:id="rId4408" w:anchor="n6015" w:history="1">
        <w:r w:rsidRPr="008B264B">
          <w:rPr>
            <w:rFonts w:ascii="Times New Roman" w:eastAsia="Times New Roman" w:hAnsi="Times New Roman" w:cs="Times New Roman"/>
            <w:color w:val="0000FF"/>
            <w:sz w:val="24"/>
            <w:szCs w:val="24"/>
            <w:u w:val="single"/>
            <w:lang/>
          </w:rPr>
          <w:t>245.2</w:t>
        </w:r>
      </w:hyperlink>
      <w:r w:rsidRPr="008B264B">
        <w:rPr>
          <w:rFonts w:ascii="Times New Roman" w:eastAsia="Times New Roman" w:hAnsi="Times New Roman" w:cs="Times New Roman"/>
          <w:color w:val="000000"/>
          <w:sz w:val="24"/>
          <w:szCs w:val="24"/>
          <w:lang/>
        </w:rPr>
        <w:t> цієї статті, збільшуються у 1,5 раза.</w:t>
      </w:r>
    </w:p>
    <w:p w14:paraId="4C1B63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8" w:name="n6020"/>
      <w:bookmarkEnd w:id="7758"/>
      <w:r w:rsidRPr="008B264B">
        <w:rPr>
          <w:rFonts w:ascii="Times New Roman" w:eastAsia="Times New Roman" w:hAnsi="Times New Roman" w:cs="Times New Roman"/>
          <w:b/>
          <w:bCs/>
          <w:color w:val="000000"/>
          <w:sz w:val="24"/>
          <w:szCs w:val="24"/>
          <w:lang/>
        </w:rPr>
        <w:t>Стаття 246.</w:t>
      </w:r>
      <w:r w:rsidRPr="008B264B">
        <w:rPr>
          <w:rFonts w:ascii="Times New Roman" w:eastAsia="Times New Roman" w:hAnsi="Times New Roman" w:cs="Times New Roman"/>
          <w:color w:val="000000"/>
          <w:sz w:val="24"/>
          <w:szCs w:val="24"/>
          <w:lang/>
        </w:rPr>
        <w:t> Ставки податку за розміщення відходів у спеціально відведених для цього місцях чи на об'єктах</w:t>
      </w:r>
    </w:p>
    <w:p w14:paraId="51C403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59" w:name="n6021"/>
      <w:bookmarkEnd w:id="7759"/>
      <w:r w:rsidRPr="008B264B">
        <w:rPr>
          <w:rFonts w:ascii="Times New Roman" w:eastAsia="Times New Roman" w:hAnsi="Times New Roman" w:cs="Times New Roman"/>
          <w:color w:val="000000"/>
          <w:sz w:val="24"/>
          <w:szCs w:val="24"/>
          <w:lang/>
        </w:rPr>
        <w:t>246.1. Ставки податку за розміщення окремих видів надзвичайно небезпечних відходів:</w:t>
      </w:r>
    </w:p>
    <w:p w14:paraId="67CA30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0" w:name="n6022"/>
      <w:bookmarkEnd w:id="7760"/>
      <w:r w:rsidRPr="008B264B">
        <w:rPr>
          <w:rFonts w:ascii="Times New Roman" w:eastAsia="Times New Roman" w:hAnsi="Times New Roman" w:cs="Times New Roman"/>
          <w:color w:val="000000"/>
          <w:sz w:val="24"/>
          <w:szCs w:val="24"/>
          <w:lang/>
        </w:rPr>
        <w:lastRenderedPageBreak/>
        <w:t>246.1.1. обладнання та приладів, що містять ртуть, елементи з іонізуючим випромінюванням, - 865,47 гривні за одиницю;</w:t>
      </w:r>
    </w:p>
    <w:p w14:paraId="52BF7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1" w:name="n6024"/>
      <w:bookmarkEnd w:id="7761"/>
      <w:r w:rsidRPr="008B264B">
        <w:rPr>
          <w:rFonts w:ascii="Times New Roman" w:eastAsia="Times New Roman" w:hAnsi="Times New Roman" w:cs="Times New Roman"/>
          <w:color w:val="000000"/>
          <w:sz w:val="24"/>
          <w:szCs w:val="24"/>
          <w:lang/>
        </w:rPr>
        <w:t>246.1.2. люмінесцентних ламп - 15,06 гривні за одиницю.</w:t>
      </w:r>
    </w:p>
    <w:p w14:paraId="159A87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2" w:name="n12896"/>
      <w:bookmarkEnd w:id="7762"/>
      <w:r w:rsidRPr="008B264B">
        <w:rPr>
          <w:rFonts w:ascii="Times New Roman" w:eastAsia="Times New Roman" w:hAnsi="Times New Roman" w:cs="Times New Roman"/>
          <w:i/>
          <w:iCs/>
          <w:color w:val="000000"/>
          <w:sz w:val="24"/>
          <w:szCs w:val="24"/>
          <w:lang/>
        </w:rPr>
        <w:t>{Пункт 246.1 статті 246 із змінами, внесеними згідно із Законами </w:t>
      </w:r>
      <w:hyperlink r:id="rId4409"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410"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411" w:anchor="n171"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 в редакції Законів </w:t>
      </w:r>
      <w:hyperlink r:id="rId4412" w:anchor="n51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413" w:anchor="n6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414" w:anchor="n32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43A0D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3" w:name="n6026"/>
      <w:bookmarkEnd w:id="7763"/>
      <w:r w:rsidRPr="008B264B">
        <w:rPr>
          <w:rFonts w:ascii="Times New Roman" w:eastAsia="Times New Roman" w:hAnsi="Times New Roman" w:cs="Times New Roman"/>
          <w:color w:val="000000"/>
          <w:sz w:val="24"/>
          <w:szCs w:val="24"/>
          <w:lang/>
        </w:rPr>
        <w:t>246.2. Ставки податку за розміщення відходів, які встановлюються залежно від класу небезпеки та рівня небезпечності відходів:</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3972"/>
        <w:gridCol w:w="3281"/>
        <w:gridCol w:w="2669"/>
      </w:tblGrid>
      <w:tr w:rsidR="008B264B" w:rsidRPr="008B264B" w14:paraId="1D57A970" w14:textId="77777777" w:rsidTr="008B264B">
        <w:trPr>
          <w:jc w:val="center"/>
        </w:trPr>
        <w:tc>
          <w:tcPr>
            <w:tcW w:w="3705" w:type="dxa"/>
            <w:tcBorders>
              <w:top w:val="single" w:sz="6" w:space="0" w:color="000000"/>
              <w:left w:val="nil"/>
              <w:bottom w:val="single" w:sz="6" w:space="0" w:color="000000"/>
              <w:right w:val="single" w:sz="6" w:space="0" w:color="000000"/>
            </w:tcBorders>
            <w:shd w:val="clear" w:color="auto" w:fill="auto"/>
            <w:hideMark/>
          </w:tcPr>
          <w:p w14:paraId="223416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64" w:name="n14891"/>
            <w:bookmarkEnd w:id="7764"/>
            <w:r w:rsidRPr="008B264B">
              <w:rPr>
                <w:rFonts w:ascii="Times New Roman" w:eastAsia="Times New Roman" w:hAnsi="Times New Roman" w:cs="Times New Roman"/>
                <w:sz w:val="24"/>
                <w:szCs w:val="24"/>
                <w:lang/>
              </w:rPr>
              <w:t>Клас небезпеки відходів</w:t>
            </w:r>
          </w:p>
        </w:tc>
        <w:tc>
          <w:tcPr>
            <w:tcW w:w="3060" w:type="dxa"/>
            <w:tcBorders>
              <w:top w:val="single" w:sz="6" w:space="0" w:color="000000"/>
              <w:left w:val="single" w:sz="6" w:space="0" w:color="000000"/>
              <w:bottom w:val="single" w:sz="6" w:space="0" w:color="000000"/>
              <w:right w:val="single" w:sz="6" w:space="0" w:color="000000"/>
            </w:tcBorders>
            <w:shd w:val="clear" w:color="auto" w:fill="auto"/>
            <w:hideMark/>
          </w:tcPr>
          <w:p w14:paraId="435FA0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Рівень небезпечності відходів</w:t>
            </w:r>
          </w:p>
        </w:tc>
        <w:tc>
          <w:tcPr>
            <w:tcW w:w="2490" w:type="dxa"/>
            <w:tcBorders>
              <w:top w:val="single" w:sz="6" w:space="0" w:color="000000"/>
              <w:left w:val="single" w:sz="6" w:space="0" w:color="000000"/>
              <w:bottom w:val="single" w:sz="6" w:space="0" w:color="000000"/>
              <w:right w:val="nil"/>
            </w:tcBorders>
            <w:shd w:val="clear" w:color="auto" w:fill="auto"/>
            <w:hideMark/>
          </w:tcPr>
          <w:p w14:paraId="46A75A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w:t>
            </w:r>
            <w:r w:rsidRPr="008B264B">
              <w:rPr>
                <w:rFonts w:ascii="Times New Roman" w:eastAsia="Times New Roman" w:hAnsi="Times New Roman" w:cs="Times New Roman"/>
                <w:sz w:val="24"/>
                <w:szCs w:val="24"/>
                <w:lang/>
              </w:rPr>
              <w:br/>
              <w:t>гривень за 1 тонну</w:t>
            </w:r>
          </w:p>
        </w:tc>
      </w:tr>
      <w:tr w:rsidR="008B264B" w:rsidRPr="008B264B" w14:paraId="0E2400DA" w14:textId="77777777" w:rsidTr="008B264B">
        <w:trPr>
          <w:jc w:val="center"/>
        </w:trPr>
        <w:tc>
          <w:tcPr>
            <w:tcW w:w="3705" w:type="dxa"/>
            <w:tcBorders>
              <w:top w:val="single" w:sz="6" w:space="0" w:color="000000"/>
              <w:left w:val="nil"/>
              <w:bottom w:val="nil"/>
              <w:right w:val="nil"/>
            </w:tcBorders>
            <w:shd w:val="clear" w:color="auto" w:fill="auto"/>
            <w:hideMark/>
          </w:tcPr>
          <w:p w14:paraId="470BEC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w:t>
            </w:r>
          </w:p>
        </w:tc>
        <w:tc>
          <w:tcPr>
            <w:tcW w:w="3060" w:type="dxa"/>
            <w:tcBorders>
              <w:top w:val="single" w:sz="6" w:space="0" w:color="000000"/>
              <w:left w:val="nil"/>
              <w:bottom w:val="nil"/>
              <w:right w:val="nil"/>
            </w:tcBorders>
            <w:shd w:val="clear" w:color="auto" w:fill="auto"/>
            <w:hideMark/>
          </w:tcPr>
          <w:p w14:paraId="2F8765E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надзвичайно небезпечні</w:t>
            </w:r>
          </w:p>
        </w:tc>
        <w:tc>
          <w:tcPr>
            <w:tcW w:w="2490" w:type="dxa"/>
            <w:tcBorders>
              <w:top w:val="single" w:sz="6" w:space="0" w:color="000000"/>
              <w:left w:val="nil"/>
              <w:bottom w:val="nil"/>
              <w:right w:val="nil"/>
            </w:tcBorders>
            <w:shd w:val="clear" w:color="auto" w:fill="auto"/>
            <w:hideMark/>
          </w:tcPr>
          <w:p w14:paraId="785C75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1405,65</w:t>
            </w:r>
          </w:p>
        </w:tc>
      </w:tr>
      <w:tr w:rsidR="008B264B" w:rsidRPr="008B264B" w14:paraId="1D2F9F23" w14:textId="77777777" w:rsidTr="008B264B">
        <w:trPr>
          <w:jc w:val="center"/>
        </w:trPr>
        <w:tc>
          <w:tcPr>
            <w:tcW w:w="3705" w:type="dxa"/>
            <w:tcBorders>
              <w:top w:val="nil"/>
              <w:left w:val="nil"/>
              <w:bottom w:val="nil"/>
              <w:right w:val="nil"/>
            </w:tcBorders>
            <w:shd w:val="clear" w:color="auto" w:fill="auto"/>
            <w:hideMark/>
          </w:tcPr>
          <w:p w14:paraId="16416E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II</w:t>
            </w:r>
          </w:p>
        </w:tc>
        <w:tc>
          <w:tcPr>
            <w:tcW w:w="3060" w:type="dxa"/>
            <w:tcBorders>
              <w:top w:val="nil"/>
              <w:left w:val="nil"/>
              <w:bottom w:val="nil"/>
              <w:right w:val="nil"/>
            </w:tcBorders>
            <w:shd w:val="clear" w:color="auto" w:fill="auto"/>
            <w:hideMark/>
          </w:tcPr>
          <w:p w14:paraId="672FA34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високонебезпечні</w:t>
            </w:r>
          </w:p>
        </w:tc>
        <w:tc>
          <w:tcPr>
            <w:tcW w:w="2490" w:type="dxa"/>
            <w:tcBorders>
              <w:top w:val="nil"/>
              <w:left w:val="nil"/>
              <w:bottom w:val="nil"/>
              <w:right w:val="nil"/>
            </w:tcBorders>
            <w:shd w:val="clear" w:color="auto" w:fill="auto"/>
            <w:hideMark/>
          </w:tcPr>
          <w:p w14:paraId="2996E72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51,2</w:t>
            </w:r>
          </w:p>
        </w:tc>
      </w:tr>
      <w:tr w:rsidR="008B264B" w:rsidRPr="008B264B" w14:paraId="38408586" w14:textId="77777777" w:rsidTr="008B264B">
        <w:trPr>
          <w:jc w:val="center"/>
        </w:trPr>
        <w:tc>
          <w:tcPr>
            <w:tcW w:w="3705" w:type="dxa"/>
            <w:tcBorders>
              <w:top w:val="nil"/>
              <w:left w:val="nil"/>
              <w:bottom w:val="nil"/>
              <w:right w:val="nil"/>
            </w:tcBorders>
            <w:shd w:val="clear" w:color="auto" w:fill="auto"/>
            <w:hideMark/>
          </w:tcPr>
          <w:p w14:paraId="46F8C9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III</w:t>
            </w:r>
          </w:p>
        </w:tc>
        <w:tc>
          <w:tcPr>
            <w:tcW w:w="3060" w:type="dxa"/>
            <w:tcBorders>
              <w:top w:val="nil"/>
              <w:left w:val="nil"/>
              <w:bottom w:val="nil"/>
              <w:right w:val="nil"/>
            </w:tcBorders>
            <w:shd w:val="clear" w:color="auto" w:fill="auto"/>
            <w:hideMark/>
          </w:tcPr>
          <w:p w14:paraId="516546C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помірно небезпечні</w:t>
            </w:r>
          </w:p>
        </w:tc>
        <w:tc>
          <w:tcPr>
            <w:tcW w:w="2490" w:type="dxa"/>
            <w:tcBorders>
              <w:top w:val="nil"/>
              <w:left w:val="nil"/>
              <w:bottom w:val="nil"/>
              <w:right w:val="nil"/>
            </w:tcBorders>
            <w:shd w:val="clear" w:color="auto" w:fill="auto"/>
            <w:hideMark/>
          </w:tcPr>
          <w:p w14:paraId="355927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12,84</w:t>
            </w:r>
          </w:p>
        </w:tc>
      </w:tr>
      <w:tr w:rsidR="008B264B" w:rsidRPr="008B264B" w14:paraId="4AA79834" w14:textId="77777777" w:rsidTr="008B264B">
        <w:trPr>
          <w:jc w:val="center"/>
        </w:trPr>
        <w:tc>
          <w:tcPr>
            <w:tcW w:w="3705" w:type="dxa"/>
            <w:tcBorders>
              <w:top w:val="nil"/>
              <w:left w:val="nil"/>
              <w:bottom w:val="nil"/>
              <w:right w:val="nil"/>
            </w:tcBorders>
            <w:shd w:val="clear" w:color="auto" w:fill="auto"/>
            <w:hideMark/>
          </w:tcPr>
          <w:p w14:paraId="1E4F24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IV</w:t>
            </w:r>
          </w:p>
        </w:tc>
        <w:tc>
          <w:tcPr>
            <w:tcW w:w="3060" w:type="dxa"/>
            <w:tcBorders>
              <w:top w:val="nil"/>
              <w:left w:val="nil"/>
              <w:bottom w:val="nil"/>
              <w:right w:val="nil"/>
            </w:tcBorders>
            <w:shd w:val="clear" w:color="auto" w:fill="auto"/>
            <w:hideMark/>
          </w:tcPr>
          <w:p w14:paraId="5D39D18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малонебезпечні</w:t>
            </w:r>
          </w:p>
        </w:tc>
        <w:tc>
          <w:tcPr>
            <w:tcW w:w="2490" w:type="dxa"/>
            <w:tcBorders>
              <w:top w:val="nil"/>
              <w:left w:val="nil"/>
              <w:bottom w:val="nil"/>
              <w:right w:val="nil"/>
            </w:tcBorders>
            <w:shd w:val="clear" w:color="auto" w:fill="auto"/>
            <w:hideMark/>
          </w:tcPr>
          <w:p w14:paraId="0E28B4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4C7F4200" w14:textId="77777777" w:rsidTr="008B264B">
        <w:trPr>
          <w:jc w:val="center"/>
        </w:trPr>
        <w:tc>
          <w:tcPr>
            <w:tcW w:w="3705" w:type="dxa"/>
            <w:tcBorders>
              <w:top w:val="nil"/>
              <w:left w:val="nil"/>
              <w:bottom w:val="nil"/>
              <w:right w:val="nil"/>
            </w:tcBorders>
            <w:shd w:val="clear" w:color="auto" w:fill="auto"/>
            <w:hideMark/>
          </w:tcPr>
          <w:p w14:paraId="1A86D0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3060" w:type="dxa"/>
            <w:tcBorders>
              <w:top w:val="nil"/>
              <w:left w:val="nil"/>
              <w:bottom w:val="nil"/>
              <w:right w:val="nil"/>
            </w:tcBorders>
            <w:shd w:val="clear" w:color="auto" w:fill="auto"/>
            <w:hideMark/>
          </w:tcPr>
          <w:p w14:paraId="40F758D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малонебезпечні нетоксичні відходи гірничої промисловості</w:t>
            </w:r>
          </w:p>
        </w:tc>
        <w:tc>
          <w:tcPr>
            <w:tcW w:w="2490" w:type="dxa"/>
            <w:tcBorders>
              <w:top w:val="nil"/>
              <w:left w:val="nil"/>
              <w:bottom w:val="nil"/>
              <w:right w:val="nil"/>
            </w:tcBorders>
            <w:shd w:val="clear" w:color="auto" w:fill="auto"/>
            <w:hideMark/>
          </w:tcPr>
          <w:p w14:paraId="6C1714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0,49.</w:t>
            </w:r>
          </w:p>
        </w:tc>
      </w:tr>
    </w:tbl>
    <w:p w14:paraId="4913C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5" w:name="n6028"/>
      <w:bookmarkEnd w:id="7765"/>
      <w:r w:rsidRPr="008B264B">
        <w:rPr>
          <w:rFonts w:ascii="Times New Roman" w:eastAsia="Times New Roman" w:hAnsi="Times New Roman" w:cs="Times New Roman"/>
          <w:i/>
          <w:iCs/>
          <w:color w:val="000000"/>
          <w:sz w:val="24"/>
          <w:szCs w:val="24"/>
          <w:lang/>
        </w:rPr>
        <w:t>{Пункт 246.2 статті 246 в редакції Законів № </w:t>
      </w:r>
      <w:hyperlink r:id="rId4415" w:tgtFrame="_blank" w:history="1">
        <w:r w:rsidRPr="008B264B">
          <w:rPr>
            <w:rFonts w:ascii="Times New Roman" w:eastAsia="Times New Roman" w:hAnsi="Times New Roman" w:cs="Times New Roman"/>
            <w:i/>
            <w:iCs/>
            <w:color w:val="0000FF"/>
            <w:sz w:val="24"/>
            <w:szCs w:val="24"/>
            <w:u w:val="single"/>
            <w:lang/>
          </w:rPr>
          <w:t>4235-VI від 22.12.2011</w:t>
        </w:r>
      </w:hyperlink>
      <w:r w:rsidRPr="008B264B">
        <w:rPr>
          <w:rFonts w:ascii="Times New Roman" w:eastAsia="Times New Roman" w:hAnsi="Times New Roman" w:cs="Times New Roman"/>
          <w:i/>
          <w:iCs/>
          <w:color w:val="000000"/>
          <w:sz w:val="24"/>
          <w:szCs w:val="24"/>
          <w:lang/>
        </w:rPr>
        <w:t>, </w:t>
      </w:r>
      <w:hyperlink r:id="rId441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w:t>
      </w:r>
      <w:hyperlink r:id="rId4417" w:anchor="n173"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 </w:t>
      </w:r>
      <w:hyperlink r:id="rId4418" w:anchor="n51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419" w:anchor="n6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420" w:anchor="n32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6E6C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6" w:name="n6029"/>
      <w:bookmarkEnd w:id="7766"/>
      <w:r w:rsidRPr="008B264B">
        <w:rPr>
          <w:rFonts w:ascii="Times New Roman" w:eastAsia="Times New Roman" w:hAnsi="Times New Roman" w:cs="Times New Roman"/>
          <w:color w:val="000000"/>
          <w:sz w:val="24"/>
          <w:szCs w:val="24"/>
          <w:lang/>
        </w:rPr>
        <w:t>246.3. За розміщення відходів, на які не встановлено клас небезпеки, застосовується ставка податку, встановлена за розміщення відходів I класу небезпеки.</w:t>
      </w:r>
    </w:p>
    <w:p w14:paraId="2E326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7" w:name="n6030"/>
      <w:bookmarkEnd w:id="7767"/>
      <w:r w:rsidRPr="008B264B">
        <w:rPr>
          <w:rFonts w:ascii="Times New Roman" w:eastAsia="Times New Roman" w:hAnsi="Times New Roman" w:cs="Times New Roman"/>
          <w:color w:val="000000"/>
          <w:sz w:val="24"/>
          <w:szCs w:val="24"/>
          <w:lang/>
        </w:rPr>
        <w:t>246.4. За розміщення відходів на звалищах, які не забезпечують повного виключення забруднення атмосферного повітря або водних об'єктів, ставки податку, зазначені у </w:t>
      </w:r>
      <w:hyperlink r:id="rId4421" w:anchor="n6021" w:history="1">
        <w:r w:rsidRPr="008B264B">
          <w:rPr>
            <w:rFonts w:ascii="Times New Roman" w:eastAsia="Times New Roman" w:hAnsi="Times New Roman" w:cs="Times New Roman"/>
            <w:color w:val="0000FF"/>
            <w:sz w:val="24"/>
            <w:szCs w:val="24"/>
            <w:u w:val="single"/>
            <w:lang/>
          </w:rPr>
          <w:t>пунктах 246.1-246.3</w:t>
        </w:r>
      </w:hyperlink>
      <w:r w:rsidRPr="008B264B">
        <w:rPr>
          <w:rFonts w:ascii="Times New Roman" w:eastAsia="Times New Roman" w:hAnsi="Times New Roman" w:cs="Times New Roman"/>
          <w:color w:val="000000"/>
          <w:sz w:val="24"/>
          <w:szCs w:val="24"/>
          <w:lang/>
        </w:rPr>
        <w:t> цієї статті, збільшуються у 3 рази.</w:t>
      </w:r>
    </w:p>
    <w:p w14:paraId="5F9336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68" w:name="n6031"/>
      <w:bookmarkEnd w:id="7768"/>
      <w:r w:rsidRPr="008B264B">
        <w:rPr>
          <w:rFonts w:ascii="Times New Roman" w:eastAsia="Times New Roman" w:hAnsi="Times New Roman" w:cs="Times New Roman"/>
          <w:color w:val="000000"/>
          <w:sz w:val="24"/>
          <w:szCs w:val="24"/>
          <w:lang/>
        </w:rPr>
        <w:t>246.5. Коефіцієнт до ставок податку, який встановлюється залежно від місця (зони) розміщення відходів у навколишньому природному середовищі:</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7013"/>
        <w:gridCol w:w="2893"/>
      </w:tblGrid>
      <w:tr w:rsidR="008B264B" w:rsidRPr="008B264B" w14:paraId="609C4F87" w14:textId="77777777" w:rsidTr="008B264B">
        <w:tc>
          <w:tcPr>
            <w:tcW w:w="6510" w:type="dxa"/>
            <w:tcBorders>
              <w:top w:val="single" w:sz="6" w:space="0" w:color="000000"/>
              <w:left w:val="single" w:sz="6" w:space="0" w:color="000000"/>
              <w:bottom w:val="single" w:sz="6" w:space="0" w:color="000000"/>
              <w:right w:val="single" w:sz="6" w:space="0" w:color="000000"/>
            </w:tcBorders>
            <w:shd w:val="clear" w:color="auto" w:fill="auto"/>
            <w:hideMark/>
          </w:tcPr>
          <w:p w14:paraId="2D9927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69" w:name="n6032"/>
            <w:bookmarkEnd w:id="7769"/>
            <w:r w:rsidRPr="008B264B">
              <w:rPr>
                <w:rFonts w:ascii="Times New Roman" w:eastAsia="Times New Roman" w:hAnsi="Times New Roman" w:cs="Times New Roman"/>
                <w:sz w:val="24"/>
                <w:szCs w:val="24"/>
                <w:lang/>
              </w:rPr>
              <w:t>Місце (зона) розміщення відходів</w:t>
            </w:r>
          </w:p>
        </w:tc>
        <w:tc>
          <w:tcPr>
            <w:tcW w:w="2685" w:type="dxa"/>
            <w:tcBorders>
              <w:top w:val="single" w:sz="6" w:space="0" w:color="000000"/>
              <w:left w:val="single" w:sz="6" w:space="0" w:color="000000"/>
              <w:bottom w:val="single" w:sz="6" w:space="0" w:color="000000"/>
              <w:right w:val="single" w:sz="6" w:space="0" w:color="000000"/>
            </w:tcBorders>
            <w:shd w:val="clear" w:color="auto" w:fill="auto"/>
            <w:hideMark/>
          </w:tcPr>
          <w:p w14:paraId="678126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Коефіцієнт</w:t>
            </w:r>
          </w:p>
        </w:tc>
      </w:tr>
      <w:tr w:rsidR="008B264B" w:rsidRPr="008B264B" w14:paraId="13B1A098" w14:textId="77777777" w:rsidTr="008B264B">
        <w:tc>
          <w:tcPr>
            <w:tcW w:w="6510" w:type="dxa"/>
            <w:tcBorders>
              <w:top w:val="single" w:sz="6" w:space="0" w:color="000000"/>
              <w:left w:val="single" w:sz="6" w:space="0" w:color="000000"/>
              <w:bottom w:val="single" w:sz="6" w:space="0" w:color="000000"/>
              <w:right w:val="single" w:sz="6" w:space="0" w:color="000000"/>
            </w:tcBorders>
            <w:shd w:val="clear" w:color="auto" w:fill="auto"/>
            <w:hideMark/>
          </w:tcPr>
          <w:p w14:paraId="67A3D35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 межах населеного пункту або на відстані менш як 3 км від таких меж</w:t>
            </w:r>
          </w:p>
        </w:tc>
        <w:tc>
          <w:tcPr>
            <w:tcW w:w="2685" w:type="dxa"/>
            <w:tcBorders>
              <w:top w:val="single" w:sz="6" w:space="0" w:color="000000"/>
              <w:left w:val="single" w:sz="6" w:space="0" w:color="000000"/>
              <w:bottom w:val="single" w:sz="6" w:space="0" w:color="000000"/>
              <w:right w:val="single" w:sz="6" w:space="0" w:color="000000"/>
            </w:tcBorders>
            <w:shd w:val="clear" w:color="auto" w:fill="auto"/>
            <w:hideMark/>
          </w:tcPr>
          <w:p w14:paraId="12EFC6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r>
      <w:tr w:rsidR="008B264B" w:rsidRPr="008B264B" w14:paraId="197FF5EB" w14:textId="77777777" w:rsidTr="008B264B">
        <w:tc>
          <w:tcPr>
            <w:tcW w:w="6510" w:type="dxa"/>
            <w:tcBorders>
              <w:top w:val="single" w:sz="6" w:space="0" w:color="000000"/>
              <w:left w:val="single" w:sz="6" w:space="0" w:color="000000"/>
              <w:bottom w:val="single" w:sz="6" w:space="0" w:color="000000"/>
              <w:right w:val="single" w:sz="6" w:space="0" w:color="000000"/>
            </w:tcBorders>
            <w:shd w:val="clear" w:color="auto" w:fill="auto"/>
            <w:hideMark/>
          </w:tcPr>
          <w:p w14:paraId="206AA2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На відстані від 3 км і більше від меж населеного пункту</w:t>
            </w:r>
          </w:p>
        </w:tc>
        <w:tc>
          <w:tcPr>
            <w:tcW w:w="2685" w:type="dxa"/>
            <w:tcBorders>
              <w:top w:val="single" w:sz="6" w:space="0" w:color="000000"/>
              <w:left w:val="single" w:sz="6" w:space="0" w:color="000000"/>
              <w:bottom w:val="single" w:sz="6" w:space="0" w:color="000000"/>
              <w:right w:val="single" w:sz="6" w:space="0" w:color="000000"/>
            </w:tcBorders>
            <w:shd w:val="clear" w:color="auto" w:fill="auto"/>
            <w:hideMark/>
          </w:tcPr>
          <w:p w14:paraId="35D723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r>
    </w:tbl>
    <w:p w14:paraId="5D0A04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0" w:name="n9303"/>
      <w:bookmarkEnd w:id="7770"/>
      <w:r w:rsidRPr="008B264B">
        <w:rPr>
          <w:rFonts w:ascii="Times New Roman" w:eastAsia="Times New Roman" w:hAnsi="Times New Roman" w:cs="Times New Roman"/>
          <w:i/>
          <w:iCs/>
          <w:color w:val="000000"/>
          <w:sz w:val="24"/>
          <w:szCs w:val="24"/>
          <w:lang/>
        </w:rPr>
        <w:t>{Статтю 246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4422" w:anchor="n15"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46CAA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1" w:name="n6033"/>
      <w:bookmarkEnd w:id="7771"/>
      <w:r w:rsidRPr="008B264B">
        <w:rPr>
          <w:rFonts w:ascii="Times New Roman" w:eastAsia="Times New Roman" w:hAnsi="Times New Roman" w:cs="Times New Roman"/>
          <w:b/>
          <w:bCs/>
          <w:color w:val="000000"/>
          <w:sz w:val="24"/>
          <w:szCs w:val="24"/>
          <w:lang/>
        </w:rPr>
        <w:t>Стаття 247.</w:t>
      </w:r>
      <w:r w:rsidRPr="008B264B">
        <w:rPr>
          <w:rFonts w:ascii="Times New Roman" w:eastAsia="Times New Roman" w:hAnsi="Times New Roman" w:cs="Times New Roman"/>
          <w:color w:val="000000"/>
          <w:sz w:val="24"/>
          <w:szCs w:val="24"/>
          <w:lang/>
        </w:rPr>
        <w:t> Ставки податку за утворення радіоактивних відходів (включаючи вже накопичені)</w:t>
      </w:r>
    </w:p>
    <w:p w14:paraId="37C980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2" w:name="n6034"/>
      <w:bookmarkEnd w:id="7772"/>
      <w:r w:rsidRPr="008B264B">
        <w:rPr>
          <w:rFonts w:ascii="Times New Roman" w:eastAsia="Times New Roman" w:hAnsi="Times New Roman" w:cs="Times New Roman"/>
          <w:color w:val="000000"/>
          <w:sz w:val="24"/>
          <w:szCs w:val="24"/>
          <w:lang/>
        </w:rPr>
        <w:t>247.1. Ставка податку за утворення радіоактивних відходів виробниками електричної енергії - експлуатуючими організаціями ядерних установок (атомних електростанцій), включаючи вже накопичені, становить 0,0127 гривні у розрахунку на 1 кВт-год виробленої електричної енергії.</w:t>
      </w:r>
    </w:p>
    <w:p w14:paraId="485852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3" w:name="n6035"/>
      <w:bookmarkEnd w:id="7773"/>
      <w:r w:rsidRPr="008B264B">
        <w:rPr>
          <w:rFonts w:ascii="Times New Roman" w:eastAsia="Times New Roman" w:hAnsi="Times New Roman" w:cs="Times New Roman"/>
          <w:i/>
          <w:iCs/>
          <w:color w:val="000000"/>
          <w:sz w:val="24"/>
          <w:szCs w:val="24"/>
          <w:lang/>
        </w:rPr>
        <w:lastRenderedPageBreak/>
        <w:t>{Пункт 247.1 статті 247 із змінами, внесеними згідно із Законами </w:t>
      </w:r>
      <w:hyperlink r:id="rId4423"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w:t>
      </w:r>
      <w:hyperlink r:id="rId442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425" w:anchor="n176"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 </w:t>
      </w:r>
      <w:hyperlink r:id="rId4426" w:anchor="n51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427" w:anchor="n7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428" w:anchor="n33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F6BFE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4" w:name="n6036"/>
      <w:bookmarkEnd w:id="7774"/>
      <w:r w:rsidRPr="008B264B">
        <w:rPr>
          <w:rFonts w:ascii="Times New Roman" w:eastAsia="Times New Roman" w:hAnsi="Times New Roman" w:cs="Times New Roman"/>
          <w:color w:val="000000"/>
          <w:sz w:val="24"/>
          <w:szCs w:val="24"/>
          <w:lang/>
        </w:rPr>
        <w:t>247.2. Коригуючий коефіцієнт, який встановлюється для експлуатуючих організацій ядерних установок (атомних електростанцій) залежно від активності радіоактивних відходів:</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6997"/>
        <w:gridCol w:w="2909"/>
      </w:tblGrid>
      <w:tr w:rsidR="008B264B" w:rsidRPr="008B264B" w14:paraId="728EA664" w14:textId="77777777" w:rsidTr="008B264B">
        <w:tc>
          <w:tcPr>
            <w:tcW w:w="6495" w:type="dxa"/>
            <w:tcBorders>
              <w:top w:val="single" w:sz="6" w:space="0" w:color="000000"/>
              <w:left w:val="single" w:sz="6" w:space="0" w:color="000000"/>
              <w:bottom w:val="single" w:sz="6" w:space="0" w:color="000000"/>
              <w:right w:val="single" w:sz="6" w:space="0" w:color="000000"/>
            </w:tcBorders>
            <w:shd w:val="clear" w:color="auto" w:fill="auto"/>
            <w:hideMark/>
          </w:tcPr>
          <w:p w14:paraId="6D0E36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75" w:name="n6037"/>
            <w:bookmarkEnd w:id="7775"/>
            <w:r w:rsidRPr="008B264B">
              <w:rPr>
                <w:rFonts w:ascii="Times New Roman" w:eastAsia="Times New Roman" w:hAnsi="Times New Roman" w:cs="Times New Roman"/>
                <w:sz w:val="24"/>
                <w:szCs w:val="24"/>
                <w:lang/>
              </w:rPr>
              <w:t>Категорія відходів</w:t>
            </w:r>
          </w:p>
        </w:tc>
        <w:tc>
          <w:tcPr>
            <w:tcW w:w="2700" w:type="dxa"/>
            <w:tcBorders>
              <w:top w:val="single" w:sz="6" w:space="0" w:color="000000"/>
              <w:left w:val="single" w:sz="6" w:space="0" w:color="000000"/>
              <w:bottom w:val="single" w:sz="6" w:space="0" w:color="000000"/>
              <w:right w:val="single" w:sz="6" w:space="0" w:color="000000"/>
            </w:tcBorders>
            <w:shd w:val="clear" w:color="auto" w:fill="auto"/>
            <w:hideMark/>
          </w:tcPr>
          <w:p w14:paraId="554FD4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Коефіцієнт</w:t>
            </w:r>
          </w:p>
        </w:tc>
      </w:tr>
      <w:tr w:rsidR="008B264B" w:rsidRPr="008B264B" w14:paraId="6E8AA278" w14:textId="77777777" w:rsidTr="008B264B">
        <w:tc>
          <w:tcPr>
            <w:tcW w:w="6495" w:type="dxa"/>
            <w:tcBorders>
              <w:top w:val="single" w:sz="6" w:space="0" w:color="000000"/>
              <w:left w:val="single" w:sz="6" w:space="0" w:color="000000"/>
              <w:bottom w:val="single" w:sz="6" w:space="0" w:color="000000"/>
              <w:right w:val="single" w:sz="6" w:space="0" w:color="000000"/>
            </w:tcBorders>
            <w:shd w:val="clear" w:color="auto" w:fill="auto"/>
            <w:hideMark/>
          </w:tcPr>
          <w:p w14:paraId="65922FE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Високоактивні</w:t>
            </w:r>
          </w:p>
        </w:tc>
        <w:tc>
          <w:tcPr>
            <w:tcW w:w="2700" w:type="dxa"/>
            <w:tcBorders>
              <w:top w:val="single" w:sz="6" w:space="0" w:color="000000"/>
              <w:left w:val="single" w:sz="6" w:space="0" w:color="000000"/>
              <w:bottom w:val="single" w:sz="6" w:space="0" w:color="000000"/>
              <w:right w:val="single" w:sz="6" w:space="0" w:color="000000"/>
            </w:tcBorders>
            <w:shd w:val="clear" w:color="auto" w:fill="auto"/>
            <w:hideMark/>
          </w:tcPr>
          <w:p w14:paraId="3445A2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w:t>
            </w:r>
          </w:p>
        </w:tc>
      </w:tr>
      <w:tr w:rsidR="008B264B" w:rsidRPr="008B264B" w14:paraId="1F2AECFF" w14:textId="77777777" w:rsidTr="008B264B">
        <w:tc>
          <w:tcPr>
            <w:tcW w:w="6495" w:type="dxa"/>
            <w:tcBorders>
              <w:top w:val="single" w:sz="6" w:space="0" w:color="000000"/>
              <w:left w:val="single" w:sz="6" w:space="0" w:color="000000"/>
              <w:bottom w:val="single" w:sz="6" w:space="0" w:color="000000"/>
              <w:right w:val="single" w:sz="6" w:space="0" w:color="000000"/>
            </w:tcBorders>
            <w:shd w:val="clear" w:color="auto" w:fill="auto"/>
            <w:hideMark/>
          </w:tcPr>
          <w:p w14:paraId="5787B84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Середньоактивні та низькоактивні</w:t>
            </w:r>
          </w:p>
        </w:tc>
        <w:tc>
          <w:tcPr>
            <w:tcW w:w="2700" w:type="dxa"/>
            <w:tcBorders>
              <w:top w:val="single" w:sz="6" w:space="0" w:color="000000"/>
              <w:left w:val="single" w:sz="6" w:space="0" w:color="000000"/>
              <w:bottom w:val="single" w:sz="6" w:space="0" w:color="000000"/>
              <w:right w:val="single" w:sz="6" w:space="0" w:color="000000"/>
            </w:tcBorders>
            <w:shd w:val="clear" w:color="auto" w:fill="auto"/>
            <w:hideMark/>
          </w:tcPr>
          <w:p w14:paraId="0CB537D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r>
    </w:tbl>
    <w:p w14:paraId="4CD2C2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6" w:name="n6038"/>
      <w:bookmarkEnd w:id="7776"/>
      <w:r w:rsidRPr="008B264B">
        <w:rPr>
          <w:rFonts w:ascii="Times New Roman" w:eastAsia="Times New Roman" w:hAnsi="Times New Roman" w:cs="Times New Roman"/>
          <w:b/>
          <w:bCs/>
          <w:color w:val="000000"/>
          <w:sz w:val="24"/>
          <w:szCs w:val="24"/>
          <w:lang/>
        </w:rPr>
        <w:t>Стаття 248.</w:t>
      </w:r>
      <w:r w:rsidRPr="008B264B">
        <w:rPr>
          <w:rFonts w:ascii="Times New Roman" w:eastAsia="Times New Roman" w:hAnsi="Times New Roman" w:cs="Times New Roman"/>
          <w:color w:val="000000"/>
          <w:sz w:val="24"/>
          <w:szCs w:val="24"/>
          <w:lang/>
        </w:rPr>
        <w:t> Ставки податку за тимчасове зберігання радіоактивних відходів їх виробниками понад установлений особливими умовами ліцензії строк</w:t>
      </w:r>
    </w:p>
    <w:p w14:paraId="4C7FC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7" w:name="n6039"/>
      <w:bookmarkEnd w:id="7777"/>
      <w:r w:rsidRPr="008B264B">
        <w:rPr>
          <w:rFonts w:ascii="Times New Roman" w:eastAsia="Times New Roman" w:hAnsi="Times New Roman" w:cs="Times New Roman"/>
          <w:color w:val="000000"/>
          <w:sz w:val="24"/>
          <w:szCs w:val="24"/>
          <w:lang/>
        </w:rPr>
        <w:t>248.1. Ставки податку за тимчасове зберігання радіоактивних відходів їх виробниками понад установлений особливими умовами ліцензії строк:</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3056"/>
        <w:gridCol w:w="4197"/>
        <w:gridCol w:w="2669"/>
      </w:tblGrid>
      <w:tr w:rsidR="008B264B" w:rsidRPr="008B264B" w14:paraId="6ADE5A4C" w14:textId="77777777" w:rsidTr="008B264B">
        <w:trPr>
          <w:jc w:val="center"/>
        </w:trPr>
        <w:tc>
          <w:tcPr>
            <w:tcW w:w="2850" w:type="dxa"/>
            <w:tcBorders>
              <w:top w:val="single" w:sz="6" w:space="0" w:color="000000"/>
              <w:left w:val="nil"/>
              <w:bottom w:val="single" w:sz="6" w:space="0" w:color="000000"/>
              <w:right w:val="single" w:sz="6" w:space="0" w:color="000000"/>
            </w:tcBorders>
            <w:shd w:val="clear" w:color="auto" w:fill="auto"/>
            <w:hideMark/>
          </w:tcPr>
          <w:p w14:paraId="5D0491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778" w:name="n14893"/>
            <w:bookmarkEnd w:id="7778"/>
            <w:r w:rsidRPr="008B264B">
              <w:rPr>
                <w:rFonts w:ascii="Times New Roman" w:eastAsia="Times New Roman" w:hAnsi="Times New Roman" w:cs="Times New Roman"/>
                <w:sz w:val="24"/>
                <w:szCs w:val="24"/>
                <w:lang/>
              </w:rPr>
              <w:t>Категорія відходів</w:t>
            </w:r>
          </w:p>
        </w:tc>
        <w:tc>
          <w:tcPr>
            <w:tcW w:w="3915" w:type="dxa"/>
            <w:tcBorders>
              <w:top w:val="single" w:sz="6" w:space="0" w:color="000000"/>
              <w:left w:val="single" w:sz="6" w:space="0" w:color="000000"/>
              <w:bottom w:val="single" w:sz="6" w:space="0" w:color="000000"/>
              <w:right w:val="single" w:sz="6" w:space="0" w:color="000000"/>
            </w:tcBorders>
            <w:shd w:val="clear" w:color="auto" w:fill="auto"/>
            <w:hideMark/>
          </w:tcPr>
          <w:p w14:paraId="133F2F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за тимчасове зберігання радіоактивних відходів (крім відходів, представлених як джерела іонізуючого випромінювання),</w:t>
            </w:r>
            <w:r w:rsidRPr="008B264B">
              <w:rPr>
                <w:rFonts w:ascii="Times New Roman" w:eastAsia="Times New Roman" w:hAnsi="Times New Roman" w:cs="Times New Roman"/>
                <w:sz w:val="24"/>
                <w:szCs w:val="24"/>
                <w:lang/>
              </w:rPr>
              <w:br/>
              <w:t>гривень за 1 куб. метр</w:t>
            </w:r>
          </w:p>
        </w:tc>
        <w:tc>
          <w:tcPr>
            <w:tcW w:w="2490" w:type="dxa"/>
            <w:tcBorders>
              <w:top w:val="single" w:sz="6" w:space="0" w:color="000000"/>
              <w:left w:val="single" w:sz="6" w:space="0" w:color="000000"/>
              <w:bottom w:val="single" w:sz="6" w:space="0" w:color="000000"/>
              <w:right w:val="nil"/>
            </w:tcBorders>
            <w:shd w:val="clear" w:color="auto" w:fill="auto"/>
            <w:hideMark/>
          </w:tcPr>
          <w:p w14:paraId="7A0347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податку за тимчасове зберігання радіоактивних відходів, представлених як джерела іонізуючого випромінювання,</w:t>
            </w:r>
            <w:r w:rsidRPr="008B264B">
              <w:rPr>
                <w:rFonts w:ascii="Times New Roman" w:eastAsia="Times New Roman" w:hAnsi="Times New Roman" w:cs="Times New Roman"/>
                <w:sz w:val="24"/>
                <w:szCs w:val="24"/>
                <w:lang/>
              </w:rPr>
              <w:br/>
              <w:t>гривень за 1 куб. сантиметр</w:t>
            </w:r>
          </w:p>
        </w:tc>
      </w:tr>
      <w:tr w:rsidR="008B264B" w:rsidRPr="008B264B" w14:paraId="20BF17A9" w14:textId="77777777" w:rsidTr="008B264B">
        <w:trPr>
          <w:jc w:val="center"/>
        </w:trPr>
        <w:tc>
          <w:tcPr>
            <w:tcW w:w="2850" w:type="dxa"/>
            <w:tcBorders>
              <w:top w:val="single" w:sz="6" w:space="0" w:color="000000"/>
              <w:left w:val="nil"/>
              <w:bottom w:val="nil"/>
              <w:right w:val="nil"/>
            </w:tcBorders>
            <w:shd w:val="clear" w:color="auto" w:fill="auto"/>
            <w:hideMark/>
          </w:tcPr>
          <w:p w14:paraId="6F3B0BE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Високоактивні</w:t>
            </w:r>
          </w:p>
        </w:tc>
        <w:tc>
          <w:tcPr>
            <w:tcW w:w="3915" w:type="dxa"/>
            <w:tcBorders>
              <w:top w:val="single" w:sz="6" w:space="0" w:color="000000"/>
              <w:left w:val="nil"/>
              <w:bottom w:val="nil"/>
              <w:right w:val="nil"/>
            </w:tcBorders>
            <w:shd w:val="clear" w:color="auto" w:fill="auto"/>
            <w:hideMark/>
          </w:tcPr>
          <w:p w14:paraId="47452F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602418,72</w:t>
            </w:r>
          </w:p>
        </w:tc>
        <w:tc>
          <w:tcPr>
            <w:tcW w:w="2490" w:type="dxa"/>
            <w:tcBorders>
              <w:top w:val="single" w:sz="6" w:space="0" w:color="000000"/>
              <w:left w:val="nil"/>
              <w:bottom w:val="nil"/>
              <w:right w:val="nil"/>
            </w:tcBorders>
            <w:shd w:val="clear" w:color="auto" w:fill="auto"/>
            <w:hideMark/>
          </w:tcPr>
          <w:p w14:paraId="443783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20080,63</w:t>
            </w:r>
          </w:p>
        </w:tc>
      </w:tr>
      <w:tr w:rsidR="008B264B" w:rsidRPr="008B264B" w14:paraId="7CEA00AD" w14:textId="77777777" w:rsidTr="008B264B">
        <w:trPr>
          <w:jc w:val="center"/>
        </w:trPr>
        <w:tc>
          <w:tcPr>
            <w:tcW w:w="2850" w:type="dxa"/>
            <w:tcBorders>
              <w:top w:val="nil"/>
              <w:left w:val="nil"/>
              <w:bottom w:val="nil"/>
              <w:right w:val="nil"/>
            </w:tcBorders>
            <w:shd w:val="clear" w:color="auto" w:fill="auto"/>
            <w:hideMark/>
          </w:tcPr>
          <w:p w14:paraId="5DFB7AE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Середньоактивні та низькоактивні</w:t>
            </w:r>
          </w:p>
        </w:tc>
        <w:tc>
          <w:tcPr>
            <w:tcW w:w="3915" w:type="dxa"/>
            <w:tcBorders>
              <w:top w:val="nil"/>
              <w:left w:val="nil"/>
              <w:bottom w:val="nil"/>
              <w:right w:val="nil"/>
            </w:tcBorders>
            <w:shd w:val="clear" w:color="auto" w:fill="auto"/>
            <w:hideMark/>
          </w:tcPr>
          <w:p w14:paraId="13A68E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11245,14</w:t>
            </w:r>
          </w:p>
        </w:tc>
        <w:tc>
          <w:tcPr>
            <w:tcW w:w="2490" w:type="dxa"/>
            <w:tcBorders>
              <w:top w:val="nil"/>
              <w:left w:val="nil"/>
              <w:bottom w:val="nil"/>
              <w:right w:val="nil"/>
            </w:tcBorders>
            <w:shd w:val="clear" w:color="auto" w:fill="auto"/>
            <w:hideMark/>
          </w:tcPr>
          <w:p w14:paraId="77B52F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4016,11.</w:t>
            </w:r>
          </w:p>
        </w:tc>
      </w:tr>
    </w:tbl>
    <w:p w14:paraId="3828EC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79" w:name="n14892"/>
      <w:bookmarkEnd w:id="7779"/>
      <w:r w:rsidRPr="008B264B">
        <w:rPr>
          <w:rFonts w:ascii="Times New Roman" w:eastAsia="Times New Roman" w:hAnsi="Times New Roman" w:cs="Times New Roman"/>
          <w:i/>
          <w:iCs/>
          <w:color w:val="000000"/>
          <w:sz w:val="24"/>
          <w:szCs w:val="24"/>
          <w:lang/>
        </w:rPr>
        <w:t>{Пункт 248.1 статті 248 в редакції Законів </w:t>
      </w:r>
      <w:hyperlink r:id="rId4429" w:anchor="n51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430" w:anchor="n7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431" w:anchor="n33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4F85F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0" w:name="n6041"/>
      <w:bookmarkEnd w:id="7780"/>
      <w:r w:rsidRPr="008B264B">
        <w:rPr>
          <w:rFonts w:ascii="Times New Roman" w:eastAsia="Times New Roman" w:hAnsi="Times New Roman" w:cs="Times New Roman"/>
          <w:i/>
          <w:iCs/>
          <w:color w:val="000000"/>
          <w:sz w:val="24"/>
          <w:szCs w:val="24"/>
          <w:lang/>
        </w:rPr>
        <w:t>{Стаття 248 із змінами, внесеними згідно із Законом </w:t>
      </w:r>
      <w:hyperlink r:id="rId4432"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 в редакції Законів </w:t>
      </w:r>
      <w:hyperlink r:id="rId443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w:t>
      </w:r>
      <w:hyperlink r:id="rId4434" w:anchor="n177" w:tgtFrame="_blank" w:history="1">
        <w:r w:rsidRPr="008B264B">
          <w:rPr>
            <w:rFonts w:ascii="Times New Roman" w:eastAsia="Times New Roman" w:hAnsi="Times New Roman" w:cs="Times New Roman"/>
            <w:i/>
            <w:iCs/>
            <w:color w:val="0000FF"/>
            <w:sz w:val="24"/>
            <w:szCs w:val="24"/>
            <w:u w:val="single"/>
            <w:lang/>
          </w:rPr>
          <w:t>1166-VII від 27.03.2014</w:t>
        </w:r>
      </w:hyperlink>
      <w:r w:rsidRPr="008B264B">
        <w:rPr>
          <w:rFonts w:ascii="Times New Roman" w:eastAsia="Times New Roman" w:hAnsi="Times New Roman" w:cs="Times New Roman"/>
          <w:i/>
          <w:iCs/>
          <w:color w:val="000000"/>
          <w:sz w:val="24"/>
          <w:szCs w:val="24"/>
          <w:lang/>
        </w:rPr>
        <w:t>}</w:t>
      </w:r>
    </w:p>
    <w:p w14:paraId="17622E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1" w:name="n6042"/>
      <w:bookmarkEnd w:id="7781"/>
      <w:r w:rsidRPr="008B264B">
        <w:rPr>
          <w:rFonts w:ascii="Times New Roman" w:eastAsia="Times New Roman" w:hAnsi="Times New Roman" w:cs="Times New Roman"/>
          <w:b/>
          <w:bCs/>
          <w:color w:val="000000"/>
          <w:sz w:val="24"/>
          <w:szCs w:val="24"/>
          <w:lang/>
        </w:rPr>
        <w:t>Стаття 249.</w:t>
      </w:r>
      <w:r w:rsidRPr="008B264B">
        <w:rPr>
          <w:rFonts w:ascii="Times New Roman" w:eastAsia="Times New Roman" w:hAnsi="Times New Roman" w:cs="Times New Roman"/>
          <w:color w:val="000000"/>
          <w:sz w:val="24"/>
          <w:szCs w:val="24"/>
          <w:lang/>
        </w:rPr>
        <w:t> Порядок обчислення податку</w:t>
      </w:r>
    </w:p>
    <w:p w14:paraId="2C95AC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2" w:name="n6043"/>
      <w:bookmarkEnd w:id="7782"/>
      <w:r w:rsidRPr="008B264B">
        <w:rPr>
          <w:rFonts w:ascii="Times New Roman" w:eastAsia="Times New Roman" w:hAnsi="Times New Roman" w:cs="Times New Roman"/>
          <w:color w:val="000000"/>
          <w:sz w:val="24"/>
          <w:szCs w:val="24"/>
          <w:lang/>
        </w:rPr>
        <w:t>249.1. Суми податку обчислюються за податковий (звітний) квартал платниками податку.</w:t>
      </w:r>
    </w:p>
    <w:p w14:paraId="05004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3" w:name="n6044"/>
      <w:bookmarkEnd w:id="7783"/>
      <w:r w:rsidRPr="008B264B">
        <w:rPr>
          <w:rFonts w:ascii="Times New Roman" w:eastAsia="Times New Roman" w:hAnsi="Times New Roman" w:cs="Times New Roman"/>
          <w:i/>
          <w:iCs/>
          <w:color w:val="000000"/>
          <w:sz w:val="24"/>
          <w:szCs w:val="24"/>
          <w:lang/>
        </w:rPr>
        <w:t>{Пункт 249.1 статті 249 в редакції Закону </w:t>
      </w:r>
      <w:hyperlink r:id="rId443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436" w:anchor="n57"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color w:val="000000"/>
          <w:sz w:val="24"/>
          <w:szCs w:val="24"/>
          <w:lang/>
        </w:rPr>
        <w:t>, </w:t>
      </w:r>
      <w:hyperlink r:id="rId4437" w:anchor="n17"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 </w:t>
      </w:r>
      <w:hyperlink r:id="rId4438" w:anchor="n89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700AA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4" w:name="n6045"/>
      <w:bookmarkEnd w:id="7784"/>
      <w:r w:rsidRPr="008B264B">
        <w:rPr>
          <w:rFonts w:ascii="Times New Roman" w:eastAsia="Times New Roman" w:hAnsi="Times New Roman" w:cs="Times New Roman"/>
          <w:color w:val="000000"/>
          <w:sz w:val="24"/>
          <w:szCs w:val="24"/>
          <w:lang/>
        </w:rPr>
        <w:t>249.2. У разі якщо під час провадження господарської діяльності платником податку здійснюються різні види забруднення навколишнього природного середовища та/або забруднення різними видами забруднюючих речовин, такий платник зобов'язаний визначати суму податку окремо за кожним видом забруднення та/або за кожним видом забруднюючої речовини.</w:t>
      </w:r>
    </w:p>
    <w:p w14:paraId="6F9AFF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5" w:name="n6046"/>
      <w:bookmarkEnd w:id="7785"/>
      <w:r w:rsidRPr="008B264B">
        <w:rPr>
          <w:rFonts w:ascii="Times New Roman" w:eastAsia="Times New Roman" w:hAnsi="Times New Roman" w:cs="Times New Roman"/>
          <w:color w:val="000000"/>
          <w:sz w:val="24"/>
          <w:szCs w:val="24"/>
          <w:lang/>
        </w:rPr>
        <w:t>249.3. Суми податку, який справляється за викиди в атмосферне повітря забруднюючих речовин стаціонарними джерелами забруднення (Пвс), обчислюються платниками податку самостійно щокварталу виходячи з фактичних обсягів викидів, ставок податку за формулою:</w:t>
      </w:r>
    </w:p>
    <w:p w14:paraId="284B47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6" w:name="n6047"/>
      <w:bookmarkStart w:id="7787" w:name="n6048"/>
      <w:bookmarkEnd w:id="7786"/>
      <w:bookmarkEnd w:id="7787"/>
      <w:r w:rsidRPr="008B264B">
        <w:rPr>
          <w:rFonts w:ascii="Times New Roman" w:eastAsia="Times New Roman" w:hAnsi="Times New Roman" w:cs="Times New Roman"/>
          <w:color w:val="000000"/>
          <w:sz w:val="24"/>
          <w:szCs w:val="24"/>
          <w:lang/>
        </w:rPr>
        <w:t>де Мі - фактичний обсяг викиду і-тої забруднюючої речовини в тоннах (т);</w:t>
      </w:r>
    </w:p>
    <w:p w14:paraId="6B0A7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8" w:name="n6049"/>
      <w:bookmarkEnd w:id="7788"/>
      <w:r w:rsidRPr="008B264B">
        <w:rPr>
          <w:rFonts w:ascii="Times New Roman" w:eastAsia="Times New Roman" w:hAnsi="Times New Roman" w:cs="Times New Roman"/>
          <w:color w:val="000000"/>
          <w:sz w:val="24"/>
          <w:szCs w:val="24"/>
          <w:lang/>
        </w:rPr>
        <w:lastRenderedPageBreak/>
        <w:t>Нпі - ставки податку в поточному році за тонну і-тої забруднюючої речовини у гривнях з копійками.</w:t>
      </w:r>
    </w:p>
    <w:p w14:paraId="0BC7CF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89" w:name="n6050"/>
      <w:bookmarkEnd w:id="7789"/>
      <w:r w:rsidRPr="008B264B">
        <w:rPr>
          <w:rFonts w:ascii="Times New Roman" w:eastAsia="Times New Roman" w:hAnsi="Times New Roman" w:cs="Times New Roman"/>
          <w:i/>
          <w:iCs/>
          <w:color w:val="000000"/>
          <w:sz w:val="24"/>
          <w:szCs w:val="24"/>
          <w:lang/>
        </w:rPr>
        <w:t>{Пункт 249.4 статті 249 виключено на підставі Закону </w:t>
      </w:r>
      <w:hyperlink r:id="rId4439" w:anchor="n89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B7A87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0" w:name="n6055"/>
      <w:bookmarkEnd w:id="7790"/>
      <w:r w:rsidRPr="008B264B">
        <w:rPr>
          <w:rFonts w:ascii="Times New Roman" w:eastAsia="Times New Roman" w:hAnsi="Times New Roman" w:cs="Times New Roman"/>
          <w:color w:val="000000"/>
          <w:sz w:val="24"/>
          <w:szCs w:val="24"/>
          <w:lang/>
        </w:rPr>
        <w:t>249.5. Суми податку, який справляється за скиди забруднюючих речовин у водні об'єкти (Пс), обчислюються платниками самостійно щокварталу виходячи з фактичних обсягів скидів, ставок податку та коригуючих коефіцієнтів за формулою:</w:t>
      </w:r>
    </w:p>
    <w:p w14:paraId="769A85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1" w:name="n6056"/>
      <w:bookmarkStart w:id="7792" w:name="n6057"/>
      <w:bookmarkEnd w:id="7791"/>
      <w:bookmarkEnd w:id="7792"/>
      <w:r w:rsidRPr="008B264B">
        <w:rPr>
          <w:rFonts w:ascii="Times New Roman" w:eastAsia="Times New Roman" w:hAnsi="Times New Roman" w:cs="Times New Roman"/>
          <w:color w:val="000000"/>
          <w:sz w:val="24"/>
          <w:szCs w:val="24"/>
          <w:lang/>
        </w:rPr>
        <w:t>де Млі - обсяг скиду і-тої забруднюючої речовини в тоннах (т);</w:t>
      </w:r>
    </w:p>
    <w:p w14:paraId="20F169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3" w:name="n6058"/>
      <w:bookmarkEnd w:id="7793"/>
      <w:r w:rsidRPr="008B264B">
        <w:rPr>
          <w:rFonts w:ascii="Times New Roman" w:eastAsia="Times New Roman" w:hAnsi="Times New Roman" w:cs="Times New Roman"/>
          <w:color w:val="000000"/>
          <w:sz w:val="24"/>
          <w:szCs w:val="24"/>
          <w:lang/>
        </w:rPr>
        <w:t>Нпі - ставки податку в поточному році за тонну і-того виду забруднюючої речовини у гривнях з копійками;</w:t>
      </w:r>
    </w:p>
    <w:p w14:paraId="685BB8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4" w:name="n6059"/>
      <w:bookmarkEnd w:id="7794"/>
      <w:r w:rsidRPr="008B264B">
        <w:rPr>
          <w:rFonts w:ascii="Times New Roman" w:eastAsia="Times New Roman" w:hAnsi="Times New Roman" w:cs="Times New Roman"/>
          <w:color w:val="000000"/>
          <w:sz w:val="24"/>
          <w:szCs w:val="24"/>
          <w:lang/>
        </w:rPr>
        <w:t>Кос - коефіцієнт, що дорівнює 1,5 і застосовується у разі скидання забруднюючих речовин у ставки і озера (в іншому випадку коефіцієнт дорівнює 1).</w:t>
      </w:r>
    </w:p>
    <w:p w14:paraId="21D0AD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5" w:name="n6060"/>
      <w:bookmarkEnd w:id="7795"/>
      <w:r w:rsidRPr="008B264B">
        <w:rPr>
          <w:rFonts w:ascii="Times New Roman" w:eastAsia="Times New Roman" w:hAnsi="Times New Roman" w:cs="Times New Roman"/>
          <w:color w:val="000000"/>
          <w:sz w:val="24"/>
          <w:szCs w:val="24"/>
          <w:lang/>
        </w:rPr>
        <w:t>249.6. Суми податку, який справляється за розміщення відходів (Прв), обчислюються платниками самостійно щокварталу виходячи з фактичних обсягів розміщення відходів, ставок податку та коригуючих коефіцієнтів за формулою:</w:t>
      </w:r>
    </w:p>
    <w:p w14:paraId="5D988F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6" w:name="n6061"/>
      <w:bookmarkStart w:id="7797" w:name="n6062"/>
      <w:bookmarkEnd w:id="7796"/>
      <w:bookmarkEnd w:id="7797"/>
      <w:r w:rsidRPr="008B264B">
        <w:rPr>
          <w:rFonts w:ascii="Times New Roman" w:eastAsia="Times New Roman" w:hAnsi="Times New Roman" w:cs="Times New Roman"/>
          <w:color w:val="000000"/>
          <w:sz w:val="24"/>
          <w:szCs w:val="24"/>
          <w:lang/>
        </w:rPr>
        <w:t>де Нпі - ставки податку в поточному році за тонну і-того виду відходів у гривнях з копійками;</w:t>
      </w:r>
    </w:p>
    <w:p w14:paraId="40C20D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8" w:name="n6063"/>
      <w:bookmarkEnd w:id="7798"/>
      <w:r w:rsidRPr="008B264B">
        <w:rPr>
          <w:rFonts w:ascii="Times New Roman" w:eastAsia="Times New Roman" w:hAnsi="Times New Roman" w:cs="Times New Roman"/>
          <w:color w:val="000000"/>
          <w:sz w:val="24"/>
          <w:szCs w:val="24"/>
          <w:lang/>
        </w:rPr>
        <w:t>Млі - обсяг відходів і-того виду в тоннах (т);</w:t>
      </w:r>
    </w:p>
    <w:p w14:paraId="6F7E7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799" w:name="n6064"/>
      <w:bookmarkEnd w:id="7799"/>
      <w:r w:rsidRPr="008B264B">
        <w:rPr>
          <w:rFonts w:ascii="Times New Roman" w:eastAsia="Times New Roman" w:hAnsi="Times New Roman" w:cs="Times New Roman"/>
          <w:color w:val="000000"/>
          <w:sz w:val="24"/>
          <w:szCs w:val="24"/>
          <w:lang/>
        </w:rPr>
        <w:t>Кт - коригуючий коефіцієнт, який враховує розташування місця розміщення відходів і який наведено у </w:t>
      </w:r>
      <w:hyperlink r:id="rId4440" w:anchor="n6031" w:history="1">
        <w:r w:rsidRPr="008B264B">
          <w:rPr>
            <w:rFonts w:ascii="Times New Roman" w:eastAsia="Times New Roman" w:hAnsi="Times New Roman" w:cs="Times New Roman"/>
            <w:color w:val="0000FF"/>
            <w:sz w:val="24"/>
            <w:szCs w:val="24"/>
            <w:u w:val="single"/>
            <w:lang/>
          </w:rPr>
          <w:t>пункті 246.5</w:t>
        </w:r>
      </w:hyperlink>
      <w:r w:rsidRPr="008B264B">
        <w:rPr>
          <w:rFonts w:ascii="Times New Roman" w:eastAsia="Times New Roman" w:hAnsi="Times New Roman" w:cs="Times New Roman"/>
          <w:color w:val="000000"/>
          <w:sz w:val="24"/>
          <w:szCs w:val="24"/>
          <w:lang/>
        </w:rPr>
        <w:t> статті 246 цього Кодексу;</w:t>
      </w:r>
    </w:p>
    <w:p w14:paraId="610E69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0" w:name="n6065"/>
      <w:bookmarkEnd w:id="7800"/>
      <w:r w:rsidRPr="008B264B">
        <w:rPr>
          <w:rFonts w:ascii="Times New Roman" w:eastAsia="Times New Roman" w:hAnsi="Times New Roman" w:cs="Times New Roman"/>
          <w:color w:val="000000"/>
          <w:sz w:val="24"/>
          <w:szCs w:val="24"/>
          <w:lang/>
        </w:rPr>
        <w:t>Ко - коригуючий коефіцієнт, що дорівнює 3 і застосовується у разі розміщення відходів на звалищах, які не забезпечують повного виключення забруднення атмосферного повітря або водних об'єктів.</w:t>
      </w:r>
    </w:p>
    <w:p w14:paraId="00F0E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1" w:name="n6066"/>
      <w:bookmarkEnd w:id="7801"/>
      <w:r w:rsidRPr="008B264B">
        <w:rPr>
          <w:rFonts w:ascii="Times New Roman" w:eastAsia="Times New Roman" w:hAnsi="Times New Roman" w:cs="Times New Roman"/>
          <w:color w:val="000000"/>
          <w:sz w:val="24"/>
          <w:szCs w:val="24"/>
          <w:lang/>
        </w:rPr>
        <w:t>249.7. Суми податку, який справляється за утворення радіоактивних відходів (включаючи вже накопичені), обчислюються платниками податку - експлуатуючими організаціями (операторів) атомних електростанцій, включаючи експлуатуючі організації (оператори) дослідницьких реакторів, самостійно щокварталу на основі показників виробництва електричної енергії, ставки податку, а також пропорційно обсягу та активності радіоактивних відходів виходячи з фактичного об'єму радіоактивних відходів, утворених за базовий податковий (звітний) період, і з фактичного об'єму радіоактивних відходів, накопичених до 1 квітня 2009 року, та коригуючого коефіцієнта за формулою:</w:t>
      </w:r>
    </w:p>
    <w:p w14:paraId="3534E37C" w14:textId="77777777" w:rsidR="008B264B" w:rsidRPr="008B264B" w:rsidRDefault="008B264B" w:rsidP="008B264B">
      <w:pPr>
        <w:spacing w:before="150" w:after="150" w:line="240" w:lineRule="auto"/>
        <w:jc w:val="center"/>
        <w:rPr>
          <w:rFonts w:ascii="Times New Roman" w:eastAsia="Times New Roman" w:hAnsi="Times New Roman" w:cs="Times New Roman"/>
          <w:color w:val="000000"/>
          <w:sz w:val="24"/>
          <w:szCs w:val="24"/>
          <w:lang/>
        </w:rPr>
      </w:pPr>
      <w:bookmarkStart w:id="7802" w:name="n6067"/>
      <w:bookmarkEnd w:id="7802"/>
      <w:r w:rsidRPr="008B264B">
        <w:rPr>
          <w:rFonts w:ascii="Times New Roman" w:eastAsia="Times New Roman" w:hAnsi="Times New Roman" w:cs="Times New Roman"/>
          <w:color w:val="000000"/>
          <w:sz w:val="24"/>
          <w:szCs w:val="24"/>
          <w:lang/>
        </w:rPr>
        <w:t>АЕС = On х Н + (рнс х С1нс х V1нс + рв х С1в х V1в) + 1/32 (рнс х С2нс х V2нс + рв х С2в х V2в),</w:t>
      </w:r>
    </w:p>
    <w:p w14:paraId="4907D1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3" w:name="n6068"/>
      <w:bookmarkEnd w:id="7803"/>
      <w:r w:rsidRPr="008B264B">
        <w:rPr>
          <w:rFonts w:ascii="Times New Roman" w:eastAsia="Times New Roman" w:hAnsi="Times New Roman" w:cs="Times New Roman"/>
          <w:color w:val="000000"/>
          <w:sz w:val="24"/>
          <w:szCs w:val="24"/>
          <w:lang/>
        </w:rPr>
        <w:t>де АЕС - сума податку, який справляється за утворення радіоактивних відходів (включаючи вже накопичені) експлуатуючими організаціями (операторами) атомних електростанцій, обчислена за базовий податковий (звітний) період, у гривнях з копійками;</w:t>
      </w:r>
    </w:p>
    <w:p w14:paraId="4C0E75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4" w:name="n6069"/>
      <w:bookmarkEnd w:id="7804"/>
      <w:r w:rsidRPr="008B264B">
        <w:rPr>
          <w:rFonts w:ascii="Times New Roman" w:eastAsia="Times New Roman" w:hAnsi="Times New Roman" w:cs="Times New Roman"/>
          <w:color w:val="000000"/>
          <w:sz w:val="24"/>
          <w:szCs w:val="24"/>
          <w:lang/>
        </w:rPr>
        <w:t>On - фактичний обсяг електричної енергії, виробленої за базовий податковий (звітний) період експлуатуючими організаціями (операторами) атомних електростанцій, кВт-год (для дослідницьких реакторів дорівнює 0);</w:t>
      </w:r>
    </w:p>
    <w:p w14:paraId="61ACD8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5" w:name="n6070"/>
      <w:bookmarkEnd w:id="7805"/>
      <w:r w:rsidRPr="008B264B">
        <w:rPr>
          <w:rFonts w:ascii="Times New Roman" w:eastAsia="Times New Roman" w:hAnsi="Times New Roman" w:cs="Times New Roman"/>
          <w:color w:val="000000"/>
          <w:sz w:val="24"/>
          <w:szCs w:val="24"/>
          <w:lang/>
        </w:rPr>
        <w:t>Н - ставка податку, який справляється за електричну енергію, вироблену експлуатуючими організаціями (операторами) атомних електростанцій, що переглядається у разі потреби один раз на рік, визначена у </w:t>
      </w:r>
      <w:hyperlink r:id="rId4441" w:anchor="n6034" w:history="1">
        <w:r w:rsidRPr="008B264B">
          <w:rPr>
            <w:rFonts w:ascii="Times New Roman" w:eastAsia="Times New Roman" w:hAnsi="Times New Roman" w:cs="Times New Roman"/>
            <w:color w:val="0000FF"/>
            <w:sz w:val="24"/>
            <w:szCs w:val="24"/>
            <w:u w:val="single"/>
            <w:lang/>
          </w:rPr>
          <w:t>пункті 247.1</w:t>
        </w:r>
      </w:hyperlink>
      <w:r w:rsidRPr="008B264B">
        <w:rPr>
          <w:rFonts w:ascii="Times New Roman" w:eastAsia="Times New Roman" w:hAnsi="Times New Roman" w:cs="Times New Roman"/>
          <w:color w:val="000000"/>
          <w:sz w:val="24"/>
          <w:szCs w:val="24"/>
          <w:lang/>
        </w:rPr>
        <w:t> статті 247 цього Кодексу, у гривнях за 1 кВт-год;</w:t>
      </w:r>
    </w:p>
    <w:p w14:paraId="3EF2C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6" w:name="n6071"/>
      <w:bookmarkEnd w:id="7806"/>
      <w:r w:rsidRPr="008B264B">
        <w:rPr>
          <w:rFonts w:ascii="Times New Roman" w:eastAsia="Times New Roman" w:hAnsi="Times New Roman" w:cs="Times New Roman"/>
          <w:color w:val="000000"/>
          <w:sz w:val="24"/>
          <w:szCs w:val="24"/>
          <w:lang/>
        </w:rPr>
        <w:t>1/32 - коефіцієнт реструктуризації податку за накопичені до 1 квітня 2009 року радіоактивні відходи (коефіцієнт діє з 1 квітня 2011 року до 1 квітня 2019 року, протягом іншого періоду дорівнює 0);</w:t>
      </w:r>
    </w:p>
    <w:p w14:paraId="03246C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7" w:name="n6072"/>
      <w:bookmarkEnd w:id="7807"/>
      <w:r w:rsidRPr="008B264B">
        <w:rPr>
          <w:rFonts w:ascii="Times New Roman" w:eastAsia="Times New Roman" w:hAnsi="Times New Roman" w:cs="Times New Roman"/>
          <w:color w:val="000000"/>
          <w:sz w:val="24"/>
          <w:szCs w:val="24"/>
          <w:lang/>
        </w:rPr>
        <w:t>рв - коригуючий коефіцієнт для високоактивних відходів, наведений у </w:t>
      </w:r>
      <w:hyperlink r:id="rId4442" w:anchor="n6036" w:history="1">
        <w:r w:rsidRPr="008B264B">
          <w:rPr>
            <w:rFonts w:ascii="Times New Roman" w:eastAsia="Times New Roman" w:hAnsi="Times New Roman" w:cs="Times New Roman"/>
            <w:color w:val="0000FF"/>
            <w:sz w:val="24"/>
            <w:szCs w:val="24"/>
            <w:u w:val="single"/>
            <w:lang/>
          </w:rPr>
          <w:t>пункті 247.2</w:t>
        </w:r>
      </w:hyperlink>
      <w:r w:rsidRPr="008B264B">
        <w:rPr>
          <w:rFonts w:ascii="Times New Roman" w:eastAsia="Times New Roman" w:hAnsi="Times New Roman" w:cs="Times New Roman"/>
          <w:color w:val="000000"/>
          <w:sz w:val="24"/>
          <w:szCs w:val="24"/>
          <w:lang/>
        </w:rPr>
        <w:t> статті 247 цього Кодексу;</w:t>
      </w:r>
    </w:p>
    <w:p w14:paraId="2751F2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8" w:name="n6073"/>
      <w:bookmarkEnd w:id="7808"/>
      <w:r w:rsidRPr="008B264B">
        <w:rPr>
          <w:rFonts w:ascii="Times New Roman" w:eastAsia="Times New Roman" w:hAnsi="Times New Roman" w:cs="Times New Roman"/>
          <w:color w:val="000000"/>
          <w:sz w:val="24"/>
          <w:szCs w:val="24"/>
          <w:lang/>
        </w:rPr>
        <w:lastRenderedPageBreak/>
        <w:t>рнс - коригуючий коефіцієнт для середньоактивних та низькоактивних відходів, наведений у пункті 247.2 статті 247 цього Кодексу;</w:t>
      </w:r>
    </w:p>
    <w:p w14:paraId="0DC0F4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09" w:name="n6074"/>
      <w:bookmarkEnd w:id="7809"/>
      <w:r w:rsidRPr="008B264B">
        <w:rPr>
          <w:rFonts w:ascii="Times New Roman" w:eastAsia="Times New Roman" w:hAnsi="Times New Roman" w:cs="Times New Roman"/>
          <w:color w:val="000000"/>
          <w:sz w:val="24"/>
          <w:szCs w:val="24"/>
          <w:lang/>
        </w:rPr>
        <w:t>С1нс - собівартість зберігання 1 куб. метра (1 куб. сантиметра радіоактивних відходів, представлених у вигляді джерел іонізуючого випромінювання) низькоактивних і середньоактивних радіоактивних відходів, утворених їх виробниками за базовий податковий (звітний) період, у гривнях з копійками;</w:t>
      </w:r>
    </w:p>
    <w:p w14:paraId="3E7B95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0" w:name="n6075"/>
      <w:bookmarkEnd w:id="7810"/>
      <w:r w:rsidRPr="008B264B">
        <w:rPr>
          <w:rFonts w:ascii="Times New Roman" w:eastAsia="Times New Roman" w:hAnsi="Times New Roman" w:cs="Times New Roman"/>
          <w:color w:val="000000"/>
          <w:sz w:val="24"/>
          <w:szCs w:val="24"/>
          <w:lang/>
        </w:rPr>
        <w:t>С1в - собівартість зберігання 1 куб. метра (1 куб. сантиметра радіоактивних відходів, представлених у вигляді джерел іонізуючого випромінювання) високоактивних радіоактивних відходів, утворених їх виробниками за базовий податковий (звітний) період, у гривнях з копійками;</w:t>
      </w:r>
    </w:p>
    <w:p w14:paraId="262C61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1" w:name="n6076"/>
      <w:bookmarkEnd w:id="7811"/>
      <w:r w:rsidRPr="008B264B">
        <w:rPr>
          <w:rFonts w:ascii="Times New Roman" w:eastAsia="Times New Roman" w:hAnsi="Times New Roman" w:cs="Times New Roman"/>
          <w:color w:val="000000"/>
          <w:sz w:val="24"/>
          <w:szCs w:val="24"/>
          <w:lang/>
        </w:rPr>
        <w:t>С2нс - собівартість зберігання 1 куб. метра (1 куб. сантиметра радіоактивних відходів, представлених у вигляді джерел іонізуючого випромінювання) низькоактивних і середньоактивних радіоактивних відходів, накопичених їх виробниками до 1 квітня 2009 року, у гривнях з копійками;</w:t>
      </w:r>
    </w:p>
    <w:p w14:paraId="0FB3D6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2" w:name="n6077"/>
      <w:bookmarkEnd w:id="7812"/>
      <w:r w:rsidRPr="008B264B">
        <w:rPr>
          <w:rFonts w:ascii="Times New Roman" w:eastAsia="Times New Roman" w:hAnsi="Times New Roman" w:cs="Times New Roman"/>
          <w:color w:val="000000"/>
          <w:sz w:val="24"/>
          <w:szCs w:val="24"/>
          <w:lang/>
        </w:rPr>
        <w:t>С2в - собівартість зберігання 1 куб. метра (1 куб. сантиметра радіоактивних відходів, представлених у вигляді джерел іонізуючого випромінювання) високоактивних радіоактивних відходів, накопичених їх виробниками до 1 квітня 2009 року, у гривнях з копійками;</w:t>
      </w:r>
    </w:p>
    <w:p w14:paraId="012568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3" w:name="n6078"/>
      <w:bookmarkEnd w:id="7813"/>
      <w:r w:rsidRPr="008B264B">
        <w:rPr>
          <w:rFonts w:ascii="Times New Roman" w:eastAsia="Times New Roman" w:hAnsi="Times New Roman" w:cs="Times New Roman"/>
          <w:color w:val="000000"/>
          <w:sz w:val="24"/>
          <w:szCs w:val="24"/>
          <w:lang/>
        </w:rPr>
        <w:t>V1нс - фактичний об'єм низькоактивних і середньоактивних радіоактивних відходів, прийнятих до сховища експлуатуючих організацій (операторів) атомних електростанцій за базовий податковий (звітний) період, куб. метрів (куб. сантиметрів - для радіоактивних відходів, представлених у вигляді джерел іонізуючого випромінювання);</w:t>
      </w:r>
    </w:p>
    <w:p w14:paraId="132BF6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4" w:name="n6079"/>
      <w:bookmarkEnd w:id="7814"/>
      <w:r w:rsidRPr="008B264B">
        <w:rPr>
          <w:rFonts w:ascii="Times New Roman" w:eastAsia="Times New Roman" w:hAnsi="Times New Roman" w:cs="Times New Roman"/>
          <w:color w:val="000000"/>
          <w:sz w:val="24"/>
          <w:szCs w:val="24"/>
          <w:lang/>
        </w:rPr>
        <w:t>V1в - фактичний об'єм високоактивних радіоактивних відходів, прийнятих до сховища експлуатуючих організацій (операторів) атомних електростанцій за базовий податковий (звітний) період, куб. метрів (куб. сантиметрів - для радіоактивних відходів, представлених у вигляді джерел іонізуючого випромінювання);</w:t>
      </w:r>
    </w:p>
    <w:p w14:paraId="1892E8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5" w:name="n6080"/>
      <w:bookmarkEnd w:id="7815"/>
      <w:r w:rsidRPr="008B264B">
        <w:rPr>
          <w:rFonts w:ascii="Times New Roman" w:eastAsia="Times New Roman" w:hAnsi="Times New Roman" w:cs="Times New Roman"/>
          <w:color w:val="000000"/>
          <w:sz w:val="24"/>
          <w:szCs w:val="24"/>
          <w:lang/>
        </w:rPr>
        <w:t>V2нс - фактичний об'єм низькоактивних і середньоактивних радіоактивних відходів, накопичених у сховищах експлуатуючих організацій (операторів) атомних електростанцій до 1 квітня 2009 року, куб. метрів (куб. сантиметрів - для радіоактивних відходів, представлених у вигляді джерел іонізуючого випромінювання);</w:t>
      </w:r>
    </w:p>
    <w:p w14:paraId="56F0D6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6" w:name="n6081"/>
      <w:bookmarkEnd w:id="7816"/>
      <w:r w:rsidRPr="008B264B">
        <w:rPr>
          <w:rFonts w:ascii="Times New Roman" w:eastAsia="Times New Roman" w:hAnsi="Times New Roman" w:cs="Times New Roman"/>
          <w:color w:val="000000"/>
          <w:sz w:val="24"/>
          <w:szCs w:val="24"/>
          <w:lang/>
        </w:rPr>
        <w:t>V2в - фактичний об'єм високоактивних радіоактивних відходів, накопичених у сховищах експлуатуючих організацій (операторів) атомних електростанцій до 1 квітня 2009 року, куб. метрів (куб. сантиметрів - для радіоактивних відходів, представлених у вигляді джерел іонізуючого випромінювання).</w:t>
      </w:r>
    </w:p>
    <w:p w14:paraId="7063FF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7" w:name="n6082"/>
      <w:bookmarkEnd w:id="7817"/>
      <w:r w:rsidRPr="008B264B">
        <w:rPr>
          <w:rFonts w:ascii="Times New Roman" w:eastAsia="Times New Roman" w:hAnsi="Times New Roman" w:cs="Times New Roman"/>
          <w:color w:val="000000"/>
          <w:sz w:val="24"/>
          <w:szCs w:val="24"/>
          <w:lang/>
        </w:rPr>
        <w:t>Інші платники податку - суб'єкти діяльності у сфері використання ядерної енергії обчислюють суми податку, що справляється за утворення радіоактивних відходів їх виробниками, пропорційно обсягу та активності радіоактивних матеріалів щокварталу, що сплачується у загальному розмірі 10 відсотків вартості (без урахування податку на додану вартість) кожного джерела іонізуючого випромінювання, яка визначається з дати придбання (купівлі-продажу) цього джерела. Вартість здавання накопичених до 1 квітня 2009 року радіоактивних відходів для таких суб'єктів визначається за договорами між виробниками радіоактивних відходів і спеціалізованими підприємствами з поводження з радіоактивними відходами.</w:t>
      </w:r>
    </w:p>
    <w:p w14:paraId="475D42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18" w:name="n6083"/>
      <w:bookmarkEnd w:id="7818"/>
      <w:r w:rsidRPr="008B264B">
        <w:rPr>
          <w:rFonts w:ascii="Times New Roman" w:eastAsia="Times New Roman" w:hAnsi="Times New Roman" w:cs="Times New Roman"/>
          <w:color w:val="000000"/>
          <w:sz w:val="24"/>
          <w:szCs w:val="24"/>
          <w:lang/>
        </w:rPr>
        <w:t>249.8. Суми податку, який справляється за тимчасове зберігання радіоактивних відходів їх виробниками понад установлений особливими умовами ліцензії строк, обчислюються платниками податку - виробниками радіоактивних відходів самостійно щокварталу на підставі ставок податку, наведених у </w:t>
      </w:r>
      <w:hyperlink r:id="rId4443" w:anchor="n6039" w:history="1">
        <w:r w:rsidRPr="008B264B">
          <w:rPr>
            <w:rFonts w:ascii="Times New Roman" w:eastAsia="Times New Roman" w:hAnsi="Times New Roman" w:cs="Times New Roman"/>
            <w:color w:val="0000FF"/>
            <w:sz w:val="24"/>
            <w:szCs w:val="24"/>
            <w:u w:val="single"/>
            <w:lang/>
          </w:rPr>
          <w:t>пункті 248.1</w:t>
        </w:r>
      </w:hyperlink>
      <w:r w:rsidRPr="008B264B">
        <w:rPr>
          <w:rFonts w:ascii="Times New Roman" w:eastAsia="Times New Roman" w:hAnsi="Times New Roman" w:cs="Times New Roman"/>
          <w:color w:val="000000"/>
          <w:sz w:val="24"/>
          <w:szCs w:val="24"/>
          <w:lang/>
        </w:rPr>
        <w:t> статті 248 цього Кодексу, та пропорційно строку зберігання таких відходів понад установлений строк за формулою:</w:t>
      </w:r>
    </w:p>
    <w:p w14:paraId="5FC33224" w14:textId="77777777" w:rsidR="008B264B" w:rsidRPr="008B264B" w:rsidRDefault="008B264B" w:rsidP="008B264B">
      <w:pPr>
        <w:spacing w:before="150" w:after="150" w:line="240" w:lineRule="auto"/>
        <w:jc w:val="center"/>
        <w:rPr>
          <w:rFonts w:ascii="Times New Roman" w:eastAsia="Times New Roman" w:hAnsi="Times New Roman" w:cs="Times New Roman"/>
          <w:color w:val="000000"/>
          <w:sz w:val="24"/>
          <w:szCs w:val="24"/>
          <w:lang/>
        </w:rPr>
      </w:pPr>
      <w:bookmarkStart w:id="7819" w:name="n6084"/>
      <w:bookmarkEnd w:id="7819"/>
      <w:r w:rsidRPr="008B264B">
        <w:rPr>
          <w:rFonts w:ascii="Times New Roman" w:eastAsia="Times New Roman" w:hAnsi="Times New Roman" w:cs="Times New Roman"/>
          <w:color w:val="000000"/>
          <w:sz w:val="24"/>
          <w:szCs w:val="24"/>
          <w:lang/>
        </w:rPr>
        <w:t>S зберігання = N х V х T зберігання,</w:t>
      </w:r>
    </w:p>
    <w:p w14:paraId="5E6785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0" w:name="n6085"/>
      <w:bookmarkEnd w:id="7820"/>
      <w:r w:rsidRPr="008B264B">
        <w:rPr>
          <w:rFonts w:ascii="Times New Roman" w:eastAsia="Times New Roman" w:hAnsi="Times New Roman" w:cs="Times New Roman"/>
          <w:color w:val="000000"/>
          <w:sz w:val="24"/>
          <w:szCs w:val="24"/>
          <w:lang/>
        </w:rPr>
        <w:lastRenderedPageBreak/>
        <w:t>де S зберігання - сума податку, який справляється за тимчасове зберігання радіоактивних відходів їх виробниками понад установлений особливими умовами ліцензії строк, обчислена за базовий податковий (звітний) період, календарний квартал, у гривнях з копійками;</w:t>
      </w:r>
    </w:p>
    <w:p w14:paraId="447240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1" w:name="n6086"/>
      <w:bookmarkEnd w:id="7821"/>
      <w:r w:rsidRPr="008B264B">
        <w:rPr>
          <w:rFonts w:ascii="Times New Roman" w:eastAsia="Times New Roman" w:hAnsi="Times New Roman" w:cs="Times New Roman"/>
          <w:color w:val="000000"/>
          <w:sz w:val="24"/>
          <w:szCs w:val="24"/>
          <w:lang/>
        </w:rPr>
        <w:t>N - ставка податку, який справляється за тимчасове зберігання радіоактивних відходів їх виробниками понад установлений особливими умовами ліцензії строк, наведена у пункті 248.1 статті 248 цього Кодексу;</w:t>
      </w:r>
    </w:p>
    <w:p w14:paraId="6E0F30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2" w:name="n6087"/>
      <w:bookmarkEnd w:id="7822"/>
      <w:r w:rsidRPr="008B264B">
        <w:rPr>
          <w:rFonts w:ascii="Times New Roman" w:eastAsia="Times New Roman" w:hAnsi="Times New Roman" w:cs="Times New Roman"/>
          <w:color w:val="000000"/>
          <w:sz w:val="24"/>
          <w:szCs w:val="24"/>
          <w:lang/>
        </w:rPr>
        <w:t>V - фактичний об'єм радіоактивних відходів, які зберігаються у виробника таких відходів понад установлений особливими умовами ліцензії строк, куб. метрів (куб. сантиметрів - для радіоактивних відходів, представлених у вигляді джерел іонізуючого випромінювання);</w:t>
      </w:r>
    </w:p>
    <w:p w14:paraId="57D59D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3" w:name="n6088"/>
      <w:bookmarkEnd w:id="7823"/>
      <w:r w:rsidRPr="008B264B">
        <w:rPr>
          <w:rFonts w:ascii="Times New Roman" w:eastAsia="Times New Roman" w:hAnsi="Times New Roman" w:cs="Times New Roman"/>
          <w:color w:val="000000"/>
          <w:sz w:val="24"/>
          <w:szCs w:val="24"/>
          <w:lang/>
        </w:rPr>
        <w:t>T зберігання - кількість повних календарних кварталів, протягом яких радіоактивні відходи зберігаються понад установлений особливими умовами ліцензії строк.</w:t>
      </w:r>
    </w:p>
    <w:p w14:paraId="38F65C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4" w:name="n9313"/>
      <w:bookmarkEnd w:id="7824"/>
      <w:r w:rsidRPr="008B264B">
        <w:rPr>
          <w:rFonts w:ascii="Times New Roman" w:eastAsia="Times New Roman" w:hAnsi="Times New Roman" w:cs="Times New Roman"/>
          <w:i/>
          <w:iCs/>
          <w:color w:val="000000"/>
          <w:sz w:val="24"/>
          <w:szCs w:val="24"/>
          <w:lang/>
        </w:rPr>
        <w:t>{Пункт 249.9 статті 249 виключено на підставі Закону </w:t>
      </w:r>
      <w:hyperlink r:id="rId4444" w:anchor="n17"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5E4697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5" w:name="n9318"/>
      <w:bookmarkEnd w:id="7825"/>
      <w:r w:rsidRPr="008B264B">
        <w:rPr>
          <w:rFonts w:ascii="Times New Roman" w:eastAsia="Times New Roman" w:hAnsi="Times New Roman" w:cs="Times New Roman"/>
          <w:i/>
          <w:iCs/>
          <w:color w:val="000000"/>
          <w:sz w:val="24"/>
          <w:szCs w:val="24"/>
          <w:lang/>
        </w:rPr>
        <w:t>{Пункт 249.10 статті 249 виключено на підставі Закону </w:t>
      </w:r>
      <w:hyperlink r:id="rId4445" w:anchor="n17"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55411B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6" w:name="n9322"/>
      <w:bookmarkEnd w:id="7826"/>
      <w:r w:rsidRPr="008B264B">
        <w:rPr>
          <w:rFonts w:ascii="Times New Roman" w:eastAsia="Times New Roman" w:hAnsi="Times New Roman" w:cs="Times New Roman"/>
          <w:i/>
          <w:iCs/>
          <w:color w:val="000000"/>
          <w:sz w:val="24"/>
          <w:szCs w:val="24"/>
          <w:lang/>
        </w:rPr>
        <w:t>{Пункт 249.11 статті 249 виключено на підставі Закону </w:t>
      </w:r>
      <w:hyperlink r:id="rId4446" w:anchor="n17"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DCD9F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7" w:name="n6089"/>
      <w:bookmarkEnd w:id="7827"/>
      <w:r w:rsidRPr="008B264B">
        <w:rPr>
          <w:rFonts w:ascii="Times New Roman" w:eastAsia="Times New Roman" w:hAnsi="Times New Roman" w:cs="Times New Roman"/>
          <w:b/>
          <w:bCs/>
          <w:color w:val="000000"/>
          <w:sz w:val="24"/>
          <w:szCs w:val="24"/>
          <w:lang/>
        </w:rPr>
        <w:t>Стаття 250.</w:t>
      </w:r>
      <w:r w:rsidRPr="008B264B">
        <w:rPr>
          <w:rFonts w:ascii="Times New Roman" w:eastAsia="Times New Roman" w:hAnsi="Times New Roman" w:cs="Times New Roman"/>
          <w:color w:val="000000"/>
          <w:sz w:val="24"/>
          <w:szCs w:val="24"/>
          <w:lang/>
        </w:rPr>
        <w:t> Порядок подання податкової звітності та сплати податку</w:t>
      </w:r>
    </w:p>
    <w:p w14:paraId="147614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8" w:name="n6090"/>
      <w:bookmarkEnd w:id="7828"/>
      <w:r w:rsidRPr="008B264B">
        <w:rPr>
          <w:rFonts w:ascii="Times New Roman" w:eastAsia="Times New Roman" w:hAnsi="Times New Roman" w:cs="Times New Roman"/>
          <w:color w:val="000000"/>
          <w:sz w:val="24"/>
          <w:szCs w:val="24"/>
          <w:lang/>
        </w:rPr>
        <w:t>250.1. Базовий податковий (звітний) період дорівнює календарному кварталу.</w:t>
      </w:r>
    </w:p>
    <w:p w14:paraId="110F1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29" w:name="n6091"/>
      <w:bookmarkEnd w:id="7829"/>
      <w:r w:rsidRPr="008B264B">
        <w:rPr>
          <w:rFonts w:ascii="Times New Roman" w:eastAsia="Times New Roman" w:hAnsi="Times New Roman" w:cs="Times New Roman"/>
          <w:color w:val="000000"/>
          <w:sz w:val="24"/>
          <w:szCs w:val="24"/>
          <w:lang/>
        </w:rPr>
        <w:t>250.2. Платники податку складають податкові декларації за </w:t>
      </w:r>
      <w:hyperlink r:id="rId4447" w:anchor="n15"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встановленою у порядку, передбаченому </w:t>
      </w:r>
      <w:hyperlink r:id="rId4448"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 подають їх протягом 40 календарних днів, що настають за останнім календарним днем податкового (звітного) кварталу, до контролюючих органів та сплачують податок протягом 10 календарних днів, що настають за останнім днем граничного строку подання податкової декларації:</w:t>
      </w:r>
    </w:p>
    <w:p w14:paraId="0A45E9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0" w:name="n9325"/>
      <w:bookmarkEnd w:id="7830"/>
      <w:r w:rsidRPr="008B264B">
        <w:rPr>
          <w:rFonts w:ascii="Times New Roman" w:eastAsia="Times New Roman" w:hAnsi="Times New Roman" w:cs="Times New Roman"/>
          <w:i/>
          <w:iCs/>
          <w:color w:val="000000"/>
          <w:sz w:val="24"/>
          <w:szCs w:val="24"/>
          <w:lang/>
        </w:rPr>
        <w:t>{Пункт 250.2 статті 250 із змінами, внесеними згідно із Законами </w:t>
      </w:r>
      <w:hyperlink r:id="rId4449" w:anchor="n71"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4450" w:anchor="n21"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 </w:t>
      </w:r>
      <w:hyperlink r:id="rId4451" w:anchor="n89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7238E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1" w:name="n6092"/>
      <w:bookmarkEnd w:id="7831"/>
      <w:r w:rsidRPr="008B264B">
        <w:rPr>
          <w:rFonts w:ascii="Times New Roman" w:eastAsia="Times New Roman" w:hAnsi="Times New Roman" w:cs="Times New Roman"/>
          <w:color w:val="000000"/>
          <w:sz w:val="24"/>
          <w:szCs w:val="24"/>
          <w:lang/>
        </w:rPr>
        <w:t>250.2.1. за викиди в атмосферне повітря забруднюючих речовин стаціонарними джерелами забруднення, скиди забруднюючих речовин у водні об'єкти, розміщення протягом звітного кварталу відходів у спеціально відведених для цього місцях чи на об'єктах - за місцем розміщення стаціонарних джерел, спеціально відведених для цього місць чи об'єктів;</w:t>
      </w:r>
    </w:p>
    <w:p w14:paraId="6A1DFA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2" w:name="n6093"/>
      <w:bookmarkEnd w:id="7832"/>
      <w:r w:rsidRPr="008B264B">
        <w:rPr>
          <w:rFonts w:ascii="Times New Roman" w:eastAsia="Times New Roman" w:hAnsi="Times New Roman" w:cs="Times New Roman"/>
          <w:i/>
          <w:iCs/>
          <w:color w:val="000000"/>
          <w:sz w:val="24"/>
          <w:szCs w:val="24"/>
          <w:lang/>
        </w:rPr>
        <w:t>{Підпункт 250.2.2 пункту 250.2 статті 250 виключено на підставі Закону </w:t>
      </w:r>
      <w:hyperlink r:id="rId4452" w:anchor="n8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B275B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3" w:name="n6094"/>
      <w:bookmarkEnd w:id="7833"/>
      <w:r w:rsidRPr="008B264B">
        <w:rPr>
          <w:rFonts w:ascii="Times New Roman" w:eastAsia="Times New Roman" w:hAnsi="Times New Roman" w:cs="Times New Roman"/>
          <w:color w:val="000000"/>
          <w:sz w:val="24"/>
          <w:szCs w:val="24"/>
          <w:lang/>
        </w:rPr>
        <w:t>250.2.3. за утворення радіоактивних відходів та тимчасове зберігання радіоактивних відходів понад установлений особливими умовами ліцензії строк - за місцем перебування платника на податковому обліку у контролюючих органах.</w:t>
      </w:r>
    </w:p>
    <w:p w14:paraId="4FF6B8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4" w:name="n9327"/>
      <w:bookmarkEnd w:id="7834"/>
      <w:r w:rsidRPr="008B264B">
        <w:rPr>
          <w:rFonts w:ascii="Times New Roman" w:eastAsia="Times New Roman" w:hAnsi="Times New Roman" w:cs="Times New Roman"/>
          <w:i/>
          <w:iCs/>
          <w:color w:val="000000"/>
          <w:sz w:val="24"/>
          <w:szCs w:val="24"/>
          <w:lang/>
        </w:rPr>
        <w:t>{Підпункт 250.2.4 пункту 250.2 статті 250 виключено на підставі Закону </w:t>
      </w:r>
      <w:hyperlink r:id="rId4453" w:anchor="n22"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47231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5" w:name="n6095"/>
      <w:bookmarkEnd w:id="7835"/>
      <w:r w:rsidRPr="008B264B">
        <w:rPr>
          <w:rFonts w:ascii="Times New Roman" w:eastAsia="Times New Roman" w:hAnsi="Times New Roman" w:cs="Times New Roman"/>
          <w:i/>
          <w:iCs/>
          <w:color w:val="000000"/>
          <w:sz w:val="24"/>
          <w:szCs w:val="24"/>
          <w:lang/>
        </w:rPr>
        <w:t>{Пункт 250.2 статті 250 в редакції Закону </w:t>
      </w:r>
      <w:hyperlink r:id="rId445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73B36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6" w:name="n6096"/>
      <w:bookmarkEnd w:id="7836"/>
      <w:r w:rsidRPr="008B264B">
        <w:rPr>
          <w:rFonts w:ascii="Times New Roman" w:eastAsia="Times New Roman" w:hAnsi="Times New Roman" w:cs="Times New Roman"/>
          <w:color w:val="000000"/>
          <w:sz w:val="24"/>
          <w:szCs w:val="24"/>
          <w:lang/>
        </w:rPr>
        <w:t>250.3. Центральний орган виконавчої влади, що реалізує державну політику у сфері охорони навколишнього природного середовища, орган виконавчої влади Автономної Республіки Крим з питань охорони навколишнього природного середовища, обласні, Київська та Севастопольська міські державні адміністрації до 1 грудня року, що передує звітному, подають до контролюючих органів переліки підприємств, установ, організацій, фізичних осіб - підприємців, яким в установленому порядку видано дозволи на викиди, спеціальне водокористування та розміщення відходів, а також направляють інформацію про внесення змін до переліку до 30 числа місяця, що настає за кварталом, у якому такі зміни відбулися.</w:t>
      </w:r>
    </w:p>
    <w:p w14:paraId="25B3A3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7" w:name="n6097"/>
      <w:bookmarkEnd w:id="7837"/>
      <w:r w:rsidRPr="008B264B">
        <w:rPr>
          <w:rFonts w:ascii="Times New Roman" w:eastAsia="Times New Roman" w:hAnsi="Times New Roman" w:cs="Times New Roman"/>
          <w:i/>
          <w:iCs/>
          <w:color w:val="000000"/>
          <w:sz w:val="24"/>
          <w:szCs w:val="24"/>
          <w:lang/>
        </w:rPr>
        <w:t>{Пункт 250.3 статті 250 із змінами, внесеними згідно із Законом </w:t>
      </w:r>
      <w:hyperlink r:id="rId4455" w:anchor="n21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7A2D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8" w:name="n6098"/>
      <w:bookmarkEnd w:id="7838"/>
      <w:r w:rsidRPr="008B264B">
        <w:rPr>
          <w:rFonts w:ascii="Times New Roman" w:eastAsia="Times New Roman" w:hAnsi="Times New Roman" w:cs="Times New Roman"/>
          <w:color w:val="000000"/>
          <w:sz w:val="24"/>
          <w:szCs w:val="24"/>
          <w:lang/>
        </w:rPr>
        <w:lastRenderedPageBreak/>
        <w:t>250.4. Орган державного регулювання ядерної та радіаційної безпеки до 1 грудня року, що передує звітному, подає до контролюючих органів переліки підприємств, установ, організацій, фізичних осіб - суб'єктів діяльності у сфері використання ядерної енергії, у результаті діяльності яких утворилися, утворюються або можуть утворитися радіоактивні відходи та які тимчасово зберігають такі відходи понад установлений особливими умовами ліцензії строк, а також направляє інформацію про внесення змін до переліку до 30 числа місяця, що настає за кварталом, у якому такі зміни відбулися.</w:t>
      </w:r>
    </w:p>
    <w:p w14:paraId="3E14C3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39" w:name="n6099"/>
      <w:bookmarkEnd w:id="7839"/>
      <w:r w:rsidRPr="008B264B">
        <w:rPr>
          <w:rFonts w:ascii="Times New Roman" w:eastAsia="Times New Roman" w:hAnsi="Times New Roman" w:cs="Times New Roman"/>
          <w:i/>
          <w:iCs/>
          <w:color w:val="000000"/>
          <w:sz w:val="24"/>
          <w:szCs w:val="24"/>
          <w:lang/>
        </w:rPr>
        <w:t>{Пункт 250.4 статті 250 із змінами, внесеними згідно із Законом </w:t>
      </w:r>
      <w:hyperlink r:id="rId4456" w:anchor="n21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D9C4A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0" w:name="n6100"/>
      <w:bookmarkEnd w:id="7840"/>
      <w:r w:rsidRPr="008B264B">
        <w:rPr>
          <w:rFonts w:ascii="Times New Roman" w:eastAsia="Times New Roman" w:hAnsi="Times New Roman" w:cs="Times New Roman"/>
          <w:color w:val="000000"/>
          <w:sz w:val="24"/>
          <w:szCs w:val="24"/>
          <w:lang/>
        </w:rPr>
        <w:t>250.5. Платники податку перераховують суми податку, що справляється за викиди, скиди забруднюючих речовин та розміщення відходів, одним платіжним дорученням на рахунки, відкриті в органах, що здійснюють казначейське обслуговування бюджетних коштів, які забезпечують розподіл цих коштів у співвідношенні, визначеному законом.</w:t>
      </w:r>
    </w:p>
    <w:p w14:paraId="2FE9DE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1" w:name="n9935"/>
      <w:bookmarkEnd w:id="7841"/>
      <w:r w:rsidRPr="008B264B">
        <w:rPr>
          <w:rFonts w:ascii="Times New Roman" w:eastAsia="Times New Roman" w:hAnsi="Times New Roman" w:cs="Times New Roman"/>
          <w:i/>
          <w:iCs/>
          <w:color w:val="000000"/>
          <w:sz w:val="24"/>
          <w:szCs w:val="24"/>
          <w:lang/>
        </w:rPr>
        <w:t>{Абзац перший пункту 250.5 статті 250 із змінами, внесеними згідно із Законом </w:t>
      </w:r>
      <w:hyperlink r:id="rId4457" w:anchor="n24"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A177C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2" w:name="n9329"/>
      <w:bookmarkEnd w:id="7842"/>
      <w:r w:rsidRPr="008B264B">
        <w:rPr>
          <w:rFonts w:ascii="Times New Roman" w:eastAsia="Times New Roman" w:hAnsi="Times New Roman" w:cs="Times New Roman"/>
          <w:i/>
          <w:iCs/>
          <w:color w:val="000000"/>
          <w:sz w:val="24"/>
          <w:szCs w:val="24"/>
          <w:lang/>
        </w:rPr>
        <w:t>{Абзац другий пункту 250.5 статті 250 виключено на підставі Закону </w:t>
      </w:r>
      <w:hyperlink r:id="rId4458" w:anchor="n25"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200FE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3" w:name="n9331"/>
      <w:bookmarkEnd w:id="7843"/>
      <w:r w:rsidRPr="008B264B">
        <w:rPr>
          <w:rFonts w:ascii="Times New Roman" w:eastAsia="Times New Roman" w:hAnsi="Times New Roman" w:cs="Times New Roman"/>
          <w:i/>
          <w:iCs/>
          <w:color w:val="000000"/>
          <w:sz w:val="24"/>
          <w:szCs w:val="24"/>
          <w:lang/>
        </w:rPr>
        <w:t>{Абзац третій пункту 250.5 статті 250 виключено на підставі Закону </w:t>
      </w:r>
      <w:hyperlink r:id="rId4459" w:anchor="n25"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B1D89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4" w:name="n6101"/>
      <w:bookmarkEnd w:id="7844"/>
      <w:r w:rsidRPr="008B264B">
        <w:rPr>
          <w:rFonts w:ascii="Times New Roman" w:eastAsia="Times New Roman" w:hAnsi="Times New Roman" w:cs="Times New Roman"/>
          <w:i/>
          <w:iCs/>
          <w:color w:val="000000"/>
          <w:sz w:val="24"/>
          <w:szCs w:val="24"/>
          <w:lang/>
        </w:rPr>
        <w:t>{Пункт 250.5 статті 250 із змінами, внесеними згідно із Законами </w:t>
      </w:r>
      <w:hyperlink r:id="rId4460" w:anchor="n21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461" w:anchor="n75"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4462" w:anchor="n8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73616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5" w:name="n6102"/>
      <w:bookmarkEnd w:id="7845"/>
      <w:r w:rsidRPr="008B264B">
        <w:rPr>
          <w:rFonts w:ascii="Times New Roman" w:eastAsia="Times New Roman" w:hAnsi="Times New Roman" w:cs="Times New Roman"/>
          <w:color w:val="000000"/>
          <w:sz w:val="24"/>
          <w:szCs w:val="24"/>
          <w:lang/>
        </w:rPr>
        <w:t>250.6. Платники податку, який справляється за утворення радіоактивних відходів (включаючи вже накопичені) та/або тимчасове зберігання радіоактивних відходів їх виробниками понад установлений особливими умовами ліцензії строк, перераховують суми податку до державного бюджету, які використовуються відповідно до </w:t>
      </w:r>
      <w:hyperlink r:id="rId4463" w:tgtFrame="_blank" w:history="1">
        <w:r w:rsidRPr="008B264B">
          <w:rPr>
            <w:rFonts w:ascii="Times New Roman" w:eastAsia="Times New Roman" w:hAnsi="Times New Roman" w:cs="Times New Roman"/>
            <w:color w:val="0000FF"/>
            <w:sz w:val="24"/>
            <w:szCs w:val="24"/>
            <w:u w:val="single"/>
            <w:lang/>
          </w:rPr>
          <w:t>Закону України "Про поводження з радіоактивними відходами"</w:t>
        </w:r>
      </w:hyperlink>
      <w:r w:rsidRPr="008B264B">
        <w:rPr>
          <w:rFonts w:ascii="Times New Roman" w:eastAsia="Times New Roman" w:hAnsi="Times New Roman" w:cs="Times New Roman"/>
          <w:color w:val="000000"/>
          <w:sz w:val="24"/>
          <w:szCs w:val="24"/>
          <w:lang/>
        </w:rPr>
        <w:t> та Закону України про Державний бюджет України на відповідний рік. За рішенням платника податку сума податку може сплачуватися щомісяця в розмірі однієї третьої частини планового обсягу за квартал із перерахунком за результатами базового податкового (звітного) періоду.</w:t>
      </w:r>
    </w:p>
    <w:p w14:paraId="20FD55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6" w:name="n6103"/>
      <w:bookmarkEnd w:id="7846"/>
      <w:r w:rsidRPr="008B264B">
        <w:rPr>
          <w:rFonts w:ascii="Times New Roman" w:eastAsia="Times New Roman" w:hAnsi="Times New Roman" w:cs="Times New Roman"/>
          <w:color w:val="000000"/>
          <w:sz w:val="24"/>
          <w:szCs w:val="24"/>
          <w:lang/>
        </w:rPr>
        <w:t>250.7. Звітність про фактичні обсяги радіоактивних відходів, утворених за базовий податковий (звітний) період, календарний квартал (включаючи вже накопичені до 1 квітня 2009 року), та фактичні обсяги радіоактивних відходів, які зберігаються у виробника таких відходів понад установлений особливими умовами ліцензії строк, погоджується органом державної санітарно-епідеміологічної служби та органом державного регулювання ядерної та радіаційної безпеки. Вимоги щодо строків подання та змісту зазначеної звітності встановлюються особливими умовами ліцензії. Копії звітності подаються платниками податків разом з податковою декларацією.</w:t>
      </w:r>
    </w:p>
    <w:p w14:paraId="31C3F0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7" w:name="n6104"/>
      <w:bookmarkEnd w:id="7847"/>
      <w:r w:rsidRPr="008B264B">
        <w:rPr>
          <w:rFonts w:ascii="Times New Roman" w:eastAsia="Times New Roman" w:hAnsi="Times New Roman" w:cs="Times New Roman"/>
          <w:i/>
          <w:iCs/>
          <w:color w:val="000000"/>
          <w:sz w:val="24"/>
          <w:szCs w:val="24"/>
          <w:lang/>
        </w:rPr>
        <w:t>{Пункт 250.7 статті 250 із змінами, внесеними згідно із Законом </w:t>
      </w:r>
      <w:hyperlink r:id="rId4464" w:anchor="n22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4FB87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8" w:name="n6105"/>
      <w:bookmarkEnd w:id="7848"/>
      <w:r w:rsidRPr="008B264B">
        <w:rPr>
          <w:rFonts w:ascii="Times New Roman" w:eastAsia="Times New Roman" w:hAnsi="Times New Roman" w:cs="Times New Roman"/>
          <w:color w:val="000000"/>
          <w:sz w:val="24"/>
          <w:szCs w:val="24"/>
          <w:lang/>
        </w:rPr>
        <w:t>250.8. Якщо місце подання податкових декларацій не збігається з місцем перебування на податковому обліку підприємства, установи, організації, громадянина - суб'єкта підприємницької діяльності, яким в установленому порядку видано дозвіл на викиди забруднюючих речовин в атмосферне повітря стаціонарними джерелами, спеціальне водокористування та розміщення відходів, до контролюючого органу, в якому таке підприємство, установа, організація або громадянин - суб'єкт підприємницької діяльності перебуває на обліку, подаються протягом 40 календарних днів, що настають за останнім календарним днем податкового (звітного) періоду, копії відповідних податкових декларацій.</w:t>
      </w:r>
    </w:p>
    <w:p w14:paraId="0077FB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49" w:name="n6106"/>
      <w:bookmarkEnd w:id="7849"/>
      <w:r w:rsidRPr="008B264B">
        <w:rPr>
          <w:rFonts w:ascii="Times New Roman" w:eastAsia="Times New Roman" w:hAnsi="Times New Roman" w:cs="Times New Roman"/>
          <w:color w:val="000000"/>
          <w:sz w:val="24"/>
          <w:szCs w:val="24"/>
          <w:lang/>
        </w:rPr>
        <w:t xml:space="preserve">250.9. Якщо платник податку з початку звітного року не планує здійснення викидів, скидів забруднюючих речовин, розміщення відходів, утворення радіоактивних відходів протягом звітного року, то такий платник податку повинен повідомити про це відповідний контролюючий </w:t>
      </w:r>
      <w:r w:rsidRPr="008B264B">
        <w:rPr>
          <w:rFonts w:ascii="Times New Roman" w:eastAsia="Times New Roman" w:hAnsi="Times New Roman" w:cs="Times New Roman"/>
          <w:color w:val="000000"/>
          <w:sz w:val="24"/>
          <w:szCs w:val="24"/>
          <w:lang/>
        </w:rPr>
        <w:lastRenderedPageBreak/>
        <w:t>орган за місцем розташування джерел забруднення та скласти заяву про відсутність у нього у звітному році об'єкта обчислення екологічного податку. В іншому разі платник податку зобов'язаний подавати податкові декларації відповідно до цієї статті Кодексу.</w:t>
      </w:r>
    </w:p>
    <w:p w14:paraId="15F25D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0" w:name="n6107"/>
      <w:bookmarkEnd w:id="7850"/>
      <w:r w:rsidRPr="008B264B">
        <w:rPr>
          <w:rFonts w:ascii="Times New Roman" w:eastAsia="Times New Roman" w:hAnsi="Times New Roman" w:cs="Times New Roman"/>
          <w:color w:val="000000"/>
          <w:sz w:val="24"/>
          <w:szCs w:val="24"/>
          <w:lang/>
        </w:rPr>
        <w:t>250.10. У разі якщо:</w:t>
      </w:r>
    </w:p>
    <w:p w14:paraId="0DE970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1" w:name="n6108"/>
      <w:bookmarkEnd w:id="7851"/>
      <w:r w:rsidRPr="008B264B">
        <w:rPr>
          <w:rFonts w:ascii="Times New Roman" w:eastAsia="Times New Roman" w:hAnsi="Times New Roman" w:cs="Times New Roman"/>
          <w:color w:val="000000"/>
          <w:sz w:val="24"/>
          <w:szCs w:val="24"/>
          <w:lang/>
        </w:rPr>
        <w:t>250.10.1. платник податку має кілька стаціонарних джерел забруднення або спеціально відведених для розміщення відходів місць чи об'єктів в межах кількох населених пунктів (сіл, селищ або міст) або за їх межами (коди згідно з Класифікатором об'єктів адміністративно-територіального устрою України (КОАТУУ) різні), то такий платник податку зобов'язаний подати до відповідного контролюючого органу за місцем розташування стаціонарного джерела забруднення або спеціально відведених для розміщення відходів місць чи об'єктів податкову декларацію щодо кожного стаціонарного джерела забруднення або спеціально відведеного для розміщення відходів місця чи об'єкта окремо;</w:t>
      </w:r>
    </w:p>
    <w:p w14:paraId="4F8538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2" w:name="n6109"/>
      <w:bookmarkEnd w:id="7852"/>
      <w:r w:rsidRPr="008B264B">
        <w:rPr>
          <w:rFonts w:ascii="Times New Roman" w:eastAsia="Times New Roman" w:hAnsi="Times New Roman" w:cs="Times New Roman"/>
          <w:color w:val="000000"/>
          <w:sz w:val="24"/>
          <w:szCs w:val="24"/>
          <w:lang/>
        </w:rPr>
        <w:t>250.10.2. платник податку має кілька стаціонарних джерел забруднення або спеціально відведених для розміщення відходів місць чи об'єктів в межах одного населеного пункту (села, селища або міста) або за його межами (код згідно з Класифікатором об'єктів адміністративно-територіального устрою України (КОАТУУ) один і той самий), то такий платник податку може подавати до відповідного контролюючого органу одну податкову декларацію податку за такі джерела забруднення;</w:t>
      </w:r>
    </w:p>
    <w:p w14:paraId="44E7ED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3" w:name="n6110"/>
      <w:bookmarkEnd w:id="7853"/>
      <w:r w:rsidRPr="008B264B">
        <w:rPr>
          <w:rFonts w:ascii="Times New Roman" w:eastAsia="Times New Roman" w:hAnsi="Times New Roman" w:cs="Times New Roman"/>
          <w:color w:val="000000"/>
          <w:sz w:val="24"/>
          <w:szCs w:val="24"/>
          <w:lang/>
        </w:rPr>
        <w:t>250.10.3. платник податку перебуває на податковому обліку в місті з районним поділом, то такий платник може подавати одну податкову декларацію за викиди, скиди усіма своїми джерелами забруднення та/або розміщення відходів, якщо ці джерела та/або спеціально відведені місця для розміщення відходів розташовані на території такого міста (зазначається код згідно з Класифікатором об'єктів адміністративно-територіального устрою України (КОАТУУ), за місцем перебування платника податку на податковому обліку (міської ради).</w:t>
      </w:r>
    </w:p>
    <w:p w14:paraId="109FA5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4" w:name="n6111"/>
      <w:bookmarkEnd w:id="7854"/>
      <w:r w:rsidRPr="008B264B">
        <w:rPr>
          <w:rFonts w:ascii="Times New Roman" w:eastAsia="Times New Roman" w:hAnsi="Times New Roman" w:cs="Times New Roman"/>
          <w:color w:val="000000"/>
          <w:sz w:val="24"/>
          <w:szCs w:val="24"/>
          <w:lang/>
        </w:rPr>
        <w:t>250.11. Контроль за тимчасовим зберіганням радіоактивних відходів їх виробниками понад установлений особливими умовами ліцензії строк здійснюється органом державного регулювання ядерної та радіаційної безпеки та органом державної санітарно-епідеміологічної служби.</w:t>
      </w:r>
    </w:p>
    <w:p w14:paraId="579BB6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5" w:name="n6112"/>
      <w:bookmarkEnd w:id="7855"/>
      <w:r w:rsidRPr="008B264B">
        <w:rPr>
          <w:rFonts w:ascii="Times New Roman" w:eastAsia="Times New Roman" w:hAnsi="Times New Roman" w:cs="Times New Roman"/>
          <w:i/>
          <w:iCs/>
          <w:color w:val="000000"/>
          <w:sz w:val="24"/>
          <w:szCs w:val="24"/>
          <w:lang/>
        </w:rPr>
        <w:t>{Пункт 250.11 статті 250 із змінами, внесеними згідно із Законом </w:t>
      </w:r>
      <w:hyperlink r:id="rId4465" w:anchor="n22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BB6FD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6" w:name="n6113"/>
      <w:bookmarkEnd w:id="7856"/>
      <w:r w:rsidRPr="008B264B">
        <w:rPr>
          <w:rFonts w:ascii="Times New Roman" w:eastAsia="Times New Roman" w:hAnsi="Times New Roman" w:cs="Times New Roman"/>
          <w:color w:val="000000"/>
          <w:sz w:val="24"/>
          <w:szCs w:val="24"/>
          <w:lang/>
        </w:rPr>
        <w:t>250.12. Контролюючі органи залучають за попереднім погодженням працівників органу виконавчої влади Автономної Республіки Крим з питань охорони навколишнього природного середовища та центрального органу виконавчої влади, що реалізує державну політику із здійснення державного нагляду (контролю) у сфері охорони навколишнього природного середовища для перевірки правильності визначення платниками податку фактичних обсягів викидів стаціонарними джерелами забруднення, скидів та розміщення відходів.</w:t>
      </w:r>
    </w:p>
    <w:p w14:paraId="06249C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7" w:name="n6114"/>
      <w:bookmarkEnd w:id="7857"/>
      <w:r w:rsidRPr="008B264B">
        <w:rPr>
          <w:rFonts w:ascii="Times New Roman" w:eastAsia="Times New Roman" w:hAnsi="Times New Roman" w:cs="Times New Roman"/>
          <w:i/>
          <w:iCs/>
          <w:color w:val="000000"/>
          <w:sz w:val="24"/>
          <w:szCs w:val="24"/>
          <w:lang/>
        </w:rPr>
        <w:t>{Абзац перший пункту 250.12 статті 250 із змінами, внесеними згідно із Законом </w:t>
      </w:r>
      <w:hyperlink r:id="rId4466" w:anchor="n22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58968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8" w:name="n6115"/>
      <w:bookmarkEnd w:id="7858"/>
      <w:r w:rsidRPr="008B264B">
        <w:rPr>
          <w:rFonts w:ascii="Times New Roman" w:eastAsia="Times New Roman" w:hAnsi="Times New Roman" w:cs="Times New Roman"/>
          <w:color w:val="000000"/>
          <w:sz w:val="24"/>
          <w:szCs w:val="24"/>
          <w:lang/>
        </w:rPr>
        <w:t>Контролюючі органи залучають за попереднім погодженням працівників органу державної санітарно-епідеміологічної служби та органу державного регулювання ядерної та радіаційної безпеки для перевірки правильності визначення платниками фактичних обсягів радіоактивних відходів.</w:t>
      </w:r>
    </w:p>
    <w:p w14:paraId="43859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59" w:name="n6116"/>
      <w:bookmarkEnd w:id="7859"/>
      <w:r w:rsidRPr="008B264B">
        <w:rPr>
          <w:rFonts w:ascii="Times New Roman" w:eastAsia="Times New Roman" w:hAnsi="Times New Roman" w:cs="Times New Roman"/>
          <w:i/>
          <w:iCs/>
          <w:color w:val="000000"/>
          <w:sz w:val="24"/>
          <w:szCs w:val="24"/>
          <w:lang/>
        </w:rPr>
        <w:t>{Абзац другий пункту 250.12 статті 250 із змінами, внесеними згідно із Законом </w:t>
      </w:r>
      <w:hyperlink r:id="rId4467" w:anchor="n22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80EC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0" w:name="n9333"/>
      <w:bookmarkEnd w:id="7860"/>
      <w:r w:rsidRPr="008B264B">
        <w:rPr>
          <w:rFonts w:ascii="Times New Roman" w:eastAsia="Times New Roman" w:hAnsi="Times New Roman" w:cs="Times New Roman"/>
          <w:i/>
          <w:iCs/>
          <w:color w:val="000000"/>
          <w:sz w:val="24"/>
          <w:szCs w:val="24"/>
          <w:lang/>
        </w:rPr>
        <w:t>{Пункт 250.13 статті 250 виключено на підставі Закону </w:t>
      </w:r>
      <w:hyperlink r:id="rId4468"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9BF78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1" w:name="n9341"/>
      <w:bookmarkEnd w:id="7861"/>
      <w:r w:rsidRPr="008B264B">
        <w:rPr>
          <w:rFonts w:ascii="Times New Roman" w:eastAsia="Times New Roman" w:hAnsi="Times New Roman" w:cs="Times New Roman"/>
          <w:i/>
          <w:iCs/>
          <w:color w:val="000000"/>
          <w:sz w:val="24"/>
          <w:szCs w:val="24"/>
          <w:lang/>
        </w:rPr>
        <w:t>{Пункт 250.14 статті 250 виключено на підставі Закону </w:t>
      </w:r>
      <w:hyperlink r:id="rId4469"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717881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2" w:name="n9357"/>
      <w:bookmarkEnd w:id="7862"/>
      <w:r w:rsidRPr="008B264B">
        <w:rPr>
          <w:rFonts w:ascii="Times New Roman" w:eastAsia="Times New Roman" w:hAnsi="Times New Roman" w:cs="Times New Roman"/>
          <w:i/>
          <w:iCs/>
          <w:color w:val="000000"/>
          <w:sz w:val="24"/>
          <w:szCs w:val="24"/>
          <w:lang/>
        </w:rPr>
        <w:t>{Пункт 250.15 статті 250 виключено на підставі Закону </w:t>
      </w:r>
      <w:hyperlink r:id="rId4470"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371BCA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3" w:name="n9358"/>
      <w:bookmarkEnd w:id="7863"/>
      <w:r w:rsidRPr="008B264B">
        <w:rPr>
          <w:rFonts w:ascii="Times New Roman" w:eastAsia="Times New Roman" w:hAnsi="Times New Roman" w:cs="Times New Roman"/>
          <w:i/>
          <w:iCs/>
          <w:color w:val="000000"/>
          <w:sz w:val="24"/>
          <w:szCs w:val="24"/>
          <w:lang/>
        </w:rPr>
        <w:t>{Пункт 250.16 статті 250 виключено на підставі Закону </w:t>
      </w:r>
      <w:hyperlink r:id="rId4471"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404635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4" w:name="n9359"/>
      <w:bookmarkEnd w:id="7864"/>
      <w:r w:rsidRPr="008B264B">
        <w:rPr>
          <w:rFonts w:ascii="Times New Roman" w:eastAsia="Times New Roman" w:hAnsi="Times New Roman" w:cs="Times New Roman"/>
          <w:i/>
          <w:iCs/>
          <w:color w:val="000000"/>
          <w:sz w:val="24"/>
          <w:szCs w:val="24"/>
          <w:lang/>
        </w:rPr>
        <w:lastRenderedPageBreak/>
        <w:t>{Пункт 250.17 статті 250 виключено на підставі Закону </w:t>
      </w:r>
      <w:hyperlink r:id="rId4472"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6091A6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5" w:name="n9360"/>
      <w:bookmarkEnd w:id="7865"/>
      <w:r w:rsidRPr="008B264B">
        <w:rPr>
          <w:rFonts w:ascii="Times New Roman" w:eastAsia="Times New Roman" w:hAnsi="Times New Roman" w:cs="Times New Roman"/>
          <w:i/>
          <w:iCs/>
          <w:color w:val="000000"/>
          <w:sz w:val="24"/>
          <w:szCs w:val="24"/>
          <w:lang/>
        </w:rPr>
        <w:t>{Пункт 250.18 статті 250 виключено на підставі Закону </w:t>
      </w:r>
      <w:hyperlink r:id="rId4473"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4EA44E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6" w:name="n9365"/>
      <w:bookmarkEnd w:id="7866"/>
      <w:r w:rsidRPr="008B264B">
        <w:rPr>
          <w:rFonts w:ascii="Times New Roman" w:eastAsia="Times New Roman" w:hAnsi="Times New Roman" w:cs="Times New Roman"/>
          <w:i/>
          <w:iCs/>
          <w:color w:val="000000"/>
          <w:sz w:val="24"/>
          <w:szCs w:val="24"/>
          <w:lang/>
        </w:rPr>
        <w:t>{Пункт 250.19 статті 250 виключено на підставі Закону </w:t>
      </w:r>
      <w:hyperlink r:id="rId4474" w:anchor="n26" w:tgtFrame="_blank" w:history="1">
        <w:r w:rsidRPr="008B264B">
          <w:rPr>
            <w:rFonts w:ascii="Times New Roman" w:eastAsia="Times New Roman" w:hAnsi="Times New Roman" w:cs="Times New Roman"/>
            <w:i/>
            <w:iCs/>
            <w:color w:val="0000FF"/>
            <w:sz w:val="24"/>
            <w:szCs w:val="24"/>
            <w:u w:val="single"/>
            <w:lang/>
          </w:rPr>
          <w:t>№ 1191-VII від 08.04.2014</w:t>
        </w:r>
      </w:hyperlink>
      <w:r w:rsidRPr="008B264B">
        <w:rPr>
          <w:rFonts w:ascii="Times New Roman" w:eastAsia="Times New Roman" w:hAnsi="Times New Roman" w:cs="Times New Roman"/>
          <w:i/>
          <w:iCs/>
          <w:color w:val="000000"/>
          <w:sz w:val="24"/>
          <w:szCs w:val="24"/>
          <w:lang/>
        </w:rPr>
        <w:t>}</w:t>
      </w:r>
    </w:p>
    <w:p w14:paraId="10646F80"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7867" w:name="n6117"/>
      <w:bookmarkEnd w:id="7867"/>
      <w:r w:rsidRPr="008B264B">
        <w:rPr>
          <w:rFonts w:ascii="Times New Roman" w:eastAsia="Times New Roman" w:hAnsi="Times New Roman" w:cs="Times New Roman"/>
          <w:b/>
          <w:bCs/>
          <w:color w:val="000000"/>
          <w:sz w:val="28"/>
          <w:szCs w:val="28"/>
          <w:lang/>
        </w:rPr>
        <w:t>РОЗДІЛ IX. РЕНТНА ПЛАТА</w:t>
      </w:r>
    </w:p>
    <w:p w14:paraId="781643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8" w:name="n11431"/>
      <w:bookmarkEnd w:id="7868"/>
      <w:r w:rsidRPr="008B264B">
        <w:rPr>
          <w:rFonts w:ascii="Times New Roman" w:eastAsia="Times New Roman" w:hAnsi="Times New Roman" w:cs="Times New Roman"/>
          <w:b/>
          <w:bCs/>
          <w:color w:val="000000"/>
          <w:sz w:val="24"/>
          <w:szCs w:val="24"/>
          <w:lang/>
        </w:rPr>
        <w:t>Стаття 251. </w:t>
      </w:r>
      <w:r w:rsidRPr="008B264B">
        <w:rPr>
          <w:rFonts w:ascii="Times New Roman" w:eastAsia="Times New Roman" w:hAnsi="Times New Roman" w:cs="Times New Roman"/>
          <w:color w:val="000000"/>
          <w:sz w:val="24"/>
          <w:szCs w:val="24"/>
          <w:lang/>
        </w:rPr>
        <w:t>Склад рентної плати</w:t>
      </w:r>
    </w:p>
    <w:p w14:paraId="092E93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69" w:name="n11432"/>
      <w:bookmarkEnd w:id="7869"/>
      <w:r w:rsidRPr="008B264B">
        <w:rPr>
          <w:rFonts w:ascii="Times New Roman" w:eastAsia="Times New Roman" w:hAnsi="Times New Roman" w:cs="Times New Roman"/>
          <w:color w:val="000000"/>
          <w:sz w:val="24"/>
          <w:szCs w:val="24"/>
          <w:lang/>
        </w:rPr>
        <w:t>251.1. Рентна плата складається з:</w:t>
      </w:r>
    </w:p>
    <w:p w14:paraId="5ACFC9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0" w:name="n11433"/>
      <w:bookmarkEnd w:id="7870"/>
      <w:r w:rsidRPr="008B264B">
        <w:rPr>
          <w:rFonts w:ascii="Times New Roman" w:eastAsia="Times New Roman" w:hAnsi="Times New Roman" w:cs="Times New Roman"/>
          <w:color w:val="000000"/>
          <w:sz w:val="24"/>
          <w:szCs w:val="24"/>
          <w:lang/>
        </w:rPr>
        <w:t>251.1.1. рентної плати за користування надрами для видобування корисних копалин;</w:t>
      </w:r>
    </w:p>
    <w:p w14:paraId="7080B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1" w:name="n11434"/>
      <w:bookmarkEnd w:id="7871"/>
      <w:r w:rsidRPr="008B264B">
        <w:rPr>
          <w:rFonts w:ascii="Times New Roman" w:eastAsia="Times New Roman" w:hAnsi="Times New Roman" w:cs="Times New Roman"/>
          <w:color w:val="000000"/>
          <w:sz w:val="24"/>
          <w:szCs w:val="24"/>
          <w:lang/>
        </w:rPr>
        <w:t>251.1.2. рентної плати за користування надрами в цілях, не пов’язаних з видобуванням корисних копалин;</w:t>
      </w:r>
    </w:p>
    <w:p w14:paraId="15B7DC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2" w:name="n11435"/>
      <w:bookmarkEnd w:id="7872"/>
      <w:r w:rsidRPr="008B264B">
        <w:rPr>
          <w:rFonts w:ascii="Times New Roman" w:eastAsia="Times New Roman" w:hAnsi="Times New Roman" w:cs="Times New Roman"/>
          <w:color w:val="000000"/>
          <w:sz w:val="24"/>
          <w:szCs w:val="24"/>
          <w:lang/>
        </w:rPr>
        <w:t>251.1.3. рентної плати за користування радіочастотним ресурсом України;</w:t>
      </w:r>
    </w:p>
    <w:p w14:paraId="49A272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3" w:name="n11436"/>
      <w:bookmarkEnd w:id="7873"/>
      <w:r w:rsidRPr="008B264B">
        <w:rPr>
          <w:rFonts w:ascii="Times New Roman" w:eastAsia="Times New Roman" w:hAnsi="Times New Roman" w:cs="Times New Roman"/>
          <w:color w:val="000000"/>
          <w:sz w:val="24"/>
          <w:szCs w:val="24"/>
          <w:lang/>
        </w:rPr>
        <w:t>251.1.4. рентної плати за спеціальне використання води;</w:t>
      </w:r>
    </w:p>
    <w:p w14:paraId="781301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4" w:name="n11437"/>
      <w:bookmarkEnd w:id="7874"/>
      <w:r w:rsidRPr="008B264B">
        <w:rPr>
          <w:rFonts w:ascii="Times New Roman" w:eastAsia="Times New Roman" w:hAnsi="Times New Roman" w:cs="Times New Roman"/>
          <w:color w:val="000000"/>
          <w:sz w:val="24"/>
          <w:szCs w:val="24"/>
          <w:lang/>
        </w:rPr>
        <w:t>251.1.5. рентної плати за спеціальне використання лісових ресурсів;</w:t>
      </w:r>
    </w:p>
    <w:p w14:paraId="0C2F00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5" w:name="n11438"/>
      <w:bookmarkEnd w:id="7875"/>
      <w:r w:rsidRPr="008B264B">
        <w:rPr>
          <w:rFonts w:ascii="Times New Roman" w:eastAsia="Times New Roman" w:hAnsi="Times New Roman" w:cs="Times New Roman"/>
          <w:color w:val="000000"/>
          <w:sz w:val="24"/>
          <w:szCs w:val="24"/>
          <w:lang/>
        </w:rPr>
        <w:t>251.1.6. рентної плати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w:t>
      </w:r>
    </w:p>
    <w:p w14:paraId="0234C6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6" w:name="n12899"/>
      <w:bookmarkEnd w:id="7876"/>
      <w:r w:rsidRPr="008B264B">
        <w:rPr>
          <w:rFonts w:ascii="Times New Roman" w:eastAsia="Times New Roman" w:hAnsi="Times New Roman" w:cs="Times New Roman"/>
          <w:i/>
          <w:iCs/>
          <w:color w:val="000000"/>
          <w:sz w:val="24"/>
          <w:szCs w:val="24"/>
          <w:lang/>
        </w:rPr>
        <w:t>{Підпункт 251.1.6 пункту 251.1 статті 251 із змінами, внесеними згідно із Законом </w:t>
      </w:r>
      <w:hyperlink r:id="rId4475" w:anchor="n52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DB441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7" w:name="n11439"/>
      <w:bookmarkEnd w:id="7877"/>
      <w:r w:rsidRPr="008B264B">
        <w:rPr>
          <w:rFonts w:ascii="Times New Roman" w:eastAsia="Times New Roman" w:hAnsi="Times New Roman" w:cs="Times New Roman"/>
          <w:b/>
          <w:bCs/>
          <w:color w:val="000000"/>
          <w:sz w:val="24"/>
          <w:szCs w:val="24"/>
          <w:lang/>
        </w:rPr>
        <w:t>Стаття 252. </w:t>
      </w:r>
      <w:r w:rsidRPr="008B264B">
        <w:rPr>
          <w:rFonts w:ascii="Times New Roman" w:eastAsia="Times New Roman" w:hAnsi="Times New Roman" w:cs="Times New Roman"/>
          <w:color w:val="000000"/>
          <w:sz w:val="24"/>
          <w:szCs w:val="24"/>
          <w:lang/>
        </w:rPr>
        <w:t>Рентна плата за користування надрами для видобування корисних копалин</w:t>
      </w:r>
    </w:p>
    <w:p w14:paraId="472EF0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8" w:name="n11440"/>
      <w:bookmarkEnd w:id="7878"/>
      <w:r w:rsidRPr="008B264B">
        <w:rPr>
          <w:rFonts w:ascii="Times New Roman" w:eastAsia="Times New Roman" w:hAnsi="Times New Roman" w:cs="Times New Roman"/>
          <w:color w:val="000000"/>
          <w:sz w:val="24"/>
          <w:szCs w:val="24"/>
          <w:lang/>
        </w:rPr>
        <w:t>252.1. Платники рентної плати за користування надрами для видобування корисних копалин (далі - платники рентної плати)</w:t>
      </w:r>
    </w:p>
    <w:p w14:paraId="6EDF6B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79" w:name="n11441"/>
      <w:bookmarkEnd w:id="7879"/>
      <w:r w:rsidRPr="008B264B">
        <w:rPr>
          <w:rFonts w:ascii="Times New Roman" w:eastAsia="Times New Roman" w:hAnsi="Times New Roman" w:cs="Times New Roman"/>
          <w:color w:val="000000"/>
          <w:sz w:val="24"/>
          <w:szCs w:val="24"/>
          <w:lang/>
        </w:rPr>
        <w:t>252.1.1. Платниками рентної плати за користування надрами для видобування корисних копалин є суб’єкти господарювання, у тому числі громадяни України, іноземці та особи без громадянства, зареєстровані відповідно до закону як підприємці, які набули права користування об’єктом (ділянкою) надр на підставі отриманих спеціальних дозволів на користування надрами (далі - спеціальний дозвіл) в межах конкретних ділянок надр з метою провадження господарської діяльності з видобування корисних копалин, у тому числі під час геологічного вивчення (або геологічного вивчення з подальшою дослідно-промисловою розробкою) в межах зазначених у таких спеціальних дозволах об’єктах (ділянках) надр.</w:t>
      </w:r>
    </w:p>
    <w:p w14:paraId="0C3E48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0" w:name="n11442"/>
      <w:bookmarkEnd w:id="7880"/>
      <w:r w:rsidRPr="008B264B">
        <w:rPr>
          <w:rFonts w:ascii="Times New Roman" w:eastAsia="Times New Roman" w:hAnsi="Times New Roman" w:cs="Times New Roman"/>
          <w:color w:val="000000"/>
          <w:sz w:val="24"/>
          <w:szCs w:val="24"/>
          <w:lang/>
        </w:rPr>
        <w:t>252.1.2. У разі укладення власниками спеціальних дозволів з третіми особами договорів на виконання робіт (послуг), пов’язаних з використанням надр, у тому числі (але не виключно) за операціями з давальницькою сировиною, платниками рентної плати за користування надрами для видобування корисних копалин є власники таких спеціальних дозволів.</w:t>
      </w:r>
    </w:p>
    <w:p w14:paraId="4C7A2C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1" w:name="n11443"/>
      <w:bookmarkEnd w:id="7881"/>
      <w:r w:rsidRPr="008B264B">
        <w:rPr>
          <w:rFonts w:ascii="Times New Roman" w:eastAsia="Times New Roman" w:hAnsi="Times New Roman" w:cs="Times New Roman"/>
          <w:color w:val="000000"/>
          <w:sz w:val="24"/>
          <w:szCs w:val="24"/>
          <w:lang/>
        </w:rPr>
        <w:t>252.1.3. Платником рентної плати за користування надрами для видобування корисних копалин під час виконання договорів про спільну діяльність без утворення юридичної особи є уповноважена особа - один із учасників такого договору, на якого згідно з його умовами покладено обов’язок нарахування, утримання та внесення податків і зборів до бюджету з єдиного поточного рахунку спільної діяльності (далі - уповноважена особа), за умови, що один з учасників зазначеного договору має відповідний спеціальний дозвіл. Облік результатів спільної діяльності ведеться таким учасником окремо від обліку його господарської діяльності. Такий учасник додатково береться на облік як платник рентної плати за користування надрами для видобування корисних копалин у порядку, визначеному цим Кодексом.</w:t>
      </w:r>
    </w:p>
    <w:p w14:paraId="06190E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2" w:name="n11444"/>
      <w:bookmarkEnd w:id="7882"/>
      <w:r w:rsidRPr="008B264B">
        <w:rPr>
          <w:rFonts w:ascii="Times New Roman" w:eastAsia="Times New Roman" w:hAnsi="Times New Roman" w:cs="Times New Roman"/>
          <w:color w:val="000000"/>
          <w:sz w:val="24"/>
          <w:szCs w:val="24"/>
          <w:lang/>
        </w:rPr>
        <w:t xml:space="preserve">252.1.4. Платниками рентної плати за користування надрами для видобування корисних копалин є землевласники та землекористувачі, крім суб’єктів підприємництва, які відповідно до </w:t>
      </w:r>
      <w:r w:rsidRPr="008B264B">
        <w:rPr>
          <w:rFonts w:ascii="Times New Roman" w:eastAsia="Times New Roman" w:hAnsi="Times New Roman" w:cs="Times New Roman"/>
          <w:color w:val="000000"/>
          <w:sz w:val="24"/>
          <w:szCs w:val="24"/>
          <w:lang/>
        </w:rPr>
        <w:lastRenderedPageBreak/>
        <w:t>законодавства відносяться до фермерських господарств, що провадять господарську діяльність з видобування підземних вод на підставі дозволів на спеціальне водокористування.</w:t>
      </w:r>
    </w:p>
    <w:p w14:paraId="0A54F9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3" w:name="n11445"/>
      <w:bookmarkEnd w:id="7883"/>
      <w:r w:rsidRPr="008B264B">
        <w:rPr>
          <w:rFonts w:ascii="Times New Roman" w:eastAsia="Times New Roman" w:hAnsi="Times New Roman" w:cs="Times New Roman"/>
          <w:color w:val="000000"/>
          <w:sz w:val="24"/>
          <w:szCs w:val="24"/>
          <w:lang/>
        </w:rPr>
        <w:t>252.1.5. Платниками рентної плати за користування надрами для видобування корисних копалин є землевласники та землекористувачі, крім суб’єктів підприємництва, які відповідно до законодавства відносяться до фермерських господарств, - громадяни України, іноземці та особи без громадянства, що в межах наданих їм земельних ділянок, розмір яких перевищує норми, передбачені </w:t>
      </w:r>
      <w:hyperlink r:id="rId4476" w:anchor="n1031" w:tgtFrame="_blank" w:history="1">
        <w:r w:rsidRPr="008B264B">
          <w:rPr>
            <w:rFonts w:ascii="Times New Roman" w:eastAsia="Times New Roman" w:hAnsi="Times New Roman" w:cs="Times New Roman"/>
            <w:color w:val="0000FF"/>
            <w:sz w:val="24"/>
            <w:szCs w:val="24"/>
            <w:u w:val="single"/>
            <w:lang/>
          </w:rPr>
          <w:t>статтею 121</w:t>
        </w:r>
      </w:hyperlink>
      <w:r w:rsidRPr="008B264B">
        <w:rPr>
          <w:rFonts w:ascii="Times New Roman" w:eastAsia="Times New Roman" w:hAnsi="Times New Roman" w:cs="Times New Roman"/>
          <w:color w:val="000000"/>
          <w:sz w:val="24"/>
          <w:szCs w:val="24"/>
          <w:lang/>
        </w:rPr>
        <w:t> Земельного кодексу України, видобувають прісні підземні води із застосуванням електричних пристроїв у обсязі понад 13 кубічних метрів на особу в місяць (за показниками лічильників).</w:t>
      </w:r>
    </w:p>
    <w:p w14:paraId="78F8AB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4" w:name="n14347"/>
      <w:bookmarkEnd w:id="7884"/>
      <w:r w:rsidRPr="008B264B">
        <w:rPr>
          <w:rFonts w:ascii="Times New Roman" w:eastAsia="Times New Roman" w:hAnsi="Times New Roman" w:cs="Times New Roman"/>
          <w:color w:val="000000"/>
          <w:sz w:val="24"/>
          <w:szCs w:val="24"/>
          <w:lang/>
        </w:rPr>
        <w:t>252.1.6. Платниками рентної плати за користування надрами для видобування корисних копалин є суб’єкти господарювання, які виконують роботи, для проведення яких необхідно отримання погодження центрального органу виконавчої влади, що реалізує державну політику у сфері геологічного вивчення та раціонального використання надр.</w:t>
      </w:r>
    </w:p>
    <w:p w14:paraId="76DF6C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5" w:name="n14346"/>
      <w:bookmarkEnd w:id="7885"/>
      <w:r w:rsidRPr="008B264B">
        <w:rPr>
          <w:rFonts w:ascii="Times New Roman" w:eastAsia="Times New Roman" w:hAnsi="Times New Roman" w:cs="Times New Roman"/>
          <w:i/>
          <w:iCs/>
          <w:color w:val="000000"/>
          <w:sz w:val="24"/>
          <w:szCs w:val="24"/>
          <w:lang/>
        </w:rPr>
        <w:t>{Пункт 252.1 статті 252 доповнено підпунктом 252.1.6 згідно із Законом </w:t>
      </w:r>
      <w:hyperlink r:id="rId4477" w:anchor="n131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45FF9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6" w:name="n11446"/>
      <w:bookmarkEnd w:id="7886"/>
      <w:r w:rsidRPr="008B264B">
        <w:rPr>
          <w:rFonts w:ascii="Times New Roman" w:eastAsia="Times New Roman" w:hAnsi="Times New Roman" w:cs="Times New Roman"/>
          <w:color w:val="000000"/>
          <w:sz w:val="24"/>
          <w:szCs w:val="24"/>
          <w:lang/>
        </w:rPr>
        <w:t>252.2. Платники рентної плати за користування надрами для видобування корисних копалин здійснюють для цілей оподаткування окремий (від інших видів операційної діяльності) бухгалтерський та податковий облік витрат і доходів за кожним видом мінеральної сировини за кожним об’єктом надр, на який надано спеціальний дозвіл.</w:t>
      </w:r>
    </w:p>
    <w:p w14:paraId="20EEE6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7" w:name="n11447"/>
      <w:bookmarkEnd w:id="7887"/>
      <w:r w:rsidRPr="008B264B">
        <w:rPr>
          <w:rFonts w:ascii="Times New Roman" w:eastAsia="Times New Roman" w:hAnsi="Times New Roman" w:cs="Times New Roman"/>
          <w:color w:val="000000"/>
          <w:sz w:val="24"/>
          <w:szCs w:val="24"/>
          <w:lang/>
        </w:rPr>
        <w:t>252.3. Об’єктом оподаткування рентною платою за користування надрами для видобування корисних копалин по кожній наданій у користування ділянці надр, що визначена у відповідному спеціальному дозволі, є обсяг товарної продукції гірничого підприємства - видобутої корисної копалини (мінеральної сировини), що є результатом господарської діяльності з видобування корисних копалин у податковому (звітному) періоді, приведеної у відповідність із стандартом, встановленим галузевим законодавством, до якої належать:</w:t>
      </w:r>
    </w:p>
    <w:p w14:paraId="0817AF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8" w:name="n11448"/>
      <w:bookmarkEnd w:id="7888"/>
      <w:r w:rsidRPr="008B264B">
        <w:rPr>
          <w:rFonts w:ascii="Times New Roman" w:eastAsia="Times New Roman" w:hAnsi="Times New Roman" w:cs="Times New Roman"/>
          <w:color w:val="000000"/>
          <w:sz w:val="24"/>
          <w:szCs w:val="24"/>
          <w:lang/>
        </w:rPr>
        <w:t>252.3.1. обсяг товарної продукції гірничого підприємства - видобутої корисної копалини (мінеральної сировини), що є результатом господарської діяльності з видобування корисних копалин з надр на території України, її континентального шельфу і виключної (морської) економічної зони, у тому числі обсяг мінеральної сировини, що утворюється в результаті виконання первинної переробки, що провадиться іншими, ніж платник рентної плати, суб’єктами господарювання на умовах господарських договорів про послуги з давальницькою сировиною;</w:t>
      </w:r>
    </w:p>
    <w:p w14:paraId="0FBAEB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89" w:name="n11449"/>
      <w:bookmarkEnd w:id="7889"/>
      <w:r w:rsidRPr="008B264B">
        <w:rPr>
          <w:rFonts w:ascii="Times New Roman" w:eastAsia="Times New Roman" w:hAnsi="Times New Roman" w:cs="Times New Roman"/>
          <w:color w:val="000000"/>
          <w:sz w:val="24"/>
          <w:szCs w:val="24"/>
          <w:lang/>
        </w:rPr>
        <w:t>252.3.2. обсяг товарної продукції гірничого підприємства - видобутої корисної копалини (мінеральної сировини), що є результатом господарської діяльності з видобування корисних копалин з відходів (втрат, хвостів тощо) гірничого виробництва, у тому числі обсяг мінеральної сировини, що утворюється в результаті виконання первинної переробки, що провадиться іншими, ніж платник рентної плати, суб’єктами господарювання на умовах господарських договорів про послуги з давальницькою сировиною, якщо для її видобутку відповідно до законодавства необхідно отримати спеціальний дозвіл.</w:t>
      </w:r>
    </w:p>
    <w:p w14:paraId="10D6E5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0" w:name="n14349"/>
      <w:bookmarkEnd w:id="7890"/>
      <w:r w:rsidRPr="008B264B">
        <w:rPr>
          <w:rFonts w:ascii="Times New Roman" w:eastAsia="Times New Roman" w:hAnsi="Times New Roman" w:cs="Times New Roman"/>
          <w:color w:val="000000"/>
          <w:sz w:val="24"/>
          <w:szCs w:val="24"/>
          <w:lang/>
        </w:rPr>
        <w:t>252.3.3. обсяг товарної продукції - видобутої корисної копалини (мінеральної сировини), що є результатом господарської діяльності з видобування корисних копалин з надр на території України, її континентального шельфу і виключної (морської) економічної зони, у тому числі обсяг мінеральної сировини, що утворюється під час виконання робіт, для проведення яких необхідно отримання погодження центрального органу виконавчої влади, що реалізує державну політику у сфері геологічного вивчення та раціонального використання надр, у тому числі під час виконання робіт в акваторіях водних об’єктів.</w:t>
      </w:r>
    </w:p>
    <w:p w14:paraId="1F33F7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1" w:name="n14348"/>
      <w:bookmarkEnd w:id="7891"/>
      <w:r w:rsidRPr="008B264B">
        <w:rPr>
          <w:rFonts w:ascii="Times New Roman" w:eastAsia="Times New Roman" w:hAnsi="Times New Roman" w:cs="Times New Roman"/>
          <w:i/>
          <w:iCs/>
          <w:color w:val="000000"/>
          <w:sz w:val="24"/>
          <w:szCs w:val="24"/>
          <w:lang/>
        </w:rPr>
        <w:t>{Пункт 252.3 статті 252 доповнено підпунктом 252.3.3 згідно із Законом </w:t>
      </w:r>
      <w:hyperlink r:id="rId4478" w:anchor="n13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ACC0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2" w:name="n11450"/>
      <w:bookmarkEnd w:id="7892"/>
      <w:r w:rsidRPr="008B264B">
        <w:rPr>
          <w:rFonts w:ascii="Times New Roman" w:eastAsia="Times New Roman" w:hAnsi="Times New Roman" w:cs="Times New Roman"/>
          <w:color w:val="000000"/>
          <w:sz w:val="24"/>
          <w:szCs w:val="24"/>
          <w:lang/>
        </w:rPr>
        <w:t>252.4. До об’єкта оподаткування рентною платою за користування надрами для видобування корисних копалин не належать:</w:t>
      </w:r>
    </w:p>
    <w:p w14:paraId="2963C3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3" w:name="n11451"/>
      <w:bookmarkEnd w:id="7893"/>
      <w:r w:rsidRPr="008B264B">
        <w:rPr>
          <w:rFonts w:ascii="Times New Roman" w:eastAsia="Times New Roman" w:hAnsi="Times New Roman" w:cs="Times New Roman"/>
          <w:color w:val="000000"/>
          <w:sz w:val="24"/>
          <w:szCs w:val="24"/>
          <w:lang/>
        </w:rPr>
        <w:lastRenderedPageBreak/>
        <w:t>252.4.1. не включені до державного балансу запасів корисних копалин корисні копалини місцевого значення і торф, видобуті землевласниками та землекористувачами для власного споживання, якщо їх використання не передбачає отримання економічної вигоди з передачею чи без передачі права власності на них, загальною глибиною розробки до двох метрів, і прісні підземні води до 20 метрів;</w:t>
      </w:r>
    </w:p>
    <w:p w14:paraId="734B38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4" w:name="n11452"/>
      <w:bookmarkEnd w:id="7894"/>
      <w:r w:rsidRPr="008B264B">
        <w:rPr>
          <w:rFonts w:ascii="Times New Roman" w:eastAsia="Times New Roman" w:hAnsi="Times New Roman" w:cs="Times New Roman"/>
          <w:color w:val="000000"/>
          <w:sz w:val="24"/>
          <w:szCs w:val="24"/>
          <w:lang/>
        </w:rPr>
        <w:t>252.4.2. видобуті (зібрані) мінералогічні, палеонтологічні та інші геологічні колекційні зразки, якщо їх використання не передбачає отримання економічної вигоди з передачею чи без передачі права власності на них;</w:t>
      </w:r>
    </w:p>
    <w:p w14:paraId="27B526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5" w:name="n11453"/>
      <w:bookmarkEnd w:id="7895"/>
      <w:r w:rsidRPr="008B264B">
        <w:rPr>
          <w:rFonts w:ascii="Times New Roman" w:eastAsia="Times New Roman" w:hAnsi="Times New Roman" w:cs="Times New Roman"/>
          <w:color w:val="000000"/>
          <w:sz w:val="24"/>
          <w:szCs w:val="24"/>
          <w:lang/>
        </w:rPr>
        <w:t>252.4.3. корисні копалини, видобуті з надр під час створення, використання, реконструкції геологічних об’єктів природно-заповідного фонду, якщо використання цих корисних копалин не передбачає отримання економічної вигоди з передачею чи без передачі права власності на них;</w:t>
      </w:r>
    </w:p>
    <w:p w14:paraId="6B8B29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6" w:name="n11454"/>
      <w:bookmarkEnd w:id="7896"/>
      <w:r w:rsidRPr="008B264B">
        <w:rPr>
          <w:rFonts w:ascii="Times New Roman" w:eastAsia="Times New Roman" w:hAnsi="Times New Roman" w:cs="Times New Roman"/>
          <w:color w:val="000000"/>
          <w:sz w:val="24"/>
          <w:szCs w:val="24"/>
          <w:lang/>
        </w:rPr>
        <w:t>252.4.4. дренажні та супутньо-пластові підземні води, які не враховуються в державному балансі запасів корисних копалин, що видобуваються під час розробки родовищ корисних копалин або під час будівництва та експлуатації підземних споруд, і використання яких не передбачає отримання економічної вигоди з передачею чи без передачі права власності на них, у тому числі від використання для власних технологічних потреб, за винятком обсягів, які використовуються для власних технологічних потреб, пов’язаних з видобуванням корисних копалин;</w:t>
      </w:r>
    </w:p>
    <w:p w14:paraId="54C0D8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7" w:name="n11455"/>
      <w:bookmarkEnd w:id="7897"/>
      <w:r w:rsidRPr="008B264B">
        <w:rPr>
          <w:rFonts w:ascii="Times New Roman" w:eastAsia="Times New Roman" w:hAnsi="Times New Roman" w:cs="Times New Roman"/>
          <w:color w:val="000000"/>
          <w:sz w:val="24"/>
          <w:szCs w:val="24"/>
          <w:lang/>
        </w:rPr>
        <w:t>252.4.5. видобуті корисні копалини, які без набуття та/або збереження платником права власності на такі корисні копалини відповідно до затвердженого в установленому законодавством порядку технологічного проекту розробки запасів корисних копалин відповідної ділянки надр спрямовуються на формування запасів корисних копалин техногенного родовища;</w:t>
      </w:r>
    </w:p>
    <w:p w14:paraId="0546E5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8" w:name="n11456"/>
      <w:bookmarkEnd w:id="7898"/>
      <w:r w:rsidRPr="008B264B">
        <w:rPr>
          <w:rFonts w:ascii="Times New Roman" w:eastAsia="Times New Roman" w:hAnsi="Times New Roman" w:cs="Times New Roman"/>
          <w:color w:val="000000"/>
          <w:sz w:val="24"/>
          <w:szCs w:val="24"/>
          <w:lang/>
        </w:rPr>
        <w:t>252.4.6. обсяг природного газу, визнаного рециркулюючим відповідно до вимог цього Кодексу, який визначається платником рентної плати за показниками вимірювальних пристроїв, що зазначені у журналі обліку видобутих корисних копалин із дотриманням самостійно затверджених ним відповідно до вимог ліцензійних умов схем руху видобутої вуглеводневої сировини на виробничих дільницях та місцях зберігання з урахуванням складу вихідної сировини, умов конкретного виробництва, особливостей технологічного процесу;</w:t>
      </w:r>
    </w:p>
    <w:p w14:paraId="0BE25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899" w:name="n11457"/>
      <w:bookmarkEnd w:id="7899"/>
      <w:r w:rsidRPr="008B264B">
        <w:rPr>
          <w:rFonts w:ascii="Times New Roman" w:eastAsia="Times New Roman" w:hAnsi="Times New Roman" w:cs="Times New Roman"/>
          <w:color w:val="000000"/>
          <w:sz w:val="24"/>
          <w:szCs w:val="24"/>
          <w:lang/>
        </w:rPr>
        <w:t>252.4.7. обсяги мінеральних вод, що видобуті державними дитячими спеціалізованими санаторно-курортними закладами, в частині обсягів, що використовуються для лікування на їх території;</w:t>
      </w:r>
    </w:p>
    <w:p w14:paraId="063143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0" w:name="n14895"/>
      <w:bookmarkEnd w:id="7900"/>
      <w:r w:rsidRPr="008B264B">
        <w:rPr>
          <w:rFonts w:ascii="Times New Roman" w:eastAsia="Times New Roman" w:hAnsi="Times New Roman" w:cs="Times New Roman"/>
          <w:color w:val="000000"/>
          <w:sz w:val="24"/>
          <w:szCs w:val="24"/>
          <w:lang/>
        </w:rPr>
        <w:t>252.4.8. обсяг газу (метану) дегазації вугільних родовищ, який не відповідає вимогам до якості природного газу, призначеного для транспортування, промислового або комунально-побутового споживання;</w:t>
      </w:r>
    </w:p>
    <w:p w14:paraId="2B092D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1" w:name="n14894"/>
      <w:bookmarkEnd w:id="7901"/>
      <w:r w:rsidRPr="008B264B">
        <w:rPr>
          <w:rFonts w:ascii="Times New Roman" w:eastAsia="Times New Roman" w:hAnsi="Times New Roman" w:cs="Times New Roman"/>
          <w:i/>
          <w:iCs/>
          <w:color w:val="000000"/>
          <w:sz w:val="24"/>
          <w:szCs w:val="24"/>
          <w:lang/>
        </w:rPr>
        <w:t>{Пункт 252.4 статті 252 доповнено підпунктом 252.4.8 згідно із Законом </w:t>
      </w:r>
      <w:hyperlink r:id="rId4479" w:anchor="n33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A218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2" w:name="n15369"/>
      <w:bookmarkEnd w:id="7902"/>
      <w:r w:rsidRPr="008B264B">
        <w:rPr>
          <w:rFonts w:ascii="Times New Roman" w:eastAsia="Times New Roman" w:hAnsi="Times New Roman" w:cs="Times New Roman"/>
          <w:color w:val="000000"/>
          <w:sz w:val="24"/>
          <w:szCs w:val="24"/>
          <w:lang/>
        </w:rPr>
        <w:t>252.4.9. урановмісні корисні копалини, видобуті на стадії геологічного вивчення на підставі спеціальних дозволів, отриманих після 1 січня 2018 року.</w:t>
      </w:r>
    </w:p>
    <w:p w14:paraId="12AB51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3" w:name="n15368"/>
      <w:bookmarkEnd w:id="7903"/>
      <w:r w:rsidRPr="008B264B">
        <w:rPr>
          <w:rFonts w:ascii="Times New Roman" w:eastAsia="Times New Roman" w:hAnsi="Times New Roman" w:cs="Times New Roman"/>
          <w:i/>
          <w:iCs/>
          <w:color w:val="000000"/>
          <w:sz w:val="24"/>
          <w:szCs w:val="24"/>
          <w:lang/>
        </w:rPr>
        <w:t>{Пункт 252.4 статті 252 доповнено підпунктом 252.4.9 згідно із Законом </w:t>
      </w:r>
      <w:hyperlink r:id="rId4480" w:anchor="n60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1718F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4" w:name="n11458"/>
      <w:bookmarkEnd w:id="7904"/>
      <w:r w:rsidRPr="008B264B">
        <w:rPr>
          <w:rFonts w:ascii="Times New Roman" w:eastAsia="Times New Roman" w:hAnsi="Times New Roman" w:cs="Times New Roman"/>
          <w:color w:val="000000"/>
          <w:sz w:val="24"/>
          <w:szCs w:val="24"/>
          <w:lang/>
        </w:rPr>
        <w:t>252.5. Види товарної продукції гірничого підприємства - видобутої корисної копалини (мінеральної сировини) визначаються платником рентної плати відповідно до затверджених законодавством переліків видів корисних копалин, а також кодифікації товарів та послуг з урахуванням затверджених платником схем руху товарної продукції гірничого підприємства - видобутої корисної копалини (мінеральної сировини) на виробничих дільницях та місцях зберігання з урахуванням складу вихідної сировини, умов конкретного виробництва, особливостей технологічного процесу та вимог до кінцевої продукції.</w:t>
      </w:r>
    </w:p>
    <w:p w14:paraId="0C8F0B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5" w:name="n11459"/>
      <w:bookmarkEnd w:id="7905"/>
      <w:r w:rsidRPr="008B264B">
        <w:rPr>
          <w:rFonts w:ascii="Times New Roman" w:eastAsia="Times New Roman" w:hAnsi="Times New Roman" w:cs="Times New Roman"/>
          <w:color w:val="000000"/>
          <w:sz w:val="24"/>
          <w:szCs w:val="24"/>
          <w:lang/>
        </w:rPr>
        <w:lastRenderedPageBreak/>
        <w:t>252.6. Базою оподаткування рентною платою за користування надрами для видобування корисних копалин є вартість обсягів видобутих у податковому (звітному) періоді корисних копалин (мінеральної сировини), яка окремо обчислюється для кожного виду корисної копалини (мінеральної сировини) для кожної ділянки надр на базових умовах поставки (склад готової продукції гірничого підприємства).</w:t>
      </w:r>
    </w:p>
    <w:p w14:paraId="66C604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6" w:name="n11460"/>
      <w:bookmarkEnd w:id="7906"/>
      <w:r w:rsidRPr="008B264B">
        <w:rPr>
          <w:rFonts w:ascii="Times New Roman" w:eastAsia="Times New Roman" w:hAnsi="Times New Roman" w:cs="Times New Roman"/>
          <w:color w:val="000000"/>
          <w:sz w:val="24"/>
          <w:szCs w:val="24"/>
          <w:lang/>
        </w:rPr>
        <w:t>252.7. Вартість відповідного виду товарної продукції гірничого підприємства - видобутої корисної копалини (мінеральної сировини) у податковому (звітному) періоді обчислюється платником для кожної ділянки надр на базових умовах поставки (склад готової продукції гірничого підприємства) за більшою з таких її величин:</w:t>
      </w:r>
    </w:p>
    <w:p w14:paraId="55967B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7" w:name="n11461"/>
      <w:bookmarkEnd w:id="7907"/>
      <w:r w:rsidRPr="008B264B">
        <w:rPr>
          <w:rFonts w:ascii="Times New Roman" w:eastAsia="Times New Roman" w:hAnsi="Times New Roman" w:cs="Times New Roman"/>
          <w:color w:val="000000"/>
          <w:sz w:val="24"/>
          <w:szCs w:val="24"/>
          <w:lang/>
        </w:rPr>
        <w:t>252.7.1. за фактичними цінами реалізації відповідного виду товарної продукції гірничого підприємства - видобутої корисної копалини (мінеральної сировини);</w:t>
      </w:r>
    </w:p>
    <w:p w14:paraId="09195F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8" w:name="n11462"/>
      <w:bookmarkEnd w:id="7908"/>
      <w:r w:rsidRPr="008B264B">
        <w:rPr>
          <w:rFonts w:ascii="Times New Roman" w:eastAsia="Times New Roman" w:hAnsi="Times New Roman" w:cs="Times New Roman"/>
          <w:color w:val="000000"/>
          <w:sz w:val="24"/>
          <w:szCs w:val="24"/>
          <w:lang/>
        </w:rPr>
        <w:t>252.7.2. за розрахунковою вартістю відповідного виду товарної продукції гірничого підприємства - видобутої корисної копалини (мінеральної сировини), крім вуглеводневої сировини.</w:t>
      </w:r>
    </w:p>
    <w:p w14:paraId="2D78BD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09" w:name="n11463"/>
      <w:bookmarkEnd w:id="7909"/>
      <w:r w:rsidRPr="008B264B">
        <w:rPr>
          <w:rFonts w:ascii="Times New Roman" w:eastAsia="Times New Roman" w:hAnsi="Times New Roman" w:cs="Times New Roman"/>
          <w:color w:val="000000"/>
          <w:sz w:val="24"/>
          <w:szCs w:val="24"/>
          <w:lang/>
        </w:rPr>
        <w:t>252.8. У разі обчислення вартості товарної продукції гірничого підприємства - видобутої корисної копалини (мінеральної сировини) за фактичними цінами реалізації вартість одиниці відповідного виду товарної продукції гірничого підприємства - видобутої корисної копалини (мінеральної сировини) встановлюється платником рентної плати за величиною суми доходу, отриманого (нарахованого) від виконаних у податковому (звітному) періоді господарських зобов’язань з реалізації відповідного обсягу (кількості) такого виду товарної продукції гірничого підприємства - видобутої корисної копалини (мінеральної сировини).</w:t>
      </w:r>
    </w:p>
    <w:p w14:paraId="0C08CE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0" w:name="n11464"/>
      <w:bookmarkEnd w:id="7910"/>
      <w:r w:rsidRPr="008B264B">
        <w:rPr>
          <w:rFonts w:ascii="Times New Roman" w:eastAsia="Times New Roman" w:hAnsi="Times New Roman" w:cs="Times New Roman"/>
          <w:color w:val="000000"/>
          <w:sz w:val="24"/>
          <w:szCs w:val="24"/>
          <w:lang/>
        </w:rPr>
        <w:t>Фактична ціна реалізації для нафти, конденсату визначається центральним органом виконавчої влади, що реалізує державну політику економічного розвитку, за податковий (звітний) період як середня ціна одного бареля нафти "Urals", перерахована у гривні за тонну за курсом Національного банку України станом на 1 число місяця, що настає за податковим (звітним) періодом, визначена за інформацією міжнародного агентства (котирування UralsMediterranean та UralsRotterdam). При визначенні фактичної ціни реалізації для нафти, конденсату використовується середній показник місткості барелів в 1 тонні нафти марки "Urals" у розмірі 7,28.</w:t>
      </w:r>
    </w:p>
    <w:p w14:paraId="48F269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1" w:name="n11465"/>
      <w:bookmarkEnd w:id="7911"/>
      <w:r w:rsidRPr="008B264B">
        <w:rPr>
          <w:rFonts w:ascii="Times New Roman" w:eastAsia="Times New Roman" w:hAnsi="Times New Roman" w:cs="Times New Roman"/>
          <w:i/>
          <w:iCs/>
          <w:color w:val="000000"/>
          <w:sz w:val="24"/>
          <w:szCs w:val="24"/>
          <w:lang/>
        </w:rPr>
        <w:t>{Абзац третій пункту 252.8 статті 252 виключено на підставі Закону </w:t>
      </w:r>
      <w:hyperlink r:id="rId4481" w:anchor="n13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6B835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2" w:name="n11466"/>
      <w:bookmarkEnd w:id="7912"/>
      <w:r w:rsidRPr="008B264B">
        <w:rPr>
          <w:rFonts w:ascii="Times New Roman" w:eastAsia="Times New Roman" w:hAnsi="Times New Roman" w:cs="Times New Roman"/>
          <w:i/>
          <w:iCs/>
          <w:color w:val="000000"/>
          <w:sz w:val="24"/>
          <w:szCs w:val="24"/>
          <w:lang/>
        </w:rPr>
        <w:t>{Абзац четвертий пункту 252.8 статті 252 виключено на підставі Закону </w:t>
      </w:r>
      <w:hyperlink r:id="rId4482" w:anchor="n131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E21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3" w:name="n11467"/>
      <w:bookmarkEnd w:id="7913"/>
      <w:r w:rsidRPr="008B264B">
        <w:rPr>
          <w:rFonts w:ascii="Times New Roman" w:eastAsia="Times New Roman" w:hAnsi="Times New Roman" w:cs="Times New Roman"/>
          <w:color w:val="000000"/>
          <w:sz w:val="24"/>
          <w:szCs w:val="24"/>
          <w:lang/>
        </w:rPr>
        <w:t>Фактичною ціною реалізації для газу природного вважається:</w:t>
      </w:r>
    </w:p>
    <w:p w14:paraId="029F37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4" w:name="n12622"/>
      <w:bookmarkEnd w:id="7914"/>
      <w:r w:rsidRPr="008B264B">
        <w:rPr>
          <w:rFonts w:ascii="Times New Roman" w:eastAsia="Times New Roman" w:hAnsi="Times New Roman" w:cs="Times New Roman"/>
          <w:i/>
          <w:iCs/>
          <w:color w:val="000000"/>
          <w:sz w:val="24"/>
          <w:szCs w:val="24"/>
          <w:lang/>
        </w:rPr>
        <w:t>{Абзац п'ятий пункту 252.8 статті 252 в редакції Закону </w:t>
      </w:r>
      <w:hyperlink r:id="rId4483" w:anchor="n9"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311CE9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5" w:name="n11468"/>
      <w:bookmarkEnd w:id="7915"/>
      <w:r w:rsidRPr="008B264B">
        <w:rPr>
          <w:rFonts w:ascii="Times New Roman" w:eastAsia="Times New Roman" w:hAnsi="Times New Roman" w:cs="Times New Roman"/>
          <w:color w:val="000000"/>
          <w:sz w:val="24"/>
          <w:szCs w:val="24"/>
          <w:lang/>
        </w:rPr>
        <w:t>для газу природного, що відповідає умові, визначеній у </w:t>
      </w:r>
      <w:hyperlink r:id="rId4484" w:anchor="n11538" w:history="1">
        <w:r w:rsidRPr="008B264B">
          <w:rPr>
            <w:rFonts w:ascii="Times New Roman" w:eastAsia="Times New Roman" w:hAnsi="Times New Roman" w:cs="Times New Roman"/>
            <w:color w:val="0000FF"/>
            <w:sz w:val="24"/>
            <w:szCs w:val="24"/>
            <w:u w:val="single"/>
            <w:lang/>
          </w:rPr>
          <w:t>пункті 252.24</w:t>
        </w:r>
      </w:hyperlink>
      <w:r w:rsidRPr="008B264B">
        <w:rPr>
          <w:rFonts w:ascii="Times New Roman" w:eastAsia="Times New Roman" w:hAnsi="Times New Roman" w:cs="Times New Roman"/>
          <w:color w:val="000000"/>
          <w:sz w:val="24"/>
          <w:szCs w:val="24"/>
          <w:lang/>
        </w:rPr>
        <w:t> цієї статті, - ціна, визначена у відповідних договорах купівлі-продажу природного газу між платником рентної плати та суб’єктом ринку природного газу, на якого Кабінетом Міністрів України покладені спеціальні обов’язки щодо формування ресурсу природного газу для побутових споживачів та виробників теплової енергії відповідно до </w:t>
      </w:r>
      <w:hyperlink r:id="rId4485"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ринок природного газу", у податковому (звітному) періоді;</w:t>
      </w:r>
    </w:p>
    <w:p w14:paraId="3D2627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6" w:name="n12623"/>
      <w:bookmarkEnd w:id="7916"/>
      <w:r w:rsidRPr="008B264B">
        <w:rPr>
          <w:rFonts w:ascii="Times New Roman" w:eastAsia="Times New Roman" w:hAnsi="Times New Roman" w:cs="Times New Roman"/>
          <w:i/>
          <w:iCs/>
          <w:color w:val="000000"/>
          <w:sz w:val="24"/>
          <w:szCs w:val="24"/>
          <w:lang/>
        </w:rPr>
        <w:t>{Абзац шостий пункту 252.8 статті 252 в редакції Закону </w:t>
      </w:r>
      <w:hyperlink r:id="rId4486" w:anchor="n9"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7BB490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7" w:name="n11469"/>
      <w:bookmarkEnd w:id="7917"/>
      <w:r w:rsidRPr="008B264B">
        <w:rPr>
          <w:rFonts w:ascii="Times New Roman" w:eastAsia="Times New Roman" w:hAnsi="Times New Roman" w:cs="Times New Roman"/>
          <w:color w:val="000000"/>
          <w:sz w:val="24"/>
          <w:szCs w:val="24"/>
          <w:lang/>
        </w:rPr>
        <w:t xml:space="preserve">для іншого газу природного - середня митна вартість імпортного природного газу, що склалася у процесі його митного оформлення під час ввезення на територію України за податковий (звітний) період. Середня митна вартість імпортного природного газу, що склалася у процесі його митного оформлення під час ввезення на територію України за податковий (звітний) період, обчислюється центральним органом виконавчої влади, що реалізує державну податкову і митну політику, та передається до 5 числа місяця, наступного за податковим (звітним) періодом, </w:t>
      </w:r>
      <w:r w:rsidRPr="008B264B">
        <w:rPr>
          <w:rFonts w:ascii="Times New Roman" w:eastAsia="Times New Roman" w:hAnsi="Times New Roman" w:cs="Times New Roman"/>
          <w:color w:val="000000"/>
          <w:sz w:val="24"/>
          <w:szCs w:val="24"/>
          <w:lang/>
        </w:rPr>
        <w:lastRenderedPageBreak/>
        <w:t>центральному органу виконавчої влади, що реалізує державну політику економічного розвитку, який до 10 числа місяця, наступного за податковим (звітним) періодом, розміщує на своєму офіційному веб-сайті у спеціальному розділі.</w:t>
      </w:r>
    </w:p>
    <w:p w14:paraId="592252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8" w:name="n12624"/>
      <w:bookmarkEnd w:id="7918"/>
      <w:r w:rsidRPr="008B264B">
        <w:rPr>
          <w:rFonts w:ascii="Times New Roman" w:eastAsia="Times New Roman" w:hAnsi="Times New Roman" w:cs="Times New Roman"/>
          <w:i/>
          <w:iCs/>
          <w:color w:val="000000"/>
          <w:sz w:val="24"/>
          <w:szCs w:val="24"/>
          <w:lang/>
        </w:rPr>
        <w:t>{Абзац сьомий пункту 252.8 статті 252 в редакції Закону </w:t>
      </w:r>
      <w:hyperlink r:id="rId4487" w:anchor="n9"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14C0B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19" w:name="n11470"/>
      <w:bookmarkEnd w:id="7919"/>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політику економічного розвитку, до 10 числа місяця, наступного за податковим (звітним) періодом, розміщує визначену ціну реалізації відповідного виду товарної продукції гірничого підприємства - видобутої корисної копалини (мінеральної сировини) на своєму офіційному веб-сайті у спеціальному розділі та повідомляє центральний орган виконавчої влади, що реалізує державну податкову та митну політику.</w:t>
      </w:r>
    </w:p>
    <w:p w14:paraId="40D67A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0" w:name="n13483"/>
      <w:bookmarkEnd w:id="7920"/>
      <w:r w:rsidRPr="008B264B">
        <w:rPr>
          <w:rFonts w:ascii="Times New Roman" w:eastAsia="Times New Roman" w:hAnsi="Times New Roman" w:cs="Times New Roman"/>
          <w:i/>
          <w:iCs/>
          <w:color w:val="000000"/>
          <w:sz w:val="24"/>
          <w:szCs w:val="24"/>
          <w:lang/>
        </w:rPr>
        <w:t>{Абзац восьмий пункту 252.8 статті 252 із змінами, внесеними згідно із Законом </w:t>
      </w:r>
      <w:hyperlink r:id="rId448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37F0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1" w:name="n11471"/>
      <w:bookmarkEnd w:id="7921"/>
      <w:r w:rsidRPr="008B264B">
        <w:rPr>
          <w:rFonts w:ascii="Times New Roman" w:eastAsia="Times New Roman" w:hAnsi="Times New Roman" w:cs="Times New Roman"/>
          <w:color w:val="000000"/>
          <w:sz w:val="24"/>
          <w:szCs w:val="24"/>
          <w:lang/>
        </w:rPr>
        <w:t>Сума доходу, отриманого (нарахованого) від реалізації відповідного виду товарної продукції гірничого підприємства - видобутої корисної копалини (мінеральної сировини) за податковий (звітний) період, зменшується на суму витрат платника, пов’язаних з операціями передпродажної підготовки, у тому числі пакуванням, фасуванням (бутелюванням), а також з доставкою (перевезенням, транспортуванням) обсягу (кількості) відповідного виду товарної продукції гірничого підприємства - видобутої корисної копалини (мінеральної сировини) споживачу в розмірах, установлених у договорі купівлі-продажу згідно з умовами постачання.</w:t>
      </w:r>
    </w:p>
    <w:p w14:paraId="201CF2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2" w:name="n14350"/>
      <w:bookmarkEnd w:id="7922"/>
      <w:r w:rsidRPr="008B264B">
        <w:rPr>
          <w:rFonts w:ascii="Times New Roman" w:eastAsia="Times New Roman" w:hAnsi="Times New Roman" w:cs="Times New Roman"/>
          <w:i/>
          <w:iCs/>
          <w:color w:val="000000"/>
          <w:sz w:val="24"/>
          <w:szCs w:val="24"/>
          <w:lang/>
        </w:rPr>
        <w:t>{Абзац дев'ятий пункту 252.8 статті 252 із змінами, внесеними згідно із Законом </w:t>
      </w:r>
      <w:hyperlink r:id="rId448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8010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3" w:name="n11472"/>
      <w:bookmarkEnd w:id="7923"/>
      <w:r w:rsidRPr="008B264B">
        <w:rPr>
          <w:rFonts w:ascii="Times New Roman" w:eastAsia="Times New Roman" w:hAnsi="Times New Roman" w:cs="Times New Roman"/>
          <w:color w:val="000000"/>
          <w:sz w:val="24"/>
          <w:szCs w:val="24"/>
          <w:lang/>
        </w:rPr>
        <w:t>Суми попередньої оплати вартості обсягу (кількості) відповідного виду товарної продукції гірничого підприємства - видобутої корисної копалини (мінеральної сировини), що надійшли до моменту фактичного виконання господарських зобов’язань (фактичної поставки) або до моменту настання строку виконання господарських зобов’язань (поставки) за відповідним договором, включаються до суми доходу для обчислення вартості одиниці відповідного виду товарної продукції гірничого підприємства - видобутої корисної копалини (мінеральної сировини) у податковому (звітному) періоді, якщо такі господарські зобов’язання (поставки) виконані або мали бути виконаними за зазначеним договором.</w:t>
      </w:r>
    </w:p>
    <w:p w14:paraId="78F7AF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4" w:name="n11473"/>
      <w:bookmarkEnd w:id="7924"/>
      <w:r w:rsidRPr="008B264B">
        <w:rPr>
          <w:rFonts w:ascii="Times New Roman" w:eastAsia="Times New Roman" w:hAnsi="Times New Roman" w:cs="Times New Roman"/>
          <w:color w:val="000000"/>
          <w:sz w:val="24"/>
          <w:szCs w:val="24"/>
          <w:lang/>
        </w:rPr>
        <w:t>Сума доходу, отримана від реалізації обсягу (кількості) відповідного виду товарної продукції гірничого підприємства - видобутої корисної копалини (мінеральної сировини) в іноземній валюті, обраховується в національній валюті за офіційним курсом гривні до іноземних валют, встановленим Національним банком України на дату реалізації таких корисних копалин.</w:t>
      </w:r>
    </w:p>
    <w:p w14:paraId="5115E3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5" w:name="n11474"/>
      <w:bookmarkEnd w:id="7925"/>
      <w:r w:rsidRPr="008B264B">
        <w:rPr>
          <w:rFonts w:ascii="Times New Roman" w:eastAsia="Times New Roman" w:hAnsi="Times New Roman" w:cs="Times New Roman"/>
          <w:color w:val="000000"/>
          <w:sz w:val="24"/>
          <w:szCs w:val="24"/>
          <w:lang/>
        </w:rPr>
        <w:t>252.9. До витрат платника рентної плати, пов’язаних з операціями передпродажної підготовки, у тому числі пакуванням, фасуванням (бутелюванням), а також з доставкою (перевезенням, транспортуванням) товарної продукції гірничого підприємства - видобутої корисної копалини (мінеральної сировини) споживачу, належать:</w:t>
      </w:r>
    </w:p>
    <w:p w14:paraId="4FCC33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6" w:name="n14351"/>
      <w:bookmarkEnd w:id="7926"/>
      <w:r w:rsidRPr="008B264B">
        <w:rPr>
          <w:rFonts w:ascii="Times New Roman" w:eastAsia="Times New Roman" w:hAnsi="Times New Roman" w:cs="Times New Roman"/>
          <w:i/>
          <w:iCs/>
          <w:color w:val="000000"/>
          <w:sz w:val="24"/>
          <w:szCs w:val="24"/>
          <w:lang/>
        </w:rPr>
        <w:t>{Абзац перший пункту 252.9 статті 252 із змінами, внесеними згідно із Законом </w:t>
      </w:r>
      <w:hyperlink r:id="rId4490" w:anchor="n132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E62B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7" w:name="n11475"/>
      <w:bookmarkEnd w:id="7927"/>
      <w:r w:rsidRPr="008B264B">
        <w:rPr>
          <w:rFonts w:ascii="Times New Roman" w:eastAsia="Times New Roman" w:hAnsi="Times New Roman" w:cs="Times New Roman"/>
          <w:color w:val="000000"/>
          <w:sz w:val="24"/>
          <w:szCs w:val="24"/>
          <w:lang/>
        </w:rPr>
        <w:t>252.9.1. витрати, пов’язані з операціями передпродажної підготовки, у тому числі пакуванням, фасуванням (бутелюванням), а також з доставкою (перевезенням, транспортуванням) товарної продукції гірничого підприємства - видобутої корисної копалини (мінеральної сировини) із складу готової продукції платника рентної плати (вузла обліку, входу до магістрального трубопроводу, пункту відвантаження споживачу або на переробку, межі розділу мереж із споживачем) споживачу, а саме:</w:t>
      </w:r>
    </w:p>
    <w:p w14:paraId="04307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8" w:name="n14352"/>
      <w:bookmarkEnd w:id="7928"/>
      <w:r w:rsidRPr="008B264B">
        <w:rPr>
          <w:rFonts w:ascii="Times New Roman" w:eastAsia="Times New Roman" w:hAnsi="Times New Roman" w:cs="Times New Roman"/>
          <w:i/>
          <w:iCs/>
          <w:color w:val="000000"/>
          <w:sz w:val="24"/>
          <w:szCs w:val="24"/>
          <w:lang/>
        </w:rPr>
        <w:t>{Абзац перший підпункту 252.9.1 пункту 252.9 статті 252 із змінами, внесеними згідно із Законом </w:t>
      </w:r>
      <w:hyperlink r:id="rId4491" w:anchor="n13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379F4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29" w:name="n11476"/>
      <w:bookmarkEnd w:id="7929"/>
      <w:r w:rsidRPr="008B264B">
        <w:rPr>
          <w:rFonts w:ascii="Times New Roman" w:eastAsia="Times New Roman" w:hAnsi="Times New Roman" w:cs="Times New Roman"/>
          <w:color w:val="000000"/>
          <w:sz w:val="24"/>
          <w:szCs w:val="24"/>
          <w:lang/>
        </w:rPr>
        <w:lastRenderedPageBreak/>
        <w:t>з доставкою (перевезенням, транспортуванням) магістральними трубопроводами, залізничним, водним та іншими видами транспорту;</w:t>
      </w:r>
    </w:p>
    <w:p w14:paraId="08B3B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0" w:name="n11477"/>
      <w:bookmarkEnd w:id="7930"/>
      <w:r w:rsidRPr="008B264B">
        <w:rPr>
          <w:rFonts w:ascii="Times New Roman" w:eastAsia="Times New Roman" w:hAnsi="Times New Roman" w:cs="Times New Roman"/>
          <w:color w:val="000000"/>
          <w:sz w:val="24"/>
          <w:szCs w:val="24"/>
          <w:lang/>
        </w:rPr>
        <w:t>із зливанням, наливанням, навантаженням, розвантаженням та перевантаженням;</w:t>
      </w:r>
    </w:p>
    <w:p w14:paraId="72D74B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1" w:name="n11478"/>
      <w:bookmarkEnd w:id="7931"/>
      <w:r w:rsidRPr="008B264B">
        <w:rPr>
          <w:rFonts w:ascii="Times New Roman" w:eastAsia="Times New Roman" w:hAnsi="Times New Roman" w:cs="Times New Roman"/>
          <w:color w:val="000000"/>
          <w:sz w:val="24"/>
          <w:szCs w:val="24"/>
          <w:lang/>
        </w:rPr>
        <w:t>з оплатою послуг портів, зокрема портових зборів;</w:t>
      </w:r>
    </w:p>
    <w:p w14:paraId="487779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2" w:name="n11479"/>
      <w:bookmarkEnd w:id="7932"/>
      <w:r w:rsidRPr="008B264B">
        <w:rPr>
          <w:rFonts w:ascii="Times New Roman" w:eastAsia="Times New Roman" w:hAnsi="Times New Roman" w:cs="Times New Roman"/>
          <w:color w:val="000000"/>
          <w:sz w:val="24"/>
          <w:szCs w:val="24"/>
          <w:lang/>
        </w:rPr>
        <w:t>з оплатою транспортно-експедиторських послуг;</w:t>
      </w:r>
    </w:p>
    <w:p w14:paraId="2A8609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3" w:name="n11480"/>
      <w:bookmarkEnd w:id="7933"/>
      <w:r w:rsidRPr="008B264B">
        <w:rPr>
          <w:rFonts w:ascii="Times New Roman" w:eastAsia="Times New Roman" w:hAnsi="Times New Roman" w:cs="Times New Roman"/>
          <w:color w:val="000000"/>
          <w:sz w:val="24"/>
          <w:szCs w:val="24"/>
          <w:lang/>
        </w:rPr>
        <w:t>252.9.2. витрати з обов’язкового страхування вантажів, обчислені відповідно до законодавства;</w:t>
      </w:r>
    </w:p>
    <w:p w14:paraId="731CA7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4" w:name="n11481"/>
      <w:bookmarkEnd w:id="7934"/>
      <w:r w:rsidRPr="008B264B">
        <w:rPr>
          <w:rFonts w:ascii="Times New Roman" w:eastAsia="Times New Roman" w:hAnsi="Times New Roman" w:cs="Times New Roman"/>
          <w:color w:val="000000"/>
          <w:sz w:val="24"/>
          <w:szCs w:val="24"/>
          <w:lang/>
        </w:rPr>
        <w:t>252.9.3. митні платежі у разі реалізації за межі митної території України.</w:t>
      </w:r>
    </w:p>
    <w:p w14:paraId="2D4255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5" w:name="n11482"/>
      <w:bookmarkEnd w:id="7935"/>
      <w:r w:rsidRPr="008B264B">
        <w:rPr>
          <w:rFonts w:ascii="Times New Roman" w:eastAsia="Times New Roman" w:hAnsi="Times New Roman" w:cs="Times New Roman"/>
          <w:color w:val="000000"/>
          <w:sz w:val="24"/>
          <w:szCs w:val="24"/>
          <w:lang/>
        </w:rPr>
        <w:t>252.10. Вартість одиниці кожного виду товарної продукції гірничого підприємства - видобутої корисної копалини (мінеральної сировини) обчислюється як співвідношення суми доходу, отриманого платником рентної плати від реалізації відповідного виду товарної продукції гірничого підприємства - видобутої корисної копалини (мінеральної сировини), визначеної відповідно до пункту 252.8 цієї статті, та обсягу (кількості) відповідного виду реалізованої товарної продукції гірничого підприємства - видобутої корисної копалини (мінеральної сировини), що визначається за даними бухгалтерського обліку запасів готової продукції такого платника.</w:t>
      </w:r>
    </w:p>
    <w:p w14:paraId="64E261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6" w:name="n11483"/>
      <w:bookmarkEnd w:id="7936"/>
      <w:r w:rsidRPr="008B264B">
        <w:rPr>
          <w:rFonts w:ascii="Times New Roman" w:eastAsia="Times New Roman" w:hAnsi="Times New Roman" w:cs="Times New Roman"/>
          <w:color w:val="000000"/>
          <w:sz w:val="24"/>
          <w:szCs w:val="24"/>
          <w:lang/>
        </w:rPr>
        <w:t>252.11. У разі обчислення вартості відповідного виду товарної продукції гірничого підприємства - видобутої корисної копалини (мінеральної сировини) за розрахунковою вартістю до витрат платника рентної плати за податковий (звітний) період включаються:</w:t>
      </w:r>
    </w:p>
    <w:p w14:paraId="5BC274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7" w:name="n11484"/>
      <w:bookmarkEnd w:id="7937"/>
      <w:r w:rsidRPr="008B264B">
        <w:rPr>
          <w:rFonts w:ascii="Times New Roman" w:eastAsia="Times New Roman" w:hAnsi="Times New Roman" w:cs="Times New Roman"/>
          <w:color w:val="000000"/>
          <w:sz w:val="24"/>
          <w:szCs w:val="24"/>
          <w:lang/>
        </w:rPr>
        <w:t>252.11.1. матеріальні витрати, у тому числі витрати, пов’язані з виконанням господарських договорів із давальницькою сировиною, за винятком матеріальних витрат, пов’язаних із:</w:t>
      </w:r>
    </w:p>
    <w:p w14:paraId="4DFCB4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8" w:name="n11485"/>
      <w:bookmarkEnd w:id="7938"/>
      <w:r w:rsidRPr="008B264B">
        <w:rPr>
          <w:rFonts w:ascii="Times New Roman" w:eastAsia="Times New Roman" w:hAnsi="Times New Roman" w:cs="Times New Roman"/>
          <w:color w:val="000000"/>
          <w:sz w:val="24"/>
          <w:szCs w:val="24"/>
          <w:lang/>
        </w:rPr>
        <w:t>зберіганням;</w:t>
      </w:r>
    </w:p>
    <w:p w14:paraId="72AD6B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39" w:name="n11486"/>
      <w:bookmarkEnd w:id="7939"/>
      <w:r w:rsidRPr="008B264B">
        <w:rPr>
          <w:rFonts w:ascii="Times New Roman" w:eastAsia="Times New Roman" w:hAnsi="Times New Roman" w:cs="Times New Roman"/>
          <w:color w:val="000000"/>
          <w:sz w:val="24"/>
          <w:szCs w:val="24"/>
          <w:lang/>
        </w:rPr>
        <w:t>транспортуванням;</w:t>
      </w:r>
    </w:p>
    <w:p w14:paraId="021169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0" w:name="n11487"/>
      <w:bookmarkEnd w:id="7940"/>
      <w:r w:rsidRPr="008B264B">
        <w:rPr>
          <w:rFonts w:ascii="Times New Roman" w:eastAsia="Times New Roman" w:hAnsi="Times New Roman" w:cs="Times New Roman"/>
          <w:color w:val="000000"/>
          <w:sz w:val="24"/>
          <w:szCs w:val="24"/>
          <w:lang/>
        </w:rPr>
        <w:t>пакуванням, у тому числі фасуванням (бутелюванням);</w:t>
      </w:r>
    </w:p>
    <w:p w14:paraId="70FD42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1" w:name="n14353"/>
      <w:bookmarkEnd w:id="7941"/>
      <w:r w:rsidRPr="008B264B">
        <w:rPr>
          <w:rFonts w:ascii="Times New Roman" w:eastAsia="Times New Roman" w:hAnsi="Times New Roman" w:cs="Times New Roman"/>
          <w:i/>
          <w:iCs/>
          <w:color w:val="000000"/>
          <w:sz w:val="24"/>
          <w:szCs w:val="24"/>
          <w:lang/>
        </w:rPr>
        <w:t>{Абзац четвертий підпункту 252.11.1 пункту 252.11 статті 252 із змінами, внесеними згідно із Законом </w:t>
      </w:r>
      <w:hyperlink r:id="rId4492" w:anchor="n13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E986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2" w:name="n11488"/>
      <w:bookmarkEnd w:id="7942"/>
      <w:r w:rsidRPr="008B264B">
        <w:rPr>
          <w:rFonts w:ascii="Times New Roman" w:eastAsia="Times New Roman" w:hAnsi="Times New Roman" w:cs="Times New Roman"/>
          <w:color w:val="000000"/>
          <w:sz w:val="24"/>
          <w:szCs w:val="24"/>
          <w:lang/>
        </w:rPr>
        <w:t>проведенням іншого виду підготовки (включаючи передпродажну підготовку), крім операцій, що віднесені до операцій первинної переробки (збагачення) у значенні, наведеному у розділі I цього Кодексу, для реалізації відповідного виду товарної продукції гірничого підприємства - видобутої корисної копалини (мінеральної сировини);</w:t>
      </w:r>
    </w:p>
    <w:p w14:paraId="1FCD10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3" w:name="n11489"/>
      <w:bookmarkEnd w:id="7943"/>
      <w:r w:rsidRPr="008B264B">
        <w:rPr>
          <w:rFonts w:ascii="Times New Roman" w:eastAsia="Times New Roman" w:hAnsi="Times New Roman" w:cs="Times New Roman"/>
          <w:color w:val="000000"/>
          <w:sz w:val="24"/>
          <w:szCs w:val="24"/>
          <w:lang/>
        </w:rPr>
        <w:t>виробництвом і реалізацією інших видів продукції, товарів (робіт, послуг);</w:t>
      </w:r>
    </w:p>
    <w:p w14:paraId="18F4CE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4" w:name="n11490"/>
      <w:bookmarkEnd w:id="7944"/>
      <w:r w:rsidRPr="008B264B">
        <w:rPr>
          <w:rFonts w:ascii="Times New Roman" w:eastAsia="Times New Roman" w:hAnsi="Times New Roman" w:cs="Times New Roman"/>
          <w:color w:val="000000"/>
          <w:sz w:val="24"/>
          <w:szCs w:val="24"/>
          <w:lang/>
        </w:rPr>
        <w:t>252.11.2. витрати з оплати праці, крім витрат з оплати праці працівників, які не зайняті в господарській діяльності з видобування відповідного виду товарної продукції гірничого підприємства - видобутої корисної копалини (мінеральної сировини);</w:t>
      </w:r>
    </w:p>
    <w:p w14:paraId="029847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5" w:name="n11491"/>
      <w:bookmarkEnd w:id="7945"/>
      <w:r w:rsidRPr="008B264B">
        <w:rPr>
          <w:rFonts w:ascii="Times New Roman" w:eastAsia="Times New Roman" w:hAnsi="Times New Roman" w:cs="Times New Roman"/>
          <w:color w:val="000000"/>
          <w:sz w:val="24"/>
          <w:szCs w:val="24"/>
          <w:lang/>
        </w:rPr>
        <w:t>252.11.3. витрати з ремонту основних засобів, крім витрат на ремонт основних засобів, не пов’язаних технічно та технологічно з господарською діяльністю з видобування відповідного виду товарної продукції гірничого підприємства - видобутої корисної копалини (мінеральної сировини);</w:t>
      </w:r>
    </w:p>
    <w:p w14:paraId="26F388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6" w:name="n11492"/>
      <w:bookmarkEnd w:id="7946"/>
      <w:r w:rsidRPr="008B264B">
        <w:rPr>
          <w:rFonts w:ascii="Times New Roman" w:eastAsia="Times New Roman" w:hAnsi="Times New Roman" w:cs="Times New Roman"/>
          <w:color w:val="000000"/>
          <w:sz w:val="24"/>
          <w:szCs w:val="24"/>
          <w:lang/>
        </w:rPr>
        <w:t>252.11.4. інші витрати, що належать до складу витрат, у тому числі витрати, розподілені згідно з принципами облікової політики платника рентної плати, понесені ним в періоди, коли господарська діяльність з видобування корисних копалин не провадилася у зв’язку із сезонними умовами проведення видобувних робіт, крім витрат, не пов’язаних з господарською діяльністю з видобування відповідного виду товарної продукції гірничого підприємства - видобутої корисної копалини (мінеральної сировини), у тому числі:</w:t>
      </w:r>
    </w:p>
    <w:p w14:paraId="67CA32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7" w:name="n11493"/>
      <w:bookmarkEnd w:id="7947"/>
      <w:r w:rsidRPr="008B264B">
        <w:rPr>
          <w:rFonts w:ascii="Times New Roman" w:eastAsia="Times New Roman" w:hAnsi="Times New Roman" w:cs="Times New Roman"/>
          <w:color w:val="000000"/>
          <w:sz w:val="24"/>
          <w:szCs w:val="24"/>
          <w:lang/>
        </w:rPr>
        <w:t>які виникають в результаті формування фінансових резервів;</w:t>
      </w:r>
    </w:p>
    <w:p w14:paraId="52F519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8" w:name="n11494"/>
      <w:bookmarkEnd w:id="7948"/>
      <w:r w:rsidRPr="008B264B">
        <w:rPr>
          <w:rFonts w:ascii="Times New Roman" w:eastAsia="Times New Roman" w:hAnsi="Times New Roman" w:cs="Times New Roman"/>
          <w:color w:val="000000"/>
          <w:sz w:val="24"/>
          <w:szCs w:val="24"/>
          <w:lang/>
        </w:rPr>
        <w:lastRenderedPageBreak/>
        <w:t>на сплату процентів боргових зобов’язань платника рентної плати;</w:t>
      </w:r>
    </w:p>
    <w:p w14:paraId="1FEBEC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49" w:name="n11495"/>
      <w:bookmarkEnd w:id="7949"/>
      <w:r w:rsidRPr="008B264B">
        <w:rPr>
          <w:rFonts w:ascii="Times New Roman" w:eastAsia="Times New Roman" w:hAnsi="Times New Roman" w:cs="Times New Roman"/>
          <w:color w:val="000000"/>
          <w:sz w:val="24"/>
          <w:szCs w:val="24"/>
          <w:lang/>
        </w:rPr>
        <w:t>на внесення рентної плати за користування надрами для видобування корисних копалин;</w:t>
      </w:r>
    </w:p>
    <w:p w14:paraId="38CA63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0" w:name="n11496"/>
      <w:bookmarkEnd w:id="7950"/>
      <w:r w:rsidRPr="008B264B">
        <w:rPr>
          <w:rFonts w:ascii="Times New Roman" w:eastAsia="Times New Roman" w:hAnsi="Times New Roman" w:cs="Times New Roman"/>
          <w:color w:val="000000"/>
          <w:sz w:val="24"/>
          <w:szCs w:val="24"/>
          <w:lang/>
        </w:rPr>
        <w:t>на сплату штрафів та/або неустойки чи пені за рішенням сторін договору або за рішенням відповідних державних органів, суду.</w:t>
      </w:r>
    </w:p>
    <w:p w14:paraId="474A48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1" w:name="n11497"/>
      <w:bookmarkEnd w:id="7951"/>
      <w:r w:rsidRPr="008B264B">
        <w:rPr>
          <w:rFonts w:ascii="Times New Roman" w:eastAsia="Times New Roman" w:hAnsi="Times New Roman" w:cs="Times New Roman"/>
          <w:color w:val="000000"/>
          <w:sz w:val="24"/>
          <w:szCs w:val="24"/>
          <w:lang/>
        </w:rPr>
        <w:t>252.12. Під час обчислення розрахункової вартості відповідного виду товарної продукції гірничого підприємства - видобутої корисної копалини (мінеральної сировини) також враховуються:</w:t>
      </w:r>
    </w:p>
    <w:p w14:paraId="07C94A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2" w:name="n11498"/>
      <w:bookmarkEnd w:id="7952"/>
      <w:r w:rsidRPr="008B264B">
        <w:rPr>
          <w:rFonts w:ascii="Times New Roman" w:eastAsia="Times New Roman" w:hAnsi="Times New Roman" w:cs="Times New Roman"/>
          <w:color w:val="000000"/>
          <w:sz w:val="24"/>
          <w:szCs w:val="24"/>
          <w:lang/>
        </w:rPr>
        <w:t>252.12.1. сума нарахованої амортизації, крім суми нарахованої амортизації на основні засоби і нематеріальні активи, що підлягають амортизації, але не пов’язані технічно та технологічно з господарською діяльністю з видобування відповідного виду товарної продукції гірничого підприємства - видобутої корисної копалини (мінеральної сировини);</w:t>
      </w:r>
    </w:p>
    <w:p w14:paraId="502C8C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3" w:name="n11499"/>
      <w:bookmarkEnd w:id="7953"/>
      <w:r w:rsidRPr="008B264B">
        <w:rPr>
          <w:rFonts w:ascii="Times New Roman" w:eastAsia="Times New Roman" w:hAnsi="Times New Roman" w:cs="Times New Roman"/>
          <w:color w:val="000000"/>
          <w:sz w:val="24"/>
          <w:szCs w:val="24"/>
          <w:lang/>
        </w:rPr>
        <w:t>252.12.2. сума амортизації витрат, пов’язаних з господарською діяльністю з видобування відповідного виду товарної продукції гірничого підприємства - видобутої корисної копалини (мінеральної сировини).</w:t>
      </w:r>
    </w:p>
    <w:p w14:paraId="581243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4" w:name="n11500"/>
      <w:bookmarkEnd w:id="7954"/>
      <w:r w:rsidRPr="008B264B">
        <w:rPr>
          <w:rFonts w:ascii="Times New Roman" w:eastAsia="Times New Roman" w:hAnsi="Times New Roman" w:cs="Times New Roman"/>
          <w:color w:val="000000"/>
          <w:sz w:val="24"/>
          <w:szCs w:val="24"/>
          <w:lang/>
        </w:rPr>
        <w:t>252.13. У разі якщо мають місце державні субвенції для гірничих підприємств, визначення вартості видобутої мінеральної сировини (корисної копалини) здійснюється без урахування субвенції, розміри якої для кожної ділянки надр обчислюються на підставі калькулювання собівартості видобутої корисної копалини за матеріалами бухгалтерського обліку провадження господарської діяльності в межах такої ділянки надр.</w:t>
      </w:r>
    </w:p>
    <w:p w14:paraId="4FABAC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5" w:name="n11501"/>
      <w:bookmarkEnd w:id="7955"/>
      <w:r w:rsidRPr="008B264B">
        <w:rPr>
          <w:rFonts w:ascii="Times New Roman" w:eastAsia="Times New Roman" w:hAnsi="Times New Roman" w:cs="Times New Roman"/>
          <w:color w:val="000000"/>
          <w:sz w:val="24"/>
          <w:szCs w:val="24"/>
          <w:lang/>
        </w:rPr>
        <w:t>252.14. Сума витрат, понесених на провадження господарської діяльності з видобування корисних копалин, щодо яких у податковому (звітному) періоді завершено комплекс технологічних операцій (процесів) з видобування, повністю включається до розрахункової вартості видобутих корисних копалин за відповідний податковий (звітний) період.</w:t>
      </w:r>
    </w:p>
    <w:p w14:paraId="080D01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6" w:name="n11502"/>
      <w:bookmarkEnd w:id="7956"/>
      <w:r w:rsidRPr="008B264B">
        <w:rPr>
          <w:rFonts w:ascii="Times New Roman" w:eastAsia="Times New Roman" w:hAnsi="Times New Roman" w:cs="Times New Roman"/>
          <w:color w:val="000000"/>
          <w:sz w:val="24"/>
          <w:szCs w:val="24"/>
          <w:lang/>
        </w:rPr>
        <w:t>У разі якщо після виникнення податкових зобов’язань з рентної плати за користування надрами для видобування корисних копалин за обсяг (кількість) відповідного виду товарної продукції гірничого підприємства - видобутої корисної копалини (мінеральної сировини) платник рентної плати у будь-якому наступному податковому (звітному) періоді прийняв рішення про застосування до неї (відповідного виду товарної продукції гірничого підприємства - видобутої корисної копалини (мінеральної сировини) або її частини) інших операцій первинної переробки, в результаті чого виник новий вид товарної продукції гірничого підприємства, що відрізняється від продукції, за якою платником рентної плати визнані та виконані відповідні зобов’язання з рентної плати за користування надрами для видобування корисних копалин, платник рентної плати у такому податковому (звітному) періоді визначає розмір податкових зобов’язань з рентної плати для нового відповідного виду товарної продукції гірничого підприємства - видобутої корисної копалини (мінеральної сировини) з урахуванням виконаних податкових зобов’язань за обсяг (кількість) відповідного виду товарної продукції гірничого підприємства - видобутої корисної копалини (мінеральної сировини), що був використаний на створення нової товарної продукції гірничого підприємства, за вирахуванням сум податкових зобов’язань, які виникали за попередніми операціями з даним видом корисної копалини.</w:t>
      </w:r>
    </w:p>
    <w:p w14:paraId="75FDA2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7" w:name="n11503"/>
      <w:bookmarkEnd w:id="7957"/>
      <w:r w:rsidRPr="008B264B">
        <w:rPr>
          <w:rFonts w:ascii="Times New Roman" w:eastAsia="Times New Roman" w:hAnsi="Times New Roman" w:cs="Times New Roman"/>
          <w:color w:val="000000"/>
          <w:sz w:val="24"/>
          <w:szCs w:val="24"/>
          <w:lang/>
        </w:rPr>
        <w:t>252.15. Сума витрат, понесених на провадження господарської діяльності з видобування корисних копалин, щодо яких у податковому (звітному) періоді не завершено комплекс технологічних операцій (процесів) з видобування, включається до розрахункової вартості відповідного виду товарної продукції гірничого підприємства - видобутої корисної копалини (мінеральної сировини) у податковому (звітному) періоді, в якому завершується такий комплекс технологічних операцій (процесів).</w:t>
      </w:r>
    </w:p>
    <w:p w14:paraId="1E49F6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8" w:name="n11504"/>
      <w:bookmarkEnd w:id="7958"/>
      <w:r w:rsidRPr="008B264B">
        <w:rPr>
          <w:rFonts w:ascii="Times New Roman" w:eastAsia="Times New Roman" w:hAnsi="Times New Roman" w:cs="Times New Roman"/>
          <w:color w:val="000000"/>
          <w:sz w:val="24"/>
          <w:szCs w:val="24"/>
          <w:lang/>
        </w:rPr>
        <w:t>252.16. Розрахункова вартість одиниці відповідного виду товарної продукції гірничого підприємства - видобутої корисної копалини (мінеральної сировини) (Цр) обчислюється за такою формулою:</w:t>
      </w:r>
    </w:p>
    <w:p w14:paraId="1689AD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59" w:name="n11505"/>
      <w:bookmarkStart w:id="7960" w:name="n11506"/>
      <w:bookmarkEnd w:id="7959"/>
      <w:bookmarkEnd w:id="7960"/>
      <w:r w:rsidRPr="008B264B">
        <w:rPr>
          <w:rFonts w:ascii="Times New Roman" w:eastAsia="Times New Roman" w:hAnsi="Times New Roman" w:cs="Times New Roman"/>
          <w:color w:val="000000"/>
          <w:sz w:val="24"/>
          <w:szCs w:val="24"/>
          <w:lang/>
        </w:rPr>
        <w:lastRenderedPageBreak/>
        <w:t>де Вмп - витрати, обчислені згідно з пунктами 252.11 - 252.15 цієї статті (у гривнях);</w:t>
      </w:r>
    </w:p>
    <w:p w14:paraId="3ACC59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1" w:name="n11507"/>
      <w:bookmarkEnd w:id="7961"/>
      <w:r w:rsidRPr="008B264B">
        <w:rPr>
          <w:rFonts w:ascii="Times New Roman" w:eastAsia="Times New Roman" w:hAnsi="Times New Roman" w:cs="Times New Roman"/>
          <w:color w:val="000000"/>
          <w:sz w:val="24"/>
          <w:szCs w:val="24"/>
          <w:lang/>
        </w:rPr>
        <w:t>Крмпе - коефіцієнт рентабельності гірничого підприємства, обчислений у матеріалах геолого-економічної оцінки запасів корисних копалин ділянки надр, затверджених центральним органом виконавчої влади, що реалізує державну політику у сфері геологічного вивчення та раціонального використання надр (десятковий дріб). Гірничі підприємства, що порушили строк регулярної повторної геолого-економічної оцінки запасів корисних копалин ділянки надр, обчислюють податкові зобов’язання із застосуванням коефіцієнта рентабельності, що дорівнює трикратному розміру облікової ставки Національного банку України;</w:t>
      </w:r>
    </w:p>
    <w:p w14:paraId="4C9AC3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2" w:name="n11508"/>
      <w:bookmarkEnd w:id="7962"/>
      <w:r w:rsidRPr="008B264B">
        <w:rPr>
          <w:rFonts w:ascii="Times New Roman" w:eastAsia="Times New Roman" w:hAnsi="Times New Roman" w:cs="Times New Roman"/>
          <w:color w:val="000000"/>
          <w:sz w:val="24"/>
          <w:szCs w:val="24"/>
          <w:lang/>
        </w:rPr>
        <w:t>Vмп - обсяг (кількість) товарної продукції гірничого підприємства - видобутих корисних копалин (мінеральної сировини), що видобута за податковий (звітний) період.</w:t>
      </w:r>
    </w:p>
    <w:p w14:paraId="684FE4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3" w:name="n11509"/>
      <w:bookmarkEnd w:id="7963"/>
      <w:r w:rsidRPr="008B264B">
        <w:rPr>
          <w:rFonts w:ascii="Times New Roman" w:eastAsia="Times New Roman" w:hAnsi="Times New Roman" w:cs="Times New Roman"/>
          <w:color w:val="000000"/>
          <w:sz w:val="24"/>
          <w:szCs w:val="24"/>
          <w:lang/>
        </w:rPr>
        <w:t>252.17. Вартість руд урану та золота, видобутих з корінних родовищ, обчислюється з урахуванням ціни реалізації за податковий (звітний) період (у разі відсутності реалізації у цей період - за найближчі попередні податкові періоди) хімічно чистого металу без урахування податку на додану вартість, зменшеної на суму витрат платника рентної плати на збагачення (афінаж) та доставку (перевезення, транспортування) споживачу. Вартість одиниці товарної продукції гірничого підприємства - видобутої корисної копалини (мінеральної сировини) визначається з урахуванням частки (в натуральному вимірі) вмісту хімічно чистого металу в одиниці видобутих корисних копалин.</w:t>
      </w:r>
    </w:p>
    <w:p w14:paraId="5C0C93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4" w:name="n11510"/>
      <w:bookmarkEnd w:id="7964"/>
      <w:r w:rsidRPr="008B264B">
        <w:rPr>
          <w:rFonts w:ascii="Times New Roman" w:eastAsia="Times New Roman" w:hAnsi="Times New Roman" w:cs="Times New Roman"/>
          <w:color w:val="000000"/>
          <w:sz w:val="24"/>
          <w:szCs w:val="24"/>
          <w:lang/>
        </w:rPr>
        <w:t>252.18. Податкові зобов’язання з рентної плати за користування надрами для відповідного виду товарної продукції гірничого підприємства - видобутої корисної копалини (мінеральної сировини) в межах однієї ділянки надр за податковий (звітний) період обчислюються за такою формулою:</w:t>
      </w:r>
    </w:p>
    <w:p w14:paraId="6980E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5" w:name="n11511"/>
      <w:bookmarkEnd w:id="7965"/>
      <w:r w:rsidRPr="008B264B">
        <w:rPr>
          <w:rFonts w:ascii="Times New Roman" w:eastAsia="Times New Roman" w:hAnsi="Times New Roman" w:cs="Times New Roman"/>
          <w:color w:val="000000"/>
          <w:sz w:val="24"/>
          <w:szCs w:val="24"/>
          <w:lang/>
        </w:rPr>
        <w:t>Пзн = Vф х Вкк х Свнз х Кпп,</w:t>
      </w:r>
    </w:p>
    <w:p w14:paraId="104FB7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6" w:name="n11512"/>
      <w:bookmarkEnd w:id="7966"/>
      <w:r w:rsidRPr="008B264B">
        <w:rPr>
          <w:rFonts w:ascii="Times New Roman" w:eastAsia="Times New Roman" w:hAnsi="Times New Roman" w:cs="Times New Roman"/>
          <w:color w:val="000000"/>
          <w:sz w:val="24"/>
          <w:szCs w:val="24"/>
          <w:lang/>
        </w:rPr>
        <w:t>де Vф - обсяг (кількість) відповідного виду товарної продукції гірничого підприємства - видобутої корисної копалини (мінеральної сировини) у податковому (звітному) періоді (в одиницях маси або об’єму);</w:t>
      </w:r>
    </w:p>
    <w:p w14:paraId="5D3293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7" w:name="n11513"/>
      <w:bookmarkEnd w:id="7967"/>
      <w:r w:rsidRPr="008B264B">
        <w:rPr>
          <w:rFonts w:ascii="Times New Roman" w:eastAsia="Times New Roman" w:hAnsi="Times New Roman" w:cs="Times New Roman"/>
          <w:color w:val="000000"/>
          <w:sz w:val="24"/>
          <w:szCs w:val="24"/>
          <w:lang/>
        </w:rPr>
        <w:t>Вкк - вартість одиниці відповідного виду товарної продукції гірничого підприємства - видобутої корисної копалини (мінеральної сировини), обчислена згідно з </w:t>
      </w:r>
      <w:hyperlink r:id="rId4493" w:anchor="n11460" w:history="1">
        <w:r w:rsidRPr="008B264B">
          <w:rPr>
            <w:rFonts w:ascii="Times New Roman" w:eastAsia="Times New Roman" w:hAnsi="Times New Roman" w:cs="Times New Roman"/>
            <w:color w:val="0000FF"/>
            <w:sz w:val="24"/>
            <w:szCs w:val="24"/>
            <w:u w:val="single"/>
            <w:lang/>
          </w:rPr>
          <w:t>пунктами 252.7 - 252.17</w:t>
        </w:r>
      </w:hyperlink>
      <w:r w:rsidRPr="008B264B">
        <w:rPr>
          <w:rFonts w:ascii="Times New Roman" w:eastAsia="Times New Roman" w:hAnsi="Times New Roman" w:cs="Times New Roman"/>
          <w:color w:val="000000"/>
          <w:sz w:val="24"/>
          <w:szCs w:val="24"/>
          <w:lang/>
        </w:rPr>
        <w:t> цієї статті;</w:t>
      </w:r>
    </w:p>
    <w:p w14:paraId="7854A6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8" w:name="n11514"/>
      <w:bookmarkEnd w:id="7968"/>
      <w:r w:rsidRPr="008B264B">
        <w:rPr>
          <w:rFonts w:ascii="Times New Roman" w:eastAsia="Times New Roman" w:hAnsi="Times New Roman" w:cs="Times New Roman"/>
          <w:color w:val="000000"/>
          <w:sz w:val="24"/>
          <w:szCs w:val="24"/>
          <w:lang/>
        </w:rPr>
        <w:t>Свнз - величина ставки рентної плати за користування надрами для видобування корисних копалин (у відсотках), встановлена у пункті 252.20 цієї статті;</w:t>
      </w:r>
    </w:p>
    <w:p w14:paraId="627EA1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69" w:name="n11515"/>
      <w:bookmarkEnd w:id="7969"/>
      <w:r w:rsidRPr="008B264B">
        <w:rPr>
          <w:rFonts w:ascii="Times New Roman" w:eastAsia="Times New Roman" w:hAnsi="Times New Roman" w:cs="Times New Roman"/>
          <w:color w:val="000000"/>
          <w:sz w:val="24"/>
          <w:szCs w:val="24"/>
          <w:lang/>
        </w:rPr>
        <w:t>Кпп - коригуючий коефіцієнт, встановлений у пункті 252.22 цієї статті.</w:t>
      </w:r>
    </w:p>
    <w:p w14:paraId="2F109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0" w:name="n11516"/>
      <w:bookmarkEnd w:id="7970"/>
      <w:r w:rsidRPr="008B264B">
        <w:rPr>
          <w:rFonts w:ascii="Times New Roman" w:eastAsia="Times New Roman" w:hAnsi="Times New Roman" w:cs="Times New Roman"/>
          <w:color w:val="000000"/>
          <w:sz w:val="24"/>
          <w:szCs w:val="24"/>
          <w:lang/>
        </w:rPr>
        <w:t>252.19. Обсяг (кількість) відповідного виду товарної продукції гірничого підприємства - видобутої корисної копалини (мінеральної сировини) визначається платником рентної плати самостійно у журналі обліку видобутих корисних копалин відповідно до вимог затверджених ним схем руху видобутої корисної копалини (мінеральної сировини) на виробничих дільницях та місцях зберігання з урахуванням складу вихідної сировини, умов конкретного виробництва, особливостей технологічного процесу та вимог до кінцевої продукції і нормативних актів, що регламентують вимоги до відповідного виду товарної продукції гірничих підприємств стосовно визначення якості сировини та кінцевого продукту, визначення вмісту основної та супутньої корисної копалини в лабораторіях, атестованих згідно з правилами уповноваження та атестації у державній метрологічній системі.</w:t>
      </w:r>
    </w:p>
    <w:p w14:paraId="29CC53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1" w:name="n11517"/>
      <w:bookmarkEnd w:id="7971"/>
      <w:r w:rsidRPr="008B264B">
        <w:rPr>
          <w:rFonts w:ascii="Times New Roman" w:eastAsia="Times New Roman" w:hAnsi="Times New Roman" w:cs="Times New Roman"/>
          <w:color w:val="000000"/>
          <w:sz w:val="24"/>
          <w:szCs w:val="24"/>
          <w:lang/>
        </w:rPr>
        <w:t>Залежно від відповідного виду видобутої корисної копалини (мінеральної сировини) її кількість визначається в одиницях маси або об’єму.</w:t>
      </w:r>
    </w:p>
    <w:p w14:paraId="1EA1B6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2" w:name="n11518"/>
      <w:bookmarkEnd w:id="7972"/>
      <w:r w:rsidRPr="008B264B">
        <w:rPr>
          <w:rFonts w:ascii="Times New Roman" w:eastAsia="Times New Roman" w:hAnsi="Times New Roman" w:cs="Times New Roman"/>
          <w:color w:val="000000"/>
          <w:sz w:val="24"/>
          <w:szCs w:val="24"/>
          <w:lang/>
        </w:rPr>
        <w:t>252.20. Ставки рентної плати за користування надрами для видобування корисних копалин установлюються у відсотках від вартості товарної продукції гірничого підприємства - видобутої корисної копалини (мінеральної сировини) у таких розмірах:</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6314"/>
        <w:gridCol w:w="3608"/>
      </w:tblGrid>
      <w:tr w:rsidR="008B264B" w:rsidRPr="008B264B" w14:paraId="1DDA29BA" w14:textId="77777777" w:rsidTr="008B264B">
        <w:trPr>
          <w:trHeight w:val="570"/>
        </w:trPr>
        <w:tc>
          <w:tcPr>
            <w:tcW w:w="3150" w:type="pct"/>
            <w:tcBorders>
              <w:top w:val="single" w:sz="6" w:space="0" w:color="000000"/>
              <w:left w:val="nil"/>
              <w:bottom w:val="single" w:sz="6" w:space="0" w:color="000000"/>
              <w:right w:val="single" w:sz="6" w:space="0" w:color="000000"/>
            </w:tcBorders>
            <w:shd w:val="clear" w:color="auto" w:fill="auto"/>
            <w:hideMark/>
          </w:tcPr>
          <w:p w14:paraId="3CE5414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973" w:name="n11519"/>
            <w:bookmarkEnd w:id="7973"/>
            <w:r w:rsidRPr="008B264B">
              <w:rPr>
                <w:rFonts w:ascii="Times New Roman" w:eastAsia="Times New Roman" w:hAnsi="Times New Roman" w:cs="Times New Roman"/>
                <w:sz w:val="24"/>
                <w:szCs w:val="24"/>
                <w:lang/>
              </w:rPr>
              <w:lastRenderedPageBreak/>
              <w:t>Назва груп корисних копалин, що надана у користування надрами гірничому підприємству</w:t>
            </w:r>
          </w:p>
        </w:tc>
        <w:tc>
          <w:tcPr>
            <w:tcW w:w="1800" w:type="pct"/>
            <w:tcBorders>
              <w:top w:val="single" w:sz="6" w:space="0" w:color="000000"/>
              <w:left w:val="single" w:sz="6" w:space="0" w:color="000000"/>
              <w:bottom w:val="single" w:sz="6" w:space="0" w:color="000000"/>
              <w:right w:val="nil"/>
            </w:tcBorders>
            <w:shd w:val="clear" w:color="auto" w:fill="auto"/>
            <w:hideMark/>
          </w:tcPr>
          <w:p w14:paraId="4206E7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відсоток від вартості товарної продукції гірничого підприємства</w:t>
            </w:r>
          </w:p>
        </w:tc>
      </w:tr>
      <w:tr w:rsidR="008B264B" w:rsidRPr="008B264B" w14:paraId="733E4193" w14:textId="77777777" w:rsidTr="008B264B">
        <w:trPr>
          <w:trHeight w:val="720"/>
        </w:trPr>
        <w:tc>
          <w:tcPr>
            <w:tcW w:w="3150" w:type="pct"/>
            <w:tcBorders>
              <w:top w:val="nil"/>
              <w:left w:val="nil"/>
              <w:bottom w:val="nil"/>
              <w:right w:val="nil"/>
            </w:tcBorders>
            <w:shd w:val="clear" w:color="auto" w:fill="auto"/>
            <w:hideMark/>
          </w:tcPr>
          <w:p w14:paraId="557F75C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рудні (металовмісні (металічні), у тому числі руди) корисні копалини:</w:t>
            </w:r>
          </w:p>
        </w:tc>
        <w:tc>
          <w:tcPr>
            <w:tcW w:w="1800" w:type="pct"/>
            <w:tcBorders>
              <w:top w:val="nil"/>
              <w:left w:val="nil"/>
              <w:bottom w:val="nil"/>
              <w:right w:val="nil"/>
            </w:tcBorders>
            <w:shd w:val="clear" w:color="auto" w:fill="auto"/>
            <w:hideMark/>
          </w:tcPr>
          <w:p w14:paraId="15D6F9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8B8D0A9" w14:textId="77777777" w:rsidTr="008B264B">
        <w:trPr>
          <w:trHeight w:val="360"/>
        </w:trPr>
        <w:tc>
          <w:tcPr>
            <w:tcW w:w="3150" w:type="pct"/>
            <w:tcBorders>
              <w:top w:val="nil"/>
              <w:left w:val="nil"/>
              <w:bottom w:val="nil"/>
              <w:right w:val="nil"/>
            </w:tcBorders>
            <w:shd w:val="clear" w:color="auto" w:fill="auto"/>
            <w:hideMark/>
          </w:tcPr>
          <w:p w14:paraId="36668DC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чорних металів (крім залізної руди), кольорових та легувальних металів</w:t>
            </w:r>
          </w:p>
        </w:tc>
        <w:tc>
          <w:tcPr>
            <w:tcW w:w="1800" w:type="pct"/>
            <w:tcBorders>
              <w:top w:val="nil"/>
              <w:left w:val="nil"/>
              <w:bottom w:val="nil"/>
              <w:right w:val="nil"/>
            </w:tcBorders>
            <w:shd w:val="clear" w:color="auto" w:fill="auto"/>
            <w:hideMark/>
          </w:tcPr>
          <w:p w14:paraId="1758E7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5,00</w:t>
            </w:r>
          </w:p>
        </w:tc>
      </w:tr>
      <w:tr w:rsidR="008B264B" w:rsidRPr="008B264B" w14:paraId="230A24C7" w14:textId="77777777" w:rsidTr="008B264B">
        <w:trPr>
          <w:trHeight w:val="360"/>
        </w:trPr>
        <w:tc>
          <w:tcPr>
            <w:tcW w:w="3150" w:type="pct"/>
            <w:tcBorders>
              <w:top w:val="nil"/>
              <w:left w:val="nil"/>
              <w:bottom w:val="nil"/>
              <w:right w:val="nil"/>
            </w:tcBorders>
            <w:shd w:val="clear" w:color="auto" w:fill="auto"/>
            <w:hideMark/>
          </w:tcPr>
          <w:p w14:paraId="7529D0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залізна руда</w:t>
            </w:r>
          </w:p>
        </w:tc>
        <w:tc>
          <w:tcPr>
            <w:tcW w:w="1800" w:type="pct"/>
            <w:tcBorders>
              <w:top w:val="nil"/>
              <w:left w:val="nil"/>
              <w:bottom w:val="nil"/>
              <w:right w:val="nil"/>
            </w:tcBorders>
            <w:shd w:val="clear" w:color="auto" w:fill="auto"/>
            <w:hideMark/>
          </w:tcPr>
          <w:p w14:paraId="603317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8,00</w:t>
            </w:r>
          </w:p>
        </w:tc>
      </w:tr>
      <w:tr w:rsidR="008B264B" w:rsidRPr="008B264B" w14:paraId="4DCFA36A" w14:textId="77777777" w:rsidTr="008B264B">
        <w:trPr>
          <w:trHeight w:val="375"/>
        </w:trPr>
        <w:tc>
          <w:tcPr>
            <w:tcW w:w="3150" w:type="pct"/>
            <w:tcBorders>
              <w:top w:val="nil"/>
              <w:left w:val="nil"/>
              <w:bottom w:val="nil"/>
              <w:right w:val="nil"/>
            </w:tcBorders>
            <w:shd w:val="clear" w:color="auto" w:fill="auto"/>
            <w:hideMark/>
          </w:tcPr>
          <w:p w14:paraId="5731A21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урановмісні (в технологічному розчині)</w:t>
            </w:r>
          </w:p>
        </w:tc>
        <w:tc>
          <w:tcPr>
            <w:tcW w:w="1800" w:type="pct"/>
            <w:tcBorders>
              <w:top w:val="nil"/>
              <w:left w:val="nil"/>
              <w:bottom w:val="nil"/>
              <w:right w:val="nil"/>
            </w:tcBorders>
            <w:shd w:val="clear" w:color="auto" w:fill="auto"/>
            <w:hideMark/>
          </w:tcPr>
          <w:p w14:paraId="2623FD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5,00</w:t>
            </w:r>
          </w:p>
        </w:tc>
      </w:tr>
      <w:tr w:rsidR="008B264B" w:rsidRPr="008B264B" w14:paraId="7070FEFF" w14:textId="77777777" w:rsidTr="008B264B">
        <w:trPr>
          <w:trHeight w:val="645"/>
        </w:trPr>
        <w:tc>
          <w:tcPr>
            <w:tcW w:w="3150" w:type="pct"/>
            <w:tcBorders>
              <w:top w:val="nil"/>
              <w:left w:val="nil"/>
              <w:bottom w:val="nil"/>
              <w:right w:val="nil"/>
            </w:tcBorders>
            <w:shd w:val="clear" w:color="auto" w:fill="auto"/>
            <w:hideMark/>
          </w:tcPr>
          <w:p w14:paraId="31BCEAF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ніж урановмісні, чорних, кольорових та легувальних металів</w:t>
            </w:r>
          </w:p>
        </w:tc>
        <w:tc>
          <w:tcPr>
            <w:tcW w:w="1800" w:type="pct"/>
            <w:tcBorders>
              <w:top w:val="nil"/>
              <w:left w:val="nil"/>
              <w:bottom w:val="nil"/>
              <w:right w:val="nil"/>
            </w:tcBorders>
            <w:shd w:val="clear" w:color="auto" w:fill="auto"/>
            <w:hideMark/>
          </w:tcPr>
          <w:p w14:paraId="378E7D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5,00</w:t>
            </w:r>
          </w:p>
        </w:tc>
      </w:tr>
      <w:tr w:rsidR="008B264B" w:rsidRPr="008B264B" w14:paraId="7EBF54E0" w14:textId="77777777" w:rsidTr="008B264B">
        <w:trPr>
          <w:trHeight w:val="435"/>
        </w:trPr>
        <w:tc>
          <w:tcPr>
            <w:tcW w:w="3150" w:type="pct"/>
            <w:tcBorders>
              <w:top w:val="nil"/>
              <w:left w:val="nil"/>
              <w:bottom w:val="nil"/>
              <w:right w:val="nil"/>
            </w:tcBorders>
            <w:shd w:val="clear" w:color="auto" w:fill="auto"/>
            <w:hideMark/>
          </w:tcPr>
          <w:p w14:paraId="39F36D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енергетичні корисні копалини:</w:t>
            </w:r>
          </w:p>
        </w:tc>
        <w:tc>
          <w:tcPr>
            <w:tcW w:w="1800" w:type="pct"/>
            <w:tcBorders>
              <w:top w:val="nil"/>
              <w:left w:val="nil"/>
              <w:bottom w:val="nil"/>
              <w:right w:val="nil"/>
            </w:tcBorders>
            <w:shd w:val="clear" w:color="auto" w:fill="auto"/>
            <w:hideMark/>
          </w:tcPr>
          <w:p w14:paraId="4AC190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B823DE9" w14:textId="77777777" w:rsidTr="008B264B">
        <w:trPr>
          <w:trHeight w:val="375"/>
        </w:trPr>
        <w:tc>
          <w:tcPr>
            <w:tcW w:w="3150" w:type="pct"/>
            <w:tcBorders>
              <w:top w:val="nil"/>
              <w:left w:val="nil"/>
              <w:bottom w:val="nil"/>
              <w:right w:val="nil"/>
            </w:tcBorders>
            <w:shd w:val="clear" w:color="auto" w:fill="auto"/>
            <w:hideMark/>
          </w:tcPr>
          <w:p w14:paraId="0D280AA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вугілля:</w:t>
            </w:r>
          </w:p>
        </w:tc>
        <w:tc>
          <w:tcPr>
            <w:tcW w:w="1800" w:type="pct"/>
            <w:tcBorders>
              <w:top w:val="nil"/>
              <w:left w:val="nil"/>
              <w:bottom w:val="nil"/>
              <w:right w:val="nil"/>
            </w:tcBorders>
            <w:shd w:val="clear" w:color="auto" w:fill="auto"/>
            <w:hideMark/>
          </w:tcPr>
          <w:p w14:paraId="542CF3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6374E0C" w14:textId="77777777" w:rsidTr="008B264B">
        <w:trPr>
          <w:trHeight w:val="405"/>
        </w:trPr>
        <w:tc>
          <w:tcPr>
            <w:tcW w:w="3150" w:type="pct"/>
            <w:tcBorders>
              <w:top w:val="nil"/>
              <w:left w:val="nil"/>
              <w:bottom w:val="nil"/>
              <w:right w:val="nil"/>
            </w:tcBorders>
            <w:shd w:val="clear" w:color="auto" w:fill="auto"/>
            <w:hideMark/>
          </w:tcPr>
          <w:p w14:paraId="2E8DF3C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коксівне</w:t>
            </w:r>
          </w:p>
        </w:tc>
        <w:tc>
          <w:tcPr>
            <w:tcW w:w="1800" w:type="pct"/>
            <w:tcBorders>
              <w:top w:val="nil"/>
              <w:left w:val="nil"/>
              <w:bottom w:val="nil"/>
              <w:right w:val="nil"/>
            </w:tcBorders>
            <w:shd w:val="clear" w:color="auto" w:fill="auto"/>
            <w:hideMark/>
          </w:tcPr>
          <w:p w14:paraId="16CDF4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w:t>
            </w:r>
          </w:p>
        </w:tc>
      </w:tr>
      <w:tr w:rsidR="008B264B" w:rsidRPr="008B264B" w14:paraId="58FDD4F1" w14:textId="77777777" w:rsidTr="008B264B">
        <w:trPr>
          <w:trHeight w:val="375"/>
        </w:trPr>
        <w:tc>
          <w:tcPr>
            <w:tcW w:w="3150" w:type="pct"/>
            <w:tcBorders>
              <w:top w:val="nil"/>
              <w:left w:val="nil"/>
              <w:bottom w:val="nil"/>
              <w:right w:val="nil"/>
            </w:tcBorders>
            <w:shd w:val="clear" w:color="auto" w:fill="auto"/>
            <w:hideMark/>
          </w:tcPr>
          <w:p w14:paraId="42BA100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енергетичне</w:t>
            </w:r>
          </w:p>
        </w:tc>
        <w:tc>
          <w:tcPr>
            <w:tcW w:w="1800" w:type="pct"/>
            <w:tcBorders>
              <w:top w:val="nil"/>
              <w:left w:val="nil"/>
              <w:bottom w:val="nil"/>
              <w:right w:val="nil"/>
            </w:tcBorders>
            <w:shd w:val="clear" w:color="auto" w:fill="auto"/>
            <w:hideMark/>
          </w:tcPr>
          <w:p w14:paraId="7706BF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0,75</w:t>
            </w:r>
          </w:p>
        </w:tc>
      </w:tr>
      <w:tr w:rsidR="008B264B" w:rsidRPr="008B264B" w14:paraId="64D1FA35" w14:textId="77777777" w:rsidTr="008B264B">
        <w:trPr>
          <w:trHeight w:val="375"/>
        </w:trPr>
        <w:tc>
          <w:tcPr>
            <w:tcW w:w="3150" w:type="pct"/>
            <w:tcBorders>
              <w:top w:val="nil"/>
              <w:left w:val="nil"/>
              <w:bottom w:val="nil"/>
              <w:right w:val="nil"/>
            </w:tcBorders>
            <w:shd w:val="clear" w:color="auto" w:fill="auto"/>
            <w:hideMark/>
          </w:tcPr>
          <w:p w14:paraId="1CDF067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антрацит</w:t>
            </w:r>
          </w:p>
        </w:tc>
        <w:tc>
          <w:tcPr>
            <w:tcW w:w="1800" w:type="pct"/>
            <w:tcBorders>
              <w:top w:val="nil"/>
              <w:left w:val="nil"/>
              <w:bottom w:val="nil"/>
              <w:right w:val="nil"/>
            </w:tcBorders>
            <w:shd w:val="clear" w:color="auto" w:fill="auto"/>
            <w:hideMark/>
          </w:tcPr>
          <w:p w14:paraId="330869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1,00</w:t>
            </w:r>
          </w:p>
        </w:tc>
      </w:tr>
      <w:tr w:rsidR="008B264B" w:rsidRPr="008B264B" w14:paraId="757ECEBC" w14:textId="77777777" w:rsidTr="008B264B">
        <w:trPr>
          <w:trHeight w:val="375"/>
        </w:trPr>
        <w:tc>
          <w:tcPr>
            <w:tcW w:w="3150" w:type="pct"/>
            <w:tcBorders>
              <w:top w:val="nil"/>
              <w:left w:val="nil"/>
              <w:bottom w:val="nil"/>
              <w:right w:val="nil"/>
            </w:tcBorders>
            <w:shd w:val="clear" w:color="auto" w:fill="auto"/>
            <w:hideMark/>
          </w:tcPr>
          <w:p w14:paraId="6678A2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буре</w:t>
            </w:r>
          </w:p>
        </w:tc>
        <w:tc>
          <w:tcPr>
            <w:tcW w:w="1800" w:type="pct"/>
            <w:tcBorders>
              <w:top w:val="nil"/>
              <w:left w:val="nil"/>
              <w:bottom w:val="nil"/>
              <w:right w:val="nil"/>
            </w:tcBorders>
            <w:shd w:val="clear" w:color="auto" w:fill="auto"/>
            <w:hideMark/>
          </w:tcPr>
          <w:p w14:paraId="3D0149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1,00</w:t>
            </w:r>
          </w:p>
        </w:tc>
      </w:tr>
      <w:tr w:rsidR="008B264B" w:rsidRPr="008B264B" w14:paraId="51DEF843" w14:textId="77777777" w:rsidTr="008B264B">
        <w:trPr>
          <w:trHeight w:val="375"/>
        </w:trPr>
        <w:tc>
          <w:tcPr>
            <w:tcW w:w="3150" w:type="pct"/>
            <w:tcBorders>
              <w:top w:val="nil"/>
              <w:left w:val="nil"/>
              <w:bottom w:val="nil"/>
              <w:right w:val="nil"/>
            </w:tcBorders>
            <w:shd w:val="clear" w:color="auto" w:fill="auto"/>
            <w:hideMark/>
          </w:tcPr>
          <w:p w14:paraId="1CCDEBE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торф</w:t>
            </w:r>
          </w:p>
        </w:tc>
        <w:tc>
          <w:tcPr>
            <w:tcW w:w="1800" w:type="pct"/>
            <w:tcBorders>
              <w:top w:val="nil"/>
              <w:left w:val="nil"/>
              <w:bottom w:val="nil"/>
              <w:right w:val="nil"/>
            </w:tcBorders>
            <w:shd w:val="clear" w:color="auto" w:fill="auto"/>
            <w:hideMark/>
          </w:tcPr>
          <w:p w14:paraId="22DEA1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1,00</w:t>
            </w:r>
          </w:p>
        </w:tc>
      </w:tr>
      <w:tr w:rsidR="008B264B" w:rsidRPr="008B264B" w14:paraId="22E82F48" w14:textId="77777777" w:rsidTr="008B264B">
        <w:trPr>
          <w:trHeight w:val="375"/>
        </w:trPr>
        <w:tc>
          <w:tcPr>
            <w:tcW w:w="3150" w:type="pct"/>
            <w:tcBorders>
              <w:top w:val="nil"/>
              <w:left w:val="nil"/>
              <w:bottom w:val="nil"/>
              <w:right w:val="nil"/>
            </w:tcBorders>
            <w:shd w:val="clear" w:color="auto" w:fill="auto"/>
            <w:hideMark/>
          </w:tcPr>
          <w:p w14:paraId="71E714C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вуглеводні:</w:t>
            </w:r>
          </w:p>
        </w:tc>
        <w:tc>
          <w:tcPr>
            <w:tcW w:w="1800" w:type="pct"/>
            <w:tcBorders>
              <w:top w:val="nil"/>
              <w:left w:val="nil"/>
              <w:bottom w:val="nil"/>
              <w:right w:val="nil"/>
            </w:tcBorders>
            <w:shd w:val="clear" w:color="auto" w:fill="auto"/>
            <w:hideMark/>
          </w:tcPr>
          <w:p w14:paraId="491417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0478D4F" w14:textId="77777777" w:rsidTr="008B264B">
        <w:trPr>
          <w:trHeight w:val="375"/>
        </w:trPr>
        <w:tc>
          <w:tcPr>
            <w:tcW w:w="3150" w:type="pct"/>
            <w:tcBorders>
              <w:top w:val="nil"/>
              <w:left w:val="nil"/>
              <w:bottom w:val="nil"/>
              <w:right w:val="nil"/>
            </w:tcBorders>
            <w:shd w:val="clear" w:color="auto" w:fill="auto"/>
            <w:hideMark/>
          </w:tcPr>
          <w:p w14:paraId="406A9AB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нафта:</w:t>
            </w:r>
          </w:p>
        </w:tc>
        <w:tc>
          <w:tcPr>
            <w:tcW w:w="1800" w:type="pct"/>
            <w:tcBorders>
              <w:top w:val="nil"/>
              <w:left w:val="nil"/>
              <w:bottom w:val="nil"/>
              <w:right w:val="nil"/>
            </w:tcBorders>
            <w:shd w:val="clear" w:color="auto" w:fill="auto"/>
            <w:hideMark/>
          </w:tcPr>
          <w:p w14:paraId="54BF77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60441B59" w14:textId="77777777" w:rsidTr="008B264B">
        <w:trPr>
          <w:trHeight w:val="735"/>
        </w:trPr>
        <w:tc>
          <w:tcPr>
            <w:tcW w:w="3150" w:type="pct"/>
            <w:tcBorders>
              <w:top w:val="nil"/>
              <w:left w:val="nil"/>
              <w:bottom w:val="nil"/>
              <w:right w:val="nil"/>
            </w:tcBorders>
            <w:shd w:val="clear" w:color="auto" w:fill="auto"/>
            <w:hideMark/>
          </w:tcPr>
          <w:p w14:paraId="6404EA2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або частково залягають на глибині до 5000 метрів</w:t>
            </w:r>
          </w:p>
        </w:tc>
        <w:tc>
          <w:tcPr>
            <w:tcW w:w="1800" w:type="pct"/>
            <w:tcBorders>
              <w:top w:val="nil"/>
              <w:left w:val="nil"/>
              <w:bottom w:val="nil"/>
              <w:right w:val="nil"/>
            </w:tcBorders>
            <w:shd w:val="clear" w:color="auto" w:fill="auto"/>
            <w:hideMark/>
          </w:tcPr>
          <w:p w14:paraId="2B9723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31,00</w:t>
            </w:r>
          </w:p>
        </w:tc>
      </w:tr>
      <w:tr w:rsidR="008B264B" w:rsidRPr="008B264B" w14:paraId="1A679904" w14:textId="77777777" w:rsidTr="008B264B">
        <w:trPr>
          <w:trHeight w:val="705"/>
        </w:trPr>
        <w:tc>
          <w:tcPr>
            <w:tcW w:w="3150" w:type="pct"/>
            <w:tcBorders>
              <w:top w:val="nil"/>
              <w:left w:val="nil"/>
              <w:bottom w:val="nil"/>
              <w:right w:val="nil"/>
            </w:tcBorders>
            <w:shd w:val="clear" w:color="auto" w:fill="auto"/>
            <w:hideMark/>
          </w:tcPr>
          <w:p w14:paraId="2FDA1CE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залягають на глибині понад 5000 метрів</w:t>
            </w:r>
          </w:p>
        </w:tc>
        <w:tc>
          <w:tcPr>
            <w:tcW w:w="1800" w:type="pct"/>
            <w:tcBorders>
              <w:top w:val="nil"/>
              <w:left w:val="nil"/>
              <w:bottom w:val="nil"/>
              <w:right w:val="nil"/>
            </w:tcBorders>
            <w:shd w:val="clear" w:color="auto" w:fill="auto"/>
            <w:hideMark/>
          </w:tcPr>
          <w:p w14:paraId="5D9439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16,00</w:t>
            </w:r>
          </w:p>
        </w:tc>
      </w:tr>
      <w:tr w:rsidR="008B264B" w:rsidRPr="008B264B" w14:paraId="240F4299" w14:textId="77777777" w:rsidTr="008B264B">
        <w:trPr>
          <w:trHeight w:val="360"/>
        </w:trPr>
        <w:tc>
          <w:tcPr>
            <w:tcW w:w="3150" w:type="pct"/>
            <w:tcBorders>
              <w:top w:val="nil"/>
              <w:left w:val="nil"/>
              <w:bottom w:val="nil"/>
              <w:right w:val="nil"/>
            </w:tcBorders>
            <w:shd w:val="clear" w:color="auto" w:fill="auto"/>
            <w:hideMark/>
          </w:tcPr>
          <w:p w14:paraId="1365F7F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Конденсат:</w:t>
            </w:r>
          </w:p>
        </w:tc>
        <w:tc>
          <w:tcPr>
            <w:tcW w:w="1800" w:type="pct"/>
            <w:tcBorders>
              <w:top w:val="nil"/>
              <w:left w:val="nil"/>
              <w:bottom w:val="nil"/>
              <w:right w:val="nil"/>
            </w:tcBorders>
            <w:shd w:val="clear" w:color="auto" w:fill="auto"/>
            <w:hideMark/>
          </w:tcPr>
          <w:p w14:paraId="49E6531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7CDBCE9" w14:textId="77777777" w:rsidTr="008B264B">
        <w:trPr>
          <w:trHeight w:val="705"/>
        </w:trPr>
        <w:tc>
          <w:tcPr>
            <w:tcW w:w="3150" w:type="pct"/>
            <w:tcBorders>
              <w:top w:val="nil"/>
              <w:left w:val="nil"/>
              <w:bottom w:val="nil"/>
              <w:right w:val="nil"/>
            </w:tcBorders>
            <w:shd w:val="clear" w:color="auto" w:fill="auto"/>
            <w:hideMark/>
          </w:tcPr>
          <w:p w14:paraId="787AB0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або частково залягають на глибині до 5000 метрів</w:t>
            </w:r>
          </w:p>
        </w:tc>
        <w:tc>
          <w:tcPr>
            <w:tcW w:w="1800" w:type="pct"/>
            <w:tcBorders>
              <w:top w:val="nil"/>
              <w:left w:val="nil"/>
              <w:bottom w:val="nil"/>
              <w:right w:val="nil"/>
            </w:tcBorders>
            <w:shd w:val="clear" w:color="auto" w:fill="auto"/>
            <w:hideMark/>
          </w:tcPr>
          <w:p w14:paraId="15DFDA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31,00</w:t>
            </w:r>
          </w:p>
        </w:tc>
      </w:tr>
      <w:tr w:rsidR="008B264B" w:rsidRPr="008B264B" w14:paraId="7378E3DE" w14:textId="77777777" w:rsidTr="008B264B">
        <w:trPr>
          <w:trHeight w:val="705"/>
        </w:trPr>
        <w:tc>
          <w:tcPr>
            <w:tcW w:w="3150" w:type="pct"/>
            <w:tcBorders>
              <w:top w:val="nil"/>
              <w:left w:val="nil"/>
              <w:bottom w:val="nil"/>
              <w:right w:val="nil"/>
            </w:tcBorders>
            <w:shd w:val="clear" w:color="auto" w:fill="auto"/>
            <w:hideMark/>
          </w:tcPr>
          <w:p w14:paraId="3AD505C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залягають на глибині понад 5000 метрів</w:t>
            </w:r>
          </w:p>
        </w:tc>
        <w:tc>
          <w:tcPr>
            <w:tcW w:w="1800" w:type="pct"/>
            <w:tcBorders>
              <w:top w:val="nil"/>
              <w:left w:val="nil"/>
              <w:bottom w:val="nil"/>
              <w:right w:val="nil"/>
            </w:tcBorders>
            <w:shd w:val="clear" w:color="auto" w:fill="auto"/>
            <w:hideMark/>
          </w:tcPr>
          <w:p w14:paraId="194B29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16,00</w:t>
            </w:r>
          </w:p>
        </w:tc>
      </w:tr>
      <w:tr w:rsidR="008B264B" w:rsidRPr="008B264B" w14:paraId="0BE2C821" w14:textId="77777777" w:rsidTr="008B264B">
        <w:trPr>
          <w:trHeight w:val="705"/>
        </w:trPr>
        <w:tc>
          <w:tcPr>
            <w:tcW w:w="3150" w:type="pct"/>
            <w:tcBorders>
              <w:top w:val="nil"/>
              <w:left w:val="nil"/>
              <w:bottom w:val="nil"/>
              <w:right w:val="nil"/>
            </w:tcBorders>
            <w:shd w:val="clear" w:color="auto" w:fill="auto"/>
            <w:hideMark/>
          </w:tcPr>
          <w:p w14:paraId="7FCAA10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газ природний (будь-якого походження):</w:t>
            </w:r>
          </w:p>
        </w:tc>
        <w:tc>
          <w:tcPr>
            <w:tcW w:w="1800" w:type="pct"/>
            <w:tcBorders>
              <w:top w:val="nil"/>
              <w:left w:val="nil"/>
              <w:bottom w:val="nil"/>
              <w:right w:val="nil"/>
            </w:tcBorders>
            <w:shd w:val="clear" w:color="auto" w:fill="auto"/>
            <w:hideMark/>
          </w:tcPr>
          <w:p w14:paraId="1B905A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61178CE4" w14:textId="77777777" w:rsidTr="008B264B">
        <w:trPr>
          <w:trHeight w:val="705"/>
        </w:trPr>
        <w:tc>
          <w:tcPr>
            <w:tcW w:w="3150" w:type="pct"/>
            <w:tcBorders>
              <w:top w:val="nil"/>
              <w:left w:val="nil"/>
              <w:bottom w:val="nil"/>
              <w:right w:val="nil"/>
            </w:tcBorders>
            <w:shd w:val="clear" w:color="auto" w:fill="auto"/>
            <w:hideMark/>
          </w:tcPr>
          <w:p w14:paraId="1624580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природний газ, що відповідає умові, визначеній у пункті 252.24 цієї статті, видобутий з покладів до 5000 метрів</w:t>
            </w:r>
          </w:p>
        </w:tc>
        <w:tc>
          <w:tcPr>
            <w:tcW w:w="1800" w:type="pct"/>
            <w:tcBorders>
              <w:top w:val="nil"/>
              <w:left w:val="nil"/>
              <w:bottom w:val="nil"/>
              <w:right w:val="nil"/>
            </w:tcBorders>
            <w:shd w:val="clear" w:color="auto" w:fill="auto"/>
            <w:hideMark/>
          </w:tcPr>
          <w:p w14:paraId="0B51ED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29,00</w:t>
            </w:r>
          </w:p>
        </w:tc>
      </w:tr>
      <w:tr w:rsidR="008B264B" w:rsidRPr="008B264B" w14:paraId="440FE9FB" w14:textId="77777777" w:rsidTr="008B264B">
        <w:trPr>
          <w:trHeight w:val="705"/>
        </w:trPr>
        <w:tc>
          <w:tcPr>
            <w:tcW w:w="3150" w:type="pct"/>
            <w:tcBorders>
              <w:top w:val="nil"/>
              <w:left w:val="nil"/>
              <w:bottom w:val="nil"/>
              <w:right w:val="nil"/>
            </w:tcBorders>
            <w:shd w:val="clear" w:color="auto" w:fill="auto"/>
            <w:hideMark/>
          </w:tcPr>
          <w:p w14:paraId="5F84E38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природний газ, що відповідає умові, визначеній у пункті 252.24 цієї статті, видобутий з покладів понад 5000 метрів</w:t>
            </w:r>
          </w:p>
        </w:tc>
        <w:tc>
          <w:tcPr>
            <w:tcW w:w="1800" w:type="pct"/>
            <w:tcBorders>
              <w:top w:val="nil"/>
              <w:left w:val="nil"/>
              <w:bottom w:val="nil"/>
              <w:right w:val="nil"/>
            </w:tcBorders>
            <w:shd w:val="clear" w:color="auto" w:fill="auto"/>
            <w:hideMark/>
          </w:tcPr>
          <w:p w14:paraId="08190C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14,00</w:t>
            </w:r>
          </w:p>
        </w:tc>
      </w:tr>
      <w:tr w:rsidR="008B264B" w:rsidRPr="008B264B" w14:paraId="3EC575C2" w14:textId="77777777" w:rsidTr="008B264B">
        <w:trPr>
          <w:trHeight w:val="705"/>
        </w:trPr>
        <w:tc>
          <w:tcPr>
            <w:tcW w:w="3150" w:type="pct"/>
            <w:tcBorders>
              <w:top w:val="nil"/>
              <w:left w:val="nil"/>
              <w:bottom w:val="nil"/>
              <w:right w:val="nil"/>
            </w:tcBorders>
            <w:shd w:val="clear" w:color="auto" w:fill="auto"/>
            <w:hideMark/>
          </w:tcPr>
          <w:p w14:paraId="31901EA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на ділянках надр (родовищах) в межах континентального шельфу та/або виключної (морської) економічної зони України</w:t>
            </w:r>
          </w:p>
        </w:tc>
        <w:tc>
          <w:tcPr>
            <w:tcW w:w="1800" w:type="pct"/>
            <w:tcBorders>
              <w:top w:val="nil"/>
              <w:left w:val="nil"/>
              <w:bottom w:val="nil"/>
              <w:right w:val="nil"/>
            </w:tcBorders>
            <w:shd w:val="clear" w:color="auto" w:fill="auto"/>
            <w:hideMark/>
          </w:tcPr>
          <w:p w14:paraId="00F47F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11,00</w:t>
            </w:r>
          </w:p>
        </w:tc>
      </w:tr>
      <w:tr w:rsidR="008B264B" w:rsidRPr="008B264B" w14:paraId="0E214080" w14:textId="77777777" w:rsidTr="008B264B">
        <w:trPr>
          <w:trHeight w:val="705"/>
        </w:trPr>
        <w:tc>
          <w:tcPr>
            <w:tcW w:w="3150" w:type="pct"/>
            <w:tcBorders>
              <w:top w:val="nil"/>
              <w:left w:val="nil"/>
              <w:bottom w:val="nil"/>
              <w:right w:val="nil"/>
            </w:tcBorders>
            <w:shd w:val="clear" w:color="auto" w:fill="auto"/>
            <w:hideMark/>
          </w:tcPr>
          <w:p w14:paraId="38436ED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природний газ, видобутий під час виконання договорів про спільну діяльність</w:t>
            </w:r>
          </w:p>
        </w:tc>
        <w:tc>
          <w:tcPr>
            <w:tcW w:w="1800" w:type="pct"/>
            <w:tcBorders>
              <w:top w:val="nil"/>
              <w:left w:val="nil"/>
              <w:bottom w:val="nil"/>
              <w:right w:val="nil"/>
            </w:tcBorders>
            <w:shd w:val="clear" w:color="auto" w:fill="auto"/>
            <w:hideMark/>
          </w:tcPr>
          <w:p w14:paraId="0DFF16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70,00</w:t>
            </w:r>
          </w:p>
        </w:tc>
      </w:tr>
      <w:tr w:rsidR="008B264B" w:rsidRPr="008B264B" w14:paraId="743B9693" w14:textId="77777777" w:rsidTr="008B264B">
        <w:trPr>
          <w:trHeight w:val="705"/>
        </w:trPr>
        <w:tc>
          <w:tcPr>
            <w:tcW w:w="3150" w:type="pct"/>
            <w:tcBorders>
              <w:top w:val="nil"/>
              <w:left w:val="nil"/>
              <w:bottom w:val="nil"/>
              <w:right w:val="nil"/>
            </w:tcBorders>
            <w:shd w:val="clear" w:color="auto" w:fill="auto"/>
            <w:hideMark/>
          </w:tcPr>
          <w:p w14:paraId="2CB4338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або частково залягають на глибині до 5000 метрів</w:t>
            </w:r>
          </w:p>
        </w:tc>
        <w:tc>
          <w:tcPr>
            <w:tcW w:w="1800" w:type="pct"/>
            <w:tcBorders>
              <w:top w:val="nil"/>
              <w:left w:val="nil"/>
              <w:bottom w:val="nil"/>
              <w:right w:val="nil"/>
            </w:tcBorders>
            <w:shd w:val="clear" w:color="auto" w:fill="auto"/>
            <w:hideMark/>
          </w:tcPr>
          <w:p w14:paraId="1828E73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29,00</w:t>
            </w:r>
          </w:p>
        </w:tc>
      </w:tr>
      <w:tr w:rsidR="008B264B" w:rsidRPr="008B264B" w14:paraId="487DE94C" w14:textId="77777777" w:rsidTr="008B264B">
        <w:trPr>
          <w:trHeight w:val="705"/>
        </w:trPr>
        <w:tc>
          <w:tcPr>
            <w:tcW w:w="3150" w:type="pct"/>
            <w:tcBorders>
              <w:top w:val="nil"/>
              <w:left w:val="nil"/>
              <w:bottom w:val="nil"/>
              <w:right w:val="nil"/>
            </w:tcBorders>
            <w:shd w:val="clear" w:color="auto" w:fill="auto"/>
            <w:hideMark/>
          </w:tcPr>
          <w:p w14:paraId="2D0C84E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покладів, які повністю залягають на глибині понад 5000 метрів</w:t>
            </w:r>
          </w:p>
        </w:tc>
        <w:tc>
          <w:tcPr>
            <w:tcW w:w="1800" w:type="pct"/>
            <w:tcBorders>
              <w:top w:val="nil"/>
              <w:left w:val="nil"/>
              <w:bottom w:val="nil"/>
              <w:right w:val="nil"/>
            </w:tcBorders>
            <w:shd w:val="clear" w:color="auto" w:fill="auto"/>
            <w:hideMark/>
          </w:tcPr>
          <w:p w14:paraId="54547E4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14,00</w:t>
            </w:r>
          </w:p>
        </w:tc>
      </w:tr>
      <w:tr w:rsidR="008B264B" w:rsidRPr="008B264B" w14:paraId="7014CE14" w14:textId="77777777" w:rsidTr="008B264B">
        <w:trPr>
          <w:trHeight w:val="705"/>
        </w:trPr>
        <w:tc>
          <w:tcPr>
            <w:tcW w:w="3150" w:type="pct"/>
            <w:tcBorders>
              <w:top w:val="nil"/>
              <w:left w:val="nil"/>
              <w:bottom w:val="nil"/>
              <w:right w:val="nil"/>
            </w:tcBorders>
            <w:shd w:val="clear" w:color="auto" w:fill="auto"/>
            <w:hideMark/>
          </w:tcPr>
          <w:p w14:paraId="216BF19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неенергетичні, нерудні (неметаловмісні (неметалічні) корисні копалини, води підземні</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sz w:val="24"/>
                <w:szCs w:val="24"/>
                <w:lang/>
              </w:rPr>
              <w:t>), води поверхневі, грязі лікувальні (пелоїди), крім бурштину</w:t>
            </w:r>
          </w:p>
        </w:tc>
        <w:tc>
          <w:tcPr>
            <w:tcW w:w="1800" w:type="pct"/>
            <w:tcBorders>
              <w:top w:val="nil"/>
              <w:left w:val="nil"/>
              <w:bottom w:val="nil"/>
              <w:right w:val="nil"/>
            </w:tcBorders>
            <w:shd w:val="clear" w:color="auto" w:fill="auto"/>
            <w:hideMark/>
          </w:tcPr>
          <w:p w14:paraId="451FCD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5,00</w:t>
            </w:r>
          </w:p>
        </w:tc>
      </w:tr>
      <w:tr w:rsidR="008B264B" w:rsidRPr="008B264B" w14:paraId="46699850" w14:textId="77777777" w:rsidTr="008B264B">
        <w:trPr>
          <w:trHeight w:val="705"/>
        </w:trPr>
        <w:tc>
          <w:tcPr>
            <w:tcW w:w="3150" w:type="pct"/>
            <w:tcBorders>
              <w:top w:val="nil"/>
              <w:left w:val="nil"/>
              <w:bottom w:val="nil"/>
              <w:right w:val="nil"/>
            </w:tcBorders>
            <w:shd w:val="clear" w:color="auto" w:fill="auto"/>
            <w:hideMark/>
          </w:tcPr>
          <w:p w14:paraId="6932C8C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бурштин</w:t>
            </w:r>
          </w:p>
        </w:tc>
        <w:tc>
          <w:tcPr>
            <w:tcW w:w="1800" w:type="pct"/>
            <w:tcBorders>
              <w:top w:val="nil"/>
              <w:left w:val="nil"/>
              <w:bottom w:val="nil"/>
              <w:right w:val="nil"/>
            </w:tcBorders>
            <w:shd w:val="clear" w:color="auto" w:fill="auto"/>
            <w:hideMark/>
          </w:tcPr>
          <w:p w14:paraId="5C4E644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25,00</w:t>
            </w:r>
          </w:p>
        </w:tc>
      </w:tr>
      <w:tr w:rsidR="008B264B" w:rsidRPr="008B264B" w14:paraId="677F38A5" w14:textId="77777777" w:rsidTr="008B264B">
        <w:trPr>
          <w:trHeight w:val="705"/>
        </w:trPr>
        <w:tc>
          <w:tcPr>
            <w:tcW w:w="3150" w:type="pct"/>
            <w:tcBorders>
              <w:top w:val="nil"/>
              <w:left w:val="nil"/>
              <w:bottom w:val="nil"/>
              <w:right w:val="nil"/>
            </w:tcBorders>
            <w:shd w:val="clear" w:color="auto" w:fill="auto"/>
            <w:hideMark/>
          </w:tcPr>
          <w:p w14:paraId="5C0508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природний газ, видобутий із нових свердловин з покладів, які повністю або частково залягають на глибині до 5000 метрів (крім природного газу, видобутого під час виконання договорів про спільну діяльність)</w:t>
            </w:r>
          </w:p>
        </w:tc>
        <w:tc>
          <w:tcPr>
            <w:tcW w:w="1800" w:type="pct"/>
            <w:tcBorders>
              <w:top w:val="nil"/>
              <w:left w:val="nil"/>
              <w:bottom w:val="nil"/>
              <w:right w:val="nil"/>
            </w:tcBorders>
            <w:shd w:val="clear" w:color="auto" w:fill="auto"/>
            <w:hideMark/>
          </w:tcPr>
          <w:p w14:paraId="482250B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12,00</w:t>
            </w:r>
          </w:p>
        </w:tc>
      </w:tr>
      <w:tr w:rsidR="008B264B" w:rsidRPr="008B264B" w14:paraId="3AA3EAE8" w14:textId="77777777" w:rsidTr="008B264B">
        <w:trPr>
          <w:trHeight w:val="705"/>
        </w:trPr>
        <w:tc>
          <w:tcPr>
            <w:tcW w:w="3150" w:type="pct"/>
            <w:tcBorders>
              <w:top w:val="nil"/>
              <w:left w:val="nil"/>
              <w:bottom w:val="nil"/>
              <w:right w:val="nil"/>
            </w:tcBorders>
            <w:shd w:val="clear" w:color="auto" w:fill="auto"/>
            <w:hideMark/>
          </w:tcPr>
          <w:p w14:paraId="16AD0CA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природний газ, видобутий із нових свердловин з покладів, які повністю або частково залягають на глибині понад 5000 метрів (крім природного газу, видобутого під час виконання договорів про спільну діяльність)</w:t>
            </w:r>
          </w:p>
        </w:tc>
        <w:tc>
          <w:tcPr>
            <w:tcW w:w="1800" w:type="pct"/>
            <w:tcBorders>
              <w:top w:val="nil"/>
              <w:left w:val="nil"/>
              <w:bottom w:val="nil"/>
              <w:right w:val="nil"/>
            </w:tcBorders>
            <w:shd w:val="clear" w:color="auto" w:fill="auto"/>
            <w:hideMark/>
          </w:tcPr>
          <w:p w14:paraId="07CC10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6,00</w:t>
            </w:r>
          </w:p>
        </w:tc>
      </w:tr>
    </w:tbl>
    <w:p w14:paraId="3D779F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4" w:name="n11520"/>
      <w:bookmarkEnd w:id="7974"/>
      <w:r w:rsidRPr="008B264B">
        <w:rPr>
          <w:rFonts w:ascii="Times New Roman" w:eastAsia="Times New Roman" w:hAnsi="Times New Roman" w:cs="Times New Roman"/>
          <w:i/>
          <w:iCs/>
          <w:color w:val="000000"/>
          <w:sz w:val="24"/>
          <w:szCs w:val="24"/>
          <w:lang/>
        </w:rPr>
        <w:t>{Примітку </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пункту 252.20</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статті 252 виключено на підставі Закону </w:t>
      </w:r>
      <w:hyperlink r:id="rId4494" w:anchor="n15"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w:t>
      </w:r>
    </w:p>
    <w:p w14:paraId="312F97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5" w:name="n15371"/>
      <w:bookmarkEnd w:id="7975"/>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 1 січня 2019 року до 31 грудня 2019 року (включно) до ставки рентної плати за користування надрами для видобування залізної руди застосовується коефіцієнт 1,1.</w:t>
      </w:r>
    </w:p>
    <w:p w14:paraId="09E5D9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6" w:name="n15370"/>
      <w:bookmarkEnd w:id="7976"/>
      <w:r w:rsidRPr="008B264B">
        <w:rPr>
          <w:rFonts w:ascii="Times New Roman" w:eastAsia="Times New Roman" w:hAnsi="Times New Roman" w:cs="Times New Roman"/>
          <w:i/>
          <w:iCs/>
          <w:color w:val="000000"/>
          <w:sz w:val="24"/>
          <w:szCs w:val="24"/>
          <w:lang/>
        </w:rPr>
        <w:t>{До пункту 252.20 статті 252 включено примітку </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згідно із Законом </w:t>
      </w:r>
      <w:hyperlink r:id="rId4495" w:anchor="n6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1C612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7" w:name="n11521"/>
      <w:bookmarkEnd w:id="7977"/>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Рентна плата за користування надрами для видобування прісних підземних вод, які видобуваються платниками, зазначеними у </w:t>
      </w:r>
      <w:hyperlink r:id="rId4496" w:anchor="n11445" w:history="1">
        <w:r w:rsidRPr="008B264B">
          <w:rPr>
            <w:rFonts w:ascii="Times New Roman" w:eastAsia="Times New Roman" w:hAnsi="Times New Roman" w:cs="Times New Roman"/>
            <w:color w:val="0000FF"/>
            <w:sz w:val="24"/>
            <w:szCs w:val="24"/>
            <w:u w:val="single"/>
            <w:lang/>
          </w:rPr>
          <w:t>підпункті 252.1.5</w:t>
        </w:r>
      </w:hyperlink>
      <w:r w:rsidRPr="008B264B">
        <w:rPr>
          <w:rFonts w:ascii="Times New Roman" w:eastAsia="Times New Roman" w:hAnsi="Times New Roman" w:cs="Times New Roman"/>
          <w:color w:val="000000"/>
          <w:sz w:val="24"/>
          <w:szCs w:val="24"/>
          <w:lang/>
        </w:rPr>
        <w:t> пункту 252.1 цієї статті, застосовується за ставками, визначеними у </w:t>
      </w:r>
      <w:hyperlink r:id="rId4497" w:anchor="n11609" w:history="1">
        <w:r w:rsidRPr="008B264B">
          <w:rPr>
            <w:rFonts w:ascii="Times New Roman" w:eastAsia="Times New Roman" w:hAnsi="Times New Roman" w:cs="Times New Roman"/>
            <w:color w:val="0000FF"/>
            <w:sz w:val="24"/>
            <w:szCs w:val="24"/>
            <w:u w:val="single"/>
            <w:lang/>
          </w:rPr>
          <w:t>підпункті 255.5.2 </w:t>
        </w:r>
      </w:hyperlink>
      <w:r w:rsidRPr="008B264B">
        <w:rPr>
          <w:rFonts w:ascii="Times New Roman" w:eastAsia="Times New Roman" w:hAnsi="Times New Roman" w:cs="Times New Roman"/>
          <w:color w:val="000000"/>
          <w:sz w:val="24"/>
          <w:szCs w:val="24"/>
          <w:lang/>
        </w:rPr>
        <w:t>пункту 255.5 статті 255 цього Кодексу.</w:t>
      </w:r>
    </w:p>
    <w:p w14:paraId="36C3C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8" w:name="n15095"/>
      <w:bookmarkEnd w:id="7978"/>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 xml:space="preserve"> В умовах дії угоди про розподіл продукції для нафти та конденсату, видобутих у межах території України, континентального шельфу, виключної (морської) економічної зони України, </w:t>
      </w:r>
      <w:r w:rsidRPr="008B264B">
        <w:rPr>
          <w:rFonts w:ascii="Times New Roman" w:eastAsia="Times New Roman" w:hAnsi="Times New Roman" w:cs="Times New Roman"/>
          <w:color w:val="000000"/>
          <w:sz w:val="24"/>
          <w:szCs w:val="24"/>
          <w:lang/>
        </w:rPr>
        <w:lastRenderedPageBreak/>
        <w:t>рентна плата за користування надрами для видобування корисних копалин справляється із застосуванням ставки у розмірі 2 відсотки вартості товарної продукції гірничого підприємства, а для газу природного, у тому числі газу, розчиненого у нафті (нафтового (попутного) газу), етану, пропану, бутану, газу (метану) вугільних родовищ, газу сланцевих товщ, газу центрально-басейнового типу, газу колекторів щільних порід, видобутого у межах території України, континентального шельфу, виключної (морської) економічної зони України, рентна плата за користування надрами для видобування корисних копалин справляється із застосуванням ставки у розмірі 1,25 відсотка вартості товарної продукції гірничого підприємства.</w:t>
      </w:r>
    </w:p>
    <w:p w14:paraId="0F91DE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79" w:name="n15094"/>
      <w:bookmarkEnd w:id="7979"/>
      <w:r w:rsidRPr="008B264B">
        <w:rPr>
          <w:rFonts w:ascii="Times New Roman" w:eastAsia="Times New Roman" w:hAnsi="Times New Roman" w:cs="Times New Roman"/>
          <w:i/>
          <w:iCs/>
          <w:color w:val="000000"/>
          <w:sz w:val="24"/>
          <w:szCs w:val="24"/>
          <w:lang/>
        </w:rPr>
        <w:t>{Пункт 252.20 статті 252 доповнено приміткою 3 згідно із Законом </w:t>
      </w:r>
      <w:hyperlink r:id="rId4498" w:anchor="n34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A0FDA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0" w:name="n12323"/>
      <w:bookmarkEnd w:id="7980"/>
      <w:r w:rsidRPr="008B264B">
        <w:rPr>
          <w:rFonts w:ascii="Times New Roman" w:eastAsia="Times New Roman" w:hAnsi="Times New Roman" w:cs="Times New Roman"/>
          <w:i/>
          <w:iCs/>
          <w:color w:val="000000"/>
          <w:sz w:val="24"/>
          <w:szCs w:val="24"/>
          <w:lang/>
        </w:rPr>
        <w:t>{Пункт 252.20 статті 252 із змінами, внесеними згідно із Законами </w:t>
      </w:r>
      <w:hyperlink r:id="rId4499" w:anchor="n10"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 </w:t>
      </w:r>
      <w:hyperlink r:id="rId4500" w:anchor="n52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501" w:anchor="n7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502" w:anchor="n344"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4503" w:anchor="n60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D2C79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1" w:name="n11522"/>
      <w:bookmarkEnd w:id="7981"/>
      <w:r w:rsidRPr="008B264B">
        <w:rPr>
          <w:rFonts w:ascii="Times New Roman" w:eastAsia="Times New Roman" w:hAnsi="Times New Roman" w:cs="Times New Roman"/>
          <w:color w:val="000000"/>
          <w:sz w:val="24"/>
          <w:szCs w:val="24"/>
          <w:lang/>
        </w:rPr>
        <w:t>252.21. Додаткові обсяги вуглеводневої сировини, видобуті внаслідок реалізації діючих або нових інвестиційних проектів (програм, договорів), якими передбачено нарощування видобутку вуглеводневої сировини, на ділянках надр (родовищах, покладах), що характеризуються погіршеними гірничо-геологічними умовами (важковидобувні) або виснаженістю в процесі розробки в попередніх періодах, на окремих діючих свердловинах після капітального ремонту, свердловинах, що відновлюються з числа ліквідованих, нових свердловинах чи групах свердловин, що розташовані на таких ділянках надр, оподатковуються за ставкою 2 відсотки від вартості додаткового видобутку відповідної вуглеводневої сировини.</w:t>
      </w:r>
    </w:p>
    <w:p w14:paraId="2E4071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2" w:name="n11523"/>
      <w:bookmarkEnd w:id="7982"/>
      <w:r w:rsidRPr="008B264B">
        <w:rPr>
          <w:rFonts w:ascii="Times New Roman" w:eastAsia="Times New Roman" w:hAnsi="Times New Roman" w:cs="Times New Roman"/>
          <w:color w:val="000000"/>
          <w:sz w:val="24"/>
          <w:szCs w:val="24"/>
          <w:lang/>
        </w:rPr>
        <w:t>Порядок відбору та затвердження нових інвестиційних проектів (програм, договорів), якими передбачено нарощування видобутку вуглеводневої сировини, порядок визначення додаткових обсягів вуглеводневої сировини, а також порядок контролю за виконанням таких інвестиційних проектів (програм) визначаються Кабінетом Міністрів України за поданням центрального органу виконавчої влади, що забезпечує формування та реалізує державну політику економічного розвитку.</w:t>
      </w:r>
    </w:p>
    <w:p w14:paraId="795088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3" w:name="n11524"/>
      <w:bookmarkEnd w:id="7983"/>
      <w:r w:rsidRPr="008B264B">
        <w:rPr>
          <w:rFonts w:ascii="Times New Roman" w:eastAsia="Times New Roman" w:hAnsi="Times New Roman" w:cs="Times New Roman"/>
          <w:color w:val="000000"/>
          <w:sz w:val="24"/>
          <w:szCs w:val="24"/>
          <w:lang/>
        </w:rPr>
        <w:t>Перелік ділянок надр та/або об’єктів ділянок надр, на яких реалізуються нові інвестиційні проекти (програми, договори), визначається центральним органом виконавчої влади, що забезпечує формування та реалізує державну політику у нафтогазовому комплексі.</w:t>
      </w:r>
    </w:p>
    <w:p w14:paraId="21817C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4" w:name="n11525"/>
      <w:bookmarkEnd w:id="7984"/>
      <w:r w:rsidRPr="008B264B">
        <w:rPr>
          <w:rFonts w:ascii="Times New Roman" w:eastAsia="Times New Roman" w:hAnsi="Times New Roman" w:cs="Times New Roman"/>
          <w:color w:val="000000"/>
          <w:sz w:val="24"/>
          <w:szCs w:val="24"/>
          <w:lang/>
        </w:rPr>
        <w:t>Положення цього пункту поширюються на:</w:t>
      </w:r>
    </w:p>
    <w:p w14:paraId="7F8D34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5" w:name="n11526"/>
      <w:bookmarkEnd w:id="7985"/>
      <w:r w:rsidRPr="008B264B">
        <w:rPr>
          <w:rFonts w:ascii="Times New Roman" w:eastAsia="Times New Roman" w:hAnsi="Times New Roman" w:cs="Times New Roman"/>
          <w:color w:val="000000"/>
          <w:sz w:val="24"/>
          <w:szCs w:val="24"/>
          <w:lang/>
        </w:rPr>
        <w:t>підприємства, частка держави у статутному капіталі яких становить 25 відсотків та більше;</w:t>
      </w:r>
    </w:p>
    <w:p w14:paraId="671D89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6" w:name="n11527"/>
      <w:bookmarkEnd w:id="7986"/>
      <w:r w:rsidRPr="008B264B">
        <w:rPr>
          <w:rFonts w:ascii="Times New Roman" w:eastAsia="Times New Roman" w:hAnsi="Times New Roman" w:cs="Times New Roman"/>
          <w:color w:val="000000"/>
          <w:sz w:val="24"/>
          <w:szCs w:val="24"/>
          <w:lang/>
        </w:rPr>
        <w:t>господарські товариства, 25 відсотків та більше акцій (часток, паїв) яких знаходяться у статутних капіталах інших господарських товариств, контрольним пакетом акцій яких володіє держава;</w:t>
      </w:r>
    </w:p>
    <w:p w14:paraId="732A3D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7" w:name="n11528"/>
      <w:bookmarkEnd w:id="7987"/>
      <w:r w:rsidRPr="008B264B">
        <w:rPr>
          <w:rFonts w:ascii="Times New Roman" w:eastAsia="Times New Roman" w:hAnsi="Times New Roman" w:cs="Times New Roman"/>
          <w:color w:val="000000"/>
          <w:sz w:val="24"/>
          <w:szCs w:val="24"/>
          <w:lang/>
        </w:rPr>
        <w:t>дочірні підприємства, представництва та філії таких підприємств і товариств;</w:t>
      </w:r>
    </w:p>
    <w:p w14:paraId="368427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8" w:name="n11529"/>
      <w:bookmarkEnd w:id="7988"/>
      <w:r w:rsidRPr="008B264B">
        <w:rPr>
          <w:rFonts w:ascii="Times New Roman" w:eastAsia="Times New Roman" w:hAnsi="Times New Roman" w:cs="Times New Roman"/>
          <w:color w:val="000000"/>
          <w:sz w:val="24"/>
          <w:szCs w:val="24"/>
          <w:lang/>
        </w:rPr>
        <w:t>учасників договорів про спільну діяльність, відповідно до яких вартість вкладу підприємств, частка держави у статутному капіталі яких становить 25 відсотків та більше, господарських товариств, 25 відсотків та більше акцій (часток, паїв) яких знаходиться у статутних капіталах інших господарських товариств, контрольним пакетом акцій яких володіє держава, а також дочірніх підприємств, представництв та філій таких підприємств і товариств, становить 25 відсотків та більше загальної вартості вкладів учасників договорів про спільну діяльність.</w:t>
      </w:r>
    </w:p>
    <w:p w14:paraId="06F64C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89" w:name="n11530"/>
      <w:bookmarkEnd w:id="7989"/>
      <w:r w:rsidRPr="008B264B">
        <w:rPr>
          <w:rFonts w:ascii="Times New Roman" w:eastAsia="Times New Roman" w:hAnsi="Times New Roman" w:cs="Times New Roman"/>
          <w:color w:val="000000"/>
          <w:sz w:val="24"/>
          <w:szCs w:val="24"/>
          <w:lang/>
        </w:rPr>
        <w:t>252.22. До ставок рентної плати за користування надрами для видобування корисних копалин застосовуються коригуючі коефіцієнти, які визначаються залежно від виду корисної копалини (мінеральної сировини) та умов її видобування:</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6846"/>
        <w:gridCol w:w="3076"/>
      </w:tblGrid>
      <w:tr w:rsidR="008B264B" w:rsidRPr="008B264B" w14:paraId="6B35088D" w14:textId="77777777" w:rsidTr="008B264B">
        <w:tc>
          <w:tcPr>
            <w:tcW w:w="3450" w:type="pct"/>
            <w:tcBorders>
              <w:top w:val="single" w:sz="6" w:space="0" w:color="000000"/>
              <w:left w:val="nil"/>
              <w:bottom w:val="single" w:sz="6" w:space="0" w:color="000000"/>
              <w:right w:val="single" w:sz="6" w:space="0" w:color="000000"/>
            </w:tcBorders>
            <w:shd w:val="clear" w:color="auto" w:fill="auto"/>
            <w:hideMark/>
          </w:tcPr>
          <w:p w14:paraId="31E7F4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7990" w:name="n11531"/>
            <w:bookmarkEnd w:id="7990"/>
            <w:r w:rsidRPr="008B264B">
              <w:rPr>
                <w:rFonts w:ascii="Times New Roman" w:eastAsia="Times New Roman" w:hAnsi="Times New Roman" w:cs="Times New Roman"/>
                <w:sz w:val="24"/>
                <w:szCs w:val="24"/>
                <w:lang/>
              </w:rPr>
              <w:t>Критерії застосування коефіцієнта</w:t>
            </w:r>
          </w:p>
        </w:tc>
        <w:tc>
          <w:tcPr>
            <w:tcW w:w="1550" w:type="pct"/>
            <w:tcBorders>
              <w:top w:val="single" w:sz="6" w:space="0" w:color="000000"/>
              <w:left w:val="single" w:sz="6" w:space="0" w:color="000000"/>
              <w:bottom w:val="single" w:sz="6" w:space="0" w:color="000000"/>
              <w:right w:val="nil"/>
            </w:tcBorders>
            <w:shd w:val="clear" w:color="auto" w:fill="auto"/>
            <w:hideMark/>
          </w:tcPr>
          <w:p w14:paraId="2A892A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Величина коефіцієнта</w:t>
            </w:r>
          </w:p>
        </w:tc>
      </w:tr>
      <w:tr w:rsidR="008B264B" w:rsidRPr="008B264B" w14:paraId="479B6D13" w14:textId="77777777" w:rsidTr="008B264B">
        <w:tc>
          <w:tcPr>
            <w:tcW w:w="3450" w:type="pct"/>
            <w:tcBorders>
              <w:top w:val="single" w:sz="6" w:space="0" w:color="000000"/>
              <w:left w:val="nil"/>
              <w:bottom w:val="nil"/>
              <w:right w:val="nil"/>
            </w:tcBorders>
            <w:shd w:val="clear" w:color="auto" w:fill="auto"/>
            <w:hideMark/>
          </w:tcPr>
          <w:p w14:paraId="6C95ED8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Видобування позабалансових запасів корисних копалин, крім вуглеводневої сировини*</w:t>
            </w:r>
          </w:p>
        </w:tc>
        <w:tc>
          <w:tcPr>
            <w:tcW w:w="1550" w:type="pct"/>
            <w:tcBorders>
              <w:top w:val="single" w:sz="6" w:space="0" w:color="000000"/>
              <w:left w:val="nil"/>
              <w:bottom w:val="nil"/>
              <w:right w:val="nil"/>
            </w:tcBorders>
            <w:shd w:val="clear" w:color="auto" w:fill="auto"/>
            <w:hideMark/>
          </w:tcPr>
          <w:p w14:paraId="4EC71C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0,50</w:t>
            </w:r>
          </w:p>
        </w:tc>
      </w:tr>
      <w:tr w:rsidR="008B264B" w:rsidRPr="008B264B" w14:paraId="7D98A94A" w14:textId="77777777" w:rsidTr="008B264B">
        <w:tc>
          <w:tcPr>
            <w:tcW w:w="3450" w:type="pct"/>
            <w:tcBorders>
              <w:top w:val="nil"/>
              <w:left w:val="nil"/>
              <w:bottom w:val="nil"/>
              <w:right w:val="nil"/>
            </w:tcBorders>
            <w:shd w:val="clear" w:color="auto" w:fill="auto"/>
            <w:hideMark/>
          </w:tcPr>
          <w:p w14:paraId="30B4511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позабалансових запасів природного газу, що відповідає умові, визначеній у пункті 252.24 цієї статті*</w:t>
            </w:r>
          </w:p>
        </w:tc>
        <w:tc>
          <w:tcPr>
            <w:tcW w:w="1550" w:type="pct"/>
            <w:tcBorders>
              <w:top w:val="nil"/>
              <w:left w:val="nil"/>
              <w:bottom w:val="nil"/>
              <w:right w:val="nil"/>
            </w:tcBorders>
            <w:shd w:val="clear" w:color="auto" w:fill="auto"/>
            <w:hideMark/>
          </w:tcPr>
          <w:p w14:paraId="1096A0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0,79</w:t>
            </w:r>
          </w:p>
        </w:tc>
      </w:tr>
      <w:tr w:rsidR="008B264B" w:rsidRPr="008B264B" w14:paraId="29690A22" w14:textId="77777777" w:rsidTr="008B264B">
        <w:tc>
          <w:tcPr>
            <w:tcW w:w="3450" w:type="pct"/>
            <w:tcBorders>
              <w:top w:val="nil"/>
              <w:left w:val="nil"/>
              <w:bottom w:val="nil"/>
              <w:right w:val="nil"/>
            </w:tcBorders>
            <w:shd w:val="clear" w:color="auto" w:fill="auto"/>
            <w:hideMark/>
          </w:tcPr>
          <w:p w14:paraId="64A364B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позабалансових запасів природного газу, з покладів на ділянках надр (родовищах) в межах континентального шельфу та/або виключної (морської) економічної зони України, що відповідає умові, визначеній у пункті 252.24 цієї статті*</w:t>
            </w:r>
          </w:p>
        </w:tc>
        <w:tc>
          <w:tcPr>
            <w:tcW w:w="1550" w:type="pct"/>
            <w:tcBorders>
              <w:top w:val="nil"/>
              <w:left w:val="nil"/>
              <w:bottom w:val="nil"/>
              <w:right w:val="nil"/>
            </w:tcBorders>
            <w:shd w:val="clear" w:color="auto" w:fill="auto"/>
            <w:hideMark/>
          </w:tcPr>
          <w:p w14:paraId="6B5B52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0,61</w:t>
            </w:r>
          </w:p>
        </w:tc>
      </w:tr>
      <w:tr w:rsidR="008B264B" w:rsidRPr="008B264B" w14:paraId="2B561DB7" w14:textId="77777777" w:rsidTr="008B264B">
        <w:tc>
          <w:tcPr>
            <w:tcW w:w="3450" w:type="pct"/>
            <w:tcBorders>
              <w:top w:val="nil"/>
              <w:left w:val="nil"/>
              <w:bottom w:val="nil"/>
              <w:right w:val="nil"/>
            </w:tcBorders>
            <w:shd w:val="clear" w:color="auto" w:fill="auto"/>
            <w:hideMark/>
          </w:tcPr>
          <w:p w14:paraId="3DB682C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позабалансових запасів природного газу, що не відповідає умові, визначеній у пункті 252.24 цієї статті*</w:t>
            </w:r>
          </w:p>
        </w:tc>
        <w:tc>
          <w:tcPr>
            <w:tcW w:w="1550" w:type="pct"/>
            <w:tcBorders>
              <w:top w:val="nil"/>
              <w:left w:val="nil"/>
              <w:bottom w:val="nil"/>
              <w:right w:val="nil"/>
            </w:tcBorders>
            <w:shd w:val="clear" w:color="auto" w:fill="auto"/>
            <w:hideMark/>
          </w:tcPr>
          <w:p w14:paraId="1DC50B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0,96</w:t>
            </w:r>
          </w:p>
        </w:tc>
      </w:tr>
      <w:tr w:rsidR="008B264B" w:rsidRPr="008B264B" w14:paraId="21D88013" w14:textId="77777777" w:rsidTr="008B264B">
        <w:tc>
          <w:tcPr>
            <w:tcW w:w="3450" w:type="pct"/>
            <w:tcBorders>
              <w:top w:val="nil"/>
              <w:left w:val="nil"/>
              <w:bottom w:val="nil"/>
              <w:right w:val="nil"/>
            </w:tcBorders>
            <w:shd w:val="clear" w:color="auto" w:fill="auto"/>
            <w:hideMark/>
          </w:tcPr>
          <w:p w14:paraId="21BEB9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позабалансових запасів нафти і конденсату*</w:t>
            </w:r>
          </w:p>
        </w:tc>
        <w:tc>
          <w:tcPr>
            <w:tcW w:w="1550" w:type="pct"/>
            <w:tcBorders>
              <w:top w:val="nil"/>
              <w:left w:val="nil"/>
              <w:bottom w:val="nil"/>
              <w:right w:val="nil"/>
            </w:tcBorders>
            <w:shd w:val="clear" w:color="auto" w:fill="auto"/>
            <w:hideMark/>
          </w:tcPr>
          <w:p w14:paraId="2CDFD41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0,95</w:t>
            </w:r>
          </w:p>
        </w:tc>
      </w:tr>
      <w:tr w:rsidR="008B264B" w:rsidRPr="008B264B" w14:paraId="2AC00E25" w14:textId="77777777" w:rsidTr="008B264B">
        <w:tc>
          <w:tcPr>
            <w:tcW w:w="3450" w:type="pct"/>
            <w:tcBorders>
              <w:top w:val="nil"/>
              <w:left w:val="nil"/>
              <w:bottom w:val="nil"/>
              <w:right w:val="nil"/>
            </w:tcBorders>
            <w:shd w:val="clear" w:color="auto" w:fill="auto"/>
            <w:hideMark/>
          </w:tcPr>
          <w:p w14:paraId="09B62D3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(ресурсів) корисних копалин з техногенних родовищ</w:t>
            </w:r>
          </w:p>
        </w:tc>
        <w:tc>
          <w:tcPr>
            <w:tcW w:w="1550" w:type="pct"/>
            <w:tcBorders>
              <w:top w:val="nil"/>
              <w:left w:val="nil"/>
              <w:bottom w:val="nil"/>
              <w:right w:val="nil"/>
            </w:tcBorders>
            <w:shd w:val="clear" w:color="auto" w:fill="auto"/>
            <w:hideMark/>
          </w:tcPr>
          <w:p w14:paraId="2CF0BE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0,50</w:t>
            </w:r>
          </w:p>
        </w:tc>
      </w:tr>
      <w:tr w:rsidR="008B264B" w:rsidRPr="008B264B" w14:paraId="75E11FD3" w14:textId="77777777" w:rsidTr="008B264B">
        <w:tc>
          <w:tcPr>
            <w:tcW w:w="3450" w:type="pct"/>
            <w:tcBorders>
              <w:top w:val="nil"/>
              <w:left w:val="nil"/>
              <w:bottom w:val="nil"/>
              <w:right w:val="nil"/>
            </w:tcBorders>
            <w:shd w:val="clear" w:color="auto" w:fill="auto"/>
            <w:hideMark/>
          </w:tcPr>
          <w:p w14:paraId="24EB7A4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піщано-гравійної сировини в межах акваторії морів, водосховищ, у річках та їх заплавах (крім видобування, пов’язаного з плановими роботами з очищення фарватерів річок)</w:t>
            </w:r>
          </w:p>
        </w:tc>
        <w:tc>
          <w:tcPr>
            <w:tcW w:w="1550" w:type="pct"/>
            <w:tcBorders>
              <w:top w:val="nil"/>
              <w:left w:val="nil"/>
              <w:bottom w:val="nil"/>
              <w:right w:val="nil"/>
            </w:tcBorders>
            <w:shd w:val="clear" w:color="auto" w:fill="auto"/>
            <w:hideMark/>
          </w:tcPr>
          <w:p w14:paraId="78BFEC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w:t>
            </w:r>
          </w:p>
        </w:tc>
      </w:tr>
      <w:tr w:rsidR="008B264B" w:rsidRPr="008B264B" w14:paraId="5FA770BF" w14:textId="77777777" w:rsidTr="008B264B">
        <w:tc>
          <w:tcPr>
            <w:tcW w:w="3450" w:type="pct"/>
            <w:tcBorders>
              <w:top w:val="nil"/>
              <w:left w:val="nil"/>
              <w:bottom w:val="nil"/>
              <w:right w:val="nil"/>
            </w:tcBorders>
            <w:shd w:val="clear" w:color="auto" w:fill="auto"/>
            <w:hideMark/>
          </w:tcPr>
          <w:p w14:paraId="588ED15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вуглекислих мінеральних підземних вод (гідрокарбонатних) із свердловин, що не обладнані стаціонарними газовідділювачами</w:t>
            </w:r>
          </w:p>
        </w:tc>
        <w:tc>
          <w:tcPr>
            <w:tcW w:w="1550" w:type="pct"/>
            <w:tcBorders>
              <w:top w:val="nil"/>
              <w:left w:val="nil"/>
              <w:bottom w:val="nil"/>
              <w:right w:val="nil"/>
            </w:tcBorders>
            <w:shd w:val="clear" w:color="auto" w:fill="auto"/>
            <w:hideMark/>
          </w:tcPr>
          <w:p w14:paraId="7A02FC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0,85</w:t>
            </w:r>
          </w:p>
        </w:tc>
      </w:tr>
      <w:tr w:rsidR="008B264B" w:rsidRPr="008B264B" w14:paraId="10A60C7D" w14:textId="77777777" w:rsidTr="008B264B">
        <w:trPr>
          <w:trHeight w:val="720"/>
        </w:trPr>
        <w:tc>
          <w:tcPr>
            <w:tcW w:w="3450" w:type="pct"/>
            <w:tcBorders>
              <w:top w:val="nil"/>
              <w:left w:val="nil"/>
              <w:bottom w:val="nil"/>
              <w:right w:val="nil"/>
            </w:tcBorders>
            <w:shd w:val="clear" w:color="auto" w:fill="auto"/>
            <w:hideMark/>
          </w:tcPr>
          <w:p w14:paraId="359D3A4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з родовищ, які в установленому законодавством порядку визнані як дотаційні запаси</w:t>
            </w:r>
          </w:p>
        </w:tc>
        <w:tc>
          <w:tcPr>
            <w:tcW w:w="1550" w:type="pct"/>
            <w:tcBorders>
              <w:top w:val="nil"/>
              <w:left w:val="nil"/>
              <w:bottom w:val="nil"/>
              <w:right w:val="nil"/>
            </w:tcBorders>
            <w:shd w:val="clear" w:color="auto" w:fill="auto"/>
            <w:hideMark/>
          </w:tcPr>
          <w:p w14:paraId="6BD2CA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0,01</w:t>
            </w:r>
          </w:p>
        </w:tc>
      </w:tr>
      <w:tr w:rsidR="008B264B" w:rsidRPr="008B264B" w14:paraId="12E7B843" w14:textId="77777777" w:rsidTr="008B264B">
        <w:tc>
          <w:tcPr>
            <w:tcW w:w="3450" w:type="pct"/>
            <w:tcBorders>
              <w:top w:val="nil"/>
              <w:left w:val="nil"/>
              <w:bottom w:val="nil"/>
              <w:right w:val="nil"/>
            </w:tcBorders>
            <w:shd w:val="clear" w:color="auto" w:fill="auto"/>
            <w:hideMark/>
          </w:tcPr>
          <w:p w14:paraId="4D39C8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корисних копалин ділянки надр, затверджених державною експертизою на підставі звітів з геологічного вивчення, яке виконане платником рентної плати за рахунок власних коштів, крім вуглеводневої сировини</w:t>
            </w:r>
          </w:p>
        </w:tc>
        <w:tc>
          <w:tcPr>
            <w:tcW w:w="1550" w:type="pct"/>
            <w:tcBorders>
              <w:top w:val="nil"/>
              <w:left w:val="nil"/>
              <w:bottom w:val="nil"/>
              <w:right w:val="nil"/>
            </w:tcBorders>
            <w:shd w:val="clear" w:color="auto" w:fill="auto"/>
            <w:hideMark/>
          </w:tcPr>
          <w:p w14:paraId="3CBBFD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0,70</w:t>
            </w:r>
          </w:p>
        </w:tc>
      </w:tr>
      <w:tr w:rsidR="008B264B" w:rsidRPr="008B264B" w14:paraId="16F78EB7" w14:textId="77777777" w:rsidTr="008B264B">
        <w:tc>
          <w:tcPr>
            <w:tcW w:w="3450" w:type="pct"/>
            <w:tcBorders>
              <w:top w:val="nil"/>
              <w:left w:val="nil"/>
              <w:bottom w:val="nil"/>
              <w:right w:val="nil"/>
            </w:tcBorders>
            <w:shd w:val="clear" w:color="auto" w:fill="auto"/>
            <w:hideMark/>
          </w:tcPr>
          <w:p w14:paraId="5E94A25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природного газу, що відповідає умові, визначеній у пункті 252.24 цієї статті, ділянки надр, затверджених державною експертизою на підставі звітів з геологічного вивчення, яке виконане платником рентної плати за рахунок власних коштів</w:t>
            </w:r>
          </w:p>
        </w:tc>
        <w:tc>
          <w:tcPr>
            <w:tcW w:w="1550" w:type="pct"/>
            <w:tcBorders>
              <w:top w:val="nil"/>
              <w:left w:val="nil"/>
              <w:bottom w:val="nil"/>
              <w:right w:val="nil"/>
            </w:tcBorders>
            <w:shd w:val="clear" w:color="auto" w:fill="auto"/>
            <w:hideMark/>
          </w:tcPr>
          <w:p w14:paraId="07244F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0,88</w:t>
            </w:r>
          </w:p>
        </w:tc>
      </w:tr>
      <w:tr w:rsidR="008B264B" w:rsidRPr="008B264B" w14:paraId="2AB3C8DF" w14:textId="77777777" w:rsidTr="008B264B">
        <w:tc>
          <w:tcPr>
            <w:tcW w:w="3450" w:type="pct"/>
            <w:tcBorders>
              <w:top w:val="nil"/>
              <w:left w:val="nil"/>
              <w:bottom w:val="nil"/>
              <w:right w:val="nil"/>
            </w:tcBorders>
            <w:shd w:val="clear" w:color="auto" w:fill="auto"/>
            <w:hideMark/>
          </w:tcPr>
          <w:p w14:paraId="322AC28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природного газу з покладів на ділянках надр (родовищах) в межах континентального шельфу та/або виключної (морської) економічної зони України, що відповідає умові, визначеній у пункті 252.24 цієї статті, ділянки надр, затверджених державною експертизою на підставі звітів з геологічного вивчення, яке виконане платником рентної плати за рахунок власних коштів</w:t>
            </w:r>
          </w:p>
        </w:tc>
        <w:tc>
          <w:tcPr>
            <w:tcW w:w="1550" w:type="pct"/>
            <w:tcBorders>
              <w:top w:val="nil"/>
              <w:left w:val="nil"/>
              <w:bottom w:val="nil"/>
              <w:right w:val="nil"/>
            </w:tcBorders>
            <w:shd w:val="clear" w:color="auto" w:fill="auto"/>
            <w:hideMark/>
          </w:tcPr>
          <w:p w14:paraId="2D7633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0,77</w:t>
            </w:r>
          </w:p>
        </w:tc>
      </w:tr>
      <w:tr w:rsidR="008B264B" w:rsidRPr="008B264B" w14:paraId="11283D1B" w14:textId="77777777" w:rsidTr="008B264B">
        <w:tc>
          <w:tcPr>
            <w:tcW w:w="3450" w:type="pct"/>
            <w:tcBorders>
              <w:top w:val="nil"/>
              <w:left w:val="nil"/>
              <w:bottom w:val="nil"/>
              <w:right w:val="nil"/>
            </w:tcBorders>
            <w:shd w:val="clear" w:color="auto" w:fill="auto"/>
            <w:hideMark/>
          </w:tcPr>
          <w:p w14:paraId="4E2DD3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Видобування запасів природного газу, що не відповідає умові, визначеній у пункті 252.24 цієї статті, ділянки надр, затверджених </w:t>
            </w:r>
            <w:r w:rsidRPr="008B264B">
              <w:rPr>
                <w:rFonts w:ascii="Times New Roman" w:eastAsia="Times New Roman" w:hAnsi="Times New Roman" w:cs="Times New Roman"/>
                <w:sz w:val="24"/>
                <w:szCs w:val="24"/>
                <w:lang/>
              </w:rPr>
              <w:lastRenderedPageBreak/>
              <w:t>державною експертизою на підставі звітів з геологічного вивчення, яке виконане платником рентної плати за рахунок власних коштів</w:t>
            </w:r>
          </w:p>
        </w:tc>
        <w:tc>
          <w:tcPr>
            <w:tcW w:w="1550" w:type="pct"/>
            <w:tcBorders>
              <w:top w:val="nil"/>
              <w:left w:val="nil"/>
              <w:bottom w:val="nil"/>
              <w:right w:val="nil"/>
            </w:tcBorders>
            <w:shd w:val="clear" w:color="auto" w:fill="auto"/>
            <w:hideMark/>
          </w:tcPr>
          <w:p w14:paraId="4F15C4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0,97</w:t>
            </w:r>
          </w:p>
        </w:tc>
      </w:tr>
      <w:tr w:rsidR="008B264B" w:rsidRPr="008B264B" w14:paraId="6E91B98A" w14:textId="77777777" w:rsidTr="008B264B">
        <w:tc>
          <w:tcPr>
            <w:tcW w:w="3450" w:type="pct"/>
            <w:tcBorders>
              <w:top w:val="nil"/>
              <w:left w:val="nil"/>
              <w:bottom w:val="nil"/>
              <w:right w:val="nil"/>
            </w:tcBorders>
            <w:shd w:val="clear" w:color="auto" w:fill="auto"/>
            <w:hideMark/>
          </w:tcPr>
          <w:p w14:paraId="4FBCF71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запасів нафти і конденсату ділянки надр, затверджених державною експертизою на підставі звітів з геологічного вивчення, яке виконане платником рентної плати за рахунок власних коштів</w:t>
            </w:r>
          </w:p>
        </w:tc>
        <w:tc>
          <w:tcPr>
            <w:tcW w:w="1550" w:type="pct"/>
            <w:tcBorders>
              <w:top w:val="nil"/>
              <w:left w:val="nil"/>
              <w:bottom w:val="nil"/>
              <w:right w:val="nil"/>
            </w:tcBorders>
            <w:shd w:val="clear" w:color="auto" w:fill="auto"/>
            <w:hideMark/>
          </w:tcPr>
          <w:p w14:paraId="1F6130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0,96</w:t>
            </w:r>
          </w:p>
        </w:tc>
      </w:tr>
      <w:tr w:rsidR="008B264B" w:rsidRPr="008B264B" w14:paraId="53901BCD" w14:textId="77777777" w:rsidTr="008B264B">
        <w:tc>
          <w:tcPr>
            <w:tcW w:w="3450" w:type="pct"/>
            <w:tcBorders>
              <w:top w:val="nil"/>
              <w:left w:val="nil"/>
              <w:bottom w:val="nil"/>
              <w:right w:val="nil"/>
            </w:tcBorders>
            <w:shd w:val="clear" w:color="auto" w:fill="auto"/>
            <w:hideMark/>
          </w:tcPr>
          <w:p w14:paraId="6787D52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Видобування підземним шахтним способом з глибини понад 300 метрів залізної руди для збагачення із вмістом магнетитового заліза менше 35 відсотків</w:t>
            </w:r>
          </w:p>
        </w:tc>
        <w:tc>
          <w:tcPr>
            <w:tcW w:w="1550" w:type="pct"/>
            <w:tcBorders>
              <w:top w:val="nil"/>
              <w:left w:val="nil"/>
              <w:bottom w:val="nil"/>
              <w:right w:val="nil"/>
            </w:tcBorders>
            <w:shd w:val="clear" w:color="auto" w:fill="auto"/>
            <w:hideMark/>
          </w:tcPr>
          <w:p w14:paraId="6109E4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0,25</w:t>
            </w:r>
          </w:p>
        </w:tc>
      </w:tr>
    </w:tbl>
    <w:p w14:paraId="5A8779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1" w:name="n11532"/>
      <w:bookmarkEnd w:id="7991"/>
      <w:r w:rsidRPr="008B264B">
        <w:rPr>
          <w:rFonts w:ascii="Times New Roman" w:eastAsia="Times New Roman" w:hAnsi="Times New Roman" w:cs="Times New Roman"/>
          <w:color w:val="000000"/>
          <w:sz w:val="24"/>
          <w:szCs w:val="24"/>
          <w:lang/>
        </w:rPr>
        <w:t>* За умови, що запаси корисних копалин віднесено до такої категорії за результатами геолого-економічної оцінки, проведеної не раніш як за 10 років до виникнення податкових зобов’язань.</w:t>
      </w:r>
    </w:p>
    <w:p w14:paraId="1A5621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2" w:name="n11533"/>
      <w:bookmarkEnd w:id="7992"/>
      <w:r w:rsidRPr="008B264B">
        <w:rPr>
          <w:rFonts w:ascii="Times New Roman" w:eastAsia="Times New Roman" w:hAnsi="Times New Roman" w:cs="Times New Roman"/>
          <w:i/>
          <w:iCs/>
          <w:color w:val="000000"/>
          <w:sz w:val="24"/>
          <w:szCs w:val="24"/>
          <w:lang/>
        </w:rPr>
        <w:t>{Абзац другий виноски до таблиці пункту 252.22 статті 252 виключено на підставі Закону </w:t>
      </w:r>
      <w:hyperlink r:id="rId4504" w:anchor="n13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52DD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3" w:name="n11534"/>
      <w:bookmarkEnd w:id="7993"/>
      <w:r w:rsidRPr="008B264B">
        <w:rPr>
          <w:rFonts w:ascii="Times New Roman" w:eastAsia="Times New Roman" w:hAnsi="Times New Roman" w:cs="Times New Roman"/>
          <w:i/>
          <w:iCs/>
          <w:color w:val="000000"/>
          <w:sz w:val="24"/>
          <w:szCs w:val="24"/>
          <w:lang/>
        </w:rPr>
        <w:t>{Абзац третій виноски до таблиці пункту 252.22 статті 252 виключено на підставі Закону </w:t>
      </w:r>
      <w:hyperlink r:id="rId4505" w:anchor="n13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F6C4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4" w:name="n11535"/>
      <w:bookmarkEnd w:id="7994"/>
      <w:r w:rsidRPr="008B264B">
        <w:rPr>
          <w:rFonts w:ascii="Times New Roman" w:eastAsia="Times New Roman" w:hAnsi="Times New Roman" w:cs="Times New Roman"/>
          <w:i/>
          <w:iCs/>
          <w:color w:val="000000"/>
          <w:sz w:val="24"/>
          <w:szCs w:val="24"/>
          <w:lang/>
        </w:rPr>
        <w:t>{Абзац четвертий виноски до таблиці пункту 252.22 статті 252 виключено на підставі Закону </w:t>
      </w:r>
      <w:hyperlink r:id="rId4506" w:anchor="n13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3D433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5" w:name="n12324"/>
      <w:bookmarkEnd w:id="7995"/>
      <w:r w:rsidRPr="008B264B">
        <w:rPr>
          <w:rFonts w:ascii="Times New Roman" w:eastAsia="Times New Roman" w:hAnsi="Times New Roman" w:cs="Times New Roman"/>
          <w:i/>
          <w:iCs/>
          <w:color w:val="000000"/>
          <w:sz w:val="24"/>
          <w:szCs w:val="24"/>
          <w:lang/>
        </w:rPr>
        <w:t>{Пункт 252.22 статті 252 із змінами, внесеними згідно із Законами </w:t>
      </w:r>
      <w:hyperlink r:id="rId4507" w:anchor="n16"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 </w:t>
      </w:r>
      <w:hyperlink r:id="rId4508" w:anchor="n52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EC6BF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6" w:name="n11536"/>
      <w:bookmarkEnd w:id="7996"/>
      <w:r w:rsidRPr="008B264B">
        <w:rPr>
          <w:rFonts w:ascii="Times New Roman" w:eastAsia="Times New Roman" w:hAnsi="Times New Roman" w:cs="Times New Roman"/>
          <w:color w:val="000000"/>
          <w:sz w:val="24"/>
          <w:szCs w:val="24"/>
          <w:lang/>
        </w:rPr>
        <w:t>252.23. Податкові декларації з рентної плати за користування надрами для видобування корисних копалин подаються її платником починаючи з календарного кварталу, що настає за кварталом, у якому такий платник отримав або переоформив спеціальний дозвіл.</w:t>
      </w:r>
    </w:p>
    <w:p w14:paraId="69A60F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7" w:name="n14354"/>
      <w:bookmarkEnd w:id="7997"/>
      <w:r w:rsidRPr="008B264B">
        <w:rPr>
          <w:rFonts w:ascii="Times New Roman" w:eastAsia="Times New Roman" w:hAnsi="Times New Roman" w:cs="Times New Roman"/>
          <w:i/>
          <w:iCs/>
          <w:color w:val="000000"/>
          <w:sz w:val="24"/>
          <w:szCs w:val="24"/>
          <w:lang/>
        </w:rPr>
        <w:t>{Абзац перший пункту 252.23 статті 252 із змінами, внесеними згідно із Законом </w:t>
      </w:r>
      <w:hyperlink r:id="rId4509" w:anchor="n132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2A1A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8" w:name="n11537"/>
      <w:bookmarkEnd w:id="7998"/>
      <w:r w:rsidRPr="008B264B">
        <w:rPr>
          <w:rFonts w:ascii="Times New Roman" w:eastAsia="Times New Roman" w:hAnsi="Times New Roman" w:cs="Times New Roman"/>
          <w:color w:val="000000"/>
          <w:sz w:val="24"/>
          <w:szCs w:val="24"/>
          <w:lang/>
        </w:rPr>
        <w:t>Податкові декларації з рентної плати під час виконання договорів про спільну діяльність без утворення юридичної особи подаються уповноваженою особою, визначеною відповідно до пункту 252.1 цієї статті починаючи з календарного кварталу, що настає за кварталом, у якому такий договір зареєстровано у контролюючих органах.</w:t>
      </w:r>
    </w:p>
    <w:p w14:paraId="2FA8C8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7999" w:name="n11538"/>
      <w:bookmarkEnd w:id="7999"/>
      <w:r w:rsidRPr="008B264B">
        <w:rPr>
          <w:rFonts w:ascii="Times New Roman" w:eastAsia="Times New Roman" w:hAnsi="Times New Roman" w:cs="Times New Roman"/>
          <w:color w:val="000000"/>
          <w:sz w:val="24"/>
          <w:szCs w:val="24"/>
          <w:lang/>
        </w:rPr>
        <w:t>252.24. Платник рентної плати або уповноважена особа, які у податковому (звітному) періоді видобули природний газ (у тому числі нафтовий (попутний) газ) та реалізували його суб’єкту ринку природного газу, на якого Кабінетом Міністрів України на підставі </w:t>
      </w:r>
      <w:hyperlink r:id="rId451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ринок природного газу" покладено спеціальні обов’язки щодо формування ресурсу природного газу для побутових споживачів та виробників теплової енергії, визначають у податковій декларації податкові зобов’язання з урахуванням обсягів, визначених в актах приймання-передачі, та обсягів виробничо-технологічних витрат природного газу на технічні операції з видобування та підготовки до транспортування. Акти приймання-передачі оформляються у податковому (звітному) періоді, в якому такий газ був видобутий, та не пізніше 8 числа місяця, що настає за податковим (звітним) періодом, підписуються платником рентної плати або уповноваженою особою та зазначеним вище суб’єктом ринку природного газу на підставі укладених ними договорів купівлі-продажу природного газу.</w:t>
      </w:r>
    </w:p>
    <w:p w14:paraId="792341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0" w:name="n11539"/>
      <w:bookmarkEnd w:id="8000"/>
      <w:r w:rsidRPr="008B264B">
        <w:rPr>
          <w:rFonts w:ascii="Times New Roman" w:eastAsia="Times New Roman" w:hAnsi="Times New Roman" w:cs="Times New Roman"/>
          <w:color w:val="000000"/>
          <w:sz w:val="24"/>
          <w:szCs w:val="24"/>
          <w:lang/>
        </w:rPr>
        <w:t xml:space="preserve">Обсяги виробничо-технологічних витрат природного газу на здійснення технічних операцій з видобування та підготовки до транспортування (у тому числі нафтового (попутного) газу), зазначеного в абзаці першому цього пункту, визначаються пропорційно до питомої ваги обсягів такого природного газу, реалізованого зазначеному суб’єкту ринку природного газу, у </w:t>
      </w:r>
      <w:r w:rsidRPr="008B264B">
        <w:rPr>
          <w:rFonts w:ascii="Times New Roman" w:eastAsia="Times New Roman" w:hAnsi="Times New Roman" w:cs="Times New Roman"/>
          <w:color w:val="000000"/>
          <w:sz w:val="24"/>
          <w:szCs w:val="24"/>
          <w:lang/>
        </w:rPr>
        <w:lastRenderedPageBreak/>
        <w:t>загальному обсязі природного газу (у тому числі нафтового (попутного) газу), що підлягає оподаткуванню, зменшеному на обсяг виробничо-технологічних витрат такого природного газу.</w:t>
      </w:r>
    </w:p>
    <w:p w14:paraId="5895FC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1" w:name="n12625"/>
      <w:bookmarkEnd w:id="8001"/>
      <w:r w:rsidRPr="008B264B">
        <w:rPr>
          <w:rFonts w:ascii="Times New Roman" w:eastAsia="Times New Roman" w:hAnsi="Times New Roman" w:cs="Times New Roman"/>
          <w:i/>
          <w:iCs/>
          <w:color w:val="000000"/>
          <w:sz w:val="24"/>
          <w:szCs w:val="24"/>
          <w:lang/>
        </w:rPr>
        <w:t>{Пункт 252.24 статті 252 в редакції Закону </w:t>
      </w:r>
      <w:hyperlink r:id="rId4511" w:anchor="n13"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0D163B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2" w:name="n11540"/>
      <w:bookmarkEnd w:id="8002"/>
      <w:r w:rsidRPr="008B264B">
        <w:rPr>
          <w:rFonts w:ascii="Times New Roman" w:eastAsia="Times New Roman" w:hAnsi="Times New Roman" w:cs="Times New Roman"/>
          <w:color w:val="000000"/>
          <w:sz w:val="24"/>
          <w:szCs w:val="24"/>
          <w:lang/>
        </w:rPr>
        <w:t>252.25. Платник рентної плати та уповноважена особа сплачують податкові зобов’язання:</w:t>
      </w:r>
    </w:p>
    <w:p w14:paraId="28EC67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3" w:name="n11541"/>
      <w:bookmarkEnd w:id="8003"/>
      <w:r w:rsidRPr="008B264B">
        <w:rPr>
          <w:rFonts w:ascii="Times New Roman" w:eastAsia="Times New Roman" w:hAnsi="Times New Roman" w:cs="Times New Roman"/>
          <w:color w:val="000000"/>
          <w:sz w:val="24"/>
          <w:szCs w:val="24"/>
          <w:lang/>
        </w:rPr>
        <w:t>252.25.1. за місцезнаходженням ділянки надр, з якої видобуті корисні копалини, у разі розміщення такої ділянки надр у межах території України;</w:t>
      </w:r>
    </w:p>
    <w:p w14:paraId="10509A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4" w:name="n11542"/>
      <w:bookmarkEnd w:id="8004"/>
      <w:r w:rsidRPr="008B264B">
        <w:rPr>
          <w:rFonts w:ascii="Times New Roman" w:eastAsia="Times New Roman" w:hAnsi="Times New Roman" w:cs="Times New Roman"/>
          <w:color w:val="000000"/>
          <w:sz w:val="24"/>
          <w:szCs w:val="24"/>
          <w:lang/>
        </w:rPr>
        <w:t>252.25.2. за місцем обліку платника рентної плати у разі розміщення ділянки надр, з якої видобуто корисні копалини, в межах континентального шельфу та/або виключної (морської) економічної зони України.</w:t>
      </w:r>
    </w:p>
    <w:p w14:paraId="7F33BE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5" w:name="n11543"/>
      <w:bookmarkEnd w:id="8005"/>
      <w:r w:rsidRPr="008B264B">
        <w:rPr>
          <w:rFonts w:ascii="Times New Roman" w:eastAsia="Times New Roman" w:hAnsi="Times New Roman" w:cs="Times New Roman"/>
          <w:color w:val="000000"/>
          <w:sz w:val="24"/>
          <w:szCs w:val="24"/>
          <w:lang/>
        </w:rPr>
        <w:t>252.26. Подання декларації, строки сплати, відповідальність платників та контроль за справлянням рентної плати визначено </w:t>
      </w:r>
      <w:hyperlink r:id="rId4512" w:anchor="n11739" w:history="1">
        <w:r w:rsidRPr="008B264B">
          <w:rPr>
            <w:rFonts w:ascii="Times New Roman" w:eastAsia="Times New Roman" w:hAnsi="Times New Roman" w:cs="Times New Roman"/>
            <w:color w:val="0000FF"/>
            <w:sz w:val="24"/>
            <w:szCs w:val="24"/>
            <w:u w:val="single"/>
            <w:lang/>
          </w:rPr>
          <w:t>статтями 257</w:t>
        </w:r>
      </w:hyperlink>
      <w:r w:rsidRPr="008B264B">
        <w:rPr>
          <w:rFonts w:ascii="Times New Roman" w:eastAsia="Times New Roman" w:hAnsi="Times New Roman" w:cs="Times New Roman"/>
          <w:color w:val="000000"/>
          <w:sz w:val="24"/>
          <w:szCs w:val="24"/>
          <w:lang/>
        </w:rPr>
        <w:t> і </w:t>
      </w:r>
      <w:hyperlink r:id="rId4513" w:anchor="n11754" w:history="1">
        <w:r w:rsidRPr="008B264B">
          <w:rPr>
            <w:rFonts w:ascii="Times New Roman" w:eastAsia="Times New Roman" w:hAnsi="Times New Roman" w:cs="Times New Roman"/>
            <w:color w:val="0000FF"/>
            <w:sz w:val="24"/>
            <w:szCs w:val="24"/>
            <w:u w:val="single"/>
            <w:lang/>
          </w:rPr>
          <w:t>258</w:t>
        </w:r>
      </w:hyperlink>
      <w:r w:rsidRPr="008B264B">
        <w:rPr>
          <w:rFonts w:ascii="Times New Roman" w:eastAsia="Times New Roman" w:hAnsi="Times New Roman" w:cs="Times New Roman"/>
          <w:color w:val="000000"/>
          <w:sz w:val="24"/>
          <w:szCs w:val="24"/>
          <w:lang/>
        </w:rPr>
        <w:t> цього Кодексу.</w:t>
      </w:r>
    </w:p>
    <w:p w14:paraId="7F1252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6" w:name="n11544"/>
      <w:bookmarkEnd w:id="8006"/>
      <w:r w:rsidRPr="008B264B">
        <w:rPr>
          <w:rFonts w:ascii="Times New Roman" w:eastAsia="Times New Roman" w:hAnsi="Times New Roman" w:cs="Times New Roman"/>
          <w:b/>
          <w:bCs/>
          <w:color w:val="000000"/>
          <w:sz w:val="24"/>
          <w:szCs w:val="24"/>
          <w:lang/>
        </w:rPr>
        <w:t>Стаття 253.</w:t>
      </w:r>
      <w:r w:rsidRPr="008B264B">
        <w:rPr>
          <w:rFonts w:ascii="Times New Roman" w:eastAsia="Times New Roman" w:hAnsi="Times New Roman" w:cs="Times New Roman"/>
          <w:color w:val="000000"/>
          <w:sz w:val="24"/>
          <w:szCs w:val="24"/>
          <w:lang/>
        </w:rPr>
        <w:t> Рентна плата за користування надрами в цілях, не пов’язаних з видобуванням корисних копалин</w:t>
      </w:r>
    </w:p>
    <w:p w14:paraId="7D0165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7" w:name="n11545"/>
      <w:bookmarkEnd w:id="8007"/>
      <w:r w:rsidRPr="008B264B">
        <w:rPr>
          <w:rFonts w:ascii="Times New Roman" w:eastAsia="Times New Roman" w:hAnsi="Times New Roman" w:cs="Times New Roman"/>
          <w:color w:val="000000"/>
          <w:sz w:val="24"/>
          <w:szCs w:val="24"/>
          <w:lang/>
        </w:rPr>
        <w:t>253.1. Платниками рентної плати за користування надрами в цілях, не пов’язаних з видобуванням корисних копалин, є юридичні та фізичні особи - суб’єкти господарювання, які використовують у межах території України ділянки надр для:</w:t>
      </w:r>
    </w:p>
    <w:p w14:paraId="398EF7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8" w:name="n11546"/>
      <w:bookmarkEnd w:id="8008"/>
      <w:r w:rsidRPr="008B264B">
        <w:rPr>
          <w:rFonts w:ascii="Times New Roman" w:eastAsia="Times New Roman" w:hAnsi="Times New Roman" w:cs="Times New Roman"/>
          <w:color w:val="000000"/>
          <w:sz w:val="24"/>
          <w:szCs w:val="24"/>
          <w:lang/>
        </w:rPr>
        <w:t>253.1.1. зберігання природного газу, нафти, газоподібних та інших рідких нафтопродуктів;</w:t>
      </w:r>
    </w:p>
    <w:p w14:paraId="3CCCBB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09" w:name="n11547"/>
      <w:bookmarkEnd w:id="8009"/>
      <w:r w:rsidRPr="008B264B">
        <w:rPr>
          <w:rFonts w:ascii="Times New Roman" w:eastAsia="Times New Roman" w:hAnsi="Times New Roman" w:cs="Times New Roman"/>
          <w:color w:val="000000"/>
          <w:sz w:val="24"/>
          <w:szCs w:val="24"/>
          <w:lang/>
        </w:rPr>
        <w:t>253.1.2. витримування виноматеріалів, виробництва і зберігання винопродукції;</w:t>
      </w:r>
    </w:p>
    <w:p w14:paraId="154B34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0" w:name="n11548"/>
      <w:bookmarkEnd w:id="8010"/>
      <w:r w:rsidRPr="008B264B">
        <w:rPr>
          <w:rFonts w:ascii="Times New Roman" w:eastAsia="Times New Roman" w:hAnsi="Times New Roman" w:cs="Times New Roman"/>
          <w:color w:val="000000"/>
          <w:sz w:val="24"/>
          <w:szCs w:val="24"/>
          <w:lang/>
        </w:rPr>
        <w:t>253.1.3. вирощування грибів, овочів, квітів та інших рослин;</w:t>
      </w:r>
    </w:p>
    <w:p w14:paraId="011C84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1" w:name="n11549"/>
      <w:bookmarkEnd w:id="8011"/>
      <w:r w:rsidRPr="008B264B">
        <w:rPr>
          <w:rFonts w:ascii="Times New Roman" w:eastAsia="Times New Roman" w:hAnsi="Times New Roman" w:cs="Times New Roman"/>
          <w:color w:val="000000"/>
          <w:sz w:val="24"/>
          <w:szCs w:val="24"/>
          <w:lang/>
        </w:rPr>
        <w:t>253.1.4. зберігання харчових продуктів, промислових та інших товарів, речовин і матеріалів;</w:t>
      </w:r>
    </w:p>
    <w:p w14:paraId="3E18BA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2" w:name="n11550"/>
      <w:bookmarkEnd w:id="8012"/>
      <w:r w:rsidRPr="008B264B">
        <w:rPr>
          <w:rFonts w:ascii="Times New Roman" w:eastAsia="Times New Roman" w:hAnsi="Times New Roman" w:cs="Times New Roman"/>
          <w:color w:val="000000"/>
          <w:sz w:val="24"/>
          <w:szCs w:val="24"/>
          <w:lang/>
        </w:rPr>
        <w:t>253.1.5. провадження інших видів господарської діяльності.</w:t>
      </w:r>
    </w:p>
    <w:p w14:paraId="55B3D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3" w:name="n11551"/>
      <w:bookmarkEnd w:id="8013"/>
      <w:r w:rsidRPr="008B264B">
        <w:rPr>
          <w:rFonts w:ascii="Times New Roman" w:eastAsia="Times New Roman" w:hAnsi="Times New Roman" w:cs="Times New Roman"/>
          <w:color w:val="000000"/>
          <w:sz w:val="24"/>
          <w:szCs w:val="24"/>
          <w:lang/>
        </w:rPr>
        <w:t>253.2. Не є платниками рентної плати за користування надрами в цілях, не пов’язаних з видобуванням корисних копалин, військові частини, заклади, установи і організації Збройних Сил України та інші військові формування, утворені відповідно до закону, що фінансуються за рахунок коштів державного бюджету.</w:t>
      </w:r>
    </w:p>
    <w:p w14:paraId="6F6B16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4" w:name="n11552"/>
      <w:bookmarkEnd w:id="8014"/>
      <w:r w:rsidRPr="008B264B">
        <w:rPr>
          <w:rFonts w:ascii="Times New Roman" w:eastAsia="Times New Roman" w:hAnsi="Times New Roman" w:cs="Times New Roman"/>
          <w:color w:val="000000"/>
          <w:sz w:val="24"/>
          <w:szCs w:val="24"/>
          <w:lang/>
        </w:rPr>
        <w:t>253.3. Об’єктом оподаткування рентною платою за користування надрами в цілях, не пов’язаних з видобуванням корисних копалин, є обсяг підземного простору (ділянки) надр:</w:t>
      </w:r>
    </w:p>
    <w:p w14:paraId="7A3A32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5" w:name="n11553"/>
      <w:bookmarkEnd w:id="8015"/>
      <w:r w:rsidRPr="008B264B">
        <w:rPr>
          <w:rFonts w:ascii="Times New Roman" w:eastAsia="Times New Roman" w:hAnsi="Times New Roman" w:cs="Times New Roman"/>
          <w:color w:val="000000"/>
          <w:sz w:val="24"/>
          <w:szCs w:val="24"/>
          <w:lang/>
        </w:rPr>
        <w:t>253.3.1. для зберігання природного газу та газоподібних продуктів - активний об’єм зберігання газу в пористих чи тріщинуватих геологічних утвореннях (пластах-колекторах);</w:t>
      </w:r>
    </w:p>
    <w:p w14:paraId="25C0F3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6" w:name="n11554"/>
      <w:bookmarkEnd w:id="8016"/>
      <w:r w:rsidRPr="008B264B">
        <w:rPr>
          <w:rFonts w:ascii="Times New Roman" w:eastAsia="Times New Roman" w:hAnsi="Times New Roman" w:cs="Times New Roman"/>
          <w:color w:val="000000"/>
          <w:sz w:val="24"/>
          <w:szCs w:val="24"/>
          <w:lang/>
        </w:rPr>
        <w:t>253.3.2. для зберігання нафти та інших рідких нафтопродуктів - об’єм спеціально створених та існуючих гірничих виробок (відпрацьованих і пристосованих), а також природних порожнин (печер);</w:t>
      </w:r>
    </w:p>
    <w:p w14:paraId="765719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7" w:name="n11555"/>
      <w:bookmarkEnd w:id="8017"/>
      <w:r w:rsidRPr="008B264B">
        <w:rPr>
          <w:rFonts w:ascii="Times New Roman" w:eastAsia="Times New Roman" w:hAnsi="Times New Roman" w:cs="Times New Roman"/>
          <w:color w:val="000000"/>
          <w:sz w:val="24"/>
          <w:szCs w:val="24"/>
          <w:lang/>
        </w:rPr>
        <w:t>253.3.3. для витримування виноматеріалів, виробництва і зберігання винопродукції, вирощування грибів, овочів, квітів та інших рослин, зберігання харчових продуктів, промислових та інших товарів, речовин і матеріалів, провадження інших видів господарської діяльності - площа підземного простору, що надана у користування в спеціально створених та існуючих гірничих виробках (відпрацьованих і пристосованих), а також природних порожнинах (печерах).</w:t>
      </w:r>
    </w:p>
    <w:p w14:paraId="0681FA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8" w:name="n11556"/>
      <w:bookmarkEnd w:id="8018"/>
      <w:r w:rsidRPr="008B264B">
        <w:rPr>
          <w:rFonts w:ascii="Times New Roman" w:eastAsia="Times New Roman" w:hAnsi="Times New Roman" w:cs="Times New Roman"/>
          <w:color w:val="000000"/>
          <w:sz w:val="24"/>
          <w:szCs w:val="24"/>
          <w:lang/>
        </w:rPr>
        <w:t>253.4. Рентна плата за користування надрами в цілях, не пов’язаних з видобуванням корисних копалин, не справляється:</w:t>
      </w:r>
    </w:p>
    <w:p w14:paraId="437CF1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19" w:name="n11557"/>
      <w:bookmarkEnd w:id="8019"/>
      <w:r w:rsidRPr="008B264B">
        <w:rPr>
          <w:rFonts w:ascii="Times New Roman" w:eastAsia="Times New Roman" w:hAnsi="Times New Roman" w:cs="Times New Roman"/>
          <w:color w:val="000000"/>
          <w:sz w:val="24"/>
          <w:szCs w:val="24"/>
          <w:lang/>
        </w:rPr>
        <w:t>253.4.1. за використання транспортних тунелів та інших підземних комунікацій, колекторно-дренажних систем та об’єктів міського комунального господарства;</w:t>
      </w:r>
    </w:p>
    <w:p w14:paraId="2B425C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0" w:name="n11558"/>
      <w:bookmarkEnd w:id="8020"/>
      <w:r w:rsidRPr="008B264B">
        <w:rPr>
          <w:rFonts w:ascii="Times New Roman" w:eastAsia="Times New Roman" w:hAnsi="Times New Roman" w:cs="Times New Roman"/>
          <w:color w:val="000000"/>
          <w:sz w:val="24"/>
          <w:szCs w:val="24"/>
          <w:lang/>
        </w:rPr>
        <w:t>253.4.2. за використання підземних споруд на глибині не більш як 20 метрів, збудованих відкритим способом без засипання або з подальшим ґрунтовим засипанням.</w:t>
      </w:r>
    </w:p>
    <w:p w14:paraId="2BF412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1" w:name="n11559"/>
      <w:bookmarkEnd w:id="8021"/>
      <w:r w:rsidRPr="008B264B">
        <w:rPr>
          <w:rFonts w:ascii="Times New Roman" w:eastAsia="Times New Roman" w:hAnsi="Times New Roman" w:cs="Times New Roman"/>
          <w:color w:val="000000"/>
          <w:sz w:val="24"/>
          <w:szCs w:val="24"/>
          <w:lang/>
        </w:rPr>
        <w:lastRenderedPageBreak/>
        <w:t>253.5. Ставки рентної плати за користування надрами в цілях, не пов’язаних з видобуванням корисних копалин, встановлюються залежно від корисних властивостей надр і ступеня екологічної безпеки під час їх використання у таких розмірах:</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3075"/>
        <w:gridCol w:w="3221"/>
        <w:gridCol w:w="1619"/>
        <w:gridCol w:w="2007"/>
      </w:tblGrid>
      <w:tr w:rsidR="008B264B" w:rsidRPr="008B264B" w14:paraId="1AF3AB71" w14:textId="77777777" w:rsidTr="008B264B">
        <w:trPr>
          <w:jc w:val="center"/>
        </w:trPr>
        <w:tc>
          <w:tcPr>
            <w:tcW w:w="2850" w:type="dxa"/>
            <w:tcBorders>
              <w:top w:val="single" w:sz="6" w:space="0" w:color="000000"/>
              <w:left w:val="nil"/>
              <w:bottom w:val="single" w:sz="6" w:space="0" w:color="000000"/>
              <w:right w:val="single" w:sz="6" w:space="0" w:color="000000"/>
            </w:tcBorders>
            <w:shd w:val="clear" w:color="auto" w:fill="auto"/>
            <w:hideMark/>
          </w:tcPr>
          <w:p w14:paraId="4D7B10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022" w:name="n14896"/>
            <w:bookmarkEnd w:id="8022"/>
            <w:r w:rsidRPr="008B264B">
              <w:rPr>
                <w:rFonts w:ascii="Times New Roman" w:eastAsia="Times New Roman" w:hAnsi="Times New Roman" w:cs="Times New Roman"/>
                <w:sz w:val="24"/>
                <w:szCs w:val="24"/>
                <w:lang/>
              </w:rPr>
              <w:t>Характер користування надрами</w:t>
            </w:r>
          </w:p>
        </w:tc>
        <w:tc>
          <w:tcPr>
            <w:tcW w:w="2985" w:type="dxa"/>
            <w:tcBorders>
              <w:top w:val="single" w:sz="6" w:space="0" w:color="000000"/>
              <w:left w:val="single" w:sz="6" w:space="0" w:color="000000"/>
              <w:bottom w:val="single" w:sz="6" w:space="0" w:color="000000"/>
              <w:right w:val="single" w:sz="6" w:space="0" w:color="000000"/>
            </w:tcBorders>
            <w:shd w:val="clear" w:color="auto" w:fill="auto"/>
            <w:hideMark/>
          </w:tcPr>
          <w:p w14:paraId="053184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 користування надрами</w:t>
            </w:r>
          </w:p>
        </w:tc>
        <w:tc>
          <w:tcPr>
            <w:tcW w:w="1500" w:type="dxa"/>
            <w:tcBorders>
              <w:top w:val="single" w:sz="6" w:space="0" w:color="000000"/>
              <w:left w:val="single" w:sz="6" w:space="0" w:color="000000"/>
              <w:bottom w:val="single" w:sz="6" w:space="0" w:color="000000"/>
              <w:right w:val="single" w:sz="6" w:space="0" w:color="000000"/>
            </w:tcBorders>
            <w:shd w:val="clear" w:color="auto" w:fill="auto"/>
            <w:hideMark/>
          </w:tcPr>
          <w:p w14:paraId="57AB91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1860" w:type="dxa"/>
            <w:tcBorders>
              <w:top w:val="single" w:sz="6" w:space="0" w:color="000000"/>
              <w:left w:val="single" w:sz="6" w:space="0" w:color="000000"/>
              <w:bottom w:val="single" w:sz="6" w:space="0" w:color="000000"/>
              <w:right w:val="nil"/>
            </w:tcBorders>
            <w:shd w:val="clear" w:color="auto" w:fill="auto"/>
            <w:hideMark/>
          </w:tcPr>
          <w:p w14:paraId="6C0BC7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рентної плати за користування надрами в цілях, не пов’язаних з видобуванням корисних копалин, за одиницю обсягу користування надрами, гривень на рік</w:t>
            </w:r>
          </w:p>
        </w:tc>
      </w:tr>
      <w:tr w:rsidR="008B264B" w:rsidRPr="008B264B" w14:paraId="4B5F39B2" w14:textId="77777777" w:rsidTr="008B264B">
        <w:trPr>
          <w:jc w:val="center"/>
        </w:trPr>
        <w:tc>
          <w:tcPr>
            <w:tcW w:w="2850" w:type="dxa"/>
            <w:tcBorders>
              <w:top w:val="single" w:sz="6" w:space="0" w:color="000000"/>
              <w:left w:val="nil"/>
              <w:bottom w:val="nil"/>
              <w:right w:val="nil"/>
            </w:tcBorders>
            <w:shd w:val="clear" w:color="auto" w:fill="auto"/>
            <w:hideMark/>
          </w:tcPr>
          <w:p w14:paraId="1104D68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Використання підземного простору надр - пористих чи тріщинуватих геологічних утворень (пластів-колекторів)</w:t>
            </w:r>
          </w:p>
        </w:tc>
        <w:tc>
          <w:tcPr>
            <w:tcW w:w="2985" w:type="dxa"/>
            <w:tcBorders>
              <w:top w:val="single" w:sz="6" w:space="0" w:color="000000"/>
              <w:left w:val="nil"/>
              <w:bottom w:val="nil"/>
              <w:right w:val="nil"/>
            </w:tcBorders>
            <w:shd w:val="clear" w:color="auto" w:fill="auto"/>
            <w:hideMark/>
          </w:tcPr>
          <w:p w14:paraId="01A6058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зберігання природного газу та газоподібних продуктів</w:t>
            </w:r>
          </w:p>
        </w:tc>
        <w:tc>
          <w:tcPr>
            <w:tcW w:w="1500" w:type="dxa"/>
            <w:tcBorders>
              <w:top w:val="single" w:sz="6" w:space="0" w:color="000000"/>
              <w:left w:val="nil"/>
              <w:bottom w:val="nil"/>
              <w:right w:val="nil"/>
            </w:tcBorders>
            <w:shd w:val="clear" w:color="auto" w:fill="auto"/>
            <w:hideMark/>
          </w:tcPr>
          <w:p w14:paraId="592DFC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тис. куб. метрів активного об’єму</w:t>
            </w:r>
          </w:p>
        </w:tc>
        <w:tc>
          <w:tcPr>
            <w:tcW w:w="1860" w:type="dxa"/>
            <w:tcBorders>
              <w:top w:val="single" w:sz="6" w:space="0" w:color="000000"/>
              <w:left w:val="nil"/>
              <w:bottom w:val="nil"/>
              <w:right w:val="nil"/>
            </w:tcBorders>
            <w:shd w:val="clear" w:color="auto" w:fill="auto"/>
            <w:hideMark/>
          </w:tcPr>
          <w:p w14:paraId="543334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0,49</w:t>
            </w:r>
          </w:p>
        </w:tc>
      </w:tr>
      <w:tr w:rsidR="008B264B" w:rsidRPr="008B264B" w14:paraId="52EB9D65" w14:textId="77777777" w:rsidTr="008B264B">
        <w:trPr>
          <w:jc w:val="center"/>
        </w:trPr>
        <w:tc>
          <w:tcPr>
            <w:tcW w:w="2850" w:type="dxa"/>
            <w:vMerge w:val="restart"/>
            <w:tcBorders>
              <w:top w:val="nil"/>
              <w:left w:val="nil"/>
              <w:bottom w:val="nil"/>
              <w:right w:val="nil"/>
            </w:tcBorders>
            <w:shd w:val="clear" w:color="auto" w:fill="auto"/>
            <w:hideMark/>
          </w:tcPr>
          <w:p w14:paraId="1F353D0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Використання підземного простору - спеціально створених та існуючих гірничих виробок (відпрацьованих і пристосованих), а також природних порожнин (печер)</w:t>
            </w:r>
          </w:p>
        </w:tc>
        <w:tc>
          <w:tcPr>
            <w:tcW w:w="2985" w:type="dxa"/>
            <w:tcBorders>
              <w:top w:val="nil"/>
              <w:left w:val="nil"/>
              <w:bottom w:val="nil"/>
              <w:right w:val="nil"/>
            </w:tcBorders>
            <w:shd w:val="clear" w:color="auto" w:fill="auto"/>
            <w:hideMark/>
          </w:tcPr>
          <w:p w14:paraId="587212F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зберігання нафти та інших рідких нафтопродуктів</w:t>
            </w:r>
          </w:p>
        </w:tc>
        <w:tc>
          <w:tcPr>
            <w:tcW w:w="1500" w:type="dxa"/>
            <w:tcBorders>
              <w:top w:val="nil"/>
              <w:left w:val="nil"/>
              <w:bottom w:val="nil"/>
              <w:right w:val="nil"/>
            </w:tcBorders>
            <w:shd w:val="clear" w:color="auto" w:fill="auto"/>
            <w:hideMark/>
          </w:tcPr>
          <w:p w14:paraId="2B4DC7F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куб. метрів</w:t>
            </w:r>
          </w:p>
        </w:tc>
        <w:tc>
          <w:tcPr>
            <w:tcW w:w="1860" w:type="dxa"/>
            <w:tcBorders>
              <w:top w:val="nil"/>
              <w:left w:val="nil"/>
              <w:bottom w:val="nil"/>
              <w:right w:val="nil"/>
            </w:tcBorders>
            <w:shd w:val="clear" w:color="auto" w:fill="auto"/>
            <w:hideMark/>
          </w:tcPr>
          <w:p w14:paraId="61FD71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0,49</w:t>
            </w:r>
          </w:p>
        </w:tc>
      </w:tr>
      <w:tr w:rsidR="008B264B" w:rsidRPr="008B264B" w14:paraId="3BE7F42C" w14:textId="77777777" w:rsidTr="008B264B">
        <w:trPr>
          <w:jc w:val="center"/>
        </w:trPr>
        <w:tc>
          <w:tcPr>
            <w:tcW w:w="0" w:type="auto"/>
            <w:vMerge/>
            <w:tcBorders>
              <w:top w:val="nil"/>
              <w:left w:val="nil"/>
              <w:bottom w:val="nil"/>
              <w:right w:val="nil"/>
            </w:tcBorders>
            <w:shd w:val="clear" w:color="auto" w:fill="auto"/>
            <w:hideMark/>
          </w:tcPr>
          <w:p w14:paraId="3402018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985" w:type="dxa"/>
            <w:tcBorders>
              <w:top w:val="nil"/>
              <w:left w:val="nil"/>
              <w:bottom w:val="nil"/>
              <w:right w:val="nil"/>
            </w:tcBorders>
            <w:shd w:val="clear" w:color="auto" w:fill="auto"/>
            <w:hideMark/>
          </w:tcPr>
          <w:p w14:paraId="4C02AAE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витримування виноматеріалів, виробництво і зберігання винопродукції</w:t>
            </w:r>
          </w:p>
        </w:tc>
        <w:tc>
          <w:tcPr>
            <w:tcW w:w="1500" w:type="dxa"/>
            <w:tcBorders>
              <w:top w:val="nil"/>
              <w:left w:val="nil"/>
              <w:bottom w:val="nil"/>
              <w:right w:val="nil"/>
            </w:tcBorders>
            <w:shd w:val="clear" w:color="auto" w:fill="auto"/>
            <w:hideMark/>
          </w:tcPr>
          <w:p w14:paraId="1D6460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кв. метрів</w:t>
            </w:r>
          </w:p>
        </w:tc>
        <w:tc>
          <w:tcPr>
            <w:tcW w:w="1860" w:type="dxa"/>
            <w:tcBorders>
              <w:top w:val="nil"/>
              <w:left w:val="nil"/>
              <w:bottom w:val="nil"/>
              <w:right w:val="nil"/>
            </w:tcBorders>
            <w:shd w:val="clear" w:color="auto" w:fill="auto"/>
            <w:hideMark/>
          </w:tcPr>
          <w:p w14:paraId="2ED4FC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w:t>
            </w:r>
          </w:p>
        </w:tc>
      </w:tr>
      <w:tr w:rsidR="008B264B" w:rsidRPr="008B264B" w14:paraId="04BA72E4" w14:textId="77777777" w:rsidTr="008B264B">
        <w:trPr>
          <w:jc w:val="center"/>
        </w:trPr>
        <w:tc>
          <w:tcPr>
            <w:tcW w:w="0" w:type="auto"/>
            <w:vMerge/>
            <w:tcBorders>
              <w:top w:val="nil"/>
              <w:left w:val="nil"/>
              <w:bottom w:val="nil"/>
              <w:right w:val="nil"/>
            </w:tcBorders>
            <w:shd w:val="clear" w:color="auto" w:fill="auto"/>
            <w:hideMark/>
          </w:tcPr>
          <w:p w14:paraId="4C8F19D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985" w:type="dxa"/>
            <w:tcBorders>
              <w:top w:val="nil"/>
              <w:left w:val="nil"/>
              <w:bottom w:val="nil"/>
              <w:right w:val="nil"/>
            </w:tcBorders>
            <w:shd w:val="clear" w:color="auto" w:fill="auto"/>
            <w:hideMark/>
          </w:tcPr>
          <w:p w14:paraId="28E04A5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вирощування грибів, овочів, квітів та інших рослин</w:t>
            </w:r>
          </w:p>
        </w:tc>
        <w:tc>
          <w:tcPr>
            <w:tcW w:w="1500" w:type="dxa"/>
            <w:tcBorders>
              <w:top w:val="nil"/>
              <w:left w:val="nil"/>
              <w:bottom w:val="nil"/>
              <w:right w:val="nil"/>
            </w:tcBorders>
            <w:shd w:val="clear" w:color="auto" w:fill="auto"/>
            <w:hideMark/>
          </w:tcPr>
          <w:p w14:paraId="3F90CC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860" w:type="dxa"/>
            <w:tcBorders>
              <w:top w:val="nil"/>
              <w:left w:val="nil"/>
              <w:bottom w:val="nil"/>
              <w:right w:val="nil"/>
            </w:tcBorders>
            <w:shd w:val="clear" w:color="auto" w:fill="auto"/>
            <w:hideMark/>
          </w:tcPr>
          <w:p w14:paraId="31076B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0,79</w:t>
            </w:r>
          </w:p>
        </w:tc>
      </w:tr>
      <w:tr w:rsidR="008B264B" w:rsidRPr="008B264B" w14:paraId="4CE5D044" w14:textId="77777777" w:rsidTr="008B264B">
        <w:trPr>
          <w:jc w:val="center"/>
        </w:trPr>
        <w:tc>
          <w:tcPr>
            <w:tcW w:w="0" w:type="auto"/>
            <w:vMerge/>
            <w:tcBorders>
              <w:top w:val="nil"/>
              <w:left w:val="nil"/>
              <w:bottom w:val="nil"/>
              <w:right w:val="nil"/>
            </w:tcBorders>
            <w:shd w:val="clear" w:color="auto" w:fill="auto"/>
            <w:hideMark/>
          </w:tcPr>
          <w:p w14:paraId="7FD63A4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985" w:type="dxa"/>
            <w:tcBorders>
              <w:top w:val="nil"/>
              <w:left w:val="nil"/>
              <w:bottom w:val="nil"/>
              <w:right w:val="nil"/>
            </w:tcBorders>
            <w:shd w:val="clear" w:color="auto" w:fill="auto"/>
            <w:hideMark/>
          </w:tcPr>
          <w:p w14:paraId="5887223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зберігання харчових продуктів, промислових та інших товарів, речовин і матеріалів</w:t>
            </w:r>
          </w:p>
        </w:tc>
        <w:tc>
          <w:tcPr>
            <w:tcW w:w="1500" w:type="dxa"/>
            <w:tcBorders>
              <w:top w:val="nil"/>
              <w:left w:val="nil"/>
              <w:bottom w:val="nil"/>
              <w:right w:val="nil"/>
            </w:tcBorders>
            <w:shd w:val="clear" w:color="auto" w:fill="auto"/>
            <w:hideMark/>
          </w:tcPr>
          <w:p w14:paraId="53378E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860" w:type="dxa"/>
            <w:tcBorders>
              <w:top w:val="nil"/>
              <w:left w:val="nil"/>
              <w:bottom w:val="nil"/>
              <w:right w:val="nil"/>
            </w:tcBorders>
            <w:shd w:val="clear" w:color="auto" w:fill="auto"/>
            <w:hideMark/>
          </w:tcPr>
          <w:p w14:paraId="1567DF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0,6</w:t>
            </w:r>
          </w:p>
        </w:tc>
      </w:tr>
      <w:tr w:rsidR="008B264B" w:rsidRPr="008B264B" w14:paraId="220942C9" w14:textId="77777777" w:rsidTr="008B264B">
        <w:trPr>
          <w:jc w:val="center"/>
        </w:trPr>
        <w:tc>
          <w:tcPr>
            <w:tcW w:w="0" w:type="auto"/>
            <w:vMerge/>
            <w:tcBorders>
              <w:top w:val="nil"/>
              <w:left w:val="nil"/>
              <w:bottom w:val="nil"/>
              <w:right w:val="nil"/>
            </w:tcBorders>
            <w:shd w:val="clear" w:color="auto" w:fill="auto"/>
            <w:hideMark/>
          </w:tcPr>
          <w:p w14:paraId="27739DE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985" w:type="dxa"/>
            <w:tcBorders>
              <w:top w:val="nil"/>
              <w:left w:val="nil"/>
              <w:bottom w:val="nil"/>
              <w:right w:val="nil"/>
            </w:tcBorders>
            <w:shd w:val="clear" w:color="auto" w:fill="auto"/>
            <w:hideMark/>
          </w:tcPr>
          <w:p w14:paraId="197DF2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провадження іншої господарської діяльності</w:t>
            </w:r>
          </w:p>
        </w:tc>
        <w:tc>
          <w:tcPr>
            <w:tcW w:w="1500" w:type="dxa"/>
            <w:tcBorders>
              <w:top w:val="nil"/>
              <w:left w:val="nil"/>
              <w:bottom w:val="nil"/>
              <w:right w:val="nil"/>
            </w:tcBorders>
            <w:shd w:val="clear" w:color="auto" w:fill="auto"/>
            <w:hideMark/>
          </w:tcPr>
          <w:p w14:paraId="0FC720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860" w:type="dxa"/>
            <w:tcBorders>
              <w:top w:val="nil"/>
              <w:left w:val="nil"/>
              <w:bottom w:val="nil"/>
              <w:right w:val="nil"/>
            </w:tcBorders>
            <w:shd w:val="clear" w:color="auto" w:fill="auto"/>
            <w:hideMark/>
          </w:tcPr>
          <w:p w14:paraId="6526F1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w:t>
            </w:r>
          </w:p>
        </w:tc>
      </w:tr>
    </w:tbl>
    <w:p w14:paraId="5853DE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3" w:name="n12900"/>
      <w:bookmarkEnd w:id="8023"/>
      <w:r w:rsidRPr="008B264B">
        <w:rPr>
          <w:rFonts w:ascii="Times New Roman" w:eastAsia="Times New Roman" w:hAnsi="Times New Roman" w:cs="Times New Roman"/>
          <w:i/>
          <w:iCs/>
          <w:color w:val="000000"/>
          <w:sz w:val="24"/>
          <w:szCs w:val="24"/>
          <w:lang/>
        </w:rPr>
        <w:t>{Пункт 253.5 статті 253 в редакції Законів </w:t>
      </w:r>
      <w:hyperlink r:id="rId4514" w:anchor="n52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515" w:anchor="n8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516" w:anchor="n34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48AD6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4" w:name="n11561"/>
      <w:bookmarkEnd w:id="8024"/>
      <w:r w:rsidRPr="008B264B">
        <w:rPr>
          <w:rFonts w:ascii="Times New Roman" w:eastAsia="Times New Roman" w:hAnsi="Times New Roman" w:cs="Times New Roman"/>
          <w:color w:val="000000"/>
          <w:sz w:val="24"/>
          <w:szCs w:val="24"/>
          <w:lang/>
        </w:rPr>
        <w:t>253.6. Подання декларації, строки сплати, відповідальність платників та контроль за справлянням рентної плати визначено </w:t>
      </w:r>
      <w:hyperlink r:id="rId4517" w:anchor="n11739" w:history="1">
        <w:r w:rsidRPr="008B264B">
          <w:rPr>
            <w:rFonts w:ascii="Times New Roman" w:eastAsia="Times New Roman" w:hAnsi="Times New Roman" w:cs="Times New Roman"/>
            <w:color w:val="0000FF"/>
            <w:sz w:val="24"/>
            <w:szCs w:val="24"/>
            <w:u w:val="single"/>
            <w:lang/>
          </w:rPr>
          <w:t>статтями 257</w:t>
        </w:r>
      </w:hyperlink>
      <w:r w:rsidRPr="008B264B">
        <w:rPr>
          <w:rFonts w:ascii="Times New Roman" w:eastAsia="Times New Roman" w:hAnsi="Times New Roman" w:cs="Times New Roman"/>
          <w:color w:val="000000"/>
          <w:sz w:val="24"/>
          <w:szCs w:val="24"/>
          <w:lang/>
        </w:rPr>
        <w:t> і </w:t>
      </w:r>
      <w:hyperlink r:id="rId4518" w:anchor="n11754" w:history="1">
        <w:r w:rsidRPr="008B264B">
          <w:rPr>
            <w:rFonts w:ascii="Times New Roman" w:eastAsia="Times New Roman" w:hAnsi="Times New Roman" w:cs="Times New Roman"/>
            <w:color w:val="0000FF"/>
            <w:sz w:val="24"/>
            <w:szCs w:val="24"/>
            <w:u w:val="single"/>
            <w:lang/>
          </w:rPr>
          <w:t>258</w:t>
        </w:r>
      </w:hyperlink>
      <w:r w:rsidRPr="008B264B">
        <w:rPr>
          <w:rFonts w:ascii="Times New Roman" w:eastAsia="Times New Roman" w:hAnsi="Times New Roman" w:cs="Times New Roman"/>
          <w:color w:val="000000"/>
          <w:sz w:val="24"/>
          <w:szCs w:val="24"/>
          <w:lang/>
        </w:rPr>
        <w:t> цього Кодексу.</w:t>
      </w:r>
    </w:p>
    <w:p w14:paraId="7D5E25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5" w:name="n11562"/>
      <w:bookmarkEnd w:id="8025"/>
      <w:r w:rsidRPr="008B264B">
        <w:rPr>
          <w:rFonts w:ascii="Times New Roman" w:eastAsia="Times New Roman" w:hAnsi="Times New Roman" w:cs="Times New Roman"/>
          <w:b/>
          <w:bCs/>
          <w:color w:val="000000"/>
          <w:sz w:val="24"/>
          <w:szCs w:val="24"/>
          <w:lang/>
        </w:rPr>
        <w:t>Стаття 254.</w:t>
      </w:r>
      <w:r w:rsidRPr="008B264B">
        <w:rPr>
          <w:rFonts w:ascii="Times New Roman" w:eastAsia="Times New Roman" w:hAnsi="Times New Roman" w:cs="Times New Roman"/>
          <w:color w:val="000000"/>
          <w:sz w:val="24"/>
          <w:szCs w:val="24"/>
          <w:lang/>
        </w:rPr>
        <w:t> Рентна плата за користування радіочастотним ресурсом України</w:t>
      </w:r>
    </w:p>
    <w:p w14:paraId="1FCBA2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6" w:name="n11563"/>
      <w:bookmarkEnd w:id="8026"/>
      <w:r w:rsidRPr="008B264B">
        <w:rPr>
          <w:rFonts w:ascii="Times New Roman" w:eastAsia="Times New Roman" w:hAnsi="Times New Roman" w:cs="Times New Roman"/>
          <w:color w:val="000000"/>
          <w:sz w:val="24"/>
          <w:szCs w:val="24"/>
          <w:lang/>
        </w:rPr>
        <w:t>254.1. Платниками рентної плати за користування радіочастотним ресурсом України є загальні користувачі радіочастотного ресурсу України, визначені законодавством про радіочастотний ресурс, яким надано право користуватися радіочастотним ресурсом України в межах виділеної частини смуг радіочастот загального користування на підставі:</w:t>
      </w:r>
    </w:p>
    <w:p w14:paraId="622F43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7" w:name="n11564"/>
      <w:bookmarkEnd w:id="8027"/>
      <w:r w:rsidRPr="008B264B">
        <w:rPr>
          <w:rFonts w:ascii="Times New Roman" w:eastAsia="Times New Roman" w:hAnsi="Times New Roman" w:cs="Times New Roman"/>
          <w:color w:val="000000"/>
          <w:sz w:val="24"/>
          <w:szCs w:val="24"/>
          <w:lang/>
        </w:rPr>
        <w:t>254.1.1. ліцензії на користування радіочастотним ресурсом України;</w:t>
      </w:r>
    </w:p>
    <w:p w14:paraId="4A4E44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8" w:name="n11565"/>
      <w:bookmarkEnd w:id="8028"/>
      <w:r w:rsidRPr="008B264B">
        <w:rPr>
          <w:rFonts w:ascii="Times New Roman" w:eastAsia="Times New Roman" w:hAnsi="Times New Roman" w:cs="Times New Roman"/>
          <w:color w:val="000000"/>
          <w:sz w:val="24"/>
          <w:szCs w:val="24"/>
          <w:lang/>
        </w:rPr>
        <w:lastRenderedPageBreak/>
        <w:t>254.1.2. ліцензії на мовлення та дозволу на експлуатацію радіоелектронного засобу та випромінювального пристрою;</w:t>
      </w:r>
    </w:p>
    <w:p w14:paraId="379855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29" w:name="n11566"/>
      <w:bookmarkEnd w:id="8029"/>
      <w:r w:rsidRPr="008B264B">
        <w:rPr>
          <w:rFonts w:ascii="Times New Roman" w:eastAsia="Times New Roman" w:hAnsi="Times New Roman" w:cs="Times New Roman"/>
          <w:color w:val="000000"/>
          <w:sz w:val="24"/>
          <w:szCs w:val="24"/>
          <w:lang/>
        </w:rPr>
        <w:t>254.1.3. дозволу на експлуатацію радіоелектронного засобу та випромінювального пристрою, отриманого на підставі договору з власником ліцензії на мовлення;</w:t>
      </w:r>
    </w:p>
    <w:p w14:paraId="6A1D42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0" w:name="n11567"/>
      <w:bookmarkEnd w:id="8030"/>
      <w:r w:rsidRPr="008B264B">
        <w:rPr>
          <w:rFonts w:ascii="Times New Roman" w:eastAsia="Times New Roman" w:hAnsi="Times New Roman" w:cs="Times New Roman"/>
          <w:color w:val="000000"/>
          <w:sz w:val="24"/>
          <w:szCs w:val="24"/>
          <w:lang/>
        </w:rPr>
        <w:t>254.1.4. дозволу на експлуатацію радіоелектронного засобу та випромінювального пристрою.</w:t>
      </w:r>
    </w:p>
    <w:p w14:paraId="7F87F7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1" w:name="n11568"/>
      <w:bookmarkEnd w:id="8031"/>
      <w:r w:rsidRPr="008B264B">
        <w:rPr>
          <w:rFonts w:ascii="Times New Roman" w:eastAsia="Times New Roman" w:hAnsi="Times New Roman" w:cs="Times New Roman"/>
          <w:color w:val="000000"/>
          <w:sz w:val="24"/>
          <w:szCs w:val="24"/>
          <w:lang/>
        </w:rPr>
        <w:t>254.2. Не є платниками рентної плати спеціальні користувачі, перелік яких визначено законодавством про радіочастотний ресурс, та радіоаматори.</w:t>
      </w:r>
    </w:p>
    <w:p w14:paraId="1E394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2" w:name="n11569"/>
      <w:bookmarkEnd w:id="8032"/>
      <w:r w:rsidRPr="008B264B">
        <w:rPr>
          <w:rFonts w:ascii="Times New Roman" w:eastAsia="Times New Roman" w:hAnsi="Times New Roman" w:cs="Times New Roman"/>
          <w:color w:val="000000"/>
          <w:sz w:val="24"/>
          <w:szCs w:val="24"/>
          <w:lang/>
        </w:rPr>
        <w:t>254.3. Об’єктом оподаткування рентною платою за користування радіочастотним ресурсом України є ширина смуги радіочастот, що визначається як частина смуги радіочастот загального користування у відповідному регіоні та зазначена в ліцензії на користування радіочастотним ресурсом України або в дозволі на експлуатацію радіоелектронного засобу та випромінювального пристрою для технологічних користувачів та користувачів, які користуються радіочастотним ресурсом для розповсюдження телерадіопрограм.</w:t>
      </w:r>
    </w:p>
    <w:p w14:paraId="16AA29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3" w:name="n11570"/>
      <w:bookmarkEnd w:id="8033"/>
      <w:r w:rsidRPr="008B264B">
        <w:rPr>
          <w:rFonts w:ascii="Times New Roman" w:eastAsia="Times New Roman" w:hAnsi="Times New Roman" w:cs="Times New Roman"/>
          <w:color w:val="000000"/>
          <w:sz w:val="24"/>
          <w:szCs w:val="24"/>
          <w:lang/>
        </w:rPr>
        <w:t>254.4. Ставки рентної плати за користування радіочастотним ресурсом України встановлюються в таких розмірах:</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388"/>
        <w:gridCol w:w="2833"/>
        <w:gridCol w:w="3545"/>
        <w:gridCol w:w="3140"/>
      </w:tblGrid>
      <w:tr w:rsidR="008B264B" w:rsidRPr="008B264B" w14:paraId="3ED33D1C" w14:textId="77777777" w:rsidTr="008B264B">
        <w:tc>
          <w:tcPr>
            <w:tcW w:w="298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908DA9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034" w:name="n13354"/>
            <w:bookmarkEnd w:id="8034"/>
            <w:r w:rsidRPr="008B264B">
              <w:rPr>
                <w:rFonts w:ascii="Times New Roman" w:eastAsia="Times New Roman" w:hAnsi="Times New Roman" w:cs="Times New Roman"/>
                <w:sz w:val="24"/>
                <w:szCs w:val="24"/>
                <w:lang/>
              </w:rPr>
              <w:t>Вид радіозв’язку</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03B6C0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Діапазон радіочастот</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51417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рентної плати за 1 МГц смуги радіочастот на місяць, гривень</w:t>
            </w:r>
          </w:p>
        </w:tc>
      </w:tr>
      <w:tr w:rsidR="008B264B" w:rsidRPr="008B264B" w14:paraId="0CBFA74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48DC41D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4D60FA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Радіорелейний зв’язок фіксованої радіослужби</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3231E8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0,03-300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5572F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1,06</w:t>
            </w:r>
          </w:p>
        </w:tc>
      </w:tr>
      <w:tr w:rsidR="008B264B" w:rsidRPr="008B264B" w14:paraId="2950947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F7FED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9D1FFF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854F5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E5B22B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4FB161A"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135B56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20397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фіксованої, рухомої сухопутної радіослужб</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EC621D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0,03-470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220C17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1037,5</w:t>
            </w:r>
          </w:p>
        </w:tc>
      </w:tr>
      <w:tr w:rsidR="008B264B" w:rsidRPr="008B264B" w14:paraId="72317442"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6F8BC7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070599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морської радіослужби</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512A51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0,03-470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F84515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518,75</w:t>
            </w:r>
          </w:p>
        </w:tc>
      </w:tr>
      <w:tr w:rsidR="008B264B" w:rsidRPr="008B264B" w14:paraId="08CA7DB7"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6E45F9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D78981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у системі охоронної та охоронно-пожежної сигналізації</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6709E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30-470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989DC0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1037,5</w:t>
            </w:r>
          </w:p>
        </w:tc>
      </w:tr>
      <w:tr w:rsidR="008B264B" w:rsidRPr="008B264B" w14:paraId="40D95D74"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5B459D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8B4AD5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з використанням радіоподовжувачів</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66BE2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30-470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3D8D7B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520,37</w:t>
            </w:r>
          </w:p>
        </w:tc>
      </w:tr>
      <w:tr w:rsidR="008B264B" w:rsidRPr="008B264B" w14:paraId="499C8DD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6DE305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94E625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у системі передавання даних з використанням шумоподібних сигналів</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0F1F6C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1427-2400 МГц</w:t>
            </w:r>
            <w:r w:rsidRPr="008B264B">
              <w:rPr>
                <w:rFonts w:ascii="Times New Roman" w:eastAsia="Times New Roman" w:hAnsi="Times New Roman" w:cs="Times New Roman"/>
                <w:sz w:val="24"/>
                <w:szCs w:val="24"/>
                <w:lang/>
              </w:rPr>
              <w:br/>
              <w:t>2400-2483,5 МГц</w:t>
            </w:r>
            <w:r w:rsidRPr="008B264B">
              <w:rPr>
                <w:rFonts w:ascii="Times New Roman" w:eastAsia="Times New Roman" w:hAnsi="Times New Roman" w:cs="Times New Roman"/>
                <w:sz w:val="24"/>
                <w:szCs w:val="24"/>
                <w:lang/>
              </w:rPr>
              <w:br/>
              <w:t>5150-5850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43986D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26,211</w:t>
            </w:r>
          </w:p>
        </w:tc>
      </w:tr>
      <w:tr w:rsidR="008B264B" w:rsidRPr="008B264B" w14:paraId="1C8A16BA"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15FB91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F06241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у системі з фіксованим абонентським радіодоступом стандарту DECT</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59A444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30-3000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DE4C5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52,36</w:t>
            </w:r>
          </w:p>
        </w:tc>
      </w:tr>
      <w:tr w:rsidR="008B264B" w:rsidRPr="008B264B" w14:paraId="17C33084"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8969A2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7.</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4A5FB4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Транкінговий радіозв’язок</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EA4C1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30-470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1B1A9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3217,19</w:t>
            </w:r>
          </w:p>
        </w:tc>
      </w:tr>
      <w:tr w:rsidR="008B264B" w:rsidRPr="008B264B" w14:paraId="3189E7C9"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3628EF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B809C4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Пошуковий радіозв’язок</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FF7A8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30-960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B009CB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41499,7</w:t>
            </w:r>
          </w:p>
        </w:tc>
      </w:tr>
      <w:tr w:rsidR="008B264B" w:rsidRPr="008B264B" w14:paraId="4D74B46B"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128DDD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7826B1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Радіолокаційна та радіонавігаційна радіослужби</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11525F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30-3000 МГц</w:t>
            </w:r>
            <w:r w:rsidRPr="008B264B">
              <w:rPr>
                <w:rFonts w:ascii="Times New Roman" w:eastAsia="Times New Roman" w:hAnsi="Times New Roman" w:cs="Times New Roman"/>
                <w:sz w:val="24"/>
                <w:szCs w:val="24"/>
                <w:lang/>
              </w:rPr>
              <w:br/>
              <w:t>3-30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20252E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104,71</w:t>
            </w:r>
          </w:p>
        </w:tc>
      </w:tr>
      <w:tr w:rsidR="008B264B" w:rsidRPr="008B264B" w14:paraId="4F998497"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113A4C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48C3C3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супутникової рухомої та фіксованої радіослужб</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12EF0B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30-3000 МГц</w:t>
            </w:r>
            <w:r w:rsidRPr="008B264B">
              <w:rPr>
                <w:rFonts w:ascii="Times New Roman" w:eastAsia="Times New Roman" w:hAnsi="Times New Roman" w:cs="Times New Roman"/>
                <w:sz w:val="24"/>
                <w:szCs w:val="24"/>
                <w:lang/>
              </w:rPr>
              <w:br/>
              <w:t>3-30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79FFC2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68,73</w:t>
            </w:r>
          </w:p>
        </w:tc>
      </w:tr>
      <w:tr w:rsidR="008B264B" w:rsidRPr="008B264B" w14:paraId="2E0ADE18" w14:textId="77777777" w:rsidTr="008B264B">
        <w:tc>
          <w:tcPr>
            <w:tcW w:w="36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F806A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C883B5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Стільниковий радіозв’язок</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1588A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300-791 МГц</w:t>
            </w:r>
            <w:r w:rsidRPr="008B264B">
              <w:rPr>
                <w:rFonts w:ascii="Times New Roman" w:eastAsia="Times New Roman" w:hAnsi="Times New Roman" w:cs="Times New Roman"/>
                <w:sz w:val="24"/>
                <w:szCs w:val="24"/>
                <w:lang/>
              </w:rPr>
              <w:br/>
              <w:t>821-832 МГц</w:t>
            </w:r>
            <w:r w:rsidRPr="008B264B">
              <w:rPr>
                <w:rFonts w:ascii="Times New Roman" w:eastAsia="Times New Roman" w:hAnsi="Times New Roman" w:cs="Times New Roman"/>
                <w:sz w:val="24"/>
                <w:szCs w:val="24"/>
                <w:lang/>
              </w:rPr>
              <w:br/>
              <w:t>862-880 МГц</w:t>
            </w:r>
            <w:r w:rsidRPr="008B264B">
              <w:rPr>
                <w:rFonts w:ascii="Times New Roman" w:eastAsia="Times New Roman" w:hAnsi="Times New Roman" w:cs="Times New Roman"/>
                <w:sz w:val="24"/>
                <w:szCs w:val="24"/>
                <w:lang/>
              </w:rPr>
              <w:br/>
              <w:t>915-925 МГц</w:t>
            </w:r>
            <w:r w:rsidRPr="008B264B">
              <w:rPr>
                <w:rFonts w:ascii="Times New Roman" w:eastAsia="Times New Roman" w:hAnsi="Times New Roman" w:cs="Times New Roman"/>
                <w:sz w:val="24"/>
                <w:szCs w:val="24"/>
                <w:lang/>
              </w:rPr>
              <w:br/>
              <w:t>960-1710 МГц</w:t>
            </w:r>
            <w:r w:rsidRPr="008B264B">
              <w:rPr>
                <w:rFonts w:ascii="Times New Roman" w:eastAsia="Times New Roman" w:hAnsi="Times New Roman" w:cs="Times New Roman"/>
                <w:sz w:val="24"/>
                <w:szCs w:val="24"/>
                <w:lang/>
              </w:rPr>
              <w:br/>
              <w:t>1785-1805 МГц</w:t>
            </w:r>
            <w:r w:rsidRPr="008B264B">
              <w:rPr>
                <w:rFonts w:ascii="Times New Roman" w:eastAsia="Times New Roman" w:hAnsi="Times New Roman" w:cs="Times New Roman"/>
                <w:sz w:val="24"/>
                <w:szCs w:val="24"/>
                <w:lang/>
              </w:rPr>
              <w:br/>
              <w:t>1880-1920 МГц</w:t>
            </w:r>
            <w:r w:rsidRPr="008B264B">
              <w:rPr>
                <w:rFonts w:ascii="Times New Roman" w:eastAsia="Times New Roman" w:hAnsi="Times New Roman" w:cs="Times New Roman"/>
                <w:sz w:val="24"/>
                <w:szCs w:val="24"/>
                <w:lang/>
              </w:rPr>
              <w:br/>
              <w:t>1980-2110 МГц</w:t>
            </w:r>
            <w:r w:rsidRPr="008B264B">
              <w:rPr>
                <w:rFonts w:ascii="Times New Roman" w:eastAsia="Times New Roman" w:hAnsi="Times New Roman" w:cs="Times New Roman"/>
                <w:sz w:val="24"/>
                <w:szCs w:val="24"/>
                <w:lang/>
              </w:rPr>
              <w:br/>
              <w:t>2170-2200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CC78A2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23085,25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p>
        </w:tc>
      </w:tr>
      <w:tr w:rsidR="008B264B" w:rsidRPr="008B264B" w14:paraId="089D59D0"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71F70AD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D67EF4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0753B6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791-821 МГц</w:t>
            </w:r>
            <w:r w:rsidRPr="008B264B">
              <w:rPr>
                <w:rFonts w:ascii="Times New Roman" w:eastAsia="Times New Roman" w:hAnsi="Times New Roman" w:cs="Times New Roman"/>
                <w:sz w:val="24"/>
                <w:szCs w:val="24"/>
                <w:lang/>
              </w:rPr>
              <w:br/>
              <w:t>832-862 МГц</w:t>
            </w:r>
            <w:r w:rsidRPr="008B264B">
              <w:rPr>
                <w:rFonts w:ascii="Times New Roman" w:eastAsia="Times New Roman" w:hAnsi="Times New Roman" w:cs="Times New Roman"/>
                <w:sz w:val="24"/>
                <w:szCs w:val="24"/>
                <w:lang/>
              </w:rPr>
              <w:br/>
              <w:t>880-915 МГц</w:t>
            </w:r>
            <w:r w:rsidRPr="008B264B">
              <w:rPr>
                <w:rFonts w:ascii="Times New Roman" w:eastAsia="Times New Roman" w:hAnsi="Times New Roman" w:cs="Times New Roman"/>
                <w:sz w:val="24"/>
                <w:szCs w:val="24"/>
                <w:lang/>
              </w:rPr>
              <w:br/>
              <w:t>925-960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182F92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23085,25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2, 3, 4</w:t>
            </w:r>
          </w:p>
        </w:tc>
      </w:tr>
      <w:tr w:rsidR="008B264B" w:rsidRPr="008B264B" w14:paraId="03AFBC6D"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178B31B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1FF195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27AF81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1710-1785 МГц</w:t>
            </w:r>
            <w:r w:rsidRPr="008B264B">
              <w:rPr>
                <w:rFonts w:ascii="Times New Roman" w:eastAsia="Times New Roman" w:hAnsi="Times New Roman" w:cs="Times New Roman"/>
                <w:sz w:val="24"/>
                <w:szCs w:val="24"/>
                <w:lang/>
              </w:rPr>
              <w:br/>
              <w:t>1805-1880 МГц</w:t>
            </w:r>
            <w:r w:rsidRPr="008B264B">
              <w:rPr>
                <w:rFonts w:ascii="Times New Roman" w:eastAsia="Times New Roman" w:hAnsi="Times New Roman" w:cs="Times New Roman"/>
                <w:sz w:val="24"/>
                <w:szCs w:val="24"/>
                <w:lang/>
              </w:rPr>
              <w:br/>
              <w:t>1920-1980 МГц</w:t>
            </w:r>
            <w:r w:rsidRPr="008B264B">
              <w:rPr>
                <w:rFonts w:ascii="Times New Roman" w:eastAsia="Times New Roman" w:hAnsi="Times New Roman" w:cs="Times New Roman"/>
                <w:sz w:val="24"/>
                <w:szCs w:val="24"/>
                <w:lang/>
              </w:rPr>
              <w:br/>
              <w:t>2110-2170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28D59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23085,25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2, 5, 6</w:t>
            </w:r>
          </w:p>
        </w:tc>
      </w:tr>
      <w:tr w:rsidR="008B264B" w:rsidRPr="008B264B" w14:paraId="1E67EB08"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07DC602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C620F6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8F6B3E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2300-2400 МГц</w:t>
            </w:r>
            <w:r w:rsidRPr="008B264B">
              <w:rPr>
                <w:rFonts w:ascii="Times New Roman" w:eastAsia="Times New Roman" w:hAnsi="Times New Roman" w:cs="Times New Roman"/>
                <w:sz w:val="24"/>
                <w:szCs w:val="24"/>
                <w:lang/>
              </w:rPr>
              <w:br/>
              <w:t>2500-2690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B614A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3000,00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2, 7, 8</w:t>
            </w:r>
          </w:p>
        </w:tc>
      </w:tr>
      <w:tr w:rsidR="008B264B" w:rsidRPr="008B264B" w14:paraId="271EAC49" w14:textId="77777777" w:rsidTr="008B264B">
        <w:tc>
          <w:tcPr>
            <w:tcW w:w="36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13B052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E53DBE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Радіозв’язок у багатоканальних розподільчих системах для передавання та ретрансляції телевізійного зображення, передавання звуку, цифрової інформації</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227EF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12B59B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45,83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p>
        </w:tc>
      </w:tr>
      <w:tr w:rsidR="008B264B" w:rsidRPr="008B264B" w14:paraId="0A0CC2D3"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EC4337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7F7A9B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3357A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10-42,5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5AF88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p>
        </w:tc>
      </w:tr>
      <w:tr w:rsidR="008B264B" w:rsidRPr="008B264B" w14:paraId="785207CB"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69ACB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B87804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Передавання звуку залежно від потужності:</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38521E5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 кГц-30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41626F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665A5481"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E01DD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88906C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 1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BD59A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C92C9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1243,67</w:t>
            </w:r>
          </w:p>
        </w:tc>
      </w:tr>
      <w:tr w:rsidR="008B264B" w:rsidRPr="008B264B" w14:paraId="39BF678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3268C1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7E3FAC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1,1 до 10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0019B8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5B4F2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1868,81</w:t>
            </w:r>
          </w:p>
        </w:tc>
      </w:tr>
      <w:tr w:rsidR="008B264B" w:rsidRPr="008B264B" w14:paraId="70FA66F8"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EF4B1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C48036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до 100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1B69D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5C2E5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2644,49</w:t>
            </w:r>
          </w:p>
        </w:tc>
      </w:tr>
      <w:tr w:rsidR="008B264B" w:rsidRPr="008B264B" w14:paraId="307B30C1"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514D1DB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6791B3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до 500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3F1505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247B7D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3112,48</w:t>
            </w:r>
          </w:p>
        </w:tc>
      </w:tr>
      <w:tr w:rsidR="008B264B" w:rsidRPr="008B264B" w14:paraId="1274F0F9"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10A1B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BD0D0D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501 кВт і вище</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14E873F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4B4AD9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5171,08</w:t>
            </w:r>
          </w:p>
        </w:tc>
      </w:tr>
      <w:tr w:rsidR="008B264B" w:rsidRPr="008B264B" w14:paraId="13F6BD91"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B4D35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C18E62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Передавання та ретрансляція телевізійного зображення залежно від потужності:</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724187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30-300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6FF1C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2942C5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BD3189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C62A26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 до 10 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1EFC61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334FB2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52,36</w:t>
            </w:r>
          </w:p>
        </w:tc>
      </w:tr>
      <w:tr w:rsidR="008B264B" w:rsidRPr="008B264B" w14:paraId="50DE389C"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974B9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DFA65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до 100 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5A170C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414A0C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157,11</w:t>
            </w:r>
          </w:p>
        </w:tc>
      </w:tr>
      <w:tr w:rsidR="008B264B" w:rsidRPr="008B264B" w14:paraId="6A09A99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82E9D1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F4CCB0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Вт до 1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30159F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48907C9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258,55</w:t>
            </w:r>
          </w:p>
        </w:tc>
      </w:tr>
      <w:tr w:rsidR="008B264B" w:rsidRPr="008B264B" w14:paraId="67D9F2AB"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FBAF64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287743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1,1 до 5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718120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1BDC2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415,67</w:t>
            </w:r>
          </w:p>
        </w:tc>
      </w:tr>
      <w:tr w:rsidR="008B264B" w:rsidRPr="008B264B" w14:paraId="573BA2D7"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F3F87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32EE06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5,1 до 20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8631E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D844A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778,95</w:t>
            </w:r>
          </w:p>
        </w:tc>
      </w:tr>
      <w:tr w:rsidR="008B264B" w:rsidRPr="008B264B" w14:paraId="5D343A1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5E301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0B2CF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20,1 кВт і вище</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36DCF0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50FE0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1037,5</w:t>
            </w:r>
          </w:p>
        </w:tc>
      </w:tr>
      <w:tr w:rsidR="008B264B" w:rsidRPr="008B264B" w14:paraId="2CC010E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37A455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66FDEB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Передавання звуку залежно від потужності:</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7CC10C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66-74 МГц</w:t>
            </w:r>
            <w:r w:rsidRPr="008B264B">
              <w:rPr>
                <w:rFonts w:ascii="Times New Roman" w:eastAsia="Times New Roman" w:hAnsi="Times New Roman" w:cs="Times New Roman"/>
                <w:sz w:val="24"/>
                <w:szCs w:val="24"/>
                <w:lang/>
              </w:rPr>
              <w:br/>
              <w:t>87,5-108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506463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5725A5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5F5664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062635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 100 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9892C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E78A5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389,47</w:t>
            </w:r>
          </w:p>
        </w:tc>
      </w:tr>
      <w:tr w:rsidR="008B264B" w:rsidRPr="008B264B" w14:paraId="286A2264"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4F01C8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28135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Вт до 1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01F1C8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3B456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778,95</w:t>
            </w:r>
          </w:p>
        </w:tc>
      </w:tr>
      <w:tr w:rsidR="008B264B" w:rsidRPr="008B264B" w14:paraId="0459A9C2"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AB630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0A79B24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1,1 до 10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79B86C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333146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1243,67</w:t>
            </w:r>
          </w:p>
        </w:tc>
      </w:tr>
      <w:tr w:rsidR="008B264B" w:rsidRPr="008B264B" w14:paraId="67EB2F5D"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ED238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1BDADA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кВт і вище</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4BCCD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A2065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1557,85</w:t>
            </w:r>
          </w:p>
        </w:tc>
      </w:tr>
      <w:tr w:rsidR="008B264B" w:rsidRPr="008B264B" w14:paraId="160AA1F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4484F5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BD3AC7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Передавання та ретрансляція телевізійного зображення залежно від потужності:</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28C77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300-880 МГц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21DF7E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58081F0"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30F342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F56079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 10 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26EEF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4F13B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36,01</w:t>
            </w:r>
          </w:p>
        </w:tc>
      </w:tr>
      <w:tr w:rsidR="008B264B" w:rsidRPr="008B264B" w14:paraId="721786E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E058B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5C20F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до 100 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0EB41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C4B5C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w:t>
            </w:r>
          </w:p>
        </w:tc>
      </w:tr>
      <w:tr w:rsidR="008B264B" w:rsidRPr="008B264B" w14:paraId="68079A19"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BA076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5F9CF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101 Вт до 1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7B9AD4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7DCE22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157,11</w:t>
            </w:r>
          </w:p>
        </w:tc>
      </w:tr>
      <w:tr w:rsidR="008B264B" w:rsidRPr="008B264B" w14:paraId="6F67A6DF"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6AFAA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C1D1B9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1,1 до 5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23B8EEB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8A9A69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310,96</w:t>
            </w:r>
          </w:p>
        </w:tc>
      </w:tr>
      <w:tr w:rsidR="008B264B" w:rsidRPr="008B264B" w14:paraId="1B8099FB"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76799A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22B99B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5,1 до 20 кВт включно</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4DB4269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133962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621,84</w:t>
            </w:r>
          </w:p>
        </w:tc>
      </w:tr>
      <w:tr w:rsidR="008B264B" w:rsidRPr="008B264B" w14:paraId="1CC3369C"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2F9FEB2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50C2C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 20,1 кВт і вище</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5F18D5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56C69E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778,95</w:t>
            </w:r>
          </w:p>
        </w:tc>
      </w:tr>
      <w:tr w:rsidR="008B264B" w:rsidRPr="008B264B" w14:paraId="573E1EE6" w14:textId="77777777" w:rsidTr="008B264B">
        <w:tc>
          <w:tcPr>
            <w:tcW w:w="360" w:type="dxa"/>
            <w:tcBorders>
              <w:top w:val="single" w:sz="6" w:space="0" w:color="000000"/>
              <w:left w:val="single" w:sz="6" w:space="0" w:color="000000"/>
              <w:bottom w:val="single" w:sz="6" w:space="0" w:color="000000"/>
              <w:right w:val="single" w:sz="6" w:space="0" w:color="000000"/>
            </w:tcBorders>
            <w:shd w:val="clear" w:color="auto" w:fill="auto"/>
            <w:hideMark/>
          </w:tcPr>
          <w:p w14:paraId="0812C2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2C1910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Види радіозв’язку (служби, системи, радіотехнології, радіоелектронні засоби, випромінювальні пристрої), що не зазначені у пунктах 1-16 пункту 254.4 цієї статті</w:t>
            </w:r>
          </w:p>
        </w:tc>
        <w:tc>
          <w:tcPr>
            <w:tcW w:w="3285" w:type="dxa"/>
            <w:tcBorders>
              <w:top w:val="single" w:sz="6" w:space="0" w:color="000000"/>
              <w:left w:val="single" w:sz="6" w:space="0" w:color="000000"/>
              <w:bottom w:val="single" w:sz="6" w:space="0" w:color="000000"/>
              <w:right w:val="single" w:sz="6" w:space="0" w:color="000000"/>
            </w:tcBorders>
            <w:shd w:val="clear" w:color="auto" w:fill="auto"/>
            <w:hideMark/>
          </w:tcPr>
          <w:p w14:paraId="66E57A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 кГц-400 ГГц</w:t>
            </w:r>
          </w:p>
        </w:tc>
        <w:tc>
          <w:tcPr>
            <w:tcW w:w="2910" w:type="dxa"/>
            <w:tcBorders>
              <w:top w:val="single" w:sz="6" w:space="0" w:color="000000"/>
              <w:left w:val="single" w:sz="6" w:space="0" w:color="000000"/>
              <w:bottom w:val="single" w:sz="6" w:space="0" w:color="000000"/>
              <w:right w:val="single" w:sz="6" w:space="0" w:color="000000"/>
            </w:tcBorders>
            <w:shd w:val="clear" w:color="auto" w:fill="auto"/>
            <w:hideMark/>
          </w:tcPr>
          <w:p w14:paraId="0C9F52F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1557,85</w:t>
            </w:r>
          </w:p>
        </w:tc>
      </w:tr>
    </w:tbl>
    <w:p w14:paraId="05344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5" w:name="n11572"/>
      <w:bookmarkEnd w:id="8035"/>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Для ширини смуги радіочастот до 30 МГц (15 х 2) у кожному регіоні окремо, що належить окремому платнику рентної плати - користувачу радіочастотного ресурсу, застосовується понижувальний коефіцієнт 0,75.</w:t>
      </w:r>
    </w:p>
    <w:p w14:paraId="41F86F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6" w:name="n13355"/>
      <w:bookmarkEnd w:id="8036"/>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Для ширини безперервного інтервалу (суцільної смуги) радіочастот менше 10 МГц (5 х 2) у кожному регіоні окремо та/або в усіх регіонах України, що належать окремому платнику рентної плати - користувачу радіочастотного ресурсу, застосовується підвищувальний коефіцієнт 1,2.</w:t>
      </w:r>
    </w:p>
    <w:p w14:paraId="72EB1F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7" w:name="n13356"/>
      <w:bookmarkEnd w:id="8037"/>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3</w:t>
      </w:r>
      <w:r w:rsidRPr="008B264B">
        <w:rPr>
          <w:rFonts w:ascii="Times New Roman" w:eastAsia="Times New Roman" w:hAnsi="Times New Roman" w:cs="Times New Roman"/>
          <w:color w:val="000000"/>
          <w:sz w:val="24"/>
          <w:szCs w:val="24"/>
          <w:lang/>
        </w:rPr>
        <w:t>Для ширини смуги радіочастот, яка перевищує 20 МГц (10 х 2) у кожному регіоні окремо, що належать окремому платнику рентної плати - користувачу радіочастотного ресурсу, застосовується підвищувальний коефіцієнт 1,4.</w:t>
      </w:r>
    </w:p>
    <w:p w14:paraId="412859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8" w:name="n13357"/>
      <w:bookmarkEnd w:id="8038"/>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4</w:t>
      </w:r>
      <w:r w:rsidRPr="008B264B">
        <w:rPr>
          <w:rFonts w:ascii="Times New Roman" w:eastAsia="Times New Roman" w:hAnsi="Times New Roman" w:cs="Times New Roman"/>
          <w:color w:val="000000"/>
          <w:sz w:val="24"/>
          <w:szCs w:val="24"/>
          <w:lang/>
        </w:rPr>
        <w:t>Для ширини безперервного інтервалу (суцільної смуги) радіочастот в усіх регіонах України, що дорівнює або перевищує 10 МГц (5 х 2) у кожному регіоні, за умови що загальна ширина смуги радіочастот не перевищує 20 МГц (10 х 2) в одному діапазоні радіочастот, що належать окремому платнику рентної плати - користувачу радіочастотного ресурсу, застосовується понижувальний коефіцієнт 0,75.</w:t>
      </w:r>
    </w:p>
    <w:p w14:paraId="440B99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39" w:name="n13358"/>
      <w:bookmarkEnd w:id="8039"/>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5</w:t>
      </w:r>
      <w:r w:rsidRPr="008B264B">
        <w:rPr>
          <w:rFonts w:ascii="Times New Roman" w:eastAsia="Times New Roman" w:hAnsi="Times New Roman" w:cs="Times New Roman"/>
          <w:color w:val="000000"/>
          <w:sz w:val="24"/>
          <w:szCs w:val="24"/>
          <w:lang/>
        </w:rPr>
        <w:t>Для ширини смуги радіочастот, яка перевищує 30 МГц (15 х 2) у кожному регіоні окремо, що належать окремому платнику рентної плати - користувачу радіочастотного ресурсу, застосовується підвищувальний коефіцієнт 1,4.</w:t>
      </w:r>
    </w:p>
    <w:p w14:paraId="0C1BCB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0" w:name="n13359"/>
      <w:bookmarkEnd w:id="8040"/>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6</w:t>
      </w:r>
      <w:r w:rsidRPr="008B264B">
        <w:rPr>
          <w:rFonts w:ascii="Times New Roman" w:eastAsia="Times New Roman" w:hAnsi="Times New Roman" w:cs="Times New Roman"/>
          <w:color w:val="000000"/>
          <w:sz w:val="24"/>
          <w:szCs w:val="24"/>
          <w:lang/>
        </w:rPr>
        <w:t>Для ширини безперервного інтервалу (суцільної смуги) радіочастот в усіх регіонах України, що дорівнює або перевищує 10 МГц (5 х 2) у кожному регіоні, за умови що загальна ширина смуги радіочастот не перевищує 30 МГц (15 х 2) в одному діапазоні радіочастот, що належать окремому платнику рентної плати - користувачу радіочастотного ресурсу, застосовується понижувальний коефіцієнт 0,75.</w:t>
      </w:r>
    </w:p>
    <w:p w14:paraId="216050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1" w:name="n13360"/>
      <w:bookmarkEnd w:id="8041"/>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7</w:t>
      </w:r>
      <w:r w:rsidRPr="008B264B">
        <w:rPr>
          <w:rFonts w:ascii="Times New Roman" w:eastAsia="Times New Roman" w:hAnsi="Times New Roman" w:cs="Times New Roman"/>
          <w:color w:val="000000"/>
          <w:sz w:val="24"/>
          <w:szCs w:val="24"/>
          <w:lang/>
        </w:rPr>
        <w:t>Для ширини смуги радіочастот, яка перевищує 40 МГц (20 х 2) у кожному регіоні окремо, що належать окремому платнику рентної плати - користувачу радіочастотного ресурсу, застосовується підвищувальний коефіцієнт 1,4.</w:t>
      </w:r>
    </w:p>
    <w:p w14:paraId="06FE5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2" w:name="n13361"/>
      <w:bookmarkEnd w:id="8042"/>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8</w:t>
      </w:r>
      <w:r w:rsidRPr="008B264B">
        <w:rPr>
          <w:rFonts w:ascii="Times New Roman" w:eastAsia="Times New Roman" w:hAnsi="Times New Roman" w:cs="Times New Roman"/>
          <w:color w:val="000000"/>
          <w:sz w:val="24"/>
          <w:szCs w:val="24"/>
          <w:lang/>
        </w:rPr>
        <w:t>Для ширини безперервного інтервалу (суцільної смуги) радіочастот в усіх регіонах України, що дорівнює або перевищує 10 МГц (5 х 2) у кожному регіоні, за умови що загальна ширина смуги радіочастот не перевищує 40 МГц (20 х 2) в одному діапазоні радіочастот, що належать окремому платнику рентної плати - користувачу радіочастотного ресурсу, застосовується понижувальний коефіцієнт 0,75.</w:t>
      </w:r>
    </w:p>
    <w:p w14:paraId="668ACB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3" w:name="n13362"/>
      <w:bookmarkEnd w:id="8043"/>
      <w:r w:rsidRPr="008B264B">
        <w:rPr>
          <w:rFonts w:ascii="Times New Roman" w:eastAsia="Times New Roman" w:hAnsi="Times New Roman" w:cs="Times New Roman"/>
          <w:color w:val="000000"/>
          <w:sz w:val="24"/>
          <w:szCs w:val="24"/>
          <w:lang/>
        </w:rPr>
        <w:lastRenderedPageBreak/>
        <w:t>Передбачені цими примітками підвищувальні та понижувальні коефіцієнти застосовуються окремо до об’єкта оподаткування шляхом додавання/віднімання грошового значення відповідного коефіцієнта до нього. Грошове значення коефіцієнта розраховується шляхом визначення різниці між об’єктом оподаткування, до якого застосовується коефіцієнт, помножений на коефіцієнт, та об’єктом оподаткування, до якого застосовується коефіцієнт.</w:t>
      </w:r>
    </w:p>
    <w:p w14:paraId="75A1B3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4" w:name="n12902"/>
      <w:bookmarkEnd w:id="8044"/>
      <w:r w:rsidRPr="008B264B">
        <w:rPr>
          <w:rFonts w:ascii="Times New Roman" w:eastAsia="Times New Roman" w:hAnsi="Times New Roman" w:cs="Times New Roman"/>
          <w:i/>
          <w:iCs/>
          <w:color w:val="000000"/>
          <w:sz w:val="24"/>
          <w:szCs w:val="24"/>
          <w:lang/>
        </w:rPr>
        <w:t>{Пункт 254.4 статті 254 в редакції Законів </w:t>
      </w:r>
      <w:hyperlink r:id="rId4519" w:anchor="n53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520" w:anchor="n8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76D1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5" w:name="n11573"/>
      <w:bookmarkEnd w:id="8045"/>
      <w:r w:rsidRPr="008B264B">
        <w:rPr>
          <w:rFonts w:ascii="Times New Roman" w:eastAsia="Times New Roman" w:hAnsi="Times New Roman" w:cs="Times New Roman"/>
          <w:color w:val="000000"/>
          <w:sz w:val="24"/>
          <w:szCs w:val="24"/>
          <w:lang/>
        </w:rPr>
        <w:t>254.5. Порядок нарахування податкових зобов’язань з рентної плати за користування радіочастотним ресурсом України</w:t>
      </w:r>
    </w:p>
    <w:p w14:paraId="1047A1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6" w:name="n11574"/>
      <w:bookmarkEnd w:id="8046"/>
      <w:r w:rsidRPr="008B264B">
        <w:rPr>
          <w:rFonts w:ascii="Times New Roman" w:eastAsia="Times New Roman" w:hAnsi="Times New Roman" w:cs="Times New Roman"/>
          <w:color w:val="000000"/>
          <w:sz w:val="24"/>
          <w:szCs w:val="24"/>
          <w:lang/>
        </w:rPr>
        <w:t>254.5.1. </w:t>
      </w:r>
      <w:hyperlink r:id="rId4521" w:anchor="n15" w:tgtFrame="_blank" w:history="1">
        <w:r w:rsidRPr="008B264B">
          <w:rPr>
            <w:rFonts w:ascii="Times New Roman" w:eastAsia="Times New Roman" w:hAnsi="Times New Roman" w:cs="Times New Roman"/>
            <w:color w:val="0000FF"/>
            <w:sz w:val="24"/>
            <w:szCs w:val="24"/>
            <w:u w:val="single"/>
            <w:lang/>
          </w:rPr>
          <w:t>Перелік користувачів радіочастотного ресурсу - платників рентної плати</w:t>
        </w:r>
      </w:hyperlink>
      <w:r w:rsidRPr="008B264B">
        <w:rPr>
          <w:rFonts w:ascii="Times New Roman" w:eastAsia="Times New Roman" w:hAnsi="Times New Roman" w:cs="Times New Roman"/>
          <w:color w:val="000000"/>
          <w:sz w:val="24"/>
          <w:szCs w:val="24"/>
          <w:lang/>
        </w:rPr>
        <w:t> та/або зміни до нього подаються центральному органу виконавчої влади, що реалізує державну податкову та митну політику, національною комісією, що здійснює державне регулювання у сфері зв’язку та інформатизації, із зазначенням виду зв’язку, смуги радіочастотного ресурсу, регіонів користування радіочастотним ресурсом двічі на рік до 1 березня та до 1 вересня поточного року станом на 1 січня та 1 липня відповідно за формою, встановленою центральним органом виконавчої влади, що забезпечує формування та реалізує державну фінансову політику, за погодженням з національною комісією, що здійснює державне регулювання у сфері зв’язку та інформатизації.</w:t>
      </w:r>
    </w:p>
    <w:p w14:paraId="26F9F9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7" w:name="n14355"/>
      <w:bookmarkEnd w:id="8047"/>
      <w:r w:rsidRPr="008B264B">
        <w:rPr>
          <w:rFonts w:ascii="Times New Roman" w:eastAsia="Times New Roman" w:hAnsi="Times New Roman" w:cs="Times New Roman"/>
          <w:i/>
          <w:iCs/>
          <w:color w:val="000000"/>
          <w:sz w:val="24"/>
          <w:szCs w:val="24"/>
          <w:lang/>
        </w:rPr>
        <w:t>{Підпункт 254.5.1 пункту 254.5 статті 254 в редакції Закону </w:t>
      </w:r>
      <w:hyperlink r:id="rId4522" w:anchor="n13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D2D6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8" w:name="n11575"/>
      <w:bookmarkEnd w:id="8048"/>
      <w:r w:rsidRPr="008B264B">
        <w:rPr>
          <w:rFonts w:ascii="Times New Roman" w:eastAsia="Times New Roman" w:hAnsi="Times New Roman" w:cs="Times New Roman"/>
          <w:color w:val="000000"/>
          <w:sz w:val="24"/>
          <w:szCs w:val="24"/>
          <w:lang/>
        </w:rPr>
        <w:t>254.5.2. Платники рентної плати обчислюють суму рентної плати виходячи з виду радіозв’язку, розміру встановлених ставок та ширини смуги радіочастот по кожному регіону окремо.</w:t>
      </w:r>
    </w:p>
    <w:p w14:paraId="5968F6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49" w:name="n11576"/>
      <w:bookmarkEnd w:id="8049"/>
      <w:r w:rsidRPr="008B264B">
        <w:rPr>
          <w:rFonts w:ascii="Times New Roman" w:eastAsia="Times New Roman" w:hAnsi="Times New Roman" w:cs="Times New Roman"/>
          <w:color w:val="000000"/>
          <w:sz w:val="24"/>
          <w:szCs w:val="24"/>
          <w:lang/>
        </w:rPr>
        <w:t>254.5.3. Платники рентної плати, яким надано право користуватися радіочастотним ресурсом України на підставі ліцензій на користування радіочастотним ресурсом України, сплачують рентну плату починаючи з дати видачі ліцензії.</w:t>
      </w:r>
    </w:p>
    <w:p w14:paraId="2AC461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0" w:name="n11577"/>
      <w:bookmarkEnd w:id="8050"/>
      <w:r w:rsidRPr="008B264B">
        <w:rPr>
          <w:rFonts w:ascii="Times New Roman" w:eastAsia="Times New Roman" w:hAnsi="Times New Roman" w:cs="Times New Roman"/>
          <w:color w:val="000000"/>
          <w:sz w:val="24"/>
          <w:szCs w:val="24"/>
          <w:lang/>
        </w:rPr>
        <w:t>У разі продовження терміну дії ліцензії на користування радіочастотним ресурсом України рентна плата сплачується з початку терміну дії продовженої ліцензії.</w:t>
      </w:r>
    </w:p>
    <w:p w14:paraId="4ADAEB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1" w:name="n11578"/>
      <w:bookmarkEnd w:id="8051"/>
      <w:r w:rsidRPr="008B264B">
        <w:rPr>
          <w:rFonts w:ascii="Times New Roman" w:eastAsia="Times New Roman" w:hAnsi="Times New Roman" w:cs="Times New Roman"/>
          <w:color w:val="000000"/>
          <w:sz w:val="24"/>
          <w:szCs w:val="24"/>
          <w:lang/>
        </w:rPr>
        <w:t>Інші платники рентної плати сплачують рентну плату починаючи з дати видачі дозволу на експлуатацію радіоелектронних засобів та випромінювальних пристроїв. Сплата рентної плати здійснюється платниками рентної плати з дати видачі першого дозволу на експлуатацію радіоелектронного засобу та випромінювального пристрою в даній смузі радіочастот у відповідному регіоні незалежно від загальної кількості дозволів, наданих платнику рентної плати в такій смузі радіочастот у певному регіоні, крім випадків, коли наступні дозволи на експлуатацію радіоелектронного засобу та випромінювального пристрою, видані на пристрої, потужність яких передбачає застосування іншої, ніж у попередніх дозволах, ставки рентної плати.</w:t>
      </w:r>
    </w:p>
    <w:p w14:paraId="4B8CD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2" w:name="n14356"/>
      <w:bookmarkEnd w:id="8052"/>
      <w:r w:rsidRPr="008B264B">
        <w:rPr>
          <w:rFonts w:ascii="Times New Roman" w:eastAsia="Times New Roman" w:hAnsi="Times New Roman" w:cs="Times New Roman"/>
          <w:i/>
          <w:iCs/>
          <w:color w:val="000000"/>
          <w:sz w:val="24"/>
          <w:szCs w:val="24"/>
          <w:lang/>
        </w:rPr>
        <w:t>{Абзац третій підпункту 254.5.3 пункту 254.5 статті 254 в редакції Закону </w:t>
      </w:r>
      <w:hyperlink r:id="rId4523" w:anchor="n132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B651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3" w:name="n11579"/>
      <w:bookmarkEnd w:id="8053"/>
      <w:r w:rsidRPr="008B264B">
        <w:rPr>
          <w:rFonts w:ascii="Times New Roman" w:eastAsia="Times New Roman" w:hAnsi="Times New Roman" w:cs="Times New Roman"/>
          <w:color w:val="000000"/>
          <w:sz w:val="24"/>
          <w:szCs w:val="24"/>
          <w:lang/>
        </w:rPr>
        <w:t>254.5.4. Платники рентної плати подають до контролюючих органів копії ліцензій на користування радіочастотним ресурсом України, ліцензій на мовлення та дозволів на експлуатацію радіоелектронних засобів та випромінювальних пристроїв у місячний строк після їх видачі.</w:t>
      </w:r>
    </w:p>
    <w:p w14:paraId="6E5881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4" w:name="n11580"/>
      <w:bookmarkEnd w:id="8054"/>
      <w:r w:rsidRPr="008B264B">
        <w:rPr>
          <w:rFonts w:ascii="Times New Roman" w:eastAsia="Times New Roman" w:hAnsi="Times New Roman" w:cs="Times New Roman"/>
          <w:color w:val="000000"/>
          <w:sz w:val="24"/>
          <w:szCs w:val="24"/>
          <w:lang/>
        </w:rPr>
        <w:t>254.6. Порядок подання декларації, строки сплати, відповідальність платників рентної плати та контроль за її справлянням визначено </w:t>
      </w:r>
      <w:hyperlink r:id="rId4524" w:anchor="n11739" w:history="1">
        <w:r w:rsidRPr="008B264B">
          <w:rPr>
            <w:rFonts w:ascii="Times New Roman" w:eastAsia="Times New Roman" w:hAnsi="Times New Roman" w:cs="Times New Roman"/>
            <w:color w:val="0000FF"/>
            <w:sz w:val="24"/>
            <w:szCs w:val="24"/>
            <w:u w:val="single"/>
            <w:lang/>
          </w:rPr>
          <w:t>статтями 257</w:t>
        </w:r>
      </w:hyperlink>
      <w:r w:rsidRPr="008B264B">
        <w:rPr>
          <w:rFonts w:ascii="Times New Roman" w:eastAsia="Times New Roman" w:hAnsi="Times New Roman" w:cs="Times New Roman"/>
          <w:color w:val="000000"/>
          <w:sz w:val="24"/>
          <w:szCs w:val="24"/>
          <w:lang/>
        </w:rPr>
        <w:t> і </w:t>
      </w:r>
      <w:hyperlink r:id="rId4525" w:anchor="n11754" w:history="1">
        <w:r w:rsidRPr="008B264B">
          <w:rPr>
            <w:rFonts w:ascii="Times New Roman" w:eastAsia="Times New Roman" w:hAnsi="Times New Roman" w:cs="Times New Roman"/>
            <w:color w:val="0000FF"/>
            <w:sz w:val="24"/>
            <w:szCs w:val="24"/>
            <w:u w:val="single"/>
            <w:lang/>
          </w:rPr>
          <w:t>258</w:t>
        </w:r>
      </w:hyperlink>
      <w:r w:rsidRPr="008B264B">
        <w:rPr>
          <w:rFonts w:ascii="Times New Roman" w:eastAsia="Times New Roman" w:hAnsi="Times New Roman" w:cs="Times New Roman"/>
          <w:color w:val="000000"/>
          <w:sz w:val="24"/>
          <w:szCs w:val="24"/>
          <w:lang/>
        </w:rPr>
        <w:t> цього Кодексу.</w:t>
      </w:r>
    </w:p>
    <w:p w14:paraId="547B8F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5" w:name="n11581"/>
      <w:bookmarkEnd w:id="8055"/>
      <w:r w:rsidRPr="008B264B">
        <w:rPr>
          <w:rFonts w:ascii="Times New Roman" w:eastAsia="Times New Roman" w:hAnsi="Times New Roman" w:cs="Times New Roman"/>
          <w:b/>
          <w:bCs/>
          <w:color w:val="000000"/>
          <w:sz w:val="24"/>
          <w:szCs w:val="24"/>
          <w:lang/>
        </w:rPr>
        <w:t>Стаття 255. </w:t>
      </w:r>
      <w:r w:rsidRPr="008B264B">
        <w:rPr>
          <w:rFonts w:ascii="Times New Roman" w:eastAsia="Times New Roman" w:hAnsi="Times New Roman" w:cs="Times New Roman"/>
          <w:color w:val="000000"/>
          <w:sz w:val="24"/>
          <w:szCs w:val="24"/>
          <w:lang/>
        </w:rPr>
        <w:t>Рентна плата за спеціальне використання води</w:t>
      </w:r>
    </w:p>
    <w:p w14:paraId="2338FC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6" w:name="n11582"/>
      <w:bookmarkEnd w:id="8056"/>
      <w:r w:rsidRPr="008B264B">
        <w:rPr>
          <w:rFonts w:ascii="Times New Roman" w:eastAsia="Times New Roman" w:hAnsi="Times New Roman" w:cs="Times New Roman"/>
          <w:color w:val="000000"/>
          <w:sz w:val="24"/>
          <w:szCs w:val="24"/>
          <w:lang/>
        </w:rPr>
        <w:t>255.1. Платниками рентної плати за спеціальне використання води є:</w:t>
      </w:r>
    </w:p>
    <w:p w14:paraId="5C49AF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7" w:name="n15033"/>
      <w:bookmarkEnd w:id="8057"/>
      <w:r w:rsidRPr="008B264B">
        <w:rPr>
          <w:rFonts w:ascii="Times New Roman" w:eastAsia="Times New Roman" w:hAnsi="Times New Roman" w:cs="Times New Roman"/>
          <w:color w:val="000000"/>
          <w:sz w:val="24"/>
          <w:szCs w:val="24"/>
          <w:lang/>
        </w:rPr>
        <w:lastRenderedPageBreak/>
        <w:t>первинні водокористувачі - суб’єкти господарювання незалежно від форми власності: юридичні особи, їх філії, відділення, представництва, інші відокремлені підрозділи без утворення юридичної особи, постійні представництва нерезидентів, а також фізичні особи - підприємці, які використовують та/або передають вторинним водокористувачам воду, отриману шляхом забору води з водних об’єктів;</w:t>
      </w:r>
    </w:p>
    <w:p w14:paraId="11CDA7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8" w:name="n15034"/>
      <w:bookmarkEnd w:id="8058"/>
      <w:r w:rsidRPr="008B264B">
        <w:rPr>
          <w:rFonts w:ascii="Times New Roman" w:eastAsia="Times New Roman" w:hAnsi="Times New Roman" w:cs="Times New Roman"/>
          <w:color w:val="000000"/>
          <w:sz w:val="24"/>
          <w:szCs w:val="24"/>
          <w:lang/>
        </w:rPr>
        <w:t>суб’єкти господарювання незалежно від форми власності: юридичні особи, їх філії, відділення, представництва, інші відокремлені підрозділи без утворення юридичної особи, постійні представництва нерезидентів, а також фізичні особи - підприємці, які використовують воду для потреб гідроенергетики, водного транспорту і рибництва.</w:t>
      </w:r>
    </w:p>
    <w:p w14:paraId="1993ED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59" w:name="n15030"/>
      <w:bookmarkEnd w:id="8059"/>
      <w:r w:rsidRPr="008B264B">
        <w:rPr>
          <w:rFonts w:ascii="Times New Roman" w:eastAsia="Times New Roman" w:hAnsi="Times New Roman" w:cs="Times New Roman"/>
          <w:i/>
          <w:iCs/>
          <w:color w:val="000000"/>
          <w:sz w:val="24"/>
          <w:szCs w:val="24"/>
          <w:lang/>
        </w:rPr>
        <w:t>{Пункт 255.1 статті 255 в редакції Закону </w:t>
      </w:r>
      <w:hyperlink r:id="rId4526" w:anchor="n13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0554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0" w:name="n11583"/>
      <w:bookmarkEnd w:id="8060"/>
      <w:r w:rsidRPr="008B264B">
        <w:rPr>
          <w:rFonts w:ascii="Times New Roman" w:eastAsia="Times New Roman" w:hAnsi="Times New Roman" w:cs="Times New Roman"/>
          <w:color w:val="000000"/>
          <w:sz w:val="24"/>
          <w:szCs w:val="24"/>
          <w:lang/>
        </w:rPr>
        <w:t>255.2. Не є платниками рентної плати за спеціальне використання води водокористувачі, які використовують воду виключно для задоволення питних і санітарно-гігієнічних потреб населення (сукупності людей, які знаходяться на даній території в той чи інший період часу, незалежно від характеру та тривалості проживання, в межах їх житлового фонду та присадибних ділянок), у тому числі для задоволення виключно власних питних і санітарно-гігієнічних потреб юридичних осіб, фізичних осіб - підприємців та платників єдиного податку.</w:t>
      </w:r>
    </w:p>
    <w:p w14:paraId="76841B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1" w:name="n11584"/>
      <w:bookmarkEnd w:id="8061"/>
      <w:r w:rsidRPr="008B264B">
        <w:rPr>
          <w:rFonts w:ascii="Times New Roman" w:eastAsia="Times New Roman" w:hAnsi="Times New Roman" w:cs="Times New Roman"/>
          <w:color w:val="000000"/>
          <w:sz w:val="24"/>
          <w:szCs w:val="24"/>
          <w:lang/>
        </w:rPr>
        <w:t>Для цілей цієї статті під терміном "санітарно-гігієнічні потреби" слід розуміти використання води в туалетних, душових, ванних кімнатах і умивальниках та використання для утримання приміщень у належному санітарно-гігієнічному стані.</w:t>
      </w:r>
    </w:p>
    <w:p w14:paraId="451688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2" w:name="n11585"/>
      <w:bookmarkEnd w:id="8062"/>
      <w:r w:rsidRPr="008B264B">
        <w:rPr>
          <w:rFonts w:ascii="Times New Roman" w:eastAsia="Times New Roman" w:hAnsi="Times New Roman" w:cs="Times New Roman"/>
          <w:color w:val="000000"/>
          <w:sz w:val="24"/>
          <w:szCs w:val="24"/>
          <w:lang/>
        </w:rPr>
        <w:t>255.3. Об’єктом оподаткування рентною платою за спеціальне використання води є фактичний обсяг води, який використовують водокористувачі.</w:t>
      </w:r>
    </w:p>
    <w:p w14:paraId="0C6D07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3" w:name="n15035"/>
      <w:bookmarkEnd w:id="8063"/>
      <w:r w:rsidRPr="008B264B">
        <w:rPr>
          <w:rFonts w:ascii="Times New Roman" w:eastAsia="Times New Roman" w:hAnsi="Times New Roman" w:cs="Times New Roman"/>
          <w:i/>
          <w:iCs/>
          <w:color w:val="000000"/>
          <w:sz w:val="24"/>
          <w:szCs w:val="24"/>
          <w:lang/>
        </w:rPr>
        <w:t>{Абзац перший пункту 255.3 статті 255 із змінами, внесеними згідно із Законом </w:t>
      </w:r>
      <w:hyperlink r:id="rId4527" w:anchor="n13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DD6D0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4" w:name="n11586"/>
      <w:bookmarkEnd w:id="8064"/>
      <w:r w:rsidRPr="008B264B">
        <w:rPr>
          <w:rFonts w:ascii="Times New Roman" w:eastAsia="Times New Roman" w:hAnsi="Times New Roman" w:cs="Times New Roman"/>
          <w:color w:val="000000"/>
          <w:sz w:val="24"/>
          <w:szCs w:val="24"/>
          <w:lang/>
        </w:rPr>
        <w:t>255.3.1. Об’єктом оподаткування рентною платою за спеціальне використання води без її вилучення з водних об’єктів є:</w:t>
      </w:r>
    </w:p>
    <w:p w14:paraId="4516A0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5" w:name="n11587"/>
      <w:bookmarkEnd w:id="8065"/>
      <w:r w:rsidRPr="008B264B">
        <w:rPr>
          <w:rFonts w:ascii="Times New Roman" w:eastAsia="Times New Roman" w:hAnsi="Times New Roman" w:cs="Times New Roman"/>
          <w:color w:val="000000"/>
          <w:sz w:val="24"/>
          <w:szCs w:val="24"/>
          <w:lang/>
        </w:rPr>
        <w:t>для потреб гідроенергетики - фактичний обсяг води, що пропускається через турбіни гідроелектростанцій для вироблення електроенергії;</w:t>
      </w:r>
    </w:p>
    <w:p w14:paraId="101BD4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6" w:name="n11588"/>
      <w:bookmarkEnd w:id="8066"/>
      <w:r w:rsidRPr="008B264B">
        <w:rPr>
          <w:rFonts w:ascii="Times New Roman" w:eastAsia="Times New Roman" w:hAnsi="Times New Roman" w:cs="Times New Roman"/>
          <w:color w:val="000000"/>
          <w:sz w:val="24"/>
          <w:szCs w:val="24"/>
          <w:lang/>
        </w:rPr>
        <w:t>для потреб водного транспорту - час використання поверхневих вод вантажним самохідним і несамохідним флотом, що експлуатується (залежно від тоннажності), та пасажирським флотом, що експлуатується (залежно від кількості місць).</w:t>
      </w:r>
    </w:p>
    <w:p w14:paraId="16C3EB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7" w:name="n11589"/>
      <w:bookmarkEnd w:id="8067"/>
      <w:r w:rsidRPr="008B264B">
        <w:rPr>
          <w:rFonts w:ascii="Times New Roman" w:eastAsia="Times New Roman" w:hAnsi="Times New Roman" w:cs="Times New Roman"/>
          <w:color w:val="000000"/>
          <w:sz w:val="24"/>
          <w:szCs w:val="24"/>
          <w:lang/>
        </w:rPr>
        <w:t>255.3.2. Об’єктом оподаткування рентною платою за спеціальне використання води для потреб рибництва є фактичний обсяг води, необхідної для поповнення водних об’єктів під час розведення риби та інших водних живих ресурсів (у тому числі для поповнення, яке пов’язане із втратами води на фільтрацію та випаровування).</w:t>
      </w:r>
    </w:p>
    <w:p w14:paraId="753BD1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8" w:name="n11590"/>
      <w:bookmarkEnd w:id="8068"/>
      <w:r w:rsidRPr="008B264B">
        <w:rPr>
          <w:rFonts w:ascii="Times New Roman" w:eastAsia="Times New Roman" w:hAnsi="Times New Roman" w:cs="Times New Roman"/>
          <w:color w:val="000000"/>
          <w:sz w:val="24"/>
          <w:szCs w:val="24"/>
          <w:lang/>
        </w:rPr>
        <w:t>255.4. Рентна плата за спеціальне використання води не справляється:</w:t>
      </w:r>
    </w:p>
    <w:p w14:paraId="12E7BE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69" w:name="n11591"/>
      <w:bookmarkEnd w:id="8069"/>
      <w:r w:rsidRPr="008B264B">
        <w:rPr>
          <w:rFonts w:ascii="Times New Roman" w:eastAsia="Times New Roman" w:hAnsi="Times New Roman" w:cs="Times New Roman"/>
          <w:color w:val="000000"/>
          <w:sz w:val="24"/>
          <w:szCs w:val="24"/>
          <w:lang/>
        </w:rPr>
        <w:t>255.4.1. за воду, що використовується для задоволення питних і санітарно-гігієнічних потреб населення (сукупності людей, які знаходяться на даній території в той чи інший період часу, незалежно від характеру та тривалості проживання, в межах їх житлового фонду та присадибних ділянок), у тому числі для задоволення виключно власних питних і санітарно-гігієнічних потреб юридичних осіб, фізичних осіб - підприємців та платників єдиного податку;</w:t>
      </w:r>
    </w:p>
    <w:p w14:paraId="5F88E5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0" w:name="n11592"/>
      <w:bookmarkEnd w:id="8070"/>
      <w:r w:rsidRPr="008B264B">
        <w:rPr>
          <w:rFonts w:ascii="Times New Roman" w:eastAsia="Times New Roman" w:hAnsi="Times New Roman" w:cs="Times New Roman"/>
          <w:color w:val="000000"/>
          <w:sz w:val="24"/>
          <w:szCs w:val="24"/>
          <w:lang/>
        </w:rPr>
        <w:t>255.4.2. за воду, що використовується для протипожежних потреб;</w:t>
      </w:r>
    </w:p>
    <w:p w14:paraId="21E4D5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1" w:name="n11593"/>
      <w:bookmarkEnd w:id="8071"/>
      <w:r w:rsidRPr="008B264B">
        <w:rPr>
          <w:rFonts w:ascii="Times New Roman" w:eastAsia="Times New Roman" w:hAnsi="Times New Roman" w:cs="Times New Roman"/>
          <w:color w:val="000000"/>
          <w:sz w:val="24"/>
          <w:szCs w:val="24"/>
          <w:lang/>
        </w:rPr>
        <w:t>255.4.3. за воду, що використовується для потреб зовнішнього благоустрою територій міст та інших населених пунктів;</w:t>
      </w:r>
    </w:p>
    <w:p w14:paraId="62F165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2" w:name="n11594"/>
      <w:bookmarkEnd w:id="8072"/>
      <w:r w:rsidRPr="008B264B">
        <w:rPr>
          <w:rFonts w:ascii="Times New Roman" w:eastAsia="Times New Roman" w:hAnsi="Times New Roman" w:cs="Times New Roman"/>
          <w:color w:val="000000"/>
          <w:sz w:val="24"/>
          <w:szCs w:val="24"/>
          <w:lang/>
        </w:rPr>
        <w:t>255.4.4. за воду, що використовується для пилозаглушення у шахтах і кар’єрах;</w:t>
      </w:r>
    </w:p>
    <w:p w14:paraId="61D0F5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3" w:name="n11595"/>
      <w:bookmarkEnd w:id="8073"/>
      <w:r w:rsidRPr="008B264B">
        <w:rPr>
          <w:rFonts w:ascii="Times New Roman" w:eastAsia="Times New Roman" w:hAnsi="Times New Roman" w:cs="Times New Roman"/>
          <w:color w:val="000000"/>
          <w:sz w:val="24"/>
          <w:szCs w:val="24"/>
          <w:lang/>
        </w:rPr>
        <w:lastRenderedPageBreak/>
        <w:t>255.4.5. за воду, що забирається науково-дослідними установами, перелік яких затверджується Кабінетом Міністрів України, для проведення наукових досліджень у галузі рисосіяння та для виробництва елітного насіння рису;</w:t>
      </w:r>
    </w:p>
    <w:p w14:paraId="28658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4" w:name="n11596"/>
      <w:bookmarkEnd w:id="8074"/>
      <w:r w:rsidRPr="008B264B">
        <w:rPr>
          <w:rFonts w:ascii="Times New Roman" w:eastAsia="Times New Roman" w:hAnsi="Times New Roman" w:cs="Times New Roman"/>
          <w:i/>
          <w:iCs/>
          <w:color w:val="000000"/>
          <w:sz w:val="24"/>
          <w:szCs w:val="24"/>
          <w:lang/>
        </w:rPr>
        <w:t>{Підпункт 255.4.6 пункту 255.4 статті 255 виключено на підставі Закону </w:t>
      </w:r>
      <w:hyperlink r:id="rId4528" w:anchor="n13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B1E6D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5" w:name="n11597"/>
      <w:bookmarkEnd w:id="8075"/>
      <w:r w:rsidRPr="008B264B">
        <w:rPr>
          <w:rFonts w:ascii="Times New Roman" w:eastAsia="Times New Roman" w:hAnsi="Times New Roman" w:cs="Times New Roman"/>
          <w:color w:val="000000"/>
          <w:sz w:val="24"/>
          <w:szCs w:val="24"/>
          <w:lang/>
        </w:rPr>
        <w:t>255.4.7. за підземну воду, що вилучається з надр для усунення шкідливої дії вод (підтоплення, засолення, заболочення, зсуву, забруднення тощо), крім кар’єрної, шахтної та дренажної води, що використовується у господарській діяльності після вилучення та/або отримується для використання іншими користувачами;</w:t>
      </w:r>
    </w:p>
    <w:p w14:paraId="396A99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6" w:name="n11598"/>
      <w:bookmarkEnd w:id="8076"/>
      <w:r w:rsidRPr="008B264B">
        <w:rPr>
          <w:rFonts w:ascii="Times New Roman" w:eastAsia="Times New Roman" w:hAnsi="Times New Roman" w:cs="Times New Roman"/>
          <w:color w:val="000000"/>
          <w:sz w:val="24"/>
          <w:szCs w:val="24"/>
          <w:lang/>
        </w:rPr>
        <w:t>255.4.8. за воду, що забирається для забезпечення випуску молоді цінних промислових видів риби та інших водних живих ресурсів у водні об’єкти;</w:t>
      </w:r>
    </w:p>
    <w:p w14:paraId="499A01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7" w:name="n11599"/>
      <w:bookmarkEnd w:id="8077"/>
      <w:r w:rsidRPr="008B264B">
        <w:rPr>
          <w:rFonts w:ascii="Times New Roman" w:eastAsia="Times New Roman" w:hAnsi="Times New Roman" w:cs="Times New Roman"/>
          <w:color w:val="000000"/>
          <w:sz w:val="24"/>
          <w:szCs w:val="24"/>
          <w:lang/>
        </w:rPr>
        <w:t>255.4.9. за морську воду, крім води з лиманів;</w:t>
      </w:r>
    </w:p>
    <w:p w14:paraId="343914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8" w:name="n11600"/>
      <w:bookmarkEnd w:id="8078"/>
      <w:r w:rsidRPr="008B264B">
        <w:rPr>
          <w:rFonts w:ascii="Times New Roman" w:eastAsia="Times New Roman" w:hAnsi="Times New Roman" w:cs="Times New Roman"/>
          <w:color w:val="000000"/>
          <w:sz w:val="24"/>
          <w:szCs w:val="24"/>
          <w:lang/>
        </w:rPr>
        <w:t>255.4.10. за воду, що використовується садівницькими та городницькими товариствами (кооперативами);</w:t>
      </w:r>
    </w:p>
    <w:p w14:paraId="0CE09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79" w:name="n11601"/>
      <w:bookmarkEnd w:id="8079"/>
      <w:r w:rsidRPr="008B264B">
        <w:rPr>
          <w:rFonts w:ascii="Times New Roman" w:eastAsia="Times New Roman" w:hAnsi="Times New Roman" w:cs="Times New Roman"/>
          <w:color w:val="000000"/>
          <w:sz w:val="24"/>
          <w:szCs w:val="24"/>
          <w:lang/>
        </w:rPr>
        <w:t>255.4.11. за воду, що забирається для реабілітації, лікування та оздоровлення реабілітаційними установами для осіб з інвалідністю та дітей з інвалідністю, підприємствами, установами та організаціями фізкультури та спорту для осіб з інвалідністю та дітей з інвалідністю, які засновані всеукраїнськими громадськими об’єднаннями осіб з інвалідністю відповідно до закону;</w:t>
      </w:r>
    </w:p>
    <w:p w14:paraId="200315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0" w:name="n11602"/>
      <w:bookmarkEnd w:id="8080"/>
      <w:r w:rsidRPr="008B264B">
        <w:rPr>
          <w:rFonts w:ascii="Times New Roman" w:eastAsia="Times New Roman" w:hAnsi="Times New Roman" w:cs="Times New Roman"/>
          <w:color w:val="000000"/>
          <w:sz w:val="24"/>
          <w:szCs w:val="24"/>
          <w:lang/>
        </w:rPr>
        <w:t>255.4.12. для потреб гідроенергетики - з гідроакумулюючих електростанцій, які функціонують у комплексі з гідроелектростанціями;</w:t>
      </w:r>
    </w:p>
    <w:p w14:paraId="314DE9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1" w:name="n11603"/>
      <w:bookmarkEnd w:id="8081"/>
      <w:r w:rsidRPr="008B264B">
        <w:rPr>
          <w:rFonts w:ascii="Times New Roman" w:eastAsia="Times New Roman" w:hAnsi="Times New Roman" w:cs="Times New Roman"/>
          <w:color w:val="000000"/>
          <w:sz w:val="24"/>
          <w:szCs w:val="24"/>
          <w:lang/>
        </w:rPr>
        <w:t>255.4.13. для потреб водного транспорту:</w:t>
      </w:r>
    </w:p>
    <w:p w14:paraId="14F755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2" w:name="n11604"/>
      <w:bookmarkEnd w:id="8082"/>
      <w:r w:rsidRPr="008B264B">
        <w:rPr>
          <w:rFonts w:ascii="Times New Roman" w:eastAsia="Times New Roman" w:hAnsi="Times New Roman" w:cs="Times New Roman"/>
          <w:color w:val="000000"/>
          <w:sz w:val="24"/>
          <w:szCs w:val="24"/>
          <w:lang/>
        </w:rPr>
        <w:t>з морського водного транспорту, який використовує річковий водний шлях виключно для заходження з моря у морський порт, розташований у пониззі річки, без використання спеціальних заходів забезпечення судноплавства (попуски води з водосховищ та шлюзування);</w:t>
      </w:r>
    </w:p>
    <w:p w14:paraId="6FA7C1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3" w:name="n11605"/>
      <w:bookmarkEnd w:id="8083"/>
      <w:r w:rsidRPr="008B264B">
        <w:rPr>
          <w:rFonts w:ascii="Times New Roman" w:eastAsia="Times New Roman" w:hAnsi="Times New Roman" w:cs="Times New Roman"/>
          <w:color w:val="000000"/>
          <w:sz w:val="24"/>
          <w:szCs w:val="24"/>
          <w:lang/>
        </w:rPr>
        <w:t>під час експлуатації водних шляхів стоянковими (нафтоперекачувальні станції, плавнафтобази, дебаркадери, доки плавучі, судна з механічним обладнанням та інші стоянкові судна) і службово-допоміжними суднами та експлуатації водних шляхів річки Дунаю.</w:t>
      </w:r>
    </w:p>
    <w:p w14:paraId="11B487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4" w:name="n11606"/>
      <w:bookmarkEnd w:id="8084"/>
      <w:r w:rsidRPr="008B264B">
        <w:rPr>
          <w:rFonts w:ascii="Times New Roman" w:eastAsia="Times New Roman" w:hAnsi="Times New Roman" w:cs="Times New Roman"/>
          <w:color w:val="000000"/>
          <w:sz w:val="24"/>
          <w:szCs w:val="24"/>
          <w:lang/>
        </w:rPr>
        <w:t>255.5. Ставки рентної плати за спеціальне використання води встановлюються у таких розмірах:</w:t>
      </w:r>
    </w:p>
    <w:p w14:paraId="55BE50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5" w:name="n11607"/>
      <w:bookmarkEnd w:id="8085"/>
      <w:r w:rsidRPr="008B264B">
        <w:rPr>
          <w:rFonts w:ascii="Times New Roman" w:eastAsia="Times New Roman" w:hAnsi="Times New Roman" w:cs="Times New Roman"/>
          <w:color w:val="000000"/>
          <w:sz w:val="24"/>
          <w:szCs w:val="24"/>
          <w:lang/>
        </w:rPr>
        <w:t>255.5.1. за спеціальне використання поверхневих вод:</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5305"/>
        <w:gridCol w:w="4617"/>
      </w:tblGrid>
      <w:tr w:rsidR="008B264B" w:rsidRPr="008B264B" w14:paraId="4FAB051B" w14:textId="77777777" w:rsidTr="008B264B">
        <w:trPr>
          <w:jc w:val="center"/>
        </w:trPr>
        <w:tc>
          <w:tcPr>
            <w:tcW w:w="4980" w:type="dxa"/>
            <w:tcBorders>
              <w:top w:val="single" w:sz="6" w:space="0" w:color="000000"/>
              <w:left w:val="nil"/>
              <w:bottom w:val="single" w:sz="6" w:space="0" w:color="000000"/>
              <w:right w:val="single" w:sz="6" w:space="0" w:color="000000"/>
            </w:tcBorders>
            <w:shd w:val="clear" w:color="auto" w:fill="auto"/>
            <w:hideMark/>
          </w:tcPr>
          <w:p w14:paraId="0124128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086" w:name="n14897"/>
            <w:bookmarkEnd w:id="8086"/>
            <w:r w:rsidRPr="008B264B">
              <w:rPr>
                <w:rFonts w:ascii="Times New Roman" w:eastAsia="Times New Roman" w:hAnsi="Times New Roman" w:cs="Times New Roman"/>
                <w:sz w:val="24"/>
                <w:szCs w:val="24"/>
                <w:lang/>
              </w:rPr>
              <w:t>Басейни річок, включаючи притоки всіх порядків</w:t>
            </w:r>
          </w:p>
        </w:tc>
        <w:tc>
          <w:tcPr>
            <w:tcW w:w="4335" w:type="dxa"/>
            <w:tcBorders>
              <w:top w:val="single" w:sz="6" w:space="0" w:color="000000"/>
              <w:left w:val="single" w:sz="6" w:space="0" w:color="000000"/>
              <w:bottom w:val="single" w:sz="6" w:space="0" w:color="000000"/>
              <w:right w:val="nil"/>
            </w:tcBorders>
            <w:shd w:val="clear" w:color="auto" w:fill="auto"/>
            <w:hideMark/>
          </w:tcPr>
          <w:p w14:paraId="5FE783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рентної плати, гривень</w:t>
            </w:r>
            <w:r w:rsidRPr="008B264B">
              <w:rPr>
                <w:rFonts w:ascii="Times New Roman" w:eastAsia="Times New Roman" w:hAnsi="Times New Roman" w:cs="Times New Roman"/>
                <w:sz w:val="24"/>
                <w:szCs w:val="24"/>
                <w:lang/>
              </w:rPr>
              <w:br/>
              <w:t>за 100 куб. метрів</w:t>
            </w:r>
          </w:p>
        </w:tc>
      </w:tr>
      <w:tr w:rsidR="008B264B" w:rsidRPr="008B264B" w14:paraId="08BB5381" w14:textId="77777777" w:rsidTr="008B264B">
        <w:trPr>
          <w:jc w:val="center"/>
        </w:trPr>
        <w:tc>
          <w:tcPr>
            <w:tcW w:w="4980" w:type="dxa"/>
            <w:tcBorders>
              <w:top w:val="single" w:sz="6" w:space="0" w:color="000000"/>
              <w:left w:val="nil"/>
              <w:bottom w:val="nil"/>
              <w:right w:val="nil"/>
            </w:tcBorders>
            <w:shd w:val="clear" w:color="auto" w:fill="auto"/>
            <w:hideMark/>
          </w:tcPr>
          <w:p w14:paraId="6EEFCDC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Дніпра на північ від м. Києва (Прип’яті та Десни), включаючи м. Київ</w:t>
            </w:r>
          </w:p>
        </w:tc>
        <w:tc>
          <w:tcPr>
            <w:tcW w:w="4335" w:type="dxa"/>
            <w:tcBorders>
              <w:top w:val="single" w:sz="6" w:space="0" w:color="000000"/>
              <w:left w:val="nil"/>
              <w:bottom w:val="nil"/>
              <w:right w:val="nil"/>
            </w:tcBorders>
            <w:shd w:val="clear" w:color="auto" w:fill="auto"/>
            <w:hideMark/>
          </w:tcPr>
          <w:p w14:paraId="00B708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58,17</w:t>
            </w:r>
          </w:p>
        </w:tc>
      </w:tr>
      <w:tr w:rsidR="008B264B" w:rsidRPr="008B264B" w14:paraId="4EB24320" w14:textId="77777777" w:rsidTr="008B264B">
        <w:trPr>
          <w:jc w:val="center"/>
        </w:trPr>
        <w:tc>
          <w:tcPr>
            <w:tcW w:w="4980" w:type="dxa"/>
            <w:tcBorders>
              <w:top w:val="nil"/>
              <w:left w:val="nil"/>
              <w:bottom w:val="nil"/>
              <w:right w:val="nil"/>
            </w:tcBorders>
            <w:shd w:val="clear" w:color="auto" w:fill="auto"/>
            <w:hideMark/>
          </w:tcPr>
          <w:p w14:paraId="157F2B5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Дніпра на південь від м. Києва (без Інгульця)</w:t>
            </w:r>
          </w:p>
        </w:tc>
        <w:tc>
          <w:tcPr>
            <w:tcW w:w="4335" w:type="dxa"/>
            <w:tcBorders>
              <w:top w:val="nil"/>
              <w:left w:val="nil"/>
              <w:bottom w:val="nil"/>
              <w:right w:val="nil"/>
            </w:tcBorders>
            <w:shd w:val="clear" w:color="auto" w:fill="auto"/>
            <w:hideMark/>
          </w:tcPr>
          <w:p w14:paraId="4AAFA0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55,33</w:t>
            </w:r>
          </w:p>
        </w:tc>
      </w:tr>
      <w:tr w:rsidR="008B264B" w:rsidRPr="008B264B" w14:paraId="3422C0B4" w14:textId="77777777" w:rsidTr="008B264B">
        <w:trPr>
          <w:jc w:val="center"/>
        </w:trPr>
        <w:tc>
          <w:tcPr>
            <w:tcW w:w="4980" w:type="dxa"/>
            <w:tcBorders>
              <w:top w:val="nil"/>
              <w:left w:val="nil"/>
              <w:bottom w:val="nil"/>
              <w:right w:val="nil"/>
            </w:tcBorders>
            <w:shd w:val="clear" w:color="auto" w:fill="auto"/>
            <w:hideMark/>
          </w:tcPr>
          <w:p w14:paraId="27C603B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Інгульця</w:t>
            </w:r>
          </w:p>
        </w:tc>
        <w:tc>
          <w:tcPr>
            <w:tcW w:w="4335" w:type="dxa"/>
            <w:tcBorders>
              <w:top w:val="nil"/>
              <w:left w:val="nil"/>
              <w:bottom w:val="nil"/>
              <w:right w:val="nil"/>
            </w:tcBorders>
            <w:shd w:val="clear" w:color="auto" w:fill="auto"/>
            <w:hideMark/>
          </w:tcPr>
          <w:p w14:paraId="728A06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84,39</w:t>
            </w:r>
          </w:p>
        </w:tc>
      </w:tr>
      <w:tr w:rsidR="008B264B" w:rsidRPr="008B264B" w14:paraId="303C40E1" w14:textId="77777777" w:rsidTr="008B264B">
        <w:trPr>
          <w:jc w:val="center"/>
        </w:trPr>
        <w:tc>
          <w:tcPr>
            <w:tcW w:w="4980" w:type="dxa"/>
            <w:tcBorders>
              <w:top w:val="nil"/>
              <w:left w:val="nil"/>
              <w:bottom w:val="nil"/>
              <w:right w:val="nil"/>
            </w:tcBorders>
            <w:shd w:val="clear" w:color="auto" w:fill="auto"/>
            <w:hideMark/>
          </w:tcPr>
          <w:p w14:paraId="344785B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Сіверського Дінця</w:t>
            </w:r>
          </w:p>
        </w:tc>
        <w:tc>
          <w:tcPr>
            <w:tcW w:w="4335" w:type="dxa"/>
            <w:tcBorders>
              <w:top w:val="nil"/>
              <w:left w:val="nil"/>
              <w:bottom w:val="nil"/>
              <w:right w:val="nil"/>
            </w:tcBorders>
            <w:shd w:val="clear" w:color="auto" w:fill="auto"/>
            <w:hideMark/>
          </w:tcPr>
          <w:p w14:paraId="36E2A7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113,45</w:t>
            </w:r>
          </w:p>
        </w:tc>
      </w:tr>
      <w:tr w:rsidR="008B264B" w:rsidRPr="008B264B" w14:paraId="78F18B77" w14:textId="77777777" w:rsidTr="008B264B">
        <w:trPr>
          <w:jc w:val="center"/>
        </w:trPr>
        <w:tc>
          <w:tcPr>
            <w:tcW w:w="4980" w:type="dxa"/>
            <w:tcBorders>
              <w:top w:val="nil"/>
              <w:left w:val="nil"/>
              <w:bottom w:val="nil"/>
              <w:right w:val="nil"/>
            </w:tcBorders>
            <w:shd w:val="clear" w:color="auto" w:fill="auto"/>
            <w:hideMark/>
          </w:tcPr>
          <w:p w14:paraId="1291CF4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Південного Бугу (без Інгулу)</w:t>
            </w:r>
          </w:p>
        </w:tc>
        <w:tc>
          <w:tcPr>
            <w:tcW w:w="4335" w:type="dxa"/>
            <w:tcBorders>
              <w:top w:val="nil"/>
              <w:left w:val="nil"/>
              <w:bottom w:val="nil"/>
              <w:right w:val="nil"/>
            </w:tcBorders>
            <w:shd w:val="clear" w:color="auto" w:fill="auto"/>
            <w:hideMark/>
          </w:tcPr>
          <w:p w14:paraId="7EC8D0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63,97</w:t>
            </w:r>
          </w:p>
        </w:tc>
      </w:tr>
      <w:tr w:rsidR="008B264B" w:rsidRPr="008B264B" w14:paraId="43094493" w14:textId="77777777" w:rsidTr="008B264B">
        <w:trPr>
          <w:jc w:val="center"/>
        </w:trPr>
        <w:tc>
          <w:tcPr>
            <w:tcW w:w="4980" w:type="dxa"/>
            <w:tcBorders>
              <w:top w:val="nil"/>
              <w:left w:val="nil"/>
              <w:bottom w:val="nil"/>
              <w:right w:val="nil"/>
            </w:tcBorders>
            <w:shd w:val="clear" w:color="auto" w:fill="auto"/>
            <w:hideMark/>
          </w:tcPr>
          <w:p w14:paraId="65803D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Інгулу</w:t>
            </w:r>
          </w:p>
        </w:tc>
        <w:tc>
          <w:tcPr>
            <w:tcW w:w="4335" w:type="dxa"/>
            <w:tcBorders>
              <w:top w:val="nil"/>
              <w:left w:val="nil"/>
              <w:bottom w:val="nil"/>
              <w:right w:val="nil"/>
            </w:tcBorders>
            <w:shd w:val="clear" w:color="auto" w:fill="auto"/>
            <w:hideMark/>
          </w:tcPr>
          <w:p w14:paraId="03BE9F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78,49</w:t>
            </w:r>
          </w:p>
        </w:tc>
      </w:tr>
      <w:tr w:rsidR="008B264B" w:rsidRPr="008B264B" w14:paraId="1135FBF4" w14:textId="77777777" w:rsidTr="008B264B">
        <w:trPr>
          <w:jc w:val="center"/>
        </w:trPr>
        <w:tc>
          <w:tcPr>
            <w:tcW w:w="4980" w:type="dxa"/>
            <w:tcBorders>
              <w:top w:val="nil"/>
              <w:left w:val="nil"/>
              <w:bottom w:val="nil"/>
              <w:right w:val="nil"/>
            </w:tcBorders>
            <w:shd w:val="clear" w:color="auto" w:fill="auto"/>
            <w:hideMark/>
          </w:tcPr>
          <w:p w14:paraId="5598853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Дністра</w:t>
            </w:r>
          </w:p>
        </w:tc>
        <w:tc>
          <w:tcPr>
            <w:tcW w:w="4335" w:type="dxa"/>
            <w:tcBorders>
              <w:top w:val="nil"/>
              <w:left w:val="nil"/>
              <w:bottom w:val="nil"/>
              <w:right w:val="nil"/>
            </w:tcBorders>
            <w:shd w:val="clear" w:color="auto" w:fill="auto"/>
            <w:hideMark/>
          </w:tcPr>
          <w:p w14:paraId="573B18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34,85</w:t>
            </w:r>
          </w:p>
        </w:tc>
      </w:tr>
      <w:tr w:rsidR="008B264B" w:rsidRPr="008B264B" w14:paraId="51DFB96D" w14:textId="77777777" w:rsidTr="008B264B">
        <w:trPr>
          <w:jc w:val="center"/>
        </w:trPr>
        <w:tc>
          <w:tcPr>
            <w:tcW w:w="4980" w:type="dxa"/>
            <w:tcBorders>
              <w:top w:val="nil"/>
              <w:left w:val="nil"/>
              <w:bottom w:val="nil"/>
              <w:right w:val="nil"/>
            </w:tcBorders>
            <w:shd w:val="clear" w:color="auto" w:fill="auto"/>
            <w:hideMark/>
          </w:tcPr>
          <w:p w14:paraId="5F0F8A6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Вісли та Західного Бугу</w:t>
            </w:r>
          </w:p>
        </w:tc>
        <w:tc>
          <w:tcPr>
            <w:tcW w:w="4335" w:type="dxa"/>
            <w:tcBorders>
              <w:top w:val="nil"/>
              <w:left w:val="nil"/>
              <w:bottom w:val="nil"/>
              <w:right w:val="nil"/>
            </w:tcBorders>
            <w:shd w:val="clear" w:color="auto" w:fill="auto"/>
            <w:hideMark/>
          </w:tcPr>
          <w:p w14:paraId="723E0F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34,85</w:t>
            </w:r>
          </w:p>
        </w:tc>
      </w:tr>
      <w:tr w:rsidR="008B264B" w:rsidRPr="008B264B" w14:paraId="07D2D7AF" w14:textId="77777777" w:rsidTr="008B264B">
        <w:trPr>
          <w:jc w:val="center"/>
        </w:trPr>
        <w:tc>
          <w:tcPr>
            <w:tcW w:w="4980" w:type="dxa"/>
            <w:tcBorders>
              <w:top w:val="nil"/>
              <w:left w:val="nil"/>
              <w:bottom w:val="nil"/>
              <w:right w:val="nil"/>
            </w:tcBorders>
            <w:shd w:val="clear" w:color="auto" w:fill="auto"/>
            <w:hideMark/>
          </w:tcPr>
          <w:p w14:paraId="0ED95A4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Пруту та Сірету</w:t>
            </w:r>
          </w:p>
        </w:tc>
        <w:tc>
          <w:tcPr>
            <w:tcW w:w="4335" w:type="dxa"/>
            <w:tcBorders>
              <w:top w:val="nil"/>
              <w:left w:val="nil"/>
              <w:bottom w:val="nil"/>
              <w:right w:val="nil"/>
            </w:tcBorders>
            <w:shd w:val="clear" w:color="auto" w:fill="auto"/>
            <w:hideMark/>
          </w:tcPr>
          <w:p w14:paraId="4367FF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26,17</w:t>
            </w:r>
          </w:p>
        </w:tc>
      </w:tr>
      <w:tr w:rsidR="008B264B" w:rsidRPr="008B264B" w14:paraId="002CA56C" w14:textId="77777777" w:rsidTr="008B264B">
        <w:trPr>
          <w:jc w:val="center"/>
        </w:trPr>
        <w:tc>
          <w:tcPr>
            <w:tcW w:w="4980" w:type="dxa"/>
            <w:tcBorders>
              <w:top w:val="nil"/>
              <w:left w:val="nil"/>
              <w:bottom w:val="nil"/>
              <w:right w:val="nil"/>
            </w:tcBorders>
            <w:shd w:val="clear" w:color="auto" w:fill="auto"/>
            <w:hideMark/>
          </w:tcPr>
          <w:p w14:paraId="3EA9163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Тиси</w:t>
            </w:r>
          </w:p>
        </w:tc>
        <w:tc>
          <w:tcPr>
            <w:tcW w:w="4335" w:type="dxa"/>
            <w:tcBorders>
              <w:top w:val="nil"/>
              <w:left w:val="nil"/>
              <w:bottom w:val="nil"/>
              <w:right w:val="nil"/>
            </w:tcBorders>
            <w:shd w:val="clear" w:color="auto" w:fill="auto"/>
            <w:hideMark/>
          </w:tcPr>
          <w:p w14:paraId="77C5F3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26,17</w:t>
            </w:r>
          </w:p>
        </w:tc>
      </w:tr>
      <w:tr w:rsidR="008B264B" w:rsidRPr="008B264B" w14:paraId="17A43C87" w14:textId="77777777" w:rsidTr="008B264B">
        <w:trPr>
          <w:jc w:val="center"/>
        </w:trPr>
        <w:tc>
          <w:tcPr>
            <w:tcW w:w="4980" w:type="dxa"/>
            <w:tcBorders>
              <w:top w:val="nil"/>
              <w:left w:val="nil"/>
              <w:bottom w:val="nil"/>
              <w:right w:val="nil"/>
            </w:tcBorders>
            <w:shd w:val="clear" w:color="auto" w:fill="auto"/>
            <w:hideMark/>
          </w:tcPr>
          <w:p w14:paraId="4BD2C25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Дунаю</w:t>
            </w:r>
          </w:p>
        </w:tc>
        <w:tc>
          <w:tcPr>
            <w:tcW w:w="4335" w:type="dxa"/>
            <w:tcBorders>
              <w:top w:val="nil"/>
              <w:left w:val="nil"/>
              <w:bottom w:val="nil"/>
              <w:right w:val="nil"/>
            </w:tcBorders>
            <w:shd w:val="clear" w:color="auto" w:fill="auto"/>
            <w:hideMark/>
          </w:tcPr>
          <w:p w14:paraId="6F75DC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23,32</w:t>
            </w:r>
          </w:p>
        </w:tc>
      </w:tr>
      <w:tr w:rsidR="008B264B" w:rsidRPr="008B264B" w14:paraId="498D8B06" w14:textId="77777777" w:rsidTr="008B264B">
        <w:trPr>
          <w:jc w:val="center"/>
        </w:trPr>
        <w:tc>
          <w:tcPr>
            <w:tcW w:w="4980" w:type="dxa"/>
            <w:tcBorders>
              <w:top w:val="nil"/>
              <w:left w:val="nil"/>
              <w:bottom w:val="nil"/>
              <w:right w:val="nil"/>
            </w:tcBorders>
            <w:shd w:val="clear" w:color="auto" w:fill="auto"/>
            <w:hideMark/>
          </w:tcPr>
          <w:p w14:paraId="12B2C65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Річок Криму</w:t>
            </w:r>
          </w:p>
        </w:tc>
        <w:tc>
          <w:tcPr>
            <w:tcW w:w="4335" w:type="dxa"/>
            <w:tcBorders>
              <w:top w:val="nil"/>
              <w:left w:val="nil"/>
              <w:bottom w:val="nil"/>
              <w:right w:val="nil"/>
            </w:tcBorders>
            <w:shd w:val="clear" w:color="auto" w:fill="auto"/>
            <w:hideMark/>
          </w:tcPr>
          <w:p w14:paraId="6F707D8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116,32</w:t>
            </w:r>
          </w:p>
        </w:tc>
      </w:tr>
      <w:tr w:rsidR="008B264B" w:rsidRPr="008B264B" w14:paraId="1696033F" w14:textId="77777777" w:rsidTr="008B264B">
        <w:trPr>
          <w:jc w:val="center"/>
        </w:trPr>
        <w:tc>
          <w:tcPr>
            <w:tcW w:w="4980" w:type="dxa"/>
            <w:tcBorders>
              <w:top w:val="nil"/>
              <w:left w:val="nil"/>
              <w:bottom w:val="nil"/>
              <w:right w:val="nil"/>
            </w:tcBorders>
            <w:shd w:val="clear" w:color="auto" w:fill="auto"/>
            <w:hideMark/>
          </w:tcPr>
          <w:p w14:paraId="561B484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Річок Приазов’я</w:t>
            </w:r>
          </w:p>
        </w:tc>
        <w:tc>
          <w:tcPr>
            <w:tcW w:w="4335" w:type="dxa"/>
            <w:tcBorders>
              <w:top w:val="nil"/>
              <w:left w:val="nil"/>
              <w:bottom w:val="nil"/>
              <w:right w:val="nil"/>
            </w:tcBorders>
            <w:shd w:val="clear" w:color="auto" w:fill="auto"/>
            <w:hideMark/>
          </w:tcPr>
          <w:p w14:paraId="6FB1E4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139,66</w:t>
            </w:r>
          </w:p>
        </w:tc>
      </w:tr>
      <w:tr w:rsidR="008B264B" w:rsidRPr="008B264B" w14:paraId="3111CAED" w14:textId="77777777" w:rsidTr="008B264B">
        <w:trPr>
          <w:jc w:val="center"/>
        </w:trPr>
        <w:tc>
          <w:tcPr>
            <w:tcW w:w="4980" w:type="dxa"/>
            <w:tcBorders>
              <w:top w:val="nil"/>
              <w:left w:val="nil"/>
              <w:bottom w:val="nil"/>
              <w:right w:val="nil"/>
            </w:tcBorders>
            <w:shd w:val="clear" w:color="auto" w:fill="auto"/>
            <w:hideMark/>
          </w:tcPr>
          <w:p w14:paraId="140737E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Інших водних об’єктів</w:t>
            </w:r>
          </w:p>
        </w:tc>
        <w:tc>
          <w:tcPr>
            <w:tcW w:w="4335" w:type="dxa"/>
            <w:tcBorders>
              <w:top w:val="nil"/>
              <w:left w:val="nil"/>
              <w:bottom w:val="nil"/>
              <w:right w:val="nil"/>
            </w:tcBorders>
            <w:shd w:val="clear" w:color="auto" w:fill="auto"/>
            <w:hideMark/>
          </w:tcPr>
          <w:p w14:paraId="73F8F6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63,97;</w:t>
            </w:r>
          </w:p>
        </w:tc>
      </w:tr>
    </w:tbl>
    <w:p w14:paraId="12A2A3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7" w:name="n11609"/>
      <w:bookmarkEnd w:id="8087"/>
      <w:r w:rsidRPr="008B264B">
        <w:rPr>
          <w:rFonts w:ascii="Times New Roman" w:eastAsia="Times New Roman" w:hAnsi="Times New Roman" w:cs="Times New Roman"/>
          <w:color w:val="000000"/>
          <w:sz w:val="24"/>
          <w:szCs w:val="24"/>
          <w:lang/>
        </w:rPr>
        <w:t>255.5.2. за спеціальне використання підземних вод:</w:t>
      </w:r>
    </w:p>
    <w:tbl>
      <w:tblPr>
        <w:tblW w:w="5000" w:type="pct"/>
        <w:jc w:val="center"/>
        <w:tblBorders>
          <w:top w:val="outset" w:sz="2" w:space="0" w:color="auto"/>
          <w:left w:val="outset" w:sz="2" w:space="0" w:color="auto"/>
          <w:bottom w:val="outset" w:sz="2" w:space="0" w:color="auto"/>
          <w:right w:val="outset" w:sz="2" w:space="0" w:color="auto"/>
        </w:tblBorders>
        <w:tblCellMar>
          <w:top w:w="30" w:type="dxa"/>
          <w:left w:w="30" w:type="dxa"/>
          <w:bottom w:w="30" w:type="dxa"/>
          <w:right w:w="30" w:type="dxa"/>
        </w:tblCellMar>
        <w:tblLook w:val="04A0" w:firstRow="1" w:lastRow="0" w:firstColumn="1" w:lastColumn="0" w:noHBand="0" w:noVBand="1"/>
      </w:tblPr>
      <w:tblGrid>
        <w:gridCol w:w="5305"/>
        <w:gridCol w:w="4617"/>
      </w:tblGrid>
      <w:tr w:rsidR="008B264B" w:rsidRPr="008B264B" w14:paraId="59A62D6D" w14:textId="77777777" w:rsidTr="008B264B">
        <w:trPr>
          <w:jc w:val="center"/>
        </w:trPr>
        <w:tc>
          <w:tcPr>
            <w:tcW w:w="4980" w:type="dxa"/>
            <w:tcBorders>
              <w:top w:val="single" w:sz="6" w:space="0" w:color="000000"/>
              <w:left w:val="nil"/>
              <w:bottom w:val="single" w:sz="6" w:space="0" w:color="000000"/>
              <w:right w:val="single" w:sz="6" w:space="0" w:color="000000"/>
            </w:tcBorders>
            <w:shd w:val="clear" w:color="auto" w:fill="auto"/>
            <w:hideMark/>
          </w:tcPr>
          <w:p w14:paraId="045A5D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088" w:name="n14898"/>
            <w:bookmarkEnd w:id="8088"/>
            <w:r w:rsidRPr="008B264B">
              <w:rPr>
                <w:rFonts w:ascii="Times New Roman" w:eastAsia="Times New Roman" w:hAnsi="Times New Roman" w:cs="Times New Roman"/>
                <w:sz w:val="24"/>
                <w:szCs w:val="24"/>
                <w:lang/>
              </w:rPr>
              <w:t>Найменування регіону</w:t>
            </w:r>
          </w:p>
        </w:tc>
        <w:tc>
          <w:tcPr>
            <w:tcW w:w="4335" w:type="dxa"/>
            <w:tcBorders>
              <w:top w:val="single" w:sz="6" w:space="0" w:color="000000"/>
              <w:left w:val="single" w:sz="6" w:space="0" w:color="000000"/>
              <w:bottom w:val="single" w:sz="6" w:space="0" w:color="000000"/>
              <w:right w:val="nil"/>
            </w:tcBorders>
            <w:shd w:val="clear" w:color="auto" w:fill="auto"/>
            <w:hideMark/>
          </w:tcPr>
          <w:p w14:paraId="19C29A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рентної плати,</w:t>
            </w:r>
            <w:r w:rsidRPr="008B264B">
              <w:rPr>
                <w:rFonts w:ascii="Times New Roman" w:eastAsia="Times New Roman" w:hAnsi="Times New Roman" w:cs="Times New Roman"/>
                <w:sz w:val="24"/>
                <w:szCs w:val="24"/>
                <w:lang/>
              </w:rPr>
              <w:br/>
              <w:t>гривень за 100 куб. метрів</w:t>
            </w:r>
          </w:p>
        </w:tc>
      </w:tr>
      <w:tr w:rsidR="008B264B" w:rsidRPr="008B264B" w14:paraId="123A8B60" w14:textId="77777777" w:rsidTr="008B264B">
        <w:trPr>
          <w:jc w:val="center"/>
        </w:trPr>
        <w:tc>
          <w:tcPr>
            <w:tcW w:w="4980" w:type="dxa"/>
            <w:tcBorders>
              <w:top w:val="single" w:sz="6" w:space="0" w:color="000000"/>
              <w:left w:val="nil"/>
              <w:bottom w:val="nil"/>
              <w:right w:val="nil"/>
            </w:tcBorders>
            <w:shd w:val="clear" w:color="auto" w:fill="auto"/>
            <w:hideMark/>
          </w:tcPr>
          <w:p w14:paraId="572983F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Автономна Республіка Крим (крім м. Севастополя)</w:t>
            </w:r>
          </w:p>
        </w:tc>
        <w:tc>
          <w:tcPr>
            <w:tcW w:w="4335" w:type="dxa"/>
            <w:tcBorders>
              <w:top w:val="single" w:sz="6" w:space="0" w:color="000000"/>
              <w:left w:val="nil"/>
              <w:bottom w:val="nil"/>
              <w:right w:val="nil"/>
            </w:tcBorders>
            <w:shd w:val="clear" w:color="auto" w:fill="auto"/>
            <w:hideMark/>
          </w:tcPr>
          <w:p w14:paraId="6EB78A1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107,58</w:t>
            </w:r>
          </w:p>
        </w:tc>
      </w:tr>
      <w:tr w:rsidR="008B264B" w:rsidRPr="008B264B" w14:paraId="31704033" w14:textId="77777777" w:rsidTr="008B264B">
        <w:trPr>
          <w:jc w:val="center"/>
        </w:trPr>
        <w:tc>
          <w:tcPr>
            <w:tcW w:w="4980" w:type="dxa"/>
            <w:tcBorders>
              <w:top w:val="nil"/>
              <w:left w:val="nil"/>
              <w:bottom w:val="nil"/>
              <w:right w:val="nil"/>
            </w:tcBorders>
            <w:shd w:val="clear" w:color="auto" w:fill="auto"/>
            <w:hideMark/>
          </w:tcPr>
          <w:p w14:paraId="6B0199B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 Севастополь</w:t>
            </w:r>
          </w:p>
        </w:tc>
        <w:tc>
          <w:tcPr>
            <w:tcW w:w="4335" w:type="dxa"/>
            <w:tcBorders>
              <w:top w:val="nil"/>
              <w:left w:val="nil"/>
              <w:bottom w:val="nil"/>
              <w:right w:val="nil"/>
            </w:tcBorders>
            <w:shd w:val="clear" w:color="auto" w:fill="auto"/>
            <w:hideMark/>
          </w:tcPr>
          <w:p w14:paraId="377227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107,58</w:t>
            </w:r>
          </w:p>
        </w:tc>
      </w:tr>
      <w:tr w:rsidR="008B264B" w:rsidRPr="008B264B" w14:paraId="5BD879E6" w14:textId="77777777" w:rsidTr="008B264B">
        <w:trPr>
          <w:jc w:val="center"/>
        </w:trPr>
        <w:tc>
          <w:tcPr>
            <w:tcW w:w="4980" w:type="dxa"/>
            <w:tcBorders>
              <w:top w:val="nil"/>
              <w:left w:val="nil"/>
              <w:bottom w:val="nil"/>
              <w:right w:val="nil"/>
            </w:tcBorders>
            <w:shd w:val="clear" w:color="auto" w:fill="auto"/>
            <w:hideMark/>
          </w:tcPr>
          <w:p w14:paraId="3A5BA21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Область:</w:t>
            </w:r>
          </w:p>
        </w:tc>
        <w:tc>
          <w:tcPr>
            <w:tcW w:w="4335" w:type="dxa"/>
            <w:tcBorders>
              <w:top w:val="nil"/>
              <w:left w:val="nil"/>
              <w:bottom w:val="nil"/>
              <w:right w:val="nil"/>
            </w:tcBorders>
            <w:shd w:val="clear" w:color="auto" w:fill="auto"/>
            <w:hideMark/>
          </w:tcPr>
          <w:p w14:paraId="68673E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6763B24C" w14:textId="77777777" w:rsidTr="008B264B">
        <w:trPr>
          <w:jc w:val="center"/>
        </w:trPr>
        <w:tc>
          <w:tcPr>
            <w:tcW w:w="4980" w:type="dxa"/>
            <w:tcBorders>
              <w:top w:val="nil"/>
              <w:left w:val="nil"/>
              <w:bottom w:val="nil"/>
              <w:right w:val="nil"/>
            </w:tcBorders>
            <w:shd w:val="clear" w:color="auto" w:fill="auto"/>
            <w:hideMark/>
          </w:tcPr>
          <w:p w14:paraId="1AC946F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Вінницька</w:t>
            </w:r>
          </w:p>
        </w:tc>
        <w:tc>
          <w:tcPr>
            <w:tcW w:w="4335" w:type="dxa"/>
            <w:tcBorders>
              <w:top w:val="nil"/>
              <w:left w:val="nil"/>
              <w:bottom w:val="nil"/>
              <w:right w:val="nil"/>
            </w:tcBorders>
            <w:shd w:val="clear" w:color="auto" w:fill="auto"/>
            <w:hideMark/>
          </w:tcPr>
          <w:p w14:paraId="36B561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92,98</w:t>
            </w:r>
          </w:p>
        </w:tc>
      </w:tr>
      <w:tr w:rsidR="008B264B" w:rsidRPr="008B264B" w14:paraId="3A3C63D6" w14:textId="77777777" w:rsidTr="008B264B">
        <w:trPr>
          <w:jc w:val="center"/>
        </w:trPr>
        <w:tc>
          <w:tcPr>
            <w:tcW w:w="4980" w:type="dxa"/>
            <w:tcBorders>
              <w:top w:val="nil"/>
              <w:left w:val="nil"/>
              <w:bottom w:val="nil"/>
              <w:right w:val="nil"/>
            </w:tcBorders>
            <w:shd w:val="clear" w:color="auto" w:fill="auto"/>
            <w:hideMark/>
          </w:tcPr>
          <w:p w14:paraId="76BC053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Волинська</w:t>
            </w:r>
          </w:p>
        </w:tc>
        <w:tc>
          <w:tcPr>
            <w:tcW w:w="4335" w:type="dxa"/>
            <w:tcBorders>
              <w:top w:val="nil"/>
              <w:left w:val="nil"/>
              <w:bottom w:val="nil"/>
              <w:right w:val="nil"/>
            </w:tcBorders>
            <w:shd w:val="clear" w:color="auto" w:fill="auto"/>
            <w:hideMark/>
          </w:tcPr>
          <w:p w14:paraId="2620251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96,04</w:t>
            </w:r>
          </w:p>
        </w:tc>
      </w:tr>
      <w:tr w:rsidR="008B264B" w:rsidRPr="008B264B" w14:paraId="1455C088" w14:textId="77777777" w:rsidTr="008B264B">
        <w:trPr>
          <w:jc w:val="center"/>
        </w:trPr>
        <w:tc>
          <w:tcPr>
            <w:tcW w:w="4980" w:type="dxa"/>
            <w:tcBorders>
              <w:top w:val="nil"/>
              <w:left w:val="nil"/>
              <w:bottom w:val="nil"/>
              <w:right w:val="nil"/>
            </w:tcBorders>
            <w:shd w:val="clear" w:color="auto" w:fill="auto"/>
            <w:hideMark/>
          </w:tcPr>
          <w:p w14:paraId="39CED93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Дніпропетровська</w:t>
            </w:r>
          </w:p>
        </w:tc>
        <w:tc>
          <w:tcPr>
            <w:tcW w:w="4335" w:type="dxa"/>
            <w:tcBorders>
              <w:top w:val="nil"/>
              <w:left w:val="nil"/>
              <w:bottom w:val="nil"/>
              <w:right w:val="nil"/>
            </w:tcBorders>
            <w:shd w:val="clear" w:color="auto" w:fill="auto"/>
            <w:hideMark/>
          </w:tcPr>
          <w:p w14:paraId="4F6FEF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81,48</w:t>
            </w:r>
          </w:p>
        </w:tc>
      </w:tr>
      <w:tr w:rsidR="008B264B" w:rsidRPr="008B264B" w14:paraId="4CA079A4" w14:textId="77777777" w:rsidTr="008B264B">
        <w:trPr>
          <w:jc w:val="center"/>
        </w:trPr>
        <w:tc>
          <w:tcPr>
            <w:tcW w:w="4980" w:type="dxa"/>
            <w:tcBorders>
              <w:top w:val="nil"/>
              <w:left w:val="nil"/>
              <w:bottom w:val="nil"/>
              <w:right w:val="nil"/>
            </w:tcBorders>
            <w:shd w:val="clear" w:color="auto" w:fill="auto"/>
            <w:hideMark/>
          </w:tcPr>
          <w:p w14:paraId="38C7E7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Донецька</w:t>
            </w:r>
          </w:p>
        </w:tc>
        <w:tc>
          <w:tcPr>
            <w:tcW w:w="4335" w:type="dxa"/>
            <w:tcBorders>
              <w:top w:val="nil"/>
              <w:left w:val="nil"/>
              <w:bottom w:val="nil"/>
              <w:right w:val="nil"/>
            </w:tcBorders>
            <w:shd w:val="clear" w:color="auto" w:fill="auto"/>
            <w:hideMark/>
          </w:tcPr>
          <w:p w14:paraId="67FC14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110,56</w:t>
            </w:r>
          </w:p>
        </w:tc>
      </w:tr>
      <w:tr w:rsidR="008B264B" w:rsidRPr="008B264B" w14:paraId="43C5C767" w14:textId="77777777" w:rsidTr="008B264B">
        <w:trPr>
          <w:jc w:val="center"/>
        </w:trPr>
        <w:tc>
          <w:tcPr>
            <w:tcW w:w="4980" w:type="dxa"/>
            <w:tcBorders>
              <w:top w:val="nil"/>
              <w:left w:val="nil"/>
              <w:bottom w:val="nil"/>
              <w:right w:val="nil"/>
            </w:tcBorders>
            <w:shd w:val="clear" w:color="auto" w:fill="auto"/>
            <w:hideMark/>
          </w:tcPr>
          <w:p w14:paraId="4367657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Житомирська</w:t>
            </w:r>
          </w:p>
        </w:tc>
        <w:tc>
          <w:tcPr>
            <w:tcW w:w="4335" w:type="dxa"/>
            <w:tcBorders>
              <w:top w:val="nil"/>
              <w:left w:val="nil"/>
              <w:bottom w:val="nil"/>
              <w:right w:val="nil"/>
            </w:tcBorders>
            <w:shd w:val="clear" w:color="auto" w:fill="auto"/>
            <w:hideMark/>
          </w:tcPr>
          <w:p w14:paraId="70AD4F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92,98</w:t>
            </w:r>
          </w:p>
        </w:tc>
      </w:tr>
      <w:tr w:rsidR="008B264B" w:rsidRPr="008B264B" w14:paraId="35003102" w14:textId="77777777" w:rsidTr="008B264B">
        <w:trPr>
          <w:jc w:val="center"/>
        </w:trPr>
        <w:tc>
          <w:tcPr>
            <w:tcW w:w="4980" w:type="dxa"/>
            <w:tcBorders>
              <w:top w:val="nil"/>
              <w:left w:val="nil"/>
              <w:bottom w:val="nil"/>
              <w:right w:val="nil"/>
            </w:tcBorders>
            <w:shd w:val="clear" w:color="auto" w:fill="auto"/>
            <w:hideMark/>
          </w:tcPr>
          <w:p w14:paraId="157F982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Закарпатська</w:t>
            </w:r>
          </w:p>
        </w:tc>
        <w:tc>
          <w:tcPr>
            <w:tcW w:w="4335" w:type="dxa"/>
            <w:tcBorders>
              <w:top w:val="nil"/>
              <w:left w:val="nil"/>
              <w:bottom w:val="nil"/>
              <w:right w:val="nil"/>
            </w:tcBorders>
            <w:shd w:val="clear" w:color="auto" w:fill="auto"/>
            <w:hideMark/>
          </w:tcPr>
          <w:p w14:paraId="5AFCF2E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61,09</w:t>
            </w:r>
          </w:p>
        </w:tc>
      </w:tr>
      <w:tr w:rsidR="008B264B" w:rsidRPr="008B264B" w14:paraId="30FA453E" w14:textId="77777777" w:rsidTr="008B264B">
        <w:trPr>
          <w:jc w:val="center"/>
        </w:trPr>
        <w:tc>
          <w:tcPr>
            <w:tcW w:w="4980" w:type="dxa"/>
            <w:tcBorders>
              <w:top w:val="nil"/>
              <w:left w:val="nil"/>
              <w:bottom w:val="nil"/>
              <w:right w:val="nil"/>
            </w:tcBorders>
            <w:shd w:val="clear" w:color="auto" w:fill="auto"/>
            <w:hideMark/>
          </w:tcPr>
          <w:p w14:paraId="6364FB6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Запорізька:</w:t>
            </w:r>
          </w:p>
        </w:tc>
        <w:tc>
          <w:tcPr>
            <w:tcW w:w="4335" w:type="dxa"/>
            <w:tcBorders>
              <w:top w:val="nil"/>
              <w:left w:val="nil"/>
              <w:bottom w:val="nil"/>
              <w:right w:val="nil"/>
            </w:tcBorders>
            <w:shd w:val="clear" w:color="auto" w:fill="auto"/>
            <w:hideMark/>
          </w:tcPr>
          <w:p w14:paraId="340EA5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142F5F6C" w14:textId="77777777" w:rsidTr="008B264B">
        <w:trPr>
          <w:jc w:val="center"/>
        </w:trPr>
        <w:tc>
          <w:tcPr>
            <w:tcW w:w="4980" w:type="dxa"/>
            <w:tcBorders>
              <w:top w:val="nil"/>
              <w:left w:val="nil"/>
              <w:bottom w:val="nil"/>
              <w:right w:val="nil"/>
            </w:tcBorders>
            <w:shd w:val="clear" w:color="auto" w:fill="auto"/>
            <w:hideMark/>
          </w:tcPr>
          <w:p w14:paraId="0C3F2AB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Веселівський, Мелітопольський, Приазовський, Якимівський райони</w:t>
            </w:r>
          </w:p>
        </w:tc>
        <w:tc>
          <w:tcPr>
            <w:tcW w:w="4335" w:type="dxa"/>
            <w:tcBorders>
              <w:top w:val="nil"/>
              <w:left w:val="nil"/>
              <w:bottom w:val="nil"/>
              <w:right w:val="nil"/>
            </w:tcBorders>
            <w:shd w:val="clear" w:color="auto" w:fill="auto"/>
            <w:hideMark/>
          </w:tcPr>
          <w:p w14:paraId="6E56D4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92,98</w:t>
            </w:r>
          </w:p>
        </w:tc>
      </w:tr>
      <w:tr w:rsidR="008B264B" w:rsidRPr="008B264B" w14:paraId="46D3F56E" w14:textId="77777777" w:rsidTr="008B264B">
        <w:trPr>
          <w:jc w:val="center"/>
        </w:trPr>
        <w:tc>
          <w:tcPr>
            <w:tcW w:w="4980" w:type="dxa"/>
            <w:tcBorders>
              <w:top w:val="nil"/>
              <w:left w:val="nil"/>
              <w:bottom w:val="nil"/>
              <w:right w:val="nil"/>
            </w:tcBorders>
            <w:shd w:val="clear" w:color="auto" w:fill="auto"/>
            <w:hideMark/>
          </w:tcPr>
          <w:p w14:paraId="786C71B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7352B4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84,39</w:t>
            </w:r>
          </w:p>
        </w:tc>
      </w:tr>
      <w:tr w:rsidR="008B264B" w:rsidRPr="008B264B" w14:paraId="00E4A1D4" w14:textId="77777777" w:rsidTr="008B264B">
        <w:trPr>
          <w:jc w:val="center"/>
        </w:trPr>
        <w:tc>
          <w:tcPr>
            <w:tcW w:w="4980" w:type="dxa"/>
            <w:tcBorders>
              <w:top w:val="nil"/>
              <w:left w:val="nil"/>
              <w:bottom w:val="nil"/>
              <w:right w:val="nil"/>
            </w:tcBorders>
            <w:shd w:val="clear" w:color="auto" w:fill="auto"/>
            <w:hideMark/>
          </w:tcPr>
          <w:p w14:paraId="4C7B486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Івано-Франківська:</w:t>
            </w:r>
          </w:p>
        </w:tc>
        <w:tc>
          <w:tcPr>
            <w:tcW w:w="4335" w:type="dxa"/>
            <w:tcBorders>
              <w:top w:val="nil"/>
              <w:left w:val="nil"/>
              <w:bottom w:val="nil"/>
              <w:right w:val="nil"/>
            </w:tcBorders>
            <w:shd w:val="clear" w:color="auto" w:fill="auto"/>
            <w:hideMark/>
          </w:tcPr>
          <w:p w14:paraId="3095E0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7EEDBA37" w14:textId="77777777" w:rsidTr="008B264B">
        <w:trPr>
          <w:jc w:val="center"/>
        </w:trPr>
        <w:tc>
          <w:tcPr>
            <w:tcW w:w="4980" w:type="dxa"/>
            <w:tcBorders>
              <w:top w:val="nil"/>
              <w:left w:val="nil"/>
              <w:bottom w:val="nil"/>
              <w:right w:val="nil"/>
            </w:tcBorders>
            <w:shd w:val="clear" w:color="auto" w:fill="auto"/>
            <w:hideMark/>
          </w:tcPr>
          <w:p w14:paraId="5E20EEA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Богородчанський, Верховинський, Долинський, Косівський, Надвірнянський, Рожнятівський райони</w:t>
            </w:r>
          </w:p>
        </w:tc>
        <w:tc>
          <w:tcPr>
            <w:tcW w:w="4335" w:type="dxa"/>
            <w:tcBorders>
              <w:top w:val="nil"/>
              <w:left w:val="nil"/>
              <w:bottom w:val="nil"/>
              <w:right w:val="nil"/>
            </w:tcBorders>
            <w:shd w:val="clear" w:color="auto" w:fill="auto"/>
            <w:hideMark/>
          </w:tcPr>
          <w:p w14:paraId="307120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145,42</w:t>
            </w:r>
          </w:p>
        </w:tc>
      </w:tr>
      <w:tr w:rsidR="008B264B" w:rsidRPr="008B264B" w14:paraId="4C13A8EF" w14:textId="77777777" w:rsidTr="008B264B">
        <w:trPr>
          <w:jc w:val="center"/>
        </w:trPr>
        <w:tc>
          <w:tcPr>
            <w:tcW w:w="4980" w:type="dxa"/>
            <w:tcBorders>
              <w:top w:val="nil"/>
              <w:left w:val="nil"/>
              <w:bottom w:val="nil"/>
              <w:right w:val="nil"/>
            </w:tcBorders>
            <w:shd w:val="clear" w:color="auto" w:fill="auto"/>
            <w:hideMark/>
          </w:tcPr>
          <w:p w14:paraId="010DC0D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07AB27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81,48</w:t>
            </w:r>
          </w:p>
        </w:tc>
      </w:tr>
      <w:tr w:rsidR="008B264B" w:rsidRPr="008B264B" w14:paraId="1D923D97" w14:textId="77777777" w:rsidTr="008B264B">
        <w:trPr>
          <w:jc w:val="center"/>
        </w:trPr>
        <w:tc>
          <w:tcPr>
            <w:tcW w:w="4980" w:type="dxa"/>
            <w:tcBorders>
              <w:top w:val="nil"/>
              <w:left w:val="nil"/>
              <w:bottom w:val="nil"/>
              <w:right w:val="nil"/>
            </w:tcBorders>
            <w:shd w:val="clear" w:color="auto" w:fill="auto"/>
            <w:hideMark/>
          </w:tcPr>
          <w:p w14:paraId="2944AA3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Київська:</w:t>
            </w:r>
          </w:p>
        </w:tc>
        <w:tc>
          <w:tcPr>
            <w:tcW w:w="4335" w:type="dxa"/>
            <w:tcBorders>
              <w:top w:val="nil"/>
              <w:left w:val="nil"/>
              <w:bottom w:val="nil"/>
              <w:right w:val="nil"/>
            </w:tcBorders>
            <w:shd w:val="clear" w:color="auto" w:fill="auto"/>
            <w:hideMark/>
          </w:tcPr>
          <w:p w14:paraId="4A4394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51163919" w14:textId="77777777" w:rsidTr="008B264B">
        <w:trPr>
          <w:jc w:val="center"/>
        </w:trPr>
        <w:tc>
          <w:tcPr>
            <w:tcW w:w="4980" w:type="dxa"/>
            <w:tcBorders>
              <w:top w:val="nil"/>
              <w:left w:val="nil"/>
              <w:bottom w:val="nil"/>
              <w:right w:val="nil"/>
            </w:tcBorders>
            <w:shd w:val="clear" w:color="auto" w:fill="auto"/>
            <w:hideMark/>
          </w:tcPr>
          <w:p w14:paraId="0E517F0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Білоцерківський, Бородянський, Броварський, Васильківський, Іванківський, Кагарлицький, Києво-Святошинський, Макарівський, Миронівський, Обухівський, Поліський райони</w:t>
            </w:r>
          </w:p>
        </w:tc>
        <w:tc>
          <w:tcPr>
            <w:tcW w:w="4335" w:type="dxa"/>
            <w:tcBorders>
              <w:top w:val="nil"/>
              <w:left w:val="nil"/>
              <w:bottom w:val="nil"/>
              <w:right w:val="nil"/>
            </w:tcBorders>
            <w:shd w:val="clear" w:color="auto" w:fill="auto"/>
            <w:hideMark/>
          </w:tcPr>
          <w:p w14:paraId="678414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67,59</w:t>
            </w:r>
          </w:p>
        </w:tc>
      </w:tr>
      <w:tr w:rsidR="008B264B" w:rsidRPr="008B264B" w14:paraId="3CCD6B8B" w14:textId="77777777" w:rsidTr="008B264B">
        <w:trPr>
          <w:jc w:val="center"/>
        </w:trPr>
        <w:tc>
          <w:tcPr>
            <w:tcW w:w="4980" w:type="dxa"/>
            <w:tcBorders>
              <w:top w:val="nil"/>
              <w:left w:val="nil"/>
              <w:bottom w:val="nil"/>
              <w:right w:val="nil"/>
            </w:tcBorders>
            <w:shd w:val="clear" w:color="auto" w:fill="auto"/>
            <w:hideMark/>
          </w:tcPr>
          <w:p w14:paraId="5C994AE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7FDC2D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79,75</w:t>
            </w:r>
          </w:p>
        </w:tc>
      </w:tr>
      <w:tr w:rsidR="008B264B" w:rsidRPr="008B264B" w14:paraId="2D365E20" w14:textId="77777777" w:rsidTr="008B264B">
        <w:trPr>
          <w:jc w:val="center"/>
        </w:trPr>
        <w:tc>
          <w:tcPr>
            <w:tcW w:w="4980" w:type="dxa"/>
            <w:tcBorders>
              <w:top w:val="nil"/>
              <w:left w:val="nil"/>
              <w:bottom w:val="nil"/>
              <w:right w:val="nil"/>
            </w:tcBorders>
            <w:shd w:val="clear" w:color="auto" w:fill="auto"/>
            <w:hideMark/>
          </w:tcPr>
          <w:p w14:paraId="2FA3992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Кіровоградська</w:t>
            </w:r>
          </w:p>
        </w:tc>
        <w:tc>
          <w:tcPr>
            <w:tcW w:w="4335" w:type="dxa"/>
            <w:tcBorders>
              <w:top w:val="nil"/>
              <w:left w:val="nil"/>
              <w:bottom w:val="nil"/>
              <w:right w:val="nil"/>
            </w:tcBorders>
            <w:shd w:val="clear" w:color="auto" w:fill="auto"/>
            <w:hideMark/>
          </w:tcPr>
          <w:p w14:paraId="323819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107,58</w:t>
            </w:r>
          </w:p>
        </w:tc>
      </w:tr>
      <w:tr w:rsidR="008B264B" w:rsidRPr="008B264B" w14:paraId="292240D7" w14:textId="77777777" w:rsidTr="008B264B">
        <w:trPr>
          <w:jc w:val="center"/>
        </w:trPr>
        <w:tc>
          <w:tcPr>
            <w:tcW w:w="4980" w:type="dxa"/>
            <w:tcBorders>
              <w:top w:val="nil"/>
              <w:left w:val="nil"/>
              <w:bottom w:val="nil"/>
              <w:right w:val="nil"/>
            </w:tcBorders>
            <w:shd w:val="clear" w:color="auto" w:fill="auto"/>
            <w:hideMark/>
          </w:tcPr>
          <w:p w14:paraId="19C5AE5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Львівська</w:t>
            </w:r>
          </w:p>
        </w:tc>
        <w:tc>
          <w:tcPr>
            <w:tcW w:w="4335" w:type="dxa"/>
            <w:tcBorders>
              <w:top w:val="nil"/>
              <w:left w:val="nil"/>
              <w:bottom w:val="nil"/>
              <w:right w:val="nil"/>
            </w:tcBorders>
            <w:shd w:val="clear" w:color="auto" w:fill="auto"/>
            <w:hideMark/>
          </w:tcPr>
          <w:p w14:paraId="4FBD38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84,39</w:t>
            </w:r>
          </w:p>
        </w:tc>
      </w:tr>
      <w:tr w:rsidR="008B264B" w:rsidRPr="008B264B" w14:paraId="79630B90" w14:textId="77777777" w:rsidTr="008B264B">
        <w:trPr>
          <w:jc w:val="center"/>
        </w:trPr>
        <w:tc>
          <w:tcPr>
            <w:tcW w:w="4980" w:type="dxa"/>
            <w:tcBorders>
              <w:top w:val="nil"/>
              <w:left w:val="nil"/>
              <w:bottom w:val="nil"/>
              <w:right w:val="nil"/>
            </w:tcBorders>
            <w:shd w:val="clear" w:color="auto" w:fill="auto"/>
            <w:hideMark/>
          </w:tcPr>
          <w:p w14:paraId="221E4E0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Луганська</w:t>
            </w:r>
          </w:p>
        </w:tc>
        <w:tc>
          <w:tcPr>
            <w:tcW w:w="4335" w:type="dxa"/>
            <w:tcBorders>
              <w:top w:val="nil"/>
              <w:left w:val="nil"/>
              <w:bottom w:val="nil"/>
              <w:right w:val="nil"/>
            </w:tcBorders>
            <w:shd w:val="clear" w:color="auto" w:fill="auto"/>
            <w:hideMark/>
          </w:tcPr>
          <w:p w14:paraId="7FA509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122,13</w:t>
            </w:r>
          </w:p>
        </w:tc>
      </w:tr>
      <w:tr w:rsidR="008B264B" w:rsidRPr="008B264B" w14:paraId="159B3CAC" w14:textId="77777777" w:rsidTr="008B264B">
        <w:trPr>
          <w:jc w:val="center"/>
        </w:trPr>
        <w:tc>
          <w:tcPr>
            <w:tcW w:w="4980" w:type="dxa"/>
            <w:tcBorders>
              <w:top w:val="nil"/>
              <w:left w:val="nil"/>
              <w:bottom w:val="nil"/>
              <w:right w:val="nil"/>
            </w:tcBorders>
            <w:shd w:val="clear" w:color="auto" w:fill="auto"/>
            <w:hideMark/>
          </w:tcPr>
          <w:p w14:paraId="67BF9AD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Миколаївська</w:t>
            </w:r>
          </w:p>
        </w:tc>
        <w:tc>
          <w:tcPr>
            <w:tcW w:w="4335" w:type="dxa"/>
            <w:tcBorders>
              <w:top w:val="nil"/>
              <w:left w:val="nil"/>
              <w:bottom w:val="nil"/>
              <w:right w:val="nil"/>
            </w:tcBorders>
            <w:shd w:val="clear" w:color="auto" w:fill="auto"/>
            <w:hideMark/>
          </w:tcPr>
          <w:p w14:paraId="3CA4B4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122,13</w:t>
            </w:r>
          </w:p>
        </w:tc>
      </w:tr>
      <w:tr w:rsidR="008B264B" w:rsidRPr="008B264B" w14:paraId="1F8AEA8F" w14:textId="77777777" w:rsidTr="008B264B">
        <w:trPr>
          <w:jc w:val="center"/>
        </w:trPr>
        <w:tc>
          <w:tcPr>
            <w:tcW w:w="4980" w:type="dxa"/>
            <w:tcBorders>
              <w:top w:val="nil"/>
              <w:left w:val="nil"/>
              <w:bottom w:val="nil"/>
              <w:right w:val="nil"/>
            </w:tcBorders>
            <w:shd w:val="clear" w:color="auto" w:fill="auto"/>
            <w:hideMark/>
          </w:tcPr>
          <w:p w14:paraId="7F735AF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Одеська</w:t>
            </w:r>
          </w:p>
        </w:tc>
        <w:tc>
          <w:tcPr>
            <w:tcW w:w="4335" w:type="dxa"/>
            <w:tcBorders>
              <w:top w:val="nil"/>
              <w:left w:val="nil"/>
              <w:bottom w:val="nil"/>
              <w:right w:val="nil"/>
            </w:tcBorders>
            <w:shd w:val="clear" w:color="auto" w:fill="auto"/>
            <w:hideMark/>
          </w:tcPr>
          <w:p w14:paraId="07749B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101,8</w:t>
            </w:r>
          </w:p>
        </w:tc>
      </w:tr>
      <w:tr w:rsidR="008B264B" w:rsidRPr="008B264B" w14:paraId="3C1A2FF5" w14:textId="77777777" w:rsidTr="008B264B">
        <w:trPr>
          <w:jc w:val="center"/>
        </w:trPr>
        <w:tc>
          <w:tcPr>
            <w:tcW w:w="4980" w:type="dxa"/>
            <w:tcBorders>
              <w:top w:val="nil"/>
              <w:left w:val="nil"/>
              <w:bottom w:val="nil"/>
              <w:right w:val="nil"/>
            </w:tcBorders>
            <w:shd w:val="clear" w:color="auto" w:fill="auto"/>
            <w:hideMark/>
          </w:tcPr>
          <w:p w14:paraId="2F5541E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Полтавська:</w:t>
            </w:r>
          </w:p>
        </w:tc>
        <w:tc>
          <w:tcPr>
            <w:tcW w:w="4335" w:type="dxa"/>
            <w:tcBorders>
              <w:top w:val="nil"/>
              <w:left w:val="nil"/>
              <w:bottom w:val="nil"/>
              <w:right w:val="nil"/>
            </w:tcBorders>
            <w:shd w:val="clear" w:color="auto" w:fill="auto"/>
            <w:hideMark/>
          </w:tcPr>
          <w:p w14:paraId="74CEC9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10DC2BD7" w14:textId="77777777" w:rsidTr="008B264B">
        <w:trPr>
          <w:jc w:val="center"/>
        </w:trPr>
        <w:tc>
          <w:tcPr>
            <w:tcW w:w="4980" w:type="dxa"/>
            <w:tcBorders>
              <w:top w:val="nil"/>
              <w:left w:val="nil"/>
              <w:bottom w:val="nil"/>
              <w:right w:val="nil"/>
            </w:tcBorders>
            <w:shd w:val="clear" w:color="auto" w:fill="auto"/>
            <w:hideMark/>
          </w:tcPr>
          <w:p w14:paraId="53AE974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Великобагачанський, Гадяцький, Зіньківський, Лохвицький, Лубенський, Миргородський, Новосанжарський, Решетилівський, Хорольський, Шишацький райони</w:t>
            </w:r>
          </w:p>
        </w:tc>
        <w:tc>
          <w:tcPr>
            <w:tcW w:w="4335" w:type="dxa"/>
            <w:tcBorders>
              <w:top w:val="nil"/>
              <w:left w:val="nil"/>
              <w:bottom w:val="nil"/>
              <w:right w:val="nil"/>
            </w:tcBorders>
            <w:shd w:val="clear" w:color="auto" w:fill="auto"/>
            <w:hideMark/>
          </w:tcPr>
          <w:p w14:paraId="6BED7C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62,9</w:t>
            </w:r>
          </w:p>
        </w:tc>
      </w:tr>
      <w:tr w:rsidR="008B264B" w:rsidRPr="008B264B" w14:paraId="3656C595" w14:textId="77777777" w:rsidTr="008B264B">
        <w:trPr>
          <w:jc w:val="center"/>
        </w:trPr>
        <w:tc>
          <w:tcPr>
            <w:tcW w:w="4980" w:type="dxa"/>
            <w:tcBorders>
              <w:top w:val="nil"/>
              <w:left w:val="nil"/>
              <w:bottom w:val="nil"/>
              <w:right w:val="nil"/>
            </w:tcBorders>
            <w:shd w:val="clear" w:color="auto" w:fill="auto"/>
            <w:hideMark/>
          </w:tcPr>
          <w:p w14:paraId="698A8CD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034983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70,1</w:t>
            </w:r>
          </w:p>
        </w:tc>
      </w:tr>
      <w:tr w:rsidR="008B264B" w:rsidRPr="008B264B" w14:paraId="5617FC6F" w14:textId="77777777" w:rsidTr="008B264B">
        <w:trPr>
          <w:jc w:val="center"/>
        </w:trPr>
        <w:tc>
          <w:tcPr>
            <w:tcW w:w="4980" w:type="dxa"/>
            <w:tcBorders>
              <w:top w:val="nil"/>
              <w:left w:val="nil"/>
              <w:bottom w:val="nil"/>
              <w:right w:val="nil"/>
            </w:tcBorders>
            <w:shd w:val="clear" w:color="auto" w:fill="auto"/>
            <w:hideMark/>
          </w:tcPr>
          <w:p w14:paraId="39E6BE9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Рівненська:</w:t>
            </w:r>
          </w:p>
        </w:tc>
        <w:tc>
          <w:tcPr>
            <w:tcW w:w="4335" w:type="dxa"/>
            <w:tcBorders>
              <w:top w:val="nil"/>
              <w:left w:val="nil"/>
              <w:bottom w:val="nil"/>
              <w:right w:val="nil"/>
            </w:tcBorders>
            <w:shd w:val="clear" w:color="auto" w:fill="auto"/>
            <w:hideMark/>
          </w:tcPr>
          <w:p w14:paraId="642AB9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39ABD86C" w14:textId="77777777" w:rsidTr="008B264B">
        <w:trPr>
          <w:jc w:val="center"/>
        </w:trPr>
        <w:tc>
          <w:tcPr>
            <w:tcW w:w="4980" w:type="dxa"/>
            <w:tcBorders>
              <w:top w:val="nil"/>
              <w:left w:val="nil"/>
              <w:bottom w:val="nil"/>
              <w:right w:val="nil"/>
            </w:tcBorders>
            <w:shd w:val="clear" w:color="auto" w:fill="auto"/>
            <w:hideMark/>
          </w:tcPr>
          <w:p w14:paraId="713C21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Володимирецький, Здолбунівський, Костопільський, Рівненський, Сарненський, Острозький райони</w:t>
            </w:r>
          </w:p>
        </w:tc>
        <w:tc>
          <w:tcPr>
            <w:tcW w:w="4335" w:type="dxa"/>
            <w:tcBorders>
              <w:top w:val="nil"/>
              <w:left w:val="nil"/>
              <w:bottom w:val="nil"/>
              <w:right w:val="nil"/>
            </w:tcBorders>
            <w:shd w:val="clear" w:color="auto" w:fill="auto"/>
            <w:hideMark/>
          </w:tcPr>
          <w:p w14:paraId="2AEBF8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75,03</w:t>
            </w:r>
          </w:p>
        </w:tc>
      </w:tr>
      <w:tr w:rsidR="008B264B" w:rsidRPr="008B264B" w14:paraId="02CA5101" w14:textId="77777777" w:rsidTr="008B264B">
        <w:trPr>
          <w:jc w:val="center"/>
        </w:trPr>
        <w:tc>
          <w:tcPr>
            <w:tcW w:w="4980" w:type="dxa"/>
            <w:tcBorders>
              <w:top w:val="nil"/>
              <w:left w:val="nil"/>
              <w:bottom w:val="nil"/>
              <w:right w:val="nil"/>
            </w:tcBorders>
            <w:shd w:val="clear" w:color="auto" w:fill="auto"/>
            <w:hideMark/>
          </w:tcPr>
          <w:p w14:paraId="109A89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13A6D8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87,16</w:t>
            </w:r>
          </w:p>
        </w:tc>
      </w:tr>
      <w:tr w:rsidR="008B264B" w:rsidRPr="008B264B" w14:paraId="57D612A6" w14:textId="77777777" w:rsidTr="008B264B">
        <w:trPr>
          <w:jc w:val="center"/>
        </w:trPr>
        <w:tc>
          <w:tcPr>
            <w:tcW w:w="4980" w:type="dxa"/>
            <w:tcBorders>
              <w:top w:val="nil"/>
              <w:left w:val="nil"/>
              <w:bottom w:val="nil"/>
              <w:right w:val="nil"/>
            </w:tcBorders>
            <w:shd w:val="clear" w:color="auto" w:fill="auto"/>
            <w:hideMark/>
          </w:tcPr>
          <w:p w14:paraId="269240B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Сумська:</w:t>
            </w:r>
          </w:p>
        </w:tc>
        <w:tc>
          <w:tcPr>
            <w:tcW w:w="4335" w:type="dxa"/>
            <w:tcBorders>
              <w:top w:val="nil"/>
              <w:left w:val="nil"/>
              <w:bottom w:val="nil"/>
              <w:right w:val="nil"/>
            </w:tcBorders>
            <w:shd w:val="clear" w:color="auto" w:fill="auto"/>
            <w:hideMark/>
          </w:tcPr>
          <w:p w14:paraId="53C8C26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7FB22DF7" w14:textId="77777777" w:rsidTr="008B264B">
        <w:trPr>
          <w:jc w:val="center"/>
        </w:trPr>
        <w:tc>
          <w:tcPr>
            <w:tcW w:w="4980" w:type="dxa"/>
            <w:tcBorders>
              <w:top w:val="nil"/>
              <w:left w:val="nil"/>
              <w:bottom w:val="nil"/>
              <w:right w:val="nil"/>
            </w:tcBorders>
            <w:shd w:val="clear" w:color="auto" w:fill="auto"/>
            <w:hideMark/>
          </w:tcPr>
          <w:p w14:paraId="4A965D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Глухівський, Сумський, Роменський, Шосткинський райони</w:t>
            </w:r>
          </w:p>
        </w:tc>
        <w:tc>
          <w:tcPr>
            <w:tcW w:w="4335" w:type="dxa"/>
            <w:tcBorders>
              <w:top w:val="nil"/>
              <w:left w:val="nil"/>
              <w:bottom w:val="nil"/>
              <w:right w:val="nil"/>
            </w:tcBorders>
            <w:shd w:val="clear" w:color="auto" w:fill="auto"/>
            <w:hideMark/>
          </w:tcPr>
          <w:p w14:paraId="058CA5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70,1</w:t>
            </w:r>
          </w:p>
        </w:tc>
      </w:tr>
      <w:tr w:rsidR="008B264B" w:rsidRPr="008B264B" w14:paraId="11B44D74" w14:textId="77777777" w:rsidTr="008B264B">
        <w:trPr>
          <w:jc w:val="center"/>
        </w:trPr>
        <w:tc>
          <w:tcPr>
            <w:tcW w:w="4980" w:type="dxa"/>
            <w:tcBorders>
              <w:top w:val="nil"/>
              <w:left w:val="nil"/>
              <w:bottom w:val="nil"/>
              <w:right w:val="nil"/>
            </w:tcBorders>
            <w:shd w:val="clear" w:color="auto" w:fill="auto"/>
            <w:hideMark/>
          </w:tcPr>
          <w:p w14:paraId="719A5CD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49E92E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79,83</w:t>
            </w:r>
          </w:p>
        </w:tc>
      </w:tr>
      <w:tr w:rsidR="008B264B" w:rsidRPr="008B264B" w14:paraId="071D3E4E" w14:textId="77777777" w:rsidTr="008B264B">
        <w:trPr>
          <w:jc w:val="center"/>
        </w:trPr>
        <w:tc>
          <w:tcPr>
            <w:tcW w:w="4980" w:type="dxa"/>
            <w:tcBorders>
              <w:top w:val="nil"/>
              <w:left w:val="nil"/>
              <w:bottom w:val="nil"/>
              <w:right w:val="nil"/>
            </w:tcBorders>
            <w:shd w:val="clear" w:color="auto" w:fill="auto"/>
            <w:hideMark/>
          </w:tcPr>
          <w:p w14:paraId="4D0C27B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Тернопільська</w:t>
            </w:r>
          </w:p>
        </w:tc>
        <w:tc>
          <w:tcPr>
            <w:tcW w:w="4335" w:type="dxa"/>
            <w:tcBorders>
              <w:top w:val="nil"/>
              <w:left w:val="nil"/>
              <w:bottom w:val="nil"/>
              <w:right w:val="nil"/>
            </w:tcBorders>
            <w:shd w:val="clear" w:color="auto" w:fill="auto"/>
            <w:hideMark/>
          </w:tcPr>
          <w:p w14:paraId="665C89B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113,45</w:t>
            </w:r>
          </w:p>
        </w:tc>
      </w:tr>
      <w:tr w:rsidR="008B264B" w:rsidRPr="008B264B" w14:paraId="577712EF" w14:textId="77777777" w:rsidTr="008B264B">
        <w:trPr>
          <w:jc w:val="center"/>
        </w:trPr>
        <w:tc>
          <w:tcPr>
            <w:tcW w:w="4980" w:type="dxa"/>
            <w:tcBorders>
              <w:top w:val="nil"/>
              <w:left w:val="nil"/>
              <w:bottom w:val="nil"/>
              <w:right w:val="nil"/>
            </w:tcBorders>
            <w:shd w:val="clear" w:color="auto" w:fill="auto"/>
            <w:hideMark/>
          </w:tcPr>
          <w:p w14:paraId="07EBE89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Харківська</w:t>
            </w:r>
          </w:p>
        </w:tc>
        <w:tc>
          <w:tcPr>
            <w:tcW w:w="4335" w:type="dxa"/>
            <w:tcBorders>
              <w:top w:val="nil"/>
              <w:left w:val="nil"/>
              <w:bottom w:val="nil"/>
              <w:right w:val="nil"/>
            </w:tcBorders>
            <w:shd w:val="clear" w:color="auto" w:fill="auto"/>
            <w:hideMark/>
          </w:tcPr>
          <w:p w14:paraId="0047A4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87,21</w:t>
            </w:r>
          </w:p>
        </w:tc>
      </w:tr>
      <w:tr w:rsidR="008B264B" w:rsidRPr="008B264B" w14:paraId="299BE33C" w14:textId="77777777" w:rsidTr="008B264B">
        <w:trPr>
          <w:jc w:val="center"/>
        </w:trPr>
        <w:tc>
          <w:tcPr>
            <w:tcW w:w="4980" w:type="dxa"/>
            <w:tcBorders>
              <w:top w:val="nil"/>
              <w:left w:val="nil"/>
              <w:bottom w:val="nil"/>
              <w:right w:val="nil"/>
            </w:tcBorders>
            <w:shd w:val="clear" w:color="auto" w:fill="auto"/>
            <w:hideMark/>
          </w:tcPr>
          <w:p w14:paraId="0E1E49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Херсонська</w:t>
            </w:r>
          </w:p>
        </w:tc>
        <w:tc>
          <w:tcPr>
            <w:tcW w:w="4335" w:type="dxa"/>
            <w:tcBorders>
              <w:top w:val="nil"/>
              <w:left w:val="nil"/>
              <w:bottom w:val="nil"/>
              <w:right w:val="nil"/>
            </w:tcBorders>
            <w:shd w:val="clear" w:color="auto" w:fill="auto"/>
            <w:hideMark/>
          </w:tcPr>
          <w:p w14:paraId="3AF379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87,21</w:t>
            </w:r>
          </w:p>
        </w:tc>
      </w:tr>
      <w:tr w:rsidR="008B264B" w:rsidRPr="008B264B" w14:paraId="62D37A51" w14:textId="77777777" w:rsidTr="008B264B">
        <w:trPr>
          <w:jc w:val="center"/>
        </w:trPr>
        <w:tc>
          <w:tcPr>
            <w:tcW w:w="4980" w:type="dxa"/>
            <w:tcBorders>
              <w:top w:val="nil"/>
              <w:left w:val="nil"/>
              <w:bottom w:val="nil"/>
              <w:right w:val="nil"/>
            </w:tcBorders>
            <w:shd w:val="clear" w:color="auto" w:fill="auto"/>
            <w:hideMark/>
          </w:tcPr>
          <w:p w14:paraId="5C69461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Хмельницька:</w:t>
            </w:r>
          </w:p>
        </w:tc>
        <w:tc>
          <w:tcPr>
            <w:tcW w:w="4335" w:type="dxa"/>
            <w:tcBorders>
              <w:top w:val="nil"/>
              <w:left w:val="nil"/>
              <w:bottom w:val="nil"/>
              <w:right w:val="nil"/>
            </w:tcBorders>
            <w:shd w:val="clear" w:color="auto" w:fill="auto"/>
            <w:hideMark/>
          </w:tcPr>
          <w:p w14:paraId="4DB2E3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58D9AA92" w14:textId="77777777" w:rsidTr="008B264B">
        <w:trPr>
          <w:jc w:val="center"/>
        </w:trPr>
        <w:tc>
          <w:tcPr>
            <w:tcW w:w="4980" w:type="dxa"/>
            <w:tcBorders>
              <w:top w:val="nil"/>
              <w:left w:val="nil"/>
              <w:bottom w:val="nil"/>
              <w:right w:val="nil"/>
            </w:tcBorders>
            <w:shd w:val="clear" w:color="auto" w:fill="auto"/>
            <w:hideMark/>
          </w:tcPr>
          <w:p w14:paraId="660865A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Деражнянський, Красилівський, Летичівський, Старокостянтинівський, Хмельницький, Полонський, Шепетівський райони</w:t>
            </w:r>
          </w:p>
        </w:tc>
        <w:tc>
          <w:tcPr>
            <w:tcW w:w="4335" w:type="dxa"/>
            <w:tcBorders>
              <w:top w:val="nil"/>
              <w:left w:val="nil"/>
              <w:bottom w:val="nil"/>
              <w:right w:val="nil"/>
            </w:tcBorders>
            <w:shd w:val="clear" w:color="auto" w:fill="auto"/>
            <w:hideMark/>
          </w:tcPr>
          <w:p w14:paraId="6B312E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72,74</w:t>
            </w:r>
          </w:p>
        </w:tc>
      </w:tr>
      <w:tr w:rsidR="008B264B" w:rsidRPr="008B264B" w14:paraId="20EB6BFC" w14:textId="77777777" w:rsidTr="008B264B">
        <w:trPr>
          <w:jc w:val="center"/>
        </w:trPr>
        <w:tc>
          <w:tcPr>
            <w:tcW w:w="4980" w:type="dxa"/>
            <w:tcBorders>
              <w:top w:val="nil"/>
              <w:left w:val="nil"/>
              <w:bottom w:val="nil"/>
              <w:right w:val="nil"/>
            </w:tcBorders>
            <w:shd w:val="clear" w:color="auto" w:fill="auto"/>
            <w:hideMark/>
          </w:tcPr>
          <w:p w14:paraId="3171948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6D5CEC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110,56</w:t>
            </w:r>
          </w:p>
        </w:tc>
      </w:tr>
      <w:tr w:rsidR="008B264B" w:rsidRPr="008B264B" w14:paraId="4990CDA2" w14:textId="77777777" w:rsidTr="008B264B">
        <w:trPr>
          <w:jc w:val="center"/>
        </w:trPr>
        <w:tc>
          <w:tcPr>
            <w:tcW w:w="4980" w:type="dxa"/>
            <w:tcBorders>
              <w:top w:val="nil"/>
              <w:left w:val="nil"/>
              <w:bottom w:val="nil"/>
              <w:right w:val="nil"/>
            </w:tcBorders>
            <w:shd w:val="clear" w:color="auto" w:fill="auto"/>
            <w:hideMark/>
          </w:tcPr>
          <w:p w14:paraId="029A742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Черкаська</w:t>
            </w:r>
          </w:p>
        </w:tc>
        <w:tc>
          <w:tcPr>
            <w:tcW w:w="4335" w:type="dxa"/>
            <w:tcBorders>
              <w:top w:val="nil"/>
              <w:left w:val="nil"/>
              <w:bottom w:val="nil"/>
              <w:right w:val="nil"/>
            </w:tcBorders>
            <w:shd w:val="clear" w:color="auto" w:fill="auto"/>
            <w:hideMark/>
          </w:tcPr>
          <w:p w14:paraId="7A6681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62,9</w:t>
            </w:r>
          </w:p>
        </w:tc>
      </w:tr>
      <w:tr w:rsidR="008B264B" w:rsidRPr="008B264B" w14:paraId="0A840D63" w14:textId="77777777" w:rsidTr="008B264B">
        <w:trPr>
          <w:jc w:val="center"/>
        </w:trPr>
        <w:tc>
          <w:tcPr>
            <w:tcW w:w="4980" w:type="dxa"/>
            <w:tcBorders>
              <w:top w:val="nil"/>
              <w:left w:val="nil"/>
              <w:bottom w:val="nil"/>
              <w:right w:val="nil"/>
            </w:tcBorders>
            <w:shd w:val="clear" w:color="auto" w:fill="auto"/>
            <w:hideMark/>
          </w:tcPr>
          <w:p w14:paraId="532DA23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Чернівецька</w:t>
            </w:r>
          </w:p>
        </w:tc>
        <w:tc>
          <w:tcPr>
            <w:tcW w:w="4335" w:type="dxa"/>
            <w:tcBorders>
              <w:top w:val="nil"/>
              <w:left w:val="nil"/>
              <w:bottom w:val="nil"/>
              <w:right w:val="nil"/>
            </w:tcBorders>
            <w:shd w:val="clear" w:color="auto" w:fill="auto"/>
            <w:hideMark/>
          </w:tcPr>
          <w:p w14:paraId="18B59E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101,8</w:t>
            </w:r>
          </w:p>
        </w:tc>
      </w:tr>
      <w:tr w:rsidR="008B264B" w:rsidRPr="008B264B" w14:paraId="00490535" w14:textId="77777777" w:rsidTr="008B264B">
        <w:trPr>
          <w:jc w:val="center"/>
        </w:trPr>
        <w:tc>
          <w:tcPr>
            <w:tcW w:w="4980" w:type="dxa"/>
            <w:tcBorders>
              <w:top w:val="nil"/>
              <w:left w:val="nil"/>
              <w:bottom w:val="nil"/>
              <w:right w:val="nil"/>
            </w:tcBorders>
            <w:shd w:val="clear" w:color="auto" w:fill="auto"/>
            <w:hideMark/>
          </w:tcPr>
          <w:p w14:paraId="07023B2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Чернігівська:</w:t>
            </w:r>
          </w:p>
        </w:tc>
        <w:tc>
          <w:tcPr>
            <w:tcW w:w="4335" w:type="dxa"/>
            <w:tcBorders>
              <w:top w:val="nil"/>
              <w:left w:val="nil"/>
              <w:bottom w:val="nil"/>
              <w:right w:val="nil"/>
            </w:tcBorders>
            <w:shd w:val="clear" w:color="auto" w:fill="auto"/>
            <w:hideMark/>
          </w:tcPr>
          <w:p w14:paraId="7BA4E7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r>
      <w:tr w:rsidR="008B264B" w:rsidRPr="008B264B" w14:paraId="6E4D2811" w14:textId="77777777" w:rsidTr="008B264B">
        <w:trPr>
          <w:jc w:val="center"/>
        </w:trPr>
        <w:tc>
          <w:tcPr>
            <w:tcW w:w="4980" w:type="dxa"/>
            <w:tcBorders>
              <w:top w:val="nil"/>
              <w:left w:val="nil"/>
              <w:bottom w:val="nil"/>
              <w:right w:val="nil"/>
            </w:tcBorders>
            <w:shd w:val="clear" w:color="auto" w:fill="auto"/>
            <w:hideMark/>
          </w:tcPr>
          <w:p w14:paraId="0C596C2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Городнянський, Корюківський, Ічнянський, Сосницький, Сновський, Талалаївський райони</w:t>
            </w:r>
          </w:p>
        </w:tc>
        <w:tc>
          <w:tcPr>
            <w:tcW w:w="4335" w:type="dxa"/>
            <w:tcBorders>
              <w:top w:val="nil"/>
              <w:left w:val="nil"/>
              <w:bottom w:val="nil"/>
              <w:right w:val="nil"/>
            </w:tcBorders>
            <w:shd w:val="clear" w:color="auto" w:fill="auto"/>
            <w:hideMark/>
          </w:tcPr>
          <w:p w14:paraId="5D96692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87,21</w:t>
            </w:r>
          </w:p>
        </w:tc>
      </w:tr>
      <w:tr w:rsidR="008B264B" w:rsidRPr="008B264B" w14:paraId="4B14084C" w14:textId="77777777" w:rsidTr="008B264B">
        <w:trPr>
          <w:jc w:val="center"/>
        </w:trPr>
        <w:tc>
          <w:tcPr>
            <w:tcW w:w="4980" w:type="dxa"/>
            <w:tcBorders>
              <w:top w:val="nil"/>
              <w:left w:val="nil"/>
              <w:bottom w:val="nil"/>
              <w:right w:val="nil"/>
            </w:tcBorders>
            <w:shd w:val="clear" w:color="auto" w:fill="auto"/>
            <w:hideMark/>
          </w:tcPr>
          <w:p w14:paraId="210711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адміністративно-територіальні одиниці області</w:t>
            </w:r>
          </w:p>
        </w:tc>
        <w:tc>
          <w:tcPr>
            <w:tcW w:w="4335" w:type="dxa"/>
            <w:tcBorders>
              <w:top w:val="nil"/>
              <w:left w:val="nil"/>
              <w:bottom w:val="nil"/>
              <w:right w:val="nil"/>
            </w:tcBorders>
            <w:shd w:val="clear" w:color="auto" w:fill="auto"/>
            <w:hideMark/>
          </w:tcPr>
          <w:p w14:paraId="273583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68,19</w:t>
            </w:r>
          </w:p>
        </w:tc>
      </w:tr>
      <w:tr w:rsidR="008B264B" w:rsidRPr="008B264B" w14:paraId="173ADD75" w14:textId="77777777" w:rsidTr="008B264B">
        <w:trPr>
          <w:jc w:val="center"/>
        </w:trPr>
        <w:tc>
          <w:tcPr>
            <w:tcW w:w="4980" w:type="dxa"/>
            <w:tcBorders>
              <w:top w:val="nil"/>
              <w:left w:val="nil"/>
              <w:bottom w:val="nil"/>
              <w:right w:val="nil"/>
            </w:tcBorders>
            <w:shd w:val="clear" w:color="auto" w:fill="auto"/>
            <w:hideMark/>
          </w:tcPr>
          <w:p w14:paraId="5A8F319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 Київ</w:t>
            </w:r>
          </w:p>
        </w:tc>
        <w:tc>
          <w:tcPr>
            <w:tcW w:w="4335" w:type="dxa"/>
            <w:tcBorders>
              <w:top w:val="nil"/>
              <w:left w:val="nil"/>
              <w:bottom w:val="nil"/>
              <w:right w:val="nil"/>
            </w:tcBorders>
            <w:shd w:val="clear" w:color="auto" w:fill="auto"/>
            <w:hideMark/>
          </w:tcPr>
          <w:p w14:paraId="426E29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86,9;</w:t>
            </w:r>
          </w:p>
        </w:tc>
      </w:tr>
    </w:tbl>
    <w:p w14:paraId="484E8F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89" w:name="n11611"/>
      <w:bookmarkEnd w:id="8089"/>
      <w:r w:rsidRPr="008B264B">
        <w:rPr>
          <w:rFonts w:ascii="Times New Roman" w:eastAsia="Times New Roman" w:hAnsi="Times New Roman" w:cs="Times New Roman"/>
          <w:color w:val="000000"/>
          <w:sz w:val="24"/>
          <w:szCs w:val="24"/>
          <w:lang/>
        </w:rPr>
        <w:t>255.5.3. для потреб гідроенергетики - 11,31 гривні за 10 тис. куб. метрів води, пропущеної через турбіни гідроелектростанцій;</w:t>
      </w:r>
    </w:p>
    <w:p w14:paraId="08EB70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0" w:name="n11612"/>
      <w:bookmarkEnd w:id="8090"/>
      <w:r w:rsidRPr="008B264B">
        <w:rPr>
          <w:rFonts w:ascii="Times New Roman" w:eastAsia="Times New Roman" w:hAnsi="Times New Roman" w:cs="Times New Roman"/>
          <w:color w:val="000000"/>
          <w:sz w:val="24"/>
          <w:szCs w:val="24"/>
          <w:lang/>
        </w:rPr>
        <w:t>255.5.4. для потреб водного транспорту з усіх річок, крім Дунаю:</w:t>
      </w:r>
    </w:p>
    <w:p w14:paraId="4B426B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1" w:name="n11613"/>
      <w:bookmarkEnd w:id="8091"/>
      <w:r w:rsidRPr="008B264B">
        <w:rPr>
          <w:rFonts w:ascii="Times New Roman" w:eastAsia="Times New Roman" w:hAnsi="Times New Roman" w:cs="Times New Roman"/>
          <w:color w:val="000000"/>
          <w:sz w:val="24"/>
          <w:szCs w:val="24"/>
          <w:lang/>
        </w:rPr>
        <w:t>для вантажного самохідного і несамохідного флоту, що експлуатується, - 0,1938 гривні за 1 тоннаж-добу експлуатації;</w:t>
      </w:r>
    </w:p>
    <w:p w14:paraId="4E1BB9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2" w:name="n11614"/>
      <w:bookmarkEnd w:id="8092"/>
      <w:r w:rsidRPr="008B264B">
        <w:rPr>
          <w:rFonts w:ascii="Times New Roman" w:eastAsia="Times New Roman" w:hAnsi="Times New Roman" w:cs="Times New Roman"/>
          <w:color w:val="000000"/>
          <w:sz w:val="24"/>
          <w:szCs w:val="24"/>
          <w:lang/>
        </w:rPr>
        <w:t>для пасажирського флоту, що експлуатується, - 0,0215 гривні за 1 місце-добу експлуатації;</w:t>
      </w:r>
    </w:p>
    <w:p w14:paraId="18A82A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3" w:name="n11615"/>
      <w:bookmarkEnd w:id="8093"/>
      <w:r w:rsidRPr="008B264B">
        <w:rPr>
          <w:rFonts w:ascii="Times New Roman" w:eastAsia="Times New Roman" w:hAnsi="Times New Roman" w:cs="Times New Roman"/>
          <w:color w:val="000000"/>
          <w:sz w:val="24"/>
          <w:szCs w:val="24"/>
          <w:lang/>
        </w:rPr>
        <w:t>255.5.5. для потреб рибництва:</w:t>
      </w:r>
    </w:p>
    <w:p w14:paraId="066EC5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4" w:name="n11616"/>
      <w:bookmarkEnd w:id="8094"/>
      <w:r w:rsidRPr="008B264B">
        <w:rPr>
          <w:rFonts w:ascii="Times New Roman" w:eastAsia="Times New Roman" w:hAnsi="Times New Roman" w:cs="Times New Roman"/>
          <w:color w:val="000000"/>
          <w:sz w:val="24"/>
          <w:szCs w:val="24"/>
          <w:lang/>
        </w:rPr>
        <w:lastRenderedPageBreak/>
        <w:t>59,36 гривні за 10 тис. куб. метрів поверхневої води;</w:t>
      </w:r>
    </w:p>
    <w:p w14:paraId="62884A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5" w:name="n11617"/>
      <w:bookmarkEnd w:id="8095"/>
      <w:r w:rsidRPr="008B264B">
        <w:rPr>
          <w:rFonts w:ascii="Times New Roman" w:eastAsia="Times New Roman" w:hAnsi="Times New Roman" w:cs="Times New Roman"/>
          <w:color w:val="000000"/>
          <w:sz w:val="24"/>
          <w:szCs w:val="24"/>
          <w:lang/>
        </w:rPr>
        <w:t>71,36 гривні за 10 тис. куб. метрів підземної води;</w:t>
      </w:r>
    </w:p>
    <w:p w14:paraId="21AC2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6" w:name="n11618"/>
      <w:bookmarkEnd w:id="8096"/>
      <w:r w:rsidRPr="008B264B">
        <w:rPr>
          <w:rFonts w:ascii="Times New Roman" w:eastAsia="Times New Roman" w:hAnsi="Times New Roman" w:cs="Times New Roman"/>
          <w:color w:val="000000"/>
          <w:sz w:val="24"/>
          <w:szCs w:val="24"/>
          <w:lang/>
        </w:rPr>
        <w:t>255.5.6. за воду, що входить виключно до складу напоїв:</w:t>
      </w:r>
    </w:p>
    <w:p w14:paraId="63C78B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7" w:name="n11619"/>
      <w:bookmarkEnd w:id="8097"/>
      <w:r w:rsidRPr="008B264B">
        <w:rPr>
          <w:rFonts w:ascii="Times New Roman" w:eastAsia="Times New Roman" w:hAnsi="Times New Roman" w:cs="Times New Roman"/>
          <w:color w:val="000000"/>
          <w:sz w:val="24"/>
          <w:szCs w:val="24"/>
          <w:lang/>
        </w:rPr>
        <w:t>55,21 гривні за 1 куб. метр поверхневої води;</w:t>
      </w:r>
    </w:p>
    <w:p w14:paraId="793A83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8" w:name="n11620"/>
      <w:bookmarkEnd w:id="8098"/>
      <w:r w:rsidRPr="008B264B">
        <w:rPr>
          <w:rFonts w:ascii="Times New Roman" w:eastAsia="Times New Roman" w:hAnsi="Times New Roman" w:cs="Times New Roman"/>
          <w:color w:val="000000"/>
          <w:sz w:val="24"/>
          <w:szCs w:val="24"/>
          <w:lang/>
        </w:rPr>
        <w:t>64,39 гривні за 1 куб. метр підземної води;</w:t>
      </w:r>
    </w:p>
    <w:p w14:paraId="54C8CE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099" w:name="n11621"/>
      <w:bookmarkEnd w:id="8099"/>
      <w:r w:rsidRPr="008B264B">
        <w:rPr>
          <w:rFonts w:ascii="Times New Roman" w:eastAsia="Times New Roman" w:hAnsi="Times New Roman" w:cs="Times New Roman"/>
          <w:color w:val="000000"/>
          <w:sz w:val="24"/>
          <w:szCs w:val="24"/>
          <w:lang/>
        </w:rPr>
        <w:t>255.5.7. за шахтну, кар’єрну та дренажну воду - 12,79 гривні за 100 куб. метрів води.</w:t>
      </w:r>
    </w:p>
    <w:p w14:paraId="36AD2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0" w:name="n12904"/>
      <w:bookmarkEnd w:id="8100"/>
      <w:r w:rsidRPr="008B264B">
        <w:rPr>
          <w:rFonts w:ascii="Times New Roman" w:eastAsia="Times New Roman" w:hAnsi="Times New Roman" w:cs="Times New Roman"/>
          <w:i/>
          <w:iCs/>
          <w:color w:val="000000"/>
          <w:sz w:val="24"/>
          <w:szCs w:val="24"/>
          <w:lang/>
        </w:rPr>
        <w:t>{Пункт 255.5 статті 255 в редакції Законів </w:t>
      </w:r>
      <w:hyperlink r:id="rId4529" w:anchor="n53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530" w:anchor="n9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531" w:anchor="n35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C0AA5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1" w:name="n11622"/>
      <w:bookmarkEnd w:id="8101"/>
      <w:r w:rsidRPr="008B264B">
        <w:rPr>
          <w:rFonts w:ascii="Times New Roman" w:eastAsia="Times New Roman" w:hAnsi="Times New Roman" w:cs="Times New Roman"/>
          <w:color w:val="000000"/>
          <w:sz w:val="24"/>
          <w:szCs w:val="24"/>
          <w:lang/>
        </w:rPr>
        <w:t>255.6. Для теплоелектростанцій з прямоточною системою водопостачання рентна плата за фактичний обсяг води, що пропускається через конденсатори турбін для охолодження конденсату, обчислюється із застосуванням коефіцієнта 0,005.</w:t>
      </w:r>
    </w:p>
    <w:p w14:paraId="2F73DB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2" w:name="n11623"/>
      <w:bookmarkEnd w:id="8102"/>
      <w:r w:rsidRPr="008B264B">
        <w:rPr>
          <w:rFonts w:ascii="Times New Roman" w:eastAsia="Times New Roman" w:hAnsi="Times New Roman" w:cs="Times New Roman"/>
          <w:color w:val="000000"/>
          <w:sz w:val="24"/>
          <w:szCs w:val="24"/>
          <w:lang/>
        </w:rPr>
        <w:t>255.7. Житлово-комунальні підприємства застосовують до ставок рентної плати коефіцієнт 0,3.</w:t>
      </w:r>
    </w:p>
    <w:p w14:paraId="0AC711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3" w:name="n11624"/>
      <w:bookmarkEnd w:id="8103"/>
      <w:r w:rsidRPr="008B264B">
        <w:rPr>
          <w:rFonts w:ascii="Times New Roman" w:eastAsia="Times New Roman" w:hAnsi="Times New Roman" w:cs="Times New Roman"/>
          <w:color w:val="000000"/>
          <w:sz w:val="24"/>
          <w:szCs w:val="24"/>
          <w:lang/>
        </w:rPr>
        <w:t>255.8. За умови використання води з лиманів платниками рентної плати застосовується ставка рентної плати, встановлена за спеціальне використання поверхневих вод відповідно до показника "Інші водні об’єкти", зазначеного у підпункті 255.5.1 пункту 255.5 цієї статті.</w:t>
      </w:r>
    </w:p>
    <w:p w14:paraId="120918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4" w:name="n11625"/>
      <w:bookmarkEnd w:id="8104"/>
      <w:r w:rsidRPr="008B264B">
        <w:rPr>
          <w:rFonts w:ascii="Times New Roman" w:eastAsia="Times New Roman" w:hAnsi="Times New Roman" w:cs="Times New Roman"/>
          <w:color w:val="000000"/>
          <w:sz w:val="24"/>
          <w:szCs w:val="24"/>
          <w:lang/>
        </w:rPr>
        <w:t>255.9. За умови використання води з каналів платниками рентної плати застосовуються ставки рентної плати, встановлені за спеціальне використання води водного об’єкта, з якого забирається вода в канал.</w:t>
      </w:r>
    </w:p>
    <w:p w14:paraId="0203BC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5" w:name="n11626"/>
      <w:bookmarkEnd w:id="8105"/>
      <w:r w:rsidRPr="008B264B">
        <w:rPr>
          <w:rFonts w:ascii="Times New Roman" w:eastAsia="Times New Roman" w:hAnsi="Times New Roman" w:cs="Times New Roman"/>
          <w:color w:val="000000"/>
          <w:sz w:val="24"/>
          <w:szCs w:val="24"/>
          <w:lang/>
        </w:rPr>
        <w:t>255.10. За умови використання води із змішаних джерел водопостачання застосовуються ставки рентної плати, встановлені для джерел, з яких формуються (наповнюються) змішані джерела.</w:t>
      </w:r>
    </w:p>
    <w:p w14:paraId="645F66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6" w:name="n11627"/>
      <w:bookmarkEnd w:id="8106"/>
      <w:r w:rsidRPr="008B264B">
        <w:rPr>
          <w:rFonts w:ascii="Times New Roman" w:eastAsia="Times New Roman" w:hAnsi="Times New Roman" w:cs="Times New Roman"/>
          <w:color w:val="000000"/>
          <w:sz w:val="24"/>
          <w:szCs w:val="24"/>
          <w:lang/>
        </w:rPr>
        <w:t>255.11. Порядок нарахування податкових зобов’язань з рентної плати за спеціальне використання води</w:t>
      </w:r>
    </w:p>
    <w:p w14:paraId="3AFD6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7" w:name="n11628"/>
      <w:bookmarkEnd w:id="8107"/>
      <w:r w:rsidRPr="008B264B">
        <w:rPr>
          <w:rFonts w:ascii="Times New Roman" w:eastAsia="Times New Roman" w:hAnsi="Times New Roman" w:cs="Times New Roman"/>
          <w:color w:val="000000"/>
          <w:sz w:val="24"/>
          <w:szCs w:val="24"/>
          <w:lang/>
        </w:rPr>
        <w:t>255.11.1. Водокористувачі самостійно обчислюють рентну плату за спеціальне використання води та за спеціальне використання води для потреб гідроенергетики і рибництва щокварталу наростаючим підсумком з початку року, а за спеціальне використання води для потреб водного транспорту - починаючи з першого півріччя поточного року, у якому було здійснено таке використання.</w:t>
      </w:r>
    </w:p>
    <w:p w14:paraId="2654EE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8" w:name="n11629"/>
      <w:bookmarkEnd w:id="8108"/>
      <w:r w:rsidRPr="008B264B">
        <w:rPr>
          <w:rFonts w:ascii="Times New Roman" w:eastAsia="Times New Roman" w:hAnsi="Times New Roman" w:cs="Times New Roman"/>
          <w:color w:val="000000"/>
          <w:sz w:val="24"/>
          <w:szCs w:val="24"/>
          <w:lang/>
        </w:rPr>
        <w:t>255.11.2. Рентна плата обчислюється виходячи з фактичних обсягів використаної води (підземної, поверхневої) водних об’єктів, встановлених у дозволі на спеціальне водокористування, лімітів використання води, ставок рентної плати та коефіцієнтів.</w:t>
      </w:r>
    </w:p>
    <w:p w14:paraId="234590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09" w:name="n15036"/>
      <w:bookmarkEnd w:id="8109"/>
      <w:r w:rsidRPr="008B264B">
        <w:rPr>
          <w:rFonts w:ascii="Times New Roman" w:eastAsia="Times New Roman" w:hAnsi="Times New Roman" w:cs="Times New Roman"/>
          <w:i/>
          <w:iCs/>
          <w:color w:val="000000"/>
          <w:sz w:val="24"/>
          <w:szCs w:val="24"/>
          <w:lang/>
        </w:rPr>
        <w:t>{Підпункт 255.11.2 пункту 255.11 статті 255 в редакції Закону </w:t>
      </w:r>
      <w:hyperlink r:id="rId4532" w:anchor="n133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ED3C9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0" w:name="n11631"/>
      <w:bookmarkEnd w:id="8110"/>
      <w:r w:rsidRPr="008B264B">
        <w:rPr>
          <w:rFonts w:ascii="Times New Roman" w:eastAsia="Times New Roman" w:hAnsi="Times New Roman" w:cs="Times New Roman"/>
          <w:color w:val="000000"/>
          <w:sz w:val="24"/>
          <w:szCs w:val="24"/>
          <w:lang/>
        </w:rPr>
        <w:t>255.11.3. Водокористувачі, які використовують воду із змішаного джерела, обчислюють рентну плату, враховуючи обсяги води в тому співвідношенні, у якому формується таке змішане джерело, що зазначається в дозволах та договорах на поставку води, ставок рентної плати та коефіцієнтів.</w:t>
      </w:r>
    </w:p>
    <w:p w14:paraId="5DF845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1" w:name="n15037"/>
      <w:bookmarkEnd w:id="8111"/>
      <w:r w:rsidRPr="008B264B">
        <w:rPr>
          <w:rFonts w:ascii="Times New Roman" w:eastAsia="Times New Roman" w:hAnsi="Times New Roman" w:cs="Times New Roman"/>
          <w:i/>
          <w:iCs/>
          <w:color w:val="000000"/>
          <w:sz w:val="24"/>
          <w:szCs w:val="24"/>
          <w:lang/>
        </w:rPr>
        <w:t>{Підпункт 255.11.3 пункту 255.11 статті 255 із змінами, внесеними згідно із Законом </w:t>
      </w:r>
      <w:hyperlink r:id="rId4533" w:anchor="n13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882A2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2" w:name="n11632"/>
      <w:bookmarkEnd w:id="8112"/>
      <w:r w:rsidRPr="008B264B">
        <w:rPr>
          <w:rFonts w:ascii="Times New Roman" w:eastAsia="Times New Roman" w:hAnsi="Times New Roman" w:cs="Times New Roman"/>
          <w:color w:val="000000"/>
          <w:sz w:val="24"/>
          <w:szCs w:val="24"/>
          <w:lang/>
        </w:rPr>
        <w:t>255.11.4. Водокористувачі, які використовують воду з каналів, обчислюють рентну плату виходячи з фактичних обсягів використаної води, встановлених лімітів використання води, ставок рентної плати, встановлених для водного об’єкта, з якого забирається вода в канал, та коефіцієнтів.</w:t>
      </w:r>
    </w:p>
    <w:p w14:paraId="66A193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3" w:name="n15038"/>
      <w:bookmarkEnd w:id="8113"/>
      <w:r w:rsidRPr="008B264B">
        <w:rPr>
          <w:rFonts w:ascii="Times New Roman" w:eastAsia="Times New Roman" w:hAnsi="Times New Roman" w:cs="Times New Roman"/>
          <w:i/>
          <w:iCs/>
          <w:color w:val="000000"/>
          <w:sz w:val="24"/>
          <w:szCs w:val="24"/>
          <w:lang/>
        </w:rPr>
        <w:lastRenderedPageBreak/>
        <w:t>{Підпункт 255.11.3 пункту 255.11 статті 255 із змінами, внесеними згідно із Законом </w:t>
      </w:r>
      <w:hyperlink r:id="rId4534" w:anchor="n13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FA903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4" w:name="n11633"/>
      <w:bookmarkEnd w:id="8114"/>
      <w:r w:rsidRPr="008B264B">
        <w:rPr>
          <w:rFonts w:ascii="Times New Roman" w:eastAsia="Times New Roman" w:hAnsi="Times New Roman" w:cs="Times New Roman"/>
          <w:color w:val="000000"/>
          <w:sz w:val="24"/>
          <w:szCs w:val="24"/>
          <w:lang/>
        </w:rPr>
        <w:t>255.11.5. Рентна плата за спеціальне використання води для потреб гідроенергетики обчислюється виходячи з фактичних обсягів води, пропущеної через турбіни гідроелектростанцій, та ставки рентної плати.</w:t>
      </w:r>
    </w:p>
    <w:p w14:paraId="71F027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5" w:name="n11634"/>
      <w:bookmarkEnd w:id="8115"/>
      <w:r w:rsidRPr="008B264B">
        <w:rPr>
          <w:rFonts w:ascii="Times New Roman" w:eastAsia="Times New Roman" w:hAnsi="Times New Roman" w:cs="Times New Roman"/>
          <w:color w:val="000000"/>
          <w:sz w:val="24"/>
          <w:szCs w:val="24"/>
          <w:lang/>
        </w:rPr>
        <w:t>255.11.6. За умови експлуатації водних шляхів вантажними самохідними і несамохідними суднами рентна плата за спеціальне використання води для потреб водного транспорту обчислюється виходячи з фактичних даних обліку тоннаж-доби та ставки рентної плати, а пасажирськими суднами - виходячи з місця-доби та ставки рентної плати.</w:t>
      </w:r>
    </w:p>
    <w:p w14:paraId="2527DF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6" w:name="n11635"/>
      <w:bookmarkEnd w:id="8116"/>
      <w:r w:rsidRPr="008B264B">
        <w:rPr>
          <w:rFonts w:ascii="Times New Roman" w:eastAsia="Times New Roman" w:hAnsi="Times New Roman" w:cs="Times New Roman"/>
          <w:color w:val="000000"/>
          <w:sz w:val="24"/>
          <w:szCs w:val="24"/>
          <w:lang/>
        </w:rPr>
        <w:t>255.11.7. Справляння рентної плати за спеціальне використання води для потреб гідроенергетики, водного транспорту і рибництва не звільняє водокористувачів від сплати рентної плати за спеціальне використання води.</w:t>
      </w:r>
    </w:p>
    <w:p w14:paraId="05A493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7" w:name="n11636"/>
      <w:bookmarkEnd w:id="8117"/>
      <w:r w:rsidRPr="008B264B">
        <w:rPr>
          <w:rFonts w:ascii="Times New Roman" w:eastAsia="Times New Roman" w:hAnsi="Times New Roman" w:cs="Times New Roman"/>
          <w:color w:val="000000"/>
          <w:sz w:val="24"/>
          <w:szCs w:val="24"/>
          <w:lang/>
        </w:rPr>
        <w:t>255.11.8. Рентна плата за спеціальне використання води для потреб рибництва обчислюється виходячи з фактичних обсягів води, необхідної для поповнення водних об’єктів під час розведення риби та інших водних живих ресурсів (у тому числі для поповнення, яке пов’язане із втратами води на фільтрацію та випаровування), та ставок рентної плати.</w:t>
      </w:r>
    </w:p>
    <w:p w14:paraId="15CB7F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8" w:name="n11637"/>
      <w:bookmarkEnd w:id="8118"/>
      <w:r w:rsidRPr="008B264B">
        <w:rPr>
          <w:rFonts w:ascii="Times New Roman" w:eastAsia="Times New Roman" w:hAnsi="Times New Roman" w:cs="Times New Roman"/>
          <w:color w:val="000000"/>
          <w:sz w:val="24"/>
          <w:szCs w:val="24"/>
          <w:lang/>
        </w:rPr>
        <w:t>255.11.9. Водокористувачі, які застосовують для потреб охолодження обладнання оборотну систему водопостачання, обчислюють рентну плату виходячи із фактичних обсягів води, використаної на підживлення оборотної системи. За всі інші обсяги фактично використаної води рентна плата обчислюється на загальних підставах.</w:t>
      </w:r>
    </w:p>
    <w:p w14:paraId="3AF793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19" w:name="n11638"/>
      <w:bookmarkEnd w:id="8119"/>
      <w:r w:rsidRPr="008B264B">
        <w:rPr>
          <w:rFonts w:ascii="Times New Roman" w:eastAsia="Times New Roman" w:hAnsi="Times New Roman" w:cs="Times New Roman"/>
          <w:color w:val="000000"/>
          <w:sz w:val="24"/>
          <w:szCs w:val="24"/>
          <w:lang/>
        </w:rPr>
        <w:t>255.11.10. Обсяг фактично використаної води обчислюється водокористувачами самостійно на підставі даних первинного обліку згідно з показаннями вимірювальних приладів.</w:t>
      </w:r>
    </w:p>
    <w:p w14:paraId="46F468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0" w:name="n11639"/>
      <w:bookmarkEnd w:id="8120"/>
      <w:r w:rsidRPr="008B264B">
        <w:rPr>
          <w:rFonts w:ascii="Times New Roman" w:eastAsia="Times New Roman" w:hAnsi="Times New Roman" w:cs="Times New Roman"/>
          <w:color w:val="000000"/>
          <w:sz w:val="24"/>
          <w:szCs w:val="24"/>
          <w:lang/>
        </w:rPr>
        <w:t>За відсутності вимірювальних приладів обсяг фактично використаної води визначається водокористувачем за технологічними даними (тривалість роботи агрегатів, обсяг виробленої продукції чи наданих послуг, витрати електроенергії, пропускна спроможність водопровідних труб за одиницю часу тощо). У разі відсутності вимірювальних приладів, якщо можливість їх встановлення існує, рентна плата сплачується у двократному розмірі.</w:t>
      </w:r>
    </w:p>
    <w:p w14:paraId="294709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1" w:name="n11640"/>
      <w:bookmarkEnd w:id="8121"/>
      <w:r w:rsidRPr="008B264B">
        <w:rPr>
          <w:rFonts w:ascii="Times New Roman" w:eastAsia="Times New Roman" w:hAnsi="Times New Roman" w:cs="Times New Roman"/>
          <w:color w:val="000000"/>
          <w:sz w:val="24"/>
          <w:szCs w:val="24"/>
          <w:lang/>
        </w:rPr>
        <w:t>255.11.11. Обсяг фактично використаної води на державних системах у зрошувальному землеробстві визначають органи водного господарства.</w:t>
      </w:r>
    </w:p>
    <w:p w14:paraId="2545D3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2" w:name="n11641"/>
      <w:bookmarkEnd w:id="8122"/>
      <w:r w:rsidRPr="008B264B">
        <w:rPr>
          <w:rFonts w:ascii="Times New Roman" w:eastAsia="Times New Roman" w:hAnsi="Times New Roman" w:cs="Times New Roman"/>
          <w:color w:val="000000"/>
          <w:sz w:val="24"/>
          <w:szCs w:val="24"/>
          <w:lang/>
        </w:rPr>
        <w:t>255.11.12. Якщо водокористувачі, які повністю утримуються за рахунок коштів державного та місцевих бюджетів, використовують обсяги води для господарської діяльності, направленої на отримання доходу в грошовій, матеріальній або нематеріальній формах, рентна плата обчислюється на загальних підставах з усього обсягу використаної води.</w:t>
      </w:r>
    </w:p>
    <w:p w14:paraId="02DAD2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3" w:name="n15039"/>
      <w:bookmarkEnd w:id="8123"/>
      <w:r w:rsidRPr="008B264B">
        <w:rPr>
          <w:rFonts w:ascii="Times New Roman" w:eastAsia="Times New Roman" w:hAnsi="Times New Roman" w:cs="Times New Roman"/>
          <w:i/>
          <w:iCs/>
          <w:color w:val="000000"/>
          <w:sz w:val="24"/>
          <w:szCs w:val="24"/>
          <w:lang/>
        </w:rPr>
        <w:t>{Підпункт 255.11.12 пункту 255.11 статті 255 із змінами, внесеними згідно із Законом </w:t>
      </w:r>
      <w:hyperlink r:id="rId4535" w:anchor="n13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FC4F5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4" w:name="n11642"/>
      <w:bookmarkEnd w:id="8124"/>
      <w:r w:rsidRPr="008B264B">
        <w:rPr>
          <w:rFonts w:ascii="Times New Roman" w:eastAsia="Times New Roman" w:hAnsi="Times New Roman" w:cs="Times New Roman"/>
          <w:color w:val="000000"/>
          <w:sz w:val="24"/>
          <w:szCs w:val="24"/>
          <w:lang/>
        </w:rPr>
        <w:t>255.11.13. У разі перевищення водокористувачами встановленого річного ліміту використання води рентна плата обчислюється і сплачується у п’ятикратному розмірі виходячи з фактичних обсягів використаної води понад встановлений ліміт використання води, ставок рентної плати та коефіцієнтів.</w:t>
      </w:r>
    </w:p>
    <w:p w14:paraId="620846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5" w:name="n11643"/>
      <w:bookmarkEnd w:id="8125"/>
      <w:r w:rsidRPr="008B264B">
        <w:rPr>
          <w:rFonts w:ascii="Times New Roman" w:eastAsia="Times New Roman" w:hAnsi="Times New Roman" w:cs="Times New Roman"/>
          <w:color w:val="000000"/>
          <w:sz w:val="24"/>
          <w:szCs w:val="24"/>
          <w:lang/>
        </w:rPr>
        <w:t>255.11.14. За понадлімітне використання води рентна плата обчислюється за кожним джерелом водопостачання окремо згідно з установленими ставками рентної плати та коефіцієнтами.</w:t>
      </w:r>
    </w:p>
    <w:p w14:paraId="72957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6" w:name="n11644"/>
      <w:bookmarkEnd w:id="8126"/>
      <w:r w:rsidRPr="008B264B">
        <w:rPr>
          <w:rFonts w:ascii="Times New Roman" w:eastAsia="Times New Roman" w:hAnsi="Times New Roman" w:cs="Times New Roman"/>
          <w:color w:val="000000"/>
          <w:sz w:val="24"/>
          <w:szCs w:val="24"/>
          <w:lang/>
        </w:rPr>
        <w:t>255.11.15. За відсутності у водокористувача дозволу на спеціальне водокористування із встановленими в ньому лімітами використання води рентна плата справляється за весь обсяг використаної води, що підлягає оплаті як за понадлімітне використання.</w:t>
      </w:r>
    </w:p>
    <w:p w14:paraId="6B8BD4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7" w:name="n11645"/>
      <w:bookmarkEnd w:id="8127"/>
      <w:r w:rsidRPr="008B264B">
        <w:rPr>
          <w:rFonts w:ascii="Times New Roman" w:eastAsia="Times New Roman" w:hAnsi="Times New Roman" w:cs="Times New Roman"/>
          <w:color w:val="000000"/>
          <w:sz w:val="24"/>
          <w:szCs w:val="24"/>
          <w:lang/>
        </w:rPr>
        <w:t>255.11.16. Податкова декларація з рентної плати за спеціальне використання води для потреб водного транспорту за перший квартал не подається.</w:t>
      </w:r>
    </w:p>
    <w:p w14:paraId="6E5CA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8" w:name="n11646"/>
      <w:bookmarkEnd w:id="8128"/>
      <w:r w:rsidRPr="008B264B">
        <w:rPr>
          <w:rFonts w:ascii="Times New Roman" w:eastAsia="Times New Roman" w:hAnsi="Times New Roman" w:cs="Times New Roman"/>
          <w:color w:val="000000"/>
          <w:sz w:val="24"/>
          <w:szCs w:val="24"/>
          <w:lang/>
        </w:rPr>
        <w:lastRenderedPageBreak/>
        <w:t>Рентна плата за спеціальне використання води для потреб водного транспорту за перший квартал не сплачується.</w:t>
      </w:r>
    </w:p>
    <w:p w14:paraId="73817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29" w:name="n11647"/>
      <w:bookmarkEnd w:id="8129"/>
      <w:r w:rsidRPr="008B264B">
        <w:rPr>
          <w:rFonts w:ascii="Times New Roman" w:eastAsia="Times New Roman" w:hAnsi="Times New Roman" w:cs="Times New Roman"/>
          <w:color w:val="000000"/>
          <w:sz w:val="24"/>
          <w:szCs w:val="24"/>
          <w:lang/>
        </w:rPr>
        <w:t>255.11.17. Філії, відділення, інші відокремлені підрозділи водокористувача, які мають банківські рахунки, ведуть окремий бухгалтерський облік своєї діяльності, складають окремий баланс, подають податкові декларації та сплачують рентну плату за своїм місцем податкової реєстрації.</w:t>
      </w:r>
    </w:p>
    <w:p w14:paraId="495E9A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0" w:name="n11648"/>
      <w:bookmarkEnd w:id="8130"/>
      <w:r w:rsidRPr="008B264B">
        <w:rPr>
          <w:rFonts w:ascii="Times New Roman" w:eastAsia="Times New Roman" w:hAnsi="Times New Roman" w:cs="Times New Roman"/>
          <w:color w:val="000000"/>
          <w:sz w:val="24"/>
          <w:szCs w:val="24"/>
          <w:lang/>
        </w:rPr>
        <w:t>255.11.18. Якщо до складу водокористувача входять структурні підрозділи, які не мають банківських рахунків, не ведуть окремого бухгалтерського обліку своєї діяльності, не складають окремого балансу, податкові декларації подаються і рентна плата вноситься водокористувачем, до складу якого входять такі структурні підрозділи, за місцезнаходженням водних об’єктів та за ставками рентної плати, встановленими для цих водних об’єктів.</w:t>
      </w:r>
    </w:p>
    <w:p w14:paraId="4D6777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1" w:name="n11649"/>
      <w:bookmarkEnd w:id="8131"/>
      <w:r w:rsidRPr="008B264B">
        <w:rPr>
          <w:rFonts w:ascii="Times New Roman" w:eastAsia="Times New Roman" w:hAnsi="Times New Roman" w:cs="Times New Roman"/>
          <w:color w:val="000000"/>
          <w:sz w:val="24"/>
          <w:szCs w:val="24"/>
          <w:lang/>
        </w:rPr>
        <w:t>255.11.19. Платники рентної плати подають одночасно з податковими деклараціями контролюючим органам копії дозволу на спеціальне водокористування, договору на поставку води та статистичної звітності про використання води.</w:t>
      </w:r>
    </w:p>
    <w:p w14:paraId="156564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2" w:name="n11650"/>
      <w:bookmarkEnd w:id="8132"/>
      <w:r w:rsidRPr="008B264B">
        <w:rPr>
          <w:rFonts w:ascii="Times New Roman" w:eastAsia="Times New Roman" w:hAnsi="Times New Roman" w:cs="Times New Roman"/>
          <w:color w:val="000000"/>
          <w:sz w:val="24"/>
          <w:szCs w:val="24"/>
          <w:lang/>
        </w:rPr>
        <w:t>255.11.20. У межах встановленого в дозволі на спеціальне водокористування ліміту використання води рентна плата включається до складу витрат, а за понадлімітне використання справляється з прибутку, що залишається у розпорядженні водокористувача після оподаткування.</w:t>
      </w:r>
    </w:p>
    <w:p w14:paraId="6DDCF7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3" w:name="n11651"/>
      <w:bookmarkEnd w:id="8133"/>
      <w:r w:rsidRPr="008B264B">
        <w:rPr>
          <w:rFonts w:ascii="Times New Roman" w:eastAsia="Times New Roman" w:hAnsi="Times New Roman" w:cs="Times New Roman"/>
          <w:color w:val="000000"/>
          <w:sz w:val="24"/>
          <w:szCs w:val="24"/>
          <w:lang/>
        </w:rPr>
        <w:t>Рентна плата за спеціальне використання води для потреб гідроенергетики і водного транспорту повністю включається до складу витрат.</w:t>
      </w:r>
    </w:p>
    <w:p w14:paraId="50FF18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4" w:name="n11652"/>
      <w:bookmarkEnd w:id="8134"/>
      <w:r w:rsidRPr="008B264B">
        <w:rPr>
          <w:rFonts w:ascii="Times New Roman" w:eastAsia="Times New Roman" w:hAnsi="Times New Roman" w:cs="Times New Roman"/>
          <w:color w:val="000000"/>
          <w:sz w:val="24"/>
          <w:szCs w:val="24"/>
          <w:lang/>
        </w:rPr>
        <w:t>255.12. Порядок подання декларації, строки сплати, відповідальність платників рентної плати та контроль за її справлянням визначено статтями 257 і 258 цього Кодексу.</w:t>
      </w:r>
    </w:p>
    <w:p w14:paraId="6557D6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5" w:name="n11653"/>
      <w:bookmarkEnd w:id="8135"/>
      <w:r w:rsidRPr="008B264B">
        <w:rPr>
          <w:rFonts w:ascii="Times New Roman" w:eastAsia="Times New Roman" w:hAnsi="Times New Roman" w:cs="Times New Roman"/>
          <w:b/>
          <w:bCs/>
          <w:color w:val="000000"/>
          <w:sz w:val="24"/>
          <w:szCs w:val="24"/>
          <w:lang/>
        </w:rPr>
        <w:t>Стаття 256. </w:t>
      </w:r>
      <w:r w:rsidRPr="008B264B">
        <w:rPr>
          <w:rFonts w:ascii="Times New Roman" w:eastAsia="Times New Roman" w:hAnsi="Times New Roman" w:cs="Times New Roman"/>
          <w:color w:val="000000"/>
          <w:sz w:val="24"/>
          <w:szCs w:val="24"/>
          <w:lang/>
        </w:rPr>
        <w:t>Рентна плата за спеціальне використання лісових ресурсів</w:t>
      </w:r>
    </w:p>
    <w:p w14:paraId="75DFD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6" w:name="n11654"/>
      <w:bookmarkEnd w:id="8136"/>
      <w:r w:rsidRPr="008B264B">
        <w:rPr>
          <w:rFonts w:ascii="Times New Roman" w:eastAsia="Times New Roman" w:hAnsi="Times New Roman" w:cs="Times New Roman"/>
          <w:color w:val="000000"/>
          <w:sz w:val="24"/>
          <w:szCs w:val="24"/>
          <w:lang/>
        </w:rPr>
        <w:t>256.1. Платниками рентної плати за спеціальне використання лісових ресурсів є лісокористувачі - юридичні особи, їх філії, відділення, інші відокремлені підрозділи, що не мають статусу юридичної особи, постійні представництва нерезидентів, які отримують доходи з джерел їх походження з України або виконують агентські (представницькі) функції стосовно таких нерезидентів або їх засновників, фізичні особи (крім фізичних осіб, які мають право безоплатно без видачі спеціального дозволу використовувати лісові ресурси відповідно до лісового законодавства), а також фізичні особи - підприємці, які здійснюють спеціальне використання лісових ресурсів на підставі спеціального дозволу (лісорубного квитка або лісового квитка) або відповідно до умов договору довгострокового тимчасового користування лісами.</w:t>
      </w:r>
    </w:p>
    <w:p w14:paraId="27F7F9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7" w:name="n11655"/>
      <w:bookmarkEnd w:id="8137"/>
      <w:r w:rsidRPr="008B264B">
        <w:rPr>
          <w:rFonts w:ascii="Times New Roman" w:eastAsia="Times New Roman" w:hAnsi="Times New Roman" w:cs="Times New Roman"/>
          <w:color w:val="000000"/>
          <w:sz w:val="24"/>
          <w:szCs w:val="24"/>
          <w:lang/>
        </w:rPr>
        <w:t>256.2. Об’єктом оподаткування рентною платою за спеціальне використання лісових ресурсів є:</w:t>
      </w:r>
    </w:p>
    <w:p w14:paraId="6F261F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8" w:name="n11656"/>
      <w:bookmarkEnd w:id="8138"/>
      <w:r w:rsidRPr="008B264B">
        <w:rPr>
          <w:rFonts w:ascii="Times New Roman" w:eastAsia="Times New Roman" w:hAnsi="Times New Roman" w:cs="Times New Roman"/>
          <w:color w:val="000000"/>
          <w:sz w:val="24"/>
          <w:szCs w:val="24"/>
          <w:lang/>
        </w:rPr>
        <w:t>256.2.1. деревина, заготовлена в порядку рубок головного користування;</w:t>
      </w:r>
    </w:p>
    <w:p w14:paraId="249747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39" w:name="n11657"/>
      <w:bookmarkEnd w:id="8139"/>
      <w:r w:rsidRPr="008B264B">
        <w:rPr>
          <w:rFonts w:ascii="Times New Roman" w:eastAsia="Times New Roman" w:hAnsi="Times New Roman" w:cs="Times New Roman"/>
          <w:color w:val="000000"/>
          <w:sz w:val="24"/>
          <w:szCs w:val="24"/>
          <w:lang/>
        </w:rPr>
        <w:t>256.2.2. деревина, заготовлена під час проведення заходів:</w:t>
      </w:r>
    </w:p>
    <w:p w14:paraId="5A9899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0" w:name="n11658"/>
      <w:bookmarkEnd w:id="8140"/>
      <w:r w:rsidRPr="008B264B">
        <w:rPr>
          <w:rFonts w:ascii="Times New Roman" w:eastAsia="Times New Roman" w:hAnsi="Times New Roman" w:cs="Times New Roman"/>
          <w:color w:val="000000"/>
          <w:sz w:val="24"/>
          <w:szCs w:val="24"/>
          <w:lang/>
        </w:rPr>
        <w:t>щодо поліпшення якісного складу лісів, їх оздоровлення, посилення захисних властивостей (у деревостанах віком понад 40 років - рубки догляду за лісом, вибіркові санітарні рубки, вибіркові лісовідновні рубки, рубки, пов’язані з реконструкцією, ландшафтні рубки і рубки переформування; незалежно від віку деревостанів - суцільні санітарні та суцільні лісовідновні рубки);</w:t>
      </w:r>
    </w:p>
    <w:p w14:paraId="2B4FC0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1" w:name="n11659"/>
      <w:bookmarkEnd w:id="8141"/>
      <w:r w:rsidRPr="008B264B">
        <w:rPr>
          <w:rFonts w:ascii="Times New Roman" w:eastAsia="Times New Roman" w:hAnsi="Times New Roman" w:cs="Times New Roman"/>
          <w:color w:val="000000"/>
          <w:sz w:val="24"/>
          <w:szCs w:val="24"/>
          <w:lang/>
        </w:rPr>
        <w:t>з розчищення лісових ділянок, вкритих лісовою рослинністю, у зв’язку з будівництвом гідровузлів, трубопроводів, шляхів тощо;</w:t>
      </w:r>
    </w:p>
    <w:p w14:paraId="2DA384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2" w:name="n11660"/>
      <w:bookmarkEnd w:id="8142"/>
      <w:r w:rsidRPr="008B264B">
        <w:rPr>
          <w:rFonts w:ascii="Times New Roman" w:eastAsia="Times New Roman" w:hAnsi="Times New Roman" w:cs="Times New Roman"/>
          <w:color w:val="000000"/>
          <w:sz w:val="24"/>
          <w:szCs w:val="24"/>
          <w:lang/>
        </w:rPr>
        <w:t>256.2.3. другорядні лісові матеріали (заготівля живиці, пнів, лубу та кори, деревної зелені, деревних соків та інших другорядних лісових матеріалів, передбачених нормативно-правовими актами з ведення лісового господарства);</w:t>
      </w:r>
    </w:p>
    <w:p w14:paraId="75213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3" w:name="n11661"/>
      <w:bookmarkEnd w:id="8143"/>
      <w:r w:rsidRPr="008B264B">
        <w:rPr>
          <w:rFonts w:ascii="Times New Roman" w:eastAsia="Times New Roman" w:hAnsi="Times New Roman" w:cs="Times New Roman"/>
          <w:color w:val="000000"/>
          <w:sz w:val="24"/>
          <w:szCs w:val="24"/>
          <w:lang/>
        </w:rPr>
        <w:lastRenderedPageBreak/>
        <w:t>256.2.4. побічні лісові користування (заготівля сіна, випасання худоби, заготівля дикорослих плодів, горіхів, грибів, ягід, лікарських рослин, збирання лісової підстилки, заготівля очерету та інших побічних лісових користувань, передбачених нормативно-правовими актами з ведення лісового господарства);</w:t>
      </w:r>
    </w:p>
    <w:p w14:paraId="170265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4" w:name="n11662"/>
      <w:bookmarkEnd w:id="8144"/>
      <w:r w:rsidRPr="008B264B">
        <w:rPr>
          <w:rFonts w:ascii="Times New Roman" w:eastAsia="Times New Roman" w:hAnsi="Times New Roman" w:cs="Times New Roman"/>
          <w:color w:val="000000"/>
          <w:sz w:val="24"/>
          <w:szCs w:val="24"/>
          <w:lang/>
        </w:rPr>
        <w:t>256.2.5. використання корисних властивостей лісів для культурно-оздоровчих, рекреаційних, спортивних, туристичних і освітньо-виховних цілей та проведення науково-дослідних робіт.</w:t>
      </w:r>
    </w:p>
    <w:p w14:paraId="520D0A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5" w:name="n11663"/>
      <w:bookmarkEnd w:id="8145"/>
      <w:r w:rsidRPr="008B264B">
        <w:rPr>
          <w:rFonts w:ascii="Times New Roman" w:eastAsia="Times New Roman" w:hAnsi="Times New Roman" w:cs="Times New Roman"/>
          <w:color w:val="000000"/>
          <w:sz w:val="24"/>
          <w:szCs w:val="24"/>
          <w:lang/>
        </w:rPr>
        <w:t>256.3. Ставки рентної плати за спеціальне використання лісових ресурсів встановлюються у таких розмірах:</w:t>
      </w:r>
    </w:p>
    <w:p w14:paraId="595666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6" w:name="n11664"/>
      <w:bookmarkEnd w:id="8146"/>
      <w:r w:rsidRPr="008B264B">
        <w:rPr>
          <w:rFonts w:ascii="Times New Roman" w:eastAsia="Times New Roman" w:hAnsi="Times New Roman" w:cs="Times New Roman"/>
          <w:color w:val="000000"/>
          <w:sz w:val="24"/>
          <w:szCs w:val="24"/>
          <w:lang/>
        </w:rPr>
        <w:t>256.3.1. за заготівлю деревини основних лісових порід:</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101"/>
        <w:gridCol w:w="1400"/>
        <w:gridCol w:w="1400"/>
        <w:gridCol w:w="1601"/>
        <w:gridCol w:w="1502"/>
        <w:gridCol w:w="1902"/>
      </w:tblGrid>
      <w:tr w:rsidR="008B264B" w:rsidRPr="008B264B" w14:paraId="09935AE2" w14:textId="77777777" w:rsidTr="008B264B">
        <w:tc>
          <w:tcPr>
            <w:tcW w:w="1050" w:type="pct"/>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62ABA5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147" w:name="n15373"/>
            <w:bookmarkEnd w:id="8147"/>
            <w:r w:rsidRPr="008B264B">
              <w:rPr>
                <w:rFonts w:ascii="Times New Roman" w:eastAsia="Times New Roman" w:hAnsi="Times New Roman" w:cs="Times New Roman"/>
                <w:sz w:val="24"/>
                <w:szCs w:val="24"/>
                <w:lang/>
              </w:rPr>
              <w:t>Найменування лісової породи</w:t>
            </w:r>
          </w:p>
        </w:tc>
        <w:tc>
          <w:tcPr>
            <w:tcW w:w="700" w:type="pct"/>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6E073A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Розряд</w:t>
            </w:r>
          </w:p>
        </w:tc>
        <w:tc>
          <w:tcPr>
            <w:tcW w:w="3100" w:type="pct"/>
            <w:gridSpan w:val="4"/>
            <w:tcBorders>
              <w:top w:val="single" w:sz="6" w:space="0" w:color="000000"/>
              <w:left w:val="single" w:sz="6" w:space="0" w:color="000000"/>
              <w:bottom w:val="single" w:sz="6" w:space="0" w:color="000000"/>
              <w:right w:val="single" w:sz="6" w:space="0" w:color="000000"/>
            </w:tcBorders>
            <w:shd w:val="clear" w:color="auto" w:fill="auto"/>
            <w:hideMark/>
          </w:tcPr>
          <w:p w14:paraId="264D96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за 1 щільний куб. метр деревини, гривень</w:t>
            </w:r>
          </w:p>
        </w:tc>
      </w:tr>
      <w:tr w:rsidR="008B264B" w:rsidRPr="008B264B" w14:paraId="5E500BB3"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7512544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B38599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2250" w:type="pct"/>
            <w:gridSpan w:val="3"/>
            <w:tcBorders>
              <w:top w:val="single" w:sz="6" w:space="0" w:color="000000"/>
              <w:left w:val="single" w:sz="6" w:space="0" w:color="000000"/>
              <w:bottom w:val="single" w:sz="6" w:space="0" w:color="000000"/>
              <w:right w:val="single" w:sz="6" w:space="0" w:color="000000"/>
            </w:tcBorders>
            <w:shd w:val="clear" w:color="auto" w:fill="auto"/>
            <w:hideMark/>
          </w:tcPr>
          <w:p w14:paraId="1BD21D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ділової (без кори)</w:t>
            </w:r>
          </w:p>
        </w:tc>
        <w:tc>
          <w:tcPr>
            <w:tcW w:w="800" w:type="pct"/>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66CCEA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дров’яної (з корою)</w:t>
            </w:r>
          </w:p>
        </w:tc>
      </w:tr>
      <w:tr w:rsidR="008B264B" w:rsidRPr="008B264B" w14:paraId="1FAEB5F8"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3FDDCD5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3B1C1B8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05849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великої</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60111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середньої</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20BFE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дрібної</w:t>
            </w:r>
          </w:p>
        </w:tc>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3DECB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r>
      <w:tr w:rsidR="008B264B" w:rsidRPr="008B264B" w14:paraId="4DDA6AAC"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0C87B93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Перший пояс лісів</w:t>
            </w:r>
          </w:p>
        </w:tc>
      </w:tr>
      <w:tr w:rsidR="008B264B" w:rsidRPr="008B264B" w14:paraId="292AECA3"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4F3B189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Сосна</w:t>
            </w:r>
          </w:p>
        </w:tc>
      </w:tr>
      <w:tr w:rsidR="008B264B" w:rsidRPr="008B264B" w14:paraId="2DAE336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EC50141"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6CE04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89D5B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463,80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7D175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296,63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99F12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114,06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68A2B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2ADC876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EF7AFB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F1C04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0D240A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329,61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D0719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211,88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46B98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82,38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ED6A09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4BFEDFF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94467B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04C4E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A6029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266,03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62EB24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171,35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87AE6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66,08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DD6FE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6E76BF7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BE2784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A2CC6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2D0E1B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200,06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6F94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127,16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D9552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48,90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48146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5,42</w:t>
            </w:r>
          </w:p>
        </w:tc>
      </w:tr>
      <w:tr w:rsidR="008B264B" w:rsidRPr="008B264B" w14:paraId="7FF6E15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C9D626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CD5A9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DAD6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131,82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55804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84,69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CA4D4D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A851E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3,65</w:t>
            </w:r>
          </w:p>
        </w:tc>
      </w:tr>
      <w:tr w:rsidR="008B264B" w:rsidRPr="008B264B" w14:paraId="06ACDC47"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3D3072B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Модрина</w:t>
            </w:r>
          </w:p>
        </w:tc>
      </w:tr>
      <w:tr w:rsidR="008B264B" w:rsidRPr="008B264B" w14:paraId="034F55C1" w14:textId="77777777" w:rsidTr="008B264B">
        <w:trPr>
          <w:trHeight w:val="555"/>
        </w:trPr>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08B397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827F0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F491F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208,35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34569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176,55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8E8C7B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541AB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15,32</w:t>
            </w:r>
          </w:p>
        </w:tc>
      </w:tr>
      <w:tr w:rsidR="008B264B" w:rsidRPr="008B264B" w14:paraId="216A763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599802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CD5B3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D4C9A1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150,08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EC04D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127,16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26EFB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48,90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6AA61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5F696ED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C46D1B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3E8EF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A349D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118,40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F989BD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102,35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C9EA92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38,93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DCBD2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2301DC4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ACD82B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91CC6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FF9024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88,29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ED96A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75,99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5E35B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28,98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E2E58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5FB8597A"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96B80F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C3FEF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C3C0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60,00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FBF16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51,23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0C289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1737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3CECB10D"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3E4D77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Ялина, ялиця</w:t>
            </w:r>
          </w:p>
        </w:tc>
      </w:tr>
      <w:tr w:rsidR="008B264B" w:rsidRPr="008B264B" w14:paraId="3F04C446"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F5108A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2C4D8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4A773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411,21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70C6D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350,63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2D4FB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134,46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FCF4E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15,56</w:t>
            </w:r>
          </w:p>
        </w:tc>
      </w:tr>
      <w:tr w:rsidR="008B264B" w:rsidRPr="008B264B" w14:paraId="51558935"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4EA777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1F6C9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3ABA3E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305,22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ABC26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259,88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F1AAB9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100,88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D3690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10,29</w:t>
            </w:r>
          </w:p>
        </w:tc>
      </w:tr>
      <w:tr w:rsidR="008B264B" w:rsidRPr="008B264B" w14:paraId="17025D4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97D915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13E98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9616F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244,79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A0D1F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209,43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47EE79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80,16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3866C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9,06</w:t>
            </w:r>
          </w:p>
        </w:tc>
      </w:tr>
      <w:tr w:rsidR="008B264B" w:rsidRPr="008B264B" w14:paraId="7000383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0C1C2F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4604FF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DE8D4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184,20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833ED2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156,44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B1DD83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59,51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2FBC6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6,50</w:t>
            </w:r>
          </w:p>
        </w:tc>
      </w:tr>
      <w:tr w:rsidR="008B264B" w:rsidRPr="008B264B" w14:paraId="2FE6385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378E65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028EA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CB05D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123,65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4FB96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103,44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2CE550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40,16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0A11D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5,19</w:t>
            </w:r>
          </w:p>
        </w:tc>
      </w:tr>
      <w:tr w:rsidR="008B264B" w:rsidRPr="008B264B" w14:paraId="0FE2187B"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2E0BA5B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Дуб (крім дуба коркового)</w:t>
            </w:r>
          </w:p>
        </w:tc>
      </w:tr>
      <w:tr w:rsidR="008B264B" w:rsidRPr="008B264B" w14:paraId="16BE85C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FD1F1D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4377FB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02AD1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1216,88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5BA46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584,75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62495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194,70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48A3F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773C180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61FB34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92DB8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A10F2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872,87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73E5A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419,66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E16CF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139,41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C229F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4B63BB12"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773874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618D5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1BFB5E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699,03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2B1039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334,04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E411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112,28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789C5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1E9FD07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C0C8B0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83ECE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C937C2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525,11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10FE6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252,65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A18E4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84,23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7F009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1CECB278"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40D348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9A419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77109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344,06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6863A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167,03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674D5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56,12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B2607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60F1D9C"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3F87568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Ясен, клен (крім явора)</w:t>
            </w:r>
          </w:p>
        </w:tc>
      </w:tr>
      <w:tr w:rsidR="008B264B" w:rsidRPr="008B264B" w14:paraId="7E3C739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CEFB5B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31B62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C8DA9D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456,35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1B9BF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389,79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E01D5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194,70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77212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53633CA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02C5A4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09117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92C9C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327,27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F72BB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279,78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F8B75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139,41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42DFD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0091AE4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11A464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807F9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4F3C6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262,11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702D59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222,75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2C7EF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112,28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B3CA4F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75E6164A"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FD716F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9988D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C8A53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196,88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1AAC1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168,44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ED720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84,23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E044C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7525F90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6F1FBF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C5CC9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EBDC7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129,05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1A5E1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111,41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3B98B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56,12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01AF4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29E001B4"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4CCE856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Бук</w:t>
            </w:r>
          </w:p>
        </w:tc>
      </w:tr>
      <w:tr w:rsidR="008B264B" w:rsidRPr="008B264B" w14:paraId="534BEB6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1AE2EF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24C3B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18BF2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877,29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0D1F1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564,32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1231E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188,36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B597E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17,18</w:t>
            </w:r>
          </w:p>
        </w:tc>
      </w:tr>
      <w:tr w:rsidR="008B264B" w:rsidRPr="008B264B" w14:paraId="35B270D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291DB8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0A09E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CFF55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624,77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A7C2A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401,42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887D6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134,04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E3C2D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61CAC0CE"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9A0AEA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458BA0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AE62A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502,47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AF8C5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321,92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4CBA1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107,76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30FD7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9,98</w:t>
            </w:r>
          </w:p>
        </w:tc>
      </w:tr>
      <w:tr w:rsidR="008B264B" w:rsidRPr="008B264B" w14:paraId="187CAAAA"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A539C57"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4A198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675E9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377,54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491DF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240,35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37E2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80,58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9FC20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4DA631EE"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1ABFE0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E3BE8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B662B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252,65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99D96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160,95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DABF6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53,46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922F88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6B919F42"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7BD6694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Береза, вільха чорна, граб звичайний, в’яз, липа</w:t>
            </w:r>
          </w:p>
        </w:tc>
      </w:tr>
      <w:tr w:rsidR="008B264B" w:rsidRPr="008B264B" w14:paraId="747980C6"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C97987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EC1FA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2BF934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67,91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A8271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58,43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95478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43,46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8ADF4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15,32</w:t>
            </w:r>
          </w:p>
        </w:tc>
      </w:tr>
      <w:tr w:rsidR="008B264B" w:rsidRPr="008B264B" w14:paraId="7656495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44E202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433FA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928FF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47,49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4CBD1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40,77</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A37036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31,29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B8988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6BB569E0"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74810E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2BE46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89877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38,03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C3ED2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33,98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12D22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BA3F3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4B63DFEA"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9ABB6B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B8DDD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C6DDE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28,49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E0676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907E8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F6E09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5BD91D2"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191ED8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652F0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6CED9B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88228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4466E6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D0577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717DDAB4"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148FF3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Осика, вільха сіра, тополя</w:t>
            </w:r>
          </w:p>
        </w:tc>
      </w:tr>
      <w:tr w:rsidR="008B264B" w:rsidRPr="008B264B" w14:paraId="5DE4735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43C1DB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14D6F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2CD392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39,32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617B3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33,98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65B0A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DBF45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10,89</w:t>
            </w:r>
          </w:p>
        </w:tc>
      </w:tr>
      <w:tr w:rsidR="008B264B" w:rsidRPr="008B264B" w14:paraId="4DEA5665"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029329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78578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659B9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28,49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B275B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FEA45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17,66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9744E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700AAEF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201518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7A1BD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2EAE61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23,13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889CE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9C416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28D41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3EB5A57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4E651F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2E2E7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5E9BE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17,66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34D8B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0EF35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3DEA0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771861E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998B34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2233C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CE36E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C136B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004C5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147D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1,79</w:t>
            </w:r>
          </w:p>
        </w:tc>
      </w:tr>
      <w:tr w:rsidR="008B264B" w:rsidRPr="008B264B" w14:paraId="0258D6C2"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7D7165B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Другий пояс лісів</w:t>
            </w:r>
          </w:p>
        </w:tc>
      </w:tr>
      <w:tr w:rsidR="008B264B" w:rsidRPr="008B264B" w14:paraId="46E39C16"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253394E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Сосна</w:t>
            </w:r>
          </w:p>
        </w:tc>
      </w:tr>
      <w:tr w:rsidR="008B264B" w:rsidRPr="008B264B" w14:paraId="527FEE9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4E7DDB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E32B57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A6952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395,46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5978D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252,54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209144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96,89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15B31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9,98</w:t>
            </w:r>
          </w:p>
        </w:tc>
      </w:tr>
      <w:tr w:rsidR="008B264B" w:rsidRPr="008B264B" w14:paraId="48895CD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0F185A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CA12D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E5141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280,11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E41D2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180,14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E28E7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69,71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24913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1C76D6C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8BB74E1"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A7FC5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2BE85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223,61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210D5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144,75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AD0E1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56,12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A7603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50C73A2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619E091"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9C8D97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94B8C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169,46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52AA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107,76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852E8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41,64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FBBC02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68DFC9C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61008C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02C61E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1B49E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113,04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9346E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72,41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B7D43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28,10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F9597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2,72</w:t>
            </w:r>
          </w:p>
        </w:tc>
      </w:tr>
      <w:tr w:rsidR="008B264B" w:rsidRPr="008B264B" w14:paraId="7BB4DB90"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6C4DB20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Модрина</w:t>
            </w:r>
          </w:p>
        </w:tc>
      </w:tr>
      <w:tr w:rsidR="008B264B" w:rsidRPr="008B264B" w14:paraId="0DCC5EE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45815B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24668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223A7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178,40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CDDD1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153,65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4C4ED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58,82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1E29D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4E395285"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46245F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9232AC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52E40C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128,94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A7917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109,52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28921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41,64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1CCF0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9,98</w:t>
            </w:r>
          </w:p>
        </w:tc>
      </w:tr>
      <w:tr w:rsidR="008B264B" w:rsidRPr="008B264B" w14:paraId="44A8BF5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81F8AF7"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D22E69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EF620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102,35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35442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86,54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297F5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33,47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AC28D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2AFF070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8C0AA1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24942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F9BC4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75,99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5D0D4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65,39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77AEC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25,31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1D672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5305FBC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4BD683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154DE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FD7762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51,23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7DCC9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44,21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C35AA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17,18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1E7C1E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3,65</w:t>
            </w:r>
          </w:p>
        </w:tc>
      </w:tr>
      <w:tr w:rsidR="008B264B" w:rsidRPr="008B264B" w14:paraId="0AE7EE77"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2797F03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Ялина, ялиця</w:t>
            </w:r>
          </w:p>
        </w:tc>
      </w:tr>
      <w:tr w:rsidR="008B264B" w:rsidRPr="008B264B" w14:paraId="47E1FBF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EB3F55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8D7E7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DDC75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363,17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D9D53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310,34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79F543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119,00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66F53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12,84</w:t>
            </w:r>
          </w:p>
        </w:tc>
      </w:tr>
      <w:tr w:rsidR="008B264B" w:rsidRPr="008B264B" w14:paraId="26C87FD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38CC0C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9CC37B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A8100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259,88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1FF02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221,90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F009A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85,34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5303E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9,06</w:t>
            </w:r>
          </w:p>
        </w:tc>
      </w:tr>
      <w:tr w:rsidR="008B264B" w:rsidRPr="008B264B" w14:paraId="075FC6F9"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4DE1BA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7D78B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30B5E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206,81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62DD48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176,55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73EA14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68,55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8BEB62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7,74</w:t>
            </w:r>
          </w:p>
        </w:tc>
      </w:tr>
      <w:tr w:rsidR="008B264B" w:rsidRPr="008B264B" w14:paraId="6CF6650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061042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4E8B01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DB777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156,44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81DC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133,77</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B0551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51,69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61A60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6,50</w:t>
            </w:r>
          </w:p>
        </w:tc>
      </w:tr>
      <w:tr w:rsidR="008B264B" w:rsidRPr="008B264B" w14:paraId="115DD6E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38F722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11BE2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5D573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103,28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8B9FA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88,35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1D0F1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33,59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7BEE4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3,87</w:t>
            </w:r>
          </w:p>
        </w:tc>
      </w:tr>
      <w:tr w:rsidR="008B264B" w:rsidRPr="008B264B" w14:paraId="7F969DDB"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5809809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Дуб (крім дуба коркового)</w:t>
            </w:r>
          </w:p>
        </w:tc>
      </w:tr>
      <w:tr w:rsidR="008B264B" w:rsidRPr="008B264B" w14:paraId="43380330"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032D09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8784E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A5BE5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1035,77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288A7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499,13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F9742E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166,53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8EEFB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6EAE7F3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6DF2F0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1B79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81033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742,44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082A17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356,57</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E78E0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118,61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E4B02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228AD425"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7535B9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3EC83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37B87F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590,37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51C5A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285,26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BC176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94,11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7EAB7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615330A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2F94E3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13B0F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1CF0B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441,83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F0770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211,88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B7F86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71,61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64F0A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2EDF72D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F7F956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C932C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51142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296,94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23ECD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142,55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E5B06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47,99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51B99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29758C7A"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4D46A00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Ясен, клен (крім явора)</w:t>
            </w:r>
          </w:p>
        </w:tc>
      </w:tr>
      <w:tr w:rsidR="008B264B" w:rsidRPr="008B264B" w14:paraId="02F7068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D9AE1B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9D0ED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F3C319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388,44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3482D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332,75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3009C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166,53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9920C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464C1395"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9C3494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3DF24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2968E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278,43</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4E2B8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237,65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8C901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118,61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25948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46599AFF"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F980CC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72FED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4C505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221,36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5741E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2B7EB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94,11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4DF52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10C1197D"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69C100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C201C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6F56E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165,72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0AE2C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141,23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4F019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71,61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A2176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500C16E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AFB8D67"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F6C7C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FF939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111,41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714F0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95,10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96627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47,99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F17D3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5124F5C0"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7AD8258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Бук</w:t>
            </w:r>
          </w:p>
        </w:tc>
      </w:tr>
      <w:tr w:rsidR="008B264B" w:rsidRPr="008B264B" w14:paraId="2FF7B56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1F49FB1"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09F14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1D227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746,96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64B943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478,76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C80F2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159,35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9E0CBD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3B666420"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CF78EF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034129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8BAE1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532,37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458D5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340,28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F1627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114,06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FE8A74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9,98</w:t>
            </w:r>
          </w:p>
        </w:tc>
      </w:tr>
      <w:tr w:rsidR="008B264B" w:rsidRPr="008B264B" w14:paraId="5179D5A3"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21BF9D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64C7B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F2157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426,50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D30A3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273,02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E0E0EB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91,47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C569A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59DCFEB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A05BDE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9544C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21A9DF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320,46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229EF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203,69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DC5CBE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82B22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048D7954"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E24861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2A39623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678EE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214,59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85C08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136,53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DBA08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45,35</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4D543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00708A26"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42743DB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Береза, вільха чорна, граб звичайний, в’яз, липа</w:t>
            </w:r>
          </w:p>
        </w:tc>
      </w:tr>
      <w:tr w:rsidR="008B264B" w:rsidRPr="008B264B" w14:paraId="5BD1D5CC"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870802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EF1931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4A5AC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55,62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2D3E8B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47,49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692E9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36,68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D13CD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13,59</w:t>
            </w:r>
          </w:p>
        </w:tc>
      </w:tr>
      <w:tr w:rsidR="008B264B" w:rsidRPr="008B264B" w14:paraId="04CC4CD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1C03D51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A13A9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F67F4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40,77</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2253A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35,27</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94019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25,79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B17A2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9,98</w:t>
            </w:r>
          </w:p>
        </w:tc>
      </w:tr>
      <w:tr w:rsidR="008B264B" w:rsidRPr="008B264B" w14:paraId="076D6E56"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CAB9B1C"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E6A48F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E7D92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27A899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27,20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01FCD9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21,72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C3C11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463E97A7"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C2E8D5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0F03F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BC030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7103CE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21,72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4FCD3B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6253DC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ECF5398"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6A4CBF4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D51F56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C416E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5381F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13,59</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514C2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873D5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3,65</w:t>
            </w:r>
          </w:p>
        </w:tc>
      </w:tr>
      <w:tr w:rsidR="008B264B" w:rsidRPr="008B264B" w14:paraId="20A7C598" w14:textId="77777777" w:rsidTr="008B264B">
        <w:tc>
          <w:tcPr>
            <w:tcW w:w="4950" w:type="pct"/>
            <w:gridSpan w:val="6"/>
            <w:tcBorders>
              <w:top w:val="single" w:sz="6" w:space="0" w:color="000000"/>
              <w:left w:val="single" w:sz="6" w:space="0" w:color="000000"/>
              <w:bottom w:val="single" w:sz="6" w:space="0" w:color="000000"/>
              <w:right w:val="single" w:sz="6" w:space="0" w:color="000000"/>
            </w:tcBorders>
            <w:shd w:val="clear" w:color="auto" w:fill="auto"/>
            <w:hideMark/>
          </w:tcPr>
          <w:p w14:paraId="02C6D36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Осика, вільха сіра, тополя</w:t>
            </w:r>
          </w:p>
        </w:tc>
      </w:tr>
      <w:tr w:rsidR="008B264B" w:rsidRPr="008B264B" w14:paraId="7580059B"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5F54292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ABB41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CCD2C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33,98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642A2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29,84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55547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21,72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39C7D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660A2E2E"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4B63F73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50F75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D1435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24,50</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B4FE6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21,72</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633F6C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1337FDA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E128D7A"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2F9A7DF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54E0469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B0146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3B0623E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17,66</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59C31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13,59</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41C55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5,42</w:t>
            </w:r>
          </w:p>
        </w:tc>
      </w:tr>
      <w:tr w:rsidR="008B264B" w:rsidRPr="008B264B" w14:paraId="602B8191"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38CA5C4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464323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8BA996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15,02</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499CBE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12,20</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D42D8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88061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2A6D7122"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0016709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77EB28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3712A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9,48</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7784DE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9,48</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F5707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08C28B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2,72;</w:t>
            </w:r>
          </w:p>
        </w:tc>
      </w:tr>
    </w:tbl>
    <w:p w14:paraId="4399E6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48" w:name="n11666"/>
      <w:bookmarkEnd w:id="8148"/>
      <w:r w:rsidRPr="008B264B">
        <w:rPr>
          <w:rFonts w:ascii="Times New Roman" w:eastAsia="Times New Roman" w:hAnsi="Times New Roman" w:cs="Times New Roman"/>
          <w:color w:val="000000"/>
          <w:sz w:val="24"/>
          <w:szCs w:val="24"/>
          <w:lang/>
        </w:rPr>
        <w:t>256.3.2. за заготівлю деревини неосновних лісових порід:</w:t>
      </w:r>
    </w:p>
    <w:tbl>
      <w:tblPr>
        <w:tblW w:w="5000" w:type="pct"/>
        <w:tblBorders>
          <w:top w:val="outset" w:sz="2" w:space="0" w:color="auto"/>
          <w:left w:val="outset" w:sz="2" w:space="0" w:color="auto"/>
          <w:bottom w:val="outset" w:sz="2" w:space="0" w:color="auto"/>
          <w:right w:val="outset" w:sz="2" w:space="0" w:color="auto"/>
        </w:tblBorders>
        <w:tblCellMar>
          <w:top w:w="60" w:type="dxa"/>
          <w:left w:w="60" w:type="dxa"/>
          <w:bottom w:w="60" w:type="dxa"/>
          <w:right w:w="60" w:type="dxa"/>
        </w:tblCellMar>
        <w:tblLook w:val="04A0" w:firstRow="1" w:lastRow="0" w:firstColumn="1" w:lastColumn="0" w:noHBand="0" w:noVBand="1"/>
      </w:tblPr>
      <w:tblGrid>
        <w:gridCol w:w="1859"/>
        <w:gridCol w:w="1068"/>
        <w:gridCol w:w="1167"/>
        <w:gridCol w:w="1365"/>
        <w:gridCol w:w="3346"/>
        <w:gridCol w:w="1101"/>
      </w:tblGrid>
      <w:tr w:rsidR="008B264B" w:rsidRPr="008B264B" w14:paraId="5204D3EF" w14:textId="77777777" w:rsidTr="008B264B">
        <w:tc>
          <w:tcPr>
            <w:tcW w:w="226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022B37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149" w:name="n15374"/>
            <w:bookmarkEnd w:id="8149"/>
            <w:r w:rsidRPr="008B264B">
              <w:rPr>
                <w:rFonts w:ascii="Times New Roman" w:eastAsia="Times New Roman" w:hAnsi="Times New Roman" w:cs="Times New Roman"/>
                <w:sz w:val="24"/>
                <w:szCs w:val="24"/>
                <w:lang/>
              </w:rPr>
              <w:t>Найменування лісової породи</w:t>
            </w:r>
          </w:p>
        </w:tc>
        <w:tc>
          <w:tcPr>
            <w:tcW w:w="141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EEF97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Розряд</w:t>
            </w:r>
          </w:p>
        </w:tc>
        <w:tc>
          <w:tcPr>
            <w:tcW w:w="6645" w:type="dxa"/>
            <w:gridSpan w:val="4"/>
            <w:tcBorders>
              <w:top w:val="single" w:sz="6" w:space="0" w:color="000000"/>
              <w:left w:val="single" w:sz="6" w:space="0" w:color="000000"/>
              <w:bottom w:val="single" w:sz="6" w:space="0" w:color="000000"/>
              <w:right w:val="single" w:sz="6" w:space="0" w:color="000000"/>
            </w:tcBorders>
            <w:shd w:val="clear" w:color="auto" w:fill="auto"/>
            <w:hideMark/>
          </w:tcPr>
          <w:p w14:paraId="58911C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за 1 щільний куб. метр деревини, гривень</w:t>
            </w:r>
          </w:p>
        </w:tc>
      </w:tr>
      <w:tr w:rsidR="008B264B" w:rsidRPr="008B264B" w14:paraId="7DFCAEFD"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1E436A8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1B5B0D7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4830" w:type="dxa"/>
            <w:gridSpan w:val="3"/>
            <w:tcBorders>
              <w:top w:val="single" w:sz="6" w:space="0" w:color="000000"/>
              <w:left w:val="single" w:sz="6" w:space="0" w:color="000000"/>
              <w:bottom w:val="single" w:sz="6" w:space="0" w:color="000000"/>
              <w:right w:val="single" w:sz="6" w:space="0" w:color="000000"/>
            </w:tcBorders>
            <w:shd w:val="clear" w:color="auto" w:fill="auto"/>
            <w:hideMark/>
          </w:tcPr>
          <w:p w14:paraId="0F2181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ділової (без кори)</w:t>
            </w:r>
          </w:p>
        </w:tc>
        <w:tc>
          <w:tcPr>
            <w:tcW w:w="169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1360A7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дров’яної (з корою)</w:t>
            </w:r>
          </w:p>
        </w:tc>
      </w:tr>
      <w:tr w:rsidR="008B264B" w:rsidRPr="008B264B" w14:paraId="30F6125D"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61D22C5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6FB5547"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470" w:type="dxa"/>
            <w:tcBorders>
              <w:top w:val="single" w:sz="6" w:space="0" w:color="000000"/>
              <w:left w:val="single" w:sz="6" w:space="0" w:color="000000"/>
              <w:bottom w:val="single" w:sz="6" w:space="0" w:color="000000"/>
              <w:right w:val="single" w:sz="6" w:space="0" w:color="000000"/>
            </w:tcBorders>
            <w:shd w:val="clear" w:color="auto" w:fill="auto"/>
            <w:hideMark/>
          </w:tcPr>
          <w:p w14:paraId="030358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великої</w:t>
            </w:r>
          </w:p>
        </w:tc>
        <w:tc>
          <w:tcPr>
            <w:tcW w:w="1680" w:type="dxa"/>
            <w:tcBorders>
              <w:top w:val="single" w:sz="6" w:space="0" w:color="000000"/>
              <w:left w:val="single" w:sz="6" w:space="0" w:color="000000"/>
              <w:bottom w:val="single" w:sz="6" w:space="0" w:color="000000"/>
              <w:right w:val="single" w:sz="6" w:space="0" w:color="000000"/>
            </w:tcBorders>
            <w:shd w:val="clear" w:color="auto" w:fill="auto"/>
            <w:hideMark/>
          </w:tcPr>
          <w:p w14:paraId="326969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середньої</w:t>
            </w:r>
          </w:p>
        </w:tc>
        <w:tc>
          <w:tcPr>
            <w:tcW w:w="1425" w:type="dxa"/>
            <w:tcBorders>
              <w:top w:val="single" w:sz="6" w:space="0" w:color="000000"/>
              <w:left w:val="single" w:sz="6" w:space="0" w:color="000000"/>
              <w:bottom w:val="single" w:sz="6" w:space="0" w:color="000000"/>
              <w:right w:val="single" w:sz="6" w:space="0" w:color="000000"/>
            </w:tcBorders>
            <w:shd w:val="clear" w:color="auto" w:fill="auto"/>
            <w:hideMark/>
          </w:tcPr>
          <w:p w14:paraId="10EDF2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дрібної</w:t>
            </w:r>
          </w:p>
        </w:tc>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8D5B5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r>
      <w:tr w:rsidR="008B264B" w:rsidRPr="008B264B" w14:paraId="792847CD" w14:textId="77777777" w:rsidTr="008B264B">
        <w:tc>
          <w:tcPr>
            <w:tcW w:w="10560" w:type="dxa"/>
            <w:gridSpan w:val="6"/>
            <w:tcBorders>
              <w:top w:val="single" w:sz="6" w:space="0" w:color="000000"/>
              <w:left w:val="single" w:sz="6" w:space="0" w:color="000000"/>
              <w:bottom w:val="single" w:sz="6" w:space="0" w:color="000000"/>
              <w:right w:val="single" w:sz="6" w:space="0" w:color="000000"/>
            </w:tcBorders>
            <w:shd w:val="clear" w:color="auto" w:fill="auto"/>
            <w:hideMark/>
          </w:tcPr>
          <w:p w14:paraId="6B2B59F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Перший пояс лісів</w:t>
            </w:r>
          </w:p>
        </w:tc>
      </w:tr>
      <w:tr w:rsidR="008B264B" w:rsidRPr="008B264B" w14:paraId="4C945EE8" w14:textId="77777777" w:rsidTr="008B264B">
        <w:tc>
          <w:tcPr>
            <w:tcW w:w="10560" w:type="dxa"/>
            <w:gridSpan w:val="6"/>
            <w:tcBorders>
              <w:top w:val="single" w:sz="6" w:space="0" w:color="000000"/>
              <w:left w:val="single" w:sz="6" w:space="0" w:color="000000"/>
              <w:bottom w:val="single" w:sz="6" w:space="0" w:color="000000"/>
              <w:right w:val="single" w:sz="6" w:space="0" w:color="000000"/>
            </w:tcBorders>
            <w:shd w:val="clear" w:color="auto" w:fill="auto"/>
            <w:hideMark/>
          </w:tcPr>
          <w:p w14:paraId="19577E4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Самшит</w:t>
            </w:r>
          </w:p>
        </w:tc>
      </w:tr>
      <w:tr w:rsidR="008B264B" w:rsidRPr="008B264B" w14:paraId="66E36F12" w14:textId="77777777" w:rsidTr="008B264B">
        <w:tc>
          <w:tcPr>
            <w:tcW w:w="1050" w:type="pct"/>
            <w:tcBorders>
              <w:top w:val="single" w:sz="6" w:space="0" w:color="000000"/>
              <w:left w:val="single" w:sz="6" w:space="0" w:color="000000"/>
              <w:bottom w:val="single" w:sz="6" w:space="0" w:color="000000"/>
              <w:right w:val="single" w:sz="6" w:space="0" w:color="000000"/>
            </w:tcBorders>
            <w:shd w:val="clear" w:color="auto" w:fill="auto"/>
            <w:hideMark/>
          </w:tcPr>
          <w:p w14:paraId="7309C0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650" w:type="pct"/>
            <w:tcBorders>
              <w:top w:val="single" w:sz="6" w:space="0" w:color="000000"/>
              <w:left w:val="single" w:sz="6" w:space="0" w:color="000000"/>
              <w:bottom w:val="single" w:sz="6" w:space="0" w:color="000000"/>
              <w:right w:val="single" w:sz="6" w:space="0" w:color="000000"/>
            </w:tcBorders>
            <w:shd w:val="clear" w:color="auto" w:fill="auto"/>
            <w:hideMark/>
          </w:tcPr>
          <w:p w14:paraId="5828D14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30F127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2140,44</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2E8ACE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1829,34</w:t>
            </w:r>
          </w:p>
        </w:tc>
        <w:tc>
          <w:tcPr>
            <w:tcW w:w="700" w:type="pct"/>
            <w:tcBorders>
              <w:top w:val="single" w:sz="6" w:space="0" w:color="000000"/>
              <w:left w:val="single" w:sz="6" w:space="0" w:color="000000"/>
              <w:bottom w:val="single" w:sz="6" w:space="0" w:color="000000"/>
              <w:right w:val="single" w:sz="6" w:space="0" w:color="000000"/>
            </w:tcBorders>
            <w:shd w:val="clear" w:color="auto" w:fill="auto"/>
            <w:hideMark/>
          </w:tcPr>
          <w:p w14:paraId="1E1315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914,46</w:t>
            </w:r>
          </w:p>
        </w:tc>
        <w:tc>
          <w:tcPr>
            <w:tcW w:w="800" w:type="pct"/>
            <w:tcBorders>
              <w:top w:val="single" w:sz="6" w:space="0" w:color="000000"/>
              <w:left w:val="single" w:sz="6" w:space="0" w:color="000000"/>
              <w:bottom w:val="single" w:sz="6" w:space="0" w:color="000000"/>
              <w:right w:val="single" w:sz="6" w:space="0" w:color="000000"/>
            </w:tcBorders>
            <w:shd w:val="clear" w:color="auto" w:fill="auto"/>
            <w:hideMark/>
          </w:tcPr>
          <w:p w14:paraId="5D38CB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37C81305"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E28FE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BD07F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E809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1529,21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3BF05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1306,50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23184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653,69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0C1D9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0DC5EEE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8E6C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FE541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90E54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1223,63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5C0B8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1045,74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D6CA1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522,41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B8022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301B4B3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D6B928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2E100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CE709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918,09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6713E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783,60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69DE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392,04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85911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29D57F3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221312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E66A9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36EB2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611,18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CC67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522,90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4B943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261,65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59CB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5F77B792"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7E7EBF2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Бархат, горіх</w:t>
            </w:r>
          </w:p>
        </w:tc>
      </w:tr>
      <w:tr w:rsidR="008B264B" w:rsidRPr="008B264B" w14:paraId="23B99C7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CA40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1FB7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DA87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1333,64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9982E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1140,83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3105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570,41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9BC9C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760C203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2B473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C848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1986E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953,46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C225D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814,86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6316E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407,43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16A4C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06C51BDA"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A3D1E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5C114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B2DA5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761,94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121E1F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651,90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E7103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325,98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A6599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7586EA3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2CA2E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720F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BE99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571,76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E0B33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488,93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B06A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245,34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FB58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3C51215D"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3D572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E9BCB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9E949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5B3FB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325,98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4CCC9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162,96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F5C8B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BE5AF65"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0F79BA1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Груша, кизил, явір</w:t>
            </w:r>
          </w:p>
        </w:tc>
      </w:tr>
      <w:tr w:rsidR="008B264B" w:rsidRPr="008B264B" w14:paraId="723DC6C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868C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5D2CA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BD58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1070,21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500B1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915,39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B014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457,26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FF0A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29621DB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700ED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9A092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217C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764,60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FACCE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653,21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37279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326,91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9ADBE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7281836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41BF4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F7A74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DA98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611,18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81EA1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522,90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1BD2C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261,65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7243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1E8310E0"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D9B2B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4D774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89167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459,05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D35A7C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392,54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735CB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196,47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AB861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17FA6FF0"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52B332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5550C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AD1F9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305,60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46B85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262,11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BF7EB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131,28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1BF1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01F77D9"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7DA50E3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Абрикос, вишня, ялівець, обліпиха, слива (крім терну), черешня, шовковиця, яблуня</w:t>
            </w:r>
          </w:p>
        </w:tc>
      </w:tr>
      <w:tr w:rsidR="008B264B" w:rsidRPr="008B264B" w14:paraId="7239BDA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45A3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4951C9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77722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799,91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83B5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683,15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E6A7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341,34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6AEFD5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0F21118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C2EBC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04C0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94671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571,76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E86C3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487,64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18C62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243,50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87798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4C7452E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2AB45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A4CC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3371E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456,35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A64B9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389,79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AFC0F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194,70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F8BAC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669E7D6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59E10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BF54BD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C6BA3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343,64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86157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291,98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969F0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145,80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048DE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4F85A2B0"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93E94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0CCB9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8F42CD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228,17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687A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195,57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5358CD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97,82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268F4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4201C3FB"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54BF17D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Каштан, дуб корковий</w:t>
            </w:r>
          </w:p>
        </w:tc>
      </w:tr>
      <w:tr w:rsidR="008B264B" w:rsidRPr="008B264B" w14:paraId="0FAD95AA"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8C855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7A01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B95F31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666,84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9B852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570,41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3512F0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285,26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C85AF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163B8B9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535D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6378B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DFA7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476,70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E308C2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407,43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7CF0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203,69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F34C3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2F52579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567E8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E54B6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FA18F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F9C42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325,98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8BD62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162,96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4781F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151662F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4F7618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1651C7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F0198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286,61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B56C5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244,46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ADB04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122,27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46401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320EA987"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DE79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FDC04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6AFED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190,14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3F01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162,96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A1E40E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82,38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5AC679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160B296F"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778A772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Барбарис, гледичія, кипарис, шипшина</w:t>
            </w:r>
          </w:p>
        </w:tc>
      </w:tr>
      <w:tr w:rsidR="008B264B" w:rsidRPr="008B264B" w14:paraId="3CEF9B5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41356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1AAA57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A9A48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535,08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BE3FB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456,35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424185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229,10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7C789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646C053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F2778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83E18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140D4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381,60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F2444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325,98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D706F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162,96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D78F5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7370D5E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F1074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56499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70E8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304,22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99F7E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260,78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BA3F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130,37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29AA2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0370AC3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ACB13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AF57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0AF03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228,17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531B5E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195,57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F1C1E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97,82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4B80A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22EB15A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48C0F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C285C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36BAB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153,42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48C3C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131,75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2E88D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66,08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93B09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6521A71F"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2FAB993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Акація, бруслина, бирючина, глід, граб східний, тамарикс, калина, крушина, ліщина, горобина, бузок, скумпія, свидина, терен, черемха</w:t>
            </w:r>
          </w:p>
        </w:tc>
      </w:tr>
      <w:tr w:rsidR="008B264B" w:rsidRPr="008B264B" w14:paraId="3AAA1C3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7154FC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7A2D8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D47DC4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400,71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DAF41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342,23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2D34E9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171,09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7B5C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19,92</w:t>
            </w:r>
          </w:p>
        </w:tc>
      </w:tr>
      <w:tr w:rsidR="008B264B" w:rsidRPr="008B264B" w14:paraId="1287E07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0A3D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2D432D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1AE97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286,61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1E7A1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244,46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E1C48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122,27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13393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r>
      <w:tr w:rsidR="008B264B" w:rsidRPr="008B264B" w14:paraId="2DFE0EF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1BBAA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7C2B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9DE5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228,17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18131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195,57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45BC8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97,82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0281D6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3B66ECA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917CF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74CC8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9D72F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172,56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F58A1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146,66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631D1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74,25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043FDA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8,18</w:t>
            </w:r>
          </w:p>
        </w:tc>
      </w:tr>
      <w:tr w:rsidR="008B264B" w:rsidRPr="008B264B" w14:paraId="15874EB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9175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4BBCA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591AA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115,47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0426F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97,82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FC161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8BCFE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1AE1046E"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02E4B42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Верба, чагарники (крім зазначених в інших позиціях)</w:t>
            </w:r>
          </w:p>
        </w:tc>
      </w:tr>
      <w:tr w:rsidR="008B264B" w:rsidRPr="008B264B" w14:paraId="5796372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73C0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4BB95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6497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133,08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D0708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114,06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1ED9B6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36F803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10,89</w:t>
            </w:r>
          </w:p>
        </w:tc>
      </w:tr>
      <w:tr w:rsidR="008B264B" w:rsidRPr="008B264B" w14:paraId="56BFB13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8CF0B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0433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441D2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95,10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61E7D4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81,51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AB954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40,77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2F908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23C9111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FF27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1894E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9EE45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76,04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9AB51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C59B8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90AF0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6EE3769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3A219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CB210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62E8F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3460A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179BF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24,50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1C6B3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46F96B5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748C8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E41EF3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283A4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38,03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58AA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9F044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73C92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3,65</w:t>
            </w:r>
          </w:p>
        </w:tc>
      </w:tr>
      <w:tr w:rsidR="008B264B" w:rsidRPr="008B264B" w14:paraId="1ACA1604"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6998824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Другий пояс лісів</w:t>
            </w:r>
          </w:p>
        </w:tc>
      </w:tr>
      <w:tr w:rsidR="008B264B" w:rsidRPr="008B264B" w14:paraId="0D251EEA"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55BB4A7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Самшит</w:t>
            </w:r>
          </w:p>
        </w:tc>
      </w:tr>
      <w:tr w:rsidR="008B264B" w:rsidRPr="008B264B" w14:paraId="2CA13144"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41F9C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BFC1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5D30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1813,05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2589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1549,58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2838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775,05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10EB7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3CAC511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EEBB9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443A0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15E6D9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1294,26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E9F96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1106,88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B6F82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553,23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F81E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1B824C37"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9AEC34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866D4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01B51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1036,26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324B0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885,48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18490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443,67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5B929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49DD9260"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B2A1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F1B04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603AD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776,79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18FD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664,13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7C703D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332,27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8EB67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1841460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44544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57D06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E3872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518,76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AC53E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442,76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BFAF6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221,84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5C817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748D8D08"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1B284FE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Бархат, горіх</w:t>
            </w:r>
          </w:p>
        </w:tc>
      </w:tr>
      <w:tr w:rsidR="008B264B" w:rsidRPr="008B264B" w14:paraId="56EDC47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56856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EC6A5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5C506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1135,37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297A7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971,04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F296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485,31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89F7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35644322"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96CF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927D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EEAF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810,74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C6F4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693,96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AA5B8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346,77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2ADEC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567233FD"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7044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F9D6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B54E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649,14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48F94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554,16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33C17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66B6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50CC3AB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4165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DCCB6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2733E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486,18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A3EF9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418,31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EDE89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207,32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00D3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69C6F612"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F58D9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45D7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A69878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324,56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D80C5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278,43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0208F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1AC36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3C60BA40"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10DAFE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Груша, кизил, явір</w:t>
            </w:r>
          </w:p>
        </w:tc>
      </w:tr>
      <w:tr w:rsidR="008B264B" w:rsidRPr="008B264B" w14:paraId="560348E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5D60A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F668D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C5C25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905,85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2237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774,12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9C0E5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387,51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281D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654E437D"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71077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DCEAC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CB1549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647,84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A069E1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552,74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AEC8B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A483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5982383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8011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3A23F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383F03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518,76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A41E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442,76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3B220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221,84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D96492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06FAEA5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3B43D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4A53A1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B266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388,44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421E6D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332,75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A167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166,53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20A7A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5DC4B002"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FC32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27ED0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BDB0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259,47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62C526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221,36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D62B89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50E7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0938FB59"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5DA11F4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Абрикос, вишня, ялівець, обліпиха, слива (крім терну), черешня, шовковиця, яблуня</w:t>
            </w:r>
          </w:p>
        </w:tc>
      </w:tr>
      <w:tr w:rsidR="008B264B" w:rsidRPr="008B264B" w14:paraId="2CE56E2A"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A0F4D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80B4B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46DA8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681,80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DF4A6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581,27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DA01E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291,59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2B821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271DCA0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C0189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C7D84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63EA22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486,18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E0D45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415,55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3F03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207,32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B80613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7132F30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DD3D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8C224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10ABC2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388,44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3E1FC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332,75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AAACB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166,53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1AFD2B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2E93BF72"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AA2DA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4B52E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5D263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291,98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3EAE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249,83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6A684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124,95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D3613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1CEB58DF"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5244E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CE49F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9D170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2D0F4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165,72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5498C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83,30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198C5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74BD7569"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0BBD359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Каштан, дуб корковий</w:t>
            </w:r>
          </w:p>
        </w:tc>
      </w:tr>
      <w:tr w:rsidR="008B264B" w:rsidRPr="008B264B" w14:paraId="4DFCE72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34E26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82D58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E9D17E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567,74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BAA08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486,18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244A8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243,50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C4CEB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09E38C1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A3C01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AFF74A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52B1D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406,07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20796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347,70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8279CF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173,85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BD0E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41C78827"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9812A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368E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705F9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324,56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34249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278,43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A6D4D8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446A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46D5F055"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BF09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1DD2C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D0E72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243,17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E4B61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207,81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CD6432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104,10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2DB01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615A2EA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71BC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E54A4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32566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161,61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62AA13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138,53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777A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69,71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E95BC0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1669CCC9"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5BBDAB8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Барбарис, гледичія, кипарис, шипшина</w:t>
            </w:r>
          </w:p>
        </w:tc>
      </w:tr>
      <w:tr w:rsidR="008B264B" w:rsidRPr="008B264B" w14:paraId="2C088E20"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3E1E8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A9F9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FDFB8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453,63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4A5DC5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A02BFD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193,74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68734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7B792C74"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F412E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A78C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0B35D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323,27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C03CA4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277,08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872DFC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137,63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9FEB5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78E60565"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2AB45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F8F12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ED5506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259,47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7B795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221,36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3EB796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110,43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9CC95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33E00A9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69E3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4606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16FFC9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03A64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165,72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28CA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83,30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6F443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3289B07C"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503DF2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093FA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06E0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129,05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AEED94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111,41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8117C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55,29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1E753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45F310E3"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6744656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Акація, бруслина, бирючина, глід, граб східний, тамарикс, калина, крушина, ліщина, горобина, бузок, скумпія, свидина, терен, черемха</w:t>
            </w:r>
          </w:p>
        </w:tc>
      </w:tr>
      <w:tr w:rsidR="008B264B" w:rsidRPr="008B264B" w14:paraId="5197119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DBA09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CACAFA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7DC4C2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340,88</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9613E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290,63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29509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145,80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AA7C7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16,31</w:t>
            </w:r>
          </w:p>
        </w:tc>
      </w:tr>
      <w:tr w:rsidR="008B264B" w:rsidRPr="008B264B" w14:paraId="4B191B5D"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8AEEE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BFAEE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49B95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243,17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FCD32B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207,81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1F0D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104,10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85835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11,76</w:t>
            </w:r>
          </w:p>
        </w:tc>
      </w:tr>
      <w:tr w:rsidR="008B264B" w:rsidRPr="008B264B" w14:paraId="61D68C0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D3B91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5B2F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232B2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194,21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DEC54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165,72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E7969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83,30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D35E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699E37D9"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EC644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41B4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EB307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145,37</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3272F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124,95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B7054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62,45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F55620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7,20</w:t>
            </w:r>
          </w:p>
        </w:tc>
      </w:tr>
      <w:tr w:rsidR="008B264B" w:rsidRPr="008B264B" w14:paraId="2326BB4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5D17E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0ED4DA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AC909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97,82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D770F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82,80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B963FB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41,64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E1628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1ECE63EF" w14:textId="77777777" w:rsidTr="008B264B">
        <w:tc>
          <w:tcPr>
            <w:tcW w:w="0" w:type="auto"/>
            <w:gridSpan w:val="6"/>
            <w:tcBorders>
              <w:top w:val="single" w:sz="6" w:space="0" w:color="000000"/>
              <w:left w:val="single" w:sz="6" w:space="0" w:color="000000"/>
              <w:bottom w:val="single" w:sz="6" w:space="0" w:color="000000"/>
              <w:right w:val="single" w:sz="6" w:space="0" w:color="000000"/>
            </w:tcBorders>
            <w:shd w:val="clear" w:color="auto" w:fill="auto"/>
            <w:hideMark/>
          </w:tcPr>
          <w:p w14:paraId="1FEB3E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Верба, чагарники (крім зазначених в інших позиціях)</w:t>
            </w:r>
          </w:p>
        </w:tc>
      </w:tr>
      <w:tr w:rsidR="008B264B" w:rsidRPr="008B264B" w14:paraId="25874D2E"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EDC79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B228E4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B8A0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112,71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0F3C6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96,39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30639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47,99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0C5F6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8,99</w:t>
            </w:r>
          </w:p>
        </w:tc>
      </w:tr>
      <w:tr w:rsidR="008B264B" w:rsidRPr="008B264B" w14:paraId="19B1A87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2A8A9B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B82A5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E203DC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81,51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F003D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69,26</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3D0408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34,44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74914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6,35</w:t>
            </w:r>
          </w:p>
        </w:tc>
      </w:tr>
      <w:tr w:rsidR="008B264B" w:rsidRPr="008B264B" w14:paraId="3C6C9C9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F97C8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CE81B8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F73E8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65,21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CAE188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55,62</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DEFFE0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28,10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AF176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5,42</w:t>
            </w:r>
          </w:p>
        </w:tc>
      </w:tr>
      <w:tr w:rsidR="008B264B" w:rsidRPr="008B264B" w14:paraId="5A4D86E5"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DC051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5F163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87A0C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48,90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D4C0F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42,09</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A00D78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20,85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D5829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4,55</w:t>
            </w:r>
          </w:p>
        </w:tc>
      </w:tr>
      <w:tr w:rsidR="008B264B" w:rsidRPr="008B264B" w14:paraId="72786458"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3CED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B7276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12B323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32,61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13190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27,20</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57A39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14,51</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CF65D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2,72.</w:t>
            </w:r>
          </w:p>
        </w:tc>
      </w:tr>
    </w:tbl>
    <w:p w14:paraId="0FAE87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0" w:name="n12907"/>
      <w:bookmarkEnd w:id="8150"/>
      <w:r w:rsidRPr="008B264B">
        <w:rPr>
          <w:rFonts w:ascii="Times New Roman" w:eastAsia="Times New Roman" w:hAnsi="Times New Roman" w:cs="Times New Roman"/>
          <w:i/>
          <w:iCs/>
          <w:color w:val="000000"/>
          <w:sz w:val="24"/>
          <w:szCs w:val="24"/>
          <w:lang/>
        </w:rPr>
        <w:t>{Пункт 256.3 статті 256 в редакції Законів </w:t>
      </w:r>
      <w:hyperlink r:id="rId4536" w:anchor="n55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537" w:anchor="n11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4538" w:anchor="n36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4539" w:anchor="n29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5A3F7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1" w:name="n11668"/>
      <w:bookmarkEnd w:id="8151"/>
      <w:r w:rsidRPr="008B264B">
        <w:rPr>
          <w:rFonts w:ascii="Times New Roman" w:eastAsia="Times New Roman" w:hAnsi="Times New Roman" w:cs="Times New Roman"/>
          <w:color w:val="000000"/>
          <w:sz w:val="24"/>
          <w:szCs w:val="24"/>
          <w:lang/>
        </w:rPr>
        <w:t>256.4. Ставки рентної плати, встановлені </w:t>
      </w:r>
      <w:hyperlink r:id="rId4540" w:anchor="n11664" w:history="1">
        <w:r w:rsidRPr="008B264B">
          <w:rPr>
            <w:rFonts w:ascii="Times New Roman" w:eastAsia="Times New Roman" w:hAnsi="Times New Roman" w:cs="Times New Roman"/>
            <w:color w:val="0000FF"/>
            <w:sz w:val="24"/>
            <w:szCs w:val="24"/>
            <w:u w:val="single"/>
            <w:lang/>
          </w:rPr>
          <w:t>підпунктами 256.3.1</w:t>
        </w:r>
      </w:hyperlink>
      <w:r w:rsidRPr="008B264B">
        <w:rPr>
          <w:rFonts w:ascii="Times New Roman" w:eastAsia="Times New Roman" w:hAnsi="Times New Roman" w:cs="Times New Roman"/>
          <w:color w:val="000000"/>
          <w:sz w:val="24"/>
          <w:szCs w:val="24"/>
          <w:lang/>
        </w:rPr>
        <w:t> і </w:t>
      </w:r>
      <w:hyperlink r:id="rId4541" w:anchor="n11666" w:history="1">
        <w:r w:rsidRPr="008B264B">
          <w:rPr>
            <w:rFonts w:ascii="Times New Roman" w:eastAsia="Times New Roman" w:hAnsi="Times New Roman" w:cs="Times New Roman"/>
            <w:color w:val="0000FF"/>
            <w:sz w:val="24"/>
            <w:szCs w:val="24"/>
            <w:u w:val="single"/>
            <w:lang/>
          </w:rPr>
          <w:t>256.3.2</w:t>
        </w:r>
      </w:hyperlink>
      <w:r w:rsidRPr="008B264B">
        <w:rPr>
          <w:rFonts w:ascii="Times New Roman" w:eastAsia="Times New Roman" w:hAnsi="Times New Roman" w:cs="Times New Roman"/>
          <w:color w:val="000000"/>
          <w:sz w:val="24"/>
          <w:szCs w:val="24"/>
          <w:lang/>
        </w:rPr>
        <w:t> пункту 256.3 цієї статті, застосовуються при заготівлі деревини в порядку рубок головного користування та під час проведення заходів щодо поліпшення якісного складу лісів, їх оздоровлення, посилення захисних властивостей (у деревостанах віком понад 40 років - рубки догляду за лісом, вибіркові санітарні рубки, вибіркові лісовідновні рубки, рубки, пов’язані з реконструкцією, ландшафтні рубки і рубки переформування; незалежно від віку деревостанів - суцільні санітарні та суцільні лісовідновні рубки) та заходів з розчищення лісових ділянок, вкритих лісовою рослинністю, у зв’язку з будівництвом гідровузлів, трубопроводів, шляхів тощо.</w:t>
      </w:r>
    </w:p>
    <w:p w14:paraId="6E4FA7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2" w:name="n11669"/>
      <w:bookmarkEnd w:id="8152"/>
      <w:r w:rsidRPr="008B264B">
        <w:rPr>
          <w:rFonts w:ascii="Times New Roman" w:eastAsia="Times New Roman" w:hAnsi="Times New Roman" w:cs="Times New Roman"/>
          <w:color w:val="000000"/>
          <w:sz w:val="24"/>
          <w:szCs w:val="24"/>
          <w:lang/>
        </w:rPr>
        <w:t>256.5. Ставки рентної плати за заготівлю деревини застосовуються з урахуванням розподілу лісів за поясами і розрядами.</w:t>
      </w:r>
    </w:p>
    <w:p w14:paraId="00DCFE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3" w:name="n11670"/>
      <w:bookmarkEnd w:id="8153"/>
      <w:r w:rsidRPr="008B264B">
        <w:rPr>
          <w:rFonts w:ascii="Times New Roman" w:eastAsia="Times New Roman" w:hAnsi="Times New Roman" w:cs="Times New Roman"/>
          <w:color w:val="000000"/>
          <w:sz w:val="24"/>
          <w:szCs w:val="24"/>
          <w:lang/>
        </w:rPr>
        <w:t>256.6. Розподіл лісів за поясами:</w:t>
      </w:r>
    </w:p>
    <w:p w14:paraId="391F72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4" w:name="n11671"/>
      <w:bookmarkEnd w:id="8154"/>
      <w:r w:rsidRPr="008B264B">
        <w:rPr>
          <w:rFonts w:ascii="Times New Roman" w:eastAsia="Times New Roman" w:hAnsi="Times New Roman" w:cs="Times New Roman"/>
          <w:color w:val="000000"/>
          <w:sz w:val="24"/>
          <w:szCs w:val="24"/>
          <w:lang/>
        </w:rPr>
        <w:t>256.6.1. до першого поясу належать усі ліси, за винятком лісів Закарпатської, Івано-Франківської та Чернівецької областей і лісів гірської зони Львівської області;</w:t>
      </w:r>
    </w:p>
    <w:p w14:paraId="068884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5" w:name="n11672"/>
      <w:bookmarkEnd w:id="8155"/>
      <w:r w:rsidRPr="008B264B">
        <w:rPr>
          <w:rFonts w:ascii="Times New Roman" w:eastAsia="Times New Roman" w:hAnsi="Times New Roman" w:cs="Times New Roman"/>
          <w:color w:val="000000"/>
          <w:sz w:val="24"/>
          <w:szCs w:val="24"/>
          <w:lang/>
        </w:rPr>
        <w:t>256.6.2. до другого поясу належать ліси Закарпатської, Івано-Франківської та Чернівецької областей і ліси гірської зони Львівської області.</w:t>
      </w:r>
    </w:p>
    <w:p w14:paraId="3E52F3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6" w:name="n11673"/>
      <w:bookmarkEnd w:id="8156"/>
      <w:r w:rsidRPr="008B264B">
        <w:rPr>
          <w:rFonts w:ascii="Times New Roman" w:eastAsia="Times New Roman" w:hAnsi="Times New Roman" w:cs="Times New Roman"/>
          <w:color w:val="000000"/>
          <w:sz w:val="24"/>
          <w:szCs w:val="24"/>
          <w:lang/>
        </w:rPr>
        <w:t>256.7. Розряди встановлюються для кожного кварталу (урочища) виходячи з нижчезазначеної відстані між центром кварталу і найближчим нижнім складом лісозаготівельника, до якого деревина вивозиться безпосередньо з лісосіки, або пунктом відвантаження деревини залізницею:</w:t>
      </w:r>
    </w:p>
    <w:tbl>
      <w:tblPr>
        <w:tblW w:w="5000" w:type="pct"/>
        <w:tblBorders>
          <w:top w:val="outset" w:sz="2" w:space="0" w:color="auto"/>
          <w:left w:val="outset" w:sz="2" w:space="0" w:color="auto"/>
          <w:bottom w:val="outset" w:sz="2" w:space="0" w:color="auto"/>
          <w:right w:val="outset" w:sz="2" w:space="0" w:color="auto"/>
        </w:tblBorders>
        <w:tblCellMar>
          <w:left w:w="0" w:type="dxa"/>
          <w:right w:w="0" w:type="dxa"/>
        </w:tblCellMar>
        <w:tblLook w:val="04A0" w:firstRow="1" w:lastRow="0" w:firstColumn="1" w:lastColumn="0" w:noHBand="0" w:noVBand="1"/>
      </w:tblPr>
      <w:tblGrid>
        <w:gridCol w:w="3047"/>
        <w:gridCol w:w="1334"/>
        <w:gridCol w:w="1334"/>
        <w:gridCol w:w="1143"/>
        <w:gridCol w:w="1143"/>
        <w:gridCol w:w="1905"/>
      </w:tblGrid>
      <w:tr w:rsidR="008B264B" w:rsidRPr="008B264B" w14:paraId="53565F59" w14:textId="77777777" w:rsidTr="008B264B">
        <w:tc>
          <w:tcPr>
            <w:tcW w:w="2880" w:type="dxa"/>
            <w:tcBorders>
              <w:top w:val="single" w:sz="6" w:space="0" w:color="000000"/>
              <w:left w:val="single" w:sz="6" w:space="0" w:color="000000"/>
              <w:bottom w:val="single" w:sz="6" w:space="0" w:color="000000"/>
              <w:right w:val="single" w:sz="6" w:space="0" w:color="000000"/>
            </w:tcBorders>
            <w:shd w:val="clear" w:color="auto" w:fill="auto"/>
            <w:hideMark/>
          </w:tcPr>
          <w:p w14:paraId="0F57A8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8157" w:name="n11674"/>
            <w:bookmarkEnd w:id="8157"/>
            <w:r w:rsidRPr="008B264B">
              <w:rPr>
                <w:rFonts w:ascii="Times New Roman" w:eastAsia="Times New Roman" w:hAnsi="Times New Roman" w:cs="Times New Roman"/>
                <w:sz w:val="24"/>
                <w:szCs w:val="24"/>
                <w:lang/>
              </w:rPr>
              <w:t>Розряди</w:t>
            </w:r>
          </w:p>
        </w:tc>
        <w:tc>
          <w:tcPr>
            <w:tcW w:w="1260" w:type="dxa"/>
            <w:tcBorders>
              <w:top w:val="single" w:sz="6" w:space="0" w:color="000000"/>
              <w:left w:val="single" w:sz="6" w:space="0" w:color="000000"/>
              <w:bottom w:val="single" w:sz="6" w:space="0" w:color="000000"/>
              <w:right w:val="single" w:sz="6" w:space="0" w:color="000000"/>
            </w:tcBorders>
            <w:shd w:val="clear" w:color="auto" w:fill="auto"/>
            <w:hideMark/>
          </w:tcPr>
          <w:p w14:paraId="30F446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w:t>
            </w:r>
          </w:p>
        </w:tc>
        <w:tc>
          <w:tcPr>
            <w:tcW w:w="1260" w:type="dxa"/>
            <w:tcBorders>
              <w:top w:val="single" w:sz="6" w:space="0" w:color="000000"/>
              <w:left w:val="single" w:sz="6" w:space="0" w:color="000000"/>
              <w:bottom w:val="single" w:sz="6" w:space="0" w:color="000000"/>
              <w:right w:val="single" w:sz="6" w:space="0" w:color="000000"/>
            </w:tcBorders>
            <w:shd w:val="clear" w:color="auto" w:fill="auto"/>
            <w:hideMark/>
          </w:tcPr>
          <w:p w14:paraId="2638B7E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68F510C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1C90C0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w:t>
            </w:r>
          </w:p>
        </w:tc>
        <w:tc>
          <w:tcPr>
            <w:tcW w:w="1800" w:type="dxa"/>
            <w:tcBorders>
              <w:top w:val="single" w:sz="6" w:space="0" w:color="000000"/>
              <w:left w:val="single" w:sz="6" w:space="0" w:color="000000"/>
              <w:bottom w:val="single" w:sz="6" w:space="0" w:color="000000"/>
              <w:right w:val="single" w:sz="6" w:space="0" w:color="000000"/>
            </w:tcBorders>
            <w:shd w:val="clear" w:color="auto" w:fill="auto"/>
            <w:hideMark/>
          </w:tcPr>
          <w:p w14:paraId="783639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w:t>
            </w:r>
          </w:p>
        </w:tc>
      </w:tr>
      <w:tr w:rsidR="008B264B" w:rsidRPr="008B264B" w14:paraId="32919540" w14:textId="77777777" w:rsidTr="008B264B">
        <w:tc>
          <w:tcPr>
            <w:tcW w:w="2880" w:type="dxa"/>
            <w:tcBorders>
              <w:top w:val="single" w:sz="6" w:space="0" w:color="000000"/>
              <w:left w:val="single" w:sz="6" w:space="0" w:color="000000"/>
              <w:bottom w:val="single" w:sz="6" w:space="0" w:color="000000"/>
              <w:right w:val="single" w:sz="6" w:space="0" w:color="000000"/>
            </w:tcBorders>
            <w:shd w:val="clear" w:color="auto" w:fill="auto"/>
            <w:hideMark/>
          </w:tcPr>
          <w:p w14:paraId="3394BC9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Відстань, кілометрів</w:t>
            </w:r>
          </w:p>
        </w:tc>
        <w:tc>
          <w:tcPr>
            <w:tcW w:w="1260" w:type="dxa"/>
            <w:tcBorders>
              <w:top w:val="single" w:sz="6" w:space="0" w:color="000000"/>
              <w:left w:val="single" w:sz="6" w:space="0" w:color="000000"/>
              <w:bottom w:val="single" w:sz="6" w:space="0" w:color="000000"/>
              <w:right w:val="single" w:sz="6" w:space="0" w:color="000000"/>
            </w:tcBorders>
            <w:shd w:val="clear" w:color="auto" w:fill="auto"/>
            <w:hideMark/>
          </w:tcPr>
          <w:p w14:paraId="6C14A0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до 10</w:t>
            </w:r>
          </w:p>
        </w:tc>
        <w:tc>
          <w:tcPr>
            <w:tcW w:w="1260" w:type="dxa"/>
            <w:tcBorders>
              <w:top w:val="single" w:sz="6" w:space="0" w:color="000000"/>
              <w:left w:val="single" w:sz="6" w:space="0" w:color="000000"/>
              <w:bottom w:val="single" w:sz="6" w:space="0" w:color="000000"/>
              <w:right w:val="single" w:sz="6" w:space="0" w:color="000000"/>
            </w:tcBorders>
            <w:shd w:val="clear" w:color="auto" w:fill="auto"/>
            <w:hideMark/>
          </w:tcPr>
          <w:p w14:paraId="6E58D4A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10,1-25</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60E2951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25,1-40</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6F7E2A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40,1-60</w:t>
            </w:r>
          </w:p>
        </w:tc>
        <w:tc>
          <w:tcPr>
            <w:tcW w:w="1800" w:type="dxa"/>
            <w:tcBorders>
              <w:top w:val="single" w:sz="6" w:space="0" w:color="000000"/>
              <w:left w:val="single" w:sz="6" w:space="0" w:color="000000"/>
              <w:bottom w:val="single" w:sz="6" w:space="0" w:color="000000"/>
              <w:right w:val="single" w:sz="6" w:space="0" w:color="000000"/>
            </w:tcBorders>
            <w:shd w:val="clear" w:color="auto" w:fill="auto"/>
            <w:hideMark/>
          </w:tcPr>
          <w:p w14:paraId="56205CB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60,1 і більше</w:t>
            </w:r>
          </w:p>
        </w:tc>
      </w:tr>
    </w:tbl>
    <w:p w14:paraId="161777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8" w:name="n11675"/>
      <w:bookmarkEnd w:id="8158"/>
      <w:r w:rsidRPr="008B264B">
        <w:rPr>
          <w:rFonts w:ascii="Times New Roman" w:eastAsia="Times New Roman" w:hAnsi="Times New Roman" w:cs="Times New Roman"/>
          <w:color w:val="000000"/>
          <w:sz w:val="24"/>
          <w:szCs w:val="24"/>
          <w:lang/>
        </w:rPr>
        <w:t>Відстань (пряма) від центру кварталу (урочища) до нижнього складу або пункту відвантаження деревини залізницею визначається за картографічними матеріалами і коригується залежно від геоморфологічних умов місцевості за такими коефіцієнтами:</w:t>
      </w:r>
    </w:p>
    <w:p w14:paraId="1D559B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59" w:name="n11676"/>
      <w:bookmarkEnd w:id="8159"/>
      <w:r w:rsidRPr="008B264B">
        <w:rPr>
          <w:rFonts w:ascii="Times New Roman" w:eastAsia="Times New Roman" w:hAnsi="Times New Roman" w:cs="Times New Roman"/>
          <w:color w:val="000000"/>
          <w:sz w:val="24"/>
          <w:szCs w:val="24"/>
          <w:lang/>
        </w:rPr>
        <w:t>у лісах з рівнинним рельєфом - 1,1;</w:t>
      </w:r>
    </w:p>
    <w:p w14:paraId="784238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0" w:name="n11677"/>
      <w:bookmarkEnd w:id="8160"/>
      <w:r w:rsidRPr="008B264B">
        <w:rPr>
          <w:rFonts w:ascii="Times New Roman" w:eastAsia="Times New Roman" w:hAnsi="Times New Roman" w:cs="Times New Roman"/>
          <w:color w:val="000000"/>
          <w:sz w:val="24"/>
          <w:szCs w:val="24"/>
          <w:lang/>
        </w:rPr>
        <w:lastRenderedPageBreak/>
        <w:t>у лісах з горбистим рельєфом або у лісах, понад 30 відсотків площі яких зайнято болотами, - 1,25;</w:t>
      </w:r>
    </w:p>
    <w:p w14:paraId="1F7F76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1" w:name="n11678"/>
      <w:bookmarkEnd w:id="8161"/>
      <w:r w:rsidRPr="008B264B">
        <w:rPr>
          <w:rFonts w:ascii="Times New Roman" w:eastAsia="Times New Roman" w:hAnsi="Times New Roman" w:cs="Times New Roman"/>
          <w:color w:val="000000"/>
          <w:sz w:val="24"/>
          <w:szCs w:val="24"/>
          <w:lang/>
        </w:rPr>
        <w:t>у лісах з гірським рельєфом - 1,5.</w:t>
      </w:r>
    </w:p>
    <w:p w14:paraId="77F0DB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2" w:name="n11679"/>
      <w:bookmarkEnd w:id="8162"/>
      <w:r w:rsidRPr="008B264B">
        <w:rPr>
          <w:rFonts w:ascii="Times New Roman" w:eastAsia="Times New Roman" w:hAnsi="Times New Roman" w:cs="Times New Roman"/>
          <w:color w:val="000000"/>
          <w:sz w:val="24"/>
          <w:szCs w:val="24"/>
          <w:lang/>
        </w:rPr>
        <w:t>Пунктом відвантаження деревини залізницею вважається пункт (залізнична станція, роз’їзд), у якому дозволено здійснення такої операції, незалежно від наявності на ньому відповідних складів.</w:t>
      </w:r>
    </w:p>
    <w:p w14:paraId="6E19B6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3" w:name="n11680"/>
      <w:bookmarkEnd w:id="8163"/>
      <w:r w:rsidRPr="008B264B">
        <w:rPr>
          <w:rFonts w:ascii="Times New Roman" w:eastAsia="Times New Roman" w:hAnsi="Times New Roman" w:cs="Times New Roman"/>
          <w:color w:val="000000"/>
          <w:sz w:val="24"/>
          <w:szCs w:val="24"/>
          <w:lang/>
        </w:rPr>
        <w:t>256.8. Зміна розподілу лісів за розрядами здійснюється у разі:</w:t>
      </w:r>
    </w:p>
    <w:p w14:paraId="6B6F70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4" w:name="n11681"/>
      <w:bookmarkEnd w:id="8164"/>
      <w:r w:rsidRPr="008B264B">
        <w:rPr>
          <w:rFonts w:ascii="Times New Roman" w:eastAsia="Times New Roman" w:hAnsi="Times New Roman" w:cs="Times New Roman"/>
          <w:color w:val="000000"/>
          <w:sz w:val="24"/>
          <w:szCs w:val="24"/>
          <w:lang/>
        </w:rPr>
        <w:t>256.8.1. закриття діючих або відкриття нових пунктів (залізничних станцій чи роз’їздів) відвантаження деревини;</w:t>
      </w:r>
    </w:p>
    <w:p w14:paraId="2D28E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5" w:name="n11682"/>
      <w:bookmarkEnd w:id="8165"/>
      <w:r w:rsidRPr="008B264B">
        <w:rPr>
          <w:rFonts w:ascii="Times New Roman" w:eastAsia="Times New Roman" w:hAnsi="Times New Roman" w:cs="Times New Roman"/>
          <w:color w:val="000000"/>
          <w:sz w:val="24"/>
          <w:szCs w:val="24"/>
          <w:lang/>
        </w:rPr>
        <w:t>256.8.2. виявлення порушення установленого порядку розподілу лісів за розрядами.</w:t>
      </w:r>
    </w:p>
    <w:p w14:paraId="1437B9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6" w:name="n11683"/>
      <w:bookmarkEnd w:id="8166"/>
      <w:r w:rsidRPr="008B264B">
        <w:rPr>
          <w:rFonts w:ascii="Times New Roman" w:eastAsia="Times New Roman" w:hAnsi="Times New Roman" w:cs="Times New Roman"/>
          <w:color w:val="000000"/>
          <w:sz w:val="24"/>
          <w:szCs w:val="24"/>
          <w:lang/>
        </w:rPr>
        <w:t>256.9. До великої деревини всіх лісових порід належать відрізки стовбура (у верхньому перетині без кори) діаметром від 25 сантиметрів і більше, до середньої - діаметром від 13 до 24 сантиметрів, до дрібної - діаметром від 3 до 12 сантиметрів.</w:t>
      </w:r>
    </w:p>
    <w:p w14:paraId="38CE8B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7" w:name="n11684"/>
      <w:bookmarkEnd w:id="8167"/>
      <w:r w:rsidRPr="008B264B">
        <w:rPr>
          <w:rFonts w:ascii="Times New Roman" w:eastAsia="Times New Roman" w:hAnsi="Times New Roman" w:cs="Times New Roman"/>
          <w:color w:val="000000"/>
          <w:sz w:val="24"/>
          <w:szCs w:val="24"/>
          <w:lang/>
        </w:rPr>
        <w:t>До дров’яної деревини належать сортименти, які можна використовувати для технологічних потреб, а також не придатні для промислової переробки (дрова паливні).</w:t>
      </w:r>
    </w:p>
    <w:p w14:paraId="66BD79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8" w:name="n11685"/>
      <w:bookmarkEnd w:id="8168"/>
      <w:r w:rsidRPr="008B264B">
        <w:rPr>
          <w:rFonts w:ascii="Times New Roman" w:eastAsia="Times New Roman" w:hAnsi="Times New Roman" w:cs="Times New Roman"/>
          <w:color w:val="000000"/>
          <w:sz w:val="24"/>
          <w:szCs w:val="24"/>
          <w:lang/>
        </w:rPr>
        <w:t>На дров’яну деревину, використану для технологічних потреб, донараховується рентна плата за результатами фактичної заготівлі у розмірі 70 відсотків установлених </w:t>
      </w:r>
      <w:hyperlink r:id="rId4542" w:anchor="n11664" w:history="1">
        <w:r w:rsidRPr="008B264B">
          <w:rPr>
            <w:rFonts w:ascii="Times New Roman" w:eastAsia="Times New Roman" w:hAnsi="Times New Roman" w:cs="Times New Roman"/>
            <w:color w:val="0000FF"/>
            <w:sz w:val="24"/>
            <w:szCs w:val="24"/>
            <w:u w:val="single"/>
            <w:lang/>
          </w:rPr>
          <w:t>підпунктами 256.3.1</w:t>
        </w:r>
      </w:hyperlink>
      <w:r w:rsidRPr="008B264B">
        <w:rPr>
          <w:rFonts w:ascii="Times New Roman" w:eastAsia="Times New Roman" w:hAnsi="Times New Roman" w:cs="Times New Roman"/>
          <w:color w:val="000000"/>
          <w:sz w:val="24"/>
          <w:szCs w:val="24"/>
          <w:lang/>
        </w:rPr>
        <w:t> і </w:t>
      </w:r>
      <w:hyperlink r:id="rId4543" w:anchor="n11666" w:history="1">
        <w:r w:rsidRPr="008B264B">
          <w:rPr>
            <w:rFonts w:ascii="Times New Roman" w:eastAsia="Times New Roman" w:hAnsi="Times New Roman" w:cs="Times New Roman"/>
            <w:color w:val="0000FF"/>
            <w:sz w:val="24"/>
            <w:szCs w:val="24"/>
            <w:u w:val="single"/>
            <w:lang/>
          </w:rPr>
          <w:t>256.3.2 </w:t>
        </w:r>
      </w:hyperlink>
      <w:r w:rsidRPr="008B264B">
        <w:rPr>
          <w:rFonts w:ascii="Times New Roman" w:eastAsia="Times New Roman" w:hAnsi="Times New Roman" w:cs="Times New Roman"/>
          <w:color w:val="000000"/>
          <w:sz w:val="24"/>
          <w:szCs w:val="24"/>
          <w:lang/>
        </w:rPr>
        <w:t>пункту 256.3 цієї статті ставок рентної плати за ділову дрібну деревину відповідної лісової породи.</w:t>
      </w:r>
    </w:p>
    <w:p w14:paraId="0DDB2E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69" w:name="n11686"/>
      <w:bookmarkEnd w:id="8169"/>
      <w:r w:rsidRPr="008B264B">
        <w:rPr>
          <w:rFonts w:ascii="Times New Roman" w:eastAsia="Times New Roman" w:hAnsi="Times New Roman" w:cs="Times New Roman"/>
          <w:color w:val="000000"/>
          <w:sz w:val="24"/>
          <w:szCs w:val="24"/>
          <w:lang/>
        </w:rPr>
        <w:t>Ставки рентної плати за ділову і дров’яну деревину липи встановлені </w:t>
      </w:r>
      <w:hyperlink r:id="rId4544" w:anchor="n11664" w:history="1">
        <w:r w:rsidRPr="008B264B">
          <w:rPr>
            <w:rFonts w:ascii="Times New Roman" w:eastAsia="Times New Roman" w:hAnsi="Times New Roman" w:cs="Times New Roman"/>
            <w:color w:val="0000FF"/>
            <w:sz w:val="24"/>
            <w:szCs w:val="24"/>
            <w:u w:val="single"/>
            <w:lang/>
          </w:rPr>
          <w:t>підпунктами 256.3.1</w:t>
        </w:r>
      </w:hyperlink>
      <w:r w:rsidRPr="008B264B">
        <w:rPr>
          <w:rFonts w:ascii="Times New Roman" w:eastAsia="Times New Roman" w:hAnsi="Times New Roman" w:cs="Times New Roman"/>
          <w:color w:val="000000"/>
          <w:sz w:val="24"/>
          <w:szCs w:val="24"/>
          <w:lang/>
        </w:rPr>
        <w:t> і </w:t>
      </w:r>
      <w:hyperlink r:id="rId4545" w:anchor="n11666" w:history="1">
        <w:r w:rsidRPr="008B264B">
          <w:rPr>
            <w:rFonts w:ascii="Times New Roman" w:eastAsia="Times New Roman" w:hAnsi="Times New Roman" w:cs="Times New Roman"/>
            <w:color w:val="0000FF"/>
            <w:sz w:val="24"/>
            <w:szCs w:val="24"/>
            <w:u w:val="single"/>
            <w:lang/>
          </w:rPr>
          <w:t>256.3.2</w:t>
        </w:r>
      </w:hyperlink>
      <w:r w:rsidRPr="008B264B">
        <w:rPr>
          <w:rFonts w:ascii="Times New Roman" w:eastAsia="Times New Roman" w:hAnsi="Times New Roman" w:cs="Times New Roman"/>
          <w:color w:val="000000"/>
          <w:sz w:val="24"/>
          <w:szCs w:val="24"/>
          <w:lang/>
        </w:rPr>
        <w:t> пункту 256.3 цієї статті без урахування кори, а за дров’яну деревину решти лісових порід - з корою.</w:t>
      </w:r>
    </w:p>
    <w:p w14:paraId="2CA66C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0" w:name="n11687"/>
      <w:bookmarkEnd w:id="8170"/>
      <w:r w:rsidRPr="008B264B">
        <w:rPr>
          <w:rFonts w:ascii="Times New Roman" w:eastAsia="Times New Roman" w:hAnsi="Times New Roman" w:cs="Times New Roman"/>
          <w:color w:val="000000"/>
          <w:sz w:val="24"/>
          <w:szCs w:val="24"/>
          <w:lang/>
        </w:rPr>
        <w:t>За ліквід з крони встановлюється рентна плата у розмірі 40 відсотків, а за порубкові залишки, що підлягають використанню, - 20 відсотків ставок рентної плати за дров’яну деревину відповідної лісової породи.</w:t>
      </w:r>
    </w:p>
    <w:p w14:paraId="07942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1" w:name="n11688"/>
      <w:bookmarkEnd w:id="8171"/>
      <w:r w:rsidRPr="008B264B">
        <w:rPr>
          <w:rFonts w:ascii="Times New Roman" w:eastAsia="Times New Roman" w:hAnsi="Times New Roman" w:cs="Times New Roman"/>
          <w:color w:val="000000"/>
          <w:sz w:val="24"/>
          <w:szCs w:val="24"/>
          <w:lang/>
        </w:rPr>
        <w:t>На деревину, заготовлену під час вибіркових рубок головного користування ставки рентної плати знижуються на 20 відсотків, а заходів щодо поліпшення якісного складу лісів, їх оздоровлення, посилення захисних властивостей (у деревостанах віком понад 40 років - рубки догляду за лісом, вибіркові санітарні рубки, вибіркові лісовідновні рубки, рубки, пов’язані з реконструкцією, ландшафтні рубки і рубки переформування) - на 50 відсотків. Знижки у відсотках обчислюються за кожною ставкою рентної плати окремо.</w:t>
      </w:r>
    </w:p>
    <w:p w14:paraId="592A70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2" w:name="n11689"/>
      <w:bookmarkEnd w:id="8172"/>
      <w:r w:rsidRPr="008B264B">
        <w:rPr>
          <w:rFonts w:ascii="Times New Roman" w:eastAsia="Times New Roman" w:hAnsi="Times New Roman" w:cs="Times New Roman"/>
          <w:color w:val="000000"/>
          <w:sz w:val="24"/>
          <w:szCs w:val="24"/>
          <w:lang/>
        </w:rPr>
        <w:t>256.10. За заготівлю другорядних лісових матеріалів, здійснення побічних лісових користувань та використання корисних властивостей лісів ставки рентної плати встановлюються Верховною Радою Автономної Республіки Крим, обласними, Київською та Севастопольською міськими радами.</w:t>
      </w:r>
    </w:p>
    <w:p w14:paraId="4C233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3" w:name="n11690"/>
      <w:bookmarkEnd w:id="8173"/>
      <w:r w:rsidRPr="008B264B">
        <w:rPr>
          <w:rFonts w:ascii="Times New Roman" w:eastAsia="Times New Roman" w:hAnsi="Times New Roman" w:cs="Times New Roman"/>
          <w:color w:val="000000"/>
          <w:sz w:val="24"/>
          <w:szCs w:val="24"/>
          <w:lang/>
        </w:rPr>
        <w:t>256.11. Порядок нарахування податкових зобов’язань з рентної плати за спеціальне використання лісових ресурсів</w:t>
      </w:r>
    </w:p>
    <w:p w14:paraId="7E2286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4" w:name="n11691"/>
      <w:bookmarkEnd w:id="8174"/>
      <w:r w:rsidRPr="008B264B">
        <w:rPr>
          <w:rFonts w:ascii="Times New Roman" w:eastAsia="Times New Roman" w:hAnsi="Times New Roman" w:cs="Times New Roman"/>
          <w:color w:val="000000"/>
          <w:sz w:val="24"/>
          <w:szCs w:val="24"/>
          <w:lang/>
        </w:rPr>
        <w:t>256.11.1. Сума рентної плати обчислюється суб’єктами лісових відносин, які видають спеціальні дозволи, і зазначається у таких дозволах.</w:t>
      </w:r>
    </w:p>
    <w:p w14:paraId="0D7CA0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5" w:name="n11692"/>
      <w:bookmarkEnd w:id="8175"/>
      <w:r w:rsidRPr="008B264B">
        <w:rPr>
          <w:rFonts w:ascii="Times New Roman" w:eastAsia="Times New Roman" w:hAnsi="Times New Roman" w:cs="Times New Roman"/>
          <w:color w:val="000000"/>
          <w:sz w:val="24"/>
          <w:szCs w:val="24"/>
          <w:lang/>
        </w:rPr>
        <w:t>256.11.2. Сума рентної плати, зазначена в лісорубному та в лісовому квитках, підлягає перерахунку суб’єктом лісових відносин, який видає спеціальні дозволи, у разі коли:</w:t>
      </w:r>
    </w:p>
    <w:p w14:paraId="0129D0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6" w:name="n11693"/>
      <w:bookmarkEnd w:id="8176"/>
      <w:r w:rsidRPr="008B264B">
        <w:rPr>
          <w:rFonts w:ascii="Times New Roman" w:eastAsia="Times New Roman" w:hAnsi="Times New Roman" w:cs="Times New Roman"/>
          <w:color w:val="000000"/>
          <w:sz w:val="24"/>
          <w:szCs w:val="24"/>
          <w:lang/>
        </w:rPr>
        <w:t>загальна кількість фактично заготовленої деревини під час її відпуску з обліком за площею перевищує зазначену в лісорубному квитку та кількість більше ніж на 10 відсотків;</w:t>
      </w:r>
    </w:p>
    <w:p w14:paraId="3C2A93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7" w:name="n11694"/>
      <w:bookmarkEnd w:id="8177"/>
      <w:r w:rsidRPr="008B264B">
        <w:rPr>
          <w:rFonts w:ascii="Times New Roman" w:eastAsia="Times New Roman" w:hAnsi="Times New Roman" w:cs="Times New Roman"/>
          <w:color w:val="000000"/>
          <w:sz w:val="24"/>
          <w:szCs w:val="24"/>
          <w:lang/>
        </w:rPr>
        <w:t>фактичний обсяг використання лісових ресурсів перевищує зазначений у лісовому квитку на весь обсяг такого перевищення.</w:t>
      </w:r>
    </w:p>
    <w:p w14:paraId="487296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8" w:name="n11695"/>
      <w:bookmarkEnd w:id="8178"/>
      <w:r w:rsidRPr="008B264B">
        <w:rPr>
          <w:rFonts w:ascii="Times New Roman" w:eastAsia="Times New Roman" w:hAnsi="Times New Roman" w:cs="Times New Roman"/>
          <w:color w:val="000000"/>
          <w:sz w:val="24"/>
          <w:szCs w:val="24"/>
          <w:lang/>
        </w:rPr>
        <w:lastRenderedPageBreak/>
        <w:t>Підставою для перерахунку є спеціальні дозволи та акти огляду місць використання лісових ресурсів.</w:t>
      </w:r>
    </w:p>
    <w:p w14:paraId="6EFEAD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79" w:name="n11696"/>
      <w:bookmarkEnd w:id="8179"/>
      <w:r w:rsidRPr="008B264B">
        <w:rPr>
          <w:rFonts w:ascii="Times New Roman" w:eastAsia="Times New Roman" w:hAnsi="Times New Roman" w:cs="Times New Roman"/>
          <w:color w:val="000000"/>
          <w:sz w:val="24"/>
          <w:szCs w:val="24"/>
          <w:lang/>
        </w:rPr>
        <w:t>256.11.3. Суб’єктом лісових відносин, який видає спеціальні дозволи, перерахунок рентної плати за заготівлю деревини і заготівлю другорядних лісових матеріалів, побічні лісові користування та використання корисних властивостей лісів здійснюється також у разі:</w:t>
      </w:r>
    </w:p>
    <w:p w14:paraId="3B5B60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0" w:name="n11697"/>
      <w:bookmarkEnd w:id="8180"/>
      <w:r w:rsidRPr="008B264B">
        <w:rPr>
          <w:rFonts w:ascii="Times New Roman" w:eastAsia="Times New Roman" w:hAnsi="Times New Roman" w:cs="Times New Roman"/>
          <w:color w:val="000000"/>
          <w:sz w:val="24"/>
          <w:szCs w:val="24"/>
          <w:lang/>
        </w:rPr>
        <w:t>а) виправлення технічних помилок, які можуть бути допущені під час проведення матеріальної і грошової оцінки лісосік, другорядних лісових матеріалів, побічних лісових користувань та використання корисних властивостей лісів, відпущених за лісорубними квитками або лісовими квитками, неправильного застосування сортиментних таблиць, поясів, розрядів та ставок рентної плати, а також виправлення арифметичних помилок, допущених під час підрахунків;</w:t>
      </w:r>
    </w:p>
    <w:p w14:paraId="3B8F4E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1" w:name="n11698"/>
      <w:bookmarkEnd w:id="8181"/>
      <w:r w:rsidRPr="008B264B">
        <w:rPr>
          <w:rFonts w:ascii="Times New Roman" w:eastAsia="Times New Roman" w:hAnsi="Times New Roman" w:cs="Times New Roman"/>
          <w:color w:val="000000"/>
          <w:sz w:val="24"/>
          <w:szCs w:val="24"/>
          <w:lang/>
        </w:rPr>
        <w:t>б) анулювання лісорубного та/або лісового квитка у зв’язку з вилученням земель для інших потреб. В інших випадках анулювання або видачі дубліката лісорубного квитка та/або лісового квитка перерахунок рентної плати не здійснюється і вся нарахована за такими квитками сума рентної плати повністю сплачується до відповідних бюджетів;</w:t>
      </w:r>
    </w:p>
    <w:p w14:paraId="03B321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2" w:name="n11699"/>
      <w:bookmarkEnd w:id="8182"/>
      <w:r w:rsidRPr="008B264B">
        <w:rPr>
          <w:rFonts w:ascii="Times New Roman" w:eastAsia="Times New Roman" w:hAnsi="Times New Roman" w:cs="Times New Roman"/>
          <w:color w:val="000000"/>
          <w:sz w:val="24"/>
          <w:szCs w:val="24"/>
          <w:lang/>
        </w:rPr>
        <w:t>в) надання лісокористувачеві відстрочки:</w:t>
      </w:r>
    </w:p>
    <w:p w14:paraId="0A0F28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3" w:name="n11700"/>
      <w:bookmarkEnd w:id="8183"/>
      <w:r w:rsidRPr="008B264B">
        <w:rPr>
          <w:rFonts w:ascii="Times New Roman" w:eastAsia="Times New Roman" w:hAnsi="Times New Roman" w:cs="Times New Roman"/>
          <w:color w:val="000000"/>
          <w:sz w:val="24"/>
          <w:szCs w:val="24"/>
          <w:lang/>
        </w:rPr>
        <w:t>на заготівлю деревини - сума рентної плати за заготівлю залишеної на пні деревини збільшується на 1,5 відсотка незалежно від строку, на який надано відстрочку;</w:t>
      </w:r>
    </w:p>
    <w:p w14:paraId="028DF2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4" w:name="n11701"/>
      <w:bookmarkEnd w:id="8184"/>
      <w:r w:rsidRPr="008B264B">
        <w:rPr>
          <w:rFonts w:ascii="Times New Roman" w:eastAsia="Times New Roman" w:hAnsi="Times New Roman" w:cs="Times New Roman"/>
          <w:color w:val="000000"/>
          <w:sz w:val="24"/>
          <w:szCs w:val="24"/>
          <w:lang/>
        </w:rPr>
        <w:t>на вивезення деревини - сума рентної плати за невивезену вчасно деревину збільшується на 1,5 відсотка за кожний місяць відстрочки;</w:t>
      </w:r>
    </w:p>
    <w:p w14:paraId="1A9549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5" w:name="n11702"/>
      <w:bookmarkEnd w:id="8185"/>
      <w:r w:rsidRPr="008B264B">
        <w:rPr>
          <w:rFonts w:ascii="Times New Roman" w:eastAsia="Times New Roman" w:hAnsi="Times New Roman" w:cs="Times New Roman"/>
          <w:color w:val="000000"/>
          <w:sz w:val="24"/>
          <w:szCs w:val="24"/>
          <w:lang/>
        </w:rPr>
        <w:t>г) додаткового продовження строку вивезення, але не більш як на три місяці. При цьому лісокористувачем сума рентної плати за обсяг невивезеної вчасно деревини збільшується на 5 відсотків за кожний місяць відстрочки.</w:t>
      </w:r>
    </w:p>
    <w:p w14:paraId="6C35FD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6" w:name="n11703"/>
      <w:bookmarkEnd w:id="8186"/>
      <w:r w:rsidRPr="008B264B">
        <w:rPr>
          <w:rFonts w:ascii="Times New Roman" w:eastAsia="Times New Roman" w:hAnsi="Times New Roman" w:cs="Times New Roman"/>
          <w:color w:val="000000"/>
          <w:sz w:val="24"/>
          <w:szCs w:val="24"/>
          <w:lang/>
        </w:rPr>
        <w:t>256.11.4. Незалежно від способу обліку деревини, що відпускається на пні (за площею, пеньками, приблизною кількістю), лісокористувачі, які допустили неповну заготівлю деревини, що дозволена для вирубки за виписаними лісорубними квитками, або взагалі її не проводили, рентну плату обчислюють і сплачують повністю за всю дозволену для заготівлі кількість деревини, що зазначена в дозволі.</w:t>
      </w:r>
    </w:p>
    <w:p w14:paraId="6E4A22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7" w:name="n11704"/>
      <w:bookmarkEnd w:id="8187"/>
      <w:r w:rsidRPr="008B264B">
        <w:rPr>
          <w:rFonts w:ascii="Times New Roman" w:eastAsia="Times New Roman" w:hAnsi="Times New Roman" w:cs="Times New Roman"/>
          <w:color w:val="000000"/>
          <w:sz w:val="24"/>
          <w:szCs w:val="24"/>
          <w:lang/>
        </w:rPr>
        <w:t>256.11.5. Лісокористувачі, у яких за результатами діяльності здійснюється перерахунок рентної плати, відображають донараховані суми рентної плати в податковій декларації.</w:t>
      </w:r>
    </w:p>
    <w:p w14:paraId="2D132D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8" w:name="n11705"/>
      <w:bookmarkEnd w:id="8188"/>
      <w:r w:rsidRPr="008B264B">
        <w:rPr>
          <w:rFonts w:ascii="Times New Roman" w:eastAsia="Times New Roman" w:hAnsi="Times New Roman" w:cs="Times New Roman"/>
          <w:color w:val="000000"/>
          <w:sz w:val="24"/>
          <w:szCs w:val="24"/>
          <w:lang/>
        </w:rPr>
        <w:t>256.11.6. Лісокористувачі щокварталу складають податкову декларацію з рентної плати наростаючим підсумком з початку року, за винятком:</w:t>
      </w:r>
    </w:p>
    <w:p w14:paraId="53C965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89" w:name="n11706"/>
      <w:bookmarkEnd w:id="8189"/>
      <w:r w:rsidRPr="008B264B">
        <w:rPr>
          <w:rFonts w:ascii="Times New Roman" w:eastAsia="Times New Roman" w:hAnsi="Times New Roman" w:cs="Times New Roman"/>
          <w:color w:val="000000"/>
          <w:sz w:val="24"/>
          <w:szCs w:val="24"/>
          <w:lang/>
        </w:rPr>
        <w:t>а) лісокористувачів, якими до отримання лісорубних та лісових квитків рентна плата вноситься в каси суб’єктів лісових відносин, які їх видають:</w:t>
      </w:r>
    </w:p>
    <w:p w14:paraId="704229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0" w:name="n11707"/>
      <w:bookmarkEnd w:id="8190"/>
      <w:r w:rsidRPr="008B264B">
        <w:rPr>
          <w:rFonts w:ascii="Times New Roman" w:eastAsia="Times New Roman" w:hAnsi="Times New Roman" w:cs="Times New Roman"/>
          <w:color w:val="000000"/>
          <w:sz w:val="24"/>
          <w:szCs w:val="24"/>
          <w:lang/>
        </w:rPr>
        <w:t>фізичних осіб, а також фізичних осіб - підприємців, яким видано лісорубні та лісові квитки;</w:t>
      </w:r>
    </w:p>
    <w:p w14:paraId="354F49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1" w:name="n11708"/>
      <w:bookmarkEnd w:id="8191"/>
      <w:r w:rsidRPr="008B264B">
        <w:rPr>
          <w:rFonts w:ascii="Times New Roman" w:eastAsia="Times New Roman" w:hAnsi="Times New Roman" w:cs="Times New Roman"/>
          <w:color w:val="000000"/>
          <w:sz w:val="24"/>
          <w:szCs w:val="24"/>
          <w:lang/>
        </w:rPr>
        <w:t>лісокористувачів (крім фізичних осіб, а також фізичних осіб - підприємців, яким видано лісові квитки), у яких сума рентної плати в лісорубному чи лісовому квитках не перевищує 25 відсотків однієї мінімальної заробітної плати, встановленої законом на 1 січня року, в якому сплачується рентна плата;</w:t>
      </w:r>
    </w:p>
    <w:p w14:paraId="3DB378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2" w:name="n13367"/>
      <w:bookmarkEnd w:id="8192"/>
      <w:r w:rsidRPr="008B264B">
        <w:rPr>
          <w:rFonts w:ascii="Times New Roman" w:eastAsia="Times New Roman" w:hAnsi="Times New Roman" w:cs="Times New Roman"/>
          <w:i/>
          <w:iCs/>
          <w:color w:val="000000"/>
          <w:sz w:val="24"/>
          <w:szCs w:val="24"/>
          <w:lang/>
        </w:rPr>
        <w:t>{Абзац третій підпункту "а" підпункту 256.11.6.пункт 256.11 статті 256 із змінами, внесеними згідно із Законом </w:t>
      </w:r>
      <w:hyperlink r:id="rId4546" w:anchor="n11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91C16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3" w:name="n11709"/>
      <w:bookmarkEnd w:id="8193"/>
      <w:r w:rsidRPr="008B264B">
        <w:rPr>
          <w:rFonts w:ascii="Times New Roman" w:eastAsia="Times New Roman" w:hAnsi="Times New Roman" w:cs="Times New Roman"/>
          <w:color w:val="000000"/>
          <w:sz w:val="24"/>
          <w:szCs w:val="24"/>
          <w:lang/>
        </w:rPr>
        <w:t>б) лісокористувачів з іншої області, які сплачують рентну плату повністю до видачі їм спеціального дозволу за місцезнаходженням лісової ділянки, на якій здійснюється заготівля деревини.</w:t>
      </w:r>
    </w:p>
    <w:p w14:paraId="358D24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4" w:name="n11710"/>
      <w:bookmarkEnd w:id="8194"/>
      <w:r w:rsidRPr="008B264B">
        <w:rPr>
          <w:rFonts w:ascii="Times New Roman" w:eastAsia="Times New Roman" w:hAnsi="Times New Roman" w:cs="Times New Roman"/>
          <w:color w:val="000000"/>
          <w:sz w:val="24"/>
          <w:szCs w:val="24"/>
          <w:lang/>
        </w:rPr>
        <w:t xml:space="preserve">256.11.7. Про надходження суми рентної плати в касу суб’єкта лісових відносин, що видає спеціальні дозволи, у спеціально заведеній книзі робиться запис і лісокористувачеві видається </w:t>
      </w:r>
      <w:r w:rsidRPr="008B264B">
        <w:rPr>
          <w:rFonts w:ascii="Times New Roman" w:eastAsia="Times New Roman" w:hAnsi="Times New Roman" w:cs="Times New Roman"/>
          <w:color w:val="000000"/>
          <w:sz w:val="24"/>
          <w:szCs w:val="24"/>
          <w:lang/>
        </w:rPr>
        <w:lastRenderedPageBreak/>
        <w:t>квитанція. Одночасно в лісорубних та лісових квитках робиться позначка про сплату рентної плати в касу (зазначаються номер і дата квитанції про сплату).</w:t>
      </w:r>
    </w:p>
    <w:p w14:paraId="02C9D1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5" w:name="n11711"/>
      <w:bookmarkEnd w:id="8195"/>
      <w:r w:rsidRPr="008B264B">
        <w:rPr>
          <w:rFonts w:ascii="Times New Roman" w:eastAsia="Times New Roman" w:hAnsi="Times New Roman" w:cs="Times New Roman"/>
          <w:color w:val="000000"/>
          <w:sz w:val="24"/>
          <w:szCs w:val="24"/>
          <w:lang/>
        </w:rPr>
        <w:t>256.11.8. При отриманні дозволу в поточному році (або донарахуванні суми рентної плати) після чергового строку сплати рентної плати лісокористувачі сплачують усі суми рентної плати за строками, що минули.</w:t>
      </w:r>
    </w:p>
    <w:p w14:paraId="136772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6" w:name="n11712"/>
      <w:bookmarkEnd w:id="8196"/>
      <w:r w:rsidRPr="008B264B">
        <w:rPr>
          <w:rFonts w:ascii="Times New Roman" w:eastAsia="Times New Roman" w:hAnsi="Times New Roman" w:cs="Times New Roman"/>
          <w:color w:val="000000"/>
          <w:sz w:val="24"/>
          <w:szCs w:val="24"/>
          <w:lang/>
        </w:rPr>
        <w:t>256.12. Порядок подання декларації, строки сплати, відповідальність платників рентної плати та контроль за її справлянням визначено статтями 257 і 258 цього Кодексу.</w:t>
      </w:r>
    </w:p>
    <w:p w14:paraId="02AF61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7" w:name="n11713"/>
      <w:bookmarkEnd w:id="8197"/>
      <w:r w:rsidRPr="008B264B">
        <w:rPr>
          <w:rFonts w:ascii="Times New Roman" w:eastAsia="Times New Roman" w:hAnsi="Times New Roman" w:cs="Times New Roman"/>
          <w:b/>
          <w:bCs/>
          <w:color w:val="000000"/>
          <w:sz w:val="24"/>
          <w:szCs w:val="24"/>
          <w:lang/>
        </w:rPr>
        <w:t>Стаття 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4"/>
          <w:szCs w:val="24"/>
          <w:lang/>
        </w:rPr>
        <w:t>.</w:t>
      </w:r>
      <w:r w:rsidRPr="008B264B">
        <w:rPr>
          <w:rFonts w:ascii="Times New Roman" w:eastAsia="Times New Roman" w:hAnsi="Times New Roman" w:cs="Times New Roman"/>
          <w:color w:val="000000"/>
          <w:sz w:val="24"/>
          <w:szCs w:val="24"/>
          <w:lang/>
        </w:rPr>
        <w:t> Рентна плата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w:t>
      </w:r>
    </w:p>
    <w:p w14:paraId="1D32F5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8" w:name="n11714"/>
      <w:bookmarkEnd w:id="8198"/>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Платниками рентної плати є суб’єкти господарювання, які експлуатують об’єкти магістральних трубопроводів та надають (організовують) послуги з транспортування (переміщення) вантажу трубопроводами України.</w:t>
      </w:r>
    </w:p>
    <w:p w14:paraId="47121E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199" w:name="n11716"/>
      <w:bookmarkEnd w:id="8199"/>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Об’єктом оподаткування рентною платою:</w:t>
      </w:r>
    </w:p>
    <w:p w14:paraId="1D15F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0" w:name="n11717"/>
      <w:bookmarkEnd w:id="8200"/>
      <w:r w:rsidRPr="008B264B">
        <w:rPr>
          <w:rFonts w:ascii="Times New Roman" w:eastAsia="Times New Roman" w:hAnsi="Times New Roman" w:cs="Times New Roman"/>
          <w:color w:val="000000"/>
          <w:sz w:val="24"/>
          <w:szCs w:val="24"/>
          <w:lang/>
        </w:rPr>
        <w:t>для нафти та нафтопродуктів є їх фактичні обсяги, що транспортуються територією України у податковому (звітному) періоді;</w:t>
      </w:r>
    </w:p>
    <w:p w14:paraId="6F7484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1" w:name="n11718"/>
      <w:bookmarkEnd w:id="8201"/>
      <w:r w:rsidRPr="008B264B">
        <w:rPr>
          <w:rFonts w:ascii="Times New Roman" w:eastAsia="Times New Roman" w:hAnsi="Times New Roman" w:cs="Times New Roman"/>
          <w:color w:val="000000"/>
          <w:sz w:val="24"/>
          <w:szCs w:val="24"/>
          <w:lang/>
        </w:rPr>
        <w:t>для аміаку є сума добутків відстаней відповідних маршрутів його транспортування (переміщення), узгоджених між платником рентної плати та замовником на відповідний податковий (звітний) період, на обсяги аміаку, транспортованого (переміщеного) кожним маршрутом транспортування.</w:t>
      </w:r>
    </w:p>
    <w:p w14:paraId="641777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2" w:name="n11719"/>
      <w:bookmarkEnd w:id="8202"/>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Ставки оподаткування:</w:t>
      </w:r>
    </w:p>
    <w:p w14:paraId="735AD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3" w:name="n11720"/>
      <w:bookmarkEnd w:id="8203"/>
      <w:r w:rsidRPr="008B264B">
        <w:rPr>
          <w:rFonts w:ascii="Times New Roman" w:eastAsia="Times New Roman" w:hAnsi="Times New Roman" w:cs="Times New Roman"/>
          <w:color w:val="000000"/>
          <w:sz w:val="24"/>
          <w:szCs w:val="24"/>
          <w:lang/>
        </w:rPr>
        <w:t>0,56 долара США за транспортування однієї тонни нафти магістральними нафтопроводами;</w:t>
      </w:r>
    </w:p>
    <w:p w14:paraId="7ECCB2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4" w:name="n11722"/>
      <w:bookmarkEnd w:id="8204"/>
      <w:r w:rsidRPr="008B264B">
        <w:rPr>
          <w:rFonts w:ascii="Times New Roman" w:eastAsia="Times New Roman" w:hAnsi="Times New Roman" w:cs="Times New Roman"/>
          <w:color w:val="000000"/>
          <w:sz w:val="24"/>
          <w:szCs w:val="24"/>
          <w:lang/>
        </w:rPr>
        <w:t>0,56 долара США за транспортування однієї тонни нафтопродуктів магістральними нафтопродуктопроводами;</w:t>
      </w:r>
    </w:p>
    <w:p w14:paraId="0DF2FD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5" w:name="n11723"/>
      <w:bookmarkEnd w:id="8205"/>
      <w:r w:rsidRPr="008B264B">
        <w:rPr>
          <w:rFonts w:ascii="Times New Roman" w:eastAsia="Times New Roman" w:hAnsi="Times New Roman" w:cs="Times New Roman"/>
          <w:color w:val="000000"/>
          <w:sz w:val="24"/>
          <w:szCs w:val="24"/>
          <w:lang/>
        </w:rPr>
        <w:t>2,4 долара США за транзитне транспортування однієї тонни аміаку за кожні 100 кілометрів відстані відповідних маршрутів його транспортування.</w:t>
      </w:r>
    </w:p>
    <w:p w14:paraId="3DFC40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6" w:name="n11724"/>
      <w:bookmarkEnd w:id="8206"/>
      <w:r w:rsidRPr="008B264B">
        <w:rPr>
          <w:rFonts w:ascii="Times New Roman" w:eastAsia="Times New Roman" w:hAnsi="Times New Roman" w:cs="Times New Roman"/>
          <w:color w:val="000000"/>
          <w:sz w:val="24"/>
          <w:szCs w:val="24"/>
          <w:lang/>
        </w:rPr>
        <w:t>У разі зміни тарифів на транспортування до ставок рентної плати застосовується коригуючий коефіцієнт, який обчислюється у </w:t>
      </w:r>
      <w:hyperlink r:id="rId4547" w:anchor="n8"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встановленому Кабінетом Міністрів України, крім ставки рентної плати за транзитне транспортування аміаку та за транспортування нафти магістральними нафтопроводами для споживачів України.</w:t>
      </w:r>
    </w:p>
    <w:p w14:paraId="114B10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7" w:name="n11725"/>
      <w:bookmarkEnd w:id="8207"/>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 Сума податкових зобов’язань з рентної плати обчислюється як добуток відповідного об’єкта оподаткування, визначеного у підпункті 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цієї статті, на відповідну ставку оподаткування, визначену у пункті 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цієї статті, та з урахуванням коригуючого коефіцієнта, визначеного в установленому порядку.</w:t>
      </w:r>
    </w:p>
    <w:p w14:paraId="07C334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8" w:name="n11726"/>
      <w:bookmarkEnd w:id="8208"/>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 Сума податкових зобов’язань з рентної плати за податковий (звітний) період сплачується виходячи з:</w:t>
      </w:r>
    </w:p>
    <w:p w14:paraId="66D0E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09" w:name="n11727"/>
      <w:bookmarkEnd w:id="8209"/>
      <w:r w:rsidRPr="008B264B">
        <w:rPr>
          <w:rFonts w:ascii="Times New Roman" w:eastAsia="Times New Roman" w:hAnsi="Times New Roman" w:cs="Times New Roman"/>
          <w:color w:val="000000"/>
          <w:sz w:val="24"/>
          <w:szCs w:val="24"/>
          <w:lang/>
        </w:rPr>
        <w:t>фактичних обсягів аміаку і відстані відповідних маршрутів його транспортування територією України;</w:t>
      </w:r>
    </w:p>
    <w:p w14:paraId="77441C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0" w:name="n11728"/>
      <w:bookmarkEnd w:id="8210"/>
      <w:r w:rsidRPr="008B264B">
        <w:rPr>
          <w:rFonts w:ascii="Times New Roman" w:eastAsia="Times New Roman" w:hAnsi="Times New Roman" w:cs="Times New Roman"/>
          <w:color w:val="000000"/>
          <w:sz w:val="24"/>
          <w:szCs w:val="24"/>
          <w:lang/>
        </w:rPr>
        <w:t>фактичних обсягів нафти і нафтопродуктів, що транспортуються територією України.</w:t>
      </w:r>
    </w:p>
    <w:p w14:paraId="0AFC9E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1" w:name="n11729"/>
      <w:bookmarkEnd w:id="8211"/>
      <w:r w:rsidRPr="008B264B">
        <w:rPr>
          <w:rFonts w:ascii="Times New Roman" w:eastAsia="Times New Roman" w:hAnsi="Times New Roman" w:cs="Times New Roman"/>
          <w:color w:val="000000"/>
          <w:sz w:val="24"/>
          <w:szCs w:val="24"/>
          <w:lang/>
        </w:rPr>
        <w:t>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.6. Для цілей цієї статті застосовуються такі терміни:</w:t>
      </w:r>
    </w:p>
    <w:p w14:paraId="184E6B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2" w:name="n11730"/>
      <w:bookmarkEnd w:id="8212"/>
      <w:r w:rsidRPr="008B264B">
        <w:rPr>
          <w:rFonts w:ascii="Times New Roman" w:eastAsia="Times New Roman" w:hAnsi="Times New Roman" w:cs="Times New Roman"/>
          <w:color w:val="000000"/>
          <w:sz w:val="24"/>
          <w:szCs w:val="24"/>
          <w:lang/>
        </w:rPr>
        <w:t>вантаж - нафта та продукти її переробки (нафтопродукти), а також аміак;</w:t>
      </w:r>
    </w:p>
    <w:p w14:paraId="1374D3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3" w:name="n11731"/>
      <w:bookmarkEnd w:id="8213"/>
      <w:r w:rsidRPr="008B264B">
        <w:rPr>
          <w:rFonts w:ascii="Times New Roman" w:eastAsia="Times New Roman" w:hAnsi="Times New Roman" w:cs="Times New Roman"/>
          <w:color w:val="000000"/>
          <w:sz w:val="24"/>
          <w:szCs w:val="24"/>
          <w:lang/>
        </w:rPr>
        <w:t>відповідний маршрут - шлях транспортування (переміщення) вантажу, що визначається видом транспортних послуг під час його транзиту трубопроводами, зокрема:</w:t>
      </w:r>
    </w:p>
    <w:p w14:paraId="03D0CB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4" w:name="n11732"/>
      <w:bookmarkEnd w:id="8214"/>
      <w:r w:rsidRPr="008B264B">
        <w:rPr>
          <w:rFonts w:ascii="Times New Roman" w:eastAsia="Times New Roman" w:hAnsi="Times New Roman" w:cs="Times New Roman"/>
          <w:color w:val="000000"/>
          <w:sz w:val="24"/>
          <w:szCs w:val="24"/>
          <w:lang/>
        </w:rPr>
        <w:lastRenderedPageBreak/>
        <w:t>а) між прикордонними пунктами приймання (відправлення) та призначення або перевалювальним комплексом для вантажу, що надійшов з територій інших держав і призначений для споживачів за межами України;</w:t>
      </w:r>
    </w:p>
    <w:p w14:paraId="7C2A0E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5" w:name="n11733"/>
      <w:bookmarkEnd w:id="8215"/>
      <w:r w:rsidRPr="008B264B">
        <w:rPr>
          <w:rFonts w:ascii="Times New Roman" w:eastAsia="Times New Roman" w:hAnsi="Times New Roman" w:cs="Times New Roman"/>
          <w:color w:val="000000"/>
          <w:sz w:val="24"/>
          <w:szCs w:val="24"/>
          <w:lang/>
        </w:rPr>
        <w:t>б) магістральними трубопроводами, у тому числі з наданням послуг з тимчасового зберігання або переробки вантажу на території України, з подальшим переміщенням за її межі;</w:t>
      </w:r>
    </w:p>
    <w:p w14:paraId="7477E1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6" w:name="n11734"/>
      <w:bookmarkEnd w:id="8216"/>
      <w:r w:rsidRPr="008B264B">
        <w:rPr>
          <w:rFonts w:ascii="Times New Roman" w:eastAsia="Times New Roman" w:hAnsi="Times New Roman" w:cs="Times New Roman"/>
          <w:color w:val="000000"/>
          <w:sz w:val="24"/>
          <w:szCs w:val="24"/>
          <w:lang/>
        </w:rPr>
        <w:t>маршрут транспортування - шлях транспортування (переміщення) вантажу між пунктами приймання (відправлення) та призначення, що визначені сторонами в істотних умовах договору з надання транспортних послуг;</w:t>
      </w:r>
    </w:p>
    <w:p w14:paraId="3617D7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7" w:name="n11735"/>
      <w:bookmarkEnd w:id="8217"/>
      <w:r w:rsidRPr="008B264B">
        <w:rPr>
          <w:rFonts w:ascii="Times New Roman" w:eastAsia="Times New Roman" w:hAnsi="Times New Roman" w:cs="Times New Roman"/>
          <w:color w:val="000000"/>
          <w:sz w:val="24"/>
          <w:szCs w:val="24"/>
          <w:lang/>
        </w:rPr>
        <w:t>послуги - транспортування (переміщення) вантажу магістральними трубопроводами України;</w:t>
      </w:r>
    </w:p>
    <w:p w14:paraId="4BBAAB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8" w:name="n11736"/>
      <w:bookmarkEnd w:id="8218"/>
      <w:r w:rsidRPr="008B264B">
        <w:rPr>
          <w:rFonts w:ascii="Times New Roman" w:eastAsia="Times New Roman" w:hAnsi="Times New Roman" w:cs="Times New Roman"/>
          <w:color w:val="000000"/>
          <w:sz w:val="24"/>
          <w:szCs w:val="24"/>
          <w:lang/>
        </w:rPr>
        <w:t>тариф - вартість транспортування облікової одиниці вантажу магістральними трубопроводами України (без податку на додану вартість), що встановлюється:</w:t>
      </w:r>
    </w:p>
    <w:p w14:paraId="534E12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19" w:name="n11737"/>
      <w:bookmarkEnd w:id="8219"/>
      <w:r w:rsidRPr="008B264B">
        <w:rPr>
          <w:rFonts w:ascii="Times New Roman" w:eastAsia="Times New Roman" w:hAnsi="Times New Roman" w:cs="Times New Roman"/>
          <w:color w:val="000000"/>
          <w:sz w:val="24"/>
          <w:szCs w:val="24"/>
          <w:lang/>
        </w:rPr>
        <w:t>на транспортування для споживачів України - органом державної влади, уповноваженим відповідно до законодавства;</w:t>
      </w:r>
    </w:p>
    <w:p w14:paraId="75273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0" w:name="n11738"/>
      <w:bookmarkEnd w:id="8220"/>
      <w:r w:rsidRPr="008B264B">
        <w:rPr>
          <w:rFonts w:ascii="Times New Roman" w:eastAsia="Times New Roman" w:hAnsi="Times New Roman" w:cs="Times New Roman"/>
          <w:color w:val="000000"/>
          <w:sz w:val="24"/>
          <w:szCs w:val="24"/>
          <w:lang/>
        </w:rPr>
        <w:t>для транзиту територією України - на підставі договорів.</w:t>
      </w:r>
    </w:p>
    <w:p w14:paraId="7BAB85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1" w:name="n12910"/>
      <w:bookmarkEnd w:id="8221"/>
      <w:r w:rsidRPr="008B264B">
        <w:rPr>
          <w:rFonts w:ascii="Times New Roman" w:eastAsia="Times New Roman" w:hAnsi="Times New Roman" w:cs="Times New Roman"/>
          <w:i/>
          <w:iCs/>
          <w:color w:val="000000"/>
          <w:sz w:val="24"/>
          <w:szCs w:val="24"/>
          <w:lang/>
        </w:rPr>
        <w:t>{Стаття 256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548" w:anchor="n18"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 в редакції Закону </w:t>
      </w:r>
      <w:hyperlink r:id="rId4549" w:anchor="n55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E3C1C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2" w:name="n11739"/>
      <w:bookmarkEnd w:id="8222"/>
      <w:r w:rsidRPr="008B264B">
        <w:rPr>
          <w:rFonts w:ascii="Times New Roman" w:eastAsia="Times New Roman" w:hAnsi="Times New Roman" w:cs="Times New Roman"/>
          <w:b/>
          <w:bCs/>
          <w:color w:val="000000"/>
          <w:sz w:val="24"/>
          <w:szCs w:val="24"/>
          <w:lang/>
        </w:rPr>
        <w:t>Стаття 257. </w:t>
      </w:r>
      <w:r w:rsidRPr="008B264B">
        <w:rPr>
          <w:rFonts w:ascii="Times New Roman" w:eastAsia="Times New Roman" w:hAnsi="Times New Roman" w:cs="Times New Roman"/>
          <w:color w:val="000000"/>
          <w:sz w:val="24"/>
          <w:szCs w:val="24"/>
          <w:lang/>
        </w:rPr>
        <w:t>Подання декларації і строки сплати рентної плати</w:t>
      </w:r>
    </w:p>
    <w:p w14:paraId="6326B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3" w:name="n11740"/>
      <w:bookmarkEnd w:id="8223"/>
      <w:r w:rsidRPr="008B264B">
        <w:rPr>
          <w:rFonts w:ascii="Times New Roman" w:eastAsia="Times New Roman" w:hAnsi="Times New Roman" w:cs="Times New Roman"/>
          <w:color w:val="000000"/>
          <w:sz w:val="24"/>
          <w:szCs w:val="24"/>
          <w:lang/>
        </w:rPr>
        <w:t>257.1. Базовий податковий (звітний) період для рентної плати дорівнює календарному кварталу, а для рентної плати за користування надрами для видобування корисних копалин за видобування нафти, конденсату, природного газу, у тому числі газу, розчиненого у нафті (нафтового (попутного) газу), етану, пропану, бутану, рентної плати за користування радіочастотним ресурсом України та рентної плати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 дорівнює календарному місяцю.</w:t>
      </w:r>
    </w:p>
    <w:p w14:paraId="5F0092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4" w:name="n12911"/>
      <w:bookmarkEnd w:id="8224"/>
      <w:r w:rsidRPr="008B264B">
        <w:rPr>
          <w:rFonts w:ascii="Times New Roman" w:eastAsia="Times New Roman" w:hAnsi="Times New Roman" w:cs="Times New Roman"/>
          <w:i/>
          <w:iCs/>
          <w:color w:val="000000"/>
          <w:sz w:val="24"/>
          <w:szCs w:val="24"/>
          <w:lang/>
        </w:rPr>
        <w:t>{Пункт 257.1 статті 257в редакції Закону </w:t>
      </w:r>
      <w:hyperlink r:id="rId4550" w:anchor="n58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3F4AF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5" w:name="n11741"/>
      <w:bookmarkEnd w:id="8225"/>
      <w:r w:rsidRPr="008B264B">
        <w:rPr>
          <w:rFonts w:ascii="Times New Roman" w:eastAsia="Times New Roman" w:hAnsi="Times New Roman" w:cs="Times New Roman"/>
          <w:color w:val="000000"/>
          <w:sz w:val="24"/>
          <w:szCs w:val="24"/>
          <w:lang/>
        </w:rPr>
        <w:t>257.2. Платники рентної плати самостійно обчислюють суму податкових зобов’язань з рентної плати.</w:t>
      </w:r>
    </w:p>
    <w:p w14:paraId="4D0165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6" w:name="n11742"/>
      <w:bookmarkEnd w:id="8226"/>
      <w:r w:rsidRPr="008B264B">
        <w:rPr>
          <w:rFonts w:ascii="Times New Roman" w:eastAsia="Times New Roman" w:hAnsi="Times New Roman" w:cs="Times New Roman"/>
          <w:color w:val="000000"/>
          <w:sz w:val="24"/>
          <w:szCs w:val="24"/>
          <w:lang/>
        </w:rPr>
        <w:t>257.3. Платник рентної плати до закінчення визначеного розділом II цього Кодексу граничного строку подання податкових декларацій за податковий (звітний) період, визначений цією статтею, подає до відповідного контролюючого органу за формою, встановленою у порядку, передбаченому статтею 46 цього Кодексу, </w:t>
      </w:r>
      <w:hyperlink r:id="rId4551" w:anchor="n21" w:tgtFrame="_blank" w:history="1">
        <w:r w:rsidRPr="008B264B">
          <w:rPr>
            <w:rFonts w:ascii="Times New Roman" w:eastAsia="Times New Roman" w:hAnsi="Times New Roman" w:cs="Times New Roman"/>
            <w:color w:val="0000FF"/>
            <w:sz w:val="24"/>
            <w:szCs w:val="24"/>
            <w:u w:val="single"/>
            <w:lang/>
          </w:rPr>
          <w:t>податкову декларацію</w:t>
        </w:r>
      </w:hyperlink>
      <w:r w:rsidRPr="008B264B">
        <w:rPr>
          <w:rFonts w:ascii="Times New Roman" w:eastAsia="Times New Roman" w:hAnsi="Times New Roman" w:cs="Times New Roman"/>
          <w:color w:val="000000"/>
          <w:sz w:val="24"/>
          <w:szCs w:val="24"/>
          <w:lang/>
        </w:rPr>
        <w:t>, яка містить додатки:</w:t>
      </w:r>
    </w:p>
    <w:p w14:paraId="49B15E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7" w:name="n12912"/>
      <w:bookmarkEnd w:id="8227"/>
      <w:r w:rsidRPr="008B264B">
        <w:rPr>
          <w:rFonts w:ascii="Times New Roman" w:eastAsia="Times New Roman" w:hAnsi="Times New Roman" w:cs="Times New Roman"/>
          <w:i/>
          <w:iCs/>
          <w:color w:val="000000"/>
          <w:sz w:val="24"/>
          <w:szCs w:val="24"/>
          <w:lang/>
        </w:rPr>
        <w:t>{Абзац перший пункту 257.3 статті 257 із змінами, внесеними згідно із Законом </w:t>
      </w:r>
      <w:hyperlink r:id="rId4552" w:anchor="n58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495FA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8" w:name="n11743"/>
      <w:bookmarkEnd w:id="8228"/>
      <w:r w:rsidRPr="008B264B">
        <w:rPr>
          <w:rFonts w:ascii="Times New Roman" w:eastAsia="Times New Roman" w:hAnsi="Times New Roman" w:cs="Times New Roman"/>
          <w:color w:val="000000"/>
          <w:sz w:val="24"/>
          <w:szCs w:val="24"/>
          <w:lang/>
        </w:rPr>
        <w:t>257.3.1. з рентної плати за користування надрами для видобування корисних копалин:</w:t>
      </w:r>
    </w:p>
    <w:p w14:paraId="78C49E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29" w:name="n11744"/>
      <w:bookmarkEnd w:id="8229"/>
      <w:r w:rsidRPr="008B264B">
        <w:rPr>
          <w:rFonts w:ascii="Times New Roman" w:eastAsia="Times New Roman" w:hAnsi="Times New Roman" w:cs="Times New Roman"/>
          <w:color w:val="000000"/>
          <w:sz w:val="24"/>
          <w:szCs w:val="24"/>
          <w:lang/>
        </w:rPr>
        <w:t>за місцезнаходженням ділянки надр, з якої видобуті корисні копалини, у разі розміщення такої ділянки надр у межах території України;</w:t>
      </w:r>
    </w:p>
    <w:p w14:paraId="2A1223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0" w:name="n11745"/>
      <w:bookmarkEnd w:id="8230"/>
      <w:r w:rsidRPr="008B264B">
        <w:rPr>
          <w:rFonts w:ascii="Times New Roman" w:eastAsia="Times New Roman" w:hAnsi="Times New Roman" w:cs="Times New Roman"/>
          <w:color w:val="000000"/>
          <w:sz w:val="24"/>
          <w:szCs w:val="24"/>
          <w:lang/>
        </w:rPr>
        <w:t>за місцем обліку платника рентної плати у разі розміщення ділянки надр, з якої видобуто корисні копалини, в межах континентального шельфу та/або виключної (морської) економічної зони України;</w:t>
      </w:r>
    </w:p>
    <w:p w14:paraId="14F03A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1" w:name="n11746"/>
      <w:bookmarkEnd w:id="8231"/>
      <w:r w:rsidRPr="008B264B">
        <w:rPr>
          <w:rFonts w:ascii="Times New Roman" w:eastAsia="Times New Roman" w:hAnsi="Times New Roman" w:cs="Times New Roman"/>
          <w:color w:val="000000"/>
          <w:sz w:val="24"/>
          <w:szCs w:val="24"/>
          <w:lang/>
        </w:rPr>
        <w:t>257.3.2. з рентної плати за користування надрами в цілях, не пов’язаних з видобуванням корисних копалин - за місцезнаходженням ділянки надр;</w:t>
      </w:r>
    </w:p>
    <w:p w14:paraId="5F0714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2" w:name="n11747"/>
      <w:bookmarkEnd w:id="8232"/>
      <w:r w:rsidRPr="008B264B">
        <w:rPr>
          <w:rFonts w:ascii="Times New Roman" w:eastAsia="Times New Roman" w:hAnsi="Times New Roman" w:cs="Times New Roman"/>
          <w:color w:val="000000"/>
          <w:sz w:val="24"/>
          <w:szCs w:val="24"/>
          <w:lang/>
        </w:rPr>
        <w:t>257.3.3. з рентної плати за користування радіочастотним ресурсом України - за місцем податкової реєстрації;</w:t>
      </w:r>
    </w:p>
    <w:p w14:paraId="2DA85C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3" w:name="n11748"/>
      <w:bookmarkEnd w:id="8233"/>
      <w:r w:rsidRPr="008B264B">
        <w:rPr>
          <w:rFonts w:ascii="Times New Roman" w:eastAsia="Times New Roman" w:hAnsi="Times New Roman" w:cs="Times New Roman"/>
          <w:color w:val="000000"/>
          <w:sz w:val="24"/>
          <w:szCs w:val="24"/>
          <w:lang/>
        </w:rPr>
        <w:lastRenderedPageBreak/>
        <w:t>257.3.4. з рентної плати за спеціальне використання води - за місцем податкової реєстрації;</w:t>
      </w:r>
    </w:p>
    <w:p w14:paraId="2EEA4F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4" w:name="n11749"/>
      <w:bookmarkEnd w:id="8234"/>
      <w:r w:rsidRPr="008B264B">
        <w:rPr>
          <w:rFonts w:ascii="Times New Roman" w:eastAsia="Times New Roman" w:hAnsi="Times New Roman" w:cs="Times New Roman"/>
          <w:color w:val="000000"/>
          <w:sz w:val="24"/>
          <w:szCs w:val="24"/>
          <w:lang/>
        </w:rPr>
        <w:t>257.3.5. з рентної плати за спеціальне використання лісових ресурсів - за місцезнаходженням лісової ділянки;</w:t>
      </w:r>
    </w:p>
    <w:p w14:paraId="6DF573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5" w:name="n11750"/>
      <w:bookmarkEnd w:id="8235"/>
      <w:r w:rsidRPr="008B264B">
        <w:rPr>
          <w:rFonts w:ascii="Times New Roman" w:eastAsia="Times New Roman" w:hAnsi="Times New Roman" w:cs="Times New Roman"/>
          <w:color w:val="000000"/>
          <w:sz w:val="24"/>
          <w:szCs w:val="24"/>
          <w:lang/>
        </w:rPr>
        <w:t>257.3.6. з рентної плати за транспортування нафти і нафтопродуктів магістральними нафтопроводами та нафтопродуктопроводами, транзитне транспортування трубопроводами аміаку територією України - за місцем його податкової реєстрації.</w:t>
      </w:r>
    </w:p>
    <w:p w14:paraId="7C6FB2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6" w:name="n12913"/>
      <w:bookmarkEnd w:id="8236"/>
      <w:r w:rsidRPr="008B264B">
        <w:rPr>
          <w:rFonts w:ascii="Times New Roman" w:eastAsia="Times New Roman" w:hAnsi="Times New Roman" w:cs="Times New Roman"/>
          <w:i/>
          <w:iCs/>
          <w:color w:val="000000"/>
          <w:sz w:val="24"/>
          <w:szCs w:val="24"/>
          <w:lang/>
        </w:rPr>
        <w:t>{Підпункт 257.3.6 пункту 257.3 статті 257 із змінами, внесеними згідно із Законом </w:t>
      </w:r>
      <w:hyperlink r:id="rId4553" w:anchor="n58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4325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7" w:name="n11751"/>
      <w:bookmarkEnd w:id="8237"/>
      <w:r w:rsidRPr="008B264B">
        <w:rPr>
          <w:rFonts w:ascii="Times New Roman" w:eastAsia="Times New Roman" w:hAnsi="Times New Roman" w:cs="Times New Roman"/>
          <w:i/>
          <w:iCs/>
          <w:color w:val="000000"/>
          <w:sz w:val="24"/>
          <w:szCs w:val="24"/>
          <w:lang/>
        </w:rPr>
        <w:t>{Пункт 257.4 статті 257 виключено на підставі Закону </w:t>
      </w:r>
      <w:hyperlink r:id="rId4554" w:anchor="n59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9CC5C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8" w:name="n11752"/>
      <w:bookmarkEnd w:id="8238"/>
      <w:r w:rsidRPr="008B264B">
        <w:rPr>
          <w:rFonts w:ascii="Times New Roman" w:eastAsia="Times New Roman" w:hAnsi="Times New Roman" w:cs="Times New Roman"/>
          <w:color w:val="000000"/>
          <w:sz w:val="24"/>
          <w:szCs w:val="24"/>
          <w:lang/>
        </w:rPr>
        <w:t>257.5. Сума податкових зобов’язань з рентної плати, визначена у податковій декларації за податковий (звітний) період, сплачується платником до бюджету протягом 10 календарних днів після закінчення граничного строку подання такої податкової декларації.</w:t>
      </w:r>
    </w:p>
    <w:p w14:paraId="30180E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39" w:name="n14358"/>
      <w:bookmarkEnd w:id="8239"/>
      <w:r w:rsidRPr="008B264B">
        <w:rPr>
          <w:rFonts w:ascii="Times New Roman" w:eastAsia="Times New Roman" w:hAnsi="Times New Roman" w:cs="Times New Roman"/>
          <w:color w:val="000000"/>
          <w:sz w:val="24"/>
          <w:szCs w:val="24"/>
          <w:lang/>
        </w:rPr>
        <w:t>Рентна плата за спеціальне використання лісових ресурсів сплачується лісокористувачами щокварталу рівними частинами від суми рентної плати, зазначеної в спеціальних дозволах, виданих у відповідному календарному році, крім сум рентної плати, сплачених відповідно до </w:t>
      </w:r>
      <w:hyperlink r:id="rId4555" w:anchor="n11706" w:history="1">
        <w:r w:rsidRPr="008B264B">
          <w:rPr>
            <w:rFonts w:ascii="Times New Roman" w:eastAsia="Times New Roman" w:hAnsi="Times New Roman" w:cs="Times New Roman"/>
            <w:color w:val="0000FF"/>
            <w:sz w:val="24"/>
            <w:szCs w:val="24"/>
            <w:u w:val="single"/>
            <w:lang/>
          </w:rPr>
          <w:t>підпунктів "а"</w:t>
        </w:r>
      </w:hyperlink>
      <w:r w:rsidRPr="008B264B">
        <w:rPr>
          <w:rFonts w:ascii="Times New Roman" w:eastAsia="Times New Roman" w:hAnsi="Times New Roman" w:cs="Times New Roman"/>
          <w:color w:val="000000"/>
          <w:sz w:val="24"/>
          <w:szCs w:val="24"/>
          <w:lang/>
        </w:rPr>
        <w:t> і </w:t>
      </w:r>
      <w:hyperlink r:id="rId4556" w:anchor="n11709" w:history="1">
        <w:r w:rsidRPr="008B264B">
          <w:rPr>
            <w:rFonts w:ascii="Times New Roman" w:eastAsia="Times New Roman" w:hAnsi="Times New Roman" w:cs="Times New Roman"/>
            <w:color w:val="0000FF"/>
            <w:sz w:val="24"/>
            <w:szCs w:val="24"/>
            <w:u w:val="single"/>
            <w:lang/>
          </w:rPr>
          <w:t>"б"</w:t>
        </w:r>
      </w:hyperlink>
      <w:r w:rsidRPr="008B264B">
        <w:rPr>
          <w:rFonts w:ascii="Times New Roman" w:eastAsia="Times New Roman" w:hAnsi="Times New Roman" w:cs="Times New Roman"/>
          <w:color w:val="000000"/>
          <w:sz w:val="24"/>
          <w:szCs w:val="24"/>
          <w:lang/>
        </w:rPr>
        <w:t> підпункту 256.11.6 пункту 256.11 статті 256 цього Кодексу.</w:t>
      </w:r>
    </w:p>
    <w:p w14:paraId="25E204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0" w:name="n14357"/>
      <w:bookmarkEnd w:id="8240"/>
      <w:r w:rsidRPr="008B264B">
        <w:rPr>
          <w:rFonts w:ascii="Times New Roman" w:eastAsia="Times New Roman" w:hAnsi="Times New Roman" w:cs="Times New Roman"/>
          <w:i/>
          <w:iCs/>
          <w:color w:val="000000"/>
          <w:sz w:val="24"/>
          <w:szCs w:val="24"/>
          <w:lang/>
        </w:rPr>
        <w:t>{Пункт 257.5 статті 257 доповено абзацом другим згідно із Законом </w:t>
      </w:r>
      <w:hyperlink r:id="rId4557" w:anchor="n13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AD8D1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1" w:name="n12914"/>
      <w:bookmarkEnd w:id="8241"/>
      <w:r w:rsidRPr="008B264B">
        <w:rPr>
          <w:rFonts w:ascii="Times New Roman" w:eastAsia="Times New Roman" w:hAnsi="Times New Roman" w:cs="Times New Roman"/>
          <w:i/>
          <w:iCs/>
          <w:color w:val="000000"/>
          <w:sz w:val="24"/>
          <w:szCs w:val="24"/>
          <w:lang/>
        </w:rPr>
        <w:t>{Пункт 257.3.6 статті 257 із змінами, внесеними згідно із Законом </w:t>
      </w:r>
      <w:hyperlink r:id="rId4558" w:anchor="n59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AE853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2" w:name="n11753"/>
      <w:bookmarkEnd w:id="8242"/>
      <w:r w:rsidRPr="008B264B">
        <w:rPr>
          <w:rFonts w:ascii="Times New Roman" w:eastAsia="Times New Roman" w:hAnsi="Times New Roman" w:cs="Times New Roman"/>
          <w:color w:val="000000"/>
          <w:sz w:val="24"/>
          <w:szCs w:val="24"/>
          <w:lang/>
        </w:rPr>
        <w:t>257.6. У разі якщо місце обліку платника рентної плати не збігається з місцезнаходженням ділянки надр, платник рентної плати за користування надрами для видобування корисних копалин та платник рентної плати за користування надрами в цілях, не пов’язаних з видобуванням корисних копалин, подає за місцем податкової реєстрації платника або уповноваженої особи копію податкової декларації та копію платіжного документа про сплату податкових зобов’язань з рентної плати.</w:t>
      </w:r>
    </w:p>
    <w:p w14:paraId="5DC86E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3" w:name="n11754"/>
      <w:bookmarkEnd w:id="8243"/>
      <w:r w:rsidRPr="008B264B">
        <w:rPr>
          <w:rFonts w:ascii="Times New Roman" w:eastAsia="Times New Roman" w:hAnsi="Times New Roman" w:cs="Times New Roman"/>
          <w:b/>
          <w:bCs/>
          <w:color w:val="000000"/>
          <w:sz w:val="24"/>
          <w:szCs w:val="24"/>
          <w:lang/>
        </w:rPr>
        <w:t>Стаття 258.</w:t>
      </w:r>
      <w:r w:rsidRPr="008B264B">
        <w:rPr>
          <w:rFonts w:ascii="Times New Roman" w:eastAsia="Times New Roman" w:hAnsi="Times New Roman" w:cs="Times New Roman"/>
          <w:color w:val="000000"/>
          <w:sz w:val="24"/>
          <w:szCs w:val="24"/>
          <w:lang/>
        </w:rPr>
        <w:t> Відповідальність платників рентної плати та контроль за її справлянням</w:t>
      </w:r>
    </w:p>
    <w:p w14:paraId="6D3A5F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4" w:name="n11755"/>
      <w:bookmarkEnd w:id="8244"/>
      <w:r w:rsidRPr="008B264B">
        <w:rPr>
          <w:rFonts w:ascii="Times New Roman" w:eastAsia="Times New Roman" w:hAnsi="Times New Roman" w:cs="Times New Roman"/>
          <w:color w:val="000000"/>
          <w:sz w:val="24"/>
          <w:szCs w:val="24"/>
          <w:lang/>
        </w:rPr>
        <w:t>258.1. Відповідальність платників рентної плати</w:t>
      </w:r>
    </w:p>
    <w:p w14:paraId="73699C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5" w:name="n11756"/>
      <w:bookmarkEnd w:id="8245"/>
      <w:r w:rsidRPr="008B264B">
        <w:rPr>
          <w:rFonts w:ascii="Times New Roman" w:eastAsia="Times New Roman" w:hAnsi="Times New Roman" w:cs="Times New Roman"/>
          <w:color w:val="000000"/>
          <w:sz w:val="24"/>
          <w:szCs w:val="24"/>
          <w:lang/>
        </w:rPr>
        <w:t>258.1.1. На платника рентної плати покладається відповідальність за правильність обчислення, повноту і своєчасність її внесення до бюджету, а також за своєчасність подання контролюючим органам відповідних податкових декларацій згідно із нормами цього Кодексу та інших законодавчих актів.</w:t>
      </w:r>
    </w:p>
    <w:p w14:paraId="359FDE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6" w:name="n11757"/>
      <w:bookmarkEnd w:id="8246"/>
      <w:r w:rsidRPr="008B264B">
        <w:rPr>
          <w:rFonts w:ascii="Times New Roman" w:eastAsia="Times New Roman" w:hAnsi="Times New Roman" w:cs="Times New Roman"/>
          <w:color w:val="000000"/>
          <w:sz w:val="24"/>
          <w:szCs w:val="24"/>
          <w:lang/>
        </w:rPr>
        <w:t>258.1.2. На суму податкових зобов’язань з рентної плати, що нарахована платником рентної плати за податковий (звітний) період, але не сплачена протягом 10 календарних днів, що настають за останнім календарним днем граничного строку подання податкової декларації, нараховується пеня в порядку, встановленому розділом II цього Кодексу.</w:t>
      </w:r>
    </w:p>
    <w:p w14:paraId="511ED2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7" w:name="n11758"/>
      <w:bookmarkEnd w:id="8247"/>
      <w:r w:rsidRPr="008B264B">
        <w:rPr>
          <w:rFonts w:ascii="Times New Roman" w:eastAsia="Times New Roman" w:hAnsi="Times New Roman" w:cs="Times New Roman"/>
          <w:color w:val="000000"/>
          <w:sz w:val="24"/>
          <w:szCs w:val="24"/>
          <w:lang/>
        </w:rPr>
        <w:t>258.2. Контроль за правильністю обчислення, своєчасністю і повнотою справляння рентної плати</w:t>
      </w:r>
    </w:p>
    <w:p w14:paraId="266F5C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8" w:name="n11759"/>
      <w:bookmarkEnd w:id="8248"/>
      <w:r w:rsidRPr="008B264B">
        <w:rPr>
          <w:rFonts w:ascii="Times New Roman" w:eastAsia="Times New Roman" w:hAnsi="Times New Roman" w:cs="Times New Roman"/>
          <w:color w:val="000000"/>
          <w:sz w:val="24"/>
          <w:szCs w:val="24"/>
          <w:lang/>
        </w:rPr>
        <w:t>258.2.1. Контроль за правильністю обчислення, своєчасністю і повнотою справляння рентної плати здійснюють контролюючі органи.</w:t>
      </w:r>
    </w:p>
    <w:p w14:paraId="193218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49" w:name="n11760"/>
      <w:bookmarkEnd w:id="8249"/>
      <w:r w:rsidRPr="008B264B">
        <w:rPr>
          <w:rFonts w:ascii="Times New Roman" w:eastAsia="Times New Roman" w:hAnsi="Times New Roman" w:cs="Times New Roman"/>
          <w:color w:val="000000"/>
          <w:sz w:val="24"/>
          <w:szCs w:val="24"/>
          <w:lang/>
        </w:rPr>
        <w:t>258.2.2. Особливості контролю за справлянням рентної плати за користування надрами для видобування корисних копалин</w:t>
      </w:r>
    </w:p>
    <w:p w14:paraId="31D0A1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0" w:name="n11761"/>
      <w:bookmarkEnd w:id="8250"/>
      <w:r w:rsidRPr="008B264B">
        <w:rPr>
          <w:rFonts w:ascii="Times New Roman" w:eastAsia="Times New Roman" w:hAnsi="Times New Roman" w:cs="Times New Roman"/>
          <w:color w:val="000000"/>
          <w:sz w:val="24"/>
          <w:szCs w:val="24"/>
          <w:lang/>
        </w:rPr>
        <w:t xml:space="preserve">Контролюючі органи для забезпечення контролю за правильністю обчислення платником суми рентної плати за користування надрами для видобування корисних копалин в частині визначення обсягу (кількості) видобутих корисних копалин у межах наданої йому ділянки надр, </w:t>
      </w:r>
      <w:r w:rsidRPr="008B264B">
        <w:rPr>
          <w:rFonts w:ascii="Times New Roman" w:eastAsia="Times New Roman" w:hAnsi="Times New Roman" w:cs="Times New Roman"/>
          <w:color w:val="000000"/>
          <w:sz w:val="24"/>
          <w:szCs w:val="24"/>
          <w:lang/>
        </w:rPr>
        <w:lastRenderedPageBreak/>
        <w:t>а також коригуючих коефіцієнтів згідно з пунктом 252.2 статті 252 цього Кодексу у встановленому законодавством порядку можуть залучати центральні органи виконавчої влади, що реалізують державну політику у сфері державного гірничого нагляду, а також у сфері геологічного вивчення та раціонального використання надр.</w:t>
      </w:r>
    </w:p>
    <w:p w14:paraId="2BC342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1" w:name="n11762"/>
      <w:bookmarkEnd w:id="8251"/>
      <w:r w:rsidRPr="008B264B">
        <w:rPr>
          <w:rFonts w:ascii="Times New Roman" w:eastAsia="Times New Roman" w:hAnsi="Times New Roman" w:cs="Times New Roman"/>
          <w:color w:val="000000"/>
          <w:sz w:val="24"/>
          <w:szCs w:val="24"/>
          <w:lang/>
        </w:rPr>
        <w:t>За фактами, які відбуваються протягом шести місяців, щодо невнесення, несвоєчасного внесення платником рентної плати сум податкових зобов’язань або невиконання платником податкових зобов’язань з рентної плати за користування надрами для видобування корисних копалин, центральний орган виконавчої влади, що реалізує державну податкову та митну політику, порушує перед відповідним центральним органом виконавчої влади питання зупинення дії відповідного спеціального дозволу.</w:t>
      </w:r>
    </w:p>
    <w:p w14:paraId="7CDA8F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2" w:name="n13484"/>
      <w:bookmarkEnd w:id="8252"/>
      <w:r w:rsidRPr="008B264B">
        <w:rPr>
          <w:rFonts w:ascii="Times New Roman" w:eastAsia="Times New Roman" w:hAnsi="Times New Roman" w:cs="Times New Roman"/>
          <w:i/>
          <w:iCs/>
          <w:color w:val="000000"/>
          <w:sz w:val="24"/>
          <w:szCs w:val="24"/>
          <w:lang/>
        </w:rPr>
        <w:t>{Абзац третій підпункту 258.2.2 пункту 258.2 статті 258 із змінами, внесеними згідно із Законом </w:t>
      </w:r>
      <w:hyperlink r:id="rId45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CA7B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3" w:name="n11763"/>
      <w:bookmarkEnd w:id="8253"/>
      <w:r w:rsidRPr="008B264B">
        <w:rPr>
          <w:rFonts w:ascii="Times New Roman" w:eastAsia="Times New Roman" w:hAnsi="Times New Roman" w:cs="Times New Roman"/>
          <w:color w:val="000000"/>
          <w:sz w:val="24"/>
          <w:szCs w:val="24"/>
          <w:lang/>
        </w:rPr>
        <w:t>До доходів, що виникли у платника в результаті реалізації таким платником прав користування ділянкою надр у період невнесення, несвоєчасного внесення платником сум податкових зобов’язань з рентної плати за користування надрами для видобування корисних копалин (за виключенням випадків донарахувань та штрафних санкцій за результатами перевірок контролюючих органів) протягом шести місяців, а також на період зупинення дії відповідного спеціального дозволу, застосовується адміністративно-господарська санкція у вигляді вилучення отриманого (нарахованого) платником або відповідним контролюючим органом прибутку (доходу) від господарської діяльності з видобування корисних копалин.</w:t>
      </w:r>
    </w:p>
    <w:p w14:paraId="5DDE2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4" w:name="n11764"/>
      <w:bookmarkEnd w:id="8254"/>
      <w:r w:rsidRPr="008B264B">
        <w:rPr>
          <w:rFonts w:ascii="Times New Roman" w:eastAsia="Times New Roman" w:hAnsi="Times New Roman" w:cs="Times New Roman"/>
          <w:color w:val="000000"/>
          <w:sz w:val="24"/>
          <w:szCs w:val="24"/>
          <w:lang/>
        </w:rPr>
        <w:t>Органи державного гірничого нагляду у місячний строк після прийняття відповідного рішення надсилають до контролюючого органу за місцем податкової реєстрації платника, який буде здійснювати видобуток корисних копалин, у тому числі під час геологічного вивчення, повідомлення про надання такому платнику дозволу на початок ведення видобувних робіт або погодження на проведення дослідно-промислової розробки.</w:t>
      </w:r>
    </w:p>
    <w:p w14:paraId="2F3519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5" w:name="n11765"/>
      <w:bookmarkEnd w:id="8255"/>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політику у сфері геологічного вивчення та забезпечення раціонального використання надр, у місячний строк після прийняття відповідного рішення надсилає до контролюючого органу за місцем податкової реєстрації платника, який буде здійснювати видобуток корисних копалин, у тому числі під час геологічного вивчення, копію затверджених платником схем руху видобутої корисної копалини (мінеральної сировини) на виробничих дільницях та місцях зберігання з урахуванням складу вихідної сировини, умов конкретного виробництва, особливостей технологічного процесу та вимог до кінцевої продукції з конкретизацією порядку визначення якості сировини та кінцевого продукту, визначення вмісту основної та супутньої корисної копалини в лабораторіях, атестованих згідно з правилами уповноваження та атестації у державній метрологічній системі.</w:t>
      </w:r>
    </w:p>
    <w:p w14:paraId="23124F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6" w:name="n11766"/>
      <w:bookmarkEnd w:id="8256"/>
      <w:r w:rsidRPr="008B264B">
        <w:rPr>
          <w:rFonts w:ascii="Times New Roman" w:eastAsia="Times New Roman" w:hAnsi="Times New Roman" w:cs="Times New Roman"/>
          <w:color w:val="000000"/>
          <w:sz w:val="24"/>
          <w:szCs w:val="24"/>
          <w:lang/>
        </w:rPr>
        <w:t>258.2.3. Контроль за правильністю визначення обсягів використання надр в цілях, не пов’язаних з видобуванням корисних копалин, здійснює центральний орган виконавчої влади, що реалізує державну політику у сфері державного гірничого нагляду, який подає у місячний строк з дня видачі чи вилучення акта про надання гірничого відводу контролюючим органам за місцезнаходженням ділянки надр інформацію про зміни у переліку користувачів надр.</w:t>
      </w:r>
    </w:p>
    <w:p w14:paraId="107DB7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7" w:name="n11767"/>
      <w:bookmarkEnd w:id="8257"/>
      <w:r w:rsidRPr="008B264B">
        <w:rPr>
          <w:rFonts w:ascii="Times New Roman" w:eastAsia="Times New Roman" w:hAnsi="Times New Roman" w:cs="Times New Roman"/>
          <w:color w:val="000000"/>
          <w:sz w:val="24"/>
          <w:szCs w:val="24"/>
          <w:lang/>
        </w:rPr>
        <w:t>258.2.4. У разі несплати рентної плати за користування радіочастотним ресурсом України або сплати її в неповному обсязі платниками рентної плати протягом шести місяців контролюючі органи подають інформацію про таких платників до національної комісії, що здійснює державне регулювання у сфері зв’язку та інформатизації, для вжиття до них заходів згідно із законодавством.</w:t>
      </w:r>
    </w:p>
    <w:p w14:paraId="42011D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8" w:name="n11768"/>
      <w:bookmarkEnd w:id="8258"/>
      <w:r w:rsidRPr="008B264B">
        <w:rPr>
          <w:rFonts w:ascii="Times New Roman" w:eastAsia="Times New Roman" w:hAnsi="Times New Roman" w:cs="Times New Roman"/>
          <w:color w:val="000000"/>
          <w:sz w:val="24"/>
          <w:szCs w:val="24"/>
          <w:lang/>
        </w:rPr>
        <w:t>Інформацію про платників рентної плати, які користуються радіочастотним ресурсом України для розповсюдження телерадіопрограм і протягом шести місяців не сплатили рентну плату або сплатили її не в повному обсязі, контролюючі органи подають до Національної ради України з питань телебачення і радіомовлення для вжиття до них заходів згідно із законодавством.</w:t>
      </w:r>
    </w:p>
    <w:p w14:paraId="3FE6A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59" w:name="n11769"/>
      <w:bookmarkEnd w:id="8259"/>
      <w:r w:rsidRPr="008B264B">
        <w:rPr>
          <w:rFonts w:ascii="Times New Roman" w:eastAsia="Times New Roman" w:hAnsi="Times New Roman" w:cs="Times New Roman"/>
          <w:color w:val="000000"/>
          <w:sz w:val="24"/>
          <w:szCs w:val="24"/>
          <w:lang/>
        </w:rPr>
        <w:lastRenderedPageBreak/>
        <w:t>258.2.5. Особливості контролю за справлянням рентної плати за спеціальне використання води</w:t>
      </w:r>
    </w:p>
    <w:p w14:paraId="0F3BE4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0" w:name="n11770"/>
      <w:bookmarkEnd w:id="8260"/>
      <w:r w:rsidRPr="008B264B">
        <w:rPr>
          <w:rFonts w:ascii="Times New Roman" w:eastAsia="Times New Roman" w:hAnsi="Times New Roman" w:cs="Times New Roman"/>
          <w:color w:val="000000"/>
          <w:sz w:val="24"/>
          <w:szCs w:val="24"/>
          <w:lang/>
        </w:rPr>
        <w:t>Органи, що видають дозволи на спеціальне водокористування, щороку до 20 січня подають контролюючим органам та органам водного господарства інформацію про водокористувачів, яким видано такі дозволи.</w:t>
      </w:r>
    </w:p>
    <w:p w14:paraId="07B68B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1" w:name="n11771"/>
      <w:bookmarkEnd w:id="8261"/>
      <w:r w:rsidRPr="008B264B">
        <w:rPr>
          <w:rFonts w:ascii="Times New Roman" w:eastAsia="Times New Roman" w:hAnsi="Times New Roman" w:cs="Times New Roman"/>
          <w:color w:val="000000"/>
          <w:sz w:val="24"/>
          <w:szCs w:val="24"/>
          <w:lang/>
        </w:rPr>
        <w:t>Водокористувачі, яким видано дозволи на спеціальне водокористування та які здійснюють постачання води іншим водокористувачам, щороку до 20 січня подають контролюючим органам та органам водного господарства перелік водокористувачів - абонентів.</w:t>
      </w:r>
    </w:p>
    <w:p w14:paraId="010620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2" w:name="n11772"/>
      <w:bookmarkEnd w:id="8262"/>
      <w:r w:rsidRPr="008B264B">
        <w:rPr>
          <w:rFonts w:ascii="Times New Roman" w:eastAsia="Times New Roman" w:hAnsi="Times New Roman" w:cs="Times New Roman"/>
          <w:color w:val="000000"/>
          <w:sz w:val="24"/>
          <w:szCs w:val="24"/>
          <w:lang/>
        </w:rPr>
        <w:t>У разі зміни умов водокористування, видачі протягом року нових дозволів на спеціальне водокористування, укладення договорів на поставку води водокористувачі, які отримали переоформлені дозволи на спеціальне водокористування, договори на поставку води, зобов’язані протягом 10 днів повідомити про це контролюючим органам та органам водного господарства.</w:t>
      </w:r>
    </w:p>
    <w:p w14:paraId="632A0D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3" w:name="n11773"/>
      <w:bookmarkEnd w:id="8263"/>
      <w:r w:rsidRPr="008B264B">
        <w:rPr>
          <w:rFonts w:ascii="Times New Roman" w:eastAsia="Times New Roman" w:hAnsi="Times New Roman" w:cs="Times New Roman"/>
          <w:color w:val="000000"/>
          <w:sz w:val="24"/>
          <w:szCs w:val="24"/>
          <w:lang/>
        </w:rPr>
        <w:t>У разі несплати рентної плати або сплати її не в повному обсязі протягом шести місяців контролюючі органи подають інформацію про платників рентної плати до органів, що видають дозволи на спеціальне водокористування, для вжиття до них заходів згідно із законом;</w:t>
      </w:r>
    </w:p>
    <w:p w14:paraId="5F4CF7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4" w:name="n11774"/>
      <w:bookmarkEnd w:id="8264"/>
      <w:r w:rsidRPr="008B264B">
        <w:rPr>
          <w:rFonts w:ascii="Times New Roman" w:eastAsia="Times New Roman" w:hAnsi="Times New Roman" w:cs="Times New Roman"/>
          <w:color w:val="000000"/>
          <w:sz w:val="24"/>
          <w:szCs w:val="24"/>
          <w:lang/>
        </w:rPr>
        <w:t>258.2.6. Суб’єкти лісових відносин, які видають спеціальні дозволи, до 10 числа місяця, що настає за звітним кварталом, направляють контролюючим органам перелік лісокористувачів, яким видано </w:t>
      </w:r>
      <w:hyperlink r:id="rId4560" w:anchor="n17" w:tgtFrame="_blank" w:history="1">
        <w:r w:rsidRPr="008B264B">
          <w:rPr>
            <w:rFonts w:ascii="Times New Roman" w:eastAsia="Times New Roman" w:hAnsi="Times New Roman" w:cs="Times New Roman"/>
            <w:color w:val="0000FF"/>
            <w:sz w:val="24"/>
            <w:szCs w:val="24"/>
            <w:u w:val="single"/>
            <w:lang/>
          </w:rPr>
          <w:t>лісорубні квитки</w:t>
        </w:r>
      </w:hyperlink>
      <w:r w:rsidRPr="008B264B">
        <w:rPr>
          <w:rFonts w:ascii="Times New Roman" w:eastAsia="Times New Roman" w:hAnsi="Times New Roman" w:cs="Times New Roman"/>
          <w:color w:val="000000"/>
          <w:sz w:val="24"/>
          <w:szCs w:val="24"/>
          <w:lang/>
        </w:rPr>
        <w:t> та </w:t>
      </w:r>
      <w:hyperlink r:id="rId4561" w:anchor="n20" w:tgtFrame="_blank" w:history="1">
        <w:r w:rsidRPr="008B264B">
          <w:rPr>
            <w:rFonts w:ascii="Times New Roman" w:eastAsia="Times New Roman" w:hAnsi="Times New Roman" w:cs="Times New Roman"/>
            <w:color w:val="0000FF"/>
            <w:sz w:val="24"/>
            <w:szCs w:val="24"/>
            <w:u w:val="single"/>
            <w:lang/>
          </w:rPr>
          <w:t>лісові квитки</w:t>
        </w:r>
      </w:hyperlink>
      <w:r w:rsidRPr="008B264B">
        <w:rPr>
          <w:rFonts w:ascii="Times New Roman" w:eastAsia="Times New Roman" w:hAnsi="Times New Roman" w:cs="Times New Roman"/>
          <w:color w:val="000000"/>
          <w:sz w:val="24"/>
          <w:szCs w:val="24"/>
          <w:lang/>
        </w:rPr>
        <w:t>, за формою, встановленою центральним органом виконавчої влади, що забезпечує формування та реалізує державну фінансову політику, за погодженням з центральним органом виконавчої влади, що забезпечує формування державної політики у сфері лісового господарства.</w:t>
      </w:r>
    </w:p>
    <w:p w14:paraId="26B9F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5" w:name="n13460"/>
      <w:bookmarkEnd w:id="8265"/>
      <w:r w:rsidRPr="008B264B">
        <w:rPr>
          <w:rFonts w:ascii="Times New Roman" w:eastAsia="Times New Roman" w:hAnsi="Times New Roman" w:cs="Times New Roman"/>
          <w:i/>
          <w:iCs/>
          <w:color w:val="000000"/>
          <w:sz w:val="24"/>
          <w:szCs w:val="24"/>
          <w:lang/>
        </w:rPr>
        <w:t>{Підпункт 258.2.6 пункту 258.2 статті 258 із змінами, внесеними згідно із Законом </w:t>
      </w:r>
      <w:hyperlink r:id="rId45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706B7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6" w:name="n11430"/>
      <w:bookmarkEnd w:id="8266"/>
      <w:r w:rsidRPr="008B264B">
        <w:rPr>
          <w:rFonts w:ascii="Times New Roman" w:eastAsia="Times New Roman" w:hAnsi="Times New Roman" w:cs="Times New Roman"/>
          <w:i/>
          <w:iCs/>
          <w:color w:val="000000"/>
          <w:sz w:val="24"/>
          <w:szCs w:val="24"/>
          <w:lang/>
        </w:rPr>
        <w:t>{Розділ IX в редакції Закону </w:t>
      </w:r>
      <w:hyperlink r:id="rId4563" w:anchor="n89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7A9EF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7" w:name="n6144"/>
      <w:bookmarkEnd w:id="8267"/>
      <w:r w:rsidRPr="008B264B">
        <w:rPr>
          <w:rFonts w:ascii="Times New Roman" w:eastAsia="Times New Roman" w:hAnsi="Times New Roman" w:cs="Times New Roman"/>
          <w:b/>
          <w:bCs/>
          <w:i/>
          <w:iCs/>
          <w:color w:val="000000"/>
          <w:sz w:val="24"/>
          <w:szCs w:val="24"/>
          <w:lang/>
        </w:rPr>
        <w:t>{Розділ X "Рентна плата за нафту, природний газ і газовий конденсат, що видобуваються в Україні" втратив чинність на підставі Закону </w:t>
      </w:r>
      <w:hyperlink r:id="rId4564" w:anchor="n528" w:tgtFrame="_blank" w:history="1">
        <w:r w:rsidRPr="008B264B">
          <w:rPr>
            <w:rFonts w:ascii="Times New Roman" w:eastAsia="Times New Roman" w:hAnsi="Times New Roman" w:cs="Times New Roman"/>
            <w:b/>
            <w:bCs/>
            <w:i/>
            <w:iCs/>
            <w:color w:val="0000FF"/>
            <w:sz w:val="24"/>
            <w:szCs w:val="24"/>
            <w:u w:val="single"/>
            <w:lang/>
          </w:rPr>
          <w:t>№ 4834-VI від 24.05.2012</w:t>
        </w:r>
      </w:hyperlink>
      <w:r w:rsidRPr="008B264B">
        <w:rPr>
          <w:rFonts w:ascii="Times New Roman" w:eastAsia="Times New Roman" w:hAnsi="Times New Roman" w:cs="Times New Roman"/>
          <w:b/>
          <w:bCs/>
          <w:i/>
          <w:iCs/>
          <w:color w:val="000000"/>
          <w:sz w:val="24"/>
          <w:szCs w:val="24"/>
          <w:lang/>
        </w:rPr>
        <w:t>; розділ X "Рентна плата за нафту, природний газ і газовий конденсат, що видобуваються в Україні" виключено на підставі Закону </w:t>
      </w:r>
      <w:hyperlink r:id="rId4565" w:anchor="n1245"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7D57CF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68" w:name="n6145"/>
      <w:bookmarkEnd w:id="8268"/>
      <w:r w:rsidRPr="008B264B">
        <w:rPr>
          <w:rFonts w:ascii="Times New Roman" w:eastAsia="Times New Roman" w:hAnsi="Times New Roman" w:cs="Times New Roman"/>
          <w:b/>
          <w:bCs/>
          <w:i/>
          <w:iCs/>
          <w:color w:val="000000"/>
          <w:sz w:val="24"/>
          <w:szCs w:val="24"/>
          <w:lang/>
        </w:rPr>
        <w:t>{Розділ XI "Плата за користування надрами" виключено на підставі Закону </w:t>
      </w:r>
      <w:hyperlink r:id="rId4566" w:anchor="n1245"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2CAE6BCE"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8269" w:name="n6340"/>
      <w:bookmarkEnd w:id="8269"/>
      <w:r w:rsidRPr="008B264B">
        <w:rPr>
          <w:rFonts w:ascii="Times New Roman" w:eastAsia="Times New Roman" w:hAnsi="Times New Roman" w:cs="Times New Roman"/>
          <w:b/>
          <w:bCs/>
          <w:color w:val="000000"/>
          <w:sz w:val="28"/>
          <w:szCs w:val="28"/>
          <w:lang/>
        </w:rPr>
        <w:t>РОЗДІЛ XII. ПОДАТОК НА МАЙНО</w:t>
      </w:r>
    </w:p>
    <w:p w14:paraId="3A6A88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0" w:name="n11775"/>
      <w:bookmarkEnd w:id="8270"/>
      <w:r w:rsidRPr="008B264B">
        <w:rPr>
          <w:rFonts w:ascii="Times New Roman" w:eastAsia="Times New Roman" w:hAnsi="Times New Roman" w:cs="Times New Roman"/>
          <w:i/>
          <w:iCs/>
          <w:color w:val="000000"/>
          <w:sz w:val="24"/>
          <w:szCs w:val="24"/>
          <w:lang/>
        </w:rPr>
        <w:t>{Назва розділу XII із змінами, внесеними згідно із Законом </w:t>
      </w:r>
      <w:hyperlink r:id="rId4567" w:anchor="n12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3F3B4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1" w:name="n6341"/>
      <w:bookmarkEnd w:id="8271"/>
      <w:r w:rsidRPr="008B264B">
        <w:rPr>
          <w:rFonts w:ascii="Times New Roman" w:eastAsia="Times New Roman" w:hAnsi="Times New Roman" w:cs="Times New Roman"/>
          <w:b/>
          <w:bCs/>
          <w:color w:val="000000"/>
          <w:sz w:val="24"/>
          <w:szCs w:val="24"/>
          <w:lang/>
        </w:rPr>
        <w:t>Стаття 265.</w:t>
      </w:r>
      <w:r w:rsidRPr="008B264B">
        <w:rPr>
          <w:rFonts w:ascii="Times New Roman" w:eastAsia="Times New Roman" w:hAnsi="Times New Roman" w:cs="Times New Roman"/>
          <w:color w:val="000000"/>
          <w:sz w:val="24"/>
          <w:szCs w:val="24"/>
          <w:lang/>
        </w:rPr>
        <w:t> Склад податку на майно</w:t>
      </w:r>
    </w:p>
    <w:p w14:paraId="575D53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2" w:name="n11777"/>
      <w:bookmarkEnd w:id="8272"/>
      <w:r w:rsidRPr="008B264B">
        <w:rPr>
          <w:rFonts w:ascii="Times New Roman" w:eastAsia="Times New Roman" w:hAnsi="Times New Roman" w:cs="Times New Roman"/>
          <w:color w:val="000000"/>
          <w:sz w:val="24"/>
          <w:szCs w:val="24"/>
          <w:lang/>
        </w:rPr>
        <w:t>265.1. Податок на майно складається з:</w:t>
      </w:r>
    </w:p>
    <w:p w14:paraId="32572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3" w:name="n11778"/>
      <w:bookmarkEnd w:id="8273"/>
      <w:r w:rsidRPr="008B264B">
        <w:rPr>
          <w:rFonts w:ascii="Times New Roman" w:eastAsia="Times New Roman" w:hAnsi="Times New Roman" w:cs="Times New Roman"/>
          <w:color w:val="000000"/>
          <w:sz w:val="24"/>
          <w:szCs w:val="24"/>
          <w:lang/>
        </w:rPr>
        <w:t>265.1.1. податку на нерухоме майно, відмінне від земельної ділянки;</w:t>
      </w:r>
    </w:p>
    <w:p w14:paraId="55D1C1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4" w:name="n11779"/>
      <w:bookmarkEnd w:id="8274"/>
      <w:r w:rsidRPr="008B264B">
        <w:rPr>
          <w:rFonts w:ascii="Times New Roman" w:eastAsia="Times New Roman" w:hAnsi="Times New Roman" w:cs="Times New Roman"/>
          <w:color w:val="000000"/>
          <w:sz w:val="24"/>
          <w:szCs w:val="24"/>
          <w:lang/>
        </w:rPr>
        <w:t>265.1.2. транспортного податку;</w:t>
      </w:r>
    </w:p>
    <w:p w14:paraId="6AED0F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5" w:name="n11780"/>
      <w:bookmarkEnd w:id="8275"/>
      <w:r w:rsidRPr="008B264B">
        <w:rPr>
          <w:rFonts w:ascii="Times New Roman" w:eastAsia="Times New Roman" w:hAnsi="Times New Roman" w:cs="Times New Roman"/>
          <w:color w:val="000000"/>
          <w:sz w:val="24"/>
          <w:szCs w:val="24"/>
          <w:lang/>
        </w:rPr>
        <w:t>265.1.3. плати за землю.</w:t>
      </w:r>
    </w:p>
    <w:p w14:paraId="237D48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6" w:name="n9736"/>
      <w:bookmarkEnd w:id="8276"/>
      <w:r w:rsidRPr="008B264B">
        <w:rPr>
          <w:rFonts w:ascii="Times New Roman" w:eastAsia="Times New Roman" w:hAnsi="Times New Roman" w:cs="Times New Roman"/>
          <w:i/>
          <w:iCs/>
          <w:color w:val="000000"/>
          <w:sz w:val="24"/>
          <w:szCs w:val="24"/>
          <w:lang/>
        </w:rPr>
        <w:t>{Стаття 265 із змінами, внесеними згідно із Законами </w:t>
      </w:r>
      <w:hyperlink r:id="rId4568" w:anchor="n19" w:tgtFrame="_blank" w:history="1">
        <w:r w:rsidRPr="008B264B">
          <w:rPr>
            <w:rFonts w:ascii="Times New Roman" w:eastAsia="Times New Roman" w:hAnsi="Times New Roman" w:cs="Times New Roman"/>
            <w:i/>
            <w:iCs/>
            <w:color w:val="0000FF"/>
            <w:sz w:val="24"/>
            <w:szCs w:val="24"/>
            <w:u w:val="single"/>
            <w:lang/>
          </w:rPr>
          <w:t>№ 403-VII від 04.07.2013</w:t>
        </w:r>
      </w:hyperlink>
      <w:r w:rsidRPr="008B264B">
        <w:rPr>
          <w:rFonts w:ascii="Times New Roman" w:eastAsia="Times New Roman" w:hAnsi="Times New Roman" w:cs="Times New Roman"/>
          <w:i/>
          <w:iCs/>
          <w:color w:val="000000"/>
          <w:sz w:val="24"/>
          <w:szCs w:val="24"/>
          <w:lang/>
        </w:rPr>
        <w:t>, </w:t>
      </w:r>
      <w:hyperlink r:id="rId4569" w:anchor="n226"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4570" w:anchor="n124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4081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7" w:name="n6392"/>
      <w:bookmarkEnd w:id="8277"/>
      <w:r w:rsidRPr="008B264B">
        <w:rPr>
          <w:rFonts w:ascii="Times New Roman" w:eastAsia="Times New Roman" w:hAnsi="Times New Roman" w:cs="Times New Roman"/>
          <w:b/>
          <w:bCs/>
          <w:color w:val="000000"/>
          <w:sz w:val="24"/>
          <w:szCs w:val="24"/>
          <w:lang/>
        </w:rPr>
        <w:t>Стаття 266.</w:t>
      </w:r>
      <w:r w:rsidRPr="008B264B">
        <w:rPr>
          <w:rFonts w:ascii="Times New Roman" w:eastAsia="Times New Roman" w:hAnsi="Times New Roman" w:cs="Times New Roman"/>
          <w:color w:val="000000"/>
          <w:sz w:val="24"/>
          <w:szCs w:val="24"/>
          <w:lang/>
        </w:rPr>
        <w:t> Податок на нерухоме майно, відмінне від земельної ділянки</w:t>
      </w:r>
    </w:p>
    <w:p w14:paraId="7DBB4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8" w:name="n11782"/>
      <w:bookmarkEnd w:id="8278"/>
      <w:r w:rsidRPr="008B264B">
        <w:rPr>
          <w:rFonts w:ascii="Times New Roman" w:eastAsia="Times New Roman" w:hAnsi="Times New Roman" w:cs="Times New Roman"/>
          <w:color w:val="000000"/>
          <w:sz w:val="24"/>
          <w:szCs w:val="24"/>
          <w:lang/>
        </w:rPr>
        <w:t>266.1. Платники податку</w:t>
      </w:r>
    </w:p>
    <w:p w14:paraId="151863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79" w:name="n11783"/>
      <w:bookmarkEnd w:id="8279"/>
      <w:r w:rsidRPr="008B264B">
        <w:rPr>
          <w:rFonts w:ascii="Times New Roman" w:eastAsia="Times New Roman" w:hAnsi="Times New Roman" w:cs="Times New Roman"/>
          <w:color w:val="000000"/>
          <w:sz w:val="24"/>
          <w:szCs w:val="24"/>
          <w:lang/>
        </w:rPr>
        <w:t>266.1.1. Платниками податку є фізичні та юридичні особи, в тому числі нерезиденти, які є власниками об’єктів житлової та/або нежитлової нерухомості.</w:t>
      </w:r>
    </w:p>
    <w:p w14:paraId="63A0B6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0" w:name="n11784"/>
      <w:bookmarkEnd w:id="8280"/>
      <w:r w:rsidRPr="008B264B">
        <w:rPr>
          <w:rFonts w:ascii="Times New Roman" w:eastAsia="Times New Roman" w:hAnsi="Times New Roman" w:cs="Times New Roman"/>
          <w:color w:val="000000"/>
          <w:sz w:val="24"/>
          <w:szCs w:val="24"/>
          <w:lang/>
        </w:rPr>
        <w:lastRenderedPageBreak/>
        <w:t>266.1.2. Визначення платників податку в разі перебування об’єктів житлової та/або нежитлової нерухомості у спільній частковій або спільній сумісній власності кількох осіб:</w:t>
      </w:r>
    </w:p>
    <w:p w14:paraId="27916B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1" w:name="n11785"/>
      <w:bookmarkEnd w:id="8281"/>
      <w:r w:rsidRPr="008B264B">
        <w:rPr>
          <w:rFonts w:ascii="Times New Roman" w:eastAsia="Times New Roman" w:hAnsi="Times New Roman" w:cs="Times New Roman"/>
          <w:color w:val="000000"/>
          <w:sz w:val="24"/>
          <w:szCs w:val="24"/>
          <w:lang/>
        </w:rPr>
        <w:t>а) якщо об’єкт житлової та/або нежитлової нерухомості перебуває у спільній частковій власності кількох осіб, платником податку є кожна з цих осіб за належну їй частку;</w:t>
      </w:r>
    </w:p>
    <w:p w14:paraId="10D9D5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2" w:name="n11786"/>
      <w:bookmarkEnd w:id="8282"/>
      <w:r w:rsidRPr="008B264B">
        <w:rPr>
          <w:rFonts w:ascii="Times New Roman" w:eastAsia="Times New Roman" w:hAnsi="Times New Roman" w:cs="Times New Roman"/>
          <w:color w:val="000000"/>
          <w:sz w:val="24"/>
          <w:szCs w:val="24"/>
          <w:lang/>
        </w:rPr>
        <w:t>б) якщо об’єкт житлової та/або нежитлової нерухомості перебуває у спільній сумісній власності кількох осіб, але не поділений в натурі, платником податку є одна з таких осіб-власників, визначена за їх згодою, якщо інше не встановлено судом;</w:t>
      </w:r>
    </w:p>
    <w:p w14:paraId="0FD9BD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3" w:name="n11787"/>
      <w:bookmarkEnd w:id="8283"/>
      <w:r w:rsidRPr="008B264B">
        <w:rPr>
          <w:rFonts w:ascii="Times New Roman" w:eastAsia="Times New Roman" w:hAnsi="Times New Roman" w:cs="Times New Roman"/>
          <w:color w:val="000000"/>
          <w:sz w:val="24"/>
          <w:szCs w:val="24"/>
          <w:lang/>
        </w:rPr>
        <w:t>в) якщо об’єкт житлової та/або нежитлової нерухомості перебуває у спільній сумісній власності кількох осіб і поділений між ними в натурі, платником податку є кожна з цих осіб за належну їй частку.</w:t>
      </w:r>
    </w:p>
    <w:p w14:paraId="2F58E3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4" w:name="n11788"/>
      <w:bookmarkEnd w:id="8284"/>
      <w:r w:rsidRPr="008B264B">
        <w:rPr>
          <w:rFonts w:ascii="Times New Roman" w:eastAsia="Times New Roman" w:hAnsi="Times New Roman" w:cs="Times New Roman"/>
          <w:color w:val="000000"/>
          <w:sz w:val="24"/>
          <w:szCs w:val="24"/>
          <w:lang/>
        </w:rPr>
        <w:t>266.2. Об’єкт оподаткування</w:t>
      </w:r>
    </w:p>
    <w:p w14:paraId="0011FA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5" w:name="n11789"/>
      <w:bookmarkEnd w:id="8285"/>
      <w:r w:rsidRPr="008B264B">
        <w:rPr>
          <w:rFonts w:ascii="Times New Roman" w:eastAsia="Times New Roman" w:hAnsi="Times New Roman" w:cs="Times New Roman"/>
          <w:color w:val="000000"/>
          <w:sz w:val="24"/>
          <w:szCs w:val="24"/>
          <w:lang/>
        </w:rPr>
        <w:t>266.2.1. Об’єктом оподаткування є об’єкт житлової та нежитлової нерухомості, в тому числі його частка.</w:t>
      </w:r>
    </w:p>
    <w:p w14:paraId="4CC945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6" w:name="n11790"/>
      <w:bookmarkEnd w:id="8286"/>
      <w:r w:rsidRPr="008B264B">
        <w:rPr>
          <w:rFonts w:ascii="Times New Roman" w:eastAsia="Times New Roman" w:hAnsi="Times New Roman" w:cs="Times New Roman"/>
          <w:color w:val="000000"/>
          <w:sz w:val="24"/>
          <w:szCs w:val="24"/>
          <w:lang/>
        </w:rPr>
        <w:t>266.2.2. Не є об’єктом оподаткування:</w:t>
      </w:r>
    </w:p>
    <w:p w14:paraId="6089F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7" w:name="n11791"/>
      <w:bookmarkEnd w:id="8287"/>
      <w:r w:rsidRPr="008B264B">
        <w:rPr>
          <w:rFonts w:ascii="Times New Roman" w:eastAsia="Times New Roman" w:hAnsi="Times New Roman" w:cs="Times New Roman"/>
          <w:color w:val="000000"/>
          <w:sz w:val="24"/>
          <w:szCs w:val="24"/>
          <w:lang/>
        </w:rPr>
        <w:t>а) об’єкти житлової та нежитлової нерухомості, які перебувають у власності органів державної влади, органів місцевого самоврядування, а також організацій, створених ними в установленому порядку, що повністю утримуються за рахунок відповідного державного бюджету чи місцевого бюджету і є неприбутковими (їх спільній власності);</w:t>
      </w:r>
    </w:p>
    <w:p w14:paraId="2725F7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8" w:name="n11792"/>
      <w:bookmarkEnd w:id="8288"/>
      <w:r w:rsidRPr="008B264B">
        <w:rPr>
          <w:rFonts w:ascii="Times New Roman" w:eastAsia="Times New Roman" w:hAnsi="Times New Roman" w:cs="Times New Roman"/>
          <w:color w:val="000000"/>
          <w:sz w:val="24"/>
          <w:szCs w:val="24"/>
          <w:lang/>
        </w:rPr>
        <w:t>б) об’єкти житлової та нежитлової нерухомості, які розташовані в зонах відчуження та безумовного (обов’язкового) відселення, визначені законом, в тому числі їх частки;</w:t>
      </w:r>
    </w:p>
    <w:p w14:paraId="76862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89" w:name="n11793"/>
      <w:bookmarkEnd w:id="8289"/>
      <w:r w:rsidRPr="008B264B">
        <w:rPr>
          <w:rFonts w:ascii="Times New Roman" w:eastAsia="Times New Roman" w:hAnsi="Times New Roman" w:cs="Times New Roman"/>
          <w:color w:val="000000"/>
          <w:sz w:val="24"/>
          <w:szCs w:val="24"/>
          <w:lang/>
        </w:rPr>
        <w:t>в) будівлі дитячих будинків сімейного типу;</w:t>
      </w:r>
    </w:p>
    <w:p w14:paraId="141CC3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0" w:name="n11794"/>
      <w:bookmarkEnd w:id="8290"/>
      <w:r w:rsidRPr="008B264B">
        <w:rPr>
          <w:rFonts w:ascii="Times New Roman" w:eastAsia="Times New Roman" w:hAnsi="Times New Roman" w:cs="Times New Roman"/>
          <w:color w:val="000000"/>
          <w:sz w:val="24"/>
          <w:szCs w:val="24"/>
          <w:lang/>
        </w:rPr>
        <w:t>г) гуртожитки;</w:t>
      </w:r>
    </w:p>
    <w:p w14:paraId="2E93BD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1" w:name="n11795"/>
      <w:bookmarkEnd w:id="8291"/>
      <w:r w:rsidRPr="008B264B">
        <w:rPr>
          <w:rFonts w:ascii="Times New Roman" w:eastAsia="Times New Roman" w:hAnsi="Times New Roman" w:cs="Times New Roman"/>
          <w:color w:val="000000"/>
          <w:sz w:val="24"/>
          <w:szCs w:val="24"/>
          <w:lang/>
        </w:rPr>
        <w:t>ґ) житлова нерухомість непридатна для проживання, у тому числі у зв’язку з аварійним станом, визнана такою згідно з рішенням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w:t>
      </w:r>
    </w:p>
    <w:p w14:paraId="74ECB4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2" w:name="n12915"/>
      <w:bookmarkEnd w:id="8292"/>
      <w:r w:rsidRPr="008B264B">
        <w:rPr>
          <w:rFonts w:ascii="Times New Roman" w:eastAsia="Times New Roman" w:hAnsi="Times New Roman" w:cs="Times New Roman"/>
          <w:i/>
          <w:iCs/>
          <w:color w:val="000000"/>
          <w:sz w:val="24"/>
          <w:szCs w:val="24"/>
          <w:lang/>
        </w:rPr>
        <w:t>{Підпункт "ґ" підпункту 266.2.2 пункту 266.2 статті 266 в редакції Закону </w:t>
      </w:r>
      <w:hyperlink r:id="rId4571" w:anchor="n59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7C278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3" w:name="n11796"/>
      <w:bookmarkEnd w:id="8293"/>
      <w:r w:rsidRPr="008B264B">
        <w:rPr>
          <w:rFonts w:ascii="Times New Roman" w:eastAsia="Times New Roman" w:hAnsi="Times New Roman" w:cs="Times New Roman"/>
          <w:color w:val="000000"/>
          <w:sz w:val="24"/>
          <w:szCs w:val="24"/>
          <w:lang/>
        </w:rPr>
        <w:t>д) об’єкти житлової нерухомості, в тому числі їх частки, що належать дітям-сиротам, дітям, позбавленим батьківського піклування, та особам з їх числа, визнаним такими відповідно до закону, дітям з інвалідністю, які виховуються одинокими матерями (батьками), але не більше одного такого об’єкта на дитину;</w:t>
      </w:r>
    </w:p>
    <w:p w14:paraId="3A930D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4" w:name="n11797"/>
      <w:bookmarkEnd w:id="8294"/>
      <w:r w:rsidRPr="008B264B">
        <w:rPr>
          <w:rFonts w:ascii="Times New Roman" w:eastAsia="Times New Roman" w:hAnsi="Times New Roman" w:cs="Times New Roman"/>
          <w:color w:val="000000"/>
          <w:sz w:val="24"/>
          <w:szCs w:val="24"/>
          <w:lang/>
        </w:rPr>
        <w:t>е) об’єкти нежитлової нерухомості, які використовуються суб’єктами господарювання малого та середнього бізнесу, що провадять свою діяльність в малих архітектурних формах та на ринках;</w:t>
      </w:r>
    </w:p>
    <w:p w14:paraId="36822C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5" w:name="n11798"/>
      <w:bookmarkEnd w:id="8295"/>
      <w:r w:rsidRPr="008B264B">
        <w:rPr>
          <w:rFonts w:ascii="Times New Roman" w:eastAsia="Times New Roman" w:hAnsi="Times New Roman" w:cs="Times New Roman"/>
          <w:color w:val="000000"/>
          <w:sz w:val="24"/>
          <w:szCs w:val="24"/>
          <w:lang/>
        </w:rPr>
        <w:t>є) будівлі промисловості, зокрема виробничі корпуси, цехи, складські приміщення промислових підприємств;</w:t>
      </w:r>
    </w:p>
    <w:p w14:paraId="3AE0D1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6" w:name="n11799"/>
      <w:bookmarkEnd w:id="8296"/>
      <w:r w:rsidRPr="008B264B">
        <w:rPr>
          <w:rFonts w:ascii="Times New Roman" w:eastAsia="Times New Roman" w:hAnsi="Times New Roman" w:cs="Times New Roman"/>
          <w:color w:val="000000"/>
          <w:sz w:val="24"/>
          <w:szCs w:val="24"/>
          <w:lang/>
        </w:rPr>
        <w:t>ж) будівлі, споруди сільськогосподарських товаровиробників (юридичних та фізичних осіб), віднесені до класу "Будівлі сільськогосподарського призначення, лісівництва та рибного господарства" (код 1271) Державного класифікатора будівель та споруд </w:t>
      </w:r>
      <w:hyperlink r:id="rId4572" w:tgtFrame="_blank" w:history="1">
        <w:r w:rsidRPr="008B264B">
          <w:rPr>
            <w:rFonts w:ascii="Times New Roman" w:eastAsia="Times New Roman" w:hAnsi="Times New Roman" w:cs="Times New Roman"/>
            <w:color w:val="0000FF"/>
            <w:sz w:val="24"/>
            <w:szCs w:val="24"/>
            <w:u w:val="single"/>
            <w:lang/>
          </w:rPr>
          <w:t>ДК 018-2000</w:t>
        </w:r>
      </w:hyperlink>
      <w:r w:rsidRPr="008B264B">
        <w:rPr>
          <w:rFonts w:ascii="Times New Roman" w:eastAsia="Times New Roman" w:hAnsi="Times New Roman" w:cs="Times New Roman"/>
          <w:color w:val="000000"/>
          <w:sz w:val="24"/>
          <w:szCs w:val="24"/>
          <w:lang/>
        </w:rPr>
        <w:t>, та не здаються їх власниками в оренду, лізинг, позичку;</w:t>
      </w:r>
    </w:p>
    <w:p w14:paraId="5DC87E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7" w:name="n15375"/>
      <w:bookmarkEnd w:id="8297"/>
      <w:r w:rsidRPr="008B264B">
        <w:rPr>
          <w:rFonts w:ascii="Times New Roman" w:eastAsia="Times New Roman" w:hAnsi="Times New Roman" w:cs="Times New Roman"/>
          <w:i/>
          <w:iCs/>
          <w:color w:val="000000"/>
          <w:sz w:val="24"/>
          <w:szCs w:val="24"/>
          <w:lang/>
        </w:rPr>
        <w:t>{Підпункт "ж" підпункту 266.2.2 пункту 266.2 статті 266 в редакції Закону </w:t>
      </w:r>
      <w:hyperlink r:id="rId4573" w:anchor="n61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FBC51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8" w:name="n11800"/>
      <w:bookmarkEnd w:id="8298"/>
      <w:r w:rsidRPr="008B264B">
        <w:rPr>
          <w:rFonts w:ascii="Times New Roman" w:eastAsia="Times New Roman" w:hAnsi="Times New Roman" w:cs="Times New Roman"/>
          <w:color w:val="000000"/>
          <w:sz w:val="24"/>
          <w:szCs w:val="24"/>
          <w:lang/>
        </w:rPr>
        <w:t>з) об’єкти житлової та нежитлової нерухомості, які перебувають у власності громадських об’єднань осіб з інвалідністю та їх підприємств;</w:t>
      </w:r>
    </w:p>
    <w:p w14:paraId="2685FD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299" w:name="n12368"/>
      <w:bookmarkEnd w:id="8299"/>
      <w:r w:rsidRPr="008B264B">
        <w:rPr>
          <w:rFonts w:ascii="Times New Roman" w:eastAsia="Times New Roman" w:hAnsi="Times New Roman" w:cs="Times New Roman"/>
          <w:color w:val="000000"/>
          <w:sz w:val="24"/>
          <w:szCs w:val="24"/>
          <w:lang/>
        </w:rPr>
        <w:lastRenderedPageBreak/>
        <w:t>и) об’єкти нерухомості, що перебувають у власності релігійних організацій, статути (положення) яких зареєстровано у встановленому законом порядку, та використовуються виключно для забезпечення їхньої статутної діяльності, включаючи ті, в яких здійснюють діяльність засновані такими релігійними організаціями добродійні заклади (притулки, інтернати, лікарні тощо), крім об’єктів нерухомості, в яких здійснюється виробнича та/або господарська діяльність;</w:t>
      </w:r>
    </w:p>
    <w:p w14:paraId="7D6B93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0" w:name="n12367"/>
      <w:bookmarkEnd w:id="8300"/>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"и" згідно із Законом </w:t>
      </w:r>
      <w:hyperlink r:id="rId4574" w:anchor="n5" w:tgtFrame="_blank" w:history="1">
        <w:r w:rsidRPr="008B264B">
          <w:rPr>
            <w:rFonts w:ascii="Times New Roman" w:eastAsia="Times New Roman" w:hAnsi="Times New Roman" w:cs="Times New Roman"/>
            <w:i/>
            <w:iCs/>
            <w:color w:val="0000FF"/>
            <w:sz w:val="24"/>
            <w:szCs w:val="24"/>
            <w:u w:val="single"/>
            <w:lang/>
          </w:rPr>
          <w:t>№ 420-VIII від 14.05.2015</w:t>
        </w:r>
      </w:hyperlink>
      <w:r w:rsidRPr="008B264B">
        <w:rPr>
          <w:rFonts w:ascii="Times New Roman" w:eastAsia="Times New Roman" w:hAnsi="Times New Roman" w:cs="Times New Roman"/>
          <w:i/>
          <w:iCs/>
          <w:color w:val="000000"/>
          <w:sz w:val="24"/>
          <w:szCs w:val="24"/>
          <w:lang/>
        </w:rPr>
        <w:t>}</w:t>
      </w:r>
    </w:p>
    <w:p w14:paraId="22F5B3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1" w:name="n12484"/>
      <w:bookmarkEnd w:id="8301"/>
      <w:r w:rsidRPr="008B264B">
        <w:rPr>
          <w:rFonts w:ascii="Times New Roman" w:eastAsia="Times New Roman" w:hAnsi="Times New Roman" w:cs="Times New Roman"/>
          <w:color w:val="000000"/>
          <w:sz w:val="24"/>
          <w:szCs w:val="24"/>
          <w:lang/>
        </w:rPr>
        <w:t>і) будівлі дошкільних та загальноосвітніх навчальних закладів незалежно від форми власності та джерел фінансування, що використовуються для надання освітніх послуг;</w:t>
      </w:r>
    </w:p>
    <w:p w14:paraId="46F2B0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2" w:name="n12483"/>
      <w:bookmarkEnd w:id="8302"/>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"і" згідно із Законом </w:t>
      </w:r>
      <w:hyperlink r:id="rId4575" w:anchor="n6" w:tgtFrame="_blank" w:history="1">
        <w:r w:rsidRPr="008B264B">
          <w:rPr>
            <w:rFonts w:ascii="Times New Roman" w:eastAsia="Times New Roman" w:hAnsi="Times New Roman" w:cs="Times New Roman"/>
            <w:i/>
            <w:iCs/>
            <w:color w:val="0000FF"/>
            <w:sz w:val="24"/>
            <w:szCs w:val="24"/>
            <w:u w:val="single"/>
            <w:lang/>
          </w:rPr>
          <w:t>№ 654-VIII від 17.07.2015</w:t>
        </w:r>
      </w:hyperlink>
      <w:r w:rsidRPr="008B264B">
        <w:rPr>
          <w:rFonts w:ascii="Times New Roman" w:eastAsia="Times New Roman" w:hAnsi="Times New Roman" w:cs="Times New Roman"/>
          <w:i/>
          <w:iCs/>
          <w:color w:val="000000"/>
          <w:sz w:val="24"/>
          <w:szCs w:val="24"/>
          <w:lang/>
        </w:rPr>
        <w:t>}</w:t>
      </w:r>
    </w:p>
    <w:p w14:paraId="67652C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3" w:name="n14360"/>
      <w:bookmarkEnd w:id="8303"/>
      <w:r w:rsidRPr="008B264B">
        <w:rPr>
          <w:rFonts w:ascii="Times New Roman" w:eastAsia="Times New Roman" w:hAnsi="Times New Roman" w:cs="Times New Roman"/>
          <w:color w:val="000000"/>
          <w:sz w:val="24"/>
          <w:szCs w:val="24"/>
          <w:lang/>
        </w:rPr>
        <w:t>ї) об’єкти нежитлової нерухомості державних та комунальних дитячих санаторно-курортних закладів та закладів оздоровлення та відпочинку дітей, а також дитячих санаторно-курортних закладів та закладів оздоровлення і відпочинку дітей, які знаходяться на балансі підприємств, установ та організацій, які є неприбутковими і внесені контролюючим органом до Реєстру неприбуткових установ та організацій. У разі виключення з Реєстру неприбуткових установ та організацій декларація подається платником податку протягом 30 календарних днів з дня виключення, а податок сплачується починаючи з місяця, наступного за місяцем, в якому відбулося виключення з Реєстру неприбуткових установ та організацій;</w:t>
      </w:r>
    </w:p>
    <w:p w14:paraId="2F575B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4" w:name="n14366"/>
      <w:bookmarkEnd w:id="8304"/>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"ї" згідно із Законом </w:t>
      </w:r>
      <w:hyperlink r:id="rId4576" w:anchor="n13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570A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5" w:name="n14361"/>
      <w:bookmarkEnd w:id="8305"/>
      <w:r w:rsidRPr="008B264B">
        <w:rPr>
          <w:rFonts w:ascii="Times New Roman" w:eastAsia="Times New Roman" w:hAnsi="Times New Roman" w:cs="Times New Roman"/>
          <w:color w:val="000000"/>
          <w:sz w:val="24"/>
          <w:szCs w:val="24"/>
          <w:lang/>
        </w:rPr>
        <w:t>й) об’єкти нежитлової нерухомості державних та комунальних центрів олімпійської підготовки, шкіл вищої спортивної майстерності, центрів фізичного здоров’я населення, центрів з розвитку фізичної культури і спорту осіб з інвалідністю, дитячо-юнацьких спортивних шкіл, а також центрів олімпійської підготовки, шкіл вищої спортивної майстерності, дитячо-юнацьких спортивних шкіл і спортивних споруд всеукраїнських фізкультурно-спортивних товариств, їх місцевих осередків та відокремлених підрозділів, що є неприбутковими та включені до Реєстру неприбуткових установ та організацій. У разі виключення таких установ та організацій з Реєстру неприбуткових установ та організацій декларація подається платником податку протягом 30 календарних днів з дня виключення, а податок сплачується починаючи з місяця, наступного за місяцем, в якому відбулося виключення з Реєстру неприбуткових установ та організацій;</w:t>
      </w:r>
    </w:p>
    <w:p w14:paraId="373C41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6" w:name="n14365"/>
      <w:bookmarkEnd w:id="8306"/>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"й" згідно із Законом </w:t>
      </w:r>
      <w:hyperlink r:id="rId4577" w:anchor="n13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DA3DE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7" w:name="n14362"/>
      <w:bookmarkEnd w:id="8307"/>
      <w:r w:rsidRPr="008B264B">
        <w:rPr>
          <w:rFonts w:ascii="Times New Roman" w:eastAsia="Times New Roman" w:hAnsi="Times New Roman" w:cs="Times New Roman"/>
          <w:color w:val="000000"/>
          <w:sz w:val="24"/>
          <w:szCs w:val="24"/>
          <w:lang/>
        </w:rPr>
        <w:t>к) об’єкти нежитлової нерухомості баз олімпійської та паралімпійської підготовки. </w:t>
      </w:r>
      <w:hyperlink r:id="rId4578" w:anchor="n12"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таких баз затверджується Кабінетом Міністрів України;</w:t>
      </w:r>
    </w:p>
    <w:p w14:paraId="32A66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8" w:name="n14364"/>
      <w:bookmarkEnd w:id="8308"/>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"к" згідно із Законом </w:t>
      </w:r>
      <w:hyperlink r:id="rId4579" w:anchor="n13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6154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09" w:name="n14363"/>
      <w:bookmarkEnd w:id="8309"/>
      <w:r w:rsidRPr="008B264B">
        <w:rPr>
          <w:rFonts w:ascii="Times New Roman" w:eastAsia="Times New Roman" w:hAnsi="Times New Roman" w:cs="Times New Roman"/>
          <w:color w:val="000000"/>
          <w:sz w:val="24"/>
          <w:szCs w:val="24"/>
          <w:lang/>
        </w:rPr>
        <w:t>л) об’єкти житлової нерухомості, які належать багатодітним або прийомним сім’ям, у яких виховується п’ять та більше дітей.</w:t>
      </w:r>
    </w:p>
    <w:p w14:paraId="14FC3D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0" w:name="n14359"/>
      <w:bookmarkEnd w:id="8310"/>
      <w:r w:rsidRPr="008B264B">
        <w:rPr>
          <w:rFonts w:ascii="Times New Roman" w:eastAsia="Times New Roman" w:hAnsi="Times New Roman" w:cs="Times New Roman"/>
          <w:i/>
          <w:iCs/>
          <w:color w:val="000000"/>
          <w:sz w:val="24"/>
          <w:szCs w:val="24"/>
          <w:lang/>
        </w:rPr>
        <w:t>{Підпункт 266.2.2 пункту 266.2 статті 266 доповнено підпунктом "л" згідно із Законом </w:t>
      </w:r>
      <w:hyperlink r:id="rId4580" w:anchor="n134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C137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1" w:name="n11801"/>
      <w:bookmarkEnd w:id="8311"/>
      <w:r w:rsidRPr="008B264B">
        <w:rPr>
          <w:rFonts w:ascii="Times New Roman" w:eastAsia="Times New Roman" w:hAnsi="Times New Roman" w:cs="Times New Roman"/>
          <w:color w:val="000000"/>
          <w:sz w:val="24"/>
          <w:szCs w:val="24"/>
          <w:lang/>
        </w:rPr>
        <w:t>266.3. База оподаткування</w:t>
      </w:r>
    </w:p>
    <w:p w14:paraId="2E74A1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2" w:name="n11802"/>
      <w:bookmarkEnd w:id="8312"/>
      <w:r w:rsidRPr="008B264B">
        <w:rPr>
          <w:rFonts w:ascii="Times New Roman" w:eastAsia="Times New Roman" w:hAnsi="Times New Roman" w:cs="Times New Roman"/>
          <w:color w:val="000000"/>
          <w:sz w:val="24"/>
          <w:szCs w:val="24"/>
          <w:lang/>
        </w:rPr>
        <w:t>266.3.1. Базою оподаткування є загальна площа об’єкта житлової та нежитлової нерухомості, в тому числі його часток.</w:t>
      </w:r>
    </w:p>
    <w:p w14:paraId="4B6E35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3" w:name="n11803"/>
      <w:bookmarkEnd w:id="8313"/>
      <w:r w:rsidRPr="008B264B">
        <w:rPr>
          <w:rFonts w:ascii="Times New Roman" w:eastAsia="Times New Roman" w:hAnsi="Times New Roman" w:cs="Times New Roman"/>
          <w:color w:val="000000"/>
          <w:sz w:val="24"/>
          <w:szCs w:val="24"/>
          <w:lang/>
        </w:rPr>
        <w:t xml:space="preserve">266.3.2. База оподаткування об’єктів житлової та нежитлової нерухомості, в тому числі їх часток, які перебувають у власності фізичних осіб, обчислюється контролюючим органом на </w:t>
      </w:r>
      <w:r w:rsidRPr="008B264B">
        <w:rPr>
          <w:rFonts w:ascii="Times New Roman" w:eastAsia="Times New Roman" w:hAnsi="Times New Roman" w:cs="Times New Roman"/>
          <w:color w:val="000000"/>
          <w:sz w:val="24"/>
          <w:szCs w:val="24"/>
          <w:lang/>
        </w:rPr>
        <w:lastRenderedPageBreak/>
        <w:t>підставі даних Державного реєстру речових прав на нерухоме майно, що безоплатно надаються органами державної реєстрації прав на нерухоме майно та/або на підставі оригіналів відповідних документів платника податків, зокрема документів на право власності.</w:t>
      </w:r>
    </w:p>
    <w:p w14:paraId="5E1452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4" w:name="n11804"/>
      <w:bookmarkEnd w:id="8314"/>
      <w:r w:rsidRPr="008B264B">
        <w:rPr>
          <w:rFonts w:ascii="Times New Roman" w:eastAsia="Times New Roman" w:hAnsi="Times New Roman" w:cs="Times New Roman"/>
          <w:color w:val="000000"/>
          <w:sz w:val="24"/>
          <w:szCs w:val="24"/>
          <w:lang/>
        </w:rPr>
        <w:t>266.3.3. База оподаткування об’єктів житлової та нежитлової нерухомості, в тому числі їх часток, що перебувають у власності юридичних осіб, обчислюється такими особами самостійно виходячи із загальної площі кожного окремого об’єкта оподаткування на підставі документів, що підтверджують право власності на такий об’єкт.</w:t>
      </w:r>
    </w:p>
    <w:p w14:paraId="4CBEDF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5" w:name="n11805"/>
      <w:bookmarkEnd w:id="8315"/>
      <w:r w:rsidRPr="008B264B">
        <w:rPr>
          <w:rFonts w:ascii="Times New Roman" w:eastAsia="Times New Roman" w:hAnsi="Times New Roman" w:cs="Times New Roman"/>
          <w:color w:val="000000"/>
          <w:sz w:val="24"/>
          <w:szCs w:val="24"/>
          <w:lang/>
        </w:rPr>
        <w:t>266.4. Пільги із сплати податку</w:t>
      </w:r>
    </w:p>
    <w:p w14:paraId="519456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6" w:name="n11806"/>
      <w:bookmarkEnd w:id="8316"/>
      <w:r w:rsidRPr="008B264B">
        <w:rPr>
          <w:rFonts w:ascii="Times New Roman" w:eastAsia="Times New Roman" w:hAnsi="Times New Roman" w:cs="Times New Roman"/>
          <w:color w:val="000000"/>
          <w:sz w:val="24"/>
          <w:szCs w:val="24"/>
          <w:lang/>
        </w:rPr>
        <w:t>266.4.1. База оподаткування об’єкта/об’єктів житлової нерухомості, в тому числі їх часток, що перебувають у власності фізичної особи - платника податку, зменшується:</w:t>
      </w:r>
    </w:p>
    <w:p w14:paraId="42D5EA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7" w:name="n11807"/>
      <w:bookmarkEnd w:id="8317"/>
      <w:r w:rsidRPr="008B264B">
        <w:rPr>
          <w:rFonts w:ascii="Times New Roman" w:eastAsia="Times New Roman" w:hAnsi="Times New Roman" w:cs="Times New Roman"/>
          <w:color w:val="000000"/>
          <w:sz w:val="24"/>
          <w:szCs w:val="24"/>
          <w:lang/>
        </w:rPr>
        <w:t>а) для квартири/квартир незалежно від їх кількості - на 60 кв. метрів;</w:t>
      </w:r>
    </w:p>
    <w:p w14:paraId="238B64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8" w:name="n11808"/>
      <w:bookmarkEnd w:id="8318"/>
      <w:r w:rsidRPr="008B264B">
        <w:rPr>
          <w:rFonts w:ascii="Times New Roman" w:eastAsia="Times New Roman" w:hAnsi="Times New Roman" w:cs="Times New Roman"/>
          <w:color w:val="000000"/>
          <w:sz w:val="24"/>
          <w:szCs w:val="24"/>
          <w:lang/>
        </w:rPr>
        <w:t>б) для житлового будинку/будинків незалежно від їх кількості - на 120 кв. метрів;</w:t>
      </w:r>
    </w:p>
    <w:p w14:paraId="359277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19" w:name="n11809"/>
      <w:bookmarkEnd w:id="8319"/>
      <w:r w:rsidRPr="008B264B">
        <w:rPr>
          <w:rFonts w:ascii="Times New Roman" w:eastAsia="Times New Roman" w:hAnsi="Times New Roman" w:cs="Times New Roman"/>
          <w:color w:val="000000"/>
          <w:sz w:val="24"/>
          <w:szCs w:val="24"/>
          <w:lang/>
        </w:rPr>
        <w:t>в) для різних типів об’єктів житлової нерухомості, в тому числі їх часток (у разі одночасного перебування у власності платника податку квартири/квартир та житлового будинку/будинків, у тому числі їх часток), - на 180 кв. метрів.</w:t>
      </w:r>
    </w:p>
    <w:p w14:paraId="4EEDC1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0" w:name="n11810"/>
      <w:bookmarkEnd w:id="8320"/>
      <w:r w:rsidRPr="008B264B">
        <w:rPr>
          <w:rFonts w:ascii="Times New Roman" w:eastAsia="Times New Roman" w:hAnsi="Times New Roman" w:cs="Times New Roman"/>
          <w:color w:val="000000"/>
          <w:sz w:val="24"/>
          <w:szCs w:val="24"/>
          <w:lang/>
        </w:rPr>
        <w:t>Таке зменшення надається один раз за кожний базовий податковий (звітний) період (рік).</w:t>
      </w:r>
    </w:p>
    <w:p w14:paraId="1233A9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1" w:name="n11811"/>
      <w:bookmarkEnd w:id="8321"/>
      <w:r w:rsidRPr="008B264B">
        <w:rPr>
          <w:rFonts w:ascii="Times New Roman" w:eastAsia="Times New Roman" w:hAnsi="Times New Roman" w:cs="Times New Roman"/>
          <w:i/>
          <w:iCs/>
          <w:color w:val="000000"/>
          <w:sz w:val="24"/>
          <w:szCs w:val="24"/>
          <w:lang/>
        </w:rPr>
        <w:t>{Абзац шостий підпункту 266.4.1 пункту 266.4 статті 266 виключено на підставі Закону </w:t>
      </w:r>
      <w:hyperlink r:id="rId4581" w:anchor="n59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2F11E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2" w:name="n11812"/>
      <w:bookmarkEnd w:id="8322"/>
      <w:r w:rsidRPr="008B264B">
        <w:rPr>
          <w:rFonts w:ascii="Times New Roman" w:eastAsia="Times New Roman" w:hAnsi="Times New Roman" w:cs="Times New Roman"/>
          <w:color w:val="000000"/>
          <w:sz w:val="24"/>
          <w:szCs w:val="24"/>
          <w:lang/>
        </w:rPr>
        <w:t>266.4.2. Сільські, селищні, міські ради та ради об’єднаних територіальних громад, що створені згідно із законом та перспективним планом формування територій громад, встановлюють пільги з податку, що сплачується на відповідній території, з об’єктів житлової та/або нежитлової нерухомості, що перебувають у власності фізичних або юридичних осіб, громадських об’єднань, благодійних організацій, релігійних організацій України, статути (положення) яких зареєстровані у встановленому законом порядку, та використовуються для забезпечення діяльності, передбаченої такими статутами (положеннями).</w:t>
      </w:r>
    </w:p>
    <w:p w14:paraId="57308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3" w:name="n11813"/>
      <w:bookmarkEnd w:id="8323"/>
      <w:r w:rsidRPr="008B264B">
        <w:rPr>
          <w:rFonts w:ascii="Times New Roman" w:eastAsia="Times New Roman" w:hAnsi="Times New Roman" w:cs="Times New Roman"/>
          <w:color w:val="000000"/>
          <w:sz w:val="24"/>
          <w:szCs w:val="24"/>
          <w:lang/>
        </w:rPr>
        <w:t>Пільги з податку, що сплачується на відповідній території з об’єктів житлової та нежитлової нерухомості, для фізичних осіб визначаються виходячи з їх майнового стану та рівня доходів.</w:t>
      </w:r>
    </w:p>
    <w:p w14:paraId="7B6506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4" w:name="n11816"/>
      <w:bookmarkEnd w:id="8324"/>
      <w:r w:rsidRPr="008B264B">
        <w:rPr>
          <w:rFonts w:ascii="Times New Roman" w:eastAsia="Times New Roman" w:hAnsi="Times New Roman" w:cs="Times New Roman"/>
          <w:color w:val="000000"/>
          <w:sz w:val="24"/>
          <w:szCs w:val="24"/>
          <w:lang/>
        </w:rPr>
        <w:t>Пільги з податку, що сплачується на відповідній території з об’єктів нежитлової нерухомості, встановлюються залежно від майна, яке є об’єктом оподаткування.</w:t>
      </w:r>
    </w:p>
    <w:p w14:paraId="6DA7A6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5" w:name="n11817"/>
      <w:bookmarkEnd w:id="8325"/>
      <w:r w:rsidRPr="008B264B">
        <w:rPr>
          <w:rFonts w:ascii="Times New Roman" w:eastAsia="Times New Roman" w:hAnsi="Times New Roman" w:cs="Times New Roman"/>
          <w:color w:val="000000"/>
          <w:sz w:val="24"/>
          <w:szCs w:val="24"/>
          <w:lang/>
        </w:rPr>
        <w:t>Органи місцевого самоврядування до 25 грудня року, що передує звітному, подають відповідному контролюючому органу за місцезнаходженням об’єкта житлової та/або нежитлової нерухомості інформацію щодо ставок та наданих пільг юридичним та/або фізичним особам зі сплати податку на нерухоме майно, відмінне від земельної ділянки, за </w:t>
      </w:r>
      <w:hyperlink r:id="rId4582" w:anchor="n17"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затвердженою Кабінетом Міністрів України.</w:t>
      </w:r>
    </w:p>
    <w:p w14:paraId="53A4B5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6" w:name="n14901"/>
      <w:bookmarkEnd w:id="8326"/>
      <w:r w:rsidRPr="008B264B">
        <w:rPr>
          <w:rFonts w:ascii="Times New Roman" w:eastAsia="Times New Roman" w:hAnsi="Times New Roman" w:cs="Times New Roman"/>
          <w:i/>
          <w:iCs/>
          <w:color w:val="000000"/>
          <w:sz w:val="24"/>
          <w:szCs w:val="24"/>
          <w:lang/>
        </w:rPr>
        <w:t>{Абзац четвертий підпункту 266.4.2 пункту 266.4 статті 266 із змінами, внесеними згідно із Законом </w:t>
      </w:r>
      <w:hyperlink r:id="rId4583" w:anchor="n37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0DA09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7" w:name="n14367"/>
      <w:bookmarkEnd w:id="8327"/>
      <w:r w:rsidRPr="008B264B">
        <w:rPr>
          <w:rFonts w:ascii="Times New Roman" w:eastAsia="Times New Roman" w:hAnsi="Times New Roman" w:cs="Times New Roman"/>
          <w:i/>
          <w:iCs/>
          <w:color w:val="000000"/>
          <w:sz w:val="24"/>
          <w:szCs w:val="24"/>
          <w:lang/>
        </w:rPr>
        <w:t>{Підпункт 266.4.2 пункту 266.4 статті 266 із змінами, внесеними згідно із Законами </w:t>
      </w:r>
      <w:hyperlink r:id="rId4584" w:anchor="n55"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 </w:t>
      </w:r>
      <w:hyperlink r:id="rId4585" w:anchor="n5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4586" w:anchor="n13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7B71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8" w:name="n14370"/>
      <w:bookmarkEnd w:id="8328"/>
      <w:r w:rsidRPr="008B264B">
        <w:rPr>
          <w:rFonts w:ascii="Times New Roman" w:eastAsia="Times New Roman" w:hAnsi="Times New Roman" w:cs="Times New Roman"/>
          <w:color w:val="000000"/>
          <w:sz w:val="24"/>
          <w:szCs w:val="24"/>
          <w:lang/>
        </w:rPr>
        <w:t>266.4.3. Пільги з податку, передбачені </w:t>
      </w:r>
      <w:hyperlink r:id="rId4587" w:anchor="n11806" w:history="1">
        <w:r w:rsidRPr="008B264B">
          <w:rPr>
            <w:rFonts w:ascii="Times New Roman" w:eastAsia="Times New Roman" w:hAnsi="Times New Roman" w:cs="Times New Roman"/>
            <w:color w:val="0000FF"/>
            <w:sz w:val="24"/>
            <w:szCs w:val="24"/>
            <w:u w:val="single"/>
            <w:lang/>
          </w:rPr>
          <w:t>підпунктами 266.4.1</w:t>
        </w:r>
      </w:hyperlink>
      <w:r w:rsidRPr="008B264B">
        <w:rPr>
          <w:rFonts w:ascii="Times New Roman" w:eastAsia="Times New Roman" w:hAnsi="Times New Roman" w:cs="Times New Roman"/>
          <w:color w:val="000000"/>
          <w:sz w:val="24"/>
          <w:szCs w:val="24"/>
          <w:lang/>
        </w:rPr>
        <w:t> та </w:t>
      </w:r>
      <w:hyperlink r:id="rId4588" w:anchor="n11812" w:history="1">
        <w:r w:rsidRPr="008B264B">
          <w:rPr>
            <w:rFonts w:ascii="Times New Roman" w:eastAsia="Times New Roman" w:hAnsi="Times New Roman" w:cs="Times New Roman"/>
            <w:color w:val="0000FF"/>
            <w:sz w:val="24"/>
            <w:szCs w:val="24"/>
            <w:u w:val="single"/>
            <w:lang/>
          </w:rPr>
          <w:t>266.4.2</w:t>
        </w:r>
      </w:hyperlink>
      <w:r w:rsidRPr="008B264B">
        <w:rPr>
          <w:rFonts w:ascii="Times New Roman" w:eastAsia="Times New Roman" w:hAnsi="Times New Roman" w:cs="Times New Roman"/>
          <w:color w:val="000000"/>
          <w:sz w:val="24"/>
          <w:szCs w:val="24"/>
          <w:lang/>
        </w:rPr>
        <w:t> цього пункту, для фізичних осіб не застосовуються до:</w:t>
      </w:r>
    </w:p>
    <w:p w14:paraId="45CF1D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29" w:name="n14371"/>
      <w:bookmarkEnd w:id="8329"/>
      <w:r w:rsidRPr="008B264B">
        <w:rPr>
          <w:rFonts w:ascii="Times New Roman" w:eastAsia="Times New Roman" w:hAnsi="Times New Roman" w:cs="Times New Roman"/>
          <w:color w:val="000000"/>
          <w:sz w:val="24"/>
          <w:szCs w:val="24"/>
          <w:lang/>
        </w:rPr>
        <w:t>об’єкта/об’єктів оподаткування, якщо площа такого/таких об’єкта/об’єктів перевищує п’ятикратний розмір неоподатковуваної площі, встановленої підпунктом 266.4.1 цього пункту;</w:t>
      </w:r>
    </w:p>
    <w:p w14:paraId="35BACD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0" w:name="n14372"/>
      <w:bookmarkEnd w:id="8330"/>
      <w:r w:rsidRPr="008B264B">
        <w:rPr>
          <w:rFonts w:ascii="Times New Roman" w:eastAsia="Times New Roman" w:hAnsi="Times New Roman" w:cs="Times New Roman"/>
          <w:color w:val="000000"/>
          <w:sz w:val="24"/>
          <w:szCs w:val="24"/>
          <w:lang/>
        </w:rPr>
        <w:t>об’єкта/об’єктів оподаткування, що використовуються їх власниками з метою одержання доходів (здаються в оренду, лізинг, позичку, використовуються у підприємницькій діяльності).</w:t>
      </w:r>
    </w:p>
    <w:p w14:paraId="5A5F3D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1" w:name="n14369"/>
      <w:bookmarkEnd w:id="8331"/>
      <w:r w:rsidRPr="008B264B">
        <w:rPr>
          <w:rFonts w:ascii="Times New Roman" w:eastAsia="Times New Roman" w:hAnsi="Times New Roman" w:cs="Times New Roman"/>
          <w:i/>
          <w:iCs/>
          <w:color w:val="000000"/>
          <w:sz w:val="24"/>
          <w:szCs w:val="24"/>
          <w:lang/>
        </w:rPr>
        <w:lastRenderedPageBreak/>
        <w:t>{Пункт 266.4 статті 266 доповнено підпунктом 266.4.3 згідно із Законом </w:t>
      </w:r>
      <w:hyperlink r:id="rId4589" w:anchor="n135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2B8CA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2" w:name="n11818"/>
      <w:bookmarkEnd w:id="8332"/>
      <w:r w:rsidRPr="008B264B">
        <w:rPr>
          <w:rFonts w:ascii="Times New Roman" w:eastAsia="Times New Roman" w:hAnsi="Times New Roman" w:cs="Times New Roman"/>
          <w:color w:val="000000"/>
          <w:sz w:val="24"/>
          <w:szCs w:val="24"/>
          <w:lang/>
        </w:rPr>
        <w:t>266.5. Ставка податку</w:t>
      </w:r>
    </w:p>
    <w:p w14:paraId="563A43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3" w:name="n11819"/>
      <w:bookmarkEnd w:id="8333"/>
      <w:r w:rsidRPr="008B264B">
        <w:rPr>
          <w:rFonts w:ascii="Times New Roman" w:eastAsia="Times New Roman" w:hAnsi="Times New Roman" w:cs="Times New Roman"/>
          <w:color w:val="000000"/>
          <w:sz w:val="24"/>
          <w:szCs w:val="24"/>
          <w:lang/>
        </w:rPr>
        <w:t>266.5.1. Ставки податку для об’єктів житлової та/або нежитлової нерухомості, що перебувають у власності фізичних та юридичних осіб, встановлюються за рішенням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залежно від місця розташування (зональності) та типів таких об’єктів нерухомості у розмірі, що не перевищує 1,5 відсотка розміру мінімальної заробітної плати, встановленої законом на 1 січня звітного (податкового) року, за 1 квадратний метр бази оподаткування.</w:t>
      </w:r>
    </w:p>
    <w:p w14:paraId="144B2D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4" w:name="n12917"/>
      <w:bookmarkEnd w:id="8334"/>
      <w:r w:rsidRPr="008B264B">
        <w:rPr>
          <w:rFonts w:ascii="Times New Roman" w:eastAsia="Times New Roman" w:hAnsi="Times New Roman" w:cs="Times New Roman"/>
          <w:i/>
          <w:iCs/>
          <w:color w:val="000000"/>
          <w:sz w:val="24"/>
          <w:szCs w:val="24"/>
          <w:lang/>
        </w:rPr>
        <w:t>{Підпункт 266.5.1 пункту 266.5 статті 266 в редакції Закону </w:t>
      </w:r>
      <w:hyperlink r:id="rId4590" w:anchor="n60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591" w:anchor="n12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31250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5" w:name="n11820"/>
      <w:bookmarkEnd w:id="8335"/>
      <w:r w:rsidRPr="008B264B">
        <w:rPr>
          <w:rFonts w:ascii="Times New Roman" w:eastAsia="Times New Roman" w:hAnsi="Times New Roman" w:cs="Times New Roman"/>
          <w:color w:val="000000"/>
          <w:sz w:val="24"/>
          <w:szCs w:val="24"/>
          <w:lang/>
        </w:rPr>
        <w:t>266.6. Податковий період</w:t>
      </w:r>
    </w:p>
    <w:p w14:paraId="10B950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6" w:name="n11821"/>
      <w:bookmarkEnd w:id="8336"/>
      <w:r w:rsidRPr="008B264B">
        <w:rPr>
          <w:rFonts w:ascii="Times New Roman" w:eastAsia="Times New Roman" w:hAnsi="Times New Roman" w:cs="Times New Roman"/>
          <w:color w:val="000000"/>
          <w:sz w:val="24"/>
          <w:szCs w:val="24"/>
          <w:lang/>
        </w:rPr>
        <w:t>266.6.1. Базовий податковий (звітний) період дорівнює календарному року.</w:t>
      </w:r>
    </w:p>
    <w:p w14:paraId="306260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7" w:name="n11822"/>
      <w:bookmarkEnd w:id="8337"/>
      <w:r w:rsidRPr="008B264B">
        <w:rPr>
          <w:rFonts w:ascii="Times New Roman" w:eastAsia="Times New Roman" w:hAnsi="Times New Roman" w:cs="Times New Roman"/>
          <w:color w:val="000000"/>
          <w:sz w:val="24"/>
          <w:szCs w:val="24"/>
          <w:lang/>
        </w:rPr>
        <w:t>266.7. Порядок обчислення суми податку</w:t>
      </w:r>
    </w:p>
    <w:p w14:paraId="491259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8" w:name="n11823"/>
      <w:bookmarkEnd w:id="8338"/>
      <w:r w:rsidRPr="008B264B">
        <w:rPr>
          <w:rFonts w:ascii="Times New Roman" w:eastAsia="Times New Roman" w:hAnsi="Times New Roman" w:cs="Times New Roman"/>
          <w:color w:val="000000"/>
          <w:sz w:val="24"/>
          <w:szCs w:val="24"/>
          <w:lang/>
        </w:rPr>
        <w:t>266.7.1. Обчислення суми податку з об’єкта/об’єктів житлової нерухомості, які перебувають у власності фізичних осіб, здійснюється контролюючим органом за місцем податкової адреси (місцем реєстрації) власника такої нерухомості у такому порядку:</w:t>
      </w:r>
    </w:p>
    <w:p w14:paraId="60015C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39" w:name="n11824"/>
      <w:bookmarkEnd w:id="8339"/>
      <w:r w:rsidRPr="008B264B">
        <w:rPr>
          <w:rFonts w:ascii="Times New Roman" w:eastAsia="Times New Roman" w:hAnsi="Times New Roman" w:cs="Times New Roman"/>
          <w:color w:val="000000"/>
          <w:sz w:val="24"/>
          <w:szCs w:val="24"/>
          <w:lang/>
        </w:rPr>
        <w:t>а) за наявності у власності платника податку одного об’єкта житлової нерухомості, в тому числі його частки, податок обчислюється, виходячи з бази оподаткування, зменшеної відповідно до </w:t>
      </w:r>
      <w:hyperlink r:id="rId4592" w:anchor="n11807" w:history="1">
        <w:r w:rsidRPr="008B264B">
          <w:rPr>
            <w:rFonts w:ascii="Times New Roman" w:eastAsia="Times New Roman" w:hAnsi="Times New Roman" w:cs="Times New Roman"/>
            <w:color w:val="0000FF"/>
            <w:sz w:val="24"/>
            <w:szCs w:val="24"/>
            <w:u w:val="single"/>
            <w:lang/>
          </w:rPr>
          <w:t>підпунктів "а"</w:t>
        </w:r>
      </w:hyperlink>
      <w:r w:rsidRPr="008B264B">
        <w:rPr>
          <w:rFonts w:ascii="Times New Roman" w:eastAsia="Times New Roman" w:hAnsi="Times New Roman" w:cs="Times New Roman"/>
          <w:color w:val="000000"/>
          <w:sz w:val="24"/>
          <w:szCs w:val="24"/>
          <w:lang/>
        </w:rPr>
        <w:t> або </w:t>
      </w:r>
      <w:hyperlink r:id="rId4593" w:anchor="n11808" w:history="1">
        <w:r w:rsidRPr="008B264B">
          <w:rPr>
            <w:rFonts w:ascii="Times New Roman" w:eastAsia="Times New Roman" w:hAnsi="Times New Roman" w:cs="Times New Roman"/>
            <w:color w:val="0000FF"/>
            <w:sz w:val="24"/>
            <w:szCs w:val="24"/>
            <w:u w:val="single"/>
            <w:lang/>
          </w:rPr>
          <w:t>"б"</w:t>
        </w:r>
      </w:hyperlink>
      <w:r w:rsidRPr="008B264B">
        <w:rPr>
          <w:rFonts w:ascii="Times New Roman" w:eastAsia="Times New Roman" w:hAnsi="Times New Roman" w:cs="Times New Roman"/>
          <w:color w:val="000000"/>
          <w:sz w:val="24"/>
          <w:szCs w:val="24"/>
          <w:lang/>
        </w:rPr>
        <w:t> підпункту 266.4.1 пункту 266.4 цієї статті, та відповідної ставки податку;</w:t>
      </w:r>
    </w:p>
    <w:p w14:paraId="2F3F8C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0" w:name="n12918"/>
      <w:bookmarkEnd w:id="8340"/>
      <w:r w:rsidRPr="008B264B">
        <w:rPr>
          <w:rFonts w:ascii="Times New Roman" w:eastAsia="Times New Roman" w:hAnsi="Times New Roman" w:cs="Times New Roman"/>
          <w:i/>
          <w:iCs/>
          <w:color w:val="000000"/>
          <w:sz w:val="24"/>
          <w:szCs w:val="24"/>
          <w:lang/>
        </w:rPr>
        <w:t>{Підпункт "а" підпункту 266.7.1 пункту 266.7 статті 266 із змінами, внесеними згідно із Законом </w:t>
      </w:r>
      <w:hyperlink r:id="rId4594" w:anchor="n60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3F1AB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1" w:name="n11825"/>
      <w:bookmarkEnd w:id="8341"/>
      <w:r w:rsidRPr="008B264B">
        <w:rPr>
          <w:rFonts w:ascii="Times New Roman" w:eastAsia="Times New Roman" w:hAnsi="Times New Roman" w:cs="Times New Roman"/>
          <w:color w:val="000000"/>
          <w:sz w:val="24"/>
          <w:szCs w:val="24"/>
          <w:lang/>
        </w:rPr>
        <w:t>б) за наявності у власності платника податку більше одного об’єкта житлової нерухомості одного типу, в тому числі їх часток, податок обчислюється виходячи із сумарної загальної площі таких об’єктів, зменшеної відповідно до </w:t>
      </w:r>
      <w:hyperlink r:id="rId4595" w:anchor="n11807" w:history="1">
        <w:r w:rsidRPr="008B264B">
          <w:rPr>
            <w:rFonts w:ascii="Times New Roman" w:eastAsia="Times New Roman" w:hAnsi="Times New Roman" w:cs="Times New Roman"/>
            <w:color w:val="0000FF"/>
            <w:sz w:val="24"/>
            <w:szCs w:val="24"/>
            <w:u w:val="single"/>
            <w:lang/>
          </w:rPr>
          <w:t>підпунктів "а"</w:t>
        </w:r>
      </w:hyperlink>
      <w:r w:rsidRPr="008B264B">
        <w:rPr>
          <w:rFonts w:ascii="Times New Roman" w:eastAsia="Times New Roman" w:hAnsi="Times New Roman" w:cs="Times New Roman"/>
          <w:color w:val="000000"/>
          <w:sz w:val="24"/>
          <w:szCs w:val="24"/>
          <w:lang/>
        </w:rPr>
        <w:t> або </w:t>
      </w:r>
      <w:hyperlink r:id="rId4596" w:anchor="n11808" w:history="1">
        <w:r w:rsidRPr="008B264B">
          <w:rPr>
            <w:rFonts w:ascii="Times New Roman" w:eastAsia="Times New Roman" w:hAnsi="Times New Roman" w:cs="Times New Roman"/>
            <w:color w:val="0000FF"/>
            <w:sz w:val="24"/>
            <w:szCs w:val="24"/>
            <w:u w:val="single"/>
            <w:lang/>
          </w:rPr>
          <w:t>"б"</w:t>
        </w:r>
      </w:hyperlink>
      <w:r w:rsidRPr="008B264B">
        <w:rPr>
          <w:rFonts w:ascii="Times New Roman" w:eastAsia="Times New Roman" w:hAnsi="Times New Roman" w:cs="Times New Roman"/>
          <w:color w:val="000000"/>
          <w:sz w:val="24"/>
          <w:szCs w:val="24"/>
          <w:lang/>
        </w:rPr>
        <w:t> підпункту 266.4.1 пункту 266.4 цієї статті, та відповідної ставки податку;</w:t>
      </w:r>
    </w:p>
    <w:p w14:paraId="593E28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2" w:name="n12919"/>
      <w:bookmarkEnd w:id="8342"/>
      <w:r w:rsidRPr="008B264B">
        <w:rPr>
          <w:rFonts w:ascii="Times New Roman" w:eastAsia="Times New Roman" w:hAnsi="Times New Roman" w:cs="Times New Roman"/>
          <w:i/>
          <w:iCs/>
          <w:color w:val="000000"/>
          <w:sz w:val="24"/>
          <w:szCs w:val="24"/>
          <w:lang/>
        </w:rPr>
        <w:t>{Підпункт "б" підпункту 266.7.1 пункту 266.7 статті 266 із змінами, внесеними згідно із Законом </w:t>
      </w:r>
      <w:hyperlink r:id="rId4597" w:anchor="n60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09D68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3" w:name="n11826"/>
      <w:bookmarkEnd w:id="8343"/>
      <w:r w:rsidRPr="008B264B">
        <w:rPr>
          <w:rFonts w:ascii="Times New Roman" w:eastAsia="Times New Roman" w:hAnsi="Times New Roman" w:cs="Times New Roman"/>
          <w:color w:val="000000"/>
          <w:sz w:val="24"/>
          <w:szCs w:val="24"/>
          <w:lang/>
        </w:rPr>
        <w:t>в) за наявності у власності платника податку об’єктів житлової нерухомості різних видів, у тому числі їх часток, податок обчислюється виходячи із сумарної загальної площі таких об’єктів, зменшеної відповідно до </w:t>
      </w:r>
      <w:hyperlink r:id="rId4598" w:anchor="n11809" w:history="1">
        <w:r w:rsidRPr="008B264B">
          <w:rPr>
            <w:rFonts w:ascii="Times New Roman" w:eastAsia="Times New Roman" w:hAnsi="Times New Roman" w:cs="Times New Roman"/>
            <w:color w:val="0000FF"/>
            <w:sz w:val="24"/>
            <w:szCs w:val="24"/>
            <w:u w:val="single"/>
            <w:lang/>
          </w:rPr>
          <w:t>підпункту "в"</w:t>
        </w:r>
      </w:hyperlink>
      <w:r w:rsidRPr="008B264B">
        <w:rPr>
          <w:rFonts w:ascii="Times New Roman" w:eastAsia="Times New Roman" w:hAnsi="Times New Roman" w:cs="Times New Roman"/>
          <w:color w:val="000000"/>
          <w:sz w:val="24"/>
          <w:szCs w:val="24"/>
          <w:lang/>
        </w:rPr>
        <w:t> підпункту 266.4.1 пункту 266.4 цієї статті, та відповідної ставки податку;</w:t>
      </w:r>
    </w:p>
    <w:p w14:paraId="71BBA5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4" w:name="n12920"/>
      <w:bookmarkEnd w:id="8344"/>
      <w:r w:rsidRPr="008B264B">
        <w:rPr>
          <w:rFonts w:ascii="Times New Roman" w:eastAsia="Times New Roman" w:hAnsi="Times New Roman" w:cs="Times New Roman"/>
          <w:i/>
          <w:iCs/>
          <w:color w:val="000000"/>
          <w:sz w:val="24"/>
          <w:szCs w:val="24"/>
          <w:lang/>
        </w:rPr>
        <w:t>{Підпункт "в" підпункту 266.7.1 пункту 266.7 статті 266 із змінами, внесеними згідно із Законом </w:t>
      </w:r>
      <w:hyperlink r:id="rId4599" w:anchor="n60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6BC23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5" w:name="n11827"/>
      <w:bookmarkEnd w:id="8345"/>
      <w:r w:rsidRPr="008B264B">
        <w:rPr>
          <w:rFonts w:ascii="Times New Roman" w:eastAsia="Times New Roman" w:hAnsi="Times New Roman" w:cs="Times New Roman"/>
          <w:color w:val="000000"/>
          <w:sz w:val="24"/>
          <w:szCs w:val="24"/>
          <w:lang/>
        </w:rPr>
        <w:t>г) сума податку, обчислена з урахуванням підпунктів "б" і "в" цього підпункту, розподіляється контролюючим органом пропорційно до питомої ваги загальної площі кожного з об’єктів житлової нерухомості;</w:t>
      </w:r>
    </w:p>
    <w:p w14:paraId="3AA557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6" w:name="n12921"/>
      <w:bookmarkEnd w:id="8346"/>
      <w:r w:rsidRPr="008B264B">
        <w:rPr>
          <w:rFonts w:ascii="Times New Roman" w:eastAsia="Times New Roman" w:hAnsi="Times New Roman" w:cs="Times New Roman"/>
          <w:i/>
          <w:iCs/>
          <w:color w:val="000000"/>
          <w:sz w:val="24"/>
          <w:szCs w:val="24"/>
          <w:lang/>
        </w:rPr>
        <w:t>{Підпункт "г" підпункту 266.7.1 пункту 266.7 статті 266 із змінами, внесеними згідно із Законом </w:t>
      </w:r>
      <w:hyperlink r:id="rId4600" w:anchor="n60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42892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7" w:name="n12923"/>
      <w:bookmarkEnd w:id="8347"/>
      <w:r w:rsidRPr="008B264B">
        <w:rPr>
          <w:rFonts w:ascii="Times New Roman" w:eastAsia="Times New Roman" w:hAnsi="Times New Roman" w:cs="Times New Roman"/>
          <w:color w:val="000000"/>
          <w:sz w:val="24"/>
          <w:szCs w:val="24"/>
          <w:lang/>
        </w:rPr>
        <w:t xml:space="preserve">ґ) за наявності у власності платника податку об’єкта (об’єктів) житлової нерухомості, у тому числі його частки, що перебуває у власності фізичної чи юридичної особи - платника податку, загальна площа якого перевищує 300 квадратних метрів (для квартири) та/або 500 квадратних метрів (для будинку), сума податку, розрахована відповідно до підпунктів "а"-"г" цього </w:t>
      </w:r>
      <w:r w:rsidRPr="008B264B">
        <w:rPr>
          <w:rFonts w:ascii="Times New Roman" w:eastAsia="Times New Roman" w:hAnsi="Times New Roman" w:cs="Times New Roman"/>
          <w:color w:val="000000"/>
          <w:sz w:val="24"/>
          <w:szCs w:val="24"/>
          <w:lang/>
        </w:rPr>
        <w:lastRenderedPageBreak/>
        <w:t>підпункту, збільшується на 25000 гривень на рік за кожен такий об’єкт житлової нерухомості (його частку).</w:t>
      </w:r>
    </w:p>
    <w:p w14:paraId="537BA5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8" w:name="n12922"/>
      <w:bookmarkEnd w:id="8348"/>
      <w:r w:rsidRPr="008B264B">
        <w:rPr>
          <w:rFonts w:ascii="Times New Roman" w:eastAsia="Times New Roman" w:hAnsi="Times New Roman" w:cs="Times New Roman"/>
          <w:i/>
          <w:iCs/>
          <w:color w:val="000000"/>
          <w:sz w:val="24"/>
          <w:szCs w:val="24"/>
          <w:lang/>
        </w:rPr>
        <w:t>{Підпункт 266.7.1 пункту 266.7 статті 266 доповнено підпунктом "ґ" згідно із Законом </w:t>
      </w:r>
      <w:hyperlink r:id="rId4601" w:anchor="n60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99B50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49" w:name="n11828"/>
      <w:bookmarkEnd w:id="8349"/>
      <w:r w:rsidRPr="008B264B">
        <w:rPr>
          <w:rFonts w:ascii="Times New Roman" w:eastAsia="Times New Roman" w:hAnsi="Times New Roman" w:cs="Times New Roman"/>
          <w:color w:val="000000"/>
          <w:sz w:val="24"/>
          <w:szCs w:val="24"/>
          <w:lang/>
        </w:rPr>
        <w:t>Обчислення суми податку з об’єкта/об’єктів нежитлової нерухомості, які перебувають у власності фізичних осіб, здійснюється контролюючим органом за місцем податкової адреси (місцем реєстрації) власника такої нерухомості виходячи із загальної площі кожного з об’єктів нежитлової нерухомості та відповідної ставки податку.</w:t>
      </w:r>
    </w:p>
    <w:p w14:paraId="666BE8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0" w:name="n11829"/>
      <w:bookmarkEnd w:id="8350"/>
      <w:r w:rsidRPr="008B264B">
        <w:rPr>
          <w:rFonts w:ascii="Times New Roman" w:eastAsia="Times New Roman" w:hAnsi="Times New Roman" w:cs="Times New Roman"/>
          <w:color w:val="000000"/>
          <w:sz w:val="24"/>
          <w:szCs w:val="24"/>
          <w:lang/>
        </w:rPr>
        <w:t>266.7.2. Податкове/податкові повідомлення-рішення про сплату суми/сум податку, обчисленого згідно з підпунктом 266.7.1 пункту 266.7 цієї статті, та відповідні платіжні реквізити, зокрема, органів місцевого самоврядування за місцезнаходженням кожного з об’єктів житлової та/або нежитлової нерухомості, надсилаються (вручаються) платнику податку контролюючим органом за місцем його податкової адреси (місцем реєстрації) до 1 липня року, що настає за базовим податковим (звітним) періодом (роком).</w:t>
      </w:r>
    </w:p>
    <w:p w14:paraId="54C1C5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1" w:name="n11830"/>
      <w:bookmarkEnd w:id="8351"/>
      <w:r w:rsidRPr="008B264B">
        <w:rPr>
          <w:rFonts w:ascii="Times New Roman" w:eastAsia="Times New Roman" w:hAnsi="Times New Roman" w:cs="Times New Roman"/>
          <w:color w:val="000000"/>
          <w:sz w:val="24"/>
          <w:szCs w:val="24"/>
          <w:lang/>
        </w:rPr>
        <w:t>Щодо новоствореного (нововведеного) об’єкта житлової та/або нежитлової нерухомості податок сплачується фізичною особою-платником починаючи з місяця, в якому виникло право власності на такий об’єкт.</w:t>
      </w:r>
    </w:p>
    <w:p w14:paraId="28D294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2" w:name="n11831"/>
      <w:bookmarkEnd w:id="8352"/>
      <w:r w:rsidRPr="008B264B">
        <w:rPr>
          <w:rFonts w:ascii="Times New Roman" w:eastAsia="Times New Roman" w:hAnsi="Times New Roman" w:cs="Times New Roman"/>
          <w:color w:val="000000"/>
          <w:sz w:val="24"/>
          <w:szCs w:val="24"/>
          <w:lang/>
        </w:rPr>
        <w:t>Контролюючі органи за місцем проживання (реєстрації) платників податку в десятиденний строк інформують відповідні контролюючі органи за місцезнаходженням об’єктів житлової та/або нежитлової нерухомості про надіслані (вручені) платнику податку податкові повідомлення-рішення про сплату податку у порядку, встановленому центральним органом виконавчої влади, що забезпечує формування та реалізує державну фінансову політику.</w:t>
      </w:r>
    </w:p>
    <w:p w14:paraId="31867B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3" w:name="n13461"/>
      <w:bookmarkEnd w:id="8353"/>
      <w:r w:rsidRPr="008B264B">
        <w:rPr>
          <w:rFonts w:ascii="Times New Roman" w:eastAsia="Times New Roman" w:hAnsi="Times New Roman" w:cs="Times New Roman"/>
          <w:i/>
          <w:iCs/>
          <w:color w:val="000000"/>
          <w:sz w:val="24"/>
          <w:szCs w:val="24"/>
          <w:lang/>
        </w:rPr>
        <w:t>{Абзац третій підпункту 266.7.2 пункту 266.7 статті 266 із змінами, внесеними згідно із Законом </w:t>
      </w:r>
      <w:hyperlink r:id="rId460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4599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4" w:name="n11832"/>
      <w:bookmarkEnd w:id="8354"/>
      <w:r w:rsidRPr="008B264B">
        <w:rPr>
          <w:rFonts w:ascii="Times New Roman" w:eastAsia="Times New Roman" w:hAnsi="Times New Roman" w:cs="Times New Roman"/>
          <w:color w:val="000000"/>
          <w:sz w:val="24"/>
          <w:szCs w:val="24"/>
          <w:lang/>
        </w:rPr>
        <w:t>Нарахування податку та надсилання (вручення) податкових повідомлень-рішень про сплату податку фізичним особам - нерезидентам здійснюють контролюючі органи за місцезнаходженням об’єктів житлової та/або нежитлової нерухомості, що перебувають у власності таких нерезидентів.</w:t>
      </w:r>
    </w:p>
    <w:p w14:paraId="7C2F60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5" w:name="n11833"/>
      <w:bookmarkEnd w:id="8355"/>
      <w:r w:rsidRPr="008B264B">
        <w:rPr>
          <w:rFonts w:ascii="Times New Roman" w:eastAsia="Times New Roman" w:hAnsi="Times New Roman" w:cs="Times New Roman"/>
          <w:color w:val="000000"/>
          <w:sz w:val="24"/>
          <w:szCs w:val="24"/>
          <w:lang/>
        </w:rPr>
        <w:t>266.7.3. Платники податку мають право звернутися з письмовою заявою до контролюючого органу за місцем проживання (реєстрації) для проведення звірки даних щодо:</w:t>
      </w:r>
    </w:p>
    <w:p w14:paraId="408F76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6" w:name="n11834"/>
      <w:bookmarkEnd w:id="8356"/>
      <w:r w:rsidRPr="008B264B">
        <w:rPr>
          <w:rFonts w:ascii="Times New Roman" w:eastAsia="Times New Roman" w:hAnsi="Times New Roman" w:cs="Times New Roman"/>
          <w:color w:val="000000"/>
          <w:sz w:val="24"/>
          <w:szCs w:val="24"/>
          <w:lang/>
        </w:rPr>
        <w:t>об’єктів житлової та/або нежитлової нерухомості, в тому числі їх часток, що перебувають у власності платника податку;</w:t>
      </w:r>
    </w:p>
    <w:p w14:paraId="5AB063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7" w:name="n11835"/>
      <w:bookmarkEnd w:id="8357"/>
      <w:r w:rsidRPr="008B264B">
        <w:rPr>
          <w:rFonts w:ascii="Times New Roman" w:eastAsia="Times New Roman" w:hAnsi="Times New Roman" w:cs="Times New Roman"/>
          <w:color w:val="000000"/>
          <w:sz w:val="24"/>
          <w:szCs w:val="24"/>
          <w:lang/>
        </w:rPr>
        <w:t>розміру загальної площі об’єктів житлової та/або нежитлової нерухомості, що перебувають у власності платника податку;</w:t>
      </w:r>
    </w:p>
    <w:p w14:paraId="3BF2A2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8" w:name="n11836"/>
      <w:bookmarkEnd w:id="8358"/>
      <w:r w:rsidRPr="008B264B">
        <w:rPr>
          <w:rFonts w:ascii="Times New Roman" w:eastAsia="Times New Roman" w:hAnsi="Times New Roman" w:cs="Times New Roman"/>
          <w:color w:val="000000"/>
          <w:sz w:val="24"/>
          <w:szCs w:val="24"/>
          <w:lang/>
        </w:rPr>
        <w:t>права на користування пільгою із сплати податку;</w:t>
      </w:r>
    </w:p>
    <w:p w14:paraId="66404F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59" w:name="n11837"/>
      <w:bookmarkEnd w:id="8359"/>
      <w:r w:rsidRPr="008B264B">
        <w:rPr>
          <w:rFonts w:ascii="Times New Roman" w:eastAsia="Times New Roman" w:hAnsi="Times New Roman" w:cs="Times New Roman"/>
          <w:color w:val="000000"/>
          <w:sz w:val="24"/>
          <w:szCs w:val="24"/>
          <w:lang/>
        </w:rPr>
        <w:t>розміру ставки податку;</w:t>
      </w:r>
    </w:p>
    <w:p w14:paraId="4C2951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0" w:name="n11838"/>
      <w:bookmarkEnd w:id="8360"/>
      <w:r w:rsidRPr="008B264B">
        <w:rPr>
          <w:rFonts w:ascii="Times New Roman" w:eastAsia="Times New Roman" w:hAnsi="Times New Roman" w:cs="Times New Roman"/>
          <w:color w:val="000000"/>
          <w:sz w:val="24"/>
          <w:szCs w:val="24"/>
          <w:lang/>
        </w:rPr>
        <w:t>нарахованої суми податку.</w:t>
      </w:r>
    </w:p>
    <w:p w14:paraId="681551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1" w:name="n11839"/>
      <w:bookmarkEnd w:id="8361"/>
      <w:r w:rsidRPr="008B264B">
        <w:rPr>
          <w:rFonts w:ascii="Times New Roman" w:eastAsia="Times New Roman" w:hAnsi="Times New Roman" w:cs="Times New Roman"/>
          <w:color w:val="000000"/>
          <w:sz w:val="24"/>
          <w:szCs w:val="24"/>
          <w:lang/>
        </w:rPr>
        <w:t>У разі виявлення розбіжностей між даними контролюючих органів та даними, підтвердженими платником податку на підставі оригіналів відповідних документів, зокрема документів на право власності, контролюючий орган за місцем проживання (реєстрації) платника податку проводить перерахунок суми податку і надсилає (вручає) йому нове податкове повідомлення-рішення. Попереднє податкове повідомлення-рішення вважається скасованим (відкликаним).</w:t>
      </w:r>
    </w:p>
    <w:p w14:paraId="14F4E4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2" w:name="n11840"/>
      <w:bookmarkEnd w:id="8362"/>
      <w:r w:rsidRPr="008B264B">
        <w:rPr>
          <w:rFonts w:ascii="Times New Roman" w:eastAsia="Times New Roman" w:hAnsi="Times New Roman" w:cs="Times New Roman"/>
          <w:color w:val="000000"/>
          <w:sz w:val="24"/>
          <w:szCs w:val="24"/>
          <w:lang/>
        </w:rPr>
        <w:t xml:space="preserve">266.7.4. Органи державної реєстрації прав на нерухоме майно, а також органи, що здійснюють реєстрацію місця проживання фізичних осіб, зобов’язані щокварталу у 15-денний строк після закінчення податкового (звітного) кварталу подавати контролюючим органам </w:t>
      </w:r>
      <w:r w:rsidRPr="008B264B">
        <w:rPr>
          <w:rFonts w:ascii="Times New Roman" w:eastAsia="Times New Roman" w:hAnsi="Times New Roman" w:cs="Times New Roman"/>
          <w:color w:val="000000"/>
          <w:sz w:val="24"/>
          <w:szCs w:val="24"/>
          <w:lang/>
        </w:rPr>
        <w:lastRenderedPageBreak/>
        <w:t>відомості, необхідні для розрахунку та справляння податку фізичними та юридичними особами, за місцем розташування такого об’єкта нерухомого майна станом на перше число відповідного кварталу в </w:t>
      </w:r>
      <w:hyperlink r:id="rId4603" w:anchor="n9" w:tgtFrame="_blank" w:history="1">
        <w:r w:rsidRPr="008B264B">
          <w:rPr>
            <w:rFonts w:ascii="Times New Roman" w:eastAsia="Times New Roman" w:hAnsi="Times New Roman" w:cs="Times New Roman"/>
            <w:color w:val="0000FF"/>
            <w:sz w:val="24"/>
            <w:szCs w:val="24"/>
            <w:u w:val="single"/>
            <w:lang/>
          </w:rPr>
          <w:t>порядку</w:t>
        </w:r>
      </w:hyperlink>
      <w:r w:rsidRPr="008B264B">
        <w:rPr>
          <w:rFonts w:ascii="Times New Roman" w:eastAsia="Times New Roman" w:hAnsi="Times New Roman" w:cs="Times New Roman"/>
          <w:color w:val="000000"/>
          <w:sz w:val="24"/>
          <w:szCs w:val="24"/>
          <w:lang/>
        </w:rPr>
        <w:t>, визначеному Кабінетом Міністрів України.</w:t>
      </w:r>
    </w:p>
    <w:p w14:paraId="11F41E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3" w:name="n14373"/>
      <w:bookmarkEnd w:id="8363"/>
      <w:r w:rsidRPr="008B264B">
        <w:rPr>
          <w:rFonts w:ascii="Times New Roman" w:eastAsia="Times New Roman" w:hAnsi="Times New Roman" w:cs="Times New Roman"/>
          <w:i/>
          <w:iCs/>
          <w:color w:val="000000"/>
          <w:sz w:val="24"/>
          <w:szCs w:val="24"/>
          <w:lang/>
        </w:rPr>
        <w:t>{Підпункт 266.7.4 пункту 266.7 статті 266 в редакції Закону </w:t>
      </w:r>
      <w:hyperlink r:id="rId4604" w:anchor="n13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D42F3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4" w:name="n11841"/>
      <w:bookmarkEnd w:id="8364"/>
      <w:r w:rsidRPr="008B264B">
        <w:rPr>
          <w:rFonts w:ascii="Times New Roman" w:eastAsia="Times New Roman" w:hAnsi="Times New Roman" w:cs="Times New Roman"/>
          <w:color w:val="000000"/>
          <w:sz w:val="24"/>
          <w:szCs w:val="24"/>
          <w:lang/>
        </w:rPr>
        <w:t>266.7.5. Платники податку - юридичні особи самостійно обчислюють суму податку станом на 1 січня звітного року і до 20 лютого цього ж року подають контролюючому органу за місцезнаходженням об’єкта/об’єктів оподаткування декларацію за </w:t>
      </w:r>
      <w:hyperlink r:id="rId4605" w:anchor="n15"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встановленою у порядку, передбаченому </w:t>
      </w:r>
      <w:hyperlink r:id="rId4606"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 з розбивкою річної суми рівними частками поквартально.</w:t>
      </w:r>
    </w:p>
    <w:p w14:paraId="6C9027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5" w:name="n11842"/>
      <w:bookmarkEnd w:id="8365"/>
      <w:r w:rsidRPr="008B264B">
        <w:rPr>
          <w:rFonts w:ascii="Times New Roman" w:eastAsia="Times New Roman" w:hAnsi="Times New Roman" w:cs="Times New Roman"/>
          <w:color w:val="000000"/>
          <w:sz w:val="24"/>
          <w:szCs w:val="24"/>
          <w:lang/>
        </w:rPr>
        <w:t>Щодо новоствореного (нововведеного) об’єкта житлової та/або нежитлової нерухомості декларація юридичною особою - платником подається протягом 30 календарних днів з дня виникнення права власності на такий об’єкт, а податок сплачується починаючи з місяця, в якому виникло право власності на такий об’єкт.</w:t>
      </w:r>
    </w:p>
    <w:p w14:paraId="71551C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6" w:name="n11843"/>
      <w:bookmarkEnd w:id="8366"/>
      <w:r w:rsidRPr="008B264B">
        <w:rPr>
          <w:rFonts w:ascii="Times New Roman" w:eastAsia="Times New Roman" w:hAnsi="Times New Roman" w:cs="Times New Roman"/>
          <w:color w:val="000000"/>
          <w:sz w:val="24"/>
          <w:szCs w:val="24"/>
          <w:lang/>
        </w:rPr>
        <w:t>266.8. Порядок обчислення сум податку в разі зміни власника об’єкта оподаткування податком</w:t>
      </w:r>
    </w:p>
    <w:p w14:paraId="6927BA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7" w:name="n11844"/>
      <w:bookmarkEnd w:id="8367"/>
      <w:r w:rsidRPr="008B264B">
        <w:rPr>
          <w:rFonts w:ascii="Times New Roman" w:eastAsia="Times New Roman" w:hAnsi="Times New Roman" w:cs="Times New Roman"/>
          <w:color w:val="000000"/>
          <w:sz w:val="24"/>
          <w:szCs w:val="24"/>
          <w:lang/>
        </w:rPr>
        <w:t>266.8.1. У разі переходу права власності на об’єкт оподаткування від одного власника до іншого протягом календарного року податок обчислюється для попереднього власника за період з 1 січня цього року до початку того місяця, в якому припинилося право власності на зазначений об’єкт оподаткування, а для нового власника - починаючи з місяця, в якому він набув право власності.</w:t>
      </w:r>
    </w:p>
    <w:p w14:paraId="34210E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8" w:name="n14374"/>
      <w:bookmarkEnd w:id="8368"/>
      <w:r w:rsidRPr="008B264B">
        <w:rPr>
          <w:rFonts w:ascii="Times New Roman" w:eastAsia="Times New Roman" w:hAnsi="Times New Roman" w:cs="Times New Roman"/>
          <w:i/>
          <w:iCs/>
          <w:color w:val="000000"/>
          <w:sz w:val="24"/>
          <w:szCs w:val="24"/>
          <w:lang/>
        </w:rPr>
        <w:t>{Підпункт 266.8.1 пункту 266.8 статті 266 із змінами, внесеними згідно із Законом </w:t>
      </w:r>
      <w:hyperlink r:id="rId4607" w:anchor="n13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33547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69" w:name="n11845"/>
      <w:bookmarkEnd w:id="8369"/>
      <w:r w:rsidRPr="008B264B">
        <w:rPr>
          <w:rFonts w:ascii="Times New Roman" w:eastAsia="Times New Roman" w:hAnsi="Times New Roman" w:cs="Times New Roman"/>
          <w:color w:val="000000"/>
          <w:sz w:val="24"/>
          <w:szCs w:val="24"/>
          <w:lang/>
        </w:rPr>
        <w:t>266.8.2. Контролюючий орган надсилає податкове повідомлення-рішення новому власнику після отримання інформації про перехід права власності.</w:t>
      </w:r>
    </w:p>
    <w:p w14:paraId="5DFFD4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0" w:name="n11846"/>
      <w:bookmarkEnd w:id="8370"/>
      <w:r w:rsidRPr="008B264B">
        <w:rPr>
          <w:rFonts w:ascii="Times New Roman" w:eastAsia="Times New Roman" w:hAnsi="Times New Roman" w:cs="Times New Roman"/>
          <w:color w:val="000000"/>
          <w:sz w:val="24"/>
          <w:szCs w:val="24"/>
          <w:lang/>
        </w:rPr>
        <w:t>266.9. Порядок сплати податку</w:t>
      </w:r>
    </w:p>
    <w:p w14:paraId="3A80E1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1" w:name="n11847"/>
      <w:bookmarkEnd w:id="8371"/>
      <w:r w:rsidRPr="008B264B">
        <w:rPr>
          <w:rFonts w:ascii="Times New Roman" w:eastAsia="Times New Roman" w:hAnsi="Times New Roman" w:cs="Times New Roman"/>
          <w:color w:val="000000"/>
          <w:sz w:val="24"/>
          <w:szCs w:val="24"/>
          <w:lang/>
        </w:rPr>
        <w:t>266.9.1. Податок сплачується за місцем розташування об’єкта/об’єктів оподаткування і зараховується до відповідного бюджету згідно з положеннями </w:t>
      </w:r>
      <w:hyperlink r:id="rId4608"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w:t>
      </w:r>
    </w:p>
    <w:p w14:paraId="7D68D5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2" w:name="n11848"/>
      <w:bookmarkEnd w:id="8372"/>
      <w:r w:rsidRPr="008B264B">
        <w:rPr>
          <w:rFonts w:ascii="Times New Roman" w:eastAsia="Times New Roman" w:hAnsi="Times New Roman" w:cs="Times New Roman"/>
          <w:color w:val="000000"/>
          <w:sz w:val="24"/>
          <w:szCs w:val="24"/>
          <w:lang/>
        </w:rPr>
        <w:t>Фізичні особи можуть сплачувати податок у сільській та селищній місцевості через каси сільських (селищних) рад або рад об’єднаних територіальних громад, що створені згідно із законом та перспективним планом формування територій громад, за квитанцією про прийняття податків.</w:t>
      </w:r>
    </w:p>
    <w:p w14:paraId="39D0D8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3" w:name="n12924"/>
      <w:bookmarkEnd w:id="8373"/>
      <w:r w:rsidRPr="008B264B">
        <w:rPr>
          <w:rFonts w:ascii="Times New Roman" w:eastAsia="Times New Roman" w:hAnsi="Times New Roman" w:cs="Times New Roman"/>
          <w:i/>
          <w:iCs/>
          <w:color w:val="000000"/>
          <w:sz w:val="24"/>
          <w:szCs w:val="24"/>
          <w:lang/>
        </w:rPr>
        <w:t>{Абзац другий підпункту 266.9.1 пункту 266.9 статті 266 в редакції Закону </w:t>
      </w:r>
      <w:hyperlink r:id="rId4609" w:anchor="n60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C206D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4" w:name="n11849"/>
      <w:bookmarkEnd w:id="8374"/>
      <w:r w:rsidRPr="008B264B">
        <w:rPr>
          <w:rFonts w:ascii="Times New Roman" w:eastAsia="Times New Roman" w:hAnsi="Times New Roman" w:cs="Times New Roman"/>
          <w:color w:val="000000"/>
          <w:sz w:val="24"/>
          <w:szCs w:val="24"/>
          <w:lang/>
        </w:rPr>
        <w:t>266.10. Строки сплати податку</w:t>
      </w:r>
    </w:p>
    <w:p w14:paraId="230BEA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5" w:name="n11850"/>
      <w:bookmarkEnd w:id="8375"/>
      <w:r w:rsidRPr="008B264B">
        <w:rPr>
          <w:rFonts w:ascii="Times New Roman" w:eastAsia="Times New Roman" w:hAnsi="Times New Roman" w:cs="Times New Roman"/>
          <w:color w:val="000000"/>
          <w:sz w:val="24"/>
          <w:szCs w:val="24"/>
          <w:lang/>
        </w:rPr>
        <w:t>266.10.1. Податкове зобов’язання за звітний рік з податку сплачується:</w:t>
      </w:r>
    </w:p>
    <w:p w14:paraId="1B3D3B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6" w:name="n11851"/>
      <w:bookmarkEnd w:id="8376"/>
      <w:r w:rsidRPr="008B264B">
        <w:rPr>
          <w:rFonts w:ascii="Times New Roman" w:eastAsia="Times New Roman" w:hAnsi="Times New Roman" w:cs="Times New Roman"/>
          <w:color w:val="000000"/>
          <w:sz w:val="24"/>
          <w:szCs w:val="24"/>
          <w:lang/>
        </w:rPr>
        <w:t>а) фізичними особами - протягом 60 днів з дня вручення податкового повідомлення-рішення;</w:t>
      </w:r>
    </w:p>
    <w:p w14:paraId="1731F7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7" w:name="n11852"/>
      <w:bookmarkEnd w:id="8377"/>
      <w:r w:rsidRPr="008B264B">
        <w:rPr>
          <w:rFonts w:ascii="Times New Roman" w:eastAsia="Times New Roman" w:hAnsi="Times New Roman" w:cs="Times New Roman"/>
          <w:color w:val="000000"/>
          <w:sz w:val="24"/>
          <w:szCs w:val="24"/>
          <w:lang/>
        </w:rPr>
        <w:t>б) юридичними особами - авансовими внесками щокварталу до 30 числа місяця, що наступає за звітним кварталом, які відображаються в річній податковій декларації.</w:t>
      </w:r>
    </w:p>
    <w:p w14:paraId="72F1C1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8" w:name="n14903"/>
      <w:bookmarkEnd w:id="8378"/>
      <w:r w:rsidRPr="008B264B">
        <w:rPr>
          <w:rFonts w:ascii="Times New Roman" w:eastAsia="Times New Roman" w:hAnsi="Times New Roman" w:cs="Times New Roman"/>
          <w:color w:val="000000"/>
          <w:sz w:val="24"/>
          <w:szCs w:val="24"/>
          <w:lang/>
        </w:rPr>
        <w:t>266.10.2. У разі якщо контролюючий орган не надіслав (не вручив) податкове/податкові повідомлення-рішення у строки, встановлені </w:t>
      </w:r>
      <w:hyperlink r:id="rId4610" w:anchor="n11829" w:history="1">
        <w:r w:rsidRPr="008B264B">
          <w:rPr>
            <w:rFonts w:ascii="Times New Roman" w:eastAsia="Times New Roman" w:hAnsi="Times New Roman" w:cs="Times New Roman"/>
            <w:color w:val="0000FF"/>
            <w:sz w:val="24"/>
            <w:szCs w:val="24"/>
            <w:u w:val="single"/>
            <w:lang/>
          </w:rPr>
          <w:t>підпунктом 266.7.2</w:t>
        </w:r>
      </w:hyperlink>
      <w:r w:rsidRPr="008B264B">
        <w:rPr>
          <w:rFonts w:ascii="Times New Roman" w:eastAsia="Times New Roman" w:hAnsi="Times New Roman" w:cs="Times New Roman"/>
          <w:color w:val="000000"/>
          <w:sz w:val="24"/>
          <w:szCs w:val="24"/>
          <w:lang/>
        </w:rPr>
        <w:t> пункту 266.7 цієї статті, фізичні особи звільняються від відповідальності, передбаченої цим Кодексом за несвоєчасну сплату податкового зобов’язання.</w:t>
      </w:r>
    </w:p>
    <w:p w14:paraId="3F98FB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79" w:name="n14905"/>
      <w:bookmarkEnd w:id="8379"/>
      <w:r w:rsidRPr="008B264B">
        <w:rPr>
          <w:rFonts w:ascii="Times New Roman" w:eastAsia="Times New Roman" w:hAnsi="Times New Roman" w:cs="Times New Roman"/>
          <w:i/>
          <w:iCs/>
          <w:color w:val="000000"/>
          <w:sz w:val="24"/>
          <w:szCs w:val="24"/>
          <w:lang/>
        </w:rPr>
        <w:t>{Пункт 266.10 статті 266 доповнено підпунктом 266.10.2 згідно із Законом </w:t>
      </w:r>
      <w:hyperlink r:id="rId4611" w:anchor="n37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AF934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0" w:name="n14904"/>
      <w:bookmarkEnd w:id="8380"/>
      <w:r w:rsidRPr="008B264B">
        <w:rPr>
          <w:rFonts w:ascii="Times New Roman" w:eastAsia="Times New Roman" w:hAnsi="Times New Roman" w:cs="Times New Roman"/>
          <w:color w:val="000000"/>
          <w:sz w:val="24"/>
          <w:szCs w:val="24"/>
          <w:lang/>
        </w:rPr>
        <w:lastRenderedPageBreak/>
        <w:t>266.10.3. Податкове зобов’язання з цього податку може бути нараховано за податкові (звітні) періоди (роки) в межах строків, визначених </w:t>
      </w:r>
      <w:hyperlink r:id="rId4612" w:anchor="n2288" w:history="1">
        <w:r w:rsidRPr="008B264B">
          <w:rPr>
            <w:rFonts w:ascii="Times New Roman" w:eastAsia="Times New Roman" w:hAnsi="Times New Roman" w:cs="Times New Roman"/>
            <w:color w:val="0000FF"/>
            <w:sz w:val="24"/>
            <w:szCs w:val="24"/>
            <w:u w:val="single"/>
            <w:lang/>
          </w:rPr>
          <w:t>пунктом 102.1</w:t>
        </w:r>
      </w:hyperlink>
      <w:r w:rsidRPr="008B264B">
        <w:rPr>
          <w:rFonts w:ascii="Times New Roman" w:eastAsia="Times New Roman" w:hAnsi="Times New Roman" w:cs="Times New Roman"/>
          <w:color w:val="000000"/>
          <w:sz w:val="24"/>
          <w:szCs w:val="24"/>
          <w:lang/>
        </w:rPr>
        <w:t> статті 102 цього Кодексу.</w:t>
      </w:r>
    </w:p>
    <w:p w14:paraId="755E73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1" w:name="n14902"/>
      <w:bookmarkEnd w:id="8381"/>
      <w:r w:rsidRPr="008B264B">
        <w:rPr>
          <w:rFonts w:ascii="Times New Roman" w:eastAsia="Times New Roman" w:hAnsi="Times New Roman" w:cs="Times New Roman"/>
          <w:i/>
          <w:iCs/>
          <w:color w:val="000000"/>
          <w:sz w:val="24"/>
          <w:szCs w:val="24"/>
          <w:lang/>
        </w:rPr>
        <w:t>{Пункт 266.10 статті 266 доповнено підпунктом 266.10.3 згідно із Законом </w:t>
      </w:r>
      <w:hyperlink r:id="rId4613" w:anchor="n37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38E4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2" w:name="n11781"/>
      <w:bookmarkEnd w:id="8382"/>
      <w:r w:rsidRPr="008B264B">
        <w:rPr>
          <w:rFonts w:ascii="Times New Roman" w:eastAsia="Times New Roman" w:hAnsi="Times New Roman" w:cs="Times New Roman"/>
          <w:i/>
          <w:iCs/>
          <w:color w:val="000000"/>
          <w:sz w:val="24"/>
          <w:szCs w:val="24"/>
          <w:lang/>
        </w:rPr>
        <w:t>{Стаття 266 із змінами, внесеними згідно із Законами </w:t>
      </w:r>
      <w:hyperlink r:id="rId461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615" w:anchor="n40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в редакції Закону </w:t>
      </w:r>
      <w:hyperlink r:id="rId4616" w:anchor="n124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36B93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3" w:name="n6410"/>
      <w:bookmarkEnd w:id="8383"/>
      <w:r w:rsidRPr="008B264B">
        <w:rPr>
          <w:rFonts w:ascii="Times New Roman" w:eastAsia="Times New Roman" w:hAnsi="Times New Roman" w:cs="Times New Roman"/>
          <w:b/>
          <w:bCs/>
          <w:color w:val="000000"/>
          <w:sz w:val="24"/>
          <w:szCs w:val="24"/>
          <w:lang/>
        </w:rPr>
        <w:t>Стаття 267.</w:t>
      </w:r>
      <w:r w:rsidRPr="008B264B">
        <w:rPr>
          <w:rFonts w:ascii="Times New Roman" w:eastAsia="Times New Roman" w:hAnsi="Times New Roman" w:cs="Times New Roman"/>
          <w:color w:val="000000"/>
          <w:sz w:val="24"/>
          <w:szCs w:val="24"/>
          <w:lang/>
        </w:rPr>
        <w:t> Транспортний податок</w:t>
      </w:r>
    </w:p>
    <w:p w14:paraId="11033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4" w:name="n11854"/>
      <w:bookmarkEnd w:id="8384"/>
      <w:r w:rsidRPr="008B264B">
        <w:rPr>
          <w:rFonts w:ascii="Times New Roman" w:eastAsia="Times New Roman" w:hAnsi="Times New Roman" w:cs="Times New Roman"/>
          <w:color w:val="000000"/>
          <w:sz w:val="24"/>
          <w:szCs w:val="24"/>
          <w:lang/>
        </w:rPr>
        <w:t>267.1. Платники податку</w:t>
      </w:r>
    </w:p>
    <w:p w14:paraId="43D6D7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5" w:name="n11855"/>
      <w:bookmarkEnd w:id="8385"/>
      <w:r w:rsidRPr="008B264B">
        <w:rPr>
          <w:rFonts w:ascii="Times New Roman" w:eastAsia="Times New Roman" w:hAnsi="Times New Roman" w:cs="Times New Roman"/>
          <w:color w:val="000000"/>
          <w:sz w:val="24"/>
          <w:szCs w:val="24"/>
          <w:lang/>
        </w:rPr>
        <w:t>267.1.1. Платниками транспортного податку є фізичні та юридичні особи, в тому числі нерезиденти, які мають зареєстровані в Україні згідно з чинним законодавством власні легкові автомобілі, що відповідно до підпункту 267.2.1 пункту 267.2 цієї статті є об’єктами оподаткування.</w:t>
      </w:r>
    </w:p>
    <w:p w14:paraId="242257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6" w:name="n11856"/>
      <w:bookmarkEnd w:id="8386"/>
      <w:r w:rsidRPr="008B264B">
        <w:rPr>
          <w:rFonts w:ascii="Times New Roman" w:eastAsia="Times New Roman" w:hAnsi="Times New Roman" w:cs="Times New Roman"/>
          <w:color w:val="000000"/>
          <w:sz w:val="24"/>
          <w:szCs w:val="24"/>
          <w:lang/>
        </w:rPr>
        <w:t>267.2. Об’єкт оподаткування</w:t>
      </w:r>
    </w:p>
    <w:p w14:paraId="54886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7" w:name="n11857"/>
      <w:bookmarkEnd w:id="8387"/>
      <w:r w:rsidRPr="008B264B">
        <w:rPr>
          <w:rFonts w:ascii="Times New Roman" w:eastAsia="Times New Roman" w:hAnsi="Times New Roman" w:cs="Times New Roman"/>
          <w:color w:val="000000"/>
          <w:sz w:val="24"/>
          <w:szCs w:val="24"/>
          <w:lang/>
        </w:rPr>
        <w:t>267.2.1. Об’єктом оподаткування є легкові автомобілі, з року випуску яких минуло не більше п’яти років (включно) та середньоринкова вартість яких становить понад 375 розмірів мінімальної заробітної плати, встановленої законом на 1 січня податкового (звітного) року.</w:t>
      </w:r>
    </w:p>
    <w:p w14:paraId="0F1BE2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8" w:name="n13369"/>
      <w:bookmarkEnd w:id="8388"/>
      <w:r w:rsidRPr="008B264B">
        <w:rPr>
          <w:rFonts w:ascii="Times New Roman" w:eastAsia="Times New Roman" w:hAnsi="Times New Roman" w:cs="Times New Roman"/>
          <w:i/>
          <w:iCs/>
          <w:color w:val="000000"/>
          <w:sz w:val="24"/>
          <w:szCs w:val="24"/>
          <w:lang/>
        </w:rPr>
        <w:t>{Абзац перший підпункту 267.2.1 пункту 267.2 статті 267 із змінами, внесеними згідно із Законом </w:t>
      </w:r>
      <w:hyperlink r:id="rId4617" w:anchor="n121" w:tgtFrame="_blank" w:history="1">
        <w:r w:rsidRPr="008B264B">
          <w:rPr>
            <w:rFonts w:ascii="Times New Roman" w:eastAsia="Times New Roman" w:hAnsi="Times New Roman" w:cs="Times New Roman"/>
            <w:i/>
            <w:iCs/>
            <w:color w:val="0000FF"/>
            <w:sz w:val="24"/>
            <w:szCs w:val="24"/>
            <w:u w:val="single"/>
            <w:lang/>
          </w:rPr>
          <w:t>№ 1791-VIII від 20.12.2016</w:t>
        </w:r>
      </w:hyperlink>
    </w:p>
    <w:p w14:paraId="3BC03B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89" w:name="n12926"/>
      <w:bookmarkEnd w:id="8389"/>
      <w:r w:rsidRPr="008B264B">
        <w:rPr>
          <w:rFonts w:ascii="Times New Roman" w:eastAsia="Times New Roman" w:hAnsi="Times New Roman" w:cs="Times New Roman"/>
          <w:color w:val="000000"/>
          <w:sz w:val="24"/>
          <w:szCs w:val="24"/>
          <w:lang/>
        </w:rPr>
        <w:t>Така вартість визначається центральним органом виконавчої влади, що забезпечує формування та реалізує державну політику економічного, соціального розвитку і торгівлі, за </w:t>
      </w:r>
      <w:hyperlink r:id="rId4618" w:anchor="n9" w:tgtFrame="_blank" w:history="1">
        <w:r w:rsidRPr="008B264B">
          <w:rPr>
            <w:rFonts w:ascii="Times New Roman" w:eastAsia="Times New Roman" w:hAnsi="Times New Roman" w:cs="Times New Roman"/>
            <w:color w:val="0000FF"/>
            <w:sz w:val="24"/>
            <w:szCs w:val="24"/>
            <w:u w:val="single"/>
            <w:lang/>
          </w:rPr>
          <w:t>методикою</w:t>
        </w:r>
      </w:hyperlink>
      <w:r w:rsidRPr="008B264B">
        <w:rPr>
          <w:rFonts w:ascii="Times New Roman" w:eastAsia="Times New Roman" w:hAnsi="Times New Roman" w:cs="Times New Roman"/>
          <w:color w:val="000000"/>
          <w:sz w:val="24"/>
          <w:szCs w:val="24"/>
          <w:lang/>
        </w:rPr>
        <w:t>, затвердженою Кабінетом Міністрів України, станом на 1 січня податкового (звітного) року виходячи з марки, моделі, року випуску, об’єму циліндрів двигуна, типу пального";</w:t>
      </w:r>
    </w:p>
    <w:p w14:paraId="58A63A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0" w:name="n14375"/>
      <w:bookmarkEnd w:id="8390"/>
      <w:r w:rsidRPr="008B264B">
        <w:rPr>
          <w:rFonts w:ascii="Times New Roman" w:eastAsia="Times New Roman" w:hAnsi="Times New Roman" w:cs="Times New Roman"/>
          <w:i/>
          <w:iCs/>
          <w:color w:val="000000"/>
          <w:sz w:val="24"/>
          <w:szCs w:val="24"/>
          <w:lang/>
        </w:rPr>
        <w:t>{Абзац другий підпункту 267.2.1 пункту 267.2 статті 267 в редакції Закону </w:t>
      </w:r>
      <w:hyperlink r:id="rId4619" w:anchor="n136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C2836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1" w:name="n14378"/>
      <w:bookmarkEnd w:id="8391"/>
      <w:r w:rsidRPr="008B264B">
        <w:rPr>
          <w:rFonts w:ascii="Times New Roman" w:eastAsia="Times New Roman" w:hAnsi="Times New Roman" w:cs="Times New Roman"/>
          <w:color w:val="000000"/>
          <w:sz w:val="24"/>
          <w:szCs w:val="24"/>
          <w:lang/>
        </w:rPr>
        <w:t>Щороку до 1 лютого податкового (звітного) року центральним органом виконавчої влади, що забезпечує формування та реалізує державну політику економічного, соціального розвитку і торгівлі, на своєму офіційному веб-сайті розміщується перелік легкових автомобілів, з року випуску яких минуло не більше п’яти років (включно) та середньоринкова вартість яких становить понад 375 розмірів мінімальної заробітної плати, встановленої законом на 1 січня податкового (звітного) року, який повинен містити такі дані щодо цих автомобілів: марка, модель, рік випуску, об’єм циліндрів двигуна, тип пального.</w:t>
      </w:r>
    </w:p>
    <w:p w14:paraId="2DBC1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2" w:name="n14376"/>
      <w:bookmarkEnd w:id="8392"/>
      <w:r w:rsidRPr="008B264B">
        <w:rPr>
          <w:rFonts w:ascii="Times New Roman" w:eastAsia="Times New Roman" w:hAnsi="Times New Roman" w:cs="Times New Roman"/>
          <w:i/>
          <w:iCs/>
          <w:color w:val="000000"/>
          <w:sz w:val="24"/>
          <w:szCs w:val="24"/>
          <w:lang/>
        </w:rPr>
        <w:t>{Підпункт 267.2.1 пункту 267.2 статті 267 доповнено абзацом третім згідно із Законом </w:t>
      </w:r>
      <w:hyperlink r:id="rId4620" w:anchor="n136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5D73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3" w:name="n12925"/>
      <w:bookmarkEnd w:id="8393"/>
      <w:r w:rsidRPr="008B264B">
        <w:rPr>
          <w:rFonts w:ascii="Times New Roman" w:eastAsia="Times New Roman" w:hAnsi="Times New Roman" w:cs="Times New Roman"/>
          <w:i/>
          <w:iCs/>
          <w:color w:val="000000"/>
          <w:sz w:val="24"/>
          <w:szCs w:val="24"/>
          <w:lang/>
        </w:rPr>
        <w:t>{Підпункт 267.2.1 пункту 267.2 статті 267 в редакції Закону </w:t>
      </w:r>
      <w:hyperlink r:id="rId4621" w:anchor="n61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31E5D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4" w:name="n11858"/>
      <w:bookmarkEnd w:id="8394"/>
      <w:r w:rsidRPr="008B264B">
        <w:rPr>
          <w:rFonts w:ascii="Times New Roman" w:eastAsia="Times New Roman" w:hAnsi="Times New Roman" w:cs="Times New Roman"/>
          <w:color w:val="000000"/>
          <w:sz w:val="24"/>
          <w:szCs w:val="24"/>
          <w:lang/>
        </w:rPr>
        <w:t>267.3. База оподаткування</w:t>
      </w:r>
    </w:p>
    <w:p w14:paraId="4F06CD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5" w:name="n11859"/>
      <w:bookmarkEnd w:id="8395"/>
      <w:r w:rsidRPr="008B264B">
        <w:rPr>
          <w:rFonts w:ascii="Times New Roman" w:eastAsia="Times New Roman" w:hAnsi="Times New Roman" w:cs="Times New Roman"/>
          <w:color w:val="000000"/>
          <w:sz w:val="24"/>
          <w:szCs w:val="24"/>
          <w:lang/>
        </w:rPr>
        <w:t>267.3.1. Базою оподаткування є легковий автомобіль, що є об’єктом оподаткування відповідно до підпункту 267.2.1 пункту 267.2 цієї статті.</w:t>
      </w:r>
    </w:p>
    <w:p w14:paraId="52F838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6" w:name="n11860"/>
      <w:bookmarkEnd w:id="8396"/>
      <w:r w:rsidRPr="008B264B">
        <w:rPr>
          <w:rFonts w:ascii="Times New Roman" w:eastAsia="Times New Roman" w:hAnsi="Times New Roman" w:cs="Times New Roman"/>
          <w:color w:val="000000"/>
          <w:sz w:val="24"/>
          <w:szCs w:val="24"/>
          <w:lang/>
        </w:rPr>
        <w:t>267.4. Ставка податку встановлюється з розрахунку на календарний рік у розмірі 25 000 гривень за кожен легковий автомобіль, що є об’єктом оподаткування відповідно до підпункту 267.2.1 пункту 267.2 цієї статті.</w:t>
      </w:r>
    </w:p>
    <w:p w14:paraId="1789C0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7" w:name="n11861"/>
      <w:bookmarkEnd w:id="8397"/>
      <w:r w:rsidRPr="008B264B">
        <w:rPr>
          <w:rFonts w:ascii="Times New Roman" w:eastAsia="Times New Roman" w:hAnsi="Times New Roman" w:cs="Times New Roman"/>
          <w:color w:val="000000"/>
          <w:sz w:val="24"/>
          <w:szCs w:val="24"/>
          <w:lang/>
        </w:rPr>
        <w:t>267.5. Податковий період</w:t>
      </w:r>
    </w:p>
    <w:p w14:paraId="1AB660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8" w:name="n11862"/>
      <w:bookmarkEnd w:id="8398"/>
      <w:r w:rsidRPr="008B264B">
        <w:rPr>
          <w:rFonts w:ascii="Times New Roman" w:eastAsia="Times New Roman" w:hAnsi="Times New Roman" w:cs="Times New Roman"/>
          <w:color w:val="000000"/>
          <w:sz w:val="24"/>
          <w:szCs w:val="24"/>
          <w:lang/>
        </w:rPr>
        <w:t>267.5.1. Базовий податковий (звітний) період дорівнює календарному року.</w:t>
      </w:r>
    </w:p>
    <w:p w14:paraId="618EA1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399" w:name="n11863"/>
      <w:bookmarkEnd w:id="8399"/>
      <w:r w:rsidRPr="008B264B">
        <w:rPr>
          <w:rFonts w:ascii="Times New Roman" w:eastAsia="Times New Roman" w:hAnsi="Times New Roman" w:cs="Times New Roman"/>
          <w:color w:val="000000"/>
          <w:sz w:val="24"/>
          <w:szCs w:val="24"/>
          <w:lang/>
        </w:rPr>
        <w:t>267.6. Порядок обчислення та сплати податку</w:t>
      </w:r>
    </w:p>
    <w:p w14:paraId="37C5EF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0" w:name="n11864"/>
      <w:bookmarkEnd w:id="8400"/>
      <w:r w:rsidRPr="008B264B">
        <w:rPr>
          <w:rFonts w:ascii="Times New Roman" w:eastAsia="Times New Roman" w:hAnsi="Times New Roman" w:cs="Times New Roman"/>
          <w:color w:val="000000"/>
          <w:sz w:val="24"/>
          <w:szCs w:val="24"/>
          <w:lang/>
        </w:rPr>
        <w:lastRenderedPageBreak/>
        <w:t>267.6.1. Обчислення суми податку з об’єкта/об’єктів оподаткування фізичних осіб здійснюється контролюючим органом за місцем реєстрації платника податку.</w:t>
      </w:r>
    </w:p>
    <w:p w14:paraId="3F88AC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1" w:name="n11865"/>
      <w:bookmarkEnd w:id="8401"/>
      <w:r w:rsidRPr="008B264B">
        <w:rPr>
          <w:rFonts w:ascii="Times New Roman" w:eastAsia="Times New Roman" w:hAnsi="Times New Roman" w:cs="Times New Roman"/>
          <w:color w:val="000000"/>
          <w:sz w:val="24"/>
          <w:szCs w:val="24"/>
          <w:lang/>
        </w:rPr>
        <w:t>267.6.2. Податкове/податкові повідомлення-рішення про сплату суми/сум податку та відповідні платіжні реквізити надсилаються (вручаються) платнику податку контролюючим органом за місцем його реєстрації до 1 липня року базового податкового (звітного) періоду (року).</w:t>
      </w:r>
    </w:p>
    <w:p w14:paraId="7945A6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2" w:name="n11866"/>
      <w:bookmarkEnd w:id="8402"/>
      <w:r w:rsidRPr="008B264B">
        <w:rPr>
          <w:rFonts w:ascii="Times New Roman" w:eastAsia="Times New Roman" w:hAnsi="Times New Roman" w:cs="Times New Roman"/>
          <w:color w:val="000000"/>
          <w:sz w:val="24"/>
          <w:szCs w:val="24"/>
          <w:lang/>
        </w:rPr>
        <w:t>Щодо об’єктів оподаткування, придбаних протягом року, податок сплачується фізичною особою-платником починаючи з місяця, в якому виникло право власності на такий об’єкт. Контролюючий орган надсилає податкове повідомлення-рішення новому власнику після отримання інформації про перехід права власності.</w:t>
      </w:r>
    </w:p>
    <w:p w14:paraId="0012BC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3" w:name="n11867"/>
      <w:bookmarkEnd w:id="8403"/>
      <w:r w:rsidRPr="008B264B">
        <w:rPr>
          <w:rFonts w:ascii="Times New Roman" w:eastAsia="Times New Roman" w:hAnsi="Times New Roman" w:cs="Times New Roman"/>
          <w:color w:val="000000"/>
          <w:sz w:val="24"/>
          <w:szCs w:val="24"/>
          <w:lang/>
        </w:rPr>
        <w:t>Нарахування податку та надсилання (вручення) податкових повідомлень-рішень про сплату податку фізичним особам - нерезидентам здійснюють контролюючі органи за місцем реєстрації об’єктів оподаткування, що перебувають у власності таких нерезидентів.</w:t>
      </w:r>
    </w:p>
    <w:p w14:paraId="69E76E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4" w:name="n11868"/>
      <w:bookmarkEnd w:id="8404"/>
      <w:r w:rsidRPr="008B264B">
        <w:rPr>
          <w:rFonts w:ascii="Times New Roman" w:eastAsia="Times New Roman" w:hAnsi="Times New Roman" w:cs="Times New Roman"/>
          <w:color w:val="000000"/>
          <w:sz w:val="24"/>
          <w:szCs w:val="24"/>
          <w:lang/>
        </w:rPr>
        <w:t>267.6.3. Органи внутрішніх справ зобов’язані до 1 квітня 2015 року подати контролюючим органам за місцем реєстрації об’єкта оподаткування </w:t>
      </w:r>
      <w:hyperlink r:id="rId4622" w:anchor="n14" w:tgtFrame="_blank" w:history="1">
        <w:r w:rsidRPr="008B264B">
          <w:rPr>
            <w:rFonts w:ascii="Times New Roman" w:eastAsia="Times New Roman" w:hAnsi="Times New Roman" w:cs="Times New Roman"/>
            <w:color w:val="0000FF"/>
            <w:sz w:val="24"/>
            <w:szCs w:val="24"/>
            <w:u w:val="single"/>
            <w:lang/>
          </w:rPr>
          <w:t>відомості</w:t>
        </w:r>
      </w:hyperlink>
      <w:r w:rsidRPr="008B264B">
        <w:rPr>
          <w:rFonts w:ascii="Times New Roman" w:eastAsia="Times New Roman" w:hAnsi="Times New Roman" w:cs="Times New Roman"/>
          <w:color w:val="000000"/>
          <w:sz w:val="24"/>
          <w:szCs w:val="24"/>
          <w:lang/>
        </w:rPr>
        <w:t>, необхідні для розрахунку та справляння податку фізичними та юридичними особами.</w:t>
      </w:r>
    </w:p>
    <w:p w14:paraId="6E831A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5" w:name="n11869"/>
      <w:bookmarkEnd w:id="8405"/>
      <w:r w:rsidRPr="008B264B">
        <w:rPr>
          <w:rFonts w:ascii="Times New Roman" w:eastAsia="Times New Roman" w:hAnsi="Times New Roman" w:cs="Times New Roman"/>
          <w:color w:val="000000"/>
          <w:sz w:val="24"/>
          <w:szCs w:val="24"/>
          <w:lang/>
        </w:rPr>
        <w:t>З 1 квітня 2015 року органи, що здійснюють державну реєстрацію транспортних засобів, зобов’язані щомісяця у десятиденний строк після закінчення календарного місяця подавати контролюючим органам відомості, необхідні для розрахунку та справляння податку фізичними та юридичними особами, за місцем реєстрації об’єкта оподаткування станом на перше число відповідного місяця.</w:t>
      </w:r>
    </w:p>
    <w:p w14:paraId="36A6C5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6" w:name="n15201"/>
      <w:bookmarkEnd w:id="8406"/>
      <w:r w:rsidRPr="008B264B">
        <w:rPr>
          <w:rFonts w:ascii="Times New Roman" w:eastAsia="Times New Roman" w:hAnsi="Times New Roman" w:cs="Times New Roman"/>
          <w:i/>
          <w:iCs/>
          <w:color w:val="000000"/>
          <w:sz w:val="24"/>
          <w:szCs w:val="24"/>
          <w:lang/>
        </w:rPr>
        <w:t>{Абзац другий підпункту 267.6.3 пункту 267.6 статті 267 із змінами, внесеними згідно із Законом </w:t>
      </w:r>
      <w:hyperlink r:id="rId4623" w:anchor="n25"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36EAA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7" w:name="n11870"/>
      <w:bookmarkEnd w:id="8407"/>
      <w:r w:rsidRPr="008B264B">
        <w:rPr>
          <w:rFonts w:ascii="Times New Roman" w:eastAsia="Times New Roman" w:hAnsi="Times New Roman" w:cs="Times New Roman"/>
          <w:color w:val="000000"/>
          <w:sz w:val="24"/>
          <w:szCs w:val="24"/>
          <w:lang/>
        </w:rPr>
        <w:t>Форма подачі інформації встановлюється центральним органом виконавчої влади, що забезпечує формування та реалізує державну фінансову політику.</w:t>
      </w:r>
    </w:p>
    <w:p w14:paraId="63749D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8" w:name="n14379"/>
      <w:bookmarkEnd w:id="8408"/>
      <w:r w:rsidRPr="008B264B">
        <w:rPr>
          <w:rFonts w:ascii="Times New Roman" w:eastAsia="Times New Roman" w:hAnsi="Times New Roman" w:cs="Times New Roman"/>
          <w:i/>
          <w:iCs/>
          <w:color w:val="000000"/>
          <w:sz w:val="24"/>
          <w:szCs w:val="24"/>
          <w:lang/>
        </w:rPr>
        <w:t>{Підпункт 267.6.3 пункту 267.6 статті 267 в редакції Закону </w:t>
      </w:r>
      <w:hyperlink r:id="rId4624" w:anchor="n137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BBC3B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09" w:name="n11871"/>
      <w:bookmarkEnd w:id="8409"/>
      <w:r w:rsidRPr="008B264B">
        <w:rPr>
          <w:rFonts w:ascii="Times New Roman" w:eastAsia="Times New Roman" w:hAnsi="Times New Roman" w:cs="Times New Roman"/>
          <w:color w:val="000000"/>
          <w:sz w:val="24"/>
          <w:szCs w:val="24"/>
          <w:lang/>
        </w:rPr>
        <w:t>267.6.4. Платники податку - юридичні особи самостійно обчислюють суму податку станом на 1 січня звітного року і до 20 лютого цього ж року подають контролюючому органу за місцем реєстрації об’єкта оподаткування декларацію за формою, встановленою у порядку, передбаченому статтею 46 цього Кодексу, з розбивкою річної суми рівними частками поквартально.</w:t>
      </w:r>
    </w:p>
    <w:p w14:paraId="4F4A23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0" w:name="n11872"/>
      <w:bookmarkEnd w:id="8410"/>
      <w:r w:rsidRPr="008B264B">
        <w:rPr>
          <w:rFonts w:ascii="Times New Roman" w:eastAsia="Times New Roman" w:hAnsi="Times New Roman" w:cs="Times New Roman"/>
          <w:color w:val="000000"/>
          <w:sz w:val="24"/>
          <w:szCs w:val="24"/>
          <w:lang/>
        </w:rPr>
        <w:t>Щодо об’єктів оподаткування, придбаних протягом року, декларація юридичною особою - платником подається протягом місяця з дня виникнення права власності на такий об’єкт, а податок сплачується починаючи з місяця, в якому виникло право власності на такий об’єкт.</w:t>
      </w:r>
    </w:p>
    <w:p w14:paraId="6A2EB2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1" w:name="n11873"/>
      <w:bookmarkEnd w:id="8411"/>
      <w:r w:rsidRPr="008B264B">
        <w:rPr>
          <w:rFonts w:ascii="Times New Roman" w:eastAsia="Times New Roman" w:hAnsi="Times New Roman" w:cs="Times New Roman"/>
          <w:color w:val="000000"/>
          <w:sz w:val="24"/>
          <w:szCs w:val="24"/>
          <w:lang/>
        </w:rPr>
        <w:t>267.6.5. У разі переходу права власності на об’єкт оподаткування від одного власника до іншого протягом звітного року податок обчислюється попереднім власником за період з 1 січня цього року до початку того місяця, в якому він втратив право власності на зазначений об’єкт оподаткування, а новим власником - починаючи з місяця, в якому він набув право власності на цей об’єкт.</w:t>
      </w:r>
    </w:p>
    <w:p w14:paraId="1C8EA5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2" w:name="n11874"/>
      <w:bookmarkEnd w:id="8412"/>
      <w:r w:rsidRPr="008B264B">
        <w:rPr>
          <w:rFonts w:ascii="Times New Roman" w:eastAsia="Times New Roman" w:hAnsi="Times New Roman" w:cs="Times New Roman"/>
          <w:color w:val="000000"/>
          <w:sz w:val="24"/>
          <w:szCs w:val="24"/>
          <w:lang/>
        </w:rPr>
        <w:t>Контролюючий орган надсилає податкове повідомлення-рішення новому власнику після отримання інформації про перехід права власності.</w:t>
      </w:r>
    </w:p>
    <w:p w14:paraId="2767C5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3" w:name="n11875"/>
      <w:bookmarkEnd w:id="8413"/>
      <w:r w:rsidRPr="008B264B">
        <w:rPr>
          <w:rFonts w:ascii="Times New Roman" w:eastAsia="Times New Roman" w:hAnsi="Times New Roman" w:cs="Times New Roman"/>
          <w:color w:val="000000"/>
          <w:sz w:val="24"/>
          <w:szCs w:val="24"/>
          <w:lang/>
        </w:rPr>
        <w:t>267.6.6. За об’єкти оподаткування, придбані протягом року, податок сплачується пропорційно кількості місяців, які залишилися до кінця року, починаючи з місяця, в якому проведено реєстрацію транспортного засобу.</w:t>
      </w:r>
    </w:p>
    <w:p w14:paraId="531278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4" w:name="n12928"/>
      <w:bookmarkEnd w:id="8414"/>
      <w:r w:rsidRPr="008B264B">
        <w:rPr>
          <w:rFonts w:ascii="Times New Roman" w:eastAsia="Times New Roman" w:hAnsi="Times New Roman" w:cs="Times New Roman"/>
          <w:color w:val="000000"/>
          <w:sz w:val="24"/>
          <w:szCs w:val="24"/>
          <w:lang/>
        </w:rPr>
        <w:t>267.6.7. У разі спливу п’ятирічного віку легкового автомобіля протягом звітного року податок сплачується за період з 1 січня цього року до початку місяця, наступного за місяцем, в якому вік такого автомобіля досяг (досягне) п’яти років.</w:t>
      </w:r>
    </w:p>
    <w:p w14:paraId="06A5D5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5" w:name="n12941"/>
      <w:bookmarkEnd w:id="8415"/>
      <w:r w:rsidRPr="008B264B">
        <w:rPr>
          <w:rFonts w:ascii="Times New Roman" w:eastAsia="Times New Roman" w:hAnsi="Times New Roman" w:cs="Times New Roman"/>
          <w:i/>
          <w:iCs/>
          <w:color w:val="000000"/>
          <w:sz w:val="24"/>
          <w:szCs w:val="24"/>
          <w:lang/>
        </w:rPr>
        <w:lastRenderedPageBreak/>
        <w:t>{Пункт 267.6 статті 267 доповнено підпунктом 267.6.7 згідно із Законом </w:t>
      </w:r>
      <w:hyperlink r:id="rId4625" w:anchor="n6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2F25F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6" w:name="n12929"/>
      <w:bookmarkEnd w:id="8416"/>
      <w:r w:rsidRPr="008B264B">
        <w:rPr>
          <w:rFonts w:ascii="Times New Roman" w:eastAsia="Times New Roman" w:hAnsi="Times New Roman" w:cs="Times New Roman"/>
          <w:color w:val="000000"/>
          <w:sz w:val="24"/>
          <w:szCs w:val="24"/>
          <w:lang/>
        </w:rPr>
        <w:t>267.6.8. У разі незаконного заволодіння третьою особою легковим автомобілем, який відповідно до підпункту 267.2.1 пункту 267.2 цієї статті є об’єктом оподаткування, транспортний податок за такий легковий автомобіль не сплачується з місяця, наступного за місяцем, в якому мав місце факт незаконного заволодіння легковим автомобілем, якщо такий факт підтверджується відповідним документом про внесення відомостей про вчинення кримінального правопорушення до Єдиного реєстру досудових розслідувань, виданим уповноваженим державним органом.</w:t>
      </w:r>
    </w:p>
    <w:p w14:paraId="4758B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7" w:name="n12930"/>
      <w:bookmarkEnd w:id="8417"/>
      <w:r w:rsidRPr="008B264B">
        <w:rPr>
          <w:rFonts w:ascii="Times New Roman" w:eastAsia="Times New Roman" w:hAnsi="Times New Roman" w:cs="Times New Roman"/>
          <w:color w:val="000000"/>
          <w:sz w:val="24"/>
          <w:szCs w:val="24"/>
          <w:lang/>
        </w:rPr>
        <w:t>У разі повернення легкового автомобіля його власнику (законному володільцю) податок за такий легковий автомобіль сплачується з місяця, в якому легковий автомобіль було повернено відповідно до постанови слідчого, прокурора чи рішення суду. Платник податку зобов’язаний надати контролюючому органу копію такої постанови (рішення) протягом 10 днів з моменту отримання.</w:t>
      </w:r>
    </w:p>
    <w:p w14:paraId="30D784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8" w:name="n12940"/>
      <w:bookmarkEnd w:id="8418"/>
      <w:r w:rsidRPr="008B264B">
        <w:rPr>
          <w:rFonts w:ascii="Times New Roman" w:eastAsia="Times New Roman" w:hAnsi="Times New Roman" w:cs="Times New Roman"/>
          <w:i/>
          <w:iCs/>
          <w:color w:val="000000"/>
          <w:sz w:val="24"/>
          <w:szCs w:val="24"/>
          <w:lang/>
        </w:rPr>
        <w:t>{Пункт 267.6 статті 267 доповнено підпунктом 267.6.8 згідно із Законом </w:t>
      </w:r>
      <w:hyperlink r:id="rId4626" w:anchor="n6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70129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19" w:name="n12931"/>
      <w:bookmarkEnd w:id="8419"/>
      <w:r w:rsidRPr="008B264B">
        <w:rPr>
          <w:rFonts w:ascii="Times New Roman" w:eastAsia="Times New Roman" w:hAnsi="Times New Roman" w:cs="Times New Roman"/>
          <w:color w:val="000000"/>
          <w:sz w:val="24"/>
          <w:szCs w:val="24"/>
          <w:lang/>
        </w:rPr>
        <w:t>267.6.9. У разі незаконного заволодіння третьою особою легковим автомобілем, який відповідно до підпункту 267.2.1 пункту 267.2 цієї статті є об’єктом оподаткування, уточнююча декларація юридичною особою - платником податку подається протягом 30 календарних днів з дня внесення відомостей про вчинення кримінального правопорушення до Єдиного реєстру досудових розслідувань.</w:t>
      </w:r>
    </w:p>
    <w:p w14:paraId="6297CD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0" w:name="n12932"/>
      <w:bookmarkEnd w:id="8420"/>
      <w:r w:rsidRPr="008B264B">
        <w:rPr>
          <w:rFonts w:ascii="Times New Roman" w:eastAsia="Times New Roman" w:hAnsi="Times New Roman" w:cs="Times New Roman"/>
          <w:color w:val="000000"/>
          <w:sz w:val="24"/>
          <w:szCs w:val="24"/>
          <w:lang/>
        </w:rPr>
        <w:t>У разі повернення легкового автомобіля його власнику уточнююча декларація юридичною особою - платником податку подається протягом 30 календарних днів з дня складання постанови слідчого, прокурора чи винесення ухвали суду.</w:t>
      </w:r>
    </w:p>
    <w:p w14:paraId="74B34D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1" w:name="n12939"/>
      <w:bookmarkEnd w:id="8421"/>
      <w:r w:rsidRPr="008B264B">
        <w:rPr>
          <w:rFonts w:ascii="Times New Roman" w:eastAsia="Times New Roman" w:hAnsi="Times New Roman" w:cs="Times New Roman"/>
          <w:i/>
          <w:iCs/>
          <w:color w:val="000000"/>
          <w:sz w:val="24"/>
          <w:szCs w:val="24"/>
          <w:lang/>
        </w:rPr>
        <w:t>{Пункт 267.6 статті 267 доповнено підпунктом 267.6.9 згідно із Законом </w:t>
      </w:r>
      <w:hyperlink r:id="rId4627" w:anchor="n6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DBC11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2" w:name="n12933"/>
      <w:bookmarkEnd w:id="8422"/>
      <w:r w:rsidRPr="008B264B">
        <w:rPr>
          <w:rFonts w:ascii="Times New Roman" w:eastAsia="Times New Roman" w:hAnsi="Times New Roman" w:cs="Times New Roman"/>
          <w:color w:val="000000"/>
          <w:sz w:val="24"/>
          <w:szCs w:val="24"/>
          <w:lang/>
        </w:rPr>
        <w:t>267.6.10. Фізичні особи - платники податку мають право звернутися з письмовою заявою до контролюючого органу за місцем своєї реєстрації для проведення звірки даних щодо:</w:t>
      </w:r>
    </w:p>
    <w:p w14:paraId="52EEC0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3" w:name="n12934"/>
      <w:bookmarkEnd w:id="8423"/>
      <w:r w:rsidRPr="008B264B">
        <w:rPr>
          <w:rFonts w:ascii="Times New Roman" w:eastAsia="Times New Roman" w:hAnsi="Times New Roman" w:cs="Times New Roman"/>
          <w:color w:val="000000"/>
          <w:sz w:val="24"/>
          <w:szCs w:val="24"/>
          <w:lang/>
        </w:rPr>
        <w:t>а) об’єктів оподаткування, що перебувають у власності платника податку;</w:t>
      </w:r>
    </w:p>
    <w:p w14:paraId="2C5DEE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4" w:name="n12935"/>
      <w:bookmarkEnd w:id="8424"/>
      <w:r w:rsidRPr="008B264B">
        <w:rPr>
          <w:rFonts w:ascii="Times New Roman" w:eastAsia="Times New Roman" w:hAnsi="Times New Roman" w:cs="Times New Roman"/>
          <w:color w:val="000000"/>
          <w:sz w:val="24"/>
          <w:szCs w:val="24"/>
          <w:lang/>
        </w:rPr>
        <w:t>б) розміру ставки податку;</w:t>
      </w:r>
    </w:p>
    <w:p w14:paraId="2A94ED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5" w:name="n12936"/>
      <w:bookmarkEnd w:id="8425"/>
      <w:r w:rsidRPr="008B264B">
        <w:rPr>
          <w:rFonts w:ascii="Times New Roman" w:eastAsia="Times New Roman" w:hAnsi="Times New Roman" w:cs="Times New Roman"/>
          <w:color w:val="000000"/>
          <w:sz w:val="24"/>
          <w:szCs w:val="24"/>
          <w:lang/>
        </w:rPr>
        <w:t>в) нарахованої суми податку.</w:t>
      </w:r>
    </w:p>
    <w:p w14:paraId="2E6D67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6" w:name="n12937"/>
      <w:bookmarkEnd w:id="8426"/>
      <w:r w:rsidRPr="008B264B">
        <w:rPr>
          <w:rFonts w:ascii="Times New Roman" w:eastAsia="Times New Roman" w:hAnsi="Times New Roman" w:cs="Times New Roman"/>
          <w:color w:val="000000"/>
          <w:sz w:val="24"/>
          <w:szCs w:val="24"/>
          <w:lang/>
        </w:rPr>
        <w:t>У разі виявлення розбіжностей між даними контролюючих органів та даними, підтвердженими платником податку на підставі оригіналів відповідних документів (зокрема документів, що підтверджують право власності на об’єкт оподаткування, перехід права власності на об’єкт оподаткування), контролюючий орган за місцем реєстрації платника податку проводить перерахунок суми податку і надсилає (вручає) йому нове податкове повідомлення-рішення. Попереднє податкове повідомлення-рішення вважається скасованим (відкликаним).</w:t>
      </w:r>
    </w:p>
    <w:p w14:paraId="36219E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7" w:name="n14380"/>
      <w:bookmarkEnd w:id="8427"/>
      <w:r w:rsidRPr="008B264B">
        <w:rPr>
          <w:rFonts w:ascii="Times New Roman" w:eastAsia="Times New Roman" w:hAnsi="Times New Roman" w:cs="Times New Roman"/>
          <w:i/>
          <w:iCs/>
          <w:color w:val="000000"/>
          <w:sz w:val="24"/>
          <w:szCs w:val="24"/>
          <w:lang/>
        </w:rPr>
        <w:t>{Абзац п'ятий підпункту 267.6.10 пункту 267.6 статті 267 із змінами, внесеними згідно із Законом </w:t>
      </w:r>
      <w:hyperlink r:id="rId4628" w:anchor="n137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2BF6D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8" w:name="n12938"/>
      <w:bookmarkEnd w:id="8428"/>
      <w:r w:rsidRPr="008B264B">
        <w:rPr>
          <w:rFonts w:ascii="Times New Roman" w:eastAsia="Times New Roman" w:hAnsi="Times New Roman" w:cs="Times New Roman"/>
          <w:color w:val="000000"/>
          <w:sz w:val="24"/>
          <w:szCs w:val="24"/>
          <w:lang/>
        </w:rPr>
        <w:t>Фізичні особи - нерезиденти у порядку, визначеному цим пунктом, звертаються за проведенням звірки даних до контролюючих органів за місцем реєстрації об’єктів оподаткування".</w:t>
      </w:r>
    </w:p>
    <w:p w14:paraId="44CF6F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29" w:name="n12927"/>
      <w:bookmarkEnd w:id="8429"/>
      <w:r w:rsidRPr="008B264B">
        <w:rPr>
          <w:rFonts w:ascii="Times New Roman" w:eastAsia="Times New Roman" w:hAnsi="Times New Roman" w:cs="Times New Roman"/>
          <w:i/>
          <w:iCs/>
          <w:color w:val="000000"/>
          <w:sz w:val="24"/>
          <w:szCs w:val="24"/>
          <w:lang/>
        </w:rPr>
        <w:t>{Пункт 267.6 статті 267 доповнено підпунктом 267.6.10 згідно із Законом </w:t>
      </w:r>
      <w:hyperlink r:id="rId4629" w:anchor="n61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4F6F6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0" w:name="n11876"/>
      <w:bookmarkEnd w:id="8430"/>
      <w:r w:rsidRPr="008B264B">
        <w:rPr>
          <w:rFonts w:ascii="Times New Roman" w:eastAsia="Times New Roman" w:hAnsi="Times New Roman" w:cs="Times New Roman"/>
          <w:color w:val="000000"/>
          <w:sz w:val="24"/>
          <w:szCs w:val="24"/>
          <w:lang/>
        </w:rPr>
        <w:t>267.7. Порядок сплати податку</w:t>
      </w:r>
    </w:p>
    <w:p w14:paraId="716B83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1" w:name="n11877"/>
      <w:bookmarkEnd w:id="8431"/>
      <w:r w:rsidRPr="008B264B">
        <w:rPr>
          <w:rFonts w:ascii="Times New Roman" w:eastAsia="Times New Roman" w:hAnsi="Times New Roman" w:cs="Times New Roman"/>
          <w:color w:val="000000"/>
          <w:sz w:val="24"/>
          <w:szCs w:val="24"/>
          <w:lang/>
        </w:rPr>
        <w:lastRenderedPageBreak/>
        <w:t>267.7.1. Податок сплачується за місцем реєстрації об’єктів оподаткування і зараховується до відповідного бюджету згідно з положеннями </w:t>
      </w:r>
      <w:hyperlink r:id="rId4630"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w:t>
      </w:r>
    </w:p>
    <w:p w14:paraId="44AF9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2" w:name="n11878"/>
      <w:bookmarkEnd w:id="8432"/>
      <w:r w:rsidRPr="008B264B">
        <w:rPr>
          <w:rFonts w:ascii="Times New Roman" w:eastAsia="Times New Roman" w:hAnsi="Times New Roman" w:cs="Times New Roman"/>
          <w:color w:val="000000"/>
          <w:sz w:val="24"/>
          <w:szCs w:val="24"/>
          <w:lang/>
        </w:rPr>
        <w:t>267.8. Строки сплати податку</w:t>
      </w:r>
    </w:p>
    <w:p w14:paraId="1F7DE6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3" w:name="n11879"/>
      <w:bookmarkEnd w:id="8433"/>
      <w:r w:rsidRPr="008B264B">
        <w:rPr>
          <w:rFonts w:ascii="Times New Roman" w:eastAsia="Times New Roman" w:hAnsi="Times New Roman" w:cs="Times New Roman"/>
          <w:color w:val="000000"/>
          <w:sz w:val="24"/>
          <w:szCs w:val="24"/>
          <w:lang/>
        </w:rPr>
        <w:t>267.8.1. Транспортний податок сплачується:</w:t>
      </w:r>
    </w:p>
    <w:p w14:paraId="3BF6CF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4" w:name="n11880"/>
      <w:bookmarkEnd w:id="8434"/>
      <w:r w:rsidRPr="008B264B">
        <w:rPr>
          <w:rFonts w:ascii="Times New Roman" w:eastAsia="Times New Roman" w:hAnsi="Times New Roman" w:cs="Times New Roman"/>
          <w:color w:val="000000"/>
          <w:sz w:val="24"/>
          <w:szCs w:val="24"/>
          <w:lang/>
        </w:rPr>
        <w:t>а) фізичними особами - протягом 60 днів з дня вручення податкового повідомлення-рішення;</w:t>
      </w:r>
    </w:p>
    <w:p w14:paraId="067DD9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5" w:name="n11881"/>
      <w:bookmarkEnd w:id="8435"/>
      <w:r w:rsidRPr="008B264B">
        <w:rPr>
          <w:rFonts w:ascii="Times New Roman" w:eastAsia="Times New Roman" w:hAnsi="Times New Roman" w:cs="Times New Roman"/>
          <w:color w:val="000000"/>
          <w:sz w:val="24"/>
          <w:szCs w:val="24"/>
          <w:lang/>
        </w:rPr>
        <w:t>б) юридичними особами - авансовими внесками щокварталу до 30 числа місяця, що наступає за звітним кварталом, які відображаються в річній податковій декларації";</w:t>
      </w:r>
    </w:p>
    <w:p w14:paraId="250A54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6" w:name="n11853"/>
      <w:bookmarkEnd w:id="8436"/>
      <w:r w:rsidRPr="008B264B">
        <w:rPr>
          <w:rFonts w:ascii="Times New Roman" w:eastAsia="Times New Roman" w:hAnsi="Times New Roman" w:cs="Times New Roman"/>
          <w:i/>
          <w:iCs/>
          <w:color w:val="000000"/>
          <w:sz w:val="24"/>
          <w:szCs w:val="24"/>
          <w:lang/>
        </w:rPr>
        <w:t>{Стаття 267 із змінами, внесеними згідно із Законами </w:t>
      </w:r>
      <w:hyperlink r:id="rId463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632"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w:t>
      </w:r>
      <w:hyperlink r:id="rId4633" w:anchor="n27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634" w:anchor="n9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в редакції Закону </w:t>
      </w:r>
      <w:hyperlink r:id="rId4635" w:anchor="n13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5B9D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7" w:name="n6524"/>
      <w:bookmarkEnd w:id="8437"/>
      <w:r w:rsidRPr="008B264B">
        <w:rPr>
          <w:rFonts w:ascii="Times New Roman" w:eastAsia="Times New Roman" w:hAnsi="Times New Roman" w:cs="Times New Roman"/>
          <w:b/>
          <w:bCs/>
          <w:color w:val="000000"/>
          <w:sz w:val="24"/>
          <w:szCs w:val="24"/>
          <w:lang/>
        </w:rPr>
        <w:t>Стаття 268.</w:t>
      </w:r>
      <w:r w:rsidRPr="008B264B">
        <w:rPr>
          <w:rFonts w:ascii="Times New Roman" w:eastAsia="Times New Roman" w:hAnsi="Times New Roman" w:cs="Times New Roman"/>
          <w:color w:val="000000"/>
          <w:sz w:val="24"/>
          <w:szCs w:val="24"/>
          <w:lang/>
        </w:rPr>
        <w:t> Туристичний збір</w:t>
      </w:r>
    </w:p>
    <w:p w14:paraId="0DC4EB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8" w:name="n11883"/>
      <w:bookmarkEnd w:id="8438"/>
      <w:r w:rsidRPr="008B264B">
        <w:rPr>
          <w:rFonts w:ascii="Times New Roman" w:eastAsia="Times New Roman" w:hAnsi="Times New Roman" w:cs="Times New Roman"/>
          <w:color w:val="000000"/>
          <w:sz w:val="24"/>
          <w:szCs w:val="24"/>
          <w:lang/>
        </w:rPr>
        <w:t>268.1. Туристичний збір - це місцевий збір, кошти від якого зараховуються до місцевого бюджету.</w:t>
      </w:r>
    </w:p>
    <w:p w14:paraId="56888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39" w:name="n11884"/>
      <w:bookmarkEnd w:id="8439"/>
      <w:r w:rsidRPr="008B264B">
        <w:rPr>
          <w:rFonts w:ascii="Times New Roman" w:eastAsia="Times New Roman" w:hAnsi="Times New Roman" w:cs="Times New Roman"/>
          <w:color w:val="000000"/>
          <w:sz w:val="24"/>
          <w:szCs w:val="24"/>
          <w:lang/>
        </w:rPr>
        <w:t>268.2. Платники збору</w:t>
      </w:r>
    </w:p>
    <w:p w14:paraId="4E857F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0" w:name="n11885"/>
      <w:bookmarkEnd w:id="8440"/>
      <w:r w:rsidRPr="008B264B">
        <w:rPr>
          <w:rFonts w:ascii="Times New Roman" w:eastAsia="Times New Roman" w:hAnsi="Times New Roman" w:cs="Times New Roman"/>
          <w:color w:val="000000"/>
          <w:sz w:val="24"/>
          <w:szCs w:val="24"/>
          <w:lang/>
        </w:rPr>
        <w:t>268.2.1. Платниками збору є громадяни України, іноземці, а також особи без громадянства, які прибувають на територію адміністративно-територіальної одиниці, на якій діє рішення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 про встановлення туристичного збору, та тимчасово розміщуються у місцях проживання (ночівлі), визначених </w:t>
      </w:r>
      <w:hyperlink r:id="rId4636" w:anchor="n11901" w:history="1">
        <w:r w:rsidRPr="008B264B">
          <w:rPr>
            <w:rFonts w:ascii="Times New Roman" w:eastAsia="Times New Roman" w:hAnsi="Times New Roman" w:cs="Times New Roman"/>
            <w:color w:val="0000FF"/>
            <w:sz w:val="24"/>
            <w:szCs w:val="24"/>
            <w:u w:val="single"/>
            <w:lang/>
          </w:rPr>
          <w:t>підпунктом 268.5.1</w:t>
        </w:r>
      </w:hyperlink>
      <w:r w:rsidRPr="008B264B">
        <w:rPr>
          <w:rFonts w:ascii="Times New Roman" w:eastAsia="Times New Roman" w:hAnsi="Times New Roman" w:cs="Times New Roman"/>
          <w:color w:val="000000"/>
          <w:sz w:val="24"/>
          <w:szCs w:val="24"/>
          <w:lang/>
        </w:rPr>
        <w:t> пункту 268.5 цієї статті.</w:t>
      </w:r>
    </w:p>
    <w:p w14:paraId="7269EB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1" w:name="n12942"/>
      <w:bookmarkEnd w:id="8441"/>
      <w:r w:rsidRPr="008B264B">
        <w:rPr>
          <w:rFonts w:ascii="Times New Roman" w:eastAsia="Times New Roman" w:hAnsi="Times New Roman" w:cs="Times New Roman"/>
          <w:i/>
          <w:iCs/>
          <w:color w:val="000000"/>
          <w:sz w:val="24"/>
          <w:szCs w:val="24"/>
          <w:lang/>
        </w:rPr>
        <w:t>{Підпункт 268.2.1 пункту 268.2 статті 268 із змінами, внесеними згідно із Законами </w:t>
      </w:r>
      <w:hyperlink r:id="rId4637" w:anchor="n62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638" w:anchor="n62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473CC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2" w:name="n11886"/>
      <w:bookmarkEnd w:id="8442"/>
      <w:r w:rsidRPr="008B264B">
        <w:rPr>
          <w:rFonts w:ascii="Times New Roman" w:eastAsia="Times New Roman" w:hAnsi="Times New Roman" w:cs="Times New Roman"/>
          <w:color w:val="000000"/>
          <w:sz w:val="24"/>
          <w:szCs w:val="24"/>
          <w:lang/>
        </w:rPr>
        <w:t>268.2.2. Платниками збору не можуть бути особи, які:</w:t>
      </w:r>
    </w:p>
    <w:p w14:paraId="497FC0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3" w:name="n11887"/>
      <w:bookmarkEnd w:id="8443"/>
      <w:r w:rsidRPr="008B264B">
        <w:rPr>
          <w:rFonts w:ascii="Times New Roman" w:eastAsia="Times New Roman" w:hAnsi="Times New Roman" w:cs="Times New Roman"/>
          <w:color w:val="000000"/>
          <w:sz w:val="24"/>
          <w:szCs w:val="24"/>
          <w:lang/>
        </w:rPr>
        <w:t>а) постійно проживають, у тому числі на умовах договорів найму, у селі, селищі або місті, радами яких встановлено такий збір;</w:t>
      </w:r>
    </w:p>
    <w:p w14:paraId="44FE07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4" w:name="n11888"/>
      <w:bookmarkEnd w:id="8444"/>
      <w:r w:rsidRPr="008B264B">
        <w:rPr>
          <w:rFonts w:ascii="Times New Roman" w:eastAsia="Times New Roman" w:hAnsi="Times New Roman" w:cs="Times New Roman"/>
          <w:color w:val="000000"/>
          <w:sz w:val="24"/>
          <w:szCs w:val="24"/>
          <w:lang/>
        </w:rPr>
        <w:t>б) особи визначені </w:t>
      </w:r>
      <w:hyperlink r:id="rId4639" w:anchor="n692" w:history="1">
        <w:r w:rsidRPr="008B264B">
          <w:rPr>
            <w:rFonts w:ascii="Times New Roman" w:eastAsia="Times New Roman" w:hAnsi="Times New Roman" w:cs="Times New Roman"/>
            <w:color w:val="0000FF"/>
            <w:sz w:val="24"/>
            <w:szCs w:val="24"/>
            <w:u w:val="single"/>
            <w:lang/>
          </w:rPr>
          <w:t>підпунктом "в"</w:t>
        </w:r>
      </w:hyperlink>
      <w:r w:rsidRPr="008B264B">
        <w:rPr>
          <w:rFonts w:ascii="Times New Roman" w:eastAsia="Times New Roman" w:hAnsi="Times New Roman" w:cs="Times New Roman"/>
          <w:color w:val="000000"/>
          <w:sz w:val="24"/>
          <w:szCs w:val="24"/>
          <w:lang/>
        </w:rPr>
        <w:t> підпункту 14.1.213 пункту 14.1 статті 14 цього Кодексу, які прибули у відрядження або тимчасово розміщуються у місцях проживання (ночівлі), визначених </w:t>
      </w:r>
      <w:hyperlink r:id="rId4640" w:anchor="n11901"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підпункту 268.5.1 пункту 268.5 цієї статті, що належать фізичним особам на праві власності або на праві користування за договором найму;</w:t>
      </w:r>
    </w:p>
    <w:p w14:paraId="606333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5" w:name="n15376"/>
      <w:bookmarkEnd w:id="8445"/>
      <w:r w:rsidRPr="008B264B">
        <w:rPr>
          <w:rFonts w:ascii="Times New Roman" w:eastAsia="Times New Roman" w:hAnsi="Times New Roman" w:cs="Times New Roman"/>
          <w:i/>
          <w:iCs/>
          <w:color w:val="000000"/>
          <w:sz w:val="24"/>
          <w:szCs w:val="24"/>
          <w:lang/>
        </w:rPr>
        <w:t>{Підпункт "б" підпункту 268.2.2 пункту 268.2 статті 268 в редакції Закону </w:t>
      </w:r>
      <w:hyperlink r:id="rId4641" w:anchor="n62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8B60B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6" w:name="n11889"/>
      <w:bookmarkEnd w:id="8446"/>
      <w:r w:rsidRPr="008B264B">
        <w:rPr>
          <w:rFonts w:ascii="Times New Roman" w:eastAsia="Times New Roman" w:hAnsi="Times New Roman" w:cs="Times New Roman"/>
          <w:color w:val="000000"/>
          <w:sz w:val="24"/>
          <w:szCs w:val="24"/>
          <w:lang/>
        </w:rPr>
        <w:t>в) особи з інвалідністю, діти з інвалідністю та особи, що супроводжують осіб з інвалідністю I групи або дітей з інвалідністю (не більше одного супроводжуючого);</w:t>
      </w:r>
    </w:p>
    <w:p w14:paraId="5AEE32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7" w:name="n11890"/>
      <w:bookmarkEnd w:id="8447"/>
      <w:r w:rsidRPr="008B264B">
        <w:rPr>
          <w:rFonts w:ascii="Times New Roman" w:eastAsia="Times New Roman" w:hAnsi="Times New Roman" w:cs="Times New Roman"/>
          <w:color w:val="000000"/>
          <w:sz w:val="24"/>
          <w:szCs w:val="24"/>
          <w:lang/>
        </w:rPr>
        <w:t>г) ветерани війни;</w:t>
      </w:r>
    </w:p>
    <w:p w14:paraId="7F19D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8" w:name="n11891"/>
      <w:bookmarkEnd w:id="8448"/>
      <w:r w:rsidRPr="008B264B">
        <w:rPr>
          <w:rFonts w:ascii="Times New Roman" w:eastAsia="Times New Roman" w:hAnsi="Times New Roman" w:cs="Times New Roman"/>
          <w:color w:val="000000"/>
          <w:sz w:val="24"/>
          <w:szCs w:val="24"/>
          <w:lang/>
        </w:rPr>
        <w:t>ґ) учасники ліквідації наслідків аварії на Чорнобильській АЕС;</w:t>
      </w:r>
    </w:p>
    <w:p w14:paraId="1DA5E4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49" w:name="n11892"/>
      <w:bookmarkEnd w:id="8449"/>
      <w:r w:rsidRPr="008B264B">
        <w:rPr>
          <w:rFonts w:ascii="Times New Roman" w:eastAsia="Times New Roman" w:hAnsi="Times New Roman" w:cs="Times New Roman"/>
          <w:color w:val="000000"/>
          <w:sz w:val="24"/>
          <w:szCs w:val="24"/>
          <w:lang/>
        </w:rPr>
        <w:t>д) особи, які прибули за путівками (курсівками) на лікування, оздоровлення, реабілітацію до лікувально-профілактичних, фізкультурно-оздоровчих та санаторно-курортних закладів, що мають ліцензію на медичну практику та акредитацію центрального органу виконавчої влади, що реалізує державну політику у сфері охорони здоров’я;</w:t>
      </w:r>
    </w:p>
    <w:p w14:paraId="00375D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0" w:name="n11893"/>
      <w:bookmarkEnd w:id="8450"/>
      <w:r w:rsidRPr="008B264B">
        <w:rPr>
          <w:rFonts w:ascii="Times New Roman" w:eastAsia="Times New Roman" w:hAnsi="Times New Roman" w:cs="Times New Roman"/>
          <w:color w:val="000000"/>
          <w:sz w:val="24"/>
          <w:szCs w:val="24"/>
          <w:lang/>
        </w:rPr>
        <w:t>е) діти віком до 18 років;</w:t>
      </w:r>
    </w:p>
    <w:p w14:paraId="6702C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1" w:name="n11894"/>
      <w:bookmarkEnd w:id="8451"/>
      <w:r w:rsidRPr="008B264B">
        <w:rPr>
          <w:rFonts w:ascii="Times New Roman" w:eastAsia="Times New Roman" w:hAnsi="Times New Roman" w:cs="Times New Roman"/>
          <w:color w:val="000000"/>
          <w:sz w:val="24"/>
          <w:szCs w:val="24"/>
          <w:lang/>
        </w:rPr>
        <w:t>є) дитячі лікувально-профілактичні, фізкультурно-оздоровчі та санаторно-курортні заклади;</w:t>
      </w:r>
    </w:p>
    <w:p w14:paraId="710B83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2" w:name="n15378"/>
      <w:bookmarkEnd w:id="8452"/>
      <w:r w:rsidRPr="008B264B">
        <w:rPr>
          <w:rFonts w:ascii="Times New Roman" w:eastAsia="Times New Roman" w:hAnsi="Times New Roman" w:cs="Times New Roman"/>
          <w:color w:val="000000"/>
          <w:sz w:val="24"/>
          <w:szCs w:val="24"/>
          <w:lang/>
        </w:rPr>
        <w:t>ж) члени сім’ї фізичної особи першого та/або другого ступеня споріднення, визначені відповідно до </w:t>
      </w:r>
      <w:hyperlink r:id="rId4642" w:anchor="n777" w:history="1">
        <w:r w:rsidRPr="008B264B">
          <w:rPr>
            <w:rFonts w:ascii="Times New Roman" w:eastAsia="Times New Roman" w:hAnsi="Times New Roman" w:cs="Times New Roman"/>
            <w:color w:val="0000FF"/>
            <w:sz w:val="24"/>
            <w:szCs w:val="24"/>
            <w:u w:val="single"/>
            <w:lang/>
          </w:rPr>
          <w:t>підпункту 14.1.263</w:t>
        </w:r>
      </w:hyperlink>
      <w:r w:rsidRPr="008B264B">
        <w:rPr>
          <w:rFonts w:ascii="Times New Roman" w:eastAsia="Times New Roman" w:hAnsi="Times New Roman" w:cs="Times New Roman"/>
          <w:color w:val="000000"/>
          <w:sz w:val="24"/>
          <w:szCs w:val="24"/>
          <w:lang/>
        </w:rPr>
        <w:t xml:space="preserve"> пункту 14.1 статті 14 цього Кодексу, які тимчасово </w:t>
      </w:r>
      <w:r w:rsidRPr="008B264B">
        <w:rPr>
          <w:rFonts w:ascii="Times New Roman" w:eastAsia="Times New Roman" w:hAnsi="Times New Roman" w:cs="Times New Roman"/>
          <w:color w:val="000000"/>
          <w:sz w:val="24"/>
          <w:szCs w:val="24"/>
          <w:lang/>
        </w:rPr>
        <w:lastRenderedPageBreak/>
        <w:t>розміщуються такою фізичною особою у місцях проживання (ночівлі), визначених </w:t>
      </w:r>
      <w:hyperlink r:id="rId4643" w:anchor="n11901"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підпункту 268.5.1 пункту 268.5 цієї статті, що належать їй на праві власності або на праві користування за договором найму.</w:t>
      </w:r>
    </w:p>
    <w:p w14:paraId="61CCC4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3" w:name="n15377"/>
      <w:bookmarkEnd w:id="8453"/>
      <w:r w:rsidRPr="008B264B">
        <w:rPr>
          <w:rFonts w:ascii="Times New Roman" w:eastAsia="Times New Roman" w:hAnsi="Times New Roman" w:cs="Times New Roman"/>
          <w:i/>
          <w:iCs/>
          <w:color w:val="000000"/>
          <w:sz w:val="24"/>
          <w:szCs w:val="24"/>
          <w:lang/>
        </w:rPr>
        <w:t>{Підпункт 268.2.2 пункту 268.2 статті 268 доповнено підпунктом "ж" згідно із Законом </w:t>
      </w:r>
      <w:hyperlink r:id="rId4644" w:anchor="n62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7A647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4" w:name="n11895"/>
      <w:bookmarkEnd w:id="8454"/>
      <w:r w:rsidRPr="008B264B">
        <w:rPr>
          <w:rFonts w:ascii="Times New Roman" w:eastAsia="Times New Roman" w:hAnsi="Times New Roman" w:cs="Times New Roman"/>
          <w:color w:val="000000"/>
          <w:sz w:val="24"/>
          <w:szCs w:val="24"/>
          <w:lang/>
        </w:rPr>
        <w:t>268.3. Ставка збору</w:t>
      </w:r>
    </w:p>
    <w:p w14:paraId="111317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5" w:name="n11896"/>
      <w:bookmarkEnd w:id="8455"/>
      <w:r w:rsidRPr="008B264B">
        <w:rPr>
          <w:rFonts w:ascii="Times New Roman" w:eastAsia="Times New Roman" w:hAnsi="Times New Roman" w:cs="Times New Roman"/>
          <w:color w:val="000000"/>
          <w:sz w:val="24"/>
          <w:szCs w:val="24"/>
          <w:lang/>
        </w:rPr>
        <w:t>268.3.1. Ставка збору встановлюється за рішенням відповідної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 за кожну добу тимчасового розміщення особи у місцях проживання (ночівлі), визначених підпунктом 268.5.1 пункту 268.5 цієї статті, у розмірі до 0,5 відсотка - для внутрішнього туризму та до 5 відсотків - для в’їзного туризму від розміру мінімальної заробітної плати, встановленої законом на 1 січня звітного (податкового) року, для однієї особи за одну добу тимчасового розміщення.</w:t>
      </w:r>
    </w:p>
    <w:p w14:paraId="247B72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6" w:name="n15380"/>
      <w:bookmarkEnd w:id="8456"/>
      <w:r w:rsidRPr="008B264B">
        <w:rPr>
          <w:rFonts w:ascii="Times New Roman" w:eastAsia="Times New Roman" w:hAnsi="Times New Roman" w:cs="Times New Roman"/>
          <w:i/>
          <w:iCs/>
          <w:color w:val="000000"/>
          <w:sz w:val="24"/>
          <w:szCs w:val="24"/>
          <w:lang/>
        </w:rPr>
        <w:t>{Пункт 268.3 статті 268 в редакції Закону </w:t>
      </w:r>
      <w:hyperlink r:id="rId4645" w:anchor="n62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EEB84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7" w:name="n11897"/>
      <w:bookmarkEnd w:id="8457"/>
      <w:r w:rsidRPr="008B264B">
        <w:rPr>
          <w:rFonts w:ascii="Times New Roman" w:eastAsia="Times New Roman" w:hAnsi="Times New Roman" w:cs="Times New Roman"/>
          <w:color w:val="000000"/>
          <w:sz w:val="24"/>
          <w:szCs w:val="24"/>
          <w:lang/>
        </w:rPr>
        <w:t>268.4. База справляння збору</w:t>
      </w:r>
    </w:p>
    <w:p w14:paraId="1C36F1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8" w:name="n11898"/>
      <w:bookmarkEnd w:id="8458"/>
      <w:r w:rsidRPr="008B264B">
        <w:rPr>
          <w:rFonts w:ascii="Times New Roman" w:eastAsia="Times New Roman" w:hAnsi="Times New Roman" w:cs="Times New Roman"/>
          <w:color w:val="000000"/>
          <w:sz w:val="24"/>
          <w:szCs w:val="24"/>
          <w:lang/>
        </w:rPr>
        <w:t>268.4.1. Базою справляння збору є загальна кількість діб тимчасового розміщення у місцях проживання (ночівлі), визначених підпунктом 268.5.1 пункту 268.5 цієї статті.</w:t>
      </w:r>
    </w:p>
    <w:p w14:paraId="02E217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59" w:name="n15379"/>
      <w:bookmarkEnd w:id="8459"/>
      <w:r w:rsidRPr="008B264B">
        <w:rPr>
          <w:rFonts w:ascii="Times New Roman" w:eastAsia="Times New Roman" w:hAnsi="Times New Roman" w:cs="Times New Roman"/>
          <w:i/>
          <w:iCs/>
          <w:color w:val="000000"/>
          <w:sz w:val="24"/>
          <w:szCs w:val="24"/>
          <w:lang/>
        </w:rPr>
        <w:t>{Пункт 268.4 статті 268 в редакції Закону </w:t>
      </w:r>
      <w:hyperlink r:id="rId4646" w:anchor="n62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6A760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0" w:name="n11900"/>
      <w:bookmarkEnd w:id="8460"/>
      <w:r w:rsidRPr="008B264B">
        <w:rPr>
          <w:rFonts w:ascii="Times New Roman" w:eastAsia="Times New Roman" w:hAnsi="Times New Roman" w:cs="Times New Roman"/>
          <w:color w:val="000000"/>
          <w:sz w:val="24"/>
          <w:szCs w:val="24"/>
          <w:lang/>
        </w:rPr>
        <w:t>268.5. Податкові агенти та місця проживання (ночівлі)</w:t>
      </w:r>
    </w:p>
    <w:p w14:paraId="4E3638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1" w:name="n11901"/>
      <w:bookmarkEnd w:id="8461"/>
      <w:r w:rsidRPr="008B264B">
        <w:rPr>
          <w:rFonts w:ascii="Times New Roman" w:eastAsia="Times New Roman" w:hAnsi="Times New Roman" w:cs="Times New Roman"/>
          <w:color w:val="000000"/>
          <w:sz w:val="24"/>
          <w:szCs w:val="24"/>
          <w:lang/>
        </w:rPr>
        <w:t>268.5.1. Згідно з рішенням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 справляння збору може здійснюватися з тимчасового розміщення у таких місцях проживання (ночівлі):</w:t>
      </w:r>
    </w:p>
    <w:p w14:paraId="111241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2" w:name="n11902"/>
      <w:bookmarkEnd w:id="8462"/>
      <w:r w:rsidRPr="008B264B">
        <w:rPr>
          <w:rFonts w:ascii="Times New Roman" w:eastAsia="Times New Roman" w:hAnsi="Times New Roman" w:cs="Times New Roman"/>
          <w:color w:val="000000"/>
          <w:sz w:val="24"/>
          <w:szCs w:val="24"/>
          <w:lang/>
        </w:rPr>
        <w:t>а) готелі, кемпінги, мотелі, гуртожитки для приїжджих, хостели, будинки відпочинку, туристичні бази, гірські притулки, табори для відпочинку, пансіонати та інші заклади готельного типу, санаторно-курортні заклади;</w:t>
      </w:r>
    </w:p>
    <w:p w14:paraId="0473AD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3" w:name="n11903"/>
      <w:bookmarkEnd w:id="8463"/>
      <w:r w:rsidRPr="008B264B">
        <w:rPr>
          <w:rFonts w:ascii="Times New Roman" w:eastAsia="Times New Roman" w:hAnsi="Times New Roman" w:cs="Times New Roman"/>
          <w:color w:val="000000"/>
          <w:sz w:val="24"/>
          <w:szCs w:val="24"/>
          <w:lang/>
        </w:rPr>
        <w:t>б) житловий будинок, прибудова до житлового будинку, квартира, котедж, кімната, садовий будинок, дачний будинок, будь-які інші об’єкти, що використовуються для тимчасового проживання (ночівлі).</w:t>
      </w:r>
    </w:p>
    <w:p w14:paraId="64D947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4" w:name="n15381"/>
      <w:bookmarkEnd w:id="8464"/>
      <w:r w:rsidRPr="008B264B">
        <w:rPr>
          <w:rFonts w:ascii="Times New Roman" w:eastAsia="Times New Roman" w:hAnsi="Times New Roman" w:cs="Times New Roman"/>
          <w:color w:val="000000"/>
          <w:sz w:val="24"/>
          <w:szCs w:val="24"/>
          <w:lang/>
        </w:rPr>
        <w:t>268.5.2. Згідно з рішенням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 справляння збору може здійснюватися такими податковими агентами:</w:t>
      </w:r>
    </w:p>
    <w:p w14:paraId="7EA026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5" w:name="n15382"/>
      <w:bookmarkEnd w:id="8465"/>
      <w:r w:rsidRPr="008B264B">
        <w:rPr>
          <w:rFonts w:ascii="Times New Roman" w:eastAsia="Times New Roman" w:hAnsi="Times New Roman" w:cs="Times New Roman"/>
          <w:color w:val="000000"/>
          <w:sz w:val="24"/>
          <w:szCs w:val="24"/>
          <w:lang/>
        </w:rPr>
        <w:t>а) юридичними особами, філіями, відділеннями, іншими відокремленими підрозділами юридичних осіб згідно з </w:t>
      </w:r>
      <w:hyperlink r:id="rId4647" w:anchor="n11909" w:history="1">
        <w:r w:rsidRPr="008B264B">
          <w:rPr>
            <w:rFonts w:ascii="Times New Roman" w:eastAsia="Times New Roman" w:hAnsi="Times New Roman" w:cs="Times New Roman"/>
            <w:color w:val="0000FF"/>
            <w:sz w:val="24"/>
            <w:szCs w:val="24"/>
            <w:u w:val="single"/>
            <w:lang/>
          </w:rPr>
          <w:t>підпунктом 268.7.2</w:t>
        </w:r>
      </w:hyperlink>
      <w:r w:rsidRPr="008B264B">
        <w:rPr>
          <w:rFonts w:ascii="Times New Roman" w:eastAsia="Times New Roman" w:hAnsi="Times New Roman" w:cs="Times New Roman"/>
          <w:color w:val="000000"/>
          <w:sz w:val="24"/>
          <w:szCs w:val="24"/>
          <w:lang/>
        </w:rPr>
        <w:t> пункту 268.7 цієї статті, фізичними особами - підприємцями, які надають послуги з тимчасового розміщення осіб у місцях проживання (ночівлі), визначених підпунктом 268.5.1 цієї статті;</w:t>
      </w:r>
    </w:p>
    <w:p w14:paraId="60EBDE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6" w:name="n15383"/>
      <w:bookmarkEnd w:id="8466"/>
      <w:r w:rsidRPr="008B264B">
        <w:rPr>
          <w:rFonts w:ascii="Times New Roman" w:eastAsia="Times New Roman" w:hAnsi="Times New Roman" w:cs="Times New Roman"/>
          <w:color w:val="000000"/>
          <w:sz w:val="24"/>
          <w:szCs w:val="24"/>
          <w:lang/>
        </w:rPr>
        <w:t>б) квартирно-посередницькими організаціями, які направляють неорганізованих осіб з метою їх тимчасового розміщення у місцях проживання (ночівлі), визначених підпунктом "б" підпункту 268.5.1 пункту 268.5 цієї статті, що належать фізичним особам на праві власності або на праві користування за договором найму;</w:t>
      </w:r>
    </w:p>
    <w:p w14:paraId="53B187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7" w:name="n15384"/>
      <w:bookmarkEnd w:id="8467"/>
      <w:r w:rsidRPr="008B264B">
        <w:rPr>
          <w:rFonts w:ascii="Times New Roman" w:eastAsia="Times New Roman" w:hAnsi="Times New Roman" w:cs="Times New Roman"/>
          <w:color w:val="000000"/>
          <w:sz w:val="24"/>
          <w:szCs w:val="24"/>
          <w:lang/>
        </w:rPr>
        <w:t>в) юридичними особами, які уповноважуються сільською, селищною, міською радою або радою об’єднаної територіальної громади, що створена згідно із законом та перспективним планом формування територій громад, справляти збір на умовах договору, укладеного з відповідною радою.</w:t>
      </w:r>
    </w:p>
    <w:p w14:paraId="5C9FE6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8" w:name="n15385"/>
      <w:bookmarkEnd w:id="8468"/>
      <w:r w:rsidRPr="008B264B">
        <w:rPr>
          <w:rFonts w:ascii="Times New Roman" w:eastAsia="Times New Roman" w:hAnsi="Times New Roman" w:cs="Times New Roman"/>
          <w:color w:val="000000"/>
          <w:sz w:val="24"/>
          <w:szCs w:val="24"/>
          <w:lang/>
        </w:rPr>
        <w:lastRenderedPageBreak/>
        <w:t>Перелік податкових агентів та інформація про них розміщуються та оприлюднюються на офіційному веб-сайті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w:t>
      </w:r>
    </w:p>
    <w:p w14:paraId="7D49F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69" w:name="n12944"/>
      <w:bookmarkEnd w:id="8469"/>
      <w:r w:rsidRPr="008B264B">
        <w:rPr>
          <w:rFonts w:ascii="Times New Roman" w:eastAsia="Times New Roman" w:hAnsi="Times New Roman" w:cs="Times New Roman"/>
          <w:i/>
          <w:iCs/>
          <w:color w:val="000000"/>
          <w:sz w:val="24"/>
          <w:szCs w:val="24"/>
          <w:lang/>
        </w:rPr>
        <w:t>{Пункт 268.5 статті 268 із змінами, внесеними згідно із Законом </w:t>
      </w:r>
      <w:hyperlink r:id="rId4648" w:anchor="n63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4649" w:anchor="n62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AD23B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0" w:name="n11905"/>
      <w:bookmarkEnd w:id="8470"/>
      <w:r w:rsidRPr="008B264B">
        <w:rPr>
          <w:rFonts w:ascii="Times New Roman" w:eastAsia="Times New Roman" w:hAnsi="Times New Roman" w:cs="Times New Roman"/>
          <w:color w:val="000000"/>
          <w:sz w:val="24"/>
          <w:szCs w:val="24"/>
          <w:lang/>
        </w:rPr>
        <w:t>268.6. Особливості справляння збору</w:t>
      </w:r>
    </w:p>
    <w:p w14:paraId="0E4A23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1" w:name="n11906"/>
      <w:bookmarkEnd w:id="8471"/>
      <w:r w:rsidRPr="008B264B">
        <w:rPr>
          <w:rFonts w:ascii="Times New Roman" w:eastAsia="Times New Roman" w:hAnsi="Times New Roman" w:cs="Times New Roman"/>
          <w:color w:val="000000"/>
          <w:sz w:val="24"/>
          <w:szCs w:val="24"/>
          <w:lang/>
        </w:rPr>
        <w:t>268.6.1. Платники збору сплачують суму збору авансовим внеском перед тимчасовим розміщенням у місцях проживання (ночівлі) податковим агентам, які справляють збір за ставками, у місцях справляння збору та з дотриманням інших вимог, визначених рішенням відповідної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w:t>
      </w:r>
    </w:p>
    <w:p w14:paraId="4D451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2" w:name="n15387"/>
      <w:bookmarkEnd w:id="8472"/>
      <w:r w:rsidRPr="008B264B">
        <w:rPr>
          <w:rFonts w:ascii="Times New Roman" w:eastAsia="Times New Roman" w:hAnsi="Times New Roman" w:cs="Times New Roman"/>
          <w:color w:val="000000"/>
          <w:sz w:val="24"/>
          <w:szCs w:val="24"/>
          <w:lang/>
        </w:rPr>
        <w:t>За один і той самий період перебування платника збору на території однієї адміністративно-територіальної одиниці, на якій встановлено туристичний збір, повторне справляння збору, вже сплаченого таким платником збору, не допускається.</w:t>
      </w:r>
    </w:p>
    <w:p w14:paraId="6FA053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3" w:name="n15388"/>
      <w:bookmarkEnd w:id="8473"/>
      <w:r w:rsidRPr="008B264B">
        <w:rPr>
          <w:rFonts w:ascii="Times New Roman" w:eastAsia="Times New Roman" w:hAnsi="Times New Roman" w:cs="Times New Roman"/>
          <w:color w:val="000000"/>
          <w:sz w:val="24"/>
          <w:szCs w:val="24"/>
          <w:lang/>
        </w:rPr>
        <w:t>268.6.2. Особа здійснює тимчасове розміщення платника збору у місцях проживання (ночівлі), що належать такій особі на праві власності або на праві користування, виключно за наявності у платника збору документа, що підтверджує сплату ним туристичного збору відповідно до цього Кодексу та рішення відповідної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w:t>
      </w:r>
    </w:p>
    <w:p w14:paraId="74A900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4" w:name="n15389"/>
      <w:bookmarkEnd w:id="8474"/>
      <w:r w:rsidRPr="008B264B">
        <w:rPr>
          <w:rFonts w:ascii="Times New Roman" w:eastAsia="Times New Roman" w:hAnsi="Times New Roman" w:cs="Times New Roman"/>
          <w:color w:val="000000"/>
          <w:sz w:val="24"/>
          <w:szCs w:val="24"/>
          <w:lang/>
        </w:rPr>
        <w:t>268.6.3. У разі дострокового залишення особою, яка сплатила туристичний збір, території адміністративно-територіальної одиниці, на якій встановлено туристичний збір, сума надмірно сплаченого збору підлягає поверненню такій особі у встановленому цим Кодексом порядку";</w:t>
      </w:r>
    </w:p>
    <w:p w14:paraId="128BB3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5" w:name="n15386"/>
      <w:bookmarkEnd w:id="8475"/>
      <w:r w:rsidRPr="008B264B">
        <w:rPr>
          <w:rFonts w:ascii="Times New Roman" w:eastAsia="Times New Roman" w:hAnsi="Times New Roman" w:cs="Times New Roman"/>
          <w:i/>
          <w:iCs/>
          <w:color w:val="000000"/>
          <w:sz w:val="24"/>
          <w:szCs w:val="24"/>
          <w:lang/>
        </w:rPr>
        <w:t>{Пункт 268.6 статті 268 в редакції Закону </w:t>
      </w:r>
      <w:hyperlink r:id="rId4650" w:anchor="n62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47DC0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6" w:name="n11907"/>
      <w:bookmarkEnd w:id="8476"/>
      <w:r w:rsidRPr="008B264B">
        <w:rPr>
          <w:rFonts w:ascii="Times New Roman" w:eastAsia="Times New Roman" w:hAnsi="Times New Roman" w:cs="Times New Roman"/>
          <w:color w:val="000000"/>
          <w:sz w:val="24"/>
          <w:szCs w:val="24"/>
          <w:lang/>
        </w:rPr>
        <w:t>268.7. Порядок сплати збору</w:t>
      </w:r>
    </w:p>
    <w:p w14:paraId="37462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7" w:name="n11908"/>
      <w:bookmarkEnd w:id="8477"/>
      <w:r w:rsidRPr="008B264B">
        <w:rPr>
          <w:rFonts w:ascii="Times New Roman" w:eastAsia="Times New Roman" w:hAnsi="Times New Roman" w:cs="Times New Roman"/>
          <w:color w:val="000000"/>
          <w:sz w:val="24"/>
          <w:szCs w:val="24"/>
          <w:lang/>
        </w:rPr>
        <w:t>268.7.1. Податкові агенти сплачують збір за своїм місцезнаходженням щоквартально, у визначений для квартального звітного (податкового) періоду строк та відповідно до податкової декларації за звітний (податковий) квартал, або авансовими внесками до 30 числа (включно) кожного місяця (у лютому - до 28 (29) включно) на підставі рішення відповідної сільської, селищної, міської ради або ради об’єднаної територіальної громади, що створена згідно із законом та перспективним планом формування територій громад.</w:t>
      </w:r>
    </w:p>
    <w:p w14:paraId="185913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8" w:name="n15391"/>
      <w:bookmarkEnd w:id="8478"/>
      <w:r w:rsidRPr="008B264B">
        <w:rPr>
          <w:rFonts w:ascii="Times New Roman" w:eastAsia="Times New Roman" w:hAnsi="Times New Roman" w:cs="Times New Roman"/>
          <w:color w:val="000000"/>
          <w:sz w:val="24"/>
          <w:szCs w:val="24"/>
          <w:lang/>
        </w:rPr>
        <w:t>Податкові агенти, які сплачують збір авансовими внесками, відображають у податковій декларації за звітний (податковий) квартал суми нарахованих щомісячних авансових внесків. При цьому остаточна сума збору, обчислена відповідно до податкової декларації за звітний (податковий) квартал (з урахуванням фактично внесених авансових платежів), сплачується такими податковими агентами у строки, визначені для квартального звітного (податкового) періоду.</w:t>
      </w:r>
    </w:p>
    <w:p w14:paraId="2C5AA3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79" w:name="n15390"/>
      <w:bookmarkEnd w:id="8479"/>
      <w:r w:rsidRPr="008B264B">
        <w:rPr>
          <w:rFonts w:ascii="Times New Roman" w:eastAsia="Times New Roman" w:hAnsi="Times New Roman" w:cs="Times New Roman"/>
          <w:i/>
          <w:iCs/>
          <w:color w:val="000000"/>
          <w:sz w:val="24"/>
          <w:szCs w:val="24"/>
          <w:lang/>
        </w:rPr>
        <w:t>{Підпункт 268.7.1 пункту 268.7 статті 268 в редакції Закону </w:t>
      </w:r>
      <w:hyperlink r:id="rId4651" w:anchor="n64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C4320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0" w:name="n11909"/>
      <w:bookmarkEnd w:id="8480"/>
      <w:r w:rsidRPr="008B264B">
        <w:rPr>
          <w:rFonts w:ascii="Times New Roman" w:eastAsia="Times New Roman" w:hAnsi="Times New Roman" w:cs="Times New Roman"/>
          <w:color w:val="000000"/>
          <w:sz w:val="24"/>
          <w:szCs w:val="24"/>
          <w:lang/>
        </w:rPr>
        <w:t>268.7.2. Податковий агент, який має підрозділ без статусу юридичної особи, що надає послуги з тимчасового розміщення у місцях проживання (ночівлі) не за місцем реєстрації такого податкового агента, зобов’язаний зареєструвати такий підрозділ як податкового агента туристичного збору у контролюючому органі за місцезнаходженням підрозділу.</w:t>
      </w:r>
    </w:p>
    <w:p w14:paraId="26518B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1" w:name="n15392"/>
      <w:bookmarkEnd w:id="8481"/>
      <w:r w:rsidRPr="008B264B">
        <w:rPr>
          <w:rFonts w:ascii="Times New Roman" w:eastAsia="Times New Roman" w:hAnsi="Times New Roman" w:cs="Times New Roman"/>
          <w:i/>
          <w:iCs/>
          <w:color w:val="000000"/>
          <w:sz w:val="24"/>
          <w:szCs w:val="24"/>
          <w:lang/>
        </w:rPr>
        <w:t>{Підпункт 268.7.2 пункту 268.7 статті 268 із змінами, внесеними згідно із Законом </w:t>
      </w:r>
      <w:hyperlink r:id="rId4652" w:anchor="n64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15E51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2" w:name="n11910"/>
      <w:bookmarkEnd w:id="8482"/>
      <w:r w:rsidRPr="008B264B">
        <w:rPr>
          <w:rFonts w:ascii="Times New Roman" w:eastAsia="Times New Roman" w:hAnsi="Times New Roman" w:cs="Times New Roman"/>
          <w:color w:val="000000"/>
          <w:sz w:val="24"/>
          <w:szCs w:val="24"/>
          <w:lang/>
        </w:rPr>
        <w:t>268.7.3. Базовий податковий (звітний) період дорівнює календарному кварталу.</w:t>
      </w:r>
    </w:p>
    <w:p w14:paraId="3A64B0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3" w:name="n11882"/>
      <w:bookmarkEnd w:id="8483"/>
      <w:r w:rsidRPr="008B264B">
        <w:rPr>
          <w:rFonts w:ascii="Times New Roman" w:eastAsia="Times New Roman" w:hAnsi="Times New Roman" w:cs="Times New Roman"/>
          <w:i/>
          <w:iCs/>
          <w:color w:val="000000"/>
          <w:sz w:val="24"/>
          <w:szCs w:val="24"/>
          <w:lang/>
        </w:rPr>
        <w:lastRenderedPageBreak/>
        <w:t>{Стаття 268 із змінами, внесеними згідно із Законами </w:t>
      </w:r>
      <w:hyperlink r:id="rId465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654" w:anchor="n40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655" w:anchor="n27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656" w:anchor="n135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3E676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4" w:name="n11912"/>
      <w:bookmarkEnd w:id="8484"/>
      <w:r w:rsidRPr="008B264B">
        <w:rPr>
          <w:rFonts w:ascii="Times New Roman" w:eastAsia="Times New Roman" w:hAnsi="Times New Roman" w:cs="Times New Roman"/>
          <w:b/>
          <w:bCs/>
          <w:color w:val="000000"/>
          <w:sz w:val="24"/>
          <w:szCs w:val="24"/>
          <w:lang/>
        </w:rPr>
        <w:t>Стаття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Збір за місця для паркування транспортних засобів</w:t>
      </w:r>
    </w:p>
    <w:p w14:paraId="7B6107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5" w:name="n11913"/>
      <w:bookmarkEnd w:id="8485"/>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Платники збору</w:t>
      </w:r>
    </w:p>
    <w:p w14:paraId="547AE7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6" w:name="n11914"/>
      <w:bookmarkEnd w:id="8486"/>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.1.1. Платниками збору є юридичні особи, їх філії (відділення, представництва), фізичні особи - підприємці, які згідно з рішенням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організовують та провадять діяльність із забезпечення паркування транспортних засобів на майданчиках для платного паркування та спеціально відведених автостоянках.</w:t>
      </w:r>
    </w:p>
    <w:p w14:paraId="0A1D18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7" w:name="n12945"/>
      <w:bookmarkEnd w:id="8487"/>
      <w:r w:rsidRPr="008B264B">
        <w:rPr>
          <w:rFonts w:ascii="Times New Roman" w:eastAsia="Times New Roman" w:hAnsi="Times New Roman" w:cs="Times New Roman"/>
          <w:i/>
          <w:iCs/>
          <w:color w:val="000000"/>
          <w:sz w:val="24"/>
          <w:szCs w:val="24"/>
          <w:lang/>
        </w:rPr>
        <w:t>{Підпункт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.1.1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57" w:anchor="n63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953B1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8" w:name="n11915"/>
      <w:bookmarkEnd w:id="8488"/>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.1.2. Перелік спеціальних земельних ділянок, відведених для організації та провадження діяльності із забезпечення паркування транспортних засобів, в якому зазначаються їх місцезнаходження, загальна площа, технічне облаштування, кількість місць для паркування транспортних засобів, затверджується рішенням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про встановлення збору.</w:t>
      </w:r>
    </w:p>
    <w:p w14:paraId="3AC283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89" w:name="n12946"/>
      <w:bookmarkEnd w:id="8489"/>
      <w:r w:rsidRPr="008B264B">
        <w:rPr>
          <w:rFonts w:ascii="Times New Roman" w:eastAsia="Times New Roman" w:hAnsi="Times New Roman" w:cs="Times New Roman"/>
          <w:i/>
          <w:iCs/>
          <w:color w:val="000000"/>
          <w:sz w:val="24"/>
          <w:szCs w:val="24"/>
          <w:lang/>
        </w:rPr>
        <w:t>{Абзац перший підпункту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58" w:anchor="n63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34E68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0" w:name="n11916"/>
      <w:bookmarkEnd w:id="8490"/>
      <w:r w:rsidRPr="008B264B">
        <w:rPr>
          <w:rFonts w:ascii="Times New Roman" w:eastAsia="Times New Roman" w:hAnsi="Times New Roman" w:cs="Times New Roman"/>
          <w:color w:val="000000"/>
          <w:sz w:val="24"/>
          <w:szCs w:val="24"/>
          <w:lang/>
        </w:rPr>
        <w:t>Таке рішення разом з переліком осіб, які уповноважені організовувати та провадити діяльність із забезпечення паркування транспортних засобів, надається виконавчим органом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контролюючому органу в порядку, встановленому </w:t>
      </w:r>
      <w:hyperlink r:id="rId4659" w:anchor="n130" w:history="1">
        <w:r w:rsidRPr="008B264B">
          <w:rPr>
            <w:rFonts w:ascii="Times New Roman" w:eastAsia="Times New Roman" w:hAnsi="Times New Roman" w:cs="Times New Roman"/>
            <w:color w:val="0000FF"/>
            <w:sz w:val="24"/>
            <w:szCs w:val="24"/>
            <w:u w:val="single"/>
            <w:lang/>
          </w:rPr>
          <w:t>розділом I</w:t>
        </w:r>
      </w:hyperlink>
      <w:r w:rsidRPr="008B264B">
        <w:rPr>
          <w:rFonts w:ascii="Times New Roman" w:eastAsia="Times New Roman" w:hAnsi="Times New Roman" w:cs="Times New Roman"/>
          <w:color w:val="000000"/>
          <w:sz w:val="24"/>
          <w:szCs w:val="24"/>
          <w:lang/>
        </w:rPr>
        <w:t> цього Кодексу.</w:t>
      </w:r>
    </w:p>
    <w:p w14:paraId="01FED2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1" w:name="n12947"/>
      <w:bookmarkEnd w:id="8491"/>
      <w:r w:rsidRPr="008B264B">
        <w:rPr>
          <w:rFonts w:ascii="Times New Roman" w:eastAsia="Times New Roman" w:hAnsi="Times New Roman" w:cs="Times New Roman"/>
          <w:i/>
          <w:iCs/>
          <w:color w:val="000000"/>
          <w:sz w:val="24"/>
          <w:szCs w:val="24"/>
          <w:lang/>
        </w:rPr>
        <w:t>{Абзац другий підпункту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.1.2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60" w:anchor="n63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7D598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2" w:name="n11917"/>
      <w:bookmarkEnd w:id="8492"/>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Об’єкт і база оподаткування збором</w:t>
      </w:r>
    </w:p>
    <w:p w14:paraId="483715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3" w:name="n11918"/>
      <w:bookmarkEnd w:id="8493"/>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.2.1. Об’єктом оподаткування є земельна ділянка, яка згідно з рішенням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спеціально відведена для забезпечення паркування транспортних засобів на автомобільних дорогах загального користування, тротуарах або інших місцях, а також комунальні гаражі, стоянки, паркінги (будівлі, споруди, їх частини), які побудовані за рахунок коштів місцевого бюджету, за винятком площі земельної ділянки, яка відведена для безоплатного паркування транспортних засобів, передбачених </w:t>
      </w:r>
      <w:hyperlink r:id="rId4661" w:tgtFrame="_blank" w:history="1">
        <w:r w:rsidRPr="008B264B">
          <w:rPr>
            <w:rFonts w:ascii="Times New Roman" w:eastAsia="Times New Roman" w:hAnsi="Times New Roman" w:cs="Times New Roman"/>
            <w:color w:val="0000FF"/>
            <w:sz w:val="24"/>
            <w:szCs w:val="24"/>
            <w:u w:val="single"/>
            <w:lang/>
          </w:rPr>
          <w:t>статтею 30</w:t>
        </w:r>
      </w:hyperlink>
      <w:r w:rsidRPr="008B264B">
        <w:rPr>
          <w:rFonts w:ascii="Times New Roman" w:eastAsia="Times New Roman" w:hAnsi="Times New Roman" w:cs="Times New Roman"/>
          <w:color w:val="000000"/>
          <w:sz w:val="24"/>
          <w:szCs w:val="24"/>
          <w:lang/>
        </w:rPr>
        <w:t> Закону України "Про основи соціальної захищеності осіб з інвалідністю в Україні".</w:t>
      </w:r>
    </w:p>
    <w:p w14:paraId="044653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4" w:name="n12948"/>
      <w:bookmarkEnd w:id="8494"/>
      <w:r w:rsidRPr="008B264B">
        <w:rPr>
          <w:rFonts w:ascii="Times New Roman" w:eastAsia="Times New Roman" w:hAnsi="Times New Roman" w:cs="Times New Roman"/>
          <w:i/>
          <w:iCs/>
          <w:color w:val="000000"/>
          <w:sz w:val="24"/>
          <w:szCs w:val="24"/>
          <w:lang/>
        </w:rPr>
        <w:t>{Підпункт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.2.1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662" w:anchor="n63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663" w:anchor="n6"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18FE39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5" w:name="n11919"/>
      <w:bookmarkEnd w:id="8495"/>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.2.2. Базою оподаткування є площа земельної ділянки, відведена для паркування, а також площа комунальних гаражів, стоянок, паркінгів (будівель, споруд, їх частин), які побудовані за рахунок коштів місцевого бюджету.</w:t>
      </w:r>
    </w:p>
    <w:p w14:paraId="6BE93D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6" w:name="n11920"/>
      <w:bookmarkEnd w:id="8496"/>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Ставки збору</w:t>
      </w:r>
    </w:p>
    <w:p w14:paraId="6DD8F6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7" w:name="n11921"/>
      <w:bookmarkEnd w:id="8497"/>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.3.1. Ставки збору встановлюються за кожний день провадження діяльності із забезпечення паркування транспортних засобів у гривнях за 1 кв. метр площі земельної ділянки, відведеної для організації та провадження такої діяльності, у розмірі до 0,075 відсотка мінімальної заробітної плати, установленої законом на 1 січня податкового (звітного) року.</w:t>
      </w:r>
    </w:p>
    <w:p w14:paraId="377ACB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8" w:name="n13370"/>
      <w:bookmarkEnd w:id="8498"/>
      <w:r w:rsidRPr="008B264B">
        <w:rPr>
          <w:rFonts w:ascii="Times New Roman" w:eastAsia="Times New Roman" w:hAnsi="Times New Roman" w:cs="Times New Roman"/>
          <w:i/>
          <w:iCs/>
          <w:color w:val="000000"/>
          <w:sz w:val="24"/>
          <w:szCs w:val="24"/>
          <w:lang/>
        </w:rPr>
        <w:lastRenderedPageBreak/>
        <w:t>{Підпункт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.3.1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64" w:anchor="n12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7CDA99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499" w:name="n11922"/>
      <w:bookmarkEnd w:id="8499"/>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.3.2. При визначенні ставки збору сільські, селищні, міські ради або ради об’єднаних територіальних громад, що створені згідно із законом та перспективним планом формування територій громад, враховують місцезнаходження спеціально відведених місць для паркування транспортних засобів, площу спеціально відведеного місця, кількість місць для паркування транспортних засобів, спосіб поставлення транспортних засобів на стоянку, режим роботи та їх заповнюваність.</w:t>
      </w:r>
    </w:p>
    <w:p w14:paraId="694422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0" w:name="n12949"/>
      <w:bookmarkEnd w:id="8500"/>
      <w:r w:rsidRPr="008B264B">
        <w:rPr>
          <w:rFonts w:ascii="Times New Roman" w:eastAsia="Times New Roman" w:hAnsi="Times New Roman" w:cs="Times New Roman"/>
          <w:i/>
          <w:iCs/>
          <w:color w:val="000000"/>
          <w:sz w:val="24"/>
          <w:szCs w:val="24"/>
          <w:lang/>
        </w:rPr>
        <w:t>{Підпункт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.3.2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65" w:anchor="n63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5F636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1" w:name="n11923"/>
      <w:bookmarkEnd w:id="8501"/>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 Особливості встановлення збору</w:t>
      </w:r>
    </w:p>
    <w:p w14:paraId="019E7E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2" w:name="n11924"/>
      <w:bookmarkEnd w:id="8502"/>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.4.1. Ставка збору та порядок сплати збору до бюджету встановлюються відповідною сільською, селищною, міською радою або радою об’єднаних територіальних громад, що створені згідно із законом та перспективним планом формування територій громад.</w:t>
      </w:r>
    </w:p>
    <w:p w14:paraId="385486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3" w:name="n12950"/>
      <w:bookmarkEnd w:id="8503"/>
      <w:r w:rsidRPr="008B264B">
        <w:rPr>
          <w:rFonts w:ascii="Times New Roman" w:eastAsia="Times New Roman" w:hAnsi="Times New Roman" w:cs="Times New Roman"/>
          <w:i/>
          <w:iCs/>
          <w:color w:val="000000"/>
          <w:sz w:val="24"/>
          <w:szCs w:val="24"/>
          <w:lang/>
        </w:rPr>
        <w:t>{Підпункт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.4.1 пункту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.4 статті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66" w:anchor="n63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DB378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4" w:name="n11925"/>
      <w:bookmarkEnd w:id="8504"/>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 Порядок обчислення та строки сплати збору</w:t>
      </w:r>
    </w:p>
    <w:p w14:paraId="092C30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5" w:name="n11926"/>
      <w:bookmarkEnd w:id="8505"/>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.5.1. Сума збору за місця для паркування транспортних засобів, обчислена відповідно до податкової декларації за звітний (податковий) квартал, сплачується щоквартально, у визначений для квартального звітного (податкового) періоду строк, за місцезнаходженням об’єкта оподаткування.</w:t>
      </w:r>
    </w:p>
    <w:p w14:paraId="7F469A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6" w:name="n11927"/>
      <w:bookmarkEnd w:id="8506"/>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.5.2. Платник збору, який має підрозділ без статусу юридичної особи, що провадить діяльність із забезпечення паркування транспортних засобів на земельній ділянці не за місцем реєстрації такого платника збору, зобов’язаний зареєструвати такий підрозділ як платника збору у контролюючому органі за місцезнаходженням земельної ділянки.</w:t>
      </w:r>
    </w:p>
    <w:p w14:paraId="52918E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7" w:name="n11928"/>
      <w:bookmarkEnd w:id="8507"/>
      <w:r w:rsidRPr="008B264B">
        <w:rPr>
          <w:rFonts w:ascii="Times New Roman" w:eastAsia="Times New Roman" w:hAnsi="Times New Roman" w:cs="Times New Roman"/>
          <w:color w:val="000000"/>
          <w:sz w:val="24"/>
          <w:szCs w:val="24"/>
          <w:lang/>
        </w:rPr>
        <w:t>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.5.3. Базовий податковий (звітний) період дорівнює календарному кварталу.</w:t>
      </w:r>
    </w:p>
    <w:p w14:paraId="3502E5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8" w:name="n11911"/>
      <w:bookmarkEnd w:id="8508"/>
      <w:r w:rsidRPr="008B264B">
        <w:rPr>
          <w:rFonts w:ascii="Times New Roman" w:eastAsia="Times New Roman" w:hAnsi="Times New Roman" w:cs="Times New Roman"/>
          <w:i/>
          <w:iCs/>
          <w:color w:val="000000"/>
          <w:sz w:val="24"/>
          <w:szCs w:val="24"/>
          <w:lang/>
        </w:rPr>
        <w:t>{Кодекс доповнено статтею 268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667" w:anchor="n138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B39D7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09" w:name="n6749"/>
      <w:bookmarkEnd w:id="8509"/>
      <w:r w:rsidRPr="008B264B">
        <w:rPr>
          <w:rFonts w:ascii="Times New Roman" w:eastAsia="Times New Roman" w:hAnsi="Times New Roman" w:cs="Times New Roman"/>
          <w:i/>
          <w:iCs/>
          <w:color w:val="000000"/>
          <w:sz w:val="24"/>
          <w:szCs w:val="24"/>
          <w:lang/>
        </w:rPr>
        <w:t>{Слова "Розділ XIII. Плата за землю" виключено на підставі Закону </w:t>
      </w:r>
      <w:hyperlink r:id="rId4668" w:anchor="n140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500F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0" w:name="n6750"/>
      <w:bookmarkEnd w:id="8510"/>
      <w:r w:rsidRPr="008B264B">
        <w:rPr>
          <w:rFonts w:ascii="Times New Roman" w:eastAsia="Times New Roman" w:hAnsi="Times New Roman" w:cs="Times New Roman"/>
          <w:b/>
          <w:bCs/>
          <w:color w:val="000000"/>
          <w:sz w:val="24"/>
          <w:szCs w:val="24"/>
          <w:lang/>
        </w:rPr>
        <w:t>Стаття 269.</w:t>
      </w:r>
      <w:r w:rsidRPr="008B264B">
        <w:rPr>
          <w:rFonts w:ascii="Times New Roman" w:eastAsia="Times New Roman" w:hAnsi="Times New Roman" w:cs="Times New Roman"/>
          <w:color w:val="000000"/>
          <w:sz w:val="24"/>
          <w:szCs w:val="24"/>
          <w:lang/>
        </w:rPr>
        <w:t> Платники земельного податку</w:t>
      </w:r>
    </w:p>
    <w:p w14:paraId="10E55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1" w:name="n11929"/>
      <w:bookmarkEnd w:id="8511"/>
      <w:r w:rsidRPr="008B264B">
        <w:rPr>
          <w:rFonts w:ascii="Times New Roman" w:eastAsia="Times New Roman" w:hAnsi="Times New Roman" w:cs="Times New Roman"/>
          <w:i/>
          <w:iCs/>
          <w:color w:val="000000"/>
          <w:sz w:val="24"/>
          <w:szCs w:val="24"/>
          <w:lang/>
        </w:rPr>
        <w:t>{Назва статті 269 із змінами, внесеними згідно із Законом </w:t>
      </w:r>
      <w:hyperlink r:id="rId4669" w:anchor="n140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47D0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2" w:name="n6751"/>
      <w:bookmarkEnd w:id="8512"/>
      <w:r w:rsidRPr="008B264B">
        <w:rPr>
          <w:rFonts w:ascii="Times New Roman" w:eastAsia="Times New Roman" w:hAnsi="Times New Roman" w:cs="Times New Roman"/>
          <w:color w:val="000000"/>
          <w:sz w:val="24"/>
          <w:szCs w:val="24"/>
          <w:lang/>
        </w:rPr>
        <w:t>269.1. Платниками податку є:</w:t>
      </w:r>
    </w:p>
    <w:p w14:paraId="630D0F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3" w:name="n6752"/>
      <w:bookmarkEnd w:id="8513"/>
      <w:r w:rsidRPr="008B264B">
        <w:rPr>
          <w:rFonts w:ascii="Times New Roman" w:eastAsia="Times New Roman" w:hAnsi="Times New Roman" w:cs="Times New Roman"/>
          <w:color w:val="000000"/>
          <w:sz w:val="24"/>
          <w:szCs w:val="24"/>
          <w:lang/>
        </w:rPr>
        <w:t>269.1.1. власники земельних ділянок, земельних часток (паїв);</w:t>
      </w:r>
    </w:p>
    <w:p w14:paraId="072BA7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4" w:name="n6753"/>
      <w:bookmarkEnd w:id="8514"/>
      <w:r w:rsidRPr="008B264B">
        <w:rPr>
          <w:rFonts w:ascii="Times New Roman" w:eastAsia="Times New Roman" w:hAnsi="Times New Roman" w:cs="Times New Roman"/>
          <w:color w:val="000000"/>
          <w:sz w:val="24"/>
          <w:szCs w:val="24"/>
          <w:lang/>
        </w:rPr>
        <w:t>269.1.2. землекористувачі.</w:t>
      </w:r>
    </w:p>
    <w:p w14:paraId="30BDB3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5" w:name="n6754"/>
      <w:bookmarkEnd w:id="8515"/>
      <w:r w:rsidRPr="008B264B">
        <w:rPr>
          <w:rFonts w:ascii="Times New Roman" w:eastAsia="Times New Roman" w:hAnsi="Times New Roman" w:cs="Times New Roman"/>
          <w:color w:val="000000"/>
          <w:sz w:val="24"/>
          <w:szCs w:val="24"/>
          <w:lang/>
        </w:rPr>
        <w:t>269.2. Особливості справляння податку суб'єктами господарювання, які застосовують спрощену систему оподаткування, обліку та звітності, встановлюються </w:t>
      </w:r>
      <w:hyperlink r:id="rId4670" w:anchor="n6941" w:history="1">
        <w:r w:rsidRPr="008B264B">
          <w:rPr>
            <w:rFonts w:ascii="Times New Roman" w:eastAsia="Times New Roman" w:hAnsi="Times New Roman" w:cs="Times New Roman"/>
            <w:color w:val="0000FF"/>
            <w:sz w:val="24"/>
            <w:szCs w:val="24"/>
            <w:u w:val="single"/>
            <w:lang/>
          </w:rPr>
          <w:t>главою 1 розділу XIV</w:t>
        </w:r>
      </w:hyperlink>
      <w:r w:rsidRPr="008B264B">
        <w:rPr>
          <w:rFonts w:ascii="Times New Roman" w:eastAsia="Times New Roman" w:hAnsi="Times New Roman" w:cs="Times New Roman"/>
          <w:color w:val="000000"/>
          <w:sz w:val="24"/>
          <w:szCs w:val="24"/>
          <w:lang/>
        </w:rPr>
        <w:t> цього Кодексу.</w:t>
      </w:r>
    </w:p>
    <w:p w14:paraId="788F91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6" w:name="n6755"/>
      <w:bookmarkEnd w:id="8516"/>
      <w:r w:rsidRPr="008B264B">
        <w:rPr>
          <w:rFonts w:ascii="Times New Roman" w:eastAsia="Times New Roman" w:hAnsi="Times New Roman" w:cs="Times New Roman"/>
          <w:i/>
          <w:iCs/>
          <w:color w:val="000000"/>
          <w:sz w:val="24"/>
          <w:szCs w:val="24"/>
          <w:lang/>
        </w:rPr>
        <w:t>{Статтю 269 доповнено пунктом 269.2 згідно із Законом </w:t>
      </w:r>
      <w:hyperlink r:id="rId4671"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36C9DD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7" w:name="n6756"/>
      <w:bookmarkEnd w:id="8517"/>
      <w:r w:rsidRPr="008B264B">
        <w:rPr>
          <w:rFonts w:ascii="Times New Roman" w:eastAsia="Times New Roman" w:hAnsi="Times New Roman" w:cs="Times New Roman"/>
          <w:b/>
          <w:bCs/>
          <w:color w:val="000000"/>
          <w:sz w:val="24"/>
          <w:szCs w:val="24"/>
          <w:lang/>
        </w:rPr>
        <w:t>Стаття 270.</w:t>
      </w:r>
      <w:r w:rsidRPr="008B264B">
        <w:rPr>
          <w:rFonts w:ascii="Times New Roman" w:eastAsia="Times New Roman" w:hAnsi="Times New Roman" w:cs="Times New Roman"/>
          <w:color w:val="000000"/>
          <w:sz w:val="24"/>
          <w:szCs w:val="24"/>
          <w:lang/>
        </w:rPr>
        <w:t> Об'єкти оподаткування земельним податком</w:t>
      </w:r>
    </w:p>
    <w:p w14:paraId="7952DD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8" w:name="n11930"/>
      <w:bookmarkEnd w:id="8518"/>
      <w:r w:rsidRPr="008B264B">
        <w:rPr>
          <w:rFonts w:ascii="Times New Roman" w:eastAsia="Times New Roman" w:hAnsi="Times New Roman" w:cs="Times New Roman"/>
          <w:i/>
          <w:iCs/>
          <w:color w:val="000000"/>
          <w:sz w:val="24"/>
          <w:szCs w:val="24"/>
          <w:lang/>
        </w:rPr>
        <w:t>{Назва статті 270 із змінами, внесеними згідно із Законом </w:t>
      </w:r>
      <w:hyperlink r:id="rId4672" w:anchor="n14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14F1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19" w:name="n6757"/>
      <w:bookmarkEnd w:id="8519"/>
      <w:r w:rsidRPr="008B264B">
        <w:rPr>
          <w:rFonts w:ascii="Times New Roman" w:eastAsia="Times New Roman" w:hAnsi="Times New Roman" w:cs="Times New Roman"/>
          <w:color w:val="000000"/>
          <w:sz w:val="24"/>
          <w:szCs w:val="24"/>
          <w:lang/>
        </w:rPr>
        <w:t>270.1. Об'єктами оподаткування є:</w:t>
      </w:r>
    </w:p>
    <w:p w14:paraId="6D939C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0" w:name="n6758"/>
      <w:bookmarkEnd w:id="8520"/>
      <w:r w:rsidRPr="008B264B">
        <w:rPr>
          <w:rFonts w:ascii="Times New Roman" w:eastAsia="Times New Roman" w:hAnsi="Times New Roman" w:cs="Times New Roman"/>
          <w:color w:val="000000"/>
          <w:sz w:val="24"/>
          <w:szCs w:val="24"/>
          <w:lang/>
        </w:rPr>
        <w:t>270.1.1. земельні ділянки, які перебувають у власності або користуванні;</w:t>
      </w:r>
    </w:p>
    <w:p w14:paraId="52F7DD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1" w:name="n6759"/>
      <w:bookmarkEnd w:id="8521"/>
      <w:r w:rsidRPr="008B264B">
        <w:rPr>
          <w:rFonts w:ascii="Times New Roman" w:eastAsia="Times New Roman" w:hAnsi="Times New Roman" w:cs="Times New Roman"/>
          <w:color w:val="000000"/>
          <w:sz w:val="24"/>
          <w:szCs w:val="24"/>
          <w:lang/>
        </w:rPr>
        <w:t>270.1.2. земельні частки (паї), які перебувають у власності.</w:t>
      </w:r>
    </w:p>
    <w:p w14:paraId="0A07D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2" w:name="n6760"/>
      <w:bookmarkEnd w:id="8522"/>
      <w:r w:rsidRPr="008B264B">
        <w:rPr>
          <w:rFonts w:ascii="Times New Roman" w:eastAsia="Times New Roman" w:hAnsi="Times New Roman" w:cs="Times New Roman"/>
          <w:b/>
          <w:bCs/>
          <w:color w:val="000000"/>
          <w:sz w:val="24"/>
          <w:szCs w:val="24"/>
          <w:lang/>
        </w:rPr>
        <w:lastRenderedPageBreak/>
        <w:t>Стаття 271.</w:t>
      </w:r>
      <w:r w:rsidRPr="008B264B">
        <w:rPr>
          <w:rFonts w:ascii="Times New Roman" w:eastAsia="Times New Roman" w:hAnsi="Times New Roman" w:cs="Times New Roman"/>
          <w:color w:val="000000"/>
          <w:sz w:val="24"/>
          <w:szCs w:val="24"/>
          <w:lang/>
        </w:rPr>
        <w:t> База оподаткування земельним податком</w:t>
      </w:r>
    </w:p>
    <w:p w14:paraId="6A4232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3" w:name="n11931"/>
      <w:bookmarkEnd w:id="8523"/>
      <w:r w:rsidRPr="008B264B">
        <w:rPr>
          <w:rFonts w:ascii="Times New Roman" w:eastAsia="Times New Roman" w:hAnsi="Times New Roman" w:cs="Times New Roman"/>
          <w:i/>
          <w:iCs/>
          <w:color w:val="000000"/>
          <w:sz w:val="24"/>
          <w:szCs w:val="24"/>
          <w:lang/>
        </w:rPr>
        <w:t>{Назва статті 271 із змінами, внесеними згідно із Законом </w:t>
      </w:r>
      <w:hyperlink r:id="rId4673" w:anchor="n14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8971F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4" w:name="n6761"/>
      <w:bookmarkEnd w:id="8524"/>
      <w:r w:rsidRPr="008B264B">
        <w:rPr>
          <w:rFonts w:ascii="Times New Roman" w:eastAsia="Times New Roman" w:hAnsi="Times New Roman" w:cs="Times New Roman"/>
          <w:color w:val="000000"/>
          <w:sz w:val="24"/>
          <w:szCs w:val="24"/>
          <w:lang/>
        </w:rPr>
        <w:t>271.1. Базою оподаткування є:</w:t>
      </w:r>
    </w:p>
    <w:p w14:paraId="28B19E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5" w:name="n6762"/>
      <w:bookmarkEnd w:id="8525"/>
      <w:r w:rsidRPr="008B264B">
        <w:rPr>
          <w:rFonts w:ascii="Times New Roman" w:eastAsia="Times New Roman" w:hAnsi="Times New Roman" w:cs="Times New Roman"/>
          <w:color w:val="000000"/>
          <w:sz w:val="24"/>
          <w:szCs w:val="24"/>
          <w:lang/>
        </w:rPr>
        <w:t>271.1.1. нормативна грошова оцінка земельних ділянок з урахуванням коефіцієнта індексації, визначеного відповідно до порядку, встановленого цим розділом;</w:t>
      </w:r>
    </w:p>
    <w:p w14:paraId="412892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6" w:name="n6763"/>
      <w:bookmarkEnd w:id="8526"/>
      <w:r w:rsidRPr="008B264B">
        <w:rPr>
          <w:rFonts w:ascii="Times New Roman" w:eastAsia="Times New Roman" w:hAnsi="Times New Roman" w:cs="Times New Roman"/>
          <w:color w:val="000000"/>
          <w:sz w:val="24"/>
          <w:szCs w:val="24"/>
          <w:lang/>
        </w:rPr>
        <w:t>271.1.2. площа земельних ділянок, нормативну грошову оцінку яких не проведено.</w:t>
      </w:r>
    </w:p>
    <w:p w14:paraId="4C8BE8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7" w:name="n6764"/>
      <w:bookmarkEnd w:id="8527"/>
      <w:r w:rsidRPr="008B264B">
        <w:rPr>
          <w:rFonts w:ascii="Times New Roman" w:eastAsia="Times New Roman" w:hAnsi="Times New Roman" w:cs="Times New Roman"/>
          <w:color w:val="000000"/>
          <w:sz w:val="24"/>
          <w:szCs w:val="24"/>
          <w:lang/>
        </w:rPr>
        <w:t>271.2. Рішення рад щодо нормативної грошової оцінки земельних ділянок офіційно оприлюднюється відповідним органом місцевого самоврядування до 15 липня року, що передує бюджетному періоду, в якому планується застосування нормативної грошової оцінки земель або змін (плановий період). В іншому разі норми відповідних рішень застосовуються не раніше початку бюджетного періоду, що настає за плановим періодом.</w:t>
      </w:r>
    </w:p>
    <w:p w14:paraId="2E6D9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8" w:name="n6765"/>
      <w:bookmarkEnd w:id="8528"/>
      <w:r w:rsidRPr="008B264B">
        <w:rPr>
          <w:rFonts w:ascii="Times New Roman" w:eastAsia="Times New Roman" w:hAnsi="Times New Roman" w:cs="Times New Roman"/>
          <w:i/>
          <w:iCs/>
          <w:color w:val="000000"/>
          <w:sz w:val="24"/>
          <w:szCs w:val="24"/>
          <w:lang/>
        </w:rPr>
        <w:t>{Статтю 271 доповнено пунктом 271.2 згідно із Законом </w:t>
      </w:r>
      <w:hyperlink r:id="rId4674" w:anchor="n41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675" w:anchor="n14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676" w:anchor="n65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E8B60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29" w:name="n6766"/>
      <w:bookmarkEnd w:id="8529"/>
      <w:r w:rsidRPr="008B264B">
        <w:rPr>
          <w:rFonts w:ascii="Times New Roman" w:eastAsia="Times New Roman" w:hAnsi="Times New Roman" w:cs="Times New Roman"/>
          <w:i/>
          <w:iCs/>
          <w:color w:val="000000"/>
          <w:sz w:val="24"/>
          <w:szCs w:val="24"/>
          <w:lang/>
        </w:rPr>
        <w:t>{Статтю 272 виключено на підставі Закону </w:t>
      </w:r>
      <w:hyperlink r:id="rId4677" w:anchor="n141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F4ED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0" w:name="n6771"/>
      <w:bookmarkEnd w:id="8530"/>
      <w:r w:rsidRPr="008B264B">
        <w:rPr>
          <w:rFonts w:ascii="Times New Roman" w:eastAsia="Times New Roman" w:hAnsi="Times New Roman" w:cs="Times New Roman"/>
          <w:b/>
          <w:bCs/>
          <w:color w:val="000000"/>
          <w:sz w:val="24"/>
          <w:szCs w:val="24"/>
          <w:lang/>
        </w:rPr>
        <w:t>Стаття 273.</w:t>
      </w:r>
      <w:r w:rsidRPr="008B264B">
        <w:rPr>
          <w:rFonts w:ascii="Times New Roman" w:eastAsia="Times New Roman" w:hAnsi="Times New Roman" w:cs="Times New Roman"/>
          <w:color w:val="000000"/>
          <w:sz w:val="24"/>
          <w:szCs w:val="24"/>
          <w:lang/>
        </w:rPr>
        <w:t> Оподаткування земельних ділянок, наданих на землях лісогосподарського призначення (незалежно від місцезнаходження), земельним податком</w:t>
      </w:r>
    </w:p>
    <w:p w14:paraId="66398B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1" w:name="n11932"/>
      <w:bookmarkEnd w:id="8531"/>
      <w:r w:rsidRPr="008B264B">
        <w:rPr>
          <w:rFonts w:ascii="Times New Roman" w:eastAsia="Times New Roman" w:hAnsi="Times New Roman" w:cs="Times New Roman"/>
          <w:i/>
          <w:iCs/>
          <w:color w:val="000000"/>
          <w:sz w:val="24"/>
          <w:szCs w:val="24"/>
          <w:lang/>
        </w:rPr>
        <w:t>{Назва статті 273 із змінами, внесеними згідно із Законом </w:t>
      </w:r>
      <w:hyperlink r:id="rId4678" w:anchor="n141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89BA5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2" w:name="n6772"/>
      <w:bookmarkEnd w:id="8532"/>
      <w:r w:rsidRPr="008B264B">
        <w:rPr>
          <w:rFonts w:ascii="Times New Roman" w:eastAsia="Times New Roman" w:hAnsi="Times New Roman" w:cs="Times New Roman"/>
          <w:color w:val="000000"/>
          <w:sz w:val="24"/>
          <w:szCs w:val="24"/>
          <w:lang/>
        </w:rPr>
        <w:t>273.1. Податок за лісові землі складається із земельного податку та рентної плати, що визначається податковим законодавством.</w:t>
      </w:r>
    </w:p>
    <w:p w14:paraId="16289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3" w:name="n11933"/>
      <w:bookmarkEnd w:id="8533"/>
      <w:r w:rsidRPr="008B264B">
        <w:rPr>
          <w:rFonts w:ascii="Times New Roman" w:eastAsia="Times New Roman" w:hAnsi="Times New Roman" w:cs="Times New Roman"/>
          <w:i/>
          <w:iCs/>
          <w:color w:val="000000"/>
          <w:sz w:val="24"/>
          <w:szCs w:val="24"/>
          <w:lang/>
        </w:rPr>
        <w:t>{Пункт 273.1 статті 273 із змінами, внесеними згідно із Законом </w:t>
      </w:r>
      <w:hyperlink r:id="rId4679" w:anchor="n14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в редакції Закону </w:t>
      </w:r>
      <w:hyperlink r:id="rId4680" w:anchor="n21"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EFD51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4" w:name="n6773"/>
      <w:bookmarkEnd w:id="8534"/>
      <w:r w:rsidRPr="008B264B">
        <w:rPr>
          <w:rFonts w:ascii="Times New Roman" w:eastAsia="Times New Roman" w:hAnsi="Times New Roman" w:cs="Times New Roman"/>
          <w:color w:val="000000"/>
          <w:sz w:val="24"/>
          <w:szCs w:val="24"/>
          <w:lang/>
        </w:rPr>
        <w:t>273.2. Ставки податку за один гектар нелісових земель, які надані у встановленому порядку та використовуються для потреб лісового господарства, встановлюються відповідно до статті 274 цього Кодексу.</w:t>
      </w:r>
    </w:p>
    <w:p w14:paraId="471A67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5" w:name="n11934"/>
      <w:bookmarkEnd w:id="8535"/>
      <w:r w:rsidRPr="008B264B">
        <w:rPr>
          <w:rFonts w:ascii="Times New Roman" w:eastAsia="Times New Roman" w:hAnsi="Times New Roman" w:cs="Times New Roman"/>
          <w:i/>
          <w:iCs/>
          <w:color w:val="000000"/>
          <w:sz w:val="24"/>
          <w:szCs w:val="24"/>
          <w:lang/>
        </w:rPr>
        <w:t>{Пункт 273.2 статті 273 із змінами, внесеними згідно із Законом </w:t>
      </w:r>
      <w:hyperlink r:id="rId4681" w:anchor="n141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AF1A6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6" w:name="n6774"/>
      <w:bookmarkEnd w:id="8536"/>
      <w:r w:rsidRPr="008B264B">
        <w:rPr>
          <w:rFonts w:ascii="Times New Roman" w:eastAsia="Times New Roman" w:hAnsi="Times New Roman" w:cs="Times New Roman"/>
          <w:i/>
          <w:iCs/>
          <w:color w:val="000000"/>
          <w:sz w:val="24"/>
          <w:szCs w:val="24"/>
          <w:lang/>
        </w:rPr>
        <w:t>{Підпункт 273.2.1 пункту 273.2 статті 273 виключено на підставі Закону </w:t>
      </w:r>
      <w:hyperlink r:id="rId4682" w:anchor="n14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8428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7" w:name="n6775"/>
      <w:bookmarkEnd w:id="8537"/>
      <w:r w:rsidRPr="008B264B">
        <w:rPr>
          <w:rFonts w:ascii="Times New Roman" w:eastAsia="Times New Roman" w:hAnsi="Times New Roman" w:cs="Times New Roman"/>
          <w:i/>
          <w:iCs/>
          <w:color w:val="000000"/>
          <w:sz w:val="24"/>
          <w:szCs w:val="24"/>
          <w:lang/>
        </w:rPr>
        <w:t>{Підпункт 273.2.2 пункту 273.2 статті 273 виключено на підставі Закону </w:t>
      </w:r>
      <w:hyperlink r:id="rId4683" w:anchor="n141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001D1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8" w:name="n15145"/>
      <w:bookmarkEnd w:id="8538"/>
      <w:r w:rsidRPr="008B264B">
        <w:rPr>
          <w:rFonts w:ascii="Times New Roman" w:eastAsia="Times New Roman" w:hAnsi="Times New Roman" w:cs="Times New Roman"/>
          <w:color w:val="000000"/>
          <w:sz w:val="24"/>
          <w:szCs w:val="24"/>
          <w:lang/>
        </w:rPr>
        <w:t>273.3. Ставки податку за один гектар лісових земель встановлюються відповідно до </w:t>
      </w:r>
      <w:hyperlink r:id="rId4684" w:anchor="n6776" w:history="1">
        <w:r w:rsidRPr="008B264B">
          <w:rPr>
            <w:rFonts w:ascii="Times New Roman" w:eastAsia="Times New Roman" w:hAnsi="Times New Roman" w:cs="Times New Roman"/>
            <w:color w:val="0000FF"/>
            <w:sz w:val="24"/>
            <w:szCs w:val="24"/>
            <w:u w:val="single"/>
            <w:lang/>
          </w:rPr>
          <w:t>статей 274</w:t>
        </w:r>
      </w:hyperlink>
      <w:r w:rsidRPr="008B264B">
        <w:rPr>
          <w:rFonts w:ascii="Times New Roman" w:eastAsia="Times New Roman" w:hAnsi="Times New Roman" w:cs="Times New Roman"/>
          <w:color w:val="000000"/>
          <w:sz w:val="24"/>
          <w:szCs w:val="24"/>
          <w:lang/>
        </w:rPr>
        <w:t> та </w:t>
      </w:r>
      <w:hyperlink r:id="rId4685" w:anchor="n6807" w:history="1">
        <w:r w:rsidRPr="008B264B">
          <w:rPr>
            <w:rFonts w:ascii="Times New Roman" w:eastAsia="Times New Roman" w:hAnsi="Times New Roman" w:cs="Times New Roman"/>
            <w:color w:val="0000FF"/>
            <w:sz w:val="24"/>
            <w:szCs w:val="24"/>
            <w:u w:val="single"/>
            <w:lang/>
          </w:rPr>
          <w:t>277</w:t>
        </w:r>
      </w:hyperlink>
      <w:r w:rsidRPr="008B264B">
        <w:rPr>
          <w:rFonts w:ascii="Times New Roman" w:eastAsia="Times New Roman" w:hAnsi="Times New Roman" w:cs="Times New Roman"/>
          <w:color w:val="000000"/>
          <w:sz w:val="24"/>
          <w:szCs w:val="24"/>
          <w:lang/>
        </w:rPr>
        <w:t> цього Кодексу.</w:t>
      </w:r>
    </w:p>
    <w:p w14:paraId="60DC1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39" w:name="n15146"/>
      <w:bookmarkEnd w:id="8539"/>
      <w:r w:rsidRPr="008B264B">
        <w:rPr>
          <w:rFonts w:ascii="Times New Roman" w:eastAsia="Times New Roman" w:hAnsi="Times New Roman" w:cs="Times New Roman"/>
          <w:i/>
          <w:iCs/>
          <w:color w:val="000000"/>
          <w:sz w:val="24"/>
          <w:szCs w:val="24"/>
          <w:lang/>
        </w:rPr>
        <w:t>{Статтю 273 доповнено пунктом 273.3 згідно із Законом </w:t>
      </w:r>
      <w:hyperlink r:id="rId4686" w:anchor="n23"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75A1DB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0" w:name="n6776"/>
      <w:bookmarkEnd w:id="8540"/>
      <w:r w:rsidRPr="008B264B">
        <w:rPr>
          <w:rFonts w:ascii="Times New Roman" w:eastAsia="Times New Roman" w:hAnsi="Times New Roman" w:cs="Times New Roman"/>
          <w:b/>
          <w:bCs/>
          <w:color w:val="000000"/>
          <w:sz w:val="24"/>
          <w:szCs w:val="24"/>
          <w:lang/>
        </w:rPr>
        <w:t>Стаття 274.</w:t>
      </w:r>
      <w:r w:rsidRPr="008B264B">
        <w:rPr>
          <w:rFonts w:ascii="Times New Roman" w:eastAsia="Times New Roman" w:hAnsi="Times New Roman" w:cs="Times New Roman"/>
          <w:color w:val="000000"/>
          <w:sz w:val="24"/>
          <w:szCs w:val="24"/>
          <w:lang/>
        </w:rPr>
        <w:t> Ставка земельного податку за земельні ділянки, нормативну грошову оцінку яких проведено (незалежно від місцезнаходження)</w:t>
      </w:r>
    </w:p>
    <w:p w14:paraId="5D6043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1" w:name="n11935"/>
      <w:bookmarkEnd w:id="8541"/>
      <w:r w:rsidRPr="008B264B">
        <w:rPr>
          <w:rFonts w:ascii="Times New Roman" w:eastAsia="Times New Roman" w:hAnsi="Times New Roman" w:cs="Times New Roman"/>
          <w:i/>
          <w:iCs/>
          <w:color w:val="000000"/>
          <w:sz w:val="24"/>
          <w:szCs w:val="24"/>
          <w:lang/>
        </w:rPr>
        <w:t>{Назва статті 274 із змінами, внесеними згідно із Законом </w:t>
      </w:r>
      <w:hyperlink r:id="rId4687" w:anchor="n141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102B1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2" w:name="n6777"/>
      <w:bookmarkEnd w:id="8542"/>
      <w:r w:rsidRPr="008B264B">
        <w:rPr>
          <w:rFonts w:ascii="Times New Roman" w:eastAsia="Times New Roman" w:hAnsi="Times New Roman" w:cs="Times New Roman"/>
          <w:color w:val="000000"/>
          <w:sz w:val="24"/>
          <w:szCs w:val="24"/>
          <w:lang/>
        </w:rPr>
        <w:t>274.1. Ставка податку за земельні ділянки, нормативну грошову оцінку яких проведено, встановлюється у розмірі не більше 3 відсотків від їх нормативної грошової оцінки, для земель загального користування - не більше 1 відсотка від їх нормативної грошової оцінки, а для сільськогосподарських угідь - не менше 0,3 відсотка та не більше 1 відсотка від їх нормативної грошової оцінки, а для лісових земель - не більше 0,1 відсотка від їх нормативної грошової оцінки.</w:t>
      </w:r>
    </w:p>
    <w:p w14:paraId="6F5B5F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3" w:name="n6778"/>
      <w:bookmarkEnd w:id="8543"/>
      <w:r w:rsidRPr="008B264B">
        <w:rPr>
          <w:rFonts w:ascii="Times New Roman" w:eastAsia="Times New Roman" w:hAnsi="Times New Roman" w:cs="Times New Roman"/>
          <w:i/>
          <w:iCs/>
          <w:color w:val="000000"/>
          <w:sz w:val="24"/>
          <w:szCs w:val="24"/>
          <w:lang/>
        </w:rPr>
        <w:lastRenderedPageBreak/>
        <w:t>{Пункт 274.1 статті 274 із змінами, внесеними згідно із Законами </w:t>
      </w:r>
      <w:hyperlink r:id="rId4688" w:anchor="n41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689" w:anchor="n141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690" w:anchor="n64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4691" w:anchor="n12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692" w:anchor="n65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F6CAB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4" w:name="n11937"/>
      <w:bookmarkEnd w:id="8544"/>
      <w:r w:rsidRPr="008B264B">
        <w:rPr>
          <w:rFonts w:ascii="Times New Roman" w:eastAsia="Times New Roman" w:hAnsi="Times New Roman" w:cs="Times New Roman"/>
          <w:color w:val="000000"/>
          <w:sz w:val="24"/>
          <w:szCs w:val="24"/>
          <w:lang/>
        </w:rPr>
        <w:t>274.2. Ставка податку встановлюється у розмірі не більше 12 відсотків від їх нормативної грошової оцінки за земельні ділянки, які перебувають у постійному користуванні суб’єктів господарювання (крім державної та комунальної форми власності).</w:t>
      </w:r>
    </w:p>
    <w:p w14:paraId="270DE8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5" w:name="n11936"/>
      <w:bookmarkEnd w:id="8545"/>
      <w:r w:rsidRPr="008B264B">
        <w:rPr>
          <w:rFonts w:ascii="Times New Roman" w:eastAsia="Times New Roman" w:hAnsi="Times New Roman" w:cs="Times New Roman"/>
          <w:i/>
          <w:iCs/>
          <w:color w:val="000000"/>
          <w:sz w:val="24"/>
          <w:szCs w:val="24"/>
          <w:lang/>
        </w:rPr>
        <w:t>{Статтю 274 доповнено пунктом 274.2 згідно із Законом </w:t>
      </w:r>
      <w:hyperlink r:id="rId4693" w:anchor="n141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B9161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6" w:name="n6779"/>
      <w:bookmarkEnd w:id="8546"/>
      <w:r w:rsidRPr="008B264B">
        <w:rPr>
          <w:rFonts w:ascii="Times New Roman" w:eastAsia="Times New Roman" w:hAnsi="Times New Roman" w:cs="Times New Roman"/>
          <w:i/>
          <w:iCs/>
          <w:color w:val="000000"/>
          <w:sz w:val="24"/>
          <w:szCs w:val="24"/>
          <w:lang/>
        </w:rPr>
        <w:t>{Статтю 275 виключено на підставі Закону </w:t>
      </w:r>
      <w:hyperlink r:id="rId4694" w:anchor="n14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36523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7" w:name="n6793"/>
      <w:bookmarkEnd w:id="8547"/>
      <w:r w:rsidRPr="008B264B">
        <w:rPr>
          <w:rFonts w:ascii="Times New Roman" w:eastAsia="Times New Roman" w:hAnsi="Times New Roman" w:cs="Times New Roman"/>
          <w:i/>
          <w:iCs/>
          <w:color w:val="000000"/>
          <w:sz w:val="24"/>
          <w:szCs w:val="24"/>
          <w:lang/>
        </w:rPr>
        <w:t>{Статтю 276 виключено на підставі Закону </w:t>
      </w:r>
      <w:hyperlink r:id="rId4695" w:anchor="n14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A0603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8" w:name="n6807"/>
      <w:bookmarkEnd w:id="8548"/>
      <w:r w:rsidRPr="008B264B">
        <w:rPr>
          <w:rFonts w:ascii="Times New Roman" w:eastAsia="Times New Roman" w:hAnsi="Times New Roman" w:cs="Times New Roman"/>
          <w:b/>
          <w:bCs/>
          <w:color w:val="000000"/>
          <w:sz w:val="24"/>
          <w:szCs w:val="24"/>
          <w:lang/>
        </w:rPr>
        <w:t>Стаття 277.</w:t>
      </w:r>
      <w:r w:rsidRPr="008B264B">
        <w:rPr>
          <w:rFonts w:ascii="Times New Roman" w:eastAsia="Times New Roman" w:hAnsi="Times New Roman" w:cs="Times New Roman"/>
          <w:color w:val="000000"/>
          <w:sz w:val="24"/>
          <w:szCs w:val="24"/>
          <w:lang/>
        </w:rPr>
        <w:t> Ставки земельного податку за земельні ділянки, нормативну грошову оцінку яких не проведено</w:t>
      </w:r>
    </w:p>
    <w:p w14:paraId="23B96B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49" w:name="n6809"/>
      <w:bookmarkEnd w:id="8549"/>
      <w:r w:rsidRPr="008B264B">
        <w:rPr>
          <w:rFonts w:ascii="Times New Roman" w:eastAsia="Times New Roman" w:hAnsi="Times New Roman" w:cs="Times New Roman"/>
          <w:color w:val="000000"/>
          <w:sz w:val="24"/>
          <w:szCs w:val="24"/>
          <w:lang/>
        </w:rPr>
        <w:t>277.1. Ставка податку за земельні ділянки, розташовані за межами населених пунктів або в межах населених пунктів, встановлюється у розмірі не більше 5 відсотків від нормативної грошової оцінки одиниці площі ріллі по Автономній Республіці Крим або по області, а для сільськогосподарських угідь - не менше 0,3 відсотка та не більше 5 відсотків від нормативної грошової оцінки одиниці площі ріллі по Автономній Республіці Крим або по області, а для лісових земель - не більше 0,1 відсотка від нормативної грошової оцінки площі ріллі по Автономній Республіці Крим або по області.</w:t>
      </w:r>
    </w:p>
    <w:p w14:paraId="1B5EE9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0" w:name="n6810"/>
      <w:bookmarkEnd w:id="8550"/>
      <w:r w:rsidRPr="008B264B">
        <w:rPr>
          <w:rFonts w:ascii="Times New Roman" w:eastAsia="Times New Roman" w:hAnsi="Times New Roman" w:cs="Times New Roman"/>
          <w:i/>
          <w:iCs/>
          <w:color w:val="000000"/>
          <w:sz w:val="24"/>
          <w:szCs w:val="24"/>
          <w:lang/>
        </w:rPr>
        <w:t>{Стаття 277 із змінами, внесеними згідно із Законами </w:t>
      </w:r>
      <w:hyperlink r:id="rId4696" w:anchor="n41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697" w:anchor="n142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698" w:anchor="n12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в редакції Закону </w:t>
      </w:r>
      <w:hyperlink r:id="rId4699" w:anchor="n65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33528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1" w:name="n6811"/>
      <w:bookmarkEnd w:id="8551"/>
      <w:r w:rsidRPr="008B264B">
        <w:rPr>
          <w:rFonts w:ascii="Times New Roman" w:eastAsia="Times New Roman" w:hAnsi="Times New Roman" w:cs="Times New Roman"/>
          <w:i/>
          <w:iCs/>
          <w:color w:val="000000"/>
          <w:sz w:val="24"/>
          <w:szCs w:val="24"/>
          <w:lang/>
        </w:rPr>
        <w:t>{Статтю 278 виключено на підставі Закону </w:t>
      </w:r>
      <w:hyperlink r:id="rId4700" w:anchor="n14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5F38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2" w:name="n6818"/>
      <w:bookmarkEnd w:id="8552"/>
      <w:r w:rsidRPr="008B264B">
        <w:rPr>
          <w:rFonts w:ascii="Times New Roman" w:eastAsia="Times New Roman" w:hAnsi="Times New Roman" w:cs="Times New Roman"/>
          <w:i/>
          <w:iCs/>
          <w:color w:val="000000"/>
          <w:sz w:val="24"/>
          <w:szCs w:val="24"/>
          <w:lang/>
        </w:rPr>
        <w:t>{Статтю 279 виключено на підставі Закону </w:t>
      </w:r>
      <w:hyperlink r:id="rId4701" w:anchor="n14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4FFA3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3" w:name="n6820"/>
      <w:bookmarkEnd w:id="8553"/>
      <w:r w:rsidRPr="008B264B">
        <w:rPr>
          <w:rFonts w:ascii="Times New Roman" w:eastAsia="Times New Roman" w:hAnsi="Times New Roman" w:cs="Times New Roman"/>
          <w:i/>
          <w:iCs/>
          <w:color w:val="000000"/>
          <w:sz w:val="24"/>
          <w:szCs w:val="24"/>
          <w:lang/>
        </w:rPr>
        <w:t>{Статтю 280 виключено на підставі Закону </w:t>
      </w:r>
      <w:hyperlink r:id="rId4702" w:anchor="n14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E2616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4" w:name="n6823"/>
      <w:bookmarkEnd w:id="8554"/>
      <w:r w:rsidRPr="008B264B">
        <w:rPr>
          <w:rFonts w:ascii="Times New Roman" w:eastAsia="Times New Roman" w:hAnsi="Times New Roman" w:cs="Times New Roman"/>
          <w:b/>
          <w:bCs/>
          <w:color w:val="000000"/>
          <w:sz w:val="24"/>
          <w:szCs w:val="24"/>
          <w:lang/>
        </w:rPr>
        <w:t>Стаття 281.</w:t>
      </w:r>
      <w:r w:rsidRPr="008B264B">
        <w:rPr>
          <w:rFonts w:ascii="Times New Roman" w:eastAsia="Times New Roman" w:hAnsi="Times New Roman" w:cs="Times New Roman"/>
          <w:color w:val="000000"/>
          <w:sz w:val="24"/>
          <w:szCs w:val="24"/>
          <w:lang/>
        </w:rPr>
        <w:t> Пільги щодо сплати земельного податку для фізичних осіб</w:t>
      </w:r>
    </w:p>
    <w:p w14:paraId="563FE7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5" w:name="n11939"/>
      <w:bookmarkEnd w:id="8555"/>
      <w:r w:rsidRPr="008B264B">
        <w:rPr>
          <w:rFonts w:ascii="Times New Roman" w:eastAsia="Times New Roman" w:hAnsi="Times New Roman" w:cs="Times New Roman"/>
          <w:i/>
          <w:iCs/>
          <w:color w:val="000000"/>
          <w:sz w:val="24"/>
          <w:szCs w:val="24"/>
          <w:lang/>
        </w:rPr>
        <w:t>{Назва статті 281 із змінами, внесеними згідно із Законом </w:t>
      </w:r>
      <w:hyperlink r:id="rId4703" w:anchor="n14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C8FA4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6" w:name="n6824"/>
      <w:bookmarkEnd w:id="8556"/>
      <w:r w:rsidRPr="008B264B">
        <w:rPr>
          <w:rFonts w:ascii="Times New Roman" w:eastAsia="Times New Roman" w:hAnsi="Times New Roman" w:cs="Times New Roman"/>
          <w:color w:val="000000"/>
          <w:sz w:val="24"/>
          <w:szCs w:val="24"/>
          <w:lang/>
        </w:rPr>
        <w:t>281.1. Від сплати податку звільняються:</w:t>
      </w:r>
    </w:p>
    <w:p w14:paraId="5D9962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7" w:name="n6825"/>
      <w:bookmarkEnd w:id="8557"/>
      <w:r w:rsidRPr="008B264B">
        <w:rPr>
          <w:rFonts w:ascii="Times New Roman" w:eastAsia="Times New Roman" w:hAnsi="Times New Roman" w:cs="Times New Roman"/>
          <w:color w:val="000000"/>
          <w:sz w:val="24"/>
          <w:szCs w:val="24"/>
          <w:lang/>
        </w:rPr>
        <w:t>281.1.1. особи з інвалідністю першої і другої групи;</w:t>
      </w:r>
    </w:p>
    <w:p w14:paraId="6063D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8" w:name="n6826"/>
      <w:bookmarkEnd w:id="8558"/>
      <w:r w:rsidRPr="008B264B">
        <w:rPr>
          <w:rFonts w:ascii="Times New Roman" w:eastAsia="Times New Roman" w:hAnsi="Times New Roman" w:cs="Times New Roman"/>
          <w:color w:val="000000"/>
          <w:sz w:val="24"/>
          <w:szCs w:val="24"/>
          <w:lang/>
        </w:rPr>
        <w:t>281.1.2. фізичні особи, які виховують трьох і більше дітей віком до 18 років;</w:t>
      </w:r>
    </w:p>
    <w:p w14:paraId="71E20C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59" w:name="n6827"/>
      <w:bookmarkEnd w:id="8559"/>
      <w:r w:rsidRPr="008B264B">
        <w:rPr>
          <w:rFonts w:ascii="Times New Roman" w:eastAsia="Times New Roman" w:hAnsi="Times New Roman" w:cs="Times New Roman"/>
          <w:color w:val="000000"/>
          <w:sz w:val="24"/>
          <w:szCs w:val="24"/>
          <w:lang/>
        </w:rPr>
        <w:t>281.1.3. пенсіонери (за віком);</w:t>
      </w:r>
    </w:p>
    <w:p w14:paraId="0810A0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0" w:name="n6828"/>
      <w:bookmarkEnd w:id="8560"/>
      <w:r w:rsidRPr="008B264B">
        <w:rPr>
          <w:rFonts w:ascii="Times New Roman" w:eastAsia="Times New Roman" w:hAnsi="Times New Roman" w:cs="Times New Roman"/>
          <w:color w:val="000000"/>
          <w:sz w:val="24"/>
          <w:szCs w:val="24"/>
          <w:lang/>
        </w:rPr>
        <w:t>281.1.4. ветерани війни та особи, на яких поширюється дія </w:t>
      </w:r>
      <w:hyperlink r:id="rId4704" w:tgtFrame="_blank" w:history="1">
        <w:r w:rsidRPr="008B264B">
          <w:rPr>
            <w:rFonts w:ascii="Times New Roman" w:eastAsia="Times New Roman" w:hAnsi="Times New Roman" w:cs="Times New Roman"/>
            <w:color w:val="0000FF"/>
            <w:sz w:val="24"/>
            <w:szCs w:val="24"/>
            <w:u w:val="single"/>
            <w:lang/>
          </w:rPr>
          <w:t>Закону України "Про статус ветеранів війни, гарантії їх соціального захисту"</w:t>
        </w:r>
      </w:hyperlink>
      <w:r w:rsidRPr="008B264B">
        <w:rPr>
          <w:rFonts w:ascii="Times New Roman" w:eastAsia="Times New Roman" w:hAnsi="Times New Roman" w:cs="Times New Roman"/>
          <w:color w:val="000000"/>
          <w:sz w:val="24"/>
          <w:szCs w:val="24"/>
          <w:lang/>
        </w:rPr>
        <w:t>;</w:t>
      </w:r>
    </w:p>
    <w:p w14:paraId="00ED4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1" w:name="n6829"/>
      <w:bookmarkEnd w:id="8561"/>
      <w:r w:rsidRPr="008B264B">
        <w:rPr>
          <w:rFonts w:ascii="Times New Roman" w:eastAsia="Times New Roman" w:hAnsi="Times New Roman" w:cs="Times New Roman"/>
          <w:color w:val="000000"/>
          <w:sz w:val="24"/>
          <w:szCs w:val="24"/>
          <w:lang/>
        </w:rPr>
        <w:t>281.1.5. фізичні особи, визнані законом особами, які постраждали внаслідок Чорнобильської катастрофи.</w:t>
      </w:r>
    </w:p>
    <w:p w14:paraId="297644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2" w:name="n6830"/>
      <w:bookmarkEnd w:id="8562"/>
      <w:r w:rsidRPr="008B264B">
        <w:rPr>
          <w:rFonts w:ascii="Times New Roman" w:eastAsia="Times New Roman" w:hAnsi="Times New Roman" w:cs="Times New Roman"/>
          <w:color w:val="000000"/>
          <w:sz w:val="24"/>
          <w:szCs w:val="24"/>
          <w:lang/>
        </w:rPr>
        <w:t>281.2. Звільнення від сплати податку за земельні ділянки, передбачене для відповідної категорії фізичних осіб пунктом 281.1 цієї статті, поширюється на земельні ділянки за кожним видом використання у межах граничних норм:</w:t>
      </w:r>
    </w:p>
    <w:p w14:paraId="393065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3" w:name="n14906"/>
      <w:bookmarkEnd w:id="8563"/>
      <w:r w:rsidRPr="008B264B">
        <w:rPr>
          <w:rFonts w:ascii="Times New Roman" w:eastAsia="Times New Roman" w:hAnsi="Times New Roman" w:cs="Times New Roman"/>
          <w:i/>
          <w:iCs/>
          <w:color w:val="000000"/>
          <w:sz w:val="24"/>
          <w:szCs w:val="24"/>
          <w:lang/>
        </w:rPr>
        <w:t>{Абзац перший пункту 281.2 статті 281 в редакції Закону </w:t>
      </w:r>
      <w:hyperlink r:id="rId4705" w:anchor="n37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0C354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4" w:name="n6831"/>
      <w:bookmarkEnd w:id="8564"/>
      <w:r w:rsidRPr="008B264B">
        <w:rPr>
          <w:rFonts w:ascii="Times New Roman" w:eastAsia="Times New Roman" w:hAnsi="Times New Roman" w:cs="Times New Roman"/>
          <w:color w:val="000000"/>
          <w:sz w:val="24"/>
          <w:szCs w:val="24"/>
          <w:lang/>
        </w:rPr>
        <w:t>281.2.1. для ведення особистого селянського господарства - у розмірі не більш як 2 гектари;</w:t>
      </w:r>
    </w:p>
    <w:p w14:paraId="308257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5" w:name="n6832"/>
      <w:bookmarkEnd w:id="8565"/>
      <w:r w:rsidRPr="008B264B">
        <w:rPr>
          <w:rFonts w:ascii="Times New Roman" w:eastAsia="Times New Roman" w:hAnsi="Times New Roman" w:cs="Times New Roman"/>
          <w:color w:val="000000"/>
          <w:sz w:val="24"/>
          <w:szCs w:val="24"/>
          <w:lang/>
        </w:rPr>
        <w:t>281.2.2. для будівництва та обслуговування житлового будинку, господарських будівель і споруд (присадибна ділянка): у селах - не більш як 0,25 гектара, в селищах - не більш як 0,15 гектара, в містах - не більш як 0,10 гектара;</w:t>
      </w:r>
    </w:p>
    <w:p w14:paraId="135A6F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6" w:name="n6833"/>
      <w:bookmarkEnd w:id="8566"/>
      <w:r w:rsidRPr="008B264B">
        <w:rPr>
          <w:rFonts w:ascii="Times New Roman" w:eastAsia="Times New Roman" w:hAnsi="Times New Roman" w:cs="Times New Roman"/>
          <w:color w:val="000000"/>
          <w:sz w:val="24"/>
          <w:szCs w:val="24"/>
          <w:lang/>
        </w:rPr>
        <w:t>281.2.3. для індивідуального дачного будівництва - не більш як 0,10 гектара;</w:t>
      </w:r>
    </w:p>
    <w:p w14:paraId="0F6C74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7" w:name="n6834"/>
      <w:bookmarkEnd w:id="8567"/>
      <w:r w:rsidRPr="008B264B">
        <w:rPr>
          <w:rFonts w:ascii="Times New Roman" w:eastAsia="Times New Roman" w:hAnsi="Times New Roman" w:cs="Times New Roman"/>
          <w:color w:val="000000"/>
          <w:sz w:val="24"/>
          <w:szCs w:val="24"/>
          <w:lang/>
        </w:rPr>
        <w:lastRenderedPageBreak/>
        <w:t>281.2.4. для будівництва індивідуальних гаражів - не більш як 0,01 гектара;</w:t>
      </w:r>
    </w:p>
    <w:p w14:paraId="4EC9AD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8" w:name="n6835"/>
      <w:bookmarkEnd w:id="8568"/>
      <w:r w:rsidRPr="008B264B">
        <w:rPr>
          <w:rFonts w:ascii="Times New Roman" w:eastAsia="Times New Roman" w:hAnsi="Times New Roman" w:cs="Times New Roman"/>
          <w:color w:val="000000"/>
          <w:sz w:val="24"/>
          <w:szCs w:val="24"/>
          <w:lang/>
        </w:rPr>
        <w:t>281.2.5. для ведення садівництва - не більш як 0,12 гектара.</w:t>
      </w:r>
    </w:p>
    <w:p w14:paraId="2A053C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69" w:name="n6836"/>
      <w:bookmarkEnd w:id="8569"/>
      <w:r w:rsidRPr="008B264B">
        <w:rPr>
          <w:rFonts w:ascii="Times New Roman" w:eastAsia="Times New Roman" w:hAnsi="Times New Roman" w:cs="Times New Roman"/>
          <w:color w:val="000000"/>
          <w:sz w:val="24"/>
          <w:szCs w:val="24"/>
          <w:lang/>
        </w:rPr>
        <w:t>281.3. Від сплати податку звільняються на період дії єдиного податку четвертої групи власники земельних ділянок, земельних часток (паїв) та землекористувачі за умови передачі земельних ділянок та земельних часток (паїв) в оренду платнику єдиного податку четвертої групи.</w:t>
      </w:r>
    </w:p>
    <w:p w14:paraId="25EF4B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0" w:name="n6837"/>
      <w:bookmarkEnd w:id="8570"/>
      <w:r w:rsidRPr="008B264B">
        <w:rPr>
          <w:rFonts w:ascii="Times New Roman" w:eastAsia="Times New Roman" w:hAnsi="Times New Roman" w:cs="Times New Roman"/>
          <w:i/>
          <w:iCs/>
          <w:color w:val="000000"/>
          <w:sz w:val="24"/>
          <w:szCs w:val="24"/>
          <w:lang/>
        </w:rPr>
        <w:t>{Статтю 281 доповнено пунктом 281.3 згідно із Законом </w:t>
      </w:r>
      <w:hyperlink r:id="rId470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07" w:anchor="n143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1E12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1" w:name="n14382"/>
      <w:bookmarkEnd w:id="8571"/>
      <w:r w:rsidRPr="008B264B">
        <w:rPr>
          <w:rFonts w:ascii="Times New Roman" w:eastAsia="Times New Roman" w:hAnsi="Times New Roman" w:cs="Times New Roman"/>
          <w:color w:val="000000"/>
          <w:sz w:val="24"/>
          <w:szCs w:val="24"/>
          <w:lang/>
        </w:rPr>
        <w:t>281.4. Якщо фізична особа, визначена у </w:t>
      </w:r>
      <w:hyperlink r:id="rId4708" w:anchor="n6824" w:history="1">
        <w:r w:rsidRPr="008B264B">
          <w:rPr>
            <w:rFonts w:ascii="Times New Roman" w:eastAsia="Times New Roman" w:hAnsi="Times New Roman" w:cs="Times New Roman"/>
            <w:color w:val="0000FF"/>
            <w:sz w:val="24"/>
            <w:szCs w:val="24"/>
            <w:u w:val="single"/>
            <w:lang/>
          </w:rPr>
          <w:t>пункті 281.1</w:t>
        </w:r>
      </w:hyperlink>
      <w:r w:rsidRPr="008B264B">
        <w:rPr>
          <w:rFonts w:ascii="Times New Roman" w:eastAsia="Times New Roman" w:hAnsi="Times New Roman" w:cs="Times New Roman"/>
          <w:color w:val="000000"/>
          <w:sz w:val="24"/>
          <w:szCs w:val="24"/>
          <w:lang/>
        </w:rPr>
        <w:t> цієї статті, має у власності декілька земельних ділянок одного виду використання, то така особа до 1 травня поточного року подає письмову заяву у довільній формі до контролюючого органу за місцем знаходження земельної ділянки про самостійне обрання/зміну земельної ділянки для застосування пільги.</w:t>
      </w:r>
    </w:p>
    <w:p w14:paraId="64B5B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2" w:name="n14383"/>
      <w:bookmarkEnd w:id="8572"/>
      <w:r w:rsidRPr="008B264B">
        <w:rPr>
          <w:rFonts w:ascii="Times New Roman" w:eastAsia="Times New Roman" w:hAnsi="Times New Roman" w:cs="Times New Roman"/>
          <w:color w:val="000000"/>
          <w:sz w:val="24"/>
          <w:szCs w:val="24"/>
          <w:lang/>
        </w:rPr>
        <w:t>Пільга починає застосовуватися до обраної земельної ділянки з базового податкового (звітного) періоду, у якому подано таку заяву.</w:t>
      </w:r>
    </w:p>
    <w:p w14:paraId="29A09A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3" w:name="n14381"/>
      <w:bookmarkEnd w:id="8573"/>
      <w:r w:rsidRPr="008B264B">
        <w:rPr>
          <w:rFonts w:ascii="Times New Roman" w:eastAsia="Times New Roman" w:hAnsi="Times New Roman" w:cs="Times New Roman"/>
          <w:i/>
          <w:iCs/>
          <w:color w:val="000000"/>
          <w:sz w:val="24"/>
          <w:szCs w:val="24"/>
          <w:lang/>
        </w:rPr>
        <w:t>{Статтю 281 доповнено пунктом 281.4 згідно із Законом </w:t>
      </w:r>
      <w:hyperlink r:id="rId4709" w:anchor="n13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15343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4" w:name="n6838"/>
      <w:bookmarkEnd w:id="8574"/>
      <w:r w:rsidRPr="008B264B">
        <w:rPr>
          <w:rFonts w:ascii="Times New Roman" w:eastAsia="Times New Roman" w:hAnsi="Times New Roman" w:cs="Times New Roman"/>
          <w:b/>
          <w:bCs/>
          <w:color w:val="000000"/>
          <w:sz w:val="24"/>
          <w:szCs w:val="24"/>
          <w:lang/>
        </w:rPr>
        <w:t>Стаття 282.</w:t>
      </w:r>
      <w:r w:rsidRPr="008B264B">
        <w:rPr>
          <w:rFonts w:ascii="Times New Roman" w:eastAsia="Times New Roman" w:hAnsi="Times New Roman" w:cs="Times New Roman"/>
          <w:color w:val="000000"/>
          <w:sz w:val="24"/>
          <w:szCs w:val="24"/>
          <w:lang/>
        </w:rPr>
        <w:t> Пільги щодо сплати податку для юридичних осіб</w:t>
      </w:r>
    </w:p>
    <w:p w14:paraId="42466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5" w:name="n11941"/>
      <w:bookmarkEnd w:id="8575"/>
      <w:r w:rsidRPr="008B264B">
        <w:rPr>
          <w:rFonts w:ascii="Times New Roman" w:eastAsia="Times New Roman" w:hAnsi="Times New Roman" w:cs="Times New Roman"/>
          <w:color w:val="000000"/>
          <w:sz w:val="24"/>
          <w:szCs w:val="24"/>
          <w:lang/>
        </w:rPr>
        <w:t>282.1. Від сплати податку звільняються:</w:t>
      </w:r>
    </w:p>
    <w:p w14:paraId="224469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6" w:name="n11942"/>
      <w:bookmarkEnd w:id="8576"/>
      <w:r w:rsidRPr="008B264B">
        <w:rPr>
          <w:rFonts w:ascii="Times New Roman" w:eastAsia="Times New Roman" w:hAnsi="Times New Roman" w:cs="Times New Roman"/>
          <w:color w:val="000000"/>
          <w:sz w:val="24"/>
          <w:szCs w:val="24"/>
          <w:lang/>
        </w:rPr>
        <w:t>282.1.1. санаторно-курортні та оздоровчі заклади громадських об’єднань осіб з інвалідністю, реабілітаційні установи громадських об’єднань осіб з інвалідністю;</w:t>
      </w:r>
    </w:p>
    <w:p w14:paraId="358C6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7" w:name="n11943"/>
      <w:bookmarkEnd w:id="8577"/>
      <w:r w:rsidRPr="008B264B">
        <w:rPr>
          <w:rFonts w:ascii="Times New Roman" w:eastAsia="Times New Roman" w:hAnsi="Times New Roman" w:cs="Times New Roman"/>
          <w:color w:val="000000"/>
          <w:sz w:val="24"/>
          <w:szCs w:val="24"/>
          <w:lang/>
        </w:rPr>
        <w:t>282.1.2. громадські об’єднання осіб з інвалідністю України, підприємства та організації, які засновані громадськими об’єднаннями осіб з інвалідністю та спілками громадських об’єднань осіб з інвалідністю і є їх повною власністю, де протягом попереднього календарного місяця кількість осіб з інвалідністю, які мають там основне місце роботи, становить не менш як 50 відсотків середньооблікової чисельності штатних працівників облікового складу за умови, що фонд оплати праці таких осіб з інвалідністю становить протягом звітного періоду не менш як 25 відсотків суми загальних витрат на оплату праці.</w:t>
      </w:r>
    </w:p>
    <w:p w14:paraId="667496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8" w:name="n11944"/>
      <w:bookmarkEnd w:id="8578"/>
      <w:r w:rsidRPr="008B264B">
        <w:rPr>
          <w:rFonts w:ascii="Times New Roman" w:eastAsia="Times New Roman" w:hAnsi="Times New Roman" w:cs="Times New Roman"/>
          <w:color w:val="000000"/>
          <w:sz w:val="24"/>
          <w:szCs w:val="24"/>
          <w:lang/>
        </w:rPr>
        <w:t>Зазначені підприємства та організації громадських об’єднань осіб з інвалідністю мають право застосовувати цю пільгу за наявності дозволу на право користування такою пільгою, який надається уповноваженим органом відповідно до </w:t>
      </w:r>
      <w:hyperlink r:id="rId471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основи соціальної захищеності осіб з інвалідністю в Україні".</w:t>
      </w:r>
    </w:p>
    <w:p w14:paraId="21CDD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79" w:name="n15830"/>
      <w:bookmarkEnd w:id="8579"/>
      <w:r w:rsidRPr="008B264B">
        <w:rPr>
          <w:rFonts w:ascii="Times New Roman" w:eastAsia="Times New Roman" w:hAnsi="Times New Roman" w:cs="Times New Roman"/>
          <w:i/>
          <w:iCs/>
          <w:color w:val="000000"/>
          <w:sz w:val="24"/>
          <w:szCs w:val="24"/>
          <w:lang/>
        </w:rPr>
        <w:t>{Абзац другий підпункту 282.1.2 пункту 282.1 статті 282 із змінами, внесеними згідно із Законом </w:t>
      </w:r>
      <w:hyperlink r:id="rId4711" w:anchor="n6"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7185B1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0" w:name="n11945"/>
      <w:bookmarkEnd w:id="8580"/>
      <w:r w:rsidRPr="008B264B">
        <w:rPr>
          <w:rFonts w:ascii="Times New Roman" w:eastAsia="Times New Roman" w:hAnsi="Times New Roman" w:cs="Times New Roman"/>
          <w:color w:val="000000"/>
          <w:sz w:val="24"/>
          <w:szCs w:val="24"/>
          <w:lang/>
        </w:rPr>
        <w:t>У разі порушення вимог цієї норми зазначені громадські об’єднання осіб з інвалідністю, їх підприємства та організації зобов’язані сплатити суми податку за відповідний період, проіндексовані з урахуванням інфляції, а також штрафні санкції згідно із законодавством;</w:t>
      </w:r>
    </w:p>
    <w:p w14:paraId="30EDAF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1" w:name="n11946"/>
      <w:bookmarkEnd w:id="8581"/>
      <w:r w:rsidRPr="008B264B">
        <w:rPr>
          <w:rFonts w:ascii="Times New Roman" w:eastAsia="Times New Roman" w:hAnsi="Times New Roman" w:cs="Times New Roman"/>
          <w:color w:val="000000"/>
          <w:sz w:val="24"/>
          <w:szCs w:val="24"/>
          <w:lang/>
        </w:rPr>
        <w:t>282.1.3. бази олімпійської та паралімпійської підготовки, </w:t>
      </w:r>
      <w:hyperlink r:id="rId4712" w:anchor="n15"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яких затверджується Кабінетом Міністрів України.</w:t>
      </w:r>
    </w:p>
    <w:p w14:paraId="2971C3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2" w:name="n11940"/>
      <w:bookmarkEnd w:id="8582"/>
      <w:r w:rsidRPr="008B264B">
        <w:rPr>
          <w:rFonts w:ascii="Times New Roman" w:eastAsia="Times New Roman" w:hAnsi="Times New Roman" w:cs="Times New Roman"/>
          <w:i/>
          <w:iCs/>
          <w:color w:val="000000"/>
          <w:sz w:val="24"/>
          <w:szCs w:val="24"/>
          <w:lang/>
        </w:rPr>
        <w:t>{Стаття 282 із змінами, внесеними згідно із Законами </w:t>
      </w:r>
      <w:hyperlink r:id="rId471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714" w:anchor="n28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715" w:anchor="n143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C5C1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3" w:name="n12486"/>
      <w:bookmarkEnd w:id="8583"/>
      <w:r w:rsidRPr="008B264B">
        <w:rPr>
          <w:rFonts w:ascii="Times New Roman" w:eastAsia="Times New Roman" w:hAnsi="Times New Roman" w:cs="Times New Roman"/>
          <w:color w:val="000000"/>
          <w:sz w:val="24"/>
          <w:szCs w:val="24"/>
          <w:lang/>
        </w:rPr>
        <w:t>282.1.4. дошкільні та загальноосвітні навчальні заклади незалежно від форми власності і джерел фінансування, заклади культури, науки (крім національних та державних дендрологічних парків), освіти, охорони здоров’я, соціального захисту, фізичної культури та спорту, які повністю утримуються за рахунок коштів державного або місцевих бюджетів.</w:t>
      </w:r>
    </w:p>
    <w:p w14:paraId="4527D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4" w:name="n12485"/>
      <w:bookmarkEnd w:id="8584"/>
      <w:r w:rsidRPr="008B264B">
        <w:rPr>
          <w:rFonts w:ascii="Times New Roman" w:eastAsia="Times New Roman" w:hAnsi="Times New Roman" w:cs="Times New Roman"/>
          <w:i/>
          <w:iCs/>
          <w:color w:val="000000"/>
          <w:sz w:val="24"/>
          <w:szCs w:val="24"/>
          <w:lang/>
        </w:rPr>
        <w:t>{Пункт 282.1 статті 282 доповнено підпунктом 282.1.4 згідно із Законом </w:t>
      </w:r>
      <w:hyperlink r:id="rId4716" w:anchor="n8" w:tgtFrame="_blank" w:history="1">
        <w:r w:rsidRPr="008B264B">
          <w:rPr>
            <w:rFonts w:ascii="Times New Roman" w:eastAsia="Times New Roman" w:hAnsi="Times New Roman" w:cs="Times New Roman"/>
            <w:i/>
            <w:iCs/>
            <w:color w:val="0000FF"/>
            <w:sz w:val="24"/>
            <w:szCs w:val="24"/>
            <w:u w:val="single"/>
            <w:lang/>
          </w:rPr>
          <w:t>№ 654-VIII від 17.07.2015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17" w:anchor="n126"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3C3B3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5" w:name="n14385"/>
      <w:bookmarkEnd w:id="8585"/>
      <w:r w:rsidRPr="008B264B">
        <w:rPr>
          <w:rFonts w:ascii="Times New Roman" w:eastAsia="Times New Roman" w:hAnsi="Times New Roman" w:cs="Times New Roman"/>
          <w:color w:val="000000"/>
          <w:sz w:val="24"/>
          <w:szCs w:val="24"/>
          <w:lang/>
        </w:rPr>
        <w:lastRenderedPageBreak/>
        <w:t>282.1.5. державні та комунальні дитячі санаторно-курортні заклади та заклади оздоровлення і відпочинку, а також дитячі санаторно-курортні та оздоровчі заклади України, які знаходяться на балансі підприємств, установ та організацій, які є неприбутковими і внесені контролюючим органом до Реєстру неприбуткових установ та організацій. У разі виключення таких підприємств, установ та організацій з Реєстру неприбуткових установ та організацій декларація подається платником податку протягом 30 календарних днів з дня виключення, а податок сплачується починаючи з місяця, наступного за місяцем, в якому відбулося виключення з Реєстру неприбуткових установ та організацій;</w:t>
      </w:r>
    </w:p>
    <w:p w14:paraId="25CADD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6" w:name="n14387"/>
      <w:bookmarkEnd w:id="8586"/>
      <w:r w:rsidRPr="008B264B">
        <w:rPr>
          <w:rFonts w:ascii="Times New Roman" w:eastAsia="Times New Roman" w:hAnsi="Times New Roman" w:cs="Times New Roman"/>
          <w:i/>
          <w:iCs/>
          <w:color w:val="000000"/>
          <w:sz w:val="24"/>
          <w:szCs w:val="24"/>
          <w:lang/>
        </w:rPr>
        <w:t>{Пункт 282.1 статті 282 доповнено підпунктом 282.1.5 згідно із Законом </w:t>
      </w:r>
      <w:hyperlink r:id="rId4718" w:anchor="n138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2A1EA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7" w:name="n14386"/>
      <w:bookmarkEnd w:id="8587"/>
      <w:r w:rsidRPr="008B264B">
        <w:rPr>
          <w:rFonts w:ascii="Times New Roman" w:eastAsia="Times New Roman" w:hAnsi="Times New Roman" w:cs="Times New Roman"/>
          <w:color w:val="000000"/>
          <w:sz w:val="24"/>
          <w:szCs w:val="24"/>
          <w:lang/>
        </w:rPr>
        <w:t>282.1.6. державні та комунальні центри олімпійської підготовки, школи вищої спортивної майстерності, центри фізичного здоров’я населення, центри з розвитку фізичної культури і спорту осіб з інвалідністю, дитячо-юнацькі спортивні школи, а також центри олімпійської підготовки, школи вищої спортивної майстерності, дитячо-юнацькі спортивні школи і спортивні споруди всеукраїнських фізкультурно-спортивних товариств, їх місцевих осередків та відокремлених підрозділів, що є неприбутковими та включені до Реєстру неприбуткових установ та організацій, за земельні ділянки, на яких розміщені їх спортивні споруди. У разі виключення таких установ та організацій з Реєстру неприбуткових установ та організацій, декларація подається платником податку протягом 30 календарних днів з дня виключення, а податок сплачується починаючи з місяця, наступного за місяцем, в якому відбулося виключення з Реєстру неприбуткових установ та організацій.</w:t>
      </w:r>
    </w:p>
    <w:p w14:paraId="48A926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8" w:name="n14384"/>
      <w:bookmarkEnd w:id="8588"/>
      <w:r w:rsidRPr="008B264B">
        <w:rPr>
          <w:rFonts w:ascii="Times New Roman" w:eastAsia="Times New Roman" w:hAnsi="Times New Roman" w:cs="Times New Roman"/>
          <w:i/>
          <w:iCs/>
          <w:color w:val="000000"/>
          <w:sz w:val="24"/>
          <w:szCs w:val="24"/>
          <w:lang/>
        </w:rPr>
        <w:t>{Пункт 282.1 статті 282 доповнено підпунктом 282.1.6 згідно із Законом </w:t>
      </w:r>
      <w:hyperlink r:id="rId4719" w:anchor="n138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C2EAE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89" w:name="n6855"/>
      <w:bookmarkEnd w:id="8589"/>
      <w:r w:rsidRPr="008B264B">
        <w:rPr>
          <w:rFonts w:ascii="Times New Roman" w:eastAsia="Times New Roman" w:hAnsi="Times New Roman" w:cs="Times New Roman"/>
          <w:b/>
          <w:bCs/>
          <w:color w:val="000000"/>
          <w:sz w:val="24"/>
          <w:szCs w:val="24"/>
          <w:lang/>
        </w:rPr>
        <w:t>Стаття 283.</w:t>
      </w:r>
      <w:r w:rsidRPr="008B264B">
        <w:rPr>
          <w:rFonts w:ascii="Times New Roman" w:eastAsia="Times New Roman" w:hAnsi="Times New Roman" w:cs="Times New Roman"/>
          <w:color w:val="000000"/>
          <w:sz w:val="24"/>
          <w:szCs w:val="24"/>
          <w:lang/>
        </w:rPr>
        <w:t> Земельні ділянки, які не підлягають оподаткуванню земельним податком</w:t>
      </w:r>
    </w:p>
    <w:p w14:paraId="45E4ED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0" w:name="n11947"/>
      <w:bookmarkEnd w:id="8590"/>
      <w:r w:rsidRPr="008B264B">
        <w:rPr>
          <w:rFonts w:ascii="Times New Roman" w:eastAsia="Times New Roman" w:hAnsi="Times New Roman" w:cs="Times New Roman"/>
          <w:i/>
          <w:iCs/>
          <w:color w:val="000000"/>
          <w:sz w:val="24"/>
          <w:szCs w:val="24"/>
          <w:lang/>
        </w:rPr>
        <w:t>{Назва статті 283 із змінами, внесеними згідно із Законом </w:t>
      </w:r>
      <w:hyperlink r:id="rId4720" w:anchor="n14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A67B4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1" w:name="n6856"/>
      <w:bookmarkEnd w:id="8591"/>
      <w:r w:rsidRPr="008B264B">
        <w:rPr>
          <w:rFonts w:ascii="Times New Roman" w:eastAsia="Times New Roman" w:hAnsi="Times New Roman" w:cs="Times New Roman"/>
          <w:color w:val="000000"/>
          <w:sz w:val="24"/>
          <w:szCs w:val="24"/>
          <w:lang/>
        </w:rPr>
        <w:t>283.1. Не сплачується податок за:</w:t>
      </w:r>
    </w:p>
    <w:p w14:paraId="779631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2" w:name="n6857"/>
      <w:bookmarkEnd w:id="8592"/>
      <w:r w:rsidRPr="008B264B">
        <w:rPr>
          <w:rFonts w:ascii="Times New Roman" w:eastAsia="Times New Roman" w:hAnsi="Times New Roman" w:cs="Times New Roman"/>
          <w:color w:val="000000"/>
          <w:sz w:val="24"/>
          <w:szCs w:val="24"/>
          <w:lang/>
        </w:rPr>
        <w:t>283.1.1. сільськогосподарські угіддя зон радіоактивно забруднених територій, визначених відповідно до закону такими, що зазнали радіоактивного забруднення внаслідок Чорнобильської катастрофи (зон відчуження, безумовного (обов'язкового) відселення, гарантованого добровільного відселення і посиленого радіоекологічного контролю), і хімічно забруднених сільськогосподарських угідь, на які запроваджено обмеження щодо ведення сільського господарства;</w:t>
      </w:r>
    </w:p>
    <w:p w14:paraId="57E30C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3" w:name="n6858"/>
      <w:bookmarkEnd w:id="8593"/>
      <w:r w:rsidRPr="008B264B">
        <w:rPr>
          <w:rFonts w:ascii="Times New Roman" w:eastAsia="Times New Roman" w:hAnsi="Times New Roman" w:cs="Times New Roman"/>
          <w:color w:val="000000"/>
          <w:sz w:val="24"/>
          <w:szCs w:val="24"/>
          <w:lang/>
        </w:rPr>
        <w:t>283.1.2. землі сільськогосподарських угідь, що перебувають у тимчасовій консервації або у стадії сільськогосподарського освоєння;</w:t>
      </w:r>
    </w:p>
    <w:p w14:paraId="3C6128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4" w:name="n6859"/>
      <w:bookmarkEnd w:id="8594"/>
      <w:r w:rsidRPr="008B264B">
        <w:rPr>
          <w:rFonts w:ascii="Times New Roman" w:eastAsia="Times New Roman" w:hAnsi="Times New Roman" w:cs="Times New Roman"/>
          <w:color w:val="000000"/>
          <w:sz w:val="24"/>
          <w:szCs w:val="24"/>
          <w:lang/>
        </w:rPr>
        <w:t>283.1.3. земельні ділянки державних сортовипробувальних станцій і сортодільниць, які використовуються для випробування сортів сільськогосподарських культур;</w:t>
      </w:r>
    </w:p>
    <w:p w14:paraId="765B0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5" w:name="n6860"/>
      <w:bookmarkEnd w:id="8595"/>
      <w:r w:rsidRPr="008B264B">
        <w:rPr>
          <w:rFonts w:ascii="Times New Roman" w:eastAsia="Times New Roman" w:hAnsi="Times New Roman" w:cs="Times New Roman"/>
          <w:color w:val="000000"/>
          <w:sz w:val="24"/>
          <w:szCs w:val="24"/>
          <w:lang/>
        </w:rPr>
        <w:t>283.1.4. землі дорожнього господарства автомобільних доріг загального користування - землі під проїзною частиною, узбіччям, земляним полотном, декоративним озелененням, резервами, кюветами, мостами, штучними спорудами, тунелями, транспортними розв'язками, водопропускними спорудами, підпірними стінками, шумовими екранами, очисними спорудами і розташованими в межах смуг відведення іншими дорожніми спорудами та обладнанням, а також землі, що знаходяться за межами смуг відведення, якщо на них розміщені споруди, що забезпечують функціонування автомобільних доріг, а саме:</w:t>
      </w:r>
    </w:p>
    <w:p w14:paraId="1DA6B2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6" w:name="n6861"/>
      <w:bookmarkEnd w:id="8596"/>
      <w:r w:rsidRPr="008B264B">
        <w:rPr>
          <w:rFonts w:ascii="Times New Roman" w:eastAsia="Times New Roman" w:hAnsi="Times New Roman" w:cs="Times New Roman"/>
          <w:color w:val="000000"/>
          <w:sz w:val="24"/>
          <w:szCs w:val="24"/>
          <w:lang/>
        </w:rPr>
        <w:t>а) паралельні об'їзні дороги, поромні переправи, снігозахисні споруди і насадження, протилавинні та протисельові споруди, вловлюючі з'їзди, захисні насадження, шумові екрани, очисні споруди;</w:t>
      </w:r>
    </w:p>
    <w:p w14:paraId="1F201D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7" w:name="n6862"/>
      <w:bookmarkEnd w:id="8597"/>
      <w:r w:rsidRPr="008B264B">
        <w:rPr>
          <w:rFonts w:ascii="Times New Roman" w:eastAsia="Times New Roman" w:hAnsi="Times New Roman" w:cs="Times New Roman"/>
          <w:color w:val="000000"/>
          <w:sz w:val="24"/>
          <w:szCs w:val="24"/>
          <w:lang/>
        </w:rPr>
        <w:t xml:space="preserve">б) майданчики для стоянки транспорту і відпочинку, склади, гаражі, резервуари для зберігання паливно-мастильних матеріалів, комплекси для зважування великогабаритного </w:t>
      </w:r>
      <w:r w:rsidRPr="008B264B">
        <w:rPr>
          <w:rFonts w:ascii="Times New Roman" w:eastAsia="Times New Roman" w:hAnsi="Times New Roman" w:cs="Times New Roman"/>
          <w:color w:val="000000"/>
          <w:sz w:val="24"/>
          <w:szCs w:val="24"/>
          <w:lang/>
        </w:rPr>
        <w:lastRenderedPageBreak/>
        <w:t>транспорту, виробничі бази, штучні та інші споруди, що перебувають у державній власності, власності державних підприємств або власності господарських товариств, у статутному капіталі яких 100 відсотків акцій (часток, паїв) належить державі;</w:t>
      </w:r>
    </w:p>
    <w:p w14:paraId="2E266A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8" w:name="n6863"/>
      <w:bookmarkEnd w:id="8598"/>
      <w:r w:rsidRPr="008B264B">
        <w:rPr>
          <w:rFonts w:ascii="Times New Roman" w:eastAsia="Times New Roman" w:hAnsi="Times New Roman" w:cs="Times New Roman"/>
          <w:color w:val="000000"/>
          <w:sz w:val="24"/>
          <w:szCs w:val="24"/>
          <w:lang/>
        </w:rPr>
        <w:t>283.1.5. земельні ділянки сільськогосподарських підприємств усіх форм власності та фермерських (селянських) господарств, зайняті молодими садами, ягідниками та виноградниками до вступу їх у пору плодоношення, а також гібридними насадженнями, генофондовими колекціями та розсадниками багаторічних плодових насаджень;</w:t>
      </w:r>
    </w:p>
    <w:p w14:paraId="12CD81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599" w:name="n6864"/>
      <w:bookmarkEnd w:id="8599"/>
      <w:r w:rsidRPr="008B264B">
        <w:rPr>
          <w:rFonts w:ascii="Times New Roman" w:eastAsia="Times New Roman" w:hAnsi="Times New Roman" w:cs="Times New Roman"/>
          <w:color w:val="000000"/>
          <w:sz w:val="24"/>
          <w:szCs w:val="24"/>
          <w:lang/>
        </w:rPr>
        <w:t>283.1.6. земельні ділянки кладовищ, крематоріїв та колумбаріїв.</w:t>
      </w:r>
    </w:p>
    <w:p w14:paraId="70ED3A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0" w:name="n6865"/>
      <w:bookmarkEnd w:id="8600"/>
      <w:r w:rsidRPr="008B264B">
        <w:rPr>
          <w:rFonts w:ascii="Times New Roman" w:eastAsia="Times New Roman" w:hAnsi="Times New Roman" w:cs="Times New Roman"/>
          <w:color w:val="000000"/>
          <w:sz w:val="24"/>
          <w:szCs w:val="24"/>
          <w:lang/>
        </w:rPr>
        <w:t>283.1.7. земельні ділянки, на яких розташовані дипломатичні представництва, які відповідно до міжнародних договорів (угод), згода на обов’язковість яких надана Верховною Радою України, користуються приміщеннями та прилеглими до них земельними ділянками на безоплатній основі.</w:t>
      </w:r>
    </w:p>
    <w:p w14:paraId="57DBD3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1" w:name="n6866"/>
      <w:bookmarkEnd w:id="8601"/>
      <w:r w:rsidRPr="008B264B">
        <w:rPr>
          <w:rFonts w:ascii="Times New Roman" w:eastAsia="Times New Roman" w:hAnsi="Times New Roman" w:cs="Times New Roman"/>
          <w:i/>
          <w:iCs/>
          <w:color w:val="000000"/>
          <w:sz w:val="24"/>
          <w:szCs w:val="24"/>
          <w:lang/>
        </w:rPr>
        <w:t>{Підпункт 283.1 статті 283 доповнено підпунктом 283.1.7 згідно із Законом </w:t>
      </w:r>
      <w:hyperlink r:id="rId4721" w:anchor="n28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2758B1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2" w:name="n11949"/>
      <w:bookmarkEnd w:id="8602"/>
      <w:r w:rsidRPr="008B264B">
        <w:rPr>
          <w:rFonts w:ascii="Times New Roman" w:eastAsia="Times New Roman" w:hAnsi="Times New Roman" w:cs="Times New Roman"/>
          <w:color w:val="000000"/>
          <w:sz w:val="24"/>
          <w:szCs w:val="24"/>
          <w:lang/>
        </w:rPr>
        <w:t>283.1.8. земельні ділянки, надані для будівництва і обслуговування культових та інших будівель, необхідних для забезпечення діяльності релігійних організацій України, статути (положення) яких зареєстровано у встановленому законом порядку.</w:t>
      </w:r>
    </w:p>
    <w:p w14:paraId="108EAE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3" w:name="n11948"/>
      <w:bookmarkEnd w:id="8603"/>
      <w:r w:rsidRPr="008B264B">
        <w:rPr>
          <w:rFonts w:ascii="Times New Roman" w:eastAsia="Times New Roman" w:hAnsi="Times New Roman" w:cs="Times New Roman"/>
          <w:i/>
          <w:iCs/>
          <w:color w:val="000000"/>
          <w:sz w:val="24"/>
          <w:szCs w:val="24"/>
          <w:lang/>
        </w:rPr>
        <w:t>{Підпункт 283.1 статті 283 доповнено підпунктом 283.1.8 згідно із Законом </w:t>
      </w:r>
      <w:hyperlink r:id="rId4722" w:anchor="n144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CD69F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4" w:name="n6867"/>
      <w:bookmarkEnd w:id="8604"/>
      <w:r w:rsidRPr="008B264B">
        <w:rPr>
          <w:rFonts w:ascii="Times New Roman" w:eastAsia="Times New Roman" w:hAnsi="Times New Roman" w:cs="Times New Roman"/>
          <w:b/>
          <w:bCs/>
          <w:color w:val="000000"/>
          <w:sz w:val="24"/>
          <w:szCs w:val="24"/>
          <w:lang/>
        </w:rPr>
        <w:t>Стаття 284.</w:t>
      </w:r>
      <w:r w:rsidRPr="008B264B">
        <w:rPr>
          <w:rFonts w:ascii="Times New Roman" w:eastAsia="Times New Roman" w:hAnsi="Times New Roman" w:cs="Times New Roman"/>
          <w:color w:val="000000"/>
          <w:sz w:val="24"/>
          <w:szCs w:val="24"/>
          <w:lang/>
        </w:rPr>
        <w:t> Особливості оподаткування платою за землю</w:t>
      </w:r>
    </w:p>
    <w:p w14:paraId="60B049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5" w:name="n11950"/>
      <w:bookmarkEnd w:id="8605"/>
      <w:r w:rsidRPr="008B264B">
        <w:rPr>
          <w:rFonts w:ascii="Times New Roman" w:eastAsia="Times New Roman" w:hAnsi="Times New Roman" w:cs="Times New Roman"/>
          <w:i/>
          <w:iCs/>
          <w:color w:val="000000"/>
          <w:sz w:val="24"/>
          <w:szCs w:val="24"/>
          <w:lang/>
        </w:rPr>
        <w:t>{Назва статті 284 в редакції Закону </w:t>
      </w:r>
      <w:hyperlink r:id="rId4723" w:anchor="n144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601D4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6" w:name="n6868"/>
      <w:bookmarkEnd w:id="8606"/>
      <w:r w:rsidRPr="008B264B">
        <w:rPr>
          <w:rFonts w:ascii="Times New Roman" w:eastAsia="Times New Roman" w:hAnsi="Times New Roman" w:cs="Times New Roman"/>
          <w:color w:val="000000"/>
          <w:sz w:val="24"/>
          <w:szCs w:val="24"/>
          <w:lang/>
        </w:rPr>
        <w:t>284.1. Верховна Рада Автономної Республіки Крим та органи місцевого самоврядування встановлюють ставки плати за землю та пільги щодо земельного податку, що сплачується на відповідній території.</w:t>
      </w:r>
    </w:p>
    <w:p w14:paraId="6F35A0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7" w:name="n11952"/>
      <w:bookmarkEnd w:id="8607"/>
      <w:r w:rsidRPr="008B264B">
        <w:rPr>
          <w:rFonts w:ascii="Times New Roman" w:eastAsia="Times New Roman" w:hAnsi="Times New Roman" w:cs="Times New Roman"/>
          <w:i/>
          <w:iCs/>
          <w:color w:val="000000"/>
          <w:sz w:val="24"/>
          <w:szCs w:val="24"/>
          <w:lang/>
        </w:rPr>
        <w:t>{Абзац перший пункту 284.1 статті 284 в редакції Закону </w:t>
      </w:r>
      <w:hyperlink r:id="rId4724" w:anchor="n14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74E0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8" w:name="n6869"/>
      <w:bookmarkEnd w:id="8608"/>
      <w:r w:rsidRPr="008B264B">
        <w:rPr>
          <w:rFonts w:ascii="Times New Roman" w:eastAsia="Times New Roman" w:hAnsi="Times New Roman" w:cs="Times New Roman"/>
          <w:color w:val="000000"/>
          <w:sz w:val="24"/>
          <w:szCs w:val="24"/>
          <w:lang/>
        </w:rPr>
        <w:t>Органи місцевого самоврядування до 25 грудня року, що передує звітному, подають відповідному контролюючому органу за місцезнаходженням земельної ділянки рішення щодо ставок земельного податку та наданих пільг зі сплати земельного податку юридичним та/або фізичним особам за </w:t>
      </w:r>
      <w:hyperlink r:id="rId4725" w:anchor="n11" w:tgtFrame="_blank" w:history="1">
        <w:r w:rsidRPr="008B264B">
          <w:rPr>
            <w:rFonts w:ascii="Times New Roman" w:eastAsia="Times New Roman" w:hAnsi="Times New Roman" w:cs="Times New Roman"/>
            <w:color w:val="0000FF"/>
            <w:sz w:val="24"/>
            <w:szCs w:val="24"/>
            <w:u w:val="single"/>
            <w:lang/>
          </w:rPr>
          <w:t>формою</w:t>
        </w:r>
      </w:hyperlink>
      <w:r w:rsidRPr="008B264B">
        <w:rPr>
          <w:rFonts w:ascii="Times New Roman" w:eastAsia="Times New Roman" w:hAnsi="Times New Roman" w:cs="Times New Roman"/>
          <w:color w:val="000000"/>
          <w:sz w:val="24"/>
          <w:szCs w:val="24"/>
          <w:lang/>
        </w:rPr>
        <w:t>, затвердженою Кабінетом Міністрів України.</w:t>
      </w:r>
    </w:p>
    <w:p w14:paraId="079F8A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09" w:name="n11953"/>
      <w:bookmarkEnd w:id="8609"/>
      <w:r w:rsidRPr="008B264B">
        <w:rPr>
          <w:rFonts w:ascii="Times New Roman" w:eastAsia="Times New Roman" w:hAnsi="Times New Roman" w:cs="Times New Roman"/>
          <w:i/>
          <w:iCs/>
          <w:color w:val="000000"/>
          <w:sz w:val="24"/>
          <w:szCs w:val="24"/>
          <w:lang/>
        </w:rPr>
        <w:t>{Абзац другий пункту 284.1 статті 284 в редакції Закону </w:t>
      </w:r>
      <w:hyperlink r:id="rId4726" w:anchor="n144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27" w:anchor="n138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E9E43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0" w:name="n6870"/>
      <w:bookmarkEnd w:id="8610"/>
      <w:r w:rsidRPr="008B264B">
        <w:rPr>
          <w:rFonts w:ascii="Times New Roman" w:eastAsia="Times New Roman" w:hAnsi="Times New Roman" w:cs="Times New Roman"/>
          <w:color w:val="000000"/>
          <w:sz w:val="24"/>
          <w:szCs w:val="24"/>
          <w:lang/>
        </w:rPr>
        <w:t>Нові зміни щодо зазначеної інформації надаються до 1 числа першого місяця кварталу, що настає за звітним кварталом, у якому відбулися зазначені зміни.</w:t>
      </w:r>
    </w:p>
    <w:p w14:paraId="688602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1" w:name="n6871"/>
      <w:bookmarkEnd w:id="8611"/>
      <w:r w:rsidRPr="008B264B">
        <w:rPr>
          <w:rFonts w:ascii="Times New Roman" w:eastAsia="Times New Roman" w:hAnsi="Times New Roman" w:cs="Times New Roman"/>
          <w:color w:val="000000"/>
          <w:sz w:val="24"/>
          <w:szCs w:val="24"/>
          <w:lang/>
        </w:rPr>
        <w:t>284.2. Якщо право на пільгу у платника виникає протягом року, то він звільняється від сплати податку починаючи з місяця, що настає за місяцем, у якому виникло це право. У разі втрати права на пільгу протягом року податок сплачується починаючи з місяця, що настає за місяцем, у якому втрачено це право.</w:t>
      </w:r>
    </w:p>
    <w:p w14:paraId="780F61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2" w:name="n6872"/>
      <w:bookmarkEnd w:id="8612"/>
      <w:r w:rsidRPr="008B264B">
        <w:rPr>
          <w:rFonts w:ascii="Times New Roman" w:eastAsia="Times New Roman" w:hAnsi="Times New Roman" w:cs="Times New Roman"/>
          <w:color w:val="000000"/>
          <w:sz w:val="24"/>
          <w:szCs w:val="24"/>
          <w:lang/>
        </w:rPr>
        <w:t>284.3. Якщо платники податку, які користуються пільгами з цього податку, надають в оренду земельні ділянки, окремі будівлі, споруди або їх частини, податок за такі земельні ділянки та земельні ділянки під такими будівлями (їх частинами) сплачується на загальних підставах з урахуванням прибудинкової території.</w:t>
      </w:r>
    </w:p>
    <w:p w14:paraId="011F38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3" w:name="n6873"/>
      <w:bookmarkEnd w:id="8613"/>
      <w:r w:rsidRPr="008B264B">
        <w:rPr>
          <w:rFonts w:ascii="Times New Roman" w:eastAsia="Times New Roman" w:hAnsi="Times New Roman" w:cs="Times New Roman"/>
          <w:color w:val="000000"/>
          <w:sz w:val="24"/>
          <w:szCs w:val="24"/>
          <w:lang/>
        </w:rPr>
        <w:t>Ця норма не поширюється на бюджетні установи у разі надання ними будівель, споруд (їх частин) в тимчасове користування (оренду) іншим бюджетним установам, дошкільним, загальноосвітнім навчальним закладам незалежно від форм власності і джерел фінансування.</w:t>
      </w:r>
    </w:p>
    <w:p w14:paraId="25CEB4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4" w:name="n6874"/>
      <w:bookmarkEnd w:id="8614"/>
      <w:r w:rsidRPr="008B264B">
        <w:rPr>
          <w:rFonts w:ascii="Times New Roman" w:eastAsia="Times New Roman" w:hAnsi="Times New Roman" w:cs="Times New Roman"/>
          <w:i/>
          <w:iCs/>
          <w:color w:val="000000"/>
          <w:sz w:val="24"/>
          <w:szCs w:val="24"/>
          <w:lang/>
        </w:rPr>
        <w:t>{Абзац другий пункту 284.3 статті 284 в редакції Закону </w:t>
      </w:r>
      <w:hyperlink r:id="rId472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5F114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5" w:name="n14909"/>
      <w:bookmarkEnd w:id="8615"/>
      <w:r w:rsidRPr="008B264B">
        <w:rPr>
          <w:rFonts w:ascii="Times New Roman" w:eastAsia="Times New Roman" w:hAnsi="Times New Roman" w:cs="Times New Roman"/>
          <w:color w:val="000000"/>
          <w:sz w:val="24"/>
          <w:szCs w:val="24"/>
          <w:lang/>
        </w:rPr>
        <w:lastRenderedPageBreak/>
        <w:t>284.4. Плата за землю за земельні ділянки, надані гірничодобувним підприємствам для видобування корисних копалин та розробки родовищ корисних копалин, справляється у розмірі 25 відсотків податку, обчисленого відповідно до </w:t>
      </w:r>
      <w:hyperlink r:id="rId4729" w:anchor="n6776" w:history="1">
        <w:r w:rsidRPr="008B264B">
          <w:rPr>
            <w:rFonts w:ascii="Times New Roman" w:eastAsia="Times New Roman" w:hAnsi="Times New Roman" w:cs="Times New Roman"/>
            <w:color w:val="0000FF"/>
            <w:sz w:val="24"/>
            <w:szCs w:val="24"/>
            <w:u w:val="single"/>
            <w:lang/>
          </w:rPr>
          <w:t>статей 274</w:t>
        </w:r>
      </w:hyperlink>
      <w:r w:rsidRPr="008B264B">
        <w:rPr>
          <w:rFonts w:ascii="Times New Roman" w:eastAsia="Times New Roman" w:hAnsi="Times New Roman" w:cs="Times New Roman"/>
          <w:color w:val="000000"/>
          <w:sz w:val="24"/>
          <w:szCs w:val="24"/>
          <w:lang/>
        </w:rPr>
        <w:t> і </w:t>
      </w:r>
      <w:hyperlink r:id="rId4730" w:anchor="n6807" w:history="1">
        <w:r w:rsidRPr="008B264B">
          <w:rPr>
            <w:rFonts w:ascii="Times New Roman" w:eastAsia="Times New Roman" w:hAnsi="Times New Roman" w:cs="Times New Roman"/>
            <w:color w:val="0000FF"/>
            <w:sz w:val="24"/>
            <w:szCs w:val="24"/>
            <w:u w:val="single"/>
            <w:lang/>
          </w:rPr>
          <w:t>277</w:t>
        </w:r>
      </w:hyperlink>
      <w:r w:rsidRPr="008B264B">
        <w:rPr>
          <w:rFonts w:ascii="Times New Roman" w:eastAsia="Times New Roman" w:hAnsi="Times New Roman" w:cs="Times New Roman"/>
          <w:color w:val="000000"/>
          <w:sz w:val="24"/>
          <w:szCs w:val="24"/>
          <w:lang/>
        </w:rPr>
        <w:t> цього Кодексу.</w:t>
      </w:r>
    </w:p>
    <w:p w14:paraId="0CBDE5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6" w:name="n14908"/>
      <w:bookmarkEnd w:id="8616"/>
      <w:r w:rsidRPr="008B264B">
        <w:rPr>
          <w:rFonts w:ascii="Times New Roman" w:eastAsia="Times New Roman" w:hAnsi="Times New Roman" w:cs="Times New Roman"/>
          <w:i/>
          <w:iCs/>
          <w:color w:val="000000"/>
          <w:sz w:val="24"/>
          <w:szCs w:val="24"/>
          <w:lang/>
        </w:rPr>
        <w:t>{Статтю 284 доповнено пунктом 284.4 згідно із Законом </w:t>
      </w:r>
      <w:hyperlink r:id="rId4731" w:anchor="n38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32" w:anchor="n65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C2926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7" w:name="n6875"/>
      <w:bookmarkEnd w:id="8617"/>
      <w:r w:rsidRPr="008B264B">
        <w:rPr>
          <w:rFonts w:ascii="Times New Roman" w:eastAsia="Times New Roman" w:hAnsi="Times New Roman" w:cs="Times New Roman"/>
          <w:b/>
          <w:bCs/>
          <w:color w:val="000000"/>
          <w:sz w:val="24"/>
          <w:szCs w:val="24"/>
          <w:lang/>
        </w:rPr>
        <w:t>Стаття 285.</w:t>
      </w:r>
      <w:r w:rsidRPr="008B264B">
        <w:rPr>
          <w:rFonts w:ascii="Times New Roman" w:eastAsia="Times New Roman" w:hAnsi="Times New Roman" w:cs="Times New Roman"/>
          <w:color w:val="000000"/>
          <w:sz w:val="24"/>
          <w:szCs w:val="24"/>
          <w:lang/>
        </w:rPr>
        <w:t> Податковий період для плати за землю</w:t>
      </w:r>
    </w:p>
    <w:p w14:paraId="01BF3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8" w:name="n11951"/>
      <w:bookmarkEnd w:id="8618"/>
      <w:r w:rsidRPr="008B264B">
        <w:rPr>
          <w:rFonts w:ascii="Times New Roman" w:eastAsia="Times New Roman" w:hAnsi="Times New Roman" w:cs="Times New Roman"/>
          <w:i/>
          <w:iCs/>
          <w:color w:val="000000"/>
          <w:sz w:val="24"/>
          <w:szCs w:val="24"/>
          <w:lang/>
        </w:rPr>
        <w:t>{Назва статті 285 із змінами, внесеними згідно із Законом </w:t>
      </w:r>
      <w:hyperlink r:id="rId4733" w:anchor="n144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0846A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19" w:name="n6876"/>
      <w:bookmarkEnd w:id="8619"/>
      <w:r w:rsidRPr="008B264B">
        <w:rPr>
          <w:rFonts w:ascii="Times New Roman" w:eastAsia="Times New Roman" w:hAnsi="Times New Roman" w:cs="Times New Roman"/>
          <w:color w:val="000000"/>
          <w:sz w:val="24"/>
          <w:szCs w:val="24"/>
          <w:lang/>
        </w:rPr>
        <w:t>285.1. Базовим податковим (звітним) періодом для плати за землю є календарний рік.</w:t>
      </w:r>
    </w:p>
    <w:p w14:paraId="12E5AF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0" w:name="n6877"/>
      <w:bookmarkEnd w:id="8620"/>
      <w:r w:rsidRPr="008B264B">
        <w:rPr>
          <w:rFonts w:ascii="Times New Roman" w:eastAsia="Times New Roman" w:hAnsi="Times New Roman" w:cs="Times New Roman"/>
          <w:color w:val="000000"/>
          <w:sz w:val="24"/>
          <w:szCs w:val="24"/>
          <w:lang/>
        </w:rPr>
        <w:t>285.2. Базовий податковий (звітний) рік починається 1 січня і закінчується 31 грудня того ж року (для новостворених підприємств та організацій, а також у зв'язку із набуттям права власності та/або користування на нові земельні ділянки може бути меншим 12 місяців).</w:t>
      </w:r>
    </w:p>
    <w:p w14:paraId="1082CC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1" w:name="n6878"/>
      <w:bookmarkEnd w:id="8621"/>
      <w:r w:rsidRPr="008B264B">
        <w:rPr>
          <w:rFonts w:ascii="Times New Roman" w:eastAsia="Times New Roman" w:hAnsi="Times New Roman" w:cs="Times New Roman"/>
          <w:b/>
          <w:bCs/>
          <w:color w:val="000000"/>
          <w:sz w:val="24"/>
          <w:szCs w:val="24"/>
          <w:lang/>
        </w:rPr>
        <w:t>Стаття 286.</w:t>
      </w:r>
      <w:r w:rsidRPr="008B264B">
        <w:rPr>
          <w:rFonts w:ascii="Times New Roman" w:eastAsia="Times New Roman" w:hAnsi="Times New Roman" w:cs="Times New Roman"/>
          <w:color w:val="000000"/>
          <w:sz w:val="24"/>
          <w:szCs w:val="24"/>
          <w:lang/>
        </w:rPr>
        <w:t> Порядок обчислення плати за землю</w:t>
      </w:r>
    </w:p>
    <w:p w14:paraId="04DA05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2" w:name="n6879"/>
      <w:bookmarkEnd w:id="8622"/>
      <w:r w:rsidRPr="008B264B">
        <w:rPr>
          <w:rFonts w:ascii="Times New Roman" w:eastAsia="Times New Roman" w:hAnsi="Times New Roman" w:cs="Times New Roman"/>
          <w:color w:val="000000"/>
          <w:sz w:val="24"/>
          <w:szCs w:val="24"/>
          <w:lang/>
        </w:rPr>
        <w:t>286.1. Підставою для нарахування земельного податку є дані державного земельного кадастру.</w:t>
      </w:r>
    </w:p>
    <w:p w14:paraId="3B01B6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3" w:name="n6880"/>
      <w:bookmarkEnd w:id="8623"/>
      <w:r w:rsidRPr="008B264B">
        <w:rPr>
          <w:rFonts w:ascii="Times New Roman" w:eastAsia="Times New Roman" w:hAnsi="Times New Roman" w:cs="Times New Roman"/>
          <w:color w:val="000000"/>
          <w:sz w:val="24"/>
          <w:szCs w:val="24"/>
          <w:lang/>
        </w:rPr>
        <w:t>Центральні органи виконавчої влади, що реалізують державну політику у сфері земельних відносин та у сфері державної реєстрації речових прав на нерухоме майно, у сфері будівництва щомісяця, але не пізніше 10 числа наступного місяця, а також за запитом відповідного контролюючого органу за місцезнаходженням земельної ділянки подають інформацію, необхідну для обчислення і справляння плати за землю, у порядку, встановленому Кабінетом Міністрів України.</w:t>
      </w:r>
    </w:p>
    <w:p w14:paraId="4BC7A9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4" w:name="n6881"/>
      <w:bookmarkEnd w:id="8624"/>
      <w:r w:rsidRPr="008B264B">
        <w:rPr>
          <w:rFonts w:ascii="Times New Roman" w:eastAsia="Times New Roman" w:hAnsi="Times New Roman" w:cs="Times New Roman"/>
          <w:i/>
          <w:iCs/>
          <w:color w:val="000000"/>
          <w:sz w:val="24"/>
          <w:szCs w:val="24"/>
          <w:lang/>
        </w:rPr>
        <w:t>{Абзац другий пункту 286.1 статті 286 із змінами, внесеними згідно із Законами </w:t>
      </w:r>
      <w:hyperlink r:id="rId473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набирає чинності з 1 січня 2012 року у частині надання інформації, необхідної для обчислення земельного податку, відповідними державними органами; із змінами, внесеними згідно із Законами </w:t>
      </w:r>
      <w:hyperlink r:id="rId4735" w:anchor="n28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736" w:anchor="n145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737" w:anchor="n138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CD1E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5" w:name="n6882"/>
      <w:bookmarkEnd w:id="8625"/>
      <w:r w:rsidRPr="008B264B">
        <w:rPr>
          <w:rFonts w:ascii="Times New Roman" w:eastAsia="Times New Roman" w:hAnsi="Times New Roman" w:cs="Times New Roman"/>
          <w:color w:val="000000"/>
          <w:sz w:val="24"/>
          <w:szCs w:val="24"/>
          <w:lang/>
        </w:rPr>
        <w:t>286.2. Платники плати за землю (крім фізичних осіб) самостійно обчислюють суму податку щороку станом на 1 січня і не пізніше 20 лютого поточного року подають відповідному контролюючому органу за місцезнаходженням земельної ділянки </w:t>
      </w:r>
      <w:hyperlink r:id="rId4738" w:anchor="n16" w:tgtFrame="_blank" w:history="1">
        <w:r w:rsidRPr="008B264B">
          <w:rPr>
            <w:rFonts w:ascii="Times New Roman" w:eastAsia="Times New Roman" w:hAnsi="Times New Roman" w:cs="Times New Roman"/>
            <w:color w:val="0000FF"/>
            <w:sz w:val="24"/>
            <w:szCs w:val="24"/>
            <w:u w:val="single"/>
            <w:lang/>
          </w:rPr>
          <w:t>податкову декларацію</w:t>
        </w:r>
      </w:hyperlink>
      <w:r w:rsidRPr="008B264B">
        <w:rPr>
          <w:rFonts w:ascii="Times New Roman" w:eastAsia="Times New Roman" w:hAnsi="Times New Roman" w:cs="Times New Roman"/>
          <w:color w:val="000000"/>
          <w:sz w:val="24"/>
          <w:szCs w:val="24"/>
          <w:lang/>
        </w:rPr>
        <w:t> на поточний рік за формою, встановленою у порядку, передбаченому </w:t>
      </w:r>
      <w:hyperlink r:id="rId4739"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 з розбивкою річної суми рівними частками за місяцями. Подання такої декларації звільняє від обов'язку подання щомісячних декларацій. При поданні першої декларації (фактичного початку діяльності як платника плати за землю) разом з нею подається довідка (витяг) про розмір нормативної грошової оцінки земельної ділянки, а надалі така довідка подається у разі затвердження нової нормативної грошової оцінки землі.</w:t>
      </w:r>
    </w:p>
    <w:p w14:paraId="6923F7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6" w:name="n6883"/>
      <w:bookmarkEnd w:id="8626"/>
      <w:r w:rsidRPr="008B264B">
        <w:rPr>
          <w:rFonts w:ascii="Times New Roman" w:eastAsia="Times New Roman" w:hAnsi="Times New Roman" w:cs="Times New Roman"/>
          <w:i/>
          <w:iCs/>
          <w:color w:val="000000"/>
          <w:sz w:val="24"/>
          <w:szCs w:val="24"/>
          <w:lang/>
        </w:rPr>
        <w:t>{Пункт 286.2 статті 286 із змінами, внесеними згідно із Законом </w:t>
      </w:r>
      <w:hyperlink r:id="rId474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3ED8A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7" w:name="n6884"/>
      <w:bookmarkEnd w:id="8627"/>
      <w:r w:rsidRPr="008B264B">
        <w:rPr>
          <w:rFonts w:ascii="Times New Roman" w:eastAsia="Times New Roman" w:hAnsi="Times New Roman" w:cs="Times New Roman"/>
          <w:color w:val="000000"/>
          <w:sz w:val="24"/>
          <w:szCs w:val="24"/>
          <w:lang/>
        </w:rPr>
        <w:t>286.3. Платник плати за землю має право подавати щомісяця звітну податкову декларацію, що звільняє його від обов'язку подання податкової декларації не пізніше 20 лютого поточного року, протягом 20 календарних днів місяця, що настає за звітним.</w:t>
      </w:r>
    </w:p>
    <w:p w14:paraId="6AE1E9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8" w:name="n6885"/>
      <w:bookmarkEnd w:id="8628"/>
      <w:r w:rsidRPr="008B264B">
        <w:rPr>
          <w:rFonts w:ascii="Times New Roman" w:eastAsia="Times New Roman" w:hAnsi="Times New Roman" w:cs="Times New Roman"/>
          <w:i/>
          <w:iCs/>
          <w:color w:val="000000"/>
          <w:sz w:val="24"/>
          <w:szCs w:val="24"/>
          <w:lang/>
        </w:rPr>
        <w:t>{Пункт 286.3 статті 286 із змінами, внесеними згідно із Законами </w:t>
      </w:r>
      <w:hyperlink r:id="rId474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742" w:anchor="n42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7C2EE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29" w:name="n6886"/>
      <w:bookmarkEnd w:id="8629"/>
      <w:r w:rsidRPr="008B264B">
        <w:rPr>
          <w:rFonts w:ascii="Times New Roman" w:eastAsia="Times New Roman" w:hAnsi="Times New Roman" w:cs="Times New Roman"/>
          <w:color w:val="000000"/>
          <w:sz w:val="24"/>
          <w:szCs w:val="24"/>
          <w:lang/>
        </w:rPr>
        <w:t>286.4. За нововідведені земельні ділянки або за новоукладеними договорами оренди землі платник плати за землю подає податкову декларацію протягом 20 календарних днів місяця, що настає за звітним.</w:t>
      </w:r>
    </w:p>
    <w:p w14:paraId="0C4B44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0" w:name="n6887"/>
      <w:bookmarkEnd w:id="8630"/>
      <w:r w:rsidRPr="008B264B">
        <w:rPr>
          <w:rFonts w:ascii="Times New Roman" w:eastAsia="Times New Roman" w:hAnsi="Times New Roman" w:cs="Times New Roman"/>
          <w:color w:val="000000"/>
          <w:sz w:val="24"/>
          <w:szCs w:val="24"/>
          <w:lang/>
        </w:rPr>
        <w:t>У разі зміни протягом року об'єкта та/або бази оподаткування платник плати за землю подає податкову декларацію протягом 20 календарних днів місяця, що настає за місяцем, у якому відбулися такі зміни.</w:t>
      </w:r>
    </w:p>
    <w:p w14:paraId="3E9A6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1" w:name="n6888"/>
      <w:bookmarkEnd w:id="8631"/>
      <w:r w:rsidRPr="008B264B">
        <w:rPr>
          <w:rFonts w:ascii="Times New Roman" w:eastAsia="Times New Roman" w:hAnsi="Times New Roman" w:cs="Times New Roman"/>
          <w:i/>
          <w:iCs/>
          <w:color w:val="000000"/>
          <w:sz w:val="24"/>
          <w:szCs w:val="24"/>
          <w:lang/>
        </w:rPr>
        <w:lastRenderedPageBreak/>
        <w:t>{Пункт 286.4 статті 286 доповнено абзацом другим згідно із Законом </w:t>
      </w:r>
      <w:hyperlink r:id="rId4743" w:anchor="n42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5BCAF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2" w:name="n6889"/>
      <w:bookmarkEnd w:id="8632"/>
      <w:r w:rsidRPr="008B264B">
        <w:rPr>
          <w:rFonts w:ascii="Times New Roman" w:eastAsia="Times New Roman" w:hAnsi="Times New Roman" w:cs="Times New Roman"/>
          <w:color w:val="000000"/>
          <w:sz w:val="24"/>
          <w:szCs w:val="24"/>
          <w:lang/>
        </w:rPr>
        <w:t>286.5. Нарахування фізичним особам сум податку проводиться контролюючими органами (за місцем знаходження земельної ділянки), які надсилають (вручають) платникові за місцем його реєстрації до 1 липня поточного року податкове повідомлення-рішення про внесення податку за формою, встановленою у порядку, визначеному </w:t>
      </w:r>
      <w:hyperlink r:id="rId4744" w:anchor="n1398" w:history="1">
        <w:r w:rsidRPr="008B264B">
          <w:rPr>
            <w:rFonts w:ascii="Times New Roman" w:eastAsia="Times New Roman" w:hAnsi="Times New Roman" w:cs="Times New Roman"/>
            <w:color w:val="0000FF"/>
            <w:sz w:val="24"/>
            <w:szCs w:val="24"/>
            <w:u w:val="single"/>
            <w:lang/>
          </w:rPr>
          <w:t>статтею 58</w:t>
        </w:r>
      </w:hyperlink>
      <w:r w:rsidRPr="008B264B">
        <w:rPr>
          <w:rFonts w:ascii="Times New Roman" w:eastAsia="Times New Roman" w:hAnsi="Times New Roman" w:cs="Times New Roman"/>
          <w:color w:val="000000"/>
          <w:sz w:val="24"/>
          <w:szCs w:val="24"/>
          <w:lang/>
        </w:rPr>
        <w:t> цього Кодексу.</w:t>
      </w:r>
    </w:p>
    <w:p w14:paraId="72972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3" w:name="n6890"/>
      <w:bookmarkEnd w:id="8633"/>
      <w:r w:rsidRPr="008B264B">
        <w:rPr>
          <w:rFonts w:ascii="Times New Roman" w:eastAsia="Times New Roman" w:hAnsi="Times New Roman" w:cs="Times New Roman"/>
          <w:color w:val="000000"/>
          <w:sz w:val="24"/>
          <w:szCs w:val="24"/>
          <w:lang/>
        </w:rPr>
        <w:t>У разі переходу права власності на земельну ділянку від одного власника - юридичної або фізичної особи до іншого протягом календарного року податок сплачується попереднім власником за період з 1 січня цього року до початку того місяця, в якому припинилося право власності на зазначену земельну ділянку, а новим власником - починаючи з місяця, в якому він набув право власності.</w:t>
      </w:r>
    </w:p>
    <w:p w14:paraId="2C52D6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4" w:name="n6891"/>
      <w:bookmarkEnd w:id="8634"/>
      <w:r w:rsidRPr="008B264B">
        <w:rPr>
          <w:rFonts w:ascii="Times New Roman" w:eastAsia="Times New Roman" w:hAnsi="Times New Roman" w:cs="Times New Roman"/>
          <w:color w:val="000000"/>
          <w:sz w:val="24"/>
          <w:szCs w:val="24"/>
          <w:lang/>
        </w:rPr>
        <w:t>У разі переходу права власності на земельну ділянку від одного власника - фізичної особи до іншого протягом календарного року контролюючий орган надсилає (вручає) податкове повідомлення-рішення новому власнику після отримання інформації про перехід права власності.</w:t>
      </w:r>
    </w:p>
    <w:p w14:paraId="00F975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5" w:name="n14390"/>
      <w:bookmarkEnd w:id="8635"/>
      <w:r w:rsidRPr="008B264B">
        <w:rPr>
          <w:rFonts w:ascii="Times New Roman" w:eastAsia="Times New Roman" w:hAnsi="Times New Roman" w:cs="Times New Roman"/>
          <w:color w:val="000000"/>
          <w:sz w:val="24"/>
          <w:szCs w:val="24"/>
          <w:lang/>
        </w:rPr>
        <w:t>Якщо такий перехід відбувається після 1 липня поточного року, то контролюючий орган надсилає (вручає) попередньому власнику нове податкове повідомлення-рішення. Попереднє податкове повідомлення-рішення вважається скасованим (відкликаним).</w:t>
      </w:r>
    </w:p>
    <w:p w14:paraId="7D1249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6" w:name="n14391"/>
      <w:bookmarkEnd w:id="8636"/>
      <w:r w:rsidRPr="008B264B">
        <w:rPr>
          <w:rFonts w:ascii="Times New Roman" w:eastAsia="Times New Roman" w:hAnsi="Times New Roman" w:cs="Times New Roman"/>
          <w:color w:val="000000"/>
          <w:sz w:val="24"/>
          <w:szCs w:val="24"/>
          <w:lang/>
        </w:rPr>
        <w:t>Платники податку мають право звернутися з письмовою заявою до контролюючого органу за місцем знаходження земельної ділянки для проведення звірки даних щодо:</w:t>
      </w:r>
    </w:p>
    <w:p w14:paraId="41882B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7" w:name="n14392"/>
      <w:bookmarkEnd w:id="8637"/>
      <w:r w:rsidRPr="008B264B">
        <w:rPr>
          <w:rFonts w:ascii="Times New Roman" w:eastAsia="Times New Roman" w:hAnsi="Times New Roman" w:cs="Times New Roman"/>
          <w:color w:val="000000"/>
          <w:sz w:val="24"/>
          <w:szCs w:val="24"/>
          <w:lang/>
        </w:rPr>
        <w:t>розміру площі земельної ділянки, що перебуває у власності та/або користуванні платника податку;</w:t>
      </w:r>
    </w:p>
    <w:p w14:paraId="200119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8" w:name="n14393"/>
      <w:bookmarkEnd w:id="8638"/>
      <w:r w:rsidRPr="008B264B">
        <w:rPr>
          <w:rFonts w:ascii="Times New Roman" w:eastAsia="Times New Roman" w:hAnsi="Times New Roman" w:cs="Times New Roman"/>
          <w:color w:val="000000"/>
          <w:sz w:val="24"/>
          <w:szCs w:val="24"/>
          <w:lang/>
        </w:rPr>
        <w:t>права на користування пільгою із сплати податку;</w:t>
      </w:r>
    </w:p>
    <w:p w14:paraId="65482B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39" w:name="n14394"/>
      <w:bookmarkEnd w:id="8639"/>
      <w:r w:rsidRPr="008B264B">
        <w:rPr>
          <w:rFonts w:ascii="Times New Roman" w:eastAsia="Times New Roman" w:hAnsi="Times New Roman" w:cs="Times New Roman"/>
          <w:color w:val="000000"/>
          <w:sz w:val="24"/>
          <w:szCs w:val="24"/>
          <w:lang/>
        </w:rPr>
        <w:t>розміру ставки податку;</w:t>
      </w:r>
    </w:p>
    <w:p w14:paraId="1CC1B5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0" w:name="n14395"/>
      <w:bookmarkEnd w:id="8640"/>
      <w:r w:rsidRPr="008B264B">
        <w:rPr>
          <w:rFonts w:ascii="Times New Roman" w:eastAsia="Times New Roman" w:hAnsi="Times New Roman" w:cs="Times New Roman"/>
          <w:color w:val="000000"/>
          <w:sz w:val="24"/>
          <w:szCs w:val="24"/>
          <w:lang/>
        </w:rPr>
        <w:t>нарахованої суми податку.</w:t>
      </w:r>
    </w:p>
    <w:p w14:paraId="4E51DF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1" w:name="n14396"/>
      <w:bookmarkEnd w:id="8641"/>
      <w:r w:rsidRPr="008B264B">
        <w:rPr>
          <w:rFonts w:ascii="Times New Roman" w:eastAsia="Times New Roman" w:hAnsi="Times New Roman" w:cs="Times New Roman"/>
          <w:color w:val="000000"/>
          <w:sz w:val="24"/>
          <w:szCs w:val="24"/>
          <w:lang/>
        </w:rPr>
        <w:t>У разі виявлення розбіжностей між даними контролюючих органів та даними, підтвердженими платником податку на підставі оригіналів відповідних документів, зокрема документів на право власності, користування пільгою, контролюючий орган за місцем знаходження земельної ділянки проводить протягом десяти робочих днів перерахунок суми податку і надсилає (вручає) йому нове податкове повідомлення-рішення. Попереднє податкове повідомлення-рішення вважається скасованим (відкликаним).</w:t>
      </w:r>
    </w:p>
    <w:p w14:paraId="35F796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2" w:name="n14389"/>
      <w:bookmarkEnd w:id="8642"/>
      <w:r w:rsidRPr="008B264B">
        <w:rPr>
          <w:rFonts w:ascii="Times New Roman" w:eastAsia="Times New Roman" w:hAnsi="Times New Roman" w:cs="Times New Roman"/>
          <w:i/>
          <w:iCs/>
          <w:color w:val="000000"/>
          <w:sz w:val="24"/>
          <w:szCs w:val="24"/>
          <w:lang/>
        </w:rPr>
        <w:t>{Пункт 286.5 статті 286 в редакції Закону </w:t>
      </w:r>
      <w:hyperlink r:id="rId4745" w:anchor="n138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653A4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3" w:name="n6892"/>
      <w:bookmarkEnd w:id="8643"/>
      <w:r w:rsidRPr="008B264B">
        <w:rPr>
          <w:rFonts w:ascii="Times New Roman" w:eastAsia="Times New Roman" w:hAnsi="Times New Roman" w:cs="Times New Roman"/>
          <w:color w:val="000000"/>
          <w:sz w:val="24"/>
          <w:szCs w:val="24"/>
          <w:lang/>
        </w:rPr>
        <w:t>286.6. За земельну ділянку, на якій розташована будівля, що перебуває у спільній власності кількох юридичних або фізичних осіб, податок нараховується з урахуванням прибудинкової території кожному з таких осіб:</w:t>
      </w:r>
    </w:p>
    <w:p w14:paraId="01C869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4" w:name="n6893"/>
      <w:bookmarkEnd w:id="8644"/>
      <w:r w:rsidRPr="008B264B">
        <w:rPr>
          <w:rFonts w:ascii="Times New Roman" w:eastAsia="Times New Roman" w:hAnsi="Times New Roman" w:cs="Times New Roman"/>
          <w:color w:val="000000"/>
          <w:sz w:val="24"/>
          <w:szCs w:val="24"/>
          <w:lang/>
        </w:rPr>
        <w:t>1) у рівних частинах - якщо будівля перебуває у спільній сумісній власності кількох осіб, але не поділена в натурі, або одній з таких осіб-власників, визначеній за їх згодою, якщо інше не встановлено судом;</w:t>
      </w:r>
    </w:p>
    <w:p w14:paraId="008DB0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5" w:name="n6894"/>
      <w:bookmarkEnd w:id="8645"/>
      <w:r w:rsidRPr="008B264B">
        <w:rPr>
          <w:rFonts w:ascii="Times New Roman" w:eastAsia="Times New Roman" w:hAnsi="Times New Roman" w:cs="Times New Roman"/>
          <w:color w:val="000000"/>
          <w:sz w:val="24"/>
          <w:szCs w:val="24"/>
          <w:lang/>
        </w:rPr>
        <w:t>2) пропорційно належній частці кожної особи - якщо будівля перебуває у спільній частковій власності;</w:t>
      </w:r>
    </w:p>
    <w:p w14:paraId="56A809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6" w:name="n6895"/>
      <w:bookmarkEnd w:id="8646"/>
      <w:r w:rsidRPr="008B264B">
        <w:rPr>
          <w:rFonts w:ascii="Times New Roman" w:eastAsia="Times New Roman" w:hAnsi="Times New Roman" w:cs="Times New Roman"/>
          <w:color w:val="000000"/>
          <w:sz w:val="24"/>
          <w:szCs w:val="24"/>
          <w:lang/>
        </w:rPr>
        <w:t>3) пропорційно належній частці кожної особи - якщо будівля перебуває у спільній сумісній власності і поділена в натурі.</w:t>
      </w:r>
    </w:p>
    <w:p w14:paraId="079323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7" w:name="n6896"/>
      <w:bookmarkEnd w:id="8647"/>
      <w:r w:rsidRPr="008B264B">
        <w:rPr>
          <w:rFonts w:ascii="Times New Roman" w:eastAsia="Times New Roman" w:hAnsi="Times New Roman" w:cs="Times New Roman"/>
          <w:color w:val="000000"/>
          <w:sz w:val="24"/>
          <w:szCs w:val="24"/>
          <w:lang/>
        </w:rPr>
        <w:t>За земельну ділянку, на якій розташована будівля, що перебуває у користуванні кількох юридичних або фізичних осіб, податок нараховується кожному з них пропорційно тій частині площі будівлі, що знаходиться в їх користуванні, з урахуванням прибудинкової території.</w:t>
      </w:r>
    </w:p>
    <w:p w14:paraId="32C171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8" w:name="n6897"/>
      <w:bookmarkEnd w:id="8648"/>
      <w:r w:rsidRPr="008B264B">
        <w:rPr>
          <w:rFonts w:ascii="Times New Roman" w:eastAsia="Times New Roman" w:hAnsi="Times New Roman" w:cs="Times New Roman"/>
          <w:color w:val="000000"/>
          <w:sz w:val="24"/>
          <w:szCs w:val="24"/>
          <w:lang/>
        </w:rPr>
        <w:lastRenderedPageBreak/>
        <w:t>286.7. Юридична особа зменшує податкові зобов'язання із земельного податку на суму пільг, які надаються фізичним особам відповідно до </w:t>
      </w:r>
      <w:hyperlink r:id="rId4746" w:anchor="n6824" w:history="1">
        <w:r w:rsidRPr="008B264B">
          <w:rPr>
            <w:rFonts w:ascii="Times New Roman" w:eastAsia="Times New Roman" w:hAnsi="Times New Roman" w:cs="Times New Roman"/>
            <w:color w:val="0000FF"/>
            <w:sz w:val="24"/>
            <w:szCs w:val="24"/>
            <w:u w:val="single"/>
            <w:lang/>
          </w:rPr>
          <w:t>пункту 281.1</w:t>
        </w:r>
      </w:hyperlink>
      <w:r w:rsidRPr="008B264B">
        <w:rPr>
          <w:rFonts w:ascii="Times New Roman" w:eastAsia="Times New Roman" w:hAnsi="Times New Roman" w:cs="Times New Roman"/>
          <w:color w:val="000000"/>
          <w:sz w:val="24"/>
          <w:szCs w:val="24"/>
          <w:lang/>
        </w:rPr>
        <w:t> статті 281 цього Кодексу за земельні ділянки, що знаходяться у їх власності або постійному користуванні і входять до складу земельних ділянок такої юридичної особи.</w:t>
      </w:r>
    </w:p>
    <w:p w14:paraId="42384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49" w:name="n6898"/>
      <w:bookmarkEnd w:id="8649"/>
      <w:r w:rsidRPr="008B264B">
        <w:rPr>
          <w:rFonts w:ascii="Times New Roman" w:eastAsia="Times New Roman" w:hAnsi="Times New Roman" w:cs="Times New Roman"/>
          <w:color w:val="000000"/>
          <w:sz w:val="24"/>
          <w:szCs w:val="24"/>
          <w:lang/>
        </w:rPr>
        <w:t>Такий порядок також поширюється на визначення податкових зобов'язань із земельного податку юридичною особою за земельні ділянки, які відведені в порядку, встановленому </w:t>
      </w:r>
      <w:hyperlink r:id="rId4747"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основи соціальної захищеності осіб з інвалідністю в Україні" для безоплатного паркування (зберігання) легкових автомобілів, якими керують особи з інвалідністю з ураженням опорно-рухового апарату, члени їх сімей, яким відповідно до порядку забезпечення осіб з інвалідністю автомобілями передано право керування автомобілем, та законні представники недієздатних осіб з інвалідністю або дітей з інвалідністю, які перевозять осіб з інвалідністю (дітей з інвалідністю) з ураженням опорно-рухового апарату.</w:t>
      </w:r>
    </w:p>
    <w:p w14:paraId="04B528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0" w:name="n6899"/>
      <w:bookmarkEnd w:id="8650"/>
      <w:r w:rsidRPr="008B264B">
        <w:rPr>
          <w:rFonts w:ascii="Times New Roman" w:eastAsia="Times New Roman" w:hAnsi="Times New Roman" w:cs="Times New Roman"/>
          <w:i/>
          <w:iCs/>
          <w:color w:val="000000"/>
          <w:sz w:val="24"/>
          <w:szCs w:val="24"/>
          <w:lang/>
        </w:rPr>
        <w:t>{Абзац другий пункту 286.7 статті 286 із змінами, внесеними згідно із Законами </w:t>
      </w:r>
      <w:hyperlink r:id="rId47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749" w:anchor="n6"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34E13B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1" w:name="n6900"/>
      <w:bookmarkEnd w:id="8651"/>
      <w:r w:rsidRPr="008B264B">
        <w:rPr>
          <w:rFonts w:ascii="Times New Roman" w:eastAsia="Times New Roman" w:hAnsi="Times New Roman" w:cs="Times New Roman"/>
          <w:b/>
          <w:bCs/>
          <w:color w:val="000000"/>
          <w:sz w:val="24"/>
          <w:szCs w:val="24"/>
          <w:lang/>
        </w:rPr>
        <w:t>Стаття 287.</w:t>
      </w:r>
      <w:r w:rsidRPr="008B264B">
        <w:rPr>
          <w:rFonts w:ascii="Times New Roman" w:eastAsia="Times New Roman" w:hAnsi="Times New Roman" w:cs="Times New Roman"/>
          <w:color w:val="000000"/>
          <w:sz w:val="24"/>
          <w:szCs w:val="24"/>
          <w:lang/>
        </w:rPr>
        <w:t> Строк сплати плати за землю</w:t>
      </w:r>
    </w:p>
    <w:p w14:paraId="3FB1CA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2" w:name="n6901"/>
      <w:bookmarkEnd w:id="8652"/>
      <w:r w:rsidRPr="008B264B">
        <w:rPr>
          <w:rFonts w:ascii="Times New Roman" w:eastAsia="Times New Roman" w:hAnsi="Times New Roman" w:cs="Times New Roman"/>
          <w:color w:val="000000"/>
          <w:sz w:val="24"/>
          <w:szCs w:val="24"/>
          <w:lang/>
        </w:rPr>
        <w:t>287.1. Власники землі та землекористувачі сплачують плату за землю з дня виникнення права власності або права користування земельною ділянкою.</w:t>
      </w:r>
    </w:p>
    <w:p w14:paraId="22A3D4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3" w:name="n6902"/>
      <w:bookmarkEnd w:id="8653"/>
      <w:r w:rsidRPr="008B264B">
        <w:rPr>
          <w:rFonts w:ascii="Times New Roman" w:eastAsia="Times New Roman" w:hAnsi="Times New Roman" w:cs="Times New Roman"/>
          <w:color w:val="000000"/>
          <w:sz w:val="24"/>
          <w:szCs w:val="24"/>
          <w:lang/>
        </w:rPr>
        <w:t>У разі припинення права власності або права користування земельною ділянкою плата за землю сплачується за фактичний період перебування землі у власності або користуванні у поточному році.</w:t>
      </w:r>
    </w:p>
    <w:p w14:paraId="022DC9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4" w:name="n6903"/>
      <w:bookmarkEnd w:id="8654"/>
      <w:r w:rsidRPr="008B264B">
        <w:rPr>
          <w:rFonts w:ascii="Times New Roman" w:eastAsia="Times New Roman" w:hAnsi="Times New Roman" w:cs="Times New Roman"/>
          <w:color w:val="000000"/>
          <w:sz w:val="24"/>
          <w:szCs w:val="24"/>
          <w:lang/>
        </w:rPr>
        <w:t>287.2. Облік фізичних осіб - платників податку і нарахування відповідних сум проводяться контролюючими органами за місцем знаходження земельної ділянки щороку до 1 травня.</w:t>
      </w:r>
    </w:p>
    <w:p w14:paraId="31877A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5" w:name="n14397"/>
      <w:bookmarkEnd w:id="8655"/>
      <w:r w:rsidRPr="008B264B">
        <w:rPr>
          <w:rFonts w:ascii="Times New Roman" w:eastAsia="Times New Roman" w:hAnsi="Times New Roman" w:cs="Times New Roman"/>
          <w:i/>
          <w:iCs/>
          <w:color w:val="000000"/>
          <w:sz w:val="24"/>
          <w:szCs w:val="24"/>
          <w:lang/>
        </w:rPr>
        <w:t>{Пункт 287.2 статті 287 із змінами, внесеними згідно із Законом </w:t>
      </w:r>
      <w:hyperlink r:id="rId4750" w:anchor="n13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56030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6" w:name="n6904"/>
      <w:bookmarkEnd w:id="8656"/>
      <w:r w:rsidRPr="008B264B">
        <w:rPr>
          <w:rFonts w:ascii="Times New Roman" w:eastAsia="Times New Roman" w:hAnsi="Times New Roman" w:cs="Times New Roman"/>
          <w:color w:val="000000"/>
          <w:sz w:val="24"/>
          <w:szCs w:val="24"/>
          <w:lang/>
        </w:rPr>
        <w:t>287.3. Податкове зобов'язання щодо плати за землю, визначене у податковій декларації на поточний рік, сплачується рівними частками власниками та землекористувачами земельних ділянок за місцезнаходженням земельної ділянки за податковий період, який дорівнює календарному місяцю, щомісяця протягом 30 календарних днів, що настають за останнім календарним днем податкового (звітного) місяця.</w:t>
      </w:r>
    </w:p>
    <w:p w14:paraId="462858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7" w:name="n6905"/>
      <w:bookmarkEnd w:id="8657"/>
      <w:r w:rsidRPr="008B264B">
        <w:rPr>
          <w:rFonts w:ascii="Times New Roman" w:eastAsia="Times New Roman" w:hAnsi="Times New Roman" w:cs="Times New Roman"/>
          <w:color w:val="000000"/>
          <w:sz w:val="24"/>
          <w:szCs w:val="24"/>
          <w:lang/>
        </w:rPr>
        <w:t>287.4. Податкове зобов'язання з плати за землю, визначене у податковій декларації, у тому числі за нововідведені земельні ділянки, сплачується власниками та землекористувачами земельних ділянок за місцезнаходженням земельної ділянки за податковий період, який дорівнює календарному місяцю, щомісяця протягом 30 календарних днів, що настають за останнім календарним днем податкового (звітного) місяця.</w:t>
      </w:r>
    </w:p>
    <w:p w14:paraId="14CA93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8" w:name="n11955"/>
      <w:bookmarkEnd w:id="8658"/>
      <w:r w:rsidRPr="008B264B">
        <w:rPr>
          <w:rFonts w:ascii="Times New Roman" w:eastAsia="Times New Roman" w:hAnsi="Times New Roman" w:cs="Times New Roman"/>
          <w:i/>
          <w:iCs/>
          <w:color w:val="000000"/>
          <w:sz w:val="24"/>
          <w:szCs w:val="24"/>
          <w:lang/>
        </w:rPr>
        <w:t>{Пункт 287.4 статті 287 із змінами, внесеними згідно із Законом </w:t>
      </w:r>
      <w:hyperlink r:id="rId4751" w:anchor="n145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8A87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59" w:name="n6906"/>
      <w:bookmarkEnd w:id="8659"/>
      <w:r w:rsidRPr="008B264B">
        <w:rPr>
          <w:rFonts w:ascii="Times New Roman" w:eastAsia="Times New Roman" w:hAnsi="Times New Roman" w:cs="Times New Roman"/>
          <w:color w:val="000000"/>
          <w:sz w:val="24"/>
          <w:szCs w:val="24"/>
          <w:lang/>
        </w:rPr>
        <w:t>287.5. Податок фізичними особами сплачується протягом 60 днів з дня вручення податкового повідомлення-рішення.</w:t>
      </w:r>
    </w:p>
    <w:p w14:paraId="6F716B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0" w:name="n6907"/>
      <w:bookmarkEnd w:id="8660"/>
      <w:r w:rsidRPr="008B264B">
        <w:rPr>
          <w:rFonts w:ascii="Times New Roman" w:eastAsia="Times New Roman" w:hAnsi="Times New Roman" w:cs="Times New Roman"/>
          <w:color w:val="000000"/>
          <w:sz w:val="24"/>
          <w:szCs w:val="24"/>
          <w:lang/>
        </w:rPr>
        <w:t>Фізичними особами у сільській та селищній місцевості земельний податок може сплачуватися через каси сільських (селищних) рад або рад об’єднаних територіальних громад, що створені згідно із законом та перспективним планом формування територій громад, за квитанцією про приймання податкових платежів. </w:t>
      </w:r>
      <w:hyperlink r:id="rId4752" w:anchor="n15" w:tgtFrame="_blank" w:history="1">
        <w:r w:rsidRPr="008B264B">
          <w:rPr>
            <w:rFonts w:ascii="Times New Roman" w:eastAsia="Times New Roman" w:hAnsi="Times New Roman" w:cs="Times New Roman"/>
            <w:color w:val="0000FF"/>
            <w:sz w:val="24"/>
            <w:szCs w:val="24"/>
            <w:u w:val="single"/>
            <w:lang/>
          </w:rPr>
          <w:t>Форма квитанції</w:t>
        </w:r>
      </w:hyperlink>
      <w:r w:rsidRPr="008B264B">
        <w:rPr>
          <w:rFonts w:ascii="Times New Roman" w:eastAsia="Times New Roman" w:hAnsi="Times New Roman" w:cs="Times New Roman"/>
          <w:color w:val="000000"/>
          <w:sz w:val="24"/>
          <w:szCs w:val="24"/>
          <w:lang/>
        </w:rPr>
        <w:t> встановлюється у порядку, передбаченому </w:t>
      </w:r>
      <w:hyperlink r:id="rId4753"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w:t>
      </w:r>
    </w:p>
    <w:p w14:paraId="6D2C20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1" w:name="n12951"/>
      <w:bookmarkEnd w:id="8661"/>
      <w:r w:rsidRPr="008B264B">
        <w:rPr>
          <w:rFonts w:ascii="Times New Roman" w:eastAsia="Times New Roman" w:hAnsi="Times New Roman" w:cs="Times New Roman"/>
          <w:i/>
          <w:iCs/>
          <w:color w:val="000000"/>
          <w:sz w:val="24"/>
          <w:szCs w:val="24"/>
          <w:lang/>
        </w:rPr>
        <w:t>{Абзац другий пункту 287.5 статті 287 із змінами, внесеними згідно із Законом </w:t>
      </w:r>
      <w:hyperlink r:id="rId4754" w:anchor="n641"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0F385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2" w:name="n6908"/>
      <w:bookmarkEnd w:id="8662"/>
      <w:r w:rsidRPr="008B264B">
        <w:rPr>
          <w:rFonts w:ascii="Times New Roman" w:eastAsia="Times New Roman" w:hAnsi="Times New Roman" w:cs="Times New Roman"/>
          <w:color w:val="000000"/>
          <w:sz w:val="24"/>
          <w:szCs w:val="24"/>
          <w:lang/>
        </w:rPr>
        <w:t xml:space="preserve">287.6. При переході права власності на будівлю, споруду (їх частину) податок за земельні ділянки, на яких розташовані такі будівлі, споруди (їх частини), з урахуванням прибудинкової </w:t>
      </w:r>
      <w:r w:rsidRPr="008B264B">
        <w:rPr>
          <w:rFonts w:ascii="Times New Roman" w:eastAsia="Times New Roman" w:hAnsi="Times New Roman" w:cs="Times New Roman"/>
          <w:color w:val="000000"/>
          <w:sz w:val="24"/>
          <w:szCs w:val="24"/>
          <w:lang/>
        </w:rPr>
        <w:lastRenderedPageBreak/>
        <w:t>території сплачується на загальних підставах з дати державної реєстрації права власності на таку земельну ділянку.</w:t>
      </w:r>
    </w:p>
    <w:p w14:paraId="295A6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3" w:name="n11956"/>
      <w:bookmarkEnd w:id="8663"/>
      <w:r w:rsidRPr="008B264B">
        <w:rPr>
          <w:rFonts w:ascii="Times New Roman" w:eastAsia="Times New Roman" w:hAnsi="Times New Roman" w:cs="Times New Roman"/>
          <w:i/>
          <w:iCs/>
          <w:color w:val="000000"/>
          <w:sz w:val="24"/>
          <w:szCs w:val="24"/>
          <w:lang/>
        </w:rPr>
        <w:t>{Пункт 287.6 статті 287 із змінами, внесеними згідно із Законом </w:t>
      </w:r>
      <w:hyperlink r:id="rId4755" w:anchor="n145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C7AF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4" w:name="n6909"/>
      <w:bookmarkEnd w:id="8664"/>
      <w:r w:rsidRPr="008B264B">
        <w:rPr>
          <w:rFonts w:ascii="Times New Roman" w:eastAsia="Times New Roman" w:hAnsi="Times New Roman" w:cs="Times New Roman"/>
          <w:color w:val="000000"/>
          <w:sz w:val="24"/>
          <w:szCs w:val="24"/>
          <w:lang/>
        </w:rPr>
        <w:t>287.7. У разі надання в оренду земельних ділянок (у межах населених пунктів), окремих будівель (споруд) або їх частин власниками та землекористувачами податок за площі, що надаються в оренду, обчислюється з дати укладення договору оренди земельної ділянки або з дати укладення договору оренди будівель (їх частин).</w:t>
      </w:r>
    </w:p>
    <w:p w14:paraId="63EE82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5" w:name="n11957"/>
      <w:bookmarkEnd w:id="8665"/>
      <w:r w:rsidRPr="008B264B">
        <w:rPr>
          <w:rFonts w:ascii="Times New Roman" w:eastAsia="Times New Roman" w:hAnsi="Times New Roman" w:cs="Times New Roman"/>
          <w:i/>
          <w:iCs/>
          <w:color w:val="000000"/>
          <w:sz w:val="24"/>
          <w:szCs w:val="24"/>
          <w:lang/>
        </w:rPr>
        <w:t>{Пункт 287.7 статті 287 із змінами, внесеними згідно із Законом </w:t>
      </w:r>
      <w:hyperlink r:id="rId4756" w:anchor="n145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1264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6" w:name="n6910"/>
      <w:bookmarkEnd w:id="8666"/>
      <w:r w:rsidRPr="008B264B">
        <w:rPr>
          <w:rFonts w:ascii="Times New Roman" w:eastAsia="Times New Roman" w:hAnsi="Times New Roman" w:cs="Times New Roman"/>
          <w:color w:val="000000"/>
          <w:sz w:val="24"/>
          <w:szCs w:val="24"/>
          <w:lang/>
        </w:rPr>
        <w:t>287.8. Власник нежилого приміщення (його частини) у багатоквартирному жилому будинку сплачує до бюджету податок за площі під такими приміщеннями (їх частинами) з урахуванням пропорційної частки прибудинкової території з дати державної реєстрації права власності на нерухоме майно.</w:t>
      </w:r>
    </w:p>
    <w:p w14:paraId="6CA7C0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7" w:name="n14911"/>
      <w:bookmarkEnd w:id="8667"/>
      <w:r w:rsidRPr="008B264B">
        <w:rPr>
          <w:rFonts w:ascii="Times New Roman" w:eastAsia="Times New Roman" w:hAnsi="Times New Roman" w:cs="Times New Roman"/>
          <w:color w:val="000000"/>
          <w:sz w:val="24"/>
          <w:szCs w:val="24"/>
          <w:lang/>
        </w:rPr>
        <w:t>287.9. У разі якщо контролюючий орган не надіслав (не вручив) податкове (податкові) повідомлення-рішення у строки, встановлені цією статтею, фізичні особи звільняються від відповідальності, передбаченої цим Кодексом за несвоєчасну сплату податкового зобов’язання.</w:t>
      </w:r>
    </w:p>
    <w:p w14:paraId="7A8CE0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8" w:name="n14913"/>
      <w:bookmarkEnd w:id="8668"/>
      <w:r w:rsidRPr="008B264B">
        <w:rPr>
          <w:rFonts w:ascii="Times New Roman" w:eastAsia="Times New Roman" w:hAnsi="Times New Roman" w:cs="Times New Roman"/>
          <w:i/>
          <w:iCs/>
          <w:color w:val="000000"/>
          <w:sz w:val="24"/>
          <w:szCs w:val="24"/>
          <w:lang/>
        </w:rPr>
        <w:t>{Статтю 287 доповнено пунктом 287.9 згідно із Законом </w:t>
      </w:r>
      <w:hyperlink r:id="rId4757" w:anchor="n38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995E0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69" w:name="n14912"/>
      <w:bookmarkEnd w:id="8669"/>
      <w:r w:rsidRPr="008B264B">
        <w:rPr>
          <w:rFonts w:ascii="Times New Roman" w:eastAsia="Times New Roman" w:hAnsi="Times New Roman" w:cs="Times New Roman"/>
          <w:color w:val="000000"/>
          <w:sz w:val="24"/>
          <w:szCs w:val="24"/>
          <w:lang/>
        </w:rPr>
        <w:t>287.10. Податкове зобов’язання з цього податку може бути нараховано за податкові (звітні) періоди (роки) в межах строків, визначених </w:t>
      </w:r>
      <w:hyperlink r:id="rId4758" w:anchor="n2288" w:history="1">
        <w:r w:rsidRPr="008B264B">
          <w:rPr>
            <w:rFonts w:ascii="Times New Roman" w:eastAsia="Times New Roman" w:hAnsi="Times New Roman" w:cs="Times New Roman"/>
            <w:color w:val="0000FF"/>
            <w:sz w:val="24"/>
            <w:szCs w:val="24"/>
            <w:u w:val="single"/>
            <w:lang/>
          </w:rPr>
          <w:t>пунктом 102.1</w:t>
        </w:r>
      </w:hyperlink>
      <w:r w:rsidRPr="008B264B">
        <w:rPr>
          <w:rFonts w:ascii="Times New Roman" w:eastAsia="Times New Roman" w:hAnsi="Times New Roman" w:cs="Times New Roman"/>
          <w:color w:val="000000"/>
          <w:sz w:val="24"/>
          <w:szCs w:val="24"/>
          <w:lang/>
        </w:rPr>
        <w:t> статті 102 цього Кодексу.</w:t>
      </w:r>
    </w:p>
    <w:p w14:paraId="55DC84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0" w:name="n14910"/>
      <w:bookmarkEnd w:id="8670"/>
      <w:r w:rsidRPr="008B264B">
        <w:rPr>
          <w:rFonts w:ascii="Times New Roman" w:eastAsia="Times New Roman" w:hAnsi="Times New Roman" w:cs="Times New Roman"/>
          <w:i/>
          <w:iCs/>
          <w:color w:val="000000"/>
          <w:sz w:val="24"/>
          <w:szCs w:val="24"/>
          <w:lang/>
        </w:rPr>
        <w:t>{Статтю 287 доповнено пунктом 287.10 згідно із Законом </w:t>
      </w:r>
      <w:hyperlink r:id="rId4759" w:anchor="n38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7DA2F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1" w:name="n6911"/>
      <w:bookmarkEnd w:id="8671"/>
      <w:r w:rsidRPr="008B264B">
        <w:rPr>
          <w:rFonts w:ascii="Times New Roman" w:eastAsia="Times New Roman" w:hAnsi="Times New Roman" w:cs="Times New Roman"/>
          <w:b/>
          <w:bCs/>
          <w:color w:val="000000"/>
          <w:sz w:val="24"/>
          <w:szCs w:val="24"/>
          <w:lang/>
        </w:rPr>
        <w:t>Стаття 288.</w:t>
      </w:r>
      <w:r w:rsidRPr="008B264B">
        <w:rPr>
          <w:rFonts w:ascii="Times New Roman" w:eastAsia="Times New Roman" w:hAnsi="Times New Roman" w:cs="Times New Roman"/>
          <w:color w:val="000000"/>
          <w:sz w:val="24"/>
          <w:szCs w:val="24"/>
          <w:lang/>
        </w:rPr>
        <w:t> Орендна плата</w:t>
      </w:r>
    </w:p>
    <w:p w14:paraId="586A53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2" w:name="n6912"/>
      <w:bookmarkEnd w:id="8672"/>
      <w:r w:rsidRPr="008B264B">
        <w:rPr>
          <w:rFonts w:ascii="Times New Roman" w:eastAsia="Times New Roman" w:hAnsi="Times New Roman" w:cs="Times New Roman"/>
          <w:color w:val="000000"/>
          <w:sz w:val="24"/>
          <w:szCs w:val="24"/>
          <w:lang/>
        </w:rPr>
        <w:t>288.1. Підставою для нарахування орендної плати за земельну ділянку є договір оренди такої земельної ділянки.</w:t>
      </w:r>
    </w:p>
    <w:p w14:paraId="020899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3" w:name="n11958"/>
      <w:bookmarkEnd w:id="8673"/>
      <w:r w:rsidRPr="008B264B">
        <w:rPr>
          <w:rFonts w:ascii="Times New Roman" w:eastAsia="Times New Roman" w:hAnsi="Times New Roman" w:cs="Times New Roman"/>
          <w:i/>
          <w:iCs/>
          <w:color w:val="000000"/>
          <w:sz w:val="24"/>
          <w:szCs w:val="24"/>
          <w:lang/>
        </w:rPr>
        <w:t>{Абзац перший пункту 288.1 статті 288 із змінами, внесеними згідно із Законом </w:t>
      </w:r>
      <w:hyperlink r:id="rId4760" w:anchor="n145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4761" w:anchor="n64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EFBD9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4" w:name="n6913"/>
      <w:bookmarkEnd w:id="8674"/>
      <w:r w:rsidRPr="008B264B">
        <w:rPr>
          <w:rFonts w:ascii="Times New Roman" w:eastAsia="Times New Roman" w:hAnsi="Times New Roman" w:cs="Times New Roman"/>
          <w:color w:val="000000"/>
          <w:sz w:val="24"/>
          <w:szCs w:val="24"/>
          <w:lang/>
        </w:rPr>
        <w:t>Органи виконавчої влади та органи місцевого самоврядування, які укладають договори оренди землі, повинні до 1 лютого подавати контролюючому органу за місцезнаходженням земельної ділянки </w:t>
      </w:r>
      <w:hyperlink r:id="rId4762" w:anchor="n15" w:tgtFrame="_blank" w:history="1">
        <w:r w:rsidRPr="008B264B">
          <w:rPr>
            <w:rFonts w:ascii="Times New Roman" w:eastAsia="Times New Roman" w:hAnsi="Times New Roman" w:cs="Times New Roman"/>
            <w:color w:val="0000FF"/>
            <w:sz w:val="24"/>
            <w:szCs w:val="24"/>
            <w:u w:val="single"/>
            <w:lang/>
          </w:rPr>
          <w:t>переліки орендарів</w:t>
        </w:r>
      </w:hyperlink>
      <w:r w:rsidRPr="008B264B">
        <w:rPr>
          <w:rFonts w:ascii="Times New Roman" w:eastAsia="Times New Roman" w:hAnsi="Times New Roman" w:cs="Times New Roman"/>
          <w:color w:val="000000"/>
          <w:sz w:val="24"/>
          <w:szCs w:val="24"/>
          <w:lang/>
        </w:rPr>
        <w:t>, з якими укладено договори оренди землі на поточний рік, та інформувати відповідний контролюючий орган про укладення нових, внесення змін до існуючих договорів оренди землі та їх розірвання до 1 числа місяця, що настає за місяцем, у якому відбулися зазначені зміни.</w:t>
      </w:r>
    </w:p>
    <w:p w14:paraId="3ECCA1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5" w:name="n11960"/>
      <w:bookmarkEnd w:id="8675"/>
      <w:r w:rsidRPr="008B264B">
        <w:rPr>
          <w:rFonts w:ascii="Times New Roman" w:eastAsia="Times New Roman" w:hAnsi="Times New Roman" w:cs="Times New Roman"/>
          <w:color w:val="000000"/>
          <w:sz w:val="24"/>
          <w:szCs w:val="24"/>
          <w:lang/>
        </w:rPr>
        <w:t>Форма надання інформації затверджується центральним органом виконавчої влади, що забезпечує формування державної фінансової політики.</w:t>
      </w:r>
    </w:p>
    <w:p w14:paraId="4B61D7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6" w:name="n11959"/>
      <w:bookmarkEnd w:id="8676"/>
      <w:r w:rsidRPr="008B264B">
        <w:rPr>
          <w:rFonts w:ascii="Times New Roman" w:eastAsia="Times New Roman" w:hAnsi="Times New Roman" w:cs="Times New Roman"/>
          <w:i/>
          <w:iCs/>
          <w:color w:val="000000"/>
          <w:sz w:val="24"/>
          <w:szCs w:val="24"/>
          <w:lang/>
        </w:rPr>
        <w:t>{Пункт 288.1 статті 288 доповнено абзацом третім згідно із Законом </w:t>
      </w:r>
      <w:hyperlink r:id="rId4763" w:anchor="n14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64" w:anchor="n14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38DDD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7" w:name="n14399"/>
      <w:bookmarkEnd w:id="8677"/>
      <w:r w:rsidRPr="008B264B">
        <w:rPr>
          <w:rFonts w:ascii="Times New Roman" w:eastAsia="Times New Roman" w:hAnsi="Times New Roman" w:cs="Times New Roman"/>
          <w:color w:val="000000"/>
          <w:sz w:val="24"/>
          <w:szCs w:val="24"/>
          <w:lang/>
        </w:rPr>
        <w:t>Договір оренди земель державної і комунальної власності укладається за типовою формою, затвердженою Кабінетом Міністрів України.</w:t>
      </w:r>
    </w:p>
    <w:p w14:paraId="74781F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8" w:name="n14398"/>
      <w:bookmarkEnd w:id="8678"/>
      <w:r w:rsidRPr="008B264B">
        <w:rPr>
          <w:rFonts w:ascii="Times New Roman" w:eastAsia="Times New Roman" w:hAnsi="Times New Roman" w:cs="Times New Roman"/>
          <w:i/>
          <w:iCs/>
          <w:color w:val="000000"/>
          <w:sz w:val="24"/>
          <w:szCs w:val="24"/>
          <w:lang/>
        </w:rPr>
        <w:t>{Пункт 288.1 статті 288 доповнено абзацом четвертим згідно із Законом </w:t>
      </w:r>
      <w:hyperlink r:id="rId4765" w:anchor="n140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F6783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79" w:name="n6914"/>
      <w:bookmarkEnd w:id="8679"/>
      <w:r w:rsidRPr="008B264B">
        <w:rPr>
          <w:rFonts w:ascii="Times New Roman" w:eastAsia="Times New Roman" w:hAnsi="Times New Roman" w:cs="Times New Roman"/>
          <w:color w:val="000000"/>
          <w:sz w:val="24"/>
          <w:szCs w:val="24"/>
          <w:lang/>
        </w:rPr>
        <w:t>288.2. Платником орендної плати є орендар земельної ділянки.</w:t>
      </w:r>
    </w:p>
    <w:p w14:paraId="013F36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0" w:name="n6915"/>
      <w:bookmarkEnd w:id="8680"/>
      <w:r w:rsidRPr="008B264B">
        <w:rPr>
          <w:rFonts w:ascii="Times New Roman" w:eastAsia="Times New Roman" w:hAnsi="Times New Roman" w:cs="Times New Roman"/>
          <w:color w:val="000000"/>
          <w:sz w:val="24"/>
          <w:szCs w:val="24"/>
          <w:lang/>
        </w:rPr>
        <w:t>288.3. Об'єктом оподаткування є земельна ділянка, надана в оренду.</w:t>
      </w:r>
    </w:p>
    <w:p w14:paraId="7108C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1" w:name="n6916"/>
      <w:bookmarkEnd w:id="8681"/>
      <w:r w:rsidRPr="008B264B">
        <w:rPr>
          <w:rFonts w:ascii="Times New Roman" w:eastAsia="Times New Roman" w:hAnsi="Times New Roman" w:cs="Times New Roman"/>
          <w:color w:val="000000"/>
          <w:sz w:val="24"/>
          <w:szCs w:val="24"/>
          <w:lang/>
        </w:rPr>
        <w:t>288.4. Розмір та умови внесення орендної плати встановлюються у договорі оренди між орендодавцем (власником) і орендарем.</w:t>
      </w:r>
    </w:p>
    <w:p w14:paraId="790BDF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2" w:name="n6917"/>
      <w:bookmarkEnd w:id="8682"/>
      <w:r w:rsidRPr="008B264B">
        <w:rPr>
          <w:rFonts w:ascii="Times New Roman" w:eastAsia="Times New Roman" w:hAnsi="Times New Roman" w:cs="Times New Roman"/>
          <w:color w:val="000000"/>
          <w:sz w:val="24"/>
          <w:szCs w:val="24"/>
          <w:lang/>
        </w:rPr>
        <w:t>288.5. Розмір орендної плати встановлюється у договорі оренди, але річна сума платежу:</w:t>
      </w:r>
    </w:p>
    <w:p w14:paraId="577E8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3" w:name="n11962"/>
      <w:bookmarkEnd w:id="8683"/>
      <w:r w:rsidRPr="008B264B">
        <w:rPr>
          <w:rFonts w:ascii="Times New Roman" w:eastAsia="Times New Roman" w:hAnsi="Times New Roman" w:cs="Times New Roman"/>
          <w:color w:val="000000"/>
          <w:sz w:val="24"/>
          <w:szCs w:val="24"/>
          <w:lang/>
        </w:rPr>
        <w:lastRenderedPageBreak/>
        <w:t>288.5.1. не може бути меншою за розмір земельного податку:</w:t>
      </w:r>
    </w:p>
    <w:p w14:paraId="2C71F6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4" w:name="n14914"/>
      <w:bookmarkEnd w:id="8684"/>
      <w:r w:rsidRPr="008B264B">
        <w:rPr>
          <w:rFonts w:ascii="Times New Roman" w:eastAsia="Times New Roman" w:hAnsi="Times New Roman" w:cs="Times New Roman"/>
          <w:color w:val="000000"/>
          <w:sz w:val="24"/>
          <w:szCs w:val="24"/>
          <w:lang/>
        </w:rPr>
        <w:t>для земельних ділянок, нормативну грошову оцінку яких проведено, - у розмірі не більше 3 відсотків їх нормативної грошової оцінки, для земель загального користування - не більше 1 відсотка їх нормативної грошової оцінки, для сільськогосподарських угідь - не менше 0,3 відсотка та не більше 1 відсотка їх нормативної грошової оцінки;</w:t>
      </w:r>
    </w:p>
    <w:p w14:paraId="2B10E5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5" w:name="n14915"/>
      <w:bookmarkEnd w:id="8685"/>
      <w:r w:rsidRPr="008B264B">
        <w:rPr>
          <w:rFonts w:ascii="Times New Roman" w:eastAsia="Times New Roman" w:hAnsi="Times New Roman" w:cs="Times New Roman"/>
          <w:color w:val="000000"/>
          <w:sz w:val="24"/>
          <w:szCs w:val="24"/>
          <w:lang/>
        </w:rPr>
        <w:t>для земельних ділянок, нормативну грошову оцінку яких не проведено, - у розмірі не більше 5 відсотків нормативної грошової оцінки одиниці площі ріллі по Автономній Республіці Крим або по області, для сільськогосподарських угідь - не менше 0,3 відсотка та не більше 5 відсотків нормативної грошової оцінки одиниці площі ріллі по Автономній Республіці Крим або по області;</w:t>
      </w:r>
    </w:p>
    <w:p w14:paraId="424212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6" w:name="n14400"/>
      <w:bookmarkEnd w:id="8686"/>
      <w:r w:rsidRPr="008B264B">
        <w:rPr>
          <w:rFonts w:ascii="Times New Roman" w:eastAsia="Times New Roman" w:hAnsi="Times New Roman" w:cs="Times New Roman"/>
          <w:i/>
          <w:iCs/>
          <w:color w:val="000000"/>
          <w:sz w:val="24"/>
          <w:szCs w:val="24"/>
          <w:lang/>
        </w:rPr>
        <w:t>{Підпункт 288.5.1 пункту 288.5 статті 288 в редакції Законів </w:t>
      </w:r>
      <w:hyperlink r:id="rId4766" w:anchor="n140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4767" w:anchor="n38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BD199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7" w:name="n11963"/>
      <w:bookmarkEnd w:id="8687"/>
      <w:r w:rsidRPr="008B264B">
        <w:rPr>
          <w:rFonts w:ascii="Times New Roman" w:eastAsia="Times New Roman" w:hAnsi="Times New Roman" w:cs="Times New Roman"/>
          <w:color w:val="000000"/>
          <w:sz w:val="24"/>
          <w:szCs w:val="24"/>
          <w:lang/>
        </w:rPr>
        <w:t>288.5.2. не може перевищувати 12 відсотків нормативної грошової оцінки.</w:t>
      </w:r>
    </w:p>
    <w:p w14:paraId="32F058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8" w:name="n12377"/>
      <w:bookmarkEnd w:id="8688"/>
      <w:r w:rsidRPr="008B264B">
        <w:rPr>
          <w:rFonts w:ascii="Times New Roman" w:eastAsia="Times New Roman" w:hAnsi="Times New Roman" w:cs="Times New Roman"/>
          <w:color w:val="000000"/>
          <w:sz w:val="24"/>
          <w:szCs w:val="24"/>
          <w:lang/>
        </w:rPr>
        <w:t>288.5.3. може перевищувати граничний розмір орендної плати, встановлений у підпункті 288.5.2, у разі визначення орендаря на конкурентних засадах.</w:t>
      </w:r>
    </w:p>
    <w:p w14:paraId="4970DE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89" w:name="n12376"/>
      <w:bookmarkEnd w:id="8689"/>
      <w:r w:rsidRPr="008B264B">
        <w:rPr>
          <w:rFonts w:ascii="Times New Roman" w:eastAsia="Times New Roman" w:hAnsi="Times New Roman" w:cs="Times New Roman"/>
          <w:i/>
          <w:iCs/>
          <w:color w:val="000000"/>
          <w:sz w:val="24"/>
          <w:szCs w:val="24"/>
          <w:lang/>
        </w:rPr>
        <w:t>{Пункт 288.5 статті 288 доповнено підпунктом 288.5.3 згідно із Законом </w:t>
      </w:r>
      <w:hyperlink r:id="rId4768" w:anchor="n5" w:tgtFrame="_blank" w:history="1">
        <w:r w:rsidRPr="008B264B">
          <w:rPr>
            <w:rFonts w:ascii="Times New Roman" w:eastAsia="Times New Roman" w:hAnsi="Times New Roman" w:cs="Times New Roman"/>
            <w:i/>
            <w:iCs/>
            <w:color w:val="0000FF"/>
            <w:sz w:val="24"/>
            <w:szCs w:val="24"/>
            <w:u w:val="single"/>
            <w:lang/>
          </w:rPr>
          <w:t>№ 557-VIII від 30.06.2015</w:t>
        </w:r>
      </w:hyperlink>
      <w:r w:rsidRPr="008B264B">
        <w:rPr>
          <w:rFonts w:ascii="Times New Roman" w:eastAsia="Times New Roman" w:hAnsi="Times New Roman" w:cs="Times New Roman"/>
          <w:i/>
          <w:iCs/>
          <w:color w:val="000000"/>
          <w:sz w:val="24"/>
          <w:szCs w:val="24"/>
          <w:lang/>
        </w:rPr>
        <w:t>}</w:t>
      </w:r>
    </w:p>
    <w:p w14:paraId="0A10B9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0" w:name="n13372"/>
      <w:bookmarkEnd w:id="8690"/>
      <w:r w:rsidRPr="008B264B">
        <w:rPr>
          <w:rFonts w:ascii="Times New Roman" w:eastAsia="Times New Roman" w:hAnsi="Times New Roman" w:cs="Times New Roman"/>
          <w:color w:val="000000"/>
          <w:sz w:val="24"/>
          <w:szCs w:val="24"/>
          <w:lang/>
        </w:rPr>
        <w:t>288.5.4. для пасовищ у населених пунктах, яким надано статус гірських, не може перевищувати розміру земельного податку.</w:t>
      </w:r>
    </w:p>
    <w:p w14:paraId="3EB045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1" w:name="n13371"/>
      <w:bookmarkEnd w:id="8691"/>
      <w:r w:rsidRPr="008B264B">
        <w:rPr>
          <w:rFonts w:ascii="Times New Roman" w:eastAsia="Times New Roman" w:hAnsi="Times New Roman" w:cs="Times New Roman"/>
          <w:i/>
          <w:iCs/>
          <w:color w:val="000000"/>
          <w:sz w:val="24"/>
          <w:szCs w:val="24"/>
          <w:lang/>
        </w:rPr>
        <w:t>{Пункт 288.5 статті 288 доповнено підпунктом 288.5.4 згідно із Законом </w:t>
      </w:r>
      <w:hyperlink r:id="rId4769" w:anchor="n127"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B5861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2" w:name="n14402"/>
      <w:bookmarkEnd w:id="8692"/>
      <w:r w:rsidRPr="008B264B">
        <w:rPr>
          <w:rFonts w:ascii="Times New Roman" w:eastAsia="Times New Roman" w:hAnsi="Times New Roman" w:cs="Times New Roman"/>
          <w:color w:val="000000"/>
          <w:sz w:val="24"/>
          <w:szCs w:val="24"/>
          <w:lang/>
        </w:rPr>
        <w:t>288.5.5. для баз олімпійської, паралімпійської та дефлімпійської підготовки, </w:t>
      </w:r>
      <w:hyperlink r:id="rId4770" w:anchor="n18" w:tgtFrame="_blank" w:history="1">
        <w:r w:rsidRPr="008B264B">
          <w:rPr>
            <w:rFonts w:ascii="Times New Roman" w:eastAsia="Times New Roman" w:hAnsi="Times New Roman" w:cs="Times New Roman"/>
            <w:color w:val="0000FF"/>
            <w:sz w:val="24"/>
            <w:szCs w:val="24"/>
            <w:u w:val="single"/>
            <w:lang/>
          </w:rPr>
          <w:t>перелік</w:t>
        </w:r>
      </w:hyperlink>
      <w:r w:rsidRPr="008B264B">
        <w:rPr>
          <w:rFonts w:ascii="Times New Roman" w:eastAsia="Times New Roman" w:hAnsi="Times New Roman" w:cs="Times New Roman"/>
          <w:color w:val="000000"/>
          <w:sz w:val="24"/>
          <w:szCs w:val="24"/>
          <w:lang/>
        </w:rPr>
        <w:t> яких затверджується Кабінетом Міністрів України, не може перевищувати 0,1 відсотка нормативної грошової оцінки.</w:t>
      </w:r>
    </w:p>
    <w:p w14:paraId="58AF76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3" w:name="n14401"/>
      <w:bookmarkEnd w:id="8693"/>
      <w:r w:rsidRPr="008B264B">
        <w:rPr>
          <w:rFonts w:ascii="Times New Roman" w:eastAsia="Times New Roman" w:hAnsi="Times New Roman" w:cs="Times New Roman"/>
          <w:i/>
          <w:iCs/>
          <w:color w:val="000000"/>
          <w:sz w:val="24"/>
          <w:szCs w:val="24"/>
          <w:lang/>
        </w:rPr>
        <w:t>{Пункт 288.5 статті 288 доповнено підпунктом 288.5.5 згідно із Законом </w:t>
      </w:r>
      <w:hyperlink r:id="rId4771" w:anchor="n140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71AC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4" w:name="n11961"/>
      <w:bookmarkEnd w:id="8694"/>
      <w:r w:rsidRPr="008B264B">
        <w:rPr>
          <w:rFonts w:ascii="Times New Roman" w:eastAsia="Times New Roman" w:hAnsi="Times New Roman" w:cs="Times New Roman"/>
          <w:i/>
          <w:iCs/>
          <w:color w:val="000000"/>
          <w:sz w:val="24"/>
          <w:szCs w:val="24"/>
          <w:lang/>
        </w:rPr>
        <w:t>{Пункт 288.5 статті 288 із змінами, внесеними згідно із Законами </w:t>
      </w:r>
      <w:hyperlink r:id="rId477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4773" w:anchor="n23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4774" w:anchor="n146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FD0F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5" w:name="n6927"/>
      <w:bookmarkEnd w:id="8695"/>
      <w:r w:rsidRPr="008B264B">
        <w:rPr>
          <w:rFonts w:ascii="Times New Roman" w:eastAsia="Times New Roman" w:hAnsi="Times New Roman" w:cs="Times New Roman"/>
          <w:color w:val="000000"/>
          <w:sz w:val="24"/>
          <w:szCs w:val="24"/>
          <w:lang/>
        </w:rPr>
        <w:t>288.6. Плата за суборенду земельних ділянок не може перевищувати орендної плати.</w:t>
      </w:r>
    </w:p>
    <w:p w14:paraId="0C3557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6" w:name="n6928"/>
      <w:bookmarkEnd w:id="8696"/>
      <w:r w:rsidRPr="008B264B">
        <w:rPr>
          <w:rFonts w:ascii="Times New Roman" w:eastAsia="Times New Roman" w:hAnsi="Times New Roman" w:cs="Times New Roman"/>
          <w:color w:val="000000"/>
          <w:sz w:val="24"/>
          <w:szCs w:val="24"/>
          <w:lang/>
        </w:rPr>
        <w:t>288.7. Податковий період, порядок обчислення орендної плати, строк сплати та порядок її зарахування до бюджетів застосовується відповідно до вимог </w:t>
      </w:r>
      <w:hyperlink r:id="rId4775" w:anchor="n6875" w:history="1">
        <w:r w:rsidRPr="008B264B">
          <w:rPr>
            <w:rFonts w:ascii="Times New Roman" w:eastAsia="Times New Roman" w:hAnsi="Times New Roman" w:cs="Times New Roman"/>
            <w:color w:val="0000FF"/>
            <w:sz w:val="24"/>
            <w:szCs w:val="24"/>
            <w:u w:val="single"/>
            <w:lang/>
          </w:rPr>
          <w:t>статей 285-287</w:t>
        </w:r>
      </w:hyperlink>
      <w:r w:rsidRPr="008B264B">
        <w:rPr>
          <w:rFonts w:ascii="Times New Roman" w:eastAsia="Times New Roman" w:hAnsi="Times New Roman" w:cs="Times New Roman"/>
          <w:color w:val="000000"/>
          <w:sz w:val="24"/>
          <w:szCs w:val="24"/>
          <w:lang/>
        </w:rPr>
        <w:t> цього розділу.</w:t>
      </w:r>
    </w:p>
    <w:p w14:paraId="75613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7" w:name="n6929"/>
      <w:bookmarkEnd w:id="8697"/>
      <w:r w:rsidRPr="008B264B">
        <w:rPr>
          <w:rFonts w:ascii="Times New Roman" w:eastAsia="Times New Roman" w:hAnsi="Times New Roman" w:cs="Times New Roman"/>
          <w:b/>
          <w:bCs/>
          <w:color w:val="000000"/>
          <w:sz w:val="24"/>
          <w:szCs w:val="24"/>
          <w:lang/>
        </w:rPr>
        <w:t>Стаття 289.</w:t>
      </w:r>
      <w:r w:rsidRPr="008B264B">
        <w:rPr>
          <w:rFonts w:ascii="Times New Roman" w:eastAsia="Times New Roman" w:hAnsi="Times New Roman" w:cs="Times New Roman"/>
          <w:color w:val="000000"/>
          <w:sz w:val="24"/>
          <w:szCs w:val="24"/>
          <w:lang/>
        </w:rPr>
        <w:t> Індексація нормативної грошової оцінки земель</w:t>
      </w:r>
    </w:p>
    <w:p w14:paraId="2D0D1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8" w:name="n6930"/>
      <w:bookmarkEnd w:id="8698"/>
      <w:r w:rsidRPr="008B264B">
        <w:rPr>
          <w:rFonts w:ascii="Times New Roman" w:eastAsia="Times New Roman" w:hAnsi="Times New Roman" w:cs="Times New Roman"/>
          <w:color w:val="000000"/>
          <w:sz w:val="24"/>
          <w:szCs w:val="24"/>
          <w:lang/>
        </w:rPr>
        <w:t>289.1. Для визначення розміру податку та орендної плати використовується нормативна грошова оцінка земельних ділянок.</w:t>
      </w:r>
    </w:p>
    <w:p w14:paraId="6AE43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699" w:name="n6931"/>
      <w:bookmarkEnd w:id="8699"/>
      <w:r w:rsidRPr="008B264B">
        <w:rPr>
          <w:rFonts w:ascii="Times New Roman" w:eastAsia="Times New Roman" w:hAnsi="Times New Roman" w:cs="Times New Roman"/>
          <w:color w:val="000000"/>
          <w:sz w:val="24"/>
          <w:szCs w:val="24"/>
          <w:lang/>
        </w:rPr>
        <w:t>Центральний орган виконавчої влади, що реалізує державну політику у сфері земельних відносин здійснює управління у сфері оцінки земель та земельних ділянок.</w:t>
      </w:r>
    </w:p>
    <w:p w14:paraId="51777B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0" w:name="n6932"/>
      <w:bookmarkEnd w:id="8700"/>
      <w:r w:rsidRPr="008B264B">
        <w:rPr>
          <w:rFonts w:ascii="Times New Roman" w:eastAsia="Times New Roman" w:hAnsi="Times New Roman" w:cs="Times New Roman"/>
          <w:color w:val="000000"/>
          <w:sz w:val="24"/>
          <w:szCs w:val="24"/>
          <w:lang/>
        </w:rPr>
        <w:t>289.2. Центральний орган виконавчої влади, що реалізує державну політику у сфері земельних відносин за індексом споживчих цін за попередній рік щороку розраховує величину коефіцієнта індексації нормативної грошової оцінки земель, на який індексується нормативна грошова оцінка сільськогосподарських угідь, земель населених пунктів та інших земель несільськогосподарського призначення за станом на 1 січня поточного року, що визначається за формулою:</w:t>
      </w:r>
    </w:p>
    <w:p w14:paraId="6FCA5031" w14:textId="77777777" w:rsidR="008B264B" w:rsidRPr="008B264B" w:rsidRDefault="008B264B" w:rsidP="008B264B">
      <w:pPr>
        <w:spacing w:before="150" w:after="150" w:line="240" w:lineRule="auto"/>
        <w:jc w:val="center"/>
        <w:rPr>
          <w:rFonts w:ascii="Times New Roman" w:eastAsia="Times New Roman" w:hAnsi="Times New Roman" w:cs="Times New Roman"/>
          <w:color w:val="000000"/>
          <w:sz w:val="24"/>
          <w:szCs w:val="24"/>
          <w:lang/>
        </w:rPr>
      </w:pPr>
      <w:bookmarkStart w:id="8701" w:name="n6933"/>
      <w:bookmarkEnd w:id="8701"/>
      <w:r w:rsidRPr="008B264B">
        <w:rPr>
          <w:rFonts w:ascii="Times New Roman" w:eastAsia="Times New Roman" w:hAnsi="Times New Roman" w:cs="Times New Roman"/>
          <w:color w:val="000000"/>
          <w:sz w:val="24"/>
          <w:szCs w:val="24"/>
          <w:lang/>
        </w:rPr>
        <w:t>Кi = І:100,</w:t>
      </w:r>
    </w:p>
    <w:p w14:paraId="3F734E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2" w:name="n6934"/>
      <w:bookmarkEnd w:id="8702"/>
      <w:r w:rsidRPr="008B264B">
        <w:rPr>
          <w:rFonts w:ascii="Times New Roman" w:eastAsia="Times New Roman" w:hAnsi="Times New Roman" w:cs="Times New Roman"/>
          <w:color w:val="000000"/>
          <w:sz w:val="24"/>
          <w:szCs w:val="24"/>
          <w:lang/>
        </w:rPr>
        <w:t>де І - індекс споживчих цін за попередній рік.</w:t>
      </w:r>
    </w:p>
    <w:p w14:paraId="45958C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3" w:name="n6935"/>
      <w:bookmarkEnd w:id="8703"/>
      <w:r w:rsidRPr="008B264B">
        <w:rPr>
          <w:rFonts w:ascii="Times New Roman" w:eastAsia="Times New Roman" w:hAnsi="Times New Roman" w:cs="Times New Roman"/>
          <w:color w:val="000000"/>
          <w:sz w:val="24"/>
          <w:szCs w:val="24"/>
          <w:lang/>
        </w:rPr>
        <w:lastRenderedPageBreak/>
        <w:t>У разі якщо індекс споживчих цін перевищує 115 відсотків, такий індекс застосовується із значенням 115.</w:t>
      </w:r>
    </w:p>
    <w:p w14:paraId="1533A5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4" w:name="n14403"/>
      <w:bookmarkEnd w:id="8704"/>
      <w:r w:rsidRPr="008B264B">
        <w:rPr>
          <w:rFonts w:ascii="Times New Roman" w:eastAsia="Times New Roman" w:hAnsi="Times New Roman" w:cs="Times New Roman"/>
          <w:i/>
          <w:iCs/>
          <w:color w:val="000000"/>
          <w:sz w:val="24"/>
          <w:szCs w:val="24"/>
          <w:lang/>
        </w:rPr>
        <w:t>{Абзац четвертий пункту 289.2 статті 289 в редакції Закону </w:t>
      </w:r>
      <w:hyperlink r:id="rId4776" w:anchor="n140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9680A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5" w:name="n6936"/>
      <w:bookmarkEnd w:id="8705"/>
      <w:r w:rsidRPr="008B264B">
        <w:rPr>
          <w:rFonts w:ascii="Times New Roman" w:eastAsia="Times New Roman" w:hAnsi="Times New Roman" w:cs="Times New Roman"/>
          <w:color w:val="000000"/>
          <w:sz w:val="24"/>
          <w:szCs w:val="24"/>
          <w:lang/>
        </w:rPr>
        <w:t>Коефіцієнт індексації нормативної грошової оцінки земель застосовується кумулятивно залежно від дати проведення нормативної грошової оцінки земель.</w:t>
      </w:r>
    </w:p>
    <w:p w14:paraId="275E5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6" w:name="n11964"/>
      <w:bookmarkEnd w:id="8706"/>
      <w:r w:rsidRPr="008B264B">
        <w:rPr>
          <w:rFonts w:ascii="Times New Roman" w:eastAsia="Times New Roman" w:hAnsi="Times New Roman" w:cs="Times New Roman"/>
          <w:i/>
          <w:iCs/>
          <w:color w:val="000000"/>
          <w:sz w:val="24"/>
          <w:szCs w:val="24"/>
          <w:lang/>
        </w:rPr>
        <w:t>{Пункт 289.2 статті 289 із змінами, внесеними згідно із Законом </w:t>
      </w:r>
      <w:hyperlink r:id="rId4777" w:anchor="n146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A4C89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7" w:name="n6937"/>
      <w:bookmarkEnd w:id="8707"/>
      <w:r w:rsidRPr="008B264B">
        <w:rPr>
          <w:rFonts w:ascii="Times New Roman" w:eastAsia="Times New Roman" w:hAnsi="Times New Roman" w:cs="Times New Roman"/>
          <w:color w:val="000000"/>
          <w:sz w:val="24"/>
          <w:szCs w:val="24"/>
          <w:lang/>
        </w:rPr>
        <w:t>289.3. Центральний орган виконавчої влади, що реалізує державну політику у сфері земельних відносин, Рада міністрів Автономної Республіки Крим, обласні, Київська та Севастопольська міські державні адміністрації не пізніше 15 січня поточного року забезпечують інформування центрального органу виконавчої влади, що реалізує державну податкову і митну політику, і власників землі та землекористувачів про щорічну індексацію нормативної грошової оцінки земель.</w:t>
      </w:r>
    </w:p>
    <w:p w14:paraId="154691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8" w:name="n6938"/>
      <w:bookmarkEnd w:id="8708"/>
      <w:r w:rsidRPr="008B264B">
        <w:rPr>
          <w:rFonts w:ascii="Times New Roman" w:eastAsia="Times New Roman" w:hAnsi="Times New Roman" w:cs="Times New Roman"/>
          <w:i/>
          <w:iCs/>
          <w:color w:val="000000"/>
          <w:sz w:val="24"/>
          <w:szCs w:val="24"/>
          <w:lang/>
        </w:rPr>
        <w:t>{Пункт 289.3 статті 289 із змінами, внесеними згідно із Законами </w:t>
      </w:r>
      <w:hyperlink r:id="rId4778" w:anchor="n28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779" w:anchor="n1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F482E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09" w:name="n6939"/>
      <w:bookmarkEnd w:id="8709"/>
      <w:r w:rsidRPr="008B264B">
        <w:rPr>
          <w:rFonts w:ascii="Times New Roman" w:eastAsia="Times New Roman" w:hAnsi="Times New Roman" w:cs="Times New Roman"/>
          <w:i/>
          <w:iCs/>
          <w:color w:val="000000"/>
          <w:sz w:val="24"/>
          <w:szCs w:val="24"/>
          <w:lang/>
        </w:rPr>
        <w:t>{Статтю 290 виключено на підставі Закону </w:t>
      </w:r>
      <w:hyperlink r:id="rId4780" w:anchor="n14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F1A45D8"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8710" w:name="n6941"/>
      <w:bookmarkEnd w:id="8710"/>
      <w:r w:rsidRPr="008B264B">
        <w:rPr>
          <w:rFonts w:ascii="Times New Roman" w:eastAsia="Times New Roman" w:hAnsi="Times New Roman" w:cs="Times New Roman"/>
          <w:b/>
          <w:bCs/>
          <w:color w:val="000000"/>
          <w:sz w:val="28"/>
          <w:szCs w:val="28"/>
          <w:lang/>
        </w:rPr>
        <w:t>РОЗДІЛ XIV. СПЕЦІАЛЬНІ ПОДАТКОВІ РЕЖИМИ</w:t>
      </w:r>
    </w:p>
    <w:p w14:paraId="4DF622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1" w:name="n6942"/>
      <w:bookmarkEnd w:id="8711"/>
      <w:r w:rsidRPr="008B264B">
        <w:rPr>
          <w:rFonts w:ascii="Times New Roman" w:eastAsia="Times New Roman" w:hAnsi="Times New Roman" w:cs="Times New Roman"/>
          <w:b/>
          <w:bCs/>
          <w:color w:val="000000"/>
          <w:sz w:val="28"/>
          <w:szCs w:val="28"/>
          <w:lang/>
        </w:rPr>
        <w:t>ГЛАВА 1</w:t>
      </w:r>
      <w:r w:rsidRPr="008B264B">
        <w:rPr>
          <w:rFonts w:ascii="Times New Roman" w:eastAsia="Times New Roman" w:hAnsi="Times New Roman" w:cs="Times New Roman"/>
          <w:color w:val="000000"/>
          <w:sz w:val="24"/>
          <w:szCs w:val="24"/>
          <w:lang/>
        </w:rPr>
        <w:t> виключена.</w:t>
      </w:r>
    </w:p>
    <w:p w14:paraId="769BF0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2" w:name="n6943"/>
      <w:bookmarkEnd w:id="8712"/>
      <w:r w:rsidRPr="008B264B">
        <w:rPr>
          <w:rFonts w:ascii="Times New Roman" w:eastAsia="Times New Roman" w:hAnsi="Times New Roman" w:cs="Times New Roman"/>
          <w:i/>
          <w:iCs/>
          <w:color w:val="000000"/>
          <w:sz w:val="24"/>
          <w:szCs w:val="24"/>
          <w:lang/>
        </w:rPr>
        <w:t>{До розділу XIV включено главу 1 згідно із Законом </w:t>
      </w:r>
      <w:hyperlink r:id="rId4781"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5756FF51"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8713" w:name="n6944"/>
      <w:bookmarkEnd w:id="8713"/>
      <w:r w:rsidRPr="008B264B">
        <w:rPr>
          <w:rFonts w:ascii="Times New Roman" w:eastAsia="Times New Roman" w:hAnsi="Times New Roman" w:cs="Times New Roman"/>
          <w:b/>
          <w:bCs/>
          <w:color w:val="000000"/>
          <w:sz w:val="28"/>
          <w:szCs w:val="28"/>
          <w:lang/>
        </w:rPr>
        <w:t>ГЛАВА 1. СПРОЩЕНА СИСТЕМА ОПОДАТКУВАННЯ, ОБЛІКУ ТА ЗВІТНОСТІ</w:t>
      </w:r>
    </w:p>
    <w:p w14:paraId="3F8DB9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4" w:name="n6945"/>
      <w:bookmarkEnd w:id="8714"/>
      <w:r w:rsidRPr="008B264B">
        <w:rPr>
          <w:rFonts w:ascii="Times New Roman" w:eastAsia="Times New Roman" w:hAnsi="Times New Roman" w:cs="Times New Roman"/>
          <w:i/>
          <w:iCs/>
          <w:color w:val="000000"/>
          <w:sz w:val="24"/>
          <w:szCs w:val="24"/>
          <w:lang/>
        </w:rPr>
        <w:t>{Глава 1 розділу XIV набирає чинності з 1 січня 2012 року, крім підпункту 1 підпункту 291.5.1 пункту 291.5 статті 291 та пункту 293.2 статті 293 - див. п.1 розділу II Закону </w:t>
      </w:r>
      <w:hyperlink r:id="rId4782"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3B15B6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5" w:name="n6946"/>
      <w:bookmarkEnd w:id="8715"/>
      <w:r w:rsidRPr="008B264B">
        <w:rPr>
          <w:rFonts w:ascii="Times New Roman" w:eastAsia="Times New Roman" w:hAnsi="Times New Roman" w:cs="Times New Roman"/>
          <w:b/>
          <w:bCs/>
          <w:color w:val="000000"/>
          <w:sz w:val="24"/>
          <w:szCs w:val="24"/>
          <w:lang/>
        </w:rPr>
        <w:t>Стаття 291.</w:t>
      </w:r>
      <w:r w:rsidRPr="008B264B">
        <w:rPr>
          <w:rFonts w:ascii="Times New Roman" w:eastAsia="Times New Roman" w:hAnsi="Times New Roman" w:cs="Times New Roman"/>
          <w:color w:val="000000"/>
          <w:sz w:val="24"/>
          <w:szCs w:val="24"/>
          <w:lang/>
        </w:rPr>
        <w:t> Загальні положення</w:t>
      </w:r>
    </w:p>
    <w:p w14:paraId="4B0D65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6" w:name="n6947"/>
      <w:bookmarkEnd w:id="8716"/>
      <w:r w:rsidRPr="008B264B">
        <w:rPr>
          <w:rFonts w:ascii="Times New Roman" w:eastAsia="Times New Roman" w:hAnsi="Times New Roman" w:cs="Times New Roman"/>
          <w:color w:val="000000"/>
          <w:sz w:val="24"/>
          <w:szCs w:val="24"/>
          <w:lang/>
        </w:rPr>
        <w:t>291.1. У цій главі встановлюються правові засади застосування спрощеної системи оподаткування, обліку та звітності, а також справляння єдиного податку.</w:t>
      </w:r>
    </w:p>
    <w:p w14:paraId="5BF461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7" w:name="n6948"/>
      <w:bookmarkEnd w:id="8717"/>
      <w:r w:rsidRPr="008B264B">
        <w:rPr>
          <w:rFonts w:ascii="Times New Roman" w:eastAsia="Times New Roman" w:hAnsi="Times New Roman" w:cs="Times New Roman"/>
          <w:color w:val="000000"/>
          <w:sz w:val="24"/>
          <w:szCs w:val="24"/>
          <w:lang/>
        </w:rPr>
        <w:t>291.2. Спрощена система оподаткування, обліку та звітності - особливий механізм справляння податків і зборів, що встановлює заміну сплати окремих податків і зборів, встановлених </w:t>
      </w:r>
      <w:hyperlink r:id="rId4783" w:anchor="n7201" w:history="1">
        <w:r w:rsidRPr="008B264B">
          <w:rPr>
            <w:rFonts w:ascii="Times New Roman" w:eastAsia="Times New Roman" w:hAnsi="Times New Roman" w:cs="Times New Roman"/>
            <w:color w:val="0000FF"/>
            <w:sz w:val="24"/>
            <w:szCs w:val="24"/>
            <w:u w:val="single"/>
            <w:lang/>
          </w:rPr>
          <w:t>пунктом 297.1</w:t>
        </w:r>
      </w:hyperlink>
      <w:r w:rsidRPr="008B264B">
        <w:rPr>
          <w:rFonts w:ascii="Times New Roman" w:eastAsia="Times New Roman" w:hAnsi="Times New Roman" w:cs="Times New Roman"/>
          <w:color w:val="000000"/>
          <w:sz w:val="24"/>
          <w:szCs w:val="24"/>
          <w:lang/>
        </w:rPr>
        <w:t> статті 297 цього Кодексу, на сплату єдиного податку в порядку та на умовах, визначених цією главою, з одночасним веденням спрощеного обліку та звітності.</w:t>
      </w:r>
    </w:p>
    <w:p w14:paraId="494BDC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8" w:name="n6949"/>
      <w:bookmarkEnd w:id="8718"/>
      <w:r w:rsidRPr="008B264B">
        <w:rPr>
          <w:rFonts w:ascii="Times New Roman" w:eastAsia="Times New Roman" w:hAnsi="Times New Roman" w:cs="Times New Roman"/>
          <w:color w:val="000000"/>
          <w:sz w:val="24"/>
          <w:szCs w:val="24"/>
          <w:lang/>
        </w:rPr>
        <w:t>291.3. Юридична особа чи фізична особа - підприємець може самостійно обрати спрощену систему оподаткування, якщо така особа відповідає вимогам, встановленим цією главою, та реєструється платником єдиного податку в порядку, визначеному цією главою.</w:t>
      </w:r>
    </w:p>
    <w:p w14:paraId="7E679A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19" w:name="n6950"/>
      <w:bookmarkEnd w:id="8719"/>
      <w:r w:rsidRPr="008B264B">
        <w:rPr>
          <w:rFonts w:ascii="Times New Roman" w:eastAsia="Times New Roman" w:hAnsi="Times New Roman" w:cs="Times New Roman"/>
          <w:color w:val="000000"/>
          <w:sz w:val="24"/>
          <w:szCs w:val="24"/>
          <w:lang/>
        </w:rPr>
        <w:t>291.4. Суб'єкти господарювання, які застосовують спрощену систему оподаткування, обліку та звітності, поділяються на такі групи платників єдиного податку:</w:t>
      </w:r>
    </w:p>
    <w:p w14:paraId="6798A3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0" w:name="n6951"/>
      <w:bookmarkEnd w:id="8720"/>
      <w:r w:rsidRPr="008B264B">
        <w:rPr>
          <w:rFonts w:ascii="Times New Roman" w:eastAsia="Times New Roman" w:hAnsi="Times New Roman" w:cs="Times New Roman"/>
          <w:color w:val="000000"/>
          <w:sz w:val="24"/>
          <w:szCs w:val="24"/>
          <w:lang/>
        </w:rPr>
        <w:t>1) перша група - фізичні особи - підприємці, які не використовують працю найманих осіб, здійснюють виключно роздрібний продаж товарів з торговельних місць на ринках та/або провадять господарську діяльність з надання побутових послуг населенню і обсяг доходу яких протягом календарного року не перевищує 300000 гривень;</w:t>
      </w:r>
    </w:p>
    <w:p w14:paraId="65B59F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1" w:name="n11965"/>
      <w:bookmarkEnd w:id="8721"/>
      <w:r w:rsidRPr="008B264B">
        <w:rPr>
          <w:rFonts w:ascii="Times New Roman" w:eastAsia="Times New Roman" w:hAnsi="Times New Roman" w:cs="Times New Roman"/>
          <w:i/>
          <w:iCs/>
          <w:color w:val="000000"/>
          <w:sz w:val="24"/>
          <w:szCs w:val="24"/>
          <w:lang/>
        </w:rPr>
        <w:t>{Підпункт 1 пункту 291.4 статті 291 із змінами, внесеними згідно із Законом </w:t>
      </w:r>
      <w:hyperlink r:id="rId4784" w:anchor="n14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A436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2" w:name="n6952"/>
      <w:bookmarkEnd w:id="8722"/>
      <w:r w:rsidRPr="008B264B">
        <w:rPr>
          <w:rFonts w:ascii="Times New Roman" w:eastAsia="Times New Roman" w:hAnsi="Times New Roman" w:cs="Times New Roman"/>
          <w:color w:val="000000"/>
          <w:sz w:val="24"/>
          <w:szCs w:val="24"/>
          <w:lang/>
        </w:rPr>
        <w:t xml:space="preserve">2) друга група - фізичні особи - підприємці, які здійснюють господарську діяльність з надання послуг, у тому числі побутових, платникам єдиного податку та/або населенню, </w:t>
      </w:r>
      <w:r w:rsidRPr="008B264B">
        <w:rPr>
          <w:rFonts w:ascii="Times New Roman" w:eastAsia="Times New Roman" w:hAnsi="Times New Roman" w:cs="Times New Roman"/>
          <w:color w:val="000000"/>
          <w:sz w:val="24"/>
          <w:szCs w:val="24"/>
          <w:lang/>
        </w:rPr>
        <w:lastRenderedPageBreak/>
        <w:t>виробництво та/або продаж товарів, діяльність у сфері ресторанного господарства, за умови, що протягом календарного року відповідають сукупності таких критеріїв:</w:t>
      </w:r>
    </w:p>
    <w:p w14:paraId="4DD458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3" w:name="n6953"/>
      <w:bookmarkEnd w:id="8723"/>
      <w:r w:rsidRPr="008B264B">
        <w:rPr>
          <w:rFonts w:ascii="Times New Roman" w:eastAsia="Times New Roman" w:hAnsi="Times New Roman" w:cs="Times New Roman"/>
          <w:color w:val="000000"/>
          <w:sz w:val="24"/>
          <w:szCs w:val="24"/>
          <w:lang/>
        </w:rPr>
        <w:t>не використовують працю найманих осіб або кількість осіб, які перебувають з ними у трудових відносинах, одночасно не перевищує 10 осіб;</w:t>
      </w:r>
    </w:p>
    <w:p w14:paraId="665267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4" w:name="n6954"/>
      <w:bookmarkEnd w:id="8724"/>
      <w:r w:rsidRPr="008B264B">
        <w:rPr>
          <w:rFonts w:ascii="Times New Roman" w:eastAsia="Times New Roman" w:hAnsi="Times New Roman" w:cs="Times New Roman"/>
          <w:color w:val="000000"/>
          <w:sz w:val="24"/>
          <w:szCs w:val="24"/>
          <w:lang/>
        </w:rPr>
        <w:t>обсяг доходу не перевищує 1500000 гривень.</w:t>
      </w:r>
    </w:p>
    <w:p w14:paraId="02467D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5" w:name="n11966"/>
      <w:bookmarkEnd w:id="8725"/>
      <w:r w:rsidRPr="008B264B">
        <w:rPr>
          <w:rFonts w:ascii="Times New Roman" w:eastAsia="Times New Roman" w:hAnsi="Times New Roman" w:cs="Times New Roman"/>
          <w:i/>
          <w:iCs/>
          <w:color w:val="000000"/>
          <w:sz w:val="24"/>
          <w:szCs w:val="24"/>
          <w:lang/>
        </w:rPr>
        <w:t>{Абзац третій підпункту 2 пункту 291.4 статті 291 із змінами, внесеними згідно із Законом </w:t>
      </w:r>
      <w:hyperlink r:id="rId4785" w:anchor="n14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545B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6" w:name="n6955"/>
      <w:bookmarkEnd w:id="8726"/>
      <w:r w:rsidRPr="008B264B">
        <w:rPr>
          <w:rFonts w:ascii="Times New Roman" w:eastAsia="Times New Roman" w:hAnsi="Times New Roman" w:cs="Times New Roman"/>
          <w:color w:val="000000"/>
          <w:sz w:val="24"/>
          <w:szCs w:val="24"/>
          <w:lang/>
        </w:rPr>
        <w:t>Дія цього підпункту не поширюється на фізичних осіб - підприємців, які надають посередницькі послуги з купівлі, продажу, оренди та оцінювання нерухомого майна (група 70.31 </w:t>
      </w:r>
      <w:hyperlink r:id="rId4786" w:tgtFrame="_blank" w:history="1">
        <w:r w:rsidRPr="008B264B">
          <w:rPr>
            <w:rFonts w:ascii="Times New Roman" w:eastAsia="Times New Roman" w:hAnsi="Times New Roman" w:cs="Times New Roman"/>
            <w:color w:val="0000FF"/>
            <w:sz w:val="24"/>
            <w:szCs w:val="24"/>
            <w:u w:val="single"/>
            <w:lang/>
          </w:rPr>
          <w:t>КВЕД ДК 009:2005</w:t>
        </w:r>
      </w:hyperlink>
      <w:r w:rsidRPr="008B264B">
        <w:rPr>
          <w:rFonts w:ascii="Times New Roman" w:eastAsia="Times New Roman" w:hAnsi="Times New Roman" w:cs="Times New Roman"/>
          <w:color w:val="000000"/>
          <w:sz w:val="24"/>
          <w:szCs w:val="24"/>
          <w:lang/>
        </w:rPr>
        <w:t>), а також здійснюють діяльність з виробництва, постачання, продажу (реалізації) ювелірних та побутових виробів з дорогоцінних металів, дорогоцінного каміння, дорогоцінного каміння органогенного утворення та напівдорогоцінного каміння. Такі фізичні особи - підприємці належать виключно до третьої групи платників єдиного податку, якщо відповідають вимогам, встановленим для такої групи;</w:t>
      </w:r>
    </w:p>
    <w:p w14:paraId="7046B1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7" w:name="n6956"/>
      <w:bookmarkEnd w:id="8727"/>
      <w:r w:rsidRPr="008B264B">
        <w:rPr>
          <w:rFonts w:ascii="Times New Roman" w:eastAsia="Times New Roman" w:hAnsi="Times New Roman" w:cs="Times New Roman"/>
          <w:i/>
          <w:iCs/>
          <w:color w:val="000000"/>
          <w:sz w:val="24"/>
          <w:szCs w:val="24"/>
          <w:lang/>
        </w:rPr>
        <w:t>{Абзац четвертий підпункту 2 пункту 291.4 статті 291 із змінами, внесеними згідно із Законами </w:t>
      </w:r>
      <w:hyperlink r:id="rId4787" w:anchor="n42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788" w:anchor="n28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789" w:anchor="n147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317BC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8" w:name="n6957"/>
      <w:bookmarkEnd w:id="8728"/>
      <w:r w:rsidRPr="008B264B">
        <w:rPr>
          <w:rFonts w:ascii="Times New Roman" w:eastAsia="Times New Roman" w:hAnsi="Times New Roman" w:cs="Times New Roman"/>
          <w:color w:val="000000"/>
          <w:sz w:val="24"/>
          <w:szCs w:val="24"/>
          <w:lang/>
        </w:rPr>
        <w:t>3) третя група - фізичні особи - підприємці, які не використовують працю найманих осіб або кількість осіб, які перебувають з ними у трудових відносинах, не обмежена та юридичні особи - суб’єкти господарювання будь-якої організаційно-правової форми, у яких протягом календарного року обсяг доходу не перевищує 5000000 гривень;</w:t>
      </w:r>
    </w:p>
    <w:p w14:paraId="20B6DC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29" w:name="n11967"/>
      <w:bookmarkEnd w:id="8729"/>
      <w:r w:rsidRPr="008B264B">
        <w:rPr>
          <w:rFonts w:ascii="Times New Roman" w:eastAsia="Times New Roman" w:hAnsi="Times New Roman" w:cs="Times New Roman"/>
          <w:i/>
          <w:iCs/>
          <w:color w:val="000000"/>
          <w:sz w:val="24"/>
          <w:szCs w:val="24"/>
          <w:lang/>
        </w:rPr>
        <w:t>{Підпункт 3 пункту 291.4 статті 291 в редакції Закону </w:t>
      </w:r>
      <w:hyperlink r:id="rId4790" w:anchor="n14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791" w:anchor="n64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22411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0" w:name="n6960"/>
      <w:bookmarkEnd w:id="8730"/>
      <w:r w:rsidRPr="008B264B">
        <w:rPr>
          <w:rFonts w:ascii="Times New Roman" w:eastAsia="Times New Roman" w:hAnsi="Times New Roman" w:cs="Times New Roman"/>
          <w:color w:val="000000"/>
          <w:sz w:val="24"/>
          <w:szCs w:val="24"/>
          <w:lang/>
        </w:rPr>
        <w:t>4) четверта група - сільськогосподарські товаровиробники:</w:t>
      </w:r>
    </w:p>
    <w:p w14:paraId="5CB67E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1" w:name="n15148"/>
      <w:bookmarkEnd w:id="8731"/>
      <w:r w:rsidRPr="008B264B">
        <w:rPr>
          <w:rFonts w:ascii="Times New Roman" w:eastAsia="Times New Roman" w:hAnsi="Times New Roman" w:cs="Times New Roman"/>
          <w:color w:val="000000"/>
          <w:sz w:val="24"/>
          <w:szCs w:val="24"/>
          <w:lang/>
        </w:rPr>
        <w:t>а) юридичні особи незалежно від організаційно-правової форми, у яких частка сільськогосподарського товаровиробництва за попередній податковий (звітний) рік дорівнює або перевищує 75 відсотків;</w:t>
      </w:r>
    </w:p>
    <w:p w14:paraId="602A20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2" w:name="n15149"/>
      <w:bookmarkEnd w:id="8732"/>
      <w:r w:rsidRPr="008B264B">
        <w:rPr>
          <w:rFonts w:ascii="Times New Roman" w:eastAsia="Times New Roman" w:hAnsi="Times New Roman" w:cs="Times New Roman"/>
          <w:color w:val="000000"/>
          <w:sz w:val="24"/>
          <w:szCs w:val="24"/>
          <w:lang/>
        </w:rPr>
        <w:t>б) фізичні особи - підприємці, які провадять діяльність виключно в межах фермерського господарства, зареєстрованого відповідно до </w:t>
      </w:r>
      <w:hyperlink r:id="rId4792"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фермерське господарство", за умови виконання сукупності таких вимог:</w:t>
      </w:r>
    </w:p>
    <w:p w14:paraId="4B1DC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3" w:name="n15150"/>
      <w:bookmarkEnd w:id="8733"/>
      <w:r w:rsidRPr="008B264B">
        <w:rPr>
          <w:rFonts w:ascii="Times New Roman" w:eastAsia="Times New Roman" w:hAnsi="Times New Roman" w:cs="Times New Roman"/>
          <w:color w:val="000000"/>
          <w:sz w:val="24"/>
          <w:szCs w:val="24"/>
          <w:lang/>
        </w:rPr>
        <w:t>здійснюють виключно вирощування, відгодовування сільськогосподарської продукції, збирання, вилов, переробку такої власновирощеної або відгодованої продукції та її продаж;</w:t>
      </w:r>
    </w:p>
    <w:p w14:paraId="4F9A55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4" w:name="n15151"/>
      <w:bookmarkEnd w:id="8734"/>
      <w:r w:rsidRPr="008B264B">
        <w:rPr>
          <w:rFonts w:ascii="Times New Roman" w:eastAsia="Times New Roman" w:hAnsi="Times New Roman" w:cs="Times New Roman"/>
          <w:color w:val="000000"/>
          <w:sz w:val="24"/>
          <w:szCs w:val="24"/>
          <w:lang/>
        </w:rPr>
        <w:t>провадять господарську діяльність (крім постачання) за місцем податкової адреси;</w:t>
      </w:r>
    </w:p>
    <w:p w14:paraId="6EC6F8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5" w:name="n15152"/>
      <w:bookmarkEnd w:id="8735"/>
      <w:r w:rsidRPr="008B264B">
        <w:rPr>
          <w:rFonts w:ascii="Times New Roman" w:eastAsia="Times New Roman" w:hAnsi="Times New Roman" w:cs="Times New Roman"/>
          <w:color w:val="000000"/>
          <w:sz w:val="24"/>
          <w:szCs w:val="24"/>
          <w:lang/>
        </w:rPr>
        <w:t>не використовують працю найманих осіб;</w:t>
      </w:r>
    </w:p>
    <w:p w14:paraId="622DF5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6" w:name="n15153"/>
      <w:bookmarkEnd w:id="8736"/>
      <w:r w:rsidRPr="008B264B">
        <w:rPr>
          <w:rFonts w:ascii="Times New Roman" w:eastAsia="Times New Roman" w:hAnsi="Times New Roman" w:cs="Times New Roman"/>
          <w:color w:val="000000"/>
          <w:sz w:val="24"/>
          <w:szCs w:val="24"/>
          <w:lang/>
        </w:rPr>
        <w:t>членами фермерського господарства такої фізичної особи є лише члени її сім’ї у визначенні </w:t>
      </w:r>
      <w:hyperlink r:id="rId4793" w:anchor="n27" w:tgtFrame="_blank" w:history="1">
        <w:r w:rsidRPr="008B264B">
          <w:rPr>
            <w:rFonts w:ascii="Times New Roman" w:eastAsia="Times New Roman" w:hAnsi="Times New Roman" w:cs="Times New Roman"/>
            <w:color w:val="0000FF"/>
            <w:sz w:val="24"/>
            <w:szCs w:val="24"/>
            <w:u w:val="single"/>
            <w:lang/>
          </w:rPr>
          <w:t>частини другої</w:t>
        </w:r>
      </w:hyperlink>
      <w:r w:rsidRPr="008B264B">
        <w:rPr>
          <w:rFonts w:ascii="Times New Roman" w:eastAsia="Times New Roman" w:hAnsi="Times New Roman" w:cs="Times New Roman"/>
          <w:color w:val="000000"/>
          <w:sz w:val="24"/>
          <w:szCs w:val="24"/>
          <w:lang/>
        </w:rPr>
        <w:t> статті 3 Сімейного кодексу України;</w:t>
      </w:r>
    </w:p>
    <w:p w14:paraId="182C67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7" w:name="n15154"/>
      <w:bookmarkEnd w:id="8737"/>
      <w:r w:rsidRPr="008B264B">
        <w:rPr>
          <w:rFonts w:ascii="Times New Roman" w:eastAsia="Times New Roman" w:hAnsi="Times New Roman" w:cs="Times New Roman"/>
          <w:color w:val="000000"/>
          <w:sz w:val="24"/>
          <w:szCs w:val="24"/>
          <w:lang/>
        </w:rPr>
        <w:t>площа сільськогосподарських угідь та/або земель водного фонду у власності та/або користуванні членів фермерського господарства становить не менше двох гектарів, але не більше 20 гектарів.</w:t>
      </w:r>
    </w:p>
    <w:p w14:paraId="7A9BE4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8" w:name="n11968"/>
      <w:bookmarkEnd w:id="8738"/>
      <w:r w:rsidRPr="008B264B">
        <w:rPr>
          <w:rFonts w:ascii="Times New Roman" w:eastAsia="Times New Roman" w:hAnsi="Times New Roman" w:cs="Times New Roman"/>
          <w:i/>
          <w:iCs/>
          <w:color w:val="000000"/>
          <w:sz w:val="24"/>
          <w:szCs w:val="24"/>
          <w:lang/>
        </w:rPr>
        <w:t>{Підпункт 4 пункту 291.4 статті 291 в редакції Законів </w:t>
      </w:r>
      <w:hyperlink r:id="rId4794" w:anchor="n14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4795" w:anchor="n2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99761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39" w:name="n6963"/>
      <w:bookmarkEnd w:id="8739"/>
      <w:r w:rsidRPr="008B264B">
        <w:rPr>
          <w:rFonts w:ascii="Times New Roman" w:eastAsia="Times New Roman" w:hAnsi="Times New Roman" w:cs="Times New Roman"/>
          <w:i/>
          <w:iCs/>
          <w:color w:val="000000"/>
          <w:sz w:val="24"/>
          <w:szCs w:val="24"/>
          <w:lang/>
        </w:rPr>
        <w:t>{Підпункт 5 пункту 291.4 статті 291 виключено на підставі Закону </w:t>
      </w:r>
      <w:hyperlink r:id="rId4796" w:anchor="n14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F804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0" w:name="n6968"/>
      <w:bookmarkEnd w:id="8740"/>
      <w:r w:rsidRPr="008B264B">
        <w:rPr>
          <w:rFonts w:ascii="Times New Roman" w:eastAsia="Times New Roman" w:hAnsi="Times New Roman" w:cs="Times New Roman"/>
          <w:i/>
          <w:iCs/>
          <w:color w:val="000000"/>
          <w:sz w:val="24"/>
          <w:szCs w:val="24"/>
          <w:lang/>
        </w:rPr>
        <w:t>{Підпункт 6 пункту 291.4 статті 291 виключено на підставі Закону </w:t>
      </w:r>
      <w:hyperlink r:id="rId4797" w:anchor="n14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86D82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1" w:name="n6970"/>
      <w:bookmarkEnd w:id="8741"/>
      <w:r w:rsidRPr="008B264B">
        <w:rPr>
          <w:rFonts w:ascii="Times New Roman" w:eastAsia="Times New Roman" w:hAnsi="Times New Roman" w:cs="Times New Roman"/>
          <w:color w:val="000000"/>
          <w:sz w:val="24"/>
          <w:szCs w:val="24"/>
          <w:lang/>
        </w:rPr>
        <w:lastRenderedPageBreak/>
        <w:t>291.4.1. При розрахунку загальної кількості осіб, які перебувають у трудових відносинах з платником єдиного податку - фізичною особою, не враховуються наймані працівники, які перебувають у відпустці у зв'язку з вагітністю і пологами та у відпустці по догляду за дитиною до досягнення нею передбаченого законодавством віку, а також працівники, призвані на військову службу під час мобілізації, на особливий період.</w:t>
      </w:r>
    </w:p>
    <w:p w14:paraId="6C3714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2" w:name="n6971"/>
      <w:bookmarkEnd w:id="8742"/>
      <w:r w:rsidRPr="008B264B">
        <w:rPr>
          <w:rFonts w:ascii="Times New Roman" w:eastAsia="Times New Roman" w:hAnsi="Times New Roman" w:cs="Times New Roman"/>
          <w:color w:val="000000"/>
          <w:sz w:val="24"/>
          <w:szCs w:val="24"/>
          <w:lang/>
        </w:rPr>
        <w:t>При розрахунку середньооблікової кількості працівників застосовується визначення, встановлене цим Кодексом.</w:t>
      </w:r>
    </w:p>
    <w:p w14:paraId="182B76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3" w:name="n14404"/>
      <w:bookmarkEnd w:id="8743"/>
      <w:r w:rsidRPr="008B264B">
        <w:rPr>
          <w:rFonts w:ascii="Times New Roman" w:eastAsia="Times New Roman" w:hAnsi="Times New Roman" w:cs="Times New Roman"/>
          <w:i/>
          <w:iCs/>
          <w:color w:val="000000"/>
          <w:sz w:val="24"/>
          <w:szCs w:val="24"/>
          <w:lang/>
        </w:rPr>
        <w:t>{Підпункт 291.4.1 пункту 291.4 статті 291 із змінами, внесеними згідно із Законом </w:t>
      </w:r>
      <w:hyperlink r:id="rId4798" w:anchor="n141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5CF7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4" w:name="n11970"/>
      <w:bookmarkEnd w:id="8744"/>
      <w:r w:rsidRPr="008B264B">
        <w:rPr>
          <w:rFonts w:ascii="Times New Roman" w:eastAsia="Times New Roman" w:hAnsi="Times New Roman" w:cs="Times New Roman"/>
          <w:color w:val="000000"/>
          <w:sz w:val="24"/>
          <w:szCs w:val="24"/>
          <w:lang/>
        </w:rPr>
        <w:t>291.4.2. У селекційних центрах, на підприємствах (в об’єднаннях) з племінної справи у тваринництві до продукції власного виробництва сільськогосподарського товаровиробника також належать племінні (генетичні) ресурси, придбані в інших селекційних центрах, на підприємствах (в об’єднаннях) із племінної справи у тваринництві та реалізовані вітчизняним підприємствам для осіменіння маточного поголів’я тварин.</w:t>
      </w:r>
    </w:p>
    <w:p w14:paraId="479EA2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5" w:name="n11983"/>
      <w:bookmarkEnd w:id="8745"/>
      <w:r w:rsidRPr="008B264B">
        <w:rPr>
          <w:rFonts w:ascii="Times New Roman" w:eastAsia="Times New Roman" w:hAnsi="Times New Roman" w:cs="Times New Roman"/>
          <w:i/>
          <w:iCs/>
          <w:color w:val="000000"/>
          <w:sz w:val="24"/>
          <w:szCs w:val="24"/>
          <w:lang/>
        </w:rPr>
        <w:t>{Пункт 291.4 статті 291 доповнено підпунктом 291.4.2 згідно із Законом </w:t>
      </w:r>
      <w:hyperlink r:id="rId4799"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CDA7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6" w:name="n11971"/>
      <w:bookmarkEnd w:id="8746"/>
      <w:r w:rsidRPr="008B264B">
        <w:rPr>
          <w:rFonts w:ascii="Times New Roman" w:eastAsia="Times New Roman" w:hAnsi="Times New Roman" w:cs="Times New Roman"/>
          <w:color w:val="000000"/>
          <w:sz w:val="24"/>
          <w:szCs w:val="24"/>
          <w:lang/>
        </w:rPr>
        <w:t>291.4.3. Якщо сільськогосподарський товаровиробник утворюється шляхом злиття, приєднання, перетворення, поділу або виділення згідно з відповідними нормами </w:t>
      </w:r>
      <w:hyperlink r:id="rId4800" w:tgtFrame="_blank" w:history="1">
        <w:r w:rsidRPr="008B264B">
          <w:rPr>
            <w:rFonts w:ascii="Times New Roman" w:eastAsia="Times New Roman" w:hAnsi="Times New Roman" w:cs="Times New Roman"/>
            <w:color w:val="0000FF"/>
            <w:sz w:val="24"/>
            <w:szCs w:val="24"/>
            <w:u w:val="single"/>
            <w:lang/>
          </w:rPr>
          <w:t>Цивільного кодексу України</w:t>
        </w:r>
      </w:hyperlink>
      <w:r w:rsidRPr="008B264B">
        <w:rPr>
          <w:rFonts w:ascii="Times New Roman" w:eastAsia="Times New Roman" w:hAnsi="Times New Roman" w:cs="Times New Roman"/>
          <w:color w:val="000000"/>
          <w:sz w:val="24"/>
          <w:szCs w:val="24"/>
          <w:lang/>
        </w:rPr>
        <w:t>, то норма щодо дотримання частки сільськогосподарського товаровиробництва, яка дорівнює або перевищує 75 відсотків за попередній податковий (звітний) рік, поширюється на:</w:t>
      </w:r>
    </w:p>
    <w:p w14:paraId="0B9061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7" w:name="n11972"/>
      <w:bookmarkEnd w:id="8747"/>
      <w:r w:rsidRPr="008B264B">
        <w:rPr>
          <w:rFonts w:ascii="Times New Roman" w:eastAsia="Times New Roman" w:hAnsi="Times New Roman" w:cs="Times New Roman"/>
          <w:color w:val="000000"/>
          <w:sz w:val="24"/>
          <w:szCs w:val="24"/>
          <w:lang/>
        </w:rPr>
        <w:t>усіх осіб окремо, які зливаються або приєднуються;</w:t>
      </w:r>
    </w:p>
    <w:p w14:paraId="3CFFB3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8" w:name="n11973"/>
      <w:bookmarkEnd w:id="8748"/>
      <w:r w:rsidRPr="008B264B">
        <w:rPr>
          <w:rFonts w:ascii="Times New Roman" w:eastAsia="Times New Roman" w:hAnsi="Times New Roman" w:cs="Times New Roman"/>
          <w:color w:val="000000"/>
          <w:sz w:val="24"/>
          <w:szCs w:val="24"/>
          <w:lang/>
        </w:rPr>
        <w:t>кожну окрему особу, утворену шляхом поділу або виділу;</w:t>
      </w:r>
    </w:p>
    <w:p w14:paraId="388553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49" w:name="n11974"/>
      <w:bookmarkEnd w:id="8749"/>
      <w:r w:rsidRPr="008B264B">
        <w:rPr>
          <w:rFonts w:ascii="Times New Roman" w:eastAsia="Times New Roman" w:hAnsi="Times New Roman" w:cs="Times New Roman"/>
          <w:color w:val="000000"/>
          <w:sz w:val="24"/>
          <w:szCs w:val="24"/>
          <w:lang/>
        </w:rPr>
        <w:t>особу, утворену шляхом перетворення.</w:t>
      </w:r>
    </w:p>
    <w:p w14:paraId="6DEB4F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0" w:name="n11982"/>
      <w:bookmarkEnd w:id="8750"/>
      <w:r w:rsidRPr="008B264B">
        <w:rPr>
          <w:rFonts w:ascii="Times New Roman" w:eastAsia="Times New Roman" w:hAnsi="Times New Roman" w:cs="Times New Roman"/>
          <w:i/>
          <w:iCs/>
          <w:color w:val="000000"/>
          <w:sz w:val="24"/>
          <w:szCs w:val="24"/>
          <w:lang/>
        </w:rPr>
        <w:t>{Пункт 291.4 статті 291 доповнено підпунктом 291.4.3 згідно із Законом </w:t>
      </w:r>
      <w:hyperlink r:id="rId4801"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75DB3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1" w:name="n11975"/>
      <w:bookmarkEnd w:id="8751"/>
      <w:r w:rsidRPr="008B264B">
        <w:rPr>
          <w:rFonts w:ascii="Times New Roman" w:eastAsia="Times New Roman" w:hAnsi="Times New Roman" w:cs="Times New Roman"/>
          <w:color w:val="000000"/>
          <w:sz w:val="24"/>
          <w:szCs w:val="24"/>
          <w:lang/>
        </w:rPr>
        <w:t>291.4.4. Сільськогосподарські товаровиробники, утворені шляхом злиття або приєднання, можуть бути платниками податку в рік утворення, якщо частка сільськогосподарського товаровиробництва, отримана за попередній податковий (звітний) рік всіма товаровиробниками, які беруть участь у їх утворенні, дорівнює або перевищує 75 відсотків.</w:t>
      </w:r>
    </w:p>
    <w:p w14:paraId="60C9E8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2" w:name="n11981"/>
      <w:bookmarkEnd w:id="8752"/>
      <w:r w:rsidRPr="008B264B">
        <w:rPr>
          <w:rFonts w:ascii="Times New Roman" w:eastAsia="Times New Roman" w:hAnsi="Times New Roman" w:cs="Times New Roman"/>
          <w:i/>
          <w:iCs/>
          <w:color w:val="000000"/>
          <w:sz w:val="24"/>
          <w:szCs w:val="24"/>
          <w:lang/>
        </w:rPr>
        <w:t>{Пункт 291.4 статті 291 доповнено підпунктом 291.4.4 згідно із Законом </w:t>
      </w:r>
      <w:hyperlink r:id="rId4802"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CE367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3" w:name="n11976"/>
      <w:bookmarkEnd w:id="8753"/>
      <w:r w:rsidRPr="008B264B">
        <w:rPr>
          <w:rFonts w:ascii="Times New Roman" w:eastAsia="Times New Roman" w:hAnsi="Times New Roman" w:cs="Times New Roman"/>
          <w:color w:val="000000"/>
          <w:sz w:val="24"/>
          <w:szCs w:val="24"/>
          <w:lang/>
        </w:rPr>
        <w:t>291.4.5. Сільськогосподарські товаровиробники - юридичні особи, утворені шляхом перетворення платника податку, можуть бути платниками податку в рік перетворення, якщо частка сільськогосподарського товаровиробництва, отримана за попередній податковий (звітний) рік, дорівнює або перевищує 75 відсотків.</w:t>
      </w:r>
    </w:p>
    <w:p w14:paraId="7B0D9E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4" w:name="n11980"/>
      <w:bookmarkEnd w:id="8754"/>
      <w:r w:rsidRPr="008B264B">
        <w:rPr>
          <w:rFonts w:ascii="Times New Roman" w:eastAsia="Times New Roman" w:hAnsi="Times New Roman" w:cs="Times New Roman"/>
          <w:i/>
          <w:iCs/>
          <w:color w:val="000000"/>
          <w:sz w:val="24"/>
          <w:szCs w:val="24"/>
          <w:lang/>
        </w:rPr>
        <w:t>{Пункт 291.4 статті 291 доповнено підпунктом 291.4.5 згідно із Законом </w:t>
      </w:r>
      <w:hyperlink r:id="rId4803"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04" w:anchor="n35"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47763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5" w:name="n11977"/>
      <w:bookmarkEnd w:id="8755"/>
      <w:r w:rsidRPr="008B264B">
        <w:rPr>
          <w:rFonts w:ascii="Times New Roman" w:eastAsia="Times New Roman" w:hAnsi="Times New Roman" w:cs="Times New Roman"/>
          <w:color w:val="000000"/>
          <w:sz w:val="24"/>
          <w:szCs w:val="24"/>
          <w:lang/>
        </w:rPr>
        <w:t>291.4.6. Сільськогосподарські товаровиробники, утворені шляхом поділу або виділення, можуть бути платниками податку з наступного року, якщо частка сільськогосподарського товаровиробництва, отримана за попередній податковий (звітний) рік, дорівнює або перевищує 75 відсотків.</w:t>
      </w:r>
    </w:p>
    <w:p w14:paraId="033007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6" w:name="n11979"/>
      <w:bookmarkEnd w:id="8756"/>
      <w:r w:rsidRPr="008B264B">
        <w:rPr>
          <w:rFonts w:ascii="Times New Roman" w:eastAsia="Times New Roman" w:hAnsi="Times New Roman" w:cs="Times New Roman"/>
          <w:i/>
          <w:iCs/>
          <w:color w:val="000000"/>
          <w:sz w:val="24"/>
          <w:szCs w:val="24"/>
          <w:lang/>
        </w:rPr>
        <w:t>{Пункт 291.4 статті 291 доповнено підпунктом 291.4.6 згідно із Законом </w:t>
      </w:r>
      <w:hyperlink r:id="rId4805"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4ACE9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7" w:name="n11978"/>
      <w:bookmarkEnd w:id="8757"/>
      <w:r w:rsidRPr="008B264B">
        <w:rPr>
          <w:rFonts w:ascii="Times New Roman" w:eastAsia="Times New Roman" w:hAnsi="Times New Roman" w:cs="Times New Roman"/>
          <w:color w:val="000000"/>
          <w:sz w:val="24"/>
          <w:szCs w:val="24"/>
          <w:lang/>
        </w:rPr>
        <w:t xml:space="preserve">291.4.7. Новоутворені сільськогосподарські товаровиробники - юридичні особи можуть бути платниками податку з наступного року, якщо частка сільськогосподарського товаровиробництва, </w:t>
      </w:r>
      <w:r w:rsidRPr="008B264B">
        <w:rPr>
          <w:rFonts w:ascii="Times New Roman" w:eastAsia="Times New Roman" w:hAnsi="Times New Roman" w:cs="Times New Roman"/>
          <w:color w:val="000000"/>
          <w:sz w:val="24"/>
          <w:szCs w:val="24"/>
          <w:lang/>
        </w:rPr>
        <w:lastRenderedPageBreak/>
        <w:t>отримана за попередній податковий (звітний) рік, дорівнює або перевищує 75 відсотків, а фізичні особи - підприємці - у рік державної реєстрації.</w:t>
      </w:r>
    </w:p>
    <w:p w14:paraId="587F70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8" w:name="n11969"/>
      <w:bookmarkEnd w:id="8758"/>
      <w:r w:rsidRPr="008B264B">
        <w:rPr>
          <w:rFonts w:ascii="Times New Roman" w:eastAsia="Times New Roman" w:hAnsi="Times New Roman" w:cs="Times New Roman"/>
          <w:i/>
          <w:iCs/>
          <w:color w:val="000000"/>
          <w:sz w:val="24"/>
          <w:szCs w:val="24"/>
          <w:lang/>
        </w:rPr>
        <w:t>{Пункт 291.4 статті 291 доповнено підпунктом 291.4.7 згідно із Законом </w:t>
      </w:r>
      <w:hyperlink r:id="rId4806" w:anchor="n14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4807" w:anchor="n3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C00C9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59" w:name="n6972"/>
      <w:bookmarkEnd w:id="8759"/>
      <w:r w:rsidRPr="008B264B">
        <w:rPr>
          <w:rFonts w:ascii="Times New Roman" w:eastAsia="Times New Roman" w:hAnsi="Times New Roman" w:cs="Times New Roman"/>
          <w:color w:val="000000"/>
          <w:sz w:val="24"/>
          <w:szCs w:val="24"/>
          <w:lang/>
        </w:rPr>
        <w:t>291.5. Не можуть бути платниками єдиного податку першої - третьої груп:</w:t>
      </w:r>
    </w:p>
    <w:p w14:paraId="354951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0" w:name="n11984"/>
      <w:bookmarkEnd w:id="8760"/>
      <w:r w:rsidRPr="008B264B">
        <w:rPr>
          <w:rFonts w:ascii="Times New Roman" w:eastAsia="Times New Roman" w:hAnsi="Times New Roman" w:cs="Times New Roman"/>
          <w:i/>
          <w:iCs/>
          <w:color w:val="000000"/>
          <w:sz w:val="24"/>
          <w:szCs w:val="24"/>
          <w:lang/>
        </w:rPr>
        <w:t>{Абзац перший пункту 291.5 статті 291 в редакції Закону </w:t>
      </w:r>
      <w:hyperlink r:id="rId4808" w:anchor="n149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8CC3B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1" w:name="n6973"/>
      <w:bookmarkEnd w:id="8761"/>
      <w:r w:rsidRPr="008B264B">
        <w:rPr>
          <w:rFonts w:ascii="Times New Roman" w:eastAsia="Times New Roman" w:hAnsi="Times New Roman" w:cs="Times New Roman"/>
          <w:color w:val="000000"/>
          <w:sz w:val="24"/>
          <w:szCs w:val="24"/>
          <w:lang/>
        </w:rPr>
        <w:t>291.5.1. суб'єкти господарювання (юридичні особи та фізичні особи - підприємці), які здійснюють:</w:t>
      </w:r>
    </w:p>
    <w:p w14:paraId="2E2357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2" w:name="n6974"/>
      <w:bookmarkEnd w:id="8762"/>
      <w:r w:rsidRPr="008B264B">
        <w:rPr>
          <w:rFonts w:ascii="Times New Roman" w:eastAsia="Times New Roman" w:hAnsi="Times New Roman" w:cs="Times New Roman"/>
          <w:color w:val="000000"/>
          <w:sz w:val="24"/>
          <w:szCs w:val="24"/>
          <w:lang/>
        </w:rPr>
        <w:t>1) діяльність з організації, проведення азартних ігор, лотерей (крім розповсюдження лотерей), парі (букмекерське парі, парі тоталізатора);</w:t>
      </w:r>
    </w:p>
    <w:p w14:paraId="1CF2C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3" w:name="n6975"/>
      <w:bookmarkEnd w:id="8763"/>
      <w:r w:rsidRPr="008B264B">
        <w:rPr>
          <w:rFonts w:ascii="Times New Roman" w:eastAsia="Times New Roman" w:hAnsi="Times New Roman" w:cs="Times New Roman"/>
          <w:i/>
          <w:iCs/>
          <w:color w:val="000000"/>
          <w:sz w:val="24"/>
          <w:szCs w:val="24"/>
          <w:lang/>
        </w:rPr>
        <w:t>{Підпункт 1 підпункту 291.5.1 пункту 291.5 статті 291 набирає чинності з дня набрання чинності законом, що регулює питання діяльності у сфері грального бізнесу - див. п.1 розділу II Закону </w:t>
      </w:r>
      <w:hyperlink r:id="rId4809"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29F1F5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4" w:name="n11985"/>
      <w:bookmarkEnd w:id="8764"/>
      <w:r w:rsidRPr="008B264B">
        <w:rPr>
          <w:rFonts w:ascii="Times New Roman" w:eastAsia="Times New Roman" w:hAnsi="Times New Roman" w:cs="Times New Roman"/>
          <w:i/>
          <w:iCs/>
          <w:color w:val="000000"/>
          <w:sz w:val="24"/>
          <w:szCs w:val="24"/>
          <w:lang/>
        </w:rPr>
        <w:t>{Абзац перший підпункту 1 підпункту 291.5.1 пункту 291.5 статті 291 із змінами, внесеними згідно із Законом </w:t>
      </w:r>
      <w:hyperlink r:id="rId4810" w:anchor="n149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276AF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5" w:name="n6976"/>
      <w:bookmarkEnd w:id="8765"/>
      <w:r w:rsidRPr="008B264B">
        <w:rPr>
          <w:rFonts w:ascii="Times New Roman" w:eastAsia="Times New Roman" w:hAnsi="Times New Roman" w:cs="Times New Roman"/>
          <w:color w:val="000000"/>
          <w:sz w:val="24"/>
          <w:szCs w:val="24"/>
          <w:lang/>
        </w:rPr>
        <w:t>2) обмін іноземної валюти;</w:t>
      </w:r>
    </w:p>
    <w:p w14:paraId="5E41EF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6" w:name="n6977"/>
      <w:bookmarkEnd w:id="8766"/>
      <w:r w:rsidRPr="008B264B">
        <w:rPr>
          <w:rFonts w:ascii="Times New Roman" w:eastAsia="Times New Roman" w:hAnsi="Times New Roman" w:cs="Times New Roman"/>
          <w:color w:val="000000"/>
          <w:sz w:val="24"/>
          <w:szCs w:val="24"/>
          <w:lang/>
        </w:rPr>
        <w:t>3) виробництво, експорт, імпорт, продаж підакцизних товарів (крім роздрібного продажу паливно-мастильних матеріалів в ємностях до 20 літрів та діяльності фізичних осіб, пов’язаної з роздрібним продажем пива, сидру, пері (без додання спирту) та столових вин);</w:t>
      </w:r>
    </w:p>
    <w:p w14:paraId="2292F6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7" w:name="n15393"/>
      <w:bookmarkEnd w:id="8767"/>
      <w:r w:rsidRPr="008B264B">
        <w:rPr>
          <w:rFonts w:ascii="Times New Roman" w:eastAsia="Times New Roman" w:hAnsi="Times New Roman" w:cs="Times New Roman"/>
          <w:i/>
          <w:iCs/>
          <w:color w:val="000000"/>
          <w:sz w:val="24"/>
          <w:szCs w:val="24"/>
          <w:lang/>
        </w:rPr>
        <w:t>{Підпункт 3 підпункту 291.5.1 пункту 291.5 статті 291 в редакції Закону </w:t>
      </w:r>
      <w:hyperlink r:id="rId4811" w:anchor="n65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AFD5A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8" w:name="n6978"/>
      <w:bookmarkEnd w:id="8768"/>
      <w:r w:rsidRPr="008B264B">
        <w:rPr>
          <w:rFonts w:ascii="Times New Roman" w:eastAsia="Times New Roman" w:hAnsi="Times New Roman" w:cs="Times New Roman"/>
          <w:color w:val="000000"/>
          <w:sz w:val="24"/>
          <w:szCs w:val="24"/>
          <w:lang/>
        </w:rPr>
        <w:t>4) видобуток, виробництво, реалізацію дорогоцінних металів і дорогоцінного каміння, у тому числі органогенного утворення (крім виробництва, постачання, продажу (реалізації) ювелірних та побутових виробів з дорогоцінних металів, дорогоцінного каміння, дорогоцінного каміння органогенного утворення та напівдорогоцінного каміння);</w:t>
      </w:r>
    </w:p>
    <w:p w14:paraId="6488A0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69" w:name="n6979"/>
      <w:bookmarkEnd w:id="8769"/>
      <w:r w:rsidRPr="008B264B">
        <w:rPr>
          <w:rFonts w:ascii="Times New Roman" w:eastAsia="Times New Roman" w:hAnsi="Times New Roman" w:cs="Times New Roman"/>
          <w:i/>
          <w:iCs/>
          <w:color w:val="000000"/>
          <w:sz w:val="24"/>
          <w:szCs w:val="24"/>
          <w:lang/>
        </w:rPr>
        <w:t>{Підпункт 4 підпункту 291.5.1 пункту 291.5 статті 291 із змінами, внесеними згідно із Законом </w:t>
      </w:r>
      <w:hyperlink r:id="rId4812" w:anchor="n42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873ED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0" w:name="n6980"/>
      <w:bookmarkEnd w:id="8770"/>
      <w:r w:rsidRPr="008B264B">
        <w:rPr>
          <w:rFonts w:ascii="Times New Roman" w:eastAsia="Times New Roman" w:hAnsi="Times New Roman" w:cs="Times New Roman"/>
          <w:color w:val="000000"/>
          <w:sz w:val="24"/>
          <w:szCs w:val="24"/>
          <w:lang/>
        </w:rPr>
        <w:t>5) видобуток, реалізацію корисних копалин, крім реалізації корисних копалин місцевого значення;</w:t>
      </w:r>
    </w:p>
    <w:p w14:paraId="4258F3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1" w:name="n6981"/>
      <w:bookmarkEnd w:id="8771"/>
      <w:r w:rsidRPr="008B264B">
        <w:rPr>
          <w:rFonts w:ascii="Times New Roman" w:eastAsia="Times New Roman" w:hAnsi="Times New Roman" w:cs="Times New Roman"/>
          <w:i/>
          <w:iCs/>
          <w:color w:val="000000"/>
          <w:sz w:val="24"/>
          <w:szCs w:val="24"/>
          <w:lang/>
        </w:rPr>
        <w:t>{Підпункт 5 підпункту 291.5.1 пункту 291.5 статті 291 із змінами, внесеними згідно із Законом </w:t>
      </w:r>
      <w:hyperlink r:id="rId4813" w:anchor="n42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986D8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2" w:name="n6982"/>
      <w:bookmarkEnd w:id="8772"/>
      <w:r w:rsidRPr="008B264B">
        <w:rPr>
          <w:rFonts w:ascii="Times New Roman" w:eastAsia="Times New Roman" w:hAnsi="Times New Roman" w:cs="Times New Roman"/>
          <w:color w:val="000000"/>
          <w:sz w:val="24"/>
          <w:szCs w:val="24"/>
          <w:lang/>
        </w:rPr>
        <w:t>6) діяльність у сфері фінансового посередництва, крім діяльності у сфері страхування, яка здійснюється страховими агентами, визначеними </w:t>
      </w:r>
      <w:hyperlink r:id="rId4814" w:tgtFrame="_blank" w:history="1">
        <w:r w:rsidRPr="008B264B">
          <w:rPr>
            <w:rFonts w:ascii="Times New Roman" w:eastAsia="Times New Roman" w:hAnsi="Times New Roman" w:cs="Times New Roman"/>
            <w:color w:val="0000FF"/>
            <w:sz w:val="24"/>
            <w:szCs w:val="24"/>
            <w:u w:val="single"/>
            <w:lang/>
          </w:rPr>
          <w:t>Законом України "Про страхування"</w:t>
        </w:r>
      </w:hyperlink>
      <w:r w:rsidRPr="008B264B">
        <w:rPr>
          <w:rFonts w:ascii="Times New Roman" w:eastAsia="Times New Roman" w:hAnsi="Times New Roman" w:cs="Times New Roman"/>
          <w:color w:val="000000"/>
          <w:sz w:val="24"/>
          <w:szCs w:val="24"/>
          <w:lang/>
        </w:rPr>
        <w:t>, сюрвейєрами, аварійними комісарами та аджастерами, визначеними </w:t>
      </w:r>
      <w:hyperlink r:id="rId4815"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752F7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3" w:name="n6983"/>
      <w:bookmarkEnd w:id="8773"/>
      <w:r w:rsidRPr="008B264B">
        <w:rPr>
          <w:rFonts w:ascii="Times New Roman" w:eastAsia="Times New Roman" w:hAnsi="Times New Roman" w:cs="Times New Roman"/>
          <w:color w:val="000000"/>
          <w:sz w:val="24"/>
          <w:szCs w:val="24"/>
          <w:lang/>
        </w:rPr>
        <w:t>7) діяльність з управління підприємствами;</w:t>
      </w:r>
    </w:p>
    <w:p w14:paraId="396798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4" w:name="n6984"/>
      <w:bookmarkEnd w:id="8774"/>
      <w:r w:rsidRPr="008B264B">
        <w:rPr>
          <w:rFonts w:ascii="Times New Roman" w:eastAsia="Times New Roman" w:hAnsi="Times New Roman" w:cs="Times New Roman"/>
          <w:color w:val="000000"/>
          <w:sz w:val="24"/>
          <w:szCs w:val="24"/>
          <w:lang/>
        </w:rPr>
        <w:t xml:space="preserve">8) діяльність з надання послуг пошти (крім кур’єрської діяльності), діяльність з надання послуг фіксованого телефонного зв’язку з правом технічного обслуговування та експлуатації телекомунікаційних мереж і надання в користування каналів електрозв’язку (місцевого, міжміського, міжнародного), діяльність з надання послуг фіксованого телефонного зв’язку з використанням безпроводового доступу до телекомунікаційної мережі з правом технічного обслуговування і надання в користування каналів електрозв’язку (місцевого, міжміського, міжнародного), діяльність з надання послуг рухомого (мобільного) телефонного зв’язку з правом технічного обслуговування та експлуатації телекомунікаційних мереж і надання в користування каналів електрозв’язку, діяльність з надання послуг з технічного обслуговування та експлуатації </w:t>
      </w:r>
      <w:r w:rsidRPr="008B264B">
        <w:rPr>
          <w:rFonts w:ascii="Times New Roman" w:eastAsia="Times New Roman" w:hAnsi="Times New Roman" w:cs="Times New Roman"/>
          <w:color w:val="000000"/>
          <w:sz w:val="24"/>
          <w:szCs w:val="24"/>
          <w:lang/>
        </w:rPr>
        <w:lastRenderedPageBreak/>
        <w:t>телекомунікаційних мереж, мереж ефірного теле- і радіомовлення, проводового радіомовлення та телемереж;</w:t>
      </w:r>
    </w:p>
    <w:p w14:paraId="565926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5" w:name="n6985"/>
      <w:bookmarkEnd w:id="8775"/>
      <w:r w:rsidRPr="008B264B">
        <w:rPr>
          <w:rFonts w:ascii="Times New Roman" w:eastAsia="Times New Roman" w:hAnsi="Times New Roman" w:cs="Times New Roman"/>
          <w:i/>
          <w:iCs/>
          <w:color w:val="000000"/>
          <w:sz w:val="24"/>
          <w:szCs w:val="24"/>
          <w:lang/>
        </w:rPr>
        <w:t>{Підпункт 8 підпункту 291.5.1 пункту 291.5 статті 291 в редакції Законів </w:t>
      </w:r>
      <w:hyperlink r:id="rId4816" w:anchor="n42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817" w:anchor="n48" w:tgtFrame="_blank" w:history="1">
        <w:r w:rsidRPr="008B264B">
          <w:rPr>
            <w:rFonts w:ascii="Times New Roman" w:eastAsia="Times New Roman" w:hAnsi="Times New Roman" w:cs="Times New Roman"/>
            <w:i/>
            <w:iCs/>
            <w:color w:val="0000FF"/>
            <w:sz w:val="24"/>
            <w:szCs w:val="24"/>
            <w:u w:val="single"/>
            <w:lang/>
          </w:rPr>
          <w:t>№ 129-IX від 20.09.2019</w:t>
        </w:r>
      </w:hyperlink>
      <w:r w:rsidRPr="008B264B">
        <w:rPr>
          <w:rFonts w:ascii="Times New Roman" w:eastAsia="Times New Roman" w:hAnsi="Times New Roman" w:cs="Times New Roman"/>
          <w:i/>
          <w:iCs/>
          <w:color w:val="000000"/>
          <w:sz w:val="24"/>
          <w:szCs w:val="24"/>
          <w:lang/>
        </w:rPr>
        <w:t>}</w:t>
      </w:r>
    </w:p>
    <w:p w14:paraId="353432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6" w:name="n6986"/>
      <w:bookmarkEnd w:id="8776"/>
      <w:r w:rsidRPr="008B264B">
        <w:rPr>
          <w:rFonts w:ascii="Times New Roman" w:eastAsia="Times New Roman" w:hAnsi="Times New Roman" w:cs="Times New Roman"/>
          <w:color w:val="000000"/>
          <w:sz w:val="24"/>
          <w:szCs w:val="24"/>
          <w:lang/>
        </w:rPr>
        <w:t>9) діяльність з продажу предметів мистецтва та антикваріату, діяльність з організації торгів (аукціонів) виробами мистецтва, предметами колекціонування або антикваріату;</w:t>
      </w:r>
    </w:p>
    <w:p w14:paraId="2E7A2A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7" w:name="n6987"/>
      <w:bookmarkEnd w:id="8777"/>
      <w:r w:rsidRPr="008B264B">
        <w:rPr>
          <w:rFonts w:ascii="Times New Roman" w:eastAsia="Times New Roman" w:hAnsi="Times New Roman" w:cs="Times New Roman"/>
          <w:color w:val="000000"/>
          <w:sz w:val="24"/>
          <w:szCs w:val="24"/>
          <w:lang/>
        </w:rPr>
        <w:t>10) діяльність з організації, проведення гастрольних заходів;</w:t>
      </w:r>
    </w:p>
    <w:p w14:paraId="1FBBA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8" w:name="n6988"/>
      <w:bookmarkEnd w:id="8778"/>
      <w:r w:rsidRPr="008B264B">
        <w:rPr>
          <w:rFonts w:ascii="Times New Roman" w:eastAsia="Times New Roman" w:hAnsi="Times New Roman" w:cs="Times New Roman"/>
          <w:color w:val="000000"/>
          <w:sz w:val="24"/>
          <w:szCs w:val="24"/>
          <w:lang/>
        </w:rPr>
        <w:t>291.5.2. фізичні особи - підприємці, які здійснюють технічні випробування та дослідження (група 74.3 </w:t>
      </w:r>
      <w:hyperlink r:id="rId4818" w:tgtFrame="_blank" w:history="1">
        <w:r w:rsidRPr="008B264B">
          <w:rPr>
            <w:rFonts w:ascii="Times New Roman" w:eastAsia="Times New Roman" w:hAnsi="Times New Roman" w:cs="Times New Roman"/>
            <w:color w:val="0000FF"/>
            <w:sz w:val="24"/>
            <w:szCs w:val="24"/>
            <w:u w:val="single"/>
            <w:lang/>
          </w:rPr>
          <w:t>КВЕД ДК 009:2005</w:t>
        </w:r>
      </w:hyperlink>
      <w:r w:rsidRPr="008B264B">
        <w:rPr>
          <w:rFonts w:ascii="Times New Roman" w:eastAsia="Times New Roman" w:hAnsi="Times New Roman" w:cs="Times New Roman"/>
          <w:color w:val="000000"/>
          <w:sz w:val="24"/>
          <w:szCs w:val="24"/>
          <w:lang/>
        </w:rPr>
        <w:t>), діяльність у сфері аудиту;</w:t>
      </w:r>
    </w:p>
    <w:p w14:paraId="7C37FA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79" w:name="n6989"/>
      <w:bookmarkEnd w:id="8779"/>
      <w:r w:rsidRPr="008B264B">
        <w:rPr>
          <w:rFonts w:ascii="Times New Roman" w:eastAsia="Times New Roman" w:hAnsi="Times New Roman" w:cs="Times New Roman"/>
          <w:color w:val="000000"/>
          <w:sz w:val="24"/>
          <w:szCs w:val="24"/>
          <w:lang/>
        </w:rPr>
        <w:t>291.5.3. фізичні особи - підприємці, які надають в оренду земельні ділянки, загальна площа яких перевищує 0,2 гектара, житлові приміщення та/або їх частини, загальна площа яких перевищує 100 квадратних метрів, нежитлові приміщення (споруди, будівлі) та/або їх частини, загальна площа яких перевищує 300 квадратних метрів;</w:t>
      </w:r>
    </w:p>
    <w:p w14:paraId="0A8513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0" w:name="n6990"/>
      <w:bookmarkEnd w:id="8780"/>
      <w:r w:rsidRPr="008B264B">
        <w:rPr>
          <w:rFonts w:ascii="Times New Roman" w:eastAsia="Times New Roman" w:hAnsi="Times New Roman" w:cs="Times New Roman"/>
          <w:i/>
          <w:iCs/>
          <w:color w:val="000000"/>
          <w:sz w:val="24"/>
          <w:szCs w:val="24"/>
          <w:lang/>
        </w:rPr>
        <w:t>{Підпункт 291.5.3 пункту 291.5 статті 291 із змінами, внесеними згідно із Законом </w:t>
      </w:r>
      <w:hyperlink r:id="rId4819" w:anchor="n43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E553A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1" w:name="n6991"/>
      <w:bookmarkEnd w:id="8781"/>
      <w:r w:rsidRPr="008B264B">
        <w:rPr>
          <w:rFonts w:ascii="Times New Roman" w:eastAsia="Times New Roman" w:hAnsi="Times New Roman" w:cs="Times New Roman"/>
          <w:color w:val="000000"/>
          <w:sz w:val="24"/>
          <w:szCs w:val="24"/>
          <w:lang/>
        </w:rPr>
        <w:t>291.5.4. страхові (перестрахові) брокери, банки, кредитні спілки, ломбарди, лізингові компанії, довірчі товариства, страхові компанії, установи накопичувального пенсійного забезпечення, інвестиційні фонди і компанії, інші фінансові установи, визначені законом; реєстратори цінних паперів;</w:t>
      </w:r>
    </w:p>
    <w:p w14:paraId="16AD30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2" w:name="n6992"/>
      <w:bookmarkEnd w:id="8782"/>
      <w:r w:rsidRPr="008B264B">
        <w:rPr>
          <w:rFonts w:ascii="Times New Roman" w:eastAsia="Times New Roman" w:hAnsi="Times New Roman" w:cs="Times New Roman"/>
          <w:color w:val="000000"/>
          <w:sz w:val="24"/>
          <w:szCs w:val="24"/>
          <w:lang/>
        </w:rPr>
        <w:t>291.5.5. суб'єкти господарювання, у статутному капіталі яких сукупність часток, що належать юридичним особам, які не є платниками єдиного податку, дорівнює або перевищує 25 відсотків;</w:t>
      </w:r>
    </w:p>
    <w:p w14:paraId="0D2568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3" w:name="n6993"/>
      <w:bookmarkEnd w:id="8783"/>
      <w:r w:rsidRPr="008B264B">
        <w:rPr>
          <w:rFonts w:ascii="Times New Roman" w:eastAsia="Times New Roman" w:hAnsi="Times New Roman" w:cs="Times New Roman"/>
          <w:color w:val="000000"/>
          <w:sz w:val="24"/>
          <w:szCs w:val="24"/>
          <w:lang/>
        </w:rPr>
        <w:t>291.5.6. представництва, філії, відділення та інші відокремлені підрозділи юридичної особи, яка не є платником єдиного податку;</w:t>
      </w:r>
    </w:p>
    <w:p w14:paraId="6F27EF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4" w:name="n6994"/>
      <w:bookmarkEnd w:id="8784"/>
      <w:r w:rsidRPr="008B264B">
        <w:rPr>
          <w:rFonts w:ascii="Times New Roman" w:eastAsia="Times New Roman" w:hAnsi="Times New Roman" w:cs="Times New Roman"/>
          <w:color w:val="000000"/>
          <w:sz w:val="24"/>
          <w:szCs w:val="24"/>
          <w:lang/>
        </w:rPr>
        <w:t>291.5.7. фізичні та юридичні особи - нерезиденти;</w:t>
      </w:r>
    </w:p>
    <w:p w14:paraId="6A28DB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5" w:name="n6995"/>
      <w:bookmarkEnd w:id="8785"/>
      <w:r w:rsidRPr="008B264B">
        <w:rPr>
          <w:rFonts w:ascii="Times New Roman" w:eastAsia="Times New Roman" w:hAnsi="Times New Roman" w:cs="Times New Roman"/>
          <w:color w:val="000000"/>
          <w:sz w:val="24"/>
          <w:szCs w:val="24"/>
          <w:lang/>
        </w:rPr>
        <w:t>291.5.8. платники податків, які на день подання заяви про реєстрацію платником єдиного податку мають податковий борг, крім безнадійного податкового боргу, що виник внаслідок дії обставин непереборної сили (форс-мажорних обставин).</w:t>
      </w:r>
    </w:p>
    <w:p w14:paraId="3C687A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6" w:name="n14405"/>
      <w:bookmarkEnd w:id="8786"/>
      <w:r w:rsidRPr="008B264B">
        <w:rPr>
          <w:rFonts w:ascii="Times New Roman" w:eastAsia="Times New Roman" w:hAnsi="Times New Roman" w:cs="Times New Roman"/>
          <w:i/>
          <w:iCs/>
          <w:color w:val="000000"/>
          <w:sz w:val="24"/>
          <w:szCs w:val="24"/>
          <w:lang/>
        </w:rPr>
        <w:t>{Підпункт 291.5.8 пункту 291.5 статті 291 із змінами, внесеними згідно із Законом </w:t>
      </w:r>
      <w:hyperlink r:id="rId4820" w:anchor="n141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393F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7" w:name="n11987"/>
      <w:bookmarkEnd w:id="8787"/>
      <w:r w:rsidRPr="008B264B">
        <w:rPr>
          <w:rFonts w:ascii="Times New Roman" w:eastAsia="Times New Roman" w:hAnsi="Times New Roman" w:cs="Times New Roman"/>
          <w:color w:val="000000"/>
          <w:sz w:val="24"/>
          <w:szCs w:val="24"/>
          <w:lang/>
        </w:rPr>
        <w:t>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Не можуть бути платниками єдиного податку четвертої групи:</w:t>
      </w:r>
    </w:p>
    <w:p w14:paraId="2239D3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8" w:name="n11988"/>
      <w:bookmarkEnd w:id="8788"/>
      <w:r w:rsidRPr="008B264B">
        <w:rPr>
          <w:rFonts w:ascii="Times New Roman" w:eastAsia="Times New Roman" w:hAnsi="Times New Roman" w:cs="Times New Roman"/>
          <w:color w:val="000000"/>
          <w:sz w:val="24"/>
          <w:szCs w:val="24"/>
          <w:lang/>
        </w:rPr>
        <w:t>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суб’єкти господарювання, у яких понад 50 відсотків доходу, отриманого від продажу сільськогосподарської продукції власного виробництва та продуктів її переробки, становить дохід від реалізації декоративних рослин (за винятком зрізаних квітів, вирощених на угіддях, які належать сільськогосподарському товаровиробнику на праві власності або надані йому в користування, та продуктів їх переробки), диких тварин і птахів, хутряних виробів і хутра (крім хутрової сировини);</w:t>
      </w:r>
    </w:p>
    <w:p w14:paraId="1F71D9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89" w:name="n11989"/>
      <w:bookmarkEnd w:id="8789"/>
      <w:r w:rsidRPr="008B264B">
        <w:rPr>
          <w:rFonts w:ascii="Times New Roman" w:eastAsia="Times New Roman" w:hAnsi="Times New Roman" w:cs="Times New Roman"/>
          <w:color w:val="000000"/>
          <w:sz w:val="24"/>
          <w:szCs w:val="24"/>
          <w:lang/>
        </w:rPr>
        <w:t>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суб’єкти господарювання, що провадять діяльність з виробництва підакцизних товарів, крім виноматеріалів виноградних (коди згідно з </w:t>
      </w:r>
      <w:hyperlink r:id="rId4821"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xml:space="preserve"> 2204 29 - 2204 30), вироблених на підприємствах первинного виноробства для підприємств вторинного виноробства, які використовують такі виноматеріали для виробництва готової продукції, вин виноградних, вин плодово-ягідних та/або напоїв медових, вироблених та розлитих у споживчу тару малими виробництвами виноробної продукції з виноматеріалів виключно власного виробництва (не придбаних), отриманих шляхом переробки плодів, ягід, винограду, меду власного виробництва, а також крім електричної енергії, виробленої кваліфікованими когенераційними установками та/або з відновлюваних джерел енергії (за умови, що дохід від реалізації такої енергії не </w:t>
      </w:r>
      <w:r w:rsidRPr="008B264B">
        <w:rPr>
          <w:rFonts w:ascii="Times New Roman" w:eastAsia="Times New Roman" w:hAnsi="Times New Roman" w:cs="Times New Roman"/>
          <w:color w:val="000000"/>
          <w:sz w:val="24"/>
          <w:szCs w:val="24"/>
          <w:lang/>
        </w:rPr>
        <w:lastRenderedPageBreak/>
        <w:t>перевищує 25 відсотків доходу від реалізації продукції (товарів, робіт, послуг) такого суб’єкта господарювання);</w:t>
      </w:r>
    </w:p>
    <w:p w14:paraId="6DBBF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0" w:name="n14406"/>
      <w:bookmarkEnd w:id="8790"/>
      <w:r w:rsidRPr="008B264B">
        <w:rPr>
          <w:rFonts w:ascii="Times New Roman" w:eastAsia="Times New Roman" w:hAnsi="Times New Roman" w:cs="Times New Roman"/>
          <w:i/>
          <w:iCs/>
          <w:color w:val="000000"/>
          <w:sz w:val="24"/>
          <w:szCs w:val="24"/>
          <w:lang/>
        </w:rPr>
        <w:t>{Підпункт 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пункту 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статті 291 із змінами, внесеними згідно із Законами </w:t>
      </w:r>
      <w:hyperlink r:id="rId4822" w:anchor="n141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4823" w:anchor="n65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F4332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1" w:name="n11990"/>
      <w:bookmarkEnd w:id="8791"/>
      <w:r w:rsidRPr="008B264B">
        <w:rPr>
          <w:rFonts w:ascii="Times New Roman" w:eastAsia="Times New Roman" w:hAnsi="Times New Roman" w:cs="Times New Roman"/>
          <w:color w:val="000000"/>
          <w:sz w:val="24"/>
          <w:szCs w:val="24"/>
          <w:lang/>
        </w:rPr>
        <w:t>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суб’єкт господарювання, який станом на 1 січня базового (звітного) року має податковий борг, за винятком безнадійного податкового боргу, який виник внаслідок дії обставин непереборної сили (форс-мажорних обставин).</w:t>
      </w:r>
    </w:p>
    <w:p w14:paraId="2FF139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2" w:name="n11986"/>
      <w:bookmarkEnd w:id="8792"/>
      <w:r w:rsidRPr="008B264B">
        <w:rPr>
          <w:rFonts w:ascii="Times New Roman" w:eastAsia="Times New Roman" w:hAnsi="Times New Roman" w:cs="Times New Roman"/>
          <w:i/>
          <w:iCs/>
          <w:color w:val="000000"/>
          <w:sz w:val="24"/>
          <w:szCs w:val="24"/>
          <w:lang/>
        </w:rPr>
        <w:t>{Статтю 291 доповнено пунктом 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824" w:anchor="n149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43FDF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3" w:name="n6996"/>
      <w:bookmarkEnd w:id="8793"/>
      <w:r w:rsidRPr="008B264B">
        <w:rPr>
          <w:rFonts w:ascii="Times New Roman" w:eastAsia="Times New Roman" w:hAnsi="Times New Roman" w:cs="Times New Roman"/>
          <w:color w:val="000000"/>
          <w:sz w:val="24"/>
          <w:szCs w:val="24"/>
          <w:lang/>
        </w:rPr>
        <w:t>291.6. Платники єдиного податку першої - третьої груп повинні здійснювати розрахунки за відвантажені товари (виконані роботи, надані послуги) виключно в грошовій формі (готівковій та/або безготівковій).</w:t>
      </w:r>
    </w:p>
    <w:p w14:paraId="318019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4" w:name="n11991"/>
      <w:bookmarkEnd w:id="8794"/>
      <w:r w:rsidRPr="008B264B">
        <w:rPr>
          <w:rFonts w:ascii="Times New Roman" w:eastAsia="Times New Roman" w:hAnsi="Times New Roman" w:cs="Times New Roman"/>
          <w:i/>
          <w:iCs/>
          <w:color w:val="000000"/>
          <w:sz w:val="24"/>
          <w:szCs w:val="24"/>
          <w:lang/>
        </w:rPr>
        <w:t>{Пункт 291.6 статті 291 із змінами, внесеними згідно із Законом </w:t>
      </w:r>
      <w:hyperlink r:id="rId4825" w:anchor="n14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A6570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5" w:name="n6997"/>
      <w:bookmarkEnd w:id="8795"/>
      <w:r w:rsidRPr="008B264B">
        <w:rPr>
          <w:rFonts w:ascii="Times New Roman" w:eastAsia="Times New Roman" w:hAnsi="Times New Roman" w:cs="Times New Roman"/>
          <w:color w:val="000000"/>
          <w:sz w:val="24"/>
          <w:szCs w:val="24"/>
          <w:lang/>
        </w:rPr>
        <w:t>291.7. Для цілей цієї глави під побутовими послугами населенню, які надаються першою та другою групами платників єдиного податку, розуміються такі види послуг:</w:t>
      </w:r>
    </w:p>
    <w:p w14:paraId="408CDA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6" w:name="n6998"/>
      <w:bookmarkEnd w:id="8796"/>
      <w:r w:rsidRPr="008B264B">
        <w:rPr>
          <w:rFonts w:ascii="Times New Roman" w:eastAsia="Times New Roman" w:hAnsi="Times New Roman" w:cs="Times New Roman"/>
          <w:color w:val="000000"/>
          <w:sz w:val="24"/>
          <w:szCs w:val="24"/>
          <w:lang/>
        </w:rPr>
        <w:t>1) виготовлення взуття за індивідуальним замовленням;</w:t>
      </w:r>
    </w:p>
    <w:p w14:paraId="769B68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7" w:name="n6999"/>
      <w:bookmarkEnd w:id="8797"/>
      <w:r w:rsidRPr="008B264B">
        <w:rPr>
          <w:rFonts w:ascii="Times New Roman" w:eastAsia="Times New Roman" w:hAnsi="Times New Roman" w:cs="Times New Roman"/>
          <w:color w:val="000000"/>
          <w:sz w:val="24"/>
          <w:szCs w:val="24"/>
          <w:lang/>
        </w:rPr>
        <w:t>2) послуги з ремонту взуття;</w:t>
      </w:r>
    </w:p>
    <w:p w14:paraId="431673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8" w:name="n7000"/>
      <w:bookmarkEnd w:id="8798"/>
      <w:r w:rsidRPr="008B264B">
        <w:rPr>
          <w:rFonts w:ascii="Times New Roman" w:eastAsia="Times New Roman" w:hAnsi="Times New Roman" w:cs="Times New Roman"/>
          <w:color w:val="000000"/>
          <w:sz w:val="24"/>
          <w:szCs w:val="24"/>
          <w:lang/>
        </w:rPr>
        <w:t>3) виготовлення швейних виробів за індивідуальним замовленням;</w:t>
      </w:r>
    </w:p>
    <w:p w14:paraId="4F493A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799" w:name="n7001"/>
      <w:bookmarkEnd w:id="8799"/>
      <w:r w:rsidRPr="008B264B">
        <w:rPr>
          <w:rFonts w:ascii="Times New Roman" w:eastAsia="Times New Roman" w:hAnsi="Times New Roman" w:cs="Times New Roman"/>
          <w:color w:val="000000"/>
          <w:sz w:val="24"/>
          <w:szCs w:val="24"/>
          <w:lang/>
        </w:rPr>
        <w:t>4) виготовлення виробів із шкіри за індивідуальним замовленням;</w:t>
      </w:r>
    </w:p>
    <w:p w14:paraId="47676C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0" w:name="n7002"/>
      <w:bookmarkEnd w:id="8800"/>
      <w:r w:rsidRPr="008B264B">
        <w:rPr>
          <w:rFonts w:ascii="Times New Roman" w:eastAsia="Times New Roman" w:hAnsi="Times New Roman" w:cs="Times New Roman"/>
          <w:color w:val="000000"/>
          <w:sz w:val="24"/>
          <w:szCs w:val="24"/>
          <w:lang/>
        </w:rPr>
        <w:t>5) виготовлення виробів з хутра за індивідуальним замовленням;</w:t>
      </w:r>
    </w:p>
    <w:p w14:paraId="65A9C8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1" w:name="n7003"/>
      <w:bookmarkEnd w:id="8801"/>
      <w:r w:rsidRPr="008B264B">
        <w:rPr>
          <w:rFonts w:ascii="Times New Roman" w:eastAsia="Times New Roman" w:hAnsi="Times New Roman" w:cs="Times New Roman"/>
          <w:color w:val="000000"/>
          <w:sz w:val="24"/>
          <w:szCs w:val="24"/>
          <w:lang/>
        </w:rPr>
        <w:t>6) виготовлення спіднього одягу за індивідуальним замовленням;</w:t>
      </w:r>
    </w:p>
    <w:p w14:paraId="3D8482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2" w:name="n7004"/>
      <w:bookmarkEnd w:id="8802"/>
      <w:r w:rsidRPr="008B264B">
        <w:rPr>
          <w:rFonts w:ascii="Times New Roman" w:eastAsia="Times New Roman" w:hAnsi="Times New Roman" w:cs="Times New Roman"/>
          <w:color w:val="000000"/>
          <w:sz w:val="24"/>
          <w:szCs w:val="24"/>
          <w:lang/>
        </w:rPr>
        <w:t>7) виготовлення текстильних виробів та текстильної галантереї за індивідуальним замовленням;</w:t>
      </w:r>
    </w:p>
    <w:p w14:paraId="1F8B2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3" w:name="n7005"/>
      <w:bookmarkEnd w:id="8803"/>
      <w:r w:rsidRPr="008B264B">
        <w:rPr>
          <w:rFonts w:ascii="Times New Roman" w:eastAsia="Times New Roman" w:hAnsi="Times New Roman" w:cs="Times New Roman"/>
          <w:color w:val="000000"/>
          <w:sz w:val="24"/>
          <w:szCs w:val="24"/>
          <w:lang/>
        </w:rPr>
        <w:t>8) виготовлення головних уборів за індивідуальним замовленням;</w:t>
      </w:r>
    </w:p>
    <w:p w14:paraId="382E2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4" w:name="n7006"/>
      <w:bookmarkEnd w:id="8804"/>
      <w:r w:rsidRPr="008B264B">
        <w:rPr>
          <w:rFonts w:ascii="Times New Roman" w:eastAsia="Times New Roman" w:hAnsi="Times New Roman" w:cs="Times New Roman"/>
          <w:color w:val="000000"/>
          <w:sz w:val="24"/>
          <w:szCs w:val="24"/>
          <w:lang/>
        </w:rPr>
        <w:t>9) додаткові послуги до виготовлення виробів за індивідуальним замовленням;</w:t>
      </w:r>
    </w:p>
    <w:p w14:paraId="5EB34A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5" w:name="n7007"/>
      <w:bookmarkEnd w:id="8805"/>
      <w:r w:rsidRPr="008B264B">
        <w:rPr>
          <w:rFonts w:ascii="Times New Roman" w:eastAsia="Times New Roman" w:hAnsi="Times New Roman" w:cs="Times New Roman"/>
          <w:color w:val="000000"/>
          <w:sz w:val="24"/>
          <w:szCs w:val="24"/>
          <w:lang/>
        </w:rPr>
        <w:t>10) послуги з ремонту одягу та побутових текстильних виробів;</w:t>
      </w:r>
    </w:p>
    <w:p w14:paraId="1F38BE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6" w:name="n7008"/>
      <w:bookmarkEnd w:id="8806"/>
      <w:r w:rsidRPr="008B264B">
        <w:rPr>
          <w:rFonts w:ascii="Times New Roman" w:eastAsia="Times New Roman" w:hAnsi="Times New Roman" w:cs="Times New Roman"/>
          <w:color w:val="000000"/>
          <w:sz w:val="24"/>
          <w:szCs w:val="24"/>
          <w:lang/>
        </w:rPr>
        <w:t>11) виготовлення та в'язання трикотажних виробів за індивідуальним замовленням;</w:t>
      </w:r>
    </w:p>
    <w:p w14:paraId="5EEE6A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7" w:name="n7009"/>
      <w:bookmarkEnd w:id="8807"/>
      <w:r w:rsidRPr="008B264B">
        <w:rPr>
          <w:rFonts w:ascii="Times New Roman" w:eastAsia="Times New Roman" w:hAnsi="Times New Roman" w:cs="Times New Roman"/>
          <w:color w:val="000000"/>
          <w:sz w:val="24"/>
          <w:szCs w:val="24"/>
          <w:lang/>
        </w:rPr>
        <w:t>12) послуги з ремонту трикотажних виробів;</w:t>
      </w:r>
    </w:p>
    <w:p w14:paraId="7B7240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8" w:name="n7010"/>
      <w:bookmarkEnd w:id="8808"/>
      <w:r w:rsidRPr="008B264B">
        <w:rPr>
          <w:rFonts w:ascii="Times New Roman" w:eastAsia="Times New Roman" w:hAnsi="Times New Roman" w:cs="Times New Roman"/>
          <w:color w:val="000000"/>
          <w:sz w:val="24"/>
          <w:szCs w:val="24"/>
          <w:lang/>
        </w:rPr>
        <w:t>13) виготовлення килимів та килимових виробів за індивідуальним замовленням;</w:t>
      </w:r>
    </w:p>
    <w:p w14:paraId="691038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09" w:name="n7011"/>
      <w:bookmarkEnd w:id="8809"/>
      <w:r w:rsidRPr="008B264B">
        <w:rPr>
          <w:rFonts w:ascii="Times New Roman" w:eastAsia="Times New Roman" w:hAnsi="Times New Roman" w:cs="Times New Roman"/>
          <w:color w:val="000000"/>
          <w:sz w:val="24"/>
          <w:szCs w:val="24"/>
          <w:lang/>
        </w:rPr>
        <w:t>14) послуги з ремонту та реставрації килимів та килимових виробів;</w:t>
      </w:r>
    </w:p>
    <w:p w14:paraId="2E58F6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0" w:name="n7012"/>
      <w:bookmarkEnd w:id="8810"/>
      <w:r w:rsidRPr="008B264B">
        <w:rPr>
          <w:rFonts w:ascii="Times New Roman" w:eastAsia="Times New Roman" w:hAnsi="Times New Roman" w:cs="Times New Roman"/>
          <w:color w:val="000000"/>
          <w:sz w:val="24"/>
          <w:szCs w:val="24"/>
          <w:lang/>
        </w:rPr>
        <w:t>15) виготовлення шкіряних галантерейних та дорожніх виробів за індивідуальним замовленням;</w:t>
      </w:r>
    </w:p>
    <w:p w14:paraId="25E2D1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1" w:name="n7013"/>
      <w:bookmarkEnd w:id="8811"/>
      <w:r w:rsidRPr="008B264B">
        <w:rPr>
          <w:rFonts w:ascii="Times New Roman" w:eastAsia="Times New Roman" w:hAnsi="Times New Roman" w:cs="Times New Roman"/>
          <w:color w:val="000000"/>
          <w:sz w:val="24"/>
          <w:szCs w:val="24"/>
          <w:lang/>
        </w:rPr>
        <w:t>16) послуги з ремонту шкіряних галантерейних та дорожніх виробів;</w:t>
      </w:r>
    </w:p>
    <w:p w14:paraId="098C9B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2" w:name="n7014"/>
      <w:bookmarkEnd w:id="8812"/>
      <w:r w:rsidRPr="008B264B">
        <w:rPr>
          <w:rFonts w:ascii="Times New Roman" w:eastAsia="Times New Roman" w:hAnsi="Times New Roman" w:cs="Times New Roman"/>
          <w:color w:val="000000"/>
          <w:sz w:val="24"/>
          <w:szCs w:val="24"/>
          <w:lang/>
        </w:rPr>
        <w:t>17) виготовлення меблів за індивідуальним замовленням;</w:t>
      </w:r>
    </w:p>
    <w:p w14:paraId="72377D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3" w:name="n7015"/>
      <w:bookmarkEnd w:id="8813"/>
      <w:r w:rsidRPr="008B264B">
        <w:rPr>
          <w:rFonts w:ascii="Times New Roman" w:eastAsia="Times New Roman" w:hAnsi="Times New Roman" w:cs="Times New Roman"/>
          <w:color w:val="000000"/>
          <w:sz w:val="24"/>
          <w:szCs w:val="24"/>
          <w:lang/>
        </w:rPr>
        <w:t>18) послуги з ремонту, реставрації та поновлення меблів;</w:t>
      </w:r>
    </w:p>
    <w:p w14:paraId="55D3DA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4" w:name="n7016"/>
      <w:bookmarkEnd w:id="8814"/>
      <w:r w:rsidRPr="008B264B">
        <w:rPr>
          <w:rFonts w:ascii="Times New Roman" w:eastAsia="Times New Roman" w:hAnsi="Times New Roman" w:cs="Times New Roman"/>
          <w:color w:val="000000"/>
          <w:sz w:val="24"/>
          <w:szCs w:val="24"/>
          <w:lang/>
        </w:rPr>
        <w:t>19) виготовлення теслярських та столярних виробів за індивідуальним замовленням;</w:t>
      </w:r>
    </w:p>
    <w:p w14:paraId="3B78E0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5" w:name="n7017"/>
      <w:bookmarkEnd w:id="8815"/>
      <w:r w:rsidRPr="008B264B">
        <w:rPr>
          <w:rFonts w:ascii="Times New Roman" w:eastAsia="Times New Roman" w:hAnsi="Times New Roman" w:cs="Times New Roman"/>
          <w:color w:val="000000"/>
          <w:sz w:val="24"/>
          <w:szCs w:val="24"/>
          <w:lang/>
        </w:rPr>
        <w:t>20) технічне обслуговування та ремонт автомобілів, мотоциклів, моторолерів і мопедів за індивідуальним замовленням;</w:t>
      </w:r>
    </w:p>
    <w:p w14:paraId="273A74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6" w:name="n7018"/>
      <w:bookmarkEnd w:id="8816"/>
      <w:r w:rsidRPr="008B264B">
        <w:rPr>
          <w:rFonts w:ascii="Times New Roman" w:eastAsia="Times New Roman" w:hAnsi="Times New Roman" w:cs="Times New Roman"/>
          <w:color w:val="000000"/>
          <w:sz w:val="24"/>
          <w:szCs w:val="24"/>
          <w:lang/>
        </w:rPr>
        <w:t>21) послуги з ремонту радіотелевізійної та іншої аудіо- і відеоапаратури;</w:t>
      </w:r>
    </w:p>
    <w:p w14:paraId="088212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7" w:name="n7019"/>
      <w:bookmarkEnd w:id="8817"/>
      <w:r w:rsidRPr="008B264B">
        <w:rPr>
          <w:rFonts w:ascii="Times New Roman" w:eastAsia="Times New Roman" w:hAnsi="Times New Roman" w:cs="Times New Roman"/>
          <w:color w:val="000000"/>
          <w:sz w:val="24"/>
          <w:szCs w:val="24"/>
          <w:lang/>
        </w:rPr>
        <w:t>22) послуги з ремонту електропобутової техніки та інших побутових приладів;</w:t>
      </w:r>
    </w:p>
    <w:p w14:paraId="011CD4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8" w:name="n7020"/>
      <w:bookmarkEnd w:id="8818"/>
      <w:r w:rsidRPr="008B264B">
        <w:rPr>
          <w:rFonts w:ascii="Times New Roman" w:eastAsia="Times New Roman" w:hAnsi="Times New Roman" w:cs="Times New Roman"/>
          <w:color w:val="000000"/>
          <w:sz w:val="24"/>
          <w:szCs w:val="24"/>
          <w:lang/>
        </w:rPr>
        <w:lastRenderedPageBreak/>
        <w:t>23) послуги з ремонту годинників;</w:t>
      </w:r>
    </w:p>
    <w:p w14:paraId="4A1235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19" w:name="n7021"/>
      <w:bookmarkEnd w:id="8819"/>
      <w:r w:rsidRPr="008B264B">
        <w:rPr>
          <w:rFonts w:ascii="Times New Roman" w:eastAsia="Times New Roman" w:hAnsi="Times New Roman" w:cs="Times New Roman"/>
          <w:color w:val="000000"/>
          <w:sz w:val="24"/>
          <w:szCs w:val="24"/>
          <w:lang/>
        </w:rPr>
        <w:t>24) послуги з ремонту велосипедів;</w:t>
      </w:r>
    </w:p>
    <w:p w14:paraId="3795B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0" w:name="n7022"/>
      <w:bookmarkEnd w:id="8820"/>
      <w:r w:rsidRPr="008B264B">
        <w:rPr>
          <w:rFonts w:ascii="Times New Roman" w:eastAsia="Times New Roman" w:hAnsi="Times New Roman" w:cs="Times New Roman"/>
          <w:color w:val="000000"/>
          <w:sz w:val="24"/>
          <w:szCs w:val="24"/>
          <w:lang/>
        </w:rPr>
        <w:t>25) послуги з технічного обслуговування і ремонту музичних інструментів;</w:t>
      </w:r>
    </w:p>
    <w:p w14:paraId="058C2A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1" w:name="n7023"/>
      <w:bookmarkEnd w:id="8821"/>
      <w:r w:rsidRPr="008B264B">
        <w:rPr>
          <w:rFonts w:ascii="Times New Roman" w:eastAsia="Times New Roman" w:hAnsi="Times New Roman" w:cs="Times New Roman"/>
          <w:color w:val="000000"/>
          <w:sz w:val="24"/>
          <w:szCs w:val="24"/>
          <w:lang/>
        </w:rPr>
        <w:t>26) виготовлення металовиробів за індивідуальним замовленням;</w:t>
      </w:r>
    </w:p>
    <w:p w14:paraId="6D3D21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2" w:name="n7024"/>
      <w:bookmarkEnd w:id="8822"/>
      <w:r w:rsidRPr="008B264B">
        <w:rPr>
          <w:rFonts w:ascii="Times New Roman" w:eastAsia="Times New Roman" w:hAnsi="Times New Roman" w:cs="Times New Roman"/>
          <w:color w:val="000000"/>
          <w:sz w:val="24"/>
          <w:szCs w:val="24"/>
          <w:lang/>
        </w:rPr>
        <w:t>27) послуги з ремонту інших предметів особистого користування, домашнього вжитку та металовиробів;</w:t>
      </w:r>
    </w:p>
    <w:p w14:paraId="5D3286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3" w:name="n7025"/>
      <w:bookmarkEnd w:id="8823"/>
      <w:r w:rsidRPr="008B264B">
        <w:rPr>
          <w:rFonts w:ascii="Times New Roman" w:eastAsia="Times New Roman" w:hAnsi="Times New Roman" w:cs="Times New Roman"/>
          <w:color w:val="000000"/>
          <w:sz w:val="24"/>
          <w:szCs w:val="24"/>
          <w:lang/>
        </w:rPr>
        <w:t>28) виготовлення ювелірних виробів за індивідуальним замовленням;</w:t>
      </w:r>
    </w:p>
    <w:p w14:paraId="766635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4" w:name="n7026"/>
      <w:bookmarkEnd w:id="8824"/>
      <w:r w:rsidRPr="008B264B">
        <w:rPr>
          <w:rFonts w:ascii="Times New Roman" w:eastAsia="Times New Roman" w:hAnsi="Times New Roman" w:cs="Times New Roman"/>
          <w:color w:val="000000"/>
          <w:sz w:val="24"/>
          <w:szCs w:val="24"/>
          <w:lang/>
        </w:rPr>
        <w:t>29) послуги з ремонту ювелірних виробів;</w:t>
      </w:r>
    </w:p>
    <w:p w14:paraId="4A2708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5" w:name="n7027"/>
      <w:bookmarkEnd w:id="8825"/>
      <w:r w:rsidRPr="008B264B">
        <w:rPr>
          <w:rFonts w:ascii="Times New Roman" w:eastAsia="Times New Roman" w:hAnsi="Times New Roman" w:cs="Times New Roman"/>
          <w:color w:val="000000"/>
          <w:sz w:val="24"/>
          <w:szCs w:val="24"/>
          <w:lang/>
        </w:rPr>
        <w:t>30) прокат речей особистого користування та побутових товарів;</w:t>
      </w:r>
    </w:p>
    <w:p w14:paraId="567CA1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6" w:name="n7028"/>
      <w:bookmarkEnd w:id="8826"/>
      <w:r w:rsidRPr="008B264B">
        <w:rPr>
          <w:rFonts w:ascii="Times New Roman" w:eastAsia="Times New Roman" w:hAnsi="Times New Roman" w:cs="Times New Roman"/>
          <w:color w:val="000000"/>
          <w:sz w:val="24"/>
          <w:szCs w:val="24"/>
          <w:lang/>
        </w:rPr>
        <w:t>31) послуги з виконання фоторобіт;</w:t>
      </w:r>
    </w:p>
    <w:p w14:paraId="064ECD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7" w:name="n7029"/>
      <w:bookmarkEnd w:id="8827"/>
      <w:r w:rsidRPr="008B264B">
        <w:rPr>
          <w:rFonts w:ascii="Times New Roman" w:eastAsia="Times New Roman" w:hAnsi="Times New Roman" w:cs="Times New Roman"/>
          <w:color w:val="000000"/>
          <w:sz w:val="24"/>
          <w:szCs w:val="24"/>
          <w:lang/>
        </w:rPr>
        <w:t>32) послуги з оброблення плівок;</w:t>
      </w:r>
    </w:p>
    <w:p w14:paraId="181F5C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8" w:name="n7030"/>
      <w:bookmarkEnd w:id="8828"/>
      <w:r w:rsidRPr="008B264B">
        <w:rPr>
          <w:rFonts w:ascii="Times New Roman" w:eastAsia="Times New Roman" w:hAnsi="Times New Roman" w:cs="Times New Roman"/>
          <w:color w:val="000000"/>
          <w:sz w:val="24"/>
          <w:szCs w:val="24"/>
          <w:lang/>
        </w:rPr>
        <w:t>33) послуги з прання, оброблення білизни та інших текстильних виробів;</w:t>
      </w:r>
    </w:p>
    <w:p w14:paraId="06341B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29" w:name="n7031"/>
      <w:bookmarkEnd w:id="8829"/>
      <w:r w:rsidRPr="008B264B">
        <w:rPr>
          <w:rFonts w:ascii="Times New Roman" w:eastAsia="Times New Roman" w:hAnsi="Times New Roman" w:cs="Times New Roman"/>
          <w:color w:val="000000"/>
          <w:sz w:val="24"/>
          <w:szCs w:val="24"/>
          <w:lang/>
        </w:rPr>
        <w:t>34) послуги з чищення та фарбування текстильних, трикотажних і хутрових виробів;</w:t>
      </w:r>
    </w:p>
    <w:p w14:paraId="1809A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0" w:name="n7032"/>
      <w:bookmarkEnd w:id="8830"/>
      <w:r w:rsidRPr="008B264B">
        <w:rPr>
          <w:rFonts w:ascii="Times New Roman" w:eastAsia="Times New Roman" w:hAnsi="Times New Roman" w:cs="Times New Roman"/>
          <w:color w:val="000000"/>
          <w:sz w:val="24"/>
          <w:szCs w:val="24"/>
          <w:lang/>
        </w:rPr>
        <w:t>35) вичинка хутрових шкур за індивідуальним замовленням;</w:t>
      </w:r>
    </w:p>
    <w:p w14:paraId="45CD9F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1" w:name="n7033"/>
      <w:bookmarkEnd w:id="8831"/>
      <w:r w:rsidRPr="008B264B">
        <w:rPr>
          <w:rFonts w:ascii="Times New Roman" w:eastAsia="Times New Roman" w:hAnsi="Times New Roman" w:cs="Times New Roman"/>
          <w:color w:val="000000"/>
          <w:sz w:val="24"/>
          <w:szCs w:val="24"/>
          <w:lang/>
        </w:rPr>
        <w:t>36) послуги перукарень;</w:t>
      </w:r>
    </w:p>
    <w:p w14:paraId="7C6F7E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2" w:name="n7034"/>
      <w:bookmarkEnd w:id="8832"/>
      <w:r w:rsidRPr="008B264B">
        <w:rPr>
          <w:rFonts w:ascii="Times New Roman" w:eastAsia="Times New Roman" w:hAnsi="Times New Roman" w:cs="Times New Roman"/>
          <w:color w:val="000000"/>
          <w:sz w:val="24"/>
          <w:szCs w:val="24"/>
          <w:lang/>
        </w:rPr>
        <w:t>37) ритуальні послуги;</w:t>
      </w:r>
    </w:p>
    <w:p w14:paraId="5C59B1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3" w:name="n7035"/>
      <w:bookmarkEnd w:id="8833"/>
      <w:r w:rsidRPr="008B264B">
        <w:rPr>
          <w:rFonts w:ascii="Times New Roman" w:eastAsia="Times New Roman" w:hAnsi="Times New Roman" w:cs="Times New Roman"/>
          <w:color w:val="000000"/>
          <w:sz w:val="24"/>
          <w:szCs w:val="24"/>
          <w:lang/>
        </w:rPr>
        <w:t>38) послуги, пов'язані з сільським та лісовим господарством;</w:t>
      </w:r>
    </w:p>
    <w:p w14:paraId="77ECA2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4" w:name="n7036"/>
      <w:bookmarkEnd w:id="8834"/>
      <w:r w:rsidRPr="008B264B">
        <w:rPr>
          <w:rFonts w:ascii="Times New Roman" w:eastAsia="Times New Roman" w:hAnsi="Times New Roman" w:cs="Times New Roman"/>
          <w:color w:val="000000"/>
          <w:sz w:val="24"/>
          <w:szCs w:val="24"/>
          <w:lang/>
        </w:rPr>
        <w:t>39) послуги домашньої прислуги;</w:t>
      </w:r>
    </w:p>
    <w:p w14:paraId="4C209B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5" w:name="n7037"/>
      <w:bookmarkEnd w:id="8835"/>
      <w:r w:rsidRPr="008B264B">
        <w:rPr>
          <w:rFonts w:ascii="Times New Roman" w:eastAsia="Times New Roman" w:hAnsi="Times New Roman" w:cs="Times New Roman"/>
          <w:color w:val="000000"/>
          <w:sz w:val="24"/>
          <w:szCs w:val="24"/>
          <w:lang/>
        </w:rPr>
        <w:t>40) послуги, пов'язані з очищенням та прибиранням приміщень за індивідуальним замовленням.</w:t>
      </w:r>
    </w:p>
    <w:p w14:paraId="19E804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6" w:name="n7038"/>
      <w:bookmarkEnd w:id="8836"/>
      <w:r w:rsidRPr="008B264B">
        <w:rPr>
          <w:rFonts w:ascii="Times New Roman" w:eastAsia="Times New Roman" w:hAnsi="Times New Roman" w:cs="Times New Roman"/>
          <w:b/>
          <w:bCs/>
          <w:color w:val="000000"/>
          <w:sz w:val="24"/>
          <w:szCs w:val="24"/>
          <w:lang/>
        </w:rPr>
        <w:t>Стаття 292.</w:t>
      </w:r>
      <w:r w:rsidRPr="008B264B">
        <w:rPr>
          <w:rFonts w:ascii="Times New Roman" w:eastAsia="Times New Roman" w:hAnsi="Times New Roman" w:cs="Times New Roman"/>
          <w:color w:val="000000"/>
          <w:sz w:val="24"/>
          <w:szCs w:val="24"/>
          <w:lang/>
        </w:rPr>
        <w:t> Порядок визначення доходів та їх склад для платників єдиного податку першої - третьої груп</w:t>
      </w:r>
    </w:p>
    <w:p w14:paraId="74F717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7" w:name="n11992"/>
      <w:bookmarkEnd w:id="8837"/>
      <w:r w:rsidRPr="008B264B">
        <w:rPr>
          <w:rFonts w:ascii="Times New Roman" w:eastAsia="Times New Roman" w:hAnsi="Times New Roman" w:cs="Times New Roman"/>
          <w:i/>
          <w:iCs/>
          <w:color w:val="000000"/>
          <w:sz w:val="24"/>
          <w:szCs w:val="24"/>
          <w:lang/>
        </w:rPr>
        <w:t>{Назва статті 292 в редакції Закону </w:t>
      </w:r>
      <w:hyperlink r:id="rId4826" w:anchor="n150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63E78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8" w:name="n7039"/>
      <w:bookmarkEnd w:id="8838"/>
      <w:r w:rsidRPr="008B264B">
        <w:rPr>
          <w:rFonts w:ascii="Times New Roman" w:eastAsia="Times New Roman" w:hAnsi="Times New Roman" w:cs="Times New Roman"/>
          <w:color w:val="000000"/>
          <w:sz w:val="24"/>
          <w:szCs w:val="24"/>
          <w:lang/>
        </w:rPr>
        <w:t>292.1. Доходом платника єдиного податку є:</w:t>
      </w:r>
    </w:p>
    <w:p w14:paraId="65A351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39" w:name="n7040"/>
      <w:bookmarkEnd w:id="8839"/>
      <w:r w:rsidRPr="008B264B">
        <w:rPr>
          <w:rFonts w:ascii="Times New Roman" w:eastAsia="Times New Roman" w:hAnsi="Times New Roman" w:cs="Times New Roman"/>
          <w:color w:val="000000"/>
          <w:sz w:val="24"/>
          <w:szCs w:val="24"/>
          <w:lang/>
        </w:rPr>
        <w:t>1) для фізичної особи - підприємця - дохід, отриманий протягом податкового (звітного) періоду в грошовій формі (готівковій та/або безготівковій); матеріальній або нематеріальній формі, визначеній пунктом 292.3 цієї статті. При цьому до доходу не включаються отримані такою фізичною особою пасивні доходи у вигляді процентів, дивідендів, роялті, страхові виплати і відшкодування, а також доходи, отримані від продажу рухомого та нерухомого майна, яке належить на праві власності фізичній особі та використовується в її господарській діяльності;</w:t>
      </w:r>
    </w:p>
    <w:p w14:paraId="457D4F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0" w:name="n7041"/>
      <w:bookmarkEnd w:id="8840"/>
      <w:r w:rsidRPr="008B264B">
        <w:rPr>
          <w:rFonts w:ascii="Times New Roman" w:eastAsia="Times New Roman" w:hAnsi="Times New Roman" w:cs="Times New Roman"/>
          <w:color w:val="000000"/>
          <w:sz w:val="24"/>
          <w:szCs w:val="24"/>
          <w:lang/>
        </w:rPr>
        <w:t>2) для юридичної особи - будь-який дохід, включаючи дохід представництв, філій, відділень такої юридичної особи, отриманий протягом податкового (звітного) періоду в грошовій формі (готівковій та/або безготівковій); матеріальній або нематеріальній формі, визначеній пунктом 292.3 цієї статті.</w:t>
      </w:r>
    </w:p>
    <w:p w14:paraId="73604F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1" w:name="n7042"/>
      <w:bookmarkEnd w:id="8841"/>
      <w:r w:rsidRPr="008B264B">
        <w:rPr>
          <w:rFonts w:ascii="Times New Roman" w:eastAsia="Times New Roman" w:hAnsi="Times New Roman" w:cs="Times New Roman"/>
          <w:color w:val="000000"/>
          <w:sz w:val="24"/>
          <w:szCs w:val="24"/>
          <w:lang/>
        </w:rPr>
        <w:t>292.2. При продажу основних засобів юридичними особами - платниками єдиного податку дохід визначається як сума коштів, отриманих від продажу таких основних засобів.</w:t>
      </w:r>
    </w:p>
    <w:p w14:paraId="50E9C9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2" w:name="n11995"/>
      <w:bookmarkEnd w:id="8842"/>
      <w:r w:rsidRPr="008B264B">
        <w:rPr>
          <w:rFonts w:ascii="Times New Roman" w:eastAsia="Times New Roman" w:hAnsi="Times New Roman" w:cs="Times New Roman"/>
          <w:color w:val="000000"/>
          <w:sz w:val="24"/>
          <w:szCs w:val="24"/>
          <w:lang/>
        </w:rPr>
        <w:t>Якщо основні засоби продані після їх використання протягом 12 календарних місяців з дня введення в експлуатацію, дохід визначається як різниця між сумою коштів, отриманою від продажу таких основних засобів, та їх залишковою балансовою вартістю, що склалася на день продажу.</w:t>
      </w:r>
    </w:p>
    <w:p w14:paraId="33EB86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3" w:name="n11994"/>
      <w:bookmarkEnd w:id="8843"/>
      <w:r w:rsidRPr="008B264B">
        <w:rPr>
          <w:rFonts w:ascii="Times New Roman" w:eastAsia="Times New Roman" w:hAnsi="Times New Roman" w:cs="Times New Roman"/>
          <w:i/>
          <w:iCs/>
          <w:color w:val="000000"/>
          <w:sz w:val="24"/>
          <w:szCs w:val="24"/>
          <w:lang/>
        </w:rPr>
        <w:t>{Пункт 292.2 статті 292 в редакції Закону </w:t>
      </w:r>
      <w:hyperlink r:id="rId4827" w:anchor="n15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D902E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4" w:name="n7043"/>
      <w:bookmarkEnd w:id="8844"/>
      <w:r w:rsidRPr="008B264B">
        <w:rPr>
          <w:rFonts w:ascii="Times New Roman" w:eastAsia="Times New Roman" w:hAnsi="Times New Roman" w:cs="Times New Roman"/>
          <w:color w:val="000000"/>
          <w:sz w:val="24"/>
          <w:szCs w:val="24"/>
          <w:lang/>
        </w:rPr>
        <w:lastRenderedPageBreak/>
        <w:t>292.3. До суми доходу платника єдиного податку включається вартість безоплатно отриманих протягом звітного періоду товарів (робіт, послуг).</w:t>
      </w:r>
    </w:p>
    <w:p w14:paraId="4F4E31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5" w:name="n7044"/>
      <w:bookmarkEnd w:id="8845"/>
      <w:r w:rsidRPr="008B264B">
        <w:rPr>
          <w:rFonts w:ascii="Times New Roman" w:eastAsia="Times New Roman" w:hAnsi="Times New Roman" w:cs="Times New Roman"/>
          <w:color w:val="000000"/>
          <w:sz w:val="24"/>
          <w:szCs w:val="24"/>
          <w:lang/>
        </w:rPr>
        <w:t>Безоплатно отриманими вважаються товари (роботи, послуги), надані платнику єдиного податку згідно з письмовими договорами дарування та іншими письмовими договорами, укладеними згідно із законодавством, за якими не передбачено грошової або іншої компенсації вартості таких товарів (робіт, послуг) чи їх повернення, а також товари, передані платнику єдиного податку на відповідальне зберігання і використані таким платником єдиного податку.</w:t>
      </w:r>
    </w:p>
    <w:p w14:paraId="05D16F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6" w:name="n7045"/>
      <w:bookmarkEnd w:id="8846"/>
      <w:r w:rsidRPr="008B264B">
        <w:rPr>
          <w:rFonts w:ascii="Times New Roman" w:eastAsia="Times New Roman" w:hAnsi="Times New Roman" w:cs="Times New Roman"/>
          <w:color w:val="000000"/>
          <w:sz w:val="24"/>
          <w:szCs w:val="24"/>
          <w:lang/>
        </w:rPr>
        <w:t>До суми доходу платника єдиного податку третьої групи, який є платником податку на додану вартість за звітний період також включається сума кредиторської заборгованості, за якою минув строк позовної давності.</w:t>
      </w:r>
    </w:p>
    <w:p w14:paraId="4EABC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7" w:name="n7046"/>
      <w:bookmarkEnd w:id="8847"/>
      <w:r w:rsidRPr="008B264B">
        <w:rPr>
          <w:rFonts w:ascii="Times New Roman" w:eastAsia="Times New Roman" w:hAnsi="Times New Roman" w:cs="Times New Roman"/>
          <w:i/>
          <w:iCs/>
          <w:color w:val="000000"/>
          <w:sz w:val="24"/>
          <w:szCs w:val="24"/>
          <w:lang/>
        </w:rPr>
        <w:t>{Абзац третій пункту 292.3 статті 292 із змінами, внесеними згідно із Законами </w:t>
      </w:r>
      <w:hyperlink r:id="rId4828" w:anchor="n29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2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830" w:anchor="n15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EA97B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8" w:name="n7047"/>
      <w:bookmarkEnd w:id="8848"/>
      <w:r w:rsidRPr="008B264B">
        <w:rPr>
          <w:rFonts w:ascii="Times New Roman" w:eastAsia="Times New Roman" w:hAnsi="Times New Roman" w:cs="Times New Roman"/>
          <w:color w:val="000000"/>
          <w:sz w:val="24"/>
          <w:szCs w:val="24"/>
          <w:lang/>
        </w:rPr>
        <w:t>До суми доходу платника єдиного податку третьої групи (юридичні особи) за звітний період включається вартість реалізованих протягом звітного періоду товарів (робіт, послуг), за які отримана попередня оплата (аванс) у період сплати інших податків і зборів, визначених цим Кодексом.</w:t>
      </w:r>
    </w:p>
    <w:p w14:paraId="36FABD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49" w:name="n11993"/>
      <w:bookmarkEnd w:id="8849"/>
      <w:r w:rsidRPr="008B264B">
        <w:rPr>
          <w:rFonts w:ascii="Times New Roman" w:eastAsia="Times New Roman" w:hAnsi="Times New Roman" w:cs="Times New Roman"/>
          <w:i/>
          <w:iCs/>
          <w:color w:val="000000"/>
          <w:sz w:val="24"/>
          <w:szCs w:val="24"/>
          <w:lang/>
        </w:rPr>
        <w:t>{Абзац четвертий пункту 292.3 статті 292 із змінами, внесеними згідно із Законом </w:t>
      </w:r>
      <w:hyperlink r:id="rId4831" w:anchor="n15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C4656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0" w:name="n7048"/>
      <w:bookmarkEnd w:id="8850"/>
      <w:r w:rsidRPr="008B264B">
        <w:rPr>
          <w:rFonts w:ascii="Times New Roman" w:eastAsia="Times New Roman" w:hAnsi="Times New Roman" w:cs="Times New Roman"/>
          <w:i/>
          <w:iCs/>
          <w:color w:val="000000"/>
          <w:sz w:val="24"/>
          <w:szCs w:val="24"/>
          <w:lang/>
        </w:rPr>
        <w:t>{Пункт 292.3 статті 292 в редакції Закону </w:t>
      </w:r>
      <w:hyperlink r:id="rId4832" w:anchor="n43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33" w:anchor="n29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17491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1" w:name="n7049"/>
      <w:bookmarkEnd w:id="8851"/>
      <w:r w:rsidRPr="008B264B">
        <w:rPr>
          <w:rFonts w:ascii="Times New Roman" w:eastAsia="Times New Roman" w:hAnsi="Times New Roman" w:cs="Times New Roman"/>
          <w:color w:val="000000"/>
          <w:sz w:val="24"/>
          <w:szCs w:val="24"/>
          <w:lang/>
        </w:rPr>
        <w:t>292.4. У разі надання послуг, виконання робіт за договорами доручення, комісії, транспортного експедирування або за агентськими договорами доходом є сума отриманої винагороди повіреного (агента).</w:t>
      </w:r>
    </w:p>
    <w:p w14:paraId="2FF37A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2" w:name="n11996"/>
      <w:bookmarkEnd w:id="8852"/>
      <w:r w:rsidRPr="008B264B">
        <w:rPr>
          <w:rFonts w:ascii="Times New Roman" w:eastAsia="Times New Roman" w:hAnsi="Times New Roman" w:cs="Times New Roman"/>
          <w:i/>
          <w:iCs/>
          <w:color w:val="000000"/>
          <w:sz w:val="24"/>
          <w:szCs w:val="24"/>
          <w:lang/>
        </w:rPr>
        <w:t>{Пункт 292.4 статті 292 із змінами, внесеними згідно із Законом </w:t>
      </w:r>
      <w:hyperlink r:id="rId4834" w:anchor="n15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AAEFE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3" w:name="n7050"/>
      <w:bookmarkEnd w:id="8853"/>
      <w:r w:rsidRPr="008B264B">
        <w:rPr>
          <w:rFonts w:ascii="Times New Roman" w:eastAsia="Times New Roman" w:hAnsi="Times New Roman" w:cs="Times New Roman"/>
          <w:color w:val="000000"/>
          <w:sz w:val="24"/>
          <w:szCs w:val="24"/>
          <w:lang/>
        </w:rPr>
        <w:t>292.5. Дохід, виражений в іноземній валюті, перераховується у гривнях за офіційним курсом гривні до іноземної валюти, встановленим Національним банком України на дату отримання такого доходу.</w:t>
      </w:r>
    </w:p>
    <w:p w14:paraId="165CCC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4" w:name="n7051"/>
      <w:bookmarkEnd w:id="8854"/>
      <w:r w:rsidRPr="008B264B">
        <w:rPr>
          <w:rFonts w:ascii="Times New Roman" w:eastAsia="Times New Roman" w:hAnsi="Times New Roman" w:cs="Times New Roman"/>
          <w:color w:val="000000"/>
          <w:sz w:val="24"/>
          <w:szCs w:val="24"/>
          <w:lang/>
        </w:rPr>
        <w:t>292.6. Датою отримання доходу платника єдиного податку є дата надходження коштів платнику єдиного податку у грошовій (готівковій або безготівковій) формі, дата підписання платником єдиного податку акта приймання-передачі безоплатно отриманих товарів (робіт, послуг). Для платника єдиного податку третьої групи, який є платником податку на додану вартість, датою отримання доходу є дата списання кредиторської заборгованості, за якою минув строк позовної давності.</w:t>
      </w:r>
    </w:p>
    <w:p w14:paraId="01135A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5" w:name="n7052"/>
      <w:bookmarkEnd w:id="8855"/>
      <w:r w:rsidRPr="008B264B">
        <w:rPr>
          <w:rFonts w:ascii="Times New Roman" w:eastAsia="Times New Roman" w:hAnsi="Times New Roman" w:cs="Times New Roman"/>
          <w:i/>
          <w:iCs/>
          <w:color w:val="000000"/>
          <w:sz w:val="24"/>
          <w:szCs w:val="24"/>
          <w:lang/>
        </w:rPr>
        <w:t>{Абзац перший пункту 292.6 статті 292 із змінами, внесеними згідно із Законами </w:t>
      </w:r>
      <w:hyperlink r:id="rId4835" w:anchor="n29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36"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837" w:anchor="n15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E85EE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6" w:name="n7053"/>
      <w:bookmarkEnd w:id="8856"/>
      <w:r w:rsidRPr="008B264B">
        <w:rPr>
          <w:rFonts w:ascii="Times New Roman" w:eastAsia="Times New Roman" w:hAnsi="Times New Roman" w:cs="Times New Roman"/>
          <w:color w:val="000000"/>
          <w:sz w:val="24"/>
          <w:szCs w:val="24"/>
          <w:lang/>
        </w:rPr>
        <w:t>Для платника єдиного податку третьої групи (юридичні особи) датою отримання доходу також є дата відвантаження товарів (виконання робіт, надання послуг), за які отримана попередня оплата (аванс) у період сплати інших податків і зборів, визначених цим Кодексом.</w:t>
      </w:r>
    </w:p>
    <w:p w14:paraId="530C20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7" w:name="n11997"/>
      <w:bookmarkEnd w:id="8857"/>
      <w:r w:rsidRPr="008B264B">
        <w:rPr>
          <w:rFonts w:ascii="Times New Roman" w:eastAsia="Times New Roman" w:hAnsi="Times New Roman" w:cs="Times New Roman"/>
          <w:i/>
          <w:iCs/>
          <w:color w:val="000000"/>
          <w:sz w:val="24"/>
          <w:szCs w:val="24"/>
          <w:lang/>
        </w:rPr>
        <w:t>{Абзац другий пункту 292.6 статті 292 із змінами, внесеними згідно із Законом </w:t>
      </w:r>
      <w:hyperlink r:id="rId4838" w:anchor="n151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33D53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8" w:name="n7054"/>
      <w:bookmarkEnd w:id="8858"/>
      <w:r w:rsidRPr="008B264B">
        <w:rPr>
          <w:rFonts w:ascii="Times New Roman" w:eastAsia="Times New Roman" w:hAnsi="Times New Roman" w:cs="Times New Roman"/>
          <w:i/>
          <w:iCs/>
          <w:color w:val="000000"/>
          <w:sz w:val="24"/>
          <w:szCs w:val="24"/>
          <w:lang/>
        </w:rPr>
        <w:t>{Пункт 292.6 статті 292 в редакції Закону </w:t>
      </w:r>
      <w:hyperlink r:id="rId4839" w:anchor="n43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40" w:anchor="n29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2A5D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59" w:name="n7055"/>
      <w:bookmarkEnd w:id="8859"/>
      <w:r w:rsidRPr="008B264B">
        <w:rPr>
          <w:rFonts w:ascii="Times New Roman" w:eastAsia="Times New Roman" w:hAnsi="Times New Roman" w:cs="Times New Roman"/>
          <w:color w:val="000000"/>
          <w:sz w:val="24"/>
          <w:szCs w:val="24"/>
          <w:lang/>
        </w:rPr>
        <w:t>292.7. У разі здійснення торгівлі товарами або послугами з використанням торговельних автоматів чи іншого подібного обладнання, що не передбачає наявності реєстратора розрахункових операцій, датою отримання доходу вважається дата вилучення з таких торговельних апаратів та/або подібного обладнання грошової виручки.</w:t>
      </w:r>
    </w:p>
    <w:p w14:paraId="1F878E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0" w:name="n7056"/>
      <w:bookmarkEnd w:id="8860"/>
      <w:r w:rsidRPr="008B264B">
        <w:rPr>
          <w:rFonts w:ascii="Times New Roman" w:eastAsia="Times New Roman" w:hAnsi="Times New Roman" w:cs="Times New Roman"/>
          <w:color w:val="000000"/>
          <w:sz w:val="24"/>
          <w:szCs w:val="24"/>
          <w:lang/>
        </w:rPr>
        <w:lastRenderedPageBreak/>
        <w:t>292.8. У разі якщо торгівля товарами (роботами, послугами) через торговельні автомати здійснюється з використанням жетонів, карток та/або інших замінників грошових знаків, виражених у грошовій одиниці України, датою отримання доходу вважається дата продажу таких жетонів, карток та/або інших замінників грошових знаків, виражених у грошовій одиниці України.</w:t>
      </w:r>
    </w:p>
    <w:p w14:paraId="2E6BB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1" w:name="n7057"/>
      <w:bookmarkEnd w:id="8861"/>
      <w:r w:rsidRPr="008B264B">
        <w:rPr>
          <w:rFonts w:ascii="Times New Roman" w:eastAsia="Times New Roman" w:hAnsi="Times New Roman" w:cs="Times New Roman"/>
          <w:color w:val="000000"/>
          <w:sz w:val="24"/>
          <w:szCs w:val="24"/>
          <w:lang/>
        </w:rPr>
        <w:t>292.9. Доходи фізичної особи - платника єдиного податку, отримані в результаті провадження господарської діяльності та оподатковані згідно з цією главою, не включаються до складу загального річного оподатковуваного доходу фізичної особи, визначеного відповідно до </w:t>
      </w:r>
      <w:hyperlink r:id="rId4841"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w:t>
      </w:r>
    </w:p>
    <w:p w14:paraId="754A2C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2" w:name="n7058"/>
      <w:bookmarkEnd w:id="8862"/>
      <w:r w:rsidRPr="008B264B">
        <w:rPr>
          <w:rFonts w:ascii="Times New Roman" w:eastAsia="Times New Roman" w:hAnsi="Times New Roman" w:cs="Times New Roman"/>
          <w:color w:val="000000"/>
          <w:sz w:val="24"/>
          <w:szCs w:val="24"/>
          <w:lang/>
        </w:rPr>
        <w:t>292.10. Не є доходом суми податків і зборів, утримані (нараховані) платником єдиного податку під час здійснення ним функцій податкового агента, а також суми єдиного внеску на загальнообов'язкове державне соціальне страхування, нараховані платником єдиного податку відповідно до закону.</w:t>
      </w:r>
    </w:p>
    <w:p w14:paraId="39939D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3" w:name="n7059"/>
      <w:bookmarkEnd w:id="8863"/>
      <w:r w:rsidRPr="008B264B">
        <w:rPr>
          <w:rFonts w:ascii="Times New Roman" w:eastAsia="Times New Roman" w:hAnsi="Times New Roman" w:cs="Times New Roman"/>
          <w:color w:val="000000"/>
          <w:sz w:val="24"/>
          <w:szCs w:val="24"/>
          <w:lang/>
        </w:rPr>
        <w:t>292.11. До складу доходу, визначеного цією статтею, не включаються:</w:t>
      </w:r>
    </w:p>
    <w:p w14:paraId="6F141B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4" w:name="n7060"/>
      <w:bookmarkEnd w:id="8864"/>
      <w:r w:rsidRPr="008B264B">
        <w:rPr>
          <w:rFonts w:ascii="Times New Roman" w:eastAsia="Times New Roman" w:hAnsi="Times New Roman" w:cs="Times New Roman"/>
          <w:color w:val="000000"/>
          <w:sz w:val="24"/>
          <w:szCs w:val="24"/>
          <w:lang/>
        </w:rPr>
        <w:t>1) суми податку на додану вартість;</w:t>
      </w:r>
    </w:p>
    <w:p w14:paraId="7177DB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5" w:name="n7061"/>
      <w:bookmarkEnd w:id="8865"/>
      <w:r w:rsidRPr="008B264B">
        <w:rPr>
          <w:rFonts w:ascii="Times New Roman" w:eastAsia="Times New Roman" w:hAnsi="Times New Roman" w:cs="Times New Roman"/>
          <w:color w:val="000000"/>
          <w:sz w:val="24"/>
          <w:szCs w:val="24"/>
          <w:lang/>
        </w:rPr>
        <w:t>2) суми коштів, отриманих за внутрішніми розрахунками між структурними підрозділами платника єдиного податку;</w:t>
      </w:r>
    </w:p>
    <w:p w14:paraId="1E2300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6" w:name="n7062"/>
      <w:bookmarkEnd w:id="8866"/>
      <w:r w:rsidRPr="008B264B">
        <w:rPr>
          <w:rFonts w:ascii="Times New Roman" w:eastAsia="Times New Roman" w:hAnsi="Times New Roman" w:cs="Times New Roman"/>
          <w:color w:val="000000"/>
          <w:sz w:val="24"/>
          <w:szCs w:val="24"/>
          <w:lang/>
        </w:rPr>
        <w:t>3) суми фінансової допомоги, наданої на поворотній основі, отриманої та поверненої протягом 12 календарних місяців з дня її отримання, та суми кредитів;</w:t>
      </w:r>
    </w:p>
    <w:p w14:paraId="3FDE43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7" w:name="n7063"/>
      <w:bookmarkEnd w:id="8867"/>
      <w:r w:rsidRPr="008B264B">
        <w:rPr>
          <w:rFonts w:ascii="Times New Roman" w:eastAsia="Times New Roman" w:hAnsi="Times New Roman" w:cs="Times New Roman"/>
          <w:color w:val="000000"/>
          <w:sz w:val="24"/>
          <w:szCs w:val="24"/>
          <w:lang/>
        </w:rPr>
        <w:t>4) суми коштів цільового призначення, що надійшли від Пенсійного фонду та інших фондів загальнообов'язкового державного соціального страхування, з бюджетів або державних цільових фондів, у тому числі в межах державних або місцевих програм;</w:t>
      </w:r>
    </w:p>
    <w:p w14:paraId="4CBFC8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8" w:name="n7064"/>
      <w:bookmarkEnd w:id="8868"/>
      <w:r w:rsidRPr="008B264B">
        <w:rPr>
          <w:rFonts w:ascii="Times New Roman" w:eastAsia="Times New Roman" w:hAnsi="Times New Roman" w:cs="Times New Roman"/>
          <w:color w:val="000000"/>
          <w:sz w:val="24"/>
          <w:szCs w:val="24"/>
          <w:lang/>
        </w:rPr>
        <w:t>5) суми коштів (аванс, передоплата), що повертаються покупцю товару (робіт, послуг) - платнику єдиного податку та/або повертаються платником єдиного податку покупцю товару (робіт, послуг), якщо таке повернення відбувається внаслідок повернення товару, розірвання договору або за листом-заявою про повернення коштів;</w:t>
      </w:r>
    </w:p>
    <w:p w14:paraId="748C1F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69" w:name="n7065"/>
      <w:bookmarkEnd w:id="8869"/>
      <w:r w:rsidRPr="008B264B">
        <w:rPr>
          <w:rFonts w:ascii="Times New Roman" w:eastAsia="Times New Roman" w:hAnsi="Times New Roman" w:cs="Times New Roman"/>
          <w:color w:val="000000"/>
          <w:sz w:val="24"/>
          <w:szCs w:val="24"/>
          <w:lang/>
        </w:rPr>
        <w:t>6) суми коштів, що надійшли як оплата товарів (робіт, послуг), реалізованих у період сплати інших податків і зборів, встановлених цим Кодексом, вартість яких була включена до доходу юридичної особи при обчисленні податку на прибуток підприємств або загального оподатковуваного доходу фізичної особи - підприємця;</w:t>
      </w:r>
    </w:p>
    <w:p w14:paraId="3EA3AD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0" w:name="n7066"/>
      <w:bookmarkEnd w:id="8870"/>
      <w:r w:rsidRPr="008B264B">
        <w:rPr>
          <w:rFonts w:ascii="Times New Roman" w:eastAsia="Times New Roman" w:hAnsi="Times New Roman" w:cs="Times New Roman"/>
          <w:color w:val="000000"/>
          <w:sz w:val="24"/>
          <w:szCs w:val="24"/>
          <w:lang/>
        </w:rPr>
        <w:t>7) суми податку на додану вартість, що надійшли у вартості товарів (виконаних робіт, наданих послуг), відвантажених (поставлених) у період сплати інших податків і зборів, встановлених цим Кодексом;</w:t>
      </w:r>
    </w:p>
    <w:p w14:paraId="2848DC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1" w:name="n7067"/>
      <w:bookmarkEnd w:id="8871"/>
      <w:r w:rsidRPr="008B264B">
        <w:rPr>
          <w:rFonts w:ascii="Times New Roman" w:eastAsia="Times New Roman" w:hAnsi="Times New Roman" w:cs="Times New Roman"/>
          <w:color w:val="000000"/>
          <w:sz w:val="24"/>
          <w:szCs w:val="24"/>
          <w:lang/>
        </w:rPr>
        <w:t>8) суми коштів та вартість майна, внесені засновниками або учасниками платника єдиного податку до статутного капіталу такого платника;</w:t>
      </w:r>
    </w:p>
    <w:p w14:paraId="0E4FFE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2" w:name="n7068"/>
      <w:bookmarkEnd w:id="8872"/>
      <w:r w:rsidRPr="008B264B">
        <w:rPr>
          <w:rFonts w:ascii="Times New Roman" w:eastAsia="Times New Roman" w:hAnsi="Times New Roman" w:cs="Times New Roman"/>
          <w:color w:val="000000"/>
          <w:sz w:val="24"/>
          <w:szCs w:val="24"/>
          <w:lang/>
        </w:rPr>
        <w:t>9) суми коштів у частині надмірно сплачених податків і зборів, встановлених цим Кодексом, та суми єдиного внеску на загальнообов'язкове державне соціальне страхування, що повертаються платнику єдиного податку з бюджетів або державних цільових фондів;</w:t>
      </w:r>
    </w:p>
    <w:p w14:paraId="2DE86F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3" w:name="n7069"/>
      <w:bookmarkEnd w:id="8873"/>
      <w:r w:rsidRPr="008B264B">
        <w:rPr>
          <w:rFonts w:ascii="Times New Roman" w:eastAsia="Times New Roman" w:hAnsi="Times New Roman" w:cs="Times New Roman"/>
          <w:color w:val="000000"/>
          <w:sz w:val="24"/>
          <w:szCs w:val="24"/>
          <w:lang/>
        </w:rPr>
        <w:t>10) дивіденди, отримані платником єдиного податку - юридичною особою від інших платників податків, оподатковані в порядку, визначеному цим Кодексом.</w:t>
      </w:r>
    </w:p>
    <w:p w14:paraId="49171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4" w:name="n7070"/>
      <w:bookmarkEnd w:id="8874"/>
      <w:r w:rsidRPr="008B264B">
        <w:rPr>
          <w:rFonts w:ascii="Times New Roman" w:eastAsia="Times New Roman" w:hAnsi="Times New Roman" w:cs="Times New Roman"/>
          <w:i/>
          <w:iCs/>
          <w:color w:val="000000"/>
          <w:sz w:val="24"/>
          <w:szCs w:val="24"/>
          <w:lang/>
        </w:rPr>
        <w:t>{Пункт 292.12 статті 292 виключено на підставі Закону </w:t>
      </w:r>
      <w:hyperlink r:id="rId4842" w:anchor="n141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5BB51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5" w:name="n7071"/>
      <w:bookmarkEnd w:id="8875"/>
      <w:r w:rsidRPr="008B264B">
        <w:rPr>
          <w:rFonts w:ascii="Times New Roman" w:eastAsia="Times New Roman" w:hAnsi="Times New Roman" w:cs="Times New Roman"/>
          <w:color w:val="000000"/>
          <w:sz w:val="24"/>
          <w:szCs w:val="24"/>
          <w:lang/>
        </w:rPr>
        <w:t>292.13. Дохід визначається на підставі даних обліку, який ведеться відповідно до </w:t>
      </w:r>
      <w:hyperlink r:id="rId4843" w:anchor="n7158" w:history="1">
        <w:r w:rsidRPr="008B264B">
          <w:rPr>
            <w:rFonts w:ascii="Times New Roman" w:eastAsia="Times New Roman" w:hAnsi="Times New Roman" w:cs="Times New Roman"/>
            <w:color w:val="0000FF"/>
            <w:sz w:val="24"/>
            <w:szCs w:val="24"/>
            <w:u w:val="single"/>
            <w:lang/>
          </w:rPr>
          <w:t>статті 296</w:t>
        </w:r>
      </w:hyperlink>
      <w:r w:rsidRPr="008B264B">
        <w:rPr>
          <w:rFonts w:ascii="Times New Roman" w:eastAsia="Times New Roman" w:hAnsi="Times New Roman" w:cs="Times New Roman"/>
          <w:color w:val="000000"/>
          <w:sz w:val="24"/>
          <w:szCs w:val="24"/>
          <w:lang/>
        </w:rPr>
        <w:t> цього Кодексу.</w:t>
      </w:r>
    </w:p>
    <w:p w14:paraId="4E32BD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6" w:name="n7072"/>
      <w:bookmarkEnd w:id="8876"/>
      <w:r w:rsidRPr="008B264B">
        <w:rPr>
          <w:rFonts w:ascii="Times New Roman" w:eastAsia="Times New Roman" w:hAnsi="Times New Roman" w:cs="Times New Roman"/>
          <w:color w:val="000000"/>
          <w:sz w:val="24"/>
          <w:szCs w:val="24"/>
          <w:lang/>
        </w:rPr>
        <w:t>292.14. Визначення доходу здійснюється для цілей оподаткування єдиним податком та для надання права суб'єкту господарювання зареєструватися платником єдиного податку та/або перебувати на спрощеній системі оподаткування.</w:t>
      </w:r>
    </w:p>
    <w:p w14:paraId="0BA7FF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7" w:name="n7073"/>
      <w:bookmarkEnd w:id="8877"/>
      <w:r w:rsidRPr="008B264B">
        <w:rPr>
          <w:rFonts w:ascii="Times New Roman" w:eastAsia="Times New Roman" w:hAnsi="Times New Roman" w:cs="Times New Roman"/>
          <w:color w:val="000000"/>
          <w:sz w:val="24"/>
          <w:szCs w:val="24"/>
          <w:lang/>
        </w:rPr>
        <w:lastRenderedPageBreak/>
        <w:t>292.15. При визначенні обсягу доходу, що дає право суб'єкту господарювання зареєструватися платником єдиного податку та/або перебувати на спрощеній системі оподаткування в наступному податковому (звітному) періоді, не включається дохід, отриманий як компенсація (відшкодування) за рішенням суду за будь-які попередні (звітні) періоди.</w:t>
      </w:r>
    </w:p>
    <w:p w14:paraId="46F6E5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8" w:name="n7074"/>
      <w:bookmarkEnd w:id="8878"/>
      <w:r w:rsidRPr="008B264B">
        <w:rPr>
          <w:rFonts w:ascii="Times New Roman" w:eastAsia="Times New Roman" w:hAnsi="Times New Roman" w:cs="Times New Roman"/>
          <w:color w:val="000000"/>
          <w:sz w:val="24"/>
          <w:szCs w:val="24"/>
          <w:lang/>
        </w:rPr>
        <w:t>292.16. Право на застосування спрощеної системи оподаткування в наступному календарному році мають платники єдиного податку за умови неперевищення протягом календарного року обсягу доходу, встановленого для відповідної групи платників єдиного податку.</w:t>
      </w:r>
    </w:p>
    <w:p w14:paraId="08CD7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79" w:name="n7075"/>
      <w:bookmarkEnd w:id="8879"/>
      <w:r w:rsidRPr="008B264B">
        <w:rPr>
          <w:rFonts w:ascii="Times New Roman" w:eastAsia="Times New Roman" w:hAnsi="Times New Roman" w:cs="Times New Roman"/>
          <w:color w:val="000000"/>
          <w:sz w:val="24"/>
          <w:szCs w:val="24"/>
          <w:lang/>
        </w:rPr>
        <w:t>При цьому якщо протягом календарного року платники першої і другої груп використали право на застосування іншої ставки єдиного податку у зв'язку з перевищенням обсягу доходу, встановленого для відповідної групи, право на застосування спрощеної системи оподаткування в наступному календарному році такі платники мають за умови неперевищення ними протягом календарного року обсягу доходу, встановленого підпунктом 3 пункту 291.4 статті 291 цього Кодексу.</w:t>
      </w:r>
    </w:p>
    <w:p w14:paraId="4CA9A1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0" w:name="n7076"/>
      <w:bookmarkEnd w:id="8880"/>
      <w:r w:rsidRPr="008B264B">
        <w:rPr>
          <w:rFonts w:ascii="Times New Roman" w:eastAsia="Times New Roman" w:hAnsi="Times New Roman" w:cs="Times New Roman"/>
          <w:i/>
          <w:iCs/>
          <w:color w:val="000000"/>
          <w:sz w:val="24"/>
          <w:szCs w:val="24"/>
          <w:lang/>
        </w:rPr>
        <w:t>{Абзац другий пункту 292.16 статті 292 із змінами, внесеними згідно із Законами </w:t>
      </w:r>
      <w:hyperlink r:id="rId4844" w:anchor="n29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45" w:anchor="n151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2A735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1" w:name="n11999"/>
      <w:bookmarkEnd w:id="8881"/>
      <w:r w:rsidRPr="008B264B">
        <w:rPr>
          <w:rFonts w:ascii="Times New Roman" w:eastAsia="Times New Roman" w:hAnsi="Times New Roman" w:cs="Times New Roman"/>
          <w:b/>
          <w:bCs/>
          <w:color w:val="000000"/>
          <w:sz w:val="24"/>
          <w:szCs w:val="24"/>
          <w:lang/>
        </w:rPr>
        <w:t>Стаття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Об’єкт та база оподаткування для платників єдиного податку четвертої групи</w:t>
      </w:r>
    </w:p>
    <w:p w14:paraId="03AC0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2" w:name="n12000"/>
      <w:bookmarkEnd w:id="8882"/>
      <w:r w:rsidRPr="008B264B">
        <w:rPr>
          <w:rFonts w:ascii="Times New Roman" w:eastAsia="Times New Roman" w:hAnsi="Times New Roman" w:cs="Times New Roman"/>
          <w:color w:val="000000"/>
          <w:sz w:val="24"/>
          <w:szCs w:val="24"/>
          <w:lang/>
        </w:rPr>
        <w:t>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.1. Об’єктом оподаткування для платників єдиного податку четвертої групи є площа сільськогосподарських угідь (ріллі, сіножатей, пасовищ і багаторічних насаджень) та/або земель водного фонду (внутрішніх водойм, озер, ставків, водосховищ), що перебуває у власності сільськогосподарського товаровиробника або надана йому у користування, у тому числі на умовах оренди.</w:t>
      </w:r>
    </w:p>
    <w:p w14:paraId="78FFD7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3" w:name="n12001"/>
      <w:bookmarkEnd w:id="8883"/>
      <w:r w:rsidRPr="008B264B">
        <w:rPr>
          <w:rFonts w:ascii="Times New Roman" w:eastAsia="Times New Roman" w:hAnsi="Times New Roman" w:cs="Times New Roman"/>
          <w:i/>
          <w:iCs/>
          <w:color w:val="000000"/>
          <w:sz w:val="24"/>
          <w:szCs w:val="24"/>
          <w:lang/>
        </w:rPr>
        <w:t>{Абзац другий пункту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.1 статті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4846" w:anchor="n64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9EEFE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4" w:name="n12002"/>
      <w:bookmarkEnd w:id="8884"/>
      <w:r w:rsidRPr="008B264B">
        <w:rPr>
          <w:rFonts w:ascii="Times New Roman" w:eastAsia="Times New Roman" w:hAnsi="Times New Roman" w:cs="Times New Roman"/>
          <w:color w:val="000000"/>
          <w:sz w:val="24"/>
          <w:szCs w:val="24"/>
          <w:lang/>
        </w:rPr>
        <w:t>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.2. Базою оподаткування податком для платників єдиного податку четвертої групи для сільськогосподарських товаровиробників є нормативна грошова оцінка одного гектара сільськогосподарських угідь (ріллі, сіножатей, пасовищ і багаторічних насаджень), з урахуванням коефіцієнта індексації, визначеного за станом на 1 січня базового податкового (звітного) року відповідно до порядку, встановленого цим Кодексом.</w:t>
      </w:r>
    </w:p>
    <w:p w14:paraId="30ABA8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5" w:name="n13373"/>
      <w:bookmarkEnd w:id="8885"/>
      <w:r w:rsidRPr="008B264B">
        <w:rPr>
          <w:rFonts w:ascii="Times New Roman" w:eastAsia="Times New Roman" w:hAnsi="Times New Roman" w:cs="Times New Roman"/>
          <w:i/>
          <w:iCs/>
          <w:color w:val="000000"/>
          <w:sz w:val="24"/>
          <w:szCs w:val="24"/>
          <w:lang/>
        </w:rPr>
        <w:t>{Абзац перший пункту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47" w:anchor="n13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459F5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6" w:name="n12003"/>
      <w:bookmarkEnd w:id="8886"/>
      <w:r w:rsidRPr="008B264B">
        <w:rPr>
          <w:rFonts w:ascii="Times New Roman" w:eastAsia="Times New Roman" w:hAnsi="Times New Roman" w:cs="Times New Roman"/>
          <w:color w:val="000000"/>
          <w:sz w:val="24"/>
          <w:szCs w:val="24"/>
          <w:lang/>
        </w:rPr>
        <w:t>Базою оподаткування податком для платників єдиного податку четвертої групи для земель водного фонду (внутрішніх водойм, озер, ставків, водосховищ) є нормативна грошова оцінка ріллі в Автономній Республіці Крим або в області, з урахуванням коефіцієнта індексації, визначеного за станом на 1 січня базового податкового (звітного) року відповідно до порядку, встановленого цим Кодексом.</w:t>
      </w:r>
    </w:p>
    <w:p w14:paraId="4A208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7" w:name="n13374"/>
      <w:bookmarkEnd w:id="8887"/>
      <w:r w:rsidRPr="008B264B">
        <w:rPr>
          <w:rFonts w:ascii="Times New Roman" w:eastAsia="Times New Roman" w:hAnsi="Times New Roman" w:cs="Times New Roman"/>
          <w:i/>
          <w:iCs/>
          <w:color w:val="000000"/>
          <w:sz w:val="24"/>
          <w:szCs w:val="24"/>
          <w:lang/>
        </w:rPr>
        <w:t>{Абзац другий пункту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.2 статті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48" w:anchor="n13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D94B5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8" w:name="n12004"/>
      <w:bookmarkEnd w:id="8888"/>
      <w:r w:rsidRPr="008B264B">
        <w:rPr>
          <w:rFonts w:ascii="Times New Roman" w:eastAsia="Times New Roman" w:hAnsi="Times New Roman" w:cs="Times New Roman"/>
          <w:i/>
          <w:iCs/>
          <w:color w:val="000000"/>
          <w:sz w:val="24"/>
          <w:szCs w:val="24"/>
          <w:lang/>
        </w:rPr>
        <w:t>{Пункт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.3 статті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виключено на підставі Закону </w:t>
      </w:r>
      <w:hyperlink r:id="rId4849" w:anchor="n13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D11F5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89" w:name="n11998"/>
      <w:bookmarkEnd w:id="8889"/>
      <w:r w:rsidRPr="008B264B">
        <w:rPr>
          <w:rFonts w:ascii="Times New Roman" w:eastAsia="Times New Roman" w:hAnsi="Times New Roman" w:cs="Times New Roman"/>
          <w:i/>
          <w:iCs/>
          <w:color w:val="000000"/>
          <w:sz w:val="24"/>
          <w:szCs w:val="24"/>
          <w:lang/>
        </w:rPr>
        <w:t>{Кодекс доповнено статтею 292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4850" w:anchor="n151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515E9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0" w:name="n7077"/>
      <w:bookmarkEnd w:id="8890"/>
      <w:r w:rsidRPr="008B264B">
        <w:rPr>
          <w:rFonts w:ascii="Times New Roman" w:eastAsia="Times New Roman" w:hAnsi="Times New Roman" w:cs="Times New Roman"/>
          <w:b/>
          <w:bCs/>
          <w:color w:val="000000"/>
          <w:sz w:val="24"/>
          <w:szCs w:val="24"/>
          <w:lang/>
        </w:rPr>
        <w:t>Стаття 293.</w:t>
      </w:r>
      <w:r w:rsidRPr="008B264B">
        <w:rPr>
          <w:rFonts w:ascii="Times New Roman" w:eastAsia="Times New Roman" w:hAnsi="Times New Roman" w:cs="Times New Roman"/>
          <w:color w:val="000000"/>
          <w:sz w:val="24"/>
          <w:szCs w:val="24"/>
          <w:lang/>
        </w:rPr>
        <w:t> Ставки єдиного податку</w:t>
      </w:r>
    </w:p>
    <w:p w14:paraId="54A366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1" w:name="n7078"/>
      <w:bookmarkEnd w:id="8891"/>
      <w:r w:rsidRPr="008B264B">
        <w:rPr>
          <w:rFonts w:ascii="Times New Roman" w:eastAsia="Times New Roman" w:hAnsi="Times New Roman" w:cs="Times New Roman"/>
          <w:color w:val="000000"/>
          <w:sz w:val="24"/>
          <w:szCs w:val="24"/>
          <w:lang/>
        </w:rPr>
        <w:t>293.1. Ставки єдиного податку для платників першої групи встановлюються у відсотках (фіксовані ставки) до розміру прожиткового мінімуму для працездатних осіб, встановленого законом на 1 січня податкового (звітного) року (далі у цій главі - прожитковий мінімум), другої групи - у відсотках (фіксовані ставки) до розміру мінімальної заробітної плати, встановленої законом на 1 січня податкового (звітного) року (далі у цій главі - мінімальна заробітна плата), третьої групи - у відсотках до доходу (відсоткові ставки).</w:t>
      </w:r>
    </w:p>
    <w:p w14:paraId="1B953D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2" w:name="n12006"/>
      <w:bookmarkEnd w:id="8892"/>
      <w:r w:rsidRPr="008B264B">
        <w:rPr>
          <w:rFonts w:ascii="Times New Roman" w:eastAsia="Times New Roman" w:hAnsi="Times New Roman" w:cs="Times New Roman"/>
          <w:i/>
          <w:iCs/>
          <w:color w:val="000000"/>
          <w:sz w:val="24"/>
          <w:szCs w:val="24"/>
          <w:lang/>
        </w:rPr>
        <w:lastRenderedPageBreak/>
        <w:t>{Пункт 293.1 статті 293 в редакції Законів </w:t>
      </w:r>
      <w:hyperlink r:id="rId4851" w:anchor="n152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852" w:anchor="n13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477371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3" w:name="n7079"/>
      <w:bookmarkEnd w:id="8893"/>
      <w:r w:rsidRPr="008B264B">
        <w:rPr>
          <w:rFonts w:ascii="Times New Roman" w:eastAsia="Times New Roman" w:hAnsi="Times New Roman" w:cs="Times New Roman"/>
          <w:color w:val="000000"/>
          <w:sz w:val="24"/>
          <w:szCs w:val="24"/>
          <w:lang/>
        </w:rPr>
        <w:t>293.2. Фіксовані ставки єдиного податку встановлюються сільськими, селищними, міськими радами або радами об’єднаних територіальних громад, що створені згідно із законом та перспективним планом формування територій громад, для фізичних осіб - підприємців, які здійснюють господарську діяльність, залежно від виду господарської діяльності, з розрахунку на календарний місяць:</w:t>
      </w:r>
    </w:p>
    <w:p w14:paraId="32D40F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4" w:name="n14407"/>
      <w:bookmarkEnd w:id="8894"/>
      <w:r w:rsidRPr="008B264B">
        <w:rPr>
          <w:rFonts w:ascii="Times New Roman" w:eastAsia="Times New Roman" w:hAnsi="Times New Roman" w:cs="Times New Roman"/>
          <w:i/>
          <w:iCs/>
          <w:color w:val="000000"/>
          <w:sz w:val="24"/>
          <w:szCs w:val="24"/>
          <w:lang/>
        </w:rPr>
        <w:t>{Пункт 293.2 статті 293 в редакції Закону </w:t>
      </w:r>
      <w:hyperlink r:id="rId4853" w:anchor="n141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C6999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5" w:name="n7080"/>
      <w:bookmarkEnd w:id="8895"/>
      <w:r w:rsidRPr="008B264B">
        <w:rPr>
          <w:rFonts w:ascii="Times New Roman" w:eastAsia="Times New Roman" w:hAnsi="Times New Roman" w:cs="Times New Roman"/>
          <w:color w:val="000000"/>
          <w:sz w:val="24"/>
          <w:szCs w:val="24"/>
          <w:lang/>
        </w:rPr>
        <w:t>1) для першої групи платників єдиного податку - у межах до 10 відсотків розміру прожиткового мінімуму;</w:t>
      </w:r>
    </w:p>
    <w:p w14:paraId="4A3DBA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6" w:name="n12007"/>
      <w:bookmarkEnd w:id="8896"/>
      <w:r w:rsidRPr="008B264B">
        <w:rPr>
          <w:rFonts w:ascii="Times New Roman" w:eastAsia="Times New Roman" w:hAnsi="Times New Roman" w:cs="Times New Roman"/>
          <w:i/>
          <w:iCs/>
          <w:color w:val="000000"/>
          <w:sz w:val="24"/>
          <w:szCs w:val="24"/>
          <w:lang/>
        </w:rPr>
        <w:t>{Підпункт 1 пункту 293.2 статті 293 із змінами, внесеними згідно із Законами </w:t>
      </w:r>
      <w:hyperlink r:id="rId4854" w:anchor="n15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855" w:anchor="n133"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D2C15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7" w:name="n7081"/>
      <w:bookmarkEnd w:id="8897"/>
      <w:r w:rsidRPr="008B264B">
        <w:rPr>
          <w:rFonts w:ascii="Times New Roman" w:eastAsia="Times New Roman" w:hAnsi="Times New Roman" w:cs="Times New Roman"/>
          <w:color w:val="000000"/>
          <w:sz w:val="24"/>
          <w:szCs w:val="24"/>
          <w:lang/>
        </w:rPr>
        <w:t>2) для другої групи платників єдиного податку - у межах до 20 відсотків розміру мінімальної заробітної плати.</w:t>
      </w:r>
    </w:p>
    <w:p w14:paraId="5F3D4B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8" w:name="n12008"/>
      <w:bookmarkEnd w:id="8898"/>
      <w:r w:rsidRPr="008B264B">
        <w:rPr>
          <w:rFonts w:ascii="Times New Roman" w:eastAsia="Times New Roman" w:hAnsi="Times New Roman" w:cs="Times New Roman"/>
          <w:i/>
          <w:iCs/>
          <w:color w:val="000000"/>
          <w:sz w:val="24"/>
          <w:szCs w:val="24"/>
          <w:lang/>
        </w:rPr>
        <w:t>{Підпункт 2 пункту 293.2 статті 293 із змінами, внесеними згідно із Законом </w:t>
      </w:r>
      <w:hyperlink r:id="rId4856" w:anchor="n152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D7FE9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899" w:name="n7082"/>
      <w:bookmarkEnd w:id="8899"/>
      <w:r w:rsidRPr="008B264B">
        <w:rPr>
          <w:rFonts w:ascii="Times New Roman" w:eastAsia="Times New Roman" w:hAnsi="Times New Roman" w:cs="Times New Roman"/>
          <w:i/>
          <w:iCs/>
          <w:color w:val="000000"/>
          <w:sz w:val="24"/>
          <w:szCs w:val="24"/>
          <w:lang/>
        </w:rPr>
        <w:t>{Пункт 293.2 статті 293 набирає чинності з дня опублікування Закону </w:t>
      </w:r>
      <w:hyperlink r:id="rId4857"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 - див. п.1 розділу II Закону </w:t>
      </w:r>
      <w:hyperlink r:id="rId4858"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3F3EE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0" w:name="n7083"/>
      <w:bookmarkEnd w:id="8900"/>
      <w:r w:rsidRPr="008B264B">
        <w:rPr>
          <w:rFonts w:ascii="Times New Roman" w:eastAsia="Times New Roman" w:hAnsi="Times New Roman" w:cs="Times New Roman"/>
          <w:color w:val="000000"/>
          <w:sz w:val="24"/>
          <w:szCs w:val="24"/>
          <w:lang/>
        </w:rPr>
        <w:t>293.3. Відсоткова ставка єдиного податку для платників третьої групи встановлюється у розмірі:</w:t>
      </w:r>
    </w:p>
    <w:p w14:paraId="6A87E0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1" w:name="n12009"/>
      <w:bookmarkEnd w:id="8901"/>
      <w:r w:rsidRPr="008B264B">
        <w:rPr>
          <w:rFonts w:ascii="Times New Roman" w:eastAsia="Times New Roman" w:hAnsi="Times New Roman" w:cs="Times New Roman"/>
          <w:color w:val="000000"/>
          <w:sz w:val="24"/>
          <w:szCs w:val="24"/>
          <w:lang/>
        </w:rPr>
        <w:t>1) 3 відсотки доходу - у разі сплати податку на додану вартість згідно з цим Кодексом;</w:t>
      </w:r>
    </w:p>
    <w:p w14:paraId="79C8BE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2" w:name="n12952"/>
      <w:bookmarkEnd w:id="8902"/>
      <w:r w:rsidRPr="008B264B">
        <w:rPr>
          <w:rFonts w:ascii="Times New Roman" w:eastAsia="Times New Roman" w:hAnsi="Times New Roman" w:cs="Times New Roman"/>
          <w:i/>
          <w:iCs/>
          <w:color w:val="000000"/>
          <w:sz w:val="24"/>
          <w:szCs w:val="24"/>
          <w:lang/>
        </w:rPr>
        <w:t>{Підпункт 1 пункту 293.3 статті 293 із змінами, внесеними згідно із Законом </w:t>
      </w:r>
      <w:hyperlink r:id="rId4859" w:anchor="n64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551F7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3" w:name="n12010"/>
      <w:bookmarkEnd w:id="8903"/>
      <w:r w:rsidRPr="008B264B">
        <w:rPr>
          <w:rFonts w:ascii="Times New Roman" w:eastAsia="Times New Roman" w:hAnsi="Times New Roman" w:cs="Times New Roman"/>
          <w:color w:val="000000"/>
          <w:sz w:val="24"/>
          <w:szCs w:val="24"/>
          <w:lang/>
        </w:rPr>
        <w:t>2) 5 відсотків доходу - у разі включення податку на додану вартість до складу єдиного податку.</w:t>
      </w:r>
    </w:p>
    <w:p w14:paraId="549281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4" w:name="n12953"/>
      <w:bookmarkEnd w:id="8904"/>
      <w:r w:rsidRPr="008B264B">
        <w:rPr>
          <w:rFonts w:ascii="Times New Roman" w:eastAsia="Times New Roman" w:hAnsi="Times New Roman" w:cs="Times New Roman"/>
          <w:i/>
          <w:iCs/>
          <w:color w:val="000000"/>
          <w:sz w:val="24"/>
          <w:szCs w:val="24"/>
          <w:lang/>
        </w:rPr>
        <w:t>{Підпункт 2 пункту 293.3 статті 293 із змінами, внесеними згідно із Законом </w:t>
      </w:r>
      <w:hyperlink r:id="rId4860" w:anchor="n64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371F0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5" w:name="n12011"/>
      <w:bookmarkEnd w:id="8905"/>
      <w:r w:rsidRPr="008B264B">
        <w:rPr>
          <w:rFonts w:ascii="Times New Roman" w:eastAsia="Times New Roman" w:hAnsi="Times New Roman" w:cs="Times New Roman"/>
          <w:color w:val="000000"/>
          <w:sz w:val="24"/>
          <w:szCs w:val="24"/>
          <w:lang/>
        </w:rPr>
        <w:t>Для фізичних осіб - підприємців, які здійснюють діяльність з виробництва, постачання, продажу (реалізації) ювелірних та побутових виробів з дорогоцінних металів, дорогоцінного каміння, дорогоцінного каміння органогенного утворення та напівдорогоцінного каміння, ставка єдиного податку встановлюється у розмірі, визначеному підпунктом 2 пункту 293.3 цієї статті.</w:t>
      </w:r>
    </w:p>
    <w:p w14:paraId="152F48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6" w:name="n7093"/>
      <w:bookmarkEnd w:id="8906"/>
      <w:r w:rsidRPr="008B264B">
        <w:rPr>
          <w:rFonts w:ascii="Times New Roman" w:eastAsia="Times New Roman" w:hAnsi="Times New Roman" w:cs="Times New Roman"/>
          <w:i/>
          <w:iCs/>
          <w:color w:val="000000"/>
          <w:sz w:val="24"/>
          <w:szCs w:val="24"/>
          <w:lang/>
        </w:rPr>
        <w:t>{Пункт 293.3 статті 293 в редакції Закону </w:t>
      </w:r>
      <w:hyperlink r:id="rId4861" w:anchor="n30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6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863" w:anchor="n152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2021A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7" w:name="n7094"/>
      <w:bookmarkEnd w:id="8907"/>
      <w:r w:rsidRPr="008B264B">
        <w:rPr>
          <w:rFonts w:ascii="Times New Roman" w:eastAsia="Times New Roman" w:hAnsi="Times New Roman" w:cs="Times New Roman"/>
          <w:color w:val="000000"/>
          <w:sz w:val="24"/>
          <w:szCs w:val="24"/>
          <w:lang/>
        </w:rPr>
        <w:t>293.4. Ставка єдиного податку встановлюється для платників єдиного податку першої - третьої групи (фізичні особи - підприємці) у розмірі 15 відсотків:</w:t>
      </w:r>
    </w:p>
    <w:p w14:paraId="35C96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8" w:name="n7095"/>
      <w:bookmarkEnd w:id="8908"/>
      <w:r w:rsidRPr="008B264B">
        <w:rPr>
          <w:rFonts w:ascii="Times New Roman" w:eastAsia="Times New Roman" w:hAnsi="Times New Roman" w:cs="Times New Roman"/>
          <w:i/>
          <w:iCs/>
          <w:color w:val="000000"/>
          <w:sz w:val="24"/>
          <w:szCs w:val="24"/>
          <w:lang/>
        </w:rPr>
        <w:t>{Абзац перший пункту 293.4 статті 293 із змінами, внесеними згідно із Законами </w:t>
      </w:r>
      <w:hyperlink r:id="rId4864" w:anchor="n31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65" w:anchor="n15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BBDBD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09" w:name="n7096"/>
      <w:bookmarkEnd w:id="8909"/>
      <w:r w:rsidRPr="008B264B">
        <w:rPr>
          <w:rFonts w:ascii="Times New Roman" w:eastAsia="Times New Roman" w:hAnsi="Times New Roman" w:cs="Times New Roman"/>
          <w:color w:val="000000"/>
          <w:sz w:val="24"/>
          <w:szCs w:val="24"/>
          <w:lang/>
        </w:rPr>
        <w:t>1) до суми перевищення обсягу доходу, визначеного у </w:t>
      </w:r>
      <w:hyperlink r:id="rId4866" w:anchor="n6951" w:history="1">
        <w:r w:rsidRPr="008B264B">
          <w:rPr>
            <w:rFonts w:ascii="Times New Roman" w:eastAsia="Times New Roman" w:hAnsi="Times New Roman" w:cs="Times New Roman"/>
            <w:color w:val="0000FF"/>
            <w:sz w:val="24"/>
            <w:szCs w:val="24"/>
            <w:u w:val="single"/>
            <w:lang/>
          </w:rPr>
          <w:t>підпунктах </w:t>
        </w:r>
      </w:hyperlink>
      <w:hyperlink r:id="rId4867" w:anchor="n6951"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w:t>
      </w:r>
      <w:hyperlink r:id="rId4868" w:anchor="n6952" w:history="1">
        <w:r w:rsidRPr="008B264B">
          <w:rPr>
            <w:rFonts w:ascii="Times New Roman" w:eastAsia="Times New Roman" w:hAnsi="Times New Roman" w:cs="Times New Roman"/>
            <w:color w:val="0000FF"/>
            <w:sz w:val="24"/>
            <w:szCs w:val="24"/>
            <w:u w:val="single"/>
            <w:lang/>
          </w:rPr>
          <w:t>2</w:t>
        </w:r>
      </w:hyperlink>
      <w:r w:rsidRPr="008B264B">
        <w:rPr>
          <w:rFonts w:ascii="Times New Roman" w:eastAsia="Times New Roman" w:hAnsi="Times New Roman" w:cs="Times New Roman"/>
          <w:color w:val="000000"/>
          <w:sz w:val="24"/>
          <w:szCs w:val="24"/>
          <w:lang/>
        </w:rPr>
        <w:t> і </w:t>
      </w:r>
      <w:hyperlink r:id="rId4869" w:anchor="n6957"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пункту 291.4 статті 291 цього Кодексу;</w:t>
      </w:r>
    </w:p>
    <w:p w14:paraId="0929E2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0" w:name="n7097"/>
      <w:bookmarkEnd w:id="8910"/>
      <w:r w:rsidRPr="008B264B">
        <w:rPr>
          <w:rFonts w:ascii="Times New Roman" w:eastAsia="Times New Roman" w:hAnsi="Times New Roman" w:cs="Times New Roman"/>
          <w:i/>
          <w:iCs/>
          <w:color w:val="000000"/>
          <w:sz w:val="24"/>
          <w:szCs w:val="24"/>
          <w:lang/>
        </w:rPr>
        <w:t>{Підпункт 1 пункту 293.4 статті 293 із змінами, внесеними згідно із Законами </w:t>
      </w:r>
      <w:hyperlink r:id="rId4870" w:anchor="n31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71" w:anchor="n15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6ED29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1" w:name="n7098"/>
      <w:bookmarkEnd w:id="8911"/>
      <w:r w:rsidRPr="008B264B">
        <w:rPr>
          <w:rFonts w:ascii="Times New Roman" w:eastAsia="Times New Roman" w:hAnsi="Times New Roman" w:cs="Times New Roman"/>
          <w:color w:val="000000"/>
          <w:sz w:val="24"/>
          <w:szCs w:val="24"/>
          <w:lang/>
        </w:rPr>
        <w:t>2) до доходу, отриманого від провадження діяльності, не зазначеної у реєстрі платників єдиного податку, віднесеного до першої або другої групи;</w:t>
      </w:r>
    </w:p>
    <w:p w14:paraId="734B07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2" w:name="n9566"/>
      <w:bookmarkEnd w:id="8912"/>
      <w:r w:rsidRPr="008B264B">
        <w:rPr>
          <w:rFonts w:ascii="Times New Roman" w:eastAsia="Times New Roman" w:hAnsi="Times New Roman" w:cs="Times New Roman"/>
          <w:i/>
          <w:iCs/>
          <w:color w:val="000000"/>
          <w:sz w:val="24"/>
          <w:szCs w:val="24"/>
          <w:lang/>
        </w:rPr>
        <w:lastRenderedPageBreak/>
        <w:t>{Підпункт 2 пункту 293.4 статті 293 із змінами, внесеними згідно із Законом </w:t>
      </w:r>
      <w:hyperlink r:id="rId4872" w:anchor="n15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060D2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3" w:name="n7099"/>
      <w:bookmarkEnd w:id="8913"/>
      <w:r w:rsidRPr="008B264B">
        <w:rPr>
          <w:rFonts w:ascii="Times New Roman" w:eastAsia="Times New Roman" w:hAnsi="Times New Roman" w:cs="Times New Roman"/>
          <w:color w:val="000000"/>
          <w:sz w:val="24"/>
          <w:szCs w:val="24"/>
          <w:lang/>
        </w:rPr>
        <w:t>3) до доходу, отриманого при застосуванні іншого способу розрахунків, ніж зазначений у цій главі;</w:t>
      </w:r>
    </w:p>
    <w:p w14:paraId="3D85B1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4" w:name="n7100"/>
      <w:bookmarkEnd w:id="8914"/>
      <w:r w:rsidRPr="008B264B">
        <w:rPr>
          <w:rFonts w:ascii="Times New Roman" w:eastAsia="Times New Roman" w:hAnsi="Times New Roman" w:cs="Times New Roman"/>
          <w:color w:val="000000"/>
          <w:sz w:val="24"/>
          <w:szCs w:val="24"/>
          <w:lang/>
        </w:rPr>
        <w:t>4) до доходу, отриманого від здійснення видів діяльності, які не дають права застосовувати спрощену систему оподаткування;</w:t>
      </w:r>
    </w:p>
    <w:p w14:paraId="4CE691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5" w:name="n12013"/>
      <w:bookmarkEnd w:id="8915"/>
      <w:r w:rsidRPr="008B264B">
        <w:rPr>
          <w:rFonts w:ascii="Times New Roman" w:eastAsia="Times New Roman" w:hAnsi="Times New Roman" w:cs="Times New Roman"/>
          <w:color w:val="000000"/>
          <w:sz w:val="24"/>
          <w:szCs w:val="24"/>
          <w:lang/>
        </w:rPr>
        <w:t>5) до доходу, отриманого платниками першої або другої групи від провадження діяльності, яка не передбачена у </w:t>
      </w:r>
      <w:hyperlink r:id="rId4873" w:anchor="n6951" w:history="1">
        <w:r w:rsidRPr="008B264B">
          <w:rPr>
            <w:rFonts w:ascii="Times New Roman" w:eastAsia="Times New Roman" w:hAnsi="Times New Roman" w:cs="Times New Roman"/>
            <w:color w:val="0000FF"/>
            <w:sz w:val="24"/>
            <w:szCs w:val="24"/>
            <w:u w:val="single"/>
            <w:lang/>
          </w:rPr>
          <w:t>підпунктах 1</w:t>
        </w:r>
      </w:hyperlink>
      <w:r w:rsidRPr="008B264B">
        <w:rPr>
          <w:rFonts w:ascii="Times New Roman" w:eastAsia="Times New Roman" w:hAnsi="Times New Roman" w:cs="Times New Roman"/>
          <w:color w:val="000000"/>
          <w:sz w:val="24"/>
          <w:szCs w:val="24"/>
          <w:lang/>
        </w:rPr>
        <w:t> або </w:t>
      </w:r>
      <w:hyperlink r:id="rId4874" w:anchor="n6952" w:history="1">
        <w:r w:rsidRPr="008B264B">
          <w:rPr>
            <w:rFonts w:ascii="Times New Roman" w:eastAsia="Times New Roman" w:hAnsi="Times New Roman" w:cs="Times New Roman"/>
            <w:color w:val="0000FF"/>
            <w:sz w:val="24"/>
            <w:szCs w:val="24"/>
            <w:u w:val="single"/>
            <w:lang/>
          </w:rPr>
          <w:t>2</w:t>
        </w:r>
      </w:hyperlink>
      <w:r w:rsidRPr="008B264B">
        <w:rPr>
          <w:rFonts w:ascii="Times New Roman" w:eastAsia="Times New Roman" w:hAnsi="Times New Roman" w:cs="Times New Roman"/>
          <w:color w:val="000000"/>
          <w:sz w:val="24"/>
          <w:szCs w:val="24"/>
          <w:lang/>
        </w:rPr>
        <w:t> пункту 291.4 статті 291 цього Кодексу відповідно.</w:t>
      </w:r>
    </w:p>
    <w:p w14:paraId="446F4B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6" w:name="n12012"/>
      <w:bookmarkEnd w:id="8916"/>
      <w:r w:rsidRPr="008B264B">
        <w:rPr>
          <w:rFonts w:ascii="Times New Roman" w:eastAsia="Times New Roman" w:hAnsi="Times New Roman" w:cs="Times New Roman"/>
          <w:i/>
          <w:iCs/>
          <w:color w:val="000000"/>
          <w:sz w:val="24"/>
          <w:szCs w:val="24"/>
          <w:lang/>
        </w:rPr>
        <w:t>{Пункт 293.4 статті 293 доповнено підпунктом 5 згідно із Законом </w:t>
      </w:r>
      <w:hyperlink r:id="rId4875" w:anchor="n153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CB6FD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7" w:name="n7101"/>
      <w:bookmarkEnd w:id="8917"/>
      <w:r w:rsidRPr="008B264B">
        <w:rPr>
          <w:rFonts w:ascii="Times New Roman" w:eastAsia="Times New Roman" w:hAnsi="Times New Roman" w:cs="Times New Roman"/>
          <w:color w:val="000000"/>
          <w:sz w:val="24"/>
          <w:szCs w:val="24"/>
          <w:lang/>
        </w:rPr>
        <w:t>293.5. Ставки єдиного податку для платників третьої групи (юридичні особи) встановлюються у подвійному розмірі ставок, визначених пунктом 293.3 цієї статті:</w:t>
      </w:r>
    </w:p>
    <w:p w14:paraId="132E70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8" w:name="n7102"/>
      <w:bookmarkEnd w:id="8918"/>
      <w:r w:rsidRPr="008B264B">
        <w:rPr>
          <w:rFonts w:ascii="Times New Roman" w:eastAsia="Times New Roman" w:hAnsi="Times New Roman" w:cs="Times New Roman"/>
          <w:i/>
          <w:iCs/>
          <w:color w:val="000000"/>
          <w:sz w:val="24"/>
          <w:szCs w:val="24"/>
          <w:lang/>
        </w:rPr>
        <w:t>{Абзац перший пункту 293.5 статті 293 із змінами, внесеними згідно із Законами </w:t>
      </w:r>
      <w:hyperlink r:id="rId4876" w:anchor="n31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4877" w:anchor="n153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79CB1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19" w:name="n7103"/>
      <w:bookmarkEnd w:id="8919"/>
      <w:r w:rsidRPr="008B264B">
        <w:rPr>
          <w:rFonts w:ascii="Times New Roman" w:eastAsia="Times New Roman" w:hAnsi="Times New Roman" w:cs="Times New Roman"/>
          <w:color w:val="000000"/>
          <w:sz w:val="24"/>
          <w:szCs w:val="24"/>
          <w:lang/>
        </w:rPr>
        <w:t>1) до суми перевищення обсягу доходу, визначеного у </w:t>
      </w:r>
      <w:hyperlink r:id="rId4878" w:anchor="n6957" w:history="1">
        <w:r w:rsidRPr="008B264B">
          <w:rPr>
            <w:rFonts w:ascii="Times New Roman" w:eastAsia="Times New Roman" w:hAnsi="Times New Roman" w:cs="Times New Roman"/>
            <w:color w:val="0000FF"/>
            <w:sz w:val="24"/>
            <w:szCs w:val="24"/>
            <w:u w:val="single"/>
            <w:lang/>
          </w:rPr>
          <w:t>підпункті 3</w:t>
        </w:r>
      </w:hyperlink>
      <w:r w:rsidRPr="008B264B">
        <w:rPr>
          <w:rFonts w:ascii="Times New Roman" w:eastAsia="Times New Roman" w:hAnsi="Times New Roman" w:cs="Times New Roman"/>
          <w:color w:val="000000"/>
          <w:sz w:val="24"/>
          <w:szCs w:val="24"/>
          <w:lang/>
        </w:rPr>
        <w:t> пункту 291.4 статті 291 цього Кодексу;</w:t>
      </w:r>
    </w:p>
    <w:p w14:paraId="515F32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0" w:name="n7104"/>
      <w:bookmarkEnd w:id="8920"/>
      <w:r w:rsidRPr="008B264B">
        <w:rPr>
          <w:rFonts w:ascii="Times New Roman" w:eastAsia="Times New Roman" w:hAnsi="Times New Roman" w:cs="Times New Roman"/>
          <w:i/>
          <w:iCs/>
          <w:color w:val="000000"/>
          <w:sz w:val="24"/>
          <w:szCs w:val="24"/>
          <w:lang/>
        </w:rPr>
        <w:t>{Підпункт 1 пункту 293.5 статті 293 із змінами, внесеними згідно із Законами </w:t>
      </w:r>
      <w:hyperlink r:id="rId4879" w:anchor="n31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4880" w:anchor="n154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C1628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1" w:name="n7105"/>
      <w:bookmarkEnd w:id="8921"/>
      <w:r w:rsidRPr="008B264B">
        <w:rPr>
          <w:rFonts w:ascii="Times New Roman" w:eastAsia="Times New Roman" w:hAnsi="Times New Roman" w:cs="Times New Roman"/>
          <w:color w:val="000000"/>
          <w:sz w:val="24"/>
          <w:szCs w:val="24"/>
          <w:lang/>
        </w:rPr>
        <w:t>2) до доходу, отриманого при застосуванні іншого способу розрахунків, ніж зазначений у цій главі;</w:t>
      </w:r>
    </w:p>
    <w:p w14:paraId="092D91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2" w:name="n7106"/>
      <w:bookmarkEnd w:id="8922"/>
      <w:r w:rsidRPr="008B264B">
        <w:rPr>
          <w:rFonts w:ascii="Times New Roman" w:eastAsia="Times New Roman" w:hAnsi="Times New Roman" w:cs="Times New Roman"/>
          <w:color w:val="000000"/>
          <w:sz w:val="24"/>
          <w:szCs w:val="24"/>
          <w:lang/>
        </w:rPr>
        <w:t>3) до доходу, отриманого від здійснення видів діяльності, які не дають права застосовувати спрощену систему оподаткування.</w:t>
      </w:r>
    </w:p>
    <w:p w14:paraId="3442F1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3" w:name="n7107"/>
      <w:bookmarkEnd w:id="8923"/>
      <w:r w:rsidRPr="008B264B">
        <w:rPr>
          <w:rFonts w:ascii="Times New Roman" w:eastAsia="Times New Roman" w:hAnsi="Times New Roman" w:cs="Times New Roman"/>
          <w:color w:val="000000"/>
          <w:sz w:val="24"/>
          <w:szCs w:val="24"/>
          <w:lang/>
        </w:rPr>
        <w:t>293.6. У разі здійснення платниками єдиного податку першої і другої груп кількох видів господарської діяльності застосовується максимальний розмір ставки єдиного податку, встановлений для таких видів господарської діяльності.</w:t>
      </w:r>
    </w:p>
    <w:p w14:paraId="07269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4" w:name="n7108"/>
      <w:bookmarkEnd w:id="8924"/>
      <w:r w:rsidRPr="008B264B">
        <w:rPr>
          <w:rFonts w:ascii="Times New Roman" w:eastAsia="Times New Roman" w:hAnsi="Times New Roman" w:cs="Times New Roman"/>
          <w:color w:val="000000"/>
          <w:sz w:val="24"/>
          <w:szCs w:val="24"/>
          <w:lang/>
        </w:rPr>
        <w:t>293.7. У разі здійснення платниками єдиного податку першої і другої груп господарської діяльності на територіях більш як однієї сільської, селищної, міської ради або ради об’єднаних територіальних громад, що створені згідно із законом та перспективним планом формування територій громад, застосовується максимальний розмір ставки єдиного податку, встановлений цією статтею для відповідної групи таких платників єдиного податку.</w:t>
      </w:r>
    </w:p>
    <w:p w14:paraId="6DA43A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5" w:name="n12954"/>
      <w:bookmarkEnd w:id="8925"/>
      <w:r w:rsidRPr="008B264B">
        <w:rPr>
          <w:rFonts w:ascii="Times New Roman" w:eastAsia="Times New Roman" w:hAnsi="Times New Roman" w:cs="Times New Roman"/>
          <w:i/>
          <w:iCs/>
          <w:color w:val="000000"/>
          <w:sz w:val="24"/>
          <w:szCs w:val="24"/>
          <w:lang/>
        </w:rPr>
        <w:t>{Пункт 293.7 статті 293 із змінами, внесеними згідно із Законом </w:t>
      </w:r>
      <w:hyperlink r:id="rId4881" w:anchor="n65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06A57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6" w:name="n7109"/>
      <w:bookmarkEnd w:id="8926"/>
      <w:r w:rsidRPr="008B264B">
        <w:rPr>
          <w:rFonts w:ascii="Times New Roman" w:eastAsia="Times New Roman" w:hAnsi="Times New Roman" w:cs="Times New Roman"/>
          <w:color w:val="000000"/>
          <w:sz w:val="24"/>
          <w:szCs w:val="24"/>
          <w:lang/>
        </w:rPr>
        <w:t>293.8. Ставки, встановлені пунктами 293.3-293.5 цієї статті, застосовуються з урахуванням таких особливостей:</w:t>
      </w:r>
    </w:p>
    <w:p w14:paraId="1AAAE2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7" w:name="n7110"/>
      <w:bookmarkEnd w:id="8927"/>
      <w:r w:rsidRPr="008B264B">
        <w:rPr>
          <w:rFonts w:ascii="Times New Roman" w:eastAsia="Times New Roman" w:hAnsi="Times New Roman" w:cs="Times New Roman"/>
          <w:color w:val="000000"/>
          <w:sz w:val="24"/>
          <w:szCs w:val="24"/>
          <w:lang/>
        </w:rPr>
        <w:t>1) платники єдиного податку першої групи, які у календарному кварталі перевищили обсяг доходу, визначений для таких платників у </w:t>
      </w:r>
      <w:hyperlink r:id="rId4882" w:anchor="n6950" w:history="1">
        <w:r w:rsidRPr="008B264B">
          <w:rPr>
            <w:rFonts w:ascii="Times New Roman" w:eastAsia="Times New Roman" w:hAnsi="Times New Roman" w:cs="Times New Roman"/>
            <w:color w:val="0000FF"/>
            <w:sz w:val="24"/>
            <w:szCs w:val="24"/>
            <w:u w:val="single"/>
            <w:lang/>
          </w:rPr>
          <w:t>пункті 291.4</w:t>
        </w:r>
      </w:hyperlink>
      <w:r w:rsidRPr="008B264B">
        <w:rPr>
          <w:rFonts w:ascii="Times New Roman" w:eastAsia="Times New Roman" w:hAnsi="Times New Roman" w:cs="Times New Roman"/>
          <w:color w:val="000000"/>
          <w:sz w:val="24"/>
          <w:szCs w:val="24"/>
          <w:lang/>
        </w:rPr>
        <w:t> статті 291 цього Кодексу, з наступного календарного кварталу за заявою переходять на застосування ставки єдиного податку, визначеної для платників єдиного податку другої або третьої групи, або відмовляються від застосування спрощеної системи оподаткування.</w:t>
      </w:r>
    </w:p>
    <w:p w14:paraId="28C4D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8" w:name="n7111"/>
      <w:bookmarkEnd w:id="8928"/>
      <w:r w:rsidRPr="008B264B">
        <w:rPr>
          <w:rFonts w:ascii="Times New Roman" w:eastAsia="Times New Roman" w:hAnsi="Times New Roman" w:cs="Times New Roman"/>
          <w:i/>
          <w:iCs/>
          <w:color w:val="000000"/>
          <w:sz w:val="24"/>
          <w:szCs w:val="24"/>
          <w:lang/>
        </w:rPr>
        <w:t>{Абзац перший підпункту 1 пункту 293.8 статті 293 із змінами, внесеними згідно із Законами </w:t>
      </w:r>
      <w:hyperlink r:id="rId4883" w:anchor="n31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4884" w:anchor="n154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3A828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29" w:name="n7112"/>
      <w:bookmarkEnd w:id="8929"/>
      <w:r w:rsidRPr="008B264B">
        <w:rPr>
          <w:rFonts w:ascii="Times New Roman" w:eastAsia="Times New Roman" w:hAnsi="Times New Roman" w:cs="Times New Roman"/>
          <w:color w:val="000000"/>
          <w:sz w:val="24"/>
          <w:szCs w:val="24"/>
          <w:lang/>
        </w:rPr>
        <w:t>Такі платники до суми перевищення зобов'язані застосувати ставку єдиного податку у розмірі 15 відсотків.</w:t>
      </w:r>
    </w:p>
    <w:p w14:paraId="05229A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0" w:name="n7113"/>
      <w:bookmarkEnd w:id="8930"/>
      <w:r w:rsidRPr="008B264B">
        <w:rPr>
          <w:rFonts w:ascii="Times New Roman" w:eastAsia="Times New Roman" w:hAnsi="Times New Roman" w:cs="Times New Roman"/>
          <w:color w:val="000000"/>
          <w:sz w:val="24"/>
          <w:szCs w:val="24"/>
          <w:lang/>
        </w:rPr>
        <w:t>Заява подається не пізніше 20 числа місяця, наступного за календарним кварталом, у якому допущено перевищення обсягу доходу;</w:t>
      </w:r>
    </w:p>
    <w:p w14:paraId="1B98E0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1" w:name="n7114"/>
      <w:bookmarkEnd w:id="8931"/>
      <w:r w:rsidRPr="008B264B">
        <w:rPr>
          <w:rFonts w:ascii="Times New Roman" w:eastAsia="Times New Roman" w:hAnsi="Times New Roman" w:cs="Times New Roman"/>
          <w:color w:val="000000"/>
          <w:sz w:val="24"/>
          <w:szCs w:val="24"/>
          <w:lang/>
        </w:rPr>
        <w:lastRenderedPageBreak/>
        <w:t>2) платники єдиного податку другої групи, які перевищили у податковому (звітному) періоді обсяг доходу, визначений для таких платників у </w:t>
      </w:r>
      <w:hyperlink r:id="rId4885" w:anchor="n6950" w:history="1">
        <w:r w:rsidRPr="008B264B">
          <w:rPr>
            <w:rFonts w:ascii="Times New Roman" w:eastAsia="Times New Roman" w:hAnsi="Times New Roman" w:cs="Times New Roman"/>
            <w:color w:val="0000FF"/>
            <w:sz w:val="24"/>
            <w:szCs w:val="24"/>
            <w:u w:val="single"/>
            <w:lang/>
          </w:rPr>
          <w:t>пункті 291.4</w:t>
        </w:r>
      </w:hyperlink>
      <w:r w:rsidRPr="008B264B">
        <w:rPr>
          <w:rFonts w:ascii="Times New Roman" w:eastAsia="Times New Roman" w:hAnsi="Times New Roman" w:cs="Times New Roman"/>
          <w:color w:val="000000"/>
          <w:sz w:val="24"/>
          <w:szCs w:val="24"/>
          <w:lang/>
        </w:rPr>
        <w:t> статті 291 цього Кодексу, в наступному податковому (звітному) кварталі за заявою переходять на застосування ставки єдиного податку, визначеної для платників єдиного податку третьої групи, або відмовляються від застосування спрощеної системи оподаткування.</w:t>
      </w:r>
    </w:p>
    <w:p w14:paraId="52EFDD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2" w:name="n7115"/>
      <w:bookmarkEnd w:id="8932"/>
      <w:r w:rsidRPr="008B264B">
        <w:rPr>
          <w:rFonts w:ascii="Times New Roman" w:eastAsia="Times New Roman" w:hAnsi="Times New Roman" w:cs="Times New Roman"/>
          <w:i/>
          <w:iCs/>
          <w:color w:val="000000"/>
          <w:sz w:val="24"/>
          <w:szCs w:val="24"/>
          <w:lang/>
        </w:rPr>
        <w:t>{Абзац перший підпункту 2 пункту 293.8 статті 293 із змінами, внесеними згідно із Законами </w:t>
      </w:r>
      <w:hyperlink r:id="rId4886" w:anchor="n31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4887" w:anchor="n154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7051E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3" w:name="n7116"/>
      <w:bookmarkEnd w:id="8933"/>
      <w:r w:rsidRPr="008B264B">
        <w:rPr>
          <w:rFonts w:ascii="Times New Roman" w:eastAsia="Times New Roman" w:hAnsi="Times New Roman" w:cs="Times New Roman"/>
          <w:color w:val="000000"/>
          <w:sz w:val="24"/>
          <w:szCs w:val="24"/>
          <w:lang/>
        </w:rPr>
        <w:t>Такі платники до суми перевищення зобов'язані застосувати ставку єдиного податку у розмірі 15 відсотків.</w:t>
      </w:r>
    </w:p>
    <w:p w14:paraId="7A6F16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4" w:name="n7117"/>
      <w:bookmarkEnd w:id="8934"/>
      <w:r w:rsidRPr="008B264B">
        <w:rPr>
          <w:rFonts w:ascii="Times New Roman" w:eastAsia="Times New Roman" w:hAnsi="Times New Roman" w:cs="Times New Roman"/>
          <w:color w:val="000000"/>
          <w:sz w:val="24"/>
          <w:szCs w:val="24"/>
          <w:lang/>
        </w:rPr>
        <w:t>Заява подається не пізніше 20 числа місяця, наступного за календарним кварталом, у якому допущено перевищення обсягу доходу;</w:t>
      </w:r>
    </w:p>
    <w:p w14:paraId="12B82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5" w:name="n7118"/>
      <w:bookmarkEnd w:id="8935"/>
      <w:r w:rsidRPr="008B264B">
        <w:rPr>
          <w:rFonts w:ascii="Times New Roman" w:eastAsia="Times New Roman" w:hAnsi="Times New Roman" w:cs="Times New Roman"/>
          <w:color w:val="000000"/>
          <w:sz w:val="24"/>
          <w:szCs w:val="24"/>
          <w:lang/>
        </w:rPr>
        <w:t>3) платники єдиного податку третьої групи (фізичні особи - підприємці), які перевищили у податковому (звітному) періоді обсяг доходу, визначений для таких платників у </w:t>
      </w:r>
      <w:hyperlink r:id="rId4888" w:anchor="n6950" w:history="1">
        <w:r w:rsidRPr="008B264B">
          <w:rPr>
            <w:rFonts w:ascii="Times New Roman" w:eastAsia="Times New Roman" w:hAnsi="Times New Roman" w:cs="Times New Roman"/>
            <w:color w:val="0000FF"/>
            <w:sz w:val="24"/>
            <w:szCs w:val="24"/>
            <w:u w:val="single"/>
            <w:lang/>
          </w:rPr>
          <w:t>пункті 291.4</w:t>
        </w:r>
      </w:hyperlink>
      <w:r w:rsidRPr="008B264B">
        <w:rPr>
          <w:rFonts w:ascii="Times New Roman" w:eastAsia="Times New Roman" w:hAnsi="Times New Roman" w:cs="Times New Roman"/>
          <w:color w:val="000000"/>
          <w:sz w:val="24"/>
          <w:szCs w:val="24"/>
          <w:lang/>
        </w:rPr>
        <w:t> статті 291 цього Кодексу, до суми перевищення застосовують ставку єдиного податку у розмірі 15 відсотків, а також зобов’язані у порядку, встановленому цією главою, перейти на сплату інших податків і зборів, встановлених цим Кодексом.</w:t>
      </w:r>
    </w:p>
    <w:p w14:paraId="3D9B67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6" w:name="n12014"/>
      <w:bookmarkEnd w:id="8936"/>
      <w:r w:rsidRPr="008B264B">
        <w:rPr>
          <w:rFonts w:ascii="Times New Roman" w:eastAsia="Times New Roman" w:hAnsi="Times New Roman" w:cs="Times New Roman"/>
          <w:color w:val="000000"/>
          <w:sz w:val="24"/>
          <w:szCs w:val="24"/>
          <w:lang/>
        </w:rPr>
        <w:t>Платники єдиного податку третьої групи (юридичні особи), які перевищили у податковому (звітному) періоді обсяг доходу, визначений для таких платників у пункті 291.4 статті 291 цього Кодексу, до суми перевищення застосовують ставку єдиного податку у подвійному розмірі ставок, визначених пунктом 293.3 цієї статті, а також зобов’язані у порядку, встановленому цією главою, перейти на сплату інших податків і зборів, встановлених цим Кодексом.</w:t>
      </w:r>
    </w:p>
    <w:p w14:paraId="0DDD8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7" w:name="n12015"/>
      <w:bookmarkEnd w:id="8937"/>
      <w:r w:rsidRPr="008B264B">
        <w:rPr>
          <w:rFonts w:ascii="Times New Roman" w:eastAsia="Times New Roman" w:hAnsi="Times New Roman" w:cs="Times New Roman"/>
          <w:color w:val="000000"/>
          <w:sz w:val="24"/>
          <w:szCs w:val="24"/>
          <w:lang/>
        </w:rPr>
        <w:t>Заява подається не пізніше 20 числа місяця, наступного за календарним кварталом, у якому допущено перевищення обсягу доходу;</w:t>
      </w:r>
    </w:p>
    <w:p w14:paraId="05E7E1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8" w:name="n7123"/>
      <w:bookmarkEnd w:id="8938"/>
      <w:r w:rsidRPr="008B264B">
        <w:rPr>
          <w:rFonts w:ascii="Times New Roman" w:eastAsia="Times New Roman" w:hAnsi="Times New Roman" w:cs="Times New Roman"/>
          <w:i/>
          <w:iCs/>
          <w:color w:val="000000"/>
          <w:sz w:val="24"/>
          <w:szCs w:val="24"/>
          <w:lang/>
        </w:rPr>
        <w:t>{Підпункт 3 пункту 293.8 статті 293 в редакції Законів </w:t>
      </w:r>
      <w:hyperlink r:id="rId4889" w:anchor="n31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color w:val="000000"/>
          <w:sz w:val="24"/>
          <w:szCs w:val="24"/>
          <w:lang/>
        </w:rPr>
        <w:t>, </w:t>
      </w:r>
      <w:hyperlink r:id="rId4890" w:anchor="n154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CE54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39" w:name="n7124"/>
      <w:bookmarkEnd w:id="8939"/>
      <w:r w:rsidRPr="008B264B">
        <w:rPr>
          <w:rFonts w:ascii="Times New Roman" w:eastAsia="Times New Roman" w:hAnsi="Times New Roman" w:cs="Times New Roman"/>
          <w:color w:val="000000"/>
          <w:sz w:val="24"/>
          <w:szCs w:val="24"/>
          <w:lang/>
        </w:rPr>
        <w:t>4) ставка єдиного податку, визначена для третьої групи у розмірі 3 відсотки, може бути обрана:</w:t>
      </w:r>
    </w:p>
    <w:p w14:paraId="258BD8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0" w:name="n7125"/>
      <w:bookmarkEnd w:id="8940"/>
      <w:r w:rsidRPr="008B264B">
        <w:rPr>
          <w:rFonts w:ascii="Times New Roman" w:eastAsia="Times New Roman" w:hAnsi="Times New Roman" w:cs="Times New Roman"/>
          <w:i/>
          <w:iCs/>
          <w:color w:val="000000"/>
          <w:sz w:val="24"/>
          <w:szCs w:val="24"/>
          <w:lang/>
        </w:rPr>
        <w:t>{Абзац перший підпункту 4 пункту 293.8 статті 293 в редакції Закону </w:t>
      </w:r>
      <w:hyperlink r:id="rId4891" w:anchor="n32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9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893" w:anchor="n154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894" w:anchor="n142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1096D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1" w:name="n7126"/>
      <w:bookmarkEnd w:id="8941"/>
      <w:r w:rsidRPr="008B264B">
        <w:rPr>
          <w:rFonts w:ascii="Times New Roman" w:eastAsia="Times New Roman" w:hAnsi="Times New Roman" w:cs="Times New Roman"/>
          <w:color w:val="000000"/>
          <w:sz w:val="24"/>
          <w:szCs w:val="24"/>
          <w:lang/>
        </w:rPr>
        <w:t>а) суб'єктом господарювання, який зареєстрований платником податку на додану вартість відповідно до </w:t>
      </w:r>
      <w:hyperlink r:id="rId4895"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у разі переходу ним на спрощену систему оподаткування шляхом подання заяви щодо переходу на спрощену систему оподаткування не пізніше ніж за 15 календарних днів до початку наступного календарного кварталу;</w:t>
      </w:r>
    </w:p>
    <w:p w14:paraId="61ACE6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2" w:name="n7127"/>
      <w:bookmarkEnd w:id="8942"/>
      <w:r w:rsidRPr="008B264B">
        <w:rPr>
          <w:rFonts w:ascii="Times New Roman" w:eastAsia="Times New Roman" w:hAnsi="Times New Roman" w:cs="Times New Roman"/>
          <w:color w:val="000000"/>
          <w:sz w:val="24"/>
          <w:szCs w:val="24"/>
          <w:lang/>
        </w:rPr>
        <w:t>б) платником єдиного податку третьої групи, який обрав ставку єдиного податку в розмірі 5 відсотків, у разі добровільної зміни ставки єдиного податку шляхом подання заяви щодо зміни ставки єдиного податку не пізніше ніж за 15 календарних днів до початку календарного кварталу, в якому буде застосовуватися нова ставка та реєстрації такого платника єдиного податку платником податку на додану вартість у порядку, встановленому </w:t>
      </w:r>
      <w:hyperlink r:id="rId4896"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цього Кодексу;</w:t>
      </w:r>
    </w:p>
    <w:p w14:paraId="41064B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3" w:name="n7128"/>
      <w:bookmarkEnd w:id="8943"/>
      <w:r w:rsidRPr="008B264B">
        <w:rPr>
          <w:rFonts w:ascii="Times New Roman" w:eastAsia="Times New Roman" w:hAnsi="Times New Roman" w:cs="Times New Roman"/>
          <w:i/>
          <w:iCs/>
          <w:color w:val="000000"/>
          <w:sz w:val="24"/>
          <w:szCs w:val="24"/>
          <w:lang/>
        </w:rPr>
        <w:t>{Підпункт "б" підпункту 4 пункту 293.8 статті 293 із змінами, внесеними згідно із Законами </w:t>
      </w:r>
      <w:hyperlink r:id="rId4897" w:anchor="n44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4898" w:anchor="n32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89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900" w:anchor="n155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01" w:anchor="n142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98A36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4" w:name="n7129"/>
      <w:bookmarkEnd w:id="8944"/>
      <w:r w:rsidRPr="008B264B">
        <w:rPr>
          <w:rFonts w:ascii="Times New Roman" w:eastAsia="Times New Roman" w:hAnsi="Times New Roman" w:cs="Times New Roman"/>
          <w:color w:val="000000"/>
          <w:sz w:val="24"/>
          <w:szCs w:val="24"/>
          <w:lang/>
        </w:rPr>
        <w:t>в) суб'єктом господарювання, який не зареєстрований платником податку на додану вартість, у разі його переходу на спрощену систему оподаткування або зміни групи платників єдиного податку шляхом реєстрації платником податку на додану вартість відповідно до </w:t>
      </w:r>
      <w:hyperlink r:id="rId4902"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xml:space="preserve"> цього Кодексу і подання заяви щодо переходу на спрощену систему оподаткування або зміни групи </w:t>
      </w:r>
      <w:r w:rsidRPr="008B264B">
        <w:rPr>
          <w:rFonts w:ascii="Times New Roman" w:eastAsia="Times New Roman" w:hAnsi="Times New Roman" w:cs="Times New Roman"/>
          <w:color w:val="000000"/>
          <w:sz w:val="24"/>
          <w:szCs w:val="24"/>
          <w:lang/>
        </w:rPr>
        <w:lastRenderedPageBreak/>
        <w:t>платників єдиного податку не пізніше ніж за 15 календарних днів до початку наступного календарного кварталу, в якому здійснено реєстрацію платником податку на додану вартість;</w:t>
      </w:r>
    </w:p>
    <w:p w14:paraId="36495D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5" w:name="n9567"/>
      <w:bookmarkEnd w:id="8945"/>
      <w:r w:rsidRPr="008B264B">
        <w:rPr>
          <w:rFonts w:ascii="Times New Roman" w:eastAsia="Times New Roman" w:hAnsi="Times New Roman" w:cs="Times New Roman"/>
          <w:i/>
          <w:iCs/>
          <w:color w:val="000000"/>
          <w:sz w:val="24"/>
          <w:szCs w:val="24"/>
          <w:lang/>
        </w:rPr>
        <w:t>{Підпункт "в" підпункту 4 пункту 293.8 статті 293 із змінами, внесеними згідно із Законом </w:t>
      </w:r>
      <w:hyperlink r:id="rId4903" w:anchor="n15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7A543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6" w:name="n7130"/>
      <w:bookmarkEnd w:id="8946"/>
      <w:r w:rsidRPr="008B264B">
        <w:rPr>
          <w:rFonts w:ascii="Times New Roman" w:eastAsia="Times New Roman" w:hAnsi="Times New Roman" w:cs="Times New Roman"/>
          <w:i/>
          <w:iCs/>
          <w:color w:val="000000"/>
          <w:sz w:val="24"/>
          <w:szCs w:val="24"/>
          <w:lang/>
        </w:rPr>
        <w:t>{Підпункт "г" підпункту 4 пункту 293.8 статті 293 виключено на підставі Закону </w:t>
      </w:r>
      <w:hyperlink r:id="rId4904" w:anchor="n44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A2C04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7" w:name="n7131"/>
      <w:bookmarkEnd w:id="8947"/>
      <w:r w:rsidRPr="008B264B">
        <w:rPr>
          <w:rFonts w:ascii="Times New Roman" w:eastAsia="Times New Roman" w:hAnsi="Times New Roman" w:cs="Times New Roman"/>
          <w:color w:val="000000"/>
          <w:sz w:val="24"/>
          <w:szCs w:val="24"/>
          <w:lang/>
        </w:rPr>
        <w:t>5) у разі анулювання реєстрації платника податку на додану вартість у порядку, встановленому </w:t>
      </w:r>
      <w:hyperlink r:id="rId4905"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цього Кодексу, платники єдиного податку зобов’язані перейти на сплату єдиного податку за ставкою у розмірі 5 відсотків (для платників єдиного податку третьої групи) або відмовитися від застосування спрощеної системи оподаткування шляхом подання заяви щодо зміни ставки єдиного податку чи відмови від застосування спрощеної системи оподаткування не пізніше ніж за 15 календарних днів до початку наступного календарного кварталу, в якому здійснено анулювання реєстрації платником податку на додану вартість.</w:t>
      </w:r>
    </w:p>
    <w:p w14:paraId="65C162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8" w:name="n7132"/>
      <w:bookmarkEnd w:id="8948"/>
      <w:r w:rsidRPr="008B264B">
        <w:rPr>
          <w:rFonts w:ascii="Times New Roman" w:eastAsia="Times New Roman" w:hAnsi="Times New Roman" w:cs="Times New Roman"/>
          <w:i/>
          <w:iCs/>
          <w:color w:val="000000"/>
          <w:sz w:val="24"/>
          <w:szCs w:val="24"/>
          <w:lang/>
        </w:rPr>
        <w:t>{Підпункт 5 пункту 293.8 статті 293 із змінами, внесеними згідно із Законами </w:t>
      </w:r>
      <w:hyperlink r:id="rId4906" w:anchor="n32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90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4908" w:anchor="n155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4909" w:anchor="n142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4910" w:anchor="n39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6FFBC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49" w:name="n12017"/>
      <w:bookmarkEnd w:id="8949"/>
      <w:r w:rsidRPr="008B264B">
        <w:rPr>
          <w:rFonts w:ascii="Times New Roman" w:eastAsia="Times New Roman" w:hAnsi="Times New Roman" w:cs="Times New Roman"/>
          <w:color w:val="000000"/>
          <w:sz w:val="24"/>
          <w:szCs w:val="24"/>
          <w:lang/>
        </w:rPr>
        <w:t>293.9. Для платників єдиного податку четвертої групи розмір ставок податку з одного гектара сільськогосподарських угідь та/або земель водного фонду залежить від категорії (типу) земель, їх розташування та становить (у відсотках бази оподаткування):</w:t>
      </w:r>
    </w:p>
    <w:p w14:paraId="5BF93C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0" w:name="n12018"/>
      <w:bookmarkEnd w:id="8950"/>
      <w:r w:rsidRPr="008B264B">
        <w:rPr>
          <w:rFonts w:ascii="Times New Roman" w:eastAsia="Times New Roman" w:hAnsi="Times New Roman" w:cs="Times New Roman"/>
          <w:color w:val="000000"/>
          <w:sz w:val="24"/>
          <w:szCs w:val="24"/>
          <w:lang/>
        </w:rPr>
        <w:t>293.9.1. для ріллі, сіножатей і пасовищ (крім ріллі, сіножатей і пасовищ, розташованих у гірських зонах та на поліських територіях, а також сільськогосподарських угідь, що перебувають в умовах закритого ґрунту) - 0,95;</w:t>
      </w:r>
    </w:p>
    <w:p w14:paraId="039065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1" w:name="n12955"/>
      <w:bookmarkEnd w:id="8951"/>
      <w:r w:rsidRPr="008B264B">
        <w:rPr>
          <w:rFonts w:ascii="Times New Roman" w:eastAsia="Times New Roman" w:hAnsi="Times New Roman" w:cs="Times New Roman"/>
          <w:i/>
          <w:iCs/>
          <w:color w:val="000000"/>
          <w:sz w:val="24"/>
          <w:szCs w:val="24"/>
          <w:lang/>
        </w:rPr>
        <w:t>{Підпункт 293.9.1 пункту 293.9 статті 293 із змінами, внесеними згідно із Законом </w:t>
      </w:r>
      <w:hyperlink r:id="rId4911" w:anchor="n65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4912" w:anchor="n137"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5A551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2" w:name="n12019"/>
      <w:bookmarkEnd w:id="8952"/>
      <w:r w:rsidRPr="008B264B">
        <w:rPr>
          <w:rFonts w:ascii="Times New Roman" w:eastAsia="Times New Roman" w:hAnsi="Times New Roman" w:cs="Times New Roman"/>
          <w:color w:val="000000"/>
          <w:sz w:val="24"/>
          <w:szCs w:val="24"/>
          <w:lang/>
        </w:rPr>
        <w:t>293.9.2. для ріллі, сіножатей і пасовищ, розташованих у гірських зонах та на поліських територіях, - 0,57;</w:t>
      </w:r>
    </w:p>
    <w:p w14:paraId="4232D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3" w:name="n12956"/>
      <w:bookmarkEnd w:id="8953"/>
      <w:r w:rsidRPr="008B264B">
        <w:rPr>
          <w:rFonts w:ascii="Times New Roman" w:eastAsia="Times New Roman" w:hAnsi="Times New Roman" w:cs="Times New Roman"/>
          <w:i/>
          <w:iCs/>
          <w:color w:val="000000"/>
          <w:sz w:val="24"/>
          <w:szCs w:val="24"/>
          <w:lang/>
        </w:rPr>
        <w:t>{Підпункт 293.9.2 пункту 293.9 статті 293 із змінами, внесеними згідно із Законами </w:t>
      </w:r>
      <w:hyperlink r:id="rId4913" w:anchor="n65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914" w:anchor="n13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3A225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4" w:name="n12020"/>
      <w:bookmarkEnd w:id="8954"/>
      <w:r w:rsidRPr="008B264B">
        <w:rPr>
          <w:rFonts w:ascii="Times New Roman" w:eastAsia="Times New Roman" w:hAnsi="Times New Roman" w:cs="Times New Roman"/>
          <w:color w:val="000000"/>
          <w:sz w:val="24"/>
          <w:szCs w:val="24"/>
          <w:lang/>
        </w:rPr>
        <w:t>293.9.3. для багаторічних насаджень (крім багаторічних насаджень, розташованих у гірських зонах та на поліських територіях) - 0,57;</w:t>
      </w:r>
    </w:p>
    <w:p w14:paraId="6E76F3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5" w:name="n12957"/>
      <w:bookmarkEnd w:id="8955"/>
      <w:r w:rsidRPr="008B264B">
        <w:rPr>
          <w:rFonts w:ascii="Times New Roman" w:eastAsia="Times New Roman" w:hAnsi="Times New Roman" w:cs="Times New Roman"/>
          <w:i/>
          <w:iCs/>
          <w:color w:val="000000"/>
          <w:sz w:val="24"/>
          <w:szCs w:val="24"/>
          <w:lang/>
        </w:rPr>
        <w:t>{Підпункт 293.9.3 пункту 293.9 статті 293 із змінами, внесеними згідно із Законами </w:t>
      </w:r>
      <w:hyperlink r:id="rId4915" w:anchor="n65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916" w:anchor="n139"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6475A0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6" w:name="n12021"/>
      <w:bookmarkEnd w:id="8956"/>
      <w:r w:rsidRPr="008B264B">
        <w:rPr>
          <w:rFonts w:ascii="Times New Roman" w:eastAsia="Times New Roman" w:hAnsi="Times New Roman" w:cs="Times New Roman"/>
          <w:color w:val="000000"/>
          <w:sz w:val="24"/>
          <w:szCs w:val="24"/>
          <w:lang/>
        </w:rPr>
        <w:t>293.9.4. для багаторічних насаджень, розташованих у гірських зонах та на поліських територіях, - 0,19;</w:t>
      </w:r>
    </w:p>
    <w:p w14:paraId="0FA0F1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7" w:name="n12958"/>
      <w:bookmarkEnd w:id="8957"/>
      <w:r w:rsidRPr="008B264B">
        <w:rPr>
          <w:rFonts w:ascii="Times New Roman" w:eastAsia="Times New Roman" w:hAnsi="Times New Roman" w:cs="Times New Roman"/>
          <w:i/>
          <w:iCs/>
          <w:color w:val="000000"/>
          <w:sz w:val="24"/>
          <w:szCs w:val="24"/>
          <w:lang/>
        </w:rPr>
        <w:t>{Підпункт 293.9.4 пункту 293.9 статті 293 із змінами, внесеними згідно із Законами </w:t>
      </w:r>
      <w:hyperlink r:id="rId4917" w:anchor="n65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4918" w:anchor="n14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C69E6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8" w:name="n12022"/>
      <w:bookmarkEnd w:id="8958"/>
      <w:r w:rsidRPr="008B264B">
        <w:rPr>
          <w:rFonts w:ascii="Times New Roman" w:eastAsia="Times New Roman" w:hAnsi="Times New Roman" w:cs="Times New Roman"/>
          <w:color w:val="000000"/>
          <w:sz w:val="24"/>
          <w:szCs w:val="24"/>
          <w:lang/>
        </w:rPr>
        <w:t>293.9.5. для земель водного фонду - 2,43;</w:t>
      </w:r>
    </w:p>
    <w:p w14:paraId="75B2DA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59" w:name="n12959"/>
      <w:bookmarkEnd w:id="8959"/>
      <w:r w:rsidRPr="008B264B">
        <w:rPr>
          <w:rFonts w:ascii="Times New Roman" w:eastAsia="Times New Roman" w:hAnsi="Times New Roman" w:cs="Times New Roman"/>
          <w:i/>
          <w:iCs/>
          <w:color w:val="000000"/>
          <w:sz w:val="24"/>
          <w:szCs w:val="24"/>
          <w:lang/>
        </w:rPr>
        <w:t>{Підпункт 293.9.5 пункту 293.9 статті 293 із змінами, внесеними згідно із Законом </w:t>
      </w:r>
      <w:hyperlink r:id="rId4919" w:anchor="n656"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97066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0" w:name="n12023"/>
      <w:bookmarkEnd w:id="8960"/>
      <w:r w:rsidRPr="008B264B">
        <w:rPr>
          <w:rFonts w:ascii="Times New Roman" w:eastAsia="Times New Roman" w:hAnsi="Times New Roman" w:cs="Times New Roman"/>
          <w:color w:val="000000"/>
          <w:sz w:val="24"/>
          <w:szCs w:val="24"/>
          <w:lang/>
        </w:rPr>
        <w:t>293.9.6. для сільськогосподарських угідь, що перебувають в умовах закритого ґрунту, - 6,33.</w:t>
      </w:r>
    </w:p>
    <w:p w14:paraId="181522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1" w:name="n13375"/>
      <w:bookmarkEnd w:id="8961"/>
      <w:r w:rsidRPr="008B264B">
        <w:rPr>
          <w:rFonts w:ascii="Times New Roman" w:eastAsia="Times New Roman" w:hAnsi="Times New Roman" w:cs="Times New Roman"/>
          <w:i/>
          <w:iCs/>
          <w:color w:val="000000"/>
          <w:sz w:val="24"/>
          <w:szCs w:val="24"/>
          <w:lang/>
        </w:rPr>
        <w:t>{Абзац перший підпункту 293.9.6 пункту 293.9 статті 293 в редакції Закону </w:t>
      </w:r>
      <w:hyperlink r:id="rId4920" w:anchor="n14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7DD9AB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2" w:name="n12024"/>
      <w:bookmarkEnd w:id="8962"/>
      <w:r w:rsidRPr="008B264B">
        <w:rPr>
          <w:rFonts w:ascii="Times New Roman" w:eastAsia="Times New Roman" w:hAnsi="Times New Roman" w:cs="Times New Roman"/>
          <w:i/>
          <w:iCs/>
          <w:color w:val="000000"/>
          <w:sz w:val="24"/>
          <w:szCs w:val="24"/>
          <w:lang/>
        </w:rPr>
        <w:t>{Абзац другий підпункту 293.9.6 пункту 293.9 статті 293 виключено на підставі Закону </w:t>
      </w:r>
      <w:hyperlink r:id="rId4921" w:anchor="n144"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229C96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3" w:name="n12025"/>
      <w:bookmarkEnd w:id="8963"/>
      <w:r w:rsidRPr="008B264B">
        <w:rPr>
          <w:rFonts w:ascii="Times New Roman" w:eastAsia="Times New Roman" w:hAnsi="Times New Roman" w:cs="Times New Roman"/>
          <w:color w:val="000000"/>
          <w:sz w:val="24"/>
          <w:szCs w:val="24"/>
          <w:lang/>
        </w:rPr>
        <w:lastRenderedPageBreak/>
        <w:t>Перелік гірських зон та поліських територій визначається Кабінетом Міністрів України.</w:t>
      </w:r>
    </w:p>
    <w:p w14:paraId="6C4CF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4" w:name="n12960"/>
      <w:bookmarkEnd w:id="8964"/>
      <w:r w:rsidRPr="008B264B">
        <w:rPr>
          <w:rFonts w:ascii="Times New Roman" w:eastAsia="Times New Roman" w:hAnsi="Times New Roman" w:cs="Times New Roman"/>
          <w:i/>
          <w:iCs/>
          <w:color w:val="000000"/>
          <w:sz w:val="24"/>
          <w:szCs w:val="24"/>
          <w:lang/>
        </w:rPr>
        <w:t>{Підпункт 293.9.6 пункту 293.9 статті 293 із змінами, внесеними згідно із Законом </w:t>
      </w:r>
      <w:hyperlink r:id="rId4922" w:anchor="n65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ECEB5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5" w:name="n12016"/>
      <w:bookmarkEnd w:id="8965"/>
      <w:r w:rsidRPr="008B264B">
        <w:rPr>
          <w:rFonts w:ascii="Times New Roman" w:eastAsia="Times New Roman" w:hAnsi="Times New Roman" w:cs="Times New Roman"/>
          <w:i/>
          <w:iCs/>
          <w:color w:val="000000"/>
          <w:sz w:val="24"/>
          <w:szCs w:val="24"/>
          <w:lang/>
        </w:rPr>
        <w:t>{Статтю 293 доповнено пунктом 293.9 згідно із Законом </w:t>
      </w:r>
      <w:hyperlink r:id="rId4923" w:anchor="n155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B1CA0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6" w:name="n7133"/>
      <w:bookmarkEnd w:id="8966"/>
      <w:r w:rsidRPr="008B264B">
        <w:rPr>
          <w:rFonts w:ascii="Times New Roman" w:eastAsia="Times New Roman" w:hAnsi="Times New Roman" w:cs="Times New Roman"/>
          <w:b/>
          <w:bCs/>
          <w:color w:val="000000"/>
          <w:sz w:val="24"/>
          <w:szCs w:val="24"/>
          <w:lang/>
        </w:rPr>
        <w:t>Стаття 294.</w:t>
      </w:r>
      <w:r w:rsidRPr="008B264B">
        <w:rPr>
          <w:rFonts w:ascii="Times New Roman" w:eastAsia="Times New Roman" w:hAnsi="Times New Roman" w:cs="Times New Roman"/>
          <w:color w:val="000000"/>
          <w:sz w:val="24"/>
          <w:szCs w:val="24"/>
          <w:lang/>
        </w:rPr>
        <w:t> Податковий (звітний) період</w:t>
      </w:r>
    </w:p>
    <w:p w14:paraId="545411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7" w:name="n7134"/>
      <w:bookmarkEnd w:id="8967"/>
      <w:r w:rsidRPr="008B264B">
        <w:rPr>
          <w:rFonts w:ascii="Times New Roman" w:eastAsia="Times New Roman" w:hAnsi="Times New Roman" w:cs="Times New Roman"/>
          <w:color w:val="000000"/>
          <w:sz w:val="24"/>
          <w:szCs w:val="24"/>
          <w:lang/>
        </w:rPr>
        <w:t>294.1. Податковим (звітним) періодом для платників єдиного податку першої, другої та четвертої груп є календарний рік.</w:t>
      </w:r>
    </w:p>
    <w:p w14:paraId="38230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8" w:name="n12026"/>
      <w:bookmarkEnd w:id="8968"/>
      <w:r w:rsidRPr="008B264B">
        <w:rPr>
          <w:rFonts w:ascii="Times New Roman" w:eastAsia="Times New Roman" w:hAnsi="Times New Roman" w:cs="Times New Roman"/>
          <w:i/>
          <w:iCs/>
          <w:color w:val="000000"/>
          <w:sz w:val="24"/>
          <w:szCs w:val="24"/>
          <w:lang/>
        </w:rPr>
        <w:t>{Абзац перший пункту 294.1 статті 294 із змінами, внесеними згідно із Законом </w:t>
      </w:r>
      <w:hyperlink r:id="rId4924" w:anchor="n15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F6A6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69" w:name="n7135"/>
      <w:bookmarkEnd w:id="8969"/>
      <w:r w:rsidRPr="008B264B">
        <w:rPr>
          <w:rFonts w:ascii="Times New Roman" w:eastAsia="Times New Roman" w:hAnsi="Times New Roman" w:cs="Times New Roman"/>
          <w:color w:val="000000"/>
          <w:sz w:val="24"/>
          <w:szCs w:val="24"/>
          <w:lang/>
        </w:rPr>
        <w:t>Податковим (звітним) періодом для платників єдиного податку третьої групи є календарний квартал.</w:t>
      </w:r>
    </w:p>
    <w:p w14:paraId="5E5191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0" w:name="n12027"/>
      <w:bookmarkEnd w:id="8970"/>
      <w:r w:rsidRPr="008B264B">
        <w:rPr>
          <w:rFonts w:ascii="Times New Roman" w:eastAsia="Times New Roman" w:hAnsi="Times New Roman" w:cs="Times New Roman"/>
          <w:i/>
          <w:iCs/>
          <w:color w:val="000000"/>
          <w:sz w:val="24"/>
          <w:szCs w:val="24"/>
          <w:lang/>
        </w:rPr>
        <w:t>{Абзац другий пункту 294.1 статті 294 із змінами, внесеними згідно із Законом </w:t>
      </w:r>
      <w:hyperlink r:id="rId4925" w:anchor="n15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A42A3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1" w:name="n7136"/>
      <w:bookmarkEnd w:id="8971"/>
      <w:r w:rsidRPr="008B264B">
        <w:rPr>
          <w:rFonts w:ascii="Times New Roman" w:eastAsia="Times New Roman" w:hAnsi="Times New Roman" w:cs="Times New Roman"/>
          <w:i/>
          <w:iCs/>
          <w:color w:val="000000"/>
          <w:sz w:val="24"/>
          <w:szCs w:val="24"/>
          <w:lang/>
        </w:rPr>
        <w:t>{Пункт 294.1 статті 294 із змінами, внесеними згідно із Законом </w:t>
      </w:r>
      <w:hyperlink r:id="rId4926" w:anchor="n32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27"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9877C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2" w:name="n7137"/>
      <w:bookmarkEnd w:id="8972"/>
      <w:r w:rsidRPr="008B264B">
        <w:rPr>
          <w:rFonts w:ascii="Times New Roman" w:eastAsia="Times New Roman" w:hAnsi="Times New Roman" w:cs="Times New Roman"/>
          <w:color w:val="000000"/>
          <w:sz w:val="24"/>
          <w:szCs w:val="24"/>
          <w:lang/>
        </w:rPr>
        <w:t>294.2. Податковий (звітний) період починається з першого числа першого місяця податкового (звітного) періоду і закінчується останнім календарним днем останнього місяця податкового (звітного) періоду.</w:t>
      </w:r>
    </w:p>
    <w:p w14:paraId="0DB995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3" w:name="n12029"/>
      <w:bookmarkEnd w:id="8973"/>
      <w:r w:rsidRPr="008B264B">
        <w:rPr>
          <w:rFonts w:ascii="Times New Roman" w:eastAsia="Times New Roman" w:hAnsi="Times New Roman" w:cs="Times New Roman"/>
          <w:color w:val="000000"/>
          <w:sz w:val="24"/>
          <w:szCs w:val="24"/>
          <w:lang/>
        </w:rPr>
        <w:t>Попередній податковий (звітний) рік для новоутворених сільськогосподарських товаровиробників - юридичних осіб - період з дня державної реєстрації до 31 грудня того ж року.</w:t>
      </w:r>
    </w:p>
    <w:p w14:paraId="23991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4" w:name="n12031"/>
      <w:bookmarkEnd w:id="8974"/>
      <w:r w:rsidRPr="008B264B">
        <w:rPr>
          <w:rFonts w:ascii="Times New Roman" w:eastAsia="Times New Roman" w:hAnsi="Times New Roman" w:cs="Times New Roman"/>
          <w:i/>
          <w:iCs/>
          <w:color w:val="000000"/>
          <w:sz w:val="24"/>
          <w:szCs w:val="24"/>
          <w:lang/>
        </w:rPr>
        <w:t>{Пункт 294.2 статті 294 доповнено абзацом другим згідно із Законом </w:t>
      </w:r>
      <w:hyperlink r:id="rId4928" w:anchor="n15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2EFDF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5" w:name="n12030"/>
      <w:bookmarkEnd w:id="8975"/>
      <w:r w:rsidRPr="008B264B">
        <w:rPr>
          <w:rFonts w:ascii="Times New Roman" w:eastAsia="Times New Roman" w:hAnsi="Times New Roman" w:cs="Times New Roman"/>
          <w:color w:val="000000"/>
          <w:sz w:val="24"/>
          <w:szCs w:val="24"/>
          <w:lang/>
        </w:rPr>
        <w:t>Податковий (звітний) період для сільськогосподарських товаровиробників - юридичних осіб, що ліквідуються, - період з початку року до їх фактичного припинення.</w:t>
      </w:r>
    </w:p>
    <w:p w14:paraId="075424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6" w:name="n12028"/>
      <w:bookmarkEnd w:id="8976"/>
      <w:r w:rsidRPr="008B264B">
        <w:rPr>
          <w:rFonts w:ascii="Times New Roman" w:eastAsia="Times New Roman" w:hAnsi="Times New Roman" w:cs="Times New Roman"/>
          <w:i/>
          <w:iCs/>
          <w:color w:val="000000"/>
          <w:sz w:val="24"/>
          <w:szCs w:val="24"/>
          <w:lang/>
        </w:rPr>
        <w:t>{Пункт 294.2 статті 294 доповнено абзацом третім згідно із Законом </w:t>
      </w:r>
      <w:hyperlink r:id="rId4929" w:anchor="n15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20111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7" w:name="n15155"/>
      <w:bookmarkEnd w:id="8977"/>
      <w:r w:rsidRPr="008B264B">
        <w:rPr>
          <w:rFonts w:ascii="Times New Roman" w:eastAsia="Times New Roman" w:hAnsi="Times New Roman" w:cs="Times New Roman"/>
          <w:i/>
          <w:iCs/>
          <w:color w:val="000000"/>
          <w:sz w:val="24"/>
          <w:szCs w:val="24"/>
          <w:lang/>
        </w:rPr>
        <w:t>{Пункт 294.2 статті 294 із змінами, внесеними згідно із Законом</w:t>
      </w:r>
      <w:r w:rsidRPr="008B264B">
        <w:rPr>
          <w:rFonts w:ascii="Times New Roman" w:eastAsia="Times New Roman" w:hAnsi="Times New Roman" w:cs="Times New Roman"/>
          <w:color w:val="000000"/>
          <w:sz w:val="24"/>
          <w:szCs w:val="24"/>
          <w:lang/>
        </w:rPr>
        <w:t> </w:t>
      </w:r>
      <w:hyperlink r:id="rId4930" w:anchor="n39"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3E1328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8" w:name="n7138"/>
      <w:bookmarkEnd w:id="8978"/>
      <w:r w:rsidRPr="008B264B">
        <w:rPr>
          <w:rFonts w:ascii="Times New Roman" w:eastAsia="Times New Roman" w:hAnsi="Times New Roman" w:cs="Times New Roman"/>
          <w:color w:val="000000"/>
          <w:sz w:val="24"/>
          <w:szCs w:val="24"/>
          <w:lang/>
        </w:rPr>
        <w:t>294.3. Для суб'єктів господарювання, які перейшли на сплату єдиного податку із сплати інших податків і зборів, встановлених цим Кодексом, перший податковий (звітний) період починається з першого числа місяця, що настає за наступним податковим (звітним) кварталом, у якому особу зареєстровано платником єдиного податку, і закінчується останнім календарним днем останнього місяця такого періоду.</w:t>
      </w:r>
    </w:p>
    <w:p w14:paraId="0000D0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79" w:name="n9568"/>
      <w:bookmarkEnd w:id="8979"/>
      <w:r w:rsidRPr="008B264B">
        <w:rPr>
          <w:rFonts w:ascii="Times New Roman" w:eastAsia="Times New Roman" w:hAnsi="Times New Roman" w:cs="Times New Roman"/>
          <w:i/>
          <w:iCs/>
          <w:color w:val="000000"/>
          <w:sz w:val="24"/>
          <w:szCs w:val="24"/>
          <w:lang/>
        </w:rPr>
        <w:t>{Пункт 294.3 статті 294 із змінами, внесеними згідно із Законом </w:t>
      </w:r>
      <w:hyperlink r:id="rId4931" w:anchor="n158"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A3C5E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0" w:name="n7139"/>
      <w:bookmarkEnd w:id="8980"/>
      <w:r w:rsidRPr="008B264B">
        <w:rPr>
          <w:rFonts w:ascii="Times New Roman" w:eastAsia="Times New Roman" w:hAnsi="Times New Roman" w:cs="Times New Roman"/>
          <w:color w:val="000000"/>
          <w:sz w:val="24"/>
          <w:szCs w:val="24"/>
          <w:lang/>
        </w:rPr>
        <w:t>294.4. Для зареєстрованих в установленому порядку фізичних осіб - підприємців, які до закінчення місяця, в якому відбулася державна реєстрація, подали заяву щодо обрання спрощеної системи оподаткування та ставки єдиного податку, встановленої для першої або другої групи, перший податковий (звітний) період починається з першого числа місяця, наступного за місяцем, у якому особу зареєстровано платником єдиного податку.</w:t>
      </w:r>
    </w:p>
    <w:p w14:paraId="3901FA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1" w:name="n9569"/>
      <w:bookmarkEnd w:id="8981"/>
      <w:r w:rsidRPr="008B264B">
        <w:rPr>
          <w:rFonts w:ascii="Times New Roman" w:eastAsia="Times New Roman" w:hAnsi="Times New Roman" w:cs="Times New Roman"/>
          <w:i/>
          <w:iCs/>
          <w:color w:val="000000"/>
          <w:sz w:val="24"/>
          <w:szCs w:val="24"/>
          <w:lang/>
        </w:rPr>
        <w:t>{Абзац перший пункту 294.4 статті 294 із змінами, внесеними згідно із Законом </w:t>
      </w:r>
      <w:hyperlink r:id="rId4932" w:anchor="n15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C04B7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2" w:name="n7140"/>
      <w:bookmarkEnd w:id="8982"/>
      <w:r w:rsidRPr="008B264B">
        <w:rPr>
          <w:rFonts w:ascii="Times New Roman" w:eastAsia="Times New Roman" w:hAnsi="Times New Roman" w:cs="Times New Roman"/>
          <w:color w:val="000000"/>
          <w:sz w:val="24"/>
          <w:szCs w:val="24"/>
          <w:lang/>
        </w:rPr>
        <w:t xml:space="preserve">Для зареєстрованих в установленому законом порядку суб’єктів господарювання (новостворених), які протягом 10 календарних днів з дня державної реєстрації подали заяву щодо обрання спрощеної системи оподаткування та ставки єдиного податку, встановленої для третьої </w:t>
      </w:r>
      <w:r w:rsidRPr="008B264B">
        <w:rPr>
          <w:rFonts w:ascii="Times New Roman" w:eastAsia="Times New Roman" w:hAnsi="Times New Roman" w:cs="Times New Roman"/>
          <w:color w:val="000000"/>
          <w:sz w:val="24"/>
          <w:szCs w:val="24"/>
          <w:lang/>
        </w:rPr>
        <w:lastRenderedPageBreak/>
        <w:t>групи, а також четвертої групи (фізичні особи), перший податковий (звітний) період починається з першого числа місяця, в якому відбулася державна реєстрація.</w:t>
      </w:r>
    </w:p>
    <w:p w14:paraId="7C0B51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3" w:name="n7141"/>
      <w:bookmarkEnd w:id="8983"/>
      <w:r w:rsidRPr="008B264B">
        <w:rPr>
          <w:rFonts w:ascii="Times New Roman" w:eastAsia="Times New Roman" w:hAnsi="Times New Roman" w:cs="Times New Roman"/>
          <w:i/>
          <w:iCs/>
          <w:color w:val="000000"/>
          <w:sz w:val="24"/>
          <w:szCs w:val="24"/>
          <w:lang/>
        </w:rPr>
        <w:t>{Абзац другий пункту 294.4 статті 294 із змінами, внесеними згідно із Законом </w:t>
      </w:r>
      <w:hyperlink r:id="rId4933" w:anchor="n33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34" w:anchor="n15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w:t>
      </w:r>
      <w:r w:rsidRPr="008B264B">
        <w:rPr>
          <w:rFonts w:ascii="Times New Roman" w:eastAsia="Times New Roman" w:hAnsi="Times New Roman" w:cs="Times New Roman"/>
          <w:color w:val="000000"/>
          <w:sz w:val="24"/>
          <w:szCs w:val="24"/>
          <w:lang/>
        </w:rPr>
        <w:t> </w:t>
      </w:r>
      <w:hyperlink r:id="rId4935" w:anchor="n40"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93E4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4" w:name="n7142"/>
      <w:bookmarkEnd w:id="8984"/>
      <w:r w:rsidRPr="008B264B">
        <w:rPr>
          <w:rFonts w:ascii="Times New Roman" w:eastAsia="Times New Roman" w:hAnsi="Times New Roman" w:cs="Times New Roman"/>
          <w:color w:val="000000"/>
          <w:sz w:val="24"/>
          <w:szCs w:val="24"/>
          <w:lang/>
        </w:rPr>
        <w:t>294.5. Для суб'єктів господарювання, які утворюються в результаті реорганізації (крім перетворення) будь-якого платника податку, що має непогашені податкові зобов'язання чи податковий борг, які виникли до такої реорганізації, перший податковий (звітний) період починається з першого числа місяця, наступного за податковим (звітним) кварталом, у якому погашено такі податкові зобов'язання чи податковий борг і подано заяву щодо обрання спрощеної системи оподаткування.</w:t>
      </w:r>
    </w:p>
    <w:p w14:paraId="45F9AB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5" w:name="n7143"/>
      <w:bookmarkEnd w:id="8985"/>
      <w:r w:rsidRPr="008B264B">
        <w:rPr>
          <w:rFonts w:ascii="Times New Roman" w:eastAsia="Times New Roman" w:hAnsi="Times New Roman" w:cs="Times New Roman"/>
          <w:color w:val="000000"/>
          <w:sz w:val="24"/>
          <w:szCs w:val="24"/>
          <w:lang/>
        </w:rPr>
        <w:t>294.6. У разі державної реєстрації припинення юридичних осіб та державної реєстрації припинення підприємницької діяльності фізичної особи - підприємця, які є платниками єдиного податку, останнім податковим (звітним) періодом вважається період, у якому відповідним контролюючим органом отримано від державного реєстратора повідомлення про проведення державної реєстрації такого припинення.</w:t>
      </w:r>
    </w:p>
    <w:p w14:paraId="162401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6" w:name="n14408"/>
      <w:bookmarkEnd w:id="8986"/>
      <w:r w:rsidRPr="008B264B">
        <w:rPr>
          <w:rFonts w:ascii="Times New Roman" w:eastAsia="Times New Roman" w:hAnsi="Times New Roman" w:cs="Times New Roman"/>
          <w:i/>
          <w:iCs/>
          <w:color w:val="000000"/>
          <w:sz w:val="24"/>
          <w:szCs w:val="24"/>
          <w:lang/>
        </w:rPr>
        <w:t>{Пункт 294.6 статті 294 із змінами, внесеними згідно із Законом </w:t>
      </w:r>
      <w:hyperlink r:id="rId4936" w:anchor="n14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E553F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7" w:name="n7144"/>
      <w:bookmarkEnd w:id="8987"/>
      <w:r w:rsidRPr="008B264B">
        <w:rPr>
          <w:rFonts w:ascii="Times New Roman" w:eastAsia="Times New Roman" w:hAnsi="Times New Roman" w:cs="Times New Roman"/>
          <w:color w:val="000000"/>
          <w:sz w:val="24"/>
          <w:szCs w:val="24"/>
          <w:lang/>
        </w:rPr>
        <w:t>294.7. У разі зміни податкової адреси платника єдиного податку останнім податковим (звітним) періодом за такою адресою вважається період, у якому подано до контролюючого органу заяву щодо зміни податкової адреси.</w:t>
      </w:r>
    </w:p>
    <w:p w14:paraId="276C2F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8" w:name="n7145"/>
      <w:bookmarkEnd w:id="8988"/>
      <w:r w:rsidRPr="008B264B">
        <w:rPr>
          <w:rFonts w:ascii="Times New Roman" w:eastAsia="Times New Roman" w:hAnsi="Times New Roman" w:cs="Times New Roman"/>
          <w:b/>
          <w:bCs/>
          <w:color w:val="000000"/>
          <w:sz w:val="24"/>
          <w:szCs w:val="24"/>
          <w:lang/>
        </w:rPr>
        <w:t>Стаття 295.</w:t>
      </w:r>
      <w:r w:rsidRPr="008B264B">
        <w:rPr>
          <w:rFonts w:ascii="Times New Roman" w:eastAsia="Times New Roman" w:hAnsi="Times New Roman" w:cs="Times New Roman"/>
          <w:color w:val="000000"/>
          <w:sz w:val="24"/>
          <w:szCs w:val="24"/>
          <w:lang/>
        </w:rPr>
        <w:t> Порядок нарахування та строки сплати єдиного податку</w:t>
      </w:r>
    </w:p>
    <w:p w14:paraId="7C5880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89" w:name="n7146"/>
      <w:bookmarkEnd w:id="8989"/>
      <w:r w:rsidRPr="008B264B">
        <w:rPr>
          <w:rFonts w:ascii="Times New Roman" w:eastAsia="Times New Roman" w:hAnsi="Times New Roman" w:cs="Times New Roman"/>
          <w:color w:val="000000"/>
          <w:sz w:val="24"/>
          <w:szCs w:val="24"/>
          <w:lang/>
        </w:rPr>
        <w:t>295.1. Платники єдиного податку першої і другої груп сплачують єдиний податок шляхом здійснення авансового внеску не пізніше 20 числа (включно) поточного місяця.</w:t>
      </w:r>
    </w:p>
    <w:p w14:paraId="6A435F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0" w:name="n7147"/>
      <w:bookmarkEnd w:id="8990"/>
      <w:r w:rsidRPr="008B264B">
        <w:rPr>
          <w:rFonts w:ascii="Times New Roman" w:eastAsia="Times New Roman" w:hAnsi="Times New Roman" w:cs="Times New Roman"/>
          <w:color w:val="000000"/>
          <w:sz w:val="24"/>
          <w:szCs w:val="24"/>
          <w:lang/>
        </w:rPr>
        <w:t>Такі платники єдиного податку можуть здійснити сплату єдиного податку авансовим внеском за весь податковий (звітний) період (квартал, рік), але не більш як до кінця поточного звітного року.</w:t>
      </w:r>
    </w:p>
    <w:p w14:paraId="35B8D7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1" w:name="n7148"/>
      <w:bookmarkEnd w:id="8991"/>
      <w:r w:rsidRPr="008B264B">
        <w:rPr>
          <w:rFonts w:ascii="Times New Roman" w:eastAsia="Times New Roman" w:hAnsi="Times New Roman" w:cs="Times New Roman"/>
          <w:color w:val="000000"/>
          <w:sz w:val="24"/>
          <w:szCs w:val="24"/>
          <w:lang/>
        </w:rPr>
        <w:t>У разі якщо сільська, селищна або міська рада приймає рішення щодо зміни раніше встановлених ставок єдиного податку, єдиний податок сплачується за такими ставками у порядку та строки, визначені </w:t>
      </w:r>
      <w:hyperlink r:id="rId4937" w:anchor="n241" w:history="1">
        <w:r w:rsidRPr="008B264B">
          <w:rPr>
            <w:rFonts w:ascii="Times New Roman" w:eastAsia="Times New Roman" w:hAnsi="Times New Roman" w:cs="Times New Roman"/>
            <w:color w:val="0000FF"/>
            <w:sz w:val="24"/>
            <w:szCs w:val="24"/>
            <w:u w:val="single"/>
            <w:lang/>
          </w:rPr>
          <w:t>підпунктом 12.3.4</w:t>
        </w:r>
      </w:hyperlink>
      <w:r w:rsidRPr="008B264B">
        <w:rPr>
          <w:rFonts w:ascii="Times New Roman" w:eastAsia="Times New Roman" w:hAnsi="Times New Roman" w:cs="Times New Roman"/>
          <w:color w:val="000000"/>
          <w:sz w:val="24"/>
          <w:szCs w:val="24"/>
          <w:lang/>
        </w:rPr>
        <w:t> пункту 12.3 статті 12 цього Кодексу.</w:t>
      </w:r>
    </w:p>
    <w:p w14:paraId="0F2636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2" w:name="n7149"/>
      <w:bookmarkEnd w:id="8992"/>
      <w:r w:rsidRPr="008B264B">
        <w:rPr>
          <w:rFonts w:ascii="Times New Roman" w:eastAsia="Times New Roman" w:hAnsi="Times New Roman" w:cs="Times New Roman"/>
          <w:color w:val="000000"/>
          <w:sz w:val="24"/>
          <w:szCs w:val="24"/>
          <w:lang/>
        </w:rPr>
        <w:t>295.2. Нарахування авансових внесків для платників єдиного податку першої і другої груп здійснюється контролюючими органами на підставі заяви такого платника єдиного податку щодо розміру обраної ставки єдиного податку, заяви щодо періоду щорічної відпустки та/або заяви щодо терміну тимчасової втрати працездатності.</w:t>
      </w:r>
    </w:p>
    <w:p w14:paraId="47F254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3" w:name="n7150"/>
      <w:bookmarkEnd w:id="8993"/>
      <w:r w:rsidRPr="008B264B">
        <w:rPr>
          <w:rFonts w:ascii="Times New Roman" w:eastAsia="Times New Roman" w:hAnsi="Times New Roman" w:cs="Times New Roman"/>
          <w:color w:val="000000"/>
          <w:sz w:val="24"/>
          <w:szCs w:val="24"/>
          <w:lang/>
        </w:rPr>
        <w:t>295.3. Платники єдиного податку третьої групи сплачують єдиний податок протягом 10 календарних днів після граничного строку подання податкової декларації за податковий (звітний) квартал.</w:t>
      </w:r>
    </w:p>
    <w:p w14:paraId="36A541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4" w:name="n7151"/>
      <w:bookmarkEnd w:id="8994"/>
      <w:r w:rsidRPr="008B264B">
        <w:rPr>
          <w:rFonts w:ascii="Times New Roman" w:eastAsia="Times New Roman" w:hAnsi="Times New Roman" w:cs="Times New Roman"/>
          <w:i/>
          <w:iCs/>
          <w:color w:val="000000"/>
          <w:sz w:val="24"/>
          <w:szCs w:val="24"/>
          <w:lang/>
        </w:rPr>
        <w:t>{Пункт 295.3 статті 295 із змінами, внесеними згідно із Законами </w:t>
      </w:r>
      <w:hyperlink r:id="rId4938" w:anchor="n33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939" w:anchor="n157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CD0F7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5" w:name="n7152"/>
      <w:bookmarkEnd w:id="8995"/>
      <w:r w:rsidRPr="008B264B">
        <w:rPr>
          <w:rFonts w:ascii="Times New Roman" w:eastAsia="Times New Roman" w:hAnsi="Times New Roman" w:cs="Times New Roman"/>
          <w:color w:val="000000"/>
          <w:sz w:val="24"/>
          <w:szCs w:val="24"/>
          <w:lang/>
        </w:rPr>
        <w:t>295.4. Сплата єдиного податку платниками першої - третьої груп здійснюється за місцем податкової адреси.</w:t>
      </w:r>
    </w:p>
    <w:p w14:paraId="77A34B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6" w:name="n12032"/>
      <w:bookmarkEnd w:id="8996"/>
      <w:r w:rsidRPr="008B264B">
        <w:rPr>
          <w:rFonts w:ascii="Times New Roman" w:eastAsia="Times New Roman" w:hAnsi="Times New Roman" w:cs="Times New Roman"/>
          <w:i/>
          <w:iCs/>
          <w:color w:val="000000"/>
          <w:sz w:val="24"/>
          <w:szCs w:val="24"/>
          <w:lang/>
        </w:rPr>
        <w:t>{Пункт 295.4 статті 295 із змінами, внесеними згідно із Законом </w:t>
      </w:r>
      <w:hyperlink r:id="rId4940" w:anchor="n157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E943E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7" w:name="n7153"/>
      <w:bookmarkEnd w:id="8997"/>
      <w:r w:rsidRPr="008B264B">
        <w:rPr>
          <w:rFonts w:ascii="Times New Roman" w:eastAsia="Times New Roman" w:hAnsi="Times New Roman" w:cs="Times New Roman"/>
          <w:color w:val="000000"/>
          <w:sz w:val="24"/>
          <w:szCs w:val="24"/>
          <w:lang/>
        </w:rPr>
        <w:t>295.5. Платники єдиного податку першої і другої груп, які не використовують працю найманих осіб, звільняються від сплати єдиного податку протягом одного календарного місяця на рік на час відпустки, а також за період хвороби, підтвердженої копією листка (листків) непрацездатності, якщо вона триває 30 і більше календарних днів.</w:t>
      </w:r>
    </w:p>
    <w:p w14:paraId="283FB4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8" w:name="n7154"/>
      <w:bookmarkEnd w:id="8998"/>
      <w:r w:rsidRPr="008B264B">
        <w:rPr>
          <w:rFonts w:ascii="Times New Roman" w:eastAsia="Times New Roman" w:hAnsi="Times New Roman" w:cs="Times New Roman"/>
          <w:color w:val="000000"/>
          <w:sz w:val="24"/>
          <w:szCs w:val="24"/>
          <w:lang/>
        </w:rPr>
        <w:lastRenderedPageBreak/>
        <w:t>295.6. Суми єдиного податку, сплачені відповідно до </w:t>
      </w:r>
      <w:hyperlink r:id="rId4941" w:anchor="n7145" w:history="1">
        <w:r w:rsidRPr="008B264B">
          <w:rPr>
            <w:rFonts w:ascii="Times New Roman" w:eastAsia="Times New Roman" w:hAnsi="Times New Roman" w:cs="Times New Roman"/>
            <w:color w:val="0000FF"/>
            <w:sz w:val="24"/>
            <w:szCs w:val="24"/>
            <w:u w:val="single"/>
            <w:lang/>
          </w:rPr>
          <w:t>абзацу другого пункту 295.1</w:t>
        </w:r>
      </w:hyperlink>
      <w:r w:rsidRPr="008B264B">
        <w:rPr>
          <w:rFonts w:ascii="Times New Roman" w:eastAsia="Times New Roman" w:hAnsi="Times New Roman" w:cs="Times New Roman"/>
          <w:color w:val="000000"/>
          <w:sz w:val="24"/>
          <w:szCs w:val="24"/>
          <w:lang/>
        </w:rPr>
        <w:t> і пункту 295.5 цієї статті, підлягають зарахуванню в рахунок майбутніх платежів з цього податку за заявою платника єдиного податку.</w:t>
      </w:r>
    </w:p>
    <w:p w14:paraId="2F0957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8999" w:name="n7155"/>
      <w:bookmarkEnd w:id="8999"/>
      <w:r w:rsidRPr="008B264B">
        <w:rPr>
          <w:rFonts w:ascii="Times New Roman" w:eastAsia="Times New Roman" w:hAnsi="Times New Roman" w:cs="Times New Roman"/>
          <w:color w:val="000000"/>
          <w:sz w:val="24"/>
          <w:szCs w:val="24"/>
          <w:lang/>
        </w:rPr>
        <w:t>Помилково та/або надміру сплачені суми єдиного податку підлягають поверненню платнику в порядку, встановленому цим Кодексом.</w:t>
      </w:r>
    </w:p>
    <w:p w14:paraId="1466E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0" w:name="n7156"/>
      <w:bookmarkEnd w:id="9000"/>
      <w:r w:rsidRPr="008B264B">
        <w:rPr>
          <w:rFonts w:ascii="Times New Roman" w:eastAsia="Times New Roman" w:hAnsi="Times New Roman" w:cs="Times New Roman"/>
          <w:color w:val="000000"/>
          <w:sz w:val="24"/>
          <w:szCs w:val="24"/>
          <w:lang/>
        </w:rPr>
        <w:t>295.7. Єдиний податок, нарахований за перевищення обсягу доходу, сплачується протягом 10 календарних днів після граничного строку подання податкової декларації за податковий (звітний) квартал.</w:t>
      </w:r>
    </w:p>
    <w:p w14:paraId="4B64A4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1" w:name="n7157"/>
      <w:bookmarkEnd w:id="9001"/>
      <w:r w:rsidRPr="008B264B">
        <w:rPr>
          <w:rFonts w:ascii="Times New Roman" w:eastAsia="Times New Roman" w:hAnsi="Times New Roman" w:cs="Times New Roman"/>
          <w:color w:val="000000"/>
          <w:sz w:val="24"/>
          <w:szCs w:val="24"/>
          <w:lang/>
        </w:rPr>
        <w:t>295.8. У разі припинення платником єдиного податку провадження господарської діяльності податкові зобов’язання із сплати єдиного податку нараховуються такому платнику до останнього дня (включно) календарного місяця, в якому анульовано реєстрацію за рішенням контролюючого органу на підставі отриманого від державного реєстратора повідомлення про проведення державної реєстрації припинення підприємницької діяльності.</w:t>
      </w:r>
    </w:p>
    <w:p w14:paraId="6F0B76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2" w:name="n12034"/>
      <w:bookmarkEnd w:id="9002"/>
      <w:r w:rsidRPr="008B264B">
        <w:rPr>
          <w:rFonts w:ascii="Times New Roman" w:eastAsia="Times New Roman" w:hAnsi="Times New Roman" w:cs="Times New Roman"/>
          <w:color w:val="000000"/>
          <w:sz w:val="24"/>
          <w:szCs w:val="24"/>
          <w:lang/>
        </w:rPr>
        <w:t>У разі анулювання реєстрації платника єдиного податку за рішенням контролюючого органу податкові зобов’язання із сплати єдиного податку нараховуються такому платнику до останнього дня (включно) календарного місяця, в якому проведено анулювання реєстрації.</w:t>
      </w:r>
    </w:p>
    <w:p w14:paraId="25C9E1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3" w:name="n12033"/>
      <w:bookmarkEnd w:id="9003"/>
      <w:r w:rsidRPr="008B264B">
        <w:rPr>
          <w:rFonts w:ascii="Times New Roman" w:eastAsia="Times New Roman" w:hAnsi="Times New Roman" w:cs="Times New Roman"/>
          <w:i/>
          <w:iCs/>
          <w:color w:val="000000"/>
          <w:sz w:val="24"/>
          <w:szCs w:val="24"/>
          <w:lang/>
        </w:rPr>
        <w:t>{Пункт 295.8 статті 295 в редакції Закону </w:t>
      </w:r>
      <w:hyperlink r:id="rId4942" w:anchor="n157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43" w:anchor="n142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CD6F9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4" w:name="n12036"/>
      <w:bookmarkEnd w:id="9004"/>
      <w:r w:rsidRPr="008B264B">
        <w:rPr>
          <w:rFonts w:ascii="Times New Roman" w:eastAsia="Times New Roman" w:hAnsi="Times New Roman" w:cs="Times New Roman"/>
          <w:color w:val="000000"/>
          <w:sz w:val="24"/>
          <w:szCs w:val="24"/>
          <w:lang/>
        </w:rPr>
        <w:t>295.9. Платники єдиного податку четвертої групи:</w:t>
      </w:r>
    </w:p>
    <w:p w14:paraId="6E2CED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5" w:name="n12037"/>
      <w:bookmarkEnd w:id="9005"/>
      <w:r w:rsidRPr="008B264B">
        <w:rPr>
          <w:rFonts w:ascii="Times New Roman" w:eastAsia="Times New Roman" w:hAnsi="Times New Roman" w:cs="Times New Roman"/>
          <w:color w:val="000000"/>
          <w:sz w:val="24"/>
          <w:szCs w:val="24"/>
          <w:lang/>
        </w:rPr>
        <w:t>295.9.1. самостійно обчислюють суму податку щороку станом на 1 січня і не пізніше 20 лютого поточного року подають відповідному контролюючому органу за місцезнаходженням платника податку та місцем розташування земельної ділянки податкову декларацію на поточний рік за формою, встановленою у порядку, передбаченому статтею 46 цього Кодексу;</w:t>
      </w:r>
    </w:p>
    <w:p w14:paraId="4C9E16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6" w:name="n12038"/>
      <w:bookmarkEnd w:id="9006"/>
      <w:r w:rsidRPr="008B264B">
        <w:rPr>
          <w:rFonts w:ascii="Times New Roman" w:eastAsia="Times New Roman" w:hAnsi="Times New Roman" w:cs="Times New Roman"/>
          <w:color w:val="000000"/>
          <w:sz w:val="24"/>
          <w:szCs w:val="24"/>
          <w:lang/>
        </w:rPr>
        <w:t>295.9.2. сплачують податок щоквартально протягом 30 календарних днів, що настають за останнім календарним днем податкового (звітного) кварталу, у таких розмірах:</w:t>
      </w:r>
    </w:p>
    <w:p w14:paraId="67D19E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7" w:name="n12039"/>
      <w:bookmarkEnd w:id="9007"/>
      <w:r w:rsidRPr="008B264B">
        <w:rPr>
          <w:rFonts w:ascii="Times New Roman" w:eastAsia="Times New Roman" w:hAnsi="Times New Roman" w:cs="Times New Roman"/>
          <w:color w:val="000000"/>
          <w:sz w:val="24"/>
          <w:szCs w:val="24"/>
          <w:lang/>
        </w:rPr>
        <w:t>у I кварталі - 10 відсотків;</w:t>
      </w:r>
    </w:p>
    <w:p w14:paraId="6FC57C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8" w:name="n12040"/>
      <w:bookmarkEnd w:id="9008"/>
      <w:r w:rsidRPr="008B264B">
        <w:rPr>
          <w:rFonts w:ascii="Times New Roman" w:eastAsia="Times New Roman" w:hAnsi="Times New Roman" w:cs="Times New Roman"/>
          <w:color w:val="000000"/>
          <w:sz w:val="24"/>
          <w:szCs w:val="24"/>
          <w:lang/>
        </w:rPr>
        <w:t>у II кварталі - 10 відсотків;</w:t>
      </w:r>
    </w:p>
    <w:p w14:paraId="06331D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09" w:name="n12041"/>
      <w:bookmarkEnd w:id="9009"/>
      <w:r w:rsidRPr="008B264B">
        <w:rPr>
          <w:rFonts w:ascii="Times New Roman" w:eastAsia="Times New Roman" w:hAnsi="Times New Roman" w:cs="Times New Roman"/>
          <w:color w:val="000000"/>
          <w:sz w:val="24"/>
          <w:szCs w:val="24"/>
          <w:lang/>
        </w:rPr>
        <w:t>у III кварталі - 50 відсотків;</w:t>
      </w:r>
    </w:p>
    <w:p w14:paraId="71F75B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0" w:name="n12042"/>
      <w:bookmarkEnd w:id="9010"/>
      <w:r w:rsidRPr="008B264B">
        <w:rPr>
          <w:rFonts w:ascii="Times New Roman" w:eastAsia="Times New Roman" w:hAnsi="Times New Roman" w:cs="Times New Roman"/>
          <w:color w:val="000000"/>
          <w:sz w:val="24"/>
          <w:szCs w:val="24"/>
          <w:lang/>
        </w:rPr>
        <w:t>у IV кварталі - 30 відсотків;</w:t>
      </w:r>
    </w:p>
    <w:p w14:paraId="3970B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1" w:name="n12043"/>
      <w:bookmarkEnd w:id="9011"/>
      <w:r w:rsidRPr="008B264B">
        <w:rPr>
          <w:rFonts w:ascii="Times New Roman" w:eastAsia="Times New Roman" w:hAnsi="Times New Roman" w:cs="Times New Roman"/>
          <w:color w:val="000000"/>
          <w:sz w:val="24"/>
          <w:szCs w:val="24"/>
          <w:lang/>
        </w:rPr>
        <w:t>295.9.3. фізичні особи - підприємці, які у звітному періоді обрали спрощену систему оподаткування та ставку єдиного податку, встановлену для четвертої групи, або перейшли на застосування ставки єдиного податку, встановленої для четвертої групи, та юридичні особи, утворені протягом року шляхом злиття, приєднання або перетворення у звітному податковому періоді, у тому числі за набуті ними площі нових земельних ділянок, вперше сплачують податок протягом 30 календарних днів, що настають за останнім календарним днем податкового (звітного) кварталу, в якому відбулося таке обрання/перехід, в якому відбулося утворення (виникнення права на земельну ділянку), а надалі - у порядку, визначеному підпунктом 295.9.2 цього пункту;</w:t>
      </w:r>
    </w:p>
    <w:p w14:paraId="33CEF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2" w:name="n15156"/>
      <w:bookmarkEnd w:id="9012"/>
      <w:r w:rsidRPr="008B264B">
        <w:rPr>
          <w:rFonts w:ascii="Times New Roman" w:eastAsia="Times New Roman" w:hAnsi="Times New Roman" w:cs="Times New Roman"/>
          <w:i/>
          <w:iCs/>
          <w:color w:val="000000"/>
          <w:sz w:val="24"/>
          <w:szCs w:val="24"/>
          <w:lang/>
        </w:rPr>
        <w:t>{Підпункт 295.9.3 пункту 295.9 статті 295 із змінами, внесеними згідно із Законом </w:t>
      </w:r>
      <w:hyperlink r:id="rId4944" w:anchor="n41"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4FC11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3" w:name="n12044"/>
      <w:bookmarkEnd w:id="9013"/>
      <w:r w:rsidRPr="008B264B">
        <w:rPr>
          <w:rFonts w:ascii="Times New Roman" w:eastAsia="Times New Roman" w:hAnsi="Times New Roman" w:cs="Times New Roman"/>
          <w:color w:val="000000"/>
          <w:sz w:val="24"/>
          <w:szCs w:val="24"/>
          <w:lang/>
        </w:rPr>
        <w:t>295.9.4. що припиняються шляхом злиття, приєднання, перетворення, поділу у податковому (звітному) періоді, зобов’язані подати у період до їх фактичного припинення контролюючим органам за своїм місцезнаходженням та місцем розташування земельних ділянок уточнену податкову декларацію;</w:t>
      </w:r>
    </w:p>
    <w:p w14:paraId="752DB2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4" w:name="n12045"/>
      <w:bookmarkEnd w:id="9014"/>
      <w:r w:rsidRPr="008B264B">
        <w:rPr>
          <w:rFonts w:ascii="Times New Roman" w:eastAsia="Times New Roman" w:hAnsi="Times New Roman" w:cs="Times New Roman"/>
          <w:color w:val="000000"/>
          <w:sz w:val="24"/>
          <w:szCs w:val="24"/>
          <w:lang/>
        </w:rPr>
        <w:lastRenderedPageBreak/>
        <w:t>295.9.5. зобов’язані у разі, коли протягом податкового (звітного) періоду змінилася площа сільськогосподарських угідь та/або земель водного фонду у зв’язку з набуттям (втратою) на неї права власності або користування:</w:t>
      </w:r>
    </w:p>
    <w:p w14:paraId="75377F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5" w:name="n12046"/>
      <w:bookmarkEnd w:id="9015"/>
      <w:r w:rsidRPr="008B264B">
        <w:rPr>
          <w:rFonts w:ascii="Times New Roman" w:eastAsia="Times New Roman" w:hAnsi="Times New Roman" w:cs="Times New Roman"/>
          <w:color w:val="000000"/>
          <w:sz w:val="24"/>
          <w:szCs w:val="24"/>
          <w:lang/>
        </w:rPr>
        <w:t>уточнити суму податкових зобов’язань з податку на період починаючи з дати набуття (втрати) такого права до останнього дня податкового (звітного) року;</w:t>
      </w:r>
    </w:p>
    <w:p w14:paraId="6D30AB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6" w:name="n12047"/>
      <w:bookmarkEnd w:id="9016"/>
      <w:r w:rsidRPr="008B264B">
        <w:rPr>
          <w:rFonts w:ascii="Times New Roman" w:eastAsia="Times New Roman" w:hAnsi="Times New Roman" w:cs="Times New Roman"/>
          <w:color w:val="000000"/>
          <w:sz w:val="24"/>
          <w:szCs w:val="24"/>
          <w:lang/>
        </w:rPr>
        <w:t>подати протягом 20 календарних днів місяця, що настає за звітним періодом, контролюючим органам за місцезнаходженням платника податку та місцем розташування земельної ділянки декларацію з уточненою інформацією про площу земельної ділянки, а також відомості про наявність земельних ділянок та їх нормативну грошову оцінку;</w:t>
      </w:r>
    </w:p>
    <w:p w14:paraId="7F1E2D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7" w:name="n12048"/>
      <w:bookmarkEnd w:id="9017"/>
      <w:r w:rsidRPr="008B264B">
        <w:rPr>
          <w:rFonts w:ascii="Times New Roman" w:eastAsia="Times New Roman" w:hAnsi="Times New Roman" w:cs="Times New Roman"/>
          <w:color w:val="000000"/>
          <w:sz w:val="24"/>
          <w:szCs w:val="24"/>
          <w:lang/>
        </w:rPr>
        <w:t>295.9.6. у разі надання сільськогосподарських угідь та/або земель водного фонду в оренду іншому платникові податку, враховують орендовану площу земельних ділянок у своїй декларації. У декларації орендаря така земельна ділянка не враховується;</w:t>
      </w:r>
    </w:p>
    <w:p w14:paraId="43D18C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8" w:name="n12049"/>
      <w:bookmarkEnd w:id="9018"/>
      <w:r w:rsidRPr="008B264B">
        <w:rPr>
          <w:rFonts w:ascii="Times New Roman" w:eastAsia="Times New Roman" w:hAnsi="Times New Roman" w:cs="Times New Roman"/>
          <w:color w:val="000000"/>
          <w:sz w:val="24"/>
          <w:szCs w:val="24"/>
          <w:lang/>
        </w:rPr>
        <w:t>295.9.7. у разі оренди ними сільськогосподарських угідь та/або земель водного фонду в особи, яка не є платником податку, враховують орендовану площу земельних ділянок у своїй декларації;</w:t>
      </w:r>
    </w:p>
    <w:p w14:paraId="59085D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19" w:name="n12050"/>
      <w:bookmarkEnd w:id="9019"/>
      <w:r w:rsidRPr="008B264B">
        <w:rPr>
          <w:rFonts w:ascii="Times New Roman" w:eastAsia="Times New Roman" w:hAnsi="Times New Roman" w:cs="Times New Roman"/>
          <w:color w:val="000000"/>
          <w:sz w:val="24"/>
          <w:szCs w:val="24"/>
          <w:lang/>
        </w:rPr>
        <w:t>295.9.8. перераховують в установлений строк загальну суму коштів на відповідний рахунок місцевого бюджету за місцем розташування земельної ділянки.</w:t>
      </w:r>
    </w:p>
    <w:p w14:paraId="31005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0" w:name="n12035"/>
      <w:bookmarkEnd w:id="9020"/>
      <w:r w:rsidRPr="008B264B">
        <w:rPr>
          <w:rFonts w:ascii="Times New Roman" w:eastAsia="Times New Roman" w:hAnsi="Times New Roman" w:cs="Times New Roman"/>
          <w:i/>
          <w:iCs/>
          <w:color w:val="000000"/>
          <w:sz w:val="24"/>
          <w:szCs w:val="24"/>
          <w:lang/>
        </w:rPr>
        <w:t>{Статтю 295 доповнено пунктом 295.9 згідно із Законом </w:t>
      </w:r>
      <w:hyperlink r:id="rId4945" w:anchor="n158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61A27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1" w:name="n7158"/>
      <w:bookmarkEnd w:id="9021"/>
      <w:r w:rsidRPr="008B264B">
        <w:rPr>
          <w:rFonts w:ascii="Times New Roman" w:eastAsia="Times New Roman" w:hAnsi="Times New Roman" w:cs="Times New Roman"/>
          <w:b/>
          <w:bCs/>
          <w:color w:val="000000"/>
          <w:sz w:val="24"/>
          <w:szCs w:val="24"/>
          <w:lang/>
        </w:rPr>
        <w:t>Стаття 296.</w:t>
      </w:r>
      <w:r w:rsidRPr="008B264B">
        <w:rPr>
          <w:rFonts w:ascii="Times New Roman" w:eastAsia="Times New Roman" w:hAnsi="Times New Roman" w:cs="Times New Roman"/>
          <w:color w:val="000000"/>
          <w:sz w:val="24"/>
          <w:szCs w:val="24"/>
          <w:lang/>
        </w:rPr>
        <w:t> Ведення обліку і складення звітності платниками єдиного податку</w:t>
      </w:r>
    </w:p>
    <w:p w14:paraId="64593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2" w:name="n7159"/>
      <w:bookmarkEnd w:id="9022"/>
      <w:r w:rsidRPr="008B264B">
        <w:rPr>
          <w:rFonts w:ascii="Times New Roman" w:eastAsia="Times New Roman" w:hAnsi="Times New Roman" w:cs="Times New Roman"/>
          <w:color w:val="000000"/>
          <w:sz w:val="24"/>
          <w:szCs w:val="24"/>
          <w:lang/>
        </w:rPr>
        <w:t>296.1. Платники єдиного податку першої - третьої груп ведуть облік у порядку, визначеному підпунктами 296.1.1-296.1.3 цього пункту.</w:t>
      </w:r>
    </w:p>
    <w:p w14:paraId="4CD79C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3" w:name="n12051"/>
      <w:bookmarkEnd w:id="9023"/>
      <w:r w:rsidRPr="008B264B">
        <w:rPr>
          <w:rFonts w:ascii="Times New Roman" w:eastAsia="Times New Roman" w:hAnsi="Times New Roman" w:cs="Times New Roman"/>
          <w:i/>
          <w:iCs/>
          <w:color w:val="000000"/>
          <w:sz w:val="24"/>
          <w:szCs w:val="24"/>
          <w:lang/>
        </w:rPr>
        <w:t>{Абзац перший статті 296 із змінами, внесеними згідно із Законом </w:t>
      </w:r>
      <w:hyperlink r:id="rId4946" w:anchor="n15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69BA1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4" w:name="n7160"/>
      <w:bookmarkEnd w:id="9024"/>
      <w:r w:rsidRPr="008B264B">
        <w:rPr>
          <w:rFonts w:ascii="Times New Roman" w:eastAsia="Times New Roman" w:hAnsi="Times New Roman" w:cs="Times New Roman"/>
          <w:color w:val="000000"/>
          <w:sz w:val="24"/>
          <w:szCs w:val="24"/>
          <w:lang/>
        </w:rPr>
        <w:t>296.1.1. Платники єдиного податку першої і другої груп та платники єдиного податку третьої групи (фізичні особи - підприємці), які не є платниками податку на додану вартість, ведуть Книгу обліку доходів шляхом щоденного, за підсумками робочого дня, відображення отриманих доходів.</w:t>
      </w:r>
    </w:p>
    <w:bookmarkStart w:id="9025" w:name="n7162"/>
    <w:bookmarkEnd w:id="9025"/>
    <w:p w14:paraId="1BA1FE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"https://zakon.rada.gov.ua/laws/show/z0800-15" \l "n20"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книги обліку доходів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w:t>
      </w:r>
      <w:hyperlink r:id="rId4947" w:anchor="n26" w:tgtFrame="_blank" w:history="1">
        <w:r w:rsidRPr="008B264B">
          <w:rPr>
            <w:rFonts w:ascii="Times New Roman" w:eastAsia="Times New Roman" w:hAnsi="Times New Roman" w:cs="Times New Roman"/>
            <w:color w:val="0000FF"/>
            <w:sz w:val="24"/>
            <w:szCs w:val="24"/>
            <w:u w:val="single"/>
            <w:lang/>
          </w:rPr>
          <w:t>порядок її ведення</w:t>
        </w:r>
      </w:hyperlink>
      <w:r w:rsidRPr="008B264B">
        <w:rPr>
          <w:rFonts w:ascii="Times New Roman" w:eastAsia="Times New Roman" w:hAnsi="Times New Roman" w:cs="Times New Roman"/>
          <w:color w:val="000000"/>
          <w:sz w:val="24"/>
          <w:szCs w:val="24"/>
          <w:lang/>
        </w:rPr>
        <w:t> затверджуються центральним органом виконавчої влади, що забезпечує формування та реалізує державну фінансову політику. Для реєстрації Книги обліку доходів такі платники єдиного податку подають до контролюючого органу за місцем обліку примірник Книги, у разі обрання способу ведення Книги у паперовому вигляді.</w:t>
      </w:r>
    </w:p>
    <w:p w14:paraId="30BF08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6" w:name="n12052"/>
      <w:bookmarkEnd w:id="9026"/>
      <w:r w:rsidRPr="008B264B">
        <w:rPr>
          <w:rFonts w:ascii="Times New Roman" w:eastAsia="Times New Roman" w:hAnsi="Times New Roman" w:cs="Times New Roman"/>
          <w:i/>
          <w:iCs/>
          <w:color w:val="000000"/>
          <w:sz w:val="24"/>
          <w:szCs w:val="24"/>
          <w:lang/>
        </w:rPr>
        <w:t>{Підпункт 296.1.1 пункту 296.1 статті 296 із змінами, внесеними згідно із Законом </w:t>
      </w:r>
      <w:hyperlink r:id="rId4948" w:anchor="n33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49" w:anchor="n15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5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C7F7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7" w:name="n7163"/>
      <w:bookmarkEnd w:id="9027"/>
      <w:r w:rsidRPr="008B264B">
        <w:rPr>
          <w:rFonts w:ascii="Times New Roman" w:eastAsia="Times New Roman" w:hAnsi="Times New Roman" w:cs="Times New Roman"/>
          <w:color w:val="000000"/>
          <w:sz w:val="24"/>
          <w:szCs w:val="24"/>
          <w:lang/>
        </w:rPr>
        <w:t>296.1.2. Платники єдиного податку третьої групи (фізичні особи - підприємці), які є платниками податку на додану вартість, ведуть облік доходів та витрат за формою та в порядку, що встановлені центральним органом виконавчої влади, що забезпечує формування та реалізує державну фінансову політику. Для реєстрації Книги обліку доходів та витрат такі платники єдиного податку подають до контролюючого органу за місцем обліку примірник Книги.</w:t>
      </w:r>
    </w:p>
    <w:p w14:paraId="31736D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8" w:name="n7164"/>
      <w:bookmarkEnd w:id="9028"/>
      <w:r w:rsidRPr="008B264B">
        <w:rPr>
          <w:rFonts w:ascii="Times New Roman" w:eastAsia="Times New Roman" w:hAnsi="Times New Roman" w:cs="Times New Roman"/>
          <w:i/>
          <w:iCs/>
          <w:color w:val="000000"/>
          <w:sz w:val="24"/>
          <w:szCs w:val="24"/>
          <w:lang/>
        </w:rPr>
        <w:t>{Підпункт 296.1.2 пункту 296.1 статті 296 із змінами, внесеними згідно із Законом </w:t>
      </w:r>
      <w:hyperlink r:id="rId4951" w:anchor="n33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52" w:anchor="n15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435C5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29" w:name="n7165"/>
      <w:bookmarkEnd w:id="9029"/>
      <w:r w:rsidRPr="008B264B">
        <w:rPr>
          <w:rFonts w:ascii="Times New Roman" w:eastAsia="Times New Roman" w:hAnsi="Times New Roman" w:cs="Times New Roman"/>
          <w:color w:val="000000"/>
          <w:sz w:val="24"/>
          <w:szCs w:val="24"/>
          <w:lang/>
        </w:rPr>
        <w:t>296.1.3. Платники єдиного податку третьої групи (юридичні особи) використовують дані спрощеного бухгалтерського обліку щодо доходів та витрат з урахуванням положень </w:t>
      </w:r>
      <w:hyperlink r:id="rId4954" w:anchor="n1115" w:history="1">
        <w:r w:rsidRPr="008B264B">
          <w:rPr>
            <w:rFonts w:ascii="Times New Roman" w:eastAsia="Times New Roman" w:hAnsi="Times New Roman" w:cs="Times New Roman"/>
            <w:color w:val="0000FF"/>
            <w:sz w:val="24"/>
            <w:szCs w:val="24"/>
            <w:u w:val="single"/>
            <w:lang/>
          </w:rPr>
          <w:t>пунктів 44.2</w:t>
        </w:r>
      </w:hyperlink>
      <w:r w:rsidRPr="008B264B">
        <w:rPr>
          <w:rFonts w:ascii="Times New Roman" w:eastAsia="Times New Roman" w:hAnsi="Times New Roman" w:cs="Times New Roman"/>
          <w:color w:val="000000"/>
          <w:sz w:val="24"/>
          <w:szCs w:val="24"/>
          <w:lang/>
        </w:rPr>
        <w:t>, </w:t>
      </w:r>
      <w:hyperlink r:id="rId4955" w:anchor="n1121" w:history="1">
        <w:r w:rsidRPr="008B264B">
          <w:rPr>
            <w:rFonts w:ascii="Times New Roman" w:eastAsia="Times New Roman" w:hAnsi="Times New Roman" w:cs="Times New Roman"/>
            <w:color w:val="0000FF"/>
            <w:sz w:val="24"/>
            <w:szCs w:val="24"/>
            <w:u w:val="single"/>
            <w:lang/>
          </w:rPr>
          <w:t>44.3</w:t>
        </w:r>
      </w:hyperlink>
      <w:r w:rsidRPr="008B264B">
        <w:rPr>
          <w:rFonts w:ascii="Times New Roman" w:eastAsia="Times New Roman" w:hAnsi="Times New Roman" w:cs="Times New Roman"/>
          <w:color w:val="000000"/>
          <w:sz w:val="24"/>
          <w:szCs w:val="24"/>
          <w:lang/>
        </w:rPr>
        <w:t> статті 44 цього Кодексу.</w:t>
      </w:r>
    </w:p>
    <w:p w14:paraId="0DE56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0" w:name="n7166"/>
      <w:bookmarkEnd w:id="9030"/>
      <w:r w:rsidRPr="008B264B">
        <w:rPr>
          <w:rFonts w:ascii="Times New Roman" w:eastAsia="Times New Roman" w:hAnsi="Times New Roman" w:cs="Times New Roman"/>
          <w:i/>
          <w:iCs/>
          <w:color w:val="000000"/>
          <w:sz w:val="24"/>
          <w:szCs w:val="24"/>
          <w:lang/>
        </w:rPr>
        <w:lastRenderedPageBreak/>
        <w:t>{Підпункт 296.1.3 пункту 296.1 статті 296 із змінами, внесеними згідно із Законом </w:t>
      </w:r>
      <w:hyperlink r:id="rId4956" w:anchor="n33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57" w:anchor="n159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5DC53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1" w:name="n7167"/>
      <w:bookmarkEnd w:id="9031"/>
      <w:r w:rsidRPr="008B264B">
        <w:rPr>
          <w:rFonts w:ascii="Times New Roman" w:eastAsia="Times New Roman" w:hAnsi="Times New Roman" w:cs="Times New Roman"/>
          <w:color w:val="000000"/>
          <w:sz w:val="24"/>
          <w:szCs w:val="24"/>
          <w:lang/>
        </w:rPr>
        <w:t>296.2. Платники єдиного податку першої та другої груп подають до контролюючого органу податкову декларацію платника єдиного податку у строк, встановлений для річного податкового (звітного) періоду, в якій відображаються обсяг отриманого доходу, щомісячні авансові внески, визначені </w:t>
      </w:r>
      <w:hyperlink r:id="rId4958" w:anchor="n7146" w:history="1">
        <w:r w:rsidRPr="008B264B">
          <w:rPr>
            <w:rFonts w:ascii="Times New Roman" w:eastAsia="Times New Roman" w:hAnsi="Times New Roman" w:cs="Times New Roman"/>
            <w:color w:val="0000FF"/>
            <w:sz w:val="24"/>
            <w:szCs w:val="24"/>
            <w:u w:val="single"/>
            <w:lang/>
          </w:rPr>
          <w:t>пунктом 295.1</w:t>
        </w:r>
      </w:hyperlink>
      <w:r w:rsidRPr="008B264B">
        <w:rPr>
          <w:rFonts w:ascii="Times New Roman" w:eastAsia="Times New Roman" w:hAnsi="Times New Roman" w:cs="Times New Roman"/>
          <w:color w:val="000000"/>
          <w:sz w:val="24"/>
          <w:szCs w:val="24"/>
          <w:lang/>
        </w:rPr>
        <w:t> статті 295 цього Кодексу.</w:t>
      </w:r>
    </w:p>
    <w:p w14:paraId="6077AA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2" w:name="n7168"/>
      <w:bookmarkEnd w:id="9032"/>
      <w:r w:rsidRPr="008B264B">
        <w:rPr>
          <w:rFonts w:ascii="Times New Roman" w:eastAsia="Times New Roman" w:hAnsi="Times New Roman" w:cs="Times New Roman"/>
          <w:i/>
          <w:iCs/>
          <w:color w:val="000000"/>
          <w:sz w:val="24"/>
          <w:szCs w:val="24"/>
          <w:lang/>
        </w:rPr>
        <w:t>{Абзац перший пункту 296.2 статті 296 із змінами, внесеними згідно із Законом </w:t>
      </w:r>
      <w:hyperlink r:id="rId495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9DB5A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3" w:name="n7169"/>
      <w:bookmarkEnd w:id="9033"/>
      <w:r w:rsidRPr="008B264B">
        <w:rPr>
          <w:rFonts w:ascii="Times New Roman" w:eastAsia="Times New Roman" w:hAnsi="Times New Roman" w:cs="Times New Roman"/>
          <w:color w:val="000000"/>
          <w:sz w:val="24"/>
          <w:szCs w:val="24"/>
          <w:lang/>
        </w:rPr>
        <w:t>Така податкова декларація подається, якщо платник єдиного податку не допустив перевищення протягом року обсягу доходу, визначеного у </w:t>
      </w:r>
      <w:hyperlink r:id="rId4960" w:anchor="n6950" w:history="1">
        <w:r w:rsidRPr="008B264B">
          <w:rPr>
            <w:rFonts w:ascii="Times New Roman" w:eastAsia="Times New Roman" w:hAnsi="Times New Roman" w:cs="Times New Roman"/>
            <w:color w:val="0000FF"/>
            <w:sz w:val="24"/>
            <w:szCs w:val="24"/>
            <w:u w:val="single"/>
            <w:lang/>
          </w:rPr>
          <w:t>пункті 291.4</w:t>
        </w:r>
      </w:hyperlink>
      <w:r w:rsidRPr="008B264B">
        <w:rPr>
          <w:rFonts w:ascii="Times New Roman" w:eastAsia="Times New Roman" w:hAnsi="Times New Roman" w:cs="Times New Roman"/>
          <w:color w:val="000000"/>
          <w:sz w:val="24"/>
          <w:szCs w:val="24"/>
          <w:lang/>
        </w:rPr>
        <w:t> статті 291 цього Кодексу, та/або самостійно не перейшов на сплату єдиного податку за ставками, встановленими для платників єдиного податку другої або третьої групи.</w:t>
      </w:r>
    </w:p>
    <w:p w14:paraId="1F32A9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4" w:name="n7170"/>
      <w:bookmarkEnd w:id="9034"/>
      <w:r w:rsidRPr="008B264B">
        <w:rPr>
          <w:rFonts w:ascii="Times New Roman" w:eastAsia="Times New Roman" w:hAnsi="Times New Roman" w:cs="Times New Roman"/>
          <w:i/>
          <w:iCs/>
          <w:color w:val="000000"/>
          <w:sz w:val="24"/>
          <w:szCs w:val="24"/>
          <w:lang/>
        </w:rPr>
        <w:t>{Абзац другий пункту 296.2 статті 296 із змінами, внесеними згідно із Законами </w:t>
      </w:r>
      <w:hyperlink r:id="rId4961"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962" w:anchor="n142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8AD6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5" w:name="n7171"/>
      <w:bookmarkEnd w:id="9035"/>
      <w:r w:rsidRPr="008B264B">
        <w:rPr>
          <w:rFonts w:ascii="Times New Roman" w:eastAsia="Times New Roman" w:hAnsi="Times New Roman" w:cs="Times New Roman"/>
          <w:color w:val="000000"/>
          <w:sz w:val="24"/>
          <w:szCs w:val="24"/>
          <w:lang/>
        </w:rPr>
        <w:t>296.3. Платники єдиного податку третьої групи подають до контролюючого органу податкову декларацію платника єдиного податку у строки, встановлені для квартального податкового (звітного) періоду.</w:t>
      </w:r>
    </w:p>
    <w:p w14:paraId="6A480A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6" w:name="n7172"/>
      <w:bookmarkEnd w:id="9036"/>
      <w:r w:rsidRPr="008B264B">
        <w:rPr>
          <w:rFonts w:ascii="Times New Roman" w:eastAsia="Times New Roman" w:hAnsi="Times New Roman" w:cs="Times New Roman"/>
          <w:i/>
          <w:iCs/>
          <w:color w:val="000000"/>
          <w:sz w:val="24"/>
          <w:szCs w:val="24"/>
          <w:lang/>
        </w:rPr>
        <w:t>{Пункт 296.3 статті 296 із змінами, внесеними згідно із Законами </w:t>
      </w:r>
      <w:hyperlink r:id="rId4963" w:anchor="n33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96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965" w:anchor="n160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C929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7" w:name="n7173"/>
      <w:bookmarkEnd w:id="9037"/>
      <w:r w:rsidRPr="008B264B">
        <w:rPr>
          <w:rFonts w:ascii="Times New Roman" w:eastAsia="Times New Roman" w:hAnsi="Times New Roman" w:cs="Times New Roman"/>
          <w:color w:val="000000"/>
          <w:sz w:val="24"/>
          <w:szCs w:val="24"/>
          <w:lang/>
        </w:rPr>
        <w:t>296.4. Податкова декларація подається до контролюючого органу за місцем податкової адреси.</w:t>
      </w:r>
    </w:p>
    <w:p w14:paraId="085C0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8" w:name="n7174"/>
      <w:bookmarkEnd w:id="9038"/>
      <w:r w:rsidRPr="008B264B">
        <w:rPr>
          <w:rFonts w:ascii="Times New Roman" w:eastAsia="Times New Roman" w:hAnsi="Times New Roman" w:cs="Times New Roman"/>
          <w:color w:val="000000"/>
          <w:sz w:val="24"/>
          <w:szCs w:val="24"/>
          <w:lang/>
        </w:rPr>
        <w:t>296.5. Отримані протягом податкового (звітного) періоду доходи, що перевищують обсяги доходів, встановлених </w:t>
      </w:r>
      <w:hyperlink r:id="rId4966" w:anchor="n6950" w:history="1">
        <w:r w:rsidRPr="008B264B">
          <w:rPr>
            <w:rFonts w:ascii="Times New Roman" w:eastAsia="Times New Roman" w:hAnsi="Times New Roman" w:cs="Times New Roman"/>
            <w:color w:val="0000FF"/>
            <w:sz w:val="24"/>
            <w:szCs w:val="24"/>
            <w:u w:val="single"/>
            <w:lang/>
          </w:rPr>
          <w:t>пунктом 291.4</w:t>
        </w:r>
      </w:hyperlink>
      <w:r w:rsidRPr="008B264B">
        <w:rPr>
          <w:rFonts w:ascii="Times New Roman" w:eastAsia="Times New Roman" w:hAnsi="Times New Roman" w:cs="Times New Roman"/>
          <w:color w:val="000000"/>
          <w:sz w:val="24"/>
          <w:szCs w:val="24"/>
          <w:lang/>
        </w:rPr>
        <w:t> статті 291 цього Кодексу, відображаються платниками єдиного податку в податковій декларації з урахуванням особливостей, визначених підпунктами 296.5.1-296.5.5 цієї статті.</w:t>
      </w:r>
    </w:p>
    <w:p w14:paraId="4D8A56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39" w:name="n7175"/>
      <w:bookmarkEnd w:id="9039"/>
      <w:r w:rsidRPr="008B264B">
        <w:rPr>
          <w:rFonts w:ascii="Times New Roman" w:eastAsia="Times New Roman" w:hAnsi="Times New Roman" w:cs="Times New Roman"/>
          <w:color w:val="000000"/>
          <w:sz w:val="24"/>
          <w:szCs w:val="24"/>
          <w:lang/>
        </w:rPr>
        <w:t>296.5.1. Платники єдиного податку першої та другої груп подають до контролюючого органу податкову декларацію у строки, встановлені для квартального податкового (звітного) періоду, у разі перевищення протягом року обсягу доходу, визначеного у </w:t>
      </w:r>
      <w:hyperlink r:id="rId4967" w:anchor="n6950" w:history="1">
        <w:r w:rsidRPr="008B264B">
          <w:rPr>
            <w:rFonts w:ascii="Times New Roman" w:eastAsia="Times New Roman" w:hAnsi="Times New Roman" w:cs="Times New Roman"/>
            <w:color w:val="0000FF"/>
            <w:sz w:val="24"/>
            <w:szCs w:val="24"/>
            <w:u w:val="single"/>
            <w:lang/>
          </w:rPr>
          <w:t>пункті 291.4 статті 291</w:t>
        </w:r>
      </w:hyperlink>
      <w:r w:rsidRPr="008B264B">
        <w:rPr>
          <w:rFonts w:ascii="Times New Roman" w:eastAsia="Times New Roman" w:hAnsi="Times New Roman" w:cs="Times New Roman"/>
          <w:color w:val="000000"/>
          <w:sz w:val="24"/>
          <w:szCs w:val="24"/>
          <w:lang/>
        </w:rPr>
        <w:t> цього Кодексу, або самостійного прийняття рішення про перехід на сплату податку за ставками, встановленими для платників єдиного податку другої або третьої (фізичні особи - підприємці) груп, або відмови від застосування спрощеної системи оподаткування у зв’язку з переходом на сплату інших податків і зборів, визначених цим Кодексом.</w:t>
      </w:r>
    </w:p>
    <w:p w14:paraId="4F2095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0" w:name="n7176"/>
      <w:bookmarkEnd w:id="9040"/>
      <w:r w:rsidRPr="008B264B">
        <w:rPr>
          <w:rFonts w:ascii="Times New Roman" w:eastAsia="Times New Roman" w:hAnsi="Times New Roman" w:cs="Times New Roman"/>
          <w:i/>
          <w:iCs/>
          <w:color w:val="000000"/>
          <w:sz w:val="24"/>
          <w:szCs w:val="24"/>
          <w:lang/>
        </w:rPr>
        <w:t>{Абзац перший підпункту 296.5.1 пункту 296.5 статті 296 із змінами, внесеними згідно із Законами </w:t>
      </w:r>
      <w:hyperlink r:id="rId4968" w:anchor="n33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96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4970" w:anchor="n160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971" w:anchor="n142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12C1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1" w:name="n7177"/>
      <w:bookmarkEnd w:id="9041"/>
      <w:r w:rsidRPr="008B264B">
        <w:rPr>
          <w:rFonts w:ascii="Times New Roman" w:eastAsia="Times New Roman" w:hAnsi="Times New Roman" w:cs="Times New Roman"/>
          <w:color w:val="000000"/>
          <w:sz w:val="24"/>
          <w:szCs w:val="24"/>
          <w:lang/>
        </w:rPr>
        <w:t>При цьому у податковій декларації окремо відображаються обсяг доходу, оподаткований за ставками, визначеними для платників єдиного податку першої та другої груп, обсяг доходу, оподаткований за ставкою 15 відсотків, обсяг доходу, оподаткований за новою ставкою єдиного податку, обраною згідно з умовами, визначеними цієї главою, авансові внески, встановлені </w:t>
      </w:r>
      <w:hyperlink r:id="rId4972" w:anchor="n7146" w:history="1">
        <w:r w:rsidRPr="008B264B">
          <w:rPr>
            <w:rFonts w:ascii="Times New Roman" w:eastAsia="Times New Roman" w:hAnsi="Times New Roman" w:cs="Times New Roman"/>
            <w:color w:val="0000FF"/>
            <w:sz w:val="24"/>
            <w:szCs w:val="24"/>
            <w:u w:val="single"/>
            <w:lang/>
          </w:rPr>
          <w:t>пунктом 295.1</w:t>
        </w:r>
      </w:hyperlink>
      <w:r w:rsidRPr="008B264B">
        <w:rPr>
          <w:rFonts w:ascii="Times New Roman" w:eastAsia="Times New Roman" w:hAnsi="Times New Roman" w:cs="Times New Roman"/>
          <w:color w:val="000000"/>
          <w:sz w:val="24"/>
          <w:szCs w:val="24"/>
          <w:lang/>
        </w:rPr>
        <w:t> статті 295 цього Кодексу.</w:t>
      </w:r>
    </w:p>
    <w:p w14:paraId="5AA8AC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2" w:name="n7178"/>
      <w:bookmarkEnd w:id="9042"/>
      <w:r w:rsidRPr="008B264B">
        <w:rPr>
          <w:rFonts w:ascii="Times New Roman" w:eastAsia="Times New Roman" w:hAnsi="Times New Roman" w:cs="Times New Roman"/>
          <w:i/>
          <w:iCs/>
          <w:color w:val="000000"/>
          <w:sz w:val="24"/>
          <w:szCs w:val="24"/>
          <w:lang/>
        </w:rPr>
        <w:t>{Абзац другий підпункту 296.5.1 пункту 296.5 статті 296 із змінами, внесеними згідно із Законом </w:t>
      </w:r>
      <w:hyperlink r:id="rId497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13EF71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3" w:name="n7179"/>
      <w:bookmarkEnd w:id="9043"/>
      <w:r w:rsidRPr="008B264B">
        <w:rPr>
          <w:rFonts w:ascii="Times New Roman" w:eastAsia="Times New Roman" w:hAnsi="Times New Roman" w:cs="Times New Roman"/>
          <w:color w:val="000000"/>
          <w:sz w:val="24"/>
          <w:szCs w:val="24"/>
          <w:lang/>
        </w:rPr>
        <w:t>Подання податкової декларації у строки, встановлені для квартального податкового (звітного) періоду, звільняє таких платників від обов'язку подання податкової декларації у строк, встановлений для річного податкового (звітного) періоду.</w:t>
      </w:r>
    </w:p>
    <w:p w14:paraId="63E475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4" w:name="n7180"/>
      <w:bookmarkEnd w:id="9044"/>
      <w:r w:rsidRPr="008B264B">
        <w:rPr>
          <w:rFonts w:ascii="Times New Roman" w:eastAsia="Times New Roman" w:hAnsi="Times New Roman" w:cs="Times New Roman"/>
          <w:color w:val="000000"/>
          <w:sz w:val="24"/>
          <w:szCs w:val="24"/>
          <w:lang/>
        </w:rPr>
        <w:t>296.5.2. Платники єдиного податку другої групи у податковій декларації окремо відображають:</w:t>
      </w:r>
    </w:p>
    <w:p w14:paraId="4E8942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5" w:name="n7181"/>
      <w:bookmarkEnd w:id="9045"/>
      <w:r w:rsidRPr="008B264B">
        <w:rPr>
          <w:rFonts w:ascii="Times New Roman" w:eastAsia="Times New Roman" w:hAnsi="Times New Roman" w:cs="Times New Roman"/>
          <w:color w:val="000000"/>
          <w:sz w:val="24"/>
          <w:szCs w:val="24"/>
          <w:lang/>
        </w:rPr>
        <w:lastRenderedPageBreak/>
        <w:t>1) щомісячні авансові внески, визначені пунктом 295.1 статті 295 цього Кодексу;</w:t>
      </w:r>
    </w:p>
    <w:p w14:paraId="02B6AB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6" w:name="n7182"/>
      <w:bookmarkEnd w:id="9046"/>
      <w:r w:rsidRPr="008B264B">
        <w:rPr>
          <w:rFonts w:ascii="Times New Roman" w:eastAsia="Times New Roman" w:hAnsi="Times New Roman" w:cs="Times New Roman"/>
          <w:color w:val="000000"/>
          <w:sz w:val="24"/>
          <w:szCs w:val="24"/>
          <w:lang/>
        </w:rPr>
        <w:t>2) обсяг доходу, оподаткований за кожною з обраних ними ставок єдиного податку;</w:t>
      </w:r>
    </w:p>
    <w:p w14:paraId="34D4DC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7" w:name="n7183"/>
      <w:bookmarkEnd w:id="9047"/>
      <w:r w:rsidRPr="008B264B">
        <w:rPr>
          <w:rFonts w:ascii="Times New Roman" w:eastAsia="Times New Roman" w:hAnsi="Times New Roman" w:cs="Times New Roman"/>
          <w:color w:val="000000"/>
          <w:sz w:val="24"/>
          <w:szCs w:val="24"/>
          <w:lang/>
        </w:rPr>
        <w:t>3) обсяг доходу, оподаткований за ставкою 15 відсотків (у разі перевищення обсягу доходу).</w:t>
      </w:r>
    </w:p>
    <w:p w14:paraId="652DCF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8" w:name="n7184"/>
      <w:bookmarkEnd w:id="9048"/>
      <w:r w:rsidRPr="008B264B">
        <w:rPr>
          <w:rFonts w:ascii="Times New Roman" w:eastAsia="Times New Roman" w:hAnsi="Times New Roman" w:cs="Times New Roman"/>
          <w:color w:val="000000"/>
          <w:sz w:val="24"/>
          <w:szCs w:val="24"/>
          <w:lang/>
        </w:rPr>
        <w:t>296.5.3. Платники єдиного податку третьої групи (фізичні особи - підприємці) у податковій декларації окремо відображають:</w:t>
      </w:r>
    </w:p>
    <w:p w14:paraId="297824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49" w:name="n7185"/>
      <w:bookmarkEnd w:id="9049"/>
      <w:r w:rsidRPr="008B264B">
        <w:rPr>
          <w:rFonts w:ascii="Times New Roman" w:eastAsia="Times New Roman" w:hAnsi="Times New Roman" w:cs="Times New Roman"/>
          <w:i/>
          <w:iCs/>
          <w:color w:val="000000"/>
          <w:sz w:val="24"/>
          <w:szCs w:val="24"/>
          <w:lang/>
        </w:rPr>
        <w:t>{Абзац перший підпункту 296.5.3 пункту 296.5 статті 296 із змінами, внесеними згідно із Законами </w:t>
      </w:r>
      <w:hyperlink r:id="rId4974" w:anchor="n33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4975" w:anchor="n160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126EC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0" w:name="n7186"/>
      <w:bookmarkEnd w:id="9050"/>
      <w:r w:rsidRPr="008B264B">
        <w:rPr>
          <w:rFonts w:ascii="Times New Roman" w:eastAsia="Times New Roman" w:hAnsi="Times New Roman" w:cs="Times New Roman"/>
          <w:color w:val="000000"/>
          <w:sz w:val="24"/>
          <w:szCs w:val="24"/>
          <w:lang/>
        </w:rPr>
        <w:t>1) обсяг доходу, оподаткований за кожною з обраних ними ставок єдиного податку;</w:t>
      </w:r>
    </w:p>
    <w:p w14:paraId="4D4757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1" w:name="n7187"/>
      <w:bookmarkEnd w:id="9051"/>
      <w:r w:rsidRPr="008B264B">
        <w:rPr>
          <w:rFonts w:ascii="Times New Roman" w:eastAsia="Times New Roman" w:hAnsi="Times New Roman" w:cs="Times New Roman"/>
          <w:color w:val="000000"/>
          <w:sz w:val="24"/>
          <w:szCs w:val="24"/>
          <w:lang/>
        </w:rPr>
        <w:t>2) обсяг доходу, оподаткований за ставкою 15 відсотків (у разі перевищення обсягу доходу).</w:t>
      </w:r>
    </w:p>
    <w:p w14:paraId="44F49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2" w:name="n7188"/>
      <w:bookmarkEnd w:id="9052"/>
      <w:r w:rsidRPr="008B264B">
        <w:rPr>
          <w:rFonts w:ascii="Times New Roman" w:eastAsia="Times New Roman" w:hAnsi="Times New Roman" w:cs="Times New Roman"/>
          <w:color w:val="000000"/>
          <w:sz w:val="24"/>
          <w:szCs w:val="24"/>
          <w:lang/>
        </w:rPr>
        <w:t>296.5.4. Платники єдиного податку третьої групи (юридичні особи) у податковій декларації окремо відображають:</w:t>
      </w:r>
    </w:p>
    <w:p w14:paraId="75A73A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3" w:name="n12053"/>
      <w:bookmarkEnd w:id="9053"/>
      <w:r w:rsidRPr="008B264B">
        <w:rPr>
          <w:rFonts w:ascii="Times New Roman" w:eastAsia="Times New Roman" w:hAnsi="Times New Roman" w:cs="Times New Roman"/>
          <w:i/>
          <w:iCs/>
          <w:color w:val="000000"/>
          <w:sz w:val="24"/>
          <w:szCs w:val="24"/>
          <w:lang/>
        </w:rPr>
        <w:t>{Абзац перший підпункту 296.5.4 пункту 296.5 статті 296 із змінами, внесеними згідно із Законом </w:t>
      </w:r>
      <w:hyperlink r:id="rId4976" w:anchor="n160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842B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4" w:name="n7189"/>
      <w:bookmarkEnd w:id="9054"/>
      <w:r w:rsidRPr="008B264B">
        <w:rPr>
          <w:rFonts w:ascii="Times New Roman" w:eastAsia="Times New Roman" w:hAnsi="Times New Roman" w:cs="Times New Roman"/>
          <w:color w:val="000000"/>
          <w:sz w:val="24"/>
          <w:szCs w:val="24"/>
          <w:lang/>
        </w:rPr>
        <w:t>1) обсяг доходу, що оподаткований за відповідною ставкою єдиного податку, встановленою для таких платників </w:t>
      </w:r>
      <w:hyperlink r:id="rId4977" w:anchor="n7083" w:history="1">
        <w:r w:rsidRPr="008B264B">
          <w:rPr>
            <w:rFonts w:ascii="Times New Roman" w:eastAsia="Times New Roman" w:hAnsi="Times New Roman" w:cs="Times New Roman"/>
            <w:color w:val="0000FF"/>
            <w:sz w:val="24"/>
            <w:szCs w:val="24"/>
            <w:u w:val="single"/>
            <w:lang/>
          </w:rPr>
          <w:t>пунктом 293.3</w:t>
        </w:r>
      </w:hyperlink>
      <w:r w:rsidRPr="008B264B">
        <w:rPr>
          <w:rFonts w:ascii="Times New Roman" w:eastAsia="Times New Roman" w:hAnsi="Times New Roman" w:cs="Times New Roman"/>
          <w:color w:val="000000"/>
          <w:sz w:val="24"/>
          <w:szCs w:val="24"/>
          <w:lang/>
        </w:rPr>
        <w:t> статті 293 цього Кодексу;</w:t>
      </w:r>
    </w:p>
    <w:p w14:paraId="089480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5" w:name="n7190"/>
      <w:bookmarkEnd w:id="9055"/>
      <w:r w:rsidRPr="008B264B">
        <w:rPr>
          <w:rFonts w:ascii="Times New Roman" w:eastAsia="Times New Roman" w:hAnsi="Times New Roman" w:cs="Times New Roman"/>
          <w:color w:val="000000"/>
          <w:sz w:val="24"/>
          <w:szCs w:val="24"/>
          <w:lang/>
        </w:rPr>
        <w:t>2) обсяг доходу, що оподаткований за подвійною ставкою єдиного податку, встановленою для таких платників пунктом 293.3 статті 293 цього Кодексу (у разі перевищення обсягу доходу).</w:t>
      </w:r>
    </w:p>
    <w:p w14:paraId="440AE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6" w:name="n7191"/>
      <w:bookmarkEnd w:id="9056"/>
      <w:r w:rsidRPr="008B264B">
        <w:rPr>
          <w:rFonts w:ascii="Times New Roman" w:eastAsia="Times New Roman" w:hAnsi="Times New Roman" w:cs="Times New Roman"/>
          <w:i/>
          <w:iCs/>
          <w:color w:val="000000"/>
          <w:sz w:val="24"/>
          <w:szCs w:val="24"/>
          <w:lang/>
        </w:rPr>
        <w:t>{Підпункт 296.5.4 пункту 296.5 статті 296 в редакції Закону </w:t>
      </w:r>
      <w:hyperlink r:id="rId4978" w:anchor="n33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12010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7" w:name="n7192"/>
      <w:bookmarkEnd w:id="9057"/>
      <w:r w:rsidRPr="008B264B">
        <w:rPr>
          <w:rFonts w:ascii="Times New Roman" w:eastAsia="Times New Roman" w:hAnsi="Times New Roman" w:cs="Times New Roman"/>
          <w:color w:val="000000"/>
          <w:sz w:val="24"/>
          <w:szCs w:val="24"/>
          <w:lang/>
        </w:rPr>
        <w:t>296.5.5. У разі застосування іншого способу розрахунків, ніж зазначений у цій главі, здійснення видів діяльності, які не дають права застосовувати спрощену систему оподаткування, провадження діяльності, не зазначеної у реєстрі платників єдиного податку першої і другої груп, платники єдиного податку в податковій декларації додатково відображають окремо доходи, отримані від здійснення таких операцій.</w:t>
      </w:r>
    </w:p>
    <w:p w14:paraId="762F26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8" w:name="n9570"/>
      <w:bookmarkEnd w:id="9058"/>
      <w:r w:rsidRPr="008B264B">
        <w:rPr>
          <w:rFonts w:ascii="Times New Roman" w:eastAsia="Times New Roman" w:hAnsi="Times New Roman" w:cs="Times New Roman"/>
          <w:i/>
          <w:iCs/>
          <w:color w:val="000000"/>
          <w:sz w:val="24"/>
          <w:szCs w:val="24"/>
          <w:lang/>
        </w:rPr>
        <w:t>{Підпункт 296.5.5 пункту 296.5 статті 296 із змінами, внесеними згідно із Законом </w:t>
      </w:r>
      <w:hyperlink r:id="rId4979" w:anchor="n16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9DAA4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59" w:name="n7193"/>
      <w:bookmarkEnd w:id="9059"/>
      <w:r w:rsidRPr="008B264B">
        <w:rPr>
          <w:rFonts w:ascii="Times New Roman" w:eastAsia="Times New Roman" w:hAnsi="Times New Roman" w:cs="Times New Roman"/>
          <w:color w:val="000000"/>
          <w:sz w:val="24"/>
          <w:szCs w:val="24"/>
          <w:lang/>
        </w:rPr>
        <w:t>296.6. Сума перевищення обсягу доходу відображається у податковій декларації за податковий (звітний) період, у якому відбулося таке перевищення.</w:t>
      </w:r>
    </w:p>
    <w:p w14:paraId="23D7B2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0" w:name="n7194"/>
      <w:bookmarkEnd w:id="9060"/>
      <w:r w:rsidRPr="008B264B">
        <w:rPr>
          <w:rFonts w:ascii="Times New Roman" w:eastAsia="Times New Roman" w:hAnsi="Times New Roman" w:cs="Times New Roman"/>
          <w:color w:val="000000"/>
          <w:sz w:val="24"/>
          <w:szCs w:val="24"/>
          <w:lang/>
        </w:rPr>
        <w:t>При цьому отримана сума перевищення доходу, встановленого для платників єдиного податку першої і другої груп, не включається до обсягу доходу, з якого сплачується наступна обрана ставка такими платниками єдиного податку.</w:t>
      </w:r>
    </w:p>
    <w:p w14:paraId="24E98A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1" w:name="n7195"/>
      <w:bookmarkEnd w:id="9061"/>
      <w:r w:rsidRPr="008B264B">
        <w:rPr>
          <w:rFonts w:ascii="Times New Roman" w:eastAsia="Times New Roman" w:hAnsi="Times New Roman" w:cs="Times New Roman"/>
          <w:color w:val="000000"/>
          <w:sz w:val="24"/>
          <w:szCs w:val="24"/>
          <w:lang/>
        </w:rPr>
        <w:t>296.7. Податкова декларація складається наростаючим підсумком з урахуванням норм пунктів 296.5 і 296.6 цієї статті. Уточнююча податкова декларація подається у порядку, встановленому цим Кодексом.</w:t>
      </w:r>
    </w:p>
    <w:p w14:paraId="2E82F5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2" w:name="n7196"/>
      <w:bookmarkEnd w:id="9062"/>
      <w:r w:rsidRPr="008B264B">
        <w:rPr>
          <w:rFonts w:ascii="Times New Roman" w:eastAsia="Times New Roman" w:hAnsi="Times New Roman" w:cs="Times New Roman"/>
          <w:color w:val="000000"/>
          <w:sz w:val="24"/>
          <w:szCs w:val="24"/>
          <w:lang/>
        </w:rPr>
        <w:t>296.8. Платники єдиного податку для отримання довідки про доходи мають право подати до контролюючого органу податкову декларацію за інший, ніж квартальний (річний) податковий (звітний) період, що не звільняє такого платника податку від обов'язку подання податкової декларації у строк, встановлений для квартального (річного) податкового (звітного) періоду.</w:t>
      </w:r>
    </w:p>
    <w:p w14:paraId="71159A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3" w:name="n7197"/>
      <w:bookmarkEnd w:id="9063"/>
      <w:r w:rsidRPr="008B264B">
        <w:rPr>
          <w:rFonts w:ascii="Times New Roman" w:eastAsia="Times New Roman" w:hAnsi="Times New Roman" w:cs="Times New Roman"/>
          <w:color w:val="000000"/>
          <w:sz w:val="24"/>
          <w:szCs w:val="24"/>
          <w:lang/>
        </w:rPr>
        <w:t>Така податкова декларація складається з урахуванням норм пунктів 296.5 і 296.6 цієї статті та не є підставою для нарахування та/або сплати податкового зобов'язання.</w:t>
      </w:r>
    </w:p>
    <w:p w14:paraId="64D89E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4" w:name="n7198"/>
      <w:bookmarkEnd w:id="9064"/>
      <w:r w:rsidRPr="008B264B">
        <w:rPr>
          <w:rFonts w:ascii="Times New Roman" w:eastAsia="Times New Roman" w:hAnsi="Times New Roman" w:cs="Times New Roman"/>
          <w:color w:val="000000"/>
          <w:sz w:val="24"/>
          <w:szCs w:val="24"/>
          <w:lang/>
        </w:rPr>
        <w:t>296.9. </w:t>
      </w:r>
      <w:hyperlink r:id="rId4980" w:tgtFrame="_blank" w:history="1">
        <w:r w:rsidRPr="008B264B">
          <w:rPr>
            <w:rFonts w:ascii="Times New Roman" w:eastAsia="Times New Roman" w:hAnsi="Times New Roman" w:cs="Times New Roman"/>
            <w:color w:val="0000FF"/>
            <w:sz w:val="24"/>
            <w:szCs w:val="24"/>
            <w:u w:val="single"/>
            <w:lang/>
          </w:rPr>
          <w:t>Форми податкових декларацій</w:t>
        </w:r>
      </w:hyperlink>
      <w:r w:rsidRPr="008B264B">
        <w:rPr>
          <w:rFonts w:ascii="Times New Roman" w:eastAsia="Times New Roman" w:hAnsi="Times New Roman" w:cs="Times New Roman"/>
          <w:color w:val="000000"/>
          <w:sz w:val="24"/>
          <w:szCs w:val="24"/>
          <w:lang/>
        </w:rPr>
        <w:t> платника єдиного податку, визначених </w:t>
      </w:r>
      <w:hyperlink r:id="rId4981" w:anchor="n7167" w:history="1">
        <w:r w:rsidRPr="008B264B">
          <w:rPr>
            <w:rFonts w:ascii="Times New Roman" w:eastAsia="Times New Roman" w:hAnsi="Times New Roman" w:cs="Times New Roman"/>
            <w:color w:val="0000FF"/>
            <w:sz w:val="24"/>
            <w:szCs w:val="24"/>
            <w:u w:val="single"/>
            <w:lang/>
          </w:rPr>
          <w:t>пунктами 296.2</w:t>
        </w:r>
      </w:hyperlink>
      <w:r w:rsidRPr="008B264B">
        <w:rPr>
          <w:rFonts w:ascii="Times New Roman" w:eastAsia="Times New Roman" w:hAnsi="Times New Roman" w:cs="Times New Roman"/>
          <w:color w:val="000000"/>
          <w:sz w:val="24"/>
          <w:szCs w:val="24"/>
          <w:lang/>
        </w:rPr>
        <w:t> і </w:t>
      </w:r>
      <w:hyperlink r:id="rId4982" w:anchor="n7171" w:history="1">
        <w:r w:rsidRPr="008B264B">
          <w:rPr>
            <w:rFonts w:ascii="Times New Roman" w:eastAsia="Times New Roman" w:hAnsi="Times New Roman" w:cs="Times New Roman"/>
            <w:color w:val="0000FF"/>
            <w:sz w:val="24"/>
            <w:szCs w:val="24"/>
            <w:u w:val="single"/>
            <w:lang/>
          </w:rPr>
          <w:t>296.3</w:t>
        </w:r>
      </w:hyperlink>
      <w:r w:rsidRPr="008B264B">
        <w:rPr>
          <w:rFonts w:ascii="Times New Roman" w:eastAsia="Times New Roman" w:hAnsi="Times New Roman" w:cs="Times New Roman"/>
          <w:color w:val="000000"/>
          <w:sz w:val="24"/>
          <w:szCs w:val="24"/>
          <w:lang/>
        </w:rPr>
        <w:t> цієї статті, затверджуються в порядку, встановленому статтею 46 цього Кодексу.</w:t>
      </w:r>
    </w:p>
    <w:p w14:paraId="6537E5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5" w:name="n7199"/>
      <w:bookmarkEnd w:id="9065"/>
      <w:r w:rsidRPr="008B264B">
        <w:rPr>
          <w:rFonts w:ascii="Times New Roman" w:eastAsia="Times New Roman" w:hAnsi="Times New Roman" w:cs="Times New Roman"/>
          <w:color w:val="000000"/>
          <w:sz w:val="24"/>
          <w:szCs w:val="24"/>
          <w:lang/>
        </w:rPr>
        <w:t>296.10. Реєстратори розрахункових операцій не застосовуються платниками єдиного податку:</w:t>
      </w:r>
    </w:p>
    <w:p w14:paraId="2C5B2E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6" w:name="n12373"/>
      <w:bookmarkEnd w:id="9066"/>
      <w:r w:rsidRPr="008B264B">
        <w:rPr>
          <w:rFonts w:ascii="Times New Roman" w:eastAsia="Times New Roman" w:hAnsi="Times New Roman" w:cs="Times New Roman"/>
          <w:color w:val="000000"/>
          <w:sz w:val="24"/>
          <w:szCs w:val="24"/>
          <w:lang/>
        </w:rPr>
        <w:lastRenderedPageBreak/>
        <w:t>першої групи;</w:t>
      </w:r>
    </w:p>
    <w:p w14:paraId="410D9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7" w:name="n12374"/>
      <w:bookmarkEnd w:id="9067"/>
      <w:r w:rsidRPr="008B264B">
        <w:rPr>
          <w:rFonts w:ascii="Times New Roman" w:eastAsia="Times New Roman" w:hAnsi="Times New Roman" w:cs="Times New Roman"/>
          <w:color w:val="000000"/>
          <w:sz w:val="24"/>
          <w:szCs w:val="24"/>
          <w:lang/>
        </w:rPr>
        <w:t>другої - четвертої груп (фізичні особи - підприємці) незалежно від обраного виду діяльності, обсяг доходу яких протягом календарного року не перевищує 1000000 гривень. У разі перевищення в календарному році обсягу доходу понад 1000000 гривень застосування реєстратора розрахункових операцій для такого платника єдиного податку є обов’язковим. Застосування реєстратора розрахункових операцій розпочинається з першого числа першого місяця кварталу, наступного за виникненням такого перевищення, та продовжується у всіх наступних податкових періодах протягом реєстрації суб’єкта господарювання як платника єдиного податку.</w:t>
      </w:r>
    </w:p>
    <w:p w14:paraId="41F83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8" w:name="n14409"/>
      <w:bookmarkEnd w:id="9068"/>
      <w:r w:rsidRPr="008B264B">
        <w:rPr>
          <w:rFonts w:ascii="Times New Roman" w:eastAsia="Times New Roman" w:hAnsi="Times New Roman" w:cs="Times New Roman"/>
          <w:i/>
          <w:iCs/>
          <w:color w:val="000000"/>
          <w:sz w:val="24"/>
          <w:szCs w:val="24"/>
          <w:lang/>
        </w:rPr>
        <w:t>{Абзац третій пункту 296.10 статті 296 із змінами, внесеними згідно із Законами </w:t>
      </w:r>
      <w:hyperlink r:id="rId4983" w:anchor="n142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4984" w:anchor="n42"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6ACCA3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69" w:name="n13377"/>
      <w:bookmarkEnd w:id="9069"/>
      <w:r w:rsidRPr="008B264B">
        <w:rPr>
          <w:rFonts w:ascii="Times New Roman" w:eastAsia="Times New Roman" w:hAnsi="Times New Roman" w:cs="Times New Roman"/>
          <w:color w:val="000000"/>
          <w:sz w:val="24"/>
          <w:szCs w:val="24"/>
          <w:lang/>
        </w:rPr>
        <w:t>Норми цього пункту не поширюються на платників єдиного податку, які здійснюють реалізацію технічно складних побутових товарів, що підлягають гарантійному ремонту, а також лікарських засобів та виробів медичного призначення.</w:t>
      </w:r>
    </w:p>
    <w:p w14:paraId="47A5EE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0" w:name="n13376"/>
      <w:bookmarkEnd w:id="9070"/>
      <w:r w:rsidRPr="008B264B">
        <w:rPr>
          <w:rFonts w:ascii="Times New Roman" w:eastAsia="Times New Roman" w:hAnsi="Times New Roman" w:cs="Times New Roman"/>
          <w:i/>
          <w:iCs/>
          <w:color w:val="000000"/>
          <w:sz w:val="24"/>
          <w:szCs w:val="24"/>
          <w:lang/>
        </w:rPr>
        <w:t>{Пункт 296.10 статті 296 доповнено абзацом четвертим згідно із Законами </w:t>
      </w:r>
      <w:hyperlink r:id="rId4985" w:anchor="n14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86" w:anchor="n660"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3BA97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1" w:name="n12305"/>
      <w:bookmarkEnd w:id="9071"/>
      <w:r w:rsidRPr="008B264B">
        <w:rPr>
          <w:rFonts w:ascii="Times New Roman" w:eastAsia="Times New Roman" w:hAnsi="Times New Roman" w:cs="Times New Roman"/>
          <w:i/>
          <w:iCs/>
          <w:color w:val="000000"/>
          <w:sz w:val="24"/>
          <w:szCs w:val="24"/>
          <w:lang/>
        </w:rPr>
        <w:t>{Пункт 296.10 статті 296 в редакції Законів </w:t>
      </w:r>
      <w:hyperlink r:id="rId4987" w:anchor="n160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4988" w:anchor="n5" w:tgtFrame="_blank" w:history="1">
        <w:r w:rsidRPr="008B264B">
          <w:rPr>
            <w:rFonts w:ascii="Times New Roman" w:eastAsia="Times New Roman" w:hAnsi="Times New Roman" w:cs="Times New Roman"/>
            <w:i/>
            <w:iCs/>
            <w:color w:val="0000FF"/>
            <w:sz w:val="24"/>
            <w:szCs w:val="24"/>
            <w:u w:val="single"/>
            <w:lang/>
          </w:rPr>
          <w:t>№ 569-VIII від 01.07.2015</w:t>
        </w:r>
      </w:hyperlink>
      <w:r w:rsidRPr="008B264B">
        <w:rPr>
          <w:rFonts w:ascii="Times New Roman" w:eastAsia="Times New Roman" w:hAnsi="Times New Roman" w:cs="Times New Roman"/>
          <w:i/>
          <w:iCs/>
          <w:color w:val="000000"/>
          <w:sz w:val="24"/>
          <w:szCs w:val="24"/>
          <w:lang/>
        </w:rPr>
        <w:t>}</w:t>
      </w:r>
    </w:p>
    <w:p w14:paraId="68552F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2" w:name="n12307"/>
      <w:bookmarkEnd w:id="9072"/>
      <w:r w:rsidRPr="008B264B">
        <w:rPr>
          <w:rFonts w:ascii="Times New Roman" w:eastAsia="Times New Roman" w:hAnsi="Times New Roman" w:cs="Times New Roman"/>
          <w:i/>
          <w:iCs/>
          <w:color w:val="000000"/>
          <w:sz w:val="24"/>
          <w:szCs w:val="24"/>
          <w:lang/>
        </w:rPr>
        <w:t>{Застосування реєстраторів розрахункових операцій для платників єдиного податку третьої групи набирає чинності з 1 липня 2015 року, застосування реєстраторів розрахункових операцій для платників єдиного податку другої групи набирає чинності  з 1 січня 2016 року - див. </w:t>
      </w:r>
      <w:hyperlink r:id="rId4989" w:anchor="n1851" w:tgtFrame="_blank" w:history="1">
        <w:r w:rsidRPr="008B264B">
          <w:rPr>
            <w:rFonts w:ascii="Times New Roman" w:eastAsia="Times New Roman" w:hAnsi="Times New Roman" w:cs="Times New Roman"/>
            <w:i/>
            <w:iCs/>
            <w:color w:val="0000FF"/>
            <w:sz w:val="24"/>
            <w:szCs w:val="24"/>
            <w:u w:val="single"/>
            <w:lang/>
          </w:rPr>
          <w:t>абзац шостий пункту 1 розділу II</w:t>
        </w:r>
      </w:hyperlink>
      <w:r w:rsidRPr="008B264B">
        <w:rPr>
          <w:rFonts w:ascii="Times New Roman" w:eastAsia="Times New Roman" w:hAnsi="Times New Roman" w:cs="Times New Roman"/>
          <w:i/>
          <w:iCs/>
          <w:color w:val="000000"/>
          <w:sz w:val="24"/>
          <w:szCs w:val="24"/>
          <w:lang/>
        </w:rPr>
        <w:t> Закону № 71-VIII від 28.12.2014}</w:t>
      </w:r>
    </w:p>
    <w:p w14:paraId="270FFA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3" w:name="n7200"/>
      <w:bookmarkEnd w:id="9073"/>
      <w:r w:rsidRPr="008B264B">
        <w:rPr>
          <w:rFonts w:ascii="Times New Roman" w:eastAsia="Times New Roman" w:hAnsi="Times New Roman" w:cs="Times New Roman"/>
          <w:b/>
          <w:bCs/>
          <w:color w:val="000000"/>
          <w:sz w:val="24"/>
          <w:szCs w:val="24"/>
          <w:lang/>
        </w:rPr>
        <w:t>Стаття 297.</w:t>
      </w:r>
      <w:r w:rsidRPr="008B264B">
        <w:rPr>
          <w:rFonts w:ascii="Times New Roman" w:eastAsia="Times New Roman" w:hAnsi="Times New Roman" w:cs="Times New Roman"/>
          <w:color w:val="000000"/>
          <w:sz w:val="24"/>
          <w:szCs w:val="24"/>
          <w:lang/>
        </w:rPr>
        <w:t> Особливості нарахування, сплати та подання звітності з окремих податків і зборів платниками єдиного податку</w:t>
      </w:r>
    </w:p>
    <w:p w14:paraId="2B1ABA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4" w:name="n7201"/>
      <w:bookmarkEnd w:id="9074"/>
      <w:r w:rsidRPr="008B264B">
        <w:rPr>
          <w:rFonts w:ascii="Times New Roman" w:eastAsia="Times New Roman" w:hAnsi="Times New Roman" w:cs="Times New Roman"/>
          <w:color w:val="000000"/>
          <w:sz w:val="24"/>
          <w:szCs w:val="24"/>
          <w:lang/>
        </w:rPr>
        <w:t>297.1. Платники єдиного податку звільняються від обов'язку нарахування, сплати та подання податкової звітності з таких податків і зборів:</w:t>
      </w:r>
    </w:p>
    <w:p w14:paraId="3B7C4C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5" w:name="n7202"/>
      <w:bookmarkEnd w:id="9075"/>
      <w:r w:rsidRPr="008B264B">
        <w:rPr>
          <w:rFonts w:ascii="Times New Roman" w:eastAsia="Times New Roman" w:hAnsi="Times New Roman" w:cs="Times New Roman"/>
          <w:color w:val="000000"/>
          <w:sz w:val="24"/>
          <w:szCs w:val="24"/>
          <w:lang/>
        </w:rPr>
        <w:t>1) податку на прибуток підприємств;</w:t>
      </w:r>
    </w:p>
    <w:p w14:paraId="2A84D7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6" w:name="n7203"/>
      <w:bookmarkEnd w:id="9076"/>
      <w:r w:rsidRPr="008B264B">
        <w:rPr>
          <w:rFonts w:ascii="Times New Roman" w:eastAsia="Times New Roman" w:hAnsi="Times New Roman" w:cs="Times New Roman"/>
          <w:color w:val="000000"/>
          <w:sz w:val="24"/>
          <w:szCs w:val="24"/>
          <w:lang/>
        </w:rPr>
        <w:t>2) податку на доходи фізичних осіб у частині доходів (об’єкта оподаткування), що отримані в результаті господарської діяльності платника єдиного податку першої - четвертої групи (фізичної особи) та оподатковані згідно з цією главою;</w:t>
      </w:r>
    </w:p>
    <w:p w14:paraId="455433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7" w:name="n12055"/>
      <w:bookmarkEnd w:id="9077"/>
      <w:r w:rsidRPr="008B264B">
        <w:rPr>
          <w:rFonts w:ascii="Times New Roman" w:eastAsia="Times New Roman" w:hAnsi="Times New Roman" w:cs="Times New Roman"/>
          <w:i/>
          <w:iCs/>
          <w:color w:val="000000"/>
          <w:sz w:val="24"/>
          <w:szCs w:val="24"/>
          <w:lang/>
        </w:rPr>
        <w:t>{Підпункт 2 пункту 297.1 статті 297 в редакції Закону </w:t>
      </w:r>
      <w:hyperlink r:id="rId4990" w:anchor="n16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4991" w:anchor="n44"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A35E8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8" w:name="n7204"/>
      <w:bookmarkEnd w:id="9078"/>
      <w:r w:rsidRPr="008B264B">
        <w:rPr>
          <w:rFonts w:ascii="Times New Roman" w:eastAsia="Times New Roman" w:hAnsi="Times New Roman" w:cs="Times New Roman"/>
          <w:color w:val="000000"/>
          <w:sz w:val="24"/>
          <w:szCs w:val="24"/>
          <w:lang/>
        </w:rPr>
        <w:t>3) податку на додану вартість з операцій з постачання товарів, робіт та послуг, місце постачання яких розташоване на митній території України, крім податку на додану вартість, що сплачується фізичними особами та юридичними особами, які обрали ставку єдиного податку, визначену </w:t>
      </w:r>
      <w:hyperlink r:id="rId4992" w:anchor="n12009" w:history="1">
        <w:r w:rsidRPr="008B264B">
          <w:rPr>
            <w:rFonts w:ascii="Times New Roman" w:eastAsia="Times New Roman" w:hAnsi="Times New Roman" w:cs="Times New Roman"/>
            <w:color w:val="0000FF"/>
            <w:sz w:val="24"/>
            <w:szCs w:val="24"/>
            <w:u w:val="single"/>
            <w:lang/>
          </w:rPr>
          <w:t>підпунктом 1 пункту 293.3</w:t>
        </w:r>
      </w:hyperlink>
      <w:r w:rsidRPr="008B264B">
        <w:rPr>
          <w:rFonts w:ascii="Times New Roman" w:eastAsia="Times New Roman" w:hAnsi="Times New Roman" w:cs="Times New Roman"/>
          <w:color w:val="000000"/>
          <w:sz w:val="24"/>
          <w:szCs w:val="24"/>
          <w:lang/>
        </w:rPr>
        <w:t> статті 293 цього Кодексу, а також що сплачується платниками єдиного податку четвертої групи;</w:t>
      </w:r>
    </w:p>
    <w:p w14:paraId="1120DF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79" w:name="n7205"/>
      <w:bookmarkEnd w:id="9079"/>
      <w:r w:rsidRPr="008B264B">
        <w:rPr>
          <w:rFonts w:ascii="Times New Roman" w:eastAsia="Times New Roman" w:hAnsi="Times New Roman" w:cs="Times New Roman"/>
          <w:i/>
          <w:iCs/>
          <w:color w:val="000000"/>
          <w:sz w:val="24"/>
          <w:szCs w:val="24"/>
          <w:lang/>
        </w:rPr>
        <w:t>{Підпункт 3 пункту 297.1 статті 297 із змінами, внесеними згідно із Законом </w:t>
      </w:r>
      <w:hyperlink r:id="rId4993" w:anchor="n343"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4994" w:anchor="n16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53794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0" w:name="n7206"/>
      <w:bookmarkEnd w:id="9080"/>
      <w:r w:rsidRPr="008B264B">
        <w:rPr>
          <w:rFonts w:ascii="Times New Roman" w:eastAsia="Times New Roman" w:hAnsi="Times New Roman" w:cs="Times New Roman"/>
          <w:color w:val="000000"/>
          <w:sz w:val="24"/>
          <w:szCs w:val="24"/>
          <w:lang/>
        </w:rPr>
        <w:t>4) податку на майно (в частині земельного податку), крім земельного податку за земельні ділянки, що не використовуються платниками єдиного податку першої - третьої груп для провадження господарської діяльності та платниками єдиного податку четвертої групи для ведення сільськогосподарського товаровиробництва;</w:t>
      </w:r>
    </w:p>
    <w:p w14:paraId="3057D6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1" w:name="n12056"/>
      <w:bookmarkEnd w:id="9081"/>
      <w:r w:rsidRPr="008B264B">
        <w:rPr>
          <w:rFonts w:ascii="Times New Roman" w:eastAsia="Times New Roman" w:hAnsi="Times New Roman" w:cs="Times New Roman"/>
          <w:i/>
          <w:iCs/>
          <w:color w:val="000000"/>
          <w:sz w:val="24"/>
          <w:szCs w:val="24"/>
          <w:lang/>
        </w:rPr>
        <w:t>{Підпункт 4 пункту 297.1 статті 297 в редакції Закону </w:t>
      </w:r>
      <w:hyperlink r:id="rId4995" w:anchor="n16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4D0C1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2" w:name="n7207"/>
      <w:bookmarkEnd w:id="9082"/>
      <w:r w:rsidRPr="008B264B">
        <w:rPr>
          <w:rFonts w:ascii="Times New Roman" w:eastAsia="Times New Roman" w:hAnsi="Times New Roman" w:cs="Times New Roman"/>
          <w:color w:val="000000"/>
          <w:sz w:val="24"/>
          <w:szCs w:val="24"/>
          <w:lang/>
        </w:rPr>
        <w:t>5) рентної плати за спеціальне використання води платниками єдиного податку четвертої групи.</w:t>
      </w:r>
    </w:p>
    <w:p w14:paraId="47A549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3" w:name="n12057"/>
      <w:bookmarkEnd w:id="9083"/>
      <w:r w:rsidRPr="008B264B">
        <w:rPr>
          <w:rFonts w:ascii="Times New Roman" w:eastAsia="Times New Roman" w:hAnsi="Times New Roman" w:cs="Times New Roman"/>
          <w:i/>
          <w:iCs/>
          <w:color w:val="000000"/>
          <w:sz w:val="24"/>
          <w:szCs w:val="24"/>
          <w:lang/>
        </w:rPr>
        <w:lastRenderedPageBreak/>
        <w:t>{Підпункт 5 пункту 297.1 статті 297 в редакції Закону </w:t>
      </w:r>
      <w:hyperlink r:id="rId4996" w:anchor="n161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B0D04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4" w:name="n7208"/>
      <w:bookmarkEnd w:id="9084"/>
      <w:r w:rsidRPr="008B264B">
        <w:rPr>
          <w:rFonts w:ascii="Times New Roman" w:eastAsia="Times New Roman" w:hAnsi="Times New Roman" w:cs="Times New Roman"/>
          <w:i/>
          <w:iCs/>
          <w:color w:val="000000"/>
          <w:sz w:val="24"/>
          <w:szCs w:val="24"/>
          <w:lang/>
        </w:rPr>
        <w:t>{Підпункт 6 пункту 297.1 статті 297 виключено на підставі Закону </w:t>
      </w:r>
      <w:hyperlink r:id="rId4997" w:anchor="n161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D7869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5" w:name="n7209"/>
      <w:bookmarkEnd w:id="9085"/>
      <w:r w:rsidRPr="008B264B">
        <w:rPr>
          <w:rFonts w:ascii="Times New Roman" w:eastAsia="Times New Roman" w:hAnsi="Times New Roman" w:cs="Times New Roman"/>
          <w:color w:val="000000"/>
          <w:sz w:val="24"/>
          <w:szCs w:val="24"/>
          <w:lang/>
        </w:rPr>
        <w:t>297.2. Нарахування, сплата та подання звітності з податків і зборів інших, ніж зазначені у </w:t>
      </w:r>
      <w:hyperlink r:id="rId4998" w:anchor="n7201" w:history="1">
        <w:r w:rsidRPr="008B264B">
          <w:rPr>
            <w:rFonts w:ascii="Times New Roman" w:eastAsia="Times New Roman" w:hAnsi="Times New Roman" w:cs="Times New Roman"/>
            <w:color w:val="0000FF"/>
            <w:sz w:val="24"/>
            <w:szCs w:val="24"/>
            <w:u w:val="single"/>
            <w:lang/>
          </w:rPr>
          <w:t>пункті 297.1</w:t>
        </w:r>
      </w:hyperlink>
      <w:r w:rsidRPr="008B264B">
        <w:rPr>
          <w:rFonts w:ascii="Times New Roman" w:eastAsia="Times New Roman" w:hAnsi="Times New Roman" w:cs="Times New Roman"/>
          <w:color w:val="000000"/>
          <w:sz w:val="24"/>
          <w:szCs w:val="24"/>
          <w:lang/>
        </w:rPr>
        <w:t> цієї статті, здійснюються платниками єдиного податку в порядку, розмірах та у строки, встановлені цим Кодексом.</w:t>
      </w:r>
    </w:p>
    <w:p w14:paraId="7F84EB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6" w:name="n7210"/>
      <w:bookmarkEnd w:id="9086"/>
      <w:r w:rsidRPr="008B264B">
        <w:rPr>
          <w:rFonts w:ascii="Times New Roman" w:eastAsia="Times New Roman" w:hAnsi="Times New Roman" w:cs="Times New Roman"/>
          <w:i/>
          <w:iCs/>
          <w:color w:val="000000"/>
          <w:sz w:val="24"/>
          <w:szCs w:val="24"/>
          <w:lang/>
        </w:rPr>
        <w:t>{Абзац перший пункту 297.2 статті 297 із змінами, внесеними згідно із Законом </w:t>
      </w:r>
      <w:hyperlink r:id="rId4999" w:anchor="n44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95B2D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7" w:name="n7211"/>
      <w:bookmarkEnd w:id="9087"/>
      <w:r w:rsidRPr="008B264B">
        <w:rPr>
          <w:rFonts w:ascii="Times New Roman" w:eastAsia="Times New Roman" w:hAnsi="Times New Roman" w:cs="Times New Roman"/>
          <w:color w:val="000000"/>
          <w:sz w:val="24"/>
          <w:szCs w:val="24"/>
          <w:lang/>
        </w:rPr>
        <w:t>У разі ввезення товарів на митну територію України податки і збори та митні платежі сплачуються платником єдиного податку на загальних підставах відповідно до закону.</w:t>
      </w:r>
    </w:p>
    <w:p w14:paraId="29F40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8" w:name="n7212"/>
      <w:bookmarkEnd w:id="9088"/>
      <w:r w:rsidRPr="008B264B">
        <w:rPr>
          <w:rFonts w:ascii="Times New Roman" w:eastAsia="Times New Roman" w:hAnsi="Times New Roman" w:cs="Times New Roman"/>
          <w:color w:val="000000"/>
          <w:sz w:val="24"/>
          <w:szCs w:val="24"/>
          <w:lang/>
        </w:rPr>
        <w:t>297.3. Платник єдиного податку виконує передбачені цим Кодексом функції податкового агента у разі нарахування (виплати, надання) оподатковуваних податком на доходи фізичних осіб доходів на користь фізичної особи, яка перебуває з ним у трудових або цивільно-правових відносинах. Норми цього пункту не поширюються на фізичних осіб - підприємців - платників єдиного податку четвертої групи.</w:t>
      </w:r>
    </w:p>
    <w:p w14:paraId="128516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89" w:name="n15157"/>
      <w:bookmarkEnd w:id="9089"/>
      <w:r w:rsidRPr="008B264B">
        <w:rPr>
          <w:rFonts w:ascii="Times New Roman" w:eastAsia="Times New Roman" w:hAnsi="Times New Roman" w:cs="Times New Roman"/>
          <w:i/>
          <w:iCs/>
          <w:color w:val="000000"/>
          <w:sz w:val="24"/>
          <w:szCs w:val="24"/>
          <w:lang/>
        </w:rPr>
        <w:t>{Пункт 297.3 статті 297 із змінами, внесеними згідно із Законом</w:t>
      </w:r>
      <w:r w:rsidRPr="008B264B">
        <w:rPr>
          <w:rFonts w:ascii="Times New Roman" w:eastAsia="Times New Roman" w:hAnsi="Times New Roman" w:cs="Times New Roman"/>
          <w:color w:val="000000"/>
          <w:sz w:val="24"/>
          <w:szCs w:val="24"/>
          <w:lang/>
        </w:rPr>
        <w:t> </w:t>
      </w:r>
      <w:hyperlink r:id="rId5000" w:anchor="n45"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16B2D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0" w:name="n14411"/>
      <w:bookmarkEnd w:id="9090"/>
      <w:r w:rsidRPr="008B264B">
        <w:rPr>
          <w:rFonts w:ascii="Times New Roman" w:eastAsia="Times New Roman" w:hAnsi="Times New Roman" w:cs="Times New Roman"/>
          <w:color w:val="000000"/>
          <w:sz w:val="24"/>
          <w:szCs w:val="24"/>
          <w:lang/>
        </w:rPr>
        <w:t>297.4. Дивіденди, що виплачуються платниками єдиного податку третьої групи (юридичними особами) та четвертої групи (юридичними особами) власникам корпоративних прав (засновникам таких платників єдиного податку), оподатковуються за правилами, встановленими </w:t>
      </w:r>
      <w:hyperlink r:id="rId5001" w:anchor="n1075" w:history="1">
        <w:r w:rsidRPr="008B264B">
          <w:rPr>
            <w:rFonts w:ascii="Times New Roman" w:eastAsia="Times New Roman" w:hAnsi="Times New Roman" w:cs="Times New Roman"/>
            <w:color w:val="0000FF"/>
            <w:sz w:val="24"/>
            <w:szCs w:val="24"/>
            <w:u w:val="single"/>
            <w:lang/>
          </w:rPr>
          <w:t>розділами II</w:t>
        </w:r>
      </w:hyperlink>
      <w:r w:rsidRPr="008B264B">
        <w:rPr>
          <w:rFonts w:ascii="Times New Roman" w:eastAsia="Times New Roman" w:hAnsi="Times New Roman" w:cs="Times New Roman"/>
          <w:color w:val="000000"/>
          <w:sz w:val="24"/>
          <w:szCs w:val="24"/>
          <w:lang/>
        </w:rPr>
        <w:t> і </w:t>
      </w:r>
      <w:hyperlink r:id="rId5002" w:anchor="n3610" w:history="1">
        <w:r w:rsidRPr="008B264B">
          <w:rPr>
            <w:rFonts w:ascii="Times New Roman" w:eastAsia="Times New Roman" w:hAnsi="Times New Roman" w:cs="Times New Roman"/>
            <w:color w:val="0000FF"/>
            <w:sz w:val="24"/>
            <w:szCs w:val="24"/>
            <w:u w:val="single"/>
            <w:lang/>
          </w:rPr>
          <w:t>IV</w:t>
        </w:r>
      </w:hyperlink>
      <w:r w:rsidRPr="008B264B">
        <w:rPr>
          <w:rFonts w:ascii="Times New Roman" w:eastAsia="Times New Roman" w:hAnsi="Times New Roman" w:cs="Times New Roman"/>
          <w:color w:val="000000"/>
          <w:sz w:val="24"/>
          <w:szCs w:val="24"/>
          <w:lang/>
        </w:rPr>
        <w:t> цього Кодексу.</w:t>
      </w:r>
    </w:p>
    <w:p w14:paraId="6541E5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1" w:name="n14410"/>
      <w:bookmarkEnd w:id="9091"/>
      <w:r w:rsidRPr="008B264B">
        <w:rPr>
          <w:rFonts w:ascii="Times New Roman" w:eastAsia="Times New Roman" w:hAnsi="Times New Roman" w:cs="Times New Roman"/>
          <w:i/>
          <w:iCs/>
          <w:color w:val="000000"/>
          <w:sz w:val="24"/>
          <w:szCs w:val="24"/>
          <w:lang/>
        </w:rPr>
        <w:t>{Статтю 297 доповнено пунктом 297.4 згідно із Законом </w:t>
      </w:r>
      <w:hyperlink r:id="rId5003" w:anchor="n143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із змінами, внесеними згідно із Законом</w:t>
      </w:r>
      <w:r w:rsidRPr="008B264B">
        <w:rPr>
          <w:rFonts w:ascii="Times New Roman" w:eastAsia="Times New Roman" w:hAnsi="Times New Roman" w:cs="Times New Roman"/>
          <w:color w:val="000000"/>
          <w:sz w:val="24"/>
          <w:szCs w:val="24"/>
          <w:lang/>
        </w:rPr>
        <w:t> </w:t>
      </w:r>
      <w:hyperlink r:id="rId5004" w:anchor="n4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C0741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2" w:name="n14918"/>
      <w:bookmarkEnd w:id="9092"/>
      <w:r w:rsidRPr="008B264B">
        <w:rPr>
          <w:rFonts w:ascii="Times New Roman" w:eastAsia="Times New Roman" w:hAnsi="Times New Roman" w:cs="Times New Roman"/>
          <w:color w:val="000000"/>
          <w:sz w:val="24"/>
          <w:szCs w:val="24"/>
          <w:lang/>
        </w:rPr>
        <w:t>297.5. Платник єдиного податку, який здійснює на користь нерезидента - юридичної особи або уповноваженої ним особи (крім постійного представництва на території України) будь-які виплати з доходів із джерелом їх походження з України, отриманим таким нерезидентом, здійснює нарахування та сплату податку з доходів нерезидента в порядку, розмірі та у строки, встановлені </w:t>
      </w:r>
      <w:hyperlink r:id="rId5005"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2D6697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3" w:name="n14917"/>
      <w:bookmarkEnd w:id="9093"/>
      <w:r w:rsidRPr="008B264B">
        <w:rPr>
          <w:rFonts w:ascii="Times New Roman" w:eastAsia="Times New Roman" w:hAnsi="Times New Roman" w:cs="Times New Roman"/>
          <w:i/>
          <w:iCs/>
          <w:color w:val="000000"/>
          <w:sz w:val="24"/>
          <w:szCs w:val="24"/>
          <w:lang/>
        </w:rPr>
        <w:t>{Статтю 297 доповнено пунктом 297.5 згідно із Законом </w:t>
      </w:r>
      <w:hyperlink r:id="rId5006" w:anchor="n39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3C5F8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4" w:name="n7213"/>
      <w:bookmarkEnd w:id="9094"/>
      <w:r w:rsidRPr="008B264B">
        <w:rPr>
          <w:rFonts w:ascii="Times New Roman" w:eastAsia="Times New Roman" w:hAnsi="Times New Roman" w:cs="Times New Roman"/>
          <w:b/>
          <w:bCs/>
          <w:color w:val="000000"/>
          <w:sz w:val="24"/>
          <w:szCs w:val="24"/>
          <w:lang/>
        </w:rPr>
        <w:t>Стаття 298.</w:t>
      </w:r>
      <w:r w:rsidRPr="008B264B">
        <w:rPr>
          <w:rFonts w:ascii="Times New Roman" w:eastAsia="Times New Roman" w:hAnsi="Times New Roman" w:cs="Times New Roman"/>
          <w:color w:val="000000"/>
          <w:sz w:val="24"/>
          <w:szCs w:val="24"/>
          <w:lang/>
        </w:rPr>
        <w:t> Порядок обрання або переходу на спрощену систему оподаткування, або відмови від спрощеної системи оподаткування</w:t>
      </w:r>
    </w:p>
    <w:p w14:paraId="6CD276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5" w:name="n7214"/>
      <w:bookmarkEnd w:id="9095"/>
      <w:r w:rsidRPr="008B264B">
        <w:rPr>
          <w:rFonts w:ascii="Times New Roman" w:eastAsia="Times New Roman" w:hAnsi="Times New Roman" w:cs="Times New Roman"/>
          <w:color w:val="000000"/>
          <w:sz w:val="24"/>
          <w:szCs w:val="24"/>
          <w:lang/>
        </w:rPr>
        <w:t>298.1. Порядок обрання або переходу на спрощену систему оподаткування платниками єдиного податку першої - третьої груп здійснюється відповідно до підпунктів 298.1.1-298.1.4 цієї статті.</w:t>
      </w:r>
    </w:p>
    <w:p w14:paraId="6125CE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6" w:name="n12058"/>
      <w:bookmarkEnd w:id="9096"/>
      <w:r w:rsidRPr="008B264B">
        <w:rPr>
          <w:rFonts w:ascii="Times New Roman" w:eastAsia="Times New Roman" w:hAnsi="Times New Roman" w:cs="Times New Roman"/>
          <w:i/>
          <w:iCs/>
          <w:color w:val="000000"/>
          <w:sz w:val="24"/>
          <w:szCs w:val="24"/>
          <w:lang/>
        </w:rPr>
        <w:t>{Абзац перший пункту 298.1 статті 298 із змінами, внесеними згідно із Законом </w:t>
      </w:r>
      <w:hyperlink r:id="rId5007" w:anchor="n161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76A2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7" w:name="n7215"/>
      <w:bookmarkEnd w:id="9097"/>
      <w:r w:rsidRPr="008B264B">
        <w:rPr>
          <w:rFonts w:ascii="Times New Roman" w:eastAsia="Times New Roman" w:hAnsi="Times New Roman" w:cs="Times New Roman"/>
          <w:color w:val="000000"/>
          <w:sz w:val="24"/>
          <w:szCs w:val="24"/>
          <w:lang/>
        </w:rPr>
        <w:t>298.1.1. Для обрання або переходу на спрощену систему оподаткування суб'єкт господарювання подає до контролюючого органу заяву.</w:t>
      </w:r>
    </w:p>
    <w:p w14:paraId="1C34D4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8" w:name="n7216"/>
      <w:bookmarkEnd w:id="9098"/>
      <w:r w:rsidRPr="008B264B">
        <w:rPr>
          <w:rFonts w:ascii="Times New Roman" w:eastAsia="Times New Roman" w:hAnsi="Times New Roman" w:cs="Times New Roman"/>
          <w:color w:val="000000"/>
          <w:sz w:val="24"/>
          <w:szCs w:val="24"/>
          <w:lang/>
        </w:rPr>
        <w:t>Заява подається за вибором платника податків, якщо інше не передбачено цим Кодексом, в один з таких способів:</w:t>
      </w:r>
    </w:p>
    <w:p w14:paraId="31C14B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099" w:name="n7217"/>
      <w:bookmarkEnd w:id="9099"/>
      <w:r w:rsidRPr="008B264B">
        <w:rPr>
          <w:rFonts w:ascii="Times New Roman" w:eastAsia="Times New Roman" w:hAnsi="Times New Roman" w:cs="Times New Roman"/>
          <w:i/>
          <w:iCs/>
          <w:color w:val="000000"/>
          <w:sz w:val="24"/>
          <w:szCs w:val="24"/>
          <w:lang/>
        </w:rPr>
        <w:t>{Підпункт 298.1.1 пункту 298.1 статті 298 доповнено абзацом другим згідно із Законом </w:t>
      </w:r>
      <w:hyperlink r:id="rId5008"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в редакції Закону </w:t>
      </w:r>
      <w:hyperlink r:id="rId5009" w:anchor="n18"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w:t>
      </w:r>
    </w:p>
    <w:p w14:paraId="5F6E70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0" w:name="n7218"/>
      <w:bookmarkEnd w:id="9100"/>
      <w:r w:rsidRPr="008B264B">
        <w:rPr>
          <w:rFonts w:ascii="Times New Roman" w:eastAsia="Times New Roman" w:hAnsi="Times New Roman" w:cs="Times New Roman"/>
          <w:color w:val="000000"/>
          <w:sz w:val="24"/>
          <w:szCs w:val="24"/>
          <w:lang/>
        </w:rPr>
        <w:t>1) особисто платником податків або уповноваженою на це особою;</w:t>
      </w:r>
    </w:p>
    <w:p w14:paraId="2AE415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1" w:name="n7219"/>
      <w:bookmarkEnd w:id="9101"/>
      <w:r w:rsidRPr="008B264B">
        <w:rPr>
          <w:rFonts w:ascii="Times New Roman" w:eastAsia="Times New Roman" w:hAnsi="Times New Roman" w:cs="Times New Roman"/>
          <w:i/>
          <w:iCs/>
          <w:color w:val="000000"/>
          <w:sz w:val="24"/>
          <w:szCs w:val="24"/>
          <w:lang/>
        </w:rPr>
        <w:t>{Підпункт 298.1.1 пункту 298.1 статті 298 доповнено абзацом третім згідно із Законом </w:t>
      </w:r>
      <w:hyperlink r:id="rId5010"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0B1011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2" w:name="n7220"/>
      <w:bookmarkEnd w:id="9102"/>
      <w:r w:rsidRPr="008B264B">
        <w:rPr>
          <w:rFonts w:ascii="Times New Roman" w:eastAsia="Times New Roman" w:hAnsi="Times New Roman" w:cs="Times New Roman"/>
          <w:color w:val="000000"/>
          <w:sz w:val="24"/>
          <w:szCs w:val="24"/>
          <w:lang/>
        </w:rPr>
        <w:lastRenderedPageBreak/>
        <w:t>2) надсилається поштою з повідомленням про вручення та з описом вкладення;</w:t>
      </w:r>
    </w:p>
    <w:p w14:paraId="02818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3" w:name="n7221"/>
      <w:bookmarkEnd w:id="9103"/>
      <w:r w:rsidRPr="008B264B">
        <w:rPr>
          <w:rFonts w:ascii="Times New Roman" w:eastAsia="Times New Roman" w:hAnsi="Times New Roman" w:cs="Times New Roman"/>
          <w:i/>
          <w:iCs/>
          <w:color w:val="000000"/>
          <w:sz w:val="24"/>
          <w:szCs w:val="24"/>
          <w:lang/>
        </w:rPr>
        <w:t>{Підпункт 298.1.1 пункту 298.1 статті 298 доповнено абзацом четвертим згідно із Законом </w:t>
      </w:r>
      <w:hyperlink r:id="rId5011"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3F5040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4" w:name="n7222"/>
      <w:bookmarkEnd w:id="9104"/>
      <w:r w:rsidRPr="008B264B">
        <w:rPr>
          <w:rFonts w:ascii="Times New Roman" w:eastAsia="Times New Roman" w:hAnsi="Times New Roman" w:cs="Times New Roman"/>
          <w:color w:val="000000"/>
          <w:sz w:val="24"/>
          <w:szCs w:val="24"/>
          <w:lang/>
        </w:rPr>
        <w:t>3) засобами електронного зв'язку в електронній формі з дотриманням умови щодо реєстрації кваліфікованого електронного підпису підзвітних осіб у порядку, визначеному законодавством;</w:t>
      </w:r>
    </w:p>
    <w:p w14:paraId="04CAAC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5" w:name="n7223"/>
      <w:bookmarkEnd w:id="9105"/>
      <w:r w:rsidRPr="008B264B">
        <w:rPr>
          <w:rFonts w:ascii="Times New Roman" w:eastAsia="Times New Roman" w:hAnsi="Times New Roman" w:cs="Times New Roman"/>
          <w:i/>
          <w:iCs/>
          <w:color w:val="000000"/>
          <w:sz w:val="24"/>
          <w:szCs w:val="24"/>
          <w:lang/>
        </w:rPr>
        <w:t>{Підпункт 298.1.1 пункту 298.1 статті 298 доповнено абзацом п'ятим згідно із Законом </w:t>
      </w:r>
      <w:hyperlink r:id="rId501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13" w:anchor="n45"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6E555F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6" w:name="n9400"/>
      <w:bookmarkEnd w:id="9106"/>
      <w:r w:rsidRPr="008B264B">
        <w:rPr>
          <w:rFonts w:ascii="Times New Roman" w:eastAsia="Times New Roman" w:hAnsi="Times New Roman" w:cs="Times New Roman"/>
          <w:color w:val="000000"/>
          <w:sz w:val="24"/>
          <w:szCs w:val="24"/>
          <w:lang/>
        </w:rPr>
        <w:t>4) державному реєстратору як додаток до заяви про державну реєстрацію, що подається для проведення державної реєстрації юридичної особи або фізичної особи - підприємця з урахуванням вимог </w:t>
      </w:r>
      <w:hyperlink r:id="rId5014" w:anchor="n6972" w:history="1">
        <w:r w:rsidRPr="008B264B">
          <w:rPr>
            <w:rFonts w:ascii="Times New Roman" w:eastAsia="Times New Roman" w:hAnsi="Times New Roman" w:cs="Times New Roman"/>
            <w:color w:val="0000FF"/>
            <w:sz w:val="24"/>
            <w:szCs w:val="24"/>
            <w:u w:val="single"/>
            <w:lang/>
          </w:rPr>
          <w:t>пункту 291.5 статті 291</w:t>
        </w:r>
      </w:hyperlink>
      <w:r w:rsidRPr="008B264B">
        <w:rPr>
          <w:rFonts w:ascii="Times New Roman" w:eastAsia="Times New Roman" w:hAnsi="Times New Roman" w:cs="Times New Roman"/>
          <w:color w:val="000000"/>
          <w:sz w:val="24"/>
          <w:szCs w:val="24"/>
          <w:lang/>
        </w:rPr>
        <w:t> цього Кодексу. Електронна копія заяви, виготовлена шляхом сканування, передається державним реєстратором до контролюючого органу одночасно з відомостями з заяви про державну реєстрацію на проведення державної реєстрації юридичної особи або фізичної особи - підприємця згідно із </w:t>
      </w:r>
      <w:hyperlink r:id="rId5015"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державну реєстрацію юридичних осіб, фізичних осіб - підприємців та громадських формувань".</w:t>
      </w:r>
    </w:p>
    <w:p w14:paraId="5C347F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7" w:name="n9399"/>
      <w:bookmarkEnd w:id="9107"/>
      <w:r w:rsidRPr="008B264B">
        <w:rPr>
          <w:rFonts w:ascii="Times New Roman" w:eastAsia="Times New Roman" w:hAnsi="Times New Roman" w:cs="Times New Roman"/>
          <w:i/>
          <w:iCs/>
          <w:color w:val="000000"/>
          <w:sz w:val="24"/>
          <w:szCs w:val="24"/>
          <w:lang/>
        </w:rPr>
        <w:t>{Підпункт 298.1.1 пункту 298.1 статті 298 доповнено підпунктом 4 згідно із Законом </w:t>
      </w:r>
      <w:hyperlink r:id="rId5016" w:anchor="n13"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17" w:anchor="n143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4FEF8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8" w:name="n7224"/>
      <w:bookmarkEnd w:id="9108"/>
      <w:r w:rsidRPr="008B264B">
        <w:rPr>
          <w:rFonts w:ascii="Times New Roman" w:eastAsia="Times New Roman" w:hAnsi="Times New Roman" w:cs="Times New Roman"/>
          <w:color w:val="000000"/>
          <w:sz w:val="24"/>
          <w:szCs w:val="24"/>
          <w:lang/>
        </w:rPr>
        <w:t>298.1.2. Зареєстровані в установленому порядку фізичні особи - підприємці, які до закінчення місяця, в якому відбулася державна реєстрація, подали заяву щодо обрання спрощеної системи оподаткування та ставки єдиного податку, встановленої для першої або другої групи, вважаються платниками єдиного податку з першого числа місяця, наступного за місяцем, у якому відбулася державна реєстрація.</w:t>
      </w:r>
    </w:p>
    <w:p w14:paraId="247FC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09" w:name="n9571"/>
      <w:bookmarkEnd w:id="9109"/>
      <w:r w:rsidRPr="008B264B">
        <w:rPr>
          <w:rFonts w:ascii="Times New Roman" w:eastAsia="Times New Roman" w:hAnsi="Times New Roman" w:cs="Times New Roman"/>
          <w:i/>
          <w:iCs/>
          <w:color w:val="000000"/>
          <w:sz w:val="24"/>
          <w:szCs w:val="24"/>
          <w:lang/>
        </w:rPr>
        <w:t>{Абзац перший підпункту 298.1.2 пункту 298.1 статті 298 із змінами, внесеними згідно із Законом </w:t>
      </w:r>
      <w:hyperlink r:id="rId5018" w:anchor="n16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463DA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0" w:name="n7225"/>
      <w:bookmarkEnd w:id="9110"/>
      <w:r w:rsidRPr="008B264B">
        <w:rPr>
          <w:rFonts w:ascii="Times New Roman" w:eastAsia="Times New Roman" w:hAnsi="Times New Roman" w:cs="Times New Roman"/>
          <w:color w:val="000000"/>
          <w:sz w:val="24"/>
          <w:szCs w:val="24"/>
          <w:lang/>
        </w:rPr>
        <w:t>Зареєстровані в установленому законом порядку суб’єкти господарювання (новостворені), які протягом 10 днів з дня державної реєстрації подали заяву щодо обрання спрощеної системи оподаткування та ставки єдиного податку, встановленої для третьої групи, яка не передбачає сплату податку на додану вартість, вважаються платниками єдиного податку з дня їх державної реєстрації.</w:t>
      </w:r>
    </w:p>
    <w:p w14:paraId="15B993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1" w:name="n7226"/>
      <w:bookmarkEnd w:id="9111"/>
      <w:r w:rsidRPr="008B264B">
        <w:rPr>
          <w:rFonts w:ascii="Times New Roman" w:eastAsia="Times New Roman" w:hAnsi="Times New Roman" w:cs="Times New Roman"/>
          <w:i/>
          <w:iCs/>
          <w:color w:val="000000"/>
          <w:sz w:val="24"/>
          <w:szCs w:val="24"/>
          <w:lang/>
        </w:rPr>
        <w:t>{Абзац другий підпункту 298.1.2 пункту 298.1 статті 298 в редакції Закону </w:t>
      </w:r>
      <w:hyperlink r:id="rId5019" w:anchor="n34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20" w:anchor="n162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B5DBC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2" w:name="n7227"/>
      <w:bookmarkEnd w:id="9112"/>
      <w:r w:rsidRPr="008B264B">
        <w:rPr>
          <w:rFonts w:ascii="Times New Roman" w:eastAsia="Times New Roman" w:hAnsi="Times New Roman" w:cs="Times New Roman"/>
          <w:color w:val="000000"/>
          <w:sz w:val="24"/>
          <w:szCs w:val="24"/>
          <w:lang/>
        </w:rPr>
        <w:t>298.1.3. Суб'єкт господарювання, який утворюється в результаті реорганізації (крім перетворення) будь-якого платника податку, що має непогашені податкові зобов'язання чи податковий борг, які виникли до такої реорганізації, може бути зареєстрований як платник єдиного податку (шляхом подання не пізніше ніж за 15 календарних днів до початку наступного календарного кварталу заяви) з першого числа місяця, наступного за податковим (звітним) кварталом, у якому здійснено погашення таких податкових зобов'язань чи податкового боргу.</w:t>
      </w:r>
    </w:p>
    <w:p w14:paraId="2602F0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3" w:name="n7228"/>
      <w:bookmarkEnd w:id="9113"/>
      <w:r w:rsidRPr="008B264B">
        <w:rPr>
          <w:rFonts w:ascii="Times New Roman" w:eastAsia="Times New Roman" w:hAnsi="Times New Roman" w:cs="Times New Roman"/>
          <w:color w:val="000000"/>
          <w:sz w:val="24"/>
          <w:szCs w:val="24"/>
          <w:lang/>
        </w:rPr>
        <w:t>298.1.4. Суб'єкт господарювання, який є платником інших податків і зборів відповідно до норм цього Кодексу, може прийняти рішення про перехід на спрощену систему оподаткування шляхом подання заяви до контролюючого органу не пізніше ніж за 15 календарних днів до початку наступного календарного кварталу. Такий суб'єкт господарювання може здійснити перехід на спрощену систему оподаткування один раз протягом календарного року.</w:t>
      </w:r>
    </w:p>
    <w:p w14:paraId="59C0BD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4" w:name="n7229"/>
      <w:bookmarkEnd w:id="9114"/>
      <w:r w:rsidRPr="008B264B">
        <w:rPr>
          <w:rFonts w:ascii="Times New Roman" w:eastAsia="Times New Roman" w:hAnsi="Times New Roman" w:cs="Times New Roman"/>
          <w:i/>
          <w:iCs/>
          <w:color w:val="000000"/>
          <w:sz w:val="24"/>
          <w:szCs w:val="24"/>
          <w:lang/>
        </w:rPr>
        <w:t>{Абзац перший підпункту 298.1.4 пункту 298.1 статті 298 із змінами, внесеними згідно із Законом </w:t>
      </w:r>
      <w:hyperlink r:id="rId5021" w:anchor="n44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523B64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5" w:name="n7230"/>
      <w:bookmarkEnd w:id="9115"/>
      <w:r w:rsidRPr="008B264B">
        <w:rPr>
          <w:rFonts w:ascii="Times New Roman" w:eastAsia="Times New Roman" w:hAnsi="Times New Roman" w:cs="Times New Roman"/>
          <w:color w:val="000000"/>
          <w:sz w:val="24"/>
          <w:szCs w:val="24"/>
          <w:lang/>
        </w:rPr>
        <w:t>Перехід на спрощену систему оподаткування суб'єкта господарювання, зазначеного в абзаці першому цього підпункту, може бути здійснений за умови, якщо протягом календарного року, що передує періоду переходу на спрощену систему оподаткування, суб'єктом господарювання дотримано вимоги, встановлені в </w:t>
      </w:r>
      <w:hyperlink r:id="rId5022" w:anchor="n6950" w:history="1">
        <w:r w:rsidRPr="008B264B">
          <w:rPr>
            <w:rFonts w:ascii="Times New Roman" w:eastAsia="Times New Roman" w:hAnsi="Times New Roman" w:cs="Times New Roman"/>
            <w:color w:val="0000FF"/>
            <w:sz w:val="24"/>
            <w:szCs w:val="24"/>
            <w:u w:val="single"/>
            <w:lang/>
          </w:rPr>
          <w:t>пункті 291.4</w:t>
        </w:r>
      </w:hyperlink>
      <w:r w:rsidRPr="008B264B">
        <w:rPr>
          <w:rFonts w:ascii="Times New Roman" w:eastAsia="Times New Roman" w:hAnsi="Times New Roman" w:cs="Times New Roman"/>
          <w:color w:val="000000"/>
          <w:sz w:val="24"/>
          <w:szCs w:val="24"/>
          <w:lang/>
        </w:rPr>
        <w:t> статті 291 цього Кодексу.</w:t>
      </w:r>
    </w:p>
    <w:p w14:paraId="4B8E84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6" w:name="n7231"/>
      <w:bookmarkEnd w:id="9116"/>
      <w:r w:rsidRPr="008B264B">
        <w:rPr>
          <w:rFonts w:ascii="Times New Roman" w:eastAsia="Times New Roman" w:hAnsi="Times New Roman" w:cs="Times New Roman"/>
          <w:color w:val="000000"/>
          <w:sz w:val="24"/>
          <w:szCs w:val="24"/>
          <w:lang/>
        </w:rPr>
        <w:lastRenderedPageBreak/>
        <w:t>До поданої заяви додається розрахунок доходу за попередній календарний рік, який визначається з дотриманням вимог, встановлених цією главою.</w:t>
      </w:r>
    </w:p>
    <w:p w14:paraId="356D55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7" w:name="n7232"/>
      <w:bookmarkEnd w:id="9117"/>
      <w:r w:rsidRPr="008B264B">
        <w:rPr>
          <w:rFonts w:ascii="Times New Roman" w:eastAsia="Times New Roman" w:hAnsi="Times New Roman" w:cs="Times New Roman"/>
          <w:color w:val="000000"/>
          <w:sz w:val="24"/>
          <w:szCs w:val="24"/>
          <w:lang/>
        </w:rPr>
        <w:t>При цьому якщо суб'єкт господарювання протягом календарного року, що передує року обрання спрощеної системи оподаткування, самостійно прийняв рішення про припинення фізичної особи - підприємця, то при переході на спрощену систему оподаткування до розрахунку доходу за попередній календарний рік включається вся сума доходу, отриманого такою особою в результаті провадження господарської діяльності за такий попередній календарний рік.</w:t>
      </w:r>
    </w:p>
    <w:p w14:paraId="3E6845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8" w:name="n7233"/>
      <w:bookmarkEnd w:id="9118"/>
      <w:r w:rsidRPr="008B264B">
        <w:rPr>
          <w:rFonts w:ascii="Times New Roman" w:eastAsia="Times New Roman" w:hAnsi="Times New Roman" w:cs="Times New Roman"/>
          <w:color w:val="000000"/>
          <w:sz w:val="24"/>
          <w:szCs w:val="24"/>
          <w:lang/>
        </w:rPr>
        <w:t>Форма розрахунку доходу за попередній календарний рік, що передує року переходу на спрощену систему оподаткування, затверджується центральним органом виконавчої влади, що забезпечує формування та реалізує державну фінансову політику.</w:t>
      </w:r>
    </w:p>
    <w:p w14:paraId="41404B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19" w:name="n13462"/>
      <w:bookmarkEnd w:id="9119"/>
      <w:r w:rsidRPr="008B264B">
        <w:rPr>
          <w:rFonts w:ascii="Times New Roman" w:eastAsia="Times New Roman" w:hAnsi="Times New Roman" w:cs="Times New Roman"/>
          <w:i/>
          <w:iCs/>
          <w:color w:val="000000"/>
          <w:sz w:val="24"/>
          <w:szCs w:val="24"/>
          <w:lang/>
        </w:rPr>
        <w:t>{Абзац п'ятий підпункту 298.1.4 пункту 298.1 статті 298 із змінами, внесеними згідно із Законом </w:t>
      </w:r>
      <w:hyperlink r:id="rId502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8EC0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0" w:name="n7234"/>
      <w:bookmarkEnd w:id="9120"/>
      <w:r w:rsidRPr="008B264B">
        <w:rPr>
          <w:rFonts w:ascii="Times New Roman" w:eastAsia="Times New Roman" w:hAnsi="Times New Roman" w:cs="Times New Roman"/>
          <w:color w:val="000000"/>
          <w:sz w:val="24"/>
          <w:szCs w:val="24"/>
          <w:lang/>
        </w:rPr>
        <w:t>298.1.5. За умови дотримання платником єдиного податку вимог, встановлених цим Кодексом для обраної ним групи, такий платник може самостійно перейти на сплату єдиного податку, встановленого для інших груп платників єдиного податку, шляхом подання заяви до контролюючого органу не пізніше ніж за 15 календарних днів до початку наступного кварталу. При цьому у платника єдиного податку третьої групи, який є платником податку на додану вартість, анулюється реєстрація платника податку на додану вартість у порядку, встановленому цим Кодексом, у разі обрання ним першої або другої групи чи ставки єдиного податку, встановленої для третьої групи, яка включає податок на додану вартість до складу єдиного податку.</w:t>
      </w:r>
    </w:p>
    <w:p w14:paraId="317BB8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1" w:name="n7235"/>
      <w:bookmarkEnd w:id="9121"/>
      <w:r w:rsidRPr="008B264B">
        <w:rPr>
          <w:rFonts w:ascii="Times New Roman" w:eastAsia="Times New Roman" w:hAnsi="Times New Roman" w:cs="Times New Roman"/>
          <w:i/>
          <w:iCs/>
          <w:color w:val="000000"/>
          <w:sz w:val="24"/>
          <w:szCs w:val="24"/>
          <w:lang/>
        </w:rPr>
        <w:t>{Пункт 298.1 статті 298 доповнено підпунктом 298.1.5 згідно із Законом </w:t>
      </w:r>
      <w:hyperlink r:id="rId5024" w:anchor="n44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025" w:anchor="n34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026" w:anchor="n165"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w:t>
      </w:r>
      <w:hyperlink r:id="rId5027" w:anchor="n162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2743D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2" w:name="n7236"/>
      <w:bookmarkEnd w:id="9122"/>
      <w:r w:rsidRPr="008B264B">
        <w:rPr>
          <w:rFonts w:ascii="Times New Roman" w:eastAsia="Times New Roman" w:hAnsi="Times New Roman" w:cs="Times New Roman"/>
          <w:color w:val="000000"/>
          <w:sz w:val="24"/>
          <w:szCs w:val="24"/>
          <w:lang/>
        </w:rPr>
        <w:t>298.2. Відмова від спрощеної системи оподаткування платниками єдиного податку першої - третьої груп здійснюється в порядку, визначеному підпунктами 298.2.1-298.2.3 цієї статті.</w:t>
      </w:r>
    </w:p>
    <w:p w14:paraId="70734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3" w:name="n12059"/>
      <w:bookmarkEnd w:id="9123"/>
      <w:r w:rsidRPr="008B264B">
        <w:rPr>
          <w:rFonts w:ascii="Times New Roman" w:eastAsia="Times New Roman" w:hAnsi="Times New Roman" w:cs="Times New Roman"/>
          <w:i/>
          <w:iCs/>
          <w:color w:val="000000"/>
          <w:sz w:val="24"/>
          <w:szCs w:val="24"/>
          <w:lang/>
        </w:rPr>
        <w:t>{Абзац перший пункту 298.2 статті 298 із змінами, внесеними згідно із Законом </w:t>
      </w:r>
      <w:hyperlink r:id="rId5028" w:anchor="n162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1B4E3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4" w:name="n7237"/>
      <w:bookmarkEnd w:id="9124"/>
      <w:r w:rsidRPr="008B264B">
        <w:rPr>
          <w:rFonts w:ascii="Times New Roman" w:eastAsia="Times New Roman" w:hAnsi="Times New Roman" w:cs="Times New Roman"/>
          <w:color w:val="000000"/>
          <w:sz w:val="24"/>
          <w:szCs w:val="24"/>
          <w:lang/>
        </w:rPr>
        <w:t>298.2.1. Для відмови від спрощеної системи оподаткування суб'єкт господарювання не пізніше ніж за 10 календарних днів до початку нового календарного кварталу (року) подає до контролюючого органу заяву.</w:t>
      </w:r>
    </w:p>
    <w:p w14:paraId="639168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5" w:name="n7238"/>
      <w:bookmarkEnd w:id="9125"/>
      <w:r w:rsidRPr="008B264B">
        <w:rPr>
          <w:rFonts w:ascii="Times New Roman" w:eastAsia="Times New Roman" w:hAnsi="Times New Roman" w:cs="Times New Roman"/>
          <w:color w:val="000000"/>
          <w:sz w:val="24"/>
          <w:szCs w:val="24"/>
          <w:lang/>
        </w:rPr>
        <w:t>298.2.2. Платники єдиного податку можуть самостійно відмовитися від спрощеної системи оподаткування у зв'язку з переходом на сплату інших податків і зборів, визначених цим Кодексом, з першого числа місяця, наступного за податковим (звітним) кварталом, у якому подано заяву щодо відмови від спрощеної системи оподаткування у зв'язку з переходом на сплату інших податків і зборів.</w:t>
      </w:r>
    </w:p>
    <w:p w14:paraId="5C559D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6" w:name="n9573"/>
      <w:bookmarkEnd w:id="9126"/>
      <w:r w:rsidRPr="008B264B">
        <w:rPr>
          <w:rFonts w:ascii="Times New Roman" w:eastAsia="Times New Roman" w:hAnsi="Times New Roman" w:cs="Times New Roman"/>
          <w:i/>
          <w:iCs/>
          <w:color w:val="000000"/>
          <w:sz w:val="24"/>
          <w:szCs w:val="24"/>
          <w:lang/>
        </w:rPr>
        <w:t>{Підпункт 298.2.2 пункту 298.2 статті 298 із змінами, внесеними згідно із Законом </w:t>
      </w:r>
      <w:hyperlink r:id="rId5029" w:anchor="n16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5B8BD2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7" w:name="n7239"/>
      <w:bookmarkEnd w:id="9127"/>
      <w:r w:rsidRPr="008B264B">
        <w:rPr>
          <w:rFonts w:ascii="Times New Roman" w:eastAsia="Times New Roman" w:hAnsi="Times New Roman" w:cs="Times New Roman"/>
          <w:color w:val="000000"/>
          <w:sz w:val="24"/>
          <w:szCs w:val="24"/>
          <w:lang/>
        </w:rPr>
        <w:t>298.2.3. Платники єдиного податку зобов'язані перейти на сплату інших податків і зборів, визначених цим Кодексом, у таких випадках та в строки:</w:t>
      </w:r>
    </w:p>
    <w:p w14:paraId="1E294C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8" w:name="n7240"/>
      <w:bookmarkEnd w:id="9128"/>
      <w:r w:rsidRPr="008B264B">
        <w:rPr>
          <w:rFonts w:ascii="Times New Roman" w:eastAsia="Times New Roman" w:hAnsi="Times New Roman" w:cs="Times New Roman"/>
          <w:color w:val="000000"/>
          <w:sz w:val="24"/>
          <w:szCs w:val="24"/>
          <w:lang/>
        </w:rPr>
        <w:t>1) у разі перевищення протягом календарного року встановленого обсягу доходу платниками єдиного податку першої і другої груп та нездійснення такими платниками переходу на застосування іншої ставки - з першого числа місяця, наступного за податковим (звітним) кварталом, у якому відбулося таке перевищення;</w:t>
      </w:r>
    </w:p>
    <w:p w14:paraId="3168FD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29" w:name="n7241"/>
      <w:bookmarkEnd w:id="9129"/>
      <w:r w:rsidRPr="008B264B">
        <w:rPr>
          <w:rFonts w:ascii="Times New Roman" w:eastAsia="Times New Roman" w:hAnsi="Times New Roman" w:cs="Times New Roman"/>
          <w:i/>
          <w:iCs/>
          <w:color w:val="000000"/>
          <w:sz w:val="24"/>
          <w:szCs w:val="24"/>
          <w:lang/>
        </w:rPr>
        <w:t>{Підпункт 1 підпункту 298.2.3 пункту 298.2 статті 298 із змінами, внесеними згідно із Законами </w:t>
      </w:r>
      <w:hyperlink r:id="rId5030" w:anchor="n35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031" w:anchor="n162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3E354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0" w:name="n7242"/>
      <w:bookmarkEnd w:id="9130"/>
      <w:r w:rsidRPr="008B264B">
        <w:rPr>
          <w:rFonts w:ascii="Times New Roman" w:eastAsia="Times New Roman" w:hAnsi="Times New Roman" w:cs="Times New Roman"/>
          <w:color w:val="000000"/>
          <w:sz w:val="24"/>
          <w:szCs w:val="24"/>
          <w:lang/>
        </w:rPr>
        <w:lastRenderedPageBreak/>
        <w:t>2) у разі перевищення протягом календарного року обсягу доходу, встановленого підпунктом 3 пункту 291.4 статті 291 цього Кодексу, платниками єдиного податку першої і другої груп, які використали право на застосування інших ставок, встановлених для третьої групи, - з першого числа місяця, наступного за податковим (звітним) кварталом, у якому відбулося таке перевищення;</w:t>
      </w:r>
    </w:p>
    <w:p w14:paraId="633185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1" w:name="n12060"/>
      <w:bookmarkEnd w:id="9131"/>
      <w:r w:rsidRPr="008B264B">
        <w:rPr>
          <w:rFonts w:ascii="Times New Roman" w:eastAsia="Times New Roman" w:hAnsi="Times New Roman" w:cs="Times New Roman"/>
          <w:i/>
          <w:iCs/>
          <w:color w:val="000000"/>
          <w:sz w:val="24"/>
          <w:szCs w:val="24"/>
          <w:lang/>
        </w:rPr>
        <w:t>{Підпункт 2 підпункту 298.2.3 пункту 298.2 статті 298 із змінами, внесеними згідно із Законом </w:t>
      </w:r>
      <w:hyperlink r:id="rId5032" w:anchor="n35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5033" w:anchor="n162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DD81B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2" w:name="n7246"/>
      <w:bookmarkEnd w:id="9132"/>
      <w:r w:rsidRPr="008B264B">
        <w:rPr>
          <w:rFonts w:ascii="Times New Roman" w:eastAsia="Times New Roman" w:hAnsi="Times New Roman" w:cs="Times New Roman"/>
          <w:color w:val="000000"/>
          <w:sz w:val="24"/>
          <w:szCs w:val="24"/>
          <w:lang/>
        </w:rPr>
        <w:t>3) у разі перевищення протягом календарного року встановленого обсягу доходу платниками єдиного податку третьої групи - з першого числа місяця, наступного за податковим (звітним) кварталом, у якому відбулося таке перевищення;</w:t>
      </w:r>
    </w:p>
    <w:p w14:paraId="66AFA8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3" w:name="n7247"/>
      <w:bookmarkEnd w:id="9133"/>
      <w:r w:rsidRPr="008B264B">
        <w:rPr>
          <w:rFonts w:ascii="Times New Roman" w:eastAsia="Times New Roman" w:hAnsi="Times New Roman" w:cs="Times New Roman"/>
          <w:i/>
          <w:iCs/>
          <w:color w:val="000000"/>
          <w:sz w:val="24"/>
          <w:szCs w:val="24"/>
          <w:lang/>
        </w:rPr>
        <w:t>{Підпункт 3 підпункту 298.2.3 пункту 298.2 статті 298 із змінами, внесеними згідно із Законами </w:t>
      </w:r>
      <w:hyperlink r:id="rId5034" w:anchor="n35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035" w:anchor="n162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CE9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4" w:name="n7248"/>
      <w:bookmarkEnd w:id="9134"/>
      <w:r w:rsidRPr="008B264B">
        <w:rPr>
          <w:rFonts w:ascii="Times New Roman" w:eastAsia="Times New Roman" w:hAnsi="Times New Roman" w:cs="Times New Roman"/>
          <w:color w:val="000000"/>
          <w:sz w:val="24"/>
          <w:szCs w:val="24"/>
          <w:lang/>
        </w:rPr>
        <w:t>4) у разі застосування платником єдиного податку іншого способу розрахунків, ніж зазначені у </w:t>
      </w:r>
      <w:hyperlink r:id="rId5036" w:anchor="n6968" w:history="1">
        <w:r w:rsidRPr="008B264B">
          <w:rPr>
            <w:rFonts w:ascii="Times New Roman" w:eastAsia="Times New Roman" w:hAnsi="Times New Roman" w:cs="Times New Roman"/>
            <w:color w:val="0000FF"/>
            <w:sz w:val="24"/>
            <w:szCs w:val="24"/>
            <w:u w:val="single"/>
            <w:lang/>
          </w:rPr>
          <w:t>пункті 291.6</w:t>
        </w:r>
      </w:hyperlink>
      <w:r w:rsidRPr="008B264B">
        <w:rPr>
          <w:rFonts w:ascii="Times New Roman" w:eastAsia="Times New Roman" w:hAnsi="Times New Roman" w:cs="Times New Roman"/>
          <w:color w:val="000000"/>
          <w:sz w:val="24"/>
          <w:szCs w:val="24"/>
          <w:lang/>
        </w:rPr>
        <w:t> статті 291 цього Кодексу, - з першого числа місяця, наступного за податковим (звітним) періодом, у якому допущено такий спосіб розрахунків;</w:t>
      </w:r>
    </w:p>
    <w:p w14:paraId="3EB95D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5" w:name="n7249"/>
      <w:bookmarkEnd w:id="9135"/>
      <w:r w:rsidRPr="008B264B">
        <w:rPr>
          <w:rFonts w:ascii="Times New Roman" w:eastAsia="Times New Roman" w:hAnsi="Times New Roman" w:cs="Times New Roman"/>
          <w:i/>
          <w:iCs/>
          <w:color w:val="000000"/>
          <w:sz w:val="24"/>
          <w:szCs w:val="24"/>
          <w:lang/>
        </w:rPr>
        <w:t>{Підпункт 4 підпункту 298.2.3 пункту 298.2 статті 298 із змінами, внесеними згідно із Законом </w:t>
      </w:r>
      <w:hyperlink r:id="rId5037" w:anchor="n451"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83ECB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6" w:name="n7250"/>
      <w:bookmarkEnd w:id="9136"/>
      <w:r w:rsidRPr="008B264B">
        <w:rPr>
          <w:rFonts w:ascii="Times New Roman" w:eastAsia="Times New Roman" w:hAnsi="Times New Roman" w:cs="Times New Roman"/>
          <w:color w:val="000000"/>
          <w:sz w:val="24"/>
          <w:szCs w:val="24"/>
          <w:lang/>
        </w:rPr>
        <w:t>5) у разі здійснення видів діяльності, які не дають права застосовувати спрощену систему оподаткування, або невідповідності вимогам організаційно-правових форм господарювання - з першого числа місяця, наступного за податковим (звітним) періодом, у якому здійснювалися такі види діяльності або відбулася зміна організаційно-правової форми;</w:t>
      </w:r>
    </w:p>
    <w:p w14:paraId="4C162D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7" w:name="n7251"/>
      <w:bookmarkEnd w:id="9137"/>
      <w:r w:rsidRPr="008B264B">
        <w:rPr>
          <w:rFonts w:ascii="Times New Roman" w:eastAsia="Times New Roman" w:hAnsi="Times New Roman" w:cs="Times New Roman"/>
          <w:color w:val="000000"/>
          <w:sz w:val="24"/>
          <w:szCs w:val="24"/>
          <w:lang/>
        </w:rPr>
        <w:t>6) у разі перевищення чисельності фізичних осіб, які перебувають у трудових відносинах з платником єдиного податку, - з першого числа місяця, наступного за податковим (звітним) періодом, у якому допущено таке перевищення;</w:t>
      </w:r>
    </w:p>
    <w:p w14:paraId="09D42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8" w:name="n7252"/>
      <w:bookmarkEnd w:id="9138"/>
      <w:r w:rsidRPr="008B264B">
        <w:rPr>
          <w:rFonts w:ascii="Times New Roman" w:eastAsia="Times New Roman" w:hAnsi="Times New Roman" w:cs="Times New Roman"/>
          <w:color w:val="000000"/>
          <w:sz w:val="24"/>
          <w:szCs w:val="24"/>
          <w:lang/>
        </w:rPr>
        <w:t>7) у разі здійснення видів діяльності, не зазначених у реєстрі платників єдиного податку, - з першого числа місяця, наступного за податковим (звітним) періодом, у якому здійснювалися такі види діяльності;</w:t>
      </w:r>
    </w:p>
    <w:p w14:paraId="2C17FE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39" w:name="n9574"/>
      <w:bookmarkEnd w:id="9139"/>
      <w:r w:rsidRPr="008B264B">
        <w:rPr>
          <w:rFonts w:ascii="Times New Roman" w:eastAsia="Times New Roman" w:hAnsi="Times New Roman" w:cs="Times New Roman"/>
          <w:i/>
          <w:iCs/>
          <w:color w:val="000000"/>
          <w:sz w:val="24"/>
          <w:szCs w:val="24"/>
          <w:lang/>
        </w:rPr>
        <w:t>{Підпункт 7 підпункту 298.2.3 пункту 298.2 статті 298 із змінами, внесеними згідно із Законом </w:t>
      </w:r>
      <w:hyperlink r:id="rId5038" w:anchor="n16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F7EEF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0" w:name="n7253"/>
      <w:bookmarkEnd w:id="9140"/>
      <w:r w:rsidRPr="008B264B">
        <w:rPr>
          <w:rFonts w:ascii="Times New Roman" w:eastAsia="Times New Roman" w:hAnsi="Times New Roman" w:cs="Times New Roman"/>
          <w:color w:val="000000"/>
          <w:sz w:val="24"/>
          <w:szCs w:val="24"/>
          <w:lang/>
        </w:rPr>
        <w:t>8) у разі наявності податкового боргу на кожне перше число місяця протягом двох послідовних кварталів - в останній день другого із двох послідовних кварталів;</w:t>
      </w:r>
    </w:p>
    <w:p w14:paraId="33AE0B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1" w:name="n9575"/>
      <w:bookmarkEnd w:id="9141"/>
      <w:r w:rsidRPr="008B264B">
        <w:rPr>
          <w:rFonts w:ascii="Times New Roman" w:eastAsia="Times New Roman" w:hAnsi="Times New Roman" w:cs="Times New Roman"/>
          <w:i/>
          <w:iCs/>
          <w:color w:val="000000"/>
          <w:sz w:val="24"/>
          <w:szCs w:val="24"/>
          <w:lang/>
        </w:rPr>
        <w:t>{Підпункт 8 підпункту 298.2.3 пункту 298.2 статті 298 в редакції Закону </w:t>
      </w:r>
      <w:hyperlink r:id="rId5039" w:anchor="n170"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700BF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2" w:name="n12062"/>
      <w:bookmarkEnd w:id="9142"/>
      <w:r w:rsidRPr="008B264B">
        <w:rPr>
          <w:rFonts w:ascii="Times New Roman" w:eastAsia="Times New Roman" w:hAnsi="Times New Roman" w:cs="Times New Roman"/>
          <w:color w:val="000000"/>
          <w:sz w:val="24"/>
          <w:szCs w:val="24"/>
          <w:lang/>
        </w:rPr>
        <w:t>9) у разі здійснення платниками першої або другої групи діяльності, яка не передбачена у </w:t>
      </w:r>
      <w:hyperlink r:id="rId5040" w:anchor="n6951" w:history="1">
        <w:r w:rsidRPr="008B264B">
          <w:rPr>
            <w:rFonts w:ascii="Times New Roman" w:eastAsia="Times New Roman" w:hAnsi="Times New Roman" w:cs="Times New Roman"/>
            <w:color w:val="0000FF"/>
            <w:sz w:val="24"/>
            <w:szCs w:val="24"/>
            <w:u w:val="single"/>
            <w:lang/>
          </w:rPr>
          <w:t>підпунктах 1</w:t>
        </w:r>
      </w:hyperlink>
      <w:r w:rsidRPr="008B264B">
        <w:rPr>
          <w:rFonts w:ascii="Times New Roman" w:eastAsia="Times New Roman" w:hAnsi="Times New Roman" w:cs="Times New Roman"/>
          <w:color w:val="000000"/>
          <w:sz w:val="24"/>
          <w:szCs w:val="24"/>
          <w:lang/>
        </w:rPr>
        <w:t> або </w:t>
      </w:r>
      <w:hyperlink r:id="rId5041" w:anchor="n6952" w:history="1">
        <w:r w:rsidRPr="008B264B">
          <w:rPr>
            <w:rFonts w:ascii="Times New Roman" w:eastAsia="Times New Roman" w:hAnsi="Times New Roman" w:cs="Times New Roman"/>
            <w:color w:val="0000FF"/>
            <w:sz w:val="24"/>
            <w:szCs w:val="24"/>
            <w:u w:val="single"/>
            <w:lang/>
          </w:rPr>
          <w:t>2</w:t>
        </w:r>
      </w:hyperlink>
      <w:r w:rsidRPr="008B264B">
        <w:rPr>
          <w:rFonts w:ascii="Times New Roman" w:eastAsia="Times New Roman" w:hAnsi="Times New Roman" w:cs="Times New Roman"/>
          <w:color w:val="000000"/>
          <w:sz w:val="24"/>
          <w:szCs w:val="24"/>
          <w:lang/>
        </w:rPr>
        <w:t> пункту 291.4 статті 291 цього Кодексу відповідно, - з першого числа місяця, наступного за податковим (звітним) кварталом, у якому здійснювалася така діяльність.</w:t>
      </w:r>
    </w:p>
    <w:p w14:paraId="32C480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3" w:name="n12061"/>
      <w:bookmarkEnd w:id="9143"/>
      <w:r w:rsidRPr="008B264B">
        <w:rPr>
          <w:rFonts w:ascii="Times New Roman" w:eastAsia="Times New Roman" w:hAnsi="Times New Roman" w:cs="Times New Roman"/>
          <w:i/>
          <w:iCs/>
          <w:color w:val="000000"/>
          <w:sz w:val="24"/>
          <w:szCs w:val="24"/>
          <w:lang/>
        </w:rPr>
        <w:t>{Підпункту 298.2.3 пункту 298.2 статті 298 доповнено підпунктом 9 згідно із Законом </w:t>
      </w:r>
      <w:hyperlink r:id="rId5042" w:anchor="n162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78CD4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4" w:name="n7254"/>
      <w:bookmarkEnd w:id="9144"/>
      <w:r w:rsidRPr="008B264B">
        <w:rPr>
          <w:rFonts w:ascii="Times New Roman" w:eastAsia="Times New Roman" w:hAnsi="Times New Roman" w:cs="Times New Roman"/>
          <w:color w:val="000000"/>
          <w:sz w:val="24"/>
          <w:szCs w:val="24"/>
          <w:lang/>
        </w:rPr>
        <w:t>298.3. У заяві зазначаються такі обов'язкові відомості:</w:t>
      </w:r>
    </w:p>
    <w:p w14:paraId="30AE7E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5" w:name="n7255"/>
      <w:bookmarkEnd w:id="9145"/>
      <w:r w:rsidRPr="008B264B">
        <w:rPr>
          <w:rFonts w:ascii="Times New Roman" w:eastAsia="Times New Roman" w:hAnsi="Times New Roman" w:cs="Times New Roman"/>
          <w:color w:val="000000"/>
          <w:sz w:val="24"/>
          <w:szCs w:val="24"/>
          <w:lang/>
        </w:rPr>
        <w:t>1) найменування суб'єкта господарювання, код за ЄДРПОУ (для юридичної особи) або прізвище, ім'я, по батькові фізичної особи - підприємця, реєстраційний номер облікової картки платника податків або серія та номер паспорта (для фізичних осіб, які через свої релігійні переконання в установленому порядку відмовилися від прийняття реєстраційного номера облікової картки платника податків);</w:t>
      </w:r>
    </w:p>
    <w:p w14:paraId="3128DE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6" w:name="n9576"/>
      <w:bookmarkEnd w:id="9146"/>
      <w:r w:rsidRPr="008B264B">
        <w:rPr>
          <w:rFonts w:ascii="Times New Roman" w:eastAsia="Times New Roman" w:hAnsi="Times New Roman" w:cs="Times New Roman"/>
          <w:i/>
          <w:iCs/>
          <w:color w:val="000000"/>
          <w:sz w:val="24"/>
          <w:szCs w:val="24"/>
          <w:lang/>
        </w:rPr>
        <w:t>{Підпункт 1 пункту 298.3 статті 298 із змінами, внесеними згідно із Законом </w:t>
      </w:r>
      <w:hyperlink r:id="rId5043" w:anchor="n17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7DF39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7" w:name="n7256"/>
      <w:bookmarkEnd w:id="9147"/>
      <w:r w:rsidRPr="008B264B">
        <w:rPr>
          <w:rFonts w:ascii="Times New Roman" w:eastAsia="Times New Roman" w:hAnsi="Times New Roman" w:cs="Times New Roman"/>
          <w:i/>
          <w:iCs/>
          <w:color w:val="000000"/>
          <w:sz w:val="24"/>
          <w:szCs w:val="24"/>
          <w:lang/>
        </w:rPr>
        <w:lastRenderedPageBreak/>
        <w:t>{Підпункт 2 пункту 298.3 статті 298 виключено на підставі Закону </w:t>
      </w:r>
      <w:hyperlink r:id="rId5044" w:anchor="n163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9B9AA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8" w:name="n7257"/>
      <w:bookmarkEnd w:id="9148"/>
      <w:r w:rsidRPr="008B264B">
        <w:rPr>
          <w:rFonts w:ascii="Times New Roman" w:eastAsia="Times New Roman" w:hAnsi="Times New Roman" w:cs="Times New Roman"/>
          <w:color w:val="000000"/>
          <w:sz w:val="24"/>
          <w:szCs w:val="24"/>
          <w:lang/>
        </w:rPr>
        <w:t>3) податкову адресу суб'єкта господарювання;</w:t>
      </w:r>
    </w:p>
    <w:p w14:paraId="02CF6E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49" w:name="n7258"/>
      <w:bookmarkEnd w:id="9149"/>
      <w:r w:rsidRPr="008B264B">
        <w:rPr>
          <w:rFonts w:ascii="Times New Roman" w:eastAsia="Times New Roman" w:hAnsi="Times New Roman" w:cs="Times New Roman"/>
          <w:color w:val="000000"/>
          <w:sz w:val="24"/>
          <w:szCs w:val="24"/>
          <w:lang/>
        </w:rPr>
        <w:t>4) місце провадження господарської діяльності;</w:t>
      </w:r>
    </w:p>
    <w:p w14:paraId="6ACF41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0" w:name="n7259"/>
      <w:bookmarkEnd w:id="9150"/>
      <w:r w:rsidRPr="008B264B">
        <w:rPr>
          <w:rFonts w:ascii="Times New Roman" w:eastAsia="Times New Roman" w:hAnsi="Times New Roman" w:cs="Times New Roman"/>
          <w:color w:val="000000"/>
          <w:sz w:val="24"/>
          <w:szCs w:val="24"/>
          <w:lang/>
        </w:rPr>
        <w:t>5) обрані суб’єктом господарювання види господарської діяльності згідно з </w:t>
      </w:r>
      <w:hyperlink r:id="rId5045"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2C20EC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1" w:name="n7260"/>
      <w:bookmarkEnd w:id="9151"/>
      <w:r w:rsidRPr="008B264B">
        <w:rPr>
          <w:rFonts w:ascii="Times New Roman" w:eastAsia="Times New Roman" w:hAnsi="Times New Roman" w:cs="Times New Roman"/>
          <w:i/>
          <w:iCs/>
          <w:color w:val="000000"/>
          <w:sz w:val="24"/>
          <w:szCs w:val="24"/>
          <w:lang/>
        </w:rPr>
        <w:t>{Абзац шостий пункту 298.3 статті 298 в редакції Закону </w:t>
      </w:r>
      <w:hyperlink r:id="rId5046" w:anchor="n45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47" w:anchor="n16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622AA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2" w:name="n7261"/>
      <w:bookmarkEnd w:id="9152"/>
      <w:r w:rsidRPr="008B264B">
        <w:rPr>
          <w:rFonts w:ascii="Times New Roman" w:eastAsia="Times New Roman" w:hAnsi="Times New Roman" w:cs="Times New Roman"/>
          <w:color w:val="000000"/>
          <w:sz w:val="24"/>
          <w:szCs w:val="24"/>
          <w:lang/>
        </w:rPr>
        <w:t>6) обрані суб'єктом господарювання група та ставка єдиного податку або зміна групи та ставки єдиного податку;</w:t>
      </w:r>
    </w:p>
    <w:p w14:paraId="7AF91A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3" w:name="n7262"/>
      <w:bookmarkEnd w:id="9153"/>
      <w:r w:rsidRPr="008B264B">
        <w:rPr>
          <w:rFonts w:ascii="Times New Roman" w:eastAsia="Times New Roman" w:hAnsi="Times New Roman" w:cs="Times New Roman"/>
          <w:i/>
          <w:iCs/>
          <w:color w:val="000000"/>
          <w:sz w:val="24"/>
          <w:szCs w:val="24"/>
          <w:lang/>
        </w:rPr>
        <w:t>{Підпункт 6 пункту 298.3 статті 298 в редакції Закону </w:t>
      </w:r>
      <w:hyperlink r:id="rId5048"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417531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4" w:name="n7263"/>
      <w:bookmarkEnd w:id="9154"/>
      <w:r w:rsidRPr="008B264B">
        <w:rPr>
          <w:rFonts w:ascii="Times New Roman" w:eastAsia="Times New Roman" w:hAnsi="Times New Roman" w:cs="Times New Roman"/>
          <w:color w:val="000000"/>
          <w:sz w:val="24"/>
          <w:szCs w:val="24"/>
          <w:lang/>
        </w:rPr>
        <w:t>7) кількість осіб, які одночасно перебувають з фізичною особою - підприємцем у трудових відносинах, та середньооблікова чисельність працівників у юридичної особи;</w:t>
      </w:r>
    </w:p>
    <w:p w14:paraId="48078B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5" w:name="n7264"/>
      <w:bookmarkEnd w:id="9155"/>
      <w:r w:rsidRPr="008B264B">
        <w:rPr>
          <w:rFonts w:ascii="Times New Roman" w:eastAsia="Times New Roman" w:hAnsi="Times New Roman" w:cs="Times New Roman"/>
          <w:color w:val="000000"/>
          <w:sz w:val="24"/>
          <w:szCs w:val="24"/>
          <w:lang/>
        </w:rPr>
        <w:t>8) дата (період) обрання або переходу на спрощену систему оподаткування.</w:t>
      </w:r>
    </w:p>
    <w:p w14:paraId="648697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6" w:name="n7265"/>
      <w:bookmarkEnd w:id="9156"/>
      <w:r w:rsidRPr="008B264B">
        <w:rPr>
          <w:rFonts w:ascii="Times New Roman" w:eastAsia="Times New Roman" w:hAnsi="Times New Roman" w:cs="Times New Roman"/>
          <w:color w:val="000000"/>
          <w:sz w:val="24"/>
          <w:szCs w:val="24"/>
          <w:lang/>
        </w:rPr>
        <w:t>298.3.1. До заяви включаються відомості (за наявності) про:</w:t>
      </w:r>
    </w:p>
    <w:p w14:paraId="1A7215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7" w:name="n7266"/>
      <w:bookmarkEnd w:id="9157"/>
      <w:r w:rsidRPr="008B264B">
        <w:rPr>
          <w:rFonts w:ascii="Times New Roman" w:eastAsia="Times New Roman" w:hAnsi="Times New Roman" w:cs="Times New Roman"/>
          <w:color w:val="000000"/>
          <w:sz w:val="24"/>
          <w:szCs w:val="24"/>
          <w:lang/>
        </w:rPr>
        <w:t>1) зміну найменування суб'єкта господарювання (для юридичної особи) або прізвища, імені, по батькові фізичної особи - підприємця, або серії та номера паспорта (для фізичних осіб, які через свої релігійні переконання в установленому порядку відмовилися від прийняття реєстраційного номера облікової картки платника податків);</w:t>
      </w:r>
    </w:p>
    <w:p w14:paraId="25A64E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8" w:name="n7267"/>
      <w:bookmarkEnd w:id="9158"/>
      <w:r w:rsidRPr="008B264B">
        <w:rPr>
          <w:rFonts w:ascii="Times New Roman" w:eastAsia="Times New Roman" w:hAnsi="Times New Roman" w:cs="Times New Roman"/>
          <w:color w:val="000000"/>
          <w:sz w:val="24"/>
          <w:szCs w:val="24"/>
          <w:lang/>
        </w:rPr>
        <w:t>2) зміну податкової адреси суб'єкта господарювання;</w:t>
      </w:r>
    </w:p>
    <w:p w14:paraId="782085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59" w:name="n7268"/>
      <w:bookmarkEnd w:id="9159"/>
      <w:r w:rsidRPr="008B264B">
        <w:rPr>
          <w:rFonts w:ascii="Times New Roman" w:eastAsia="Times New Roman" w:hAnsi="Times New Roman" w:cs="Times New Roman"/>
          <w:color w:val="000000"/>
          <w:sz w:val="24"/>
          <w:szCs w:val="24"/>
          <w:lang/>
        </w:rPr>
        <w:t>3) зміну місця провадження господарської діяльності;</w:t>
      </w:r>
    </w:p>
    <w:p w14:paraId="12B489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0" w:name="n7269"/>
      <w:bookmarkEnd w:id="9160"/>
      <w:r w:rsidRPr="008B264B">
        <w:rPr>
          <w:rFonts w:ascii="Times New Roman" w:eastAsia="Times New Roman" w:hAnsi="Times New Roman" w:cs="Times New Roman"/>
          <w:i/>
          <w:iCs/>
          <w:color w:val="000000"/>
          <w:sz w:val="24"/>
          <w:szCs w:val="24"/>
          <w:lang/>
        </w:rPr>
        <w:t>{Підпункт 3 підпункту 298.3.1 пункту 298.3 статті 298 із змінами, внесеними згідно із Законом </w:t>
      </w:r>
      <w:hyperlink r:id="rId5049" w:anchor="n45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31361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1" w:name="n7270"/>
      <w:bookmarkEnd w:id="9161"/>
      <w:r w:rsidRPr="008B264B">
        <w:rPr>
          <w:rFonts w:ascii="Times New Roman" w:eastAsia="Times New Roman" w:hAnsi="Times New Roman" w:cs="Times New Roman"/>
          <w:color w:val="000000"/>
          <w:sz w:val="24"/>
          <w:szCs w:val="24"/>
          <w:lang/>
        </w:rPr>
        <w:t>4) зміну видів господарської діяльності;</w:t>
      </w:r>
    </w:p>
    <w:p w14:paraId="09973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2" w:name="n7271"/>
      <w:bookmarkEnd w:id="9162"/>
      <w:r w:rsidRPr="008B264B">
        <w:rPr>
          <w:rFonts w:ascii="Times New Roman" w:eastAsia="Times New Roman" w:hAnsi="Times New Roman" w:cs="Times New Roman"/>
          <w:color w:val="000000"/>
          <w:sz w:val="24"/>
          <w:szCs w:val="24"/>
          <w:lang/>
        </w:rPr>
        <w:t>5) зміну організаційно-правової форми юридичної особи;</w:t>
      </w:r>
    </w:p>
    <w:p w14:paraId="0A6281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3" w:name="n7272"/>
      <w:bookmarkEnd w:id="9163"/>
      <w:r w:rsidRPr="008B264B">
        <w:rPr>
          <w:rFonts w:ascii="Times New Roman" w:eastAsia="Times New Roman" w:hAnsi="Times New Roman" w:cs="Times New Roman"/>
          <w:color w:val="000000"/>
          <w:sz w:val="24"/>
          <w:szCs w:val="24"/>
          <w:lang/>
        </w:rPr>
        <w:t>6) дату (період) відмови від застосування спрощеної системи у зв'язку з переходом на сплату інших податків і зборів, встановлених цим Кодексом;</w:t>
      </w:r>
    </w:p>
    <w:p w14:paraId="001A3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4" w:name="n7273"/>
      <w:bookmarkEnd w:id="9164"/>
      <w:r w:rsidRPr="008B264B">
        <w:rPr>
          <w:rFonts w:ascii="Times New Roman" w:eastAsia="Times New Roman" w:hAnsi="Times New Roman" w:cs="Times New Roman"/>
          <w:color w:val="000000"/>
          <w:sz w:val="24"/>
          <w:szCs w:val="24"/>
          <w:lang/>
        </w:rPr>
        <w:t>7) дату (період) припинення платником єдиного податку провадження господарської діяльності;</w:t>
      </w:r>
    </w:p>
    <w:p w14:paraId="090EDF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5" w:name="n7274"/>
      <w:bookmarkEnd w:id="9165"/>
      <w:r w:rsidRPr="008B264B">
        <w:rPr>
          <w:rFonts w:ascii="Times New Roman" w:eastAsia="Times New Roman" w:hAnsi="Times New Roman" w:cs="Times New Roman"/>
          <w:color w:val="000000"/>
          <w:sz w:val="24"/>
          <w:szCs w:val="24"/>
          <w:lang/>
        </w:rPr>
        <w:t>8) зміну групи та ставки платника єдиного податку.</w:t>
      </w:r>
    </w:p>
    <w:p w14:paraId="1A96F3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6" w:name="n7275"/>
      <w:bookmarkEnd w:id="9166"/>
      <w:r w:rsidRPr="008B264B">
        <w:rPr>
          <w:rFonts w:ascii="Times New Roman" w:eastAsia="Times New Roman" w:hAnsi="Times New Roman" w:cs="Times New Roman"/>
          <w:i/>
          <w:iCs/>
          <w:color w:val="000000"/>
          <w:sz w:val="24"/>
          <w:szCs w:val="24"/>
          <w:lang/>
        </w:rPr>
        <w:t>{Підпункт 298.3.1 пункту 298.3 статті 298 доповнено підпунктом 8 згідно із Законом </w:t>
      </w:r>
      <w:hyperlink r:id="rId5050" w:anchor="n457"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2C1173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7" w:name="n7276"/>
      <w:bookmarkEnd w:id="9167"/>
      <w:r w:rsidRPr="008B264B">
        <w:rPr>
          <w:rFonts w:ascii="Times New Roman" w:eastAsia="Times New Roman" w:hAnsi="Times New Roman" w:cs="Times New Roman"/>
          <w:color w:val="000000"/>
          <w:sz w:val="24"/>
          <w:szCs w:val="24"/>
          <w:lang/>
        </w:rPr>
        <w:t>298.3.2. Інформація про період щорічної відпустки і терміни тимчасової втрати працездатності з обов'язковим доданням копії листка непрацездатності подається за заявою у довільній формі.</w:t>
      </w:r>
    </w:p>
    <w:p w14:paraId="3499AA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8" w:name="n7277"/>
      <w:bookmarkEnd w:id="9168"/>
      <w:r w:rsidRPr="008B264B">
        <w:rPr>
          <w:rFonts w:ascii="Times New Roman" w:eastAsia="Times New Roman" w:hAnsi="Times New Roman" w:cs="Times New Roman"/>
          <w:color w:val="000000"/>
          <w:sz w:val="24"/>
          <w:szCs w:val="24"/>
          <w:lang/>
        </w:rPr>
        <w:t>298.4. У разі зміни найменування юридичної особи, прізвища, імені, по батькові фізичної особи - підприємця або серії та номера паспорта (для фізичних осіб, які через свої релігійні переконання в установленому порядку відмовилися від прийняття реєстраційного номера облікової картки платника податків) заява подається протягом місяця з дня виникнення таких змін.</w:t>
      </w:r>
    </w:p>
    <w:p w14:paraId="062BC6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69" w:name="n7278"/>
      <w:bookmarkEnd w:id="9169"/>
      <w:r w:rsidRPr="008B264B">
        <w:rPr>
          <w:rFonts w:ascii="Times New Roman" w:eastAsia="Times New Roman" w:hAnsi="Times New Roman" w:cs="Times New Roman"/>
          <w:color w:val="000000"/>
          <w:sz w:val="24"/>
          <w:szCs w:val="24"/>
          <w:lang/>
        </w:rPr>
        <w:t xml:space="preserve">298.5. У разі зміни податкової адреси суб'єкта господарювання, місця провадження господарської діяльності, видів господарської діяльності заява подається платниками єдиного </w:t>
      </w:r>
      <w:r w:rsidRPr="008B264B">
        <w:rPr>
          <w:rFonts w:ascii="Times New Roman" w:eastAsia="Times New Roman" w:hAnsi="Times New Roman" w:cs="Times New Roman"/>
          <w:color w:val="000000"/>
          <w:sz w:val="24"/>
          <w:szCs w:val="24"/>
          <w:lang/>
        </w:rPr>
        <w:lastRenderedPageBreak/>
        <w:t>податку першої і другої груп не пізніше 20 числа місяця, наступного за місяцем, у якому відбулися такі зміни.</w:t>
      </w:r>
    </w:p>
    <w:p w14:paraId="5869A1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0" w:name="n7279"/>
      <w:bookmarkEnd w:id="9170"/>
      <w:r w:rsidRPr="008B264B">
        <w:rPr>
          <w:rFonts w:ascii="Times New Roman" w:eastAsia="Times New Roman" w:hAnsi="Times New Roman" w:cs="Times New Roman"/>
          <w:color w:val="000000"/>
          <w:sz w:val="24"/>
          <w:szCs w:val="24"/>
          <w:lang/>
        </w:rPr>
        <w:t>298.6. У разі зміни податкової адреси суб'єкта господарювання, місця провадження господарської діяльності заява подається платниками єдиного податку третьої групи разом з податковою декларацією за податковий (звітний) період, у якому відбулися такі зміни.</w:t>
      </w:r>
    </w:p>
    <w:p w14:paraId="67669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1" w:name="n7280"/>
      <w:bookmarkEnd w:id="9171"/>
      <w:r w:rsidRPr="008B264B">
        <w:rPr>
          <w:rFonts w:ascii="Times New Roman" w:eastAsia="Times New Roman" w:hAnsi="Times New Roman" w:cs="Times New Roman"/>
          <w:i/>
          <w:iCs/>
          <w:color w:val="000000"/>
          <w:sz w:val="24"/>
          <w:szCs w:val="24"/>
          <w:lang/>
        </w:rPr>
        <w:t>{Пункт 298.6 статті 298 із змінами, внесеними згідно із Законами </w:t>
      </w:r>
      <w:hyperlink r:id="rId5051" w:anchor="n355"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052" w:anchor="n16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82C6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2" w:name="n7281"/>
      <w:bookmarkEnd w:id="9172"/>
      <w:r w:rsidRPr="008B264B">
        <w:rPr>
          <w:rFonts w:ascii="Times New Roman" w:eastAsia="Times New Roman" w:hAnsi="Times New Roman" w:cs="Times New Roman"/>
          <w:color w:val="000000"/>
          <w:sz w:val="24"/>
          <w:szCs w:val="24"/>
          <w:lang/>
        </w:rPr>
        <w:t>298.7. Форма та порядок подання заяви встановлюються центральним органом виконавчої влади, що забезпечує формування та реалізує державну податкову і митну політику.</w:t>
      </w:r>
    </w:p>
    <w:p w14:paraId="650491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3" w:name="n12065"/>
      <w:bookmarkEnd w:id="9173"/>
      <w:r w:rsidRPr="008B264B">
        <w:rPr>
          <w:rFonts w:ascii="Times New Roman" w:eastAsia="Times New Roman" w:hAnsi="Times New Roman" w:cs="Times New Roman"/>
          <w:color w:val="000000"/>
          <w:sz w:val="24"/>
          <w:szCs w:val="24"/>
          <w:lang/>
        </w:rPr>
        <w:t>298.8. Порядок обрання або переходу на спрощену систему оподаткування, або відмови від спрощеної системи оподаткування платниками єдиного податку четвертої групи здійснюється відповідно до </w:t>
      </w:r>
      <w:hyperlink r:id="rId5053" w:anchor="n12066" w:history="1">
        <w:r w:rsidRPr="008B264B">
          <w:rPr>
            <w:rFonts w:ascii="Times New Roman" w:eastAsia="Times New Roman" w:hAnsi="Times New Roman" w:cs="Times New Roman"/>
            <w:color w:val="0000FF"/>
            <w:sz w:val="24"/>
            <w:szCs w:val="24"/>
            <w:u w:val="single"/>
            <w:lang/>
          </w:rPr>
          <w:t>підпунктів 298.8.1-298.8.8</w:t>
        </w:r>
      </w:hyperlink>
      <w:r w:rsidRPr="008B264B">
        <w:rPr>
          <w:rFonts w:ascii="Times New Roman" w:eastAsia="Times New Roman" w:hAnsi="Times New Roman" w:cs="Times New Roman"/>
          <w:color w:val="000000"/>
          <w:sz w:val="24"/>
          <w:szCs w:val="24"/>
          <w:lang/>
        </w:rPr>
        <w:t> цієї статті.</w:t>
      </w:r>
    </w:p>
    <w:p w14:paraId="7B3EA1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4" w:name="n15158"/>
      <w:bookmarkEnd w:id="9174"/>
      <w:r w:rsidRPr="008B264B">
        <w:rPr>
          <w:rFonts w:ascii="Times New Roman" w:eastAsia="Times New Roman" w:hAnsi="Times New Roman" w:cs="Times New Roman"/>
          <w:i/>
          <w:iCs/>
          <w:color w:val="000000"/>
          <w:sz w:val="24"/>
          <w:szCs w:val="24"/>
          <w:lang/>
        </w:rPr>
        <w:t>{Пункт 298.8 статті 298 із змінами, внесеними згідно із Законом</w:t>
      </w:r>
      <w:r w:rsidRPr="008B264B">
        <w:rPr>
          <w:rFonts w:ascii="Times New Roman" w:eastAsia="Times New Roman" w:hAnsi="Times New Roman" w:cs="Times New Roman"/>
          <w:color w:val="000000"/>
          <w:sz w:val="24"/>
          <w:szCs w:val="24"/>
          <w:lang/>
        </w:rPr>
        <w:t> </w:t>
      </w:r>
      <w:hyperlink r:id="rId5054" w:anchor="n48"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CD5FB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5" w:name="n12066"/>
      <w:bookmarkEnd w:id="9175"/>
      <w:r w:rsidRPr="008B264B">
        <w:rPr>
          <w:rFonts w:ascii="Times New Roman" w:eastAsia="Times New Roman" w:hAnsi="Times New Roman" w:cs="Times New Roman"/>
          <w:color w:val="000000"/>
          <w:sz w:val="24"/>
          <w:szCs w:val="24"/>
          <w:lang/>
        </w:rPr>
        <w:t>298.8.1. Сільськогосподарські товаровиробники для переходу на спрощену систему оподаткування або щорічного підтвердження статусу платника єдиного податку подають до 20 лютого поточного року:</w:t>
      </w:r>
    </w:p>
    <w:p w14:paraId="281E3C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6" w:name="n12067"/>
      <w:bookmarkEnd w:id="9176"/>
      <w:r w:rsidRPr="008B264B">
        <w:rPr>
          <w:rFonts w:ascii="Times New Roman" w:eastAsia="Times New Roman" w:hAnsi="Times New Roman" w:cs="Times New Roman"/>
          <w:color w:val="000000"/>
          <w:sz w:val="24"/>
          <w:szCs w:val="24"/>
          <w:lang/>
        </w:rPr>
        <w:t>загальну податкову декларацію з податку на поточний рік щодо всієї площі земельних ділянок, з яких справляється податок (сільськогосподарських угідь (ріллі, сіножатей, пасовищ, багаторічних насаджень), та/або земель водного фонду внутрішніх водойм (озер, ставків та водосховищ), - контролюючому органу за своїм місцезнаходженням (місцем перебування на податковому обліку);</w:t>
      </w:r>
    </w:p>
    <w:p w14:paraId="2B070D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7" w:name="n12068"/>
      <w:bookmarkEnd w:id="9177"/>
      <w:r w:rsidRPr="008B264B">
        <w:rPr>
          <w:rFonts w:ascii="Times New Roman" w:eastAsia="Times New Roman" w:hAnsi="Times New Roman" w:cs="Times New Roman"/>
          <w:color w:val="000000"/>
          <w:sz w:val="24"/>
          <w:szCs w:val="24"/>
          <w:lang/>
        </w:rPr>
        <w:t>звітну податкову декларацію з податку на поточний рік окремо щодо кожної земельної ділянки - контролюючому органу за місцем розташування такої земельної ділянки (юридичні особи);</w:t>
      </w:r>
    </w:p>
    <w:p w14:paraId="48932F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8" w:name="n15159"/>
      <w:bookmarkEnd w:id="9178"/>
      <w:r w:rsidRPr="008B264B">
        <w:rPr>
          <w:rFonts w:ascii="Times New Roman" w:eastAsia="Times New Roman" w:hAnsi="Times New Roman" w:cs="Times New Roman"/>
          <w:i/>
          <w:iCs/>
          <w:color w:val="000000"/>
          <w:sz w:val="24"/>
          <w:szCs w:val="24"/>
          <w:lang/>
        </w:rPr>
        <w:t>{Абзац третій підпункту 298.8.1 пункту 298.8 статті 298 із змінами, внесеними згідно із Законом</w:t>
      </w:r>
      <w:r w:rsidRPr="008B264B">
        <w:rPr>
          <w:rFonts w:ascii="Times New Roman" w:eastAsia="Times New Roman" w:hAnsi="Times New Roman" w:cs="Times New Roman"/>
          <w:color w:val="000000"/>
          <w:sz w:val="24"/>
          <w:szCs w:val="24"/>
          <w:lang/>
        </w:rPr>
        <w:t> </w:t>
      </w:r>
      <w:hyperlink r:id="rId5055" w:anchor="n50"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19336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79" w:name="n12069"/>
      <w:bookmarkEnd w:id="9179"/>
      <w:r w:rsidRPr="008B264B">
        <w:rPr>
          <w:rFonts w:ascii="Times New Roman" w:eastAsia="Times New Roman" w:hAnsi="Times New Roman" w:cs="Times New Roman"/>
          <w:color w:val="000000"/>
          <w:sz w:val="24"/>
          <w:szCs w:val="24"/>
          <w:lang/>
        </w:rPr>
        <w:t>розрахунок частки сільськогосподарського товаровиробництва (юридичні особи) - контролюючим органам за своїм місцезнаходженням та/або за місцем розташування земельних ділянок за формою, затвердженою центральним органом виконавчої влади, що забезпечує формування державної аграрної політики, за погодженням із центральним органом виконавчої влади, що забезпечує формування та реалізує державну фінансову політику;</w:t>
      </w:r>
    </w:p>
    <w:p w14:paraId="179E61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0" w:name="n13463"/>
      <w:bookmarkEnd w:id="9180"/>
      <w:r w:rsidRPr="008B264B">
        <w:rPr>
          <w:rFonts w:ascii="Times New Roman" w:eastAsia="Times New Roman" w:hAnsi="Times New Roman" w:cs="Times New Roman"/>
          <w:i/>
          <w:iCs/>
          <w:color w:val="000000"/>
          <w:sz w:val="24"/>
          <w:szCs w:val="24"/>
          <w:lang/>
        </w:rPr>
        <w:t>{Абзац четвертий підпункту 298.8.1 пункту 298.8 статті 298 із змінами, внесеними згідно із Законами </w:t>
      </w:r>
      <w:hyperlink r:id="rId50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r w:rsidRPr="008B264B">
        <w:rPr>
          <w:rFonts w:ascii="Times New Roman" w:eastAsia="Times New Roman" w:hAnsi="Times New Roman" w:cs="Times New Roman"/>
          <w:color w:val="000000"/>
          <w:sz w:val="24"/>
          <w:szCs w:val="24"/>
          <w:lang/>
        </w:rPr>
        <w:t> </w:t>
      </w:r>
      <w:hyperlink r:id="rId5057" w:anchor="n51"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321160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1" w:name="n12070"/>
      <w:bookmarkEnd w:id="9181"/>
      <w:r w:rsidRPr="008B264B">
        <w:rPr>
          <w:rFonts w:ascii="Times New Roman" w:eastAsia="Times New Roman" w:hAnsi="Times New Roman" w:cs="Times New Roman"/>
          <w:color w:val="000000"/>
          <w:sz w:val="24"/>
          <w:szCs w:val="24"/>
          <w:lang/>
        </w:rPr>
        <w:t>відомості (довідку) про наявність земельних ділянок - контролюючим органам за своїм місцезнаходженням та/або за місцем розташування земельних ділянок.</w:t>
      </w:r>
    </w:p>
    <w:p w14:paraId="5F9CAA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2" w:name="n12071"/>
      <w:bookmarkEnd w:id="9182"/>
      <w:r w:rsidRPr="008B264B">
        <w:rPr>
          <w:rFonts w:ascii="Times New Roman" w:eastAsia="Times New Roman" w:hAnsi="Times New Roman" w:cs="Times New Roman"/>
          <w:color w:val="000000"/>
          <w:sz w:val="24"/>
          <w:szCs w:val="24"/>
          <w:lang/>
        </w:rPr>
        <w:t>У відомостях (довідці) про наявність земельних ділянок зазначаються дані про кожний документ, що встановлює право власності та/або користування земельними ділянками, у тому числі про кожний договір оренди земельної частки (паю).</w:t>
      </w:r>
    </w:p>
    <w:p w14:paraId="1847D9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3" w:name="n15160"/>
      <w:bookmarkEnd w:id="9183"/>
      <w:r w:rsidRPr="008B264B">
        <w:rPr>
          <w:rFonts w:ascii="Times New Roman" w:eastAsia="Times New Roman" w:hAnsi="Times New Roman" w:cs="Times New Roman"/>
          <w:color w:val="000000"/>
          <w:sz w:val="24"/>
          <w:szCs w:val="24"/>
          <w:lang/>
        </w:rPr>
        <w:t>Фізичні особи - підприємці, які подали заяву про обрання ними спрощеної системи оподаткування та ставки єдиного податку, встановленої для четвертої групи, вперше подають визначену цим підпунктом звітність протягом 20 календарних днів з дня подання такої заяви.</w:t>
      </w:r>
    </w:p>
    <w:p w14:paraId="1762CF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4" w:name="n15161"/>
      <w:bookmarkEnd w:id="9184"/>
      <w:r w:rsidRPr="008B264B">
        <w:rPr>
          <w:rFonts w:ascii="Times New Roman" w:eastAsia="Times New Roman" w:hAnsi="Times New Roman" w:cs="Times New Roman"/>
          <w:i/>
          <w:iCs/>
          <w:color w:val="000000"/>
          <w:sz w:val="24"/>
          <w:szCs w:val="24"/>
          <w:lang/>
        </w:rPr>
        <w:t>{Підпункт 298.8.1 пункту 298.8 статті 298 доповнено абзацом сьомим згідно із Законом</w:t>
      </w:r>
      <w:r w:rsidRPr="008B264B">
        <w:rPr>
          <w:rFonts w:ascii="Times New Roman" w:eastAsia="Times New Roman" w:hAnsi="Times New Roman" w:cs="Times New Roman"/>
          <w:color w:val="000000"/>
          <w:sz w:val="24"/>
          <w:szCs w:val="24"/>
          <w:lang/>
        </w:rPr>
        <w:t> </w:t>
      </w:r>
      <w:hyperlink r:id="rId5058" w:anchor="n52"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4D1E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5" w:name="n12072"/>
      <w:bookmarkEnd w:id="9185"/>
      <w:r w:rsidRPr="008B264B">
        <w:rPr>
          <w:rFonts w:ascii="Times New Roman" w:eastAsia="Times New Roman" w:hAnsi="Times New Roman" w:cs="Times New Roman"/>
          <w:color w:val="000000"/>
          <w:sz w:val="24"/>
          <w:szCs w:val="24"/>
          <w:lang/>
        </w:rPr>
        <w:t xml:space="preserve">298.8.2. Сільськогосподарські товаровиробники - юридичні особи, утворені протягом року шляхом злиття, приєднання або перетворення, подають протягом 20 календарних днів місяця, що </w:t>
      </w:r>
      <w:r w:rsidRPr="008B264B">
        <w:rPr>
          <w:rFonts w:ascii="Times New Roman" w:eastAsia="Times New Roman" w:hAnsi="Times New Roman" w:cs="Times New Roman"/>
          <w:color w:val="000000"/>
          <w:sz w:val="24"/>
          <w:szCs w:val="24"/>
          <w:lang/>
        </w:rPr>
        <w:lastRenderedPageBreak/>
        <w:t>настає за місяцем його утворення, до контролюючих органів за своїм місцезнаходженням та за місцем розташування земельних ділянок декларацію з податку за період від дати утворення до кінця поточного року для набуття статусу платника податку, а також усіх прав і обов’язків щодо погашення податкових зобов’язань або боргів, які передані йому як правонаступнику.</w:t>
      </w:r>
    </w:p>
    <w:p w14:paraId="4441E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6" w:name="n15162"/>
      <w:bookmarkEnd w:id="9186"/>
      <w:r w:rsidRPr="008B264B">
        <w:rPr>
          <w:rFonts w:ascii="Times New Roman" w:eastAsia="Times New Roman" w:hAnsi="Times New Roman" w:cs="Times New Roman"/>
          <w:i/>
          <w:iCs/>
          <w:color w:val="000000"/>
          <w:sz w:val="24"/>
          <w:szCs w:val="24"/>
          <w:lang/>
        </w:rPr>
        <w:t>{Підпункт 298.8.2 пункту 298.8 статті 298 із змінами, внесеними згідно із Законом</w:t>
      </w:r>
      <w:r w:rsidRPr="008B264B">
        <w:rPr>
          <w:rFonts w:ascii="Times New Roman" w:eastAsia="Times New Roman" w:hAnsi="Times New Roman" w:cs="Times New Roman"/>
          <w:color w:val="000000"/>
          <w:sz w:val="24"/>
          <w:szCs w:val="24"/>
          <w:lang/>
        </w:rPr>
        <w:t> </w:t>
      </w:r>
      <w:hyperlink r:id="rId5059" w:anchor="n54"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F929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7" w:name="n12073"/>
      <w:bookmarkEnd w:id="9187"/>
      <w:r w:rsidRPr="008B264B">
        <w:rPr>
          <w:rFonts w:ascii="Times New Roman" w:eastAsia="Times New Roman" w:hAnsi="Times New Roman" w:cs="Times New Roman"/>
          <w:color w:val="000000"/>
          <w:sz w:val="24"/>
          <w:szCs w:val="24"/>
          <w:lang/>
        </w:rPr>
        <w:t>298.8.3. Дохід сільськогосподарського товаровиробника, отриманий від реалізації сільськогосподарської продукції власного виробництва та продуктів її переробки (крім підакцизних товарів, за винятком виноматеріалів виноградних (коди згідно з </w:t>
      </w:r>
      <w:hyperlink r:id="rId5060"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2204 29 - 2204 30), вироблених на підприємствах первинного виноробства для підприємств вторинного виноробства, які використовують такі виноматеріали для виробництва готової продукції), включає доходи, отримані від:</w:t>
      </w:r>
    </w:p>
    <w:p w14:paraId="2549BE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8" w:name="n14412"/>
      <w:bookmarkEnd w:id="9188"/>
      <w:r w:rsidRPr="008B264B">
        <w:rPr>
          <w:rFonts w:ascii="Times New Roman" w:eastAsia="Times New Roman" w:hAnsi="Times New Roman" w:cs="Times New Roman"/>
          <w:i/>
          <w:iCs/>
          <w:color w:val="000000"/>
          <w:sz w:val="24"/>
          <w:szCs w:val="24"/>
          <w:lang/>
        </w:rPr>
        <w:t>{Абзац перший підпункту 298.8.3 пункту 298.8 статті 298 із змінами, внесеними згідно із Законом </w:t>
      </w:r>
      <w:hyperlink r:id="rId5061" w:anchor="n143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926F8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89" w:name="n12074"/>
      <w:bookmarkEnd w:id="9189"/>
      <w:r w:rsidRPr="008B264B">
        <w:rPr>
          <w:rFonts w:ascii="Times New Roman" w:eastAsia="Times New Roman" w:hAnsi="Times New Roman" w:cs="Times New Roman"/>
          <w:color w:val="000000"/>
          <w:sz w:val="24"/>
          <w:szCs w:val="24"/>
          <w:lang/>
        </w:rPr>
        <w:t>реалізації продукції рослинництва, що вироблена (вирощена) на угіддях, які належать сільськогосподарському товаровиробнику на праві власності або надані йому в користування, а також продукції рибництва, виловленої (зібраної), розведеної, вирощеної у внутрішніх водоймах (озерах, ставках і водосховищах), та продуктів її переробки на власних підприємствах або орендованих виробничих потужностях;</w:t>
      </w:r>
    </w:p>
    <w:p w14:paraId="0720ED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0" w:name="n12075"/>
      <w:bookmarkEnd w:id="9190"/>
      <w:r w:rsidRPr="008B264B">
        <w:rPr>
          <w:rFonts w:ascii="Times New Roman" w:eastAsia="Times New Roman" w:hAnsi="Times New Roman" w:cs="Times New Roman"/>
          <w:color w:val="000000"/>
          <w:sz w:val="24"/>
          <w:szCs w:val="24"/>
          <w:lang/>
        </w:rPr>
        <w:t>реалізації продукції рослинництва на закритому ґрунті та продуктів її переробки на власних підприємствах або орендованих виробничих потужностях;</w:t>
      </w:r>
    </w:p>
    <w:p w14:paraId="1552C9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1" w:name="n12076"/>
      <w:bookmarkEnd w:id="9191"/>
      <w:r w:rsidRPr="008B264B">
        <w:rPr>
          <w:rFonts w:ascii="Times New Roman" w:eastAsia="Times New Roman" w:hAnsi="Times New Roman" w:cs="Times New Roman"/>
          <w:color w:val="000000"/>
          <w:sz w:val="24"/>
          <w:szCs w:val="24"/>
          <w:lang/>
        </w:rPr>
        <w:t>реалізації продукції тваринництва і птахівництва та продуктів її переробки на власних підприємствах або орендованих виробничих потужностях;</w:t>
      </w:r>
    </w:p>
    <w:p w14:paraId="240FAB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2" w:name="n12077"/>
      <w:bookmarkEnd w:id="9192"/>
      <w:r w:rsidRPr="008B264B">
        <w:rPr>
          <w:rFonts w:ascii="Times New Roman" w:eastAsia="Times New Roman" w:hAnsi="Times New Roman" w:cs="Times New Roman"/>
          <w:color w:val="000000"/>
          <w:sz w:val="24"/>
          <w:szCs w:val="24"/>
          <w:lang/>
        </w:rPr>
        <w:t>реалізації сільськогосподарської продукції, що вироблена із сировини власного виробництва на давальницьких умовах, незалежно від територіального розміщення переробного підприємства.</w:t>
      </w:r>
    </w:p>
    <w:p w14:paraId="083D67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3" w:name="n12078"/>
      <w:bookmarkEnd w:id="9193"/>
      <w:r w:rsidRPr="008B264B">
        <w:rPr>
          <w:rFonts w:ascii="Times New Roman" w:eastAsia="Times New Roman" w:hAnsi="Times New Roman" w:cs="Times New Roman"/>
          <w:color w:val="000000"/>
          <w:sz w:val="24"/>
          <w:szCs w:val="24"/>
          <w:lang/>
        </w:rPr>
        <w:t>У разі коли сільськогосподарське підприємство утворюється шляхом злиття, приєднання, перетворення, поділу або виділення, у рік такого утворення до суми, отриманої від реалізації сільськогосподарської продукції власного виробництва та продуктів її переробки (крім підакцизних товарів, за винятком виноматеріалів виноградних (коди згідно з </w:t>
      </w:r>
      <w:hyperlink r:id="rId5062" w:anchor="n49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2204 29 - 2204 30), вироблених на підприємствах первинного виноробства для підприємств вторинного виноробства, які використовують такі виноматеріали для виробництва готової продукції), включаються також доходи, отримані протягом останнього податкового (звітного) періоду від надання супутніх послуг:</w:t>
      </w:r>
    </w:p>
    <w:p w14:paraId="36C034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4" w:name="n14413"/>
      <w:bookmarkEnd w:id="9194"/>
      <w:r w:rsidRPr="008B264B">
        <w:rPr>
          <w:rFonts w:ascii="Times New Roman" w:eastAsia="Times New Roman" w:hAnsi="Times New Roman" w:cs="Times New Roman"/>
          <w:i/>
          <w:iCs/>
          <w:color w:val="000000"/>
          <w:sz w:val="24"/>
          <w:szCs w:val="24"/>
          <w:lang/>
        </w:rPr>
        <w:t>{Абзац шостий підпункту 298.8.3 пункту 298.8 статті 298 із змінами, внесеними згідно із Законом </w:t>
      </w:r>
      <w:hyperlink r:id="rId5063" w:anchor="n143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6B03F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5" w:name="n12079"/>
      <w:bookmarkEnd w:id="9195"/>
      <w:r w:rsidRPr="008B264B">
        <w:rPr>
          <w:rFonts w:ascii="Times New Roman" w:eastAsia="Times New Roman" w:hAnsi="Times New Roman" w:cs="Times New Roman"/>
          <w:color w:val="000000"/>
          <w:sz w:val="24"/>
          <w:szCs w:val="24"/>
          <w:lang/>
        </w:rPr>
        <w:t>послуги із збирання врожаю, його брикетування, складування, пакування та підготовки продукції до збуту (сушіння, обрізування, сортування, очистка, розмелювання, дезінфекція (за наявності ліцензії), силосування, охолодження), які надаються покупцю такої продукції сільгосппідприємством-виробником (з моменту набуття права власності на таку продукцію за договором до дати її фактичної передачі покупцю);</w:t>
      </w:r>
    </w:p>
    <w:p w14:paraId="32870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6" w:name="n12080"/>
      <w:bookmarkEnd w:id="9196"/>
      <w:r w:rsidRPr="008B264B">
        <w:rPr>
          <w:rFonts w:ascii="Times New Roman" w:eastAsia="Times New Roman" w:hAnsi="Times New Roman" w:cs="Times New Roman"/>
          <w:color w:val="000000"/>
          <w:sz w:val="24"/>
          <w:szCs w:val="24"/>
          <w:lang/>
        </w:rPr>
        <w:t>послуги з догляду за худобою і птицею, які надаються її покупцю сільгосппідприємством-виробником (з моменту набуття права власності на таку продукцію за договором до дати її фактичної передачі покупцю);</w:t>
      </w:r>
    </w:p>
    <w:p w14:paraId="010570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7" w:name="n12081"/>
      <w:bookmarkEnd w:id="9197"/>
      <w:r w:rsidRPr="008B264B">
        <w:rPr>
          <w:rFonts w:ascii="Times New Roman" w:eastAsia="Times New Roman" w:hAnsi="Times New Roman" w:cs="Times New Roman"/>
          <w:color w:val="000000"/>
          <w:sz w:val="24"/>
          <w:szCs w:val="24"/>
          <w:lang/>
        </w:rPr>
        <w:t>послуги із зберігання сільськогосподарської продукції, які надаються її покупцю сільгосппідприємством-виробником (з моменту набуття права власності на таку продукцію за договором до дати її фактичної передачі покупцю);</w:t>
      </w:r>
    </w:p>
    <w:p w14:paraId="48C52A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8" w:name="n12082"/>
      <w:bookmarkEnd w:id="9198"/>
      <w:r w:rsidRPr="008B264B">
        <w:rPr>
          <w:rFonts w:ascii="Times New Roman" w:eastAsia="Times New Roman" w:hAnsi="Times New Roman" w:cs="Times New Roman"/>
          <w:color w:val="000000"/>
          <w:sz w:val="24"/>
          <w:szCs w:val="24"/>
          <w:lang/>
        </w:rPr>
        <w:lastRenderedPageBreak/>
        <w:t>послуги з відгодівлі та забою свійської худоби і птиці, які надаються її покупцю сільгосппідприємством-виробником (з моменту набуття права власності на таку продукцію до дати її фактичної передачі покупцю).</w:t>
      </w:r>
    </w:p>
    <w:p w14:paraId="4F0171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199" w:name="n12083"/>
      <w:bookmarkEnd w:id="9199"/>
      <w:r w:rsidRPr="008B264B">
        <w:rPr>
          <w:rFonts w:ascii="Times New Roman" w:eastAsia="Times New Roman" w:hAnsi="Times New Roman" w:cs="Times New Roman"/>
          <w:color w:val="000000"/>
          <w:sz w:val="24"/>
          <w:szCs w:val="24"/>
          <w:lang/>
        </w:rPr>
        <w:t>298.8.4. У разі коли у податковому (звітному) році частка сільськогосподарського товаровиробництва становить менш як 75 відсотків, сільськогосподарський товаровиробник - юридична особа сплачує податки у наступному податковому (звітному) році на загальних підставах.</w:t>
      </w:r>
    </w:p>
    <w:p w14:paraId="057003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0" w:name="n15163"/>
      <w:bookmarkEnd w:id="9200"/>
      <w:r w:rsidRPr="008B264B">
        <w:rPr>
          <w:rFonts w:ascii="Times New Roman" w:eastAsia="Times New Roman" w:hAnsi="Times New Roman" w:cs="Times New Roman"/>
          <w:i/>
          <w:iCs/>
          <w:color w:val="000000"/>
          <w:sz w:val="24"/>
          <w:szCs w:val="24"/>
          <w:lang/>
        </w:rPr>
        <w:t>{Абзац перший підпункту 298.8.4 пункту 298.8 статті 298 із змінами, внесеними згідно із Законом</w:t>
      </w:r>
      <w:r w:rsidRPr="008B264B">
        <w:rPr>
          <w:rFonts w:ascii="Times New Roman" w:eastAsia="Times New Roman" w:hAnsi="Times New Roman" w:cs="Times New Roman"/>
          <w:color w:val="000000"/>
          <w:sz w:val="24"/>
          <w:szCs w:val="24"/>
          <w:lang/>
        </w:rPr>
        <w:t> </w:t>
      </w:r>
      <w:hyperlink r:id="rId5064" w:anchor="n55"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354AD3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1" w:name="n12084"/>
      <w:bookmarkEnd w:id="9201"/>
      <w:r w:rsidRPr="008B264B">
        <w:rPr>
          <w:rFonts w:ascii="Times New Roman" w:eastAsia="Times New Roman" w:hAnsi="Times New Roman" w:cs="Times New Roman"/>
          <w:color w:val="000000"/>
          <w:sz w:val="24"/>
          <w:szCs w:val="24"/>
          <w:lang/>
        </w:rPr>
        <w:t>Якщо така частка не перевищує 75 відсотків у зв’язку із виникненням обставин непереборної сили у попередньому податковому (звітному) році, до платника податку в наступному податковому (звітному) році зазначена вимога не застосовується. Такі платники податку для підтвердження статусу платника єдиного податку подають податкову декларацію разом із рішенням Верховної Ради Автономної Республіки Крим, обласних рад про наявність обставин непереборної сили та перелік суб’єктів господарювання, що постраждали внаслідок таких обставин.</w:t>
      </w:r>
    </w:p>
    <w:p w14:paraId="12991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2" w:name="n15165"/>
      <w:bookmarkEnd w:id="9202"/>
      <w:r w:rsidRPr="008B264B">
        <w:rPr>
          <w:rFonts w:ascii="Times New Roman" w:eastAsia="Times New Roman" w:hAnsi="Times New Roman" w:cs="Times New Roman"/>
          <w:color w:val="000000"/>
          <w:sz w:val="24"/>
          <w:szCs w:val="24"/>
          <w:lang/>
        </w:rPr>
        <w:t>298.8.5. Зареєстровані в установленому порядку фізичні особи - підприємці, які до закінчення місяця, в якому відбулася державна реєстрація, подали заяву про обрання спрощеної системи оподаткування та ставки єдиного податку, встановленої для четвертої групи, вважаються платниками єдиного податку з дня державної реєстрації.</w:t>
      </w:r>
    </w:p>
    <w:p w14:paraId="156E71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3" w:name="n15166"/>
      <w:bookmarkEnd w:id="9203"/>
      <w:r w:rsidRPr="008B264B">
        <w:rPr>
          <w:rFonts w:ascii="Times New Roman" w:eastAsia="Times New Roman" w:hAnsi="Times New Roman" w:cs="Times New Roman"/>
          <w:color w:val="000000"/>
          <w:sz w:val="24"/>
          <w:szCs w:val="24"/>
          <w:lang/>
        </w:rPr>
        <w:t>Заява подається на вибір платника податків в один із способів, визначених </w:t>
      </w:r>
      <w:hyperlink r:id="rId5065" w:anchor="n7218" w:history="1">
        <w:r w:rsidRPr="008B264B">
          <w:rPr>
            <w:rFonts w:ascii="Times New Roman" w:eastAsia="Times New Roman" w:hAnsi="Times New Roman" w:cs="Times New Roman"/>
            <w:color w:val="0000FF"/>
            <w:sz w:val="24"/>
            <w:szCs w:val="24"/>
            <w:u w:val="single"/>
            <w:lang/>
          </w:rPr>
          <w:t>частинами 1-4</w:t>
        </w:r>
      </w:hyperlink>
      <w:r w:rsidRPr="008B264B">
        <w:rPr>
          <w:rFonts w:ascii="Times New Roman" w:eastAsia="Times New Roman" w:hAnsi="Times New Roman" w:cs="Times New Roman"/>
          <w:color w:val="000000"/>
          <w:sz w:val="24"/>
          <w:szCs w:val="24"/>
          <w:lang/>
        </w:rPr>
        <w:t> підпункту 298.1.1 пункту 298.1 статті 298 цього Кодексу.</w:t>
      </w:r>
    </w:p>
    <w:p w14:paraId="490B08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4" w:name="n15171"/>
      <w:bookmarkEnd w:id="9204"/>
      <w:r w:rsidRPr="008B264B">
        <w:rPr>
          <w:rFonts w:ascii="Times New Roman" w:eastAsia="Times New Roman" w:hAnsi="Times New Roman" w:cs="Times New Roman"/>
          <w:i/>
          <w:iCs/>
          <w:color w:val="000000"/>
          <w:sz w:val="24"/>
          <w:szCs w:val="24"/>
          <w:lang/>
        </w:rPr>
        <w:t>{Пункт 298.8 статті 298 доповнено підпунктом 298.8.5 згідно із Законом</w:t>
      </w:r>
      <w:r w:rsidRPr="008B264B">
        <w:rPr>
          <w:rFonts w:ascii="Times New Roman" w:eastAsia="Times New Roman" w:hAnsi="Times New Roman" w:cs="Times New Roman"/>
          <w:color w:val="000000"/>
          <w:sz w:val="24"/>
          <w:szCs w:val="24"/>
          <w:lang/>
        </w:rPr>
        <w:t> </w:t>
      </w:r>
      <w:hyperlink r:id="rId5066" w:anchor="n5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759D6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5" w:name="n15167"/>
      <w:bookmarkEnd w:id="9205"/>
      <w:r w:rsidRPr="008B264B">
        <w:rPr>
          <w:rFonts w:ascii="Times New Roman" w:eastAsia="Times New Roman" w:hAnsi="Times New Roman" w:cs="Times New Roman"/>
          <w:color w:val="000000"/>
          <w:sz w:val="24"/>
          <w:szCs w:val="24"/>
          <w:lang/>
        </w:rPr>
        <w:t>298.8.6. Платники єдиного податку четвертої групи (фізичні особи - підприємці), які у податковому (звітному) періоді не забезпечили дотримання сукупності умов (критеріїв), передбачених </w:t>
      </w:r>
      <w:hyperlink r:id="rId5067" w:anchor="n15149" w:history="1">
        <w:r w:rsidRPr="008B264B">
          <w:rPr>
            <w:rFonts w:ascii="Times New Roman" w:eastAsia="Times New Roman" w:hAnsi="Times New Roman" w:cs="Times New Roman"/>
            <w:color w:val="0000FF"/>
            <w:sz w:val="24"/>
            <w:szCs w:val="24"/>
            <w:u w:val="single"/>
            <w:lang/>
          </w:rPr>
          <w:t>підпунктом "б"</w:t>
        </w:r>
      </w:hyperlink>
      <w:r w:rsidRPr="008B264B">
        <w:rPr>
          <w:rFonts w:ascii="Times New Roman" w:eastAsia="Times New Roman" w:hAnsi="Times New Roman" w:cs="Times New Roman"/>
          <w:color w:val="000000"/>
          <w:sz w:val="24"/>
          <w:szCs w:val="24"/>
          <w:lang/>
        </w:rPr>
        <w:t> підпункту 4 пункту 291.4 статті 291 цього Кодексу, зобов’язані сплатити у поточному році податок у розмірі, що розраховується виходячи з 25 відсотків річної суми податку за кожний квартал, протягом якого платник перебував на четвертій групі платників єдиного податку, та з наступного податкового (звітного) кварталу перейти на застосування ставки єдиного податку, визначеної для платників єдиного податку третьої групи, або відмовитися від застосування спрощеної системи оподаткування.</w:t>
      </w:r>
    </w:p>
    <w:p w14:paraId="5C9828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6" w:name="n15168"/>
      <w:bookmarkEnd w:id="9206"/>
      <w:r w:rsidRPr="008B264B">
        <w:rPr>
          <w:rFonts w:ascii="Times New Roman" w:eastAsia="Times New Roman" w:hAnsi="Times New Roman" w:cs="Times New Roman"/>
          <w:color w:val="000000"/>
          <w:sz w:val="24"/>
          <w:szCs w:val="24"/>
          <w:lang/>
        </w:rPr>
        <w:t>Заява про такий перехід подається таким платником податку не пізніше 20 числа місяця, наступного за календарним кварталом, у якому не забезпечено дотримання сукупності умов (критеріїв), передбачених підпунктом "б" підпункту 4 пункту 291.4 статті 291 цього Кодексу.</w:t>
      </w:r>
    </w:p>
    <w:p w14:paraId="544D28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7" w:name="n15172"/>
      <w:bookmarkEnd w:id="9207"/>
      <w:r w:rsidRPr="008B264B">
        <w:rPr>
          <w:rFonts w:ascii="Times New Roman" w:eastAsia="Times New Roman" w:hAnsi="Times New Roman" w:cs="Times New Roman"/>
          <w:i/>
          <w:iCs/>
          <w:color w:val="000000"/>
          <w:sz w:val="24"/>
          <w:szCs w:val="24"/>
          <w:lang/>
        </w:rPr>
        <w:t>{Пункт 298.8 статті 298 доповнено підпунктом 298.8.6 згідно із Законом</w:t>
      </w:r>
      <w:r w:rsidRPr="008B264B">
        <w:rPr>
          <w:rFonts w:ascii="Times New Roman" w:eastAsia="Times New Roman" w:hAnsi="Times New Roman" w:cs="Times New Roman"/>
          <w:color w:val="000000"/>
          <w:sz w:val="24"/>
          <w:szCs w:val="24"/>
          <w:lang/>
        </w:rPr>
        <w:t> </w:t>
      </w:r>
      <w:hyperlink r:id="rId5068" w:anchor="n5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2F20E6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8" w:name="n15169"/>
      <w:bookmarkEnd w:id="9208"/>
      <w:r w:rsidRPr="008B264B">
        <w:rPr>
          <w:rFonts w:ascii="Times New Roman" w:eastAsia="Times New Roman" w:hAnsi="Times New Roman" w:cs="Times New Roman"/>
          <w:color w:val="000000"/>
          <w:sz w:val="24"/>
          <w:szCs w:val="24"/>
          <w:lang/>
        </w:rPr>
        <w:t>298.8.7. Платники єдиного податку четвертої групи можуть самостійно перейти на застосування ставки єдиного податку, визначеної для платників єдиного податку іншої групи, або відмовитися від спрощеної системи оподаткування у зв’язку з переходом на сплату інших податків і зборів, визначених цим Кодексом, з першого числа місяця, наступного за податковим (звітним) кварталом, у якому подано відповідну заяву, за умови сплати податку за поточний рік у розмірі, що розраховується виходячи з 25 відсотків річної суми податку за кожний квартал, протягом якого платник перебував на четвертій групі платників єдиного податку.</w:t>
      </w:r>
    </w:p>
    <w:p w14:paraId="1C422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09" w:name="n15173"/>
      <w:bookmarkEnd w:id="9209"/>
      <w:r w:rsidRPr="008B264B">
        <w:rPr>
          <w:rFonts w:ascii="Times New Roman" w:eastAsia="Times New Roman" w:hAnsi="Times New Roman" w:cs="Times New Roman"/>
          <w:i/>
          <w:iCs/>
          <w:color w:val="000000"/>
          <w:sz w:val="24"/>
          <w:szCs w:val="24"/>
          <w:lang/>
        </w:rPr>
        <w:t>{Пункт 298.8 статті 298 доповнено підпунктом 298.8.7 згідно із Законом</w:t>
      </w:r>
      <w:r w:rsidRPr="008B264B">
        <w:rPr>
          <w:rFonts w:ascii="Times New Roman" w:eastAsia="Times New Roman" w:hAnsi="Times New Roman" w:cs="Times New Roman"/>
          <w:color w:val="000000"/>
          <w:sz w:val="24"/>
          <w:szCs w:val="24"/>
          <w:lang/>
        </w:rPr>
        <w:t> </w:t>
      </w:r>
      <w:hyperlink r:id="rId5069" w:anchor="n5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31D452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0" w:name="n15170"/>
      <w:bookmarkEnd w:id="9210"/>
      <w:r w:rsidRPr="008B264B">
        <w:rPr>
          <w:rFonts w:ascii="Times New Roman" w:eastAsia="Times New Roman" w:hAnsi="Times New Roman" w:cs="Times New Roman"/>
          <w:color w:val="000000"/>
          <w:sz w:val="24"/>
          <w:szCs w:val="24"/>
          <w:lang/>
        </w:rPr>
        <w:t xml:space="preserve">298.8.8. Сільськогосподарський товаровиробник повторно може бути включений до четвертої групи платників єдиного податку не раніше ніж через два календарні роки після його </w:t>
      </w:r>
      <w:r w:rsidRPr="008B264B">
        <w:rPr>
          <w:rFonts w:ascii="Times New Roman" w:eastAsia="Times New Roman" w:hAnsi="Times New Roman" w:cs="Times New Roman"/>
          <w:color w:val="000000"/>
          <w:sz w:val="24"/>
          <w:szCs w:val="24"/>
          <w:lang/>
        </w:rPr>
        <w:lastRenderedPageBreak/>
        <w:t>переходу на застосування ставки єдиного податку, визначеної для платників єдиного податку іншої групи, або анулювання його попередньої реєстрації платником єдиного податку четвертої групи. Норми цього підпункту не застосовуються у разі анулювання реєстрації платником єдиного податку четвертої групи юридичної особи за ініціативою контролюючого органу.</w:t>
      </w:r>
    </w:p>
    <w:p w14:paraId="395AFA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1" w:name="n15174"/>
      <w:bookmarkEnd w:id="9211"/>
      <w:r w:rsidRPr="008B264B">
        <w:rPr>
          <w:rFonts w:ascii="Times New Roman" w:eastAsia="Times New Roman" w:hAnsi="Times New Roman" w:cs="Times New Roman"/>
          <w:i/>
          <w:iCs/>
          <w:color w:val="000000"/>
          <w:sz w:val="24"/>
          <w:szCs w:val="24"/>
          <w:lang/>
        </w:rPr>
        <w:t>{Пункт 298.8 статті 298 доповнено підпунктом 298.8.8 згідно із Законом</w:t>
      </w:r>
      <w:r w:rsidRPr="008B264B">
        <w:rPr>
          <w:rFonts w:ascii="Times New Roman" w:eastAsia="Times New Roman" w:hAnsi="Times New Roman" w:cs="Times New Roman"/>
          <w:color w:val="000000"/>
          <w:sz w:val="24"/>
          <w:szCs w:val="24"/>
          <w:lang/>
        </w:rPr>
        <w:t> </w:t>
      </w:r>
      <w:hyperlink r:id="rId5070" w:anchor="n5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723BAB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2" w:name="n12064"/>
      <w:bookmarkEnd w:id="9212"/>
      <w:r w:rsidRPr="008B264B">
        <w:rPr>
          <w:rFonts w:ascii="Times New Roman" w:eastAsia="Times New Roman" w:hAnsi="Times New Roman" w:cs="Times New Roman"/>
          <w:i/>
          <w:iCs/>
          <w:color w:val="000000"/>
          <w:sz w:val="24"/>
          <w:szCs w:val="24"/>
          <w:lang/>
        </w:rPr>
        <w:t>{Статтю 298 доповнено пунктом 298.8 згідно із Законом </w:t>
      </w:r>
      <w:hyperlink r:id="rId5071" w:anchor="n163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63A6D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3" w:name="n15176"/>
      <w:bookmarkEnd w:id="9213"/>
      <w:r w:rsidRPr="008B264B">
        <w:rPr>
          <w:rFonts w:ascii="Times New Roman" w:eastAsia="Times New Roman" w:hAnsi="Times New Roman" w:cs="Times New Roman"/>
          <w:color w:val="000000"/>
          <w:sz w:val="24"/>
          <w:szCs w:val="24"/>
          <w:lang/>
        </w:rPr>
        <w:t>298.9. Відомості про реєстрацію або анулювання реєстрації фізичної особи - підприємця - платника єдиного податку четвертої групи у формі витягу з реєстру платників єдиного податку не пізніше 30 календарних днів з дня такої реєстрації надаються контролюючим органом органу місцевого самоврядування за податковою адресою такого платника податку.</w:t>
      </w:r>
    </w:p>
    <w:p w14:paraId="3A9050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4" w:name="n15175"/>
      <w:bookmarkEnd w:id="9214"/>
      <w:r w:rsidRPr="008B264B">
        <w:rPr>
          <w:rFonts w:ascii="Times New Roman" w:eastAsia="Times New Roman" w:hAnsi="Times New Roman" w:cs="Times New Roman"/>
          <w:i/>
          <w:iCs/>
          <w:color w:val="000000"/>
          <w:sz w:val="24"/>
          <w:szCs w:val="24"/>
          <w:lang/>
        </w:rPr>
        <w:t>{Статтю 298 доповнено пунктом 298.9 згідно із Законом</w:t>
      </w:r>
      <w:r w:rsidRPr="008B264B">
        <w:rPr>
          <w:rFonts w:ascii="Times New Roman" w:eastAsia="Times New Roman" w:hAnsi="Times New Roman" w:cs="Times New Roman"/>
          <w:color w:val="000000"/>
          <w:sz w:val="24"/>
          <w:szCs w:val="24"/>
          <w:lang/>
        </w:rPr>
        <w:t> </w:t>
      </w:r>
      <w:hyperlink r:id="rId5072" w:anchor="n63"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4D6B9B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5" w:name="n7282"/>
      <w:bookmarkEnd w:id="9215"/>
      <w:r w:rsidRPr="008B264B">
        <w:rPr>
          <w:rFonts w:ascii="Times New Roman" w:eastAsia="Times New Roman" w:hAnsi="Times New Roman" w:cs="Times New Roman"/>
          <w:b/>
          <w:bCs/>
          <w:color w:val="000000"/>
          <w:sz w:val="24"/>
          <w:szCs w:val="24"/>
          <w:lang/>
        </w:rPr>
        <w:t>Стаття 299.</w:t>
      </w:r>
      <w:r w:rsidRPr="008B264B">
        <w:rPr>
          <w:rFonts w:ascii="Times New Roman" w:eastAsia="Times New Roman" w:hAnsi="Times New Roman" w:cs="Times New Roman"/>
          <w:color w:val="000000"/>
          <w:sz w:val="24"/>
          <w:szCs w:val="24"/>
          <w:lang/>
        </w:rPr>
        <w:t> Порядок реєстрації та анулювання реєстрації платників єдиного податку</w:t>
      </w:r>
    </w:p>
    <w:p w14:paraId="342FE5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6" w:name="n9578"/>
      <w:bookmarkEnd w:id="9216"/>
      <w:r w:rsidRPr="008B264B">
        <w:rPr>
          <w:rFonts w:ascii="Times New Roman" w:eastAsia="Times New Roman" w:hAnsi="Times New Roman" w:cs="Times New Roman"/>
          <w:color w:val="000000"/>
          <w:sz w:val="24"/>
          <w:szCs w:val="24"/>
          <w:lang/>
        </w:rPr>
        <w:t>299.1. Реєстрація суб’єкта господарювання як платника єдиного податку здійснюється шляхом внесення відповідних записів до реєстру платників єдиного податку.</w:t>
      </w:r>
    </w:p>
    <w:p w14:paraId="2C7224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7" w:name="n9579"/>
      <w:bookmarkEnd w:id="9217"/>
      <w:r w:rsidRPr="008B264B">
        <w:rPr>
          <w:rFonts w:ascii="Times New Roman" w:eastAsia="Times New Roman" w:hAnsi="Times New Roman" w:cs="Times New Roman"/>
          <w:color w:val="000000"/>
          <w:sz w:val="24"/>
          <w:szCs w:val="24"/>
          <w:lang/>
        </w:rPr>
        <w:t>299.2. Центральний орган виконавчої влади, що реалізує державну податкову і митну політику, веде реєстр платників єдиного податку, в якому міститься інформація про осіб, зареєстрованих платниками єдиного податку.</w:t>
      </w:r>
    </w:p>
    <w:p w14:paraId="31E646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8" w:name="n13486"/>
      <w:bookmarkEnd w:id="9218"/>
      <w:r w:rsidRPr="008B264B">
        <w:rPr>
          <w:rFonts w:ascii="Times New Roman" w:eastAsia="Times New Roman" w:hAnsi="Times New Roman" w:cs="Times New Roman"/>
          <w:i/>
          <w:iCs/>
          <w:color w:val="000000"/>
          <w:sz w:val="24"/>
          <w:szCs w:val="24"/>
          <w:lang/>
        </w:rPr>
        <w:t>{Пункт 299.2 статті 299 із змінами, внесеними згідно із Законом </w:t>
      </w:r>
      <w:hyperlink r:id="rId507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A1968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19" w:name="n9580"/>
      <w:bookmarkEnd w:id="9219"/>
      <w:r w:rsidRPr="008B264B">
        <w:rPr>
          <w:rFonts w:ascii="Times New Roman" w:eastAsia="Times New Roman" w:hAnsi="Times New Roman" w:cs="Times New Roman"/>
          <w:color w:val="000000"/>
          <w:sz w:val="24"/>
          <w:szCs w:val="24"/>
          <w:lang/>
        </w:rPr>
        <w:t>299.3. У разі відсутності визначених цим Кодексом підстав для відмови у реєстрації суб’єкта господарювання як платника єдиного податку контролюючий орган зобов’язаний протягом двох робочих днів від дати надходження заяви щодо переходу на спрощену систему оподаткування зареєструвати таку особу платником єдиного податку.</w:t>
      </w:r>
    </w:p>
    <w:p w14:paraId="6BB823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0" w:name="n9581"/>
      <w:bookmarkEnd w:id="9220"/>
      <w:r w:rsidRPr="008B264B">
        <w:rPr>
          <w:rFonts w:ascii="Times New Roman" w:eastAsia="Times New Roman" w:hAnsi="Times New Roman" w:cs="Times New Roman"/>
          <w:color w:val="000000"/>
          <w:sz w:val="24"/>
          <w:szCs w:val="24"/>
          <w:lang/>
        </w:rPr>
        <w:t>299.4. У випадках, передбачених </w:t>
      </w:r>
      <w:hyperlink r:id="rId5074" w:anchor="n7224" w:history="1">
        <w:r w:rsidRPr="008B264B">
          <w:rPr>
            <w:rFonts w:ascii="Times New Roman" w:eastAsia="Times New Roman" w:hAnsi="Times New Roman" w:cs="Times New Roman"/>
            <w:color w:val="0000FF"/>
            <w:sz w:val="24"/>
            <w:szCs w:val="24"/>
            <w:u w:val="single"/>
            <w:lang/>
          </w:rPr>
          <w:t>підпунктом 298.1.2</w:t>
        </w:r>
      </w:hyperlink>
      <w:r w:rsidRPr="008B264B">
        <w:rPr>
          <w:rFonts w:ascii="Times New Roman" w:eastAsia="Times New Roman" w:hAnsi="Times New Roman" w:cs="Times New Roman"/>
          <w:color w:val="000000"/>
          <w:sz w:val="24"/>
          <w:szCs w:val="24"/>
          <w:lang/>
        </w:rPr>
        <w:t> пункту 298.1 та підпунктом 298.8.5 пункту 298.8 статті 298 цього Кодексу, контролюючий орган, у разі відсутності визначених цим Кодексом підстав для відмови, здійснює реєстрацію суб’єкта господарювання як платника єдиного податку з дати, визначеної відповідно до зазначеного підпункту, протягом двох робочих днів з дати отримання контролюючим органом заяви щодо обрання спрощеної системи оподаткування або отримання цим органом від державного реєстратора електронної копії заяви, виготовленої шляхом сканування, одночасно з відомостями з Єдиного державного реєстру юридичних осіб, фізичних осіб - підприємців та громадських формувань про проведення державної реєстрації юридичної особи або фізичної особи - підприємця, якщо така заява додана до реєстраційної картки.</w:t>
      </w:r>
    </w:p>
    <w:p w14:paraId="123287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1" w:name="n14414"/>
      <w:bookmarkEnd w:id="9221"/>
      <w:r w:rsidRPr="008B264B">
        <w:rPr>
          <w:rFonts w:ascii="Times New Roman" w:eastAsia="Times New Roman" w:hAnsi="Times New Roman" w:cs="Times New Roman"/>
          <w:i/>
          <w:iCs/>
          <w:color w:val="000000"/>
          <w:sz w:val="24"/>
          <w:szCs w:val="24"/>
          <w:lang/>
        </w:rPr>
        <w:t>{Пункт 299.4 статті 299 із змінами, внесеними згідно із Законами </w:t>
      </w:r>
      <w:hyperlink r:id="rId5075" w:anchor="n143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5076" w:anchor="n66"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377886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2" w:name="n9582"/>
      <w:bookmarkEnd w:id="9222"/>
      <w:r w:rsidRPr="008B264B">
        <w:rPr>
          <w:rFonts w:ascii="Times New Roman" w:eastAsia="Times New Roman" w:hAnsi="Times New Roman" w:cs="Times New Roman"/>
          <w:color w:val="000000"/>
          <w:sz w:val="24"/>
          <w:szCs w:val="24"/>
          <w:lang/>
        </w:rPr>
        <w:t>299.5. У разі відмови у реєстрації платника єдиного податку контролюючий орган зобов’язаний надати протягом двох робочих днів з дня подання суб’єктом господарювання відповідної заяви письмову вмотивовану відмову, яка може бути оскаржена суб’єктом господарювання у встановленому порядку.</w:t>
      </w:r>
    </w:p>
    <w:p w14:paraId="25D4EB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3" w:name="n9583"/>
      <w:bookmarkEnd w:id="9223"/>
      <w:r w:rsidRPr="008B264B">
        <w:rPr>
          <w:rFonts w:ascii="Times New Roman" w:eastAsia="Times New Roman" w:hAnsi="Times New Roman" w:cs="Times New Roman"/>
          <w:color w:val="000000"/>
          <w:sz w:val="24"/>
          <w:szCs w:val="24"/>
          <w:lang/>
        </w:rPr>
        <w:t>299.6. Підставами для прийняття контролюючим органом рішення про відмову у реєстрації суб’єкта господарювання як платника єдиного податку є виключно:</w:t>
      </w:r>
    </w:p>
    <w:p w14:paraId="7451EF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4" w:name="n9584"/>
      <w:bookmarkEnd w:id="9224"/>
      <w:r w:rsidRPr="008B264B">
        <w:rPr>
          <w:rFonts w:ascii="Times New Roman" w:eastAsia="Times New Roman" w:hAnsi="Times New Roman" w:cs="Times New Roman"/>
          <w:color w:val="000000"/>
          <w:sz w:val="24"/>
          <w:szCs w:val="24"/>
          <w:lang/>
        </w:rPr>
        <w:t>1) невідповідність такого суб’єкта вимогам, встановленим </w:t>
      </w:r>
      <w:hyperlink r:id="rId5077" w:anchor="n6946" w:history="1">
        <w:r w:rsidRPr="008B264B">
          <w:rPr>
            <w:rFonts w:ascii="Times New Roman" w:eastAsia="Times New Roman" w:hAnsi="Times New Roman" w:cs="Times New Roman"/>
            <w:color w:val="0000FF"/>
            <w:sz w:val="24"/>
            <w:szCs w:val="24"/>
            <w:u w:val="single"/>
            <w:lang/>
          </w:rPr>
          <w:t>статтею 291</w:t>
        </w:r>
      </w:hyperlink>
      <w:r w:rsidRPr="008B264B">
        <w:rPr>
          <w:rFonts w:ascii="Times New Roman" w:eastAsia="Times New Roman" w:hAnsi="Times New Roman" w:cs="Times New Roman"/>
          <w:color w:val="000000"/>
          <w:sz w:val="24"/>
          <w:szCs w:val="24"/>
          <w:lang/>
        </w:rPr>
        <w:t> цього Кодексу;</w:t>
      </w:r>
    </w:p>
    <w:p w14:paraId="064EDE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5" w:name="n9585"/>
      <w:bookmarkEnd w:id="9225"/>
      <w:r w:rsidRPr="008B264B">
        <w:rPr>
          <w:rFonts w:ascii="Times New Roman" w:eastAsia="Times New Roman" w:hAnsi="Times New Roman" w:cs="Times New Roman"/>
          <w:color w:val="000000"/>
          <w:sz w:val="24"/>
          <w:szCs w:val="24"/>
          <w:lang/>
        </w:rPr>
        <w:t>2) наявність у суб’єкта господарювання, який утворюється у результаті реорганізації (крім перетворення) будь-якого платника податку, непогашених податкових зобов’язань чи податкового боргу, що виникли до такої реорганізації;</w:t>
      </w:r>
    </w:p>
    <w:p w14:paraId="1ABA28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6" w:name="n9586"/>
      <w:bookmarkEnd w:id="9226"/>
      <w:r w:rsidRPr="008B264B">
        <w:rPr>
          <w:rFonts w:ascii="Times New Roman" w:eastAsia="Times New Roman" w:hAnsi="Times New Roman" w:cs="Times New Roman"/>
          <w:color w:val="000000"/>
          <w:sz w:val="24"/>
          <w:szCs w:val="24"/>
          <w:lang/>
        </w:rPr>
        <w:lastRenderedPageBreak/>
        <w:t>3) недотримання таким суб’єктом вимог, встановлених </w:t>
      </w:r>
      <w:hyperlink r:id="rId5078" w:anchor="n7228" w:history="1">
        <w:r w:rsidRPr="008B264B">
          <w:rPr>
            <w:rFonts w:ascii="Times New Roman" w:eastAsia="Times New Roman" w:hAnsi="Times New Roman" w:cs="Times New Roman"/>
            <w:color w:val="0000FF"/>
            <w:sz w:val="24"/>
            <w:szCs w:val="24"/>
            <w:u w:val="single"/>
            <w:lang/>
          </w:rPr>
          <w:t>підпунктом 298.1.4 пункту 298.1 статті 298</w:t>
        </w:r>
      </w:hyperlink>
      <w:r w:rsidRPr="008B264B">
        <w:rPr>
          <w:rFonts w:ascii="Times New Roman" w:eastAsia="Times New Roman" w:hAnsi="Times New Roman" w:cs="Times New Roman"/>
          <w:color w:val="000000"/>
          <w:sz w:val="24"/>
          <w:szCs w:val="24"/>
          <w:lang/>
        </w:rPr>
        <w:t> цього Кодексу.</w:t>
      </w:r>
    </w:p>
    <w:p w14:paraId="72B6F7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7" w:name="n9587"/>
      <w:bookmarkEnd w:id="9227"/>
      <w:r w:rsidRPr="008B264B">
        <w:rPr>
          <w:rFonts w:ascii="Times New Roman" w:eastAsia="Times New Roman" w:hAnsi="Times New Roman" w:cs="Times New Roman"/>
          <w:color w:val="000000"/>
          <w:sz w:val="24"/>
          <w:szCs w:val="24"/>
          <w:lang/>
        </w:rPr>
        <w:t>299.7. До реєстру платників єдиного податку вносяться такі відомості про платника єдиного податку:</w:t>
      </w:r>
    </w:p>
    <w:p w14:paraId="7054BD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8" w:name="n9588"/>
      <w:bookmarkEnd w:id="9228"/>
      <w:r w:rsidRPr="008B264B">
        <w:rPr>
          <w:rFonts w:ascii="Times New Roman" w:eastAsia="Times New Roman" w:hAnsi="Times New Roman" w:cs="Times New Roman"/>
          <w:color w:val="000000"/>
          <w:sz w:val="24"/>
          <w:szCs w:val="24"/>
          <w:lang/>
        </w:rPr>
        <w:t>1) найменування суб’єкта господарювання, код згідно з ЄДРПОУ (для юридичної особи) або прізвище, ім’я, по батькові фізичної особи - підприємця, реєстраційний номер облікової картки платника податків або серія та номер паспорта (для фізичних осіб, які через свої релігійні переконання в установленому порядку відмовилися від прийняття реєстраційного номера облікової картки платника податків і мають відповідну відмітку у паспорті);</w:t>
      </w:r>
    </w:p>
    <w:p w14:paraId="7DECB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29" w:name="n9589"/>
      <w:bookmarkEnd w:id="9229"/>
      <w:r w:rsidRPr="008B264B">
        <w:rPr>
          <w:rFonts w:ascii="Times New Roman" w:eastAsia="Times New Roman" w:hAnsi="Times New Roman" w:cs="Times New Roman"/>
          <w:color w:val="000000"/>
          <w:sz w:val="24"/>
          <w:szCs w:val="24"/>
          <w:lang/>
        </w:rPr>
        <w:t>2) податкова адреса суб’єкта господарювання;</w:t>
      </w:r>
    </w:p>
    <w:p w14:paraId="7C67AA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0" w:name="n9590"/>
      <w:bookmarkEnd w:id="9230"/>
      <w:r w:rsidRPr="008B264B">
        <w:rPr>
          <w:rFonts w:ascii="Times New Roman" w:eastAsia="Times New Roman" w:hAnsi="Times New Roman" w:cs="Times New Roman"/>
          <w:color w:val="000000"/>
          <w:sz w:val="24"/>
          <w:szCs w:val="24"/>
          <w:lang/>
        </w:rPr>
        <w:t>3) місце провадження господарської діяльності;</w:t>
      </w:r>
    </w:p>
    <w:p w14:paraId="300048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1" w:name="n9591"/>
      <w:bookmarkEnd w:id="9231"/>
      <w:r w:rsidRPr="008B264B">
        <w:rPr>
          <w:rFonts w:ascii="Times New Roman" w:eastAsia="Times New Roman" w:hAnsi="Times New Roman" w:cs="Times New Roman"/>
          <w:color w:val="000000"/>
          <w:sz w:val="24"/>
          <w:szCs w:val="24"/>
          <w:lang/>
        </w:rPr>
        <w:t>4) обрані фізичною особою - підприємцем першої та другої груп види господарської діяльності;</w:t>
      </w:r>
    </w:p>
    <w:p w14:paraId="15E24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2" w:name="n9592"/>
      <w:bookmarkEnd w:id="9232"/>
      <w:r w:rsidRPr="008B264B">
        <w:rPr>
          <w:rFonts w:ascii="Times New Roman" w:eastAsia="Times New Roman" w:hAnsi="Times New Roman" w:cs="Times New Roman"/>
          <w:color w:val="000000"/>
          <w:sz w:val="24"/>
          <w:szCs w:val="24"/>
          <w:lang/>
        </w:rPr>
        <w:t>5) ставка єдиного податку та група платника податку;</w:t>
      </w:r>
    </w:p>
    <w:p w14:paraId="2486B6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3" w:name="n9593"/>
      <w:bookmarkEnd w:id="9233"/>
      <w:r w:rsidRPr="008B264B">
        <w:rPr>
          <w:rFonts w:ascii="Times New Roman" w:eastAsia="Times New Roman" w:hAnsi="Times New Roman" w:cs="Times New Roman"/>
          <w:color w:val="000000"/>
          <w:sz w:val="24"/>
          <w:szCs w:val="24"/>
          <w:lang/>
        </w:rPr>
        <w:t>6) дата (період) обрання або переходу на спрощену систему оподаткування;</w:t>
      </w:r>
    </w:p>
    <w:p w14:paraId="5F033E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4" w:name="n9594"/>
      <w:bookmarkEnd w:id="9234"/>
      <w:r w:rsidRPr="008B264B">
        <w:rPr>
          <w:rFonts w:ascii="Times New Roman" w:eastAsia="Times New Roman" w:hAnsi="Times New Roman" w:cs="Times New Roman"/>
          <w:color w:val="000000"/>
          <w:sz w:val="24"/>
          <w:szCs w:val="24"/>
          <w:lang/>
        </w:rPr>
        <w:t>7) дата реєстрації;</w:t>
      </w:r>
    </w:p>
    <w:p w14:paraId="1A7557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5" w:name="n9595"/>
      <w:bookmarkEnd w:id="9235"/>
      <w:r w:rsidRPr="008B264B">
        <w:rPr>
          <w:rFonts w:ascii="Times New Roman" w:eastAsia="Times New Roman" w:hAnsi="Times New Roman" w:cs="Times New Roman"/>
          <w:color w:val="000000"/>
          <w:sz w:val="24"/>
          <w:szCs w:val="24"/>
          <w:lang/>
        </w:rPr>
        <w:t>8) види господарської діяльності;</w:t>
      </w:r>
    </w:p>
    <w:p w14:paraId="22B0A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6" w:name="n12085"/>
      <w:bookmarkEnd w:id="9236"/>
      <w:r w:rsidRPr="008B264B">
        <w:rPr>
          <w:rFonts w:ascii="Times New Roman" w:eastAsia="Times New Roman" w:hAnsi="Times New Roman" w:cs="Times New Roman"/>
          <w:i/>
          <w:iCs/>
          <w:color w:val="000000"/>
          <w:sz w:val="24"/>
          <w:szCs w:val="24"/>
          <w:lang/>
        </w:rPr>
        <w:t>{Підпункт 8 пункту 299.7 статті 299 із змінами, внесеними згідно із Законом </w:t>
      </w:r>
      <w:hyperlink r:id="rId5079" w:anchor="n165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DD9F2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7" w:name="n9596"/>
      <w:bookmarkEnd w:id="9237"/>
      <w:r w:rsidRPr="008B264B">
        <w:rPr>
          <w:rFonts w:ascii="Times New Roman" w:eastAsia="Times New Roman" w:hAnsi="Times New Roman" w:cs="Times New Roman"/>
          <w:color w:val="000000"/>
          <w:sz w:val="24"/>
          <w:szCs w:val="24"/>
          <w:lang/>
        </w:rPr>
        <w:t>9) дата анулювання реєстрації.</w:t>
      </w:r>
    </w:p>
    <w:p w14:paraId="5D409E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8" w:name="n9597"/>
      <w:bookmarkEnd w:id="9238"/>
      <w:r w:rsidRPr="008B264B">
        <w:rPr>
          <w:rFonts w:ascii="Times New Roman" w:eastAsia="Times New Roman" w:hAnsi="Times New Roman" w:cs="Times New Roman"/>
          <w:color w:val="000000"/>
          <w:sz w:val="24"/>
          <w:szCs w:val="24"/>
          <w:lang/>
        </w:rPr>
        <w:t>299.8. У разі зміни відомостей, передбачених підпунктами 1-5 пункту 299.7 цієї статті, вносяться зміни до реєстру платників єдиного податку в день подання платником відповідної заяви.</w:t>
      </w:r>
    </w:p>
    <w:p w14:paraId="12FC87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39" w:name="n9598"/>
      <w:bookmarkEnd w:id="9239"/>
      <w:r w:rsidRPr="008B264B">
        <w:rPr>
          <w:rFonts w:ascii="Times New Roman" w:eastAsia="Times New Roman" w:hAnsi="Times New Roman" w:cs="Times New Roman"/>
          <w:color w:val="000000"/>
          <w:sz w:val="24"/>
          <w:szCs w:val="24"/>
          <w:lang/>
        </w:rPr>
        <w:t>299.9. За бажанням зареєстрований платник єдиного податку може безоплатно та безумовно отримати витяг з реєстру платників єдиного податку. Строк надання витягу не повинен перевищувати одного робочого дня з дня надходження запиту. Витяг діє до внесення змін до реєстру.</w:t>
      </w:r>
    </w:p>
    <w:p w14:paraId="7CF97C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0" w:name="n9599"/>
      <w:bookmarkEnd w:id="9240"/>
      <w:r w:rsidRPr="008B264B">
        <w:rPr>
          <w:rFonts w:ascii="Times New Roman" w:eastAsia="Times New Roman" w:hAnsi="Times New Roman" w:cs="Times New Roman"/>
          <w:color w:val="000000"/>
          <w:sz w:val="24"/>
          <w:szCs w:val="24"/>
          <w:lang/>
        </w:rPr>
        <w:t>Форма запиту про отримання витягу та витягу з реєстру платників єдиного податку затверджується центральним органом виконавчої влади, що забезпечує формування та реалізує державну фінансову політику.</w:t>
      </w:r>
    </w:p>
    <w:p w14:paraId="0A2C1B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1" w:name="n13464"/>
      <w:bookmarkEnd w:id="9241"/>
      <w:r w:rsidRPr="008B264B">
        <w:rPr>
          <w:rFonts w:ascii="Times New Roman" w:eastAsia="Times New Roman" w:hAnsi="Times New Roman" w:cs="Times New Roman"/>
          <w:i/>
          <w:iCs/>
          <w:color w:val="000000"/>
          <w:sz w:val="24"/>
          <w:szCs w:val="24"/>
          <w:lang/>
        </w:rPr>
        <w:t>{Абзац другий пункту 299.9 статті 299 із змінами, внесеними згідно із Законом </w:t>
      </w:r>
      <w:hyperlink r:id="rId508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91FDF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2" w:name="n9600"/>
      <w:bookmarkEnd w:id="9242"/>
      <w:r w:rsidRPr="008B264B">
        <w:rPr>
          <w:rFonts w:ascii="Times New Roman" w:eastAsia="Times New Roman" w:hAnsi="Times New Roman" w:cs="Times New Roman"/>
          <w:color w:val="000000"/>
          <w:sz w:val="24"/>
          <w:szCs w:val="24"/>
          <w:lang/>
        </w:rPr>
        <w:t>299.10. Реєстрація платником єдиного податку є безстроковою та може бути анульована шляхом виключення з реєстру платників єдиного податку за рішенням контролюючого органу у разі:</w:t>
      </w:r>
    </w:p>
    <w:p w14:paraId="36D376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3" w:name="n9601"/>
      <w:bookmarkEnd w:id="9243"/>
      <w:r w:rsidRPr="008B264B">
        <w:rPr>
          <w:rFonts w:ascii="Times New Roman" w:eastAsia="Times New Roman" w:hAnsi="Times New Roman" w:cs="Times New Roman"/>
          <w:color w:val="000000"/>
          <w:sz w:val="24"/>
          <w:szCs w:val="24"/>
          <w:lang/>
        </w:rPr>
        <w:t>1) подання платником податку заяви щодо відмови від застосування спрощеної системи оподаткування у зв’язку з переходом на сплату інших податків і зборів, визначених цим Кодексом, - в останній день календарного кварталу, в якому подано таку заяву;</w:t>
      </w:r>
    </w:p>
    <w:p w14:paraId="6980DF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4" w:name="n9602"/>
      <w:bookmarkEnd w:id="9244"/>
      <w:r w:rsidRPr="008B264B">
        <w:rPr>
          <w:rFonts w:ascii="Times New Roman" w:eastAsia="Times New Roman" w:hAnsi="Times New Roman" w:cs="Times New Roman"/>
          <w:color w:val="000000"/>
          <w:sz w:val="24"/>
          <w:szCs w:val="24"/>
          <w:lang/>
        </w:rPr>
        <w:t>2) припинення юридичної особи (крім перетворення) або припинення підприємницької діяльності фізичною особою - підприємцем відповідно до закону - в день отримання відповідним контролюючим органом від державного реєстратора повідомлення про проведення державної реєстрації такого припинення;</w:t>
      </w:r>
    </w:p>
    <w:p w14:paraId="100CF8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5" w:name="n9603"/>
      <w:bookmarkEnd w:id="9245"/>
      <w:r w:rsidRPr="008B264B">
        <w:rPr>
          <w:rFonts w:ascii="Times New Roman" w:eastAsia="Times New Roman" w:hAnsi="Times New Roman" w:cs="Times New Roman"/>
          <w:color w:val="000000"/>
          <w:sz w:val="24"/>
          <w:szCs w:val="24"/>
          <w:lang/>
        </w:rPr>
        <w:t>3) у випадках, визначених підпунктом </w:t>
      </w:r>
      <w:hyperlink r:id="rId5081" w:anchor="n7239" w:history="1">
        <w:r w:rsidRPr="008B264B">
          <w:rPr>
            <w:rFonts w:ascii="Times New Roman" w:eastAsia="Times New Roman" w:hAnsi="Times New Roman" w:cs="Times New Roman"/>
            <w:color w:val="0000FF"/>
            <w:sz w:val="24"/>
            <w:szCs w:val="24"/>
            <w:u w:val="single"/>
            <w:lang/>
          </w:rPr>
          <w:t>298.2.3</w:t>
        </w:r>
      </w:hyperlink>
      <w:r w:rsidRPr="008B264B">
        <w:rPr>
          <w:rFonts w:ascii="Times New Roman" w:eastAsia="Times New Roman" w:hAnsi="Times New Roman" w:cs="Times New Roman"/>
          <w:color w:val="000000"/>
          <w:sz w:val="24"/>
          <w:szCs w:val="24"/>
          <w:lang/>
        </w:rPr>
        <w:t> пункту 298.2 та підпунктом 298.8.6 пункту 298.8 статті 298 цього Кодексу;</w:t>
      </w:r>
    </w:p>
    <w:p w14:paraId="5CA9A6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6" w:name="n15177"/>
      <w:bookmarkEnd w:id="9246"/>
      <w:r w:rsidRPr="008B264B">
        <w:rPr>
          <w:rFonts w:ascii="Times New Roman" w:eastAsia="Times New Roman" w:hAnsi="Times New Roman" w:cs="Times New Roman"/>
          <w:i/>
          <w:iCs/>
          <w:color w:val="000000"/>
          <w:sz w:val="24"/>
          <w:szCs w:val="24"/>
          <w:lang/>
        </w:rPr>
        <w:lastRenderedPageBreak/>
        <w:t>{Підпункт 3 пункту 299.10 статті 299 із змінами, внесеними згідно із Законом </w:t>
      </w:r>
      <w:hyperlink r:id="rId5082" w:anchor="n68"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7375A5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7" w:name="n12087"/>
      <w:bookmarkEnd w:id="9247"/>
      <w:r w:rsidRPr="008B264B">
        <w:rPr>
          <w:rFonts w:ascii="Times New Roman" w:eastAsia="Times New Roman" w:hAnsi="Times New Roman" w:cs="Times New Roman"/>
          <w:color w:val="000000"/>
          <w:sz w:val="24"/>
          <w:szCs w:val="24"/>
          <w:lang/>
        </w:rPr>
        <w:t>4) якщо у податковому (звітному) році частка сільськогосподарського товаровиробництва юридичної особи платника єдиного податку четвертої групи становить менш як 75 відсотків;</w:t>
      </w:r>
    </w:p>
    <w:p w14:paraId="0357D3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8" w:name="n12086"/>
      <w:bookmarkEnd w:id="9248"/>
      <w:r w:rsidRPr="008B264B">
        <w:rPr>
          <w:rFonts w:ascii="Times New Roman" w:eastAsia="Times New Roman" w:hAnsi="Times New Roman" w:cs="Times New Roman"/>
          <w:i/>
          <w:iCs/>
          <w:color w:val="000000"/>
          <w:sz w:val="24"/>
          <w:szCs w:val="24"/>
          <w:lang/>
        </w:rPr>
        <w:t>{Пункт 299.10 статті 299 доповнено підпунктом 4 згідно із Законом </w:t>
      </w:r>
      <w:hyperlink r:id="rId5083" w:anchor="n165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084" w:anchor="n69"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B4ABF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49" w:name="n15178"/>
      <w:bookmarkEnd w:id="9249"/>
      <w:r w:rsidRPr="008B264B">
        <w:rPr>
          <w:rFonts w:ascii="Times New Roman" w:eastAsia="Times New Roman" w:hAnsi="Times New Roman" w:cs="Times New Roman"/>
          <w:color w:val="000000"/>
          <w:sz w:val="24"/>
          <w:szCs w:val="24"/>
          <w:lang/>
        </w:rPr>
        <w:t>5) якщо платником єдиного податку четвертої групи не подано податкову звітність, передбачену </w:t>
      </w:r>
      <w:hyperlink r:id="rId5085" w:anchor="n12037" w:history="1">
        <w:r w:rsidRPr="008B264B">
          <w:rPr>
            <w:rFonts w:ascii="Times New Roman" w:eastAsia="Times New Roman" w:hAnsi="Times New Roman" w:cs="Times New Roman"/>
            <w:color w:val="0000FF"/>
            <w:sz w:val="24"/>
            <w:szCs w:val="24"/>
            <w:u w:val="single"/>
            <w:lang/>
          </w:rPr>
          <w:t>підпунктом 295.9.1</w:t>
        </w:r>
      </w:hyperlink>
      <w:r w:rsidRPr="008B264B">
        <w:rPr>
          <w:rFonts w:ascii="Times New Roman" w:eastAsia="Times New Roman" w:hAnsi="Times New Roman" w:cs="Times New Roman"/>
          <w:color w:val="000000"/>
          <w:sz w:val="24"/>
          <w:szCs w:val="24"/>
          <w:lang/>
        </w:rPr>
        <w:t> пункту 295.9 статті 295 цього Кодексу.</w:t>
      </w:r>
    </w:p>
    <w:p w14:paraId="5DB0B5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0" w:name="n15179"/>
      <w:bookmarkEnd w:id="9250"/>
      <w:r w:rsidRPr="008B264B">
        <w:rPr>
          <w:rFonts w:ascii="Times New Roman" w:eastAsia="Times New Roman" w:hAnsi="Times New Roman" w:cs="Times New Roman"/>
          <w:i/>
          <w:iCs/>
          <w:color w:val="000000"/>
          <w:sz w:val="24"/>
          <w:szCs w:val="24"/>
          <w:lang/>
        </w:rPr>
        <w:t>{Пункт 299.10 статті 299 доповнено підпунктом 5 згідно із Законом </w:t>
      </w:r>
      <w:hyperlink r:id="rId5086" w:anchor="n70" w:tgtFrame="_blank" w:history="1">
        <w:r w:rsidRPr="008B264B">
          <w:rPr>
            <w:rFonts w:ascii="Times New Roman" w:eastAsia="Times New Roman" w:hAnsi="Times New Roman" w:cs="Times New Roman"/>
            <w:i/>
            <w:iCs/>
            <w:color w:val="0000FF"/>
            <w:sz w:val="24"/>
            <w:szCs w:val="24"/>
            <w:u w:val="single"/>
            <w:lang/>
          </w:rPr>
          <w:t>№ 2497-VIII від 10.07.2018</w:t>
        </w:r>
      </w:hyperlink>
      <w:r w:rsidRPr="008B264B">
        <w:rPr>
          <w:rFonts w:ascii="Times New Roman" w:eastAsia="Times New Roman" w:hAnsi="Times New Roman" w:cs="Times New Roman"/>
          <w:i/>
          <w:iCs/>
          <w:color w:val="000000"/>
          <w:sz w:val="24"/>
          <w:szCs w:val="24"/>
          <w:lang/>
        </w:rPr>
        <w:t>}</w:t>
      </w:r>
    </w:p>
    <w:p w14:paraId="5F3076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1" w:name="n9604"/>
      <w:bookmarkEnd w:id="9251"/>
      <w:r w:rsidRPr="008B264B">
        <w:rPr>
          <w:rFonts w:ascii="Times New Roman" w:eastAsia="Times New Roman" w:hAnsi="Times New Roman" w:cs="Times New Roman"/>
          <w:color w:val="000000"/>
          <w:sz w:val="24"/>
          <w:szCs w:val="24"/>
          <w:lang/>
        </w:rPr>
        <w:t>299.11. У разі виявлення відповідним контролюючим органом під час проведення перевірок порушень платником єдиного податку першої - третьої груп вимог, встановлених цією главою, анулювання реєстрації платника єдиного податку першої - третьої груп проводиться за рішенням такого органу, прийнятим на підставі акта перевірки, з першого числа місяця, наступного за кварталом, в якому допущено порушення. У такому випадку суб’єкт господарювання має право обрати або перейти на спрощену систему оподаткування після закінчення чотирьох послідовних кварталів з моменту прийняття рішення контролюючим органом.</w:t>
      </w:r>
    </w:p>
    <w:p w14:paraId="613BF5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2" w:name="n12089"/>
      <w:bookmarkEnd w:id="9252"/>
      <w:r w:rsidRPr="008B264B">
        <w:rPr>
          <w:rFonts w:ascii="Times New Roman" w:eastAsia="Times New Roman" w:hAnsi="Times New Roman" w:cs="Times New Roman"/>
          <w:color w:val="000000"/>
          <w:sz w:val="24"/>
          <w:szCs w:val="24"/>
          <w:lang/>
        </w:rPr>
        <w:t>У разі виявлення відповідним контролюючим органом під час проведення виїзних документальних перевірок платника єдиного податку четвертої групи невідповідності вимогам </w:t>
      </w:r>
      <w:hyperlink r:id="rId5087" w:anchor="n6951" w:history="1">
        <w:r w:rsidRPr="008B264B">
          <w:rPr>
            <w:rFonts w:ascii="Times New Roman" w:eastAsia="Times New Roman" w:hAnsi="Times New Roman" w:cs="Times New Roman"/>
            <w:color w:val="0000FF"/>
            <w:sz w:val="24"/>
            <w:szCs w:val="24"/>
            <w:u w:val="single"/>
            <w:lang/>
          </w:rPr>
          <w:t>підпункту 4</w:t>
        </w:r>
      </w:hyperlink>
      <w:r w:rsidRPr="008B264B">
        <w:rPr>
          <w:rFonts w:ascii="Times New Roman" w:eastAsia="Times New Roman" w:hAnsi="Times New Roman" w:cs="Times New Roman"/>
          <w:color w:val="000000"/>
          <w:sz w:val="24"/>
          <w:szCs w:val="24"/>
          <w:lang/>
        </w:rPr>
        <w:t> пункту 291.4 та пункту 291.5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статті 291 цього Кодексу у податковому (звітному) році або у попередніх періодах, такому платнику за такі періоди нараховуються податки та збори, від сплати яких він звільнявся як платник єдиного податку четвертої групи, та штрафні (фінансові) санкції (штрафи), передбачені </w:t>
      </w:r>
      <w:hyperlink r:id="rId5088" w:anchor="n2349" w:history="1">
        <w:r w:rsidRPr="008B264B">
          <w:rPr>
            <w:rFonts w:ascii="Times New Roman" w:eastAsia="Times New Roman" w:hAnsi="Times New Roman" w:cs="Times New Roman"/>
            <w:color w:val="0000FF"/>
            <w:sz w:val="24"/>
            <w:szCs w:val="24"/>
            <w:u w:val="single"/>
            <w:lang/>
          </w:rPr>
          <w:t>главою 11 розділу II</w:t>
        </w:r>
      </w:hyperlink>
      <w:r w:rsidRPr="008B264B">
        <w:rPr>
          <w:rFonts w:ascii="Times New Roman" w:eastAsia="Times New Roman" w:hAnsi="Times New Roman" w:cs="Times New Roman"/>
          <w:color w:val="000000"/>
          <w:sz w:val="24"/>
          <w:szCs w:val="24"/>
          <w:lang/>
        </w:rPr>
        <w:t> цього Кодексу. Такий платник податку зобов’язаний перейти до сплати податків за загальною системою оподаткування, починаючи з наступного місяця після місяця, у якому встановлено таке порушення.</w:t>
      </w:r>
    </w:p>
    <w:p w14:paraId="54475C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3" w:name="n12088"/>
      <w:bookmarkEnd w:id="9253"/>
      <w:r w:rsidRPr="008B264B">
        <w:rPr>
          <w:rFonts w:ascii="Times New Roman" w:eastAsia="Times New Roman" w:hAnsi="Times New Roman" w:cs="Times New Roman"/>
          <w:i/>
          <w:iCs/>
          <w:color w:val="000000"/>
          <w:sz w:val="24"/>
          <w:szCs w:val="24"/>
          <w:lang/>
        </w:rPr>
        <w:t>{Пункт 299.11 статті 299 в редакції Закону </w:t>
      </w:r>
      <w:hyperlink r:id="rId5089" w:anchor="n166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0B8D6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4" w:name="n9605"/>
      <w:bookmarkEnd w:id="9254"/>
      <w:r w:rsidRPr="008B264B">
        <w:rPr>
          <w:rFonts w:ascii="Times New Roman" w:eastAsia="Times New Roman" w:hAnsi="Times New Roman" w:cs="Times New Roman"/>
          <w:color w:val="000000"/>
          <w:sz w:val="24"/>
          <w:szCs w:val="24"/>
          <w:lang/>
        </w:rPr>
        <w:t>299.12. Погашення податкового боргу після анулювання реєстрації платника єдиного податку здійснюється у порядку, встановленому </w:t>
      </w:r>
      <w:hyperlink r:id="rId5090" w:anchor="n1969" w:history="1">
        <w:r w:rsidRPr="008B264B">
          <w:rPr>
            <w:rFonts w:ascii="Times New Roman" w:eastAsia="Times New Roman" w:hAnsi="Times New Roman" w:cs="Times New Roman"/>
            <w:color w:val="0000FF"/>
            <w:sz w:val="24"/>
            <w:szCs w:val="24"/>
            <w:u w:val="single"/>
            <w:lang/>
          </w:rPr>
          <w:t>главою 9 розділу II</w:t>
        </w:r>
      </w:hyperlink>
      <w:r w:rsidRPr="008B264B">
        <w:rPr>
          <w:rFonts w:ascii="Times New Roman" w:eastAsia="Times New Roman" w:hAnsi="Times New Roman" w:cs="Times New Roman"/>
          <w:color w:val="000000"/>
          <w:sz w:val="24"/>
          <w:szCs w:val="24"/>
          <w:lang/>
        </w:rPr>
        <w:t> цього Кодексу.</w:t>
      </w:r>
    </w:p>
    <w:p w14:paraId="5E110E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5" w:name="n9606"/>
      <w:bookmarkEnd w:id="9255"/>
      <w:r w:rsidRPr="008B264B">
        <w:rPr>
          <w:rFonts w:ascii="Times New Roman" w:eastAsia="Times New Roman" w:hAnsi="Times New Roman" w:cs="Times New Roman"/>
          <w:color w:val="000000"/>
          <w:sz w:val="24"/>
          <w:szCs w:val="24"/>
          <w:lang/>
        </w:rPr>
        <w:t>299.13. З метою постійного забезпечення органів державної влади, органів місцевого самоврядування, юридичних та фізичних осіб інформацією центральний орган виконавчої влади, що реалізує державну податкову і митну політику, щоденно оприлюднює для безоплатного та вільного доступу на єдиному державному реєстраційному веб-порталі юридичних осіб та фізичних осіб - підприємців та власному офіційному веб-сайті такі дані з реєстру платників єдиного податку:</w:t>
      </w:r>
    </w:p>
    <w:p w14:paraId="4F56F8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6" w:name="n13487"/>
      <w:bookmarkEnd w:id="9256"/>
      <w:r w:rsidRPr="008B264B">
        <w:rPr>
          <w:rFonts w:ascii="Times New Roman" w:eastAsia="Times New Roman" w:hAnsi="Times New Roman" w:cs="Times New Roman"/>
          <w:i/>
          <w:iCs/>
          <w:color w:val="000000"/>
          <w:sz w:val="24"/>
          <w:szCs w:val="24"/>
          <w:lang/>
        </w:rPr>
        <w:t>{Абзац перший пункту 299.13 статті 299 із змінами, внесеними згідно із Законом </w:t>
      </w:r>
      <w:hyperlink r:id="rId509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68546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7" w:name="n9607"/>
      <w:bookmarkEnd w:id="9257"/>
      <w:r w:rsidRPr="008B264B">
        <w:rPr>
          <w:rFonts w:ascii="Times New Roman" w:eastAsia="Times New Roman" w:hAnsi="Times New Roman" w:cs="Times New Roman"/>
          <w:color w:val="000000"/>
          <w:sz w:val="24"/>
          <w:szCs w:val="24"/>
          <w:lang/>
        </w:rPr>
        <w:t>податковий номер (для юридичної особи);</w:t>
      </w:r>
    </w:p>
    <w:p w14:paraId="51EFE6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8" w:name="n9608"/>
      <w:bookmarkEnd w:id="9258"/>
      <w:r w:rsidRPr="008B264B">
        <w:rPr>
          <w:rFonts w:ascii="Times New Roman" w:eastAsia="Times New Roman" w:hAnsi="Times New Roman" w:cs="Times New Roman"/>
          <w:color w:val="000000"/>
          <w:sz w:val="24"/>
          <w:szCs w:val="24"/>
          <w:lang/>
        </w:rPr>
        <w:t>найменування для юридичної особи або прізвище, ім’я, по батькові для фізичної особи;</w:t>
      </w:r>
    </w:p>
    <w:p w14:paraId="7B7A5D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59" w:name="n9609"/>
      <w:bookmarkEnd w:id="9259"/>
      <w:r w:rsidRPr="008B264B">
        <w:rPr>
          <w:rFonts w:ascii="Times New Roman" w:eastAsia="Times New Roman" w:hAnsi="Times New Roman" w:cs="Times New Roman"/>
          <w:color w:val="000000"/>
          <w:sz w:val="24"/>
          <w:szCs w:val="24"/>
          <w:lang/>
        </w:rPr>
        <w:t>дату (період) обрання або переходу на спрощену систему оподаткування;</w:t>
      </w:r>
    </w:p>
    <w:p w14:paraId="20535E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0" w:name="n9610"/>
      <w:bookmarkEnd w:id="9260"/>
      <w:r w:rsidRPr="008B264B">
        <w:rPr>
          <w:rFonts w:ascii="Times New Roman" w:eastAsia="Times New Roman" w:hAnsi="Times New Roman" w:cs="Times New Roman"/>
          <w:color w:val="000000"/>
          <w:sz w:val="24"/>
          <w:szCs w:val="24"/>
          <w:lang/>
        </w:rPr>
        <w:t>ставку єдиного податку;</w:t>
      </w:r>
    </w:p>
    <w:p w14:paraId="395798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1" w:name="n9611"/>
      <w:bookmarkEnd w:id="9261"/>
      <w:r w:rsidRPr="008B264B">
        <w:rPr>
          <w:rFonts w:ascii="Times New Roman" w:eastAsia="Times New Roman" w:hAnsi="Times New Roman" w:cs="Times New Roman"/>
          <w:color w:val="000000"/>
          <w:sz w:val="24"/>
          <w:szCs w:val="24"/>
          <w:lang/>
        </w:rPr>
        <w:t>групу платника податку;</w:t>
      </w:r>
    </w:p>
    <w:p w14:paraId="708A34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2" w:name="n9612"/>
      <w:bookmarkEnd w:id="9262"/>
      <w:r w:rsidRPr="008B264B">
        <w:rPr>
          <w:rFonts w:ascii="Times New Roman" w:eastAsia="Times New Roman" w:hAnsi="Times New Roman" w:cs="Times New Roman"/>
          <w:color w:val="000000"/>
          <w:sz w:val="24"/>
          <w:szCs w:val="24"/>
          <w:lang/>
        </w:rPr>
        <w:t>види господарської діяльності;</w:t>
      </w:r>
    </w:p>
    <w:p w14:paraId="011900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3" w:name="n12090"/>
      <w:bookmarkEnd w:id="9263"/>
      <w:r w:rsidRPr="008B264B">
        <w:rPr>
          <w:rFonts w:ascii="Times New Roman" w:eastAsia="Times New Roman" w:hAnsi="Times New Roman" w:cs="Times New Roman"/>
          <w:i/>
          <w:iCs/>
          <w:color w:val="000000"/>
          <w:sz w:val="24"/>
          <w:szCs w:val="24"/>
          <w:lang/>
        </w:rPr>
        <w:t>{Абзац сьомий пункту 299.13 статті 299 із змінами, внесеними згідно із Законом </w:t>
      </w:r>
      <w:hyperlink r:id="rId5092" w:anchor="n166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72E7E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4" w:name="n9613"/>
      <w:bookmarkEnd w:id="9264"/>
      <w:r w:rsidRPr="008B264B">
        <w:rPr>
          <w:rFonts w:ascii="Times New Roman" w:eastAsia="Times New Roman" w:hAnsi="Times New Roman" w:cs="Times New Roman"/>
          <w:color w:val="000000"/>
          <w:sz w:val="24"/>
          <w:szCs w:val="24"/>
          <w:lang/>
        </w:rPr>
        <w:lastRenderedPageBreak/>
        <w:t>дату виключення з реєстру платників єдиного податку.</w:t>
      </w:r>
    </w:p>
    <w:p w14:paraId="0DBB4C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5" w:name="n9577"/>
      <w:bookmarkEnd w:id="9265"/>
      <w:r w:rsidRPr="008B264B">
        <w:rPr>
          <w:rFonts w:ascii="Times New Roman" w:eastAsia="Times New Roman" w:hAnsi="Times New Roman" w:cs="Times New Roman"/>
          <w:i/>
          <w:iCs/>
          <w:color w:val="000000"/>
          <w:sz w:val="24"/>
          <w:szCs w:val="24"/>
          <w:lang/>
        </w:rPr>
        <w:t>{Стаття 299 із змінами, внесеними згідно із Законами </w:t>
      </w:r>
      <w:hyperlink r:id="rId5093" w:anchor="n46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5094"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5095" w:anchor="n22" w:tgtFrame="_blank" w:history="1">
        <w:r w:rsidRPr="008B264B">
          <w:rPr>
            <w:rFonts w:ascii="Times New Roman" w:eastAsia="Times New Roman" w:hAnsi="Times New Roman" w:cs="Times New Roman"/>
            <w:i/>
            <w:iCs/>
            <w:color w:val="0000FF"/>
            <w:sz w:val="24"/>
            <w:szCs w:val="24"/>
            <w:u w:val="single"/>
            <w:lang/>
          </w:rPr>
          <w:t>№ 443-VII від 05.09.2013</w:t>
        </w:r>
      </w:hyperlink>
      <w:r w:rsidRPr="008B264B">
        <w:rPr>
          <w:rFonts w:ascii="Times New Roman" w:eastAsia="Times New Roman" w:hAnsi="Times New Roman" w:cs="Times New Roman"/>
          <w:i/>
          <w:iCs/>
          <w:color w:val="000000"/>
          <w:sz w:val="24"/>
          <w:szCs w:val="24"/>
          <w:lang/>
        </w:rPr>
        <w:t>; в редакції Закону </w:t>
      </w:r>
      <w:hyperlink r:id="rId5096" w:anchor="n17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656596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6" w:name="n7333"/>
      <w:bookmarkEnd w:id="9266"/>
      <w:r w:rsidRPr="008B264B">
        <w:rPr>
          <w:rFonts w:ascii="Times New Roman" w:eastAsia="Times New Roman" w:hAnsi="Times New Roman" w:cs="Times New Roman"/>
          <w:b/>
          <w:bCs/>
          <w:color w:val="000000"/>
          <w:sz w:val="24"/>
          <w:szCs w:val="24"/>
          <w:lang/>
        </w:rPr>
        <w:t>Стаття 300.</w:t>
      </w:r>
      <w:r w:rsidRPr="008B264B">
        <w:rPr>
          <w:rFonts w:ascii="Times New Roman" w:eastAsia="Times New Roman" w:hAnsi="Times New Roman" w:cs="Times New Roman"/>
          <w:color w:val="000000"/>
          <w:sz w:val="24"/>
          <w:szCs w:val="24"/>
          <w:lang/>
        </w:rPr>
        <w:t> Відповідальність платника єдиного податку</w:t>
      </w:r>
    </w:p>
    <w:p w14:paraId="0538D8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7" w:name="n7334"/>
      <w:bookmarkEnd w:id="9267"/>
      <w:r w:rsidRPr="008B264B">
        <w:rPr>
          <w:rFonts w:ascii="Times New Roman" w:eastAsia="Times New Roman" w:hAnsi="Times New Roman" w:cs="Times New Roman"/>
          <w:color w:val="000000"/>
          <w:sz w:val="24"/>
          <w:szCs w:val="24"/>
          <w:lang/>
        </w:rPr>
        <w:t>300.1. Платники єдиного податку несуть відповідальність відповідно до цього Кодексу за правильність обчислення, своєчасність та повноту сплати сум єдиного податку, а також за своєчасність подання податкових декларацій.</w:t>
      </w:r>
    </w:p>
    <w:p w14:paraId="70C7C7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8" w:name="n7335"/>
      <w:bookmarkEnd w:id="9268"/>
      <w:r w:rsidRPr="008B264B">
        <w:rPr>
          <w:rFonts w:ascii="Times New Roman" w:eastAsia="Times New Roman" w:hAnsi="Times New Roman" w:cs="Times New Roman"/>
          <w:i/>
          <w:iCs/>
          <w:color w:val="000000"/>
          <w:sz w:val="24"/>
          <w:szCs w:val="24"/>
          <w:lang/>
        </w:rPr>
        <w:t>{До розділу XIV включено главу 1 згідно із Законом </w:t>
      </w:r>
      <w:hyperlink r:id="rId5097"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3B3864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69" w:name="n7336"/>
      <w:bookmarkEnd w:id="9269"/>
      <w:r w:rsidRPr="008B264B">
        <w:rPr>
          <w:rFonts w:ascii="Times New Roman" w:eastAsia="Times New Roman" w:hAnsi="Times New Roman" w:cs="Times New Roman"/>
          <w:b/>
          <w:bCs/>
          <w:i/>
          <w:iCs/>
          <w:color w:val="000000"/>
          <w:sz w:val="24"/>
          <w:szCs w:val="24"/>
          <w:lang/>
        </w:rPr>
        <w:t>{Главу 2 "Фіксований сільськогосподарський податок" розділу XIV "Спеціальні податкові режими" виключено на підставі Закону </w:t>
      </w:r>
      <w:hyperlink r:id="rId5098"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7D7446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0" w:name="n7431"/>
      <w:bookmarkEnd w:id="9270"/>
      <w:r w:rsidRPr="008B264B">
        <w:rPr>
          <w:rFonts w:ascii="Times New Roman" w:eastAsia="Times New Roman" w:hAnsi="Times New Roman" w:cs="Times New Roman"/>
          <w:b/>
          <w:bCs/>
          <w:i/>
          <w:iCs/>
          <w:color w:val="000000"/>
          <w:sz w:val="24"/>
          <w:szCs w:val="24"/>
          <w:lang/>
        </w:rPr>
        <w:t>{Главу 3 "Збір у вигляді цільової надбавки до діючого тарифу на електричну і теплову енергію, крім електроенергії, виробленої кваліфікованими когенераційними установками" розділу XIV "Спеціальні податкові режими" виключено на підставі Закону </w:t>
      </w:r>
      <w:hyperlink r:id="rId5099"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70AEA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1" w:name="n7451"/>
      <w:bookmarkEnd w:id="9271"/>
      <w:r w:rsidRPr="008B264B">
        <w:rPr>
          <w:rFonts w:ascii="Times New Roman" w:eastAsia="Times New Roman" w:hAnsi="Times New Roman" w:cs="Times New Roman"/>
          <w:b/>
          <w:bCs/>
          <w:i/>
          <w:iCs/>
          <w:color w:val="000000"/>
          <w:sz w:val="24"/>
          <w:szCs w:val="24"/>
          <w:lang/>
        </w:rPr>
        <w:t>{Главу 4 "Збір у вигляді цільової надбавки до діючого тарифу на природний газ для споживачів усіх форм власності" розділу XIV "Спеціальні податкові режими" виключено на підставі Закону </w:t>
      </w:r>
      <w:hyperlink r:id="rId5100"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784F04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2" w:name="n7469"/>
      <w:bookmarkEnd w:id="9272"/>
      <w:r w:rsidRPr="008B264B">
        <w:rPr>
          <w:rFonts w:ascii="Times New Roman" w:eastAsia="Times New Roman" w:hAnsi="Times New Roman" w:cs="Times New Roman"/>
          <w:b/>
          <w:bCs/>
          <w:i/>
          <w:iCs/>
          <w:color w:val="000000"/>
          <w:sz w:val="24"/>
          <w:szCs w:val="24"/>
          <w:lang/>
        </w:rPr>
        <w:t>{Розділ XV "Збір за користування радіочастотним ресурсом України" виключено на підставі Закону </w:t>
      </w:r>
      <w:hyperlink r:id="rId5101"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0A76A4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3" w:name="n7500"/>
      <w:bookmarkEnd w:id="9273"/>
      <w:r w:rsidRPr="008B264B">
        <w:rPr>
          <w:rFonts w:ascii="Times New Roman" w:eastAsia="Times New Roman" w:hAnsi="Times New Roman" w:cs="Times New Roman"/>
          <w:b/>
          <w:bCs/>
          <w:i/>
          <w:iCs/>
          <w:color w:val="000000"/>
          <w:sz w:val="24"/>
          <w:szCs w:val="24"/>
          <w:lang/>
        </w:rPr>
        <w:t>{Розділ XVI "Збір за спеціальне використання води" виключено на підставі Закону </w:t>
      </w:r>
      <w:hyperlink r:id="rId5102"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04A2D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4" w:name="n7592"/>
      <w:bookmarkEnd w:id="9274"/>
      <w:r w:rsidRPr="008B264B">
        <w:rPr>
          <w:rFonts w:ascii="Times New Roman" w:eastAsia="Times New Roman" w:hAnsi="Times New Roman" w:cs="Times New Roman"/>
          <w:b/>
          <w:bCs/>
          <w:i/>
          <w:iCs/>
          <w:color w:val="000000"/>
          <w:sz w:val="24"/>
          <w:szCs w:val="24"/>
          <w:lang/>
        </w:rPr>
        <w:t>{Розділ XVII "Збір за спеціальне використання лісових ресурсів" виключено на підставі Закону </w:t>
      </w:r>
      <w:hyperlink r:id="rId5103" w:anchor="n1664" w:tgtFrame="_blank" w:history="1">
        <w:r w:rsidRPr="008B264B">
          <w:rPr>
            <w:rFonts w:ascii="Times New Roman" w:eastAsia="Times New Roman" w:hAnsi="Times New Roman" w:cs="Times New Roman"/>
            <w:b/>
            <w:bCs/>
            <w:i/>
            <w:iCs/>
            <w:color w:val="0000FF"/>
            <w:sz w:val="24"/>
            <w:szCs w:val="24"/>
            <w:u w:val="single"/>
            <w:lang/>
          </w:rPr>
          <w:t>№ 71-VIII від 28.12.2014</w:t>
        </w:r>
      </w:hyperlink>
      <w:r w:rsidRPr="008B264B">
        <w:rPr>
          <w:rFonts w:ascii="Times New Roman" w:eastAsia="Times New Roman" w:hAnsi="Times New Roman" w:cs="Times New Roman"/>
          <w:b/>
          <w:bCs/>
          <w:i/>
          <w:iCs/>
          <w:color w:val="000000"/>
          <w:sz w:val="24"/>
          <w:szCs w:val="24"/>
          <w:lang/>
        </w:rPr>
        <w:t>}</w:t>
      </w:r>
    </w:p>
    <w:p w14:paraId="7746BD30"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275" w:name="n7662"/>
      <w:bookmarkEnd w:id="9275"/>
      <w:r w:rsidRPr="008B264B">
        <w:rPr>
          <w:rFonts w:ascii="Times New Roman" w:eastAsia="Times New Roman" w:hAnsi="Times New Roman" w:cs="Times New Roman"/>
          <w:b/>
          <w:bCs/>
          <w:color w:val="000000"/>
          <w:sz w:val="28"/>
          <w:szCs w:val="28"/>
          <w:lang/>
        </w:rPr>
        <w:t>РОЗДІЛ XVIII. ОСОБЛИВОСТІ ОПОДАТКУВАННЯ ПЛАТНИКІВ ПОДАТКІВ В УМОВАХ ДІЇ УГОДИ ПРО РОЗПОДІЛ ПРОДУКЦІЇ</w:t>
      </w:r>
    </w:p>
    <w:p w14:paraId="6FD4C8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6" w:name="n7663"/>
      <w:bookmarkEnd w:id="9276"/>
      <w:r w:rsidRPr="008B264B">
        <w:rPr>
          <w:rFonts w:ascii="Times New Roman" w:eastAsia="Times New Roman" w:hAnsi="Times New Roman" w:cs="Times New Roman"/>
          <w:b/>
          <w:bCs/>
          <w:color w:val="000000"/>
          <w:sz w:val="24"/>
          <w:szCs w:val="24"/>
          <w:lang/>
        </w:rPr>
        <w:t>Стаття 335.</w:t>
      </w:r>
      <w:r w:rsidRPr="008B264B">
        <w:rPr>
          <w:rFonts w:ascii="Times New Roman" w:eastAsia="Times New Roman" w:hAnsi="Times New Roman" w:cs="Times New Roman"/>
          <w:color w:val="000000"/>
          <w:sz w:val="24"/>
          <w:szCs w:val="24"/>
          <w:lang/>
        </w:rPr>
        <w:t> Порядок оподаткування інвестора під час виконання угоди про розподіл продукції</w:t>
      </w:r>
    </w:p>
    <w:p w14:paraId="512876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7" w:name="n7664"/>
      <w:bookmarkEnd w:id="9277"/>
      <w:r w:rsidRPr="008B264B">
        <w:rPr>
          <w:rFonts w:ascii="Times New Roman" w:eastAsia="Times New Roman" w:hAnsi="Times New Roman" w:cs="Times New Roman"/>
          <w:color w:val="000000"/>
          <w:sz w:val="24"/>
          <w:szCs w:val="24"/>
          <w:lang/>
        </w:rPr>
        <w:t>335.1. Протягом строку дії угоди про розподіл продукції і в межах діяльності, пов'язаної з виконанням такої угоди, стягнення з інвестора загальнодержавних та місцевих податків та зборів, передбачених цим Кодексом, крім передбачених </w:t>
      </w:r>
      <w:hyperlink r:id="rId5104" w:anchor="n7690" w:history="1">
        <w:r w:rsidRPr="008B264B">
          <w:rPr>
            <w:rFonts w:ascii="Times New Roman" w:eastAsia="Times New Roman" w:hAnsi="Times New Roman" w:cs="Times New Roman"/>
            <w:color w:val="0000FF"/>
            <w:sz w:val="24"/>
            <w:szCs w:val="24"/>
            <w:u w:val="single"/>
            <w:lang/>
          </w:rPr>
          <w:t>пунктом 335.2</w:t>
        </w:r>
      </w:hyperlink>
      <w:r w:rsidRPr="008B264B">
        <w:rPr>
          <w:rFonts w:ascii="Times New Roman" w:eastAsia="Times New Roman" w:hAnsi="Times New Roman" w:cs="Times New Roman"/>
          <w:color w:val="000000"/>
          <w:sz w:val="24"/>
          <w:szCs w:val="24"/>
          <w:lang/>
        </w:rPr>
        <w:t> цієї статті, замінюється розподілом виробленої продукції між державою та інвестором на умовах такої угоди.</w:t>
      </w:r>
    </w:p>
    <w:p w14:paraId="1847B9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8" w:name="n7665"/>
      <w:bookmarkEnd w:id="9278"/>
      <w:r w:rsidRPr="008B264B">
        <w:rPr>
          <w:rFonts w:ascii="Times New Roman" w:eastAsia="Times New Roman" w:hAnsi="Times New Roman" w:cs="Times New Roman"/>
          <w:color w:val="000000"/>
          <w:sz w:val="24"/>
          <w:szCs w:val="24"/>
          <w:lang/>
        </w:rPr>
        <w:t>Податкові зобов'язання не виникають у разі:</w:t>
      </w:r>
    </w:p>
    <w:p w14:paraId="12A85A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79" w:name="n7666"/>
      <w:bookmarkEnd w:id="9279"/>
      <w:r w:rsidRPr="008B264B">
        <w:rPr>
          <w:rFonts w:ascii="Times New Roman" w:eastAsia="Times New Roman" w:hAnsi="Times New Roman" w:cs="Times New Roman"/>
          <w:color w:val="000000"/>
          <w:sz w:val="24"/>
          <w:szCs w:val="24"/>
          <w:lang/>
        </w:rPr>
        <w:t>розподілу прибуткової та/або компенсаційної продукції та/або їх грошового еквівалента між інвестором (оператором) і державою, передачі операторові (інвесторові) прибуткової продукції, належної державі, для подальшого продажу;</w:t>
      </w:r>
    </w:p>
    <w:p w14:paraId="5F9D4A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0" w:name="n7667"/>
      <w:bookmarkEnd w:id="9280"/>
      <w:r w:rsidRPr="008B264B">
        <w:rPr>
          <w:rFonts w:ascii="Times New Roman" w:eastAsia="Times New Roman" w:hAnsi="Times New Roman" w:cs="Times New Roman"/>
          <w:i/>
          <w:iCs/>
          <w:color w:val="000000"/>
          <w:sz w:val="24"/>
          <w:szCs w:val="24"/>
          <w:lang/>
        </w:rPr>
        <w:t>{Абзац третій пункту 335.1 статті 335 в редакції Закону </w:t>
      </w:r>
      <w:hyperlink r:id="rId5105" w:anchor="n96"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04DC2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1" w:name="n7668"/>
      <w:bookmarkEnd w:id="9281"/>
      <w:r w:rsidRPr="008B264B">
        <w:rPr>
          <w:rFonts w:ascii="Times New Roman" w:eastAsia="Times New Roman" w:hAnsi="Times New Roman" w:cs="Times New Roman"/>
          <w:color w:val="000000"/>
          <w:sz w:val="24"/>
          <w:szCs w:val="24"/>
          <w:lang/>
        </w:rPr>
        <w:t>передачі права власності від інвестора (оператора) до держави на майно, придбане або створене інвестором для виконання угоди про розподіл продукції і вартість якого відшкодована компенсаційною продукцією або з дня припинення дії угоди, а також користування інвестором (оператором) таким майном та його наступне повернення державі відповідно до </w:t>
      </w:r>
      <w:hyperlink r:id="rId5106" w:tgtFrame="_blank" w:history="1">
        <w:r w:rsidRPr="008B264B">
          <w:rPr>
            <w:rFonts w:ascii="Times New Roman" w:eastAsia="Times New Roman" w:hAnsi="Times New Roman" w:cs="Times New Roman"/>
            <w:color w:val="0000FF"/>
            <w:sz w:val="24"/>
            <w:szCs w:val="24"/>
            <w:u w:val="single"/>
            <w:lang/>
          </w:rPr>
          <w:t>Закону України "Про угоди про розподіл продукції"</w:t>
        </w:r>
      </w:hyperlink>
      <w:r w:rsidRPr="008B264B">
        <w:rPr>
          <w:rFonts w:ascii="Times New Roman" w:eastAsia="Times New Roman" w:hAnsi="Times New Roman" w:cs="Times New Roman"/>
          <w:color w:val="000000"/>
          <w:sz w:val="24"/>
          <w:szCs w:val="24"/>
          <w:lang/>
        </w:rPr>
        <w:t> та угоди;</w:t>
      </w:r>
    </w:p>
    <w:p w14:paraId="323217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2" w:name="n7669"/>
      <w:bookmarkEnd w:id="9282"/>
      <w:r w:rsidRPr="008B264B">
        <w:rPr>
          <w:rFonts w:ascii="Times New Roman" w:eastAsia="Times New Roman" w:hAnsi="Times New Roman" w:cs="Times New Roman"/>
          <w:i/>
          <w:iCs/>
          <w:color w:val="000000"/>
          <w:sz w:val="24"/>
          <w:szCs w:val="24"/>
          <w:lang/>
        </w:rPr>
        <w:t>{Абзац четвертий пункту 335.1 статті 335 із змінами, внесеними згідно із Законом </w:t>
      </w:r>
      <w:hyperlink r:id="rId5107" w:anchor="n9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6C6F8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3" w:name="n7670"/>
      <w:bookmarkEnd w:id="9283"/>
      <w:r w:rsidRPr="008B264B">
        <w:rPr>
          <w:rFonts w:ascii="Times New Roman" w:eastAsia="Times New Roman" w:hAnsi="Times New Roman" w:cs="Times New Roman"/>
          <w:color w:val="000000"/>
          <w:sz w:val="24"/>
          <w:szCs w:val="24"/>
          <w:lang/>
        </w:rPr>
        <w:lastRenderedPageBreak/>
        <w:t>передачі майна, включаючи грошові кошти, сторонами угоди про розподіл продукції в користування інвестору (оператору) угоди в межах такої угоди, безоплатне користування таким майном інвестором (оператором) угоди та/або повернення такого майна інвестором (оператором) відповідній стороні угоди;</w:t>
      </w:r>
    </w:p>
    <w:p w14:paraId="5A2D6E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4" w:name="n7671"/>
      <w:bookmarkEnd w:id="9284"/>
      <w:r w:rsidRPr="008B264B">
        <w:rPr>
          <w:rFonts w:ascii="Times New Roman" w:eastAsia="Times New Roman" w:hAnsi="Times New Roman" w:cs="Times New Roman"/>
          <w:i/>
          <w:iCs/>
          <w:color w:val="000000"/>
          <w:sz w:val="24"/>
          <w:szCs w:val="24"/>
          <w:lang/>
        </w:rPr>
        <w:t>{Абзац п'ятий пункту 335.1 статті 335 в редакції Закону </w:t>
      </w:r>
      <w:hyperlink r:id="rId5108" w:anchor="n9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BFEF0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5" w:name="n7672"/>
      <w:bookmarkEnd w:id="9285"/>
      <w:r w:rsidRPr="008B264B">
        <w:rPr>
          <w:rFonts w:ascii="Times New Roman" w:eastAsia="Times New Roman" w:hAnsi="Times New Roman" w:cs="Times New Roman"/>
          <w:color w:val="000000"/>
          <w:sz w:val="24"/>
          <w:szCs w:val="24"/>
          <w:lang/>
        </w:rPr>
        <w:t>розподілу оператором компенсаційної та/або прибуткової продукції і передачі її грошового еквівалента між інвесторами;</w:t>
      </w:r>
    </w:p>
    <w:p w14:paraId="1E5696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6" w:name="n7673"/>
      <w:bookmarkEnd w:id="9286"/>
      <w:r w:rsidRPr="008B264B">
        <w:rPr>
          <w:rFonts w:ascii="Times New Roman" w:eastAsia="Times New Roman" w:hAnsi="Times New Roman" w:cs="Times New Roman"/>
          <w:i/>
          <w:iCs/>
          <w:color w:val="000000"/>
          <w:sz w:val="24"/>
          <w:szCs w:val="24"/>
          <w:lang/>
        </w:rPr>
        <w:t>{Абзац шостий пункту 335.1 статті 335 із змінами, внесеними згідно із Законом </w:t>
      </w:r>
      <w:hyperlink r:id="rId5109" w:anchor="n10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AE865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7" w:name="n7674"/>
      <w:bookmarkEnd w:id="9287"/>
      <w:r w:rsidRPr="008B264B">
        <w:rPr>
          <w:rFonts w:ascii="Times New Roman" w:eastAsia="Times New Roman" w:hAnsi="Times New Roman" w:cs="Times New Roman"/>
          <w:color w:val="000000"/>
          <w:sz w:val="24"/>
          <w:szCs w:val="24"/>
          <w:lang/>
        </w:rPr>
        <w:t>продажу або іншого відчуження інвестором (оператором) компенсаційної та/або прибуткової продукції, крім податкових зобов'язань з податку на додану вартість за операціями з постачання компенсаційної та/або прибуткової продукції, набутої інвестором (оператором) у власність внаслідок її розподілу за угодою, та прибуткової продукції, належної державі і переданої інвестору (оператору) для подальшого продажу, які визначаються з урахуванням </w:t>
      </w:r>
      <w:hyperlink r:id="rId5110" w:anchor="n7756" w:history="1">
        <w:r w:rsidRPr="008B264B">
          <w:rPr>
            <w:rFonts w:ascii="Times New Roman" w:eastAsia="Times New Roman" w:hAnsi="Times New Roman" w:cs="Times New Roman"/>
            <w:color w:val="0000FF"/>
            <w:sz w:val="24"/>
            <w:szCs w:val="24"/>
            <w:u w:val="single"/>
            <w:lang/>
          </w:rPr>
          <w:t>статті 337</w:t>
        </w:r>
      </w:hyperlink>
      <w:r w:rsidRPr="008B264B">
        <w:rPr>
          <w:rFonts w:ascii="Times New Roman" w:eastAsia="Times New Roman" w:hAnsi="Times New Roman" w:cs="Times New Roman"/>
          <w:color w:val="000000"/>
          <w:sz w:val="24"/>
          <w:szCs w:val="24"/>
          <w:lang/>
        </w:rPr>
        <w:t> цього Кодексу;</w:t>
      </w:r>
    </w:p>
    <w:p w14:paraId="407885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8" w:name="n7675"/>
      <w:bookmarkEnd w:id="9288"/>
      <w:r w:rsidRPr="008B264B">
        <w:rPr>
          <w:rFonts w:ascii="Times New Roman" w:eastAsia="Times New Roman" w:hAnsi="Times New Roman" w:cs="Times New Roman"/>
          <w:i/>
          <w:iCs/>
          <w:color w:val="000000"/>
          <w:sz w:val="24"/>
          <w:szCs w:val="24"/>
          <w:lang/>
        </w:rPr>
        <w:t>{Пункт 335.1 статті 335 доповнено новим абзацом згідно із Законом </w:t>
      </w:r>
      <w:hyperlink r:id="rId5111" w:anchor="n10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A96FB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89" w:name="n7676"/>
      <w:bookmarkEnd w:id="9289"/>
      <w:r w:rsidRPr="008B264B">
        <w:rPr>
          <w:rFonts w:ascii="Times New Roman" w:eastAsia="Times New Roman" w:hAnsi="Times New Roman" w:cs="Times New Roman"/>
          <w:color w:val="000000"/>
          <w:sz w:val="24"/>
          <w:szCs w:val="24"/>
          <w:lang/>
        </w:rPr>
        <w:t>передачі майна, включаючи грошові кошти, сторонами угоди про розподіл продукції інвестору (оператору) для забезпечення виконання умов угоди про розподіл продукції в межах такої угоди та повернення такого майна інвестором (оператором) відповідній стороні угоди;</w:t>
      </w:r>
    </w:p>
    <w:p w14:paraId="3D4AB5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0" w:name="n7677"/>
      <w:bookmarkEnd w:id="9290"/>
      <w:r w:rsidRPr="008B264B">
        <w:rPr>
          <w:rFonts w:ascii="Times New Roman" w:eastAsia="Times New Roman" w:hAnsi="Times New Roman" w:cs="Times New Roman"/>
          <w:i/>
          <w:iCs/>
          <w:color w:val="000000"/>
          <w:sz w:val="24"/>
          <w:szCs w:val="24"/>
          <w:lang/>
        </w:rPr>
        <w:t>{Абзац восьмий пункту 335.1 статті 335 в редакції Закону </w:t>
      </w:r>
      <w:hyperlink r:id="rId5112" w:anchor="n10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61CB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1" w:name="n7678"/>
      <w:bookmarkEnd w:id="9291"/>
      <w:r w:rsidRPr="008B264B">
        <w:rPr>
          <w:rFonts w:ascii="Times New Roman" w:eastAsia="Times New Roman" w:hAnsi="Times New Roman" w:cs="Times New Roman"/>
          <w:color w:val="000000"/>
          <w:sz w:val="24"/>
          <w:szCs w:val="24"/>
          <w:lang/>
        </w:rPr>
        <w:t>перерахування (передачі) коштів та/або майна інвестором-нерезидентом його постійному представництву для фінансування та забезпечення діяльності за угодою про розподіл продукції відповідно до програми робіт та кошторису витрат за угодою, іншої діяльності, передбаченої угодою, а також для виконання інших зобов'язань за угодою;</w:t>
      </w:r>
    </w:p>
    <w:p w14:paraId="46EF5D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2" w:name="n7679"/>
      <w:bookmarkEnd w:id="9292"/>
      <w:r w:rsidRPr="008B264B">
        <w:rPr>
          <w:rFonts w:ascii="Times New Roman" w:eastAsia="Times New Roman" w:hAnsi="Times New Roman" w:cs="Times New Roman"/>
          <w:i/>
          <w:iCs/>
          <w:color w:val="000000"/>
          <w:sz w:val="24"/>
          <w:szCs w:val="24"/>
          <w:lang/>
        </w:rPr>
        <w:t>{Пункт 335.1 статті 335 доповнено абзацом дев'ятим згідно із Законом </w:t>
      </w:r>
      <w:hyperlink r:id="rId5113"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7F124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3" w:name="n7680"/>
      <w:bookmarkEnd w:id="9293"/>
      <w:r w:rsidRPr="008B264B">
        <w:rPr>
          <w:rFonts w:ascii="Times New Roman" w:eastAsia="Times New Roman" w:hAnsi="Times New Roman" w:cs="Times New Roman"/>
          <w:color w:val="000000"/>
          <w:sz w:val="24"/>
          <w:szCs w:val="24"/>
          <w:lang/>
        </w:rPr>
        <w:t>безоплатного користування інвестором (оператором) у межах діяльності, пов'язаної з виконанням угоди, будь-яким майном, у тому числі грошовими коштами, геологічною, геофізичною, геохімічною, техніко-економічною інформацією та іншими даними, технологіями та/або правами, наданими інвесторові відповідно до законодавства та угоди;</w:t>
      </w:r>
    </w:p>
    <w:p w14:paraId="29228E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4" w:name="n7681"/>
      <w:bookmarkEnd w:id="9294"/>
      <w:r w:rsidRPr="008B264B">
        <w:rPr>
          <w:rFonts w:ascii="Times New Roman" w:eastAsia="Times New Roman" w:hAnsi="Times New Roman" w:cs="Times New Roman"/>
          <w:i/>
          <w:iCs/>
          <w:color w:val="000000"/>
          <w:sz w:val="24"/>
          <w:szCs w:val="24"/>
          <w:lang/>
        </w:rPr>
        <w:t>{Пункт 335.1 статті 335 доповнено абзацом десятим згідно із Законом </w:t>
      </w:r>
      <w:hyperlink r:id="rId5114"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DAFC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5" w:name="n7682"/>
      <w:bookmarkEnd w:id="9295"/>
      <w:r w:rsidRPr="008B264B">
        <w:rPr>
          <w:rFonts w:ascii="Times New Roman" w:eastAsia="Times New Roman" w:hAnsi="Times New Roman" w:cs="Times New Roman"/>
          <w:color w:val="000000"/>
          <w:sz w:val="24"/>
          <w:szCs w:val="24"/>
          <w:lang/>
        </w:rPr>
        <w:t>використання інвестором (оператором) продукції (в її природному стані або переробленої), необхідної для виконання робіт та здійснення іншої діяльності, передбачених угодою про розподіл продукції, у тому числі спалювання продукції, або втрати такої продукції, пов'язаних з виконанням робіт та здійсненням іншої діяльності, передбачених угодою;</w:t>
      </w:r>
    </w:p>
    <w:p w14:paraId="4B334F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6" w:name="n7683"/>
      <w:bookmarkEnd w:id="9296"/>
      <w:r w:rsidRPr="008B264B">
        <w:rPr>
          <w:rFonts w:ascii="Times New Roman" w:eastAsia="Times New Roman" w:hAnsi="Times New Roman" w:cs="Times New Roman"/>
          <w:i/>
          <w:iCs/>
          <w:color w:val="000000"/>
          <w:sz w:val="24"/>
          <w:szCs w:val="24"/>
          <w:lang/>
        </w:rPr>
        <w:t>{Пункт 335.1 статті 335 доповнено абзацом одинадцятим згідно із Законом </w:t>
      </w:r>
      <w:hyperlink r:id="rId5115"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A7671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7" w:name="n7684"/>
      <w:bookmarkEnd w:id="9297"/>
      <w:r w:rsidRPr="008B264B">
        <w:rPr>
          <w:rFonts w:ascii="Times New Roman" w:eastAsia="Times New Roman" w:hAnsi="Times New Roman" w:cs="Times New Roman"/>
          <w:color w:val="000000"/>
          <w:sz w:val="24"/>
          <w:szCs w:val="24"/>
          <w:lang/>
        </w:rPr>
        <w:t>безоплатного надання товарів, робіт, послуг чи грошових коштів інвестору (оператору) чи інвестором (оператором) протягом строку дії угоди про розподіл продукції та в межах діяльності, пов'язаної з виконанням такої угоди, у тому числі надання додаткових благ працівникам, виплати премій або бонусів на користь держави та виконання соціальних зобов'язань, передбачених угодою про розподіл продукції;</w:t>
      </w:r>
    </w:p>
    <w:p w14:paraId="7CE65F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8" w:name="n7685"/>
      <w:bookmarkEnd w:id="9298"/>
      <w:r w:rsidRPr="008B264B">
        <w:rPr>
          <w:rFonts w:ascii="Times New Roman" w:eastAsia="Times New Roman" w:hAnsi="Times New Roman" w:cs="Times New Roman"/>
          <w:i/>
          <w:iCs/>
          <w:color w:val="000000"/>
          <w:sz w:val="24"/>
          <w:szCs w:val="24"/>
          <w:lang/>
        </w:rPr>
        <w:t>{Пункт 335.1 статті 335 доповнено абзацом дванадцятим згідно із Законом </w:t>
      </w:r>
      <w:hyperlink r:id="rId5116"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CD7B2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299" w:name="n7686"/>
      <w:bookmarkEnd w:id="9299"/>
      <w:r w:rsidRPr="008B264B">
        <w:rPr>
          <w:rFonts w:ascii="Times New Roman" w:eastAsia="Times New Roman" w:hAnsi="Times New Roman" w:cs="Times New Roman"/>
          <w:color w:val="000000"/>
          <w:sz w:val="24"/>
          <w:szCs w:val="24"/>
          <w:lang/>
        </w:rPr>
        <w:lastRenderedPageBreak/>
        <w:t>повернення інвестором (оператором) ділянок надр (їх частин) відповідно до законодавства та угоди про розподіл продукції.</w:t>
      </w:r>
    </w:p>
    <w:p w14:paraId="69D8A2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0" w:name="n7687"/>
      <w:bookmarkEnd w:id="9300"/>
      <w:r w:rsidRPr="008B264B">
        <w:rPr>
          <w:rFonts w:ascii="Times New Roman" w:eastAsia="Times New Roman" w:hAnsi="Times New Roman" w:cs="Times New Roman"/>
          <w:i/>
          <w:iCs/>
          <w:color w:val="000000"/>
          <w:sz w:val="24"/>
          <w:szCs w:val="24"/>
          <w:lang/>
        </w:rPr>
        <w:t>{Пункт 335.1 статті 335 доповнено абзацом тринадцятим згідно із Законом </w:t>
      </w:r>
      <w:hyperlink r:id="rId5117"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6E5C4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1" w:name="n7688"/>
      <w:bookmarkEnd w:id="9301"/>
      <w:r w:rsidRPr="008B264B">
        <w:rPr>
          <w:rFonts w:ascii="Times New Roman" w:eastAsia="Times New Roman" w:hAnsi="Times New Roman" w:cs="Times New Roman"/>
          <w:color w:val="000000"/>
          <w:sz w:val="24"/>
          <w:szCs w:val="24"/>
          <w:lang/>
        </w:rPr>
        <w:t>Протягом строку дії угоди про розподіл продукції та в межах діяльності, пов'язаної з виконанням такої угоди, оподаткування інвестора (оператора) здійснюється з урахуванням особливостей, встановлених цим розділом Кодексу та угодою про розподіл продукції. У разі розбіжностей між положеннями </w:t>
      </w:r>
      <w:hyperlink r:id="rId5118" w:anchor="n7662" w:history="1">
        <w:r w:rsidRPr="008B264B">
          <w:rPr>
            <w:rFonts w:ascii="Times New Roman" w:eastAsia="Times New Roman" w:hAnsi="Times New Roman" w:cs="Times New Roman"/>
            <w:color w:val="0000FF"/>
            <w:sz w:val="24"/>
            <w:szCs w:val="24"/>
            <w:u w:val="single"/>
            <w:lang/>
          </w:rPr>
          <w:t>розділу XVIII</w:t>
        </w:r>
      </w:hyperlink>
      <w:r w:rsidRPr="008B264B">
        <w:rPr>
          <w:rFonts w:ascii="Times New Roman" w:eastAsia="Times New Roman" w:hAnsi="Times New Roman" w:cs="Times New Roman"/>
          <w:color w:val="000000"/>
          <w:sz w:val="24"/>
          <w:szCs w:val="24"/>
          <w:lang/>
        </w:rPr>
        <w:t> та іншими положеннями цього Кодексу застосовуються правила, передбачені розділом XVIII цього Кодексу.</w:t>
      </w:r>
    </w:p>
    <w:p w14:paraId="27A1F4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2" w:name="n7689"/>
      <w:bookmarkEnd w:id="9302"/>
      <w:r w:rsidRPr="008B264B">
        <w:rPr>
          <w:rFonts w:ascii="Times New Roman" w:eastAsia="Times New Roman" w:hAnsi="Times New Roman" w:cs="Times New Roman"/>
          <w:i/>
          <w:iCs/>
          <w:color w:val="000000"/>
          <w:sz w:val="24"/>
          <w:szCs w:val="24"/>
          <w:lang/>
        </w:rPr>
        <w:t>{Пункт 335.1 статті 335 доповнено абзацом чотирнадцятим згідно із Законом </w:t>
      </w:r>
      <w:hyperlink r:id="rId5119" w:anchor="n10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B2B4D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3" w:name="n7690"/>
      <w:bookmarkEnd w:id="9303"/>
      <w:r w:rsidRPr="008B264B">
        <w:rPr>
          <w:rFonts w:ascii="Times New Roman" w:eastAsia="Times New Roman" w:hAnsi="Times New Roman" w:cs="Times New Roman"/>
          <w:color w:val="000000"/>
          <w:sz w:val="24"/>
          <w:szCs w:val="24"/>
          <w:lang/>
        </w:rPr>
        <w:t>335.2. Під час виконання угоди про розподіл продукції інвестор (оператор) сплачує такі податки і збори:</w:t>
      </w:r>
    </w:p>
    <w:p w14:paraId="17430E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4" w:name="n7691"/>
      <w:bookmarkEnd w:id="9304"/>
      <w:r w:rsidRPr="008B264B">
        <w:rPr>
          <w:rFonts w:ascii="Times New Roman" w:eastAsia="Times New Roman" w:hAnsi="Times New Roman" w:cs="Times New Roman"/>
          <w:i/>
          <w:iCs/>
          <w:color w:val="000000"/>
          <w:sz w:val="24"/>
          <w:szCs w:val="24"/>
          <w:lang/>
        </w:rPr>
        <w:t>{Абзац перший пункту 335.2 статті 335 із змінами, внесеними згідно із Законом </w:t>
      </w:r>
      <w:hyperlink r:id="rId5120" w:anchor="n11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2A13B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5" w:name="n7692"/>
      <w:bookmarkEnd w:id="9305"/>
      <w:r w:rsidRPr="008B264B">
        <w:rPr>
          <w:rFonts w:ascii="Times New Roman" w:eastAsia="Times New Roman" w:hAnsi="Times New Roman" w:cs="Times New Roman"/>
          <w:color w:val="000000"/>
          <w:sz w:val="24"/>
          <w:szCs w:val="24"/>
          <w:lang/>
        </w:rPr>
        <w:t>а) податок на додану вартість;</w:t>
      </w:r>
    </w:p>
    <w:p w14:paraId="7E8496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6" w:name="n7693"/>
      <w:bookmarkEnd w:id="9306"/>
      <w:r w:rsidRPr="008B264B">
        <w:rPr>
          <w:rFonts w:ascii="Times New Roman" w:eastAsia="Times New Roman" w:hAnsi="Times New Roman" w:cs="Times New Roman"/>
          <w:color w:val="000000"/>
          <w:sz w:val="24"/>
          <w:szCs w:val="24"/>
          <w:lang/>
        </w:rPr>
        <w:t>б) податок на прибуток підприємств;</w:t>
      </w:r>
    </w:p>
    <w:p w14:paraId="3F95C2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7" w:name="n7694"/>
      <w:bookmarkEnd w:id="9307"/>
      <w:r w:rsidRPr="008B264B">
        <w:rPr>
          <w:rFonts w:ascii="Times New Roman" w:eastAsia="Times New Roman" w:hAnsi="Times New Roman" w:cs="Times New Roman"/>
          <w:color w:val="000000"/>
          <w:sz w:val="24"/>
          <w:szCs w:val="24"/>
          <w:lang/>
        </w:rPr>
        <w:t>в) рентну плату за користування надрами для видобування корисних копалин.</w:t>
      </w:r>
    </w:p>
    <w:p w14:paraId="6F5343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8" w:name="n12091"/>
      <w:bookmarkEnd w:id="9308"/>
      <w:r w:rsidRPr="008B264B">
        <w:rPr>
          <w:rFonts w:ascii="Times New Roman" w:eastAsia="Times New Roman" w:hAnsi="Times New Roman" w:cs="Times New Roman"/>
          <w:i/>
          <w:iCs/>
          <w:color w:val="000000"/>
          <w:sz w:val="24"/>
          <w:szCs w:val="24"/>
          <w:lang/>
        </w:rPr>
        <w:t>{Підпункт "в" пункту 335.2 статті 335 із змінами, внесеними згідно із Законом </w:t>
      </w:r>
      <w:hyperlink r:id="rId5121" w:anchor="n166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85341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09" w:name="n7695"/>
      <w:bookmarkEnd w:id="9309"/>
      <w:r w:rsidRPr="008B264B">
        <w:rPr>
          <w:rFonts w:ascii="Times New Roman" w:eastAsia="Times New Roman" w:hAnsi="Times New Roman" w:cs="Times New Roman"/>
          <w:color w:val="000000"/>
          <w:sz w:val="24"/>
          <w:szCs w:val="24"/>
          <w:lang/>
        </w:rPr>
        <w:t>Інвестор зобов'язаний нарахувати, утримати та сплатити до бюджету податок з доходів фізичних осіб із заробітної плати та інших винагород і виплат, нарахованих (виплачених) платнику податку згідно з </w:t>
      </w:r>
      <w:hyperlink r:id="rId5122"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 з урахуванням </w:t>
      </w:r>
      <w:hyperlink r:id="rId5123" w:anchor="n7798" w:history="1">
        <w:r w:rsidRPr="008B264B">
          <w:rPr>
            <w:rFonts w:ascii="Times New Roman" w:eastAsia="Times New Roman" w:hAnsi="Times New Roman" w:cs="Times New Roman"/>
            <w:color w:val="0000FF"/>
            <w:sz w:val="24"/>
            <w:szCs w:val="24"/>
            <w:u w:val="single"/>
            <w:lang/>
          </w:rPr>
          <w:t>статті 340</w:t>
        </w:r>
      </w:hyperlink>
      <w:r w:rsidRPr="008B264B">
        <w:rPr>
          <w:rFonts w:ascii="Times New Roman" w:eastAsia="Times New Roman" w:hAnsi="Times New Roman" w:cs="Times New Roman"/>
          <w:color w:val="000000"/>
          <w:sz w:val="24"/>
          <w:szCs w:val="24"/>
          <w:lang/>
        </w:rPr>
        <w:t> цього Кодексу.</w:t>
      </w:r>
    </w:p>
    <w:p w14:paraId="5D0A7D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0" w:name="n7696"/>
      <w:bookmarkEnd w:id="9310"/>
      <w:r w:rsidRPr="008B264B">
        <w:rPr>
          <w:rFonts w:ascii="Times New Roman" w:eastAsia="Times New Roman" w:hAnsi="Times New Roman" w:cs="Times New Roman"/>
          <w:i/>
          <w:iCs/>
          <w:color w:val="000000"/>
          <w:sz w:val="24"/>
          <w:szCs w:val="24"/>
          <w:lang/>
        </w:rPr>
        <w:t>{Абзац п'ятий пункту 335.2 статті 335 із змінами, внесеними згідно із Законом </w:t>
      </w:r>
      <w:hyperlink r:id="rId5124" w:anchor="n116"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68935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1" w:name="n7697"/>
      <w:bookmarkEnd w:id="9311"/>
      <w:r w:rsidRPr="008B264B">
        <w:rPr>
          <w:rFonts w:ascii="Times New Roman" w:eastAsia="Times New Roman" w:hAnsi="Times New Roman" w:cs="Times New Roman"/>
          <w:color w:val="000000"/>
          <w:sz w:val="24"/>
          <w:szCs w:val="24"/>
          <w:lang/>
        </w:rPr>
        <w:t>Інвестор-резидент або інвестор-нерезидент (його постійне представництво) зобов'язаний зареєструвати угоду про розподіл продукції за своїм місцезнаходженням як платника податків та при взятті на податковий облік подати контролюючому органу за місцем своєї реєстрації відповідне повідомлення у письмовій формі і такі документи:</w:t>
      </w:r>
    </w:p>
    <w:p w14:paraId="08D1B9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2" w:name="n7698"/>
      <w:bookmarkEnd w:id="9312"/>
      <w:r w:rsidRPr="008B264B">
        <w:rPr>
          <w:rFonts w:ascii="Times New Roman" w:eastAsia="Times New Roman" w:hAnsi="Times New Roman" w:cs="Times New Roman"/>
          <w:i/>
          <w:iCs/>
          <w:color w:val="000000"/>
          <w:sz w:val="24"/>
          <w:szCs w:val="24"/>
          <w:lang/>
        </w:rPr>
        <w:t>{Абзац шостий пункту 335.2 статті 335 із змінами, внесеними згідно із Законом </w:t>
      </w:r>
      <w:hyperlink r:id="rId5125" w:anchor="n11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0C680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3" w:name="n7699"/>
      <w:bookmarkEnd w:id="9313"/>
      <w:r w:rsidRPr="008B264B">
        <w:rPr>
          <w:rFonts w:ascii="Times New Roman" w:eastAsia="Times New Roman" w:hAnsi="Times New Roman" w:cs="Times New Roman"/>
          <w:color w:val="000000"/>
          <w:sz w:val="24"/>
          <w:szCs w:val="24"/>
          <w:lang/>
        </w:rPr>
        <w:t>засвідчену в нотаріальному порядку копію зареєстрованої угоди про розподіл продукції;</w:t>
      </w:r>
    </w:p>
    <w:p w14:paraId="0A2A51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4" w:name="n7700"/>
      <w:bookmarkEnd w:id="9314"/>
      <w:r w:rsidRPr="008B264B">
        <w:rPr>
          <w:rFonts w:ascii="Times New Roman" w:eastAsia="Times New Roman" w:hAnsi="Times New Roman" w:cs="Times New Roman"/>
          <w:color w:val="000000"/>
          <w:sz w:val="24"/>
          <w:szCs w:val="24"/>
          <w:lang/>
        </w:rPr>
        <w:t>копію свідоцтва про державну реєстрацію угоди про розподіл продукції.</w:t>
      </w:r>
    </w:p>
    <w:p w14:paraId="147913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5" w:name="n7701"/>
      <w:bookmarkEnd w:id="9315"/>
      <w:r w:rsidRPr="008B264B">
        <w:rPr>
          <w:rFonts w:ascii="Times New Roman" w:eastAsia="Times New Roman" w:hAnsi="Times New Roman" w:cs="Times New Roman"/>
          <w:color w:val="000000"/>
          <w:sz w:val="24"/>
          <w:szCs w:val="24"/>
          <w:lang/>
        </w:rPr>
        <w:t>Після реєстрації інвестора (оператора) і угоди про розподіл продукції як платника податку інвестор зобов'язаний складати і подавати передбачені законодавством податкові декларації і звіти, нести відповідальність за належне виконання своїх обов'язків, пов'язаних з нарахуванням і сплатою податків та зборів, у порядку і розмірах, встановлених цим Кодексом. Податкові декларації і звіти подаються інвестором за кожним податком, збором, платежем окремо від звітів за результатами діяльності, не пов'язаної з виконанням угоди про розподіл продукції.</w:t>
      </w:r>
    </w:p>
    <w:p w14:paraId="03FC3A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6" w:name="n7702"/>
      <w:bookmarkEnd w:id="9316"/>
      <w:r w:rsidRPr="008B264B">
        <w:rPr>
          <w:rFonts w:ascii="Times New Roman" w:eastAsia="Times New Roman" w:hAnsi="Times New Roman" w:cs="Times New Roman"/>
          <w:i/>
          <w:iCs/>
          <w:color w:val="000000"/>
          <w:sz w:val="24"/>
          <w:szCs w:val="24"/>
          <w:lang/>
        </w:rPr>
        <w:t>{Абзац дев'ятий пункту 335.2 статті 335 із змінами, внесеними згідно із Законом </w:t>
      </w:r>
      <w:hyperlink r:id="rId5126" w:anchor="n11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E6722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7" w:name="n7703"/>
      <w:bookmarkEnd w:id="9317"/>
      <w:r w:rsidRPr="008B264B">
        <w:rPr>
          <w:rFonts w:ascii="Times New Roman" w:eastAsia="Times New Roman" w:hAnsi="Times New Roman" w:cs="Times New Roman"/>
          <w:color w:val="000000"/>
          <w:sz w:val="24"/>
          <w:szCs w:val="24"/>
          <w:lang/>
        </w:rPr>
        <w:t>Форма свідоцтва про реєстрацію інвестора та угоди про розподіл продукції як платника податків затверджується центральним органом виконавчої влади, що забезпечує формування та реалізує державну фінансову політику.</w:t>
      </w:r>
    </w:p>
    <w:p w14:paraId="55953D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8" w:name="n7704"/>
      <w:bookmarkEnd w:id="9318"/>
      <w:r w:rsidRPr="008B264B">
        <w:rPr>
          <w:rFonts w:ascii="Times New Roman" w:eastAsia="Times New Roman" w:hAnsi="Times New Roman" w:cs="Times New Roman"/>
          <w:i/>
          <w:iCs/>
          <w:color w:val="000000"/>
          <w:sz w:val="24"/>
          <w:szCs w:val="24"/>
          <w:lang/>
        </w:rPr>
        <w:lastRenderedPageBreak/>
        <w:t>{Абзац десятий пункту 335.2 статті 335 із змінами, внесеними згідно із Законом </w:t>
      </w:r>
      <w:hyperlink r:id="rId5127" w:anchor="n11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95CBF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19" w:name="n7705"/>
      <w:bookmarkEnd w:id="9319"/>
      <w:r w:rsidRPr="008B264B">
        <w:rPr>
          <w:rFonts w:ascii="Times New Roman" w:eastAsia="Times New Roman" w:hAnsi="Times New Roman" w:cs="Times New Roman"/>
          <w:color w:val="000000"/>
          <w:sz w:val="24"/>
          <w:szCs w:val="24"/>
          <w:lang/>
        </w:rPr>
        <w:t>У разі укладення багатосторонньої угоди про розподіл продукції за участю кількох інвесторів права та обов’язки щодо реєстрації як платника податків за угодою, ведення окремого податкового та бухгалтерського обліку операцій, пов’язаних з виконанням угоди, нарахування та сплати податків і зборів та подання податкової звітності можуть покладатися на на оператора, а в частині податку на додану вартість - на кожного інвестора та/або на оператора у порядку, визначеному угодою.</w:t>
      </w:r>
    </w:p>
    <w:p w14:paraId="56203C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0" w:name="n7706"/>
      <w:bookmarkEnd w:id="9320"/>
      <w:r w:rsidRPr="008B264B">
        <w:rPr>
          <w:rFonts w:ascii="Times New Roman" w:eastAsia="Times New Roman" w:hAnsi="Times New Roman" w:cs="Times New Roman"/>
          <w:i/>
          <w:iCs/>
          <w:color w:val="000000"/>
          <w:sz w:val="24"/>
          <w:szCs w:val="24"/>
          <w:lang/>
        </w:rPr>
        <w:t>{Пункт 335.2 статті 335 доповнено абзацом одинадцятим згідно із Законом </w:t>
      </w:r>
      <w:hyperlink r:id="rId5128" w:anchor="n12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129" w:anchor="n119"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5130" w:anchor="n13"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2DAEA8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1" w:name="n7707"/>
      <w:bookmarkEnd w:id="9321"/>
      <w:r w:rsidRPr="008B264B">
        <w:rPr>
          <w:rFonts w:ascii="Times New Roman" w:eastAsia="Times New Roman" w:hAnsi="Times New Roman" w:cs="Times New Roman"/>
          <w:color w:val="000000"/>
          <w:sz w:val="24"/>
          <w:szCs w:val="24"/>
          <w:lang/>
        </w:rPr>
        <w:t>Визначення інвестора (оператора) та його повноважень здійснюється в порядку, передбаченому законодавством про розподіл продукції.</w:t>
      </w:r>
    </w:p>
    <w:p w14:paraId="2077CF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2" w:name="n7708"/>
      <w:bookmarkEnd w:id="9322"/>
      <w:r w:rsidRPr="008B264B">
        <w:rPr>
          <w:rFonts w:ascii="Times New Roman" w:eastAsia="Times New Roman" w:hAnsi="Times New Roman" w:cs="Times New Roman"/>
          <w:i/>
          <w:iCs/>
          <w:color w:val="000000"/>
          <w:sz w:val="24"/>
          <w:szCs w:val="24"/>
          <w:lang/>
        </w:rPr>
        <w:t>{Пункт 335.2 статті 335 доповнено абзацом дванадцятим згідно із Законом </w:t>
      </w:r>
      <w:hyperlink r:id="rId5131" w:anchor="n12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F5777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3" w:name="n13465"/>
      <w:bookmarkEnd w:id="9323"/>
      <w:r w:rsidRPr="008B264B">
        <w:rPr>
          <w:rFonts w:ascii="Times New Roman" w:eastAsia="Times New Roman" w:hAnsi="Times New Roman" w:cs="Times New Roman"/>
          <w:i/>
          <w:iCs/>
          <w:color w:val="000000"/>
          <w:sz w:val="24"/>
          <w:szCs w:val="24"/>
          <w:lang/>
        </w:rPr>
        <w:t>{Пункт 335.2 статті 335 із змінами, внесеними згідно із Законом </w:t>
      </w:r>
      <w:hyperlink r:id="rId513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A2EA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4" w:name="n7709"/>
      <w:bookmarkEnd w:id="9324"/>
      <w:r w:rsidRPr="008B264B">
        <w:rPr>
          <w:rFonts w:ascii="Times New Roman" w:eastAsia="Times New Roman" w:hAnsi="Times New Roman" w:cs="Times New Roman"/>
          <w:color w:val="000000"/>
          <w:sz w:val="24"/>
          <w:szCs w:val="24"/>
          <w:lang/>
        </w:rPr>
        <w:t>335.3. Дія цього розділу не поширюється (крім випадків, передбачених </w:t>
      </w:r>
      <w:hyperlink r:id="rId5133" w:anchor="n7756" w:history="1">
        <w:r w:rsidRPr="008B264B">
          <w:rPr>
            <w:rFonts w:ascii="Times New Roman" w:eastAsia="Times New Roman" w:hAnsi="Times New Roman" w:cs="Times New Roman"/>
            <w:color w:val="0000FF"/>
            <w:sz w:val="24"/>
            <w:szCs w:val="24"/>
            <w:u w:val="single"/>
            <w:lang/>
          </w:rPr>
          <w:t>статтею 337</w:t>
        </w:r>
      </w:hyperlink>
      <w:r w:rsidRPr="008B264B">
        <w:rPr>
          <w:rFonts w:ascii="Times New Roman" w:eastAsia="Times New Roman" w:hAnsi="Times New Roman" w:cs="Times New Roman"/>
          <w:color w:val="000000"/>
          <w:sz w:val="24"/>
          <w:szCs w:val="24"/>
          <w:lang/>
        </w:rPr>
        <w:t> цього Кодексу) на підрядників і субпідрядників, перевізників та інших осіб, у тому числі іноземних, які беруть участь у виконанні передбачених угодою про розподіл продукції робіт (надання послуг) на підставі договорів (контрактів) з інвестором.</w:t>
      </w:r>
    </w:p>
    <w:p w14:paraId="0A0320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5" w:name="n7710"/>
      <w:bookmarkEnd w:id="9325"/>
      <w:r w:rsidRPr="008B264B">
        <w:rPr>
          <w:rFonts w:ascii="Times New Roman" w:eastAsia="Times New Roman" w:hAnsi="Times New Roman" w:cs="Times New Roman"/>
          <w:color w:val="000000"/>
          <w:sz w:val="24"/>
          <w:szCs w:val="24"/>
          <w:lang/>
        </w:rPr>
        <w:t>Зазначені особи сплачують податки в порядку, встановленому цим Кодексом.</w:t>
      </w:r>
    </w:p>
    <w:p w14:paraId="350B65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6" w:name="n7711"/>
      <w:bookmarkEnd w:id="9326"/>
      <w:r w:rsidRPr="008B264B">
        <w:rPr>
          <w:rFonts w:ascii="Times New Roman" w:eastAsia="Times New Roman" w:hAnsi="Times New Roman" w:cs="Times New Roman"/>
          <w:color w:val="000000"/>
          <w:sz w:val="24"/>
          <w:szCs w:val="24"/>
          <w:lang/>
        </w:rPr>
        <w:t>335.4. Податковий облік, пов'язаний з виконанням передбачених угодою про розподіл продукції робіт (наданням послуг), ведеться відповідно до цього Кодексу та угоди, та окремо від обліку інших видів діяльності.</w:t>
      </w:r>
    </w:p>
    <w:p w14:paraId="1140AE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7" w:name="n7712"/>
      <w:bookmarkEnd w:id="9327"/>
      <w:r w:rsidRPr="008B264B">
        <w:rPr>
          <w:rFonts w:ascii="Times New Roman" w:eastAsia="Times New Roman" w:hAnsi="Times New Roman" w:cs="Times New Roman"/>
          <w:i/>
          <w:iCs/>
          <w:color w:val="000000"/>
          <w:sz w:val="24"/>
          <w:szCs w:val="24"/>
          <w:lang/>
        </w:rPr>
        <w:t>{Абзац перший пункту 335.4 статті 335 із змінами, внесеними згідно із Законом </w:t>
      </w:r>
      <w:hyperlink r:id="rId5134" w:anchor="n12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95FDD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8" w:name="n7713"/>
      <w:bookmarkEnd w:id="9328"/>
      <w:r w:rsidRPr="008B264B">
        <w:rPr>
          <w:rFonts w:ascii="Times New Roman" w:eastAsia="Times New Roman" w:hAnsi="Times New Roman" w:cs="Times New Roman"/>
          <w:color w:val="000000"/>
          <w:sz w:val="24"/>
          <w:szCs w:val="24"/>
          <w:lang/>
        </w:rPr>
        <w:t>Якщо окремий облік не ведеться, застосовується порядок оподаткування без урахування особливостей, передбачених цим розділом.</w:t>
      </w:r>
    </w:p>
    <w:p w14:paraId="6DC973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29" w:name="n7714"/>
      <w:bookmarkEnd w:id="9329"/>
      <w:r w:rsidRPr="008B264B">
        <w:rPr>
          <w:rFonts w:ascii="Times New Roman" w:eastAsia="Times New Roman" w:hAnsi="Times New Roman" w:cs="Times New Roman"/>
          <w:color w:val="000000"/>
          <w:sz w:val="24"/>
          <w:szCs w:val="24"/>
          <w:lang/>
        </w:rPr>
        <w:t>До інвесторів за угодою про розподіл продукції у межах їхньої діяльності за угодою не застосовуються передбачені цим Кодексом правила про оподаткування спільної діяльності, оподаткування за договорами управління майном та оподаткування довгострокових договорів (контрактів).</w:t>
      </w:r>
    </w:p>
    <w:p w14:paraId="6458F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0" w:name="n7715"/>
      <w:bookmarkEnd w:id="9330"/>
      <w:r w:rsidRPr="008B264B">
        <w:rPr>
          <w:rFonts w:ascii="Times New Roman" w:eastAsia="Times New Roman" w:hAnsi="Times New Roman" w:cs="Times New Roman"/>
          <w:i/>
          <w:iCs/>
          <w:color w:val="000000"/>
          <w:sz w:val="24"/>
          <w:szCs w:val="24"/>
          <w:lang/>
        </w:rPr>
        <w:t>{Пункт 335.4 статті 335 доповнено абзацом третім згідно із Законом </w:t>
      </w:r>
      <w:hyperlink r:id="rId5135" w:anchor="n12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537CB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1" w:name="n7716"/>
      <w:bookmarkEnd w:id="9331"/>
      <w:r w:rsidRPr="008B264B">
        <w:rPr>
          <w:rFonts w:ascii="Times New Roman" w:eastAsia="Times New Roman" w:hAnsi="Times New Roman" w:cs="Times New Roman"/>
          <w:b/>
          <w:bCs/>
          <w:color w:val="000000"/>
          <w:sz w:val="24"/>
          <w:szCs w:val="24"/>
          <w:lang/>
        </w:rPr>
        <w:t>Стаття 336.</w:t>
      </w:r>
      <w:r w:rsidRPr="008B264B">
        <w:rPr>
          <w:rFonts w:ascii="Times New Roman" w:eastAsia="Times New Roman" w:hAnsi="Times New Roman" w:cs="Times New Roman"/>
          <w:color w:val="000000"/>
          <w:sz w:val="24"/>
          <w:szCs w:val="24"/>
          <w:lang/>
        </w:rPr>
        <w:t> Особливості сплати податку на прибуток</w:t>
      </w:r>
    </w:p>
    <w:p w14:paraId="087736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2" w:name="n7717"/>
      <w:bookmarkEnd w:id="9332"/>
      <w:r w:rsidRPr="008B264B">
        <w:rPr>
          <w:rFonts w:ascii="Times New Roman" w:eastAsia="Times New Roman" w:hAnsi="Times New Roman" w:cs="Times New Roman"/>
          <w:color w:val="000000"/>
          <w:sz w:val="24"/>
          <w:szCs w:val="24"/>
          <w:lang/>
        </w:rPr>
        <w:t>336.1. Податок на прибуток сплачується інвестором (оператором) з прибутку, отриманого інвестором (інвесторами) від виконання угод про розподіл продукції, у розмірах, встановлених цим Кодексом на дату укладення угоди про розподіл продукції, з урахуванням </w:t>
      </w:r>
      <w:hyperlink r:id="rId5136" w:anchor="n7798" w:history="1">
        <w:r w:rsidRPr="008B264B">
          <w:rPr>
            <w:rFonts w:ascii="Times New Roman" w:eastAsia="Times New Roman" w:hAnsi="Times New Roman" w:cs="Times New Roman"/>
            <w:color w:val="0000FF"/>
            <w:sz w:val="24"/>
            <w:szCs w:val="24"/>
            <w:u w:val="single"/>
            <w:lang/>
          </w:rPr>
          <w:t>статті 340</w:t>
        </w:r>
      </w:hyperlink>
      <w:r w:rsidRPr="008B264B">
        <w:rPr>
          <w:rFonts w:ascii="Times New Roman" w:eastAsia="Times New Roman" w:hAnsi="Times New Roman" w:cs="Times New Roman"/>
          <w:color w:val="000000"/>
          <w:sz w:val="24"/>
          <w:szCs w:val="24"/>
          <w:lang/>
        </w:rPr>
        <w:t> цього Кодексу та таких особливостей:</w:t>
      </w:r>
    </w:p>
    <w:p w14:paraId="606464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3" w:name="n7718"/>
      <w:bookmarkEnd w:id="9333"/>
      <w:r w:rsidRPr="008B264B">
        <w:rPr>
          <w:rFonts w:ascii="Times New Roman" w:eastAsia="Times New Roman" w:hAnsi="Times New Roman" w:cs="Times New Roman"/>
          <w:i/>
          <w:iCs/>
          <w:color w:val="000000"/>
          <w:sz w:val="24"/>
          <w:szCs w:val="24"/>
          <w:lang/>
        </w:rPr>
        <w:t>{Абзац перший пункту 336.1 статті 336 в редакції Закону </w:t>
      </w:r>
      <w:hyperlink r:id="rId5137" w:anchor="n12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67944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4" w:name="n7719"/>
      <w:bookmarkEnd w:id="9334"/>
      <w:r w:rsidRPr="008B264B">
        <w:rPr>
          <w:rFonts w:ascii="Times New Roman" w:eastAsia="Times New Roman" w:hAnsi="Times New Roman" w:cs="Times New Roman"/>
          <w:color w:val="000000"/>
          <w:sz w:val="24"/>
          <w:szCs w:val="24"/>
          <w:lang/>
        </w:rPr>
        <w:t xml:space="preserve">а) об'єктом оподаткування податком на прибуток підприємств є прибуток інвестора (інвесторів), який визначається виходячи з вартості прибуткової продукції, визначеної відповідно до законодавства про розподіл продукції, набутої інвестором (інвесторами) та/або оператором у власність у результаті розподілу продукції, зменшеної на суму сплаченого інвестором єдиного внеску на загальнообов'язкове державне соціальне страхування, а також на суму інших витрат </w:t>
      </w:r>
      <w:r w:rsidRPr="008B264B">
        <w:rPr>
          <w:rFonts w:ascii="Times New Roman" w:eastAsia="Times New Roman" w:hAnsi="Times New Roman" w:cs="Times New Roman"/>
          <w:color w:val="000000"/>
          <w:sz w:val="24"/>
          <w:szCs w:val="24"/>
          <w:lang/>
        </w:rPr>
        <w:lastRenderedPageBreak/>
        <w:t>(включаючи накопичені витрати при виконанні робіт до появи першої прибуткової продукції), пов'язаних з виконанням угоди, але які не відшкодовуються (не підлягають відшкодуванню) компенсаційною продукцією відповідно до угоди.</w:t>
      </w:r>
    </w:p>
    <w:p w14:paraId="754507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5" w:name="n7720"/>
      <w:bookmarkEnd w:id="9335"/>
      <w:r w:rsidRPr="008B264B">
        <w:rPr>
          <w:rFonts w:ascii="Times New Roman" w:eastAsia="Times New Roman" w:hAnsi="Times New Roman" w:cs="Times New Roman"/>
          <w:color w:val="000000"/>
          <w:sz w:val="24"/>
          <w:szCs w:val="24"/>
          <w:lang/>
        </w:rPr>
        <w:t>Якщо вартість прибуткової продукції за угодою про розподіл продукції виражена в іноземній валюті, для цілей обчислення податку на прибуток підприємств така вартість перераховується в гривні в порядку, передбаченому угодою про розподіл продукції.</w:t>
      </w:r>
    </w:p>
    <w:p w14:paraId="74479E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6" w:name="n7721"/>
      <w:bookmarkEnd w:id="9336"/>
      <w:r w:rsidRPr="008B264B">
        <w:rPr>
          <w:rFonts w:ascii="Times New Roman" w:eastAsia="Times New Roman" w:hAnsi="Times New Roman" w:cs="Times New Roman"/>
          <w:i/>
          <w:iCs/>
          <w:color w:val="000000"/>
          <w:sz w:val="24"/>
          <w:szCs w:val="24"/>
          <w:lang/>
        </w:rPr>
        <w:t>{Підпункт "а" пункту 336.1 статті 336 доповнено абзацом другим згідно із Законом </w:t>
      </w:r>
      <w:hyperlink r:id="rId5138" w:anchor="n13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AA9CB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7" w:name="n7722"/>
      <w:bookmarkEnd w:id="9337"/>
      <w:r w:rsidRPr="008B264B">
        <w:rPr>
          <w:rFonts w:ascii="Times New Roman" w:eastAsia="Times New Roman" w:hAnsi="Times New Roman" w:cs="Times New Roman"/>
          <w:color w:val="000000"/>
          <w:sz w:val="24"/>
          <w:szCs w:val="24"/>
          <w:lang/>
        </w:rPr>
        <w:t>Будь-які інші доходи, отримані інвестором (оператором) протягом строку дії угоди від діяльності, пов'язаної з виконанням такої угоди, не розглядаються як об'єкт оподаткування та не враховуються під час його визначення;</w:t>
      </w:r>
    </w:p>
    <w:p w14:paraId="5EF7D8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8" w:name="n7723"/>
      <w:bookmarkEnd w:id="9338"/>
      <w:r w:rsidRPr="008B264B">
        <w:rPr>
          <w:rFonts w:ascii="Times New Roman" w:eastAsia="Times New Roman" w:hAnsi="Times New Roman" w:cs="Times New Roman"/>
          <w:i/>
          <w:iCs/>
          <w:color w:val="000000"/>
          <w:sz w:val="24"/>
          <w:szCs w:val="24"/>
          <w:lang/>
        </w:rPr>
        <w:t>{Підпункт "а" пункту 336.1 статті 336 доповнено абзацом третім згідно із Законом </w:t>
      </w:r>
      <w:hyperlink r:id="rId5139" w:anchor="n13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54173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39" w:name="n7724"/>
      <w:bookmarkEnd w:id="9339"/>
      <w:r w:rsidRPr="008B264B">
        <w:rPr>
          <w:rFonts w:ascii="Times New Roman" w:eastAsia="Times New Roman" w:hAnsi="Times New Roman" w:cs="Times New Roman"/>
          <w:i/>
          <w:iCs/>
          <w:color w:val="000000"/>
          <w:sz w:val="24"/>
          <w:szCs w:val="24"/>
          <w:lang/>
        </w:rPr>
        <w:t>{Підпункт "а" пункту 336.1 статті 336 із змінами, внесеними згідно із Законом </w:t>
      </w:r>
      <w:hyperlink r:id="rId5140" w:anchor="n13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AF4A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0" w:name="n7725"/>
      <w:bookmarkEnd w:id="9340"/>
      <w:r w:rsidRPr="008B264B">
        <w:rPr>
          <w:rFonts w:ascii="Times New Roman" w:eastAsia="Times New Roman" w:hAnsi="Times New Roman" w:cs="Times New Roman"/>
          <w:color w:val="000000"/>
          <w:sz w:val="24"/>
          <w:szCs w:val="24"/>
          <w:lang/>
        </w:rPr>
        <w:t>б) склад витрат, що відшкодовуються компенсаційною продукцією, визначається відповідно до законодавства про розподіл продукції.</w:t>
      </w:r>
    </w:p>
    <w:p w14:paraId="3615E2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1" w:name="n7726"/>
      <w:bookmarkEnd w:id="9341"/>
      <w:r w:rsidRPr="008B264B">
        <w:rPr>
          <w:rFonts w:ascii="Times New Roman" w:eastAsia="Times New Roman" w:hAnsi="Times New Roman" w:cs="Times New Roman"/>
          <w:color w:val="000000"/>
          <w:sz w:val="24"/>
          <w:szCs w:val="24"/>
          <w:lang/>
        </w:rPr>
        <w:t>Витрати на придбання необоротних активів та витрати на виконання робіт з розвідування, облаштування і видобутку корисних копалин включаються в момент їх понесення в повному обсязі до складу витрат, що підлягають відшкодуванню компенсаційною продукцією у порядку, передбаченому законодавством про розподіл продукції.</w:t>
      </w:r>
    </w:p>
    <w:p w14:paraId="00A2B8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2" w:name="n7727"/>
      <w:bookmarkEnd w:id="9342"/>
      <w:r w:rsidRPr="008B264B">
        <w:rPr>
          <w:rFonts w:ascii="Times New Roman" w:eastAsia="Times New Roman" w:hAnsi="Times New Roman" w:cs="Times New Roman"/>
          <w:color w:val="000000"/>
          <w:sz w:val="24"/>
          <w:szCs w:val="24"/>
          <w:lang/>
        </w:rPr>
        <w:t>Інші витрати, пов'язані з виконанням угоди про розподіл продукції, які враховуються під час обчислення об'єкта оподаткування від діяльності, пов'язаної з виконанням угоди, але які не відшкодовуються (не підлягають відшкодуванню) компенсаційною продукцією відповідно до угоди, визначаються за правилами, передбаченими для витрат, що враховуються при обчисленні об’єкта оподаткування відповідно до </w:t>
      </w:r>
      <w:hyperlink r:id="rId5141" w:anchor="n2502" w:history="1">
        <w:r w:rsidRPr="008B264B">
          <w:rPr>
            <w:rFonts w:ascii="Times New Roman" w:eastAsia="Times New Roman" w:hAnsi="Times New Roman" w:cs="Times New Roman"/>
            <w:color w:val="0000FF"/>
            <w:sz w:val="24"/>
            <w:szCs w:val="24"/>
            <w:u w:val="single"/>
            <w:lang/>
          </w:rPr>
          <w:t>розділу III</w:t>
        </w:r>
      </w:hyperlink>
      <w:r w:rsidRPr="008B264B">
        <w:rPr>
          <w:rFonts w:ascii="Times New Roman" w:eastAsia="Times New Roman" w:hAnsi="Times New Roman" w:cs="Times New Roman"/>
          <w:color w:val="000000"/>
          <w:sz w:val="24"/>
          <w:szCs w:val="24"/>
          <w:lang/>
        </w:rPr>
        <w:t> цього Кодексу, якщо інше не передбачено цим розділом чи угодою про розподіл продукції.</w:t>
      </w:r>
    </w:p>
    <w:p w14:paraId="7D8A6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3" w:name="n7728"/>
      <w:bookmarkEnd w:id="9343"/>
      <w:r w:rsidRPr="008B264B">
        <w:rPr>
          <w:rFonts w:ascii="Times New Roman" w:eastAsia="Times New Roman" w:hAnsi="Times New Roman" w:cs="Times New Roman"/>
          <w:i/>
          <w:iCs/>
          <w:color w:val="000000"/>
          <w:sz w:val="24"/>
          <w:szCs w:val="24"/>
          <w:lang/>
        </w:rPr>
        <w:t>{Підпункт "б" пункту 336.1 статті 336 доповнено новим абзацом згідно із Законом </w:t>
      </w:r>
      <w:hyperlink r:id="rId5142" w:anchor="n13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14404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4" w:name="n7729"/>
      <w:bookmarkEnd w:id="9344"/>
      <w:r w:rsidRPr="008B264B">
        <w:rPr>
          <w:rFonts w:ascii="Times New Roman" w:eastAsia="Times New Roman" w:hAnsi="Times New Roman" w:cs="Times New Roman"/>
          <w:color w:val="000000"/>
          <w:sz w:val="24"/>
          <w:szCs w:val="24"/>
          <w:lang/>
        </w:rPr>
        <w:t>Угода про розподіл продукції може передбачати індексацію інших витрат, пов'язаних з виконанням угоди, понесених у період до початку розподілу продукції, які враховуються під час розрахунку об'єкта оподаткування, але які не відшкодовуються (не підлягають відшкодуванню) компенсаційною продукцією за відповідною угодою, в порядку, передбаченому угодою.</w:t>
      </w:r>
    </w:p>
    <w:p w14:paraId="696CAF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5" w:name="n7730"/>
      <w:bookmarkEnd w:id="9345"/>
      <w:r w:rsidRPr="008B264B">
        <w:rPr>
          <w:rFonts w:ascii="Times New Roman" w:eastAsia="Times New Roman" w:hAnsi="Times New Roman" w:cs="Times New Roman"/>
          <w:i/>
          <w:iCs/>
          <w:color w:val="000000"/>
          <w:sz w:val="24"/>
          <w:szCs w:val="24"/>
          <w:lang/>
        </w:rPr>
        <w:t>{Підпункт "б" пункту 336.1 статті 336 доповнено новим абзацом згідно із Законом </w:t>
      </w:r>
      <w:hyperlink r:id="rId5143" w:anchor="n13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98F49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6" w:name="n7731"/>
      <w:bookmarkEnd w:id="9346"/>
      <w:r w:rsidRPr="008B264B">
        <w:rPr>
          <w:rFonts w:ascii="Times New Roman" w:eastAsia="Times New Roman" w:hAnsi="Times New Roman" w:cs="Times New Roman"/>
          <w:color w:val="000000"/>
          <w:sz w:val="24"/>
          <w:szCs w:val="24"/>
          <w:lang/>
        </w:rPr>
        <w:t>Податок на прибуток підприємств, що підлягає сплаті, визначається та сплачується виключно у грошовій формі;</w:t>
      </w:r>
    </w:p>
    <w:p w14:paraId="58F4B3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7" w:name="n7732"/>
      <w:bookmarkEnd w:id="9347"/>
      <w:r w:rsidRPr="008B264B">
        <w:rPr>
          <w:rFonts w:ascii="Times New Roman" w:eastAsia="Times New Roman" w:hAnsi="Times New Roman" w:cs="Times New Roman"/>
          <w:color w:val="000000"/>
          <w:sz w:val="24"/>
          <w:szCs w:val="24"/>
          <w:lang/>
        </w:rPr>
        <w:t>в) якщо об'єкт оподаткування інвестора за результатами звітного періоду має від'ємне значення, дозволяється відповідне зменшення об'єкта оподаткування наступного періоду, а також кожного з наступних періодів до повного погашення такого від'ємного значення об'єкта оподаткування, але не більше строку дії угоди про розподіл продукції;</w:t>
      </w:r>
    </w:p>
    <w:p w14:paraId="3E9076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8" w:name="n7733"/>
      <w:bookmarkEnd w:id="9348"/>
      <w:r w:rsidRPr="008B264B">
        <w:rPr>
          <w:rFonts w:ascii="Times New Roman" w:eastAsia="Times New Roman" w:hAnsi="Times New Roman" w:cs="Times New Roman"/>
          <w:color w:val="000000"/>
          <w:sz w:val="24"/>
          <w:szCs w:val="24"/>
          <w:lang/>
        </w:rPr>
        <w:t>г) для необоротних активів, вартість яких не відшкодовується (не підлягає відшкодуванню) компенсаційною продукцією відповідно до угоди, інвестор застосовує правила амортизації, встановлені згідно з </w:t>
      </w:r>
      <w:hyperlink r:id="rId5144"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472011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49" w:name="n7734"/>
      <w:bookmarkEnd w:id="9349"/>
      <w:r w:rsidRPr="008B264B">
        <w:rPr>
          <w:rFonts w:ascii="Times New Roman" w:eastAsia="Times New Roman" w:hAnsi="Times New Roman" w:cs="Times New Roman"/>
          <w:color w:val="000000"/>
          <w:sz w:val="24"/>
          <w:szCs w:val="24"/>
          <w:lang/>
        </w:rPr>
        <w:t>Інвестор (оператор) визначає податок на прибуток підприємств, що підлягає сплаті за підсумками кожного звітного податкового періоду, на підставі даних податкового обліку;</w:t>
      </w:r>
    </w:p>
    <w:p w14:paraId="343EE5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0" w:name="n7735"/>
      <w:bookmarkEnd w:id="9350"/>
      <w:r w:rsidRPr="008B264B">
        <w:rPr>
          <w:rFonts w:ascii="Times New Roman" w:eastAsia="Times New Roman" w:hAnsi="Times New Roman" w:cs="Times New Roman"/>
          <w:i/>
          <w:iCs/>
          <w:color w:val="000000"/>
          <w:sz w:val="24"/>
          <w:szCs w:val="24"/>
          <w:lang/>
        </w:rPr>
        <w:lastRenderedPageBreak/>
        <w:t>{Абзац другий підпункту "г" пункту 336.1 статті 336 із змінами, внесеними згідно із Законом </w:t>
      </w:r>
      <w:hyperlink r:id="rId5145" w:anchor="n13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BF836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1" w:name="n7736"/>
      <w:bookmarkEnd w:id="9351"/>
      <w:r w:rsidRPr="008B264B">
        <w:rPr>
          <w:rFonts w:ascii="Times New Roman" w:eastAsia="Times New Roman" w:hAnsi="Times New Roman" w:cs="Times New Roman"/>
          <w:color w:val="000000"/>
          <w:sz w:val="24"/>
          <w:szCs w:val="24"/>
          <w:lang/>
        </w:rPr>
        <w:t>ґ) податок на прибуток підприємств від інших видів діяльності, не пов'язаних з виконанням угоди про розподіл продукції, сплачується інвестором відповідно до </w:t>
      </w:r>
      <w:hyperlink r:id="rId5146" w:anchor="n2502" w:history="1">
        <w:r w:rsidRPr="008B264B">
          <w:rPr>
            <w:rFonts w:ascii="Times New Roman" w:eastAsia="Times New Roman" w:hAnsi="Times New Roman" w:cs="Times New Roman"/>
            <w:color w:val="0000FF"/>
            <w:sz w:val="24"/>
            <w:szCs w:val="24"/>
            <w:u w:val="single"/>
            <w:lang/>
          </w:rPr>
          <w:t>розділу III</w:t>
        </w:r>
      </w:hyperlink>
      <w:r w:rsidRPr="008B264B">
        <w:rPr>
          <w:rFonts w:ascii="Times New Roman" w:eastAsia="Times New Roman" w:hAnsi="Times New Roman" w:cs="Times New Roman"/>
          <w:color w:val="000000"/>
          <w:sz w:val="24"/>
          <w:szCs w:val="24"/>
          <w:lang/>
        </w:rPr>
        <w:t> цього Кодексу.</w:t>
      </w:r>
    </w:p>
    <w:p w14:paraId="2C421B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2" w:name="n7737"/>
      <w:bookmarkEnd w:id="9352"/>
      <w:r w:rsidRPr="008B264B">
        <w:rPr>
          <w:rFonts w:ascii="Times New Roman" w:eastAsia="Times New Roman" w:hAnsi="Times New Roman" w:cs="Times New Roman"/>
          <w:color w:val="000000"/>
          <w:sz w:val="24"/>
          <w:szCs w:val="24"/>
          <w:lang/>
        </w:rPr>
        <w:t>Інвестор зобов'язаний вести окремий податковий облік податку на прибуток підприємств, одержаного від виконання угоди про розподіл продукції, та податку на прибуток підприємств, одержаного від інших видів діяльності, не пов'язаних з виконанням цієї угоди;</w:t>
      </w:r>
    </w:p>
    <w:p w14:paraId="7F366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3" w:name="n7738"/>
      <w:bookmarkEnd w:id="9353"/>
      <w:r w:rsidRPr="008B264B">
        <w:rPr>
          <w:rFonts w:ascii="Times New Roman" w:eastAsia="Times New Roman" w:hAnsi="Times New Roman" w:cs="Times New Roman"/>
          <w:color w:val="000000"/>
          <w:sz w:val="24"/>
          <w:szCs w:val="24"/>
          <w:lang/>
        </w:rPr>
        <w:t>д) пільги щодо податку на прибуток підприємств, передбачені у </w:t>
      </w:r>
      <w:hyperlink r:id="rId5147" w:anchor="n2502" w:history="1">
        <w:r w:rsidRPr="008B264B">
          <w:rPr>
            <w:rFonts w:ascii="Times New Roman" w:eastAsia="Times New Roman" w:hAnsi="Times New Roman" w:cs="Times New Roman"/>
            <w:color w:val="0000FF"/>
            <w:sz w:val="24"/>
            <w:szCs w:val="24"/>
            <w:u w:val="single"/>
            <w:lang/>
          </w:rPr>
          <w:t>розділі III</w:t>
        </w:r>
      </w:hyperlink>
      <w:r w:rsidRPr="008B264B">
        <w:rPr>
          <w:rFonts w:ascii="Times New Roman" w:eastAsia="Times New Roman" w:hAnsi="Times New Roman" w:cs="Times New Roman"/>
          <w:color w:val="000000"/>
          <w:sz w:val="24"/>
          <w:szCs w:val="24"/>
          <w:lang/>
        </w:rPr>
        <w:t> цього Кодексу, при оподаткуванні прибутку, отриманого інвестором під час виконання угоди про розподіл продукції, не застосовуються, якщо інше не передбачено угодою.</w:t>
      </w:r>
    </w:p>
    <w:p w14:paraId="654B5E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4" w:name="n7739"/>
      <w:bookmarkEnd w:id="9354"/>
      <w:r w:rsidRPr="008B264B">
        <w:rPr>
          <w:rFonts w:ascii="Times New Roman" w:eastAsia="Times New Roman" w:hAnsi="Times New Roman" w:cs="Times New Roman"/>
          <w:color w:val="000000"/>
          <w:sz w:val="24"/>
          <w:szCs w:val="24"/>
          <w:lang/>
        </w:rPr>
        <w:t>Не підлягає утриманню податок на прибуток підприємств з доходу іноземного інвестора з джерелом його походження з України, отриманого від діяльності за угодою про розподіл продукції, що виплачується інвестору його постійним представництвом відповідно до </w:t>
      </w:r>
      <w:hyperlink r:id="rId5148" w:anchor="n2502" w:history="1">
        <w:r w:rsidRPr="008B264B">
          <w:rPr>
            <w:rFonts w:ascii="Times New Roman" w:eastAsia="Times New Roman" w:hAnsi="Times New Roman" w:cs="Times New Roman"/>
            <w:color w:val="0000FF"/>
            <w:sz w:val="24"/>
            <w:szCs w:val="24"/>
            <w:u w:val="single"/>
            <w:lang/>
          </w:rPr>
          <w:t>розділу III</w:t>
        </w:r>
      </w:hyperlink>
      <w:r w:rsidRPr="008B264B">
        <w:rPr>
          <w:rFonts w:ascii="Times New Roman" w:eastAsia="Times New Roman" w:hAnsi="Times New Roman" w:cs="Times New Roman"/>
          <w:color w:val="000000"/>
          <w:sz w:val="24"/>
          <w:szCs w:val="24"/>
          <w:lang/>
        </w:rPr>
        <w:t> цього Кодексу.</w:t>
      </w:r>
    </w:p>
    <w:p w14:paraId="17729E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5" w:name="n7740"/>
      <w:bookmarkEnd w:id="9355"/>
      <w:r w:rsidRPr="008B264B">
        <w:rPr>
          <w:rFonts w:ascii="Times New Roman" w:eastAsia="Times New Roman" w:hAnsi="Times New Roman" w:cs="Times New Roman"/>
          <w:color w:val="000000"/>
          <w:sz w:val="24"/>
          <w:szCs w:val="24"/>
          <w:lang/>
        </w:rPr>
        <w:t>Не є об'єктом оподаткування податком на прибуток підприємств кошти та/або вартість майна, перераховані (передані) інвестором-нерезидентом його постійному представництву для фінансування та забезпечення діяльності за угодою про розподіл продукції відповідно до програми робіт та кошторису витрат;</w:t>
      </w:r>
    </w:p>
    <w:p w14:paraId="23457C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6" w:name="n7741"/>
      <w:bookmarkEnd w:id="9356"/>
      <w:r w:rsidRPr="008B264B">
        <w:rPr>
          <w:rFonts w:ascii="Times New Roman" w:eastAsia="Times New Roman" w:hAnsi="Times New Roman" w:cs="Times New Roman"/>
          <w:i/>
          <w:iCs/>
          <w:color w:val="000000"/>
          <w:sz w:val="24"/>
          <w:szCs w:val="24"/>
          <w:lang/>
        </w:rPr>
        <w:t>{Абзац третій підпункту "д" пункту 336.1 статті 336 із змінами, внесеними згідно із Законом </w:t>
      </w:r>
      <w:hyperlink r:id="rId5149" w:anchor="n14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3BCAAE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7" w:name="n7742"/>
      <w:bookmarkEnd w:id="9357"/>
      <w:r w:rsidRPr="008B264B">
        <w:rPr>
          <w:rFonts w:ascii="Times New Roman" w:eastAsia="Times New Roman" w:hAnsi="Times New Roman" w:cs="Times New Roman"/>
          <w:color w:val="000000"/>
          <w:sz w:val="24"/>
          <w:szCs w:val="24"/>
          <w:lang/>
        </w:rPr>
        <w:t>e) Базовим податковим (звітним) періодом з податку на прибуток підприємств за угодою про розподіл продукції є календарний квартал.</w:t>
      </w:r>
    </w:p>
    <w:p w14:paraId="699B6D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8" w:name="n7743"/>
      <w:bookmarkEnd w:id="9358"/>
      <w:r w:rsidRPr="008B264B">
        <w:rPr>
          <w:rFonts w:ascii="Times New Roman" w:eastAsia="Times New Roman" w:hAnsi="Times New Roman" w:cs="Times New Roman"/>
          <w:i/>
          <w:iCs/>
          <w:color w:val="000000"/>
          <w:sz w:val="24"/>
          <w:szCs w:val="24"/>
          <w:lang/>
        </w:rPr>
        <w:t>{Абзац перший підпункту "е" пункту 336.1 статті 336 в редакції Закону </w:t>
      </w:r>
      <w:hyperlink r:id="rId5150" w:anchor="n14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0AC494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59" w:name="n7744"/>
      <w:bookmarkEnd w:id="9359"/>
      <w:r w:rsidRPr="008B264B">
        <w:rPr>
          <w:rFonts w:ascii="Times New Roman" w:eastAsia="Times New Roman" w:hAnsi="Times New Roman" w:cs="Times New Roman"/>
          <w:color w:val="000000"/>
          <w:sz w:val="24"/>
          <w:szCs w:val="24"/>
          <w:lang/>
        </w:rPr>
        <w:t>Інвестор (оператор) подає щоквартально податкову декларацію з податку на прибуток за кожний звітний податковий квартал. Правило про складання податкової звітності та розрахунок об’єкта оподаткування з податку на прибуток підприємств наростаючим підсумком не застосовується.</w:t>
      </w:r>
    </w:p>
    <w:p w14:paraId="328B6E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0" w:name="n7745"/>
      <w:bookmarkEnd w:id="9360"/>
      <w:r w:rsidRPr="008B264B">
        <w:rPr>
          <w:rFonts w:ascii="Times New Roman" w:eastAsia="Times New Roman" w:hAnsi="Times New Roman" w:cs="Times New Roman"/>
          <w:i/>
          <w:iCs/>
          <w:color w:val="000000"/>
          <w:sz w:val="24"/>
          <w:szCs w:val="24"/>
          <w:lang/>
        </w:rPr>
        <w:t>{Абзац підпункту "е" пункту 336.1 статті 336 в редакції Закону </w:t>
      </w:r>
      <w:hyperlink r:id="rId5151" w:anchor="n14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A07F7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1" w:name="n7746"/>
      <w:bookmarkEnd w:id="9361"/>
      <w:r w:rsidRPr="008B264B">
        <w:rPr>
          <w:rFonts w:ascii="Times New Roman" w:eastAsia="Times New Roman" w:hAnsi="Times New Roman" w:cs="Times New Roman"/>
          <w:color w:val="000000"/>
          <w:sz w:val="24"/>
          <w:szCs w:val="24"/>
          <w:lang/>
        </w:rPr>
        <w:t>Податок на прибуток підприємств за звітний період сплачується інвестором (оператором) до відповідного бюджету у строк, визначений для квартального податкового періоду.</w:t>
      </w:r>
    </w:p>
    <w:p w14:paraId="0EB0B8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2" w:name="n7747"/>
      <w:bookmarkEnd w:id="9362"/>
      <w:r w:rsidRPr="008B264B">
        <w:rPr>
          <w:rFonts w:ascii="Times New Roman" w:eastAsia="Times New Roman" w:hAnsi="Times New Roman" w:cs="Times New Roman"/>
          <w:i/>
          <w:iCs/>
          <w:color w:val="000000"/>
          <w:sz w:val="24"/>
          <w:szCs w:val="24"/>
          <w:lang/>
        </w:rPr>
        <w:t>{Абзац підпункту "е" пункту 336.1 статті 336 в редакції Закону </w:t>
      </w:r>
      <w:hyperlink r:id="rId5152" w:anchor="n14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C98B1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3" w:name="n7748"/>
      <w:bookmarkEnd w:id="9363"/>
      <w:r w:rsidRPr="008B264B">
        <w:rPr>
          <w:rFonts w:ascii="Times New Roman" w:eastAsia="Times New Roman" w:hAnsi="Times New Roman" w:cs="Times New Roman"/>
          <w:color w:val="000000"/>
          <w:sz w:val="24"/>
          <w:szCs w:val="24"/>
          <w:lang/>
        </w:rPr>
        <w:t>Обов'язок з подання річної податкової декларації і сплати авансових внесків з податку на прибуток до інвестора (оператора) за угодою про розподіл продукції не застосовується.</w:t>
      </w:r>
    </w:p>
    <w:p w14:paraId="78E74E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4" w:name="n7749"/>
      <w:bookmarkEnd w:id="9364"/>
      <w:r w:rsidRPr="008B264B">
        <w:rPr>
          <w:rFonts w:ascii="Times New Roman" w:eastAsia="Times New Roman" w:hAnsi="Times New Roman" w:cs="Times New Roman"/>
          <w:i/>
          <w:iCs/>
          <w:color w:val="000000"/>
          <w:sz w:val="24"/>
          <w:szCs w:val="24"/>
          <w:lang/>
        </w:rPr>
        <w:t>{Абзац підпункту "е" пункту 336.1 статті 336 в редакції Закону </w:t>
      </w:r>
      <w:hyperlink r:id="rId5153" w:anchor="n14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CB25F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5" w:name="n7750"/>
      <w:bookmarkEnd w:id="9365"/>
      <w:r w:rsidRPr="008B264B">
        <w:rPr>
          <w:rFonts w:ascii="Times New Roman" w:eastAsia="Times New Roman" w:hAnsi="Times New Roman" w:cs="Times New Roman"/>
          <w:color w:val="000000"/>
          <w:sz w:val="24"/>
          <w:szCs w:val="24"/>
          <w:lang/>
        </w:rPr>
        <w:t>Офіційне підтвердження щодо сплаченого податку на прибуток підприємств надається інвестору на його письмове звернення після граничних термінів сплати податку на прибуток не пізніше 10 календарних днів з дати надходження такого звернення до контролюючого органу, в якому такого інвестора взято на облік;</w:t>
      </w:r>
    </w:p>
    <w:p w14:paraId="4211C7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6" w:name="n7751"/>
      <w:bookmarkEnd w:id="9366"/>
      <w:r w:rsidRPr="008B264B">
        <w:rPr>
          <w:rFonts w:ascii="Times New Roman" w:eastAsia="Times New Roman" w:hAnsi="Times New Roman" w:cs="Times New Roman"/>
          <w:color w:val="000000"/>
          <w:sz w:val="24"/>
          <w:szCs w:val="24"/>
          <w:lang/>
        </w:rPr>
        <w:t>є) інвестор (оператор) за угодою про розподіл продукції звільняється від обов’язку подавати фінансову звітність і тимчасові та постійні податкові різниці разом з податковою декларацією з податку на прибуток підприємств;</w:t>
      </w:r>
    </w:p>
    <w:p w14:paraId="3F20B5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7" w:name="n7752"/>
      <w:bookmarkEnd w:id="9367"/>
      <w:r w:rsidRPr="008B264B">
        <w:rPr>
          <w:rFonts w:ascii="Times New Roman" w:eastAsia="Times New Roman" w:hAnsi="Times New Roman" w:cs="Times New Roman"/>
          <w:i/>
          <w:iCs/>
          <w:color w:val="000000"/>
          <w:sz w:val="24"/>
          <w:szCs w:val="24"/>
          <w:lang/>
        </w:rPr>
        <w:t>{Підпункт "є" пункту 336.1 статті 336 в редакції Закону </w:t>
      </w:r>
      <w:hyperlink r:id="rId5154" w:anchor="n147"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4F1FE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8" w:name="n7753"/>
      <w:bookmarkEnd w:id="9368"/>
      <w:r w:rsidRPr="008B264B">
        <w:rPr>
          <w:rFonts w:ascii="Times New Roman" w:eastAsia="Times New Roman" w:hAnsi="Times New Roman" w:cs="Times New Roman"/>
          <w:color w:val="000000"/>
          <w:sz w:val="24"/>
          <w:szCs w:val="24"/>
          <w:lang/>
        </w:rPr>
        <w:t xml:space="preserve">ж) якщо інвестор-нерезидент діє за угодою про розподіл продукції через своє представництво, прибуток такого інвестора, одержаний від виконання угоди, оподатковується </w:t>
      </w:r>
      <w:r w:rsidRPr="008B264B">
        <w:rPr>
          <w:rFonts w:ascii="Times New Roman" w:eastAsia="Times New Roman" w:hAnsi="Times New Roman" w:cs="Times New Roman"/>
          <w:color w:val="000000"/>
          <w:sz w:val="24"/>
          <w:szCs w:val="24"/>
          <w:lang/>
        </w:rPr>
        <w:lastRenderedPageBreak/>
        <w:t>відповідно до цієї статті Кодексу та не підлягає оподаткуванню за правилами, встановленими цим Кодексом для оподаткування прибутку нерезидентів, які здійснюють свою діяльність на території України через постійне представництво.</w:t>
      </w:r>
    </w:p>
    <w:p w14:paraId="32B0F3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69" w:name="n7754"/>
      <w:bookmarkEnd w:id="9369"/>
      <w:r w:rsidRPr="008B264B">
        <w:rPr>
          <w:rFonts w:ascii="Times New Roman" w:eastAsia="Times New Roman" w:hAnsi="Times New Roman" w:cs="Times New Roman"/>
          <w:i/>
          <w:iCs/>
          <w:color w:val="000000"/>
          <w:sz w:val="24"/>
          <w:szCs w:val="24"/>
          <w:lang/>
        </w:rPr>
        <w:t>{Пункт 336.1 статті 336 доповнено підпунктом "ж" згідно із Законом </w:t>
      </w:r>
      <w:hyperlink r:id="rId5155" w:anchor="n14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981A3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0" w:name="n7755"/>
      <w:bookmarkEnd w:id="9370"/>
      <w:r w:rsidRPr="008B264B">
        <w:rPr>
          <w:rFonts w:ascii="Times New Roman" w:eastAsia="Times New Roman" w:hAnsi="Times New Roman" w:cs="Times New Roman"/>
          <w:color w:val="000000"/>
          <w:sz w:val="24"/>
          <w:szCs w:val="24"/>
          <w:lang/>
        </w:rPr>
        <w:t>Порядок подання податкової звітності за такими угодами встановлюється в порядку, передбаченому </w:t>
      </w:r>
      <w:hyperlink r:id="rId5156"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w:t>
      </w:r>
    </w:p>
    <w:p w14:paraId="0D7D27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1" w:name="n7756"/>
      <w:bookmarkEnd w:id="9371"/>
      <w:r w:rsidRPr="008B264B">
        <w:rPr>
          <w:rFonts w:ascii="Times New Roman" w:eastAsia="Times New Roman" w:hAnsi="Times New Roman" w:cs="Times New Roman"/>
          <w:b/>
          <w:bCs/>
          <w:color w:val="000000"/>
          <w:sz w:val="24"/>
          <w:szCs w:val="24"/>
          <w:lang/>
        </w:rPr>
        <w:t>Стаття 337.</w:t>
      </w:r>
      <w:r w:rsidRPr="008B264B">
        <w:rPr>
          <w:rFonts w:ascii="Times New Roman" w:eastAsia="Times New Roman" w:hAnsi="Times New Roman" w:cs="Times New Roman"/>
          <w:color w:val="000000"/>
          <w:sz w:val="24"/>
          <w:szCs w:val="24"/>
          <w:lang/>
        </w:rPr>
        <w:t> Особливості сплати податку на додану вартість</w:t>
      </w:r>
    </w:p>
    <w:p w14:paraId="1554FC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2" w:name="n7757"/>
      <w:bookmarkEnd w:id="9372"/>
      <w:r w:rsidRPr="008B264B">
        <w:rPr>
          <w:rFonts w:ascii="Times New Roman" w:eastAsia="Times New Roman" w:hAnsi="Times New Roman" w:cs="Times New Roman"/>
          <w:color w:val="000000"/>
          <w:sz w:val="24"/>
          <w:szCs w:val="24"/>
          <w:lang/>
        </w:rPr>
        <w:t>337.1. Постачання на митній території України компенсаційної та/або прибуткової продукції, набутої інвестором (оператором) у власність внаслідок її розподілу за угодою про розподіл продукції, та прибуткової продукції, належної державі і переданої інвестору (оператору) для подальшого продажу, є об’єктом оподаткування податком на додану вартість, що обчислюється і сплачується у розмірах, порядку і строки, встановлені </w:t>
      </w:r>
      <w:hyperlink r:id="rId5157"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цього Кодексу на дату укладення угоди про розподіл продукції, з урахуванням </w:t>
      </w:r>
      <w:hyperlink r:id="rId5158" w:anchor="n7798" w:history="1">
        <w:r w:rsidRPr="008B264B">
          <w:rPr>
            <w:rFonts w:ascii="Times New Roman" w:eastAsia="Times New Roman" w:hAnsi="Times New Roman" w:cs="Times New Roman"/>
            <w:color w:val="0000FF"/>
            <w:sz w:val="24"/>
            <w:szCs w:val="24"/>
            <w:u w:val="single"/>
            <w:lang/>
          </w:rPr>
          <w:t>статті 340</w:t>
        </w:r>
      </w:hyperlink>
      <w:r w:rsidRPr="008B264B">
        <w:rPr>
          <w:rFonts w:ascii="Times New Roman" w:eastAsia="Times New Roman" w:hAnsi="Times New Roman" w:cs="Times New Roman"/>
          <w:color w:val="000000"/>
          <w:sz w:val="24"/>
          <w:szCs w:val="24"/>
          <w:lang/>
        </w:rPr>
        <w:t> цього Кодексу.</w:t>
      </w:r>
    </w:p>
    <w:p w14:paraId="787076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3" w:name="n7758"/>
      <w:bookmarkEnd w:id="9373"/>
      <w:r w:rsidRPr="008B264B">
        <w:rPr>
          <w:rFonts w:ascii="Times New Roman" w:eastAsia="Times New Roman" w:hAnsi="Times New Roman" w:cs="Times New Roman"/>
          <w:i/>
          <w:iCs/>
          <w:color w:val="000000"/>
          <w:sz w:val="24"/>
          <w:szCs w:val="24"/>
          <w:lang/>
        </w:rPr>
        <w:t>{Пункт 337.1 статті 337 в редакції Закону </w:t>
      </w:r>
      <w:hyperlink r:id="rId5159" w:anchor="n15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160" w:anchor="n121"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 </w:t>
      </w:r>
      <w:hyperlink r:id="rId5161" w:anchor="n15"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0D89E9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4" w:name="n7759"/>
      <w:bookmarkEnd w:id="9374"/>
      <w:r w:rsidRPr="008B264B">
        <w:rPr>
          <w:rFonts w:ascii="Times New Roman" w:eastAsia="Times New Roman" w:hAnsi="Times New Roman" w:cs="Times New Roman"/>
          <w:color w:val="000000"/>
          <w:sz w:val="24"/>
          <w:szCs w:val="24"/>
          <w:lang/>
        </w:rPr>
        <w:t>337.2. За умови ввезення на митну територію України товарів та інших матеріальних цінностей, призначених для використання в рамках виконання угоди про розподіл продукції, у митному режимі імпорту податки (крім акцизного податку), які підлягають сплаті під час митного оформлення товарів, не справляються.</w:t>
      </w:r>
    </w:p>
    <w:p w14:paraId="7ED327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5" w:name="n7760"/>
      <w:bookmarkEnd w:id="9375"/>
      <w:r w:rsidRPr="008B264B">
        <w:rPr>
          <w:rFonts w:ascii="Times New Roman" w:eastAsia="Times New Roman" w:hAnsi="Times New Roman" w:cs="Times New Roman"/>
          <w:i/>
          <w:iCs/>
          <w:color w:val="000000"/>
          <w:sz w:val="24"/>
          <w:szCs w:val="24"/>
          <w:lang/>
        </w:rPr>
        <w:t>{Абзац перший пункту 337.2 статті 337 із змінами, внесеними згідно із Законом </w:t>
      </w:r>
      <w:hyperlink r:id="rId5162" w:anchor="n130"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598F4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6" w:name="n7761"/>
      <w:bookmarkEnd w:id="9376"/>
      <w:r w:rsidRPr="008B264B">
        <w:rPr>
          <w:rFonts w:ascii="Times New Roman" w:eastAsia="Times New Roman" w:hAnsi="Times New Roman" w:cs="Times New Roman"/>
          <w:i/>
          <w:iCs/>
          <w:color w:val="000000"/>
          <w:sz w:val="24"/>
          <w:szCs w:val="24"/>
          <w:lang/>
        </w:rPr>
        <w:t>{Абзац другий пункту 337.2 статті 337 виключено на підставі Закону </w:t>
      </w:r>
      <w:hyperlink r:id="rId5163" w:anchor="n15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7DB0A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7" w:name="n7762"/>
      <w:bookmarkEnd w:id="9377"/>
      <w:r w:rsidRPr="008B264B">
        <w:rPr>
          <w:rFonts w:ascii="Times New Roman" w:eastAsia="Times New Roman" w:hAnsi="Times New Roman" w:cs="Times New Roman"/>
          <w:color w:val="000000"/>
          <w:sz w:val="24"/>
          <w:szCs w:val="24"/>
          <w:lang/>
        </w:rPr>
        <w:t>Ввезення на митну територію України продукції (вуглеводної сировини, нафти і газу), видобутої у виключній (морській) економічній зоні України, здійснюється без сплати податків (включаючи податок на додану вартість), за умови ввезення такої сировини відповідно до угоди про розподіл продукції.</w:t>
      </w:r>
    </w:p>
    <w:p w14:paraId="092DD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8" w:name="n7763"/>
      <w:bookmarkEnd w:id="9378"/>
      <w:r w:rsidRPr="008B264B">
        <w:rPr>
          <w:rFonts w:ascii="Times New Roman" w:eastAsia="Times New Roman" w:hAnsi="Times New Roman" w:cs="Times New Roman"/>
          <w:color w:val="000000"/>
          <w:sz w:val="24"/>
          <w:szCs w:val="24"/>
          <w:lang/>
        </w:rPr>
        <w:t>З урахуванням вимог статей 21 та 22 </w:t>
      </w:r>
      <w:hyperlink r:id="rId5164" w:tgtFrame="_blank" w:history="1">
        <w:r w:rsidRPr="008B264B">
          <w:rPr>
            <w:rFonts w:ascii="Times New Roman" w:eastAsia="Times New Roman" w:hAnsi="Times New Roman" w:cs="Times New Roman"/>
            <w:color w:val="0000FF"/>
            <w:sz w:val="24"/>
            <w:szCs w:val="24"/>
            <w:u w:val="single"/>
            <w:lang/>
          </w:rPr>
          <w:t>Закону України "Про угоди про розподіл продукції"</w:t>
        </w:r>
      </w:hyperlink>
      <w:r w:rsidRPr="008B264B">
        <w:rPr>
          <w:rFonts w:ascii="Times New Roman" w:eastAsia="Times New Roman" w:hAnsi="Times New Roman" w:cs="Times New Roman"/>
          <w:color w:val="000000"/>
          <w:sz w:val="24"/>
          <w:szCs w:val="24"/>
          <w:lang/>
        </w:rPr>
        <w:t> у разі вивезення інвестором (оператором) з митної території України продукції, розподіленої відповідно до умов такої угоди, мито, акцизний податок, інші податки та обов'язкові платежі, що підлягають сплаті під час митного оформлення товарів, не справляються, крім податку на додану вартість, який справляється за нульовою ставкою.</w:t>
      </w:r>
    </w:p>
    <w:p w14:paraId="3FC79C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79" w:name="n7764"/>
      <w:bookmarkEnd w:id="9379"/>
      <w:r w:rsidRPr="008B264B">
        <w:rPr>
          <w:rFonts w:ascii="Times New Roman" w:eastAsia="Times New Roman" w:hAnsi="Times New Roman" w:cs="Times New Roman"/>
          <w:i/>
          <w:iCs/>
          <w:color w:val="000000"/>
          <w:sz w:val="24"/>
          <w:szCs w:val="24"/>
          <w:lang/>
        </w:rPr>
        <w:t>{Абзац четвертий пункту 337.2 статті 337 в редакції Закону </w:t>
      </w:r>
      <w:hyperlink r:id="rId5165" w:anchor="n156"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67D1AD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0" w:name="n7765"/>
      <w:bookmarkEnd w:id="9380"/>
      <w:r w:rsidRPr="008B264B">
        <w:rPr>
          <w:rFonts w:ascii="Times New Roman" w:eastAsia="Times New Roman" w:hAnsi="Times New Roman" w:cs="Times New Roman"/>
          <w:color w:val="000000"/>
          <w:sz w:val="24"/>
          <w:szCs w:val="24"/>
          <w:lang/>
        </w:rPr>
        <w:t>У разі вивезення за межі митної території України для виконання угоди товарів та інших матеріальних цінностей, які раніше були придбані інвестором на митній території України, митні платежі, акцизний податок, інші податки та обов'язкові платежі не справляються, крім податку на додану вартість, який справляється за нульовою ставкою.</w:t>
      </w:r>
    </w:p>
    <w:p w14:paraId="71F05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1" w:name="n7766"/>
      <w:bookmarkEnd w:id="9381"/>
      <w:r w:rsidRPr="008B264B">
        <w:rPr>
          <w:rFonts w:ascii="Times New Roman" w:eastAsia="Times New Roman" w:hAnsi="Times New Roman" w:cs="Times New Roman"/>
          <w:i/>
          <w:iCs/>
          <w:color w:val="000000"/>
          <w:sz w:val="24"/>
          <w:szCs w:val="24"/>
          <w:lang/>
        </w:rPr>
        <w:t>{Абзац п'ятий пункту 337.2 статті 337 із змінами, внесеними згідно із Законом </w:t>
      </w:r>
      <w:hyperlink r:id="rId5166" w:anchor="n15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2B489B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2" w:name="n7767"/>
      <w:bookmarkEnd w:id="9382"/>
      <w:r w:rsidRPr="008B264B">
        <w:rPr>
          <w:rFonts w:ascii="Times New Roman" w:eastAsia="Times New Roman" w:hAnsi="Times New Roman" w:cs="Times New Roman"/>
          <w:color w:val="000000"/>
          <w:sz w:val="24"/>
          <w:szCs w:val="24"/>
          <w:lang/>
        </w:rPr>
        <w:t>При отриманні інвестором послуг, призначених для виконання угоди про розподіл продукції, які постачаються нерезидентом на митній території України, податок на додану вартість не справляється.</w:t>
      </w:r>
    </w:p>
    <w:p w14:paraId="1B7572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3" w:name="n7768"/>
      <w:bookmarkEnd w:id="9383"/>
      <w:r w:rsidRPr="008B264B">
        <w:rPr>
          <w:rFonts w:ascii="Times New Roman" w:eastAsia="Times New Roman" w:hAnsi="Times New Roman" w:cs="Times New Roman"/>
          <w:color w:val="000000"/>
          <w:sz w:val="24"/>
          <w:szCs w:val="24"/>
          <w:lang/>
        </w:rPr>
        <w:t xml:space="preserve">Передбачені в цьому пункті умови оподаткування поширюються в межах діяльності, пов'язаної з угодою про розподіл продукції, також на юридичних осіб та постійні представництва нерезидентів (підрядників, субпідрядників, постачальників, перевізників та інших контрагентів), </w:t>
      </w:r>
      <w:r w:rsidRPr="008B264B">
        <w:rPr>
          <w:rFonts w:ascii="Times New Roman" w:eastAsia="Times New Roman" w:hAnsi="Times New Roman" w:cs="Times New Roman"/>
          <w:color w:val="000000"/>
          <w:sz w:val="24"/>
          <w:szCs w:val="24"/>
          <w:lang/>
        </w:rPr>
        <w:lastRenderedPageBreak/>
        <w:t>які беруть участь у виконанні робіт та іншої діяльності, передбаченої угодою про розподіл продукції, на основі договорів (контрактів) з інвестором.</w:t>
      </w:r>
    </w:p>
    <w:p w14:paraId="03C5B6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4" w:name="n7769"/>
      <w:bookmarkEnd w:id="9384"/>
      <w:r w:rsidRPr="008B264B">
        <w:rPr>
          <w:rFonts w:ascii="Times New Roman" w:eastAsia="Times New Roman" w:hAnsi="Times New Roman" w:cs="Times New Roman"/>
          <w:i/>
          <w:iCs/>
          <w:color w:val="000000"/>
          <w:sz w:val="24"/>
          <w:szCs w:val="24"/>
          <w:lang/>
        </w:rPr>
        <w:t>{Абзац сьомий пункту 337.2 статті 337 із змінами, внесеними згідно із Законом </w:t>
      </w:r>
      <w:hyperlink r:id="rId5167" w:anchor="n15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3038B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5" w:name="n7770"/>
      <w:bookmarkEnd w:id="9385"/>
      <w:r w:rsidRPr="008B264B">
        <w:rPr>
          <w:rFonts w:ascii="Times New Roman" w:eastAsia="Times New Roman" w:hAnsi="Times New Roman" w:cs="Times New Roman"/>
          <w:color w:val="000000"/>
          <w:sz w:val="24"/>
          <w:szCs w:val="24"/>
          <w:lang/>
        </w:rPr>
        <w:t>У разі використання товарів (робіт, послуг) та інших матеріальних цінностей не за призначенням з інвестора (підрядників, субпідрядників, постачальників, перевізників та інших контрагентів) стягуються суми податків і зборів, не внесені у зв'язку з наданням пільг, якщо таке невиконання зобов'язань сталося з вини інвестора (підрядників, субпідрядників, постачальників, перевізників та інших контрагентів).</w:t>
      </w:r>
    </w:p>
    <w:p w14:paraId="4A0204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6" w:name="n7771"/>
      <w:bookmarkEnd w:id="9386"/>
      <w:r w:rsidRPr="008B264B">
        <w:rPr>
          <w:rFonts w:ascii="Times New Roman" w:eastAsia="Times New Roman" w:hAnsi="Times New Roman" w:cs="Times New Roman"/>
          <w:i/>
          <w:iCs/>
          <w:color w:val="000000"/>
          <w:sz w:val="24"/>
          <w:szCs w:val="24"/>
          <w:lang/>
        </w:rPr>
        <w:t>{Абзац восьмий пункту 337.2 статті 337 із змінами, внесеними згідно із Законом </w:t>
      </w:r>
      <w:hyperlink r:id="rId5168" w:anchor="n160"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A80B0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7" w:name="n7772"/>
      <w:bookmarkEnd w:id="9387"/>
      <w:r w:rsidRPr="008B264B">
        <w:rPr>
          <w:rFonts w:ascii="Times New Roman" w:eastAsia="Times New Roman" w:hAnsi="Times New Roman" w:cs="Times New Roman"/>
          <w:color w:val="000000"/>
          <w:sz w:val="24"/>
          <w:szCs w:val="24"/>
          <w:lang/>
        </w:rPr>
        <w:t>337.3. Якщо інвестор (оператор) за угодою про розподіл продукції вважає за доцільне добровільно зареєструватися як платник податку на додану вартість, така реєстрація здійснюється за його заявою.</w:t>
      </w:r>
    </w:p>
    <w:p w14:paraId="45F49D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8" w:name="n7773"/>
      <w:bookmarkEnd w:id="9388"/>
      <w:r w:rsidRPr="008B264B">
        <w:rPr>
          <w:rFonts w:ascii="Times New Roman" w:eastAsia="Times New Roman" w:hAnsi="Times New Roman" w:cs="Times New Roman"/>
          <w:i/>
          <w:iCs/>
          <w:color w:val="000000"/>
          <w:sz w:val="24"/>
          <w:szCs w:val="24"/>
          <w:lang/>
        </w:rPr>
        <w:t>{Пункт 337.3 статті 337 доповнено новим абзацом першим згідно із Законом </w:t>
      </w:r>
      <w:hyperlink r:id="rId5169" w:anchor="n162"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170" w:anchor="n122"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color w:val="000000"/>
          <w:sz w:val="24"/>
          <w:szCs w:val="24"/>
          <w:lang/>
        </w:rPr>
        <w:t>, </w:t>
      </w:r>
      <w:hyperlink r:id="rId5171" w:anchor="n17"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5450AC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89" w:name="n10312"/>
      <w:bookmarkEnd w:id="9389"/>
      <w:r w:rsidRPr="008B264B">
        <w:rPr>
          <w:rFonts w:ascii="Times New Roman" w:eastAsia="Times New Roman" w:hAnsi="Times New Roman" w:cs="Times New Roman"/>
          <w:color w:val="000000"/>
          <w:sz w:val="24"/>
          <w:szCs w:val="24"/>
          <w:lang/>
        </w:rPr>
        <w:t>При цьому, якщо багатостороння угода про розподіл продукції передбачає можливість реєстрації не лише оператора, але й інвесторів як платників податку на додану вартість за угодою, такі інвестори мають подати реєстраційні заяви в одному звітному (податковому) періоді до 10 числа календарного місяця, що слідує за місяцем, у якому інвесторами було прийнято рішення про реєстрацію.</w:t>
      </w:r>
    </w:p>
    <w:p w14:paraId="35EB9B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0" w:name="n10316"/>
      <w:bookmarkEnd w:id="9390"/>
      <w:r w:rsidRPr="008B264B">
        <w:rPr>
          <w:rFonts w:ascii="Times New Roman" w:eastAsia="Times New Roman" w:hAnsi="Times New Roman" w:cs="Times New Roman"/>
          <w:i/>
          <w:iCs/>
          <w:color w:val="000000"/>
          <w:sz w:val="24"/>
          <w:szCs w:val="24"/>
          <w:lang/>
        </w:rPr>
        <w:t>{Пункт 337.3 статті 337 доповнено новим абзацом згідно із Законом </w:t>
      </w:r>
      <w:hyperlink r:id="rId5172" w:anchor="n18"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2AC083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1" w:name="n10313"/>
      <w:bookmarkEnd w:id="9391"/>
      <w:r w:rsidRPr="008B264B">
        <w:rPr>
          <w:rFonts w:ascii="Times New Roman" w:eastAsia="Times New Roman" w:hAnsi="Times New Roman" w:cs="Times New Roman"/>
          <w:color w:val="000000"/>
          <w:sz w:val="24"/>
          <w:szCs w:val="24"/>
          <w:lang/>
        </w:rPr>
        <w:t>Якщо з’являється новий інвестор за багатосторонньою угодою про розподіл продукції, за якою всі інвестори, які не діють як оператори, вже зареєстровані як платники податку на додану вартість, такий новий інвестор зобов’язаний подати реєстраційну заяву для реєстрації платником податку на додану вартість за угодою до 10 числа календарного місяця, що слідує за місяцем, у якому така особа набула прав та обов’язків інвестора.</w:t>
      </w:r>
    </w:p>
    <w:p w14:paraId="367D15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2" w:name="n10315"/>
      <w:bookmarkEnd w:id="9392"/>
      <w:r w:rsidRPr="008B264B">
        <w:rPr>
          <w:rFonts w:ascii="Times New Roman" w:eastAsia="Times New Roman" w:hAnsi="Times New Roman" w:cs="Times New Roman"/>
          <w:i/>
          <w:iCs/>
          <w:color w:val="000000"/>
          <w:sz w:val="24"/>
          <w:szCs w:val="24"/>
          <w:lang/>
        </w:rPr>
        <w:t>{Пункт 337.3 статті 337 доповнено новим абзацом згідно із Законом </w:t>
      </w:r>
      <w:hyperlink r:id="rId5173" w:anchor="n18"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77A613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3" w:name="n10314"/>
      <w:bookmarkEnd w:id="9393"/>
      <w:r w:rsidRPr="008B264B">
        <w:rPr>
          <w:rFonts w:ascii="Times New Roman" w:eastAsia="Times New Roman" w:hAnsi="Times New Roman" w:cs="Times New Roman"/>
          <w:color w:val="000000"/>
          <w:sz w:val="24"/>
          <w:szCs w:val="24"/>
          <w:lang/>
        </w:rPr>
        <w:t>Оператор зобов’язаний повідомити контролюючі органи за своїм місцем обліку та за місцем обліку відповідних інвесторів про прийняття рішення про реєстрацію всіх інвесторів як платників податку на додану вартість за угодою протягом 10 календарних днів після прийняття такого рішення.</w:t>
      </w:r>
    </w:p>
    <w:p w14:paraId="3959D0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4" w:name="n10311"/>
      <w:bookmarkEnd w:id="9394"/>
      <w:r w:rsidRPr="008B264B">
        <w:rPr>
          <w:rFonts w:ascii="Times New Roman" w:eastAsia="Times New Roman" w:hAnsi="Times New Roman" w:cs="Times New Roman"/>
          <w:i/>
          <w:iCs/>
          <w:color w:val="000000"/>
          <w:sz w:val="24"/>
          <w:szCs w:val="24"/>
          <w:lang/>
        </w:rPr>
        <w:t>{Пункт 337.3 статті 337 доповнено новим абзацом згідно із Законом </w:t>
      </w:r>
      <w:hyperlink r:id="rId5174" w:anchor="n18"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45AF77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5" w:name="n7774"/>
      <w:bookmarkEnd w:id="9395"/>
      <w:r w:rsidRPr="008B264B">
        <w:rPr>
          <w:rFonts w:ascii="Times New Roman" w:eastAsia="Times New Roman" w:hAnsi="Times New Roman" w:cs="Times New Roman"/>
          <w:color w:val="000000"/>
          <w:sz w:val="24"/>
          <w:szCs w:val="24"/>
          <w:lang/>
        </w:rPr>
        <w:t>Якщо інвестор (його постійне представництво), зареєстрований як платник податку на додану вартість, за угодою про розподіл продукції подає контролюючому органу декларацію (податковий розрахунок) з цього податку, яка (який) свідчить про відсутність оподатковуваних поставок/придбання протягом дванадцяти послідовних податкових місяців, анулювання реєстрації платника податку на додану вартість не відбувається.</w:t>
      </w:r>
    </w:p>
    <w:p w14:paraId="778BE7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6" w:name="n7775"/>
      <w:bookmarkEnd w:id="9396"/>
      <w:r w:rsidRPr="008B264B">
        <w:rPr>
          <w:rFonts w:ascii="Times New Roman" w:eastAsia="Times New Roman" w:hAnsi="Times New Roman" w:cs="Times New Roman"/>
          <w:i/>
          <w:iCs/>
          <w:color w:val="000000"/>
          <w:sz w:val="24"/>
          <w:szCs w:val="24"/>
          <w:lang/>
        </w:rPr>
        <w:t>{Абзац пункту 337.3 статті 337 із змінами, внесеними згідно із Законом </w:t>
      </w:r>
      <w:hyperlink r:id="rId5175" w:anchor="n165"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D4F08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7" w:name="n7776"/>
      <w:bookmarkEnd w:id="9397"/>
      <w:r w:rsidRPr="008B264B">
        <w:rPr>
          <w:rFonts w:ascii="Times New Roman" w:eastAsia="Times New Roman" w:hAnsi="Times New Roman" w:cs="Times New Roman"/>
          <w:color w:val="000000"/>
          <w:sz w:val="24"/>
          <w:szCs w:val="24"/>
          <w:lang/>
        </w:rPr>
        <w:t xml:space="preserve">337.4. Оператор за багатосторонньою угодою про розподіл продукції включає до складу податкового кредиту суми податку, сплачені (нараховані) будь-яким інвестором (оператором) за угодою у зв’язку з придбанням або виготовленням товарів/послуг, основних засобів, на підставі </w:t>
      </w:r>
      <w:r w:rsidRPr="008B264B">
        <w:rPr>
          <w:rFonts w:ascii="Times New Roman" w:eastAsia="Times New Roman" w:hAnsi="Times New Roman" w:cs="Times New Roman"/>
          <w:color w:val="000000"/>
          <w:sz w:val="24"/>
          <w:szCs w:val="24"/>
          <w:lang/>
        </w:rPr>
        <w:lastRenderedPageBreak/>
        <w:t>наданих інвесторами чи оператором податкових накладних, складених постачальниками, придбання яких здійснено відповідно до програм і планів, затверджених у порядку, визначеному угодами про розподіл продукції.</w:t>
      </w:r>
    </w:p>
    <w:p w14:paraId="6C082C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8" w:name="n14415"/>
      <w:bookmarkEnd w:id="9398"/>
      <w:r w:rsidRPr="008B264B">
        <w:rPr>
          <w:rFonts w:ascii="Times New Roman" w:eastAsia="Times New Roman" w:hAnsi="Times New Roman" w:cs="Times New Roman"/>
          <w:i/>
          <w:iCs/>
          <w:color w:val="000000"/>
          <w:sz w:val="24"/>
          <w:szCs w:val="24"/>
          <w:lang/>
        </w:rPr>
        <w:t>{Абзац перший пункту 337.4 статті 337 із змінами, внесеними згідно із Законом </w:t>
      </w:r>
      <w:hyperlink r:id="rId5176" w:anchor="n144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099F0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399" w:name="n10317"/>
      <w:bookmarkEnd w:id="9399"/>
      <w:r w:rsidRPr="008B264B">
        <w:rPr>
          <w:rFonts w:ascii="Times New Roman" w:eastAsia="Times New Roman" w:hAnsi="Times New Roman" w:cs="Times New Roman"/>
          <w:color w:val="000000"/>
          <w:sz w:val="24"/>
          <w:szCs w:val="24"/>
          <w:lang/>
        </w:rPr>
        <w:t>Якщо згідно з багатосторонньою угодою про розподіл продукції приймається відповідне рішення, то оператор, який відповідно до цього пункту має право на включення до складу податкового кредиту суми сплаченого (нарахованого) податку, може визначити частку залишку від’ємного значення різниці між сумою податкових зобов’язань та сумою податкового кредиту, накопиченого за результатами попередніх звітних (податкових) періодів, яку мають право відобразити у податкових деклараціях інвестори, в пропорціях, визначених відповідно до угоди, за умови, що кожен інвестор зареєстрований як платник податку на додану вартість. У такому разі:</w:t>
      </w:r>
    </w:p>
    <w:p w14:paraId="7C992D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0" w:name="n10318"/>
      <w:bookmarkEnd w:id="9400"/>
      <w:r w:rsidRPr="008B264B">
        <w:rPr>
          <w:rFonts w:ascii="Times New Roman" w:eastAsia="Times New Roman" w:hAnsi="Times New Roman" w:cs="Times New Roman"/>
          <w:color w:val="000000"/>
          <w:sz w:val="24"/>
          <w:szCs w:val="24"/>
          <w:lang/>
        </w:rPr>
        <w:t>а) у звітному (податковому) періоді оператор збільшує свої податкові зобов’язання у розмірі відповідної частки такого від’ємного значення, відображеного в податковій декларації оператора за попередній звітний (податковий) період, та надсилає відповідному інвестору податкову накладну на відповідну суму податку, яка заповнюється в порядку, затвердженому центральним органом виконавчої влади, що забезпечує формування та реалізує державну фінансову політику, з урахуванням особливостей, визначених цим пунктом Кодексу, а також повідомляє про такий розподіл контролюючі органи за місцем обліку оператора та за місцем обліку кожного інвестора, якому була складена податкова накладна, протягом 10 календарних днів після складання відповідних накладних.</w:t>
      </w:r>
    </w:p>
    <w:p w14:paraId="1B7391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1" w:name="n14416"/>
      <w:bookmarkEnd w:id="9401"/>
      <w:r w:rsidRPr="008B264B">
        <w:rPr>
          <w:rFonts w:ascii="Times New Roman" w:eastAsia="Times New Roman" w:hAnsi="Times New Roman" w:cs="Times New Roman"/>
          <w:i/>
          <w:iCs/>
          <w:color w:val="000000"/>
          <w:sz w:val="24"/>
          <w:szCs w:val="24"/>
          <w:lang/>
        </w:rPr>
        <w:t>{Абзац третій пункту 337.4 статті 337 із змінами, внесеними згідно із Законом </w:t>
      </w:r>
      <w:hyperlink r:id="rId5177" w:anchor="n144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96E5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2" w:name="n10319"/>
      <w:bookmarkEnd w:id="9402"/>
      <w:r w:rsidRPr="008B264B">
        <w:rPr>
          <w:rFonts w:ascii="Times New Roman" w:eastAsia="Times New Roman" w:hAnsi="Times New Roman" w:cs="Times New Roman"/>
          <w:color w:val="000000"/>
          <w:sz w:val="24"/>
          <w:szCs w:val="24"/>
          <w:lang/>
        </w:rPr>
        <w:t>Така податкова накладна підлягає обов’язковій реєстрації оператором в Єдиному реєстрі податкових накладних;</w:t>
      </w:r>
    </w:p>
    <w:p w14:paraId="26FA45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3" w:name="n10325"/>
      <w:bookmarkEnd w:id="9403"/>
      <w:r w:rsidRPr="008B264B">
        <w:rPr>
          <w:rFonts w:ascii="Times New Roman" w:eastAsia="Times New Roman" w:hAnsi="Times New Roman" w:cs="Times New Roman"/>
          <w:i/>
          <w:iCs/>
          <w:color w:val="000000"/>
          <w:sz w:val="24"/>
          <w:szCs w:val="24"/>
          <w:lang/>
        </w:rPr>
        <w:t>{Абзац четвертий пункту 337.4 статті 337 набирає чинності з 1 січня 2015 року - див. пункт 1 розділу II Закону </w:t>
      </w:r>
      <w:hyperlink r:id="rId5178" w:anchor="n34"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w:t>
      </w:r>
    </w:p>
    <w:p w14:paraId="6A381F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4" w:name="n10320"/>
      <w:bookmarkEnd w:id="9404"/>
      <w:r w:rsidRPr="008B264B">
        <w:rPr>
          <w:rFonts w:ascii="Times New Roman" w:eastAsia="Times New Roman" w:hAnsi="Times New Roman" w:cs="Times New Roman"/>
          <w:color w:val="000000"/>
          <w:sz w:val="24"/>
          <w:szCs w:val="24"/>
          <w:lang/>
        </w:rPr>
        <w:t>б) інвестор має право відобразити податковий кредит у сумі, зазначеній в податковій накладній, що складена оператором, у податковій декларації за звітний (податковий) період, у якому було складено податкову накладну, або в будь-якому наступному звітному (податковому) періоді, але не пізніше 90 календарних днів з дати складання відповідної податкової накладної.</w:t>
      </w:r>
    </w:p>
    <w:p w14:paraId="0622FC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5" w:name="n14417"/>
      <w:bookmarkEnd w:id="9405"/>
      <w:r w:rsidRPr="008B264B">
        <w:rPr>
          <w:rFonts w:ascii="Times New Roman" w:eastAsia="Times New Roman" w:hAnsi="Times New Roman" w:cs="Times New Roman"/>
          <w:i/>
          <w:iCs/>
          <w:color w:val="000000"/>
          <w:sz w:val="24"/>
          <w:szCs w:val="24"/>
          <w:lang/>
        </w:rPr>
        <w:t>{Абзац п'ятий пункту 337.4 статті 337 із змінами, внесеними згідно із Законом </w:t>
      </w:r>
      <w:hyperlink r:id="rId5179" w:anchor="n144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74DA6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6" w:name="n10321"/>
      <w:bookmarkEnd w:id="9406"/>
      <w:r w:rsidRPr="008B264B">
        <w:rPr>
          <w:rFonts w:ascii="Times New Roman" w:eastAsia="Times New Roman" w:hAnsi="Times New Roman" w:cs="Times New Roman"/>
          <w:color w:val="000000"/>
          <w:sz w:val="24"/>
          <w:szCs w:val="24"/>
          <w:lang/>
        </w:rPr>
        <w:t>Якщо за результатами податкової перевірки або внаслідок самостійного виправлення помилок оператором сума від’ємного значення оператора з податку на додану вартість, що була передана згідно з вимогами цього пункту, зменшується, то:</w:t>
      </w:r>
    </w:p>
    <w:p w14:paraId="48F962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7" w:name="n10322"/>
      <w:bookmarkEnd w:id="9407"/>
      <w:r w:rsidRPr="008B264B">
        <w:rPr>
          <w:rFonts w:ascii="Times New Roman" w:eastAsia="Times New Roman" w:hAnsi="Times New Roman" w:cs="Times New Roman"/>
          <w:color w:val="000000"/>
          <w:sz w:val="24"/>
          <w:szCs w:val="24"/>
          <w:lang/>
        </w:rPr>
        <w:t>а) оператор відповідно зменшує суму податкових зобов’язань за результатами поточного звітного (податкового) періоду та надсилає інвестору розрахунок коригування податку;</w:t>
      </w:r>
    </w:p>
    <w:p w14:paraId="223B24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8" w:name="n10323"/>
      <w:bookmarkEnd w:id="9408"/>
      <w:r w:rsidRPr="008B264B">
        <w:rPr>
          <w:rFonts w:ascii="Times New Roman" w:eastAsia="Times New Roman" w:hAnsi="Times New Roman" w:cs="Times New Roman"/>
          <w:color w:val="000000"/>
          <w:sz w:val="24"/>
          <w:szCs w:val="24"/>
          <w:lang/>
        </w:rPr>
        <w:t>б) інвестор відповідно зменшує суму податкового кредиту за результатами звітного (податкового) періоду, в якому отриманий розрахунок коригування податку, за умови, що він збільшив податковий кредит на підставі відповідної податкової накладної.</w:t>
      </w:r>
    </w:p>
    <w:p w14:paraId="51FC56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09" w:name="n10324"/>
      <w:bookmarkEnd w:id="9409"/>
      <w:r w:rsidRPr="008B264B">
        <w:rPr>
          <w:rFonts w:ascii="Times New Roman" w:eastAsia="Times New Roman" w:hAnsi="Times New Roman" w:cs="Times New Roman"/>
          <w:color w:val="000000"/>
          <w:sz w:val="24"/>
          <w:szCs w:val="24"/>
          <w:lang/>
        </w:rPr>
        <w:t>При від’ємному значенні суми податку на додану вартість, розрахованої відповідно до цього Кодексу, така сума підлягає відшкодуванню інвестору (оператору) в порядку та строки, передбачені угодою про розподіл продукції, затвердженою Кабінетом Міністрів України.</w:t>
      </w:r>
    </w:p>
    <w:p w14:paraId="589AB3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0" w:name="n14418"/>
      <w:bookmarkEnd w:id="9410"/>
      <w:r w:rsidRPr="008B264B">
        <w:rPr>
          <w:rFonts w:ascii="Times New Roman" w:eastAsia="Times New Roman" w:hAnsi="Times New Roman" w:cs="Times New Roman"/>
          <w:i/>
          <w:iCs/>
          <w:color w:val="000000"/>
          <w:sz w:val="24"/>
          <w:szCs w:val="24"/>
          <w:lang/>
        </w:rPr>
        <w:t>{Абзац дев'ятий пункту 337.4 статті 337 із змінами, внесеними згідно із Законом </w:t>
      </w:r>
      <w:hyperlink r:id="rId5180" w:anchor="n144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1E690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1" w:name="n7778"/>
      <w:bookmarkEnd w:id="9411"/>
      <w:r w:rsidRPr="008B264B">
        <w:rPr>
          <w:rFonts w:ascii="Times New Roman" w:eastAsia="Times New Roman" w:hAnsi="Times New Roman" w:cs="Times New Roman"/>
          <w:i/>
          <w:iCs/>
          <w:color w:val="000000"/>
          <w:sz w:val="24"/>
          <w:szCs w:val="24"/>
          <w:lang/>
        </w:rPr>
        <w:lastRenderedPageBreak/>
        <w:t>{Статтю 337 доповнено пунктом 337.4 згідно із Законом </w:t>
      </w:r>
      <w:hyperlink r:id="rId5181" w:anchor="n166"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в редакції Закону </w:t>
      </w:r>
      <w:hyperlink r:id="rId5182" w:anchor="n23" w:tgtFrame="_blank" w:history="1">
        <w:r w:rsidRPr="008B264B">
          <w:rPr>
            <w:rFonts w:ascii="Times New Roman" w:eastAsia="Times New Roman" w:hAnsi="Times New Roman" w:cs="Times New Roman"/>
            <w:i/>
            <w:iCs/>
            <w:color w:val="0000FF"/>
            <w:sz w:val="24"/>
            <w:szCs w:val="24"/>
            <w:u w:val="single"/>
            <w:lang/>
          </w:rPr>
          <w:t>№ 1690-VII від 07.10.2014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18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3E55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2" w:name="n7779"/>
      <w:bookmarkEnd w:id="9412"/>
      <w:r w:rsidRPr="008B264B">
        <w:rPr>
          <w:rFonts w:ascii="Times New Roman" w:eastAsia="Times New Roman" w:hAnsi="Times New Roman" w:cs="Times New Roman"/>
          <w:i/>
          <w:iCs/>
          <w:color w:val="000000"/>
          <w:sz w:val="24"/>
          <w:szCs w:val="24"/>
          <w:lang/>
        </w:rPr>
        <w:t>{Стаття 337 із змінами, внесеними згідно із Законом </w:t>
      </w:r>
      <w:hyperlink r:id="rId5184" w:anchor="n2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3697F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3" w:name="n7780"/>
      <w:bookmarkEnd w:id="9413"/>
      <w:r w:rsidRPr="008B264B">
        <w:rPr>
          <w:rFonts w:ascii="Times New Roman" w:eastAsia="Times New Roman" w:hAnsi="Times New Roman" w:cs="Times New Roman"/>
          <w:b/>
          <w:bCs/>
          <w:color w:val="000000"/>
          <w:sz w:val="24"/>
          <w:szCs w:val="24"/>
          <w:lang/>
        </w:rPr>
        <w:t>Стаття 338.</w:t>
      </w:r>
      <w:r w:rsidRPr="008B264B">
        <w:rPr>
          <w:rFonts w:ascii="Times New Roman" w:eastAsia="Times New Roman" w:hAnsi="Times New Roman" w:cs="Times New Roman"/>
          <w:color w:val="000000"/>
          <w:sz w:val="24"/>
          <w:szCs w:val="24"/>
          <w:lang/>
        </w:rPr>
        <w:t> Особливості справляння рентної плати за користування надрами для видобування корисних копалин</w:t>
      </w:r>
    </w:p>
    <w:p w14:paraId="014582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4" w:name="n12092"/>
      <w:bookmarkEnd w:id="9414"/>
      <w:r w:rsidRPr="008B264B">
        <w:rPr>
          <w:rFonts w:ascii="Times New Roman" w:eastAsia="Times New Roman" w:hAnsi="Times New Roman" w:cs="Times New Roman"/>
          <w:i/>
          <w:iCs/>
          <w:color w:val="000000"/>
          <w:sz w:val="24"/>
          <w:szCs w:val="24"/>
          <w:lang/>
        </w:rPr>
        <w:t>{Назва статті 338 із змінами, внесеними згідно із Законом </w:t>
      </w:r>
      <w:hyperlink r:id="rId5185" w:anchor="n166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2A532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5" w:name="n7781"/>
      <w:bookmarkEnd w:id="9415"/>
      <w:r w:rsidRPr="008B264B">
        <w:rPr>
          <w:rFonts w:ascii="Times New Roman" w:eastAsia="Times New Roman" w:hAnsi="Times New Roman" w:cs="Times New Roman"/>
          <w:color w:val="000000"/>
          <w:sz w:val="24"/>
          <w:szCs w:val="24"/>
          <w:lang/>
        </w:rPr>
        <w:t>338.1. Порядок обчислення, ставки рентної плати за користування надрами для видобування корисних копалин, умови та порядок її сплати та подання звітності під час виконання угод про розподіл продукції визначаються такими угодами.</w:t>
      </w:r>
    </w:p>
    <w:p w14:paraId="76A224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6" w:name="n12093"/>
      <w:bookmarkEnd w:id="9416"/>
      <w:r w:rsidRPr="008B264B">
        <w:rPr>
          <w:rFonts w:ascii="Times New Roman" w:eastAsia="Times New Roman" w:hAnsi="Times New Roman" w:cs="Times New Roman"/>
          <w:i/>
          <w:iCs/>
          <w:color w:val="000000"/>
          <w:sz w:val="24"/>
          <w:szCs w:val="24"/>
          <w:lang/>
        </w:rPr>
        <w:t>{Абзац перший пункту 338.1 статті 338 із змінами, внесеними згідно із Законом </w:t>
      </w:r>
      <w:hyperlink r:id="rId5186" w:anchor="n166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5689C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7" w:name="n7782"/>
      <w:bookmarkEnd w:id="9417"/>
      <w:r w:rsidRPr="008B264B">
        <w:rPr>
          <w:rFonts w:ascii="Times New Roman" w:eastAsia="Times New Roman" w:hAnsi="Times New Roman" w:cs="Times New Roman"/>
          <w:color w:val="000000"/>
          <w:sz w:val="24"/>
          <w:szCs w:val="24"/>
          <w:lang/>
        </w:rPr>
        <w:t>Ставки рентної плати за користування надрами для видобування корисних копалин не повинні бути меншими, ніж установлені </w:t>
      </w:r>
      <w:hyperlink r:id="rId5187" w:anchor="n6117" w:history="1">
        <w:r w:rsidRPr="008B264B">
          <w:rPr>
            <w:rFonts w:ascii="Times New Roman" w:eastAsia="Times New Roman" w:hAnsi="Times New Roman" w:cs="Times New Roman"/>
            <w:color w:val="0000FF"/>
            <w:sz w:val="24"/>
            <w:szCs w:val="24"/>
            <w:u w:val="single"/>
            <w:lang/>
          </w:rPr>
          <w:t>розділом </w:t>
        </w:r>
      </w:hyperlink>
      <w:hyperlink r:id="rId5188" w:anchor="n6117" w:history="1">
        <w:r w:rsidRPr="008B264B">
          <w:rPr>
            <w:rFonts w:ascii="Times New Roman" w:eastAsia="Times New Roman" w:hAnsi="Times New Roman" w:cs="Times New Roman"/>
            <w:color w:val="0000FF"/>
            <w:sz w:val="24"/>
            <w:szCs w:val="24"/>
            <w:u w:val="single"/>
            <w:lang/>
          </w:rPr>
          <w:t>IX</w:t>
        </w:r>
      </w:hyperlink>
      <w:r w:rsidRPr="008B264B">
        <w:rPr>
          <w:rFonts w:ascii="Times New Roman" w:eastAsia="Times New Roman" w:hAnsi="Times New Roman" w:cs="Times New Roman"/>
          <w:color w:val="000000"/>
          <w:sz w:val="24"/>
          <w:szCs w:val="24"/>
          <w:lang/>
        </w:rPr>
        <w:t> цього Кодексу на момент укладення угоди про розподіл продукції, з урахуванням </w:t>
      </w:r>
      <w:hyperlink r:id="rId5189" w:anchor="n7798" w:history="1">
        <w:r w:rsidRPr="008B264B">
          <w:rPr>
            <w:rFonts w:ascii="Times New Roman" w:eastAsia="Times New Roman" w:hAnsi="Times New Roman" w:cs="Times New Roman"/>
            <w:color w:val="0000FF"/>
            <w:sz w:val="24"/>
            <w:szCs w:val="24"/>
            <w:u w:val="single"/>
            <w:lang/>
          </w:rPr>
          <w:t>статті 340</w:t>
        </w:r>
      </w:hyperlink>
      <w:r w:rsidRPr="008B264B">
        <w:rPr>
          <w:rFonts w:ascii="Times New Roman" w:eastAsia="Times New Roman" w:hAnsi="Times New Roman" w:cs="Times New Roman"/>
          <w:color w:val="000000"/>
          <w:sz w:val="24"/>
          <w:szCs w:val="24"/>
          <w:lang/>
        </w:rPr>
        <w:t> цього Кодексу.</w:t>
      </w:r>
    </w:p>
    <w:p w14:paraId="595A60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8" w:name="n12094"/>
      <w:bookmarkEnd w:id="9418"/>
      <w:r w:rsidRPr="008B264B">
        <w:rPr>
          <w:rFonts w:ascii="Times New Roman" w:eastAsia="Times New Roman" w:hAnsi="Times New Roman" w:cs="Times New Roman"/>
          <w:i/>
          <w:iCs/>
          <w:color w:val="000000"/>
          <w:sz w:val="24"/>
          <w:szCs w:val="24"/>
          <w:lang/>
        </w:rPr>
        <w:t>{Абзац другий пункту 338.1 статті 338 із змінами, внесеними згідно із Законом </w:t>
      </w:r>
      <w:hyperlink r:id="rId5190" w:anchor="n167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3AFE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19" w:name="n7783"/>
      <w:bookmarkEnd w:id="9419"/>
      <w:r w:rsidRPr="008B264B">
        <w:rPr>
          <w:rFonts w:ascii="Times New Roman" w:eastAsia="Times New Roman" w:hAnsi="Times New Roman" w:cs="Times New Roman"/>
          <w:color w:val="000000"/>
          <w:sz w:val="24"/>
          <w:szCs w:val="24"/>
          <w:lang/>
        </w:rPr>
        <w:t>Податковим (звітним) періодом для рентної плати за користування надрами для видобування корисних копалин за угодою про розподіл продукції є календарний квартал.</w:t>
      </w:r>
    </w:p>
    <w:p w14:paraId="213B82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0" w:name="n12095"/>
      <w:bookmarkEnd w:id="9420"/>
      <w:r w:rsidRPr="008B264B">
        <w:rPr>
          <w:rFonts w:ascii="Times New Roman" w:eastAsia="Times New Roman" w:hAnsi="Times New Roman" w:cs="Times New Roman"/>
          <w:i/>
          <w:iCs/>
          <w:color w:val="000000"/>
          <w:sz w:val="24"/>
          <w:szCs w:val="24"/>
          <w:lang/>
        </w:rPr>
        <w:t>{Абзац третій пункту 338.1 статті 338 із змінами, внесеними згідно із Законом </w:t>
      </w:r>
      <w:hyperlink r:id="rId5191" w:anchor="n167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FEEC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1" w:name="n7784"/>
      <w:bookmarkEnd w:id="9421"/>
      <w:r w:rsidRPr="008B264B">
        <w:rPr>
          <w:rFonts w:ascii="Times New Roman" w:eastAsia="Times New Roman" w:hAnsi="Times New Roman" w:cs="Times New Roman"/>
          <w:color w:val="000000"/>
          <w:sz w:val="24"/>
          <w:szCs w:val="24"/>
          <w:lang/>
        </w:rPr>
        <w:t>Інвестор (оператор) за угодою про розподіл продукції веде консолідований податковий облік та подає податкову декларацію з рентної плати за користування надрами для видобування корисних копалин незалежно від числа спеціальних дозволів на використання надр у межах угоди про розподіл продукції.</w:t>
      </w:r>
    </w:p>
    <w:p w14:paraId="08CFE5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2" w:name="n12096"/>
      <w:bookmarkEnd w:id="9422"/>
      <w:r w:rsidRPr="008B264B">
        <w:rPr>
          <w:rFonts w:ascii="Times New Roman" w:eastAsia="Times New Roman" w:hAnsi="Times New Roman" w:cs="Times New Roman"/>
          <w:i/>
          <w:iCs/>
          <w:color w:val="000000"/>
          <w:sz w:val="24"/>
          <w:szCs w:val="24"/>
          <w:lang/>
        </w:rPr>
        <w:t>{Абзац четвертий пункту 338.1 статті 338 із змінами, внесеними згідно із Законом </w:t>
      </w:r>
      <w:hyperlink r:id="rId5192" w:anchor="n167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A9C40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3" w:name="n7785"/>
      <w:bookmarkEnd w:id="9423"/>
      <w:r w:rsidRPr="008B264B">
        <w:rPr>
          <w:rFonts w:ascii="Times New Roman" w:eastAsia="Times New Roman" w:hAnsi="Times New Roman" w:cs="Times New Roman"/>
          <w:color w:val="000000"/>
          <w:sz w:val="24"/>
          <w:szCs w:val="24"/>
          <w:lang/>
        </w:rPr>
        <w:t>Якщо інше не передбачено угодою про розподіл продукції, інвестор (оператор) за угодою про розподіл продукції подає податкову декларацію з рентної плати за користування надрами для видобування корисних копалин та сплачує таку рентну плату до бюджету:</w:t>
      </w:r>
    </w:p>
    <w:p w14:paraId="4755AA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4" w:name="n12097"/>
      <w:bookmarkEnd w:id="9424"/>
      <w:r w:rsidRPr="008B264B">
        <w:rPr>
          <w:rFonts w:ascii="Times New Roman" w:eastAsia="Times New Roman" w:hAnsi="Times New Roman" w:cs="Times New Roman"/>
          <w:i/>
          <w:iCs/>
          <w:color w:val="000000"/>
          <w:sz w:val="24"/>
          <w:szCs w:val="24"/>
          <w:lang/>
        </w:rPr>
        <w:t>{Абзац п'ятий пункту 338.1 статті 338 із змінами, внесеними згідно із Законом </w:t>
      </w:r>
      <w:hyperlink r:id="rId5193" w:anchor="n167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C75A8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5" w:name="n7786"/>
      <w:bookmarkEnd w:id="9425"/>
      <w:r w:rsidRPr="008B264B">
        <w:rPr>
          <w:rFonts w:ascii="Times New Roman" w:eastAsia="Times New Roman" w:hAnsi="Times New Roman" w:cs="Times New Roman"/>
          <w:color w:val="000000"/>
          <w:sz w:val="24"/>
          <w:szCs w:val="24"/>
          <w:lang/>
        </w:rPr>
        <w:t>за місцезнаходженням ділянки надр, з якої видобуті корисні копалини, у разі розміщення такої ділянки надр у межах території України;</w:t>
      </w:r>
    </w:p>
    <w:p w14:paraId="08BD2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6" w:name="n7787"/>
      <w:bookmarkEnd w:id="9426"/>
      <w:r w:rsidRPr="008B264B">
        <w:rPr>
          <w:rFonts w:ascii="Times New Roman" w:eastAsia="Times New Roman" w:hAnsi="Times New Roman" w:cs="Times New Roman"/>
          <w:color w:val="000000"/>
          <w:sz w:val="24"/>
          <w:szCs w:val="24"/>
          <w:lang/>
        </w:rPr>
        <w:t>за місцем обліку платника у разі розміщення ділянки надр, з якої видобуто корисні копалини, в межах континентального шельфу та/або виключної (морської) економічної зони України.</w:t>
      </w:r>
    </w:p>
    <w:p w14:paraId="5BF7B6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7" w:name="n7788"/>
      <w:bookmarkEnd w:id="9427"/>
      <w:r w:rsidRPr="008B264B">
        <w:rPr>
          <w:rFonts w:ascii="Times New Roman" w:eastAsia="Times New Roman" w:hAnsi="Times New Roman" w:cs="Times New Roman"/>
          <w:i/>
          <w:iCs/>
          <w:color w:val="000000"/>
          <w:sz w:val="24"/>
          <w:szCs w:val="24"/>
          <w:lang/>
        </w:rPr>
        <w:t>{Пункт 338.1 статті 338 в редакції Закону </w:t>
      </w:r>
      <w:hyperlink r:id="rId5194" w:anchor="n16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9320F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8" w:name="n14317"/>
      <w:bookmarkEnd w:id="9428"/>
      <w:r w:rsidRPr="008B264B">
        <w:rPr>
          <w:rFonts w:ascii="Times New Roman" w:eastAsia="Times New Roman" w:hAnsi="Times New Roman" w:cs="Times New Roman"/>
          <w:i/>
          <w:iCs/>
          <w:color w:val="000000"/>
          <w:sz w:val="24"/>
          <w:szCs w:val="24"/>
          <w:lang/>
        </w:rPr>
        <w:t>{Зміни до пункту 338.1 статті 338 по Закону </w:t>
      </w:r>
      <w:hyperlink r:id="rId5195" w:anchor="n144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не внесено, щодо набрання чинності змін див. </w:t>
      </w:r>
      <w:hyperlink r:id="rId5196" w:anchor="n1608" w:tgtFrame="_blank" w:history="1">
        <w:r w:rsidRPr="008B264B">
          <w:rPr>
            <w:rFonts w:ascii="Times New Roman" w:eastAsia="Times New Roman" w:hAnsi="Times New Roman" w:cs="Times New Roman"/>
            <w:i/>
            <w:iCs/>
            <w:color w:val="0000FF"/>
            <w:sz w:val="24"/>
            <w:szCs w:val="24"/>
            <w:u w:val="single"/>
            <w:lang/>
          </w:rPr>
          <w:t>розділ II</w:t>
        </w:r>
      </w:hyperlink>
      <w:r w:rsidRPr="008B264B">
        <w:rPr>
          <w:rFonts w:ascii="Times New Roman" w:eastAsia="Times New Roman" w:hAnsi="Times New Roman" w:cs="Times New Roman"/>
          <w:i/>
          <w:iCs/>
          <w:color w:val="000000"/>
          <w:sz w:val="24"/>
          <w:szCs w:val="24"/>
          <w:lang/>
        </w:rPr>
        <w:t> "Прикінцеві та перехідні положення"}</w:t>
      </w:r>
    </w:p>
    <w:p w14:paraId="208E18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29" w:name="n7789"/>
      <w:bookmarkEnd w:id="9429"/>
      <w:r w:rsidRPr="008B264B">
        <w:rPr>
          <w:rFonts w:ascii="Times New Roman" w:eastAsia="Times New Roman" w:hAnsi="Times New Roman" w:cs="Times New Roman"/>
          <w:color w:val="000000"/>
          <w:sz w:val="24"/>
          <w:szCs w:val="24"/>
          <w:lang/>
        </w:rPr>
        <w:t>338.2. Облік нарахованих і сплачених інвестором сум рентної плати за користування надрами для видобування корисних копалин на умовах угоди про розподіл продукції ведеться в порядку, визначеному угодою.</w:t>
      </w:r>
    </w:p>
    <w:p w14:paraId="066052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0" w:name="n12098"/>
      <w:bookmarkEnd w:id="9430"/>
      <w:r w:rsidRPr="008B264B">
        <w:rPr>
          <w:rFonts w:ascii="Times New Roman" w:eastAsia="Times New Roman" w:hAnsi="Times New Roman" w:cs="Times New Roman"/>
          <w:i/>
          <w:iCs/>
          <w:color w:val="000000"/>
          <w:sz w:val="24"/>
          <w:szCs w:val="24"/>
          <w:lang/>
        </w:rPr>
        <w:t>{Пункт 338.2 статті 338 із змінами, внесеними згідно із Законом </w:t>
      </w:r>
      <w:hyperlink r:id="rId5197" w:anchor="n167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855A6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1" w:name="n7790"/>
      <w:bookmarkEnd w:id="9431"/>
      <w:r w:rsidRPr="008B264B">
        <w:rPr>
          <w:rFonts w:ascii="Times New Roman" w:eastAsia="Times New Roman" w:hAnsi="Times New Roman" w:cs="Times New Roman"/>
          <w:b/>
          <w:bCs/>
          <w:color w:val="000000"/>
          <w:sz w:val="24"/>
          <w:szCs w:val="24"/>
          <w:lang/>
        </w:rPr>
        <w:lastRenderedPageBreak/>
        <w:t>Стаття 339.</w:t>
      </w:r>
      <w:r w:rsidRPr="008B264B">
        <w:rPr>
          <w:rFonts w:ascii="Times New Roman" w:eastAsia="Times New Roman" w:hAnsi="Times New Roman" w:cs="Times New Roman"/>
          <w:color w:val="000000"/>
          <w:sz w:val="24"/>
          <w:szCs w:val="24"/>
          <w:lang/>
        </w:rPr>
        <w:t> Особливості здійснення контролю за виконанням угоди про розподіл продукції</w:t>
      </w:r>
    </w:p>
    <w:p w14:paraId="48F239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2" w:name="n7791"/>
      <w:bookmarkEnd w:id="9432"/>
      <w:r w:rsidRPr="008B264B">
        <w:rPr>
          <w:rFonts w:ascii="Times New Roman" w:eastAsia="Times New Roman" w:hAnsi="Times New Roman" w:cs="Times New Roman"/>
          <w:color w:val="000000"/>
          <w:sz w:val="24"/>
          <w:szCs w:val="24"/>
          <w:lang/>
        </w:rPr>
        <w:t>339.1. Бухгалтерський облік фінансово-господарської діяльності інвестора, пов'язаної з виконанням робіт (наданням послуг), передбачених угодою про розподіл продукції, провадиться окремо від обліку інших видів діяльності з метою уникнення подвійного відображення компенсаційних витрат інвестора. Порядок такого обліку, перелік звітів, зокрема з метою відшкодування витрат інвестора та розрахунку податку на прибуток, визначається угодою про розподіл продукції.</w:t>
      </w:r>
    </w:p>
    <w:p w14:paraId="0FA51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3" w:name="n7792"/>
      <w:bookmarkEnd w:id="9433"/>
      <w:r w:rsidRPr="008B264B">
        <w:rPr>
          <w:rFonts w:ascii="Times New Roman" w:eastAsia="Times New Roman" w:hAnsi="Times New Roman" w:cs="Times New Roman"/>
          <w:i/>
          <w:iCs/>
          <w:color w:val="000000"/>
          <w:sz w:val="24"/>
          <w:szCs w:val="24"/>
          <w:lang/>
        </w:rPr>
        <w:t>{Абзац перший пункту 339.1 статті 339 із змінами, внесеними згідно із Законом </w:t>
      </w:r>
      <w:hyperlink r:id="rId5198" w:anchor="n17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4ACE93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4" w:name="n7793"/>
      <w:bookmarkEnd w:id="9434"/>
      <w:r w:rsidRPr="008B264B">
        <w:rPr>
          <w:rFonts w:ascii="Times New Roman" w:eastAsia="Times New Roman" w:hAnsi="Times New Roman" w:cs="Times New Roman"/>
          <w:color w:val="000000"/>
          <w:sz w:val="24"/>
          <w:szCs w:val="24"/>
          <w:lang/>
        </w:rPr>
        <w:t>У разі якщо за угодою про розподіл продукції роботи проводяться на кількох ділянках надр, інвестор здійснює консолідований облік своєї господарської діяльності.</w:t>
      </w:r>
    </w:p>
    <w:p w14:paraId="71EEC7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5" w:name="n7794"/>
      <w:bookmarkEnd w:id="9435"/>
      <w:r w:rsidRPr="008B264B">
        <w:rPr>
          <w:rFonts w:ascii="Times New Roman" w:eastAsia="Times New Roman" w:hAnsi="Times New Roman" w:cs="Times New Roman"/>
          <w:color w:val="000000"/>
          <w:sz w:val="24"/>
          <w:szCs w:val="24"/>
          <w:lang/>
        </w:rPr>
        <w:t>339.2. Звіти інвестора про діяльність, пов'язану з виконанням угоди про розподіл продукції, підлягають обов'язковій щорічній аудиторській перевірці.</w:t>
      </w:r>
    </w:p>
    <w:p w14:paraId="706979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6" w:name="n7795"/>
      <w:bookmarkEnd w:id="9436"/>
      <w:r w:rsidRPr="008B264B">
        <w:rPr>
          <w:rFonts w:ascii="Times New Roman" w:eastAsia="Times New Roman" w:hAnsi="Times New Roman" w:cs="Times New Roman"/>
          <w:i/>
          <w:iCs/>
          <w:color w:val="000000"/>
          <w:sz w:val="24"/>
          <w:szCs w:val="24"/>
          <w:lang/>
        </w:rPr>
        <w:t>{Пункт 339.2 статті 339 із змінами, внесеними згідно із Законом </w:t>
      </w:r>
      <w:hyperlink r:id="rId5199" w:anchor="n179"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1975A6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7" w:name="n7796"/>
      <w:bookmarkEnd w:id="9437"/>
      <w:r w:rsidRPr="008B264B">
        <w:rPr>
          <w:rFonts w:ascii="Times New Roman" w:eastAsia="Times New Roman" w:hAnsi="Times New Roman" w:cs="Times New Roman"/>
          <w:color w:val="000000"/>
          <w:sz w:val="24"/>
          <w:szCs w:val="24"/>
          <w:lang/>
        </w:rPr>
        <w:t>339.3. З метою податкового контролю інвестор, який сплачує податки та збори під час виконання угоди про розподіл продукції, зобов'язаний зберігати первинні документи, пов'язані з нарахуванням і сплатою податків, протягом терміну зберігання, передбаченого законодавством.</w:t>
      </w:r>
    </w:p>
    <w:p w14:paraId="516FF7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8" w:name="n7797"/>
      <w:bookmarkEnd w:id="9438"/>
      <w:r w:rsidRPr="008B264B">
        <w:rPr>
          <w:rFonts w:ascii="Times New Roman" w:eastAsia="Times New Roman" w:hAnsi="Times New Roman" w:cs="Times New Roman"/>
          <w:color w:val="000000"/>
          <w:sz w:val="24"/>
          <w:szCs w:val="24"/>
          <w:lang/>
        </w:rPr>
        <w:t>Документальні перевірки виконання інвестором зобов'язань перед бюджетом зі сплати податків і зборів проводяться відповідно до цього Кодексу.</w:t>
      </w:r>
    </w:p>
    <w:p w14:paraId="4F6B15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39" w:name="n7798"/>
      <w:bookmarkEnd w:id="9439"/>
      <w:r w:rsidRPr="008B264B">
        <w:rPr>
          <w:rFonts w:ascii="Times New Roman" w:eastAsia="Times New Roman" w:hAnsi="Times New Roman" w:cs="Times New Roman"/>
          <w:b/>
          <w:bCs/>
          <w:color w:val="000000"/>
          <w:sz w:val="24"/>
          <w:szCs w:val="24"/>
          <w:lang/>
        </w:rPr>
        <w:t>Стаття 340.</w:t>
      </w:r>
      <w:r w:rsidRPr="008B264B">
        <w:rPr>
          <w:rFonts w:ascii="Times New Roman" w:eastAsia="Times New Roman" w:hAnsi="Times New Roman" w:cs="Times New Roman"/>
          <w:color w:val="000000"/>
          <w:sz w:val="24"/>
          <w:szCs w:val="24"/>
          <w:lang/>
        </w:rPr>
        <w:t> Гарантії у разі внесення змін до податкового законодавства</w:t>
      </w:r>
    </w:p>
    <w:p w14:paraId="5A127B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0" w:name="n7799"/>
      <w:bookmarkEnd w:id="9440"/>
      <w:r w:rsidRPr="008B264B">
        <w:rPr>
          <w:rFonts w:ascii="Times New Roman" w:eastAsia="Times New Roman" w:hAnsi="Times New Roman" w:cs="Times New Roman"/>
          <w:color w:val="000000"/>
          <w:sz w:val="24"/>
          <w:szCs w:val="24"/>
          <w:lang/>
        </w:rPr>
        <w:t>Держава гарантує, що до прав та обов'язків інвестора при виконанні податкових зобов'язань, визначених угодою про розподіл продукції, буде застосовуватися законодавство, чинне на момент укладення угоди, крім випадків, коли законом зменшується розмір податків чи зборів або податки і збори скасовуються. Закон, яким зменшується розмір податків чи зборів або податки і збори скасовуються, інвестором застосовується з дня набрання ним чинності.</w:t>
      </w:r>
    </w:p>
    <w:p w14:paraId="121A60B6"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441" w:name="n7800"/>
      <w:bookmarkEnd w:id="9441"/>
      <w:r w:rsidRPr="008B264B">
        <w:rPr>
          <w:rFonts w:ascii="Times New Roman" w:eastAsia="Times New Roman" w:hAnsi="Times New Roman" w:cs="Times New Roman"/>
          <w:b/>
          <w:bCs/>
          <w:color w:val="000000"/>
          <w:sz w:val="28"/>
          <w:szCs w:val="28"/>
          <w:lang/>
        </w:rPr>
        <w:t>Розділ XVIII</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8"/>
          <w:szCs w:val="28"/>
          <w:lang/>
        </w:rPr>
        <w:t>. ПОСАДОВІ ОСОБИ КОНТРОЛЮЮЧИХ ОРГАНІВ ТА ЇХ ПРАВОВИЙ І СОЦІАЛЬНИЙ ЗАХИСТ</w:t>
      </w:r>
    </w:p>
    <w:p w14:paraId="18FCD8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2" w:name="n8818"/>
      <w:bookmarkEnd w:id="9442"/>
      <w:r w:rsidRPr="008B264B">
        <w:rPr>
          <w:rFonts w:ascii="Times New Roman" w:eastAsia="Times New Roman" w:hAnsi="Times New Roman" w:cs="Times New Roman"/>
          <w:b/>
          <w:bCs/>
          <w:color w:val="000000"/>
          <w:sz w:val="24"/>
          <w:szCs w:val="24"/>
          <w:lang/>
        </w:rPr>
        <w:t>Стаття 341. </w:t>
      </w:r>
      <w:r w:rsidRPr="008B264B">
        <w:rPr>
          <w:rFonts w:ascii="Times New Roman" w:eastAsia="Times New Roman" w:hAnsi="Times New Roman" w:cs="Times New Roman"/>
          <w:color w:val="000000"/>
          <w:sz w:val="24"/>
          <w:szCs w:val="24"/>
          <w:lang/>
        </w:rPr>
        <w:t>Служба в контролюючих органах</w:t>
      </w:r>
    </w:p>
    <w:p w14:paraId="36FAF0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3" w:name="n8819"/>
      <w:bookmarkEnd w:id="9443"/>
      <w:r w:rsidRPr="008B264B">
        <w:rPr>
          <w:rFonts w:ascii="Times New Roman" w:eastAsia="Times New Roman" w:hAnsi="Times New Roman" w:cs="Times New Roman"/>
          <w:color w:val="000000"/>
          <w:sz w:val="24"/>
          <w:szCs w:val="24"/>
          <w:lang/>
        </w:rPr>
        <w:t>341.1. Служба в контролюючих органах є професійною діяльністю придатних до неї за станом здоров’я, освітнім рівнем та віком громадян України, що пов’язана з формуванням державної податкової та митної політики в частині адміністрування податків, зборів, платежів, реалізацією податкової та митної політики, політики у сфері контролю за виробництвом та обігом спирту, алкогольних напоїв і тютюнових виробів, а також із здійсненням контролю за додержанням податкового, митного та іншого законодавства, контроль за яким покладено на контролюючі органи.</w:t>
      </w:r>
    </w:p>
    <w:p w14:paraId="53E857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4" w:name="n8820"/>
      <w:bookmarkEnd w:id="9444"/>
      <w:r w:rsidRPr="008B264B">
        <w:rPr>
          <w:rFonts w:ascii="Times New Roman" w:eastAsia="Times New Roman" w:hAnsi="Times New Roman" w:cs="Times New Roman"/>
          <w:b/>
          <w:bCs/>
          <w:color w:val="000000"/>
          <w:sz w:val="24"/>
          <w:szCs w:val="24"/>
          <w:lang/>
        </w:rPr>
        <w:t>Стаття 342. </w:t>
      </w:r>
      <w:r w:rsidRPr="008B264B">
        <w:rPr>
          <w:rFonts w:ascii="Times New Roman" w:eastAsia="Times New Roman" w:hAnsi="Times New Roman" w:cs="Times New Roman"/>
          <w:color w:val="000000"/>
          <w:sz w:val="24"/>
          <w:szCs w:val="24"/>
          <w:lang/>
        </w:rPr>
        <w:t>Посадові особи контролюючих органів</w:t>
      </w:r>
    </w:p>
    <w:p w14:paraId="136DF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5" w:name="n8821"/>
      <w:bookmarkEnd w:id="9445"/>
      <w:r w:rsidRPr="008B264B">
        <w:rPr>
          <w:rFonts w:ascii="Times New Roman" w:eastAsia="Times New Roman" w:hAnsi="Times New Roman" w:cs="Times New Roman"/>
          <w:color w:val="000000"/>
          <w:sz w:val="24"/>
          <w:szCs w:val="24"/>
          <w:lang/>
        </w:rPr>
        <w:t>342.1. Посадовою особою контролюючого органу може бути особа, яка має освіту за фахом та відповідає кваліфікаційним вимогам, встановленим центральним органом виконавчої влади, що забезпечує формування та реалізує державну фінансову політику, якщо інше не передбачено законом, та на яку покладено виконання завдань, зазначених у цьому Кодексі та </w:t>
      </w:r>
      <w:hyperlink r:id="rId5200" w:tgtFrame="_blank" w:history="1">
        <w:r w:rsidRPr="008B264B">
          <w:rPr>
            <w:rFonts w:ascii="Times New Roman" w:eastAsia="Times New Roman" w:hAnsi="Times New Roman" w:cs="Times New Roman"/>
            <w:color w:val="0000FF"/>
            <w:sz w:val="24"/>
            <w:szCs w:val="24"/>
            <w:u w:val="single"/>
            <w:lang/>
          </w:rPr>
          <w:t>Митному кодексі України</w:t>
        </w:r>
      </w:hyperlink>
      <w:r w:rsidRPr="008B264B">
        <w:rPr>
          <w:rFonts w:ascii="Times New Roman" w:eastAsia="Times New Roman" w:hAnsi="Times New Roman" w:cs="Times New Roman"/>
          <w:color w:val="000000"/>
          <w:sz w:val="24"/>
          <w:szCs w:val="24"/>
          <w:lang/>
        </w:rPr>
        <w:t>.</w:t>
      </w:r>
    </w:p>
    <w:p w14:paraId="7CBD48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6" w:name="n13467"/>
      <w:bookmarkEnd w:id="9446"/>
      <w:r w:rsidRPr="008B264B">
        <w:rPr>
          <w:rFonts w:ascii="Times New Roman" w:eastAsia="Times New Roman" w:hAnsi="Times New Roman" w:cs="Times New Roman"/>
          <w:i/>
          <w:iCs/>
          <w:color w:val="000000"/>
          <w:sz w:val="24"/>
          <w:szCs w:val="24"/>
          <w:lang/>
        </w:rPr>
        <w:t>{Пункт 342.1 статті 342 із змінами, внесеними згідно із Законом </w:t>
      </w:r>
      <w:hyperlink r:id="rId5201"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48FC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7" w:name="n8822"/>
      <w:bookmarkEnd w:id="9447"/>
      <w:r w:rsidRPr="008B264B">
        <w:rPr>
          <w:rFonts w:ascii="Times New Roman" w:eastAsia="Times New Roman" w:hAnsi="Times New Roman" w:cs="Times New Roman"/>
          <w:color w:val="000000"/>
          <w:sz w:val="24"/>
          <w:szCs w:val="24"/>
          <w:lang/>
        </w:rPr>
        <w:t>342.2. При прийнятті на роботу посадовій особі може бути встановлено випробувальний термін відповідно до </w:t>
      </w:r>
      <w:hyperlink r:id="rId5202" w:tgtFrame="_blank" w:history="1">
        <w:r w:rsidRPr="008B264B">
          <w:rPr>
            <w:rFonts w:ascii="Times New Roman" w:eastAsia="Times New Roman" w:hAnsi="Times New Roman" w:cs="Times New Roman"/>
            <w:color w:val="0000FF"/>
            <w:sz w:val="24"/>
            <w:szCs w:val="24"/>
            <w:u w:val="single"/>
            <w:lang/>
          </w:rPr>
          <w:t>Закону України "Про державну службу"</w:t>
        </w:r>
      </w:hyperlink>
      <w:r w:rsidRPr="008B264B">
        <w:rPr>
          <w:rFonts w:ascii="Times New Roman" w:eastAsia="Times New Roman" w:hAnsi="Times New Roman" w:cs="Times New Roman"/>
          <w:color w:val="000000"/>
          <w:sz w:val="24"/>
          <w:szCs w:val="24"/>
          <w:lang/>
        </w:rPr>
        <w:t>.</w:t>
      </w:r>
    </w:p>
    <w:p w14:paraId="1BA8C5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8" w:name="n8823"/>
      <w:bookmarkEnd w:id="9448"/>
      <w:r w:rsidRPr="008B264B">
        <w:rPr>
          <w:rFonts w:ascii="Times New Roman" w:eastAsia="Times New Roman" w:hAnsi="Times New Roman" w:cs="Times New Roman"/>
          <w:color w:val="000000"/>
          <w:sz w:val="24"/>
          <w:szCs w:val="24"/>
          <w:lang/>
        </w:rPr>
        <w:lastRenderedPageBreak/>
        <w:t>342.3. На роботу до контролюючих органів не можуть бути прийняті особи, стосовно яких встановлено обмеження </w:t>
      </w:r>
      <w:hyperlink r:id="rId5203" w:tgtFrame="_blank" w:history="1">
        <w:r w:rsidRPr="008B264B">
          <w:rPr>
            <w:rFonts w:ascii="Times New Roman" w:eastAsia="Times New Roman" w:hAnsi="Times New Roman" w:cs="Times New Roman"/>
            <w:color w:val="0000FF"/>
            <w:sz w:val="24"/>
            <w:szCs w:val="24"/>
            <w:u w:val="single"/>
            <w:lang/>
          </w:rPr>
          <w:t>законами України </w:t>
        </w:r>
      </w:hyperlink>
      <w:hyperlink r:id="rId5204" w:tgtFrame="_blank" w:history="1">
        <w:r w:rsidRPr="008B264B">
          <w:rPr>
            <w:rFonts w:ascii="Times New Roman" w:eastAsia="Times New Roman" w:hAnsi="Times New Roman" w:cs="Times New Roman"/>
            <w:color w:val="0000FF"/>
            <w:sz w:val="24"/>
            <w:szCs w:val="24"/>
            <w:u w:val="single"/>
            <w:lang/>
          </w:rPr>
          <w:t>"Про державну службу"</w:t>
        </w:r>
      </w:hyperlink>
      <w:r w:rsidRPr="008B264B">
        <w:rPr>
          <w:rFonts w:ascii="Times New Roman" w:eastAsia="Times New Roman" w:hAnsi="Times New Roman" w:cs="Times New Roman"/>
          <w:color w:val="000000"/>
          <w:sz w:val="24"/>
          <w:szCs w:val="24"/>
          <w:lang/>
        </w:rPr>
        <w:t> та </w:t>
      </w:r>
      <w:hyperlink r:id="rId5205" w:tgtFrame="_blank" w:history="1">
        <w:r w:rsidRPr="008B264B">
          <w:rPr>
            <w:rFonts w:ascii="Times New Roman" w:eastAsia="Times New Roman" w:hAnsi="Times New Roman" w:cs="Times New Roman"/>
            <w:color w:val="0000FF"/>
            <w:sz w:val="24"/>
            <w:szCs w:val="24"/>
            <w:u w:val="single"/>
            <w:lang/>
          </w:rPr>
          <w:t>"Про засади запобігання і протидії корупції"</w:t>
        </w:r>
      </w:hyperlink>
      <w:r w:rsidRPr="008B264B">
        <w:rPr>
          <w:rFonts w:ascii="Times New Roman" w:eastAsia="Times New Roman" w:hAnsi="Times New Roman" w:cs="Times New Roman"/>
          <w:color w:val="000000"/>
          <w:sz w:val="24"/>
          <w:szCs w:val="24"/>
          <w:lang/>
        </w:rPr>
        <w:t>.</w:t>
      </w:r>
    </w:p>
    <w:p w14:paraId="34A02C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49" w:name="n8824"/>
      <w:bookmarkEnd w:id="9449"/>
      <w:r w:rsidRPr="008B264B">
        <w:rPr>
          <w:rFonts w:ascii="Times New Roman" w:eastAsia="Times New Roman" w:hAnsi="Times New Roman" w:cs="Times New Roman"/>
          <w:color w:val="000000"/>
          <w:sz w:val="24"/>
          <w:szCs w:val="24"/>
          <w:lang/>
        </w:rPr>
        <w:t>342.4. Посадові особи контролюючих органів є державними службовцями.</w:t>
      </w:r>
    </w:p>
    <w:p w14:paraId="7FCABC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0" w:name="n8825"/>
      <w:bookmarkEnd w:id="9450"/>
      <w:r w:rsidRPr="008B264B">
        <w:rPr>
          <w:rFonts w:ascii="Times New Roman" w:eastAsia="Times New Roman" w:hAnsi="Times New Roman" w:cs="Times New Roman"/>
          <w:color w:val="000000"/>
          <w:sz w:val="24"/>
          <w:szCs w:val="24"/>
          <w:lang/>
        </w:rPr>
        <w:t>342.5. Посадові особи, які вперше зараховуються на службу до контролюючих органів і раніше не перебували на державній службі, складають присягу державного службовця відповідно до </w:t>
      </w:r>
      <w:hyperlink r:id="rId5206" w:tgtFrame="_blank" w:history="1">
        <w:r w:rsidRPr="008B264B">
          <w:rPr>
            <w:rFonts w:ascii="Times New Roman" w:eastAsia="Times New Roman" w:hAnsi="Times New Roman" w:cs="Times New Roman"/>
            <w:color w:val="0000FF"/>
            <w:sz w:val="24"/>
            <w:szCs w:val="24"/>
            <w:u w:val="single"/>
            <w:lang/>
          </w:rPr>
          <w:t>Закону України "Про державну службу"</w:t>
        </w:r>
      </w:hyperlink>
      <w:r w:rsidRPr="008B264B">
        <w:rPr>
          <w:rFonts w:ascii="Times New Roman" w:eastAsia="Times New Roman" w:hAnsi="Times New Roman" w:cs="Times New Roman"/>
          <w:color w:val="000000"/>
          <w:sz w:val="24"/>
          <w:szCs w:val="24"/>
          <w:lang/>
        </w:rPr>
        <w:t>.</w:t>
      </w:r>
    </w:p>
    <w:p w14:paraId="1FBB7A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1" w:name="n8826"/>
      <w:bookmarkEnd w:id="9451"/>
      <w:r w:rsidRPr="008B264B">
        <w:rPr>
          <w:rFonts w:ascii="Times New Roman" w:eastAsia="Times New Roman" w:hAnsi="Times New Roman" w:cs="Times New Roman"/>
          <w:color w:val="000000"/>
          <w:sz w:val="24"/>
          <w:szCs w:val="24"/>
          <w:lang/>
        </w:rPr>
        <w:t>342.6. Правовий статус посадових осіб контролюючих органів, їх права та обов’язки визначаються </w:t>
      </w:r>
      <w:hyperlink r:id="rId5207" w:tgtFrame="_blank" w:history="1">
        <w:r w:rsidRPr="008B264B">
          <w:rPr>
            <w:rFonts w:ascii="Times New Roman" w:eastAsia="Times New Roman" w:hAnsi="Times New Roman" w:cs="Times New Roman"/>
            <w:color w:val="0000FF"/>
            <w:sz w:val="24"/>
            <w:szCs w:val="24"/>
            <w:u w:val="single"/>
            <w:lang/>
          </w:rPr>
          <w:t>Конституцією України</w:t>
        </w:r>
      </w:hyperlink>
      <w:r w:rsidRPr="008B264B">
        <w:rPr>
          <w:rFonts w:ascii="Times New Roman" w:eastAsia="Times New Roman" w:hAnsi="Times New Roman" w:cs="Times New Roman"/>
          <w:color w:val="000000"/>
          <w:sz w:val="24"/>
          <w:szCs w:val="24"/>
          <w:lang/>
        </w:rPr>
        <w:t>, цим Кодексом та </w:t>
      </w:r>
      <w:hyperlink r:id="rId5208"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а в частині, що не регулюється ними, - </w:t>
      </w:r>
      <w:hyperlink r:id="rId5209" w:tgtFrame="_blank" w:history="1">
        <w:r w:rsidRPr="008B264B">
          <w:rPr>
            <w:rFonts w:ascii="Times New Roman" w:eastAsia="Times New Roman" w:hAnsi="Times New Roman" w:cs="Times New Roman"/>
            <w:color w:val="0000FF"/>
            <w:sz w:val="24"/>
            <w:szCs w:val="24"/>
            <w:u w:val="single"/>
            <w:lang/>
          </w:rPr>
          <w:t>Законом України "Про державну службу"</w:t>
        </w:r>
      </w:hyperlink>
      <w:r w:rsidRPr="008B264B">
        <w:rPr>
          <w:rFonts w:ascii="Times New Roman" w:eastAsia="Times New Roman" w:hAnsi="Times New Roman" w:cs="Times New Roman"/>
          <w:color w:val="000000"/>
          <w:sz w:val="24"/>
          <w:szCs w:val="24"/>
          <w:lang/>
        </w:rPr>
        <w:t> та іншими законами.</w:t>
      </w:r>
    </w:p>
    <w:p w14:paraId="76628C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2" w:name="n8827"/>
      <w:bookmarkEnd w:id="9452"/>
      <w:r w:rsidRPr="008B264B">
        <w:rPr>
          <w:rFonts w:ascii="Times New Roman" w:eastAsia="Times New Roman" w:hAnsi="Times New Roman" w:cs="Times New Roman"/>
          <w:color w:val="000000"/>
          <w:sz w:val="24"/>
          <w:szCs w:val="24"/>
          <w:lang/>
        </w:rPr>
        <w:t>342.7. Посадовим особам і працівникам контролюючих органів видається службове посвідчення, зразок якого затверджує центральний орган виконавчої влади, що забезпечує формування та реалізує державну фінансову політику.</w:t>
      </w:r>
    </w:p>
    <w:p w14:paraId="3DC039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3" w:name="n13468"/>
      <w:bookmarkEnd w:id="9453"/>
      <w:r w:rsidRPr="008B264B">
        <w:rPr>
          <w:rFonts w:ascii="Times New Roman" w:eastAsia="Times New Roman" w:hAnsi="Times New Roman" w:cs="Times New Roman"/>
          <w:i/>
          <w:iCs/>
          <w:color w:val="000000"/>
          <w:sz w:val="24"/>
          <w:szCs w:val="24"/>
          <w:lang/>
        </w:rPr>
        <w:t>{Пункт 342.7 статті 342 із змінами, внесеними згідно із Законом </w:t>
      </w:r>
      <w:hyperlink r:id="rId5210"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275BF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4" w:name="n8828"/>
      <w:bookmarkEnd w:id="9454"/>
      <w:r w:rsidRPr="008B264B">
        <w:rPr>
          <w:rFonts w:ascii="Times New Roman" w:eastAsia="Times New Roman" w:hAnsi="Times New Roman" w:cs="Times New Roman"/>
          <w:color w:val="000000"/>
          <w:sz w:val="24"/>
          <w:szCs w:val="24"/>
          <w:lang/>
        </w:rPr>
        <w:t>342.8. Покладення на посадових осіб контролюючих органів обов’язків, не передбачених законом, забороняється.</w:t>
      </w:r>
    </w:p>
    <w:p w14:paraId="4A4204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5" w:name="n8829"/>
      <w:bookmarkEnd w:id="9455"/>
      <w:r w:rsidRPr="008B264B">
        <w:rPr>
          <w:rFonts w:ascii="Times New Roman" w:eastAsia="Times New Roman" w:hAnsi="Times New Roman" w:cs="Times New Roman"/>
          <w:b/>
          <w:bCs/>
          <w:color w:val="000000"/>
          <w:sz w:val="24"/>
          <w:szCs w:val="24"/>
          <w:lang/>
        </w:rPr>
        <w:t>Стаття 343.</w:t>
      </w:r>
      <w:r w:rsidRPr="008B264B">
        <w:rPr>
          <w:rFonts w:ascii="Times New Roman" w:eastAsia="Times New Roman" w:hAnsi="Times New Roman" w:cs="Times New Roman"/>
          <w:color w:val="000000"/>
          <w:sz w:val="24"/>
          <w:szCs w:val="24"/>
          <w:lang/>
        </w:rPr>
        <w:t> Спеціальні звання</w:t>
      </w:r>
    </w:p>
    <w:p w14:paraId="61A318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6" w:name="n8830"/>
      <w:bookmarkEnd w:id="9456"/>
      <w:r w:rsidRPr="008B264B">
        <w:rPr>
          <w:rFonts w:ascii="Times New Roman" w:eastAsia="Times New Roman" w:hAnsi="Times New Roman" w:cs="Times New Roman"/>
          <w:color w:val="000000"/>
          <w:sz w:val="24"/>
          <w:szCs w:val="24"/>
          <w:lang/>
        </w:rPr>
        <w:t>343.1. Посадовим особам контролюючих органів присвоюються такі спеціальні звання:</w:t>
      </w:r>
    </w:p>
    <w:p w14:paraId="48FB70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7" w:name="n8831"/>
      <w:bookmarkEnd w:id="9457"/>
      <w:r w:rsidRPr="008B264B">
        <w:rPr>
          <w:rFonts w:ascii="Times New Roman" w:eastAsia="Times New Roman" w:hAnsi="Times New Roman" w:cs="Times New Roman"/>
          <w:color w:val="000000"/>
          <w:sz w:val="24"/>
          <w:szCs w:val="24"/>
          <w:lang/>
        </w:rPr>
        <w:t>головний державний радник податкової та митної справи;</w:t>
      </w:r>
    </w:p>
    <w:p w14:paraId="71214E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8" w:name="n8832"/>
      <w:bookmarkEnd w:id="9458"/>
      <w:r w:rsidRPr="008B264B">
        <w:rPr>
          <w:rFonts w:ascii="Times New Roman" w:eastAsia="Times New Roman" w:hAnsi="Times New Roman" w:cs="Times New Roman"/>
          <w:color w:val="000000"/>
          <w:sz w:val="24"/>
          <w:szCs w:val="24"/>
          <w:lang/>
        </w:rPr>
        <w:t>державний радник податкової та митної справи I рангу;</w:t>
      </w:r>
    </w:p>
    <w:p w14:paraId="25C927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59" w:name="n8833"/>
      <w:bookmarkEnd w:id="9459"/>
      <w:r w:rsidRPr="008B264B">
        <w:rPr>
          <w:rFonts w:ascii="Times New Roman" w:eastAsia="Times New Roman" w:hAnsi="Times New Roman" w:cs="Times New Roman"/>
          <w:color w:val="000000"/>
          <w:sz w:val="24"/>
          <w:szCs w:val="24"/>
          <w:lang/>
        </w:rPr>
        <w:t>державний радник податкової та митної справи II рангу;</w:t>
      </w:r>
    </w:p>
    <w:p w14:paraId="3100E7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0" w:name="n8834"/>
      <w:bookmarkEnd w:id="9460"/>
      <w:r w:rsidRPr="008B264B">
        <w:rPr>
          <w:rFonts w:ascii="Times New Roman" w:eastAsia="Times New Roman" w:hAnsi="Times New Roman" w:cs="Times New Roman"/>
          <w:color w:val="000000"/>
          <w:sz w:val="24"/>
          <w:szCs w:val="24"/>
          <w:lang/>
        </w:rPr>
        <w:t>державний радник податкової та митної справи III рангу;</w:t>
      </w:r>
    </w:p>
    <w:p w14:paraId="0AB77E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1" w:name="n8835"/>
      <w:bookmarkEnd w:id="9461"/>
      <w:r w:rsidRPr="008B264B">
        <w:rPr>
          <w:rFonts w:ascii="Times New Roman" w:eastAsia="Times New Roman" w:hAnsi="Times New Roman" w:cs="Times New Roman"/>
          <w:color w:val="000000"/>
          <w:sz w:val="24"/>
          <w:szCs w:val="24"/>
          <w:lang/>
        </w:rPr>
        <w:t>радник податкової та митної справи I рангу;</w:t>
      </w:r>
    </w:p>
    <w:p w14:paraId="3C6B67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2" w:name="n8836"/>
      <w:bookmarkEnd w:id="9462"/>
      <w:r w:rsidRPr="008B264B">
        <w:rPr>
          <w:rFonts w:ascii="Times New Roman" w:eastAsia="Times New Roman" w:hAnsi="Times New Roman" w:cs="Times New Roman"/>
          <w:color w:val="000000"/>
          <w:sz w:val="24"/>
          <w:szCs w:val="24"/>
          <w:lang/>
        </w:rPr>
        <w:t>радник податкової та митної справи II рангу;</w:t>
      </w:r>
    </w:p>
    <w:p w14:paraId="7F7BF9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3" w:name="n8837"/>
      <w:bookmarkEnd w:id="9463"/>
      <w:r w:rsidRPr="008B264B">
        <w:rPr>
          <w:rFonts w:ascii="Times New Roman" w:eastAsia="Times New Roman" w:hAnsi="Times New Roman" w:cs="Times New Roman"/>
          <w:color w:val="000000"/>
          <w:sz w:val="24"/>
          <w:szCs w:val="24"/>
          <w:lang/>
        </w:rPr>
        <w:t>радник податкової та митної справи III рангу;</w:t>
      </w:r>
    </w:p>
    <w:p w14:paraId="52272A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4" w:name="n8838"/>
      <w:bookmarkEnd w:id="9464"/>
      <w:r w:rsidRPr="008B264B">
        <w:rPr>
          <w:rFonts w:ascii="Times New Roman" w:eastAsia="Times New Roman" w:hAnsi="Times New Roman" w:cs="Times New Roman"/>
          <w:color w:val="000000"/>
          <w:sz w:val="24"/>
          <w:szCs w:val="24"/>
          <w:lang/>
        </w:rPr>
        <w:t>інспектор податкової та митної справи I рангу;</w:t>
      </w:r>
    </w:p>
    <w:p w14:paraId="438D04E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5" w:name="n8839"/>
      <w:bookmarkEnd w:id="9465"/>
      <w:r w:rsidRPr="008B264B">
        <w:rPr>
          <w:rFonts w:ascii="Times New Roman" w:eastAsia="Times New Roman" w:hAnsi="Times New Roman" w:cs="Times New Roman"/>
          <w:color w:val="000000"/>
          <w:sz w:val="24"/>
          <w:szCs w:val="24"/>
          <w:lang/>
        </w:rPr>
        <w:t>інспектор податкової та митної справи II рангу;</w:t>
      </w:r>
    </w:p>
    <w:p w14:paraId="14023D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6" w:name="n8840"/>
      <w:bookmarkEnd w:id="9466"/>
      <w:r w:rsidRPr="008B264B">
        <w:rPr>
          <w:rFonts w:ascii="Times New Roman" w:eastAsia="Times New Roman" w:hAnsi="Times New Roman" w:cs="Times New Roman"/>
          <w:color w:val="000000"/>
          <w:sz w:val="24"/>
          <w:szCs w:val="24"/>
          <w:lang/>
        </w:rPr>
        <w:t>інспектор податкової та митної справи III рангу;</w:t>
      </w:r>
    </w:p>
    <w:p w14:paraId="3509D5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7" w:name="n8841"/>
      <w:bookmarkEnd w:id="9467"/>
      <w:r w:rsidRPr="008B264B">
        <w:rPr>
          <w:rFonts w:ascii="Times New Roman" w:eastAsia="Times New Roman" w:hAnsi="Times New Roman" w:cs="Times New Roman"/>
          <w:color w:val="000000"/>
          <w:sz w:val="24"/>
          <w:szCs w:val="24"/>
          <w:lang/>
        </w:rPr>
        <w:t>інспектор податкової та митної справи IV рангу;</w:t>
      </w:r>
    </w:p>
    <w:p w14:paraId="5551D0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8" w:name="n8842"/>
      <w:bookmarkEnd w:id="9468"/>
      <w:r w:rsidRPr="008B264B">
        <w:rPr>
          <w:rFonts w:ascii="Times New Roman" w:eastAsia="Times New Roman" w:hAnsi="Times New Roman" w:cs="Times New Roman"/>
          <w:color w:val="000000"/>
          <w:sz w:val="24"/>
          <w:szCs w:val="24"/>
          <w:lang/>
        </w:rPr>
        <w:t>молодший інспектор податкової та митної справи.</w:t>
      </w:r>
    </w:p>
    <w:p w14:paraId="3EB774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69" w:name="n8843"/>
      <w:bookmarkEnd w:id="9469"/>
      <w:r w:rsidRPr="008B264B">
        <w:rPr>
          <w:rFonts w:ascii="Times New Roman" w:eastAsia="Times New Roman" w:hAnsi="Times New Roman" w:cs="Times New Roman"/>
          <w:color w:val="000000"/>
          <w:sz w:val="24"/>
          <w:szCs w:val="24"/>
          <w:lang/>
        </w:rPr>
        <w:t>343.2. </w:t>
      </w:r>
      <w:hyperlink r:id="rId5211" w:anchor="n14" w:tgtFrame="_blank" w:history="1">
        <w:r w:rsidRPr="008B264B">
          <w:rPr>
            <w:rFonts w:ascii="Times New Roman" w:eastAsia="Times New Roman" w:hAnsi="Times New Roman" w:cs="Times New Roman"/>
            <w:color w:val="0000FF"/>
            <w:sz w:val="24"/>
            <w:szCs w:val="24"/>
            <w:u w:val="single"/>
            <w:lang/>
          </w:rPr>
          <w:t>Положення</w:t>
        </w:r>
      </w:hyperlink>
      <w:r w:rsidRPr="008B264B">
        <w:rPr>
          <w:rFonts w:ascii="Times New Roman" w:eastAsia="Times New Roman" w:hAnsi="Times New Roman" w:cs="Times New Roman"/>
          <w:color w:val="000000"/>
          <w:sz w:val="24"/>
          <w:szCs w:val="24"/>
          <w:lang/>
        </w:rPr>
        <w:t> про спеціальні звання та </w:t>
      </w:r>
      <w:hyperlink r:id="rId5212" w:anchor="n38"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їх присвоєння, співвідношення з рангами державних службовців, </w:t>
      </w:r>
      <w:hyperlink r:id="rId5213" w:anchor="n8" w:tgtFrame="_blank" w:history="1">
        <w:r w:rsidRPr="008B264B">
          <w:rPr>
            <w:rFonts w:ascii="Times New Roman" w:eastAsia="Times New Roman" w:hAnsi="Times New Roman" w:cs="Times New Roman"/>
            <w:color w:val="0000FF"/>
            <w:sz w:val="24"/>
            <w:szCs w:val="24"/>
            <w:u w:val="single"/>
            <w:lang/>
          </w:rPr>
          <w:t>розмір надбавок</w:t>
        </w:r>
      </w:hyperlink>
      <w:r w:rsidRPr="008B264B">
        <w:rPr>
          <w:rFonts w:ascii="Times New Roman" w:eastAsia="Times New Roman" w:hAnsi="Times New Roman" w:cs="Times New Roman"/>
          <w:color w:val="000000"/>
          <w:sz w:val="24"/>
          <w:szCs w:val="24"/>
          <w:lang/>
        </w:rPr>
        <w:t> за спеціальне звання затверджуються Кабінетом Міністрів України.</w:t>
      </w:r>
    </w:p>
    <w:p w14:paraId="1EFA0B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0" w:name="n8868"/>
      <w:bookmarkEnd w:id="9470"/>
      <w:r w:rsidRPr="008B264B">
        <w:rPr>
          <w:rFonts w:ascii="Times New Roman" w:eastAsia="Times New Roman" w:hAnsi="Times New Roman" w:cs="Times New Roman"/>
          <w:i/>
          <w:iCs/>
          <w:color w:val="000000"/>
          <w:sz w:val="24"/>
          <w:szCs w:val="24"/>
          <w:lang/>
        </w:rPr>
        <w:t>{Абзац перший пункту 343.2 статті 343 набирає чинності одночасно із </w:t>
      </w:r>
      <w:hyperlink r:id="rId5214" w:tgtFrame="_blank" w:history="1">
        <w:r w:rsidRPr="008B264B">
          <w:rPr>
            <w:rFonts w:ascii="Times New Roman" w:eastAsia="Times New Roman" w:hAnsi="Times New Roman" w:cs="Times New Roman"/>
            <w:i/>
            <w:iCs/>
            <w:color w:val="0000FF"/>
            <w:sz w:val="24"/>
            <w:szCs w:val="24"/>
            <w:u w:val="single"/>
            <w:lang/>
          </w:rPr>
          <w:t>Законом "Про державну службу" від 17 листопада 2011 року</w:t>
        </w:r>
      </w:hyperlink>
      <w:r w:rsidRPr="008B264B">
        <w:rPr>
          <w:rFonts w:ascii="Times New Roman" w:eastAsia="Times New Roman" w:hAnsi="Times New Roman" w:cs="Times New Roman"/>
          <w:i/>
          <w:iCs/>
          <w:color w:val="000000"/>
          <w:sz w:val="24"/>
          <w:szCs w:val="24"/>
          <w:lang/>
        </w:rPr>
        <w:t> - див. </w:t>
      </w:r>
      <w:hyperlink r:id="rId5215" w:anchor="n264" w:tgtFrame="_blank" w:history="1">
        <w:r w:rsidRPr="008B264B">
          <w:rPr>
            <w:rFonts w:ascii="Times New Roman" w:eastAsia="Times New Roman" w:hAnsi="Times New Roman" w:cs="Times New Roman"/>
            <w:i/>
            <w:iCs/>
            <w:color w:val="0000FF"/>
            <w:sz w:val="24"/>
            <w:szCs w:val="24"/>
            <w:u w:val="single"/>
            <w:lang/>
          </w:rPr>
          <w:t>пункт 1 розділу II Закону </w:t>
        </w:r>
      </w:hyperlink>
      <w:hyperlink r:id="rId5216" w:anchor="n264"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7989DE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1" w:name="n8844"/>
      <w:bookmarkEnd w:id="9471"/>
      <w:r w:rsidRPr="008B264B">
        <w:rPr>
          <w:rFonts w:ascii="Times New Roman" w:eastAsia="Times New Roman" w:hAnsi="Times New Roman" w:cs="Times New Roman"/>
          <w:color w:val="000000"/>
          <w:sz w:val="24"/>
          <w:szCs w:val="24"/>
          <w:lang/>
        </w:rPr>
        <w:t>У разі присвоєння посадовій особі спеціального звання відповідно до пункту 343.1 цієї статті надбавка за ранг державного службовця не виплачується.</w:t>
      </w:r>
    </w:p>
    <w:p w14:paraId="391C97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2" w:name="n8845"/>
      <w:bookmarkEnd w:id="9472"/>
      <w:r w:rsidRPr="008B264B">
        <w:rPr>
          <w:rFonts w:ascii="Times New Roman" w:eastAsia="Times New Roman" w:hAnsi="Times New Roman" w:cs="Times New Roman"/>
          <w:color w:val="000000"/>
          <w:sz w:val="24"/>
          <w:szCs w:val="24"/>
          <w:lang/>
        </w:rPr>
        <w:lastRenderedPageBreak/>
        <w:t>343.3. Спеціальні звання посадовим особам присвоюються довічно. Позбавлення спеціальних звань здійснюється виключно за вироком суду у випадках, передбачених Кримінальним кодексом України.</w:t>
      </w:r>
    </w:p>
    <w:p w14:paraId="18E609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3" w:name="n8846"/>
      <w:bookmarkEnd w:id="9473"/>
      <w:r w:rsidRPr="008B264B">
        <w:rPr>
          <w:rFonts w:ascii="Times New Roman" w:eastAsia="Times New Roman" w:hAnsi="Times New Roman" w:cs="Times New Roman"/>
          <w:color w:val="000000"/>
          <w:sz w:val="24"/>
          <w:szCs w:val="24"/>
          <w:lang/>
        </w:rPr>
        <w:t>343.4. Посадові особи контролюючих органів мають формений одяг з відповідними знаками розрізнення, який видається безоплатно в межах кошторисних витрат. Допускається пошив форменого одягу посадовими особами з відшкодуванням витрат на такий пошив у межах норм забезпечення форменим одягом за рахунок коштів, передбачених у державному бюджеті на утримання контролюючого органу.</w:t>
      </w:r>
    </w:p>
    <w:bookmarkStart w:id="9474" w:name="n8847"/>
    <w:bookmarkEnd w:id="9474"/>
    <w:p w14:paraId="4BF8A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"https://zakon.rada.gov.ua/laws/show/61-2014-%D0%BF" \l "n14"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Зразки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w:t>
      </w:r>
      <w:hyperlink r:id="rId5217" w:anchor="n16" w:tgtFrame="_blank" w:history="1">
        <w:r w:rsidRPr="008B264B">
          <w:rPr>
            <w:rFonts w:ascii="Times New Roman" w:eastAsia="Times New Roman" w:hAnsi="Times New Roman" w:cs="Times New Roman"/>
            <w:color w:val="0000FF"/>
            <w:sz w:val="24"/>
            <w:szCs w:val="24"/>
            <w:u w:val="single"/>
            <w:lang/>
          </w:rPr>
          <w:t>норми забезпечення та строки носіння</w:t>
        </w:r>
      </w:hyperlink>
      <w:r w:rsidRPr="008B264B">
        <w:rPr>
          <w:rFonts w:ascii="Times New Roman" w:eastAsia="Times New Roman" w:hAnsi="Times New Roman" w:cs="Times New Roman"/>
          <w:color w:val="000000"/>
          <w:sz w:val="24"/>
          <w:szCs w:val="24"/>
          <w:lang/>
        </w:rPr>
        <w:t> форменого одягу затверджуються Кабінетом Міністрів України, правила носіння - центральним органом виконавчої влади, що забезпечує формування та реалізує державну фінансову політику.</w:t>
      </w:r>
    </w:p>
    <w:p w14:paraId="1D073E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5" w:name="n13469"/>
      <w:bookmarkEnd w:id="9475"/>
      <w:r w:rsidRPr="008B264B">
        <w:rPr>
          <w:rFonts w:ascii="Times New Roman" w:eastAsia="Times New Roman" w:hAnsi="Times New Roman" w:cs="Times New Roman"/>
          <w:i/>
          <w:iCs/>
          <w:color w:val="000000"/>
          <w:sz w:val="24"/>
          <w:szCs w:val="24"/>
          <w:lang/>
        </w:rPr>
        <w:t>{Пункт 343.4 статті 343 із змінами, внесеними згідно із Законом </w:t>
      </w:r>
      <w:hyperlink r:id="rId5218"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07D9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6" w:name="n8848"/>
      <w:bookmarkEnd w:id="9476"/>
      <w:r w:rsidRPr="008B264B">
        <w:rPr>
          <w:rFonts w:ascii="Times New Roman" w:eastAsia="Times New Roman" w:hAnsi="Times New Roman" w:cs="Times New Roman"/>
          <w:b/>
          <w:bCs/>
          <w:color w:val="000000"/>
          <w:sz w:val="24"/>
          <w:szCs w:val="24"/>
          <w:lang/>
        </w:rPr>
        <w:t>Стаття 344.</w:t>
      </w:r>
      <w:r w:rsidRPr="008B264B">
        <w:rPr>
          <w:rFonts w:ascii="Times New Roman" w:eastAsia="Times New Roman" w:hAnsi="Times New Roman" w:cs="Times New Roman"/>
          <w:color w:val="000000"/>
          <w:sz w:val="24"/>
          <w:szCs w:val="24"/>
          <w:lang/>
        </w:rPr>
        <w:t> Пенсійне забезпечення посадових осіб контролюючих органів</w:t>
      </w:r>
    </w:p>
    <w:p w14:paraId="5A21BE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7" w:name="n8849"/>
      <w:bookmarkEnd w:id="9477"/>
      <w:r w:rsidRPr="008B264B">
        <w:rPr>
          <w:rFonts w:ascii="Times New Roman" w:eastAsia="Times New Roman" w:hAnsi="Times New Roman" w:cs="Times New Roman"/>
          <w:color w:val="000000"/>
          <w:sz w:val="24"/>
          <w:szCs w:val="24"/>
          <w:lang/>
        </w:rPr>
        <w:t>344.1. Пенсійне забезпечення посадових осіб контролюючих органів, крім діючих у них підрозділів податкової міліції, здійснюється в порядку та на умовах, передбачених </w:t>
      </w:r>
      <w:hyperlink r:id="rId5219" w:tgtFrame="_blank" w:history="1">
        <w:r w:rsidRPr="008B264B">
          <w:rPr>
            <w:rFonts w:ascii="Times New Roman" w:eastAsia="Times New Roman" w:hAnsi="Times New Roman" w:cs="Times New Roman"/>
            <w:color w:val="0000FF"/>
            <w:sz w:val="24"/>
            <w:szCs w:val="24"/>
            <w:u w:val="single"/>
            <w:lang/>
          </w:rPr>
          <w:t>Законом України "Про державну службу"</w:t>
        </w:r>
      </w:hyperlink>
      <w:r w:rsidRPr="008B264B">
        <w:rPr>
          <w:rFonts w:ascii="Times New Roman" w:eastAsia="Times New Roman" w:hAnsi="Times New Roman" w:cs="Times New Roman"/>
          <w:color w:val="000000"/>
          <w:sz w:val="24"/>
          <w:szCs w:val="24"/>
          <w:lang/>
        </w:rPr>
        <w:t>.</w:t>
      </w:r>
    </w:p>
    <w:p w14:paraId="5BA182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8" w:name="n8850"/>
      <w:bookmarkEnd w:id="9478"/>
      <w:r w:rsidRPr="008B264B">
        <w:rPr>
          <w:rFonts w:ascii="Times New Roman" w:eastAsia="Times New Roman" w:hAnsi="Times New Roman" w:cs="Times New Roman"/>
          <w:color w:val="000000"/>
          <w:sz w:val="24"/>
          <w:szCs w:val="24"/>
          <w:lang/>
        </w:rPr>
        <w:t>При цьому період роботи зазначених осіб (у тому числі тих, яким присвоєні спеціальні звання) у контролюючих органах зараховується до стажу державної служби та стажу роботи на посадах, віднесених до категорій посад державних службовців, що дає право на призначення пенсії відповідно до </w:t>
      </w:r>
      <w:hyperlink r:id="rId5220" w:tgtFrame="_blank" w:history="1">
        <w:r w:rsidRPr="008B264B">
          <w:rPr>
            <w:rFonts w:ascii="Times New Roman" w:eastAsia="Times New Roman" w:hAnsi="Times New Roman" w:cs="Times New Roman"/>
            <w:color w:val="0000FF"/>
            <w:sz w:val="24"/>
            <w:szCs w:val="24"/>
            <w:u w:val="single"/>
            <w:lang/>
          </w:rPr>
          <w:t>Закону України "Про державну службу"</w:t>
        </w:r>
      </w:hyperlink>
      <w:r w:rsidRPr="008B264B">
        <w:rPr>
          <w:rFonts w:ascii="Times New Roman" w:eastAsia="Times New Roman" w:hAnsi="Times New Roman" w:cs="Times New Roman"/>
          <w:color w:val="000000"/>
          <w:sz w:val="24"/>
          <w:szCs w:val="24"/>
          <w:lang/>
        </w:rPr>
        <w:t> незалежно від місця роботи на час досягнення віку, передбаченого зазначеним Законом.</w:t>
      </w:r>
    </w:p>
    <w:p w14:paraId="5E29CB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79" w:name="n12329"/>
      <w:bookmarkEnd w:id="9479"/>
      <w:r w:rsidRPr="008B264B">
        <w:rPr>
          <w:rFonts w:ascii="Times New Roman" w:eastAsia="Times New Roman" w:hAnsi="Times New Roman" w:cs="Times New Roman"/>
          <w:color w:val="000000"/>
          <w:sz w:val="24"/>
          <w:szCs w:val="24"/>
          <w:lang/>
        </w:rPr>
        <w:t>Посадовим особам контролюючих органів у період роботи в цих органах пенсії, призначені відповідно до законодавства, не виплачуються.</w:t>
      </w:r>
    </w:p>
    <w:p w14:paraId="047450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0" w:name="n12328"/>
      <w:bookmarkEnd w:id="9480"/>
      <w:r w:rsidRPr="008B264B">
        <w:rPr>
          <w:rFonts w:ascii="Times New Roman" w:eastAsia="Times New Roman" w:hAnsi="Times New Roman" w:cs="Times New Roman"/>
          <w:i/>
          <w:iCs/>
          <w:color w:val="000000"/>
          <w:sz w:val="24"/>
          <w:szCs w:val="24"/>
          <w:lang/>
        </w:rPr>
        <w:t>{Пункт 344.1 статті 344 доповнено абзацом третім згідно із Законом </w:t>
      </w:r>
      <w:hyperlink r:id="rId5221" w:anchor="n6" w:tgtFrame="_blank" w:history="1">
        <w:r w:rsidRPr="008B264B">
          <w:rPr>
            <w:rFonts w:ascii="Times New Roman" w:eastAsia="Times New Roman" w:hAnsi="Times New Roman" w:cs="Times New Roman"/>
            <w:i/>
            <w:iCs/>
            <w:color w:val="0000FF"/>
            <w:sz w:val="24"/>
            <w:szCs w:val="24"/>
            <w:u w:val="single"/>
            <w:lang/>
          </w:rPr>
          <w:t>№ 215-VIII від 02.03.2015</w:t>
        </w:r>
      </w:hyperlink>
      <w:r w:rsidRPr="008B264B">
        <w:rPr>
          <w:rFonts w:ascii="Times New Roman" w:eastAsia="Times New Roman" w:hAnsi="Times New Roman" w:cs="Times New Roman"/>
          <w:i/>
          <w:iCs/>
          <w:color w:val="000000"/>
          <w:sz w:val="24"/>
          <w:szCs w:val="24"/>
          <w:lang/>
        </w:rPr>
        <w:t> - зміна діє до 31 грудня 2015 року включно, див. </w:t>
      </w:r>
      <w:hyperlink r:id="rId5222" w:anchor="n9" w:tgtFrame="_blank" w:history="1">
        <w:r w:rsidRPr="008B264B">
          <w:rPr>
            <w:rFonts w:ascii="Times New Roman" w:eastAsia="Times New Roman" w:hAnsi="Times New Roman" w:cs="Times New Roman"/>
            <w:i/>
            <w:iCs/>
            <w:color w:val="0000FF"/>
            <w:sz w:val="24"/>
            <w:szCs w:val="24"/>
            <w:u w:val="single"/>
            <w:lang/>
          </w:rPr>
          <w:t>пункт 2</w:t>
        </w:r>
      </w:hyperlink>
      <w:r w:rsidRPr="008B264B">
        <w:rPr>
          <w:rFonts w:ascii="Times New Roman" w:eastAsia="Times New Roman" w:hAnsi="Times New Roman" w:cs="Times New Roman"/>
          <w:i/>
          <w:iCs/>
          <w:color w:val="000000"/>
          <w:sz w:val="24"/>
          <w:szCs w:val="24"/>
          <w:lang/>
        </w:rPr>
        <w:t> Закону № 215-VIII від 02.03.2015}</w:t>
      </w:r>
    </w:p>
    <w:p w14:paraId="7D4E6B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1" w:name="n14318"/>
      <w:bookmarkEnd w:id="9481"/>
      <w:r w:rsidRPr="008B264B">
        <w:rPr>
          <w:rFonts w:ascii="Times New Roman" w:eastAsia="Times New Roman" w:hAnsi="Times New Roman" w:cs="Times New Roman"/>
          <w:i/>
          <w:iCs/>
          <w:color w:val="000000"/>
          <w:sz w:val="24"/>
          <w:szCs w:val="24"/>
          <w:lang/>
        </w:rPr>
        <w:t>{Зміни до пункту 344.1 статті 344 по Закону </w:t>
      </w:r>
      <w:hyperlink r:id="rId5223" w:anchor="n14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не внесено, щодо набрання чинності змін див. </w:t>
      </w:r>
      <w:hyperlink r:id="rId5224" w:anchor="n1608" w:tgtFrame="_blank" w:history="1">
        <w:r w:rsidRPr="008B264B">
          <w:rPr>
            <w:rFonts w:ascii="Times New Roman" w:eastAsia="Times New Roman" w:hAnsi="Times New Roman" w:cs="Times New Roman"/>
            <w:i/>
            <w:iCs/>
            <w:color w:val="0000FF"/>
            <w:sz w:val="24"/>
            <w:szCs w:val="24"/>
            <w:u w:val="single"/>
            <w:lang/>
          </w:rPr>
          <w:t>розділ II</w:t>
        </w:r>
      </w:hyperlink>
      <w:r w:rsidRPr="008B264B">
        <w:rPr>
          <w:rFonts w:ascii="Times New Roman" w:eastAsia="Times New Roman" w:hAnsi="Times New Roman" w:cs="Times New Roman"/>
          <w:i/>
          <w:iCs/>
          <w:color w:val="000000"/>
          <w:sz w:val="24"/>
          <w:szCs w:val="24"/>
          <w:lang/>
        </w:rPr>
        <w:t> "Прикінцеві та перехідні положення"}</w:t>
      </w:r>
    </w:p>
    <w:p w14:paraId="447A13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2" w:name="n8851"/>
      <w:bookmarkEnd w:id="9482"/>
      <w:r w:rsidRPr="008B264B">
        <w:rPr>
          <w:rFonts w:ascii="Times New Roman" w:eastAsia="Times New Roman" w:hAnsi="Times New Roman" w:cs="Times New Roman"/>
          <w:color w:val="000000"/>
          <w:sz w:val="24"/>
          <w:szCs w:val="24"/>
          <w:lang/>
        </w:rPr>
        <w:t>344.2. Пенсійне забезпечення працівників контролюючих органів, їх установ та організацій, які не є посадовими особами, здійснюється на підставах та в порядку, встановлених законодавством.</w:t>
      </w:r>
    </w:p>
    <w:p w14:paraId="1A583A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3" w:name="n8852"/>
      <w:bookmarkEnd w:id="9483"/>
      <w:r w:rsidRPr="008B264B">
        <w:rPr>
          <w:rFonts w:ascii="Times New Roman" w:eastAsia="Times New Roman" w:hAnsi="Times New Roman" w:cs="Times New Roman"/>
          <w:b/>
          <w:bCs/>
          <w:color w:val="000000"/>
          <w:sz w:val="24"/>
          <w:szCs w:val="24"/>
          <w:lang/>
        </w:rPr>
        <w:t>Стаття 345.</w:t>
      </w:r>
      <w:r w:rsidRPr="008B264B">
        <w:rPr>
          <w:rFonts w:ascii="Times New Roman" w:eastAsia="Times New Roman" w:hAnsi="Times New Roman" w:cs="Times New Roman"/>
          <w:color w:val="000000"/>
          <w:sz w:val="24"/>
          <w:szCs w:val="24"/>
          <w:lang/>
        </w:rPr>
        <w:t> Захист особистих і майнових прав посадових осіб контролюючих органів</w:t>
      </w:r>
    </w:p>
    <w:p w14:paraId="45D7BB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4" w:name="n8853"/>
      <w:bookmarkEnd w:id="9484"/>
      <w:r w:rsidRPr="008B264B">
        <w:rPr>
          <w:rFonts w:ascii="Times New Roman" w:eastAsia="Times New Roman" w:hAnsi="Times New Roman" w:cs="Times New Roman"/>
          <w:color w:val="000000"/>
          <w:sz w:val="24"/>
          <w:szCs w:val="24"/>
          <w:lang/>
        </w:rPr>
        <w:t>345.1. Держава гарантує захист життя, здоров’я, честі, гідності та майна посадових осіб контролюючих органів та членів їхніх сімей від злочинних посягань та інших протиправних дій.</w:t>
      </w:r>
    </w:p>
    <w:p w14:paraId="004BAC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5" w:name="n8854"/>
      <w:bookmarkEnd w:id="9485"/>
      <w:r w:rsidRPr="008B264B">
        <w:rPr>
          <w:rFonts w:ascii="Times New Roman" w:eastAsia="Times New Roman" w:hAnsi="Times New Roman" w:cs="Times New Roman"/>
          <w:color w:val="000000"/>
          <w:sz w:val="24"/>
          <w:szCs w:val="24"/>
          <w:lang/>
        </w:rPr>
        <w:t>345.2. Образа посадової особи контролюючого органу, погроза вбивством, насильством, знищенням майна та насильницькі дії стосовно посадової особи контролюючого органу, а також умисне знищення чи пошкодження її майна та інші протиправні дії тягнуть за собою встановлену законом відповідальність.</w:t>
      </w:r>
    </w:p>
    <w:p w14:paraId="722BDA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6" w:name="n8855"/>
      <w:bookmarkEnd w:id="9486"/>
      <w:r w:rsidRPr="008B264B">
        <w:rPr>
          <w:rFonts w:ascii="Times New Roman" w:eastAsia="Times New Roman" w:hAnsi="Times New Roman" w:cs="Times New Roman"/>
          <w:b/>
          <w:bCs/>
          <w:color w:val="000000"/>
          <w:sz w:val="24"/>
          <w:szCs w:val="24"/>
          <w:lang/>
        </w:rPr>
        <w:t>Стаття 346.</w:t>
      </w:r>
      <w:r w:rsidRPr="008B264B">
        <w:rPr>
          <w:rFonts w:ascii="Times New Roman" w:eastAsia="Times New Roman" w:hAnsi="Times New Roman" w:cs="Times New Roman"/>
          <w:color w:val="000000"/>
          <w:sz w:val="24"/>
          <w:szCs w:val="24"/>
          <w:lang/>
        </w:rPr>
        <w:t> Відшкодування державою шкоди, завданої посадовій особі контролюючого органу</w:t>
      </w:r>
    </w:p>
    <w:p w14:paraId="17743E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7" w:name="n8856"/>
      <w:bookmarkEnd w:id="9487"/>
      <w:r w:rsidRPr="008B264B">
        <w:rPr>
          <w:rFonts w:ascii="Times New Roman" w:eastAsia="Times New Roman" w:hAnsi="Times New Roman" w:cs="Times New Roman"/>
          <w:color w:val="000000"/>
          <w:sz w:val="24"/>
          <w:szCs w:val="24"/>
          <w:lang/>
        </w:rPr>
        <w:t>346.1. Працівники контролюючого органу підлягають загальнообов’язковому державному соціальному страхуванню відповідно до законодавства про загальнообов’язкове державне соціальне страхування.</w:t>
      </w:r>
    </w:p>
    <w:p w14:paraId="61A131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8" w:name="n9848"/>
      <w:bookmarkEnd w:id="9488"/>
      <w:r w:rsidRPr="008B264B">
        <w:rPr>
          <w:rFonts w:ascii="Times New Roman" w:eastAsia="Times New Roman" w:hAnsi="Times New Roman" w:cs="Times New Roman"/>
          <w:i/>
          <w:iCs/>
          <w:color w:val="000000"/>
          <w:sz w:val="24"/>
          <w:szCs w:val="24"/>
          <w:lang/>
        </w:rPr>
        <w:t>{Пункт 346.1 статті 346 в редакції Закону </w:t>
      </w:r>
      <w:hyperlink r:id="rId5225" w:anchor="n40"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226" w:anchor="n6" w:tgtFrame="_blank" w:history="1">
        <w:r w:rsidRPr="008B264B">
          <w:rPr>
            <w:rFonts w:ascii="Times New Roman" w:eastAsia="Times New Roman" w:hAnsi="Times New Roman" w:cs="Times New Roman"/>
            <w:i/>
            <w:iCs/>
            <w:color w:val="0000FF"/>
            <w:sz w:val="24"/>
            <w:szCs w:val="24"/>
            <w:u w:val="single"/>
            <w:lang/>
          </w:rPr>
          <w:t>№ 54-VIII від 25.12.2014</w:t>
        </w:r>
      </w:hyperlink>
      <w:r w:rsidRPr="008B264B">
        <w:rPr>
          <w:rFonts w:ascii="Times New Roman" w:eastAsia="Times New Roman" w:hAnsi="Times New Roman" w:cs="Times New Roman"/>
          <w:i/>
          <w:iCs/>
          <w:color w:val="000000"/>
          <w:sz w:val="24"/>
          <w:szCs w:val="24"/>
          <w:lang/>
        </w:rPr>
        <w:t>}</w:t>
      </w:r>
    </w:p>
    <w:p w14:paraId="7FE846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89" w:name="n8857"/>
      <w:bookmarkEnd w:id="9489"/>
      <w:r w:rsidRPr="008B264B">
        <w:rPr>
          <w:rFonts w:ascii="Times New Roman" w:eastAsia="Times New Roman" w:hAnsi="Times New Roman" w:cs="Times New Roman"/>
          <w:color w:val="000000"/>
          <w:sz w:val="24"/>
          <w:szCs w:val="24"/>
          <w:lang/>
        </w:rPr>
        <w:lastRenderedPageBreak/>
        <w:t>346.2. </w:t>
      </w:r>
      <w:r w:rsidRPr="008B264B">
        <w:rPr>
          <w:rFonts w:ascii="Times New Roman" w:eastAsia="Times New Roman" w:hAnsi="Times New Roman" w:cs="Times New Roman"/>
          <w:i/>
          <w:iCs/>
          <w:color w:val="000000"/>
          <w:sz w:val="24"/>
          <w:szCs w:val="24"/>
          <w:lang/>
        </w:rPr>
        <w:t>{Пункт 346.2 статті 346 виключено на підставі Закону </w:t>
      </w:r>
      <w:hyperlink r:id="rId5227" w:anchor="n6" w:tgtFrame="_blank" w:history="1">
        <w:r w:rsidRPr="008B264B">
          <w:rPr>
            <w:rFonts w:ascii="Times New Roman" w:eastAsia="Times New Roman" w:hAnsi="Times New Roman" w:cs="Times New Roman"/>
            <w:i/>
            <w:iCs/>
            <w:color w:val="0000FF"/>
            <w:sz w:val="24"/>
            <w:szCs w:val="24"/>
            <w:u w:val="single"/>
            <w:lang/>
          </w:rPr>
          <w:t>№ 215-VIII від 02.03.2015</w:t>
        </w:r>
      </w:hyperlink>
      <w:r w:rsidRPr="008B264B">
        <w:rPr>
          <w:rFonts w:ascii="Times New Roman" w:eastAsia="Times New Roman" w:hAnsi="Times New Roman" w:cs="Times New Roman"/>
          <w:i/>
          <w:iCs/>
          <w:color w:val="000000"/>
          <w:sz w:val="24"/>
          <w:szCs w:val="24"/>
          <w:lang/>
        </w:rPr>
        <w:t> - зміна діє до 31 грудня 2015 року включно, див. </w:t>
      </w:r>
      <w:hyperlink r:id="rId5228" w:anchor="n9" w:tgtFrame="_blank" w:history="1">
        <w:r w:rsidRPr="008B264B">
          <w:rPr>
            <w:rFonts w:ascii="Times New Roman" w:eastAsia="Times New Roman" w:hAnsi="Times New Roman" w:cs="Times New Roman"/>
            <w:i/>
            <w:iCs/>
            <w:color w:val="0000FF"/>
            <w:sz w:val="24"/>
            <w:szCs w:val="24"/>
            <w:u w:val="single"/>
            <w:lang/>
          </w:rPr>
          <w:t>пункт 2</w:t>
        </w:r>
      </w:hyperlink>
      <w:r w:rsidRPr="008B264B">
        <w:rPr>
          <w:rFonts w:ascii="Times New Roman" w:eastAsia="Times New Roman" w:hAnsi="Times New Roman" w:cs="Times New Roman"/>
          <w:i/>
          <w:iCs/>
          <w:color w:val="000000"/>
          <w:sz w:val="24"/>
          <w:szCs w:val="24"/>
          <w:lang/>
        </w:rPr>
        <w:t> Закону № 215-VIII від 02.03.2015} </w:t>
      </w:r>
      <w:r w:rsidRPr="008B264B">
        <w:rPr>
          <w:rFonts w:ascii="Times New Roman" w:eastAsia="Times New Roman" w:hAnsi="Times New Roman" w:cs="Times New Roman"/>
          <w:color w:val="000000"/>
          <w:sz w:val="24"/>
          <w:szCs w:val="24"/>
          <w:lang/>
        </w:rPr>
        <w:t>У разі загибелі посадової особи контролюючого органу у зв’язку з виконанням нею службових обов’язків сім’ї загиблого або особам, які перебували на його утриманні, виплачується одноразова допомога в розмірі десятирічної заробітної плати загиблого за останньою посадою за рахунок коштів Фонду соціального страхування України з подальшим стягненням цієї суми з винних осіб.</w:t>
      </w:r>
    </w:p>
    <w:p w14:paraId="0CF288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0" w:name="n12330"/>
      <w:bookmarkEnd w:id="9490"/>
      <w:r w:rsidRPr="008B264B">
        <w:rPr>
          <w:rFonts w:ascii="Times New Roman" w:eastAsia="Times New Roman" w:hAnsi="Times New Roman" w:cs="Times New Roman"/>
          <w:i/>
          <w:iCs/>
          <w:color w:val="000000"/>
          <w:sz w:val="24"/>
          <w:szCs w:val="24"/>
          <w:lang/>
        </w:rPr>
        <w:t>{Пункт 346.2 статті 346 із змінами, внесеними згідно із Законами </w:t>
      </w:r>
      <w:hyperlink r:id="rId5229" w:anchor="n42"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w:t>
      </w:r>
      <w:hyperlink r:id="rId5230" w:anchor="n7" w:tgtFrame="_blank" w:history="1">
        <w:r w:rsidRPr="008B264B">
          <w:rPr>
            <w:rFonts w:ascii="Times New Roman" w:eastAsia="Times New Roman" w:hAnsi="Times New Roman" w:cs="Times New Roman"/>
            <w:i/>
            <w:iCs/>
            <w:color w:val="0000FF"/>
            <w:sz w:val="24"/>
            <w:szCs w:val="24"/>
            <w:u w:val="single"/>
            <w:lang/>
          </w:rPr>
          <w:t>№ 54-VIII від 25.12.2014</w:t>
        </w:r>
      </w:hyperlink>
      <w:r w:rsidRPr="008B264B">
        <w:rPr>
          <w:rFonts w:ascii="Times New Roman" w:eastAsia="Times New Roman" w:hAnsi="Times New Roman" w:cs="Times New Roman"/>
          <w:i/>
          <w:iCs/>
          <w:color w:val="000000"/>
          <w:sz w:val="24"/>
          <w:szCs w:val="24"/>
          <w:lang/>
        </w:rPr>
        <w:t>}</w:t>
      </w:r>
    </w:p>
    <w:p w14:paraId="4F6AE9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1" w:name="n8858"/>
      <w:bookmarkEnd w:id="9491"/>
      <w:r w:rsidRPr="008B264B">
        <w:rPr>
          <w:rFonts w:ascii="Times New Roman" w:eastAsia="Times New Roman" w:hAnsi="Times New Roman" w:cs="Times New Roman"/>
          <w:color w:val="000000"/>
          <w:sz w:val="24"/>
          <w:szCs w:val="24"/>
          <w:lang/>
        </w:rPr>
        <w:t>346.3. </w:t>
      </w:r>
      <w:r w:rsidRPr="008B264B">
        <w:rPr>
          <w:rFonts w:ascii="Times New Roman" w:eastAsia="Times New Roman" w:hAnsi="Times New Roman" w:cs="Times New Roman"/>
          <w:i/>
          <w:iCs/>
          <w:color w:val="000000"/>
          <w:sz w:val="24"/>
          <w:szCs w:val="24"/>
          <w:lang/>
        </w:rPr>
        <w:t>{Пункт 346.3 статті 346 виключено на підставі Закону </w:t>
      </w:r>
      <w:hyperlink r:id="rId5231" w:anchor="n6" w:tgtFrame="_blank" w:history="1">
        <w:r w:rsidRPr="008B264B">
          <w:rPr>
            <w:rFonts w:ascii="Times New Roman" w:eastAsia="Times New Roman" w:hAnsi="Times New Roman" w:cs="Times New Roman"/>
            <w:i/>
            <w:iCs/>
            <w:color w:val="0000FF"/>
            <w:sz w:val="24"/>
            <w:szCs w:val="24"/>
            <w:u w:val="single"/>
            <w:lang/>
          </w:rPr>
          <w:t>№ 215-VIII від 02.03.2015</w:t>
        </w:r>
      </w:hyperlink>
      <w:r w:rsidRPr="008B264B">
        <w:rPr>
          <w:rFonts w:ascii="Times New Roman" w:eastAsia="Times New Roman" w:hAnsi="Times New Roman" w:cs="Times New Roman"/>
          <w:i/>
          <w:iCs/>
          <w:color w:val="000000"/>
          <w:sz w:val="24"/>
          <w:szCs w:val="24"/>
          <w:lang/>
        </w:rPr>
        <w:t> - зміна діє до 31 грудня 2015 року включно, див. </w:t>
      </w:r>
      <w:hyperlink r:id="rId5232" w:anchor="n9" w:tgtFrame="_blank" w:history="1">
        <w:r w:rsidRPr="008B264B">
          <w:rPr>
            <w:rFonts w:ascii="Times New Roman" w:eastAsia="Times New Roman" w:hAnsi="Times New Roman" w:cs="Times New Roman"/>
            <w:i/>
            <w:iCs/>
            <w:color w:val="0000FF"/>
            <w:sz w:val="24"/>
            <w:szCs w:val="24"/>
            <w:u w:val="single"/>
            <w:lang/>
          </w:rPr>
          <w:t>пункт 2</w:t>
        </w:r>
      </w:hyperlink>
      <w:r w:rsidRPr="008B264B">
        <w:rPr>
          <w:rFonts w:ascii="Times New Roman" w:eastAsia="Times New Roman" w:hAnsi="Times New Roman" w:cs="Times New Roman"/>
          <w:i/>
          <w:iCs/>
          <w:color w:val="000000"/>
          <w:sz w:val="24"/>
          <w:szCs w:val="24"/>
          <w:lang/>
        </w:rPr>
        <w:t> Закону № 215-VIII від 02.03.2015} </w:t>
      </w:r>
      <w:r w:rsidRPr="008B264B">
        <w:rPr>
          <w:rFonts w:ascii="Times New Roman" w:eastAsia="Times New Roman" w:hAnsi="Times New Roman" w:cs="Times New Roman"/>
          <w:color w:val="000000"/>
          <w:sz w:val="24"/>
          <w:szCs w:val="24"/>
          <w:lang/>
        </w:rPr>
        <w:t>У разі заподіяння посадовій особі контролюючого органу під час виконання службових обов’язків тяжких тілесних ушкоджень, що перешкоджають зайняттю професійною діяльністю, цій особі виплачується одноразова допомога в розмірі п’ятирічної заробітної плати за останньою посадою за рахунок коштів Фонду соціального страхування України з подальшим стягненням цієї суми з винних осіб.</w:t>
      </w:r>
    </w:p>
    <w:p w14:paraId="539CB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2" w:name="n12331"/>
      <w:bookmarkEnd w:id="9492"/>
      <w:r w:rsidRPr="008B264B">
        <w:rPr>
          <w:rFonts w:ascii="Times New Roman" w:eastAsia="Times New Roman" w:hAnsi="Times New Roman" w:cs="Times New Roman"/>
          <w:i/>
          <w:iCs/>
          <w:color w:val="000000"/>
          <w:sz w:val="24"/>
          <w:szCs w:val="24"/>
          <w:lang/>
        </w:rPr>
        <w:t>{Пункт 346.3 статті 346 із змінами, внесеними згідно із Законами </w:t>
      </w:r>
      <w:hyperlink r:id="rId5233" w:anchor="n42"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w:t>
      </w:r>
      <w:hyperlink r:id="rId5234" w:anchor="n7" w:tgtFrame="_blank" w:history="1">
        <w:r w:rsidRPr="008B264B">
          <w:rPr>
            <w:rFonts w:ascii="Times New Roman" w:eastAsia="Times New Roman" w:hAnsi="Times New Roman" w:cs="Times New Roman"/>
            <w:i/>
            <w:iCs/>
            <w:color w:val="0000FF"/>
            <w:sz w:val="24"/>
            <w:szCs w:val="24"/>
            <w:u w:val="single"/>
            <w:lang/>
          </w:rPr>
          <w:t>№ 54-VIII від 25.12.2014</w:t>
        </w:r>
      </w:hyperlink>
      <w:r w:rsidRPr="008B264B">
        <w:rPr>
          <w:rFonts w:ascii="Times New Roman" w:eastAsia="Times New Roman" w:hAnsi="Times New Roman" w:cs="Times New Roman"/>
          <w:i/>
          <w:iCs/>
          <w:color w:val="000000"/>
          <w:sz w:val="24"/>
          <w:szCs w:val="24"/>
          <w:lang/>
        </w:rPr>
        <w:t>}</w:t>
      </w:r>
    </w:p>
    <w:p w14:paraId="3D96EC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3" w:name="n8859"/>
      <w:bookmarkEnd w:id="9493"/>
      <w:r w:rsidRPr="008B264B">
        <w:rPr>
          <w:rFonts w:ascii="Times New Roman" w:eastAsia="Times New Roman" w:hAnsi="Times New Roman" w:cs="Times New Roman"/>
          <w:color w:val="000000"/>
          <w:sz w:val="24"/>
          <w:szCs w:val="24"/>
          <w:lang/>
        </w:rPr>
        <w:t>346.4. </w:t>
      </w:r>
      <w:r w:rsidRPr="008B264B">
        <w:rPr>
          <w:rFonts w:ascii="Times New Roman" w:eastAsia="Times New Roman" w:hAnsi="Times New Roman" w:cs="Times New Roman"/>
          <w:i/>
          <w:iCs/>
          <w:color w:val="000000"/>
          <w:sz w:val="24"/>
          <w:szCs w:val="24"/>
          <w:lang/>
        </w:rPr>
        <w:t>{Пункт 346.4 статті 346 виключено на підставі Закону </w:t>
      </w:r>
      <w:hyperlink r:id="rId5235" w:anchor="n6" w:tgtFrame="_blank" w:history="1">
        <w:r w:rsidRPr="008B264B">
          <w:rPr>
            <w:rFonts w:ascii="Times New Roman" w:eastAsia="Times New Roman" w:hAnsi="Times New Roman" w:cs="Times New Roman"/>
            <w:i/>
            <w:iCs/>
            <w:color w:val="0000FF"/>
            <w:sz w:val="24"/>
            <w:szCs w:val="24"/>
            <w:u w:val="single"/>
            <w:lang/>
          </w:rPr>
          <w:t>№ 215-VIII від 02.03.2015</w:t>
        </w:r>
      </w:hyperlink>
      <w:r w:rsidRPr="008B264B">
        <w:rPr>
          <w:rFonts w:ascii="Times New Roman" w:eastAsia="Times New Roman" w:hAnsi="Times New Roman" w:cs="Times New Roman"/>
          <w:i/>
          <w:iCs/>
          <w:color w:val="000000"/>
          <w:sz w:val="24"/>
          <w:szCs w:val="24"/>
          <w:lang/>
        </w:rPr>
        <w:t> - зміна діє до 31 грудня 2015 року включно, див. </w:t>
      </w:r>
      <w:hyperlink r:id="rId5236" w:anchor="n9" w:tgtFrame="_blank" w:history="1">
        <w:r w:rsidRPr="008B264B">
          <w:rPr>
            <w:rFonts w:ascii="Times New Roman" w:eastAsia="Times New Roman" w:hAnsi="Times New Roman" w:cs="Times New Roman"/>
            <w:i/>
            <w:iCs/>
            <w:color w:val="0000FF"/>
            <w:sz w:val="24"/>
            <w:szCs w:val="24"/>
            <w:u w:val="single"/>
            <w:lang/>
          </w:rPr>
          <w:t>пункт 2</w:t>
        </w:r>
      </w:hyperlink>
      <w:r w:rsidRPr="008B264B">
        <w:rPr>
          <w:rFonts w:ascii="Times New Roman" w:eastAsia="Times New Roman" w:hAnsi="Times New Roman" w:cs="Times New Roman"/>
          <w:i/>
          <w:iCs/>
          <w:color w:val="000000"/>
          <w:sz w:val="24"/>
          <w:szCs w:val="24"/>
          <w:lang/>
        </w:rPr>
        <w:t> Закону № 215-VIII від 02.03.2015}</w:t>
      </w:r>
      <w:r w:rsidRPr="008B264B">
        <w:rPr>
          <w:rFonts w:ascii="Times New Roman" w:eastAsia="Times New Roman" w:hAnsi="Times New Roman" w:cs="Times New Roman"/>
          <w:color w:val="000000"/>
          <w:sz w:val="24"/>
          <w:szCs w:val="24"/>
          <w:lang/>
        </w:rPr>
        <w:t> У разі заподіяння посадовій особі контролюючого органу під час виконання нею службових обов’язків легких чи середньої тяжкості тілесних ушкоджень цій особі виплачується одноразова допомога в розмірі однорічної заробітної плати за останньою посадою за рахунок коштів Фонду соціального страхування України з подальшим стягненням цієї суми з винних осіб.</w:t>
      </w:r>
    </w:p>
    <w:p w14:paraId="61F559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4" w:name="n9851"/>
      <w:bookmarkEnd w:id="9494"/>
      <w:r w:rsidRPr="008B264B">
        <w:rPr>
          <w:rFonts w:ascii="Times New Roman" w:eastAsia="Times New Roman" w:hAnsi="Times New Roman" w:cs="Times New Roman"/>
          <w:i/>
          <w:iCs/>
          <w:color w:val="000000"/>
          <w:sz w:val="24"/>
          <w:szCs w:val="24"/>
          <w:lang/>
        </w:rPr>
        <w:t>{Пункт 346.4 статті 346 із змінами, внесеними згідно із Законами </w:t>
      </w:r>
      <w:hyperlink r:id="rId5237" w:anchor="n42"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 </w:t>
      </w:r>
      <w:hyperlink r:id="rId5238" w:anchor="n7" w:tgtFrame="_blank" w:history="1">
        <w:r w:rsidRPr="008B264B">
          <w:rPr>
            <w:rFonts w:ascii="Times New Roman" w:eastAsia="Times New Roman" w:hAnsi="Times New Roman" w:cs="Times New Roman"/>
            <w:i/>
            <w:iCs/>
            <w:color w:val="0000FF"/>
            <w:sz w:val="24"/>
            <w:szCs w:val="24"/>
            <w:u w:val="single"/>
            <w:lang/>
          </w:rPr>
          <w:t>№ 54-VIII від 25.12.2014</w:t>
        </w:r>
      </w:hyperlink>
      <w:r w:rsidRPr="008B264B">
        <w:rPr>
          <w:rFonts w:ascii="Times New Roman" w:eastAsia="Times New Roman" w:hAnsi="Times New Roman" w:cs="Times New Roman"/>
          <w:i/>
          <w:iCs/>
          <w:color w:val="000000"/>
          <w:sz w:val="24"/>
          <w:szCs w:val="24"/>
          <w:lang/>
        </w:rPr>
        <w:t>}</w:t>
      </w:r>
    </w:p>
    <w:p w14:paraId="1C78C2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5" w:name="n8860"/>
      <w:bookmarkEnd w:id="9495"/>
      <w:r w:rsidRPr="008B264B">
        <w:rPr>
          <w:rFonts w:ascii="Times New Roman" w:eastAsia="Times New Roman" w:hAnsi="Times New Roman" w:cs="Times New Roman"/>
          <w:i/>
          <w:iCs/>
          <w:color w:val="000000"/>
          <w:sz w:val="24"/>
          <w:szCs w:val="24"/>
          <w:lang/>
        </w:rPr>
        <w:t>{Пункт 346.5 статті 346 виключено на підставі Закону </w:t>
      </w:r>
      <w:hyperlink r:id="rId5239" w:anchor="n43"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5FD3FB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6" w:name="n8861"/>
      <w:bookmarkEnd w:id="9496"/>
      <w:r w:rsidRPr="008B264B">
        <w:rPr>
          <w:rFonts w:ascii="Times New Roman" w:eastAsia="Times New Roman" w:hAnsi="Times New Roman" w:cs="Times New Roman"/>
          <w:color w:val="000000"/>
          <w:sz w:val="24"/>
          <w:szCs w:val="24"/>
          <w:lang/>
        </w:rPr>
        <w:t>346.6. Шкода, завдана майну посадової особи контролюючого органу або членів її сім’ї у зв’язку з виконанням нею службових обов’язків, відшкодовується в повному обсязі за рахунок коштів державного бюджету з подальшим стягненням цієї суми з винних осіб.</w:t>
      </w:r>
    </w:p>
    <w:p w14:paraId="62601B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7" w:name="n8862"/>
      <w:bookmarkEnd w:id="9497"/>
      <w:r w:rsidRPr="008B264B">
        <w:rPr>
          <w:rFonts w:ascii="Times New Roman" w:eastAsia="Times New Roman" w:hAnsi="Times New Roman" w:cs="Times New Roman"/>
          <w:color w:val="000000"/>
          <w:sz w:val="24"/>
          <w:szCs w:val="24"/>
          <w:lang/>
        </w:rPr>
        <w:t>346.7. Відшкодування шкоди, завданої майну посадової особи контролюючого органу або членів її сім’ї, здійснюється на підставі рішення суду.</w:t>
      </w:r>
    </w:p>
    <w:p w14:paraId="1C116D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8" w:name="n8863"/>
      <w:bookmarkEnd w:id="9498"/>
      <w:r w:rsidRPr="008B264B">
        <w:rPr>
          <w:rFonts w:ascii="Times New Roman" w:eastAsia="Times New Roman" w:hAnsi="Times New Roman" w:cs="Times New Roman"/>
          <w:color w:val="000000"/>
          <w:sz w:val="24"/>
          <w:szCs w:val="24"/>
          <w:lang/>
        </w:rPr>
        <w:t>346.8. Для обліку фактичних витрат, пов’язаних з відшкодуванням шкоди, завданої майну посадової особи контролюючого органу або членів її сім’ї, контролюючі органи відкривають в установах банків спеціальні рахунки.</w:t>
      </w:r>
    </w:p>
    <w:p w14:paraId="63A271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499" w:name="n9852"/>
      <w:bookmarkEnd w:id="9499"/>
      <w:r w:rsidRPr="008B264B">
        <w:rPr>
          <w:rFonts w:ascii="Times New Roman" w:eastAsia="Times New Roman" w:hAnsi="Times New Roman" w:cs="Times New Roman"/>
          <w:i/>
          <w:iCs/>
          <w:color w:val="000000"/>
          <w:sz w:val="24"/>
          <w:szCs w:val="24"/>
          <w:lang/>
        </w:rPr>
        <w:t>{Пункт 346.8 статті 346 із змінами, внесеними згідно із Законом </w:t>
      </w:r>
      <w:hyperlink r:id="rId5240" w:anchor="n44"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69F5EA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0" w:name="n8864"/>
      <w:bookmarkEnd w:id="9500"/>
      <w:r w:rsidRPr="008B264B">
        <w:rPr>
          <w:rFonts w:ascii="Times New Roman" w:eastAsia="Times New Roman" w:hAnsi="Times New Roman" w:cs="Times New Roman"/>
          <w:i/>
          <w:iCs/>
          <w:color w:val="000000"/>
          <w:sz w:val="24"/>
          <w:szCs w:val="24"/>
          <w:lang/>
        </w:rPr>
        <w:t>{Статтю 347 виключено на підставі Закону </w:t>
      </w:r>
      <w:hyperlink r:id="rId5241" w:anchor="n45"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A2936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1" w:name="n7845"/>
      <w:bookmarkEnd w:id="9501"/>
      <w:r w:rsidRPr="008B264B">
        <w:rPr>
          <w:rFonts w:ascii="Times New Roman" w:eastAsia="Times New Roman" w:hAnsi="Times New Roman" w:cs="Times New Roman"/>
          <w:i/>
          <w:iCs/>
          <w:color w:val="000000"/>
          <w:sz w:val="24"/>
          <w:szCs w:val="24"/>
          <w:lang/>
        </w:rPr>
        <w:t>{Кодекс доповнено розділом XVIII</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242" w:anchor="n36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w:t>
      </w:r>
      <w:r w:rsidRPr="008B264B">
        <w:rPr>
          <w:rFonts w:ascii="Times New Roman" w:eastAsia="Times New Roman" w:hAnsi="Times New Roman" w:cs="Times New Roman"/>
          <w:color w:val="000000"/>
          <w:sz w:val="24"/>
          <w:szCs w:val="24"/>
          <w:lang/>
        </w:rPr>
        <w:t> </w:t>
      </w:r>
      <w:r w:rsidRPr="008B264B">
        <w:rPr>
          <w:rFonts w:ascii="Times New Roman" w:eastAsia="Times New Roman" w:hAnsi="Times New Roman" w:cs="Times New Roman"/>
          <w:i/>
          <w:iCs/>
          <w:color w:val="000000"/>
          <w:sz w:val="24"/>
          <w:szCs w:val="24"/>
          <w:lang/>
        </w:rPr>
        <w:t>Закону </w:t>
      </w:r>
      <w:hyperlink r:id="rId5243" w:anchor="n191"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3A1CB9BF"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502" w:name="n7846"/>
      <w:bookmarkEnd w:id="9502"/>
      <w:r w:rsidRPr="008B264B">
        <w:rPr>
          <w:rFonts w:ascii="Times New Roman" w:eastAsia="Times New Roman" w:hAnsi="Times New Roman" w:cs="Times New Roman"/>
          <w:b/>
          <w:bCs/>
          <w:color w:val="000000"/>
          <w:sz w:val="28"/>
          <w:szCs w:val="28"/>
          <w:lang/>
        </w:rPr>
        <w:t>Розділ XVIII</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b/>
          <w:bCs/>
          <w:color w:val="000000"/>
          <w:sz w:val="28"/>
          <w:szCs w:val="28"/>
          <w:lang/>
        </w:rPr>
        <w:t>. ПОДАТКОВА МІЛІЦІЯ</w:t>
      </w:r>
    </w:p>
    <w:p w14:paraId="7B0EA7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3" w:name="n14319"/>
      <w:bookmarkEnd w:id="9503"/>
      <w:r w:rsidRPr="008B264B">
        <w:rPr>
          <w:rFonts w:ascii="Times New Roman" w:eastAsia="Times New Roman" w:hAnsi="Times New Roman" w:cs="Times New Roman"/>
          <w:i/>
          <w:iCs/>
          <w:color w:val="000000"/>
          <w:sz w:val="24"/>
          <w:szCs w:val="24"/>
          <w:lang/>
        </w:rPr>
        <w:t>{Зміну по Закону </w:t>
      </w:r>
      <w:hyperlink r:id="rId5244" w:anchor="n1453"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не внесено, щодо набрання чинності зміни див. </w:t>
      </w:r>
      <w:hyperlink r:id="rId5245" w:anchor="n1608" w:tgtFrame="_blank" w:history="1">
        <w:r w:rsidRPr="008B264B">
          <w:rPr>
            <w:rFonts w:ascii="Times New Roman" w:eastAsia="Times New Roman" w:hAnsi="Times New Roman" w:cs="Times New Roman"/>
            <w:i/>
            <w:iCs/>
            <w:color w:val="0000FF"/>
            <w:sz w:val="24"/>
            <w:szCs w:val="24"/>
            <w:u w:val="single"/>
            <w:lang/>
          </w:rPr>
          <w:t>розділ II</w:t>
        </w:r>
      </w:hyperlink>
      <w:r w:rsidRPr="008B264B">
        <w:rPr>
          <w:rFonts w:ascii="Times New Roman" w:eastAsia="Times New Roman" w:hAnsi="Times New Roman" w:cs="Times New Roman"/>
          <w:i/>
          <w:iCs/>
          <w:color w:val="000000"/>
          <w:sz w:val="24"/>
          <w:szCs w:val="24"/>
          <w:lang/>
        </w:rPr>
        <w:t> "Прикінцеві та перехідні положення"}</w:t>
      </w:r>
    </w:p>
    <w:p w14:paraId="7C4783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4" w:name="n7847"/>
      <w:bookmarkEnd w:id="9504"/>
      <w:r w:rsidRPr="008B264B">
        <w:rPr>
          <w:rFonts w:ascii="Times New Roman" w:eastAsia="Times New Roman" w:hAnsi="Times New Roman" w:cs="Times New Roman"/>
          <w:b/>
          <w:bCs/>
          <w:color w:val="000000"/>
          <w:sz w:val="24"/>
          <w:szCs w:val="24"/>
          <w:lang/>
        </w:rPr>
        <w:t>Стаття 348.</w:t>
      </w:r>
      <w:r w:rsidRPr="008B264B">
        <w:rPr>
          <w:rFonts w:ascii="Times New Roman" w:eastAsia="Times New Roman" w:hAnsi="Times New Roman" w:cs="Times New Roman"/>
          <w:color w:val="000000"/>
          <w:sz w:val="24"/>
          <w:szCs w:val="24"/>
          <w:lang/>
        </w:rPr>
        <w:t> Податкова міліція та її завдання</w:t>
      </w:r>
    </w:p>
    <w:p w14:paraId="5E9A97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5" w:name="n7848"/>
      <w:bookmarkEnd w:id="9505"/>
      <w:r w:rsidRPr="008B264B">
        <w:rPr>
          <w:rFonts w:ascii="Times New Roman" w:eastAsia="Times New Roman" w:hAnsi="Times New Roman" w:cs="Times New Roman"/>
          <w:color w:val="000000"/>
          <w:sz w:val="24"/>
          <w:szCs w:val="24"/>
          <w:lang/>
        </w:rPr>
        <w:t xml:space="preserve">348.1. Податкова міліція складається із спеціальних підрозділів по боротьбі з податковими правопорушеннями, що діють у складі відповідних контролюючих органів, і здійснює контроль </w:t>
      </w:r>
      <w:r w:rsidRPr="008B264B">
        <w:rPr>
          <w:rFonts w:ascii="Times New Roman" w:eastAsia="Times New Roman" w:hAnsi="Times New Roman" w:cs="Times New Roman"/>
          <w:color w:val="000000"/>
          <w:sz w:val="24"/>
          <w:szCs w:val="24"/>
          <w:lang/>
        </w:rPr>
        <w:lastRenderedPageBreak/>
        <w:t>за додержанням податкового законодавства, виконує оперативно-розшукову, кримінально-процесуальну та охоронну функції.</w:t>
      </w:r>
    </w:p>
    <w:p w14:paraId="6BBF01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6" w:name="n7849"/>
      <w:bookmarkEnd w:id="9506"/>
      <w:r w:rsidRPr="008B264B">
        <w:rPr>
          <w:rFonts w:ascii="Times New Roman" w:eastAsia="Times New Roman" w:hAnsi="Times New Roman" w:cs="Times New Roman"/>
          <w:color w:val="000000"/>
          <w:sz w:val="24"/>
          <w:szCs w:val="24"/>
          <w:lang/>
        </w:rPr>
        <w:t>348.2. Завданнями податкової міліції є:</w:t>
      </w:r>
    </w:p>
    <w:p w14:paraId="19A468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7" w:name="n7850"/>
      <w:bookmarkEnd w:id="9507"/>
      <w:r w:rsidRPr="008B264B">
        <w:rPr>
          <w:rFonts w:ascii="Times New Roman" w:eastAsia="Times New Roman" w:hAnsi="Times New Roman" w:cs="Times New Roman"/>
          <w:color w:val="000000"/>
          <w:sz w:val="24"/>
          <w:szCs w:val="24"/>
          <w:lang/>
        </w:rPr>
        <w:t>запобігання кримінальним та іншим правопорушенням у сфері оподаткування та бюджетній сфері, їх розкриття, розслідування та провадження у справах про адміністративні правопорушення;</w:t>
      </w:r>
    </w:p>
    <w:p w14:paraId="533DC8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8" w:name="n7851"/>
      <w:bookmarkEnd w:id="9508"/>
      <w:r w:rsidRPr="008B264B">
        <w:rPr>
          <w:rFonts w:ascii="Times New Roman" w:eastAsia="Times New Roman" w:hAnsi="Times New Roman" w:cs="Times New Roman"/>
          <w:color w:val="000000"/>
          <w:sz w:val="24"/>
          <w:szCs w:val="24"/>
          <w:lang/>
        </w:rPr>
        <w:t>розшук осіб, які переховуються від слідства та суду за кримінальні та інші правопорушення у сфері оподаткування та бюджетній сфері;</w:t>
      </w:r>
    </w:p>
    <w:p w14:paraId="044CAE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09" w:name="n7852"/>
      <w:bookmarkEnd w:id="9509"/>
      <w:r w:rsidRPr="008B264B">
        <w:rPr>
          <w:rFonts w:ascii="Times New Roman" w:eastAsia="Times New Roman" w:hAnsi="Times New Roman" w:cs="Times New Roman"/>
          <w:color w:val="000000"/>
          <w:sz w:val="24"/>
          <w:szCs w:val="24"/>
          <w:lang/>
        </w:rPr>
        <w:t>запобігання і протидія корупції у контролюючих органах та виявлення її фактів;</w:t>
      </w:r>
    </w:p>
    <w:p w14:paraId="0CD1F1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0" w:name="n7853"/>
      <w:bookmarkEnd w:id="9510"/>
      <w:r w:rsidRPr="008B264B">
        <w:rPr>
          <w:rFonts w:ascii="Times New Roman" w:eastAsia="Times New Roman" w:hAnsi="Times New Roman" w:cs="Times New Roman"/>
          <w:color w:val="000000"/>
          <w:sz w:val="24"/>
          <w:szCs w:val="24"/>
          <w:lang/>
        </w:rPr>
        <w:t>забезпечення безпеки діяльності працівників контролюючих органів, захисту їх від протиправних посягань, пов’язаних з виконанням службових обов’язків.</w:t>
      </w:r>
    </w:p>
    <w:p w14:paraId="6D3AF7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1" w:name="n7854"/>
      <w:bookmarkEnd w:id="9511"/>
      <w:r w:rsidRPr="008B264B">
        <w:rPr>
          <w:rFonts w:ascii="Times New Roman" w:eastAsia="Times New Roman" w:hAnsi="Times New Roman" w:cs="Times New Roman"/>
          <w:b/>
          <w:bCs/>
          <w:color w:val="000000"/>
          <w:sz w:val="24"/>
          <w:szCs w:val="24"/>
          <w:lang/>
        </w:rPr>
        <w:t>Стаття 349.</w:t>
      </w:r>
      <w:r w:rsidRPr="008B264B">
        <w:rPr>
          <w:rFonts w:ascii="Times New Roman" w:eastAsia="Times New Roman" w:hAnsi="Times New Roman" w:cs="Times New Roman"/>
          <w:color w:val="000000"/>
          <w:sz w:val="24"/>
          <w:szCs w:val="24"/>
          <w:lang/>
        </w:rPr>
        <w:t> Структура податкової міліції</w:t>
      </w:r>
    </w:p>
    <w:p w14:paraId="0A3995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2" w:name="n7855"/>
      <w:bookmarkEnd w:id="9512"/>
      <w:r w:rsidRPr="008B264B">
        <w:rPr>
          <w:rFonts w:ascii="Times New Roman" w:eastAsia="Times New Roman" w:hAnsi="Times New Roman" w:cs="Times New Roman"/>
          <w:color w:val="000000"/>
          <w:sz w:val="24"/>
          <w:szCs w:val="24"/>
          <w:lang/>
        </w:rPr>
        <w:t>349.1. До складу податкової міліції належать:</w:t>
      </w:r>
    </w:p>
    <w:p w14:paraId="5E161A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3" w:name="n7856"/>
      <w:bookmarkEnd w:id="9513"/>
      <w:r w:rsidRPr="008B264B">
        <w:rPr>
          <w:rFonts w:ascii="Times New Roman" w:eastAsia="Times New Roman" w:hAnsi="Times New Roman" w:cs="Times New Roman"/>
          <w:color w:val="000000"/>
          <w:sz w:val="24"/>
          <w:szCs w:val="24"/>
          <w:lang/>
        </w:rPr>
        <w:t>головні управління (управління, відділи, відділення, сектори) центрального органу виконавчої влади, що забезпечує формування та реалізує державну податкову і митну політику;</w:t>
      </w:r>
    </w:p>
    <w:p w14:paraId="111324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4" w:name="n8869"/>
      <w:bookmarkEnd w:id="9514"/>
      <w:r w:rsidRPr="008B264B">
        <w:rPr>
          <w:rFonts w:ascii="Times New Roman" w:eastAsia="Times New Roman" w:hAnsi="Times New Roman" w:cs="Times New Roman"/>
          <w:i/>
          <w:iCs/>
          <w:color w:val="000000"/>
          <w:sz w:val="24"/>
          <w:szCs w:val="24"/>
          <w:lang/>
        </w:rPr>
        <w:t>{Абзац другий пункту 349.1 статті 349 із змінами, внесеними згідно із Законом </w:t>
      </w:r>
      <w:hyperlink r:id="rId5246" w:anchor="n24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66943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5" w:name="n7857"/>
      <w:bookmarkEnd w:id="9515"/>
      <w:r w:rsidRPr="008B264B">
        <w:rPr>
          <w:rFonts w:ascii="Times New Roman" w:eastAsia="Times New Roman" w:hAnsi="Times New Roman" w:cs="Times New Roman"/>
          <w:color w:val="000000"/>
          <w:sz w:val="24"/>
          <w:szCs w:val="24"/>
          <w:lang/>
        </w:rPr>
        <w:t>управління (відділи, відділення, сектори) податкової міліції відповідних контролюючих органів в Автономній Республіці Крим, областях, округах (на два і більше регіони), містах Києві та Севастополі;</w:t>
      </w:r>
    </w:p>
    <w:p w14:paraId="2F5E30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6" w:name="n8870"/>
      <w:bookmarkEnd w:id="9516"/>
      <w:r w:rsidRPr="008B264B">
        <w:rPr>
          <w:rFonts w:ascii="Times New Roman" w:eastAsia="Times New Roman" w:hAnsi="Times New Roman" w:cs="Times New Roman"/>
          <w:i/>
          <w:iCs/>
          <w:color w:val="000000"/>
          <w:sz w:val="24"/>
          <w:szCs w:val="24"/>
          <w:lang/>
        </w:rPr>
        <w:t>{Абзац третій пункту 349.1 статті 349 із змінами, внесеними згідно із Законом </w:t>
      </w:r>
      <w:hyperlink r:id="rId5247" w:anchor="n24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4B7AAB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7" w:name="n7858"/>
      <w:bookmarkEnd w:id="9517"/>
      <w:r w:rsidRPr="008B264B">
        <w:rPr>
          <w:rFonts w:ascii="Times New Roman" w:eastAsia="Times New Roman" w:hAnsi="Times New Roman" w:cs="Times New Roman"/>
          <w:color w:val="000000"/>
          <w:sz w:val="24"/>
          <w:szCs w:val="24"/>
          <w:lang/>
        </w:rPr>
        <w:t>управління, головні відділи (відділи, відділення, сектори) податкової міліції відповідних державних податкових інспекцій у районах, містах (крім міст Києва та Севастополя), районах у містах, міжрайонних, об’єднаних та контролюючих органах, що здійснюють супроводження великих платників податків.</w:t>
      </w:r>
    </w:p>
    <w:p w14:paraId="3C04EE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8" w:name="n8871"/>
      <w:bookmarkEnd w:id="9518"/>
      <w:r w:rsidRPr="008B264B">
        <w:rPr>
          <w:rFonts w:ascii="Times New Roman" w:eastAsia="Times New Roman" w:hAnsi="Times New Roman" w:cs="Times New Roman"/>
          <w:i/>
          <w:iCs/>
          <w:color w:val="000000"/>
          <w:sz w:val="24"/>
          <w:szCs w:val="24"/>
          <w:lang/>
        </w:rPr>
        <w:t>{Абзац четвертий пункту 349.1 статті 349 із змінами, внесеними згідно із Законами </w:t>
      </w:r>
      <w:hyperlink r:id="rId5248" w:anchor="n24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 </w:t>
      </w:r>
      <w:hyperlink r:id="rId5249" w:anchor="n211"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242B79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19" w:name="n7859"/>
      <w:bookmarkEnd w:id="9519"/>
      <w:r w:rsidRPr="008B264B">
        <w:rPr>
          <w:rFonts w:ascii="Times New Roman" w:eastAsia="Times New Roman" w:hAnsi="Times New Roman" w:cs="Times New Roman"/>
          <w:color w:val="000000"/>
          <w:sz w:val="24"/>
          <w:szCs w:val="24"/>
          <w:lang/>
        </w:rPr>
        <w:t>У складі податкової міліції діє спеціальний підрозділ, який проводить роботу по боротьбі з незаконним обігом алкогольних напоїв та тютюнових виробів.</w:t>
      </w:r>
    </w:p>
    <w:p w14:paraId="32DB35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0" w:name="n7860"/>
      <w:bookmarkEnd w:id="9520"/>
      <w:r w:rsidRPr="008B264B">
        <w:rPr>
          <w:rFonts w:ascii="Times New Roman" w:eastAsia="Times New Roman" w:hAnsi="Times New Roman" w:cs="Times New Roman"/>
          <w:i/>
          <w:iCs/>
          <w:color w:val="000000"/>
          <w:sz w:val="24"/>
          <w:szCs w:val="24"/>
          <w:lang/>
        </w:rPr>
        <w:t>{Пункт 349.2 статті 349 виключено на підставі Закону </w:t>
      </w:r>
      <w:hyperlink r:id="rId5250" w:anchor="n247"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1E921F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1" w:name="n7862"/>
      <w:bookmarkEnd w:id="9521"/>
      <w:r w:rsidRPr="008B264B">
        <w:rPr>
          <w:rFonts w:ascii="Times New Roman" w:eastAsia="Times New Roman" w:hAnsi="Times New Roman" w:cs="Times New Roman"/>
          <w:b/>
          <w:bCs/>
          <w:color w:val="000000"/>
          <w:sz w:val="24"/>
          <w:szCs w:val="24"/>
          <w:lang/>
        </w:rPr>
        <w:t>Стаття 350.</w:t>
      </w:r>
      <w:r w:rsidRPr="008B264B">
        <w:rPr>
          <w:rFonts w:ascii="Times New Roman" w:eastAsia="Times New Roman" w:hAnsi="Times New Roman" w:cs="Times New Roman"/>
          <w:color w:val="000000"/>
          <w:sz w:val="24"/>
          <w:szCs w:val="24"/>
          <w:lang/>
        </w:rPr>
        <w:t> Повноваження податкової міліції</w:t>
      </w:r>
    </w:p>
    <w:p w14:paraId="66C053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2" w:name="n7863"/>
      <w:bookmarkEnd w:id="9522"/>
      <w:r w:rsidRPr="008B264B">
        <w:rPr>
          <w:rFonts w:ascii="Times New Roman" w:eastAsia="Times New Roman" w:hAnsi="Times New Roman" w:cs="Times New Roman"/>
          <w:color w:val="000000"/>
          <w:sz w:val="24"/>
          <w:szCs w:val="24"/>
          <w:lang/>
        </w:rPr>
        <w:t>350.1. Податкова міліція відповідно до покладених на неї завдань:</w:t>
      </w:r>
    </w:p>
    <w:p w14:paraId="7B4210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3" w:name="n7864"/>
      <w:bookmarkEnd w:id="9523"/>
      <w:r w:rsidRPr="008B264B">
        <w:rPr>
          <w:rFonts w:ascii="Times New Roman" w:eastAsia="Times New Roman" w:hAnsi="Times New Roman" w:cs="Times New Roman"/>
          <w:color w:val="000000"/>
          <w:sz w:val="24"/>
          <w:szCs w:val="24"/>
          <w:lang/>
        </w:rPr>
        <w:t>350.1.1. приймає і реєструє заяви, повідомлення та іншу інформацію про кримінальні та інші правопорушення, віднесені законом до компетенції податкової міліції, здійснює в установленому порядку їх перевірку і приймає щодо них передбачені законом рішення;</w:t>
      </w:r>
    </w:p>
    <w:p w14:paraId="30858D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4" w:name="n7865"/>
      <w:bookmarkEnd w:id="9524"/>
      <w:r w:rsidRPr="008B264B">
        <w:rPr>
          <w:rFonts w:ascii="Times New Roman" w:eastAsia="Times New Roman" w:hAnsi="Times New Roman" w:cs="Times New Roman"/>
          <w:color w:val="000000"/>
          <w:sz w:val="24"/>
          <w:szCs w:val="24"/>
          <w:lang/>
        </w:rPr>
        <w:t>350.1.2. проводить відповідно до закону оперативно-розшукову діяльність, а також досудове розслідування в межах наданої законом компетенції, вживає заходів щодо відшкодування завданих державі збитків;</w:t>
      </w:r>
    </w:p>
    <w:p w14:paraId="0E8759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5" w:name="n7866"/>
      <w:bookmarkEnd w:id="9525"/>
      <w:r w:rsidRPr="008B264B">
        <w:rPr>
          <w:rFonts w:ascii="Times New Roman" w:eastAsia="Times New Roman" w:hAnsi="Times New Roman" w:cs="Times New Roman"/>
          <w:color w:val="000000"/>
          <w:sz w:val="24"/>
          <w:szCs w:val="24"/>
          <w:lang/>
        </w:rPr>
        <w:t>350.1.3. здійснює розшук осіб, які переховуються від слідства та суду за кримінальні та інші правопорушення у сфері оподаткування та бюджетній сфері;</w:t>
      </w:r>
    </w:p>
    <w:p w14:paraId="798D4A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6" w:name="n7867"/>
      <w:bookmarkEnd w:id="9526"/>
      <w:r w:rsidRPr="008B264B">
        <w:rPr>
          <w:rFonts w:ascii="Times New Roman" w:eastAsia="Times New Roman" w:hAnsi="Times New Roman" w:cs="Times New Roman"/>
          <w:color w:val="000000"/>
          <w:sz w:val="24"/>
          <w:szCs w:val="24"/>
          <w:lang/>
        </w:rPr>
        <w:t>350.1.4. вживає заходів щодо виявлення і розслідування злочинів, пов’язаних з відмиванням, легалізацією, розкраданням коштів та іншими незаконними фінансовими операціями;</w:t>
      </w:r>
    </w:p>
    <w:p w14:paraId="3C6DAE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7" w:name="n7868"/>
      <w:bookmarkEnd w:id="9527"/>
      <w:r w:rsidRPr="008B264B">
        <w:rPr>
          <w:rFonts w:ascii="Times New Roman" w:eastAsia="Times New Roman" w:hAnsi="Times New Roman" w:cs="Times New Roman"/>
          <w:color w:val="000000"/>
          <w:sz w:val="24"/>
          <w:szCs w:val="24"/>
          <w:lang/>
        </w:rPr>
        <w:lastRenderedPageBreak/>
        <w:t>350.1.5. виявляє причини і умови, що сприяли вчиненню злочинів та інших правопорушень у сфері оподаткування та бюджетній сфері, вживає заходів до їх усунення;</w:t>
      </w:r>
    </w:p>
    <w:p w14:paraId="56D178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8" w:name="n7869"/>
      <w:bookmarkEnd w:id="9528"/>
      <w:r w:rsidRPr="008B264B">
        <w:rPr>
          <w:rFonts w:ascii="Times New Roman" w:eastAsia="Times New Roman" w:hAnsi="Times New Roman" w:cs="Times New Roman"/>
          <w:color w:val="000000"/>
          <w:sz w:val="24"/>
          <w:szCs w:val="24"/>
          <w:lang/>
        </w:rPr>
        <w:t>350.1.6. у разі виявлення фактів, що свідчать про організовану злочинну діяльність, або дій, що створюють умови для такої діяльності, направляє матеріали з цих питань відповідним спеціальним органам по боротьбі з організованою злочинністю;</w:t>
      </w:r>
    </w:p>
    <w:p w14:paraId="3CF99C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29" w:name="n7870"/>
      <w:bookmarkEnd w:id="9529"/>
      <w:r w:rsidRPr="008B264B">
        <w:rPr>
          <w:rFonts w:ascii="Times New Roman" w:eastAsia="Times New Roman" w:hAnsi="Times New Roman" w:cs="Times New Roman"/>
          <w:color w:val="000000"/>
          <w:sz w:val="24"/>
          <w:szCs w:val="24"/>
          <w:lang/>
        </w:rPr>
        <w:t>350.1.7. передає відповідним правоохоронним органам матеріали за фактами правопорушень, за які законом передбачено кримінальну відповідальність, якщо їх розслідування не належить до компетенції податкової міліції;</w:t>
      </w:r>
    </w:p>
    <w:p w14:paraId="4EEDC6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0" w:name="n7871"/>
      <w:bookmarkEnd w:id="9530"/>
      <w:r w:rsidRPr="008B264B">
        <w:rPr>
          <w:rFonts w:ascii="Times New Roman" w:eastAsia="Times New Roman" w:hAnsi="Times New Roman" w:cs="Times New Roman"/>
          <w:color w:val="000000"/>
          <w:sz w:val="24"/>
          <w:szCs w:val="24"/>
          <w:lang/>
        </w:rPr>
        <w:t>350.1.8. забезпечує безпеку діяльності контролюючих органів та їх працівників, а також захист працівників від протиправних посягань, пов’язаних з виконанням ними службових обов’язків;</w:t>
      </w:r>
    </w:p>
    <w:p w14:paraId="12D4EF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1" w:name="n7872"/>
      <w:bookmarkEnd w:id="9531"/>
      <w:r w:rsidRPr="008B264B">
        <w:rPr>
          <w:rFonts w:ascii="Times New Roman" w:eastAsia="Times New Roman" w:hAnsi="Times New Roman" w:cs="Times New Roman"/>
          <w:color w:val="000000"/>
          <w:sz w:val="24"/>
          <w:szCs w:val="24"/>
          <w:lang/>
        </w:rPr>
        <w:t>350.1.9. здійснює заходи щодо запобігання і протидії корупції у контролюючих органах та виявлення фактів корупції, а також усунення наслідків корупційних правопорушень;</w:t>
      </w:r>
    </w:p>
    <w:p w14:paraId="0DF482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2" w:name="n7873"/>
      <w:bookmarkEnd w:id="9532"/>
      <w:r w:rsidRPr="008B264B">
        <w:rPr>
          <w:rFonts w:ascii="Times New Roman" w:eastAsia="Times New Roman" w:hAnsi="Times New Roman" w:cs="Times New Roman"/>
          <w:color w:val="000000"/>
          <w:sz w:val="24"/>
          <w:szCs w:val="24"/>
          <w:lang/>
        </w:rPr>
        <w:t>350.1.10. складає протоколи та розглядає справи про адміністративні правопорушення у випадках, передбачених законом;</w:t>
      </w:r>
    </w:p>
    <w:p w14:paraId="7849C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3" w:name="n7874"/>
      <w:bookmarkEnd w:id="9533"/>
      <w:r w:rsidRPr="008B264B">
        <w:rPr>
          <w:rFonts w:ascii="Times New Roman" w:eastAsia="Times New Roman" w:hAnsi="Times New Roman" w:cs="Times New Roman"/>
          <w:color w:val="000000"/>
          <w:sz w:val="24"/>
          <w:szCs w:val="24"/>
          <w:lang/>
        </w:rPr>
        <w:t>350.1.11. збирає, аналізує, узагальнює інформацію щодо порушень у сфері оподаткування та бюджетній сфері, прогнозує тенденції розвитку негативних процесів кримінального характеру, пов’язаних з оподаткуванням.</w:t>
      </w:r>
    </w:p>
    <w:p w14:paraId="40D014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4" w:name="n8873"/>
      <w:bookmarkEnd w:id="9534"/>
      <w:r w:rsidRPr="008B264B">
        <w:rPr>
          <w:rFonts w:ascii="Times New Roman" w:eastAsia="Times New Roman" w:hAnsi="Times New Roman" w:cs="Times New Roman"/>
          <w:color w:val="000000"/>
          <w:sz w:val="24"/>
          <w:szCs w:val="24"/>
          <w:lang/>
        </w:rPr>
        <w:t>350.1.12. виявляє кримінальні та інші правопорушення у сфері оподаткування, митній та бюджетній сферах, встановлює місцезнаходження платників податків, проводить опитування їх засновників, посадових осіб.</w:t>
      </w:r>
    </w:p>
    <w:p w14:paraId="09AC2C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5" w:name="n8872"/>
      <w:bookmarkEnd w:id="9535"/>
      <w:r w:rsidRPr="008B264B">
        <w:rPr>
          <w:rFonts w:ascii="Times New Roman" w:eastAsia="Times New Roman" w:hAnsi="Times New Roman" w:cs="Times New Roman"/>
          <w:i/>
          <w:iCs/>
          <w:color w:val="000000"/>
          <w:sz w:val="24"/>
          <w:szCs w:val="24"/>
          <w:lang/>
        </w:rPr>
        <w:t>{Пункт 350.1 статті 350 доповнено підпунктом 350.1.12 згідно із Законом </w:t>
      </w:r>
      <w:hyperlink r:id="rId5251" w:anchor="n248"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D3BDB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6" w:name="n7875"/>
      <w:bookmarkEnd w:id="9536"/>
      <w:r w:rsidRPr="008B264B">
        <w:rPr>
          <w:rFonts w:ascii="Times New Roman" w:eastAsia="Times New Roman" w:hAnsi="Times New Roman" w:cs="Times New Roman"/>
          <w:color w:val="000000"/>
          <w:sz w:val="24"/>
          <w:szCs w:val="24"/>
          <w:lang/>
        </w:rPr>
        <w:t>350.2. Особа начальницького чи рядового складу податкової міліції незалежно від займаної посади, місцезнаходження і часу у разі звернення до неї громадян або посадових осіб із заявою чи повідомленням про загрозу особистій чи громадській безпеці або у разі безпосереднього виявлення такої загрози повинна вжити заходів щодо запобігання правопорушенню і його припинення, рятування людей, надання допомоги особам, які її потребують, встановлення і затримання осіб, які вчинили правопорушення, охорони місця події і повідомити про це найближчому органу внутрішніх справ.</w:t>
      </w:r>
    </w:p>
    <w:p w14:paraId="6C5E67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7" w:name="n7876"/>
      <w:bookmarkEnd w:id="9537"/>
      <w:r w:rsidRPr="008B264B">
        <w:rPr>
          <w:rFonts w:ascii="Times New Roman" w:eastAsia="Times New Roman" w:hAnsi="Times New Roman" w:cs="Times New Roman"/>
          <w:b/>
          <w:bCs/>
          <w:color w:val="000000"/>
          <w:sz w:val="24"/>
          <w:szCs w:val="24"/>
          <w:lang/>
        </w:rPr>
        <w:t>Стаття 351.</w:t>
      </w:r>
      <w:r w:rsidRPr="008B264B">
        <w:rPr>
          <w:rFonts w:ascii="Times New Roman" w:eastAsia="Times New Roman" w:hAnsi="Times New Roman" w:cs="Times New Roman"/>
          <w:color w:val="000000"/>
          <w:sz w:val="24"/>
          <w:szCs w:val="24"/>
          <w:lang/>
        </w:rPr>
        <w:t> Права податкової міліції</w:t>
      </w:r>
    </w:p>
    <w:p w14:paraId="7CA33D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8" w:name="n7877"/>
      <w:bookmarkEnd w:id="9538"/>
      <w:r w:rsidRPr="008B264B">
        <w:rPr>
          <w:rFonts w:ascii="Times New Roman" w:eastAsia="Times New Roman" w:hAnsi="Times New Roman" w:cs="Times New Roman"/>
          <w:color w:val="000000"/>
          <w:sz w:val="24"/>
          <w:szCs w:val="24"/>
          <w:lang/>
        </w:rPr>
        <w:t>351.1. Посадовим особам податкової міліції для виконання покладених на них обов’язків надаються права, передбачені </w:t>
      </w:r>
      <w:hyperlink r:id="rId5252" w:anchor="n8729" w:history="1">
        <w:r w:rsidRPr="008B264B">
          <w:rPr>
            <w:rFonts w:ascii="Times New Roman" w:eastAsia="Times New Roman" w:hAnsi="Times New Roman" w:cs="Times New Roman"/>
            <w:color w:val="0000FF"/>
            <w:sz w:val="24"/>
            <w:szCs w:val="24"/>
            <w:u w:val="single"/>
            <w:lang/>
          </w:rPr>
          <w:t>підпунктами 20.1.2</w:t>
        </w:r>
      </w:hyperlink>
      <w:r w:rsidRPr="008B264B">
        <w:rPr>
          <w:rFonts w:ascii="Times New Roman" w:eastAsia="Times New Roman" w:hAnsi="Times New Roman" w:cs="Times New Roman"/>
          <w:color w:val="000000"/>
          <w:sz w:val="24"/>
          <w:szCs w:val="24"/>
          <w:lang/>
        </w:rPr>
        <w:t> (в частині отримання належним чином засвідчених копій документів), </w:t>
      </w:r>
      <w:hyperlink r:id="rId5253" w:anchor="n8731" w:history="1">
        <w:r w:rsidRPr="008B264B">
          <w:rPr>
            <w:rFonts w:ascii="Times New Roman" w:eastAsia="Times New Roman" w:hAnsi="Times New Roman" w:cs="Times New Roman"/>
            <w:color w:val="0000FF"/>
            <w:sz w:val="24"/>
            <w:szCs w:val="24"/>
            <w:u w:val="single"/>
            <w:lang/>
          </w:rPr>
          <w:t>20.1.4</w:t>
        </w:r>
      </w:hyperlink>
      <w:r w:rsidRPr="008B264B">
        <w:rPr>
          <w:rFonts w:ascii="Times New Roman" w:eastAsia="Times New Roman" w:hAnsi="Times New Roman" w:cs="Times New Roman"/>
          <w:color w:val="000000"/>
          <w:sz w:val="24"/>
          <w:szCs w:val="24"/>
          <w:lang/>
        </w:rPr>
        <w:t> (в частині проведення перевірок у встановленому цим Кодексом порядку), </w:t>
      </w:r>
      <w:hyperlink r:id="rId5254" w:anchor="n8735" w:history="1">
        <w:r w:rsidRPr="008B264B">
          <w:rPr>
            <w:rFonts w:ascii="Times New Roman" w:eastAsia="Times New Roman" w:hAnsi="Times New Roman" w:cs="Times New Roman"/>
            <w:color w:val="0000FF"/>
            <w:sz w:val="24"/>
            <w:szCs w:val="24"/>
            <w:u w:val="single"/>
            <w:lang/>
          </w:rPr>
          <w:t>20.1.8</w:t>
        </w:r>
      </w:hyperlink>
      <w:r w:rsidRPr="008B264B">
        <w:rPr>
          <w:rFonts w:ascii="Times New Roman" w:eastAsia="Times New Roman" w:hAnsi="Times New Roman" w:cs="Times New Roman"/>
          <w:color w:val="000000"/>
          <w:sz w:val="24"/>
          <w:szCs w:val="24"/>
          <w:lang/>
        </w:rPr>
        <w:t> і </w:t>
      </w:r>
      <w:hyperlink r:id="rId5255" w:anchor="n8747" w:history="1">
        <w:r w:rsidRPr="008B264B">
          <w:rPr>
            <w:rFonts w:ascii="Times New Roman" w:eastAsia="Times New Roman" w:hAnsi="Times New Roman" w:cs="Times New Roman"/>
            <w:color w:val="0000FF"/>
            <w:sz w:val="24"/>
            <w:szCs w:val="24"/>
            <w:u w:val="single"/>
            <w:lang/>
          </w:rPr>
          <w:t>20.1.20 пункту 20.1 статті 20</w:t>
        </w:r>
      </w:hyperlink>
      <w:r w:rsidRPr="008B264B">
        <w:rPr>
          <w:rFonts w:ascii="Times New Roman" w:eastAsia="Times New Roman" w:hAnsi="Times New Roman" w:cs="Times New Roman"/>
          <w:color w:val="000000"/>
          <w:sz w:val="24"/>
          <w:szCs w:val="24"/>
          <w:lang/>
        </w:rPr>
        <w:t> цього Кодексу, а також пунктами 1-4, абзацами другим, третім пункту 5, пунктами 6-14, підпунктами "а" і "б" пункту 15  (з урахуванням положень цього Кодексу), пунктом 16 з дотриманням встановлених цим Кодексом правил проведення податкових перевірок, пунктами 17, 19, 23, 24, 25, 27, 28, 30 статті 11, статтями 12-15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w:t>
      </w:r>
      <w:hyperlink r:id="rId5256" w:tgtFrame="_blank" w:history="1">
        <w:r w:rsidRPr="008B264B">
          <w:rPr>
            <w:rFonts w:ascii="Times New Roman" w:eastAsia="Times New Roman" w:hAnsi="Times New Roman" w:cs="Times New Roman"/>
            <w:color w:val="0000FF"/>
            <w:sz w:val="24"/>
            <w:szCs w:val="24"/>
            <w:u w:val="single"/>
            <w:lang/>
          </w:rPr>
          <w:t>Закону України "Про міліцію"</w:t>
        </w:r>
      </w:hyperlink>
      <w:r w:rsidRPr="008B264B">
        <w:rPr>
          <w:rFonts w:ascii="Times New Roman" w:eastAsia="Times New Roman" w:hAnsi="Times New Roman" w:cs="Times New Roman"/>
          <w:color w:val="000000"/>
          <w:sz w:val="24"/>
          <w:szCs w:val="24"/>
          <w:lang/>
        </w:rPr>
        <w:t>.</w:t>
      </w:r>
    </w:p>
    <w:p w14:paraId="1D7670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39" w:name="n8874"/>
      <w:bookmarkEnd w:id="9539"/>
      <w:r w:rsidRPr="008B264B">
        <w:rPr>
          <w:rFonts w:ascii="Times New Roman" w:eastAsia="Times New Roman" w:hAnsi="Times New Roman" w:cs="Times New Roman"/>
          <w:i/>
          <w:iCs/>
          <w:color w:val="000000"/>
          <w:sz w:val="24"/>
          <w:szCs w:val="24"/>
          <w:lang/>
        </w:rPr>
        <w:t>{Абзац перший пункту 351.1 статті 351 в редакції Закону </w:t>
      </w:r>
      <w:hyperlink r:id="rId5257" w:anchor="n25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63D25C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0" w:name="n7878"/>
      <w:bookmarkEnd w:id="9540"/>
      <w:r w:rsidRPr="008B264B">
        <w:rPr>
          <w:rFonts w:ascii="Times New Roman" w:eastAsia="Times New Roman" w:hAnsi="Times New Roman" w:cs="Times New Roman"/>
          <w:color w:val="000000"/>
          <w:sz w:val="24"/>
          <w:szCs w:val="24"/>
          <w:lang/>
        </w:rPr>
        <w:t>На податкову міліцію поширюються вимоги, встановлені статтями 3 і 5 Закону України "Про міліцію".</w:t>
      </w:r>
    </w:p>
    <w:p w14:paraId="18239C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1" w:name="n7879"/>
      <w:bookmarkEnd w:id="9541"/>
      <w:r w:rsidRPr="008B264B">
        <w:rPr>
          <w:rFonts w:ascii="Times New Roman" w:eastAsia="Times New Roman" w:hAnsi="Times New Roman" w:cs="Times New Roman"/>
          <w:b/>
          <w:bCs/>
          <w:color w:val="000000"/>
          <w:sz w:val="24"/>
          <w:szCs w:val="24"/>
          <w:lang/>
        </w:rPr>
        <w:t>Стаття 352.</w:t>
      </w:r>
      <w:r w:rsidRPr="008B264B">
        <w:rPr>
          <w:rFonts w:ascii="Times New Roman" w:eastAsia="Times New Roman" w:hAnsi="Times New Roman" w:cs="Times New Roman"/>
          <w:color w:val="000000"/>
          <w:sz w:val="24"/>
          <w:szCs w:val="24"/>
          <w:lang/>
        </w:rPr>
        <w:t> Прийняття на службу до податкової міліції</w:t>
      </w:r>
    </w:p>
    <w:p w14:paraId="292DF8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2" w:name="n7880"/>
      <w:bookmarkEnd w:id="9542"/>
      <w:r w:rsidRPr="008B264B">
        <w:rPr>
          <w:rFonts w:ascii="Times New Roman" w:eastAsia="Times New Roman" w:hAnsi="Times New Roman" w:cs="Times New Roman"/>
          <w:color w:val="000000"/>
          <w:sz w:val="24"/>
          <w:szCs w:val="24"/>
          <w:lang/>
        </w:rPr>
        <w:t xml:space="preserve">352.1. На службу до податкової міліції приймаються на контрактній основі громадяни України, які мають відповідну освіту, здатні за своїми особистими, діловими, моральними </w:t>
      </w:r>
      <w:r w:rsidRPr="008B264B">
        <w:rPr>
          <w:rFonts w:ascii="Times New Roman" w:eastAsia="Times New Roman" w:hAnsi="Times New Roman" w:cs="Times New Roman"/>
          <w:color w:val="000000"/>
          <w:sz w:val="24"/>
          <w:szCs w:val="24"/>
          <w:lang/>
        </w:rPr>
        <w:lastRenderedPageBreak/>
        <w:t>якостями та станом здоров’я виконувати обов’язки відповідно до покладених на податкову міліцію завдань.</w:t>
      </w:r>
    </w:p>
    <w:p w14:paraId="6392CC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3" w:name="n7881"/>
      <w:bookmarkEnd w:id="9543"/>
      <w:r w:rsidRPr="008B264B">
        <w:rPr>
          <w:rFonts w:ascii="Times New Roman" w:eastAsia="Times New Roman" w:hAnsi="Times New Roman" w:cs="Times New Roman"/>
          <w:color w:val="000000"/>
          <w:sz w:val="24"/>
          <w:szCs w:val="24"/>
          <w:lang/>
        </w:rPr>
        <w:t>На службу до податкової міліції не може бути прийнято особу, яка має не погашену або не зняту в установленому порядку судимість за вчинення злочину, крім реабілітованої, або на яку протягом останнього року накладалося адміністративне стягнення за вчинення корупційного правопорушення.</w:t>
      </w:r>
    </w:p>
    <w:p w14:paraId="11CC0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4" w:name="n7882"/>
      <w:bookmarkEnd w:id="9544"/>
      <w:r w:rsidRPr="008B264B">
        <w:rPr>
          <w:rFonts w:ascii="Times New Roman" w:eastAsia="Times New Roman" w:hAnsi="Times New Roman" w:cs="Times New Roman"/>
          <w:color w:val="000000"/>
          <w:sz w:val="24"/>
          <w:szCs w:val="24"/>
          <w:lang/>
        </w:rPr>
        <w:t>352.2. Стосовно осіб, які претендують на службу в податковій міліції, за їх письмовою згодою проводиться спеціальна перевірка у порядку, встановленому </w:t>
      </w:r>
      <w:hyperlink r:id="rId5258" w:anchor="n3" w:tgtFrame="_blank" w:history="1">
        <w:r w:rsidRPr="008B264B">
          <w:rPr>
            <w:rFonts w:ascii="Times New Roman" w:eastAsia="Times New Roman" w:hAnsi="Times New Roman" w:cs="Times New Roman"/>
            <w:color w:val="0000FF"/>
            <w:sz w:val="24"/>
            <w:szCs w:val="24"/>
            <w:u w:val="single"/>
            <w:lang/>
          </w:rPr>
          <w:t>Законом України "Про засади запобігання і протидії корупції"</w:t>
        </w:r>
      </w:hyperlink>
      <w:r w:rsidRPr="008B264B">
        <w:rPr>
          <w:rFonts w:ascii="Times New Roman" w:eastAsia="Times New Roman" w:hAnsi="Times New Roman" w:cs="Times New Roman"/>
          <w:color w:val="000000"/>
          <w:sz w:val="24"/>
          <w:szCs w:val="24"/>
          <w:lang/>
        </w:rPr>
        <w:t>.</w:t>
      </w:r>
    </w:p>
    <w:p w14:paraId="5B8000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5" w:name="n7883"/>
      <w:bookmarkEnd w:id="9545"/>
      <w:r w:rsidRPr="008B264B">
        <w:rPr>
          <w:rFonts w:ascii="Times New Roman" w:eastAsia="Times New Roman" w:hAnsi="Times New Roman" w:cs="Times New Roman"/>
          <w:color w:val="000000"/>
          <w:sz w:val="24"/>
          <w:szCs w:val="24"/>
          <w:lang/>
        </w:rPr>
        <w:t>352.3. Особи, які претендують на службу в податковій міліції, зобов’язані повідомити керівництву органу, на посаду в якому вони претендують, про працюючих у цьому органі близьких їм осіб.</w:t>
      </w:r>
    </w:p>
    <w:p w14:paraId="58AEB7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6" w:name="n7884"/>
      <w:bookmarkEnd w:id="9546"/>
      <w:r w:rsidRPr="008B264B">
        <w:rPr>
          <w:rFonts w:ascii="Times New Roman" w:eastAsia="Times New Roman" w:hAnsi="Times New Roman" w:cs="Times New Roman"/>
          <w:color w:val="000000"/>
          <w:sz w:val="24"/>
          <w:szCs w:val="24"/>
          <w:lang/>
        </w:rPr>
        <w:t>352.4. Громадяни України, які вперше зараховуються на службу до податкової міліції на посади начальницького і рядового складу, складають присягу такого змісту:</w:t>
      </w:r>
    </w:p>
    <w:p w14:paraId="41B6AB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7" w:name="n7885"/>
      <w:bookmarkEnd w:id="9547"/>
      <w:r w:rsidRPr="008B264B">
        <w:rPr>
          <w:rFonts w:ascii="Times New Roman" w:eastAsia="Times New Roman" w:hAnsi="Times New Roman" w:cs="Times New Roman"/>
          <w:color w:val="000000"/>
          <w:sz w:val="24"/>
          <w:szCs w:val="24"/>
          <w:lang/>
        </w:rPr>
        <w:t>"Я, (прізвище, ім’я, по батькові), вступаючи на службу до податкової міліції, присягаю на вірність Українському народові. Присягаю додержуватися Конституції і законів України, захищати права людини і громадянина, сумлінно виконувати свої обов’язки. Присягаю бути чесним і мужнім, пильно стояти на сторожі економічних інтересів Вітчизни, суворо зберігати державну та службову таємницю. Якщо я порушу присягу, готовий нести відповідальність, встановлену законом України".</w:t>
      </w:r>
    </w:p>
    <w:p w14:paraId="17DEC3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8" w:name="n7886"/>
      <w:bookmarkEnd w:id="9548"/>
      <w:r w:rsidRPr="008B264B">
        <w:rPr>
          <w:rFonts w:ascii="Times New Roman" w:eastAsia="Times New Roman" w:hAnsi="Times New Roman" w:cs="Times New Roman"/>
          <w:color w:val="000000"/>
          <w:sz w:val="24"/>
          <w:szCs w:val="24"/>
          <w:lang/>
        </w:rPr>
        <w:t>Особа начальницького чи рядового складу податкової міліції підписує текст присяги, який зберігається в її особовій справі.</w:t>
      </w:r>
    </w:p>
    <w:p w14:paraId="57F2F9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49" w:name="n7887"/>
      <w:bookmarkEnd w:id="9549"/>
      <w:r w:rsidRPr="008B264B">
        <w:rPr>
          <w:rFonts w:ascii="Times New Roman" w:eastAsia="Times New Roman" w:hAnsi="Times New Roman" w:cs="Times New Roman"/>
          <w:b/>
          <w:bCs/>
          <w:color w:val="000000"/>
          <w:sz w:val="24"/>
          <w:szCs w:val="24"/>
          <w:lang/>
        </w:rPr>
        <w:t>Стаття 353.</w:t>
      </w:r>
      <w:r w:rsidRPr="008B264B">
        <w:rPr>
          <w:rFonts w:ascii="Times New Roman" w:eastAsia="Times New Roman" w:hAnsi="Times New Roman" w:cs="Times New Roman"/>
          <w:color w:val="000000"/>
          <w:sz w:val="24"/>
          <w:szCs w:val="24"/>
          <w:lang/>
        </w:rPr>
        <w:t> Служба в податковій міліції</w:t>
      </w:r>
    </w:p>
    <w:p w14:paraId="1F5207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0" w:name="n7888"/>
      <w:bookmarkEnd w:id="9550"/>
      <w:r w:rsidRPr="008B264B">
        <w:rPr>
          <w:rFonts w:ascii="Times New Roman" w:eastAsia="Times New Roman" w:hAnsi="Times New Roman" w:cs="Times New Roman"/>
          <w:color w:val="000000"/>
          <w:sz w:val="24"/>
          <w:szCs w:val="24"/>
          <w:lang/>
        </w:rPr>
        <w:t>353.1. Особи начальницького і рядового складу податкової міліції проходять службу у порядку, встановленому законодавством для осіб начальницького і рядового складу органів внутрішніх справ.</w:t>
      </w:r>
    </w:p>
    <w:p w14:paraId="29009E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1" w:name="n7889"/>
      <w:bookmarkEnd w:id="9551"/>
      <w:r w:rsidRPr="008B264B">
        <w:rPr>
          <w:rFonts w:ascii="Times New Roman" w:eastAsia="Times New Roman" w:hAnsi="Times New Roman" w:cs="Times New Roman"/>
          <w:color w:val="000000"/>
          <w:sz w:val="24"/>
          <w:szCs w:val="24"/>
          <w:lang/>
        </w:rPr>
        <w:t>353.2. Особи, прийняті на службу до податкової міліції, у тому числі слухачі та курсанти навчальних закладів за спеціальностями з підготовки кадрів податкової міліції, які перебувають на військовому обліку військовозобов’язаних, на час служби знімаються з нього і перебувають у кадрах податкової міліції центрального органу виконавчої влади, що забезпечує формування та реалізує державну податкову і митну політику.</w:t>
      </w:r>
    </w:p>
    <w:p w14:paraId="17BC4D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2" w:name="n7890"/>
      <w:bookmarkEnd w:id="9552"/>
      <w:r w:rsidRPr="008B264B">
        <w:rPr>
          <w:rFonts w:ascii="Times New Roman" w:eastAsia="Times New Roman" w:hAnsi="Times New Roman" w:cs="Times New Roman"/>
          <w:color w:val="000000"/>
          <w:sz w:val="24"/>
          <w:szCs w:val="24"/>
          <w:lang/>
        </w:rPr>
        <w:t>353.3. Особи, які закінчили вищі навчальні заклади центрального органу виконавчої влади, що забезпечує формування та реалізує державну податкову і митну політику, і яким присвоєно спеціальне звання начальницького складу податкової міліції, звільняються від призову на строкову військову службу.</w:t>
      </w:r>
    </w:p>
    <w:p w14:paraId="2DEBE1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3" w:name="n7891"/>
      <w:bookmarkEnd w:id="9553"/>
      <w:r w:rsidRPr="008B264B">
        <w:rPr>
          <w:rFonts w:ascii="Times New Roman" w:eastAsia="Times New Roman" w:hAnsi="Times New Roman" w:cs="Times New Roman"/>
          <w:color w:val="000000"/>
          <w:sz w:val="24"/>
          <w:szCs w:val="24"/>
          <w:lang/>
        </w:rPr>
        <w:t>353.4. Особам, яких прийнято на службу до податкової міліції на посади начальницького і рядового складу, присвоюються такі спеціальні звання:</w:t>
      </w:r>
    </w:p>
    <w:p w14:paraId="4D47D1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4" w:name="n7892"/>
      <w:bookmarkEnd w:id="9554"/>
      <w:r w:rsidRPr="008B264B">
        <w:rPr>
          <w:rFonts w:ascii="Times New Roman" w:eastAsia="Times New Roman" w:hAnsi="Times New Roman" w:cs="Times New Roman"/>
          <w:color w:val="000000"/>
          <w:sz w:val="24"/>
          <w:szCs w:val="24"/>
          <w:lang/>
        </w:rPr>
        <w:t>353.4.1. вищий начальницький склад:</w:t>
      </w:r>
    </w:p>
    <w:p w14:paraId="572A40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5" w:name="n7893"/>
      <w:bookmarkEnd w:id="9555"/>
      <w:r w:rsidRPr="008B264B">
        <w:rPr>
          <w:rFonts w:ascii="Times New Roman" w:eastAsia="Times New Roman" w:hAnsi="Times New Roman" w:cs="Times New Roman"/>
          <w:color w:val="000000"/>
          <w:sz w:val="24"/>
          <w:szCs w:val="24"/>
          <w:lang/>
        </w:rPr>
        <w:t>генерал-полковник податкової міліції;</w:t>
      </w:r>
    </w:p>
    <w:p w14:paraId="0AFD05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6" w:name="n7894"/>
      <w:bookmarkEnd w:id="9556"/>
      <w:r w:rsidRPr="008B264B">
        <w:rPr>
          <w:rFonts w:ascii="Times New Roman" w:eastAsia="Times New Roman" w:hAnsi="Times New Roman" w:cs="Times New Roman"/>
          <w:color w:val="000000"/>
          <w:sz w:val="24"/>
          <w:szCs w:val="24"/>
          <w:lang/>
        </w:rPr>
        <w:t>генерал-лейтенант податкової міліції;</w:t>
      </w:r>
    </w:p>
    <w:p w14:paraId="27CD8F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7" w:name="n7895"/>
      <w:bookmarkEnd w:id="9557"/>
      <w:r w:rsidRPr="008B264B">
        <w:rPr>
          <w:rFonts w:ascii="Times New Roman" w:eastAsia="Times New Roman" w:hAnsi="Times New Roman" w:cs="Times New Roman"/>
          <w:color w:val="000000"/>
          <w:sz w:val="24"/>
          <w:szCs w:val="24"/>
          <w:lang/>
        </w:rPr>
        <w:t>генерал-майор податкової міліції;</w:t>
      </w:r>
    </w:p>
    <w:p w14:paraId="13F42F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8" w:name="n7896"/>
      <w:bookmarkEnd w:id="9558"/>
      <w:r w:rsidRPr="008B264B">
        <w:rPr>
          <w:rFonts w:ascii="Times New Roman" w:eastAsia="Times New Roman" w:hAnsi="Times New Roman" w:cs="Times New Roman"/>
          <w:color w:val="000000"/>
          <w:sz w:val="24"/>
          <w:szCs w:val="24"/>
          <w:lang/>
        </w:rPr>
        <w:t>353.4.2. старший начальницький склад:</w:t>
      </w:r>
    </w:p>
    <w:p w14:paraId="19C73B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59" w:name="n7897"/>
      <w:bookmarkEnd w:id="9559"/>
      <w:r w:rsidRPr="008B264B">
        <w:rPr>
          <w:rFonts w:ascii="Times New Roman" w:eastAsia="Times New Roman" w:hAnsi="Times New Roman" w:cs="Times New Roman"/>
          <w:color w:val="000000"/>
          <w:sz w:val="24"/>
          <w:szCs w:val="24"/>
          <w:lang/>
        </w:rPr>
        <w:t>полковник податкової міліції;</w:t>
      </w:r>
    </w:p>
    <w:p w14:paraId="0B4FA1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0" w:name="n7898"/>
      <w:bookmarkEnd w:id="9560"/>
      <w:r w:rsidRPr="008B264B">
        <w:rPr>
          <w:rFonts w:ascii="Times New Roman" w:eastAsia="Times New Roman" w:hAnsi="Times New Roman" w:cs="Times New Roman"/>
          <w:color w:val="000000"/>
          <w:sz w:val="24"/>
          <w:szCs w:val="24"/>
          <w:lang/>
        </w:rPr>
        <w:t>підполковник податкової міліції;</w:t>
      </w:r>
    </w:p>
    <w:p w14:paraId="08E0DE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1" w:name="n7899"/>
      <w:bookmarkEnd w:id="9561"/>
      <w:r w:rsidRPr="008B264B">
        <w:rPr>
          <w:rFonts w:ascii="Times New Roman" w:eastAsia="Times New Roman" w:hAnsi="Times New Roman" w:cs="Times New Roman"/>
          <w:color w:val="000000"/>
          <w:sz w:val="24"/>
          <w:szCs w:val="24"/>
          <w:lang/>
        </w:rPr>
        <w:lastRenderedPageBreak/>
        <w:t>майор податкової міліції;</w:t>
      </w:r>
    </w:p>
    <w:p w14:paraId="35BA7E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2" w:name="n7900"/>
      <w:bookmarkEnd w:id="9562"/>
      <w:r w:rsidRPr="008B264B">
        <w:rPr>
          <w:rFonts w:ascii="Times New Roman" w:eastAsia="Times New Roman" w:hAnsi="Times New Roman" w:cs="Times New Roman"/>
          <w:color w:val="000000"/>
          <w:sz w:val="24"/>
          <w:szCs w:val="24"/>
          <w:lang/>
        </w:rPr>
        <w:t>353.4.3. середній начальницький склад:</w:t>
      </w:r>
    </w:p>
    <w:p w14:paraId="4E83E7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3" w:name="n7901"/>
      <w:bookmarkEnd w:id="9563"/>
      <w:r w:rsidRPr="008B264B">
        <w:rPr>
          <w:rFonts w:ascii="Times New Roman" w:eastAsia="Times New Roman" w:hAnsi="Times New Roman" w:cs="Times New Roman"/>
          <w:color w:val="000000"/>
          <w:sz w:val="24"/>
          <w:szCs w:val="24"/>
          <w:lang/>
        </w:rPr>
        <w:t>капітан податкової міліції;</w:t>
      </w:r>
    </w:p>
    <w:p w14:paraId="354604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4" w:name="n7902"/>
      <w:bookmarkEnd w:id="9564"/>
      <w:r w:rsidRPr="008B264B">
        <w:rPr>
          <w:rFonts w:ascii="Times New Roman" w:eastAsia="Times New Roman" w:hAnsi="Times New Roman" w:cs="Times New Roman"/>
          <w:color w:val="000000"/>
          <w:sz w:val="24"/>
          <w:szCs w:val="24"/>
          <w:lang/>
        </w:rPr>
        <w:t>старший лейтенант податкової міліції;</w:t>
      </w:r>
    </w:p>
    <w:p w14:paraId="5A1BE90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5" w:name="n7903"/>
      <w:bookmarkEnd w:id="9565"/>
      <w:r w:rsidRPr="008B264B">
        <w:rPr>
          <w:rFonts w:ascii="Times New Roman" w:eastAsia="Times New Roman" w:hAnsi="Times New Roman" w:cs="Times New Roman"/>
          <w:color w:val="000000"/>
          <w:sz w:val="24"/>
          <w:szCs w:val="24"/>
          <w:lang/>
        </w:rPr>
        <w:t>лейтенант податкової міліції;</w:t>
      </w:r>
    </w:p>
    <w:p w14:paraId="7BC681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6" w:name="n7904"/>
      <w:bookmarkEnd w:id="9566"/>
      <w:r w:rsidRPr="008B264B">
        <w:rPr>
          <w:rFonts w:ascii="Times New Roman" w:eastAsia="Times New Roman" w:hAnsi="Times New Roman" w:cs="Times New Roman"/>
          <w:color w:val="000000"/>
          <w:sz w:val="24"/>
          <w:szCs w:val="24"/>
          <w:lang/>
        </w:rPr>
        <w:t>353.4.4. молодший начальницький склад:</w:t>
      </w:r>
    </w:p>
    <w:p w14:paraId="09758A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7" w:name="n7905"/>
      <w:bookmarkEnd w:id="9567"/>
      <w:r w:rsidRPr="008B264B">
        <w:rPr>
          <w:rFonts w:ascii="Times New Roman" w:eastAsia="Times New Roman" w:hAnsi="Times New Roman" w:cs="Times New Roman"/>
          <w:color w:val="000000"/>
          <w:sz w:val="24"/>
          <w:szCs w:val="24"/>
          <w:lang/>
        </w:rPr>
        <w:t>старший прапорщик податкової міліції;</w:t>
      </w:r>
    </w:p>
    <w:p w14:paraId="7D493E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8" w:name="n7906"/>
      <w:bookmarkEnd w:id="9568"/>
      <w:r w:rsidRPr="008B264B">
        <w:rPr>
          <w:rFonts w:ascii="Times New Roman" w:eastAsia="Times New Roman" w:hAnsi="Times New Roman" w:cs="Times New Roman"/>
          <w:color w:val="000000"/>
          <w:sz w:val="24"/>
          <w:szCs w:val="24"/>
          <w:lang/>
        </w:rPr>
        <w:t>прапорщик податкової міліції;</w:t>
      </w:r>
    </w:p>
    <w:p w14:paraId="7DDFD6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69" w:name="n7907"/>
      <w:bookmarkEnd w:id="9569"/>
      <w:r w:rsidRPr="008B264B">
        <w:rPr>
          <w:rFonts w:ascii="Times New Roman" w:eastAsia="Times New Roman" w:hAnsi="Times New Roman" w:cs="Times New Roman"/>
          <w:color w:val="000000"/>
          <w:sz w:val="24"/>
          <w:szCs w:val="24"/>
          <w:lang/>
        </w:rPr>
        <w:t>353.4.5. рядовий склад:</w:t>
      </w:r>
    </w:p>
    <w:p w14:paraId="0F2DB2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0" w:name="n7908"/>
      <w:bookmarkEnd w:id="9570"/>
      <w:r w:rsidRPr="008B264B">
        <w:rPr>
          <w:rFonts w:ascii="Times New Roman" w:eastAsia="Times New Roman" w:hAnsi="Times New Roman" w:cs="Times New Roman"/>
          <w:color w:val="000000"/>
          <w:sz w:val="24"/>
          <w:szCs w:val="24"/>
          <w:lang/>
        </w:rPr>
        <w:t>рядовий податкової міліції.</w:t>
      </w:r>
    </w:p>
    <w:p w14:paraId="6733F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1" w:name="n7909"/>
      <w:bookmarkEnd w:id="9571"/>
      <w:r w:rsidRPr="008B264B">
        <w:rPr>
          <w:rFonts w:ascii="Times New Roman" w:eastAsia="Times New Roman" w:hAnsi="Times New Roman" w:cs="Times New Roman"/>
          <w:color w:val="000000"/>
          <w:sz w:val="24"/>
          <w:szCs w:val="24"/>
          <w:lang/>
        </w:rPr>
        <w:t>353.5. Порядок присвоєння спеціальних звань молодшого начальницького та рядового складу податкової міліції визначається центральним органом виконавчої влади, що забезпечує формування та реалізує державну податкову і митну політику.</w:t>
      </w:r>
    </w:p>
    <w:p w14:paraId="50EE55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2" w:name="n7910"/>
      <w:bookmarkEnd w:id="9572"/>
      <w:r w:rsidRPr="008B264B">
        <w:rPr>
          <w:rFonts w:ascii="Times New Roman" w:eastAsia="Times New Roman" w:hAnsi="Times New Roman" w:cs="Times New Roman"/>
          <w:color w:val="000000"/>
          <w:sz w:val="24"/>
          <w:szCs w:val="24"/>
          <w:lang/>
        </w:rPr>
        <w:t>Спеціальні звання старшого і середнього начальницького складу податкової міліції присвоюються в порядку, що визначається Кабінетом Міністрів України.</w:t>
      </w:r>
    </w:p>
    <w:p w14:paraId="624E5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3" w:name="n7911"/>
      <w:bookmarkEnd w:id="9573"/>
      <w:r w:rsidRPr="008B264B">
        <w:rPr>
          <w:rFonts w:ascii="Times New Roman" w:eastAsia="Times New Roman" w:hAnsi="Times New Roman" w:cs="Times New Roman"/>
          <w:color w:val="000000"/>
          <w:sz w:val="24"/>
          <w:szCs w:val="24"/>
          <w:lang/>
        </w:rPr>
        <w:t>Спеціальні звання вищого начальницького складу податкової міліції відповідно до </w:t>
      </w:r>
      <w:hyperlink r:id="rId5259" w:anchor="n1654" w:tgtFrame="_blank" w:history="1">
        <w:r w:rsidRPr="008B264B">
          <w:rPr>
            <w:rFonts w:ascii="Times New Roman" w:eastAsia="Times New Roman" w:hAnsi="Times New Roman" w:cs="Times New Roman"/>
            <w:color w:val="0000FF"/>
            <w:sz w:val="24"/>
            <w:szCs w:val="24"/>
            <w:u w:val="single"/>
            <w:lang/>
          </w:rPr>
          <w:t>Конституції України</w:t>
        </w:r>
      </w:hyperlink>
      <w:r w:rsidRPr="008B264B">
        <w:rPr>
          <w:rFonts w:ascii="Times New Roman" w:eastAsia="Times New Roman" w:hAnsi="Times New Roman" w:cs="Times New Roman"/>
          <w:color w:val="000000"/>
          <w:sz w:val="24"/>
          <w:szCs w:val="24"/>
          <w:lang/>
        </w:rPr>
        <w:t> присвоює Президент України за поданням керівника центрального органу виконавчої влади, що забезпечує формування та реалізує державну податкову і митну політику.</w:t>
      </w:r>
    </w:p>
    <w:p w14:paraId="7270A4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4" w:name="n7912"/>
      <w:bookmarkEnd w:id="9574"/>
      <w:r w:rsidRPr="008B264B">
        <w:rPr>
          <w:rFonts w:ascii="Times New Roman" w:eastAsia="Times New Roman" w:hAnsi="Times New Roman" w:cs="Times New Roman"/>
          <w:color w:val="000000"/>
          <w:sz w:val="24"/>
          <w:szCs w:val="24"/>
          <w:lang/>
        </w:rPr>
        <w:t>353.6. Особи начальницького і рядового складу податкової міліції мають формений одяг та знаки розрізнення і забезпечуються ними безкоштовно.</w:t>
      </w:r>
    </w:p>
    <w:p w14:paraId="6653D4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5" w:name="n7913"/>
      <w:bookmarkEnd w:id="9575"/>
      <w:r w:rsidRPr="008B264B">
        <w:rPr>
          <w:rFonts w:ascii="Times New Roman" w:eastAsia="Times New Roman" w:hAnsi="Times New Roman" w:cs="Times New Roman"/>
          <w:color w:val="000000"/>
          <w:sz w:val="24"/>
          <w:szCs w:val="24"/>
          <w:lang/>
        </w:rPr>
        <w:t>Опис та зразки форменого одягу, знаків розрізнення начальницького і рядового складу податкової міліції затверджуються Кабінетом Міністрів України.</w:t>
      </w:r>
    </w:p>
    <w:p w14:paraId="3917C3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6" w:name="n7914"/>
      <w:bookmarkEnd w:id="9576"/>
      <w:r w:rsidRPr="008B264B">
        <w:rPr>
          <w:rFonts w:ascii="Times New Roman" w:eastAsia="Times New Roman" w:hAnsi="Times New Roman" w:cs="Times New Roman"/>
          <w:color w:val="000000"/>
          <w:sz w:val="24"/>
          <w:szCs w:val="24"/>
          <w:lang/>
        </w:rPr>
        <w:t>353.7. На посадових і службових осіб податкової міліції поширюються вимоги та обмеження, встановлені </w:t>
      </w:r>
      <w:hyperlink r:id="rId5260" w:anchor="n3" w:tgtFrame="_blank" w:history="1">
        <w:r w:rsidRPr="008B264B">
          <w:rPr>
            <w:rFonts w:ascii="Times New Roman" w:eastAsia="Times New Roman" w:hAnsi="Times New Roman" w:cs="Times New Roman"/>
            <w:color w:val="0000FF"/>
            <w:sz w:val="24"/>
            <w:szCs w:val="24"/>
            <w:u w:val="single"/>
            <w:lang/>
          </w:rPr>
          <w:t>Законом України "Про засади запобігання і протидії корупції"</w:t>
        </w:r>
      </w:hyperlink>
      <w:r w:rsidRPr="008B264B">
        <w:rPr>
          <w:rFonts w:ascii="Times New Roman" w:eastAsia="Times New Roman" w:hAnsi="Times New Roman" w:cs="Times New Roman"/>
          <w:color w:val="000000"/>
          <w:sz w:val="24"/>
          <w:szCs w:val="24"/>
          <w:lang/>
        </w:rPr>
        <w:t>.</w:t>
      </w:r>
    </w:p>
    <w:p w14:paraId="5FB67E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7" w:name="n7915"/>
      <w:bookmarkEnd w:id="9577"/>
      <w:r w:rsidRPr="008B264B">
        <w:rPr>
          <w:rFonts w:ascii="Times New Roman" w:eastAsia="Times New Roman" w:hAnsi="Times New Roman" w:cs="Times New Roman"/>
          <w:b/>
          <w:bCs/>
          <w:color w:val="000000"/>
          <w:sz w:val="24"/>
          <w:szCs w:val="24"/>
          <w:lang/>
        </w:rPr>
        <w:t>Стаття 354.</w:t>
      </w:r>
      <w:r w:rsidRPr="008B264B">
        <w:rPr>
          <w:rFonts w:ascii="Times New Roman" w:eastAsia="Times New Roman" w:hAnsi="Times New Roman" w:cs="Times New Roman"/>
          <w:color w:val="000000"/>
          <w:sz w:val="24"/>
          <w:szCs w:val="24"/>
          <w:lang/>
        </w:rPr>
        <w:t> Заохочення та відповідальність посадових і службових осіб податкової міліції</w:t>
      </w:r>
    </w:p>
    <w:p w14:paraId="772477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8" w:name="n7916"/>
      <w:bookmarkEnd w:id="9578"/>
      <w:r w:rsidRPr="008B264B">
        <w:rPr>
          <w:rFonts w:ascii="Times New Roman" w:eastAsia="Times New Roman" w:hAnsi="Times New Roman" w:cs="Times New Roman"/>
          <w:color w:val="000000"/>
          <w:sz w:val="24"/>
          <w:szCs w:val="24"/>
          <w:lang/>
        </w:rPr>
        <w:t>354.1. Посадова чи службова особа податкової міліції у межах повноважень, наданих цим Кодексом та іншими законами, самостійно приймає рішення і несе за свої протиправні дії або бездіяльність дисциплінарну відповідальність згідно із Дисциплінарним статутом органів внутрішніх справ або іншу передбачену законом відповідальність.</w:t>
      </w:r>
    </w:p>
    <w:p w14:paraId="4D0EE5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79" w:name="n7917"/>
      <w:bookmarkEnd w:id="9579"/>
      <w:r w:rsidRPr="008B264B">
        <w:rPr>
          <w:rFonts w:ascii="Times New Roman" w:eastAsia="Times New Roman" w:hAnsi="Times New Roman" w:cs="Times New Roman"/>
          <w:color w:val="000000"/>
          <w:sz w:val="24"/>
          <w:szCs w:val="24"/>
          <w:lang/>
        </w:rPr>
        <w:t>354.2. У разі порушення посадовою чи службовою особою податкової міліції прав і законних інтересів громадянина відповідний контролюючий орган зобов’язаний вжити заходів до поновлення цих прав, відшкодування завданих матеріальних збитків та на вимогу громадянина публічно вибачитися.</w:t>
      </w:r>
    </w:p>
    <w:p w14:paraId="4F8C58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0" w:name="n7918"/>
      <w:bookmarkEnd w:id="9580"/>
      <w:r w:rsidRPr="008B264B">
        <w:rPr>
          <w:rFonts w:ascii="Times New Roman" w:eastAsia="Times New Roman" w:hAnsi="Times New Roman" w:cs="Times New Roman"/>
          <w:color w:val="000000"/>
          <w:sz w:val="24"/>
          <w:szCs w:val="24"/>
          <w:lang/>
        </w:rPr>
        <w:t>354.3. Посадова чи службова особа податкової міліції, яка виконує свої обов’язки відповідно до наданих законом повноважень та у межах закону, не несе відповідальності за завдані збитки. Такі збитки компенсуються за рахунок держави.</w:t>
      </w:r>
    </w:p>
    <w:p w14:paraId="563AB8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1" w:name="n7919"/>
      <w:bookmarkEnd w:id="9581"/>
      <w:r w:rsidRPr="008B264B">
        <w:rPr>
          <w:rFonts w:ascii="Times New Roman" w:eastAsia="Times New Roman" w:hAnsi="Times New Roman" w:cs="Times New Roman"/>
          <w:color w:val="000000"/>
          <w:sz w:val="24"/>
          <w:szCs w:val="24"/>
          <w:lang/>
        </w:rPr>
        <w:t>354.4. Посадова чи службова особа податкової міліції, яка порушила вимоги закону або неналежно виконує свої обов’язки, несе відповідальність у встановленому законом порядку.</w:t>
      </w:r>
    </w:p>
    <w:p w14:paraId="25C713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2" w:name="n7920"/>
      <w:bookmarkEnd w:id="9582"/>
      <w:r w:rsidRPr="008B264B">
        <w:rPr>
          <w:rFonts w:ascii="Times New Roman" w:eastAsia="Times New Roman" w:hAnsi="Times New Roman" w:cs="Times New Roman"/>
          <w:color w:val="000000"/>
          <w:sz w:val="24"/>
          <w:szCs w:val="24"/>
          <w:lang/>
        </w:rPr>
        <w:t>354.5. Дії або рішення податкової міліції, її посадових та службових осіб можуть бути оскаржені у встановленому законом порядку до суду чи прокуратури.</w:t>
      </w:r>
    </w:p>
    <w:p w14:paraId="613E2F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3" w:name="n7921"/>
      <w:bookmarkEnd w:id="9583"/>
      <w:r w:rsidRPr="008B264B">
        <w:rPr>
          <w:rFonts w:ascii="Times New Roman" w:eastAsia="Times New Roman" w:hAnsi="Times New Roman" w:cs="Times New Roman"/>
          <w:color w:val="000000"/>
          <w:sz w:val="24"/>
          <w:szCs w:val="24"/>
          <w:lang/>
        </w:rPr>
        <w:lastRenderedPageBreak/>
        <w:t>354.6. До посадових чи службових осіб податкової міліції можуть застосовуватися заходи заохочення згідно з Дисциплінарним статутом органів внутрішніх справ або іншими нормативно-правовими актами керівником центрального органу виконавчої влади, що забезпечує формування та реалізує державну податкову і митну політику, та керівниками контролюючих органів в Автономній Республіці Крим, містах Києві та Севастополі, областях, округах.</w:t>
      </w:r>
    </w:p>
    <w:p w14:paraId="29B1FA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4" w:name="n7922"/>
      <w:bookmarkEnd w:id="9584"/>
      <w:r w:rsidRPr="008B264B">
        <w:rPr>
          <w:rFonts w:ascii="Times New Roman" w:eastAsia="Times New Roman" w:hAnsi="Times New Roman" w:cs="Times New Roman"/>
          <w:color w:val="000000"/>
          <w:sz w:val="24"/>
          <w:szCs w:val="24"/>
          <w:lang/>
        </w:rPr>
        <w:t>354.7. Посадова чи службова особа податкової міліції, яка повідомила про порушення вимог </w:t>
      </w:r>
      <w:hyperlink r:id="rId5261" w:anchor="n3" w:tgtFrame="_blank" w:history="1">
        <w:r w:rsidRPr="008B264B">
          <w:rPr>
            <w:rFonts w:ascii="Times New Roman" w:eastAsia="Times New Roman" w:hAnsi="Times New Roman" w:cs="Times New Roman"/>
            <w:color w:val="0000FF"/>
            <w:sz w:val="24"/>
            <w:szCs w:val="24"/>
            <w:u w:val="single"/>
            <w:lang/>
          </w:rPr>
          <w:t>Закону України "Про засади запобігання і протидії корупції"</w:t>
        </w:r>
      </w:hyperlink>
      <w:r w:rsidRPr="008B264B">
        <w:rPr>
          <w:rFonts w:ascii="Times New Roman" w:eastAsia="Times New Roman" w:hAnsi="Times New Roman" w:cs="Times New Roman"/>
          <w:color w:val="000000"/>
          <w:sz w:val="24"/>
          <w:szCs w:val="24"/>
          <w:lang/>
        </w:rPr>
        <w:t> іншою посадовою чи службовою особою, не може бути звільнена з роботи чи змушена до звільнення або притягнута до дисциплінарної відповідальності у зв’язку з таким повідомленням.</w:t>
      </w:r>
    </w:p>
    <w:p w14:paraId="2BE8A8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5" w:name="n7923"/>
      <w:bookmarkEnd w:id="9585"/>
      <w:r w:rsidRPr="008B264B">
        <w:rPr>
          <w:rFonts w:ascii="Times New Roman" w:eastAsia="Times New Roman" w:hAnsi="Times New Roman" w:cs="Times New Roman"/>
          <w:color w:val="000000"/>
          <w:sz w:val="24"/>
          <w:szCs w:val="24"/>
          <w:lang/>
        </w:rPr>
        <w:t>Рішення про звільнення або притягнення до дисциплінарної відповідальності такої особи оскаржується в установленому законом порядку.</w:t>
      </w:r>
    </w:p>
    <w:p w14:paraId="17A3E1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6" w:name="n7924"/>
      <w:bookmarkEnd w:id="9586"/>
      <w:r w:rsidRPr="008B264B">
        <w:rPr>
          <w:rFonts w:ascii="Times New Roman" w:eastAsia="Times New Roman" w:hAnsi="Times New Roman" w:cs="Times New Roman"/>
          <w:b/>
          <w:bCs/>
          <w:color w:val="000000"/>
          <w:sz w:val="24"/>
          <w:szCs w:val="24"/>
          <w:lang/>
        </w:rPr>
        <w:t>Стаття 355.</w:t>
      </w:r>
      <w:r w:rsidRPr="008B264B">
        <w:rPr>
          <w:rFonts w:ascii="Times New Roman" w:eastAsia="Times New Roman" w:hAnsi="Times New Roman" w:cs="Times New Roman"/>
          <w:color w:val="000000"/>
          <w:sz w:val="24"/>
          <w:szCs w:val="24"/>
          <w:lang/>
        </w:rPr>
        <w:t> Врегулювання конфлікту інтересів</w:t>
      </w:r>
    </w:p>
    <w:p w14:paraId="050958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7" w:name="n7925"/>
      <w:bookmarkEnd w:id="9587"/>
      <w:r w:rsidRPr="008B264B">
        <w:rPr>
          <w:rFonts w:ascii="Times New Roman" w:eastAsia="Times New Roman" w:hAnsi="Times New Roman" w:cs="Times New Roman"/>
          <w:color w:val="000000"/>
          <w:sz w:val="24"/>
          <w:szCs w:val="24"/>
          <w:lang/>
        </w:rPr>
        <w:t>355.1. У разі виникнення конфлікту інтересів під час виконання службових повноважень посадова чи службова особа податкової міліції зобов’язана негайно доповісти про це своєму безпосередньому керівникові. Безпосередній керівник посадової особи чи службової особи податкової міліції зобов’язаний вжити всіх необхідних заходів, спрямованих на запобігання конфлікту інтересів, шляхом доручення виконання відповідного службового завдання іншій посадовій особі, особистого виконання службового завдання чи в інший спосіб, передбачений законодавством.</w:t>
      </w:r>
    </w:p>
    <w:p w14:paraId="5296A9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8" w:name="n7926"/>
      <w:bookmarkEnd w:id="9588"/>
      <w:r w:rsidRPr="008B264B">
        <w:rPr>
          <w:rFonts w:ascii="Times New Roman" w:eastAsia="Times New Roman" w:hAnsi="Times New Roman" w:cs="Times New Roman"/>
          <w:b/>
          <w:bCs/>
          <w:color w:val="000000"/>
          <w:sz w:val="24"/>
          <w:szCs w:val="24"/>
          <w:lang/>
        </w:rPr>
        <w:t>Стаття 356.</w:t>
      </w:r>
      <w:r w:rsidRPr="008B264B">
        <w:rPr>
          <w:rFonts w:ascii="Times New Roman" w:eastAsia="Times New Roman" w:hAnsi="Times New Roman" w:cs="Times New Roman"/>
          <w:color w:val="000000"/>
          <w:sz w:val="24"/>
          <w:szCs w:val="24"/>
          <w:lang/>
        </w:rPr>
        <w:t> Правовий та соціальний захист осіб начальницького і рядового складу податкової міліції</w:t>
      </w:r>
    </w:p>
    <w:p w14:paraId="78EAFD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89" w:name="n7927"/>
      <w:bookmarkEnd w:id="9589"/>
      <w:r w:rsidRPr="008B264B">
        <w:rPr>
          <w:rFonts w:ascii="Times New Roman" w:eastAsia="Times New Roman" w:hAnsi="Times New Roman" w:cs="Times New Roman"/>
          <w:color w:val="000000"/>
          <w:sz w:val="24"/>
          <w:szCs w:val="24"/>
          <w:lang/>
        </w:rPr>
        <w:t>356.1. Держава гарантує правовий та соціальний захист осіб начальницького і рядового складу податкової міліції та членів їхніх сімей. На них поширюються гарантії соціального і правового захисту, передбачені статтями 20-23 </w:t>
      </w:r>
      <w:hyperlink r:id="rId5262" w:tgtFrame="_blank" w:history="1">
        <w:r w:rsidRPr="008B264B">
          <w:rPr>
            <w:rFonts w:ascii="Times New Roman" w:eastAsia="Times New Roman" w:hAnsi="Times New Roman" w:cs="Times New Roman"/>
            <w:color w:val="0000FF"/>
            <w:sz w:val="24"/>
            <w:szCs w:val="24"/>
            <w:u w:val="single"/>
            <w:lang/>
          </w:rPr>
          <w:t>Закону України "Про міліцію"</w:t>
        </w:r>
      </w:hyperlink>
      <w:r w:rsidRPr="008B264B">
        <w:rPr>
          <w:rFonts w:ascii="Times New Roman" w:eastAsia="Times New Roman" w:hAnsi="Times New Roman" w:cs="Times New Roman"/>
          <w:color w:val="000000"/>
          <w:sz w:val="24"/>
          <w:szCs w:val="24"/>
          <w:lang/>
        </w:rPr>
        <w:t> та </w:t>
      </w:r>
      <w:hyperlink r:id="rId5263" w:tgtFrame="_blank" w:history="1">
        <w:r w:rsidRPr="008B264B">
          <w:rPr>
            <w:rFonts w:ascii="Times New Roman" w:eastAsia="Times New Roman" w:hAnsi="Times New Roman" w:cs="Times New Roman"/>
            <w:color w:val="0000FF"/>
            <w:sz w:val="24"/>
            <w:szCs w:val="24"/>
            <w:u w:val="single"/>
            <w:lang/>
          </w:rPr>
          <w:t>Законом України "Про статус ветеранів військової служби, ветеранів органів внутрішніх справ і деяких інших осіб та їх соціальний захист"</w:t>
        </w:r>
      </w:hyperlink>
      <w:r w:rsidRPr="008B264B">
        <w:rPr>
          <w:rFonts w:ascii="Times New Roman" w:eastAsia="Times New Roman" w:hAnsi="Times New Roman" w:cs="Times New Roman"/>
          <w:color w:val="000000"/>
          <w:sz w:val="24"/>
          <w:szCs w:val="24"/>
          <w:lang/>
        </w:rPr>
        <w:t>.</w:t>
      </w:r>
    </w:p>
    <w:p w14:paraId="6A1530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0" w:name="n8876"/>
      <w:bookmarkEnd w:id="9590"/>
      <w:r w:rsidRPr="008B264B">
        <w:rPr>
          <w:rFonts w:ascii="Times New Roman" w:eastAsia="Times New Roman" w:hAnsi="Times New Roman" w:cs="Times New Roman"/>
          <w:color w:val="000000"/>
          <w:sz w:val="24"/>
          <w:szCs w:val="24"/>
          <w:lang/>
        </w:rPr>
        <w:t>356.2. Державний нагляд за охороною праці осіб начальницького і рядового складу податкової міліції здійснюється самостійними органами державного нагляду за охороною праці податкової міліції.</w:t>
      </w:r>
    </w:p>
    <w:p w14:paraId="49E033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1" w:name="n8875"/>
      <w:bookmarkEnd w:id="9591"/>
      <w:r w:rsidRPr="008B264B">
        <w:rPr>
          <w:rFonts w:ascii="Times New Roman" w:eastAsia="Times New Roman" w:hAnsi="Times New Roman" w:cs="Times New Roman"/>
          <w:i/>
          <w:iCs/>
          <w:color w:val="000000"/>
          <w:sz w:val="24"/>
          <w:szCs w:val="24"/>
          <w:lang/>
        </w:rPr>
        <w:t>{Статтю 356 доповнено пунктом 356.2 згідно із Законом </w:t>
      </w:r>
      <w:hyperlink r:id="rId5264" w:anchor="n252"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39233B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2" w:name="n7928"/>
      <w:bookmarkEnd w:id="9592"/>
      <w:r w:rsidRPr="008B264B">
        <w:rPr>
          <w:rFonts w:ascii="Times New Roman" w:eastAsia="Times New Roman" w:hAnsi="Times New Roman" w:cs="Times New Roman"/>
          <w:b/>
          <w:bCs/>
          <w:color w:val="000000"/>
          <w:sz w:val="24"/>
          <w:szCs w:val="24"/>
          <w:lang/>
        </w:rPr>
        <w:t>Стаття 357.</w:t>
      </w:r>
      <w:r w:rsidRPr="008B264B">
        <w:rPr>
          <w:rFonts w:ascii="Times New Roman" w:eastAsia="Times New Roman" w:hAnsi="Times New Roman" w:cs="Times New Roman"/>
          <w:color w:val="000000"/>
          <w:sz w:val="24"/>
          <w:szCs w:val="24"/>
          <w:lang/>
        </w:rPr>
        <w:t> Матеріальне та соціально-побутове забезпечення осіб начальницького і рядового складу податкової міліції</w:t>
      </w:r>
    </w:p>
    <w:p w14:paraId="17AFF8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3" w:name="n7929"/>
      <w:bookmarkEnd w:id="9593"/>
      <w:r w:rsidRPr="008B264B">
        <w:rPr>
          <w:rFonts w:ascii="Times New Roman" w:eastAsia="Times New Roman" w:hAnsi="Times New Roman" w:cs="Times New Roman"/>
          <w:color w:val="000000"/>
          <w:sz w:val="24"/>
          <w:szCs w:val="24"/>
          <w:lang/>
        </w:rPr>
        <w:t>357.1. Форми та розмір матеріального забезпечення осіб начальницького і рядового складу податкової міліції, включаючи грошове утримання, встановлюються Кабінетом Міністрів України.</w:t>
      </w:r>
    </w:p>
    <w:p w14:paraId="54E77D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4" w:name="n7930"/>
      <w:bookmarkEnd w:id="9594"/>
      <w:r w:rsidRPr="008B264B">
        <w:rPr>
          <w:rFonts w:ascii="Times New Roman" w:eastAsia="Times New Roman" w:hAnsi="Times New Roman" w:cs="Times New Roman"/>
          <w:color w:val="000000"/>
          <w:sz w:val="24"/>
          <w:szCs w:val="24"/>
          <w:lang/>
        </w:rPr>
        <w:t>357.2. Пенсійне забезпечення осіб начальницького складу податкової міліції здійснюється у порядку, встановленому законом для осіб начальницького складу органів внутрішніх справ.</w:t>
      </w:r>
    </w:p>
    <w:p w14:paraId="4FB438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5" w:name="n7931"/>
      <w:bookmarkEnd w:id="9595"/>
      <w:r w:rsidRPr="008B264B">
        <w:rPr>
          <w:rFonts w:ascii="Times New Roman" w:eastAsia="Times New Roman" w:hAnsi="Times New Roman" w:cs="Times New Roman"/>
          <w:i/>
          <w:iCs/>
          <w:color w:val="000000"/>
          <w:sz w:val="24"/>
          <w:szCs w:val="24"/>
          <w:lang/>
        </w:rPr>
        <w:t>{Кодекс доповнено розділом XVIII</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5265" w:anchor="n361"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FF21B5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596" w:name="n7932"/>
      <w:bookmarkEnd w:id="9596"/>
      <w:r w:rsidRPr="008B264B">
        <w:rPr>
          <w:rFonts w:ascii="Times New Roman" w:eastAsia="Times New Roman" w:hAnsi="Times New Roman" w:cs="Times New Roman"/>
          <w:b/>
          <w:bCs/>
          <w:color w:val="000000"/>
          <w:sz w:val="28"/>
          <w:szCs w:val="28"/>
          <w:lang/>
        </w:rPr>
        <w:t>РОЗДІЛ XIX. ПРИКІНЦЕВІ ПОЛОЖЕННЯ</w:t>
      </w:r>
    </w:p>
    <w:p w14:paraId="160F4F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597" w:name="n7933"/>
      <w:bookmarkEnd w:id="9597"/>
      <w:r w:rsidRPr="008B264B">
        <w:rPr>
          <w:rFonts w:ascii="Times New Roman" w:eastAsia="Times New Roman" w:hAnsi="Times New Roman" w:cs="Times New Roman"/>
          <w:color w:val="000000"/>
          <w:sz w:val="24"/>
          <w:szCs w:val="24"/>
          <w:lang/>
        </w:rPr>
        <w:t>1. Цей Кодекс набирає чинності з 1 січня 2011 року, крім:</w:t>
      </w:r>
    </w:p>
    <w:bookmarkStart w:id="9598" w:name="n7934"/>
    <w:bookmarkEnd w:id="9598"/>
    <w:p w14:paraId="6476BB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"n895"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підпункту 20.1.15.2</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пункту 20.1 статті 20 цього Кодексу, який набирає чинності з 1 січня 2015 року;</w:t>
      </w:r>
    </w:p>
    <w:bookmarkStart w:id="9599" w:name="n7935"/>
    <w:bookmarkEnd w:id="9599"/>
    <w:p w14:paraId="39FB7A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"n1031"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статті 39</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цього Кодексу, яка набирає чинності з 1 січня 2013 року;</w:t>
      </w:r>
    </w:p>
    <w:bookmarkStart w:id="9600" w:name="n7936"/>
    <w:bookmarkEnd w:id="9600"/>
    <w:p w14:paraId="7F8E7C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"n1150"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абзацу третього пункту 46.2</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статті 46, який набирає чинності з 1 січня 2013 року;</w:t>
      </w:r>
    </w:p>
    <w:p w14:paraId="185DBA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1" w:name="n7937"/>
      <w:bookmarkEnd w:id="9601"/>
      <w:r w:rsidRPr="008B264B">
        <w:rPr>
          <w:rFonts w:ascii="Times New Roman" w:eastAsia="Times New Roman" w:hAnsi="Times New Roman" w:cs="Times New Roman"/>
          <w:i/>
          <w:iCs/>
          <w:color w:val="000000"/>
          <w:sz w:val="24"/>
          <w:szCs w:val="24"/>
          <w:lang/>
        </w:rPr>
        <w:lastRenderedPageBreak/>
        <w:t>{Абзац четвертий пункту 1 розділу XIX із змінами, внесеними згідно із Законом </w:t>
      </w:r>
      <w:hyperlink r:id="rId526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bookmarkStart w:id="9602" w:name="n7938"/>
    <w:bookmarkEnd w:id="9602"/>
    <w:p w14:paraId="5EBBEF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"n2502"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розділу III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цього Кодексу, який набирає чинності з 1 квітня 2011 року;</w:t>
      </w:r>
    </w:p>
    <w:p w14:paraId="6AE929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3" w:name="n7939"/>
      <w:bookmarkEnd w:id="9603"/>
      <w:r w:rsidRPr="008B264B">
        <w:rPr>
          <w:rFonts w:ascii="Times New Roman" w:eastAsia="Times New Roman" w:hAnsi="Times New Roman" w:cs="Times New Roman"/>
          <w:i/>
          <w:iCs/>
          <w:color w:val="000000"/>
          <w:sz w:val="24"/>
          <w:szCs w:val="24"/>
          <w:lang/>
        </w:rPr>
        <w:t>{Абзац шостий пункту 1 розділу XIX виключено на підставі Закону </w:t>
      </w:r>
      <w:hyperlink r:id="rId5267" w:anchor="n277"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bookmarkStart w:id="9604" w:name="n7940"/>
    <w:bookmarkEnd w:id="9604"/>
    <w:p w14:paraId="0DFC79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"n3827"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підпункту 166.3.4</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пункту 166.3 статті 166 цього Кодексу, який набирає чинності з 1 січня року, наступного за роком, у якому набере чинності закон про загальнообов'язкове державне соціальне медичне страхування;</w:t>
      </w:r>
    </w:p>
    <w:p w14:paraId="29DB30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5" w:name="n7941"/>
      <w:bookmarkEnd w:id="9605"/>
      <w:r w:rsidRPr="008B264B">
        <w:rPr>
          <w:rFonts w:ascii="Times New Roman" w:eastAsia="Times New Roman" w:hAnsi="Times New Roman" w:cs="Times New Roman"/>
          <w:i/>
          <w:iCs/>
          <w:color w:val="000000"/>
          <w:sz w:val="24"/>
          <w:szCs w:val="24"/>
          <w:lang/>
        </w:rPr>
        <w:t>{Абзац пункту 1 розділу XIX виключено на підставі Закону </w:t>
      </w:r>
      <w:hyperlink r:id="rId5268" w:anchor="n659"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bookmarkStart w:id="9606" w:name="n7942"/>
    <w:bookmarkEnd w:id="9606"/>
    <w:p w14:paraId="58DEBB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"https://zakon.rada.gov.ua/laws/show/2755-17/print" \l "n6341"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статті 265</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цього Кодексу, яка набирає чинності з 1 січня 2013 року;</w:t>
      </w:r>
    </w:p>
    <w:p w14:paraId="73DCD2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7" w:name="n7943"/>
      <w:bookmarkEnd w:id="9607"/>
      <w:r w:rsidRPr="008B264B">
        <w:rPr>
          <w:rFonts w:ascii="Times New Roman" w:eastAsia="Times New Roman" w:hAnsi="Times New Roman" w:cs="Times New Roman"/>
          <w:i/>
          <w:iCs/>
          <w:color w:val="000000"/>
          <w:sz w:val="24"/>
          <w:szCs w:val="24"/>
          <w:lang/>
        </w:rPr>
        <w:t>{Абзац дев'ятий пункту 1 розділу XIX із змінами, внесеними згідно із Законами </w:t>
      </w:r>
      <w:hyperlink r:id="rId526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5270" w:anchor="n47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97CFE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8" w:name="n7944"/>
      <w:bookmarkEnd w:id="9608"/>
      <w:r w:rsidRPr="008B264B">
        <w:rPr>
          <w:rFonts w:ascii="Times New Roman" w:eastAsia="Times New Roman" w:hAnsi="Times New Roman" w:cs="Times New Roman"/>
          <w:i/>
          <w:iCs/>
          <w:color w:val="000000"/>
          <w:sz w:val="24"/>
          <w:szCs w:val="24"/>
          <w:lang/>
        </w:rPr>
        <w:t>{Абзац десятий пункту 1 розділу XIX виключено на підставі Закону </w:t>
      </w:r>
      <w:hyperlink r:id="rId5271" w:anchor="n167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B426A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09" w:name="n7945"/>
      <w:bookmarkEnd w:id="9609"/>
      <w:r w:rsidRPr="008B264B">
        <w:rPr>
          <w:rFonts w:ascii="Times New Roman" w:eastAsia="Times New Roman" w:hAnsi="Times New Roman" w:cs="Times New Roman"/>
          <w:color w:val="000000"/>
          <w:sz w:val="24"/>
          <w:szCs w:val="24"/>
          <w:lang/>
        </w:rPr>
        <w:t>2. Визнати такими, що втратили чинність:</w:t>
      </w:r>
    </w:p>
    <w:p w14:paraId="4E09A5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10" w:name="n7946"/>
      <w:bookmarkEnd w:id="9610"/>
      <w:r w:rsidRPr="008B264B">
        <w:rPr>
          <w:rFonts w:ascii="Times New Roman" w:eastAsia="Times New Roman" w:hAnsi="Times New Roman" w:cs="Times New Roman"/>
          <w:color w:val="000000"/>
          <w:sz w:val="24"/>
          <w:szCs w:val="24"/>
          <w:lang/>
        </w:rPr>
        <w:t>1) з 1 січня 2011 року:</w:t>
      </w:r>
    </w:p>
    <w:bookmarkStart w:id="9611" w:name="n7947"/>
    <w:bookmarkEnd w:id="9611"/>
    <w:p w14:paraId="630CDF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"https://zakon.rada.gov.ua/laws/show/1996-12"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акцизний збір"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1992 р., № 12, ст. 172);</w:t>
      </w:r>
    </w:p>
    <w:bookmarkStart w:id="9612" w:name="n7948"/>
    <w:bookmarkEnd w:id="9612"/>
    <w:p w14:paraId="7FD7AE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"https://zakon.rada.gov.ua/laws/show/320/94-%D0%B2%D1%80"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Державний реєстр фізичних осіб - платників податків та інших обов'язкових платежів"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1995 р., № 2, ст. 10; 1999 р., № 41, ст. 374; 2003 р., № 23, ст. 149);</w:t>
      </w:r>
    </w:p>
    <w:bookmarkStart w:id="9613" w:name="n7949"/>
    <w:bookmarkEnd w:id="9613"/>
    <w:p w14:paraId="105F9D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"https://zakon.rada.gov.ua/laws/show/329/95-%D0%B2%D1%80"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акцизний збір на алкогольні напої та тютюнові вироби"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1995 р., № 40, ст. 297 із наступними змінами);</w:t>
      </w:r>
    </w:p>
    <w:bookmarkStart w:id="9614" w:name="n7950"/>
    <w:bookmarkEnd w:id="9614"/>
    <w:p w14:paraId="3F2C45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"https://zakon.rada.gov.ua/laws/show/98/96-%D0%B2%D1%80"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патентування деяких видів підприємницької діяльності"</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1996 р., № 20, ст. 82 із наступними змінами);</w:t>
      </w:r>
    </w:p>
    <w:bookmarkStart w:id="9615" w:name="n7951"/>
    <w:bookmarkEnd w:id="9615"/>
    <w:p w14:paraId="206F3A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"https://zakon.rada.gov.ua/laws/show/216/96-%D0%B2%D1%80"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ставки акцизного збору на деякі транспортні засоби та кузови до них"</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1996 р., № 32, ст. 151; 1997 р., № 34, ст. 212; 1999 р., № 52, ст. 464; 2001 р., № 4, ст. 16; 2005 р., NN 17-19, ст. 267; 2007 р., № 3, ст. 31; 2009 р., № 18, ст. 246);</w:t>
      </w:r>
    </w:p>
    <w:bookmarkStart w:id="9616" w:name="n7952"/>
    <w:bookmarkEnd w:id="9616"/>
    <w:p w14:paraId="662C3E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"https://zakon.rada.gov.ua/laws/show/313/96-%D0%B2%D1%80"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ставки акцизного збору і ввізного мита на деякі товари (продукцію)"</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1996 р., № 42, ст. 201 із наступними змінами);</w:t>
      </w:r>
    </w:p>
    <w:bookmarkStart w:id="9617" w:name="n7953"/>
    <w:bookmarkEnd w:id="9617"/>
    <w:p w14:paraId="4A5700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"https://zakon.rada.gov.ua/laws/show/2535-12"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плату за землю"</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1992 р., № 38, ст. 360 із наступними змінами);</w:t>
      </w:r>
    </w:p>
    <w:bookmarkStart w:id="9618" w:name="n7954"/>
    <w:bookmarkEnd w:id="9618"/>
    <w:p w14:paraId="06C3A9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"https://zakon.rada.gov.ua/laws/show/1251-12"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систему оподаткування"</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1991 р., № 39, ст. 510 із наступними змінами);</w:t>
      </w:r>
    </w:p>
    <w:bookmarkStart w:id="9619" w:name="n7955"/>
    <w:bookmarkEnd w:id="9619"/>
    <w:p w14:paraId="1B4B5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"https://zakon.rada.gov.ua/laws/show/168/97-%D0%B2%D1%80"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податок на додану вартість"</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1997 р., № 21, ст. 156 із наступними змінами);</w:t>
      </w:r>
    </w:p>
    <w:bookmarkStart w:id="9620" w:name="n7956"/>
    <w:bookmarkEnd w:id="9620"/>
    <w:p w14:paraId="356AF4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"https://zakon.rada.gov.ua/laws/show/320-14"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фіксований сільськогосподарський податок"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1999 р., № 5-6, ст. 39 із наступними змінами);</w:t>
      </w:r>
    </w:p>
    <w:bookmarkStart w:id="9621" w:name="n7957"/>
    <w:bookmarkEnd w:id="9621"/>
    <w:p w14:paraId="633277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"https://zakon.rada.gov.ua/laws/show/30/96-%D0%B2%D1%80"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ставки акцизного збору на тютюнові вироби"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1996 р., № 8, ст. 32 із наступними змінами);</w:t>
      </w:r>
    </w:p>
    <w:bookmarkStart w:id="9622" w:name="n7958"/>
    <w:bookmarkEnd w:id="9622"/>
    <w:p w14:paraId="222592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"https://zakon.rada.gov.ua/laws/show/1375-14"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економічний експеримент щодо стабілізації роботи підприємств легкої та деревообробної промисловості Чернівецької області"</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2000 р., № 10, ст. 78);</w:t>
      </w:r>
    </w:p>
    <w:bookmarkStart w:id="9623" w:name="n7959"/>
    <w:bookmarkEnd w:id="9623"/>
    <w:p w14:paraId="16664F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lastRenderedPageBreak/>
        <w:fldChar w:fldCharType="begin"/>
      </w:r>
      <w:r w:rsidRPr="008B264B">
        <w:rPr>
          <w:rFonts w:ascii="Times New Roman" w:eastAsia="Times New Roman" w:hAnsi="Times New Roman" w:cs="Times New Roman"/>
          <w:color w:val="000000"/>
          <w:sz w:val="24"/>
          <w:szCs w:val="24"/>
          <w:lang/>
        </w:rPr>
        <w:instrText xml:space="preserve"> HYPERLINK "https://zakon.rada.gov.ua/laws/show/178/96-%D0%B2%D1%80"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ставки акцизного збору на спирт етиловий та алкогольні напої"</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2000 р., № 23, ст. 180 із наступними змінами);</w:t>
      </w:r>
    </w:p>
    <w:bookmarkStart w:id="9624" w:name="n7960"/>
    <w:bookmarkEnd w:id="9624"/>
    <w:p w14:paraId="6DF352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"https://zakon.rada.gov.ua/laws/show/2181-14"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порядок погашення зобов'язань платників податків перед бюджетами та державними цільовими фондами"</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2001 р., № 10, ст. 44 із наступними змінами);</w:t>
      </w:r>
    </w:p>
    <w:bookmarkStart w:id="9625" w:name="n7961"/>
    <w:bookmarkEnd w:id="9625"/>
    <w:p w14:paraId="2ABA96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"https://zakon.rada.gov.ua/laws/show/889-15"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податок з доходів фізичних осіб"</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2003 р., № 37, ст. 308 із наступними змінами);</w:t>
      </w:r>
    </w:p>
    <w:bookmarkStart w:id="9626" w:name="n7962"/>
    <w:bookmarkEnd w:id="9626"/>
    <w:p w14:paraId="5325AA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"https://zakon.rada.gov.ua/laws/show/1963-12"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податок з власників транспортних засобів та інших самохідних машин і механізмів"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1992 р., № 11, ст. 150 із наступними змінами);</w:t>
      </w:r>
    </w:p>
    <w:p w14:paraId="6703E0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27" w:name="n7963"/>
      <w:bookmarkEnd w:id="9627"/>
      <w:r w:rsidRPr="008B264B">
        <w:rPr>
          <w:rFonts w:ascii="Times New Roman" w:eastAsia="Times New Roman" w:hAnsi="Times New Roman" w:cs="Times New Roman"/>
          <w:color w:val="000000"/>
          <w:sz w:val="24"/>
          <w:szCs w:val="24"/>
          <w:lang/>
        </w:rPr>
        <w:t>пункти 4, 5, 7, 8, 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і 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розділу II "Прикінцеві положення", додатки № 1 і № 2 до </w:t>
      </w:r>
      <w:hyperlink r:id="rId5272" w:tgtFrame="_blank" w:history="1">
        <w:r w:rsidRPr="008B264B">
          <w:rPr>
            <w:rFonts w:ascii="Times New Roman" w:eastAsia="Times New Roman" w:hAnsi="Times New Roman" w:cs="Times New Roman"/>
            <w:color w:val="0000FF"/>
            <w:sz w:val="24"/>
            <w:szCs w:val="24"/>
            <w:u w:val="single"/>
            <w:lang/>
          </w:rPr>
          <w:t>Закону України "Про внесення змін до деяких законодавчих актів України"</w:t>
        </w:r>
      </w:hyperlink>
      <w:r w:rsidRPr="008B264B">
        <w:rPr>
          <w:rFonts w:ascii="Times New Roman" w:eastAsia="Times New Roman" w:hAnsi="Times New Roman" w:cs="Times New Roman"/>
          <w:color w:val="000000"/>
          <w:sz w:val="24"/>
          <w:szCs w:val="24"/>
          <w:lang/>
        </w:rPr>
        <w:t> (Відомості Верховної Ради України, 2008 р., № 27-28, ст. 253; 2009 р., № 16, ст. 223; 2010 р., №№ 22-25, ст. 263, № 30, ст. 398);</w:t>
      </w:r>
    </w:p>
    <w:bookmarkStart w:id="9628" w:name="n7964"/>
    <w:bookmarkEnd w:id="9628"/>
    <w:p w14:paraId="1ABB4C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"https://zakon.rada.gov.ua/laws/show/18-92"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Декрет Кабінету Міністрів України від 26 грудня 1992 року № 18-92</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акцизний збір" (Відомості Верховної Ради України, 1993 р., № 10, ст. 82 із наступними змінами);</w:t>
      </w:r>
    </w:p>
    <w:bookmarkStart w:id="9629" w:name="n7965"/>
    <w:bookmarkEnd w:id="9629"/>
    <w:p w14:paraId="1E7683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"https://zakon.rada.gov.ua/laws/show/24-93"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Декрет Кабінету Міністрів України від 17 березня 1993 року № 24-93</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податок на промисел" (Відомості Верховної Ради України, 1993 р., № 19, ст. 208; 1995 р., № 16, ст. 111, № 30, ст. 229; 1996 р., № 45, ст. 237);</w:t>
      </w:r>
    </w:p>
    <w:bookmarkStart w:id="9630" w:name="n7966"/>
    <w:bookmarkEnd w:id="9630"/>
    <w:p w14:paraId="4396A0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"https://zakon.rada.gov.ua/laws/show/56-93"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Декрет Кабінету Міністрів України від 20 травня 1993 року № 56-93</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місцеві податки і збори" (Відомості Верховної Ради України, 1993 р., № 30, ст. 336 із наступними змінами);</w:t>
      </w:r>
    </w:p>
    <w:bookmarkStart w:id="9631" w:name="n7967"/>
    <w:bookmarkEnd w:id="9631"/>
    <w:p w14:paraId="04A924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"https://zakon.rada.gov.ua/laws/show/1252-12"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УРСР від 25 червня 1991 року № 1252-XII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порядок введення в дію Закону Української РСР "Про систему оподаткування" (Відомості Верховної Ради України, 1991 р., № 39, ст. 511);</w:t>
      </w:r>
    </w:p>
    <w:bookmarkStart w:id="9632" w:name="n7968"/>
    <w:bookmarkEnd w:id="9632"/>
    <w:p w14:paraId="67DEB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"https://zakon.rada.gov.ua/laws/show/1964-12"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11 грудня 1991 року № 1964-XII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податок з власників транспортних засобів та інших самохідних машин і механізмів" (Відомості Верховної Ради України, 1992 р., № 11, ст. 151);</w:t>
      </w:r>
    </w:p>
    <w:bookmarkStart w:id="9633" w:name="n7969"/>
    <w:bookmarkEnd w:id="9633"/>
    <w:p w14:paraId="658179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"https://zakon.rada.gov.ua/laws/show/1997-12"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18 грудня 1991 року № 1997-XII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порядок введення в дію Закону України "Про акцизний збір" (Відомості Верховної Ради України, 1992 р., № 12, ст. 173);</w:t>
      </w:r>
    </w:p>
    <w:bookmarkStart w:id="9634" w:name="n7970"/>
    <w:bookmarkEnd w:id="9634"/>
    <w:p w14:paraId="332663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"https://zakon.rada.gov.ua/laws/show/2148-12"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21 лютого 1992 року № 2148-XII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ставки акцизного збору на окремі товари" (Відомості Верховної Ради України, 1992 р., № 21, ст. 298; 1993 р., № 20, ст. 214);</w:t>
      </w:r>
    </w:p>
    <w:bookmarkStart w:id="9635" w:name="n7971"/>
    <w:bookmarkEnd w:id="9635"/>
    <w:p w14:paraId="62B97F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"https://zakon.rada.gov.ua/laws/show/2536-12"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3 липня 1992 року № 2536-XII</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плату за землю" (Відомості Верховної Ради України, 1992 р., № 38, ст. 561);</w:t>
      </w:r>
    </w:p>
    <w:bookmarkStart w:id="9636" w:name="n7972"/>
    <w:bookmarkEnd w:id="9636"/>
    <w:p w14:paraId="015ABD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"https://zakon.rada.gov.ua/laws/show/321/94-%D0%B2%D1%80"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22 грудня 1994 року № 321/94-ВР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Державний реєстр фізичних осіб - платників податків та інших обов'язкових платежів" (Відомості Верховної Ради України, 1995 р., № 2, ст. 11);</w:t>
      </w:r>
    </w:p>
    <w:bookmarkStart w:id="9637" w:name="n7973"/>
    <w:bookmarkEnd w:id="9637"/>
    <w:p w14:paraId="1127EB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"https://zakon.rada.gov.ua/laws/show/335/94-%D0%B2%D1%80"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28 грудня 1994 року № 335/94-ВР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оподаткування прибутку підприємств" (Відомості Верховної Ради України, 1995 р., № 4, ст. 29, № 16, ст. 116);</w:t>
      </w:r>
    </w:p>
    <w:bookmarkStart w:id="9638" w:name="n7974"/>
    <w:bookmarkEnd w:id="9638"/>
    <w:p w14:paraId="437F76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"https://zakon.rada.gov.ua/laws/show/330/95-%D0%B2%D1%80"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15 вересня 1995 року № 330/95-ВР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порядок введення в дію Закону України "Про акцизний збір на алкогольні напої та тютюнові вироби" (Відомості Верховної Ради України, 1995 р., № 40, ст. 298; 1996 р., № 41, ст. 197);</w:t>
      </w:r>
    </w:p>
    <w:bookmarkStart w:id="9639" w:name="n7975"/>
    <w:bookmarkEnd w:id="9639"/>
    <w:p w14:paraId="0BF065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"https://zakon.rada.gov.ua/laws/show/31/96-%D0%B2%D1%80"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6 лютого 1996 року № 31/96-ВР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ставки акцизного збору та ввізного мита на тютюнові вироби" (Відомості Верховної Ради України, 1996 р., № 8, ст. 33);</w:t>
      </w:r>
    </w:p>
    <w:bookmarkStart w:id="9640" w:name="n7976"/>
    <w:bookmarkEnd w:id="9640"/>
    <w:p w14:paraId="2068F1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lastRenderedPageBreak/>
        <w:fldChar w:fldCharType="begin"/>
      </w:r>
      <w:r w:rsidRPr="008B264B">
        <w:rPr>
          <w:rFonts w:ascii="Times New Roman" w:eastAsia="Times New Roman" w:hAnsi="Times New Roman" w:cs="Times New Roman"/>
          <w:color w:val="000000"/>
          <w:sz w:val="24"/>
          <w:szCs w:val="24"/>
          <w:lang/>
        </w:rPr>
        <w:instrText xml:space="preserve"> HYPERLINK "https://zakon.rada.gov.ua/laws/show/99/96-%D0%B2%D1%80"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23 березня 1996 року № 99/96-ВР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патентування деяких видів підприємницької діяльності" (Відомості Верховної Ради України, 1996 р., № 20, ст. 83, № 32, ст. 153, № 38, ст. 176);</w:t>
      </w:r>
    </w:p>
    <w:bookmarkStart w:id="9641" w:name="n7977"/>
    <w:bookmarkEnd w:id="9641"/>
    <w:p w14:paraId="751551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"https://zakon.rada.gov.ua/laws/show/179/96-%D0%B2%D1%80"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7 травня 1996 року № 179/96-ВР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ставки акцизного збору і ввізного мита на спирт етиловий та алкогольні напої" (Відомості Верховної Ради України, 1996 р., № 28, ст. 132);</w:t>
      </w:r>
    </w:p>
    <w:bookmarkStart w:id="9642" w:name="n7978"/>
    <w:bookmarkEnd w:id="9642"/>
    <w:p w14:paraId="4DD854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"https://zakon.rada.gov.ua/laws/show/217/96-%D0%B2%D1%80"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Постанова Верховної Ради України від 24 травня 1996 року № 217/96-ВР</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 введення в дію Закону України "Про ставки акцизного збору і ввізного мита на деякі транспортні засоби та шини до них" (Відомості Верховної Ради України, 1996 р., № 32, ст. 152);</w:t>
      </w:r>
    </w:p>
    <w:p w14:paraId="7F246B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3" w:name="n7979"/>
      <w:bookmarkEnd w:id="9643"/>
      <w:r w:rsidRPr="008B264B">
        <w:rPr>
          <w:rFonts w:ascii="Times New Roman" w:eastAsia="Times New Roman" w:hAnsi="Times New Roman" w:cs="Times New Roman"/>
          <w:color w:val="000000"/>
          <w:sz w:val="24"/>
          <w:szCs w:val="24"/>
          <w:lang/>
        </w:rPr>
        <w:t>2) з 1 квітня 2011 року:</w:t>
      </w:r>
    </w:p>
    <w:bookmarkStart w:id="9644" w:name="n7980"/>
    <w:bookmarkEnd w:id="9644"/>
    <w:p w14:paraId="334931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"https://zakon.rada.gov.ua/laws/show/334/94-%D0%B2%D1%80"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Закон України "Про оподаткування прибутку підприємств"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(Відомості Верховної Ради України, 1995 р., № 4, ст. 28 із наступними змінами), крім пункту 1.20 статті 1 цього </w:t>
      </w:r>
      <w:hyperlink r:id="rId5273" w:tgtFrame="_blank" w:history="1">
        <w:r w:rsidRPr="008B264B">
          <w:rPr>
            <w:rFonts w:ascii="Times New Roman" w:eastAsia="Times New Roman" w:hAnsi="Times New Roman" w:cs="Times New Roman"/>
            <w:color w:val="0000FF"/>
            <w:sz w:val="24"/>
            <w:szCs w:val="24"/>
            <w:u w:val="single"/>
            <w:lang/>
          </w:rPr>
          <w:t>Закону</w:t>
        </w:r>
      </w:hyperlink>
      <w:r w:rsidRPr="008B264B">
        <w:rPr>
          <w:rFonts w:ascii="Times New Roman" w:eastAsia="Times New Roman" w:hAnsi="Times New Roman" w:cs="Times New Roman"/>
          <w:color w:val="000000"/>
          <w:sz w:val="24"/>
          <w:szCs w:val="24"/>
          <w:lang/>
        </w:rPr>
        <w:t>, який діє до 1 січня 2013 року;</w:t>
      </w:r>
    </w:p>
    <w:p w14:paraId="1A0E2F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5" w:name="n7981"/>
      <w:bookmarkEnd w:id="9645"/>
      <w:r w:rsidRPr="008B264B">
        <w:rPr>
          <w:rFonts w:ascii="Times New Roman" w:eastAsia="Times New Roman" w:hAnsi="Times New Roman" w:cs="Times New Roman"/>
          <w:color w:val="000000"/>
          <w:sz w:val="24"/>
          <w:szCs w:val="24"/>
          <w:lang/>
        </w:rPr>
        <w:t>3) виключено;</w:t>
      </w:r>
    </w:p>
    <w:p w14:paraId="2D3CC9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6" w:name="n7982"/>
      <w:bookmarkEnd w:id="9646"/>
      <w:r w:rsidRPr="008B264B">
        <w:rPr>
          <w:rFonts w:ascii="Times New Roman" w:eastAsia="Times New Roman" w:hAnsi="Times New Roman" w:cs="Times New Roman"/>
          <w:color w:val="000000"/>
          <w:sz w:val="24"/>
          <w:szCs w:val="24"/>
          <w:lang/>
        </w:rPr>
        <w:t>4) з 1 січня 2017 року </w:t>
      </w:r>
      <w:hyperlink r:id="rId5274" w:anchor="n5191" w:history="1">
        <w:r w:rsidRPr="008B264B">
          <w:rPr>
            <w:rFonts w:ascii="Times New Roman" w:eastAsia="Times New Roman" w:hAnsi="Times New Roman" w:cs="Times New Roman"/>
            <w:color w:val="0000FF"/>
            <w:sz w:val="24"/>
            <w:szCs w:val="24"/>
            <w:u w:val="single"/>
            <w:lang/>
          </w:rPr>
          <w:t>стаття 209</w:t>
        </w:r>
      </w:hyperlink>
      <w:r w:rsidRPr="008B264B">
        <w:rPr>
          <w:rFonts w:ascii="Times New Roman" w:eastAsia="Times New Roman" w:hAnsi="Times New Roman" w:cs="Times New Roman"/>
          <w:color w:val="000000"/>
          <w:sz w:val="24"/>
          <w:szCs w:val="24"/>
          <w:lang/>
        </w:rPr>
        <w:t> цього Кодексу;</w:t>
      </w:r>
    </w:p>
    <w:p w14:paraId="10043F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7" w:name="n12961"/>
      <w:bookmarkEnd w:id="9647"/>
      <w:r w:rsidRPr="008B264B">
        <w:rPr>
          <w:rFonts w:ascii="Times New Roman" w:eastAsia="Times New Roman" w:hAnsi="Times New Roman" w:cs="Times New Roman"/>
          <w:i/>
          <w:iCs/>
          <w:color w:val="000000"/>
          <w:sz w:val="24"/>
          <w:szCs w:val="24"/>
          <w:lang/>
        </w:rPr>
        <w:t>{Підпункт 4 пункту 2 розділу XIX із змінами, внесеними згідно із Законом </w:t>
      </w:r>
      <w:hyperlink r:id="rId5275" w:anchor="n66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DFB93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8" w:name="n7983"/>
      <w:bookmarkEnd w:id="9648"/>
      <w:r w:rsidRPr="008B264B">
        <w:rPr>
          <w:rFonts w:ascii="Times New Roman" w:eastAsia="Times New Roman" w:hAnsi="Times New Roman" w:cs="Times New Roman"/>
          <w:color w:val="000000"/>
          <w:sz w:val="24"/>
          <w:szCs w:val="24"/>
          <w:lang/>
        </w:rPr>
        <w:t>5) з 1 січня 2013 року </w:t>
      </w:r>
      <w:hyperlink r:id="rId5276" w:tgtFrame="_blank" w:history="1">
        <w:r w:rsidRPr="008B264B">
          <w:rPr>
            <w:rFonts w:ascii="Times New Roman" w:eastAsia="Times New Roman" w:hAnsi="Times New Roman" w:cs="Times New Roman"/>
            <w:color w:val="0000FF"/>
            <w:sz w:val="24"/>
            <w:szCs w:val="24"/>
            <w:u w:val="single"/>
            <w:lang/>
          </w:rPr>
          <w:t>Закон України "Про збір на розвиток виноградарства, садівництва і хмелярства"</w:t>
        </w:r>
      </w:hyperlink>
      <w:r w:rsidRPr="008B264B">
        <w:rPr>
          <w:rFonts w:ascii="Times New Roman" w:eastAsia="Times New Roman" w:hAnsi="Times New Roman" w:cs="Times New Roman"/>
          <w:color w:val="000000"/>
          <w:sz w:val="24"/>
          <w:szCs w:val="24"/>
          <w:lang/>
        </w:rPr>
        <w:t> (Відомості Верховної Ради України, 1999 р., № 20-21, ст. 191; 2003 р., № 46, ст. 365; 2009 р., № 29, ст. 397; 2012 р., № 6, ст. 50, № 24, ст. 248; із змінами, внесеними Законом України від 16 жовтня 2012 року № 5463-VI).</w:t>
      </w:r>
    </w:p>
    <w:p w14:paraId="07473B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49" w:name="n7984"/>
      <w:bookmarkEnd w:id="9649"/>
      <w:r w:rsidRPr="008B264B">
        <w:rPr>
          <w:rFonts w:ascii="Times New Roman" w:eastAsia="Times New Roman" w:hAnsi="Times New Roman" w:cs="Times New Roman"/>
          <w:i/>
          <w:iCs/>
          <w:color w:val="000000"/>
          <w:sz w:val="24"/>
          <w:szCs w:val="24"/>
          <w:lang/>
        </w:rPr>
        <w:t>{Пункт 2 розділу XIX доповнено абзацом згідно із Законом </w:t>
      </w:r>
      <w:hyperlink r:id="rId5277"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52B96B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0" w:name="n7985"/>
      <w:bookmarkEnd w:id="9650"/>
      <w:r w:rsidRPr="008B264B">
        <w:rPr>
          <w:rFonts w:ascii="Times New Roman" w:eastAsia="Times New Roman" w:hAnsi="Times New Roman" w:cs="Times New Roman"/>
          <w:color w:val="000000"/>
          <w:sz w:val="24"/>
          <w:szCs w:val="24"/>
          <w:lang/>
        </w:rPr>
        <w:t>3. У зв'язку з набранням чинності цим Кодексом припиняється відповідно до </w:t>
      </w:r>
      <w:hyperlink r:id="rId5278" w:anchor="n2449" w:tgtFrame="_blank" w:history="1">
        <w:r w:rsidRPr="008B264B">
          <w:rPr>
            <w:rFonts w:ascii="Times New Roman" w:eastAsia="Times New Roman" w:hAnsi="Times New Roman" w:cs="Times New Roman"/>
            <w:color w:val="0000FF"/>
            <w:sz w:val="24"/>
            <w:szCs w:val="24"/>
            <w:u w:val="single"/>
            <w:lang/>
          </w:rPr>
          <w:t>пункту 4 розділу XV "Перехідні положення" Конституції України</w:t>
        </w:r>
      </w:hyperlink>
      <w:r w:rsidRPr="008B264B">
        <w:rPr>
          <w:rFonts w:ascii="Times New Roman" w:eastAsia="Times New Roman" w:hAnsi="Times New Roman" w:cs="Times New Roman"/>
          <w:color w:val="000000"/>
          <w:sz w:val="24"/>
          <w:szCs w:val="24"/>
          <w:lang/>
        </w:rPr>
        <w:t> дія:</w:t>
      </w:r>
    </w:p>
    <w:p w14:paraId="2E7052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1" w:name="n7986"/>
      <w:bookmarkEnd w:id="9651"/>
      <w:r w:rsidRPr="008B264B">
        <w:rPr>
          <w:rFonts w:ascii="Times New Roman" w:eastAsia="Times New Roman" w:hAnsi="Times New Roman" w:cs="Times New Roman"/>
          <w:color w:val="000000"/>
          <w:sz w:val="24"/>
          <w:szCs w:val="24"/>
          <w:lang/>
        </w:rPr>
        <w:t>з 1 січня 2011 року:</w:t>
      </w:r>
    </w:p>
    <w:p w14:paraId="261CBB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2" w:name="n7987"/>
      <w:bookmarkEnd w:id="9652"/>
      <w:r w:rsidRPr="008B264B">
        <w:rPr>
          <w:rFonts w:ascii="Times New Roman" w:eastAsia="Times New Roman" w:hAnsi="Times New Roman" w:cs="Times New Roman"/>
          <w:color w:val="000000"/>
          <w:sz w:val="24"/>
          <w:szCs w:val="24"/>
          <w:lang/>
        </w:rPr>
        <w:t>1) </w:t>
      </w:r>
      <w:hyperlink r:id="rId5279" w:tgtFrame="_blank" w:history="1">
        <w:r w:rsidRPr="008B264B">
          <w:rPr>
            <w:rFonts w:ascii="Times New Roman" w:eastAsia="Times New Roman" w:hAnsi="Times New Roman" w:cs="Times New Roman"/>
            <w:color w:val="0000FF"/>
            <w:sz w:val="24"/>
            <w:szCs w:val="24"/>
            <w:u w:val="single"/>
            <w:lang/>
          </w:rPr>
          <w:t>Указу Президента від 11 травня 1998 року № 453/98</w:t>
        </w:r>
      </w:hyperlink>
      <w:r w:rsidRPr="008B264B">
        <w:rPr>
          <w:rFonts w:ascii="Times New Roman" w:eastAsia="Times New Roman" w:hAnsi="Times New Roman" w:cs="Times New Roman"/>
          <w:color w:val="000000"/>
          <w:sz w:val="24"/>
          <w:szCs w:val="24"/>
          <w:lang/>
        </w:rPr>
        <w:t> "Про платників та порядок сплати акцизного збору";</w:t>
      </w:r>
    </w:p>
    <w:p w14:paraId="375D7E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3" w:name="n7988"/>
      <w:bookmarkEnd w:id="9653"/>
      <w:r w:rsidRPr="008B264B">
        <w:rPr>
          <w:rFonts w:ascii="Times New Roman" w:eastAsia="Times New Roman" w:hAnsi="Times New Roman" w:cs="Times New Roman"/>
          <w:color w:val="000000"/>
          <w:sz w:val="24"/>
          <w:szCs w:val="24"/>
          <w:lang/>
        </w:rPr>
        <w:t>2) </w:t>
      </w:r>
      <w:hyperlink r:id="rId5280" w:tgtFrame="_blank" w:history="1">
        <w:r w:rsidRPr="008B264B">
          <w:rPr>
            <w:rFonts w:ascii="Times New Roman" w:eastAsia="Times New Roman" w:hAnsi="Times New Roman" w:cs="Times New Roman"/>
            <w:color w:val="0000FF"/>
            <w:sz w:val="24"/>
            <w:szCs w:val="24"/>
            <w:u w:val="single"/>
            <w:lang/>
          </w:rPr>
          <w:t>Указу Президента України від 28 червня 1999 року № 761/99</w:t>
        </w:r>
      </w:hyperlink>
      <w:r w:rsidRPr="008B264B">
        <w:rPr>
          <w:rFonts w:ascii="Times New Roman" w:eastAsia="Times New Roman" w:hAnsi="Times New Roman" w:cs="Times New Roman"/>
          <w:color w:val="000000"/>
          <w:sz w:val="24"/>
          <w:szCs w:val="24"/>
          <w:lang/>
        </w:rPr>
        <w:t> "Про впорядкування механізму сплати ринкового збору".</w:t>
      </w:r>
    </w:p>
    <w:p w14:paraId="18CF30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4" w:name="n7989"/>
      <w:bookmarkEnd w:id="9654"/>
      <w:r w:rsidRPr="008B264B">
        <w:rPr>
          <w:rFonts w:ascii="Times New Roman" w:eastAsia="Times New Roman" w:hAnsi="Times New Roman" w:cs="Times New Roman"/>
          <w:color w:val="000000"/>
          <w:sz w:val="24"/>
          <w:szCs w:val="24"/>
          <w:lang/>
        </w:rPr>
        <w:t>4. Кабінету Міністрів України:</w:t>
      </w:r>
    </w:p>
    <w:p w14:paraId="5F8040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5" w:name="n7990"/>
      <w:bookmarkEnd w:id="9655"/>
      <w:r w:rsidRPr="008B264B">
        <w:rPr>
          <w:rFonts w:ascii="Times New Roman" w:eastAsia="Times New Roman" w:hAnsi="Times New Roman" w:cs="Times New Roman"/>
          <w:color w:val="000000"/>
          <w:sz w:val="24"/>
          <w:szCs w:val="24"/>
          <w:lang/>
        </w:rPr>
        <w:t>запровадити починаючи з 1 січня 2011 року </w:t>
      </w:r>
      <w:hyperlink r:id="rId5281" w:anchor="n8" w:tgtFrame="_blank" w:history="1">
        <w:r w:rsidRPr="008B264B">
          <w:rPr>
            <w:rFonts w:ascii="Times New Roman" w:eastAsia="Times New Roman" w:hAnsi="Times New Roman" w:cs="Times New Roman"/>
            <w:color w:val="0000FF"/>
            <w:sz w:val="24"/>
            <w:szCs w:val="24"/>
            <w:u w:val="single"/>
            <w:lang/>
          </w:rPr>
          <w:t>механізм компенсації втрати частини доходів</w:t>
        </w:r>
      </w:hyperlink>
      <w:r w:rsidRPr="008B264B">
        <w:rPr>
          <w:rFonts w:ascii="Times New Roman" w:eastAsia="Times New Roman" w:hAnsi="Times New Roman" w:cs="Times New Roman"/>
          <w:color w:val="000000"/>
          <w:sz w:val="24"/>
          <w:szCs w:val="24"/>
          <w:lang/>
        </w:rPr>
        <w:t> у зв'язку з відміною податку з власників транспортних засобів та інших самохідних машин і механізмів та відповідним збільшенням ставок акцизного збору з пального для фізичних осіб, які користувалися пільгами щодо сплати податку з власників транспортних засобів щодо одного легкового автомобіля (мотоколяски) з об'ємом циліндрів двигуна до 2500 куб. см чи одного мотоцикла з об'ємом циліндрів двигуна до 750 куб. см або одного човна моторного чи катера (крім спортивного) з довжиною корпусу до 7,5 м, а саме осіб, які зазначені:</w:t>
      </w:r>
    </w:p>
    <w:p w14:paraId="563BFA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6" w:name="n7991"/>
      <w:bookmarkEnd w:id="9656"/>
      <w:r w:rsidRPr="008B264B">
        <w:rPr>
          <w:rFonts w:ascii="Times New Roman" w:eastAsia="Times New Roman" w:hAnsi="Times New Roman" w:cs="Times New Roman"/>
          <w:color w:val="000000"/>
          <w:sz w:val="24"/>
          <w:szCs w:val="24"/>
          <w:lang/>
        </w:rPr>
        <w:t>у пунктах 1 і 2 частини першої статті 14 </w:t>
      </w:r>
      <w:hyperlink r:id="rId5282" w:tgtFrame="_blank" w:history="1">
        <w:r w:rsidRPr="008B264B">
          <w:rPr>
            <w:rFonts w:ascii="Times New Roman" w:eastAsia="Times New Roman" w:hAnsi="Times New Roman" w:cs="Times New Roman"/>
            <w:color w:val="0000FF"/>
            <w:sz w:val="24"/>
            <w:szCs w:val="24"/>
            <w:u w:val="single"/>
            <w:lang/>
          </w:rPr>
          <w:t>Закону України "Про статус і соціальний захист громадян, які постраждали внаслідок Чорнобильської катастрофи"</w:t>
        </w:r>
      </w:hyperlink>
      <w:r w:rsidRPr="008B264B">
        <w:rPr>
          <w:rFonts w:ascii="Times New Roman" w:eastAsia="Times New Roman" w:hAnsi="Times New Roman" w:cs="Times New Roman"/>
          <w:color w:val="000000"/>
          <w:sz w:val="24"/>
          <w:szCs w:val="24"/>
          <w:lang/>
        </w:rPr>
        <w:t>;</w:t>
      </w:r>
    </w:p>
    <w:p w14:paraId="5613C7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7" w:name="n7992"/>
      <w:bookmarkEnd w:id="9657"/>
      <w:r w:rsidRPr="008B264B">
        <w:rPr>
          <w:rFonts w:ascii="Times New Roman" w:eastAsia="Times New Roman" w:hAnsi="Times New Roman" w:cs="Times New Roman"/>
          <w:color w:val="000000"/>
          <w:sz w:val="24"/>
          <w:szCs w:val="24"/>
          <w:lang/>
        </w:rPr>
        <w:t>статтях 4-11 </w:t>
      </w:r>
      <w:hyperlink r:id="rId5283" w:tgtFrame="_blank" w:history="1">
        <w:r w:rsidRPr="008B264B">
          <w:rPr>
            <w:rFonts w:ascii="Times New Roman" w:eastAsia="Times New Roman" w:hAnsi="Times New Roman" w:cs="Times New Roman"/>
            <w:color w:val="0000FF"/>
            <w:sz w:val="24"/>
            <w:szCs w:val="24"/>
            <w:u w:val="single"/>
            <w:lang/>
          </w:rPr>
          <w:t>Закону України "Про статус ветеранів війни, гарантії їх соціального захисту"</w:t>
        </w:r>
      </w:hyperlink>
      <w:r w:rsidRPr="008B264B">
        <w:rPr>
          <w:rFonts w:ascii="Times New Roman" w:eastAsia="Times New Roman" w:hAnsi="Times New Roman" w:cs="Times New Roman"/>
          <w:color w:val="000000"/>
          <w:sz w:val="24"/>
          <w:szCs w:val="24"/>
          <w:lang/>
        </w:rPr>
        <w:t>;</w:t>
      </w:r>
    </w:p>
    <w:p w14:paraId="4FE203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8" w:name="n7993"/>
      <w:bookmarkEnd w:id="9658"/>
      <w:r w:rsidRPr="008B264B">
        <w:rPr>
          <w:rFonts w:ascii="Times New Roman" w:eastAsia="Times New Roman" w:hAnsi="Times New Roman" w:cs="Times New Roman"/>
          <w:color w:val="000000"/>
          <w:sz w:val="24"/>
          <w:szCs w:val="24"/>
          <w:lang/>
        </w:rPr>
        <w:t>статтях 6 і 8 </w:t>
      </w:r>
      <w:hyperlink r:id="rId5284" w:tgtFrame="_blank" w:history="1">
        <w:r w:rsidRPr="008B264B">
          <w:rPr>
            <w:rFonts w:ascii="Times New Roman" w:eastAsia="Times New Roman" w:hAnsi="Times New Roman" w:cs="Times New Roman"/>
            <w:color w:val="0000FF"/>
            <w:sz w:val="24"/>
            <w:szCs w:val="24"/>
            <w:u w:val="single"/>
            <w:lang/>
          </w:rPr>
          <w:t>Закону України "Про основні засади соціального захисту ветеранів праці та інших громадян похилого віку в Україні"</w:t>
        </w:r>
      </w:hyperlink>
      <w:r w:rsidRPr="008B264B">
        <w:rPr>
          <w:rFonts w:ascii="Times New Roman" w:eastAsia="Times New Roman" w:hAnsi="Times New Roman" w:cs="Times New Roman"/>
          <w:color w:val="000000"/>
          <w:sz w:val="24"/>
          <w:szCs w:val="24"/>
          <w:lang/>
        </w:rPr>
        <w:t>;</w:t>
      </w:r>
    </w:p>
    <w:p w14:paraId="2CAAA3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59" w:name="n7994"/>
      <w:bookmarkEnd w:id="9659"/>
      <w:r w:rsidRPr="008B264B">
        <w:rPr>
          <w:rFonts w:ascii="Times New Roman" w:eastAsia="Times New Roman" w:hAnsi="Times New Roman" w:cs="Times New Roman"/>
          <w:color w:val="000000"/>
          <w:sz w:val="24"/>
          <w:szCs w:val="24"/>
          <w:lang/>
        </w:rPr>
        <w:t>осіб з інвалідністю незалежно від групи інвалідності (у тому числі дітей з інвалідністю за поданням органів соціального захисту).</w:t>
      </w:r>
    </w:p>
    <w:p w14:paraId="294F2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0" w:name="n7995"/>
      <w:bookmarkEnd w:id="9660"/>
      <w:r w:rsidRPr="008B264B">
        <w:rPr>
          <w:rFonts w:ascii="Times New Roman" w:eastAsia="Times New Roman" w:hAnsi="Times New Roman" w:cs="Times New Roman"/>
          <w:i/>
          <w:iCs/>
          <w:color w:val="000000"/>
          <w:sz w:val="24"/>
          <w:szCs w:val="24"/>
          <w:lang/>
        </w:rPr>
        <w:lastRenderedPageBreak/>
        <w:t>{Абзац сьомий пункту 4 розділу XIX "Прикінцеві положення" виключено на підставі Закону </w:t>
      </w:r>
      <w:hyperlink r:id="rId5285" w:anchor="n147"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CB447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1" w:name="n7996"/>
      <w:bookmarkEnd w:id="9661"/>
      <w:r w:rsidRPr="008B264B">
        <w:rPr>
          <w:rFonts w:ascii="Times New Roman" w:eastAsia="Times New Roman" w:hAnsi="Times New Roman" w:cs="Times New Roman"/>
          <w:i/>
          <w:iCs/>
          <w:color w:val="000000"/>
          <w:sz w:val="24"/>
          <w:szCs w:val="24"/>
          <w:lang/>
        </w:rPr>
        <w:t>{Абзац восьмий пункту 4 розділу XIX "Прикінцеві положення" виключено на підставі Закону </w:t>
      </w:r>
      <w:hyperlink r:id="rId5286" w:anchor="n49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0B1537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2" w:name="n7997"/>
      <w:bookmarkEnd w:id="9662"/>
      <w:r w:rsidRPr="008B264B">
        <w:rPr>
          <w:rFonts w:ascii="Times New Roman" w:eastAsia="Times New Roman" w:hAnsi="Times New Roman" w:cs="Times New Roman"/>
          <w:color w:val="000000"/>
          <w:sz w:val="24"/>
          <w:szCs w:val="24"/>
          <w:lang/>
        </w:rPr>
        <w:t>щорічно до 1 червня у разі необхідності вносити до Верховної Ради України проект закону про внесення змін до цього Кодексу щодо ставок оподаткування, визначених в абсолютних значеннях, з урахуванням індексів споживчих цін, індексів цін виробників промислової продукції з таких податків і зборів:</w:t>
      </w:r>
    </w:p>
    <w:p w14:paraId="4803C0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3" w:name="n14919"/>
      <w:bookmarkEnd w:id="9663"/>
      <w:r w:rsidRPr="008B264B">
        <w:rPr>
          <w:rFonts w:ascii="Times New Roman" w:eastAsia="Times New Roman" w:hAnsi="Times New Roman" w:cs="Times New Roman"/>
          <w:i/>
          <w:iCs/>
          <w:color w:val="000000"/>
          <w:sz w:val="24"/>
          <w:szCs w:val="24"/>
          <w:lang/>
        </w:rPr>
        <w:t>{Абзац дев'ятий пункту 4 розділу XIX із змінами, внесеними згідно із Законом </w:t>
      </w:r>
      <w:hyperlink r:id="rId5287" w:anchor="n39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2FA04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4" w:name="n7998"/>
      <w:bookmarkEnd w:id="9664"/>
      <w:r w:rsidRPr="008B264B">
        <w:rPr>
          <w:rFonts w:ascii="Times New Roman" w:eastAsia="Times New Roman" w:hAnsi="Times New Roman" w:cs="Times New Roman"/>
          <w:color w:val="000000"/>
          <w:sz w:val="24"/>
          <w:szCs w:val="24"/>
          <w:lang/>
        </w:rPr>
        <w:t>1) акцизний податок;</w:t>
      </w:r>
    </w:p>
    <w:p w14:paraId="5C8B29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5" w:name="n12100"/>
      <w:bookmarkEnd w:id="9665"/>
      <w:r w:rsidRPr="008B264B">
        <w:rPr>
          <w:rFonts w:ascii="Times New Roman" w:eastAsia="Times New Roman" w:hAnsi="Times New Roman" w:cs="Times New Roman"/>
          <w:i/>
          <w:iCs/>
          <w:color w:val="000000"/>
          <w:sz w:val="24"/>
          <w:szCs w:val="24"/>
          <w:lang/>
        </w:rPr>
        <w:t>{Підпункт 1 пункту 4 розділу XIX в редакції Закону </w:t>
      </w:r>
      <w:hyperlink r:id="rId5288" w:anchor="n16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1B177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6" w:name="n7999"/>
      <w:bookmarkEnd w:id="9666"/>
      <w:r w:rsidRPr="008B264B">
        <w:rPr>
          <w:rFonts w:ascii="Times New Roman" w:eastAsia="Times New Roman" w:hAnsi="Times New Roman" w:cs="Times New Roman"/>
          <w:color w:val="000000"/>
          <w:sz w:val="24"/>
          <w:szCs w:val="24"/>
          <w:lang/>
        </w:rPr>
        <w:t>2) екологічний податок;</w:t>
      </w:r>
    </w:p>
    <w:p w14:paraId="703271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7" w:name="n12101"/>
      <w:bookmarkEnd w:id="9667"/>
      <w:r w:rsidRPr="008B264B">
        <w:rPr>
          <w:rFonts w:ascii="Times New Roman" w:eastAsia="Times New Roman" w:hAnsi="Times New Roman" w:cs="Times New Roman"/>
          <w:i/>
          <w:iCs/>
          <w:color w:val="000000"/>
          <w:sz w:val="24"/>
          <w:szCs w:val="24"/>
          <w:lang/>
        </w:rPr>
        <w:t>{Підпункт 2 пункту 4 розділу XIX в редакції Закону </w:t>
      </w:r>
      <w:hyperlink r:id="rId5289" w:anchor="n16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A433F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8" w:name="n8000"/>
      <w:bookmarkEnd w:id="9668"/>
      <w:r w:rsidRPr="008B264B">
        <w:rPr>
          <w:rFonts w:ascii="Times New Roman" w:eastAsia="Times New Roman" w:hAnsi="Times New Roman" w:cs="Times New Roman"/>
          <w:color w:val="000000"/>
          <w:sz w:val="24"/>
          <w:szCs w:val="24"/>
          <w:lang/>
        </w:rPr>
        <w:t>3) рентна плата;</w:t>
      </w:r>
    </w:p>
    <w:p w14:paraId="60F450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69" w:name="n12102"/>
      <w:bookmarkEnd w:id="9669"/>
      <w:r w:rsidRPr="008B264B">
        <w:rPr>
          <w:rFonts w:ascii="Times New Roman" w:eastAsia="Times New Roman" w:hAnsi="Times New Roman" w:cs="Times New Roman"/>
          <w:i/>
          <w:iCs/>
          <w:color w:val="000000"/>
          <w:sz w:val="24"/>
          <w:szCs w:val="24"/>
          <w:lang/>
        </w:rPr>
        <w:t>{Підпункт 3 пункту 4 розділу XIX в редакції Закону </w:t>
      </w:r>
      <w:hyperlink r:id="rId5290" w:anchor="n167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7BD55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0" w:name="n8008"/>
      <w:bookmarkEnd w:id="9670"/>
      <w:r w:rsidRPr="008B264B">
        <w:rPr>
          <w:rFonts w:ascii="Times New Roman" w:eastAsia="Times New Roman" w:hAnsi="Times New Roman" w:cs="Times New Roman"/>
          <w:color w:val="000000"/>
          <w:sz w:val="24"/>
          <w:szCs w:val="24"/>
          <w:lang/>
        </w:rPr>
        <w:t>до 31 грудня 2011 року разом із зацікавленими релігійними організаціями розробити програму і внести до Верховної Ради України пропозиції щодо альтернативного обліку фізичних осіб, які через свої релігійні переконання відмовляються від ідентифікаційного номера (реєстраційного номерів облікової картки платника податків);</w:t>
      </w:r>
    </w:p>
    <w:p w14:paraId="558930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1" w:name="n8009"/>
      <w:bookmarkEnd w:id="9671"/>
      <w:r w:rsidRPr="008B264B">
        <w:rPr>
          <w:rFonts w:ascii="Times New Roman" w:eastAsia="Times New Roman" w:hAnsi="Times New Roman" w:cs="Times New Roman"/>
          <w:color w:val="000000"/>
          <w:sz w:val="24"/>
          <w:szCs w:val="24"/>
          <w:lang/>
        </w:rPr>
        <w:t>одночасно з поданням до Верховної Ради України проекту закону про Державний бюджет України на 2011 рік подати проект закону щодо внесення змін до </w:t>
      </w:r>
      <w:hyperlink r:id="rId5291" w:anchor="n30" w:tgtFrame="_blank" w:history="1">
        <w:r w:rsidRPr="008B264B">
          <w:rPr>
            <w:rFonts w:ascii="Times New Roman" w:eastAsia="Times New Roman" w:hAnsi="Times New Roman" w:cs="Times New Roman"/>
            <w:color w:val="0000FF"/>
            <w:sz w:val="24"/>
            <w:szCs w:val="24"/>
            <w:u w:val="single"/>
            <w:lang/>
          </w:rPr>
          <w:t>Бюджетного кодексу України</w:t>
        </w:r>
      </w:hyperlink>
      <w:r w:rsidRPr="008B264B">
        <w:rPr>
          <w:rFonts w:ascii="Times New Roman" w:eastAsia="Times New Roman" w:hAnsi="Times New Roman" w:cs="Times New Roman"/>
          <w:color w:val="000000"/>
          <w:sz w:val="24"/>
          <w:szCs w:val="24"/>
          <w:lang/>
        </w:rPr>
        <w:t> з метою приведення його норм у відповідність із Податковим кодексом України, у тому числі щодо зарахування частини екологічного податку (у 2013 році - 33 відсотки, з 2014 року - 50 відсотків) до спеціального фонду Державного бюджету України із спрямуванням таких коштів на фінансування виключно цільових проектів екологічної модернізації підприємств у межах сум сплаченого ними екологічного податку у порядку, що встановлюватиметься Кабінетом Міністрів України.</w:t>
      </w:r>
    </w:p>
    <w:p w14:paraId="0B2917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2" w:name="n8010"/>
      <w:bookmarkEnd w:id="9672"/>
      <w:r w:rsidRPr="008B264B">
        <w:rPr>
          <w:rFonts w:ascii="Times New Roman" w:eastAsia="Times New Roman" w:hAnsi="Times New Roman" w:cs="Times New Roman"/>
          <w:color w:val="000000"/>
          <w:sz w:val="24"/>
          <w:szCs w:val="24"/>
          <w:lang/>
        </w:rPr>
        <w:t>5. Органам місцевого самоврядування забезпечити у місячний термін з дня набрання чинності цим Кодексом прийняття рішень щодо встановлення місцевих податків і зборів, визначених цим Кодексом.</w:t>
      </w:r>
    </w:p>
    <w:p w14:paraId="42662F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3" w:name="n8011"/>
      <w:bookmarkEnd w:id="9673"/>
      <w:r w:rsidRPr="008B264B">
        <w:rPr>
          <w:rFonts w:ascii="Times New Roman" w:eastAsia="Times New Roman" w:hAnsi="Times New Roman" w:cs="Times New Roman"/>
          <w:color w:val="000000"/>
          <w:sz w:val="24"/>
          <w:szCs w:val="24"/>
          <w:lang/>
        </w:rPr>
        <w:t>У разі невстановлення місцевих податків і зборів, передбачених </w:t>
      </w:r>
      <w:hyperlink r:id="rId5292" w:anchor="n218" w:history="1">
        <w:r w:rsidRPr="008B264B">
          <w:rPr>
            <w:rFonts w:ascii="Times New Roman" w:eastAsia="Times New Roman" w:hAnsi="Times New Roman" w:cs="Times New Roman"/>
            <w:color w:val="0000FF"/>
            <w:sz w:val="24"/>
            <w:szCs w:val="24"/>
            <w:u w:val="single"/>
            <w:lang/>
          </w:rPr>
          <w:t>пунктом 10.3</w:t>
        </w:r>
      </w:hyperlink>
      <w:r w:rsidRPr="008B264B">
        <w:rPr>
          <w:rFonts w:ascii="Times New Roman" w:eastAsia="Times New Roman" w:hAnsi="Times New Roman" w:cs="Times New Roman"/>
          <w:color w:val="000000"/>
          <w:sz w:val="24"/>
          <w:szCs w:val="24"/>
          <w:lang/>
        </w:rPr>
        <w:t> статті 10 цього Кодексу, рішеннями місцевого самоврядування такі податки і збори сплачуються платниками у порядку, встановленому цим Кодексом за мінімальними ставками та без застосування відповідних коефіцієнтів.</w:t>
      </w:r>
    </w:p>
    <w:p w14:paraId="654A827F"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674" w:name="n8012"/>
      <w:bookmarkEnd w:id="9674"/>
      <w:r w:rsidRPr="008B264B">
        <w:rPr>
          <w:rFonts w:ascii="Times New Roman" w:eastAsia="Times New Roman" w:hAnsi="Times New Roman" w:cs="Times New Roman"/>
          <w:b/>
          <w:bCs/>
          <w:color w:val="000000"/>
          <w:sz w:val="28"/>
          <w:szCs w:val="28"/>
          <w:lang/>
        </w:rPr>
        <w:t>РОЗДІЛ XX. ПЕРЕХІДНІ ПОЛОЖЕННЯ</w:t>
      </w:r>
    </w:p>
    <w:p w14:paraId="767D40B0"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675" w:name="n8013"/>
      <w:bookmarkEnd w:id="9675"/>
      <w:r w:rsidRPr="008B264B">
        <w:rPr>
          <w:rFonts w:ascii="Times New Roman" w:eastAsia="Times New Roman" w:hAnsi="Times New Roman" w:cs="Times New Roman"/>
          <w:b/>
          <w:bCs/>
          <w:color w:val="000000"/>
          <w:sz w:val="28"/>
          <w:szCs w:val="28"/>
          <w:lang/>
        </w:rPr>
        <w:t>Підрозділ 1. Особливості справляння податку на доходи фізичних осіб</w:t>
      </w:r>
    </w:p>
    <w:p w14:paraId="3E2798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6" w:name="n8014"/>
      <w:bookmarkEnd w:id="9676"/>
      <w:r w:rsidRPr="008B264B">
        <w:rPr>
          <w:rFonts w:ascii="Times New Roman" w:eastAsia="Times New Roman" w:hAnsi="Times New Roman" w:cs="Times New Roman"/>
          <w:color w:val="000000"/>
          <w:sz w:val="24"/>
          <w:szCs w:val="24"/>
          <w:lang/>
        </w:rPr>
        <w:t>1. Податок на доходи фізичних осіб, нарахований, але не сплачений податковим агентом до бюджету всупереч порядку, що діяв до набрання чинності цим Кодексом, на дату набрання чинності цим Кодексом вважається податковим боргом за узгодженим податковим зобов'язанням та підлягає відображенню у податковому розрахунку за результатами першого звітного кварталу, протягом якого набирає чинності цей Кодекс, а також стягується з податкового агента із застосуванням заходів відповідальності, передбачених цим Кодексом.</w:t>
      </w:r>
    </w:p>
    <w:p w14:paraId="1003C4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7" w:name="n8015"/>
      <w:bookmarkEnd w:id="9677"/>
      <w:r w:rsidRPr="008B264B">
        <w:rPr>
          <w:rFonts w:ascii="Times New Roman" w:eastAsia="Times New Roman" w:hAnsi="Times New Roman" w:cs="Times New Roman"/>
          <w:color w:val="000000"/>
          <w:sz w:val="24"/>
          <w:szCs w:val="24"/>
          <w:lang/>
        </w:rPr>
        <w:t xml:space="preserve">2. Інвестиційний збиток, отриманий платником податку на доходи фізичних осіб на 1 січня року набрання чинності цим Кодексом, враховується при обчисленні інвестиційного прибутку, </w:t>
      </w:r>
      <w:r w:rsidRPr="008B264B">
        <w:rPr>
          <w:rFonts w:ascii="Times New Roman" w:eastAsia="Times New Roman" w:hAnsi="Times New Roman" w:cs="Times New Roman"/>
          <w:color w:val="000000"/>
          <w:sz w:val="24"/>
          <w:szCs w:val="24"/>
          <w:lang/>
        </w:rPr>
        <w:lastRenderedPageBreak/>
        <w:t>отриманого за операціями з цінними паперами чи деривативами, що перебувають в обігу на організованому ринку цінних паперів, починаючи з результатів за такий рік у частині збитків, понесених внаслідок продажу інвестиційних активів через професійних торговців цінними паперами. Обов'язок документального підтвердження розміру зазначених збитків покладається на платника податку.</w:t>
      </w:r>
    </w:p>
    <w:p w14:paraId="7B999A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8" w:name="n8016"/>
      <w:bookmarkEnd w:id="9678"/>
      <w:r w:rsidRPr="008B264B">
        <w:rPr>
          <w:rFonts w:ascii="Times New Roman" w:eastAsia="Times New Roman" w:hAnsi="Times New Roman" w:cs="Times New Roman"/>
          <w:color w:val="000000"/>
          <w:sz w:val="24"/>
          <w:szCs w:val="24"/>
          <w:lang/>
        </w:rPr>
        <w:t>3. Не підлягають оподаткуванню податком на доходи фізичних осіб кошти, що сплачені за роботи та/або послуги, виконані та надані на території України або за її межами у період підготовки та проведення в Україні фінальної частини чемпіонату Європи 2012 року з футболу, зокрема (але не виключно) у вигляді заробітної плати, відшкодування видатків та добових таким особам (крім резидентів України незалежно від їх участі у проведенні зазначеного чемпіонату):</w:t>
      </w:r>
    </w:p>
    <w:p w14:paraId="4ED5F6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79" w:name="n8017"/>
      <w:bookmarkEnd w:id="9679"/>
      <w:r w:rsidRPr="008B264B">
        <w:rPr>
          <w:rFonts w:ascii="Times New Roman" w:eastAsia="Times New Roman" w:hAnsi="Times New Roman" w:cs="Times New Roman"/>
          <w:i/>
          <w:iCs/>
          <w:color w:val="000000"/>
          <w:sz w:val="24"/>
          <w:szCs w:val="24"/>
          <w:lang/>
        </w:rPr>
        <w:t>{Абзац перший пункту 3 підрозділу 1 розділу XX із змінами, внесеними згідно із Законом </w:t>
      </w:r>
      <w:hyperlink r:id="rId5293" w:tgtFrame="_blank" w:history="1">
        <w:r w:rsidRPr="008B264B">
          <w:rPr>
            <w:rFonts w:ascii="Times New Roman" w:eastAsia="Times New Roman" w:hAnsi="Times New Roman" w:cs="Times New Roman"/>
            <w:i/>
            <w:iCs/>
            <w:color w:val="0000FF"/>
            <w:sz w:val="24"/>
            <w:szCs w:val="24"/>
            <w:u w:val="single"/>
            <w:lang/>
          </w:rPr>
          <w:t>№ 3292-VI від 21.04.2011</w:t>
        </w:r>
      </w:hyperlink>
      <w:r w:rsidRPr="008B264B">
        <w:rPr>
          <w:rFonts w:ascii="Times New Roman" w:eastAsia="Times New Roman" w:hAnsi="Times New Roman" w:cs="Times New Roman"/>
          <w:i/>
          <w:iCs/>
          <w:color w:val="000000"/>
          <w:sz w:val="24"/>
          <w:szCs w:val="24"/>
          <w:lang/>
        </w:rPr>
        <w:t>}</w:t>
      </w:r>
    </w:p>
    <w:p w14:paraId="016283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0" w:name="n8018"/>
      <w:bookmarkEnd w:id="9680"/>
      <w:r w:rsidRPr="008B264B">
        <w:rPr>
          <w:rFonts w:ascii="Times New Roman" w:eastAsia="Times New Roman" w:hAnsi="Times New Roman" w:cs="Times New Roman"/>
          <w:color w:val="000000"/>
          <w:sz w:val="24"/>
          <w:szCs w:val="24"/>
          <w:lang/>
        </w:rPr>
        <w:t>представникам або посадовим особам асоціацій - членів УЄФА;</w:t>
      </w:r>
    </w:p>
    <w:p w14:paraId="3B628F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1" w:name="n8019"/>
      <w:bookmarkEnd w:id="9681"/>
      <w:r w:rsidRPr="008B264B">
        <w:rPr>
          <w:rFonts w:ascii="Times New Roman" w:eastAsia="Times New Roman" w:hAnsi="Times New Roman" w:cs="Times New Roman"/>
          <w:color w:val="000000"/>
          <w:sz w:val="24"/>
          <w:szCs w:val="24"/>
          <w:lang/>
        </w:rPr>
        <w:t>членам делегацій, що беруть участь у чемпіонаті, у тому числі членам команд, які здобули право на участь у чемпіонаті;</w:t>
      </w:r>
    </w:p>
    <w:p w14:paraId="4F1D0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2" w:name="n8020"/>
      <w:bookmarkEnd w:id="9682"/>
      <w:r w:rsidRPr="008B264B">
        <w:rPr>
          <w:rFonts w:ascii="Times New Roman" w:eastAsia="Times New Roman" w:hAnsi="Times New Roman" w:cs="Times New Roman"/>
          <w:color w:val="000000"/>
          <w:sz w:val="24"/>
          <w:szCs w:val="24"/>
          <w:lang/>
        </w:rPr>
        <w:t>фізичним особам, акредитованим УЄФА.</w:t>
      </w:r>
    </w:p>
    <w:p w14:paraId="275A81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3" w:name="n8021"/>
      <w:bookmarkEnd w:id="9683"/>
      <w:r w:rsidRPr="008B264B">
        <w:rPr>
          <w:rFonts w:ascii="Times New Roman" w:eastAsia="Times New Roman" w:hAnsi="Times New Roman" w:cs="Times New Roman"/>
          <w:color w:val="000000"/>
          <w:sz w:val="24"/>
          <w:szCs w:val="24"/>
          <w:lang/>
        </w:rPr>
        <w:t>Дохід інших нерезидентів, отриманий у період підготовки та проведення чемпіонату із джерел походження з України, підлягає оподаткуванню на загальних підставах з урахуванням положень міжнародних договорів України про усунення подвійного оподаткування доходів, згода на обов'язковість яких надана Верховною Радою України.</w:t>
      </w:r>
    </w:p>
    <w:p w14:paraId="561D72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4" w:name="n8022"/>
      <w:bookmarkEnd w:id="9684"/>
      <w:r w:rsidRPr="008B264B">
        <w:rPr>
          <w:rFonts w:ascii="Times New Roman" w:eastAsia="Times New Roman" w:hAnsi="Times New Roman" w:cs="Times New Roman"/>
          <w:i/>
          <w:iCs/>
          <w:color w:val="000000"/>
          <w:sz w:val="24"/>
          <w:szCs w:val="24"/>
          <w:lang/>
        </w:rPr>
        <w:t>{Абзац п'ятий пункту 3 підрозділу 1 розділу XX із змінами, внесеними згідно із Законом </w:t>
      </w:r>
      <w:hyperlink r:id="rId5294" w:tgtFrame="_blank" w:history="1">
        <w:r w:rsidRPr="008B264B">
          <w:rPr>
            <w:rFonts w:ascii="Times New Roman" w:eastAsia="Times New Roman" w:hAnsi="Times New Roman" w:cs="Times New Roman"/>
            <w:i/>
            <w:iCs/>
            <w:color w:val="0000FF"/>
            <w:sz w:val="24"/>
            <w:szCs w:val="24"/>
            <w:u w:val="single"/>
            <w:lang/>
          </w:rPr>
          <w:t>№ 3292-VI від 21.04.2011</w:t>
        </w:r>
      </w:hyperlink>
      <w:r w:rsidRPr="008B264B">
        <w:rPr>
          <w:rFonts w:ascii="Times New Roman" w:eastAsia="Times New Roman" w:hAnsi="Times New Roman" w:cs="Times New Roman"/>
          <w:i/>
          <w:iCs/>
          <w:color w:val="000000"/>
          <w:sz w:val="24"/>
          <w:szCs w:val="24"/>
          <w:lang/>
        </w:rPr>
        <w:t>}</w:t>
      </w:r>
    </w:p>
    <w:p w14:paraId="42B5FB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5" w:name="n8023"/>
      <w:bookmarkEnd w:id="9685"/>
      <w:r w:rsidRPr="008B264B">
        <w:rPr>
          <w:rFonts w:ascii="Times New Roman" w:eastAsia="Times New Roman" w:hAnsi="Times New Roman" w:cs="Times New Roman"/>
          <w:color w:val="000000"/>
          <w:sz w:val="24"/>
          <w:szCs w:val="24"/>
          <w:lang/>
        </w:rPr>
        <w:t>4. Не підлягають оподаткуванню податком на доходи фізичних осіб кошти, що відповідно до закону, що регулює питання створення та функціонування фондів банківського управління, виплачуються в період дії цього Закону фізичним особам згідно з договорами довірчого управління, укладеними з учасниками фондів банківського управління, та договорами пенсійних вкладів, укладеними в період проведення такого експерименту (за винятком випадків, коли кошти знімаються такими фізичними особами з порушенням умов відповідно пенсійного вкладу або фонду банківського управління).</w:t>
      </w:r>
    </w:p>
    <w:p w14:paraId="5A80A1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6" w:name="n8024"/>
      <w:bookmarkEnd w:id="9686"/>
      <w:r w:rsidRPr="008B264B">
        <w:rPr>
          <w:rFonts w:ascii="Times New Roman" w:eastAsia="Times New Roman" w:hAnsi="Times New Roman" w:cs="Times New Roman"/>
          <w:i/>
          <w:iCs/>
          <w:color w:val="000000"/>
          <w:sz w:val="24"/>
          <w:szCs w:val="24"/>
          <w:lang/>
        </w:rPr>
        <w:t>{Абзац перший пункту 4 підрозділу 1 розділу XX із змінами, внесеними згідно із Законом </w:t>
      </w:r>
      <w:hyperlink r:id="rId529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3B20B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7" w:name="n8025"/>
      <w:bookmarkEnd w:id="9687"/>
      <w:r w:rsidRPr="008B264B">
        <w:rPr>
          <w:rFonts w:ascii="Times New Roman" w:eastAsia="Times New Roman" w:hAnsi="Times New Roman" w:cs="Times New Roman"/>
          <w:color w:val="000000"/>
          <w:sz w:val="24"/>
          <w:szCs w:val="24"/>
          <w:lang/>
        </w:rPr>
        <w:t>Встановити, що на період дії закону, що регулює питання створення та функціонування фондів банківського управління, не підлягають оподаткуванню цим податком (не відображаються в його річній податковій декларації) та не включаються до складу загального місячного або річного оподатковуваного доходу платника податку в межах норм, встановлених цим Кодексом, такі доходи:</w:t>
      </w:r>
    </w:p>
    <w:p w14:paraId="3082A7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8" w:name="n8026"/>
      <w:bookmarkEnd w:id="9688"/>
      <w:r w:rsidRPr="008B264B">
        <w:rPr>
          <w:rFonts w:ascii="Times New Roman" w:eastAsia="Times New Roman" w:hAnsi="Times New Roman" w:cs="Times New Roman"/>
          <w:i/>
          <w:iCs/>
          <w:color w:val="000000"/>
          <w:sz w:val="24"/>
          <w:szCs w:val="24"/>
          <w:lang/>
        </w:rPr>
        <w:t>{Абзац другий пункту 4 підрозділу 1 розділу XX із змінами, внесеними згідно із Законом </w:t>
      </w:r>
      <w:hyperlink r:id="rId529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1F6860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89" w:name="n8027"/>
      <w:bookmarkEnd w:id="9689"/>
      <w:r w:rsidRPr="008B264B">
        <w:rPr>
          <w:rFonts w:ascii="Times New Roman" w:eastAsia="Times New Roman" w:hAnsi="Times New Roman" w:cs="Times New Roman"/>
          <w:color w:val="000000"/>
          <w:sz w:val="24"/>
          <w:szCs w:val="24"/>
          <w:lang/>
        </w:rPr>
        <w:t>доходи, що були нараховані платнику податку відповідно до умов трудового або цивільно-правового договору та згодом перераховані на його пенсійний вклад або на його рахунок учасника фонду банківського управління, відкритий відповідно до закону, як під час їх нарахування, так і під час їх перерахування на такий вклад або такий рахунок;</w:t>
      </w:r>
    </w:p>
    <w:p w14:paraId="023BE3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0" w:name="n8028"/>
      <w:bookmarkEnd w:id="9690"/>
      <w:r w:rsidRPr="008B264B">
        <w:rPr>
          <w:rFonts w:ascii="Times New Roman" w:eastAsia="Times New Roman" w:hAnsi="Times New Roman" w:cs="Times New Roman"/>
          <w:color w:val="000000"/>
          <w:sz w:val="24"/>
          <w:szCs w:val="24"/>
          <w:lang/>
        </w:rPr>
        <w:t>кошти, що нараховуються та вносяться особою, яка не є платником податку, або її працедавцем (третьою особою) на користь платника податку на пенсійний вклад або рахунок учасника фонду банківського управління такого платника податку;</w:t>
      </w:r>
    </w:p>
    <w:p w14:paraId="4E83F0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1" w:name="n8029"/>
      <w:bookmarkEnd w:id="9691"/>
      <w:r w:rsidRPr="008B264B">
        <w:rPr>
          <w:rFonts w:ascii="Times New Roman" w:eastAsia="Times New Roman" w:hAnsi="Times New Roman" w:cs="Times New Roman"/>
          <w:color w:val="000000"/>
          <w:sz w:val="24"/>
          <w:szCs w:val="24"/>
          <w:lang/>
        </w:rPr>
        <w:lastRenderedPageBreak/>
        <w:t>кошти, перераховані фізичною особою до власного пенсійного вкладу чи на власний рахунок у фонді банківського управління або до пенсійного вкладу чи на рахунок у фонді банківського управління членів сім'ї такої фізичної особи першого ступеня споріднення;</w:t>
      </w:r>
    </w:p>
    <w:p w14:paraId="36A0D9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2" w:name="n8030"/>
      <w:bookmarkEnd w:id="9692"/>
      <w:r w:rsidRPr="008B264B">
        <w:rPr>
          <w:rFonts w:ascii="Times New Roman" w:eastAsia="Times New Roman" w:hAnsi="Times New Roman" w:cs="Times New Roman"/>
          <w:color w:val="000000"/>
          <w:sz w:val="24"/>
          <w:szCs w:val="24"/>
          <w:lang/>
        </w:rPr>
        <w:t>доходи, нараховані платнику податку за договором пенсійного вкладу або за договором довірчого управління, укладеного з уповноваженим банком відповідно до закону.</w:t>
      </w:r>
    </w:p>
    <w:p w14:paraId="53BAFE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3" w:name="n8031"/>
      <w:bookmarkEnd w:id="9693"/>
      <w:r w:rsidRPr="008B264B">
        <w:rPr>
          <w:rFonts w:ascii="Times New Roman" w:eastAsia="Times New Roman" w:hAnsi="Times New Roman" w:cs="Times New Roman"/>
          <w:i/>
          <w:iCs/>
          <w:color w:val="000000"/>
          <w:sz w:val="24"/>
          <w:szCs w:val="24"/>
          <w:lang/>
        </w:rPr>
        <w:t>{Абзац сьомий пункту 4 підрозділу 1 розділу XX виключено на підставі Закону </w:t>
      </w:r>
      <w:hyperlink r:id="rId529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7C38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4" w:name="n8032"/>
      <w:bookmarkEnd w:id="9694"/>
      <w:r w:rsidRPr="008B264B">
        <w:rPr>
          <w:rFonts w:ascii="Times New Roman" w:eastAsia="Times New Roman" w:hAnsi="Times New Roman" w:cs="Times New Roman"/>
          <w:color w:val="000000"/>
          <w:sz w:val="24"/>
          <w:szCs w:val="24"/>
          <w:lang/>
        </w:rPr>
        <w:t>5. Якщо норми інших законів містять посилання на неоподатковуваний мінімум доходів громадян, то для цілей їх застосування використовується сума в розмірі 17 гривень, крім норм адміністративного та кримінального законодавства в частині кваліфікації адміністративних або кримінальних правопорушень, для яких сума неоподатковуваного мінімуму встановлюється на рівні податкової соціальної пільги, визначеної </w:t>
      </w:r>
      <w:hyperlink r:id="rId5298" w:anchor="n3917" w:history="1">
        <w:r w:rsidRPr="008B264B">
          <w:rPr>
            <w:rFonts w:ascii="Times New Roman" w:eastAsia="Times New Roman" w:hAnsi="Times New Roman" w:cs="Times New Roman"/>
            <w:color w:val="0000FF"/>
            <w:sz w:val="24"/>
            <w:szCs w:val="24"/>
            <w:u w:val="single"/>
            <w:lang/>
          </w:rPr>
          <w:t>підпунктом 169.1.1</w:t>
        </w:r>
      </w:hyperlink>
      <w:r w:rsidRPr="008B264B">
        <w:rPr>
          <w:rFonts w:ascii="Times New Roman" w:eastAsia="Times New Roman" w:hAnsi="Times New Roman" w:cs="Times New Roman"/>
          <w:color w:val="000000"/>
          <w:sz w:val="24"/>
          <w:szCs w:val="24"/>
          <w:lang/>
        </w:rPr>
        <w:t> пункту 169.1 статті 169 розділу IV цього Кодексу для відповідного року.</w:t>
      </w:r>
    </w:p>
    <w:p w14:paraId="34198A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5" w:name="n8033"/>
      <w:bookmarkEnd w:id="9695"/>
      <w:r w:rsidRPr="008B264B">
        <w:rPr>
          <w:rFonts w:ascii="Times New Roman" w:eastAsia="Times New Roman" w:hAnsi="Times New Roman" w:cs="Times New Roman"/>
          <w:i/>
          <w:iCs/>
          <w:color w:val="000000"/>
          <w:sz w:val="24"/>
          <w:szCs w:val="24"/>
          <w:lang/>
        </w:rPr>
        <w:t>{Пункт 5 підрозділу 1 розділу XX із змінами, внесеними згідно із Законом </w:t>
      </w:r>
      <w:hyperlink r:id="rId5299" w:anchor="n181"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52DD60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6" w:name="n8034"/>
      <w:bookmarkEnd w:id="9696"/>
      <w:r w:rsidRPr="008B264B">
        <w:rPr>
          <w:rFonts w:ascii="Times New Roman" w:eastAsia="Times New Roman" w:hAnsi="Times New Roman" w:cs="Times New Roman"/>
          <w:i/>
          <w:iCs/>
          <w:color w:val="000000"/>
          <w:sz w:val="24"/>
          <w:szCs w:val="24"/>
          <w:lang/>
        </w:rPr>
        <w:t>{Пункт 6 підрозділу 1 розділу XX виключено на підставі Закону </w:t>
      </w:r>
      <w:hyperlink r:id="rId5300" w:anchor="n6"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11C85B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7" w:name="n9854"/>
      <w:bookmarkEnd w:id="9697"/>
      <w:r w:rsidRPr="008B264B">
        <w:rPr>
          <w:rFonts w:ascii="Times New Roman" w:eastAsia="Times New Roman" w:hAnsi="Times New Roman" w:cs="Times New Roman"/>
          <w:color w:val="000000"/>
          <w:sz w:val="24"/>
          <w:szCs w:val="24"/>
          <w:lang/>
        </w:rPr>
        <w:t>7. На період з 1 квітня до 1 липня 2014 року призупинити дію </w:t>
      </w:r>
      <w:hyperlink r:id="rId5301" w:anchor="n3645" w:history="1">
        <w:r w:rsidRPr="008B264B">
          <w:rPr>
            <w:rFonts w:ascii="Times New Roman" w:eastAsia="Times New Roman" w:hAnsi="Times New Roman" w:cs="Times New Roman"/>
            <w:color w:val="0000FF"/>
            <w:sz w:val="24"/>
            <w:szCs w:val="24"/>
            <w:u w:val="single"/>
            <w:lang/>
          </w:rPr>
          <w:t>підпункту 164.2.8</w:t>
        </w:r>
      </w:hyperlink>
      <w:r w:rsidRPr="008B264B">
        <w:rPr>
          <w:rFonts w:ascii="Times New Roman" w:eastAsia="Times New Roman" w:hAnsi="Times New Roman" w:cs="Times New Roman"/>
          <w:color w:val="000000"/>
          <w:sz w:val="24"/>
          <w:szCs w:val="24"/>
          <w:lang/>
        </w:rPr>
        <w:t> пункту 164.2 статті 164 цього Кодексу в частині включення до загального місячного (річного) оподатковуваного доходу у вигляді процентів на поточний або депозитний (вкладний) банківський рахунок, вклад (депозитний) до небанківських фінансових установ згідно із законом або на депозитний (ощадний) сертифікат та абзаців другого - четвертого </w:t>
      </w:r>
      <w:hyperlink r:id="rId5302" w:anchor="n3858" w:history="1">
        <w:r w:rsidRPr="008B264B">
          <w:rPr>
            <w:rFonts w:ascii="Times New Roman" w:eastAsia="Times New Roman" w:hAnsi="Times New Roman" w:cs="Times New Roman"/>
            <w:color w:val="0000FF"/>
            <w:sz w:val="24"/>
            <w:szCs w:val="24"/>
            <w:u w:val="single"/>
            <w:lang/>
          </w:rPr>
          <w:t>пункту 167.2</w:t>
        </w:r>
      </w:hyperlink>
      <w:r w:rsidRPr="008B264B">
        <w:rPr>
          <w:rFonts w:ascii="Times New Roman" w:eastAsia="Times New Roman" w:hAnsi="Times New Roman" w:cs="Times New Roman"/>
          <w:color w:val="000000"/>
          <w:sz w:val="24"/>
          <w:szCs w:val="24"/>
          <w:lang/>
        </w:rPr>
        <w:t> статті 167 цього Кодексу у частині оподаткування процентів.</w:t>
      </w:r>
    </w:p>
    <w:p w14:paraId="4E5B24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8" w:name="n9853"/>
      <w:bookmarkEnd w:id="9698"/>
      <w:r w:rsidRPr="008B264B">
        <w:rPr>
          <w:rFonts w:ascii="Times New Roman" w:eastAsia="Times New Roman" w:hAnsi="Times New Roman" w:cs="Times New Roman"/>
          <w:i/>
          <w:iCs/>
          <w:color w:val="000000"/>
          <w:sz w:val="24"/>
          <w:szCs w:val="24"/>
          <w:lang/>
        </w:rPr>
        <w:t>{Підрозділ 1 розділу XX доповнено пунктом 7 згідно із Законом </w:t>
      </w:r>
      <w:hyperlink r:id="rId5303" w:anchor="n47"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999BC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699" w:name="n12339"/>
      <w:bookmarkEnd w:id="9699"/>
      <w:r w:rsidRPr="008B264B">
        <w:rPr>
          <w:rFonts w:ascii="Times New Roman" w:eastAsia="Times New Roman" w:hAnsi="Times New Roman" w:cs="Times New Roman"/>
          <w:color w:val="000000"/>
          <w:sz w:val="24"/>
          <w:szCs w:val="24"/>
          <w:lang/>
        </w:rPr>
        <w:t>8. Не вважається додатковим благом платника податку та не включається до розрахунку загального місячного (річного) оподатковуваного доходу сума, прощена (анульована) кредитором у розмірі різниці між основною сумою боргу за фінансовим кредитом в іноземній валюті, визначена за офіційним курсом Національного банку України на дату зміни валюти зобов’язання за таким кредитом з іноземної валюти у гривню, та сумою такого боргу, визначеною за офіційним курсом Національного банку України станом на 1 січня 2014 року, а також сума процентів, комісії та/або штрафних санкцій (пені) за такими кредитами, прощених (анульованих) кредитором за його самостійним рішенням, не пов’язаним із процедурою його банкрутства, до закінчення строку позовної давності. Норми цього пункту застосовуються до фінансових кредитів в іноземній валюті, не погашених до 1 січня 2014 року.</w:t>
      </w:r>
    </w:p>
    <w:p w14:paraId="39F3F0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0" w:name="n12340"/>
      <w:bookmarkEnd w:id="9700"/>
      <w:r w:rsidRPr="008B264B">
        <w:rPr>
          <w:rFonts w:ascii="Times New Roman" w:eastAsia="Times New Roman" w:hAnsi="Times New Roman" w:cs="Times New Roman"/>
          <w:color w:val="000000"/>
          <w:sz w:val="24"/>
          <w:szCs w:val="24"/>
          <w:lang/>
        </w:rPr>
        <w:t>Дія абзацу першого цього пункту поширюється на операції з прощення (анулювання) кредитором боржникові заборгованості за фінансовим кредитом в іноземній валюті, що здійснювалися починаючи з 1 січня 2015 року.</w:t>
      </w:r>
    </w:p>
    <w:p w14:paraId="5E66FF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1" w:name="n12338"/>
      <w:bookmarkEnd w:id="9701"/>
      <w:r w:rsidRPr="008B264B">
        <w:rPr>
          <w:rFonts w:ascii="Times New Roman" w:eastAsia="Times New Roman" w:hAnsi="Times New Roman" w:cs="Times New Roman"/>
          <w:i/>
          <w:iCs/>
          <w:color w:val="000000"/>
          <w:sz w:val="24"/>
          <w:szCs w:val="24"/>
          <w:lang/>
        </w:rPr>
        <w:t>{Підрозділ 1 розділу XX доповнено пунктом 8 згідно із Законом </w:t>
      </w:r>
      <w:hyperlink r:id="rId5304" w:anchor="n15" w:tgtFrame="_blank" w:history="1">
        <w:r w:rsidRPr="008B264B">
          <w:rPr>
            <w:rFonts w:ascii="Times New Roman" w:eastAsia="Times New Roman" w:hAnsi="Times New Roman" w:cs="Times New Roman"/>
            <w:i/>
            <w:iCs/>
            <w:color w:val="0000FF"/>
            <w:sz w:val="24"/>
            <w:szCs w:val="24"/>
            <w:u w:val="single"/>
            <w:lang/>
          </w:rPr>
          <w:t>№ 321-VIII від 09.04.2015</w:t>
        </w:r>
      </w:hyperlink>
      <w:r w:rsidRPr="008B264B">
        <w:rPr>
          <w:rFonts w:ascii="Times New Roman" w:eastAsia="Times New Roman" w:hAnsi="Times New Roman" w:cs="Times New Roman"/>
          <w:i/>
          <w:iCs/>
          <w:color w:val="000000"/>
          <w:sz w:val="24"/>
          <w:szCs w:val="24"/>
          <w:lang/>
        </w:rPr>
        <w:t>}</w:t>
      </w:r>
    </w:p>
    <w:p w14:paraId="30766B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2" w:name="n13038"/>
      <w:bookmarkEnd w:id="9702"/>
      <w:r w:rsidRPr="008B264B">
        <w:rPr>
          <w:rFonts w:ascii="Times New Roman" w:eastAsia="Times New Roman" w:hAnsi="Times New Roman" w:cs="Times New Roman"/>
          <w:color w:val="000000"/>
          <w:sz w:val="24"/>
          <w:szCs w:val="24"/>
          <w:lang/>
        </w:rPr>
        <w:t>9. Тимчасово, на період реалізації проекту модернізації Бортницької станції очистки стічних вод у рамках реалізації проекту "Реконструкція споруд очистки стічних каналізаційних вод і будівництво технологічної лінії по обробці та утилізації осадів Бортницької станції аерації", затвердженого Кабінетом Міністрів України (далі - Проект), не підлягають оподаткуванню податком на доходи фізичних осіб доходи, що нараховані (виплачені, надані) громадянам Японії (незалежно від їхнього резидентського статусу) японськими суб’єктами з реалізації Проекту у формі заробітної плати та/або винагороди за цивільно-правовими договорами. Зазначене звільнення застосовується лише до тієї частини доходів, що пов’язана з реалізацією Проекту.</w:t>
      </w:r>
    </w:p>
    <w:p w14:paraId="4A15D6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3" w:name="n13039"/>
      <w:bookmarkEnd w:id="9703"/>
      <w:r w:rsidRPr="008B264B">
        <w:rPr>
          <w:rFonts w:ascii="Times New Roman" w:eastAsia="Times New Roman" w:hAnsi="Times New Roman" w:cs="Times New Roman"/>
          <w:color w:val="000000"/>
          <w:sz w:val="24"/>
          <w:szCs w:val="24"/>
          <w:lang/>
        </w:rPr>
        <w:t>Японським суб’єктом з реалізації Проекту може бути:</w:t>
      </w:r>
    </w:p>
    <w:p w14:paraId="42CF1F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4" w:name="n13040"/>
      <w:bookmarkEnd w:id="9704"/>
      <w:r w:rsidRPr="008B264B">
        <w:rPr>
          <w:rFonts w:ascii="Times New Roman" w:eastAsia="Times New Roman" w:hAnsi="Times New Roman" w:cs="Times New Roman"/>
          <w:color w:val="000000"/>
          <w:sz w:val="24"/>
          <w:szCs w:val="24"/>
          <w:lang/>
        </w:rPr>
        <w:lastRenderedPageBreak/>
        <w:t>а) юридична особа, яка є резидентом Японії і зареєстрована відповідно до законодавства Японії;</w:t>
      </w:r>
    </w:p>
    <w:p w14:paraId="1EFF56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5" w:name="n13041"/>
      <w:bookmarkEnd w:id="9705"/>
      <w:r w:rsidRPr="008B264B">
        <w:rPr>
          <w:rFonts w:ascii="Times New Roman" w:eastAsia="Times New Roman" w:hAnsi="Times New Roman" w:cs="Times New Roman"/>
          <w:color w:val="000000"/>
          <w:sz w:val="24"/>
          <w:szCs w:val="24"/>
          <w:lang/>
        </w:rPr>
        <w:t>б) зареєстроване в Україні постійне представництво юридичної особи, яка є резидентом Японії і зареєстрована відповідно до законодавства Японії;</w:t>
      </w:r>
    </w:p>
    <w:p w14:paraId="44A5D2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6" w:name="n13042"/>
      <w:bookmarkEnd w:id="9706"/>
      <w:r w:rsidRPr="008B264B">
        <w:rPr>
          <w:rFonts w:ascii="Times New Roman" w:eastAsia="Times New Roman" w:hAnsi="Times New Roman" w:cs="Times New Roman"/>
          <w:color w:val="000000"/>
          <w:sz w:val="24"/>
          <w:szCs w:val="24"/>
          <w:lang/>
        </w:rPr>
        <w:t>в) юридична особа, що є дочірнім підприємством юридичної особи, яка є резидентом Японії і зареєстрована відповідно до законодавства Японії;</w:t>
      </w:r>
    </w:p>
    <w:p w14:paraId="287811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7" w:name="n13043"/>
      <w:bookmarkEnd w:id="9707"/>
      <w:r w:rsidRPr="008B264B">
        <w:rPr>
          <w:rFonts w:ascii="Times New Roman" w:eastAsia="Times New Roman" w:hAnsi="Times New Roman" w:cs="Times New Roman"/>
          <w:color w:val="000000"/>
          <w:sz w:val="24"/>
          <w:szCs w:val="24"/>
          <w:lang/>
        </w:rPr>
        <w:t>г) договір про спільну діяльність, одним або кількома учасниками якого (з участю у такому договорі більше ніж 50 відсотків) є особи, визначені у підпунктах "а"-"в" цього пункту, укладений виключно з метою здійснення спільної діяльності з реалізації Проекту.</w:t>
      </w:r>
    </w:p>
    <w:p w14:paraId="21570B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8" w:name="n13044"/>
      <w:bookmarkEnd w:id="9708"/>
      <w:r w:rsidRPr="008B264B">
        <w:rPr>
          <w:rFonts w:ascii="Times New Roman" w:eastAsia="Times New Roman" w:hAnsi="Times New Roman" w:cs="Times New Roman"/>
          <w:color w:val="000000"/>
          <w:sz w:val="24"/>
          <w:szCs w:val="24"/>
          <w:lang/>
        </w:rPr>
        <w:t>Визначення терміна "японський суб’єкт з реалізації Проекту" застосовується у </w:t>
      </w:r>
      <w:hyperlink r:id="rId5305" w:anchor="n12973" w:history="1">
        <w:r w:rsidRPr="008B264B">
          <w:rPr>
            <w:rFonts w:ascii="Times New Roman" w:eastAsia="Times New Roman" w:hAnsi="Times New Roman" w:cs="Times New Roman"/>
            <w:color w:val="0000FF"/>
            <w:sz w:val="24"/>
            <w:szCs w:val="24"/>
            <w:u w:val="single"/>
            <w:lang/>
          </w:rPr>
          <w:t>пункті 46</w:t>
        </w:r>
      </w:hyperlink>
      <w:r w:rsidRPr="008B264B">
        <w:rPr>
          <w:rFonts w:ascii="Times New Roman" w:eastAsia="Times New Roman" w:hAnsi="Times New Roman" w:cs="Times New Roman"/>
          <w:color w:val="000000"/>
          <w:sz w:val="24"/>
          <w:szCs w:val="24"/>
          <w:lang/>
        </w:rPr>
        <w:t> підрозділу 2, </w:t>
      </w:r>
      <w:hyperlink r:id="rId5306" w:anchor="n13055" w:history="1">
        <w:r w:rsidRPr="008B264B">
          <w:rPr>
            <w:rFonts w:ascii="Times New Roman" w:eastAsia="Times New Roman" w:hAnsi="Times New Roman" w:cs="Times New Roman"/>
            <w:color w:val="0000FF"/>
            <w:sz w:val="24"/>
            <w:szCs w:val="24"/>
            <w:u w:val="single"/>
            <w:lang/>
          </w:rPr>
          <w:t>пункті 38</w:t>
        </w:r>
      </w:hyperlink>
      <w:r w:rsidRPr="008B264B">
        <w:rPr>
          <w:rFonts w:ascii="Times New Roman" w:eastAsia="Times New Roman" w:hAnsi="Times New Roman" w:cs="Times New Roman"/>
          <w:color w:val="000000"/>
          <w:sz w:val="24"/>
          <w:szCs w:val="24"/>
          <w:lang/>
        </w:rPr>
        <w:t> підрозділу 4 та </w:t>
      </w:r>
      <w:hyperlink r:id="rId5307" w:anchor="n10056" w:history="1">
        <w:r w:rsidRPr="008B264B">
          <w:rPr>
            <w:rFonts w:ascii="Times New Roman" w:eastAsia="Times New Roman" w:hAnsi="Times New Roman" w:cs="Times New Roman"/>
            <w:color w:val="0000FF"/>
            <w:sz w:val="24"/>
            <w:szCs w:val="24"/>
            <w:u w:val="single"/>
            <w:lang/>
          </w:rPr>
          <w:t>пункті 16</w:t>
        </w:r>
      </w:hyperlink>
      <w:hyperlink r:id="rId5308" w:anchor="n10056"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підрозділу 10 цього розділу.</w:t>
      </w:r>
    </w:p>
    <w:p w14:paraId="236F58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09" w:name="n13045"/>
      <w:bookmarkEnd w:id="9709"/>
      <w:r w:rsidRPr="008B264B">
        <w:rPr>
          <w:rFonts w:ascii="Times New Roman" w:eastAsia="Times New Roman" w:hAnsi="Times New Roman" w:cs="Times New Roman"/>
          <w:color w:val="000000"/>
          <w:sz w:val="24"/>
          <w:szCs w:val="24"/>
          <w:lang/>
        </w:rPr>
        <w:t>У разі якщо японським суб’єктом з реалізації Проекту виступатиме договір про спільну діяльність, одним або кількома учасниками якого (з участю у такому договорі більше ніж 50 відсотків) є особи, визначені у підпунктах "а"-"в" цього пункту, норми цього пункту застосовуються виключно до доходів громадян Японії, що нараховуються (виплачуються, надаються) оператором такої спільної діяльності.</w:t>
      </w:r>
    </w:p>
    <w:p w14:paraId="01A710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0" w:name="n13037"/>
      <w:bookmarkEnd w:id="9710"/>
      <w:r w:rsidRPr="008B264B">
        <w:rPr>
          <w:rFonts w:ascii="Times New Roman" w:eastAsia="Times New Roman" w:hAnsi="Times New Roman" w:cs="Times New Roman"/>
          <w:i/>
          <w:iCs/>
          <w:color w:val="000000"/>
          <w:sz w:val="24"/>
          <w:szCs w:val="24"/>
          <w:lang/>
        </w:rPr>
        <w:t>{Підрозділ 1 розділу XX доповнено пунктом 9 згідно із Законом </w:t>
      </w:r>
      <w:hyperlink r:id="rId5309" w:anchor="n9" w:tgtFrame="_blank" w:history="1">
        <w:r w:rsidRPr="008B264B">
          <w:rPr>
            <w:rFonts w:ascii="Times New Roman" w:eastAsia="Times New Roman" w:hAnsi="Times New Roman" w:cs="Times New Roman"/>
            <w:i/>
            <w:iCs/>
            <w:color w:val="0000FF"/>
            <w:sz w:val="24"/>
            <w:szCs w:val="24"/>
            <w:u w:val="single"/>
            <w:lang/>
          </w:rPr>
          <w:t>№ 903-VIII від 23.12.2015</w:t>
        </w:r>
      </w:hyperlink>
      <w:r w:rsidRPr="008B264B">
        <w:rPr>
          <w:rFonts w:ascii="Times New Roman" w:eastAsia="Times New Roman" w:hAnsi="Times New Roman" w:cs="Times New Roman"/>
          <w:i/>
          <w:iCs/>
          <w:color w:val="000000"/>
          <w:sz w:val="24"/>
          <w:szCs w:val="24"/>
          <w:lang/>
        </w:rPr>
        <w:t>}</w:t>
      </w:r>
    </w:p>
    <w:p w14:paraId="011F58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1" w:name="n15107"/>
      <w:bookmarkEnd w:id="9711"/>
      <w:r w:rsidRPr="008B264B">
        <w:rPr>
          <w:rFonts w:ascii="Times New Roman" w:eastAsia="Times New Roman" w:hAnsi="Times New Roman" w:cs="Times New Roman"/>
          <w:color w:val="000000"/>
          <w:sz w:val="24"/>
          <w:szCs w:val="24"/>
          <w:lang/>
        </w:rPr>
        <w:t>10. До загального місячного (річного) оподатковуваного доходу платника податку на доходи фізичних осіб не включаються доходи, отримані до 1 червня 2018 року з джерела їх походження в Україні, та іноземні доходи, отримані за роботи та/або послуги, виконані та надані на території України або за її межами для цілей підготовки та проведення в Україні фінальних матчів Ліги чемпіонів УЄФА та Ліги чемпіонів УЄФА серед жінок сезону 2017/2018, зокрема, але не виключно, у вигляді заробітної плати, відшкодування видатків та добових, оплати проживання, забезпечення медичного страхування та/або страхування життя таким особам або третім особам на користь таких осіб (крім резидентів України у розумінні </w:t>
      </w:r>
      <w:hyperlink r:id="rId5310" w:anchor="n689" w:history="1">
        <w:r w:rsidRPr="008B264B">
          <w:rPr>
            <w:rFonts w:ascii="Times New Roman" w:eastAsia="Times New Roman" w:hAnsi="Times New Roman" w:cs="Times New Roman"/>
            <w:color w:val="0000FF"/>
            <w:sz w:val="24"/>
            <w:szCs w:val="24"/>
            <w:u w:val="single"/>
            <w:lang/>
          </w:rPr>
          <w:t>підпункту 14.1.213</w:t>
        </w:r>
      </w:hyperlink>
      <w:r w:rsidRPr="008B264B">
        <w:rPr>
          <w:rFonts w:ascii="Times New Roman" w:eastAsia="Times New Roman" w:hAnsi="Times New Roman" w:cs="Times New Roman"/>
          <w:color w:val="000000"/>
          <w:sz w:val="24"/>
          <w:szCs w:val="24"/>
          <w:lang/>
        </w:rPr>
        <w:t> пункту 14.1 статті 14 цього Кодексу) незалежно від їх участі у проведенні зазначених фінальних матчів:</w:t>
      </w:r>
    </w:p>
    <w:p w14:paraId="2A9CA7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2" w:name="n15108"/>
      <w:bookmarkEnd w:id="9712"/>
      <w:r w:rsidRPr="008B264B">
        <w:rPr>
          <w:rFonts w:ascii="Times New Roman" w:eastAsia="Times New Roman" w:hAnsi="Times New Roman" w:cs="Times New Roman"/>
          <w:color w:val="000000"/>
          <w:sz w:val="24"/>
          <w:szCs w:val="24"/>
          <w:lang/>
        </w:rPr>
        <w:t>представникам або посадовим особам асоціацій - членам УЄФА;</w:t>
      </w:r>
    </w:p>
    <w:p w14:paraId="56C07E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3" w:name="n15109"/>
      <w:bookmarkEnd w:id="9713"/>
      <w:r w:rsidRPr="008B264B">
        <w:rPr>
          <w:rFonts w:ascii="Times New Roman" w:eastAsia="Times New Roman" w:hAnsi="Times New Roman" w:cs="Times New Roman"/>
          <w:color w:val="000000"/>
          <w:sz w:val="24"/>
          <w:szCs w:val="24"/>
          <w:lang/>
        </w:rPr>
        <w:t>членам делегацій, які беруть участь у фінальних матчах чемпіонату, у тому числі членам команд, які здобули право на участь у фінальних матчах;</w:t>
      </w:r>
    </w:p>
    <w:p w14:paraId="31BD68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4" w:name="n15110"/>
      <w:bookmarkEnd w:id="9714"/>
      <w:r w:rsidRPr="008B264B">
        <w:rPr>
          <w:rFonts w:ascii="Times New Roman" w:eastAsia="Times New Roman" w:hAnsi="Times New Roman" w:cs="Times New Roman"/>
          <w:color w:val="000000"/>
          <w:sz w:val="24"/>
          <w:szCs w:val="24"/>
          <w:lang/>
        </w:rPr>
        <w:t>фізичним особам, акредитованим УЄФА, зокрема працівникам та тимчасовим працівникам, представникам засобів масової інформації, партнерам УЄФА, представникам спонсорів.</w:t>
      </w:r>
    </w:p>
    <w:p w14:paraId="4A4DB9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5" w:name="n15111"/>
      <w:bookmarkEnd w:id="9715"/>
      <w:r w:rsidRPr="008B264B">
        <w:rPr>
          <w:rFonts w:ascii="Times New Roman" w:eastAsia="Times New Roman" w:hAnsi="Times New Roman" w:cs="Times New Roman"/>
          <w:color w:val="000000"/>
          <w:sz w:val="24"/>
          <w:szCs w:val="24"/>
          <w:lang/>
        </w:rPr>
        <w:t>Для цілей цього пункту термін "УЄФА" вживається у значенні "Союз європейських футбольних асоціацій".</w:t>
      </w:r>
    </w:p>
    <w:p w14:paraId="22C6CA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6" w:name="n15112"/>
      <w:bookmarkEnd w:id="9716"/>
      <w:r w:rsidRPr="008B264B">
        <w:rPr>
          <w:rFonts w:ascii="Times New Roman" w:eastAsia="Times New Roman" w:hAnsi="Times New Roman" w:cs="Times New Roman"/>
          <w:color w:val="000000"/>
          <w:sz w:val="24"/>
          <w:szCs w:val="24"/>
          <w:lang/>
        </w:rPr>
        <w:t>Дохід інших нерезидентів, отриманий до 1 червня 2018 року із джерел походження з України, підлягає оподаткуванню на загальних підставах з урахуванням положень міжнародних договорів України про уникнення подвійного оподаткування, згода на обов’язковість яких надана Верховною Радою України.</w:t>
      </w:r>
    </w:p>
    <w:p w14:paraId="3F5CC6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7" w:name="n15106"/>
      <w:bookmarkEnd w:id="9717"/>
      <w:r w:rsidRPr="008B264B">
        <w:rPr>
          <w:rFonts w:ascii="Times New Roman" w:eastAsia="Times New Roman" w:hAnsi="Times New Roman" w:cs="Times New Roman"/>
          <w:i/>
          <w:iCs/>
          <w:color w:val="000000"/>
          <w:sz w:val="24"/>
          <w:szCs w:val="24"/>
          <w:lang/>
        </w:rPr>
        <w:t>{Підрозділ 1 розділу XX доповнено пунктом 10 згідно із Законом </w:t>
      </w:r>
      <w:hyperlink r:id="rId5311" w:anchor="n6" w:tgtFrame="_blank" w:history="1">
        <w:r w:rsidRPr="008B264B">
          <w:rPr>
            <w:rFonts w:ascii="Times New Roman" w:eastAsia="Times New Roman" w:hAnsi="Times New Roman" w:cs="Times New Roman"/>
            <w:i/>
            <w:iCs/>
            <w:color w:val="0000FF"/>
            <w:sz w:val="24"/>
            <w:szCs w:val="24"/>
            <w:u w:val="single"/>
            <w:lang/>
          </w:rPr>
          <w:t>№ 2374-VIII від 22.03.2018</w:t>
        </w:r>
      </w:hyperlink>
      <w:r w:rsidRPr="008B264B">
        <w:rPr>
          <w:rFonts w:ascii="Times New Roman" w:eastAsia="Times New Roman" w:hAnsi="Times New Roman" w:cs="Times New Roman"/>
          <w:i/>
          <w:iCs/>
          <w:color w:val="000000"/>
          <w:sz w:val="24"/>
          <w:szCs w:val="24"/>
          <w:lang/>
        </w:rPr>
        <w:t>}</w:t>
      </w:r>
    </w:p>
    <w:p w14:paraId="6536D590"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9718" w:name="n8035"/>
      <w:bookmarkEnd w:id="9718"/>
      <w:r w:rsidRPr="008B264B">
        <w:rPr>
          <w:rFonts w:ascii="Times New Roman" w:eastAsia="Times New Roman" w:hAnsi="Times New Roman" w:cs="Times New Roman"/>
          <w:b/>
          <w:bCs/>
          <w:color w:val="000000"/>
          <w:sz w:val="28"/>
          <w:szCs w:val="28"/>
          <w:lang/>
        </w:rPr>
        <w:t>Підрозділ 2. Особливості справляння податку на додану вартість</w:t>
      </w:r>
    </w:p>
    <w:p w14:paraId="03ABEB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19" w:name="n8036"/>
      <w:bookmarkEnd w:id="9719"/>
      <w:r w:rsidRPr="008B264B">
        <w:rPr>
          <w:rFonts w:ascii="Times New Roman" w:eastAsia="Times New Roman" w:hAnsi="Times New Roman" w:cs="Times New Roman"/>
          <w:color w:val="000000"/>
          <w:sz w:val="24"/>
          <w:szCs w:val="24"/>
          <w:lang/>
        </w:rPr>
        <w:t>1. У період до 1 січня 2015 року податок на додану вартість юридичними особами, які зареєстровані платниками податку на додану вартість, при здійсненні ними операцій з постачання власної виробленої продукції (молока, молочної сировини, молочних продуктів, м'яса, м'ясопродуктів, іншої продукції переробки тварин (шкур, субпродуктів, м'ясо-кісткового борошна), виготовленої з поставлених молока або м'яса в живій вазі сільськогосподарськими підприємствами, визначеними </w:t>
      </w:r>
      <w:hyperlink r:id="rId5312"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xml:space="preserve"> Кодексу, іншими юридичними і фізичними особами, у тому числі фізичними особами - підприємцями, які самостійно вирощують, розводять, </w:t>
      </w:r>
      <w:r w:rsidRPr="008B264B">
        <w:rPr>
          <w:rFonts w:ascii="Times New Roman" w:eastAsia="Times New Roman" w:hAnsi="Times New Roman" w:cs="Times New Roman"/>
          <w:color w:val="000000"/>
          <w:sz w:val="24"/>
          <w:szCs w:val="24"/>
          <w:lang/>
        </w:rPr>
        <w:lastRenderedPageBreak/>
        <w:t>відгодовують продукцію тваринництва, визначену розділом V Кодексу (далі - переробні підприємства), справляється з урахуванням таких особливостей:</w:t>
      </w:r>
    </w:p>
    <w:p w14:paraId="757E0B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0" w:name="n8037"/>
      <w:bookmarkEnd w:id="9720"/>
      <w:r w:rsidRPr="008B264B">
        <w:rPr>
          <w:rFonts w:ascii="Times New Roman" w:eastAsia="Times New Roman" w:hAnsi="Times New Roman" w:cs="Times New Roman"/>
          <w:i/>
          <w:iCs/>
          <w:color w:val="000000"/>
          <w:sz w:val="24"/>
          <w:szCs w:val="24"/>
          <w:lang/>
        </w:rPr>
        <w:t>{Абзац перший пункту 1 підрозділу 2 розділу XX із змінами, внесеними згідно із Законом </w:t>
      </w:r>
      <w:hyperlink r:id="rId5313" w:anchor="n48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F8E9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1" w:name="n8038"/>
      <w:bookmarkEnd w:id="9721"/>
      <w:r w:rsidRPr="008B264B">
        <w:rPr>
          <w:rFonts w:ascii="Times New Roman" w:eastAsia="Times New Roman" w:hAnsi="Times New Roman" w:cs="Times New Roman"/>
          <w:color w:val="000000"/>
          <w:sz w:val="24"/>
          <w:szCs w:val="24"/>
          <w:lang/>
        </w:rPr>
        <w:t>1) норми цього пункту не поширюються на операції з постачання продукції, виготовленої переробними підприємствами з імпортованої сировини, сировини, поставленої не в живій вазі, сировини, що не є сировиною власного виробництва сільськогосподарських підприємств, визначених </w:t>
      </w:r>
      <w:hyperlink r:id="rId5314"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Кодексу, інших юридичних і фізичних осіб, у тому числі фізичних осіб - підприємців, які самостійно вирощують, розводять, відгодовують продукцію тваринництва, визначену цим Кодексом (далі - сільськогосподарські товаровиробники);</w:t>
      </w:r>
    </w:p>
    <w:p w14:paraId="1C171C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2" w:name="n8039"/>
      <w:bookmarkEnd w:id="9722"/>
      <w:r w:rsidRPr="008B264B">
        <w:rPr>
          <w:rFonts w:ascii="Times New Roman" w:eastAsia="Times New Roman" w:hAnsi="Times New Roman" w:cs="Times New Roman"/>
          <w:i/>
          <w:iCs/>
          <w:color w:val="000000"/>
          <w:sz w:val="24"/>
          <w:szCs w:val="24"/>
          <w:lang/>
        </w:rPr>
        <w:t>{Підпункт 1 пункту 1 підрозділу 2 розділу XX із змінами, внесеними згідно із Законом </w:t>
      </w:r>
      <w:hyperlink r:id="rId5315" w:anchor="n483"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3DB76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3" w:name="n8040"/>
      <w:bookmarkEnd w:id="9723"/>
      <w:r w:rsidRPr="008B264B">
        <w:rPr>
          <w:rFonts w:ascii="Times New Roman" w:eastAsia="Times New Roman" w:hAnsi="Times New Roman" w:cs="Times New Roman"/>
          <w:color w:val="000000"/>
          <w:sz w:val="24"/>
          <w:szCs w:val="24"/>
          <w:lang/>
        </w:rPr>
        <w:t>2) податкова накладна покупцю надається в порядку, встановленому </w:t>
      </w:r>
      <w:hyperlink r:id="rId5316" w:anchor="n4379" w:history="1">
        <w:r w:rsidRPr="008B264B">
          <w:rPr>
            <w:rFonts w:ascii="Times New Roman" w:eastAsia="Times New Roman" w:hAnsi="Times New Roman" w:cs="Times New Roman"/>
            <w:color w:val="0000FF"/>
            <w:sz w:val="24"/>
            <w:szCs w:val="24"/>
            <w:u w:val="single"/>
            <w:lang/>
          </w:rPr>
          <w:t>розділом V</w:t>
        </w:r>
      </w:hyperlink>
      <w:r w:rsidRPr="008B264B">
        <w:rPr>
          <w:rFonts w:ascii="Times New Roman" w:eastAsia="Times New Roman" w:hAnsi="Times New Roman" w:cs="Times New Roman"/>
          <w:color w:val="000000"/>
          <w:sz w:val="24"/>
          <w:szCs w:val="24"/>
          <w:lang/>
        </w:rPr>
        <w:t> Кодексу;</w:t>
      </w:r>
    </w:p>
    <w:p w14:paraId="3FCEA7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4" w:name="n8041"/>
      <w:bookmarkEnd w:id="9724"/>
      <w:r w:rsidRPr="008B264B">
        <w:rPr>
          <w:rFonts w:ascii="Times New Roman" w:eastAsia="Times New Roman" w:hAnsi="Times New Roman" w:cs="Times New Roman"/>
          <w:color w:val="000000"/>
          <w:sz w:val="24"/>
          <w:szCs w:val="24"/>
          <w:lang/>
        </w:rPr>
        <w:t>3) переробне підприємство веде окремий облік операцій з постачання власно виробленої продукції (молока, молочної сировини, молочних продуктів, м'яса, м'ясопродуктів, іншої продукції переробки тварин (шкур, субпродуктів, м'ясо-кісткового борошна), виготовленої з поставлених молока або м'яса в живій вазі сільськогосподарськими товаровиробниками (далі - продукція), і з постачання інших товарів/послуг, у тому числі продукції, виготовленої із сировини, визначеної у підпункті 1 цього пункту, та складає податкову декларацію з податку на додану вартість і податкову декларацію з податку на додану вартість щодо діяльності з постачання продукції;</w:t>
      </w:r>
    </w:p>
    <w:p w14:paraId="75EDF8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5" w:name="n8042"/>
      <w:bookmarkEnd w:id="9725"/>
      <w:r w:rsidRPr="008B264B">
        <w:rPr>
          <w:rFonts w:ascii="Times New Roman" w:eastAsia="Times New Roman" w:hAnsi="Times New Roman" w:cs="Times New Roman"/>
          <w:color w:val="000000"/>
          <w:sz w:val="24"/>
          <w:szCs w:val="24"/>
          <w:lang/>
        </w:rPr>
        <w:t>4) переробне підприємство суму сплаченого (нарахованого) податкового кредиту по виготовлених та/або придбаних товарах/послугах, основних засобах, які використовуються частково для виготовлення продукції, а частково для виготовлення інших товарів/послуг, розподіляє виходячи з частки використання таких товарів/послуг, основних засобів в операціях з постачання продукції та відповідно в операціях з постачання інших товарів/послуг, з урахуванням вимог </w:t>
      </w:r>
      <w:hyperlink r:id="rId5317"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Кодексу;</w:t>
      </w:r>
    </w:p>
    <w:p w14:paraId="45578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6" w:name="n8043"/>
      <w:bookmarkEnd w:id="9726"/>
      <w:r w:rsidRPr="008B264B">
        <w:rPr>
          <w:rFonts w:ascii="Times New Roman" w:eastAsia="Times New Roman" w:hAnsi="Times New Roman" w:cs="Times New Roman"/>
          <w:color w:val="000000"/>
          <w:sz w:val="24"/>
          <w:szCs w:val="24"/>
          <w:lang/>
        </w:rPr>
        <w:t>5) переробне підприємство операції з вивезення за межі митної території України продукції у митному режимі експорту відображає у податковій декларації з податку на додану вартість і має право на відшкодування з бюджету податку на додану вартість, сплаченого (нарахованого) постачальникам товарів/послуг, вартість яких включена до вартості експортованої продукції. Таке відшкодування здійснюється у загальному порядку;</w:t>
      </w:r>
    </w:p>
    <w:p w14:paraId="4B1F52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7" w:name="n8044"/>
      <w:bookmarkEnd w:id="9727"/>
      <w:r w:rsidRPr="008B264B">
        <w:rPr>
          <w:rFonts w:ascii="Times New Roman" w:eastAsia="Times New Roman" w:hAnsi="Times New Roman" w:cs="Times New Roman"/>
          <w:color w:val="000000"/>
          <w:sz w:val="24"/>
          <w:szCs w:val="24"/>
          <w:lang/>
        </w:rPr>
        <w:t>6) переробне підприємство позитивну різницю між сумою податкових зобов'язань звітного (податкового) періоду та сумою податкового кредиту звітного (податкового) періоду, визначену у податковій декларації з податку на додану вартість щодо діяльності з постачання продукції, сплачує до спеціального фонду Державного бюджету України та на спеціальний рахунок, відкритий ним в органі, що здійснює казначейське обслуговування бюджетних коштів, у таких розмірах:</w:t>
      </w:r>
    </w:p>
    <w:p w14:paraId="0B9DB7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8" w:name="n8045"/>
      <w:bookmarkEnd w:id="9728"/>
      <w:r w:rsidRPr="008B264B">
        <w:rPr>
          <w:rFonts w:ascii="Times New Roman" w:eastAsia="Times New Roman" w:hAnsi="Times New Roman" w:cs="Times New Roman"/>
          <w:i/>
          <w:iCs/>
          <w:color w:val="000000"/>
          <w:sz w:val="24"/>
          <w:szCs w:val="24"/>
          <w:lang/>
        </w:rPr>
        <w:t>{Абзац перший підпункту 6 пункту 1 підрозділу 2 розділу XX із змінами, внесеними згідно із Законом </w:t>
      </w:r>
      <w:hyperlink r:id="rId5318" w:anchor="n49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3C84D8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29" w:name="n8046"/>
      <w:bookmarkEnd w:id="9729"/>
      <w:r w:rsidRPr="008B264B">
        <w:rPr>
          <w:rFonts w:ascii="Times New Roman" w:eastAsia="Times New Roman" w:hAnsi="Times New Roman" w:cs="Times New Roman"/>
          <w:color w:val="000000"/>
          <w:sz w:val="24"/>
          <w:szCs w:val="24"/>
          <w:lang/>
        </w:rPr>
        <w:t>у 2012 році - до спеціального фонду Державного бюджету України - у розмірі 30 відсотків, а на спеціальний рахунок - у розмірі 70 відсотків;</w:t>
      </w:r>
    </w:p>
    <w:p w14:paraId="4F65F7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0" w:name="n8047"/>
      <w:bookmarkEnd w:id="9730"/>
      <w:r w:rsidRPr="008B264B">
        <w:rPr>
          <w:rFonts w:ascii="Times New Roman" w:eastAsia="Times New Roman" w:hAnsi="Times New Roman" w:cs="Times New Roman"/>
          <w:color w:val="000000"/>
          <w:sz w:val="24"/>
          <w:szCs w:val="24"/>
          <w:lang/>
        </w:rPr>
        <w:t>у 2013 році - до спеціального фонду Державного бюджету України - у розмірі 40 відсотків, а на спеціальний рахунок - у розмірі 60 відсотків;</w:t>
      </w:r>
    </w:p>
    <w:p w14:paraId="15D05D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1" w:name="n8048"/>
      <w:bookmarkEnd w:id="9731"/>
      <w:r w:rsidRPr="008B264B">
        <w:rPr>
          <w:rFonts w:ascii="Times New Roman" w:eastAsia="Times New Roman" w:hAnsi="Times New Roman" w:cs="Times New Roman"/>
          <w:color w:val="000000"/>
          <w:sz w:val="24"/>
          <w:szCs w:val="24"/>
          <w:lang/>
        </w:rPr>
        <w:t>у 2014 році - до спеціального фонду Державного бюджету України - у розмірі 50 відсотків, а на спеціальний рахунок - у розмірі 50 відсотків.</w:t>
      </w:r>
    </w:p>
    <w:p w14:paraId="75AFC8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2" w:name="n8049"/>
      <w:bookmarkEnd w:id="9732"/>
      <w:r w:rsidRPr="008B264B">
        <w:rPr>
          <w:rFonts w:ascii="Times New Roman" w:eastAsia="Times New Roman" w:hAnsi="Times New Roman" w:cs="Times New Roman"/>
          <w:color w:val="000000"/>
          <w:sz w:val="24"/>
          <w:szCs w:val="24"/>
          <w:lang/>
        </w:rPr>
        <w:lastRenderedPageBreak/>
        <w:t>Переробне підприємство суму податку на додану вартість, перераховану на спеціальний рахунок, використовує виключно для виплати сільськогосподарським товаровиробникам компенсації за продані ними молоко і м'ясо в живій вазі (далі - компенсація).</w:t>
      </w:r>
    </w:p>
    <w:p w14:paraId="73B559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3" w:name="n8050"/>
      <w:bookmarkEnd w:id="9733"/>
      <w:r w:rsidRPr="008B264B">
        <w:rPr>
          <w:rFonts w:ascii="Times New Roman" w:eastAsia="Times New Roman" w:hAnsi="Times New Roman" w:cs="Times New Roman"/>
          <w:color w:val="000000"/>
          <w:sz w:val="24"/>
          <w:szCs w:val="24"/>
          <w:lang/>
        </w:rPr>
        <w:t>Порядок використання сплачених переробними підприємствами сум податку на додану вартість до спеціального фонду Державного бюджету України встановлюється Кабінетом Міністрів України;</w:t>
      </w:r>
    </w:p>
    <w:p w14:paraId="0F345E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4" w:name="n8051"/>
      <w:bookmarkEnd w:id="9734"/>
      <w:r w:rsidRPr="008B264B">
        <w:rPr>
          <w:rFonts w:ascii="Times New Roman" w:eastAsia="Times New Roman" w:hAnsi="Times New Roman" w:cs="Times New Roman"/>
          <w:color w:val="000000"/>
          <w:sz w:val="24"/>
          <w:szCs w:val="24"/>
          <w:lang/>
        </w:rPr>
        <w:t>7) переробне підприємство від'ємну різницю між сумою податкових зобов'язань звітного (податкового) періоду та сумою податкового кредиту звітного (податкового) періоду, визначену у декларації з податку на додану вартість щодо діяльності з постачання продукції, зараховує у зменшення податкових зобов'язань наступних звітних (податкових) періодів;</w:t>
      </w:r>
    </w:p>
    <w:p w14:paraId="67268F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5" w:name="n8052"/>
      <w:bookmarkEnd w:id="9735"/>
      <w:r w:rsidRPr="008B264B">
        <w:rPr>
          <w:rFonts w:ascii="Times New Roman" w:eastAsia="Times New Roman" w:hAnsi="Times New Roman" w:cs="Times New Roman"/>
          <w:color w:val="000000"/>
          <w:sz w:val="24"/>
          <w:szCs w:val="24"/>
          <w:lang/>
        </w:rPr>
        <w:t>8) звітним (податковим) періодом є один календарний місяць;</w:t>
      </w:r>
    </w:p>
    <w:p w14:paraId="4D5673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6" w:name="n8053"/>
      <w:bookmarkEnd w:id="9736"/>
      <w:r w:rsidRPr="008B264B">
        <w:rPr>
          <w:rFonts w:ascii="Times New Roman" w:eastAsia="Times New Roman" w:hAnsi="Times New Roman" w:cs="Times New Roman"/>
          <w:color w:val="000000"/>
          <w:sz w:val="24"/>
          <w:szCs w:val="24"/>
          <w:lang/>
        </w:rPr>
        <w:t>9) переробне підприємство у строки, встановлені </w:t>
      </w:r>
      <w:hyperlink r:id="rId5319" w:anchor="n5131" w:history="1">
        <w:r w:rsidRPr="008B264B">
          <w:rPr>
            <w:rFonts w:ascii="Times New Roman" w:eastAsia="Times New Roman" w:hAnsi="Times New Roman" w:cs="Times New Roman"/>
            <w:color w:val="0000FF"/>
            <w:sz w:val="24"/>
            <w:szCs w:val="24"/>
            <w:u w:val="single"/>
            <w:lang/>
          </w:rPr>
          <w:t>пунктом 203.1</w:t>
        </w:r>
      </w:hyperlink>
      <w:r w:rsidRPr="008B264B">
        <w:rPr>
          <w:rFonts w:ascii="Times New Roman" w:eastAsia="Times New Roman" w:hAnsi="Times New Roman" w:cs="Times New Roman"/>
          <w:color w:val="000000"/>
          <w:sz w:val="24"/>
          <w:szCs w:val="24"/>
          <w:lang/>
        </w:rPr>
        <w:t> статті 203 Кодексу, подає до контролюючого органу податкову декларацію з податку на додану вартість і податкову декларацію з податку на додану вартість щодо діяльності з постачання продукції за місцем реєстрації переробного підприємства. У податковій декларації з податку на додану вартість щодо діяльності з постачання продукції окремо відображаються сума податку на додану вартість, що підлягає перерахуванню на спеціальний рахунок для виплати компенсації, та сума податку на додану вартість, що підлягає перерахуванню до спеціального фонду Державного бюджету України;</w:t>
      </w:r>
    </w:p>
    <w:p w14:paraId="089C7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7" w:name="n8054"/>
      <w:bookmarkEnd w:id="9737"/>
      <w:r w:rsidRPr="008B264B">
        <w:rPr>
          <w:rFonts w:ascii="Times New Roman" w:eastAsia="Times New Roman" w:hAnsi="Times New Roman" w:cs="Times New Roman"/>
          <w:color w:val="000000"/>
          <w:sz w:val="24"/>
          <w:szCs w:val="24"/>
          <w:lang/>
        </w:rPr>
        <w:t>10) перерахування суми податку на додану вартість на спеціальний рахунок переробного підприємства для виплати компенсації здійснюється переробним підприємством до 15 числа місяця, наступного за звітним (податковим) періодом, до спеціального фонду Державного бюджету України - у строки, встановлені </w:t>
      </w:r>
      <w:hyperlink r:id="rId5320" w:anchor="n5132" w:history="1">
        <w:r w:rsidRPr="008B264B">
          <w:rPr>
            <w:rFonts w:ascii="Times New Roman" w:eastAsia="Times New Roman" w:hAnsi="Times New Roman" w:cs="Times New Roman"/>
            <w:color w:val="0000FF"/>
            <w:sz w:val="24"/>
            <w:szCs w:val="24"/>
            <w:u w:val="single"/>
            <w:lang/>
          </w:rPr>
          <w:t>пунктом 203.2</w:t>
        </w:r>
      </w:hyperlink>
      <w:r w:rsidRPr="008B264B">
        <w:rPr>
          <w:rFonts w:ascii="Times New Roman" w:eastAsia="Times New Roman" w:hAnsi="Times New Roman" w:cs="Times New Roman"/>
          <w:color w:val="000000"/>
          <w:sz w:val="24"/>
          <w:szCs w:val="24"/>
          <w:lang/>
        </w:rPr>
        <w:t> статті 203 Кодексу.</w:t>
      </w:r>
    </w:p>
    <w:p w14:paraId="75637B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8" w:name="n8055"/>
      <w:bookmarkEnd w:id="9738"/>
      <w:r w:rsidRPr="008B264B">
        <w:rPr>
          <w:rFonts w:ascii="Times New Roman" w:eastAsia="Times New Roman" w:hAnsi="Times New Roman" w:cs="Times New Roman"/>
          <w:color w:val="000000"/>
          <w:sz w:val="24"/>
          <w:szCs w:val="24"/>
          <w:lang/>
        </w:rPr>
        <w:t>Для підтвердження перерахування сум податку на додану вартість на спеціальний рахунок переробне підприємство разом з податковою декларацією з податку на додану вартість щодо діяльності з постачання продукції надає реєстр платіжних доручень про фактично зараховані на такий спеціальний рахунок кошти за звітний (податковий) період і виписку органу, що здійснює казначейське обслуговування бюджетних коштів з такого рахунка;</w:t>
      </w:r>
    </w:p>
    <w:p w14:paraId="047675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39" w:name="n8056"/>
      <w:bookmarkEnd w:id="9739"/>
      <w:r w:rsidRPr="008B264B">
        <w:rPr>
          <w:rFonts w:ascii="Times New Roman" w:eastAsia="Times New Roman" w:hAnsi="Times New Roman" w:cs="Times New Roman"/>
          <w:i/>
          <w:iCs/>
          <w:color w:val="000000"/>
          <w:sz w:val="24"/>
          <w:szCs w:val="24"/>
          <w:lang/>
        </w:rPr>
        <w:t>{Абзац другий підпункту 10 пункту 1 підрозділу 2 розділу XX із змінами, внесеними згідно із Законом </w:t>
      </w:r>
      <w:hyperlink r:id="rId5321" w:anchor="n497"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4F746C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0" w:name="n8057"/>
      <w:bookmarkEnd w:id="9740"/>
      <w:r w:rsidRPr="008B264B">
        <w:rPr>
          <w:rFonts w:ascii="Times New Roman" w:eastAsia="Times New Roman" w:hAnsi="Times New Roman" w:cs="Times New Roman"/>
          <w:color w:val="000000"/>
          <w:sz w:val="24"/>
          <w:szCs w:val="24"/>
          <w:lang/>
        </w:rPr>
        <w:t>11) сума компенсації розподіляється між сільськогосподарськими товаровиробниками за поставлене ними молоко або м'ясо в живій вазі переробним підприємством щомісяця згідно з Розрахунком розподілу суми компенсації з урахуванням наступного:</w:t>
      </w:r>
    </w:p>
    <w:p w14:paraId="407823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1" w:name="n8058"/>
      <w:bookmarkEnd w:id="9741"/>
      <w:r w:rsidRPr="008B264B">
        <w:rPr>
          <w:rFonts w:ascii="Times New Roman" w:eastAsia="Times New Roman" w:hAnsi="Times New Roman" w:cs="Times New Roman"/>
          <w:color w:val="000000"/>
          <w:sz w:val="24"/>
          <w:szCs w:val="24"/>
          <w:lang/>
        </w:rPr>
        <w:t>а) компенсація для кожного сільськогосподарського товаровиробника визначається з урахуванням коефіцієнта, розрахованого як співвідношення суми компенсації, визначеної у податковій декларації з податку на додану вартість щодо діяльності з постачання продукції, до вартості закуплених молока або м'яса в живій вазі без урахування податку на додану вартість;</w:t>
      </w:r>
    </w:p>
    <w:p w14:paraId="5BEC07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2" w:name="n8059"/>
      <w:bookmarkEnd w:id="9742"/>
      <w:r w:rsidRPr="008B264B">
        <w:rPr>
          <w:rFonts w:ascii="Times New Roman" w:eastAsia="Times New Roman" w:hAnsi="Times New Roman" w:cs="Times New Roman"/>
          <w:color w:val="000000"/>
          <w:sz w:val="24"/>
          <w:szCs w:val="24"/>
          <w:lang/>
        </w:rPr>
        <w:t>б) визначений коефіцієнт застосовується до всіх сільськогосподарських товаровиробників на гривню вартості поставленого молока або м'яса в живій вазі без урахування податку на додану вартість.</w:t>
      </w:r>
    </w:p>
    <w:p w14:paraId="08DBBE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3" w:name="n8060"/>
      <w:bookmarkEnd w:id="9743"/>
      <w:r w:rsidRPr="008B264B">
        <w:rPr>
          <w:rFonts w:ascii="Times New Roman" w:eastAsia="Times New Roman" w:hAnsi="Times New Roman" w:cs="Times New Roman"/>
          <w:color w:val="000000"/>
          <w:sz w:val="24"/>
          <w:szCs w:val="24"/>
          <w:lang/>
        </w:rPr>
        <w:t>Форма Розрахунку розподілу суми компенсації та порядок його заповнення затверджуються центральним органом виконавчої влади, що забезпечує формування державної аграрної політики за попереднім погодженням з центральним органом виконавчої влади, що реалізує державну фінансову політику;</w:t>
      </w:r>
    </w:p>
    <w:p w14:paraId="713007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4" w:name="n8061"/>
      <w:bookmarkEnd w:id="9744"/>
      <w:r w:rsidRPr="008B264B">
        <w:rPr>
          <w:rFonts w:ascii="Times New Roman" w:eastAsia="Times New Roman" w:hAnsi="Times New Roman" w:cs="Times New Roman"/>
          <w:i/>
          <w:iCs/>
          <w:color w:val="000000"/>
          <w:sz w:val="24"/>
          <w:szCs w:val="24"/>
          <w:lang/>
        </w:rPr>
        <w:t>{Абзац четвертий підпункту 11 пункту 1 підрозділу 2 розділу XX із змінами, внесеними згідно із Законами </w:t>
      </w:r>
      <w:hyperlink r:id="rId5322" w:anchor="n49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323" w:anchor="n12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5A9DEE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5" w:name="n8062"/>
      <w:bookmarkEnd w:id="9745"/>
      <w:r w:rsidRPr="008B264B">
        <w:rPr>
          <w:rFonts w:ascii="Times New Roman" w:eastAsia="Times New Roman" w:hAnsi="Times New Roman" w:cs="Times New Roman"/>
          <w:color w:val="000000"/>
          <w:sz w:val="24"/>
          <w:szCs w:val="24"/>
          <w:lang/>
        </w:rPr>
        <w:lastRenderedPageBreak/>
        <w:t>12) виплата компенсації сільськогосподарським товаровиробникам (юридичним особам за платіжними дорученнями шляхом перерахування на їх окремі рахунки, відкриті в обслуговуючих банках, фізичним особам - готівкою безпосередньо з каси переробного підприємства або згідно з договорами доручення) здійснюється переробним підприємством до 20 числа місяця, наступного за звітним (податковим) періодом.</w:t>
      </w:r>
    </w:p>
    <w:p w14:paraId="77C74B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6" w:name="n8063"/>
      <w:bookmarkEnd w:id="9746"/>
      <w:r w:rsidRPr="008B264B">
        <w:rPr>
          <w:rFonts w:ascii="Times New Roman" w:eastAsia="Times New Roman" w:hAnsi="Times New Roman" w:cs="Times New Roman"/>
          <w:color w:val="000000"/>
          <w:sz w:val="24"/>
          <w:szCs w:val="24"/>
          <w:lang/>
        </w:rPr>
        <w:t>Підтвердженням виплати сільськогосподарським товаровиробникам компенсації є Відомості про виплачені суми компенсації сільськогосподарським товаровиробникам.</w:t>
      </w:r>
    </w:p>
    <w:p w14:paraId="33AD2F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7" w:name="n8064"/>
      <w:bookmarkEnd w:id="9747"/>
      <w:r w:rsidRPr="008B264B">
        <w:rPr>
          <w:rFonts w:ascii="Times New Roman" w:eastAsia="Times New Roman" w:hAnsi="Times New Roman" w:cs="Times New Roman"/>
          <w:color w:val="000000"/>
          <w:sz w:val="24"/>
          <w:szCs w:val="24"/>
          <w:lang/>
        </w:rPr>
        <w:t>Форма Відомості про виплачені суми компенсації сільськогосподарським товаровиробникам та порядок її заповнення затверджуються центральним органом виконавчої влади, що забезпечує формування державної аграрної політики за попереднім погодженням з центральним органом виконавчої влади, що реалізує державну фінансову політику;</w:t>
      </w:r>
    </w:p>
    <w:p w14:paraId="15F34F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8" w:name="n8065"/>
      <w:bookmarkEnd w:id="9748"/>
      <w:r w:rsidRPr="008B264B">
        <w:rPr>
          <w:rFonts w:ascii="Times New Roman" w:eastAsia="Times New Roman" w:hAnsi="Times New Roman" w:cs="Times New Roman"/>
          <w:i/>
          <w:iCs/>
          <w:color w:val="000000"/>
          <w:sz w:val="24"/>
          <w:szCs w:val="24"/>
          <w:lang/>
        </w:rPr>
        <w:t>{Абзац третій підпункту 12 пункту 1 підрозділу 2 розділу XX із змінами, внесеними згідно із Законами </w:t>
      </w:r>
      <w:hyperlink r:id="rId5324" w:anchor="n498"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325" w:anchor="n120"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322CA8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49" w:name="n8066"/>
      <w:bookmarkEnd w:id="9749"/>
      <w:r w:rsidRPr="008B264B">
        <w:rPr>
          <w:rFonts w:ascii="Times New Roman" w:eastAsia="Times New Roman" w:hAnsi="Times New Roman" w:cs="Times New Roman"/>
          <w:color w:val="000000"/>
          <w:sz w:val="24"/>
          <w:szCs w:val="24"/>
          <w:lang/>
        </w:rPr>
        <w:t>13) суми податку на додану вартість, не перераховані на спеціальний рахунок або перераховані з порушенням терміну, встановленого цим пунктом, а також суми компенсації, не виплачені сільськогосподарським товаровиробникам або виплачені з порушенням терміну, встановленого цим пунктом, вважаються такими, що використані не за призначенням і підлягають стягненню до державного бюджету;</w:t>
      </w:r>
    </w:p>
    <w:p w14:paraId="764AE2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0" w:name="n8067"/>
      <w:bookmarkEnd w:id="9750"/>
      <w:r w:rsidRPr="008B264B">
        <w:rPr>
          <w:rFonts w:ascii="Times New Roman" w:eastAsia="Times New Roman" w:hAnsi="Times New Roman" w:cs="Times New Roman"/>
          <w:color w:val="000000"/>
          <w:sz w:val="24"/>
          <w:szCs w:val="24"/>
          <w:lang/>
        </w:rPr>
        <w:t>14) суми компенсації не включаються сільськогосподарськими товаровиробниками - платниками податку на додану вартість до бази оподаткування податком на додану вартість операцій з постачання молока і м'яса в живій вазі.</w:t>
      </w:r>
    </w:p>
    <w:p w14:paraId="31D647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1" w:name="n8068"/>
      <w:bookmarkEnd w:id="9751"/>
      <w:r w:rsidRPr="008B264B">
        <w:rPr>
          <w:rFonts w:ascii="Times New Roman" w:eastAsia="Times New Roman" w:hAnsi="Times New Roman" w:cs="Times New Roman"/>
          <w:i/>
          <w:iCs/>
          <w:color w:val="000000"/>
          <w:sz w:val="24"/>
          <w:szCs w:val="24"/>
          <w:lang/>
        </w:rPr>
        <w:t>{Пункт 1 підрозділу 2 розділу XX в редакції Закону </w:t>
      </w:r>
      <w:hyperlink r:id="rId5326" w:tgtFrame="_blank" w:history="1">
        <w:r w:rsidRPr="008B264B">
          <w:rPr>
            <w:rFonts w:ascii="Times New Roman" w:eastAsia="Times New Roman" w:hAnsi="Times New Roman" w:cs="Times New Roman"/>
            <w:i/>
            <w:iCs/>
            <w:color w:val="0000FF"/>
            <w:sz w:val="24"/>
            <w:szCs w:val="24"/>
            <w:u w:val="single"/>
            <w:lang/>
          </w:rPr>
          <w:t>№ 4268-VI від 22.12.2011</w:t>
        </w:r>
      </w:hyperlink>
      <w:r w:rsidRPr="008B264B">
        <w:rPr>
          <w:rFonts w:ascii="Times New Roman" w:eastAsia="Times New Roman" w:hAnsi="Times New Roman" w:cs="Times New Roman"/>
          <w:i/>
          <w:iCs/>
          <w:color w:val="000000"/>
          <w:sz w:val="24"/>
          <w:szCs w:val="24"/>
          <w:lang/>
        </w:rPr>
        <w:t>}</w:t>
      </w:r>
    </w:p>
    <w:p w14:paraId="047398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2" w:name="n8069"/>
      <w:bookmarkEnd w:id="9752"/>
      <w:r w:rsidRPr="008B264B">
        <w:rPr>
          <w:rFonts w:ascii="Times New Roman" w:eastAsia="Times New Roman" w:hAnsi="Times New Roman" w:cs="Times New Roman"/>
          <w:color w:val="000000"/>
          <w:sz w:val="24"/>
          <w:szCs w:val="24"/>
          <w:lang/>
        </w:rPr>
        <w:t>2. Тимчасово, до 1 січня 2019 року, звільняються від оподаткування податком на додану вартість операції з:</w:t>
      </w:r>
    </w:p>
    <w:p w14:paraId="61A792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3" w:name="n14419"/>
      <w:bookmarkEnd w:id="9753"/>
      <w:r w:rsidRPr="008B264B">
        <w:rPr>
          <w:rFonts w:ascii="Times New Roman" w:eastAsia="Times New Roman" w:hAnsi="Times New Roman" w:cs="Times New Roman"/>
          <w:i/>
          <w:iCs/>
          <w:color w:val="000000"/>
          <w:sz w:val="24"/>
          <w:szCs w:val="24"/>
          <w:lang/>
        </w:rPr>
        <w:t>{Абзац перший пункту 2 підрозділу 2 розділу XX із змінами, внесеними згідно із Законом </w:t>
      </w:r>
      <w:hyperlink r:id="rId5327" w:anchor="n145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49CC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4" w:name="n8070"/>
      <w:bookmarkEnd w:id="9754"/>
      <w:r w:rsidRPr="008B264B">
        <w:rPr>
          <w:rFonts w:ascii="Times New Roman" w:eastAsia="Times New Roman" w:hAnsi="Times New Roman" w:cs="Times New Roman"/>
          <w:color w:val="000000"/>
          <w:sz w:val="24"/>
          <w:szCs w:val="24"/>
          <w:lang/>
        </w:rPr>
        <w:t>а) постачання техніки, обладнання, устаткування, визначених статтею 7 </w:t>
      </w:r>
      <w:hyperlink r:id="rId5328" w:tgtFrame="_blank" w:history="1">
        <w:r w:rsidRPr="008B264B">
          <w:rPr>
            <w:rFonts w:ascii="Times New Roman" w:eastAsia="Times New Roman" w:hAnsi="Times New Roman" w:cs="Times New Roman"/>
            <w:color w:val="0000FF"/>
            <w:sz w:val="24"/>
            <w:szCs w:val="24"/>
            <w:u w:val="single"/>
            <w:lang/>
          </w:rPr>
          <w:t>Закону України "Про альтернативні види палива"</w:t>
        </w:r>
      </w:hyperlink>
      <w:r w:rsidRPr="008B264B">
        <w:rPr>
          <w:rFonts w:ascii="Times New Roman" w:eastAsia="Times New Roman" w:hAnsi="Times New Roman" w:cs="Times New Roman"/>
          <w:color w:val="000000"/>
          <w:sz w:val="24"/>
          <w:szCs w:val="24"/>
          <w:lang/>
        </w:rPr>
        <w:t>, на території України;</w:t>
      </w:r>
    </w:p>
    <w:p w14:paraId="3CF711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5" w:name="n8071"/>
      <w:bookmarkEnd w:id="9755"/>
      <w:r w:rsidRPr="008B264B">
        <w:rPr>
          <w:rFonts w:ascii="Times New Roman" w:eastAsia="Times New Roman" w:hAnsi="Times New Roman" w:cs="Times New Roman"/>
          <w:color w:val="000000"/>
          <w:sz w:val="24"/>
          <w:szCs w:val="24"/>
          <w:lang/>
        </w:rPr>
        <w:t>б) імпорту за кодами </w:t>
      </w:r>
      <w:hyperlink r:id="rId532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визначеними статтею 7 Закону України "Про альтернативні види палива", техніки, обладнання, устаткування, що використовуються для реконструкції існуючих і будівництва нових підприємств з виробництва біопалива і для виготовлення та реконструкції технічних і транспортних засобів з метою споживання біопалива, якщо такі товари не виробляються та не мають аналогів в Україні, а також технічних та транспортних засобів, у тому числі самохідних сільськогосподарських машин, що працюють на біопаливі, якщо такі товари не виробляються в Україні.</w:t>
      </w:r>
    </w:p>
    <w:bookmarkStart w:id="9756" w:name="n8072"/>
    <w:bookmarkEnd w:id="9756"/>
    <w:p w14:paraId="6D7291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"https://zakon.rada.gov.ua/laws/show/581-2011-%D0%BF" \l "n9"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ввезення зазначених техніки, обладнання, устаткування, технічних та транспортних засобів</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визначається Кабінетом Міністрів України.</w:t>
      </w:r>
    </w:p>
    <w:p w14:paraId="5F3781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7" w:name="n8073"/>
      <w:bookmarkEnd w:id="9757"/>
      <w:r w:rsidRPr="008B264B">
        <w:rPr>
          <w:rFonts w:ascii="Times New Roman" w:eastAsia="Times New Roman" w:hAnsi="Times New Roman" w:cs="Times New Roman"/>
          <w:color w:val="000000"/>
          <w:sz w:val="24"/>
          <w:szCs w:val="24"/>
          <w:lang/>
        </w:rPr>
        <w:t>У разі порушення вимог щодо цільового використання зазначених товарів платник податку зобов'язаний збільшити податкові зобов'язання за результатами податкового періоду, на який припадає таке порушення, на суму податку на додану вартість, що мала бути сплачена в день ввезення таких товарів, а також сплатити пеню, нараховану на таку суму податку, виходячи з 120 відсотків облікової ставки Національного банку України, що діяла на день збільшення податкового зобов'язання, та за період із дня ввезення таких товарів до дня збільшення податкових зобов'язань.</w:t>
      </w:r>
    </w:p>
    <w:p w14:paraId="6F6C06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8" w:name="n8074"/>
      <w:bookmarkEnd w:id="9758"/>
      <w:r w:rsidRPr="008B264B">
        <w:rPr>
          <w:rFonts w:ascii="Times New Roman" w:eastAsia="Times New Roman" w:hAnsi="Times New Roman" w:cs="Times New Roman"/>
          <w:color w:val="000000"/>
          <w:sz w:val="24"/>
          <w:szCs w:val="24"/>
          <w:lang/>
        </w:rPr>
        <w:t>3. Тимчасово, до 1 січня 2023 року, суб’єкти космічної діяльності, на яких поширюється дія </w:t>
      </w:r>
      <w:hyperlink r:id="rId5330"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космічну діяльність", звільняються від сплати податку на додану вартість за операціями з:</w:t>
      </w:r>
    </w:p>
    <w:p w14:paraId="1E363B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59" w:name="n12103"/>
      <w:bookmarkEnd w:id="9759"/>
      <w:r w:rsidRPr="008B264B">
        <w:rPr>
          <w:rFonts w:ascii="Times New Roman" w:eastAsia="Times New Roman" w:hAnsi="Times New Roman" w:cs="Times New Roman"/>
          <w:i/>
          <w:iCs/>
          <w:color w:val="000000"/>
          <w:sz w:val="24"/>
          <w:szCs w:val="24"/>
          <w:lang/>
        </w:rPr>
        <w:lastRenderedPageBreak/>
        <w:t>{Абзац перший пункту 3 підрозділу 2 розділу XX із змінами, внесеними згідно із Законами </w:t>
      </w:r>
      <w:hyperlink r:id="rId5331" w:anchor="n168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5332" w:anchor="n145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5333" w:anchor="n39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18247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0" w:name="n8075"/>
      <w:bookmarkEnd w:id="9760"/>
      <w:r w:rsidRPr="008B264B">
        <w:rPr>
          <w:rFonts w:ascii="Times New Roman" w:eastAsia="Times New Roman" w:hAnsi="Times New Roman" w:cs="Times New Roman"/>
          <w:color w:val="000000"/>
          <w:sz w:val="24"/>
          <w:szCs w:val="24"/>
          <w:lang/>
        </w:rPr>
        <w:t>а) ввезення на митну територію України у митному режимі імпорту товарів, визначених у </w:t>
      </w:r>
      <w:hyperlink r:id="rId5334" w:anchor="n995" w:tgtFrame="_blank" w:history="1">
        <w:r w:rsidRPr="008B264B">
          <w:rPr>
            <w:rFonts w:ascii="Times New Roman" w:eastAsia="Times New Roman" w:hAnsi="Times New Roman" w:cs="Times New Roman"/>
            <w:color w:val="0000FF"/>
            <w:sz w:val="24"/>
            <w:szCs w:val="24"/>
            <w:u w:val="single"/>
            <w:lang/>
          </w:rPr>
          <w:t>підпункті 4 пункту 4 розділу ХХI </w:t>
        </w:r>
      </w:hyperlink>
      <w:r w:rsidRPr="008B264B">
        <w:rPr>
          <w:rFonts w:ascii="Times New Roman" w:eastAsia="Times New Roman" w:hAnsi="Times New Roman" w:cs="Times New Roman"/>
          <w:color w:val="000000"/>
          <w:sz w:val="24"/>
          <w:szCs w:val="24"/>
          <w:lang/>
        </w:rPr>
        <w:t>"Прикінцеві та перехідні положення" Митного кодексу України, у межах граничних обсягів, встановлених Кабінетом Міністрів України, за умови цільового використання таких товарів у виробництві космічної техніки (включаючи агрегати, системи та їх комплектуючі для космічних комплексів, космічних ракет-носіїв, космічних апаратів та наземних сегментів космічних систем), резидентами - суб'єктами космічної діяльності, які отримали ліцензію на право здійснення такої діяльності та беруть участь у реалізації таких міжнародних договорів. Перелік таких резидентів - суб'єктів космічної діяльності встановлюється центральним органом виконавчої влади, що забезпечує формування державної політики у сфері космічної діяльності.</w:t>
      </w:r>
    </w:p>
    <w:p w14:paraId="1E0333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1" w:name="n8076"/>
      <w:bookmarkEnd w:id="9761"/>
      <w:r w:rsidRPr="008B264B">
        <w:rPr>
          <w:rFonts w:ascii="Times New Roman" w:eastAsia="Times New Roman" w:hAnsi="Times New Roman" w:cs="Times New Roman"/>
          <w:i/>
          <w:iCs/>
          <w:color w:val="000000"/>
          <w:sz w:val="24"/>
          <w:szCs w:val="24"/>
          <w:lang/>
        </w:rPr>
        <w:t>{Абзац перший підпункту "а" пункту 3 підрозділу 2 із змінами, внесеними згідно із Законами </w:t>
      </w:r>
      <w:hyperlink r:id="rId5335" w:anchor="n132"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 </w:t>
      </w:r>
      <w:hyperlink r:id="rId5336" w:anchor="n499"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7BE8D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2" w:name="n8077"/>
      <w:bookmarkEnd w:id="9762"/>
      <w:r w:rsidRPr="008B264B">
        <w:rPr>
          <w:rFonts w:ascii="Times New Roman" w:eastAsia="Times New Roman" w:hAnsi="Times New Roman" w:cs="Times New Roman"/>
          <w:color w:val="000000"/>
          <w:sz w:val="24"/>
          <w:szCs w:val="24"/>
          <w:lang/>
        </w:rPr>
        <w:t>У разі порушення цільового використання товарів або перевищення граничних обсягів їх імпорту, встановлених Кабінетом Міністрів України, відповідний суб'єкт космічної діяльності, який фактично скористався правом на податкову пільгу, вважається таким, що умисно ухиляється від оподаткування, і до нього застосовуються штрафні (фінансові) санкції відповідно до вимог чинного законодавства;</w:t>
      </w:r>
    </w:p>
    <w:p w14:paraId="2F109C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3" w:name="n8078"/>
      <w:bookmarkEnd w:id="9763"/>
      <w:r w:rsidRPr="008B264B">
        <w:rPr>
          <w:rFonts w:ascii="Times New Roman" w:eastAsia="Times New Roman" w:hAnsi="Times New Roman" w:cs="Times New Roman"/>
          <w:color w:val="000000"/>
          <w:sz w:val="24"/>
          <w:szCs w:val="24"/>
          <w:lang/>
        </w:rPr>
        <w:t>б) постачання на митній території України результатів науково-дослідних і дослідницько-конструкторських робіт, які виконуються для потреб космічної діяльності. З метою застосування цієї пільги Кабінет Міністрів України встановлює </w:t>
      </w:r>
      <w:hyperlink r:id="rId5337" w:tgtFrame="_blank" w:history="1">
        <w:r w:rsidRPr="008B264B">
          <w:rPr>
            <w:rFonts w:ascii="Times New Roman" w:eastAsia="Times New Roman" w:hAnsi="Times New Roman" w:cs="Times New Roman"/>
            <w:color w:val="0000FF"/>
            <w:sz w:val="24"/>
            <w:szCs w:val="24"/>
            <w:u w:val="single"/>
            <w:lang/>
          </w:rPr>
          <w:t>порядок ведення реєстру</w:t>
        </w:r>
      </w:hyperlink>
      <w:r w:rsidRPr="008B264B">
        <w:rPr>
          <w:rFonts w:ascii="Times New Roman" w:eastAsia="Times New Roman" w:hAnsi="Times New Roman" w:cs="Times New Roman"/>
          <w:color w:val="000000"/>
          <w:sz w:val="24"/>
          <w:szCs w:val="24"/>
          <w:lang/>
        </w:rPr>
        <w:t> зазначених науково-дослідних і дослідно-конструкторських робіт.</w:t>
      </w:r>
    </w:p>
    <w:p w14:paraId="2B52D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4" w:name="n14920"/>
      <w:bookmarkEnd w:id="9764"/>
      <w:r w:rsidRPr="008B264B">
        <w:rPr>
          <w:rFonts w:ascii="Times New Roman" w:eastAsia="Times New Roman" w:hAnsi="Times New Roman" w:cs="Times New Roman"/>
          <w:i/>
          <w:iCs/>
          <w:color w:val="000000"/>
          <w:sz w:val="24"/>
          <w:szCs w:val="24"/>
          <w:lang/>
        </w:rPr>
        <w:t>{Абзац четвертий пункту 3 підрозділу 2 розділу XX в редакції Закону </w:t>
      </w:r>
      <w:hyperlink r:id="rId5338" w:anchor="n39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33519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5" w:name="n8079"/>
      <w:bookmarkEnd w:id="9765"/>
      <w:r w:rsidRPr="008B264B">
        <w:rPr>
          <w:rFonts w:ascii="Times New Roman" w:eastAsia="Times New Roman" w:hAnsi="Times New Roman" w:cs="Times New Roman"/>
          <w:color w:val="000000"/>
          <w:sz w:val="24"/>
          <w:szCs w:val="24"/>
          <w:lang/>
        </w:rPr>
        <w:t>У разі порушення умов звільнення від оподаткування результатів науково-дослідних і дослідницько-конструкторських робіт, а саме при їх поставці для цілей, не пов’язаних з космічною діяльністю, платник податку, що фактично скористався правом на податкову пільгу, вважається таким, що умисно ухиляється від оподаткування, і до нього застосовуються штрафні (фінансові) санкції відповідно до вимог закону.</w:t>
      </w:r>
    </w:p>
    <w:p w14:paraId="4721D2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6" w:name="n14921"/>
      <w:bookmarkEnd w:id="9766"/>
      <w:r w:rsidRPr="008B264B">
        <w:rPr>
          <w:rFonts w:ascii="Times New Roman" w:eastAsia="Times New Roman" w:hAnsi="Times New Roman" w:cs="Times New Roman"/>
          <w:i/>
          <w:iCs/>
          <w:color w:val="000000"/>
          <w:sz w:val="24"/>
          <w:szCs w:val="24"/>
          <w:lang/>
        </w:rPr>
        <w:t>{Абзац п'ятий пункту 3 підрозділу 2 розділу XX в редакції Закону </w:t>
      </w:r>
      <w:hyperlink r:id="rId5339" w:anchor="n39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79FB1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7" w:name="n8080"/>
      <w:bookmarkEnd w:id="9767"/>
      <w:r w:rsidRPr="008B264B">
        <w:rPr>
          <w:rFonts w:ascii="Times New Roman" w:eastAsia="Times New Roman" w:hAnsi="Times New Roman" w:cs="Times New Roman"/>
          <w:color w:val="000000"/>
          <w:sz w:val="24"/>
          <w:szCs w:val="24"/>
          <w:lang/>
        </w:rPr>
        <w:t>4. Тимчасово, до 1 січня 2016 року, суб'єкти літакобудування, що підпадають під дію норм статті 2 </w:t>
      </w:r>
      <w:hyperlink r:id="rId5340" w:tgtFrame="_blank" w:history="1">
        <w:r w:rsidRPr="008B264B">
          <w:rPr>
            <w:rFonts w:ascii="Times New Roman" w:eastAsia="Times New Roman" w:hAnsi="Times New Roman" w:cs="Times New Roman"/>
            <w:color w:val="0000FF"/>
            <w:sz w:val="24"/>
            <w:szCs w:val="24"/>
            <w:u w:val="single"/>
            <w:lang/>
          </w:rPr>
          <w:t>Закону України "Про розвиток літакобудівної промисловості"</w:t>
        </w:r>
      </w:hyperlink>
      <w:r w:rsidRPr="008B264B">
        <w:rPr>
          <w:rFonts w:ascii="Times New Roman" w:eastAsia="Times New Roman" w:hAnsi="Times New Roman" w:cs="Times New Roman"/>
          <w:color w:val="000000"/>
          <w:sz w:val="24"/>
          <w:szCs w:val="24"/>
          <w:lang/>
        </w:rPr>
        <w:t>, звільняються від сплати податку на додану вартість по операціях з:</w:t>
      </w:r>
    </w:p>
    <w:p w14:paraId="44609E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8" w:name="n8081"/>
      <w:bookmarkEnd w:id="9768"/>
      <w:r w:rsidRPr="008B264B">
        <w:rPr>
          <w:rFonts w:ascii="Times New Roman" w:eastAsia="Times New Roman" w:hAnsi="Times New Roman" w:cs="Times New Roman"/>
          <w:color w:val="000000"/>
          <w:sz w:val="24"/>
          <w:szCs w:val="24"/>
          <w:lang/>
        </w:rPr>
        <w:t>ввезення на митну територію України в митному режимі імпорту товарів (крім підакцизних), що використовуються для потреб літакобудівної промисловості, якщо такі товари є звільненими від оподаткування ввізним митом згідно із </w:t>
      </w:r>
      <w:hyperlink r:id="rId5341" w:anchor="n990" w:tgtFrame="_blank" w:history="1">
        <w:r w:rsidRPr="008B264B">
          <w:rPr>
            <w:rFonts w:ascii="Times New Roman" w:eastAsia="Times New Roman" w:hAnsi="Times New Roman" w:cs="Times New Roman"/>
            <w:color w:val="0000FF"/>
            <w:sz w:val="24"/>
            <w:szCs w:val="24"/>
            <w:u w:val="single"/>
            <w:lang/>
          </w:rPr>
          <w:t>підпунктом 2 пункту 4 розділу ХХI</w:t>
        </w:r>
      </w:hyperlink>
      <w:r w:rsidRPr="008B264B">
        <w:rPr>
          <w:rFonts w:ascii="Times New Roman" w:eastAsia="Times New Roman" w:hAnsi="Times New Roman" w:cs="Times New Roman"/>
          <w:color w:val="000000"/>
          <w:sz w:val="24"/>
          <w:szCs w:val="24"/>
          <w:lang/>
        </w:rPr>
        <w:t> "Прикінцеві та перехідні положення" Митного кодексу України;</w:t>
      </w:r>
    </w:p>
    <w:p w14:paraId="49BBC6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69" w:name="n8082"/>
      <w:bookmarkEnd w:id="9769"/>
      <w:r w:rsidRPr="008B264B">
        <w:rPr>
          <w:rFonts w:ascii="Times New Roman" w:eastAsia="Times New Roman" w:hAnsi="Times New Roman" w:cs="Times New Roman"/>
          <w:i/>
          <w:iCs/>
          <w:color w:val="000000"/>
          <w:sz w:val="24"/>
          <w:szCs w:val="24"/>
          <w:lang/>
        </w:rPr>
        <w:t>{Абзац другий пункту 4 підрозділу 2 в редакції Закону </w:t>
      </w:r>
      <w:hyperlink r:id="rId5342" w:anchor="n135"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43AC8F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0" w:name="n8083"/>
      <w:bookmarkEnd w:id="9770"/>
      <w:r w:rsidRPr="008B264B">
        <w:rPr>
          <w:rFonts w:ascii="Times New Roman" w:eastAsia="Times New Roman" w:hAnsi="Times New Roman" w:cs="Times New Roman"/>
          <w:color w:val="000000"/>
          <w:sz w:val="24"/>
          <w:szCs w:val="24"/>
          <w:lang/>
        </w:rPr>
        <w:t>постачання на митній території України результатів науково-дослідних і дослідницько-конструкторських робіт, які виконуються для потреб літакобудівної промисловості.</w:t>
      </w:r>
    </w:p>
    <w:p w14:paraId="4E1534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1" w:name="n8084"/>
      <w:bookmarkEnd w:id="9771"/>
      <w:r w:rsidRPr="008B264B">
        <w:rPr>
          <w:rFonts w:ascii="Times New Roman" w:eastAsia="Times New Roman" w:hAnsi="Times New Roman" w:cs="Times New Roman"/>
          <w:color w:val="000000"/>
          <w:sz w:val="24"/>
          <w:szCs w:val="24"/>
          <w:lang/>
        </w:rPr>
        <w:t>У разі порушення вимог, встановлених цим підрозділом, до платників податку - суб'єктів літакобудування застосовуються норми </w:t>
      </w:r>
      <w:hyperlink r:id="rId5343" w:anchor="n1075" w:history="1">
        <w:r w:rsidRPr="008B264B">
          <w:rPr>
            <w:rFonts w:ascii="Times New Roman" w:eastAsia="Times New Roman" w:hAnsi="Times New Roman" w:cs="Times New Roman"/>
            <w:color w:val="0000FF"/>
            <w:sz w:val="24"/>
            <w:szCs w:val="24"/>
            <w:u w:val="single"/>
            <w:lang/>
          </w:rPr>
          <w:t>розділу II</w:t>
        </w:r>
      </w:hyperlink>
      <w:r w:rsidRPr="008B264B">
        <w:rPr>
          <w:rFonts w:ascii="Times New Roman" w:eastAsia="Times New Roman" w:hAnsi="Times New Roman" w:cs="Times New Roman"/>
          <w:color w:val="000000"/>
          <w:sz w:val="24"/>
          <w:szCs w:val="24"/>
          <w:lang/>
        </w:rPr>
        <w:t> цього Кодексу.</w:t>
      </w:r>
    </w:p>
    <w:p w14:paraId="1E81EB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2" w:name="n13298"/>
      <w:bookmarkEnd w:id="9772"/>
      <w:r w:rsidRPr="008B264B">
        <w:rPr>
          <w:rFonts w:ascii="Times New Roman" w:eastAsia="Times New Roman" w:hAnsi="Times New Roman" w:cs="Times New Roman"/>
          <w:color w:val="000000"/>
          <w:sz w:val="24"/>
          <w:szCs w:val="24"/>
          <w:lang/>
        </w:rPr>
        <w:t>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Тимчасово, до 1 січня 2025 року, суб’єкти літакобудування, що підпадають під дію норм </w:t>
      </w:r>
      <w:hyperlink r:id="rId5344" w:tgtFrame="_blank" w:history="1">
        <w:r w:rsidRPr="008B264B">
          <w:rPr>
            <w:rFonts w:ascii="Times New Roman" w:eastAsia="Times New Roman" w:hAnsi="Times New Roman" w:cs="Times New Roman"/>
            <w:color w:val="0000FF"/>
            <w:sz w:val="24"/>
            <w:szCs w:val="24"/>
            <w:u w:val="single"/>
            <w:lang/>
          </w:rPr>
          <w:t>статті 2</w:t>
        </w:r>
      </w:hyperlink>
      <w:r w:rsidRPr="008B264B">
        <w:rPr>
          <w:rFonts w:ascii="Times New Roman" w:eastAsia="Times New Roman" w:hAnsi="Times New Roman" w:cs="Times New Roman"/>
          <w:color w:val="000000"/>
          <w:sz w:val="24"/>
          <w:szCs w:val="24"/>
          <w:lang/>
        </w:rPr>
        <w:t> Закону України "Про розвиток літакобудівної промисловості", звільняються від оподаткування податком на додану вартість по операціях з:</w:t>
      </w:r>
    </w:p>
    <w:p w14:paraId="793ABA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3" w:name="n13299"/>
      <w:bookmarkEnd w:id="9773"/>
      <w:r w:rsidRPr="008B264B">
        <w:rPr>
          <w:rFonts w:ascii="Times New Roman" w:eastAsia="Times New Roman" w:hAnsi="Times New Roman" w:cs="Times New Roman"/>
          <w:color w:val="000000"/>
          <w:sz w:val="24"/>
          <w:szCs w:val="24"/>
          <w:lang/>
        </w:rPr>
        <w:lastRenderedPageBreak/>
        <w:t>ввезення на митну територію України в митному режимі імпорту товарів (крім підакцизних), що використовуються для потреб літакобудівної промисловості, якщо такі товари є звільненими від оподаткування ввізним митом згідно із </w:t>
      </w:r>
      <w:hyperlink r:id="rId5345" w:anchor="n5015" w:tgtFrame="_blank" w:history="1">
        <w:r w:rsidRPr="008B264B">
          <w:rPr>
            <w:rFonts w:ascii="Times New Roman" w:eastAsia="Times New Roman" w:hAnsi="Times New Roman" w:cs="Times New Roman"/>
            <w:color w:val="0000FF"/>
            <w:sz w:val="24"/>
            <w:szCs w:val="24"/>
            <w:u w:val="single"/>
            <w:lang/>
          </w:rPr>
          <w:t>підпунктом 13</w:t>
        </w:r>
      </w:hyperlink>
      <w:r w:rsidRPr="008B264B">
        <w:rPr>
          <w:rFonts w:ascii="Times New Roman" w:eastAsia="Times New Roman" w:hAnsi="Times New Roman" w:cs="Times New Roman"/>
          <w:color w:val="000000"/>
          <w:sz w:val="24"/>
          <w:szCs w:val="24"/>
          <w:lang/>
        </w:rPr>
        <w:t> пункту 4 розділу XXI "Прикінцеві та перехідні положення" Митного кодексу України;</w:t>
      </w:r>
    </w:p>
    <w:p w14:paraId="5D245A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4" w:name="n13300"/>
      <w:bookmarkEnd w:id="9774"/>
      <w:r w:rsidRPr="008B264B">
        <w:rPr>
          <w:rFonts w:ascii="Times New Roman" w:eastAsia="Times New Roman" w:hAnsi="Times New Roman" w:cs="Times New Roman"/>
          <w:color w:val="000000"/>
          <w:sz w:val="24"/>
          <w:szCs w:val="24"/>
          <w:lang/>
        </w:rPr>
        <w:t>постачання на митній території України результатів науково-дослідних і дослідницько-конструкторських робіт, які виконуються для потреб літакобудівної промисловості.</w:t>
      </w:r>
    </w:p>
    <w:p w14:paraId="56BB0F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5" w:name="n13301"/>
      <w:bookmarkEnd w:id="9775"/>
      <w:r w:rsidRPr="008B264B">
        <w:rPr>
          <w:rFonts w:ascii="Times New Roman" w:eastAsia="Times New Roman" w:hAnsi="Times New Roman" w:cs="Times New Roman"/>
          <w:color w:val="000000"/>
          <w:sz w:val="24"/>
          <w:szCs w:val="24"/>
          <w:lang/>
        </w:rPr>
        <w:t>У встановлений період операції з продажу продукції (послуг), виробленої зазначеними підприємствами за рахунок коштів Державного бюджету України, оподатковуються податком на додану вартість за нульовою ставкою.</w:t>
      </w:r>
    </w:p>
    <w:p w14:paraId="615E17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6" w:name="n13302"/>
      <w:bookmarkEnd w:id="9776"/>
      <w:r w:rsidRPr="008B264B">
        <w:rPr>
          <w:rFonts w:ascii="Times New Roman" w:eastAsia="Times New Roman" w:hAnsi="Times New Roman" w:cs="Times New Roman"/>
          <w:color w:val="000000"/>
          <w:sz w:val="24"/>
          <w:szCs w:val="24"/>
          <w:lang/>
        </w:rPr>
        <w:t>У разі порушення вимог, встановлених цим підрозділом, до платників податку - суб’єктів літакобудування застосовуються норми </w:t>
      </w:r>
      <w:hyperlink r:id="rId5346" w:anchor="n1075" w:history="1">
        <w:r w:rsidRPr="008B264B">
          <w:rPr>
            <w:rFonts w:ascii="Times New Roman" w:eastAsia="Times New Roman" w:hAnsi="Times New Roman" w:cs="Times New Roman"/>
            <w:color w:val="0000FF"/>
            <w:sz w:val="24"/>
            <w:szCs w:val="24"/>
            <w:u w:val="single"/>
            <w:lang/>
          </w:rPr>
          <w:t>розділу II</w:t>
        </w:r>
      </w:hyperlink>
      <w:r w:rsidRPr="008B264B">
        <w:rPr>
          <w:rFonts w:ascii="Times New Roman" w:eastAsia="Times New Roman" w:hAnsi="Times New Roman" w:cs="Times New Roman"/>
          <w:color w:val="000000"/>
          <w:sz w:val="24"/>
          <w:szCs w:val="24"/>
          <w:lang/>
        </w:rPr>
        <w:t> цього Кодексу.</w:t>
      </w:r>
    </w:p>
    <w:p w14:paraId="71A6B9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7" w:name="n13297"/>
      <w:bookmarkEnd w:id="9777"/>
      <w:r w:rsidRPr="008B264B">
        <w:rPr>
          <w:rFonts w:ascii="Times New Roman" w:eastAsia="Times New Roman" w:hAnsi="Times New Roman" w:cs="Times New Roman"/>
          <w:i/>
          <w:iCs/>
          <w:color w:val="000000"/>
          <w:sz w:val="24"/>
          <w:szCs w:val="24"/>
          <w:lang/>
        </w:rPr>
        <w:t>{Підрозділ 2 розділу XX доповнено пунктом 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347" w:anchor="n6" w:tgtFrame="_blank" w:history="1">
        <w:r w:rsidRPr="008B264B">
          <w:rPr>
            <w:rFonts w:ascii="Times New Roman" w:eastAsia="Times New Roman" w:hAnsi="Times New Roman" w:cs="Times New Roman"/>
            <w:i/>
            <w:iCs/>
            <w:color w:val="0000FF"/>
            <w:sz w:val="24"/>
            <w:szCs w:val="24"/>
            <w:u w:val="single"/>
            <w:lang/>
          </w:rPr>
          <w:t>№ 1795-VIII від 20.12.2016</w:t>
        </w:r>
      </w:hyperlink>
      <w:r w:rsidRPr="008B264B">
        <w:rPr>
          <w:rFonts w:ascii="Times New Roman" w:eastAsia="Times New Roman" w:hAnsi="Times New Roman" w:cs="Times New Roman"/>
          <w:i/>
          <w:iCs/>
          <w:color w:val="000000"/>
          <w:sz w:val="24"/>
          <w:szCs w:val="24"/>
          <w:lang/>
        </w:rPr>
        <w:t>}</w:t>
      </w:r>
    </w:p>
    <w:p w14:paraId="242F8E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8" w:name="n8085"/>
      <w:bookmarkEnd w:id="9778"/>
      <w:r w:rsidRPr="008B264B">
        <w:rPr>
          <w:rFonts w:ascii="Times New Roman" w:eastAsia="Times New Roman" w:hAnsi="Times New Roman" w:cs="Times New Roman"/>
          <w:color w:val="000000"/>
          <w:sz w:val="24"/>
          <w:szCs w:val="24"/>
          <w:lang/>
        </w:rPr>
        <w:t>5. Тимчасово, до 1 січня 2015 року, звільняються від оподаткування податком на додану вартість операції з виконання робіт та постачання послуг суб'єктами підприємницької діяльності - резидентами України, які одночасно здійснюють видавничу діяльність, діяльність з виготовлення, розповсюдження книжкової продукції та виробництва паперу і картону. При цьому дохід такого суб'єкта підприємницької діяльності, отриманий від видавничої діяльності, діяльності з виготовлення, розповсюдження книжкової продукції та виробництва паперу і картону, має становити не менше 100 відсотків від загальної суми його доходу за перший звітний (податковий) період з часу створення такого суб'єкта підприємницької діяльності або не менше 50 відсотків від загальної суми його доходу за попередній звітний (податковий) рік.</w:t>
      </w:r>
    </w:p>
    <w:p w14:paraId="4F7D89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79" w:name="n8086"/>
      <w:bookmarkEnd w:id="9779"/>
      <w:r w:rsidRPr="008B264B">
        <w:rPr>
          <w:rFonts w:ascii="Times New Roman" w:eastAsia="Times New Roman" w:hAnsi="Times New Roman" w:cs="Times New Roman"/>
          <w:color w:val="000000"/>
          <w:sz w:val="24"/>
          <w:szCs w:val="24"/>
          <w:lang/>
        </w:rPr>
        <w:t>6. Тимчасово, до 1 січня 2015 року, звільняються від оподаткування податком на додану вартість операції з виконання робіт та постачання послуг у видавничій діяльності, діяльності з виготовлення та розповсюдження видавництвами, видавничими організаціями, підприємствами поліграфії, розповсюджувачами книжкової продукції, виробленої в Україні, операції з виробництва та/або постачання паперу і картону, вироблених в Україні для виготовлення книжкової продукції, учнівських зошитів, підручників та навчальних посібників українського виробництва, а також операції з постачання книжкової продукції, виробленої в Україні, крім реклами, послуг з розміщення матеріалів рекламного та еротичного характеру і видань рекламного та еротичного характеру.</w:t>
      </w:r>
    </w:p>
    <w:p w14:paraId="1E0638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0" w:name="n8087"/>
      <w:bookmarkEnd w:id="9780"/>
      <w:r w:rsidRPr="008B264B">
        <w:rPr>
          <w:rFonts w:ascii="Times New Roman" w:eastAsia="Times New Roman" w:hAnsi="Times New Roman" w:cs="Times New Roman"/>
          <w:color w:val="000000"/>
          <w:sz w:val="24"/>
          <w:szCs w:val="24"/>
          <w:lang/>
        </w:rPr>
        <w:t>7. Тимчасово, до 1 січня 2015 року, звільняються від оподаткування податком на додану вартість:</w:t>
      </w:r>
    </w:p>
    <w:p w14:paraId="6FA538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1" w:name="n8088"/>
      <w:bookmarkEnd w:id="9781"/>
      <w:r w:rsidRPr="008B264B">
        <w:rPr>
          <w:rFonts w:ascii="Times New Roman" w:eastAsia="Times New Roman" w:hAnsi="Times New Roman" w:cs="Times New Roman"/>
          <w:i/>
          <w:iCs/>
          <w:color w:val="000000"/>
          <w:sz w:val="24"/>
          <w:szCs w:val="24"/>
          <w:lang/>
        </w:rPr>
        <w:t>{Абзац перший пункту 7 підрозділу 2 розділу XX в редакції Закону </w:t>
      </w:r>
      <w:hyperlink r:id="rId5348"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306E30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2" w:name="n8089"/>
      <w:bookmarkEnd w:id="9782"/>
      <w:r w:rsidRPr="008B264B">
        <w:rPr>
          <w:rFonts w:ascii="Times New Roman" w:eastAsia="Times New Roman" w:hAnsi="Times New Roman" w:cs="Times New Roman"/>
          <w:color w:val="000000"/>
          <w:sz w:val="24"/>
          <w:szCs w:val="24"/>
          <w:lang/>
        </w:rPr>
        <w:t>операції із ввезення на митну територію України в митному режимі імпорту товарів, визначених </w:t>
      </w:r>
      <w:hyperlink r:id="rId5349" w:anchor="n4400" w:tgtFrame="_blank" w:history="1">
        <w:r w:rsidRPr="008B264B">
          <w:rPr>
            <w:rFonts w:ascii="Times New Roman" w:eastAsia="Times New Roman" w:hAnsi="Times New Roman" w:cs="Times New Roman"/>
            <w:color w:val="0000FF"/>
            <w:sz w:val="24"/>
            <w:szCs w:val="24"/>
            <w:u w:val="single"/>
            <w:lang/>
          </w:rPr>
          <w:t>підпунктом 1 пункту 4 розділу ХХI</w:t>
        </w:r>
      </w:hyperlink>
      <w:hyperlink r:id="rId5350" w:anchor="n4400" w:tgtFrame="_blank" w:history="1">
        <w:r w:rsidRPr="008B264B">
          <w:rPr>
            <w:rFonts w:ascii="Times New Roman" w:eastAsia="Times New Roman" w:hAnsi="Times New Roman" w:cs="Times New Roman"/>
            <w:color w:val="0000FF"/>
            <w:sz w:val="24"/>
            <w:szCs w:val="24"/>
            <w:u w:val="single"/>
            <w:lang/>
          </w:rPr>
          <w:t> "Прикінцеві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 для використання у власній виробничій діяльності;</w:t>
      </w:r>
    </w:p>
    <w:p w14:paraId="0E4682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3" w:name="n8090"/>
      <w:bookmarkEnd w:id="9783"/>
      <w:r w:rsidRPr="008B264B">
        <w:rPr>
          <w:rFonts w:ascii="Times New Roman" w:eastAsia="Times New Roman" w:hAnsi="Times New Roman" w:cs="Times New Roman"/>
          <w:i/>
          <w:iCs/>
          <w:color w:val="000000"/>
          <w:sz w:val="24"/>
          <w:szCs w:val="24"/>
          <w:lang/>
        </w:rPr>
        <w:t>{Абзац пункту 7 підрозділу 2 розділу XX в редакції Законів </w:t>
      </w:r>
      <w:hyperlink r:id="rId535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5352" w:anchor="n138"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42179A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4" w:name="n8091"/>
      <w:bookmarkEnd w:id="9784"/>
      <w:r w:rsidRPr="008B264B">
        <w:rPr>
          <w:rFonts w:ascii="Times New Roman" w:eastAsia="Times New Roman" w:hAnsi="Times New Roman" w:cs="Times New Roman"/>
          <w:color w:val="000000"/>
          <w:sz w:val="24"/>
          <w:szCs w:val="24"/>
          <w:lang/>
        </w:rPr>
        <w:t>операції з постачання товарів, визначених </w:t>
      </w:r>
      <w:hyperlink r:id="rId5353" w:anchor="n4400" w:tgtFrame="_blank" w:history="1">
        <w:r w:rsidRPr="008B264B">
          <w:rPr>
            <w:rFonts w:ascii="Times New Roman" w:eastAsia="Times New Roman" w:hAnsi="Times New Roman" w:cs="Times New Roman"/>
            <w:color w:val="0000FF"/>
            <w:sz w:val="24"/>
            <w:szCs w:val="24"/>
            <w:u w:val="single"/>
            <w:lang/>
          </w:rPr>
          <w:t>підпунктом 1 пункту 4 розділу ХХI</w:t>
        </w:r>
      </w:hyperlink>
      <w:hyperlink r:id="rId5354" w:anchor="n4400" w:tgtFrame="_blank" w:history="1">
        <w:r w:rsidRPr="008B264B">
          <w:rPr>
            <w:rFonts w:ascii="Times New Roman" w:eastAsia="Times New Roman" w:hAnsi="Times New Roman" w:cs="Times New Roman"/>
            <w:color w:val="0000FF"/>
            <w:sz w:val="24"/>
            <w:szCs w:val="24"/>
            <w:u w:val="single"/>
            <w:lang/>
          </w:rPr>
          <w:t> "Прикінцеві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 переробникам, видавництвам і підприємствам поліграфії на території України.</w:t>
      </w:r>
    </w:p>
    <w:p w14:paraId="1EA032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5" w:name="n8092"/>
      <w:bookmarkEnd w:id="9785"/>
      <w:r w:rsidRPr="008B264B">
        <w:rPr>
          <w:rFonts w:ascii="Times New Roman" w:eastAsia="Times New Roman" w:hAnsi="Times New Roman" w:cs="Times New Roman"/>
          <w:i/>
          <w:iCs/>
          <w:color w:val="000000"/>
          <w:sz w:val="24"/>
          <w:szCs w:val="24"/>
          <w:lang/>
        </w:rPr>
        <w:t>{Абзац пункту 7 підрозділу 2 розділу XX в редакції Закону </w:t>
      </w:r>
      <w:hyperlink r:id="rId535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2B935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6" w:name="n8093"/>
      <w:bookmarkEnd w:id="9786"/>
      <w:r w:rsidRPr="008B264B">
        <w:rPr>
          <w:rFonts w:ascii="Times New Roman" w:eastAsia="Times New Roman" w:hAnsi="Times New Roman" w:cs="Times New Roman"/>
          <w:color w:val="000000"/>
          <w:sz w:val="24"/>
          <w:szCs w:val="24"/>
          <w:lang/>
        </w:rPr>
        <w:t>У разі нецільового використання зазначених товарів платник податку зобов'язаний збільшити податкові зобов'язання за наслідками податкового періоду, на який припадає таке порушення, на суму податку на додану вартість, що мала бути сплачена в момент імпорту таких товарів, а також сплатити пеню відповідно до закону.</w:t>
      </w:r>
    </w:p>
    <w:p w14:paraId="163481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7" w:name="n8094"/>
      <w:bookmarkEnd w:id="9787"/>
      <w:r w:rsidRPr="008B264B">
        <w:rPr>
          <w:rFonts w:ascii="Times New Roman" w:eastAsia="Times New Roman" w:hAnsi="Times New Roman" w:cs="Times New Roman"/>
          <w:color w:val="000000"/>
          <w:sz w:val="24"/>
          <w:szCs w:val="24"/>
          <w:lang/>
        </w:rPr>
        <w:lastRenderedPageBreak/>
        <w:t>8. На період до 1 січня 2025 року за нульовою ставкою оподатковується податком на додану вартість постачання товарів (крім підакцизних товарів) та послуг (крім послуг, що надаються під час проведення лотерей і розважальних ігор та послуг з постачання товарів, отриманих у межах договорів комісії (консигнації), поруки, доручення, довірчого управління, інших цивільно-правових договорів, що уповноважують такого платника податку (далі - комісіонера) здійснювати постачання товарів від імені та за дорученням іншої особи (далі - комітента) без передання права власності на такі товари), що безпосередньо виготовляються підприємствами та організаціями громадських об’єднань осіб з інвалідністю, які засновані громадськими об’єднаннями осіб з інвалідністю і є їх власністю, де кількість осіб з інвалідністю, які мають там основне місце роботи, становить протягом попереднього звітного періоду не менше 50 відсотків середньооблікової кількості штатних працівників, і за умови, що фонд оплати праці таких осіб з інвалідністю становить протягом звітного періоду не менше 25 відсотків суми загальних витрат на оплату праці, що відносяться до складу витрат виробництва.</w:t>
      </w:r>
    </w:p>
    <w:p w14:paraId="776810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8" w:name="n8095"/>
      <w:bookmarkEnd w:id="9788"/>
      <w:r w:rsidRPr="008B264B">
        <w:rPr>
          <w:rFonts w:ascii="Times New Roman" w:eastAsia="Times New Roman" w:hAnsi="Times New Roman" w:cs="Times New Roman"/>
          <w:i/>
          <w:iCs/>
          <w:color w:val="000000"/>
          <w:sz w:val="24"/>
          <w:szCs w:val="24"/>
          <w:lang/>
        </w:rPr>
        <w:t>{Абзац перший пункту 8 підрозділу 2 розділу XX із змінами, внесеними згідно із Законами </w:t>
      </w:r>
      <w:hyperlink r:id="rId535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5357" w:anchor="n484"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5358" w:anchor="n13"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6E3C95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89" w:name="n8096"/>
      <w:bookmarkEnd w:id="9789"/>
      <w:r w:rsidRPr="008B264B">
        <w:rPr>
          <w:rFonts w:ascii="Times New Roman" w:eastAsia="Times New Roman" w:hAnsi="Times New Roman" w:cs="Times New Roman"/>
          <w:color w:val="000000"/>
          <w:sz w:val="24"/>
          <w:szCs w:val="24"/>
          <w:lang/>
        </w:rPr>
        <w:t>Безпосереднім вважається виготовлення товарів/послуг, внаслідок якого сума витрат, понесених на переробку (обробку, інші види перетворення) сировини, комплектуючих, складових частин, інших покупних товарів, які використовуються у виготовленні таких товарів, становить не менше 8 відсотків продажної ціни таких виготовлених товарів.</w:t>
      </w:r>
    </w:p>
    <w:p w14:paraId="25497D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0" w:name="n8097"/>
      <w:bookmarkEnd w:id="9790"/>
      <w:r w:rsidRPr="008B264B">
        <w:rPr>
          <w:rFonts w:ascii="Times New Roman" w:eastAsia="Times New Roman" w:hAnsi="Times New Roman" w:cs="Times New Roman"/>
          <w:color w:val="000000"/>
          <w:sz w:val="24"/>
          <w:szCs w:val="24"/>
          <w:lang/>
        </w:rPr>
        <w:t>Зазначені підприємства та організації громадських об’єднань осіб з інвалідністю мають право застосовувати цю пільгу за наявності реєстрації у відповідному контролюючому органі, яка здійснюється на підставі подання відповідної заяви платника податку про бажання отримати таку пільгу та позитивного рішення уповноваженого органу відповідно до </w:t>
      </w:r>
      <w:hyperlink r:id="rId5359"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основи соціальної захищеності осіб з інвалідністю в Україні".</w:t>
      </w:r>
    </w:p>
    <w:p w14:paraId="0F6A25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1" w:name="n8098"/>
      <w:bookmarkEnd w:id="9791"/>
      <w:r w:rsidRPr="008B264B">
        <w:rPr>
          <w:rFonts w:ascii="Times New Roman" w:eastAsia="Times New Roman" w:hAnsi="Times New Roman" w:cs="Times New Roman"/>
          <w:i/>
          <w:iCs/>
          <w:color w:val="000000"/>
          <w:sz w:val="24"/>
          <w:szCs w:val="24"/>
          <w:lang/>
        </w:rPr>
        <w:t>{Абзац третій пункту 8 підрозділу 2 розділу XX із змінами, внесеними згідно із Законами </w:t>
      </w:r>
      <w:hyperlink r:id="rId5360" w:anchor="n500"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361" w:anchor="n14" w:tgtFrame="_blank" w:history="1">
        <w:r w:rsidRPr="008B264B">
          <w:rPr>
            <w:rFonts w:ascii="Times New Roman" w:eastAsia="Times New Roman" w:hAnsi="Times New Roman" w:cs="Times New Roman"/>
            <w:i/>
            <w:iCs/>
            <w:color w:val="0000FF"/>
            <w:sz w:val="24"/>
            <w:szCs w:val="24"/>
            <w:u w:val="single"/>
            <w:lang/>
          </w:rPr>
          <w:t>№ 344-IX від 05.12.2019</w:t>
        </w:r>
      </w:hyperlink>
      <w:r w:rsidRPr="008B264B">
        <w:rPr>
          <w:rFonts w:ascii="Times New Roman" w:eastAsia="Times New Roman" w:hAnsi="Times New Roman" w:cs="Times New Roman"/>
          <w:i/>
          <w:iCs/>
          <w:color w:val="000000"/>
          <w:sz w:val="24"/>
          <w:szCs w:val="24"/>
          <w:lang/>
        </w:rPr>
        <w:t>}</w:t>
      </w:r>
    </w:p>
    <w:p w14:paraId="763F27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2" w:name="n8099"/>
      <w:bookmarkEnd w:id="9792"/>
      <w:r w:rsidRPr="008B264B">
        <w:rPr>
          <w:rFonts w:ascii="Times New Roman" w:eastAsia="Times New Roman" w:hAnsi="Times New Roman" w:cs="Times New Roman"/>
          <w:color w:val="000000"/>
          <w:sz w:val="24"/>
          <w:szCs w:val="24"/>
          <w:lang/>
        </w:rPr>
        <w:t>При порушенні вимог цього пункту платником податку контролюючий орган скасовує його реєстрацію як особи, що має право на податкову пільгу, а податкові зобов'язання такого платника податку перераховуються з податкового періоду, за наслідками якого були виявлені такі порушення, відповідно до загальних правил оподаткування, встановлених цим Кодексом, та з одночасним застосуванням відповідних фінансових санкцій.</w:t>
      </w:r>
    </w:p>
    <w:p w14:paraId="6FE7EB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3" w:name="n8100"/>
      <w:bookmarkEnd w:id="9793"/>
      <w:r w:rsidRPr="008B264B">
        <w:rPr>
          <w:rFonts w:ascii="Times New Roman" w:eastAsia="Times New Roman" w:hAnsi="Times New Roman" w:cs="Times New Roman"/>
          <w:color w:val="000000"/>
          <w:sz w:val="24"/>
          <w:szCs w:val="24"/>
          <w:lang/>
        </w:rPr>
        <w:t>Податкова звітність таких підприємств та організацій надається у порядку, встановленому законодавством.</w:t>
      </w:r>
    </w:p>
    <w:p w14:paraId="2F452E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4" w:name="n10265"/>
      <w:bookmarkEnd w:id="9794"/>
      <w:r w:rsidRPr="008B264B">
        <w:rPr>
          <w:rFonts w:ascii="Times New Roman" w:eastAsia="Times New Roman" w:hAnsi="Times New Roman" w:cs="Times New Roman"/>
          <w:i/>
          <w:iCs/>
          <w:color w:val="000000"/>
          <w:sz w:val="24"/>
          <w:szCs w:val="24"/>
          <w:lang/>
        </w:rPr>
        <w:t>{Пункт 8 підрозділу 2 розділу XX із змінами, внесеними згідно із Законом </w:t>
      </w:r>
      <w:hyperlink r:id="rId5362" w:anchor="n5" w:tgtFrame="_blank" w:history="1">
        <w:r w:rsidRPr="008B264B">
          <w:rPr>
            <w:rFonts w:ascii="Times New Roman" w:eastAsia="Times New Roman" w:hAnsi="Times New Roman" w:cs="Times New Roman"/>
            <w:i/>
            <w:iCs/>
            <w:color w:val="0000FF"/>
            <w:sz w:val="24"/>
            <w:szCs w:val="24"/>
            <w:u w:val="single"/>
            <w:lang/>
          </w:rPr>
          <w:t>№ 1654-VII від 14.08.2014</w:t>
        </w:r>
      </w:hyperlink>
      <w:r w:rsidRPr="008B264B">
        <w:rPr>
          <w:rFonts w:ascii="Times New Roman" w:eastAsia="Times New Roman" w:hAnsi="Times New Roman" w:cs="Times New Roman"/>
          <w:i/>
          <w:iCs/>
          <w:color w:val="000000"/>
          <w:sz w:val="24"/>
          <w:szCs w:val="24"/>
          <w:lang/>
        </w:rPr>
        <w:t>}</w:t>
      </w:r>
    </w:p>
    <w:p w14:paraId="0C06BB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5" w:name="n8101"/>
      <w:bookmarkEnd w:id="9795"/>
      <w:r w:rsidRPr="008B264B">
        <w:rPr>
          <w:rFonts w:ascii="Times New Roman" w:eastAsia="Times New Roman" w:hAnsi="Times New Roman" w:cs="Times New Roman"/>
          <w:color w:val="000000"/>
          <w:sz w:val="24"/>
          <w:szCs w:val="24"/>
          <w:lang/>
        </w:rPr>
        <w:t>9. До 1 вересня 2012 року податок на додану вартість не справляється під час ввезення на митну територію України товарів у митному режимі імпорту, що звільняються від оподаткування ввізним митом згідно з </w:t>
      </w:r>
      <w:hyperlink r:id="rId5363" w:anchor="n4400" w:tgtFrame="_blank" w:history="1">
        <w:r w:rsidRPr="008B264B">
          <w:rPr>
            <w:rFonts w:ascii="Times New Roman" w:eastAsia="Times New Roman" w:hAnsi="Times New Roman" w:cs="Times New Roman"/>
            <w:color w:val="0000FF"/>
            <w:sz w:val="24"/>
            <w:szCs w:val="24"/>
            <w:u w:val="single"/>
            <w:lang/>
          </w:rPr>
          <w:t>абзацом четвертим підпункту 3 пункту 4 розділу ХХІ </w:t>
        </w:r>
      </w:hyperlink>
      <w:hyperlink r:id="rId5364" w:anchor="n4400" w:tgtFrame="_blank" w:history="1">
        <w:r w:rsidRPr="008B264B">
          <w:rPr>
            <w:rFonts w:ascii="Times New Roman" w:eastAsia="Times New Roman" w:hAnsi="Times New Roman" w:cs="Times New Roman"/>
            <w:color w:val="0000FF"/>
            <w:sz w:val="24"/>
            <w:szCs w:val="24"/>
            <w:u w:val="single"/>
            <w:lang/>
          </w:rPr>
          <w:t>"Прикінцеві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w:t>
      </w:r>
    </w:p>
    <w:p w14:paraId="795689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6" w:name="n8102"/>
      <w:bookmarkEnd w:id="9796"/>
      <w:r w:rsidRPr="008B264B">
        <w:rPr>
          <w:rFonts w:ascii="Times New Roman" w:eastAsia="Times New Roman" w:hAnsi="Times New Roman" w:cs="Times New Roman"/>
          <w:i/>
          <w:iCs/>
          <w:color w:val="000000"/>
          <w:sz w:val="24"/>
          <w:szCs w:val="24"/>
          <w:lang/>
        </w:rPr>
        <w:t>{Абзац перший пункту 9 розділу XX в редакції Закону </w:t>
      </w:r>
      <w:hyperlink r:id="rId5365" w:anchor="n141"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07F485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7" w:name="n8103"/>
      <w:bookmarkEnd w:id="9797"/>
      <w:r w:rsidRPr="008B264B">
        <w:rPr>
          <w:rFonts w:ascii="Times New Roman" w:eastAsia="Times New Roman" w:hAnsi="Times New Roman" w:cs="Times New Roman"/>
          <w:color w:val="000000"/>
          <w:sz w:val="24"/>
          <w:szCs w:val="24"/>
          <w:lang/>
        </w:rPr>
        <w:t>При порушенні цільового використання таких предметів або при їх відчуженні на митній території України за будь-яку компенсацію до платників податків застосовуються штрафні (фінансові) санкції відповідно до вимог закону.</w:t>
      </w:r>
    </w:p>
    <w:p w14:paraId="4AB76C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8" w:name="n8104"/>
      <w:bookmarkEnd w:id="9798"/>
      <w:r w:rsidRPr="008B264B">
        <w:rPr>
          <w:rFonts w:ascii="Times New Roman" w:eastAsia="Times New Roman" w:hAnsi="Times New Roman" w:cs="Times New Roman"/>
          <w:i/>
          <w:iCs/>
          <w:color w:val="000000"/>
          <w:sz w:val="24"/>
          <w:szCs w:val="24"/>
          <w:lang/>
        </w:rPr>
        <w:t>{Пункт 10 підрозділу 2 розділу XX виключено на підставі Закону </w:t>
      </w:r>
      <w:hyperlink r:id="rId5366" w:anchor="n280"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79C26E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799" w:name="n8105"/>
      <w:bookmarkEnd w:id="9799"/>
      <w:r w:rsidRPr="008B264B">
        <w:rPr>
          <w:rFonts w:ascii="Times New Roman" w:eastAsia="Times New Roman" w:hAnsi="Times New Roman" w:cs="Times New Roman"/>
          <w:color w:val="000000"/>
          <w:sz w:val="24"/>
          <w:szCs w:val="24"/>
          <w:lang/>
        </w:rPr>
        <w:t>11. Реєстрація податкових накладних платниками податку на додану вартість - продавцями в Єдиному реєстрі податкових накладних запроваджується для платників цього податку, у яких сума податку на додану вартість в одній податковій накладній становить:</w:t>
      </w:r>
    </w:p>
    <w:p w14:paraId="330DB5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0" w:name="n8106"/>
      <w:bookmarkEnd w:id="9800"/>
      <w:r w:rsidRPr="008B264B">
        <w:rPr>
          <w:rFonts w:ascii="Times New Roman" w:eastAsia="Times New Roman" w:hAnsi="Times New Roman" w:cs="Times New Roman"/>
          <w:color w:val="000000"/>
          <w:sz w:val="24"/>
          <w:szCs w:val="24"/>
          <w:lang/>
        </w:rPr>
        <w:lastRenderedPageBreak/>
        <w:t>понад 1 мільйон гривень - з 1 січня 2011 року;</w:t>
      </w:r>
    </w:p>
    <w:p w14:paraId="30012D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1" w:name="n8107"/>
      <w:bookmarkEnd w:id="9801"/>
      <w:r w:rsidRPr="008B264B">
        <w:rPr>
          <w:rFonts w:ascii="Times New Roman" w:eastAsia="Times New Roman" w:hAnsi="Times New Roman" w:cs="Times New Roman"/>
          <w:color w:val="000000"/>
          <w:sz w:val="24"/>
          <w:szCs w:val="24"/>
          <w:lang/>
        </w:rPr>
        <w:t>понад 500 тисяч гривень - з 1 квітня 2011 року;</w:t>
      </w:r>
    </w:p>
    <w:p w14:paraId="383CA4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2" w:name="n8108"/>
      <w:bookmarkEnd w:id="9802"/>
      <w:r w:rsidRPr="008B264B">
        <w:rPr>
          <w:rFonts w:ascii="Times New Roman" w:eastAsia="Times New Roman" w:hAnsi="Times New Roman" w:cs="Times New Roman"/>
          <w:color w:val="000000"/>
          <w:sz w:val="24"/>
          <w:szCs w:val="24"/>
          <w:lang/>
        </w:rPr>
        <w:t>понад 100 тисяч гривень - з 1 липня 2011 року;</w:t>
      </w:r>
    </w:p>
    <w:p w14:paraId="097FCA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3" w:name="n8109"/>
      <w:bookmarkEnd w:id="9803"/>
      <w:r w:rsidRPr="008B264B">
        <w:rPr>
          <w:rFonts w:ascii="Times New Roman" w:eastAsia="Times New Roman" w:hAnsi="Times New Roman" w:cs="Times New Roman"/>
          <w:color w:val="000000"/>
          <w:sz w:val="24"/>
          <w:szCs w:val="24"/>
          <w:lang/>
        </w:rPr>
        <w:t>понад 10 тисяч гривень - з 1 січня 2012 року.</w:t>
      </w:r>
    </w:p>
    <w:p w14:paraId="068837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4" w:name="n8110"/>
      <w:bookmarkEnd w:id="9804"/>
      <w:r w:rsidRPr="008B264B">
        <w:rPr>
          <w:rFonts w:ascii="Times New Roman" w:eastAsia="Times New Roman" w:hAnsi="Times New Roman" w:cs="Times New Roman"/>
          <w:color w:val="000000"/>
          <w:sz w:val="24"/>
          <w:szCs w:val="24"/>
          <w:lang/>
        </w:rPr>
        <w:t>Податкова накладна, складена при здійсненні операцій з постачання підакцизних товарів та товарів, ввезених на митну територію України, з 1 січня 2012 року підлягає включенню до Єдиного реєстру податкових накладних не залежно від розміру податку на додану вартість в одній податковій накладній.</w:t>
      </w:r>
    </w:p>
    <w:p w14:paraId="32CA54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5" w:name="n8111"/>
      <w:bookmarkEnd w:id="9805"/>
      <w:r w:rsidRPr="008B264B">
        <w:rPr>
          <w:rFonts w:ascii="Times New Roman" w:eastAsia="Times New Roman" w:hAnsi="Times New Roman" w:cs="Times New Roman"/>
          <w:i/>
          <w:iCs/>
          <w:color w:val="000000"/>
          <w:sz w:val="24"/>
          <w:szCs w:val="24"/>
          <w:lang/>
        </w:rPr>
        <w:t>{Абзац шостий пункту 11 підрозділу 2 розділу XX в редакції Закону </w:t>
      </w:r>
      <w:hyperlink r:id="rId536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368" w:anchor="n140"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5369" w:anchor="n196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370" w:anchor="n168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5371" w:anchor="n145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17253E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6" w:name="n8112"/>
      <w:bookmarkEnd w:id="9806"/>
      <w:r w:rsidRPr="008B264B">
        <w:rPr>
          <w:rFonts w:ascii="Times New Roman" w:eastAsia="Times New Roman" w:hAnsi="Times New Roman" w:cs="Times New Roman"/>
          <w:color w:val="000000"/>
          <w:sz w:val="24"/>
          <w:szCs w:val="24"/>
          <w:lang/>
        </w:rPr>
        <w:t>До платників податку, для яких на дату складання накладної цим підрозділом не запроваджено обов'язковість реєстрації податкової накладної в Єдиному реєстрі податкових накладних, не застосовуються норми </w:t>
      </w:r>
      <w:hyperlink r:id="rId5372" w:anchor="n5101" w:history="1">
        <w:r w:rsidRPr="008B264B">
          <w:rPr>
            <w:rFonts w:ascii="Times New Roman" w:eastAsia="Times New Roman" w:hAnsi="Times New Roman" w:cs="Times New Roman"/>
            <w:color w:val="0000FF"/>
            <w:sz w:val="24"/>
            <w:szCs w:val="24"/>
            <w:u w:val="single"/>
            <w:lang/>
          </w:rPr>
          <w:t>абзаців восьмого</w:t>
        </w:r>
      </w:hyperlink>
      <w:r w:rsidRPr="008B264B">
        <w:rPr>
          <w:rFonts w:ascii="Times New Roman" w:eastAsia="Times New Roman" w:hAnsi="Times New Roman" w:cs="Times New Roman"/>
          <w:color w:val="000000"/>
          <w:sz w:val="24"/>
          <w:szCs w:val="24"/>
          <w:lang/>
        </w:rPr>
        <w:t> і </w:t>
      </w:r>
      <w:hyperlink r:id="rId5373" w:anchor="n5102" w:history="1">
        <w:r w:rsidRPr="008B264B">
          <w:rPr>
            <w:rFonts w:ascii="Times New Roman" w:eastAsia="Times New Roman" w:hAnsi="Times New Roman" w:cs="Times New Roman"/>
            <w:color w:val="0000FF"/>
            <w:sz w:val="24"/>
            <w:szCs w:val="24"/>
            <w:u w:val="single"/>
            <w:lang/>
          </w:rPr>
          <w:t>дев'ятого</w:t>
        </w:r>
      </w:hyperlink>
      <w:r w:rsidRPr="008B264B">
        <w:rPr>
          <w:rFonts w:ascii="Times New Roman" w:eastAsia="Times New Roman" w:hAnsi="Times New Roman" w:cs="Times New Roman"/>
          <w:color w:val="000000"/>
          <w:sz w:val="24"/>
          <w:szCs w:val="24"/>
          <w:lang/>
        </w:rPr>
        <w:t> пункту 201.10 статті 201 цього Кодексу.</w:t>
      </w:r>
    </w:p>
    <w:p w14:paraId="0AD02E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7" w:name="n14420"/>
      <w:bookmarkEnd w:id="9807"/>
      <w:r w:rsidRPr="008B264B">
        <w:rPr>
          <w:rFonts w:ascii="Times New Roman" w:eastAsia="Times New Roman" w:hAnsi="Times New Roman" w:cs="Times New Roman"/>
          <w:i/>
          <w:iCs/>
          <w:color w:val="000000"/>
          <w:sz w:val="24"/>
          <w:szCs w:val="24"/>
          <w:lang/>
        </w:rPr>
        <w:t>{Абзац сьомий пункту 11 підрозділу 2 розділу XX із змінами, внесеними згідно із Законом </w:t>
      </w:r>
      <w:hyperlink r:id="rId5374" w:anchor="n146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F8293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8" w:name="n12106"/>
      <w:bookmarkEnd w:id="9808"/>
      <w:r w:rsidRPr="008B264B">
        <w:rPr>
          <w:rFonts w:ascii="Times New Roman" w:eastAsia="Times New Roman" w:hAnsi="Times New Roman" w:cs="Times New Roman"/>
          <w:color w:val="000000"/>
          <w:sz w:val="24"/>
          <w:szCs w:val="24"/>
          <w:lang/>
        </w:rPr>
        <w:t>З 1 лютого 2015 року реєстрації в Єдиному реєстрі податкових накладних підлягають всі податкові накладні та розрахунки коригування до податкових накладних (у тому числі які не надаються покупцю, складені за операціями з постачання товарів/послуг, які звільнені від оподаткування) незалежно від розміру податку на додану вартість в одній податковій накладній/розрахунку коригування.</w:t>
      </w:r>
    </w:p>
    <w:p w14:paraId="7F715B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09" w:name="n12105"/>
      <w:bookmarkEnd w:id="9809"/>
      <w:r w:rsidRPr="008B264B">
        <w:rPr>
          <w:rFonts w:ascii="Times New Roman" w:eastAsia="Times New Roman" w:hAnsi="Times New Roman" w:cs="Times New Roman"/>
          <w:i/>
          <w:iCs/>
          <w:color w:val="000000"/>
          <w:sz w:val="24"/>
          <w:szCs w:val="24"/>
          <w:lang/>
        </w:rPr>
        <w:t>{Пункт 11 підрозділу 2 розділу XX доповнено абзацом восьмим згідно із Законом </w:t>
      </w:r>
      <w:hyperlink r:id="rId5375" w:anchor="n168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376" w:anchor="n14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ADEF2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0" w:name="n8113"/>
      <w:bookmarkEnd w:id="9810"/>
      <w:r w:rsidRPr="008B264B">
        <w:rPr>
          <w:rFonts w:ascii="Times New Roman" w:eastAsia="Times New Roman" w:hAnsi="Times New Roman" w:cs="Times New Roman"/>
          <w:color w:val="000000"/>
          <w:sz w:val="24"/>
          <w:szCs w:val="24"/>
          <w:lang/>
        </w:rPr>
        <w:t>12. Тимчасово, до 1 січня 2023 року, звільняються від оподаткування податком на додану вартість операції з постачання національних фільмів, визначених </w:t>
      </w:r>
      <w:hyperlink r:id="rId5377"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кінематографію", виробниками, демонстраторами та розповсюджувачами національних фільмів, а також з постачання робіт та послуг з виробництва національних фільмів, а також з постачання робіт та послуг з виготовлення архівного комплекту вихідних матеріалів національних фільмів та фільмів, створених на території України, з постачання робіт та послуг з тиражування національних фільмів та іноземних фільмів, дубльованих, озвучених державною мовою на території України, а також з постачання робіт та послуг з дублювання, озвучення державною мовою іноземних фільмів на території України, з постачання робіт та послуг із збереження, відновлення та реставрації національної кінематографічної спадщини.</w:t>
      </w:r>
    </w:p>
    <w:p w14:paraId="160052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1" w:name="n12962"/>
      <w:bookmarkEnd w:id="9811"/>
      <w:r w:rsidRPr="008B264B">
        <w:rPr>
          <w:rFonts w:ascii="Times New Roman" w:eastAsia="Times New Roman" w:hAnsi="Times New Roman" w:cs="Times New Roman"/>
          <w:i/>
          <w:iCs/>
          <w:color w:val="000000"/>
          <w:sz w:val="24"/>
          <w:szCs w:val="24"/>
          <w:lang/>
        </w:rPr>
        <w:t>{Пункт 12 підрозділу 2 розділу XX із змінами, внесеними згідно із Законами </w:t>
      </w:r>
      <w:hyperlink r:id="rId5378" w:anchor="n66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5379" w:anchor="n14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5380" w:anchor="n23"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256BA1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2" w:name="n8114"/>
      <w:bookmarkEnd w:id="9812"/>
      <w:r w:rsidRPr="008B264B">
        <w:rPr>
          <w:rFonts w:ascii="Times New Roman" w:eastAsia="Times New Roman" w:hAnsi="Times New Roman" w:cs="Times New Roman"/>
          <w:color w:val="000000"/>
          <w:sz w:val="24"/>
          <w:szCs w:val="24"/>
          <w:lang/>
        </w:rPr>
        <w:t>13. Тимчасово, до 1 січня 2016 року, звільняються від оподаткування податком на додану вартість операції з постачання послуг з демонстрування, розповсюдження та/або публічного сповіщення національних фільмів та іноземних фільмів, дубльованих, озвучених та/або субтитрованих державною мовою на території України, демонстраторами, розповсюджувачами та/або організаціями мовлення (публічними сповіщувачами).</w:t>
      </w:r>
    </w:p>
    <w:p w14:paraId="2D29E5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3" w:name="n14699"/>
      <w:bookmarkEnd w:id="9813"/>
      <w:r w:rsidRPr="008B264B">
        <w:rPr>
          <w:rFonts w:ascii="Times New Roman" w:eastAsia="Times New Roman" w:hAnsi="Times New Roman" w:cs="Times New Roman"/>
          <w:color w:val="000000"/>
          <w:sz w:val="24"/>
          <w:szCs w:val="24"/>
          <w:lang/>
        </w:rPr>
        <w:t>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Тимчасово, до 1 січня 2023 року, звільняються від оподаткування податком на додану вартість операції з постачання послуг з демонстрування, розповсюдження та/або публічного сповіщення національних фільмів та іноземних фільмів, дубльованих, озвучених державною мовою на території України, демонстраторами, розповсюджувачами та/або організаціями мовлення (публічними сповіщувачами).</w:t>
      </w:r>
    </w:p>
    <w:p w14:paraId="3B5243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4" w:name="n14698"/>
      <w:bookmarkEnd w:id="9814"/>
      <w:r w:rsidRPr="008B264B">
        <w:rPr>
          <w:rFonts w:ascii="Times New Roman" w:eastAsia="Times New Roman" w:hAnsi="Times New Roman" w:cs="Times New Roman"/>
          <w:i/>
          <w:iCs/>
          <w:color w:val="000000"/>
          <w:sz w:val="24"/>
          <w:szCs w:val="24"/>
          <w:lang/>
        </w:rPr>
        <w:lastRenderedPageBreak/>
        <w:t>{Підрозділ 2 розділу XX доповнено пунктом 13</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381" w:anchor="n25"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5E0505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5" w:name="n8115"/>
      <w:bookmarkEnd w:id="9815"/>
      <w:r w:rsidRPr="008B264B">
        <w:rPr>
          <w:rFonts w:ascii="Times New Roman" w:eastAsia="Times New Roman" w:hAnsi="Times New Roman" w:cs="Times New Roman"/>
          <w:color w:val="000000"/>
          <w:sz w:val="24"/>
          <w:szCs w:val="24"/>
          <w:lang/>
        </w:rPr>
        <w:t>14. При від'ємному значенні сум податку на додану вартість, обрахованого в порядку, передбаченому в </w:t>
      </w:r>
      <w:hyperlink r:id="rId5382" w:anchor="n4988" w:history="1">
        <w:r w:rsidRPr="008B264B">
          <w:rPr>
            <w:rFonts w:ascii="Times New Roman" w:eastAsia="Times New Roman" w:hAnsi="Times New Roman" w:cs="Times New Roman"/>
            <w:color w:val="0000FF"/>
            <w:sz w:val="24"/>
            <w:szCs w:val="24"/>
            <w:u w:val="single"/>
            <w:lang/>
          </w:rPr>
          <w:t>пункті 200.1</w:t>
        </w:r>
      </w:hyperlink>
      <w:r w:rsidRPr="008B264B">
        <w:rPr>
          <w:rFonts w:ascii="Times New Roman" w:eastAsia="Times New Roman" w:hAnsi="Times New Roman" w:cs="Times New Roman"/>
          <w:color w:val="000000"/>
          <w:sz w:val="24"/>
          <w:szCs w:val="24"/>
          <w:lang/>
        </w:rPr>
        <w:t> статті 200 цього Кодексу, по підприємствах суднобудування і літакобудування відшкодування з бюджету здійснюється у податковому періоді, наступному за звітним періодом, у якому виникло від'ємне сальдо податку в порядку і строки, передбачені </w:t>
      </w:r>
      <w:hyperlink r:id="rId5383"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w:t>
      </w:r>
    </w:p>
    <w:p w14:paraId="01AD61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6" w:name="n8116"/>
      <w:bookmarkEnd w:id="9816"/>
      <w:r w:rsidRPr="008B264B">
        <w:rPr>
          <w:rFonts w:ascii="Times New Roman" w:eastAsia="Times New Roman" w:hAnsi="Times New Roman" w:cs="Times New Roman"/>
          <w:i/>
          <w:iCs/>
          <w:color w:val="000000"/>
          <w:sz w:val="24"/>
          <w:szCs w:val="24"/>
          <w:lang/>
        </w:rPr>
        <w:t>{Пункт 15 підрозділу 2 розділу XX виключено на підставі Закону </w:t>
      </w:r>
      <w:hyperlink r:id="rId5384" w:anchor="n66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3940B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7" w:name="n9768"/>
      <w:bookmarkEnd w:id="9817"/>
      <w:r w:rsidRPr="008B264B">
        <w:rPr>
          <w:rFonts w:ascii="Times New Roman" w:eastAsia="Times New Roman" w:hAnsi="Times New Roman" w:cs="Times New Roman"/>
          <w:i/>
          <w:iCs/>
          <w:color w:val="000000"/>
          <w:sz w:val="24"/>
          <w:szCs w:val="24"/>
          <w:lang/>
        </w:rPr>
        <w:t>{Пункт 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2 розділу XX виключено на підставі Закону </w:t>
      </w:r>
      <w:hyperlink r:id="rId5385" w:anchor="n66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198BE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8" w:name="n12108"/>
      <w:bookmarkEnd w:id="9818"/>
      <w:r w:rsidRPr="008B264B">
        <w:rPr>
          <w:rFonts w:ascii="Times New Roman" w:eastAsia="Times New Roman" w:hAnsi="Times New Roman" w:cs="Times New Roman"/>
          <w:i/>
          <w:iCs/>
          <w:color w:val="000000"/>
          <w:sz w:val="24"/>
          <w:szCs w:val="24"/>
          <w:lang/>
        </w:rPr>
        <w:t>{Пункт 15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підрозділу 2 розділу XX виключено на підставі Закону </w:t>
      </w:r>
      <w:hyperlink r:id="rId5386" w:anchor="n66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BC038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19" w:name="n8123"/>
      <w:bookmarkEnd w:id="9819"/>
      <w:r w:rsidRPr="008B264B">
        <w:rPr>
          <w:rFonts w:ascii="Times New Roman" w:eastAsia="Times New Roman" w:hAnsi="Times New Roman" w:cs="Times New Roman"/>
          <w:color w:val="000000"/>
          <w:sz w:val="24"/>
          <w:szCs w:val="24"/>
          <w:lang/>
        </w:rPr>
        <w:t>16. У період з 1 січня 2012 року до 31 грудня 2014 року включно операції з постачання необроблених шкур та чиненої шкіри без подальшої обробки (товарні позиції </w:t>
      </w:r>
      <w:hyperlink r:id="rId5387" w:tgtFrame="_blank" w:history="1">
        <w:r w:rsidRPr="008B264B">
          <w:rPr>
            <w:rFonts w:ascii="Times New Roman" w:eastAsia="Times New Roman" w:hAnsi="Times New Roman" w:cs="Times New Roman"/>
            <w:color w:val="0000FF"/>
            <w:sz w:val="24"/>
            <w:szCs w:val="24"/>
            <w:u w:val="single"/>
            <w:lang/>
          </w:rPr>
          <w:t>4101-4103</w:t>
        </w:r>
      </w:hyperlink>
      <w:hyperlink r:id="rId5388" w:tgtFrame="_blank" w:history="1">
        <w:r w:rsidRPr="008B264B">
          <w:rPr>
            <w:rFonts w:ascii="Times New Roman" w:eastAsia="Times New Roman" w:hAnsi="Times New Roman" w:cs="Times New Roman"/>
            <w:color w:val="0000FF"/>
            <w:sz w:val="24"/>
            <w:szCs w:val="24"/>
            <w:u w:val="single"/>
            <w:lang/>
          </w:rPr>
          <w:t>, </w:t>
        </w:r>
      </w:hyperlink>
      <w:hyperlink r:id="rId5389" w:tgtFrame="_blank" w:history="1">
        <w:r w:rsidRPr="008B264B">
          <w:rPr>
            <w:rFonts w:ascii="Times New Roman" w:eastAsia="Times New Roman" w:hAnsi="Times New Roman" w:cs="Times New Roman"/>
            <w:color w:val="0000FF"/>
            <w:sz w:val="24"/>
            <w:szCs w:val="24"/>
            <w:u w:val="single"/>
            <w:lang/>
          </w:rPr>
          <w:t>4301</w:t>
        </w:r>
      </w:hyperlink>
      <w:r w:rsidRPr="008B264B">
        <w:rPr>
          <w:rFonts w:ascii="Times New Roman" w:eastAsia="Times New Roman" w:hAnsi="Times New Roman" w:cs="Times New Roman"/>
          <w:color w:val="000000"/>
          <w:sz w:val="24"/>
          <w:szCs w:val="24"/>
          <w:lang/>
        </w:rPr>
        <w:t>), у тому числі операції з імпорту таких товарів, звільняються від оподаткування податком на додану вартість.</w:t>
      </w:r>
    </w:p>
    <w:p w14:paraId="0831C0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0" w:name="n9635"/>
      <w:bookmarkEnd w:id="9820"/>
      <w:r w:rsidRPr="008B264B">
        <w:rPr>
          <w:rFonts w:ascii="Times New Roman" w:eastAsia="Times New Roman" w:hAnsi="Times New Roman" w:cs="Times New Roman"/>
          <w:i/>
          <w:iCs/>
          <w:color w:val="000000"/>
          <w:sz w:val="24"/>
          <w:szCs w:val="24"/>
          <w:lang/>
        </w:rPr>
        <w:t>{Абзац перший пункту 16 підрозділу 2 розділу XX із змінами, внесеними згідно із Законом </w:t>
      </w:r>
      <w:hyperlink r:id="rId5390" w:anchor="n33"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77C13F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1" w:name="n8124"/>
      <w:bookmarkEnd w:id="9821"/>
      <w:r w:rsidRPr="008B264B">
        <w:rPr>
          <w:rFonts w:ascii="Times New Roman" w:eastAsia="Times New Roman" w:hAnsi="Times New Roman" w:cs="Times New Roman"/>
          <w:color w:val="000000"/>
          <w:sz w:val="24"/>
          <w:szCs w:val="24"/>
          <w:lang/>
        </w:rPr>
        <w:t>У разі вивезення в митному режимі експорту таких товарів нульова ставка не застосовується.</w:t>
      </w:r>
    </w:p>
    <w:p w14:paraId="4BBD0A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2" w:name="n8125"/>
      <w:bookmarkEnd w:id="9822"/>
      <w:r w:rsidRPr="008B264B">
        <w:rPr>
          <w:rFonts w:ascii="Times New Roman" w:eastAsia="Times New Roman" w:hAnsi="Times New Roman" w:cs="Times New Roman"/>
          <w:color w:val="000000"/>
          <w:sz w:val="24"/>
          <w:szCs w:val="24"/>
          <w:lang/>
        </w:rPr>
        <w:t>17. Виключено.</w:t>
      </w:r>
    </w:p>
    <w:p w14:paraId="2E5A4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3" w:name="n8126"/>
      <w:bookmarkEnd w:id="9823"/>
      <w:r w:rsidRPr="008B264B">
        <w:rPr>
          <w:rFonts w:ascii="Times New Roman" w:eastAsia="Times New Roman" w:hAnsi="Times New Roman" w:cs="Times New Roman"/>
          <w:i/>
          <w:iCs/>
          <w:color w:val="000000"/>
          <w:sz w:val="24"/>
          <w:szCs w:val="24"/>
          <w:lang/>
        </w:rPr>
        <w:t>{Пункт 18 підрозділу 2 розділу XX виключено на підставі Закону </w:t>
      </w:r>
      <w:hyperlink r:id="rId539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75743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4" w:name="n8127"/>
      <w:bookmarkEnd w:id="9824"/>
      <w:r w:rsidRPr="008B264B">
        <w:rPr>
          <w:rFonts w:ascii="Times New Roman" w:eastAsia="Times New Roman" w:hAnsi="Times New Roman" w:cs="Times New Roman"/>
          <w:color w:val="000000"/>
          <w:sz w:val="24"/>
          <w:szCs w:val="24"/>
          <w:lang/>
        </w:rPr>
        <w:t>19. Операції з постачання УЄФА квитків та послуг, що є невід'ємною частиною квитка, тимчасово, до 1 вересня 2012 року, звільняються від оподаткування податком на додану вартість.</w:t>
      </w:r>
    </w:p>
    <w:p w14:paraId="49C0BD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5" w:name="n8128"/>
      <w:bookmarkEnd w:id="9825"/>
      <w:r w:rsidRPr="008B264B">
        <w:rPr>
          <w:rFonts w:ascii="Times New Roman" w:eastAsia="Times New Roman" w:hAnsi="Times New Roman" w:cs="Times New Roman"/>
          <w:color w:val="000000"/>
          <w:sz w:val="24"/>
          <w:szCs w:val="24"/>
          <w:lang/>
        </w:rPr>
        <w:t>Тимчасово, до 1 вересня 2012 року, звільняються від оподаткування податком на додану вартість операції з ввезення на митну територію України у митному режимі імпорту товарів, визначених нормами </w:t>
      </w:r>
      <w:hyperlink r:id="rId5392" w:anchor="n4405" w:tgtFrame="_blank" w:history="1">
        <w:r w:rsidRPr="008B264B">
          <w:rPr>
            <w:rFonts w:ascii="Times New Roman" w:eastAsia="Times New Roman" w:hAnsi="Times New Roman" w:cs="Times New Roman"/>
            <w:color w:val="0000FF"/>
            <w:sz w:val="24"/>
            <w:szCs w:val="24"/>
            <w:u w:val="single"/>
            <w:lang/>
          </w:rPr>
          <w:t>абзацу </w:t>
        </w:r>
      </w:hyperlink>
      <w:hyperlink r:id="rId5393" w:anchor="n4405" w:tgtFrame="_blank" w:history="1">
        <w:r w:rsidRPr="008B264B">
          <w:rPr>
            <w:rFonts w:ascii="Times New Roman" w:eastAsia="Times New Roman" w:hAnsi="Times New Roman" w:cs="Times New Roman"/>
            <w:color w:val="0000FF"/>
            <w:sz w:val="24"/>
            <w:szCs w:val="24"/>
            <w:u w:val="single"/>
            <w:lang/>
          </w:rPr>
          <w:t>третього підпункту 3 пункту 4 розділу ХХI</w:t>
        </w:r>
      </w:hyperlink>
      <w:hyperlink r:id="rId5394" w:anchor="n4405" w:tgtFrame="_blank" w:history="1">
        <w:r w:rsidRPr="008B264B">
          <w:rPr>
            <w:rFonts w:ascii="Times New Roman" w:eastAsia="Times New Roman" w:hAnsi="Times New Roman" w:cs="Times New Roman"/>
            <w:color w:val="0000FF"/>
            <w:sz w:val="24"/>
            <w:szCs w:val="24"/>
            <w:u w:val="single"/>
            <w:lang/>
          </w:rPr>
          <w:t> "Прикінцеві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w:t>
      </w:r>
    </w:p>
    <w:p w14:paraId="02281D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6" w:name="n8129"/>
      <w:bookmarkEnd w:id="9826"/>
      <w:r w:rsidRPr="008B264B">
        <w:rPr>
          <w:rFonts w:ascii="Times New Roman" w:eastAsia="Times New Roman" w:hAnsi="Times New Roman" w:cs="Times New Roman"/>
          <w:i/>
          <w:iCs/>
          <w:color w:val="000000"/>
          <w:sz w:val="24"/>
          <w:szCs w:val="24"/>
          <w:lang/>
        </w:rPr>
        <w:t>{Пункт 19 підрозділу 2 доповнено абзацом згідно із Законом </w:t>
      </w:r>
      <w:hyperlink r:id="rId5395"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 - вводиться в дію одночасно з набранням чинності нормативно-правовим актом Кабінету Міністрів України щодо визначення обсягів та порядку ввезення товарів, що підпадають під пільговий режим оподаткування (18.10.2011) - див. п.2 розділу II Закону </w:t>
      </w:r>
      <w:hyperlink r:id="rId5396"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397" w:anchor="n143" w:tgtFrame="_blank" w:history="1">
        <w:r w:rsidRPr="008B264B">
          <w:rPr>
            <w:rFonts w:ascii="Times New Roman" w:eastAsia="Times New Roman" w:hAnsi="Times New Roman" w:cs="Times New Roman"/>
            <w:i/>
            <w:iCs/>
            <w:color w:val="0000FF"/>
            <w:sz w:val="24"/>
            <w:szCs w:val="24"/>
            <w:u w:val="single"/>
            <w:lang/>
          </w:rPr>
          <w:t>№ 4915-VI від 07.06.2012</w:t>
        </w:r>
      </w:hyperlink>
      <w:r w:rsidRPr="008B264B">
        <w:rPr>
          <w:rFonts w:ascii="Times New Roman" w:eastAsia="Times New Roman" w:hAnsi="Times New Roman" w:cs="Times New Roman"/>
          <w:i/>
          <w:iCs/>
          <w:color w:val="000000"/>
          <w:sz w:val="24"/>
          <w:szCs w:val="24"/>
          <w:lang/>
        </w:rPr>
        <w:t>}</w:t>
      </w:r>
    </w:p>
    <w:p w14:paraId="5800C9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7" w:name="n8130"/>
      <w:bookmarkEnd w:id="9827"/>
      <w:r w:rsidRPr="008B264B">
        <w:rPr>
          <w:rFonts w:ascii="Times New Roman" w:eastAsia="Times New Roman" w:hAnsi="Times New Roman" w:cs="Times New Roman"/>
          <w:color w:val="000000"/>
          <w:sz w:val="24"/>
          <w:szCs w:val="24"/>
          <w:lang/>
        </w:rPr>
        <w:t>Обсяги та порядок ввезення таких товарів затверджуються Кабінетом Міністрів України.</w:t>
      </w:r>
    </w:p>
    <w:p w14:paraId="3151A6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8" w:name="n8131"/>
      <w:bookmarkEnd w:id="9828"/>
      <w:r w:rsidRPr="008B264B">
        <w:rPr>
          <w:rFonts w:ascii="Times New Roman" w:eastAsia="Times New Roman" w:hAnsi="Times New Roman" w:cs="Times New Roman"/>
          <w:i/>
          <w:iCs/>
          <w:color w:val="000000"/>
          <w:sz w:val="24"/>
          <w:szCs w:val="24"/>
          <w:lang/>
        </w:rPr>
        <w:t>{Пункт 19 підрозділу 2 доповнено абзацом згідно із Законом </w:t>
      </w:r>
      <w:hyperlink r:id="rId5398"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 - вводиться в дію одночасно з набранням чинності нормативно-правовим актом Кабінету Міністрів України щодо визначення обсягів та порядку ввезення товарів, що підпадають під пільговий режим оподаткування (18.10.2011) - див. п.2 розділу II Закону </w:t>
      </w:r>
      <w:hyperlink r:id="rId5399"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w:t>
      </w:r>
    </w:p>
    <w:p w14:paraId="246DB1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29" w:name="n8132"/>
      <w:bookmarkEnd w:id="9829"/>
      <w:r w:rsidRPr="008B264B">
        <w:rPr>
          <w:rFonts w:ascii="Times New Roman" w:eastAsia="Times New Roman" w:hAnsi="Times New Roman" w:cs="Times New Roman"/>
          <w:color w:val="000000"/>
          <w:sz w:val="24"/>
          <w:szCs w:val="24"/>
          <w:lang/>
        </w:rPr>
        <w:t>У разі порушення цільового використання таких товарів або їх відчуження на митній території України до платників податків застосовуються штрафні (фінансові) санкції відповідно до вимог закону.</w:t>
      </w:r>
    </w:p>
    <w:p w14:paraId="1F405B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0" w:name="n8133"/>
      <w:bookmarkEnd w:id="9830"/>
      <w:r w:rsidRPr="008B264B">
        <w:rPr>
          <w:rFonts w:ascii="Times New Roman" w:eastAsia="Times New Roman" w:hAnsi="Times New Roman" w:cs="Times New Roman"/>
          <w:i/>
          <w:iCs/>
          <w:color w:val="000000"/>
          <w:sz w:val="24"/>
          <w:szCs w:val="24"/>
          <w:lang/>
        </w:rPr>
        <w:t>{Пункт 19 підрозділу 2 доповнено абзацом згідно із Законом </w:t>
      </w:r>
      <w:hyperlink r:id="rId5400"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 - вводиться в дію одночасно з набранням чинності нормативно-правовим актом Кабінету Міністрів України щодо визначення обсягів та порядку ввезення товарів, що підпадають під пільговий режим оподаткування (18.10.2011) - див. п.2 розділу II Закону </w:t>
      </w:r>
      <w:hyperlink r:id="rId5401"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w:t>
      </w:r>
    </w:p>
    <w:p w14:paraId="0311F7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1" w:name="n8134"/>
      <w:bookmarkEnd w:id="9831"/>
      <w:r w:rsidRPr="008B264B">
        <w:rPr>
          <w:rFonts w:ascii="Times New Roman" w:eastAsia="Times New Roman" w:hAnsi="Times New Roman" w:cs="Times New Roman"/>
          <w:i/>
          <w:iCs/>
          <w:color w:val="000000"/>
          <w:sz w:val="24"/>
          <w:szCs w:val="24"/>
          <w:lang/>
        </w:rPr>
        <w:t>{Підрозділ 2 розділу XX доповнено пунктом 19 згідно із Законом </w:t>
      </w:r>
      <w:hyperlink r:id="rId5402" w:tgtFrame="_blank" w:history="1">
        <w:r w:rsidRPr="008B264B">
          <w:rPr>
            <w:rFonts w:ascii="Times New Roman" w:eastAsia="Times New Roman" w:hAnsi="Times New Roman" w:cs="Times New Roman"/>
            <w:i/>
            <w:iCs/>
            <w:color w:val="0000FF"/>
            <w:sz w:val="24"/>
            <w:szCs w:val="24"/>
            <w:u w:val="single"/>
            <w:lang/>
          </w:rPr>
          <w:t>№ 3292-VI від 21.04.2011</w:t>
        </w:r>
      </w:hyperlink>
      <w:r w:rsidRPr="008B264B">
        <w:rPr>
          <w:rFonts w:ascii="Times New Roman" w:eastAsia="Times New Roman" w:hAnsi="Times New Roman" w:cs="Times New Roman"/>
          <w:i/>
          <w:iCs/>
          <w:color w:val="000000"/>
          <w:sz w:val="24"/>
          <w:szCs w:val="24"/>
          <w:lang/>
        </w:rPr>
        <w:t>}</w:t>
      </w:r>
    </w:p>
    <w:p w14:paraId="63422A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2" w:name="n8135"/>
      <w:bookmarkEnd w:id="9832"/>
      <w:r w:rsidRPr="008B264B">
        <w:rPr>
          <w:rFonts w:ascii="Times New Roman" w:eastAsia="Times New Roman" w:hAnsi="Times New Roman" w:cs="Times New Roman"/>
          <w:color w:val="000000"/>
          <w:sz w:val="24"/>
          <w:szCs w:val="24"/>
          <w:lang/>
        </w:rPr>
        <w:lastRenderedPageBreak/>
        <w:t>20. На період дії процедури списання заборгованості згідно із </w:t>
      </w:r>
      <w:hyperlink r:id="rId5403" w:tgtFrame="_blank" w:history="1">
        <w:r w:rsidRPr="008B264B">
          <w:rPr>
            <w:rFonts w:ascii="Times New Roman" w:eastAsia="Times New Roman" w:hAnsi="Times New Roman" w:cs="Times New Roman"/>
            <w:color w:val="0000FF"/>
            <w:sz w:val="24"/>
            <w:szCs w:val="24"/>
            <w:u w:val="single"/>
            <w:lang/>
          </w:rPr>
          <w:t>Законом України "Про деякі питання заборгованості за спожитий природний газ та електричну енергію"</w:t>
        </w:r>
      </w:hyperlink>
      <w:r w:rsidRPr="008B264B">
        <w:rPr>
          <w:rFonts w:ascii="Times New Roman" w:eastAsia="Times New Roman" w:hAnsi="Times New Roman" w:cs="Times New Roman"/>
          <w:color w:val="000000"/>
          <w:sz w:val="24"/>
          <w:szCs w:val="24"/>
          <w:lang/>
        </w:rPr>
        <w:t> для учасників списання заборгованості, визначених цим Законом, що є платниками податку на додану вартість відповідно до </w:t>
      </w:r>
      <w:hyperlink r:id="rId5404"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податок на додану вартість попередньо віднесений до складу податкового кредиту та податкових зобов'язань, не підлягає коригуванню і не змінює склад податкових зобов'язань та податкового кредиту звітного податкового періоду платників податку.</w:t>
      </w:r>
    </w:p>
    <w:p w14:paraId="7C54A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3" w:name="n8136"/>
      <w:bookmarkEnd w:id="9833"/>
      <w:r w:rsidRPr="008B264B">
        <w:rPr>
          <w:rFonts w:ascii="Times New Roman" w:eastAsia="Times New Roman" w:hAnsi="Times New Roman" w:cs="Times New Roman"/>
          <w:i/>
          <w:iCs/>
          <w:color w:val="000000"/>
          <w:sz w:val="24"/>
          <w:szCs w:val="24"/>
          <w:lang/>
        </w:rPr>
        <w:t>{Підрозділ 2 розділу XX доповнено пунктом згідно із Законом </w:t>
      </w:r>
      <w:hyperlink r:id="rId5405" w:tgtFrame="_blank" w:history="1">
        <w:r w:rsidRPr="008B264B">
          <w:rPr>
            <w:rFonts w:ascii="Times New Roman" w:eastAsia="Times New Roman" w:hAnsi="Times New Roman" w:cs="Times New Roman"/>
            <w:i/>
            <w:iCs/>
            <w:color w:val="0000FF"/>
            <w:sz w:val="24"/>
            <w:szCs w:val="24"/>
            <w:u w:val="single"/>
            <w:lang/>
          </w:rPr>
          <w:t>№ 3320-VI від 12.05.2011</w:t>
        </w:r>
      </w:hyperlink>
      <w:r w:rsidRPr="008B264B">
        <w:rPr>
          <w:rFonts w:ascii="Times New Roman" w:eastAsia="Times New Roman" w:hAnsi="Times New Roman" w:cs="Times New Roman"/>
          <w:i/>
          <w:iCs/>
          <w:color w:val="000000"/>
          <w:sz w:val="24"/>
          <w:szCs w:val="24"/>
          <w:lang/>
        </w:rPr>
        <w:t> - зміна діє до 30 червня 2012 року; із змінами, внесеними згідно із Законом </w:t>
      </w:r>
      <w:hyperlink r:id="rId540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5642EF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4" w:name="n8137"/>
      <w:bookmarkEnd w:id="9834"/>
      <w:r w:rsidRPr="008B264B">
        <w:rPr>
          <w:rFonts w:ascii="Times New Roman" w:eastAsia="Times New Roman" w:hAnsi="Times New Roman" w:cs="Times New Roman"/>
          <w:color w:val="000000"/>
          <w:sz w:val="24"/>
          <w:szCs w:val="24"/>
          <w:lang/>
        </w:rPr>
        <w:t>21. Для осіб, які перейшли на загальну систему оподаткування із спрощеної системи оподаткування і зареєстровані платниками податку на додану вартість, операції з постачання товарів/послуг, які були оплачені у вигляді авансів (передоплати) у період перебування таких платників податку на додану вартість на спрощеній системі оподаткування і оподатковані єдиним податком, не оподатковуються податком на додану вартість.</w:t>
      </w:r>
    </w:p>
    <w:p w14:paraId="60F21B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5" w:name="n8138"/>
      <w:bookmarkEnd w:id="9835"/>
      <w:r w:rsidRPr="008B264B">
        <w:rPr>
          <w:rFonts w:ascii="Times New Roman" w:eastAsia="Times New Roman" w:hAnsi="Times New Roman" w:cs="Times New Roman"/>
          <w:i/>
          <w:iCs/>
          <w:color w:val="000000"/>
          <w:sz w:val="24"/>
          <w:szCs w:val="24"/>
          <w:lang/>
        </w:rPr>
        <w:t>{Підрозділ 2 розділу XX доповнено пунктом 21 згідно із Законом </w:t>
      </w:r>
      <w:hyperlink r:id="rId540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308E72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6" w:name="n8139"/>
      <w:bookmarkEnd w:id="9836"/>
      <w:r w:rsidRPr="008B264B">
        <w:rPr>
          <w:rFonts w:ascii="Times New Roman" w:eastAsia="Times New Roman" w:hAnsi="Times New Roman" w:cs="Times New Roman"/>
          <w:i/>
          <w:iCs/>
          <w:color w:val="000000"/>
          <w:sz w:val="24"/>
          <w:szCs w:val="24"/>
          <w:lang/>
        </w:rPr>
        <w:t>{Пункт 22 підрозділу 2 розділу XX виключено на підставі Закону </w:t>
      </w:r>
      <w:hyperlink r:id="rId5408" w:anchor="n48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4797EB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7" w:name="n8140"/>
      <w:bookmarkEnd w:id="9837"/>
      <w:r w:rsidRPr="008B264B">
        <w:rPr>
          <w:rFonts w:ascii="Times New Roman" w:eastAsia="Times New Roman" w:hAnsi="Times New Roman" w:cs="Times New Roman"/>
          <w:color w:val="000000"/>
          <w:sz w:val="24"/>
          <w:szCs w:val="24"/>
          <w:lang/>
        </w:rPr>
        <w:t>23. Тимчасово до 1 січня 2022 року від оподаткування податком на додану вартість звільняються операції з постачання, у тому числі операції з імпорту відходів та брухту чорних і кольорових металів, а також паперу та картону для утилізації (макулатури та відходів) товарної позиції 4707 згідно з </w:t>
      </w:r>
      <w:hyperlink r:id="rId5409" w:anchor="n1202"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Переліки таких відходів та брухту чорних і кольорових металів затверджуються Кабінетом Міністрів України.</w:t>
      </w:r>
    </w:p>
    <w:p w14:paraId="2A241A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8" w:name="n8141"/>
      <w:bookmarkEnd w:id="9838"/>
      <w:r w:rsidRPr="008B264B">
        <w:rPr>
          <w:rFonts w:ascii="Times New Roman" w:eastAsia="Times New Roman" w:hAnsi="Times New Roman" w:cs="Times New Roman"/>
          <w:i/>
          <w:iCs/>
          <w:color w:val="000000"/>
          <w:sz w:val="24"/>
          <w:szCs w:val="24"/>
          <w:lang/>
        </w:rPr>
        <w:t>{Абзац перший пункту 23 підрозділу 2 розділу XX із змінами, внесеними згідно із Законами </w:t>
      </w:r>
      <w:hyperlink r:id="rId5410" w:anchor="n48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w:t>
      </w:r>
      <w:hyperlink r:id="rId5411" w:anchor="n34"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color w:val="000000"/>
          <w:sz w:val="24"/>
          <w:szCs w:val="24"/>
          <w:lang/>
        </w:rPr>
        <w:t>, </w:t>
      </w:r>
      <w:hyperlink r:id="rId5412" w:anchor="n147"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w:t>
      </w:r>
      <w:hyperlink r:id="rId5413" w:anchor="n169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5414" w:anchor="n66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61655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39" w:name="n8142"/>
      <w:bookmarkEnd w:id="9839"/>
      <w:r w:rsidRPr="008B264B">
        <w:rPr>
          <w:rFonts w:ascii="Times New Roman" w:eastAsia="Times New Roman" w:hAnsi="Times New Roman" w:cs="Times New Roman"/>
          <w:color w:val="000000"/>
          <w:sz w:val="24"/>
          <w:szCs w:val="24"/>
          <w:lang/>
        </w:rPr>
        <w:t>Операції з вивезення в митному режимі експорту товарів, зазначених у цьому пункті, звільняються від оподаткування податком на додану вартість.</w:t>
      </w:r>
    </w:p>
    <w:p w14:paraId="61C81B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0" w:name="n8143"/>
      <w:bookmarkEnd w:id="9840"/>
      <w:r w:rsidRPr="008B264B">
        <w:rPr>
          <w:rFonts w:ascii="Times New Roman" w:eastAsia="Times New Roman" w:hAnsi="Times New Roman" w:cs="Times New Roman"/>
          <w:i/>
          <w:iCs/>
          <w:color w:val="000000"/>
          <w:sz w:val="24"/>
          <w:szCs w:val="24"/>
          <w:lang/>
        </w:rPr>
        <w:t>{Підрозділ 2 розділу XX доповнено пунктом 23 згідно із Законом </w:t>
      </w:r>
      <w:hyperlink r:id="rId541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416" w:anchor="n146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4CB15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1" w:name="n8144"/>
      <w:bookmarkEnd w:id="9841"/>
      <w:r w:rsidRPr="008B264B">
        <w:rPr>
          <w:rFonts w:ascii="Times New Roman" w:eastAsia="Times New Roman" w:hAnsi="Times New Roman" w:cs="Times New Roman"/>
          <w:color w:val="000000"/>
          <w:sz w:val="24"/>
          <w:szCs w:val="24"/>
          <w:lang/>
        </w:rPr>
        <w:t>24. Норма абзацу першого </w:t>
      </w:r>
      <w:hyperlink r:id="rId5417" w:anchor="n4552" w:history="1">
        <w:r w:rsidRPr="008B264B">
          <w:rPr>
            <w:rFonts w:ascii="Times New Roman" w:eastAsia="Times New Roman" w:hAnsi="Times New Roman" w:cs="Times New Roman"/>
            <w:color w:val="0000FF"/>
            <w:sz w:val="24"/>
            <w:szCs w:val="24"/>
            <w:u w:val="single"/>
            <w:lang/>
          </w:rPr>
          <w:t>пункту 188.1</w:t>
        </w:r>
      </w:hyperlink>
      <w:r w:rsidRPr="008B264B">
        <w:rPr>
          <w:rFonts w:ascii="Times New Roman" w:eastAsia="Times New Roman" w:hAnsi="Times New Roman" w:cs="Times New Roman"/>
          <w:color w:val="000000"/>
          <w:sz w:val="24"/>
          <w:szCs w:val="24"/>
          <w:lang/>
        </w:rPr>
        <w:t> статті 188 цього Кодексу, згідно з якою до бази оподаткування податком на додану вартість не включаються суми збору на обов'язкове державне пенсійне страхування на вартість послуг стільникового рухомого зв'язку, застосовується з дня набрання чинності цим Кодексом.</w:t>
      </w:r>
    </w:p>
    <w:p w14:paraId="0DFE53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2" w:name="n8145"/>
      <w:bookmarkEnd w:id="9842"/>
      <w:r w:rsidRPr="008B264B">
        <w:rPr>
          <w:rFonts w:ascii="Times New Roman" w:eastAsia="Times New Roman" w:hAnsi="Times New Roman" w:cs="Times New Roman"/>
          <w:i/>
          <w:iCs/>
          <w:color w:val="000000"/>
          <w:sz w:val="24"/>
          <w:szCs w:val="24"/>
          <w:lang/>
        </w:rPr>
        <w:t>{Підрозділ 2 розділу XX доповнено пунктом 24 згідно із Законом </w:t>
      </w:r>
      <w:hyperlink r:id="rId5418" w:tgtFrame="_blank" w:history="1">
        <w:r w:rsidRPr="008B264B">
          <w:rPr>
            <w:rFonts w:ascii="Times New Roman" w:eastAsia="Times New Roman" w:hAnsi="Times New Roman" w:cs="Times New Roman"/>
            <w:i/>
            <w:iCs/>
            <w:color w:val="0000FF"/>
            <w:sz w:val="24"/>
            <w:szCs w:val="24"/>
            <w:u w:val="single"/>
            <w:lang/>
          </w:rPr>
          <w:t>№ 4014-VI від 04.11.2011</w:t>
        </w:r>
      </w:hyperlink>
      <w:r w:rsidRPr="008B264B">
        <w:rPr>
          <w:rFonts w:ascii="Times New Roman" w:eastAsia="Times New Roman" w:hAnsi="Times New Roman" w:cs="Times New Roman"/>
          <w:i/>
          <w:iCs/>
          <w:color w:val="000000"/>
          <w:sz w:val="24"/>
          <w:szCs w:val="24"/>
          <w:lang/>
        </w:rPr>
        <w:t>}</w:t>
      </w:r>
    </w:p>
    <w:p w14:paraId="70E80E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3" w:name="n8146"/>
      <w:bookmarkEnd w:id="9843"/>
      <w:r w:rsidRPr="008B264B">
        <w:rPr>
          <w:rFonts w:ascii="Times New Roman" w:eastAsia="Times New Roman" w:hAnsi="Times New Roman" w:cs="Times New Roman"/>
          <w:color w:val="000000"/>
          <w:sz w:val="24"/>
          <w:szCs w:val="24"/>
          <w:lang/>
        </w:rPr>
        <w:t>25. Тимчасово до 31 грудня 2012 року звільняються від оподаткування податком на додану вартість операції з постачання, у тому числі операції з ввезення на митну територію України спеціалізованих транспортних засобів, таких як автомобілі швидкої медичної допомоги товарної позиції 8703 згідно з </w:t>
      </w:r>
      <w:hyperlink r:id="rId541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призначені для використання закладами охорони здоров'я і оплата вартості яких здійснюється за рахунок коштів державного та місцевих бюджетів або за замовленням відповідних розпорядників бюджетних коштів.</w:t>
      </w:r>
    </w:p>
    <w:p w14:paraId="118B1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4" w:name="n8147"/>
      <w:bookmarkEnd w:id="9844"/>
      <w:r w:rsidRPr="008B264B">
        <w:rPr>
          <w:rFonts w:ascii="Times New Roman" w:eastAsia="Times New Roman" w:hAnsi="Times New Roman" w:cs="Times New Roman"/>
          <w:color w:val="000000"/>
          <w:sz w:val="24"/>
          <w:szCs w:val="24"/>
          <w:lang/>
        </w:rPr>
        <w:t>У разі нецільового використання зазначених товарів платник податку зобов'язаний збільшити податкові зобов'язання за наслідками податкового періоду, на який припадає таке порушення, на суму податку на додану вартість, що мала бути сплачена в момент імпорту (постачання) таких товарів, а також сплатити пеню відповідно до закону.</w:t>
      </w:r>
    </w:p>
    <w:p w14:paraId="1FB62E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5" w:name="n8148"/>
      <w:bookmarkEnd w:id="9845"/>
      <w:r w:rsidRPr="008B264B">
        <w:rPr>
          <w:rFonts w:ascii="Times New Roman" w:eastAsia="Times New Roman" w:hAnsi="Times New Roman" w:cs="Times New Roman"/>
          <w:i/>
          <w:iCs/>
          <w:color w:val="000000"/>
          <w:sz w:val="24"/>
          <w:szCs w:val="24"/>
          <w:lang/>
        </w:rPr>
        <w:t>{Підрозділ 2 розділу XX доповнено пунктом 25 згідно із Законом </w:t>
      </w:r>
      <w:hyperlink r:id="rId5420" w:tgtFrame="_blank" w:history="1">
        <w:r w:rsidRPr="008B264B">
          <w:rPr>
            <w:rFonts w:ascii="Times New Roman" w:eastAsia="Times New Roman" w:hAnsi="Times New Roman" w:cs="Times New Roman"/>
            <w:i/>
            <w:iCs/>
            <w:color w:val="0000FF"/>
            <w:sz w:val="24"/>
            <w:szCs w:val="24"/>
            <w:u w:val="single"/>
            <w:lang/>
          </w:rPr>
          <w:t>№ 4279-VI від 22.12.2011</w:t>
        </w:r>
      </w:hyperlink>
      <w:r w:rsidRPr="008B264B">
        <w:rPr>
          <w:rFonts w:ascii="Times New Roman" w:eastAsia="Times New Roman" w:hAnsi="Times New Roman" w:cs="Times New Roman"/>
          <w:i/>
          <w:iCs/>
          <w:color w:val="000000"/>
          <w:sz w:val="24"/>
          <w:szCs w:val="24"/>
          <w:lang/>
        </w:rPr>
        <w:t>}</w:t>
      </w:r>
    </w:p>
    <w:p w14:paraId="2B2DB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6" w:name="n9456"/>
      <w:bookmarkEnd w:id="9846"/>
      <w:r w:rsidRPr="008B264B">
        <w:rPr>
          <w:rFonts w:ascii="Times New Roman" w:eastAsia="Times New Roman" w:hAnsi="Times New Roman" w:cs="Times New Roman"/>
          <w:color w:val="000000"/>
          <w:sz w:val="24"/>
          <w:szCs w:val="24"/>
          <w:lang/>
        </w:rPr>
        <w:t>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Відновити з 1 грудня 2013 року до 1 січня 2015 року дію пункту 25 цього підрозділу.</w:t>
      </w:r>
    </w:p>
    <w:p w14:paraId="14D605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7" w:name="n9457"/>
      <w:bookmarkEnd w:id="9847"/>
      <w:r w:rsidRPr="008B264B">
        <w:rPr>
          <w:rFonts w:ascii="Times New Roman" w:eastAsia="Times New Roman" w:hAnsi="Times New Roman" w:cs="Times New Roman"/>
          <w:i/>
          <w:iCs/>
          <w:color w:val="000000"/>
          <w:sz w:val="24"/>
          <w:szCs w:val="24"/>
          <w:lang/>
        </w:rPr>
        <w:lastRenderedPageBreak/>
        <w:t>{Підрозділ 2 розділу XX доповнено пунктом 25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421" w:anchor="n213"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71AB93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8" w:name="n8149"/>
      <w:bookmarkEnd w:id="9848"/>
      <w:r w:rsidRPr="008B264B">
        <w:rPr>
          <w:rFonts w:ascii="Times New Roman" w:eastAsia="Times New Roman" w:hAnsi="Times New Roman" w:cs="Times New Roman"/>
          <w:color w:val="000000"/>
          <w:sz w:val="24"/>
          <w:szCs w:val="24"/>
          <w:lang/>
        </w:rPr>
        <w:t>26. Тимчасово, на період виконання програм Глобального фонду для боротьби із СНІДом, туберкульозом та малярією в Україні, що виконуються відповідно до закону, звільняються від оподаткування податком на додану вартість операції з:</w:t>
      </w:r>
    </w:p>
    <w:p w14:paraId="5E53DE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49" w:name="n8150"/>
      <w:bookmarkEnd w:id="9849"/>
      <w:r w:rsidRPr="008B264B">
        <w:rPr>
          <w:rFonts w:ascii="Times New Roman" w:eastAsia="Times New Roman" w:hAnsi="Times New Roman" w:cs="Times New Roman"/>
          <w:color w:val="000000"/>
          <w:sz w:val="24"/>
          <w:szCs w:val="24"/>
          <w:lang/>
        </w:rPr>
        <w:t>ввезення на митну територію України у митному режимі імпорту товарів (крім підакцизних), якщо такі товари оплачуються за рахунок грантів (субгрантів), наданих відповідно до програм Глобального фонду для боротьби із СНІДом, туберкульозом та малярією в Україні, що виконуються відповідно до закону. </w:t>
      </w:r>
      <w:hyperlink r:id="rId5422" w:anchor="n12" w:tgtFrame="_blank" w:history="1">
        <w:r w:rsidRPr="008B264B">
          <w:rPr>
            <w:rFonts w:ascii="Times New Roman" w:eastAsia="Times New Roman" w:hAnsi="Times New Roman" w:cs="Times New Roman"/>
            <w:color w:val="0000FF"/>
            <w:sz w:val="24"/>
            <w:szCs w:val="24"/>
            <w:u w:val="single"/>
            <w:lang/>
          </w:rPr>
          <w:t>Порядок ввезення</w:t>
        </w:r>
      </w:hyperlink>
      <w:r w:rsidRPr="008B264B">
        <w:rPr>
          <w:rFonts w:ascii="Times New Roman" w:eastAsia="Times New Roman" w:hAnsi="Times New Roman" w:cs="Times New Roman"/>
          <w:color w:val="000000"/>
          <w:sz w:val="24"/>
          <w:szCs w:val="24"/>
          <w:lang/>
        </w:rPr>
        <w:t> зазначених товарів визначається Кабінетом Міністрів України. У разі нецільового використання зазначених товарів платник податку збільшує податкові зобов’язання за результатами податкового періоду, на який припадає таке порушення, на суму податку на додану вартість, що мала бути сплачена в момент імпорту таких товарів, а також зобов’язаний сплатити пеню відповідно до цього Кодексу;</w:t>
      </w:r>
    </w:p>
    <w:p w14:paraId="5281FE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0" w:name="n8151"/>
      <w:bookmarkEnd w:id="9850"/>
      <w:r w:rsidRPr="008B264B">
        <w:rPr>
          <w:rFonts w:ascii="Times New Roman" w:eastAsia="Times New Roman" w:hAnsi="Times New Roman" w:cs="Times New Roman"/>
          <w:color w:val="000000"/>
          <w:sz w:val="24"/>
          <w:szCs w:val="24"/>
          <w:lang/>
        </w:rPr>
        <w:t>постачання на митній території України товарів (крім підакцизних) та надання послуг, якщо такі товари/послуги оплачуються за рахунок грантів (субгрантів), наданих відповідно до програм Глобального фонду для боротьби із СНІДом, туберкульозом та малярією в Україні, що виконуються відповідно до закону. Порядок здійснення таких операцій визначається Кабінетом Міністрів України. У разі порушення вимог, встановлених цим порядком, платник податку, який фактично скористався правом на податкову пільгу, вважається таким, що умисно ухиляється від оподаткування, і до такого платника застосовуються штрафні (фінансові) санкції, встановлені цим Кодексом.</w:t>
      </w:r>
    </w:p>
    <w:p w14:paraId="60194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1" w:name="n12965"/>
      <w:bookmarkEnd w:id="9851"/>
      <w:r w:rsidRPr="008B264B">
        <w:rPr>
          <w:rFonts w:ascii="Times New Roman" w:eastAsia="Times New Roman" w:hAnsi="Times New Roman" w:cs="Times New Roman"/>
          <w:color w:val="000000"/>
          <w:sz w:val="24"/>
          <w:szCs w:val="24"/>
          <w:lang/>
        </w:rPr>
        <w:t>У разі здійснення операцій, звільнених відповідно до цього пункту, положення </w:t>
      </w:r>
      <w:hyperlink r:id="rId5423"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цього Кодексу та положення </w:t>
      </w:r>
      <w:hyperlink r:id="rId5424" w:anchor="n4951" w:tgtFrame="_blank" w:history="1">
        <w:r w:rsidRPr="008B264B">
          <w:rPr>
            <w:rFonts w:ascii="Times New Roman" w:eastAsia="Times New Roman" w:hAnsi="Times New Roman" w:cs="Times New Roman"/>
            <w:color w:val="0000FF"/>
            <w:sz w:val="24"/>
            <w:szCs w:val="24"/>
            <w:u w:val="single"/>
            <w:lang/>
          </w:rPr>
          <w:t>статті 199</w:t>
        </w:r>
      </w:hyperlink>
      <w:r w:rsidRPr="008B264B">
        <w:rPr>
          <w:rFonts w:ascii="Times New Roman" w:eastAsia="Times New Roman" w:hAnsi="Times New Roman" w:cs="Times New Roman"/>
          <w:color w:val="000000"/>
          <w:sz w:val="24"/>
          <w:szCs w:val="24"/>
          <w:lang/>
        </w:rPr>
        <w:t> цього Кодексу не застосовуються.</w:t>
      </w:r>
    </w:p>
    <w:p w14:paraId="450FA4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2" w:name="n12963"/>
      <w:bookmarkEnd w:id="9852"/>
      <w:r w:rsidRPr="008B264B">
        <w:rPr>
          <w:rFonts w:ascii="Times New Roman" w:eastAsia="Times New Roman" w:hAnsi="Times New Roman" w:cs="Times New Roman"/>
          <w:i/>
          <w:iCs/>
          <w:color w:val="000000"/>
          <w:sz w:val="24"/>
          <w:szCs w:val="24"/>
          <w:lang/>
        </w:rPr>
        <w:t>{Пункт 26 підрозділу 2 розділу XX доповнено абзацом четвертим згідно із Законом </w:t>
      </w:r>
      <w:hyperlink r:id="rId5425" w:anchor="n66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42125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3" w:name="n8152"/>
      <w:bookmarkEnd w:id="9853"/>
      <w:r w:rsidRPr="008B264B">
        <w:rPr>
          <w:rFonts w:ascii="Times New Roman" w:eastAsia="Times New Roman" w:hAnsi="Times New Roman" w:cs="Times New Roman"/>
          <w:i/>
          <w:iCs/>
          <w:color w:val="000000"/>
          <w:sz w:val="24"/>
          <w:szCs w:val="24"/>
          <w:lang/>
        </w:rPr>
        <w:t>{Підрозділ 2 розділу XX доповнено пунктом 26 згідно із Законом </w:t>
      </w:r>
      <w:hyperlink r:id="rId5426" w:anchor="n49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6A2D5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4" w:name="n8153"/>
      <w:bookmarkEnd w:id="9854"/>
      <w:r w:rsidRPr="008B264B">
        <w:rPr>
          <w:rFonts w:ascii="Times New Roman" w:eastAsia="Times New Roman" w:hAnsi="Times New Roman" w:cs="Times New Roman"/>
          <w:color w:val="000000"/>
          <w:sz w:val="24"/>
          <w:szCs w:val="24"/>
          <w:lang/>
        </w:rPr>
        <w:t>26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Тимчасово, з 1 січня 2013 року до 1 січня 2023 року, звільняються від оподаткування податком на додану вартість операції з постачання програмної продукції, а також операції з програмною продукцією, плата за які не вважається роялті згідно з </w:t>
      </w:r>
      <w:hyperlink r:id="rId5427" w:anchor="n10493" w:history="1">
        <w:r w:rsidRPr="008B264B">
          <w:rPr>
            <w:rFonts w:ascii="Times New Roman" w:eastAsia="Times New Roman" w:hAnsi="Times New Roman" w:cs="Times New Roman"/>
            <w:color w:val="0000FF"/>
            <w:sz w:val="24"/>
            <w:szCs w:val="24"/>
            <w:u w:val="single"/>
            <w:lang/>
          </w:rPr>
          <w:t>абзацами другим - сьомим</w:t>
        </w:r>
      </w:hyperlink>
      <w:r w:rsidRPr="008B264B">
        <w:rPr>
          <w:rFonts w:ascii="Times New Roman" w:eastAsia="Times New Roman" w:hAnsi="Times New Roman" w:cs="Times New Roman"/>
          <w:color w:val="000000"/>
          <w:sz w:val="24"/>
          <w:szCs w:val="24"/>
          <w:lang/>
        </w:rPr>
        <w:t> підпункту 14.1.225 пункту 14.1 статті 14 цього Кодексу.</w:t>
      </w:r>
    </w:p>
    <w:p w14:paraId="2FF58B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5" w:name="n8154"/>
      <w:bookmarkEnd w:id="9855"/>
      <w:r w:rsidRPr="008B264B">
        <w:rPr>
          <w:rFonts w:ascii="Times New Roman" w:eastAsia="Times New Roman" w:hAnsi="Times New Roman" w:cs="Times New Roman"/>
          <w:color w:val="000000"/>
          <w:sz w:val="24"/>
          <w:szCs w:val="24"/>
          <w:lang/>
        </w:rPr>
        <w:t>Для цілей цього пункту до програмної продукції відносяться:</w:t>
      </w:r>
    </w:p>
    <w:p w14:paraId="79F9C7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6" w:name="n8155"/>
      <w:bookmarkEnd w:id="9856"/>
      <w:r w:rsidRPr="008B264B">
        <w:rPr>
          <w:rFonts w:ascii="Times New Roman" w:eastAsia="Times New Roman" w:hAnsi="Times New Roman" w:cs="Times New Roman"/>
          <w:color w:val="000000"/>
          <w:sz w:val="24"/>
          <w:szCs w:val="24"/>
          <w:lang/>
        </w:rPr>
        <w:t>результат комп’ютерного програмування у вигляді операційної системи, системної, прикладної, розважальної та/або навчальної комп’ютерної програми (їх компонентів), а також у вигляді інтернет-сайтів та/або онлайн-сервісів та доступу до них;</w:t>
      </w:r>
    </w:p>
    <w:p w14:paraId="7E6550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7" w:name="n14922"/>
      <w:bookmarkEnd w:id="9857"/>
      <w:r w:rsidRPr="008B264B">
        <w:rPr>
          <w:rFonts w:ascii="Times New Roman" w:eastAsia="Times New Roman" w:hAnsi="Times New Roman" w:cs="Times New Roman"/>
          <w:color w:val="000000"/>
          <w:sz w:val="24"/>
          <w:szCs w:val="24"/>
          <w:lang/>
        </w:rPr>
        <w:t>примірники (копії, екземпляри) комп’ютерних програм, їх частин, компонентів у матеріальній та/або електронній формі, у тому числі у формі коду (кодів) та/або посилань для завантаження комп’ютерної програми та/або їх частин, компонентів у формі коду (кодів) для активації комп’ютерної програми чи в іншій формі;</w:t>
      </w:r>
    </w:p>
    <w:p w14:paraId="0FC2DB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8" w:name="n14923"/>
      <w:bookmarkEnd w:id="9858"/>
      <w:r w:rsidRPr="008B264B">
        <w:rPr>
          <w:rFonts w:ascii="Times New Roman" w:eastAsia="Times New Roman" w:hAnsi="Times New Roman" w:cs="Times New Roman"/>
          <w:color w:val="000000"/>
          <w:sz w:val="24"/>
          <w:szCs w:val="24"/>
          <w:lang/>
        </w:rPr>
        <w:t>будь-які зміни, оновлення, додатки, доповнення та/або розширення функціоналу комп’ютерних програм, права на отримання таких оновлень, змін, додатків, доповнень протягом певного періоду часу;</w:t>
      </w:r>
    </w:p>
    <w:p w14:paraId="41677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59" w:name="n8156"/>
      <w:bookmarkEnd w:id="9859"/>
      <w:r w:rsidRPr="008B264B">
        <w:rPr>
          <w:rFonts w:ascii="Times New Roman" w:eastAsia="Times New Roman" w:hAnsi="Times New Roman" w:cs="Times New Roman"/>
          <w:color w:val="000000"/>
          <w:sz w:val="24"/>
          <w:szCs w:val="24"/>
          <w:lang/>
        </w:rPr>
        <w:t>криптографічні засоби захисту інформації.</w:t>
      </w:r>
    </w:p>
    <w:p w14:paraId="3997D2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0" w:name="n8157"/>
      <w:bookmarkEnd w:id="9860"/>
      <w:r w:rsidRPr="008B264B">
        <w:rPr>
          <w:rFonts w:ascii="Times New Roman" w:eastAsia="Times New Roman" w:hAnsi="Times New Roman" w:cs="Times New Roman"/>
          <w:i/>
          <w:iCs/>
          <w:color w:val="000000"/>
          <w:sz w:val="24"/>
          <w:szCs w:val="24"/>
          <w:lang/>
        </w:rPr>
        <w:t>{Підрозділ 2 розділу XX доповнено пунктом згідно із Законом </w:t>
      </w:r>
      <w:hyperlink r:id="rId5428" w:anchor="n6" w:tgtFrame="_blank" w:history="1">
        <w:r w:rsidRPr="008B264B">
          <w:rPr>
            <w:rFonts w:ascii="Times New Roman" w:eastAsia="Times New Roman" w:hAnsi="Times New Roman" w:cs="Times New Roman"/>
            <w:i/>
            <w:iCs/>
            <w:color w:val="0000FF"/>
            <w:sz w:val="24"/>
            <w:szCs w:val="24"/>
            <w:u w:val="single"/>
            <w:lang/>
          </w:rPr>
          <w:t>№ 5091-VI від 05.07.2012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429" w:anchor="n183"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в редакції Закону </w:t>
      </w:r>
      <w:hyperlink r:id="rId5430" w:anchor="n40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065ED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1" w:name="n8158"/>
      <w:bookmarkEnd w:id="9861"/>
      <w:r w:rsidRPr="008B264B">
        <w:rPr>
          <w:rFonts w:ascii="Times New Roman" w:eastAsia="Times New Roman" w:hAnsi="Times New Roman" w:cs="Times New Roman"/>
          <w:color w:val="000000"/>
          <w:sz w:val="24"/>
          <w:szCs w:val="24"/>
          <w:lang/>
        </w:rPr>
        <w:t>27. На період дії контракту, укладеного для реалізації національного проекту "Повітряний експрес", затвердженого Кабінетом Міністрів України, яким передбачено:</w:t>
      </w:r>
    </w:p>
    <w:p w14:paraId="315F82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2" w:name="n8159"/>
      <w:bookmarkEnd w:id="9862"/>
      <w:r w:rsidRPr="008B264B">
        <w:rPr>
          <w:rFonts w:ascii="Times New Roman" w:eastAsia="Times New Roman" w:hAnsi="Times New Roman" w:cs="Times New Roman"/>
          <w:color w:val="000000"/>
          <w:sz w:val="24"/>
          <w:szCs w:val="24"/>
          <w:lang/>
        </w:rPr>
        <w:lastRenderedPageBreak/>
        <w:t>спорудження залізничного пасажирського сполучення м. Київ - міжнародний аеропорт "Бориспіль";</w:t>
      </w:r>
    </w:p>
    <w:p w14:paraId="38304D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3" w:name="n8160"/>
      <w:bookmarkEnd w:id="9863"/>
      <w:r w:rsidRPr="008B264B">
        <w:rPr>
          <w:rFonts w:ascii="Times New Roman" w:eastAsia="Times New Roman" w:hAnsi="Times New Roman" w:cs="Times New Roman"/>
          <w:color w:val="000000"/>
          <w:sz w:val="24"/>
          <w:szCs w:val="24"/>
          <w:lang/>
        </w:rPr>
        <w:t>будівництво міської кільцевої автомобільної дороги навколо м. Києва на ділянці Київ - Бориспіль;</w:t>
      </w:r>
    </w:p>
    <w:p w14:paraId="300F3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4" w:name="n8161"/>
      <w:bookmarkEnd w:id="9864"/>
      <w:r w:rsidRPr="008B264B">
        <w:rPr>
          <w:rFonts w:ascii="Times New Roman" w:eastAsia="Times New Roman" w:hAnsi="Times New Roman" w:cs="Times New Roman"/>
          <w:color w:val="000000"/>
          <w:sz w:val="24"/>
          <w:szCs w:val="24"/>
          <w:lang/>
        </w:rPr>
        <w:t>будівництво дороги від Подільського мостового переходу до проспекту Ватутіна у м. Києві, справляння податку на додану вартість проводиться з урахуванням такого:</w:t>
      </w:r>
    </w:p>
    <w:p w14:paraId="51DC02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5" w:name="n8162"/>
      <w:bookmarkEnd w:id="9865"/>
      <w:r w:rsidRPr="008B264B">
        <w:rPr>
          <w:rFonts w:ascii="Times New Roman" w:eastAsia="Times New Roman" w:hAnsi="Times New Roman" w:cs="Times New Roman"/>
          <w:color w:val="000000"/>
          <w:sz w:val="24"/>
          <w:szCs w:val="24"/>
          <w:lang/>
        </w:rPr>
        <w:t>а) щодо операцій з ввезення на митну територію України у митному режимі тимчасового ввезення товарів, що ввозяться сторонами контракту, застосовується умовне повне звільнення від оподаткування податком на додану вартість.</w:t>
      </w:r>
    </w:p>
    <w:p w14:paraId="004E12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6" w:name="n8163"/>
      <w:bookmarkEnd w:id="9866"/>
      <w:r w:rsidRPr="008B264B">
        <w:rPr>
          <w:rFonts w:ascii="Times New Roman" w:eastAsia="Times New Roman" w:hAnsi="Times New Roman" w:cs="Times New Roman"/>
          <w:color w:val="000000"/>
          <w:sz w:val="24"/>
          <w:szCs w:val="24"/>
          <w:lang/>
        </w:rPr>
        <w:t>Перелік та обсяги товарів, що ввозяться на митну територію України у митному режимі тимчасового ввезення з умовним повним звільненням від оподаткування у межах виконання національного проекту "Повітряний експрес", встановлюються Кабінетом Міністрів України;</w:t>
      </w:r>
    </w:p>
    <w:p w14:paraId="4E2DA7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7" w:name="n8164"/>
      <w:bookmarkEnd w:id="9867"/>
      <w:r w:rsidRPr="008B264B">
        <w:rPr>
          <w:rFonts w:ascii="Times New Roman" w:eastAsia="Times New Roman" w:hAnsi="Times New Roman" w:cs="Times New Roman"/>
          <w:color w:val="000000"/>
          <w:sz w:val="24"/>
          <w:szCs w:val="24"/>
          <w:lang/>
        </w:rPr>
        <w:t>б) звільняються від оподаткування:</w:t>
      </w:r>
    </w:p>
    <w:p w14:paraId="487020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8" w:name="n8165"/>
      <w:bookmarkEnd w:id="9868"/>
      <w:r w:rsidRPr="008B264B">
        <w:rPr>
          <w:rFonts w:ascii="Times New Roman" w:eastAsia="Times New Roman" w:hAnsi="Times New Roman" w:cs="Times New Roman"/>
          <w:color w:val="000000"/>
          <w:sz w:val="24"/>
          <w:szCs w:val="24"/>
          <w:lang/>
        </w:rPr>
        <w:t>операції з постачання послуг на митній території, пов'язаних з реалізацією національного проекту "Повітряний експрес", які надаються особою-нерезидентом, не зареєстрованою як платник податку на додану вартість, сторонам контракту.</w:t>
      </w:r>
    </w:p>
    <w:p w14:paraId="108F72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69" w:name="n8166"/>
      <w:bookmarkEnd w:id="9869"/>
      <w:r w:rsidRPr="008B264B">
        <w:rPr>
          <w:rFonts w:ascii="Times New Roman" w:eastAsia="Times New Roman" w:hAnsi="Times New Roman" w:cs="Times New Roman"/>
          <w:color w:val="000000"/>
          <w:sz w:val="24"/>
          <w:szCs w:val="24"/>
          <w:lang/>
        </w:rPr>
        <w:t>Перелік послуг, які пов'язані з реалізацією національного проекту "Повітряний експрес" та підлягають звільненню від оподаткування, встановлюється Кабінетом Міністрів України;</w:t>
      </w:r>
    </w:p>
    <w:p w14:paraId="6A27B6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0" w:name="n8167"/>
      <w:bookmarkEnd w:id="9870"/>
      <w:r w:rsidRPr="008B264B">
        <w:rPr>
          <w:rFonts w:ascii="Times New Roman" w:eastAsia="Times New Roman" w:hAnsi="Times New Roman" w:cs="Times New Roman"/>
          <w:color w:val="000000"/>
          <w:sz w:val="24"/>
          <w:szCs w:val="24"/>
          <w:lang/>
        </w:rPr>
        <w:t>операції з ввезення на митну територію України товарів у митному режимі імпорту, що не виробляються в Україні або виробляються в Україні, але не відповідають вимогам проекту за кодами згідно з </w:t>
      </w:r>
      <w:hyperlink r:id="rId543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передбачені </w:t>
      </w:r>
      <w:hyperlink r:id="rId5432" w:anchor="n4600" w:tgtFrame="_blank" w:history="1">
        <w:r w:rsidRPr="008B264B">
          <w:rPr>
            <w:rFonts w:ascii="Times New Roman" w:eastAsia="Times New Roman" w:hAnsi="Times New Roman" w:cs="Times New Roman"/>
            <w:color w:val="0000FF"/>
            <w:sz w:val="24"/>
            <w:szCs w:val="24"/>
            <w:u w:val="single"/>
            <w:lang/>
          </w:rPr>
          <w:t>підпунктом 9 пункту 4 розділу XXI</w:t>
        </w:r>
      </w:hyperlink>
      <w:hyperlink r:id="rId5433" w:anchor="n4600" w:tgtFrame="_blank" w:history="1">
        <w:r w:rsidRPr="008B264B">
          <w:rPr>
            <w:rFonts w:ascii="Times New Roman" w:eastAsia="Times New Roman" w:hAnsi="Times New Roman" w:cs="Times New Roman"/>
            <w:color w:val="0000FF"/>
            <w:sz w:val="24"/>
            <w:szCs w:val="24"/>
            <w:u w:val="single"/>
            <w:lang/>
          </w:rPr>
          <w:t> "Прикінцеві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w:t>
      </w:r>
    </w:p>
    <w:p w14:paraId="1090E9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1" w:name="n8168"/>
      <w:bookmarkEnd w:id="9871"/>
      <w:r w:rsidRPr="008B264B">
        <w:rPr>
          <w:rFonts w:ascii="Times New Roman" w:eastAsia="Times New Roman" w:hAnsi="Times New Roman" w:cs="Times New Roman"/>
          <w:color w:val="000000"/>
          <w:sz w:val="24"/>
          <w:szCs w:val="24"/>
          <w:lang/>
        </w:rPr>
        <w:t>Перелік та обсяги ввезення таких товарів визначаються Кабінетом Міністрів України;</w:t>
      </w:r>
    </w:p>
    <w:p w14:paraId="225A92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2" w:name="n8169"/>
      <w:bookmarkEnd w:id="9872"/>
      <w:r w:rsidRPr="008B264B">
        <w:rPr>
          <w:rFonts w:ascii="Times New Roman" w:eastAsia="Times New Roman" w:hAnsi="Times New Roman" w:cs="Times New Roman"/>
          <w:color w:val="000000"/>
          <w:sz w:val="24"/>
          <w:szCs w:val="24"/>
          <w:lang/>
        </w:rPr>
        <w:t>операції з постачання виконавцем замовнику, які є сторонами контракту, спорудженого об'єкта (або його частин), передбаченого контрактом, під час реалізації національного проекту "Повітряний експрес".</w:t>
      </w:r>
    </w:p>
    <w:p w14:paraId="07AB02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3" w:name="n8170"/>
      <w:bookmarkEnd w:id="9873"/>
      <w:r w:rsidRPr="008B264B">
        <w:rPr>
          <w:rFonts w:ascii="Times New Roman" w:eastAsia="Times New Roman" w:hAnsi="Times New Roman" w:cs="Times New Roman"/>
          <w:color w:val="000000"/>
          <w:sz w:val="24"/>
          <w:szCs w:val="24"/>
          <w:lang/>
        </w:rPr>
        <w:t>У разі порушення вимог щодо цільового використання зазначених у цьому пункті товарів платник податку зобов'язаний збільшити податкові зобов'язання за результатами податкового періоду, на який припадає таке порушення, на суму податку, що має бути сплачена в момент ввезення на митну територію України таких товарів, а також сплатити пеню, нараховану на таку суму податку, виходячи із 120 відсотків облікової ставки Національного банку України, що діяла на день збільшення податкового зобов'язання, та за період з дати ввезення на митну територію України таких товарів до дати збільшення податкових зобов'язань.</w:t>
      </w:r>
    </w:p>
    <w:p w14:paraId="469D8E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4" w:name="n8171"/>
      <w:bookmarkEnd w:id="9874"/>
      <w:r w:rsidRPr="008B264B">
        <w:rPr>
          <w:rFonts w:ascii="Times New Roman" w:eastAsia="Times New Roman" w:hAnsi="Times New Roman" w:cs="Times New Roman"/>
          <w:color w:val="000000"/>
          <w:sz w:val="24"/>
          <w:szCs w:val="24"/>
          <w:lang/>
        </w:rPr>
        <w:t>Термін "сторона контракту", зазначений у </w:t>
      </w:r>
      <w:hyperlink r:id="rId5434" w:anchor="n8012" w:history="1">
        <w:r w:rsidRPr="008B264B">
          <w:rPr>
            <w:rFonts w:ascii="Times New Roman" w:eastAsia="Times New Roman" w:hAnsi="Times New Roman" w:cs="Times New Roman"/>
            <w:color w:val="0000FF"/>
            <w:sz w:val="24"/>
            <w:szCs w:val="24"/>
            <w:u w:val="single"/>
            <w:lang/>
          </w:rPr>
          <w:t>розділі XX</w:t>
        </w:r>
      </w:hyperlink>
      <w:r w:rsidRPr="008B264B">
        <w:rPr>
          <w:rFonts w:ascii="Times New Roman" w:eastAsia="Times New Roman" w:hAnsi="Times New Roman" w:cs="Times New Roman"/>
          <w:color w:val="000000"/>
          <w:sz w:val="24"/>
          <w:szCs w:val="24"/>
          <w:lang/>
        </w:rPr>
        <w:t> "Перехідні положення" цього Кодексу, для цілей оподаткування визначає замовника та виконавця, серед яких замовником є державне підприємство, визначене Кабінетом Міністрів України як уповноважена особа з реалізації національного проекту "Повітряний експрес", а виконавцем - нерезидент, який є стороною контракту, укладеного із замовником для реалізації національного проекту "Повітряний експрес" та постійного представництва такого нерезидента.</w:t>
      </w:r>
    </w:p>
    <w:p w14:paraId="25767D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5" w:name="n8172"/>
      <w:bookmarkEnd w:id="9875"/>
      <w:r w:rsidRPr="008B264B">
        <w:rPr>
          <w:rFonts w:ascii="Times New Roman" w:eastAsia="Times New Roman" w:hAnsi="Times New Roman" w:cs="Times New Roman"/>
          <w:i/>
          <w:iCs/>
          <w:color w:val="000000"/>
          <w:sz w:val="24"/>
          <w:szCs w:val="24"/>
          <w:lang/>
        </w:rPr>
        <w:t>{Підрозділ 2 розділу XX доповнено пунктом 27 згідно із Законом </w:t>
      </w:r>
      <w:hyperlink r:id="rId5435" w:anchor="n6" w:tgtFrame="_blank" w:history="1">
        <w:r w:rsidRPr="008B264B">
          <w:rPr>
            <w:rFonts w:ascii="Times New Roman" w:eastAsia="Times New Roman" w:hAnsi="Times New Roman" w:cs="Times New Roman"/>
            <w:i/>
            <w:iCs/>
            <w:color w:val="0000FF"/>
            <w:sz w:val="24"/>
            <w:szCs w:val="24"/>
            <w:u w:val="single"/>
            <w:lang/>
          </w:rPr>
          <w:t>№ 5043-VI від 04.07.2012</w:t>
        </w:r>
      </w:hyperlink>
      <w:r w:rsidRPr="008B264B">
        <w:rPr>
          <w:rFonts w:ascii="Times New Roman" w:eastAsia="Times New Roman" w:hAnsi="Times New Roman" w:cs="Times New Roman"/>
          <w:i/>
          <w:iCs/>
          <w:color w:val="000000"/>
          <w:sz w:val="24"/>
          <w:szCs w:val="24"/>
          <w:lang/>
        </w:rPr>
        <w:t>}</w:t>
      </w:r>
    </w:p>
    <w:p w14:paraId="4DAA1F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6" w:name="n8173"/>
      <w:bookmarkEnd w:id="9876"/>
      <w:r w:rsidRPr="008B264B">
        <w:rPr>
          <w:rFonts w:ascii="Times New Roman" w:eastAsia="Times New Roman" w:hAnsi="Times New Roman" w:cs="Times New Roman"/>
          <w:color w:val="000000"/>
          <w:sz w:val="24"/>
          <w:szCs w:val="24"/>
          <w:lang/>
        </w:rPr>
        <w:t>28. Тимчасово, на період реалізації проектів (програм) за рахунок міжнародної технічної допомоги, яка надається відповідно до ініціативи країн Великої вісімки "Глобальне партнерство проти розповсюдження зброї та матеріалів масового знищення", звільняються від оподаткування податком на додану вартість операції з:</w:t>
      </w:r>
    </w:p>
    <w:p w14:paraId="1287F9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7" w:name="n8174"/>
      <w:bookmarkEnd w:id="9877"/>
      <w:r w:rsidRPr="008B264B">
        <w:rPr>
          <w:rFonts w:ascii="Times New Roman" w:eastAsia="Times New Roman" w:hAnsi="Times New Roman" w:cs="Times New Roman"/>
          <w:color w:val="000000"/>
          <w:sz w:val="24"/>
          <w:szCs w:val="24"/>
          <w:lang/>
        </w:rPr>
        <w:t>ввезення на митну територію України товарів у митному режимі імпорту, що не виробляються в Україні, визначених </w:t>
      </w:r>
      <w:hyperlink r:id="rId5436" w:anchor="n4729" w:tgtFrame="_blank" w:history="1">
        <w:r w:rsidRPr="008B264B">
          <w:rPr>
            <w:rFonts w:ascii="Times New Roman" w:eastAsia="Times New Roman" w:hAnsi="Times New Roman" w:cs="Times New Roman"/>
            <w:color w:val="0000FF"/>
            <w:sz w:val="24"/>
            <w:szCs w:val="24"/>
            <w:u w:val="single"/>
            <w:lang/>
          </w:rPr>
          <w:t>підпунктом 11 пункту 4 розділу XXI</w:t>
        </w:r>
      </w:hyperlink>
      <w:hyperlink r:id="rId5437" w:anchor="n4729" w:tgtFrame="_blank" w:history="1">
        <w:r w:rsidRPr="008B264B">
          <w:rPr>
            <w:rFonts w:ascii="Times New Roman" w:eastAsia="Times New Roman" w:hAnsi="Times New Roman" w:cs="Times New Roman"/>
            <w:color w:val="0000FF"/>
            <w:sz w:val="24"/>
            <w:szCs w:val="24"/>
            <w:u w:val="single"/>
            <w:lang/>
          </w:rPr>
          <w:t xml:space="preserve"> "Прикінцеві та </w:t>
        </w:r>
        <w:r w:rsidRPr="008B264B">
          <w:rPr>
            <w:rFonts w:ascii="Times New Roman" w:eastAsia="Times New Roman" w:hAnsi="Times New Roman" w:cs="Times New Roman"/>
            <w:color w:val="0000FF"/>
            <w:sz w:val="24"/>
            <w:szCs w:val="24"/>
            <w:u w:val="single"/>
            <w:lang/>
          </w:rPr>
          <w:lastRenderedPageBreak/>
          <w:t>перехідні положення" Митного кодексу України</w:t>
        </w:r>
      </w:hyperlink>
      <w:r w:rsidRPr="008B264B">
        <w:rPr>
          <w:rFonts w:ascii="Times New Roman" w:eastAsia="Times New Roman" w:hAnsi="Times New Roman" w:cs="Times New Roman"/>
          <w:color w:val="000000"/>
          <w:sz w:val="24"/>
          <w:szCs w:val="24"/>
          <w:lang/>
        </w:rPr>
        <w:t>. Перелік та порядок ввезення таких товарів визначаються Кабінетом Міністрів України. У разі нецільового використання зазначених товарів платник податку збільшує податкові зобов’язання за результатами податкового періоду, на який припадає таке порушення, на суму податку на додану вартість, що мала бути сплачена в момент імпорту таких товарів, а також зобов’язаний сплатити пеню відповідно до цього Кодексу;</w:t>
      </w:r>
    </w:p>
    <w:p w14:paraId="0574AD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8" w:name="n8175"/>
      <w:bookmarkEnd w:id="9878"/>
      <w:r w:rsidRPr="008B264B">
        <w:rPr>
          <w:rFonts w:ascii="Times New Roman" w:eastAsia="Times New Roman" w:hAnsi="Times New Roman" w:cs="Times New Roman"/>
          <w:color w:val="000000"/>
          <w:sz w:val="24"/>
          <w:szCs w:val="24"/>
          <w:lang/>
        </w:rPr>
        <w:t>постачання на митній території України товарів (крім підакцизних товарів і товарів груп 1-24 згідно з </w:t>
      </w:r>
      <w:hyperlink r:id="rId5438"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надання послуг, якщо такі товари/послуги оплачуються за рахунок міжнародної технічної допомоги, яка надається відповідно до ініціативи країн Великої вісімки "Глобальне партнерство проти розповсюдження зброї та матеріалів масового знищення". </w:t>
      </w:r>
      <w:hyperlink r:id="rId5439" w:anchor="n2" w:tgtFrame="_blank" w:history="1">
        <w:r w:rsidRPr="008B264B">
          <w:rPr>
            <w:rFonts w:ascii="Times New Roman" w:eastAsia="Times New Roman" w:hAnsi="Times New Roman" w:cs="Times New Roman"/>
            <w:color w:val="0000FF"/>
            <w:sz w:val="24"/>
            <w:szCs w:val="24"/>
            <w:u w:val="single"/>
            <w:lang/>
          </w:rPr>
          <w:t>Перелік товарів/послуг та порядок здійснення таких операцій</w:t>
        </w:r>
      </w:hyperlink>
      <w:r w:rsidRPr="008B264B">
        <w:rPr>
          <w:rFonts w:ascii="Times New Roman" w:eastAsia="Times New Roman" w:hAnsi="Times New Roman" w:cs="Times New Roman"/>
          <w:color w:val="000000"/>
          <w:sz w:val="24"/>
          <w:szCs w:val="24"/>
          <w:lang/>
        </w:rPr>
        <w:t> визначаються Кабінетом Міністрів України. У разі порушення вимог, встановлених цим порядком, платник податку, який фактично скористався правом на податкову пільгу, вважається таким, що умисно ухиляється від оподаткування, і до такого платника застосовуються штрафні (фінансові) санкції, встановлені цим Кодексом.</w:t>
      </w:r>
    </w:p>
    <w:p w14:paraId="684365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79" w:name="n8176"/>
      <w:bookmarkEnd w:id="9879"/>
      <w:r w:rsidRPr="008B264B">
        <w:rPr>
          <w:rFonts w:ascii="Times New Roman" w:eastAsia="Times New Roman" w:hAnsi="Times New Roman" w:cs="Times New Roman"/>
          <w:i/>
          <w:iCs/>
          <w:color w:val="000000"/>
          <w:sz w:val="24"/>
          <w:szCs w:val="24"/>
          <w:lang/>
        </w:rPr>
        <w:t>{Підрозділ 2 розділу XX доповнено пунктом 28 згідно із Законом </w:t>
      </w:r>
      <w:hyperlink r:id="rId5440" w:anchor="n184"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w:t>
      </w:r>
    </w:p>
    <w:p w14:paraId="7C9223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0" w:name="n8177"/>
      <w:bookmarkEnd w:id="9880"/>
      <w:r w:rsidRPr="008B264B">
        <w:rPr>
          <w:rFonts w:ascii="Times New Roman" w:eastAsia="Times New Roman" w:hAnsi="Times New Roman" w:cs="Times New Roman"/>
          <w:color w:val="000000"/>
          <w:sz w:val="24"/>
          <w:szCs w:val="24"/>
          <w:lang/>
        </w:rPr>
        <w:t>29. На період дії процедури списання заборгованості згідно із </w:t>
      </w:r>
      <w:hyperlink r:id="rId5441" w:anchor="n3" w:tgtFrame="_blank" w:history="1">
        <w:r w:rsidRPr="008B264B">
          <w:rPr>
            <w:rFonts w:ascii="Times New Roman" w:eastAsia="Times New Roman" w:hAnsi="Times New Roman" w:cs="Times New Roman"/>
            <w:color w:val="0000FF"/>
            <w:sz w:val="24"/>
            <w:szCs w:val="24"/>
            <w:u w:val="single"/>
            <w:lang/>
          </w:rPr>
          <w:t>Законом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hyperlink>
      <w:r w:rsidRPr="008B264B">
        <w:rPr>
          <w:rFonts w:ascii="Times New Roman" w:eastAsia="Times New Roman" w:hAnsi="Times New Roman" w:cs="Times New Roman"/>
          <w:color w:val="000000"/>
          <w:sz w:val="24"/>
          <w:szCs w:val="24"/>
          <w:lang/>
        </w:rPr>
        <w:t> для учасників процедури списання заборгованості, визначених цим Законом, які є платниками податку на додану вартість відповідно до </w:t>
      </w:r>
      <w:hyperlink r:id="rId5442" w:anchor="n4379" w:history="1">
        <w:r w:rsidRPr="008B264B">
          <w:rPr>
            <w:rFonts w:ascii="Times New Roman" w:eastAsia="Times New Roman" w:hAnsi="Times New Roman" w:cs="Times New Roman"/>
            <w:color w:val="0000FF"/>
            <w:sz w:val="24"/>
            <w:szCs w:val="24"/>
            <w:u w:val="single"/>
            <w:lang/>
          </w:rPr>
          <w:t>розділу V</w:t>
        </w:r>
      </w:hyperlink>
      <w:r w:rsidRPr="008B264B">
        <w:rPr>
          <w:rFonts w:ascii="Times New Roman" w:eastAsia="Times New Roman" w:hAnsi="Times New Roman" w:cs="Times New Roman"/>
          <w:color w:val="000000"/>
          <w:sz w:val="24"/>
          <w:szCs w:val="24"/>
          <w:lang/>
        </w:rPr>
        <w:t> цього Кодексу, податок на додану вартість, попередньо віднесений до складу податкового кредиту та податкових зобов'язань, не підлягає коригуванню і не змінює склад податкових зобов'язань та податкового кредиту звітного податкового періоду платників податку.</w:t>
      </w:r>
    </w:p>
    <w:p w14:paraId="0D5A48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1" w:name="n8178"/>
      <w:bookmarkEnd w:id="9881"/>
      <w:r w:rsidRPr="008B264B">
        <w:rPr>
          <w:rFonts w:ascii="Times New Roman" w:eastAsia="Times New Roman" w:hAnsi="Times New Roman" w:cs="Times New Roman"/>
          <w:color w:val="000000"/>
          <w:sz w:val="24"/>
          <w:szCs w:val="24"/>
          <w:lang/>
        </w:rPr>
        <w:t>Не виникають податкові зобов'язання з податку на додану вартість у Державного агентства резерву України при переведенні матеріальних цінностей у грошову форму в межах виконання Закону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p>
    <w:p w14:paraId="5B9D75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2" w:name="n8179"/>
      <w:bookmarkEnd w:id="9882"/>
      <w:r w:rsidRPr="008B264B">
        <w:rPr>
          <w:rFonts w:ascii="Times New Roman" w:eastAsia="Times New Roman" w:hAnsi="Times New Roman" w:cs="Times New Roman"/>
          <w:color w:val="000000"/>
          <w:sz w:val="24"/>
          <w:szCs w:val="24"/>
          <w:lang/>
        </w:rPr>
        <w:t>При відпуску палива з державного резерву відповідно до Закону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 в учасників процедури списання заборгованості не виникають податкові зобов'язання та податковий кредит з податку на додану вартість.</w:t>
      </w:r>
    </w:p>
    <w:p w14:paraId="42ACDA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3" w:name="n8180"/>
      <w:bookmarkEnd w:id="9883"/>
      <w:r w:rsidRPr="008B264B">
        <w:rPr>
          <w:rFonts w:ascii="Times New Roman" w:eastAsia="Times New Roman" w:hAnsi="Times New Roman" w:cs="Times New Roman"/>
          <w:i/>
          <w:iCs/>
          <w:color w:val="000000"/>
          <w:sz w:val="24"/>
          <w:szCs w:val="24"/>
          <w:lang/>
        </w:rPr>
        <w:t>{Підрозділ 2 розділу XX доповнено пунктом 29 згідно із Законом </w:t>
      </w:r>
      <w:hyperlink r:id="rId5443" w:anchor="n11" w:tgtFrame="_blank" w:history="1">
        <w:r w:rsidRPr="008B264B">
          <w:rPr>
            <w:rFonts w:ascii="Times New Roman" w:eastAsia="Times New Roman" w:hAnsi="Times New Roman" w:cs="Times New Roman"/>
            <w:i/>
            <w:iCs/>
            <w:color w:val="0000FF"/>
            <w:sz w:val="24"/>
            <w:szCs w:val="24"/>
            <w:u w:val="single"/>
            <w:lang/>
          </w:rPr>
          <w:t>№ 5414-VI від 02.10.2012</w:t>
        </w:r>
      </w:hyperlink>
      <w:r w:rsidRPr="008B264B">
        <w:rPr>
          <w:rFonts w:ascii="Times New Roman" w:eastAsia="Times New Roman" w:hAnsi="Times New Roman" w:cs="Times New Roman"/>
          <w:i/>
          <w:iCs/>
          <w:color w:val="000000"/>
          <w:sz w:val="24"/>
          <w:szCs w:val="24"/>
          <w:lang/>
        </w:rPr>
        <w:t>}</w:t>
      </w:r>
    </w:p>
    <w:p w14:paraId="7C3E15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4" w:name="n8181"/>
      <w:bookmarkEnd w:id="9884"/>
      <w:r w:rsidRPr="008B264B">
        <w:rPr>
          <w:rFonts w:ascii="Times New Roman" w:eastAsia="Times New Roman" w:hAnsi="Times New Roman" w:cs="Times New Roman"/>
          <w:color w:val="000000"/>
          <w:sz w:val="24"/>
          <w:szCs w:val="24"/>
          <w:lang/>
        </w:rPr>
        <w:t>30. Тимчасово, до 1 липня 2013 року, зупинити дію </w:t>
      </w:r>
      <w:hyperlink r:id="rId5444" w:anchor="n5076" w:history="1">
        <w:r w:rsidRPr="008B264B">
          <w:rPr>
            <w:rFonts w:ascii="Times New Roman" w:eastAsia="Times New Roman" w:hAnsi="Times New Roman" w:cs="Times New Roman"/>
            <w:color w:val="0000FF"/>
            <w:sz w:val="24"/>
            <w:szCs w:val="24"/>
            <w:u w:val="single"/>
            <w:lang/>
          </w:rPr>
          <w:t>підпункту "ї" пункту 201.1</w:t>
        </w:r>
      </w:hyperlink>
      <w:r w:rsidRPr="008B264B">
        <w:rPr>
          <w:rFonts w:ascii="Times New Roman" w:eastAsia="Times New Roman" w:hAnsi="Times New Roman" w:cs="Times New Roman"/>
          <w:color w:val="000000"/>
          <w:sz w:val="24"/>
          <w:szCs w:val="24"/>
          <w:lang/>
        </w:rPr>
        <w:t> статті 201 цього Кодексу.</w:t>
      </w:r>
    </w:p>
    <w:p w14:paraId="74DA34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5" w:name="n8182"/>
      <w:bookmarkEnd w:id="9885"/>
      <w:r w:rsidRPr="008B264B">
        <w:rPr>
          <w:rFonts w:ascii="Times New Roman" w:eastAsia="Times New Roman" w:hAnsi="Times New Roman" w:cs="Times New Roman"/>
          <w:i/>
          <w:iCs/>
          <w:color w:val="000000"/>
          <w:sz w:val="24"/>
          <w:szCs w:val="24"/>
          <w:lang/>
        </w:rPr>
        <w:t>{Підрозділ 2 розділу XX доповнено пунктом 30 згідно із Законом </w:t>
      </w:r>
      <w:hyperlink r:id="rId544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722C45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6" w:name="n8183"/>
      <w:bookmarkEnd w:id="9886"/>
      <w:r w:rsidRPr="008B264B">
        <w:rPr>
          <w:rFonts w:ascii="Times New Roman" w:eastAsia="Times New Roman" w:hAnsi="Times New Roman" w:cs="Times New Roman"/>
          <w:color w:val="000000"/>
          <w:sz w:val="24"/>
          <w:szCs w:val="24"/>
          <w:lang/>
        </w:rPr>
        <w:t>31. Операції з обслуговування іпотечних активів у складі іпотечного покриття відповідно до </w:t>
      </w:r>
      <w:hyperlink r:id="rId5446" w:tgtFrame="_blank" w:history="1">
        <w:r w:rsidRPr="008B264B">
          <w:rPr>
            <w:rFonts w:ascii="Times New Roman" w:eastAsia="Times New Roman" w:hAnsi="Times New Roman" w:cs="Times New Roman"/>
            <w:color w:val="0000FF"/>
            <w:sz w:val="24"/>
            <w:szCs w:val="24"/>
            <w:u w:val="single"/>
            <w:lang/>
          </w:rPr>
          <w:t>Закону України "Про іпотечні облігації"</w:t>
        </w:r>
      </w:hyperlink>
      <w:r w:rsidRPr="008B264B">
        <w:rPr>
          <w:rFonts w:ascii="Times New Roman" w:eastAsia="Times New Roman" w:hAnsi="Times New Roman" w:cs="Times New Roman"/>
          <w:color w:val="000000"/>
          <w:sz w:val="24"/>
          <w:szCs w:val="24"/>
          <w:lang/>
        </w:rPr>
        <w:t>, які здійснюються обслуговуючою установою - банком, який був первісним кредитором щодо таких іпотечних активів за дорученням емітента іпотечних облігацій, не є об'єктом оподаткування податком на додану вартість.</w:t>
      </w:r>
    </w:p>
    <w:p w14:paraId="277619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7" w:name="n8184"/>
      <w:bookmarkEnd w:id="9887"/>
      <w:r w:rsidRPr="008B264B">
        <w:rPr>
          <w:rFonts w:ascii="Times New Roman" w:eastAsia="Times New Roman" w:hAnsi="Times New Roman" w:cs="Times New Roman"/>
          <w:color w:val="000000"/>
          <w:sz w:val="24"/>
          <w:szCs w:val="24"/>
          <w:lang/>
        </w:rPr>
        <w:t>Для цілей цього пункту під емітентом іпотечних облігацій слід розуміти фінансову установу, більш ніж 50 відсотків корпоративних прав якої належить державним банкам.</w:t>
      </w:r>
    </w:p>
    <w:p w14:paraId="78BD42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8" w:name="n8185"/>
      <w:bookmarkEnd w:id="9888"/>
      <w:r w:rsidRPr="008B264B">
        <w:rPr>
          <w:rFonts w:ascii="Times New Roman" w:eastAsia="Times New Roman" w:hAnsi="Times New Roman" w:cs="Times New Roman"/>
          <w:i/>
          <w:iCs/>
          <w:color w:val="000000"/>
          <w:sz w:val="24"/>
          <w:szCs w:val="24"/>
          <w:lang/>
        </w:rPr>
        <w:t>{Підрозділ 2 розділу XX доповнено пунктом 31 згідно із Законом </w:t>
      </w:r>
      <w:hyperlink r:id="rId5447"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0FAD2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89" w:name="n9995"/>
      <w:bookmarkEnd w:id="9889"/>
      <w:r w:rsidRPr="008B264B">
        <w:rPr>
          <w:rFonts w:ascii="Times New Roman" w:eastAsia="Times New Roman" w:hAnsi="Times New Roman" w:cs="Times New Roman"/>
          <w:color w:val="000000"/>
          <w:sz w:val="24"/>
          <w:szCs w:val="24"/>
          <w:lang/>
        </w:rPr>
        <w:t xml:space="preserve">32. Тимчасово, на період проведення антитерористичної операції та/або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та/або запровадження воєнного стану відповідно до законодавства, </w:t>
      </w:r>
      <w:r w:rsidRPr="008B264B">
        <w:rPr>
          <w:rFonts w:ascii="Times New Roman" w:eastAsia="Times New Roman" w:hAnsi="Times New Roman" w:cs="Times New Roman"/>
          <w:color w:val="000000"/>
          <w:sz w:val="24"/>
          <w:szCs w:val="24"/>
          <w:lang/>
        </w:rPr>
        <w:lastRenderedPageBreak/>
        <w:t>звільняються від оподаткування податком на додану вартість операції з ввезення на митну територію України та постачання на митній території України:</w:t>
      </w:r>
    </w:p>
    <w:p w14:paraId="004FFB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0" w:name="n15130"/>
      <w:bookmarkEnd w:id="9890"/>
      <w:r w:rsidRPr="008B264B">
        <w:rPr>
          <w:rFonts w:ascii="Times New Roman" w:eastAsia="Times New Roman" w:hAnsi="Times New Roman" w:cs="Times New Roman"/>
          <w:i/>
          <w:iCs/>
          <w:color w:val="000000"/>
          <w:sz w:val="24"/>
          <w:szCs w:val="24"/>
          <w:lang/>
        </w:rPr>
        <w:t>{Абзац перший пункту 32 підрозділу 2 розділу XX із змінами, внесеними згідно із Законом </w:t>
      </w:r>
      <w:hyperlink r:id="rId5448" w:anchor="n7" w:tgtFrame="_blank" w:history="1">
        <w:r w:rsidRPr="008B264B">
          <w:rPr>
            <w:rFonts w:ascii="Times New Roman" w:eastAsia="Times New Roman" w:hAnsi="Times New Roman" w:cs="Times New Roman"/>
            <w:i/>
            <w:iCs/>
            <w:color w:val="0000FF"/>
            <w:sz w:val="24"/>
            <w:szCs w:val="24"/>
            <w:u w:val="single"/>
            <w:lang/>
          </w:rPr>
          <w:t>№ 2463-VIII від 19.06.2018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травня 2018 року}</w:t>
      </w:r>
    </w:p>
    <w:p w14:paraId="1760EA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1" w:name="n9996"/>
      <w:bookmarkEnd w:id="9891"/>
      <w:r w:rsidRPr="008B264B">
        <w:rPr>
          <w:rFonts w:ascii="Times New Roman" w:eastAsia="Times New Roman" w:hAnsi="Times New Roman" w:cs="Times New Roman"/>
          <w:color w:val="000000"/>
          <w:sz w:val="24"/>
          <w:szCs w:val="24"/>
          <w:lang/>
        </w:rPr>
        <w:t>спеціальних засобів індивідуального захисту (каски, виготовлені відповідно до військових стандартів або технічних умов, чи їх еквіваленти та спеціально призначені для них компоненти (тобто підшоломи, амортизатори), що класифікуються у товарній підкатегорії </w:t>
      </w:r>
      <w:hyperlink r:id="rId5449" w:anchor="n1707" w:tgtFrame="_blank" w:history="1">
        <w:r w:rsidRPr="008B264B">
          <w:rPr>
            <w:rFonts w:ascii="Times New Roman" w:eastAsia="Times New Roman" w:hAnsi="Times New Roman" w:cs="Times New Roman"/>
            <w:color w:val="0000FF"/>
            <w:sz w:val="24"/>
            <w:szCs w:val="24"/>
            <w:u w:val="single"/>
            <w:lang/>
          </w:rPr>
          <w:t>6506 10 80 00</w:t>
        </w:r>
      </w:hyperlink>
      <w:r w:rsidRPr="008B264B">
        <w:rPr>
          <w:rFonts w:ascii="Times New Roman" w:eastAsia="Times New Roman" w:hAnsi="Times New Roman" w:cs="Times New Roman"/>
          <w:color w:val="000000"/>
          <w:sz w:val="24"/>
          <w:szCs w:val="24"/>
          <w:lang/>
        </w:rPr>
        <w:t> згідно з УКТ ЗЕД, бронежилети, що класифікуються у товарній підкатегорії </w:t>
      </w:r>
      <w:hyperlink r:id="rId5450" w:anchor="n1619" w:tgtFrame="_blank" w:history="1">
        <w:r w:rsidRPr="008B264B">
          <w:rPr>
            <w:rFonts w:ascii="Times New Roman" w:eastAsia="Times New Roman" w:hAnsi="Times New Roman" w:cs="Times New Roman"/>
            <w:color w:val="0000FF"/>
            <w:sz w:val="24"/>
            <w:szCs w:val="24"/>
            <w:u w:val="single"/>
            <w:lang/>
          </w:rPr>
          <w:t>6211 43 90 00</w:t>
        </w:r>
      </w:hyperlink>
      <w:r w:rsidRPr="008B264B">
        <w:rPr>
          <w:rFonts w:ascii="Times New Roman" w:eastAsia="Times New Roman" w:hAnsi="Times New Roman" w:cs="Times New Roman"/>
          <w:color w:val="000000"/>
          <w:sz w:val="24"/>
          <w:szCs w:val="24"/>
          <w:lang/>
        </w:rPr>
        <w:t> згідно з УКТ ЗЕД), виготовлених відповідно до військових стандартів або військових умов для потреб правоохоронних органів, Збройних Сил України та інших військових формувань, утворених відповідно до законів України, інших суб’єктів, що здійснюють боротьбу з тероризмом відповідно до закону та/або беруть участь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ниток та тканин (матеріалів), що класифікуються у товарних підкатегоріях </w:t>
      </w:r>
      <w:hyperlink r:id="rId5451" w:anchor="n988" w:tgtFrame="_blank" w:history="1">
        <w:r w:rsidRPr="008B264B">
          <w:rPr>
            <w:rFonts w:ascii="Times New Roman" w:eastAsia="Times New Roman" w:hAnsi="Times New Roman" w:cs="Times New Roman"/>
            <w:color w:val="0000FF"/>
            <w:sz w:val="24"/>
            <w:szCs w:val="24"/>
            <w:u w:val="single"/>
            <w:lang/>
          </w:rPr>
          <w:t>3920 10 89 90</w:t>
        </w:r>
      </w:hyperlink>
      <w:r w:rsidRPr="008B264B">
        <w:rPr>
          <w:rFonts w:ascii="Times New Roman" w:eastAsia="Times New Roman" w:hAnsi="Times New Roman" w:cs="Times New Roman"/>
          <w:color w:val="000000"/>
          <w:sz w:val="24"/>
          <w:szCs w:val="24"/>
          <w:lang/>
        </w:rPr>
        <w:t>, </w:t>
      </w:r>
      <w:hyperlink r:id="rId5452" w:anchor="n988" w:tgtFrame="_blank" w:history="1">
        <w:r w:rsidRPr="008B264B">
          <w:rPr>
            <w:rFonts w:ascii="Times New Roman" w:eastAsia="Times New Roman" w:hAnsi="Times New Roman" w:cs="Times New Roman"/>
            <w:color w:val="0000FF"/>
            <w:sz w:val="24"/>
            <w:szCs w:val="24"/>
            <w:u w:val="single"/>
            <w:lang/>
          </w:rPr>
          <w:t>3920 61 00 00</w:t>
        </w:r>
      </w:hyperlink>
      <w:r w:rsidRPr="008B264B">
        <w:rPr>
          <w:rFonts w:ascii="Times New Roman" w:eastAsia="Times New Roman" w:hAnsi="Times New Roman" w:cs="Times New Roman"/>
          <w:color w:val="000000"/>
          <w:sz w:val="24"/>
          <w:szCs w:val="24"/>
          <w:lang/>
        </w:rPr>
        <w:t>, </w:t>
      </w:r>
      <w:hyperlink r:id="rId5453" w:anchor="n988" w:tgtFrame="_blank" w:history="1">
        <w:r w:rsidRPr="008B264B">
          <w:rPr>
            <w:rFonts w:ascii="Times New Roman" w:eastAsia="Times New Roman" w:hAnsi="Times New Roman" w:cs="Times New Roman"/>
            <w:color w:val="0000FF"/>
            <w:sz w:val="24"/>
            <w:szCs w:val="24"/>
            <w:u w:val="single"/>
            <w:lang/>
          </w:rPr>
          <w:t>3921 90 60 00</w:t>
        </w:r>
      </w:hyperlink>
      <w:r w:rsidRPr="008B264B">
        <w:rPr>
          <w:rFonts w:ascii="Times New Roman" w:eastAsia="Times New Roman" w:hAnsi="Times New Roman" w:cs="Times New Roman"/>
          <w:color w:val="000000"/>
          <w:sz w:val="24"/>
          <w:szCs w:val="24"/>
          <w:lang/>
        </w:rPr>
        <w:t>, </w:t>
      </w:r>
      <w:hyperlink r:id="rId5454" w:anchor="n1458" w:tgtFrame="_blank" w:history="1">
        <w:r w:rsidRPr="008B264B">
          <w:rPr>
            <w:rFonts w:ascii="Times New Roman" w:eastAsia="Times New Roman" w:hAnsi="Times New Roman" w:cs="Times New Roman"/>
            <w:color w:val="0000FF"/>
            <w:sz w:val="24"/>
            <w:szCs w:val="24"/>
            <w:u w:val="single"/>
            <w:lang/>
          </w:rPr>
          <w:t>5402 11 00 00</w:t>
        </w:r>
      </w:hyperlink>
      <w:r w:rsidRPr="008B264B">
        <w:rPr>
          <w:rFonts w:ascii="Times New Roman" w:eastAsia="Times New Roman" w:hAnsi="Times New Roman" w:cs="Times New Roman"/>
          <w:color w:val="000000"/>
          <w:sz w:val="24"/>
          <w:szCs w:val="24"/>
          <w:lang/>
        </w:rPr>
        <w:t>, </w:t>
      </w:r>
      <w:hyperlink r:id="rId5455" w:anchor="n1458" w:tgtFrame="_blank" w:history="1">
        <w:r w:rsidRPr="008B264B">
          <w:rPr>
            <w:rFonts w:ascii="Times New Roman" w:eastAsia="Times New Roman" w:hAnsi="Times New Roman" w:cs="Times New Roman"/>
            <w:color w:val="0000FF"/>
            <w:sz w:val="24"/>
            <w:szCs w:val="24"/>
            <w:u w:val="single"/>
            <w:lang/>
          </w:rPr>
          <w:t>5407 10 00 00</w:t>
        </w:r>
      </w:hyperlink>
      <w:r w:rsidRPr="008B264B">
        <w:rPr>
          <w:rFonts w:ascii="Times New Roman" w:eastAsia="Times New Roman" w:hAnsi="Times New Roman" w:cs="Times New Roman"/>
          <w:color w:val="000000"/>
          <w:sz w:val="24"/>
          <w:szCs w:val="24"/>
          <w:lang/>
        </w:rPr>
        <w:t>, </w:t>
      </w:r>
      <w:hyperlink r:id="rId5456" w:anchor="n1477" w:tgtFrame="_blank" w:history="1">
        <w:r w:rsidRPr="008B264B">
          <w:rPr>
            <w:rFonts w:ascii="Times New Roman" w:eastAsia="Times New Roman" w:hAnsi="Times New Roman" w:cs="Times New Roman"/>
            <w:color w:val="0000FF"/>
            <w:sz w:val="24"/>
            <w:szCs w:val="24"/>
            <w:u w:val="single"/>
            <w:lang/>
          </w:rPr>
          <w:t>5603 14 10 00</w:t>
        </w:r>
      </w:hyperlink>
      <w:r w:rsidRPr="008B264B">
        <w:rPr>
          <w:rFonts w:ascii="Times New Roman" w:eastAsia="Times New Roman" w:hAnsi="Times New Roman" w:cs="Times New Roman"/>
          <w:color w:val="000000"/>
          <w:sz w:val="24"/>
          <w:szCs w:val="24"/>
          <w:lang/>
        </w:rPr>
        <w:t> та </w:t>
      </w:r>
      <w:hyperlink r:id="rId5457" w:anchor="n1761" w:tgtFrame="_blank" w:history="1">
        <w:r w:rsidRPr="008B264B">
          <w:rPr>
            <w:rFonts w:ascii="Times New Roman" w:eastAsia="Times New Roman" w:hAnsi="Times New Roman" w:cs="Times New Roman"/>
            <w:color w:val="0000FF"/>
            <w:sz w:val="24"/>
            <w:szCs w:val="24"/>
            <w:u w:val="single"/>
            <w:lang/>
          </w:rPr>
          <w:t>6914 90 00 00</w:t>
        </w:r>
      </w:hyperlink>
      <w:r w:rsidRPr="008B264B">
        <w:rPr>
          <w:rFonts w:ascii="Times New Roman" w:eastAsia="Times New Roman" w:hAnsi="Times New Roman" w:cs="Times New Roman"/>
          <w:color w:val="000000"/>
          <w:sz w:val="24"/>
          <w:szCs w:val="24"/>
          <w:lang/>
        </w:rPr>
        <w:t> згідно з УКТ ЗЕД, для виготовлення бронежилетів та шоломів;</w:t>
      </w:r>
    </w:p>
    <w:p w14:paraId="7C155E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2" w:name="n12375"/>
      <w:bookmarkEnd w:id="9892"/>
      <w:r w:rsidRPr="008B264B">
        <w:rPr>
          <w:rFonts w:ascii="Times New Roman" w:eastAsia="Times New Roman" w:hAnsi="Times New Roman" w:cs="Times New Roman"/>
          <w:i/>
          <w:iCs/>
          <w:color w:val="000000"/>
          <w:sz w:val="24"/>
          <w:szCs w:val="24"/>
          <w:lang/>
        </w:rPr>
        <w:t>{Абзац другий пункту 32 підрозділу 2 розділу XX із змінами, внесеними згідно із Законами </w:t>
      </w:r>
      <w:hyperlink r:id="rId5458" w:anchor="n5" w:tgtFrame="_blank" w:history="1">
        <w:r w:rsidRPr="008B264B">
          <w:rPr>
            <w:rFonts w:ascii="Times New Roman" w:eastAsia="Times New Roman" w:hAnsi="Times New Roman" w:cs="Times New Roman"/>
            <w:i/>
            <w:iCs/>
            <w:color w:val="0000FF"/>
            <w:sz w:val="24"/>
            <w:szCs w:val="24"/>
            <w:u w:val="single"/>
            <w:lang/>
          </w:rPr>
          <w:t>№ 555-VIII від 30.06.2015</w:t>
        </w:r>
      </w:hyperlink>
      <w:r w:rsidRPr="008B264B">
        <w:rPr>
          <w:rFonts w:ascii="Times New Roman" w:eastAsia="Times New Roman" w:hAnsi="Times New Roman" w:cs="Times New Roman"/>
          <w:i/>
          <w:iCs/>
          <w:color w:val="000000"/>
          <w:sz w:val="24"/>
          <w:szCs w:val="24"/>
          <w:lang/>
        </w:rPr>
        <w:t>, </w:t>
      </w:r>
      <w:hyperlink r:id="rId5459" w:anchor="n146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5460" w:anchor="n8" w:tgtFrame="_blank" w:history="1">
        <w:r w:rsidRPr="008B264B">
          <w:rPr>
            <w:rFonts w:ascii="Times New Roman" w:eastAsia="Times New Roman" w:hAnsi="Times New Roman" w:cs="Times New Roman"/>
            <w:i/>
            <w:iCs/>
            <w:color w:val="0000FF"/>
            <w:sz w:val="24"/>
            <w:szCs w:val="24"/>
            <w:u w:val="single"/>
            <w:lang/>
          </w:rPr>
          <w:t>№ 2463-VIII від 19.06.2018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травня 2018 року}</w:t>
      </w:r>
    </w:p>
    <w:p w14:paraId="5AD852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3" w:name="n9997"/>
      <w:bookmarkEnd w:id="9893"/>
      <w:r w:rsidRPr="008B264B">
        <w:rPr>
          <w:rFonts w:ascii="Times New Roman" w:eastAsia="Times New Roman" w:hAnsi="Times New Roman" w:cs="Times New Roman"/>
          <w:color w:val="000000"/>
          <w:sz w:val="24"/>
          <w:szCs w:val="24"/>
          <w:lang/>
        </w:rPr>
        <w:t>лікарських засобів та медичних виробів відповідно до </w:t>
      </w:r>
      <w:hyperlink r:id="rId5461" w:anchor="n9669" w:history="1">
        <w:r w:rsidRPr="008B264B">
          <w:rPr>
            <w:rFonts w:ascii="Times New Roman" w:eastAsia="Times New Roman" w:hAnsi="Times New Roman" w:cs="Times New Roman"/>
            <w:color w:val="0000FF"/>
            <w:sz w:val="24"/>
            <w:szCs w:val="24"/>
            <w:u w:val="single"/>
            <w:lang/>
          </w:rPr>
          <w:t>підпункту "в"</w:t>
        </w:r>
      </w:hyperlink>
      <w:r w:rsidRPr="008B264B">
        <w:rPr>
          <w:rFonts w:ascii="Times New Roman" w:eastAsia="Times New Roman" w:hAnsi="Times New Roman" w:cs="Times New Roman"/>
          <w:color w:val="000000"/>
          <w:sz w:val="24"/>
          <w:szCs w:val="24"/>
          <w:lang/>
        </w:rPr>
        <w:t> пункту 193.1 статті 193 цього Кодексу, що призначені для використання закладами охорони здоров’я, учасниками антитерористичної операції, особами, що беруть участь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для надання медичної допомоги фізичним особам, які у період проведення антитерористичної операції та/або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та/або запровадження воєнного стану відповідно до законодавства зазнали поранення, контузії чи іншого ушкодження здоров’я, в </w:t>
      </w:r>
      <w:hyperlink r:id="rId5462" w:anchor="n7" w:tgtFrame="_blank" w:history="1">
        <w:r w:rsidRPr="008B264B">
          <w:rPr>
            <w:rFonts w:ascii="Times New Roman" w:eastAsia="Times New Roman" w:hAnsi="Times New Roman" w:cs="Times New Roman"/>
            <w:color w:val="0000FF"/>
            <w:sz w:val="24"/>
            <w:szCs w:val="24"/>
            <w:u w:val="single"/>
            <w:lang/>
          </w:rPr>
          <w:t>обсягах</w:t>
        </w:r>
      </w:hyperlink>
      <w:r w:rsidRPr="008B264B">
        <w:rPr>
          <w:rFonts w:ascii="Times New Roman" w:eastAsia="Times New Roman" w:hAnsi="Times New Roman" w:cs="Times New Roman"/>
          <w:color w:val="000000"/>
          <w:sz w:val="24"/>
          <w:szCs w:val="24"/>
          <w:lang/>
        </w:rPr>
        <w:t>, визначених Кабінетом Міністрів України;</w:t>
      </w:r>
    </w:p>
    <w:p w14:paraId="37F1C0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4" w:name="n15131"/>
      <w:bookmarkEnd w:id="9894"/>
      <w:r w:rsidRPr="008B264B">
        <w:rPr>
          <w:rFonts w:ascii="Times New Roman" w:eastAsia="Times New Roman" w:hAnsi="Times New Roman" w:cs="Times New Roman"/>
          <w:i/>
          <w:iCs/>
          <w:color w:val="000000"/>
          <w:sz w:val="24"/>
          <w:szCs w:val="24"/>
          <w:lang/>
        </w:rPr>
        <w:t>{Абзац третій пункту 32 підрозділу 2 розділу XX із змінами, внесеними згідно із Законом </w:t>
      </w:r>
      <w:hyperlink r:id="rId5463" w:anchor="n9" w:tgtFrame="_blank" w:history="1">
        <w:r w:rsidRPr="008B264B">
          <w:rPr>
            <w:rFonts w:ascii="Times New Roman" w:eastAsia="Times New Roman" w:hAnsi="Times New Roman" w:cs="Times New Roman"/>
            <w:i/>
            <w:iCs/>
            <w:color w:val="0000FF"/>
            <w:sz w:val="24"/>
            <w:szCs w:val="24"/>
            <w:u w:val="single"/>
            <w:lang/>
          </w:rPr>
          <w:t>№ 2463-VIII від 19.06.2018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травня 2018 року}</w:t>
      </w:r>
    </w:p>
    <w:p w14:paraId="506E66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5" w:name="n9998"/>
      <w:bookmarkEnd w:id="9895"/>
      <w:r w:rsidRPr="008B264B">
        <w:rPr>
          <w:rFonts w:ascii="Times New Roman" w:eastAsia="Times New Roman" w:hAnsi="Times New Roman" w:cs="Times New Roman"/>
          <w:color w:val="000000"/>
          <w:sz w:val="24"/>
          <w:szCs w:val="24"/>
          <w:lang/>
        </w:rPr>
        <w:t>лікарських засобів та медичних виробів без державної реєстрації та дозвільних документів щодо можливості ввезення на митну територію України, що призначені для використання закладами охорони здоров’я, учасниками антитерористичної операції, особами, що беруть участь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для надання медичної допомоги фізичним особам, які у період проведення антитерористичної операції та/або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та/або запровадження воєнного стану відповідно до законодавства зазнали поранення, контузії чи іншого ушкодження здоров’я, за переліком та в обсягах, встановлених Кабінетом Міністрів України;</w:t>
      </w:r>
    </w:p>
    <w:p w14:paraId="366273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6" w:name="n15132"/>
      <w:bookmarkEnd w:id="9896"/>
      <w:r w:rsidRPr="008B264B">
        <w:rPr>
          <w:rFonts w:ascii="Times New Roman" w:eastAsia="Times New Roman" w:hAnsi="Times New Roman" w:cs="Times New Roman"/>
          <w:i/>
          <w:iCs/>
          <w:color w:val="000000"/>
          <w:sz w:val="24"/>
          <w:szCs w:val="24"/>
          <w:lang/>
        </w:rPr>
        <w:t>{Абзац четвертий пункту 32 підрозділу 2 розділу XX із змінами, внесеними згідно із Законом </w:t>
      </w:r>
      <w:hyperlink r:id="rId5464" w:anchor="n9" w:tgtFrame="_blank" w:history="1">
        <w:r w:rsidRPr="008B264B">
          <w:rPr>
            <w:rFonts w:ascii="Times New Roman" w:eastAsia="Times New Roman" w:hAnsi="Times New Roman" w:cs="Times New Roman"/>
            <w:i/>
            <w:iCs/>
            <w:color w:val="0000FF"/>
            <w:sz w:val="24"/>
            <w:szCs w:val="24"/>
            <w:u w:val="single"/>
            <w:lang/>
          </w:rPr>
          <w:t>№ 2463-VIII від 19.06.2018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травня 2018 року}</w:t>
      </w:r>
    </w:p>
    <w:p w14:paraId="79F28B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7" w:name="n10269"/>
      <w:bookmarkEnd w:id="9897"/>
      <w:r w:rsidRPr="008B264B">
        <w:rPr>
          <w:rFonts w:ascii="Times New Roman" w:eastAsia="Times New Roman" w:hAnsi="Times New Roman" w:cs="Times New Roman"/>
          <w:color w:val="000000"/>
          <w:sz w:val="24"/>
          <w:szCs w:val="24"/>
          <w:lang/>
        </w:rPr>
        <w:lastRenderedPageBreak/>
        <w:t>продукції оборонного призначення, визначеної такою згідно з </w:t>
      </w:r>
      <w:hyperlink r:id="rId5465" w:tgtFrame="_blank" w:history="1">
        <w:r w:rsidRPr="008B264B">
          <w:rPr>
            <w:rFonts w:ascii="Times New Roman" w:eastAsia="Times New Roman" w:hAnsi="Times New Roman" w:cs="Times New Roman"/>
            <w:color w:val="0000FF"/>
            <w:sz w:val="24"/>
            <w:szCs w:val="24"/>
            <w:u w:val="single"/>
            <w:lang/>
          </w:rPr>
          <w:t>пунктом 9</w:t>
        </w:r>
      </w:hyperlink>
      <w:r w:rsidRPr="008B264B">
        <w:rPr>
          <w:rFonts w:ascii="Times New Roman" w:eastAsia="Times New Roman" w:hAnsi="Times New Roman" w:cs="Times New Roman"/>
          <w:color w:val="000000"/>
          <w:sz w:val="24"/>
          <w:szCs w:val="24"/>
          <w:lang/>
        </w:rPr>
        <w:t> статті 1 Закону України "Про державне оборонне замовлення", що класифікується за такими групами, товарними позиціями та підкатегоріями </w:t>
      </w:r>
      <w:hyperlink r:id="rId5466"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68CDD1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898" w:name="n10277"/>
      <w:bookmarkEnd w:id="9898"/>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67"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bookmarkStart w:id="9899" w:name="n10270"/>
    <w:bookmarkEnd w:id="9899"/>
    <w:p w14:paraId="3AF1FD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"https://zakon.rada.gov.ua/laws/show/584%D0%B0-18" \l "n922"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3601</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3602; 3603 (тільки для ударних капсулів, детонаторів, що використовуються в оборонних цілях), 3604 90 00 00 (тільки для освітлювальних та сигнальних ракет, що використовуються в оборонних цілях); </w:t>
      </w:r>
    </w:p>
    <w:p w14:paraId="709979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0" w:name="n10278"/>
      <w:bookmarkEnd w:id="9900"/>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68"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bookmarkStart w:id="9901" w:name="n15395"/>
    <w:bookmarkEnd w:id="9901"/>
    <w:p w14:paraId="4AC76A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"https://zakon.rada.gov.ua/laws/show/584%D0%B1-18" \l "n257"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8525 60 00 00</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8529 90 20 00 (тільки для апаратури для передачі та приймання голосу, зображень та іншої інформації, включаючи апаратуру для комунікації в мережі дротового або бездротового зв’язку, апаратури прослуховування направленої дії, радіостанцій ультракороткохвильового і короткохвильового діапазону військового призначення, розвідувально-сигнальної апаратури, їх частин і приладдя, у разі якщо постачання (закупівля) таких товарів здійснюється для державних замовників з оборонного замовлення);</w:t>
      </w:r>
    </w:p>
    <w:p w14:paraId="5F4426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2" w:name="n15394"/>
      <w:bookmarkEnd w:id="9902"/>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69" w:anchor="n66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bookmarkStart w:id="9903" w:name="n10271"/>
    <w:bookmarkEnd w:id="9903"/>
    <w:p w14:paraId="547433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"https://zakon.rada.gov.ua/laws/show/584%D0%B1-18" \l "n339"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8702-8705</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(тільки для пасажирських та вантажних автомобілів звичайного типу, що використовуються в оборонних цілях та мають легку броню або обладнані з’ємною бронею);</w:t>
      </w:r>
    </w:p>
    <w:p w14:paraId="08D8A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4" w:name="n10279"/>
      <w:bookmarkEnd w:id="9904"/>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0"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p w14:paraId="7B14FC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5" w:name="n10272"/>
      <w:bookmarkEnd w:id="9905"/>
      <w:r w:rsidRPr="008B264B">
        <w:rPr>
          <w:rFonts w:ascii="Times New Roman" w:eastAsia="Times New Roman" w:hAnsi="Times New Roman" w:cs="Times New Roman"/>
          <w:color w:val="000000"/>
          <w:sz w:val="24"/>
          <w:szCs w:val="24"/>
          <w:lang/>
        </w:rPr>
        <w:t>8710 00 00 00;</w:t>
      </w:r>
    </w:p>
    <w:p w14:paraId="6F3818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6" w:name="n10280"/>
      <w:bookmarkEnd w:id="9906"/>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1"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bookmarkStart w:id="9907" w:name="n10273"/>
    <w:bookmarkEnd w:id="9907"/>
    <w:p w14:paraId="560C9D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"https://zakon.rada.gov.ua/laws/show/584%D0%B1-18" \l "n352"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8802</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8803 (тільки для безпілотних літальних апаратів з озброєнням чи без озброєння, що використовуються в оборонних цілях, їх частини);</w:t>
      </w:r>
    </w:p>
    <w:p w14:paraId="3D0CBE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8" w:name="n10281"/>
      <w:bookmarkEnd w:id="9908"/>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2"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p w14:paraId="2CF3D4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09" w:name="n10274"/>
      <w:bookmarkEnd w:id="9909"/>
      <w:r w:rsidRPr="008B264B">
        <w:rPr>
          <w:rFonts w:ascii="Times New Roman" w:eastAsia="Times New Roman" w:hAnsi="Times New Roman" w:cs="Times New Roman"/>
          <w:color w:val="000000"/>
          <w:sz w:val="24"/>
          <w:szCs w:val="24"/>
          <w:lang/>
        </w:rPr>
        <w:t>8804 (тільки для парашутів та інших пристроїв, призначених для десантування військовослужбовців та/або військової техніки);</w:t>
      </w:r>
    </w:p>
    <w:p w14:paraId="21362E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0" w:name="n10282"/>
      <w:bookmarkEnd w:id="9910"/>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3"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bookmarkStart w:id="9911" w:name="n10275"/>
    <w:bookmarkEnd w:id="9911"/>
    <w:p w14:paraId="36A2F9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"https://zakon.rada.gov.ua/laws/show/584%D0%B1-18" \l "n3"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групи 90</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(тільки для біноклів, приладів нічного бачення, тепловізорів, захисних окулярів та аналогічних оптичних виробів, телескопічних прицілів та інших оптичних пристроїв для військової зброї, якщо вони не поставлені разом із військовою зброєю, для якої вони призначені, інші оптичні, навігаційні та топографічні прилади та інструменти, що використовуються в оборонних цілях);</w:t>
      </w:r>
    </w:p>
    <w:p w14:paraId="25545A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2" w:name="n10283"/>
      <w:bookmarkEnd w:id="9912"/>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4"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bookmarkStart w:id="9913" w:name="n10276"/>
    <w:bookmarkEnd w:id="9913"/>
    <w:p w14:paraId="30293D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"https://zakon.rada.gov.ua/laws/show/584%D0%B1-18" \l "n427"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групи 93</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крім включених до товарних позицій 9303-9304, а також 9305 (тільки призначених для виробів товарних позицій 9303-9304), 9306 90 90 00 та 9307.</w:t>
      </w:r>
    </w:p>
    <w:p w14:paraId="39285C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4" w:name="n10284"/>
      <w:bookmarkEnd w:id="9914"/>
      <w:r w:rsidRPr="008B264B">
        <w:rPr>
          <w:rFonts w:ascii="Times New Roman" w:eastAsia="Times New Roman" w:hAnsi="Times New Roman" w:cs="Times New Roman"/>
          <w:i/>
          <w:iCs/>
          <w:color w:val="000000"/>
          <w:sz w:val="24"/>
          <w:szCs w:val="24"/>
          <w:lang/>
        </w:rPr>
        <w:t>{Пункт 32 підрозділу 2 розділу XX доповнено абзацом згідно із Законом </w:t>
      </w:r>
      <w:hyperlink r:id="rId5475"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w:t>
      </w:r>
    </w:p>
    <w:p w14:paraId="5C61D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5" w:name="n12318"/>
      <w:bookmarkEnd w:id="9915"/>
      <w:r w:rsidRPr="008B264B">
        <w:rPr>
          <w:rFonts w:ascii="Times New Roman" w:eastAsia="Times New Roman" w:hAnsi="Times New Roman" w:cs="Times New Roman"/>
          <w:i/>
          <w:iCs/>
          <w:color w:val="000000"/>
          <w:sz w:val="24"/>
          <w:szCs w:val="24"/>
          <w:lang/>
        </w:rPr>
        <w:lastRenderedPageBreak/>
        <w:t>{Доповнення, внесені Законом </w:t>
      </w:r>
      <w:hyperlink r:id="rId5476" w:anchor="n5" w:tgtFrame="_blank" w:history="1">
        <w:r w:rsidRPr="008B264B">
          <w:rPr>
            <w:rFonts w:ascii="Times New Roman" w:eastAsia="Times New Roman" w:hAnsi="Times New Roman" w:cs="Times New Roman"/>
            <w:i/>
            <w:iCs/>
            <w:color w:val="0000FF"/>
            <w:sz w:val="24"/>
            <w:szCs w:val="24"/>
            <w:u w:val="single"/>
            <w:lang/>
          </w:rPr>
          <w:t>№ 1658-VII від 02.09.2014</w:t>
        </w:r>
      </w:hyperlink>
      <w:r w:rsidRPr="008B264B">
        <w:rPr>
          <w:rFonts w:ascii="Times New Roman" w:eastAsia="Times New Roman" w:hAnsi="Times New Roman" w:cs="Times New Roman"/>
          <w:i/>
          <w:iCs/>
          <w:color w:val="000000"/>
          <w:sz w:val="24"/>
          <w:szCs w:val="24"/>
          <w:lang/>
        </w:rPr>
        <w:t>, не поширюються на продукцію оборонного призначення, яка має походження з країни, визнаної державою - окупантом згідно із законом України та/або визнаною державою - агресором по відношенню до України згідно із законодавством, або ввозиться з території такої держави - окупанта (агресора), та/або з окупованої території України, визначеною такою згідно із законом України, згідно з </w:t>
      </w:r>
      <w:hyperlink r:id="rId5477" w:anchor="n14" w:tgtFrame="_blank" w:history="1">
        <w:r w:rsidRPr="008B264B">
          <w:rPr>
            <w:rFonts w:ascii="Times New Roman" w:eastAsia="Times New Roman" w:hAnsi="Times New Roman" w:cs="Times New Roman"/>
            <w:i/>
            <w:iCs/>
            <w:color w:val="0000FF"/>
            <w:sz w:val="24"/>
            <w:szCs w:val="24"/>
            <w:u w:val="single"/>
            <w:lang/>
          </w:rPr>
          <w:t>пунктом 2</w:t>
        </w:r>
      </w:hyperlink>
      <w:r w:rsidRPr="008B264B">
        <w:rPr>
          <w:rFonts w:ascii="Times New Roman" w:eastAsia="Times New Roman" w:hAnsi="Times New Roman" w:cs="Times New Roman"/>
          <w:i/>
          <w:iCs/>
          <w:color w:val="000000"/>
          <w:sz w:val="24"/>
          <w:szCs w:val="24"/>
          <w:lang/>
        </w:rPr>
        <w:t> Закону № 1658-VII від 02.09.2014}</w:t>
      </w:r>
    </w:p>
    <w:p w14:paraId="30B550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6" w:name="n9994"/>
      <w:bookmarkEnd w:id="9916"/>
      <w:r w:rsidRPr="008B264B">
        <w:rPr>
          <w:rFonts w:ascii="Times New Roman" w:eastAsia="Times New Roman" w:hAnsi="Times New Roman" w:cs="Times New Roman"/>
          <w:i/>
          <w:iCs/>
          <w:color w:val="000000"/>
          <w:sz w:val="24"/>
          <w:szCs w:val="24"/>
          <w:lang/>
        </w:rPr>
        <w:t>{Підрозділ 2 розділу XX доповнено пунктом 32 згідно із Законом </w:t>
      </w:r>
      <w:hyperlink r:id="rId5478" w:anchor="n5" w:tgtFrame="_blank" w:history="1">
        <w:r w:rsidRPr="008B264B">
          <w:rPr>
            <w:rFonts w:ascii="Times New Roman" w:eastAsia="Times New Roman" w:hAnsi="Times New Roman" w:cs="Times New Roman"/>
            <w:i/>
            <w:iCs/>
            <w:color w:val="0000FF"/>
            <w:sz w:val="24"/>
            <w:szCs w:val="24"/>
            <w:u w:val="single"/>
            <w:lang/>
          </w:rPr>
          <w:t>№ 1561-VII від 01.07.2014</w:t>
        </w:r>
      </w:hyperlink>
      <w:r w:rsidRPr="008B264B">
        <w:rPr>
          <w:rFonts w:ascii="Times New Roman" w:eastAsia="Times New Roman" w:hAnsi="Times New Roman" w:cs="Times New Roman"/>
          <w:i/>
          <w:iCs/>
          <w:color w:val="000000"/>
          <w:sz w:val="24"/>
          <w:szCs w:val="24"/>
          <w:lang/>
        </w:rPr>
        <w:t>}</w:t>
      </w:r>
    </w:p>
    <w:p w14:paraId="36D889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7" w:name="n12115"/>
      <w:bookmarkEnd w:id="9917"/>
      <w:r w:rsidRPr="008B264B">
        <w:rPr>
          <w:rFonts w:ascii="Times New Roman" w:eastAsia="Times New Roman" w:hAnsi="Times New Roman" w:cs="Times New Roman"/>
          <w:color w:val="000000"/>
          <w:sz w:val="24"/>
          <w:szCs w:val="24"/>
          <w:lang/>
        </w:rPr>
        <w:t>33. За вибором платника податку, який він відображає у заяві, що подається у складі податкової декларації, непогашені залишки сум податку на додану вартість, що були заявлені платниками податку до бюджетного відшкодування за звітні (податкові) періоди до 1 лютого 2015 року, задекларовані до бюджетного відшкодування за звітні (податкові) періоди до 1 лютого 2015 року в рахунок зменшення податкових зобов’язань з податку на додану вартість наступних звітних (податкових) періодів, від’ємне значення суми, розрахованої згідно з </w:t>
      </w:r>
      <w:hyperlink r:id="rId5479" w:anchor="n4988" w:history="1">
        <w:r w:rsidRPr="008B264B">
          <w:rPr>
            <w:rFonts w:ascii="Times New Roman" w:eastAsia="Times New Roman" w:hAnsi="Times New Roman" w:cs="Times New Roman"/>
            <w:color w:val="0000FF"/>
            <w:sz w:val="24"/>
            <w:szCs w:val="24"/>
            <w:u w:val="single"/>
            <w:lang/>
          </w:rPr>
          <w:t>пунктом 200.1</w:t>
        </w:r>
      </w:hyperlink>
      <w:r w:rsidRPr="008B264B">
        <w:rPr>
          <w:rFonts w:ascii="Times New Roman" w:eastAsia="Times New Roman" w:hAnsi="Times New Roman" w:cs="Times New Roman"/>
          <w:color w:val="000000"/>
          <w:sz w:val="24"/>
          <w:szCs w:val="24"/>
          <w:lang/>
        </w:rPr>
        <w:t> статті 200 цього Кодексу, та залишок від’ємного значення попередніх звітних (податкових) періодів після бюджетного відшкодування, задекларовані платниками податку за звітні (податкові) періоди до 1 лютого 2015 року:</w:t>
      </w:r>
    </w:p>
    <w:p w14:paraId="2C154B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8" w:name="n12116"/>
      <w:bookmarkEnd w:id="9918"/>
      <w:r w:rsidRPr="008B264B">
        <w:rPr>
          <w:rFonts w:ascii="Times New Roman" w:eastAsia="Times New Roman" w:hAnsi="Times New Roman" w:cs="Times New Roman"/>
          <w:color w:val="000000"/>
          <w:sz w:val="24"/>
          <w:szCs w:val="24"/>
          <w:lang/>
        </w:rPr>
        <w:t>а) або без проведення перевірок, передбачених </w:t>
      </w:r>
      <w:hyperlink r:id="rId5480"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 збільшують розмір суми податку, на яку платник має право зареєструвати податкові накладні/розрахунки коригування до податкових накладних в Єдиному реєстрі податкових накладних, визначену </w:t>
      </w:r>
      <w:hyperlink r:id="rId5481" w:anchor="n11312" w:history="1">
        <w:r w:rsidRPr="008B264B">
          <w:rPr>
            <w:rFonts w:ascii="Times New Roman" w:eastAsia="Times New Roman" w:hAnsi="Times New Roman" w:cs="Times New Roman"/>
            <w:color w:val="0000FF"/>
            <w:sz w:val="24"/>
            <w:szCs w:val="24"/>
            <w:u w:val="single"/>
            <w:lang/>
          </w:rPr>
          <w:t>пунктом 200</w:t>
        </w:r>
      </w:hyperlink>
      <w:hyperlink r:id="rId5482"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483"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 одночасним збільшенням розміру суми податкового кредиту у податковій декларації за звітний (податковий) період, в якому було здійснено таке збільшення.</w:t>
      </w:r>
    </w:p>
    <w:p w14:paraId="4800B6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19" w:name="n12117"/>
      <w:bookmarkEnd w:id="9919"/>
      <w:r w:rsidRPr="008B264B">
        <w:rPr>
          <w:rFonts w:ascii="Times New Roman" w:eastAsia="Times New Roman" w:hAnsi="Times New Roman" w:cs="Times New Roman"/>
          <w:color w:val="000000"/>
          <w:sz w:val="24"/>
          <w:szCs w:val="24"/>
          <w:lang/>
        </w:rPr>
        <w:t>Суми такого від’ємного значення та/або бюджетного відшкодування можуть бути перевірені контролюючим органом у загальновстановленому порядку;</w:t>
      </w:r>
    </w:p>
    <w:p w14:paraId="5E7252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0" w:name="n12118"/>
      <w:bookmarkEnd w:id="9920"/>
      <w:r w:rsidRPr="008B264B">
        <w:rPr>
          <w:rFonts w:ascii="Times New Roman" w:eastAsia="Times New Roman" w:hAnsi="Times New Roman" w:cs="Times New Roman"/>
          <w:color w:val="000000"/>
          <w:sz w:val="24"/>
          <w:szCs w:val="24"/>
          <w:lang/>
        </w:rPr>
        <w:t>б) або підлягають поверненню платнику у порядку, визначеному </w:t>
      </w:r>
      <w:hyperlink r:id="rId5484"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Кодексу у редакції, що діяла станом на 31 грудня 2014 року.</w:t>
      </w:r>
    </w:p>
    <w:p w14:paraId="62C6A7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1" w:name="n12964"/>
      <w:bookmarkEnd w:id="9921"/>
      <w:r w:rsidRPr="008B264B">
        <w:rPr>
          <w:rFonts w:ascii="Times New Roman" w:eastAsia="Times New Roman" w:hAnsi="Times New Roman" w:cs="Times New Roman"/>
          <w:i/>
          <w:iCs/>
          <w:color w:val="000000"/>
          <w:sz w:val="24"/>
          <w:szCs w:val="24"/>
          <w:lang/>
        </w:rPr>
        <w:t>{Абзац четвертий пункту 33 підрозділу 2 розділу XX із змінами, внесеними згідно із Законом </w:t>
      </w:r>
      <w:hyperlink r:id="rId5485" w:anchor="n66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7A107F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2" w:name="n12133"/>
      <w:bookmarkEnd w:id="9922"/>
      <w:r w:rsidRPr="008B264B">
        <w:rPr>
          <w:rFonts w:ascii="Times New Roman" w:eastAsia="Times New Roman" w:hAnsi="Times New Roman" w:cs="Times New Roman"/>
          <w:i/>
          <w:iCs/>
          <w:color w:val="000000"/>
          <w:sz w:val="24"/>
          <w:szCs w:val="24"/>
          <w:lang/>
        </w:rPr>
        <w:t>{Підрозділ 2 розділу XX доповнено пунктом 33 згідно із Законом </w:t>
      </w:r>
      <w:hyperlink r:id="rId5486"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F8E3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3" w:name="n12119"/>
      <w:bookmarkEnd w:id="9923"/>
      <w:r w:rsidRPr="008B264B">
        <w:rPr>
          <w:rFonts w:ascii="Times New Roman" w:eastAsia="Times New Roman" w:hAnsi="Times New Roman" w:cs="Times New Roman"/>
          <w:color w:val="000000"/>
          <w:sz w:val="24"/>
          <w:szCs w:val="24"/>
          <w:lang/>
        </w:rPr>
        <w:t>34. Встановити, що станом на третій робочий день після дати набрання чинності Законом України "Про внесення змін до Податкового кодексу України щодо удосконалення адміністрування податку на додану вартість" зареєстрованим платникам податку значення суми податку (позитивне або від’ємне), на яку такий платник має право зареєструвати податкові накладні/розрахунки коригування до податкових накладних в Єдиному реєстрі податкових накладних, визначене пунктом </w:t>
      </w:r>
      <w:hyperlink r:id="rId5487" w:anchor="n11312" w:history="1">
        <w:r w:rsidRPr="008B264B">
          <w:rPr>
            <w:rFonts w:ascii="Times New Roman" w:eastAsia="Times New Roman" w:hAnsi="Times New Roman" w:cs="Times New Roman"/>
            <w:color w:val="0000FF"/>
            <w:sz w:val="24"/>
            <w:szCs w:val="24"/>
            <w:u w:val="single"/>
            <w:lang/>
          </w:rPr>
          <w:t>200</w:t>
        </w:r>
      </w:hyperlink>
      <w:hyperlink r:id="rId5488"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489"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та значення усіх її складових, визначених цим Кодексом, дорівнюють нулю, крім значень її складових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НаклОтр</w:t>
      </w:r>
      <w:r w:rsidRPr="008B264B">
        <w:rPr>
          <w:rFonts w:ascii="Times New Roman" w:eastAsia="Times New Roman" w:hAnsi="Times New Roman" w:cs="Times New Roman"/>
          <w:color w:val="000000"/>
          <w:sz w:val="24"/>
          <w:szCs w:val="24"/>
          <w:lang/>
        </w:rPr>
        <w:t>,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НаклВид</w:t>
      </w:r>
      <w:r w:rsidRPr="008B264B">
        <w:rPr>
          <w:rFonts w:ascii="Times New Roman" w:eastAsia="Times New Roman" w:hAnsi="Times New Roman" w:cs="Times New Roman"/>
          <w:color w:val="000000"/>
          <w:sz w:val="24"/>
          <w:szCs w:val="24"/>
          <w:lang/>
        </w:rPr>
        <w:t> та </w:t>
      </w:r>
      <w:r w:rsidRPr="008B264B">
        <w:rPr>
          <w:rFonts w:ascii="Arial Unicode MS" w:eastAsia="Times New Roman" w:hAnsi="Arial Unicode MS" w:cs="Times New Roman"/>
          <w:b/>
          <w:bCs/>
          <w:color w:val="000000"/>
          <w:sz w:val="24"/>
          <w:szCs w:val="24"/>
          <w:lang/>
        </w:rPr>
        <w:t>Σ</w:t>
      </w:r>
      <w:r w:rsidRPr="008B264B">
        <w:rPr>
          <w:rFonts w:ascii="Times New Roman" w:eastAsia="Times New Roman" w:hAnsi="Times New Roman" w:cs="Times New Roman"/>
          <w:b/>
          <w:bCs/>
          <w:color w:val="000000"/>
          <w:sz w:val="16"/>
          <w:szCs w:val="16"/>
          <w:vertAlign w:val="subscript"/>
          <w:lang/>
        </w:rPr>
        <w:t>Митн</w:t>
      </w:r>
      <w:r w:rsidRPr="008B264B">
        <w:rPr>
          <w:rFonts w:ascii="Times New Roman" w:eastAsia="Times New Roman" w:hAnsi="Times New Roman" w:cs="Times New Roman"/>
          <w:color w:val="000000"/>
          <w:sz w:val="24"/>
          <w:szCs w:val="24"/>
          <w:lang/>
        </w:rPr>
        <w:t>, що були сформовані починаючи з 1 липня 2015 року. Зареєстрованим платникам податку таке значення автоматично збільшується контролюючим органом:</w:t>
      </w:r>
    </w:p>
    <w:p w14:paraId="182E9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4" w:name="n12452"/>
      <w:bookmarkEnd w:id="9924"/>
      <w:r w:rsidRPr="008B264B">
        <w:rPr>
          <w:rFonts w:ascii="Times New Roman" w:eastAsia="Times New Roman" w:hAnsi="Times New Roman" w:cs="Times New Roman"/>
          <w:color w:val="000000"/>
          <w:sz w:val="24"/>
          <w:szCs w:val="24"/>
          <w:lang/>
        </w:rPr>
        <w:t>1) на суму середньомісячного розміру сум податку, які за останні 12 звітних (податкових) місяців (червень 2014 року - травень 2015 року) / 4 квартали (II квартал 2014 року - I квартал 2015 року) були задекларовані платником до сплати до бюджету та погашені чи розстрочені або відстрочені, а також задекларовані як такі, що спрямовуються на спеціальний рахунок платника - сільськогосподарського підприємства, що обрав спеціальний режим відповідно до </w:t>
      </w:r>
      <w:hyperlink r:id="rId5490"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Платникам податку, які станом на 1 липня 2015 року зареєстровані платниками податку на додану вартість:</w:t>
      </w:r>
    </w:p>
    <w:p w14:paraId="4F4B74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5" w:name="n12453"/>
      <w:bookmarkEnd w:id="9925"/>
      <w:r w:rsidRPr="008B264B">
        <w:rPr>
          <w:rFonts w:ascii="Times New Roman" w:eastAsia="Times New Roman" w:hAnsi="Times New Roman" w:cs="Times New Roman"/>
          <w:color w:val="000000"/>
          <w:sz w:val="24"/>
          <w:szCs w:val="24"/>
          <w:lang/>
        </w:rPr>
        <w:t>більше ніж 12 звітних (податкових) місяців / 4 квартали - таке збільшення здійснюється протягом третього робочого дня після дати набрання чинності Законом України "Про внесення змін до Податкового кодексу України щодо удосконалення адміністрування податку на додану вартість";</w:t>
      </w:r>
    </w:p>
    <w:p w14:paraId="1CD38D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6" w:name="n12454"/>
      <w:bookmarkEnd w:id="9926"/>
      <w:r w:rsidRPr="008B264B">
        <w:rPr>
          <w:rFonts w:ascii="Times New Roman" w:eastAsia="Times New Roman" w:hAnsi="Times New Roman" w:cs="Times New Roman"/>
          <w:color w:val="000000"/>
          <w:sz w:val="24"/>
          <w:szCs w:val="24"/>
          <w:lang/>
        </w:rPr>
        <w:lastRenderedPageBreak/>
        <w:t>менше ніж 12 звітних (податкових) місяців / 4 квартали, а також платникам, зареєстрованим платниками податку на додану вартість після 1 липня 2015 року, - таке збільшення здійснюється протягом першого числа кварталу, що настає за кварталом, в якому строк такої реєстрації досягає 12 звітних (податкових) місяців / 4 квартали.</w:t>
      </w:r>
    </w:p>
    <w:p w14:paraId="7AEF5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7" w:name="n12120"/>
      <w:bookmarkEnd w:id="9927"/>
      <w:r w:rsidRPr="008B264B">
        <w:rPr>
          <w:rFonts w:ascii="Times New Roman" w:eastAsia="Times New Roman" w:hAnsi="Times New Roman" w:cs="Times New Roman"/>
          <w:color w:val="000000"/>
          <w:sz w:val="24"/>
          <w:szCs w:val="24"/>
          <w:lang/>
        </w:rPr>
        <w:t>Така сума збільшення щокварталу (протягом першого числа відповідного кварталу) підлягає автоматичному перерахунку з урахуванням показника середньомісячного розміру сум податку, які за останні 12 звітних (податкових) місяців / 4 квартали станом на дату такого перерахунку були задекларовані платником до сплати до бюджету та погашені чи розстрочені або відстрочені, а також задекларовані як такі, що спрямовуються на спеціальний рахунок платника - сільськогосподарського підприємства, що обрав спеціальний режим відповідно до </w:t>
      </w:r>
      <w:hyperlink r:id="rId5491"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чи залишаються у розпорядженні сільськогосподарського підприємства відповідно до </w:t>
      </w:r>
      <w:hyperlink r:id="rId5492" w:anchor="n5370" w:history="1">
        <w:r w:rsidRPr="008B264B">
          <w:rPr>
            <w:rFonts w:ascii="Times New Roman" w:eastAsia="Times New Roman" w:hAnsi="Times New Roman" w:cs="Times New Roman"/>
            <w:color w:val="0000FF"/>
            <w:sz w:val="24"/>
            <w:szCs w:val="24"/>
            <w:u w:val="single"/>
            <w:lang/>
          </w:rPr>
          <w:t>пункту 209.18</w:t>
        </w:r>
      </w:hyperlink>
      <w:r w:rsidRPr="008B264B">
        <w:rPr>
          <w:rFonts w:ascii="Times New Roman" w:eastAsia="Times New Roman" w:hAnsi="Times New Roman" w:cs="Times New Roman"/>
          <w:color w:val="000000"/>
          <w:sz w:val="24"/>
          <w:szCs w:val="24"/>
          <w:lang/>
        </w:rPr>
        <w:t> статті 209 цього Кодексу. Такий перерахунок здійснюється шляхом віднімання суми попереднього збільшення та додавання суми збільшення згідно з поточним перерахунком;</w:t>
      </w:r>
    </w:p>
    <w:p w14:paraId="4BF112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8" w:name="n12455"/>
      <w:bookmarkEnd w:id="9928"/>
      <w:r w:rsidRPr="008B264B">
        <w:rPr>
          <w:rFonts w:ascii="Times New Roman" w:eastAsia="Times New Roman" w:hAnsi="Times New Roman" w:cs="Times New Roman"/>
          <w:color w:val="000000"/>
          <w:sz w:val="24"/>
          <w:szCs w:val="24"/>
          <w:lang/>
        </w:rPr>
        <w:t>2) протягом третього робочого дня після дати набрання чинності </w:t>
      </w:r>
      <w:hyperlink r:id="rId5493"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щодо удосконалення адміністрування податку на додану вартість" на суму залишків коштів на рахунках платників у системі електронного адміністрування податку на додану вартість станом на початок такого дня за вирахуванням сум, заявлених платником у складі податкової звітності з податку за звітний (податковий) період за червень 2015 року до перерахування з електронного рахунку до бюджету в рахунок сплати податкових зобов’язань з податку та/або на поточний рахунок платника відповідно до </w:t>
      </w:r>
      <w:hyperlink r:id="rId5494" w:anchor="n11325" w:history="1">
        <w:r w:rsidRPr="008B264B">
          <w:rPr>
            <w:rFonts w:ascii="Times New Roman" w:eastAsia="Times New Roman" w:hAnsi="Times New Roman" w:cs="Times New Roman"/>
            <w:color w:val="0000FF"/>
            <w:sz w:val="24"/>
            <w:szCs w:val="24"/>
            <w:u w:val="single"/>
            <w:lang/>
          </w:rPr>
          <w:t>пункту 200</w:t>
        </w:r>
      </w:hyperlink>
      <w:hyperlink r:id="rId5495" w:anchor="n11325"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496" w:anchor="n11325" w:history="1">
        <w:r w:rsidRPr="008B264B">
          <w:rPr>
            <w:rFonts w:ascii="Times New Roman" w:eastAsia="Times New Roman" w:hAnsi="Times New Roman" w:cs="Times New Roman"/>
            <w:color w:val="0000FF"/>
            <w:sz w:val="24"/>
            <w:szCs w:val="24"/>
            <w:u w:val="single"/>
            <w:lang/>
          </w:rPr>
          <w:t>.6</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До 31 липня 2015 року/20 серпня 2015 року сума, на яку платник має право зареєструвати податкові накладні/розрахунки коригування в Єдиному реєстрі податкових накладних, зменшується на суму податкових зобов’язань, задекларованих за звітний (податковий) період за червень 2015 року/II квартал 2015 року;</w:t>
      </w:r>
    </w:p>
    <w:p w14:paraId="7A4E2E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29" w:name="n12456"/>
      <w:bookmarkEnd w:id="9929"/>
      <w:r w:rsidRPr="008B264B">
        <w:rPr>
          <w:rFonts w:ascii="Times New Roman" w:eastAsia="Times New Roman" w:hAnsi="Times New Roman" w:cs="Times New Roman"/>
          <w:color w:val="000000"/>
          <w:sz w:val="24"/>
          <w:szCs w:val="24"/>
          <w:lang/>
        </w:rPr>
        <w:t>3) протягом 10 календарних днів після дати набрання чинності </w:t>
      </w:r>
      <w:hyperlink r:id="rId5497"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щодо удосконалення адміністрування податку на додану вартість" на суму помилково та/або надміру сплачених грошових зобов’язань з податку на додану вартість станом на 1 липня 2015 року. На суму такого збільшення одноразово:</w:t>
      </w:r>
    </w:p>
    <w:p w14:paraId="24626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0" w:name="n12457"/>
      <w:bookmarkEnd w:id="9930"/>
      <w:r w:rsidRPr="008B264B">
        <w:rPr>
          <w:rFonts w:ascii="Times New Roman" w:eastAsia="Times New Roman" w:hAnsi="Times New Roman" w:cs="Times New Roman"/>
          <w:color w:val="000000"/>
          <w:sz w:val="24"/>
          <w:szCs w:val="24"/>
          <w:lang/>
        </w:rPr>
        <w:t>а) якщо за результатами звітного (податкового) періоду за червень 2015 року / II квартал 2015 року платником податку задекларовано суми податку на додану вартість до сплати до бюджету, - зменшується контролюючим органом в інформаційній системі показників стану розрахунку платників інформаційної бази контролюючого органу така сума, задекларована до сплати до бюджету за результатами звітного (податкового) періоду за червень 2015 року / II квартал 2015 року, з одночасним зменшенням суми податку, що підлягає перерахуванню з рахунку платника в системі електронного адміністрування податку до бюджету, що зазначається у реєстрі, на підставі якого орган, що здійснює казначейське обслуговування бюджетних коштів, в якому відкриті рахунки платників у системі електронного адміністрування податку на додану вартість, здійснює таке перерахування;</w:t>
      </w:r>
    </w:p>
    <w:p w14:paraId="6E5AC6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1" w:name="n12458"/>
      <w:bookmarkEnd w:id="9931"/>
      <w:r w:rsidRPr="008B264B">
        <w:rPr>
          <w:rFonts w:ascii="Times New Roman" w:eastAsia="Times New Roman" w:hAnsi="Times New Roman" w:cs="Times New Roman"/>
          <w:color w:val="000000"/>
          <w:sz w:val="24"/>
          <w:szCs w:val="24"/>
          <w:lang/>
        </w:rPr>
        <w:t>б) якщо за результатами звітного (податкового) періоду за червень 2015 року / II квартал 2015 року платником податку задекларовано суми податку на додану вартість до сплати до бюджету в розмірі, що є меншим ніж сума помилково та/або надміру сплачених грошових зобов’язань з податку на додану вартість станом на 1 липня 2015 року або задекларовано від’ємне значення податку, - збільшується платником податку сума від’ємного значення, сформована за результатами звітного (податкового) періоду за липень 2015 року / III квартал 2015 року, яка переноситься до податкової звітності з податку звітного (податкового) періоду за серпень 2015 року / IV квартал 2015 року.</w:t>
      </w:r>
    </w:p>
    <w:p w14:paraId="2B7480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2" w:name="n12121"/>
      <w:bookmarkEnd w:id="9932"/>
      <w:r w:rsidRPr="008B264B">
        <w:rPr>
          <w:rFonts w:ascii="Times New Roman" w:eastAsia="Times New Roman" w:hAnsi="Times New Roman" w:cs="Times New Roman"/>
          <w:color w:val="000000"/>
          <w:sz w:val="24"/>
          <w:szCs w:val="24"/>
          <w:lang/>
        </w:rPr>
        <w:t>Помилково та/або надміру сплачені грошові зобов’язання з податку на додану вартість вважаються погашеними одночасно із збільшенням суми податку, на яку такий платник має право зареєструвати податкові накладні/розрахунки коригування до податкових накладних в Єдиному реєстрі податкових накладних, визначеної </w:t>
      </w:r>
      <w:hyperlink r:id="rId5498" w:anchor="n11312" w:history="1">
        <w:r w:rsidRPr="008B264B">
          <w:rPr>
            <w:rFonts w:ascii="Times New Roman" w:eastAsia="Times New Roman" w:hAnsi="Times New Roman" w:cs="Times New Roman"/>
            <w:color w:val="0000FF"/>
            <w:sz w:val="24"/>
            <w:szCs w:val="24"/>
            <w:u w:val="single"/>
            <w:lang/>
          </w:rPr>
          <w:t>пунктом 200</w:t>
        </w:r>
      </w:hyperlink>
      <w:hyperlink r:id="rId5499"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00"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2F6A2D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3" w:name="n12122"/>
      <w:bookmarkEnd w:id="9933"/>
      <w:r w:rsidRPr="008B264B">
        <w:rPr>
          <w:rFonts w:ascii="Times New Roman" w:eastAsia="Times New Roman" w:hAnsi="Times New Roman" w:cs="Times New Roman"/>
          <w:color w:val="000000"/>
          <w:sz w:val="24"/>
          <w:szCs w:val="24"/>
          <w:lang/>
        </w:rPr>
        <w:lastRenderedPageBreak/>
        <w:t>4) до 31 липня 2015 року для платників податків, що застосовують звітний (податковий) період місяць, без проведення перевірок, передбачених </w:t>
      </w:r>
      <w:hyperlink r:id="rId5501"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 на суму від’ємного значення, що зараховується до складу податкового кредиту наступного звітного (податкового) періоду, та суму непогашеного від’ємного значення попередніх звітних (податкових) періодів на кінець поточного звітного (податкового) періоду, що зазначено в податковій звітності з податку на додану вартість, у якій відображаються розрахунки з бюджетом та/або відображаються операції, що стосуються спеціального режиму оподаткування відповідно до </w:t>
      </w:r>
      <w:hyperlink r:id="rId5502"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 червень 2015 року. На таку суму платником податку збільшується розмір суми податкового кредиту за звітний (податковий) період (липень 2015 року).</w:t>
      </w:r>
    </w:p>
    <w:p w14:paraId="176F2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4" w:name="n12123"/>
      <w:bookmarkEnd w:id="9934"/>
      <w:r w:rsidRPr="008B264B">
        <w:rPr>
          <w:rFonts w:ascii="Times New Roman" w:eastAsia="Times New Roman" w:hAnsi="Times New Roman" w:cs="Times New Roman"/>
          <w:color w:val="000000"/>
          <w:sz w:val="24"/>
          <w:szCs w:val="24"/>
          <w:lang/>
        </w:rPr>
        <w:t>Суми такого від’ємного значення можуть бути перевірені контролюючим органом у загальновстановленому порядку;</w:t>
      </w:r>
    </w:p>
    <w:p w14:paraId="1F4DAC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5" w:name="n12459"/>
      <w:bookmarkEnd w:id="9935"/>
      <w:r w:rsidRPr="008B264B">
        <w:rPr>
          <w:rFonts w:ascii="Times New Roman" w:eastAsia="Times New Roman" w:hAnsi="Times New Roman" w:cs="Times New Roman"/>
          <w:color w:val="000000"/>
          <w:sz w:val="24"/>
          <w:szCs w:val="24"/>
          <w:lang/>
        </w:rPr>
        <w:t>5) до 20 серпня 2015 року для платників податків, що застосовують звітний (податковий) період, що дорівнює кварталу, без проведення перевірок, передбачених </w:t>
      </w:r>
      <w:hyperlink r:id="rId5503"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 на суму від’ємного значення, що зараховується до складу податкового кредиту наступного звітного (податкового) періоду та суму непогашеного від’ємного значення попередніх звітних (податкових) періодів на кінець поточного звітного періоду, що зазначено в податковій звітності з податку на додану вартість, у якій відображаються розрахунки з бюджетом та/або відображаються операції, що стосуються спеціального режиму оподаткування відповідно до </w:t>
      </w:r>
      <w:hyperlink r:id="rId5504"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 II квартал 2015 року. На таку суму платником податку збільшується розмір суми податкового кредиту за звітний (податковий) період за III квартал 2015 року.</w:t>
      </w:r>
    </w:p>
    <w:p w14:paraId="01E582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6" w:name="n12460"/>
      <w:bookmarkEnd w:id="9936"/>
      <w:r w:rsidRPr="008B264B">
        <w:rPr>
          <w:rFonts w:ascii="Times New Roman" w:eastAsia="Times New Roman" w:hAnsi="Times New Roman" w:cs="Times New Roman"/>
          <w:color w:val="000000"/>
          <w:sz w:val="24"/>
          <w:szCs w:val="24"/>
          <w:lang/>
        </w:rPr>
        <w:t>Суми такого від’ємного значення можуть бути перевірені контролюючим органом у загальновстановленому порядку.</w:t>
      </w:r>
    </w:p>
    <w:p w14:paraId="5CC657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7" w:name="n12132"/>
      <w:bookmarkEnd w:id="9937"/>
      <w:r w:rsidRPr="008B264B">
        <w:rPr>
          <w:rFonts w:ascii="Times New Roman" w:eastAsia="Times New Roman" w:hAnsi="Times New Roman" w:cs="Times New Roman"/>
          <w:i/>
          <w:iCs/>
          <w:color w:val="000000"/>
          <w:sz w:val="24"/>
          <w:szCs w:val="24"/>
          <w:lang/>
        </w:rPr>
        <w:t>{Підрозділ 2 розділу XX доповнено пунктом 34 згідно із Законом </w:t>
      </w:r>
      <w:hyperlink r:id="rId5505"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в редакції Закону </w:t>
      </w:r>
      <w:hyperlink r:id="rId5506" w:anchor="n10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01B0B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8" w:name="n12967"/>
      <w:bookmarkEnd w:id="9938"/>
      <w:r w:rsidRPr="008B264B">
        <w:rPr>
          <w:rFonts w:ascii="Times New Roman" w:eastAsia="Times New Roman" w:hAnsi="Times New Roman" w:cs="Times New Roman"/>
          <w:color w:val="000000"/>
          <w:sz w:val="24"/>
          <w:szCs w:val="24"/>
          <w:lang/>
        </w:rPr>
        <w:t>34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Для платників податку, які застосовують касовий метод податкового обліку відповідно до </w:t>
      </w:r>
      <w:hyperlink r:id="rId5507" w:anchor="n4546" w:history="1">
        <w:r w:rsidRPr="008B264B">
          <w:rPr>
            <w:rFonts w:ascii="Times New Roman" w:eastAsia="Times New Roman" w:hAnsi="Times New Roman" w:cs="Times New Roman"/>
            <w:color w:val="0000FF"/>
            <w:sz w:val="24"/>
            <w:szCs w:val="24"/>
            <w:u w:val="single"/>
            <w:lang/>
          </w:rPr>
          <w:t>пункту 187.10</w:t>
        </w:r>
      </w:hyperlink>
      <w:r w:rsidRPr="008B264B">
        <w:rPr>
          <w:rFonts w:ascii="Times New Roman" w:eastAsia="Times New Roman" w:hAnsi="Times New Roman" w:cs="Times New Roman"/>
          <w:color w:val="000000"/>
          <w:sz w:val="24"/>
          <w:szCs w:val="24"/>
          <w:lang/>
        </w:rPr>
        <w:t> статті 187 цього Кодексу, у обрахунку суми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беруть участь суми податку, зазначені в податкових накладних, складених до 1 липня 2015 року, за якими право на включення таких сум до податкового кредиту виникає після 1 липня 2015 року.</w:t>
      </w:r>
    </w:p>
    <w:p w14:paraId="689DE7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39" w:name="n12968"/>
      <w:bookmarkEnd w:id="9939"/>
      <w:r w:rsidRPr="008B264B">
        <w:rPr>
          <w:rFonts w:ascii="Times New Roman" w:eastAsia="Times New Roman" w:hAnsi="Times New Roman" w:cs="Times New Roman"/>
          <w:color w:val="000000"/>
          <w:sz w:val="24"/>
          <w:szCs w:val="24"/>
          <w:lang/>
        </w:rPr>
        <w:t>Такі суми податку беруть участь у обрахунку суми </w:t>
      </w:r>
      <w:r w:rsidRPr="008B264B">
        <w:rPr>
          <w:rFonts w:ascii="Arial Unicode MS" w:eastAsia="Times New Roman" w:hAnsi="Arial Unicode MS" w:cs="Times New Roman"/>
          <w:b/>
          <w:bCs/>
          <w:color w:val="000000"/>
          <w:sz w:val="24"/>
          <w:szCs w:val="24"/>
          <w:lang/>
        </w:rPr>
        <w:t>∑</w:t>
      </w:r>
      <w:r w:rsidRPr="008B264B">
        <w:rPr>
          <w:rFonts w:ascii="Times New Roman" w:eastAsia="Times New Roman" w:hAnsi="Times New Roman" w:cs="Times New Roman"/>
          <w:color w:val="000000"/>
          <w:sz w:val="24"/>
          <w:szCs w:val="24"/>
          <w:lang/>
        </w:rPr>
        <w:t>Накл на підставі податкової декларації з податку за звітний період, у якому платник податку, що застосує касовий метод податкового обліку, відповідно до </w:t>
      </w:r>
      <w:hyperlink r:id="rId5508" w:anchor="n4546" w:history="1">
        <w:r w:rsidRPr="008B264B">
          <w:rPr>
            <w:rFonts w:ascii="Times New Roman" w:eastAsia="Times New Roman" w:hAnsi="Times New Roman" w:cs="Times New Roman"/>
            <w:color w:val="0000FF"/>
            <w:sz w:val="24"/>
            <w:szCs w:val="24"/>
            <w:u w:val="single"/>
            <w:lang/>
          </w:rPr>
          <w:t>пункту 187.10</w:t>
        </w:r>
      </w:hyperlink>
      <w:r w:rsidRPr="008B264B">
        <w:rPr>
          <w:rFonts w:ascii="Times New Roman" w:eastAsia="Times New Roman" w:hAnsi="Times New Roman" w:cs="Times New Roman"/>
          <w:color w:val="000000"/>
          <w:sz w:val="24"/>
          <w:szCs w:val="24"/>
          <w:lang/>
        </w:rPr>
        <w:t> статті 187 цього Кодексу, включає такі суми податку до податкового кредиту (з урахуванням вимог </w:t>
      </w:r>
      <w:hyperlink r:id="rId5509" w:anchor="n4959" w:history="1">
        <w:r w:rsidRPr="008B264B">
          <w:rPr>
            <w:rFonts w:ascii="Times New Roman" w:eastAsia="Times New Roman" w:hAnsi="Times New Roman" w:cs="Times New Roman"/>
            <w:color w:val="0000FF"/>
            <w:sz w:val="24"/>
            <w:szCs w:val="24"/>
            <w:u w:val="single"/>
            <w:lang/>
          </w:rPr>
          <w:t>пункту 198.6</w:t>
        </w:r>
      </w:hyperlink>
      <w:r w:rsidRPr="008B264B">
        <w:rPr>
          <w:rFonts w:ascii="Times New Roman" w:eastAsia="Times New Roman" w:hAnsi="Times New Roman" w:cs="Times New Roman"/>
          <w:color w:val="000000"/>
          <w:sz w:val="24"/>
          <w:szCs w:val="24"/>
          <w:lang/>
        </w:rPr>
        <w:t> статті 198 цього Кодексу) у зв’язку із застосуванням касового методу податкового обліку.</w:t>
      </w:r>
    </w:p>
    <w:p w14:paraId="0CC874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0" w:name="n12966"/>
      <w:bookmarkEnd w:id="9940"/>
      <w:r w:rsidRPr="008B264B">
        <w:rPr>
          <w:rFonts w:ascii="Times New Roman" w:eastAsia="Times New Roman" w:hAnsi="Times New Roman" w:cs="Times New Roman"/>
          <w:i/>
          <w:iCs/>
          <w:color w:val="000000"/>
          <w:sz w:val="24"/>
          <w:szCs w:val="24"/>
          <w:lang/>
        </w:rPr>
        <w:t>{Підрозділ 2 розділу XX доповнено пунктом 34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510" w:anchor="n66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129098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1" w:name="n12124"/>
      <w:bookmarkEnd w:id="9941"/>
      <w:r w:rsidRPr="008B264B">
        <w:rPr>
          <w:rFonts w:ascii="Times New Roman" w:eastAsia="Times New Roman" w:hAnsi="Times New Roman" w:cs="Times New Roman"/>
          <w:color w:val="000000"/>
          <w:sz w:val="24"/>
          <w:szCs w:val="24"/>
          <w:lang/>
        </w:rPr>
        <w:t>35. Норми пункту </w:t>
      </w:r>
      <w:hyperlink r:id="rId5511" w:anchor="n10586" w:history="1">
        <w:r w:rsidRPr="008B264B">
          <w:rPr>
            <w:rFonts w:ascii="Times New Roman" w:eastAsia="Times New Roman" w:hAnsi="Times New Roman" w:cs="Times New Roman"/>
            <w:color w:val="0000FF"/>
            <w:sz w:val="24"/>
            <w:szCs w:val="24"/>
            <w:u w:val="single"/>
            <w:lang/>
          </w:rPr>
          <w:t>120</w:t>
        </w:r>
      </w:hyperlink>
      <w:hyperlink r:id="rId5512" w:anchor="n10586"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13" w:anchor="n10586"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не застосовуються при порушенні термінів реєстрації податкових накладних/розрахунків коригування в Єдиному реєстрі податкових накладних, складених до 1 жовтня 2015 року.</w:t>
      </w:r>
    </w:p>
    <w:p w14:paraId="1E5FED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2" w:name="n12461"/>
      <w:bookmarkEnd w:id="9942"/>
      <w:r w:rsidRPr="008B264B">
        <w:rPr>
          <w:rFonts w:ascii="Times New Roman" w:eastAsia="Times New Roman" w:hAnsi="Times New Roman" w:cs="Times New Roman"/>
          <w:i/>
          <w:iCs/>
          <w:color w:val="000000"/>
          <w:sz w:val="24"/>
          <w:szCs w:val="24"/>
          <w:lang/>
        </w:rPr>
        <w:t>{Абзац перший пункту 35 підрозділу 2 розділу XX в редакції Закону </w:t>
      </w:r>
      <w:hyperlink r:id="rId5514" w:anchor="n119"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611B46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3" w:name="n12125"/>
      <w:bookmarkEnd w:id="9943"/>
      <w:r w:rsidRPr="008B264B">
        <w:rPr>
          <w:rFonts w:ascii="Times New Roman" w:eastAsia="Times New Roman" w:hAnsi="Times New Roman" w:cs="Times New Roman"/>
          <w:color w:val="000000"/>
          <w:sz w:val="24"/>
          <w:szCs w:val="24"/>
          <w:lang/>
        </w:rPr>
        <w:t>Період з 1 лютого 2015 року до 1 липня 2015 року є перехідним періодом, протягом якого реєстрація податкових накладних/розрахунків коригування до податкових накладних в Єдиному реєстрі податкових накладних здійснюється без обмеження сумою податку, обчисленою за формулою, визначеною </w:t>
      </w:r>
      <w:hyperlink r:id="rId5515" w:anchor="n11312" w:history="1">
        <w:r w:rsidRPr="008B264B">
          <w:rPr>
            <w:rFonts w:ascii="Times New Roman" w:eastAsia="Times New Roman" w:hAnsi="Times New Roman" w:cs="Times New Roman"/>
            <w:color w:val="0000FF"/>
            <w:sz w:val="24"/>
            <w:szCs w:val="24"/>
            <w:u w:val="single"/>
            <w:lang/>
          </w:rPr>
          <w:t>пунктом 200</w:t>
        </w:r>
      </w:hyperlink>
      <w:hyperlink r:id="rId5516"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17"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6E6D39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4" w:name="n12463"/>
      <w:bookmarkEnd w:id="9944"/>
      <w:r w:rsidRPr="008B264B">
        <w:rPr>
          <w:rFonts w:ascii="Times New Roman" w:eastAsia="Times New Roman" w:hAnsi="Times New Roman" w:cs="Times New Roman"/>
          <w:color w:val="000000"/>
          <w:sz w:val="24"/>
          <w:szCs w:val="24"/>
          <w:lang/>
        </w:rPr>
        <w:t>Починаючи з четвертого робочого дня після дати набрання чинності </w:t>
      </w:r>
      <w:hyperlink r:id="rId5518"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xml:space="preserve"> "Про внесення змін до Податкового кодексу України щодо удосконалення адміністрування податку на додану вартість" реєстрація в Єдиному реєстрі податкових накладних податкових накладних/розрахунків коригування, складених до 1 липня 2015 року, здійснюється без </w:t>
      </w:r>
      <w:r w:rsidRPr="008B264B">
        <w:rPr>
          <w:rFonts w:ascii="Times New Roman" w:eastAsia="Times New Roman" w:hAnsi="Times New Roman" w:cs="Times New Roman"/>
          <w:color w:val="000000"/>
          <w:sz w:val="24"/>
          <w:szCs w:val="24"/>
          <w:lang/>
        </w:rPr>
        <w:lastRenderedPageBreak/>
        <w:t>обмеження сумою податку, обчисленою за формулою, визначеною </w:t>
      </w:r>
      <w:hyperlink r:id="rId5519" w:anchor="n11312" w:history="1">
        <w:r w:rsidRPr="008B264B">
          <w:rPr>
            <w:rFonts w:ascii="Times New Roman" w:eastAsia="Times New Roman" w:hAnsi="Times New Roman" w:cs="Times New Roman"/>
            <w:color w:val="0000FF"/>
            <w:sz w:val="24"/>
            <w:szCs w:val="24"/>
            <w:u w:val="single"/>
            <w:lang/>
          </w:rPr>
          <w:t>пунктом 200</w:t>
        </w:r>
      </w:hyperlink>
      <w:hyperlink r:id="rId5520"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21"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6F51B7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5" w:name="n12462"/>
      <w:bookmarkEnd w:id="9945"/>
      <w:r w:rsidRPr="008B264B">
        <w:rPr>
          <w:rFonts w:ascii="Times New Roman" w:eastAsia="Times New Roman" w:hAnsi="Times New Roman" w:cs="Times New Roman"/>
          <w:i/>
          <w:iCs/>
          <w:color w:val="000000"/>
          <w:sz w:val="24"/>
          <w:szCs w:val="24"/>
          <w:lang/>
        </w:rPr>
        <w:t>{Пункт 35 підрозділу 2 розділу XX доповнено новим абзацом згідно із Законом </w:t>
      </w:r>
      <w:hyperlink r:id="rId5522" w:anchor="n121"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D0683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6" w:name="n12131"/>
      <w:bookmarkEnd w:id="9946"/>
      <w:r w:rsidRPr="008B264B">
        <w:rPr>
          <w:rFonts w:ascii="Times New Roman" w:eastAsia="Times New Roman" w:hAnsi="Times New Roman" w:cs="Times New Roman"/>
          <w:i/>
          <w:iCs/>
          <w:color w:val="000000"/>
          <w:sz w:val="24"/>
          <w:szCs w:val="24"/>
          <w:lang/>
        </w:rPr>
        <w:t>{Підрозділ 2 розділу XX доповнено пунктом 35 згідно із Законом </w:t>
      </w:r>
      <w:hyperlink r:id="rId5523"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E0101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7" w:name="n14423"/>
      <w:bookmarkEnd w:id="9947"/>
      <w:r w:rsidRPr="008B264B">
        <w:rPr>
          <w:rFonts w:ascii="Times New Roman" w:eastAsia="Times New Roman" w:hAnsi="Times New Roman" w:cs="Times New Roman"/>
          <w:color w:val="000000"/>
          <w:sz w:val="24"/>
          <w:szCs w:val="24"/>
          <w:lang/>
        </w:rPr>
        <w:t>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Установити, що до 31 грудня 2017 року не застосовуються штрафні санкції, передбачені </w:t>
      </w:r>
      <w:hyperlink r:id="rId5524" w:anchor="n14024" w:history="1">
        <w:r w:rsidRPr="008B264B">
          <w:rPr>
            <w:rFonts w:ascii="Times New Roman" w:eastAsia="Times New Roman" w:hAnsi="Times New Roman" w:cs="Times New Roman"/>
            <w:color w:val="0000FF"/>
            <w:sz w:val="24"/>
            <w:szCs w:val="24"/>
            <w:u w:val="single"/>
            <w:lang/>
          </w:rPr>
          <w:t>пунктом 120</w:t>
        </w:r>
      </w:hyperlink>
      <w:hyperlink r:id="rId5525" w:anchor="n14024"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26" w:anchor="n14024"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за помилки, допущені в </w:t>
      </w:r>
      <w:hyperlink r:id="rId5527" w:anchor="n20" w:tgtFrame="_blank" w:history="1">
        <w:r w:rsidRPr="008B264B">
          <w:rPr>
            <w:rFonts w:ascii="Times New Roman" w:eastAsia="Times New Roman" w:hAnsi="Times New Roman" w:cs="Times New Roman"/>
            <w:color w:val="0000FF"/>
            <w:sz w:val="24"/>
            <w:szCs w:val="24"/>
            <w:u w:val="single"/>
            <w:lang/>
          </w:rPr>
          <w:t>податковій накладній</w:t>
        </w:r>
      </w:hyperlink>
      <w:r w:rsidRPr="008B264B">
        <w:rPr>
          <w:rFonts w:ascii="Times New Roman" w:eastAsia="Times New Roman" w:hAnsi="Times New Roman" w:cs="Times New Roman"/>
          <w:color w:val="000000"/>
          <w:sz w:val="24"/>
          <w:szCs w:val="24"/>
          <w:lang/>
        </w:rPr>
        <w:t> під час зазначення коду товару згідно з </w:t>
      </w:r>
      <w:hyperlink r:id="rId5528"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та/або коду послуги згідно з </w:t>
      </w:r>
      <w:hyperlink r:id="rId5529" w:anchor="n133" w:tgtFrame="_blank" w:history="1">
        <w:r w:rsidRPr="008B264B">
          <w:rPr>
            <w:rFonts w:ascii="Times New Roman" w:eastAsia="Times New Roman" w:hAnsi="Times New Roman" w:cs="Times New Roman"/>
            <w:color w:val="0000FF"/>
            <w:sz w:val="24"/>
            <w:szCs w:val="24"/>
            <w:u w:val="single"/>
            <w:lang/>
          </w:rPr>
          <w:t>Державним класифікатором продукції та послуг</w:t>
        </w:r>
      </w:hyperlink>
      <w:r w:rsidRPr="008B264B">
        <w:rPr>
          <w:rFonts w:ascii="Times New Roman" w:eastAsia="Times New Roman" w:hAnsi="Times New Roman" w:cs="Times New Roman"/>
          <w:color w:val="000000"/>
          <w:sz w:val="24"/>
          <w:szCs w:val="24"/>
          <w:lang/>
        </w:rPr>
        <w:t>.</w:t>
      </w:r>
    </w:p>
    <w:p w14:paraId="37971D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8" w:name="n14422"/>
      <w:bookmarkEnd w:id="9948"/>
      <w:r w:rsidRPr="008B264B">
        <w:rPr>
          <w:rFonts w:ascii="Times New Roman" w:eastAsia="Times New Roman" w:hAnsi="Times New Roman" w:cs="Times New Roman"/>
          <w:i/>
          <w:iCs/>
          <w:color w:val="000000"/>
          <w:sz w:val="24"/>
          <w:szCs w:val="24"/>
          <w:lang/>
        </w:rPr>
        <w:t>{Підрозділ 2 розділу XX доповнено пунктом 35</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530" w:anchor="n1465"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B61DE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49" w:name="n12126"/>
      <w:bookmarkEnd w:id="9949"/>
      <w:r w:rsidRPr="008B264B">
        <w:rPr>
          <w:rFonts w:ascii="Times New Roman" w:eastAsia="Times New Roman" w:hAnsi="Times New Roman" w:cs="Times New Roman"/>
          <w:color w:val="000000"/>
          <w:sz w:val="24"/>
          <w:szCs w:val="24"/>
          <w:lang/>
        </w:rPr>
        <w:t>36. Платник податку може включити на підставі бухгалтерської довідки до податкового кредиту виходячи з бази оподаткування, визначеної відповідно до </w:t>
      </w:r>
      <w:hyperlink r:id="rId5531" w:anchor="n4565" w:history="1">
        <w:r w:rsidRPr="008B264B">
          <w:rPr>
            <w:rFonts w:ascii="Times New Roman" w:eastAsia="Times New Roman" w:hAnsi="Times New Roman" w:cs="Times New Roman"/>
            <w:color w:val="0000FF"/>
            <w:sz w:val="24"/>
            <w:szCs w:val="24"/>
            <w:u w:val="single"/>
            <w:lang/>
          </w:rPr>
          <w:t>пункту 189.1</w:t>
        </w:r>
      </w:hyperlink>
      <w:r w:rsidRPr="008B264B">
        <w:rPr>
          <w:rFonts w:ascii="Times New Roman" w:eastAsia="Times New Roman" w:hAnsi="Times New Roman" w:cs="Times New Roman"/>
          <w:color w:val="000000"/>
          <w:sz w:val="24"/>
          <w:szCs w:val="24"/>
          <w:lang/>
        </w:rPr>
        <w:t> статті 189 цього Кодексу, суми податку, сплачені (нараховані) у вартості товарів/послуг, необоротних активів, придбаних до 1 липня 2015 року, що не були включені до складу податкового кредиту до 1 липня 2015 року при придбанні або виготовленні таких товарів/послуг, необоротних активів, та/або з яких до 1 липня 2015 року були визначені податкові зобов’язання відповідно до </w:t>
      </w:r>
      <w:hyperlink r:id="rId5532"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цього Кодексу у редакції, що діяла до 31 січня 2015 року, у разі якщо такі товари/послуги, необоротні активи починають використовуватися після 1 липня 2015 року повністю або частково в оподатковуваних операціях у межах господарської діяльності, у тому числі переведення невиробничих необоротних активів до складу виробничих необоротних активів.</w:t>
      </w:r>
    </w:p>
    <w:p w14:paraId="348FD9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0" w:name="n12127"/>
      <w:bookmarkEnd w:id="9950"/>
      <w:r w:rsidRPr="008B264B">
        <w:rPr>
          <w:rFonts w:ascii="Times New Roman" w:eastAsia="Times New Roman" w:hAnsi="Times New Roman" w:cs="Times New Roman"/>
          <w:color w:val="000000"/>
          <w:sz w:val="24"/>
          <w:szCs w:val="24"/>
          <w:lang/>
        </w:rPr>
        <w:t>З метою застосування цього пункту податковий кредит визначається на дату початку фактичного використання товарів/послуг, необоротних активів, визначену в первинних документах, складених відповідно до </w:t>
      </w:r>
      <w:hyperlink r:id="rId553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бухгалтерський облік та фінансову звітність в Україні".</w:t>
      </w:r>
    </w:p>
    <w:p w14:paraId="0DA877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1" w:name="n12130"/>
      <w:bookmarkEnd w:id="9951"/>
      <w:r w:rsidRPr="008B264B">
        <w:rPr>
          <w:rFonts w:ascii="Times New Roman" w:eastAsia="Times New Roman" w:hAnsi="Times New Roman" w:cs="Times New Roman"/>
          <w:i/>
          <w:iCs/>
          <w:color w:val="000000"/>
          <w:sz w:val="24"/>
          <w:szCs w:val="24"/>
          <w:lang/>
        </w:rPr>
        <w:t>{Підрозділ 2 розділу XX доповнено пунктом 36 згідно із Законом </w:t>
      </w:r>
      <w:hyperlink r:id="rId5534"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 набирає чинності з 1 липня 2015 року, див. </w:t>
      </w:r>
      <w:hyperlink r:id="rId5535" w:anchor="n1849" w:tgtFrame="_blank" w:history="1">
        <w:r w:rsidRPr="008B264B">
          <w:rPr>
            <w:rFonts w:ascii="Times New Roman" w:eastAsia="Times New Roman" w:hAnsi="Times New Roman" w:cs="Times New Roman"/>
            <w:i/>
            <w:iCs/>
            <w:color w:val="0000FF"/>
            <w:sz w:val="24"/>
            <w:szCs w:val="24"/>
            <w:u w:val="single"/>
            <w:lang/>
          </w:rPr>
          <w:t>абзац четвертий пункту 1 розділу II</w:t>
        </w:r>
      </w:hyperlink>
      <w:r w:rsidRPr="008B264B">
        <w:rPr>
          <w:rFonts w:ascii="Times New Roman" w:eastAsia="Times New Roman" w:hAnsi="Times New Roman" w:cs="Times New Roman"/>
          <w:i/>
          <w:iCs/>
          <w:color w:val="000000"/>
          <w:sz w:val="24"/>
          <w:szCs w:val="24"/>
          <w:lang/>
        </w:rPr>
        <w:t> Закону № 71-VIII від 28.12.2014}</w:t>
      </w:r>
    </w:p>
    <w:p w14:paraId="12FA3C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2" w:name="n12128"/>
      <w:bookmarkEnd w:id="9952"/>
      <w:r w:rsidRPr="008B264B">
        <w:rPr>
          <w:rFonts w:ascii="Times New Roman" w:eastAsia="Times New Roman" w:hAnsi="Times New Roman" w:cs="Times New Roman"/>
          <w:color w:val="000000"/>
          <w:sz w:val="24"/>
          <w:szCs w:val="24"/>
          <w:lang/>
        </w:rPr>
        <w:t>37. Встановити, що контролюючі органи не здійснюють документальні позапланові виїзні перевірки щодо достовірності сум бюджетного відшкодування з податку на додану вартість, заявлених платниками у звітних періодах, що настають після 1 липня 2015 року, крім випадків, визначених </w:t>
      </w:r>
      <w:hyperlink r:id="rId5536" w:anchor="n10328" w:history="1">
        <w:r w:rsidRPr="008B264B">
          <w:rPr>
            <w:rFonts w:ascii="Times New Roman" w:eastAsia="Times New Roman" w:hAnsi="Times New Roman" w:cs="Times New Roman"/>
            <w:color w:val="0000FF"/>
            <w:sz w:val="24"/>
            <w:szCs w:val="24"/>
            <w:u w:val="single"/>
            <w:lang/>
          </w:rPr>
          <w:t>пунктом 200.11</w:t>
        </w:r>
      </w:hyperlink>
      <w:r w:rsidRPr="008B264B">
        <w:rPr>
          <w:rFonts w:ascii="Times New Roman" w:eastAsia="Times New Roman" w:hAnsi="Times New Roman" w:cs="Times New Roman"/>
          <w:color w:val="000000"/>
          <w:sz w:val="24"/>
          <w:szCs w:val="24"/>
          <w:lang/>
        </w:rPr>
        <w:t> статті 200 цього Кодексу.</w:t>
      </w:r>
    </w:p>
    <w:p w14:paraId="24F5CB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3" w:name="n12969"/>
      <w:bookmarkEnd w:id="9953"/>
      <w:r w:rsidRPr="008B264B">
        <w:rPr>
          <w:rFonts w:ascii="Times New Roman" w:eastAsia="Times New Roman" w:hAnsi="Times New Roman" w:cs="Times New Roman"/>
          <w:i/>
          <w:iCs/>
          <w:color w:val="000000"/>
          <w:sz w:val="24"/>
          <w:szCs w:val="24"/>
          <w:lang/>
        </w:rPr>
        <w:t>{Абзац перший пункту 37 підрозділу 2 розділу XX із змінами, внесеними згідно із Законом </w:t>
      </w:r>
      <w:hyperlink r:id="rId5537" w:anchor="n672"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048813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4" w:name="n12129"/>
      <w:bookmarkEnd w:id="9954"/>
      <w:r w:rsidRPr="008B264B">
        <w:rPr>
          <w:rFonts w:ascii="Times New Roman" w:eastAsia="Times New Roman" w:hAnsi="Times New Roman" w:cs="Times New Roman"/>
          <w:color w:val="000000"/>
          <w:sz w:val="24"/>
          <w:szCs w:val="24"/>
          <w:lang/>
        </w:rPr>
        <w:t>З 1 липня 2015 року до 1 січня 2017 року призупиняється дія </w:t>
      </w:r>
      <w:hyperlink r:id="rId5538" w:anchor="n1798" w:history="1">
        <w:r w:rsidRPr="008B264B">
          <w:rPr>
            <w:rFonts w:ascii="Times New Roman" w:eastAsia="Times New Roman" w:hAnsi="Times New Roman" w:cs="Times New Roman"/>
            <w:color w:val="0000FF"/>
            <w:sz w:val="24"/>
            <w:szCs w:val="24"/>
            <w:u w:val="single"/>
            <w:lang/>
          </w:rPr>
          <w:t>підпункту 78.1.8</w:t>
        </w:r>
      </w:hyperlink>
      <w:r w:rsidRPr="008B264B">
        <w:rPr>
          <w:rFonts w:ascii="Times New Roman" w:eastAsia="Times New Roman" w:hAnsi="Times New Roman" w:cs="Times New Roman"/>
          <w:color w:val="000000"/>
          <w:sz w:val="24"/>
          <w:szCs w:val="24"/>
          <w:lang/>
        </w:rPr>
        <w:t> пункту 78.1 статті 78, </w:t>
      </w:r>
      <w:hyperlink r:id="rId5539" w:anchor="n1891" w:history="1">
        <w:r w:rsidRPr="008B264B">
          <w:rPr>
            <w:rFonts w:ascii="Times New Roman" w:eastAsia="Times New Roman" w:hAnsi="Times New Roman" w:cs="Times New Roman"/>
            <w:color w:val="0000FF"/>
            <w:sz w:val="24"/>
            <w:szCs w:val="24"/>
            <w:u w:val="single"/>
            <w:lang/>
          </w:rPr>
          <w:t>абзацу четвертого</w:t>
        </w:r>
      </w:hyperlink>
      <w:r w:rsidRPr="008B264B">
        <w:rPr>
          <w:rFonts w:ascii="Times New Roman" w:eastAsia="Times New Roman" w:hAnsi="Times New Roman" w:cs="Times New Roman"/>
          <w:color w:val="000000"/>
          <w:sz w:val="24"/>
          <w:szCs w:val="24"/>
          <w:lang/>
        </w:rPr>
        <w:t> пункту 82.4 статті 82, </w:t>
      </w:r>
      <w:hyperlink r:id="rId5540" w:anchor="n10328" w:history="1">
        <w:r w:rsidRPr="008B264B">
          <w:rPr>
            <w:rFonts w:ascii="Times New Roman" w:eastAsia="Times New Roman" w:hAnsi="Times New Roman" w:cs="Times New Roman"/>
            <w:color w:val="0000FF"/>
            <w:sz w:val="24"/>
            <w:szCs w:val="24"/>
            <w:u w:val="single"/>
            <w:lang/>
          </w:rPr>
          <w:t>пункту 200.11</w:t>
        </w:r>
      </w:hyperlink>
      <w:r w:rsidRPr="008B264B">
        <w:rPr>
          <w:rFonts w:ascii="Times New Roman" w:eastAsia="Times New Roman" w:hAnsi="Times New Roman" w:cs="Times New Roman"/>
          <w:color w:val="000000"/>
          <w:sz w:val="24"/>
          <w:szCs w:val="24"/>
          <w:lang/>
        </w:rPr>
        <w:t> статті 200 цього Кодексу, а також дія </w:t>
      </w:r>
      <w:hyperlink r:id="rId5541" w:anchor="n5009" w:history="1">
        <w:r w:rsidRPr="008B264B">
          <w:rPr>
            <w:rFonts w:ascii="Times New Roman" w:eastAsia="Times New Roman" w:hAnsi="Times New Roman" w:cs="Times New Roman"/>
            <w:color w:val="0000FF"/>
            <w:sz w:val="24"/>
            <w:szCs w:val="24"/>
            <w:u w:val="single"/>
            <w:lang/>
          </w:rPr>
          <w:t>пункту 200.14</w:t>
        </w:r>
      </w:hyperlink>
      <w:r w:rsidRPr="008B264B">
        <w:rPr>
          <w:rFonts w:ascii="Times New Roman" w:eastAsia="Times New Roman" w:hAnsi="Times New Roman" w:cs="Times New Roman"/>
          <w:color w:val="000000"/>
          <w:sz w:val="24"/>
          <w:szCs w:val="24"/>
          <w:lang/>
        </w:rPr>
        <w:t> статті 200 цього Кодексу в частині проведення документальних позапланових виїзних перевірок.</w:t>
      </w:r>
    </w:p>
    <w:p w14:paraId="736563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5" w:name="n13378"/>
      <w:bookmarkEnd w:id="9955"/>
      <w:r w:rsidRPr="008B264B">
        <w:rPr>
          <w:rFonts w:ascii="Times New Roman" w:eastAsia="Times New Roman" w:hAnsi="Times New Roman" w:cs="Times New Roman"/>
          <w:i/>
          <w:iCs/>
          <w:color w:val="000000"/>
          <w:sz w:val="24"/>
          <w:szCs w:val="24"/>
          <w:lang/>
        </w:rPr>
        <w:t>{Абзац другий пункту 37 підрозділу 2 розділу XX із змінами, внесеними згідно із Законом </w:t>
      </w:r>
      <w:hyperlink r:id="rId5542" w:anchor="n150"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3B63D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6" w:name="n12971"/>
      <w:bookmarkEnd w:id="9956"/>
      <w:r w:rsidRPr="008B264B">
        <w:rPr>
          <w:rFonts w:ascii="Times New Roman" w:eastAsia="Times New Roman" w:hAnsi="Times New Roman" w:cs="Times New Roman"/>
          <w:color w:val="000000"/>
          <w:sz w:val="24"/>
          <w:szCs w:val="24"/>
          <w:lang/>
        </w:rPr>
        <w:t>Бюджетне відшкодування сум податку на додану вартість, задекларованих до відшкодування до 1 липня 2015 року, здійснюється у порядку, визначеному </w:t>
      </w:r>
      <w:hyperlink r:id="rId5543"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 у редакції, що діяла станом на 1 липня 2015 року.</w:t>
      </w:r>
    </w:p>
    <w:p w14:paraId="51690E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7" w:name="n12970"/>
      <w:bookmarkEnd w:id="9957"/>
      <w:r w:rsidRPr="008B264B">
        <w:rPr>
          <w:rFonts w:ascii="Times New Roman" w:eastAsia="Times New Roman" w:hAnsi="Times New Roman" w:cs="Times New Roman"/>
          <w:i/>
          <w:iCs/>
          <w:color w:val="000000"/>
          <w:sz w:val="24"/>
          <w:szCs w:val="24"/>
          <w:lang/>
        </w:rPr>
        <w:t>{Пункт 37 підрозділу 2 розділу XX доповнено абзацом третім згідно із Законом </w:t>
      </w:r>
      <w:hyperlink r:id="rId5544" w:anchor="n673"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66BC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8" w:name="n12114"/>
      <w:bookmarkEnd w:id="9958"/>
      <w:r w:rsidRPr="008B264B">
        <w:rPr>
          <w:rFonts w:ascii="Times New Roman" w:eastAsia="Times New Roman" w:hAnsi="Times New Roman" w:cs="Times New Roman"/>
          <w:i/>
          <w:iCs/>
          <w:color w:val="000000"/>
          <w:sz w:val="24"/>
          <w:szCs w:val="24"/>
          <w:lang/>
        </w:rPr>
        <w:t>{Підрозділ 2 розділу XX доповнено пунктом 37 згідно із Законом </w:t>
      </w:r>
      <w:hyperlink r:id="rId5545"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0E9C0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59" w:name="n12342"/>
      <w:bookmarkEnd w:id="9959"/>
      <w:r w:rsidRPr="008B264B">
        <w:rPr>
          <w:rFonts w:ascii="Times New Roman" w:eastAsia="Times New Roman" w:hAnsi="Times New Roman" w:cs="Times New Roman"/>
          <w:color w:val="000000"/>
          <w:sz w:val="24"/>
          <w:szCs w:val="24"/>
          <w:lang/>
        </w:rPr>
        <w:lastRenderedPageBreak/>
        <w:t>38. Тимчасово, до 31 грудня 2020 року, звільняються від оподаткування податком на додану вартість:</w:t>
      </w:r>
    </w:p>
    <w:p w14:paraId="128DBE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0" w:name="n15396"/>
      <w:bookmarkEnd w:id="9960"/>
      <w:r w:rsidRPr="008B264B">
        <w:rPr>
          <w:rFonts w:ascii="Times New Roman" w:eastAsia="Times New Roman" w:hAnsi="Times New Roman" w:cs="Times New Roman"/>
          <w:i/>
          <w:iCs/>
          <w:color w:val="000000"/>
          <w:sz w:val="24"/>
          <w:szCs w:val="24"/>
          <w:lang/>
        </w:rPr>
        <w:t>{Абзац перший пункту 38 підрозділу 2 розділу XX із змінами, внесеними згідно із Законом </w:t>
      </w:r>
      <w:hyperlink r:id="rId5546" w:anchor="n66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2CDC6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1" w:name="n12343"/>
      <w:bookmarkEnd w:id="9961"/>
      <w:r w:rsidRPr="008B264B">
        <w:rPr>
          <w:rFonts w:ascii="Times New Roman" w:eastAsia="Times New Roman" w:hAnsi="Times New Roman" w:cs="Times New Roman"/>
          <w:color w:val="000000"/>
          <w:sz w:val="24"/>
          <w:szCs w:val="24"/>
          <w:lang/>
        </w:rPr>
        <w:t>операції з ввезення на митну територію України лікарських засобів, внесених до Державного реєстру лікарських засобів, медичних виробів, внесених до Державного реєстру медичної техніки та виробів медичного призначення та/або введених в обіг відповідно до законодавства у сфері технічного регулювання та оцінки відповідності, та операції з першого постачання таких лікарських засобів, медичних виробів на митній території України;</w:t>
      </w:r>
    </w:p>
    <w:p w14:paraId="0B53D4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2" w:name="n12344"/>
      <w:bookmarkEnd w:id="9962"/>
      <w:r w:rsidRPr="008B264B">
        <w:rPr>
          <w:rFonts w:ascii="Times New Roman" w:eastAsia="Times New Roman" w:hAnsi="Times New Roman" w:cs="Times New Roman"/>
          <w:color w:val="000000"/>
          <w:sz w:val="24"/>
          <w:szCs w:val="24"/>
          <w:lang/>
        </w:rPr>
        <w:t>операції з першого постачання виробником на митній території України лікарських засобів, внесених до Державного реєстру лікарських засобів, медичних виробів, внесених до Державного реєстру медичної техніки та виробів медичного призначення та/або введених в обіг відповідно до законодавства у сфері технічного регулювання та оцінки відповідності;</w:t>
      </w:r>
    </w:p>
    <w:p w14:paraId="29F9B0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3" w:name="n12345"/>
      <w:bookmarkEnd w:id="9963"/>
      <w:r w:rsidRPr="008B264B">
        <w:rPr>
          <w:rFonts w:ascii="Times New Roman" w:eastAsia="Times New Roman" w:hAnsi="Times New Roman" w:cs="Times New Roman"/>
          <w:color w:val="000000"/>
          <w:sz w:val="24"/>
          <w:szCs w:val="24"/>
          <w:lang/>
        </w:rPr>
        <w:t>операції з постачання (передачі) лікарських засобів та медичних виробів, що були ввезені та/або поставлені на митній території України відповідно до цього пункту, у системі охорони здоров’я від центрального органу виконавчої влади України, що забезпечує формування та реалізує державну політику у сфері охорони здоров’я, та/або від державних підприємств, створених за наказом цього центрального органу виконавчої влади, до кінцевого споживача (пацієнта) у межах виконання бюджетних програм із забезпечення медичних заходів державних програм та/або комплексних заходів програмного характеру у сфері охорони здоров’я.</w:t>
      </w:r>
    </w:p>
    <w:p w14:paraId="6AFC26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4" w:name="n12346"/>
      <w:bookmarkEnd w:id="9964"/>
      <w:r w:rsidRPr="008B264B">
        <w:rPr>
          <w:rFonts w:ascii="Times New Roman" w:eastAsia="Times New Roman" w:hAnsi="Times New Roman" w:cs="Times New Roman"/>
          <w:color w:val="000000"/>
          <w:sz w:val="24"/>
          <w:szCs w:val="24"/>
          <w:lang/>
        </w:rPr>
        <w:t>Звільнення від оподаткування податком на додану вартість, передбачене цим пунктом, застосовується, якщо ввезення та/або постачання здійснюється на підставі договорів із спеціалізованими організаціями, що здійснюють закупівлі, перелік яких визначений </w:t>
      </w:r>
      <w:hyperlink r:id="rId5547"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здійснення державних закупівель", укладених на виконання угод між центральним органом виконавчої влади України, що забезпечує формування та реалізує державну політику у сфері охорони здоров’я, та відповідною спеціалізованою організацією, що здійснює закупівлі, у межах виконання бюджетних програм із забезпечення медичних заходів державних програм та/або комплексних заходів програмного характеру у сфері охорони здоров’я.</w:t>
      </w:r>
    </w:p>
    <w:p w14:paraId="666B6E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5" w:name="n12347"/>
      <w:bookmarkEnd w:id="9965"/>
      <w:r w:rsidRPr="008B264B">
        <w:rPr>
          <w:rFonts w:ascii="Times New Roman" w:eastAsia="Times New Roman" w:hAnsi="Times New Roman" w:cs="Times New Roman"/>
          <w:color w:val="000000"/>
          <w:sz w:val="24"/>
          <w:szCs w:val="24"/>
          <w:lang/>
        </w:rPr>
        <w:t>У разі порушення цільового використання лікарських засобів та медичних виробів, що ввозяться на митну територію України та/або постачаються на митній території України відповідно до цього пункту, платник податку зобов’язаний збільшити податкові зобов’язання за наслідками податкового періоду, на який припадає таке порушення, на суму податку на додану вартість, що мала бути сплачена в момент ввезення (нарахована в момент постачання) таких лікарських засобів та медичних виробів, а також несе відповідальність відповідно до законодавства.</w:t>
      </w:r>
    </w:p>
    <w:bookmarkStart w:id="9966" w:name="n12348"/>
    <w:bookmarkEnd w:id="9966"/>
    <w:p w14:paraId="426823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"https://zakon.rada.gov.ua/laws/show/255-2019-%D0%BF" \l "n11"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Перелік</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лікарських засобів та медичних виробів, які закуповуються на підставі угод щодо закупівлі із спеціалізованими організаціями, що здійснюють закупівлі, та </w:t>
      </w:r>
      <w:hyperlink r:id="rId5548" w:anchor="n9" w:tgtFrame="_blank" w:history="1">
        <w:r w:rsidRPr="008B264B">
          <w:rPr>
            <w:rFonts w:ascii="Times New Roman" w:eastAsia="Times New Roman" w:hAnsi="Times New Roman" w:cs="Times New Roman"/>
            <w:color w:val="0000FF"/>
            <w:sz w:val="24"/>
            <w:szCs w:val="24"/>
            <w:u w:val="single"/>
            <w:lang/>
          </w:rPr>
          <w:t>порядок</w:t>
        </w:r>
      </w:hyperlink>
      <w:r w:rsidRPr="008B264B">
        <w:rPr>
          <w:rFonts w:ascii="Times New Roman" w:eastAsia="Times New Roman" w:hAnsi="Times New Roman" w:cs="Times New Roman"/>
          <w:color w:val="000000"/>
          <w:sz w:val="24"/>
          <w:szCs w:val="24"/>
          <w:lang/>
        </w:rPr>
        <w:t> ввезення, постачання і цільового використання лікарських засобів, медичних виробів, що звільняються від оподаткування податком на додану вартість відповідно до цього пункту, визначаються Кабінетом Міністрів України.</w:t>
      </w:r>
    </w:p>
    <w:p w14:paraId="30252C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7" w:name="n12341"/>
      <w:bookmarkEnd w:id="9967"/>
      <w:r w:rsidRPr="008B264B">
        <w:rPr>
          <w:rFonts w:ascii="Times New Roman" w:eastAsia="Times New Roman" w:hAnsi="Times New Roman" w:cs="Times New Roman"/>
          <w:i/>
          <w:iCs/>
          <w:color w:val="000000"/>
          <w:sz w:val="24"/>
          <w:szCs w:val="24"/>
          <w:lang/>
        </w:rPr>
        <w:t>{Підрозділ 2 розділу XX доповнено пунктом 38 згідно із Законом </w:t>
      </w:r>
      <w:hyperlink r:id="rId5549" w:anchor="n5" w:tgtFrame="_blank" w:history="1">
        <w:r w:rsidRPr="008B264B">
          <w:rPr>
            <w:rFonts w:ascii="Times New Roman" w:eastAsia="Times New Roman" w:hAnsi="Times New Roman" w:cs="Times New Roman"/>
            <w:i/>
            <w:iCs/>
            <w:color w:val="0000FF"/>
            <w:sz w:val="24"/>
            <w:szCs w:val="24"/>
            <w:u w:val="single"/>
            <w:lang/>
          </w:rPr>
          <w:t>№ 332-VIII від 09.04.2015</w:t>
        </w:r>
      </w:hyperlink>
      <w:r w:rsidRPr="008B264B">
        <w:rPr>
          <w:rFonts w:ascii="Times New Roman" w:eastAsia="Times New Roman" w:hAnsi="Times New Roman" w:cs="Times New Roman"/>
          <w:i/>
          <w:iCs/>
          <w:color w:val="000000"/>
          <w:sz w:val="24"/>
          <w:szCs w:val="24"/>
          <w:lang/>
        </w:rPr>
        <w:t>}</w:t>
      </w:r>
    </w:p>
    <w:p w14:paraId="1D2715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8" w:name="n12465"/>
      <w:bookmarkEnd w:id="9968"/>
      <w:r w:rsidRPr="008B264B">
        <w:rPr>
          <w:rFonts w:ascii="Times New Roman" w:eastAsia="Times New Roman" w:hAnsi="Times New Roman" w:cs="Times New Roman"/>
          <w:color w:val="000000"/>
          <w:sz w:val="24"/>
          <w:szCs w:val="24"/>
          <w:lang/>
        </w:rPr>
        <w:t>39. Для податкових накладних, дата складення яких припадає на період з 1 липня по 30 вересня 2015 року включно, не застосовуються граничні строки реєстрації в Єдиному реєстрі податкових накладних, встановлені </w:t>
      </w:r>
      <w:hyperlink r:id="rId5550" w:anchor="n5091" w:history="1">
        <w:r w:rsidRPr="008B264B">
          <w:rPr>
            <w:rFonts w:ascii="Times New Roman" w:eastAsia="Times New Roman" w:hAnsi="Times New Roman" w:cs="Times New Roman"/>
            <w:color w:val="0000FF"/>
            <w:sz w:val="24"/>
            <w:szCs w:val="24"/>
            <w:u w:val="single"/>
            <w:lang/>
          </w:rPr>
          <w:t>пунктом 201.10</w:t>
        </w:r>
      </w:hyperlink>
      <w:r w:rsidRPr="008B264B">
        <w:rPr>
          <w:rFonts w:ascii="Times New Roman" w:eastAsia="Times New Roman" w:hAnsi="Times New Roman" w:cs="Times New Roman"/>
          <w:color w:val="000000"/>
          <w:sz w:val="24"/>
          <w:szCs w:val="24"/>
          <w:lang/>
        </w:rPr>
        <w:t> статті 201 цього Кодексу, та встановлюються такі строки реєстрації:</w:t>
      </w:r>
    </w:p>
    <w:p w14:paraId="7F76E5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69" w:name="n12466"/>
      <w:bookmarkEnd w:id="9969"/>
      <w:r w:rsidRPr="008B264B">
        <w:rPr>
          <w:rFonts w:ascii="Times New Roman" w:eastAsia="Times New Roman" w:hAnsi="Times New Roman" w:cs="Times New Roman"/>
          <w:color w:val="000000"/>
          <w:sz w:val="24"/>
          <w:szCs w:val="24"/>
          <w:lang/>
        </w:rPr>
        <w:t>податкові накладні, складені з 1 по 15 день (включно) місяця у період, зазначений в абзаці першому цього пункту, підлягають реєстрації в Єдиному реєстрі податкових накладних до останнього дня (включно) місяця, в якому вони були складені;</w:t>
      </w:r>
    </w:p>
    <w:p w14:paraId="0F3F5E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0" w:name="n12467"/>
      <w:bookmarkEnd w:id="9970"/>
      <w:r w:rsidRPr="008B264B">
        <w:rPr>
          <w:rFonts w:ascii="Times New Roman" w:eastAsia="Times New Roman" w:hAnsi="Times New Roman" w:cs="Times New Roman"/>
          <w:color w:val="000000"/>
          <w:sz w:val="24"/>
          <w:szCs w:val="24"/>
          <w:lang/>
        </w:rPr>
        <w:lastRenderedPageBreak/>
        <w:t>податкові накладні, складені з 16 по останній день (включно) місяця у період, зазначений в абзаці першому цього пункту, підлягають реєстрації в Єдиному реєстрі податкових накладних до 15 числа (включно) місяця, наступного за місяцем, в якому вони були складені.</w:t>
      </w:r>
    </w:p>
    <w:p w14:paraId="0D06E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1" w:name="n12480"/>
      <w:bookmarkEnd w:id="9971"/>
      <w:r w:rsidRPr="008B264B">
        <w:rPr>
          <w:rFonts w:ascii="Times New Roman" w:eastAsia="Times New Roman" w:hAnsi="Times New Roman" w:cs="Times New Roman"/>
          <w:i/>
          <w:iCs/>
          <w:color w:val="000000"/>
          <w:sz w:val="24"/>
          <w:szCs w:val="24"/>
          <w:lang/>
        </w:rPr>
        <w:t>{Підрозділ 2 розділу XX доповнено пунктом 39 згідно із Законом </w:t>
      </w:r>
      <w:hyperlink r:id="rId5551" w:anchor="n1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5E009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2" w:name="n12468"/>
      <w:bookmarkEnd w:id="9972"/>
      <w:r w:rsidRPr="008B264B">
        <w:rPr>
          <w:rFonts w:ascii="Times New Roman" w:eastAsia="Times New Roman" w:hAnsi="Times New Roman" w:cs="Times New Roman"/>
          <w:color w:val="000000"/>
          <w:sz w:val="24"/>
          <w:szCs w:val="24"/>
          <w:lang/>
        </w:rPr>
        <w:t>40. Штрафні санкції та пеня, передбачені цим Кодексом, за порушення строків, установлених цим Кодексом для самостійної сплати податкових зобов’язань з податку на додану вартість, не застосовуються за умови наявності у такі строки коштів на рахунках платників у системі електронного адміністрування податку на додану вартість у сумах, достатніх для сплати узгоджених податкових зобов’язань з податку на додану вартість до бюджету або на спеціальні рахунки платників - сільськогосподарських підприємств, що обрали спеціальний режим відповідно до </w:t>
      </w:r>
      <w:hyperlink r:id="rId5552"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w:t>
      </w:r>
    </w:p>
    <w:p w14:paraId="56B3D3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3" w:name="n12469"/>
      <w:bookmarkEnd w:id="9973"/>
      <w:r w:rsidRPr="008B264B">
        <w:rPr>
          <w:rFonts w:ascii="Times New Roman" w:eastAsia="Times New Roman" w:hAnsi="Times New Roman" w:cs="Times New Roman"/>
          <w:color w:val="000000"/>
          <w:sz w:val="24"/>
          <w:szCs w:val="24"/>
          <w:lang/>
        </w:rPr>
        <w:t>У разі нарахування протягом перехідного періоду системи електронного адміністрування податку на додану вартість зазначених штрафних санкцій такі штрафні санкції підлягають списанню контролюючим органом за місцем реєстрації платника податку на додану вартість протягом 14 робочих днів.</w:t>
      </w:r>
    </w:p>
    <w:p w14:paraId="4BB6F9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4" w:name="n12479"/>
      <w:bookmarkEnd w:id="9974"/>
      <w:r w:rsidRPr="008B264B">
        <w:rPr>
          <w:rFonts w:ascii="Times New Roman" w:eastAsia="Times New Roman" w:hAnsi="Times New Roman" w:cs="Times New Roman"/>
          <w:i/>
          <w:iCs/>
          <w:color w:val="000000"/>
          <w:sz w:val="24"/>
          <w:szCs w:val="24"/>
          <w:lang/>
        </w:rPr>
        <w:t>{Підрозділ 2 розділу XX доповнено пунктом 40 згідно із Законом </w:t>
      </w:r>
      <w:hyperlink r:id="rId5553" w:anchor="n1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4583B2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5" w:name="n12470"/>
      <w:bookmarkEnd w:id="9975"/>
      <w:r w:rsidRPr="008B264B">
        <w:rPr>
          <w:rFonts w:ascii="Times New Roman" w:eastAsia="Times New Roman" w:hAnsi="Times New Roman" w:cs="Times New Roman"/>
          <w:color w:val="000000"/>
          <w:sz w:val="24"/>
          <w:szCs w:val="24"/>
          <w:lang/>
        </w:rPr>
        <w:t>41. У разі якщо контролюючий орган під час перевірки встановлює факт завищення платником податку від’ємного значення сум податку на додану вартість, яке залишилося непогашеним станом на 1 липня 2015 року в податковій звітності з податку на додану вартість, що призвело до завищення суми податку, на яку платник має право зареєструвати податкові накладні / розрахунки коригування до податкових накладних в Єдиному реєстрі податкових накладних, визначеної </w:t>
      </w:r>
      <w:hyperlink r:id="rId5554" w:anchor="n11312" w:history="1">
        <w:r w:rsidRPr="008B264B">
          <w:rPr>
            <w:rFonts w:ascii="Times New Roman" w:eastAsia="Times New Roman" w:hAnsi="Times New Roman" w:cs="Times New Roman"/>
            <w:color w:val="0000FF"/>
            <w:sz w:val="24"/>
            <w:szCs w:val="24"/>
            <w:u w:val="single"/>
            <w:lang/>
          </w:rPr>
          <w:t>пунктом 200</w:t>
        </w:r>
      </w:hyperlink>
      <w:hyperlink r:id="rId5555"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56"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до такого платника податку, крім штрафів, передбачених </w:t>
      </w:r>
      <w:hyperlink r:id="rId5557" w:anchor="n2416" w:history="1">
        <w:r w:rsidRPr="008B264B">
          <w:rPr>
            <w:rFonts w:ascii="Times New Roman" w:eastAsia="Times New Roman" w:hAnsi="Times New Roman" w:cs="Times New Roman"/>
            <w:color w:val="0000FF"/>
            <w:sz w:val="24"/>
            <w:szCs w:val="24"/>
            <w:u w:val="single"/>
            <w:lang/>
          </w:rPr>
          <w:t>статтею 123</w:t>
        </w:r>
      </w:hyperlink>
      <w:r w:rsidRPr="008B264B">
        <w:rPr>
          <w:rFonts w:ascii="Times New Roman" w:eastAsia="Times New Roman" w:hAnsi="Times New Roman" w:cs="Times New Roman"/>
          <w:color w:val="000000"/>
          <w:sz w:val="24"/>
          <w:szCs w:val="24"/>
          <w:lang/>
        </w:rPr>
        <w:t> цього Кодексу, застосовується штраф у розмірі 10 відсотків суми завищення такого від’ємного значення.</w:t>
      </w:r>
    </w:p>
    <w:p w14:paraId="6866E4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6" w:name="n12471"/>
      <w:bookmarkEnd w:id="9976"/>
      <w:r w:rsidRPr="008B264B">
        <w:rPr>
          <w:rFonts w:ascii="Times New Roman" w:eastAsia="Times New Roman" w:hAnsi="Times New Roman" w:cs="Times New Roman"/>
          <w:color w:val="000000"/>
          <w:sz w:val="24"/>
          <w:szCs w:val="24"/>
          <w:lang/>
        </w:rPr>
        <w:t>Сума податку, на яку платник має право зареєструвати податкові накладні/розрахунки коригування до податкових накладних в Єдиному реєстрі податкових накладних, визначена пунктом </w:t>
      </w:r>
      <w:hyperlink r:id="rId5558" w:anchor="n11312" w:history="1">
        <w:r w:rsidRPr="008B264B">
          <w:rPr>
            <w:rFonts w:ascii="Times New Roman" w:eastAsia="Times New Roman" w:hAnsi="Times New Roman" w:cs="Times New Roman"/>
            <w:color w:val="0000FF"/>
            <w:sz w:val="24"/>
            <w:szCs w:val="24"/>
            <w:u w:val="single"/>
            <w:lang/>
          </w:rPr>
          <w:t>200</w:t>
        </w:r>
      </w:hyperlink>
      <w:hyperlink r:id="rId5559"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60"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підлягає зменшенню на суму такого завищення на підставі узгодженого податкового повідомлення-рішення.</w:t>
      </w:r>
    </w:p>
    <w:p w14:paraId="4E63A0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7" w:name="n12472"/>
      <w:bookmarkEnd w:id="9977"/>
      <w:r w:rsidRPr="008B264B">
        <w:rPr>
          <w:rFonts w:ascii="Times New Roman" w:eastAsia="Times New Roman" w:hAnsi="Times New Roman" w:cs="Times New Roman"/>
          <w:color w:val="000000"/>
          <w:sz w:val="24"/>
          <w:szCs w:val="24"/>
          <w:lang/>
        </w:rPr>
        <w:t>Для цілей цього пункту до від’ємного значення належить від’ємне значення сум податку на додану вартість, що залишилося непогашеним станом на 1 липня 2015 року, що обліковується в податковій звітності з податку на додану вартість та включає:</w:t>
      </w:r>
    </w:p>
    <w:p w14:paraId="5F16F1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8" w:name="n12473"/>
      <w:bookmarkEnd w:id="9978"/>
      <w:r w:rsidRPr="008B264B">
        <w:rPr>
          <w:rFonts w:ascii="Times New Roman" w:eastAsia="Times New Roman" w:hAnsi="Times New Roman" w:cs="Times New Roman"/>
          <w:color w:val="000000"/>
          <w:sz w:val="24"/>
          <w:szCs w:val="24"/>
          <w:lang/>
        </w:rPr>
        <w:t>від’ємне значення, що зараховується до складу податкового кредиту наступного звітного (податкового) періоду;</w:t>
      </w:r>
    </w:p>
    <w:p w14:paraId="0E4AC6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79" w:name="n12474"/>
      <w:bookmarkEnd w:id="9979"/>
      <w:r w:rsidRPr="008B264B">
        <w:rPr>
          <w:rFonts w:ascii="Times New Roman" w:eastAsia="Times New Roman" w:hAnsi="Times New Roman" w:cs="Times New Roman"/>
          <w:color w:val="000000"/>
          <w:sz w:val="24"/>
          <w:szCs w:val="24"/>
          <w:lang/>
        </w:rPr>
        <w:t>непогашене від’ємне значення попередніх звітних (податкових) періодів на кінець поточного звітного (податкового) періоду.</w:t>
      </w:r>
    </w:p>
    <w:p w14:paraId="659F44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0" w:name="n12478"/>
      <w:bookmarkEnd w:id="9980"/>
      <w:r w:rsidRPr="008B264B">
        <w:rPr>
          <w:rFonts w:ascii="Times New Roman" w:eastAsia="Times New Roman" w:hAnsi="Times New Roman" w:cs="Times New Roman"/>
          <w:i/>
          <w:iCs/>
          <w:color w:val="000000"/>
          <w:sz w:val="24"/>
          <w:szCs w:val="24"/>
          <w:lang/>
        </w:rPr>
        <w:t>{Підрозділ 2 розділу XX доповнено пунктом 41 згідно із Законом </w:t>
      </w:r>
      <w:hyperlink r:id="rId5561" w:anchor="n1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 - набирає чинності з 01.08.2015, див. </w:t>
      </w:r>
      <w:hyperlink r:id="rId5562" w:anchor="n137" w:tgtFrame="_blank" w:history="1">
        <w:r w:rsidRPr="008B264B">
          <w:rPr>
            <w:rFonts w:ascii="Times New Roman" w:eastAsia="Times New Roman" w:hAnsi="Times New Roman" w:cs="Times New Roman"/>
            <w:i/>
            <w:iCs/>
            <w:color w:val="0000FF"/>
            <w:sz w:val="24"/>
            <w:szCs w:val="24"/>
            <w:u w:val="single"/>
            <w:lang/>
          </w:rPr>
          <w:t>пункт 1</w:t>
        </w:r>
      </w:hyperlink>
      <w:r w:rsidRPr="008B264B">
        <w:rPr>
          <w:rFonts w:ascii="Times New Roman" w:eastAsia="Times New Roman" w:hAnsi="Times New Roman" w:cs="Times New Roman"/>
          <w:i/>
          <w:iCs/>
          <w:color w:val="000000"/>
          <w:sz w:val="24"/>
          <w:szCs w:val="24"/>
          <w:lang/>
        </w:rPr>
        <w:t> розділу II закону № 643-VIII від 16.07.2015}</w:t>
      </w:r>
    </w:p>
    <w:p w14:paraId="2A0AB6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1" w:name="n12475"/>
      <w:bookmarkEnd w:id="9981"/>
      <w:r w:rsidRPr="008B264B">
        <w:rPr>
          <w:rFonts w:ascii="Times New Roman" w:eastAsia="Times New Roman" w:hAnsi="Times New Roman" w:cs="Times New Roman"/>
          <w:color w:val="000000"/>
          <w:sz w:val="24"/>
          <w:szCs w:val="24"/>
          <w:lang/>
        </w:rPr>
        <w:t>42. У разі якщо придбані та/або виготовлені до 1 липня 2015 року необоротні активи частково використовуються в оподатковуваних операціях, а частково - ні, платник податку здійснює перерахунок частки використання таких необоротних активів у оподатковуваних операціях, розрахованої відповідно до пунктів </w:t>
      </w:r>
      <w:hyperlink r:id="rId5563" w:anchor="n4970" w:history="1">
        <w:r w:rsidRPr="008B264B">
          <w:rPr>
            <w:rFonts w:ascii="Times New Roman" w:eastAsia="Times New Roman" w:hAnsi="Times New Roman" w:cs="Times New Roman"/>
            <w:color w:val="0000FF"/>
            <w:sz w:val="24"/>
            <w:szCs w:val="24"/>
            <w:u w:val="single"/>
            <w:lang/>
          </w:rPr>
          <w:t>199.2</w:t>
        </w:r>
      </w:hyperlink>
      <w:r w:rsidRPr="008B264B">
        <w:rPr>
          <w:rFonts w:ascii="Times New Roman" w:eastAsia="Times New Roman" w:hAnsi="Times New Roman" w:cs="Times New Roman"/>
          <w:color w:val="000000"/>
          <w:sz w:val="24"/>
          <w:szCs w:val="24"/>
          <w:lang/>
        </w:rPr>
        <w:t> та </w:t>
      </w:r>
      <w:hyperlink r:id="rId5564" w:anchor="n4972" w:history="1">
        <w:r w:rsidRPr="008B264B">
          <w:rPr>
            <w:rFonts w:ascii="Times New Roman" w:eastAsia="Times New Roman" w:hAnsi="Times New Roman" w:cs="Times New Roman"/>
            <w:color w:val="0000FF"/>
            <w:sz w:val="24"/>
            <w:szCs w:val="24"/>
            <w:u w:val="single"/>
            <w:lang/>
          </w:rPr>
          <w:t>199.3</w:t>
        </w:r>
      </w:hyperlink>
      <w:r w:rsidRPr="008B264B">
        <w:rPr>
          <w:rFonts w:ascii="Times New Roman" w:eastAsia="Times New Roman" w:hAnsi="Times New Roman" w:cs="Times New Roman"/>
          <w:color w:val="000000"/>
          <w:sz w:val="24"/>
          <w:szCs w:val="24"/>
          <w:lang/>
        </w:rPr>
        <w:t> статті 199 цього Кодексу (виходячи з фактичних обсягів проведених протягом року оподатковуваних та неоподатковуваних операцій) за підсумками одного, двох і трьох календарних років, що настають за роком, в якому вони почали використовуватися (введені в експлуатацію). У разі зняття з обліку платника податку, в тому числі за рішенням суду, перерахунок частки здійснюється виходячи з фактичних обсягів оподатковуваних та неоподатковуваних операцій, проведених з початку поточного року до дати зняття з обліку.</w:t>
      </w:r>
    </w:p>
    <w:p w14:paraId="780BF9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2" w:name="n12477"/>
      <w:bookmarkEnd w:id="9982"/>
      <w:r w:rsidRPr="008B264B">
        <w:rPr>
          <w:rFonts w:ascii="Times New Roman" w:eastAsia="Times New Roman" w:hAnsi="Times New Roman" w:cs="Times New Roman"/>
          <w:i/>
          <w:iCs/>
          <w:color w:val="000000"/>
          <w:sz w:val="24"/>
          <w:szCs w:val="24"/>
          <w:lang/>
        </w:rPr>
        <w:t>{Підрозділ 2 розділу XX доповнено пунктом 42 згідно із Законом </w:t>
      </w:r>
      <w:hyperlink r:id="rId5565" w:anchor="n1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7E7DEE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3" w:name="n12476"/>
      <w:bookmarkEnd w:id="9983"/>
      <w:r w:rsidRPr="008B264B">
        <w:rPr>
          <w:rFonts w:ascii="Times New Roman" w:eastAsia="Times New Roman" w:hAnsi="Times New Roman" w:cs="Times New Roman"/>
          <w:color w:val="000000"/>
          <w:sz w:val="24"/>
          <w:szCs w:val="24"/>
          <w:lang/>
        </w:rPr>
        <w:lastRenderedPageBreak/>
        <w:t>43. При від’ємному значенні суми, розрахованої згідно з пунктом </w:t>
      </w:r>
      <w:hyperlink r:id="rId5566" w:anchor="n4988" w:history="1">
        <w:r w:rsidRPr="008B264B">
          <w:rPr>
            <w:rFonts w:ascii="Times New Roman" w:eastAsia="Times New Roman" w:hAnsi="Times New Roman" w:cs="Times New Roman"/>
            <w:color w:val="0000FF"/>
            <w:sz w:val="24"/>
            <w:szCs w:val="24"/>
            <w:u w:val="single"/>
            <w:lang/>
          </w:rPr>
          <w:t>200.1</w:t>
        </w:r>
      </w:hyperlink>
      <w:r w:rsidRPr="008B264B">
        <w:rPr>
          <w:rFonts w:ascii="Times New Roman" w:eastAsia="Times New Roman" w:hAnsi="Times New Roman" w:cs="Times New Roman"/>
          <w:color w:val="000000"/>
          <w:sz w:val="24"/>
          <w:szCs w:val="24"/>
          <w:lang/>
        </w:rPr>
        <w:t> статті 200 цього Кодексу, за результатами звітного (податкового) періоду за червень 2015 року/II квартал 2015 року норми </w:t>
      </w:r>
      <w:hyperlink r:id="rId5567" w:anchor="n11285" w:history="1">
        <w:r w:rsidRPr="008B264B">
          <w:rPr>
            <w:rFonts w:ascii="Times New Roman" w:eastAsia="Times New Roman" w:hAnsi="Times New Roman" w:cs="Times New Roman"/>
            <w:color w:val="0000FF"/>
            <w:sz w:val="24"/>
            <w:szCs w:val="24"/>
            <w:u w:val="single"/>
            <w:lang/>
          </w:rPr>
          <w:t>підпунктів "а" та "б"</w:t>
        </w:r>
      </w:hyperlink>
      <w:r w:rsidRPr="008B264B">
        <w:rPr>
          <w:rFonts w:ascii="Times New Roman" w:eastAsia="Times New Roman" w:hAnsi="Times New Roman" w:cs="Times New Roman"/>
          <w:color w:val="000000"/>
          <w:sz w:val="24"/>
          <w:szCs w:val="24"/>
          <w:lang/>
        </w:rPr>
        <w:t> пункту 200.4 статті 200 цього Кодексу в частині обмеження сумою, обчисленою відповідно до </w:t>
      </w:r>
      <w:hyperlink r:id="rId5568" w:anchor="n11312" w:history="1">
        <w:r w:rsidRPr="008B264B">
          <w:rPr>
            <w:rFonts w:ascii="Times New Roman" w:eastAsia="Times New Roman" w:hAnsi="Times New Roman" w:cs="Times New Roman"/>
            <w:color w:val="0000FF"/>
            <w:sz w:val="24"/>
            <w:szCs w:val="24"/>
            <w:u w:val="single"/>
            <w:lang/>
          </w:rPr>
          <w:t>пункту 200</w:t>
        </w:r>
      </w:hyperlink>
      <w:hyperlink r:id="rId5569"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70"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не застосовуються.</w:t>
      </w:r>
    </w:p>
    <w:p w14:paraId="403756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4" w:name="n12464"/>
      <w:bookmarkEnd w:id="9984"/>
      <w:r w:rsidRPr="008B264B">
        <w:rPr>
          <w:rFonts w:ascii="Times New Roman" w:eastAsia="Times New Roman" w:hAnsi="Times New Roman" w:cs="Times New Roman"/>
          <w:i/>
          <w:iCs/>
          <w:color w:val="000000"/>
          <w:sz w:val="24"/>
          <w:szCs w:val="24"/>
          <w:lang/>
        </w:rPr>
        <w:t>{Підрозділ 2 розділу XX доповнено пунктом 43 згідно із Законом </w:t>
      </w:r>
      <w:hyperlink r:id="rId5571" w:anchor="n123" w:tgtFrame="_blank" w:history="1">
        <w:r w:rsidRPr="008B264B">
          <w:rPr>
            <w:rFonts w:ascii="Times New Roman" w:eastAsia="Times New Roman" w:hAnsi="Times New Roman" w:cs="Times New Roman"/>
            <w:i/>
            <w:iCs/>
            <w:color w:val="0000FF"/>
            <w:sz w:val="24"/>
            <w:szCs w:val="24"/>
            <w:u w:val="single"/>
            <w:lang/>
          </w:rPr>
          <w:t>№ 643-VIII від 16.07.2015</w:t>
        </w:r>
      </w:hyperlink>
      <w:r w:rsidRPr="008B264B">
        <w:rPr>
          <w:rFonts w:ascii="Times New Roman" w:eastAsia="Times New Roman" w:hAnsi="Times New Roman" w:cs="Times New Roman"/>
          <w:i/>
          <w:iCs/>
          <w:color w:val="000000"/>
          <w:sz w:val="24"/>
          <w:szCs w:val="24"/>
          <w:lang/>
        </w:rPr>
        <w:t>}</w:t>
      </w:r>
    </w:p>
    <w:p w14:paraId="260D7E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5" w:name="n12627"/>
      <w:bookmarkEnd w:id="9985"/>
      <w:r w:rsidRPr="008B264B">
        <w:rPr>
          <w:rFonts w:ascii="Times New Roman" w:eastAsia="Times New Roman" w:hAnsi="Times New Roman" w:cs="Times New Roman"/>
          <w:color w:val="000000"/>
          <w:sz w:val="24"/>
          <w:szCs w:val="24"/>
          <w:lang/>
        </w:rPr>
        <w:t>44. Тимчасово, до 1 січня 2022 року, платники податку, які здійснюють постачання (у тому числі оптове), передачу, розподіл електричної та/або теплової енергії, постачання вугілля та/або продуктів його збагачення товарних позицій 2701, 2702, 2704 00 згідно з </w:t>
      </w:r>
      <w:hyperlink r:id="rId5572"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надають послуги з централізованого водопостачання та водовідведення, визначають дату виникнення податкових зобов’язань та податкового кредиту за касовим методом.</w:t>
      </w:r>
    </w:p>
    <w:p w14:paraId="6EA805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6" w:name="n12628"/>
      <w:bookmarkEnd w:id="9986"/>
      <w:r w:rsidRPr="008B264B">
        <w:rPr>
          <w:rFonts w:ascii="Times New Roman" w:eastAsia="Times New Roman" w:hAnsi="Times New Roman" w:cs="Times New Roman"/>
          <w:color w:val="000000"/>
          <w:sz w:val="24"/>
          <w:szCs w:val="24"/>
          <w:lang/>
        </w:rPr>
        <w:t>Норма цього пункту поширюється на операції, за якими дата виникнення першої з подій, визначених у </w:t>
      </w:r>
      <w:hyperlink r:id="rId5573" w:anchor="n4529" w:history="1">
        <w:r w:rsidRPr="008B264B">
          <w:rPr>
            <w:rFonts w:ascii="Times New Roman" w:eastAsia="Times New Roman" w:hAnsi="Times New Roman" w:cs="Times New Roman"/>
            <w:color w:val="0000FF"/>
            <w:sz w:val="24"/>
            <w:szCs w:val="24"/>
            <w:u w:val="single"/>
            <w:lang/>
          </w:rPr>
          <w:t>пункті 187.1</w:t>
        </w:r>
      </w:hyperlink>
      <w:r w:rsidRPr="008B264B">
        <w:rPr>
          <w:rFonts w:ascii="Times New Roman" w:eastAsia="Times New Roman" w:hAnsi="Times New Roman" w:cs="Times New Roman"/>
          <w:color w:val="000000"/>
          <w:sz w:val="24"/>
          <w:szCs w:val="24"/>
          <w:lang/>
        </w:rPr>
        <w:t> статті 187 та у </w:t>
      </w:r>
      <w:hyperlink r:id="rId5574" w:anchor="n4937" w:history="1">
        <w:r w:rsidRPr="008B264B">
          <w:rPr>
            <w:rFonts w:ascii="Times New Roman" w:eastAsia="Times New Roman" w:hAnsi="Times New Roman" w:cs="Times New Roman"/>
            <w:color w:val="0000FF"/>
            <w:sz w:val="24"/>
            <w:szCs w:val="24"/>
            <w:u w:val="single"/>
            <w:lang/>
          </w:rPr>
          <w:t>пункті 198.2</w:t>
        </w:r>
      </w:hyperlink>
      <w:r w:rsidRPr="008B264B">
        <w:rPr>
          <w:rFonts w:ascii="Times New Roman" w:eastAsia="Times New Roman" w:hAnsi="Times New Roman" w:cs="Times New Roman"/>
          <w:color w:val="000000"/>
          <w:sz w:val="24"/>
          <w:szCs w:val="24"/>
          <w:lang/>
        </w:rPr>
        <w:t> статті 198 цього Кодексу, припадає на звітні (податкові) періоди до 1 січня 2022 року.</w:t>
      </w:r>
    </w:p>
    <w:p w14:paraId="3EE2BD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7" w:name="n12629"/>
      <w:bookmarkEnd w:id="9987"/>
      <w:r w:rsidRPr="008B264B">
        <w:rPr>
          <w:rFonts w:ascii="Times New Roman" w:eastAsia="Times New Roman" w:hAnsi="Times New Roman" w:cs="Times New Roman"/>
          <w:color w:val="000000"/>
          <w:sz w:val="24"/>
          <w:szCs w:val="24"/>
          <w:lang/>
        </w:rPr>
        <w:t>У разі якщо операції, визначені цим пунктом, мають безперервний або ритмічний характер постачання, платники податку:</w:t>
      </w:r>
    </w:p>
    <w:p w14:paraId="1B8E41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8" w:name="n12630"/>
      <w:bookmarkEnd w:id="9988"/>
      <w:r w:rsidRPr="008B264B">
        <w:rPr>
          <w:rFonts w:ascii="Times New Roman" w:eastAsia="Times New Roman" w:hAnsi="Times New Roman" w:cs="Times New Roman"/>
          <w:color w:val="000000"/>
          <w:sz w:val="24"/>
          <w:szCs w:val="24"/>
          <w:lang/>
        </w:rPr>
        <w:t>покупцям - платникам податку - можуть складати не пізніше останнього дня місяця, в якому отримано кошти, зведені податкові накладні на кожного платника податку, з яким постачання мають такий характер, з урахуванням усієї суми отриманих коштів протягом такого місяця;</w:t>
      </w:r>
    </w:p>
    <w:p w14:paraId="3B77B5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89" w:name="n12631"/>
      <w:bookmarkEnd w:id="9989"/>
      <w:r w:rsidRPr="008B264B">
        <w:rPr>
          <w:rFonts w:ascii="Times New Roman" w:eastAsia="Times New Roman" w:hAnsi="Times New Roman" w:cs="Times New Roman"/>
          <w:color w:val="000000"/>
          <w:sz w:val="24"/>
          <w:szCs w:val="24"/>
          <w:lang/>
        </w:rPr>
        <w:t>покупцям - особам, не зареєстрованим платниками податку, - можуть складати не пізніше останнього дня місяця, в якому отримано кошти, зведену податкову накладну з урахуванням усієї суми отриманих коштів протягом такого місяця.</w:t>
      </w:r>
    </w:p>
    <w:p w14:paraId="7A77A9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0" w:name="n12632"/>
      <w:bookmarkEnd w:id="9990"/>
      <w:r w:rsidRPr="008B264B">
        <w:rPr>
          <w:rFonts w:ascii="Times New Roman" w:eastAsia="Times New Roman" w:hAnsi="Times New Roman" w:cs="Times New Roman"/>
          <w:color w:val="000000"/>
          <w:sz w:val="24"/>
          <w:szCs w:val="24"/>
          <w:lang/>
        </w:rPr>
        <w:t>Для цілей цього пункту ритмічним характером постачання вважається постачання товарів/послуг одному покупцю два та більше разів на місяць.</w:t>
      </w:r>
    </w:p>
    <w:p w14:paraId="5B9F45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1" w:name="n12636"/>
      <w:bookmarkEnd w:id="9991"/>
      <w:r w:rsidRPr="008B264B">
        <w:rPr>
          <w:rFonts w:ascii="Times New Roman" w:eastAsia="Times New Roman" w:hAnsi="Times New Roman" w:cs="Times New Roman"/>
          <w:i/>
          <w:iCs/>
          <w:color w:val="000000"/>
          <w:sz w:val="24"/>
          <w:szCs w:val="24"/>
          <w:lang/>
        </w:rPr>
        <w:t>{Підрозділ 2 розділу XX доповнено пунктом 44 згідно із Законом </w:t>
      </w:r>
      <w:hyperlink r:id="rId5575" w:anchor="n17"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576" w:anchor="n146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5577" w:anchor="n6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8393D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2" w:name="n12633"/>
      <w:bookmarkEnd w:id="9992"/>
      <w:r w:rsidRPr="008B264B">
        <w:rPr>
          <w:rFonts w:ascii="Times New Roman" w:eastAsia="Times New Roman" w:hAnsi="Times New Roman" w:cs="Times New Roman"/>
          <w:color w:val="000000"/>
          <w:sz w:val="24"/>
          <w:szCs w:val="24"/>
          <w:lang/>
        </w:rPr>
        <w:t>45. Тимчасово, до 1 січня 2022 року, звільняються від оподаткування податком на додану вартість операції з постачання на митній території України вугілля та/або продуктів його збагачення товарних позицій 2701, 2702, 2704 00 згідно з </w:t>
      </w:r>
      <w:hyperlink r:id="rId5578"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16E7EC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3" w:name="n14424"/>
      <w:bookmarkEnd w:id="9993"/>
      <w:r w:rsidRPr="008B264B">
        <w:rPr>
          <w:rFonts w:ascii="Times New Roman" w:eastAsia="Times New Roman" w:hAnsi="Times New Roman" w:cs="Times New Roman"/>
          <w:i/>
          <w:iCs/>
          <w:color w:val="000000"/>
          <w:sz w:val="24"/>
          <w:szCs w:val="24"/>
          <w:lang/>
        </w:rPr>
        <w:t>{Абзац перший пункту 45 підрозділу 2 розділу XX із змінами, внесеними згідно із Законом </w:t>
      </w:r>
      <w:hyperlink r:id="rId5579" w:anchor="n147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A689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4" w:name="n12634"/>
      <w:bookmarkEnd w:id="9994"/>
      <w:r w:rsidRPr="008B264B">
        <w:rPr>
          <w:rFonts w:ascii="Times New Roman" w:eastAsia="Times New Roman" w:hAnsi="Times New Roman" w:cs="Times New Roman"/>
          <w:color w:val="000000"/>
          <w:sz w:val="24"/>
          <w:szCs w:val="24"/>
          <w:lang/>
        </w:rPr>
        <w:t>У разі застосування зазначеної пільги норми </w:t>
      </w:r>
      <w:hyperlink r:id="rId5580"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цього Кодексу не застосовуються в частині товарів/послуг, необоротних активів, суми податку на додану вартість з вартості яких були включені до податкового кредиту у звітних (податкових) періодах, що передували періоду початку застосування пільги.</w:t>
      </w:r>
    </w:p>
    <w:p w14:paraId="79679E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5" w:name="n12635"/>
      <w:bookmarkEnd w:id="9995"/>
      <w:r w:rsidRPr="008B264B">
        <w:rPr>
          <w:rFonts w:ascii="Times New Roman" w:eastAsia="Times New Roman" w:hAnsi="Times New Roman" w:cs="Times New Roman"/>
          <w:color w:val="000000"/>
          <w:sz w:val="24"/>
          <w:szCs w:val="24"/>
          <w:lang/>
        </w:rPr>
        <w:t>Платник податків може відмовитися від використання зазначеної пільги чи зупинити її використання на один або декілька звітних (податкових) періодів шляхом подання заяви. Заява, у якій зазначається перелік товарних позицій товарів згідно з </w:t>
      </w:r>
      <w:hyperlink r:id="rId5581"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і період, на який платник відмовляється чи зупиняє використання пільги, подається до контролюючого органу за місцем реєстрації платника податків до настання звітного періоду, в якому платник податку не передбачає використання зазначеної пільги. Відмова від використання пільги, зазначеної у цьому пункті, чи зупинення її використання застосовується з першого числа звітного (податкового) періоду, зазначеного у заяві.</w:t>
      </w:r>
    </w:p>
    <w:p w14:paraId="172B9E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6" w:name="n14425"/>
      <w:bookmarkEnd w:id="9996"/>
      <w:r w:rsidRPr="008B264B">
        <w:rPr>
          <w:rFonts w:ascii="Times New Roman" w:eastAsia="Times New Roman" w:hAnsi="Times New Roman" w:cs="Times New Roman"/>
          <w:i/>
          <w:iCs/>
          <w:color w:val="000000"/>
          <w:sz w:val="24"/>
          <w:szCs w:val="24"/>
          <w:lang/>
        </w:rPr>
        <w:t>{Абзац третій пункту 45 підрозділу 2 розділу XX із змінами, внесеними згідно із Законом </w:t>
      </w:r>
      <w:hyperlink r:id="rId5582" w:anchor="n147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7AED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7" w:name="n12626"/>
      <w:bookmarkEnd w:id="9997"/>
      <w:r w:rsidRPr="008B264B">
        <w:rPr>
          <w:rFonts w:ascii="Times New Roman" w:eastAsia="Times New Roman" w:hAnsi="Times New Roman" w:cs="Times New Roman"/>
          <w:i/>
          <w:iCs/>
          <w:color w:val="000000"/>
          <w:sz w:val="24"/>
          <w:szCs w:val="24"/>
          <w:lang/>
        </w:rPr>
        <w:t>{Підрозділ 2 розділу XX доповнено пунктом 45 згідно із Законом </w:t>
      </w:r>
      <w:hyperlink r:id="rId5583" w:anchor="n17"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584" w:anchor="n66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9FD4B8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8" w:name="n12973"/>
      <w:bookmarkEnd w:id="9998"/>
      <w:r w:rsidRPr="008B264B">
        <w:rPr>
          <w:rFonts w:ascii="Times New Roman" w:eastAsia="Times New Roman" w:hAnsi="Times New Roman" w:cs="Times New Roman"/>
          <w:color w:val="000000"/>
          <w:sz w:val="24"/>
          <w:szCs w:val="24"/>
          <w:lang/>
        </w:rPr>
        <w:lastRenderedPageBreak/>
        <w:t>46. Тимчасово, до 1 січня 2023 року, звільняються від оподаткування податком на додану вартість операції:</w:t>
      </w:r>
    </w:p>
    <w:p w14:paraId="75469A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9999" w:name="n16067"/>
      <w:bookmarkEnd w:id="9999"/>
      <w:r w:rsidRPr="008B264B">
        <w:rPr>
          <w:rFonts w:ascii="Times New Roman" w:eastAsia="Times New Roman" w:hAnsi="Times New Roman" w:cs="Times New Roman"/>
          <w:color w:val="000000"/>
          <w:sz w:val="24"/>
          <w:szCs w:val="24"/>
          <w:lang/>
        </w:rPr>
        <w:t>платників податку - боржника та/або поручителя (майнового поручителя - заставодавця, іпотекодавця) з постачання товарів для цілей погашення заборгованості боржника перед кредиторами відповідно до плану реструктуризації, підписаного згідно із законом щодо фінансової реструктуризації, або плану санації, затвердженого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 Під час здійснення операцій з постачання товарів, що звільняються від оподаткування податком на додану вартість згідно із цим пунктом, платники податку - боржник та/або поручитель (майновий поручитель - заставодавець, іпотекодавець) не застосовують норми </w:t>
      </w:r>
      <w:hyperlink r:id="rId5585"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та </w:t>
      </w:r>
      <w:hyperlink r:id="rId5586" w:anchor="n4968" w:history="1">
        <w:r w:rsidRPr="008B264B">
          <w:rPr>
            <w:rFonts w:ascii="Times New Roman" w:eastAsia="Times New Roman" w:hAnsi="Times New Roman" w:cs="Times New Roman"/>
            <w:color w:val="0000FF"/>
            <w:sz w:val="24"/>
            <w:szCs w:val="24"/>
            <w:u w:val="single"/>
            <w:lang/>
          </w:rPr>
          <w:t>пункту 199.1</w:t>
        </w:r>
      </w:hyperlink>
      <w:r w:rsidRPr="008B264B">
        <w:rPr>
          <w:rFonts w:ascii="Times New Roman" w:eastAsia="Times New Roman" w:hAnsi="Times New Roman" w:cs="Times New Roman"/>
          <w:color w:val="000000"/>
          <w:sz w:val="24"/>
          <w:szCs w:val="24"/>
          <w:lang/>
        </w:rPr>
        <w:t> статті 199 цього Кодексу щодо нарахування податкових зобов’язань або коригування раніше нарахованих податкових зобов’язань та/або сум податку, віднесених до податкового кредиту у зв’язку з таким постачанням;</w:t>
      </w:r>
    </w:p>
    <w:p w14:paraId="30A816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0" w:name="n16068"/>
      <w:bookmarkEnd w:id="10000"/>
      <w:r w:rsidRPr="008B264B">
        <w:rPr>
          <w:rFonts w:ascii="Times New Roman" w:eastAsia="Times New Roman" w:hAnsi="Times New Roman" w:cs="Times New Roman"/>
          <w:color w:val="000000"/>
          <w:sz w:val="24"/>
          <w:szCs w:val="24"/>
          <w:lang/>
        </w:rPr>
        <w:t>банків та інших фінансових установ з постачання (продажу, відчуження в інший спосіб) товарів, що були отримані ними від боржників, поручителів (майнових поручителів - заставодавців, іпотекодавців) за операціями з постачання товарів, що звільнені від оподатковування згідно з абзацом першим цього пункту. Звільнення від оподаткування операцій банків та інших фінансових установ стосується тієї частини вартості товарів, за якою вони були набуті у власність у рахунок погашення зобов’язань за договором кредиту (позики).</w:t>
      </w:r>
    </w:p>
    <w:p w14:paraId="3B72C1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1" w:name="n16069"/>
      <w:bookmarkEnd w:id="10001"/>
      <w:r w:rsidRPr="008B264B">
        <w:rPr>
          <w:rFonts w:ascii="Times New Roman" w:eastAsia="Times New Roman" w:hAnsi="Times New Roman" w:cs="Times New Roman"/>
          <w:color w:val="000000"/>
          <w:sz w:val="24"/>
          <w:szCs w:val="24"/>
          <w:lang/>
        </w:rPr>
        <w:t>У разі постачання (продажу, відчуження в інший спосіб) банками та іншими фінансовими установами товарів, отриманих ними в результаті операцій, звільнених від оподаткування на підставі цього пункту, базою оподаткування є позитивна різниця між ціною постачання та ціною придбання таких товарів. Ціна придбання визначається як вартість товарів, за якою такі товари були отримані банками та іншими фінансовими установами.</w:t>
      </w:r>
    </w:p>
    <w:p w14:paraId="3C7FB9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2" w:name="n12972"/>
      <w:bookmarkEnd w:id="10002"/>
      <w:r w:rsidRPr="008B264B">
        <w:rPr>
          <w:rFonts w:ascii="Times New Roman" w:eastAsia="Times New Roman" w:hAnsi="Times New Roman" w:cs="Times New Roman"/>
          <w:i/>
          <w:iCs/>
          <w:color w:val="000000"/>
          <w:sz w:val="24"/>
          <w:szCs w:val="24"/>
          <w:lang/>
        </w:rPr>
        <w:t>{Підрозділ 2 розділу XX доповнено пунктом 46 згідно із Законом </w:t>
      </w:r>
      <w:hyperlink r:id="rId5587" w:anchor="n67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588" w:anchor="n1474"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5589" w:anchor="n11"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0AFCE3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3" w:name="n13047"/>
      <w:bookmarkEnd w:id="10003"/>
      <w:r w:rsidRPr="008B264B">
        <w:rPr>
          <w:rFonts w:ascii="Times New Roman" w:eastAsia="Times New Roman" w:hAnsi="Times New Roman" w:cs="Times New Roman"/>
          <w:color w:val="000000"/>
          <w:sz w:val="24"/>
          <w:szCs w:val="24"/>
          <w:lang/>
        </w:rPr>
        <w:t>47. Тимчасово, на період реалізації проекту модернізації Бортницької станції очистки стічних вод у рамках реалізації проекту "Реконструкція споруд очистки стічних каналізаційних вод і будівництво технологічної лінії по обробці та утилізації осадів Бортницької станції аерації", затвердженого Кабінетом Міністрів України (далі - Проект) для японських суб’єктів з реалізації Проекту встановлюються такі особливості оподаткування податком на додану вартість:</w:t>
      </w:r>
    </w:p>
    <w:p w14:paraId="22BD24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4" w:name="n13048"/>
      <w:bookmarkEnd w:id="10004"/>
      <w:r w:rsidRPr="008B264B">
        <w:rPr>
          <w:rFonts w:ascii="Times New Roman" w:eastAsia="Times New Roman" w:hAnsi="Times New Roman" w:cs="Times New Roman"/>
          <w:color w:val="000000"/>
          <w:sz w:val="24"/>
          <w:szCs w:val="24"/>
          <w:lang/>
        </w:rPr>
        <w:t>а) до операцій з ввезення на митну територію України у митному режимі тимчасового ввезення товарів, визначених </w:t>
      </w:r>
      <w:hyperlink r:id="rId5590" w:anchor="n4988" w:tgtFrame="_blank" w:history="1">
        <w:r w:rsidRPr="008B264B">
          <w:rPr>
            <w:rFonts w:ascii="Times New Roman" w:eastAsia="Times New Roman" w:hAnsi="Times New Roman" w:cs="Times New Roman"/>
            <w:color w:val="0000FF"/>
            <w:sz w:val="24"/>
            <w:szCs w:val="24"/>
            <w:u w:val="single"/>
            <w:lang/>
          </w:rPr>
          <w:t>пунктом 4</w:t>
        </w:r>
      </w:hyperlink>
      <w:hyperlink r:id="rId5591" w:anchor="n4988" w:tgtFrame="_blank"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розділу XXI "Прикінцеві та перехідні положення" Митного кодексу України, для виконання робіт та/або надання послуг у рамках реалізації Проекту застосовується умовне повне звільнення від оподаткування;</w:t>
      </w:r>
    </w:p>
    <w:p w14:paraId="4D3E0A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5" w:name="n13049"/>
      <w:bookmarkEnd w:id="10005"/>
      <w:r w:rsidRPr="008B264B">
        <w:rPr>
          <w:rFonts w:ascii="Times New Roman" w:eastAsia="Times New Roman" w:hAnsi="Times New Roman" w:cs="Times New Roman"/>
          <w:color w:val="000000"/>
          <w:sz w:val="24"/>
          <w:szCs w:val="24"/>
          <w:lang/>
        </w:rPr>
        <w:t>б) операції з ввезення на митну територію України у митному режимі імпорту товарів, визначених підпунктом 12 пункту 4 розділу XXI "Прикінцеві та перехідні положення" Митного кодексу України, для виконання робіт та/або надання послуг у рамках реалізації Проекту звільняються від оподаткування;</w:t>
      </w:r>
    </w:p>
    <w:p w14:paraId="601B88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6" w:name="n13050"/>
      <w:bookmarkEnd w:id="10006"/>
      <w:r w:rsidRPr="008B264B">
        <w:rPr>
          <w:rFonts w:ascii="Times New Roman" w:eastAsia="Times New Roman" w:hAnsi="Times New Roman" w:cs="Times New Roman"/>
          <w:color w:val="000000"/>
          <w:sz w:val="24"/>
          <w:szCs w:val="24"/>
          <w:lang/>
        </w:rPr>
        <w:t>в) операції з постачання послуг на митній території України, які виконуються за угодами в рамках реалізації Проекту, звільняються від оподаткування. </w:t>
      </w:r>
      <w:hyperlink r:id="rId5592" w:anchor="n8" w:tgtFrame="_blank" w:history="1">
        <w:r w:rsidRPr="008B264B">
          <w:rPr>
            <w:rFonts w:ascii="Times New Roman" w:eastAsia="Times New Roman" w:hAnsi="Times New Roman" w:cs="Times New Roman"/>
            <w:color w:val="0000FF"/>
            <w:sz w:val="24"/>
            <w:szCs w:val="24"/>
            <w:u w:val="single"/>
            <w:lang/>
          </w:rPr>
          <w:t>Порядок звільнення від оподаткування</w:t>
        </w:r>
      </w:hyperlink>
      <w:r w:rsidRPr="008B264B">
        <w:rPr>
          <w:rFonts w:ascii="Times New Roman" w:eastAsia="Times New Roman" w:hAnsi="Times New Roman" w:cs="Times New Roman"/>
          <w:color w:val="000000"/>
          <w:sz w:val="24"/>
          <w:szCs w:val="24"/>
          <w:lang/>
        </w:rPr>
        <w:t> таких послуг встановлюється Кабінетом Міністрів України;</w:t>
      </w:r>
    </w:p>
    <w:p w14:paraId="1B5DB9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7" w:name="n13051"/>
      <w:bookmarkEnd w:id="10007"/>
      <w:r w:rsidRPr="008B264B">
        <w:rPr>
          <w:rFonts w:ascii="Times New Roman" w:eastAsia="Times New Roman" w:hAnsi="Times New Roman" w:cs="Times New Roman"/>
          <w:color w:val="000000"/>
          <w:sz w:val="24"/>
          <w:szCs w:val="24"/>
          <w:lang/>
        </w:rPr>
        <w:t>г) операції з постачання послуг у рамках реалізації Проекту із спорудження об’єкта (або його частин) японським суб’єктом з реалізації Проекту українському замовнику з реалізації Проекту ПАТ "АК "Київводоканал" звільняються від оподаткування.</w:t>
      </w:r>
    </w:p>
    <w:p w14:paraId="75A75C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8" w:name="n13052"/>
      <w:bookmarkEnd w:id="10008"/>
      <w:r w:rsidRPr="008B264B">
        <w:rPr>
          <w:rFonts w:ascii="Times New Roman" w:eastAsia="Times New Roman" w:hAnsi="Times New Roman" w:cs="Times New Roman"/>
          <w:color w:val="000000"/>
          <w:sz w:val="24"/>
          <w:szCs w:val="24"/>
          <w:lang/>
        </w:rPr>
        <w:t xml:space="preserve">У разі порушення умов звільнення від оподаткування, визначених цим пунктом, платник податку зобов’язаний збільшити податкові зобов’язання за результатами податкового періоду, на </w:t>
      </w:r>
      <w:r w:rsidRPr="008B264B">
        <w:rPr>
          <w:rFonts w:ascii="Times New Roman" w:eastAsia="Times New Roman" w:hAnsi="Times New Roman" w:cs="Times New Roman"/>
          <w:color w:val="000000"/>
          <w:sz w:val="24"/>
          <w:szCs w:val="24"/>
          <w:lang/>
        </w:rPr>
        <w:lastRenderedPageBreak/>
        <w:t>який припадає таке порушення, на суму податку, що має бути нарахована на дату виникнення таких податкових зобов’язань, а також сплатити пеню, нараховану на таку суму податку, виходячи із 120 відсотків облікової ставки Національного банку України, що діяла на день збільшення податкового зобов’язання, за період з дати виникнення податкових зобов’язань до дати збільшення обсягу податкових зобов’язань".</w:t>
      </w:r>
    </w:p>
    <w:p w14:paraId="309A8C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09" w:name="n13053"/>
      <w:bookmarkEnd w:id="10009"/>
      <w:r w:rsidRPr="008B264B">
        <w:rPr>
          <w:rFonts w:ascii="Times New Roman" w:eastAsia="Times New Roman" w:hAnsi="Times New Roman" w:cs="Times New Roman"/>
          <w:color w:val="000000"/>
          <w:sz w:val="24"/>
          <w:szCs w:val="24"/>
          <w:lang/>
        </w:rPr>
        <w:t>Термін "японський суб’єкт з реалізації Проекту" вживається у значенні, наведеному у </w:t>
      </w:r>
      <w:hyperlink r:id="rId5593" w:anchor="n13038" w:history="1">
        <w:r w:rsidRPr="008B264B">
          <w:rPr>
            <w:rFonts w:ascii="Times New Roman" w:eastAsia="Times New Roman" w:hAnsi="Times New Roman" w:cs="Times New Roman"/>
            <w:color w:val="0000FF"/>
            <w:sz w:val="24"/>
            <w:szCs w:val="24"/>
            <w:u w:val="single"/>
            <w:lang/>
          </w:rPr>
          <w:t>пункті 9</w:t>
        </w:r>
      </w:hyperlink>
      <w:r w:rsidRPr="008B264B">
        <w:rPr>
          <w:rFonts w:ascii="Times New Roman" w:eastAsia="Times New Roman" w:hAnsi="Times New Roman" w:cs="Times New Roman"/>
          <w:color w:val="000000"/>
          <w:sz w:val="24"/>
          <w:szCs w:val="24"/>
          <w:lang/>
        </w:rPr>
        <w:t> підрозділу 1 цього розділу.</w:t>
      </w:r>
    </w:p>
    <w:p w14:paraId="341DF9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0" w:name="n13046"/>
      <w:bookmarkEnd w:id="10010"/>
      <w:r w:rsidRPr="008B264B">
        <w:rPr>
          <w:rFonts w:ascii="Times New Roman" w:eastAsia="Times New Roman" w:hAnsi="Times New Roman" w:cs="Times New Roman"/>
          <w:i/>
          <w:iCs/>
          <w:color w:val="000000"/>
          <w:sz w:val="24"/>
          <w:szCs w:val="24"/>
          <w:lang/>
        </w:rPr>
        <w:t>{Підрозділ 2 розділу XX доповнено пунктом згідно із Законом </w:t>
      </w:r>
      <w:hyperlink r:id="rId5594" w:anchor="n18" w:tgtFrame="_blank" w:history="1">
        <w:r w:rsidRPr="008B264B">
          <w:rPr>
            <w:rFonts w:ascii="Times New Roman" w:eastAsia="Times New Roman" w:hAnsi="Times New Roman" w:cs="Times New Roman"/>
            <w:i/>
            <w:iCs/>
            <w:color w:val="0000FF"/>
            <w:sz w:val="24"/>
            <w:szCs w:val="24"/>
            <w:u w:val="single"/>
            <w:lang/>
          </w:rPr>
          <w:t>№ 903-VIII від 23.12.2015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595" w:anchor="n147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D0332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1" w:name="n13380"/>
      <w:bookmarkEnd w:id="10011"/>
      <w:r w:rsidRPr="008B264B">
        <w:rPr>
          <w:rFonts w:ascii="Times New Roman" w:eastAsia="Times New Roman" w:hAnsi="Times New Roman" w:cs="Times New Roman"/>
          <w:color w:val="000000"/>
          <w:sz w:val="24"/>
          <w:szCs w:val="24"/>
          <w:lang/>
        </w:rPr>
        <w:t>48. Установити, що рахунки в системі електронного адміністрування податку на додану вартість, що додатково відкриті відповідно до </w:t>
      </w:r>
      <w:hyperlink r:id="rId5596" w:anchor="n11310" w:history="1">
        <w:r w:rsidRPr="008B264B">
          <w:rPr>
            <w:rFonts w:ascii="Times New Roman" w:eastAsia="Times New Roman" w:hAnsi="Times New Roman" w:cs="Times New Roman"/>
            <w:color w:val="0000FF"/>
            <w:sz w:val="24"/>
            <w:szCs w:val="24"/>
            <w:u w:val="single"/>
            <w:lang/>
          </w:rPr>
          <w:t>пункту 200</w:t>
        </w:r>
      </w:hyperlink>
      <w:hyperlink r:id="rId5597" w:anchor="n11310"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598" w:anchor="n11310" w:history="1">
        <w:r w:rsidRPr="008B264B">
          <w:rPr>
            <w:rFonts w:ascii="Times New Roman" w:eastAsia="Times New Roman" w:hAnsi="Times New Roman" w:cs="Times New Roman"/>
            <w:color w:val="0000FF"/>
            <w:sz w:val="24"/>
            <w:szCs w:val="24"/>
            <w:u w:val="single"/>
            <w:lang/>
          </w:rPr>
          <w:t>.2</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платникам - сільськогосподарським підприємствам, які обрали спеціальний режим оподаткування відповідно до </w:t>
      </w:r>
      <w:hyperlink r:id="rId5599"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закриваються з дня, наступного за граничним строком сплати податкових зобов’язань за грудень 2016 року, для платників, які обрали квартальний податковий період, - за четвертий квартал 2016 року.</w:t>
      </w:r>
    </w:p>
    <w:p w14:paraId="7EC022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2" w:name="n13381"/>
      <w:bookmarkEnd w:id="10012"/>
      <w:r w:rsidRPr="008B264B">
        <w:rPr>
          <w:rFonts w:ascii="Times New Roman" w:eastAsia="Times New Roman" w:hAnsi="Times New Roman" w:cs="Times New Roman"/>
          <w:color w:val="000000"/>
          <w:sz w:val="24"/>
          <w:szCs w:val="24"/>
          <w:lang/>
        </w:rPr>
        <w:t>Для закриття таких рахунків у системі електронного адміністрування податку на додану вартість центральний орган виконавчої влади, що забезпечує реалізацію податкової та митної політики, надсилає органу, що здійснює казначейське обслуговування бюджетних коштів, в якому закриваються рахунки платників у системі електронного адміністрування податку на додану вартість, реєстр платників, в якому зазначаються назва платника, податковий номер та індивідуальний податковий номер платника.</w:t>
      </w:r>
    </w:p>
    <w:p w14:paraId="2BF4E4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3" w:name="n13390"/>
      <w:bookmarkEnd w:id="10013"/>
      <w:r w:rsidRPr="008B264B">
        <w:rPr>
          <w:rFonts w:ascii="Times New Roman" w:eastAsia="Times New Roman" w:hAnsi="Times New Roman" w:cs="Times New Roman"/>
          <w:i/>
          <w:iCs/>
          <w:color w:val="000000"/>
          <w:sz w:val="24"/>
          <w:szCs w:val="24"/>
          <w:lang/>
        </w:rPr>
        <w:t>{Підрозділ 2 розділу XX доповнено пунктом 48 згідно із Законом </w:t>
      </w:r>
      <w:hyperlink r:id="rId5600" w:anchor="n1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6CECBC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4" w:name="n13382"/>
      <w:bookmarkEnd w:id="10014"/>
      <w:r w:rsidRPr="008B264B">
        <w:rPr>
          <w:rFonts w:ascii="Times New Roman" w:eastAsia="Times New Roman" w:hAnsi="Times New Roman" w:cs="Times New Roman"/>
          <w:color w:val="000000"/>
          <w:sz w:val="24"/>
          <w:szCs w:val="24"/>
          <w:lang/>
        </w:rPr>
        <w:t>49. Реєстрація </w:t>
      </w:r>
      <w:hyperlink r:id="rId5601"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та/або розрахунків коригування до податкових накладних у Єдиному реєстрі податкових накладних, складених платниками - сільськогосподарськими підприємствами, що до 1 січня 2017 року застосовували спеціальний режим оподаткування відповідно до </w:t>
      </w:r>
      <w:hyperlink r:id="rId5602"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 операціями з постачання сільськогосподарських товарів/послуг, визначених відповідно до </w:t>
      </w:r>
      <w:hyperlink r:id="rId5603" w:anchor="n5207" w:history="1">
        <w:r w:rsidRPr="008B264B">
          <w:rPr>
            <w:rFonts w:ascii="Times New Roman" w:eastAsia="Times New Roman" w:hAnsi="Times New Roman" w:cs="Times New Roman"/>
            <w:color w:val="0000FF"/>
            <w:sz w:val="24"/>
            <w:szCs w:val="24"/>
            <w:u w:val="single"/>
            <w:lang/>
          </w:rPr>
          <w:t>пункту 209.7</w:t>
        </w:r>
      </w:hyperlink>
      <w:r w:rsidRPr="008B264B">
        <w:rPr>
          <w:rFonts w:ascii="Times New Roman" w:eastAsia="Times New Roman" w:hAnsi="Times New Roman" w:cs="Times New Roman"/>
          <w:color w:val="000000"/>
          <w:sz w:val="24"/>
          <w:szCs w:val="24"/>
          <w:lang/>
        </w:rPr>
        <w:t> статті 209 цього Кодексу, має бути здійснена не пізніше 15 січня 2017 року.</w:t>
      </w:r>
    </w:p>
    <w:p w14:paraId="50FD32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5" w:name="n13383"/>
      <w:bookmarkEnd w:id="10015"/>
      <w:r w:rsidRPr="008B264B">
        <w:rPr>
          <w:rFonts w:ascii="Times New Roman" w:eastAsia="Times New Roman" w:hAnsi="Times New Roman" w:cs="Times New Roman"/>
          <w:color w:val="000000"/>
          <w:sz w:val="24"/>
          <w:szCs w:val="24"/>
          <w:lang/>
        </w:rPr>
        <w:t>Реєстрація зазначених в абзаці першому цього пункту </w:t>
      </w:r>
      <w:hyperlink r:id="rId5604" w:anchor="n20" w:tgtFrame="_blank" w:history="1">
        <w:r w:rsidRPr="008B264B">
          <w:rPr>
            <w:rFonts w:ascii="Times New Roman" w:eastAsia="Times New Roman" w:hAnsi="Times New Roman" w:cs="Times New Roman"/>
            <w:color w:val="0000FF"/>
            <w:sz w:val="24"/>
            <w:szCs w:val="24"/>
            <w:u w:val="single"/>
            <w:lang/>
          </w:rPr>
          <w:t>податкових накладних</w:t>
        </w:r>
      </w:hyperlink>
      <w:r w:rsidRPr="008B264B">
        <w:rPr>
          <w:rFonts w:ascii="Times New Roman" w:eastAsia="Times New Roman" w:hAnsi="Times New Roman" w:cs="Times New Roman"/>
          <w:color w:val="000000"/>
          <w:sz w:val="24"/>
          <w:szCs w:val="24"/>
          <w:lang/>
        </w:rPr>
        <w:t> та/або розрахунків коригування до податкових накладних не може здійснюватися з порушенням строку, визначеного абзацом першим цього пункту.</w:t>
      </w:r>
    </w:p>
    <w:p w14:paraId="1C84F6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6" w:name="n13389"/>
      <w:bookmarkEnd w:id="10016"/>
      <w:r w:rsidRPr="008B264B">
        <w:rPr>
          <w:rFonts w:ascii="Times New Roman" w:eastAsia="Times New Roman" w:hAnsi="Times New Roman" w:cs="Times New Roman"/>
          <w:i/>
          <w:iCs/>
          <w:color w:val="000000"/>
          <w:sz w:val="24"/>
          <w:szCs w:val="24"/>
          <w:lang/>
        </w:rPr>
        <w:t>{Підрозділ 2 розділу XX доповнено пунктом 49 згідно із Законом </w:t>
      </w:r>
      <w:hyperlink r:id="rId5605" w:anchor="n1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3E560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7" w:name="n13384"/>
      <w:bookmarkEnd w:id="10017"/>
      <w:r w:rsidRPr="008B264B">
        <w:rPr>
          <w:rFonts w:ascii="Times New Roman" w:eastAsia="Times New Roman" w:hAnsi="Times New Roman" w:cs="Times New Roman"/>
          <w:color w:val="000000"/>
          <w:sz w:val="24"/>
          <w:szCs w:val="24"/>
          <w:lang/>
        </w:rPr>
        <w:t>50. Сума від’ємного значення за операціями з постачання сільськогосподарських товарів/послуг, визначених відповідно до </w:t>
      </w:r>
      <w:hyperlink r:id="rId5606" w:anchor="n5207" w:history="1">
        <w:r w:rsidRPr="008B264B">
          <w:rPr>
            <w:rFonts w:ascii="Times New Roman" w:eastAsia="Times New Roman" w:hAnsi="Times New Roman" w:cs="Times New Roman"/>
            <w:color w:val="0000FF"/>
            <w:sz w:val="24"/>
            <w:szCs w:val="24"/>
            <w:u w:val="single"/>
            <w:lang/>
          </w:rPr>
          <w:t>пункту 209.7</w:t>
        </w:r>
      </w:hyperlink>
      <w:r w:rsidRPr="008B264B">
        <w:rPr>
          <w:rFonts w:ascii="Times New Roman" w:eastAsia="Times New Roman" w:hAnsi="Times New Roman" w:cs="Times New Roman"/>
          <w:color w:val="000000"/>
          <w:sz w:val="24"/>
          <w:szCs w:val="24"/>
          <w:lang/>
        </w:rPr>
        <w:t> статті 209 цього Кодексу, сформована платниками - сільськогосподарськими підприємствами, що до 1 січня 2017 року застосовували спеціальний режим оподаткування відповідно до </w:t>
      </w:r>
      <w:hyperlink r:id="rId5607"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 результатами звітного (податкового) періоду за грудень 2016 року/четвертий квартал 2016 року, переноситься до податкової звітності наступного звітного (податкового) періоду, в якій відображаються розрахунки з бюджетом.</w:t>
      </w:r>
    </w:p>
    <w:p w14:paraId="01BFC9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8" w:name="n13388"/>
      <w:bookmarkEnd w:id="10018"/>
      <w:r w:rsidRPr="008B264B">
        <w:rPr>
          <w:rFonts w:ascii="Times New Roman" w:eastAsia="Times New Roman" w:hAnsi="Times New Roman" w:cs="Times New Roman"/>
          <w:i/>
          <w:iCs/>
          <w:color w:val="000000"/>
          <w:sz w:val="24"/>
          <w:szCs w:val="24"/>
          <w:lang/>
        </w:rPr>
        <w:t>{Підрозділ 2 розділу XX доповнено пунктом 50 згідно із Законом </w:t>
      </w:r>
      <w:hyperlink r:id="rId5608" w:anchor="n1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3591E2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19" w:name="n13385"/>
      <w:bookmarkEnd w:id="10019"/>
      <w:r w:rsidRPr="008B264B">
        <w:rPr>
          <w:rFonts w:ascii="Times New Roman" w:eastAsia="Times New Roman" w:hAnsi="Times New Roman" w:cs="Times New Roman"/>
          <w:color w:val="000000"/>
          <w:sz w:val="24"/>
          <w:szCs w:val="24"/>
          <w:lang/>
        </w:rPr>
        <w:t>51. Установити, що з 1 січня 2017 року до 1 січня 2022 року платники - сільськогосподарські товаровиробники, внесені до Реєстру отримувачів бюджетної дотації відповідно до </w:t>
      </w:r>
      <w:hyperlink r:id="rId5609"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сільського господарства України" (далі - Реєстр отримувачів бюджетної дотації), у порядку та строки, встановлені цим Кодексом, подають податкову декларацію з податку на додану вартість з додатком, у якому зазначають обсяг податкових зобов’язань з податку на додану вартість з постачання товарів за результатами діяльності за операціями, визначеними пунктом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статті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xml:space="preserve"> Закону України "Про державну підтримку сільського господарства України", розрахований за даними податкових накладних за відповідний </w:t>
      </w:r>
      <w:r w:rsidRPr="008B264B">
        <w:rPr>
          <w:rFonts w:ascii="Times New Roman" w:eastAsia="Times New Roman" w:hAnsi="Times New Roman" w:cs="Times New Roman"/>
          <w:color w:val="000000"/>
          <w:sz w:val="24"/>
          <w:szCs w:val="24"/>
          <w:lang/>
        </w:rPr>
        <w:lastRenderedPageBreak/>
        <w:t>звітний податковий період, зареєстрованих у Єдиному реєстрі податкових накладних, а також розрахунок питомої ваги вартості сільськогосподарських товарів, поставлених протягом попередніх 12 послідовних звітних податкових періодів (місяців).</w:t>
      </w:r>
    </w:p>
    <w:p w14:paraId="38BD5B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0" w:name="n14924"/>
      <w:bookmarkEnd w:id="10020"/>
      <w:r w:rsidRPr="008B264B">
        <w:rPr>
          <w:rFonts w:ascii="Times New Roman" w:eastAsia="Times New Roman" w:hAnsi="Times New Roman" w:cs="Times New Roman"/>
          <w:i/>
          <w:iCs/>
          <w:color w:val="000000"/>
          <w:sz w:val="24"/>
          <w:szCs w:val="24"/>
          <w:lang/>
        </w:rPr>
        <w:t>{Абзац перший пункту 51 підрозділу 2 розділу XX в редакції Закону </w:t>
      </w:r>
      <w:hyperlink r:id="rId5610" w:anchor="n40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35BD8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1" w:name="n13386"/>
      <w:bookmarkEnd w:id="10021"/>
      <w:r w:rsidRPr="008B264B">
        <w:rPr>
          <w:rFonts w:ascii="Times New Roman" w:eastAsia="Times New Roman" w:hAnsi="Times New Roman" w:cs="Times New Roman"/>
          <w:color w:val="000000"/>
          <w:sz w:val="24"/>
          <w:szCs w:val="24"/>
          <w:lang/>
        </w:rPr>
        <w:t>Форма додатка затверджується центральним органом виконавчої влади, що забезпечує формування та реалізує державну фінансову політику. Центральний орган виконавчої влади, що забезпечує формування та реалізує державну фінансову політику, може встановити додаткові вимоги до відображення даних щодо окремих видів діяльності, визначених пунктом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.3 статті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hyperlink r:id="rId561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сільського господарства України".</w:t>
      </w:r>
    </w:p>
    <w:p w14:paraId="059F7F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2" w:name="n14925"/>
      <w:bookmarkEnd w:id="10022"/>
      <w:r w:rsidRPr="008B264B">
        <w:rPr>
          <w:rFonts w:ascii="Times New Roman" w:eastAsia="Times New Roman" w:hAnsi="Times New Roman" w:cs="Times New Roman"/>
          <w:i/>
          <w:iCs/>
          <w:color w:val="000000"/>
          <w:sz w:val="24"/>
          <w:szCs w:val="24"/>
          <w:lang/>
        </w:rPr>
        <w:t>{Абзац другий пункту 51 підрозділу 2 розділу XX в редакції Закону </w:t>
      </w:r>
      <w:hyperlink r:id="rId5612" w:anchor="n40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2EF2B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3" w:name="n13387"/>
      <w:bookmarkEnd w:id="10023"/>
      <w:r w:rsidRPr="008B264B">
        <w:rPr>
          <w:rFonts w:ascii="Times New Roman" w:eastAsia="Times New Roman" w:hAnsi="Times New Roman" w:cs="Times New Roman"/>
          <w:color w:val="000000"/>
          <w:sz w:val="24"/>
          <w:szCs w:val="24"/>
          <w:lang/>
        </w:rPr>
        <w:t>Для здійснення у порядку, встановленому </w:t>
      </w:r>
      <w:hyperlink r:id="rId5613" w:anchor="n11303" w:history="1">
        <w:r w:rsidRPr="008B264B">
          <w:rPr>
            <w:rFonts w:ascii="Times New Roman" w:eastAsia="Times New Roman" w:hAnsi="Times New Roman" w:cs="Times New Roman"/>
            <w:color w:val="0000FF"/>
            <w:sz w:val="24"/>
            <w:szCs w:val="24"/>
            <w:u w:val="single"/>
            <w:lang/>
          </w:rPr>
          <w:t>статтею 200</w:t>
        </w:r>
      </w:hyperlink>
      <w:hyperlink r:id="rId5614" w:anchor="n11303"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цього Кодексу, розрахунків з бюджетом платників - сільськогосподарських товаровиробників, внесених до Реєстру отримувачів бюджетної дотації, центральний орган виконавчої влади, що реалізує державну податкову та митну політику, надсилає центральному органу виконавчої влади, що забезпечує формування та реалізує державну аграрну політику, та центральному органу виконавчої влади, що реалізує державну політику у сфері казначейського обслуговування бюджетних коштів, в якому відкриті рахунки платників у системі електронного адміністрування податку на додану вартість, окремий реєстр, в якому зазначаються назва платника - сільськогосподарського товаровиробника, його податковий номер та індивідуальний податковий номер, сума податку, сплачена до бюджету.</w:t>
      </w:r>
    </w:p>
    <w:p w14:paraId="3C5793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4" w:name="n13379"/>
      <w:bookmarkEnd w:id="10024"/>
      <w:r w:rsidRPr="008B264B">
        <w:rPr>
          <w:rFonts w:ascii="Times New Roman" w:eastAsia="Times New Roman" w:hAnsi="Times New Roman" w:cs="Times New Roman"/>
          <w:i/>
          <w:iCs/>
          <w:color w:val="000000"/>
          <w:sz w:val="24"/>
          <w:szCs w:val="24"/>
          <w:lang/>
        </w:rPr>
        <w:t>{Підрозділ 2 розділу XX доповнено пунктом 51 згідно із Законом </w:t>
      </w:r>
      <w:hyperlink r:id="rId5615" w:anchor="n15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6B5B9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5" w:name="n14427"/>
      <w:bookmarkEnd w:id="10025"/>
      <w:r w:rsidRPr="008B264B">
        <w:rPr>
          <w:rFonts w:ascii="Times New Roman" w:eastAsia="Times New Roman" w:hAnsi="Times New Roman" w:cs="Times New Roman"/>
          <w:color w:val="000000"/>
          <w:sz w:val="24"/>
          <w:szCs w:val="24"/>
          <w:lang/>
        </w:rPr>
        <w:t>52. До 10 січня 2017 року центральний орган виконавчої влади, що реалізує державну податкову та митну політику, зобов’язаний на підставі реєстрів заяв про повернення суми бюджетного відшкодування платникам податку, які відповідають та які не відповідають критеріям, визначеним </w:t>
      </w:r>
      <w:hyperlink r:id="rId5616" w:anchor="n10375" w:history="1">
        <w:r w:rsidRPr="008B264B">
          <w:rPr>
            <w:rFonts w:ascii="Times New Roman" w:eastAsia="Times New Roman" w:hAnsi="Times New Roman" w:cs="Times New Roman"/>
            <w:color w:val="0000FF"/>
            <w:sz w:val="24"/>
            <w:szCs w:val="24"/>
            <w:u w:val="single"/>
            <w:lang/>
          </w:rPr>
          <w:t>пунктом 200.19</w:t>
        </w:r>
      </w:hyperlink>
      <w:r w:rsidRPr="008B264B">
        <w:rPr>
          <w:rFonts w:ascii="Times New Roman" w:eastAsia="Times New Roman" w:hAnsi="Times New Roman" w:cs="Times New Roman"/>
          <w:color w:val="000000"/>
          <w:sz w:val="24"/>
          <w:szCs w:val="24"/>
          <w:lang/>
        </w:rPr>
        <w:t> статті 200 цього Кодексу, в редакції, що діяла до 1 січня 2017 року, сформувати єдиний Реєстр заяв про повернення суми бюджетного відшкодування у хронологічному порядку їх надходження.</w:t>
      </w:r>
    </w:p>
    <w:p w14:paraId="048EDE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6" w:name="n14428"/>
      <w:bookmarkEnd w:id="10026"/>
      <w:r w:rsidRPr="008B264B">
        <w:rPr>
          <w:rFonts w:ascii="Times New Roman" w:eastAsia="Times New Roman" w:hAnsi="Times New Roman" w:cs="Times New Roman"/>
          <w:color w:val="000000"/>
          <w:sz w:val="24"/>
          <w:szCs w:val="24"/>
          <w:lang/>
        </w:rPr>
        <w:t>Формування, ведення, бюджетне відшкодування та офіційне публікування Реєстру заяв про повернення суми бюджетного відшкодування, зазначеного у цьому пункті, здійснюються у порядку, визначеному </w:t>
      </w:r>
      <w:hyperlink r:id="rId5617" w:anchor="n4987" w:history="1">
        <w:r w:rsidRPr="008B264B">
          <w:rPr>
            <w:rFonts w:ascii="Times New Roman" w:eastAsia="Times New Roman" w:hAnsi="Times New Roman" w:cs="Times New Roman"/>
            <w:color w:val="0000FF"/>
            <w:sz w:val="24"/>
            <w:szCs w:val="24"/>
            <w:u w:val="single"/>
            <w:lang/>
          </w:rPr>
          <w:t>статтею 200</w:t>
        </w:r>
      </w:hyperlink>
      <w:r w:rsidRPr="008B264B">
        <w:rPr>
          <w:rFonts w:ascii="Times New Roman" w:eastAsia="Times New Roman" w:hAnsi="Times New Roman" w:cs="Times New Roman"/>
          <w:color w:val="000000"/>
          <w:sz w:val="24"/>
          <w:szCs w:val="24"/>
          <w:lang/>
        </w:rPr>
        <w:t> цього Кодексу.</w:t>
      </w:r>
    </w:p>
    <w:p w14:paraId="780A03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7" w:name="n14449"/>
      <w:bookmarkEnd w:id="10027"/>
      <w:r w:rsidRPr="008B264B">
        <w:rPr>
          <w:rFonts w:ascii="Times New Roman" w:eastAsia="Times New Roman" w:hAnsi="Times New Roman" w:cs="Times New Roman"/>
          <w:i/>
          <w:iCs/>
          <w:color w:val="000000"/>
          <w:sz w:val="24"/>
          <w:szCs w:val="24"/>
          <w:lang/>
        </w:rPr>
        <w:t>{Підрозділ 2 розділу XX доповнено пунктом 52 згідно із Законом </w:t>
      </w:r>
      <w:hyperlink r:id="rId5618"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33C1A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8" w:name="n14429"/>
      <w:bookmarkEnd w:id="10028"/>
      <w:r w:rsidRPr="008B264B">
        <w:rPr>
          <w:rFonts w:ascii="Times New Roman" w:eastAsia="Times New Roman" w:hAnsi="Times New Roman" w:cs="Times New Roman"/>
          <w:color w:val="000000"/>
          <w:sz w:val="24"/>
          <w:szCs w:val="24"/>
          <w:lang/>
        </w:rPr>
        <w:t>53. Установити, що 20 січня 2017 року значення суми, на яку платник має право зареєструвати </w:t>
      </w:r>
      <w:hyperlink r:id="rId5619" w:anchor="n20" w:tgtFrame="_blank" w:history="1">
        <w:r w:rsidRPr="008B264B">
          <w:rPr>
            <w:rFonts w:ascii="Times New Roman" w:eastAsia="Times New Roman" w:hAnsi="Times New Roman" w:cs="Times New Roman"/>
            <w:color w:val="0000FF"/>
            <w:sz w:val="24"/>
            <w:szCs w:val="24"/>
            <w:u w:val="single"/>
            <w:lang/>
          </w:rPr>
          <w:t>податкові накладні</w:t>
        </w:r>
      </w:hyperlink>
      <w:r w:rsidRPr="008B264B">
        <w:rPr>
          <w:rFonts w:ascii="Times New Roman" w:eastAsia="Times New Roman" w:hAnsi="Times New Roman" w:cs="Times New Roman"/>
          <w:color w:val="000000"/>
          <w:sz w:val="24"/>
          <w:szCs w:val="24"/>
          <w:lang/>
        </w:rPr>
        <w:t>/розрахунки коригування до податкових накладних в Єдиному реєстрі податкових накладних, визначеної </w:t>
      </w:r>
      <w:hyperlink r:id="rId5620" w:anchor="n11312" w:history="1">
        <w:r w:rsidRPr="008B264B">
          <w:rPr>
            <w:rFonts w:ascii="Times New Roman" w:eastAsia="Times New Roman" w:hAnsi="Times New Roman" w:cs="Times New Roman"/>
            <w:color w:val="0000FF"/>
            <w:sz w:val="24"/>
            <w:szCs w:val="24"/>
            <w:u w:val="single"/>
            <w:lang/>
          </w:rPr>
          <w:t>пунктом 200</w:t>
        </w:r>
      </w:hyperlink>
      <w:hyperlink r:id="rId5621"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22"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збільшується на суму коштів, повернутих у період з 1 січня 2016 року до 1 січня 2017 року платнику податку відповідно до </w:t>
      </w:r>
      <w:hyperlink r:id="rId5623" w:anchor="n1105" w:history="1">
        <w:r w:rsidRPr="008B264B">
          <w:rPr>
            <w:rFonts w:ascii="Times New Roman" w:eastAsia="Times New Roman" w:hAnsi="Times New Roman" w:cs="Times New Roman"/>
            <w:color w:val="0000FF"/>
            <w:sz w:val="24"/>
            <w:szCs w:val="24"/>
            <w:u w:val="single"/>
            <w:lang/>
          </w:rPr>
          <w:t>пункту 43.4</w:t>
        </w:r>
      </w:hyperlink>
      <w:r w:rsidRPr="008B264B">
        <w:rPr>
          <w:rFonts w:ascii="Times New Roman" w:eastAsia="Times New Roman" w:hAnsi="Times New Roman" w:cs="Times New Roman"/>
          <w:color w:val="000000"/>
          <w:sz w:val="24"/>
          <w:szCs w:val="24"/>
          <w:lang/>
        </w:rPr>
        <w:t> статті 43 цього Кодексу на рахунок у системі електронного адміністрування податку на додану вартість: перерахованих з поточного рахунку платника безпосередньо до бюджету; перерахованих з рахунка в системі електронного адміністрування податку на додану вартість до бюджету за заявою платника відповідно до </w:t>
      </w:r>
      <w:hyperlink r:id="rId5624" w:anchor="n11325" w:history="1">
        <w:r w:rsidRPr="008B264B">
          <w:rPr>
            <w:rFonts w:ascii="Times New Roman" w:eastAsia="Times New Roman" w:hAnsi="Times New Roman" w:cs="Times New Roman"/>
            <w:color w:val="0000FF"/>
            <w:sz w:val="24"/>
            <w:szCs w:val="24"/>
            <w:u w:val="single"/>
            <w:lang/>
          </w:rPr>
          <w:t>пункту 200</w:t>
        </w:r>
      </w:hyperlink>
      <w:hyperlink r:id="rId5625" w:anchor="n11325"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26" w:anchor="n11325" w:history="1">
        <w:r w:rsidRPr="008B264B">
          <w:rPr>
            <w:rFonts w:ascii="Times New Roman" w:eastAsia="Times New Roman" w:hAnsi="Times New Roman" w:cs="Times New Roman"/>
            <w:color w:val="0000FF"/>
            <w:sz w:val="24"/>
            <w:szCs w:val="24"/>
            <w:u w:val="single"/>
            <w:lang/>
          </w:rPr>
          <w:t>.6</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який діяв у цей період.</w:t>
      </w:r>
    </w:p>
    <w:p w14:paraId="23C432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29" w:name="n14430"/>
      <w:bookmarkEnd w:id="10029"/>
      <w:r w:rsidRPr="008B264B">
        <w:rPr>
          <w:rFonts w:ascii="Times New Roman" w:eastAsia="Times New Roman" w:hAnsi="Times New Roman" w:cs="Times New Roman"/>
          <w:color w:val="000000"/>
          <w:sz w:val="24"/>
          <w:szCs w:val="24"/>
          <w:lang/>
        </w:rPr>
        <w:t>У межах суми такого збільшення платник податку має право подати заяву та перерахувати кошти з рахунка в системі електронного адміністрування податку на додану вартість такого платника податку на його поточний рахунок відповідно до </w:t>
      </w:r>
      <w:hyperlink r:id="rId5627" w:anchor="n11325" w:history="1">
        <w:r w:rsidRPr="008B264B">
          <w:rPr>
            <w:rFonts w:ascii="Times New Roman" w:eastAsia="Times New Roman" w:hAnsi="Times New Roman" w:cs="Times New Roman"/>
            <w:color w:val="0000FF"/>
            <w:sz w:val="24"/>
            <w:szCs w:val="24"/>
            <w:u w:val="single"/>
            <w:lang/>
          </w:rPr>
          <w:t>пункту 200</w:t>
        </w:r>
      </w:hyperlink>
      <w:hyperlink r:id="rId5628" w:anchor="n11325"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29" w:anchor="n11325" w:history="1">
        <w:r w:rsidRPr="008B264B">
          <w:rPr>
            <w:rFonts w:ascii="Times New Roman" w:eastAsia="Times New Roman" w:hAnsi="Times New Roman" w:cs="Times New Roman"/>
            <w:color w:val="0000FF"/>
            <w:sz w:val="24"/>
            <w:szCs w:val="24"/>
            <w:u w:val="single"/>
            <w:lang/>
          </w:rPr>
          <w:t>.6</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w:t>
      </w:r>
    </w:p>
    <w:p w14:paraId="38CE19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0" w:name="n14448"/>
      <w:bookmarkEnd w:id="10030"/>
      <w:r w:rsidRPr="008B264B">
        <w:rPr>
          <w:rFonts w:ascii="Times New Roman" w:eastAsia="Times New Roman" w:hAnsi="Times New Roman" w:cs="Times New Roman"/>
          <w:i/>
          <w:iCs/>
          <w:color w:val="000000"/>
          <w:sz w:val="24"/>
          <w:szCs w:val="24"/>
          <w:lang/>
        </w:rPr>
        <w:t>{Підрозділ 2 розділу XX доповнено пунктом 53 згідно із Законом </w:t>
      </w:r>
      <w:hyperlink r:id="rId5630"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5B7B7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1" w:name="n14431"/>
      <w:bookmarkEnd w:id="10031"/>
      <w:r w:rsidRPr="008B264B">
        <w:rPr>
          <w:rFonts w:ascii="Times New Roman" w:eastAsia="Times New Roman" w:hAnsi="Times New Roman" w:cs="Times New Roman"/>
          <w:color w:val="000000"/>
          <w:sz w:val="24"/>
          <w:szCs w:val="24"/>
          <w:lang/>
        </w:rPr>
        <w:t xml:space="preserve">54. Штрафні санкції та пеня, передбачені цим Кодексом, не застосовуються до сільськогосподарських підприємств, що застосовували спеціальний режим оподаткування </w:t>
      </w:r>
      <w:r w:rsidRPr="008B264B">
        <w:rPr>
          <w:rFonts w:ascii="Times New Roman" w:eastAsia="Times New Roman" w:hAnsi="Times New Roman" w:cs="Times New Roman"/>
          <w:color w:val="000000"/>
          <w:sz w:val="24"/>
          <w:szCs w:val="24"/>
          <w:lang/>
        </w:rPr>
        <w:lastRenderedPageBreak/>
        <w:t>податком на додану вартість відповідно до </w:t>
      </w:r>
      <w:hyperlink r:id="rId5631" w:anchor="n5191" w:history="1">
        <w:r w:rsidRPr="008B264B">
          <w:rPr>
            <w:rFonts w:ascii="Times New Roman" w:eastAsia="Times New Roman" w:hAnsi="Times New Roman" w:cs="Times New Roman"/>
            <w:color w:val="0000FF"/>
            <w:sz w:val="24"/>
            <w:szCs w:val="24"/>
            <w:u w:val="single"/>
            <w:lang/>
          </w:rPr>
          <w:t>статті 209</w:t>
        </w:r>
      </w:hyperlink>
      <w:r w:rsidRPr="008B264B">
        <w:rPr>
          <w:rFonts w:ascii="Times New Roman" w:eastAsia="Times New Roman" w:hAnsi="Times New Roman" w:cs="Times New Roman"/>
          <w:color w:val="000000"/>
          <w:sz w:val="24"/>
          <w:szCs w:val="24"/>
          <w:lang/>
        </w:rPr>
        <w:t> цього Кодексу, за заниження такими сільськогосподарськими підприємствами податкового зобов’язання з податку на додану вартість або завищення ними бюджетного відшкодування, які виникли внаслідок порушення порядку розподілу податкового кредиту, визначеного </w:t>
      </w:r>
      <w:hyperlink r:id="rId5632" w:anchor="n5231" w:history="1">
        <w:r w:rsidRPr="008B264B">
          <w:rPr>
            <w:rFonts w:ascii="Times New Roman" w:eastAsia="Times New Roman" w:hAnsi="Times New Roman" w:cs="Times New Roman"/>
            <w:color w:val="0000FF"/>
            <w:sz w:val="24"/>
            <w:szCs w:val="24"/>
            <w:u w:val="single"/>
            <w:lang/>
          </w:rPr>
          <w:t>підпунктом 209.15.1</w:t>
        </w:r>
      </w:hyperlink>
      <w:r w:rsidRPr="008B264B">
        <w:rPr>
          <w:rFonts w:ascii="Times New Roman" w:eastAsia="Times New Roman" w:hAnsi="Times New Roman" w:cs="Times New Roman"/>
          <w:color w:val="000000"/>
          <w:sz w:val="24"/>
          <w:szCs w:val="24"/>
          <w:lang/>
        </w:rPr>
        <w:t> пункту 209.15 статті 209 цього Кодексу, за звітні (податкові) періоди з 1 січня 2016 року по 1 січня 2017 року.</w:t>
      </w:r>
    </w:p>
    <w:p w14:paraId="0405A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2" w:name="n14447"/>
      <w:bookmarkEnd w:id="10032"/>
      <w:r w:rsidRPr="008B264B">
        <w:rPr>
          <w:rFonts w:ascii="Times New Roman" w:eastAsia="Times New Roman" w:hAnsi="Times New Roman" w:cs="Times New Roman"/>
          <w:i/>
          <w:iCs/>
          <w:color w:val="000000"/>
          <w:sz w:val="24"/>
          <w:szCs w:val="24"/>
          <w:lang/>
        </w:rPr>
        <w:t>{Підрозділ 2 розділу XX доповнено пунктом 54 згідно із Законом </w:t>
      </w:r>
      <w:hyperlink r:id="rId5633"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7D409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3" w:name="n14432"/>
      <w:bookmarkEnd w:id="10033"/>
      <w:r w:rsidRPr="008B264B">
        <w:rPr>
          <w:rFonts w:ascii="Times New Roman" w:eastAsia="Times New Roman" w:hAnsi="Times New Roman" w:cs="Times New Roman"/>
          <w:color w:val="000000"/>
          <w:sz w:val="24"/>
          <w:szCs w:val="24"/>
          <w:lang/>
        </w:rPr>
        <w:t>55. Установити, що бюджетне відшкодування податку на додану вартість здійснюється в межах коштів, наявних на єдиному казначейському рахунку.</w:t>
      </w:r>
    </w:p>
    <w:p w14:paraId="4C70F0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4" w:name="n14446"/>
      <w:bookmarkEnd w:id="10034"/>
      <w:r w:rsidRPr="008B264B">
        <w:rPr>
          <w:rFonts w:ascii="Times New Roman" w:eastAsia="Times New Roman" w:hAnsi="Times New Roman" w:cs="Times New Roman"/>
          <w:i/>
          <w:iCs/>
          <w:color w:val="000000"/>
          <w:sz w:val="24"/>
          <w:szCs w:val="24"/>
          <w:lang/>
        </w:rPr>
        <w:t>{Підрозділ 2 розділу XX доповнено пунктом 55 згідно із Законом </w:t>
      </w:r>
      <w:hyperlink r:id="rId5634"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3D64A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5" w:name="n14433"/>
      <w:bookmarkEnd w:id="10035"/>
      <w:r w:rsidRPr="008B264B">
        <w:rPr>
          <w:rFonts w:ascii="Times New Roman" w:eastAsia="Times New Roman" w:hAnsi="Times New Roman" w:cs="Times New Roman"/>
          <w:color w:val="000000"/>
          <w:sz w:val="24"/>
          <w:szCs w:val="24"/>
          <w:lang/>
        </w:rPr>
        <w:t>56. До 1 лютого 2017 року центральний орган виконавчої влади, що реалізує державну податкову та митну політику, формує у хронологічному порядку надходження заяв про повернення суми бюджетного відшкодування податку на додану вартість Тимчасовий реєстр заяв про повернення суми бюджетного відшкодування, поданих до 1 лютого 2016 року, за якими станом на 1 січня 2017 року суми податку на додану вартість не відшкодовані з бюджету.</w:t>
      </w:r>
    </w:p>
    <w:p w14:paraId="6EE570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6" w:name="n14434"/>
      <w:bookmarkEnd w:id="10036"/>
      <w:r w:rsidRPr="008B264B">
        <w:rPr>
          <w:rFonts w:ascii="Times New Roman" w:eastAsia="Times New Roman" w:hAnsi="Times New Roman" w:cs="Times New Roman"/>
          <w:color w:val="000000"/>
          <w:sz w:val="24"/>
          <w:szCs w:val="24"/>
          <w:lang/>
        </w:rPr>
        <w:t>Формування, ведення та офіційне публікування Тимчасового реєстру заяв про повернення суми бюджетного відшкодування, зазначеного у цьому пункті, здійснюються у порядку, визначеному статтею 200 цього Кодексу.</w:t>
      </w:r>
    </w:p>
    <w:p w14:paraId="732572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7" w:name="n14435"/>
      <w:bookmarkEnd w:id="10037"/>
      <w:r w:rsidRPr="008B264B">
        <w:rPr>
          <w:rFonts w:ascii="Times New Roman" w:eastAsia="Times New Roman" w:hAnsi="Times New Roman" w:cs="Times New Roman"/>
          <w:color w:val="000000"/>
          <w:sz w:val="24"/>
          <w:szCs w:val="24"/>
          <w:lang/>
        </w:rPr>
        <w:t>Відшкодування узгоджених сум податку на додану вартість, зазначених у такому реєстрі, здійснюється в хронологічному порядку відповідно до черговості надходження заяв про повернення таких сум бюджетного відшкодування податку на додану вартість в межах сум, визначених законом про Державний бюджет на відповідний рік. Розподіл сум бюджетного відшкодування податку на додану вартість, визначених законом про Державний бюджет на відповідний рік, між Тимчасовим реєстром заяв про повернення суми бюджетного відшкодування, зазначеним у цьому пункті, та Реєстром заяв про повернення суми бюджетного відшкодування податку на додану вартість здійснюється Кабінетом Міністрів України.</w:t>
      </w:r>
    </w:p>
    <w:p w14:paraId="7EB475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8" w:name="n14445"/>
      <w:bookmarkEnd w:id="10038"/>
      <w:r w:rsidRPr="008B264B">
        <w:rPr>
          <w:rFonts w:ascii="Times New Roman" w:eastAsia="Times New Roman" w:hAnsi="Times New Roman" w:cs="Times New Roman"/>
          <w:i/>
          <w:iCs/>
          <w:color w:val="000000"/>
          <w:sz w:val="24"/>
          <w:szCs w:val="24"/>
          <w:lang/>
        </w:rPr>
        <w:t>{Підрозділ 2 розділу XX доповнено пунктом 56 згідно із Законом </w:t>
      </w:r>
      <w:hyperlink r:id="rId5635"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F99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39" w:name="n14436"/>
      <w:bookmarkEnd w:id="10039"/>
      <w:r w:rsidRPr="008B264B">
        <w:rPr>
          <w:rFonts w:ascii="Times New Roman" w:eastAsia="Times New Roman" w:hAnsi="Times New Roman" w:cs="Times New Roman"/>
          <w:color w:val="000000"/>
          <w:sz w:val="24"/>
          <w:szCs w:val="24"/>
          <w:lang/>
        </w:rPr>
        <w:t>57. Період з 1 квітня 2017 року до 1 липня 2017 року є перехідним періодом, протягом якого процедура, визначена </w:t>
      </w:r>
      <w:hyperlink r:id="rId5636" w:anchor="n14571" w:history="1">
        <w:r w:rsidRPr="008B264B">
          <w:rPr>
            <w:rFonts w:ascii="Times New Roman" w:eastAsia="Times New Roman" w:hAnsi="Times New Roman" w:cs="Times New Roman"/>
            <w:color w:val="0000FF"/>
            <w:sz w:val="24"/>
            <w:szCs w:val="24"/>
            <w:u w:val="single"/>
            <w:lang/>
          </w:rPr>
          <w:t>пунктом 201.16</w:t>
        </w:r>
      </w:hyperlink>
      <w:r w:rsidRPr="008B264B">
        <w:rPr>
          <w:rFonts w:ascii="Times New Roman" w:eastAsia="Times New Roman" w:hAnsi="Times New Roman" w:cs="Times New Roman"/>
          <w:color w:val="000000"/>
          <w:sz w:val="24"/>
          <w:szCs w:val="24"/>
          <w:lang/>
        </w:rPr>
        <w:t> статті 201 цього Кодексу, здійснюється без фактичного зупинення реєстрації </w:t>
      </w:r>
      <w:hyperlink r:id="rId5637" w:anchor="n20" w:tgtFrame="_blank" w:history="1">
        <w:r w:rsidRPr="008B264B">
          <w:rPr>
            <w:rFonts w:ascii="Times New Roman" w:eastAsia="Times New Roman" w:hAnsi="Times New Roman" w:cs="Times New Roman"/>
            <w:color w:val="0000FF"/>
            <w:sz w:val="24"/>
            <w:szCs w:val="24"/>
            <w:u w:val="single"/>
            <w:lang/>
          </w:rPr>
          <w:t>податкової накладної</w:t>
        </w:r>
      </w:hyperlink>
      <w:r w:rsidRPr="008B264B">
        <w:rPr>
          <w:rFonts w:ascii="Times New Roman" w:eastAsia="Times New Roman" w:hAnsi="Times New Roman" w:cs="Times New Roman"/>
          <w:color w:val="000000"/>
          <w:sz w:val="24"/>
          <w:szCs w:val="24"/>
          <w:lang/>
        </w:rPr>
        <w:t>/розрахунку коригування у Єдиному реєстрі податкових накладних.</w:t>
      </w:r>
    </w:p>
    <w:p w14:paraId="611A54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0" w:name="n14444"/>
      <w:bookmarkEnd w:id="10040"/>
      <w:r w:rsidRPr="008B264B">
        <w:rPr>
          <w:rFonts w:ascii="Times New Roman" w:eastAsia="Times New Roman" w:hAnsi="Times New Roman" w:cs="Times New Roman"/>
          <w:i/>
          <w:iCs/>
          <w:color w:val="000000"/>
          <w:sz w:val="24"/>
          <w:szCs w:val="24"/>
          <w:lang/>
        </w:rPr>
        <w:t>{Підрозділ 2 розділу XX доповнено пунктом 57 згідно із Законом </w:t>
      </w:r>
      <w:hyperlink r:id="rId5638"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A2463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1" w:name="n14717"/>
      <w:bookmarkEnd w:id="10041"/>
      <w:r w:rsidRPr="008B264B">
        <w:rPr>
          <w:rFonts w:ascii="Times New Roman" w:eastAsia="Times New Roman" w:hAnsi="Times New Roman" w:cs="Times New Roman"/>
          <w:color w:val="000000"/>
          <w:sz w:val="24"/>
          <w:szCs w:val="24"/>
          <w:lang/>
        </w:rPr>
        <w:t>57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w:t>
      </w:r>
      <w:hyperlink r:id="rId5639" w:anchor="n20" w:tgtFrame="_blank" w:history="1">
        <w:r w:rsidRPr="008B264B">
          <w:rPr>
            <w:rFonts w:ascii="Times New Roman" w:eastAsia="Times New Roman" w:hAnsi="Times New Roman" w:cs="Times New Roman"/>
            <w:color w:val="0000FF"/>
            <w:sz w:val="24"/>
            <w:szCs w:val="24"/>
            <w:u w:val="single"/>
            <w:lang/>
          </w:rPr>
          <w:t>Податкові накладні</w:t>
        </w:r>
      </w:hyperlink>
      <w:r w:rsidRPr="008B264B">
        <w:rPr>
          <w:rFonts w:ascii="Times New Roman" w:eastAsia="Times New Roman" w:hAnsi="Times New Roman" w:cs="Times New Roman"/>
          <w:color w:val="000000"/>
          <w:sz w:val="24"/>
          <w:szCs w:val="24"/>
          <w:lang/>
        </w:rPr>
        <w:t>/розрахунки коригування, реєстрацію яких у Єдиному реєстрі податкових накладних зупинено відповідно до </w:t>
      </w:r>
      <w:hyperlink r:id="rId5640" w:anchor="n14571" w:history="1">
        <w:r w:rsidRPr="008B264B">
          <w:rPr>
            <w:rFonts w:ascii="Times New Roman" w:eastAsia="Times New Roman" w:hAnsi="Times New Roman" w:cs="Times New Roman"/>
            <w:color w:val="0000FF"/>
            <w:sz w:val="24"/>
            <w:szCs w:val="24"/>
            <w:u w:val="single"/>
            <w:lang/>
          </w:rPr>
          <w:t>пункту 201.16</w:t>
        </w:r>
      </w:hyperlink>
      <w:r w:rsidRPr="008B264B">
        <w:rPr>
          <w:rFonts w:ascii="Times New Roman" w:eastAsia="Times New Roman" w:hAnsi="Times New Roman" w:cs="Times New Roman"/>
          <w:color w:val="000000"/>
          <w:sz w:val="24"/>
          <w:szCs w:val="24"/>
          <w:lang/>
        </w:rPr>
        <w:t> статті 201 цього Кодексу, реєструються з урахуванням вимог </w:t>
      </w:r>
      <w:hyperlink r:id="rId5641" w:anchor="n11312" w:history="1">
        <w:r w:rsidRPr="008B264B">
          <w:rPr>
            <w:rFonts w:ascii="Times New Roman" w:eastAsia="Times New Roman" w:hAnsi="Times New Roman" w:cs="Times New Roman"/>
            <w:color w:val="0000FF"/>
            <w:sz w:val="24"/>
            <w:szCs w:val="24"/>
            <w:u w:val="single"/>
            <w:lang/>
          </w:rPr>
          <w:t>пунктів 200</w:t>
        </w:r>
      </w:hyperlink>
      <w:hyperlink r:id="rId5642"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43"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та </w:t>
      </w:r>
      <w:hyperlink r:id="rId5644" w:anchor="n14269" w:history="1">
        <w:r w:rsidRPr="008B264B">
          <w:rPr>
            <w:rFonts w:ascii="Times New Roman" w:eastAsia="Times New Roman" w:hAnsi="Times New Roman" w:cs="Times New Roman"/>
            <w:color w:val="0000FF"/>
            <w:sz w:val="24"/>
            <w:szCs w:val="24"/>
            <w:u w:val="single"/>
            <w:lang/>
          </w:rPr>
          <w:t>200</w:t>
        </w:r>
      </w:hyperlink>
      <w:hyperlink r:id="rId5645" w:anchor="n14269"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46" w:anchor="n14269" w:history="1">
        <w:r w:rsidRPr="008B264B">
          <w:rPr>
            <w:rFonts w:ascii="Times New Roman" w:eastAsia="Times New Roman" w:hAnsi="Times New Roman" w:cs="Times New Roman"/>
            <w:color w:val="0000FF"/>
            <w:sz w:val="24"/>
            <w:szCs w:val="24"/>
            <w:u w:val="single"/>
            <w:lang/>
          </w:rPr>
          <w:t>.9</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та </w:t>
      </w:r>
      <w:hyperlink r:id="rId5647" w:anchor="n5091" w:history="1">
        <w:r w:rsidRPr="008B264B">
          <w:rPr>
            <w:rFonts w:ascii="Times New Roman" w:eastAsia="Times New Roman" w:hAnsi="Times New Roman" w:cs="Times New Roman"/>
            <w:color w:val="0000FF"/>
            <w:sz w:val="24"/>
            <w:szCs w:val="24"/>
            <w:u w:val="single"/>
            <w:lang/>
          </w:rPr>
          <w:t>пункту 201.10</w:t>
        </w:r>
      </w:hyperlink>
      <w:r w:rsidRPr="008B264B">
        <w:rPr>
          <w:rFonts w:ascii="Times New Roman" w:eastAsia="Times New Roman" w:hAnsi="Times New Roman" w:cs="Times New Roman"/>
          <w:color w:val="000000"/>
          <w:sz w:val="24"/>
          <w:szCs w:val="24"/>
          <w:lang/>
        </w:rPr>
        <w:t> статті 201 цього Кодексу не пізніше 2 січня 2018 року, крім:</w:t>
      </w:r>
    </w:p>
    <w:p w14:paraId="70FCE5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2" w:name="n14718"/>
      <w:bookmarkEnd w:id="10042"/>
      <w:r w:rsidRPr="008B264B">
        <w:rPr>
          <w:rFonts w:ascii="Times New Roman" w:eastAsia="Times New Roman" w:hAnsi="Times New Roman" w:cs="Times New Roman"/>
          <w:color w:val="000000"/>
          <w:sz w:val="24"/>
          <w:szCs w:val="24"/>
          <w:lang/>
        </w:rPr>
        <w:t>податкових накладних/розрахунків коригування, щодо яких станом на 1 грудня 2017 року не подані пояснення і копії документів відповідно до </w:t>
      </w:r>
      <w:hyperlink r:id="rId5648" w:anchor="n14578" w:history="1">
        <w:r w:rsidRPr="008B264B">
          <w:rPr>
            <w:rFonts w:ascii="Times New Roman" w:eastAsia="Times New Roman" w:hAnsi="Times New Roman" w:cs="Times New Roman"/>
            <w:color w:val="0000FF"/>
            <w:sz w:val="24"/>
            <w:szCs w:val="24"/>
            <w:u w:val="single"/>
            <w:lang/>
          </w:rPr>
          <w:t>підпункту 201.16.2</w:t>
        </w:r>
      </w:hyperlink>
      <w:r w:rsidRPr="008B264B">
        <w:rPr>
          <w:rFonts w:ascii="Times New Roman" w:eastAsia="Times New Roman" w:hAnsi="Times New Roman" w:cs="Times New Roman"/>
          <w:color w:val="000000"/>
          <w:sz w:val="24"/>
          <w:szCs w:val="24"/>
          <w:lang/>
        </w:rPr>
        <w:t> пункту 201.16 статті 201 цього Кодексу;</w:t>
      </w:r>
    </w:p>
    <w:p w14:paraId="3107BA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3" w:name="n14719"/>
      <w:bookmarkEnd w:id="10043"/>
      <w:r w:rsidRPr="008B264B">
        <w:rPr>
          <w:rFonts w:ascii="Times New Roman" w:eastAsia="Times New Roman" w:hAnsi="Times New Roman" w:cs="Times New Roman"/>
          <w:color w:val="000000"/>
          <w:sz w:val="24"/>
          <w:szCs w:val="24"/>
          <w:lang/>
        </w:rPr>
        <w:t>податкових накладних/розрахунків коригування, щодо яких прийнято рішення про відмову у реєстрації податкової накладної/розрахунку коригування у Єдиному реєстрі податкових накладних, по яких станом на 1 грудня 2017 року не розпочинали процедуру оскарження в адміністративному або судовому порядку.</w:t>
      </w:r>
    </w:p>
    <w:bookmarkStart w:id="10044" w:name="n14720"/>
    <w:bookmarkEnd w:id="10044"/>
    <w:p w14:paraId="108B2E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"https://zakon.rada.gov.ua/laws/show/z0137-16" \l "n20"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Податкові накладні</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/розрахунки коригування, реєстрацію яких у Єдиному реєстрі податкових накладних зупинено відповідно до </w:t>
      </w:r>
      <w:hyperlink r:id="rId5649" w:anchor="n14571" w:history="1">
        <w:r w:rsidRPr="008B264B">
          <w:rPr>
            <w:rFonts w:ascii="Times New Roman" w:eastAsia="Times New Roman" w:hAnsi="Times New Roman" w:cs="Times New Roman"/>
            <w:color w:val="0000FF"/>
            <w:sz w:val="24"/>
            <w:szCs w:val="24"/>
            <w:u w:val="single"/>
            <w:lang/>
          </w:rPr>
          <w:t>пункту 201.16</w:t>
        </w:r>
      </w:hyperlink>
      <w:r w:rsidRPr="008B264B">
        <w:rPr>
          <w:rFonts w:ascii="Times New Roman" w:eastAsia="Times New Roman" w:hAnsi="Times New Roman" w:cs="Times New Roman"/>
          <w:color w:val="000000"/>
          <w:sz w:val="24"/>
          <w:szCs w:val="24"/>
          <w:lang/>
        </w:rPr>
        <w:t> статті 201 цього Кодексу з 1 грудня 2017 року до дня набрання чинності </w:t>
      </w:r>
      <w:hyperlink r:id="rId565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xml:space="preserve"> "Про внесення змін до Податкового кодексу України та деяких законодавчих актів України щодо забезпечення збалансованості бюджетних надходжень у 2018 році" та щодо яких платником податку після 1 грудня 2017 року подані </w:t>
      </w:r>
      <w:r w:rsidRPr="008B264B">
        <w:rPr>
          <w:rFonts w:ascii="Times New Roman" w:eastAsia="Times New Roman" w:hAnsi="Times New Roman" w:cs="Times New Roman"/>
          <w:color w:val="000000"/>
          <w:sz w:val="24"/>
          <w:szCs w:val="24"/>
          <w:lang/>
        </w:rPr>
        <w:lastRenderedPageBreak/>
        <w:t>пояснення і копії документів відповідно до </w:t>
      </w:r>
      <w:hyperlink r:id="rId5651" w:anchor="n14578" w:history="1">
        <w:r w:rsidRPr="008B264B">
          <w:rPr>
            <w:rFonts w:ascii="Times New Roman" w:eastAsia="Times New Roman" w:hAnsi="Times New Roman" w:cs="Times New Roman"/>
            <w:color w:val="0000FF"/>
            <w:sz w:val="24"/>
            <w:szCs w:val="24"/>
            <w:u w:val="single"/>
            <w:lang/>
          </w:rPr>
          <w:t>підпункту 201.16.2</w:t>
        </w:r>
      </w:hyperlink>
      <w:r w:rsidRPr="008B264B">
        <w:rPr>
          <w:rFonts w:ascii="Times New Roman" w:eastAsia="Times New Roman" w:hAnsi="Times New Roman" w:cs="Times New Roman"/>
          <w:color w:val="000000"/>
          <w:sz w:val="24"/>
          <w:szCs w:val="24"/>
          <w:lang/>
        </w:rPr>
        <w:t> пункту 201.16 статті 201 цього Кодексу, реєструються у Єдиному реєстрі податкових накладних у порядку, що діяв до набрання чинності </w:t>
      </w:r>
      <w:hyperlink r:id="rId565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та деяких законодавчих актів України щодо забезпечення збалансованості бюджетних надходжень у 2018 році" щодо зупинення реєстрації податкової накладної/розрахунку коригування у Єдиному реєстрі податкових накладних. У разі якщо протягом п’яти робочих днів з дня подання пояснень і копій документів не прийнято та/або не надіслано платнику податку рішення про реєстрацію або про відмову у реєстрації податкової накладної/розрахунку коригування, реєстрація таких податкових накладних/розрахунків коригування здійснюється на наступний робочий день за днем закінчення строку розгляду пояснень і копій документів платника податку.</w:t>
      </w:r>
    </w:p>
    <w:p w14:paraId="46910C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5" w:name="n14721"/>
      <w:bookmarkEnd w:id="10045"/>
      <w:r w:rsidRPr="008B264B">
        <w:rPr>
          <w:rFonts w:ascii="Times New Roman" w:eastAsia="Times New Roman" w:hAnsi="Times New Roman" w:cs="Times New Roman"/>
          <w:color w:val="000000"/>
          <w:sz w:val="24"/>
          <w:szCs w:val="24"/>
          <w:lang/>
        </w:rPr>
        <w:t>Дія </w:t>
      </w:r>
      <w:hyperlink r:id="rId5653" w:anchor="n14276" w:history="1">
        <w:r w:rsidRPr="008B264B">
          <w:rPr>
            <w:rFonts w:ascii="Times New Roman" w:eastAsia="Times New Roman" w:hAnsi="Times New Roman" w:cs="Times New Roman"/>
            <w:color w:val="0000FF"/>
            <w:sz w:val="24"/>
            <w:szCs w:val="24"/>
            <w:u w:val="single"/>
            <w:lang/>
          </w:rPr>
          <w:t>абзацу третього пункту 201.10</w:t>
        </w:r>
      </w:hyperlink>
      <w:r w:rsidRPr="008B264B">
        <w:rPr>
          <w:rFonts w:ascii="Times New Roman" w:eastAsia="Times New Roman" w:hAnsi="Times New Roman" w:cs="Times New Roman"/>
          <w:color w:val="000000"/>
          <w:sz w:val="24"/>
          <w:szCs w:val="24"/>
          <w:lang/>
        </w:rPr>
        <w:t> статті 201 цього Кодексу зупиняється до дня набрання чинності порядком, затвердженим відповідно до </w:t>
      </w:r>
      <w:hyperlink r:id="rId5654" w:anchor="n14571" w:history="1">
        <w:r w:rsidRPr="008B264B">
          <w:rPr>
            <w:rFonts w:ascii="Times New Roman" w:eastAsia="Times New Roman" w:hAnsi="Times New Roman" w:cs="Times New Roman"/>
            <w:color w:val="0000FF"/>
            <w:sz w:val="24"/>
            <w:szCs w:val="24"/>
            <w:u w:val="single"/>
            <w:lang/>
          </w:rPr>
          <w:t>пункту 201.16</w:t>
        </w:r>
      </w:hyperlink>
      <w:r w:rsidRPr="008B264B">
        <w:rPr>
          <w:rFonts w:ascii="Times New Roman" w:eastAsia="Times New Roman" w:hAnsi="Times New Roman" w:cs="Times New Roman"/>
          <w:color w:val="000000"/>
          <w:sz w:val="24"/>
          <w:szCs w:val="24"/>
          <w:lang/>
        </w:rPr>
        <w:t> цього Кодексу.</w:t>
      </w:r>
    </w:p>
    <w:p w14:paraId="45AAC9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6" w:name="n14716"/>
      <w:bookmarkEnd w:id="10046"/>
      <w:r w:rsidRPr="008B264B">
        <w:rPr>
          <w:rFonts w:ascii="Times New Roman" w:eastAsia="Times New Roman" w:hAnsi="Times New Roman" w:cs="Times New Roman"/>
          <w:i/>
          <w:iCs/>
          <w:color w:val="000000"/>
          <w:sz w:val="24"/>
          <w:szCs w:val="24"/>
          <w:lang/>
        </w:rPr>
        <w:t>{Підрозділ 2 розділу XX доповнено пунктом 57</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655" w:anchor="n41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40029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7" w:name="n14437"/>
      <w:bookmarkEnd w:id="10047"/>
      <w:r w:rsidRPr="008B264B">
        <w:rPr>
          <w:rFonts w:ascii="Times New Roman" w:eastAsia="Times New Roman" w:hAnsi="Times New Roman" w:cs="Times New Roman"/>
          <w:color w:val="000000"/>
          <w:sz w:val="24"/>
          <w:szCs w:val="24"/>
          <w:lang/>
        </w:rPr>
        <w:t>58. Контролюючий орган за заявою платника податку надає розстрочення (рівними частинами) сплати податку на додану вартість на термін до 36 календарних місяців без нарахування процентів та пені, визначених </w:t>
      </w:r>
      <w:hyperlink r:id="rId5656" w:anchor="n2476" w:history="1">
        <w:r w:rsidRPr="008B264B">
          <w:rPr>
            <w:rFonts w:ascii="Times New Roman" w:eastAsia="Times New Roman" w:hAnsi="Times New Roman" w:cs="Times New Roman"/>
            <w:color w:val="0000FF"/>
            <w:sz w:val="24"/>
            <w:szCs w:val="24"/>
            <w:u w:val="single"/>
            <w:lang/>
          </w:rPr>
          <w:t>пунктом 129.5</w:t>
        </w:r>
      </w:hyperlink>
      <w:r w:rsidRPr="008B264B">
        <w:rPr>
          <w:rFonts w:ascii="Times New Roman" w:eastAsia="Times New Roman" w:hAnsi="Times New Roman" w:cs="Times New Roman"/>
          <w:color w:val="000000"/>
          <w:sz w:val="24"/>
          <w:szCs w:val="24"/>
          <w:lang/>
        </w:rPr>
        <w:t> статті 129 цього Кодексу, при ввезенні на митну територію України у митному режимі імпорту тільки верстатів для обробки дерева, що класифікуються за кодами товарної позиції 8465 згідно з </w:t>
      </w:r>
      <w:hyperlink r:id="rId5657" w:anchor="n18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сушарок для деревини, що класифікуються у товарній підкатегорії 8419 32 00 00 згідно з УКТ ЗЕД; пресів для виробництва деревностружкових або деревноволокнистих плит, що класифікуються у товарній підпозиції 8479 30 згідно з УКТ ЗЕД, які ввозяться для використання у деревообробному виробництві.</w:t>
      </w:r>
    </w:p>
    <w:bookmarkStart w:id="10048" w:name="n14438"/>
    <w:bookmarkEnd w:id="10048"/>
    <w:p w14:paraId="5538BE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"https://zakon.rada.gov.ua/laws/show/775-2017-%D0%BF" \l "n11"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надання розстрочення сплати податку на додану вартість</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відповідно до цього пункту встановлюється Кабінетом Міністрів України.</w:t>
      </w:r>
    </w:p>
    <w:p w14:paraId="7CE0BC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49" w:name="n14439"/>
      <w:bookmarkEnd w:id="10049"/>
      <w:r w:rsidRPr="008B264B">
        <w:rPr>
          <w:rFonts w:ascii="Times New Roman" w:eastAsia="Times New Roman" w:hAnsi="Times New Roman" w:cs="Times New Roman"/>
          <w:color w:val="000000"/>
          <w:sz w:val="24"/>
          <w:szCs w:val="24"/>
          <w:lang/>
        </w:rPr>
        <w:t>У разі нецільового використання устаткування та обладнання, ввезених на митну територію України у порядку, визначеному цим пунктом, платник податку зобов’язаний сплатити податкові зобов’язання за результатами податкового періоду, на який припадає таке порушення, у сумі, розрахованій як позитивна різниця між сумою податку на додану вартість, що мала бути сплачена із зазначених операцій у момент ввезення таких товарів та фактично сплаченою сумою, а також сплатити пеню, нараховану на таку суму податку, виходячи із 120 відсотків облікової ставки Національного банку України, що діяла на день сплати податкового зобов’язання, за період з дня ввезення таких товарів до дня збільшення податкового зобов’язання.</w:t>
      </w:r>
    </w:p>
    <w:p w14:paraId="549D7C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0" w:name="n14443"/>
      <w:bookmarkEnd w:id="10050"/>
      <w:r w:rsidRPr="008B264B">
        <w:rPr>
          <w:rFonts w:ascii="Times New Roman" w:eastAsia="Times New Roman" w:hAnsi="Times New Roman" w:cs="Times New Roman"/>
          <w:i/>
          <w:iCs/>
          <w:color w:val="000000"/>
          <w:sz w:val="24"/>
          <w:szCs w:val="24"/>
          <w:lang/>
        </w:rPr>
        <w:t>{Підрозділ 2 розділу XX доповнено пунктом 58 згідно із Законом </w:t>
      </w:r>
      <w:hyperlink r:id="rId5658"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8CC7D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1" w:name="n14440"/>
      <w:bookmarkEnd w:id="10051"/>
      <w:r w:rsidRPr="008B264B">
        <w:rPr>
          <w:rFonts w:ascii="Times New Roman" w:eastAsia="Times New Roman" w:hAnsi="Times New Roman" w:cs="Times New Roman"/>
          <w:color w:val="000000"/>
          <w:sz w:val="24"/>
          <w:szCs w:val="24"/>
          <w:lang/>
        </w:rPr>
        <w:t>59. Контролюючий орган за заявою платника податку надає розстрочення (рівними частинами) сплати податку на додану вартість на термін до 36 календарних місяців без нарахування процентів та пені, визначених </w:t>
      </w:r>
      <w:hyperlink r:id="rId5659" w:anchor="n2476" w:history="1">
        <w:r w:rsidRPr="008B264B">
          <w:rPr>
            <w:rFonts w:ascii="Times New Roman" w:eastAsia="Times New Roman" w:hAnsi="Times New Roman" w:cs="Times New Roman"/>
            <w:color w:val="0000FF"/>
            <w:sz w:val="24"/>
            <w:szCs w:val="24"/>
            <w:u w:val="single"/>
            <w:lang/>
          </w:rPr>
          <w:t>пунктом 129.5</w:t>
        </w:r>
      </w:hyperlink>
      <w:r w:rsidRPr="008B264B">
        <w:rPr>
          <w:rFonts w:ascii="Times New Roman" w:eastAsia="Times New Roman" w:hAnsi="Times New Roman" w:cs="Times New Roman"/>
          <w:color w:val="000000"/>
          <w:sz w:val="24"/>
          <w:szCs w:val="24"/>
          <w:lang/>
        </w:rPr>
        <w:t> статті 129 цього Кодексу, при ввезенні на митну територію України у митному режимі імпорту обладнання (його частин), що класифікується у товарних підкатегоріях 8421 39 20 00, 8422 30 00 99, 8422 90 90 00, 8428 20 20 00, 8428 20 80 00, 8477 10 00 00, 8477 20 00 00, 8477 30 00 00, 8477 40 00 00, 8477 59 10 90, 8477 90 80 00, 8480 71 00 90 згідно з </w:t>
      </w:r>
      <w:hyperlink r:id="rId5660" w:anchor="n18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для виробництва тільки медичних виробів.</w:t>
      </w:r>
    </w:p>
    <w:bookmarkStart w:id="10052" w:name="n14441"/>
    <w:bookmarkEnd w:id="10052"/>
    <w:p w14:paraId="17EC40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"https://zakon.rada.gov.ua/laws/show/775-2017-%D0%BF" \l "n11"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надання розстрочення сплати податку на додану вартість</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відповідно до цього пункту встановлюється Кабінетом Міністрів України.</w:t>
      </w:r>
    </w:p>
    <w:p w14:paraId="5D6BD9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3" w:name="n14442"/>
      <w:bookmarkEnd w:id="10053"/>
      <w:r w:rsidRPr="008B264B">
        <w:rPr>
          <w:rFonts w:ascii="Times New Roman" w:eastAsia="Times New Roman" w:hAnsi="Times New Roman" w:cs="Times New Roman"/>
          <w:color w:val="000000"/>
          <w:sz w:val="24"/>
          <w:szCs w:val="24"/>
          <w:lang/>
        </w:rPr>
        <w:t>У разі нецільового використання устаткування та обладнання, ввезених на митну територію України у порядку, визначеному цим пунктом, платник податку зобов’язаний сплатити податкові зобов’язання за результатами податкового періоду, на який припадає таке порушення, у сумі, розрахованій як позитивна різниця між сумою податку на додану вартість, що мала бути сплачена із зазначених операцій у момент ввезення таких товарів та фактично сплаченою сумою, а також сплатити пеню, нараховану на таку суму податку, виходячи із 120 відсотків облікової ставки Національного банку України, що діяла на день сплати податкового зобов’язання, за період з дня ввезення таких товарів до дня збільшення податкового зобов’язання.</w:t>
      </w:r>
    </w:p>
    <w:p w14:paraId="0D7C97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4" w:name="n14426"/>
      <w:bookmarkEnd w:id="10054"/>
      <w:r w:rsidRPr="008B264B">
        <w:rPr>
          <w:rFonts w:ascii="Times New Roman" w:eastAsia="Times New Roman" w:hAnsi="Times New Roman" w:cs="Times New Roman"/>
          <w:i/>
          <w:iCs/>
          <w:color w:val="000000"/>
          <w:sz w:val="24"/>
          <w:szCs w:val="24"/>
          <w:lang/>
        </w:rPr>
        <w:lastRenderedPageBreak/>
        <w:t>{Підрозділ 2 розділу XX доповнено пунктом 59 згідно із Законом </w:t>
      </w:r>
      <w:hyperlink r:id="rId5661" w:anchor="n147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FDC11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5" w:name="n14625"/>
      <w:bookmarkEnd w:id="10055"/>
      <w:r w:rsidRPr="008B264B">
        <w:rPr>
          <w:rFonts w:ascii="Times New Roman" w:eastAsia="Times New Roman" w:hAnsi="Times New Roman" w:cs="Times New Roman"/>
          <w:color w:val="000000"/>
          <w:sz w:val="24"/>
          <w:szCs w:val="24"/>
          <w:lang/>
        </w:rPr>
        <w:t>60. Установити, що до 31 грудня 2017 року значення суми, на яку платник податку має право зареєструвати податкові накладні/розрахунки коригування до податкових накладних в Єдиному реєстрі податкових накладних, визначеної </w:t>
      </w:r>
      <w:hyperlink r:id="rId5662" w:anchor="n11312" w:history="1">
        <w:r w:rsidRPr="008B264B">
          <w:rPr>
            <w:rFonts w:ascii="Times New Roman" w:eastAsia="Times New Roman" w:hAnsi="Times New Roman" w:cs="Times New Roman"/>
            <w:color w:val="0000FF"/>
            <w:sz w:val="24"/>
            <w:szCs w:val="24"/>
            <w:u w:val="single"/>
            <w:lang/>
          </w:rPr>
          <w:t>пунктом 200</w:t>
        </w:r>
      </w:hyperlink>
      <w:hyperlink r:id="rId5663" w:anchor="n1131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64" w:anchor="n1131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збільшується на суму коштів, що були перераховані з 1 по 30 січня 2017 року з поточних на спеціальні рахунки, відкриті сільськогосподарським підприємствам, що до 1 січня 2017 року застосовували спеціальний режим оподаткування відповідно до статті 209 цього Кодексу, в установах банків, але не більше суми, що мала спрямовуватися на спеціальний рахунок суб’єкта спеціального режиму оподаткування згідно з податковою звітністю за грудень 2016 року, крім уточнюючих розрахунків.</w:t>
      </w:r>
    </w:p>
    <w:p w14:paraId="38899F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6" w:name="n14626"/>
      <w:bookmarkEnd w:id="10056"/>
      <w:r w:rsidRPr="008B264B">
        <w:rPr>
          <w:rFonts w:ascii="Times New Roman" w:eastAsia="Times New Roman" w:hAnsi="Times New Roman" w:cs="Times New Roman"/>
          <w:color w:val="000000"/>
          <w:sz w:val="24"/>
          <w:szCs w:val="24"/>
          <w:lang/>
        </w:rPr>
        <w:t>Таке збільшення здійснюється одноразово за заявою платника податку, поданою в довільній формі до центрального органу виконавчої влади, що реалізує державну податкову та митну політику, разом з копіями платіжних доручень платника, завіреними в установленому порядку банком, які підтверджують таке перерахування.</w:t>
      </w:r>
    </w:p>
    <w:p w14:paraId="12B669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7" w:name="n14627"/>
      <w:bookmarkEnd w:id="10057"/>
      <w:r w:rsidRPr="008B264B">
        <w:rPr>
          <w:rFonts w:ascii="Times New Roman" w:eastAsia="Times New Roman" w:hAnsi="Times New Roman" w:cs="Times New Roman"/>
          <w:color w:val="000000"/>
          <w:sz w:val="24"/>
          <w:szCs w:val="24"/>
          <w:lang/>
        </w:rPr>
        <w:t>У межах суми такого збільшення платник податку має право подати до центрального органу виконавчої влади, що реалізує державну податкову та митну політику, заяву, відповідно до якої такі кошти підлягають перерахуванню з рахунка в системі електронного адміністрування податку на додану вартість такого платника податку на його поточний рахунок відповідно до </w:t>
      </w:r>
      <w:hyperlink r:id="rId5665" w:anchor="n11325" w:history="1">
        <w:r w:rsidRPr="008B264B">
          <w:rPr>
            <w:rFonts w:ascii="Times New Roman" w:eastAsia="Times New Roman" w:hAnsi="Times New Roman" w:cs="Times New Roman"/>
            <w:color w:val="0000FF"/>
            <w:sz w:val="24"/>
            <w:szCs w:val="24"/>
            <w:u w:val="single"/>
            <w:lang/>
          </w:rPr>
          <w:t>пункту 200</w:t>
        </w:r>
      </w:hyperlink>
      <w:hyperlink r:id="rId5666" w:anchor="n11325"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5667" w:anchor="n11325" w:history="1">
        <w:r w:rsidRPr="008B264B">
          <w:rPr>
            <w:rFonts w:ascii="Times New Roman" w:eastAsia="Times New Roman" w:hAnsi="Times New Roman" w:cs="Times New Roman"/>
            <w:color w:val="0000FF"/>
            <w:sz w:val="24"/>
            <w:szCs w:val="24"/>
            <w:u w:val="single"/>
            <w:lang/>
          </w:rPr>
          <w:t>.6</w:t>
        </w:r>
      </w:hyperlink>
      <w:r w:rsidRPr="008B264B">
        <w:rPr>
          <w:rFonts w:ascii="Times New Roman" w:eastAsia="Times New Roman" w:hAnsi="Times New Roman" w:cs="Times New Roman"/>
          <w:color w:val="000000"/>
          <w:sz w:val="24"/>
          <w:szCs w:val="24"/>
          <w:lang/>
        </w:rPr>
        <w:t> статті 200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для тих платників податку, у яких такі кошти обліковуються на рахунках у системі електронного адміністрування податку на додану вартість.</w:t>
      </w:r>
    </w:p>
    <w:p w14:paraId="7AEBB7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8" w:name="n14624"/>
      <w:bookmarkEnd w:id="10058"/>
      <w:r w:rsidRPr="008B264B">
        <w:rPr>
          <w:rFonts w:ascii="Times New Roman" w:eastAsia="Times New Roman" w:hAnsi="Times New Roman" w:cs="Times New Roman"/>
          <w:i/>
          <w:iCs/>
          <w:color w:val="000000"/>
          <w:sz w:val="24"/>
          <w:szCs w:val="24"/>
          <w:lang/>
        </w:rPr>
        <w:t>{Підрозділ 2 розділу XX доповнено пунктом 60 згідно із Законом </w:t>
      </w:r>
      <w:hyperlink r:id="rId5668" w:anchor="n5" w:tgtFrame="_blank" w:history="1">
        <w:r w:rsidRPr="008B264B">
          <w:rPr>
            <w:rFonts w:ascii="Times New Roman" w:eastAsia="Times New Roman" w:hAnsi="Times New Roman" w:cs="Times New Roman"/>
            <w:i/>
            <w:iCs/>
            <w:color w:val="0000FF"/>
            <w:sz w:val="24"/>
            <w:szCs w:val="24"/>
            <w:u w:val="single"/>
            <w:lang/>
          </w:rPr>
          <w:t>№ 1988-VIII від 23.03.2017</w:t>
        </w:r>
      </w:hyperlink>
      <w:r w:rsidRPr="008B264B">
        <w:rPr>
          <w:rFonts w:ascii="Times New Roman" w:eastAsia="Times New Roman" w:hAnsi="Times New Roman" w:cs="Times New Roman"/>
          <w:i/>
          <w:iCs/>
          <w:color w:val="000000"/>
          <w:sz w:val="24"/>
          <w:szCs w:val="24"/>
          <w:lang/>
        </w:rPr>
        <w:t>}</w:t>
      </w:r>
    </w:p>
    <w:p w14:paraId="3FEBC9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59" w:name="n14701"/>
      <w:bookmarkEnd w:id="10059"/>
      <w:r w:rsidRPr="008B264B">
        <w:rPr>
          <w:rFonts w:ascii="Times New Roman" w:eastAsia="Times New Roman" w:hAnsi="Times New Roman" w:cs="Times New Roman"/>
          <w:color w:val="000000"/>
          <w:sz w:val="24"/>
          <w:szCs w:val="24"/>
          <w:lang/>
        </w:rPr>
        <w:t>61. Тимчасово, до 1 січня 2023 року, звільняються від оподаткування податком на додану вартість операції суб’єктів кінематографії, яким відповідно до </w:t>
      </w:r>
      <w:hyperlink r:id="rId5669"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державну підтримку кінематографії в Україні" надається державна підтримка, з ввезення на митну територію України у митному режимі імпорту товарів, що входять до складу національної кінематографічної спадщини, та товарів, призначених для використання у кінематографічній діяльності, що класифікуються за кодами </w:t>
      </w:r>
      <w:hyperlink r:id="rId5670"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3706, 3920 73 10 00, 3923 40 10 00, 8525, 8529, 9002, 9007, 9010, 9405.</w:t>
      </w:r>
    </w:p>
    <w:p w14:paraId="53A2B9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0" w:name="n14702"/>
      <w:bookmarkEnd w:id="10060"/>
      <w:r w:rsidRPr="008B264B">
        <w:rPr>
          <w:rFonts w:ascii="Times New Roman" w:eastAsia="Times New Roman" w:hAnsi="Times New Roman" w:cs="Times New Roman"/>
          <w:color w:val="000000"/>
          <w:sz w:val="24"/>
          <w:szCs w:val="24"/>
          <w:lang/>
        </w:rPr>
        <w:t>Порядок, обсяги та умови ввезення на митну територію України зазначених у цьому пункті товарів визначаються Кабінетом Міністрів України.</w:t>
      </w:r>
    </w:p>
    <w:p w14:paraId="24A1C4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1" w:name="n14703"/>
      <w:bookmarkEnd w:id="10061"/>
      <w:r w:rsidRPr="008B264B">
        <w:rPr>
          <w:rFonts w:ascii="Times New Roman" w:eastAsia="Times New Roman" w:hAnsi="Times New Roman" w:cs="Times New Roman"/>
          <w:color w:val="000000"/>
          <w:sz w:val="24"/>
          <w:szCs w:val="24"/>
          <w:lang/>
        </w:rPr>
        <w:t>У разі нецільового використання зазначених товарів платник податку зобов’язаний збільшити податкові зобов’язання за наслідками податкового періоду, на який припадає таке порушення, на суму податку на додану вартість, що мала бути сплачена в момент ввезення на митну територію таких товарів, а також сплатити пеню відповідно до закону.</w:t>
      </w:r>
    </w:p>
    <w:p w14:paraId="6CFC0C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2" w:name="n14700"/>
      <w:bookmarkEnd w:id="10062"/>
      <w:r w:rsidRPr="008B264B">
        <w:rPr>
          <w:rFonts w:ascii="Times New Roman" w:eastAsia="Times New Roman" w:hAnsi="Times New Roman" w:cs="Times New Roman"/>
          <w:i/>
          <w:iCs/>
          <w:color w:val="000000"/>
          <w:sz w:val="24"/>
          <w:szCs w:val="24"/>
          <w:lang/>
        </w:rPr>
        <w:t>{Підрозділ 2 розділу XX доповнено пунктом 61 згідно із Законом </w:t>
      </w:r>
      <w:hyperlink r:id="rId5671" w:anchor="n25" w:tgtFrame="_blank" w:history="1">
        <w:r w:rsidRPr="008B264B">
          <w:rPr>
            <w:rFonts w:ascii="Times New Roman" w:eastAsia="Times New Roman" w:hAnsi="Times New Roman" w:cs="Times New Roman"/>
            <w:i/>
            <w:iCs/>
            <w:color w:val="0000FF"/>
            <w:sz w:val="24"/>
            <w:szCs w:val="24"/>
            <w:u w:val="single"/>
            <w:lang/>
          </w:rPr>
          <w:t>№ 2176-VIII від 07.11.2017</w:t>
        </w:r>
      </w:hyperlink>
      <w:r w:rsidRPr="008B264B">
        <w:rPr>
          <w:rFonts w:ascii="Times New Roman" w:eastAsia="Times New Roman" w:hAnsi="Times New Roman" w:cs="Times New Roman"/>
          <w:i/>
          <w:iCs/>
          <w:color w:val="000000"/>
          <w:sz w:val="24"/>
          <w:szCs w:val="24"/>
          <w:lang/>
        </w:rPr>
        <w:t>}</w:t>
      </w:r>
    </w:p>
    <w:p w14:paraId="1C73FA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3" w:name="n14693"/>
      <w:bookmarkEnd w:id="10063"/>
      <w:r w:rsidRPr="008B264B">
        <w:rPr>
          <w:rFonts w:ascii="Times New Roman" w:eastAsia="Times New Roman" w:hAnsi="Times New Roman" w:cs="Times New Roman"/>
          <w:color w:val="000000"/>
          <w:sz w:val="24"/>
          <w:szCs w:val="24"/>
          <w:lang/>
        </w:rPr>
        <w:t>62. Тимчасово, до 1 липня 2018 року, не застосовуються штрафи, передбачені </w:t>
      </w:r>
      <w:hyperlink r:id="rId5672" w:anchor="n10585" w:history="1">
        <w:r w:rsidRPr="008B264B">
          <w:rPr>
            <w:rFonts w:ascii="Times New Roman" w:eastAsia="Times New Roman" w:hAnsi="Times New Roman" w:cs="Times New Roman"/>
            <w:color w:val="0000FF"/>
            <w:sz w:val="24"/>
            <w:szCs w:val="24"/>
            <w:u w:val="single"/>
            <w:lang/>
          </w:rPr>
          <w:t>статтею 120</w:t>
        </w:r>
      </w:hyperlink>
      <w:hyperlink r:id="rId5673" w:anchor="n10585"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w:t>
      </w:r>
      <w:hyperlink r:id="rId5674" w:anchor="n2436" w:history="1">
        <w:r w:rsidRPr="008B264B">
          <w:rPr>
            <w:rFonts w:ascii="Times New Roman" w:eastAsia="Times New Roman" w:hAnsi="Times New Roman" w:cs="Times New Roman"/>
            <w:color w:val="0000FF"/>
            <w:sz w:val="24"/>
            <w:szCs w:val="24"/>
            <w:u w:val="single"/>
            <w:lang/>
          </w:rPr>
          <w:t>статтею 126</w:t>
        </w:r>
      </w:hyperlink>
      <w:r w:rsidRPr="008B264B">
        <w:rPr>
          <w:rFonts w:ascii="Times New Roman" w:eastAsia="Times New Roman" w:hAnsi="Times New Roman" w:cs="Times New Roman"/>
          <w:color w:val="000000"/>
          <w:sz w:val="24"/>
          <w:szCs w:val="24"/>
          <w:lang/>
        </w:rPr>
        <w:t> цього Кодексу (в частині податку на додану вартість), та не нараховується пеня, встановлена </w:t>
      </w:r>
      <w:hyperlink r:id="rId5675" w:anchor="n2464" w:history="1">
        <w:r w:rsidRPr="008B264B">
          <w:rPr>
            <w:rFonts w:ascii="Times New Roman" w:eastAsia="Times New Roman" w:hAnsi="Times New Roman" w:cs="Times New Roman"/>
            <w:color w:val="0000FF"/>
            <w:sz w:val="24"/>
            <w:szCs w:val="24"/>
            <w:u w:val="single"/>
            <w:lang/>
          </w:rPr>
          <w:t>підпунктом 129.1.3</w:t>
        </w:r>
      </w:hyperlink>
      <w:r w:rsidRPr="008B264B">
        <w:rPr>
          <w:rFonts w:ascii="Times New Roman" w:eastAsia="Times New Roman" w:hAnsi="Times New Roman" w:cs="Times New Roman"/>
          <w:color w:val="000000"/>
          <w:sz w:val="24"/>
          <w:szCs w:val="24"/>
          <w:lang/>
        </w:rPr>
        <w:t> пункту 129.1 статті 129 цього Кодексу (в частині податку на додану вартість), до виробників електричної енергії, що здійснюють постачання електричної енергії державному підприємству "Енергоринок" та станом на 1 січня 2016 року мали податковий борг з податку на додану вартість, в тому числі розстрочений та/або відстрочений.</w:t>
      </w:r>
    </w:p>
    <w:bookmarkStart w:id="10064" w:name="n14694"/>
    <w:bookmarkEnd w:id="10064"/>
    <w:p w14:paraId="284C6E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"https://zakon.rada.gov.ua/laws/show/449-2018-%D0%BF" \l "n11"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Перелік виробників електричної енергії</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на яких поширюється дія цього пункту, та </w:t>
      </w:r>
      <w:hyperlink r:id="rId5676" w:anchor="n15" w:tgtFrame="_blank" w:history="1">
        <w:r w:rsidRPr="008B264B">
          <w:rPr>
            <w:rFonts w:ascii="Times New Roman" w:eastAsia="Times New Roman" w:hAnsi="Times New Roman" w:cs="Times New Roman"/>
            <w:color w:val="0000FF"/>
            <w:sz w:val="24"/>
            <w:szCs w:val="24"/>
            <w:u w:val="single"/>
            <w:lang/>
          </w:rPr>
          <w:t>Перелік податкових накладних, складених такими виробниками електричної енергії</w:t>
        </w:r>
      </w:hyperlink>
      <w:r w:rsidRPr="008B264B">
        <w:rPr>
          <w:rFonts w:ascii="Times New Roman" w:eastAsia="Times New Roman" w:hAnsi="Times New Roman" w:cs="Times New Roman"/>
          <w:color w:val="000000"/>
          <w:sz w:val="24"/>
          <w:szCs w:val="24"/>
          <w:lang/>
        </w:rPr>
        <w:t> з 1 липня 2015 року та не зареєстрованих в Єдиному реєстрі податкових накладних, затверджуються Кабінетом Міністрів України.</w:t>
      </w:r>
    </w:p>
    <w:p w14:paraId="17309F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5" w:name="n14692"/>
      <w:bookmarkEnd w:id="10065"/>
      <w:r w:rsidRPr="008B264B">
        <w:rPr>
          <w:rFonts w:ascii="Times New Roman" w:eastAsia="Times New Roman" w:hAnsi="Times New Roman" w:cs="Times New Roman"/>
          <w:i/>
          <w:iCs/>
          <w:color w:val="000000"/>
          <w:sz w:val="24"/>
          <w:szCs w:val="24"/>
          <w:lang/>
        </w:rPr>
        <w:t>{Підрозділ 2 розділу XX доповнено пунктом 62 згідно із Законом </w:t>
      </w:r>
      <w:hyperlink r:id="rId5677" w:anchor="n14" w:tgtFrame="_blank" w:history="1">
        <w:r w:rsidRPr="008B264B">
          <w:rPr>
            <w:rFonts w:ascii="Times New Roman" w:eastAsia="Times New Roman" w:hAnsi="Times New Roman" w:cs="Times New Roman"/>
            <w:i/>
            <w:iCs/>
            <w:color w:val="0000FF"/>
            <w:sz w:val="24"/>
            <w:szCs w:val="24"/>
            <w:u w:val="single"/>
            <w:lang/>
          </w:rPr>
          <w:t>№ 2198-VIII від 09.11.2017</w:t>
        </w:r>
      </w:hyperlink>
      <w:r w:rsidRPr="008B264B">
        <w:rPr>
          <w:rFonts w:ascii="Times New Roman" w:eastAsia="Times New Roman" w:hAnsi="Times New Roman" w:cs="Times New Roman"/>
          <w:i/>
          <w:iCs/>
          <w:color w:val="000000"/>
          <w:sz w:val="24"/>
          <w:szCs w:val="24"/>
          <w:lang/>
        </w:rPr>
        <w:t>}</w:t>
      </w:r>
    </w:p>
    <w:p w14:paraId="3F5AFA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6" w:name="n14927"/>
      <w:bookmarkEnd w:id="10066"/>
      <w:r w:rsidRPr="008B264B">
        <w:rPr>
          <w:rFonts w:ascii="Times New Roman" w:eastAsia="Times New Roman" w:hAnsi="Times New Roman" w:cs="Times New Roman"/>
          <w:color w:val="000000"/>
          <w:sz w:val="24"/>
          <w:szCs w:val="24"/>
          <w:lang/>
        </w:rPr>
        <w:t>63. Тимчасово звільняються від оподаткування податком на додану вартість операції з вивезення за межі митної території України в митному режимі експорту:</w:t>
      </w:r>
    </w:p>
    <w:p w14:paraId="204311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7" w:name="n14928"/>
      <w:bookmarkEnd w:id="10067"/>
      <w:r w:rsidRPr="008B264B">
        <w:rPr>
          <w:rFonts w:ascii="Times New Roman" w:eastAsia="Times New Roman" w:hAnsi="Times New Roman" w:cs="Times New Roman"/>
          <w:color w:val="000000"/>
          <w:sz w:val="24"/>
          <w:szCs w:val="24"/>
          <w:lang/>
        </w:rPr>
        <w:lastRenderedPageBreak/>
        <w:t>з 1 вересня 2018 року до 31 грудня 2021 року соєвих бобів (товарна позиція 1201 згідно з </w:t>
      </w:r>
      <w:hyperlink r:id="rId5678" w:anchor="n2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480FE8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8" w:name="n14929"/>
      <w:bookmarkEnd w:id="10068"/>
      <w:r w:rsidRPr="008B264B">
        <w:rPr>
          <w:rFonts w:ascii="Times New Roman" w:eastAsia="Times New Roman" w:hAnsi="Times New Roman" w:cs="Times New Roman"/>
          <w:color w:val="000000"/>
          <w:sz w:val="24"/>
          <w:szCs w:val="24"/>
          <w:lang/>
        </w:rPr>
        <w:t>з 1 січня 2020 року до 31 грудня 2021 року насіння свиріпи або ріпаку (товарна позиція 1205 згідно з </w:t>
      </w:r>
      <w:hyperlink r:id="rId5679" w:anchor="n2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255C30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69" w:name="n15181"/>
      <w:bookmarkEnd w:id="10069"/>
      <w:r w:rsidRPr="008B264B">
        <w:rPr>
          <w:rFonts w:ascii="Times New Roman" w:eastAsia="Times New Roman" w:hAnsi="Times New Roman" w:cs="Times New Roman"/>
          <w:color w:val="000000"/>
          <w:sz w:val="24"/>
          <w:szCs w:val="24"/>
          <w:lang/>
        </w:rPr>
        <w:t>Положення  цього пункту не поширюються на операції з вивезення за межі митної території України в митному режимі експорту сільськогосподарськими підприємствами - виробниками соєвих бобів (товарна позиція 1201 згідно з </w:t>
      </w:r>
      <w:hyperlink r:id="rId5680" w:anchor="n2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та насіння свиріпи або ріпаку (товарна позиція 1205 згідно з </w:t>
      </w:r>
      <w:hyperlink r:id="rId5681" w:anchor="n24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вирощених ними на землях сільськогосподарського призначення, які перебувають у власності таких сільськогосподарських товаровиробників чи в їх постійному користуванні або використовуються ними на правах оренди (суборенди) чи емфітевзису.</w:t>
      </w:r>
    </w:p>
    <w:p w14:paraId="5CC020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0" w:name="n15180"/>
      <w:bookmarkEnd w:id="10070"/>
      <w:r w:rsidRPr="008B264B">
        <w:rPr>
          <w:rFonts w:ascii="Times New Roman" w:eastAsia="Times New Roman" w:hAnsi="Times New Roman" w:cs="Times New Roman"/>
          <w:i/>
          <w:iCs/>
          <w:color w:val="000000"/>
          <w:sz w:val="24"/>
          <w:szCs w:val="24"/>
          <w:lang/>
        </w:rPr>
        <w:t>{Пункт 63 підрозділу 2 розділу XX доповнено абзацом четвертим згідно із Законом </w:t>
      </w:r>
      <w:hyperlink r:id="rId5682" w:anchor="n5" w:tgtFrame="_blank" w:history="1">
        <w:r w:rsidRPr="008B264B">
          <w:rPr>
            <w:rFonts w:ascii="Times New Roman" w:eastAsia="Times New Roman" w:hAnsi="Times New Roman" w:cs="Times New Roman"/>
            <w:i/>
            <w:iCs/>
            <w:color w:val="0000FF"/>
            <w:sz w:val="24"/>
            <w:szCs w:val="24"/>
            <w:u w:val="single"/>
            <w:lang/>
          </w:rPr>
          <w:t>№ 2440-VIII від 22.05.2018</w:t>
        </w:r>
      </w:hyperlink>
      <w:r w:rsidRPr="008B264B">
        <w:rPr>
          <w:rFonts w:ascii="Times New Roman" w:eastAsia="Times New Roman" w:hAnsi="Times New Roman" w:cs="Times New Roman"/>
          <w:i/>
          <w:iCs/>
          <w:color w:val="000000"/>
          <w:sz w:val="24"/>
          <w:szCs w:val="24"/>
          <w:lang/>
        </w:rPr>
        <w:t>}</w:t>
      </w:r>
    </w:p>
    <w:p w14:paraId="51B89C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1" w:name="n15029"/>
      <w:bookmarkEnd w:id="10071"/>
      <w:r w:rsidRPr="008B264B">
        <w:rPr>
          <w:rFonts w:ascii="Times New Roman" w:eastAsia="Times New Roman" w:hAnsi="Times New Roman" w:cs="Times New Roman"/>
          <w:i/>
          <w:iCs/>
          <w:color w:val="000000"/>
          <w:sz w:val="24"/>
          <w:szCs w:val="24"/>
          <w:lang/>
        </w:rPr>
        <w:t>{Підрозділ 2 розділу XX доповнено пунктом 63 згідно із Законом </w:t>
      </w:r>
      <w:hyperlink r:id="rId5683" w:anchor="n41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261E7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2" w:name="n14930"/>
      <w:bookmarkEnd w:id="10072"/>
      <w:r w:rsidRPr="008B264B">
        <w:rPr>
          <w:rFonts w:ascii="Times New Roman" w:eastAsia="Times New Roman" w:hAnsi="Times New Roman" w:cs="Times New Roman"/>
          <w:color w:val="000000"/>
          <w:sz w:val="24"/>
          <w:szCs w:val="24"/>
          <w:lang/>
        </w:rPr>
        <w:t>64. Тимчасово, до 31 грудня 2022 року, звільняються від оподаткування податком на додану вартість операції із ввезення на митну територію України та з постачання на митній території України транспортних засобів, оснащених виключно електричними двигунами (одним чи декількома), що зазначені у товарній підкатегорії 8703 90 10 10 згідно з </w:t>
      </w:r>
      <w:hyperlink r:id="rId5684"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 тому числі вироблених в Україні), а також операції із ввезення на митну територію України товарів, зазначених у товарних підкатегоріях 8502 31 00 00, 8541 40 90 00, 8504 40 88 00 згідно з </w:t>
      </w:r>
      <w:hyperlink r:id="rId5685" w:anchor="n257"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70EEDE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3" w:name="n15028"/>
      <w:bookmarkEnd w:id="10073"/>
      <w:r w:rsidRPr="008B264B">
        <w:rPr>
          <w:rFonts w:ascii="Times New Roman" w:eastAsia="Times New Roman" w:hAnsi="Times New Roman" w:cs="Times New Roman"/>
          <w:i/>
          <w:iCs/>
          <w:color w:val="000000"/>
          <w:sz w:val="24"/>
          <w:szCs w:val="24"/>
          <w:lang/>
        </w:rPr>
        <w:t>{Підрозділ 2 розділу XX доповнено пунктом 64 згідно із Законом </w:t>
      </w:r>
      <w:hyperlink r:id="rId5686" w:anchor="n41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687" w:anchor="n66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5688" w:anchor="n46" w:tgtFrame="_blank" w:history="1">
        <w:r w:rsidRPr="008B264B">
          <w:rPr>
            <w:rFonts w:ascii="Times New Roman" w:eastAsia="Times New Roman" w:hAnsi="Times New Roman" w:cs="Times New Roman"/>
            <w:i/>
            <w:iCs/>
            <w:color w:val="0000FF"/>
            <w:sz w:val="24"/>
            <w:szCs w:val="24"/>
            <w:u w:val="single"/>
            <w:lang/>
          </w:rPr>
          <w:t>№ 2725-VIII від 16.05.2019</w:t>
        </w:r>
      </w:hyperlink>
      <w:r w:rsidRPr="008B264B">
        <w:rPr>
          <w:rFonts w:ascii="Times New Roman" w:eastAsia="Times New Roman" w:hAnsi="Times New Roman" w:cs="Times New Roman"/>
          <w:i/>
          <w:iCs/>
          <w:color w:val="000000"/>
          <w:sz w:val="24"/>
          <w:szCs w:val="24"/>
          <w:lang/>
        </w:rPr>
        <w:t>}</w:t>
      </w:r>
    </w:p>
    <w:p w14:paraId="16E71B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4" w:name="n14931"/>
      <w:bookmarkEnd w:id="10074"/>
      <w:r w:rsidRPr="008B264B">
        <w:rPr>
          <w:rFonts w:ascii="Times New Roman" w:eastAsia="Times New Roman" w:hAnsi="Times New Roman" w:cs="Times New Roman"/>
          <w:color w:val="000000"/>
          <w:sz w:val="24"/>
          <w:szCs w:val="24"/>
          <w:lang/>
        </w:rPr>
        <w:t>65. Тимчасово, до 1 січня 2020 року, контролюючий орган за заявою платника податку надає розстрочення (рівними частинами) сплати податку на додану вартість на термін, зазначений у заяві платника податку, але не більше 24 календарних місяців, без нарахування процентів, пені та штрафів, визначених цим Кодексом, при ввезенні на митну територію України з поміщенням в митний режим імпорту обладнання та комплектуючих, що класифікується за такими товарними підкатегоріями згідно з </w:t>
      </w:r>
      <w:hyperlink r:id="rId5689" w:anchor="n18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3B27DDEB"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075" w:name="n15397"/>
      <w:bookmarkEnd w:id="10075"/>
      <w:r w:rsidRPr="008B264B">
        <w:rPr>
          <w:rFonts w:ascii="Times New Roman" w:eastAsia="Times New Roman" w:hAnsi="Times New Roman" w:cs="Times New Roman"/>
          <w:color w:val="000000"/>
          <w:sz w:val="24"/>
          <w:szCs w:val="24"/>
          <w:lang/>
        </w:rPr>
        <w:t>6902 10 00 00; 6902 20 99 00; 6903 90 90 00; 8402 11 00 00; 8402 12 00 00;</w:t>
      </w:r>
    </w:p>
    <w:p w14:paraId="03795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6" w:name="n14932"/>
      <w:bookmarkEnd w:id="10076"/>
      <w:r w:rsidRPr="008B264B">
        <w:rPr>
          <w:rFonts w:ascii="Times New Roman" w:eastAsia="Times New Roman" w:hAnsi="Times New Roman" w:cs="Times New Roman"/>
          <w:color w:val="000000"/>
          <w:sz w:val="24"/>
          <w:szCs w:val="24"/>
          <w:lang/>
        </w:rPr>
        <w:t>8402 19 10 00; 8402 19 90 00; 8402 20 00 00; 8405 10 00 00; 8416 20 80 00;</w:t>
      </w:r>
    </w:p>
    <w:p w14:paraId="6081070E"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077" w:name="n14933"/>
      <w:bookmarkEnd w:id="10077"/>
      <w:r w:rsidRPr="008B264B">
        <w:rPr>
          <w:rFonts w:ascii="Times New Roman" w:eastAsia="Times New Roman" w:hAnsi="Times New Roman" w:cs="Times New Roman"/>
          <w:color w:val="000000"/>
          <w:sz w:val="24"/>
          <w:szCs w:val="24"/>
          <w:lang/>
        </w:rPr>
        <w:t>8417 10 00 00; 8417 20 10 00; 8417 20 90 00; 8417 80 30 00; 8417 80 50 00;</w:t>
      </w:r>
    </w:p>
    <w:p w14:paraId="50F89B39"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078" w:name="n14934"/>
      <w:bookmarkEnd w:id="10078"/>
      <w:r w:rsidRPr="008B264B">
        <w:rPr>
          <w:rFonts w:ascii="Times New Roman" w:eastAsia="Times New Roman" w:hAnsi="Times New Roman" w:cs="Times New Roman"/>
          <w:color w:val="000000"/>
          <w:sz w:val="24"/>
          <w:szCs w:val="24"/>
          <w:lang/>
        </w:rPr>
        <w:t>8417 80 70 00;8418 69 00 90; 8419 31 00 00; 8419 32 00 00;</w:t>
      </w:r>
    </w:p>
    <w:p w14:paraId="6C67AC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79" w:name="n14935"/>
      <w:bookmarkEnd w:id="10079"/>
      <w:r w:rsidRPr="008B264B">
        <w:rPr>
          <w:rFonts w:ascii="Times New Roman" w:eastAsia="Times New Roman" w:hAnsi="Times New Roman" w:cs="Times New Roman"/>
          <w:color w:val="000000"/>
          <w:sz w:val="24"/>
          <w:szCs w:val="24"/>
          <w:lang/>
        </w:rPr>
        <w:t>8419 39 00 10; 8419 39 00 90; 8419 40 00 00; 8419 60 00 00; 8419 89 10 00;</w:t>
      </w:r>
    </w:p>
    <w:p w14:paraId="604620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0" w:name="n14936"/>
      <w:bookmarkEnd w:id="10080"/>
      <w:r w:rsidRPr="008B264B">
        <w:rPr>
          <w:rFonts w:ascii="Times New Roman" w:eastAsia="Times New Roman" w:hAnsi="Times New Roman" w:cs="Times New Roman"/>
          <w:color w:val="000000"/>
          <w:sz w:val="24"/>
          <w:szCs w:val="24"/>
          <w:lang/>
        </w:rPr>
        <w:t>8419 89 30 00; 8419 89 98 00; 8420 10 10 00; 8420 10 30 00; 8420 10 80 10;</w:t>
      </w:r>
    </w:p>
    <w:p w14:paraId="7D4E58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1" w:name="n14937"/>
      <w:bookmarkEnd w:id="10081"/>
      <w:r w:rsidRPr="008B264B">
        <w:rPr>
          <w:rFonts w:ascii="Times New Roman" w:eastAsia="Times New Roman" w:hAnsi="Times New Roman" w:cs="Times New Roman"/>
          <w:color w:val="000000"/>
          <w:sz w:val="24"/>
          <w:szCs w:val="24"/>
          <w:lang/>
        </w:rPr>
        <w:t>8420 10 80 90; 8421 11 00 00; 8421 19 70 90; 8421 21 00 00; 8421 39 20 00;</w:t>
      </w:r>
    </w:p>
    <w:p w14:paraId="41A669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2" w:name="n14938"/>
      <w:bookmarkEnd w:id="10082"/>
      <w:r w:rsidRPr="008B264B">
        <w:rPr>
          <w:rFonts w:ascii="Times New Roman" w:eastAsia="Times New Roman" w:hAnsi="Times New Roman" w:cs="Times New Roman"/>
          <w:color w:val="000000"/>
          <w:sz w:val="24"/>
          <w:szCs w:val="24"/>
          <w:lang/>
        </w:rPr>
        <w:t>8421 39 60 90; 8421 39 80 10; 8421 39 80 90; 8422 20 00 00; 8422 30 00 10;</w:t>
      </w:r>
    </w:p>
    <w:p w14:paraId="2828C5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3" w:name="n14939"/>
      <w:bookmarkEnd w:id="10083"/>
      <w:r w:rsidRPr="008B264B">
        <w:rPr>
          <w:rFonts w:ascii="Times New Roman" w:eastAsia="Times New Roman" w:hAnsi="Times New Roman" w:cs="Times New Roman"/>
          <w:color w:val="000000"/>
          <w:sz w:val="24"/>
          <w:szCs w:val="24"/>
          <w:lang/>
        </w:rPr>
        <w:t>8422 30 00 91; 8422 30 00 99; 8422 40 00 10; 8422 40 00 90; 8423 20 00 00;</w:t>
      </w:r>
    </w:p>
    <w:p w14:paraId="3F4020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4" w:name="n14940"/>
      <w:bookmarkEnd w:id="10084"/>
      <w:r w:rsidRPr="008B264B">
        <w:rPr>
          <w:rFonts w:ascii="Times New Roman" w:eastAsia="Times New Roman" w:hAnsi="Times New Roman" w:cs="Times New Roman"/>
          <w:color w:val="000000"/>
          <w:sz w:val="24"/>
          <w:szCs w:val="24"/>
          <w:lang/>
        </w:rPr>
        <w:t>8423 30 00 00; 8423 81 10 00; 8423 81 30 00; 8423 81 90 00; 8423 82 10 00;</w:t>
      </w:r>
    </w:p>
    <w:p w14:paraId="1A2C95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5" w:name="n14941"/>
      <w:bookmarkEnd w:id="10085"/>
      <w:r w:rsidRPr="008B264B">
        <w:rPr>
          <w:rFonts w:ascii="Times New Roman" w:eastAsia="Times New Roman" w:hAnsi="Times New Roman" w:cs="Times New Roman"/>
          <w:color w:val="000000"/>
          <w:sz w:val="24"/>
          <w:szCs w:val="24"/>
          <w:lang/>
        </w:rPr>
        <w:t>8423 82 90 10; 8423 82 90 90; 8423 89 00 00; 8424 81 10 00; 8424 81 91 00;</w:t>
      </w:r>
    </w:p>
    <w:p w14:paraId="3B7289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6" w:name="n14942"/>
      <w:bookmarkEnd w:id="10086"/>
      <w:r w:rsidRPr="008B264B">
        <w:rPr>
          <w:rFonts w:ascii="Times New Roman" w:eastAsia="Times New Roman" w:hAnsi="Times New Roman" w:cs="Times New Roman"/>
          <w:color w:val="000000"/>
          <w:sz w:val="24"/>
          <w:szCs w:val="24"/>
          <w:lang/>
        </w:rPr>
        <w:t>8424 81 99 00; 8424 89 00 00; 8426 20 00 00; 8426 30 00 00; 8428 20 20 00;</w:t>
      </w:r>
    </w:p>
    <w:p w14:paraId="341E86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7" w:name="n14943"/>
      <w:bookmarkEnd w:id="10087"/>
      <w:r w:rsidRPr="008B264B">
        <w:rPr>
          <w:rFonts w:ascii="Times New Roman" w:eastAsia="Times New Roman" w:hAnsi="Times New Roman" w:cs="Times New Roman"/>
          <w:color w:val="000000"/>
          <w:sz w:val="24"/>
          <w:szCs w:val="24"/>
          <w:lang/>
        </w:rPr>
        <w:t>8428 20 80 00; 8428 31 00 00; 8428 32 00 00; 8428 33 00 00; 8428 39 20 00;</w:t>
      </w:r>
    </w:p>
    <w:p w14:paraId="12085F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8" w:name="n14944"/>
      <w:bookmarkEnd w:id="10088"/>
      <w:r w:rsidRPr="008B264B">
        <w:rPr>
          <w:rFonts w:ascii="Times New Roman" w:eastAsia="Times New Roman" w:hAnsi="Times New Roman" w:cs="Times New Roman"/>
          <w:color w:val="000000"/>
          <w:sz w:val="24"/>
          <w:szCs w:val="24"/>
          <w:lang/>
        </w:rPr>
        <w:lastRenderedPageBreak/>
        <w:t>8428 39 90 00; 8428 90 71 00; 8428 90 79 00; 8428 90 90 00; 8430 10 00 00;</w:t>
      </w:r>
    </w:p>
    <w:p w14:paraId="663B40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89" w:name="n14945"/>
      <w:bookmarkEnd w:id="10089"/>
      <w:r w:rsidRPr="008B264B">
        <w:rPr>
          <w:rFonts w:ascii="Times New Roman" w:eastAsia="Times New Roman" w:hAnsi="Times New Roman" w:cs="Times New Roman"/>
          <w:color w:val="000000"/>
          <w:sz w:val="24"/>
          <w:szCs w:val="24"/>
          <w:lang/>
        </w:rPr>
        <w:t>8430 31 00 00; 8430 39 00 00; 8430 41 00 00; 8430 49 00 00; 8430 50 00 00;</w:t>
      </w:r>
    </w:p>
    <w:p w14:paraId="0A3823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0" w:name="n14946"/>
      <w:bookmarkEnd w:id="10090"/>
      <w:r w:rsidRPr="008B264B">
        <w:rPr>
          <w:rFonts w:ascii="Times New Roman" w:eastAsia="Times New Roman" w:hAnsi="Times New Roman" w:cs="Times New Roman"/>
          <w:color w:val="000000"/>
          <w:sz w:val="24"/>
          <w:szCs w:val="24"/>
          <w:lang/>
        </w:rPr>
        <w:t>8430 61 00 00; 8430 69 00 00; 8434 10 00 00; 8434 20 00 00; 8435 10 00 00;</w:t>
      </w:r>
    </w:p>
    <w:p w14:paraId="26B091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1" w:name="n14947"/>
      <w:bookmarkEnd w:id="10091"/>
      <w:r w:rsidRPr="008B264B">
        <w:rPr>
          <w:rFonts w:ascii="Times New Roman" w:eastAsia="Times New Roman" w:hAnsi="Times New Roman" w:cs="Times New Roman"/>
          <w:color w:val="000000"/>
          <w:sz w:val="24"/>
          <w:szCs w:val="24"/>
          <w:lang/>
        </w:rPr>
        <w:t>8436 10 00 00; 8436 21 00 00; 8436 29 00 10; 8436 29 00 90; 8436 80 10 00;</w:t>
      </w:r>
    </w:p>
    <w:p w14:paraId="5ED468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2" w:name="n14948"/>
      <w:bookmarkEnd w:id="10092"/>
      <w:r w:rsidRPr="008B264B">
        <w:rPr>
          <w:rFonts w:ascii="Times New Roman" w:eastAsia="Times New Roman" w:hAnsi="Times New Roman" w:cs="Times New Roman"/>
          <w:color w:val="000000"/>
          <w:sz w:val="24"/>
          <w:szCs w:val="24"/>
          <w:lang/>
        </w:rPr>
        <w:t>8436 80 90 00; 8437 10 00 00; 8437 80 00 00; 8438 10 10 00; 8438 10 90 00;</w:t>
      </w:r>
    </w:p>
    <w:p w14:paraId="15A9FF1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3" w:name="n14949"/>
      <w:bookmarkEnd w:id="10093"/>
      <w:r w:rsidRPr="008B264B">
        <w:rPr>
          <w:rFonts w:ascii="Times New Roman" w:eastAsia="Times New Roman" w:hAnsi="Times New Roman" w:cs="Times New Roman"/>
          <w:color w:val="000000"/>
          <w:sz w:val="24"/>
          <w:szCs w:val="24"/>
          <w:lang/>
        </w:rPr>
        <w:t>8438 20 00 00; 8438 30 00 00; 8438 40 00 00; 8438 50 00 00; 8438 60 00 00;</w:t>
      </w:r>
    </w:p>
    <w:p w14:paraId="35AAF8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4" w:name="n14950"/>
      <w:bookmarkEnd w:id="10094"/>
      <w:r w:rsidRPr="008B264B">
        <w:rPr>
          <w:rFonts w:ascii="Times New Roman" w:eastAsia="Times New Roman" w:hAnsi="Times New Roman" w:cs="Times New Roman"/>
          <w:color w:val="000000"/>
          <w:sz w:val="24"/>
          <w:szCs w:val="24"/>
          <w:lang/>
        </w:rPr>
        <w:t>8438 80 10 00; 8438 80 91 00; 8438 80 99 00; 8439 10 00 00; 8439 20 00 00;</w:t>
      </w:r>
    </w:p>
    <w:p w14:paraId="7B04AC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5" w:name="n14951"/>
      <w:bookmarkEnd w:id="10095"/>
      <w:r w:rsidRPr="008B264B">
        <w:rPr>
          <w:rFonts w:ascii="Times New Roman" w:eastAsia="Times New Roman" w:hAnsi="Times New Roman" w:cs="Times New Roman"/>
          <w:color w:val="000000"/>
          <w:sz w:val="24"/>
          <w:szCs w:val="24"/>
          <w:lang/>
        </w:rPr>
        <w:t>8439 30 00 00; 8440 10 10 00; 8440 10 20 00; 8440 10 30 00; 8440 10 40 00;</w:t>
      </w:r>
    </w:p>
    <w:p w14:paraId="7D6C57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6" w:name="n14952"/>
      <w:bookmarkEnd w:id="10096"/>
      <w:r w:rsidRPr="008B264B">
        <w:rPr>
          <w:rFonts w:ascii="Times New Roman" w:eastAsia="Times New Roman" w:hAnsi="Times New Roman" w:cs="Times New Roman"/>
          <w:color w:val="000000"/>
          <w:sz w:val="24"/>
          <w:szCs w:val="24"/>
          <w:lang/>
        </w:rPr>
        <w:t>8440 10 90 00; 8441 10 10 00; 8441 10 20 00; 8441 10 30 00; 8441 10 70 00;</w:t>
      </w:r>
    </w:p>
    <w:p w14:paraId="4061AB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7" w:name="n14953"/>
      <w:bookmarkEnd w:id="10097"/>
      <w:r w:rsidRPr="008B264B">
        <w:rPr>
          <w:rFonts w:ascii="Times New Roman" w:eastAsia="Times New Roman" w:hAnsi="Times New Roman" w:cs="Times New Roman"/>
          <w:color w:val="000000"/>
          <w:sz w:val="24"/>
          <w:szCs w:val="24"/>
          <w:lang/>
        </w:rPr>
        <w:t>8441 20 00 00; 8441 30 00 00; 8441 40 00 00; 8441 80 00 00; 8443 11 00 00;</w:t>
      </w:r>
    </w:p>
    <w:p w14:paraId="7E016B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8" w:name="n14954"/>
      <w:bookmarkEnd w:id="10098"/>
      <w:r w:rsidRPr="008B264B">
        <w:rPr>
          <w:rFonts w:ascii="Times New Roman" w:eastAsia="Times New Roman" w:hAnsi="Times New Roman" w:cs="Times New Roman"/>
          <w:color w:val="000000"/>
          <w:sz w:val="24"/>
          <w:szCs w:val="24"/>
          <w:lang/>
        </w:rPr>
        <w:t>8443 12 00 00; 8443 13 10 00; 8443 13 31 00; 8443 13 35 00; 8443 13 39 00;</w:t>
      </w:r>
    </w:p>
    <w:p w14:paraId="1785A9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099" w:name="n14955"/>
      <w:bookmarkEnd w:id="10099"/>
      <w:r w:rsidRPr="008B264B">
        <w:rPr>
          <w:rFonts w:ascii="Times New Roman" w:eastAsia="Times New Roman" w:hAnsi="Times New Roman" w:cs="Times New Roman"/>
          <w:color w:val="000000"/>
          <w:sz w:val="24"/>
          <w:szCs w:val="24"/>
          <w:lang/>
        </w:rPr>
        <w:t>8443 13 90 00; 8443 14 00 00; 8443 15 00 00; 8443 16 00 00; 8443 17 00 00;</w:t>
      </w:r>
    </w:p>
    <w:p w14:paraId="7DB9D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0" w:name="n14956"/>
      <w:bookmarkEnd w:id="10100"/>
      <w:r w:rsidRPr="008B264B">
        <w:rPr>
          <w:rFonts w:ascii="Times New Roman" w:eastAsia="Times New Roman" w:hAnsi="Times New Roman" w:cs="Times New Roman"/>
          <w:color w:val="000000"/>
          <w:sz w:val="24"/>
          <w:szCs w:val="24"/>
          <w:lang/>
        </w:rPr>
        <w:t>8443 19 20 00; 8443 19 40 00; 8443 19 70 00; 8444 00 10 00; 8444 00 90 00;</w:t>
      </w:r>
    </w:p>
    <w:p w14:paraId="5CAC43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1" w:name="n14957"/>
      <w:bookmarkEnd w:id="10101"/>
      <w:r w:rsidRPr="008B264B">
        <w:rPr>
          <w:rFonts w:ascii="Times New Roman" w:eastAsia="Times New Roman" w:hAnsi="Times New Roman" w:cs="Times New Roman"/>
          <w:color w:val="000000"/>
          <w:sz w:val="24"/>
          <w:szCs w:val="24"/>
          <w:lang/>
        </w:rPr>
        <w:t>8445 11 00 00; 8445 12 00 00; 8445 13 00 00; 8445 19 00 00; 8445 20 00 00;</w:t>
      </w:r>
    </w:p>
    <w:p w14:paraId="57A8D4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2" w:name="n14958"/>
      <w:bookmarkEnd w:id="10102"/>
      <w:r w:rsidRPr="008B264B">
        <w:rPr>
          <w:rFonts w:ascii="Times New Roman" w:eastAsia="Times New Roman" w:hAnsi="Times New Roman" w:cs="Times New Roman"/>
          <w:color w:val="000000"/>
          <w:sz w:val="24"/>
          <w:szCs w:val="24"/>
          <w:lang/>
        </w:rPr>
        <w:t>8445 30 00 00; 8445 40 00 00; 8445 90 00 00; 8446 10 00 00; 8446 21 00 00;</w:t>
      </w:r>
    </w:p>
    <w:p w14:paraId="02DF20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3" w:name="n14959"/>
      <w:bookmarkEnd w:id="10103"/>
      <w:r w:rsidRPr="008B264B">
        <w:rPr>
          <w:rFonts w:ascii="Times New Roman" w:eastAsia="Times New Roman" w:hAnsi="Times New Roman" w:cs="Times New Roman"/>
          <w:color w:val="000000"/>
          <w:sz w:val="24"/>
          <w:szCs w:val="24"/>
          <w:lang/>
        </w:rPr>
        <w:t>8446 29 00 00; 8446 30 00 00; 8447 11 00 00; 8447 12 00 00; 8447 20 20 00;</w:t>
      </w:r>
    </w:p>
    <w:p w14:paraId="4500DD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4" w:name="n14960"/>
      <w:bookmarkEnd w:id="10104"/>
      <w:r w:rsidRPr="008B264B">
        <w:rPr>
          <w:rFonts w:ascii="Times New Roman" w:eastAsia="Times New Roman" w:hAnsi="Times New Roman" w:cs="Times New Roman"/>
          <w:color w:val="000000"/>
          <w:sz w:val="24"/>
          <w:szCs w:val="24"/>
          <w:lang/>
        </w:rPr>
        <w:t>8447 20 80 00; 8447 90 00 00; 8449 00 00 00; 8451 10 00 00; 8451 21 00 00;</w:t>
      </w:r>
    </w:p>
    <w:p w14:paraId="4D433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5" w:name="n14961"/>
      <w:bookmarkEnd w:id="10105"/>
      <w:r w:rsidRPr="008B264B">
        <w:rPr>
          <w:rFonts w:ascii="Times New Roman" w:eastAsia="Times New Roman" w:hAnsi="Times New Roman" w:cs="Times New Roman"/>
          <w:color w:val="000000"/>
          <w:sz w:val="24"/>
          <w:szCs w:val="24"/>
          <w:lang/>
        </w:rPr>
        <w:t>8451 29 00 00; 8451 30 00 00; 8451 40 00 00; 8451 50 00 00; 8451 80 10 00;</w:t>
      </w:r>
    </w:p>
    <w:p w14:paraId="26784D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6" w:name="n14962"/>
      <w:bookmarkEnd w:id="10106"/>
      <w:r w:rsidRPr="008B264B">
        <w:rPr>
          <w:rFonts w:ascii="Times New Roman" w:eastAsia="Times New Roman" w:hAnsi="Times New Roman" w:cs="Times New Roman"/>
          <w:color w:val="000000"/>
          <w:sz w:val="24"/>
          <w:szCs w:val="24"/>
          <w:lang/>
        </w:rPr>
        <w:t>8451 80 30 00; 8451 80 80 00; 8452 21 00 00; 8452 29 00 00; 8453 10 00 00;</w:t>
      </w:r>
    </w:p>
    <w:p w14:paraId="703BDBB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7" w:name="n14963"/>
      <w:bookmarkEnd w:id="10107"/>
      <w:r w:rsidRPr="008B264B">
        <w:rPr>
          <w:rFonts w:ascii="Times New Roman" w:eastAsia="Times New Roman" w:hAnsi="Times New Roman" w:cs="Times New Roman"/>
          <w:color w:val="000000"/>
          <w:sz w:val="24"/>
          <w:szCs w:val="24"/>
          <w:lang/>
        </w:rPr>
        <w:t>8453 20 00 00; 8453 80 00 00; 8454 10 00 10; 8454 10 00 90; 8454 20 00 00;</w:t>
      </w:r>
    </w:p>
    <w:p w14:paraId="436814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8" w:name="n14964"/>
      <w:bookmarkEnd w:id="10108"/>
      <w:r w:rsidRPr="008B264B">
        <w:rPr>
          <w:rFonts w:ascii="Times New Roman" w:eastAsia="Times New Roman" w:hAnsi="Times New Roman" w:cs="Times New Roman"/>
          <w:color w:val="000000"/>
          <w:sz w:val="24"/>
          <w:szCs w:val="24"/>
          <w:lang/>
        </w:rPr>
        <w:t>8454 30 10 00; 8454 30 90 00; 8455 10 00 00; 8455 21 00 00; 8455 22 00 00;</w:t>
      </w:r>
    </w:p>
    <w:p w14:paraId="0AE2A9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09" w:name="n14965"/>
      <w:bookmarkEnd w:id="10109"/>
      <w:r w:rsidRPr="008B264B">
        <w:rPr>
          <w:rFonts w:ascii="Times New Roman" w:eastAsia="Times New Roman" w:hAnsi="Times New Roman" w:cs="Times New Roman"/>
          <w:color w:val="000000"/>
          <w:sz w:val="24"/>
          <w:szCs w:val="24"/>
          <w:lang/>
        </w:rPr>
        <w:t>8456 10 00 00; 8456 20 00 00; 8456 30 11 00; 8456 30 19 00; 8456 30 90 00;</w:t>
      </w:r>
    </w:p>
    <w:p w14:paraId="348C77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0" w:name="n14966"/>
      <w:bookmarkEnd w:id="10110"/>
      <w:r w:rsidRPr="008B264B">
        <w:rPr>
          <w:rFonts w:ascii="Times New Roman" w:eastAsia="Times New Roman" w:hAnsi="Times New Roman" w:cs="Times New Roman"/>
          <w:color w:val="000000"/>
          <w:sz w:val="24"/>
          <w:szCs w:val="24"/>
          <w:lang/>
        </w:rPr>
        <w:t>8456 90 20 00; 8456 90 80 00; 8457 10 10 00; 8457 10 90 00; 8457 20 00 00;</w:t>
      </w:r>
    </w:p>
    <w:p w14:paraId="0BDCB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1" w:name="n14967"/>
      <w:bookmarkEnd w:id="10111"/>
      <w:r w:rsidRPr="008B264B">
        <w:rPr>
          <w:rFonts w:ascii="Times New Roman" w:eastAsia="Times New Roman" w:hAnsi="Times New Roman" w:cs="Times New Roman"/>
          <w:color w:val="000000"/>
          <w:sz w:val="24"/>
          <w:szCs w:val="24"/>
          <w:lang/>
        </w:rPr>
        <w:t>8457 30 10 00; 8457 30 90 00; 8458 11 20 00; 8458 11 41 00; 8458 11 49 00;</w:t>
      </w:r>
    </w:p>
    <w:p w14:paraId="2E2825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2" w:name="n14968"/>
      <w:bookmarkEnd w:id="10112"/>
      <w:r w:rsidRPr="008B264B">
        <w:rPr>
          <w:rFonts w:ascii="Times New Roman" w:eastAsia="Times New Roman" w:hAnsi="Times New Roman" w:cs="Times New Roman"/>
          <w:color w:val="000000"/>
          <w:sz w:val="24"/>
          <w:szCs w:val="24"/>
          <w:lang/>
        </w:rPr>
        <w:t>8458 11 80 00; 8458 19 00 10; 8458 19 00 90; 8458 91 20 00; 8458 91 80 00;</w:t>
      </w:r>
    </w:p>
    <w:p w14:paraId="5532AD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3" w:name="n14969"/>
      <w:bookmarkEnd w:id="10113"/>
      <w:r w:rsidRPr="008B264B">
        <w:rPr>
          <w:rFonts w:ascii="Times New Roman" w:eastAsia="Times New Roman" w:hAnsi="Times New Roman" w:cs="Times New Roman"/>
          <w:color w:val="000000"/>
          <w:sz w:val="24"/>
          <w:szCs w:val="24"/>
          <w:lang/>
        </w:rPr>
        <w:t>8458 99 00 00; 8459 10 00 00; 8459 21 00 00; 8459 29 00 00; 8459 31 00 00;</w:t>
      </w:r>
    </w:p>
    <w:p w14:paraId="1443AF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4" w:name="n14970"/>
      <w:bookmarkEnd w:id="10114"/>
      <w:r w:rsidRPr="008B264B">
        <w:rPr>
          <w:rFonts w:ascii="Times New Roman" w:eastAsia="Times New Roman" w:hAnsi="Times New Roman" w:cs="Times New Roman"/>
          <w:color w:val="000000"/>
          <w:sz w:val="24"/>
          <w:szCs w:val="24"/>
          <w:lang/>
        </w:rPr>
        <w:t>8459 39 00 00; 8459 40 10 00; 8459 40 90 00; 8459 51 00 00; 8459 59 00 00;</w:t>
      </w:r>
    </w:p>
    <w:p w14:paraId="03B19E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5" w:name="n14971"/>
      <w:bookmarkEnd w:id="10115"/>
      <w:r w:rsidRPr="008B264B">
        <w:rPr>
          <w:rFonts w:ascii="Times New Roman" w:eastAsia="Times New Roman" w:hAnsi="Times New Roman" w:cs="Times New Roman"/>
          <w:color w:val="000000"/>
          <w:sz w:val="24"/>
          <w:szCs w:val="24"/>
          <w:lang/>
        </w:rPr>
        <w:t>8459 61 10 00; 8459 61 90 00; 8459 69 10 00; 8459 69 90 00; 8459 70 00 00;</w:t>
      </w:r>
    </w:p>
    <w:p w14:paraId="500CA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6" w:name="n14972"/>
      <w:bookmarkEnd w:id="10116"/>
      <w:r w:rsidRPr="008B264B">
        <w:rPr>
          <w:rFonts w:ascii="Times New Roman" w:eastAsia="Times New Roman" w:hAnsi="Times New Roman" w:cs="Times New Roman"/>
          <w:color w:val="000000"/>
          <w:sz w:val="24"/>
          <w:szCs w:val="24"/>
          <w:lang/>
        </w:rPr>
        <w:t>8460 11 00 00; 8460 19 00 00; 8460 21 11 00; 8460 21 15 00; 8460 21 19 00;</w:t>
      </w:r>
    </w:p>
    <w:p w14:paraId="111F718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7" w:name="n14973"/>
      <w:bookmarkEnd w:id="10117"/>
      <w:r w:rsidRPr="008B264B">
        <w:rPr>
          <w:rFonts w:ascii="Times New Roman" w:eastAsia="Times New Roman" w:hAnsi="Times New Roman" w:cs="Times New Roman"/>
          <w:color w:val="000000"/>
          <w:sz w:val="24"/>
          <w:szCs w:val="24"/>
          <w:lang/>
        </w:rPr>
        <w:t>8460 21 90 00; 8460 29 10 00; 8460 29 90 00; 8460 31 00 00; 8460 39 00 00;</w:t>
      </w:r>
    </w:p>
    <w:p w14:paraId="7E5358A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8" w:name="n14974"/>
      <w:bookmarkEnd w:id="10118"/>
      <w:r w:rsidRPr="008B264B">
        <w:rPr>
          <w:rFonts w:ascii="Times New Roman" w:eastAsia="Times New Roman" w:hAnsi="Times New Roman" w:cs="Times New Roman"/>
          <w:color w:val="000000"/>
          <w:sz w:val="24"/>
          <w:szCs w:val="24"/>
          <w:lang/>
        </w:rPr>
        <w:t>8460 40 10 10; 8460 40 10 90; 8460 40 90 00; 8460 90 10 00; 8460 90 90 00;</w:t>
      </w:r>
    </w:p>
    <w:p w14:paraId="5E7CEE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19" w:name="n14975"/>
      <w:bookmarkEnd w:id="10119"/>
      <w:r w:rsidRPr="008B264B">
        <w:rPr>
          <w:rFonts w:ascii="Times New Roman" w:eastAsia="Times New Roman" w:hAnsi="Times New Roman" w:cs="Times New Roman"/>
          <w:color w:val="000000"/>
          <w:sz w:val="24"/>
          <w:szCs w:val="24"/>
          <w:lang/>
        </w:rPr>
        <w:t>8461 20 00 00; 8461 30 10 00; 8461 30 90 00; 8461 40 11 00; 8461 40 19 00;</w:t>
      </w:r>
    </w:p>
    <w:p w14:paraId="79CC5F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0" w:name="n14976"/>
      <w:bookmarkEnd w:id="10120"/>
      <w:r w:rsidRPr="008B264B">
        <w:rPr>
          <w:rFonts w:ascii="Times New Roman" w:eastAsia="Times New Roman" w:hAnsi="Times New Roman" w:cs="Times New Roman"/>
          <w:color w:val="000000"/>
          <w:sz w:val="24"/>
          <w:szCs w:val="24"/>
          <w:lang/>
        </w:rPr>
        <w:t>8461 40 31 00; 8461 40 39 00; 8461 40 71 00; 8461 40 79 00; 8461 40 90 00;</w:t>
      </w:r>
    </w:p>
    <w:p w14:paraId="307759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1" w:name="n14977"/>
      <w:bookmarkEnd w:id="10121"/>
      <w:r w:rsidRPr="008B264B">
        <w:rPr>
          <w:rFonts w:ascii="Times New Roman" w:eastAsia="Times New Roman" w:hAnsi="Times New Roman" w:cs="Times New Roman"/>
          <w:color w:val="000000"/>
          <w:sz w:val="24"/>
          <w:szCs w:val="24"/>
          <w:lang/>
        </w:rPr>
        <w:t>8461 50 11 00; 8461 50 19 00; 8461 50 90 00; 8461 90 00 00; 8462 10 10 00;</w:t>
      </w:r>
    </w:p>
    <w:p w14:paraId="6DA24A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2" w:name="n14978"/>
      <w:bookmarkEnd w:id="10122"/>
      <w:r w:rsidRPr="008B264B">
        <w:rPr>
          <w:rFonts w:ascii="Times New Roman" w:eastAsia="Times New Roman" w:hAnsi="Times New Roman" w:cs="Times New Roman"/>
          <w:color w:val="000000"/>
          <w:sz w:val="24"/>
          <w:szCs w:val="24"/>
          <w:lang/>
        </w:rPr>
        <w:t>8462 10 90 00; 8462 21 10 00; 8462 21 80 00; 8462 29 10 00; 8462 29 91 00;</w:t>
      </w:r>
    </w:p>
    <w:p w14:paraId="061DA8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3" w:name="n14979"/>
      <w:bookmarkEnd w:id="10123"/>
      <w:r w:rsidRPr="008B264B">
        <w:rPr>
          <w:rFonts w:ascii="Times New Roman" w:eastAsia="Times New Roman" w:hAnsi="Times New Roman" w:cs="Times New Roman"/>
          <w:color w:val="000000"/>
          <w:sz w:val="24"/>
          <w:szCs w:val="24"/>
          <w:lang/>
        </w:rPr>
        <w:lastRenderedPageBreak/>
        <w:t>8462 29 98 00; 8462 31 00 00; 8462 39 10 00; 8462 39 91 00; 8462 39 99 00;</w:t>
      </w:r>
    </w:p>
    <w:p w14:paraId="3AC47FB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4" w:name="n14980"/>
      <w:bookmarkEnd w:id="10124"/>
      <w:r w:rsidRPr="008B264B">
        <w:rPr>
          <w:rFonts w:ascii="Times New Roman" w:eastAsia="Times New Roman" w:hAnsi="Times New Roman" w:cs="Times New Roman"/>
          <w:color w:val="000000"/>
          <w:sz w:val="24"/>
          <w:szCs w:val="24"/>
          <w:lang/>
        </w:rPr>
        <w:t>8462 41 10 00; 8462 41 90 00; 8462 49 10 00; 8462 49 90 00; 8462 91 20 00;</w:t>
      </w:r>
    </w:p>
    <w:p w14:paraId="1F657C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5" w:name="n14981"/>
      <w:bookmarkEnd w:id="10125"/>
      <w:r w:rsidRPr="008B264B">
        <w:rPr>
          <w:rFonts w:ascii="Times New Roman" w:eastAsia="Times New Roman" w:hAnsi="Times New Roman" w:cs="Times New Roman"/>
          <w:color w:val="000000"/>
          <w:sz w:val="24"/>
          <w:szCs w:val="24"/>
          <w:lang/>
        </w:rPr>
        <w:t>8462 91 80 00; 8462 99 20 00; 8462 99 80 00; 8463 10 10 00; 8463 10 90 00;</w:t>
      </w:r>
    </w:p>
    <w:p w14:paraId="136185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6" w:name="n14982"/>
      <w:bookmarkEnd w:id="10126"/>
      <w:r w:rsidRPr="008B264B">
        <w:rPr>
          <w:rFonts w:ascii="Times New Roman" w:eastAsia="Times New Roman" w:hAnsi="Times New Roman" w:cs="Times New Roman"/>
          <w:color w:val="000000"/>
          <w:sz w:val="24"/>
          <w:szCs w:val="24"/>
          <w:lang/>
        </w:rPr>
        <w:t>8463 20 00 00; 8463 30 00 00; 8463 90 00 00; 8464 10 00 00; 8464 20 11 00;</w:t>
      </w:r>
    </w:p>
    <w:p w14:paraId="1F533C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7" w:name="n14983"/>
      <w:bookmarkEnd w:id="10127"/>
      <w:r w:rsidRPr="008B264B">
        <w:rPr>
          <w:rFonts w:ascii="Times New Roman" w:eastAsia="Times New Roman" w:hAnsi="Times New Roman" w:cs="Times New Roman"/>
          <w:color w:val="000000"/>
          <w:sz w:val="24"/>
          <w:szCs w:val="24"/>
          <w:lang/>
        </w:rPr>
        <w:t>8464 20 19 00; 8464 20 80 00; 8464 90 00 00; 8465 10 10 00; 8465 10 90 00;</w:t>
      </w:r>
    </w:p>
    <w:p w14:paraId="57537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8" w:name="n14984"/>
      <w:bookmarkEnd w:id="10128"/>
      <w:r w:rsidRPr="008B264B">
        <w:rPr>
          <w:rFonts w:ascii="Times New Roman" w:eastAsia="Times New Roman" w:hAnsi="Times New Roman" w:cs="Times New Roman"/>
          <w:color w:val="000000"/>
          <w:sz w:val="24"/>
          <w:szCs w:val="24"/>
          <w:lang/>
        </w:rPr>
        <w:t>8465 91 10 00; 8465 91 20 00; 8465 91 90 00; 8465 92 00 00; 8465 93 00 00;</w:t>
      </w:r>
    </w:p>
    <w:p w14:paraId="375EA4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29" w:name="n14985"/>
      <w:bookmarkEnd w:id="10129"/>
      <w:r w:rsidRPr="008B264B">
        <w:rPr>
          <w:rFonts w:ascii="Times New Roman" w:eastAsia="Times New Roman" w:hAnsi="Times New Roman" w:cs="Times New Roman"/>
          <w:color w:val="000000"/>
          <w:sz w:val="24"/>
          <w:szCs w:val="24"/>
          <w:lang/>
        </w:rPr>
        <w:t>8465 94 00 00; 8465 95 00 10; 8465 95 00 90; 8465 96 00 00; 8465 99 00 10;</w:t>
      </w:r>
    </w:p>
    <w:p w14:paraId="44CF1B7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0" w:name="n14986"/>
      <w:bookmarkEnd w:id="10130"/>
      <w:r w:rsidRPr="008B264B">
        <w:rPr>
          <w:rFonts w:ascii="Times New Roman" w:eastAsia="Times New Roman" w:hAnsi="Times New Roman" w:cs="Times New Roman"/>
          <w:color w:val="000000"/>
          <w:sz w:val="24"/>
          <w:szCs w:val="24"/>
          <w:lang/>
        </w:rPr>
        <w:t>8465 99 00 90; 8468 20 00 00; 8468 80 00 00; 8474 10 00 00; 8474 20 00 00;</w:t>
      </w:r>
    </w:p>
    <w:p w14:paraId="585D68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1" w:name="n14987"/>
      <w:bookmarkEnd w:id="10131"/>
      <w:r w:rsidRPr="008B264B">
        <w:rPr>
          <w:rFonts w:ascii="Times New Roman" w:eastAsia="Times New Roman" w:hAnsi="Times New Roman" w:cs="Times New Roman"/>
          <w:color w:val="000000"/>
          <w:sz w:val="24"/>
          <w:szCs w:val="24"/>
          <w:lang/>
        </w:rPr>
        <w:t>8474 31 00 00; 8474 32 00 00; 8474 39 00 00; 8474 80 10 00; 8474 80 90 00;</w:t>
      </w:r>
    </w:p>
    <w:p w14:paraId="1275CF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2" w:name="n14988"/>
      <w:bookmarkEnd w:id="10132"/>
      <w:r w:rsidRPr="008B264B">
        <w:rPr>
          <w:rFonts w:ascii="Times New Roman" w:eastAsia="Times New Roman" w:hAnsi="Times New Roman" w:cs="Times New Roman"/>
          <w:color w:val="000000"/>
          <w:sz w:val="24"/>
          <w:szCs w:val="24"/>
          <w:lang/>
        </w:rPr>
        <w:t>8475 10 00 00; 8475 21 00 00; 8475 29 00 00; 8477 10 00 00; 8477 20 00 00;</w:t>
      </w:r>
    </w:p>
    <w:p w14:paraId="4CB374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3" w:name="n14989"/>
      <w:bookmarkEnd w:id="10133"/>
      <w:r w:rsidRPr="008B264B">
        <w:rPr>
          <w:rFonts w:ascii="Times New Roman" w:eastAsia="Times New Roman" w:hAnsi="Times New Roman" w:cs="Times New Roman"/>
          <w:color w:val="000000"/>
          <w:sz w:val="24"/>
          <w:szCs w:val="24"/>
          <w:lang/>
        </w:rPr>
        <w:t>8477 30 00 00; 8477 40 00 00; 8477 51 00 00; 8477 59 10 10; 8477 59 10 90;</w:t>
      </w:r>
    </w:p>
    <w:p w14:paraId="1B9596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4" w:name="n14990"/>
      <w:bookmarkEnd w:id="10134"/>
      <w:r w:rsidRPr="008B264B">
        <w:rPr>
          <w:rFonts w:ascii="Times New Roman" w:eastAsia="Times New Roman" w:hAnsi="Times New Roman" w:cs="Times New Roman"/>
          <w:color w:val="000000"/>
          <w:sz w:val="24"/>
          <w:szCs w:val="24"/>
          <w:lang/>
        </w:rPr>
        <w:t>8477 59 80 00; 8477 80 11 00; 8477 80 19 00; 8477 80 91 00; 8477 80 93 00;</w:t>
      </w:r>
    </w:p>
    <w:p w14:paraId="54CCA9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5" w:name="n14991"/>
      <w:bookmarkEnd w:id="10135"/>
      <w:r w:rsidRPr="008B264B">
        <w:rPr>
          <w:rFonts w:ascii="Times New Roman" w:eastAsia="Times New Roman" w:hAnsi="Times New Roman" w:cs="Times New Roman"/>
          <w:color w:val="000000"/>
          <w:sz w:val="24"/>
          <w:szCs w:val="24"/>
          <w:lang/>
        </w:rPr>
        <w:t>8477 80 95 00; 8477 80 99 00; 8478 10 00 00; 8479 20 00 00; 8479 30 10 00;</w:t>
      </w:r>
    </w:p>
    <w:p w14:paraId="4A7CD5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6" w:name="n14992"/>
      <w:bookmarkEnd w:id="10136"/>
      <w:r w:rsidRPr="008B264B">
        <w:rPr>
          <w:rFonts w:ascii="Times New Roman" w:eastAsia="Times New Roman" w:hAnsi="Times New Roman" w:cs="Times New Roman"/>
          <w:color w:val="000000"/>
          <w:sz w:val="24"/>
          <w:szCs w:val="24"/>
          <w:lang/>
        </w:rPr>
        <w:t>8479 30 90 00; 8479 40 00 00; 8479 50 00 00; 8479 60 00 00; 8479 81 00 00;</w:t>
      </w:r>
    </w:p>
    <w:p w14:paraId="32268B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7" w:name="n14993"/>
      <w:bookmarkEnd w:id="10137"/>
      <w:r w:rsidRPr="008B264B">
        <w:rPr>
          <w:rFonts w:ascii="Times New Roman" w:eastAsia="Times New Roman" w:hAnsi="Times New Roman" w:cs="Times New Roman"/>
          <w:color w:val="000000"/>
          <w:sz w:val="24"/>
          <w:szCs w:val="24"/>
          <w:lang/>
        </w:rPr>
        <w:t>8479 82 00 00; 8479 89 30 00; 8479 89 60 10; 8479 89 60 90; 8479 89 97 10;</w:t>
      </w:r>
    </w:p>
    <w:p w14:paraId="0BB182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8" w:name="n14994"/>
      <w:bookmarkEnd w:id="10138"/>
      <w:r w:rsidRPr="008B264B">
        <w:rPr>
          <w:rFonts w:ascii="Times New Roman" w:eastAsia="Times New Roman" w:hAnsi="Times New Roman" w:cs="Times New Roman"/>
          <w:color w:val="000000"/>
          <w:sz w:val="24"/>
          <w:szCs w:val="24"/>
          <w:lang/>
        </w:rPr>
        <w:t>8479 89 97 20; 8479 89 97 30; 8479 89 97 50; 8479 89 97 90; 8480 10 00 00;</w:t>
      </w:r>
    </w:p>
    <w:p w14:paraId="33DF06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39" w:name="n14995"/>
      <w:bookmarkEnd w:id="10139"/>
      <w:r w:rsidRPr="008B264B">
        <w:rPr>
          <w:rFonts w:ascii="Times New Roman" w:eastAsia="Times New Roman" w:hAnsi="Times New Roman" w:cs="Times New Roman"/>
          <w:color w:val="000000"/>
          <w:sz w:val="24"/>
          <w:szCs w:val="24"/>
          <w:lang/>
        </w:rPr>
        <w:t>8480 20 00 00; 8480 30 10 00; 8480 30 90 00; 8480 41 00 00; 8480 49 00 00;</w:t>
      </w:r>
    </w:p>
    <w:p w14:paraId="0E0C25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0" w:name="n14996"/>
      <w:bookmarkEnd w:id="10140"/>
      <w:r w:rsidRPr="008B264B">
        <w:rPr>
          <w:rFonts w:ascii="Times New Roman" w:eastAsia="Times New Roman" w:hAnsi="Times New Roman" w:cs="Times New Roman"/>
          <w:color w:val="000000"/>
          <w:sz w:val="24"/>
          <w:szCs w:val="24"/>
          <w:lang/>
        </w:rPr>
        <w:t>8480 50 00 00; 8480 60 00 00; 8480 71 00 10; 8480 71 00 90; 8480 79 00 00;</w:t>
      </w:r>
    </w:p>
    <w:p w14:paraId="02F8E9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1" w:name="n14997"/>
      <w:bookmarkEnd w:id="10141"/>
      <w:r w:rsidRPr="008B264B">
        <w:rPr>
          <w:rFonts w:ascii="Times New Roman" w:eastAsia="Times New Roman" w:hAnsi="Times New Roman" w:cs="Times New Roman"/>
          <w:color w:val="000000"/>
          <w:sz w:val="24"/>
          <w:szCs w:val="24"/>
          <w:lang/>
        </w:rPr>
        <w:t>8486 10 00 00; 8486 20 10 00; 8486 20 90 00; 8486 30 10 00; 8486 30 30 00;</w:t>
      </w:r>
    </w:p>
    <w:p w14:paraId="222012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2" w:name="n14998"/>
      <w:bookmarkEnd w:id="10142"/>
      <w:r w:rsidRPr="008B264B">
        <w:rPr>
          <w:rFonts w:ascii="Times New Roman" w:eastAsia="Times New Roman" w:hAnsi="Times New Roman" w:cs="Times New Roman"/>
          <w:color w:val="000000"/>
          <w:sz w:val="24"/>
          <w:szCs w:val="24"/>
          <w:lang/>
        </w:rPr>
        <w:t>8486 30 50 00; 8486 30 90 10; 8486 30 90 90; 8486 40 00 00; 8502 12 00 90;</w:t>
      </w:r>
    </w:p>
    <w:p w14:paraId="437773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3" w:name="n14999"/>
      <w:bookmarkEnd w:id="10143"/>
      <w:r w:rsidRPr="008B264B">
        <w:rPr>
          <w:rFonts w:ascii="Times New Roman" w:eastAsia="Times New Roman" w:hAnsi="Times New Roman" w:cs="Times New Roman"/>
          <w:color w:val="000000"/>
          <w:sz w:val="24"/>
          <w:szCs w:val="24"/>
          <w:lang/>
        </w:rPr>
        <w:t>8502 13 20 90; 8502 13 40 90; 8502 13 80 90; 8502 20 40 90; 8502 20 60 90;</w:t>
      </w:r>
    </w:p>
    <w:p w14:paraId="588471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4" w:name="n15000"/>
      <w:bookmarkEnd w:id="10144"/>
      <w:r w:rsidRPr="008B264B">
        <w:rPr>
          <w:rFonts w:ascii="Times New Roman" w:eastAsia="Times New Roman" w:hAnsi="Times New Roman" w:cs="Times New Roman"/>
          <w:color w:val="000000"/>
          <w:sz w:val="24"/>
          <w:szCs w:val="24"/>
          <w:lang/>
        </w:rPr>
        <w:t>8502 20 80 90; 8502 31 00 00; 8502 39 20 90; 8502 39 80 90; 8502 40 00 90;</w:t>
      </w:r>
    </w:p>
    <w:p w14:paraId="6BF26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5" w:name="n15001"/>
      <w:bookmarkEnd w:id="10145"/>
      <w:r w:rsidRPr="008B264B">
        <w:rPr>
          <w:rFonts w:ascii="Times New Roman" w:eastAsia="Times New Roman" w:hAnsi="Times New Roman" w:cs="Times New Roman"/>
          <w:color w:val="000000"/>
          <w:sz w:val="24"/>
          <w:szCs w:val="24"/>
          <w:lang/>
        </w:rPr>
        <w:t>8504 21 00 00; 8504 22 10 00; 8504 22 90 00; 8504 23 00 00; 8504 34 00 00;</w:t>
      </w:r>
    </w:p>
    <w:p w14:paraId="4CB50E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6" w:name="n15002"/>
      <w:bookmarkEnd w:id="10146"/>
      <w:r w:rsidRPr="008B264B">
        <w:rPr>
          <w:rFonts w:ascii="Times New Roman" w:eastAsia="Times New Roman" w:hAnsi="Times New Roman" w:cs="Times New Roman"/>
          <w:color w:val="000000"/>
          <w:sz w:val="24"/>
          <w:szCs w:val="24"/>
          <w:lang/>
        </w:rPr>
        <w:t>8504 50 20 90; 8504 50 95 90; 8514 10 10 00; 8514 10 80 00; 8514 20 10 00;</w:t>
      </w:r>
    </w:p>
    <w:p w14:paraId="5906FB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7" w:name="n15003"/>
      <w:bookmarkEnd w:id="10147"/>
      <w:r w:rsidRPr="008B264B">
        <w:rPr>
          <w:rFonts w:ascii="Times New Roman" w:eastAsia="Times New Roman" w:hAnsi="Times New Roman" w:cs="Times New Roman"/>
          <w:color w:val="000000"/>
          <w:sz w:val="24"/>
          <w:szCs w:val="24"/>
          <w:lang/>
        </w:rPr>
        <w:t>8514 20 80 00; 8514 30 00 10; 8514 30 00 90; 8514 40 00 00; 8515 11 00 00;</w:t>
      </w:r>
    </w:p>
    <w:p w14:paraId="7BE30D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8" w:name="n15004"/>
      <w:bookmarkEnd w:id="10148"/>
      <w:r w:rsidRPr="008B264B">
        <w:rPr>
          <w:rFonts w:ascii="Times New Roman" w:eastAsia="Times New Roman" w:hAnsi="Times New Roman" w:cs="Times New Roman"/>
          <w:color w:val="000000"/>
          <w:sz w:val="24"/>
          <w:szCs w:val="24"/>
          <w:lang/>
        </w:rPr>
        <w:t>8515 19 00 00; 8515 21 00 00; 8515 29 00 00; 8515 31 00 00; 8515 39 13 00;</w:t>
      </w:r>
    </w:p>
    <w:p w14:paraId="50900D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49" w:name="n15005"/>
      <w:bookmarkEnd w:id="10149"/>
      <w:r w:rsidRPr="008B264B">
        <w:rPr>
          <w:rFonts w:ascii="Times New Roman" w:eastAsia="Times New Roman" w:hAnsi="Times New Roman" w:cs="Times New Roman"/>
          <w:color w:val="000000"/>
          <w:sz w:val="24"/>
          <w:szCs w:val="24"/>
          <w:lang/>
        </w:rPr>
        <w:t>8515 39 18 00; 8515 39 90 00; 8515 80 10 00; 8515 80 90 00; 8537 10 10 00;</w:t>
      </w:r>
    </w:p>
    <w:p w14:paraId="41515A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0" w:name="n15006"/>
      <w:bookmarkEnd w:id="10150"/>
      <w:r w:rsidRPr="008B264B">
        <w:rPr>
          <w:rFonts w:ascii="Times New Roman" w:eastAsia="Times New Roman" w:hAnsi="Times New Roman" w:cs="Times New Roman"/>
          <w:color w:val="000000"/>
          <w:sz w:val="24"/>
          <w:szCs w:val="24"/>
          <w:lang/>
        </w:rPr>
        <w:t>8537 10 91 00; 8537 10 99 90; 8537 20 91 00; 8537 20 99 00; 8543 10 00 00;</w:t>
      </w:r>
    </w:p>
    <w:p w14:paraId="690BC1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1" w:name="n15007"/>
      <w:bookmarkEnd w:id="10151"/>
      <w:r w:rsidRPr="008B264B">
        <w:rPr>
          <w:rFonts w:ascii="Times New Roman" w:eastAsia="Times New Roman" w:hAnsi="Times New Roman" w:cs="Times New Roman"/>
          <w:color w:val="000000"/>
          <w:sz w:val="24"/>
          <w:szCs w:val="24"/>
          <w:lang/>
        </w:rPr>
        <w:t>8543 20 00 00; 8543 30 00 00; 9011 10 10 00; 9011 10 90 00; 9011 20 10 00;</w:t>
      </w:r>
    </w:p>
    <w:p w14:paraId="03004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2" w:name="n15008"/>
      <w:bookmarkEnd w:id="10152"/>
      <w:r w:rsidRPr="008B264B">
        <w:rPr>
          <w:rFonts w:ascii="Times New Roman" w:eastAsia="Times New Roman" w:hAnsi="Times New Roman" w:cs="Times New Roman"/>
          <w:color w:val="000000"/>
          <w:sz w:val="24"/>
          <w:szCs w:val="24"/>
          <w:lang/>
        </w:rPr>
        <w:t>9011 20 90 00; 9011 80 00 00; 9012 10 10 00; 9012 10 90 00; 9013 20 00 00;</w:t>
      </w:r>
    </w:p>
    <w:p w14:paraId="3DB183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3" w:name="n15009"/>
      <w:bookmarkEnd w:id="10153"/>
      <w:r w:rsidRPr="008B264B">
        <w:rPr>
          <w:rFonts w:ascii="Times New Roman" w:eastAsia="Times New Roman" w:hAnsi="Times New Roman" w:cs="Times New Roman"/>
          <w:color w:val="000000"/>
          <w:sz w:val="24"/>
          <w:szCs w:val="24"/>
          <w:lang/>
        </w:rPr>
        <w:t>9013 80 20 00; 9013 80 30 00; 9013 80 90 00; 9024 10 11 00; 9024 10 13 00;</w:t>
      </w:r>
    </w:p>
    <w:p w14:paraId="5DFC63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4" w:name="n15010"/>
      <w:bookmarkEnd w:id="10154"/>
      <w:r w:rsidRPr="008B264B">
        <w:rPr>
          <w:rFonts w:ascii="Times New Roman" w:eastAsia="Times New Roman" w:hAnsi="Times New Roman" w:cs="Times New Roman"/>
          <w:color w:val="000000"/>
          <w:sz w:val="24"/>
          <w:szCs w:val="24"/>
          <w:lang/>
        </w:rPr>
        <w:t>9024 10 19 00; 9024 10 90 10; 9024 10 90 20; 9024 10 90 90; 9024 80 11 00;</w:t>
      </w:r>
    </w:p>
    <w:p w14:paraId="36806E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5" w:name="n15011"/>
      <w:bookmarkEnd w:id="10155"/>
      <w:r w:rsidRPr="008B264B">
        <w:rPr>
          <w:rFonts w:ascii="Times New Roman" w:eastAsia="Times New Roman" w:hAnsi="Times New Roman" w:cs="Times New Roman"/>
          <w:color w:val="000000"/>
          <w:sz w:val="24"/>
          <w:szCs w:val="24"/>
          <w:lang/>
        </w:rPr>
        <w:t>9024 80 19 00; 9024 80 90 00; 9030 10 00 00; 9030 20 10 00; 9030 20 30 00;</w:t>
      </w:r>
    </w:p>
    <w:p w14:paraId="7809B2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6" w:name="n15012"/>
      <w:bookmarkEnd w:id="10156"/>
      <w:r w:rsidRPr="008B264B">
        <w:rPr>
          <w:rFonts w:ascii="Times New Roman" w:eastAsia="Times New Roman" w:hAnsi="Times New Roman" w:cs="Times New Roman"/>
          <w:color w:val="000000"/>
          <w:sz w:val="24"/>
          <w:szCs w:val="24"/>
          <w:lang/>
        </w:rPr>
        <w:t>9030 20 91 00; 9030 20 99 00; 9030 31 00 00; 9030 32 00 00;9030 33 10 00;</w:t>
      </w:r>
    </w:p>
    <w:p w14:paraId="2722D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7" w:name="n15013"/>
      <w:bookmarkEnd w:id="10157"/>
      <w:r w:rsidRPr="008B264B">
        <w:rPr>
          <w:rFonts w:ascii="Times New Roman" w:eastAsia="Times New Roman" w:hAnsi="Times New Roman" w:cs="Times New Roman"/>
          <w:color w:val="000000"/>
          <w:sz w:val="24"/>
          <w:szCs w:val="24"/>
          <w:lang/>
        </w:rPr>
        <w:t>9030 33 91 00; 9030 33 99 00; 9030 39 00 00; 9030 40 00 00; 9030 82 00 00;</w:t>
      </w:r>
    </w:p>
    <w:p w14:paraId="7E4A32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8" w:name="n15014"/>
      <w:bookmarkEnd w:id="10158"/>
      <w:r w:rsidRPr="008B264B">
        <w:rPr>
          <w:rFonts w:ascii="Times New Roman" w:eastAsia="Times New Roman" w:hAnsi="Times New Roman" w:cs="Times New Roman"/>
          <w:color w:val="000000"/>
          <w:sz w:val="24"/>
          <w:szCs w:val="24"/>
          <w:lang/>
        </w:rPr>
        <w:lastRenderedPageBreak/>
        <w:t>9030 84 00 00; 9030 89 30 00; 9030 89 90 00; 9031 10 00 00; 9031 20 00 00;</w:t>
      </w:r>
    </w:p>
    <w:p w14:paraId="7F7AB9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59" w:name="n15015"/>
      <w:bookmarkEnd w:id="10159"/>
      <w:r w:rsidRPr="008B264B">
        <w:rPr>
          <w:rFonts w:ascii="Times New Roman" w:eastAsia="Times New Roman" w:hAnsi="Times New Roman" w:cs="Times New Roman"/>
          <w:color w:val="000000"/>
          <w:sz w:val="24"/>
          <w:szCs w:val="24"/>
          <w:lang/>
        </w:rPr>
        <w:t>9031 41 00 00; 9031 49 10 00; 9031 49 90 00; 9031 80 32 00; 9031 80 34 00;</w:t>
      </w:r>
    </w:p>
    <w:p w14:paraId="2221D7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0" w:name="n15016"/>
      <w:bookmarkEnd w:id="10160"/>
      <w:r w:rsidRPr="008B264B">
        <w:rPr>
          <w:rFonts w:ascii="Times New Roman" w:eastAsia="Times New Roman" w:hAnsi="Times New Roman" w:cs="Times New Roman"/>
          <w:color w:val="000000"/>
          <w:sz w:val="24"/>
          <w:szCs w:val="24"/>
          <w:lang/>
        </w:rPr>
        <w:t>9031 80 38 00; 9031 80 91 00; 9031 80 98 00; 9032 10 20 00; 9032 10 81 00;</w:t>
      </w:r>
    </w:p>
    <w:p w14:paraId="0756BC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1" w:name="n15017"/>
      <w:bookmarkEnd w:id="10161"/>
      <w:r w:rsidRPr="008B264B">
        <w:rPr>
          <w:rFonts w:ascii="Times New Roman" w:eastAsia="Times New Roman" w:hAnsi="Times New Roman" w:cs="Times New Roman"/>
          <w:color w:val="000000"/>
          <w:sz w:val="24"/>
          <w:szCs w:val="24"/>
          <w:lang/>
        </w:rPr>
        <w:t>9032 10 89 00; 9032 20 00 00; 9032 81 00 00; 9032 89 00 00; 7309 00 59 00.</w:t>
      </w:r>
    </w:p>
    <w:p w14:paraId="2593CF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2" w:name="n15018"/>
      <w:bookmarkEnd w:id="10162"/>
      <w:r w:rsidRPr="008B264B">
        <w:rPr>
          <w:rFonts w:ascii="Times New Roman" w:eastAsia="Times New Roman" w:hAnsi="Times New Roman" w:cs="Times New Roman"/>
          <w:color w:val="000000"/>
          <w:sz w:val="24"/>
          <w:szCs w:val="24"/>
          <w:lang/>
        </w:rPr>
        <w:t>При наданні розстрочення сплати податку на додану вартість норми </w:t>
      </w:r>
      <w:hyperlink r:id="rId5690" w:anchor="n2246" w:history="1">
        <w:r w:rsidRPr="008B264B">
          <w:rPr>
            <w:rFonts w:ascii="Times New Roman" w:eastAsia="Times New Roman" w:hAnsi="Times New Roman" w:cs="Times New Roman"/>
            <w:color w:val="0000FF"/>
            <w:sz w:val="24"/>
            <w:szCs w:val="24"/>
            <w:u w:val="single"/>
            <w:lang/>
          </w:rPr>
          <w:t>статті 100</w:t>
        </w:r>
      </w:hyperlink>
      <w:r w:rsidRPr="008B264B">
        <w:rPr>
          <w:rFonts w:ascii="Times New Roman" w:eastAsia="Times New Roman" w:hAnsi="Times New Roman" w:cs="Times New Roman"/>
          <w:color w:val="000000"/>
          <w:sz w:val="24"/>
          <w:szCs w:val="24"/>
          <w:lang/>
        </w:rPr>
        <w:t> цього Кодексу не застосовуються.</w:t>
      </w:r>
    </w:p>
    <w:bookmarkStart w:id="10163" w:name="n15019"/>
    <w:bookmarkEnd w:id="10163"/>
    <w:p w14:paraId="3291A1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"https://zakon.rada.gov.ua/laws/show/85-2018-%D0%BF" \l "n9"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Порядок надання розстрочення сплати податку на додану вартість та застосування забезпечення</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відповідно до цього пункту встановлюється Кабінетом Міністрів України.</w:t>
      </w:r>
    </w:p>
    <w:p w14:paraId="17F7B8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4" w:name="n15020"/>
      <w:bookmarkEnd w:id="10164"/>
      <w:r w:rsidRPr="008B264B">
        <w:rPr>
          <w:rFonts w:ascii="Times New Roman" w:eastAsia="Times New Roman" w:hAnsi="Times New Roman" w:cs="Times New Roman"/>
          <w:color w:val="000000"/>
          <w:sz w:val="24"/>
          <w:szCs w:val="24"/>
          <w:lang/>
        </w:rPr>
        <w:t>Залишок суми зобов’язань із сплати податку на додану вартість підлягає забезпеченню виконання відповідно до </w:t>
      </w:r>
      <w:hyperlink r:id="rId5691" w:anchor="n2535" w:tgtFrame="_blank" w:history="1">
        <w:r w:rsidRPr="008B264B">
          <w:rPr>
            <w:rFonts w:ascii="Times New Roman" w:eastAsia="Times New Roman" w:hAnsi="Times New Roman" w:cs="Times New Roman"/>
            <w:color w:val="0000FF"/>
            <w:sz w:val="24"/>
            <w:szCs w:val="24"/>
            <w:u w:val="single"/>
            <w:lang/>
          </w:rPr>
          <w:t>розділу X</w:t>
        </w:r>
      </w:hyperlink>
      <w:r w:rsidRPr="008B264B">
        <w:rPr>
          <w:rFonts w:ascii="Times New Roman" w:eastAsia="Times New Roman" w:hAnsi="Times New Roman" w:cs="Times New Roman"/>
          <w:color w:val="000000"/>
          <w:sz w:val="24"/>
          <w:szCs w:val="24"/>
          <w:lang/>
        </w:rPr>
        <w:t> Митного кодексу України або банківською гарантією, виданою відповідно до законодавства України, крім випадків, коли залишок суми зобов’язань із сплати податку на додану вартість підлягає забезпеченню виконання шляхом застави обладнання та комплектуючих, що ввозиться відповідно до цього пункту. Кабінет Міністрів України має право встановити випадки, коли залишок суми зобов’язань із сплати податку на додану вартість підлягає забезпеченню виконання шляхом застави обладнання та комплектуючих, що ввозиться відповідно до цього пункту.</w:t>
      </w:r>
    </w:p>
    <w:p w14:paraId="1562F1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5" w:name="n15399"/>
      <w:bookmarkEnd w:id="10165"/>
      <w:r w:rsidRPr="008B264B">
        <w:rPr>
          <w:rFonts w:ascii="Times New Roman" w:eastAsia="Times New Roman" w:hAnsi="Times New Roman" w:cs="Times New Roman"/>
          <w:i/>
          <w:iCs/>
          <w:color w:val="000000"/>
          <w:sz w:val="24"/>
          <w:szCs w:val="24"/>
          <w:lang/>
        </w:rPr>
        <w:t>{Абзац четвертий пункту 65 підрозділу 2 розділу XX із змінами, внесеними згідно із Законом </w:t>
      </w:r>
      <w:hyperlink r:id="rId5692" w:anchor="n67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FE799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6" w:name="n15021"/>
      <w:bookmarkEnd w:id="10166"/>
      <w:r w:rsidRPr="008B264B">
        <w:rPr>
          <w:rFonts w:ascii="Times New Roman" w:eastAsia="Times New Roman" w:hAnsi="Times New Roman" w:cs="Times New Roman"/>
          <w:color w:val="000000"/>
          <w:sz w:val="24"/>
          <w:szCs w:val="24"/>
          <w:lang/>
        </w:rPr>
        <w:t>У разі невиконання платником у встановлені законодавством строки зобов’язань зі сплати податку на додану вартість, забезпечених відповідно до розділу X Митного кодексу України, контролюючий орган направляє гаранту письмову вимогу про сплату суми податку на додану вартість та документи, що підтверджують настання гарантійного випадку. Гарант зобов’язаний не пізніше трьох банківських днів після дня отримання вимоги та документів, що підтверджують настання гарантійного випадку, перерахувати належну суму податку на додану вартість до державного бюджету. У разі порушення строку перерахування коштів у рахунок сплати податку на додану вартість відповідно до вимоги контролюючого органу гарант несе відповідальність відповідно до законодавства. У разі несплати гарантом коштів за наданими ним гарантіями суми таких коштів стягуються у порядку, встановленому законодавством. До правовідносин, пов’язаних з видачею гарантій, виконанням гарантами зобов’язань і припиненням гарантії, застосовуються також положення законодавства України про банки і банківську діяльність, </w:t>
      </w:r>
      <w:hyperlink r:id="rId5693" w:tgtFrame="_blank" w:history="1">
        <w:r w:rsidRPr="008B264B">
          <w:rPr>
            <w:rFonts w:ascii="Times New Roman" w:eastAsia="Times New Roman" w:hAnsi="Times New Roman" w:cs="Times New Roman"/>
            <w:color w:val="0000FF"/>
            <w:sz w:val="24"/>
            <w:szCs w:val="24"/>
            <w:u w:val="single"/>
            <w:lang/>
          </w:rPr>
          <w:t>Митного кодексу України</w:t>
        </w:r>
      </w:hyperlink>
      <w:r w:rsidRPr="008B264B">
        <w:rPr>
          <w:rFonts w:ascii="Times New Roman" w:eastAsia="Times New Roman" w:hAnsi="Times New Roman" w:cs="Times New Roman"/>
          <w:color w:val="000000"/>
          <w:sz w:val="24"/>
          <w:szCs w:val="24"/>
          <w:lang/>
        </w:rPr>
        <w:t>, законодавства у сфері надання фінансових послуг та цивільного законодавства України в частині, що не врегульована цим Кодексом.</w:t>
      </w:r>
    </w:p>
    <w:p w14:paraId="42F277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7" w:name="n15400"/>
      <w:bookmarkEnd w:id="10167"/>
      <w:r w:rsidRPr="008B264B">
        <w:rPr>
          <w:rFonts w:ascii="Times New Roman" w:eastAsia="Times New Roman" w:hAnsi="Times New Roman" w:cs="Times New Roman"/>
          <w:i/>
          <w:iCs/>
          <w:color w:val="000000"/>
          <w:sz w:val="24"/>
          <w:szCs w:val="24"/>
          <w:lang/>
        </w:rPr>
        <w:t>{Абзац п'ятий пункту 65 підрозділу 2 розділу XX із змінами, внесеними згідно із Законом </w:t>
      </w:r>
      <w:hyperlink r:id="rId5694" w:anchor="n67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AE6C0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8" w:name="n15022"/>
      <w:bookmarkEnd w:id="10168"/>
      <w:r w:rsidRPr="008B264B">
        <w:rPr>
          <w:rFonts w:ascii="Times New Roman" w:eastAsia="Times New Roman" w:hAnsi="Times New Roman" w:cs="Times New Roman"/>
          <w:color w:val="000000"/>
          <w:sz w:val="24"/>
          <w:szCs w:val="24"/>
          <w:lang/>
        </w:rPr>
        <w:t>Суми податку, сплачені з урахуванням вимог, встановлених цим пунктом, включаються платником до складу податкового кредиту у звітному (податковому) періоді, в якому було сплачено податок до бюджету.</w:t>
      </w:r>
    </w:p>
    <w:p w14:paraId="316F25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69" w:name="n15023"/>
      <w:bookmarkEnd w:id="10169"/>
      <w:r w:rsidRPr="008B264B">
        <w:rPr>
          <w:rFonts w:ascii="Times New Roman" w:eastAsia="Times New Roman" w:hAnsi="Times New Roman" w:cs="Times New Roman"/>
          <w:color w:val="000000"/>
          <w:sz w:val="24"/>
          <w:szCs w:val="24"/>
          <w:lang/>
        </w:rPr>
        <w:t>Обладнання  та комплектуючі ввозяться на митну територію України платником податків для власного виробництва на території України.</w:t>
      </w:r>
    </w:p>
    <w:p w14:paraId="0FFD83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0" w:name="n15401"/>
      <w:bookmarkEnd w:id="10170"/>
      <w:r w:rsidRPr="008B264B">
        <w:rPr>
          <w:rFonts w:ascii="Times New Roman" w:eastAsia="Times New Roman" w:hAnsi="Times New Roman" w:cs="Times New Roman"/>
          <w:i/>
          <w:iCs/>
          <w:color w:val="000000"/>
          <w:sz w:val="24"/>
          <w:szCs w:val="24"/>
          <w:lang/>
        </w:rPr>
        <w:t>{Абзац сьомий пункту 65 підрозділу 2 розділу XX із змінами, внесеними згідно із Законом </w:t>
      </w:r>
      <w:hyperlink r:id="rId5695" w:anchor="n68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BB8F7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1" w:name="n15024"/>
      <w:bookmarkEnd w:id="10171"/>
      <w:r w:rsidRPr="008B264B">
        <w:rPr>
          <w:rFonts w:ascii="Times New Roman" w:eastAsia="Times New Roman" w:hAnsi="Times New Roman" w:cs="Times New Roman"/>
          <w:color w:val="000000"/>
          <w:sz w:val="24"/>
          <w:szCs w:val="24"/>
          <w:lang/>
        </w:rPr>
        <w:t xml:space="preserve">У разі порушення платником податку умов розстрочення, забезпеченого заставою, продаж заставленого майна такого платника податку здійснюється з використанням дворівневої електронної торгової системи (ЕТС) у порядку, встановленому Кабінетом Міністрів України. Електронна торгова система - дворівнева інформаційно-телекомунікаційна система, що складається з центральної бази даних та електронних майданчиків, які взаємодіють через </w:t>
      </w:r>
      <w:r w:rsidRPr="008B264B">
        <w:rPr>
          <w:rFonts w:ascii="Times New Roman" w:eastAsia="Times New Roman" w:hAnsi="Times New Roman" w:cs="Times New Roman"/>
          <w:color w:val="000000"/>
          <w:sz w:val="24"/>
          <w:szCs w:val="24"/>
          <w:lang/>
        </w:rPr>
        <w:lastRenderedPageBreak/>
        <w:t>інтерфейс програмування додатків, який надається у вигляді коду з відкритим доступом та визначає функціональність електронної торгової системи.</w:t>
      </w:r>
    </w:p>
    <w:p w14:paraId="520CFB5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2" w:name="n15025"/>
      <w:bookmarkEnd w:id="10172"/>
      <w:r w:rsidRPr="008B264B">
        <w:rPr>
          <w:rFonts w:ascii="Times New Roman" w:eastAsia="Times New Roman" w:hAnsi="Times New Roman" w:cs="Times New Roman"/>
          <w:color w:val="000000"/>
          <w:sz w:val="24"/>
          <w:szCs w:val="24"/>
          <w:lang/>
        </w:rPr>
        <w:t>Платники податків, яким надано розстрочення згідно з </w:t>
      </w:r>
      <w:hyperlink r:id="rId5696" w:anchor="n14437" w:history="1">
        <w:r w:rsidRPr="008B264B">
          <w:rPr>
            <w:rFonts w:ascii="Times New Roman" w:eastAsia="Times New Roman" w:hAnsi="Times New Roman" w:cs="Times New Roman"/>
            <w:color w:val="0000FF"/>
            <w:sz w:val="24"/>
            <w:szCs w:val="24"/>
            <w:u w:val="single"/>
            <w:lang/>
          </w:rPr>
          <w:t>пунктами 58</w:t>
        </w:r>
      </w:hyperlink>
      <w:r w:rsidRPr="008B264B">
        <w:rPr>
          <w:rFonts w:ascii="Times New Roman" w:eastAsia="Times New Roman" w:hAnsi="Times New Roman" w:cs="Times New Roman"/>
          <w:color w:val="000000"/>
          <w:sz w:val="24"/>
          <w:szCs w:val="24"/>
          <w:lang/>
        </w:rPr>
        <w:t> і </w:t>
      </w:r>
      <w:hyperlink r:id="rId5697" w:anchor="n14440" w:history="1">
        <w:r w:rsidRPr="008B264B">
          <w:rPr>
            <w:rFonts w:ascii="Times New Roman" w:eastAsia="Times New Roman" w:hAnsi="Times New Roman" w:cs="Times New Roman"/>
            <w:color w:val="0000FF"/>
            <w:sz w:val="24"/>
            <w:szCs w:val="24"/>
            <w:u w:val="single"/>
            <w:lang/>
          </w:rPr>
          <w:t>59</w:t>
        </w:r>
      </w:hyperlink>
      <w:r w:rsidRPr="008B264B">
        <w:rPr>
          <w:rFonts w:ascii="Times New Roman" w:eastAsia="Times New Roman" w:hAnsi="Times New Roman" w:cs="Times New Roman"/>
          <w:color w:val="000000"/>
          <w:sz w:val="24"/>
          <w:szCs w:val="24"/>
          <w:lang/>
        </w:rPr>
        <w:t> цього підрозділу до дня набрання чинності </w:t>
      </w:r>
      <w:hyperlink r:id="rId5698"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та деяких законодавчих актів України щодо забезпечення збалансованості бюджетних надходжень у 2018 році", мають право змінити забезпечення виконання зобов’язань зі сплати податку на додану вартість, надане контролюючому органу відповідно до </w:t>
      </w:r>
      <w:hyperlink r:id="rId5699" w:anchor="n2535" w:tgtFrame="_blank" w:history="1">
        <w:r w:rsidRPr="008B264B">
          <w:rPr>
            <w:rFonts w:ascii="Times New Roman" w:eastAsia="Times New Roman" w:hAnsi="Times New Roman" w:cs="Times New Roman"/>
            <w:color w:val="0000FF"/>
            <w:sz w:val="24"/>
            <w:szCs w:val="24"/>
            <w:u w:val="single"/>
            <w:lang/>
          </w:rPr>
          <w:t>розділу X</w:t>
        </w:r>
      </w:hyperlink>
      <w:r w:rsidRPr="008B264B">
        <w:rPr>
          <w:rFonts w:ascii="Times New Roman" w:eastAsia="Times New Roman" w:hAnsi="Times New Roman" w:cs="Times New Roman"/>
          <w:color w:val="000000"/>
          <w:sz w:val="24"/>
          <w:szCs w:val="24"/>
          <w:lang/>
        </w:rPr>
        <w:t> Митного кодексу України, на передбачене цим пунктом забезпечення виконання зобов’язань зі сплати податку на додану вартість банківською гарантією, виданою відповідно до законодавства України, або заставою.</w:t>
      </w:r>
    </w:p>
    <w:p w14:paraId="57143A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3" w:name="n15026"/>
      <w:bookmarkEnd w:id="10173"/>
      <w:r w:rsidRPr="008B264B">
        <w:rPr>
          <w:rFonts w:ascii="Times New Roman" w:eastAsia="Times New Roman" w:hAnsi="Times New Roman" w:cs="Times New Roman"/>
          <w:color w:val="000000"/>
          <w:sz w:val="24"/>
          <w:szCs w:val="24"/>
          <w:lang/>
        </w:rPr>
        <w:t>Розстрочення сплати податку на додану вартість згідно з цим пунктом не надається при ввезенні на митну територію України у митному режимі імпорту обладнання, якщо воно має походження з країни, визнаної державою-окупантом згідно із законом України та/або визнаної державою-агресором по відношенню до України згідно із законодавством, або ввозиться з території такої держави-окупанта (агресора) та/або з окупованої території України, визначеної такою згідно із законом України.</w:t>
      </w:r>
    </w:p>
    <w:p w14:paraId="3E0352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4" w:name="n15027"/>
      <w:bookmarkEnd w:id="10174"/>
      <w:r w:rsidRPr="008B264B">
        <w:rPr>
          <w:rFonts w:ascii="Times New Roman" w:eastAsia="Times New Roman" w:hAnsi="Times New Roman" w:cs="Times New Roman"/>
          <w:color w:val="000000"/>
          <w:sz w:val="24"/>
          <w:szCs w:val="24"/>
          <w:lang/>
        </w:rPr>
        <w:t>У разі відчуження, передачі в оренду, суборенду чи передачі права володіння, користування в інший спосіб обладнання та комплектуючих, ввезених на митну територію України у порядку, визначеному цим пунктом, платник податку зобов’язаний сплатити податкові зобов’язання за результатами податкового періоду, на який припадає таке порушення, у сумі, розрахованій як позитивна різниця між сумою податку на додану вартість, що мала бути сплачена із зазначених операцій у момент ввезення таких товарів без застосування особливостей оподаткування, передбачених цим пунктом, та фактично сплаченою сумою, а також сплатити пеню, нараховану на таку суму податку, виходячи із 120 відсотків облікової ставки Національного банку України, що діяла на день сплати податкового зобов’язання, за період з дня ввезення таких товарів до дня збільшення податкового зобов’язання.</w:t>
      </w:r>
    </w:p>
    <w:p w14:paraId="208FFD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5" w:name="n15402"/>
      <w:bookmarkEnd w:id="10175"/>
      <w:r w:rsidRPr="008B264B">
        <w:rPr>
          <w:rFonts w:ascii="Times New Roman" w:eastAsia="Times New Roman" w:hAnsi="Times New Roman" w:cs="Times New Roman"/>
          <w:i/>
          <w:iCs/>
          <w:color w:val="000000"/>
          <w:sz w:val="24"/>
          <w:szCs w:val="24"/>
          <w:lang/>
        </w:rPr>
        <w:t>{Абзац одинадцятий пункту 65 підрозділу 2 розділу XX із змінами, внесеними згідно із Законом </w:t>
      </w:r>
      <w:hyperlink r:id="rId5700" w:anchor="n68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EEB9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6" w:name="n14926"/>
      <w:bookmarkEnd w:id="10176"/>
      <w:r w:rsidRPr="008B264B">
        <w:rPr>
          <w:rFonts w:ascii="Times New Roman" w:eastAsia="Times New Roman" w:hAnsi="Times New Roman" w:cs="Times New Roman"/>
          <w:i/>
          <w:iCs/>
          <w:color w:val="000000"/>
          <w:sz w:val="24"/>
          <w:szCs w:val="24"/>
          <w:lang/>
        </w:rPr>
        <w:t>{Підрозділ 2 розділу XX доповнено пунктом 65 згідно із Законом </w:t>
      </w:r>
      <w:hyperlink r:id="rId5701" w:anchor="n41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702" w:anchor="n67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F291A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7" w:name="n15114"/>
      <w:bookmarkEnd w:id="10177"/>
      <w:r w:rsidRPr="008B264B">
        <w:rPr>
          <w:rFonts w:ascii="Times New Roman" w:eastAsia="Times New Roman" w:hAnsi="Times New Roman" w:cs="Times New Roman"/>
          <w:color w:val="000000"/>
          <w:sz w:val="24"/>
          <w:szCs w:val="24"/>
          <w:lang/>
        </w:rPr>
        <w:t>66. До 26 травня 2018 року до операцій із ввезення на митну територію України товарів, зазначених в абзацах другому і третьому </w:t>
      </w:r>
      <w:hyperlink r:id="rId5703" w:anchor="n5032" w:tgtFrame="_blank" w:history="1">
        <w:r w:rsidRPr="008B264B">
          <w:rPr>
            <w:rFonts w:ascii="Times New Roman" w:eastAsia="Times New Roman" w:hAnsi="Times New Roman" w:cs="Times New Roman"/>
            <w:color w:val="0000FF"/>
            <w:sz w:val="24"/>
            <w:szCs w:val="24"/>
            <w:u w:val="single"/>
            <w:lang/>
          </w:rPr>
          <w:t>пункту 4</w:t>
        </w:r>
      </w:hyperlink>
      <w:hyperlink r:id="rId5704" w:anchor="n5032" w:tgtFrame="_blank"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3</w:t>
        </w:r>
      </w:hyperlink>
      <w:r w:rsidRPr="008B264B">
        <w:rPr>
          <w:rFonts w:ascii="Times New Roman" w:eastAsia="Times New Roman" w:hAnsi="Times New Roman" w:cs="Times New Roman"/>
          <w:color w:val="000000"/>
          <w:sz w:val="24"/>
          <w:szCs w:val="24"/>
          <w:lang/>
        </w:rPr>
        <w:t> розділу XXI "Прикінцеві та перехідні положення" Митного кодексу України, застосовуються:</w:t>
      </w:r>
    </w:p>
    <w:p w14:paraId="26E8CA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8" w:name="n15115"/>
      <w:bookmarkEnd w:id="10178"/>
      <w:r w:rsidRPr="008B264B">
        <w:rPr>
          <w:rFonts w:ascii="Times New Roman" w:eastAsia="Times New Roman" w:hAnsi="Times New Roman" w:cs="Times New Roman"/>
          <w:color w:val="000000"/>
          <w:sz w:val="24"/>
          <w:szCs w:val="24"/>
          <w:lang/>
        </w:rPr>
        <w:t>звільнення від оподаткування податком на додану вартість у разі поміщення таких товарів у митний режим імпорту;</w:t>
      </w:r>
    </w:p>
    <w:p w14:paraId="4BAB96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79" w:name="n15116"/>
      <w:bookmarkEnd w:id="10179"/>
      <w:r w:rsidRPr="008B264B">
        <w:rPr>
          <w:rFonts w:ascii="Times New Roman" w:eastAsia="Times New Roman" w:hAnsi="Times New Roman" w:cs="Times New Roman"/>
          <w:color w:val="000000"/>
          <w:sz w:val="24"/>
          <w:szCs w:val="24"/>
          <w:lang/>
        </w:rPr>
        <w:t>умовне повне звільнення від оподаткування податком на додану вартість у разі поміщення таких товарів у митний режим тимчасового ввезення.</w:t>
      </w:r>
    </w:p>
    <w:p w14:paraId="10C1A4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0" w:name="n15117"/>
      <w:bookmarkEnd w:id="10180"/>
      <w:r w:rsidRPr="008B264B">
        <w:rPr>
          <w:rFonts w:ascii="Times New Roman" w:eastAsia="Times New Roman" w:hAnsi="Times New Roman" w:cs="Times New Roman"/>
          <w:color w:val="000000"/>
          <w:sz w:val="24"/>
          <w:szCs w:val="24"/>
          <w:lang/>
        </w:rPr>
        <w:t>У разі нецільового використання зазначених товарів платник податку зобов’язаний сплатити суму податкового зобов’язання, на яку було надане таке звільнення або умовне повне звільнення, та пеню, нараховану відповідно до </w:t>
      </w:r>
      <w:hyperlink r:id="rId5705" w:anchor="n2457" w:history="1">
        <w:r w:rsidRPr="008B264B">
          <w:rPr>
            <w:rFonts w:ascii="Times New Roman" w:eastAsia="Times New Roman" w:hAnsi="Times New Roman" w:cs="Times New Roman"/>
            <w:color w:val="0000FF"/>
            <w:sz w:val="24"/>
            <w:szCs w:val="24"/>
            <w:u w:val="single"/>
            <w:lang/>
          </w:rPr>
          <w:t>статті 129</w:t>
        </w:r>
      </w:hyperlink>
      <w:r w:rsidRPr="008B264B">
        <w:rPr>
          <w:rFonts w:ascii="Times New Roman" w:eastAsia="Times New Roman" w:hAnsi="Times New Roman" w:cs="Times New Roman"/>
          <w:color w:val="000000"/>
          <w:sz w:val="24"/>
          <w:szCs w:val="24"/>
          <w:lang/>
        </w:rPr>
        <w:t> цього Кодексу, розраховану з дня надання звільнення або умовного повного звільнення від оподаткування.</w:t>
      </w:r>
    </w:p>
    <w:p w14:paraId="6FCCC6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1" w:name="n15120"/>
      <w:bookmarkEnd w:id="10181"/>
      <w:r w:rsidRPr="008B264B">
        <w:rPr>
          <w:rFonts w:ascii="Times New Roman" w:eastAsia="Times New Roman" w:hAnsi="Times New Roman" w:cs="Times New Roman"/>
          <w:i/>
          <w:iCs/>
          <w:color w:val="000000"/>
          <w:sz w:val="24"/>
          <w:szCs w:val="24"/>
          <w:lang/>
        </w:rPr>
        <w:t>{Підрозділ 2 розділу XX доповнено пунктом 66 згідно із Законом </w:t>
      </w:r>
      <w:hyperlink r:id="rId5706" w:anchor="n13" w:tgtFrame="_blank" w:history="1">
        <w:r w:rsidRPr="008B264B">
          <w:rPr>
            <w:rFonts w:ascii="Times New Roman" w:eastAsia="Times New Roman" w:hAnsi="Times New Roman" w:cs="Times New Roman"/>
            <w:i/>
            <w:iCs/>
            <w:color w:val="0000FF"/>
            <w:sz w:val="24"/>
            <w:szCs w:val="24"/>
            <w:u w:val="single"/>
            <w:lang/>
          </w:rPr>
          <w:t>№ 2374-VIII від 22.03.2018</w:t>
        </w:r>
      </w:hyperlink>
      <w:r w:rsidRPr="008B264B">
        <w:rPr>
          <w:rFonts w:ascii="Times New Roman" w:eastAsia="Times New Roman" w:hAnsi="Times New Roman" w:cs="Times New Roman"/>
          <w:i/>
          <w:iCs/>
          <w:color w:val="000000"/>
          <w:sz w:val="24"/>
          <w:szCs w:val="24"/>
          <w:lang/>
        </w:rPr>
        <w:t>}</w:t>
      </w:r>
    </w:p>
    <w:p w14:paraId="1DEA0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2" w:name="n15118"/>
      <w:bookmarkEnd w:id="10182"/>
      <w:r w:rsidRPr="008B264B">
        <w:rPr>
          <w:rFonts w:ascii="Times New Roman" w:eastAsia="Times New Roman" w:hAnsi="Times New Roman" w:cs="Times New Roman"/>
          <w:color w:val="000000"/>
          <w:sz w:val="24"/>
          <w:szCs w:val="24"/>
          <w:lang/>
        </w:rPr>
        <w:t>67. Тимчасово, до 26 травня 2018 року включно, звільняються від оподаткування податком на додану вартість операції з постачання (надання) УЄФА або юридичними особами, уповноваженими УЄФА на здійснення організаційних заходів та/або проведення фінальних матчів Ліги чемпіонів УЄФА та Ліги чемпіонів УЄФА серед жінок сезону 2017/2018, квитків та послуг, що є їх невід’ємною частиною.</w:t>
      </w:r>
    </w:p>
    <w:p w14:paraId="35EEAA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3" w:name="n15119"/>
      <w:bookmarkEnd w:id="10183"/>
      <w:r w:rsidRPr="008B264B">
        <w:rPr>
          <w:rFonts w:ascii="Times New Roman" w:eastAsia="Times New Roman" w:hAnsi="Times New Roman" w:cs="Times New Roman"/>
          <w:color w:val="000000"/>
          <w:sz w:val="24"/>
          <w:szCs w:val="24"/>
          <w:lang/>
        </w:rPr>
        <w:lastRenderedPageBreak/>
        <w:t>Для цілей цього пункту термін "УЄФА" вживається у значенні "Союз європейських футбольних асоціацій".</w:t>
      </w:r>
    </w:p>
    <w:p w14:paraId="201F10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4" w:name="n15113"/>
      <w:bookmarkEnd w:id="10184"/>
      <w:r w:rsidRPr="008B264B">
        <w:rPr>
          <w:rFonts w:ascii="Times New Roman" w:eastAsia="Times New Roman" w:hAnsi="Times New Roman" w:cs="Times New Roman"/>
          <w:i/>
          <w:iCs/>
          <w:color w:val="000000"/>
          <w:sz w:val="24"/>
          <w:szCs w:val="24"/>
          <w:lang/>
        </w:rPr>
        <w:t>{Підрозділ 2 розділу XX доповнено пунктом 67 згідно із Законом </w:t>
      </w:r>
      <w:hyperlink r:id="rId5707" w:anchor="n13" w:tgtFrame="_blank" w:history="1">
        <w:r w:rsidRPr="008B264B">
          <w:rPr>
            <w:rFonts w:ascii="Times New Roman" w:eastAsia="Times New Roman" w:hAnsi="Times New Roman" w:cs="Times New Roman"/>
            <w:i/>
            <w:iCs/>
            <w:color w:val="0000FF"/>
            <w:sz w:val="24"/>
            <w:szCs w:val="24"/>
            <w:u w:val="single"/>
            <w:lang/>
          </w:rPr>
          <w:t>№ 2374-VIII від 22.03.2018</w:t>
        </w:r>
      </w:hyperlink>
      <w:r w:rsidRPr="008B264B">
        <w:rPr>
          <w:rFonts w:ascii="Times New Roman" w:eastAsia="Times New Roman" w:hAnsi="Times New Roman" w:cs="Times New Roman"/>
          <w:i/>
          <w:iCs/>
          <w:color w:val="000000"/>
          <w:sz w:val="24"/>
          <w:szCs w:val="24"/>
          <w:lang/>
        </w:rPr>
        <w:t>}</w:t>
      </w:r>
    </w:p>
    <w:p w14:paraId="62C200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5" w:name="n15404"/>
      <w:bookmarkEnd w:id="10185"/>
      <w:r w:rsidRPr="008B264B">
        <w:rPr>
          <w:rFonts w:ascii="Times New Roman" w:eastAsia="Times New Roman" w:hAnsi="Times New Roman" w:cs="Times New Roman"/>
          <w:color w:val="000000"/>
          <w:sz w:val="24"/>
          <w:szCs w:val="24"/>
          <w:lang/>
        </w:rPr>
        <w:t>68. Установити, що з 1 січня 2019 року по 30 червня 2019 року не є об’єктом оподаткування податком на додану вартість операції з ввезення на митну територію України товарів, сумарна фактурна вартість яких не перевищує еквівалент 150 євро для одного одержувача - фізичної особи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w:t>
      </w:r>
    </w:p>
    <w:p w14:paraId="47A062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6" w:name="n15405"/>
      <w:bookmarkEnd w:id="10186"/>
      <w:r w:rsidRPr="008B264B">
        <w:rPr>
          <w:rFonts w:ascii="Times New Roman" w:eastAsia="Times New Roman" w:hAnsi="Times New Roman" w:cs="Times New Roman"/>
          <w:color w:val="000000"/>
          <w:sz w:val="24"/>
          <w:szCs w:val="24"/>
          <w:lang/>
        </w:rPr>
        <w:t>З 1 січня 2019 року по 31 грудня 2020 року норми пункту 180.2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статті 180 та </w:t>
      </w:r>
      <w:hyperlink r:id="rId5708" w:anchor="n4612" w:history="1">
        <w:r w:rsidRPr="008B264B">
          <w:rPr>
            <w:rFonts w:ascii="Times New Roman" w:eastAsia="Times New Roman" w:hAnsi="Times New Roman" w:cs="Times New Roman"/>
            <w:color w:val="0000FF"/>
            <w:sz w:val="24"/>
            <w:szCs w:val="24"/>
            <w:u w:val="single"/>
            <w:lang/>
          </w:rPr>
          <w:t>підпунктів 191.1.3</w:t>
        </w:r>
      </w:hyperlink>
      <w:r w:rsidRPr="008B264B">
        <w:rPr>
          <w:rFonts w:ascii="Times New Roman" w:eastAsia="Times New Roman" w:hAnsi="Times New Roman" w:cs="Times New Roman"/>
          <w:color w:val="000000"/>
          <w:sz w:val="24"/>
          <w:szCs w:val="24"/>
          <w:lang/>
        </w:rPr>
        <w:t> і </w:t>
      </w:r>
      <w:hyperlink r:id="rId5709" w:anchor="n15307" w:history="1">
        <w:r w:rsidRPr="008B264B">
          <w:rPr>
            <w:rFonts w:ascii="Times New Roman" w:eastAsia="Times New Roman" w:hAnsi="Times New Roman" w:cs="Times New Roman"/>
            <w:color w:val="0000FF"/>
            <w:sz w:val="24"/>
            <w:szCs w:val="24"/>
            <w:u w:val="single"/>
            <w:lang/>
          </w:rPr>
          <w:t>191.1.4</w:t>
        </w:r>
      </w:hyperlink>
      <w:r w:rsidRPr="008B264B">
        <w:rPr>
          <w:rFonts w:ascii="Times New Roman" w:eastAsia="Times New Roman" w:hAnsi="Times New Roman" w:cs="Times New Roman"/>
          <w:color w:val="000000"/>
          <w:sz w:val="24"/>
          <w:szCs w:val="24"/>
          <w:lang/>
        </w:rPr>
        <w:t> пункту 191.1 статті 191 цього Кодексу не застосовуються.</w:t>
      </w:r>
    </w:p>
    <w:p w14:paraId="6EF5AC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7" w:name="n15406"/>
      <w:bookmarkEnd w:id="10187"/>
      <w:r w:rsidRPr="008B264B">
        <w:rPr>
          <w:rFonts w:ascii="Times New Roman" w:eastAsia="Times New Roman" w:hAnsi="Times New Roman" w:cs="Times New Roman"/>
          <w:color w:val="000000"/>
          <w:sz w:val="24"/>
          <w:szCs w:val="24"/>
          <w:lang/>
        </w:rPr>
        <w:t>З 1 липня 2019 року по 31 грудня 2020 року нарахування та сплата податку на додану вартість у разі ввезення на митну територію України товарів у міжнародних поштових та експрес-відправленнях, сумарна фактурна вартість яких перевищує еквівалент 100 євро для одного одержувача - фізичної особи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 здійснюються у порядку нарахування та сплати податку на додану вартість, визначеному </w:t>
      </w:r>
      <w:hyperlink r:id="rId5710" w:tgtFrame="_blank" w:history="1">
        <w:r w:rsidRPr="008B264B">
          <w:rPr>
            <w:rFonts w:ascii="Times New Roman" w:eastAsia="Times New Roman" w:hAnsi="Times New Roman" w:cs="Times New Roman"/>
            <w:color w:val="0000FF"/>
            <w:sz w:val="24"/>
            <w:szCs w:val="24"/>
            <w:u w:val="single"/>
            <w:lang/>
          </w:rPr>
          <w:t>Митним кодексом України</w:t>
        </w:r>
      </w:hyperlink>
      <w:r w:rsidRPr="008B264B">
        <w:rPr>
          <w:rFonts w:ascii="Times New Roman" w:eastAsia="Times New Roman" w:hAnsi="Times New Roman" w:cs="Times New Roman"/>
          <w:color w:val="000000"/>
          <w:sz w:val="24"/>
          <w:szCs w:val="24"/>
          <w:lang/>
        </w:rPr>
        <w:t> при ввезенні на митну територію України товарів у міжнародних поштових та експрес-відправленнях, сумарна фактурна вартість яких перевищує еквівалент 150 євро для одного одержувача - фізичної особи в одній депеші від одного відправника у міжнародних поштових відправленнях або в одному вантажі експрес-перевізника від одного відправника у міжнародних експрес-відправленнях.</w:t>
      </w:r>
    </w:p>
    <w:p w14:paraId="61DE49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8" w:name="n15408"/>
      <w:bookmarkEnd w:id="10188"/>
      <w:r w:rsidRPr="008B264B">
        <w:rPr>
          <w:rFonts w:ascii="Times New Roman" w:eastAsia="Times New Roman" w:hAnsi="Times New Roman" w:cs="Times New Roman"/>
          <w:i/>
          <w:iCs/>
          <w:color w:val="000000"/>
          <w:sz w:val="24"/>
          <w:szCs w:val="24"/>
          <w:lang/>
        </w:rPr>
        <w:t>{Підрозділ 2 розділу XX доповнено пунктом 68 згідно із Законом </w:t>
      </w:r>
      <w:hyperlink r:id="rId5711" w:anchor="n68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7A45E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89" w:name="n15407"/>
      <w:bookmarkEnd w:id="10189"/>
      <w:r w:rsidRPr="008B264B">
        <w:rPr>
          <w:rFonts w:ascii="Times New Roman" w:eastAsia="Times New Roman" w:hAnsi="Times New Roman" w:cs="Times New Roman"/>
          <w:color w:val="000000"/>
          <w:sz w:val="24"/>
          <w:szCs w:val="24"/>
          <w:lang/>
        </w:rPr>
        <w:t>69. Тимчасово, до 1 квітня 2019 року, податкові зобов’язання з податку на додану вартість, що виникли у постачальника електричної енергії на дату отримання від покупця попередньої оплати за електричну енергію, фактичне постачання якої здійснюватиметься новим постачальником електричної енергії, у тому числі постачальником універсальних послуг, підлягають коригуванню на дату перерахування постачальником електричної енергії грошових коштів, отриманих від покупця як попередня оплата, новому постачальнику електричної енергії на підставі розрахунку коригування до податкової накладної, складеного та зареєстрованого в Єдиному реєстрі податкових накладних в загальному порядку, визначеному цим Кодексом.</w:t>
      </w:r>
    </w:p>
    <w:p w14:paraId="67C9F6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0" w:name="n15403"/>
      <w:bookmarkEnd w:id="10190"/>
      <w:r w:rsidRPr="008B264B">
        <w:rPr>
          <w:rFonts w:ascii="Times New Roman" w:eastAsia="Times New Roman" w:hAnsi="Times New Roman" w:cs="Times New Roman"/>
          <w:i/>
          <w:iCs/>
          <w:color w:val="000000"/>
          <w:sz w:val="24"/>
          <w:szCs w:val="24"/>
          <w:lang/>
        </w:rPr>
        <w:t>{Підрозділ 2 розділу XX доповнено пунктом 69 згідно із Законом </w:t>
      </w:r>
      <w:hyperlink r:id="rId5712" w:anchor="n68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A0311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1" w:name="n15821"/>
      <w:bookmarkEnd w:id="10191"/>
      <w:r w:rsidRPr="008B264B">
        <w:rPr>
          <w:rFonts w:ascii="Times New Roman" w:eastAsia="Times New Roman" w:hAnsi="Times New Roman" w:cs="Times New Roman"/>
          <w:color w:val="000000"/>
          <w:sz w:val="24"/>
          <w:szCs w:val="24"/>
          <w:lang/>
        </w:rPr>
        <w:t>70. З метою виконання зобов’язань щодо відокремлення діяльності з транспортування природного газу та щодо забезпечення діяльності оператора газотранспортної системи, взятих Україною відповідно до </w:t>
      </w:r>
      <w:hyperlink r:id="rId571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ратифікацію Протоколу про приєднання України до Договору про заснування Енергетичного Співтовариства", тимчасово:</w:t>
      </w:r>
    </w:p>
    <w:p w14:paraId="72C801A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2" w:name="n15822"/>
      <w:bookmarkEnd w:id="10192"/>
      <w:r w:rsidRPr="008B264B">
        <w:rPr>
          <w:rFonts w:ascii="Times New Roman" w:eastAsia="Times New Roman" w:hAnsi="Times New Roman" w:cs="Times New Roman"/>
          <w:color w:val="000000"/>
          <w:sz w:val="24"/>
          <w:szCs w:val="24"/>
          <w:lang/>
        </w:rPr>
        <w:t>1) до 1 січня 2021 року, звільняються від оподаткування податком на додану вартість операції з передачі з балансу платника податку на баланс іншої юридичної особи, 100 відсотків корпоративних прав у статутному капіталі якої безпосередньо або опосередковано належать державі, або на баланс органа державної влади майна (основних засобів, нематеріальних активів, незавершених капітальних інвестицій, інших необоротних активів), що перебуває у державній власності у складі магістральних газопроводів та всіх об’єктів і споруд, пов’язаних з ними єдиним технологічним процесом, і використовується для забезпечення транспортування природного газу магістральними газопроводами та діяльності оператора газотранспортної системи. При цьому норми </w:t>
      </w:r>
      <w:hyperlink r:id="rId5714" w:anchor="n4951" w:history="1">
        <w:r w:rsidRPr="008B264B">
          <w:rPr>
            <w:rFonts w:ascii="Times New Roman" w:eastAsia="Times New Roman" w:hAnsi="Times New Roman" w:cs="Times New Roman"/>
            <w:color w:val="0000FF"/>
            <w:sz w:val="24"/>
            <w:szCs w:val="24"/>
            <w:u w:val="single"/>
            <w:lang/>
          </w:rPr>
          <w:t>пункту 198.5</w:t>
        </w:r>
      </w:hyperlink>
      <w:r w:rsidRPr="008B264B">
        <w:rPr>
          <w:rFonts w:ascii="Times New Roman" w:eastAsia="Times New Roman" w:hAnsi="Times New Roman" w:cs="Times New Roman"/>
          <w:color w:val="000000"/>
          <w:sz w:val="24"/>
          <w:szCs w:val="24"/>
          <w:lang/>
        </w:rPr>
        <w:t> статті 198 та </w:t>
      </w:r>
      <w:hyperlink r:id="rId5715" w:anchor="n4967" w:history="1">
        <w:r w:rsidRPr="008B264B">
          <w:rPr>
            <w:rFonts w:ascii="Times New Roman" w:eastAsia="Times New Roman" w:hAnsi="Times New Roman" w:cs="Times New Roman"/>
            <w:color w:val="0000FF"/>
            <w:sz w:val="24"/>
            <w:szCs w:val="24"/>
            <w:u w:val="single"/>
            <w:lang/>
          </w:rPr>
          <w:t>статті 199</w:t>
        </w:r>
      </w:hyperlink>
      <w:r w:rsidRPr="008B264B">
        <w:rPr>
          <w:rFonts w:ascii="Times New Roman" w:eastAsia="Times New Roman" w:hAnsi="Times New Roman" w:cs="Times New Roman"/>
          <w:color w:val="000000"/>
          <w:sz w:val="24"/>
          <w:szCs w:val="24"/>
          <w:lang/>
        </w:rPr>
        <w:t> цього Кодексу не застосовуються;</w:t>
      </w:r>
    </w:p>
    <w:p w14:paraId="7DF3B4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3" w:name="n15823"/>
      <w:bookmarkEnd w:id="10193"/>
      <w:r w:rsidRPr="008B264B">
        <w:rPr>
          <w:rFonts w:ascii="Times New Roman" w:eastAsia="Times New Roman" w:hAnsi="Times New Roman" w:cs="Times New Roman"/>
          <w:color w:val="000000"/>
          <w:sz w:val="24"/>
          <w:szCs w:val="24"/>
          <w:lang/>
        </w:rPr>
        <w:t xml:space="preserve">2) до 1 січня 2022 року, за операціями з постачання майна юридичної особи, яке не перебуває у державній чи комунальній власності (основних засобів, нематеріальних активів, незавершених капітальних інвестицій, інших необоротних активів, запасів) і використовується для забезпечення транспортування природного газу магістральними газопроводами та діяльності </w:t>
      </w:r>
      <w:r w:rsidRPr="008B264B">
        <w:rPr>
          <w:rFonts w:ascii="Times New Roman" w:eastAsia="Times New Roman" w:hAnsi="Times New Roman" w:cs="Times New Roman"/>
          <w:color w:val="000000"/>
          <w:sz w:val="24"/>
          <w:szCs w:val="24"/>
          <w:lang/>
        </w:rPr>
        <w:lastRenderedPageBreak/>
        <w:t>оператора газотранспортної системи, дата виникнення податкових зобов’язань та податкового кредиту визначається за касовим методом.</w:t>
      </w:r>
    </w:p>
    <w:p w14:paraId="095662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4" w:name="n15824"/>
      <w:bookmarkEnd w:id="10194"/>
      <w:r w:rsidRPr="008B264B">
        <w:rPr>
          <w:rFonts w:ascii="Times New Roman" w:eastAsia="Times New Roman" w:hAnsi="Times New Roman" w:cs="Times New Roman"/>
          <w:color w:val="000000"/>
          <w:sz w:val="24"/>
          <w:szCs w:val="24"/>
          <w:lang/>
        </w:rPr>
        <w:t>Норма абзацу першого цього підпункту поширюється на операції, за якими дата виникнення першої з подій, визначених </w:t>
      </w:r>
      <w:hyperlink r:id="rId5716" w:anchor="n4529" w:history="1">
        <w:r w:rsidRPr="008B264B">
          <w:rPr>
            <w:rFonts w:ascii="Times New Roman" w:eastAsia="Times New Roman" w:hAnsi="Times New Roman" w:cs="Times New Roman"/>
            <w:color w:val="0000FF"/>
            <w:sz w:val="24"/>
            <w:szCs w:val="24"/>
            <w:u w:val="single"/>
            <w:lang/>
          </w:rPr>
          <w:t>пунктом 187.1</w:t>
        </w:r>
      </w:hyperlink>
      <w:r w:rsidRPr="008B264B">
        <w:rPr>
          <w:rFonts w:ascii="Times New Roman" w:eastAsia="Times New Roman" w:hAnsi="Times New Roman" w:cs="Times New Roman"/>
          <w:color w:val="000000"/>
          <w:sz w:val="24"/>
          <w:szCs w:val="24"/>
          <w:lang/>
        </w:rPr>
        <w:t> статті 187 та </w:t>
      </w:r>
      <w:hyperlink r:id="rId5717" w:anchor="n4937" w:history="1">
        <w:r w:rsidRPr="008B264B">
          <w:rPr>
            <w:rFonts w:ascii="Times New Roman" w:eastAsia="Times New Roman" w:hAnsi="Times New Roman" w:cs="Times New Roman"/>
            <w:color w:val="0000FF"/>
            <w:sz w:val="24"/>
            <w:szCs w:val="24"/>
            <w:u w:val="single"/>
            <w:lang/>
          </w:rPr>
          <w:t>пунктом 198.2</w:t>
        </w:r>
      </w:hyperlink>
      <w:r w:rsidRPr="008B264B">
        <w:rPr>
          <w:rFonts w:ascii="Times New Roman" w:eastAsia="Times New Roman" w:hAnsi="Times New Roman" w:cs="Times New Roman"/>
          <w:color w:val="000000"/>
          <w:sz w:val="24"/>
          <w:szCs w:val="24"/>
          <w:lang/>
        </w:rPr>
        <w:t> статті 198 цього Кодексу, припадає на звітні (податкові) періоди до 1 січня 2022 року;</w:t>
      </w:r>
    </w:p>
    <w:p w14:paraId="521CEA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5" w:name="n15825"/>
      <w:bookmarkEnd w:id="10195"/>
      <w:r w:rsidRPr="008B264B">
        <w:rPr>
          <w:rFonts w:ascii="Times New Roman" w:eastAsia="Times New Roman" w:hAnsi="Times New Roman" w:cs="Times New Roman"/>
          <w:color w:val="000000"/>
          <w:sz w:val="24"/>
          <w:szCs w:val="24"/>
          <w:lang/>
        </w:rPr>
        <w:t>3) до 1 січня 2021 року, не вважаються постачанням товарів (послуг) операції з надання (передачі) та повернення за договором позики природного газу, що використовується для забезпечення діяльності з транспортування природного газу магістральними газопроводами.</w:t>
      </w:r>
    </w:p>
    <w:p w14:paraId="3A5155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6" w:name="n15826"/>
      <w:bookmarkEnd w:id="10196"/>
      <w:r w:rsidRPr="008B264B">
        <w:rPr>
          <w:rFonts w:ascii="Times New Roman" w:eastAsia="Times New Roman" w:hAnsi="Times New Roman" w:cs="Times New Roman"/>
          <w:color w:val="000000"/>
          <w:sz w:val="24"/>
          <w:szCs w:val="24"/>
          <w:lang/>
        </w:rPr>
        <w:t>Переліки майна, зазначеного у підпунктах 1 і 2 цього пункту, а також перелік суб’єктів господарювання (позикодавців) із зазначенням обсягів природного газу в цілях застосування підпункту 3 цього пункту затверджуються Кабінетом Міністрів України.</w:t>
      </w:r>
    </w:p>
    <w:p w14:paraId="5D4751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7" w:name="n15820"/>
      <w:bookmarkEnd w:id="10197"/>
      <w:r w:rsidRPr="008B264B">
        <w:rPr>
          <w:rFonts w:ascii="Times New Roman" w:eastAsia="Times New Roman" w:hAnsi="Times New Roman" w:cs="Times New Roman"/>
          <w:i/>
          <w:iCs/>
          <w:color w:val="000000"/>
          <w:sz w:val="24"/>
          <w:szCs w:val="24"/>
          <w:lang/>
        </w:rPr>
        <w:t>{Підрозділ 2 розділу XX доповнено пунктом 70 згідно із Законом </w:t>
      </w:r>
      <w:hyperlink r:id="rId5718" w:anchor="n5" w:tgtFrame="_blank" w:history="1">
        <w:r w:rsidRPr="008B264B">
          <w:rPr>
            <w:rFonts w:ascii="Times New Roman" w:eastAsia="Times New Roman" w:hAnsi="Times New Roman" w:cs="Times New Roman"/>
            <w:i/>
            <w:iCs/>
            <w:color w:val="0000FF"/>
            <w:sz w:val="24"/>
            <w:szCs w:val="24"/>
            <w:u w:val="single"/>
            <w:lang/>
          </w:rPr>
          <w:t>№ 314-IX від 03.12.2019</w:t>
        </w:r>
      </w:hyperlink>
      <w:r w:rsidRPr="008B264B">
        <w:rPr>
          <w:rFonts w:ascii="Times New Roman" w:eastAsia="Times New Roman" w:hAnsi="Times New Roman" w:cs="Times New Roman"/>
          <w:i/>
          <w:iCs/>
          <w:color w:val="000000"/>
          <w:sz w:val="24"/>
          <w:szCs w:val="24"/>
          <w:lang/>
        </w:rPr>
        <w:t>}</w:t>
      </w:r>
    </w:p>
    <w:p w14:paraId="141EB955"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198" w:name="n8186"/>
      <w:bookmarkEnd w:id="10198"/>
      <w:r w:rsidRPr="008B264B">
        <w:rPr>
          <w:rFonts w:ascii="Times New Roman" w:eastAsia="Times New Roman" w:hAnsi="Times New Roman" w:cs="Times New Roman"/>
          <w:b/>
          <w:bCs/>
          <w:color w:val="000000"/>
          <w:sz w:val="28"/>
          <w:szCs w:val="28"/>
          <w:lang/>
        </w:rPr>
        <w:t>Підрозділ 3. Особливості оподаткування податком на додану вартість операцій з ввезення на митну територію України устаткування, обладнання та комплектуючих, що не виробляються в Україні, платниками податку - підприємствами суднобудівної промисловості та суб'єктами господарювання, які реалізують інвестиційні проекти, схвалені відповідно до </w:t>
      </w:r>
      <w:hyperlink r:id="rId5719" w:anchor="n3" w:tgtFrame="_blank" w:history="1">
        <w:r w:rsidRPr="008B264B">
          <w:rPr>
            <w:rFonts w:ascii="Times New Roman" w:eastAsia="Times New Roman" w:hAnsi="Times New Roman" w:cs="Times New Roman"/>
            <w:b/>
            <w:bCs/>
            <w:color w:val="0000FF"/>
            <w:sz w:val="28"/>
            <w:szCs w:val="28"/>
            <w:u w:val="single"/>
            <w:lang/>
          </w:rPr>
          <w:t>Закону України "Про стимулювання інвестиційної діяльності у пріоритетних галузях економіки з метою створення нових робочих місць"</w:t>
        </w:r>
      </w:hyperlink>
    </w:p>
    <w:p w14:paraId="79B8A9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199" w:name="n8187"/>
      <w:bookmarkEnd w:id="10199"/>
      <w:r w:rsidRPr="008B264B">
        <w:rPr>
          <w:rFonts w:ascii="Times New Roman" w:eastAsia="Times New Roman" w:hAnsi="Times New Roman" w:cs="Times New Roman"/>
          <w:i/>
          <w:iCs/>
          <w:color w:val="000000"/>
          <w:sz w:val="24"/>
          <w:szCs w:val="24"/>
          <w:lang/>
        </w:rPr>
        <w:t>{Назва підрозділу 3 розділу XX із змінами, внесеними згідно із Законом </w:t>
      </w:r>
      <w:hyperlink r:id="rId5720" w:anchor="n8"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3C41DF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0" w:name="n8188"/>
      <w:bookmarkEnd w:id="10200"/>
      <w:r w:rsidRPr="008B264B">
        <w:rPr>
          <w:rFonts w:ascii="Times New Roman" w:eastAsia="Times New Roman" w:hAnsi="Times New Roman" w:cs="Times New Roman"/>
          <w:color w:val="000000"/>
          <w:sz w:val="24"/>
          <w:szCs w:val="24"/>
          <w:lang/>
        </w:rPr>
        <w:t>1. Вітчизняні підприємства суднобудівної промисловості (клас 35.11 група 35 </w:t>
      </w:r>
      <w:hyperlink r:id="rId5721" w:tgtFrame="_blank" w:history="1">
        <w:r w:rsidRPr="008B264B">
          <w:rPr>
            <w:rFonts w:ascii="Times New Roman" w:eastAsia="Times New Roman" w:hAnsi="Times New Roman" w:cs="Times New Roman"/>
            <w:color w:val="0000FF"/>
            <w:sz w:val="24"/>
            <w:szCs w:val="24"/>
            <w:u w:val="single"/>
            <w:lang/>
          </w:rPr>
          <w:t>КВЕД ДК 009:2005</w:t>
        </w:r>
      </w:hyperlink>
      <w:r w:rsidRPr="008B264B">
        <w:rPr>
          <w:rFonts w:ascii="Times New Roman" w:eastAsia="Times New Roman" w:hAnsi="Times New Roman" w:cs="Times New Roman"/>
          <w:color w:val="000000"/>
          <w:sz w:val="24"/>
          <w:szCs w:val="24"/>
          <w:lang/>
        </w:rPr>
        <w:t>) при ввезенні у митному режимі імпорту на митну територію України устаткування, обладнання та комплектуючих, що не виробляються в Україні, для використання у господарській діяльності, за умови оформлення митної декларації, можуть за власним бажанням видавати контролюючому органу (а контролюючий орган зобов'язаний прийняти) податковий вексель на суму податкового зобов'язання з податку на додану вартість, визначену у такій митній декларації. Перелік устаткування, обладнання та комплектуючих, що ввозяться вітчизняними підприємствами суднобудівної промисловості та не виробляються в Україні, встановлюється Кабінетом Міністрів України.</w:t>
      </w:r>
    </w:p>
    <w:p w14:paraId="461512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1" w:name="n8189"/>
      <w:bookmarkEnd w:id="10201"/>
      <w:r w:rsidRPr="008B264B">
        <w:rPr>
          <w:rFonts w:ascii="Times New Roman" w:eastAsia="Times New Roman" w:hAnsi="Times New Roman" w:cs="Times New Roman"/>
          <w:color w:val="000000"/>
          <w:sz w:val="24"/>
          <w:szCs w:val="24"/>
          <w:lang/>
        </w:rPr>
        <w:t>Суб'єкти господарювання, які реалізують інвестиційні проекти у пріоритетних галузях економіки, схвалені відповідно до </w:t>
      </w:r>
      <w:hyperlink r:id="rId5722" w:anchor="n3" w:tgtFrame="_blank" w:history="1">
        <w:r w:rsidRPr="008B264B">
          <w:rPr>
            <w:rFonts w:ascii="Times New Roman" w:eastAsia="Times New Roman" w:hAnsi="Times New Roman" w:cs="Times New Roman"/>
            <w:color w:val="0000FF"/>
            <w:sz w:val="24"/>
            <w:szCs w:val="24"/>
            <w:u w:val="single"/>
            <w:lang/>
          </w:rPr>
          <w:t>Закону України "Про стимулювання інвестиційної діяльності у пріоритетних галузях економіки з метою створення нових робочих місць"</w:t>
        </w:r>
      </w:hyperlink>
      <w:r w:rsidRPr="008B264B">
        <w:rPr>
          <w:rFonts w:ascii="Times New Roman" w:eastAsia="Times New Roman" w:hAnsi="Times New Roman" w:cs="Times New Roman"/>
          <w:color w:val="000000"/>
          <w:sz w:val="24"/>
          <w:szCs w:val="24"/>
          <w:lang/>
        </w:rPr>
        <w:t>, тимчасово, з 1 січня 2013 року до 31 грудня 2022 року включно, при ввезенні у митному режимі імпорту на митну територію України устаткування (обладнання) та комплектуючих виробів до нього, що звільняються від оподаткування ввізним митом у порядку, визначеному </w:t>
      </w:r>
      <w:hyperlink r:id="rId5723" w:anchor="n4657" w:tgtFrame="_blank" w:history="1">
        <w:r w:rsidRPr="008B264B">
          <w:rPr>
            <w:rFonts w:ascii="Times New Roman" w:eastAsia="Times New Roman" w:hAnsi="Times New Roman" w:cs="Times New Roman"/>
            <w:color w:val="0000FF"/>
            <w:sz w:val="24"/>
            <w:szCs w:val="24"/>
            <w:u w:val="single"/>
            <w:lang/>
          </w:rPr>
          <w:t>підпунктом 10 пункту 4 розділу ХХI</w:t>
        </w:r>
      </w:hyperlink>
      <w:hyperlink r:id="rId5724" w:anchor="n4657" w:tgtFrame="_blank" w:history="1">
        <w:r w:rsidRPr="008B264B">
          <w:rPr>
            <w:rFonts w:ascii="Times New Roman" w:eastAsia="Times New Roman" w:hAnsi="Times New Roman" w:cs="Times New Roman"/>
            <w:color w:val="0000FF"/>
            <w:sz w:val="24"/>
            <w:szCs w:val="24"/>
            <w:u w:val="single"/>
            <w:lang/>
          </w:rPr>
          <w:t> "Прикінцеві та перехідні положення" Митного кодексу України</w:t>
        </w:r>
      </w:hyperlink>
      <w:r w:rsidRPr="008B264B">
        <w:rPr>
          <w:rFonts w:ascii="Times New Roman" w:eastAsia="Times New Roman" w:hAnsi="Times New Roman" w:cs="Times New Roman"/>
          <w:color w:val="000000"/>
          <w:sz w:val="24"/>
          <w:szCs w:val="24"/>
          <w:lang/>
        </w:rPr>
        <w:t>, за умови оформлення митної декларації, можуть за власним бажанням видавати контролюючому органу (а контролюючий орган зобов'язаний прийняти) податковий вексель на суму податкового зобов'язання з податку на додану вартість, визначену в такій митній декларації.</w:t>
      </w:r>
    </w:p>
    <w:p w14:paraId="317E98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2" w:name="n8190"/>
      <w:bookmarkEnd w:id="10202"/>
      <w:r w:rsidRPr="008B264B">
        <w:rPr>
          <w:rFonts w:ascii="Times New Roman" w:eastAsia="Times New Roman" w:hAnsi="Times New Roman" w:cs="Times New Roman"/>
          <w:i/>
          <w:iCs/>
          <w:color w:val="000000"/>
          <w:sz w:val="24"/>
          <w:szCs w:val="24"/>
          <w:lang/>
        </w:rPr>
        <w:t>{Пункт 1 підрозділу 3 розділу XX доповнено абзацом другим згідно із Законом </w:t>
      </w:r>
      <w:hyperlink r:id="rId5725" w:anchor="n9"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60B37D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3" w:name="n8191"/>
      <w:bookmarkEnd w:id="10203"/>
      <w:r w:rsidRPr="008B264B">
        <w:rPr>
          <w:rFonts w:ascii="Times New Roman" w:eastAsia="Times New Roman" w:hAnsi="Times New Roman" w:cs="Times New Roman"/>
          <w:color w:val="000000"/>
          <w:sz w:val="24"/>
          <w:szCs w:val="24"/>
          <w:lang/>
        </w:rPr>
        <w:t>2. Для забезпечення виконання норм цього підрозділу податковий вексель не підлягає підтвердженню банком шляхом авалю.</w:t>
      </w:r>
    </w:p>
    <w:p w14:paraId="60F415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4" w:name="n8192"/>
      <w:bookmarkEnd w:id="10204"/>
      <w:r w:rsidRPr="008B264B">
        <w:rPr>
          <w:rFonts w:ascii="Times New Roman" w:eastAsia="Times New Roman" w:hAnsi="Times New Roman" w:cs="Times New Roman"/>
          <w:color w:val="000000"/>
          <w:sz w:val="24"/>
          <w:szCs w:val="24"/>
          <w:lang/>
        </w:rPr>
        <w:t>Податковий вексель є податковим звітним документом і підлягає обліку та зберіганню за правилами і в строки, що встановлені для первинних бухгалтерських документів.</w:t>
      </w:r>
    </w:p>
    <w:p w14:paraId="0EF4D4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5" w:name="n8193"/>
      <w:bookmarkEnd w:id="10205"/>
      <w:r w:rsidRPr="008B264B">
        <w:rPr>
          <w:rFonts w:ascii="Times New Roman" w:eastAsia="Times New Roman" w:hAnsi="Times New Roman" w:cs="Times New Roman"/>
          <w:color w:val="000000"/>
          <w:sz w:val="24"/>
          <w:szCs w:val="24"/>
          <w:lang/>
        </w:rPr>
        <w:lastRenderedPageBreak/>
        <w:t>Векселедержателем є контролюючий орган за місцем реєстрації векселедавця як платника податку.</w:t>
      </w:r>
    </w:p>
    <w:p w14:paraId="619878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6" w:name="n8194"/>
      <w:bookmarkEnd w:id="10206"/>
      <w:r w:rsidRPr="008B264B">
        <w:rPr>
          <w:rFonts w:ascii="Times New Roman" w:eastAsia="Times New Roman" w:hAnsi="Times New Roman" w:cs="Times New Roman"/>
          <w:color w:val="000000"/>
          <w:sz w:val="24"/>
          <w:szCs w:val="24"/>
          <w:lang/>
        </w:rPr>
        <w:t>3. Податковий вексель видається на суму податкового зобов'язання з податку на додану вартість, нарахованого за митною декларацією.</w:t>
      </w:r>
    </w:p>
    <w:p w14:paraId="315AB8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7" w:name="n8195"/>
      <w:bookmarkEnd w:id="10207"/>
      <w:r w:rsidRPr="008B264B">
        <w:rPr>
          <w:rFonts w:ascii="Times New Roman" w:eastAsia="Times New Roman" w:hAnsi="Times New Roman" w:cs="Times New Roman"/>
          <w:color w:val="000000"/>
          <w:sz w:val="24"/>
          <w:szCs w:val="24"/>
          <w:lang/>
        </w:rPr>
        <w:t>Сума податкового зобов'язання з податку на додану вартість за однією митною декларацією не може бути частково оплачена векселем, а частково - коштами. Вексель видається на повну суму податкового зобов'язання окремо за кожною митною декларацією.</w:t>
      </w:r>
    </w:p>
    <w:p w14:paraId="0062FC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8" w:name="n8196"/>
      <w:bookmarkEnd w:id="10208"/>
      <w:r w:rsidRPr="008B264B">
        <w:rPr>
          <w:rFonts w:ascii="Times New Roman" w:eastAsia="Times New Roman" w:hAnsi="Times New Roman" w:cs="Times New Roman"/>
          <w:color w:val="000000"/>
          <w:sz w:val="24"/>
          <w:szCs w:val="24"/>
          <w:lang/>
        </w:rPr>
        <w:t>Датою видачі векселя є дата подання митної декларації для митного оформлення.</w:t>
      </w:r>
    </w:p>
    <w:p w14:paraId="70845E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09" w:name="n8197"/>
      <w:bookmarkEnd w:id="10209"/>
      <w:r w:rsidRPr="008B264B">
        <w:rPr>
          <w:rFonts w:ascii="Times New Roman" w:eastAsia="Times New Roman" w:hAnsi="Times New Roman" w:cs="Times New Roman"/>
          <w:color w:val="000000"/>
          <w:sz w:val="24"/>
          <w:szCs w:val="24"/>
          <w:lang/>
        </w:rPr>
        <w:t>4. Податковий вексель складається у трьох примірниках із зазначенням суми податку в національній валюті виключно на вексельному бланку, що купується у банку, з урахуванням таких особливостей:</w:t>
      </w:r>
    </w:p>
    <w:p w14:paraId="2119E7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0" w:name="n8198"/>
      <w:bookmarkEnd w:id="10210"/>
      <w:r w:rsidRPr="008B264B">
        <w:rPr>
          <w:rFonts w:ascii="Times New Roman" w:eastAsia="Times New Roman" w:hAnsi="Times New Roman" w:cs="Times New Roman"/>
          <w:color w:val="000000"/>
          <w:sz w:val="24"/>
          <w:szCs w:val="24"/>
          <w:lang/>
        </w:rPr>
        <w:t>перший примірник податкового векселя - оригінал вексельного бланка, придбаного платником в установі банку;</w:t>
      </w:r>
    </w:p>
    <w:p w14:paraId="79E456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1" w:name="n8199"/>
      <w:bookmarkEnd w:id="10211"/>
      <w:r w:rsidRPr="008B264B">
        <w:rPr>
          <w:rFonts w:ascii="Times New Roman" w:eastAsia="Times New Roman" w:hAnsi="Times New Roman" w:cs="Times New Roman"/>
          <w:color w:val="000000"/>
          <w:sz w:val="24"/>
          <w:szCs w:val="24"/>
          <w:lang/>
        </w:rPr>
        <w:t>другий і третій примірники податкового векселя - ксерокопії оригіналу вексельного бланка (неоформленого першого примірника), які мають однаковий із першим примірником номер вексельного бланка;</w:t>
      </w:r>
    </w:p>
    <w:p w14:paraId="47E3DF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2" w:name="n8200"/>
      <w:bookmarkEnd w:id="10212"/>
      <w:r w:rsidRPr="008B264B">
        <w:rPr>
          <w:rFonts w:ascii="Times New Roman" w:eastAsia="Times New Roman" w:hAnsi="Times New Roman" w:cs="Times New Roman"/>
          <w:color w:val="000000"/>
          <w:sz w:val="24"/>
          <w:szCs w:val="24"/>
          <w:lang/>
        </w:rPr>
        <w:t>усі необхідні записи в кожному примірнику податкового векселя виконуються окремо, ксерокопіюванню не підлягають, повинні бути тотожними (крім порядкового номера примірника).</w:t>
      </w:r>
    </w:p>
    <w:p w14:paraId="0BEFEB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3" w:name="n8201"/>
      <w:bookmarkEnd w:id="10213"/>
      <w:r w:rsidRPr="008B264B">
        <w:rPr>
          <w:rFonts w:ascii="Times New Roman" w:eastAsia="Times New Roman" w:hAnsi="Times New Roman" w:cs="Times New Roman"/>
          <w:color w:val="000000"/>
          <w:sz w:val="24"/>
          <w:szCs w:val="24"/>
          <w:lang/>
        </w:rPr>
        <w:t>У контролюючому органі, який здійснює митне оформлення ввезених на митну територію України устаткування, обладнання та комплектуючих, що не виробляються в Україні, залишається другий примірник векселя. Перший примірник векселя надсилається (передається) цим контролюючим органом не пізніше ніж на третій день від дати надання векселя контролюючому органу, в якому особа зареєстрована як платник податку на додану вартість.</w:t>
      </w:r>
    </w:p>
    <w:p w14:paraId="0E29A2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4" w:name="n8202"/>
      <w:bookmarkEnd w:id="10214"/>
      <w:r w:rsidRPr="008B264B">
        <w:rPr>
          <w:rFonts w:ascii="Times New Roman" w:eastAsia="Times New Roman" w:hAnsi="Times New Roman" w:cs="Times New Roman"/>
          <w:color w:val="000000"/>
          <w:sz w:val="24"/>
          <w:szCs w:val="24"/>
          <w:lang/>
        </w:rPr>
        <w:t>Третій примірник векселя залишається у платника податку, який його видав.</w:t>
      </w:r>
    </w:p>
    <w:p w14:paraId="6E51B9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5" w:name="n8203"/>
      <w:bookmarkEnd w:id="10215"/>
      <w:r w:rsidRPr="008B264B">
        <w:rPr>
          <w:rFonts w:ascii="Times New Roman" w:eastAsia="Times New Roman" w:hAnsi="Times New Roman" w:cs="Times New Roman"/>
          <w:color w:val="000000"/>
          <w:sz w:val="24"/>
          <w:szCs w:val="24"/>
          <w:lang/>
        </w:rPr>
        <w:t>5. Строк погашення податкового векселя для підприємств суднобудівної промисловості настає на дату виникнення податкових зобов'язань по постачанню збудованого судна, для будівництва якого були ввезені устаткування, обладнання та комплектуючі, із застосуванням вексельної форми розрахунків з податку на додану вартість.</w:t>
      </w:r>
    </w:p>
    <w:p w14:paraId="505020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6" w:name="n8204"/>
      <w:bookmarkEnd w:id="10216"/>
      <w:r w:rsidRPr="008B264B">
        <w:rPr>
          <w:rFonts w:ascii="Times New Roman" w:eastAsia="Times New Roman" w:hAnsi="Times New Roman" w:cs="Times New Roman"/>
          <w:i/>
          <w:iCs/>
          <w:color w:val="000000"/>
          <w:sz w:val="24"/>
          <w:szCs w:val="24"/>
          <w:lang/>
        </w:rPr>
        <w:t>{Абзац перший пункту 5 підрозділу 3 розділу XX із змінами, внесеними згідно із Законом </w:t>
      </w:r>
      <w:hyperlink r:id="rId5726" w:anchor="n12"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2CEFD4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7" w:name="n8205"/>
      <w:bookmarkEnd w:id="10217"/>
      <w:r w:rsidRPr="008B264B">
        <w:rPr>
          <w:rFonts w:ascii="Times New Roman" w:eastAsia="Times New Roman" w:hAnsi="Times New Roman" w:cs="Times New Roman"/>
          <w:color w:val="000000"/>
          <w:sz w:val="24"/>
          <w:szCs w:val="24"/>
          <w:lang/>
        </w:rPr>
        <w:t>Строк погашення податкового векселя для суб'єктів господарювання, які реалізують інвестиційні проекти у пріоритетних галузях економіки, схвалені відповідно до </w:t>
      </w:r>
      <w:hyperlink r:id="rId5727" w:anchor="n3" w:tgtFrame="_blank" w:history="1">
        <w:r w:rsidRPr="008B264B">
          <w:rPr>
            <w:rFonts w:ascii="Times New Roman" w:eastAsia="Times New Roman" w:hAnsi="Times New Roman" w:cs="Times New Roman"/>
            <w:color w:val="0000FF"/>
            <w:sz w:val="24"/>
            <w:szCs w:val="24"/>
            <w:u w:val="single"/>
            <w:lang/>
          </w:rPr>
          <w:t>Закону України "Про стимулювання інвестиційної діяльності у пріоритетних галузях економіки з метою створення нових робочих місць"</w:t>
        </w:r>
      </w:hyperlink>
      <w:r w:rsidRPr="008B264B">
        <w:rPr>
          <w:rFonts w:ascii="Times New Roman" w:eastAsia="Times New Roman" w:hAnsi="Times New Roman" w:cs="Times New Roman"/>
          <w:color w:val="000000"/>
          <w:sz w:val="24"/>
          <w:szCs w:val="24"/>
          <w:lang/>
        </w:rPr>
        <w:t>, настає на 60-й календарний день з дня його видачі контролюючому органу.</w:t>
      </w:r>
    </w:p>
    <w:p w14:paraId="07A64E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8" w:name="n8206"/>
      <w:bookmarkEnd w:id="10218"/>
      <w:r w:rsidRPr="008B264B">
        <w:rPr>
          <w:rFonts w:ascii="Times New Roman" w:eastAsia="Times New Roman" w:hAnsi="Times New Roman" w:cs="Times New Roman"/>
          <w:i/>
          <w:iCs/>
          <w:color w:val="000000"/>
          <w:sz w:val="24"/>
          <w:szCs w:val="24"/>
          <w:lang/>
        </w:rPr>
        <w:t>{Пункт 5 підрозділу 3 розділу XX доповнено новим абзацом згідно із Законом </w:t>
      </w:r>
      <w:hyperlink r:id="rId5728" w:anchor="n13"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120F77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19" w:name="n8207"/>
      <w:bookmarkEnd w:id="10219"/>
      <w:r w:rsidRPr="008B264B">
        <w:rPr>
          <w:rFonts w:ascii="Times New Roman" w:eastAsia="Times New Roman" w:hAnsi="Times New Roman" w:cs="Times New Roman"/>
          <w:color w:val="000000"/>
          <w:sz w:val="24"/>
          <w:szCs w:val="24"/>
          <w:lang/>
        </w:rPr>
        <w:t>Погашення податкового векселя здійснюється виключно шляхом перерахування коштів до Державного бюджету України.</w:t>
      </w:r>
    </w:p>
    <w:p w14:paraId="765A7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0" w:name="n8208"/>
      <w:bookmarkEnd w:id="10220"/>
      <w:r w:rsidRPr="008B264B">
        <w:rPr>
          <w:rFonts w:ascii="Times New Roman" w:eastAsia="Times New Roman" w:hAnsi="Times New Roman" w:cs="Times New Roman"/>
          <w:color w:val="000000"/>
          <w:sz w:val="24"/>
          <w:szCs w:val="24"/>
          <w:lang/>
        </w:rPr>
        <w:t>Не дозволяється часткове погашення податкового векселя.</w:t>
      </w:r>
    </w:p>
    <w:p w14:paraId="08125D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1" w:name="n8209"/>
      <w:bookmarkEnd w:id="10221"/>
      <w:r w:rsidRPr="008B264B">
        <w:rPr>
          <w:rFonts w:ascii="Times New Roman" w:eastAsia="Times New Roman" w:hAnsi="Times New Roman" w:cs="Times New Roman"/>
          <w:color w:val="000000"/>
          <w:sz w:val="24"/>
          <w:szCs w:val="24"/>
          <w:lang/>
        </w:rPr>
        <w:t>Обов'язки з погашення податкового векселя не можуть передаватися іншим особам, податковий вексель не підлягає індосаменту; проценти або інші види плати за користування податковим векселем не нараховуються.</w:t>
      </w:r>
    </w:p>
    <w:p w14:paraId="4395D6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2" w:name="n8210"/>
      <w:bookmarkEnd w:id="10222"/>
      <w:r w:rsidRPr="008B264B">
        <w:rPr>
          <w:rFonts w:ascii="Times New Roman" w:eastAsia="Times New Roman" w:hAnsi="Times New Roman" w:cs="Times New Roman"/>
          <w:color w:val="000000"/>
          <w:sz w:val="24"/>
          <w:szCs w:val="24"/>
          <w:lang/>
        </w:rPr>
        <w:lastRenderedPageBreak/>
        <w:t>6. У разі нецільового використання зазначених у </w:t>
      </w:r>
      <w:hyperlink r:id="rId5729" w:anchor="n8188" w:history="1">
        <w:r w:rsidRPr="008B264B">
          <w:rPr>
            <w:rFonts w:ascii="Times New Roman" w:eastAsia="Times New Roman" w:hAnsi="Times New Roman" w:cs="Times New Roman"/>
            <w:color w:val="0000FF"/>
            <w:sz w:val="24"/>
            <w:szCs w:val="24"/>
            <w:u w:val="single"/>
            <w:lang/>
          </w:rPr>
          <w:t>пункті 1</w:t>
        </w:r>
      </w:hyperlink>
      <w:r w:rsidRPr="008B264B">
        <w:rPr>
          <w:rFonts w:ascii="Times New Roman" w:eastAsia="Times New Roman" w:hAnsi="Times New Roman" w:cs="Times New Roman"/>
          <w:color w:val="000000"/>
          <w:sz w:val="24"/>
          <w:szCs w:val="24"/>
          <w:lang/>
        </w:rPr>
        <w:t> цього підрозділу товарів, платник податку зобов'язаний погасити податковий вексель у податковому періоді, на який припадає їх нецільове використання, а також сплатити пеню відповідно до цього Кодексу.</w:t>
      </w:r>
    </w:p>
    <w:p w14:paraId="6662A6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3" w:name="n8211"/>
      <w:bookmarkEnd w:id="10223"/>
      <w:r w:rsidRPr="008B264B">
        <w:rPr>
          <w:rFonts w:ascii="Times New Roman" w:eastAsia="Times New Roman" w:hAnsi="Times New Roman" w:cs="Times New Roman"/>
          <w:i/>
          <w:iCs/>
          <w:color w:val="000000"/>
          <w:sz w:val="24"/>
          <w:szCs w:val="24"/>
          <w:lang/>
        </w:rPr>
        <w:t>{Абзац перший пункту 6 підрозділу 3 розділу XX із змінами, внесеними згідно із Законом </w:t>
      </w:r>
      <w:hyperlink r:id="rId5730" w:anchor="n16" w:tgtFrame="_blank" w:history="1">
        <w:r w:rsidRPr="008B264B">
          <w:rPr>
            <w:rFonts w:ascii="Times New Roman" w:eastAsia="Times New Roman" w:hAnsi="Times New Roman" w:cs="Times New Roman"/>
            <w:i/>
            <w:iCs/>
            <w:color w:val="0000FF"/>
            <w:sz w:val="24"/>
            <w:szCs w:val="24"/>
            <w:u w:val="single"/>
            <w:lang/>
          </w:rPr>
          <w:t>№ 5211-VI від 06.09.2012</w:t>
        </w:r>
      </w:hyperlink>
      <w:r w:rsidRPr="008B264B">
        <w:rPr>
          <w:rFonts w:ascii="Times New Roman" w:eastAsia="Times New Roman" w:hAnsi="Times New Roman" w:cs="Times New Roman"/>
          <w:i/>
          <w:iCs/>
          <w:color w:val="000000"/>
          <w:sz w:val="24"/>
          <w:szCs w:val="24"/>
          <w:lang/>
        </w:rPr>
        <w:t>}</w:t>
      </w:r>
    </w:p>
    <w:p w14:paraId="718A03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4" w:name="n8212"/>
      <w:bookmarkEnd w:id="10224"/>
      <w:r w:rsidRPr="008B264B">
        <w:rPr>
          <w:rFonts w:ascii="Times New Roman" w:eastAsia="Times New Roman" w:hAnsi="Times New Roman" w:cs="Times New Roman"/>
          <w:color w:val="000000"/>
          <w:sz w:val="24"/>
          <w:szCs w:val="24"/>
          <w:lang/>
        </w:rPr>
        <w:t>У разі несвоєчасного погашення податкового векселя до платника податку, який видав податковий вексель, застосовуються штрафні санкції у розмірі 1 відсотка суми податку на додану вартість, зазначеної у податковому векселі, за кожен день порушення строку, включаючи день погашення, але не більш як 50 відсотків суми векселя.</w:t>
      </w:r>
    </w:p>
    <w:p w14:paraId="56AD06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5" w:name="n8213"/>
      <w:bookmarkEnd w:id="10225"/>
      <w:r w:rsidRPr="008B264B">
        <w:rPr>
          <w:rFonts w:ascii="Times New Roman" w:eastAsia="Times New Roman" w:hAnsi="Times New Roman" w:cs="Times New Roman"/>
          <w:color w:val="000000"/>
          <w:sz w:val="24"/>
          <w:szCs w:val="24"/>
          <w:lang/>
        </w:rPr>
        <w:t>7. За умови дотримання вимог щодо формування сум податку на додану вартість, які можуть бути віднесені до податкового кредиту, платник податку має право віднести до податкового кредиту звітного (податкового) періоду суму податку на додану вартість за погашеними у такому звітному (податковому) періоді податковими векселями.</w:t>
      </w:r>
    </w:p>
    <w:p w14:paraId="46D778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6" w:name="n8214"/>
      <w:bookmarkEnd w:id="10226"/>
      <w:r w:rsidRPr="008B264B">
        <w:rPr>
          <w:rFonts w:ascii="Times New Roman" w:eastAsia="Times New Roman" w:hAnsi="Times New Roman" w:cs="Times New Roman"/>
          <w:color w:val="000000"/>
          <w:sz w:val="24"/>
          <w:szCs w:val="24"/>
          <w:lang/>
        </w:rPr>
        <w:t>8. До податкової декларації з податку на додану вартість платник податку на додану вартість додає перелік та копії податкових векселів, виданих протягом звітного (податкового) періоду, за який подається декларація.</w:t>
      </w:r>
    </w:p>
    <w:p w14:paraId="533056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7" w:name="n8215"/>
      <w:bookmarkEnd w:id="10227"/>
      <w:r w:rsidRPr="008B264B">
        <w:rPr>
          <w:rFonts w:ascii="Times New Roman" w:eastAsia="Times New Roman" w:hAnsi="Times New Roman" w:cs="Times New Roman"/>
          <w:color w:val="000000"/>
          <w:sz w:val="24"/>
          <w:szCs w:val="24"/>
          <w:lang/>
        </w:rPr>
        <w:t>9. Облік податкових векселів здійснюється контролюючими органами.</w:t>
      </w:r>
    </w:p>
    <w:p w14:paraId="0067F6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8" w:name="n8877"/>
      <w:bookmarkEnd w:id="10228"/>
      <w:r w:rsidRPr="008B264B">
        <w:rPr>
          <w:rFonts w:ascii="Times New Roman" w:eastAsia="Times New Roman" w:hAnsi="Times New Roman" w:cs="Times New Roman"/>
          <w:i/>
          <w:iCs/>
          <w:color w:val="000000"/>
          <w:sz w:val="24"/>
          <w:szCs w:val="24"/>
          <w:lang/>
        </w:rPr>
        <w:t>{Абзац перший пункту 9 підрозділу 3 розділу XX в редакції Закону </w:t>
      </w:r>
      <w:hyperlink r:id="rId5731" w:anchor="n25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2F630F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29" w:name="n8216"/>
      <w:bookmarkEnd w:id="10229"/>
      <w:r w:rsidRPr="008B264B">
        <w:rPr>
          <w:rFonts w:ascii="Times New Roman" w:eastAsia="Times New Roman" w:hAnsi="Times New Roman" w:cs="Times New Roman"/>
          <w:color w:val="000000"/>
          <w:sz w:val="24"/>
          <w:szCs w:val="24"/>
          <w:lang/>
        </w:rPr>
        <w:t>Облік податкових векселів контролюючими органами ведеться в порядку, встановленому центральним органом виконавчої влади, що забезпечує формування та реалізує державну фінансову політику.</w:t>
      </w:r>
    </w:p>
    <w:p w14:paraId="065F00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0" w:name="n8217"/>
      <w:bookmarkEnd w:id="10230"/>
      <w:r w:rsidRPr="008B264B">
        <w:rPr>
          <w:rFonts w:ascii="Times New Roman" w:eastAsia="Times New Roman" w:hAnsi="Times New Roman" w:cs="Times New Roman"/>
          <w:i/>
          <w:iCs/>
          <w:color w:val="000000"/>
          <w:sz w:val="24"/>
          <w:szCs w:val="24"/>
          <w:lang/>
        </w:rPr>
        <w:t>{Абзац другий пункту 9 підрозділу 3 розділу XX із змінами, внесеними згідно із Законами </w:t>
      </w:r>
      <w:hyperlink r:id="rId5732" w:anchor="n502"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w:t>
      </w:r>
      <w:hyperlink r:id="rId5733"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591E4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1" w:name="n8218"/>
      <w:bookmarkEnd w:id="10231"/>
      <w:r w:rsidRPr="008B264B">
        <w:rPr>
          <w:rFonts w:ascii="Times New Roman" w:eastAsia="Times New Roman" w:hAnsi="Times New Roman" w:cs="Times New Roman"/>
          <w:color w:val="000000"/>
          <w:sz w:val="24"/>
          <w:szCs w:val="24"/>
          <w:lang/>
        </w:rPr>
        <w:t>Облік податкових векселів контролюючими органами за місцезнаходженням платника податку, яким видано податковий вексель, ведеться у порядку, встановленому центральним органом виконавчої влади, що забезпечує формування та реалізує державну фінансову політику.</w:t>
      </w:r>
    </w:p>
    <w:p w14:paraId="4901F8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2" w:name="n13471"/>
      <w:bookmarkEnd w:id="10232"/>
      <w:r w:rsidRPr="008B264B">
        <w:rPr>
          <w:rFonts w:ascii="Times New Roman" w:eastAsia="Times New Roman" w:hAnsi="Times New Roman" w:cs="Times New Roman"/>
          <w:i/>
          <w:iCs/>
          <w:color w:val="000000"/>
          <w:sz w:val="24"/>
          <w:szCs w:val="24"/>
          <w:lang/>
        </w:rPr>
        <w:t>{Абзац другий пункту 9 підрозділу 3 розділу XX із змінами, внесеними згідно із Законом </w:t>
      </w:r>
      <w:hyperlink r:id="rId5734" w:anchor="n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B9C14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3" w:name="n8219"/>
      <w:bookmarkEnd w:id="10233"/>
      <w:r w:rsidRPr="008B264B">
        <w:rPr>
          <w:rFonts w:ascii="Times New Roman" w:eastAsia="Times New Roman" w:hAnsi="Times New Roman" w:cs="Times New Roman"/>
          <w:color w:val="000000"/>
          <w:sz w:val="24"/>
          <w:szCs w:val="24"/>
          <w:lang/>
        </w:rPr>
        <w:t>Контроль за погашенням податкових векселів здійснюють контролюючі органи на підставі даних таких векселів, податкових декларацій та платіжних документів, що підтверджують сплату сум податку за погашеними векселями.</w:t>
      </w:r>
    </w:p>
    <w:p w14:paraId="5DCFEB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4" w:name="n8878"/>
      <w:bookmarkEnd w:id="10234"/>
      <w:r w:rsidRPr="008B264B">
        <w:rPr>
          <w:rFonts w:ascii="Times New Roman" w:eastAsia="Times New Roman" w:hAnsi="Times New Roman" w:cs="Times New Roman"/>
          <w:i/>
          <w:iCs/>
          <w:color w:val="000000"/>
          <w:sz w:val="24"/>
          <w:szCs w:val="24"/>
          <w:lang/>
        </w:rPr>
        <w:t>{Абзац четвертий пункту 9 підрозділу 3 розділу XX в редакції Закону </w:t>
      </w:r>
      <w:hyperlink r:id="rId5735" w:anchor="n255" w:tgtFrame="_blank" w:history="1">
        <w:r w:rsidRPr="008B264B">
          <w:rPr>
            <w:rFonts w:ascii="Times New Roman" w:eastAsia="Times New Roman" w:hAnsi="Times New Roman" w:cs="Times New Roman"/>
            <w:i/>
            <w:iCs/>
            <w:color w:val="0000FF"/>
            <w:sz w:val="24"/>
            <w:szCs w:val="24"/>
            <w:u w:val="single"/>
            <w:lang/>
          </w:rPr>
          <w:t>№ 404-VII від 04.07.2013</w:t>
        </w:r>
      </w:hyperlink>
      <w:r w:rsidRPr="008B264B">
        <w:rPr>
          <w:rFonts w:ascii="Times New Roman" w:eastAsia="Times New Roman" w:hAnsi="Times New Roman" w:cs="Times New Roman"/>
          <w:i/>
          <w:iCs/>
          <w:color w:val="000000"/>
          <w:sz w:val="24"/>
          <w:szCs w:val="24"/>
          <w:lang/>
        </w:rPr>
        <w:t>}</w:t>
      </w:r>
    </w:p>
    <w:p w14:paraId="0C99FC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5" w:name="n8220"/>
      <w:bookmarkEnd w:id="10235"/>
      <w:r w:rsidRPr="008B264B">
        <w:rPr>
          <w:rFonts w:ascii="Times New Roman" w:eastAsia="Times New Roman" w:hAnsi="Times New Roman" w:cs="Times New Roman"/>
          <w:i/>
          <w:iCs/>
          <w:color w:val="000000"/>
          <w:sz w:val="24"/>
          <w:szCs w:val="24"/>
          <w:lang/>
        </w:rPr>
        <w:t>{Підрозділ 3 розділу XX в редакції Закону </w:t>
      </w:r>
      <w:hyperlink r:id="rId573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A7960F9"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236" w:name="n8221"/>
      <w:bookmarkEnd w:id="10236"/>
      <w:r w:rsidRPr="008B264B">
        <w:rPr>
          <w:rFonts w:ascii="Times New Roman" w:eastAsia="Times New Roman" w:hAnsi="Times New Roman" w:cs="Times New Roman"/>
          <w:b/>
          <w:bCs/>
          <w:color w:val="000000"/>
          <w:sz w:val="28"/>
          <w:szCs w:val="28"/>
          <w:lang/>
        </w:rPr>
        <w:t>Підрозділ 4. Особливості справляння податку на прибуток підприємств</w:t>
      </w:r>
    </w:p>
    <w:p w14:paraId="6D89DE1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7" w:name="n8222"/>
      <w:bookmarkEnd w:id="10237"/>
      <w:r w:rsidRPr="008B264B">
        <w:rPr>
          <w:rFonts w:ascii="Times New Roman" w:eastAsia="Times New Roman" w:hAnsi="Times New Roman" w:cs="Times New Roman"/>
          <w:color w:val="000000"/>
          <w:sz w:val="24"/>
          <w:szCs w:val="24"/>
          <w:lang/>
        </w:rPr>
        <w:t>1. </w:t>
      </w:r>
      <w:hyperlink r:id="rId5737" w:anchor="n2502" w:history="1">
        <w:r w:rsidRPr="008B264B">
          <w:rPr>
            <w:rFonts w:ascii="Times New Roman" w:eastAsia="Times New Roman" w:hAnsi="Times New Roman" w:cs="Times New Roman"/>
            <w:color w:val="0000FF"/>
            <w:sz w:val="24"/>
            <w:szCs w:val="24"/>
            <w:u w:val="single"/>
            <w:lang/>
          </w:rPr>
          <w:t>Розділ III</w:t>
        </w:r>
      </w:hyperlink>
      <w:r w:rsidRPr="008B264B">
        <w:rPr>
          <w:rFonts w:ascii="Times New Roman" w:eastAsia="Times New Roman" w:hAnsi="Times New Roman" w:cs="Times New Roman"/>
          <w:color w:val="000000"/>
          <w:sz w:val="24"/>
          <w:szCs w:val="24"/>
          <w:lang/>
        </w:rPr>
        <w:t> цього Кодексу застосовується під час розрахунків з бюджетом починаючи з доходів і витрат, що отримані і проведені з 1 квітня 2011 року, якщо інше не встановлено цим підрозділом.</w:t>
      </w:r>
    </w:p>
    <w:p w14:paraId="5D19E3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8" w:name="n8223"/>
      <w:bookmarkEnd w:id="10238"/>
      <w:r w:rsidRPr="008B264B">
        <w:rPr>
          <w:rFonts w:ascii="Times New Roman" w:eastAsia="Times New Roman" w:hAnsi="Times New Roman" w:cs="Times New Roman"/>
          <w:i/>
          <w:iCs/>
          <w:color w:val="000000"/>
          <w:sz w:val="24"/>
          <w:szCs w:val="24"/>
          <w:lang/>
        </w:rPr>
        <w:t>{Абзац другий пункту 1 підрозділу 4 розділу XX виключено на підставі Закону </w:t>
      </w:r>
      <w:hyperlink r:id="rId5738" w:anchor="n1496"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53CB3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39" w:name="n8225"/>
      <w:bookmarkEnd w:id="10239"/>
      <w:r w:rsidRPr="008B264B">
        <w:rPr>
          <w:rFonts w:ascii="Times New Roman" w:eastAsia="Times New Roman" w:hAnsi="Times New Roman" w:cs="Times New Roman"/>
          <w:color w:val="000000"/>
          <w:sz w:val="24"/>
          <w:szCs w:val="24"/>
          <w:lang/>
        </w:rPr>
        <w:t>У разі повернення авансів (інших платежів), отриманих до набрання чинності </w:t>
      </w:r>
      <w:hyperlink r:id="rId5739"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xml:space="preserve"> цього Кодексу та врахованих у складі валових доходів, на суму такого повернення відбувається коригування доходу звітного податкового періоду, в якому такі аванси (інші платежі) були повернуті у порядку, передбаченому цим Кодексом. Для авансів, отриманих в </w:t>
      </w:r>
      <w:r w:rsidRPr="008B264B">
        <w:rPr>
          <w:rFonts w:ascii="Times New Roman" w:eastAsia="Times New Roman" w:hAnsi="Times New Roman" w:cs="Times New Roman"/>
          <w:color w:val="000000"/>
          <w:sz w:val="24"/>
          <w:szCs w:val="24"/>
          <w:lang/>
        </w:rPr>
        <w:lastRenderedPageBreak/>
        <w:t>іноземній валюті, таке коригування відбувається за офіційним валютним курсом гривні до іноземної валюти, що діяв на дату здійснення такого повернення.</w:t>
      </w:r>
    </w:p>
    <w:p w14:paraId="44ADF7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0" w:name="n8226"/>
      <w:bookmarkEnd w:id="10240"/>
      <w:r w:rsidRPr="008B264B">
        <w:rPr>
          <w:rFonts w:ascii="Times New Roman" w:eastAsia="Times New Roman" w:hAnsi="Times New Roman" w:cs="Times New Roman"/>
          <w:i/>
          <w:iCs/>
          <w:color w:val="000000"/>
          <w:sz w:val="24"/>
          <w:szCs w:val="24"/>
          <w:lang/>
        </w:rPr>
        <w:t>{Пункт 1 підрозділу 4 розділу XX доповнено абзацом третім згідно із Законом </w:t>
      </w:r>
      <w:hyperlink r:id="rId574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60FAEF0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1" w:name="n8227"/>
      <w:bookmarkEnd w:id="10241"/>
      <w:r w:rsidRPr="008B264B">
        <w:rPr>
          <w:rFonts w:ascii="Times New Roman" w:eastAsia="Times New Roman" w:hAnsi="Times New Roman" w:cs="Times New Roman"/>
          <w:color w:val="000000"/>
          <w:sz w:val="24"/>
          <w:szCs w:val="24"/>
          <w:lang/>
        </w:rPr>
        <w:t>У разі повернення авансів (інших платежів), виданих до набрання чинності </w:t>
      </w:r>
      <w:hyperlink r:id="rId5741"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та врахованих у складі валових витрат, на суму такого повернення відбувається коригування витрат звітного податкового періоду, в якому такі аванси (інші платежі) були повернуті у порядку, передбаченому цим Кодексом.</w:t>
      </w:r>
    </w:p>
    <w:p w14:paraId="15B11A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2" w:name="n8228"/>
      <w:bookmarkEnd w:id="10242"/>
      <w:r w:rsidRPr="008B264B">
        <w:rPr>
          <w:rFonts w:ascii="Times New Roman" w:eastAsia="Times New Roman" w:hAnsi="Times New Roman" w:cs="Times New Roman"/>
          <w:i/>
          <w:iCs/>
          <w:color w:val="000000"/>
          <w:sz w:val="24"/>
          <w:szCs w:val="24"/>
          <w:lang/>
        </w:rPr>
        <w:t>{Пункт 1 підрозділу 4 розділу XX доповнено абзацом четвертим згідно із Законом </w:t>
      </w:r>
      <w:hyperlink r:id="rId5742"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4654EE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3" w:name="n8229"/>
      <w:bookmarkEnd w:id="10243"/>
      <w:r w:rsidRPr="008B264B">
        <w:rPr>
          <w:rFonts w:ascii="Times New Roman" w:eastAsia="Times New Roman" w:hAnsi="Times New Roman" w:cs="Times New Roman"/>
          <w:color w:val="000000"/>
          <w:sz w:val="24"/>
          <w:szCs w:val="24"/>
          <w:lang/>
        </w:rPr>
        <w:t>У разі відвантаження товарів (виконання робіт, надання послуг) після набрання чинності </w:t>
      </w:r>
      <w:hyperlink r:id="rId5743"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в рахунок авансів, отриманих до такої дати, витрати, що формують собівартість реалізованих товарів, виконаних робіт, наданих послуг, та здійснені після дати набрання чинності цим Кодексом, за умови, що вони не були включені до складу валових витрат, визнаються витратами на дату відвантаження таких товарів (виконання робіт, надання послуг).</w:t>
      </w:r>
    </w:p>
    <w:p w14:paraId="434FF1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4" w:name="n8230"/>
      <w:bookmarkEnd w:id="10244"/>
      <w:r w:rsidRPr="008B264B">
        <w:rPr>
          <w:rFonts w:ascii="Times New Roman" w:eastAsia="Times New Roman" w:hAnsi="Times New Roman" w:cs="Times New Roman"/>
          <w:i/>
          <w:iCs/>
          <w:color w:val="000000"/>
          <w:sz w:val="24"/>
          <w:szCs w:val="24"/>
          <w:lang/>
        </w:rPr>
        <w:t>{Пункт 1 підрозділу 4 розділу XX доповнено абзацом п'ятим згідно із Законом </w:t>
      </w:r>
      <w:hyperlink r:id="rId574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6CDDC1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5" w:name="n8231"/>
      <w:bookmarkEnd w:id="10245"/>
      <w:r w:rsidRPr="008B264B">
        <w:rPr>
          <w:rFonts w:ascii="Times New Roman" w:eastAsia="Times New Roman" w:hAnsi="Times New Roman" w:cs="Times New Roman"/>
          <w:color w:val="000000"/>
          <w:sz w:val="24"/>
          <w:szCs w:val="24"/>
          <w:lang/>
        </w:rPr>
        <w:t>2. З дати набрання чинності </w:t>
      </w:r>
      <w:hyperlink r:id="rId5745"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платники податку на прибуток підприємств складають наростаючим підсумком та подають декларацію з податку на прибуток за такі звітні податкові періоди: другий квартал, другий і третій квартали та другий - четвертий квартали 2011 року.</w:t>
      </w:r>
    </w:p>
    <w:p w14:paraId="12553B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6" w:name="n8232"/>
      <w:bookmarkEnd w:id="10246"/>
      <w:r w:rsidRPr="008B264B">
        <w:rPr>
          <w:rFonts w:ascii="Times New Roman" w:eastAsia="Times New Roman" w:hAnsi="Times New Roman" w:cs="Times New Roman"/>
          <w:color w:val="000000"/>
          <w:sz w:val="24"/>
          <w:szCs w:val="24"/>
          <w:lang/>
        </w:rPr>
        <w:t>Платники податку на прибуток підприємств, які починаючи з 2013 року подають річну податкову декларацію відповідно до </w:t>
      </w:r>
      <w:hyperlink r:id="rId5746" w:anchor="n1371" w:history="1">
        <w:r w:rsidRPr="008B264B">
          <w:rPr>
            <w:rFonts w:ascii="Times New Roman" w:eastAsia="Times New Roman" w:hAnsi="Times New Roman" w:cs="Times New Roman"/>
            <w:color w:val="0000FF"/>
            <w:sz w:val="24"/>
            <w:szCs w:val="24"/>
            <w:u w:val="single"/>
            <w:lang/>
          </w:rPr>
          <w:t>пункту 57.1</w:t>
        </w:r>
      </w:hyperlink>
      <w:r w:rsidRPr="008B264B">
        <w:rPr>
          <w:rFonts w:ascii="Times New Roman" w:eastAsia="Times New Roman" w:hAnsi="Times New Roman" w:cs="Times New Roman"/>
          <w:color w:val="000000"/>
          <w:sz w:val="24"/>
          <w:szCs w:val="24"/>
          <w:lang/>
        </w:rPr>
        <w:t> статті 57 цього Кодексу, сплачують у січні - лютому 2013 року авансовий внесок з цього податку у розмірі 1/9 податку на прибуток, нарахованого у податковій звітності за дев'ять місяців 2012 року, протягом 20 календарних днів, що настають за останнім календарним днем звітного (податкового) місяця.</w:t>
      </w:r>
    </w:p>
    <w:p w14:paraId="6AD0866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7" w:name="n8233"/>
      <w:bookmarkEnd w:id="10247"/>
      <w:r w:rsidRPr="008B264B">
        <w:rPr>
          <w:rFonts w:ascii="Times New Roman" w:eastAsia="Times New Roman" w:hAnsi="Times New Roman" w:cs="Times New Roman"/>
          <w:i/>
          <w:iCs/>
          <w:color w:val="000000"/>
          <w:sz w:val="24"/>
          <w:szCs w:val="24"/>
          <w:lang/>
        </w:rPr>
        <w:t>{Пункт 2 підрозділу 4 розділу XX доповнено абзацом другим згідно із Законом </w:t>
      </w:r>
      <w:hyperlink r:id="rId5747" w:anchor="n504"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w:t>
      </w:r>
    </w:p>
    <w:p w14:paraId="5CC04B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48" w:name="n9387"/>
      <w:bookmarkEnd w:id="10248"/>
      <w:r w:rsidRPr="008B264B">
        <w:rPr>
          <w:rFonts w:ascii="Times New Roman" w:eastAsia="Times New Roman" w:hAnsi="Times New Roman" w:cs="Times New Roman"/>
          <w:color w:val="000000"/>
          <w:sz w:val="24"/>
          <w:szCs w:val="24"/>
          <w:lang/>
        </w:rPr>
        <w:t>Суб’єкти господарювання, які реалізують інвестиційні проекти у пріоритетних галузях економіки, схвалені відповідно до </w:t>
      </w:r>
      <w:hyperlink r:id="rId5748" w:tgtFrame="_blank" w:history="1">
        <w:r w:rsidRPr="008B264B">
          <w:rPr>
            <w:rFonts w:ascii="Times New Roman" w:eastAsia="Times New Roman" w:hAnsi="Times New Roman" w:cs="Times New Roman"/>
            <w:color w:val="0000FF"/>
            <w:sz w:val="24"/>
            <w:szCs w:val="24"/>
            <w:u w:val="single"/>
            <w:lang/>
          </w:rPr>
          <w:t>Закону України "Про стимулювання інвестиційної діяльності у пріоритетних галузях економіки з метою створення нових робочих місць"</w:t>
        </w:r>
      </w:hyperlink>
      <w:r w:rsidRPr="008B264B">
        <w:rPr>
          <w:rFonts w:ascii="Times New Roman" w:eastAsia="Times New Roman" w:hAnsi="Times New Roman" w:cs="Times New Roman"/>
          <w:color w:val="000000"/>
          <w:sz w:val="24"/>
          <w:szCs w:val="24"/>
          <w:lang/>
        </w:rPr>
        <w:t>, та суб’єкти індустрії програмної продукції, які застосовують особливості оподаткування, передбачені </w:t>
      </w:r>
      <w:hyperlink r:id="rId5749" w:anchor="n8504" w:history="1">
        <w:r w:rsidRPr="008B264B">
          <w:rPr>
            <w:rFonts w:ascii="Times New Roman" w:eastAsia="Times New Roman" w:hAnsi="Times New Roman" w:cs="Times New Roman"/>
            <w:color w:val="0000FF"/>
            <w:sz w:val="24"/>
            <w:szCs w:val="24"/>
            <w:u w:val="single"/>
            <w:lang/>
          </w:rPr>
          <w:t>пунктом 15 підрозділу 10</w:t>
        </w:r>
      </w:hyperlink>
      <w:r w:rsidRPr="008B264B">
        <w:rPr>
          <w:rFonts w:ascii="Times New Roman" w:eastAsia="Times New Roman" w:hAnsi="Times New Roman" w:cs="Times New Roman"/>
          <w:color w:val="000000"/>
          <w:sz w:val="24"/>
          <w:szCs w:val="24"/>
          <w:lang/>
        </w:rPr>
        <w:t> цього розділу, авансові внески у 2013 році не сплачують, а податкові зобов’язання визначають на підставі податкової декларації за підсумками першого кварталу, першого півріччя, трьох кварталів та за 2013 рік, яка подається до контролюючого органу в порядку, передбаченому цим Кодексом.</w:t>
      </w:r>
    </w:p>
    <w:p w14:paraId="580FB9DC"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249" w:name="n9386"/>
      <w:bookmarkEnd w:id="10249"/>
      <w:r w:rsidRPr="008B264B">
        <w:rPr>
          <w:rFonts w:ascii="Times New Roman" w:eastAsia="Times New Roman" w:hAnsi="Times New Roman" w:cs="Times New Roman"/>
          <w:i/>
          <w:iCs/>
          <w:color w:val="000000"/>
          <w:sz w:val="24"/>
          <w:szCs w:val="24"/>
          <w:lang/>
        </w:rPr>
        <w:t>{Пункт 2 підрозділу 4 розділу XX доповнено абзацом третім згідно із Законом </w:t>
      </w:r>
      <w:hyperlink r:id="rId5750" w:anchor="n125" w:tgtFrame="_blank" w:history="1">
        <w:r w:rsidRPr="008B264B">
          <w:rPr>
            <w:rFonts w:ascii="Times New Roman" w:eastAsia="Times New Roman" w:hAnsi="Times New Roman" w:cs="Times New Roman"/>
            <w:i/>
            <w:iCs/>
            <w:color w:val="0000FF"/>
            <w:sz w:val="24"/>
            <w:szCs w:val="24"/>
            <w:u w:val="single"/>
            <w:lang/>
          </w:rPr>
          <w:t>№ 422-VII від 04.07.2013</w:t>
        </w:r>
      </w:hyperlink>
      <w:r w:rsidRPr="008B264B">
        <w:rPr>
          <w:rFonts w:ascii="Times New Roman" w:eastAsia="Times New Roman" w:hAnsi="Times New Roman" w:cs="Times New Roman"/>
          <w:i/>
          <w:iCs/>
          <w:color w:val="000000"/>
          <w:sz w:val="24"/>
          <w:szCs w:val="24"/>
          <w:lang/>
        </w:rPr>
        <w:t>}</w:t>
      </w:r>
    </w:p>
    <w:p w14:paraId="6E5A0A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0" w:name="n8234"/>
      <w:bookmarkEnd w:id="10250"/>
      <w:r w:rsidRPr="008B264B">
        <w:rPr>
          <w:rFonts w:ascii="Times New Roman" w:eastAsia="Times New Roman" w:hAnsi="Times New Roman" w:cs="Times New Roman"/>
          <w:color w:val="000000"/>
          <w:sz w:val="24"/>
          <w:szCs w:val="24"/>
          <w:lang/>
        </w:rPr>
        <w:t>3. Пункт 150.1 статті 150 Кодексу, у редакції, що діяла до 1 січня 2015 року, застосовується:</w:t>
      </w:r>
    </w:p>
    <w:p w14:paraId="0F54D1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1" w:name="n12136"/>
      <w:bookmarkEnd w:id="10251"/>
      <w:r w:rsidRPr="008B264B">
        <w:rPr>
          <w:rFonts w:ascii="Times New Roman" w:eastAsia="Times New Roman" w:hAnsi="Times New Roman" w:cs="Times New Roman"/>
          <w:color w:val="000000"/>
          <w:sz w:val="24"/>
          <w:szCs w:val="24"/>
          <w:lang/>
        </w:rPr>
        <w:t>у 2011 році з урахуванням такого:</w:t>
      </w:r>
    </w:p>
    <w:p w14:paraId="4405EB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2" w:name="n12137"/>
      <w:bookmarkEnd w:id="10252"/>
      <w:r w:rsidRPr="008B264B">
        <w:rPr>
          <w:rFonts w:ascii="Times New Roman" w:eastAsia="Times New Roman" w:hAnsi="Times New Roman" w:cs="Times New Roman"/>
          <w:color w:val="000000"/>
          <w:sz w:val="24"/>
          <w:szCs w:val="24"/>
          <w:lang/>
        </w:rPr>
        <w:t>якщо результатом розрахунку об’єкта оподаткування платника податку з числа резидентів за підсумками першого кварталу 2011 року є від’ємне значення, то сума такого від’ємного значення підлягає включенню до витрат другого календарного кварталу 2011 року.</w:t>
      </w:r>
    </w:p>
    <w:p w14:paraId="32278F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3" w:name="n12138"/>
      <w:bookmarkEnd w:id="10253"/>
      <w:r w:rsidRPr="008B264B">
        <w:rPr>
          <w:rFonts w:ascii="Times New Roman" w:eastAsia="Times New Roman" w:hAnsi="Times New Roman" w:cs="Times New Roman"/>
          <w:color w:val="000000"/>
          <w:sz w:val="24"/>
          <w:szCs w:val="24"/>
          <w:lang/>
        </w:rPr>
        <w:lastRenderedPageBreak/>
        <w:t>Розрахунок об’єкта оподаткування за наслідками другого, другого і третього кварталів, другого - четвертого кварталів 2011 року здійснюється з урахуванням від’ємного значення, отриманого платником податку за перший квартал 2011 року, у складі витрат таких податкових періодів наростаючим підсумком до повного погашення такого від’ємного значення;</w:t>
      </w:r>
    </w:p>
    <w:p w14:paraId="32BD9A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4" w:name="n12139"/>
      <w:bookmarkEnd w:id="10254"/>
      <w:r w:rsidRPr="008B264B">
        <w:rPr>
          <w:rFonts w:ascii="Times New Roman" w:eastAsia="Times New Roman" w:hAnsi="Times New Roman" w:cs="Times New Roman"/>
          <w:color w:val="000000"/>
          <w:sz w:val="24"/>
          <w:szCs w:val="24"/>
          <w:lang/>
        </w:rPr>
        <w:t>у 2012 - 2015 роках з урахуванням такого:</w:t>
      </w:r>
    </w:p>
    <w:p w14:paraId="2EE10F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5" w:name="n12140"/>
      <w:bookmarkEnd w:id="10255"/>
      <w:r w:rsidRPr="008B264B">
        <w:rPr>
          <w:rFonts w:ascii="Times New Roman" w:eastAsia="Times New Roman" w:hAnsi="Times New Roman" w:cs="Times New Roman"/>
          <w:color w:val="000000"/>
          <w:sz w:val="24"/>
          <w:szCs w:val="24"/>
          <w:lang/>
        </w:rPr>
        <w:t>якщо результатом розрахунку об’єкта оподаткування платника податку з числа резидентів платників з доходом за 2011 рік 1 мільйон гривень та більше станом на 1 січня 2012 року є від’ємне значення (з урахуванням від’ємного значення об’єкта оподаткування станом на 1 січня 2011 року), то сума цього значення підлягає включенню до витрат у 2012 - 2014 роках та зменшенню фінансового результату до оподаткування у 2015 році:</w:t>
      </w:r>
    </w:p>
    <w:p w14:paraId="0B2E40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6" w:name="n12141"/>
      <w:bookmarkEnd w:id="10256"/>
      <w:r w:rsidRPr="008B264B">
        <w:rPr>
          <w:rFonts w:ascii="Times New Roman" w:eastAsia="Times New Roman" w:hAnsi="Times New Roman" w:cs="Times New Roman"/>
          <w:color w:val="000000"/>
          <w:sz w:val="24"/>
          <w:szCs w:val="24"/>
          <w:lang/>
        </w:rPr>
        <w:t>звітних (податкових) періодів починаючи з I півріччя і наступних звітних періодів 2012 року у розмірі 25 відсотків суми такого від’ємного значення. У разі якщо 25 відсотків суми від’ємного значення об’єкта оподаткування не погашається протягом цього і за наслідками наступних податкових періодів 2012 року, то непогашена сума підлягає врахуванню при визначенні податкових зобов’язань у наступних податкових періодах;</w:t>
      </w:r>
    </w:p>
    <w:p w14:paraId="086E9E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7" w:name="n12142"/>
      <w:bookmarkEnd w:id="10257"/>
      <w:r w:rsidRPr="008B264B">
        <w:rPr>
          <w:rFonts w:ascii="Times New Roman" w:eastAsia="Times New Roman" w:hAnsi="Times New Roman" w:cs="Times New Roman"/>
          <w:color w:val="000000"/>
          <w:sz w:val="24"/>
          <w:szCs w:val="24"/>
          <w:lang/>
        </w:rPr>
        <w:t>звітних (податкових) періодів 2013 року у розмірі 25 відсотків суми такого від’ємного значення та сум від’ємного значення, не погашених за 2012 податковий рік. У разі якщо 25 відсотків суми від’ємного значення об’єкта оподаткування не погашається протягом відповідних звітних (податкових) періодів 2013 року, то непогашена сума підлягає врахуванню при визначенні податкових зобов’язань у наступних періодах;</w:t>
      </w:r>
    </w:p>
    <w:p w14:paraId="16BF14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8" w:name="n12143"/>
      <w:bookmarkEnd w:id="10258"/>
      <w:r w:rsidRPr="008B264B">
        <w:rPr>
          <w:rFonts w:ascii="Times New Roman" w:eastAsia="Times New Roman" w:hAnsi="Times New Roman" w:cs="Times New Roman"/>
          <w:color w:val="000000"/>
          <w:sz w:val="24"/>
          <w:szCs w:val="24"/>
          <w:lang/>
        </w:rPr>
        <w:t>звітних (податкових) періодів 2014 року у розмірі 25 відсотків суми такого від’ємного значення та сум від’ємного значення, не погашених за 2013 податковий рік. У разі якщо 25 відсотків суми від’ємного значення об’єкта оподаткування не погашається протягом відповідних звітних (податкових) періодів 2014 року, то непогашена сума підлягає врахуванню при визначенні податкових зобов’язань у наступних періодах;</w:t>
      </w:r>
    </w:p>
    <w:p w14:paraId="3B91D3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59" w:name="n12144"/>
      <w:bookmarkEnd w:id="10259"/>
      <w:r w:rsidRPr="008B264B">
        <w:rPr>
          <w:rFonts w:ascii="Times New Roman" w:eastAsia="Times New Roman" w:hAnsi="Times New Roman" w:cs="Times New Roman"/>
          <w:color w:val="000000"/>
          <w:sz w:val="24"/>
          <w:szCs w:val="24"/>
          <w:lang/>
        </w:rPr>
        <w:t>звітних (податкових) періодів 2015 року у розмірі 25 відсотків суми такого від’ємного значення та сум від’ємного значення, не погашених за 2014 податковий рік. У разі якщо 25 відсотків суми від’ємного значення об’єкта оподаткування не погашається протягом відповідних звітних (податкових) періодів 2015 року, то непогашена сума підлягає врахуванню при визначенні податкових зобов’язань у наступних періодах до повного погашення такого від’ємного значення.</w:t>
      </w:r>
    </w:p>
    <w:p w14:paraId="645ACA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0" w:name="n12145"/>
      <w:bookmarkEnd w:id="10260"/>
      <w:r w:rsidRPr="008B264B">
        <w:rPr>
          <w:rFonts w:ascii="Times New Roman" w:eastAsia="Times New Roman" w:hAnsi="Times New Roman" w:cs="Times New Roman"/>
          <w:color w:val="000000"/>
          <w:sz w:val="24"/>
          <w:szCs w:val="24"/>
          <w:lang/>
        </w:rPr>
        <w:t>При цьому платники податку на прибуток ведуть окремий облік показника від’ємного значення об’єкта оподаткування, що склався станом на 1 січня 2012 року та включається до витрат наступних податкових періодів або зменшує фінансовий результат до оподаткування наступних податкових періодів і сум, не погашених протягом 2012-2015 років. Таке від’ємне значення погашається в першу чергу. В другу чергу погашається від’ємне значення об’єкта оподаткування, що виникло після 31 грудня 2011 року.</w:t>
      </w:r>
    </w:p>
    <w:p w14:paraId="0A27D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1" w:name="n12146"/>
      <w:bookmarkEnd w:id="10261"/>
      <w:r w:rsidRPr="008B264B">
        <w:rPr>
          <w:rFonts w:ascii="Times New Roman" w:eastAsia="Times New Roman" w:hAnsi="Times New Roman" w:cs="Times New Roman"/>
          <w:color w:val="000000"/>
          <w:sz w:val="24"/>
          <w:szCs w:val="24"/>
          <w:lang/>
        </w:rPr>
        <w:t>Для підприємств з доходом за 2011 рік менше 1 мільйона гривень пункт 150.1 статті 150 Кодексу у редакції, що діяла до 1 січня 2015 року, застосовується з урахуванням такого:</w:t>
      </w:r>
    </w:p>
    <w:p w14:paraId="3550E5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2" w:name="n12147"/>
      <w:bookmarkEnd w:id="10262"/>
      <w:r w:rsidRPr="008B264B">
        <w:rPr>
          <w:rFonts w:ascii="Times New Roman" w:eastAsia="Times New Roman" w:hAnsi="Times New Roman" w:cs="Times New Roman"/>
          <w:color w:val="000000"/>
          <w:sz w:val="24"/>
          <w:szCs w:val="24"/>
          <w:lang/>
        </w:rPr>
        <w:t>якщо результатом розрахунку об’єкта оподаткування платника податку за наслідками 2011 податкового року є від’ємне значення, то сума такого значення підлягає включенню до витрат звітного (податкового) періоду I півріччя 2012 року та наступних звітних періодів, що припадають на 2012-2014 роки або зменшує фінансовий результат до оподаткування звітних (податкових) періодів, починаючи з 2015 року до повного погашення такого від’ємного значення.</w:t>
      </w:r>
    </w:p>
    <w:p w14:paraId="7B7F49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3" w:name="n8249"/>
      <w:bookmarkEnd w:id="10263"/>
      <w:r w:rsidRPr="008B264B">
        <w:rPr>
          <w:rFonts w:ascii="Times New Roman" w:eastAsia="Times New Roman" w:hAnsi="Times New Roman" w:cs="Times New Roman"/>
          <w:i/>
          <w:iCs/>
          <w:color w:val="000000"/>
          <w:sz w:val="24"/>
          <w:szCs w:val="24"/>
          <w:lang/>
        </w:rPr>
        <w:t>{Пункт 3 підрозділу 4 розділу XX в редакції Закону </w:t>
      </w:r>
      <w:hyperlink r:id="rId5751" w:anchor="n495"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752" w:anchor="n506" w:tgtFrame="_blank" w:history="1">
        <w:r w:rsidRPr="008B264B">
          <w:rPr>
            <w:rFonts w:ascii="Times New Roman" w:eastAsia="Times New Roman" w:hAnsi="Times New Roman" w:cs="Times New Roman"/>
            <w:i/>
            <w:iCs/>
            <w:color w:val="0000FF"/>
            <w:sz w:val="24"/>
            <w:szCs w:val="24"/>
            <w:u w:val="single"/>
            <w:lang/>
          </w:rPr>
          <w:t>№ 5083-VI від 05.07.2012</w:t>
        </w:r>
      </w:hyperlink>
      <w:r w:rsidRPr="008B264B">
        <w:rPr>
          <w:rFonts w:ascii="Times New Roman" w:eastAsia="Times New Roman" w:hAnsi="Times New Roman" w:cs="Times New Roman"/>
          <w:i/>
          <w:iCs/>
          <w:color w:val="000000"/>
          <w:sz w:val="24"/>
          <w:szCs w:val="24"/>
          <w:lang/>
        </w:rPr>
        <w:t>; в редакції Закону </w:t>
      </w:r>
      <w:hyperlink r:id="rId5753" w:anchor="n169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D4087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4" w:name="n8250"/>
      <w:bookmarkEnd w:id="10264"/>
      <w:r w:rsidRPr="008B264B">
        <w:rPr>
          <w:rFonts w:ascii="Times New Roman" w:eastAsia="Times New Roman" w:hAnsi="Times New Roman" w:cs="Times New Roman"/>
          <w:i/>
          <w:iCs/>
          <w:color w:val="000000"/>
          <w:sz w:val="24"/>
          <w:szCs w:val="24"/>
          <w:lang/>
        </w:rPr>
        <w:t>{Пункт 4 підрозділу 4 розділу XX виключено на підставі Закону</w:t>
      </w:r>
      <w:r w:rsidRPr="008B264B">
        <w:rPr>
          <w:rFonts w:ascii="Times New Roman" w:eastAsia="Times New Roman" w:hAnsi="Times New Roman" w:cs="Times New Roman"/>
          <w:color w:val="000000"/>
          <w:sz w:val="24"/>
          <w:szCs w:val="24"/>
          <w:lang/>
        </w:rPr>
        <w:t> </w:t>
      </w:r>
      <w:hyperlink r:id="rId5754" w:anchor="n216"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F9B6E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5" w:name="n8251"/>
      <w:bookmarkEnd w:id="10265"/>
      <w:r w:rsidRPr="008B264B">
        <w:rPr>
          <w:rFonts w:ascii="Times New Roman" w:eastAsia="Times New Roman" w:hAnsi="Times New Roman" w:cs="Times New Roman"/>
          <w:color w:val="000000"/>
          <w:sz w:val="24"/>
          <w:szCs w:val="24"/>
          <w:lang/>
        </w:rPr>
        <w:lastRenderedPageBreak/>
        <w:t>5. Норми </w:t>
      </w:r>
      <w:hyperlink r:id="rId5755" w:anchor="n3483" w:history="1">
        <w:r w:rsidRPr="008B264B">
          <w:rPr>
            <w:rFonts w:ascii="Times New Roman" w:eastAsia="Times New Roman" w:hAnsi="Times New Roman" w:cs="Times New Roman"/>
            <w:color w:val="0000FF"/>
            <w:sz w:val="24"/>
            <w:szCs w:val="24"/>
            <w:u w:val="single"/>
            <w:lang/>
          </w:rPr>
          <w:t>пункту 159.1</w:t>
        </w:r>
      </w:hyperlink>
      <w:r w:rsidRPr="008B264B">
        <w:rPr>
          <w:rFonts w:ascii="Times New Roman" w:eastAsia="Times New Roman" w:hAnsi="Times New Roman" w:cs="Times New Roman"/>
          <w:color w:val="000000"/>
          <w:sz w:val="24"/>
          <w:szCs w:val="24"/>
          <w:lang/>
        </w:rPr>
        <w:t> статті 159 цього Кодексу не поширюються на заборгованість, що виникла у зв'язку із затримкою в оплаті товарів, виконаних робіт, наданих послуг, якщо заходи щодо стягнення таких боргів здійснювалися до набрання чинності </w:t>
      </w:r>
      <w:hyperlink r:id="rId5756"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З метою оподаткування відображення в обліку продавця та покупця такої заборгованості здійснюється до повного погашення чи визнання такої заборгованості безнадійною у такому порядку:</w:t>
      </w:r>
    </w:p>
    <w:p w14:paraId="58E365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6" w:name="n8252"/>
      <w:bookmarkEnd w:id="10266"/>
      <w:r w:rsidRPr="008B264B">
        <w:rPr>
          <w:rFonts w:ascii="Times New Roman" w:eastAsia="Times New Roman" w:hAnsi="Times New Roman" w:cs="Times New Roman"/>
          <w:color w:val="000000"/>
          <w:sz w:val="24"/>
          <w:szCs w:val="24"/>
          <w:lang/>
        </w:rPr>
        <w:t>порядок урегулювання сумнівної заборгованості, щодо якої заходи із стягнення розпочато до набрання чинності </w:t>
      </w:r>
      <w:hyperlink r:id="rId5757"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26B11E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7" w:name="n8253"/>
      <w:bookmarkEnd w:id="10267"/>
      <w:r w:rsidRPr="008B264B">
        <w:rPr>
          <w:rFonts w:ascii="Times New Roman" w:eastAsia="Times New Roman" w:hAnsi="Times New Roman" w:cs="Times New Roman"/>
          <w:color w:val="000000"/>
          <w:sz w:val="24"/>
          <w:szCs w:val="24"/>
          <w:lang/>
        </w:rPr>
        <w:t>Платник податку - продавець зобов'язаний збільшити дохід відповідного податкового періоду на суму заборгованості (її частини), попередньо віднесеної ним до складу витрат або відшкодованої за рахунок страхового резерву і у разі, якщо протягом такого податкового періоду відбувається будь-яка з таких подій:</w:t>
      </w:r>
    </w:p>
    <w:p w14:paraId="73E9EA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8" w:name="n8254"/>
      <w:bookmarkEnd w:id="10268"/>
      <w:r w:rsidRPr="008B264B">
        <w:rPr>
          <w:rFonts w:ascii="Times New Roman" w:eastAsia="Times New Roman" w:hAnsi="Times New Roman" w:cs="Times New Roman"/>
          <w:color w:val="000000"/>
          <w:sz w:val="24"/>
          <w:szCs w:val="24"/>
          <w:lang/>
        </w:rPr>
        <w:t>а) суд не задовольняє позову (заяви) продавця або задовольняє його частково чи не приймає позову (заяви) до провадження (розгляду) або задовольняє позов (заяву) покупця про визнання недійсними вимог щодо погашення цієї заборгованості або її частини;</w:t>
      </w:r>
    </w:p>
    <w:p w14:paraId="6FD46B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69" w:name="n8255"/>
      <w:bookmarkEnd w:id="10269"/>
      <w:r w:rsidRPr="008B264B">
        <w:rPr>
          <w:rFonts w:ascii="Times New Roman" w:eastAsia="Times New Roman" w:hAnsi="Times New Roman" w:cs="Times New Roman"/>
          <w:color w:val="000000"/>
          <w:sz w:val="24"/>
          <w:szCs w:val="24"/>
          <w:lang/>
        </w:rPr>
        <w:t>б) сторони договору досягають згоди щодо продовження строків погашення заборгованості чи списання всієї суми заборгованості або її частини (крім випадків укладення мирової угоди в межах процедур відновлення платоспроможності боржника або визнання його банкрутом, визначених законом);</w:t>
      </w:r>
    </w:p>
    <w:p w14:paraId="433409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0" w:name="n8256"/>
      <w:bookmarkEnd w:id="10270"/>
      <w:r w:rsidRPr="008B264B">
        <w:rPr>
          <w:rFonts w:ascii="Times New Roman" w:eastAsia="Times New Roman" w:hAnsi="Times New Roman" w:cs="Times New Roman"/>
          <w:color w:val="000000"/>
          <w:sz w:val="24"/>
          <w:szCs w:val="24"/>
          <w:lang/>
        </w:rPr>
        <w:t>в) продавець, який не отримав відповіді на претензію протягом строків, визначених законом, або отримав від покупця відповідь про визнання наданої претензії, але не отримує оплати (інших видів компенсацій у рахунок погашення заборгованості) протягом визначених у такій претензії строків та при цьому протягом наступних 90 днів не звертається до суду (господарського суду) із заявою про стягнення заборгованості або про порушення справи про його банкрутство чи стягнення заставленого ним майна.</w:t>
      </w:r>
    </w:p>
    <w:p w14:paraId="3E4BB7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1" w:name="n8257"/>
      <w:bookmarkEnd w:id="10271"/>
      <w:r w:rsidRPr="008B264B">
        <w:rPr>
          <w:rFonts w:ascii="Times New Roman" w:eastAsia="Times New Roman" w:hAnsi="Times New Roman" w:cs="Times New Roman"/>
          <w:color w:val="000000"/>
          <w:sz w:val="24"/>
          <w:szCs w:val="24"/>
          <w:lang/>
        </w:rPr>
        <w:t>На суму додаткового податкового зобов'язання, розрахованого внаслідок такого збільшення, нараховується пеня у розмірах, визначених законом для несвоєчасного погашення податкового зобов'язання. Зазначена пеня розраховується за строк з першого дня податкового періоду, наступного за періодом, протягом якого відбулося збільшення витрат, до останнього дня податкового періоду, на який припадає збільшення доходу, та сплачується незалежно від значення податкового зобов'язання платника податку за відповідний звітний період. Пеня не нараховується на заборгованість (її частину), списану або розстрочену внаслідок укладення мирової угоди відповідно до законодавства з питань банкрутства починаючи з дати укладення такої мирової угоди.</w:t>
      </w:r>
    </w:p>
    <w:p w14:paraId="79BFEE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2" w:name="n8258"/>
      <w:bookmarkEnd w:id="10272"/>
      <w:r w:rsidRPr="008B264B">
        <w:rPr>
          <w:rFonts w:ascii="Times New Roman" w:eastAsia="Times New Roman" w:hAnsi="Times New Roman" w:cs="Times New Roman"/>
          <w:color w:val="000000"/>
          <w:sz w:val="24"/>
          <w:szCs w:val="24"/>
          <w:lang/>
        </w:rPr>
        <w:t>Якщо в майбутньому (з урахуванням строку позовної давності) такий продавець звертається до суду, то він має право збільшити витрати на суму оскаржуваної заборгованості;</w:t>
      </w:r>
    </w:p>
    <w:p w14:paraId="533ECE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3" w:name="n8259"/>
      <w:bookmarkEnd w:id="10273"/>
      <w:r w:rsidRPr="008B264B">
        <w:rPr>
          <w:rFonts w:ascii="Times New Roman" w:eastAsia="Times New Roman" w:hAnsi="Times New Roman" w:cs="Times New Roman"/>
          <w:color w:val="000000"/>
          <w:sz w:val="24"/>
          <w:szCs w:val="24"/>
          <w:lang/>
        </w:rPr>
        <w:t>у разі якщо платник податку оскаржує рішення суду в порядку, встановленому законом, збільшення доходу, передбачене цим пунктом, не відбувається до моменту прийняття остаточного рішення відповідним судом;</w:t>
      </w:r>
    </w:p>
    <w:p w14:paraId="2B903E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4" w:name="n8260"/>
      <w:bookmarkEnd w:id="10274"/>
      <w:r w:rsidRPr="008B264B">
        <w:rPr>
          <w:rFonts w:ascii="Times New Roman" w:eastAsia="Times New Roman" w:hAnsi="Times New Roman" w:cs="Times New Roman"/>
          <w:color w:val="000000"/>
          <w:sz w:val="24"/>
          <w:szCs w:val="24"/>
          <w:lang/>
        </w:rPr>
        <w:t>платник податку - покупець зобов'язаний збільшити доходи на суму непогашеної заборгованості (її частини), визнаної у порядку досудового врегулювання спорів або судом чи за виконавчим написом нотаріуса, у податковому періоді, на який припадає перша з подій:</w:t>
      </w:r>
    </w:p>
    <w:p w14:paraId="57CBDE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5" w:name="n8261"/>
      <w:bookmarkEnd w:id="10275"/>
      <w:r w:rsidRPr="008B264B">
        <w:rPr>
          <w:rFonts w:ascii="Times New Roman" w:eastAsia="Times New Roman" w:hAnsi="Times New Roman" w:cs="Times New Roman"/>
          <w:color w:val="000000"/>
          <w:sz w:val="24"/>
          <w:szCs w:val="24"/>
          <w:lang/>
        </w:rPr>
        <w:t>а) або 90-й календарний день з дня граничного строку погашення такої заборгованості (її частини), передбаченого договором, або визнаної претензією;</w:t>
      </w:r>
    </w:p>
    <w:p w14:paraId="431530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6" w:name="n8262"/>
      <w:bookmarkEnd w:id="10276"/>
      <w:r w:rsidRPr="008B264B">
        <w:rPr>
          <w:rFonts w:ascii="Times New Roman" w:eastAsia="Times New Roman" w:hAnsi="Times New Roman" w:cs="Times New Roman"/>
          <w:color w:val="000000"/>
          <w:sz w:val="24"/>
          <w:szCs w:val="24"/>
          <w:lang/>
        </w:rPr>
        <w:t>б) або 30-й календарний день від дня ухвалення рішення судом про визнання (стягнення) такої заборгованості (її частини) або вчинення нотаріусом виконавчого напису.</w:t>
      </w:r>
    </w:p>
    <w:p w14:paraId="1EE0D5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7" w:name="n8263"/>
      <w:bookmarkEnd w:id="10277"/>
      <w:r w:rsidRPr="008B264B">
        <w:rPr>
          <w:rFonts w:ascii="Times New Roman" w:eastAsia="Times New Roman" w:hAnsi="Times New Roman" w:cs="Times New Roman"/>
          <w:color w:val="000000"/>
          <w:sz w:val="24"/>
          <w:szCs w:val="24"/>
          <w:lang/>
        </w:rPr>
        <w:t>Строки, визначені абзацом "а" цього пункту, поширюються також на випадки, коли покупець не надав відповіді на претензію, надіслану продавцем, у строки, визначені законом.</w:t>
      </w:r>
    </w:p>
    <w:p w14:paraId="326144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8" w:name="n8264"/>
      <w:bookmarkEnd w:id="10278"/>
      <w:r w:rsidRPr="008B264B">
        <w:rPr>
          <w:rFonts w:ascii="Times New Roman" w:eastAsia="Times New Roman" w:hAnsi="Times New Roman" w:cs="Times New Roman"/>
          <w:color w:val="000000"/>
          <w:sz w:val="24"/>
          <w:szCs w:val="24"/>
          <w:lang/>
        </w:rPr>
        <w:lastRenderedPageBreak/>
        <w:t>Строки, визначені абзацом "б" цього пункту, застосовуються незалежно від того, розпочав державний виконавець або особа, прирівняна до нього згідно із законом, заходи з примусового стягнення боргу чи ні.</w:t>
      </w:r>
    </w:p>
    <w:p w14:paraId="588702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79" w:name="n8265"/>
      <w:bookmarkEnd w:id="10279"/>
      <w:r w:rsidRPr="008B264B">
        <w:rPr>
          <w:rFonts w:ascii="Times New Roman" w:eastAsia="Times New Roman" w:hAnsi="Times New Roman" w:cs="Times New Roman"/>
          <w:color w:val="000000"/>
          <w:sz w:val="24"/>
          <w:szCs w:val="24"/>
          <w:lang/>
        </w:rPr>
        <w:t>Зазначене в цьому підпункті збільшення доходу покупця не здійснюється стосовно заборгованості (її частини), яка погашається таким покупцем до настання строків, визначених абзацами "а" чи "б" цього підпункту.</w:t>
      </w:r>
    </w:p>
    <w:p w14:paraId="4E7FE2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0" w:name="n8266"/>
      <w:bookmarkEnd w:id="10280"/>
      <w:r w:rsidRPr="008B264B">
        <w:rPr>
          <w:rFonts w:ascii="Times New Roman" w:eastAsia="Times New Roman" w:hAnsi="Times New Roman" w:cs="Times New Roman"/>
          <w:color w:val="000000"/>
          <w:sz w:val="24"/>
          <w:szCs w:val="24"/>
          <w:lang/>
        </w:rPr>
        <w:t>Якщо у наступних податкових періодах покупець погашає суму визнаної заборгованості або її частину (самостійно чи за процедурою примусового стягнення), такий покупець збільшує витрати на суму такої заборгованості (її частини) за наслідками податкового періоду, на який припадає таке погашення.</w:t>
      </w:r>
    </w:p>
    <w:p w14:paraId="1B2C8E6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1" w:name="n8267"/>
      <w:bookmarkEnd w:id="10281"/>
      <w:r w:rsidRPr="008B264B">
        <w:rPr>
          <w:rFonts w:ascii="Times New Roman" w:eastAsia="Times New Roman" w:hAnsi="Times New Roman" w:cs="Times New Roman"/>
          <w:color w:val="000000"/>
          <w:sz w:val="24"/>
          <w:szCs w:val="24"/>
          <w:lang/>
        </w:rPr>
        <w:t>Заборгованість, попередньо віднесена до складу витрат або відшкодована за рахунок страхового резерву, яка визнається безнадійною внаслідок недостатності активів покупця, визнаного банкрутом у встановленому порядку або внаслідок її списання згідно з умовами мирової угоди, укладеної відповідно до законодавства з питань банкрутства, не змінює податкових зобов'язань як покупця, так і продавця у зв'язку з таким визнанням.</w:t>
      </w:r>
    </w:p>
    <w:p w14:paraId="17605E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2" w:name="n8268"/>
      <w:bookmarkEnd w:id="10282"/>
      <w:r w:rsidRPr="008B264B">
        <w:rPr>
          <w:rFonts w:ascii="Times New Roman" w:eastAsia="Times New Roman" w:hAnsi="Times New Roman" w:cs="Times New Roman"/>
          <w:color w:val="000000"/>
          <w:sz w:val="24"/>
          <w:szCs w:val="24"/>
          <w:lang/>
        </w:rPr>
        <w:t>6. Для визначення переліку об'єктів основних засобів, інших необоротних та нематеріальних активів за групами відповідно до </w:t>
      </w:r>
      <w:hyperlink r:id="rId5758" w:anchor="n2941" w:history="1">
        <w:r w:rsidRPr="008B264B">
          <w:rPr>
            <w:rFonts w:ascii="Times New Roman" w:eastAsia="Times New Roman" w:hAnsi="Times New Roman" w:cs="Times New Roman"/>
            <w:color w:val="0000FF"/>
            <w:sz w:val="24"/>
            <w:szCs w:val="24"/>
            <w:u w:val="single"/>
            <w:lang/>
          </w:rPr>
          <w:t>пункту 145.1</w:t>
        </w:r>
      </w:hyperlink>
      <w:r w:rsidRPr="008B264B">
        <w:rPr>
          <w:rFonts w:ascii="Times New Roman" w:eastAsia="Times New Roman" w:hAnsi="Times New Roman" w:cs="Times New Roman"/>
          <w:color w:val="000000"/>
          <w:sz w:val="24"/>
          <w:szCs w:val="24"/>
          <w:lang/>
        </w:rPr>
        <w:t> статті 145 цього Кодексу з метою нарахування амортизації з дати набрання чинності </w:t>
      </w:r>
      <w:hyperlink r:id="rId5759"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застосовуються дані інвентаризації, проведеної за станом на 1 квітня 2011 року.</w:t>
      </w:r>
    </w:p>
    <w:p w14:paraId="670FDD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3" w:name="n8269"/>
      <w:bookmarkEnd w:id="10283"/>
      <w:r w:rsidRPr="008B264B">
        <w:rPr>
          <w:rFonts w:ascii="Times New Roman" w:eastAsia="Times New Roman" w:hAnsi="Times New Roman" w:cs="Times New Roman"/>
          <w:color w:val="000000"/>
          <w:sz w:val="24"/>
          <w:szCs w:val="24"/>
          <w:lang/>
        </w:rPr>
        <w:t>Вартість, яка амортизується, по кожному об'єкту основних засобів, інших необоротних та нематеріальних активів визначається як первісна (переоцінена) з урахуванням капіталізованих витрат на модернізацію, модифікацію, добудову, дообладнання, реконструкції тощо, а також суми накопиченої амортизації за даними бухгалтерського обліку на дату набрання чинності розділом III цього Кодексу.</w:t>
      </w:r>
    </w:p>
    <w:p w14:paraId="66AA18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4" w:name="n8270"/>
      <w:bookmarkEnd w:id="10284"/>
      <w:r w:rsidRPr="008B264B">
        <w:rPr>
          <w:rFonts w:ascii="Times New Roman" w:eastAsia="Times New Roman" w:hAnsi="Times New Roman" w:cs="Times New Roman"/>
          <w:color w:val="000000"/>
          <w:sz w:val="24"/>
          <w:szCs w:val="24"/>
          <w:lang/>
        </w:rPr>
        <w:t>Норми цього підпункту поширюються також на платників податку у разі їх переходу із спрощеної системи оподаткування на загальну.</w:t>
      </w:r>
    </w:p>
    <w:p w14:paraId="26717F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5" w:name="n8271"/>
      <w:bookmarkEnd w:id="10285"/>
      <w:r w:rsidRPr="008B264B">
        <w:rPr>
          <w:rFonts w:ascii="Times New Roman" w:eastAsia="Times New Roman" w:hAnsi="Times New Roman" w:cs="Times New Roman"/>
          <w:color w:val="000000"/>
          <w:sz w:val="24"/>
          <w:szCs w:val="24"/>
          <w:lang/>
        </w:rPr>
        <w:t>До переоціненої вартості основних засобів не включається сума дооцінки основних засобів, що проведена після 1 січня 2010 року.</w:t>
      </w:r>
    </w:p>
    <w:p w14:paraId="6B3FF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6" w:name="n8272"/>
      <w:bookmarkEnd w:id="10286"/>
      <w:r w:rsidRPr="008B264B">
        <w:rPr>
          <w:rFonts w:ascii="Times New Roman" w:eastAsia="Times New Roman" w:hAnsi="Times New Roman" w:cs="Times New Roman"/>
          <w:color w:val="000000"/>
          <w:sz w:val="24"/>
          <w:szCs w:val="24"/>
          <w:lang/>
        </w:rPr>
        <w:t>Якщо загальна вартість усіх груп основних засобів за даними бухгалтерського обліку менша, ніж загальна вартість усіх груп основних фондів за даними податкового обліку на дату набрання чинності розділом III цього Кодексу, то тимчасова податкова різниця, яка виникає в результаті такого порівняння, амортизується як окремий об'єкт із застосуванням прямолінійного методу протягом трьох років.</w:t>
      </w:r>
    </w:p>
    <w:p w14:paraId="0F695E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7" w:name="n8273"/>
      <w:bookmarkEnd w:id="10287"/>
      <w:r w:rsidRPr="008B264B">
        <w:rPr>
          <w:rFonts w:ascii="Times New Roman" w:eastAsia="Times New Roman" w:hAnsi="Times New Roman" w:cs="Times New Roman"/>
          <w:color w:val="000000"/>
          <w:sz w:val="24"/>
          <w:szCs w:val="24"/>
          <w:lang/>
        </w:rPr>
        <w:t>Строк корисного використання об'єктів основних засобів, інших необоротних та нематеріальних активів для нарахування амортизації з дати набрання чинності розділом III цього Кодексу визначається платником податку самостійно з урахуванням дати введення їх в експлуатацію, але не менше мінімально допустимих строків корисного використання, визначених </w:t>
      </w:r>
      <w:hyperlink r:id="rId5760" w:anchor="n2941" w:history="1">
        <w:r w:rsidRPr="008B264B">
          <w:rPr>
            <w:rFonts w:ascii="Times New Roman" w:eastAsia="Times New Roman" w:hAnsi="Times New Roman" w:cs="Times New Roman"/>
            <w:color w:val="0000FF"/>
            <w:sz w:val="24"/>
            <w:szCs w:val="24"/>
            <w:u w:val="single"/>
            <w:lang/>
          </w:rPr>
          <w:t>пунктом 145.1</w:t>
        </w:r>
      </w:hyperlink>
      <w:r w:rsidRPr="008B264B">
        <w:rPr>
          <w:rFonts w:ascii="Times New Roman" w:eastAsia="Times New Roman" w:hAnsi="Times New Roman" w:cs="Times New Roman"/>
          <w:color w:val="000000"/>
          <w:sz w:val="24"/>
          <w:szCs w:val="24"/>
          <w:lang/>
        </w:rPr>
        <w:t> статті 145 цього Кодексу.</w:t>
      </w:r>
    </w:p>
    <w:p w14:paraId="58587B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8" w:name="n8274"/>
      <w:bookmarkEnd w:id="10288"/>
      <w:r w:rsidRPr="008B264B">
        <w:rPr>
          <w:rFonts w:ascii="Times New Roman" w:eastAsia="Times New Roman" w:hAnsi="Times New Roman" w:cs="Times New Roman"/>
          <w:color w:val="000000"/>
          <w:sz w:val="24"/>
          <w:szCs w:val="24"/>
          <w:lang/>
        </w:rPr>
        <w:t>Первісна вартість основних засобів не збільшується на вартість придбання або поліпшення після дати набрання чинності розділом III цього Кодексу в частині витрат, віднесених на збільшення балансової вартості об'єктів до такої дати.</w:t>
      </w:r>
    </w:p>
    <w:p w14:paraId="559239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89" w:name="n8275"/>
      <w:bookmarkEnd w:id="10289"/>
      <w:r w:rsidRPr="008B264B">
        <w:rPr>
          <w:rFonts w:ascii="Times New Roman" w:eastAsia="Times New Roman" w:hAnsi="Times New Roman" w:cs="Times New Roman"/>
          <w:color w:val="000000"/>
          <w:sz w:val="24"/>
          <w:szCs w:val="24"/>
          <w:lang/>
        </w:rPr>
        <w:t>7. Дохід не визначається щодо товарів (результатів робіт, послуг), відвантажених (наданих) після дати набрання чинності </w:t>
      </w:r>
      <w:hyperlink r:id="rId5761"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в частині вартості таких товарів (результатів робіт, послуг), оплаченої у вигляді авансів (передоплати) до такої дати, у тому числі в період перебування на спрощеній системі оподаткування.</w:t>
      </w:r>
    </w:p>
    <w:p w14:paraId="65A719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0" w:name="n8276"/>
      <w:bookmarkEnd w:id="10290"/>
      <w:r w:rsidRPr="008B264B">
        <w:rPr>
          <w:rFonts w:ascii="Times New Roman" w:eastAsia="Times New Roman" w:hAnsi="Times New Roman" w:cs="Times New Roman"/>
          <w:color w:val="000000"/>
          <w:sz w:val="24"/>
          <w:szCs w:val="24"/>
          <w:lang/>
        </w:rPr>
        <w:t xml:space="preserve">Витрати не визначаються щодо товарів (результатів робіт, послуг), отриманих (наданих) після дати набрання чинності розділом III цього Кодексу, у частині вартості таких товарів (робіт, послуг), оплаченої у вигляді авансів (передоплати) до такої дати, у разі якщо такі аванси були </w:t>
      </w:r>
      <w:r w:rsidRPr="008B264B">
        <w:rPr>
          <w:rFonts w:ascii="Times New Roman" w:eastAsia="Times New Roman" w:hAnsi="Times New Roman" w:cs="Times New Roman"/>
          <w:color w:val="000000"/>
          <w:sz w:val="24"/>
          <w:szCs w:val="24"/>
          <w:lang/>
        </w:rPr>
        <w:lastRenderedPageBreak/>
        <w:t>враховані платником податку у складі валових витрат на дату їх оплати, а також у період перебування на спрощеній системі оподаткування.</w:t>
      </w:r>
    </w:p>
    <w:p w14:paraId="5696CE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1" w:name="n8277"/>
      <w:bookmarkEnd w:id="10291"/>
      <w:r w:rsidRPr="008B264B">
        <w:rPr>
          <w:rFonts w:ascii="Times New Roman" w:eastAsia="Times New Roman" w:hAnsi="Times New Roman" w:cs="Times New Roman"/>
          <w:color w:val="000000"/>
          <w:sz w:val="24"/>
          <w:szCs w:val="24"/>
          <w:lang/>
        </w:rPr>
        <w:t>Для платників податку на прибуток, що перейшли із спрощеної системи оподаткування на загальну, одночасно з визнанням доходів від продажу товарів (виконання робіт, надання послуг) на загальній системі оподаткування до складу витрат включається собівартість таких товарів, робіт, послуг, що склалася в період перебування такого платника на спрощеній системі оподаткування, пропорційно сумі визнаних доходів.</w:t>
      </w:r>
    </w:p>
    <w:p w14:paraId="7280DC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2" w:name="n8278"/>
      <w:bookmarkEnd w:id="10292"/>
      <w:r w:rsidRPr="008B264B">
        <w:rPr>
          <w:rFonts w:ascii="Times New Roman" w:eastAsia="Times New Roman" w:hAnsi="Times New Roman" w:cs="Times New Roman"/>
          <w:color w:val="000000"/>
          <w:sz w:val="24"/>
          <w:szCs w:val="24"/>
          <w:lang/>
        </w:rPr>
        <w:t>Комісійні доходи (витрати) та інші платежі, пов'язані із створенням або придбанням кредитів, вкладів (депозитів), які були включені до об'єкта оподаткування у звітних податкових періодах до набрання чинності </w:t>
      </w:r>
      <w:hyperlink r:id="rId5762"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не враховуються при визначенні доходів і витрат відповідно до цього Кодексу.</w:t>
      </w:r>
    </w:p>
    <w:p w14:paraId="54871D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3" w:name="n8279"/>
      <w:bookmarkEnd w:id="10293"/>
      <w:r w:rsidRPr="008B264B">
        <w:rPr>
          <w:rFonts w:ascii="Times New Roman" w:eastAsia="Times New Roman" w:hAnsi="Times New Roman" w:cs="Times New Roman"/>
          <w:i/>
          <w:iCs/>
          <w:color w:val="000000"/>
          <w:sz w:val="24"/>
          <w:szCs w:val="24"/>
          <w:lang/>
        </w:rPr>
        <w:t>{Пункт 8 підрозділу 4 розділу XX виключено на підставі Закону </w:t>
      </w:r>
      <w:hyperlink r:id="rId5763" w:anchor="n14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E8EAF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4" w:name="n8285"/>
      <w:bookmarkEnd w:id="10294"/>
      <w:r w:rsidRPr="008B264B">
        <w:rPr>
          <w:rFonts w:ascii="Times New Roman" w:eastAsia="Times New Roman" w:hAnsi="Times New Roman" w:cs="Times New Roman"/>
          <w:color w:val="000000"/>
          <w:sz w:val="24"/>
          <w:szCs w:val="24"/>
          <w:lang/>
        </w:rPr>
        <w:t>9. У січні - грудні 2015 року платники зобов’язані сплачувати щомісячні авансові внески з податку на прибуток підприємств відповідно до </w:t>
      </w:r>
      <w:hyperlink r:id="rId5764" w:anchor="n1371" w:history="1">
        <w:r w:rsidRPr="008B264B">
          <w:rPr>
            <w:rFonts w:ascii="Times New Roman" w:eastAsia="Times New Roman" w:hAnsi="Times New Roman" w:cs="Times New Roman"/>
            <w:color w:val="0000FF"/>
            <w:sz w:val="24"/>
            <w:szCs w:val="24"/>
            <w:u w:val="single"/>
            <w:lang/>
          </w:rPr>
          <w:t>пункту 57.1</w:t>
        </w:r>
      </w:hyperlink>
      <w:r w:rsidRPr="008B264B">
        <w:rPr>
          <w:rFonts w:ascii="Times New Roman" w:eastAsia="Times New Roman" w:hAnsi="Times New Roman" w:cs="Times New Roman"/>
          <w:color w:val="000000"/>
          <w:sz w:val="24"/>
          <w:szCs w:val="24"/>
          <w:lang/>
        </w:rPr>
        <w:t> статті 57 цього Кодексу у редакції, що діяла до 1 січня 2015 року. Починаючи з 1 січня 2016 року щомісячні авансові внески з податку на прибуток підприємств не сплачуються.</w:t>
      </w:r>
    </w:p>
    <w:p w14:paraId="22EC57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5" w:name="n12148"/>
      <w:bookmarkEnd w:id="10295"/>
      <w:r w:rsidRPr="008B264B">
        <w:rPr>
          <w:rFonts w:ascii="Times New Roman" w:eastAsia="Times New Roman" w:hAnsi="Times New Roman" w:cs="Times New Roman"/>
          <w:i/>
          <w:iCs/>
          <w:color w:val="000000"/>
          <w:sz w:val="24"/>
          <w:szCs w:val="24"/>
          <w:lang/>
        </w:rPr>
        <w:t>{Пункт 9 підрозділу 4 розділу XX в редакції Законів </w:t>
      </w:r>
      <w:hyperlink r:id="rId5765" w:anchor="n172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5766" w:anchor="n67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FF76C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6" w:name="n8290"/>
      <w:bookmarkEnd w:id="10296"/>
      <w:r w:rsidRPr="008B264B">
        <w:rPr>
          <w:rFonts w:ascii="Times New Roman" w:eastAsia="Times New Roman" w:hAnsi="Times New Roman" w:cs="Times New Roman"/>
          <w:color w:val="000000"/>
          <w:sz w:val="24"/>
          <w:szCs w:val="24"/>
          <w:lang/>
        </w:rPr>
        <w:t>10. Встановити ставку податку на прибуток підприємств:</w:t>
      </w:r>
    </w:p>
    <w:p w14:paraId="31FC20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7" w:name="n8291"/>
      <w:bookmarkEnd w:id="10297"/>
      <w:r w:rsidRPr="008B264B">
        <w:rPr>
          <w:rFonts w:ascii="Times New Roman" w:eastAsia="Times New Roman" w:hAnsi="Times New Roman" w:cs="Times New Roman"/>
          <w:color w:val="000000"/>
          <w:sz w:val="24"/>
          <w:szCs w:val="24"/>
          <w:lang/>
        </w:rPr>
        <w:t>з 1 квітня 2011 року по 31 грудня 2011 року включно - 23 відсотки;</w:t>
      </w:r>
    </w:p>
    <w:p w14:paraId="306B57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8" w:name="n8292"/>
      <w:bookmarkEnd w:id="10298"/>
      <w:r w:rsidRPr="008B264B">
        <w:rPr>
          <w:rFonts w:ascii="Times New Roman" w:eastAsia="Times New Roman" w:hAnsi="Times New Roman" w:cs="Times New Roman"/>
          <w:color w:val="000000"/>
          <w:sz w:val="24"/>
          <w:szCs w:val="24"/>
          <w:lang/>
        </w:rPr>
        <w:t>з 1 січня 2012 року по 31 грудня 2012 року включно - 21 відсоток;</w:t>
      </w:r>
    </w:p>
    <w:p w14:paraId="210EA4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299" w:name="n8293"/>
      <w:bookmarkEnd w:id="10299"/>
      <w:r w:rsidRPr="008B264B">
        <w:rPr>
          <w:rFonts w:ascii="Times New Roman" w:eastAsia="Times New Roman" w:hAnsi="Times New Roman" w:cs="Times New Roman"/>
          <w:color w:val="000000"/>
          <w:sz w:val="24"/>
          <w:szCs w:val="24"/>
          <w:lang/>
        </w:rPr>
        <w:t>з 1 січня 2013 року по 31 грудня 2013 року включно - 19 відсотків, а для суб'єктів індустрії програмної продукції, які застосовують особливості оподаткування, передбачені в </w:t>
      </w:r>
      <w:hyperlink r:id="rId5767" w:anchor="n8504" w:history="1">
        <w:r w:rsidRPr="008B264B">
          <w:rPr>
            <w:rFonts w:ascii="Times New Roman" w:eastAsia="Times New Roman" w:hAnsi="Times New Roman" w:cs="Times New Roman"/>
            <w:color w:val="0000FF"/>
            <w:sz w:val="24"/>
            <w:szCs w:val="24"/>
            <w:u w:val="single"/>
            <w:lang/>
          </w:rPr>
          <w:t>пункті 15 підрозділу 10</w:t>
        </w:r>
      </w:hyperlink>
      <w:r w:rsidRPr="008B264B">
        <w:rPr>
          <w:rFonts w:ascii="Times New Roman" w:eastAsia="Times New Roman" w:hAnsi="Times New Roman" w:cs="Times New Roman"/>
          <w:color w:val="000000"/>
          <w:sz w:val="24"/>
          <w:szCs w:val="24"/>
          <w:lang/>
        </w:rPr>
        <w:t> цього розділу, - 5 відсотків;</w:t>
      </w:r>
    </w:p>
    <w:p w14:paraId="49D4D4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0" w:name="n8294"/>
      <w:bookmarkEnd w:id="10300"/>
      <w:r w:rsidRPr="008B264B">
        <w:rPr>
          <w:rFonts w:ascii="Times New Roman" w:eastAsia="Times New Roman" w:hAnsi="Times New Roman" w:cs="Times New Roman"/>
          <w:i/>
          <w:iCs/>
          <w:color w:val="000000"/>
          <w:sz w:val="24"/>
          <w:szCs w:val="24"/>
          <w:lang/>
        </w:rPr>
        <w:t>{Абзац четвертий пункту 10 підрозділу 4 розділу XX із змінами, внесеними згідно із Законом </w:t>
      </w:r>
      <w:hyperlink r:id="rId5768" w:anchor="n11" w:tgtFrame="_blank" w:history="1">
        <w:r w:rsidRPr="008B264B">
          <w:rPr>
            <w:rFonts w:ascii="Times New Roman" w:eastAsia="Times New Roman" w:hAnsi="Times New Roman" w:cs="Times New Roman"/>
            <w:i/>
            <w:iCs/>
            <w:color w:val="0000FF"/>
            <w:sz w:val="24"/>
            <w:szCs w:val="24"/>
            <w:u w:val="single"/>
            <w:lang/>
          </w:rPr>
          <w:t>№ 5091-VI від 05.07.2012</w:t>
        </w:r>
      </w:hyperlink>
      <w:r w:rsidRPr="008B264B">
        <w:rPr>
          <w:rFonts w:ascii="Times New Roman" w:eastAsia="Times New Roman" w:hAnsi="Times New Roman" w:cs="Times New Roman"/>
          <w:i/>
          <w:iCs/>
          <w:color w:val="000000"/>
          <w:sz w:val="24"/>
          <w:szCs w:val="24"/>
          <w:lang/>
        </w:rPr>
        <w:t>}</w:t>
      </w:r>
    </w:p>
    <w:p w14:paraId="04EE69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1" w:name="n9638"/>
      <w:bookmarkEnd w:id="10301"/>
      <w:r w:rsidRPr="008B264B">
        <w:rPr>
          <w:rFonts w:ascii="Times New Roman" w:eastAsia="Times New Roman" w:hAnsi="Times New Roman" w:cs="Times New Roman"/>
          <w:color w:val="000000"/>
          <w:sz w:val="24"/>
          <w:szCs w:val="24"/>
          <w:lang/>
        </w:rPr>
        <w:t>з 1 січня 2014 року по 31 грудня 2014 року включно - 18 відсотків, а для суб’єктів індустрії програмної продукції, які застосовують особливості оподаткування, передбачені у пункті 15 підрозділу 10 цього розділу, - 5 відсотків;</w:t>
      </w:r>
    </w:p>
    <w:p w14:paraId="4959D4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2" w:name="n9640"/>
      <w:bookmarkEnd w:id="10302"/>
      <w:r w:rsidRPr="008B264B">
        <w:rPr>
          <w:rFonts w:ascii="Times New Roman" w:eastAsia="Times New Roman" w:hAnsi="Times New Roman" w:cs="Times New Roman"/>
          <w:i/>
          <w:iCs/>
          <w:color w:val="000000"/>
          <w:sz w:val="24"/>
          <w:szCs w:val="24"/>
          <w:lang/>
        </w:rPr>
        <w:t>{Пункт 10 підрозділу 4 розділу XX доповнено новим абзацом згідно із Законом </w:t>
      </w:r>
      <w:hyperlink r:id="rId5769" w:anchor="n37"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770" w:anchor="n288"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в редакції Закону </w:t>
      </w:r>
      <w:hyperlink r:id="rId5771" w:anchor="n1731"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647FE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3" w:name="n9639"/>
      <w:bookmarkEnd w:id="10303"/>
      <w:r w:rsidRPr="008B264B">
        <w:rPr>
          <w:rFonts w:ascii="Times New Roman" w:eastAsia="Times New Roman" w:hAnsi="Times New Roman" w:cs="Times New Roman"/>
          <w:i/>
          <w:iCs/>
          <w:color w:val="000000"/>
          <w:sz w:val="24"/>
          <w:szCs w:val="24"/>
          <w:lang/>
        </w:rPr>
        <w:t>{Абзац шостий пункту 10 підрозділу 4 розділу XX виключено на підставі Закону </w:t>
      </w:r>
      <w:hyperlink r:id="rId5772" w:anchor="n289"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62EDC5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4" w:name="n8295"/>
      <w:bookmarkEnd w:id="10304"/>
      <w:r w:rsidRPr="008B264B">
        <w:rPr>
          <w:rFonts w:ascii="Times New Roman" w:eastAsia="Times New Roman" w:hAnsi="Times New Roman" w:cs="Times New Roman"/>
          <w:i/>
          <w:iCs/>
          <w:color w:val="000000"/>
          <w:sz w:val="24"/>
          <w:szCs w:val="24"/>
          <w:lang/>
        </w:rPr>
        <w:t>{Абзац сьомий пункту 10 підрозділу 4 розділу XX виключено на підставі Закону </w:t>
      </w:r>
      <w:hyperlink r:id="rId5773" w:anchor="n289"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w:t>
      </w:r>
    </w:p>
    <w:p w14:paraId="56CA4D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5" w:name="n8297"/>
      <w:bookmarkEnd w:id="10305"/>
      <w:r w:rsidRPr="008B264B">
        <w:rPr>
          <w:rFonts w:ascii="Times New Roman" w:eastAsia="Times New Roman" w:hAnsi="Times New Roman" w:cs="Times New Roman"/>
          <w:i/>
          <w:iCs/>
          <w:color w:val="000000"/>
          <w:sz w:val="24"/>
          <w:szCs w:val="24"/>
          <w:lang/>
        </w:rPr>
        <w:t>{Абзац восьмий пункту 10 підрозділу 4 розділу XX виключено на підставі Закону </w:t>
      </w:r>
      <w:hyperlink r:id="rId5774" w:anchor="n17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9FA9D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6" w:name="n8299"/>
      <w:bookmarkEnd w:id="10306"/>
      <w:r w:rsidRPr="008B264B">
        <w:rPr>
          <w:rFonts w:ascii="Times New Roman" w:eastAsia="Times New Roman" w:hAnsi="Times New Roman" w:cs="Times New Roman"/>
          <w:i/>
          <w:iCs/>
          <w:color w:val="000000"/>
          <w:sz w:val="24"/>
          <w:szCs w:val="24"/>
          <w:lang/>
        </w:rPr>
        <w:t>{Абзац дев'ятий пункту 10 підрозділу 4 розділу XX виключено на підставі Закону </w:t>
      </w:r>
      <w:hyperlink r:id="rId5775" w:anchor="n17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E80BB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7" w:name="n8301"/>
      <w:bookmarkEnd w:id="10307"/>
      <w:r w:rsidRPr="008B264B">
        <w:rPr>
          <w:rFonts w:ascii="Times New Roman" w:eastAsia="Times New Roman" w:hAnsi="Times New Roman" w:cs="Times New Roman"/>
          <w:i/>
          <w:iCs/>
          <w:color w:val="000000"/>
          <w:sz w:val="24"/>
          <w:szCs w:val="24"/>
          <w:lang/>
        </w:rPr>
        <w:t>{Абзац деcятий пункту 10 підрозділу 4 розділу XX виключено на підставі Закону </w:t>
      </w:r>
      <w:hyperlink r:id="rId5776" w:anchor="n17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BB0ED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8" w:name="n8303"/>
      <w:bookmarkEnd w:id="10308"/>
      <w:r w:rsidRPr="008B264B">
        <w:rPr>
          <w:rFonts w:ascii="Times New Roman" w:eastAsia="Times New Roman" w:hAnsi="Times New Roman" w:cs="Times New Roman"/>
          <w:i/>
          <w:iCs/>
          <w:color w:val="000000"/>
          <w:sz w:val="24"/>
          <w:szCs w:val="24"/>
          <w:lang/>
        </w:rPr>
        <w:t>{Абзац одинадцятий пункту 10 підрозділу 4 розділу XX виключено на підставі Закону </w:t>
      </w:r>
      <w:hyperlink r:id="rId5777" w:anchor="n1733"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D84EB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09" w:name="n8305"/>
      <w:bookmarkEnd w:id="10309"/>
      <w:r w:rsidRPr="008B264B">
        <w:rPr>
          <w:rFonts w:ascii="Times New Roman" w:eastAsia="Times New Roman" w:hAnsi="Times New Roman" w:cs="Times New Roman"/>
          <w:color w:val="000000"/>
          <w:sz w:val="24"/>
          <w:szCs w:val="24"/>
          <w:lang/>
        </w:rPr>
        <w:lastRenderedPageBreak/>
        <w:t>11. При розрахунку амортизації основних засобів та нематеріальних активів відповідно до пункту 138.3 статті 138 цього Кодексу балансова вартість основних засобів та нематеріальних активів станом на 1 січня 2015 року має дорівнювати балансовій вартості таких активів, що визначена станом на 31 грудня 2014 року відповідно до статей 144 - 146 та 148 розділу III цього Кодексу у редакції, що діяла до 1 січня 2015 року.</w:t>
      </w:r>
    </w:p>
    <w:p w14:paraId="7F4CF8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0" w:name="n12149"/>
      <w:bookmarkEnd w:id="10310"/>
      <w:r w:rsidRPr="008B264B">
        <w:rPr>
          <w:rFonts w:ascii="Times New Roman" w:eastAsia="Times New Roman" w:hAnsi="Times New Roman" w:cs="Times New Roman"/>
          <w:i/>
          <w:iCs/>
          <w:color w:val="000000"/>
          <w:sz w:val="24"/>
          <w:szCs w:val="24"/>
          <w:lang/>
        </w:rPr>
        <w:t>{Пункт 11 підрозділу 4 розділу XX в редакції Закону </w:t>
      </w:r>
      <w:hyperlink r:id="rId5778" w:anchor="n173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6F791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1" w:name="n8306"/>
      <w:bookmarkEnd w:id="10311"/>
      <w:r w:rsidRPr="008B264B">
        <w:rPr>
          <w:rFonts w:ascii="Times New Roman" w:eastAsia="Times New Roman" w:hAnsi="Times New Roman" w:cs="Times New Roman"/>
          <w:color w:val="000000"/>
          <w:sz w:val="24"/>
          <w:szCs w:val="24"/>
          <w:lang/>
        </w:rPr>
        <w:t>12. Норми </w:t>
      </w:r>
      <w:hyperlink r:id="rId5779" w:anchor="n2655" w:history="1">
        <w:r w:rsidRPr="008B264B">
          <w:rPr>
            <w:rFonts w:ascii="Times New Roman" w:eastAsia="Times New Roman" w:hAnsi="Times New Roman" w:cs="Times New Roman"/>
            <w:color w:val="0000FF"/>
            <w:sz w:val="24"/>
            <w:szCs w:val="24"/>
            <w:u w:val="single"/>
            <w:lang/>
          </w:rPr>
          <w:t>абзацу другого пункту 137.21</w:t>
        </w:r>
      </w:hyperlink>
      <w:r w:rsidRPr="008B264B">
        <w:rPr>
          <w:rFonts w:ascii="Times New Roman" w:eastAsia="Times New Roman" w:hAnsi="Times New Roman" w:cs="Times New Roman"/>
          <w:color w:val="000000"/>
          <w:sz w:val="24"/>
          <w:szCs w:val="24"/>
          <w:lang/>
        </w:rPr>
        <w:t> статті 137 цього Кодексу застосовуються до 1 січня 2014 року.</w:t>
      </w:r>
    </w:p>
    <w:p w14:paraId="228601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2" w:name="n8307"/>
      <w:bookmarkEnd w:id="10312"/>
      <w:r w:rsidRPr="008B264B">
        <w:rPr>
          <w:rFonts w:ascii="Times New Roman" w:eastAsia="Times New Roman" w:hAnsi="Times New Roman" w:cs="Times New Roman"/>
          <w:i/>
          <w:iCs/>
          <w:color w:val="000000"/>
          <w:sz w:val="24"/>
          <w:szCs w:val="24"/>
          <w:lang/>
        </w:rPr>
        <w:t>{Пункт 12 підрозділу 4 розділу XX в редакції Закону </w:t>
      </w:r>
      <w:hyperlink r:id="rId5780" w:anchor="n509"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09EC36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3" w:name="n8308"/>
      <w:bookmarkEnd w:id="10313"/>
      <w:r w:rsidRPr="008B264B">
        <w:rPr>
          <w:rFonts w:ascii="Times New Roman" w:eastAsia="Times New Roman" w:hAnsi="Times New Roman" w:cs="Times New Roman"/>
          <w:color w:val="000000"/>
          <w:sz w:val="24"/>
          <w:szCs w:val="24"/>
          <w:lang/>
        </w:rPr>
        <w:t>13. Тимчасово до 1 січня 2014 року датою збільшення доходів підприємств житлово-комунального господарства від надання житлово-комунальних послуг є дата надходження коштів від споживача на банківський рахунок або в касу платника податку, крім випадків, якщо таке надходження відбувається у рахунок погашення заборгованості за житлово-комунальні послуги, надані до дати набрання чинності </w:t>
      </w:r>
      <w:hyperlink r:id="rId5781"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4601CB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4" w:name="n8309"/>
      <w:bookmarkEnd w:id="10314"/>
      <w:r w:rsidRPr="008B264B">
        <w:rPr>
          <w:rFonts w:ascii="Times New Roman" w:eastAsia="Times New Roman" w:hAnsi="Times New Roman" w:cs="Times New Roman"/>
          <w:color w:val="000000"/>
          <w:sz w:val="24"/>
          <w:szCs w:val="24"/>
          <w:lang/>
        </w:rPr>
        <w:t>При цьому підприємства житлово-комунального господарства у складі собівартості реалізації житлово-комунальних послуг визнають витрати на придбання товарів, робіт, послуг у сумі фактично сплачених за них коштів, крім випадків якщо така сплата відбувається в рахунок погашення заборгованості за такі роботи, послуги, придбані до дати набрання чинності </w:t>
      </w:r>
      <w:hyperlink r:id="rId5782"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4DE1FF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5" w:name="n8310"/>
      <w:bookmarkEnd w:id="10315"/>
      <w:r w:rsidRPr="008B264B">
        <w:rPr>
          <w:rFonts w:ascii="Times New Roman" w:eastAsia="Times New Roman" w:hAnsi="Times New Roman" w:cs="Times New Roman"/>
          <w:color w:val="000000"/>
          <w:sz w:val="24"/>
          <w:szCs w:val="24"/>
          <w:lang/>
        </w:rPr>
        <w:t>Балансова вартість товарів (крім тих, що підлягають амортизації, та цінних паперів), сировини, матеріалів, комплектуючих виробів, напівфабрикатів, малоцінних предметів (далі - запасів), придбаних до дати набрання чинності </w:t>
      </w:r>
      <w:hyperlink r:id="rId5783"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а сплачених після цієї дати, визнаються в складі витрат у сумі фактичної сплачених за них коштів.</w:t>
      </w:r>
    </w:p>
    <w:p w14:paraId="7212BA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6" w:name="n8311"/>
      <w:bookmarkEnd w:id="10316"/>
      <w:r w:rsidRPr="008B264B">
        <w:rPr>
          <w:rFonts w:ascii="Times New Roman" w:eastAsia="Times New Roman" w:hAnsi="Times New Roman" w:cs="Times New Roman"/>
          <w:color w:val="000000"/>
          <w:sz w:val="24"/>
          <w:szCs w:val="24"/>
          <w:lang/>
        </w:rPr>
        <w:t>Цей пункт не поширюється на платників податку - ліцензіатів з постачання електричної та/або теплової енергії.</w:t>
      </w:r>
    </w:p>
    <w:p w14:paraId="53849A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7" w:name="n8312"/>
      <w:bookmarkEnd w:id="10317"/>
      <w:r w:rsidRPr="008B264B">
        <w:rPr>
          <w:rFonts w:ascii="Times New Roman" w:eastAsia="Times New Roman" w:hAnsi="Times New Roman" w:cs="Times New Roman"/>
          <w:i/>
          <w:iCs/>
          <w:color w:val="000000"/>
          <w:sz w:val="24"/>
          <w:szCs w:val="24"/>
          <w:lang/>
        </w:rPr>
        <w:t>{Пункт 13 підрозділу 4 розділу XX в редакції Закону </w:t>
      </w:r>
      <w:hyperlink r:id="rId578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211C0E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8" w:name="n8313"/>
      <w:bookmarkEnd w:id="10318"/>
      <w:r w:rsidRPr="008B264B">
        <w:rPr>
          <w:rFonts w:ascii="Times New Roman" w:eastAsia="Times New Roman" w:hAnsi="Times New Roman" w:cs="Times New Roman"/>
          <w:color w:val="000000"/>
          <w:sz w:val="24"/>
          <w:szCs w:val="24"/>
          <w:lang/>
        </w:rPr>
        <w:t>14. У 2011 році норматив для основних засобів, визначений у </w:t>
      </w:r>
      <w:hyperlink r:id="rId5785" w:anchor="n518" w:history="1">
        <w:r w:rsidRPr="008B264B">
          <w:rPr>
            <w:rFonts w:ascii="Times New Roman" w:eastAsia="Times New Roman" w:hAnsi="Times New Roman" w:cs="Times New Roman"/>
            <w:color w:val="0000FF"/>
            <w:sz w:val="24"/>
            <w:szCs w:val="24"/>
            <w:u w:val="single"/>
            <w:lang/>
          </w:rPr>
          <w:t>підпункті 14.1.138</w:t>
        </w:r>
      </w:hyperlink>
      <w:r w:rsidRPr="008B264B">
        <w:rPr>
          <w:rFonts w:ascii="Times New Roman" w:eastAsia="Times New Roman" w:hAnsi="Times New Roman" w:cs="Times New Roman"/>
          <w:color w:val="000000"/>
          <w:sz w:val="24"/>
          <w:szCs w:val="24"/>
          <w:lang/>
        </w:rPr>
        <w:t> пункту 14.1 статті 14 цього Кодексу, встановлюється в розмірі 1000 гривень.</w:t>
      </w:r>
    </w:p>
    <w:p w14:paraId="4C76BF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19" w:name="n8314"/>
      <w:bookmarkEnd w:id="10319"/>
      <w:r w:rsidRPr="008B264B">
        <w:rPr>
          <w:rFonts w:ascii="Times New Roman" w:eastAsia="Times New Roman" w:hAnsi="Times New Roman" w:cs="Times New Roman"/>
          <w:i/>
          <w:iCs/>
          <w:color w:val="000000"/>
          <w:sz w:val="24"/>
          <w:szCs w:val="24"/>
          <w:lang/>
        </w:rPr>
        <w:t>{Пункт 15 підрозділу 4 розділу XX виключено на підставі Закону </w:t>
      </w:r>
      <w:hyperlink r:id="rId5786" w:anchor="n173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AE72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0" w:name="n15041"/>
      <w:bookmarkEnd w:id="10320"/>
      <w:r w:rsidRPr="008B264B">
        <w:rPr>
          <w:rFonts w:ascii="Times New Roman" w:eastAsia="Times New Roman" w:hAnsi="Times New Roman" w:cs="Times New Roman"/>
          <w:color w:val="000000"/>
          <w:sz w:val="24"/>
          <w:szCs w:val="24"/>
          <w:lang/>
        </w:rPr>
        <w:t>15. Податок на прибуток, що підлягає сплаті до державного бюджету платниками податку за поточний податковий (звітний) період, зменшується на суму сплаченого за такий поточний податковий (звітний) період акцизного податку за зареєстрованими акцизними накладними на важкі дистиляти (газойль), що класифікуються у товарних підкатегоріях 2710 19 43 00, 2710 19 46 00, 2710 19 47 10 згідно з </w:t>
      </w:r>
      <w:hyperlink r:id="rId5787" w:anchor="n6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якщо вони були використані для транспортних засобів, що класифікуються у товарних підкатегоріях 8602 10 00 00, 8704 10 10 10 згідно з </w:t>
      </w:r>
      <w:hyperlink r:id="rId5788" w:anchor="n32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797795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1" w:name="n15042"/>
      <w:bookmarkEnd w:id="10321"/>
      <w:r w:rsidRPr="008B264B">
        <w:rPr>
          <w:rFonts w:ascii="Times New Roman" w:eastAsia="Times New Roman" w:hAnsi="Times New Roman" w:cs="Times New Roman"/>
          <w:color w:val="000000"/>
          <w:sz w:val="24"/>
          <w:szCs w:val="24"/>
          <w:lang/>
        </w:rPr>
        <w:t>Якщо платник податку на прибуток у звітному періоді не отримав прибутку або сума податку на прибуток менша за суму акцизного податку, залишок суми такого податку, не врахований у зменшення податку на прибуток за поточний податковий (звітний) період, не зменшує податок на прибуток у наступних податкових (звітних) періодах.</w:t>
      </w:r>
    </w:p>
    <w:p w14:paraId="7BBC31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2" w:name="n15040"/>
      <w:bookmarkEnd w:id="10322"/>
      <w:r w:rsidRPr="008B264B">
        <w:rPr>
          <w:rFonts w:ascii="Times New Roman" w:eastAsia="Times New Roman" w:hAnsi="Times New Roman" w:cs="Times New Roman"/>
          <w:i/>
          <w:iCs/>
          <w:color w:val="000000"/>
          <w:sz w:val="24"/>
          <w:szCs w:val="24"/>
          <w:lang/>
        </w:rPr>
        <w:t>{До підрозділу 4 розділу XX включено пункт 15 згідно із Законом </w:t>
      </w:r>
      <w:hyperlink r:id="rId5789" w:anchor="n51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7DCD58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3" w:name="n8319"/>
      <w:bookmarkEnd w:id="10323"/>
      <w:r w:rsidRPr="008B264B">
        <w:rPr>
          <w:rFonts w:ascii="Times New Roman" w:eastAsia="Times New Roman" w:hAnsi="Times New Roman" w:cs="Times New Roman"/>
          <w:i/>
          <w:iCs/>
          <w:color w:val="000000"/>
          <w:sz w:val="24"/>
          <w:szCs w:val="24"/>
          <w:lang/>
        </w:rPr>
        <w:t>{Пункт 16 підрозділу 4 розділу XX виключено на підставі Закону </w:t>
      </w:r>
      <w:hyperlink r:id="rId5790" w:anchor="n1497"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9CF11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4" w:name="n15044"/>
      <w:bookmarkEnd w:id="10324"/>
      <w:r w:rsidRPr="008B264B">
        <w:rPr>
          <w:rFonts w:ascii="Times New Roman" w:eastAsia="Times New Roman" w:hAnsi="Times New Roman" w:cs="Times New Roman"/>
          <w:color w:val="000000"/>
          <w:sz w:val="24"/>
          <w:szCs w:val="24"/>
          <w:lang/>
        </w:rPr>
        <w:t xml:space="preserve">16. Тимчасово, до 1 січня 2020 року, звільняється від оподаткування прибуток підприємств у розмірі доходу підприємств, отриманого ними від господарської діяльності з використанням газу (метану) вугільних родовищ та/або похідної сировини газу (метану) вугільних родовищ, у </w:t>
      </w:r>
      <w:r w:rsidRPr="008B264B">
        <w:rPr>
          <w:rFonts w:ascii="Times New Roman" w:eastAsia="Times New Roman" w:hAnsi="Times New Roman" w:cs="Times New Roman"/>
          <w:color w:val="000000"/>
          <w:sz w:val="24"/>
          <w:szCs w:val="24"/>
          <w:lang/>
        </w:rPr>
        <w:lastRenderedPageBreak/>
        <w:t>тому числі газоповітряної суміші із вмістом газу (метану), яка не відповідає вимогам до якості природного газу, призначеного для транспортування, промислового та комунально-побутового споживання, що здійснюється відповідно до </w:t>
      </w:r>
      <w:hyperlink r:id="rId5791"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газ (метан) вугільних родовищ".</w:t>
      </w:r>
    </w:p>
    <w:p w14:paraId="27CC23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5" w:name="n15045"/>
      <w:bookmarkEnd w:id="10325"/>
      <w:r w:rsidRPr="008B264B">
        <w:rPr>
          <w:rFonts w:ascii="Times New Roman" w:eastAsia="Times New Roman" w:hAnsi="Times New Roman" w:cs="Times New Roman"/>
          <w:color w:val="000000"/>
          <w:sz w:val="24"/>
          <w:szCs w:val="24"/>
          <w:lang/>
        </w:rPr>
        <w:t>З метою застосування абзацу першого цього пункту фінансовий результат до оподаткування підприємств, що використовують газ (метан) вугільних родовищ та/або похідну сировину газу (метану) вугільних родовищ, у тому числі газоповітряну суміш із вмістом газу (метану), яка не відповідає вимогам до якості природного газу, призначеного для транспортування, промислового та комунально-побутового споживання, зменшується на суму доходу, отриманого від операцій з газом (метаном) вугільних родовищ (реалізація, переробка, спалювання) та/або похідною сировиною газу (метану) вугільних родовищ, у тому числі газоповітряною сумішшю із вмістом газу (метану), яка не відповідає вимогам до якості природного газу, призначеного для транспортування, промислового та комунально-побутового споживання.</w:t>
      </w:r>
    </w:p>
    <w:p w14:paraId="5D7946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6" w:name="n15046"/>
      <w:bookmarkEnd w:id="10326"/>
      <w:r w:rsidRPr="008B264B">
        <w:rPr>
          <w:rFonts w:ascii="Times New Roman" w:eastAsia="Times New Roman" w:hAnsi="Times New Roman" w:cs="Times New Roman"/>
          <w:color w:val="000000"/>
          <w:sz w:val="24"/>
          <w:szCs w:val="24"/>
          <w:lang/>
        </w:rPr>
        <w:t>Суми коштів, вивільнених у зв’язку з наданням податкової пільги, спрямовуються платником податку на переоснащення матеріально-технічної бази, запровадження новітніх технологій, пов’язаних з видобуванням, дегазацією та використанням газу (метану) вугільних родовищ та/або похідну сировину газу (метану) вугільних родовищ, у тому числі газоповітряну суміш із вмістом газу (метану), до закінчення наступного податкового року.</w:t>
      </w:r>
    </w:p>
    <w:p w14:paraId="108DA8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7" w:name="n15047"/>
      <w:bookmarkEnd w:id="10327"/>
      <w:r w:rsidRPr="008B264B">
        <w:rPr>
          <w:rFonts w:ascii="Times New Roman" w:eastAsia="Times New Roman" w:hAnsi="Times New Roman" w:cs="Times New Roman"/>
          <w:color w:val="000000"/>
          <w:sz w:val="24"/>
          <w:szCs w:val="24"/>
          <w:lang/>
        </w:rPr>
        <w:t>У разі відсутності цільового використання вивільнених від оподаткування коштів у термін, передбачений абзацом третім цього пункту, платник податку зобов’язаний збільшити фінансовий результат до оподаткування на суму доходу, отриманого від реалізації газу (метану) вугільних родовищ, на який було зменшено фінансовий результат до оподаткування відповідно до абзацу другого цього пункту, за результатами податкового року, що настає за податковим періодом застосування пільги.</w:t>
      </w:r>
    </w:p>
    <w:p w14:paraId="259603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8" w:name="n15043"/>
      <w:bookmarkEnd w:id="10328"/>
      <w:r w:rsidRPr="008B264B">
        <w:rPr>
          <w:rFonts w:ascii="Times New Roman" w:eastAsia="Times New Roman" w:hAnsi="Times New Roman" w:cs="Times New Roman"/>
          <w:i/>
          <w:iCs/>
          <w:color w:val="000000"/>
          <w:sz w:val="24"/>
          <w:szCs w:val="24"/>
          <w:lang/>
        </w:rPr>
        <w:t>{До підрозділу 4 розділу XX включено пункт 16 згідно із Законом </w:t>
      </w:r>
      <w:hyperlink r:id="rId5792" w:anchor="n51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707C42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29" w:name="n8320"/>
      <w:bookmarkEnd w:id="10329"/>
      <w:r w:rsidRPr="008B264B">
        <w:rPr>
          <w:rFonts w:ascii="Times New Roman" w:eastAsia="Times New Roman" w:hAnsi="Times New Roman" w:cs="Times New Roman"/>
          <w:color w:val="000000"/>
          <w:sz w:val="24"/>
          <w:szCs w:val="24"/>
          <w:lang/>
        </w:rPr>
        <w:t>17. З метою оподаткування відображення в обліку продавця та покупця заборгованості, що виникла у зв’язку із затримкою в оплаті товарів, виконаних робіт, наданих послуг, якщо заходи щодо стягнення таких боргів розпочато відповідно до пункту 159.1 статті 159 розділу III цього Кодексу у редакції, що діяла до 1 січня 2015 року, здійснюється до повного погашення чи визнання такої заборгованості безнадійною у такому порядку:</w:t>
      </w:r>
    </w:p>
    <w:p w14:paraId="4FFE04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0" w:name="n12177"/>
      <w:bookmarkEnd w:id="10330"/>
      <w:r w:rsidRPr="008B264B">
        <w:rPr>
          <w:rFonts w:ascii="Times New Roman" w:eastAsia="Times New Roman" w:hAnsi="Times New Roman" w:cs="Times New Roman"/>
          <w:color w:val="000000"/>
          <w:sz w:val="24"/>
          <w:szCs w:val="24"/>
          <w:lang/>
        </w:rPr>
        <w:t>1.1. Платник податку - продавець у разі, якщо суд не задовольняє позову (заяви) продавця або задовольняє його частково чи не приймає позову (заяви) до провадження (розгляду) або задовольняє позов (заяву) покупця про визнання недійсними вимог щодо погашення цієї заборгованості або її частини (крім припинення судом провадження у справі повністю або частково, у зв’язку з погашенням покупцем заборгованості або її частини після подання продавцем позову (заяви)) зобов’язаний:</w:t>
      </w:r>
    </w:p>
    <w:p w14:paraId="5EF81E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1" w:name="n12178"/>
      <w:bookmarkEnd w:id="10331"/>
      <w:r w:rsidRPr="008B264B">
        <w:rPr>
          <w:rFonts w:ascii="Times New Roman" w:eastAsia="Times New Roman" w:hAnsi="Times New Roman" w:cs="Times New Roman"/>
          <w:color w:val="000000"/>
          <w:sz w:val="24"/>
          <w:szCs w:val="24"/>
          <w:lang/>
        </w:rPr>
        <w:t>а) збільшити фінансовий результат до оподаткування відповідного податкового періоду на суму заборгованості (її частини), попередньо віднесеної ним до зменшення доходу згідно з підпунктом 159.1.1 пункту 159.1 статті 159 розділу III цього Кодексу у редакції, що діяла до 1 січня 2015 року;</w:t>
      </w:r>
    </w:p>
    <w:p w14:paraId="6FAD1E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2" w:name="n12179"/>
      <w:bookmarkEnd w:id="10332"/>
      <w:r w:rsidRPr="008B264B">
        <w:rPr>
          <w:rFonts w:ascii="Times New Roman" w:eastAsia="Times New Roman" w:hAnsi="Times New Roman" w:cs="Times New Roman"/>
          <w:color w:val="000000"/>
          <w:sz w:val="24"/>
          <w:szCs w:val="24"/>
          <w:lang/>
        </w:rPr>
        <w:t>б) зменшити фінансовий результат до оподаткування відповідного податкового періоду на собівартість (її частини, визначеної пропорційно сумі заборгованості, включеної до доходу відповідно до цього пункту) товарів, робіт, послуг, за якими виникла така заборгованість, попередньо віднесену ним до зменшення витрат відповідно до пункту 159.1 статті 159 розділу III цього Кодексу у редакції, що діяла до 1 січня 2015 року.</w:t>
      </w:r>
    </w:p>
    <w:p w14:paraId="5F7E60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3" w:name="n12180"/>
      <w:bookmarkEnd w:id="10333"/>
      <w:r w:rsidRPr="008B264B">
        <w:rPr>
          <w:rFonts w:ascii="Times New Roman" w:eastAsia="Times New Roman" w:hAnsi="Times New Roman" w:cs="Times New Roman"/>
          <w:color w:val="000000"/>
          <w:sz w:val="24"/>
          <w:szCs w:val="24"/>
          <w:lang/>
        </w:rPr>
        <w:t xml:space="preserve">На суму додаткового податкового зобов’язання, розрахованого внаслідок такого коригування фінансового результату до оподаткування, нараховується пеня, визначена з розрахунку 120 відсотків річної облікової ставки Національного банку України, що діяла на день виникнення додаткового податкового зобов’язання. Зазначена пеня розраховується за строк із </w:t>
      </w:r>
      <w:r w:rsidRPr="008B264B">
        <w:rPr>
          <w:rFonts w:ascii="Times New Roman" w:eastAsia="Times New Roman" w:hAnsi="Times New Roman" w:cs="Times New Roman"/>
          <w:color w:val="000000"/>
          <w:sz w:val="24"/>
          <w:szCs w:val="24"/>
          <w:lang/>
        </w:rPr>
        <w:lastRenderedPageBreak/>
        <w:t>першого дня податкового періоду, що настає за періодом, протягом якого відбулося зменшення доходу та витрат згідно з підпунктом 159.1.1 пункту 159.1 статті 159 розділу III цього Кодексу у редакції, що діяла до 1 січня 2015 року, до останнього дня податкового періоду, на який припадає коригування фінансового результату до оподаткування, та сплачується незалежно від значення податкового зобов’язання платника податку за відповідний звітний період. Пеня не нараховується на заборгованість (її частину), списану або розстрочену внаслідок укладення мирової угоди відповідно до законодавства з питань банкрутства, починаючи з дати укладення такої мирової угоди.</w:t>
      </w:r>
    </w:p>
    <w:p w14:paraId="0E4571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4" w:name="n12181"/>
      <w:bookmarkEnd w:id="10334"/>
      <w:r w:rsidRPr="008B264B">
        <w:rPr>
          <w:rFonts w:ascii="Times New Roman" w:eastAsia="Times New Roman" w:hAnsi="Times New Roman" w:cs="Times New Roman"/>
          <w:color w:val="000000"/>
          <w:sz w:val="24"/>
          <w:szCs w:val="24"/>
          <w:lang/>
        </w:rPr>
        <w:t>Платник податку - покупець зобов’язаний збільшити фінансовий результат до оподаткування після 1 січня 2015 року на вартість заборгованості, визнану судом чи за виконавчим написом нотаріуса, у податковому періоді, на який припадає день набрання законної сили рішення суду про визнання (стягнення) такої заборгованості (її частини) або вчинення нотаріусом виконавчого напису.</w:t>
      </w:r>
    </w:p>
    <w:p w14:paraId="1919DE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5" w:name="n12182"/>
      <w:bookmarkEnd w:id="10335"/>
      <w:r w:rsidRPr="008B264B">
        <w:rPr>
          <w:rFonts w:ascii="Times New Roman" w:eastAsia="Times New Roman" w:hAnsi="Times New Roman" w:cs="Times New Roman"/>
          <w:color w:val="000000"/>
          <w:sz w:val="24"/>
          <w:szCs w:val="24"/>
          <w:lang/>
        </w:rPr>
        <w:t>1.2. Якщо в наступних податкових періодах після 1 січня 2015 року покупець погашає суму визнаної заборгованості або її частину (самостійно або за процедурою примусового стягнення) та віднесеної на зменшення витрат згідно з підпунктом 159.1.2 пункту 159.1 статті 159 розділу III цього Кодексу у редакції, що діяла до 1 січня 2015 року, такий покупець зменшує фінансовий результат до оподаткування на суму такої заборгованості (її частини) за наслідками податкового періоду, на який припадає таке погашення.</w:t>
      </w:r>
    </w:p>
    <w:p w14:paraId="106F96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6" w:name="n12183"/>
      <w:bookmarkEnd w:id="10336"/>
      <w:r w:rsidRPr="008B264B">
        <w:rPr>
          <w:rFonts w:ascii="Times New Roman" w:eastAsia="Times New Roman" w:hAnsi="Times New Roman" w:cs="Times New Roman"/>
          <w:color w:val="000000"/>
          <w:sz w:val="24"/>
          <w:szCs w:val="24"/>
          <w:lang/>
        </w:rPr>
        <w:t>Водночас продавець, який зменшив суму доходу звітного періоду на вартість відвантажених товарів, виконаних робіт, наданих послуг, відповідно до підпункту 159.1.1 пункту 159.1 статті 159 розділу III цього Кодексу у редакції, що діяла до 1 січня 2015 року, збільшує фінансовий результат до оподаткування на суму заборгованості (її частини) за такі товари, роботи, послуги, погашену покупцем, та зменшує фінансовий результат до оподаткування на собівартість (її частину, визначену пропорційно сумі погашеної заборгованості) цих товарів, робіт, послуг за наслідками податкового періоду, на який припадає таке погашення.</w:t>
      </w:r>
    </w:p>
    <w:p w14:paraId="23EDFC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7" w:name="n12184"/>
      <w:bookmarkEnd w:id="10337"/>
      <w:r w:rsidRPr="008B264B">
        <w:rPr>
          <w:rFonts w:ascii="Times New Roman" w:eastAsia="Times New Roman" w:hAnsi="Times New Roman" w:cs="Times New Roman"/>
          <w:color w:val="000000"/>
          <w:sz w:val="24"/>
          <w:szCs w:val="24"/>
          <w:lang/>
        </w:rPr>
        <w:t>1.3. Заборгованість, попередньо віднесена на зменшення доходу згідно з підпунктом 159.1.1 пункту 159.1 статті 159 розділу III цього Кодексу у редакції, що діяла до 1 січня 2015 року, або відшкодована за рахунок страхового резерву згідно з пунктом 159.3 статті 159 розділу III цього Кодексу у редакції, що діяла до 1 січня 2015 року, яка визнається безнадійною внаслідок недостатності активів покупця, визнаного банкрутом у встановленому порядку, або внаслідок її списання згідно з умовами мирової угоди, укладеної відповідно до законодавства з питань банкрутства, не коригує фінансовий результат до оподаткування як покупця, так і продавця у зв’язку з таким визнанням.</w:t>
      </w:r>
    </w:p>
    <w:p w14:paraId="7C0DDC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8" w:name="n12176"/>
      <w:bookmarkEnd w:id="10338"/>
      <w:r w:rsidRPr="008B264B">
        <w:rPr>
          <w:rFonts w:ascii="Times New Roman" w:eastAsia="Times New Roman" w:hAnsi="Times New Roman" w:cs="Times New Roman"/>
          <w:i/>
          <w:iCs/>
          <w:color w:val="000000"/>
          <w:sz w:val="24"/>
          <w:szCs w:val="24"/>
          <w:lang/>
        </w:rPr>
        <w:t>{Пункт 17 підрозділу 4 розділу XX із змінами, внесеними згідно із Законами </w:t>
      </w:r>
      <w:hyperlink r:id="rId5793" w:anchor="n188" w:tgtFrame="_blank" w:history="1">
        <w:r w:rsidRPr="008B264B">
          <w:rPr>
            <w:rFonts w:ascii="Times New Roman" w:eastAsia="Times New Roman" w:hAnsi="Times New Roman" w:cs="Times New Roman"/>
            <w:i/>
            <w:iCs/>
            <w:color w:val="0000FF"/>
            <w:sz w:val="24"/>
            <w:szCs w:val="24"/>
            <w:u w:val="single"/>
            <w:lang/>
          </w:rPr>
          <w:t>№ 5412-VI від 02.10.2012</w:t>
        </w:r>
      </w:hyperlink>
      <w:r w:rsidRPr="008B264B">
        <w:rPr>
          <w:rFonts w:ascii="Times New Roman" w:eastAsia="Times New Roman" w:hAnsi="Times New Roman" w:cs="Times New Roman"/>
          <w:i/>
          <w:iCs/>
          <w:color w:val="000000"/>
          <w:sz w:val="24"/>
          <w:szCs w:val="24"/>
          <w:lang/>
        </w:rPr>
        <w:t>, </w:t>
      </w:r>
      <w:hyperlink r:id="rId5794" w:anchor="n149"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в редакції Закону </w:t>
      </w:r>
      <w:hyperlink r:id="rId5795"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AD30B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39" w:name="n8331"/>
      <w:bookmarkEnd w:id="10339"/>
      <w:r w:rsidRPr="008B264B">
        <w:rPr>
          <w:rFonts w:ascii="Times New Roman" w:eastAsia="Times New Roman" w:hAnsi="Times New Roman" w:cs="Times New Roman"/>
          <w:color w:val="000000"/>
          <w:sz w:val="24"/>
          <w:szCs w:val="24"/>
          <w:lang/>
        </w:rPr>
        <w:t>18. За операціями, по яких дохід для цілей оподаткування податком на прибуток до 1 січня 2015 року визначався за датою надходження коштів на банківський рахунок або в касу платника податку, і станом на 1 січня 2015 року у платника податку була наявна дебіторська заборгованість за такими операціями, при розрахунку об’єкта оподаткування сума коштів, що надійшла на банківський рахунок або в касу платника податку після 1 січня 2015 року, збільшує фінансовий результат до оподаткування.</w:t>
      </w:r>
    </w:p>
    <w:p w14:paraId="4D5DC4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0" w:name="n12186"/>
      <w:bookmarkEnd w:id="10340"/>
      <w:r w:rsidRPr="008B264B">
        <w:rPr>
          <w:rFonts w:ascii="Times New Roman" w:eastAsia="Times New Roman" w:hAnsi="Times New Roman" w:cs="Times New Roman"/>
          <w:color w:val="000000"/>
          <w:sz w:val="24"/>
          <w:szCs w:val="24"/>
          <w:lang/>
        </w:rPr>
        <w:t>За операціями, по яких витрати для цілей оподаткування податком на прибуток до 1 січня 2015 року визначалися за датою перерахування коштів на банківський рахунок або в касу контрагента платника податку, і станом на 1 січня у платника податку була наявна кредиторська заборгованість за такими операціями, при розрахунку об’єкта оподаткування сума коштів, що була перерахована на банківський рахунок або в касу контрагента платника податку після 1 січня 2015 року, зменшує фінансовий результат до оподаткування.</w:t>
      </w:r>
    </w:p>
    <w:p w14:paraId="213FBD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1" w:name="n12185"/>
      <w:bookmarkEnd w:id="10341"/>
      <w:r w:rsidRPr="008B264B">
        <w:rPr>
          <w:rFonts w:ascii="Times New Roman" w:eastAsia="Times New Roman" w:hAnsi="Times New Roman" w:cs="Times New Roman"/>
          <w:i/>
          <w:iCs/>
          <w:color w:val="000000"/>
          <w:sz w:val="24"/>
          <w:szCs w:val="24"/>
          <w:lang/>
        </w:rPr>
        <w:t>{Пункт 18 підрозділу 4 розділу XX в редакції Закону </w:t>
      </w:r>
      <w:hyperlink r:id="rId5796"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562F0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2" w:name="n8332"/>
      <w:bookmarkEnd w:id="10342"/>
      <w:r w:rsidRPr="008B264B">
        <w:rPr>
          <w:rFonts w:ascii="Times New Roman" w:eastAsia="Times New Roman" w:hAnsi="Times New Roman" w:cs="Times New Roman"/>
          <w:color w:val="000000"/>
          <w:sz w:val="24"/>
          <w:szCs w:val="24"/>
          <w:lang/>
        </w:rPr>
        <w:lastRenderedPageBreak/>
        <w:t>19. Сума амортизації, нарахована в бухгалтерському обліку на необоротні активи, що залишилися не введеними в експлуатацію станом на 1 січня 2015 року, вартість яких в бухгалтерському обліку збільшена на суму витрат, що враховані при визначенні об’єкта оподаткування з податку на прибуток відповідно до підпункту "з" підпункту 138.8.5 пункту 138.8 статті 138 розділу III цього Кодексу у редакції, що діяла до 1 січня 2015 року, збільшує фінансовий результат до оподаткування після 1 січня 2015 року.</w:t>
      </w:r>
    </w:p>
    <w:p w14:paraId="5FAF0B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3" w:name="n12188"/>
      <w:bookmarkEnd w:id="10343"/>
      <w:r w:rsidRPr="008B264B">
        <w:rPr>
          <w:rFonts w:ascii="Times New Roman" w:eastAsia="Times New Roman" w:hAnsi="Times New Roman" w:cs="Times New Roman"/>
          <w:color w:val="000000"/>
          <w:sz w:val="24"/>
          <w:szCs w:val="24"/>
          <w:lang/>
        </w:rPr>
        <w:t>Сума визнаних втрат від зменшення корисності тих необоротних активів, що залишилися не введеними в експлуатацію станом на 1 січня 2015 року, вартість яких в бухгалтерському обліку збільшена на суму витрат, що враховані при визначенні об’єкта оподаткування з податку на прибуток відповідно до підпункту "з" підпункту 138.8.5 пункту 138.8 статті 138 розділу III цього Кодексу у редакції, що діяла до 1 січня 2015 року, збільшує фінансовий результат до оподаткування після 1 січня 2015 року.</w:t>
      </w:r>
    </w:p>
    <w:p w14:paraId="594F54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4" w:name="n12189"/>
      <w:bookmarkEnd w:id="10344"/>
      <w:r w:rsidRPr="008B264B">
        <w:rPr>
          <w:rFonts w:ascii="Times New Roman" w:eastAsia="Times New Roman" w:hAnsi="Times New Roman" w:cs="Times New Roman"/>
          <w:color w:val="000000"/>
          <w:sz w:val="24"/>
          <w:szCs w:val="24"/>
          <w:lang/>
        </w:rPr>
        <w:t>Сума витрат з розвідки/дорозвідки та облаштування нафтових та газових родовищ, які визнані в бухгалтерському обліку витратами звітного періоду у зв’язку з технічною неможливістю та/або економічною недоцільністю подальшого видобутку корисних копалин, та були враховані при визначенні об’єкта оподаткування з податку на прибуток відповідно до підпункту "з" підпункту 138.8.5 пункту 138.8 статті 138 розділу III цього Кодексу у редакції, що діяла до 1 січня 2015 року, збільшує фінансовий результат до оподаткування після 1 січня 2015 року.</w:t>
      </w:r>
    </w:p>
    <w:p w14:paraId="5375A3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5" w:name="n12187"/>
      <w:bookmarkEnd w:id="10345"/>
      <w:r w:rsidRPr="008B264B">
        <w:rPr>
          <w:rFonts w:ascii="Times New Roman" w:eastAsia="Times New Roman" w:hAnsi="Times New Roman" w:cs="Times New Roman"/>
          <w:i/>
          <w:iCs/>
          <w:color w:val="000000"/>
          <w:sz w:val="24"/>
          <w:szCs w:val="24"/>
          <w:lang/>
        </w:rPr>
        <w:t>{Пункт 19 підрозділу 4 розділу XX в редакції Закону </w:t>
      </w:r>
      <w:hyperlink r:id="rId5797"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2FEF9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6" w:name="n8333"/>
      <w:bookmarkEnd w:id="10346"/>
      <w:r w:rsidRPr="008B264B">
        <w:rPr>
          <w:rFonts w:ascii="Times New Roman" w:eastAsia="Times New Roman" w:hAnsi="Times New Roman" w:cs="Times New Roman"/>
          <w:color w:val="000000"/>
          <w:sz w:val="24"/>
          <w:szCs w:val="24"/>
          <w:lang/>
        </w:rPr>
        <w:t>20. Витрати на сплату процентів, які відповідали вимогам </w:t>
      </w:r>
      <w:hyperlink r:id="rId5798" w:anchor="n10753" w:history="1">
        <w:r w:rsidRPr="008B264B">
          <w:rPr>
            <w:rFonts w:ascii="Times New Roman" w:eastAsia="Times New Roman" w:hAnsi="Times New Roman" w:cs="Times New Roman"/>
            <w:color w:val="0000FF"/>
            <w:sz w:val="24"/>
            <w:szCs w:val="24"/>
            <w:u w:val="single"/>
            <w:lang/>
          </w:rPr>
          <w:t>пункту 141.1</w:t>
        </w:r>
      </w:hyperlink>
      <w:r w:rsidRPr="008B264B">
        <w:rPr>
          <w:rFonts w:ascii="Times New Roman" w:eastAsia="Times New Roman" w:hAnsi="Times New Roman" w:cs="Times New Roman"/>
          <w:color w:val="000000"/>
          <w:sz w:val="24"/>
          <w:szCs w:val="24"/>
          <w:lang/>
        </w:rPr>
        <w:t> статті 141 розділу III цього Кодексу у редакції, що діяла до 1 січня 2015 року, але не віднесені до складу витрат виробництва (обігу) згідно з положеннями </w:t>
      </w:r>
      <w:hyperlink r:id="rId5799" w:anchor="n10764" w:history="1">
        <w:r w:rsidRPr="008B264B">
          <w:rPr>
            <w:rFonts w:ascii="Times New Roman" w:eastAsia="Times New Roman" w:hAnsi="Times New Roman" w:cs="Times New Roman"/>
            <w:color w:val="0000FF"/>
            <w:sz w:val="24"/>
            <w:szCs w:val="24"/>
            <w:u w:val="single"/>
            <w:lang/>
          </w:rPr>
          <w:t>пункту 141.2</w:t>
        </w:r>
      </w:hyperlink>
      <w:r w:rsidRPr="008B264B">
        <w:rPr>
          <w:rFonts w:ascii="Times New Roman" w:eastAsia="Times New Roman" w:hAnsi="Times New Roman" w:cs="Times New Roman"/>
          <w:color w:val="000000"/>
          <w:sz w:val="24"/>
          <w:szCs w:val="24"/>
          <w:lang/>
        </w:rPr>
        <w:t> статті 141 розділу III цього Кодексу у редакції, що діяла до 1 січня 2015 року, підлягають врахуванню при визначенні фінансового результату до оподаткування майбутніх звітних податкових періодів з 1 січня 2015 року з урахуванням обмеження, передбаченого </w:t>
      </w:r>
      <w:hyperlink r:id="rId5800" w:anchor="n10718" w:history="1">
        <w:r w:rsidRPr="008B264B">
          <w:rPr>
            <w:rFonts w:ascii="Times New Roman" w:eastAsia="Times New Roman" w:hAnsi="Times New Roman" w:cs="Times New Roman"/>
            <w:color w:val="0000FF"/>
            <w:sz w:val="24"/>
            <w:szCs w:val="24"/>
            <w:u w:val="single"/>
            <w:lang/>
          </w:rPr>
          <w:t>пунктом 140.3</w:t>
        </w:r>
      </w:hyperlink>
      <w:r w:rsidRPr="008B264B">
        <w:rPr>
          <w:rFonts w:ascii="Times New Roman" w:eastAsia="Times New Roman" w:hAnsi="Times New Roman" w:cs="Times New Roman"/>
          <w:color w:val="000000"/>
          <w:sz w:val="24"/>
          <w:szCs w:val="24"/>
          <w:lang/>
        </w:rPr>
        <w:t> статті 140 розділу III цього Кодексу.</w:t>
      </w:r>
    </w:p>
    <w:p w14:paraId="6ABF5A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7" w:name="n12190"/>
      <w:bookmarkEnd w:id="10347"/>
      <w:r w:rsidRPr="008B264B">
        <w:rPr>
          <w:rFonts w:ascii="Times New Roman" w:eastAsia="Times New Roman" w:hAnsi="Times New Roman" w:cs="Times New Roman"/>
          <w:i/>
          <w:iCs/>
          <w:color w:val="000000"/>
          <w:sz w:val="24"/>
          <w:szCs w:val="24"/>
          <w:lang/>
        </w:rPr>
        <w:t>{Пункт 20 підрозділу 4 розділу XX із змінами, внесеними згідно із Законом </w:t>
      </w:r>
      <w:hyperlink r:id="rId5801"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5802"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9F5D8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8" w:name="n8337"/>
      <w:bookmarkEnd w:id="10348"/>
      <w:r w:rsidRPr="008B264B">
        <w:rPr>
          <w:rFonts w:ascii="Times New Roman" w:eastAsia="Times New Roman" w:hAnsi="Times New Roman" w:cs="Times New Roman"/>
          <w:color w:val="000000"/>
          <w:sz w:val="24"/>
          <w:szCs w:val="24"/>
          <w:lang/>
        </w:rPr>
        <w:t>21. Станом на 1 січня 2015 року банк зобов’язаний здійснити перерахунок резерву у зв’язку із знеціненням (зменшенням корисності) активів.</w:t>
      </w:r>
    </w:p>
    <w:p w14:paraId="77727C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49" w:name="n12191"/>
      <w:bookmarkEnd w:id="10349"/>
      <w:r w:rsidRPr="008B264B">
        <w:rPr>
          <w:rFonts w:ascii="Times New Roman" w:eastAsia="Times New Roman" w:hAnsi="Times New Roman" w:cs="Times New Roman"/>
          <w:color w:val="000000"/>
          <w:sz w:val="24"/>
          <w:szCs w:val="24"/>
          <w:lang/>
        </w:rPr>
        <w:t>Резерв, сформований банком у зв’язку із зменшенням корисності активів згідно з вимогами міжнародних стандартів фінансової звітності станом на кінець 2014 року, у сумі, що не перевищує ліміт у розмірі 30 відсотків вартості, яка розраховується як сукупна балансова вартість активів, знецінення яких визнається шляхом формування резерву, збільшена на суму резерву за такими активами, згідно з даними фінансової звітності за 2014 рік, вважається резервом на 1 січня 2015 року, визнаним для оподаткування. Сума перевищення резерву над таким лімітом не змінює об’єкт оподаткування поточного або попередніх податкових (звітних) періодів, у тому числі не збільшує та не зменшує фінансовий результат до оподаткування, та вважається перевищенням резерву, що виникло у попередніх звітних (податкових) періодах.</w:t>
      </w:r>
    </w:p>
    <w:p w14:paraId="7E1972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0" w:name="n12192"/>
      <w:bookmarkEnd w:id="10350"/>
      <w:r w:rsidRPr="008B264B">
        <w:rPr>
          <w:rFonts w:ascii="Times New Roman" w:eastAsia="Times New Roman" w:hAnsi="Times New Roman" w:cs="Times New Roman"/>
          <w:color w:val="000000"/>
          <w:sz w:val="24"/>
          <w:szCs w:val="24"/>
          <w:lang/>
        </w:rPr>
        <w:t>Позитивна (від’ємна) різниця між резервом, розрахованим відповідно до розділу III цього Кодексу на кінець 2014 року, та резервом на 1 січня 2015 року, визнаним для оподаткування згідно з цим пунктом, збільшує (зменшує) фінансовий результат до оподаткування рівними частками протягом трьох років.</w:t>
      </w:r>
    </w:p>
    <w:p w14:paraId="314198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1" w:name="n12193"/>
      <w:bookmarkEnd w:id="10351"/>
      <w:r w:rsidRPr="008B264B">
        <w:rPr>
          <w:rFonts w:ascii="Times New Roman" w:eastAsia="Times New Roman" w:hAnsi="Times New Roman" w:cs="Times New Roman"/>
          <w:color w:val="000000"/>
          <w:sz w:val="24"/>
          <w:szCs w:val="24"/>
          <w:lang/>
        </w:rPr>
        <w:t>У розрахунок різниць згідно з </w:t>
      </w:r>
      <w:hyperlink r:id="rId5803" w:anchor="n10712" w:history="1">
        <w:r w:rsidRPr="008B264B">
          <w:rPr>
            <w:rFonts w:ascii="Times New Roman" w:eastAsia="Times New Roman" w:hAnsi="Times New Roman" w:cs="Times New Roman"/>
            <w:color w:val="0000FF"/>
            <w:sz w:val="24"/>
            <w:szCs w:val="24"/>
            <w:u w:val="single"/>
            <w:lang/>
          </w:rPr>
          <w:t>підпунктом 139.3.5</w:t>
        </w:r>
      </w:hyperlink>
      <w:r w:rsidRPr="008B264B">
        <w:rPr>
          <w:rFonts w:ascii="Times New Roman" w:eastAsia="Times New Roman" w:hAnsi="Times New Roman" w:cs="Times New Roman"/>
          <w:color w:val="000000"/>
          <w:sz w:val="24"/>
          <w:szCs w:val="24"/>
          <w:lang/>
        </w:rPr>
        <w:t> пункту 139.3 статті 139 розділу III цього Кодексу не враховуються суми фактичної оплати банком наданих фінансових гарантій за рахунок резерву, включеного до витрат згідно з цим Кодексом до 1 січня 2015 року.</w:t>
      </w:r>
    </w:p>
    <w:p w14:paraId="3C7ECC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2" w:name="n8344"/>
      <w:bookmarkEnd w:id="10352"/>
      <w:r w:rsidRPr="008B264B">
        <w:rPr>
          <w:rFonts w:ascii="Times New Roman" w:eastAsia="Times New Roman" w:hAnsi="Times New Roman" w:cs="Times New Roman"/>
          <w:i/>
          <w:iCs/>
          <w:color w:val="000000"/>
          <w:sz w:val="24"/>
          <w:szCs w:val="24"/>
          <w:lang/>
        </w:rPr>
        <w:t>{Пункт 21 підрозділу 4 розділу ХХ в редакції Законів </w:t>
      </w:r>
      <w:hyperlink r:id="rId5804" w:anchor="n8" w:tgtFrame="_blank" w:history="1">
        <w:r w:rsidRPr="008B264B">
          <w:rPr>
            <w:rFonts w:ascii="Times New Roman" w:eastAsia="Times New Roman" w:hAnsi="Times New Roman" w:cs="Times New Roman"/>
            <w:i/>
            <w:iCs/>
            <w:color w:val="0000FF"/>
            <w:sz w:val="24"/>
            <w:szCs w:val="24"/>
            <w:u w:val="single"/>
            <w:lang/>
          </w:rPr>
          <w:t>№ 4453-VI від 23.02.2012</w:t>
        </w:r>
      </w:hyperlink>
      <w:r w:rsidRPr="008B264B">
        <w:rPr>
          <w:rFonts w:ascii="Times New Roman" w:eastAsia="Times New Roman" w:hAnsi="Times New Roman" w:cs="Times New Roman"/>
          <w:i/>
          <w:iCs/>
          <w:color w:val="000000"/>
          <w:sz w:val="24"/>
          <w:szCs w:val="24"/>
          <w:lang/>
        </w:rPr>
        <w:t>, </w:t>
      </w:r>
      <w:hyperlink r:id="rId5805"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77544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3" w:name="n8345"/>
      <w:bookmarkEnd w:id="10353"/>
      <w:r w:rsidRPr="008B264B">
        <w:rPr>
          <w:rFonts w:ascii="Times New Roman" w:eastAsia="Times New Roman" w:hAnsi="Times New Roman" w:cs="Times New Roman"/>
          <w:color w:val="000000"/>
          <w:sz w:val="24"/>
          <w:szCs w:val="24"/>
          <w:lang/>
        </w:rPr>
        <w:lastRenderedPageBreak/>
        <w:t>22. Норма </w:t>
      </w:r>
      <w:hyperlink r:id="rId5806" w:anchor="n1371" w:history="1">
        <w:r w:rsidRPr="008B264B">
          <w:rPr>
            <w:rFonts w:ascii="Times New Roman" w:eastAsia="Times New Roman" w:hAnsi="Times New Roman" w:cs="Times New Roman"/>
            <w:color w:val="0000FF"/>
            <w:sz w:val="24"/>
            <w:szCs w:val="24"/>
            <w:u w:val="single"/>
            <w:lang/>
          </w:rPr>
          <w:t>пункту 57.1</w:t>
        </w:r>
      </w:hyperlink>
      <w:r w:rsidRPr="008B264B">
        <w:rPr>
          <w:rFonts w:ascii="Times New Roman" w:eastAsia="Times New Roman" w:hAnsi="Times New Roman" w:cs="Times New Roman"/>
          <w:color w:val="000000"/>
          <w:sz w:val="24"/>
          <w:szCs w:val="24"/>
          <w:lang/>
        </w:rPr>
        <w:t> статті 57 у редакції, викладеній в Законі України "Про внесення змін до Податкового кодексу України та деяких законодавчих актів України щодо податкової реформи", в частині граничного терміну подання декларації з податку на прибуток підприємств застосовується, починаючи із подання декларації з цього податку за звітний рік, в якому набирає чинності редакція розділу III Кодексу, викладена в Законі України "Про внесення змін до Податкового кодексу України та деяких законодавчих України щодо податкової реформи.</w:t>
      </w:r>
    </w:p>
    <w:p w14:paraId="18D645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4" w:name="n8352"/>
      <w:bookmarkEnd w:id="10354"/>
      <w:r w:rsidRPr="008B264B">
        <w:rPr>
          <w:rFonts w:ascii="Times New Roman" w:eastAsia="Times New Roman" w:hAnsi="Times New Roman" w:cs="Times New Roman"/>
          <w:i/>
          <w:iCs/>
          <w:color w:val="000000"/>
          <w:sz w:val="24"/>
          <w:szCs w:val="24"/>
          <w:lang/>
        </w:rPr>
        <w:t>{Підрозділ 4 розділу XX доповнено пунктом 22 згідно із Законом </w:t>
      </w:r>
      <w:hyperlink r:id="rId5807" w:tgtFrame="_blank" w:history="1">
        <w:r w:rsidRPr="008B264B">
          <w:rPr>
            <w:rFonts w:ascii="Times New Roman" w:eastAsia="Times New Roman" w:hAnsi="Times New Roman" w:cs="Times New Roman"/>
            <w:i/>
            <w:iCs/>
            <w:color w:val="0000FF"/>
            <w:sz w:val="24"/>
            <w:szCs w:val="24"/>
            <w:u w:val="single"/>
            <w:lang/>
          </w:rPr>
          <w:t>№ 3292-VI від 21.04.2011</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808" w:tgtFrame="_blank" w:history="1">
        <w:r w:rsidRPr="008B264B">
          <w:rPr>
            <w:rFonts w:ascii="Times New Roman" w:eastAsia="Times New Roman" w:hAnsi="Times New Roman" w:cs="Times New Roman"/>
            <w:i/>
            <w:iCs/>
            <w:color w:val="0000FF"/>
            <w:sz w:val="24"/>
            <w:szCs w:val="24"/>
            <w:u w:val="single"/>
            <w:lang/>
          </w:rPr>
          <w:t>№ 3675-VI від 08.07.2011</w:t>
        </w:r>
      </w:hyperlink>
      <w:r w:rsidRPr="008B264B">
        <w:rPr>
          <w:rFonts w:ascii="Times New Roman" w:eastAsia="Times New Roman" w:hAnsi="Times New Roman" w:cs="Times New Roman"/>
          <w:i/>
          <w:iCs/>
          <w:color w:val="000000"/>
          <w:sz w:val="24"/>
          <w:szCs w:val="24"/>
          <w:lang/>
        </w:rPr>
        <w:t>; в редакції Закону </w:t>
      </w:r>
      <w:hyperlink r:id="rId5809"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F26D3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5" w:name="n8353"/>
      <w:bookmarkEnd w:id="10355"/>
      <w:r w:rsidRPr="008B264B">
        <w:rPr>
          <w:rFonts w:ascii="Times New Roman" w:eastAsia="Times New Roman" w:hAnsi="Times New Roman" w:cs="Times New Roman"/>
          <w:color w:val="000000"/>
          <w:sz w:val="24"/>
          <w:szCs w:val="24"/>
          <w:lang/>
        </w:rPr>
        <w:t>23. Норми </w:t>
      </w:r>
      <w:hyperlink r:id="rId5810" w:anchor="n2527" w:history="1">
        <w:r w:rsidRPr="008B264B">
          <w:rPr>
            <w:rFonts w:ascii="Times New Roman" w:eastAsia="Times New Roman" w:hAnsi="Times New Roman" w:cs="Times New Roman"/>
            <w:color w:val="0000FF"/>
            <w:sz w:val="24"/>
            <w:szCs w:val="24"/>
            <w:u w:val="single"/>
            <w:lang/>
          </w:rPr>
          <w:t>статей 135</w:t>
        </w:r>
      </w:hyperlink>
      <w:r w:rsidRPr="008B264B">
        <w:rPr>
          <w:rFonts w:ascii="Times New Roman" w:eastAsia="Times New Roman" w:hAnsi="Times New Roman" w:cs="Times New Roman"/>
          <w:color w:val="000000"/>
          <w:sz w:val="24"/>
          <w:szCs w:val="24"/>
          <w:lang/>
        </w:rPr>
        <w:t>, </w:t>
      </w:r>
      <w:hyperlink r:id="rId5811" w:anchor="n3482" w:history="1">
        <w:r w:rsidRPr="008B264B">
          <w:rPr>
            <w:rFonts w:ascii="Times New Roman" w:eastAsia="Times New Roman" w:hAnsi="Times New Roman" w:cs="Times New Roman"/>
            <w:color w:val="0000FF"/>
            <w:sz w:val="24"/>
            <w:szCs w:val="24"/>
            <w:u w:val="single"/>
            <w:lang/>
          </w:rPr>
          <w:t>159</w:t>
        </w:r>
      </w:hyperlink>
      <w:r w:rsidRPr="008B264B">
        <w:rPr>
          <w:rFonts w:ascii="Times New Roman" w:eastAsia="Times New Roman" w:hAnsi="Times New Roman" w:cs="Times New Roman"/>
          <w:color w:val="000000"/>
          <w:sz w:val="24"/>
          <w:szCs w:val="24"/>
          <w:lang/>
        </w:rPr>
        <w:t>, </w:t>
      </w:r>
      <w:hyperlink r:id="rId5812" w:anchor="n4621" w:history="1">
        <w:r w:rsidRPr="008B264B">
          <w:rPr>
            <w:rFonts w:ascii="Times New Roman" w:eastAsia="Times New Roman" w:hAnsi="Times New Roman" w:cs="Times New Roman"/>
            <w:color w:val="0000FF"/>
            <w:sz w:val="24"/>
            <w:szCs w:val="24"/>
            <w:u w:val="single"/>
            <w:lang/>
          </w:rPr>
          <w:t>192</w:t>
        </w:r>
      </w:hyperlink>
      <w:r w:rsidRPr="008B264B">
        <w:rPr>
          <w:rFonts w:ascii="Times New Roman" w:eastAsia="Times New Roman" w:hAnsi="Times New Roman" w:cs="Times New Roman"/>
          <w:color w:val="000000"/>
          <w:sz w:val="24"/>
          <w:szCs w:val="24"/>
          <w:lang/>
        </w:rPr>
        <w:t> та </w:t>
      </w:r>
      <w:hyperlink r:id="rId5813" w:anchor="n8251" w:history="1">
        <w:r w:rsidRPr="008B264B">
          <w:rPr>
            <w:rFonts w:ascii="Times New Roman" w:eastAsia="Times New Roman" w:hAnsi="Times New Roman" w:cs="Times New Roman"/>
            <w:color w:val="0000FF"/>
            <w:sz w:val="24"/>
            <w:szCs w:val="24"/>
            <w:u w:val="single"/>
            <w:lang/>
          </w:rPr>
          <w:t>пункту 5 підрозділу 4 розділу XX</w:t>
        </w:r>
      </w:hyperlink>
      <w:r w:rsidRPr="008B264B">
        <w:rPr>
          <w:rFonts w:ascii="Times New Roman" w:eastAsia="Times New Roman" w:hAnsi="Times New Roman" w:cs="Times New Roman"/>
          <w:color w:val="000000"/>
          <w:sz w:val="24"/>
          <w:szCs w:val="24"/>
          <w:lang/>
        </w:rPr>
        <w:t> Податкового кодексу України не поширюються на заборгованість, до якої застосовується механізм списання на умовах, визначених </w:t>
      </w:r>
      <w:hyperlink r:id="rId5814" w:tgtFrame="_blank" w:history="1">
        <w:r w:rsidRPr="008B264B">
          <w:rPr>
            <w:rFonts w:ascii="Times New Roman" w:eastAsia="Times New Roman" w:hAnsi="Times New Roman" w:cs="Times New Roman"/>
            <w:color w:val="0000FF"/>
            <w:sz w:val="24"/>
            <w:szCs w:val="24"/>
            <w:u w:val="single"/>
            <w:lang/>
          </w:rPr>
          <w:t>Законом України "Про деякі питання заборгованості за спожитий природний газ та електричну енергію"</w:t>
        </w:r>
      </w:hyperlink>
      <w:r w:rsidRPr="008B264B">
        <w:rPr>
          <w:rFonts w:ascii="Times New Roman" w:eastAsia="Times New Roman" w:hAnsi="Times New Roman" w:cs="Times New Roman"/>
          <w:color w:val="000000"/>
          <w:sz w:val="24"/>
          <w:szCs w:val="24"/>
          <w:lang/>
        </w:rPr>
        <w:t>.</w:t>
      </w:r>
    </w:p>
    <w:p w14:paraId="3F96B2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6" w:name="n8354"/>
      <w:bookmarkEnd w:id="10356"/>
      <w:r w:rsidRPr="008B264B">
        <w:rPr>
          <w:rFonts w:ascii="Times New Roman" w:eastAsia="Times New Roman" w:hAnsi="Times New Roman" w:cs="Times New Roman"/>
          <w:i/>
          <w:iCs/>
          <w:color w:val="000000"/>
          <w:sz w:val="24"/>
          <w:szCs w:val="24"/>
          <w:lang/>
        </w:rPr>
        <w:t>{Підрозділ 4 розділу XX доповнено пунктом згідно із Законом </w:t>
      </w:r>
      <w:hyperlink r:id="rId5815" w:tgtFrame="_blank" w:history="1">
        <w:r w:rsidRPr="008B264B">
          <w:rPr>
            <w:rFonts w:ascii="Times New Roman" w:eastAsia="Times New Roman" w:hAnsi="Times New Roman" w:cs="Times New Roman"/>
            <w:i/>
            <w:iCs/>
            <w:color w:val="0000FF"/>
            <w:sz w:val="24"/>
            <w:szCs w:val="24"/>
            <w:u w:val="single"/>
            <w:lang/>
          </w:rPr>
          <w:t>№ 3320-VI від 12.05.2011</w:t>
        </w:r>
      </w:hyperlink>
      <w:r w:rsidRPr="008B264B">
        <w:rPr>
          <w:rFonts w:ascii="Times New Roman" w:eastAsia="Times New Roman" w:hAnsi="Times New Roman" w:cs="Times New Roman"/>
          <w:i/>
          <w:iCs/>
          <w:color w:val="000000"/>
          <w:sz w:val="24"/>
          <w:szCs w:val="24"/>
          <w:lang/>
        </w:rPr>
        <w:t> - зміна діє до 30 червня 2012 року; із змінами, внесеними згідно із Законом </w:t>
      </w:r>
      <w:hyperlink r:id="rId581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134466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7" w:name="n8355"/>
      <w:bookmarkEnd w:id="10357"/>
      <w:r w:rsidRPr="008B264B">
        <w:rPr>
          <w:rFonts w:ascii="Times New Roman" w:eastAsia="Times New Roman" w:hAnsi="Times New Roman" w:cs="Times New Roman"/>
          <w:color w:val="000000"/>
          <w:sz w:val="24"/>
          <w:szCs w:val="24"/>
          <w:lang/>
        </w:rPr>
        <w:t>24. До складу витрат включаються витрати на оплату відпусток працівникам та інші виплати, пов’язані з оплатою праці, які відшкодовані після 1 січня 2015 року за рахунок резервів та забезпечень, сформованих до 1 січня 2015 року відповідно до національних положень (стандартів) бухгалтерського обліку або міжнародних стандартів фінансової звітності, у випадку, якщо такі витрати не були враховані при визначенні об’єкта оподаткування до 1 січня 2015 року.</w:t>
      </w:r>
    </w:p>
    <w:p w14:paraId="422223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8" w:name="n8356"/>
      <w:bookmarkEnd w:id="10358"/>
      <w:r w:rsidRPr="008B264B">
        <w:rPr>
          <w:rFonts w:ascii="Times New Roman" w:eastAsia="Times New Roman" w:hAnsi="Times New Roman" w:cs="Times New Roman"/>
          <w:i/>
          <w:iCs/>
          <w:color w:val="000000"/>
          <w:sz w:val="24"/>
          <w:szCs w:val="24"/>
          <w:lang/>
        </w:rPr>
        <w:t>{Підрозділ 4 розділу XX доповнено пунктом 24 згідно із Законом </w:t>
      </w:r>
      <w:hyperlink r:id="rId581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в редакції Закону </w:t>
      </w:r>
      <w:hyperlink r:id="rId5818" w:anchor="n173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2A882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59" w:name="n8357"/>
      <w:bookmarkEnd w:id="10359"/>
      <w:r w:rsidRPr="008B264B">
        <w:rPr>
          <w:rFonts w:ascii="Times New Roman" w:eastAsia="Times New Roman" w:hAnsi="Times New Roman" w:cs="Times New Roman"/>
          <w:color w:val="000000"/>
          <w:sz w:val="24"/>
          <w:szCs w:val="24"/>
          <w:lang/>
        </w:rPr>
        <w:t>25. Витрати на сплату процентів, які відповідали вимогам підпункту 5.5.1 пункту 5.5 </w:t>
      </w:r>
      <w:hyperlink r:id="rId5819" w:tgtFrame="_blank" w:history="1">
        <w:r w:rsidRPr="008B264B">
          <w:rPr>
            <w:rFonts w:ascii="Times New Roman" w:eastAsia="Times New Roman" w:hAnsi="Times New Roman" w:cs="Times New Roman"/>
            <w:color w:val="0000FF"/>
            <w:sz w:val="24"/>
            <w:szCs w:val="24"/>
            <w:u w:val="single"/>
            <w:lang/>
          </w:rPr>
          <w:t>Закону України "Про оподаткування прибутку підприємств"</w:t>
        </w:r>
      </w:hyperlink>
      <w:r w:rsidRPr="008B264B">
        <w:rPr>
          <w:rFonts w:ascii="Times New Roman" w:eastAsia="Times New Roman" w:hAnsi="Times New Roman" w:cs="Times New Roman"/>
          <w:color w:val="000000"/>
          <w:sz w:val="24"/>
          <w:szCs w:val="24"/>
          <w:lang/>
        </w:rPr>
        <w:t>, але не віднесені до складу витрат виробництва (обігу) згідно з положеннями підпункту 5.5.2 цього пункту до дати набрання чинності </w:t>
      </w:r>
      <w:hyperlink r:id="rId5820"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підлягають перенесенню на результати майбутніх податкових періодів із урахуванням обмежень, передбачених </w:t>
      </w:r>
      <w:hyperlink r:id="rId5821" w:anchor="n2896" w:history="1">
        <w:r w:rsidRPr="008B264B">
          <w:rPr>
            <w:rFonts w:ascii="Times New Roman" w:eastAsia="Times New Roman" w:hAnsi="Times New Roman" w:cs="Times New Roman"/>
            <w:color w:val="0000FF"/>
            <w:sz w:val="24"/>
            <w:szCs w:val="24"/>
            <w:u w:val="single"/>
            <w:lang/>
          </w:rPr>
          <w:t>статтею 141</w:t>
        </w:r>
      </w:hyperlink>
      <w:r w:rsidRPr="008B264B">
        <w:rPr>
          <w:rFonts w:ascii="Times New Roman" w:eastAsia="Times New Roman" w:hAnsi="Times New Roman" w:cs="Times New Roman"/>
          <w:color w:val="000000"/>
          <w:sz w:val="24"/>
          <w:szCs w:val="24"/>
          <w:lang/>
        </w:rPr>
        <w:t> цього Кодексу.</w:t>
      </w:r>
    </w:p>
    <w:p w14:paraId="0590C5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0" w:name="n8358"/>
      <w:bookmarkEnd w:id="10360"/>
      <w:r w:rsidRPr="008B264B">
        <w:rPr>
          <w:rFonts w:ascii="Times New Roman" w:eastAsia="Times New Roman" w:hAnsi="Times New Roman" w:cs="Times New Roman"/>
          <w:color w:val="000000"/>
          <w:sz w:val="24"/>
          <w:szCs w:val="24"/>
          <w:lang/>
        </w:rPr>
        <w:t>Сума перевищення авансового внеску з податку на прибуток підприємств, попередньо сплаченого платником до дати набрання чинності розділом III цього Кодексу у зв'язку із нарахуванням дивідендів згідно з підпунктом 7.8.2 пункту 7.8 </w:t>
      </w:r>
      <w:hyperlink r:id="rId5822" w:tgtFrame="_blank" w:history="1">
        <w:r w:rsidRPr="008B264B">
          <w:rPr>
            <w:rFonts w:ascii="Times New Roman" w:eastAsia="Times New Roman" w:hAnsi="Times New Roman" w:cs="Times New Roman"/>
            <w:color w:val="0000FF"/>
            <w:sz w:val="24"/>
            <w:szCs w:val="24"/>
            <w:u w:val="single"/>
            <w:lang/>
          </w:rPr>
          <w:t>Закону України "Про оподаткування прибутку підприємств"</w:t>
        </w:r>
      </w:hyperlink>
      <w:r w:rsidRPr="008B264B">
        <w:rPr>
          <w:rFonts w:ascii="Times New Roman" w:eastAsia="Times New Roman" w:hAnsi="Times New Roman" w:cs="Times New Roman"/>
          <w:color w:val="000000"/>
          <w:sz w:val="24"/>
          <w:szCs w:val="24"/>
          <w:lang/>
        </w:rPr>
        <w:t>, над сумою податкових зобов'язань з цього податку такого платника, що утворилася станом на дату набрання чинності розділом III цього Кодексу, враховується в майбутніх податкових періодах відповідно до </w:t>
      </w:r>
      <w:hyperlink r:id="rId5823" w:anchor="n3140" w:history="1">
        <w:r w:rsidRPr="008B264B">
          <w:rPr>
            <w:rFonts w:ascii="Times New Roman" w:eastAsia="Times New Roman" w:hAnsi="Times New Roman" w:cs="Times New Roman"/>
            <w:color w:val="0000FF"/>
            <w:sz w:val="24"/>
            <w:szCs w:val="24"/>
            <w:u w:val="single"/>
            <w:lang/>
          </w:rPr>
          <w:t>пункту 153.3</w:t>
        </w:r>
      </w:hyperlink>
      <w:r w:rsidRPr="008B264B">
        <w:rPr>
          <w:rFonts w:ascii="Times New Roman" w:eastAsia="Times New Roman" w:hAnsi="Times New Roman" w:cs="Times New Roman"/>
          <w:color w:val="000000"/>
          <w:sz w:val="24"/>
          <w:szCs w:val="24"/>
          <w:lang/>
        </w:rPr>
        <w:t> статті 153 цього Кодексу.</w:t>
      </w:r>
    </w:p>
    <w:p w14:paraId="1E00DD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1" w:name="n8359"/>
      <w:bookmarkEnd w:id="10361"/>
      <w:r w:rsidRPr="008B264B">
        <w:rPr>
          <w:rFonts w:ascii="Times New Roman" w:eastAsia="Times New Roman" w:hAnsi="Times New Roman" w:cs="Times New Roman"/>
          <w:i/>
          <w:iCs/>
          <w:color w:val="000000"/>
          <w:sz w:val="24"/>
          <w:szCs w:val="24"/>
          <w:lang/>
        </w:rPr>
        <w:t>{Підрозділ 4 розділу XX доповнено пунктом 25 згідно із Законом </w:t>
      </w:r>
      <w:hyperlink r:id="rId5824"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22433E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2" w:name="n8360"/>
      <w:bookmarkEnd w:id="10362"/>
      <w:r w:rsidRPr="008B264B">
        <w:rPr>
          <w:rFonts w:ascii="Times New Roman" w:eastAsia="Times New Roman" w:hAnsi="Times New Roman" w:cs="Times New Roman"/>
          <w:color w:val="000000"/>
          <w:sz w:val="24"/>
          <w:szCs w:val="24"/>
          <w:lang/>
        </w:rPr>
        <w:t>26. Балансова вартість товарів (крім тих, що підлягають амортизації, та цінних паперів), сировини, матеріалів, комплектуючих виробів, напівфабрикатів, малоцінних предметів (далі - запасів) на складах, у незавершеному виробництві та залишках готової продукції станом на кінець звітного податкового періоду, що передував даті набрання чинності </w:t>
      </w:r>
      <w:hyperlink r:id="rId5825"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 визнається витратами в порядку, передбаченому розділом III цього Кодексу.</w:t>
      </w:r>
    </w:p>
    <w:p w14:paraId="08AEA8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3" w:name="n8361"/>
      <w:bookmarkEnd w:id="10363"/>
      <w:r w:rsidRPr="008B264B">
        <w:rPr>
          <w:rFonts w:ascii="Times New Roman" w:eastAsia="Times New Roman" w:hAnsi="Times New Roman" w:cs="Times New Roman"/>
          <w:i/>
          <w:iCs/>
          <w:color w:val="000000"/>
          <w:sz w:val="24"/>
          <w:szCs w:val="24"/>
          <w:lang/>
        </w:rPr>
        <w:t>{Підрозділ 4 розділу XX доповнено пунктом 26 згідно із Законом </w:t>
      </w:r>
      <w:hyperlink r:id="rId5826"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 застосовується при визначенні податкових зобов'язань з податку на прибуток, починаючи з дня набрання чинності розділом III цього Кодексу}</w:t>
      </w:r>
    </w:p>
    <w:p w14:paraId="2F7E0F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4" w:name="n8362"/>
      <w:bookmarkEnd w:id="10364"/>
      <w:r w:rsidRPr="008B264B">
        <w:rPr>
          <w:rFonts w:ascii="Times New Roman" w:eastAsia="Times New Roman" w:hAnsi="Times New Roman" w:cs="Times New Roman"/>
          <w:i/>
          <w:iCs/>
          <w:color w:val="000000"/>
          <w:sz w:val="24"/>
          <w:szCs w:val="24"/>
          <w:lang/>
        </w:rPr>
        <w:t>{Пункт 27 підрозділу 4 розділу ХХ виключено на підставі Закону </w:t>
      </w:r>
      <w:hyperlink r:id="rId5827" w:anchor="n178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228ED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5" w:name="n8364"/>
      <w:bookmarkEnd w:id="10365"/>
      <w:r w:rsidRPr="008B264B">
        <w:rPr>
          <w:rFonts w:ascii="Times New Roman" w:eastAsia="Times New Roman" w:hAnsi="Times New Roman" w:cs="Times New Roman"/>
          <w:color w:val="000000"/>
          <w:sz w:val="24"/>
          <w:szCs w:val="24"/>
          <w:lang/>
        </w:rPr>
        <w:lastRenderedPageBreak/>
        <w:t>28. Норми </w:t>
      </w:r>
      <w:hyperlink r:id="rId5828" w:anchor="n2527" w:history="1">
        <w:r w:rsidRPr="008B264B">
          <w:rPr>
            <w:rFonts w:ascii="Times New Roman" w:eastAsia="Times New Roman" w:hAnsi="Times New Roman" w:cs="Times New Roman"/>
            <w:color w:val="0000FF"/>
            <w:sz w:val="24"/>
            <w:szCs w:val="24"/>
            <w:u w:val="single"/>
            <w:lang/>
          </w:rPr>
          <w:t>статей 135</w:t>
        </w:r>
      </w:hyperlink>
      <w:r w:rsidRPr="008B264B">
        <w:rPr>
          <w:rFonts w:ascii="Times New Roman" w:eastAsia="Times New Roman" w:hAnsi="Times New Roman" w:cs="Times New Roman"/>
          <w:color w:val="000000"/>
          <w:sz w:val="24"/>
          <w:szCs w:val="24"/>
          <w:lang/>
        </w:rPr>
        <w:t>, </w:t>
      </w:r>
      <w:hyperlink r:id="rId5829" w:anchor="n3482" w:history="1">
        <w:r w:rsidRPr="008B264B">
          <w:rPr>
            <w:rFonts w:ascii="Times New Roman" w:eastAsia="Times New Roman" w:hAnsi="Times New Roman" w:cs="Times New Roman"/>
            <w:color w:val="0000FF"/>
            <w:sz w:val="24"/>
            <w:szCs w:val="24"/>
            <w:u w:val="single"/>
            <w:lang/>
          </w:rPr>
          <w:t>159</w:t>
        </w:r>
      </w:hyperlink>
      <w:r w:rsidRPr="008B264B">
        <w:rPr>
          <w:rFonts w:ascii="Times New Roman" w:eastAsia="Times New Roman" w:hAnsi="Times New Roman" w:cs="Times New Roman"/>
          <w:color w:val="000000"/>
          <w:sz w:val="24"/>
          <w:szCs w:val="24"/>
          <w:lang/>
        </w:rPr>
        <w:t>, </w:t>
      </w:r>
      <w:hyperlink r:id="rId5830" w:anchor="n4621" w:history="1">
        <w:r w:rsidRPr="008B264B">
          <w:rPr>
            <w:rFonts w:ascii="Times New Roman" w:eastAsia="Times New Roman" w:hAnsi="Times New Roman" w:cs="Times New Roman"/>
            <w:color w:val="0000FF"/>
            <w:sz w:val="24"/>
            <w:szCs w:val="24"/>
            <w:u w:val="single"/>
            <w:lang/>
          </w:rPr>
          <w:t>192</w:t>
        </w:r>
      </w:hyperlink>
      <w:r w:rsidRPr="008B264B">
        <w:rPr>
          <w:rFonts w:ascii="Times New Roman" w:eastAsia="Times New Roman" w:hAnsi="Times New Roman" w:cs="Times New Roman"/>
          <w:color w:val="000000"/>
          <w:sz w:val="24"/>
          <w:szCs w:val="24"/>
          <w:lang/>
        </w:rPr>
        <w:t> та </w:t>
      </w:r>
      <w:hyperlink r:id="rId5831" w:anchor="n8251" w:history="1">
        <w:r w:rsidRPr="008B264B">
          <w:rPr>
            <w:rFonts w:ascii="Times New Roman" w:eastAsia="Times New Roman" w:hAnsi="Times New Roman" w:cs="Times New Roman"/>
            <w:color w:val="0000FF"/>
            <w:sz w:val="24"/>
            <w:szCs w:val="24"/>
            <w:u w:val="single"/>
            <w:lang/>
          </w:rPr>
          <w:t>пункту 5 підрозділу 4 розділу XX</w:t>
        </w:r>
      </w:hyperlink>
      <w:r w:rsidRPr="008B264B">
        <w:rPr>
          <w:rFonts w:ascii="Times New Roman" w:eastAsia="Times New Roman" w:hAnsi="Times New Roman" w:cs="Times New Roman"/>
          <w:color w:val="000000"/>
          <w:sz w:val="24"/>
          <w:szCs w:val="24"/>
          <w:lang/>
        </w:rPr>
        <w:t> цього Кодексу не поширюються на заборгованість, до якої застосовується механізм списання на умовах, визначених </w:t>
      </w:r>
      <w:hyperlink r:id="rId5832" w:anchor="n3" w:tgtFrame="_blank" w:history="1">
        <w:r w:rsidRPr="008B264B">
          <w:rPr>
            <w:rFonts w:ascii="Times New Roman" w:eastAsia="Times New Roman" w:hAnsi="Times New Roman" w:cs="Times New Roman"/>
            <w:color w:val="0000FF"/>
            <w:sz w:val="24"/>
            <w:szCs w:val="24"/>
            <w:u w:val="single"/>
            <w:lang/>
          </w:rPr>
          <w:t>Законом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hyperlink>
      <w:r w:rsidRPr="008B264B">
        <w:rPr>
          <w:rFonts w:ascii="Times New Roman" w:eastAsia="Times New Roman" w:hAnsi="Times New Roman" w:cs="Times New Roman"/>
          <w:color w:val="000000"/>
          <w:sz w:val="24"/>
          <w:szCs w:val="24"/>
          <w:lang/>
        </w:rPr>
        <w:t>.</w:t>
      </w:r>
    </w:p>
    <w:p w14:paraId="473957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6" w:name="n8365"/>
      <w:bookmarkEnd w:id="10366"/>
      <w:r w:rsidRPr="008B264B">
        <w:rPr>
          <w:rFonts w:ascii="Times New Roman" w:eastAsia="Times New Roman" w:hAnsi="Times New Roman" w:cs="Times New Roman"/>
          <w:i/>
          <w:iCs/>
          <w:color w:val="000000"/>
          <w:sz w:val="24"/>
          <w:szCs w:val="24"/>
          <w:lang/>
        </w:rPr>
        <w:t>{Підрозділ 4 розділу XX доповнено пунктом 28 згідно із Законом Законом </w:t>
      </w:r>
      <w:hyperlink r:id="rId5833" w:anchor="n15" w:tgtFrame="_blank" w:history="1">
        <w:r w:rsidRPr="008B264B">
          <w:rPr>
            <w:rFonts w:ascii="Times New Roman" w:eastAsia="Times New Roman" w:hAnsi="Times New Roman" w:cs="Times New Roman"/>
            <w:i/>
            <w:iCs/>
            <w:color w:val="0000FF"/>
            <w:sz w:val="24"/>
            <w:szCs w:val="24"/>
            <w:u w:val="single"/>
            <w:lang/>
          </w:rPr>
          <w:t>№ 5414-VI від 02.10.2012</w:t>
        </w:r>
      </w:hyperlink>
      <w:r w:rsidRPr="008B264B">
        <w:rPr>
          <w:rFonts w:ascii="Times New Roman" w:eastAsia="Times New Roman" w:hAnsi="Times New Roman" w:cs="Times New Roman"/>
          <w:i/>
          <w:iCs/>
          <w:color w:val="000000"/>
          <w:sz w:val="24"/>
          <w:szCs w:val="24"/>
          <w:lang/>
        </w:rPr>
        <w:t>}</w:t>
      </w:r>
    </w:p>
    <w:p w14:paraId="7DCE6B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7" w:name="n8366"/>
      <w:bookmarkEnd w:id="10367"/>
      <w:r w:rsidRPr="008B264B">
        <w:rPr>
          <w:rFonts w:ascii="Times New Roman" w:eastAsia="Times New Roman" w:hAnsi="Times New Roman" w:cs="Times New Roman"/>
          <w:i/>
          <w:iCs/>
          <w:color w:val="000000"/>
          <w:sz w:val="24"/>
          <w:szCs w:val="24"/>
          <w:lang/>
        </w:rPr>
        <w:t>{Пункт 29 підрозділу 4 розділу ХХ виключено на підставі Закону </w:t>
      </w:r>
      <w:hyperlink r:id="rId5834" w:anchor="n178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2FB90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8" w:name="n8376"/>
      <w:bookmarkEnd w:id="10368"/>
      <w:r w:rsidRPr="008B264B">
        <w:rPr>
          <w:rFonts w:ascii="Times New Roman" w:eastAsia="Times New Roman" w:hAnsi="Times New Roman" w:cs="Times New Roman"/>
          <w:color w:val="000000"/>
          <w:sz w:val="24"/>
          <w:szCs w:val="24"/>
          <w:lang/>
        </w:rPr>
        <w:t>30. Операції з відступлення прав вимоги за кредитними договорами, забезпеченими іпотекою на користь фінансової установи, що здійснює діяльність з надання фінансових кредитів за рахунок залучених коштів, з обов'язковим зобов'язанням їх зворотного відступлення, обліковуються з метою оподаткування як отримання фінансового кредиту в податковому обліку платника податку- попереднього кредитора та як надання фінансового кредиту в податковому обліку платника податку - нового кредитора, відповідно до </w:t>
      </w:r>
      <w:hyperlink r:id="rId5835" w:anchor="n3192" w:history="1">
        <w:r w:rsidRPr="008B264B">
          <w:rPr>
            <w:rFonts w:ascii="Times New Roman" w:eastAsia="Times New Roman" w:hAnsi="Times New Roman" w:cs="Times New Roman"/>
            <w:color w:val="0000FF"/>
            <w:sz w:val="24"/>
            <w:szCs w:val="24"/>
            <w:u w:val="single"/>
            <w:lang/>
          </w:rPr>
          <w:t>підпунктів 153.4.1</w:t>
        </w:r>
      </w:hyperlink>
      <w:r w:rsidRPr="008B264B">
        <w:rPr>
          <w:rFonts w:ascii="Times New Roman" w:eastAsia="Times New Roman" w:hAnsi="Times New Roman" w:cs="Times New Roman"/>
          <w:color w:val="000000"/>
          <w:sz w:val="24"/>
          <w:szCs w:val="24"/>
          <w:lang/>
        </w:rPr>
        <w:t> та </w:t>
      </w:r>
      <w:hyperlink r:id="rId5836" w:anchor="n3199" w:history="1">
        <w:r w:rsidRPr="008B264B">
          <w:rPr>
            <w:rFonts w:ascii="Times New Roman" w:eastAsia="Times New Roman" w:hAnsi="Times New Roman" w:cs="Times New Roman"/>
            <w:color w:val="0000FF"/>
            <w:sz w:val="24"/>
            <w:szCs w:val="24"/>
            <w:u w:val="single"/>
            <w:lang/>
          </w:rPr>
          <w:t>153.4.2</w:t>
        </w:r>
      </w:hyperlink>
      <w:r w:rsidRPr="008B264B">
        <w:rPr>
          <w:rFonts w:ascii="Times New Roman" w:eastAsia="Times New Roman" w:hAnsi="Times New Roman" w:cs="Times New Roman"/>
          <w:color w:val="000000"/>
          <w:sz w:val="24"/>
          <w:szCs w:val="24"/>
          <w:lang/>
        </w:rPr>
        <w:t> пункту 153.4 статті 153 цього Кодексу на основі даних бухгалтерського обліку, якщо згідно з положеннями (стандартами) бухгалтерського обліку відступлення прав вимоги за кредитними договорами, забезпеченими іпотекою, не призводить до припинення визнання таких прав вимоги в бухгалтерському обліку платника податку - попереднього кредитора та їх визнання в бухгалтерському обліку платника податку - нового кредитора.</w:t>
      </w:r>
    </w:p>
    <w:p w14:paraId="37E2A9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69" w:name="n8377"/>
      <w:bookmarkEnd w:id="10369"/>
      <w:r w:rsidRPr="008B264B">
        <w:rPr>
          <w:rFonts w:ascii="Times New Roman" w:eastAsia="Times New Roman" w:hAnsi="Times New Roman" w:cs="Times New Roman"/>
          <w:color w:val="000000"/>
          <w:sz w:val="24"/>
          <w:szCs w:val="24"/>
          <w:lang/>
        </w:rPr>
        <w:t>При недотриманні умови такого зворотного відступлення зазначена операція оподатковується в загальному порядку на підставі </w:t>
      </w:r>
      <w:hyperlink r:id="rId5837" w:anchor="n3208" w:history="1">
        <w:r w:rsidRPr="008B264B">
          <w:rPr>
            <w:rFonts w:ascii="Times New Roman" w:eastAsia="Times New Roman" w:hAnsi="Times New Roman" w:cs="Times New Roman"/>
            <w:color w:val="0000FF"/>
            <w:sz w:val="24"/>
            <w:szCs w:val="24"/>
            <w:u w:val="single"/>
            <w:lang/>
          </w:rPr>
          <w:t>пункту 153.5</w:t>
        </w:r>
      </w:hyperlink>
      <w:r w:rsidRPr="008B264B">
        <w:rPr>
          <w:rFonts w:ascii="Times New Roman" w:eastAsia="Times New Roman" w:hAnsi="Times New Roman" w:cs="Times New Roman"/>
          <w:color w:val="000000"/>
          <w:sz w:val="24"/>
          <w:szCs w:val="24"/>
          <w:lang/>
        </w:rPr>
        <w:t> статті 153 цього Кодексу.</w:t>
      </w:r>
    </w:p>
    <w:p w14:paraId="0D9D00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0" w:name="n8378"/>
      <w:bookmarkEnd w:id="10370"/>
      <w:r w:rsidRPr="008B264B">
        <w:rPr>
          <w:rFonts w:ascii="Times New Roman" w:eastAsia="Times New Roman" w:hAnsi="Times New Roman" w:cs="Times New Roman"/>
          <w:color w:val="000000"/>
          <w:sz w:val="24"/>
          <w:szCs w:val="24"/>
          <w:lang/>
        </w:rPr>
        <w:t>Для цілей цього пункту під фінансовою установою слід розуміти фінансову установу, більш ніж 50 відсотків корпоративних прав якої належить державним банкам.</w:t>
      </w:r>
    </w:p>
    <w:p w14:paraId="5B26129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1" w:name="n8379"/>
      <w:bookmarkEnd w:id="10371"/>
      <w:r w:rsidRPr="008B264B">
        <w:rPr>
          <w:rFonts w:ascii="Times New Roman" w:eastAsia="Times New Roman" w:hAnsi="Times New Roman" w:cs="Times New Roman"/>
          <w:i/>
          <w:iCs/>
          <w:color w:val="000000"/>
          <w:sz w:val="24"/>
          <w:szCs w:val="24"/>
          <w:lang/>
        </w:rPr>
        <w:t>{Підрозділ 4 розділу XX доповнено пунктом 30 згідно із Законом </w:t>
      </w:r>
      <w:hyperlink r:id="rId5838"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5EA3FF2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2" w:name="n8380"/>
      <w:bookmarkEnd w:id="10372"/>
      <w:r w:rsidRPr="008B264B">
        <w:rPr>
          <w:rFonts w:ascii="Times New Roman" w:eastAsia="Times New Roman" w:hAnsi="Times New Roman" w:cs="Times New Roman"/>
          <w:color w:val="000000"/>
          <w:sz w:val="24"/>
          <w:szCs w:val="24"/>
          <w:lang/>
        </w:rPr>
        <w:t>31. Від'ємний фінансовий результат за операціями з цінними паперами, деривативами, корпоративними правами, випущеними в іншій, ніж цінні папери, формі, сформований станом на 1 січня 2013 року, не враховується при визначенні фінансового результату за операціями з цінними паперами, деривативами, корпоративними правами, випущеними в іншій, ніж цінні папери, формі, в наступних звітних податкових періодах.</w:t>
      </w:r>
    </w:p>
    <w:p w14:paraId="54803B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3" w:name="n8381"/>
      <w:bookmarkEnd w:id="10373"/>
      <w:r w:rsidRPr="008B264B">
        <w:rPr>
          <w:rFonts w:ascii="Times New Roman" w:eastAsia="Times New Roman" w:hAnsi="Times New Roman" w:cs="Times New Roman"/>
          <w:color w:val="000000"/>
          <w:sz w:val="24"/>
          <w:szCs w:val="24"/>
          <w:lang/>
        </w:rPr>
        <w:t>При визначенні прибутків/збитків у порядку, визначеному </w:t>
      </w:r>
      <w:hyperlink r:id="rId5839" w:anchor="n3233" w:history="1">
        <w:r w:rsidRPr="008B264B">
          <w:rPr>
            <w:rFonts w:ascii="Times New Roman" w:eastAsia="Times New Roman" w:hAnsi="Times New Roman" w:cs="Times New Roman"/>
            <w:color w:val="0000FF"/>
            <w:sz w:val="24"/>
            <w:szCs w:val="24"/>
            <w:u w:val="single"/>
            <w:lang/>
          </w:rPr>
          <w:t>пунктами 153.8 і 153.9</w:t>
        </w:r>
      </w:hyperlink>
      <w:r w:rsidRPr="008B264B">
        <w:rPr>
          <w:rFonts w:ascii="Times New Roman" w:eastAsia="Times New Roman" w:hAnsi="Times New Roman" w:cs="Times New Roman"/>
          <w:color w:val="000000"/>
          <w:sz w:val="24"/>
          <w:szCs w:val="24"/>
          <w:lang/>
        </w:rPr>
        <w:t> статті 153 цього Кодексу, витрати, понесені (нараховані) платниками податків при придбанні цінних паперів, деривативів, корпоративних прав, випущених в іншій, ніж цінні папери, формі до 1 січня 2013 року, враховуються при їх подальшому відчуженні в повному обсязі на підставі первинних документів, що підтверджують здійснення витрат.</w:t>
      </w:r>
    </w:p>
    <w:p w14:paraId="56870A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4" w:name="n9615"/>
      <w:bookmarkEnd w:id="10374"/>
      <w:r w:rsidRPr="008B264B">
        <w:rPr>
          <w:rFonts w:ascii="Times New Roman" w:eastAsia="Times New Roman" w:hAnsi="Times New Roman" w:cs="Times New Roman"/>
          <w:i/>
          <w:iCs/>
          <w:color w:val="000000"/>
          <w:sz w:val="24"/>
          <w:szCs w:val="24"/>
          <w:lang/>
        </w:rPr>
        <w:t>{Абзац другий пункту 31 підрозділу 4 розділу XX в редакції Закону </w:t>
      </w:r>
      <w:hyperlink r:id="rId5840" w:anchor="n217"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15B334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5" w:name="n8382"/>
      <w:bookmarkEnd w:id="10375"/>
      <w:r w:rsidRPr="008B264B">
        <w:rPr>
          <w:rFonts w:ascii="Times New Roman" w:eastAsia="Times New Roman" w:hAnsi="Times New Roman" w:cs="Times New Roman"/>
          <w:color w:val="000000"/>
          <w:sz w:val="24"/>
          <w:szCs w:val="24"/>
          <w:lang/>
        </w:rPr>
        <w:t>При цьому віднесення різниці між витратами, визначеними в абзаці другому цього пункту, та доходами (прибутками/збитками) за операціями з подальшого відчуження цінних паперів до прибутків/збитків, отриманих від операцій з цінними паперами, що перебувають або не перебувають в обігу на фондовій біржі, здійснюється залежновід того, чи визнавалисязазначені цінні папери в момент їх подальшого відчуження такими, що перебувають в обігу на фондовій біржі, відповідно до </w:t>
      </w:r>
      <w:hyperlink r:id="rId5841" w:anchor="n3240" w:history="1">
        <w:r w:rsidRPr="008B264B">
          <w:rPr>
            <w:rFonts w:ascii="Times New Roman" w:eastAsia="Times New Roman" w:hAnsi="Times New Roman" w:cs="Times New Roman"/>
            <w:color w:val="0000FF"/>
            <w:sz w:val="24"/>
            <w:szCs w:val="24"/>
            <w:u w:val="single"/>
            <w:lang/>
          </w:rPr>
          <w:t>підпункту 153.8.2</w:t>
        </w:r>
      </w:hyperlink>
      <w:r w:rsidRPr="008B264B">
        <w:rPr>
          <w:rFonts w:ascii="Times New Roman" w:eastAsia="Times New Roman" w:hAnsi="Times New Roman" w:cs="Times New Roman"/>
          <w:color w:val="000000"/>
          <w:sz w:val="24"/>
          <w:szCs w:val="24"/>
          <w:lang/>
        </w:rPr>
        <w:t> пункту 153.8 статті 153 цього Кодексу.</w:t>
      </w:r>
    </w:p>
    <w:p w14:paraId="16E180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6" w:name="n8383"/>
      <w:bookmarkEnd w:id="10376"/>
      <w:r w:rsidRPr="008B264B">
        <w:rPr>
          <w:rFonts w:ascii="Times New Roman" w:eastAsia="Times New Roman" w:hAnsi="Times New Roman" w:cs="Times New Roman"/>
          <w:i/>
          <w:iCs/>
          <w:color w:val="000000"/>
          <w:sz w:val="24"/>
          <w:szCs w:val="24"/>
          <w:lang/>
        </w:rPr>
        <w:t>{Підрозділ 4 розділу XX доповнено пунктом 31 згідно із Законом </w:t>
      </w:r>
      <w:hyperlink r:id="rId5842" w:tgtFrame="_blank" w:history="1">
        <w:r w:rsidRPr="008B264B">
          <w:rPr>
            <w:rFonts w:ascii="Times New Roman" w:eastAsia="Times New Roman" w:hAnsi="Times New Roman" w:cs="Times New Roman"/>
            <w:i/>
            <w:iCs/>
            <w:color w:val="0000FF"/>
            <w:sz w:val="24"/>
            <w:szCs w:val="24"/>
            <w:u w:val="single"/>
            <w:lang/>
          </w:rPr>
          <w:t>№ 5519-VI від 06.12.2012</w:t>
        </w:r>
      </w:hyperlink>
      <w:r w:rsidRPr="008B264B">
        <w:rPr>
          <w:rFonts w:ascii="Times New Roman" w:eastAsia="Times New Roman" w:hAnsi="Times New Roman" w:cs="Times New Roman"/>
          <w:i/>
          <w:iCs/>
          <w:color w:val="000000"/>
          <w:sz w:val="24"/>
          <w:szCs w:val="24"/>
          <w:lang/>
        </w:rPr>
        <w:t>}</w:t>
      </w:r>
    </w:p>
    <w:p w14:paraId="6413AE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7" w:name="n9642"/>
      <w:bookmarkEnd w:id="10377"/>
      <w:r w:rsidRPr="008B264B">
        <w:rPr>
          <w:rFonts w:ascii="Times New Roman" w:eastAsia="Times New Roman" w:hAnsi="Times New Roman" w:cs="Times New Roman"/>
          <w:color w:val="000000"/>
          <w:sz w:val="24"/>
          <w:szCs w:val="24"/>
          <w:lang/>
        </w:rPr>
        <w:t>32. Від’ємний фінансовий результат за операціями з цінними паперами, сформований станом на 1 січня 2014 року, не враховується при визначенні фінансового результату за операціями з цінними паперами за результатами звітних (податкових) періодів 2014 року.</w:t>
      </w:r>
    </w:p>
    <w:p w14:paraId="622292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8" w:name="n9641"/>
      <w:bookmarkEnd w:id="10378"/>
      <w:r w:rsidRPr="008B264B">
        <w:rPr>
          <w:rFonts w:ascii="Times New Roman" w:eastAsia="Times New Roman" w:hAnsi="Times New Roman" w:cs="Times New Roman"/>
          <w:i/>
          <w:iCs/>
          <w:color w:val="000000"/>
          <w:sz w:val="24"/>
          <w:szCs w:val="24"/>
          <w:lang/>
        </w:rPr>
        <w:t>{Підрозділ 4 розділу XX доповнено пунктом 32 згідно із Законом </w:t>
      </w:r>
      <w:hyperlink r:id="rId5843" w:anchor="n42"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634F81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79" w:name="n10306"/>
      <w:bookmarkEnd w:id="10379"/>
      <w:r w:rsidRPr="008B264B">
        <w:rPr>
          <w:rFonts w:ascii="Times New Roman" w:eastAsia="Times New Roman" w:hAnsi="Times New Roman" w:cs="Times New Roman"/>
          <w:color w:val="000000"/>
          <w:sz w:val="24"/>
          <w:szCs w:val="24"/>
          <w:lang/>
        </w:rPr>
        <w:lastRenderedPageBreak/>
        <w:t>33. Тимчасово, на період проведення антитерористичної операції, до інших витрат звичайної діяльності без обмежень, передбачених підпунктом "а" підпункту 138.10.6 пункту 138.10 статті 138 цього Кодексу, в редакції, що діяла до 1 січня 2015 року, включаються суми коштів або вартість спеціальних засобів індивідуального захисту (касок, бронежилетів, виготовлених відповідно до військових стандартів), технічних засобів спостереження, лікарських засобів та медичних виробів, засобів особистої гігієни, продуктів харчування, предметів речового забезпечення, а також інших товарів, виконаних робіт, наданих послуг за переліком, що визначається Кабінетом Міністрів України, які добровільно перераховані (передані) Збройним Силам України, Національній гвардії України, Службі безпеки України, Службі зовнішньої розвідки України, Державній прикордонній службі України, Міністерству внутрішніх справ України, Управлінню державної охорони України, Державній службі спеціального зв’язку та захисту інформації України, іншим утвореним відповідно до законів України військовим формуванням, їх з’єднанням, військовим частинам, підрозділам, установам або організаціям, що утримуються за рахунок коштів державного бюджету, для потреб забезпечення проведення антитерористичної операції.</w:t>
      </w:r>
    </w:p>
    <w:p w14:paraId="7C2F7B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0" w:name="n12567"/>
      <w:bookmarkEnd w:id="10380"/>
      <w:r w:rsidRPr="008B264B">
        <w:rPr>
          <w:rFonts w:ascii="Times New Roman" w:eastAsia="Times New Roman" w:hAnsi="Times New Roman" w:cs="Times New Roman"/>
          <w:color w:val="000000"/>
          <w:sz w:val="24"/>
          <w:szCs w:val="24"/>
          <w:lang/>
        </w:rPr>
        <w:t>Тимчасово, на період проведення антитерористичної операції, коригування, встановлені </w:t>
      </w:r>
      <w:hyperlink r:id="rId5844" w:anchor="n10751" w:history="1">
        <w:r w:rsidRPr="008B264B">
          <w:rPr>
            <w:rFonts w:ascii="Times New Roman" w:eastAsia="Times New Roman" w:hAnsi="Times New Roman" w:cs="Times New Roman"/>
            <w:color w:val="0000FF"/>
            <w:sz w:val="24"/>
            <w:szCs w:val="24"/>
            <w:u w:val="single"/>
            <w:lang/>
          </w:rPr>
          <w:t>підпунктом 140.5.9</w:t>
        </w:r>
      </w:hyperlink>
      <w:r w:rsidRPr="008B264B">
        <w:rPr>
          <w:rFonts w:ascii="Times New Roman" w:eastAsia="Times New Roman" w:hAnsi="Times New Roman" w:cs="Times New Roman"/>
          <w:color w:val="000000"/>
          <w:sz w:val="24"/>
          <w:szCs w:val="24"/>
          <w:lang/>
        </w:rPr>
        <w:t> пункту 140.5 статті 140 цього Кодексу, не проводяться, починаючи з 1 січня 2015 року, щодо сум коштів або вартості спеціальних засобів індивідуального захисту (касок, бронежилетів, виготовлених відповідно до військових стандартів), технічних засобів спостереження, лікарських засобів та медичних виробів, засобів особистої гігієни, продуктів харчування, предметів речового забезпечення, а також інших товарів, виконаних робіт, наданих послуг за переліком, що визначається Кабінетом Міністрів України, які добровільно перераховані (передані) Збройним Силам України, Національній гвардії України, Службі безпеки України, Службі зовнішньої розвідки України, Державній прикордонній службі України, Міністерству внутрішніх справ України, Управлінню державної охорони України, Державній службі спеціального зв’язку та захисту інформації України, іншим утвореним відповідно до законів України військовим формуванням, їх з’єднанням, військовим частинам, підрозділам, установам або організаціям, що утримуються за рахунок коштів державного бюджету, для потреб забезпечення проведення антитерористичної операції.</w:t>
      </w:r>
    </w:p>
    <w:p w14:paraId="449B34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1" w:name="n12566"/>
      <w:bookmarkEnd w:id="10381"/>
      <w:r w:rsidRPr="008B264B">
        <w:rPr>
          <w:rFonts w:ascii="Times New Roman" w:eastAsia="Times New Roman" w:hAnsi="Times New Roman" w:cs="Times New Roman"/>
          <w:i/>
          <w:iCs/>
          <w:color w:val="000000"/>
          <w:sz w:val="24"/>
          <w:szCs w:val="24"/>
          <w:lang/>
        </w:rPr>
        <w:t>{Пункт 33 підрозділу 4 розділу XX доповнено абзацом другим згідно із Законом </w:t>
      </w:r>
      <w:hyperlink r:id="rId5845" w:anchor="n59"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113673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2" w:name="n10305"/>
      <w:bookmarkEnd w:id="10382"/>
      <w:r w:rsidRPr="008B264B">
        <w:rPr>
          <w:rFonts w:ascii="Times New Roman" w:eastAsia="Times New Roman" w:hAnsi="Times New Roman" w:cs="Times New Roman"/>
          <w:i/>
          <w:iCs/>
          <w:color w:val="000000"/>
          <w:sz w:val="24"/>
          <w:szCs w:val="24"/>
          <w:lang/>
        </w:rPr>
        <w:t>{Підрозділ 4 розділу XX доповнено пунктом 33 згідно із Законом </w:t>
      </w:r>
      <w:hyperlink r:id="rId5846" w:anchor="n28" w:tgtFrame="_blank" w:history="1">
        <w:r w:rsidRPr="008B264B">
          <w:rPr>
            <w:rFonts w:ascii="Times New Roman" w:eastAsia="Times New Roman" w:hAnsi="Times New Roman" w:cs="Times New Roman"/>
            <w:i/>
            <w:iCs/>
            <w:color w:val="0000FF"/>
            <w:sz w:val="24"/>
            <w:szCs w:val="24"/>
            <w:u w:val="single"/>
            <w:lang/>
          </w:rPr>
          <w:t>№ 1668-VII від 02.09.2014</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847" w:anchor="n58"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70F595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3" w:name="n12568"/>
      <w:bookmarkEnd w:id="10383"/>
      <w:r w:rsidRPr="008B264B">
        <w:rPr>
          <w:rFonts w:ascii="Times New Roman" w:eastAsia="Times New Roman" w:hAnsi="Times New Roman" w:cs="Times New Roman"/>
          <w:color w:val="000000"/>
          <w:sz w:val="24"/>
          <w:szCs w:val="24"/>
          <w:lang/>
        </w:rPr>
        <w:t>34. Установити, що до затвердження Кабінетом Міністрів України Порядку ведення Реєстру неприбуткових установ та організацій, включення неприбуткових підприємств, установ та організацій до Реєстру та виключення з Реєстру (далі - новий Реєстр неприбуткових установ та організацій) діє </w:t>
      </w:r>
      <w:hyperlink r:id="rId5848" w:anchor="n16" w:tgtFrame="_blank" w:history="1">
        <w:r w:rsidRPr="008B264B">
          <w:rPr>
            <w:rFonts w:ascii="Times New Roman" w:eastAsia="Times New Roman" w:hAnsi="Times New Roman" w:cs="Times New Roman"/>
            <w:color w:val="0000FF"/>
            <w:sz w:val="24"/>
            <w:szCs w:val="24"/>
            <w:u w:val="single"/>
            <w:lang/>
          </w:rPr>
          <w:t>Положення про Реєстр неприбуткових установ та організацій</w:t>
        </w:r>
      </w:hyperlink>
      <w:r w:rsidRPr="008B264B">
        <w:rPr>
          <w:rFonts w:ascii="Times New Roman" w:eastAsia="Times New Roman" w:hAnsi="Times New Roman" w:cs="Times New Roman"/>
          <w:color w:val="000000"/>
          <w:sz w:val="24"/>
          <w:szCs w:val="24"/>
          <w:lang/>
        </w:rPr>
        <w:t>, затверджене наказом Міністерства фінансів України № 37 від 24 січня 2013 року.</w:t>
      </w:r>
    </w:p>
    <w:p w14:paraId="1878F9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4" w:name="n12569"/>
      <w:bookmarkEnd w:id="10384"/>
      <w:r w:rsidRPr="008B264B">
        <w:rPr>
          <w:rFonts w:ascii="Times New Roman" w:eastAsia="Times New Roman" w:hAnsi="Times New Roman" w:cs="Times New Roman"/>
          <w:color w:val="000000"/>
          <w:sz w:val="24"/>
          <w:szCs w:val="24"/>
          <w:lang/>
        </w:rPr>
        <w:t>Неприбуткові підприємства, установи та організації, внесені до Реєстру неприбуткових установ та організацій на день набрання чинності Законом України "Про внесення змін до Податкового кодексу України щодо оподаткування неприбуткових організацій", не підлягають виключенню з цього Реєстру до 1 липня 2017 року.</w:t>
      </w:r>
    </w:p>
    <w:p w14:paraId="7402EB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5" w:name="n14450"/>
      <w:bookmarkEnd w:id="10385"/>
      <w:r w:rsidRPr="008B264B">
        <w:rPr>
          <w:rFonts w:ascii="Times New Roman" w:eastAsia="Times New Roman" w:hAnsi="Times New Roman" w:cs="Times New Roman"/>
          <w:i/>
          <w:iCs/>
          <w:color w:val="000000"/>
          <w:sz w:val="24"/>
          <w:szCs w:val="24"/>
          <w:lang/>
        </w:rPr>
        <w:t>{Абзац другий пункту 34 підрозділу 4 розділу XX із змінами, внесеними згідно із Законом </w:t>
      </w:r>
      <w:hyperlink r:id="rId5849" w:anchor="n149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F1B20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6" w:name="n12570"/>
      <w:bookmarkEnd w:id="10386"/>
      <w:r w:rsidRPr="008B264B">
        <w:rPr>
          <w:rFonts w:ascii="Times New Roman" w:eastAsia="Times New Roman" w:hAnsi="Times New Roman" w:cs="Times New Roman"/>
          <w:color w:val="000000"/>
          <w:sz w:val="24"/>
          <w:szCs w:val="24"/>
          <w:lang/>
        </w:rPr>
        <w:t>Неприбуткові підприємства, установи та організації, внесені до Реєстру неприбуткових установ та організацій на день набрання чинності </w:t>
      </w:r>
      <w:hyperlink r:id="rId5850"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щодо оподаткування неприбуткових організацій", що відповідають вимогам </w:t>
      </w:r>
      <w:hyperlink r:id="rId5851" w:anchor="n12538" w:history="1">
        <w:r w:rsidRPr="008B264B">
          <w:rPr>
            <w:rFonts w:ascii="Times New Roman" w:eastAsia="Times New Roman" w:hAnsi="Times New Roman" w:cs="Times New Roman"/>
            <w:color w:val="0000FF"/>
            <w:sz w:val="24"/>
            <w:szCs w:val="24"/>
            <w:u w:val="single"/>
            <w:lang/>
          </w:rPr>
          <w:t>пункту 133.4</w:t>
        </w:r>
      </w:hyperlink>
      <w:r w:rsidRPr="008B264B">
        <w:rPr>
          <w:rFonts w:ascii="Times New Roman" w:eastAsia="Times New Roman" w:hAnsi="Times New Roman" w:cs="Times New Roman"/>
          <w:color w:val="000000"/>
          <w:sz w:val="24"/>
          <w:szCs w:val="24"/>
          <w:lang/>
        </w:rPr>
        <w:t> статті 133 цього Кодексу, а для релігійних організацій - вимогам </w:t>
      </w:r>
      <w:hyperlink r:id="rId5852" w:anchor="n12540" w:history="1">
        <w:r w:rsidRPr="008B264B">
          <w:rPr>
            <w:rFonts w:ascii="Times New Roman" w:eastAsia="Times New Roman" w:hAnsi="Times New Roman" w:cs="Times New Roman"/>
            <w:color w:val="0000FF"/>
            <w:sz w:val="24"/>
            <w:szCs w:val="24"/>
            <w:u w:val="single"/>
            <w:lang/>
          </w:rPr>
          <w:t>абзацу другого</w:t>
        </w:r>
      </w:hyperlink>
      <w:r w:rsidRPr="008B264B">
        <w:rPr>
          <w:rFonts w:ascii="Times New Roman" w:eastAsia="Times New Roman" w:hAnsi="Times New Roman" w:cs="Times New Roman"/>
          <w:color w:val="000000"/>
          <w:sz w:val="24"/>
          <w:szCs w:val="24"/>
          <w:lang/>
        </w:rPr>
        <w:t xml:space="preserve"> підпункту 133.4.1 пункту 133.4 статті 133 цього Кодексу, включаються контролюючим органом до нового Реєстру неприбуткових установ та організацій. За бажанням </w:t>
      </w:r>
      <w:r w:rsidRPr="008B264B">
        <w:rPr>
          <w:rFonts w:ascii="Times New Roman" w:eastAsia="Times New Roman" w:hAnsi="Times New Roman" w:cs="Times New Roman"/>
          <w:color w:val="000000"/>
          <w:sz w:val="24"/>
          <w:szCs w:val="24"/>
          <w:lang/>
        </w:rPr>
        <w:lastRenderedPageBreak/>
        <w:t>неприбуткової організації вона може подати до контролюючого органу копії установчих документів.</w:t>
      </w:r>
    </w:p>
    <w:p w14:paraId="3EC75D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7" w:name="n15048"/>
      <w:bookmarkEnd w:id="10387"/>
      <w:r w:rsidRPr="008B264B">
        <w:rPr>
          <w:rFonts w:ascii="Times New Roman" w:eastAsia="Times New Roman" w:hAnsi="Times New Roman" w:cs="Times New Roman"/>
          <w:i/>
          <w:iCs/>
          <w:color w:val="000000"/>
          <w:sz w:val="24"/>
          <w:szCs w:val="24"/>
          <w:lang/>
        </w:rPr>
        <w:t>{Абзац третій пункту 34 підрозділу 4 розділу XX із змінами, внесеними згідно із Законом </w:t>
      </w:r>
      <w:hyperlink r:id="rId5853" w:anchor="n52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157F47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8" w:name="n12573"/>
      <w:bookmarkEnd w:id="10388"/>
      <w:r w:rsidRPr="008B264B">
        <w:rPr>
          <w:rFonts w:ascii="Times New Roman" w:eastAsia="Times New Roman" w:hAnsi="Times New Roman" w:cs="Times New Roman"/>
          <w:i/>
          <w:iCs/>
          <w:color w:val="000000"/>
          <w:sz w:val="24"/>
          <w:szCs w:val="24"/>
          <w:lang/>
        </w:rPr>
        <w:t>{Підрозділ 4 розділу XX доповнено пунктом 34 згідно із Законом </w:t>
      </w:r>
      <w:hyperlink r:id="rId5854" w:anchor="n55"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264A59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89" w:name="n12571"/>
      <w:bookmarkEnd w:id="10389"/>
      <w:r w:rsidRPr="008B264B">
        <w:rPr>
          <w:rFonts w:ascii="Times New Roman" w:eastAsia="Times New Roman" w:hAnsi="Times New Roman" w:cs="Times New Roman"/>
          <w:color w:val="000000"/>
          <w:sz w:val="24"/>
          <w:szCs w:val="24"/>
          <w:lang/>
        </w:rPr>
        <w:t>35. Неприбуткові підприємства, установи та організації, внесені до Реєстру неприбуткових установ та організацій на день набрання чинності </w:t>
      </w:r>
      <w:hyperlink r:id="rId5855"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щодо оподаткування неприбуткових організацій", що не відповідають вимогам </w:t>
      </w:r>
      <w:hyperlink r:id="rId5856" w:anchor="n12538" w:history="1">
        <w:r w:rsidRPr="008B264B">
          <w:rPr>
            <w:rFonts w:ascii="Times New Roman" w:eastAsia="Times New Roman" w:hAnsi="Times New Roman" w:cs="Times New Roman"/>
            <w:color w:val="0000FF"/>
            <w:sz w:val="24"/>
            <w:szCs w:val="24"/>
            <w:u w:val="single"/>
            <w:lang/>
          </w:rPr>
          <w:t>пункту 133.4</w:t>
        </w:r>
      </w:hyperlink>
      <w:r w:rsidRPr="008B264B">
        <w:rPr>
          <w:rFonts w:ascii="Times New Roman" w:eastAsia="Times New Roman" w:hAnsi="Times New Roman" w:cs="Times New Roman"/>
          <w:color w:val="000000"/>
          <w:sz w:val="24"/>
          <w:szCs w:val="24"/>
          <w:lang/>
        </w:rPr>
        <w:t> статті 133 цього Кодексу, з метою включення до нового Реєстру неприбуткових установ та організацій зобов’язані до 1 липня 2017 року привести свої установчі документи у відповідність із нормами цього Кодексу та у цей самий строк подати копії таких документів до контролюючого органу.</w:t>
      </w:r>
    </w:p>
    <w:p w14:paraId="0D4D60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0" w:name="n14451"/>
      <w:bookmarkEnd w:id="10390"/>
      <w:r w:rsidRPr="008B264B">
        <w:rPr>
          <w:rFonts w:ascii="Times New Roman" w:eastAsia="Times New Roman" w:hAnsi="Times New Roman" w:cs="Times New Roman"/>
          <w:i/>
          <w:iCs/>
          <w:color w:val="000000"/>
          <w:sz w:val="24"/>
          <w:szCs w:val="24"/>
          <w:lang/>
        </w:rPr>
        <w:t>{Абзац перший пункту 35 підрозділу 4 розділу XX із змінами, внесеними згідно із Законом </w:t>
      </w:r>
      <w:hyperlink r:id="rId5857" w:anchor="n1498"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6C8006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1" w:name="n12572"/>
      <w:bookmarkEnd w:id="10391"/>
      <w:r w:rsidRPr="008B264B">
        <w:rPr>
          <w:rFonts w:ascii="Times New Roman" w:eastAsia="Times New Roman" w:hAnsi="Times New Roman" w:cs="Times New Roman"/>
          <w:color w:val="000000"/>
          <w:sz w:val="24"/>
          <w:szCs w:val="24"/>
          <w:lang/>
        </w:rPr>
        <w:t>Неприбуткові підприємства, установи та організації, які не привели свої установчі документи у відповідність із нормами </w:t>
      </w:r>
      <w:hyperlink r:id="rId5858" w:anchor="n12538" w:history="1">
        <w:r w:rsidRPr="008B264B">
          <w:rPr>
            <w:rFonts w:ascii="Times New Roman" w:eastAsia="Times New Roman" w:hAnsi="Times New Roman" w:cs="Times New Roman"/>
            <w:color w:val="0000FF"/>
            <w:sz w:val="24"/>
            <w:szCs w:val="24"/>
            <w:u w:val="single"/>
            <w:lang/>
          </w:rPr>
          <w:t>пункту 133.4</w:t>
        </w:r>
      </w:hyperlink>
      <w:r w:rsidRPr="008B264B">
        <w:rPr>
          <w:rFonts w:ascii="Times New Roman" w:eastAsia="Times New Roman" w:hAnsi="Times New Roman" w:cs="Times New Roman"/>
          <w:color w:val="000000"/>
          <w:sz w:val="24"/>
          <w:szCs w:val="24"/>
          <w:lang/>
        </w:rPr>
        <w:t> статті 133 цього Кодексу, а релігійні організації - із нормами </w:t>
      </w:r>
      <w:hyperlink r:id="rId5859" w:anchor="n12540" w:history="1">
        <w:r w:rsidRPr="008B264B">
          <w:rPr>
            <w:rFonts w:ascii="Times New Roman" w:eastAsia="Times New Roman" w:hAnsi="Times New Roman" w:cs="Times New Roman"/>
            <w:color w:val="0000FF"/>
            <w:sz w:val="24"/>
            <w:szCs w:val="24"/>
            <w:u w:val="single"/>
            <w:lang/>
          </w:rPr>
          <w:t>абзацу другого</w:t>
        </w:r>
      </w:hyperlink>
      <w:r w:rsidRPr="008B264B">
        <w:rPr>
          <w:rFonts w:ascii="Times New Roman" w:eastAsia="Times New Roman" w:hAnsi="Times New Roman" w:cs="Times New Roman"/>
          <w:color w:val="000000"/>
          <w:sz w:val="24"/>
          <w:szCs w:val="24"/>
          <w:lang/>
        </w:rPr>
        <w:t> підпункту 133.4.1 пункту 133.4 статті 133 цього Кодексу, після 1 липня 2017 року виключаються контролюючим органом з Реєстру неприбуткових установ та організацій.</w:t>
      </w:r>
    </w:p>
    <w:p w14:paraId="0687D7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2" w:name="n14452"/>
      <w:bookmarkEnd w:id="10392"/>
      <w:r w:rsidRPr="008B264B">
        <w:rPr>
          <w:rFonts w:ascii="Times New Roman" w:eastAsia="Times New Roman" w:hAnsi="Times New Roman" w:cs="Times New Roman"/>
          <w:i/>
          <w:iCs/>
          <w:color w:val="000000"/>
          <w:sz w:val="24"/>
          <w:szCs w:val="24"/>
          <w:lang/>
        </w:rPr>
        <w:t>{Абзац другий пункту 35 підрозділу 4 розділу XX із змінами, внесеними згідно із Законами </w:t>
      </w:r>
      <w:hyperlink r:id="rId5860" w:anchor="n1499"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w:t>
      </w:r>
      <w:hyperlink r:id="rId5861" w:anchor="n52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46BD8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3" w:name="n13296"/>
      <w:bookmarkEnd w:id="10393"/>
      <w:r w:rsidRPr="008B264B">
        <w:rPr>
          <w:rFonts w:ascii="Times New Roman" w:eastAsia="Times New Roman" w:hAnsi="Times New Roman" w:cs="Times New Roman"/>
          <w:i/>
          <w:iCs/>
          <w:color w:val="000000"/>
          <w:sz w:val="24"/>
          <w:szCs w:val="24"/>
          <w:lang/>
        </w:rPr>
        <w:t>{Абзац третій пункту 35 підрозділу 4 розділу XX виключено на підставі Закону </w:t>
      </w:r>
      <w:hyperlink r:id="rId5862" w:anchor="n52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586D0A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4" w:name="n12565"/>
      <w:bookmarkEnd w:id="10394"/>
      <w:r w:rsidRPr="008B264B">
        <w:rPr>
          <w:rFonts w:ascii="Times New Roman" w:eastAsia="Times New Roman" w:hAnsi="Times New Roman" w:cs="Times New Roman"/>
          <w:i/>
          <w:iCs/>
          <w:color w:val="000000"/>
          <w:sz w:val="24"/>
          <w:szCs w:val="24"/>
          <w:lang/>
        </w:rPr>
        <w:t>{Підрозділ 4 розділу XX доповнено пунктом 35 згідно із Законом </w:t>
      </w:r>
      <w:hyperlink r:id="rId5863" w:anchor="n55" w:tgtFrame="_blank" w:history="1">
        <w:r w:rsidRPr="008B264B">
          <w:rPr>
            <w:rFonts w:ascii="Times New Roman" w:eastAsia="Times New Roman" w:hAnsi="Times New Roman" w:cs="Times New Roman"/>
            <w:i/>
            <w:iCs/>
            <w:color w:val="0000FF"/>
            <w:sz w:val="24"/>
            <w:szCs w:val="24"/>
            <w:u w:val="single"/>
            <w:lang/>
          </w:rPr>
          <w:t>№ 652-VIII від 17.07.2015</w:t>
        </w:r>
      </w:hyperlink>
      <w:r w:rsidRPr="008B264B">
        <w:rPr>
          <w:rFonts w:ascii="Times New Roman" w:eastAsia="Times New Roman" w:hAnsi="Times New Roman" w:cs="Times New Roman"/>
          <w:i/>
          <w:iCs/>
          <w:color w:val="000000"/>
          <w:sz w:val="24"/>
          <w:szCs w:val="24"/>
          <w:lang/>
        </w:rPr>
        <w:t>}</w:t>
      </w:r>
    </w:p>
    <w:p w14:paraId="6A27A9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5" w:name="n12618"/>
      <w:bookmarkEnd w:id="10395"/>
      <w:r w:rsidRPr="008B264B">
        <w:rPr>
          <w:rFonts w:ascii="Times New Roman" w:eastAsia="Times New Roman" w:hAnsi="Times New Roman" w:cs="Times New Roman"/>
          <w:color w:val="000000"/>
          <w:sz w:val="24"/>
          <w:szCs w:val="24"/>
          <w:lang/>
        </w:rPr>
        <w:t>36. Фінансовий результат до оподаткування зменшується на суму доходів, що виникають у платників податку, які є боржниками (позичальниками) за зовнішніми кредитами (позиками), залученими під державні гарантії, обслуговування та погашення яких здійснюється за рахунок коштів Державного бюджету України, за переліком, визначеним Кабінетом Міністрів України, внаслідок здійснення правочинів, зазначених у </w:t>
      </w:r>
      <w:hyperlink r:id="rId5864" w:anchor="n277" w:tgtFrame="_blank" w:history="1">
        <w:r w:rsidRPr="008B264B">
          <w:rPr>
            <w:rFonts w:ascii="Times New Roman" w:eastAsia="Times New Roman" w:hAnsi="Times New Roman" w:cs="Times New Roman"/>
            <w:color w:val="0000FF"/>
            <w:sz w:val="24"/>
            <w:szCs w:val="24"/>
            <w:u w:val="single"/>
            <w:lang/>
          </w:rPr>
          <w:t>пункті 14</w:t>
        </w:r>
      </w:hyperlink>
      <w:r w:rsidRPr="008B264B">
        <w:rPr>
          <w:rFonts w:ascii="Times New Roman" w:eastAsia="Times New Roman" w:hAnsi="Times New Roman" w:cs="Times New Roman"/>
          <w:color w:val="000000"/>
          <w:sz w:val="24"/>
          <w:szCs w:val="24"/>
          <w:lang/>
        </w:rPr>
        <w:t> розділу "Прикінцеві положення" Закону України "Про Державний бюджет України на 2015 рік".</w:t>
      </w:r>
    </w:p>
    <w:p w14:paraId="0EA835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6" w:name="n12619"/>
      <w:bookmarkEnd w:id="10396"/>
      <w:r w:rsidRPr="008B264B">
        <w:rPr>
          <w:rFonts w:ascii="Times New Roman" w:eastAsia="Times New Roman" w:hAnsi="Times New Roman" w:cs="Times New Roman"/>
          <w:color w:val="000000"/>
          <w:sz w:val="24"/>
          <w:szCs w:val="24"/>
          <w:lang/>
        </w:rPr>
        <w:t>Фінансовий результат до оподаткування збільшується на суму витрат, що виникають у платників податку, зазначених в абзаці першому цього пункту, за правилами бухгалтерського обліку при списанні безнадійної дебіторської заборгованості за поставлені товари (роботи, послуги), що підлягали оплаті за рахунок коштів Державного бюджету України. Таке збільшення фінансового результату до оподаткування відбувається в розмірі, що не перевищує суму доходів, зазначену в абзаці першому цього пункту.</w:t>
      </w:r>
    </w:p>
    <w:p w14:paraId="662571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7" w:name="n12621"/>
      <w:bookmarkEnd w:id="10397"/>
      <w:r w:rsidRPr="008B264B">
        <w:rPr>
          <w:rFonts w:ascii="Times New Roman" w:eastAsia="Times New Roman" w:hAnsi="Times New Roman" w:cs="Times New Roman"/>
          <w:i/>
          <w:iCs/>
          <w:color w:val="000000"/>
          <w:sz w:val="24"/>
          <w:szCs w:val="24"/>
          <w:lang/>
        </w:rPr>
        <w:t>{Підрозділ 4 розділу XX доповнено пунктом 36 згідно із Законом </w:t>
      </w:r>
      <w:hyperlink r:id="rId5865" w:anchor="n5" w:tgtFrame="_blank" w:history="1">
        <w:r w:rsidRPr="008B264B">
          <w:rPr>
            <w:rFonts w:ascii="Times New Roman" w:eastAsia="Times New Roman" w:hAnsi="Times New Roman" w:cs="Times New Roman"/>
            <w:i/>
            <w:iCs/>
            <w:color w:val="0000FF"/>
            <w:sz w:val="24"/>
            <w:szCs w:val="24"/>
            <w:u w:val="single"/>
            <w:lang/>
          </w:rPr>
          <w:t>№ 702-VIII від 17.09.2015</w:t>
        </w:r>
      </w:hyperlink>
      <w:r w:rsidRPr="008B264B">
        <w:rPr>
          <w:rFonts w:ascii="Times New Roman" w:eastAsia="Times New Roman" w:hAnsi="Times New Roman" w:cs="Times New Roman"/>
          <w:i/>
          <w:iCs/>
          <w:color w:val="000000"/>
          <w:sz w:val="24"/>
          <w:szCs w:val="24"/>
          <w:lang/>
        </w:rPr>
        <w:t>}</w:t>
      </w:r>
    </w:p>
    <w:p w14:paraId="458264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8" w:name="n12620"/>
      <w:bookmarkEnd w:id="10398"/>
      <w:r w:rsidRPr="008B264B">
        <w:rPr>
          <w:rFonts w:ascii="Times New Roman" w:eastAsia="Times New Roman" w:hAnsi="Times New Roman" w:cs="Times New Roman"/>
          <w:color w:val="000000"/>
          <w:sz w:val="24"/>
          <w:szCs w:val="24"/>
          <w:lang/>
        </w:rPr>
        <w:t>37. Не підлягають оподаткуванню доходи нерезидентів з джерелом походження з України за операціями з розміщення нерезидентам державних деривативів та доходи, що виплачуються нерезидентам за державними деривативами, відповідно до умов правочинів з державним боргом за державними зовнішніми запозиченнями та гарантованим державою боргом, затверджених Кабінетом Міністрів України.</w:t>
      </w:r>
    </w:p>
    <w:p w14:paraId="365A1F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399" w:name="n12617"/>
      <w:bookmarkEnd w:id="10399"/>
      <w:r w:rsidRPr="008B264B">
        <w:rPr>
          <w:rFonts w:ascii="Times New Roman" w:eastAsia="Times New Roman" w:hAnsi="Times New Roman" w:cs="Times New Roman"/>
          <w:i/>
          <w:iCs/>
          <w:color w:val="000000"/>
          <w:sz w:val="24"/>
          <w:szCs w:val="24"/>
          <w:lang/>
        </w:rPr>
        <w:t>{Підрозділ 4 розділу XX доповнено пунктом 37 згідно із Законом </w:t>
      </w:r>
      <w:hyperlink r:id="rId5866" w:anchor="n5" w:tgtFrame="_blank" w:history="1">
        <w:r w:rsidRPr="008B264B">
          <w:rPr>
            <w:rFonts w:ascii="Times New Roman" w:eastAsia="Times New Roman" w:hAnsi="Times New Roman" w:cs="Times New Roman"/>
            <w:i/>
            <w:iCs/>
            <w:color w:val="0000FF"/>
            <w:sz w:val="24"/>
            <w:szCs w:val="24"/>
            <w:u w:val="single"/>
            <w:lang/>
          </w:rPr>
          <w:t>№ 702-VIII від 17.09.2015</w:t>
        </w:r>
      </w:hyperlink>
      <w:r w:rsidRPr="008B264B">
        <w:rPr>
          <w:rFonts w:ascii="Times New Roman" w:eastAsia="Times New Roman" w:hAnsi="Times New Roman" w:cs="Times New Roman"/>
          <w:i/>
          <w:iCs/>
          <w:color w:val="000000"/>
          <w:sz w:val="24"/>
          <w:szCs w:val="24"/>
          <w:lang/>
        </w:rPr>
        <w:t>}</w:t>
      </w:r>
    </w:p>
    <w:p w14:paraId="3A8188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0" w:name="n12975"/>
      <w:bookmarkEnd w:id="10400"/>
      <w:r w:rsidRPr="008B264B">
        <w:rPr>
          <w:rFonts w:ascii="Times New Roman" w:eastAsia="Times New Roman" w:hAnsi="Times New Roman" w:cs="Times New Roman"/>
          <w:color w:val="000000"/>
          <w:sz w:val="24"/>
          <w:szCs w:val="24"/>
          <w:lang/>
        </w:rPr>
        <w:t>38. Платники податку на прибуток підприємств сплачують до 31 грудня 2016 року авансовий внесок з цього податку у розмірі 2/9 податку на прибуток, нарахованого у податковій звітності за три квартали 2016 року.</w:t>
      </w:r>
    </w:p>
    <w:p w14:paraId="165ACE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1" w:name="n12976"/>
      <w:bookmarkEnd w:id="10401"/>
      <w:r w:rsidRPr="008B264B">
        <w:rPr>
          <w:rFonts w:ascii="Times New Roman" w:eastAsia="Times New Roman" w:hAnsi="Times New Roman" w:cs="Times New Roman"/>
          <w:color w:val="000000"/>
          <w:sz w:val="24"/>
          <w:szCs w:val="24"/>
          <w:lang/>
        </w:rPr>
        <w:lastRenderedPageBreak/>
        <w:t>Розрахунок такого авансового внеску подається платником податку у податковій декларації за три квартали 2016 року. Визначена в розрахунку сума авансових внесків вважається узгодженою сумою грошових зобов’язань.</w:t>
      </w:r>
    </w:p>
    <w:p w14:paraId="34AA50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2" w:name="n12977"/>
      <w:bookmarkEnd w:id="10402"/>
      <w:r w:rsidRPr="008B264B">
        <w:rPr>
          <w:rFonts w:ascii="Times New Roman" w:eastAsia="Times New Roman" w:hAnsi="Times New Roman" w:cs="Times New Roman"/>
          <w:color w:val="000000"/>
          <w:sz w:val="24"/>
          <w:szCs w:val="24"/>
          <w:lang/>
        </w:rPr>
        <w:t>У разі якщо платник податків не сплачує узгоджену суму авансових внесків з податку на прибуток підприємств протягом строків, визначених цим Кодексом, такий платник податків притягується до відповідальності у вигляді штрафу в розмірах, визначених </w:t>
      </w:r>
      <w:hyperlink r:id="rId5867" w:anchor="n2416" w:history="1">
        <w:r w:rsidRPr="008B264B">
          <w:rPr>
            <w:rFonts w:ascii="Times New Roman" w:eastAsia="Times New Roman" w:hAnsi="Times New Roman" w:cs="Times New Roman"/>
            <w:color w:val="0000FF"/>
            <w:sz w:val="24"/>
            <w:szCs w:val="24"/>
            <w:u w:val="single"/>
            <w:lang/>
          </w:rPr>
          <w:t>статтею 123</w:t>
        </w:r>
      </w:hyperlink>
      <w:r w:rsidRPr="008B264B">
        <w:rPr>
          <w:rFonts w:ascii="Times New Roman" w:eastAsia="Times New Roman" w:hAnsi="Times New Roman" w:cs="Times New Roman"/>
          <w:color w:val="000000"/>
          <w:sz w:val="24"/>
          <w:szCs w:val="24"/>
          <w:lang/>
        </w:rPr>
        <w:t> цього Кодексу.</w:t>
      </w:r>
    </w:p>
    <w:p w14:paraId="04DDF1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3" w:name="n12989"/>
      <w:bookmarkEnd w:id="10403"/>
      <w:r w:rsidRPr="008B264B">
        <w:rPr>
          <w:rFonts w:ascii="Times New Roman" w:eastAsia="Times New Roman" w:hAnsi="Times New Roman" w:cs="Times New Roman"/>
          <w:i/>
          <w:iCs/>
          <w:color w:val="000000"/>
          <w:sz w:val="24"/>
          <w:szCs w:val="24"/>
          <w:lang/>
        </w:rPr>
        <w:t>{Підрозділ 4 розділу XX доповнено пунктом 38 згідно із Законом </w:t>
      </w:r>
      <w:hyperlink r:id="rId5868" w:anchor="n6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17DD0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4" w:name="n13055"/>
      <w:bookmarkEnd w:id="10404"/>
      <w:r w:rsidRPr="008B264B">
        <w:rPr>
          <w:rFonts w:ascii="Times New Roman" w:eastAsia="Times New Roman" w:hAnsi="Times New Roman" w:cs="Times New Roman"/>
          <w:color w:val="000000"/>
          <w:sz w:val="24"/>
          <w:szCs w:val="24"/>
          <w:lang/>
        </w:rPr>
        <w:t>38. Тимчасово, на період реалізації проекту модернізації Бортницької станції очистки стічних вод у рамках реалізації проекту "Реконструкція споруд очистки стічних каналізаційних вод і будівництво технологічної лінії по обробці та утилізації осадів Бортницької станції аерації", затвердженого Кабінетом Міністрів України (далі - Проект), звільняється від оподаткування прибуток (дохід) японських суб’єктів з реалізації Проекту, за умови що такий прибуток (дохід) отриманий у рамках реалізації Проекту.</w:t>
      </w:r>
    </w:p>
    <w:p w14:paraId="62B6FEC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5" w:name="n13056"/>
      <w:bookmarkEnd w:id="10405"/>
      <w:r w:rsidRPr="008B264B">
        <w:rPr>
          <w:rFonts w:ascii="Times New Roman" w:eastAsia="Times New Roman" w:hAnsi="Times New Roman" w:cs="Times New Roman"/>
          <w:color w:val="000000"/>
          <w:sz w:val="24"/>
          <w:szCs w:val="24"/>
          <w:lang/>
        </w:rPr>
        <w:t>Термін "японський суб’єкт з реалізації Проекту" вживається у значенні, наведеному у підпунктах "а"-"в" пункту 9 підрозділу 1 цього розділу.</w:t>
      </w:r>
    </w:p>
    <w:p w14:paraId="2157EE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6" w:name="n13054"/>
      <w:bookmarkEnd w:id="10406"/>
      <w:r w:rsidRPr="008B264B">
        <w:rPr>
          <w:rFonts w:ascii="Times New Roman" w:eastAsia="Times New Roman" w:hAnsi="Times New Roman" w:cs="Times New Roman"/>
          <w:i/>
          <w:iCs/>
          <w:color w:val="000000"/>
          <w:sz w:val="24"/>
          <w:szCs w:val="24"/>
          <w:lang/>
        </w:rPr>
        <w:t>{Підрозділ 4 розділу XX доповнено пунктом 38 згідно із Законом </w:t>
      </w:r>
      <w:hyperlink r:id="rId5869" w:anchor="n26" w:tgtFrame="_blank" w:history="1">
        <w:r w:rsidRPr="008B264B">
          <w:rPr>
            <w:rFonts w:ascii="Times New Roman" w:eastAsia="Times New Roman" w:hAnsi="Times New Roman" w:cs="Times New Roman"/>
            <w:i/>
            <w:iCs/>
            <w:color w:val="0000FF"/>
            <w:sz w:val="24"/>
            <w:szCs w:val="24"/>
            <w:u w:val="single"/>
            <w:lang/>
          </w:rPr>
          <w:t>№ 903-VIII від 23.12.2015</w:t>
        </w:r>
      </w:hyperlink>
      <w:r w:rsidRPr="008B264B">
        <w:rPr>
          <w:rFonts w:ascii="Times New Roman" w:eastAsia="Times New Roman" w:hAnsi="Times New Roman" w:cs="Times New Roman"/>
          <w:i/>
          <w:iCs/>
          <w:color w:val="000000"/>
          <w:sz w:val="24"/>
          <w:szCs w:val="24"/>
          <w:lang/>
        </w:rPr>
        <w:t>}</w:t>
      </w:r>
    </w:p>
    <w:p w14:paraId="457133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7" w:name="n12978"/>
      <w:bookmarkEnd w:id="10407"/>
      <w:r w:rsidRPr="008B264B">
        <w:rPr>
          <w:rFonts w:ascii="Times New Roman" w:eastAsia="Times New Roman" w:hAnsi="Times New Roman" w:cs="Times New Roman"/>
          <w:color w:val="000000"/>
          <w:sz w:val="24"/>
          <w:szCs w:val="24"/>
          <w:lang/>
        </w:rPr>
        <w:t>39. Тимчасово, до 1 січня 2023 року платник податку на прибуток підприємств:</w:t>
      </w:r>
    </w:p>
    <w:p w14:paraId="22D62BF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8" w:name="n16071"/>
      <w:bookmarkEnd w:id="10408"/>
      <w:r w:rsidRPr="008B264B">
        <w:rPr>
          <w:rFonts w:ascii="Times New Roman" w:eastAsia="Times New Roman" w:hAnsi="Times New Roman" w:cs="Times New Roman"/>
          <w:i/>
          <w:iCs/>
          <w:color w:val="000000"/>
          <w:sz w:val="24"/>
          <w:szCs w:val="24"/>
          <w:lang/>
        </w:rPr>
        <w:t>{Абзац перший пункту 39 підрозділу 4 розділу XX із змінами, внесеними згідно із Законом </w:t>
      </w:r>
      <w:hyperlink r:id="rId5870" w:anchor="n17"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0D62387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09" w:name="n12979"/>
      <w:bookmarkEnd w:id="10409"/>
      <w:r w:rsidRPr="008B264B">
        <w:rPr>
          <w:rFonts w:ascii="Times New Roman" w:eastAsia="Times New Roman" w:hAnsi="Times New Roman" w:cs="Times New Roman"/>
          <w:color w:val="000000"/>
          <w:sz w:val="24"/>
          <w:szCs w:val="24"/>
          <w:lang/>
        </w:rPr>
        <w:t>1) зменшує фінансовий результат до оподаткування:</w:t>
      </w:r>
    </w:p>
    <w:p w14:paraId="0C1DFA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0" w:name="n12980"/>
      <w:bookmarkEnd w:id="10410"/>
      <w:r w:rsidRPr="008B264B">
        <w:rPr>
          <w:rFonts w:ascii="Times New Roman" w:eastAsia="Times New Roman" w:hAnsi="Times New Roman" w:cs="Times New Roman"/>
          <w:color w:val="000000"/>
          <w:sz w:val="24"/>
          <w:szCs w:val="24"/>
          <w:lang/>
        </w:rPr>
        <w:t>на суму доходів, визнаних ним відповідно до національних положень (стандартів) бухгалтерського обліку або міжнародних стандартів фінансової звітності внаслідок списання йому податкового боргу, анулювання (прощення) та/або розстрочення (відстрочення) його зобов’язань відповідно до положень </w:t>
      </w:r>
      <w:hyperlink r:id="rId5871" w:anchor="n13022" w:history="1">
        <w:r w:rsidRPr="008B264B">
          <w:rPr>
            <w:rFonts w:ascii="Times New Roman" w:eastAsia="Times New Roman" w:hAnsi="Times New Roman" w:cs="Times New Roman"/>
            <w:color w:val="0000FF"/>
            <w:sz w:val="24"/>
            <w:szCs w:val="24"/>
            <w:u w:val="single"/>
            <w:lang/>
          </w:rPr>
          <w:t>пункту 37</w:t>
        </w:r>
      </w:hyperlink>
      <w:r w:rsidRPr="008B264B">
        <w:rPr>
          <w:rFonts w:ascii="Times New Roman" w:eastAsia="Times New Roman" w:hAnsi="Times New Roman" w:cs="Times New Roman"/>
          <w:color w:val="000000"/>
          <w:sz w:val="24"/>
          <w:szCs w:val="24"/>
          <w:lang/>
        </w:rPr>
        <w:t> підрозділу 10 розділу XX "Перехідні положення" цього Кодексу, а також внаслідок анулювання (прощення) його зобов’язань відповідно до закону щодо фінансової реструктуризації;</w:t>
      </w:r>
    </w:p>
    <w:p w14:paraId="751A8B4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1" w:name="n16072"/>
      <w:bookmarkEnd w:id="10411"/>
      <w:r w:rsidRPr="008B264B">
        <w:rPr>
          <w:rFonts w:ascii="Times New Roman" w:eastAsia="Times New Roman" w:hAnsi="Times New Roman" w:cs="Times New Roman"/>
          <w:i/>
          <w:iCs/>
          <w:color w:val="000000"/>
          <w:sz w:val="24"/>
          <w:szCs w:val="24"/>
          <w:lang/>
        </w:rPr>
        <w:t>{Абзац другий підпункту 1 пункту 39 підрозділу 4 розділу XX із змінами, внесеними згідно із Законом </w:t>
      </w:r>
      <w:hyperlink r:id="rId5872" w:anchor="n19"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165E76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2" w:name="n12981"/>
      <w:bookmarkEnd w:id="10412"/>
      <w:r w:rsidRPr="008B264B">
        <w:rPr>
          <w:rFonts w:ascii="Times New Roman" w:eastAsia="Times New Roman" w:hAnsi="Times New Roman" w:cs="Times New Roman"/>
          <w:color w:val="000000"/>
          <w:sz w:val="24"/>
          <w:szCs w:val="24"/>
          <w:lang/>
        </w:rPr>
        <w:t>на суму доходів, визнаних ним відповідно до національних положень (стандартів) бухгалтерського обліку або міжнародних стандартів фінансової звітності у зв’язку з розформуванням резервів внаслідок реструктуризації ним зобов’язань відповідно до плану реструктуризації, підписаного згідно із законом щодо фінансової реструктуризації, або плану санації, затвердженого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 якщо оподаткування таких резервів регулюється нормами </w:t>
      </w:r>
      <w:hyperlink r:id="rId5873" w:anchor="n10697" w:history="1">
        <w:r w:rsidRPr="008B264B">
          <w:rPr>
            <w:rFonts w:ascii="Times New Roman" w:eastAsia="Times New Roman" w:hAnsi="Times New Roman" w:cs="Times New Roman"/>
            <w:color w:val="0000FF"/>
            <w:sz w:val="24"/>
            <w:szCs w:val="24"/>
            <w:u w:val="single"/>
            <w:lang/>
          </w:rPr>
          <w:t>пункту 139.3</w:t>
        </w:r>
      </w:hyperlink>
      <w:r w:rsidRPr="008B264B">
        <w:rPr>
          <w:rFonts w:ascii="Times New Roman" w:eastAsia="Times New Roman" w:hAnsi="Times New Roman" w:cs="Times New Roman"/>
          <w:color w:val="000000"/>
          <w:sz w:val="24"/>
          <w:szCs w:val="24"/>
          <w:lang/>
        </w:rPr>
        <w:t> статті 139 цього Кодексу;</w:t>
      </w:r>
    </w:p>
    <w:p w14:paraId="4107B1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3" w:name="n16073"/>
      <w:bookmarkEnd w:id="10413"/>
      <w:r w:rsidRPr="008B264B">
        <w:rPr>
          <w:rFonts w:ascii="Times New Roman" w:eastAsia="Times New Roman" w:hAnsi="Times New Roman" w:cs="Times New Roman"/>
          <w:i/>
          <w:iCs/>
          <w:color w:val="000000"/>
          <w:sz w:val="24"/>
          <w:szCs w:val="24"/>
          <w:lang/>
        </w:rPr>
        <w:t>{Абзац третій підпункту 1 пункту 39 підрозділу 4 розділу XX із змінами, внесеними згідно із Законом </w:t>
      </w:r>
      <w:hyperlink r:id="rId5874" w:anchor="n20"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5F2AF9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4" w:name="n12982"/>
      <w:bookmarkEnd w:id="10414"/>
      <w:r w:rsidRPr="008B264B">
        <w:rPr>
          <w:rFonts w:ascii="Times New Roman" w:eastAsia="Times New Roman" w:hAnsi="Times New Roman" w:cs="Times New Roman"/>
          <w:color w:val="000000"/>
          <w:sz w:val="24"/>
          <w:szCs w:val="24"/>
          <w:lang/>
        </w:rPr>
        <w:t>2) збільшує фінансовий результат до оподаткування:</w:t>
      </w:r>
    </w:p>
    <w:p w14:paraId="0EB355E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5" w:name="n12983"/>
      <w:bookmarkEnd w:id="10415"/>
      <w:r w:rsidRPr="008B264B">
        <w:rPr>
          <w:rFonts w:ascii="Times New Roman" w:eastAsia="Times New Roman" w:hAnsi="Times New Roman" w:cs="Times New Roman"/>
          <w:color w:val="000000"/>
          <w:sz w:val="24"/>
          <w:szCs w:val="24"/>
          <w:lang/>
        </w:rPr>
        <w:t>на одну третю частину суми доходів, визнаних у зв’язку із зменшенням (розформуванням) резервів, на яку зменшувався його фінансовий результат до оподаткування згідно з підпунктом 1 цього пункту, в кожному з трьох років, наступних за роком, у якому було підписано план реструктуризації згідно із законом щодо фінансової реструктуризації або затверджено план санації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w:t>
      </w:r>
    </w:p>
    <w:p w14:paraId="10F28E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6" w:name="n16074"/>
      <w:bookmarkEnd w:id="10416"/>
      <w:r w:rsidRPr="008B264B">
        <w:rPr>
          <w:rFonts w:ascii="Times New Roman" w:eastAsia="Times New Roman" w:hAnsi="Times New Roman" w:cs="Times New Roman"/>
          <w:i/>
          <w:iCs/>
          <w:color w:val="000000"/>
          <w:sz w:val="24"/>
          <w:szCs w:val="24"/>
          <w:lang/>
        </w:rPr>
        <w:lastRenderedPageBreak/>
        <w:t>{Абзац другий підпункту 2 пункту 39 підрозділу 4 розділу XX із змінами, внесеними згідно із Законом </w:t>
      </w:r>
      <w:hyperlink r:id="rId5875" w:anchor="n21"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445299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7" w:name="n12984"/>
      <w:bookmarkEnd w:id="10417"/>
      <w:r w:rsidRPr="008B264B">
        <w:rPr>
          <w:rFonts w:ascii="Times New Roman" w:eastAsia="Times New Roman" w:hAnsi="Times New Roman" w:cs="Times New Roman"/>
          <w:color w:val="000000"/>
          <w:sz w:val="24"/>
          <w:szCs w:val="24"/>
          <w:lang/>
        </w:rPr>
        <w:t>3) не змінює фінансового результату до оподаткування:</w:t>
      </w:r>
    </w:p>
    <w:p w14:paraId="2FCC10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8" w:name="n12985"/>
      <w:bookmarkEnd w:id="10418"/>
      <w:r w:rsidRPr="008B264B">
        <w:rPr>
          <w:rFonts w:ascii="Times New Roman" w:eastAsia="Times New Roman" w:hAnsi="Times New Roman" w:cs="Times New Roman"/>
          <w:color w:val="000000"/>
          <w:sz w:val="24"/>
          <w:szCs w:val="24"/>
          <w:lang/>
        </w:rPr>
        <w:t>на суму використаного резерву внаслідок анулювання (прощення) зобов’язання на умовах плану реструктуризації, підписаного згідно із законом щодо фінансової реструктуризації, або плану санації, затвердженого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w:t>
      </w:r>
    </w:p>
    <w:p w14:paraId="4299F4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19" w:name="n12986"/>
      <w:bookmarkEnd w:id="10419"/>
      <w:r w:rsidRPr="008B264B">
        <w:rPr>
          <w:rFonts w:ascii="Times New Roman" w:eastAsia="Times New Roman" w:hAnsi="Times New Roman" w:cs="Times New Roman"/>
          <w:color w:val="000000"/>
          <w:sz w:val="24"/>
          <w:szCs w:val="24"/>
          <w:lang/>
        </w:rPr>
        <w:t>на суму доходів та витрат, не зазначених у підпунктах 1 і 2 цього пункту, що визнаються відповідно до національних положень (стандартів) бухгалтерського обліку або міжнародних стандартів фінансової звітності внаслідок реструктуризації зобов’язань на умовах плану реструктуризації, підписаного згідно із законом щодо фінансової реструктуризації, або плану санації, затвердженого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w:t>
      </w:r>
    </w:p>
    <w:p w14:paraId="2737322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0" w:name="n16075"/>
      <w:bookmarkEnd w:id="10420"/>
      <w:r w:rsidRPr="008B264B">
        <w:rPr>
          <w:rFonts w:ascii="Times New Roman" w:eastAsia="Times New Roman" w:hAnsi="Times New Roman" w:cs="Times New Roman"/>
          <w:i/>
          <w:iCs/>
          <w:color w:val="000000"/>
          <w:sz w:val="24"/>
          <w:szCs w:val="24"/>
          <w:lang/>
        </w:rPr>
        <w:t>{Підпункт 3 пункту 39 підрозділу 4 розділу XX із змінами, внесеними згідно із Законом </w:t>
      </w:r>
      <w:hyperlink r:id="rId5876" w:anchor="n22"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0B8C34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1" w:name="n12988"/>
      <w:bookmarkEnd w:id="10421"/>
      <w:r w:rsidRPr="008B264B">
        <w:rPr>
          <w:rFonts w:ascii="Times New Roman" w:eastAsia="Times New Roman" w:hAnsi="Times New Roman" w:cs="Times New Roman"/>
          <w:i/>
          <w:iCs/>
          <w:color w:val="000000"/>
          <w:sz w:val="24"/>
          <w:szCs w:val="24"/>
          <w:lang/>
        </w:rPr>
        <w:t>{Підрозділ 4 розділу XX доповнено пунктом 39 згідно із Законом </w:t>
      </w:r>
      <w:hyperlink r:id="rId5877" w:anchor="n6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CB872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2" w:name="n12987"/>
      <w:bookmarkEnd w:id="10422"/>
      <w:r w:rsidRPr="008B264B">
        <w:rPr>
          <w:rFonts w:ascii="Times New Roman" w:eastAsia="Times New Roman" w:hAnsi="Times New Roman" w:cs="Times New Roman"/>
          <w:color w:val="000000"/>
          <w:sz w:val="24"/>
          <w:szCs w:val="24"/>
          <w:lang/>
        </w:rPr>
        <w:t>40. Розрахунок об’єкта оподаткування податком на прибуток підприємств у 2015 році здійснюється з урахуванням того, що фінансовий результат до оподаткування зменшується на суму нарахованих доходів від участі в капіталі інших платників податку на прибуток підприємств, платників єдиного податку четвертої групи та на суму нарахованих доходів у вигляді дивідендів, що підлягають виплаті на його користь від інших платників податків, які сплачують авансові внески з податку на прибуток при виплаті дивідендів.</w:t>
      </w:r>
    </w:p>
    <w:p w14:paraId="6B0633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3" w:name="n12974"/>
      <w:bookmarkEnd w:id="10423"/>
      <w:r w:rsidRPr="008B264B">
        <w:rPr>
          <w:rFonts w:ascii="Times New Roman" w:eastAsia="Times New Roman" w:hAnsi="Times New Roman" w:cs="Times New Roman"/>
          <w:i/>
          <w:iCs/>
          <w:color w:val="000000"/>
          <w:sz w:val="24"/>
          <w:szCs w:val="24"/>
          <w:lang/>
        </w:rPr>
        <w:t>{Підрозділ 4 розділу XX доповнено пунктом 40 згідно із Законом </w:t>
      </w:r>
      <w:hyperlink r:id="rId5878" w:anchor="n68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800861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4" w:name="n13304"/>
      <w:bookmarkEnd w:id="10424"/>
      <w:r w:rsidRPr="008B264B">
        <w:rPr>
          <w:rFonts w:ascii="Times New Roman" w:eastAsia="Times New Roman" w:hAnsi="Times New Roman" w:cs="Times New Roman"/>
          <w:color w:val="000000"/>
          <w:sz w:val="24"/>
          <w:szCs w:val="24"/>
          <w:lang/>
        </w:rPr>
        <w:t>41. Тимчасово, до 1 січня 2025 року, звільняється від оподаткування прибуток підприємств - суб’єктів літакобудування, що визначені відповідно до норм статті 2 </w:t>
      </w:r>
      <w:hyperlink r:id="rId5879"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розвиток літакобудівної промисловості".</w:t>
      </w:r>
    </w:p>
    <w:p w14:paraId="7725144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5" w:name="n15049"/>
      <w:bookmarkEnd w:id="10425"/>
      <w:r w:rsidRPr="008B264B">
        <w:rPr>
          <w:rFonts w:ascii="Times New Roman" w:eastAsia="Times New Roman" w:hAnsi="Times New Roman" w:cs="Times New Roman"/>
          <w:i/>
          <w:iCs/>
          <w:color w:val="000000"/>
          <w:sz w:val="24"/>
          <w:szCs w:val="24"/>
          <w:lang/>
        </w:rPr>
        <w:t>{Абзац перший пункту 41 підрозділу 4 розділу XX в редакції Закону </w:t>
      </w:r>
      <w:hyperlink r:id="rId5880" w:anchor="n53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48774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6" w:name="n13305"/>
      <w:bookmarkEnd w:id="10426"/>
      <w:r w:rsidRPr="008B264B">
        <w:rPr>
          <w:rFonts w:ascii="Times New Roman" w:eastAsia="Times New Roman" w:hAnsi="Times New Roman" w:cs="Times New Roman"/>
          <w:color w:val="000000"/>
          <w:sz w:val="24"/>
          <w:szCs w:val="24"/>
          <w:lang/>
        </w:rPr>
        <w:t>Вивільнені кошти (суми податку, що не сплачуються до бюджету та залишаються в розпорядженні платника податку) використовуються на науково-дослідні та дослідницько-конструкторські роботи з літакобудування, створення чи переоснащення матеріально-технічної бази, збільшення обсягу виробництва, запровадження новітніх технологій. Використання таких коштів має бути пов’язане з діяльністю платника податку, прибуток від якої звільняється від оподаткування. </w:t>
      </w:r>
      <w:hyperlink r:id="rId5881" w:anchor="n9" w:tgtFrame="_blank" w:history="1">
        <w:r w:rsidRPr="008B264B">
          <w:rPr>
            <w:rFonts w:ascii="Times New Roman" w:eastAsia="Times New Roman" w:hAnsi="Times New Roman" w:cs="Times New Roman"/>
            <w:color w:val="0000FF"/>
            <w:sz w:val="24"/>
            <w:szCs w:val="24"/>
            <w:u w:val="single"/>
            <w:lang/>
          </w:rPr>
          <w:t>Порядок контролю за використанням вивільнених коштів</w:t>
        </w:r>
      </w:hyperlink>
      <w:r w:rsidRPr="008B264B">
        <w:rPr>
          <w:rFonts w:ascii="Times New Roman" w:eastAsia="Times New Roman" w:hAnsi="Times New Roman" w:cs="Times New Roman"/>
          <w:color w:val="000000"/>
          <w:sz w:val="24"/>
          <w:szCs w:val="24"/>
          <w:lang/>
        </w:rPr>
        <w:t> встановлюється Кабінетом Міністрів України.</w:t>
      </w:r>
    </w:p>
    <w:p w14:paraId="3B99DA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7" w:name="n13306"/>
      <w:bookmarkEnd w:id="10427"/>
      <w:r w:rsidRPr="008B264B">
        <w:rPr>
          <w:rFonts w:ascii="Times New Roman" w:eastAsia="Times New Roman" w:hAnsi="Times New Roman" w:cs="Times New Roman"/>
          <w:color w:val="000000"/>
          <w:sz w:val="24"/>
          <w:szCs w:val="24"/>
          <w:lang/>
        </w:rPr>
        <w:t>Суми вивільнених коштів визнаються як отримане цільове фінансування відповідно до національних положень (стандартів) бухгалтерського обліку або міжнародних стандартів фінансової звітності.</w:t>
      </w:r>
    </w:p>
    <w:p w14:paraId="1855F4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8" w:name="n13307"/>
      <w:bookmarkEnd w:id="10428"/>
      <w:r w:rsidRPr="008B264B">
        <w:rPr>
          <w:rFonts w:ascii="Times New Roman" w:eastAsia="Times New Roman" w:hAnsi="Times New Roman" w:cs="Times New Roman"/>
          <w:color w:val="000000"/>
          <w:sz w:val="24"/>
          <w:szCs w:val="24"/>
          <w:lang/>
        </w:rPr>
        <w:t>У разі порушення напрямів цільового використання, порядку використання вивільнених коштів платник податку зобов’язаний збільшити податкове зобов’язання з податку на прибуток підприємств, починаючи з першого числа місяця, в якому вчинено таке порушення. Штрафні санкції та пеня визначаються відповідно до цього Кодексу.</w:t>
      </w:r>
    </w:p>
    <w:p w14:paraId="34A047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29" w:name="n13303"/>
      <w:bookmarkEnd w:id="10429"/>
      <w:r w:rsidRPr="008B264B">
        <w:rPr>
          <w:rFonts w:ascii="Times New Roman" w:eastAsia="Times New Roman" w:hAnsi="Times New Roman" w:cs="Times New Roman"/>
          <w:i/>
          <w:iCs/>
          <w:color w:val="000000"/>
          <w:sz w:val="24"/>
          <w:szCs w:val="24"/>
          <w:lang/>
        </w:rPr>
        <w:t>{Підрозділ 4 розділу XX доповнено пунктом 41 згідно із Законом </w:t>
      </w:r>
      <w:hyperlink r:id="rId5882" w:anchor="n12" w:tgtFrame="_blank" w:history="1">
        <w:r w:rsidRPr="008B264B">
          <w:rPr>
            <w:rFonts w:ascii="Times New Roman" w:eastAsia="Times New Roman" w:hAnsi="Times New Roman" w:cs="Times New Roman"/>
            <w:i/>
            <w:iCs/>
            <w:color w:val="0000FF"/>
            <w:sz w:val="24"/>
            <w:szCs w:val="24"/>
            <w:u w:val="single"/>
            <w:lang/>
          </w:rPr>
          <w:t>№ 1795-VIII від 20.12.2016</w:t>
        </w:r>
      </w:hyperlink>
      <w:r w:rsidRPr="008B264B">
        <w:rPr>
          <w:rFonts w:ascii="Times New Roman" w:eastAsia="Times New Roman" w:hAnsi="Times New Roman" w:cs="Times New Roman"/>
          <w:i/>
          <w:iCs/>
          <w:color w:val="000000"/>
          <w:sz w:val="24"/>
          <w:szCs w:val="24"/>
          <w:lang/>
        </w:rPr>
        <w:t>}</w:t>
      </w:r>
    </w:p>
    <w:p w14:paraId="03EBE1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0" w:name="n14454"/>
      <w:bookmarkEnd w:id="10430"/>
      <w:r w:rsidRPr="008B264B">
        <w:rPr>
          <w:rFonts w:ascii="Times New Roman" w:eastAsia="Times New Roman" w:hAnsi="Times New Roman" w:cs="Times New Roman"/>
          <w:color w:val="000000"/>
          <w:sz w:val="24"/>
          <w:szCs w:val="24"/>
          <w:lang/>
        </w:rPr>
        <w:t xml:space="preserve">42. Суми доходів або витрат, що враховані під час визначення об’єкта оподаткування податком на прибуток до 1 січня 2015 року та враховані у складі доходів або витрат відповідно </w:t>
      </w:r>
      <w:r w:rsidRPr="008B264B">
        <w:rPr>
          <w:rFonts w:ascii="Times New Roman" w:eastAsia="Times New Roman" w:hAnsi="Times New Roman" w:cs="Times New Roman"/>
          <w:color w:val="000000"/>
          <w:sz w:val="24"/>
          <w:szCs w:val="24"/>
          <w:lang/>
        </w:rPr>
        <w:lastRenderedPageBreak/>
        <w:t>до положень (стандартів) бухгалтерського обліку або міжнародних стандартів фінансової звітності під час визначення фінансового результату до оподаткування після 1 січня 2015 року, не підлягають повторному врахуванню під час визначення такого об’єкта та формують різницю, згідно з якою фінансовий результат до оподаткування:</w:t>
      </w:r>
    </w:p>
    <w:p w14:paraId="0B28FB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1" w:name="n14455"/>
      <w:bookmarkEnd w:id="10431"/>
      <w:r w:rsidRPr="008B264B">
        <w:rPr>
          <w:rFonts w:ascii="Times New Roman" w:eastAsia="Times New Roman" w:hAnsi="Times New Roman" w:cs="Times New Roman"/>
          <w:color w:val="000000"/>
          <w:sz w:val="24"/>
          <w:szCs w:val="24"/>
          <w:lang/>
        </w:rPr>
        <w:t>зменшується на суму таких доходів;</w:t>
      </w:r>
    </w:p>
    <w:p w14:paraId="3E49B8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2" w:name="n14456"/>
      <w:bookmarkEnd w:id="10432"/>
      <w:r w:rsidRPr="008B264B">
        <w:rPr>
          <w:rFonts w:ascii="Times New Roman" w:eastAsia="Times New Roman" w:hAnsi="Times New Roman" w:cs="Times New Roman"/>
          <w:color w:val="000000"/>
          <w:sz w:val="24"/>
          <w:szCs w:val="24"/>
          <w:lang/>
        </w:rPr>
        <w:t>збільшується на суму таких витрат.</w:t>
      </w:r>
    </w:p>
    <w:p w14:paraId="2D3A2F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3" w:name="n14507"/>
      <w:bookmarkEnd w:id="10433"/>
      <w:r w:rsidRPr="008B264B">
        <w:rPr>
          <w:rFonts w:ascii="Times New Roman" w:eastAsia="Times New Roman" w:hAnsi="Times New Roman" w:cs="Times New Roman"/>
          <w:i/>
          <w:iCs/>
          <w:color w:val="000000"/>
          <w:sz w:val="24"/>
          <w:szCs w:val="24"/>
          <w:lang/>
        </w:rPr>
        <w:t>{Підрозділ 4 розділу XX доповнено пунктом 42 згідно із Законом </w:t>
      </w:r>
      <w:hyperlink r:id="rId5883"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C497E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4" w:name="n14457"/>
      <w:bookmarkEnd w:id="10434"/>
      <w:r w:rsidRPr="008B264B">
        <w:rPr>
          <w:rFonts w:ascii="Times New Roman" w:eastAsia="Times New Roman" w:hAnsi="Times New Roman" w:cs="Times New Roman"/>
          <w:color w:val="000000"/>
          <w:sz w:val="24"/>
          <w:szCs w:val="24"/>
          <w:lang/>
        </w:rPr>
        <w:t>43. Платники податку на прибуток під час розрахунку амортизації за прямолінійним методом щодо основних засобів четвертої групи можуть використовувати починаючи з 1 січня 2017 року мінімально допустимий строк амортизації, який дорівнює два роки, якщо витрати на придбання таких основних засобів понесені (нараховані) платником податків після 1 січня 2017 року та в разі, якщо для таких основних засобів одночасно виконуються вимоги:</w:t>
      </w:r>
    </w:p>
    <w:p w14:paraId="1A8229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5" w:name="n14458"/>
      <w:bookmarkEnd w:id="10435"/>
      <w:r w:rsidRPr="008B264B">
        <w:rPr>
          <w:rFonts w:ascii="Times New Roman" w:eastAsia="Times New Roman" w:hAnsi="Times New Roman" w:cs="Times New Roman"/>
          <w:color w:val="000000"/>
          <w:sz w:val="24"/>
          <w:szCs w:val="24"/>
          <w:lang/>
        </w:rPr>
        <w:t>основні засоби не були введені в експлуатацію та не використовувалися на території України;</w:t>
      </w:r>
    </w:p>
    <w:p w14:paraId="0E6EB5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6" w:name="n14459"/>
      <w:bookmarkEnd w:id="10436"/>
      <w:r w:rsidRPr="008B264B">
        <w:rPr>
          <w:rFonts w:ascii="Times New Roman" w:eastAsia="Times New Roman" w:hAnsi="Times New Roman" w:cs="Times New Roman"/>
          <w:color w:val="000000"/>
          <w:sz w:val="24"/>
          <w:szCs w:val="24"/>
          <w:lang/>
        </w:rPr>
        <w:t>основні засоби введені в експлуатацію в межах одного з податкових (звітних) періодів з 1 січня 2017 року по 31 грудня 2019 року;</w:t>
      </w:r>
    </w:p>
    <w:p w14:paraId="484691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7" w:name="n15409"/>
      <w:bookmarkEnd w:id="10437"/>
      <w:r w:rsidRPr="008B264B">
        <w:rPr>
          <w:rFonts w:ascii="Times New Roman" w:eastAsia="Times New Roman" w:hAnsi="Times New Roman" w:cs="Times New Roman"/>
          <w:i/>
          <w:iCs/>
          <w:color w:val="000000"/>
          <w:sz w:val="24"/>
          <w:szCs w:val="24"/>
          <w:lang/>
        </w:rPr>
        <w:t>{Абзац третій пункту 43 підрозділу 4 розділу XX в редакції Закону </w:t>
      </w:r>
      <w:hyperlink r:id="rId5884" w:anchor="n68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64BA8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8" w:name="n14460"/>
      <w:bookmarkEnd w:id="10438"/>
      <w:r w:rsidRPr="008B264B">
        <w:rPr>
          <w:rFonts w:ascii="Times New Roman" w:eastAsia="Times New Roman" w:hAnsi="Times New Roman" w:cs="Times New Roman"/>
          <w:color w:val="000000"/>
          <w:sz w:val="24"/>
          <w:szCs w:val="24"/>
          <w:lang/>
        </w:rPr>
        <w:t>основні засоби використовуються у власній господарській діяльності та не продаються або не надаються в оренду іншим особам (за виключенням платників податків, основним видом діяльності яких є послуги з надання в оренду майна).</w:t>
      </w:r>
    </w:p>
    <w:p w14:paraId="2F9EE4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39" w:name="n14461"/>
      <w:bookmarkEnd w:id="10439"/>
      <w:r w:rsidRPr="008B264B">
        <w:rPr>
          <w:rFonts w:ascii="Times New Roman" w:eastAsia="Times New Roman" w:hAnsi="Times New Roman" w:cs="Times New Roman"/>
          <w:color w:val="000000"/>
          <w:sz w:val="24"/>
          <w:szCs w:val="24"/>
          <w:lang/>
        </w:rPr>
        <w:t>У разі недотримання зазначених вимог до закінчення періоду нарахування амортизації з використанням мінімально допустимого строку амортизації, визначеного у цьому пункті, починаючи з дати введення їх в експлуатацію, платник податку у податковому (звітному) періоді, в якому відбувся факт невикористання основних засобів у власній господарській діяльності або їх продаж, зобов’язаний:</w:t>
      </w:r>
    </w:p>
    <w:p w14:paraId="7D9EAC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0" w:name="n14462"/>
      <w:bookmarkEnd w:id="10440"/>
      <w:r w:rsidRPr="008B264B">
        <w:rPr>
          <w:rFonts w:ascii="Times New Roman" w:eastAsia="Times New Roman" w:hAnsi="Times New Roman" w:cs="Times New Roman"/>
          <w:color w:val="000000"/>
          <w:sz w:val="24"/>
          <w:szCs w:val="24"/>
          <w:lang/>
        </w:rPr>
        <w:t>збільшити фінансовий результат до оподаткування на суму нарахованої амортизації основних засобів відповідно до цього пункту протягом податкових (звітних) періодів, у яких здійснювалося нарахування амортизації із застосуванням мінімально допустимих строків амортизації основних засобів, визначених у цьому пункті;</w:t>
      </w:r>
    </w:p>
    <w:p w14:paraId="4B4D4B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1" w:name="n14463"/>
      <w:bookmarkEnd w:id="10441"/>
      <w:r w:rsidRPr="008B264B">
        <w:rPr>
          <w:rFonts w:ascii="Times New Roman" w:eastAsia="Times New Roman" w:hAnsi="Times New Roman" w:cs="Times New Roman"/>
          <w:color w:val="000000"/>
          <w:sz w:val="24"/>
          <w:szCs w:val="24"/>
          <w:lang/>
        </w:rPr>
        <w:t>зменшити фінансовий результат до оподаткування на суму розрахованої амортизації таких основних засобів відповідно до </w:t>
      </w:r>
      <w:hyperlink r:id="rId5885" w:anchor="n10671" w:history="1">
        <w:r w:rsidRPr="008B264B">
          <w:rPr>
            <w:rFonts w:ascii="Times New Roman" w:eastAsia="Times New Roman" w:hAnsi="Times New Roman" w:cs="Times New Roman"/>
            <w:color w:val="0000FF"/>
            <w:sz w:val="24"/>
            <w:szCs w:val="24"/>
            <w:u w:val="single"/>
            <w:lang/>
          </w:rPr>
          <w:t>пункту 138.3</w:t>
        </w:r>
      </w:hyperlink>
      <w:r w:rsidRPr="008B264B">
        <w:rPr>
          <w:rFonts w:ascii="Times New Roman" w:eastAsia="Times New Roman" w:hAnsi="Times New Roman" w:cs="Times New Roman"/>
          <w:color w:val="000000"/>
          <w:sz w:val="24"/>
          <w:szCs w:val="24"/>
          <w:lang/>
        </w:rPr>
        <w:t> статті 138 цього Кодексу за відповідні податкові (звітні) періоди.</w:t>
      </w:r>
    </w:p>
    <w:p w14:paraId="6F4AB8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2" w:name="n14464"/>
      <w:bookmarkEnd w:id="10442"/>
      <w:r w:rsidRPr="008B264B">
        <w:rPr>
          <w:rFonts w:ascii="Times New Roman" w:eastAsia="Times New Roman" w:hAnsi="Times New Roman" w:cs="Times New Roman"/>
          <w:color w:val="000000"/>
          <w:sz w:val="24"/>
          <w:szCs w:val="24"/>
          <w:lang/>
        </w:rPr>
        <w:t>Під час застосування положень цього пункту норми </w:t>
      </w:r>
      <w:hyperlink r:id="rId5886" w:anchor="n10671" w:history="1">
        <w:r w:rsidRPr="008B264B">
          <w:rPr>
            <w:rFonts w:ascii="Times New Roman" w:eastAsia="Times New Roman" w:hAnsi="Times New Roman" w:cs="Times New Roman"/>
            <w:color w:val="0000FF"/>
            <w:sz w:val="24"/>
            <w:szCs w:val="24"/>
            <w:u w:val="single"/>
            <w:lang/>
          </w:rPr>
          <w:t>пункту 138.3</w:t>
        </w:r>
      </w:hyperlink>
      <w:r w:rsidRPr="008B264B">
        <w:rPr>
          <w:rFonts w:ascii="Times New Roman" w:eastAsia="Times New Roman" w:hAnsi="Times New Roman" w:cs="Times New Roman"/>
          <w:color w:val="000000"/>
          <w:sz w:val="24"/>
          <w:szCs w:val="24"/>
          <w:lang/>
        </w:rPr>
        <w:t> статті 138 цього Кодексу не застосовуються в частині нарахування амортизації відповідно до встановлених мінімально допустимих строків амортизації основних засобів.</w:t>
      </w:r>
    </w:p>
    <w:p w14:paraId="208659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3" w:name="n14465"/>
      <w:bookmarkEnd w:id="10443"/>
      <w:r w:rsidRPr="008B264B">
        <w:rPr>
          <w:rFonts w:ascii="Times New Roman" w:eastAsia="Times New Roman" w:hAnsi="Times New Roman" w:cs="Times New Roman"/>
          <w:color w:val="000000"/>
          <w:sz w:val="24"/>
          <w:szCs w:val="24"/>
          <w:lang/>
        </w:rPr>
        <w:t>У разі проведення реорганізації чи виділу право на застосування мінімально допустимих строків амортизації основних засобів, визначених у цьому пункті, переходить до правонаступника (ів) відповідно до частки капітальних інвестицій, отриманих таким правонаступником (ами) згідно з розподільчим балансом чи передавальним актом.</w:t>
      </w:r>
    </w:p>
    <w:p w14:paraId="5D32AD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4" w:name="n14506"/>
      <w:bookmarkEnd w:id="10444"/>
      <w:r w:rsidRPr="008B264B">
        <w:rPr>
          <w:rFonts w:ascii="Times New Roman" w:eastAsia="Times New Roman" w:hAnsi="Times New Roman" w:cs="Times New Roman"/>
          <w:i/>
          <w:iCs/>
          <w:color w:val="000000"/>
          <w:sz w:val="24"/>
          <w:szCs w:val="24"/>
          <w:lang/>
        </w:rPr>
        <w:t>{Підрозділ 4 розділу XX доповнено пунктом 43 згідно із Законом </w:t>
      </w:r>
      <w:hyperlink r:id="rId5887"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C30703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5" w:name="n14466"/>
      <w:bookmarkEnd w:id="10445"/>
      <w:r w:rsidRPr="008B264B">
        <w:rPr>
          <w:rFonts w:ascii="Times New Roman" w:eastAsia="Times New Roman" w:hAnsi="Times New Roman" w:cs="Times New Roman"/>
          <w:color w:val="000000"/>
          <w:sz w:val="24"/>
          <w:szCs w:val="24"/>
          <w:lang/>
        </w:rPr>
        <w:t xml:space="preserve">44. На період до 31 грудня 2021 року застосовується ставка нуль відсотків для платників податку на прибуток, у яких річний дохід, визначений за правилами бухгалтерського обліку за останній річний звітний період, не перевищує трьох мільйонів гривень та розмір нарахованої за кожний місяць звітного періоду заробітної плати (доходу) кожному з працівників, які </w:t>
      </w:r>
      <w:r w:rsidRPr="008B264B">
        <w:rPr>
          <w:rFonts w:ascii="Times New Roman" w:eastAsia="Times New Roman" w:hAnsi="Times New Roman" w:cs="Times New Roman"/>
          <w:color w:val="000000"/>
          <w:sz w:val="24"/>
          <w:szCs w:val="24"/>
          <w:lang/>
        </w:rPr>
        <w:lastRenderedPageBreak/>
        <w:t>перебувають з платником податку у трудових відносинах, є не меншим як дві мінімальні заробітні плати, розмір якої встановлено законом, та які відповідають одному із таких критеріїв:</w:t>
      </w:r>
    </w:p>
    <w:p w14:paraId="694ED6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6" w:name="n14467"/>
      <w:bookmarkEnd w:id="10446"/>
      <w:r w:rsidRPr="008B264B">
        <w:rPr>
          <w:rFonts w:ascii="Times New Roman" w:eastAsia="Times New Roman" w:hAnsi="Times New Roman" w:cs="Times New Roman"/>
          <w:color w:val="000000"/>
          <w:sz w:val="24"/>
          <w:szCs w:val="24"/>
          <w:lang/>
        </w:rPr>
        <w:t>а) утворені в установленому законом порядку після 1 січня 2017 року;</w:t>
      </w:r>
    </w:p>
    <w:p w14:paraId="108C01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7" w:name="n14468"/>
      <w:bookmarkEnd w:id="10447"/>
      <w:r w:rsidRPr="008B264B">
        <w:rPr>
          <w:rFonts w:ascii="Times New Roman" w:eastAsia="Times New Roman" w:hAnsi="Times New Roman" w:cs="Times New Roman"/>
          <w:color w:val="000000"/>
          <w:sz w:val="24"/>
          <w:szCs w:val="24"/>
          <w:lang/>
        </w:rPr>
        <w:t>б) діючі, у яких протягом трьох послідовних попередніх років (або протягом усіх попередніх періодів, якщо з моменту їх утворення пройшло менше трьох років) щорічний обсяг доходів задекларовано в сумі, що не перевищує трьох мільйонів гривень, та у яких середньооблікова кількість працівників протягом цього періоду становила від п’яти до 20 осіб;</w:t>
      </w:r>
    </w:p>
    <w:p w14:paraId="66283B7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8" w:name="n14469"/>
      <w:bookmarkEnd w:id="10448"/>
      <w:r w:rsidRPr="008B264B">
        <w:rPr>
          <w:rFonts w:ascii="Times New Roman" w:eastAsia="Times New Roman" w:hAnsi="Times New Roman" w:cs="Times New Roman"/>
          <w:color w:val="000000"/>
          <w:sz w:val="24"/>
          <w:szCs w:val="24"/>
          <w:lang/>
        </w:rPr>
        <w:t>в) які були зареєстровані платниками єдиного податку в установленому законодавством порядку в період до 1 січня 2017 року та у яких за останній календарний рік обсяг виручки від реалізації продукції (товарів, робіт, послуг) становив до трьох мільйонів гривень та середньооблікова кількість працівників становила від п’яти до 50 осіб.</w:t>
      </w:r>
    </w:p>
    <w:p w14:paraId="307ED96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49" w:name="n14470"/>
      <w:bookmarkEnd w:id="10449"/>
      <w:r w:rsidRPr="008B264B">
        <w:rPr>
          <w:rFonts w:ascii="Times New Roman" w:eastAsia="Times New Roman" w:hAnsi="Times New Roman" w:cs="Times New Roman"/>
          <w:color w:val="000000"/>
          <w:sz w:val="24"/>
          <w:szCs w:val="24"/>
          <w:lang/>
        </w:rPr>
        <w:t>При цьому, якщо платники податку, які застосовують норми цього пункту, у будь-якому звітному періоді досягли показників щодо отриманого доходу, середньооблікової чисельності або середньої заробітної плати працівників, з яких хоча б один не відповідає критеріям, зазначеним у цьому пункті, то такі платники податку зобов’язані оподаткувати прибуток, отриманий у такому звітному періоді, за ставкою, встановленою </w:t>
      </w:r>
      <w:hyperlink r:id="rId5888" w:anchor="n10643" w:history="1">
        <w:r w:rsidRPr="008B264B">
          <w:rPr>
            <w:rFonts w:ascii="Times New Roman" w:eastAsia="Times New Roman" w:hAnsi="Times New Roman" w:cs="Times New Roman"/>
            <w:color w:val="0000FF"/>
            <w:sz w:val="24"/>
            <w:szCs w:val="24"/>
            <w:u w:val="single"/>
            <w:lang/>
          </w:rPr>
          <w:t>пунктом 136.1</w:t>
        </w:r>
      </w:hyperlink>
      <w:r w:rsidRPr="008B264B">
        <w:rPr>
          <w:rFonts w:ascii="Times New Roman" w:eastAsia="Times New Roman" w:hAnsi="Times New Roman" w:cs="Times New Roman"/>
          <w:color w:val="000000"/>
          <w:sz w:val="24"/>
          <w:szCs w:val="24"/>
          <w:lang/>
        </w:rPr>
        <w:t> статті 136 цього Кодексу.</w:t>
      </w:r>
    </w:p>
    <w:p w14:paraId="0D66A6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0" w:name="n14471"/>
      <w:bookmarkEnd w:id="10450"/>
      <w:r w:rsidRPr="008B264B">
        <w:rPr>
          <w:rFonts w:ascii="Times New Roman" w:eastAsia="Times New Roman" w:hAnsi="Times New Roman" w:cs="Times New Roman"/>
          <w:color w:val="000000"/>
          <w:sz w:val="24"/>
          <w:szCs w:val="24"/>
          <w:lang/>
        </w:rPr>
        <w:t>Дія цього пункту не поширюється на суб’єктів господарювання, які:</w:t>
      </w:r>
    </w:p>
    <w:p w14:paraId="361D89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1" w:name="n14472"/>
      <w:bookmarkEnd w:id="10451"/>
      <w:r w:rsidRPr="008B264B">
        <w:rPr>
          <w:rFonts w:ascii="Times New Roman" w:eastAsia="Times New Roman" w:hAnsi="Times New Roman" w:cs="Times New Roman"/>
          <w:color w:val="000000"/>
          <w:sz w:val="24"/>
          <w:szCs w:val="24"/>
          <w:lang/>
        </w:rPr>
        <w:t>1) утворені після 1 січня 2017 року шляхом реорганізації (злиття, приєднання, поділу, перетворення), приватизації та корпоратизації;</w:t>
      </w:r>
    </w:p>
    <w:p w14:paraId="26371C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2" w:name="n14473"/>
      <w:bookmarkEnd w:id="10452"/>
      <w:r w:rsidRPr="008B264B">
        <w:rPr>
          <w:rFonts w:ascii="Times New Roman" w:eastAsia="Times New Roman" w:hAnsi="Times New Roman" w:cs="Times New Roman"/>
          <w:color w:val="000000"/>
          <w:sz w:val="24"/>
          <w:szCs w:val="24"/>
          <w:lang/>
        </w:rPr>
        <w:t>2) здійснюють:</w:t>
      </w:r>
    </w:p>
    <w:p w14:paraId="2B5B4F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3" w:name="n14474"/>
      <w:bookmarkEnd w:id="10453"/>
      <w:r w:rsidRPr="008B264B">
        <w:rPr>
          <w:rFonts w:ascii="Times New Roman" w:eastAsia="Times New Roman" w:hAnsi="Times New Roman" w:cs="Times New Roman"/>
          <w:color w:val="000000"/>
          <w:sz w:val="24"/>
          <w:szCs w:val="24"/>
          <w:lang/>
        </w:rPr>
        <w:t>2.1) діяльність у сфері розваг, визначену в підпункті </w:t>
      </w:r>
      <w:hyperlink r:id="rId5889" w:anchor="n337" w:history="1">
        <w:r w:rsidRPr="008B264B">
          <w:rPr>
            <w:rFonts w:ascii="Times New Roman" w:eastAsia="Times New Roman" w:hAnsi="Times New Roman" w:cs="Times New Roman"/>
            <w:color w:val="0000FF"/>
            <w:sz w:val="24"/>
            <w:szCs w:val="24"/>
            <w:u w:val="single"/>
            <w:lang/>
          </w:rPr>
          <w:t>14.1.46</w:t>
        </w:r>
      </w:hyperlink>
      <w:r w:rsidRPr="008B264B">
        <w:rPr>
          <w:rFonts w:ascii="Times New Roman" w:eastAsia="Times New Roman" w:hAnsi="Times New Roman" w:cs="Times New Roman"/>
          <w:color w:val="000000"/>
          <w:sz w:val="24"/>
          <w:szCs w:val="24"/>
          <w:lang/>
        </w:rPr>
        <w:t> пункту 14.1 статті 14 розділу I;</w:t>
      </w:r>
    </w:p>
    <w:p w14:paraId="691465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4" w:name="n14475"/>
      <w:bookmarkEnd w:id="10454"/>
      <w:r w:rsidRPr="008B264B">
        <w:rPr>
          <w:rFonts w:ascii="Times New Roman" w:eastAsia="Times New Roman" w:hAnsi="Times New Roman" w:cs="Times New Roman"/>
          <w:color w:val="000000"/>
          <w:sz w:val="24"/>
          <w:szCs w:val="24"/>
          <w:lang/>
        </w:rPr>
        <w:t>2.2) виробництво, оптовий продаж, експорт, імпорт підакцизних товарів;</w:t>
      </w:r>
    </w:p>
    <w:p w14:paraId="4E911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5" w:name="n14476"/>
      <w:bookmarkEnd w:id="10455"/>
      <w:r w:rsidRPr="008B264B">
        <w:rPr>
          <w:rFonts w:ascii="Times New Roman" w:eastAsia="Times New Roman" w:hAnsi="Times New Roman" w:cs="Times New Roman"/>
          <w:color w:val="000000"/>
          <w:sz w:val="24"/>
          <w:szCs w:val="24"/>
          <w:lang/>
        </w:rPr>
        <w:t>2.3) виробництво, оптовий та роздрібний продаж пально-мастильних матеріалів;</w:t>
      </w:r>
    </w:p>
    <w:p w14:paraId="2FA4E6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6" w:name="n14477"/>
      <w:bookmarkEnd w:id="10456"/>
      <w:r w:rsidRPr="008B264B">
        <w:rPr>
          <w:rFonts w:ascii="Times New Roman" w:eastAsia="Times New Roman" w:hAnsi="Times New Roman" w:cs="Times New Roman"/>
          <w:color w:val="000000"/>
          <w:sz w:val="24"/>
          <w:szCs w:val="24"/>
          <w:lang/>
        </w:rPr>
        <w:t>2.4) видобуток, серійне виробництво та виготовлення дорогоцінних металів і дорогоцінного каміння, у тому числі органогенного утворення;</w:t>
      </w:r>
    </w:p>
    <w:p w14:paraId="6430FC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7" w:name="n14478"/>
      <w:bookmarkEnd w:id="10457"/>
      <w:r w:rsidRPr="008B264B">
        <w:rPr>
          <w:rFonts w:ascii="Times New Roman" w:eastAsia="Times New Roman" w:hAnsi="Times New Roman" w:cs="Times New Roman"/>
          <w:color w:val="000000"/>
          <w:sz w:val="24"/>
          <w:szCs w:val="24"/>
          <w:lang/>
        </w:rPr>
        <w:t>2.5) фінансову та страхову діяльність (гр. 64 - гр. 66 Секції K </w:t>
      </w:r>
      <w:hyperlink r:id="rId5890"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464C87F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8" w:name="n14479"/>
      <w:bookmarkEnd w:id="10458"/>
      <w:r w:rsidRPr="008B264B">
        <w:rPr>
          <w:rFonts w:ascii="Times New Roman" w:eastAsia="Times New Roman" w:hAnsi="Times New Roman" w:cs="Times New Roman"/>
          <w:color w:val="000000"/>
          <w:sz w:val="24"/>
          <w:szCs w:val="24"/>
          <w:lang/>
        </w:rPr>
        <w:t>2.6) діяльність з обміну валют;</w:t>
      </w:r>
    </w:p>
    <w:p w14:paraId="0109E9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59" w:name="n14480"/>
      <w:bookmarkEnd w:id="10459"/>
      <w:r w:rsidRPr="008B264B">
        <w:rPr>
          <w:rFonts w:ascii="Times New Roman" w:eastAsia="Times New Roman" w:hAnsi="Times New Roman" w:cs="Times New Roman"/>
          <w:color w:val="000000"/>
          <w:sz w:val="24"/>
          <w:szCs w:val="24"/>
          <w:lang/>
        </w:rPr>
        <w:t>2.7) видобуток та реалізацію корисних копалин загальнодержавного значення;</w:t>
      </w:r>
    </w:p>
    <w:p w14:paraId="74527F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0" w:name="n14481"/>
      <w:bookmarkEnd w:id="10460"/>
      <w:r w:rsidRPr="008B264B">
        <w:rPr>
          <w:rFonts w:ascii="Times New Roman" w:eastAsia="Times New Roman" w:hAnsi="Times New Roman" w:cs="Times New Roman"/>
          <w:color w:val="000000"/>
          <w:sz w:val="24"/>
          <w:szCs w:val="24"/>
          <w:lang/>
        </w:rPr>
        <w:t>2.8) операції з нерухомим майном (гр. 68 </w:t>
      </w:r>
      <w:hyperlink r:id="rId5891"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1BE3B6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1" w:name="n14482"/>
      <w:bookmarkEnd w:id="10461"/>
      <w:r w:rsidRPr="008B264B">
        <w:rPr>
          <w:rFonts w:ascii="Times New Roman" w:eastAsia="Times New Roman" w:hAnsi="Times New Roman" w:cs="Times New Roman"/>
          <w:color w:val="000000"/>
          <w:sz w:val="24"/>
          <w:szCs w:val="24"/>
          <w:lang/>
        </w:rPr>
        <w:t>2.9) поштову та кур’єрську діяльність (гр. 53 </w:t>
      </w:r>
      <w:hyperlink r:id="rId5892"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09DC79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2" w:name="n14483"/>
      <w:bookmarkEnd w:id="10462"/>
      <w:r w:rsidRPr="008B264B">
        <w:rPr>
          <w:rFonts w:ascii="Times New Roman" w:eastAsia="Times New Roman" w:hAnsi="Times New Roman" w:cs="Times New Roman"/>
          <w:color w:val="000000"/>
          <w:sz w:val="24"/>
          <w:szCs w:val="24"/>
          <w:lang/>
        </w:rPr>
        <w:t>2.10) діяльність з організації торгів (аукціонів) виробами мистецтва, предметами колекціонування або антикваріату;</w:t>
      </w:r>
    </w:p>
    <w:p w14:paraId="6A3013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3" w:name="n14484"/>
      <w:bookmarkEnd w:id="10463"/>
      <w:r w:rsidRPr="008B264B">
        <w:rPr>
          <w:rFonts w:ascii="Times New Roman" w:eastAsia="Times New Roman" w:hAnsi="Times New Roman" w:cs="Times New Roman"/>
          <w:color w:val="000000"/>
          <w:sz w:val="24"/>
          <w:szCs w:val="24"/>
          <w:lang/>
        </w:rPr>
        <w:t>2.11) діяльність з надання послуг у сфері телебачення і радіомовлення відповідно до </w:t>
      </w:r>
      <w:hyperlink r:id="rId589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телебачення і радіомовлення";</w:t>
      </w:r>
    </w:p>
    <w:p w14:paraId="51690A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4" w:name="n14485"/>
      <w:bookmarkEnd w:id="10464"/>
      <w:r w:rsidRPr="008B264B">
        <w:rPr>
          <w:rFonts w:ascii="Times New Roman" w:eastAsia="Times New Roman" w:hAnsi="Times New Roman" w:cs="Times New Roman"/>
          <w:color w:val="000000"/>
          <w:sz w:val="24"/>
          <w:szCs w:val="24"/>
          <w:lang/>
        </w:rPr>
        <w:t>2.12) охоронну діяльність;</w:t>
      </w:r>
    </w:p>
    <w:p w14:paraId="45BD7F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5" w:name="n14486"/>
      <w:bookmarkEnd w:id="10465"/>
      <w:r w:rsidRPr="008B264B">
        <w:rPr>
          <w:rFonts w:ascii="Times New Roman" w:eastAsia="Times New Roman" w:hAnsi="Times New Roman" w:cs="Times New Roman"/>
          <w:color w:val="000000"/>
          <w:sz w:val="24"/>
          <w:szCs w:val="24"/>
          <w:lang/>
        </w:rPr>
        <w:t>2.13) зовнішньоекономічну діяльність (крім діяльності у сфері інформатизації);</w:t>
      </w:r>
    </w:p>
    <w:p w14:paraId="11D99B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6" w:name="n14487"/>
      <w:bookmarkEnd w:id="10466"/>
      <w:r w:rsidRPr="008B264B">
        <w:rPr>
          <w:rFonts w:ascii="Times New Roman" w:eastAsia="Times New Roman" w:hAnsi="Times New Roman" w:cs="Times New Roman"/>
          <w:color w:val="000000"/>
          <w:sz w:val="24"/>
          <w:szCs w:val="24"/>
          <w:lang/>
        </w:rPr>
        <w:t>2.14) виробництво продукції на давальницькій сировині;</w:t>
      </w:r>
    </w:p>
    <w:p w14:paraId="643BA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7" w:name="n14488"/>
      <w:bookmarkEnd w:id="10467"/>
      <w:r w:rsidRPr="008B264B">
        <w:rPr>
          <w:rFonts w:ascii="Times New Roman" w:eastAsia="Times New Roman" w:hAnsi="Times New Roman" w:cs="Times New Roman"/>
          <w:color w:val="000000"/>
          <w:sz w:val="24"/>
          <w:szCs w:val="24"/>
          <w:lang/>
        </w:rPr>
        <w:t>2.15) оптову торгівлю і посередництво в оптовій торгівлі;</w:t>
      </w:r>
    </w:p>
    <w:p w14:paraId="5FDA929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8" w:name="n14489"/>
      <w:bookmarkEnd w:id="10468"/>
      <w:r w:rsidRPr="008B264B">
        <w:rPr>
          <w:rFonts w:ascii="Times New Roman" w:eastAsia="Times New Roman" w:hAnsi="Times New Roman" w:cs="Times New Roman"/>
          <w:color w:val="000000"/>
          <w:sz w:val="24"/>
          <w:szCs w:val="24"/>
          <w:lang/>
        </w:rPr>
        <w:t>2.16) діяльність у сфері виробництва та розподілення електроенергії, газу та води;</w:t>
      </w:r>
    </w:p>
    <w:p w14:paraId="5F3582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69" w:name="n14490"/>
      <w:bookmarkEnd w:id="10469"/>
      <w:r w:rsidRPr="008B264B">
        <w:rPr>
          <w:rFonts w:ascii="Times New Roman" w:eastAsia="Times New Roman" w:hAnsi="Times New Roman" w:cs="Times New Roman"/>
          <w:color w:val="000000"/>
          <w:sz w:val="24"/>
          <w:szCs w:val="24"/>
          <w:lang/>
        </w:rPr>
        <w:t>2.17) діяльність у сферах права та бухгалтерського обліку (гр. 69 </w:t>
      </w:r>
      <w:hyperlink r:id="rId5894"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22EA4F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0" w:name="n14491"/>
      <w:bookmarkEnd w:id="10470"/>
      <w:r w:rsidRPr="008B264B">
        <w:rPr>
          <w:rFonts w:ascii="Times New Roman" w:eastAsia="Times New Roman" w:hAnsi="Times New Roman" w:cs="Times New Roman"/>
          <w:color w:val="000000"/>
          <w:sz w:val="24"/>
          <w:szCs w:val="24"/>
          <w:lang/>
        </w:rPr>
        <w:lastRenderedPageBreak/>
        <w:t>2.18) діяльність у сфері інжинірингу (гр. 71 </w:t>
      </w:r>
      <w:hyperlink r:id="rId5895" w:tgtFrame="_blank" w:history="1">
        <w:r w:rsidRPr="008B264B">
          <w:rPr>
            <w:rFonts w:ascii="Times New Roman" w:eastAsia="Times New Roman" w:hAnsi="Times New Roman" w:cs="Times New Roman"/>
            <w:color w:val="0000FF"/>
            <w:sz w:val="24"/>
            <w:szCs w:val="24"/>
            <w:u w:val="single"/>
            <w:lang/>
          </w:rPr>
          <w:t>КВЕД ДК 009:2010</w:t>
        </w:r>
      </w:hyperlink>
      <w:r w:rsidRPr="008B264B">
        <w:rPr>
          <w:rFonts w:ascii="Times New Roman" w:eastAsia="Times New Roman" w:hAnsi="Times New Roman" w:cs="Times New Roman"/>
          <w:color w:val="000000"/>
          <w:sz w:val="24"/>
          <w:szCs w:val="24"/>
          <w:lang/>
        </w:rPr>
        <w:t>).</w:t>
      </w:r>
    </w:p>
    <w:p w14:paraId="11F2D4D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1" w:name="n14492"/>
      <w:bookmarkEnd w:id="10471"/>
      <w:r w:rsidRPr="008B264B">
        <w:rPr>
          <w:rFonts w:ascii="Times New Roman" w:eastAsia="Times New Roman" w:hAnsi="Times New Roman" w:cs="Times New Roman"/>
          <w:color w:val="000000"/>
          <w:sz w:val="24"/>
          <w:szCs w:val="24"/>
          <w:lang/>
        </w:rPr>
        <w:t>Платники податку, зазначені у підпунктах "а", "б", "в" цього пункту, які здійснюють нарахування та виплату дивідендів своїм акціонерам (власникам), нараховують та вносять до бюджету авансовий внесок із податку в порядку, встановленому </w:t>
      </w:r>
      <w:hyperlink r:id="rId5896" w:anchor="n10538" w:history="1">
        <w:r w:rsidRPr="008B264B">
          <w:rPr>
            <w:rFonts w:ascii="Times New Roman" w:eastAsia="Times New Roman" w:hAnsi="Times New Roman" w:cs="Times New Roman"/>
            <w:color w:val="0000FF"/>
            <w:sz w:val="24"/>
            <w:szCs w:val="24"/>
            <w:u w:val="single"/>
            <w:lang/>
          </w:rPr>
          <w:t>пунктом 57.1</w:t>
        </w:r>
      </w:hyperlink>
      <w:hyperlink r:id="rId5897" w:anchor="n10538"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статті 57 цього Кодексу, та сплачують податок на прибуток за ставкою, встановленою </w:t>
      </w:r>
      <w:hyperlink r:id="rId5898" w:anchor="n10643" w:history="1">
        <w:r w:rsidRPr="008B264B">
          <w:rPr>
            <w:rFonts w:ascii="Times New Roman" w:eastAsia="Times New Roman" w:hAnsi="Times New Roman" w:cs="Times New Roman"/>
            <w:color w:val="0000FF"/>
            <w:sz w:val="24"/>
            <w:szCs w:val="24"/>
            <w:u w:val="single"/>
            <w:lang/>
          </w:rPr>
          <w:t>пунктом 136.1</w:t>
        </w:r>
      </w:hyperlink>
      <w:r w:rsidRPr="008B264B">
        <w:rPr>
          <w:rFonts w:ascii="Times New Roman" w:eastAsia="Times New Roman" w:hAnsi="Times New Roman" w:cs="Times New Roman"/>
          <w:color w:val="000000"/>
          <w:sz w:val="24"/>
          <w:szCs w:val="24"/>
          <w:lang/>
        </w:rPr>
        <w:t> статті 136 цього Кодексу, за звітний податковий період, у якому здійснювалося нарахування та виплата дивідендів.</w:t>
      </w:r>
    </w:p>
    <w:p w14:paraId="2BDCD9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2" w:name="n14505"/>
      <w:bookmarkEnd w:id="10472"/>
      <w:r w:rsidRPr="008B264B">
        <w:rPr>
          <w:rFonts w:ascii="Times New Roman" w:eastAsia="Times New Roman" w:hAnsi="Times New Roman" w:cs="Times New Roman"/>
          <w:i/>
          <w:iCs/>
          <w:color w:val="000000"/>
          <w:sz w:val="24"/>
          <w:szCs w:val="24"/>
          <w:lang/>
        </w:rPr>
        <w:t>{Підрозділ 4 розділу XX доповнено пунктом 44 згідно із Законом </w:t>
      </w:r>
      <w:hyperlink r:id="rId5899"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528B65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3" w:name="n14493"/>
      <w:bookmarkEnd w:id="10473"/>
      <w:r w:rsidRPr="008B264B">
        <w:rPr>
          <w:rFonts w:ascii="Times New Roman" w:eastAsia="Times New Roman" w:hAnsi="Times New Roman" w:cs="Times New Roman"/>
          <w:color w:val="000000"/>
          <w:sz w:val="24"/>
          <w:szCs w:val="24"/>
          <w:lang/>
        </w:rPr>
        <w:t>45. Норми </w:t>
      </w:r>
      <w:hyperlink r:id="rId5900" w:anchor="n12724" w:history="1">
        <w:r w:rsidRPr="008B264B">
          <w:rPr>
            <w:rFonts w:ascii="Times New Roman" w:eastAsia="Times New Roman" w:hAnsi="Times New Roman" w:cs="Times New Roman"/>
            <w:color w:val="0000FF"/>
            <w:sz w:val="24"/>
            <w:szCs w:val="24"/>
            <w:u w:val="single"/>
            <w:lang/>
          </w:rPr>
          <w:t>пункту 137.6</w:t>
        </w:r>
      </w:hyperlink>
      <w:r w:rsidRPr="008B264B">
        <w:rPr>
          <w:rFonts w:ascii="Times New Roman" w:eastAsia="Times New Roman" w:hAnsi="Times New Roman" w:cs="Times New Roman"/>
          <w:color w:val="000000"/>
          <w:sz w:val="24"/>
          <w:szCs w:val="24"/>
          <w:lang/>
        </w:rPr>
        <w:t> статті 137 цього Кодексу в редакції, що діяла до 1 січня 2017 року, застосовуються для визначення об’єкта оподаткування податком на прибуток за підсумками 2016 року.</w:t>
      </w:r>
    </w:p>
    <w:p w14:paraId="48BA34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4" w:name="n14504"/>
      <w:bookmarkEnd w:id="10474"/>
      <w:r w:rsidRPr="008B264B">
        <w:rPr>
          <w:rFonts w:ascii="Times New Roman" w:eastAsia="Times New Roman" w:hAnsi="Times New Roman" w:cs="Times New Roman"/>
          <w:i/>
          <w:iCs/>
          <w:color w:val="000000"/>
          <w:sz w:val="24"/>
          <w:szCs w:val="24"/>
          <w:lang/>
        </w:rPr>
        <w:t>{Підрозділ 4 розділу XX доповнено пунктом 45 згідно із Законом </w:t>
      </w:r>
      <w:hyperlink r:id="rId5901"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A85C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5" w:name="n14494"/>
      <w:bookmarkEnd w:id="10475"/>
      <w:r w:rsidRPr="008B264B">
        <w:rPr>
          <w:rFonts w:ascii="Times New Roman" w:eastAsia="Times New Roman" w:hAnsi="Times New Roman" w:cs="Times New Roman"/>
          <w:color w:val="000000"/>
          <w:sz w:val="24"/>
          <w:szCs w:val="24"/>
          <w:lang/>
        </w:rPr>
        <w:t>46. Звільняються від оподаткування доходи, які сплачені або сплачуються резидентом на користь нерезидента або уповноваженої ним особи у вигляді процентів за позикою або фінансовим кредитом, що були надані резидентам до 31 грудня 2016 року, якщо кошти, надані нерезидентом за позикою або фінансовим кредитом, були залучені шляхом розміщення іноземних боргових цінних паперів на іноземній фондовій біржі та відповідають умовам підпункту "б" </w:t>
      </w:r>
      <w:hyperlink r:id="rId5902" w:anchor="n14111" w:history="1">
        <w:r w:rsidRPr="008B264B">
          <w:rPr>
            <w:rFonts w:ascii="Times New Roman" w:eastAsia="Times New Roman" w:hAnsi="Times New Roman" w:cs="Times New Roman"/>
            <w:color w:val="0000FF"/>
            <w:sz w:val="24"/>
            <w:szCs w:val="24"/>
            <w:u w:val="single"/>
            <w:lang/>
          </w:rPr>
          <w:t>підпункту 141.4.11</w:t>
        </w:r>
      </w:hyperlink>
      <w:r w:rsidRPr="008B264B">
        <w:rPr>
          <w:rFonts w:ascii="Times New Roman" w:eastAsia="Times New Roman" w:hAnsi="Times New Roman" w:cs="Times New Roman"/>
          <w:color w:val="000000"/>
          <w:sz w:val="24"/>
          <w:szCs w:val="24"/>
          <w:lang/>
        </w:rPr>
        <w:t> пункту 141.4 статті 141 цього Кодексу.</w:t>
      </w:r>
    </w:p>
    <w:p w14:paraId="69A8A9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6" w:name="n14503"/>
      <w:bookmarkEnd w:id="10476"/>
      <w:r w:rsidRPr="008B264B">
        <w:rPr>
          <w:rFonts w:ascii="Times New Roman" w:eastAsia="Times New Roman" w:hAnsi="Times New Roman" w:cs="Times New Roman"/>
          <w:i/>
          <w:iCs/>
          <w:color w:val="000000"/>
          <w:sz w:val="24"/>
          <w:szCs w:val="24"/>
          <w:lang/>
        </w:rPr>
        <w:t>{Підрозділ 4 розділу XX доповнено пунктом 46 згідно із Законом </w:t>
      </w:r>
      <w:hyperlink r:id="rId5903"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904" w:anchor="n53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67F9A0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7" w:name="n14495"/>
      <w:bookmarkEnd w:id="10477"/>
      <w:r w:rsidRPr="008B264B">
        <w:rPr>
          <w:rFonts w:ascii="Times New Roman" w:eastAsia="Times New Roman" w:hAnsi="Times New Roman" w:cs="Times New Roman"/>
          <w:color w:val="000000"/>
          <w:sz w:val="24"/>
          <w:szCs w:val="24"/>
          <w:lang/>
        </w:rPr>
        <w:t>47. Звільняються від оподаткування доходи, які сплачуються резидентом на користь нерезидента або уповноваженої ним особи у вигляді процентів за позикою або фінансовим кредитом, що були надані резидентам у період з 1 січня 2017 року до 31 грудня 2018 року, якщо такі доходи відповідають умовам </w:t>
      </w:r>
      <w:hyperlink r:id="rId5905" w:anchor="n14111" w:history="1">
        <w:r w:rsidRPr="008B264B">
          <w:rPr>
            <w:rFonts w:ascii="Times New Roman" w:eastAsia="Times New Roman" w:hAnsi="Times New Roman" w:cs="Times New Roman"/>
            <w:color w:val="0000FF"/>
            <w:sz w:val="24"/>
            <w:szCs w:val="24"/>
            <w:u w:val="single"/>
            <w:lang/>
          </w:rPr>
          <w:t>підпункту 141.4.11</w:t>
        </w:r>
      </w:hyperlink>
      <w:r w:rsidRPr="008B264B">
        <w:rPr>
          <w:rFonts w:ascii="Times New Roman" w:eastAsia="Times New Roman" w:hAnsi="Times New Roman" w:cs="Times New Roman"/>
          <w:color w:val="000000"/>
          <w:sz w:val="24"/>
          <w:szCs w:val="24"/>
          <w:lang/>
        </w:rPr>
        <w:t> пункту 141.4 статті 141 цього Кодексу.</w:t>
      </w:r>
    </w:p>
    <w:p w14:paraId="68455F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8" w:name="n14502"/>
      <w:bookmarkEnd w:id="10478"/>
      <w:r w:rsidRPr="008B264B">
        <w:rPr>
          <w:rFonts w:ascii="Times New Roman" w:eastAsia="Times New Roman" w:hAnsi="Times New Roman" w:cs="Times New Roman"/>
          <w:i/>
          <w:iCs/>
          <w:color w:val="000000"/>
          <w:sz w:val="24"/>
          <w:szCs w:val="24"/>
          <w:lang/>
        </w:rPr>
        <w:t>{Підрозділ 4 розділу XX доповнено пунктом 47 згідно із Законом </w:t>
      </w:r>
      <w:hyperlink r:id="rId5906"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48754F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79" w:name="n14496"/>
      <w:bookmarkEnd w:id="10479"/>
      <w:r w:rsidRPr="008B264B">
        <w:rPr>
          <w:rFonts w:ascii="Times New Roman" w:eastAsia="Times New Roman" w:hAnsi="Times New Roman" w:cs="Times New Roman"/>
          <w:color w:val="000000"/>
          <w:sz w:val="24"/>
          <w:szCs w:val="24"/>
          <w:lang/>
        </w:rPr>
        <w:t>48. Установити, що розмір ставки податку на дохід від операцій з випуску та проведення лотерей, визначений пунктом </w:t>
      </w:r>
      <w:hyperlink r:id="rId5907" w:anchor="n13548" w:history="1">
        <w:r w:rsidRPr="008B264B">
          <w:rPr>
            <w:rFonts w:ascii="Times New Roman" w:eastAsia="Times New Roman" w:hAnsi="Times New Roman" w:cs="Times New Roman"/>
            <w:color w:val="0000FF"/>
            <w:sz w:val="24"/>
            <w:szCs w:val="24"/>
            <w:u w:val="single"/>
            <w:lang/>
          </w:rPr>
          <w:t>14.1.271</w:t>
        </w:r>
      </w:hyperlink>
      <w:r w:rsidRPr="008B264B">
        <w:rPr>
          <w:rFonts w:ascii="Times New Roman" w:eastAsia="Times New Roman" w:hAnsi="Times New Roman" w:cs="Times New Roman"/>
          <w:color w:val="000000"/>
          <w:sz w:val="24"/>
          <w:szCs w:val="24"/>
          <w:lang/>
        </w:rPr>
        <w:t> пункту 14.1 статті 14 цього Кодексу, становить:</w:t>
      </w:r>
    </w:p>
    <w:p w14:paraId="577FD2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0" w:name="n14497"/>
      <w:bookmarkEnd w:id="10480"/>
      <w:r w:rsidRPr="008B264B">
        <w:rPr>
          <w:rFonts w:ascii="Times New Roman" w:eastAsia="Times New Roman" w:hAnsi="Times New Roman" w:cs="Times New Roman"/>
          <w:color w:val="000000"/>
          <w:sz w:val="24"/>
          <w:szCs w:val="24"/>
          <w:lang/>
        </w:rPr>
        <w:t>з 1 січня 2017 року по 31 грудня 2017 року включно - 18 відсотків;</w:t>
      </w:r>
    </w:p>
    <w:p w14:paraId="5DB5D3B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1" w:name="n14498"/>
      <w:bookmarkEnd w:id="10481"/>
      <w:r w:rsidRPr="008B264B">
        <w:rPr>
          <w:rFonts w:ascii="Times New Roman" w:eastAsia="Times New Roman" w:hAnsi="Times New Roman" w:cs="Times New Roman"/>
          <w:color w:val="000000"/>
          <w:sz w:val="24"/>
          <w:szCs w:val="24"/>
          <w:lang/>
        </w:rPr>
        <w:t>з 1 січня 2018 року по 31 грудня 2018 року включно - 24 відсотки;</w:t>
      </w:r>
    </w:p>
    <w:p w14:paraId="2387C1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2" w:name="n14499"/>
      <w:bookmarkEnd w:id="10482"/>
      <w:r w:rsidRPr="008B264B">
        <w:rPr>
          <w:rFonts w:ascii="Times New Roman" w:eastAsia="Times New Roman" w:hAnsi="Times New Roman" w:cs="Times New Roman"/>
          <w:color w:val="000000"/>
          <w:sz w:val="24"/>
          <w:szCs w:val="24"/>
          <w:lang/>
        </w:rPr>
        <w:t>з 1 січня 2019 року по 31 грудня 2019 року включно - 26 відсотків;</w:t>
      </w:r>
    </w:p>
    <w:p w14:paraId="2A0840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3" w:name="n14500"/>
      <w:bookmarkEnd w:id="10483"/>
      <w:r w:rsidRPr="008B264B">
        <w:rPr>
          <w:rFonts w:ascii="Times New Roman" w:eastAsia="Times New Roman" w:hAnsi="Times New Roman" w:cs="Times New Roman"/>
          <w:color w:val="000000"/>
          <w:sz w:val="24"/>
          <w:szCs w:val="24"/>
          <w:lang/>
        </w:rPr>
        <w:t>з 1 січня 2020 року по 31 грудня 2020 року включно - 28 відсотків;</w:t>
      </w:r>
    </w:p>
    <w:p w14:paraId="19A960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4" w:name="n14501"/>
      <w:bookmarkEnd w:id="10484"/>
      <w:r w:rsidRPr="008B264B">
        <w:rPr>
          <w:rFonts w:ascii="Times New Roman" w:eastAsia="Times New Roman" w:hAnsi="Times New Roman" w:cs="Times New Roman"/>
          <w:color w:val="000000"/>
          <w:sz w:val="24"/>
          <w:szCs w:val="24"/>
          <w:lang/>
        </w:rPr>
        <w:t>з 1 січня 2021 року застосовується ставка податку, визначена </w:t>
      </w:r>
      <w:hyperlink r:id="rId5908" w:anchor="n14053" w:history="1">
        <w:r w:rsidRPr="008B264B">
          <w:rPr>
            <w:rFonts w:ascii="Times New Roman" w:eastAsia="Times New Roman" w:hAnsi="Times New Roman" w:cs="Times New Roman"/>
            <w:color w:val="0000FF"/>
            <w:sz w:val="24"/>
            <w:szCs w:val="24"/>
            <w:u w:val="single"/>
            <w:lang/>
          </w:rPr>
          <w:t>пунктом 136.6</w:t>
        </w:r>
      </w:hyperlink>
      <w:r w:rsidRPr="008B264B">
        <w:rPr>
          <w:rFonts w:ascii="Times New Roman" w:eastAsia="Times New Roman" w:hAnsi="Times New Roman" w:cs="Times New Roman"/>
          <w:color w:val="000000"/>
          <w:sz w:val="24"/>
          <w:szCs w:val="24"/>
          <w:lang/>
        </w:rPr>
        <w:t> статті 136 цього Кодексу.</w:t>
      </w:r>
    </w:p>
    <w:p w14:paraId="11F216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5" w:name="n14453"/>
      <w:bookmarkEnd w:id="10485"/>
      <w:r w:rsidRPr="008B264B">
        <w:rPr>
          <w:rFonts w:ascii="Times New Roman" w:eastAsia="Times New Roman" w:hAnsi="Times New Roman" w:cs="Times New Roman"/>
          <w:i/>
          <w:iCs/>
          <w:color w:val="000000"/>
          <w:sz w:val="24"/>
          <w:szCs w:val="24"/>
          <w:lang/>
        </w:rPr>
        <w:t>{Підрозділ 4 розділу XX доповнено пунктом 48 згідно із Законом </w:t>
      </w:r>
      <w:hyperlink r:id="rId5909" w:anchor="n150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F58B0F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6" w:name="n15051"/>
      <w:bookmarkEnd w:id="10486"/>
      <w:r w:rsidRPr="008B264B">
        <w:rPr>
          <w:rFonts w:ascii="Times New Roman" w:eastAsia="Times New Roman" w:hAnsi="Times New Roman" w:cs="Times New Roman"/>
          <w:color w:val="000000"/>
          <w:sz w:val="24"/>
          <w:szCs w:val="24"/>
          <w:lang/>
        </w:rPr>
        <w:t>49. Платники податку, зазначені у </w:t>
      </w:r>
      <w:hyperlink r:id="rId5910" w:anchor="n10697" w:history="1">
        <w:r w:rsidRPr="008B264B">
          <w:rPr>
            <w:rFonts w:ascii="Times New Roman" w:eastAsia="Times New Roman" w:hAnsi="Times New Roman" w:cs="Times New Roman"/>
            <w:color w:val="0000FF"/>
            <w:sz w:val="24"/>
            <w:szCs w:val="24"/>
            <w:u w:val="single"/>
            <w:lang/>
          </w:rPr>
          <w:t>пункті 139.3</w:t>
        </w:r>
      </w:hyperlink>
      <w:r w:rsidRPr="008B264B">
        <w:rPr>
          <w:rFonts w:ascii="Times New Roman" w:eastAsia="Times New Roman" w:hAnsi="Times New Roman" w:cs="Times New Roman"/>
          <w:color w:val="000000"/>
          <w:sz w:val="24"/>
          <w:szCs w:val="24"/>
          <w:lang/>
        </w:rPr>
        <w:t> статті 139 цього Кодексу, зменшують (збільшують) фінансовий результат до оподаткування на позитивну (від’ємну) різницю (яка буде відображена через рахунки обліку капіталу банку) між відкоригованим розміром резервів за активами (у тому числі групами активів), розрахованим станом на початок 2018 року відповідно до вимог міжнародних стандартів фінансової звітності, що застосовуватимуться з 2018 року, та розміром резервів, сформованих у зв’язку зі зменшенням корисності активів відповідно до вимог міжнародних стандартів фінансової звітності, які застосовувалися станом на кінець 2017 року. Норма цього пункту застосовується до фінансового результату до оподаткування звітного (податкового) періоду, у якому коригування резервів за активами (у тому числі групами активів) відображено у бухгалтерському обліку.</w:t>
      </w:r>
    </w:p>
    <w:p w14:paraId="5888AF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7" w:name="n15053"/>
      <w:bookmarkEnd w:id="10487"/>
      <w:r w:rsidRPr="008B264B">
        <w:rPr>
          <w:rFonts w:ascii="Times New Roman" w:eastAsia="Times New Roman" w:hAnsi="Times New Roman" w:cs="Times New Roman"/>
          <w:i/>
          <w:iCs/>
          <w:color w:val="000000"/>
          <w:sz w:val="24"/>
          <w:szCs w:val="24"/>
          <w:lang/>
        </w:rPr>
        <w:t>{Підрозділ 4 розділу XX доповнено пунктом 50 згідно із Законом </w:t>
      </w:r>
      <w:hyperlink r:id="rId5911" w:anchor="n53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EB2FA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8" w:name="n15052"/>
      <w:bookmarkEnd w:id="10488"/>
      <w:r w:rsidRPr="008B264B">
        <w:rPr>
          <w:rFonts w:ascii="Times New Roman" w:eastAsia="Times New Roman" w:hAnsi="Times New Roman" w:cs="Times New Roman"/>
          <w:color w:val="000000"/>
          <w:sz w:val="24"/>
          <w:szCs w:val="24"/>
          <w:lang/>
        </w:rPr>
        <w:lastRenderedPageBreak/>
        <w:t>50. Платники податку, зазначені у </w:t>
      </w:r>
      <w:hyperlink r:id="rId5912" w:anchor="n10697" w:history="1">
        <w:r w:rsidRPr="008B264B">
          <w:rPr>
            <w:rFonts w:ascii="Times New Roman" w:eastAsia="Times New Roman" w:hAnsi="Times New Roman" w:cs="Times New Roman"/>
            <w:color w:val="0000FF"/>
            <w:sz w:val="24"/>
            <w:szCs w:val="24"/>
            <w:u w:val="single"/>
            <w:lang/>
          </w:rPr>
          <w:t>пункті 139.3</w:t>
        </w:r>
      </w:hyperlink>
      <w:r w:rsidRPr="008B264B">
        <w:rPr>
          <w:rFonts w:ascii="Times New Roman" w:eastAsia="Times New Roman" w:hAnsi="Times New Roman" w:cs="Times New Roman"/>
          <w:color w:val="000000"/>
          <w:sz w:val="24"/>
          <w:szCs w:val="24"/>
          <w:lang/>
        </w:rPr>
        <w:t> статті 139 цього Кодексу, зменшують фінансовий результат до оподаткування на накопичену станом на кінець 2017 року суму перевищення розміру резерву, сформованого у зв’язку із знеціненням (зменшенням корисності) активів згідно з вимогами міжнародних стандартів фінансової звітності, над лімітом, розрахованим відповідно до положень цього Кодексу, у тому числі відповідно до </w:t>
      </w:r>
      <w:hyperlink r:id="rId5913" w:anchor="n8337" w:history="1">
        <w:r w:rsidRPr="008B264B">
          <w:rPr>
            <w:rFonts w:ascii="Times New Roman" w:eastAsia="Times New Roman" w:hAnsi="Times New Roman" w:cs="Times New Roman"/>
            <w:color w:val="0000FF"/>
            <w:sz w:val="24"/>
            <w:szCs w:val="24"/>
            <w:u w:val="single"/>
            <w:lang/>
          </w:rPr>
          <w:t>пункту 21</w:t>
        </w:r>
      </w:hyperlink>
      <w:r w:rsidRPr="008B264B">
        <w:rPr>
          <w:rFonts w:ascii="Times New Roman" w:eastAsia="Times New Roman" w:hAnsi="Times New Roman" w:cs="Times New Roman"/>
          <w:color w:val="000000"/>
          <w:sz w:val="24"/>
          <w:szCs w:val="24"/>
          <w:lang/>
        </w:rPr>
        <w:t> цього підрозділу. До суми такого перевищення не враховується частина резерву (у межах перевищення над лімітом), що була використана або розформована у звітних (податкових) періодах до 1 січня 2018 року. Зменшення фінансового результату згідно з цим пунктом відображається платником податку рівними частинами у кожному кварталі 2018 та 2019 років.</w:t>
      </w:r>
    </w:p>
    <w:p w14:paraId="03326A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89" w:name="n15050"/>
      <w:bookmarkEnd w:id="10489"/>
      <w:r w:rsidRPr="008B264B">
        <w:rPr>
          <w:rFonts w:ascii="Times New Roman" w:eastAsia="Times New Roman" w:hAnsi="Times New Roman" w:cs="Times New Roman"/>
          <w:i/>
          <w:iCs/>
          <w:color w:val="000000"/>
          <w:sz w:val="24"/>
          <w:szCs w:val="24"/>
          <w:lang/>
        </w:rPr>
        <w:t>{Підрозділ 4 розділу XX доповнено пунктом 50 згідно із Законом </w:t>
      </w:r>
      <w:hyperlink r:id="rId5914" w:anchor="n53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02C98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0" w:name="n15122"/>
      <w:bookmarkEnd w:id="10490"/>
      <w:r w:rsidRPr="008B264B">
        <w:rPr>
          <w:rFonts w:ascii="Times New Roman" w:eastAsia="Times New Roman" w:hAnsi="Times New Roman" w:cs="Times New Roman"/>
          <w:color w:val="000000"/>
          <w:sz w:val="24"/>
          <w:szCs w:val="24"/>
          <w:lang/>
        </w:rPr>
        <w:t>51. Звільняється від оподаткування прибуток, отриманий до 26 травня 2018 року включно УЄФА та/або його пов’язаними особами від передачі та/або використання комерційних прав, що стосуються фінальних матчів Ліги чемпіонів УЄФА та Ліги чемпіонів УЄФА серед жінок сезону 2017/2018.</w:t>
      </w:r>
    </w:p>
    <w:p w14:paraId="09DAA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1" w:name="n15123"/>
      <w:bookmarkEnd w:id="10491"/>
      <w:r w:rsidRPr="008B264B">
        <w:rPr>
          <w:rFonts w:ascii="Times New Roman" w:eastAsia="Times New Roman" w:hAnsi="Times New Roman" w:cs="Times New Roman"/>
          <w:color w:val="000000"/>
          <w:sz w:val="24"/>
          <w:szCs w:val="24"/>
          <w:lang/>
        </w:rPr>
        <w:t>Діяльність УЄФА та/або його пов’язаних осіб для цілей підготовки та/або проведення зазначених матчів провадиться без утворення постійного представництва в Україні в розумінні підпункту </w:t>
      </w:r>
      <w:hyperlink r:id="rId5915" w:anchor="n647" w:history="1">
        <w:r w:rsidRPr="008B264B">
          <w:rPr>
            <w:rFonts w:ascii="Times New Roman" w:eastAsia="Times New Roman" w:hAnsi="Times New Roman" w:cs="Times New Roman"/>
            <w:color w:val="0000FF"/>
            <w:sz w:val="24"/>
            <w:szCs w:val="24"/>
            <w:u w:val="single"/>
            <w:lang/>
          </w:rPr>
          <w:t>14.1.193</w:t>
        </w:r>
      </w:hyperlink>
      <w:r w:rsidRPr="008B264B">
        <w:rPr>
          <w:rFonts w:ascii="Times New Roman" w:eastAsia="Times New Roman" w:hAnsi="Times New Roman" w:cs="Times New Roman"/>
          <w:color w:val="000000"/>
          <w:sz w:val="24"/>
          <w:szCs w:val="24"/>
          <w:lang/>
        </w:rPr>
        <w:t> пункту 14.1 статті 14 цього Кодексу. Прибуток, отриманий від такої діяльності, звільняється від оподаткування згідно з </w:t>
      </w:r>
      <w:hyperlink r:id="rId5916" w:anchor="n2502" w:history="1">
        <w:r w:rsidRPr="008B264B">
          <w:rPr>
            <w:rFonts w:ascii="Times New Roman" w:eastAsia="Times New Roman" w:hAnsi="Times New Roman" w:cs="Times New Roman"/>
            <w:color w:val="0000FF"/>
            <w:sz w:val="24"/>
            <w:szCs w:val="24"/>
            <w:u w:val="single"/>
            <w:lang/>
          </w:rPr>
          <w:t>розділом III</w:t>
        </w:r>
      </w:hyperlink>
      <w:r w:rsidRPr="008B264B">
        <w:rPr>
          <w:rFonts w:ascii="Times New Roman" w:eastAsia="Times New Roman" w:hAnsi="Times New Roman" w:cs="Times New Roman"/>
          <w:color w:val="000000"/>
          <w:sz w:val="24"/>
          <w:szCs w:val="24"/>
          <w:lang/>
        </w:rPr>
        <w:t> цього Кодексу.</w:t>
      </w:r>
    </w:p>
    <w:p w14:paraId="24016C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2" w:name="n15124"/>
      <w:bookmarkEnd w:id="10492"/>
      <w:r w:rsidRPr="008B264B">
        <w:rPr>
          <w:rFonts w:ascii="Times New Roman" w:eastAsia="Times New Roman" w:hAnsi="Times New Roman" w:cs="Times New Roman"/>
          <w:color w:val="000000"/>
          <w:sz w:val="24"/>
          <w:szCs w:val="24"/>
          <w:lang/>
        </w:rPr>
        <w:t>Не оподатковуються доходи із джерелом їх походження з України, визначені у </w:t>
      </w:r>
      <w:hyperlink r:id="rId5917" w:anchor="n10778" w:history="1">
        <w:r w:rsidRPr="008B264B">
          <w:rPr>
            <w:rFonts w:ascii="Times New Roman" w:eastAsia="Times New Roman" w:hAnsi="Times New Roman" w:cs="Times New Roman"/>
            <w:color w:val="0000FF"/>
            <w:sz w:val="24"/>
            <w:szCs w:val="24"/>
            <w:u w:val="single"/>
            <w:lang/>
          </w:rPr>
          <w:t>пункті 141.4</w:t>
        </w:r>
      </w:hyperlink>
      <w:r w:rsidRPr="008B264B">
        <w:rPr>
          <w:rFonts w:ascii="Times New Roman" w:eastAsia="Times New Roman" w:hAnsi="Times New Roman" w:cs="Times New Roman"/>
          <w:color w:val="000000"/>
          <w:sz w:val="24"/>
          <w:szCs w:val="24"/>
          <w:lang/>
        </w:rPr>
        <w:t> статті 141 цього Кодексу та отримані УЄФА та/або його пов’язаними особами від Федерації футболу України та резидентів України, що залучені для підготовки та/або проведення зазначених матчів.</w:t>
      </w:r>
    </w:p>
    <w:p w14:paraId="65B9A5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3" w:name="n15125"/>
      <w:bookmarkEnd w:id="10493"/>
      <w:r w:rsidRPr="008B264B">
        <w:rPr>
          <w:rFonts w:ascii="Times New Roman" w:eastAsia="Times New Roman" w:hAnsi="Times New Roman" w:cs="Times New Roman"/>
          <w:color w:val="000000"/>
          <w:sz w:val="24"/>
          <w:szCs w:val="24"/>
          <w:lang/>
        </w:rPr>
        <w:t>У цьому пункті терміни вживаються в такому значенні:</w:t>
      </w:r>
    </w:p>
    <w:p w14:paraId="1E07B7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4" w:name="n15126"/>
      <w:bookmarkEnd w:id="10494"/>
      <w:r w:rsidRPr="008B264B">
        <w:rPr>
          <w:rFonts w:ascii="Times New Roman" w:eastAsia="Times New Roman" w:hAnsi="Times New Roman" w:cs="Times New Roman"/>
          <w:color w:val="000000"/>
          <w:sz w:val="24"/>
          <w:szCs w:val="24"/>
          <w:lang/>
        </w:rPr>
        <w:t>комерційні права - права, що виникають у зв’язку з проведенням зазначених матчів, у тому числі права на рекламування, маркетинг, збут, ліцензування, комерційну концесію, спонсорство, опублікування, діяльність друкованих засобів масової інформації, телевізійне мовлення, запис і відтворення заходів, пов’язаних з проведенням зазначених матчів;</w:t>
      </w:r>
    </w:p>
    <w:p w14:paraId="2922B6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5" w:name="n15127"/>
      <w:bookmarkEnd w:id="10495"/>
      <w:r w:rsidRPr="008B264B">
        <w:rPr>
          <w:rFonts w:ascii="Times New Roman" w:eastAsia="Times New Roman" w:hAnsi="Times New Roman" w:cs="Times New Roman"/>
          <w:color w:val="000000"/>
          <w:sz w:val="24"/>
          <w:szCs w:val="24"/>
          <w:lang/>
        </w:rPr>
        <w:t>УЄФА - Союз європейських футбольних асоціацій.</w:t>
      </w:r>
    </w:p>
    <w:p w14:paraId="33BC1D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6" w:name="n15121"/>
      <w:bookmarkEnd w:id="10496"/>
      <w:r w:rsidRPr="008B264B">
        <w:rPr>
          <w:rFonts w:ascii="Times New Roman" w:eastAsia="Times New Roman" w:hAnsi="Times New Roman" w:cs="Times New Roman"/>
          <w:i/>
          <w:iCs/>
          <w:color w:val="000000"/>
          <w:sz w:val="24"/>
          <w:szCs w:val="24"/>
          <w:lang/>
        </w:rPr>
        <w:t>{Підрозділ 4 розділу XX доповнено пунктом 51 згідно із Законом </w:t>
      </w:r>
      <w:hyperlink r:id="rId5918" w:anchor="n20" w:tgtFrame="_blank" w:history="1">
        <w:r w:rsidRPr="008B264B">
          <w:rPr>
            <w:rFonts w:ascii="Times New Roman" w:eastAsia="Times New Roman" w:hAnsi="Times New Roman" w:cs="Times New Roman"/>
            <w:i/>
            <w:iCs/>
            <w:color w:val="0000FF"/>
            <w:sz w:val="24"/>
            <w:szCs w:val="24"/>
            <w:u w:val="single"/>
            <w:lang/>
          </w:rPr>
          <w:t>№ 2374-VIII від 22.03.2018</w:t>
        </w:r>
      </w:hyperlink>
      <w:r w:rsidRPr="008B264B">
        <w:rPr>
          <w:rFonts w:ascii="Times New Roman" w:eastAsia="Times New Roman" w:hAnsi="Times New Roman" w:cs="Times New Roman"/>
          <w:i/>
          <w:iCs/>
          <w:color w:val="000000"/>
          <w:sz w:val="24"/>
          <w:szCs w:val="24"/>
          <w:lang/>
        </w:rPr>
        <w:t>}</w:t>
      </w:r>
    </w:p>
    <w:p w14:paraId="52CE3F84"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497" w:name="n8384"/>
      <w:bookmarkEnd w:id="10497"/>
      <w:r w:rsidRPr="008B264B">
        <w:rPr>
          <w:rFonts w:ascii="Times New Roman" w:eastAsia="Times New Roman" w:hAnsi="Times New Roman" w:cs="Times New Roman"/>
          <w:b/>
          <w:bCs/>
          <w:color w:val="000000"/>
          <w:sz w:val="28"/>
          <w:szCs w:val="28"/>
          <w:lang/>
        </w:rPr>
        <w:t>Підрозділ 5. Особливості справляння акцизного податку та екологічного податку</w:t>
      </w:r>
    </w:p>
    <w:p w14:paraId="4D6792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8" w:name="n8385"/>
      <w:bookmarkEnd w:id="10498"/>
      <w:r w:rsidRPr="008B264B">
        <w:rPr>
          <w:rFonts w:ascii="Times New Roman" w:eastAsia="Times New Roman" w:hAnsi="Times New Roman" w:cs="Times New Roman"/>
          <w:i/>
          <w:iCs/>
          <w:color w:val="000000"/>
          <w:sz w:val="24"/>
          <w:szCs w:val="24"/>
          <w:lang/>
        </w:rPr>
        <w:t>{Назва підрозділу 5 розділу XX із змінами, внесеними згідно із Законами </w:t>
      </w:r>
      <w:hyperlink r:id="rId5919"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 </w:t>
      </w:r>
      <w:hyperlink r:id="rId5920" w:anchor="n537"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97D78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499" w:name="n8386"/>
      <w:bookmarkEnd w:id="10499"/>
      <w:r w:rsidRPr="008B264B">
        <w:rPr>
          <w:rFonts w:ascii="Times New Roman" w:eastAsia="Times New Roman" w:hAnsi="Times New Roman" w:cs="Times New Roman"/>
          <w:color w:val="000000"/>
          <w:sz w:val="24"/>
          <w:szCs w:val="24"/>
          <w:lang/>
        </w:rPr>
        <w:t>1. На спиртові дистиляти та спиртні напої, одержані шляхом перегонки виноградного вина або вичавок винограду (коди згідно з </w:t>
      </w:r>
      <w:hyperlink r:id="rId5921"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2208 20 12 00, 2208 20 62 00), застосовуються такі ставки акцизного податку:</w:t>
      </w:r>
    </w:p>
    <w:p w14:paraId="7D96DC9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0" w:name="n8387"/>
      <w:bookmarkEnd w:id="10500"/>
      <w:r w:rsidRPr="008B264B">
        <w:rPr>
          <w:rFonts w:ascii="Times New Roman" w:eastAsia="Times New Roman" w:hAnsi="Times New Roman" w:cs="Times New Roman"/>
          <w:color w:val="000000"/>
          <w:sz w:val="24"/>
          <w:szCs w:val="24"/>
          <w:lang/>
        </w:rPr>
        <w:t>20 гривень за 1 літр 100-відсоткового спирту - з дня набрання чинності цим Кодексом до 31 грудня 2011 року;</w:t>
      </w:r>
    </w:p>
    <w:p w14:paraId="1F99A1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1" w:name="n8388"/>
      <w:bookmarkEnd w:id="10501"/>
      <w:r w:rsidRPr="008B264B">
        <w:rPr>
          <w:rFonts w:ascii="Times New Roman" w:eastAsia="Times New Roman" w:hAnsi="Times New Roman" w:cs="Times New Roman"/>
          <w:color w:val="000000"/>
          <w:sz w:val="24"/>
          <w:szCs w:val="24"/>
          <w:lang/>
        </w:rPr>
        <w:t>27 гривень за 1 літр 100-відсоткового спирту - з 1 січня 2012 року до 1 січня 2013 року;</w:t>
      </w:r>
    </w:p>
    <w:p w14:paraId="63E4663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2" w:name="n8389"/>
      <w:bookmarkEnd w:id="10502"/>
      <w:r w:rsidRPr="008B264B">
        <w:rPr>
          <w:rFonts w:ascii="Times New Roman" w:eastAsia="Times New Roman" w:hAnsi="Times New Roman" w:cs="Times New Roman"/>
          <w:color w:val="000000"/>
          <w:sz w:val="24"/>
          <w:szCs w:val="24"/>
          <w:lang/>
        </w:rPr>
        <w:t>29 гривень за 1 літр 100-відсоткового спирту - з 1 січня до 31 грудня 2013 року;</w:t>
      </w:r>
    </w:p>
    <w:p w14:paraId="4C333E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3" w:name="n8390"/>
      <w:bookmarkEnd w:id="10503"/>
      <w:r w:rsidRPr="008B264B">
        <w:rPr>
          <w:rFonts w:ascii="Times New Roman" w:eastAsia="Times New Roman" w:hAnsi="Times New Roman" w:cs="Times New Roman"/>
          <w:i/>
          <w:iCs/>
          <w:color w:val="000000"/>
          <w:sz w:val="24"/>
          <w:szCs w:val="24"/>
          <w:lang/>
        </w:rPr>
        <w:t>{Абзац четвертий пункту 1 підрозділу 5 розділу XX в редакції Закону </w:t>
      </w:r>
      <w:hyperlink r:id="rId592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w:t>
      </w:r>
    </w:p>
    <w:p w14:paraId="64E3372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4" w:name="n8391"/>
      <w:bookmarkEnd w:id="10504"/>
      <w:r w:rsidRPr="008B264B">
        <w:rPr>
          <w:rFonts w:ascii="Times New Roman" w:eastAsia="Times New Roman" w:hAnsi="Times New Roman" w:cs="Times New Roman"/>
          <w:color w:val="000000"/>
          <w:sz w:val="24"/>
          <w:szCs w:val="24"/>
          <w:lang/>
        </w:rPr>
        <w:t>32 гривні за 1 літр 100-відсоткового спирту - з 1 січня до 31 березня 2014 року;</w:t>
      </w:r>
    </w:p>
    <w:p w14:paraId="7BC7B1B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5" w:name="n8392"/>
      <w:bookmarkEnd w:id="10505"/>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Законів </w:t>
      </w:r>
      <w:hyperlink r:id="rId5923"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5924" w:anchor="n45"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36FA0F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6" w:name="n8393"/>
      <w:bookmarkEnd w:id="10506"/>
      <w:r w:rsidRPr="008B264B">
        <w:rPr>
          <w:rFonts w:ascii="Times New Roman" w:eastAsia="Times New Roman" w:hAnsi="Times New Roman" w:cs="Times New Roman"/>
          <w:color w:val="000000"/>
          <w:sz w:val="24"/>
          <w:szCs w:val="24"/>
          <w:lang/>
        </w:rPr>
        <w:lastRenderedPageBreak/>
        <w:t>56,42 гривні за 1 літр 100-відсоткового спирту - з 1 квітня до 31 грудня 2014 року;</w:t>
      </w:r>
    </w:p>
    <w:p w14:paraId="3227EC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7" w:name="n8394"/>
      <w:bookmarkEnd w:id="10507"/>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Законів </w:t>
      </w:r>
      <w:hyperlink r:id="rId5925"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w:t>
      </w:r>
      <w:hyperlink r:id="rId5926" w:anchor="n45"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color w:val="000000"/>
          <w:sz w:val="24"/>
          <w:szCs w:val="24"/>
          <w:lang/>
        </w:rPr>
        <w:t>, </w:t>
      </w:r>
      <w:hyperlink r:id="rId5927" w:anchor="n291"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color w:val="000000"/>
          <w:sz w:val="24"/>
          <w:szCs w:val="24"/>
          <w:lang/>
        </w:rPr>
        <w:t>;</w:t>
      </w:r>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928" w:anchor="n32"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40ADC949"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508" w:name="n8395"/>
      <w:bookmarkEnd w:id="10508"/>
      <w:r w:rsidRPr="008B264B">
        <w:rPr>
          <w:rFonts w:ascii="Times New Roman" w:eastAsia="Times New Roman" w:hAnsi="Times New Roman" w:cs="Times New Roman"/>
          <w:color w:val="000000"/>
          <w:sz w:val="24"/>
          <w:szCs w:val="24"/>
          <w:lang/>
        </w:rPr>
        <w:t>59,96 гривні за 1 літр 100-відсоткового спирту - з 1 січня до 31 грудня 2015 року;</w:t>
      </w:r>
    </w:p>
    <w:p w14:paraId="660FC5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09" w:name="n8396"/>
      <w:bookmarkEnd w:id="10509"/>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Законів </w:t>
      </w:r>
      <w:hyperlink r:id="rId5929"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color w:val="000000"/>
          <w:sz w:val="24"/>
          <w:szCs w:val="24"/>
          <w:lang/>
        </w:rPr>
        <w:t>, </w:t>
      </w:r>
      <w:hyperlink r:id="rId5930" w:anchor="n291"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5931" w:anchor="n33"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w:t>
      </w:r>
    </w:p>
    <w:p w14:paraId="06175F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0" w:name="n10259"/>
      <w:bookmarkEnd w:id="10510"/>
      <w:r w:rsidRPr="008B264B">
        <w:rPr>
          <w:rFonts w:ascii="Times New Roman" w:eastAsia="Times New Roman" w:hAnsi="Times New Roman" w:cs="Times New Roman"/>
          <w:color w:val="000000"/>
          <w:sz w:val="24"/>
          <w:szCs w:val="24"/>
          <w:lang/>
        </w:rPr>
        <w:t>63,50 гривні за 1 літр 100-відсоткового спирту - з 1 січня до 31 березня 2016 року, а з 1 квітня 2016 року - 89,94 гривні за 1 літр 100-відсоткового спирту;</w:t>
      </w:r>
    </w:p>
    <w:p w14:paraId="49AAAE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1" w:name="n10260"/>
      <w:bookmarkEnd w:id="10511"/>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Законів </w:t>
      </w:r>
      <w:hyperlink r:id="rId5932" w:anchor="n33"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w:t>
      </w:r>
      <w:hyperlink r:id="rId5933" w:anchor="n69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33F6CD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2" w:name="n10261"/>
      <w:bookmarkEnd w:id="10512"/>
      <w:r w:rsidRPr="008B264B">
        <w:rPr>
          <w:rFonts w:ascii="Times New Roman" w:eastAsia="Times New Roman" w:hAnsi="Times New Roman" w:cs="Times New Roman"/>
          <w:color w:val="000000"/>
          <w:sz w:val="24"/>
          <w:szCs w:val="24"/>
          <w:lang/>
        </w:rPr>
        <w:t>105,8 гривні за 1 літр 100-відсоткового спирту - з 1 січня до 31 грудня 2017 року (включно);</w:t>
      </w:r>
    </w:p>
    <w:p w14:paraId="1E3B90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3" w:name="n10262"/>
      <w:bookmarkEnd w:id="10513"/>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Законів </w:t>
      </w:r>
      <w:hyperlink r:id="rId5934" w:anchor="n33" w:tgtFrame="_blank" w:history="1">
        <w:r w:rsidRPr="008B264B">
          <w:rPr>
            <w:rFonts w:ascii="Times New Roman" w:eastAsia="Times New Roman" w:hAnsi="Times New Roman" w:cs="Times New Roman"/>
            <w:i/>
            <w:iCs/>
            <w:color w:val="0000FF"/>
            <w:sz w:val="24"/>
            <w:szCs w:val="24"/>
            <w:u w:val="single"/>
            <w:lang/>
          </w:rPr>
          <w:t>№ 1638-VII від 12.08.2014</w:t>
        </w:r>
      </w:hyperlink>
      <w:r w:rsidRPr="008B264B">
        <w:rPr>
          <w:rFonts w:ascii="Times New Roman" w:eastAsia="Times New Roman" w:hAnsi="Times New Roman" w:cs="Times New Roman"/>
          <w:i/>
          <w:iCs/>
          <w:color w:val="000000"/>
          <w:sz w:val="24"/>
          <w:szCs w:val="24"/>
          <w:lang/>
        </w:rPr>
        <w:t>, </w:t>
      </w:r>
      <w:hyperlink r:id="rId5935" w:anchor="n695"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w:t>
      </w:r>
      <w:hyperlink r:id="rId5936" w:anchor="n16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6E13FD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4" w:name="n13392"/>
      <w:bookmarkEnd w:id="10514"/>
      <w:r w:rsidRPr="008B264B">
        <w:rPr>
          <w:rFonts w:ascii="Times New Roman" w:eastAsia="Times New Roman" w:hAnsi="Times New Roman" w:cs="Times New Roman"/>
          <w:color w:val="000000"/>
          <w:sz w:val="24"/>
          <w:szCs w:val="24"/>
          <w:lang/>
        </w:rPr>
        <w:t>з 1 січня 2018 року застосовується ставка акцизного податку, визначена </w:t>
      </w:r>
      <w:hyperlink r:id="rId5937" w:anchor="n5497" w:history="1">
        <w:r w:rsidRPr="008B264B">
          <w:rPr>
            <w:rFonts w:ascii="Times New Roman" w:eastAsia="Times New Roman" w:hAnsi="Times New Roman" w:cs="Times New Roman"/>
            <w:color w:val="0000FF"/>
            <w:sz w:val="24"/>
            <w:szCs w:val="24"/>
            <w:u w:val="single"/>
            <w:lang/>
          </w:rPr>
          <w:t>підпунктом 215.3.1</w:t>
        </w:r>
      </w:hyperlink>
      <w:r w:rsidRPr="008B264B">
        <w:rPr>
          <w:rFonts w:ascii="Times New Roman" w:eastAsia="Times New Roman" w:hAnsi="Times New Roman" w:cs="Times New Roman"/>
          <w:color w:val="000000"/>
          <w:sz w:val="24"/>
          <w:szCs w:val="24"/>
          <w:lang/>
        </w:rPr>
        <w:t> пункту 215.3 статті 215 цього Кодексу.</w:t>
      </w:r>
    </w:p>
    <w:p w14:paraId="0FF1F3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5" w:name="n13391"/>
      <w:bookmarkEnd w:id="10515"/>
      <w:r w:rsidRPr="008B264B">
        <w:rPr>
          <w:rFonts w:ascii="Times New Roman" w:eastAsia="Times New Roman" w:hAnsi="Times New Roman" w:cs="Times New Roman"/>
          <w:i/>
          <w:iCs/>
          <w:color w:val="000000"/>
          <w:sz w:val="24"/>
          <w:szCs w:val="24"/>
          <w:lang/>
        </w:rPr>
        <w:t>{Абзац пункту 1 підрозділу 5 розділу XX в редакції Закону </w:t>
      </w:r>
      <w:hyperlink r:id="rId5938" w:anchor="n161"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50246A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6" w:name="n8401"/>
      <w:bookmarkEnd w:id="10516"/>
      <w:r w:rsidRPr="008B264B">
        <w:rPr>
          <w:rFonts w:ascii="Times New Roman" w:eastAsia="Times New Roman" w:hAnsi="Times New Roman" w:cs="Times New Roman"/>
          <w:color w:val="000000"/>
          <w:sz w:val="24"/>
          <w:szCs w:val="24"/>
          <w:lang/>
        </w:rPr>
        <w:t>2. За податковими зобов'язаннями з екологічного податку, що виникли:</w:t>
      </w:r>
    </w:p>
    <w:p w14:paraId="200A2F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7" w:name="n8402"/>
      <w:bookmarkEnd w:id="10517"/>
      <w:r w:rsidRPr="008B264B">
        <w:rPr>
          <w:rFonts w:ascii="Times New Roman" w:eastAsia="Times New Roman" w:hAnsi="Times New Roman" w:cs="Times New Roman"/>
          <w:color w:val="000000"/>
          <w:sz w:val="24"/>
          <w:szCs w:val="24"/>
          <w:lang/>
        </w:rPr>
        <w:t>з 1 січня 2011 року до 31 грудня 2012 року включно ставки податку становлять 50 відсотків від ставок, передбачених </w:t>
      </w:r>
      <w:hyperlink r:id="rId5939" w:anchor="n5992" w:history="1">
        <w:r w:rsidRPr="008B264B">
          <w:rPr>
            <w:rFonts w:ascii="Times New Roman" w:eastAsia="Times New Roman" w:hAnsi="Times New Roman" w:cs="Times New Roman"/>
            <w:color w:val="0000FF"/>
            <w:sz w:val="24"/>
            <w:szCs w:val="24"/>
            <w:u w:val="single"/>
            <w:lang/>
          </w:rPr>
          <w:t>статтями 243</w:t>
        </w:r>
      </w:hyperlink>
      <w:r w:rsidRPr="008B264B">
        <w:rPr>
          <w:rFonts w:ascii="Times New Roman" w:eastAsia="Times New Roman" w:hAnsi="Times New Roman" w:cs="Times New Roman"/>
          <w:color w:val="000000"/>
          <w:sz w:val="24"/>
          <w:szCs w:val="24"/>
          <w:lang/>
        </w:rPr>
        <w:t>, </w:t>
      </w:r>
      <w:hyperlink r:id="rId5940" w:anchor="n6005" w:history="1">
        <w:r w:rsidRPr="008B264B">
          <w:rPr>
            <w:rFonts w:ascii="Times New Roman" w:eastAsia="Times New Roman" w:hAnsi="Times New Roman" w:cs="Times New Roman"/>
            <w:color w:val="0000FF"/>
            <w:sz w:val="24"/>
            <w:szCs w:val="24"/>
            <w:u w:val="single"/>
            <w:lang/>
          </w:rPr>
          <w:t>244</w:t>
        </w:r>
      </w:hyperlink>
      <w:r w:rsidRPr="008B264B">
        <w:rPr>
          <w:rFonts w:ascii="Times New Roman" w:eastAsia="Times New Roman" w:hAnsi="Times New Roman" w:cs="Times New Roman"/>
          <w:color w:val="000000"/>
          <w:sz w:val="24"/>
          <w:szCs w:val="24"/>
          <w:lang/>
        </w:rPr>
        <w:t>, </w:t>
      </w:r>
      <w:hyperlink r:id="rId5941" w:anchor="n6011" w:history="1">
        <w:r w:rsidRPr="008B264B">
          <w:rPr>
            <w:rFonts w:ascii="Times New Roman" w:eastAsia="Times New Roman" w:hAnsi="Times New Roman" w:cs="Times New Roman"/>
            <w:color w:val="0000FF"/>
            <w:sz w:val="24"/>
            <w:szCs w:val="24"/>
            <w:u w:val="single"/>
            <w:lang/>
          </w:rPr>
          <w:t>245</w:t>
        </w:r>
      </w:hyperlink>
      <w:r w:rsidRPr="008B264B">
        <w:rPr>
          <w:rFonts w:ascii="Times New Roman" w:eastAsia="Times New Roman" w:hAnsi="Times New Roman" w:cs="Times New Roman"/>
          <w:color w:val="000000"/>
          <w:sz w:val="24"/>
          <w:szCs w:val="24"/>
          <w:lang/>
        </w:rPr>
        <w:t> і </w:t>
      </w:r>
      <w:hyperlink r:id="rId5942" w:anchor="n6020" w:history="1">
        <w:r w:rsidRPr="008B264B">
          <w:rPr>
            <w:rFonts w:ascii="Times New Roman" w:eastAsia="Times New Roman" w:hAnsi="Times New Roman" w:cs="Times New Roman"/>
            <w:color w:val="0000FF"/>
            <w:sz w:val="24"/>
            <w:szCs w:val="24"/>
            <w:u w:val="single"/>
            <w:lang/>
          </w:rPr>
          <w:t>246</w:t>
        </w:r>
      </w:hyperlink>
      <w:r w:rsidRPr="008B264B">
        <w:rPr>
          <w:rFonts w:ascii="Times New Roman" w:eastAsia="Times New Roman" w:hAnsi="Times New Roman" w:cs="Times New Roman"/>
          <w:color w:val="000000"/>
          <w:sz w:val="24"/>
          <w:szCs w:val="24"/>
          <w:lang/>
        </w:rPr>
        <w:t> цього Кодексу;</w:t>
      </w:r>
    </w:p>
    <w:p w14:paraId="41DA2FB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18" w:name="n8403"/>
      <w:bookmarkEnd w:id="10518"/>
      <w:r w:rsidRPr="008B264B">
        <w:rPr>
          <w:rFonts w:ascii="Times New Roman" w:eastAsia="Times New Roman" w:hAnsi="Times New Roman" w:cs="Times New Roman"/>
          <w:color w:val="000000"/>
          <w:sz w:val="24"/>
          <w:szCs w:val="24"/>
          <w:lang/>
        </w:rPr>
        <w:t>з 1 січня 2013 року до 31 грудня 2013 року включно (для виробників електроенергії на теплоелектроцентралях та ТЕС до 31 грудня 2015 року включно) ставки податку становлять 75 відсотків від ставок, передбачених </w:t>
      </w:r>
      <w:hyperlink r:id="rId5943" w:anchor="n5992" w:history="1">
        <w:r w:rsidRPr="008B264B">
          <w:rPr>
            <w:rFonts w:ascii="Times New Roman" w:eastAsia="Times New Roman" w:hAnsi="Times New Roman" w:cs="Times New Roman"/>
            <w:color w:val="0000FF"/>
            <w:sz w:val="24"/>
            <w:szCs w:val="24"/>
            <w:u w:val="single"/>
            <w:lang/>
          </w:rPr>
          <w:t>статтями 243</w:t>
        </w:r>
      </w:hyperlink>
      <w:r w:rsidRPr="008B264B">
        <w:rPr>
          <w:rFonts w:ascii="Times New Roman" w:eastAsia="Times New Roman" w:hAnsi="Times New Roman" w:cs="Times New Roman"/>
          <w:color w:val="000000"/>
          <w:sz w:val="24"/>
          <w:szCs w:val="24"/>
          <w:lang/>
        </w:rPr>
        <w:t>, </w:t>
      </w:r>
      <w:hyperlink r:id="rId5944" w:anchor="n6005" w:history="1">
        <w:r w:rsidRPr="008B264B">
          <w:rPr>
            <w:rFonts w:ascii="Times New Roman" w:eastAsia="Times New Roman" w:hAnsi="Times New Roman" w:cs="Times New Roman"/>
            <w:color w:val="0000FF"/>
            <w:sz w:val="24"/>
            <w:szCs w:val="24"/>
            <w:u w:val="single"/>
            <w:lang/>
          </w:rPr>
          <w:t>244</w:t>
        </w:r>
      </w:hyperlink>
      <w:r w:rsidRPr="008B264B">
        <w:rPr>
          <w:rFonts w:ascii="Times New Roman" w:eastAsia="Times New Roman" w:hAnsi="Times New Roman" w:cs="Times New Roman"/>
          <w:color w:val="000000"/>
          <w:sz w:val="24"/>
          <w:szCs w:val="24"/>
          <w:lang/>
        </w:rPr>
        <w:t>, </w:t>
      </w:r>
      <w:hyperlink r:id="rId5945" w:anchor="n6011" w:history="1">
        <w:r w:rsidRPr="008B264B">
          <w:rPr>
            <w:rFonts w:ascii="Times New Roman" w:eastAsia="Times New Roman" w:hAnsi="Times New Roman" w:cs="Times New Roman"/>
            <w:color w:val="0000FF"/>
            <w:sz w:val="24"/>
            <w:szCs w:val="24"/>
            <w:u w:val="single"/>
            <w:lang/>
          </w:rPr>
          <w:t>245</w:t>
        </w:r>
      </w:hyperlink>
      <w:r w:rsidRPr="008B264B">
        <w:rPr>
          <w:rFonts w:ascii="Times New Roman" w:eastAsia="Times New Roman" w:hAnsi="Times New Roman" w:cs="Times New Roman"/>
          <w:color w:val="000000"/>
          <w:sz w:val="24"/>
          <w:szCs w:val="24"/>
          <w:lang/>
        </w:rPr>
        <w:t>, </w:t>
      </w:r>
      <w:hyperlink r:id="rId5946" w:anchor="n6020" w:history="1">
        <w:r w:rsidRPr="008B264B">
          <w:rPr>
            <w:rFonts w:ascii="Times New Roman" w:eastAsia="Times New Roman" w:hAnsi="Times New Roman" w:cs="Times New Roman"/>
            <w:color w:val="0000FF"/>
            <w:sz w:val="24"/>
            <w:szCs w:val="24"/>
            <w:u w:val="single"/>
            <w:lang/>
          </w:rPr>
          <w:t>246</w:t>
        </w:r>
      </w:hyperlink>
      <w:r w:rsidRPr="008B264B">
        <w:rPr>
          <w:rFonts w:ascii="Times New Roman" w:eastAsia="Times New Roman" w:hAnsi="Times New Roman" w:cs="Times New Roman"/>
          <w:color w:val="000000"/>
          <w:sz w:val="24"/>
          <w:szCs w:val="24"/>
          <w:lang/>
        </w:rPr>
        <w:t> цього Кодексу;</w:t>
      </w:r>
    </w:p>
    <w:p w14:paraId="6A6616F6"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519" w:name="n9643"/>
      <w:bookmarkEnd w:id="10519"/>
      <w:r w:rsidRPr="008B264B">
        <w:rPr>
          <w:rFonts w:ascii="Times New Roman" w:eastAsia="Times New Roman" w:hAnsi="Times New Roman" w:cs="Times New Roman"/>
          <w:i/>
          <w:iCs/>
          <w:color w:val="000000"/>
          <w:sz w:val="24"/>
          <w:szCs w:val="24"/>
          <w:lang/>
        </w:rPr>
        <w:t>{Абзац третій пункту 2 підрозділу 5 розділу XX із змінами, внесеними згідно із Законом </w:t>
      </w:r>
      <w:hyperlink r:id="rId5947" w:anchor="n49"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698BC9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0" w:name="n8404"/>
      <w:bookmarkEnd w:id="10520"/>
      <w:r w:rsidRPr="008B264B">
        <w:rPr>
          <w:rFonts w:ascii="Times New Roman" w:eastAsia="Times New Roman" w:hAnsi="Times New Roman" w:cs="Times New Roman"/>
          <w:color w:val="000000"/>
          <w:sz w:val="24"/>
          <w:szCs w:val="24"/>
          <w:lang/>
        </w:rPr>
        <w:t>з 1 січня 2014 року (для виробників електроенергії на теплоелектроцентралях та ТЕС з 1 січня 2016 року) ставки податку становлять 100 відсотків від ставок, передбачених </w:t>
      </w:r>
      <w:hyperlink r:id="rId5948" w:anchor="n5992" w:history="1">
        <w:r w:rsidRPr="008B264B">
          <w:rPr>
            <w:rFonts w:ascii="Times New Roman" w:eastAsia="Times New Roman" w:hAnsi="Times New Roman" w:cs="Times New Roman"/>
            <w:color w:val="0000FF"/>
            <w:sz w:val="24"/>
            <w:szCs w:val="24"/>
            <w:u w:val="single"/>
            <w:lang/>
          </w:rPr>
          <w:t>статтями 243</w:t>
        </w:r>
      </w:hyperlink>
      <w:r w:rsidRPr="008B264B">
        <w:rPr>
          <w:rFonts w:ascii="Times New Roman" w:eastAsia="Times New Roman" w:hAnsi="Times New Roman" w:cs="Times New Roman"/>
          <w:color w:val="000000"/>
          <w:sz w:val="24"/>
          <w:szCs w:val="24"/>
          <w:lang/>
        </w:rPr>
        <w:t>, </w:t>
      </w:r>
      <w:hyperlink r:id="rId5949" w:anchor="n6005" w:history="1">
        <w:r w:rsidRPr="008B264B">
          <w:rPr>
            <w:rFonts w:ascii="Times New Roman" w:eastAsia="Times New Roman" w:hAnsi="Times New Roman" w:cs="Times New Roman"/>
            <w:color w:val="0000FF"/>
            <w:sz w:val="24"/>
            <w:szCs w:val="24"/>
            <w:u w:val="single"/>
            <w:lang/>
          </w:rPr>
          <w:t>244</w:t>
        </w:r>
      </w:hyperlink>
      <w:r w:rsidRPr="008B264B">
        <w:rPr>
          <w:rFonts w:ascii="Times New Roman" w:eastAsia="Times New Roman" w:hAnsi="Times New Roman" w:cs="Times New Roman"/>
          <w:color w:val="000000"/>
          <w:sz w:val="24"/>
          <w:szCs w:val="24"/>
          <w:lang/>
        </w:rPr>
        <w:t>, </w:t>
      </w:r>
      <w:hyperlink r:id="rId5950" w:anchor="n6011" w:history="1">
        <w:r w:rsidRPr="008B264B">
          <w:rPr>
            <w:rFonts w:ascii="Times New Roman" w:eastAsia="Times New Roman" w:hAnsi="Times New Roman" w:cs="Times New Roman"/>
            <w:color w:val="0000FF"/>
            <w:sz w:val="24"/>
            <w:szCs w:val="24"/>
            <w:u w:val="single"/>
            <w:lang/>
          </w:rPr>
          <w:t>245</w:t>
        </w:r>
      </w:hyperlink>
      <w:r w:rsidRPr="008B264B">
        <w:rPr>
          <w:rFonts w:ascii="Times New Roman" w:eastAsia="Times New Roman" w:hAnsi="Times New Roman" w:cs="Times New Roman"/>
          <w:color w:val="000000"/>
          <w:sz w:val="24"/>
          <w:szCs w:val="24"/>
          <w:lang/>
        </w:rPr>
        <w:t> і </w:t>
      </w:r>
      <w:hyperlink r:id="rId5951" w:anchor="n6020" w:history="1">
        <w:r w:rsidRPr="008B264B">
          <w:rPr>
            <w:rFonts w:ascii="Times New Roman" w:eastAsia="Times New Roman" w:hAnsi="Times New Roman" w:cs="Times New Roman"/>
            <w:color w:val="0000FF"/>
            <w:sz w:val="24"/>
            <w:szCs w:val="24"/>
            <w:u w:val="single"/>
            <w:lang/>
          </w:rPr>
          <w:t>246</w:t>
        </w:r>
      </w:hyperlink>
      <w:r w:rsidRPr="008B264B">
        <w:rPr>
          <w:rFonts w:ascii="Times New Roman" w:eastAsia="Times New Roman" w:hAnsi="Times New Roman" w:cs="Times New Roman"/>
          <w:color w:val="000000"/>
          <w:sz w:val="24"/>
          <w:szCs w:val="24"/>
          <w:lang/>
        </w:rPr>
        <w:t> цього Кодексу.</w:t>
      </w:r>
    </w:p>
    <w:p w14:paraId="32B02187"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521" w:name="n9644"/>
      <w:bookmarkEnd w:id="10521"/>
      <w:r w:rsidRPr="008B264B">
        <w:rPr>
          <w:rFonts w:ascii="Times New Roman" w:eastAsia="Times New Roman" w:hAnsi="Times New Roman" w:cs="Times New Roman"/>
          <w:i/>
          <w:iCs/>
          <w:color w:val="000000"/>
          <w:sz w:val="24"/>
          <w:szCs w:val="24"/>
          <w:lang/>
        </w:rPr>
        <w:t>{Абзац четвертий пункту 2 підрозділу 5 розділу XX із змінами, внесеними згідно із Законом </w:t>
      </w:r>
      <w:hyperlink r:id="rId5952" w:anchor="n50" w:tgtFrame="_blank" w:history="1">
        <w:r w:rsidRPr="008B264B">
          <w:rPr>
            <w:rFonts w:ascii="Times New Roman" w:eastAsia="Times New Roman" w:hAnsi="Times New Roman" w:cs="Times New Roman"/>
            <w:i/>
            <w:iCs/>
            <w:color w:val="0000FF"/>
            <w:sz w:val="24"/>
            <w:szCs w:val="24"/>
            <w:u w:val="single"/>
            <w:lang/>
          </w:rPr>
          <w:t>№ 713-VII від 19.12.2013</w:t>
        </w:r>
      </w:hyperlink>
      <w:r w:rsidRPr="008B264B">
        <w:rPr>
          <w:rFonts w:ascii="Times New Roman" w:eastAsia="Times New Roman" w:hAnsi="Times New Roman" w:cs="Times New Roman"/>
          <w:i/>
          <w:iCs/>
          <w:color w:val="000000"/>
          <w:sz w:val="24"/>
          <w:szCs w:val="24"/>
          <w:lang/>
        </w:rPr>
        <w:t>}</w:t>
      </w:r>
    </w:p>
    <w:p w14:paraId="2A02FB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2" w:name="n8405"/>
      <w:bookmarkEnd w:id="10522"/>
      <w:r w:rsidRPr="008B264B">
        <w:rPr>
          <w:rFonts w:ascii="Times New Roman" w:eastAsia="Times New Roman" w:hAnsi="Times New Roman" w:cs="Times New Roman"/>
          <w:color w:val="000000"/>
          <w:sz w:val="24"/>
          <w:szCs w:val="24"/>
          <w:lang/>
        </w:rPr>
        <w:t>3. Тимчасово, до 31 серпня 2011 року, встановити ставки акцизного податку на такі товари:</w:t>
      </w:r>
    </w:p>
    <w:p w14:paraId="4F7383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3" w:name="n8406"/>
      <w:bookmarkEnd w:id="10523"/>
      <w:r w:rsidRPr="008B264B">
        <w:rPr>
          <w:rFonts w:ascii="Times New Roman" w:eastAsia="Times New Roman" w:hAnsi="Times New Roman" w:cs="Times New Roman"/>
          <w:i/>
          <w:iCs/>
          <w:color w:val="000000"/>
          <w:sz w:val="24"/>
          <w:szCs w:val="24"/>
          <w:lang/>
        </w:rPr>
        <w:t>{Абзац перший пункту 3 підрозділу 5 розділу XX із змінами, внесеними згідно із Законом </w:t>
      </w:r>
      <w:hyperlink r:id="rId595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1636"/>
        <w:gridCol w:w="2476"/>
        <w:gridCol w:w="3042"/>
        <w:gridCol w:w="2752"/>
      </w:tblGrid>
      <w:tr w:rsidR="008B264B" w:rsidRPr="008B264B" w14:paraId="351B134D" w14:textId="77777777" w:rsidTr="008B264B">
        <w:tc>
          <w:tcPr>
            <w:tcW w:w="199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1D8B5A1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24" w:name="n8407"/>
            <w:bookmarkEnd w:id="10524"/>
            <w:r w:rsidRPr="008B264B">
              <w:rPr>
                <w:rFonts w:ascii="Times New Roman" w:eastAsia="Times New Roman" w:hAnsi="Times New Roman" w:cs="Times New Roman"/>
                <w:sz w:val="24"/>
                <w:szCs w:val="24"/>
                <w:lang/>
              </w:rPr>
              <w:t>Код товару (продукції) згідно з </w:t>
            </w:r>
            <w:hyperlink r:id="rId5954" w:tgtFrame="_blank" w:history="1">
              <w:r w:rsidRPr="008B264B">
                <w:rPr>
                  <w:rFonts w:ascii="Times New Roman" w:eastAsia="Times New Roman" w:hAnsi="Times New Roman" w:cs="Times New Roman"/>
                  <w:color w:val="0000FF"/>
                  <w:sz w:val="24"/>
                  <w:szCs w:val="24"/>
                  <w:u w:val="single"/>
                  <w:lang/>
                </w:rPr>
                <w:t>УКТ ЗЕД</w:t>
              </w:r>
            </w:hyperlink>
          </w:p>
        </w:tc>
        <w:tc>
          <w:tcPr>
            <w:tcW w:w="348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060D283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auto"/>
            <w:hideMark/>
          </w:tcPr>
          <w:p w14:paraId="41CB73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акцизного податку у твердих сумах з одиниці реалізованого товару (продукції)</w:t>
            </w:r>
          </w:p>
        </w:tc>
      </w:tr>
      <w:tr w:rsidR="008B264B" w:rsidRPr="008B264B" w14:paraId="3DE5B8A3"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6AC038F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6B56BE0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79C4683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одиниці виміру</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7EDEA17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w:t>
            </w:r>
          </w:p>
        </w:tc>
      </w:tr>
      <w:tr w:rsidR="008B264B" w:rsidRPr="008B264B" w14:paraId="1124FD65" w14:textId="77777777" w:rsidTr="008B264B">
        <w:tc>
          <w:tcPr>
            <w:tcW w:w="199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30E90DA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2710 11 25 00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77BE4BC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спеціальні бензини</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5A6D4E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2E5F17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132</w:t>
            </w:r>
          </w:p>
        </w:tc>
      </w:tr>
      <w:tr w:rsidR="008B264B" w:rsidRPr="008B264B" w14:paraId="3460405F"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319C49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E969CF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13112CC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14EF1E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96320CB"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6B92551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67D6AE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 з вмістом свинцю 0,013 г/л або менше:</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31F3C3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6F9EC7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B4DF5D6"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2AEDDD3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2710 11 41 11</w:t>
            </w:r>
            <w:r w:rsidRPr="008B264B">
              <w:rPr>
                <w:rFonts w:ascii="Times New Roman" w:eastAsia="Times New Roman" w:hAnsi="Times New Roman" w:cs="Times New Roman"/>
                <w:sz w:val="24"/>
                <w:szCs w:val="24"/>
                <w:lang/>
              </w:rPr>
              <w:br/>
              <w:t>2710 11 41 31</w:t>
            </w:r>
            <w:r w:rsidRPr="008B264B">
              <w:rPr>
                <w:rFonts w:ascii="Times New Roman" w:eastAsia="Times New Roman" w:hAnsi="Times New Roman" w:cs="Times New Roman"/>
                <w:sz w:val="24"/>
                <w:szCs w:val="24"/>
                <w:lang/>
              </w:rPr>
              <w:br/>
              <w:t>2710 11 41 91</w:t>
            </w:r>
            <w:r w:rsidRPr="008B264B">
              <w:rPr>
                <w:rFonts w:ascii="Times New Roman" w:eastAsia="Times New Roman" w:hAnsi="Times New Roman" w:cs="Times New Roman"/>
                <w:sz w:val="24"/>
                <w:szCs w:val="24"/>
                <w:lang/>
              </w:rPr>
              <w:br/>
              <w:t>2710 11 45 11</w:t>
            </w:r>
            <w:r w:rsidRPr="008B264B">
              <w:rPr>
                <w:rFonts w:ascii="Times New Roman" w:eastAsia="Times New Roman" w:hAnsi="Times New Roman" w:cs="Times New Roman"/>
                <w:sz w:val="24"/>
                <w:szCs w:val="24"/>
                <w:lang/>
              </w:rPr>
              <w:br/>
              <w:t>2710 11 49 11</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024B8BA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не менш як 5 мас. % біоетанолу або не менш як 5 мас. % етил-трет-бутилового етеру або їх суміші:</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273939E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596ED0D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132</w:t>
            </w:r>
          </w:p>
        </w:tc>
      </w:tr>
      <w:tr w:rsidR="008B264B" w:rsidRPr="008B264B" w14:paraId="7B0345F2"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48DCDBA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2710 11 41 19</w:t>
            </w:r>
            <w:r w:rsidRPr="008B264B">
              <w:rPr>
                <w:rFonts w:ascii="Times New Roman" w:eastAsia="Times New Roman" w:hAnsi="Times New Roman" w:cs="Times New Roman"/>
                <w:sz w:val="24"/>
                <w:szCs w:val="24"/>
                <w:lang/>
              </w:rPr>
              <w:br/>
              <w:t>2710 11 41 39</w:t>
            </w:r>
            <w:r w:rsidRPr="008B264B">
              <w:rPr>
                <w:rFonts w:ascii="Times New Roman" w:eastAsia="Times New Roman" w:hAnsi="Times New Roman" w:cs="Times New Roman"/>
                <w:sz w:val="24"/>
                <w:szCs w:val="24"/>
                <w:lang/>
              </w:rPr>
              <w:br/>
              <w:t>2710 11 41 99</w:t>
            </w:r>
            <w:r w:rsidRPr="008B264B">
              <w:rPr>
                <w:rFonts w:ascii="Times New Roman" w:eastAsia="Times New Roman" w:hAnsi="Times New Roman" w:cs="Times New Roman"/>
                <w:sz w:val="24"/>
                <w:szCs w:val="24"/>
                <w:lang/>
              </w:rPr>
              <w:br/>
              <w:t>2710 11 45 99</w:t>
            </w:r>
            <w:r w:rsidRPr="008B264B">
              <w:rPr>
                <w:rFonts w:ascii="Times New Roman" w:eastAsia="Times New Roman" w:hAnsi="Times New Roman" w:cs="Times New Roman"/>
                <w:sz w:val="24"/>
                <w:szCs w:val="24"/>
                <w:lang/>
              </w:rPr>
              <w:br/>
              <w:t>2710 11 49 99</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5BE33F0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бензини</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37F5D3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6CC274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132</w:t>
            </w:r>
          </w:p>
        </w:tc>
      </w:tr>
      <w:tr w:rsidR="008B264B" w:rsidRPr="008B264B" w14:paraId="177FF590"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479F56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2710 11 51 00</w:t>
            </w:r>
            <w:r w:rsidRPr="008B264B">
              <w:rPr>
                <w:rFonts w:ascii="Times New Roman" w:eastAsia="Times New Roman" w:hAnsi="Times New Roman" w:cs="Times New Roman"/>
                <w:sz w:val="24"/>
                <w:szCs w:val="24"/>
                <w:lang/>
              </w:rPr>
              <w:br/>
              <w:t>2710 11 59 00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46B96FD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вмістом свинцю більш як 0,013 г/л</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530431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62F621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132</w:t>
            </w:r>
          </w:p>
        </w:tc>
      </w:tr>
      <w:tr w:rsidR="008B264B" w:rsidRPr="008B264B" w14:paraId="7CA0C8C6" w14:textId="77777777" w:rsidTr="008B264B">
        <w:tc>
          <w:tcPr>
            <w:tcW w:w="199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22FC49D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2710 11 90 00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43A97D3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легкі дистиляти</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58369F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42A2DA6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132</w:t>
            </w:r>
          </w:p>
        </w:tc>
      </w:tr>
      <w:tr w:rsidR="008B264B" w:rsidRPr="008B264B" w14:paraId="36B8FE0A"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3F4358B4"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5AEC62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Важкі дистиляти (газойлі) із вмістом сірки:</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6CF3F0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656D8C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16F4FF14"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71F6A1A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2710 19 31 40</w:t>
            </w:r>
            <w:r w:rsidRPr="008B264B">
              <w:rPr>
                <w:rFonts w:ascii="Times New Roman" w:eastAsia="Times New Roman" w:hAnsi="Times New Roman" w:cs="Times New Roman"/>
                <w:sz w:val="24"/>
                <w:szCs w:val="24"/>
                <w:lang/>
              </w:rPr>
              <w:br/>
              <w:t>2710 19 35 40</w:t>
            </w:r>
            <w:r w:rsidRPr="008B264B">
              <w:rPr>
                <w:rFonts w:ascii="Times New Roman" w:eastAsia="Times New Roman" w:hAnsi="Times New Roman" w:cs="Times New Roman"/>
                <w:sz w:val="24"/>
                <w:szCs w:val="24"/>
                <w:lang/>
              </w:rPr>
              <w:br/>
              <w:t>2710 19 49 00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DA412E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0,2 мас. %</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3A7516C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38F7D6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60</w:t>
            </w:r>
          </w:p>
        </w:tc>
      </w:tr>
      <w:tr w:rsidR="008B264B" w:rsidRPr="008B264B" w14:paraId="0328A137"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4FEA588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2710 19 31 30</w:t>
            </w:r>
            <w:r w:rsidRPr="008B264B">
              <w:rPr>
                <w:rFonts w:ascii="Times New Roman" w:eastAsia="Times New Roman" w:hAnsi="Times New Roman" w:cs="Times New Roman"/>
                <w:sz w:val="24"/>
                <w:szCs w:val="24"/>
                <w:lang/>
              </w:rPr>
              <w:br/>
              <w:t>2710 19 35 30</w:t>
            </w:r>
            <w:r w:rsidRPr="008B264B">
              <w:rPr>
                <w:rFonts w:ascii="Times New Roman" w:eastAsia="Times New Roman" w:hAnsi="Times New Roman" w:cs="Times New Roman"/>
                <w:sz w:val="24"/>
                <w:szCs w:val="24"/>
                <w:lang/>
              </w:rPr>
              <w:br/>
              <w:t>2710 19 41 30</w:t>
            </w:r>
            <w:r w:rsidRPr="008B264B">
              <w:rPr>
                <w:rFonts w:ascii="Times New Roman" w:eastAsia="Times New Roman" w:hAnsi="Times New Roman" w:cs="Times New Roman"/>
                <w:sz w:val="24"/>
                <w:szCs w:val="24"/>
                <w:lang/>
              </w:rPr>
              <w:br/>
              <w:t>2710 19 45 00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6C5286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0,035 мас. %, але не більш як 0,2 мас. %</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350E73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065EEF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39</w:t>
            </w:r>
          </w:p>
        </w:tc>
      </w:tr>
      <w:tr w:rsidR="008B264B" w:rsidRPr="008B264B" w14:paraId="057C0CDC"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48BD5D3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2710 19 31 20</w:t>
            </w:r>
            <w:r w:rsidRPr="008B264B">
              <w:rPr>
                <w:rFonts w:ascii="Times New Roman" w:eastAsia="Times New Roman" w:hAnsi="Times New Roman" w:cs="Times New Roman"/>
                <w:sz w:val="24"/>
                <w:szCs w:val="24"/>
                <w:lang/>
              </w:rPr>
              <w:br/>
              <w:t>2710 19 35 20</w:t>
            </w:r>
            <w:r w:rsidRPr="008B264B">
              <w:rPr>
                <w:rFonts w:ascii="Times New Roman" w:eastAsia="Times New Roman" w:hAnsi="Times New Roman" w:cs="Times New Roman"/>
                <w:sz w:val="24"/>
                <w:szCs w:val="24"/>
                <w:lang/>
              </w:rPr>
              <w:br/>
              <w:t>2710 19 41 20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3AE2D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0,005 мас. %, але не більш як 0,035 мас.%</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6C249B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537D35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32</w:t>
            </w:r>
          </w:p>
        </w:tc>
      </w:tr>
      <w:tr w:rsidR="008B264B" w:rsidRPr="008B264B" w14:paraId="6825210E" w14:textId="77777777" w:rsidTr="008B264B">
        <w:tc>
          <w:tcPr>
            <w:tcW w:w="1995" w:type="dxa"/>
            <w:tcBorders>
              <w:top w:val="single" w:sz="6" w:space="0" w:color="000000"/>
              <w:left w:val="single" w:sz="6" w:space="0" w:color="000000"/>
              <w:bottom w:val="single" w:sz="6" w:space="0" w:color="000000"/>
              <w:right w:val="single" w:sz="6" w:space="0" w:color="000000"/>
            </w:tcBorders>
            <w:shd w:val="clear" w:color="auto" w:fill="auto"/>
            <w:hideMark/>
          </w:tcPr>
          <w:p w14:paraId="030614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2710 19 31 10</w:t>
            </w:r>
            <w:r w:rsidRPr="008B264B">
              <w:rPr>
                <w:rFonts w:ascii="Times New Roman" w:eastAsia="Times New Roman" w:hAnsi="Times New Roman" w:cs="Times New Roman"/>
                <w:sz w:val="24"/>
                <w:szCs w:val="24"/>
                <w:lang/>
              </w:rPr>
              <w:br/>
              <w:t>2710 19 35 10</w:t>
            </w:r>
            <w:r w:rsidRPr="008B264B">
              <w:rPr>
                <w:rFonts w:ascii="Times New Roman" w:eastAsia="Times New Roman" w:hAnsi="Times New Roman" w:cs="Times New Roman"/>
                <w:sz w:val="24"/>
                <w:szCs w:val="24"/>
                <w:lang/>
              </w:rPr>
              <w:br/>
              <w:t>2710 19 41 10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B5EEE5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не більш як 0,005 мас. %</w:t>
            </w:r>
          </w:p>
        </w:tc>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23E9882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70" w:type="dxa"/>
            <w:tcBorders>
              <w:top w:val="single" w:sz="6" w:space="0" w:color="000000"/>
              <w:left w:val="single" w:sz="6" w:space="0" w:color="000000"/>
              <w:bottom w:val="single" w:sz="6" w:space="0" w:color="000000"/>
              <w:right w:val="single" w:sz="6" w:space="0" w:color="000000"/>
            </w:tcBorders>
            <w:shd w:val="clear" w:color="auto" w:fill="auto"/>
            <w:hideMark/>
          </w:tcPr>
          <w:p w14:paraId="5119DC4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w:t>
            </w:r>
          </w:p>
        </w:tc>
      </w:tr>
    </w:tbl>
    <w:p w14:paraId="737200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5" w:name="n8408"/>
      <w:bookmarkEnd w:id="10525"/>
      <w:r w:rsidRPr="008B264B">
        <w:rPr>
          <w:rFonts w:ascii="Times New Roman" w:eastAsia="Times New Roman" w:hAnsi="Times New Roman" w:cs="Times New Roman"/>
          <w:i/>
          <w:iCs/>
          <w:color w:val="000000"/>
          <w:sz w:val="24"/>
          <w:szCs w:val="24"/>
          <w:lang/>
        </w:rPr>
        <w:t>{Підрозділ 5 розділу XX доповнено пунктом 3 згідно із Законом </w:t>
      </w:r>
      <w:hyperlink r:id="rId5955" w:tgtFrame="_blank" w:history="1">
        <w:r w:rsidRPr="008B264B">
          <w:rPr>
            <w:rFonts w:ascii="Times New Roman" w:eastAsia="Times New Roman" w:hAnsi="Times New Roman" w:cs="Times New Roman"/>
            <w:i/>
            <w:iCs/>
            <w:color w:val="0000FF"/>
            <w:sz w:val="24"/>
            <w:szCs w:val="24"/>
            <w:u w:val="single"/>
            <w:lang/>
          </w:rPr>
          <w:t>№ 3221-VI від 07.04.2011</w:t>
        </w:r>
      </w:hyperlink>
      <w:r w:rsidRPr="008B264B">
        <w:rPr>
          <w:rFonts w:ascii="Times New Roman" w:eastAsia="Times New Roman" w:hAnsi="Times New Roman" w:cs="Times New Roman"/>
          <w:i/>
          <w:iCs/>
          <w:color w:val="000000"/>
          <w:sz w:val="24"/>
          <w:szCs w:val="24"/>
          <w:lang/>
        </w:rPr>
        <w:t>}</w:t>
      </w:r>
    </w:p>
    <w:p w14:paraId="779AAB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6" w:name="n8409"/>
      <w:bookmarkEnd w:id="10526"/>
      <w:r w:rsidRPr="008B264B">
        <w:rPr>
          <w:rFonts w:ascii="Times New Roman" w:eastAsia="Times New Roman" w:hAnsi="Times New Roman" w:cs="Times New Roman"/>
          <w:color w:val="000000"/>
          <w:sz w:val="24"/>
          <w:szCs w:val="24"/>
          <w:lang/>
        </w:rPr>
        <w:t>4. Тимчасово до 31 грудня 2012 року звільняються від оподаткування акцизним податком операції з ввезення на митну територію України спеціалізованих транспортних засобів, таких як автомобілі швидкої медичної допомоги товарної позиції 8703 згідно з </w:t>
      </w:r>
      <w:hyperlink r:id="rId5956"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які призначені для використання закладами охорони здоров'я і оплата вартості яких здійснюється за рахунок коштів державного та місцевих бюджетів або за замовленням відповідних розпорядників бюджетних коштів.</w:t>
      </w:r>
    </w:p>
    <w:p w14:paraId="03AECC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7" w:name="n8410"/>
      <w:bookmarkEnd w:id="10527"/>
      <w:r w:rsidRPr="008B264B">
        <w:rPr>
          <w:rFonts w:ascii="Times New Roman" w:eastAsia="Times New Roman" w:hAnsi="Times New Roman" w:cs="Times New Roman"/>
          <w:color w:val="000000"/>
          <w:sz w:val="24"/>
          <w:szCs w:val="24"/>
          <w:lang/>
        </w:rPr>
        <w:lastRenderedPageBreak/>
        <w:t>У разі нецільового використання зазначених товарів платник податку зобов'язаний збільшити податкові зобов'язання за наслідками податкового періоду, на який припадає таке порушення, на суму акцизного податку, що мала бути сплачена в момент імпорту таких товарів, а також сплатити пеню відповідно до закону.</w:t>
      </w:r>
    </w:p>
    <w:p w14:paraId="63DD11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8" w:name="n8411"/>
      <w:bookmarkEnd w:id="10528"/>
      <w:r w:rsidRPr="008B264B">
        <w:rPr>
          <w:rFonts w:ascii="Times New Roman" w:eastAsia="Times New Roman" w:hAnsi="Times New Roman" w:cs="Times New Roman"/>
          <w:i/>
          <w:iCs/>
          <w:color w:val="000000"/>
          <w:sz w:val="24"/>
          <w:szCs w:val="24"/>
          <w:lang/>
        </w:rPr>
        <w:t>{Підрозділ 5 розділу XX доповнено пунктом 4 згідно із Законом </w:t>
      </w:r>
      <w:hyperlink r:id="rId5957" w:tgtFrame="_blank" w:history="1">
        <w:r w:rsidRPr="008B264B">
          <w:rPr>
            <w:rFonts w:ascii="Times New Roman" w:eastAsia="Times New Roman" w:hAnsi="Times New Roman" w:cs="Times New Roman"/>
            <w:i/>
            <w:iCs/>
            <w:color w:val="0000FF"/>
            <w:sz w:val="24"/>
            <w:szCs w:val="24"/>
            <w:u w:val="single"/>
            <w:lang/>
          </w:rPr>
          <w:t>№ 4279-VI від 22.12.2011</w:t>
        </w:r>
      </w:hyperlink>
      <w:r w:rsidRPr="008B264B">
        <w:rPr>
          <w:rFonts w:ascii="Times New Roman" w:eastAsia="Times New Roman" w:hAnsi="Times New Roman" w:cs="Times New Roman"/>
          <w:i/>
          <w:iCs/>
          <w:color w:val="000000"/>
          <w:sz w:val="24"/>
          <w:szCs w:val="24"/>
          <w:lang/>
        </w:rPr>
        <w:t>}</w:t>
      </w:r>
    </w:p>
    <w:p w14:paraId="32E9CC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29" w:name="n9460"/>
      <w:bookmarkEnd w:id="10529"/>
      <w:r w:rsidRPr="008B264B">
        <w:rPr>
          <w:rFonts w:ascii="Times New Roman" w:eastAsia="Times New Roman" w:hAnsi="Times New Roman" w:cs="Times New Roman"/>
          <w:color w:val="000000"/>
          <w:sz w:val="24"/>
          <w:szCs w:val="24"/>
          <w:lang/>
        </w:rPr>
        <w:t>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Відновити з 1 грудня 2013 року до 1 січня 2015 року дію пункту 4 цього підрозділу.</w:t>
      </w:r>
    </w:p>
    <w:p w14:paraId="4E5F2D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0" w:name="n9461"/>
      <w:bookmarkEnd w:id="10530"/>
      <w:r w:rsidRPr="008B264B">
        <w:rPr>
          <w:rFonts w:ascii="Times New Roman" w:eastAsia="Times New Roman" w:hAnsi="Times New Roman" w:cs="Times New Roman"/>
          <w:i/>
          <w:iCs/>
          <w:color w:val="000000"/>
          <w:sz w:val="24"/>
          <w:szCs w:val="24"/>
          <w:lang/>
        </w:rPr>
        <w:t>{Підрозділ 5 розділу XX доповнено пунктом 4</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5958" w:anchor="n219"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345891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1" w:name="n8412"/>
      <w:bookmarkEnd w:id="10531"/>
      <w:r w:rsidRPr="008B264B">
        <w:rPr>
          <w:rFonts w:ascii="Times New Roman" w:eastAsia="Times New Roman" w:hAnsi="Times New Roman" w:cs="Times New Roman"/>
          <w:color w:val="000000"/>
          <w:sz w:val="24"/>
          <w:szCs w:val="24"/>
          <w:lang/>
        </w:rPr>
        <w:t>5. Тимчасово, до 31 грудня 2012 року, встановити ставки акцизного податку на такі товари:</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1597"/>
        <w:gridCol w:w="2459"/>
        <w:gridCol w:w="3109"/>
        <w:gridCol w:w="2741"/>
      </w:tblGrid>
      <w:tr w:rsidR="008B264B" w:rsidRPr="008B264B" w14:paraId="62C92928" w14:textId="77777777" w:rsidTr="008B264B">
        <w:tc>
          <w:tcPr>
            <w:tcW w:w="198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4C06E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32" w:name="n8413"/>
            <w:bookmarkEnd w:id="10532"/>
            <w:r w:rsidRPr="008B264B">
              <w:rPr>
                <w:rFonts w:ascii="Times New Roman" w:eastAsia="Times New Roman" w:hAnsi="Times New Roman" w:cs="Times New Roman"/>
                <w:sz w:val="24"/>
                <w:szCs w:val="24"/>
                <w:lang/>
              </w:rPr>
              <w:t>Код товару (продукції) згідно з </w:t>
            </w:r>
            <w:hyperlink r:id="rId5959" w:tgtFrame="_blank" w:history="1">
              <w:r w:rsidRPr="008B264B">
                <w:rPr>
                  <w:rFonts w:ascii="Times New Roman" w:eastAsia="Times New Roman" w:hAnsi="Times New Roman" w:cs="Times New Roman"/>
                  <w:color w:val="0000FF"/>
                  <w:sz w:val="24"/>
                  <w:szCs w:val="24"/>
                  <w:u w:val="single"/>
                  <w:lang/>
                </w:rPr>
                <w:t>УКТ ЗЕД</w:t>
              </w:r>
            </w:hyperlink>
          </w:p>
        </w:tc>
        <w:tc>
          <w:tcPr>
            <w:tcW w:w="348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256267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0" w:type="auto"/>
            <w:gridSpan w:val="2"/>
            <w:tcBorders>
              <w:top w:val="single" w:sz="6" w:space="0" w:color="000000"/>
              <w:left w:val="single" w:sz="6" w:space="0" w:color="000000"/>
              <w:bottom w:val="single" w:sz="6" w:space="0" w:color="000000"/>
              <w:right w:val="single" w:sz="6" w:space="0" w:color="000000"/>
            </w:tcBorders>
            <w:shd w:val="clear" w:color="auto" w:fill="auto"/>
            <w:hideMark/>
          </w:tcPr>
          <w:p w14:paraId="4B2EF0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Базові ставки акцизного податку у твердих сумах з одиниці реалізованого товару (продукції)</w:t>
            </w:r>
          </w:p>
        </w:tc>
      </w:tr>
      <w:tr w:rsidR="008B264B" w:rsidRPr="008B264B" w14:paraId="20C44C46"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A3CD4E5"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6AC04E9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6E93412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одиниці виміру</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2236862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w:t>
            </w:r>
          </w:p>
        </w:tc>
      </w:tr>
      <w:tr w:rsidR="008B264B" w:rsidRPr="008B264B" w14:paraId="2BF1873B"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5AEDA5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FFA3AC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Легкі дистиляти: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7DAEC1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3440906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r>
      <w:tr w:rsidR="008B264B" w:rsidRPr="008B264B" w14:paraId="4B76C7DA"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6BDDAF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2710 11 11 00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2B2507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7DC4CDF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21DC7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0597E39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6DDDA7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2710 11 15 00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8125FF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крім зазначених у товарній підкатегорії 2710 11 11 00</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63F8800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4F54DC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03D4DB1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F02C39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8173AE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спеціальні:</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4E3A58E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2F7057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72DD03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17E5B35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2710 11 21 00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621DA3A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уайт-спірит</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261B834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888E7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41611F2C"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0399901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2710 11 25 00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538BDF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спеціальні бензини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CDC3B6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7E0426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198*</w:t>
            </w:r>
          </w:p>
        </w:tc>
      </w:tr>
      <w:tr w:rsidR="008B264B" w:rsidRPr="008B264B" w14:paraId="1A26A362"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45F5B11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7D971AC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28EB9F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723FF1A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202E66D4"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5756A91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2710 11 31 00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2A0A91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авіаційні</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88304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3558868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w:t>
            </w:r>
          </w:p>
        </w:tc>
      </w:tr>
      <w:tr w:rsidR="008B264B" w:rsidRPr="008B264B" w14:paraId="64772F86"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F2B8EC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51273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 з вмістом свинцю 0,013 г/л або менше:</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1FD615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730A129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BB327B5"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4B67026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2710 11 41 11</w:t>
            </w:r>
            <w:r w:rsidRPr="008B264B">
              <w:rPr>
                <w:rFonts w:ascii="Times New Roman" w:eastAsia="Times New Roman" w:hAnsi="Times New Roman" w:cs="Times New Roman"/>
                <w:sz w:val="24"/>
                <w:szCs w:val="24"/>
                <w:lang/>
              </w:rPr>
              <w:br/>
              <w:t>2710 11 41 31</w:t>
            </w:r>
            <w:r w:rsidRPr="008B264B">
              <w:rPr>
                <w:rFonts w:ascii="Times New Roman" w:eastAsia="Times New Roman" w:hAnsi="Times New Roman" w:cs="Times New Roman"/>
                <w:sz w:val="24"/>
                <w:szCs w:val="24"/>
                <w:lang/>
              </w:rPr>
              <w:br/>
              <w:t>2710 11 41 91</w:t>
            </w:r>
            <w:r w:rsidRPr="008B264B">
              <w:rPr>
                <w:rFonts w:ascii="Times New Roman" w:eastAsia="Times New Roman" w:hAnsi="Times New Roman" w:cs="Times New Roman"/>
                <w:sz w:val="24"/>
                <w:szCs w:val="24"/>
                <w:lang/>
              </w:rPr>
              <w:br/>
              <w:t>2710 11 45 11</w:t>
            </w:r>
            <w:r w:rsidRPr="008B264B">
              <w:rPr>
                <w:rFonts w:ascii="Times New Roman" w:eastAsia="Times New Roman" w:hAnsi="Times New Roman" w:cs="Times New Roman"/>
                <w:sz w:val="24"/>
                <w:szCs w:val="24"/>
                <w:lang/>
              </w:rPr>
              <w:br/>
              <w:t>2710 11 49 11</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49D49B7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не менш як 5 мас. % біоетанолу або не менш як 5 мас. % етил-трет-бутилового етеру або їх суміші:</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7C5BE5F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6C92ED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198*</w:t>
            </w:r>
          </w:p>
        </w:tc>
      </w:tr>
      <w:tr w:rsidR="008B264B" w:rsidRPr="008B264B" w14:paraId="3228EFFD"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03072C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2710 11 41 19</w:t>
            </w:r>
            <w:r w:rsidRPr="008B264B">
              <w:rPr>
                <w:rFonts w:ascii="Times New Roman" w:eastAsia="Times New Roman" w:hAnsi="Times New Roman" w:cs="Times New Roman"/>
                <w:sz w:val="24"/>
                <w:szCs w:val="24"/>
                <w:lang/>
              </w:rPr>
              <w:br/>
              <w:t>2710 11 41 39</w:t>
            </w:r>
            <w:r w:rsidRPr="008B264B">
              <w:rPr>
                <w:rFonts w:ascii="Times New Roman" w:eastAsia="Times New Roman" w:hAnsi="Times New Roman" w:cs="Times New Roman"/>
                <w:sz w:val="24"/>
                <w:szCs w:val="24"/>
                <w:lang/>
              </w:rPr>
              <w:br/>
              <w:t>2710 11 41 99</w:t>
            </w:r>
            <w:r w:rsidRPr="008B264B">
              <w:rPr>
                <w:rFonts w:ascii="Times New Roman" w:eastAsia="Times New Roman" w:hAnsi="Times New Roman" w:cs="Times New Roman"/>
                <w:sz w:val="24"/>
                <w:szCs w:val="24"/>
                <w:lang/>
              </w:rPr>
              <w:br/>
              <w:t>2710 11 45 99</w:t>
            </w:r>
            <w:r w:rsidRPr="008B264B">
              <w:rPr>
                <w:rFonts w:ascii="Times New Roman" w:eastAsia="Times New Roman" w:hAnsi="Times New Roman" w:cs="Times New Roman"/>
                <w:sz w:val="24"/>
                <w:szCs w:val="24"/>
                <w:lang/>
              </w:rPr>
              <w:br/>
              <w:t>2710 11 49 99</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45331FF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бензини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55DDD4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CFF1DD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198*</w:t>
            </w:r>
          </w:p>
        </w:tc>
      </w:tr>
      <w:tr w:rsidR="008B264B" w:rsidRPr="008B264B" w14:paraId="5E9EA1B9"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678B94C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2710 11 51 00</w:t>
            </w:r>
            <w:r w:rsidRPr="008B264B">
              <w:rPr>
                <w:rFonts w:ascii="Times New Roman" w:eastAsia="Times New Roman" w:hAnsi="Times New Roman" w:cs="Times New Roman"/>
                <w:sz w:val="24"/>
                <w:szCs w:val="24"/>
                <w:lang/>
              </w:rPr>
              <w:br/>
              <w:t>2710 11 59 00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70D858C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свинцю більш як 0,013 г/л</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36D2E8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542D08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198*</w:t>
            </w:r>
          </w:p>
        </w:tc>
      </w:tr>
      <w:tr w:rsidR="008B264B" w:rsidRPr="008B264B" w14:paraId="3FCAEC5F"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06AF231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2710 11 70 00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07E18D3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72F2128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4BBD7F5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30</w:t>
            </w:r>
          </w:p>
        </w:tc>
      </w:tr>
      <w:tr w:rsidR="008B264B" w:rsidRPr="008B264B" w14:paraId="6D85B11A"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66DAC2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2710 11 90 00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7154D46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легкі дистиляти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E66654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1947AB5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198*</w:t>
            </w:r>
          </w:p>
        </w:tc>
      </w:tr>
      <w:tr w:rsidR="008B264B" w:rsidRPr="008B264B" w14:paraId="493677A9"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3CE813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E45D19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Середні дистиляти: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478680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DF69EC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41BD8B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499964C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2710 19 11 00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CBC5D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0158A9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4158BB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3C1FD390"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3B558A5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2710 19 15 00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5BA83B3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не зазначених у позиції 2710 19 11 00</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FF4752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403E96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0726A0DC"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C03FDD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02E531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Гас:</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7C354F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2437AE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344015AA"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6FF5C61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2710 19 21 00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42BCC2E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5E8E2FC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FCC861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w:t>
            </w:r>
          </w:p>
        </w:tc>
      </w:tr>
      <w:tr w:rsidR="008B264B" w:rsidRPr="008B264B" w14:paraId="22E32CA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198BEC4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7F4519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інший гас</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62EBA42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0504C4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3CDC66C4"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0034C00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02B7EA0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середні дистиляти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649A7A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155A1B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182*</w:t>
            </w:r>
          </w:p>
        </w:tc>
      </w:tr>
      <w:tr w:rsidR="008B264B" w:rsidRPr="008B264B" w14:paraId="4C9F6F8C"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6E5F526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59EA2F0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Важкі дистиляти (газойлі) із вмістом сірки:</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081A530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74F095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4CD2686"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1B8728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2710 19 31 40</w:t>
            </w:r>
            <w:r w:rsidRPr="008B264B">
              <w:rPr>
                <w:rFonts w:ascii="Times New Roman" w:eastAsia="Times New Roman" w:hAnsi="Times New Roman" w:cs="Times New Roman"/>
                <w:sz w:val="24"/>
                <w:szCs w:val="24"/>
                <w:lang/>
              </w:rPr>
              <w:br/>
              <w:t>2710 19 35 40</w:t>
            </w:r>
            <w:r w:rsidRPr="008B264B">
              <w:rPr>
                <w:rFonts w:ascii="Times New Roman" w:eastAsia="Times New Roman" w:hAnsi="Times New Roman" w:cs="Times New Roman"/>
                <w:sz w:val="24"/>
                <w:szCs w:val="24"/>
                <w:lang/>
              </w:rPr>
              <w:br/>
              <w:t>2710 19 49 00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B278E6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0,2 мас. %</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278F025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3458FC2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98**</w:t>
            </w:r>
          </w:p>
        </w:tc>
      </w:tr>
      <w:tr w:rsidR="008B264B" w:rsidRPr="008B264B" w14:paraId="1B35FBD6"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5D4BC6C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2710 19 31 30</w:t>
            </w:r>
            <w:r w:rsidRPr="008B264B">
              <w:rPr>
                <w:rFonts w:ascii="Times New Roman" w:eastAsia="Times New Roman" w:hAnsi="Times New Roman" w:cs="Times New Roman"/>
                <w:sz w:val="24"/>
                <w:szCs w:val="24"/>
                <w:lang/>
              </w:rPr>
              <w:br/>
              <w:t>2710 19 35 30</w:t>
            </w:r>
            <w:r w:rsidRPr="008B264B">
              <w:rPr>
                <w:rFonts w:ascii="Times New Roman" w:eastAsia="Times New Roman" w:hAnsi="Times New Roman" w:cs="Times New Roman"/>
                <w:sz w:val="24"/>
                <w:szCs w:val="24"/>
                <w:lang/>
              </w:rPr>
              <w:br/>
              <w:t>2710 19 41 30</w:t>
            </w:r>
            <w:r w:rsidRPr="008B264B">
              <w:rPr>
                <w:rFonts w:ascii="Times New Roman" w:eastAsia="Times New Roman" w:hAnsi="Times New Roman" w:cs="Times New Roman"/>
                <w:sz w:val="24"/>
                <w:szCs w:val="24"/>
                <w:lang/>
              </w:rPr>
              <w:br/>
              <w:t>2710 19 45 00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3F15DA4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0,035 мас. %, але не більш як 0,2 мас. %</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44636D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3565BDF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w:t>
            </w:r>
          </w:p>
        </w:tc>
      </w:tr>
      <w:tr w:rsidR="008B264B" w:rsidRPr="008B264B" w14:paraId="00D902E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010AF65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2710 19 31 20</w:t>
            </w:r>
            <w:r w:rsidRPr="008B264B">
              <w:rPr>
                <w:rFonts w:ascii="Times New Roman" w:eastAsia="Times New Roman" w:hAnsi="Times New Roman" w:cs="Times New Roman"/>
                <w:sz w:val="24"/>
                <w:szCs w:val="24"/>
                <w:lang/>
              </w:rPr>
              <w:br/>
              <w:t>2710 19 35 20</w:t>
            </w:r>
            <w:r w:rsidRPr="008B264B">
              <w:rPr>
                <w:rFonts w:ascii="Times New Roman" w:eastAsia="Times New Roman" w:hAnsi="Times New Roman" w:cs="Times New Roman"/>
                <w:sz w:val="24"/>
                <w:szCs w:val="24"/>
                <w:lang/>
              </w:rPr>
              <w:br/>
              <w:t>2710 19 41 20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1C98566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більш як 0,005 мас.%, але не більш як 0,035 мас.%</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1B3739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30B091E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68**</w:t>
            </w:r>
          </w:p>
        </w:tc>
      </w:tr>
      <w:tr w:rsidR="008B264B" w:rsidRPr="008B264B" w14:paraId="2A14E742"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2050FC7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2710 19 31 10</w:t>
            </w:r>
            <w:r w:rsidRPr="008B264B">
              <w:rPr>
                <w:rFonts w:ascii="Times New Roman" w:eastAsia="Times New Roman" w:hAnsi="Times New Roman" w:cs="Times New Roman"/>
                <w:sz w:val="24"/>
                <w:szCs w:val="24"/>
                <w:lang/>
              </w:rPr>
              <w:br/>
              <w:t>2710 19 35 10</w:t>
            </w:r>
            <w:r w:rsidRPr="008B264B">
              <w:rPr>
                <w:rFonts w:ascii="Times New Roman" w:eastAsia="Times New Roman" w:hAnsi="Times New Roman" w:cs="Times New Roman"/>
                <w:sz w:val="24"/>
                <w:szCs w:val="24"/>
                <w:lang/>
              </w:rPr>
              <w:br/>
              <w:t>2710 19 41 10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5DF17D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не більш як 0,005 мас. %</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145B96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18A918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46**</w:t>
            </w:r>
          </w:p>
        </w:tc>
      </w:tr>
      <w:tr w:rsidR="008B264B" w:rsidRPr="008B264B" w14:paraId="18EE9DBD"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7EF8A0C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2710 19 61 00</w:t>
            </w:r>
            <w:r w:rsidRPr="008B264B">
              <w:rPr>
                <w:rFonts w:ascii="Times New Roman" w:eastAsia="Times New Roman" w:hAnsi="Times New Roman" w:cs="Times New Roman"/>
                <w:sz w:val="24"/>
                <w:szCs w:val="24"/>
                <w:lang/>
              </w:rPr>
              <w:br/>
              <w:t>2710 19 63 00</w:t>
            </w:r>
            <w:r w:rsidRPr="008B264B">
              <w:rPr>
                <w:rFonts w:ascii="Times New Roman" w:eastAsia="Times New Roman" w:hAnsi="Times New Roman" w:cs="Times New Roman"/>
                <w:sz w:val="24"/>
                <w:szCs w:val="24"/>
                <w:lang/>
              </w:rPr>
              <w:br/>
              <w:t>2710 19 65 00</w:t>
            </w:r>
            <w:r w:rsidRPr="008B264B">
              <w:rPr>
                <w:rFonts w:ascii="Times New Roman" w:eastAsia="Times New Roman" w:hAnsi="Times New Roman" w:cs="Times New Roman"/>
                <w:sz w:val="24"/>
                <w:szCs w:val="24"/>
                <w:lang/>
              </w:rPr>
              <w:br/>
              <w:t>2710 19 69 00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233D997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Тільки паливо пічне:</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0D3423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244C29D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98**</w:t>
            </w:r>
          </w:p>
        </w:tc>
      </w:tr>
      <w:tr w:rsidR="008B264B" w:rsidRPr="008B264B" w14:paraId="06B6D087" w14:textId="77777777" w:rsidTr="008B264B">
        <w:tc>
          <w:tcPr>
            <w:tcW w:w="1980" w:type="dxa"/>
            <w:tcBorders>
              <w:top w:val="single" w:sz="6" w:space="0" w:color="000000"/>
              <w:left w:val="single" w:sz="6" w:space="0" w:color="000000"/>
              <w:bottom w:val="single" w:sz="6" w:space="0" w:color="000000"/>
              <w:right w:val="single" w:sz="6" w:space="0" w:color="000000"/>
            </w:tcBorders>
            <w:shd w:val="clear" w:color="auto" w:fill="auto"/>
            <w:hideMark/>
          </w:tcPr>
          <w:p w14:paraId="152613B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2711 12 11 00</w:t>
            </w:r>
            <w:r w:rsidRPr="008B264B">
              <w:rPr>
                <w:rFonts w:ascii="Times New Roman" w:eastAsia="Times New Roman" w:hAnsi="Times New Roman" w:cs="Times New Roman"/>
                <w:sz w:val="24"/>
                <w:szCs w:val="24"/>
                <w:lang/>
              </w:rPr>
              <w:br/>
              <w:t>2711 12 19 00</w:t>
            </w:r>
            <w:r w:rsidRPr="008B264B">
              <w:rPr>
                <w:rFonts w:ascii="Times New Roman" w:eastAsia="Times New Roman" w:hAnsi="Times New Roman" w:cs="Times New Roman"/>
                <w:sz w:val="24"/>
                <w:szCs w:val="24"/>
                <w:lang/>
              </w:rPr>
              <w:br/>
              <w:t>2711 12 91 00</w:t>
            </w:r>
            <w:r w:rsidRPr="008B264B">
              <w:rPr>
                <w:rFonts w:ascii="Times New Roman" w:eastAsia="Times New Roman" w:hAnsi="Times New Roman" w:cs="Times New Roman"/>
                <w:sz w:val="24"/>
                <w:szCs w:val="24"/>
                <w:lang/>
              </w:rPr>
              <w:br/>
              <w:t>2711 12 93 00</w:t>
            </w:r>
            <w:r w:rsidRPr="008B264B">
              <w:rPr>
                <w:rFonts w:ascii="Times New Roman" w:eastAsia="Times New Roman" w:hAnsi="Times New Roman" w:cs="Times New Roman"/>
                <w:sz w:val="24"/>
                <w:szCs w:val="24"/>
                <w:lang/>
              </w:rPr>
              <w:br/>
              <w:t>2711 12 94 00</w:t>
            </w:r>
            <w:r w:rsidRPr="008B264B">
              <w:rPr>
                <w:rFonts w:ascii="Times New Roman" w:eastAsia="Times New Roman" w:hAnsi="Times New Roman" w:cs="Times New Roman"/>
                <w:sz w:val="24"/>
                <w:szCs w:val="24"/>
                <w:lang/>
              </w:rPr>
              <w:br/>
              <w:t>2711 12 97 00</w:t>
            </w:r>
            <w:r w:rsidRPr="008B264B">
              <w:rPr>
                <w:rFonts w:ascii="Times New Roman" w:eastAsia="Times New Roman" w:hAnsi="Times New Roman" w:cs="Times New Roman"/>
                <w:sz w:val="24"/>
                <w:szCs w:val="24"/>
                <w:lang/>
              </w:rPr>
              <w:br/>
              <w:t>2711 13 10 00</w:t>
            </w:r>
            <w:r w:rsidRPr="008B264B">
              <w:rPr>
                <w:rFonts w:ascii="Times New Roman" w:eastAsia="Times New Roman" w:hAnsi="Times New Roman" w:cs="Times New Roman"/>
                <w:sz w:val="24"/>
                <w:szCs w:val="24"/>
                <w:lang/>
              </w:rPr>
              <w:br/>
              <w:t>2711 13 30 00</w:t>
            </w:r>
            <w:r w:rsidRPr="008B264B">
              <w:rPr>
                <w:rFonts w:ascii="Times New Roman" w:eastAsia="Times New Roman" w:hAnsi="Times New Roman" w:cs="Times New Roman"/>
                <w:sz w:val="24"/>
                <w:szCs w:val="24"/>
                <w:lang/>
              </w:rPr>
              <w:br/>
              <w:t>2711 13 91 00</w:t>
            </w:r>
            <w:r w:rsidRPr="008B264B">
              <w:rPr>
                <w:rFonts w:ascii="Times New Roman" w:eastAsia="Times New Roman" w:hAnsi="Times New Roman" w:cs="Times New Roman"/>
                <w:sz w:val="24"/>
                <w:szCs w:val="24"/>
                <w:lang/>
              </w:rPr>
              <w:br/>
              <w:t>2711 13 97 00</w:t>
            </w:r>
          </w:p>
        </w:tc>
        <w:tc>
          <w:tcPr>
            <w:tcW w:w="3480" w:type="dxa"/>
            <w:tcBorders>
              <w:top w:val="single" w:sz="6" w:space="0" w:color="000000"/>
              <w:left w:val="single" w:sz="6" w:space="0" w:color="000000"/>
              <w:bottom w:val="single" w:sz="6" w:space="0" w:color="000000"/>
              <w:right w:val="single" w:sz="6" w:space="0" w:color="000000"/>
            </w:tcBorders>
            <w:shd w:val="clear" w:color="auto" w:fill="auto"/>
            <w:hideMark/>
          </w:tcPr>
          <w:p w14:paraId="70CEDB7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скраплений газ (пропан або суміш пропану з бутаном)</w:t>
            </w:r>
          </w:p>
        </w:tc>
        <w:tc>
          <w:tcPr>
            <w:tcW w:w="1875" w:type="dxa"/>
            <w:tcBorders>
              <w:top w:val="single" w:sz="6" w:space="0" w:color="000000"/>
              <w:left w:val="single" w:sz="6" w:space="0" w:color="000000"/>
              <w:bottom w:val="single" w:sz="6" w:space="0" w:color="000000"/>
              <w:right w:val="single" w:sz="6" w:space="0" w:color="000000"/>
            </w:tcBorders>
            <w:shd w:val="clear" w:color="auto" w:fill="auto"/>
            <w:hideMark/>
          </w:tcPr>
          <w:p w14:paraId="4AC781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1755" w:type="dxa"/>
            <w:tcBorders>
              <w:top w:val="single" w:sz="6" w:space="0" w:color="000000"/>
              <w:left w:val="single" w:sz="6" w:space="0" w:color="000000"/>
              <w:bottom w:val="single" w:sz="6" w:space="0" w:color="000000"/>
              <w:right w:val="single" w:sz="6" w:space="0" w:color="000000"/>
            </w:tcBorders>
            <w:shd w:val="clear" w:color="auto" w:fill="auto"/>
            <w:hideMark/>
          </w:tcPr>
          <w:p w14:paraId="62C6FBC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44</w:t>
            </w:r>
          </w:p>
        </w:tc>
      </w:tr>
    </w:tbl>
    <w:p w14:paraId="2E6A71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3" w:name="n8414"/>
      <w:bookmarkEnd w:id="10533"/>
      <w:r w:rsidRPr="008B264B">
        <w:rPr>
          <w:rFonts w:ascii="Times New Roman" w:eastAsia="Times New Roman" w:hAnsi="Times New Roman" w:cs="Times New Roman"/>
          <w:color w:val="000000"/>
          <w:sz w:val="20"/>
          <w:szCs w:val="20"/>
          <w:lang/>
        </w:rPr>
        <w:t>*До ставки у кожній наступній декаді додається коригуюча сума, яка не може бути більшою, ніж 50 відсотків такої ставки. Зазначена сума розраховується щодекади залежно від середньої ціни одного бареля нафти "Brent (DTD)", що склалася на біржі ICE за попередню декаду:</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471"/>
        <w:gridCol w:w="7435"/>
      </w:tblGrid>
      <w:tr w:rsidR="008B264B" w:rsidRPr="008B264B" w14:paraId="36DA18E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44905C7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34" w:name="n8415"/>
            <w:bookmarkEnd w:id="10534"/>
            <w:r w:rsidRPr="008B264B">
              <w:rPr>
                <w:rFonts w:ascii="Times New Roman" w:eastAsia="Times New Roman" w:hAnsi="Times New Roman" w:cs="Times New Roman"/>
                <w:color w:val="000000"/>
                <w:sz w:val="20"/>
                <w:szCs w:val="20"/>
                <w:lang/>
              </w:rPr>
              <w:t>Середня ціна одного бареля нафти "Brent (DTD)", доларів США за барель</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1391B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Значення коригуючої суми</w:t>
            </w:r>
          </w:p>
        </w:tc>
      </w:tr>
      <w:tr w:rsidR="008B264B" w:rsidRPr="008B264B" w14:paraId="2690AC24"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7FABA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менше 105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8C7082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(105 - "Brent (DTD)" (середня ціна за декаду)/ співвідношення середнього курсу євро до долара США за офіційним курсом, встановленим Національним банком України за відповідну декаду x кількість барелів нафти "Brent (DTD)" у тонні (7,62)</w:t>
            </w:r>
          </w:p>
        </w:tc>
      </w:tr>
      <w:tr w:rsidR="008B264B" w:rsidRPr="008B264B" w14:paraId="351B9EB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1728B1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105-125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F1F0BF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не застосовується</w:t>
            </w:r>
          </w:p>
        </w:tc>
      </w:tr>
      <w:tr w:rsidR="008B264B" w:rsidRPr="008B264B" w14:paraId="61BB57D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FA46FA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більше 125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25B403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(125 - "Brent (DTD)" (середня ціна за декаду)/ співвідношення середнього курсу євро до долара США за офіційним курсом, встановленим Національним банком України за відповідну декаду x кількість барелів нафти "Brent (DTD)" у тонні (7,62)</w:t>
            </w:r>
          </w:p>
        </w:tc>
      </w:tr>
    </w:tbl>
    <w:p w14:paraId="6B24E4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5" w:name="n8416"/>
      <w:bookmarkEnd w:id="10535"/>
      <w:r w:rsidRPr="008B264B">
        <w:rPr>
          <w:rFonts w:ascii="Times New Roman" w:eastAsia="Times New Roman" w:hAnsi="Times New Roman" w:cs="Times New Roman"/>
          <w:color w:val="000000"/>
          <w:sz w:val="20"/>
          <w:szCs w:val="20"/>
          <w:lang/>
        </w:rPr>
        <w:t>** До ставки у кожній наступній декаді додається коригуюча сума, яка не може бути більшою, ніж 50 відсотків такої ставки. Зазначена сума розраховується щодекади залежно від середньої ціни одного бареля нафти "Brent (DTD)", що склалася на біржі ICE за попередню декаду:</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365"/>
        <w:gridCol w:w="7541"/>
      </w:tblGrid>
      <w:tr w:rsidR="008B264B" w:rsidRPr="008B264B" w14:paraId="5DDF5F03"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01708AC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36" w:name="n8417"/>
            <w:bookmarkEnd w:id="10536"/>
            <w:r w:rsidRPr="008B264B">
              <w:rPr>
                <w:rFonts w:ascii="Times New Roman" w:eastAsia="Times New Roman" w:hAnsi="Times New Roman" w:cs="Times New Roman"/>
                <w:color w:val="000000"/>
                <w:sz w:val="20"/>
                <w:szCs w:val="20"/>
                <w:lang/>
              </w:rPr>
              <w:t>Середня ціна одного бареля нафти "Brent (DTD)", доларів США за барель</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58802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Значення коригуючої суми</w:t>
            </w:r>
          </w:p>
        </w:tc>
      </w:tr>
      <w:tr w:rsidR="008B264B" w:rsidRPr="008B264B" w14:paraId="281E5046"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5D4CEFC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менше 105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6B97582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(105 - "Brent (DTD)" (середня ціна за декаду)/ співвідношення середнього курсу євро до долара США за офіційним курсом, встановленим Національним банком України за відповідну декаду x кількість барелів нафти "Brent (DTD)" у тонні (7,62) x коефіцієнт (0,25)</w:t>
            </w:r>
          </w:p>
        </w:tc>
      </w:tr>
      <w:tr w:rsidR="008B264B" w:rsidRPr="008B264B" w14:paraId="7641235B"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2DFA619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105-125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97E1D9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не застосовується</w:t>
            </w:r>
          </w:p>
        </w:tc>
      </w:tr>
      <w:tr w:rsidR="008B264B" w:rsidRPr="008B264B" w14:paraId="77D7A8C1" w14:textId="77777777" w:rsidTr="008B264B">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3BF6589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більше 125</w:t>
            </w:r>
          </w:p>
        </w:tc>
        <w:tc>
          <w:tcPr>
            <w:tcW w:w="0" w:type="auto"/>
            <w:tcBorders>
              <w:top w:val="single" w:sz="6" w:space="0" w:color="000000"/>
              <w:left w:val="single" w:sz="6" w:space="0" w:color="000000"/>
              <w:bottom w:val="single" w:sz="6" w:space="0" w:color="000000"/>
              <w:right w:val="single" w:sz="6" w:space="0" w:color="000000"/>
            </w:tcBorders>
            <w:shd w:val="clear" w:color="auto" w:fill="auto"/>
            <w:hideMark/>
          </w:tcPr>
          <w:p w14:paraId="74B250E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color w:val="000000"/>
                <w:sz w:val="20"/>
                <w:szCs w:val="20"/>
                <w:lang/>
              </w:rPr>
              <w:t xml:space="preserve">(125 - "Brent (DTD)" (середня ціна за декаду)/ співвідношення середнього курсу євро до долара США за офіційним курсом, встановленим Національним банком України за </w:t>
            </w:r>
            <w:r w:rsidRPr="008B264B">
              <w:rPr>
                <w:rFonts w:ascii="Times New Roman" w:eastAsia="Times New Roman" w:hAnsi="Times New Roman" w:cs="Times New Roman"/>
                <w:color w:val="000000"/>
                <w:sz w:val="20"/>
                <w:szCs w:val="20"/>
                <w:lang/>
              </w:rPr>
              <w:lastRenderedPageBreak/>
              <w:t>відповідну декаду x кількість барелів нафти "Brent (DTD)" у тонні (7,62) x коефіцієнт (0,25)</w:t>
            </w:r>
          </w:p>
        </w:tc>
      </w:tr>
    </w:tbl>
    <w:p w14:paraId="2771DC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7" w:name="n8418"/>
      <w:bookmarkEnd w:id="10537"/>
      <w:r w:rsidRPr="008B264B">
        <w:rPr>
          <w:rFonts w:ascii="Times New Roman" w:eastAsia="Times New Roman" w:hAnsi="Times New Roman" w:cs="Times New Roman"/>
          <w:color w:val="000000"/>
          <w:sz w:val="24"/>
          <w:szCs w:val="24"/>
          <w:lang/>
        </w:rPr>
        <w:lastRenderedPageBreak/>
        <w:t>Інформацію про результати обчислення коригуючої суми та середньої ціни одного бареля нафти "Brent (DTD)", яка склалася на біржі ICE за попередню декаду, центральний орган виконавчої влади, що забезпечує реалізацію державної політики в нафтогазовому комплексі, розміщує щодекади не пізніше 13.00 першого робочого дня поточної декади на власному офіційному веб-сайті у спеціальному розділі та подає центральному органу виконавчої влади, що реалізує державну податкову та митну політику, і центральному органу виконавчої влади в галузі митної справи.</w:t>
      </w:r>
    </w:p>
    <w:p w14:paraId="561EC2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8" w:name="n8419"/>
      <w:bookmarkEnd w:id="10538"/>
      <w:r w:rsidRPr="008B264B">
        <w:rPr>
          <w:rFonts w:ascii="Times New Roman" w:eastAsia="Times New Roman" w:hAnsi="Times New Roman" w:cs="Times New Roman"/>
          <w:i/>
          <w:iCs/>
          <w:color w:val="000000"/>
          <w:sz w:val="24"/>
          <w:szCs w:val="24"/>
          <w:lang/>
        </w:rPr>
        <w:t>{Підрозділ 5 розділу XX доповнено пунктом 5 згідно із Законом </w:t>
      </w:r>
      <w:hyperlink r:id="rId5960" w:tgtFrame="_blank" w:history="1">
        <w:r w:rsidRPr="008B264B">
          <w:rPr>
            <w:rFonts w:ascii="Times New Roman" w:eastAsia="Times New Roman" w:hAnsi="Times New Roman" w:cs="Times New Roman"/>
            <w:i/>
            <w:iCs/>
            <w:color w:val="0000FF"/>
            <w:sz w:val="24"/>
            <w:szCs w:val="24"/>
            <w:u w:val="single"/>
            <w:lang/>
          </w:rPr>
          <w:t>№ 4677-VI від 15.05.2012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596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751AB0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39" w:name="n8420"/>
      <w:bookmarkEnd w:id="10539"/>
      <w:r w:rsidRPr="008B264B">
        <w:rPr>
          <w:rFonts w:ascii="Times New Roman" w:eastAsia="Times New Roman" w:hAnsi="Times New Roman" w:cs="Times New Roman"/>
          <w:color w:val="000000"/>
          <w:sz w:val="24"/>
          <w:szCs w:val="24"/>
          <w:lang/>
        </w:rPr>
        <w:t>6. </w:t>
      </w:r>
      <w:r w:rsidRPr="008B264B">
        <w:rPr>
          <w:rFonts w:ascii="Times New Roman" w:eastAsia="Times New Roman" w:hAnsi="Times New Roman" w:cs="Times New Roman"/>
          <w:i/>
          <w:iCs/>
          <w:color w:val="000000"/>
          <w:sz w:val="24"/>
          <w:szCs w:val="24"/>
          <w:lang/>
        </w:rPr>
        <w:t>{Підрозділ 5 розділу XX доповнено пунктом 6 згідно із Законом </w:t>
      </w:r>
      <w:hyperlink r:id="rId5962" w:tgtFrame="_blank" w:history="1">
        <w:r w:rsidRPr="008B264B">
          <w:rPr>
            <w:rFonts w:ascii="Times New Roman" w:eastAsia="Times New Roman" w:hAnsi="Times New Roman" w:cs="Times New Roman"/>
            <w:i/>
            <w:iCs/>
            <w:color w:val="0000FF"/>
            <w:sz w:val="24"/>
            <w:szCs w:val="24"/>
            <w:u w:val="single"/>
            <w:lang/>
          </w:rPr>
          <w:t>№ 5503-VI від 20.11.2012</w:t>
        </w:r>
      </w:hyperlink>
      <w:r w:rsidRPr="008B264B">
        <w:rPr>
          <w:rFonts w:ascii="Times New Roman" w:eastAsia="Times New Roman" w:hAnsi="Times New Roman" w:cs="Times New Roman"/>
          <w:i/>
          <w:iCs/>
          <w:color w:val="000000"/>
          <w:sz w:val="24"/>
          <w:szCs w:val="24"/>
          <w:lang/>
        </w:rPr>
        <w:t>; у пункті 6 розділу XX виключено слова і цифри на підставі Законів </w:t>
      </w:r>
      <w:hyperlink r:id="rId5963" w:anchor="n294" w:tgtFrame="_blank" w:history="1">
        <w:r w:rsidRPr="008B264B">
          <w:rPr>
            <w:rFonts w:ascii="Times New Roman" w:eastAsia="Times New Roman" w:hAnsi="Times New Roman" w:cs="Times New Roman"/>
            <w:i/>
            <w:iCs/>
            <w:color w:val="0000FF"/>
            <w:sz w:val="24"/>
            <w:szCs w:val="24"/>
            <w:u w:val="single"/>
            <w:lang/>
          </w:rPr>
          <w:t>№ 1166-VII від 27.03.2014</w:t>
        </w:r>
      </w:hyperlink>
      <w:r w:rsidRPr="008B264B">
        <w:rPr>
          <w:rFonts w:ascii="Times New Roman" w:eastAsia="Times New Roman" w:hAnsi="Times New Roman" w:cs="Times New Roman"/>
          <w:i/>
          <w:iCs/>
          <w:color w:val="000000"/>
          <w:sz w:val="24"/>
          <w:szCs w:val="24"/>
          <w:lang/>
        </w:rPr>
        <w:t>, </w:t>
      </w:r>
      <w:hyperlink r:id="rId5964" w:anchor="n49" w:tgtFrame="_blank" w:history="1">
        <w:r w:rsidRPr="008B264B">
          <w:rPr>
            <w:rFonts w:ascii="Times New Roman" w:eastAsia="Times New Roman" w:hAnsi="Times New Roman" w:cs="Times New Roman"/>
            <w:i/>
            <w:iCs/>
            <w:color w:val="0000FF"/>
            <w:sz w:val="24"/>
            <w:szCs w:val="24"/>
            <w:u w:val="single"/>
            <w:lang/>
          </w:rPr>
          <w:t>№ 1200-VII від 10.04.2014</w:t>
        </w:r>
      </w:hyperlink>
      <w:r w:rsidRPr="008B264B">
        <w:rPr>
          <w:rFonts w:ascii="Times New Roman" w:eastAsia="Times New Roman" w:hAnsi="Times New Roman" w:cs="Times New Roman"/>
          <w:i/>
          <w:iCs/>
          <w:color w:val="000000"/>
          <w:sz w:val="24"/>
          <w:szCs w:val="24"/>
          <w:lang/>
        </w:rPr>
        <w:t>}</w:t>
      </w:r>
    </w:p>
    <w:p w14:paraId="1BEB72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0" w:name="n9646"/>
      <w:bookmarkEnd w:id="10540"/>
      <w:r w:rsidRPr="008B264B">
        <w:rPr>
          <w:rFonts w:ascii="Times New Roman" w:eastAsia="Times New Roman" w:hAnsi="Times New Roman" w:cs="Times New Roman"/>
          <w:i/>
          <w:iCs/>
          <w:color w:val="000000"/>
          <w:sz w:val="24"/>
          <w:szCs w:val="24"/>
          <w:lang/>
        </w:rPr>
        <w:t>{Пункт 7 підрозділу 5 розділу XX виключено на підставі Закону </w:t>
      </w:r>
      <w:hyperlink r:id="rId5965" w:anchor="n37" w:tgtFrame="_blank" w:history="1">
        <w:r w:rsidRPr="008B264B">
          <w:rPr>
            <w:rFonts w:ascii="Times New Roman" w:eastAsia="Times New Roman" w:hAnsi="Times New Roman" w:cs="Times New Roman"/>
            <w:i/>
            <w:iCs/>
            <w:color w:val="0000FF"/>
            <w:sz w:val="24"/>
            <w:szCs w:val="24"/>
            <w:u w:val="single"/>
            <w:lang/>
          </w:rPr>
          <w:t>№ 1638-VII від 12.08.2</w:t>
        </w:r>
      </w:hyperlink>
      <w:hyperlink r:id="rId5966" w:anchor="n37" w:tgtFrame="_blank" w:history="1">
        <w:r w:rsidRPr="008B264B">
          <w:rPr>
            <w:rFonts w:ascii="Times New Roman" w:eastAsia="Times New Roman" w:hAnsi="Times New Roman" w:cs="Times New Roman"/>
            <w:i/>
            <w:iCs/>
            <w:color w:val="0000FF"/>
            <w:sz w:val="24"/>
            <w:szCs w:val="24"/>
            <w:u w:val="single"/>
            <w:lang/>
          </w:rPr>
          <w:t>014</w:t>
        </w:r>
      </w:hyperlink>
      <w:r w:rsidRPr="008B264B">
        <w:rPr>
          <w:rFonts w:ascii="Times New Roman" w:eastAsia="Times New Roman" w:hAnsi="Times New Roman" w:cs="Times New Roman"/>
          <w:color w:val="000000"/>
          <w:sz w:val="24"/>
          <w:szCs w:val="24"/>
          <w:lang/>
        </w:rPr>
        <w:t>}</w:t>
      </w:r>
    </w:p>
    <w:p w14:paraId="3288760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1" w:name="n10047"/>
      <w:bookmarkEnd w:id="10541"/>
      <w:r w:rsidRPr="008B264B">
        <w:rPr>
          <w:rFonts w:ascii="Times New Roman" w:eastAsia="Times New Roman" w:hAnsi="Times New Roman" w:cs="Times New Roman"/>
          <w:i/>
          <w:iCs/>
          <w:color w:val="000000"/>
          <w:sz w:val="24"/>
          <w:szCs w:val="24"/>
          <w:lang/>
        </w:rPr>
        <w:t>{Пункт 8 підрозділу 5 розділу ХХ виключено на підставі Закону </w:t>
      </w:r>
      <w:hyperlink r:id="rId5967" w:anchor="n1786"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824B5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2" w:name="n12991"/>
      <w:bookmarkEnd w:id="10542"/>
      <w:r w:rsidRPr="008B264B">
        <w:rPr>
          <w:rFonts w:ascii="Times New Roman" w:eastAsia="Times New Roman" w:hAnsi="Times New Roman" w:cs="Times New Roman"/>
          <w:color w:val="000000"/>
          <w:sz w:val="24"/>
          <w:szCs w:val="24"/>
          <w:lang/>
        </w:rPr>
        <w:t>9. Протягом 20 календарних днів, починаючи з 1 березня 2016 року, платник податку зобов’язаний подати контролюючому органу акт проведення інвентаризації обсягів залишку пального станом на початок дня 1 березня 2016 року із зазначенням адрес об’єктів, на яких зберігаються відповідні обсяги залишків пального, перелік резервуарів, в яких зберігаються обсяги залишку пального, їх технічних параметрів (фізична місткість, що відповідає технічним паспортам), правовстановлюючих документів на відповідні об’єкти та документів, що засвідчують правові підстави експлуатації таких об’єктів. Зазначені у такому акті інвентаризації обсяги залишку пального контролюючий орган враховує у формулі, визначеній пунктом 232.3 статті 232 цього Кодексу, як обсяг, на який платник податку має право зареєструвати акцизні накладні та/або розрахунки коригування в системі електронного адміністрування реалізації пального.</w:t>
      </w:r>
    </w:p>
    <w:bookmarkStart w:id="10543" w:name="n12992"/>
    <w:bookmarkEnd w:id="10543"/>
    <w:p w14:paraId="73472F8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"https://zakon.rada.gov.ua/laws/show/z0377-16" \l "n99"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акта</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проведення інвентаризації затверджується центральним органом виконавчої влади, що забезпечує формування державної фінансової політики.</w:t>
      </w:r>
    </w:p>
    <w:p w14:paraId="0CF7200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4" w:name="n12993"/>
      <w:bookmarkEnd w:id="10544"/>
      <w:r w:rsidRPr="008B264B">
        <w:rPr>
          <w:rFonts w:ascii="Times New Roman" w:eastAsia="Times New Roman" w:hAnsi="Times New Roman" w:cs="Times New Roman"/>
          <w:color w:val="000000"/>
          <w:sz w:val="24"/>
          <w:szCs w:val="24"/>
          <w:lang/>
        </w:rPr>
        <w:t>Дані акта проведення інвентаризації обсягів залишку пального можуть бути перевірені контролюючим органом у встановленому порядку протягом шести календарних місяців із дня його подання.</w:t>
      </w:r>
    </w:p>
    <w:p w14:paraId="7F9408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5" w:name="n12994"/>
      <w:bookmarkEnd w:id="10545"/>
      <w:r w:rsidRPr="008B264B">
        <w:rPr>
          <w:rFonts w:ascii="Times New Roman" w:eastAsia="Times New Roman" w:hAnsi="Times New Roman" w:cs="Times New Roman"/>
          <w:color w:val="000000"/>
          <w:sz w:val="24"/>
          <w:szCs w:val="24"/>
          <w:lang/>
        </w:rPr>
        <w:t>При встановленні за результатами перевірки невідповідності обсягів пального, зазначених у акті інвентаризації, фактичним даним та/або даним бухгалтерського обліку підприємства контролюючий орган здійснює відповідні коригування в Єдиному реєстрі електронних акцизних накладних на підставі даних акта перевірки.</w:t>
      </w:r>
    </w:p>
    <w:p w14:paraId="6D1708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6" w:name="n13011"/>
      <w:bookmarkEnd w:id="10546"/>
      <w:r w:rsidRPr="008B264B">
        <w:rPr>
          <w:rFonts w:ascii="Times New Roman" w:eastAsia="Times New Roman" w:hAnsi="Times New Roman" w:cs="Times New Roman"/>
          <w:i/>
          <w:iCs/>
          <w:color w:val="000000"/>
          <w:sz w:val="24"/>
          <w:szCs w:val="24"/>
          <w:lang/>
        </w:rPr>
        <w:t>{Підрозділ 5 розділу XX доповнено пунктом 9 згідно із Законом </w:t>
      </w:r>
      <w:hyperlink r:id="rId5968"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7AF81A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7" w:name="n12995"/>
      <w:bookmarkEnd w:id="10547"/>
      <w:r w:rsidRPr="008B264B">
        <w:rPr>
          <w:rFonts w:ascii="Times New Roman" w:eastAsia="Times New Roman" w:hAnsi="Times New Roman" w:cs="Times New Roman"/>
          <w:color w:val="000000"/>
          <w:sz w:val="24"/>
          <w:szCs w:val="24"/>
          <w:lang/>
        </w:rPr>
        <w:t>10. Платникам акцизного податку, які є виробниками пального, якими задекларовані до сплати до бюджету та погашені зобов’язання з акцизного податку на реалізацію пального у 12-місячному періоді починаючи з березня 2015 року, контролюючий орган відкриває на обліковій картці овердрафт у сумі, що дорівнює середньомісячному розміру сум податку, які за останні відповідних 12 звітних (податкових) місяців (березень 2015 року - лютий 2016 року) задекларовані платником до сплати до бюджету та погашені.</w:t>
      </w:r>
    </w:p>
    <w:p w14:paraId="130DD6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8" w:name="n12996"/>
      <w:bookmarkEnd w:id="10548"/>
      <w:r w:rsidRPr="008B264B">
        <w:rPr>
          <w:rFonts w:ascii="Times New Roman" w:eastAsia="Times New Roman" w:hAnsi="Times New Roman" w:cs="Times New Roman"/>
          <w:color w:val="000000"/>
          <w:sz w:val="24"/>
          <w:szCs w:val="24"/>
          <w:lang/>
        </w:rPr>
        <w:t>За рахунок сум такого овердрафту платник податку має право зареєструвати заявку на поповнення обсягу залишку обсягів пального в системі електронного адміністрування реалізації пального без наявності на обліковій картці сум коштів сплаченого акцизного податку.</w:t>
      </w:r>
    </w:p>
    <w:p w14:paraId="14F1CA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49" w:name="n12997"/>
      <w:bookmarkEnd w:id="10549"/>
      <w:r w:rsidRPr="008B264B">
        <w:rPr>
          <w:rFonts w:ascii="Times New Roman" w:eastAsia="Times New Roman" w:hAnsi="Times New Roman" w:cs="Times New Roman"/>
          <w:color w:val="000000"/>
          <w:sz w:val="24"/>
          <w:szCs w:val="24"/>
          <w:lang/>
        </w:rPr>
        <w:lastRenderedPageBreak/>
        <w:t>Такий овердрафт щокварталу (протягом першого числа відповідного кварталу) підлягає автоматичному перерахунку з урахуванням показника середньомісячного розміру сум податку, які за останні 12 звітних (податкових) місяців/чотири квартали, станом на дату такого перерахунку, задекларовані платником до сплати до бюджету та погашені. Такий перерахунок здійснюється шляхом віднімання суми попереднього розрахунку та додавання суми згідно з поточним перерахунком.</w:t>
      </w:r>
    </w:p>
    <w:p w14:paraId="1AF04D3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0" w:name="n15411"/>
      <w:bookmarkEnd w:id="10550"/>
      <w:r w:rsidRPr="008B264B">
        <w:rPr>
          <w:rFonts w:ascii="Times New Roman" w:eastAsia="Times New Roman" w:hAnsi="Times New Roman" w:cs="Times New Roman"/>
          <w:color w:val="000000"/>
          <w:sz w:val="24"/>
          <w:szCs w:val="24"/>
          <w:lang/>
        </w:rPr>
        <w:t>Установити, що з 1 липня 2019 року до суми овердрафту застосовується коефіцієнт у розмірі 1,2.</w:t>
      </w:r>
    </w:p>
    <w:p w14:paraId="0FCEC3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1" w:name="n15410"/>
      <w:bookmarkEnd w:id="10551"/>
      <w:r w:rsidRPr="008B264B">
        <w:rPr>
          <w:rFonts w:ascii="Times New Roman" w:eastAsia="Times New Roman" w:hAnsi="Times New Roman" w:cs="Times New Roman"/>
          <w:i/>
          <w:iCs/>
          <w:color w:val="000000"/>
          <w:sz w:val="24"/>
          <w:szCs w:val="24"/>
          <w:lang/>
        </w:rPr>
        <w:t>{Пункт 10 підрозділу 5 розділу XX доповнено абзацом четвертим згідно із Законом </w:t>
      </w:r>
      <w:hyperlink r:id="rId5969" w:anchor="n69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A25FF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2" w:name="n13010"/>
      <w:bookmarkEnd w:id="10552"/>
      <w:r w:rsidRPr="008B264B">
        <w:rPr>
          <w:rFonts w:ascii="Times New Roman" w:eastAsia="Times New Roman" w:hAnsi="Times New Roman" w:cs="Times New Roman"/>
          <w:i/>
          <w:iCs/>
          <w:color w:val="000000"/>
          <w:sz w:val="24"/>
          <w:szCs w:val="24"/>
          <w:lang/>
        </w:rPr>
        <w:t>{Підрозділ 5 розділу XX доповнено пунктом 10 згідно із Законом </w:t>
      </w:r>
      <w:hyperlink r:id="rId5970"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6ED3AE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3" w:name="n12998"/>
      <w:bookmarkEnd w:id="10553"/>
      <w:r w:rsidRPr="008B264B">
        <w:rPr>
          <w:rFonts w:ascii="Times New Roman" w:eastAsia="Times New Roman" w:hAnsi="Times New Roman" w:cs="Times New Roman"/>
          <w:color w:val="000000"/>
          <w:sz w:val="24"/>
          <w:szCs w:val="24"/>
          <w:lang/>
        </w:rPr>
        <w:t>11. Норми </w:t>
      </w:r>
      <w:hyperlink r:id="rId5971" w:anchor="n12700" w:history="1">
        <w:r w:rsidRPr="008B264B">
          <w:rPr>
            <w:rFonts w:ascii="Times New Roman" w:eastAsia="Times New Roman" w:hAnsi="Times New Roman" w:cs="Times New Roman"/>
            <w:color w:val="0000FF"/>
            <w:sz w:val="24"/>
            <w:szCs w:val="24"/>
            <w:u w:val="single"/>
            <w:lang/>
          </w:rPr>
          <w:t>статті 120</w:t>
        </w:r>
      </w:hyperlink>
      <w:hyperlink r:id="rId5972" w:anchor="n12700"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цього Кодексу не застосовуються при порушенні термінів реєстрації акцизних накладних/розрахунків коригування в Єдиному реєстрі акцизних накладних, складених у період з 1 березня 2016 року до 1 квітня 2016 року.</w:t>
      </w:r>
    </w:p>
    <w:p w14:paraId="49EA5D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4" w:name="n12999"/>
      <w:bookmarkEnd w:id="10554"/>
      <w:r w:rsidRPr="008B264B">
        <w:rPr>
          <w:rFonts w:ascii="Times New Roman" w:eastAsia="Times New Roman" w:hAnsi="Times New Roman" w:cs="Times New Roman"/>
          <w:color w:val="000000"/>
          <w:sz w:val="24"/>
          <w:szCs w:val="24"/>
          <w:lang/>
        </w:rPr>
        <w:t>Період з 1 березня 2016 року до 1 квітня 2016 року є перехідним періодом, протягом якого реєстрація акцизних накладних/розрахунків коригування в Єдиному реєстрі акцизних накладних здійснюється без обмеження обсягів, обчислених за формулою, визначеною у </w:t>
      </w:r>
      <w:hyperlink r:id="rId5973" w:anchor="n13223" w:history="1">
        <w:r w:rsidRPr="008B264B">
          <w:rPr>
            <w:rFonts w:ascii="Times New Roman" w:eastAsia="Times New Roman" w:hAnsi="Times New Roman" w:cs="Times New Roman"/>
            <w:color w:val="0000FF"/>
            <w:sz w:val="24"/>
            <w:szCs w:val="24"/>
            <w:u w:val="single"/>
            <w:lang/>
          </w:rPr>
          <w:t>пункті 232.3</w:t>
        </w:r>
      </w:hyperlink>
      <w:r w:rsidRPr="008B264B">
        <w:rPr>
          <w:rFonts w:ascii="Times New Roman" w:eastAsia="Times New Roman" w:hAnsi="Times New Roman" w:cs="Times New Roman"/>
          <w:color w:val="000000"/>
          <w:sz w:val="24"/>
          <w:szCs w:val="24"/>
          <w:lang/>
        </w:rPr>
        <w:t> статті 232 цього Кодексу.</w:t>
      </w:r>
    </w:p>
    <w:p w14:paraId="3F1ECD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5" w:name="n13000"/>
      <w:bookmarkEnd w:id="10555"/>
      <w:r w:rsidRPr="008B264B">
        <w:rPr>
          <w:rFonts w:ascii="Times New Roman" w:eastAsia="Times New Roman" w:hAnsi="Times New Roman" w:cs="Times New Roman"/>
          <w:color w:val="000000"/>
          <w:sz w:val="24"/>
          <w:szCs w:val="24"/>
          <w:lang/>
        </w:rPr>
        <w:t>З 1 квітня 2016 року реєстрація акцизних накладних/розрахунків коригування в Єдиному реєстрі акцизних накладних здійснюється з урахуванням усіх вимог, встановлених цим Кодексом.</w:t>
      </w:r>
    </w:p>
    <w:p w14:paraId="1BB71F2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6" w:name="n13009"/>
      <w:bookmarkEnd w:id="10556"/>
      <w:r w:rsidRPr="008B264B">
        <w:rPr>
          <w:rFonts w:ascii="Times New Roman" w:eastAsia="Times New Roman" w:hAnsi="Times New Roman" w:cs="Times New Roman"/>
          <w:i/>
          <w:iCs/>
          <w:color w:val="000000"/>
          <w:sz w:val="24"/>
          <w:szCs w:val="24"/>
          <w:lang/>
        </w:rPr>
        <w:t>{Підрозділ 5 розділу XX доповнено пунктом 11 згідно із Законом </w:t>
      </w:r>
      <w:hyperlink r:id="rId5974"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B31D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7" w:name="n13001"/>
      <w:bookmarkEnd w:id="10557"/>
      <w:r w:rsidRPr="008B264B">
        <w:rPr>
          <w:rFonts w:ascii="Times New Roman" w:eastAsia="Times New Roman" w:hAnsi="Times New Roman" w:cs="Times New Roman"/>
          <w:color w:val="000000"/>
          <w:sz w:val="24"/>
          <w:szCs w:val="24"/>
          <w:lang/>
        </w:rPr>
        <w:t>12. Розпорядники акцизних складів відповідно до вимог цього Кодексу зобов’язані обладнати акцизні склади витратомірами-лічильниками та/або рівнемірами-лічильниками та зареєструвати їх в Єдиному державному реєстрі витратомірів-лічильників та рівнемірів-лічильників рівня пального у резервуарі в такі строки:</w:t>
      </w:r>
    </w:p>
    <w:p w14:paraId="22098D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8" w:name="n15412"/>
      <w:bookmarkEnd w:id="10558"/>
      <w:r w:rsidRPr="008B264B">
        <w:rPr>
          <w:rFonts w:ascii="Times New Roman" w:eastAsia="Times New Roman" w:hAnsi="Times New Roman" w:cs="Times New Roman"/>
          <w:color w:val="000000"/>
          <w:sz w:val="24"/>
          <w:szCs w:val="24"/>
          <w:lang/>
        </w:rPr>
        <w:t>акцизний склад, де розташовано резервуари, загальна місткість яких перевищує 20000 куб. метрів, - не пізніше 1 липня 2019 року;</w:t>
      </w:r>
    </w:p>
    <w:p w14:paraId="63834F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59" w:name="n15413"/>
      <w:bookmarkEnd w:id="10559"/>
      <w:r w:rsidRPr="008B264B">
        <w:rPr>
          <w:rFonts w:ascii="Times New Roman" w:eastAsia="Times New Roman" w:hAnsi="Times New Roman" w:cs="Times New Roman"/>
          <w:color w:val="000000"/>
          <w:sz w:val="24"/>
          <w:szCs w:val="24"/>
          <w:lang/>
        </w:rPr>
        <w:t>акцизний склад, де розташовано резервуари, загальна місткість яких перевищує 1000 куб. метрів, але не перевищує 20000 куб. метрів, - не пізніше 1 жовтня 2019 року;</w:t>
      </w:r>
    </w:p>
    <w:p w14:paraId="3F7ECE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0" w:name="n15414"/>
      <w:bookmarkEnd w:id="10560"/>
      <w:r w:rsidRPr="008B264B">
        <w:rPr>
          <w:rFonts w:ascii="Times New Roman" w:eastAsia="Times New Roman" w:hAnsi="Times New Roman" w:cs="Times New Roman"/>
          <w:color w:val="000000"/>
          <w:sz w:val="24"/>
          <w:szCs w:val="24"/>
          <w:lang/>
        </w:rPr>
        <w:t>акцизний склад, де розташовано резервуари, загальна місткість яких не перевищує 1000 куб. метрів, - не пізніше 1 січня 2020 року.</w:t>
      </w:r>
    </w:p>
    <w:p w14:paraId="7EB46D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1" w:name="n13008"/>
      <w:bookmarkEnd w:id="10561"/>
      <w:r w:rsidRPr="008B264B">
        <w:rPr>
          <w:rFonts w:ascii="Times New Roman" w:eastAsia="Times New Roman" w:hAnsi="Times New Roman" w:cs="Times New Roman"/>
          <w:i/>
          <w:iCs/>
          <w:color w:val="000000"/>
          <w:sz w:val="24"/>
          <w:szCs w:val="24"/>
          <w:lang/>
        </w:rPr>
        <w:t>{Підрозділ 5 розділу XX доповнено пунктом 12 згідно із Законом </w:t>
      </w:r>
      <w:hyperlink r:id="rId5975"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5976" w:anchor="n164"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w:t>
      </w:r>
      <w:hyperlink r:id="rId5977" w:anchor="n538"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в редакції Закону </w:t>
      </w:r>
      <w:hyperlink r:id="rId5978" w:anchor="n69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AE3E14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2" w:name="n13002"/>
      <w:bookmarkEnd w:id="10562"/>
      <w:r w:rsidRPr="008B264B">
        <w:rPr>
          <w:rFonts w:ascii="Times New Roman" w:eastAsia="Times New Roman" w:hAnsi="Times New Roman" w:cs="Times New Roman"/>
          <w:color w:val="000000"/>
          <w:sz w:val="24"/>
          <w:szCs w:val="24"/>
          <w:lang/>
        </w:rPr>
        <w:t>13. Тимчасово, до 29 лютого 2016 року (включно), до запровадження системи електронного адміністрування реалізації пального встановити:</w:t>
      </w:r>
    </w:p>
    <w:p w14:paraId="43454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3" w:name="n13003"/>
      <w:bookmarkEnd w:id="10563"/>
      <w:r w:rsidRPr="008B264B">
        <w:rPr>
          <w:rFonts w:ascii="Times New Roman" w:eastAsia="Times New Roman" w:hAnsi="Times New Roman" w:cs="Times New Roman"/>
          <w:color w:val="000000"/>
          <w:sz w:val="24"/>
          <w:szCs w:val="24"/>
          <w:lang/>
        </w:rPr>
        <w:t>1) здійснення функціонування акцизних складів на підприємствах, що здійснюють виробництво пального, та представника (представників) контролюючого органу на такому акцизному складі відповідно до редакції цього Кодексу, що діяла до набрання чинності </w:t>
      </w:r>
      <w:hyperlink r:id="rId5979"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та деяких законодавчих актів України щодо забезпечення збалансованості бюджетних надходжень у 2016 році";</w:t>
      </w:r>
    </w:p>
    <w:p w14:paraId="53D74E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4" w:name="n13004"/>
      <w:bookmarkEnd w:id="10564"/>
      <w:r w:rsidRPr="008B264B">
        <w:rPr>
          <w:rFonts w:ascii="Times New Roman" w:eastAsia="Times New Roman" w:hAnsi="Times New Roman" w:cs="Times New Roman"/>
          <w:color w:val="000000"/>
          <w:sz w:val="24"/>
          <w:szCs w:val="24"/>
          <w:lang/>
        </w:rPr>
        <w:t xml:space="preserve">2) для пального, у виробництві якого як сировина використані інші оподатковувані підакцизні товари, сума податку до сплати зменшується на суму податку, розрахованого для такої сировини. Сума податку на сировину, що підлягає відніманню, обчислюється із застосуванням ставок податку на таку сировину, чинних на день реалізації пального. У разі якщо така сума </w:t>
      </w:r>
      <w:r w:rsidRPr="008B264B">
        <w:rPr>
          <w:rFonts w:ascii="Times New Roman" w:eastAsia="Times New Roman" w:hAnsi="Times New Roman" w:cs="Times New Roman"/>
          <w:color w:val="000000"/>
          <w:sz w:val="24"/>
          <w:szCs w:val="24"/>
          <w:lang/>
        </w:rPr>
        <w:lastRenderedPageBreak/>
        <w:t>перевищує суму податку на пальне, вироблене з такої сировини, різниця платнику не відшкодовується;</w:t>
      </w:r>
    </w:p>
    <w:p w14:paraId="05DD3A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5" w:name="n13005"/>
      <w:bookmarkEnd w:id="10565"/>
      <w:r w:rsidRPr="008B264B">
        <w:rPr>
          <w:rFonts w:ascii="Times New Roman" w:eastAsia="Times New Roman" w:hAnsi="Times New Roman" w:cs="Times New Roman"/>
          <w:color w:val="000000"/>
          <w:sz w:val="24"/>
          <w:szCs w:val="24"/>
          <w:lang/>
        </w:rPr>
        <w:t>3) для обчислення зменшення суми акцизного податку відповідно до підпункту 2 цього пункту платник податку має отримати від виробника або імпортера підакцизної сировини довідку про обсяг поставленої підакцизної сировини (із зазначенням найменування покупця (отримувача) підакцизної сировини, відомостей про відповідні суми сплаченого акцизного податку та переліку податкових накладних з податку на додану вартість, оформлених на постачання такої сировини) та підтвердження контролюючого органу про зарахування акцизного податку до бюджету. Таке підтвердження надається виробнику або імпортеру підакцизної сировини контролюючим органом за його місцезнаходженням протягом одного робочого дня після звернення шляхом надання відповідної довідки.</w:t>
      </w:r>
    </w:p>
    <w:p w14:paraId="131F08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6" w:name="n13007"/>
      <w:bookmarkEnd w:id="10566"/>
      <w:r w:rsidRPr="008B264B">
        <w:rPr>
          <w:rFonts w:ascii="Times New Roman" w:eastAsia="Times New Roman" w:hAnsi="Times New Roman" w:cs="Times New Roman"/>
          <w:i/>
          <w:iCs/>
          <w:color w:val="000000"/>
          <w:sz w:val="24"/>
          <w:szCs w:val="24"/>
          <w:lang/>
        </w:rPr>
        <w:t>{Підрозділ 5 розділу XX доповнено пунктом 13 згідно із Законом </w:t>
      </w:r>
      <w:hyperlink r:id="rId5980"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28A48A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7" w:name="n13006"/>
      <w:bookmarkEnd w:id="10567"/>
      <w:r w:rsidRPr="008B264B">
        <w:rPr>
          <w:rFonts w:ascii="Times New Roman" w:eastAsia="Times New Roman" w:hAnsi="Times New Roman" w:cs="Times New Roman"/>
          <w:color w:val="000000"/>
          <w:sz w:val="24"/>
          <w:szCs w:val="24"/>
          <w:lang/>
        </w:rPr>
        <w:t>14. Тимчасово, з 1 січня 2016 року до 29 лютого 2016 року (включно), встановити ставки акцизного податку на такі товари:</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104"/>
        <w:gridCol w:w="4008"/>
        <w:gridCol w:w="2306"/>
        <w:gridCol w:w="1504"/>
      </w:tblGrid>
      <w:tr w:rsidR="008B264B" w:rsidRPr="008B264B" w14:paraId="10E00927" w14:textId="77777777" w:rsidTr="008B264B">
        <w:trPr>
          <w:trHeight w:val="15"/>
        </w:trPr>
        <w:tc>
          <w:tcPr>
            <w:tcW w:w="1050" w:type="pct"/>
            <w:vMerge w:val="restart"/>
            <w:tcBorders>
              <w:top w:val="single" w:sz="6" w:space="0" w:color="000000"/>
              <w:left w:val="nil"/>
              <w:bottom w:val="single" w:sz="6" w:space="0" w:color="000000"/>
              <w:right w:val="single" w:sz="6" w:space="0" w:color="000000"/>
            </w:tcBorders>
            <w:shd w:val="clear" w:color="auto" w:fill="auto"/>
            <w:hideMark/>
          </w:tcPr>
          <w:p w14:paraId="4B5437D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68" w:name="n13012"/>
            <w:bookmarkEnd w:id="10568"/>
            <w:r w:rsidRPr="008B264B">
              <w:rPr>
                <w:rFonts w:ascii="Times New Roman" w:eastAsia="Times New Roman" w:hAnsi="Times New Roman" w:cs="Times New Roman"/>
                <w:sz w:val="24"/>
                <w:szCs w:val="24"/>
                <w:lang/>
              </w:rPr>
              <w:t>Код товару (продукції) згідно з </w:t>
            </w:r>
            <w:hyperlink r:id="rId5981" w:anchor="n621" w:tgtFrame="_blank" w:history="1">
              <w:r w:rsidRPr="008B264B">
                <w:rPr>
                  <w:rFonts w:ascii="Times New Roman" w:eastAsia="Times New Roman" w:hAnsi="Times New Roman" w:cs="Times New Roman"/>
                  <w:color w:val="0000FF"/>
                  <w:sz w:val="24"/>
                  <w:szCs w:val="24"/>
                  <w:u w:val="single"/>
                  <w:lang/>
                </w:rPr>
                <w:t>УКТ ЗЕД</w:t>
              </w:r>
            </w:hyperlink>
          </w:p>
        </w:tc>
        <w:tc>
          <w:tcPr>
            <w:tcW w:w="2000" w:type="pct"/>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78EFAFE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УКТ ЗЕД</w:t>
            </w:r>
          </w:p>
        </w:tc>
        <w:tc>
          <w:tcPr>
            <w:tcW w:w="1900" w:type="pct"/>
            <w:gridSpan w:val="2"/>
            <w:tcBorders>
              <w:top w:val="single" w:sz="6" w:space="0" w:color="000000"/>
              <w:left w:val="single" w:sz="6" w:space="0" w:color="000000"/>
              <w:bottom w:val="single" w:sz="6" w:space="0" w:color="000000"/>
              <w:right w:val="nil"/>
            </w:tcBorders>
            <w:shd w:val="clear" w:color="auto" w:fill="auto"/>
            <w:hideMark/>
          </w:tcPr>
          <w:p w14:paraId="1E3C784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 акцизного податку у твердих сумах з одиниці реалізованого товару (продукції)</w:t>
            </w:r>
          </w:p>
        </w:tc>
      </w:tr>
      <w:tr w:rsidR="008B264B" w:rsidRPr="008B264B" w14:paraId="3665C3CE" w14:textId="77777777" w:rsidTr="008B264B">
        <w:trPr>
          <w:trHeight w:val="15"/>
        </w:trPr>
        <w:tc>
          <w:tcPr>
            <w:tcW w:w="0" w:type="auto"/>
            <w:vMerge/>
            <w:tcBorders>
              <w:top w:val="single" w:sz="6" w:space="0" w:color="000000"/>
              <w:left w:val="nil"/>
              <w:bottom w:val="single" w:sz="6" w:space="0" w:color="000000"/>
              <w:right w:val="single" w:sz="6" w:space="0" w:color="000000"/>
            </w:tcBorders>
            <w:shd w:val="clear" w:color="auto" w:fill="auto"/>
            <w:hideMark/>
          </w:tcPr>
          <w:p w14:paraId="7DCBD536"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0FBF73BA"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150" w:type="pct"/>
            <w:tcBorders>
              <w:top w:val="single" w:sz="6" w:space="0" w:color="000000"/>
              <w:left w:val="single" w:sz="6" w:space="0" w:color="000000"/>
              <w:bottom w:val="single" w:sz="6" w:space="0" w:color="000000"/>
              <w:right w:val="single" w:sz="6" w:space="0" w:color="000000"/>
            </w:tcBorders>
            <w:shd w:val="clear" w:color="auto" w:fill="auto"/>
            <w:hideMark/>
          </w:tcPr>
          <w:p w14:paraId="3EC76A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750" w:type="pct"/>
            <w:tcBorders>
              <w:top w:val="single" w:sz="6" w:space="0" w:color="000000"/>
              <w:left w:val="single" w:sz="6" w:space="0" w:color="000000"/>
              <w:bottom w:val="single" w:sz="6" w:space="0" w:color="000000"/>
              <w:right w:val="nil"/>
            </w:tcBorders>
            <w:shd w:val="clear" w:color="auto" w:fill="auto"/>
            <w:hideMark/>
          </w:tcPr>
          <w:p w14:paraId="035A331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ставка</w:t>
            </w:r>
          </w:p>
        </w:tc>
      </w:tr>
      <w:tr w:rsidR="008B264B" w:rsidRPr="008B264B" w14:paraId="1311FD35" w14:textId="77777777" w:rsidTr="008B264B">
        <w:trPr>
          <w:trHeight w:val="15"/>
        </w:trPr>
        <w:tc>
          <w:tcPr>
            <w:tcW w:w="1050" w:type="pct"/>
            <w:tcBorders>
              <w:top w:val="single" w:sz="6" w:space="0" w:color="000000"/>
              <w:left w:val="nil"/>
              <w:bottom w:val="nil"/>
              <w:right w:val="nil"/>
            </w:tcBorders>
            <w:shd w:val="clear" w:color="auto" w:fill="auto"/>
            <w:hideMark/>
          </w:tcPr>
          <w:p w14:paraId="79158B4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2707 50 10 00</w:t>
            </w:r>
            <w:r w:rsidRPr="008B264B">
              <w:rPr>
                <w:rFonts w:ascii="Times New Roman" w:eastAsia="Times New Roman" w:hAnsi="Times New Roman" w:cs="Times New Roman"/>
                <w:sz w:val="24"/>
                <w:szCs w:val="24"/>
                <w:lang/>
              </w:rPr>
              <w:br/>
              <w:t>2707 50 90 00</w:t>
            </w:r>
          </w:p>
        </w:tc>
        <w:tc>
          <w:tcPr>
            <w:tcW w:w="2000" w:type="pct"/>
            <w:tcBorders>
              <w:top w:val="single" w:sz="6" w:space="0" w:color="000000"/>
              <w:left w:val="nil"/>
              <w:bottom w:val="nil"/>
              <w:right w:val="nil"/>
            </w:tcBorders>
            <w:shd w:val="clear" w:color="auto" w:fill="auto"/>
            <w:hideMark/>
          </w:tcPr>
          <w:p w14:paraId="4A8C192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суміші ароматичних вуглеводнів, з яких 65 об. % або більше (включаючи втрати) переганяється при температурі до 250 °C за методом, визначеним згідно з ASTM D 86</w:t>
            </w:r>
          </w:p>
        </w:tc>
        <w:tc>
          <w:tcPr>
            <w:tcW w:w="1150" w:type="pct"/>
            <w:tcBorders>
              <w:top w:val="single" w:sz="6" w:space="0" w:color="000000"/>
              <w:left w:val="nil"/>
              <w:bottom w:val="nil"/>
              <w:right w:val="nil"/>
            </w:tcBorders>
            <w:shd w:val="clear" w:color="auto" w:fill="auto"/>
            <w:hideMark/>
          </w:tcPr>
          <w:p w14:paraId="7BADAD3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single" w:sz="6" w:space="0" w:color="000000"/>
              <w:left w:val="nil"/>
              <w:bottom w:val="nil"/>
              <w:right w:val="nil"/>
            </w:tcBorders>
            <w:shd w:val="clear" w:color="auto" w:fill="auto"/>
            <w:hideMark/>
          </w:tcPr>
          <w:p w14:paraId="50DB95E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265746E9" w14:textId="77777777" w:rsidTr="008B264B">
        <w:trPr>
          <w:trHeight w:val="15"/>
        </w:trPr>
        <w:tc>
          <w:tcPr>
            <w:tcW w:w="1050" w:type="pct"/>
            <w:tcBorders>
              <w:top w:val="nil"/>
              <w:left w:val="nil"/>
              <w:bottom w:val="nil"/>
              <w:right w:val="nil"/>
            </w:tcBorders>
            <w:shd w:val="clear" w:color="auto" w:fill="auto"/>
            <w:hideMark/>
          </w:tcPr>
          <w:p w14:paraId="342BA8A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09F1022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Легкі дистиляти:</w:t>
            </w:r>
          </w:p>
        </w:tc>
        <w:tc>
          <w:tcPr>
            <w:tcW w:w="1150" w:type="pct"/>
            <w:tcBorders>
              <w:top w:val="nil"/>
              <w:left w:val="nil"/>
              <w:bottom w:val="nil"/>
              <w:right w:val="nil"/>
            </w:tcBorders>
            <w:shd w:val="clear" w:color="auto" w:fill="auto"/>
            <w:hideMark/>
          </w:tcPr>
          <w:p w14:paraId="7DED62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16E6910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09BAFC75" w14:textId="77777777" w:rsidTr="008B264B">
        <w:trPr>
          <w:trHeight w:val="15"/>
        </w:trPr>
        <w:tc>
          <w:tcPr>
            <w:tcW w:w="1050" w:type="pct"/>
            <w:tcBorders>
              <w:top w:val="nil"/>
              <w:left w:val="nil"/>
              <w:bottom w:val="nil"/>
              <w:right w:val="nil"/>
            </w:tcBorders>
            <w:shd w:val="clear" w:color="auto" w:fill="auto"/>
            <w:hideMark/>
          </w:tcPr>
          <w:p w14:paraId="7D48326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2710 12 11 10</w:t>
            </w:r>
            <w:r w:rsidRPr="008B264B">
              <w:rPr>
                <w:rFonts w:ascii="Times New Roman" w:eastAsia="Times New Roman" w:hAnsi="Times New Roman" w:cs="Times New Roman"/>
                <w:sz w:val="24"/>
                <w:szCs w:val="24"/>
                <w:lang/>
              </w:rPr>
              <w:br/>
              <w:t>2710 12 11 20</w:t>
            </w:r>
            <w:r w:rsidRPr="008B264B">
              <w:rPr>
                <w:rFonts w:ascii="Times New Roman" w:eastAsia="Times New Roman" w:hAnsi="Times New Roman" w:cs="Times New Roman"/>
                <w:sz w:val="24"/>
                <w:szCs w:val="24"/>
                <w:lang/>
              </w:rPr>
              <w:br/>
              <w:t>2710 12 11 90</w:t>
            </w:r>
          </w:p>
        </w:tc>
        <w:tc>
          <w:tcPr>
            <w:tcW w:w="2000" w:type="pct"/>
            <w:tcBorders>
              <w:top w:val="nil"/>
              <w:left w:val="nil"/>
              <w:bottom w:val="nil"/>
              <w:right w:val="nil"/>
            </w:tcBorders>
            <w:shd w:val="clear" w:color="auto" w:fill="auto"/>
            <w:hideMark/>
          </w:tcPr>
          <w:p w14:paraId="55C2B0D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150" w:type="pct"/>
            <w:tcBorders>
              <w:top w:val="nil"/>
              <w:left w:val="nil"/>
              <w:bottom w:val="nil"/>
              <w:right w:val="nil"/>
            </w:tcBorders>
            <w:shd w:val="clear" w:color="auto" w:fill="auto"/>
            <w:hideMark/>
          </w:tcPr>
          <w:p w14:paraId="2907526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18F1A7B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03E07BC0" w14:textId="77777777" w:rsidTr="008B264B">
        <w:trPr>
          <w:trHeight w:val="15"/>
        </w:trPr>
        <w:tc>
          <w:tcPr>
            <w:tcW w:w="1050" w:type="pct"/>
            <w:tcBorders>
              <w:top w:val="nil"/>
              <w:left w:val="nil"/>
              <w:bottom w:val="nil"/>
              <w:right w:val="nil"/>
            </w:tcBorders>
            <w:shd w:val="clear" w:color="auto" w:fill="auto"/>
            <w:hideMark/>
          </w:tcPr>
          <w:p w14:paraId="6573CF1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2710 12 15 10</w:t>
            </w:r>
            <w:r w:rsidRPr="008B264B">
              <w:rPr>
                <w:rFonts w:ascii="Times New Roman" w:eastAsia="Times New Roman" w:hAnsi="Times New Roman" w:cs="Times New Roman"/>
                <w:sz w:val="24"/>
                <w:szCs w:val="24"/>
                <w:lang/>
              </w:rPr>
              <w:br/>
              <w:t>2710 12 15 20</w:t>
            </w:r>
            <w:r w:rsidRPr="008B264B">
              <w:rPr>
                <w:rFonts w:ascii="Times New Roman" w:eastAsia="Times New Roman" w:hAnsi="Times New Roman" w:cs="Times New Roman"/>
                <w:sz w:val="24"/>
                <w:szCs w:val="24"/>
                <w:lang/>
              </w:rPr>
              <w:br/>
              <w:t>2710 12 15 90</w:t>
            </w:r>
          </w:p>
        </w:tc>
        <w:tc>
          <w:tcPr>
            <w:tcW w:w="2000" w:type="pct"/>
            <w:tcBorders>
              <w:top w:val="nil"/>
              <w:left w:val="nil"/>
              <w:bottom w:val="nil"/>
              <w:right w:val="nil"/>
            </w:tcBorders>
            <w:shd w:val="clear" w:color="auto" w:fill="auto"/>
            <w:hideMark/>
          </w:tcPr>
          <w:p w14:paraId="26DCCD9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крім зазначених у товарних підкатегоріях</w:t>
            </w:r>
            <w:r w:rsidRPr="008B264B">
              <w:rPr>
                <w:rFonts w:ascii="Times New Roman" w:eastAsia="Times New Roman" w:hAnsi="Times New Roman" w:cs="Times New Roman"/>
                <w:sz w:val="24"/>
                <w:szCs w:val="24"/>
                <w:lang/>
              </w:rPr>
              <w:br/>
              <w:t>2710 12 11 10,</w:t>
            </w:r>
            <w:r w:rsidRPr="008B264B">
              <w:rPr>
                <w:rFonts w:ascii="Times New Roman" w:eastAsia="Times New Roman" w:hAnsi="Times New Roman" w:cs="Times New Roman"/>
                <w:sz w:val="24"/>
                <w:szCs w:val="24"/>
                <w:lang/>
              </w:rPr>
              <w:br/>
              <w:t>2710 12 11 20,</w:t>
            </w:r>
            <w:r w:rsidRPr="008B264B">
              <w:rPr>
                <w:rFonts w:ascii="Times New Roman" w:eastAsia="Times New Roman" w:hAnsi="Times New Roman" w:cs="Times New Roman"/>
                <w:sz w:val="24"/>
                <w:szCs w:val="24"/>
                <w:lang/>
              </w:rPr>
              <w:br/>
              <w:t>2710 12 11 90</w:t>
            </w:r>
          </w:p>
        </w:tc>
        <w:tc>
          <w:tcPr>
            <w:tcW w:w="1150" w:type="pct"/>
            <w:tcBorders>
              <w:top w:val="nil"/>
              <w:left w:val="nil"/>
              <w:bottom w:val="nil"/>
              <w:right w:val="nil"/>
            </w:tcBorders>
            <w:shd w:val="clear" w:color="auto" w:fill="auto"/>
            <w:hideMark/>
          </w:tcPr>
          <w:p w14:paraId="7FC72B8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16DEFE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04642662" w14:textId="77777777" w:rsidTr="008B264B">
        <w:trPr>
          <w:trHeight w:val="15"/>
        </w:trPr>
        <w:tc>
          <w:tcPr>
            <w:tcW w:w="1050" w:type="pct"/>
            <w:tcBorders>
              <w:top w:val="nil"/>
              <w:left w:val="nil"/>
              <w:bottom w:val="nil"/>
              <w:right w:val="nil"/>
            </w:tcBorders>
            <w:shd w:val="clear" w:color="auto" w:fill="auto"/>
            <w:hideMark/>
          </w:tcPr>
          <w:p w14:paraId="55F8205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2AFE385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спеціальні:</w:t>
            </w:r>
          </w:p>
        </w:tc>
        <w:tc>
          <w:tcPr>
            <w:tcW w:w="1150" w:type="pct"/>
            <w:tcBorders>
              <w:top w:val="nil"/>
              <w:left w:val="nil"/>
              <w:bottom w:val="nil"/>
              <w:right w:val="nil"/>
            </w:tcBorders>
            <w:shd w:val="clear" w:color="auto" w:fill="auto"/>
            <w:hideMark/>
          </w:tcPr>
          <w:p w14:paraId="75C385E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68F46F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6369CDFC" w14:textId="77777777" w:rsidTr="008B264B">
        <w:trPr>
          <w:trHeight w:val="15"/>
        </w:trPr>
        <w:tc>
          <w:tcPr>
            <w:tcW w:w="1050" w:type="pct"/>
            <w:tcBorders>
              <w:top w:val="nil"/>
              <w:left w:val="nil"/>
              <w:bottom w:val="nil"/>
              <w:right w:val="nil"/>
            </w:tcBorders>
            <w:shd w:val="clear" w:color="auto" w:fill="auto"/>
            <w:hideMark/>
          </w:tcPr>
          <w:p w14:paraId="1121396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2710 12 21 00</w:t>
            </w:r>
          </w:p>
        </w:tc>
        <w:tc>
          <w:tcPr>
            <w:tcW w:w="2000" w:type="pct"/>
            <w:tcBorders>
              <w:top w:val="nil"/>
              <w:left w:val="nil"/>
              <w:bottom w:val="nil"/>
              <w:right w:val="nil"/>
            </w:tcBorders>
            <w:shd w:val="clear" w:color="auto" w:fill="auto"/>
            <w:hideMark/>
          </w:tcPr>
          <w:p w14:paraId="42A3AF9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уайт-спірит</w:t>
            </w:r>
          </w:p>
        </w:tc>
        <w:tc>
          <w:tcPr>
            <w:tcW w:w="1150" w:type="pct"/>
            <w:tcBorders>
              <w:top w:val="nil"/>
              <w:left w:val="nil"/>
              <w:bottom w:val="nil"/>
              <w:right w:val="nil"/>
            </w:tcBorders>
            <w:shd w:val="clear" w:color="auto" w:fill="auto"/>
            <w:hideMark/>
          </w:tcPr>
          <w:p w14:paraId="1C93C37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6BBD977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156F56BC" w14:textId="77777777" w:rsidTr="008B264B">
        <w:trPr>
          <w:trHeight w:val="15"/>
        </w:trPr>
        <w:tc>
          <w:tcPr>
            <w:tcW w:w="1050" w:type="pct"/>
            <w:tcBorders>
              <w:top w:val="nil"/>
              <w:left w:val="nil"/>
              <w:bottom w:val="nil"/>
              <w:right w:val="nil"/>
            </w:tcBorders>
            <w:shd w:val="clear" w:color="auto" w:fill="auto"/>
            <w:hideMark/>
          </w:tcPr>
          <w:p w14:paraId="6D10174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2710 12 25 00</w:t>
            </w:r>
          </w:p>
        </w:tc>
        <w:tc>
          <w:tcPr>
            <w:tcW w:w="2000" w:type="pct"/>
            <w:tcBorders>
              <w:top w:val="nil"/>
              <w:left w:val="nil"/>
              <w:bottom w:val="nil"/>
              <w:right w:val="nil"/>
            </w:tcBorders>
            <w:shd w:val="clear" w:color="auto" w:fill="auto"/>
            <w:hideMark/>
          </w:tcPr>
          <w:p w14:paraId="1D5A241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спеціальні бензини</w:t>
            </w:r>
          </w:p>
        </w:tc>
        <w:tc>
          <w:tcPr>
            <w:tcW w:w="1150" w:type="pct"/>
            <w:tcBorders>
              <w:top w:val="nil"/>
              <w:left w:val="nil"/>
              <w:bottom w:val="nil"/>
              <w:right w:val="nil"/>
            </w:tcBorders>
            <w:shd w:val="clear" w:color="auto" w:fill="auto"/>
            <w:hideMark/>
          </w:tcPr>
          <w:p w14:paraId="26272E7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482D85B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7A786474" w14:textId="77777777" w:rsidTr="008B264B">
        <w:trPr>
          <w:trHeight w:val="15"/>
        </w:trPr>
        <w:tc>
          <w:tcPr>
            <w:tcW w:w="1050" w:type="pct"/>
            <w:tcBorders>
              <w:top w:val="nil"/>
              <w:left w:val="nil"/>
              <w:bottom w:val="nil"/>
              <w:right w:val="nil"/>
            </w:tcBorders>
            <w:shd w:val="clear" w:color="auto" w:fill="auto"/>
            <w:hideMark/>
          </w:tcPr>
          <w:p w14:paraId="6B5F25F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3C3F588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w:t>
            </w:r>
          </w:p>
        </w:tc>
        <w:tc>
          <w:tcPr>
            <w:tcW w:w="1150" w:type="pct"/>
            <w:tcBorders>
              <w:top w:val="nil"/>
              <w:left w:val="nil"/>
              <w:bottom w:val="nil"/>
              <w:right w:val="nil"/>
            </w:tcBorders>
            <w:shd w:val="clear" w:color="auto" w:fill="auto"/>
            <w:hideMark/>
          </w:tcPr>
          <w:p w14:paraId="653331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77FE86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F18BC8F" w14:textId="77777777" w:rsidTr="008B264B">
        <w:trPr>
          <w:trHeight w:val="15"/>
        </w:trPr>
        <w:tc>
          <w:tcPr>
            <w:tcW w:w="1050" w:type="pct"/>
            <w:tcBorders>
              <w:top w:val="nil"/>
              <w:left w:val="nil"/>
              <w:bottom w:val="nil"/>
              <w:right w:val="nil"/>
            </w:tcBorders>
            <w:shd w:val="clear" w:color="auto" w:fill="auto"/>
            <w:hideMark/>
          </w:tcPr>
          <w:p w14:paraId="77B2BA6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2710 12 31 00</w:t>
            </w:r>
          </w:p>
        </w:tc>
        <w:tc>
          <w:tcPr>
            <w:tcW w:w="2000" w:type="pct"/>
            <w:tcBorders>
              <w:top w:val="nil"/>
              <w:left w:val="nil"/>
              <w:bottom w:val="nil"/>
              <w:right w:val="nil"/>
            </w:tcBorders>
            <w:shd w:val="clear" w:color="auto" w:fill="auto"/>
            <w:hideMark/>
          </w:tcPr>
          <w:p w14:paraId="1EA558B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авіаційні</w:t>
            </w:r>
          </w:p>
        </w:tc>
        <w:tc>
          <w:tcPr>
            <w:tcW w:w="1150" w:type="pct"/>
            <w:tcBorders>
              <w:top w:val="nil"/>
              <w:left w:val="nil"/>
              <w:bottom w:val="nil"/>
              <w:right w:val="nil"/>
            </w:tcBorders>
            <w:shd w:val="clear" w:color="auto" w:fill="auto"/>
            <w:hideMark/>
          </w:tcPr>
          <w:p w14:paraId="4849E6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5609C0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36</w:t>
            </w:r>
          </w:p>
        </w:tc>
      </w:tr>
      <w:tr w:rsidR="008B264B" w:rsidRPr="008B264B" w14:paraId="63A9CA55" w14:textId="77777777" w:rsidTr="008B264B">
        <w:trPr>
          <w:trHeight w:val="15"/>
        </w:trPr>
        <w:tc>
          <w:tcPr>
            <w:tcW w:w="1050" w:type="pct"/>
            <w:tcBorders>
              <w:top w:val="nil"/>
              <w:left w:val="nil"/>
              <w:bottom w:val="nil"/>
              <w:right w:val="nil"/>
            </w:tcBorders>
            <w:shd w:val="clear" w:color="auto" w:fill="auto"/>
            <w:hideMark/>
          </w:tcPr>
          <w:p w14:paraId="0306A8F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318DF97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бензини моторні з вмістом свинцю 0,013 г/л або менше:</w:t>
            </w:r>
          </w:p>
        </w:tc>
        <w:tc>
          <w:tcPr>
            <w:tcW w:w="1150" w:type="pct"/>
            <w:tcBorders>
              <w:top w:val="nil"/>
              <w:left w:val="nil"/>
              <w:bottom w:val="nil"/>
              <w:right w:val="nil"/>
            </w:tcBorders>
            <w:shd w:val="clear" w:color="auto" w:fill="auto"/>
            <w:hideMark/>
          </w:tcPr>
          <w:p w14:paraId="2EA7C78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759EAE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FC0BFA2" w14:textId="77777777" w:rsidTr="008B264B">
        <w:trPr>
          <w:trHeight w:val="15"/>
        </w:trPr>
        <w:tc>
          <w:tcPr>
            <w:tcW w:w="1050" w:type="pct"/>
            <w:tcBorders>
              <w:top w:val="nil"/>
              <w:left w:val="nil"/>
              <w:bottom w:val="nil"/>
              <w:right w:val="nil"/>
            </w:tcBorders>
            <w:shd w:val="clear" w:color="auto" w:fill="auto"/>
            <w:hideMark/>
          </w:tcPr>
          <w:p w14:paraId="03C4120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2710 12 41 11</w:t>
            </w:r>
            <w:r w:rsidRPr="008B264B">
              <w:rPr>
                <w:rFonts w:ascii="Times New Roman" w:eastAsia="Times New Roman" w:hAnsi="Times New Roman" w:cs="Times New Roman"/>
                <w:sz w:val="24"/>
                <w:szCs w:val="24"/>
                <w:lang/>
              </w:rPr>
              <w:br/>
              <w:t>2710 12 41 12</w:t>
            </w:r>
            <w:r w:rsidRPr="008B264B">
              <w:rPr>
                <w:rFonts w:ascii="Times New Roman" w:eastAsia="Times New Roman" w:hAnsi="Times New Roman" w:cs="Times New Roman"/>
                <w:sz w:val="24"/>
                <w:szCs w:val="24"/>
                <w:lang/>
              </w:rPr>
              <w:br/>
              <w:t>2710 12 41 13</w:t>
            </w:r>
            <w:r w:rsidRPr="008B264B">
              <w:rPr>
                <w:rFonts w:ascii="Times New Roman" w:eastAsia="Times New Roman" w:hAnsi="Times New Roman" w:cs="Times New Roman"/>
                <w:sz w:val="24"/>
                <w:szCs w:val="24"/>
                <w:lang/>
              </w:rPr>
              <w:br/>
              <w:t>2710 12 41 31</w:t>
            </w:r>
            <w:r w:rsidRPr="008B264B">
              <w:rPr>
                <w:rFonts w:ascii="Times New Roman" w:eastAsia="Times New Roman" w:hAnsi="Times New Roman" w:cs="Times New Roman"/>
                <w:sz w:val="24"/>
                <w:szCs w:val="24"/>
                <w:lang/>
              </w:rPr>
              <w:br/>
              <w:t>2710 12 41 32</w:t>
            </w:r>
            <w:r w:rsidRPr="008B264B">
              <w:rPr>
                <w:rFonts w:ascii="Times New Roman" w:eastAsia="Times New Roman" w:hAnsi="Times New Roman" w:cs="Times New Roman"/>
                <w:sz w:val="24"/>
                <w:szCs w:val="24"/>
                <w:lang/>
              </w:rPr>
              <w:br/>
              <w:t>2710 12 41 33</w:t>
            </w:r>
            <w:r w:rsidRPr="008B264B">
              <w:rPr>
                <w:rFonts w:ascii="Times New Roman" w:eastAsia="Times New Roman" w:hAnsi="Times New Roman" w:cs="Times New Roman"/>
                <w:sz w:val="24"/>
                <w:szCs w:val="24"/>
                <w:lang/>
              </w:rPr>
              <w:br/>
              <w:t>2710 12 41 91</w:t>
            </w:r>
            <w:r w:rsidRPr="008B264B">
              <w:rPr>
                <w:rFonts w:ascii="Times New Roman" w:eastAsia="Times New Roman" w:hAnsi="Times New Roman" w:cs="Times New Roman"/>
                <w:sz w:val="24"/>
                <w:szCs w:val="24"/>
                <w:lang/>
              </w:rPr>
              <w:br/>
              <w:t>2710 12 41 92</w:t>
            </w:r>
            <w:r w:rsidRPr="008B264B">
              <w:rPr>
                <w:rFonts w:ascii="Times New Roman" w:eastAsia="Times New Roman" w:hAnsi="Times New Roman" w:cs="Times New Roman"/>
                <w:sz w:val="24"/>
                <w:szCs w:val="24"/>
                <w:lang/>
              </w:rPr>
              <w:br/>
              <w:t>2710 12 41 93</w:t>
            </w:r>
            <w:r w:rsidRPr="008B264B">
              <w:rPr>
                <w:rFonts w:ascii="Times New Roman" w:eastAsia="Times New Roman" w:hAnsi="Times New Roman" w:cs="Times New Roman"/>
                <w:sz w:val="24"/>
                <w:szCs w:val="24"/>
                <w:lang/>
              </w:rPr>
              <w:br/>
              <w:t>2710 12 45 01</w:t>
            </w:r>
            <w:r w:rsidRPr="008B264B">
              <w:rPr>
                <w:rFonts w:ascii="Times New Roman" w:eastAsia="Times New Roman" w:hAnsi="Times New Roman" w:cs="Times New Roman"/>
                <w:sz w:val="24"/>
                <w:szCs w:val="24"/>
                <w:lang/>
              </w:rPr>
              <w:br/>
              <w:t>2710 12 45 02</w:t>
            </w:r>
            <w:r w:rsidRPr="008B264B">
              <w:rPr>
                <w:rFonts w:ascii="Times New Roman" w:eastAsia="Times New Roman" w:hAnsi="Times New Roman" w:cs="Times New Roman"/>
                <w:sz w:val="24"/>
                <w:szCs w:val="24"/>
                <w:lang/>
              </w:rPr>
              <w:br/>
              <w:t>2710 12 45 09</w:t>
            </w:r>
            <w:r w:rsidRPr="008B264B">
              <w:rPr>
                <w:rFonts w:ascii="Times New Roman" w:eastAsia="Times New Roman" w:hAnsi="Times New Roman" w:cs="Times New Roman"/>
                <w:sz w:val="24"/>
                <w:szCs w:val="24"/>
                <w:lang/>
              </w:rPr>
              <w:br/>
              <w:t>2710 12 49 01</w:t>
            </w:r>
            <w:r w:rsidRPr="008B264B">
              <w:rPr>
                <w:rFonts w:ascii="Times New Roman" w:eastAsia="Times New Roman" w:hAnsi="Times New Roman" w:cs="Times New Roman"/>
                <w:sz w:val="24"/>
                <w:szCs w:val="24"/>
                <w:lang/>
              </w:rPr>
              <w:br/>
              <w:t>2710 12 49 02</w:t>
            </w:r>
            <w:r w:rsidRPr="008B264B">
              <w:rPr>
                <w:rFonts w:ascii="Times New Roman" w:eastAsia="Times New Roman" w:hAnsi="Times New Roman" w:cs="Times New Roman"/>
                <w:sz w:val="24"/>
                <w:szCs w:val="24"/>
                <w:lang/>
              </w:rPr>
              <w:br/>
              <w:t>2710 12 49 09</w:t>
            </w:r>
          </w:p>
        </w:tc>
        <w:tc>
          <w:tcPr>
            <w:tcW w:w="2000" w:type="pct"/>
            <w:tcBorders>
              <w:top w:val="nil"/>
              <w:left w:val="nil"/>
              <w:bottom w:val="nil"/>
              <w:right w:val="nil"/>
            </w:tcBorders>
            <w:shd w:val="clear" w:color="auto" w:fill="auto"/>
            <w:hideMark/>
          </w:tcPr>
          <w:p w14:paraId="13F510C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не менш як 5 мас. % біоетанолу або не менш як 5 мас. % етил-трет-бутилового ефіру або їх суміші</w:t>
            </w:r>
          </w:p>
        </w:tc>
        <w:tc>
          <w:tcPr>
            <w:tcW w:w="1150" w:type="pct"/>
            <w:tcBorders>
              <w:top w:val="nil"/>
              <w:left w:val="nil"/>
              <w:bottom w:val="nil"/>
              <w:right w:val="nil"/>
            </w:tcBorders>
            <w:shd w:val="clear" w:color="auto" w:fill="auto"/>
            <w:hideMark/>
          </w:tcPr>
          <w:p w14:paraId="3B927C6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7DBABBB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748526DA" w14:textId="77777777" w:rsidTr="008B264B">
        <w:trPr>
          <w:trHeight w:val="15"/>
        </w:trPr>
        <w:tc>
          <w:tcPr>
            <w:tcW w:w="1050" w:type="pct"/>
            <w:tcBorders>
              <w:top w:val="nil"/>
              <w:left w:val="nil"/>
              <w:bottom w:val="nil"/>
              <w:right w:val="nil"/>
            </w:tcBorders>
            <w:shd w:val="clear" w:color="auto" w:fill="auto"/>
            <w:hideMark/>
          </w:tcPr>
          <w:p w14:paraId="2084ADC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2710 12 41 14</w:t>
            </w:r>
            <w:r w:rsidRPr="008B264B">
              <w:rPr>
                <w:rFonts w:ascii="Times New Roman" w:eastAsia="Times New Roman" w:hAnsi="Times New Roman" w:cs="Times New Roman"/>
                <w:sz w:val="24"/>
                <w:szCs w:val="24"/>
                <w:lang/>
              </w:rPr>
              <w:br/>
              <w:t>2710 12 41 15</w:t>
            </w:r>
            <w:r w:rsidRPr="008B264B">
              <w:rPr>
                <w:rFonts w:ascii="Times New Roman" w:eastAsia="Times New Roman" w:hAnsi="Times New Roman" w:cs="Times New Roman"/>
                <w:sz w:val="24"/>
                <w:szCs w:val="24"/>
                <w:lang/>
              </w:rPr>
              <w:br/>
              <w:t>2710 12 41 19</w:t>
            </w:r>
            <w:r w:rsidRPr="008B264B">
              <w:rPr>
                <w:rFonts w:ascii="Times New Roman" w:eastAsia="Times New Roman" w:hAnsi="Times New Roman" w:cs="Times New Roman"/>
                <w:sz w:val="24"/>
                <w:szCs w:val="24"/>
                <w:lang/>
              </w:rPr>
              <w:br/>
              <w:t>2710 12 41 34</w:t>
            </w:r>
            <w:r w:rsidRPr="008B264B">
              <w:rPr>
                <w:rFonts w:ascii="Times New Roman" w:eastAsia="Times New Roman" w:hAnsi="Times New Roman" w:cs="Times New Roman"/>
                <w:sz w:val="24"/>
                <w:szCs w:val="24"/>
                <w:lang/>
              </w:rPr>
              <w:br/>
              <w:t>2710 12 41 35</w:t>
            </w:r>
            <w:r w:rsidRPr="008B264B">
              <w:rPr>
                <w:rFonts w:ascii="Times New Roman" w:eastAsia="Times New Roman" w:hAnsi="Times New Roman" w:cs="Times New Roman"/>
                <w:sz w:val="24"/>
                <w:szCs w:val="24"/>
                <w:lang/>
              </w:rPr>
              <w:br/>
              <w:t>2710 12 41 39</w:t>
            </w:r>
            <w:r w:rsidRPr="008B264B">
              <w:rPr>
                <w:rFonts w:ascii="Times New Roman" w:eastAsia="Times New Roman" w:hAnsi="Times New Roman" w:cs="Times New Roman"/>
                <w:sz w:val="24"/>
                <w:szCs w:val="24"/>
                <w:lang/>
              </w:rPr>
              <w:br/>
              <w:t>2710 12 41 94</w:t>
            </w:r>
            <w:r w:rsidRPr="008B264B">
              <w:rPr>
                <w:rFonts w:ascii="Times New Roman" w:eastAsia="Times New Roman" w:hAnsi="Times New Roman" w:cs="Times New Roman"/>
                <w:sz w:val="24"/>
                <w:szCs w:val="24"/>
                <w:lang/>
              </w:rPr>
              <w:br/>
              <w:t>2710 12 41 95</w:t>
            </w:r>
            <w:r w:rsidRPr="008B264B">
              <w:rPr>
                <w:rFonts w:ascii="Times New Roman" w:eastAsia="Times New Roman" w:hAnsi="Times New Roman" w:cs="Times New Roman"/>
                <w:sz w:val="24"/>
                <w:szCs w:val="24"/>
                <w:lang/>
              </w:rPr>
              <w:br/>
              <w:t>2710 12 41 99</w:t>
            </w:r>
            <w:r w:rsidRPr="008B264B">
              <w:rPr>
                <w:rFonts w:ascii="Times New Roman" w:eastAsia="Times New Roman" w:hAnsi="Times New Roman" w:cs="Times New Roman"/>
                <w:sz w:val="24"/>
                <w:szCs w:val="24"/>
                <w:lang/>
              </w:rPr>
              <w:br/>
              <w:t>2710 12 45 12</w:t>
            </w:r>
            <w:r w:rsidRPr="008B264B">
              <w:rPr>
                <w:rFonts w:ascii="Times New Roman" w:eastAsia="Times New Roman" w:hAnsi="Times New Roman" w:cs="Times New Roman"/>
                <w:sz w:val="24"/>
                <w:szCs w:val="24"/>
                <w:lang/>
              </w:rPr>
              <w:br/>
              <w:t>2710 12 45 13</w:t>
            </w:r>
            <w:r w:rsidRPr="008B264B">
              <w:rPr>
                <w:rFonts w:ascii="Times New Roman" w:eastAsia="Times New Roman" w:hAnsi="Times New Roman" w:cs="Times New Roman"/>
                <w:sz w:val="24"/>
                <w:szCs w:val="24"/>
                <w:lang/>
              </w:rPr>
              <w:br/>
              <w:t>2710 12 45 99</w:t>
            </w:r>
            <w:r w:rsidRPr="008B264B">
              <w:rPr>
                <w:rFonts w:ascii="Times New Roman" w:eastAsia="Times New Roman" w:hAnsi="Times New Roman" w:cs="Times New Roman"/>
                <w:sz w:val="24"/>
                <w:szCs w:val="24"/>
                <w:lang/>
              </w:rPr>
              <w:br/>
              <w:t>2710 12 49 12</w:t>
            </w:r>
            <w:r w:rsidRPr="008B264B">
              <w:rPr>
                <w:rFonts w:ascii="Times New Roman" w:eastAsia="Times New Roman" w:hAnsi="Times New Roman" w:cs="Times New Roman"/>
                <w:sz w:val="24"/>
                <w:szCs w:val="24"/>
                <w:lang/>
              </w:rPr>
              <w:br/>
              <w:t>2710 12 49 13</w:t>
            </w:r>
            <w:r w:rsidRPr="008B264B">
              <w:rPr>
                <w:rFonts w:ascii="Times New Roman" w:eastAsia="Times New Roman" w:hAnsi="Times New Roman" w:cs="Times New Roman"/>
                <w:sz w:val="24"/>
                <w:szCs w:val="24"/>
                <w:lang/>
              </w:rPr>
              <w:br/>
              <w:t>2710 12 49 99</w:t>
            </w:r>
          </w:p>
        </w:tc>
        <w:tc>
          <w:tcPr>
            <w:tcW w:w="2000" w:type="pct"/>
            <w:tcBorders>
              <w:top w:val="nil"/>
              <w:left w:val="nil"/>
              <w:bottom w:val="nil"/>
              <w:right w:val="nil"/>
            </w:tcBorders>
            <w:shd w:val="clear" w:color="auto" w:fill="auto"/>
            <w:hideMark/>
          </w:tcPr>
          <w:p w14:paraId="1D0C665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бензини</w:t>
            </w:r>
          </w:p>
        </w:tc>
        <w:tc>
          <w:tcPr>
            <w:tcW w:w="1150" w:type="pct"/>
            <w:tcBorders>
              <w:top w:val="nil"/>
              <w:left w:val="nil"/>
              <w:bottom w:val="nil"/>
              <w:right w:val="nil"/>
            </w:tcBorders>
            <w:shd w:val="clear" w:color="auto" w:fill="auto"/>
            <w:hideMark/>
          </w:tcPr>
          <w:p w14:paraId="7FBFF64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025791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24794471" w14:textId="77777777" w:rsidTr="008B264B">
        <w:trPr>
          <w:trHeight w:val="15"/>
        </w:trPr>
        <w:tc>
          <w:tcPr>
            <w:tcW w:w="1050" w:type="pct"/>
            <w:tcBorders>
              <w:top w:val="nil"/>
              <w:left w:val="nil"/>
              <w:bottom w:val="nil"/>
              <w:right w:val="nil"/>
            </w:tcBorders>
            <w:shd w:val="clear" w:color="auto" w:fill="auto"/>
            <w:hideMark/>
          </w:tcPr>
          <w:p w14:paraId="3330748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2710 20 90 00</w:t>
            </w:r>
          </w:p>
        </w:tc>
        <w:tc>
          <w:tcPr>
            <w:tcW w:w="2000" w:type="pct"/>
            <w:tcBorders>
              <w:top w:val="nil"/>
              <w:left w:val="nil"/>
              <w:bottom w:val="nil"/>
              <w:right w:val="nil"/>
            </w:tcBorders>
            <w:shd w:val="clear" w:color="auto" w:fill="auto"/>
            <w:hideMark/>
          </w:tcPr>
          <w:p w14:paraId="64F34F3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нафтопродукти</w:t>
            </w:r>
          </w:p>
        </w:tc>
        <w:tc>
          <w:tcPr>
            <w:tcW w:w="1150" w:type="pct"/>
            <w:tcBorders>
              <w:top w:val="nil"/>
              <w:left w:val="nil"/>
              <w:bottom w:val="nil"/>
              <w:right w:val="nil"/>
            </w:tcBorders>
            <w:shd w:val="clear" w:color="auto" w:fill="auto"/>
            <w:hideMark/>
          </w:tcPr>
          <w:p w14:paraId="6532A13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626053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23B5BA50" w14:textId="77777777" w:rsidTr="008B264B">
        <w:trPr>
          <w:trHeight w:val="15"/>
        </w:trPr>
        <w:tc>
          <w:tcPr>
            <w:tcW w:w="1050" w:type="pct"/>
            <w:tcBorders>
              <w:top w:val="nil"/>
              <w:left w:val="nil"/>
              <w:bottom w:val="nil"/>
              <w:right w:val="nil"/>
            </w:tcBorders>
            <w:shd w:val="clear" w:color="auto" w:fill="auto"/>
            <w:hideMark/>
          </w:tcPr>
          <w:p w14:paraId="5B43612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2710 12 51 10</w:t>
            </w:r>
            <w:r w:rsidRPr="008B264B">
              <w:rPr>
                <w:rFonts w:ascii="Times New Roman" w:eastAsia="Times New Roman" w:hAnsi="Times New Roman" w:cs="Times New Roman"/>
                <w:sz w:val="24"/>
                <w:szCs w:val="24"/>
                <w:lang/>
              </w:rPr>
              <w:br/>
              <w:t>2710 12 51 20</w:t>
            </w:r>
            <w:r w:rsidRPr="008B264B">
              <w:rPr>
                <w:rFonts w:ascii="Times New Roman" w:eastAsia="Times New Roman" w:hAnsi="Times New Roman" w:cs="Times New Roman"/>
                <w:sz w:val="24"/>
                <w:szCs w:val="24"/>
                <w:lang/>
              </w:rPr>
              <w:br/>
              <w:t>2710 12 51 90</w:t>
            </w:r>
            <w:r w:rsidRPr="008B264B">
              <w:rPr>
                <w:rFonts w:ascii="Times New Roman" w:eastAsia="Times New Roman" w:hAnsi="Times New Roman" w:cs="Times New Roman"/>
                <w:sz w:val="24"/>
                <w:szCs w:val="24"/>
                <w:lang/>
              </w:rPr>
              <w:br/>
              <w:t>2710 12 59 10</w:t>
            </w:r>
            <w:r w:rsidRPr="008B264B">
              <w:rPr>
                <w:rFonts w:ascii="Times New Roman" w:eastAsia="Times New Roman" w:hAnsi="Times New Roman" w:cs="Times New Roman"/>
                <w:sz w:val="24"/>
                <w:szCs w:val="24"/>
                <w:lang/>
              </w:rPr>
              <w:br/>
              <w:t>2710 12 59 20</w:t>
            </w:r>
            <w:r w:rsidRPr="008B264B">
              <w:rPr>
                <w:rFonts w:ascii="Times New Roman" w:eastAsia="Times New Roman" w:hAnsi="Times New Roman" w:cs="Times New Roman"/>
                <w:sz w:val="24"/>
                <w:szCs w:val="24"/>
                <w:lang/>
              </w:rPr>
              <w:br/>
              <w:t>2710 12 59 90</w:t>
            </w:r>
          </w:p>
        </w:tc>
        <w:tc>
          <w:tcPr>
            <w:tcW w:w="2000" w:type="pct"/>
            <w:tcBorders>
              <w:top w:val="nil"/>
              <w:left w:val="nil"/>
              <w:bottom w:val="nil"/>
              <w:right w:val="nil"/>
            </w:tcBorders>
            <w:shd w:val="clear" w:color="auto" w:fill="auto"/>
            <w:hideMark/>
          </w:tcPr>
          <w:p w14:paraId="42F378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із вмістом свинцю більш як 0,013 г/л</w:t>
            </w:r>
          </w:p>
        </w:tc>
        <w:tc>
          <w:tcPr>
            <w:tcW w:w="1150" w:type="pct"/>
            <w:tcBorders>
              <w:top w:val="nil"/>
              <w:left w:val="nil"/>
              <w:bottom w:val="nil"/>
              <w:right w:val="nil"/>
            </w:tcBorders>
            <w:shd w:val="clear" w:color="auto" w:fill="auto"/>
            <w:hideMark/>
          </w:tcPr>
          <w:p w14:paraId="115CE45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33B0E1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4958281A" w14:textId="77777777" w:rsidTr="008B264B">
        <w:trPr>
          <w:trHeight w:val="15"/>
        </w:trPr>
        <w:tc>
          <w:tcPr>
            <w:tcW w:w="1050" w:type="pct"/>
            <w:tcBorders>
              <w:top w:val="nil"/>
              <w:left w:val="nil"/>
              <w:bottom w:val="nil"/>
              <w:right w:val="nil"/>
            </w:tcBorders>
            <w:shd w:val="clear" w:color="auto" w:fill="auto"/>
            <w:hideMark/>
          </w:tcPr>
          <w:p w14:paraId="0DB950B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2710 12 70 00</w:t>
            </w:r>
          </w:p>
        </w:tc>
        <w:tc>
          <w:tcPr>
            <w:tcW w:w="2000" w:type="pct"/>
            <w:tcBorders>
              <w:top w:val="nil"/>
              <w:left w:val="nil"/>
              <w:bottom w:val="nil"/>
              <w:right w:val="nil"/>
            </w:tcBorders>
            <w:shd w:val="clear" w:color="auto" w:fill="auto"/>
            <w:hideMark/>
          </w:tcPr>
          <w:p w14:paraId="1959C15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150" w:type="pct"/>
            <w:tcBorders>
              <w:top w:val="nil"/>
              <w:left w:val="nil"/>
              <w:bottom w:val="nil"/>
              <w:right w:val="nil"/>
            </w:tcBorders>
            <w:shd w:val="clear" w:color="auto" w:fill="auto"/>
            <w:hideMark/>
          </w:tcPr>
          <w:p w14:paraId="235BDA9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15DC8E9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34</w:t>
            </w:r>
          </w:p>
        </w:tc>
      </w:tr>
      <w:tr w:rsidR="008B264B" w:rsidRPr="008B264B" w14:paraId="57CC97DB" w14:textId="77777777" w:rsidTr="008B264B">
        <w:trPr>
          <w:trHeight w:val="15"/>
        </w:trPr>
        <w:tc>
          <w:tcPr>
            <w:tcW w:w="1050" w:type="pct"/>
            <w:tcBorders>
              <w:top w:val="nil"/>
              <w:left w:val="nil"/>
              <w:bottom w:val="nil"/>
              <w:right w:val="nil"/>
            </w:tcBorders>
            <w:shd w:val="clear" w:color="auto" w:fill="auto"/>
            <w:hideMark/>
          </w:tcPr>
          <w:p w14:paraId="56074C1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2710 12 90 00</w:t>
            </w:r>
          </w:p>
        </w:tc>
        <w:tc>
          <w:tcPr>
            <w:tcW w:w="2000" w:type="pct"/>
            <w:tcBorders>
              <w:top w:val="nil"/>
              <w:left w:val="nil"/>
              <w:bottom w:val="nil"/>
              <w:right w:val="nil"/>
            </w:tcBorders>
            <w:shd w:val="clear" w:color="auto" w:fill="auto"/>
            <w:hideMark/>
          </w:tcPr>
          <w:p w14:paraId="70FE84E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легкі дистиляти</w:t>
            </w:r>
          </w:p>
        </w:tc>
        <w:tc>
          <w:tcPr>
            <w:tcW w:w="1150" w:type="pct"/>
            <w:tcBorders>
              <w:top w:val="nil"/>
              <w:left w:val="nil"/>
              <w:bottom w:val="nil"/>
              <w:right w:val="nil"/>
            </w:tcBorders>
            <w:shd w:val="clear" w:color="auto" w:fill="auto"/>
            <w:hideMark/>
          </w:tcPr>
          <w:p w14:paraId="6F3DE33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3441B51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04509CD0" w14:textId="77777777" w:rsidTr="008B264B">
        <w:trPr>
          <w:trHeight w:val="15"/>
        </w:trPr>
        <w:tc>
          <w:tcPr>
            <w:tcW w:w="1050" w:type="pct"/>
            <w:tcBorders>
              <w:top w:val="nil"/>
              <w:left w:val="nil"/>
              <w:bottom w:val="nil"/>
              <w:right w:val="nil"/>
            </w:tcBorders>
            <w:shd w:val="clear" w:color="auto" w:fill="auto"/>
            <w:hideMark/>
          </w:tcPr>
          <w:p w14:paraId="5EEA935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682412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Середні дистиляти:</w:t>
            </w:r>
          </w:p>
        </w:tc>
        <w:tc>
          <w:tcPr>
            <w:tcW w:w="1150" w:type="pct"/>
            <w:tcBorders>
              <w:top w:val="nil"/>
              <w:left w:val="nil"/>
              <w:bottom w:val="nil"/>
              <w:right w:val="nil"/>
            </w:tcBorders>
            <w:shd w:val="clear" w:color="auto" w:fill="auto"/>
            <w:hideMark/>
          </w:tcPr>
          <w:p w14:paraId="4AE0F00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3265BEA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4AD9B2BA" w14:textId="77777777" w:rsidTr="008B264B">
        <w:trPr>
          <w:trHeight w:val="15"/>
        </w:trPr>
        <w:tc>
          <w:tcPr>
            <w:tcW w:w="1050" w:type="pct"/>
            <w:tcBorders>
              <w:top w:val="nil"/>
              <w:left w:val="nil"/>
              <w:bottom w:val="nil"/>
              <w:right w:val="nil"/>
            </w:tcBorders>
            <w:shd w:val="clear" w:color="auto" w:fill="auto"/>
            <w:hideMark/>
          </w:tcPr>
          <w:p w14:paraId="239C804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2710 19 11 10</w:t>
            </w:r>
            <w:r w:rsidRPr="008B264B">
              <w:rPr>
                <w:rFonts w:ascii="Times New Roman" w:eastAsia="Times New Roman" w:hAnsi="Times New Roman" w:cs="Times New Roman"/>
                <w:sz w:val="24"/>
                <w:szCs w:val="24"/>
                <w:lang/>
              </w:rPr>
              <w:br/>
              <w:t>2710 19 11 20</w:t>
            </w:r>
            <w:r w:rsidRPr="008B264B">
              <w:rPr>
                <w:rFonts w:ascii="Times New Roman" w:eastAsia="Times New Roman" w:hAnsi="Times New Roman" w:cs="Times New Roman"/>
                <w:sz w:val="24"/>
                <w:szCs w:val="24"/>
                <w:lang/>
              </w:rPr>
              <w:br/>
              <w:t>2710 19 11 90</w:t>
            </w:r>
          </w:p>
        </w:tc>
        <w:tc>
          <w:tcPr>
            <w:tcW w:w="2000" w:type="pct"/>
            <w:tcBorders>
              <w:top w:val="nil"/>
              <w:left w:val="nil"/>
              <w:bottom w:val="nil"/>
              <w:right w:val="nil"/>
            </w:tcBorders>
            <w:shd w:val="clear" w:color="auto" w:fill="auto"/>
            <w:hideMark/>
          </w:tcPr>
          <w:p w14:paraId="45F0E2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специфічних процесів переробки</w:t>
            </w:r>
          </w:p>
        </w:tc>
        <w:tc>
          <w:tcPr>
            <w:tcW w:w="1150" w:type="pct"/>
            <w:tcBorders>
              <w:top w:val="nil"/>
              <w:left w:val="nil"/>
              <w:bottom w:val="nil"/>
              <w:right w:val="nil"/>
            </w:tcBorders>
            <w:shd w:val="clear" w:color="auto" w:fill="auto"/>
            <w:hideMark/>
          </w:tcPr>
          <w:p w14:paraId="453E897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0B2CA59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5367242C" w14:textId="77777777" w:rsidTr="008B264B">
        <w:trPr>
          <w:trHeight w:val="15"/>
        </w:trPr>
        <w:tc>
          <w:tcPr>
            <w:tcW w:w="1050" w:type="pct"/>
            <w:tcBorders>
              <w:top w:val="nil"/>
              <w:left w:val="nil"/>
              <w:bottom w:val="nil"/>
              <w:right w:val="nil"/>
            </w:tcBorders>
            <w:shd w:val="clear" w:color="auto" w:fill="auto"/>
            <w:hideMark/>
          </w:tcPr>
          <w:p w14:paraId="1CAA62B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2710 19 15 10</w:t>
            </w:r>
            <w:r w:rsidRPr="008B264B">
              <w:rPr>
                <w:rFonts w:ascii="Times New Roman" w:eastAsia="Times New Roman" w:hAnsi="Times New Roman" w:cs="Times New Roman"/>
                <w:sz w:val="24"/>
                <w:szCs w:val="24"/>
                <w:lang/>
              </w:rPr>
              <w:br/>
              <w:t>2710 19 15 20</w:t>
            </w:r>
            <w:r w:rsidRPr="008B264B">
              <w:rPr>
                <w:rFonts w:ascii="Times New Roman" w:eastAsia="Times New Roman" w:hAnsi="Times New Roman" w:cs="Times New Roman"/>
                <w:sz w:val="24"/>
                <w:szCs w:val="24"/>
                <w:lang/>
              </w:rPr>
              <w:br/>
              <w:t>2710 19 15 90</w:t>
            </w:r>
          </w:p>
        </w:tc>
        <w:tc>
          <w:tcPr>
            <w:tcW w:w="2000" w:type="pct"/>
            <w:tcBorders>
              <w:top w:val="nil"/>
              <w:left w:val="nil"/>
              <w:bottom w:val="nil"/>
              <w:right w:val="nil"/>
            </w:tcBorders>
            <w:shd w:val="clear" w:color="auto" w:fill="auto"/>
            <w:hideMark/>
          </w:tcPr>
          <w:p w14:paraId="4F9AA5F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для хімічних перетворень у процесах, не зазначених у товарній категорії 2710 19 11</w:t>
            </w:r>
          </w:p>
        </w:tc>
        <w:tc>
          <w:tcPr>
            <w:tcW w:w="1150" w:type="pct"/>
            <w:tcBorders>
              <w:top w:val="nil"/>
              <w:left w:val="nil"/>
              <w:bottom w:val="nil"/>
              <w:right w:val="nil"/>
            </w:tcBorders>
            <w:shd w:val="clear" w:color="auto" w:fill="auto"/>
            <w:hideMark/>
          </w:tcPr>
          <w:p w14:paraId="7ADE664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410762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13464993" w14:textId="77777777" w:rsidTr="008B264B">
        <w:trPr>
          <w:trHeight w:val="15"/>
        </w:trPr>
        <w:tc>
          <w:tcPr>
            <w:tcW w:w="1050" w:type="pct"/>
            <w:tcBorders>
              <w:top w:val="nil"/>
              <w:left w:val="nil"/>
              <w:bottom w:val="nil"/>
              <w:right w:val="nil"/>
            </w:tcBorders>
            <w:shd w:val="clear" w:color="auto" w:fill="auto"/>
            <w:hideMark/>
          </w:tcPr>
          <w:p w14:paraId="36E39E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5554B60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Гас:</w:t>
            </w:r>
          </w:p>
        </w:tc>
        <w:tc>
          <w:tcPr>
            <w:tcW w:w="1150" w:type="pct"/>
            <w:tcBorders>
              <w:top w:val="nil"/>
              <w:left w:val="nil"/>
              <w:bottom w:val="nil"/>
              <w:right w:val="nil"/>
            </w:tcBorders>
            <w:shd w:val="clear" w:color="auto" w:fill="auto"/>
            <w:hideMark/>
          </w:tcPr>
          <w:p w14:paraId="2DD6F7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2AF1A4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189D881E" w14:textId="77777777" w:rsidTr="008B264B">
        <w:trPr>
          <w:trHeight w:val="15"/>
        </w:trPr>
        <w:tc>
          <w:tcPr>
            <w:tcW w:w="1050" w:type="pct"/>
            <w:tcBorders>
              <w:top w:val="nil"/>
              <w:left w:val="nil"/>
              <w:bottom w:val="nil"/>
              <w:right w:val="nil"/>
            </w:tcBorders>
            <w:shd w:val="clear" w:color="auto" w:fill="auto"/>
            <w:hideMark/>
          </w:tcPr>
          <w:p w14:paraId="0A815B0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2710 19 21 00</w:t>
            </w:r>
          </w:p>
        </w:tc>
        <w:tc>
          <w:tcPr>
            <w:tcW w:w="2000" w:type="pct"/>
            <w:tcBorders>
              <w:top w:val="nil"/>
              <w:left w:val="nil"/>
              <w:bottom w:val="nil"/>
              <w:right w:val="nil"/>
            </w:tcBorders>
            <w:shd w:val="clear" w:color="auto" w:fill="auto"/>
            <w:hideMark/>
          </w:tcPr>
          <w:p w14:paraId="1F8CFD9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для реактивних двигунів</w:t>
            </w:r>
          </w:p>
        </w:tc>
        <w:tc>
          <w:tcPr>
            <w:tcW w:w="1150" w:type="pct"/>
            <w:tcBorders>
              <w:top w:val="nil"/>
              <w:left w:val="nil"/>
              <w:bottom w:val="nil"/>
              <w:right w:val="nil"/>
            </w:tcBorders>
            <w:shd w:val="clear" w:color="auto" w:fill="auto"/>
            <w:hideMark/>
          </w:tcPr>
          <w:p w14:paraId="7EE98DF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60F7AC6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26</w:t>
            </w:r>
          </w:p>
        </w:tc>
      </w:tr>
      <w:tr w:rsidR="008B264B" w:rsidRPr="008B264B" w14:paraId="01753158" w14:textId="77777777" w:rsidTr="008B264B">
        <w:trPr>
          <w:trHeight w:val="15"/>
        </w:trPr>
        <w:tc>
          <w:tcPr>
            <w:tcW w:w="1050" w:type="pct"/>
            <w:tcBorders>
              <w:top w:val="nil"/>
              <w:left w:val="nil"/>
              <w:bottom w:val="nil"/>
              <w:right w:val="nil"/>
            </w:tcBorders>
            <w:shd w:val="clear" w:color="auto" w:fill="auto"/>
            <w:hideMark/>
          </w:tcPr>
          <w:p w14:paraId="6E7BB02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2710 19 25 00</w:t>
            </w:r>
          </w:p>
        </w:tc>
        <w:tc>
          <w:tcPr>
            <w:tcW w:w="2000" w:type="pct"/>
            <w:tcBorders>
              <w:top w:val="nil"/>
              <w:left w:val="nil"/>
              <w:bottom w:val="nil"/>
              <w:right w:val="nil"/>
            </w:tcBorders>
            <w:shd w:val="clear" w:color="auto" w:fill="auto"/>
            <w:hideMark/>
          </w:tcPr>
          <w:p w14:paraId="1A22A0E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інший гас</w:t>
            </w:r>
          </w:p>
        </w:tc>
        <w:tc>
          <w:tcPr>
            <w:tcW w:w="1150" w:type="pct"/>
            <w:tcBorders>
              <w:top w:val="nil"/>
              <w:left w:val="nil"/>
              <w:bottom w:val="nil"/>
              <w:right w:val="nil"/>
            </w:tcBorders>
            <w:shd w:val="clear" w:color="auto" w:fill="auto"/>
            <w:hideMark/>
          </w:tcPr>
          <w:p w14:paraId="3D84008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0C144A5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7B634F12" w14:textId="77777777" w:rsidTr="008B264B">
        <w:trPr>
          <w:trHeight w:val="15"/>
        </w:trPr>
        <w:tc>
          <w:tcPr>
            <w:tcW w:w="1050" w:type="pct"/>
            <w:tcBorders>
              <w:top w:val="nil"/>
              <w:left w:val="nil"/>
              <w:bottom w:val="nil"/>
              <w:right w:val="nil"/>
            </w:tcBorders>
            <w:shd w:val="clear" w:color="auto" w:fill="auto"/>
            <w:hideMark/>
          </w:tcPr>
          <w:p w14:paraId="07F2BD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2710 19 29 00</w:t>
            </w:r>
          </w:p>
        </w:tc>
        <w:tc>
          <w:tcPr>
            <w:tcW w:w="2000" w:type="pct"/>
            <w:tcBorders>
              <w:top w:val="nil"/>
              <w:left w:val="nil"/>
              <w:bottom w:val="nil"/>
              <w:right w:val="nil"/>
            </w:tcBorders>
            <w:shd w:val="clear" w:color="auto" w:fill="auto"/>
            <w:hideMark/>
          </w:tcPr>
          <w:p w14:paraId="066A5FF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середні дистиляти</w:t>
            </w:r>
          </w:p>
        </w:tc>
        <w:tc>
          <w:tcPr>
            <w:tcW w:w="1150" w:type="pct"/>
            <w:tcBorders>
              <w:top w:val="nil"/>
              <w:left w:val="nil"/>
              <w:bottom w:val="nil"/>
              <w:right w:val="nil"/>
            </w:tcBorders>
            <w:shd w:val="clear" w:color="auto" w:fill="auto"/>
            <w:hideMark/>
          </w:tcPr>
          <w:p w14:paraId="39EF56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2DCF0E4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70DDC6CA" w14:textId="77777777" w:rsidTr="008B264B">
        <w:trPr>
          <w:trHeight w:val="15"/>
        </w:trPr>
        <w:tc>
          <w:tcPr>
            <w:tcW w:w="1050" w:type="pct"/>
            <w:tcBorders>
              <w:top w:val="nil"/>
              <w:left w:val="nil"/>
              <w:bottom w:val="nil"/>
              <w:right w:val="nil"/>
            </w:tcBorders>
            <w:shd w:val="clear" w:color="auto" w:fill="auto"/>
            <w:hideMark/>
          </w:tcPr>
          <w:p w14:paraId="2BDD55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2710 19 31 01</w:t>
            </w:r>
            <w:r w:rsidRPr="008B264B">
              <w:rPr>
                <w:rFonts w:ascii="Times New Roman" w:eastAsia="Times New Roman" w:hAnsi="Times New Roman" w:cs="Times New Roman"/>
                <w:sz w:val="24"/>
                <w:szCs w:val="24"/>
                <w:lang/>
              </w:rPr>
              <w:br/>
              <w:t>2710 19 31 10</w:t>
            </w:r>
            <w:r w:rsidRPr="008B264B">
              <w:rPr>
                <w:rFonts w:ascii="Times New Roman" w:eastAsia="Times New Roman" w:hAnsi="Times New Roman" w:cs="Times New Roman"/>
                <w:sz w:val="24"/>
                <w:szCs w:val="24"/>
                <w:lang/>
              </w:rPr>
              <w:br/>
              <w:t>2710 19 35 01</w:t>
            </w:r>
            <w:r w:rsidRPr="008B264B">
              <w:rPr>
                <w:rFonts w:ascii="Times New Roman" w:eastAsia="Times New Roman" w:hAnsi="Times New Roman" w:cs="Times New Roman"/>
                <w:sz w:val="24"/>
                <w:szCs w:val="24"/>
                <w:lang/>
              </w:rPr>
              <w:br/>
              <w:t>2710 19 35 10</w:t>
            </w:r>
            <w:r w:rsidRPr="008B264B">
              <w:rPr>
                <w:rFonts w:ascii="Times New Roman" w:eastAsia="Times New Roman" w:hAnsi="Times New Roman" w:cs="Times New Roman"/>
                <w:sz w:val="24"/>
                <w:szCs w:val="24"/>
                <w:lang/>
              </w:rPr>
              <w:br/>
              <w:t>2710 19 43 00</w:t>
            </w:r>
            <w:r w:rsidRPr="008B264B">
              <w:rPr>
                <w:rFonts w:ascii="Times New Roman" w:eastAsia="Times New Roman" w:hAnsi="Times New Roman" w:cs="Times New Roman"/>
                <w:sz w:val="24"/>
                <w:szCs w:val="24"/>
                <w:lang/>
              </w:rPr>
              <w:br/>
              <w:t>2710 19 46 00</w:t>
            </w:r>
            <w:r w:rsidRPr="008B264B">
              <w:rPr>
                <w:rFonts w:ascii="Times New Roman" w:eastAsia="Times New Roman" w:hAnsi="Times New Roman" w:cs="Times New Roman"/>
                <w:sz w:val="24"/>
                <w:szCs w:val="24"/>
                <w:lang/>
              </w:rPr>
              <w:br/>
              <w:t>2710 19 47 10</w:t>
            </w:r>
            <w:r w:rsidRPr="008B264B">
              <w:rPr>
                <w:rFonts w:ascii="Times New Roman" w:eastAsia="Times New Roman" w:hAnsi="Times New Roman" w:cs="Times New Roman"/>
                <w:sz w:val="24"/>
                <w:szCs w:val="24"/>
                <w:lang/>
              </w:rPr>
              <w:br/>
              <w:t>2710 20 11 00</w:t>
            </w:r>
            <w:r w:rsidRPr="008B264B">
              <w:rPr>
                <w:rFonts w:ascii="Times New Roman" w:eastAsia="Times New Roman" w:hAnsi="Times New Roman" w:cs="Times New Roman"/>
                <w:sz w:val="24"/>
                <w:szCs w:val="24"/>
                <w:lang/>
              </w:rPr>
              <w:br/>
              <w:t>2710 20 15 00</w:t>
            </w:r>
          </w:p>
        </w:tc>
        <w:tc>
          <w:tcPr>
            <w:tcW w:w="2000" w:type="pct"/>
            <w:tcBorders>
              <w:top w:val="nil"/>
              <w:left w:val="nil"/>
              <w:bottom w:val="nil"/>
              <w:right w:val="nil"/>
            </w:tcBorders>
            <w:shd w:val="clear" w:color="auto" w:fill="auto"/>
            <w:hideMark/>
          </w:tcPr>
          <w:p w14:paraId="6533972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Важкі дистиляти (газойлі):</w:t>
            </w:r>
          </w:p>
        </w:tc>
        <w:tc>
          <w:tcPr>
            <w:tcW w:w="1150" w:type="pct"/>
            <w:tcBorders>
              <w:top w:val="nil"/>
              <w:left w:val="nil"/>
              <w:bottom w:val="nil"/>
              <w:right w:val="nil"/>
            </w:tcBorders>
            <w:shd w:val="clear" w:color="auto" w:fill="auto"/>
            <w:hideMark/>
          </w:tcPr>
          <w:p w14:paraId="073BE41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1FAAA7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w:t>
            </w:r>
          </w:p>
        </w:tc>
      </w:tr>
      <w:tr w:rsidR="008B264B" w:rsidRPr="008B264B" w14:paraId="72F57367" w14:textId="77777777" w:rsidTr="008B264B">
        <w:trPr>
          <w:trHeight w:val="15"/>
        </w:trPr>
        <w:tc>
          <w:tcPr>
            <w:tcW w:w="1050" w:type="pct"/>
            <w:tcBorders>
              <w:top w:val="nil"/>
              <w:left w:val="nil"/>
              <w:bottom w:val="nil"/>
              <w:right w:val="nil"/>
            </w:tcBorders>
            <w:shd w:val="clear" w:color="auto" w:fill="auto"/>
            <w:hideMark/>
          </w:tcPr>
          <w:p w14:paraId="07201D1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2710 19 31 20</w:t>
            </w:r>
            <w:r w:rsidRPr="008B264B">
              <w:rPr>
                <w:rFonts w:ascii="Times New Roman" w:eastAsia="Times New Roman" w:hAnsi="Times New Roman" w:cs="Times New Roman"/>
                <w:sz w:val="24"/>
                <w:szCs w:val="24"/>
                <w:lang/>
              </w:rPr>
              <w:br/>
              <w:t>2710 19 31 30</w:t>
            </w:r>
            <w:r w:rsidRPr="008B264B">
              <w:rPr>
                <w:rFonts w:ascii="Times New Roman" w:eastAsia="Times New Roman" w:hAnsi="Times New Roman" w:cs="Times New Roman"/>
                <w:sz w:val="24"/>
                <w:szCs w:val="24"/>
                <w:lang/>
              </w:rPr>
              <w:br/>
              <w:t>2710 19 31 40</w:t>
            </w:r>
            <w:r w:rsidRPr="008B264B">
              <w:rPr>
                <w:rFonts w:ascii="Times New Roman" w:eastAsia="Times New Roman" w:hAnsi="Times New Roman" w:cs="Times New Roman"/>
                <w:sz w:val="24"/>
                <w:szCs w:val="24"/>
                <w:lang/>
              </w:rPr>
              <w:br/>
              <w:t>2710 19 35 20</w:t>
            </w:r>
            <w:r w:rsidRPr="008B264B">
              <w:rPr>
                <w:rFonts w:ascii="Times New Roman" w:eastAsia="Times New Roman" w:hAnsi="Times New Roman" w:cs="Times New Roman"/>
                <w:sz w:val="24"/>
                <w:szCs w:val="24"/>
                <w:lang/>
              </w:rPr>
              <w:br/>
              <w:t>2710 19 35 30</w:t>
            </w:r>
            <w:r w:rsidRPr="008B264B">
              <w:rPr>
                <w:rFonts w:ascii="Times New Roman" w:eastAsia="Times New Roman" w:hAnsi="Times New Roman" w:cs="Times New Roman"/>
                <w:sz w:val="24"/>
                <w:szCs w:val="24"/>
                <w:lang/>
              </w:rPr>
              <w:br/>
              <w:t>2710 19 35 40</w:t>
            </w:r>
            <w:r w:rsidRPr="008B264B">
              <w:rPr>
                <w:rFonts w:ascii="Times New Roman" w:eastAsia="Times New Roman" w:hAnsi="Times New Roman" w:cs="Times New Roman"/>
                <w:sz w:val="24"/>
                <w:szCs w:val="24"/>
                <w:lang/>
              </w:rPr>
              <w:br/>
              <w:t>2710 19 47 90</w:t>
            </w:r>
            <w:r w:rsidRPr="008B264B">
              <w:rPr>
                <w:rFonts w:ascii="Times New Roman" w:eastAsia="Times New Roman" w:hAnsi="Times New Roman" w:cs="Times New Roman"/>
                <w:sz w:val="24"/>
                <w:szCs w:val="24"/>
                <w:lang/>
              </w:rPr>
              <w:br/>
              <w:t>2710 19 48 00</w:t>
            </w:r>
            <w:r w:rsidRPr="008B264B">
              <w:rPr>
                <w:rFonts w:ascii="Times New Roman" w:eastAsia="Times New Roman" w:hAnsi="Times New Roman" w:cs="Times New Roman"/>
                <w:sz w:val="24"/>
                <w:szCs w:val="24"/>
                <w:lang/>
              </w:rPr>
              <w:br/>
              <w:t>2710 20 17 00</w:t>
            </w:r>
            <w:r w:rsidRPr="008B264B">
              <w:rPr>
                <w:rFonts w:ascii="Times New Roman" w:eastAsia="Times New Roman" w:hAnsi="Times New Roman" w:cs="Times New Roman"/>
                <w:sz w:val="24"/>
                <w:szCs w:val="24"/>
                <w:lang/>
              </w:rPr>
              <w:br/>
              <w:t>2710 20 19 00</w:t>
            </w:r>
          </w:p>
        </w:tc>
        <w:tc>
          <w:tcPr>
            <w:tcW w:w="2000" w:type="pct"/>
            <w:tcBorders>
              <w:top w:val="nil"/>
              <w:left w:val="nil"/>
              <w:bottom w:val="nil"/>
              <w:right w:val="nil"/>
            </w:tcBorders>
            <w:shd w:val="clear" w:color="auto" w:fill="auto"/>
            <w:hideMark/>
          </w:tcPr>
          <w:p w14:paraId="76097A0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Важкі дистиляти (газойлі):</w:t>
            </w:r>
          </w:p>
        </w:tc>
        <w:tc>
          <w:tcPr>
            <w:tcW w:w="1150" w:type="pct"/>
            <w:tcBorders>
              <w:top w:val="nil"/>
              <w:left w:val="nil"/>
              <w:bottom w:val="nil"/>
              <w:right w:val="nil"/>
            </w:tcBorders>
            <w:shd w:val="clear" w:color="auto" w:fill="auto"/>
            <w:hideMark/>
          </w:tcPr>
          <w:p w14:paraId="649B945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3F95DAB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149</w:t>
            </w:r>
          </w:p>
        </w:tc>
      </w:tr>
      <w:tr w:rsidR="008B264B" w:rsidRPr="008B264B" w14:paraId="21A9AC9B" w14:textId="77777777" w:rsidTr="008B264B">
        <w:trPr>
          <w:trHeight w:val="15"/>
        </w:trPr>
        <w:tc>
          <w:tcPr>
            <w:tcW w:w="1050" w:type="pct"/>
            <w:tcBorders>
              <w:top w:val="nil"/>
              <w:left w:val="nil"/>
              <w:bottom w:val="nil"/>
              <w:right w:val="nil"/>
            </w:tcBorders>
            <w:shd w:val="clear" w:color="auto" w:fill="auto"/>
            <w:hideMark/>
          </w:tcPr>
          <w:p w14:paraId="4D59221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2710 19 62 00</w:t>
            </w:r>
            <w:r w:rsidRPr="008B264B">
              <w:rPr>
                <w:rFonts w:ascii="Times New Roman" w:eastAsia="Times New Roman" w:hAnsi="Times New Roman" w:cs="Times New Roman"/>
                <w:sz w:val="24"/>
                <w:szCs w:val="24"/>
                <w:lang/>
              </w:rPr>
              <w:br/>
              <w:t>2710 19 64 00</w:t>
            </w:r>
            <w:r w:rsidRPr="008B264B">
              <w:rPr>
                <w:rFonts w:ascii="Times New Roman" w:eastAsia="Times New Roman" w:hAnsi="Times New Roman" w:cs="Times New Roman"/>
                <w:sz w:val="24"/>
                <w:szCs w:val="24"/>
                <w:lang/>
              </w:rPr>
              <w:br/>
              <w:t>2710 19 68 10</w:t>
            </w:r>
            <w:r w:rsidRPr="008B264B">
              <w:rPr>
                <w:rFonts w:ascii="Times New Roman" w:eastAsia="Times New Roman" w:hAnsi="Times New Roman" w:cs="Times New Roman"/>
                <w:sz w:val="24"/>
                <w:szCs w:val="24"/>
                <w:lang/>
              </w:rPr>
              <w:br/>
              <w:t>2710 19 68 20</w:t>
            </w:r>
            <w:r w:rsidRPr="008B264B">
              <w:rPr>
                <w:rFonts w:ascii="Times New Roman" w:eastAsia="Times New Roman" w:hAnsi="Times New Roman" w:cs="Times New Roman"/>
                <w:sz w:val="24"/>
                <w:szCs w:val="24"/>
                <w:lang/>
              </w:rPr>
              <w:br/>
              <w:t>2710 19 68 90</w:t>
            </w:r>
            <w:r w:rsidRPr="008B264B">
              <w:rPr>
                <w:rFonts w:ascii="Times New Roman" w:eastAsia="Times New Roman" w:hAnsi="Times New Roman" w:cs="Times New Roman"/>
                <w:sz w:val="24"/>
                <w:szCs w:val="24"/>
                <w:lang/>
              </w:rPr>
              <w:br/>
              <w:t>2710 20 31 00</w:t>
            </w:r>
            <w:r w:rsidRPr="008B264B">
              <w:rPr>
                <w:rFonts w:ascii="Times New Roman" w:eastAsia="Times New Roman" w:hAnsi="Times New Roman" w:cs="Times New Roman"/>
                <w:sz w:val="24"/>
                <w:szCs w:val="24"/>
                <w:lang/>
              </w:rPr>
              <w:br/>
              <w:t>2710 20 35 00</w:t>
            </w:r>
            <w:r w:rsidRPr="008B264B">
              <w:rPr>
                <w:rFonts w:ascii="Times New Roman" w:eastAsia="Times New Roman" w:hAnsi="Times New Roman" w:cs="Times New Roman"/>
                <w:sz w:val="24"/>
                <w:szCs w:val="24"/>
                <w:lang/>
              </w:rPr>
              <w:br/>
              <w:t>2710 20 39 00</w:t>
            </w:r>
          </w:p>
        </w:tc>
        <w:tc>
          <w:tcPr>
            <w:tcW w:w="2000" w:type="pct"/>
            <w:tcBorders>
              <w:top w:val="nil"/>
              <w:left w:val="nil"/>
              <w:bottom w:val="nil"/>
              <w:right w:val="nil"/>
            </w:tcBorders>
            <w:shd w:val="clear" w:color="auto" w:fill="auto"/>
            <w:hideMark/>
          </w:tcPr>
          <w:p w14:paraId="6F7DA6F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Тільки паливо пічне побутове</w:t>
            </w:r>
          </w:p>
        </w:tc>
        <w:tc>
          <w:tcPr>
            <w:tcW w:w="1150" w:type="pct"/>
            <w:tcBorders>
              <w:top w:val="nil"/>
              <w:left w:val="nil"/>
              <w:bottom w:val="nil"/>
              <w:right w:val="nil"/>
            </w:tcBorders>
            <w:shd w:val="clear" w:color="auto" w:fill="auto"/>
            <w:hideMark/>
          </w:tcPr>
          <w:p w14:paraId="427A5C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6B3D17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115</w:t>
            </w:r>
          </w:p>
        </w:tc>
      </w:tr>
      <w:tr w:rsidR="008B264B" w:rsidRPr="008B264B" w14:paraId="668F2296" w14:textId="77777777" w:rsidTr="008B264B">
        <w:trPr>
          <w:trHeight w:val="15"/>
        </w:trPr>
        <w:tc>
          <w:tcPr>
            <w:tcW w:w="1050" w:type="pct"/>
            <w:tcBorders>
              <w:top w:val="nil"/>
              <w:left w:val="nil"/>
              <w:bottom w:val="nil"/>
              <w:right w:val="nil"/>
            </w:tcBorders>
            <w:shd w:val="clear" w:color="auto" w:fill="auto"/>
            <w:hideMark/>
          </w:tcPr>
          <w:p w14:paraId="054F855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2710 19 51 00</w:t>
            </w:r>
          </w:p>
        </w:tc>
        <w:tc>
          <w:tcPr>
            <w:tcW w:w="2000" w:type="pct"/>
            <w:tcBorders>
              <w:top w:val="nil"/>
              <w:left w:val="nil"/>
              <w:bottom w:val="nil"/>
              <w:right w:val="nil"/>
            </w:tcBorders>
            <w:shd w:val="clear" w:color="auto" w:fill="auto"/>
            <w:hideMark/>
          </w:tcPr>
          <w:p w14:paraId="56BBE61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рідке (мазут) для специфічних процесів переробки</w:t>
            </w:r>
          </w:p>
        </w:tc>
        <w:tc>
          <w:tcPr>
            <w:tcW w:w="1150" w:type="pct"/>
            <w:tcBorders>
              <w:top w:val="nil"/>
              <w:left w:val="nil"/>
              <w:bottom w:val="nil"/>
              <w:right w:val="nil"/>
            </w:tcBorders>
            <w:shd w:val="clear" w:color="auto" w:fill="auto"/>
            <w:hideMark/>
          </w:tcPr>
          <w:p w14:paraId="017738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55BD9F2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115</w:t>
            </w:r>
          </w:p>
        </w:tc>
      </w:tr>
      <w:tr w:rsidR="008B264B" w:rsidRPr="008B264B" w14:paraId="122DFA3B" w14:textId="77777777" w:rsidTr="008B264B">
        <w:trPr>
          <w:trHeight w:val="15"/>
        </w:trPr>
        <w:tc>
          <w:tcPr>
            <w:tcW w:w="1050" w:type="pct"/>
            <w:tcBorders>
              <w:top w:val="nil"/>
              <w:left w:val="nil"/>
              <w:bottom w:val="nil"/>
              <w:right w:val="nil"/>
            </w:tcBorders>
            <w:shd w:val="clear" w:color="auto" w:fill="auto"/>
            <w:hideMark/>
          </w:tcPr>
          <w:p w14:paraId="1C2EB92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2710 19 55 00</w:t>
            </w:r>
          </w:p>
        </w:tc>
        <w:tc>
          <w:tcPr>
            <w:tcW w:w="2000" w:type="pct"/>
            <w:tcBorders>
              <w:top w:val="nil"/>
              <w:left w:val="nil"/>
              <w:bottom w:val="nil"/>
              <w:right w:val="nil"/>
            </w:tcBorders>
            <w:shd w:val="clear" w:color="auto" w:fill="auto"/>
            <w:hideMark/>
          </w:tcPr>
          <w:p w14:paraId="4780B1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Паливо рідке (мазут) для хімічних перетворень у процесах, крім </w:t>
            </w:r>
            <w:r w:rsidRPr="008B264B">
              <w:rPr>
                <w:rFonts w:ascii="Times New Roman" w:eastAsia="Times New Roman" w:hAnsi="Times New Roman" w:cs="Times New Roman"/>
                <w:sz w:val="24"/>
                <w:szCs w:val="24"/>
                <w:lang/>
              </w:rPr>
              <w:lastRenderedPageBreak/>
              <w:t>зазначених у товарній підкатегорії 2710 19 51 00</w:t>
            </w:r>
          </w:p>
        </w:tc>
        <w:tc>
          <w:tcPr>
            <w:tcW w:w="1150" w:type="pct"/>
            <w:tcBorders>
              <w:top w:val="nil"/>
              <w:left w:val="nil"/>
              <w:bottom w:val="nil"/>
              <w:right w:val="nil"/>
            </w:tcBorders>
            <w:shd w:val="clear" w:color="auto" w:fill="auto"/>
            <w:hideMark/>
          </w:tcPr>
          <w:p w14:paraId="2F36BED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w:t>
            </w:r>
          </w:p>
        </w:tc>
        <w:tc>
          <w:tcPr>
            <w:tcW w:w="750" w:type="pct"/>
            <w:tcBorders>
              <w:top w:val="nil"/>
              <w:left w:val="nil"/>
              <w:bottom w:val="nil"/>
              <w:right w:val="nil"/>
            </w:tcBorders>
            <w:shd w:val="clear" w:color="auto" w:fill="auto"/>
            <w:hideMark/>
          </w:tcPr>
          <w:p w14:paraId="6245287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115</w:t>
            </w:r>
          </w:p>
        </w:tc>
      </w:tr>
      <w:tr w:rsidR="008B264B" w:rsidRPr="008B264B" w14:paraId="7E75F0A3" w14:textId="77777777" w:rsidTr="008B264B">
        <w:trPr>
          <w:trHeight w:val="15"/>
        </w:trPr>
        <w:tc>
          <w:tcPr>
            <w:tcW w:w="1050" w:type="pct"/>
            <w:tcBorders>
              <w:top w:val="nil"/>
              <w:left w:val="nil"/>
              <w:bottom w:val="nil"/>
              <w:right w:val="nil"/>
            </w:tcBorders>
            <w:shd w:val="clear" w:color="auto" w:fill="auto"/>
            <w:hideMark/>
          </w:tcPr>
          <w:p w14:paraId="08E5683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2711 11 00 00</w:t>
            </w:r>
          </w:p>
        </w:tc>
        <w:tc>
          <w:tcPr>
            <w:tcW w:w="2000" w:type="pct"/>
            <w:tcBorders>
              <w:top w:val="nil"/>
              <w:left w:val="nil"/>
              <w:bottom w:val="nil"/>
              <w:right w:val="nil"/>
            </w:tcBorders>
            <w:shd w:val="clear" w:color="auto" w:fill="auto"/>
            <w:hideMark/>
          </w:tcPr>
          <w:p w14:paraId="63DC34C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Скраплений газ природний</w:t>
            </w:r>
          </w:p>
        </w:tc>
        <w:tc>
          <w:tcPr>
            <w:tcW w:w="1150" w:type="pct"/>
            <w:tcBorders>
              <w:top w:val="nil"/>
              <w:left w:val="nil"/>
              <w:bottom w:val="nil"/>
              <w:right w:val="nil"/>
            </w:tcBorders>
            <w:shd w:val="clear" w:color="auto" w:fill="auto"/>
            <w:hideMark/>
          </w:tcPr>
          <w:p w14:paraId="11E1FA4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254C62C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w:t>
            </w:r>
          </w:p>
        </w:tc>
      </w:tr>
      <w:tr w:rsidR="008B264B" w:rsidRPr="008B264B" w14:paraId="6CFBF66F" w14:textId="77777777" w:rsidTr="008B264B">
        <w:trPr>
          <w:trHeight w:val="15"/>
        </w:trPr>
        <w:tc>
          <w:tcPr>
            <w:tcW w:w="1050" w:type="pct"/>
            <w:tcBorders>
              <w:top w:val="nil"/>
              <w:left w:val="nil"/>
              <w:bottom w:val="nil"/>
              <w:right w:val="nil"/>
            </w:tcBorders>
            <w:shd w:val="clear" w:color="auto" w:fill="auto"/>
            <w:hideMark/>
          </w:tcPr>
          <w:p w14:paraId="0D9D8B9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2711 12 11 00</w:t>
            </w:r>
            <w:r w:rsidRPr="008B264B">
              <w:rPr>
                <w:rFonts w:ascii="Times New Roman" w:eastAsia="Times New Roman" w:hAnsi="Times New Roman" w:cs="Times New Roman"/>
                <w:sz w:val="24"/>
                <w:szCs w:val="24"/>
                <w:lang/>
              </w:rPr>
              <w:br/>
              <w:t>2711 12 19 00</w:t>
            </w:r>
            <w:r w:rsidRPr="008B264B">
              <w:rPr>
                <w:rFonts w:ascii="Times New Roman" w:eastAsia="Times New Roman" w:hAnsi="Times New Roman" w:cs="Times New Roman"/>
                <w:sz w:val="24"/>
                <w:szCs w:val="24"/>
                <w:lang/>
              </w:rPr>
              <w:br/>
              <w:t>2711 12 91 00</w:t>
            </w:r>
            <w:r w:rsidRPr="008B264B">
              <w:rPr>
                <w:rFonts w:ascii="Times New Roman" w:eastAsia="Times New Roman" w:hAnsi="Times New Roman" w:cs="Times New Roman"/>
                <w:sz w:val="24"/>
                <w:szCs w:val="24"/>
                <w:lang/>
              </w:rPr>
              <w:br/>
              <w:t>2711 12 93 00</w:t>
            </w:r>
            <w:r w:rsidRPr="008B264B">
              <w:rPr>
                <w:rFonts w:ascii="Times New Roman" w:eastAsia="Times New Roman" w:hAnsi="Times New Roman" w:cs="Times New Roman"/>
                <w:sz w:val="24"/>
                <w:szCs w:val="24"/>
                <w:lang/>
              </w:rPr>
              <w:br/>
              <w:t>2711 12 94 00</w:t>
            </w:r>
            <w:r w:rsidRPr="008B264B">
              <w:rPr>
                <w:rFonts w:ascii="Times New Roman" w:eastAsia="Times New Roman" w:hAnsi="Times New Roman" w:cs="Times New Roman"/>
                <w:sz w:val="24"/>
                <w:szCs w:val="24"/>
                <w:lang/>
              </w:rPr>
              <w:br/>
              <w:t>2711 12 97 00</w:t>
            </w:r>
            <w:r w:rsidRPr="008B264B">
              <w:rPr>
                <w:rFonts w:ascii="Times New Roman" w:eastAsia="Times New Roman" w:hAnsi="Times New Roman" w:cs="Times New Roman"/>
                <w:sz w:val="24"/>
                <w:szCs w:val="24"/>
                <w:lang/>
              </w:rPr>
              <w:br/>
              <w:t>2711 13 10 00</w:t>
            </w:r>
            <w:r w:rsidRPr="008B264B">
              <w:rPr>
                <w:rFonts w:ascii="Times New Roman" w:eastAsia="Times New Roman" w:hAnsi="Times New Roman" w:cs="Times New Roman"/>
                <w:sz w:val="24"/>
                <w:szCs w:val="24"/>
                <w:lang/>
              </w:rPr>
              <w:br/>
              <w:t>2711 13 30 00</w:t>
            </w:r>
            <w:r w:rsidRPr="008B264B">
              <w:rPr>
                <w:rFonts w:ascii="Times New Roman" w:eastAsia="Times New Roman" w:hAnsi="Times New Roman" w:cs="Times New Roman"/>
                <w:sz w:val="24"/>
                <w:szCs w:val="24"/>
                <w:lang/>
              </w:rPr>
              <w:br/>
              <w:t>2711 13 91 00</w:t>
            </w:r>
            <w:r w:rsidRPr="008B264B">
              <w:rPr>
                <w:rFonts w:ascii="Times New Roman" w:eastAsia="Times New Roman" w:hAnsi="Times New Roman" w:cs="Times New Roman"/>
                <w:sz w:val="24"/>
                <w:szCs w:val="24"/>
                <w:lang/>
              </w:rPr>
              <w:br/>
              <w:t>2711 13 97 00</w:t>
            </w:r>
            <w:r w:rsidRPr="008B264B">
              <w:rPr>
                <w:rFonts w:ascii="Times New Roman" w:eastAsia="Times New Roman" w:hAnsi="Times New Roman" w:cs="Times New Roman"/>
                <w:sz w:val="24"/>
                <w:szCs w:val="24"/>
                <w:lang/>
              </w:rPr>
              <w:br/>
              <w:t>2711 14 00 00</w:t>
            </w:r>
            <w:r w:rsidRPr="008B264B">
              <w:rPr>
                <w:rFonts w:ascii="Times New Roman" w:eastAsia="Times New Roman" w:hAnsi="Times New Roman" w:cs="Times New Roman"/>
                <w:sz w:val="24"/>
                <w:szCs w:val="24"/>
                <w:lang/>
              </w:rPr>
              <w:br/>
              <w:t>2711 19 00 00</w:t>
            </w:r>
          </w:p>
        </w:tc>
        <w:tc>
          <w:tcPr>
            <w:tcW w:w="2000" w:type="pct"/>
            <w:tcBorders>
              <w:top w:val="nil"/>
              <w:left w:val="nil"/>
              <w:bottom w:val="nil"/>
              <w:right w:val="nil"/>
            </w:tcBorders>
            <w:shd w:val="clear" w:color="auto" w:fill="auto"/>
            <w:hideMark/>
          </w:tcPr>
          <w:p w14:paraId="7000C26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Скраплений газ (пропан або суміш пропану з бутаном) та інші гази</w:t>
            </w:r>
          </w:p>
        </w:tc>
        <w:tc>
          <w:tcPr>
            <w:tcW w:w="1150" w:type="pct"/>
            <w:tcBorders>
              <w:top w:val="nil"/>
              <w:left w:val="nil"/>
              <w:bottom w:val="nil"/>
              <w:right w:val="nil"/>
            </w:tcBorders>
            <w:shd w:val="clear" w:color="auto" w:fill="auto"/>
            <w:hideMark/>
          </w:tcPr>
          <w:p w14:paraId="682E92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5DC1C05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57</w:t>
            </w:r>
          </w:p>
        </w:tc>
      </w:tr>
      <w:tr w:rsidR="008B264B" w:rsidRPr="008B264B" w14:paraId="55B5D6C6" w14:textId="77777777" w:rsidTr="008B264B">
        <w:trPr>
          <w:trHeight w:val="15"/>
        </w:trPr>
        <w:tc>
          <w:tcPr>
            <w:tcW w:w="1050" w:type="pct"/>
            <w:tcBorders>
              <w:top w:val="nil"/>
              <w:left w:val="nil"/>
              <w:bottom w:val="nil"/>
              <w:right w:val="nil"/>
            </w:tcBorders>
            <w:shd w:val="clear" w:color="auto" w:fill="auto"/>
            <w:hideMark/>
          </w:tcPr>
          <w:p w14:paraId="1929E8B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2707 10 10 00</w:t>
            </w:r>
            <w:r w:rsidRPr="008B264B">
              <w:rPr>
                <w:rFonts w:ascii="Times New Roman" w:eastAsia="Times New Roman" w:hAnsi="Times New Roman" w:cs="Times New Roman"/>
                <w:sz w:val="24"/>
                <w:szCs w:val="24"/>
                <w:lang/>
              </w:rPr>
              <w:br/>
              <w:t>2707 10 90 00</w:t>
            </w:r>
          </w:p>
        </w:tc>
        <w:tc>
          <w:tcPr>
            <w:tcW w:w="2000" w:type="pct"/>
            <w:tcBorders>
              <w:top w:val="nil"/>
              <w:left w:val="nil"/>
              <w:bottom w:val="nil"/>
              <w:right w:val="nil"/>
            </w:tcBorders>
            <w:shd w:val="clear" w:color="auto" w:fill="auto"/>
            <w:hideMark/>
          </w:tcPr>
          <w:p w14:paraId="77D0F5E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Бензол</w:t>
            </w:r>
          </w:p>
        </w:tc>
        <w:tc>
          <w:tcPr>
            <w:tcW w:w="1150" w:type="pct"/>
            <w:tcBorders>
              <w:top w:val="nil"/>
              <w:left w:val="nil"/>
              <w:bottom w:val="nil"/>
              <w:right w:val="nil"/>
            </w:tcBorders>
            <w:shd w:val="clear" w:color="auto" w:fill="auto"/>
            <w:hideMark/>
          </w:tcPr>
          <w:p w14:paraId="2676F8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3D287FA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w:t>
            </w:r>
          </w:p>
        </w:tc>
      </w:tr>
      <w:tr w:rsidR="008B264B" w:rsidRPr="008B264B" w14:paraId="6F52B395" w14:textId="77777777" w:rsidTr="008B264B">
        <w:trPr>
          <w:trHeight w:val="15"/>
        </w:trPr>
        <w:tc>
          <w:tcPr>
            <w:tcW w:w="1050" w:type="pct"/>
            <w:tcBorders>
              <w:top w:val="nil"/>
              <w:left w:val="nil"/>
              <w:bottom w:val="nil"/>
              <w:right w:val="nil"/>
            </w:tcBorders>
            <w:shd w:val="clear" w:color="auto" w:fill="auto"/>
            <w:hideMark/>
          </w:tcPr>
          <w:p w14:paraId="3BFD511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2707 20 10 00</w:t>
            </w:r>
            <w:r w:rsidRPr="008B264B">
              <w:rPr>
                <w:rFonts w:ascii="Times New Roman" w:eastAsia="Times New Roman" w:hAnsi="Times New Roman" w:cs="Times New Roman"/>
                <w:sz w:val="24"/>
                <w:szCs w:val="24"/>
                <w:lang/>
              </w:rPr>
              <w:br/>
              <w:t>2707 20 90 00</w:t>
            </w:r>
          </w:p>
        </w:tc>
        <w:tc>
          <w:tcPr>
            <w:tcW w:w="2000" w:type="pct"/>
            <w:tcBorders>
              <w:top w:val="nil"/>
              <w:left w:val="nil"/>
              <w:bottom w:val="nil"/>
              <w:right w:val="nil"/>
            </w:tcBorders>
            <w:shd w:val="clear" w:color="auto" w:fill="auto"/>
            <w:hideMark/>
          </w:tcPr>
          <w:p w14:paraId="001D573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Толуол</w:t>
            </w:r>
          </w:p>
        </w:tc>
        <w:tc>
          <w:tcPr>
            <w:tcW w:w="1150" w:type="pct"/>
            <w:tcBorders>
              <w:top w:val="nil"/>
              <w:left w:val="nil"/>
              <w:bottom w:val="nil"/>
              <w:right w:val="nil"/>
            </w:tcBorders>
            <w:shd w:val="clear" w:color="auto" w:fill="auto"/>
            <w:hideMark/>
          </w:tcPr>
          <w:p w14:paraId="00A7D4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41803A8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w:t>
            </w:r>
          </w:p>
        </w:tc>
      </w:tr>
      <w:tr w:rsidR="008B264B" w:rsidRPr="008B264B" w14:paraId="7A36A7A9" w14:textId="77777777" w:rsidTr="008B264B">
        <w:trPr>
          <w:trHeight w:val="15"/>
        </w:trPr>
        <w:tc>
          <w:tcPr>
            <w:tcW w:w="1050" w:type="pct"/>
            <w:tcBorders>
              <w:top w:val="nil"/>
              <w:left w:val="nil"/>
              <w:bottom w:val="nil"/>
              <w:right w:val="nil"/>
            </w:tcBorders>
            <w:shd w:val="clear" w:color="auto" w:fill="auto"/>
            <w:hideMark/>
          </w:tcPr>
          <w:p w14:paraId="52C04C6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2707 30 10 00</w:t>
            </w:r>
            <w:r w:rsidRPr="008B264B">
              <w:rPr>
                <w:rFonts w:ascii="Times New Roman" w:eastAsia="Times New Roman" w:hAnsi="Times New Roman" w:cs="Times New Roman"/>
                <w:sz w:val="24"/>
                <w:szCs w:val="24"/>
                <w:lang/>
              </w:rPr>
              <w:br/>
              <w:t>2707 30 90 00</w:t>
            </w:r>
          </w:p>
        </w:tc>
        <w:tc>
          <w:tcPr>
            <w:tcW w:w="2000" w:type="pct"/>
            <w:tcBorders>
              <w:top w:val="nil"/>
              <w:left w:val="nil"/>
              <w:bottom w:val="nil"/>
              <w:right w:val="nil"/>
            </w:tcBorders>
            <w:shd w:val="clear" w:color="auto" w:fill="auto"/>
            <w:hideMark/>
          </w:tcPr>
          <w:p w14:paraId="3640974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Ксилол</w:t>
            </w:r>
          </w:p>
        </w:tc>
        <w:tc>
          <w:tcPr>
            <w:tcW w:w="1150" w:type="pct"/>
            <w:tcBorders>
              <w:top w:val="nil"/>
              <w:left w:val="nil"/>
              <w:bottom w:val="nil"/>
              <w:right w:val="nil"/>
            </w:tcBorders>
            <w:shd w:val="clear" w:color="auto" w:fill="auto"/>
            <w:hideMark/>
          </w:tcPr>
          <w:p w14:paraId="66F8B35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6E0613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w:t>
            </w:r>
          </w:p>
        </w:tc>
      </w:tr>
      <w:tr w:rsidR="008B264B" w:rsidRPr="008B264B" w14:paraId="491CC2DA" w14:textId="77777777" w:rsidTr="008B264B">
        <w:trPr>
          <w:trHeight w:val="15"/>
        </w:trPr>
        <w:tc>
          <w:tcPr>
            <w:tcW w:w="1050" w:type="pct"/>
            <w:tcBorders>
              <w:top w:val="nil"/>
              <w:left w:val="nil"/>
              <w:bottom w:val="nil"/>
              <w:right w:val="nil"/>
            </w:tcBorders>
            <w:shd w:val="clear" w:color="auto" w:fill="auto"/>
            <w:hideMark/>
          </w:tcPr>
          <w:p w14:paraId="1DCAEC5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0CD8A4E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Вуглеводні ациклічні:</w:t>
            </w:r>
          </w:p>
        </w:tc>
        <w:tc>
          <w:tcPr>
            <w:tcW w:w="1150" w:type="pct"/>
            <w:tcBorders>
              <w:top w:val="nil"/>
              <w:left w:val="nil"/>
              <w:bottom w:val="nil"/>
              <w:right w:val="nil"/>
            </w:tcBorders>
            <w:shd w:val="clear" w:color="auto" w:fill="auto"/>
            <w:hideMark/>
          </w:tcPr>
          <w:p w14:paraId="6E3A5A8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4FB0B50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57452BFA" w14:textId="77777777" w:rsidTr="008B264B">
        <w:trPr>
          <w:trHeight w:val="15"/>
        </w:trPr>
        <w:tc>
          <w:tcPr>
            <w:tcW w:w="1050" w:type="pct"/>
            <w:tcBorders>
              <w:top w:val="nil"/>
              <w:left w:val="nil"/>
              <w:bottom w:val="nil"/>
              <w:right w:val="nil"/>
            </w:tcBorders>
            <w:shd w:val="clear" w:color="auto" w:fill="auto"/>
            <w:hideMark/>
          </w:tcPr>
          <w:p w14:paraId="6F6BF6B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2901 10 00 00</w:t>
            </w:r>
          </w:p>
        </w:tc>
        <w:tc>
          <w:tcPr>
            <w:tcW w:w="2000" w:type="pct"/>
            <w:tcBorders>
              <w:top w:val="nil"/>
              <w:left w:val="nil"/>
              <w:bottom w:val="nil"/>
              <w:right w:val="nil"/>
            </w:tcBorders>
            <w:shd w:val="clear" w:color="auto" w:fill="auto"/>
            <w:hideMark/>
          </w:tcPr>
          <w:p w14:paraId="1BE4BC4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насичені</w:t>
            </w:r>
          </w:p>
        </w:tc>
        <w:tc>
          <w:tcPr>
            <w:tcW w:w="1150" w:type="pct"/>
            <w:tcBorders>
              <w:top w:val="nil"/>
              <w:left w:val="nil"/>
              <w:bottom w:val="nil"/>
              <w:right w:val="nil"/>
            </w:tcBorders>
            <w:shd w:val="clear" w:color="auto" w:fill="auto"/>
            <w:hideMark/>
          </w:tcPr>
          <w:p w14:paraId="3118862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14DF582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312C3839" w14:textId="77777777" w:rsidTr="008B264B">
        <w:trPr>
          <w:trHeight w:val="15"/>
        </w:trPr>
        <w:tc>
          <w:tcPr>
            <w:tcW w:w="1050" w:type="pct"/>
            <w:tcBorders>
              <w:top w:val="nil"/>
              <w:left w:val="nil"/>
              <w:bottom w:val="nil"/>
              <w:right w:val="nil"/>
            </w:tcBorders>
            <w:shd w:val="clear" w:color="auto" w:fill="auto"/>
            <w:hideMark/>
          </w:tcPr>
          <w:p w14:paraId="13B4F9E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2905 11 00 00</w:t>
            </w:r>
          </w:p>
        </w:tc>
        <w:tc>
          <w:tcPr>
            <w:tcW w:w="2000" w:type="pct"/>
            <w:tcBorders>
              <w:top w:val="nil"/>
              <w:left w:val="nil"/>
              <w:bottom w:val="nil"/>
              <w:right w:val="nil"/>
            </w:tcBorders>
            <w:shd w:val="clear" w:color="auto" w:fill="auto"/>
            <w:hideMark/>
          </w:tcPr>
          <w:p w14:paraId="20E4C65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Метанол технічний (метиловий спирт)</w:t>
            </w:r>
          </w:p>
        </w:tc>
        <w:tc>
          <w:tcPr>
            <w:tcW w:w="1150" w:type="pct"/>
            <w:tcBorders>
              <w:top w:val="nil"/>
              <w:left w:val="nil"/>
              <w:bottom w:val="nil"/>
              <w:right w:val="nil"/>
            </w:tcBorders>
            <w:shd w:val="clear" w:color="auto" w:fill="auto"/>
            <w:hideMark/>
          </w:tcPr>
          <w:p w14:paraId="039A289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4C13DD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452</w:t>
            </w:r>
          </w:p>
        </w:tc>
      </w:tr>
      <w:tr w:rsidR="008B264B" w:rsidRPr="008B264B" w14:paraId="18671F54" w14:textId="77777777" w:rsidTr="008B264B">
        <w:trPr>
          <w:trHeight w:val="15"/>
        </w:trPr>
        <w:tc>
          <w:tcPr>
            <w:tcW w:w="1050" w:type="pct"/>
            <w:tcBorders>
              <w:top w:val="nil"/>
              <w:left w:val="nil"/>
              <w:bottom w:val="nil"/>
              <w:right w:val="nil"/>
            </w:tcBorders>
            <w:shd w:val="clear" w:color="auto" w:fill="auto"/>
            <w:hideMark/>
          </w:tcPr>
          <w:p w14:paraId="0875BEA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2909 19 10 00</w:t>
            </w:r>
            <w:r w:rsidRPr="008B264B">
              <w:rPr>
                <w:rFonts w:ascii="Times New Roman" w:eastAsia="Times New Roman" w:hAnsi="Times New Roman" w:cs="Times New Roman"/>
                <w:sz w:val="24"/>
                <w:szCs w:val="24"/>
                <w:lang/>
              </w:rPr>
              <w:br/>
              <w:t>2909 19 90 10</w:t>
            </w:r>
            <w:r w:rsidRPr="008B264B">
              <w:rPr>
                <w:rFonts w:ascii="Times New Roman" w:eastAsia="Times New Roman" w:hAnsi="Times New Roman" w:cs="Times New Roman"/>
                <w:sz w:val="24"/>
                <w:szCs w:val="24"/>
                <w:lang/>
              </w:rPr>
              <w:br/>
              <w:t>2909 19 90 20</w:t>
            </w:r>
            <w:r w:rsidRPr="008B264B">
              <w:rPr>
                <w:rFonts w:ascii="Times New Roman" w:eastAsia="Times New Roman" w:hAnsi="Times New Roman" w:cs="Times New Roman"/>
                <w:sz w:val="24"/>
                <w:szCs w:val="24"/>
                <w:lang/>
              </w:rPr>
              <w:br/>
              <w:t>2909 19 90 90</w:t>
            </w:r>
          </w:p>
        </w:tc>
        <w:tc>
          <w:tcPr>
            <w:tcW w:w="2000" w:type="pct"/>
            <w:tcBorders>
              <w:top w:val="nil"/>
              <w:left w:val="nil"/>
              <w:bottom w:val="nil"/>
              <w:right w:val="nil"/>
            </w:tcBorders>
            <w:shd w:val="clear" w:color="auto" w:fill="auto"/>
            <w:hideMark/>
          </w:tcPr>
          <w:p w14:paraId="281F94E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 ефіри прості, ефіроспирти, ефірофеноли, ефіроспиртофеноли, пероксиди спиртів, пероксиди простих ефірів, пероксиди кетонів (визначеного або невизначеного хімічного складу) та їх галогеновані, сульфовані, нітровані або нітрозовані похідні, крім диетилового ефіру (код згідно з </w:t>
            </w:r>
            <w:hyperlink r:id="rId5982" w:anchor="n7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sz w:val="24"/>
                <w:szCs w:val="24"/>
                <w:lang/>
              </w:rPr>
              <w:t> 2909 11 00 00)</w:t>
            </w:r>
          </w:p>
        </w:tc>
        <w:tc>
          <w:tcPr>
            <w:tcW w:w="1150" w:type="pct"/>
            <w:tcBorders>
              <w:top w:val="nil"/>
              <w:left w:val="nil"/>
              <w:bottom w:val="nil"/>
              <w:right w:val="nil"/>
            </w:tcBorders>
            <w:shd w:val="clear" w:color="auto" w:fill="auto"/>
            <w:hideMark/>
          </w:tcPr>
          <w:p w14:paraId="5EA087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4F84100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529CE259" w14:textId="77777777" w:rsidTr="008B264B">
        <w:trPr>
          <w:trHeight w:val="15"/>
        </w:trPr>
        <w:tc>
          <w:tcPr>
            <w:tcW w:w="1050" w:type="pct"/>
            <w:tcBorders>
              <w:top w:val="nil"/>
              <w:left w:val="nil"/>
              <w:bottom w:val="nil"/>
              <w:right w:val="nil"/>
            </w:tcBorders>
            <w:shd w:val="clear" w:color="auto" w:fill="auto"/>
            <w:hideMark/>
          </w:tcPr>
          <w:p w14:paraId="4729A3F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p>
        </w:tc>
        <w:tc>
          <w:tcPr>
            <w:tcW w:w="2000" w:type="pct"/>
            <w:tcBorders>
              <w:top w:val="nil"/>
              <w:left w:val="nil"/>
              <w:bottom w:val="nil"/>
              <w:right w:val="nil"/>
            </w:tcBorders>
            <w:shd w:val="clear" w:color="auto" w:fill="auto"/>
            <w:hideMark/>
          </w:tcPr>
          <w:p w14:paraId="2385363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Антидетонатори, антиоксиданти, інгібітори смолоутворення, загусники, антикорозійні препарати та інші готові присадки, добавки для нафтопродуктів (включаючи бензин) або для інших рідин, які використовують з тією самою метою, що й нафтопродукти:</w:t>
            </w:r>
          </w:p>
        </w:tc>
        <w:tc>
          <w:tcPr>
            <w:tcW w:w="1150" w:type="pct"/>
            <w:tcBorders>
              <w:top w:val="nil"/>
              <w:left w:val="nil"/>
              <w:bottom w:val="nil"/>
              <w:right w:val="nil"/>
            </w:tcBorders>
            <w:shd w:val="clear" w:color="auto" w:fill="auto"/>
            <w:hideMark/>
          </w:tcPr>
          <w:p w14:paraId="487EC2B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c>
          <w:tcPr>
            <w:tcW w:w="750" w:type="pct"/>
            <w:tcBorders>
              <w:top w:val="nil"/>
              <w:left w:val="nil"/>
              <w:bottom w:val="nil"/>
              <w:right w:val="nil"/>
            </w:tcBorders>
            <w:shd w:val="clear" w:color="auto" w:fill="auto"/>
            <w:hideMark/>
          </w:tcPr>
          <w:p w14:paraId="42019AD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p>
        </w:tc>
      </w:tr>
      <w:tr w:rsidR="008B264B" w:rsidRPr="008B264B" w14:paraId="751F32A6" w14:textId="77777777" w:rsidTr="008B264B">
        <w:trPr>
          <w:trHeight w:val="15"/>
        </w:trPr>
        <w:tc>
          <w:tcPr>
            <w:tcW w:w="1050" w:type="pct"/>
            <w:tcBorders>
              <w:top w:val="nil"/>
              <w:left w:val="nil"/>
              <w:bottom w:val="nil"/>
              <w:right w:val="nil"/>
            </w:tcBorders>
            <w:shd w:val="clear" w:color="auto" w:fill="auto"/>
            <w:hideMark/>
          </w:tcPr>
          <w:p w14:paraId="67A4406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3811 11 10 00</w:t>
            </w:r>
            <w:r w:rsidRPr="008B264B">
              <w:rPr>
                <w:rFonts w:ascii="Times New Roman" w:eastAsia="Times New Roman" w:hAnsi="Times New Roman" w:cs="Times New Roman"/>
                <w:sz w:val="24"/>
                <w:szCs w:val="24"/>
                <w:lang/>
              </w:rPr>
              <w:br/>
              <w:t>3811 11 90 00</w:t>
            </w:r>
            <w:r w:rsidRPr="008B264B">
              <w:rPr>
                <w:rFonts w:ascii="Times New Roman" w:eastAsia="Times New Roman" w:hAnsi="Times New Roman" w:cs="Times New Roman"/>
                <w:sz w:val="24"/>
                <w:szCs w:val="24"/>
                <w:lang/>
              </w:rPr>
              <w:br/>
              <w:t>3811 19 00 00</w:t>
            </w:r>
          </w:p>
        </w:tc>
        <w:tc>
          <w:tcPr>
            <w:tcW w:w="2000" w:type="pct"/>
            <w:tcBorders>
              <w:top w:val="nil"/>
              <w:left w:val="nil"/>
              <w:bottom w:val="nil"/>
              <w:right w:val="nil"/>
            </w:tcBorders>
            <w:shd w:val="clear" w:color="auto" w:fill="auto"/>
            <w:hideMark/>
          </w:tcPr>
          <w:p w14:paraId="23489C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антидетонатори:</w:t>
            </w:r>
          </w:p>
        </w:tc>
        <w:tc>
          <w:tcPr>
            <w:tcW w:w="1150" w:type="pct"/>
            <w:tcBorders>
              <w:top w:val="nil"/>
              <w:left w:val="nil"/>
              <w:bottom w:val="nil"/>
              <w:right w:val="nil"/>
            </w:tcBorders>
            <w:shd w:val="clear" w:color="auto" w:fill="auto"/>
            <w:hideMark/>
          </w:tcPr>
          <w:p w14:paraId="33A77F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євро за 1000 кілограмів</w:t>
            </w:r>
          </w:p>
        </w:tc>
        <w:tc>
          <w:tcPr>
            <w:tcW w:w="750" w:type="pct"/>
            <w:tcBorders>
              <w:top w:val="nil"/>
              <w:left w:val="nil"/>
              <w:bottom w:val="nil"/>
              <w:right w:val="nil"/>
            </w:tcBorders>
            <w:shd w:val="clear" w:color="auto" w:fill="auto"/>
            <w:hideMark/>
          </w:tcPr>
          <w:p w14:paraId="3BD854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228</w:t>
            </w:r>
          </w:p>
        </w:tc>
      </w:tr>
      <w:tr w:rsidR="008B264B" w:rsidRPr="008B264B" w14:paraId="3CA6D65B" w14:textId="77777777" w:rsidTr="008B264B">
        <w:trPr>
          <w:trHeight w:val="15"/>
        </w:trPr>
        <w:tc>
          <w:tcPr>
            <w:tcW w:w="1050" w:type="pct"/>
            <w:tcBorders>
              <w:top w:val="nil"/>
              <w:left w:val="nil"/>
              <w:bottom w:val="nil"/>
              <w:right w:val="nil"/>
            </w:tcBorders>
            <w:shd w:val="clear" w:color="auto" w:fill="auto"/>
            <w:hideMark/>
          </w:tcPr>
          <w:p w14:paraId="48E6F5E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3811 90 00 00</w:t>
            </w:r>
          </w:p>
        </w:tc>
        <w:tc>
          <w:tcPr>
            <w:tcW w:w="2000" w:type="pct"/>
            <w:tcBorders>
              <w:top w:val="nil"/>
              <w:left w:val="nil"/>
              <w:bottom w:val="nil"/>
              <w:right w:val="nil"/>
            </w:tcBorders>
            <w:shd w:val="clear" w:color="auto" w:fill="auto"/>
            <w:hideMark/>
          </w:tcPr>
          <w:p w14:paraId="5F74727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інші</w:t>
            </w:r>
          </w:p>
        </w:tc>
        <w:tc>
          <w:tcPr>
            <w:tcW w:w="1150" w:type="pct"/>
            <w:tcBorders>
              <w:top w:val="nil"/>
              <w:left w:val="nil"/>
              <w:bottom w:val="nil"/>
              <w:right w:val="nil"/>
            </w:tcBorders>
            <w:shd w:val="clear" w:color="auto" w:fill="auto"/>
            <w:hideMark/>
          </w:tcPr>
          <w:p w14:paraId="115807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7911D86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283</w:t>
            </w:r>
          </w:p>
        </w:tc>
      </w:tr>
      <w:tr w:rsidR="008B264B" w:rsidRPr="008B264B" w14:paraId="3724FF6A" w14:textId="77777777" w:rsidTr="008B264B">
        <w:trPr>
          <w:trHeight w:val="15"/>
        </w:trPr>
        <w:tc>
          <w:tcPr>
            <w:tcW w:w="1050" w:type="pct"/>
            <w:tcBorders>
              <w:top w:val="nil"/>
              <w:left w:val="nil"/>
              <w:bottom w:val="nil"/>
              <w:right w:val="nil"/>
            </w:tcBorders>
            <w:shd w:val="clear" w:color="auto" w:fill="auto"/>
            <w:hideMark/>
          </w:tcPr>
          <w:p w14:paraId="677A481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3826 00 10 00</w:t>
            </w:r>
            <w:r w:rsidRPr="008B264B">
              <w:rPr>
                <w:rFonts w:ascii="Times New Roman" w:eastAsia="Times New Roman" w:hAnsi="Times New Roman" w:cs="Times New Roman"/>
                <w:sz w:val="24"/>
                <w:szCs w:val="24"/>
                <w:lang/>
              </w:rPr>
              <w:br/>
              <w:t>3826 00 90 00</w:t>
            </w:r>
          </w:p>
        </w:tc>
        <w:tc>
          <w:tcPr>
            <w:tcW w:w="2000" w:type="pct"/>
            <w:tcBorders>
              <w:top w:val="nil"/>
              <w:left w:val="nil"/>
              <w:bottom w:val="nil"/>
              <w:right w:val="nil"/>
            </w:tcBorders>
            <w:shd w:val="clear" w:color="auto" w:fill="auto"/>
            <w:hideMark/>
          </w:tcPr>
          <w:p w14:paraId="592C447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Біодизель та його суміші (що не містять або містять менш як 70 мас. % нафти або нафтопродуктів, одержаних з бітумінозних порід) на основі моноалкільних кладних ефірів жирних кислот</w:t>
            </w:r>
          </w:p>
        </w:tc>
        <w:tc>
          <w:tcPr>
            <w:tcW w:w="1150" w:type="pct"/>
            <w:tcBorders>
              <w:top w:val="nil"/>
              <w:left w:val="nil"/>
              <w:bottom w:val="nil"/>
              <w:right w:val="nil"/>
            </w:tcBorders>
            <w:shd w:val="clear" w:color="auto" w:fill="auto"/>
            <w:hideMark/>
          </w:tcPr>
          <w:p w14:paraId="124B66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719D35C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115</w:t>
            </w:r>
          </w:p>
        </w:tc>
      </w:tr>
      <w:tr w:rsidR="008B264B" w:rsidRPr="008B264B" w14:paraId="5FE51205" w14:textId="77777777" w:rsidTr="008B264B">
        <w:trPr>
          <w:trHeight w:val="15"/>
        </w:trPr>
        <w:tc>
          <w:tcPr>
            <w:tcW w:w="1050" w:type="pct"/>
            <w:tcBorders>
              <w:top w:val="nil"/>
              <w:left w:val="nil"/>
              <w:bottom w:val="nil"/>
              <w:right w:val="nil"/>
            </w:tcBorders>
            <w:shd w:val="clear" w:color="auto" w:fill="auto"/>
            <w:hideMark/>
          </w:tcPr>
          <w:p w14:paraId="2167638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3824 90 97 10</w:t>
            </w:r>
          </w:p>
        </w:tc>
        <w:tc>
          <w:tcPr>
            <w:tcW w:w="2000" w:type="pct"/>
            <w:tcBorders>
              <w:top w:val="nil"/>
              <w:left w:val="nil"/>
              <w:bottom w:val="nil"/>
              <w:right w:val="nil"/>
            </w:tcBorders>
            <w:shd w:val="clear" w:color="auto" w:fill="auto"/>
            <w:hideMark/>
          </w:tcPr>
          <w:p w14:paraId="1662A3C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Паливо моторне альтернативне</w:t>
            </w:r>
          </w:p>
        </w:tc>
        <w:tc>
          <w:tcPr>
            <w:tcW w:w="1150" w:type="pct"/>
            <w:tcBorders>
              <w:top w:val="nil"/>
              <w:left w:val="nil"/>
              <w:bottom w:val="nil"/>
              <w:right w:val="nil"/>
            </w:tcBorders>
            <w:shd w:val="clear" w:color="auto" w:fill="auto"/>
            <w:hideMark/>
          </w:tcPr>
          <w:p w14:paraId="613148A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w:t>
            </w:r>
          </w:p>
        </w:tc>
        <w:tc>
          <w:tcPr>
            <w:tcW w:w="750" w:type="pct"/>
            <w:tcBorders>
              <w:top w:val="nil"/>
              <w:left w:val="nil"/>
              <w:bottom w:val="nil"/>
              <w:right w:val="nil"/>
            </w:tcBorders>
            <w:shd w:val="clear" w:color="auto" w:fill="auto"/>
            <w:hideMark/>
          </w:tcPr>
          <w:p w14:paraId="3ABC2BB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141</w:t>
            </w:r>
          </w:p>
        </w:tc>
      </w:tr>
    </w:tbl>
    <w:p w14:paraId="71F139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69" w:name="n12990"/>
      <w:bookmarkEnd w:id="10569"/>
      <w:r w:rsidRPr="008B264B">
        <w:rPr>
          <w:rFonts w:ascii="Times New Roman" w:eastAsia="Times New Roman" w:hAnsi="Times New Roman" w:cs="Times New Roman"/>
          <w:i/>
          <w:iCs/>
          <w:color w:val="000000"/>
          <w:sz w:val="24"/>
          <w:szCs w:val="24"/>
          <w:lang/>
        </w:rPr>
        <w:t>{Підрозділ 5 розділу XX доповнено пунктом 14 згідно із Законом </w:t>
      </w:r>
      <w:hyperlink r:id="rId5983" w:anchor="n69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4E2AB0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0" w:name="n13279"/>
      <w:bookmarkEnd w:id="10570"/>
      <w:r w:rsidRPr="008B264B">
        <w:rPr>
          <w:rFonts w:ascii="Times New Roman" w:eastAsia="Times New Roman" w:hAnsi="Times New Roman" w:cs="Times New Roman"/>
          <w:i/>
          <w:iCs/>
          <w:color w:val="000000"/>
          <w:sz w:val="24"/>
          <w:szCs w:val="24"/>
          <w:lang/>
        </w:rPr>
        <w:t>{Пункт 15 підрозділу 5 розділу XX виключено на підставі Закону </w:t>
      </w:r>
      <w:hyperlink r:id="rId5984" w:anchor="n28"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56C54A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1" w:name="n13395"/>
      <w:bookmarkEnd w:id="10571"/>
      <w:r w:rsidRPr="008B264B">
        <w:rPr>
          <w:rFonts w:ascii="Times New Roman" w:eastAsia="Times New Roman" w:hAnsi="Times New Roman" w:cs="Times New Roman"/>
          <w:color w:val="000000"/>
          <w:sz w:val="24"/>
          <w:szCs w:val="24"/>
          <w:lang/>
        </w:rPr>
        <w:t>16. Тимчасово, до 31 грудня 2029 року включно, встановити, що місячний обсяг (у кількісному виразі виключно у четвертому кварталі кожного року) продажу марок акцизного податку підприємству - виробнику або імпортеру тютюнових виробів продавцем марок акцизного податку не може перевищувати 115 відсотків середньомісячного обсягу реалізації на митній території України тютюнових виробів цим підприємством - виробником або імпортером за попередні три календарні місяці.</w:t>
      </w:r>
    </w:p>
    <w:p w14:paraId="69C6F7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2" w:name="n13396"/>
      <w:bookmarkEnd w:id="10572"/>
      <w:r w:rsidRPr="008B264B">
        <w:rPr>
          <w:rFonts w:ascii="Times New Roman" w:eastAsia="Times New Roman" w:hAnsi="Times New Roman" w:cs="Times New Roman"/>
          <w:color w:val="000000"/>
          <w:sz w:val="24"/>
          <w:szCs w:val="24"/>
          <w:lang/>
        </w:rPr>
        <w:t>Положення, передбачене абзацом першим цього пункту, поширюється лише на підприємства, які провадять діяльність із виробництва та/або імпорту тютюнових виробів більше 12 місяців та обсяг придбання марок акцизного податку якими протягом поточного місяця перевищує 1 мільйон штук.</w:t>
      </w:r>
    </w:p>
    <w:p w14:paraId="1122DF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3" w:name="n13394"/>
      <w:bookmarkEnd w:id="10573"/>
      <w:r w:rsidRPr="008B264B">
        <w:rPr>
          <w:rFonts w:ascii="Times New Roman" w:eastAsia="Times New Roman" w:hAnsi="Times New Roman" w:cs="Times New Roman"/>
          <w:i/>
          <w:iCs/>
          <w:color w:val="000000"/>
          <w:sz w:val="24"/>
          <w:szCs w:val="24"/>
          <w:lang/>
        </w:rPr>
        <w:t>{Підрозділ 5 розділу XX доповнено пунктом 16 згідно із Законом </w:t>
      </w:r>
      <w:hyperlink r:id="rId5985" w:anchor="n165"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01EAA9E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4" w:name="n15056"/>
      <w:bookmarkEnd w:id="10574"/>
      <w:r w:rsidRPr="008B264B">
        <w:rPr>
          <w:rFonts w:ascii="Times New Roman" w:eastAsia="Times New Roman" w:hAnsi="Times New Roman" w:cs="Times New Roman"/>
          <w:color w:val="000000"/>
          <w:sz w:val="24"/>
          <w:szCs w:val="24"/>
          <w:lang/>
        </w:rPr>
        <w:t>17. Тимчасово, з 1 січня 2019 року до 31 грудня 2024 року (включно), встановити ставки акцизного податку на такі товари:</w:t>
      </w:r>
    </w:p>
    <w:p w14:paraId="228447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5" w:name="n15057"/>
      <w:bookmarkEnd w:id="10575"/>
      <w:r w:rsidRPr="008B264B">
        <w:rPr>
          <w:rFonts w:ascii="Times New Roman" w:eastAsia="Times New Roman" w:hAnsi="Times New Roman" w:cs="Times New Roman"/>
          <w:color w:val="000000"/>
          <w:sz w:val="24"/>
          <w:szCs w:val="24"/>
          <w:lang/>
        </w:rPr>
        <w:t>1) тютюнові вироби, тютюн та промислові замінники тютюну:</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1922"/>
        <w:gridCol w:w="108"/>
        <w:gridCol w:w="1910"/>
        <w:gridCol w:w="141"/>
        <w:gridCol w:w="1125"/>
        <w:gridCol w:w="437"/>
        <w:gridCol w:w="687"/>
        <w:gridCol w:w="812"/>
        <w:gridCol w:w="312"/>
        <w:gridCol w:w="1015"/>
        <w:gridCol w:w="109"/>
        <w:gridCol w:w="1328"/>
      </w:tblGrid>
      <w:tr w:rsidR="008B264B" w:rsidRPr="008B264B" w14:paraId="3A55D76A" w14:textId="77777777" w:rsidTr="008B264B">
        <w:tc>
          <w:tcPr>
            <w:tcW w:w="184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7B2120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76" w:name="n15415"/>
            <w:bookmarkEnd w:id="10576"/>
            <w:r w:rsidRPr="008B264B">
              <w:rPr>
                <w:rFonts w:ascii="Times New Roman" w:eastAsia="Times New Roman" w:hAnsi="Times New Roman" w:cs="Times New Roman"/>
                <w:sz w:val="24"/>
                <w:szCs w:val="24"/>
                <w:lang/>
              </w:rPr>
              <w:t>Код товару (продукції) згідно з </w:t>
            </w:r>
            <w:hyperlink r:id="rId5986"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575" w:type="dxa"/>
            <w:gridSpan w:val="2"/>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156A683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5987"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215" w:type="dxa"/>
            <w:gridSpan w:val="2"/>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2E2CDF5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4470" w:type="dxa"/>
            <w:gridSpan w:val="7"/>
            <w:tcBorders>
              <w:top w:val="single" w:sz="6" w:space="0" w:color="000000"/>
              <w:left w:val="single" w:sz="6" w:space="0" w:color="000000"/>
              <w:bottom w:val="single" w:sz="6" w:space="0" w:color="000000"/>
              <w:right w:val="single" w:sz="6" w:space="0" w:color="000000"/>
            </w:tcBorders>
            <w:shd w:val="clear" w:color="auto" w:fill="auto"/>
            <w:hideMark/>
          </w:tcPr>
          <w:p w14:paraId="0A820DB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7CFB57EE"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0A35C97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gridSpan w:val="2"/>
            <w:vMerge/>
            <w:tcBorders>
              <w:top w:val="single" w:sz="6" w:space="0" w:color="000000"/>
              <w:left w:val="single" w:sz="6" w:space="0" w:color="000000"/>
              <w:bottom w:val="single" w:sz="6" w:space="0" w:color="000000"/>
              <w:right w:val="single" w:sz="6" w:space="0" w:color="000000"/>
            </w:tcBorders>
            <w:shd w:val="clear" w:color="auto" w:fill="auto"/>
            <w:hideMark/>
          </w:tcPr>
          <w:p w14:paraId="4C7F7AE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gridSpan w:val="2"/>
            <w:vMerge/>
            <w:tcBorders>
              <w:top w:val="single" w:sz="6" w:space="0" w:color="000000"/>
              <w:left w:val="single" w:sz="6" w:space="0" w:color="000000"/>
              <w:bottom w:val="single" w:sz="6" w:space="0" w:color="000000"/>
              <w:right w:val="single" w:sz="6" w:space="0" w:color="000000"/>
            </w:tcBorders>
            <w:shd w:val="clear" w:color="auto" w:fill="auto"/>
            <w:hideMark/>
          </w:tcPr>
          <w:p w14:paraId="519BD0FB"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1AD02D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2019 року по 30 червня 2019 року</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5524A1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липня 2019 року по 31 грудня 2019 року</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0F154B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2020 року по 31 грудня 2020 року</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454B83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2021 року по 31 грудня 2021 року</w:t>
            </w:r>
          </w:p>
        </w:tc>
      </w:tr>
      <w:tr w:rsidR="008B264B" w:rsidRPr="008B264B" w14:paraId="66A481E3" w14:textId="77777777" w:rsidTr="008B264B">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5169464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2401</w:t>
            </w:r>
          </w:p>
        </w:tc>
        <w:tc>
          <w:tcPr>
            <w:tcW w:w="15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EB95B7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Тютюнова сировина Тютюнові відходи</w:t>
            </w:r>
          </w:p>
        </w:tc>
        <w:tc>
          <w:tcPr>
            <w:tcW w:w="121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7F6F05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76F537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871,38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4E09F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949,8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8593A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1139,76</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721339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1367,71</w:t>
            </w:r>
          </w:p>
        </w:tc>
      </w:tr>
      <w:tr w:rsidR="008B264B" w:rsidRPr="008B264B" w14:paraId="6371E56F" w14:textId="77777777" w:rsidTr="008B264B">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5017DFB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2402 10 00 00</w:t>
            </w:r>
          </w:p>
        </w:tc>
        <w:tc>
          <w:tcPr>
            <w:tcW w:w="15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EEE722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Сигари, включаючи сигари з відрізаними кінцями, та сигарили (тонкі </w:t>
            </w:r>
            <w:r w:rsidRPr="008B264B">
              <w:rPr>
                <w:rFonts w:ascii="Times New Roman" w:eastAsia="Times New Roman" w:hAnsi="Times New Roman" w:cs="Times New Roman"/>
                <w:sz w:val="24"/>
                <w:szCs w:val="24"/>
                <w:lang/>
              </w:rPr>
              <w:lastRenderedPageBreak/>
              <w:t>сигари), з вмістом тютюну</w:t>
            </w:r>
          </w:p>
        </w:tc>
        <w:tc>
          <w:tcPr>
            <w:tcW w:w="121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C9E39F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гривень за 1 кілограм (нетто)*</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D2316A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871,38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62978B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949,8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008A8C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1139,76</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673E7DE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1367,71</w:t>
            </w:r>
          </w:p>
        </w:tc>
      </w:tr>
      <w:tr w:rsidR="008B264B" w:rsidRPr="008B264B" w14:paraId="4ABF68D3" w14:textId="77777777" w:rsidTr="008B264B">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237BAFD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15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B16714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21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70468EB"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F39B4B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693,58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3D6DD4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756</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4F3858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907,2</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5D56170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1088,64</w:t>
            </w:r>
          </w:p>
        </w:tc>
      </w:tr>
      <w:tr w:rsidR="008B264B" w:rsidRPr="008B264B" w14:paraId="4EC5FFE5" w14:textId="77777777" w:rsidTr="008B264B">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2C25405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15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C2233B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21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7266206"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68B4DA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693,58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92EF8D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756</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A0CABD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907,2</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3329343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1088,64</w:t>
            </w:r>
          </w:p>
        </w:tc>
      </w:tr>
      <w:tr w:rsidR="008B264B" w:rsidRPr="008B264B" w14:paraId="79F80FC1" w14:textId="77777777" w:rsidTr="008B264B">
        <w:tc>
          <w:tcPr>
            <w:tcW w:w="1845" w:type="dxa"/>
            <w:tcBorders>
              <w:top w:val="single" w:sz="6" w:space="0" w:color="000000"/>
              <w:left w:val="single" w:sz="6" w:space="0" w:color="000000"/>
              <w:bottom w:val="single" w:sz="6" w:space="0" w:color="000000"/>
              <w:right w:val="single" w:sz="6" w:space="0" w:color="000000"/>
            </w:tcBorders>
            <w:shd w:val="clear" w:color="auto" w:fill="auto"/>
            <w:hideMark/>
          </w:tcPr>
          <w:p w14:paraId="1CF6D813"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2403</w:t>
            </w:r>
          </w:p>
        </w:tc>
        <w:tc>
          <w:tcPr>
            <w:tcW w:w="15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4CC094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Тютюн та замінники тютюну, інші, промислового виробництва; тютюн "гомогенізований" або "відновлений"; тютюнові екстракти та есенції</w:t>
            </w:r>
          </w:p>
        </w:tc>
        <w:tc>
          <w:tcPr>
            <w:tcW w:w="121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28BA68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27F7C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871,38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FE876A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949,8</w:t>
            </w:r>
          </w:p>
        </w:tc>
        <w:tc>
          <w:tcPr>
            <w:tcW w:w="108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41D97D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1139,76</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5E583BB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1367,71</w:t>
            </w:r>
          </w:p>
        </w:tc>
      </w:tr>
      <w:tr w:rsidR="008B264B" w:rsidRPr="008B264B" w14:paraId="1E04CE33" w14:textId="77777777" w:rsidTr="008B264B">
        <w:tc>
          <w:tcPr>
            <w:tcW w:w="1920" w:type="dxa"/>
            <w:gridSpan w:val="2"/>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3C8160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77" w:name="n15416"/>
            <w:bookmarkEnd w:id="10577"/>
            <w:r w:rsidRPr="008B264B">
              <w:rPr>
                <w:rFonts w:ascii="Times New Roman" w:eastAsia="Times New Roman" w:hAnsi="Times New Roman" w:cs="Times New Roman"/>
                <w:sz w:val="24"/>
                <w:szCs w:val="24"/>
                <w:lang/>
              </w:rPr>
              <w:t>Код товару (продукції) згідно з </w:t>
            </w:r>
            <w:hyperlink r:id="rId5988"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635" w:type="dxa"/>
            <w:gridSpan w:val="2"/>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A5AB6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5989"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500" w:type="dxa"/>
            <w:gridSpan w:val="2"/>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1512DAD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4095" w:type="dxa"/>
            <w:gridSpan w:val="6"/>
            <w:tcBorders>
              <w:top w:val="single" w:sz="6" w:space="0" w:color="000000"/>
              <w:left w:val="single" w:sz="6" w:space="0" w:color="000000"/>
              <w:bottom w:val="single" w:sz="6" w:space="0" w:color="000000"/>
              <w:right w:val="single" w:sz="6" w:space="0" w:color="000000"/>
            </w:tcBorders>
            <w:shd w:val="clear" w:color="auto" w:fill="auto"/>
            <w:hideMark/>
          </w:tcPr>
          <w:p w14:paraId="0F612CE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667BAC49" w14:textId="77777777" w:rsidTr="008B264B">
        <w:tc>
          <w:tcPr>
            <w:tcW w:w="0" w:type="auto"/>
            <w:gridSpan w:val="2"/>
            <w:vMerge/>
            <w:tcBorders>
              <w:top w:val="single" w:sz="6" w:space="0" w:color="000000"/>
              <w:left w:val="single" w:sz="6" w:space="0" w:color="000000"/>
              <w:bottom w:val="single" w:sz="6" w:space="0" w:color="000000"/>
              <w:right w:val="single" w:sz="6" w:space="0" w:color="000000"/>
            </w:tcBorders>
            <w:shd w:val="clear" w:color="auto" w:fill="auto"/>
            <w:hideMark/>
          </w:tcPr>
          <w:p w14:paraId="39672F0E"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gridSpan w:val="2"/>
            <w:vMerge/>
            <w:tcBorders>
              <w:top w:val="single" w:sz="6" w:space="0" w:color="000000"/>
              <w:left w:val="single" w:sz="6" w:space="0" w:color="000000"/>
              <w:bottom w:val="single" w:sz="6" w:space="0" w:color="000000"/>
              <w:right w:val="single" w:sz="6" w:space="0" w:color="000000"/>
            </w:tcBorders>
            <w:shd w:val="clear" w:color="auto" w:fill="auto"/>
            <w:hideMark/>
          </w:tcPr>
          <w:p w14:paraId="4684EC39"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gridSpan w:val="2"/>
            <w:vMerge/>
            <w:tcBorders>
              <w:top w:val="single" w:sz="6" w:space="0" w:color="000000"/>
              <w:left w:val="single" w:sz="6" w:space="0" w:color="000000"/>
              <w:bottom w:val="single" w:sz="6" w:space="0" w:color="000000"/>
              <w:right w:val="single" w:sz="6" w:space="0" w:color="000000"/>
            </w:tcBorders>
            <w:shd w:val="clear" w:color="auto" w:fill="auto"/>
            <w:hideMark/>
          </w:tcPr>
          <w:p w14:paraId="74673320"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6214C7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2022 року по 31 грудня 2022 року</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67F0BD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2023 року по 31 грудня 2023 року</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2F5B05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2024 року по 31 грудня 2024 року</w:t>
            </w:r>
          </w:p>
        </w:tc>
      </w:tr>
      <w:tr w:rsidR="008B264B" w:rsidRPr="008B264B" w14:paraId="2F788B38" w14:textId="77777777" w:rsidTr="008B264B">
        <w:tc>
          <w:tcPr>
            <w:tcW w:w="192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18D57D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2401</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66ECAF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Тютюнова сировина Тютюнові відходи</w:t>
            </w:r>
          </w:p>
        </w:tc>
        <w:tc>
          <w:tcPr>
            <w:tcW w:w="150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36D17A2"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B307AA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1641,26</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DDDC8C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1969,51</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06C8D61"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2363,4</w:t>
            </w:r>
          </w:p>
        </w:tc>
      </w:tr>
      <w:tr w:rsidR="008B264B" w:rsidRPr="008B264B" w14:paraId="3C38425A" w14:textId="77777777" w:rsidTr="008B264B">
        <w:tc>
          <w:tcPr>
            <w:tcW w:w="192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E81BA0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2402 10 00 00</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1CACB2E"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Сигари, включаючи сигари з відрізаними кінцями, та сигарили (тонкі сигари), з вмістом тютюну</w:t>
            </w:r>
          </w:p>
        </w:tc>
        <w:tc>
          <w:tcPr>
            <w:tcW w:w="150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BE16A5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 кілограм (нетто)*</w:t>
            </w: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1BA7D0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1641,26</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A5A559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1969,51</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691A37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2363,4</w:t>
            </w:r>
          </w:p>
        </w:tc>
      </w:tr>
      <w:tr w:rsidR="008B264B" w:rsidRPr="008B264B" w14:paraId="1F1BFE1B" w14:textId="77777777" w:rsidTr="008B264B">
        <w:tc>
          <w:tcPr>
            <w:tcW w:w="192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55564CC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ACCAF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50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9853EE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7CB2C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1306,37</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86BFCF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1567,64</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1D4786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1881,17</w:t>
            </w:r>
          </w:p>
        </w:tc>
      </w:tr>
      <w:tr w:rsidR="008B264B" w:rsidRPr="008B264B" w14:paraId="17501538" w14:textId="77777777" w:rsidTr="008B264B">
        <w:tc>
          <w:tcPr>
            <w:tcW w:w="192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FF020D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A29639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50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0DECFF4"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EDCA8A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1306,37</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23E96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1567,64</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1610A32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1881,17</w:t>
            </w:r>
          </w:p>
        </w:tc>
      </w:tr>
      <w:tr w:rsidR="008B264B" w:rsidRPr="008B264B" w14:paraId="20B41C5A" w14:textId="77777777" w:rsidTr="008B264B">
        <w:tc>
          <w:tcPr>
            <w:tcW w:w="192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64AB71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2403</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B5F04F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 xml:space="preserve">Тютюн та замінники тютюну, інші, промислового виробництва; тютюн </w:t>
            </w:r>
            <w:r w:rsidRPr="008B264B">
              <w:rPr>
                <w:rFonts w:ascii="Times New Roman" w:eastAsia="Times New Roman" w:hAnsi="Times New Roman" w:cs="Times New Roman"/>
                <w:sz w:val="24"/>
                <w:szCs w:val="24"/>
                <w:lang/>
              </w:rPr>
              <w:lastRenderedPageBreak/>
              <w:t>"гомогенізований" або "відновлений"; тютюнові екстракти та есенції</w:t>
            </w:r>
          </w:p>
        </w:tc>
        <w:tc>
          <w:tcPr>
            <w:tcW w:w="150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74D305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lastRenderedPageBreak/>
              <w:t>гривень за 1 кілограм (нетто)*</w:t>
            </w:r>
          </w:p>
        </w:tc>
        <w:tc>
          <w:tcPr>
            <w:tcW w:w="144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74492E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1641,26</w:t>
            </w:r>
          </w:p>
        </w:tc>
        <w:tc>
          <w:tcPr>
            <w:tcW w:w="127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CC4C0B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1969,51</w:t>
            </w:r>
          </w:p>
        </w:tc>
        <w:tc>
          <w:tcPr>
            <w:tcW w:w="126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321548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2363,40;</w:t>
            </w:r>
          </w:p>
        </w:tc>
      </w:tr>
    </w:tbl>
    <w:p w14:paraId="38B07EB7" w14:textId="77777777" w:rsidR="008B264B" w:rsidRPr="008B264B" w:rsidRDefault="008B264B" w:rsidP="008B264B">
      <w:pPr>
        <w:spacing w:after="150" w:line="240" w:lineRule="auto"/>
        <w:ind w:firstLine="450"/>
        <w:jc w:val="both"/>
        <w:rPr>
          <w:rFonts w:ascii="Times New Roman" w:eastAsia="Times New Roman" w:hAnsi="Times New Roman" w:cs="Times New Roman"/>
          <w:vanish/>
          <w:color w:val="000000"/>
          <w:sz w:val="24"/>
          <w:szCs w:val="24"/>
          <w:lang/>
        </w:rPr>
      </w:pPr>
      <w:bookmarkStart w:id="10578" w:name="n15417"/>
      <w:bookmarkEnd w:id="10578"/>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2311"/>
        <w:gridCol w:w="2537"/>
        <w:gridCol w:w="2990"/>
        <w:gridCol w:w="2068"/>
      </w:tblGrid>
      <w:tr w:rsidR="008B264B" w:rsidRPr="008B264B" w14:paraId="0E60159D" w14:textId="77777777" w:rsidTr="008B264B">
        <w:tc>
          <w:tcPr>
            <w:tcW w:w="2145" w:type="dxa"/>
            <w:tcBorders>
              <w:top w:val="single" w:sz="6" w:space="0" w:color="000000"/>
              <w:left w:val="single" w:sz="6" w:space="0" w:color="000000"/>
              <w:bottom w:val="single" w:sz="6" w:space="0" w:color="000000"/>
              <w:right w:val="single" w:sz="6" w:space="0" w:color="000000"/>
            </w:tcBorders>
            <w:shd w:val="clear" w:color="auto" w:fill="auto"/>
            <w:hideMark/>
          </w:tcPr>
          <w:p w14:paraId="65F9FA0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Код товару (продукції) згідно з </w:t>
            </w:r>
            <w:hyperlink r:id="rId5990"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2355" w:type="dxa"/>
            <w:tcBorders>
              <w:top w:val="single" w:sz="6" w:space="0" w:color="000000"/>
              <w:left w:val="single" w:sz="6" w:space="0" w:color="000000"/>
              <w:bottom w:val="single" w:sz="6" w:space="0" w:color="000000"/>
              <w:right w:val="single" w:sz="6" w:space="0" w:color="000000"/>
            </w:tcBorders>
            <w:shd w:val="clear" w:color="auto" w:fill="auto"/>
            <w:hideMark/>
          </w:tcPr>
          <w:p w14:paraId="41FA170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5991"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2775" w:type="dxa"/>
            <w:tcBorders>
              <w:top w:val="single" w:sz="6" w:space="0" w:color="000000"/>
              <w:left w:val="single" w:sz="6" w:space="0" w:color="000000"/>
              <w:bottom w:val="single" w:sz="6" w:space="0" w:color="000000"/>
              <w:right w:val="single" w:sz="6" w:space="0" w:color="000000"/>
            </w:tcBorders>
            <w:shd w:val="clear" w:color="auto" w:fill="auto"/>
            <w:hideMark/>
          </w:tcPr>
          <w:p w14:paraId="3251D5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1920" w:type="dxa"/>
            <w:tcBorders>
              <w:top w:val="single" w:sz="6" w:space="0" w:color="000000"/>
              <w:left w:val="single" w:sz="6" w:space="0" w:color="000000"/>
              <w:bottom w:val="single" w:sz="6" w:space="0" w:color="000000"/>
              <w:right w:val="single" w:sz="6" w:space="0" w:color="000000"/>
            </w:tcBorders>
            <w:shd w:val="clear" w:color="auto" w:fill="auto"/>
            <w:hideMark/>
          </w:tcPr>
          <w:p w14:paraId="088917B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4A0E24B7" w14:textId="77777777" w:rsidTr="008B264B">
        <w:tc>
          <w:tcPr>
            <w:tcW w:w="2145" w:type="dxa"/>
            <w:tcBorders>
              <w:top w:val="single" w:sz="6" w:space="0" w:color="000000"/>
              <w:left w:val="single" w:sz="6" w:space="0" w:color="000000"/>
              <w:bottom w:val="single" w:sz="6" w:space="0" w:color="000000"/>
              <w:right w:val="single" w:sz="6" w:space="0" w:color="000000"/>
            </w:tcBorders>
            <w:shd w:val="clear" w:color="auto" w:fill="auto"/>
            <w:hideMark/>
          </w:tcPr>
          <w:p w14:paraId="1729CFC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2355" w:type="dxa"/>
            <w:tcBorders>
              <w:top w:val="single" w:sz="6" w:space="0" w:color="000000"/>
              <w:left w:val="single" w:sz="6" w:space="0" w:color="000000"/>
              <w:bottom w:val="single" w:sz="6" w:space="0" w:color="000000"/>
              <w:right w:val="single" w:sz="6" w:space="0" w:color="000000"/>
            </w:tcBorders>
            <w:shd w:val="clear" w:color="auto" w:fill="auto"/>
            <w:hideMark/>
          </w:tcPr>
          <w:p w14:paraId="3A13B69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2775" w:type="dxa"/>
            <w:tcBorders>
              <w:top w:val="single" w:sz="6" w:space="0" w:color="000000"/>
              <w:left w:val="single" w:sz="6" w:space="0" w:color="000000"/>
              <w:bottom w:val="single" w:sz="6" w:space="0" w:color="000000"/>
              <w:right w:val="single" w:sz="6" w:space="0" w:color="000000"/>
            </w:tcBorders>
            <w:shd w:val="clear" w:color="auto" w:fill="auto"/>
            <w:hideMark/>
          </w:tcPr>
          <w:p w14:paraId="214FACE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відсотків</w:t>
            </w:r>
          </w:p>
        </w:tc>
        <w:tc>
          <w:tcPr>
            <w:tcW w:w="1920" w:type="dxa"/>
            <w:tcBorders>
              <w:top w:val="single" w:sz="6" w:space="0" w:color="000000"/>
              <w:left w:val="single" w:sz="6" w:space="0" w:color="000000"/>
              <w:bottom w:val="single" w:sz="6" w:space="0" w:color="000000"/>
              <w:right w:val="single" w:sz="6" w:space="0" w:color="000000"/>
            </w:tcBorders>
            <w:shd w:val="clear" w:color="auto" w:fill="auto"/>
            <w:hideMark/>
          </w:tcPr>
          <w:p w14:paraId="08A8AD5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r>
      <w:tr w:rsidR="008B264B" w:rsidRPr="008B264B" w14:paraId="15F8E501" w14:textId="77777777" w:rsidTr="008B264B">
        <w:tc>
          <w:tcPr>
            <w:tcW w:w="2145" w:type="dxa"/>
            <w:tcBorders>
              <w:top w:val="single" w:sz="6" w:space="0" w:color="000000"/>
              <w:left w:val="single" w:sz="6" w:space="0" w:color="000000"/>
              <w:bottom w:val="single" w:sz="6" w:space="0" w:color="000000"/>
              <w:right w:val="single" w:sz="6" w:space="0" w:color="000000"/>
            </w:tcBorders>
            <w:shd w:val="clear" w:color="auto" w:fill="auto"/>
            <w:hideMark/>
          </w:tcPr>
          <w:p w14:paraId="1BA358F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2355" w:type="dxa"/>
            <w:tcBorders>
              <w:top w:val="single" w:sz="6" w:space="0" w:color="000000"/>
              <w:left w:val="single" w:sz="6" w:space="0" w:color="000000"/>
              <w:bottom w:val="single" w:sz="6" w:space="0" w:color="000000"/>
              <w:right w:val="single" w:sz="6" w:space="0" w:color="000000"/>
            </w:tcBorders>
            <w:shd w:val="clear" w:color="auto" w:fill="auto"/>
            <w:hideMark/>
          </w:tcPr>
          <w:p w14:paraId="64990FC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2775" w:type="dxa"/>
            <w:tcBorders>
              <w:top w:val="single" w:sz="6" w:space="0" w:color="000000"/>
              <w:left w:val="single" w:sz="6" w:space="0" w:color="000000"/>
              <w:bottom w:val="single" w:sz="6" w:space="0" w:color="000000"/>
              <w:right w:val="single" w:sz="6" w:space="0" w:color="000000"/>
            </w:tcBorders>
            <w:shd w:val="clear" w:color="auto" w:fill="auto"/>
            <w:hideMark/>
          </w:tcPr>
          <w:p w14:paraId="5EFF8F3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відсотків</w:t>
            </w:r>
          </w:p>
        </w:tc>
        <w:tc>
          <w:tcPr>
            <w:tcW w:w="1920" w:type="dxa"/>
            <w:tcBorders>
              <w:top w:val="single" w:sz="6" w:space="0" w:color="000000"/>
              <w:left w:val="single" w:sz="6" w:space="0" w:color="000000"/>
              <w:bottom w:val="single" w:sz="6" w:space="0" w:color="000000"/>
              <w:right w:val="single" w:sz="6" w:space="0" w:color="000000"/>
            </w:tcBorders>
            <w:shd w:val="clear" w:color="auto" w:fill="auto"/>
            <w:hideMark/>
          </w:tcPr>
          <w:p w14:paraId="0D266B8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w:t>
            </w:r>
          </w:p>
        </w:tc>
      </w:tr>
    </w:tbl>
    <w:p w14:paraId="087616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79" w:name="n15061"/>
      <w:bookmarkEnd w:id="10579"/>
      <w:r w:rsidRPr="008B264B">
        <w:rPr>
          <w:rFonts w:ascii="Times New Roman" w:eastAsia="Times New Roman" w:hAnsi="Times New Roman" w:cs="Times New Roman"/>
          <w:color w:val="000000"/>
          <w:sz w:val="24"/>
          <w:szCs w:val="24"/>
          <w:lang/>
        </w:rPr>
        <w:t>2) мінімальне акцизне податкове зобов’язання із сплати акцизного податку з тютюнових виробів:</w:t>
      </w:r>
    </w:p>
    <w:tbl>
      <w:tblPr>
        <w:tblW w:w="5000" w:type="pct"/>
        <w:tblBorders>
          <w:top w:val="outset" w:sz="2" w:space="0" w:color="auto"/>
          <w:left w:val="outset" w:sz="2" w:space="0" w:color="auto"/>
          <w:bottom w:val="outset" w:sz="2" w:space="0" w:color="auto"/>
          <w:right w:val="outset" w:sz="2" w:space="0" w:color="auto"/>
        </w:tblBorders>
        <w:tblCellMar>
          <w:top w:w="15" w:type="dxa"/>
          <w:left w:w="15" w:type="dxa"/>
          <w:bottom w:w="15" w:type="dxa"/>
          <w:right w:w="15" w:type="dxa"/>
        </w:tblCellMar>
        <w:tblLook w:val="04A0" w:firstRow="1" w:lastRow="0" w:firstColumn="1" w:lastColumn="0" w:noHBand="0" w:noVBand="1"/>
      </w:tblPr>
      <w:tblGrid>
        <w:gridCol w:w="1908"/>
        <w:gridCol w:w="1603"/>
        <w:gridCol w:w="1298"/>
        <w:gridCol w:w="1218"/>
        <w:gridCol w:w="240"/>
        <w:gridCol w:w="1010"/>
        <w:gridCol w:w="737"/>
        <w:gridCol w:w="465"/>
        <w:gridCol w:w="1427"/>
      </w:tblGrid>
      <w:tr w:rsidR="008B264B" w:rsidRPr="008B264B" w14:paraId="3E72EA5C" w14:textId="77777777" w:rsidTr="008B264B">
        <w:tc>
          <w:tcPr>
            <w:tcW w:w="178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354DF77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80" w:name="n15418"/>
            <w:bookmarkEnd w:id="10580"/>
            <w:r w:rsidRPr="008B264B">
              <w:rPr>
                <w:rFonts w:ascii="Times New Roman" w:eastAsia="Times New Roman" w:hAnsi="Times New Roman" w:cs="Times New Roman"/>
                <w:sz w:val="24"/>
                <w:szCs w:val="24"/>
                <w:lang/>
              </w:rPr>
              <w:t>Код товару (продукції) згідно з </w:t>
            </w:r>
            <w:hyperlink r:id="rId5992"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50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0B1BBB8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5993"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14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41F599A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4695" w:type="dxa"/>
            <w:gridSpan w:val="6"/>
            <w:tcBorders>
              <w:top w:val="single" w:sz="6" w:space="0" w:color="000000"/>
              <w:left w:val="single" w:sz="6" w:space="0" w:color="000000"/>
              <w:bottom w:val="single" w:sz="6" w:space="0" w:color="000000"/>
              <w:right w:val="single" w:sz="6" w:space="0" w:color="000000"/>
            </w:tcBorders>
            <w:shd w:val="clear" w:color="auto" w:fill="auto"/>
            <w:hideMark/>
          </w:tcPr>
          <w:p w14:paraId="0613BE29"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29FF65D3"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9959F7D"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C1476F8"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1824EBE7"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140" w:type="dxa"/>
            <w:tcBorders>
              <w:top w:val="single" w:sz="6" w:space="0" w:color="000000"/>
              <w:left w:val="single" w:sz="6" w:space="0" w:color="000000"/>
              <w:bottom w:val="single" w:sz="6" w:space="0" w:color="000000"/>
              <w:right w:val="single" w:sz="6" w:space="0" w:color="000000"/>
            </w:tcBorders>
            <w:shd w:val="clear" w:color="auto" w:fill="auto"/>
            <w:hideMark/>
          </w:tcPr>
          <w:p w14:paraId="5B7AAE4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2019 року по 30 червня 2019 року</w:t>
            </w:r>
          </w:p>
        </w:tc>
        <w:tc>
          <w:tcPr>
            <w:tcW w:w="117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C7D67F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липня 2019 року по 31 грудня 2019 року</w:t>
            </w:r>
          </w:p>
        </w:tc>
        <w:tc>
          <w:tcPr>
            <w:tcW w:w="112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20B083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2020 року по 31 грудня 2020 року</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3C47CFE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2021 року по 31 грудня 2021 року</w:t>
            </w:r>
          </w:p>
        </w:tc>
      </w:tr>
      <w:tr w:rsidR="008B264B" w:rsidRPr="008B264B" w14:paraId="5D81026E" w14:textId="77777777" w:rsidTr="008B264B">
        <w:tc>
          <w:tcPr>
            <w:tcW w:w="1785" w:type="dxa"/>
            <w:tcBorders>
              <w:top w:val="single" w:sz="6" w:space="0" w:color="000000"/>
              <w:left w:val="single" w:sz="6" w:space="0" w:color="000000"/>
              <w:bottom w:val="single" w:sz="6" w:space="0" w:color="000000"/>
              <w:right w:val="single" w:sz="6" w:space="0" w:color="000000"/>
            </w:tcBorders>
            <w:shd w:val="clear" w:color="auto" w:fill="auto"/>
            <w:hideMark/>
          </w:tcPr>
          <w:p w14:paraId="45F21D2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1500" w:type="dxa"/>
            <w:tcBorders>
              <w:top w:val="single" w:sz="6" w:space="0" w:color="000000"/>
              <w:left w:val="single" w:sz="6" w:space="0" w:color="000000"/>
              <w:bottom w:val="single" w:sz="6" w:space="0" w:color="000000"/>
              <w:right w:val="single" w:sz="6" w:space="0" w:color="000000"/>
            </w:tcBorders>
            <w:shd w:val="clear" w:color="auto" w:fill="auto"/>
            <w:hideMark/>
          </w:tcPr>
          <w:p w14:paraId="74544DC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140" w:type="dxa"/>
            <w:tcBorders>
              <w:top w:val="single" w:sz="6" w:space="0" w:color="000000"/>
              <w:left w:val="single" w:sz="6" w:space="0" w:color="000000"/>
              <w:bottom w:val="single" w:sz="6" w:space="0" w:color="000000"/>
              <w:right w:val="single" w:sz="6" w:space="0" w:color="000000"/>
            </w:tcBorders>
            <w:shd w:val="clear" w:color="auto" w:fill="auto"/>
            <w:hideMark/>
          </w:tcPr>
          <w:p w14:paraId="6138E6D8"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140" w:type="dxa"/>
            <w:tcBorders>
              <w:top w:val="single" w:sz="6" w:space="0" w:color="000000"/>
              <w:left w:val="single" w:sz="6" w:space="0" w:color="000000"/>
              <w:bottom w:val="single" w:sz="6" w:space="0" w:color="000000"/>
              <w:right w:val="single" w:sz="6" w:space="0" w:color="000000"/>
            </w:tcBorders>
            <w:shd w:val="clear" w:color="auto" w:fill="auto"/>
            <w:hideMark/>
          </w:tcPr>
          <w:p w14:paraId="5EFCC99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927,84</w:t>
            </w:r>
          </w:p>
        </w:tc>
        <w:tc>
          <w:tcPr>
            <w:tcW w:w="117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2CF10A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1011,35</w:t>
            </w:r>
          </w:p>
        </w:tc>
        <w:tc>
          <w:tcPr>
            <w:tcW w:w="112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CBFC716"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1213,61</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64459C1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1456,33</w:t>
            </w:r>
          </w:p>
        </w:tc>
      </w:tr>
      <w:tr w:rsidR="008B264B" w:rsidRPr="008B264B" w14:paraId="1753C2FF" w14:textId="77777777" w:rsidTr="008B264B">
        <w:tc>
          <w:tcPr>
            <w:tcW w:w="1785" w:type="dxa"/>
            <w:tcBorders>
              <w:top w:val="single" w:sz="6" w:space="0" w:color="000000"/>
              <w:left w:val="single" w:sz="6" w:space="0" w:color="000000"/>
              <w:bottom w:val="single" w:sz="6" w:space="0" w:color="000000"/>
              <w:right w:val="single" w:sz="6" w:space="0" w:color="000000"/>
            </w:tcBorders>
            <w:shd w:val="clear" w:color="auto" w:fill="auto"/>
            <w:hideMark/>
          </w:tcPr>
          <w:p w14:paraId="39471007"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1500" w:type="dxa"/>
            <w:tcBorders>
              <w:top w:val="single" w:sz="6" w:space="0" w:color="000000"/>
              <w:left w:val="single" w:sz="6" w:space="0" w:color="000000"/>
              <w:bottom w:val="single" w:sz="6" w:space="0" w:color="000000"/>
              <w:right w:val="single" w:sz="6" w:space="0" w:color="000000"/>
            </w:tcBorders>
            <w:shd w:val="clear" w:color="auto" w:fill="auto"/>
            <w:hideMark/>
          </w:tcPr>
          <w:p w14:paraId="763E9CC1"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140" w:type="dxa"/>
            <w:tcBorders>
              <w:top w:val="single" w:sz="6" w:space="0" w:color="000000"/>
              <w:left w:val="single" w:sz="6" w:space="0" w:color="000000"/>
              <w:bottom w:val="single" w:sz="6" w:space="0" w:color="000000"/>
              <w:right w:val="single" w:sz="6" w:space="0" w:color="000000"/>
            </w:tcBorders>
            <w:shd w:val="clear" w:color="auto" w:fill="auto"/>
            <w:hideMark/>
          </w:tcPr>
          <w:p w14:paraId="5B108B80"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140" w:type="dxa"/>
            <w:tcBorders>
              <w:top w:val="single" w:sz="6" w:space="0" w:color="000000"/>
              <w:left w:val="single" w:sz="6" w:space="0" w:color="000000"/>
              <w:bottom w:val="single" w:sz="6" w:space="0" w:color="000000"/>
              <w:right w:val="single" w:sz="6" w:space="0" w:color="000000"/>
            </w:tcBorders>
            <w:shd w:val="clear" w:color="auto" w:fill="auto"/>
            <w:hideMark/>
          </w:tcPr>
          <w:p w14:paraId="24C4A33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927,84</w:t>
            </w:r>
          </w:p>
        </w:tc>
        <w:tc>
          <w:tcPr>
            <w:tcW w:w="117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6B6362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1011,35</w:t>
            </w:r>
          </w:p>
        </w:tc>
        <w:tc>
          <w:tcPr>
            <w:tcW w:w="112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748EA83"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1213,61</w:t>
            </w:r>
          </w:p>
        </w:tc>
        <w:tc>
          <w:tcPr>
            <w:tcW w:w="1080" w:type="dxa"/>
            <w:tcBorders>
              <w:top w:val="single" w:sz="6" w:space="0" w:color="000000"/>
              <w:left w:val="single" w:sz="6" w:space="0" w:color="000000"/>
              <w:bottom w:val="single" w:sz="6" w:space="0" w:color="000000"/>
              <w:right w:val="single" w:sz="6" w:space="0" w:color="000000"/>
            </w:tcBorders>
            <w:shd w:val="clear" w:color="auto" w:fill="auto"/>
            <w:hideMark/>
          </w:tcPr>
          <w:p w14:paraId="035963BC"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1456,33</w:t>
            </w:r>
          </w:p>
        </w:tc>
      </w:tr>
      <w:tr w:rsidR="008B264B" w:rsidRPr="008B264B" w14:paraId="1ED23303" w14:textId="77777777" w:rsidTr="008B264B">
        <w:tc>
          <w:tcPr>
            <w:tcW w:w="178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036C5DBF"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bookmarkStart w:id="10581" w:name="n15419"/>
            <w:bookmarkEnd w:id="10581"/>
            <w:r w:rsidRPr="008B264B">
              <w:rPr>
                <w:rFonts w:ascii="Times New Roman" w:eastAsia="Times New Roman" w:hAnsi="Times New Roman" w:cs="Times New Roman"/>
                <w:sz w:val="24"/>
                <w:szCs w:val="24"/>
                <w:lang/>
              </w:rPr>
              <w:t>Код товару (продукції) згідно з </w:t>
            </w:r>
            <w:hyperlink r:id="rId5994"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500"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6F552932"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Опис товару (продукції) згідно з </w:t>
            </w:r>
            <w:hyperlink r:id="rId5995" w:anchor="n579" w:tgtFrame="_blank" w:history="1">
              <w:r w:rsidRPr="008B264B">
                <w:rPr>
                  <w:rFonts w:ascii="Times New Roman" w:eastAsia="Times New Roman" w:hAnsi="Times New Roman" w:cs="Times New Roman"/>
                  <w:color w:val="0000FF"/>
                  <w:sz w:val="24"/>
                  <w:szCs w:val="24"/>
                  <w:u w:val="single"/>
                  <w:lang/>
                </w:rPr>
                <w:t>УКТ ЗЕД</w:t>
              </w:r>
            </w:hyperlink>
          </w:p>
        </w:tc>
        <w:tc>
          <w:tcPr>
            <w:tcW w:w="1215" w:type="dxa"/>
            <w:vMerge w:val="restart"/>
            <w:tcBorders>
              <w:top w:val="single" w:sz="6" w:space="0" w:color="000000"/>
              <w:left w:val="single" w:sz="6" w:space="0" w:color="000000"/>
              <w:bottom w:val="single" w:sz="6" w:space="0" w:color="000000"/>
              <w:right w:val="single" w:sz="6" w:space="0" w:color="000000"/>
            </w:tcBorders>
            <w:shd w:val="clear" w:color="auto" w:fill="auto"/>
            <w:hideMark/>
          </w:tcPr>
          <w:p w14:paraId="311A67F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Одиниця виміру</w:t>
            </w:r>
          </w:p>
        </w:tc>
        <w:tc>
          <w:tcPr>
            <w:tcW w:w="4770" w:type="dxa"/>
            <w:gridSpan w:val="6"/>
            <w:tcBorders>
              <w:top w:val="single" w:sz="6" w:space="0" w:color="000000"/>
              <w:left w:val="single" w:sz="6" w:space="0" w:color="000000"/>
              <w:bottom w:val="single" w:sz="6" w:space="0" w:color="000000"/>
              <w:right w:val="single" w:sz="6" w:space="0" w:color="000000"/>
            </w:tcBorders>
            <w:shd w:val="clear" w:color="auto" w:fill="auto"/>
            <w:hideMark/>
          </w:tcPr>
          <w:p w14:paraId="5D1236EE"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Ставки податку</w:t>
            </w:r>
          </w:p>
        </w:tc>
      </w:tr>
      <w:tr w:rsidR="008B264B" w:rsidRPr="008B264B" w14:paraId="1086519A" w14:textId="77777777" w:rsidTr="008B264B">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00FBB8CF"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3ED91F3"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hideMark/>
          </w:tcPr>
          <w:p w14:paraId="5C04EC52" w14:textId="77777777" w:rsidR="008B264B" w:rsidRPr="008B264B" w:rsidRDefault="008B264B" w:rsidP="008B264B">
            <w:pPr>
              <w:spacing w:after="0" w:line="240" w:lineRule="auto"/>
              <w:rPr>
                <w:rFonts w:ascii="Times New Roman" w:eastAsia="Times New Roman" w:hAnsi="Times New Roman" w:cs="Times New Roman"/>
                <w:sz w:val="24"/>
                <w:szCs w:val="24"/>
                <w:lang/>
              </w:rPr>
            </w:pPr>
          </w:p>
        </w:tc>
        <w:tc>
          <w:tcPr>
            <w:tcW w:w="136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3EAF150"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2022 року по 31 грудня 2022 року</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273856A4"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2023 року по 31 грудня 2023 року</w:t>
            </w:r>
          </w:p>
        </w:tc>
        <w:tc>
          <w:tcPr>
            <w:tcW w:w="165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7609D7B"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з 1 січня 2024 року по 31 грудня 2024 року</w:t>
            </w:r>
          </w:p>
        </w:tc>
      </w:tr>
      <w:tr w:rsidR="008B264B" w:rsidRPr="008B264B" w14:paraId="2C2CE453" w14:textId="77777777" w:rsidTr="008B264B">
        <w:tc>
          <w:tcPr>
            <w:tcW w:w="1785" w:type="dxa"/>
            <w:tcBorders>
              <w:top w:val="single" w:sz="6" w:space="0" w:color="000000"/>
              <w:left w:val="single" w:sz="6" w:space="0" w:color="000000"/>
              <w:bottom w:val="single" w:sz="6" w:space="0" w:color="000000"/>
              <w:right w:val="single" w:sz="6" w:space="0" w:color="000000"/>
            </w:tcBorders>
            <w:shd w:val="clear" w:color="auto" w:fill="auto"/>
            <w:hideMark/>
          </w:tcPr>
          <w:p w14:paraId="0BF5333A"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2402 20 90 10</w:t>
            </w:r>
          </w:p>
        </w:tc>
        <w:tc>
          <w:tcPr>
            <w:tcW w:w="1500" w:type="dxa"/>
            <w:tcBorders>
              <w:top w:val="single" w:sz="6" w:space="0" w:color="000000"/>
              <w:left w:val="single" w:sz="6" w:space="0" w:color="000000"/>
              <w:bottom w:val="single" w:sz="6" w:space="0" w:color="000000"/>
              <w:right w:val="single" w:sz="6" w:space="0" w:color="000000"/>
            </w:tcBorders>
            <w:shd w:val="clear" w:color="auto" w:fill="auto"/>
            <w:hideMark/>
          </w:tcPr>
          <w:p w14:paraId="58BAE6F9"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без фільтра, цигарки</w:t>
            </w:r>
          </w:p>
        </w:tc>
        <w:tc>
          <w:tcPr>
            <w:tcW w:w="1215" w:type="dxa"/>
            <w:tcBorders>
              <w:top w:val="single" w:sz="6" w:space="0" w:color="000000"/>
              <w:left w:val="single" w:sz="6" w:space="0" w:color="000000"/>
              <w:bottom w:val="single" w:sz="6" w:space="0" w:color="000000"/>
              <w:right w:val="single" w:sz="6" w:space="0" w:color="000000"/>
            </w:tcBorders>
            <w:shd w:val="clear" w:color="auto" w:fill="auto"/>
            <w:hideMark/>
          </w:tcPr>
          <w:p w14:paraId="153BD36C"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36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332A9E77"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1747,6</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50E18F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2097,12</w:t>
            </w:r>
          </w:p>
        </w:tc>
        <w:tc>
          <w:tcPr>
            <w:tcW w:w="165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08E09E7D"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2516,54</w:t>
            </w:r>
          </w:p>
        </w:tc>
      </w:tr>
      <w:tr w:rsidR="008B264B" w:rsidRPr="008B264B" w14:paraId="70B34113" w14:textId="77777777" w:rsidTr="008B264B">
        <w:tc>
          <w:tcPr>
            <w:tcW w:w="1785" w:type="dxa"/>
            <w:tcBorders>
              <w:top w:val="single" w:sz="6" w:space="0" w:color="000000"/>
              <w:left w:val="single" w:sz="6" w:space="0" w:color="000000"/>
              <w:bottom w:val="single" w:sz="6" w:space="0" w:color="000000"/>
              <w:right w:val="single" w:sz="6" w:space="0" w:color="000000"/>
            </w:tcBorders>
            <w:shd w:val="clear" w:color="auto" w:fill="auto"/>
            <w:hideMark/>
          </w:tcPr>
          <w:p w14:paraId="513FFF7F"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2402 20 90 20</w:t>
            </w:r>
          </w:p>
        </w:tc>
        <w:tc>
          <w:tcPr>
            <w:tcW w:w="1500" w:type="dxa"/>
            <w:tcBorders>
              <w:top w:val="single" w:sz="6" w:space="0" w:color="000000"/>
              <w:left w:val="single" w:sz="6" w:space="0" w:color="000000"/>
              <w:bottom w:val="single" w:sz="6" w:space="0" w:color="000000"/>
              <w:right w:val="single" w:sz="6" w:space="0" w:color="000000"/>
            </w:tcBorders>
            <w:shd w:val="clear" w:color="auto" w:fill="auto"/>
            <w:hideMark/>
          </w:tcPr>
          <w:p w14:paraId="1F397F95"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Сигарети з фільтром</w:t>
            </w:r>
          </w:p>
        </w:tc>
        <w:tc>
          <w:tcPr>
            <w:tcW w:w="1215" w:type="dxa"/>
            <w:tcBorders>
              <w:top w:val="single" w:sz="6" w:space="0" w:color="000000"/>
              <w:left w:val="single" w:sz="6" w:space="0" w:color="000000"/>
              <w:bottom w:val="single" w:sz="6" w:space="0" w:color="000000"/>
              <w:right w:val="single" w:sz="6" w:space="0" w:color="000000"/>
            </w:tcBorders>
            <w:shd w:val="clear" w:color="auto" w:fill="auto"/>
            <w:hideMark/>
          </w:tcPr>
          <w:p w14:paraId="7BE045CD" w14:textId="77777777" w:rsidR="008B264B" w:rsidRPr="008B264B" w:rsidRDefault="008B264B" w:rsidP="008B264B">
            <w:pPr>
              <w:spacing w:before="150" w:after="150" w:line="240" w:lineRule="auto"/>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гривень за 1000 штук</w:t>
            </w:r>
          </w:p>
        </w:tc>
        <w:tc>
          <w:tcPr>
            <w:tcW w:w="136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65E2BF08"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1747,6</w:t>
            </w:r>
          </w:p>
        </w:tc>
        <w:tc>
          <w:tcPr>
            <w:tcW w:w="1635"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46C795F5"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2097,12</w:t>
            </w:r>
          </w:p>
        </w:tc>
        <w:tc>
          <w:tcPr>
            <w:tcW w:w="1650" w:type="dxa"/>
            <w:gridSpan w:val="2"/>
            <w:tcBorders>
              <w:top w:val="single" w:sz="6" w:space="0" w:color="000000"/>
              <w:left w:val="single" w:sz="6" w:space="0" w:color="000000"/>
              <w:bottom w:val="single" w:sz="6" w:space="0" w:color="000000"/>
              <w:right w:val="single" w:sz="6" w:space="0" w:color="000000"/>
            </w:tcBorders>
            <w:shd w:val="clear" w:color="auto" w:fill="auto"/>
            <w:hideMark/>
          </w:tcPr>
          <w:p w14:paraId="71D0C21A" w14:textId="77777777" w:rsidR="008B264B" w:rsidRPr="008B264B" w:rsidRDefault="008B264B" w:rsidP="008B264B">
            <w:pPr>
              <w:spacing w:before="15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sz w:val="24"/>
                <w:szCs w:val="24"/>
                <w:lang/>
              </w:rPr>
              <w:t>2516,54</w:t>
            </w:r>
          </w:p>
        </w:tc>
      </w:tr>
    </w:tbl>
    <w:p w14:paraId="27D469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2" w:name="n15070"/>
      <w:bookmarkEnd w:id="10582"/>
      <w:r w:rsidRPr="008B264B">
        <w:rPr>
          <w:rFonts w:ascii="Times New Roman" w:eastAsia="Times New Roman" w:hAnsi="Times New Roman" w:cs="Times New Roman"/>
          <w:i/>
          <w:iCs/>
          <w:color w:val="000000"/>
          <w:sz w:val="24"/>
          <w:szCs w:val="24"/>
          <w:lang/>
        </w:rPr>
        <w:t>{Підрозділ 5 розділу XX доповнено пунктом 17 згідно із Законом </w:t>
      </w:r>
      <w:hyperlink r:id="rId5996" w:anchor="n53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в редакції Закону </w:t>
      </w:r>
      <w:hyperlink r:id="rId5997" w:anchor="n69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AEC50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3" w:name="n15064"/>
      <w:bookmarkEnd w:id="10583"/>
      <w:r w:rsidRPr="008B264B">
        <w:rPr>
          <w:rFonts w:ascii="Times New Roman" w:eastAsia="Times New Roman" w:hAnsi="Times New Roman" w:cs="Times New Roman"/>
          <w:color w:val="000000"/>
          <w:sz w:val="24"/>
          <w:szCs w:val="24"/>
          <w:lang/>
        </w:rPr>
        <w:t>18. Норми </w:t>
      </w:r>
      <w:hyperlink r:id="rId5998" w:anchor="n12283" w:history="1">
        <w:r w:rsidRPr="008B264B">
          <w:rPr>
            <w:rFonts w:ascii="Times New Roman" w:eastAsia="Times New Roman" w:hAnsi="Times New Roman" w:cs="Times New Roman"/>
            <w:color w:val="0000FF"/>
            <w:sz w:val="24"/>
            <w:szCs w:val="24"/>
            <w:u w:val="single"/>
            <w:lang/>
          </w:rPr>
          <w:t>пункту 128</w:t>
        </w:r>
      </w:hyperlink>
      <w:hyperlink r:id="rId5999" w:anchor="n12283"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6000" w:anchor="n12283"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застосовуються:</w:t>
      </w:r>
    </w:p>
    <w:p w14:paraId="76E340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4" w:name="n15065"/>
      <w:bookmarkEnd w:id="10584"/>
      <w:r w:rsidRPr="008B264B">
        <w:rPr>
          <w:rFonts w:ascii="Times New Roman" w:eastAsia="Times New Roman" w:hAnsi="Times New Roman" w:cs="Times New Roman"/>
          <w:color w:val="000000"/>
          <w:sz w:val="24"/>
          <w:szCs w:val="24"/>
          <w:lang/>
        </w:rPr>
        <w:lastRenderedPageBreak/>
        <w:t>з 1 липня 2019 року - до розпорядників акцизних складів, на яких розташовано резервуари, загальна місткість яких перевищує 20 000 куб. метрів (крім розпорядника акцизного складу, який до 1 липня 2019 року не підпадав під визначення платника податку відповідно до </w:t>
      </w:r>
      <w:hyperlink r:id="rId6001"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w:t>
      </w:r>
    </w:p>
    <w:p w14:paraId="073CAA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5" w:name="n15420"/>
      <w:bookmarkEnd w:id="10585"/>
      <w:r w:rsidRPr="008B264B">
        <w:rPr>
          <w:rFonts w:ascii="Times New Roman" w:eastAsia="Times New Roman" w:hAnsi="Times New Roman" w:cs="Times New Roman"/>
          <w:i/>
          <w:iCs/>
          <w:color w:val="000000"/>
          <w:sz w:val="24"/>
          <w:szCs w:val="24"/>
          <w:lang/>
        </w:rPr>
        <w:t>{Абзац другий пункту 18 підрозділу 5 розділу XX із змінами, внесеними згідно із Законами </w:t>
      </w:r>
      <w:hyperlink r:id="rId6002" w:anchor="n70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6003" w:anchor="n19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3D6FEF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6" w:name="n15066"/>
      <w:bookmarkEnd w:id="10586"/>
      <w:r w:rsidRPr="008B264B">
        <w:rPr>
          <w:rFonts w:ascii="Times New Roman" w:eastAsia="Times New Roman" w:hAnsi="Times New Roman" w:cs="Times New Roman"/>
          <w:color w:val="000000"/>
          <w:sz w:val="24"/>
          <w:szCs w:val="24"/>
          <w:lang/>
        </w:rPr>
        <w:t>з 1 жовтня 2019 року - до розпорядника акцизного складу, на акцизному складі якого розташовано резервуари, загальна місткість яких перевищує 1000 куб. метрів, але не перевищує 20 000 куб. метрів (крім розпорядника акцизного складу, який до 1 липня 2019 року не підпадав під визначення платника податку відповідно до </w:t>
      </w:r>
      <w:hyperlink r:id="rId6004"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w:t>
      </w:r>
    </w:p>
    <w:p w14:paraId="0A43FA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7" w:name="n15421"/>
      <w:bookmarkEnd w:id="10587"/>
      <w:r w:rsidRPr="008B264B">
        <w:rPr>
          <w:rFonts w:ascii="Times New Roman" w:eastAsia="Times New Roman" w:hAnsi="Times New Roman" w:cs="Times New Roman"/>
          <w:i/>
          <w:iCs/>
          <w:color w:val="000000"/>
          <w:sz w:val="24"/>
          <w:szCs w:val="24"/>
          <w:lang/>
        </w:rPr>
        <w:t>{Абзац третій пункту 18 підрозділу 5 розділу XX із змінами, внесеними згідно із Законами </w:t>
      </w:r>
      <w:hyperlink r:id="rId6005" w:anchor="n70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w:t>
      </w:r>
      <w:hyperlink r:id="rId6006" w:anchor="n19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CF1145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8" w:name="n15067"/>
      <w:bookmarkEnd w:id="10588"/>
      <w:r w:rsidRPr="008B264B">
        <w:rPr>
          <w:rFonts w:ascii="Times New Roman" w:eastAsia="Times New Roman" w:hAnsi="Times New Roman" w:cs="Times New Roman"/>
          <w:color w:val="000000"/>
          <w:sz w:val="24"/>
          <w:szCs w:val="24"/>
          <w:lang/>
        </w:rPr>
        <w:t>з 1 квітня 2020 року - до розпорядників акцизних складів, на яких розташовано резервуари, загальна місткість яких не перевищує 1000 куб. метрів (крім розпорядника акцизного складу, який до 1 липня 2019 року не підпадав під визначення платника податку відповідно до </w:t>
      </w:r>
      <w:hyperlink r:id="rId6007"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w:t>
      </w:r>
    </w:p>
    <w:p w14:paraId="77A67B9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89" w:name="n16045"/>
      <w:bookmarkEnd w:id="10589"/>
      <w:r w:rsidRPr="008B264B">
        <w:rPr>
          <w:rFonts w:ascii="Times New Roman" w:eastAsia="Times New Roman" w:hAnsi="Times New Roman" w:cs="Times New Roman"/>
          <w:i/>
          <w:iCs/>
          <w:color w:val="000000"/>
          <w:sz w:val="24"/>
          <w:szCs w:val="24"/>
          <w:lang/>
        </w:rPr>
        <w:t>{Абзац четвертий пункту 18 підрозділу 5 розділу XX із змінами, внесеними згідно із Законом </w:t>
      </w:r>
      <w:hyperlink r:id="rId6008" w:anchor="n198"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48E021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0" w:name="n16048"/>
      <w:bookmarkEnd w:id="10590"/>
      <w:r w:rsidRPr="008B264B">
        <w:rPr>
          <w:rFonts w:ascii="Times New Roman" w:eastAsia="Times New Roman" w:hAnsi="Times New Roman" w:cs="Times New Roman"/>
          <w:color w:val="000000"/>
          <w:sz w:val="24"/>
          <w:szCs w:val="24"/>
          <w:lang/>
        </w:rPr>
        <w:t>з 1 липня 2020 року - до розпорядника акцизного складу, який до 1 липня 2019 року не підпадав під визначення платника податку відповідно до </w:t>
      </w:r>
      <w:hyperlink r:id="rId6009"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 (незалежно від загальної місткості резервуарів, розташованих на акцизному складі такого розпорядника), а також до вітчизняних підприємств, на яких здійснюється діяльність з переробки нафти, газового конденсату, природного газу та їх суміші з метою вилучення цільових компонентів (сировини), що передбачає повний технологічний цикл їх переробки в готову продукцію (пальне).</w:t>
      </w:r>
    </w:p>
    <w:p w14:paraId="595EF26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1" w:name="n16046"/>
      <w:bookmarkEnd w:id="10591"/>
      <w:r w:rsidRPr="008B264B">
        <w:rPr>
          <w:rFonts w:ascii="Times New Roman" w:eastAsia="Times New Roman" w:hAnsi="Times New Roman" w:cs="Times New Roman"/>
          <w:i/>
          <w:iCs/>
          <w:color w:val="000000"/>
          <w:sz w:val="24"/>
          <w:szCs w:val="24"/>
          <w:lang/>
        </w:rPr>
        <w:t>{Пункт 18 підрозділу 5 розділу XX доповнено абзацом п'ятим згідно із Законом </w:t>
      </w:r>
      <w:hyperlink r:id="rId6010" w:anchor="n200"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2A8698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2" w:name="n15069"/>
      <w:bookmarkEnd w:id="10592"/>
      <w:r w:rsidRPr="008B264B">
        <w:rPr>
          <w:rFonts w:ascii="Times New Roman" w:eastAsia="Times New Roman" w:hAnsi="Times New Roman" w:cs="Times New Roman"/>
          <w:i/>
          <w:iCs/>
          <w:color w:val="000000"/>
          <w:sz w:val="24"/>
          <w:szCs w:val="24"/>
          <w:lang/>
        </w:rPr>
        <w:t>{Підрозділ 5 розділу XX доповнено пунктом 18 згідно із Законом </w:t>
      </w:r>
      <w:hyperlink r:id="rId6011" w:anchor="n53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8892E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3" w:name="n15068"/>
      <w:bookmarkEnd w:id="10593"/>
      <w:r w:rsidRPr="008B264B">
        <w:rPr>
          <w:rFonts w:ascii="Times New Roman" w:eastAsia="Times New Roman" w:hAnsi="Times New Roman" w:cs="Times New Roman"/>
          <w:color w:val="000000"/>
          <w:sz w:val="24"/>
          <w:szCs w:val="24"/>
          <w:lang/>
        </w:rPr>
        <w:t>19. Тимчасово, до 31 грудня 2018 року, звільняються від оподаткування акцизним податком операції з ввезення на митну територію України та реалізації на митній території України транспортних засобів, оснащених виключно електричними двигунами (одним чи декількома), що класифікуються у товарній підкатегорії 8703 90 10 10 згідно з </w:t>
      </w:r>
      <w:hyperlink r:id="rId6012"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 тому числі вироблених в Україні).</w:t>
      </w:r>
    </w:p>
    <w:p w14:paraId="11C7B06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4" w:name="n15055"/>
      <w:bookmarkEnd w:id="10594"/>
      <w:r w:rsidRPr="008B264B">
        <w:rPr>
          <w:rFonts w:ascii="Times New Roman" w:eastAsia="Times New Roman" w:hAnsi="Times New Roman" w:cs="Times New Roman"/>
          <w:i/>
          <w:iCs/>
          <w:color w:val="000000"/>
          <w:sz w:val="24"/>
          <w:szCs w:val="24"/>
          <w:lang/>
        </w:rPr>
        <w:t>{Підрозділ 5 розділу XX доповнено пунктом 19 згідно із Законом </w:t>
      </w:r>
      <w:hyperlink r:id="rId6013" w:anchor="n539"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4C7CD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5" w:name="n15203"/>
      <w:bookmarkEnd w:id="10595"/>
      <w:r w:rsidRPr="008B264B">
        <w:rPr>
          <w:rFonts w:ascii="Times New Roman" w:eastAsia="Times New Roman" w:hAnsi="Times New Roman" w:cs="Times New Roman"/>
          <w:color w:val="000000"/>
          <w:sz w:val="24"/>
          <w:szCs w:val="24"/>
          <w:lang/>
        </w:rPr>
        <w:t>20. Тимчасово, протягом 90 календарних днів з дня набрання чинності </w:t>
      </w:r>
      <w:hyperlink r:id="rId6014" w:anchor="n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Податкового кодексу України щодо оподаткування акцизним податком легкових транспортних засобів" ставки податку для транспортних засобів, зазначених у </w:t>
      </w:r>
      <w:hyperlink r:id="rId6015" w:anchor="n11389" w:history="1">
        <w:r w:rsidRPr="008B264B">
          <w:rPr>
            <w:rFonts w:ascii="Times New Roman" w:eastAsia="Times New Roman" w:hAnsi="Times New Roman" w:cs="Times New Roman"/>
            <w:color w:val="0000FF"/>
            <w:sz w:val="24"/>
            <w:szCs w:val="24"/>
            <w:u w:val="single"/>
            <w:lang/>
          </w:rPr>
          <w:t>підпункті 215.3.5</w:t>
        </w:r>
      </w:hyperlink>
      <w:hyperlink r:id="rId6016" w:anchor="n11389"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r w:rsidRPr="008B264B">
        <w:rPr>
          <w:rFonts w:ascii="Times New Roman" w:eastAsia="Times New Roman" w:hAnsi="Times New Roman" w:cs="Times New Roman"/>
          <w:color w:val="000000"/>
          <w:sz w:val="24"/>
          <w:szCs w:val="24"/>
          <w:lang/>
        </w:rPr>
        <w:t> пункту 215.3 статті 215 цього Кодексу (крім транспортних засобів, зазначених у товарних підкатегоріях 8703 10 18 00, 8703 90 10 10, 8703 90 10 90, 8703 90 90 00 згідно з </w:t>
      </w:r>
      <w:hyperlink r:id="rId6017" w:anchor="n339"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 визначаються із застосуванням коефіцієнта 0,5.</w:t>
      </w:r>
    </w:p>
    <w:p w14:paraId="7010EB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6" w:name="n15204"/>
      <w:bookmarkEnd w:id="10596"/>
      <w:r w:rsidRPr="008B264B">
        <w:rPr>
          <w:rFonts w:ascii="Times New Roman" w:eastAsia="Times New Roman" w:hAnsi="Times New Roman" w:cs="Times New Roman"/>
          <w:color w:val="000000"/>
          <w:sz w:val="24"/>
          <w:szCs w:val="24"/>
          <w:lang/>
        </w:rPr>
        <w:t>Встановлений цим пунктом коефіцієнт застосовується для легкових транспортних засобів, що використовувалися, які ввозяться на митну територію України фізичною особою для власного використання в кількості один легковий транспортний засіб на таку особу.</w:t>
      </w:r>
    </w:p>
    <w:p w14:paraId="542BEC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7" w:name="n15202"/>
      <w:bookmarkEnd w:id="10597"/>
      <w:r w:rsidRPr="008B264B">
        <w:rPr>
          <w:rFonts w:ascii="Times New Roman" w:eastAsia="Times New Roman" w:hAnsi="Times New Roman" w:cs="Times New Roman"/>
          <w:i/>
          <w:iCs/>
          <w:color w:val="000000"/>
          <w:sz w:val="24"/>
          <w:szCs w:val="24"/>
          <w:lang/>
        </w:rPr>
        <w:t>{Підрозділ 5 розділу XX доповнено пунктом 20 згідно із Законом </w:t>
      </w:r>
      <w:hyperlink r:id="rId6018" w:anchor="n29"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340CB9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8" w:name="n15466"/>
      <w:bookmarkEnd w:id="10598"/>
      <w:r w:rsidRPr="008B264B">
        <w:rPr>
          <w:rFonts w:ascii="Times New Roman" w:eastAsia="Times New Roman" w:hAnsi="Times New Roman" w:cs="Times New Roman"/>
          <w:color w:val="000000"/>
          <w:sz w:val="24"/>
          <w:szCs w:val="24"/>
          <w:lang/>
        </w:rPr>
        <w:t xml:space="preserve">21. Електронні документи, передбачені підпунктом 230.1.3 пункту 230.1 статті 230 цього Кодексу, заповнюються відповідальною особою розпорядника акцизного складу на підставі показників витратомірів-лічильників, рівнемірів-лічильників або у мірах повної місткості та/або </w:t>
      </w:r>
      <w:r w:rsidRPr="008B264B">
        <w:rPr>
          <w:rFonts w:ascii="Times New Roman" w:eastAsia="Times New Roman" w:hAnsi="Times New Roman" w:cs="Times New Roman"/>
          <w:color w:val="000000"/>
          <w:sz w:val="24"/>
          <w:szCs w:val="24"/>
          <w:lang/>
        </w:rPr>
        <w:lastRenderedPageBreak/>
        <w:t>за допомогою рулетки та метроштока або переносного (портативного) рівнеміра-аналізатора, які мають позитивний результат повірки, проведеної відповідно до законодавства, до дати реєстрації в Єдиному державному реєстрі витратомірів-лічильників та рівнемірів-лічильників рівня пального у резервуарі витратомірів-лічильників та/або рівнемірів-лічильників, встановлених на відповідному акцизному складі, але не пізніше строків, визначених </w:t>
      </w:r>
      <w:hyperlink r:id="rId6019" w:anchor="n13001" w:history="1">
        <w:r w:rsidRPr="008B264B">
          <w:rPr>
            <w:rFonts w:ascii="Times New Roman" w:eastAsia="Times New Roman" w:hAnsi="Times New Roman" w:cs="Times New Roman"/>
            <w:color w:val="0000FF"/>
            <w:sz w:val="24"/>
            <w:szCs w:val="24"/>
            <w:u w:val="single"/>
            <w:lang/>
          </w:rPr>
          <w:t>пунктом 12</w:t>
        </w:r>
      </w:hyperlink>
      <w:r w:rsidRPr="008B264B">
        <w:rPr>
          <w:rFonts w:ascii="Times New Roman" w:eastAsia="Times New Roman" w:hAnsi="Times New Roman" w:cs="Times New Roman"/>
          <w:color w:val="000000"/>
          <w:sz w:val="24"/>
          <w:szCs w:val="24"/>
          <w:lang/>
        </w:rPr>
        <w:t> цього підрозділу.</w:t>
      </w:r>
    </w:p>
    <w:p w14:paraId="67417F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599" w:name="n15465"/>
      <w:bookmarkEnd w:id="10599"/>
      <w:r w:rsidRPr="008B264B">
        <w:rPr>
          <w:rFonts w:ascii="Times New Roman" w:eastAsia="Times New Roman" w:hAnsi="Times New Roman" w:cs="Times New Roman"/>
          <w:i/>
          <w:iCs/>
          <w:color w:val="000000"/>
          <w:sz w:val="24"/>
          <w:szCs w:val="24"/>
          <w:lang/>
        </w:rPr>
        <w:t>{Підрозділ 5 розділу XX доповнено пунктом 21 згідно із Законом </w:t>
      </w:r>
      <w:hyperlink r:id="rId6020" w:anchor="n71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56B63C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0" w:name="n15423"/>
      <w:bookmarkEnd w:id="10600"/>
      <w:r w:rsidRPr="008B264B">
        <w:rPr>
          <w:rFonts w:ascii="Times New Roman" w:eastAsia="Times New Roman" w:hAnsi="Times New Roman" w:cs="Times New Roman"/>
          <w:color w:val="000000"/>
          <w:sz w:val="24"/>
          <w:szCs w:val="24"/>
          <w:lang/>
        </w:rPr>
        <w:t>22. Платники податку зобов’язані з 1 травня 2019 року до 1 червня 2019 року зареєструвати в системі електронного адміністрування реалізації пального усі акцизні склади, розпорядниками яких такі платники податку будуть станом на 1 липня 2019 року.</w:t>
      </w:r>
    </w:p>
    <w:p w14:paraId="283BC0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1" w:name="n15424"/>
      <w:bookmarkEnd w:id="10601"/>
      <w:r w:rsidRPr="008B264B">
        <w:rPr>
          <w:rFonts w:ascii="Times New Roman" w:eastAsia="Times New Roman" w:hAnsi="Times New Roman" w:cs="Times New Roman"/>
          <w:color w:val="000000"/>
          <w:sz w:val="24"/>
          <w:szCs w:val="24"/>
          <w:lang/>
        </w:rPr>
        <w:t>Суб’єкти господарювання, які відповідатимуть визначенню платників податку з 1 липня 2019 року, зобов’язані до 1 липня 2019 року зареєструватися платниками податку та зареєструвати в системі електронного адміністрування реалізації пального усі акцизні склади, розпорядниками яких такі платники податку будуть станом на 1 липня 2019 року.</w:t>
      </w:r>
    </w:p>
    <w:p w14:paraId="175421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2" w:name="n15449"/>
      <w:bookmarkEnd w:id="10602"/>
      <w:r w:rsidRPr="008B264B">
        <w:rPr>
          <w:rFonts w:ascii="Times New Roman" w:eastAsia="Times New Roman" w:hAnsi="Times New Roman" w:cs="Times New Roman"/>
          <w:i/>
          <w:iCs/>
          <w:color w:val="000000"/>
          <w:sz w:val="24"/>
          <w:szCs w:val="24"/>
          <w:lang/>
        </w:rPr>
        <w:t>{Підрозділ 5 розділу XX доповнено пунктом 22 згідно із Законом </w:t>
      </w:r>
      <w:hyperlink r:id="rId6021"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197E32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3" w:name="n15425"/>
      <w:bookmarkEnd w:id="10603"/>
      <w:r w:rsidRPr="008B264B">
        <w:rPr>
          <w:rFonts w:ascii="Times New Roman" w:eastAsia="Times New Roman" w:hAnsi="Times New Roman" w:cs="Times New Roman"/>
          <w:color w:val="000000"/>
          <w:sz w:val="24"/>
          <w:szCs w:val="24"/>
          <w:lang/>
        </w:rPr>
        <w:t>23. Акцизні накладні/розрахунки коригування, складені:</w:t>
      </w:r>
    </w:p>
    <w:p w14:paraId="0AF253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4" w:name="n15426"/>
      <w:bookmarkEnd w:id="10604"/>
      <w:r w:rsidRPr="008B264B">
        <w:rPr>
          <w:rFonts w:ascii="Times New Roman" w:eastAsia="Times New Roman" w:hAnsi="Times New Roman" w:cs="Times New Roman"/>
          <w:color w:val="000000"/>
          <w:sz w:val="24"/>
          <w:szCs w:val="24"/>
          <w:lang/>
        </w:rPr>
        <w:t>до 30 червня 2019 року (включно), реєструються в Єдиному реєстрі акцизних накладних до 15 липня 2019 року (включно);</w:t>
      </w:r>
    </w:p>
    <w:p w14:paraId="0D7CB9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5" w:name="n15427"/>
      <w:bookmarkEnd w:id="10605"/>
      <w:r w:rsidRPr="008B264B">
        <w:rPr>
          <w:rFonts w:ascii="Times New Roman" w:eastAsia="Times New Roman" w:hAnsi="Times New Roman" w:cs="Times New Roman"/>
          <w:color w:val="000000"/>
          <w:sz w:val="24"/>
          <w:szCs w:val="24"/>
          <w:lang/>
        </w:rPr>
        <w:t>з 1 до 31 липня 2019 року (включно), реєструються в Єдиному реєстрі акцизних накладних у період з 23 липня до 15 серпня 2019 року (включно);</w:t>
      </w:r>
    </w:p>
    <w:p w14:paraId="04F62B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6" w:name="n15428"/>
      <w:bookmarkEnd w:id="10606"/>
      <w:r w:rsidRPr="008B264B">
        <w:rPr>
          <w:rFonts w:ascii="Times New Roman" w:eastAsia="Times New Roman" w:hAnsi="Times New Roman" w:cs="Times New Roman"/>
          <w:color w:val="000000"/>
          <w:sz w:val="24"/>
          <w:szCs w:val="24"/>
          <w:lang/>
        </w:rPr>
        <w:t>з 1 серпня 2019 року, реєструються в Єдиному реєстрі акцизних накладних у терміни, передбачені </w:t>
      </w:r>
      <w:hyperlink r:id="rId6022" w:anchor="n13194" w:history="1">
        <w:r w:rsidRPr="008B264B">
          <w:rPr>
            <w:rFonts w:ascii="Times New Roman" w:eastAsia="Times New Roman" w:hAnsi="Times New Roman" w:cs="Times New Roman"/>
            <w:color w:val="0000FF"/>
            <w:sz w:val="24"/>
            <w:szCs w:val="24"/>
            <w:u w:val="single"/>
            <w:lang/>
          </w:rPr>
          <w:t>пунктом 231.6</w:t>
        </w:r>
      </w:hyperlink>
      <w:r w:rsidRPr="008B264B">
        <w:rPr>
          <w:rFonts w:ascii="Times New Roman" w:eastAsia="Times New Roman" w:hAnsi="Times New Roman" w:cs="Times New Roman"/>
          <w:color w:val="000000"/>
          <w:sz w:val="24"/>
          <w:szCs w:val="24"/>
          <w:lang/>
        </w:rPr>
        <w:t> статті 231 цього Кодексу.</w:t>
      </w:r>
    </w:p>
    <w:p w14:paraId="72E98B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7" w:name="n15429"/>
      <w:bookmarkEnd w:id="10607"/>
      <w:r w:rsidRPr="008B264B">
        <w:rPr>
          <w:rFonts w:ascii="Times New Roman" w:eastAsia="Times New Roman" w:hAnsi="Times New Roman" w:cs="Times New Roman"/>
          <w:color w:val="000000"/>
          <w:sz w:val="24"/>
          <w:szCs w:val="24"/>
          <w:lang/>
        </w:rPr>
        <w:t>Для розподілу обсягів залишків пального, що обліковуються у платників податку в системі електронного адміністрування реалізації пального, між акцизними складами/акцизними складами пересувними, де такі обсяги залишків пального знаходяться фактично станом на 1 липня 2019 року:</w:t>
      </w:r>
    </w:p>
    <w:p w14:paraId="04A570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8" w:name="n15430"/>
      <w:bookmarkEnd w:id="10608"/>
      <w:r w:rsidRPr="008B264B">
        <w:rPr>
          <w:rFonts w:ascii="Times New Roman" w:eastAsia="Times New Roman" w:hAnsi="Times New Roman" w:cs="Times New Roman"/>
          <w:color w:val="000000"/>
          <w:sz w:val="24"/>
          <w:szCs w:val="24"/>
          <w:lang/>
        </w:rPr>
        <w:t>а) платники податку та суб’єкти господарювання, які з 1 липня 2019 року не підпадають під визначення платників податку відповідно до </w:t>
      </w:r>
      <w:hyperlink r:id="rId6023"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 та у яких станом на 16 липня 2019 року в системі електронного адміністрування реалізації пального обліковуються обсяги залишків пального, зобов’язані скласти акцизні накладні в двох примірниках на такі обсяги пального, перший примірник зареєструвати в Єдиному реєстрі акцизних накладних з 16 до 20 липня 2019 року (включно), із зазначенням в акцизних накладних акцизних складів/акцизних складів пересувних, де такі обсяги пального фактично знаходилися станом на 1 липня 2019 року, та розпорядників таких акцизних складів/акцизних складів пересувних шляхом заповнення обов’язкових реквізитів акцизної накладної, передбачених </w:t>
      </w:r>
      <w:hyperlink r:id="rId6024" w:anchor="n13180" w:history="1">
        <w:r w:rsidRPr="008B264B">
          <w:rPr>
            <w:rFonts w:ascii="Times New Roman" w:eastAsia="Times New Roman" w:hAnsi="Times New Roman" w:cs="Times New Roman"/>
            <w:color w:val="0000FF"/>
            <w:sz w:val="24"/>
            <w:szCs w:val="24"/>
            <w:u w:val="single"/>
            <w:lang/>
          </w:rPr>
          <w:t>підпунктами "г"</w:t>
        </w:r>
      </w:hyperlink>
      <w:r w:rsidRPr="008B264B">
        <w:rPr>
          <w:rFonts w:ascii="Times New Roman" w:eastAsia="Times New Roman" w:hAnsi="Times New Roman" w:cs="Times New Roman"/>
          <w:color w:val="000000"/>
          <w:sz w:val="24"/>
          <w:szCs w:val="24"/>
          <w:lang/>
        </w:rPr>
        <w:t>, </w:t>
      </w:r>
      <w:hyperlink r:id="rId6025" w:anchor="n13181" w:history="1">
        <w:r w:rsidRPr="008B264B">
          <w:rPr>
            <w:rFonts w:ascii="Times New Roman" w:eastAsia="Times New Roman" w:hAnsi="Times New Roman" w:cs="Times New Roman"/>
            <w:color w:val="0000FF"/>
            <w:sz w:val="24"/>
            <w:szCs w:val="24"/>
            <w:u w:val="single"/>
            <w:lang/>
          </w:rPr>
          <w:t>"ґ"</w:t>
        </w:r>
      </w:hyperlink>
      <w:r w:rsidRPr="008B264B">
        <w:rPr>
          <w:rFonts w:ascii="Times New Roman" w:eastAsia="Times New Roman" w:hAnsi="Times New Roman" w:cs="Times New Roman"/>
          <w:color w:val="000000"/>
          <w:sz w:val="24"/>
          <w:szCs w:val="24"/>
          <w:lang/>
        </w:rPr>
        <w:t>, "з" та "и" пункту 231.1 статті 231 цього Кодексу;</w:t>
      </w:r>
    </w:p>
    <w:p w14:paraId="59E9D6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09" w:name="n15431"/>
      <w:bookmarkEnd w:id="10609"/>
      <w:r w:rsidRPr="008B264B">
        <w:rPr>
          <w:rFonts w:ascii="Times New Roman" w:eastAsia="Times New Roman" w:hAnsi="Times New Roman" w:cs="Times New Roman"/>
          <w:color w:val="000000"/>
          <w:sz w:val="24"/>
          <w:szCs w:val="24"/>
          <w:lang/>
        </w:rPr>
        <w:t>б) після виконання платником податку вимог підпункту "а" цього пункту щодо відповідного розпорядника акцизного складу/акцизного складу пересувного такий розпорядник акцизного складу/акцизного складу пересувного зобов’язаний з 16 до 22 липня 2019 року (включно) зареєструвати в Єдиному реєстрі акцизних накладних другий примірник отриманої акцизної накладної, складеної платником податку згідно з підпунктом "а" цього пункту.</w:t>
      </w:r>
    </w:p>
    <w:p w14:paraId="7AE1E10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0" w:name="n15432"/>
      <w:bookmarkEnd w:id="10610"/>
      <w:r w:rsidRPr="008B264B">
        <w:rPr>
          <w:rFonts w:ascii="Times New Roman" w:eastAsia="Times New Roman" w:hAnsi="Times New Roman" w:cs="Times New Roman"/>
          <w:color w:val="000000"/>
          <w:sz w:val="24"/>
          <w:szCs w:val="24"/>
          <w:lang/>
        </w:rPr>
        <w:t>Обсяги ввезеного на митну територію України пального або спирту етилового з 1 до 15 липня 2019 року (включно) обліковуються в системі електронного адміністрування реалізації пального та спирту етилового в такій послідовності:</w:t>
      </w:r>
    </w:p>
    <w:p w14:paraId="46833E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1" w:name="n15433"/>
      <w:bookmarkEnd w:id="10611"/>
      <w:r w:rsidRPr="008B264B">
        <w:rPr>
          <w:rFonts w:ascii="Times New Roman" w:eastAsia="Times New Roman" w:hAnsi="Times New Roman" w:cs="Times New Roman"/>
          <w:color w:val="000000"/>
          <w:sz w:val="24"/>
          <w:szCs w:val="24"/>
          <w:lang/>
        </w:rPr>
        <w:t>1) 16 липня 2019 року зараховуються автоматично на підставі оформлених належним чином митних декларацій у розрізі платників податку та умов оподаткування пального або спирту етилового за кожним кодом товарної підкатегорії згідно з </w:t>
      </w:r>
      <w:hyperlink r:id="rId6026" w:anchor="n3" w:tgtFrame="_blank" w:history="1">
        <w:r w:rsidRPr="008B264B">
          <w:rPr>
            <w:rFonts w:ascii="Times New Roman" w:eastAsia="Times New Roman" w:hAnsi="Times New Roman" w:cs="Times New Roman"/>
            <w:color w:val="0000FF"/>
            <w:sz w:val="24"/>
            <w:szCs w:val="24"/>
            <w:u w:val="single"/>
            <w:lang/>
          </w:rPr>
          <w:t>УКТ ЗЕД</w:t>
        </w:r>
      </w:hyperlink>
      <w:r w:rsidRPr="008B264B">
        <w:rPr>
          <w:rFonts w:ascii="Times New Roman" w:eastAsia="Times New Roman" w:hAnsi="Times New Roman" w:cs="Times New Roman"/>
          <w:color w:val="000000"/>
          <w:sz w:val="24"/>
          <w:szCs w:val="24"/>
          <w:lang/>
        </w:rPr>
        <w:t>;</w:t>
      </w:r>
    </w:p>
    <w:p w14:paraId="340C6C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2" w:name="n15434"/>
      <w:bookmarkEnd w:id="10612"/>
      <w:r w:rsidRPr="008B264B">
        <w:rPr>
          <w:rFonts w:ascii="Times New Roman" w:eastAsia="Times New Roman" w:hAnsi="Times New Roman" w:cs="Times New Roman"/>
          <w:color w:val="000000"/>
          <w:sz w:val="24"/>
          <w:szCs w:val="24"/>
          <w:lang/>
        </w:rPr>
        <w:lastRenderedPageBreak/>
        <w:t>2) з 16 до 22 липня 2019 року (включно) розподіляються між акцизними складами пересувними, що використовуються під час такого ввезення, на підставі акцизних накладних, зареєстрованих у Єдиному реєстрі акцизних накладних, складених платником податку - розпорядником таких акцизних складів пересувних.</w:t>
      </w:r>
    </w:p>
    <w:p w14:paraId="5B9CEF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3" w:name="n15448"/>
      <w:bookmarkEnd w:id="10613"/>
      <w:r w:rsidRPr="008B264B">
        <w:rPr>
          <w:rFonts w:ascii="Times New Roman" w:eastAsia="Times New Roman" w:hAnsi="Times New Roman" w:cs="Times New Roman"/>
          <w:i/>
          <w:iCs/>
          <w:color w:val="000000"/>
          <w:sz w:val="24"/>
          <w:szCs w:val="24"/>
          <w:lang/>
        </w:rPr>
        <w:t>{Підрозділ 5 розділу XX доповнено пунктом 23 згідно із Законом </w:t>
      </w:r>
      <w:hyperlink r:id="rId6027"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2EAD2AF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4" w:name="n15435"/>
      <w:bookmarkEnd w:id="10614"/>
      <w:r w:rsidRPr="008B264B">
        <w:rPr>
          <w:rFonts w:ascii="Times New Roman" w:eastAsia="Times New Roman" w:hAnsi="Times New Roman" w:cs="Times New Roman"/>
          <w:color w:val="000000"/>
          <w:sz w:val="24"/>
          <w:szCs w:val="24"/>
          <w:lang/>
        </w:rPr>
        <w:t>24. Протягом 20 календарних днів, починаючи з 1 липня 2019 року, платник податку зобов’язаний подати до контролюючого органу акт проведення інвентаризації обсягів залишків спирту етилового станом на початок дня 1 липня 2019 року із зазначенням адрес об’єктів, на яких зберігаються відповідні обсяги залишків спирту етилового, перелік резервуарів, в яких зберігаються обсяги залишків спирту етилового, їх технічних параметрів (фізична місткість, що відповідає технічним паспортам), правовстановлюючих документів на відповідні об’єкти та документів, що засвідчують правові підстави експлуатації таких об’єктів. Зазначені у такому акті інвентаризації обсяги залишків спирту етилового контролюючий орган враховує у формулі, визначеній </w:t>
      </w:r>
      <w:hyperlink r:id="rId6028" w:anchor="n13223" w:history="1">
        <w:r w:rsidRPr="008B264B">
          <w:rPr>
            <w:rFonts w:ascii="Times New Roman" w:eastAsia="Times New Roman" w:hAnsi="Times New Roman" w:cs="Times New Roman"/>
            <w:color w:val="0000FF"/>
            <w:sz w:val="24"/>
            <w:szCs w:val="24"/>
            <w:u w:val="single"/>
            <w:lang/>
          </w:rPr>
          <w:t>пунктом 232.3</w:t>
        </w:r>
      </w:hyperlink>
      <w:r w:rsidRPr="008B264B">
        <w:rPr>
          <w:rFonts w:ascii="Times New Roman" w:eastAsia="Times New Roman" w:hAnsi="Times New Roman" w:cs="Times New Roman"/>
          <w:color w:val="000000"/>
          <w:sz w:val="24"/>
          <w:szCs w:val="24"/>
          <w:lang/>
        </w:rPr>
        <w:t> статті 232 цього Кодексу, як обсяг, на який платник податку має право зареєструвати акцизні накладні та/або розрахунки коригування в системі електронного адміністрування реалізації пального та спирту етилового.</w:t>
      </w:r>
    </w:p>
    <w:p w14:paraId="4455433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5" w:name="n15436"/>
      <w:bookmarkEnd w:id="10615"/>
      <w:r w:rsidRPr="008B264B">
        <w:rPr>
          <w:rFonts w:ascii="Times New Roman" w:eastAsia="Times New Roman" w:hAnsi="Times New Roman" w:cs="Times New Roman"/>
          <w:color w:val="000000"/>
          <w:sz w:val="24"/>
          <w:szCs w:val="24"/>
          <w:lang/>
        </w:rPr>
        <w:t>Постійний представник контролюючого органу на акцизному складі бере участь у проведенні інвентаризації обсягів залишків спирту етилового та засвідчує акт проведення інвентаризації обсягів залишків спирту етилового.</w:t>
      </w:r>
    </w:p>
    <w:p w14:paraId="160012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6" w:name="n15437"/>
      <w:bookmarkEnd w:id="10616"/>
      <w:r w:rsidRPr="008B264B">
        <w:rPr>
          <w:rFonts w:ascii="Times New Roman" w:eastAsia="Times New Roman" w:hAnsi="Times New Roman" w:cs="Times New Roman"/>
          <w:color w:val="000000"/>
          <w:sz w:val="24"/>
          <w:szCs w:val="24"/>
          <w:lang/>
        </w:rPr>
        <w:t>Форма акта проведення інвентаризації обсягів залишків спирту етилового затверджується центральним органом виконавчої влади, що забезпечує формування та реалізує державну фінансову політику.</w:t>
      </w:r>
    </w:p>
    <w:p w14:paraId="1BC1A0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7" w:name="n15447"/>
      <w:bookmarkEnd w:id="10617"/>
      <w:r w:rsidRPr="008B264B">
        <w:rPr>
          <w:rFonts w:ascii="Times New Roman" w:eastAsia="Times New Roman" w:hAnsi="Times New Roman" w:cs="Times New Roman"/>
          <w:i/>
          <w:iCs/>
          <w:color w:val="000000"/>
          <w:sz w:val="24"/>
          <w:szCs w:val="24"/>
          <w:lang/>
        </w:rPr>
        <w:t>{Підрозділ 5 розділу XX доповнено пунктом 24 згідно із Законом </w:t>
      </w:r>
      <w:hyperlink r:id="rId6029"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E2685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8" w:name="n15438"/>
      <w:bookmarkEnd w:id="10618"/>
      <w:r w:rsidRPr="008B264B">
        <w:rPr>
          <w:rFonts w:ascii="Times New Roman" w:eastAsia="Times New Roman" w:hAnsi="Times New Roman" w:cs="Times New Roman"/>
          <w:color w:val="000000"/>
          <w:sz w:val="24"/>
          <w:szCs w:val="24"/>
          <w:lang/>
        </w:rPr>
        <w:t>25. Норми </w:t>
      </w:r>
      <w:hyperlink r:id="rId6030" w:anchor="n12701" w:history="1">
        <w:r w:rsidRPr="008B264B">
          <w:rPr>
            <w:rFonts w:ascii="Times New Roman" w:eastAsia="Times New Roman" w:hAnsi="Times New Roman" w:cs="Times New Roman"/>
            <w:color w:val="0000FF"/>
            <w:sz w:val="24"/>
            <w:szCs w:val="24"/>
            <w:u w:val="single"/>
            <w:lang/>
          </w:rPr>
          <w:t>пунктів 120</w:t>
        </w:r>
      </w:hyperlink>
      <w:hyperlink r:id="rId6031"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6032" w:anchor="n12701" w:history="1">
        <w:r w:rsidRPr="008B264B">
          <w:rPr>
            <w:rFonts w:ascii="Times New Roman" w:eastAsia="Times New Roman" w:hAnsi="Times New Roman" w:cs="Times New Roman"/>
            <w:color w:val="0000FF"/>
            <w:sz w:val="24"/>
            <w:szCs w:val="24"/>
            <w:u w:val="single"/>
            <w:lang/>
          </w:rPr>
          <w:t>.1-120</w:t>
        </w:r>
      </w:hyperlink>
      <w:hyperlink r:id="rId6033"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6034" w:anchor="n12701"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не застосовуються до акцизних накладних/розрахунків коригування, які платник зобов’язаний скласти з 1 липня по 30 листопада 2019 року.</w:t>
      </w:r>
    </w:p>
    <w:p w14:paraId="56CD9A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19" w:name="n15813"/>
      <w:bookmarkEnd w:id="10619"/>
      <w:r w:rsidRPr="008B264B">
        <w:rPr>
          <w:rFonts w:ascii="Times New Roman" w:eastAsia="Times New Roman" w:hAnsi="Times New Roman" w:cs="Times New Roman"/>
          <w:color w:val="000000"/>
          <w:sz w:val="24"/>
          <w:szCs w:val="24"/>
          <w:lang/>
        </w:rPr>
        <w:t>Норми </w:t>
      </w:r>
      <w:hyperlink r:id="rId6035" w:anchor="n15517" w:history="1">
        <w:r w:rsidRPr="008B264B">
          <w:rPr>
            <w:rFonts w:ascii="Times New Roman" w:eastAsia="Times New Roman" w:hAnsi="Times New Roman" w:cs="Times New Roman"/>
            <w:color w:val="0000FF"/>
            <w:sz w:val="24"/>
            <w:szCs w:val="24"/>
            <w:u w:val="single"/>
            <w:lang/>
          </w:rPr>
          <w:t>пункту 128</w:t>
        </w:r>
      </w:hyperlink>
      <w:hyperlink r:id="rId6036" w:anchor="n15517"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6037" w:anchor="n15517" w:history="1">
        <w:r w:rsidRPr="008B264B">
          <w:rPr>
            <w:rFonts w:ascii="Times New Roman" w:eastAsia="Times New Roman" w:hAnsi="Times New Roman" w:cs="Times New Roman"/>
            <w:color w:val="0000FF"/>
            <w:sz w:val="24"/>
            <w:szCs w:val="24"/>
            <w:u w:val="single"/>
            <w:lang/>
          </w:rPr>
          <w:t>.2</w:t>
        </w:r>
      </w:hyperlink>
      <w:r w:rsidRPr="008B264B">
        <w:rPr>
          <w:rFonts w:ascii="Times New Roman" w:eastAsia="Times New Roman" w:hAnsi="Times New Roman" w:cs="Times New Roman"/>
          <w:color w:val="000000"/>
          <w:sz w:val="24"/>
          <w:szCs w:val="24"/>
          <w:lang/>
        </w:rPr>
        <w:t>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застосовуються з 1 жовтня 2019 року, а норми </w:t>
      </w:r>
      <w:hyperlink r:id="rId6038" w:anchor="n15522" w:history="1">
        <w:r w:rsidRPr="008B264B">
          <w:rPr>
            <w:rFonts w:ascii="Times New Roman" w:eastAsia="Times New Roman" w:hAnsi="Times New Roman" w:cs="Times New Roman"/>
            <w:color w:val="0000FF"/>
            <w:sz w:val="24"/>
            <w:szCs w:val="24"/>
            <w:u w:val="single"/>
            <w:lang/>
          </w:rPr>
          <w:t>пункту 128</w:t>
        </w:r>
      </w:hyperlink>
      <w:hyperlink r:id="rId6039" w:anchor="n1552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6040" w:anchor="n1552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 з 1 січня 2020 року (крім штрафних санкцій за неподання електронних документів з акцизних складів, на яких розташовані резервуари, загальна місткість яких не перевищує 1000 куб. метрів, та з акцизних складів, розпорядники яких до 1 липня 2019 року не підпадали під визначення платника податку відповідно до </w:t>
      </w:r>
      <w:hyperlink r:id="rId6041"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статті 212 цього Кодексу).</w:t>
      </w:r>
    </w:p>
    <w:p w14:paraId="28B3C37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0" w:name="n16049"/>
      <w:bookmarkEnd w:id="10620"/>
      <w:r w:rsidRPr="008B264B">
        <w:rPr>
          <w:rFonts w:ascii="Times New Roman" w:eastAsia="Times New Roman" w:hAnsi="Times New Roman" w:cs="Times New Roman"/>
          <w:i/>
          <w:iCs/>
          <w:color w:val="000000"/>
          <w:sz w:val="24"/>
          <w:szCs w:val="24"/>
          <w:lang/>
        </w:rPr>
        <w:t>{Абзац другий пункту 25 підрозділу 5 розділу XX із змінами, внесеними згідно із Законом </w:t>
      </w:r>
      <w:hyperlink r:id="rId6042" w:anchor="n203"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135EF6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1" w:name="n16051"/>
      <w:bookmarkEnd w:id="10621"/>
      <w:r w:rsidRPr="008B264B">
        <w:rPr>
          <w:rFonts w:ascii="Times New Roman" w:eastAsia="Times New Roman" w:hAnsi="Times New Roman" w:cs="Times New Roman"/>
          <w:color w:val="000000"/>
          <w:sz w:val="24"/>
          <w:szCs w:val="24"/>
          <w:lang/>
        </w:rPr>
        <w:t>Норми </w:t>
      </w:r>
      <w:hyperlink r:id="rId6043" w:anchor="n15522" w:history="1">
        <w:r w:rsidRPr="008B264B">
          <w:rPr>
            <w:rFonts w:ascii="Times New Roman" w:eastAsia="Times New Roman" w:hAnsi="Times New Roman" w:cs="Times New Roman"/>
            <w:color w:val="0000FF"/>
            <w:sz w:val="24"/>
            <w:szCs w:val="24"/>
            <w:u w:val="single"/>
            <w:lang/>
          </w:rPr>
          <w:t>пункту 128</w:t>
        </w:r>
      </w:hyperlink>
      <w:hyperlink r:id="rId6044" w:anchor="n15522"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6045" w:anchor="n15522" w:history="1">
        <w:r w:rsidRPr="008B264B">
          <w:rPr>
            <w:rFonts w:ascii="Times New Roman" w:eastAsia="Times New Roman" w:hAnsi="Times New Roman" w:cs="Times New Roman"/>
            <w:color w:val="0000FF"/>
            <w:sz w:val="24"/>
            <w:szCs w:val="24"/>
            <w:u w:val="single"/>
            <w:lang/>
          </w:rPr>
          <w:t>.3</w:t>
        </w:r>
      </w:hyperlink>
      <w:r w:rsidRPr="008B264B">
        <w:rPr>
          <w:rFonts w:ascii="Times New Roman" w:eastAsia="Times New Roman" w:hAnsi="Times New Roman" w:cs="Times New Roman"/>
          <w:color w:val="000000"/>
          <w:sz w:val="24"/>
          <w:szCs w:val="24"/>
          <w:lang/>
        </w:rPr>
        <w:t> статті 128</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за неподання електронних документів з акцизних складів, на яких розташовані резервуари, загальна місткість яких не перевищує 1000 куб. метрів, починають застосовуватися з 1 квітня 2020 року.</w:t>
      </w:r>
    </w:p>
    <w:p w14:paraId="3D360F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2" w:name="n16050"/>
      <w:bookmarkEnd w:id="10622"/>
      <w:r w:rsidRPr="008B264B">
        <w:rPr>
          <w:rFonts w:ascii="Times New Roman" w:eastAsia="Times New Roman" w:hAnsi="Times New Roman" w:cs="Times New Roman"/>
          <w:i/>
          <w:iCs/>
          <w:color w:val="000000"/>
          <w:sz w:val="24"/>
          <w:szCs w:val="24"/>
          <w:lang/>
        </w:rPr>
        <w:t>{Пункт 25 підрозділу 5 розділу XX доповнено абзацом третім згідно із Законом </w:t>
      </w:r>
      <w:hyperlink r:id="rId6046" w:anchor="n204"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5DF674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3" w:name="n15446"/>
      <w:bookmarkEnd w:id="10623"/>
      <w:r w:rsidRPr="008B264B">
        <w:rPr>
          <w:rFonts w:ascii="Times New Roman" w:eastAsia="Times New Roman" w:hAnsi="Times New Roman" w:cs="Times New Roman"/>
          <w:i/>
          <w:iCs/>
          <w:color w:val="000000"/>
          <w:sz w:val="24"/>
          <w:szCs w:val="24"/>
          <w:lang/>
        </w:rPr>
        <w:t>{Підрозділ 5 розділу XX доповнено пунктом 25 згідно із Законом </w:t>
      </w:r>
      <w:hyperlink r:id="rId6047"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 в редакції Закону </w:t>
      </w:r>
      <w:hyperlink r:id="rId6048" w:anchor="n55" w:tgtFrame="_blank" w:history="1">
        <w:r w:rsidRPr="008B264B">
          <w:rPr>
            <w:rFonts w:ascii="Times New Roman" w:eastAsia="Times New Roman" w:hAnsi="Times New Roman" w:cs="Times New Roman"/>
            <w:i/>
            <w:iCs/>
            <w:color w:val="0000FF"/>
            <w:sz w:val="24"/>
            <w:szCs w:val="24"/>
            <w:u w:val="single"/>
            <w:lang/>
          </w:rPr>
          <w:t>№ 129-IX від 20.09.2019</w:t>
        </w:r>
      </w:hyperlink>
      <w:r w:rsidRPr="008B264B">
        <w:rPr>
          <w:rFonts w:ascii="Times New Roman" w:eastAsia="Times New Roman" w:hAnsi="Times New Roman" w:cs="Times New Roman"/>
          <w:i/>
          <w:iCs/>
          <w:color w:val="000000"/>
          <w:sz w:val="24"/>
          <w:szCs w:val="24"/>
          <w:lang/>
        </w:rPr>
        <w:t>}</w:t>
      </w:r>
    </w:p>
    <w:p w14:paraId="52D60B8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4" w:name="n15439"/>
      <w:bookmarkEnd w:id="10624"/>
      <w:r w:rsidRPr="008B264B">
        <w:rPr>
          <w:rFonts w:ascii="Times New Roman" w:eastAsia="Times New Roman" w:hAnsi="Times New Roman" w:cs="Times New Roman"/>
          <w:color w:val="000000"/>
          <w:sz w:val="24"/>
          <w:szCs w:val="24"/>
          <w:lang/>
        </w:rPr>
        <w:t>26. Тимчасово  підтвердження факту цільового використання бензинів авіаційних або палива для реактивних двигунів для погашення податкових векселів, виданих з 1 січня до 30 листопада 2019 року (включно) виробниками та імпортерами бензинів авіаційних або палива для реактивних двигунів згідно з </w:t>
      </w:r>
      <w:hyperlink r:id="rId6049" w:anchor="n15340" w:history="1">
        <w:r w:rsidRPr="008B264B">
          <w:rPr>
            <w:rFonts w:ascii="Times New Roman" w:eastAsia="Times New Roman" w:hAnsi="Times New Roman" w:cs="Times New Roman"/>
            <w:color w:val="0000FF"/>
            <w:sz w:val="24"/>
            <w:szCs w:val="24"/>
            <w:u w:val="single"/>
            <w:lang/>
          </w:rPr>
          <w:t>пунктом 229.8</w:t>
        </w:r>
      </w:hyperlink>
      <w:r w:rsidRPr="008B264B">
        <w:rPr>
          <w:rFonts w:ascii="Times New Roman" w:eastAsia="Times New Roman" w:hAnsi="Times New Roman" w:cs="Times New Roman"/>
          <w:color w:val="000000"/>
          <w:sz w:val="24"/>
          <w:szCs w:val="24"/>
          <w:lang/>
        </w:rPr>
        <w:t> статті 229 цього Кодексу, здійснюється шляхом подання такими виробниками та імпортерами до контролюючого органу - векселедержателя копій первинних документів, що підтверджують здійснення операцій з:</w:t>
      </w:r>
    </w:p>
    <w:p w14:paraId="7884D2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5" w:name="n15814"/>
      <w:bookmarkEnd w:id="10625"/>
      <w:r w:rsidRPr="008B264B">
        <w:rPr>
          <w:rFonts w:ascii="Times New Roman" w:eastAsia="Times New Roman" w:hAnsi="Times New Roman" w:cs="Times New Roman"/>
          <w:i/>
          <w:iCs/>
          <w:color w:val="000000"/>
          <w:sz w:val="24"/>
          <w:szCs w:val="24"/>
          <w:lang/>
        </w:rPr>
        <w:lastRenderedPageBreak/>
        <w:t>{Абзац перший пункту 26 підрозділу 5 розділу XX із змінами, внесеними згідно із Законом </w:t>
      </w:r>
      <w:hyperlink r:id="rId6050" w:anchor="n58" w:tgtFrame="_blank" w:history="1">
        <w:r w:rsidRPr="008B264B">
          <w:rPr>
            <w:rFonts w:ascii="Times New Roman" w:eastAsia="Times New Roman" w:hAnsi="Times New Roman" w:cs="Times New Roman"/>
            <w:i/>
            <w:iCs/>
            <w:color w:val="0000FF"/>
            <w:sz w:val="24"/>
            <w:szCs w:val="24"/>
            <w:u w:val="single"/>
            <w:lang/>
          </w:rPr>
          <w:t>№ 129-IX від 20.09.2019</w:t>
        </w:r>
      </w:hyperlink>
      <w:r w:rsidRPr="008B264B">
        <w:rPr>
          <w:rFonts w:ascii="Times New Roman" w:eastAsia="Times New Roman" w:hAnsi="Times New Roman" w:cs="Times New Roman"/>
          <w:i/>
          <w:iCs/>
          <w:color w:val="000000"/>
          <w:sz w:val="24"/>
          <w:szCs w:val="24"/>
          <w:lang/>
        </w:rPr>
        <w:t>}</w:t>
      </w:r>
    </w:p>
    <w:p w14:paraId="1A8B27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6" w:name="n15440"/>
      <w:bookmarkEnd w:id="10626"/>
      <w:r w:rsidRPr="008B264B">
        <w:rPr>
          <w:rFonts w:ascii="Times New Roman" w:eastAsia="Times New Roman" w:hAnsi="Times New Roman" w:cs="Times New Roman"/>
          <w:color w:val="000000"/>
          <w:sz w:val="24"/>
          <w:szCs w:val="24"/>
          <w:lang/>
        </w:rPr>
        <w:t>1) реалізації (заправлення повітряних суден) бензинів авіаційних або палива для реактивних двигунів суб’єктами господарювання, які здійснюють авіапаливозабезпечення згідно з діючим сертифікатом на відповідність вимогам авіаційних правил України на здійснення наземного обслуговування, виданим уповноваженим органом з питань цивільної авіації;</w:t>
      </w:r>
    </w:p>
    <w:p w14:paraId="677DE8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7" w:name="n15441"/>
      <w:bookmarkEnd w:id="10627"/>
      <w:r w:rsidRPr="008B264B">
        <w:rPr>
          <w:rFonts w:ascii="Times New Roman" w:eastAsia="Times New Roman" w:hAnsi="Times New Roman" w:cs="Times New Roman"/>
          <w:color w:val="000000"/>
          <w:sz w:val="24"/>
          <w:szCs w:val="24"/>
          <w:lang/>
        </w:rPr>
        <w:t>2) реалізації бензинів авіаційних або палива для реактивних двигунів суб’єктам літакобудування, на яких поширюється дія норм </w:t>
      </w:r>
      <w:hyperlink r:id="rId6051" w:tgtFrame="_blank" w:history="1">
        <w:r w:rsidRPr="008B264B">
          <w:rPr>
            <w:rFonts w:ascii="Times New Roman" w:eastAsia="Times New Roman" w:hAnsi="Times New Roman" w:cs="Times New Roman"/>
            <w:color w:val="0000FF"/>
            <w:sz w:val="24"/>
            <w:szCs w:val="24"/>
            <w:u w:val="single"/>
            <w:lang/>
          </w:rPr>
          <w:t>статті 2</w:t>
        </w:r>
      </w:hyperlink>
      <w:r w:rsidRPr="008B264B">
        <w:rPr>
          <w:rFonts w:ascii="Times New Roman" w:eastAsia="Times New Roman" w:hAnsi="Times New Roman" w:cs="Times New Roman"/>
          <w:color w:val="000000"/>
          <w:sz w:val="24"/>
          <w:szCs w:val="24"/>
          <w:lang/>
        </w:rPr>
        <w:t> Закону України "Про розвиток літакобудівної промисловості";</w:t>
      </w:r>
    </w:p>
    <w:p w14:paraId="645A8D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8" w:name="n15442"/>
      <w:bookmarkEnd w:id="10628"/>
      <w:r w:rsidRPr="008B264B">
        <w:rPr>
          <w:rFonts w:ascii="Times New Roman" w:eastAsia="Times New Roman" w:hAnsi="Times New Roman" w:cs="Times New Roman"/>
          <w:color w:val="000000"/>
          <w:sz w:val="24"/>
          <w:szCs w:val="24"/>
          <w:lang/>
        </w:rPr>
        <w:t>3) реалізації бензинів авіаційних або палива для реактивних двигунів замовникам, які здійснили закупівлю для забезпечення потреб держави або територіальної громади відповідно до </w:t>
      </w:r>
      <w:hyperlink r:id="rId6052"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публічні закупівлі";</w:t>
      </w:r>
    </w:p>
    <w:p w14:paraId="010170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29" w:name="n15443"/>
      <w:bookmarkEnd w:id="10629"/>
      <w:r w:rsidRPr="008B264B">
        <w:rPr>
          <w:rFonts w:ascii="Times New Roman" w:eastAsia="Times New Roman" w:hAnsi="Times New Roman" w:cs="Times New Roman"/>
          <w:color w:val="000000"/>
          <w:sz w:val="24"/>
          <w:szCs w:val="24"/>
          <w:lang/>
        </w:rPr>
        <w:t>4) реалізації бензинів авіаційних або палива для реактивних двигунів підприємствам, установам та організаціям системи державного резерву.</w:t>
      </w:r>
    </w:p>
    <w:p w14:paraId="2F577C1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0" w:name="n15445"/>
      <w:bookmarkEnd w:id="10630"/>
      <w:r w:rsidRPr="008B264B">
        <w:rPr>
          <w:rFonts w:ascii="Times New Roman" w:eastAsia="Times New Roman" w:hAnsi="Times New Roman" w:cs="Times New Roman"/>
          <w:i/>
          <w:iCs/>
          <w:color w:val="000000"/>
          <w:sz w:val="24"/>
          <w:szCs w:val="24"/>
          <w:lang/>
        </w:rPr>
        <w:t>{Підрозділ 5 розділу XX доповнено пунктом 26 згідно із Законом </w:t>
      </w:r>
      <w:hyperlink r:id="rId6053"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A4129D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1" w:name="n15444"/>
      <w:bookmarkEnd w:id="10631"/>
      <w:r w:rsidRPr="008B264B">
        <w:rPr>
          <w:rFonts w:ascii="Times New Roman" w:eastAsia="Times New Roman" w:hAnsi="Times New Roman" w:cs="Times New Roman"/>
          <w:color w:val="000000"/>
          <w:sz w:val="24"/>
          <w:szCs w:val="24"/>
          <w:lang/>
        </w:rPr>
        <w:t>27. Установити, що вимоги щодо обладнання витратомірами-лічильниками вітчизняних підприємств, на яких здійснюється діяльність з переробки нафти, газового конденсату, природного газу та їх суміші з метою вилучення цільових компонентів (сировини), що передбачає повний технологічний цикл їх переробки в готову продукцію (пальне), та вимоги для таких підприємств щодо щоденного формування даних про добовий фактичний обсяг реалізованого пального, а також відповідальність для таких підприємств за порушення таких вимог застосовуються з 1 січня 2020 року.</w:t>
      </w:r>
    </w:p>
    <w:p w14:paraId="40EF29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2" w:name="n15422"/>
      <w:bookmarkEnd w:id="10632"/>
      <w:r w:rsidRPr="008B264B">
        <w:rPr>
          <w:rFonts w:ascii="Times New Roman" w:eastAsia="Times New Roman" w:hAnsi="Times New Roman" w:cs="Times New Roman"/>
          <w:i/>
          <w:iCs/>
          <w:color w:val="000000"/>
          <w:sz w:val="24"/>
          <w:szCs w:val="24"/>
          <w:lang/>
        </w:rPr>
        <w:t>{Підрозділ 5 розділу XX доповнено пунктом 27 згідно із Законом </w:t>
      </w:r>
      <w:hyperlink r:id="rId6054" w:anchor="n71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32174C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3" w:name="n15816"/>
      <w:bookmarkEnd w:id="10633"/>
      <w:r w:rsidRPr="008B264B">
        <w:rPr>
          <w:rFonts w:ascii="Times New Roman" w:eastAsia="Times New Roman" w:hAnsi="Times New Roman" w:cs="Times New Roman"/>
          <w:color w:val="000000"/>
          <w:sz w:val="24"/>
          <w:szCs w:val="24"/>
          <w:lang/>
        </w:rPr>
        <w:t>28. Платники податку мають право зареєструвати в Єдиному реєстрі акцизних накладних другий примірник акцизних накладних, складених у порядку, передбаченому </w:t>
      </w:r>
      <w:hyperlink r:id="rId6055" w:anchor="n15425" w:history="1">
        <w:r w:rsidRPr="008B264B">
          <w:rPr>
            <w:rFonts w:ascii="Times New Roman" w:eastAsia="Times New Roman" w:hAnsi="Times New Roman" w:cs="Times New Roman"/>
            <w:color w:val="0000FF"/>
            <w:sz w:val="24"/>
            <w:szCs w:val="24"/>
            <w:u w:val="single"/>
            <w:lang/>
          </w:rPr>
          <w:t>пунктом 23</w:t>
        </w:r>
      </w:hyperlink>
      <w:r w:rsidRPr="008B264B">
        <w:rPr>
          <w:rFonts w:ascii="Times New Roman" w:eastAsia="Times New Roman" w:hAnsi="Times New Roman" w:cs="Times New Roman"/>
          <w:color w:val="000000"/>
          <w:sz w:val="24"/>
          <w:szCs w:val="24"/>
          <w:lang/>
        </w:rPr>
        <w:t> цього підрозділу, за умови, що перший примірник такої акцизної накладної зареєстрований в Єдиному реєстрі акцизних накладних згідно з </w:t>
      </w:r>
      <w:hyperlink r:id="rId6056" w:anchor="n15425" w:history="1">
        <w:r w:rsidRPr="008B264B">
          <w:rPr>
            <w:rFonts w:ascii="Times New Roman" w:eastAsia="Times New Roman" w:hAnsi="Times New Roman" w:cs="Times New Roman"/>
            <w:color w:val="0000FF"/>
            <w:sz w:val="24"/>
            <w:szCs w:val="24"/>
            <w:u w:val="single"/>
            <w:lang/>
          </w:rPr>
          <w:t>пунктом 23</w:t>
        </w:r>
      </w:hyperlink>
      <w:r w:rsidRPr="008B264B">
        <w:rPr>
          <w:rFonts w:ascii="Times New Roman" w:eastAsia="Times New Roman" w:hAnsi="Times New Roman" w:cs="Times New Roman"/>
          <w:color w:val="000000"/>
          <w:sz w:val="24"/>
          <w:szCs w:val="24"/>
          <w:lang/>
        </w:rPr>
        <w:t> цього підрозділу.</w:t>
      </w:r>
    </w:p>
    <w:p w14:paraId="42D7AA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4" w:name="n15817"/>
      <w:bookmarkEnd w:id="10634"/>
      <w:r w:rsidRPr="008B264B">
        <w:rPr>
          <w:rFonts w:ascii="Times New Roman" w:eastAsia="Times New Roman" w:hAnsi="Times New Roman" w:cs="Times New Roman"/>
          <w:color w:val="000000"/>
          <w:sz w:val="24"/>
          <w:szCs w:val="24"/>
          <w:lang/>
        </w:rPr>
        <w:t>У разі зазначення в акцизній накладній, складеній відповідно до </w:t>
      </w:r>
      <w:hyperlink r:id="rId6057" w:anchor="n15425" w:history="1">
        <w:r w:rsidRPr="008B264B">
          <w:rPr>
            <w:rFonts w:ascii="Times New Roman" w:eastAsia="Times New Roman" w:hAnsi="Times New Roman" w:cs="Times New Roman"/>
            <w:color w:val="0000FF"/>
            <w:sz w:val="24"/>
            <w:szCs w:val="24"/>
            <w:u w:val="single"/>
            <w:lang/>
          </w:rPr>
          <w:t>пункту 23</w:t>
        </w:r>
      </w:hyperlink>
      <w:r w:rsidRPr="008B264B">
        <w:rPr>
          <w:rFonts w:ascii="Times New Roman" w:eastAsia="Times New Roman" w:hAnsi="Times New Roman" w:cs="Times New Roman"/>
          <w:color w:val="000000"/>
          <w:sz w:val="24"/>
          <w:szCs w:val="24"/>
          <w:lang/>
        </w:rPr>
        <w:t> цього підрозділу, перший примірник якої зареєстрований в Єдиному реєстрі акцизних накладних, а другий примірник не зареєстрований в Єдиному реєстрі акцизних накладних, помилкових реквізитів особи, що отримує пальне, або у визначених у </w:t>
      </w:r>
      <w:hyperlink r:id="rId6058" w:anchor="n15639" w:history="1">
        <w:r w:rsidRPr="008B264B">
          <w:rPr>
            <w:rFonts w:ascii="Times New Roman" w:eastAsia="Times New Roman" w:hAnsi="Times New Roman" w:cs="Times New Roman"/>
            <w:color w:val="0000FF"/>
            <w:sz w:val="24"/>
            <w:szCs w:val="24"/>
            <w:u w:val="single"/>
            <w:lang/>
          </w:rPr>
          <w:t>підпунктах "з"</w:t>
        </w:r>
      </w:hyperlink>
      <w:r w:rsidRPr="008B264B">
        <w:rPr>
          <w:rFonts w:ascii="Times New Roman" w:eastAsia="Times New Roman" w:hAnsi="Times New Roman" w:cs="Times New Roman"/>
          <w:color w:val="000000"/>
          <w:sz w:val="24"/>
          <w:szCs w:val="24"/>
          <w:lang/>
        </w:rPr>
        <w:t> та </w:t>
      </w:r>
      <w:hyperlink r:id="rId6059" w:anchor="n15640" w:history="1">
        <w:r w:rsidRPr="008B264B">
          <w:rPr>
            <w:rFonts w:ascii="Times New Roman" w:eastAsia="Times New Roman" w:hAnsi="Times New Roman" w:cs="Times New Roman"/>
            <w:color w:val="0000FF"/>
            <w:sz w:val="24"/>
            <w:szCs w:val="24"/>
            <w:u w:val="single"/>
            <w:lang/>
          </w:rPr>
          <w:t>"и"</w:t>
        </w:r>
      </w:hyperlink>
      <w:r w:rsidRPr="008B264B">
        <w:rPr>
          <w:rFonts w:ascii="Times New Roman" w:eastAsia="Times New Roman" w:hAnsi="Times New Roman" w:cs="Times New Roman"/>
          <w:color w:val="000000"/>
          <w:sz w:val="24"/>
          <w:szCs w:val="24"/>
          <w:lang/>
        </w:rPr>
        <w:t> пункту 231.1 статті 231 цього Кодексу реквізитах акцизного складу або акцизного складу пересувного, на який отримано пальне:</w:t>
      </w:r>
    </w:p>
    <w:p w14:paraId="66A93A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5" w:name="n15818"/>
      <w:bookmarkEnd w:id="10635"/>
      <w:r w:rsidRPr="008B264B">
        <w:rPr>
          <w:rFonts w:ascii="Times New Roman" w:eastAsia="Times New Roman" w:hAnsi="Times New Roman" w:cs="Times New Roman"/>
          <w:color w:val="000000"/>
          <w:sz w:val="24"/>
          <w:szCs w:val="24"/>
          <w:lang/>
        </w:rPr>
        <w:t>а) платник, який склав перший примірник акцизної накладної, складає другий примірник такої накладної, в якому зазначає правильні реквізити особи, що отримує пальне, або акцизного складу/акцизного складу пересувного, на який отримано пальне, та в день складання направляє такий примірник особі, що отримує пальне;</w:t>
      </w:r>
    </w:p>
    <w:p w14:paraId="052892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6" w:name="n15819"/>
      <w:bookmarkEnd w:id="10636"/>
      <w:r w:rsidRPr="008B264B">
        <w:rPr>
          <w:rFonts w:ascii="Times New Roman" w:eastAsia="Times New Roman" w:hAnsi="Times New Roman" w:cs="Times New Roman"/>
          <w:color w:val="000000"/>
          <w:sz w:val="24"/>
          <w:szCs w:val="24"/>
          <w:lang/>
        </w:rPr>
        <w:t>б) особа, що отримує пальне, реєструє другий примірник акцизної накладної в Єдиному реєстрі акцизних накладних не пізніше трьох календарних днів, після дня отримання другого примірника акцизної накладної.</w:t>
      </w:r>
    </w:p>
    <w:p w14:paraId="008B27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7" w:name="n15815"/>
      <w:bookmarkEnd w:id="10637"/>
      <w:r w:rsidRPr="008B264B">
        <w:rPr>
          <w:rFonts w:ascii="Times New Roman" w:eastAsia="Times New Roman" w:hAnsi="Times New Roman" w:cs="Times New Roman"/>
          <w:i/>
          <w:iCs/>
          <w:color w:val="000000"/>
          <w:sz w:val="24"/>
          <w:szCs w:val="24"/>
          <w:lang/>
        </w:rPr>
        <w:t>{Підрозділ 5 розділу XX доповнено пунктом 28 згідно із Законом </w:t>
      </w:r>
      <w:hyperlink r:id="rId6060" w:anchor="n59" w:tgtFrame="_blank" w:history="1">
        <w:r w:rsidRPr="008B264B">
          <w:rPr>
            <w:rFonts w:ascii="Times New Roman" w:eastAsia="Times New Roman" w:hAnsi="Times New Roman" w:cs="Times New Roman"/>
            <w:i/>
            <w:iCs/>
            <w:color w:val="0000FF"/>
            <w:sz w:val="24"/>
            <w:szCs w:val="24"/>
            <w:u w:val="single"/>
            <w:lang/>
          </w:rPr>
          <w:t>№ 129-IX від 20.09.2019</w:t>
        </w:r>
      </w:hyperlink>
      <w:r w:rsidRPr="008B264B">
        <w:rPr>
          <w:rFonts w:ascii="Times New Roman" w:eastAsia="Times New Roman" w:hAnsi="Times New Roman" w:cs="Times New Roman"/>
          <w:i/>
          <w:iCs/>
          <w:color w:val="000000"/>
          <w:sz w:val="24"/>
          <w:szCs w:val="24"/>
          <w:lang/>
        </w:rPr>
        <w:t>}</w:t>
      </w:r>
    </w:p>
    <w:p w14:paraId="7580EC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8" w:name="n16053"/>
      <w:bookmarkEnd w:id="10638"/>
      <w:r w:rsidRPr="008B264B">
        <w:rPr>
          <w:rFonts w:ascii="Times New Roman" w:eastAsia="Times New Roman" w:hAnsi="Times New Roman" w:cs="Times New Roman"/>
          <w:color w:val="000000"/>
          <w:sz w:val="24"/>
          <w:szCs w:val="24"/>
          <w:lang/>
        </w:rPr>
        <w:t>29. Суб’єкт господарювання, який до 1 липня 2019 року не підпав під визначення платників податку відповідно до </w:t>
      </w:r>
      <w:hyperlink r:id="rId6061" w:anchor="n5402" w:history="1">
        <w:r w:rsidRPr="008B264B">
          <w:rPr>
            <w:rFonts w:ascii="Times New Roman" w:eastAsia="Times New Roman" w:hAnsi="Times New Roman" w:cs="Times New Roman"/>
            <w:color w:val="0000FF"/>
            <w:sz w:val="24"/>
            <w:szCs w:val="24"/>
            <w:u w:val="single"/>
            <w:lang/>
          </w:rPr>
          <w:t>пункту 212.1</w:t>
        </w:r>
      </w:hyperlink>
      <w:r w:rsidRPr="008B264B">
        <w:rPr>
          <w:rFonts w:ascii="Times New Roman" w:eastAsia="Times New Roman" w:hAnsi="Times New Roman" w:cs="Times New Roman"/>
          <w:color w:val="000000"/>
          <w:sz w:val="24"/>
          <w:szCs w:val="24"/>
          <w:lang/>
        </w:rPr>
        <w:t xml:space="preserve"> статті 212 цього Кодексу, а з 1 липня 2019 року зареєстрований платником податку, має право одноразово, до 20 січня 2020 року включно, подати заявку на поповнення обсягу залишку пального в системі електронного адміністрування реалізації пального та спирту етилового без сплати акцизного податку, окремо по кожному </w:t>
      </w:r>
      <w:r w:rsidRPr="008B264B">
        <w:rPr>
          <w:rFonts w:ascii="Times New Roman" w:eastAsia="Times New Roman" w:hAnsi="Times New Roman" w:cs="Times New Roman"/>
          <w:color w:val="000000"/>
          <w:sz w:val="24"/>
          <w:szCs w:val="24"/>
          <w:lang/>
        </w:rPr>
        <w:lastRenderedPageBreak/>
        <w:t>акцизному складу/акцизному складу пересувному, та заяву про проведення документальної перевірки контролюючим органом достовірності даних, зазначених у такій заявці, у разі:</w:t>
      </w:r>
    </w:p>
    <w:p w14:paraId="6E01D9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39" w:name="n16054"/>
      <w:bookmarkEnd w:id="10639"/>
      <w:r w:rsidRPr="008B264B">
        <w:rPr>
          <w:rFonts w:ascii="Times New Roman" w:eastAsia="Times New Roman" w:hAnsi="Times New Roman" w:cs="Times New Roman"/>
          <w:color w:val="000000"/>
          <w:sz w:val="24"/>
          <w:szCs w:val="24"/>
          <w:lang/>
        </w:rPr>
        <w:t>1) якщо обсяги пального, зазначені в такій заявці, відповідають одночасно таким умовам:</w:t>
      </w:r>
    </w:p>
    <w:p w14:paraId="580DEE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0" w:name="n16055"/>
      <w:bookmarkEnd w:id="10640"/>
      <w:r w:rsidRPr="008B264B">
        <w:rPr>
          <w:rFonts w:ascii="Times New Roman" w:eastAsia="Times New Roman" w:hAnsi="Times New Roman" w:cs="Times New Roman"/>
          <w:color w:val="000000"/>
          <w:sz w:val="24"/>
          <w:szCs w:val="24"/>
          <w:lang/>
        </w:rPr>
        <w:t>знаходилися на зберіганні у такого суб’єкта господарювання на його акцизному складі станом на 1 липня 2019 року та належали іншому суб’єкту господарювання, який не підпадав під визначення платника податку до 1 липня 2019 року;</w:t>
      </w:r>
    </w:p>
    <w:p w14:paraId="297D10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1" w:name="n16056"/>
      <w:bookmarkEnd w:id="10641"/>
      <w:r w:rsidRPr="008B264B">
        <w:rPr>
          <w:rFonts w:ascii="Times New Roman" w:eastAsia="Times New Roman" w:hAnsi="Times New Roman" w:cs="Times New Roman"/>
          <w:color w:val="000000"/>
          <w:sz w:val="24"/>
          <w:szCs w:val="24"/>
          <w:lang/>
        </w:rPr>
        <w:t>були зазначені в акцизних накладних, складених на операції з реалізації таких обсягів пального їх власнику, які були зареєстровані в Єдиному реєстрі акцизних накладних до 1 липня 2019 року;</w:t>
      </w:r>
    </w:p>
    <w:p w14:paraId="3DF8F98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2" w:name="n16057"/>
      <w:bookmarkEnd w:id="10642"/>
      <w:r w:rsidRPr="008B264B">
        <w:rPr>
          <w:rFonts w:ascii="Times New Roman" w:eastAsia="Times New Roman" w:hAnsi="Times New Roman" w:cs="Times New Roman"/>
          <w:color w:val="000000"/>
          <w:sz w:val="24"/>
          <w:szCs w:val="24"/>
          <w:lang/>
        </w:rPr>
        <w:t>не обліковувалися в системі електронного адміністрування реалізації пального станом на 1 липня 2019 року;</w:t>
      </w:r>
    </w:p>
    <w:p w14:paraId="1389B7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3" w:name="n16058"/>
      <w:bookmarkEnd w:id="10643"/>
      <w:r w:rsidRPr="008B264B">
        <w:rPr>
          <w:rFonts w:ascii="Times New Roman" w:eastAsia="Times New Roman" w:hAnsi="Times New Roman" w:cs="Times New Roman"/>
          <w:color w:val="000000"/>
          <w:sz w:val="24"/>
          <w:szCs w:val="24"/>
          <w:lang/>
        </w:rPr>
        <w:t>2) якщо обсяги пального, зазначені в такій заявці, відповідають одночасно таким умовам:</w:t>
      </w:r>
    </w:p>
    <w:p w14:paraId="254F262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4" w:name="n16059"/>
      <w:bookmarkEnd w:id="10644"/>
      <w:r w:rsidRPr="008B264B">
        <w:rPr>
          <w:rFonts w:ascii="Times New Roman" w:eastAsia="Times New Roman" w:hAnsi="Times New Roman" w:cs="Times New Roman"/>
          <w:color w:val="000000"/>
          <w:sz w:val="24"/>
          <w:szCs w:val="24"/>
          <w:lang/>
        </w:rPr>
        <w:t>були отримані таким суб’єктом господарювання після 1 липня 2019 року, а реалізовані платником податку до 30 червня 2019 року включно;</w:t>
      </w:r>
    </w:p>
    <w:p w14:paraId="687726D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5" w:name="n16060"/>
      <w:bookmarkEnd w:id="10645"/>
      <w:r w:rsidRPr="008B264B">
        <w:rPr>
          <w:rFonts w:ascii="Times New Roman" w:eastAsia="Times New Roman" w:hAnsi="Times New Roman" w:cs="Times New Roman"/>
          <w:color w:val="000000"/>
          <w:sz w:val="24"/>
          <w:szCs w:val="24"/>
          <w:lang/>
        </w:rPr>
        <w:t>були зазначені в акцизних накладних, складених на операції з реалізації таких обсягів пального їх власнику, які були зареєстровані в Єдиному реєстрі акцизних накладних до 1 липня 2019 року;</w:t>
      </w:r>
    </w:p>
    <w:p w14:paraId="3E19F84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6" w:name="n16061"/>
      <w:bookmarkEnd w:id="10646"/>
      <w:r w:rsidRPr="008B264B">
        <w:rPr>
          <w:rFonts w:ascii="Times New Roman" w:eastAsia="Times New Roman" w:hAnsi="Times New Roman" w:cs="Times New Roman"/>
          <w:color w:val="000000"/>
          <w:sz w:val="24"/>
          <w:szCs w:val="24"/>
          <w:lang/>
        </w:rPr>
        <w:t>не обліковувалися в системі електронного адміністрування реалізації пального станом на 1 липня 2019 року.</w:t>
      </w:r>
    </w:p>
    <w:p w14:paraId="05574E8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7" w:name="n16062"/>
      <w:bookmarkEnd w:id="10647"/>
      <w:r w:rsidRPr="008B264B">
        <w:rPr>
          <w:rFonts w:ascii="Times New Roman" w:eastAsia="Times New Roman" w:hAnsi="Times New Roman" w:cs="Times New Roman"/>
          <w:color w:val="000000"/>
          <w:sz w:val="24"/>
          <w:szCs w:val="24"/>
          <w:lang/>
        </w:rPr>
        <w:t>У заявці на поповнення обсягу залишку пального, складеній платниками, зазначеними у підпункті 1 цього пункту, додатково зазначається код ЄДРПОУ (для юридичних осіб) або реєстраційний номер облікової картки платника податків (для фізичних осіб) суб’єкта господарювання, пальне якого зберігається відповідно до укладених договорів на зберігання.</w:t>
      </w:r>
    </w:p>
    <w:p w14:paraId="016D7A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8" w:name="n16063"/>
      <w:bookmarkEnd w:id="10648"/>
      <w:r w:rsidRPr="008B264B">
        <w:rPr>
          <w:rFonts w:ascii="Times New Roman" w:eastAsia="Times New Roman" w:hAnsi="Times New Roman" w:cs="Times New Roman"/>
          <w:color w:val="000000"/>
          <w:sz w:val="24"/>
          <w:szCs w:val="24"/>
          <w:lang/>
        </w:rPr>
        <w:t>Контролюючим органом у формулі, визначеній </w:t>
      </w:r>
      <w:hyperlink r:id="rId6062" w:anchor="n13223" w:history="1">
        <w:r w:rsidRPr="008B264B">
          <w:rPr>
            <w:rFonts w:ascii="Times New Roman" w:eastAsia="Times New Roman" w:hAnsi="Times New Roman" w:cs="Times New Roman"/>
            <w:color w:val="0000FF"/>
            <w:sz w:val="24"/>
            <w:szCs w:val="24"/>
            <w:u w:val="single"/>
            <w:lang/>
          </w:rPr>
          <w:t>пунктом 232.3</w:t>
        </w:r>
      </w:hyperlink>
      <w:r w:rsidRPr="008B264B">
        <w:rPr>
          <w:rFonts w:ascii="Times New Roman" w:eastAsia="Times New Roman" w:hAnsi="Times New Roman" w:cs="Times New Roman"/>
          <w:color w:val="000000"/>
          <w:sz w:val="24"/>
          <w:szCs w:val="24"/>
          <w:lang/>
        </w:rPr>
        <w:t> статті 232 цього Кодексу, протягом 10 календарних днів враховується обсяг пального, підтверджений результатами проведеної контролюючим органом документальної перевірки, як обсяг, на який платник податку має право зареєструвати акцизні накладні та/або розрахунки коригування в Єдиному реєстрі акцизних накладних.</w:t>
      </w:r>
    </w:p>
    <w:p w14:paraId="5FFB7D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49" w:name="n16064"/>
      <w:bookmarkEnd w:id="10649"/>
      <w:r w:rsidRPr="008B264B">
        <w:rPr>
          <w:rFonts w:ascii="Times New Roman" w:eastAsia="Times New Roman" w:hAnsi="Times New Roman" w:cs="Times New Roman"/>
          <w:color w:val="000000"/>
          <w:sz w:val="24"/>
          <w:szCs w:val="24"/>
          <w:lang/>
        </w:rPr>
        <w:t>Документальна перевірка відповідності даних у поданій відповідно до цього пункту заявці на поповнення обсягу залишку пального фактичним даним та/або даним бухгалтерського обліку підприємства, факту постачання та відображення обсягів реалізації в системі електронного адміністрування реалізації пального до 1 липня 2019 року призначається контролюючим органом в порядку, визначеному законодавством, не пізніше 1 квітня 2020 року.</w:t>
      </w:r>
    </w:p>
    <w:p w14:paraId="4DFFEC3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0" w:name="n16052"/>
      <w:bookmarkEnd w:id="10650"/>
      <w:r w:rsidRPr="008B264B">
        <w:rPr>
          <w:rFonts w:ascii="Times New Roman" w:eastAsia="Times New Roman" w:hAnsi="Times New Roman" w:cs="Times New Roman"/>
          <w:i/>
          <w:iCs/>
          <w:color w:val="000000"/>
          <w:sz w:val="24"/>
          <w:szCs w:val="24"/>
          <w:lang/>
        </w:rPr>
        <w:t>{Підрозділ 5 розділу XX доповнено пунктом 29 згідно із Законом </w:t>
      </w:r>
      <w:hyperlink r:id="rId6063" w:anchor="n206" w:tgtFrame="_blank" w:history="1">
        <w:r w:rsidRPr="008B264B">
          <w:rPr>
            <w:rFonts w:ascii="Times New Roman" w:eastAsia="Times New Roman" w:hAnsi="Times New Roman" w:cs="Times New Roman"/>
            <w:i/>
            <w:iCs/>
            <w:color w:val="0000FF"/>
            <w:sz w:val="24"/>
            <w:szCs w:val="24"/>
            <w:u w:val="single"/>
            <w:lang/>
          </w:rPr>
          <w:t>№ 391-IX від 18.12.2019</w:t>
        </w:r>
      </w:hyperlink>
      <w:r w:rsidRPr="008B264B">
        <w:rPr>
          <w:rFonts w:ascii="Times New Roman" w:eastAsia="Times New Roman" w:hAnsi="Times New Roman" w:cs="Times New Roman"/>
          <w:i/>
          <w:iCs/>
          <w:color w:val="000000"/>
          <w:sz w:val="24"/>
          <w:szCs w:val="24"/>
          <w:lang/>
        </w:rPr>
        <w:t>}</w:t>
      </w:r>
    </w:p>
    <w:p w14:paraId="6E14FC19"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651" w:name="n8427"/>
      <w:bookmarkEnd w:id="10651"/>
      <w:r w:rsidRPr="008B264B">
        <w:rPr>
          <w:rFonts w:ascii="Times New Roman" w:eastAsia="Times New Roman" w:hAnsi="Times New Roman" w:cs="Times New Roman"/>
          <w:b/>
          <w:bCs/>
          <w:color w:val="000000"/>
          <w:sz w:val="28"/>
          <w:szCs w:val="28"/>
          <w:lang/>
        </w:rPr>
        <w:t>Підрозділ 6. Особливості справляння плати за землю</w:t>
      </w:r>
    </w:p>
    <w:p w14:paraId="361845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2" w:name="n13013"/>
      <w:bookmarkEnd w:id="10652"/>
      <w:r w:rsidRPr="008B264B">
        <w:rPr>
          <w:rFonts w:ascii="Times New Roman" w:eastAsia="Times New Roman" w:hAnsi="Times New Roman" w:cs="Times New Roman"/>
          <w:i/>
          <w:iCs/>
          <w:color w:val="000000"/>
          <w:sz w:val="24"/>
          <w:szCs w:val="24"/>
          <w:lang/>
        </w:rPr>
        <w:t>{Назва підрозділу 6 розділу XX із змінами, внесеними згідно із Законом </w:t>
      </w:r>
      <w:hyperlink r:id="rId6064" w:anchor="n717"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C270B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3" w:name="n8428"/>
      <w:bookmarkEnd w:id="10653"/>
      <w:r w:rsidRPr="008B264B">
        <w:rPr>
          <w:rFonts w:ascii="Times New Roman" w:eastAsia="Times New Roman" w:hAnsi="Times New Roman" w:cs="Times New Roman"/>
          <w:color w:val="000000"/>
          <w:sz w:val="24"/>
          <w:szCs w:val="24"/>
          <w:lang/>
        </w:rPr>
        <w:t>1. Протягом дії ратифікованих Верховною Радою України міжнародних договорів (угод) України з питань космічної діяльності щодо створення космічної техніки (включаючи агрегати, системи та їх комплектуючі для космічних комплексів, космічних ракет-носіїв, космічних апаратів та наземних сегментів космічних систем), але не пізніше 1 січня 2023 року, резиденти - суб'єкти космічної діяльності, які отримали ліцензію на право її здійснення та беруть участь у реалізації таких договорів (угод), за земельні ділянки виробничого призначення згідно з </w:t>
      </w:r>
      <w:hyperlink r:id="rId6065" w:anchor="n11" w:tgtFrame="_blank" w:history="1">
        <w:r w:rsidRPr="008B264B">
          <w:rPr>
            <w:rFonts w:ascii="Times New Roman" w:eastAsia="Times New Roman" w:hAnsi="Times New Roman" w:cs="Times New Roman"/>
            <w:color w:val="0000FF"/>
            <w:sz w:val="24"/>
            <w:szCs w:val="24"/>
            <w:u w:val="single"/>
            <w:lang/>
          </w:rPr>
          <w:t>переліком</w:t>
        </w:r>
      </w:hyperlink>
      <w:r w:rsidRPr="008B264B">
        <w:rPr>
          <w:rFonts w:ascii="Times New Roman" w:eastAsia="Times New Roman" w:hAnsi="Times New Roman" w:cs="Times New Roman"/>
          <w:color w:val="000000"/>
          <w:sz w:val="24"/>
          <w:szCs w:val="24"/>
          <w:lang/>
        </w:rPr>
        <w:t>, який затверджується Кабінетом Міністрів України, звільняються від сплати земельного податку.</w:t>
      </w:r>
    </w:p>
    <w:p w14:paraId="60F556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4" w:name="n12194"/>
      <w:bookmarkEnd w:id="10654"/>
      <w:r w:rsidRPr="008B264B">
        <w:rPr>
          <w:rFonts w:ascii="Times New Roman" w:eastAsia="Times New Roman" w:hAnsi="Times New Roman" w:cs="Times New Roman"/>
          <w:i/>
          <w:iCs/>
          <w:color w:val="000000"/>
          <w:sz w:val="24"/>
          <w:szCs w:val="24"/>
          <w:lang/>
        </w:rPr>
        <w:lastRenderedPageBreak/>
        <w:t>{Пункт 1 підрозділу 6 розділу ХХ із змінами, внесеними згідно із Законами </w:t>
      </w:r>
      <w:hyperlink r:id="rId6066" w:anchor="n1788"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w:t>
      </w:r>
      <w:hyperlink r:id="rId6067" w:anchor="n1551"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F1015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5" w:name="n8429"/>
      <w:bookmarkEnd w:id="10655"/>
      <w:r w:rsidRPr="008B264B">
        <w:rPr>
          <w:rFonts w:ascii="Times New Roman" w:eastAsia="Times New Roman" w:hAnsi="Times New Roman" w:cs="Times New Roman"/>
          <w:i/>
          <w:iCs/>
          <w:color w:val="000000"/>
          <w:sz w:val="24"/>
          <w:szCs w:val="24"/>
          <w:lang/>
        </w:rPr>
        <w:t>{Пункт 2 підрозділу 6 розділу ХХ виключено на підставі Закону </w:t>
      </w:r>
      <w:hyperlink r:id="rId6068" w:anchor="n17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71D26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6" w:name="n8430"/>
      <w:bookmarkEnd w:id="10656"/>
      <w:r w:rsidRPr="008B264B">
        <w:rPr>
          <w:rFonts w:ascii="Times New Roman" w:eastAsia="Times New Roman" w:hAnsi="Times New Roman" w:cs="Times New Roman"/>
          <w:i/>
          <w:iCs/>
          <w:color w:val="000000"/>
          <w:sz w:val="24"/>
          <w:szCs w:val="24"/>
          <w:lang/>
        </w:rPr>
        <w:t>{Пункт 3 підрозділу 6 розділу ХХ виключено на підставі Закону </w:t>
      </w:r>
      <w:hyperlink r:id="rId6069" w:anchor="n17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46D327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7" w:name="n8431"/>
      <w:bookmarkEnd w:id="10657"/>
      <w:r w:rsidRPr="008B264B">
        <w:rPr>
          <w:rFonts w:ascii="Times New Roman" w:eastAsia="Times New Roman" w:hAnsi="Times New Roman" w:cs="Times New Roman"/>
          <w:i/>
          <w:iCs/>
          <w:color w:val="000000"/>
          <w:sz w:val="24"/>
          <w:szCs w:val="24"/>
          <w:lang/>
        </w:rPr>
        <w:t>{Пункт 4 підрозділу 6 розділу ХХ виключено на підставі Закону </w:t>
      </w:r>
      <w:hyperlink r:id="rId6070" w:anchor="n17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C34E8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8" w:name="n8433"/>
      <w:bookmarkEnd w:id="10658"/>
      <w:r w:rsidRPr="008B264B">
        <w:rPr>
          <w:rFonts w:ascii="Times New Roman" w:eastAsia="Times New Roman" w:hAnsi="Times New Roman" w:cs="Times New Roman"/>
          <w:i/>
          <w:iCs/>
          <w:color w:val="000000"/>
          <w:sz w:val="24"/>
          <w:szCs w:val="24"/>
          <w:lang/>
        </w:rPr>
        <w:t>{Пункт 5 підрозділу 6 розділу ХХ виключено на підставі Закону </w:t>
      </w:r>
      <w:hyperlink r:id="rId6071" w:anchor="n178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24D897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59" w:name="n13015"/>
      <w:bookmarkEnd w:id="10659"/>
      <w:r w:rsidRPr="008B264B">
        <w:rPr>
          <w:rFonts w:ascii="Times New Roman" w:eastAsia="Times New Roman" w:hAnsi="Times New Roman" w:cs="Times New Roman"/>
          <w:color w:val="000000"/>
          <w:sz w:val="24"/>
          <w:szCs w:val="24"/>
          <w:lang/>
        </w:rPr>
        <w:t>6. Встановити, що індекс споживчих цін за 2015 рік, що використовується для визначення коефіцієнта індексації нормативної грошової оцінки сільськогосподарських угідь (ріллі, багаторічних насаджень, сіножатей, пасовищ та перелогів), застосовується із значенням 120 відсотків.</w:t>
      </w:r>
    </w:p>
    <w:p w14:paraId="244092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0" w:name="n13014"/>
      <w:bookmarkEnd w:id="10660"/>
      <w:r w:rsidRPr="008B264B">
        <w:rPr>
          <w:rFonts w:ascii="Times New Roman" w:eastAsia="Times New Roman" w:hAnsi="Times New Roman" w:cs="Times New Roman"/>
          <w:i/>
          <w:iCs/>
          <w:color w:val="000000"/>
          <w:sz w:val="24"/>
          <w:szCs w:val="24"/>
          <w:lang/>
        </w:rPr>
        <w:t>{Підрозділ 6 розділу XX доповнено пунктом 6 згідно із Законом </w:t>
      </w:r>
      <w:hyperlink r:id="rId6072" w:anchor="n718"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C3E6F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1" w:name="n13309"/>
      <w:bookmarkEnd w:id="10661"/>
      <w:r w:rsidRPr="008B264B">
        <w:rPr>
          <w:rFonts w:ascii="Times New Roman" w:eastAsia="Times New Roman" w:hAnsi="Times New Roman" w:cs="Times New Roman"/>
          <w:color w:val="000000"/>
          <w:sz w:val="24"/>
          <w:szCs w:val="24"/>
          <w:lang/>
        </w:rPr>
        <w:t>7. До 1 січня 2025 року звільняються від сплати земельного податку суб’єкти літакобудування, що підпадають під дію норм </w:t>
      </w:r>
      <w:hyperlink r:id="rId6073" w:tgtFrame="_blank" w:history="1">
        <w:r w:rsidRPr="008B264B">
          <w:rPr>
            <w:rFonts w:ascii="Times New Roman" w:eastAsia="Times New Roman" w:hAnsi="Times New Roman" w:cs="Times New Roman"/>
            <w:color w:val="0000FF"/>
            <w:sz w:val="24"/>
            <w:szCs w:val="24"/>
            <w:u w:val="single"/>
            <w:lang/>
          </w:rPr>
          <w:t>статті 2</w:t>
        </w:r>
      </w:hyperlink>
      <w:r w:rsidRPr="008B264B">
        <w:rPr>
          <w:rFonts w:ascii="Times New Roman" w:eastAsia="Times New Roman" w:hAnsi="Times New Roman" w:cs="Times New Roman"/>
          <w:color w:val="000000"/>
          <w:sz w:val="24"/>
          <w:szCs w:val="24"/>
          <w:lang/>
        </w:rPr>
        <w:t> Закону України "Про розвиток літакобудівної промисловості" і здійснюють розробку та/або виготовлення з кінцевим складанням літальних апаратів та двигунів до них, крім земельних ділянок, на яких розташовані об’єкти соціального, торговельного, сільськогосподарського призначення та непромислового будівництва.</w:t>
      </w:r>
    </w:p>
    <w:p w14:paraId="623872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2" w:name="n13308"/>
      <w:bookmarkEnd w:id="10662"/>
      <w:r w:rsidRPr="008B264B">
        <w:rPr>
          <w:rFonts w:ascii="Times New Roman" w:eastAsia="Times New Roman" w:hAnsi="Times New Roman" w:cs="Times New Roman"/>
          <w:i/>
          <w:iCs/>
          <w:color w:val="000000"/>
          <w:sz w:val="24"/>
          <w:szCs w:val="24"/>
          <w:lang/>
        </w:rPr>
        <w:t>{Підрозділ 6 розділу XX доповнено пунктом 7 згідно із Законом </w:t>
      </w:r>
      <w:hyperlink r:id="rId6074" w:anchor="n17" w:tgtFrame="_blank" w:history="1">
        <w:r w:rsidRPr="008B264B">
          <w:rPr>
            <w:rFonts w:ascii="Times New Roman" w:eastAsia="Times New Roman" w:hAnsi="Times New Roman" w:cs="Times New Roman"/>
            <w:i/>
            <w:iCs/>
            <w:color w:val="0000FF"/>
            <w:sz w:val="24"/>
            <w:szCs w:val="24"/>
            <w:u w:val="single"/>
            <w:lang/>
          </w:rPr>
          <w:t>№ 1795-VIII від 20.12.2016</w:t>
        </w:r>
      </w:hyperlink>
      <w:r w:rsidRPr="008B264B">
        <w:rPr>
          <w:rFonts w:ascii="Times New Roman" w:eastAsia="Times New Roman" w:hAnsi="Times New Roman" w:cs="Times New Roman"/>
          <w:i/>
          <w:iCs/>
          <w:color w:val="000000"/>
          <w:sz w:val="24"/>
          <w:szCs w:val="24"/>
          <w:lang/>
        </w:rPr>
        <w:t>}</w:t>
      </w:r>
    </w:p>
    <w:p w14:paraId="2A977F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3" w:name="n13398"/>
      <w:bookmarkEnd w:id="10663"/>
      <w:r w:rsidRPr="008B264B">
        <w:rPr>
          <w:rFonts w:ascii="Times New Roman" w:eastAsia="Times New Roman" w:hAnsi="Times New Roman" w:cs="Times New Roman"/>
          <w:color w:val="000000"/>
          <w:sz w:val="24"/>
          <w:szCs w:val="24"/>
          <w:lang/>
        </w:rPr>
        <w:t>8. Установити, що індекс споживчих цін за 2016 рік, що використовується для визначення коефіцієнта індексації нормативної грошової оцінки земель, застосовується із значенням:</w:t>
      </w:r>
    </w:p>
    <w:p w14:paraId="11042B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4" w:name="n13399"/>
      <w:bookmarkEnd w:id="10664"/>
      <w:r w:rsidRPr="008B264B">
        <w:rPr>
          <w:rFonts w:ascii="Times New Roman" w:eastAsia="Times New Roman" w:hAnsi="Times New Roman" w:cs="Times New Roman"/>
          <w:color w:val="000000"/>
          <w:sz w:val="24"/>
          <w:szCs w:val="24"/>
          <w:lang/>
        </w:rPr>
        <w:t>для сільськогосподарських угідь (ріллі, багаторічних насаджень, сіножатей, пасовищ та перелогів) - 100 відсотків;</w:t>
      </w:r>
    </w:p>
    <w:p w14:paraId="68179F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5" w:name="n13400"/>
      <w:bookmarkEnd w:id="10665"/>
      <w:r w:rsidRPr="008B264B">
        <w:rPr>
          <w:rFonts w:ascii="Times New Roman" w:eastAsia="Times New Roman" w:hAnsi="Times New Roman" w:cs="Times New Roman"/>
          <w:color w:val="000000"/>
          <w:sz w:val="24"/>
          <w:szCs w:val="24"/>
          <w:lang/>
        </w:rPr>
        <w:t>для земель несільськогосподарського призначення - 106 відсотків.</w:t>
      </w:r>
    </w:p>
    <w:p w14:paraId="6D4882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6" w:name="n13397"/>
      <w:bookmarkEnd w:id="10666"/>
      <w:r w:rsidRPr="008B264B">
        <w:rPr>
          <w:rFonts w:ascii="Times New Roman" w:eastAsia="Times New Roman" w:hAnsi="Times New Roman" w:cs="Times New Roman"/>
          <w:i/>
          <w:iCs/>
          <w:color w:val="000000"/>
          <w:sz w:val="24"/>
          <w:szCs w:val="24"/>
          <w:lang/>
        </w:rPr>
        <w:t>{Підрозділ 6 розділу XX доповнено пунктом 8 згідно із Законом </w:t>
      </w:r>
      <w:hyperlink r:id="rId6075" w:anchor="n168"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w:t>
      </w:r>
    </w:p>
    <w:p w14:paraId="11CB12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7" w:name="n15072"/>
      <w:bookmarkEnd w:id="10667"/>
      <w:r w:rsidRPr="008B264B">
        <w:rPr>
          <w:rFonts w:ascii="Times New Roman" w:eastAsia="Times New Roman" w:hAnsi="Times New Roman" w:cs="Times New Roman"/>
          <w:color w:val="000000"/>
          <w:sz w:val="24"/>
          <w:szCs w:val="24"/>
          <w:lang/>
        </w:rPr>
        <w:t>9. Установити, що індекс споживчих цін за 2017-2023 роки, що використовується для визначення коефіцієнта індексації нормативної грошової оцінки сільськогосподарських угідь, земель населених пунктів та інших земель несільськогосподарського призначення, застосовується із значенням 100 відсотків.</w:t>
      </w:r>
    </w:p>
    <w:p w14:paraId="369C18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68" w:name="n15071"/>
      <w:bookmarkEnd w:id="10668"/>
      <w:r w:rsidRPr="008B264B">
        <w:rPr>
          <w:rFonts w:ascii="Times New Roman" w:eastAsia="Times New Roman" w:hAnsi="Times New Roman" w:cs="Times New Roman"/>
          <w:i/>
          <w:iCs/>
          <w:color w:val="000000"/>
          <w:sz w:val="24"/>
          <w:szCs w:val="24"/>
          <w:lang/>
        </w:rPr>
        <w:t>{Підрозділ 6 розділу XX доповнено пунктом 9 згідно із Законом </w:t>
      </w:r>
      <w:hyperlink r:id="rId6076" w:anchor="n55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077" w:anchor="n736"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1D68FAFB"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669" w:name="n8435"/>
      <w:bookmarkEnd w:id="10669"/>
      <w:r w:rsidRPr="008B264B">
        <w:rPr>
          <w:rFonts w:ascii="Times New Roman" w:eastAsia="Times New Roman" w:hAnsi="Times New Roman" w:cs="Times New Roman"/>
          <w:b/>
          <w:bCs/>
          <w:color w:val="000000"/>
          <w:sz w:val="28"/>
          <w:szCs w:val="28"/>
          <w:lang/>
        </w:rPr>
        <w:t>Підрозділ 7. Особливості порядку повернення торгових патентів</w:t>
      </w:r>
    </w:p>
    <w:p w14:paraId="5F712EA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0" w:name="n8436"/>
      <w:bookmarkEnd w:id="10670"/>
      <w:r w:rsidRPr="008B264B">
        <w:rPr>
          <w:rFonts w:ascii="Times New Roman" w:eastAsia="Times New Roman" w:hAnsi="Times New Roman" w:cs="Times New Roman"/>
          <w:color w:val="000000"/>
          <w:sz w:val="24"/>
          <w:szCs w:val="24"/>
          <w:lang/>
        </w:rPr>
        <w:t>1. Торгові патенти, видані згідно з вимогами </w:t>
      </w:r>
      <w:hyperlink r:id="rId6078" w:tgtFrame="_blank" w:history="1">
        <w:r w:rsidRPr="008B264B">
          <w:rPr>
            <w:rFonts w:ascii="Times New Roman" w:eastAsia="Times New Roman" w:hAnsi="Times New Roman" w:cs="Times New Roman"/>
            <w:color w:val="0000FF"/>
            <w:sz w:val="24"/>
            <w:szCs w:val="24"/>
            <w:u w:val="single"/>
            <w:lang/>
          </w:rPr>
          <w:t>Закону України "Про патентування деяких видів підприємницької діяльності"</w:t>
        </w:r>
      </w:hyperlink>
      <w:r w:rsidRPr="008B264B">
        <w:rPr>
          <w:rFonts w:ascii="Times New Roman" w:eastAsia="Times New Roman" w:hAnsi="Times New Roman" w:cs="Times New Roman"/>
          <w:color w:val="000000"/>
          <w:sz w:val="24"/>
          <w:szCs w:val="24"/>
          <w:lang/>
        </w:rPr>
        <w:t>, строк дії яких не закінчився на момент набрання чинності цим Кодексом, підлягають поверненню до контролюючих органів за місцем їх придбання у тримісячний строк (але не пізніше закінчення строку їх дії).</w:t>
      </w:r>
    </w:p>
    <w:p w14:paraId="14176A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1" w:name="n8437"/>
      <w:bookmarkEnd w:id="10671"/>
      <w:r w:rsidRPr="008B264B">
        <w:rPr>
          <w:rFonts w:ascii="Times New Roman" w:eastAsia="Times New Roman" w:hAnsi="Times New Roman" w:cs="Times New Roman"/>
          <w:color w:val="000000"/>
          <w:sz w:val="24"/>
          <w:szCs w:val="24"/>
          <w:lang/>
        </w:rPr>
        <w:t>2. Суб'єкти господарювання несуть відповідальність за дотримання порядку використання торгових патентів, виданих відповідно до </w:t>
      </w:r>
      <w:hyperlink r:id="rId6079" w:tgtFrame="_blank" w:history="1">
        <w:r w:rsidRPr="008B264B">
          <w:rPr>
            <w:rFonts w:ascii="Times New Roman" w:eastAsia="Times New Roman" w:hAnsi="Times New Roman" w:cs="Times New Roman"/>
            <w:color w:val="0000FF"/>
            <w:sz w:val="24"/>
            <w:szCs w:val="24"/>
            <w:u w:val="single"/>
            <w:lang/>
          </w:rPr>
          <w:t>Закону України "Про патентування деяких видів підприємницької діяльності"</w:t>
        </w:r>
      </w:hyperlink>
      <w:r w:rsidRPr="008B264B">
        <w:rPr>
          <w:rFonts w:ascii="Times New Roman" w:eastAsia="Times New Roman" w:hAnsi="Times New Roman" w:cs="Times New Roman"/>
          <w:color w:val="000000"/>
          <w:sz w:val="24"/>
          <w:szCs w:val="24"/>
          <w:lang/>
        </w:rPr>
        <w:t>, та за дотримання строку сплати за них, передбачену </w:t>
      </w:r>
      <w:hyperlink r:id="rId6080" w:anchor="n2349" w:history="1">
        <w:r w:rsidRPr="008B264B">
          <w:rPr>
            <w:rFonts w:ascii="Times New Roman" w:eastAsia="Times New Roman" w:hAnsi="Times New Roman" w:cs="Times New Roman"/>
            <w:color w:val="0000FF"/>
            <w:sz w:val="24"/>
            <w:szCs w:val="24"/>
            <w:u w:val="single"/>
            <w:lang/>
          </w:rPr>
          <w:t>главою 11 розділу II</w:t>
        </w:r>
      </w:hyperlink>
      <w:r w:rsidRPr="008B264B">
        <w:rPr>
          <w:rFonts w:ascii="Times New Roman" w:eastAsia="Times New Roman" w:hAnsi="Times New Roman" w:cs="Times New Roman"/>
          <w:color w:val="000000"/>
          <w:sz w:val="24"/>
          <w:szCs w:val="24"/>
          <w:lang/>
        </w:rPr>
        <w:t> цього Кодексу.</w:t>
      </w:r>
    </w:p>
    <w:p w14:paraId="6158B71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2" w:name="n12196"/>
      <w:bookmarkEnd w:id="10672"/>
      <w:r w:rsidRPr="008B264B">
        <w:rPr>
          <w:rFonts w:ascii="Times New Roman" w:eastAsia="Times New Roman" w:hAnsi="Times New Roman" w:cs="Times New Roman"/>
          <w:color w:val="000000"/>
          <w:sz w:val="24"/>
          <w:szCs w:val="24"/>
          <w:lang/>
        </w:rPr>
        <w:t>3. Суб’єкти господарювання, які порушили порядок отримання та використання торгового патенту за період до 1 січня 2015 року, несуть відповідальність в порядку та на умовах, що діяли до 1 січня 2015 року.</w:t>
      </w:r>
    </w:p>
    <w:p w14:paraId="2374115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3" w:name="n12195"/>
      <w:bookmarkEnd w:id="10673"/>
      <w:r w:rsidRPr="008B264B">
        <w:rPr>
          <w:rFonts w:ascii="Times New Roman" w:eastAsia="Times New Roman" w:hAnsi="Times New Roman" w:cs="Times New Roman"/>
          <w:i/>
          <w:iCs/>
          <w:color w:val="000000"/>
          <w:sz w:val="24"/>
          <w:szCs w:val="24"/>
          <w:lang/>
        </w:rPr>
        <w:t>{Підрозділ 7 розділу ХХ доповнено пунктом 3 згідно із Законом </w:t>
      </w:r>
      <w:hyperlink r:id="rId6081" w:anchor="n1790"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6CA34B6"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674" w:name="n8438"/>
      <w:bookmarkEnd w:id="10674"/>
      <w:r w:rsidRPr="008B264B">
        <w:rPr>
          <w:rFonts w:ascii="Times New Roman" w:eastAsia="Times New Roman" w:hAnsi="Times New Roman" w:cs="Times New Roman"/>
          <w:b/>
          <w:bCs/>
          <w:color w:val="000000"/>
          <w:sz w:val="28"/>
          <w:szCs w:val="28"/>
          <w:lang/>
        </w:rPr>
        <w:lastRenderedPageBreak/>
        <w:t>Підрозділ 8. Особливості справляння єдиного податку та фіксованого податку</w:t>
      </w:r>
    </w:p>
    <w:p w14:paraId="0654F87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5" w:name="n8439"/>
      <w:bookmarkEnd w:id="10675"/>
      <w:r w:rsidRPr="008B264B">
        <w:rPr>
          <w:rFonts w:ascii="Times New Roman" w:eastAsia="Times New Roman" w:hAnsi="Times New Roman" w:cs="Times New Roman"/>
          <w:color w:val="000000"/>
          <w:sz w:val="24"/>
          <w:szCs w:val="24"/>
          <w:lang/>
        </w:rPr>
        <w:t>1. Встановити, що з 1 січня 2011 року до внесення змін до </w:t>
      </w:r>
      <w:hyperlink r:id="rId6082" w:anchor="n6941" w:history="1">
        <w:r w:rsidRPr="008B264B">
          <w:rPr>
            <w:rFonts w:ascii="Times New Roman" w:eastAsia="Times New Roman" w:hAnsi="Times New Roman" w:cs="Times New Roman"/>
            <w:color w:val="0000FF"/>
            <w:sz w:val="24"/>
            <w:szCs w:val="24"/>
            <w:u w:val="single"/>
            <w:lang/>
          </w:rPr>
          <w:t>розділу XIV</w:t>
        </w:r>
      </w:hyperlink>
      <w:r w:rsidRPr="008B264B">
        <w:rPr>
          <w:rFonts w:ascii="Times New Roman" w:eastAsia="Times New Roman" w:hAnsi="Times New Roman" w:cs="Times New Roman"/>
          <w:color w:val="000000"/>
          <w:sz w:val="24"/>
          <w:szCs w:val="24"/>
          <w:lang/>
        </w:rPr>
        <w:t> Податкового кодексу України в частині оподаткування суб'єктів малого підприємництва </w:t>
      </w:r>
      <w:hyperlink r:id="rId6083" w:tgtFrame="_blank" w:history="1">
        <w:r w:rsidRPr="008B264B">
          <w:rPr>
            <w:rFonts w:ascii="Times New Roman" w:eastAsia="Times New Roman" w:hAnsi="Times New Roman" w:cs="Times New Roman"/>
            <w:color w:val="0000FF"/>
            <w:sz w:val="24"/>
            <w:szCs w:val="24"/>
            <w:u w:val="single"/>
            <w:lang/>
          </w:rPr>
          <w:t>Указ Президента України від 3 липня 1998 року № 727</w:t>
        </w:r>
      </w:hyperlink>
      <w:r w:rsidRPr="008B264B">
        <w:rPr>
          <w:rFonts w:ascii="Times New Roman" w:eastAsia="Times New Roman" w:hAnsi="Times New Roman" w:cs="Times New Roman"/>
          <w:color w:val="000000"/>
          <w:sz w:val="24"/>
          <w:szCs w:val="24"/>
          <w:lang/>
        </w:rPr>
        <w:t> "Про спрощену систему оподаткування, обліку та звітності суб'єктів малого підприємництва" (з наступними змінами) та абзаци шостий - двадцять восьмий пункту 1 статті 14 розділу IV </w:t>
      </w:r>
      <w:hyperlink r:id="rId6084" w:tgtFrame="_blank" w:history="1">
        <w:r w:rsidRPr="008B264B">
          <w:rPr>
            <w:rFonts w:ascii="Times New Roman" w:eastAsia="Times New Roman" w:hAnsi="Times New Roman" w:cs="Times New Roman"/>
            <w:color w:val="0000FF"/>
            <w:sz w:val="24"/>
            <w:szCs w:val="24"/>
            <w:u w:val="single"/>
            <w:lang/>
          </w:rPr>
          <w:t>Декрету Кабінету Міністрів України від 26 грудня 1992 року № 13-92</w:t>
        </w:r>
      </w:hyperlink>
      <w:r w:rsidRPr="008B264B">
        <w:rPr>
          <w:rFonts w:ascii="Times New Roman" w:eastAsia="Times New Roman" w:hAnsi="Times New Roman" w:cs="Times New Roman"/>
          <w:color w:val="000000"/>
          <w:sz w:val="24"/>
          <w:szCs w:val="24"/>
          <w:lang/>
        </w:rPr>
        <w:t> "Про прибутковий податок з громадян" застосовуються з урахуванням таких особливостей:</w:t>
      </w:r>
    </w:p>
    <w:p w14:paraId="04CDD3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6" w:name="n8440"/>
      <w:bookmarkEnd w:id="10676"/>
      <w:r w:rsidRPr="008B264B">
        <w:rPr>
          <w:rFonts w:ascii="Times New Roman" w:eastAsia="Times New Roman" w:hAnsi="Times New Roman" w:cs="Times New Roman"/>
          <w:color w:val="000000"/>
          <w:sz w:val="24"/>
          <w:szCs w:val="24"/>
          <w:lang/>
        </w:rPr>
        <w:t>1) платники єдиного податку не є платниками таких податків і зборів, визначених Податковим кодексом України:</w:t>
      </w:r>
    </w:p>
    <w:p w14:paraId="67363F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7" w:name="n8441"/>
      <w:bookmarkEnd w:id="10677"/>
      <w:r w:rsidRPr="008B264B">
        <w:rPr>
          <w:rFonts w:ascii="Times New Roman" w:eastAsia="Times New Roman" w:hAnsi="Times New Roman" w:cs="Times New Roman"/>
          <w:color w:val="000000"/>
          <w:sz w:val="24"/>
          <w:szCs w:val="24"/>
          <w:lang/>
        </w:rPr>
        <w:t>а) податок на прибуток підприємств;</w:t>
      </w:r>
    </w:p>
    <w:p w14:paraId="2740C85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8" w:name="n8442"/>
      <w:bookmarkEnd w:id="10678"/>
      <w:r w:rsidRPr="008B264B">
        <w:rPr>
          <w:rFonts w:ascii="Times New Roman" w:eastAsia="Times New Roman" w:hAnsi="Times New Roman" w:cs="Times New Roman"/>
          <w:color w:val="000000"/>
          <w:sz w:val="24"/>
          <w:szCs w:val="24"/>
          <w:lang/>
        </w:rPr>
        <w:t>б) податок на доходи фізичних осіб (для фізичних осіб - підприємців);</w:t>
      </w:r>
    </w:p>
    <w:p w14:paraId="7B5365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79" w:name="n8443"/>
      <w:bookmarkEnd w:id="10679"/>
      <w:r w:rsidRPr="008B264B">
        <w:rPr>
          <w:rFonts w:ascii="Times New Roman" w:eastAsia="Times New Roman" w:hAnsi="Times New Roman" w:cs="Times New Roman"/>
          <w:color w:val="000000"/>
          <w:sz w:val="24"/>
          <w:szCs w:val="24"/>
          <w:lang/>
        </w:rPr>
        <w:t>в) податок на додану вартість з операцій з постачання товарів та послуг, місце надання яких розташоване на митній території України, за винятком податку на додану вартість, що сплачується юридичними особами, які обрали ставку оподаткування 6 відсотків;</w:t>
      </w:r>
    </w:p>
    <w:p w14:paraId="49608E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0" w:name="n8444"/>
      <w:bookmarkEnd w:id="10680"/>
      <w:r w:rsidRPr="008B264B">
        <w:rPr>
          <w:rFonts w:ascii="Times New Roman" w:eastAsia="Times New Roman" w:hAnsi="Times New Roman" w:cs="Times New Roman"/>
          <w:color w:val="000000"/>
          <w:sz w:val="24"/>
          <w:szCs w:val="24"/>
          <w:lang/>
        </w:rPr>
        <w:t>г) земельний податок, крім земельного податку за земельні ділянки, що не використовуються для ведення підприємницької діяльності;</w:t>
      </w:r>
    </w:p>
    <w:p w14:paraId="1839A3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1" w:name="n8445"/>
      <w:bookmarkEnd w:id="10681"/>
      <w:r w:rsidRPr="008B264B">
        <w:rPr>
          <w:rFonts w:ascii="Times New Roman" w:eastAsia="Times New Roman" w:hAnsi="Times New Roman" w:cs="Times New Roman"/>
          <w:color w:val="000000"/>
          <w:sz w:val="24"/>
          <w:szCs w:val="24"/>
          <w:lang/>
        </w:rPr>
        <w:t>ґ) плата за користування надрами;</w:t>
      </w:r>
    </w:p>
    <w:p w14:paraId="7646A2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2" w:name="n8446"/>
      <w:bookmarkEnd w:id="10682"/>
      <w:r w:rsidRPr="008B264B">
        <w:rPr>
          <w:rFonts w:ascii="Times New Roman" w:eastAsia="Times New Roman" w:hAnsi="Times New Roman" w:cs="Times New Roman"/>
          <w:color w:val="000000"/>
          <w:sz w:val="24"/>
          <w:szCs w:val="24"/>
          <w:lang/>
        </w:rPr>
        <w:t>д) збір за спеціальне використання води;</w:t>
      </w:r>
    </w:p>
    <w:p w14:paraId="0EC70C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3" w:name="n8447"/>
      <w:bookmarkEnd w:id="10683"/>
      <w:r w:rsidRPr="008B264B">
        <w:rPr>
          <w:rFonts w:ascii="Times New Roman" w:eastAsia="Times New Roman" w:hAnsi="Times New Roman" w:cs="Times New Roman"/>
          <w:color w:val="000000"/>
          <w:sz w:val="24"/>
          <w:szCs w:val="24"/>
          <w:lang/>
        </w:rPr>
        <w:t>е) збір за спеціальне використання лісових ресурсів;</w:t>
      </w:r>
    </w:p>
    <w:p w14:paraId="0530D6D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4" w:name="n8448"/>
      <w:bookmarkEnd w:id="10684"/>
      <w:r w:rsidRPr="008B264B">
        <w:rPr>
          <w:rFonts w:ascii="Times New Roman" w:eastAsia="Times New Roman" w:hAnsi="Times New Roman" w:cs="Times New Roman"/>
          <w:color w:val="000000"/>
          <w:sz w:val="24"/>
          <w:szCs w:val="24"/>
          <w:lang/>
        </w:rPr>
        <w:t>є) збір за провадження деяких видів підприємницької діяльності;</w:t>
      </w:r>
    </w:p>
    <w:p w14:paraId="3DAEFE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5" w:name="n8449"/>
      <w:bookmarkEnd w:id="10685"/>
      <w:r w:rsidRPr="008B264B">
        <w:rPr>
          <w:rFonts w:ascii="Times New Roman" w:eastAsia="Times New Roman" w:hAnsi="Times New Roman" w:cs="Times New Roman"/>
          <w:color w:val="000000"/>
          <w:sz w:val="24"/>
          <w:szCs w:val="24"/>
          <w:lang/>
        </w:rPr>
        <w:t>2) нарахування, обчислення та сплата єдиного внеску на загальнообов'язкове державне соціальне страхування здійснюються суб'єктами малого підприємництва, які сплачують єдиний податок відповідно до </w:t>
      </w:r>
      <w:hyperlink r:id="rId6085" w:tgtFrame="_blank" w:history="1">
        <w:r w:rsidRPr="008B264B">
          <w:rPr>
            <w:rFonts w:ascii="Times New Roman" w:eastAsia="Times New Roman" w:hAnsi="Times New Roman" w:cs="Times New Roman"/>
            <w:color w:val="0000FF"/>
            <w:sz w:val="24"/>
            <w:szCs w:val="24"/>
            <w:u w:val="single"/>
            <w:lang/>
          </w:rPr>
          <w:t>Указу Президента України від 3 липня 1998 року № 727</w:t>
        </w:r>
      </w:hyperlink>
      <w:r w:rsidRPr="008B264B">
        <w:rPr>
          <w:rFonts w:ascii="Times New Roman" w:eastAsia="Times New Roman" w:hAnsi="Times New Roman" w:cs="Times New Roman"/>
          <w:color w:val="000000"/>
          <w:sz w:val="24"/>
          <w:szCs w:val="24"/>
          <w:lang/>
        </w:rPr>
        <w:t> "Про спрощену систему оподаткування, обліку та звітності суб'єктів малого підприємництва" (з наступними змінами) або фіксований податок відповідно до абзаців шостого - двадцять восьмого пункту 1 статті 14 розділу IV </w:t>
      </w:r>
      <w:hyperlink r:id="rId6086" w:tgtFrame="_blank" w:history="1">
        <w:r w:rsidRPr="008B264B">
          <w:rPr>
            <w:rFonts w:ascii="Times New Roman" w:eastAsia="Times New Roman" w:hAnsi="Times New Roman" w:cs="Times New Roman"/>
            <w:color w:val="0000FF"/>
            <w:sz w:val="24"/>
            <w:szCs w:val="24"/>
            <w:u w:val="single"/>
            <w:lang/>
          </w:rPr>
          <w:t>Декрету Кабінету Міністрів України від 26 грудня 1992 року № 13-92</w:t>
        </w:r>
      </w:hyperlink>
      <w:r w:rsidRPr="008B264B">
        <w:rPr>
          <w:rFonts w:ascii="Times New Roman" w:eastAsia="Times New Roman" w:hAnsi="Times New Roman" w:cs="Times New Roman"/>
          <w:color w:val="000000"/>
          <w:sz w:val="24"/>
          <w:szCs w:val="24"/>
          <w:lang/>
        </w:rPr>
        <w:t> "Про прибутковий податок з громадян", у порядку, визначеному </w:t>
      </w:r>
      <w:hyperlink r:id="rId6087" w:tgtFrame="_blank" w:history="1">
        <w:r w:rsidRPr="008B264B">
          <w:rPr>
            <w:rFonts w:ascii="Times New Roman" w:eastAsia="Times New Roman" w:hAnsi="Times New Roman" w:cs="Times New Roman"/>
            <w:color w:val="0000FF"/>
            <w:sz w:val="24"/>
            <w:szCs w:val="24"/>
            <w:u w:val="single"/>
            <w:lang/>
          </w:rPr>
          <w:t>Законом України "Про збір та облік єдиного внеску на загальнообов'язкове державне соціальне страхування"</w:t>
        </w:r>
      </w:hyperlink>
      <w:r w:rsidRPr="008B264B">
        <w:rPr>
          <w:rFonts w:ascii="Times New Roman" w:eastAsia="Times New Roman" w:hAnsi="Times New Roman" w:cs="Times New Roman"/>
          <w:color w:val="000000"/>
          <w:sz w:val="24"/>
          <w:szCs w:val="24"/>
          <w:lang/>
        </w:rPr>
        <w:t>;</w:t>
      </w:r>
    </w:p>
    <w:p w14:paraId="7D6B180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6" w:name="n8450"/>
      <w:bookmarkEnd w:id="10686"/>
      <w:r w:rsidRPr="008B264B">
        <w:rPr>
          <w:rFonts w:ascii="Times New Roman" w:eastAsia="Times New Roman" w:hAnsi="Times New Roman" w:cs="Times New Roman"/>
          <w:color w:val="000000"/>
          <w:sz w:val="24"/>
          <w:szCs w:val="24"/>
          <w:lang/>
        </w:rPr>
        <w:t>3) єдиний податок або фіксований податок сплачується на рахунок відповідного бюджету в розмірі частини єдиного податку або фіксованого податку, що підлягають перерахуванню до цих бюджетів відповідно до норм </w:t>
      </w:r>
      <w:hyperlink r:id="rId6088" w:tgtFrame="_blank" w:history="1">
        <w:r w:rsidRPr="008B264B">
          <w:rPr>
            <w:rFonts w:ascii="Times New Roman" w:eastAsia="Times New Roman" w:hAnsi="Times New Roman" w:cs="Times New Roman"/>
            <w:color w:val="0000FF"/>
            <w:sz w:val="24"/>
            <w:szCs w:val="24"/>
            <w:u w:val="single"/>
            <w:lang/>
          </w:rPr>
          <w:t>Указу Президента України від 3 липня 1998 року № 727</w:t>
        </w:r>
      </w:hyperlink>
      <w:r w:rsidRPr="008B264B">
        <w:rPr>
          <w:rFonts w:ascii="Times New Roman" w:eastAsia="Times New Roman" w:hAnsi="Times New Roman" w:cs="Times New Roman"/>
          <w:color w:val="000000"/>
          <w:sz w:val="24"/>
          <w:szCs w:val="24"/>
          <w:lang/>
        </w:rPr>
        <w:t> "Про спрощену систему оподаткування, обліку та звітності суб'єктів малого підприємництва" (з наступними змінами) та </w:t>
      </w:r>
      <w:hyperlink r:id="rId6089" w:tgtFrame="_blank" w:history="1">
        <w:r w:rsidRPr="008B264B">
          <w:rPr>
            <w:rFonts w:ascii="Times New Roman" w:eastAsia="Times New Roman" w:hAnsi="Times New Roman" w:cs="Times New Roman"/>
            <w:color w:val="0000FF"/>
            <w:sz w:val="24"/>
            <w:szCs w:val="24"/>
            <w:u w:val="single"/>
            <w:lang/>
          </w:rPr>
          <w:t>Закону України "Про внесення змін до Декрету Кабінету Міністрів України "Про прибутковий податок з громадян"</w:t>
        </w:r>
      </w:hyperlink>
      <w:r w:rsidRPr="008B264B">
        <w:rPr>
          <w:rFonts w:ascii="Times New Roman" w:eastAsia="Times New Roman" w:hAnsi="Times New Roman" w:cs="Times New Roman"/>
          <w:color w:val="000000"/>
          <w:sz w:val="24"/>
          <w:szCs w:val="24"/>
          <w:lang/>
        </w:rPr>
        <w:t> (Відомості Верховної Ради України, 1998 р., № 30-31, ст. 195) (крім єдиного податку, який сплачується у січні 2011 року за останній звітний (податковий) період 2010 року). При цьому розподіл коштів єдиного податку або фіксованого податку на загальнообов'язкове державне соціальне страхування та/або до Пенсійного фонду України Державним казначейством України не здійснюється;</w:t>
      </w:r>
    </w:p>
    <w:p w14:paraId="10852D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7" w:name="n8451"/>
      <w:bookmarkEnd w:id="10687"/>
      <w:r w:rsidRPr="008B264B">
        <w:rPr>
          <w:rFonts w:ascii="Times New Roman" w:eastAsia="Times New Roman" w:hAnsi="Times New Roman" w:cs="Times New Roman"/>
          <w:color w:val="000000"/>
          <w:sz w:val="24"/>
          <w:szCs w:val="24"/>
          <w:lang/>
        </w:rPr>
        <w:t>4) зарахування до бюджетів та фондів загальнообов'язкового державного соціального страхування (у тому числі пенсійного страхування) єдиного податку, який сплачується у січні 2011 року за останній звітний (податковий) період 2010 року, здійснюється у порядку та на умовах, які діяли до 1 січня 2011 року;</w:t>
      </w:r>
    </w:p>
    <w:p w14:paraId="603989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8" w:name="n8452"/>
      <w:bookmarkEnd w:id="10688"/>
      <w:r w:rsidRPr="008B264B">
        <w:rPr>
          <w:rFonts w:ascii="Times New Roman" w:eastAsia="Times New Roman" w:hAnsi="Times New Roman" w:cs="Times New Roman"/>
          <w:color w:val="000000"/>
          <w:sz w:val="24"/>
          <w:szCs w:val="24"/>
          <w:lang/>
        </w:rPr>
        <w:t xml:space="preserve">5) повернення сум єдиного податку та фіксованого податку, які були сплачені до 1 січня 2011 року помилково або надміру, а також зарахування сум погашення податкового боргу, що </w:t>
      </w:r>
      <w:r w:rsidRPr="008B264B">
        <w:rPr>
          <w:rFonts w:ascii="Times New Roman" w:eastAsia="Times New Roman" w:hAnsi="Times New Roman" w:cs="Times New Roman"/>
          <w:color w:val="000000"/>
          <w:sz w:val="24"/>
          <w:szCs w:val="24"/>
          <w:lang/>
        </w:rPr>
        <w:lastRenderedPageBreak/>
        <w:t>сформувався станом на 31 грудня 2010 року, здійснюються у встановленому порядку з урахуванням цього підрозділу;</w:t>
      </w:r>
    </w:p>
    <w:p w14:paraId="1A62902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89" w:name="n8453"/>
      <w:bookmarkEnd w:id="10689"/>
      <w:r w:rsidRPr="008B264B">
        <w:rPr>
          <w:rFonts w:ascii="Times New Roman" w:eastAsia="Times New Roman" w:hAnsi="Times New Roman" w:cs="Times New Roman"/>
          <w:color w:val="000000"/>
          <w:sz w:val="24"/>
          <w:szCs w:val="24"/>
          <w:lang/>
        </w:rPr>
        <w:t>6) у разі повернення авансів (інших платежів), отриманих в період перебування платника податків на спрощеній системі оподаткування, з яких був сплачений єдиний податок, на суму такого повернення відбувається коригування суми виручки від реалізації продукції (товарів, робіт, послуг) у відповідності з коригуванням суми єдиного податку в порядку, передбаченому цим Кодексом.</w:t>
      </w:r>
    </w:p>
    <w:p w14:paraId="524102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0" w:name="n8454"/>
      <w:bookmarkEnd w:id="10690"/>
      <w:r w:rsidRPr="008B264B">
        <w:rPr>
          <w:rFonts w:ascii="Times New Roman" w:eastAsia="Times New Roman" w:hAnsi="Times New Roman" w:cs="Times New Roman"/>
          <w:i/>
          <w:iCs/>
          <w:color w:val="000000"/>
          <w:sz w:val="24"/>
          <w:szCs w:val="24"/>
          <w:lang/>
        </w:rPr>
        <w:t>{Пункт 1 підрозділу 8 розділу XX доповнено підпунктом 6 згідно із Законом </w:t>
      </w:r>
      <w:hyperlink r:id="rId6090"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231397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1" w:name="n8455"/>
      <w:bookmarkEnd w:id="10691"/>
      <w:r w:rsidRPr="008B264B">
        <w:rPr>
          <w:rFonts w:ascii="Times New Roman" w:eastAsia="Times New Roman" w:hAnsi="Times New Roman" w:cs="Times New Roman"/>
          <w:color w:val="000000"/>
          <w:sz w:val="24"/>
          <w:szCs w:val="24"/>
          <w:lang/>
        </w:rPr>
        <w:t>2. Установити, що норми </w:t>
      </w:r>
      <w:hyperlink r:id="rId6091" w:anchor="n7098" w:history="1">
        <w:r w:rsidRPr="008B264B">
          <w:rPr>
            <w:rFonts w:ascii="Times New Roman" w:eastAsia="Times New Roman" w:hAnsi="Times New Roman" w:cs="Times New Roman"/>
            <w:color w:val="0000FF"/>
            <w:sz w:val="24"/>
            <w:szCs w:val="24"/>
            <w:u w:val="single"/>
            <w:lang/>
          </w:rPr>
          <w:t>підпункту 2 пункту 293.4</w:t>
        </w:r>
      </w:hyperlink>
      <w:r w:rsidRPr="008B264B">
        <w:rPr>
          <w:rFonts w:ascii="Times New Roman" w:eastAsia="Times New Roman" w:hAnsi="Times New Roman" w:cs="Times New Roman"/>
          <w:color w:val="000000"/>
          <w:sz w:val="24"/>
          <w:szCs w:val="24"/>
          <w:lang/>
        </w:rPr>
        <w:t> статті 293 та </w:t>
      </w:r>
      <w:hyperlink r:id="rId6092" w:anchor="n7252" w:history="1">
        <w:r w:rsidRPr="008B264B">
          <w:rPr>
            <w:rFonts w:ascii="Times New Roman" w:eastAsia="Times New Roman" w:hAnsi="Times New Roman" w:cs="Times New Roman"/>
            <w:color w:val="0000FF"/>
            <w:sz w:val="24"/>
            <w:szCs w:val="24"/>
            <w:u w:val="single"/>
            <w:lang/>
          </w:rPr>
          <w:t>підпункту 7 підпункту 298.2.3</w:t>
        </w:r>
      </w:hyperlink>
      <w:r w:rsidRPr="008B264B">
        <w:rPr>
          <w:rFonts w:ascii="Times New Roman" w:eastAsia="Times New Roman" w:hAnsi="Times New Roman" w:cs="Times New Roman"/>
          <w:color w:val="000000"/>
          <w:sz w:val="24"/>
          <w:szCs w:val="24"/>
          <w:lang/>
        </w:rPr>
        <w:t> пункту 298.2 статті 298 цього Кодексу у 2012 році не застосовуються.</w:t>
      </w:r>
    </w:p>
    <w:p w14:paraId="4198BD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2" w:name="n8456"/>
      <w:bookmarkEnd w:id="10692"/>
      <w:r w:rsidRPr="008B264B">
        <w:rPr>
          <w:rFonts w:ascii="Times New Roman" w:eastAsia="Times New Roman" w:hAnsi="Times New Roman" w:cs="Times New Roman"/>
          <w:i/>
          <w:iCs/>
          <w:color w:val="000000"/>
          <w:sz w:val="24"/>
          <w:szCs w:val="24"/>
          <w:lang/>
        </w:rPr>
        <w:t>{Підрозділ 8 розділу XX доповнено пунктом 2 згідно із Законом </w:t>
      </w:r>
      <w:hyperlink r:id="rId6093" w:anchor="n51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1BA4F7A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3" w:name="n8457"/>
      <w:bookmarkEnd w:id="10693"/>
      <w:r w:rsidRPr="008B264B">
        <w:rPr>
          <w:rFonts w:ascii="Times New Roman" w:eastAsia="Times New Roman" w:hAnsi="Times New Roman" w:cs="Times New Roman"/>
          <w:color w:val="000000"/>
          <w:sz w:val="24"/>
          <w:szCs w:val="24"/>
          <w:lang/>
        </w:rPr>
        <w:t>3. Не є підставою для прийняття контролюючим органом у 2012 році рішення про відмову у видачі фізичній особі - підприємцю свідоцтва платника єдиного податку наявність у такої особи на день подання заяви про застосування спрощеної системи оподаткування податкового боргу з єдиного і фіксованого податків, який виник за наслідками обліку в контролюючих органах у лютому 2011 року, а також податкового боргу, який виник з єдиного податку за січень 2012 року.</w:t>
      </w:r>
    </w:p>
    <w:p w14:paraId="22BE2A0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4" w:name="n8458"/>
      <w:bookmarkEnd w:id="10694"/>
      <w:r w:rsidRPr="008B264B">
        <w:rPr>
          <w:rFonts w:ascii="Times New Roman" w:eastAsia="Times New Roman" w:hAnsi="Times New Roman" w:cs="Times New Roman"/>
          <w:i/>
          <w:iCs/>
          <w:color w:val="000000"/>
          <w:sz w:val="24"/>
          <w:szCs w:val="24"/>
          <w:lang/>
        </w:rPr>
        <w:t>{Підрозділ 8 розділу XX доповнено пунктом 3 згідно із Законом </w:t>
      </w:r>
      <w:hyperlink r:id="rId6094" w:anchor="n512"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45EE5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5" w:name="n12198"/>
      <w:bookmarkEnd w:id="10695"/>
      <w:r w:rsidRPr="008B264B">
        <w:rPr>
          <w:rFonts w:ascii="Times New Roman" w:eastAsia="Times New Roman" w:hAnsi="Times New Roman" w:cs="Times New Roman"/>
          <w:color w:val="000000"/>
          <w:sz w:val="24"/>
          <w:szCs w:val="24"/>
          <w:lang/>
        </w:rPr>
        <w:t>4. Платники єдиного податку третьої - шостої груп, які перебували на обліку в контролюючих органах до 1 січня 2015 року, з 1 січня 2015 року вважаються платниками єдиного податку третьої групи відповідно до норм </w:t>
      </w:r>
      <w:hyperlink r:id="rId6095" w:anchor="n6944" w:history="1">
        <w:r w:rsidRPr="008B264B">
          <w:rPr>
            <w:rFonts w:ascii="Times New Roman" w:eastAsia="Times New Roman" w:hAnsi="Times New Roman" w:cs="Times New Roman"/>
            <w:color w:val="0000FF"/>
            <w:sz w:val="24"/>
            <w:szCs w:val="24"/>
            <w:u w:val="single"/>
            <w:lang/>
          </w:rPr>
          <w:t>глави 1</w:t>
        </w:r>
      </w:hyperlink>
      <w:r w:rsidRPr="008B264B">
        <w:rPr>
          <w:rFonts w:ascii="Times New Roman" w:eastAsia="Times New Roman" w:hAnsi="Times New Roman" w:cs="Times New Roman"/>
          <w:color w:val="000000"/>
          <w:sz w:val="24"/>
          <w:szCs w:val="24"/>
          <w:lang/>
        </w:rPr>
        <w:t> розділу XIV цього Кодексу.</w:t>
      </w:r>
    </w:p>
    <w:p w14:paraId="77A75B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6" w:name="n12197"/>
      <w:bookmarkEnd w:id="10696"/>
      <w:r w:rsidRPr="008B264B">
        <w:rPr>
          <w:rFonts w:ascii="Times New Roman" w:eastAsia="Times New Roman" w:hAnsi="Times New Roman" w:cs="Times New Roman"/>
          <w:i/>
          <w:iCs/>
          <w:color w:val="000000"/>
          <w:sz w:val="24"/>
          <w:szCs w:val="24"/>
          <w:lang/>
        </w:rPr>
        <w:t>{Підрозділ 8 розділу ХХ доповнено пунктом 4 згідно із Законом </w:t>
      </w:r>
      <w:hyperlink r:id="rId6096" w:anchor="n179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A80B6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7" w:name="n13017"/>
      <w:bookmarkEnd w:id="10697"/>
      <w:r w:rsidRPr="008B264B">
        <w:rPr>
          <w:rFonts w:ascii="Times New Roman" w:eastAsia="Times New Roman" w:hAnsi="Times New Roman" w:cs="Times New Roman"/>
          <w:color w:val="000000"/>
          <w:sz w:val="24"/>
          <w:szCs w:val="24"/>
          <w:lang/>
        </w:rPr>
        <w:t>5. Установити, що індекс споживчих цін за 2015 та 2017-2023 роки, що використовується для визначення величини коефіцієнта індексації нормативної грошової оцінки сільськогосподарських угідь (ріллі, сіножатей, пасовищ і багаторічних насаджень) та/або земель водного фонду (внутрішніх водойм, озер, ставків, водосховищ) для цілей оподаткування єдиним податком четвертої групи, застосовується із значенням 100 відсотків.</w:t>
      </w:r>
    </w:p>
    <w:p w14:paraId="66F491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698" w:name="n13016"/>
      <w:bookmarkEnd w:id="10698"/>
      <w:r w:rsidRPr="008B264B">
        <w:rPr>
          <w:rFonts w:ascii="Times New Roman" w:eastAsia="Times New Roman" w:hAnsi="Times New Roman" w:cs="Times New Roman"/>
          <w:i/>
          <w:iCs/>
          <w:color w:val="000000"/>
          <w:sz w:val="24"/>
          <w:szCs w:val="24"/>
          <w:lang/>
        </w:rPr>
        <w:t>{Підрозділ 8 розділу XX доповнено пунктом 5 згідно із Законом </w:t>
      </w:r>
      <w:hyperlink r:id="rId6097" w:anchor="n720"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 в редакції Закону </w:t>
      </w:r>
      <w:hyperlink r:id="rId6098" w:anchor="n172" w:tgtFrame="_blank" w:history="1">
        <w:r w:rsidRPr="008B264B">
          <w:rPr>
            <w:rFonts w:ascii="Times New Roman" w:eastAsia="Times New Roman" w:hAnsi="Times New Roman" w:cs="Times New Roman"/>
            <w:i/>
            <w:iCs/>
            <w:color w:val="0000FF"/>
            <w:sz w:val="24"/>
            <w:szCs w:val="24"/>
            <w:u w:val="single"/>
            <w:lang/>
          </w:rPr>
          <w:t>№ 1791-VIII від 20.12.2016</w:t>
        </w:r>
      </w:hyperlink>
      <w:r w:rsidRPr="008B264B">
        <w:rPr>
          <w:rFonts w:ascii="Times New Roman" w:eastAsia="Times New Roman" w:hAnsi="Times New Roman" w:cs="Times New Roman"/>
          <w:i/>
          <w:iCs/>
          <w:color w:val="000000"/>
          <w:sz w:val="24"/>
          <w:szCs w:val="24"/>
          <w:lang/>
        </w:rPr>
        <w:t>; із змінами, внесеними згідно із Законами </w:t>
      </w:r>
      <w:hyperlink r:id="rId6099" w:anchor="n55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 </w:t>
      </w:r>
      <w:hyperlink r:id="rId6100" w:anchor="n73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4F82C62B"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699" w:name="n8459"/>
      <w:bookmarkEnd w:id="10699"/>
      <w:r w:rsidRPr="008B264B">
        <w:rPr>
          <w:rFonts w:ascii="Times New Roman" w:eastAsia="Times New Roman" w:hAnsi="Times New Roman" w:cs="Times New Roman"/>
          <w:b/>
          <w:bCs/>
          <w:color w:val="000000"/>
          <w:sz w:val="28"/>
          <w:szCs w:val="28"/>
          <w:lang/>
        </w:rPr>
        <w:t>Підрозділ 9. Особливості повернення сум податку з власників транспортних засобів та інших самохідних машин і механізмів, збору за забруднення навколишнього природного середовища, а також місцевих податків і зборів</w:t>
      </w:r>
    </w:p>
    <w:p w14:paraId="66F937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0" w:name="n8460"/>
      <w:bookmarkEnd w:id="10700"/>
      <w:r w:rsidRPr="008B264B">
        <w:rPr>
          <w:rFonts w:ascii="Times New Roman" w:eastAsia="Times New Roman" w:hAnsi="Times New Roman" w:cs="Times New Roman"/>
          <w:color w:val="000000"/>
          <w:sz w:val="24"/>
          <w:szCs w:val="24"/>
          <w:lang/>
        </w:rPr>
        <w:t>1. Повернення сум податку з власників транспортних засобів та інших самохідних машин і механізмів, збору за забруднення навколишнього природного середовища, а також місцевих податків і зборів, які були сплачені до 1 січня 2011 року помилково або надміру, зарахування до бюджетів таких податків і зборів, які сплачуються у першому кварталі 2011 року за останній звітний (податковий) період 2010 року, та сум, які сплачуються у рахунок погашення податкового боргу, що сформувався станом на 31 грудня 2010 року, здійснюються у порядку та на умовах, які діяли до 1 січня 2011 року.</w:t>
      </w:r>
    </w:p>
    <w:p w14:paraId="01DEF8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1" w:name="n8461"/>
      <w:bookmarkEnd w:id="10701"/>
      <w:r w:rsidRPr="008B264B">
        <w:rPr>
          <w:rFonts w:ascii="Times New Roman" w:eastAsia="Times New Roman" w:hAnsi="Times New Roman" w:cs="Times New Roman"/>
          <w:color w:val="000000"/>
          <w:sz w:val="24"/>
          <w:szCs w:val="24"/>
          <w:lang/>
        </w:rPr>
        <w:t xml:space="preserve">2. Фізичні особи, які є власниками транспортних засобів, що відповідно до законодавства підлягають технічному огляду один раз на два роки, при проходженні у 2011 році такого технічного огляду або знятті транспортних засобів з обліку зобов'язані пред'являти органам, що здійснюють зняття з обліку або технічний огляд транспортних засобів, квитанції або платіжні доручення про сплату за 2010 рік податку з власників транспортних засобів та інших самохідних машин і механізмів за ставками, які діяли до 1 січня 2011 року, а фізичні особи, які були звільнені </w:t>
      </w:r>
      <w:r w:rsidRPr="008B264B">
        <w:rPr>
          <w:rFonts w:ascii="Times New Roman" w:eastAsia="Times New Roman" w:hAnsi="Times New Roman" w:cs="Times New Roman"/>
          <w:color w:val="000000"/>
          <w:sz w:val="24"/>
          <w:szCs w:val="24"/>
          <w:lang/>
        </w:rPr>
        <w:lastRenderedPageBreak/>
        <w:t>у 2010 році від його сплати, - документ, що дає право на користування такими пільгами. У разі неподання таких документів технічний огляд транспортних засобів та зняття їх з обліку не провадяться.</w:t>
      </w:r>
    </w:p>
    <w:p w14:paraId="61EBAEED" w14:textId="77777777" w:rsidR="008B264B" w:rsidRPr="008B264B" w:rsidRDefault="008B264B" w:rsidP="008B264B">
      <w:pPr>
        <w:spacing w:before="150" w:after="150" w:line="240" w:lineRule="auto"/>
        <w:jc w:val="center"/>
        <w:rPr>
          <w:rFonts w:ascii="Times New Roman" w:eastAsia="Times New Roman" w:hAnsi="Times New Roman" w:cs="Times New Roman"/>
          <w:color w:val="000000"/>
          <w:sz w:val="24"/>
          <w:szCs w:val="24"/>
          <w:lang/>
        </w:rPr>
      </w:pPr>
      <w:bookmarkStart w:id="10702" w:name="n10050"/>
      <w:bookmarkEnd w:id="10702"/>
      <w:r w:rsidRPr="008B264B">
        <w:rPr>
          <w:rFonts w:ascii="Times New Roman" w:eastAsia="Times New Roman" w:hAnsi="Times New Roman" w:cs="Times New Roman"/>
          <w:b/>
          <w:bCs/>
          <w:color w:val="000000"/>
          <w:sz w:val="28"/>
          <w:szCs w:val="28"/>
          <w:lang/>
        </w:rPr>
        <w:t>Підрозділ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b/>
          <w:bCs/>
          <w:color w:val="000000"/>
          <w:sz w:val="28"/>
          <w:szCs w:val="28"/>
          <w:lang/>
        </w:rPr>
        <w:t>. Особливості справляння рентної плати за користування надрами для видобування корисних копалин</w:t>
      </w:r>
    </w:p>
    <w:p w14:paraId="29A2A6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3" w:name="n10051"/>
      <w:bookmarkEnd w:id="10703"/>
      <w:r w:rsidRPr="008B264B">
        <w:rPr>
          <w:rFonts w:ascii="Times New Roman" w:eastAsia="Times New Roman" w:hAnsi="Times New Roman" w:cs="Times New Roman"/>
          <w:color w:val="000000"/>
          <w:sz w:val="24"/>
          <w:szCs w:val="24"/>
          <w:lang/>
        </w:rPr>
        <w:t>1. Тимчасово, у період з 1 січня 2016 року до 1 квітня 2016 року, встановлюється ставка рентної плати за користування надрами для видобування газу природного, визначена </w:t>
      </w:r>
      <w:hyperlink r:id="rId6101" w:anchor="n11518" w:history="1">
        <w:r w:rsidRPr="008B264B">
          <w:rPr>
            <w:rFonts w:ascii="Times New Roman" w:eastAsia="Times New Roman" w:hAnsi="Times New Roman" w:cs="Times New Roman"/>
            <w:color w:val="0000FF"/>
            <w:sz w:val="24"/>
            <w:szCs w:val="24"/>
            <w:u w:val="single"/>
            <w:lang/>
          </w:rPr>
          <w:t>пунктом 252.20</w:t>
        </w:r>
      </w:hyperlink>
      <w:r w:rsidRPr="008B264B">
        <w:rPr>
          <w:rFonts w:ascii="Times New Roman" w:eastAsia="Times New Roman" w:hAnsi="Times New Roman" w:cs="Times New Roman"/>
          <w:color w:val="000000"/>
          <w:sz w:val="24"/>
          <w:szCs w:val="24"/>
          <w:lang/>
        </w:rPr>
        <w:t> статті 252 цього Кодексу, за природний газ, що відповідає умові, визначеній у </w:t>
      </w:r>
      <w:hyperlink r:id="rId6102" w:anchor="n11538" w:history="1">
        <w:r w:rsidRPr="008B264B">
          <w:rPr>
            <w:rFonts w:ascii="Times New Roman" w:eastAsia="Times New Roman" w:hAnsi="Times New Roman" w:cs="Times New Roman"/>
            <w:color w:val="0000FF"/>
            <w:sz w:val="24"/>
            <w:szCs w:val="24"/>
            <w:u w:val="single"/>
            <w:lang/>
          </w:rPr>
          <w:t>пункті 252.24</w:t>
        </w:r>
      </w:hyperlink>
      <w:r w:rsidRPr="008B264B">
        <w:rPr>
          <w:rFonts w:ascii="Times New Roman" w:eastAsia="Times New Roman" w:hAnsi="Times New Roman" w:cs="Times New Roman"/>
          <w:color w:val="000000"/>
          <w:sz w:val="24"/>
          <w:szCs w:val="24"/>
          <w:lang/>
        </w:rPr>
        <w:t> статті 252 цього Кодексу, видобутий з покладів до 5000 метрів, у розмірі 70 відсотків, а з 1 квітня 2016 року до 31 грудня 2016 року (включно) - 50 відсотків.</w:t>
      </w:r>
    </w:p>
    <w:p w14:paraId="5FD846E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4" w:name="n15075"/>
      <w:bookmarkEnd w:id="10704"/>
      <w:r w:rsidRPr="008B264B">
        <w:rPr>
          <w:rFonts w:ascii="Times New Roman" w:eastAsia="Times New Roman" w:hAnsi="Times New Roman" w:cs="Times New Roman"/>
          <w:color w:val="000000"/>
          <w:sz w:val="24"/>
          <w:szCs w:val="24"/>
          <w:lang/>
        </w:rPr>
        <w:t>2. Держава гарантує, що з 1 січня 2018 року до 1 січня 2023 року буде застосовуватися стимулююча ставка рентної плати за користування надрами для природного газу, видобутого із нових свердловин, встановлена цим Кодексом станом на 1 січня 2018 року. Розмір стимулюючої ставки не може бути збільшений, а також до неї не можуть застосовуватися коригуючі коефіцієнти або інші механізми, що можуть бути передбачені цим Кодексом або іншими актами законодавства, що призведуть або можуть призвести до фактичного збільшення розміру податкових зобов’язань з рентної плати за користування надрами для видобування природного газу порівняно з розміром таких податкових зобов’язань, розрахованим згідно з цим Кодексом станом на 1 січня 2018 року. У разі внесення змін до законодавства, що регулює податковий порядок стимулювання видобування природного газу, суб’єкти господарювання можуть обрати новий порядок стимулювання.</w:t>
      </w:r>
    </w:p>
    <w:p w14:paraId="072587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5" w:name="n15074"/>
      <w:bookmarkEnd w:id="10705"/>
      <w:r w:rsidRPr="008B264B">
        <w:rPr>
          <w:rFonts w:ascii="Times New Roman" w:eastAsia="Times New Roman" w:hAnsi="Times New Roman" w:cs="Times New Roman"/>
          <w:i/>
          <w:iCs/>
          <w:color w:val="000000"/>
          <w:sz w:val="24"/>
          <w:szCs w:val="24"/>
          <w:lang/>
        </w:rPr>
        <w:t>{Підрозділ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розділу XX доповнено пунктом 2 згідно із Законом </w:t>
      </w:r>
      <w:hyperlink r:id="rId6103" w:anchor="n556"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5CFFD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6" w:name="n10049"/>
      <w:bookmarkEnd w:id="10706"/>
      <w:r w:rsidRPr="008B264B">
        <w:rPr>
          <w:rFonts w:ascii="Times New Roman" w:eastAsia="Times New Roman" w:hAnsi="Times New Roman" w:cs="Times New Roman"/>
          <w:i/>
          <w:iCs/>
          <w:color w:val="000000"/>
          <w:sz w:val="24"/>
          <w:szCs w:val="24"/>
          <w:lang/>
        </w:rPr>
        <w:t>{Розділ XX доповнено підрозділом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104" w:anchor="n153"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 в редакції Закону </w:t>
      </w:r>
      <w:hyperlink r:id="rId6105" w:anchor="n179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 текст підрозділу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розділу XX в редакції Закону </w:t>
      </w:r>
      <w:hyperlink r:id="rId6106" w:anchor="n72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5748A007"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707" w:name="n12247"/>
      <w:bookmarkEnd w:id="10707"/>
      <w:r w:rsidRPr="008B264B">
        <w:rPr>
          <w:rFonts w:ascii="Times New Roman" w:eastAsia="Times New Roman" w:hAnsi="Times New Roman" w:cs="Times New Roman"/>
          <w:b/>
          <w:bCs/>
          <w:color w:val="000000"/>
          <w:sz w:val="28"/>
          <w:szCs w:val="28"/>
          <w:lang/>
        </w:rPr>
        <w:t>Підрозділ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b/>
          <w:bCs/>
          <w:color w:val="000000"/>
          <w:sz w:val="28"/>
          <w:szCs w:val="28"/>
          <w:lang/>
        </w:rPr>
        <w:t>. Особливості уточнення податкових зобов’язань з податку на прибуток підприємств та податку на додану вартість під час застосування податкового компромісу</w:t>
      </w:r>
    </w:p>
    <w:p w14:paraId="182FFE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8" w:name="n12248"/>
      <w:bookmarkEnd w:id="10708"/>
      <w:r w:rsidRPr="008B264B">
        <w:rPr>
          <w:rFonts w:ascii="Times New Roman" w:eastAsia="Times New Roman" w:hAnsi="Times New Roman" w:cs="Times New Roman"/>
          <w:color w:val="000000"/>
          <w:sz w:val="24"/>
          <w:szCs w:val="24"/>
          <w:lang/>
        </w:rPr>
        <w:t>1. Податковий компроміс - це режим звільнення від юридичної відповідальності платників податків та/або їх посадових (службових) осіб за заниження податкових зобов’язань з податку на прибуток підприємств та/або податку на додану вартість за будь-які податкові періоди до 1 квітня 2014 року з урахуванням строків давності, встановлених </w:t>
      </w:r>
      <w:hyperlink r:id="rId6107"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Платник податків, який вирішив скористатися процедурою податкового компромісу, під час дії податкового компромісу за такі податкові періоди має право подати відповідні уточнюючі розрахунки податкових зобов’язань з податку на прибуток підприємств та/або податку на додану вартість, в яких визначає суму завищення витрат, що враховуються при визначенні об’єкта оподаткування податком на прибуток підприємств та/або суму завищення податкового кредиту з податку на додану вартість.</w:t>
      </w:r>
    </w:p>
    <w:p w14:paraId="043E1D1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09" w:name="n12249"/>
      <w:bookmarkEnd w:id="10709"/>
      <w:r w:rsidRPr="008B264B">
        <w:rPr>
          <w:rFonts w:ascii="Times New Roman" w:eastAsia="Times New Roman" w:hAnsi="Times New Roman" w:cs="Times New Roman"/>
          <w:color w:val="000000"/>
          <w:sz w:val="24"/>
          <w:szCs w:val="24"/>
          <w:lang/>
        </w:rPr>
        <w:t>Уточнюючі розрахунки податкових зобов’язань з податку на прибуток підприємств та/або податку на додану вартість подаються за формою, встановленою центральним органом виконавчої влади, що забезпечує формування державної фінансової політики. Разом з уточнюючим розрахунком подається перелік (опис) господарських операцій, щодо яких здійснено уточнення показників податкової декларації.</w:t>
      </w:r>
    </w:p>
    <w:p w14:paraId="5DEFA78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0" w:name="n12250"/>
      <w:bookmarkEnd w:id="10710"/>
      <w:r w:rsidRPr="008B264B">
        <w:rPr>
          <w:rFonts w:ascii="Times New Roman" w:eastAsia="Times New Roman" w:hAnsi="Times New Roman" w:cs="Times New Roman"/>
          <w:color w:val="000000"/>
          <w:sz w:val="24"/>
          <w:szCs w:val="24"/>
          <w:lang/>
        </w:rPr>
        <w:t>На випадки подання уточнюючих розрахунків податкових зобов’язань відповідно до цього підрозділу не поширюються норми </w:t>
      </w:r>
      <w:hyperlink r:id="rId6108" w:anchor="n1258" w:history="1">
        <w:r w:rsidRPr="008B264B">
          <w:rPr>
            <w:rFonts w:ascii="Times New Roman" w:eastAsia="Times New Roman" w:hAnsi="Times New Roman" w:cs="Times New Roman"/>
            <w:color w:val="0000FF"/>
            <w:sz w:val="24"/>
            <w:szCs w:val="24"/>
            <w:u w:val="single"/>
            <w:lang/>
          </w:rPr>
          <w:t>статті 50</w:t>
        </w:r>
      </w:hyperlink>
      <w:r w:rsidRPr="008B264B">
        <w:rPr>
          <w:rFonts w:ascii="Times New Roman" w:eastAsia="Times New Roman" w:hAnsi="Times New Roman" w:cs="Times New Roman"/>
          <w:color w:val="000000"/>
          <w:sz w:val="24"/>
          <w:szCs w:val="24"/>
          <w:lang/>
        </w:rPr>
        <w:t> цього Кодексу.</w:t>
      </w:r>
    </w:p>
    <w:p w14:paraId="4DFA65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1" w:name="n12251"/>
      <w:bookmarkEnd w:id="10711"/>
      <w:r w:rsidRPr="008B264B">
        <w:rPr>
          <w:rFonts w:ascii="Times New Roman" w:eastAsia="Times New Roman" w:hAnsi="Times New Roman" w:cs="Times New Roman"/>
          <w:color w:val="000000"/>
          <w:sz w:val="24"/>
          <w:szCs w:val="24"/>
          <w:lang/>
        </w:rPr>
        <w:t xml:space="preserve">При складанні уточнюючих розрахунків податкових зобов’язань для застосування податкового компромісу не враховуються суми коригувань податкового кредиту з податку на </w:t>
      </w:r>
      <w:r w:rsidRPr="008B264B">
        <w:rPr>
          <w:rFonts w:ascii="Times New Roman" w:eastAsia="Times New Roman" w:hAnsi="Times New Roman" w:cs="Times New Roman"/>
          <w:color w:val="000000"/>
          <w:sz w:val="24"/>
          <w:szCs w:val="24"/>
          <w:lang/>
        </w:rPr>
        <w:lastRenderedPageBreak/>
        <w:t>додану вартість та/або витрат, що враховуються при обчисленні об’єкта оподаткування податком на прибуток, відображені в уточнюючих розрахунках, які одночасно відповідають таким умовам:</w:t>
      </w:r>
    </w:p>
    <w:p w14:paraId="1A20EE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2" w:name="n12252"/>
      <w:bookmarkEnd w:id="10712"/>
      <w:r w:rsidRPr="008B264B">
        <w:rPr>
          <w:rFonts w:ascii="Times New Roman" w:eastAsia="Times New Roman" w:hAnsi="Times New Roman" w:cs="Times New Roman"/>
          <w:color w:val="000000"/>
          <w:sz w:val="24"/>
          <w:szCs w:val="24"/>
          <w:lang/>
        </w:rPr>
        <w:t>1) подані в порядку, встановленому </w:t>
      </w:r>
      <w:hyperlink r:id="rId6109" w:anchor="n1258" w:history="1">
        <w:r w:rsidRPr="008B264B">
          <w:rPr>
            <w:rFonts w:ascii="Times New Roman" w:eastAsia="Times New Roman" w:hAnsi="Times New Roman" w:cs="Times New Roman"/>
            <w:color w:val="0000FF"/>
            <w:sz w:val="24"/>
            <w:szCs w:val="24"/>
            <w:u w:val="single"/>
            <w:lang/>
          </w:rPr>
          <w:t>статтею 50</w:t>
        </w:r>
      </w:hyperlink>
      <w:r w:rsidRPr="008B264B">
        <w:rPr>
          <w:rFonts w:ascii="Times New Roman" w:eastAsia="Times New Roman" w:hAnsi="Times New Roman" w:cs="Times New Roman"/>
          <w:color w:val="000000"/>
          <w:sz w:val="24"/>
          <w:szCs w:val="24"/>
          <w:lang/>
        </w:rPr>
        <w:t> цього Кодексу, після 1 квітня 2014 року;</w:t>
      </w:r>
    </w:p>
    <w:p w14:paraId="7C5FDE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3" w:name="n12253"/>
      <w:bookmarkEnd w:id="10713"/>
      <w:r w:rsidRPr="008B264B">
        <w:rPr>
          <w:rFonts w:ascii="Times New Roman" w:eastAsia="Times New Roman" w:hAnsi="Times New Roman" w:cs="Times New Roman"/>
          <w:color w:val="000000"/>
          <w:sz w:val="24"/>
          <w:szCs w:val="24"/>
          <w:lang/>
        </w:rPr>
        <w:t>2) уточнюють показники податкових декларацій за звітні (податкові) періоди, що передували 1 квітню 2014 року;</w:t>
      </w:r>
    </w:p>
    <w:p w14:paraId="04F0F7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4" w:name="n12254"/>
      <w:bookmarkEnd w:id="10714"/>
      <w:r w:rsidRPr="008B264B">
        <w:rPr>
          <w:rFonts w:ascii="Times New Roman" w:eastAsia="Times New Roman" w:hAnsi="Times New Roman" w:cs="Times New Roman"/>
          <w:color w:val="000000"/>
          <w:sz w:val="24"/>
          <w:szCs w:val="24"/>
          <w:lang/>
        </w:rPr>
        <w:t>3) за результатами подання таких уточнюючих розрахунків було зменшено податкове зобов’язання (збільшено від’ємне значення) з податку на прибуток або податку на додану вартість за такі звітні (податкові) періоди.</w:t>
      </w:r>
    </w:p>
    <w:p w14:paraId="2B4BAAD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5" w:name="n12255"/>
      <w:bookmarkEnd w:id="10715"/>
      <w:r w:rsidRPr="008B264B">
        <w:rPr>
          <w:rFonts w:ascii="Times New Roman" w:eastAsia="Times New Roman" w:hAnsi="Times New Roman" w:cs="Times New Roman"/>
          <w:color w:val="000000"/>
          <w:sz w:val="24"/>
          <w:szCs w:val="24"/>
          <w:lang/>
        </w:rPr>
        <w:t>У платника податків за результатами застосування податкового компромісу не можуть виникати або збільшуватися помилково та/або надміру сплачені грошові зобов’язання.</w:t>
      </w:r>
    </w:p>
    <w:p w14:paraId="10E52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6" w:name="n12256"/>
      <w:bookmarkEnd w:id="10716"/>
      <w:r w:rsidRPr="008B264B">
        <w:rPr>
          <w:rFonts w:ascii="Times New Roman" w:eastAsia="Times New Roman" w:hAnsi="Times New Roman" w:cs="Times New Roman"/>
          <w:color w:val="000000"/>
          <w:sz w:val="24"/>
          <w:szCs w:val="24"/>
          <w:lang/>
        </w:rPr>
        <w:t>2. Сума заниженого податкового зобов’язання з податку на прибуток підприємств та/або податку на додану вартість сплачується в розмірі 5 відсотків такої суми. При цьому 95 відсотків суми заниженого податкового зобов’язання з податку на прибуток підприємств та/або податку на додану вартість вважаються погашеними, штрафні санкції не застосовуються, пеня не нараховується.</w:t>
      </w:r>
    </w:p>
    <w:p w14:paraId="42BFFF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7" w:name="n12257"/>
      <w:bookmarkEnd w:id="10717"/>
      <w:r w:rsidRPr="008B264B">
        <w:rPr>
          <w:rFonts w:ascii="Times New Roman" w:eastAsia="Times New Roman" w:hAnsi="Times New Roman" w:cs="Times New Roman"/>
          <w:color w:val="000000"/>
          <w:sz w:val="24"/>
          <w:szCs w:val="24"/>
          <w:lang/>
        </w:rPr>
        <w:t>Сума погашеного податкового зобов’язання з податку на прибуток та/або податку на додану вартість в розмірі 95 відсотків внаслідок застосування податкового компромісу не враховується для визначення об’єкта оподаткування податком на прибуток підприємств.</w:t>
      </w:r>
    </w:p>
    <w:p w14:paraId="5AB75B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8" w:name="n12258"/>
      <w:bookmarkEnd w:id="10718"/>
      <w:r w:rsidRPr="008B264B">
        <w:rPr>
          <w:rFonts w:ascii="Times New Roman" w:eastAsia="Times New Roman" w:hAnsi="Times New Roman" w:cs="Times New Roman"/>
          <w:color w:val="000000"/>
          <w:sz w:val="24"/>
          <w:szCs w:val="24"/>
          <w:lang/>
        </w:rPr>
        <w:t>3. Процедура досягнення податкового компромісу триває не більше ніж 70 календарних днів з дня, наступного за днем подання уточнюючого розрахунку.</w:t>
      </w:r>
    </w:p>
    <w:p w14:paraId="4748D7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19" w:name="n12259"/>
      <w:bookmarkEnd w:id="10719"/>
      <w:r w:rsidRPr="008B264B">
        <w:rPr>
          <w:rFonts w:ascii="Times New Roman" w:eastAsia="Times New Roman" w:hAnsi="Times New Roman" w:cs="Times New Roman"/>
          <w:color w:val="000000"/>
          <w:sz w:val="24"/>
          <w:szCs w:val="24"/>
          <w:lang/>
        </w:rPr>
        <w:t>Подання платником податків уточнюючого розрахунку за періоди, щодо яких не була проведена документальна перевірка, може бути підставою для проведення документальної позапланової перевірки згідно з процедурою податкового компромісу.</w:t>
      </w:r>
    </w:p>
    <w:p w14:paraId="5078A8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0" w:name="n12260"/>
      <w:bookmarkEnd w:id="10720"/>
      <w:r w:rsidRPr="008B264B">
        <w:rPr>
          <w:rFonts w:ascii="Times New Roman" w:eastAsia="Times New Roman" w:hAnsi="Times New Roman" w:cs="Times New Roman"/>
          <w:color w:val="000000"/>
          <w:sz w:val="24"/>
          <w:szCs w:val="24"/>
          <w:lang/>
        </w:rPr>
        <w:t>Протягом 10 робочих днів з дня, наступного за днем подання уточнюючого розрахунку, контролюючий орган приймає рішення щодо необхідності проведення документальної позапланової перевірки, про що повідомляє платника податків відповідно до </w:t>
      </w:r>
      <w:hyperlink r:id="rId6110" w:anchor="n1091" w:history="1">
        <w:r w:rsidRPr="008B264B">
          <w:rPr>
            <w:rFonts w:ascii="Times New Roman" w:eastAsia="Times New Roman" w:hAnsi="Times New Roman" w:cs="Times New Roman"/>
            <w:color w:val="0000FF"/>
            <w:sz w:val="24"/>
            <w:szCs w:val="24"/>
            <w:u w:val="single"/>
            <w:lang/>
          </w:rPr>
          <w:t>статті 42</w:t>
        </w:r>
      </w:hyperlink>
      <w:r w:rsidRPr="008B264B">
        <w:rPr>
          <w:rFonts w:ascii="Times New Roman" w:eastAsia="Times New Roman" w:hAnsi="Times New Roman" w:cs="Times New Roman"/>
          <w:color w:val="000000"/>
          <w:sz w:val="24"/>
          <w:szCs w:val="24"/>
          <w:lang/>
        </w:rPr>
        <w:t> цього Кодексу.</w:t>
      </w:r>
    </w:p>
    <w:p w14:paraId="3FE11B7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1" w:name="n12261"/>
      <w:bookmarkEnd w:id="10721"/>
      <w:r w:rsidRPr="008B264B">
        <w:rPr>
          <w:rFonts w:ascii="Times New Roman" w:eastAsia="Times New Roman" w:hAnsi="Times New Roman" w:cs="Times New Roman"/>
          <w:color w:val="000000"/>
          <w:sz w:val="24"/>
          <w:szCs w:val="24"/>
          <w:lang/>
        </w:rPr>
        <w:t>Документальна позапланова перевірка проводиться виключно з питань, які стосуються витрат, що враховуються при визначенні об’єкта оподаткування податком на прибуток підприємств та/або суми завищення податкового кредиту з податку на додану вартість, у межах процедури досягнення податкового компромісу.</w:t>
      </w:r>
    </w:p>
    <w:p w14:paraId="39E73F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2" w:name="n12262"/>
      <w:bookmarkEnd w:id="10722"/>
      <w:r w:rsidRPr="008B264B">
        <w:rPr>
          <w:rFonts w:ascii="Times New Roman" w:eastAsia="Times New Roman" w:hAnsi="Times New Roman" w:cs="Times New Roman"/>
          <w:color w:val="000000"/>
          <w:sz w:val="24"/>
          <w:szCs w:val="24"/>
          <w:lang/>
        </w:rPr>
        <w:t>Якщо контролюючий орган повідомив платника податків про відсутність необхідності проведення документальної позапланової перевірки, сума задекларованих зобов’язань вважається узгодженою.</w:t>
      </w:r>
    </w:p>
    <w:p w14:paraId="777C16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3" w:name="n12263"/>
      <w:bookmarkEnd w:id="10723"/>
      <w:r w:rsidRPr="008B264B">
        <w:rPr>
          <w:rFonts w:ascii="Times New Roman" w:eastAsia="Times New Roman" w:hAnsi="Times New Roman" w:cs="Times New Roman"/>
          <w:color w:val="000000"/>
          <w:sz w:val="24"/>
          <w:szCs w:val="24"/>
          <w:lang/>
        </w:rPr>
        <w:t>У разі прийняття рішення про необхідність проведення документальної позапланової перевірки контролюючий орган проводить таку перевірку та за її результатами:</w:t>
      </w:r>
    </w:p>
    <w:p w14:paraId="6E6C70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4" w:name="n12264"/>
      <w:bookmarkEnd w:id="10724"/>
      <w:r w:rsidRPr="008B264B">
        <w:rPr>
          <w:rFonts w:ascii="Times New Roman" w:eastAsia="Times New Roman" w:hAnsi="Times New Roman" w:cs="Times New Roman"/>
          <w:color w:val="000000"/>
          <w:sz w:val="24"/>
          <w:szCs w:val="24"/>
          <w:lang/>
        </w:rPr>
        <w:t>1) приймає податкове повідомлення-рішення у разі виявлення порушень платником податків вимог податкового законодавства, сплата грошового зобов’язання за яким здійснюється у розмірі, передбаченому пунктом 2 цього підрозділу;</w:t>
      </w:r>
    </w:p>
    <w:p w14:paraId="511D28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5" w:name="n12265"/>
      <w:bookmarkEnd w:id="10725"/>
      <w:r w:rsidRPr="008B264B">
        <w:rPr>
          <w:rFonts w:ascii="Times New Roman" w:eastAsia="Times New Roman" w:hAnsi="Times New Roman" w:cs="Times New Roman"/>
          <w:color w:val="000000"/>
          <w:sz w:val="24"/>
          <w:szCs w:val="24"/>
          <w:lang/>
        </w:rPr>
        <w:t>2) складає довідку у разі відсутності таких порушень, що підтверджує правомірність визначення сум податкових зобов’язань в уточнюючому розрахунку.</w:t>
      </w:r>
    </w:p>
    <w:p w14:paraId="66B2C0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6" w:name="n12266"/>
      <w:bookmarkEnd w:id="10726"/>
      <w:r w:rsidRPr="008B264B">
        <w:rPr>
          <w:rFonts w:ascii="Times New Roman" w:eastAsia="Times New Roman" w:hAnsi="Times New Roman" w:cs="Times New Roman"/>
          <w:color w:val="000000"/>
          <w:sz w:val="24"/>
          <w:szCs w:val="24"/>
          <w:lang/>
        </w:rPr>
        <w:t>Податкове повідомлення-рішення або довідку контролюючий орган направляє платнику податків у порядку, передбаченому </w:t>
      </w:r>
      <w:hyperlink r:id="rId6111" w:anchor="n1091" w:history="1">
        <w:r w:rsidRPr="008B264B">
          <w:rPr>
            <w:rFonts w:ascii="Times New Roman" w:eastAsia="Times New Roman" w:hAnsi="Times New Roman" w:cs="Times New Roman"/>
            <w:color w:val="0000FF"/>
            <w:sz w:val="24"/>
            <w:szCs w:val="24"/>
            <w:u w:val="single"/>
            <w:lang/>
          </w:rPr>
          <w:t>статтями 42</w:t>
        </w:r>
      </w:hyperlink>
      <w:r w:rsidRPr="008B264B">
        <w:rPr>
          <w:rFonts w:ascii="Times New Roman" w:eastAsia="Times New Roman" w:hAnsi="Times New Roman" w:cs="Times New Roman"/>
          <w:color w:val="000000"/>
          <w:sz w:val="24"/>
          <w:szCs w:val="24"/>
          <w:lang/>
        </w:rPr>
        <w:t> та </w:t>
      </w:r>
      <w:hyperlink r:id="rId6112" w:anchor="n1398" w:history="1">
        <w:r w:rsidRPr="008B264B">
          <w:rPr>
            <w:rFonts w:ascii="Times New Roman" w:eastAsia="Times New Roman" w:hAnsi="Times New Roman" w:cs="Times New Roman"/>
            <w:color w:val="0000FF"/>
            <w:sz w:val="24"/>
            <w:szCs w:val="24"/>
            <w:u w:val="single"/>
            <w:lang/>
          </w:rPr>
          <w:t>58</w:t>
        </w:r>
      </w:hyperlink>
      <w:r w:rsidRPr="008B264B">
        <w:rPr>
          <w:rFonts w:ascii="Times New Roman" w:eastAsia="Times New Roman" w:hAnsi="Times New Roman" w:cs="Times New Roman"/>
          <w:color w:val="000000"/>
          <w:sz w:val="24"/>
          <w:szCs w:val="24"/>
          <w:lang/>
        </w:rPr>
        <w:t> цього Кодексу.</w:t>
      </w:r>
    </w:p>
    <w:p w14:paraId="72805C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7" w:name="n12267"/>
      <w:bookmarkEnd w:id="10727"/>
      <w:r w:rsidRPr="008B264B">
        <w:rPr>
          <w:rFonts w:ascii="Times New Roman" w:eastAsia="Times New Roman" w:hAnsi="Times New Roman" w:cs="Times New Roman"/>
          <w:color w:val="000000"/>
          <w:sz w:val="24"/>
          <w:szCs w:val="24"/>
          <w:lang/>
        </w:rPr>
        <w:t>4. Уточнення платником податків податкових зобов’язань шляхом подання уточнюючого розрахунку згідно із цим підрозділом не впливає на розмір податкових зобов’язань його контрагентів.</w:t>
      </w:r>
    </w:p>
    <w:p w14:paraId="4167415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8" w:name="n12268"/>
      <w:bookmarkEnd w:id="10728"/>
      <w:r w:rsidRPr="008B264B">
        <w:rPr>
          <w:rFonts w:ascii="Times New Roman" w:eastAsia="Times New Roman" w:hAnsi="Times New Roman" w:cs="Times New Roman"/>
          <w:color w:val="000000"/>
          <w:sz w:val="24"/>
          <w:szCs w:val="24"/>
          <w:lang/>
        </w:rPr>
        <w:lastRenderedPageBreak/>
        <w:t>5. Платник податків сплачує податкові зобов’язання, визначені в уточнюючому розрахунку та/або податковому повідомленні-рішенні, у розмірі, передбаченому пунктом 2 цього підрозділу, протягом 10 календарних днів з дня, наступного за днем узгодження. Днем узгодження вважається день отримання повідомлення контролюючого органу про відсутність необхідності проведення документальної позапланової перевірки, а в разі прийняття рішення про необхідність проведення документальної позапланової перевірки - день отримання довідки, що підтверджує правомірність визначення сум податкових зобов’язань в уточнюючому розрахунку, або день отримання податкового повідомлення-рішення, прийнятого за результатами такої перевірки.</w:t>
      </w:r>
    </w:p>
    <w:p w14:paraId="31420B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29" w:name="n12269"/>
      <w:bookmarkEnd w:id="10729"/>
      <w:r w:rsidRPr="008B264B">
        <w:rPr>
          <w:rFonts w:ascii="Times New Roman" w:eastAsia="Times New Roman" w:hAnsi="Times New Roman" w:cs="Times New Roman"/>
          <w:color w:val="000000"/>
          <w:sz w:val="24"/>
          <w:szCs w:val="24"/>
          <w:lang/>
        </w:rPr>
        <w:t>6. У разі якщо платник податків розпочинає процедуру адміністративного та/або судового оскарження податкового повідомлення-рішення, прийнятого контролюючим органом за результатами документальної позапланової перевірки згідно із цим підрозділом, податковий компроміс не застосовується.</w:t>
      </w:r>
    </w:p>
    <w:p w14:paraId="4DB0F1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0" w:name="n12270"/>
      <w:bookmarkEnd w:id="10730"/>
      <w:r w:rsidRPr="008B264B">
        <w:rPr>
          <w:rFonts w:ascii="Times New Roman" w:eastAsia="Times New Roman" w:hAnsi="Times New Roman" w:cs="Times New Roman"/>
          <w:color w:val="000000"/>
          <w:sz w:val="24"/>
          <w:szCs w:val="24"/>
          <w:lang/>
        </w:rPr>
        <w:t>7. Процедура податкового компромісу, встановлена цим підрозділом, поширюється також на неузгоджені суми податкових зобов’язань з податку на прибуток підприємств та/або податку на додану вартість, визначені у податкових повідомленнях-рішеннях, щодо яких триває процедура судового та/або адміністративного оскарження, а також на випадки, коли платник податків отримав податкове повідомлення-рішення, за яким податкові зобов’язання не узгоджені відповідно до норм цього Кодексу. Досягнення податкового компромісу у такому разі здійснюється за заявою платника податків у письмовій формі до контролюючого органу про намір досягнення податкового компромісу. У таких випадках днем узгодження платником податків податкових зобов’язань, визначених у податковому повідомленні-рішенні, є день подання такої заяви до відповідного контролюючого органу. У разі несплати платником податків такого податкового зобов’язання у сумі, визначеній пунктом 2 цього підрозділу, таке податкове зобов’язання вважається неузгодженим.</w:t>
      </w:r>
    </w:p>
    <w:p w14:paraId="1831CF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1" w:name="n12271"/>
      <w:bookmarkEnd w:id="10731"/>
      <w:r w:rsidRPr="008B264B">
        <w:rPr>
          <w:rFonts w:ascii="Times New Roman" w:eastAsia="Times New Roman" w:hAnsi="Times New Roman" w:cs="Times New Roman"/>
          <w:color w:val="000000"/>
          <w:sz w:val="24"/>
          <w:szCs w:val="24"/>
          <w:lang/>
        </w:rPr>
        <w:t>Процедура податкового компромісу щодо розміру та строків сплати заниженого податкового зобов’язання з податку на прибуток підприємств та/або податку на додану вартість, встановлена цим підрозділом, поширюється також на випадки, коли у платника податків незалежно від процедури податкового компромісу за рішенням контролюючого органу розпочата документальна перевірка або складено акт за наслідками такої перевірки. У таких випадках платник податків має право подати до контролюючого органу, який призначив документальну перевірку або склав акт за результатами такої перевірки, відповідні уточнюючі розрахунки податкових зобов’язань до податкових декларацій за звітні податкові періоди в порядку, визначеному пунктом 1 цього підрозділу.</w:t>
      </w:r>
    </w:p>
    <w:p w14:paraId="49F630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2" w:name="n12272"/>
      <w:bookmarkEnd w:id="10732"/>
      <w:r w:rsidRPr="008B264B">
        <w:rPr>
          <w:rFonts w:ascii="Times New Roman" w:eastAsia="Times New Roman" w:hAnsi="Times New Roman" w:cs="Times New Roman"/>
          <w:color w:val="000000"/>
          <w:sz w:val="24"/>
          <w:szCs w:val="24"/>
          <w:lang/>
        </w:rPr>
        <w:t>8. Податковий компроміс вважається досягнутим після сплати платником податків узгоджених податкових зобов’язань згідно із цим підрозділом.</w:t>
      </w:r>
    </w:p>
    <w:p w14:paraId="04A795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3" w:name="n12273"/>
      <w:bookmarkEnd w:id="10733"/>
      <w:r w:rsidRPr="008B264B">
        <w:rPr>
          <w:rFonts w:ascii="Times New Roman" w:eastAsia="Times New Roman" w:hAnsi="Times New Roman" w:cs="Times New Roman"/>
          <w:color w:val="000000"/>
          <w:sz w:val="24"/>
          <w:szCs w:val="24"/>
          <w:lang/>
        </w:rPr>
        <w:t>Після досягнення податкового компромісу згідно із цим підрозділом такі зобов’язання не підлягають оскарженню та їх розмір не може бути змінений в інших податкових періодах.</w:t>
      </w:r>
    </w:p>
    <w:p w14:paraId="2C2F4F0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4" w:name="n12274"/>
      <w:bookmarkEnd w:id="10734"/>
      <w:r w:rsidRPr="008B264B">
        <w:rPr>
          <w:rFonts w:ascii="Times New Roman" w:eastAsia="Times New Roman" w:hAnsi="Times New Roman" w:cs="Times New Roman"/>
          <w:color w:val="000000"/>
          <w:sz w:val="24"/>
          <w:szCs w:val="24"/>
          <w:lang/>
        </w:rPr>
        <w:t>9. У разі досягнення податкового компромісу перевірки щодо податку на прибуток підприємств та/або податку на додану вартість за уточненими операціями у наступних періодах за зазначеними податками контролюючими органами не проводяться.</w:t>
      </w:r>
    </w:p>
    <w:p w14:paraId="2DF8C18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5" w:name="n12275"/>
      <w:bookmarkEnd w:id="10735"/>
      <w:r w:rsidRPr="008B264B">
        <w:rPr>
          <w:rFonts w:ascii="Times New Roman" w:eastAsia="Times New Roman" w:hAnsi="Times New Roman" w:cs="Times New Roman"/>
          <w:color w:val="000000"/>
          <w:sz w:val="24"/>
          <w:szCs w:val="24"/>
          <w:lang/>
        </w:rPr>
        <w:t>10. Діяння, вчинене платником податків або його посадовими (службовими) особами, що призвело до заниження його податкових зобов’язань з податку на прибуток підприємств та/або податку на додану вартість, якщо такі податкові зобов’язання уточнені за процедурами застосування податкового компромісу та сплачені до бюджетів, не вважається умисним ухиленням від сплати податків, зборів (обов’язкових платежів).</w:t>
      </w:r>
    </w:p>
    <w:p w14:paraId="3B2417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6" w:name="n12276"/>
      <w:bookmarkEnd w:id="10736"/>
      <w:r w:rsidRPr="008B264B">
        <w:rPr>
          <w:rFonts w:ascii="Times New Roman" w:eastAsia="Times New Roman" w:hAnsi="Times New Roman" w:cs="Times New Roman"/>
          <w:color w:val="000000"/>
          <w:sz w:val="24"/>
          <w:szCs w:val="24"/>
          <w:lang/>
        </w:rPr>
        <w:t>11. Податковий компроміс з урахуванням строків давності відповідно до </w:t>
      </w:r>
      <w:hyperlink r:id="rId6113" w:anchor="n2287" w:history="1">
        <w:r w:rsidRPr="008B264B">
          <w:rPr>
            <w:rFonts w:ascii="Times New Roman" w:eastAsia="Times New Roman" w:hAnsi="Times New Roman" w:cs="Times New Roman"/>
            <w:color w:val="0000FF"/>
            <w:sz w:val="24"/>
            <w:szCs w:val="24"/>
            <w:u w:val="single"/>
            <w:lang/>
          </w:rPr>
          <w:t>статті 102</w:t>
        </w:r>
      </w:hyperlink>
      <w:r w:rsidRPr="008B264B">
        <w:rPr>
          <w:rFonts w:ascii="Times New Roman" w:eastAsia="Times New Roman" w:hAnsi="Times New Roman" w:cs="Times New Roman"/>
          <w:color w:val="000000"/>
          <w:sz w:val="24"/>
          <w:szCs w:val="24"/>
          <w:lang/>
        </w:rPr>
        <w:t> цього Кодексу застосовується до правовідносин, що виникли до 1 квітня 2014 року, та поширюється виключно на податкові зобов’язання з податку на прибуток підприємств та/або податку на додану вартість незалежно від того, проводилися перевірки контролюючих органів чи ні за такі періоди.</w:t>
      </w:r>
    </w:p>
    <w:p w14:paraId="729A04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7" w:name="n12277"/>
      <w:bookmarkEnd w:id="10737"/>
      <w:r w:rsidRPr="008B264B">
        <w:rPr>
          <w:rFonts w:ascii="Times New Roman" w:eastAsia="Times New Roman" w:hAnsi="Times New Roman" w:cs="Times New Roman"/>
          <w:color w:val="000000"/>
          <w:sz w:val="24"/>
          <w:szCs w:val="24"/>
          <w:lang/>
        </w:rPr>
        <w:lastRenderedPageBreak/>
        <w:t>12. Платники податків з метою застосування податкового компромісу мають право подати уточнюючі розрахунки або заяви відповідно до положень цього підрозділу протягом 90 календарних днів з дня набрання чинності цим підрозділом.</w:t>
      </w:r>
    </w:p>
    <w:p w14:paraId="19B3EBD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38" w:name="n12246"/>
      <w:bookmarkEnd w:id="10738"/>
      <w:r w:rsidRPr="008B264B">
        <w:rPr>
          <w:rFonts w:ascii="Times New Roman" w:eastAsia="Times New Roman" w:hAnsi="Times New Roman" w:cs="Times New Roman"/>
          <w:i/>
          <w:iCs/>
          <w:color w:val="000000"/>
          <w:sz w:val="24"/>
          <w:szCs w:val="24"/>
          <w:lang/>
        </w:rPr>
        <w:t>{Розділ XX доповнено підрозділом 9</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w:t>
      </w:r>
      <w:hyperlink r:id="rId6114" w:anchor="n5" w:tgtFrame="_blank" w:history="1">
        <w:r w:rsidRPr="008B264B">
          <w:rPr>
            <w:rFonts w:ascii="Times New Roman" w:eastAsia="Times New Roman" w:hAnsi="Times New Roman" w:cs="Times New Roman"/>
            <w:i/>
            <w:iCs/>
            <w:color w:val="0000FF"/>
            <w:sz w:val="24"/>
            <w:szCs w:val="24"/>
            <w:u w:val="single"/>
            <w:lang/>
          </w:rPr>
          <w:t>№ 63-VIII від 25.12.2014</w:t>
        </w:r>
      </w:hyperlink>
      <w:r w:rsidRPr="008B264B">
        <w:rPr>
          <w:rFonts w:ascii="Times New Roman" w:eastAsia="Times New Roman" w:hAnsi="Times New Roman" w:cs="Times New Roman"/>
          <w:i/>
          <w:iCs/>
          <w:color w:val="000000"/>
          <w:sz w:val="24"/>
          <w:szCs w:val="24"/>
          <w:lang/>
        </w:rPr>
        <w:t>}</w:t>
      </w:r>
    </w:p>
    <w:p w14:paraId="266BB7FA" w14:textId="77777777" w:rsidR="008B264B" w:rsidRPr="008B264B" w:rsidRDefault="008B264B" w:rsidP="008B264B">
      <w:pPr>
        <w:spacing w:before="150" w:after="150" w:line="240" w:lineRule="auto"/>
        <w:ind w:left="450" w:right="450"/>
        <w:jc w:val="center"/>
        <w:rPr>
          <w:rFonts w:ascii="Times New Roman" w:eastAsia="Times New Roman" w:hAnsi="Times New Roman" w:cs="Times New Roman"/>
          <w:color w:val="000000"/>
          <w:sz w:val="24"/>
          <w:szCs w:val="24"/>
          <w:lang/>
        </w:rPr>
      </w:pPr>
      <w:bookmarkStart w:id="10739" w:name="n8462"/>
      <w:bookmarkEnd w:id="10739"/>
      <w:r w:rsidRPr="008B264B">
        <w:rPr>
          <w:rFonts w:ascii="Times New Roman" w:eastAsia="Times New Roman" w:hAnsi="Times New Roman" w:cs="Times New Roman"/>
          <w:b/>
          <w:bCs/>
          <w:color w:val="000000"/>
          <w:sz w:val="28"/>
          <w:szCs w:val="28"/>
          <w:lang/>
        </w:rPr>
        <w:t>Підрозділ 10. Інші перехідні положення</w:t>
      </w:r>
    </w:p>
    <w:p w14:paraId="0D7DCA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0" w:name="n8463"/>
      <w:bookmarkEnd w:id="10740"/>
      <w:r w:rsidRPr="008B264B">
        <w:rPr>
          <w:rFonts w:ascii="Times New Roman" w:eastAsia="Times New Roman" w:hAnsi="Times New Roman" w:cs="Times New Roman"/>
          <w:color w:val="000000"/>
          <w:sz w:val="24"/>
          <w:szCs w:val="24"/>
          <w:lang/>
        </w:rPr>
        <w:t>1. Встановити, що погашення простроченої заборгованості суб'єкта господарювання перед державою (Автономною Республікою Крим чи територіальною громадою міста) за кредитом (позикою), залученим державою (Автономною Республікою Крим чи територіальною громадою міста) або під державну (місцеву) гарантію, а також за кредитом з бюджету (включаючи плату за користування такими кредитами (позиками) та пеню) здійснюється у порядку, визначеному </w:t>
      </w:r>
      <w:hyperlink r:id="rId6115" w:anchor="n1969" w:history="1">
        <w:r w:rsidRPr="008B264B">
          <w:rPr>
            <w:rFonts w:ascii="Times New Roman" w:eastAsia="Times New Roman" w:hAnsi="Times New Roman" w:cs="Times New Roman"/>
            <w:color w:val="0000FF"/>
            <w:sz w:val="24"/>
            <w:szCs w:val="24"/>
            <w:u w:val="single"/>
            <w:lang/>
          </w:rPr>
          <w:t>главою 9 розділу II</w:t>
        </w:r>
      </w:hyperlink>
      <w:r w:rsidRPr="008B264B">
        <w:rPr>
          <w:rFonts w:ascii="Times New Roman" w:eastAsia="Times New Roman" w:hAnsi="Times New Roman" w:cs="Times New Roman"/>
          <w:color w:val="000000"/>
          <w:sz w:val="24"/>
          <w:szCs w:val="24"/>
          <w:lang/>
        </w:rPr>
        <w:t> цього Кодексу.</w:t>
      </w:r>
    </w:p>
    <w:p w14:paraId="2DE10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1" w:name="n8464"/>
      <w:bookmarkEnd w:id="10741"/>
      <w:r w:rsidRPr="008B264B">
        <w:rPr>
          <w:rFonts w:ascii="Times New Roman" w:eastAsia="Times New Roman" w:hAnsi="Times New Roman" w:cs="Times New Roman"/>
          <w:i/>
          <w:iCs/>
          <w:color w:val="000000"/>
          <w:sz w:val="24"/>
          <w:szCs w:val="24"/>
          <w:lang/>
        </w:rPr>
        <w:t>{Пункт 2 підрозділу 10 розділу XX втратив чинність на підставі Закону </w:t>
      </w:r>
      <w:hyperlink r:id="rId6116" w:anchor="n228" w:tgtFrame="_blank" w:history="1">
        <w:r w:rsidRPr="008B264B">
          <w:rPr>
            <w:rFonts w:ascii="Times New Roman" w:eastAsia="Times New Roman" w:hAnsi="Times New Roman" w:cs="Times New Roman"/>
            <w:i/>
            <w:iCs/>
            <w:color w:val="0000FF"/>
            <w:sz w:val="24"/>
            <w:szCs w:val="24"/>
            <w:u w:val="single"/>
            <w:lang/>
          </w:rPr>
          <w:t>№ 5203-VI від 06.09.2012</w:t>
        </w:r>
      </w:hyperlink>
      <w:r w:rsidRPr="008B264B">
        <w:rPr>
          <w:rFonts w:ascii="Times New Roman" w:eastAsia="Times New Roman" w:hAnsi="Times New Roman" w:cs="Times New Roman"/>
          <w:i/>
          <w:iCs/>
          <w:color w:val="000000"/>
          <w:sz w:val="24"/>
          <w:szCs w:val="24"/>
          <w:lang/>
        </w:rPr>
        <w:t>}</w:t>
      </w:r>
    </w:p>
    <w:p w14:paraId="2C92808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2" w:name="n8465"/>
      <w:bookmarkEnd w:id="10742"/>
      <w:r w:rsidRPr="008B264B">
        <w:rPr>
          <w:rFonts w:ascii="Times New Roman" w:eastAsia="Times New Roman" w:hAnsi="Times New Roman" w:cs="Times New Roman"/>
          <w:color w:val="000000"/>
          <w:sz w:val="24"/>
          <w:szCs w:val="24"/>
          <w:lang/>
        </w:rPr>
        <w:t>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Підлягають списанню:</w:t>
      </w:r>
    </w:p>
    <w:p w14:paraId="0B5A6C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3" w:name="n8466"/>
      <w:bookmarkEnd w:id="10743"/>
      <w:r w:rsidRPr="008B264B">
        <w:rPr>
          <w:rFonts w:ascii="Times New Roman" w:eastAsia="Times New Roman" w:hAnsi="Times New Roman" w:cs="Times New Roman"/>
          <w:color w:val="000000"/>
          <w:sz w:val="24"/>
          <w:szCs w:val="24"/>
          <w:lang/>
        </w:rPr>
        <w:t>податковий борг станом на 1 січня 2011 року Національної акціонерної компанії "Нафтогаз України" (крім податкового боргу з податку на додану вартість при здійсненні митного оформлення природного газу, ввезеного на митну територію України у минулих періодах) та її дочірніх підприємств ДК "Газ України", ДК "Укртрансгаз", ДК "Укргазвидобування", ДАТ "Чорноморнафтогаз", суб'єктів господарювання, що здійснюють постачання природного газу за регульованим тарифом, перед бюджетом (у тому числі податковий борг, який виник у зв'язку із порушеннями податкового, валютного та митного законодавства), а також грошові зобов'язання, які виникнуть у зв'язку із застосуванням механізму списання відповідно до статті 2 </w:t>
      </w:r>
      <w:hyperlink r:id="rId6117" w:tgtFrame="_blank" w:history="1">
        <w:r w:rsidRPr="008B264B">
          <w:rPr>
            <w:rFonts w:ascii="Times New Roman" w:eastAsia="Times New Roman" w:hAnsi="Times New Roman" w:cs="Times New Roman"/>
            <w:color w:val="0000FF"/>
            <w:sz w:val="24"/>
            <w:szCs w:val="24"/>
            <w:u w:val="single"/>
            <w:lang/>
          </w:rPr>
          <w:t>Закону України "Про деякі питання заборгованості за спожитий природний газ та електричну енергію"</w:t>
        </w:r>
      </w:hyperlink>
      <w:r w:rsidRPr="008B264B">
        <w:rPr>
          <w:rFonts w:ascii="Times New Roman" w:eastAsia="Times New Roman" w:hAnsi="Times New Roman" w:cs="Times New Roman"/>
          <w:color w:val="000000"/>
          <w:sz w:val="24"/>
          <w:szCs w:val="24"/>
          <w:lang/>
        </w:rPr>
        <w:t>;</w:t>
      </w:r>
    </w:p>
    <w:p w14:paraId="26F100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4" w:name="n8467"/>
      <w:bookmarkEnd w:id="10744"/>
      <w:r w:rsidRPr="008B264B">
        <w:rPr>
          <w:rFonts w:ascii="Times New Roman" w:eastAsia="Times New Roman" w:hAnsi="Times New Roman" w:cs="Times New Roman"/>
          <w:color w:val="000000"/>
          <w:sz w:val="24"/>
          <w:szCs w:val="24"/>
          <w:lang/>
        </w:rPr>
        <w:t>реструктуризовані суми податків та зборів на умовах, визначених </w:t>
      </w:r>
      <w:hyperlink r:id="rId6118" w:tgtFrame="_blank" w:history="1">
        <w:r w:rsidRPr="008B264B">
          <w:rPr>
            <w:rFonts w:ascii="Times New Roman" w:eastAsia="Times New Roman" w:hAnsi="Times New Roman" w:cs="Times New Roman"/>
            <w:color w:val="0000FF"/>
            <w:sz w:val="24"/>
            <w:szCs w:val="24"/>
            <w:u w:val="single"/>
            <w:lang/>
          </w:rPr>
          <w:t>Законом України від 23 червня 2005 року № 2711-IV</w:t>
        </w:r>
      </w:hyperlink>
      <w:r w:rsidRPr="008B264B">
        <w:rPr>
          <w:rFonts w:ascii="Times New Roman" w:eastAsia="Times New Roman" w:hAnsi="Times New Roman" w:cs="Times New Roman"/>
          <w:color w:val="000000"/>
          <w:sz w:val="24"/>
          <w:szCs w:val="24"/>
          <w:lang/>
        </w:rPr>
        <w:t> "Про заходи, спрямовані на забезпечення сталого функціонування підприємств паливно-енергетичного комплексу", підприємствам - виробникам електричної енергії, які мають ліцензію на право здійснення підприємницької діяльності з виробництва електричної енергії, а також грошові зобов'язання, які виникнуть у зв'язку із застосуванням механізму списання відповідно до статті 2 Закону України "Про деякі питання заборгованості за спожитий природний газ та електричну енергію";</w:t>
      </w:r>
    </w:p>
    <w:p w14:paraId="06A742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5" w:name="n8468"/>
      <w:bookmarkEnd w:id="10745"/>
      <w:r w:rsidRPr="008B264B">
        <w:rPr>
          <w:rFonts w:ascii="Times New Roman" w:eastAsia="Times New Roman" w:hAnsi="Times New Roman" w:cs="Times New Roman"/>
          <w:color w:val="000000"/>
          <w:sz w:val="24"/>
          <w:szCs w:val="24"/>
          <w:lang/>
        </w:rPr>
        <w:t>податковий борг суб'єктів господарювання, що здійснюють постачання електричної енергії за регульованим тарифом, перед бюджетом, який виник внаслідок визначення контролюючими органами податкового зобов'язання суб'єкта господарювання через наявність небалансу технологічних витрат електроенергії (понаднормативних витрат електроенергії), що відносяться до періодів до 1 січня 2011 року;</w:t>
      </w:r>
    </w:p>
    <w:p w14:paraId="59A77A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6" w:name="n8469"/>
      <w:bookmarkEnd w:id="10746"/>
      <w:r w:rsidRPr="008B264B">
        <w:rPr>
          <w:rFonts w:ascii="Times New Roman" w:eastAsia="Times New Roman" w:hAnsi="Times New Roman" w:cs="Times New Roman"/>
          <w:color w:val="000000"/>
          <w:sz w:val="24"/>
          <w:szCs w:val="24"/>
          <w:lang/>
        </w:rPr>
        <w:t>визначені контролюючими органами станом на 1 січня 2011 року неузгоджені грошові зобов'язання та пені Національної акціонерної компанії "Нафтогаз України" (крім зобов'язань з податку на додану вартість при здійсненні митного оформлення природного газу, ввезеного на митну територію України у минулих періодах) та її дочірніх підприємств ДК "Газ України", ДК "Укртрансгаз", ДК "Укргазвидобування", АТ "Чорноморнафтогаз" та ДП "Енергоринок", за якими тривають процедури адміністративного або судового оскарження;</w:t>
      </w:r>
    </w:p>
    <w:p w14:paraId="090DF4F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7" w:name="n8470"/>
      <w:bookmarkEnd w:id="10747"/>
      <w:r w:rsidRPr="008B264B">
        <w:rPr>
          <w:rFonts w:ascii="Times New Roman" w:eastAsia="Times New Roman" w:hAnsi="Times New Roman" w:cs="Times New Roman"/>
          <w:color w:val="000000"/>
          <w:sz w:val="24"/>
          <w:szCs w:val="24"/>
          <w:lang/>
        </w:rPr>
        <w:t>визначені контролюючими органами неузгоджені грошові зобов'язання та пені суб'єктів господарювання, що здійснюють постачання електричної енергії за регульованим тарифом, через наявність небалансу технологічних витрат електроенергії (понаднормативних витрат електроенергії), що відносяться до періодів до 1 січня 2011 року та за якими тривають процедури адміністративного або судового оскарження;</w:t>
      </w:r>
    </w:p>
    <w:p w14:paraId="777B5D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8" w:name="n8471"/>
      <w:bookmarkEnd w:id="10748"/>
      <w:r w:rsidRPr="008B264B">
        <w:rPr>
          <w:rFonts w:ascii="Times New Roman" w:eastAsia="Times New Roman" w:hAnsi="Times New Roman" w:cs="Times New Roman"/>
          <w:color w:val="000000"/>
          <w:sz w:val="24"/>
          <w:szCs w:val="24"/>
          <w:lang/>
        </w:rPr>
        <w:lastRenderedPageBreak/>
        <w:t>розстрочені Національній акціонерній компанії "Нафтогаз України" податкові зобов'язання (з урахуванням процентів, нарахованих на такі розстрочені суми) з податку на прибуток та податку на додану вартість.</w:t>
      </w:r>
    </w:p>
    <w:p w14:paraId="52BFEDE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49" w:name="n8472"/>
      <w:bookmarkEnd w:id="10749"/>
      <w:r w:rsidRPr="008B264B">
        <w:rPr>
          <w:rFonts w:ascii="Times New Roman" w:eastAsia="Times New Roman" w:hAnsi="Times New Roman" w:cs="Times New Roman"/>
          <w:color w:val="000000"/>
          <w:sz w:val="24"/>
          <w:szCs w:val="24"/>
          <w:lang/>
        </w:rPr>
        <w:t>Суми, списані відповідно до положень цього пункту та </w:t>
      </w:r>
      <w:hyperlink r:id="rId6119" w:tgtFrame="_blank" w:history="1">
        <w:r w:rsidRPr="008B264B">
          <w:rPr>
            <w:rFonts w:ascii="Times New Roman" w:eastAsia="Times New Roman" w:hAnsi="Times New Roman" w:cs="Times New Roman"/>
            <w:color w:val="0000FF"/>
            <w:sz w:val="24"/>
            <w:szCs w:val="24"/>
            <w:u w:val="single"/>
            <w:lang/>
          </w:rPr>
          <w:t>Закону України "Про деякі питання заборгованості за спожитий природний газ та електричну енергію"</w:t>
        </w:r>
      </w:hyperlink>
      <w:r w:rsidRPr="008B264B">
        <w:rPr>
          <w:rFonts w:ascii="Times New Roman" w:eastAsia="Times New Roman" w:hAnsi="Times New Roman" w:cs="Times New Roman"/>
          <w:color w:val="000000"/>
          <w:sz w:val="24"/>
          <w:szCs w:val="24"/>
          <w:lang/>
        </w:rPr>
        <w:t>, не включаються до валових доходів та валових витрат учасників процедури списання.</w:t>
      </w:r>
    </w:p>
    <w:p w14:paraId="28171D2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0" w:name="n8473"/>
      <w:bookmarkEnd w:id="10750"/>
      <w:r w:rsidRPr="008B264B">
        <w:rPr>
          <w:rFonts w:ascii="Times New Roman" w:eastAsia="Times New Roman" w:hAnsi="Times New Roman" w:cs="Times New Roman"/>
          <w:color w:val="000000"/>
          <w:sz w:val="24"/>
          <w:szCs w:val="24"/>
          <w:lang/>
        </w:rPr>
        <w:t>Відповідні рішення про списання зазначених сум приймаються контролюючими органами в межах їх компетенції у порядку, передбаченому для списання безнадійного податкового боргу, протягом десяти робочих днів з дня подання заяви платника податків. У разі відмови контролюючим органом у списанні згідно з цим пунктом платники податків можуть оскаржити такі дії в порядку, визначеному </w:t>
      </w:r>
      <w:hyperlink r:id="rId6120" w:anchor="n1296" w:history="1">
        <w:r w:rsidRPr="008B264B">
          <w:rPr>
            <w:rFonts w:ascii="Times New Roman" w:eastAsia="Times New Roman" w:hAnsi="Times New Roman" w:cs="Times New Roman"/>
            <w:color w:val="0000FF"/>
            <w:sz w:val="24"/>
            <w:szCs w:val="24"/>
            <w:u w:val="single"/>
            <w:lang/>
          </w:rPr>
          <w:t>главою 4</w:t>
        </w:r>
      </w:hyperlink>
      <w:r w:rsidRPr="008B264B">
        <w:rPr>
          <w:rFonts w:ascii="Times New Roman" w:eastAsia="Times New Roman" w:hAnsi="Times New Roman" w:cs="Times New Roman"/>
          <w:color w:val="000000"/>
          <w:sz w:val="24"/>
          <w:szCs w:val="24"/>
          <w:lang/>
        </w:rPr>
        <w:t> цього Кодексу.</w:t>
      </w:r>
    </w:p>
    <w:p w14:paraId="19C701C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1" w:name="n8474"/>
      <w:bookmarkEnd w:id="10751"/>
      <w:r w:rsidRPr="008B264B">
        <w:rPr>
          <w:rFonts w:ascii="Times New Roman" w:eastAsia="Times New Roman" w:hAnsi="Times New Roman" w:cs="Times New Roman"/>
          <w:color w:val="000000"/>
          <w:sz w:val="24"/>
          <w:szCs w:val="24"/>
          <w:lang/>
        </w:rPr>
        <w:t>Згідно з положеннями цього пункту списанню підлягають суми, що залишаються несплаченими станом на перше число місяця, у якому набрав чинності Закон України "Про деякі питання заборгованості за спожитий природний газ та електричну енергію".</w:t>
      </w:r>
    </w:p>
    <w:p w14:paraId="029C964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2" w:name="n8475"/>
      <w:bookmarkEnd w:id="10752"/>
      <w:r w:rsidRPr="008B264B">
        <w:rPr>
          <w:rFonts w:ascii="Times New Roman" w:eastAsia="Times New Roman" w:hAnsi="Times New Roman" w:cs="Times New Roman"/>
          <w:color w:val="000000"/>
          <w:sz w:val="24"/>
          <w:szCs w:val="24"/>
          <w:lang/>
        </w:rPr>
        <w:t>На списані відповідно до положень цього пункту суми не нараховуються штрафні санкції та пеня, передбачені цим Кодексом.</w:t>
      </w:r>
    </w:p>
    <w:p w14:paraId="4C3EBB6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3" w:name="n8476"/>
      <w:bookmarkEnd w:id="10753"/>
      <w:r w:rsidRPr="008B264B">
        <w:rPr>
          <w:rFonts w:ascii="Times New Roman" w:eastAsia="Times New Roman" w:hAnsi="Times New Roman" w:cs="Times New Roman"/>
          <w:i/>
          <w:iCs/>
          <w:color w:val="000000"/>
          <w:sz w:val="24"/>
          <w:szCs w:val="24"/>
          <w:lang/>
        </w:rPr>
        <w:t>{Підрозділ 10 розділу XX доповнено пунктом 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121" w:tgtFrame="_blank" w:history="1">
        <w:r w:rsidRPr="008B264B">
          <w:rPr>
            <w:rFonts w:ascii="Times New Roman" w:eastAsia="Times New Roman" w:hAnsi="Times New Roman" w:cs="Times New Roman"/>
            <w:i/>
            <w:iCs/>
            <w:color w:val="0000FF"/>
            <w:sz w:val="24"/>
            <w:szCs w:val="24"/>
            <w:u w:val="single"/>
            <w:lang/>
          </w:rPr>
          <w:t>№ 3320-VI від 12.05.2011</w:t>
        </w:r>
      </w:hyperlink>
      <w:r w:rsidRPr="008B264B">
        <w:rPr>
          <w:rFonts w:ascii="Times New Roman" w:eastAsia="Times New Roman" w:hAnsi="Times New Roman" w:cs="Times New Roman"/>
          <w:i/>
          <w:iCs/>
          <w:color w:val="000000"/>
          <w:sz w:val="24"/>
          <w:szCs w:val="24"/>
          <w:lang/>
        </w:rPr>
        <w:t> - зміна діє до 30 червня 2012 року}</w:t>
      </w:r>
    </w:p>
    <w:p w14:paraId="1DA71C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4" w:name="n8477"/>
      <w:bookmarkEnd w:id="10754"/>
      <w:r w:rsidRPr="008B264B">
        <w:rPr>
          <w:rFonts w:ascii="Times New Roman" w:eastAsia="Times New Roman" w:hAnsi="Times New Roman" w:cs="Times New Roman"/>
          <w:color w:val="000000"/>
          <w:sz w:val="24"/>
          <w:szCs w:val="24"/>
          <w:lang/>
        </w:rPr>
        <w:t>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Підлягає списанню податковий борг (у тому числі встановлений судовими рішеннями та реструктуризований) станом на 1 липня 2012 року, не сплачений станом на дату набрання чинності цим Законом, платників податків - підприємств оборонно-промислового комплексу, які включені до складу Державного концерну "Укроборонпром" (далі - підприємства оборонно-промислового комплексу), перед бюджетом (у тому числі податковий борг, який виник у зв'язку з порушеннями податкового, валютного та митного законодавства), а також грошові зобов'язання, які виникнуть у зв'язку із застосуванням механізму списання відповідно до </w:t>
      </w:r>
      <w:hyperlink r:id="rId6122" w:anchor="n14" w:tgtFrame="_blank" w:history="1">
        <w:r w:rsidRPr="008B264B">
          <w:rPr>
            <w:rFonts w:ascii="Times New Roman" w:eastAsia="Times New Roman" w:hAnsi="Times New Roman" w:cs="Times New Roman"/>
            <w:color w:val="0000FF"/>
            <w:sz w:val="24"/>
            <w:szCs w:val="24"/>
            <w:u w:val="single"/>
            <w:lang/>
          </w:rPr>
          <w:t>статті 2 </w:t>
        </w:r>
      </w:hyperlink>
      <w:hyperlink r:id="rId6123" w:anchor="n14"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p>
    <w:p w14:paraId="2F004E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5" w:name="n8478"/>
      <w:bookmarkEnd w:id="10755"/>
      <w:r w:rsidRPr="008B264B">
        <w:rPr>
          <w:rFonts w:ascii="Times New Roman" w:eastAsia="Times New Roman" w:hAnsi="Times New Roman" w:cs="Times New Roman"/>
          <w:color w:val="000000"/>
          <w:sz w:val="24"/>
          <w:szCs w:val="24"/>
          <w:lang/>
        </w:rPr>
        <w:t>Підлягає списанню податковий борг із сплати податку на додану вартість Державного агентства резерву України, який виник у зв'язку з переведенням заборгованості Національної акціонерної компанії "Нафтогаз України", підприємств паливно-енергетичного комплексу перед Державним агентством резерву України, що списується відповідно до статті 2 Закону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p>
    <w:p w14:paraId="39C7E4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6" w:name="n8479"/>
      <w:bookmarkEnd w:id="10756"/>
      <w:r w:rsidRPr="008B264B">
        <w:rPr>
          <w:rFonts w:ascii="Times New Roman" w:eastAsia="Times New Roman" w:hAnsi="Times New Roman" w:cs="Times New Roman"/>
          <w:color w:val="000000"/>
          <w:sz w:val="24"/>
          <w:szCs w:val="24"/>
          <w:lang/>
        </w:rPr>
        <w:t>Суми, списані відповідно до положень цього пункту та </w:t>
      </w:r>
      <w:hyperlink r:id="rId6124" w:anchor="n3" w:tgtFrame="_blank" w:history="1">
        <w:r w:rsidRPr="008B264B">
          <w:rPr>
            <w:rFonts w:ascii="Times New Roman" w:eastAsia="Times New Roman" w:hAnsi="Times New Roman" w:cs="Times New Roman"/>
            <w:color w:val="0000FF"/>
            <w:sz w:val="24"/>
            <w:szCs w:val="24"/>
            <w:u w:val="single"/>
            <w:lang/>
          </w:rPr>
          <w:t>Закону України "Про деякі питання заборгованості підприємств оборонно-промислового комплексу - учасників Державного концерну "Укроборонпром" та забезпечення їх стабільного розвитку"</w:t>
        </w:r>
      </w:hyperlink>
      <w:r w:rsidRPr="008B264B">
        <w:rPr>
          <w:rFonts w:ascii="Times New Roman" w:eastAsia="Times New Roman" w:hAnsi="Times New Roman" w:cs="Times New Roman"/>
          <w:color w:val="000000"/>
          <w:sz w:val="24"/>
          <w:szCs w:val="24"/>
          <w:lang/>
        </w:rPr>
        <w:t>, не включаються до доходів та витрат учасників процедури списання.</w:t>
      </w:r>
    </w:p>
    <w:p w14:paraId="44A6C1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7" w:name="n8480"/>
      <w:bookmarkEnd w:id="10757"/>
      <w:r w:rsidRPr="008B264B">
        <w:rPr>
          <w:rFonts w:ascii="Times New Roman" w:eastAsia="Times New Roman" w:hAnsi="Times New Roman" w:cs="Times New Roman"/>
          <w:color w:val="000000"/>
          <w:sz w:val="24"/>
          <w:szCs w:val="24"/>
          <w:lang/>
        </w:rPr>
        <w:t>Контролюючі органи в межах їх компетенції у порядку, передбаченому для списання безнадійного податкового боргу, здійснюють списання зазначених сум протягом десяти робочих днів з дня подання заяви платника податків.</w:t>
      </w:r>
    </w:p>
    <w:p w14:paraId="4C5FDDD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8" w:name="n8481"/>
      <w:bookmarkEnd w:id="10758"/>
      <w:r w:rsidRPr="008B264B">
        <w:rPr>
          <w:rFonts w:ascii="Times New Roman" w:eastAsia="Times New Roman" w:hAnsi="Times New Roman" w:cs="Times New Roman"/>
          <w:color w:val="000000"/>
          <w:sz w:val="24"/>
          <w:szCs w:val="24"/>
          <w:lang/>
        </w:rPr>
        <w:t>На списані відповідно до положень цього пункту суми не нараховується пеня, штрафні санкції, що встановлені цим Кодексом.</w:t>
      </w:r>
    </w:p>
    <w:p w14:paraId="14CD4C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59" w:name="n8482"/>
      <w:bookmarkEnd w:id="10759"/>
      <w:r w:rsidRPr="008B264B">
        <w:rPr>
          <w:rFonts w:ascii="Times New Roman" w:eastAsia="Times New Roman" w:hAnsi="Times New Roman" w:cs="Times New Roman"/>
          <w:i/>
          <w:iCs/>
          <w:color w:val="000000"/>
          <w:sz w:val="24"/>
          <w:szCs w:val="24"/>
          <w:lang/>
        </w:rPr>
        <w:t>{Підрозділ 10 розділу XX доповнено пунктом 2</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i/>
          <w:iCs/>
          <w:color w:val="000000"/>
          <w:sz w:val="24"/>
          <w:szCs w:val="24"/>
          <w:lang/>
        </w:rPr>
        <w:t> згідно із Законом Законом </w:t>
      </w:r>
      <w:hyperlink r:id="rId6125" w:anchor="n17" w:tgtFrame="_blank" w:history="1">
        <w:r w:rsidRPr="008B264B">
          <w:rPr>
            <w:rFonts w:ascii="Times New Roman" w:eastAsia="Times New Roman" w:hAnsi="Times New Roman" w:cs="Times New Roman"/>
            <w:i/>
            <w:iCs/>
            <w:color w:val="0000FF"/>
            <w:sz w:val="24"/>
            <w:szCs w:val="24"/>
            <w:u w:val="single"/>
            <w:lang/>
          </w:rPr>
          <w:t>№ 5414-VI від 02.10.2012</w:t>
        </w:r>
      </w:hyperlink>
      <w:r w:rsidRPr="008B264B">
        <w:rPr>
          <w:rFonts w:ascii="Times New Roman" w:eastAsia="Times New Roman" w:hAnsi="Times New Roman" w:cs="Times New Roman"/>
          <w:i/>
          <w:iCs/>
          <w:color w:val="000000"/>
          <w:sz w:val="24"/>
          <w:szCs w:val="24"/>
          <w:lang/>
        </w:rPr>
        <w:t>}</w:t>
      </w:r>
    </w:p>
    <w:p w14:paraId="23009A3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0" w:name="n8483"/>
      <w:bookmarkEnd w:id="10760"/>
      <w:r w:rsidRPr="008B264B">
        <w:rPr>
          <w:rFonts w:ascii="Times New Roman" w:eastAsia="Times New Roman" w:hAnsi="Times New Roman" w:cs="Times New Roman"/>
          <w:color w:val="000000"/>
          <w:sz w:val="24"/>
          <w:szCs w:val="24"/>
          <w:lang/>
        </w:rPr>
        <w:t>3. Встановити, що в разі якщо законодавчими актами передбачені інші правила справляння податків, зборів, що регулюються цим Кодексом, застосовуються правила цього Кодексу.</w:t>
      </w:r>
    </w:p>
    <w:p w14:paraId="6928395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1" w:name="n8484"/>
      <w:bookmarkEnd w:id="10761"/>
      <w:r w:rsidRPr="008B264B">
        <w:rPr>
          <w:rFonts w:ascii="Times New Roman" w:eastAsia="Times New Roman" w:hAnsi="Times New Roman" w:cs="Times New Roman"/>
          <w:i/>
          <w:iCs/>
          <w:color w:val="000000"/>
          <w:sz w:val="24"/>
          <w:szCs w:val="24"/>
          <w:lang/>
        </w:rPr>
        <w:lastRenderedPageBreak/>
        <w:t>{Пункт 4 підрозділу 10 розділу ХХ виключено на підставі Закону </w:t>
      </w:r>
      <w:hyperlink r:id="rId6126" w:anchor="n18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72DB6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2" w:name="n8485"/>
      <w:bookmarkEnd w:id="10762"/>
      <w:r w:rsidRPr="008B264B">
        <w:rPr>
          <w:rFonts w:ascii="Times New Roman" w:eastAsia="Times New Roman" w:hAnsi="Times New Roman" w:cs="Times New Roman"/>
          <w:color w:val="000000"/>
          <w:sz w:val="24"/>
          <w:szCs w:val="24"/>
          <w:lang/>
        </w:rPr>
        <w:t>5. У зв'язку з набранням чинності цим Кодексом штрафні санкції, які можуть бути накладені на платників податків за порушення нормативних актів Кабінету Міністрів України, центрального контролюючого органу, положень, прямо передбачених цим Кодексом, починають застосовуватися до таких платників податків за наслідками податкового періоду, наступного за податковим періодом, протягом якого такі акти були введені в дію.</w:t>
      </w:r>
    </w:p>
    <w:p w14:paraId="3FC890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3" w:name="n8486"/>
      <w:bookmarkEnd w:id="10763"/>
      <w:r w:rsidRPr="008B264B">
        <w:rPr>
          <w:rFonts w:ascii="Times New Roman" w:eastAsia="Times New Roman" w:hAnsi="Times New Roman" w:cs="Times New Roman"/>
          <w:color w:val="000000"/>
          <w:sz w:val="24"/>
          <w:szCs w:val="24"/>
          <w:lang/>
        </w:rPr>
        <w:t>6. Не застосовуються фінансові санкції до платників податку на прибуток підприємств та платників податків, що перейшли на загальну систему оподаткування, за порушення податкового законодавства за наслідками діяльності у другому - четвертому календарних кварталах 2011 року.</w:t>
      </w:r>
    </w:p>
    <w:p w14:paraId="0C6CE89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4" w:name="n8487"/>
      <w:bookmarkEnd w:id="10764"/>
      <w:r w:rsidRPr="008B264B">
        <w:rPr>
          <w:rFonts w:ascii="Times New Roman" w:eastAsia="Times New Roman" w:hAnsi="Times New Roman" w:cs="Times New Roman"/>
          <w:i/>
          <w:iCs/>
          <w:color w:val="000000"/>
          <w:sz w:val="24"/>
          <w:szCs w:val="24"/>
          <w:lang/>
        </w:rPr>
        <w:t>{Пункт 6 підрозділу 10 розділу XX із змінами, внесеними згідно із Законом </w:t>
      </w:r>
      <w:hyperlink r:id="rId6127"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49245C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5" w:name="n8488"/>
      <w:bookmarkEnd w:id="10765"/>
      <w:r w:rsidRPr="008B264B">
        <w:rPr>
          <w:rFonts w:ascii="Times New Roman" w:eastAsia="Times New Roman" w:hAnsi="Times New Roman" w:cs="Times New Roman"/>
          <w:color w:val="000000"/>
          <w:sz w:val="24"/>
          <w:szCs w:val="24"/>
          <w:lang/>
        </w:rPr>
        <w:t>7. Штрафні санкції за порушення податкового законодавства за період з 1 січня по 30 червня 2011 року застосовуються у розмірі не більше 1 гривні за кожне порушення.</w:t>
      </w:r>
    </w:p>
    <w:p w14:paraId="13012EB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6" w:name="n8489"/>
      <w:bookmarkEnd w:id="10766"/>
      <w:r w:rsidRPr="008B264B">
        <w:rPr>
          <w:rFonts w:ascii="Times New Roman" w:eastAsia="Times New Roman" w:hAnsi="Times New Roman" w:cs="Times New Roman"/>
          <w:color w:val="000000"/>
          <w:sz w:val="24"/>
          <w:szCs w:val="24"/>
          <w:lang/>
        </w:rPr>
        <w:t>Штрафні санкції до платників єдиного податку за порушення у 2012 році порядку обчислення, правильності заповнення податкових декларацій платника єдиного податку та повноти сплати сум єдиного податку платниками не застосовуються.</w:t>
      </w:r>
    </w:p>
    <w:p w14:paraId="2F6970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7" w:name="n8490"/>
      <w:bookmarkEnd w:id="10767"/>
      <w:r w:rsidRPr="008B264B">
        <w:rPr>
          <w:rFonts w:ascii="Times New Roman" w:eastAsia="Times New Roman" w:hAnsi="Times New Roman" w:cs="Times New Roman"/>
          <w:i/>
          <w:iCs/>
          <w:color w:val="000000"/>
          <w:sz w:val="24"/>
          <w:szCs w:val="24"/>
          <w:lang/>
        </w:rPr>
        <w:t>{Пункт 7 підрозділу 10 розділу XX доповнено абзацом другим згідно із Законом </w:t>
      </w:r>
      <w:hyperlink r:id="rId6128" w:anchor="n516"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7AFC99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8" w:name="n8491"/>
      <w:bookmarkEnd w:id="10768"/>
      <w:r w:rsidRPr="008B264B">
        <w:rPr>
          <w:rFonts w:ascii="Times New Roman" w:eastAsia="Times New Roman" w:hAnsi="Times New Roman" w:cs="Times New Roman"/>
          <w:color w:val="000000"/>
          <w:sz w:val="24"/>
          <w:szCs w:val="24"/>
          <w:lang/>
        </w:rPr>
        <w:t>8. У випадках, визначених цим Кодексом, до вступу в дію статті 39 цього Кодексу застосовується пункт 1.20 статті 1 </w:t>
      </w:r>
      <w:hyperlink r:id="rId6129" w:tgtFrame="_blank" w:history="1">
        <w:r w:rsidRPr="008B264B">
          <w:rPr>
            <w:rFonts w:ascii="Times New Roman" w:eastAsia="Times New Roman" w:hAnsi="Times New Roman" w:cs="Times New Roman"/>
            <w:color w:val="0000FF"/>
            <w:sz w:val="24"/>
            <w:szCs w:val="24"/>
            <w:u w:val="single"/>
            <w:lang/>
          </w:rPr>
          <w:t>Закону України "Про оподаткування прибутку підприємств"</w:t>
        </w:r>
      </w:hyperlink>
      <w:r w:rsidRPr="008B264B">
        <w:rPr>
          <w:rFonts w:ascii="Times New Roman" w:eastAsia="Times New Roman" w:hAnsi="Times New Roman" w:cs="Times New Roman"/>
          <w:color w:val="000000"/>
          <w:sz w:val="24"/>
          <w:szCs w:val="24"/>
          <w:lang/>
        </w:rPr>
        <w:t>.</w:t>
      </w:r>
    </w:p>
    <w:p w14:paraId="479BDF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69" w:name="n8492"/>
      <w:bookmarkEnd w:id="10769"/>
      <w:r w:rsidRPr="008B264B">
        <w:rPr>
          <w:rFonts w:ascii="Times New Roman" w:eastAsia="Times New Roman" w:hAnsi="Times New Roman" w:cs="Times New Roman"/>
          <w:color w:val="000000"/>
          <w:sz w:val="24"/>
          <w:szCs w:val="24"/>
          <w:lang/>
        </w:rPr>
        <w:t>Положення підпункту 1.20.10 пункту 1.20 статті 1 Закону України "Про оподаткування прибутку підприємств" щодо донарахування податкових зобов'язань платнику податку контролюючим органом внаслідок визначення звичайних цін за процедурою, встановленою законом для нарахування податкових зобов'язань за непрямими методами, не застосовується.</w:t>
      </w:r>
    </w:p>
    <w:p w14:paraId="41EABDB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0" w:name="n8493"/>
      <w:bookmarkEnd w:id="10770"/>
      <w:r w:rsidRPr="008B264B">
        <w:rPr>
          <w:rFonts w:ascii="Times New Roman" w:eastAsia="Times New Roman" w:hAnsi="Times New Roman" w:cs="Times New Roman"/>
          <w:i/>
          <w:iCs/>
          <w:color w:val="000000"/>
          <w:sz w:val="24"/>
          <w:szCs w:val="24"/>
          <w:lang/>
        </w:rPr>
        <w:t>{Пункт 8 підрозділу 10 розділу XX доповнено абзацом другим згідно із Законом </w:t>
      </w:r>
      <w:hyperlink r:id="rId6130" w:anchor="n518"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w:t>
      </w:r>
    </w:p>
    <w:p w14:paraId="657C48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1" w:name="n8494"/>
      <w:bookmarkEnd w:id="10771"/>
      <w:r w:rsidRPr="008B264B">
        <w:rPr>
          <w:rFonts w:ascii="Times New Roman" w:eastAsia="Times New Roman" w:hAnsi="Times New Roman" w:cs="Times New Roman"/>
          <w:color w:val="000000"/>
          <w:sz w:val="24"/>
          <w:szCs w:val="24"/>
          <w:lang/>
        </w:rPr>
        <w:t>9. Тимчасово, до розробки та впровадження в дію автоматизованої системи "Єдине вікно подання електронної звітності" відповідно до </w:t>
      </w:r>
      <w:hyperlink r:id="rId6131" w:anchor="n1239" w:history="1">
        <w:r w:rsidRPr="008B264B">
          <w:rPr>
            <w:rFonts w:ascii="Times New Roman" w:eastAsia="Times New Roman" w:hAnsi="Times New Roman" w:cs="Times New Roman"/>
            <w:color w:val="0000FF"/>
            <w:sz w:val="24"/>
            <w:szCs w:val="24"/>
            <w:u w:val="single"/>
            <w:lang/>
          </w:rPr>
          <w:t>пункту 49.17</w:t>
        </w:r>
      </w:hyperlink>
      <w:r w:rsidRPr="008B264B">
        <w:rPr>
          <w:rFonts w:ascii="Times New Roman" w:eastAsia="Times New Roman" w:hAnsi="Times New Roman" w:cs="Times New Roman"/>
          <w:color w:val="000000"/>
          <w:sz w:val="24"/>
          <w:szCs w:val="24"/>
          <w:lang/>
        </w:rPr>
        <w:t> статті 49 цього Кодексу, діє </w:t>
      </w:r>
      <w:hyperlink r:id="rId6132" w:tgtFrame="_blank" w:history="1">
        <w:r w:rsidRPr="008B264B">
          <w:rPr>
            <w:rFonts w:ascii="Times New Roman" w:eastAsia="Times New Roman" w:hAnsi="Times New Roman" w:cs="Times New Roman"/>
            <w:color w:val="0000FF"/>
            <w:sz w:val="24"/>
            <w:szCs w:val="24"/>
            <w:u w:val="single"/>
            <w:lang/>
          </w:rPr>
          <w:t>Порядок з підготовки і подання податкових документів в електронному вигляді засобами телекомунікаційного зв'язку</w:t>
        </w:r>
      </w:hyperlink>
      <w:r w:rsidRPr="008B264B">
        <w:rPr>
          <w:rFonts w:ascii="Times New Roman" w:eastAsia="Times New Roman" w:hAnsi="Times New Roman" w:cs="Times New Roman"/>
          <w:color w:val="000000"/>
          <w:sz w:val="24"/>
          <w:szCs w:val="24"/>
          <w:lang/>
        </w:rPr>
        <w:t>, затверджений наказом Державної податкової адміністрації України від 10 квітня 2008 року № 233 та зареєстрований у Міністерстві юстиції України 16 квітня 2008 року за № 320/15011.</w:t>
      </w:r>
    </w:p>
    <w:p w14:paraId="6BFFED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2" w:name="n8495"/>
      <w:bookmarkEnd w:id="10772"/>
      <w:r w:rsidRPr="008B264B">
        <w:rPr>
          <w:rFonts w:ascii="Times New Roman" w:eastAsia="Times New Roman" w:hAnsi="Times New Roman" w:cs="Times New Roman"/>
          <w:color w:val="000000"/>
          <w:sz w:val="24"/>
          <w:szCs w:val="24"/>
          <w:lang/>
        </w:rPr>
        <w:t>10. Нормативно-правові акти Кабінету Міністрів України, Державної податкової адміністрації України та інших центральних органів виконавчої влади, прийняті до набрання чинності цим Кодексом на виконання законів з питань оподаткування, та нормативно-правові акти, які використовуються при застосуванні норм законів про оподаткування (в тому числі акти законодавства СРСР), застосовуються в частині, що не суперечить цьому Кодексу, до прийняття відповідних актів згідно з вимогами цього Кодексу.</w:t>
      </w:r>
    </w:p>
    <w:p w14:paraId="54587B5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3" w:name="n8496"/>
      <w:bookmarkEnd w:id="10773"/>
      <w:r w:rsidRPr="008B264B">
        <w:rPr>
          <w:rFonts w:ascii="Times New Roman" w:eastAsia="Times New Roman" w:hAnsi="Times New Roman" w:cs="Times New Roman"/>
          <w:color w:val="000000"/>
          <w:sz w:val="24"/>
          <w:szCs w:val="24"/>
          <w:lang/>
        </w:rPr>
        <w:t>11. Штрафні (фінансові) санкції (штрафи) за наслідками перевірок, які здійснюються контролюючими органами, застосовуються у розмірах, передбачених законом, чинним на день прийняття рішень щодо застосування таких штрафних (фінансових) санкцій (з урахуванням норм пункту 7 цього підрозділу).</w:t>
      </w:r>
    </w:p>
    <w:p w14:paraId="617F85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4" w:name="n8497"/>
      <w:bookmarkEnd w:id="10774"/>
      <w:r w:rsidRPr="008B264B">
        <w:rPr>
          <w:rFonts w:ascii="Times New Roman" w:eastAsia="Times New Roman" w:hAnsi="Times New Roman" w:cs="Times New Roman"/>
          <w:i/>
          <w:iCs/>
          <w:color w:val="000000"/>
          <w:sz w:val="24"/>
          <w:szCs w:val="24"/>
          <w:lang/>
        </w:rPr>
        <w:t>{Підрозділ 10 розділу XX доповнено пунктом 11 згідно із Законом </w:t>
      </w:r>
      <w:hyperlink r:id="rId6133"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743541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5" w:name="n8498"/>
      <w:bookmarkEnd w:id="10775"/>
      <w:r w:rsidRPr="008B264B">
        <w:rPr>
          <w:rFonts w:ascii="Times New Roman" w:eastAsia="Times New Roman" w:hAnsi="Times New Roman" w:cs="Times New Roman"/>
          <w:color w:val="000000"/>
          <w:sz w:val="24"/>
          <w:szCs w:val="24"/>
          <w:lang/>
        </w:rPr>
        <w:t>12. Норми </w:t>
      </w:r>
      <w:hyperlink r:id="rId6134" w:anchor="n1590" w:history="1">
        <w:r w:rsidRPr="008B264B">
          <w:rPr>
            <w:rFonts w:ascii="Times New Roman" w:eastAsia="Times New Roman" w:hAnsi="Times New Roman" w:cs="Times New Roman"/>
            <w:color w:val="0000FF"/>
            <w:sz w:val="24"/>
            <w:szCs w:val="24"/>
            <w:u w:val="single"/>
            <w:lang/>
          </w:rPr>
          <w:t>статті 69</w:t>
        </w:r>
      </w:hyperlink>
      <w:r w:rsidRPr="008B264B">
        <w:rPr>
          <w:rFonts w:ascii="Times New Roman" w:eastAsia="Times New Roman" w:hAnsi="Times New Roman" w:cs="Times New Roman"/>
          <w:color w:val="000000"/>
          <w:sz w:val="24"/>
          <w:szCs w:val="24"/>
          <w:lang/>
        </w:rPr>
        <w:t xml:space="preserve"> цього Кодексу не застосовуються до зберігачів цінних паперів в період відкриття рахунків в цінних паперах при проведенні дематеріалізації цінних паперів відповідно до законодавства. Зобов'язання, передбачені в статті 69, мають бути виконані зберігачем по закінченню визначеного законодавством періоду дематеріалізації цінних паперів при зверненні </w:t>
      </w:r>
      <w:r w:rsidRPr="008B264B">
        <w:rPr>
          <w:rFonts w:ascii="Times New Roman" w:eastAsia="Times New Roman" w:hAnsi="Times New Roman" w:cs="Times New Roman"/>
          <w:color w:val="000000"/>
          <w:sz w:val="24"/>
          <w:szCs w:val="24"/>
          <w:lang/>
        </w:rPr>
        <w:lastRenderedPageBreak/>
        <w:t>фізичної особи, зазначеної у цій статті, щодо відкриття для неї таких рахунків та при відкритті нових рахунків.</w:t>
      </w:r>
    </w:p>
    <w:p w14:paraId="3A0F92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6" w:name="n8499"/>
      <w:bookmarkEnd w:id="10776"/>
      <w:r w:rsidRPr="008B264B">
        <w:rPr>
          <w:rFonts w:ascii="Times New Roman" w:eastAsia="Times New Roman" w:hAnsi="Times New Roman" w:cs="Times New Roman"/>
          <w:i/>
          <w:iCs/>
          <w:color w:val="000000"/>
          <w:sz w:val="24"/>
          <w:szCs w:val="24"/>
          <w:lang/>
        </w:rPr>
        <w:t>{Підрозділ 10 розділу XX доповнено пунктом 12 згідно із Законом </w:t>
      </w:r>
      <w:hyperlink r:id="rId6135" w:tgtFrame="_blank" w:history="1">
        <w:r w:rsidRPr="008B264B">
          <w:rPr>
            <w:rFonts w:ascii="Times New Roman" w:eastAsia="Times New Roman" w:hAnsi="Times New Roman" w:cs="Times New Roman"/>
            <w:i/>
            <w:iCs/>
            <w:color w:val="0000FF"/>
            <w:sz w:val="24"/>
            <w:szCs w:val="24"/>
            <w:u w:val="single"/>
            <w:lang/>
          </w:rPr>
          <w:t>№ 3609-VI від 07.07.2011</w:t>
        </w:r>
      </w:hyperlink>
      <w:r w:rsidRPr="008B264B">
        <w:rPr>
          <w:rFonts w:ascii="Times New Roman" w:eastAsia="Times New Roman" w:hAnsi="Times New Roman" w:cs="Times New Roman"/>
          <w:i/>
          <w:iCs/>
          <w:color w:val="000000"/>
          <w:sz w:val="24"/>
          <w:szCs w:val="24"/>
          <w:lang/>
        </w:rPr>
        <w:t>}</w:t>
      </w:r>
    </w:p>
    <w:p w14:paraId="027B10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7" w:name="n8500"/>
      <w:bookmarkEnd w:id="10777"/>
      <w:r w:rsidRPr="008B264B">
        <w:rPr>
          <w:rFonts w:ascii="Times New Roman" w:eastAsia="Times New Roman" w:hAnsi="Times New Roman" w:cs="Times New Roman"/>
          <w:color w:val="000000"/>
          <w:sz w:val="24"/>
          <w:szCs w:val="24"/>
          <w:lang/>
        </w:rPr>
        <w:t>13. У податкових (звітних) періодах 2012 року обчислення коригуючого коефіцієнта, встановленого абзацом першим пункту 259.1 статті 259 цього Кодексу, здійснюється шляхом ділення середньої ціни одного бареля нафти "Urals", що склалася на момент завершення проведення торгів нафтою на Лондонській біржі протягом поточного звітного (податкового) періоду, на базову ціну нафти. Під базовою ціною нафти розуміється ціна нафти "Urals", що дорівнює 100 доларів США за барель.</w:t>
      </w:r>
    </w:p>
    <w:p w14:paraId="463013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8" w:name="n8501"/>
      <w:bookmarkEnd w:id="10778"/>
      <w:r w:rsidRPr="008B264B">
        <w:rPr>
          <w:rFonts w:ascii="Times New Roman" w:eastAsia="Times New Roman" w:hAnsi="Times New Roman" w:cs="Times New Roman"/>
          <w:i/>
          <w:iCs/>
          <w:color w:val="000000"/>
          <w:sz w:val="24"/>
          <w:szCs w:val="24"/>
          <w:lang/>
        </w:rPr>
        <w:t>{Підрозділ 10 розділу XX доповнено пунктом 13 згідно із Законом </w:t>
      </w:r>
      <w:hyperlink r:id="rId6136" w:tgtFrame="_blank" w:history="1">
        <w:r w:rsidRPr="008B264B">
          <w:rPr>
            <w:rFonts w:ascii="Times New Roman" w:eastAsia="Times New Roman" w:hAnsi="Times New Roman" w:cs="Times New Roman"/>
            <w:i/>
            <w:iCs/>
            <w:color w:val="0000FF"/>
            <w:sz w:val="24"/>
            <w:szCs w:val="24"/>
            <w:u w:val="single"/>
            <w:lang/>
          </w:rPr>
          <w:t>№ 4235-VI від 22.12.2011</w:t>
        </w:r>
      </w:hyperlink>
      <w:r w:rsidRPr="008B264B">
        <w:rPr>
          <w:rFonts w:ascii="Times New Roman" w:eastAsia="Times New Roman" w:hAnsi="Times New Roman" w:cs="Times New Roman"/>
          <w:i/>
          <w:iCs/>
          <w:color w:val="000000"/>
          <w:sz w:val="24"/>
          <w:szCs w:val="24"/>
          <w:lang/>
        </w:rPr>
        <w:t>}</w:t>
      </w:r>
    </w:p>
    <w:p w14:paraId="3D6FEE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79" w:name="n8502"/>
      <w:bookmarkEnd w:id="10779"/>
      <w:r w:rsidRPr="008B264B">
        <w:rPr>
          <w:rFonts w:ascii="Times New Roman" w:eastAsia="Times New Roman" w:hAnsi="Times New Roman" w:cs="Times New Roman"/>
          <w:color w:val="000000"/>
          <w:sz w:val="24"/>
          <w:szCs w:val="24"/>
          <w:lang/>
        </w:rPr>
        <w:t>14. Установити, що до 1 січня 2016 року не застосовуються штрафні санкції за неподання або порушення строку подання фізичними особами до контролюючих органів відомостей про зміну даних, які вносяться до Державного реєстру фізичних осіб - платників податків.</w:t>
      </w:r>
    </w:p>
    <w:p w14:paraId="0A0F32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0" w:name="n8503"/>
      <w:bookmarkEnd w:id="10780"/>
      <w:r w:rsidRPr="008B264B">
        <w:rPr>
          <w:rFonts w:ascii="Times New Roman" w:eastAsia="Times New Roman" w:hAnsi="Times New Roman" w:cs="Times New Roman"/>
          <w:i/>
          <w:iCs/>
          <w:color w:val="000000"/>
          <w:sz w:val="24"/>
          <w:szCs w:val="24"/>
          <w:lang/>
        </w:rPr>
        <w:t>{Підрозділ 10 розділу XX доповнено пунктом 14 згідно із Законом </w:t>
      </w:r>
      <w:hyperlink r:id="rId6137" w:anchor="n520" w:tgtFrame="_blank" w:history="1">
        <w:r w:rsidRPr="008B264B">
          <w:rPr>
            <w:rFonts w:ascii="Times New Roman" w:eastAsia="Times New Roman" w:hAnsi="Times New Roman" w:cs="Times New Roman"/>
            <w:i/>
            <w:iCs/>
            <w:color w:val="0000FF"/>
            <w:sz w:val="24"/>
            <w:szCs w:val="24"/>
            <w:u w:val="single"/>
            <w:lang/>
          </w:rPr>
          <w:t>№ 4834-VI від 24.05.2012</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138" w:anchor="n222"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w:t>
      </w:r>
    </w:p>
    <w:p w14:paraId="040D0E5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1" w:name="n8504"/>
      <w:bookmarkEnd w:id="10781"/>
      <w:r w:rsidRPr="008B264B">
        <w:rPr>
          <w:rFonts w:ascii="Times New Roman" w:eastAsia="Times New Roman" w:hAnsi="Times New Roman" w:cs="Times New Roman"/>
          <w:i/>
          <w:iCs/>
          <w:color w:val="000000"/>
          <w:sz w:val="24"/>
          <w:szCs w:val="24"/>
          <w:lang/>
        </w:rPr>
        <w:t>{Пункт 15 підрозділу 10 розділу ХХ виключено на підставі Закону </w:t>
      </w:r>
      <w:hyperlink r:id="rId6139" w:anchor="n18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3EB8A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2" w:name="n8561"/>
      <w:bookmarkEnd w:id="10782"/>
      <w:r w:rsidRPr="008B264B">
        <w:rPr>
          <w:rFonts w:ascii="Times New Roman" w:eastAsia="Times New Roman" w:hAnsi="Times New Roman" w:cs="Times New Roman"/>
          <w:i/>
          <w:iCs/>
          <w:color w:val="000000"/>
          <w:sz w:val="24"/>
          <w:szCs w:val="24"/>
          <w:lang/>
        </w:rPr>
        <w:t>{Пункт 16 підрозділу 10 розділу ХХ виключено на підставі Закону </w:t>
      </w:r>
      <w:hyperlink r:id="rId6140" w:anchor="n18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7E3A9A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3" w:name="n10056"/>
      <w:bookmarkEnd w:id="10783"/>
      <w:r w:rsidRPr="008B264B">
        <w:rPr>
          <w:rFonts w:ascii="Times New Roman" w:eastAsia="Times New Roman" w:hAnsi="Times New Roman" w:cs="Times New Roman"/>
          <w:color w:val="000000"/>
          <w:sz w:val="24"/>
          <w:szCs w:val="24"/>
          <w:lang/>
        </w:rPr>
        <w:t>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Тимчасово, до набрання чинності рішенням Верховної Ради України про завершення реформи Збройних Сил України, встановлюється військовий збір.</w:t>
      </w:r>
    </w:p>
    <w:p w14:paraId="29580AC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4" w:name="n12202"/>
      <w:bookmarkEnd w:id="10784"/>
      <w:r w:rsidRPr="008B264B">
        <w:rPr>
          <w:rFonts w:ascii="Times New Roman" w:eastAsia="Times New Roman" w:hAnsi="Times New Roman" w:cs="Times New Roman"/>
          <w:i/>
          <w:iCs/>
          <w:color w:val="000000"/>
          <w:sz w:val="24"/>
          <w:szCs w:val="24"/>
          <w:lang/>
        </w:rPr>
        <w:t>{Абзац перший пункту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10 розділу ХХ із змінами, внесеними згідно із Законом </w:t>
      </w:r>
      <w:hyperlink r:id="rId6141" w:anchor="n1804"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1A1BF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5" w:name="n10057"/>
      <w:bookmarkEnd w:id="10785"/>
      <w:r w:rsidRPr="008B264B">
        <w:rPr>
          <w:rFonts w:ascii="Times New Roman" w:eastAsia="Times New Roman" w:hAnsi="Times New Roman" w:cs="Times New Roman"/>
          <w:color w:val="000000"/>
          <w:sz w:val="24"/>
          <w:szCs w:val="24"/>
          <w:lang/>
        </w:rPr>
        <w:t>1.1. Платниками збору є особи, визначені </w:t>
      </w:r>
      <w:hyperlink r:id="rId6142" w:anchor="n3612" w:history="1">
        <w:r w:rsidRPr="008B264B">
          <w:rPr>
            <w:rFonts w:ascii="Times New Roman" w:eastAsia="Times New Roman" w:hAnsi="Times New Roman" w:cs="Times New Roman"/>
            <w:color w:val="0000FF"/>
            <w:sz w:val="24"/>
            <w:szCs w:val="24"/>
            <w:u w:val="single"/>
            <w:lang/>
          </w:rPr>
          <w:t>пунктом 162.1</w:t>
        </w:r>
      </w:hyperlink>
      <w:r w:rsidRPr="008B264B">
        <w:rPr>
          <w:rFonts w:ascii="Times New Roman" w:eastAsia="Times New Roman" w:hAnsi="Times New Roman" w:cs="Times New Roman"/>
          <w:color w:val="000000"/>
          <w:sz w:val="24"/>
          <w:szCs w:val="24"/>
          <w:lang/>
        </w:rPr>
        <w:t> статті 162 цього Кодексу.</w:t>
      </w:r>
    </w:p>
    <w:p w14:paraId="2540F6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6" w:name="n10058"/>
      <w:bookmarkEnd w:id="10786"/>
      <w:r w:rsidRPr="008B264B">
        <w:rPr>
          <w:rFonts w:ascii="Times New Roman" w:eastAsia="Times New Roman" w:hAnsi="Times New Roman" w:cs="Times New Roman"/>
          <w:color w:val="000000"/>
          <w:sz w:val="24"/>
          <w:szCs w:val="24"/>
          <w:lang/>
        </w:rPr>
        <w:t>1.2. Об’єктом оподаткування збором є доходи, визначені </w:t>
      </w:r>
      <w:hyperlink r:id="rId6143" w:anchor="n3619" w:history="1">
        <w:r w:rsidRPr="008B264B">
          <w:rPr>
            <w:rFonts w:ascii="Times New Roman" w:eastAsia="Times New Roman" w:hAnsi="Times New Roman" w:cs="Times New Roman"/>
            <w:color w:val="0000FF"/>
            <w:sz w:val="24"/>
            <w:szCs w:val="24"/>
            <w:u w:val="single"/>
            <w:lang/>
          </w:rPr>
          <w:t>статтею 163</w:t>
        </w:r>
      </w:hyperlink>
      <w:r w:rsidRPr="008B264B">
        <w:rPr>
          <w:rFonts w:ascii="Times New Roman" w:eastAsia="Times New Roman" w:hAnsi="Times New Roman" w:cs="Times New Roman"/>
          <w:color w:val="000000"/>
          <w:sz w:val="24"/>
          <w:szCs w:val="24"/>
          <w:lang/>
        </w:rPr>
        <w:t> цього Кодексу.</w:t>
      </w:r>
    </w:p>
    <w:p w14:paraId="482A43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7" w:name="n12203"/>
      <w:bookmarkEnd w:id="10787"/>
      <w:r w:rsidRPr="008B264B">
        <w:rPr>
          <w:rFonts w:ascii="Times New Roman" w:eastAsia="Times New Roman" w:hAnsi="Times New Roman" w:cs="Times New Roman"/>
          <w:i/>
          <w:iCs/>
          <w:color w:val="000000"/>
          <w:sz w:val="24"/>
          <w:szCs w:val="24"/>
          <w:lang/>
        </w:rPr>
        <w:t>{Підпункт 1.2 пункту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10 розділу ХХ в редакції Закону </w:t>
      </w:r>
      <w:hyperlink r:id="rId6144" w:anchor="n1805"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186D70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8" w:name="n10059"/>
      <w:bookmarkEnd w:id="10788"/>
      <w:r w:rsidRPr="008B264B">
        <w:rPr>
          <w:rFonts w:ascii="Times New Roman" w:eastAsia="Times New Roman" w:hAnsi="Times New Roman" w:cs="Times New Roman"/>
          <w:color w:val="000000"/>
          <w:sz w:val="24"/>
          <w:szCs w:val="24"/>
          <w:lang/>
        </w:rPr>
        <w:t>1.3. Ставка збору становить 1,5 відсотка від об’єкта оподаткування, визначеного підпунктом 1.2 цього пункту.</w:t>
      </w:r>
    </w:p>
    <w:p w14:paraId="3985A6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89" w:name="n10060"/>
      <w:bookmarkEnd w:id="10789"/>
      <w:r w:rsidRPr="008B264B">
        <w:rPr>
          <w:rFonts w:ascii="Times New Roman" w:eastAsia="Times New Roman" w:hAnsi="Times New Roman" w:cs="Times New Roman"/>
          <w:color w:val="000000"/>
          <w:sz w:val="24"/>
          <w:szCs w:val="24"/>
          <w:lang/>
        </w:rPr>
        <w:t>1.4. Нарахування, утримання та сплата (перерахування) збору до бюджету здійснюються у порядку, встановленому </w:t>
      </w:r>
      <w:hyperlink r:id="rId6145" w:anchor="n3877" w:history="1">
        <w:r w:rsidRPr="008B264B">
          <w:rPr>
            <w:rFonts w:ascii="Times New Roman" w:eastAsia="Times New Roman" w:hAnsi="Times New Roman" w:cs="Times New Roman"/>
            <w:color w:val="0000FF"/>
            <w:sz w:val="24"/>
            <w:szCs w:val="24"/>
            <w:u w:val="single"/>
            <w:lang/>
          </w:rPr>
          <w:t>статтею 168</w:t>
        </w:r>
      </w:hyperlink>
      <w:r w:rsidRPr="008B264B">
        <w:rPr>
          <w:rFonts w:ascii="Times New Roman" w:eastAsia="Times New Roman" w:hAnsi="Times New Roman" w:cs="Times New Roman"/>
          <w:color w:val="000000"/>
          <w:sz w:val="24"/>
          <w:szCs w:val="24"/>
          <w:lang/>
        </w:rPr>
        <w:t> цього Кодексу, за ставкою, визначеною підпунктом 1.3 цього пункту.</w:t>
      </w:r>
    </w:p>
    <w:p w14:paraId="57562A6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0" w:name="n10061"/>
      <w:bookmarkEnd w:id="10790"/>
      <w:r w:rsidRPr="008B264B">
        <w:rPr>
          <w:rFonts w:ascii="Times New Roman" w:eastAsia="Times New Roman" w:hAnsi="Times New Roman" w:cs="Times New Roman"/>
          <w:color w:val="000000"/>
          <w:sz w:val="24"/>
          <w:szCs w:val="24"/>
          <w:lang/>
        </w:rPr>
        <w:t>1.5. Відповідальними за утримання (нарахування) та сплату (перерахування) збору до бюджету є особи, визначені у </w:t>
      </w:r>
      <w:hyperlink r:id="rId6146" w:anchor="n4155" w:history="1">
        <w:r w:rsidRPr="008B264B">
          <w:rPr>
            <w:rFonts w:ascii="Times New Roman" w:eastAsia="Times New Roman" w:hAnsi="Times New Roman" w:cs="Times New Roman"/>
            <w:color w:val="0000FF"/>
            <w:sz w:val="24"/>
            <w:szCs w:val="24"/>
            <w:u w:val="single"/>
            <w:lang/>
          </w:rPr>
          <w:t>статті 171</w:t>
        </w:r>
      </w:hyperlink>
      <w:r w:rsidRPr="008B264B">
        <w:rPr>
          <w:rFonts w:ascii="Times New Roman" w:eastAsia="Times New Roman" w:hAnsi="Times New Roman" w:cs="Times New Roman"/>
          <w:color w:val="000000"/>
          <w:sz w:val="24"/>
          <w:szCs w:val="24"/>
          <w:lang/>
        </w:rPr>
        <w:t> цього Кодексу.</w:t>
      </w:r>
    </w:p>
    <w:p w14:paraId="1FA6A3C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1" w:name="n10062"/>
      <w:bookmarkEnd w:id="10791"/>
      <w:r w:rsidRPr="008B264B">
        <w:rPr>
          <w:rFonts w:ascii="Times New Roman" w:eastAsia="Times New Roman" w:hAnsi="Times New Roman" w:cs="Times New Roman"/>
          <w:color w:val="000000"/>
          <w:sz w:val="24"/>
          <w:szCs w:val="24"/>
          <w:lang/>
        </w:rPr>
        <w:t>1.6. Платники збору зобов’язані забезпечувати виконання податкових зобов’язань у формі та спосіб, визначені </w:t>
      </w:r>
      <w:hyperlink r:id="rId6147" w:anchor="n4264" w:history="1">
        <w:r w:rsidRPr="008B264B">
          <w:rPr>
            <w:rFonts w:ascii="Times New Roman" w:eastAsia="Times New Roman" w:hAnsi="Times New Roman" w:cs="Times New Roman"/>
            <w:color w:val="0000FF"/>
            <w:sz w:val="24"/>
            <w:szCs w:val="24"/>
            <w:u w:val="single"/>
            <w:lang/>
          </w:rPr>
          <w:t>статтею 176</w:t>
        </w:r>
      </w:hyperlink>
      <w:r w:rsidRPr="008B264B">
        <w:rPr>
          <w:rFonts w:ascii="Times New Roman" w:eastAsia="Times New Roman" w:hAnsi="Times New Roman" w:cs="Times New Roman"/>
          <w:color w:val="000000"/>
          <w:sz w:val="24"/>
          <w:szCs w:val="24"/>
          <w:lang/>
        </w:rPr>
        <w:t> цього Кодексу.</w:t>
      </w:r>
    </w:p>
    <w:p w14:paraId="56E650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2" w:name="n12327"/>
      <w:bookmarkEnd w:id="10792"/>
      <w:r w:rsidRPr="008B264B">
        <w:rPr>
          <w:rFonts w:ascii="Times New Roman" w:eastAsia="Times New Roman" w:hAnsi="Times New Roman" w:cs="Times New Roman"/>
          <w:color w:val="000000"/>
          <w:sz w:val="24"/>
          <w:szCs w:val="24"/>
          <w:lang/>
        </w:rPr>
        <w:t>1.7. Звільняються від оподаткування збором доходи, що згідно з </w:t>
      </w:r>
      <w:hyperlink r:id="rId6148" w:anchor="n3610" w:history="1">
        <w:r w:rsidRPr="008B264B">
          <w:rPr>
            <w:rFonts w:ascii="Times New Roman" w:eastAsia="Times New Roman" w:hAnsi="Times New Roman" w:cs="Times New Roman"/>
            <w:color w:val="0000FF"/>
            <w:sz w:val="24"/>
            <w:szCs w:val="24"/>
            <w:u w:val="single"/>
            <w:lang/>
          </w:rPr>
          <w:t>розділом IV</w:t>
        </w:r>
      </w:hyperlink>
      <w:r w:rsidRPr="008B264B">
        <w:rPr>
          <w:rFonts w:ascii="Times New Roman" w:eastAsia="Times New Roman" w:hAnsi="Times New Roman" w:cs="Times New Roman"/>
          <w:color w:val="000000"/>
          <w:sz w:val="24"/>
          <w:szCs w:val="24"/>
          <w:lang/>
        </w:rPr>
        <w:t> цього Кодексу не включаються до загального оподатковуваного доходу фізичних осіб (не підлягають оподаткуванню, оподатковуються за нульовою ставкою), крім доходів, зазначених у підпунктах </w:t>
      </w:r>
      <w:hyperlink r:id="rId6149" w:anchor="n3715" w:history="1">
        <w:r w:rsidRPr="008B264B">
          <w:rPr>
            <w:rFonts w:ascii="Times New Roman" w:eastAsia="Times New Roman" w:hAnsi="Times New Roman" w:cs="Times New Roman"/>
            <w:color w:val="0000FF"/>
            <w:sz w:val="24"/>
            <w:szCs w:val="24"/>
            <w:u w:val="single"/>
            <w:lang/>
          </w:rPr>
          <w:t>165.1.2</w:t>
        </w:r>
      </w:hyperlink>
      <w:r w:rsidRPr="008B264B">
        <w:rPr>
          <w:rFonts w:ascii="Times New Roman" w:eastAsia="Times New Roman" w:hAnsi="Times New Roman" w:cs="Times New Roman"/>
          <w:color w:val="000000"/>
          <w:sz w:val="24"/>
          <w:szCs w:val="24"/>
          <w:lang/>
        </w:rPr>
        <w:t>, </w:t>
      </w:r>
      <w:hyperlink r:id="rId6150" w:anchor="n3740" w:history="1">
        <w:r w:rsidRPr="008B264B">
          <w:rPr>
            <w:rFonts w:ascii="Times New Roman" w:eastAsia="Times New Roman" w:hAnsi="Times New Roman" w:cs="Times New Roman"/>
            <w:color w:val="0000FF"/>
            <w:sz w:val="24"/>
            <w:szCs w:val="24"/>
            <w:u w:val="single"/>
            <w:lang/>
          </w:rPr>
          <w:t>165.1.18</w:t>
        </w:r>
      </w:hyperlink>
      <w:r w:rsidRPr="008B264B">
        <w:rPr>
          <w:rFonts w:ascii="Times New Roman" w:eastAsia="Times New Roman" w:hAnsi="Times New Roman" w:cs="Times New Roman"/>
          <w:color w:val="000000"/>
          <w:sz w:val="24"/>
          <w:szCs w:val="24"/>
          <w:lang/>
        </w:rPr>
        <w:t>, </w:t>
      </w:r>
      <w:hyperlink r:id="rId6151" w:anchor="n3812" w:history="1">
        <w:r w:rsidRPr="008B264B">
          <w:rPr>
            <w:rFonts w:ascii="Times New Roman" w:eastAsia="Times New Roman" w:hAnsi="Times New Roman" w:cs="Times New Roman"/>
            <w:color w:val="0000FF"/>
            <w:sz w:val="24"/>
            <w:szCs w:val="24"/>
            <w:u w:val="single"/>
            <w:lang/>
          </w:rPr>
          <w:t>165.1.52</w:t>
        </w:r>
      </w:hyperlink>
      <w:r w:rsidRPr="008B264B">
        <w:rPr>
          <w:rFonts w:ascii="Times New Roman" w:eastAsia="Times New Roman" w:hAnsi="Times New Roman" w:cs="Times New Roman"/>
          <w:color w:val="000000"/>
          <w:sz w:val="24"/>
          <w:szCs w:val="24"/>
          <w:lang/>
        </w:rPr>
        <w:t>  пункту 165.1 статті 165 цього Кодексу.</w:t>
      </w:r>
    </w:p>
    <w:p w14:paraId="5CA944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3" w:name="n15450"/>
      <w:bookmarkEnd w:id="10793"/>
      <w:r w:rsidRPr="008B264B">
        <w:rPr>
          <w:rFonts w:ascii="Times New Roman" w:eastAsia="Times New Roman" w:hAnsi="Times New Roman" w:cs="Times New Roman"/>
          <w:i/>
          <w:iCs/>
          <w:color w:val="000000"/>
          <w:sz w:val="24"/>
          <w:szCs w:val="24"/>
          <w:lang/>
        </w:rPr>
        <w:t>{Абзац перший підпункту 1.7 пункту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10 розділу ХХ із змінами, внесеними згідно із Законом </w:t>
      </w:r>
      <w:hyperlink r:id="rId6152" w:anchor="n73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4AF7B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4" w:name="n12370"/>
      <w:bookmarkEnd w:id="10794"/>
      <w:r w:rsidRPr="008B264B">
        <w:rPr>
          <w:rFonts w:ascii="Times New Roman" w:eastAsia="Times New Roman" w:hAnsi="Times New Roman" w:cs="Times New Roman"/>
          <w:color w:val="000000"/>
          <w:sz w:val="24"/>
          <w:szCs w:val="24"/>
          <w:lang/>
        </w:rPr>
        <w:t xml:space="preserve">Тимчасово, на період проведення антитерористичної операції та/або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 не підлягають оподаткуванню військовим збором доходи у вигляді грошового забезпечення працівників правоохоронних органів, військовослужбовців та </w:t>
      </w:r>
      <w:r w:rsidRPr="008B264B">
        <w:rPr>
          <w:rFonts w:ascii="Times New Roman" w:eastAsia="Times New Roman" w:hAnsi="Times New Roman" w:cs="Times New Roman"/>
          <w:color w:val="000000"/>
          <w:sz w:val="24"/>
          <w:szCs w:val="24"/>
          <w:lang/>
        </w:rPr>
        <w:lastRenderedPageBreak/>
        <w:t>працівників 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та інших осіб на період їх безпосередньої участі в антитерористичній операції та/або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що здійснюються шляхом проведення операції Об’єднаних сил (ООС).</w:t>
      </w:r>
    </w:p>
    <w:p w14:paraId="3B1053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5" w:name="n12372"/>
      <w:bookmarkEnd w:id="10795"/>
      <w:r w:rsidRPr="008B264B">
        <w:rPr>
          <w:rFonts w:ascii="Times New Roman" w:eastAsia="Times New Roman" w:hAnsi="Times New Roman" w:cs="Times New Roman"/>
          <w:i/>
          <w:iCs/>
          <w:color w:val="000000"/>
          <w:sz w:val="24"/>
          <w:szCs w:val="24"/>
          <w:lang/>
        </w:rPr>
        <w:t>{Підпункт 1.7 пункту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10 розділу ХХ доповнено новим абзацом згідно із Законом </w:t>
      </w:r>
      <w:hyperlink r:id="rId6153" w:anchor="n5" w:tgtFrame="_blank" w:history="1">
        <w:r w:rsidRPr="008B264B">
          <w:rPr>
            <w:rFonts w:ascii="Times New Roman" w:eastAsia="Times New Roman" w:hAnsi="Times New Roman" w:cs="Times New Roman"/>
            <w:i/>
            <w:iCs/>
            <w:color w:val="0000FF"/>
            <w:sz w:val="24"/>
            <w:szCs w:val="24"/>
            <w:u w:val="single"/>
            <w:lang/>
          </w:rPr>
          <w:t>№ 548-VIII від 18.06.2015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154" w:anchor="n10" w:tgtFrame="_blank" w:history="1">
        <w:r w:rsidRPr="008B264B">
          <w:rPr>
            <w:rFonts w:ascii="Times New Roman" w:eastAsia="Times New Roman" w:hAnsi="Times New Roman" w:cs="Times New Roman"/>
            <w:i/>
            <w:iCs/>
            <w:color w:val="0000FF"/>
            <w:sz w:val="24"/>
            <w:szCs w:val="24"/>
            <w:u w:val="single"/>
            <w:lang/>
          </w:rPr>
          <w:t>№ 2463-VIII від 19.06.2018</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травня 2018 року}</w:t>
      </w:r>
    </w:p>
    <w:p w14:paraId="7C50DAD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6" w:name="n12371"/>
      <w:bookmarkEnd w:id="10796"/>
      <w:r w:rsidRPr="008B264B">
        <w:rPr>
          <w:rFonts w:ascii="Times New Roman" w:eastAsia="Times New Roman" w:hAnsi="Times New Roman" w:cs="Times New Roman"/>
          <w:color w:val="000000"/>
          <w:sz w:val="24"/>
          <w:szCs w:val="24"/>
          <w:lang/>
        </w:rPr>
        <w:t>Порядок підтвердження статусу зазначених осіб з метою застосування пільги з оподаткування військовим збором визначається Кабінетом Міністрів України.</w:t>
      </w:r>
    </w:p>
    <w:p w14:paraId="44E783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7" w:name="n12369"/>
      <w:bookmarkEnd w:id="10797"/>
      <w:r w:rsidRPr="008B264B">
        <w:rPr>
          <w:rFonts w:ascii="Times New Roman" w:eastAsia="Times New Roman" w:hAnsi="Times New Roman" w:cs="Times New Roman"/>
          <w:i/>
          <w:iCs/>
          <w:color w:val="000000"/>
          <w:sz w:val="24"/>
          <w:szCs w:val="24"/>
          <w:lang/>
        </w:rPr>
        <w:t>{Підпункт 1.7 пункту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підрозділу 10 розділу ХХ доповнено новим абзацом згідно із Законом </w:t>
      </w:r>
      <w:hyperlink r:id="rId6155" w:anchor="n5" w:tgtFrame="_blank" w:history="1">
        <w:r w:rsidRPr="008B264B">
          <w:rPr>
            <w:rFonts w:ascii="Times New Roman" w:eastAsia="Times New Roman" w:hAnsi="Times New Roman" w:cs="Times New Roman"/>
            <w:i/>
            <w:iCs/>
            <w:color w:val="0000FF"/>
            <w:sz w:val="24"/>
            <w:szCs w:val="24"/>
            <w:u w:val="single"/>
            <w:lang/>
          </w:rPr>
          <w:t>№ 548-VIII від 18.06.2015</w:t>
        </w:r>
      </w:hyperlink>
      <w:r w:rsidRPr="008B264B">
        <w:rPr>
          <w:rFonts w:ascii="Times New Roman" w:eastAsia="Times New Roman" w:hAnsi="Times New Roman" w:cs="Times New Roman"/>
          <w:i/>
          <w:iCs/>
          <w:color w:val="000000"/>
          <w:sz w:val="24"/>
          <w:szCs w:val="24"/>
          <w:lang/>
        </w:rPr>
        <w:t>}</w:t>
      </w:r>
    </w:p>
    <w:p w14:paraId="00BEF7F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8" w:name="n12326"/>
      <w:bookmarkEnd w:id="10798"/>
      <w:r w:rsidRPr="008B264B">
        <w:rPr>
          <w:rFonts w:ascii="Times New Roman" w:eastAsia="Times New Roman" w:hAnsi="Times New Roman" w:cs="Times New Roman"/>
          <w:i/>
          <w:iCs/>
          <w:color w:val="000000"/>
          <w:sz w:val="24"/>
          <w:szCs w:val="24"/>
          <w:lang/>
        </w:rPr>
        <w:t>{Пункт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підрозділу 10 розділу ХХ доповнено підпунктом 1.7 згідно із Законом </w:t>
      </w:r>
      <w:hyperlink r:id="rId6156" w:anchor="n19" w:tgtFrame="_blank" w:history="1">
        <w:r w:rsidRPr="008B264B">
          <w:rPr>
            <w:rFonts w:ascii="Times New Roman" w:eastAsia="Times New Roman" w:hAnsi="Times New Roman" w:cs="Times New Roman"/>
            <w:i/>
            <w:iCs/>
            <w:color w:val="0000FF"/>
            <w:sz w:val="24"/>
            <w:szCs w:val="24"/>
            <w:u w:val="single"/>
            <w:lang/>
          </w:rPr>
          <w:t>№ 211-VIII від 02.03.2015</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157" w:anchor="n4" w:tgtFrame="_blank" w:history="1">
        <w:r w:rsidRPr="008B264B">
          <w:rPr>
            <w:rFonts w:ascii="Times New Roman" w:eastAsia="Times New Roman" w:hAnsi="Times New Roman" w:cs="Times New Roman"/>
            <w:i/>
            <w:iCs/>
            <w:color w:val="0000FF"/>
            <w:sz w:val="24"/>
            <w:szCs w:val="24"/>
            <w:u w:val="single"/>
            <w:lang/>
          </w:rPr>
          <w:t>№ 381-VIII від 12.05.2015</w:t>
        </w:r>
      </w:hyperlink>
      <w:r w:rsidRPr="008B264B">
        <w:rPr>
          <w:rFonts w:ascii="Times New Roman" w:eastAsia="Times New Roman" w:hAnsi="Times New Roman" w:cs="Times New Roman"/>
          <w:i/>
          <w:iCs/>
          <w:color w:val="000000"/>
          <w:sz w:val="24"/>
          <w:szCs w:val="24"/>
          <w:lang/>
        </w:rPr>
        <w:t>}</w:t>
      </w:r>
    </w:p>
    <w:p w14:paraId="393CB3E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799" w:name="n13058"/>
      <w:bookmarkEnd w:id="10799"/>
      <w:r w:rsidRPr="008B264B">
        <w:rPr>
          <w:rFonts w:ascii="Times New Roman" w:eastAsia="Times New Roman" w:hAnsi="Times New Roman" w:cs="Times New Roman"/>
          <w:color w:val="000000"/>
          <w:sz w:val="24"/>
          <w:szCs w:val="24"/>
          <w:lang/>
        </w:rPr>
        <w:t>1.8. Тимчасово, на період реалізації проекту модернізації Бортницької станції очистки стічних вод у рамках реалізації проекту "Реконструкція споруд очистки стічних каналізаційних вод і будівництво технологічної лінії по обробці та утилізації осадів Бортницької станції аерації", затвердженого Кабінетом Міністрів України (далі - Проект), не підлягають оподаткуванню військовим збором доходи (виплачені, надані), що нараховані громадянам Японії (незалежно від їхнього резидентського статусу) японськими суб’єктами з реалізації Проекту у формі заробітної плати та/або винагороди за цивільно-правовими договорами. Зазначене звільнення застосовується лише до тієї частини доходів, що пов’язана з реалізацією Проекту.</w:t>
      </w:r>
    </w:p>
    <w:p w14:paraId="68CD61B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0" w:name="n13059"/>
      <w:bookmarkEnd w:id="10800"/>
      <w:r w:rsidRPr="008B264B">
        <w:rPr>
          <w:rFonts w:ascii="Times New Roman" w:eastAsia="Times New Roman" w:hAnsi="Times New Roman" w:cs="Times New Roman"/>
          <w:color w:val="000000"/>
          <w:sz w:val="24"/>
          <w:szCs w:val="24"/>
          <w:lang/>
        </w:rPr>
        <w:t>Термін "японський суб’єкт з реалізації Проекту" вживається у значенні, наведеному у </w:t>
      </w:r>
      <w:hyperlink r:id="rId6158" w:anchor="n13038" w:history="1">
        <w:r w:rsidRPr="008B264B">
          <w:rPr>
            <w:rFonts w:ascii="Times New Roman" w:eastAsia="Times New Roman" w:hAnsi="Times New Roman" w:cs="Times New Roman"/>
            <w:color w:val="0000FF"/>
            <w:sz w:val="24"/>
            <w:szCs w:val="24"/>
            <w:u w:val="single"/>
            <w:lang/>
          </w:rPr>
          <w:t>пункті 9</w:t>
        </w:r>
      </w:hyperlink>
      <w:r w:rsidRPr="008B264B">
        <w:rPr>
          <w:rFonts w:ascii="Times New Roman" w:eastAsia="Times New Roman" w:hAnsi="Times New Roman" w:cs="Times New Roman"/>
          <w:color w:val="000000"/>
          <w:sz w:val="24"/>
          <w:szCs w:val="24"/>
          <w:lang/>
        </w:rPr>
        <w:t> підрозділу 1 цього розділу.</w:t>
      </w:r>
    </w:p>
    <w:p w14:paraId="2A2B219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1" w:name="n13060"/>
      <w:bookmarkEnd w:id="10801"/>
      <w:r w:rsidRPr="008B264B">
        <w:rPr>
          <w:rFonts w:ascii="Times New Roman" w:eastAsia="Times New Roman" w:hAnsi="Times New Roman" w:cs="Times New Roman"/>
          <w:color w:val="000000"/>
          <w:sz w:val="24"/>
          <w:szCs w:val="24"/>
          <w:lang/>
        </w:rPr>
        <w:t>У разі якщо японським суб’єктом з реалізації Проекту виступатиме договір про спільну діяльність, одним або кількома учасниками якого (з участю у такому договорі більше ніж 50 відсотків) є особи, визначені у </w:t>
      </w:r>
      <w:hyperlink r:id="rId6159" w:anchor="n13040" w:history="1">
        <w:r w:rsidRPr="008B264B">
          <w:rPr>
            <w:rFonts w:ascii="Times New Roman" w:eastAsia="Times New Roman" w:hAnsi="Times New Roman" w:cs="Times New Roman"/>
            <w:color w:val="0000FF"/>
            <w:sz w:val="24"/>
            <w:szCs w:val="24"/>
            <w:u w:val="single"/>
            <w:lang/>
          </w:rPr>
          <w:t>підпунктах "а"-"в"</w:t>
        </w:r>
      </w:hyperlink>
      <w:r w:rsidRPr="008B264B">
        <w:rPr>
          <w:rFonts w:ascii="Times New Roman" w:eastAsia="Times New Roman" w:hAnsi="Times New Roman" w:cs="Times New Roman"/>
          <w:color w:val="000000"/>
          <w:sz w:val="24"/>
          <w:szCs w:val="24"/>
          <w:lang/>
        </w:rPr>
        <w:t> пункту 9 підрозділу 1 цього розділу, норми цього підпункту застосовуються виключно до доходів громадян Японії, що нараховуються (виплачуються, надаються) оператором такої спільної діяльності.</w:t>
      </w:r>
    </w:p>
    <w:p w14:paraId="53B3A15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2" w:name="n13057"/>
      <w:bookmarkEnd w:id="10802"/>
      <w:r w:rsidRPr="008B264B">
        <w:rPr>
          <w:rFonts w:ascii="Times New Roman" w:eastAsia="Times New Roman" w:hAnsi="Times New Roman" w:cs="Times New Roman"/>
          <w:i/>
          <w:iCs/>
          <w:color w:val="000000"/>
          <w:sz w:val="24"/>
          <w:szCs w:val="24"/>
          <w:lang/>
        </w:rPr>
        <w:t>{Пункт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підрозділу 10 розділу ХХ доповнено підпунктом 1.8 згідно із Законом </w:t>
      </w:r>
      <w:hyperlink r:id="rId6160" w:anchor="n29" w:tgtFrame="_blank" w:history="1">
        <w:r w:rsidRPr="008B264B">
          <w:rPr>
            <w:rFonts w:ascii="Times New Roman" w:eastAsia="Times New Roman" w:hAnsi="Times New Roman" w:cs="Times New Roman"/>
            <w:i/>
            <w:iCs/>
            <w:color w:val="0000FF"/>
            <w:sz w:val="24"/>
            <w:szCs w:val="24"/>
            <w:u w:val="single"/>
            <w:lang/>
          </w:rPr>
          <w:t>№ 903-VIII від 23.12.2015</w:t>
        </w:r>
      </w:hyperlink>
      <w:r w:rsidRPr="008B264B">
        <w:rPr>
          <w:rFonts w:ascii="Times New Roman" w:eastAsia="Times New Roman" w:hAnsi="Times New Roman" w:cs="Times New Roman"/>
          <w:i/>
          <w:iCs/>
          <w:color w:val="000000"/>
          <w:sz w:val="24"/>
          <w:szCs w:val="24"/>
          <w:lang/>
        </w:rPr>
        <w:t>}</w:t>
      </w:r>
    </w:p>
    <w:p w14:paraId="2D40CB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3" w:name="n15129"/>
      <w:bookmarkEnd w:id="10803"/>
      <w:r w:rsidRPr="008B264B">
        <w:rPr>
          <w:rFonts w:ascii="Times New Roman" w:eastAsia="Times New Roman" w:hAnsi="Times New Roman" w:cs="Times New Roman"/>
          <w:color w:val="000000"/>
          <w:sz w:val="24"/>
          <w:szCs w:val="24"/>
          <w:lang/>
        </w:rPr>
        <w:t>1.9. Звільняються від оподаткування військовим збором доходи, зазначені в </w:t>
      </w:r>
      <w:hyperlink r:id="rId6161" w:anchor="n15107" w:history="1">
        <w:r w:rsidRPr="008B264B">
          <w:rPr>
            <w:rFonts w:ascii="Times New Roman" w:eastAsia="Times New Roman" w:hAnsi="Times New Roman" w:cs="Times New Roman"/>
            <w:color w:val="0000FF"/>
            <w:sz w:val="24"/>
            <w:szCs w:val="24"/>
            <w:u w:val="single"/>
            <w:lang/>
          </w:rPr>
          <w:t>абзаці першому</w:t>
        </w:r>
      </w:hyperlink>
      <w:r w:rsidRPr="008B264B">
        <w:rPr>
          <w:rFonts w:ascii="Times New Roman" w:eastAsia="Times New Roman" w:hAnsi="Times New Roman" w:cs="Times New Roman"/>
          <w:color w:val="000000"/>
          <w:sz w:val="24"/>
          <w:szCs w:val="24"/>
          <w:lang/>
        </w:rPr>
        <w:t> пункту 10 підрозділу 1 цього розділу.</w:t>
      </w:r>
    </w:p>
    <w:p w14:paraId="29C5887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4" w:name="n15128"/>
      <w:bookmarkEnd w:id="10804"/>
      <w:r w:rsidRPr="008B264B">
        <w:rPr>
          <w:rFonts w:ascii="Times New Roman" w:eastAsia="Times New Roman" w:hAnsi="Times New Roman" w:cs="Times New Roman"/>
          <w:i/>
          <w:iCs/>
          <w:color w:val="000000"/>
          <w:sz w:val="24"/>
          <w:szCs w:val="24"/>
          <w:lang/>
        </w:rPr>
        <w:t>{Пункт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1 </w:t>
      </w:r>
      <w:r w:rsidRPr="008B264B">
        <w:rPr>
          <w:rFonts w:ascii="Times New Roman" w:eastAsia="Times New Roman" w:hAnsi="Times New Roman" w:cs="Times New Roman"/>
          <w:i/>
          <w:iCs/>
          <w:color w:val="000000"/>
          <w:sz w:val="24"/>
          <w:szCs w:val="24"/>
          <w:lang/>
        </w:rPr>
        <w:t>підрозділу 10 розділу ХХ доповнено підпунктом 1.9 згідно із Законом </w:t>
      </w:r>
      <w:hyperlink r:id="rId6162" w:anchor="n27" w:tgtFrame="_blank" w:history="1">
        <w:r w:rsidRPr="008B264B">
          <w:rPr>
            <w:rFonts w:ascii="Times New Roman" w:eastAsia="Times New Roman" w:hAnsi="Times New Roman" w:cs="Times New Roman"/>
            <w:i/>
            <w:iCs/>
            <w:color w:val="0000FF"/>
            <w:sz w:val="24"/>
            <w:szCs w:val="24"/>
            <w:u w:val="single"/>
            <w:lang/>
          </w:rPr>
          <w:t>№ 2374-VIII від 22.03.2018</w:t>
        </w:r>
      </w:hyperlink>
      <w:r w:rsidRPr="008B264B">
        <w:rPr>
          <w:rFonts w:ascii="Times New Roman" w:eastAsia="Times New Roman" w:hAnsi="Times New Roman" w:cs="Times New Roman"/>
          <w:i/>
          <w:iCs/>
          <w:color w:val="000000"/>
          <w:sz w:val="24"/>
          <w:szCs w:val="24"/>
          <w:lang/>
        </w:rPr>
        <w:t>}</w:t>
      </w:r>
    </w:p>
    <w:p w14:paraId="1A104DF7" w14:textId="77777777" w:rsidR="008B264B" w:rsidRPr="008B264B" w:rsidRDefault="008B264B" w:rsidP="008B264B">
      <w:pPr>
        <w:spacing w:after="100" w:afterAutospacing="1" w:line="240" w:lineRule="auto"/>
        <w:rPr>
          <w:rFonts w:ascii="Times New Roman" w:eastAsia="Times New Roman" w:hAnsi="Times New Roman" w:cs="Times New Roman"/>
          <w:color w:val="000000"/>
          <w:sz w:val="24"/>
          <w:szCs w:val="24"/>
          <w:lang/>
        </w:rPr>
      </w:pPr>
      <w:bookmarkStart w:id="10805" w:name="n10055"/>
      <w:bookmarkEnd w:id="10805"/>
      <w:r w:rsidRPr="008B264B">
        <w:rPr>
          <w:rFonts w:ascii="Times New Roman" w:eastAsia="Times New Roman" w:hAnsi="Times New Roman" w:cs="Times New Roman"/>
          <w:i/>
          <w:iCs/>
          <w:color w:val="000000"/>
          <w:sz w:val="24"/>
          <w:szCs w:val="24"/>
          <w:lang/>
        </w:rPr>
        <w:t>{Підрозділ 10 розділу XX доповнено пунктом 16</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163" w:anchor="n153" w:tgtFrame="_blank" w:history="1">
        <w:r w:rsidRPr="008B264B">
          <w:rPr>
            <w:rFonts w:ascii="Times New Roman" w:eastAsia="Times New Roman" w:hAnsi="Times New Roman" w:cs="Times New Roman"/>
            <w:i/>
            <w:iCs/>
            <w:color w:val="0000FF"/>
            <w:sz w:val="24"/>
            <w:szCs w:val="24"/>
            <w:u w:val="single"/>
            <w:lang/>
          </w:rPr>
          <w:t>№ 1621-VII від 31.07.2014</w:t>
        </w:r>
      </w:hyperlink>
      <w:r w:rsidRPr="008B264B">
        <w:rPr>
          <w:rFonts w:ascii="Times New Roman" w:eastAsia="Times New Roman" w:hAnsi="Times New Roman" w:cs="Times New Roman"/>
          <w:i/>
          <w:iCs/>
          <w:color w:val="000000"/>
          <w:sz w:val="24"/>
          <w:szCs w:val="24"/>
          <w:lang/>
        </w:rPr>
        <w:t>}</w:t>
      </w:r>
    </w:p>
    <w:p w14:paraId="7E8BBA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6" w:name="n8881"/>
      <w:bookmarkEnd w:id="10806"/>
      <w:r w:rsidRPr="008B264B">
        <w:rPr>
          <w:rFonts w:ascii="Times New Roman" w:eastAsia="Times New Roman" w:hAnsi="Times New Roman" w:cs="Times New Roman"/>
          <w:i/>
          <w:iCs/>
          <w:color w:val="000000"/>
          <w:sz w:val="24"/>
          <w:szCs w:val="24"/>
          <w:lang/>
        </w:rPr>
        <w:t>{Пункт 17 підрозділу 10 розділу ХХ виключено на підставі Закону </w:t>
      </w:r>
      <w:hyperlink r:id="rId6164" w:anchor="n1802"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177C17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7" w:name="n8662"/>
      <w:bookmarkEnd w:id="10807"/>
      <w:r w:rsidRPr="008B264B">
        <w:rPr>
          <w:rFonts w:ascii="Times New Roman" w:eastAsia="Times New Roman" w:hAnsi="Times New Roman" w:cs="Times New Roman"/>
          <w:color w:val="000000"/>
          <w:sz w:val="24"/>
          <w:szCs w:val="24"/>
          <w:lang/>
        </w:rPr>
        <w:t>18. З метою формування реєстру платників податку на нерухоме майно, відмінне від земельної ділянки, власники об’єктів житлової та/або нежитлової нерухомості (фізичні особи) на підставі оригіналів документів про право власності на об’єкти нерухомості можуть здійснювати звірку відомостей щодо об’єктів житлової та/або нежитлової нерухомості, що перебувають у їх власності, до 31 грудня 2015 року (включно).</w:t>
      </w:r>
    </w:p>
    <w:p w14:paraId="7A45DEC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8" w:name="n8660"/>
      <w:bookmarkEnd w:id="10808"/>
      <w:r w:rsidRPr="008B264B">
        <w:rPr>
          <w:rFonts w:ascii="Times New Roman" w:eastAsia="Times New Roman" w:hAnsi="Times New Roman" w:cs="Times New Roman"/>
          <w:i/>
          <w:iCs/>
          <w:color w:val="000000"/>
          <w:sz w:val="24"/>
          <w:szCs w:val="24"/>
          <w:lang/>
        </w:rPr>
        <w:lastRenderedPageBreak/>
        <w:t>{Підрозділ 10 розділу XX доповнено пунктом 18 згідно із Законом </w:t>
      </w:r>
      <w:hyperlink r:id="rId6165" w:anchor="n83" w:tgtFrame="_blank" w:history="1">
        <w:r w:rsidRPr="008B264B">
          <w:rPr>
            <w:rFonts w:ascii="Times New Roman" w:eastAsia="Times New Roman" w:hAnsi="Times New Roman" w:cs="Times New Roman"/>
            <w:i/>
            <w:iCs/>
            <w:color w:val="0000FF"/>
            <w:sz w:val="24"/>
            <w:szCs w:val="24"/>
            <w:u w:val="single"/>
            <w:lang/>
          </w:rPr>
          <w:t>№ 403-VII від 04.07.2013</w:t>
        </w:r>
      </w:hyperlink>
      <w:r w:rsidRPr="008B264B">
        <w:rPr>
          <w:rFonts w:ascii="Times New Roman" w:eastAsia="Times New Roman" w:hAnsi="Times New Roman" w:cs="Times New Roman"/>
          <w:i/>
          <w:iCs/>
          <w:color w:val="000000"/>
          <w:sz w:val="24"/>
          <w:szCs w:val="24"/>
          <w:lang/>
        </w:rPr>
        <w:t>; в редакції Закону </w:t>
      </w:r>
      <w:hyperlink r:id="rId6166" w:anchor="n1807"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5813FE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09" w:name="n8617"/>
      <w:bookmarkEnd w:id="10809"/>
      <w:r w:rsidRPr="008B264B">
        <w:rPr>
          <w:rFonts w:ascii="Times New Roman" w:eastAsia="Times New Roman" w:hAnsi="Times New Roman" w:cs="Times New Roman"/>
          <w:color w:val="000000"/>
          <w:sz w:val="24"/>
          <w:szCs w:val="24"/>
          <w:lang/>
        </w:rPr>
        <w:t>19. Установити, що до 1 січня 2014 року органи, що здійснюють казначейське обслуговування бюджетних коштів, відповідно до </w:t>
      </w:r>
      <w:hyperlink r:id="rId6167" w:tgtFrame="_blank" w:history="1">
        <w:r w:rsidRPr="008B264B">
          <w:rPr>
            <w:rFonts w:ascii="Times New Roman" w:eastAsia="Times New Roman" w:hAnsi="Times New Roman" w:cs="Times New Roman"/>
            <w:color w:val="0000FF"/>
            <w:sz w:val="24"/>
            <w:szCs w:val="24"/>
            <w:u w:val="single"/>
            <w:lang/>
          </w:rPr>
          <w:t>Закону України "Про Державний бюджет України на 2013 рік"</w:t>
        </w:r>
      </w:hyperlink>
      <w:r w:rsidRPr="008B264B">
        <w:rPr>
          <w:rFonts w:ascii="Times New Roman" w:eastAsia="Times New Roman" w:hAnsi="Times New Roman" w:cs="Times New Roman"/>
          <w:color w:val="000000"/>
          <w:sz w:val="24"/>
          <w:szCs w:val="24"/>
          <w:lang/>
        </w:rPr>
        <w:t> на підставі отриманого від відповідного контролюючого органу висновку із зазначенням суми податку на додану вартість, що підлягає відшкодуванню з бюджету, видають платнику податку, який подав до такого контролюючого органу заяву про обрання способу відшкодування з бюджету суми податку на додану вартість шляхом отримання фінансового казначейського векселя, зазначену у висновку суму бюджетного відшкодування шляхом видачі у строки, визначені пунктом 200.13 статті 200 цього Кодексу, фінансових казначейських векселів строком обігу до п’яти років з дохідністю на рівні 5 відсотків річних.</w:t>
      </w:r>
    </w:p>
    <w:p w14:paraId="2A7C79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0" w:name="n8618"/>
      <w:bookmarkEnd w:id="10810"/>
      <w:r w:rsidRPr="008B264B">
        <w:rPr>
          <w:rFonts w:ascii="Times New Roman" w:eastAsia="Times New Roman" w:hAnsi="Times New Roman" w:cs="Times New Roman"/>
          <w:color w:val="000000"/>
          <w:sz w:val="24"/>
          <w:szCs w:val="24"/>
          <w:lang/>
        </w:rPr>
        <w:t>Сума податку на додану вартість, що підлягає відшкодуванню з бюджету шляхом видачі фінансових казначейських векселів, поділяється на рівні частини, на кожну з яких видається окремий фінансовий казначейський вексель із строком платежу один, два, три, чотири та п’ять років.</w:t>
      </w:r>
    </w:p>
    <w:p w14:paraId="04549AA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1" w:name="n8619"/>
      <w:bookmarkEnd w:id="10811"/>
      <w:r w:rsidRPr="008B264B">
        <w:rPr>
          <w:rFonts w:ascii="Times New Roman" w:eastAsia="Times New Roman" w:hAnsi="Times New Roman" w:cs="Times New Roman"/>
          <w:color w:val="000000"/>
          <w:sz w:val="24"/>
          <w:szCs w:val="24"/>
          <w:lang/>
        </w:rPr>
        <w:t>Видача фінансового казначейського векселя прирівнюється до видачі платнику податку суми бюджетного відшкодування шляхом перерахування коштів з бюджетного рахунка на рахунок платника податку.</w:t>
      </w:r>
    </w:p>
    <w:p w14:paraId="3CBD79A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2" w:name="n8620"/>
      <w:bookmarkEnd w:id="10812"/>
      <w:r w:rsidRPr="008B264B">
        <w:rPr>
          <w:rFonts w:ascii="Times New Roman" w:eastAsia="Times New Roman" w:hAnsi="Times New Roman" w:cs="Times New Roman"/>
          <w:color w:val="000000"/>
          <w:sz w:val="24"/>
          <w:szCs w:val="24"/>
          <w:lang/>
        </w:rPr>
        <w:t>За заявою платника податку, поданою до органу, що здійснює казначейське обслуговування бюджетних коштів, дата пред’явлення векселя до сплати може бути перенесена на будь-яку іншу дату, що настає за датою пред’явлення векселя до сплати, в межах календарного року, на який припадає дата сплати за векселем.</w:t>
      </w:r>
    </w:p>
    <w:p w14:paraId="4BF0704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3" w:name="n8621"/>
      <w:bookmarkEnd w:id="10813"/>
      <w:r w:rsidRPr="008B264B">
        <w:rPr>
          <w:rFonts w:ascii="Times New Roman" w:eastAsia="Times New Roman" w:hAnsi="Times New Roman" w:cs="Times New Roman"/>
          <w:color w:val="000000"/>
          <w:sz w:val="24"/>
          <w:szCs w:val="24"/>
          <w:lang/>
        </w:rPr>
        <w:t>Платники податку мають право здійснювати сплату будь-якого узгодженого грошового зобов’язання, що сплачується до Державного бюджету України шляхом пред’явлення для сплати (не раніше настання строку платежу, визначеного у векселі) органу, що здійснює казначейське обслуговування бюджетних коштів, фінансового казначейського векселя, виданого відповідно до цього пункту. Таке пред’явлення прирівнюється до сплати узгодженого грошового зобов’язання шляхом перерахування коштів з рахунка платника податку на бюджетний рахунок.</w:t>
      </w:r>
    </w:p>
    <w:p w14:paraId="62103C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4" w:name="n8622"/>
      <w:bookmarkEnd w:id="10814"/>
      <w:r w:rsidRPr="008B264B">
        <w:rPr>
          <w:rFonts w:ascii="Times New Roman" w:eastAsia="Times New Roman" w:hAnsi="Times New Roman" w:cs="Times New Roman"/>
          <w:color w:val="000000"/>
          <w:sz w:val="24"/>
          <w:szCs w:val="24"/>
          <w:lang/>
        </w:rPr>
        <w:t>Сума позитивного значення різниці між сумою будь-якого узгодженого грошового зобов’язання, що сплачується до Державного бюджету України, і сумою фінансових казначейських векселів, що пред’являються до сплати в рахунок такого узгодженого грошового зобов’язання, сплачується платником податку до бюджету коштами у порядку, встановленому цим Кодексом.</w:t>
      </w:r>
    </w:p>
    <w:p w14:paraId="23F257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5" w:name="n8623"/>
      <w:bookmarkEnd w:id="10815"/>
      <w:r w:rsidRPr="008B264B">
        <w:rPr>
          <w:rFonts w:ascii="Times New Roman" w:eastAsia="Times New Roman" w:hAnsi="Times New Roman" w:cs="Times New Roman"/>
          <w:color w:val="000000"/>
          <w:sz w:val="24"/>
          <w:szCs w:val="24"/>
          <w:lang/>
        </w:rPr>
        <w:t>Сума від’ємного значення різниці між сумою будь-якого узгодженого грошового зобов’язання, що сплачується до Державного бюджету України, і сумою фінансових казначейських векселів, що пред’являються до сплати в рахунок такого узгодженого грошового зобов’язання, за бажанням платника податку на підставі поданої ним відповідної заяви може або відшкодовуватися йому з бюджету коштами у порядку, встановленому цим пунктом, або на таку суму можуть видаватися нові фінансові казначейські векселі, в яких дата пред’явлення векселя до сплати може бути перенесена на будь-яку іншу дату, що настає за датою пред’явлення векселя до сплати, в межах календарного року, на який припадає дата сплати за векселем.</w:t>
      </w:r>
    </w:p>
    <w:p w14:paraId="2319B53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6" w:name="n8624"/>
      <w:bookmarkEnd w:id="10816"/>
      <w:r w:rsidRPr="008B264B">
        <w:rPr>
          <w:rFonts w:ascii="Times New Roman" w:eastAsia="Times New Roman" w:hAnsi="Times New Roman" w:cs="Times New Roman"/>
          <w:color w:val="000000"/>
          <w:sz w:val="24"/>
          <w:szCs w:val="24"/>
          <w:lang/>
        </w:rPr>
        <w:t>Виплата доходу за фінансовими казначейськими векселями відбувається в момент їх пред’явлення до сплати органу, що здійснює казначейське обслуговування бюджетних коштів.</w:t>
      </w:r>
    </w:p>
    <w:p w14:paraId="2C49585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7" w:name="n8625"/>
      <w:bookmarkEnd w:id="10817"/>
      <w:r w:rsidRPr="008B264B">
        <w:rPr>
          <w:rFonts w:ascii="Times New Roman" w:eastAsia="Times New Roman" w:hAnsi="Times New Roman" w:cs="Times New Roman"/>
          <w:color w:val="000000"/>
          <w:sz w:val="24"/>
          <w:szCs w:val="24"/>
          <w:lang/>
        </w:rPr>
        <w:t>Порядок видачі, обігу, обліку та сплати за фінансовими казначейськими векселями, виданими відповідно до цього пункту, затверджується Кабінетом Міністрів України відповідно до закону.</w:t>
      </w:r>
    </w:p>
    <w:p w14:paraId="14CDFF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8" w:name="n8615"/>
      <w:bookmarkEnd w:id="10818"/>
      <w:r w:rsidRPr="008B264B">
        <w:rPr>
          <w:rFonts w:ascii="Times New Roman" w:eastAsia="Times New Roman" w:hAnsi="Times New Roman" w:cs="Times New Roman"/>
          <w:i/>
          <w:iCs/>
          <w:color w:val="000000"/>
          <w:sz w:val="24"/>
          <w:szCs w:val="24"/>
          <w:lang/>
        </w:rPr>
        <w:t>{Підрозділ 10 розділу XX доповнено пунктом 19 згідно із Законом </w:t>
      </w:r>
      <w:hyperlink r:id="rId6168" w:anchor="n13" w:tgtFrame="_blank" w:history="1">
        <w:r w:rsidRPr="008B264B">
          <w:rPr>
            <w:rFonts w:ascii="Times New Roman" w:eastAsia="Times New Roman" w:hAnsi="Times New Roman" w:cs="Times New Roman"/>
            <w:i/>
            <w:iCs/>
            <w:color w:val="0000FF"/>
            <w:sz w:val="24"/>
            <w:szCs w:val="24"/>
            <w:u w:val="single"/>
            <w:lang/>
          </w:rPr>
          <w:t>№ 407-VII від 04.07.2013</w:t>
        </w:r>
      </w:hyperlink>
      <w:r w:rsidRPr="008B264B">
        <w:rPr>
          <w:rFonts w:ascii="Times New Roman" w:eastAsia="Times New Roman" w:hAnsi="Times New Roman" w:cs="Times New Roman"/>
          <w:i/>
          <w:iCs/>
          <w:color w:val="000000"/>
          <w:sz w:val="24"/>
          <w:szCs w:val="24"/>
          <w:lang/>
        </w:rPr>
        <w:t>}</w:t>
      </w:r>
    </w:p>
    <w:p w14:paraId="3DD971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19" w:name="n9252"/>
      <w:bookmarkEnd w:id="10819"/>
      <w:r w:rsidRPr="008B264B">
        <w:rPr>
          <w:rFonts w:ascii="Times New Roman" w:eastAsia="Times New Roman" w:hAnsi="Times New Roman" w:cs="Times New Roman"/>
          <w:color w:val="000000"/>
          <w:sz w:val="24"/>
          <w:szCs w:val="24"/>
          <w:lang/>
        </w:rPr>
        <w:lastRenderedPageBreak/>
        <w:t>20. Штрафні санкції за помилки, допущені при розрахунку грошових зобов’язань відповідно до норм </w:t>
      </w:r>
      <w:hyperlink r:id="rId6169"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за період з 1 вересня 2013 року по 31 грудня 2014 року, застосовуються у розмірі 1 гривня за кожне порушення.</w:t>
      </w:r>
    </w:p>
    <w:p w14:paraId="59DB3B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0" w:name="n9979"/>
      <w:bookmarkEnd w:id="10820"/>
      <w:r w:rsidRPr="008B264B">
        <w:rPr>
          <w:rFonts w:ascii="Times New Roman" w:eastAsia="Times New Roman" w:hAnsi="Times New Roman" w:cs="Times New Roman"/>
          <w:color w:val="000000"/>
          <w:sz w:val="24"/>
          <w:szCs w:val="24"/>
          <w:lang/>
        </w:rPr>
        <w:t>У разі самостійного корегування податкових зобов’язань з метою трансфертного ціноутворення за результатами застосування </w:t>
      </w:r>
      <w:hyperlink r:id="rId6170"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за період з 1 вересня 2013 року по 31 грудня 2014 року штрафні санкції, передбачені </w:t>
      </w:r>
      <w:hyperlink r:id="rId6171" w:anchor="n1258" w:history="1">
        <w:r w:rsidRPr="008B264B">
          <w:rPr>
            <w:rFonts w:ascii="Times New Roman" w:eastAsia="Times New Roman" w:hAnsi="Times New Roman" w:cs="Times New Roman"/>
            <w:color w:val="0000FF"/>
            <w:sz w:val="24"/>
            <w:szCs w:val="24"/>
            <w:u w:val="single"/>
            <w:lang/>
          </w:rPr>
          <w:t>статтею 50</w:t>
        </w:r>
      </w:hyperlink>
      <w:r w:rsidRPr="008B264B">
        <w:rPr>
          <w:rFonts w:ascii="Times New Roman" w:eastAsia="Times New Roman" w:hAnsi="Times New Roman" w:cs="Times New Roman"/>
          <w:color w:val="000000"/>
          <w:sz w:val="24"/>
          <w:szCs w:val="24"/>
          <w:lang/>
        </w:rPr>
        <w:t> цього Кодексу, не застосовуються.</w:t>
      </w:r>
    </w:p>
    <w:p w14:paraId="4A9802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1" w:name="n9266"/>
      <w:bookmarkEnd w:id="10821"/>
      <w:r w:rsidRPr="008B264B">
        <w:rPr>
          <w:rFonts w:ascii="Times New Roman" w:eastAsia="Times New Roman" w:hAnsi="Times New Roman" w:cs="Times New Roman"/>
          <w:i/>
          <w:iCs/>
          <w:color w:val="000000"/>
          <w:sz w:val="24"/>
          <w:szCs w:val="24"/>
          <w:lang/>
        </w:rPr>
        <w:t>{Підрозділ 10 розділу XX доповнено пунктом 20 згідно із Законом </w:t>
      </w:r>
      <w:hyperlink r:id="rId6172" w:anchor="n370" w:tgtFrame="_blank" w:history="1">
        <w:r w:rsidRPr="008B264B">
          <w:rPr>
            <w:rFonts w:ascii="Times New Roman" w:eastAsia="Times New Roman" w:hAnsi="Times New Roman" w:cs="Times New Roman"/>
            <w:i/>
            <w:iCs/>
            <w:color w:val="0000FF"/>
            <w:sz w:val="24"/>
            <w:szCs w:val="24"/>
            <w:u w:val="single"/>
            <w:lang/>
          </w:rPr>
          <w:t>№ 408-VII від 04.07.2013</w:t>
        </w:r>
      </w:hyperlink>
      <w:r w:rsidRPr="008B264B">
        <w:rPr>
          <w:rFonts w:ascii="Times New Roman" w:eastAsia="Times New Roman" w:hAnsi="Times New Roman" w:cs="Times New Roman"/>
          <w:i/>
          <w:iCs/>
          <w:color w:val="000000"/>
          <w:sz w:val="24"/>
          <w:szCs w:val="24"/>
          <w:lang/>
        </w:rPr>
        <w:t>; в редакції Закону </w:t>
      </w:r>
      <w:hyperlink r:id="rId6173" w:anchor="n15" w:tgtFrame="_blank" w:history="1">
        <w:r w:rsidRPr="008B264B">
          <w:rPr>
            <w:rFonts w:ascii="Times New Roman" w:eastAsia="Times New Roman" w:hAnsi="Times New Roman" w:cs="Times New Roman"/>
            <w:i/>
            <w:iCs/>
            <w:color w:val="0000FF"/>
            <w:sz w:val="24"/>
            <w:szCs w:val="24"/>
            <w:u w:val="single"/>
            <w:lang/>
          </w:rPr>
          <w:t>№ 1260-VII від 13.05.2014</w:t>
        </w:r>
      </w:hyperlink>
      <w:r w:rsidRPr="008B264B">
        <w:rPr>
          <w:rFonts w:ascii="Times New Roman" w:eastAsia="Times New Roman" w:hAnsi="Times New Roman" w:cs="Times New Roman"/>
          <w:i/>
          <w:iCs/>
          <w:color w:val="000000"/>
          <w:sz w:val="24"/>
          <w:szCs w:val="24"/>
          <w:lang/>
        </w:rPr>
        <w:t>}</w:t>
      </w:r>
    </w:p>
    <w:p w14:paraId="449DAE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2" w:name="n14510"/>
      <w:bookmarkEnd w:id="10822"/>
      <w:r w:rsidRPr="008B264B">
        <w:rPr>
          <w:rFonts w:ascii="Times New Roman" w:eastAsia="Times New Roman" w:hAnsi="Times New Roman" w:cs="Times New Roman"/>
          <w:color w:val="000000"/>
          <w:sz w:val="24"/>
          <w:szCs w:val="24"/>
          <w:lang/>
        </w:rPr>
        <w:t>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Штрафні санкції за здійснення суб’єктами господарювання операцій з реалізації пального в ємностях до двох літрів без реєстрації таких суб’єктів платниками акцизного податку, передбачені </w:t>
      </w:r>
      <w:hyperlink r:id="rId6174" w:anchor="n12683" w:history="1">
        <w:r w:rsidRPr="008B264B">
          <w:rPr>
            <w:rFonts w:ascii="Times New Roman" w:eastAsia="Times New Roman" w:hAnsi="Times New Roman" w:cs="Times New Roman"/>
            <w:color w:val="0000FF"/>
            <w:sz w:val="24"/>
            <w:szCs w:val="24"/>
            <w:u w:val="single"/>
            <w:lang/>
          </w:rPr>
          <w:t>пунктом 117.3</w:t>
        </w:r>
      </w:hyperlink>
      <w:r w:rsidRPr="008B264B">
        <w:rPr>
          <w:rFonts w:ascii="Times New Roman" w:eastAsia="Times New Roman" w:hAnsi="Times New Roman" w:cs="Times New Roman"/>
          <w:color w:val="000000"/>
          <w:sz w:val="24"/>
          <w:szCs w:val="24"/>
          <w:lang/>
        </w:rPr>
        <w:t> статті 117 цього Кодексу, не застосовуються з дати виникнення зобов’язання щодо такої реєстрації.</w:t>
      </w:r>
    </w:p>
    <w:p w14:paraId="704A8B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3" w:name="n14511"/>
      <w:bookmarkEnd w:id="10823"/>
      <w:r w:rsidRPr="008B264B">
        <w:rPr>
          <w:rFonts w:ascii="Times New Roman" w:eastAsia="Times New Roman" w:hAnsi="Times New Roman" w:cs="Times New Roman"/>
          <w:color w:val="000000"/>
          <w:sz w:val="24"/>
          <w:szCs w:val="24"/>
          <w:lang/>
        </w:rPr>
        <w:t>Штрафні санкції за порушення порядку реєстрації акцизних накладних та розрахунків коригування до таких акцизних накладних в Єдиному реєстрі акцизних накладних, передбачені </w:t>
      </w:r>
      <w:hyperlink r:id="rId6175" w:anchor="n12700" w:history="1">
        <w:r w:rsidRPr="008B264B">
          <w:rPr>
            <w:rFonts w:ascii="Times New Roman" w:eastAsia="Times New Roman" w:hAnsi="Times New Roman" w:cs="Times New Roman"/>
            <w:color w:val="0000FF"/>
            <w:sz w:val="24"/>
            <w:szCs w:val="24"/>
            <w:u w:val="single"/>
            <w:lang/>
          </w:rPr>
          <w:t>статтею 120</w:t>
        </w:r>
      </w:hyperlink>
      <w:hyperlink r:id="rId6176" w:anchor="n12700"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r w:rsidRPr="008B264B">
        <w:rPr>
          <w:rFonts w:ascii="Times New Roman" w:eastAsia="Times New Roman" w:hAnsi="Times New Roman" w:cs="Times New Roman"/>
          <w:color w:val="000000"/>
          <w:sz w:val="24"/>
          <w:szCs w:val="24"/>
          <w:lang/>
        </w:rPr>
        <w:t> цього Кодексу, не застосовуються до осіб, які реалізують пальне в ємностях до двох літрів з дати виникнення зобов’язання щодо такої реєстрації.</w:t>
      </w:r>
    </w:p>
    <w:p w14:paraId="76E451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4" w:name="n14509"/>
      <w:bookmarkEnd w:id="10824"/>
      <w:r w:rsidRPr="008B264B">
        <w:rPr>
          <w:rFonts w:ascii="Times New Roman" w:eastAsia="Times New Roman" w:hAnsi="Times New Roman" w:cs="Times New Roman"/>
          <w:i/>
          <w:iCs/>
          <w:color w:val="000000"/>
          <w:sz w:val="24"/>
          <w:szCs w:val="24"/>
          <w:lang/>
        </w:rPr>
        <w:t>{Підрозділ 10 розділу XX доповнено пунктом 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i/>
          <w:iCs/>
          <w:color w:val="000000"/>
          <w:sz w:val="24"/>
          <w:szCs w:val="24"/>
          <w:lang/>
        </w:rPr>
        <w:t> згідно із Законом </w:t>
      </w:r>
      <w:hyperlink r:id="rId6177" w:anchor="n15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3017D94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5" w:name="n9254"/>
      <w:bookmarkEnd w:id="10825"/>
      <w:r w:rsidRPr="008B264B">
        <w:rPr>
          <w:rFonts w:ascii="Times New Roman" w:eastAsia="Times New Roman" w:hAnsi="Times New Roman" w:cs="Times New Roman"/>
          <w:i/>
          <w:iCs/>
          <w:color w:val="000000"/>
          <w:sz w:val="24"/>
          <w:szCs w:val="24"/>
          <w:lang/>
        </w:rPr>
        <w:t>{Пункт 21 підрозділу 10 розділу XX виключено на підставі Закону </w:t>
      </w:r>
      <w:hyperlink r:id="rId6178" w:anchor="n356" w:tgtFrame="_blank" w:history="1">
        <w:r w:rsidRPr="008B264B">
          <w:rPr>
            <w:rFonts w:ascii="Times New Roman" w:eastAsia="Times New Roman" w:hAnsi="Times New Roman" w:cs="Times New Roman"/>
            <w:i/>
            <w:iCs/>
            <w:color w:val="0000FF"/>
            <w:sz w:val="24"/>
            <w:szCs w:val="24"/>
            <w:u w:val="single"/>
            <w:lang/>
          </w:rPr>
          <w:t>№ 72-VIII від 28.12.2014</w:t>
        </w:r>
      </w:hyperlink>
      <w:r w:rsidRPr="008B264B">
        <w:rPr>
          <w:rFonts w:ascii="Times New Roman" w:eastAsia="Times New Roman" w:hAnsi="Times New Roman" w:cs="Times New Roman"/>
          <w:i/>
          <w:iCs/>
          <w:color w:val="000000"/>
          <w:sz w:val="24"/>
          <w:szCs w:val="24"/>
          <w:lang/>
        </w:rPr>
        <w:t>}</w:t>
      </w:r>
    </w:p>
    <w:p w14:paraId="1DF7EFD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6" w:name="n9618"/>
      <w:bookmarkEnd w:id="10826"/>
      <w:r w:rsidRPr="008B264B">
        <w:rPr>
          <w:rFonts w:ascii="Times New Roman" w:eastAsia="Times New Roman" w:hAnsi="Times New Roman" w:cs="Times New Roman"/>
          <w:color w:val="000000"/>
          <w:sz w:val="24"/>
          <w:szCs w:val="24"/>
          <w:lang/>
        </w:rPr>
        <w:t>22. Єдиний державний реєстраційний веб-портал юридичних осіб та фізичних осіб – підприємців створюється відповідно до закону. До створення цього веб-порталу інформація з реєстрів про взяття суб’єктів господарювання на облік як платників податків і зборів, їх реєстрацію як платників податку на додану вартість (у тому числі як суб’єктів спеціального режиму оподаткування) та єдиного податку оприлюднюються на офіційному веб-сайті центрального органу виконавчої влади, що реалізує державну податкову і митну політику, згідно з вимогами, встановленими цим Кодексом.</w:t>
      </w:r>
    </w:p>
    <w:p w14:paraId="4BB8933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7" w:name="n9617"/>
      <w:bookmarkEnd w:id="10827"/>
      <w:r w:rsidRPr="008B264B">
        <w:rPr>
          <w:rFonts w:ascii="Times New Roman" w:eastAsia="Times New Roman" w:hAnsi="Times New Roman" w:cs="Times New Roman"/>
          <w:i/>
          <w:iCs/>
          <w:color w:val="000000"/>
          <w:sz w:val="24"/>
          <w:szCs w:val="24"/>
          <w:lang/>
        </w:rPr>
        <w:t>{Підрозділ 10 розділу XX доповнено пунктом 22 згідно із Законом </w:t>
      </w:r>
      <w:hyperlink r:id="rId6179" w:anchor="n224" w:tgtFrame="_blank" w:history="1">
        <w:r w:rsidRPr="008B264B">
          <w:rPr>
            <w:rFonts w:ascii="Times New Roman" w:eastAsia="Times New Roman" w:hAnsi="Times New Roman" w:cs="Times New Roman"/>
            <w:i/>
            <w:iCs/>
            <w:color w:val="0000FF"/>
            <w:sz w:val="24"/>
            <w:szCs w:val="24"/>
            <w:u w:val="single"/>
            <w:lang/>
          </w:rPr>
          <w:t>№ 657-VII від 24.10.2013</w:t>
        </w:r>
      </w:hyperlink>
      <w:r w:rsidRPr="008B264B">
        <w:rPr>
          <w:rFonts w:ascii="Times New Roman" w:eastAsia="Times New Roman" w:hAnsi="Times New Roman" w:cs="Times New Roman"/>
          <w:i/>
          <w:iCs/>
          <w:color w:val="000000"/>
          <w:sz w:val="24"/>
          <w:szCs w:val="24"/>
          <w:lang/>
        </w:rPr>
        <w:t>; із змінами, внесеними згідно із Законом </w:t>
      </w:r>
      <w:hyperlink r:id="rId6180"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02F3D6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8" w:name="n9804"/>
      <w:bookmarkEnd w:id="10828"/>
      <w:r w:rsidRPr="008B264B">
        <w:rPr>
          <w:rFonts w:ascii="Times New Roman" w:eastAsia="Times New Roman" w:hAnsi="Times New Roman" w:cs="Times New Roman"/>
          <w:color w:val="000000"/>
          <w:sz w:val="24"/>
          <w:szCs w:val="24"/>
          <w:lang/>
        </w:rPr>
        <w:t>23. Установити, що органи, які здійснюють казначейське обслуговування бюджетних коштів, відповідно до </w:t>
      </w:r>
      <w:hyperlink r:id="rId6181" w:anchor="n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Державний бюджет України на 2014 рік" на підставі отриманих від відповідного контролюючого органу реєстрів інвентаризації платників податку та висновків із зазначенням суми податку на додану вартість, що підлягає відшкодуванню з бюджету, оформлюють видачу платникам податку, які подали до такого контролюючого органу заяву про оформлення відшкодування сум податку на додану вартість облігаціями внутрішньої державної позики, зазначену у реєстрах та висновках суму бюджетного відшкодування шляхом видачі у строки, визначені </w:t>
      </w:r>
      <w:hyperlink r:id="rId6182" w:anchor="n10331" w:history="1">
        <w:r w:rsidRPr="008B264B">
          <w:rPr>
            <w:rFonts w:ascii="Times New Roman" w:eastAsia="Times New Roman" w:hAnsi="Times New Roman" w:cs="Times New Roman"/>
            <w:color w:val="0000FF"/>
            <w:sz w:val="24"/>
            <w:szCs w:val="24"/>
            <w:u w:val="single"/>
            <w:lang/>
          </w:rPr>
          <w:t>пунктом 200.13</w:t>
        </w:r>
      </w:hyperlink>
      <w:r w:rsidRPr="008B264B">
        <w:rPr>
          <w:rFonts w:ascii="Times New Roman" w:eastAsia="Times New Roman" w:hAnsi="Times New Roman" w:cs="Times New Roman"/>
          <w:color w:val="000000"/>
          <w:sz w:val="24"/>
          <w:szCs w:val="24"/>
          <w:lang/>
        </w:rPr>
        <w:t> статті 200 цього Кодексу, облігацій внутрішньої державної позики строком обігу п’ять років.</w:t>
      </w:r>
    </w:p>
    <w:p w14:paraId="5F7FB2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29" w:name="n9805"/>
      <w:bookmarkEnd w:id="10829"/>
      <w:r w:rsidRPr="008B264B">
        <w:rPr>
          <w:rFonts w:ascii="Times New Roman" w:eastAsia="Times New Roman" w:hAnsi="Times New Roman" w:cs="Times New Roman"/>
          <w:color w:val="000000"/>
          <w:sz w:val="24"/>
          <w:szCs w:val="24"/>
          <w:lang/>
        </w:rPr>
        <w:t>Оформлення відшкодування сум податку на додану вартість облігаціями внутрішньої державної позики прирівнюється до видачі платнику податку суми бюджетного відшкодування шляхом перерахування коштів з бюджетного рахунка на рахунок платника податку.</w:t>
      </w:r>
    </w:p>
    <w:p w14:paraId="40E2F71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0" w:name="n9806"/>
      <w:bookmarkEnd w:id="10830"/>
      <w:r w:rsidRPr="008B264B">
        <w:rPr>
          <w:rFonts w:ascii="Times New Roman" w:eastAsia="Times New Roman" w:hAnsi="Times New Roman" w:cs="Times New Roman"/>
          <w:color w:val="000000"/>
          <w:sz w:val="24"/>
          <w:szCs w:val="24"/>
          <w:lang/>
        </w:rPr>
        <w:t>Порядок випуску, обігу, погашення зазначених облігацій внутрішньої державної позики для відшкодування сум податку на додану вартість, а також основних умов їх випуску затверджується Кабінетом Міністрів України.</w:t>
      </w:r>
    </w:p>
    <w:p w14:paraId="5E2ED5B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1" w:name="n9803"/>
      <w:bookmarkEnd w:id="10831"/>
      <w:r w:rsidRPr="008B264B">
        <w:rPr>
          <w:rFonts w:ascii="Times New Roman" w:eastAsia="Times New Roman" w:hAnsi="Times New Roman" w:cs="Times New Roman"/>
          <w:i/>
          <w:iCs/>
          <w:color w:val="000000"/>
          <w:sz w:val="24"/>
          <w:szCs w:val="24"/>
          <w:lang/>
        </w:rPr>
        <w:t>{Підрозділ 10 розділу XX доповнено пунктом 23 згідно із Законом </w:t>
      </w:r>
      <w:hyperlink r:id="rId6183" w:anchor="n196" w:tgtFrame="_blank" w:history="1">
        <w:r w:rsidRPr="008B264B">
          <w:rPr>
            <w:rFonts w:ascii="Times New Roman" w:eastAsia="Times New Roman" w:hAnsi="Times New Roman" w:cs="Times New Roman"/>
            <w:i/>
            <w:iCs/>
            <w:color w:val="0000FF"/>
            <w:sz w:val="24"/>
            <w:szCs w:val="24"/>
            <w:u w:val="single"/>
            <w:lang/>
          </w:rPr>
          <w:t>№ 719-VII від 16.01.2014</w:t>
        </w:r>
      </w:hyperlink>
      <w:r w:rsidRPr="008B264B">
        <w:rPr>
          <w:rFonts w:ascii="Times New Roman" w:eastAsia="Times New Roman" w:hAnsi="Times New Roman" w:cs="Times New Roman"/>
          <w:i/>
          <w:iCs/>
          <w:color w:val="000000"/>
          <w:sz w:val="24"/>
          <w:szCs w:val="24"/>
          <w:lang/>
        </w:rPr>
        <w:t> з урахуванням змін, внесених Законом </w:t>
      </w:r>
      <w:hyperlink r:id="rId6184" w:anchor="n69" w:tgtFrame="_blank" w:history="1">
        <w:r w:rsidRPr="008B264B">
          <w:rPr>
            <w:rFonts w:ascii="Times New Roman" w:eastAsia="Times New Roman" w:hAnsi="Times New Roman" w:cs="Times New Roman"/>
            <w:i/>
            <w:iCs/>
            <w:color w:val="0000FF"/>
            <w:sz w:val="24"/>
            <w:szCs w:val="24"/>
            <w:u w:val="single"/>
            <w:lang/>
          </w:rPr>
          <w:t>№ 1165-VII від 27.03.2014</w:t>
        </w:r>
      </w:hyperlink>
      <w:r w:rsidRPr="008B264B">
        <w:rPr>
          <w:rFonts w:ascii="Times New Roman" w:eastAsia="Times New Roman" w:hAnsi="Times New Roman" w:cs="Times New Roman"/>
          <w:i/>
          <w:iCs/>
          <w:color w:val="000000"/>
          <w:sz w:val="24"/>
          <w:szCs w:val="24"/>
          <w:lang/>
        </w:rPr>
        <w:t>}</w:t>
      </w:r>
    </w:p>
    <w:p w14:paraId="45C8F6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2" w:name="n9981"/>
      <w:bookmarkEnd w:id="10832"/>
      <w:r w:rsidRPr="008B264B">
        <w:rPr>
          <w:rFonts w:ascii="Times New Roman" w:eastAsia="Times New Roman" w:hAnsi="Times New Roman" w:cs="Times New Roman"/>
          <w:color w:val="000000"/>
          <w:sz w:val="24"/>
          <w:szCs w:val="24"/>
          <w:lang/>
        </w:rPr>
        <w:lastRenderedPageBreak/>
        <w:t>24. Встановити, що у 2014 році звіт про контрольовані операції, що відповідно до </w:t>
      </w:r>
      <w:hyperlink r:id="rId6185"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подається центральному органу виконавчої влади, що забезпечує формування та реалізує державну податкову і митну політику, за період з 1 вересня по 31 грудня 2013 року подається до 1 жовтня 2014 року.</w:t>
      </w:r>
    </w:p>
    <w:p w14:paraId="49A217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3" w:name="n9980"/>
      <w:bookmarkEnd w:id="10833"/>
      <w:r w:rsidRPr="008B264B">
        <w:rPr>
          <w:rFonts w:ascii="Times New Roman" w:eastAsia="Times New Roman" w:hAnsi="Times New Roman" w:cs="Times New Roman"/>
          <w:i/>
          <w:iCs/>
          <w:color w:val="000000"/>
          <w:sz w:val="24"/>
          <w:szCs w:val="24"/>
          <w:lang/>
        </w:rPr>
        <w:t>{Підрозділ 10 розділу XX доповнено пунктом 24 згідно із Законом </w:t>
      </w:r>
      <w:hyperlink r:id="rId6186" w:anchor="n18" w:tgtFrame="_blank" w:history="1">
        <w:r w:rsidRPr="008B264B">
          <w:rPr>
            <w:rFonts w:ascii="Times New Roman" w:eastAsia="Times New Roman" w:hAnsi="Times New Roman" w:cs="Times New Roman"/>
            <w:i/>
            <w:iCs/>
            <w:color w:val="0000FF"/>
            <w:sz w:val="24"/>
            <w:szCs w:val="24"/>
            <w:u w:val="single"/>
            <w:lang/>
          </w:rPr>
          <w:t>№ 1260-VII від 13.05.2014</w:t>
        </w:r>
      </w:hyperlink>
      <w:r w:rsidRPr="008B264B">
        <w:rPr>
          <w:rFonts w:ascii="Times New Roman" w:eastAsia="Times New Roman" w:hAnsi="Times New Roman" w:cs="Times New Roman"/>
          <w:i/>
          <w:iCs/>
          <w:color w:val="000000"/>
          <w:sz w:val="24"/>
          <w:szCs w:val="24"/>
          <w:lang/>
        </w:rPr>
        <w:t>}</w:t>
      </w:r>
    </w:p>
    <w:p w14:paraId="6A77DE6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4" w:name="n9988"/>
      <w:bookmarkEnd w:id="10834"/>
      <w:r w:rsidRPr="008B264B">
        <w:rPr>
          <w:rFonts w:ascii="Times New Roman" w:eastAsia="Times New Roman" w:hAnsi="Times New Roman" w:cs="Times New Roman"/>
          <w:color w:val="000000"/>
          <w:sz w:val="24"/>
          <w:szCs w:val="24"/>
          <w:lang/>
        </w:rPr>
        <w:t>25. Самозайняті особи (фізичні особи - підприємці, особи, які провадять незалежну професійну діяльність), які мали або не мали найманих працівників, призвані на військову службу під час мобілізації або залучені до виконання обов’язків щодо мобілізації за посадами, передбаченими штатами воєнного часу, під час особливого періоду, визначеного </w:t>
      </w:r>
      <w:hyperlink r:id="rId6187" w:tgtFrame="_blank" w:history="1">
        <w:r w:rsidRPr="008B264B">
          <w:rPr>
            <w:rFonts w:ascii="Times New Roman" w:eastAsia="Times New Roman" w:hAnsi="Times New Roman" w:cs="Times New Roman"/>
            <w:color w:val="0000FF"/>
            <w:sz w:val="24"/>
            <w:szCs w:val="24"/>
            <w:u w:val="single"/>
            <w:lang/>
          </w:rPr>
          <w:t>Законом України "Про мобілізаційну підготовку та мобілізацію"</w:t>
        </w:r>
      </w:hyperlink>
      <w:r w:rsidRPr="008B264B">
        <w:rPr>
          <w:rFonts w:ascii="Times New Roman" w:eastAsia="Times New Roman" w:hAnsi="Times New Roman" w:cs="Times New Roman"/>
          <w:color w:val="000000"/>
          <w:sz w:val="24"/>
          <w:szCs w:val="24"/>
          <w:lang/>
        </w:rPr>
        <w:t>, на весь період їх військової служби звільняються від обов’язку нарахування, сплати та подання податкової звітності з податку на доходи фізичних осіб відповідно до </w:t>
      </w:r>
      <w:hyperlink r:id="rId6188" w:anchor="n3610" w:history="1">
        <w:r w:rsidRPr="008B264B">
          <w:rPr>
            <w:rFonts w:ascii="Times New Roman" w:eastAsia="Times New Roman" w:hAnsi="Times New Roman" w:cs="Times New Roman"/>
            <w:color w:val="0000FF"/>
            <w:sz w:val="24"/>
            <w:szCs w:val="24"/>
            <w:u w:val="single"/>
            <w:lang/>
          </w:rPr>
          <w:t>розділу IV</w:t>
        </w:r>
      </w:hyperlink>
      <w:r w:rsidRPr="008B264B">
        <w:rPr>
          <w:rFonts w:ascii="Times New Roman" w:eastAsia="Times New Roman" w:hAnsi="Times New Roman" w:cs="Times New Roman"/>
          <w:color w:val="000000"/>
          <w:sz w:val="24"/>
          <w:szCs w:val="24"/>
          <w:lang/>
        </w:rPr>
        <w:t> цього Кодексу, а також звільняються від обов’язку нарахування, сплати та подання податкової звітності з єдиного податку відповідно до </w:t>
      </w:r>
      <w:hyperlink r:id="rId6189" w:anchor="n6944" w:history="1">
        <w:r w:rsidRPr="008B264B">
          <w:rPr>
            <w:rFonts w:ascii="Times New Roman" w:eastAsia="Times New Roman" w:hAnsi="Times New Roman" w:cs="Times New Roman"/>
            <w:color w:val="0000FF"/>
            <w:sz w:val="24"/>
            <w:szCs w:val="24"/>
            <w:u w:val="single"/>
            <w:lang/>
          </w:rPr>
          <w:t>глави 1 розділу XIV</w:t>
        </w:r>
      </w:hyperlink>
      <w:r w:rsidRPr="008B264B">
        <w:rPr>
          <w:rFonts w:ascii="Times New Roman" w:eastAsia="Times New Roman" w:hAnsi="Times New Roman" w:cs="Times New Roman"/>
          <w:color w:val="000000"/>
          <w:sz w:val="24"/>
          <w:szCs w:val="24"/>
          <w:lang/>
        </w:rPr>
        <w:t> цього Кодексу.</w:t>
      </w:r>
    </w:p>
    <w:p w14:paraId="139BE1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5" w:name="n9989"/>
      <w:bookmarkEnd w:id="10835"/>
      <w:r w:rsidRPr="008B264B">
        <w:rPr>
          <w:rFonts w:ascii="Times New Roman" w:eastAsia="Times New Roman" w:hAnsi="Times New Roman" w:cs="Times New Roman"/>
          <w:color w:val="000000"/>
          <w:sz w:val="24"/>
          <w:szCs w:val="24"/>
          <w:lang/>
        </w:rPr>
        <w:t>Підставою для такого звільнення є заява самозайнятої особи та копія військового квитка або копія іншого документа, виданого відповідним державним органом, із зазначенням даних про призов такої особи на військову службу за призовом під час мобілізації, на особливий період, які подаються до органу доходів і зборів за місцем податкової реєстрації самозайнятої особи протягом 10 днів після її демобілізації. Якщо демобілізована самозайнята особа перебуває на лікуванні (реабілітації) у зв’язку з виконанням обов’язків під час мобілізації, на особливий період, заява і копія військового квитка або копія іншого документа, виданого відповідним державним органом, подаються протягом 10 днів після закінчення її лікування (реабілітації).</w:t>
      </w:r>
    </w:p>
    <w:p w14:paraId="5E25A0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6" w:name="n9990"/>
      <w:bookmarkEnd w:id="10836"/>
      <w:r w:rsidRPr="008B264B">
        <w:rPr>
          <w:rFonts w:ascii="Times New Roman" w:eastAsia="Times New Roman" w:hAnsi="Times New Roman" w:cs="Times New Roman"/>
          <w:color w:val="000000"/>
          <w:sz w:val="24"/>
          <w:szCs w:val="24"/>
          <w:lang/>
        </w:rPr>
        <w:t>Якщо самозайнята особа, призвана на військову службу за призовом під час мобілізації, на особливий період, має найманих працівників і на строк своєї військової служби за призовом під час мобілізації, на особливий період, уповноважує іншу особу на виплату найманим працівникам заробітної плати та/або інших доходів, то обов’язок з нарахування та утримання податку на доходи фізичних осіб з таких виплат на строк військової служби самозайнятої особи несе ця уповноважена особа.</w:t>
      </w:r>
    </w:p>
    <w:p w14:paraId="648905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7" w:name="n9991"/>
      <w:bookmarkEnd w:id="10837"/>
      <w:r w:rsidRPr="008B264B">
        <w:rPr>
          <w:rFonts w:ascii="Times New Roman" w:eastAsia="Times New Roman" w:hAnsi="Times New Roman" w:cs="Times New Roman"/>
          <w:color w:val="000000"/>
          <w:sz w:val="24"/>
          <w:szCs w:val="24"/>
          <w:lang/>
        </w:rPr>
        <w:t>Податок на доходи фізичних осіб, що був нарахований та утриманий уповноваженою особою з таких виплат фізичним особам, сплачується до бюджету демобілізованою самозайнятою особою протягом 180 календарних днів з першого дня її демобілізації без нарахування штрафних і фінансових санкцій. При цьому демобілізована самозайнята особа у заяві, передбаченій у цьому пункті, зазначає дані про суми нарахованого та утриманого уповноваженою особою податку з найманих працівників протягом строку військової служби самозайнятої особи.</w:t>
      </w:r>
    </w:p>
    <w:p w14:paraId="77B0D29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8" w:name="n9992"/>
      <w:bookmarkEnd w:id="10838"/>
      <w:r w:rsidRPr="008B264B">
        <w:rPr>
          <w:rFonts w:ascii="Times New Roman" w:eastAsia="Times New Roman" w:hAnsi="Times New Roman" w:cs="Times New Roman"/>
          <w:color w:val="000000"/>
          <w:sz w:val="24"/>
          <w:szCs w:val="24"/>
          <w:lang/>
        </w:rPr>
        <w:t>Податкова звітність про суми податку, нарахованого та утриманого протягом строку військової служби самозайнятої особи уповноваженою особою з найманих працівників та інших фізичних осіб, подається демобілізованою самозайнятою особою у порядку та строки, встановлені цим Кодексом, без нарахування штрафних і фінансових санкцій, передбачених цим Кодексом.</w:t>
      </w:r>
    </w:p>
    <w:p w14:paraId="558B65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39" w:name="n9993"/>
      <w:bookmarkEnd w:id="10839"/>
      <w:r w:rsidRPr="008B264B">
        <w:rPr>
          <w:rFonts w:ascii="Times New Roman" w:eastAsia="Times New Roman" w:hAnsi="Times New Roman" w:cs="Times New Roman"/>
          <w:color w:val="000000"/>
          <w:sz w:val="24"/>
          <w:szCs w:val="24"/>
          <w:lang/>
        </w:rPr>
        <w:t>Цей пункт застосовується з першого дня мобілізації, оголошеної </w:t>
      </w:r>
      <w:hyperlink r:id="rId6190" w:tgtFrame="_blank" w:history="1">
        <w:r w:rsidRPr="008B264B">
          <w:rPr>
            <w:rFonts w:ascii="Times New Roman" w:eastAsia="Times New Roman" w:hAnsi="Times New Roman" w:cs="Times New Roman"/>
            <w:color w:val="0000FF"/>
            <w:sz w:val="24"/>
            <w:szCs w:val="24"/>
            <w:u w:val="single"/>
            <w:lang/>
          </w:rPr>
          <w:t>Указом Президента України від 17 березня 2014 року № 303</w:t>
        </w:r>
      </w:hyperlink>
      <w:r w:rsidRPr="008B264B">
        <w:rPr>
          <w:rFonts w:ascii="Times New Roman" w:eastAsia="Times New Roman" w:hAnsi="Times New Roman" w:cs="Times New Roman"/>
          <w:color w:val="000000"/>
          <w:sz w:val="24"/>
          <w:szCs w:val="24"/>
          <w:lang/>
        </w:rPr>
        <w:t> "Про часткову мобілізацію", затвердженим </w:t>
      </w:r>
      <w:hyperlink r:id="rId6191" w:tgtFrame="_blank" w:history="1">
        <w:r w:rsidRPr="008B264B">
          <w:rPr>
            <w:rFonts w:ascii="Times New Roman" w:eastAsia="Times New Roman" w:hAnsi="Times New Roman" w:cs="Times New Roman"/>
            <w:color w:val="0000FF"/>
            <w:sz w:val="24"/>
            <w:szCs w:val="24"/>
            <w:u w:val="single"/>
            <w:lang/>
          </w:rPr>
          <w:t>Законом України "Про затвердження Указу Президента України "Про часткову мобілізацію"</w:t>
        </w:r>
      </w:hyperlink>
      <w:r w:rsidRPr="008B264B">
        <w:rPr>
          <w:rFonts w:ascii="Times New Roman" w:eastAsia="Times New Roman" w:hAnsi="Times New Roman" w:cs="Times New Roman"/>
          <w:color w:val="000000"/>
          <w:sz w:val="24"/>
          <w:szCs w:val="24"/>
          <w:lang/>
        </w:rPr>
        <w:t>.</w:t>
      </w:r>
    </w:p>
    <w:p w14:paraId="5FC8D66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0" w:name="n9987"/>
      <w:bookmarkEnd w:id="10840"/>
      <w:r w:rsidRPr="008B264B">
        <w:rPr>
          <w:rFonts w:ascii="Times New Roman" w:eastAsia="Times New Roman" w:hAnsi="Times New Roman" w:cs="Times New Roman"/>
          <w:i/>
          <w:iCs/>
          <w:color w:val="000000"/>
          <w:sz w:val="24"/>
          <w:szCs w:val="24"/>
          <w:lang/>
        </w:rPr>
        <w:t>{Підрозділ 10 розділу XX доповнено пунктом 25 згідно із Законом </w:t>
      </w:r>
      <w:hyperlink r:id="rId6192" w:anchor="n35" w:tgtFrame="_blank" w:history="1">
        <w:r w:rsidRPr="008B264B">
          <w:rPr>
            <w:rFonts w:ascii="Times New Roman" w:eastAsia="Times New Roman" w:hAnsi="Times New Roman" w:cs="Times New Roman"/>
            <w:i/>
            <w:iCs/>
            <w:color w:val="0000FF"/>
            <w:sz w:val="24"/>
            <w:szCs w:val="24"/>
            <w:u w:val="single"/>
            <w:lang/>
          </w:rPr>
          <w:t>№ 1275-VII від 20.05.2014</w:t>
        </w:r>
      </w:hyperlink>
      <w:r w:rsidRPr="008B264B">
        <w:rPr>
          <w:rFonts w:ascii="Times New Roman" w:eastAsia="Times New Roman" w:hAnsi="Times New Roman" w:cs="Times New Roman"/>
          <w:i/>
          <w:iCs/>
          <w:color w:val="000000"/>
          <w:sz w:val="24"/>
          <w:szCs w:val="24"/>
          <w:lang/>
        </w:rPr>
        <w:t>}</w:t>
      </w:r>
    </w:p>
    <w:p w14:paraId="36D5C92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1" w:name="n10308"/>
      <w:bookmarkEnd w:id="10841"/>
      <w:r w:rsidRPr="008B264B">
        <w:rPr>
          <w:rFonts w:ascii="Times New Roman" w:eastAsia="Times New Roman" w:hAnsi="Times New Roman" w:cs="Times New Roman"/>
          <w:color w:val="000000"/>
          <w:sz w:val="24"/>
          <w:szCs w:val="24"/>
          <w:lang/>
        </w:rPr>
        <w:t>26. На період дії </w:t>
      </w:r>
      <w:hyperlink r:id="rId6193"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забезпечення прав і свобод громадян та правовий режим на тимчасово окупованій території України" цей Кодекс застосовується з урахуванням особливостей, визначених </w:t>
      </w:r>
      <w:hyperlink r:id="rId6194" w:anchor="n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створення вільної економічної зони "Крим" та про особливості здійснення економічної діяльності на тимчасово окупованій території України".</w:t>
      </w:r>
    </w:p>
    <w:p w14:paraId="42924B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2" w:name="n10307"/>
      <w:bookmarkEnd w:id="10842"/>
      <w:r w:rsidRPr="008B264B">
        <w:rPr>
          <w:rFonts w:ascii="Times New Roman" w:eastAsia="Times New Roman" w:hAnsi="Times New Roman" w:cs="Times New Roman"/>
          <w:i/>
          <w:iCs/>
          <w:color w:val="000000"/>
          <w:sz w:val="24"/>
          <w:szCs w:val="24"/>
          <w:lang/>
        </w:rPr>
        <w:t>{Підрозділ 10 розділу XX доповнено пунктом 26 згідно із Законом </w:t>
      </w:r>
      <w:hyperlink r:id="rId6195" w:anchor="n211" w:tgtFrame="_blank" w:history="1">
        <w:r w:rsidRPr="008B264B">
          <w:rPr>
            <w:rFonts w:ascii="Times New Roman" w:eastAsia="Times New Roman" w:hAnsi="Times New Roman" w:cs="Times New Roman"/>
            <w:i/>
            <w:iCs/>
            <w:color w:val="0000FF"/>
            <w:sz w:val="24"/>
            <w:szCs w:val="24"/>
            <w:u w:val="single"/>
            <w:lang/>
          </w:rPr>
          <w:t>№ 1636-VII від 12.08.2014</w:t>
        </w:r>
      </w:hyperlink>
      <w:r w:rsidRPr="008B264B">
        <w:rPr>
          <w:rFonts w:ascii="Times New Roman" w:eastAsia="Times New Roman" w:hAnsi="Times New Roman" w:cs="Times New Roman"/>
          <w:i/>
          <w:iCs/>
          <w:color w:val="000000"/>
          <w:sz w:val="24"/>
          <w:szCs w:val="24"/>
          <w:lang/>
        </w:rPr>
        <w:t>}</w:t>
      </w:r>
    </w:p>
    <w:p w14:paraId="017512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3" w:name="n12205"/>
      <w:bookmarkEnd w:id="10843"/>
      <w:r w:rsidRPr="008B264B">
        <w:rPr>
          <w:rFonts w:ascii="Times New Roman" w:eastAsia="Times New Roman" w:hAnsi="Times New Roman" w:cs="Times New Roman"/>
          <w:color w:val="000000"/>
          <w:sz w:val="24"/>
          <w:szCs w:val="24"/>
          <w:lang/>
        </w:rPr>
        <w:lastRenderedPageBreak/>
        <w:t>27. Установити, що за результатами провадження господарської діяльності за останній звітний (податковий) період 2014 року платники збору за провадження деяких видів підприємницької діяльності, збору у вигляді цільової надбавки до діючого тарифу на природний газ для споживачів усіх форм власності, збору за місця для паркування транспортних засобів, туристичного збору, збору на розвиток виноградарства, садівництва і хмелярства, збору за першу реєстрацію транспортного засобу, збору у вигляді цільової надбавки до діючого тарифу на електричну та теплову енергію, крім електроенергії, виробленої кваліфікованими когенераційними установками, збору за спеціальне використання лісових ресурсів, збору за користування радіочастотним ресурсом України, збору за спеціальне використання води, плати за користування надрами, плати за землю, єдиного податку, фіксованого сільськогосподарського податку, екологічного податку за викиди в атмосферне повітря забруднюючих речовин пересувними джерелами забруднення, акцизного податку з операцій з відчуження цінних паперів та операцій з деривативами, подають податкові декларації (розрахунки) з таких податків та зборів у порядку, встановленому цим Кодексом.</w:t>
      </w:r>
    </w:p>
    <w:p w14:paraId="034D37C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4" w:name="n12245"/>
      <w:bookmarkEnd w:id="10844"/>
      <w:r w:rsidRPr="008B264B">
        <w:rPr>
          <w:rFonts w:ascii="Times New Roman" w:eastAsia="Times New Roman" w:hAnsi="Times New Roman" w:cs="Times New Roman"/>
          <w:i/>
          <w:iCs/>
          <w:color w:val="000000"/>
          <w:sz w:val="24"/>
          <w:szCs w:val="24"/>
          <w:lang/>
        </w:rPr>
        <w:t>{Підрозділ 10 розділу XX доповнено пунктом 27 згідно із Законом </w:t>
      </w:r>
      <w:hyperlink r:id="rId6196"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4625C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5" w:name="n12206"/>
      <w:bookmarkEnd w:id="10845"/>
      <w:r w:rsidRPr="008B264B">
        <w:rPr>
          <w:rFonts w:ascii="Times New Roman" w:eastAsia="Times New Roman" w:hAnsi="Times New Roman" w:cs="Times New Roman"/>
          <w:color w:val="000000"/>
          <w:sz w:val="24"/>
          <w:szCs w:val="24"/>
          <w:lang/>
        </w:rPr>
        <w:t>28. Установити, що платники єдиного податку другої і третьої (фізичні особи - підприємці) груп, крім тих, які здійснюють діяльність на ринках, продаж товарів дрібнороздрібної торговельної мережі через засоби пересувної мережі, які з 1 січня 2015 року до 30 червня 2015 року включно почали застосовувати у власній господарській діяльності зареєстровані, опломбовані у встановленому порядку та переведені у фіскальний режим роботи реєстратори розрахункових операцій, з дати початку застосування реєстраторів розрахункових операцій до 1 січня 2017 року звільняються від проведення відповідно до норм цього Кодексу перевірок з питань дотримання порядку застосування реєстраторів розрахункових операцій.</w:t>
      </w:r>
    </w:p>
    <w:p w14:paraId="0C8A87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6" w:name="n12244"/>
      <w:bookmarkEnd w:id="10846"/>
      <w:r w:rsidRPr="008B264B">
        <w:rPr>
          <w:rFonts w:ascii="Times New Roman" w:eastAsia="Times New Roman" w:hAnsi="Times New Roman" w:cs="Times New Roman"/>
          <w:i/>
          <w:iCs/>
          <w:color w:val="000000"/>
          <w:sz w:val="24"/>
          <w:szCs w:val="24"/>
          <w:lang/>
        </w:rPr>
        <w:t>{Підрозділ 10 розділу XX доповнено пунктом 28 згідно із Законом </w:t>
      </w:r>
      <w:hyperlink r:id="rId6197"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97042D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7" w:name="n12207"/>
      <w:bookmarkEnd w:id="10847"/>
      <w:r w:rsidRPr="008B264B">
        <w:rPr>
          <w:rFonts w:ascii="Times New Roman" w:eastAsia="Times New Roman" w:hAnsi="Times New Roman" w:cs="Times New Roman"/>
          <w:color w:val="000000"/>
          <w:sz w:val="24"/>
          <w:szCs w:val="24"/>
          <w:lang/>
        </w:rPr>
        <w:t>29. Тимчасово, до 1 січня 2016 року, встановлюється збір у вигляді цільової надбавки до діючої ціни на природний газ для споживачів усіх форм власності.</w:t>
      </w:r>
    </w:p>
    <w:p w14:paraId="22C0A06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8" w:name="n12637"/>
      <w:bookmarkEnd w:id="10848"/>
      <w:r w:rsidRPr="008B264B">
        <w:rPr>
          <w:rFonts w:ascii="Times New Roman" w:eastAsia="Times New Roman" w:hAnsi="Times New Roman" w:cs="Times New Roman"/>
          <w:i/>
          <w:iCs/>
          <w:color w:val="000000"/>
          <w:sz w:val="24"/>
          <w:szCs w:val="24"/>
          <w:lang/>
        </w:rPr>
        <w:t>{Абзац перший пункту 29 підрозділу 10 розділу XX із змінами, внесеними згідно із Законом </w:t>
      </w:r>
      <w:hyperlink r:id="rId6198" w:anchor="n28"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52D72E2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49" w:name="n12208"/>
      <w:bookmarkEnd w:id="10849"/>
      <w:r w:rsidRPr="008B264B">
        <w:rPr>
          <w:rFonts w:ascii="Times New Roman" w:eastAsia="Times New Roman" w:hAnsi="Times New Roman" w:cs="Times New Roman"/>
          <w:color w:val="000000"/>
          <w:sz w:val="24"/>
          <w:szCs w:val="24"/>
          <w:lang/>
        </w:rPr>
        <w:t>1.1. Платниками збору є суб’єкти господарювання та їх відокремлені підрозділи, у тому числі уповноважені особи договорів простого товариства, які:</w:t>
      </w:r>
    </w:p>
    <w:p w14:paraId="241306C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0" w:name="n12209"/>
      <w:bookmarkEnd w:id="10850"/>
      <w:r w:rsidRPr="008B264B">
        <w:rPr>
          <w:rFonts w:ascii="Times New Roman" w:eastAsia="Times New Roman" w:hAnsi="Times New Roman" w:cs="Times New Roman"/>
          <w:color w:val="000000"/>
          <w:sz w:val="24"/>
          <w:szCs w:val="24"/>
          <w:lang/>
        </w:rPr>
        <w:t>а) провадять діяльність з постачання природного газу споживачам на підставі укладених з ними договорів;</w:t>
      </w:r>
    </w:p>
    <w:p w14:paraId="08F7F45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1" w:name="n12210"/>
      <w:bookmarkEnd w:id="10851"/>
      <w:r w:rsidRPr="008B264B">
        <w:rPr>
          <w:rFonts w:ascii="Times New Roman" w:eastAsia="Times New Roman" w:hAnsi="Times New Roman" w:cs="Times New Roman"/>
          <w:color w:val="000000"/>
          <w:sz w:val="24"/>
          <w:szCs w:val="24"/>
          <w:lang/>
        </w:rPr>
        <w:t>б) споживають імпортований ними природний газ як паливо або сировину;</w:t>
      </w:r>
    </w:p>
    <w:p w14:paraId="2B662E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2" w:name="n12211"/>
      <w:bookmarkEnd w:id="10852"/>
      <w:r w:rsidRPr="008B264B">
        <w:rPr>
          <w:rFonts w:ascii="Times New Roman" w:eastAsia="Times New Roman" w:hAnsi="Times New Roman" w:cs="Times New Roman"/>
          <w:color w:val="000000"/>
          <w:sz w:val="24"/>
          <w:szCs w:val="24"/>
          <w:lang/>
        </w:rPr>
        <w:t>в) споживають видобутий ними природний газ як паливо або сировину.</w:t>
      </w:r>
    </w:p>
    <w:p w14:paraId="0A1CB14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3" w:name="n12212"/>
      <w:bookmarkEnd w:id="10853"/>
      <w:r w:rsidRPr="008B264B">
        <w:rPr>
          <w:rFonts w:ascii="Times New Roman" w:eastAsia="Times New Roman" w:hAnsi="Times New Roman" w:cs="Times New Roman"/>
          <w:color w:val="000000"/>
          <w:sz w:val="24"/>
          <w:szCs w:val="24"/>
          <w:lang/>
        </w:rPr>
        <w:t>1.2. Об’єктом оподаткування збором є вартість природного газу в обсязі:</w:t>
      </w:r>
    </w:p>
    <w:p w14:paraId="09CAB53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4" w:name="n12213"/>
      <w:bookmarkEnd w:id="10854"/>
      <w:r w:rsidRPr="008B264B">
        <w:rPr>
          <w:rFonts w:ascii="Times New Roman" w:eastAsia="Times New Roman" w:hAnsi="Times New Roman" w:cs="Times New Roman"/>
          <w:color w:val="000000"/>
          <w:sz w:val="24"/>
          <w:szCs w:val="24"/>
          <w:lang/>
        </w:rPr>
        <w:t>а) відпущеному кожній категорії споживачів у звітному періоді, яка визначається на підставі актів приймання-передачі газу, підписаних платником та відповідним споживачем (для побутових споживачів - на підставі облікових документів), для платників, що визначені у підпункті "а" підпункту 1.1 цього пункту;</w:t>
      </w:r>
    </w:p>
    <w:p w14:paraId="4097859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5" w:name="n12638"/>
      <w:bookmarkEnd w:id="10855"/>
      <w:r w:rsidRPr="008B264B">
        <w:rPr>
          <w:rFonts w:ascii="Times New Roman" w:eastAsia="Times New Roman" w:hAnsi="Times New Roman" w:cs="Times New Roman"/>
          <w:i/>
          <w:iCs/>
          <w:color w:val="000000"/>
          <w:sz w:val="24"/>
          <w:szCs w:val="24"/>
          <w:lang/>
        </w:rPr>
        <w:t>{Підпункт "а" підпункту 1.2 пункту 29 підрозділу 10 розділу XX із змінами, внесеними згідно із Законом </w:t>
      </w:r>
      <w:hyperlink r:id="rId6199" w:anchor="n29"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0FED57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6" w:name="n12214"/>
      <w:bookmarkEnd w:id="10856"/>
      <w:r w:rsidRPr="008B264B">
        <w:rPr>
          <w:rFonts w:ascii="Times New Roman" w:eastAsia="Times New Roman" w:hAnsi="Times New Roman" w:cs="Times New Roman"/>
          <w:color w:val="000000"/>
          <w:sz w:val="24"/>
          <w:szCs w:val="24"/>
          <w:lang/>
        </w:rPr>
        <w:t>б) імпортованому у звітному періоді платником, що визначений у підпункті "б" підпункту 1.1 цього пункту;</w:t>
      </w:r>
    </w:p>
    <w:p w14:paraId="1F4BAB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7" w:name="n12215"/>
      <w:bookmarkEnd w:id="10857"/>
      <w:r w:rsidRPr="008B264B">
        <w:rPr>
          <w:rFonts w:ascii="Times New Roman" w:eastAsia="Times New Roman" w:hAnsi="Times New Roman" w:cs="Times New Roman"/>
          <w:color w:val="000000"/>
          <w:sz w:val="24"/>
          <w:szCs w:val="24"/>
          <w:lang/>
        </w:rPr>
        <w:t xml:space="preserve">в) видобутому та спожитому як паливо або сировина нафтогазовидобувним підприємством або його підрозділами, що визначені платниками у підпункті "в" підпункту 1.1 цього пункту, за виключенням обсягу природного газу, визнаного рециркулюючим відповідно до розділу I, який визначається платником за показниками вимірювальних пристроїв, що зазначені у журналі </w:t>
      </w:r>
      <w:r w:rsidRPr="008B264B">
        <w:rPr>
          <w:rFonts w:ascii="Times New Roman" w:eastAsia="Times New Roman" w:hAnsi="Times New Roman" w:cs="Times New Roman"/>
          <w:color w:val="000000"/>
          <w:sz w:val="24"/>
          <w:szCs w:val="24"/>
          <w:lang/>
        </w:rPr>
        <w:lastRenderedPageBreak/>
        <w:t>обліку видобутих корисних копалин із дотриманням самостійно затверджених платником відповідно до вимог ліцензійних умов схем руху видобутої вуглеводневої сировини на виробничих дільницях та місцях зберігання з урахуванням складу вихідної сировини, умов конкретного виробництва, особливостей технологічного процесу.</w:t>
      </w:r>
    </w:p>
    <w:p w14:paraId="3503FB4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8" w:name="n12216"/>
      <w:bookmarkEnd w:id="10858"/>
      <w:r w:rsidRPr="008B264B">
        <w:rPr>
          <w:rFonts w:ascii="Times New Roman" w:eastAsia="Times New Roman" w:hAnsi="Times New Roman" w:cs="Times New Roman"/>
          <w:color w:val="000000"/>
          <w:sz w:val="24"/>
          <w:szCs w:val="24"/>
          <w:lang/>
        </w:rPr>
        <w:t>1.3.1. Збір справляється у розмірі 2 відсотків на обсяги природного газу, що постачаються для таких категорій споживачів:</w:t>
      </w:r>
    </w:p>
    <w:p w14:paraId="74CBD1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59" w:name="n12217"/>
      <w:bookmarkEnd w:id="10859"/>
      <w:r w:rsidRPr="008B264B">
        <w:rPr>
          <w:rFonts w:ascii="Times New Roman" w:eastAsia="Times New Roman" w:hAnsi="Times New Roman" w:cs="Times New Roman"/>
          <w:color w:val="000000"/>
          <w:sz w:val="24"/>
          <w:szCs w:val="24"/>
          <w:lang/>
        </w:rPr>
        <w:t>а) підприємства комунальної теплоенергетики, теплові електростанції, електроцентралі та котельні суб’єктів господарювання, зокрема блочні (модульні) котельні (в обсязі, що використовується для надання населенню послуг з опалення та гарячого водопостачання, за умови ведення такими суб’єктами окремого приладового та бухгалтерського обліку тепла і гарячої води);</w:t>
      </w:r>
    </w:p>
    <w:p w14:paraId="4A1F95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0" w:name="n12218"/>
      <w:bookmarkEnd w:id="10860"/>
      <w:r w:rsidRPr="008B264B">
        <w:rPr>
          <w:rFonts w:ascii="Times New Roman" w:eastAsia="Times New Roman" w:hAnsi="Times New Roman" w:cs="Times New Roman"/>
          <w:color w:val="000000"/>
          <w:sz w:val="24"/>
          <w:szCs w:val="24"/>
          <w:lang/>
        </w:rPr>
        <w:t>б) бюджетні установи;</w:t>
      </w:r>
    </w:p>
    <w:p w14:paraId="38BDB8E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1" w:name="n12219"/>
      <w:bookmarkEnd w:id="10861"/>
      <w:r w:rsidRPr="008B264B">
        <w:rPr>
          <w:rFonts w:ascii="Times New Roman" w:eastAsia="Times New Roman" w:hAnsi="Times New Roman" w:cs="Times New Roman"/>
          <w:color w:val="000000"/>
          <w:sz w:val="24"/>
          <w:szCs w:val="24"/>
          <w:lang/>
        </w:rPr>
        <w:t>в) промислові та інші суб’єкти господарювання та їх відокремлені підрозділи, що використовують природний газ;</w:t>
      </w:r>
    </w:p>
    <w:p w14:paraId="616C6D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2" w:name="n12220"/>
      <w:bookmarkEnd w:id="10862"/>
      <w:r w:rsidRPr="008B264B">
        <w:rPr>
          <w:rFonts w:ascii="Times New Roman" w:eastAsia="Times New Roman" w:hAnsi="Times New Roman" w:cs="Times New Roman"/>
          <w:color w:val="000000"/>
          <w:sz w:val="24"/>
          <w:szCs w:val="24"/>
          <w:lang/>
        </w:rPr>
        <w:t>г) суб’єкти господарювання, що визначені у підпункті "б" підпункту 1.1 цього пункту;</w:t>
      </w:r>
    </w:p>
    <w:p w14:paraId="17AA4A4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3" w:name="n12221"/>
      <w:bookmarkEnd w:id="10863"/>
      <w:r w:rsidRPr="008B264B">
        <w:rPr>
          <w:rFonts w:ascii="Times New Roman" w:eastAsia="Times New Roman" w:hAnsi="Times New Roman" w:cs="Times New Roman"/>
          <w:color w:val="000000"/>
          <w:sz w:val="24"/>
          <w:szCs w:val="24"/>
          <w:lang/>
        </w:rPr>
        <w:t>ґ) суб’єкти господарювання, у тому числі уповноважені особи простих товариств, що визначені у підпункті "в" підпункту 1.1 цього пункту.</w:t>
      </w:r>
    </w:p>
    <w:p w14:paraId="7AF0C3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4" w:name="n12222"/>
      <w:bookmarkEnd w:id="10864"/>
      <w:r w:rsidRPr="008B264B">
        <w:rPr>
          <w:rFonts w:ascii="Times New Roman" w:eastAsia="Times New Roman" w:hAnsi="Times New Roman" w:cs="Times New Roman"/>
          <w:color w:val="000000"/>
          <w:sz w:val="24"/>
          <w:szCs w:val="24"/>
          <w:lang/>
        </w:rPr>
        <w:t>1.3.2. На обсяги природного газу, що постачається для побутових споживачів, збір справляється у розмірі 4 відсотків.</w:t>
      </w:r>
    </w:p>
    <w:p w14:paraId="01894F2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5" w:name="n12639"/>
      <w:bookmarkEnd w:id="10865"/>
      <w:r w:rsidRPr="008B264B">
        <w:rPr>
          <w:rFonts w:ascii="Times New Roman" w:eastAsia="Times New Roman" w:hAnsi="Times New Roman" w:cs="Times New Roman"/>
          <w:i/>
          <w:iCs/>
          <w:color w:val="000000"/>
          <w:sz w:val="24"/>
          <w:szCs w:val="24"/>
          <w:lang/>
        </w:rPr>
        <w:t>{Підпункт 1.3.2 підпункту 1.3 пункту 29 підрозділу 10 розділу XX із змінами, внесеними згідно із Законом </w:t>
      </w:r>
      <w:hyperlink r:id="rId6200" w:anchor="n30"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0BAD9D6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6" w:name="n12223"/>
      <w:bookmarkEnd w:id="10866"/>
      <w:r w:rsidRPr="008B264B">
        <w:rPr>
          <w:rFonts w:ascii="Times New Roman" w:eastAsia="Times New Roman" w:hAnsi="Times New Roman" w:cs="Times New Roman"/>
          <w:color w:val="000000"/>
          <w:sz w:val="24"/>
          <w:szCs w:val="24"/>
          <w:lang/>
        </w:rPr>
        <w:t>1.4. Споживачами є такі категорії: побутові споживачі, бюджетні установи, підприємства комунальної теплоенергетики, теплові електростанції, електроцентралі та котельні суб’єктів господарювання, в тому числі блочні (модульні) котельні, інші суб’єкти господарювання та їх відокремлені підрозділи, які використовують природний газ для виробництва товарів та надання послуг, на інші власні потреби.</w:t>
      </w:r>
    </w:p>
    <w:p w14:paraId="1E7C27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7" w:name="n12640"/>
      <w:bookmarkEnd w:id="10867"/>
      <w:r w:rsidRPr="008B264B">
        <w:rPr>
          <w:rFonts w:ascii="Times New Roman" w:eastAsia="Times New Roman" w:hAnsi="Times New Roman" w:cs="Times New Roman"/>
          <w:i/>
          <w:iCs/>
          <w:color w:val="000000"/>
          <w:sz w:val="24"/>
          <w:szCs w:val="24"/>
          <w:lang/>
        </w:rPr>
        <w:t>{Підпункт 1.4 пункту 29 підрозділу 10 розділу XX із змінами, внесеними згідно із Законом </w:t>
      </w:r>
      <w:hyperlink r:id="rId6201" w:anchor="n30"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1C14743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8" w:name="n12224"/>
      <w:bookmarkEnd w:id="10868"/>
      <w:r w:rsidRPr="008B264B">
        <w:rPr>
          <w:rFonts w:ascii="Times New Roman" w:eastAsia="Times New Roman" w:hAnsi="Times New Roman" w:cs="Times New Roman"/>
          <w:color w:val="000000"/>
          <w:sz w:val="24"/>
          <w:szCs w:val="24"/>
          <w:lang/>
        </w:rPr>
        <w:t>1.5. Під діючою ціною на природний газ слід розуміти:</w:t>
      </w:r>
    </w:p>
    <w:p w14:paraId="57BB64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69" w:name="n12641"/>
      <w:bookmarkEnd w:id="10869"/>
      <w:r w:rsidRPr="008B264B">
        <w:rPr>
          <w:rFonts w:ascii="Times New Roman" w:eastAsia="Times New Roman" w:hAnsi="Times New Roman" w:cs="Times New Roman"/>
          <w:i/>
          <w:iCs/>
          <w:color w:val="000000"/>
          <w:sz w:val="24"/>
          <w:szCs w:val="24"/>
          <w:lang/>
        </w:rPr>
        <w:t>{Абзац перший підпункту 1.5 пункту 29 підрозділу 10 розділу XX із змінами, внесеними згідно із Законом </w:t>
      </w:r>
      <w:hyperlink r:id="rId6202" w:anchor="n32"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4B0FE2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0" w:name="n12225"/>
      <w:bookmarkEnd w:id="10870"/>
      <w:r w:rsidRPr="008B264B">
        <w:rPr>
          <w:rFonts w:ascii="Times New Roman" w:eastAsia="Times New Roman" w:hAnsi="Times New Roman" w:cs="Times New Roman"/>
          <w:color w:val="000000"/>
          <w:sz w:val="24"/>
          <w:szCs w:val="24"/>
          <w:lang/>
        </w:rPr>
        <w:t>а) договірну ціну природного газу як товару (без урахування тарифів на його транспортування і розподіл, торгової націнки постачальника природного газу в межах максимальної торгової націнки, що визначається Кабінетом Міністрів України відповідно до </w:t>
      </w:r>
      <w:hyperlink r:id="rId6203" w:anchor="n267" w:tgtFrame="_blank" w:history="1">
        <w:r w:rsidRPr="008B264B">
          <w:rPr>
            <w:rFonts w:ascii="Times New Roman" w:eastAsia="Times New Roman" w:hAnsi="Times New Roman" w:cs="Times New Roman"/>
            <w:color w:val="0000FF"/>
            <w:sz w:val="24"/>
            <w:szCs w:val="24"/>
            <w:u w:val="single"/>
            <w:lang/>
          </w:rPr>
          <w:t>статті 11</w:t>
        </w:r>
      </w:hyperlink>
      <w:r w:rsidRPr="008B264B">
        <w:rPr>
          <w:rFonts w:ascii="Times New Roman" w:eastAsia="Times New Roman" w:hAnsi="Times New Roman" w:cs="Times New Roman"/>
          <w:color w:val="000000"/>
          <w:sz w:val="24"/>
          <w:szCs w:val="24"/>
          <w:lang/>
        </w:rPr>
        <w:t> Закону України "Про ринок природного газу", та суми податку на додану вартість) для платників, визначених у підпункті "а" підпункту 1.1 цього пункту;</w:t>
      </w:r>
    </w:p>
    <w:p w14:paraId="3B72C8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1" w:name="n12642"/>
      <w:bookmarkEnd w:id="10871"/>
      <w:r w:rsidRPr="008B264B">
        <w:rPr>
          <w:rFonts w:ascii="Times New Roman" w:eastAsia="Times New Roman" w:hAnsi="Times New Roman" w:cs="Times New Roman"/>
          <w:i/>
          <w:iCs/>
          <w:color w:val="000000"/>
          <w:sz w:val="24"/>
          <w:szCs w:val="24"/>
          <w:lang/>
        </w:rPr>
        <w:t>{Підпункт "а" підпункту 1.5 пункту 29 підрозділу 10 розділу XX в редакції Закону </w:t>
      </w:r>
      <w:hyperlink r:id="rId6204" w:anchor="n33" w:tgtFrame="_blank" w:history="1">
        <w:r w:rsidRPr="008B264B">
          <w:rPr>
            <w:rFonts w:ascii="Times New Roman" w:eastAsia="Times New Roman" w:hAnsi="Times New Roman" w:cs="Times New Roman"/>
            <w:i/>
            <w:iCs/>
            <w:color w:val="0000FF"/>
            <w:sz w:val="24"/>
            <w:szCs w:val="24"/>
            <w:u w:val="single"/>
            <w:lang/>
          </w:rPr>
          <w:t>№ 812-VIII від 24.11.2015</w:t>
        </w:r>
      </w:hyperlink>
      <w:r w:rsidRPr="008B264B">
        <w:rPr>
          <w:rFonts w:ascii="Times New Roman" w:eastAsia="Times New Roman" w:hAnsi="Times New Roman" w:cs="Times New Roman"/>
          <w:i/>
          <w:iCs/>
          <w:color w:val="000000"/>
          <w:sz w:val="24"/>
          <w:szCs w:val="24"/>
          <w:lang/>
        </w:rPr>
        <w:t>}</w:t>
      </w:r>
    </w:p>
    <w:p w14:paraId="3D797D0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2" w:name="n12226"/>
      <w:bookmarkEnd w:id="10872"/>
      <w:r w:rsidRPr="008B264B">
        <w:rPr>
          <w:rFonts w:ascii="Times New Roman" w:eastAsia="Times New Roman" w:hAnsi="Times New Roman" w:cs="Times New Roman"/>
          <w:color w:val="000000"/>
          <w:sz w:val="24"/>
          <w:szCs w:val="24"/>
          <w:lang/>
        </w:rPr>
        <w:t>б) митну вартість оформлення природного газу для платників, що визначені у підпункті "б" підпункту 1.1 цього пункту;</w:t>
      </w:r>
    </w:p>
    <w:p w14:paraId="78BEEC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3" w:name="n12227"/>
      <w:bookmarkEnd w:id="10873"/>
      <w:r w:rsidRPr="008B264B">
        <w:rPr>
          <w:rFonts w:ascii="Times New Roman" w:eastAsia="Times New Roman" w:hAnsi="Times New Roman" w:cs="Times New Roman"/>
          <w:color w:val="000000"/>
          <w:sz w:val="24"/>
          <w:szCs w:val="24"/>
          <w:lang/>
        </w:rPr>
        <w:t xml:space="preserve">в) середню митну вартість імпортованого природного газу для платників, що визначені у підпункті "в" підпункту 1.1 цього пункту. Середня митна вартість імпортного природного газу, що склалася у процесі його митного оформлення під час ввезення на територію України за податковий (звітний) період, обчислюється центральним органом виконавчої влади, що реалізує державну податкову і митну політику, та передається ним до 5 числа місяця, наступного за податковим (звітним) періодом, центральному органу виконавчої влади, що реалізує державну </w:t>
      </w:r>
      <w:r w:rsidRPr="008B264B">
        <w:rPr>
          <w:rFonts w:ascii="Times New Roman" w:eastAsia="Times New Roman" w:hAnsi="Times New Roman" w:cs="Times New Roman"/>
          <w:color w:val="000000"/>
          <w:sz w:val="24"/>
          <w:szCs w:val="24"/>
          <w:lang/>
        </w:rPr>
        <w:lastRenderedPageBreak/>
        <w:t>політику економічного розвитку, який до 10 числа місяця, наступного за податковим (звітним) періодом, розміщує на своєму офіційному веб-сайті у спеціальному розділі.</w:t>
      </w:r>
    </w:p>
    <w:p w14:paraId="4F8405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4" w:name="n12228"/>
      <w:bookmarkEnd w:id="10874"/>
      <w:r w:rsidRPr="008B264B">
        <w:rPr>
          <w:rFonts w:ascii="Times New Roman" w:eastAsia="Times New Roman" w:hAnsi="Times New Roman" w:cs="Times New Roman"/>
          <w:color w:val="000000"/>
          <w:sz w:val="24"/>
          <w:szCs w:val="24"/>
          <w:lang/>
        </w:rPr>
        <w:t>1.6. Базовий податковий (звітний) період для збору дорівнює календарному місяцю.</w:t>
      </w:r>
    </w:p>
    <w:p w14:paraId="16C39F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5" w:name="n12229"/>
      <w:bookmarkEnd w:id="10875"/>
      <w:r w:rsidRPr="008B264B">
        <w:rPr>
          <w:rFonts w:ascii="Times New Roman" w:eastAsia="Times New Roman" w:hAnsi="Times New Roman" w:cs="Times New Roman"/>
          <w:color w:val="000000"/>
          <w:sz w:val="24"/>
          <w:szCs w:val="24"/>
          <w:lang/>
        </w:rPr>
        <w:t>1.7. Податкові декларації збору подаються платниками збору контролюючим органам у строки, визначені для місячного податкового (звітного) періоду, за місцем податкової реєстрації.</w:t>
      </w:r>
    </w:p>
    <w:bookmarkStart w:id="10876" w:name="n12230"/>
    <w:bookmarkEnd w:id="10876"/>
    <w:p w14:paraId="69CF31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r w:rsidRPr="008B264B">
        <w:rPr>
          <w:rFonts w:ascii="Times New Roman" w:eastAsia="Times New Roman" w:hAnsi="Times New Roman" w:cs="Times New Roman"/>
          <w:color w:val="000000"/>
          <w:sz w:val="24"/>
          <w:szCs w:val="24"/>
          <w:lang/>
        </w:rPr>
        <w:fldChar w:fldCharType="begin"/>
      </w:r>
      <w:r w:rsidRPr="008B264B">
        <w:rPr>
          <w:rFonts w:ascii="Times New Roman" w:eastAsia="Times New Roman" w:hAnsi="Times New Roman" w:cs="Times New Roman"/>
          <w:color w:val="000000"/>
          <w:sz w:val="24"/>
          <w:szCs w:val="24"/>
          <w:lang/>
        </w:rPr>
        <w:instrText xml:space="preserve"> HYPERLINK "https://zakon.rada.gov.ua/laws/show/z0947-15" \l "n15" \t "_blank" </w:instrText>
      </w:r>
      <w:r w:rsidRPr="008B264B">
        <w:rPr>
          <w:rFonts w:ascii="Times New Roman" w:eastAsia="Times New Roman" w:hAnsi="Times New Roman" w:cs="Times New Roman"/>
          <w:color w:val="000000"/>
          <w:sz w:val="24"/>
          <w:szCs w:val="24"/>
          <w:lang/>
        </w:rPr>
        <w:fldChar w:fldCharType="separate"/>
      </w:r>
      <w:r w:rsidRPr="008B264B">
        <w:rPr>
          <w:rFonts w:ascii="Times New Roman" w:eastAsia="Times New Roman" w:hAnsi="Times New Roman" w:cs="Times New Roman"/>
          <w:color w:val="0000FF"/>
          <w:sz w:val="24"/>
          <w:szCs w:val="24"/>
          <w:u w:val="single"/>
          <w:lang/>
        </w:rPr>
        <w:t>Форма податкової декларації</w:t>
      </w:r>
      <w:r w:rsidRPr="008B264B">
        <w:rPr>
          <w:rFonts w:ascii="Times New Roman" w:eastAsia="Times New Roman" w:hAnsi="Times New Roman" w:cs="Times New Roman"/>
          <w:color w:val="000000"/>
          <w:sz w:val="24"/>
          <w:szCs w:val="24"/>
          <w:lang/>
        </w:rPr>
        <w:fldChar w:fldCharType="end"/>
      </w:r>
      <w:r w:rsidRPr="008B264B">
        <w:rPr>
          <w:rFonts w:ascii="Times New Roman" w:eastAsia="Times New Roman" w:hAnsi="Times New Roman" w:cs="Times New Roman"/>
          <w:color w:val="000000"/>
          <w:sz w:val="24"/>
          <w:szCs w:val="24"/>
          <w:lang/>
        </w:rPr>
        <w:t> встановлюється у порядку, передбаченому </w:t>
      </w:r>
      <w:hyperlink r:id="rId6205" w:anchor="n1144" w:history="1">
        <w:r w:rsidRPr="008B264B">
          <w:rPr>
            <w:rFonts w:ascii="Times New Roman" w:eastAsia="Times New Roman" w:hAnsi="Times New Roman" w:cs="Times New Roman"/>
            <w:color w:val="0000FF"/>
            <w:sz w:val="24"/>
            <w:szCs w:val="24"/>
            <w:u w:val="single"/>
            <w:lang/>
          </w:rPr>
          <w:t>статтею 46</w:t>
        </w:r>
      </w:hyperlink>
      <w:r w:rsidRPr="008B264B">
        <w:rPr>
          <w:rFonts w:ascii="Times New Roman" w:eastAsia="Times New Roman" w:hAnsi="Times New Roman" w:cs="Times New Roman"/>
          <w:color w:val="000000"/>
          <w:sz w:val="24"/>
          <w:szCs w:val="24"/>
          <w:lang/>
        </w:rPr>
        <w:t> цього Кодексу.</w:t>
      </w:r>
    </w:p>
    <w:p w14:paraId="4CAE22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7" w:name="n12231"/>
      <w:bookmarkEnd w:id="10877"/>
      <w:r w:rsidRPr="008B264B">
        <w:rPr>
          <w:rFonts w:ascii="Times New Roman" w:eastAsia="Times New Roman" w:hAnsi="Times New Roman" w:cs="Times New Roman"/>
          <w:color w:val="000000"/>
          <w:sz w:val="24"/>
          <w:szCs w:val="24"/>
          <w:lang/>
        </w:rPr>
        <w:t>Збір сплачується платниками збору у строки, визначені для місячного податкового (звітного) періоду, за місцем податкової реєстрації.</w:t>
      </w:r>
    </w:p>
    <w:p w14:paraId="4F69C9B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8" w:name="n12232"/>
      <w:bookmarkEnd w:id="10878"/>
      <w:r w:rsidRPr="008B264B">
        <w:rPr>
          <w:rFonts w:ascii="Times New Roman" w:eastAsia="Times New Roman" w:hAnsi="Times New Roman" w:cs="Times New Roman"/>
          <w:color w:val="000000"/>
          <w:sz w:val="24"/>
          <w:szCs w:val="24"/>
          <w:lang/>
        </w:rPr>
        <w:t>1.8. Платники, що визначені у підпункті "б" підпункту 1.1 цього пункту, сплачують збір до або в день подання митної декларації.</w:t>
      </w:r>
    </w:p>
    <w:p w14:paraId="286D441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79" w:name="n12243"/>
      <w:bookmarkEnd w:id="10879"/>
      <w:r w:rsidRPr="008B264B">
        <w:rPr>
          <w:rFonts w:ascii="Times New Roman" w:eastAsia="Times New Roman" w:hAnsi="Times New Roman" w:cs="Times New Roman"/>
          <w:i/>
          <w:iCs/>
          <w:color w:val="000000"/>
          <w:sz w:val="24"/>
          <w:szCs w:val="24"/>
          <w:lang/>
        </w:rPr>
        <w:t>{Підрозділ 10 розділу XX доповнено пунктом 29 згідно із Законом </w:t>
      </w:r>
      <w:hyperlink r:id="rId6206"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02D9AD1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0" w:name="n12233"/>
      <w:bookmarkEnd w:id="10880"/>
      <w:r w:rsidRPr="008B264B">
        <w:rPr>
          <w:rFonts w:ascii="Times New Roman" w:eastAsia="Times New Roman" w:hAnsi="Times New Roman" w:cs="Times New Roman"/>
          <w:color w:val="000000"/>
          <w:sz w:val="24"/>
          <w:szCs w:val="24"/>
          <w:lang/>
        </w:rPr>
        <w:t>30. Установити, що тимчасово, протягом дії ратифікованих Верховною Радою України міжнародних договорів (угод) України з питань космічної діяльності щодо створення космічної техніки (включаючи агрегати, системи та їх комплектуючі для космічних комплексів, космічних ракет-носіїв, космічних апаратів та наземних сегментів космічних систем), але не пізніше 1 січня 2018 року, резиденти - суб’єкти космічної діяльності, які отримали ліцензію на право її здійснення та беруть участь у реалізації таких договорів (угод), звільняються від сплати податку на майно, відмінне від земельної ділянки згідно з </w:t>
      </w:r>
      <w:hyperlink r:id="rId6207" w:anchor="n9" w:tgtFrame="_blank" w:history="1">
        <w:r w:rsidRPr="008B264B">
          <w:rPr>
            <w:rFonts w:ascii="Times New Roman" w:eastAsia="Times New Roman" w:hAnsi="Times New Roman" w:cs="Times New Roman"/>
            <w:color w:val="0000FF"/>
            <w:sz w:val="24"/>
            <w:szCs w:val="24"/>
            <w:u w:val="single"/>
            <w:lang/>
          </w:rPr>
          <w:t>переліком</w:t>
        </w:r>
      </w:hyperlink>
      <w:r w:rsidRPr="008B264B">
        <w:rPr>
          <w:rFonts w:ascii="Times New Roman" w:eastAsia="Times New Roman" w:hAnsi="Times New Roman" w:cs="Times New Roman"/>
          <w:color w:val="000000"/>
          <w:sz w:val="24"/>
          <w:szCs w:val="24"/>
          <w:lang/>
        </w:rPr>
        <w:t>, який затверджується Кабінетом Міністрів України.</w:t>
      </w:r>
    </w:p>
    <w:p w14:paraId="73D27F4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1" w:name="n12242"/>
      <w:bookmarkEnd w:id="10881"/>
      <w:r w:rsidRPr="008B264B">
        <w:rPr>
          <w:rFonts w:ascii="Times New Roman" w:eastAsia="Times New Roman" w:hAnsi="Times New Roman" w:cs="Times New Roman"/>
          <w:i/>
          <w:iCs/>
          <w:color w:val="000000"/>
          <w:sz w:val="24"/>
          <w:szCs w:val="24"/>
          <w:lang/>
        </w:rPr>
        <w:t>{Підрозділ 10 розділу XX доповнено пунктом 30 згідно із Законом </w:t>
      </w:r>
      <w:hyperlink r:id="rId6208"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6D68E5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2" w:name="n12234"/>
      <w:bookmarkEnd w:id="10882"/>
      <w:r w:rsidRPr="008B264B">
        <w:rPr>
          <w:rFonts w:ascii="Times New Roman" w:eastAsia="Times New Roman" w:hAnsi="Times New Roman" w:cs="Times New Roman"/>
          <w:color w:val="000000"/>
          <w:sz w:val="24"/>
          <w:szCs w:val="24"/>
          <w:lang/>
        </w:rPr>
        <w:t>31. За наслідками діяльності у 2015 році штрафні (фінансові) санкції до платників податку на прибуток підприємств за порушення порядку обчислення, правильності заповнення податкових декларацій з податку на прибуток підприємств та повноти його сплати не застосовуються.</w:t>
      </w:r>
    </w:p>
    <w:p w14:paraId="6C34F2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3" w:name="n12241"/>
      <w:bookmarkEnd w:id="10883"/>
      <w:r w:rsidRPr="008B264B">
        <w:rPr>
          <w:rFonts w:ascii="Times New Roman" w:eastAsia="Times New Roman" w:hAnsi="Times New Roman" w:cs="Times New Roman"/>
          <w:i/>
          <w:iCs/>
          <w:color w:val="000000"/>
          <w:sz w:val="24"/>
          <w:szCs w:val="24"/>
          <w:lang/>
        </w:rPr>
        <w:t>{Підрозділ 10 розділу XX доповнено пунктом 31 згідно із Законом </w:t>
      </w:r>
      <w:hyperlink r:id="rId6209"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4652F18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4" w:name="n12235"/>
      <w:bookmarkEnd w:id="10884"/>
      <w:r w:rsidRPr="008B264B">
        <w:rPr>
          <w:rFonts w:ascii="Times New Roman" w:eastAsia="Times New Roman" w:hAnsi="Times New Roman" w:cs="Times New Roman"/>
          <w:color w:val="000000"/>
          <w:sz w:val="24"/>
          <w:szCs w:val="24"/>
          <w:lang/>
        </w:rPr>
        <w:t>32. Тимчасово, до 1 липня 2015 року, встановити, що у випадках, коли податковий борг виник у результаті несплати грошового зобов’язання, самостійно визначеного платником податків у податковій декларації або уточнюючому розрахунку, що подається контролюючому органу у встановлені цим Кодексом строки, стягнення коштів за рахунок готівки, що належить такому платнику податків та/або коштів з рахунків такого платника у банках, здійснюється за рішенням керівника контролюючого органу без звернення до суду за умови, якщо такий податковий борг перевищує 5 мільйонів гривень та відсутні зобов’язання держави щодо повернення такому платнику податків помилково та/або надміру сплачених ним грошових зобов’язань.</w:t>
      </w:r>
    </w:p>
    <w:p w14:paraId="77094A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5" w:name="n12236"/>
      <w:bookmarkEnd w:id="10885"/>
      <w:r w:rsidRPr="008B264B">
        <w:rPr>
          <w:rFonts w:ascii="Times New Roman" w:eastAsia="Times New Roman" w:hAnsi="Times New Roman" w:cs="Times New Roman"/>
          <w:color w:val="000000"/>
          <w:sz w:val="24"/>
          <w:szCs w:val="24"/>
          <w:lang/>
        </w:rPr>
        <w:t>У таких випадках:</w:t>
      </w:r>
    </w:p>
    <w:p w14:paraId="3A750A0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6" w:name="n12237"/>
      <w:bookmarkEnd w:id="10886"/>
      <w:r w:rsidRPr="008B264B">
        <w:rPr>
          <w:rFonts w:ascii="Times New Roman" w:eastAsia="Times New Roman" w:hAnsi="Times New Roman" w:cs="Times New Roman"/>
          <w:color w:val="000000"/>
          <w:sz w:val="24"/>
          <w:szCs w:val="24"/>
          <w:lang/>
        </w:rPr>
        <w:t>рішення про стягнення коштів з рахунків такого платника у банках є вимогою стягувача до боржника, що підлягає негайному та обов’язковому виконанню шляхом ініціювання переказу у платіжній системі за правилами відповідної платіжної системи;</w:t>
      </w:r>
    </w:p>
    <w:p w14:paraId="370F5BA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7" w:name="n12238"/>
      <w:bookmarkEnd w:id="10887"/>
      <w:r w:rsidRPr="008B264B">
        <w:rPr>
          <w:rFonts w:ascii="Times New Roman" w:eastAsia="Times New Roman" w:hAnsi="Times New Roman" w:cs="Times New Roman"/>
          <w:color w:val="000000"/>
          <w:sz w:val="24"/>
          <w:szCs w:val="24"/>
          <w:lang/>
        </w:rPr>
        <w:t>рішення про стягнення готівкових коштів вручається такому платнику податків і є підставою для стягнення. Стягнення готівкових коштів здійснюється у порядку, визначеному Кабінетом Міністрів України.</w:t>
      </w:r>
    </w:p>
    <w:p w14:paraId="633CFC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8" w:name="n12240"/>
      <w:bookmarkEnd w:id="10888"/>
      <w:r w:rsidRPr="008B264B">
        <w:rPr>
          <w:rFonts w:ascii="Times New Roman" w:eastAsia="Times New Roman" w:hAnsi="Times New Roman" w:cs="Times New Roman"/>
          <w:i/>
          <w:iCs/>
          <w:color w:val="000000"/>
          <w:sz w:val="24"/>
          <w:szCs w:val="24"/>
          <w:lang/>
        </w:rPr>
        <w:t>{Підрозділ 10 розділу XX доповнено пунктом 32 згідно із Законом </w:t>
      </w:r>
      <w:hyperlink r:id="rId6210"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35B26F7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89" w:name="n12239"/>
      <w:bookmarkEnd w:id="10889"/>
      <w:r w:rsidRPr="008B264B">
        <w:rPr>
          <w:rFonts w:ascii="Times New Roman" w:eastAsia="Times New Roman" w:hAnsi="Times New Roman" w:cs="Times New Roman"/>
          <w:color w:val="000000"/>
          <w:sz w:val="24"/>
          <w:szCs w:val="24"/>
          <w:lang/>
        </w:rPr>
        <w:t xml:space="preserve">33. Установити, що на 2015 рік ставки податку для об’єктів нежитлової нерухомості, що перебувають у власності фізичних та юридичних осіб, визначені пунктом 266.5.1. пункту 265.5 статті 265 цього Кодексу, не можуть перевищувати 1 відсоток мінімальної заробітної плати, </w:t>
      </w:r>
      <w:r w:rsidRPr="008B264B">
        <w:rPr>
          <w:rFonts w:ascii="Times New Roman" w:eastAsia="Times New Roman" w:hAnsi="Times New Roman" w:cs="Times New Roman"/>
          <w:color w:val="000000"/>
          <w:sz w:val="24"/>
          <w:szCs w:val="24"/>
          <w:lang/>
        </w:rPr>
        <w:lastRenderedPageBreak/>
        <w:t>встановленої законом на 1 січня звітного (податкового) року за 1 кв. метр для об’єктів нежитлової нерухомості.</w:t>
      </w:r>
    </w:p>
    <w:p w14:paraId="196BF1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0" w:name="n12204"/>
      <w:bookmarkEnd w:id="10890"/>
      <w:r w:rsidRPr="008B264B">
        <w:rPr>
          <w:rFonts w:ascii="Times New Roman" w:eastAsia="Times New Roman" w:hAnsi="Times New Roman" w:cs="Times New Roman"/>
          <w:i/>
          <w:iCs/>
          <w:color w:val="000000"/>
          <w:sz w:val="24"/>
          <w:szCs w:val="24"/>
          <w:lang/>
        </w:rPr>
        <w:t>{Підрозділ 10 розділу XX доповнено пунктом 33 згідно із Законом </w:t>
      </w:r>
      <w:hyperlink r:id="rId6211" w:anchor="n1809" w:tgtFrame="_blank" w:history="1">
        <w:r w:rsidRPr="008B264B">
          <w:rPr>
            <w:rFonts w:ascii="Times New Roman" w:eastAsia="Times New Roman" w:hAnsi="Times New Roman" w:cs="Times New Roman"/>
            <w:i/>
            <w:iCs/>
            <w:color w:val="0000FF"/>
            <w:sz w:val="24"/>
            <w:szCs w:val="24"/>
            <w:u w:val="single"/>
            <w:lang/>
          </w:rPr>
          <w:t>№ 71-VIII від 28.12.2014</w:t>
        </w:r>
      </w:hyperlink>
      <w:r w:rsidRPr="008B264B">
        <w:rPr>
          <w:rFonts w:ascii="Times New Roman" w:eastAsia="Times New Roman" w:hAnsi="Times New Roman" w:cs="Times New Roman"/>
          <w:i/>
          <w:iCs/>
          <w:color w:val="000000"/>
          <w:sz w:val="24"/>
          <w:szCs w:val="24"/>
          <w:lang/>
        </w:rPr>
        <w:t>}</w:t>
      </w:r>
    </w:p>
    <w:p w14:paraId="5D15814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1" w:name="n12524"/>
      <w:bookmarkEnd w:id="10891"/>
      <w:r w:rsidRPr="008B264B">
        <w:rPr>
          <w:rFonts w:ascii="Times New Roman" w:eastAsia="Times New Roman" w:hAnsi="Times New Roman" w:cs="Times New Roman"/>
          <w:color w:val="000000"/>
          <w:sz w:val="24"/>
          <w:szCs w:val="24"/>
          <w:lang/>
        </w:rPr>
        <w:t>34. Установити, що для контрольованих операцій з резидентами, здійснених до 1 січня 2015 року, пропорційне коригування здійснюється за правилами, що діяли до 1 січня 2015 року.</w:t>
      </w:r>
    </w:p>
    <w:p w14:paraId="1D0D33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2" w:name="n12523"/>
      <w:bookmarkEnd w:id="10892"/>
      <w:r w:rsidRPr="008B264B">
        <w:rPr>
          <w:rFonts w:ascii="Times New Roman" w:eastAsia="Times New Roman" w:hAnsi="Times New Roman" w:cs="Times New Roman"/>
          <w:i/>
          <w:iCs/>
          <w:color w:val="000000"/>
          <w:sz w:val="24"/>
          <w:szCs w:val="24"/>
          <w:lang/>
        </w:rPr>
        <w:t>{Підрозділ 10 розділу XX доповнено пунктом 34 згідно із Законом </w:t>
      </w:r>
      <w:hyperlink r:id="rId6212" w:anchor="n95" w:tgtFrame="_blank" w:history="1">
        <w:r w:rsidRPr="008B264B">
          <w:rPr>
            <w:rFonts w:ascii="Times New Roman" w:eastAsia="Times New Roman" w:hAnsi="Times New Roman" w:cs="Times New Roman"/>
            <w:i/>
            <w:iCs/>
            <w:color w:val="0000FF"/>
            <w:sz w:val="24"/>
            <w:szCs w:val="24"/>
            <w:u w:val="single"/>
            <w:lang/>
          </w:rPr>
          <w:t>№ 609-VIII від 15.07.2015</w:t>
        </w:r>
      </w:hyperlink>
      <w:r w:rsidRPr="008B264B">
        <w:rPr>
          <w:rFonts w:ascii="Times New Roman" w:eastAsia="Times New Roman" w:hAnsi="Times New Roman" w:cs="Times New Roman"/>
          <w:i/>
          <w:iCs/>
          <w:color w:val="000000"/>
          <w:sz w:val="24"/>
          <w:szCs w:val="24"/>
          <w:lang/>
        </w:rPr>
        <w:t>}</w:t>
      </w:r>
    </w:p>
    <w:p w14:paraId="1E8CAD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3" w:name="n12614"/>
      <w:bookmarkEnd w:id="10893"/>
      <w:r w:rsidRPr="008B264B">
        <w:rPr>
          <w:rFonts w:ascii="Times New Roman" w:eastAsia="Times New Roman" w:hAnsi="Times New Roman" w:cs="Times New Roman"/>
          <w:color w:val="000000"/>
          <w:sz w:val="24"/>
          <w:szCs w:val="24"/>
          <w:lang/>
        </w:rPr>
        <w:t>35. Тимчасово, до 31 грудня 2016 року включно, платникам податків, обсяг доходів та/або операцій яких за попередній (звітний) рік складав менше 20 млн гривень, штрафні (фінансові) санкції, нараховані на суму податкового зобов’язання, яку платник податків сплатив без оскарження податкового повідомлення-рішення в терміни, визначені цим Кодексом, скасовуються протягом 10 днів з дня сплати такого податкового зобов’язання у порядку, встановленому центральним органом виконавчої влади, що забезпечує формування та реалізує державну фінансову політику. Зазначена норма не застосовується у разі повторного протягом року визначення контролюючим органом суми податкового зобов’язання з одного й того самого податку або збору. При цьому у разі скасування штрафної санкції відповідне сплачене податкове зобов’язання не підлягає подальшому оскарженню.</w:t>
      </w:r>
    </w:p>
    <w:p w14:paraId="15E476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4" w:name="n12616"/>
      <w:bookmarkEnd w:id="10894"/>
      <w:r w:rsidRPr="008B264B">
        <w:rPr>
          <w:rFonts w:ascii="Times New Roman" w:eastAsia="Times New Roman" w:hAnsi="Times New Roman" w:cs="Times New Roman"/>
          <w:i/>
          <w:iCs/>
          <w:color w:val="000000"/>
          <w:sz w:val="24"/>
          <w:szCs w:val="24"/>
          <w:lang/>
        </w:rPr>
        <w:t>{Підрозділ 10 розділу XX доповнено пунктом 35 згідно із Законом </w:t>
      </w:r>
      <w:hyperlink r:id="rId6213" w:anchor="n66"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78A697E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5" w:name="n12615"/>
      <w:bookmarkEnd w:id="10895"/>
      <w:r w:rsidRPr="008B264B">
        <w:rPr>
          <w:rFonts w:ascii="Times New Roman" w:eastAsia="Times New Roman" w:hAnsi="Times New Roman" w:cs="Times New Roman"/>
          <w:color w:val="000000"/>
          <w:sz w:val="24"/>
          <w:szCs w:val="24"/>
          <w:lang/>
        </w:rPr>
        <w:t>36. У разі якщо судом за результатами розгляду кримінального провадження про кримінальне правопорушення, яке було розпочато до дня набрання чинності Законом України "Про внесення змін до Податкового кодексу України щодо зменшення податкового тиску на платників податків" і предметом якого є податки, збори, винесено обвинувальний вирок, що набрав законної сили, в якому встановлена несплата податкових зобов’язань або винесена ухвала про закриття кримінального провадження за нереабілітуючими підставами з цього питання, податкове повідомлення-рішення за результатами такої перевірки приймається контролюючим органом протягом 10 робочих днів з дня, наступного за днем отримання цим контролюючим органом відповідного судового рішення (обвинувальний вирок, ухвала про закриття кримінального провадження за нереабілітуючими підставами), що набрало законної сили.</w:t>
      </w:r>
    </w:p>
    <w:p w14:paraId="2A1F893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6" w:name="n12613"/>
      <w:bookmarkEnd w:id="10896"/>
      <w:r w:rsidRPr="008B264B">
        <w:rPr>
          <w:rFonts w:ascii="Times New Roman" w:eastAsia="Times New Roman" w:hAnsi="Times New Roman" w:cs="Times New Roman"/>
          <w:i/>
          <w:iCs/>
          <w:color w:val="000000"/>
          <w:sz w:val="24"/>
          <w:szCs w:val="24"/>
          <w:lang/>
        </w:rPr>
        <w:t>{Підрозділ 10 розділу XX доповнено пунктом 36 згідно із Законом </w:t>
      </w:r>
      <w:hyperlink r:id="rId6214" w:anchor="n66" w:tgtFrame="_blank" w:history="1">
        <w:r w:rsidRPr="008B264B">
          <w:rPr>
            <w:rFonts w:ascii="Times New Roman" w:eastAsia="Times New Roman" w:hAnsi="Times New Roman" w:cs="Times New Roman"/>
            <w:i/>
            <w:iCs/>
            <w:color w:val="0000FF"/>
            <w:sz w:val="24"/>
            <w:szCs w:val="24"/>
            <w:u w:val="single"/>
            <w:lang/>
          </w:rPr>
          <w:t>№ 655-VIII від 17.07.2015</w:t>
        </w:r>
      </w:hyperlink>
      <w:r w:rsidRPr="008B264B">
        <w:rPr>
          <w:rFonts w:ascii="Times New Roman" w:eastAsia="Times New Roman" w:hAnsi="Times New Roman" w:cs="Times New Roman"/>
          <w:i/>
          <w:iCs/>
          <w:color w:val="000000"/>
          <w:sz w:val="24"/>
          <w:szCs w:val="24"/>
          <w:lang/>
        </w:rPr>
        <w:t>}</w:t>
      </w:r>
    </w:p>
    <w:p w14:paraId="16DEB6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7" w:name="n13022"/>
      <w:bookmarkEnd w:id="10897"/>
      <w:r w:rsidRPr="008B264B">
        <w:rPr>
          <w:rFonts w:ascii="Times New Roman" w:eastAsia="Times New Roman" w:hAnsi="Times New Roman" w:cs="Times New Roman"/>
          <w:color w:val="000000"/>
          <w:sz w:val="24"/>
          <w:szCs w:val="24"/>
          <w:lang/>
        </w:rPr>
        <w:t>37. Виконання контролюючими органами плану реструктуризації, підписаного згідно із законом щодо фінансової реструктуризації (далі - план реструктуризації), або плану санації, затвердженого згідно із законодавством, що регулює відносини з питань відновлення платоспроможності боржника або визнання його банкрутом, з урахуванням особливостей, встановлених законом щодо фінансової реструктуризації (далі - план санації), у разі визнання їх залученими кредиторами відповідно до Закону України "Про фінансову реструктуризацію" здійснюється з урахуванням особливостей, встановлених цим пунктом.</w:t>
      </w:r>
    </w:p>
    <w:p w14:paraId="790C31F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8" w:name="n16076"/>
      <w:bookmarkEnd w:id="10898"/>
      <w:r w:rsidRPr="008B264B">
        <w:rPr>
          <w:rFonts w:ascii="Times New Roman" w:eastAsia="Times New Roman" w:hAnsi="Times New Roman" w:cs="Times New Roman"/>
          <w:i/>
          <w:iCs/>
          <w:color w:val="000000"/>
          <w:sz w:val="24"/>
          <w:szCs w:val="24"/>
          <w:lang/>
        </w:rPr>
        <w:t>{Абзац перший пункту 37 підрозділу 10 розділу XX із змінами, внесеними згідно із Законом </w:t>
      </w:r>
      <w:hyperlink r:id="rId6215" w:anchor="n24"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63E5353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899" w:name="n13023"/>
      <w:bookmarkEnd w:id="10899"/>
      <w:r w:rsidRPr="008B264B">
        <w:rPr>
          <w:rFonts w:ascii="Times New Roman" w:eastAsia="Times New Roman" w:hAnsi="Times New Roman" w:cs="Times New Roman"/>
          <w:color w:val="000000"/>
          <w:sz w:val="24"/>
          <w:szCs w:val="24"/>
          <w:lang/>
        </w:rPr>
        <w:t>Реструктуризація податкового боргу та грошових зобов’язань платника податків на умовах плану реструктуризації або плану санації здійснюється відповідно до цього пункту та не потребує укладення окремого договору про розстрочення (відстрочення) згідно із </w:t>
      </w:r>
      <w:hyperlink r:id="rId6216" w:anchor="n2246" w:history="1">
        <w:r w:rsidRPr="008B264B">
          <w:rPr>
            <w:rFonts w:ascii="Times New Roman" w:eastAsia="Times New Roman" w:hAnsi="Times New Roman" w:cs="Times New Roman"/>
            <w:color w:val="0000FF"/>
            <w:sz w:val="24"/>
            <w:szCs w:val="24"/>
            <w:u w:val="single"/>
            <w:lang/>
          </w:rPr>
          <w:t>статтею 100</w:t>
        </w:r>
      </w:hyperlink>
      <w:r w:rsidRPr="008B264B">
        <w:rPr>
          <w:rFonts w:ascii="Times New Roman" w:eastAsia="Times New Roman" w:hAnsi="Times New Roman" w:cs="Times New Roman"/>
          <w:color w:val="000000"/>
          <w:sz w:val="24"/>
          <w:szCs w:val="24"/>
          <w:lang/>
        </w:rPr>
        <w:t> цього Кодексу.</w:t>
      </w:r>
    </w:p>
    <w:p w14:paraId="6B37FF4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0" w:name="n13024"/>
      <w:bookmarkEnd w:id="10900"/>
      <w:r w:rsidRPr="008B264B">
        <w:rPr>
          <w:rFonts w:ascii="Times New Roman" w:eastAsia="Times New Roman" w:hAnsi="Times New Roman" w:cs="Times New Roman"/>
          <w:color w:val="000000"/>
          <w:sz w:val="24"/>
          <w:szCs w:val="24"/>
          <w:lang/>
        </w:rPr>
        <w:t>Реструктуризація податкового боргу та грошових зобов’язань платника податків згідно з цим пунктом здійснюється контролюючими органами шляхом анулювання (прощення), розстрочення (відстрочення) податкового боргу та грошових зобов’язань.</w:t>
      </w:r>
    </w:p>
    <w:p w14:paraId="5E4A629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1" w:name="n13025"/>
      <w:bookmarkEnd w:id="10901"/>
      <w:r w:rsidRPr="008B264B">
        <w:rPr>
          <w:rFonts w:ascii="Times New Roman" w:eastAsia="Times New Roman" w:hAnsi="Times New Roman" w:cs="Times New Roman"/>
          <w:color w:val="000000"/>
          <w:sz w:val="24"/>
          <w:szCs w:val="24"/>
          <w:lang/>
        </w:rPr>
        <w:t>Операції з реструктуризації заборгованості відповідно до плану реструктуризації або плану санації не визнаються контрольованими операціями відповідно до </w:t>
      </w:r>
      <w:hyperlink r:id="rId6217" w:anchor="n1031" w:history="1">
        <w:r w:rsidRPr="008B264B">
          <w:rPr>
            <w:rFonts w:ascii="Times New Roman" w:eastAsia="Times New Roman" w:hAnsi="Times New Roman" w:cs="Times New Roman"/>
            <w:color w:val="0000FF"/>
            <w:sz w:val="24"/>
            <w:szCs w:val="24"/>
            <w:u w:val="single"/>
            <w:lang/>
          </w:rPr>
          <w:t>статті 39</w:t>
        </w:r>
      </w:hyperlink>
      <w:r w:rsidRPr="008B264B">
        <w:rPr>
          <w:rFonts w:ascii="Times New Roman" w:eastAsia="Times New Roman" w:hAnsi="Times New Roman" w:cs="Times New Roman"/>
          <w:color w:val="000000"/>
          <w:sz w:val="24"/>
          <w:szCs w:val="24"/>
          <w:lang/>
        </w:rPr>
        <w:t> цього Кодексу та до них не застосовуються вимоги цього Кодексу, встановлені до контрольованих операцій.</w:t>
      </w:r>
    </w:p>
    <w:p w14:paraId="66B56CC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2" w:name="n13026"/>
      <w:bookmarkEnd w:id="10902"/>
      <w:r w:rsidRPr="008B264B">
        <w:rPr>
          <w:rFonts w:ascii="Times New Roman" w:eastAsia="Times New Roman" w:hAnsi="Times New Roman" w:cs="Times New Roman"/>
          <w:color w:val="000000"/>
          <w:sz w:val="24"/>
          <w:szCs w:val="24"/>
          <w:lang/>
        </w:rPr>
        <w:lastRenderedPageBreak/>
        <w:t>Контролюючі органи здійснюють списання, розстрочення (відстрочення) податкового боргу та грошових зобов’язань платника податку протягом 10 робочих днів з дня підписання плану реструктуризації або затвердження плану санації.</w:t>
      </w:r>
    </w:p>
    <w:p w14:paraId="591C2A3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3" w:name="n16077"/>
      <w:bookmarkEnd w:id="10903"/>
      <w:r w:rsidRPr="008B264B">
        <w:rPr>
          <w:rFonts w:ascii="Times New Roman" w:eastAsia="Times New Roman" w:hAnsi="Times New Roman" w:cs="Times New Roman"/>
          <w:i/>
          <w:iCs/>
          <w:color w:val="000000"/>
          <w:sz w:val="24"/>
          <w:szCs w:val="24"/>
          <w:lang/>
        </w:rPr>
        <w:t>{Абзац п'ятий пункту 37 підрозділу 10 розділу XX із змінами, внесеними згідно із Законом </w:t>
      </w:r>
      <w:hyperlink r:id="rId6218" w:anchor="n25"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288DA60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4" w:name="n13027"/>
      <w:bookmarkEnd w:id="10904"/>
      <w:r w:rsidRPr="008B264B">
        <w:rPr>
          <w:rFonts w:ascii="Times New Roman" w:eastAsia="Times New Roman" w:hAnsi="Times New Roman" w:cs="Times New Roman"/>
          <w:color w:val="000000"/>
          <w:sz w:val="24"/>
          <w:szCs w:val="24"/>
          <w:lang/>
        </w:rPr>
        <w:t>Контролюючі органи зобов’язані списати частину податкового боргу пропорційно до частини анульованих (прощених) кредиторами зобов’язань боржника відповідно до плану реструктуризації або плану санації. Розстрочення (відстрочення) або списання податкового боргу здійснюється на умовах плану реструктуризації або плану санації. Такі умови повинні бути не гіршими, ніж умови задоволення вимог інших кредиторів, визначені планом реструктуризації або планом санації. Загальний строк погашення розстроченого (відстроченого) податкового боргу не може перевищувати трьох років з дня підписання плану реструктуризації або затвердження плану санації.</w:t>
      </w:r>
    </w:p>
    <w:p w14:paraId="5D28218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5" w:name="n16078"/>
      <w:bookmarkEnd w:id="10905"/>
      <w:r w:rsidRPr="008B264B">
        <w:rPr>
          <w:rFonts w:ascii="Times New Roman" w:eastAsia="Times New Roman" w:hAnsi="Times New Roman" w:cs="Times New Roman"/>
          <w:i/>
          <w:iCs/>
          <w:color w:val="000000"/>
          <w:sz w:val="24"/>
          <w:szCs w:val="24"/>
          <w:lang/>
        </w:rPr>
        <w:t>{Абзац шостий пункту 37 підрозділу 10 розділу XX із змінами, внесеними згідно із Законом </w:t>
      </w:r>
      <w:hyperlink r:id="rId6219" w:anchor="n25"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679B2BF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6" w:name="n13028"/>
      <w:bookmarkEnd w:id="10906"/>
      <w:r w:rsidRPr="008B264B">
        <w:rPr>
          <w:rFonts w:ascii="Times New Roman" w:eastAsia="Times New Roman" w:hAnsi="Times New Roman" w:cs="Times New Roman"/>
          <w:color w:val="000000"/>
          <w:sz w:val="24"/>
          <w:szCs w:val="24"/>
          <w:lang/>
        </w:rPr>
        <w:t>Майно платника податку звільняється з податкової застави та від адміністративного арешту з дня підписання плану реструктуризації або затвердження плану санації.</w:t>
      </w:r>
    </w:p>
    <w:p w14:paraId="46F22FC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7" w:name="n16079"/>
      <w:bookmarkEnd w:id="10907"/>
      <w:r w:rsidRPr="008B264B">
        <w:rPr>
          <w:rFonts w:ascii="Times New Roman" w:eastAsia="Times New Roman" w:hAnsi="Times New Roman" w:cs="Times New Roman"/>
          <w:i/>
          <w:iCs/>
          <w:color w:val="000000"/>
          <w:sz w:val="24"/>
          <w:szCs w:val="24"/>
          <w:lang/>
        </w:rPr>
        <w:t>{Абзац сьомий пункту 37 підрозділу 10 розділу XX із змінами, внесеними згідно із Законом </w:t>
      </w:r>
      <w:hyperlink r:id="rId6220" w:anchor="n25" w:tgtFrame="_blank" w:history="1">
        <w:r w:rsidRPr="008B264B">
          <w:rPr>
            <w:rFonts w:ascii="Times New Roman" w:eastAsia="Times New Roman" w:hAnsi="Times New Roman" w:cs="Times New Roman"/>
            <w:i/>
            <w:iCs/>
            <w:color w:val="0000FF"/>
            <w:sz w:val="24"/>
            <w:szCs w:val="24"/>
            <w:u w:val="single"/>
            <w:lang/>
          </w:rPr>
          <w:t>№ 425-IX від 20.12.2019</w:t>
        </w:r>
      </w:hyperlink>
      <w:r w:rsidRPr="008B264B">
        <w:rPr>
          <w:rFonts w:ascii="Times New Roman" w:eastAsia="Times New Roman" w:hAnsi="Times New Roman" w:cs="Times New Roman"/>
          <w:i/>
          <w:iCs/>
          <w:color w:val="000000"/>
          <w:sz w:val="24"/>
          <w:szCs w:val="24"/>
          <w:lang/>
        </w:rPr>
        <w:t>}</w:t>
      </w:r>
    </w:p>
    <w:p w14:paraId="541F634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8" w:name="n13029"/>
      <w:bookmarkEnd w:id="10908"/>
      <w:r w:rsidRPr="008B264B">
        <w:rPr>
          <w:rFonts w:ascii="Times New Roman" w:eastAsia="Times New Roman" w:hAnsi="Times New Roman" w:cs="Times New Roman"/>
          <w:color w:val="000000"/>
          <w:sz w:val="24"/>
          <w:szCs w:val="24"/>
          <w:lang/>
        </w:rPr>
        <w:t>Погашення реструктуризованих податкових зобов’язань здійснюється платником податку на умовах плану реструктуризації або плану санації. У разі невиконання платником податку своїх обов’язків з погашення реструктуризованих податкових зобов’язань строк виконання податкових зобов’язань вважається таким, що настав.</w:t>
      </w:r>
    </w:p>
    <w:p w14:paraId="53302B9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09" w:name="n13030"/>
      <w:bookmarkEnd w:id="10909"/>
      <w:r w:rsidRPr="008B264B">
        <w:rPr>
          <w:rFonts w:ascii="Times New Roman" w:eastAsia="Times New Roman" w:hAnsi="Times New Roman" w:cs="Times New Roman"/>
          <w:color w:val="000000"/>
          <w:sz w:val="24"/>
          <w:szCs w:val="24"/>
          <w:lang/>
        </w:rPr>
        <w:t>Не підлягають списанню та/або реструктуризації податковий борг та грошові зобов’язання платника податку з податку на доходи фізичних осіб та за єдиним внеском на загальнообов’язкове державне соціальне страхування, крім штрафних санкцій та пені.</w:t>
      </w:r>
    </w:p>
    <w:p w14:paraId="7A049A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0" w:name="n13031"/>
      <w:bookmarkEnd w:id="10910"/>
      <w:r w:rsidRPr="008B264B">
        <w:rPr>
          <w:rFonts w:ascii="Times New Roman" w:eastAsia="Times New Roman" w:hAnsi="Times New Roman" w:cs="Times New Roman"/>
          <w:color w:val="000000"/>
          <w:sz w:val="24"/>
          <w:szCs w:val="24"/>
          <w:lang/>
        </w:rPr>
        <w:t>Визнається безнадійним незалежно від наявності критеріїв визначення податкового боргу безнадійним, установлених у </w:t>
      </w:r>
      <w:hyperlink r:id="rId6221" w:anchor="n2272" w:history="1">
        <w:r w:rsidRPr="008B264B">
          <w:rPr>
            <w:rFonts w:ascii="Times New Roman" w:eastAsia="Times New Roman" w:hAnsi="Times New Roman" w:cs="Times New Roman"/>
            <w:color w:val="0000FF"/>
            <w:sz w:val="24"/>
            <w:szCs w:val="24"/>
            <w:u w:val="single"/>
            <w:lang/>
          </w:rPr>
          <w:t>статті 101</w:t>
        </w:r>
      </w:hyperlink>
      <w:r w:rsidRPr="008B264B">
        <w:rPr>
          <w:rFonts w:ascii="Times New Roman" w:eastAsia="Times New Roman" w:hAnsi="Times New Roman" w:cs="Times New Roman"/>
          <w:color w:val="000000"/>
          <w:sz w:val="24"/>
          <w:szCs w:val="24"/>
          <w:lang/>
        </w:rPr>
        <w:t> цього Кодексу, та підлягає списанню контролюючими органами:</w:t>
      </w:r>
    </w:p>
    <w:p w14:paraId="1DAC6E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1" w:name="n13032"/>
      <w:bookmarkEnd w:id="10911"/>
      <w:r w:rsidRPr="008B264B">
        <w:rPr>
          <w:rFonts w:ascii="Times New Roman" w:eastAsia="Times New Roman" w:hAnsi="Times New Roman" w:cs="Times New Roman"/>
          <w:color w:val="000000"/>
          <w:sz w:val="24"/>
          <w:szCs w:val="24"/>
          <w:lang/>
        </w:rPr>
        <w:t>податковий борг платника податків, що виник більш як за три роки до дня початку процедури фінансової реструктуризації відповідно до закону щодо фінансової реструктуризації;</w:t>
      </w:r>
    </w:p>
    <w:p w14:paraId="7B1E9D3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2" w:name="n13033"/>
      <w:bookmarkEnd w:id="10912"/>
      <w:r w:rsidRPr="008B264B">
        <w:rPr>
          <w:rFonts w:ascii="Times New Roman" w:eastAsia="Times New Roman" w:hAnsi="Times New Roman" w:cs="Times New Roman"/>
          <w:color w:val="000000"/>
          <w:sz w:val="24"/>
          <w:szCs w:val="24"/>
          <w:lang/>
        </w:rPr>
        <w:t>податковий борг платника податків, що виник протягом трьох років до дня початку процедури фінансової реструктуризації відповідно до закону щодо фінансової реструктуризації, що списується на умовах плану реструктуризації або плану санації;</w:t>
      </w:r>
    </w:p>
    <w:p w14:paraId="608233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3" w:name="n13034"/>
      <w:bookmarkEnd w:id="10913"/>
      <w:r w:rsidRPr="008B264B">
        <w:rPr>
          <w:rFonts w:ascii="Times New Roman" w:eastAsia="Times New Roman" w:hAnsi="Times New Roman" w:cs="Times New Roman"/>
          <w:color w:val="000000"/>
          <w:sz w:val="24"/>
          <w:szCs w:val="24"/>
          <w:lang/>
        </w:rPr>
        <w:t>застосовані штрафні санкції та пеня, нараховані платнику податків до дати початку процедури фінансової реструктуризації відповідно до закону щодо фінансової реструктуризації, за якими тривають процедури адміністративного або судового оскарження.</w:t>
      </w:r>
    </w:p>
    <w:p w14:paraId="7E0EE92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4" w:name="n13035"/>
      <w:bookmarkEnd w:id="10914"/>
      <w:r w:rsidRPr="008B264B">
        <w:rPr>
          <w:rFonts w:ascii="Times New Roman" w:eastAsia="Times New Roman" w:hAnsi="Times New Roman" w:cs="Times New Roman"/>
          <w:color w:val="000000"/>
          <w:sz w:val="24"/>
          <w:szCs w:val="24"/>
          <w:lang/>
        </w:rPr>
        <w:t>Підлягають розстроченню (відстроченню) несписаний податковий борг та грошові зобов’язання платника податків, що виникли до дня початку процедури фінансової реструктуризації відповідно до закону щодо фінансової реструктуризації, на умовах плану реструктуризації або плану санації.</w:t>
      </w:r>
    </w:p>
    <w:p w14:paraId="1D12959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5" w:name="n13036"/>
      <w:bookmarkEnd w:id="10915"/>
      <w:r w:rsidRPr="008B264B">
        <w:rPr>
          <w:rFonts w:ascii="Times New Roman" w:eastAsia="Times New Roman" w:hAnsi="Times New Roman" w:cs="Times New Roman"/>
          <w:color w:val="000000"/>
          <w:sz w:val="24"/>
          <w:szCs w:val="24"/>
          <w:lang/>
        </w:rPr>
        <w:t>Припинення плану реструктуризації або плану санації є підставою для нарахування пені, штрафних та фінансових санкцій відповідно до законодавства на несплачену суму заборгованості з податків (зборів).</w:t>
      </w:r>
    </w:p>
    <w:p w14:paraId="6D02A7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6" w:name="n13021"/>
      <w:bookmarkEnd w:id="10916"/>
      <w:r w:rsidRPr="008B264B">
        <w:rPr>
          <w:rFonts w:ascii="Times New Roman" w:eastAsia="Times New Roman" w:hAnsi="Times New Roman" w:cs="Times New Roman"/>
          <w:i/>
          <w:iCs/>
          <w:color w:val="000000"/>
          <w:sz w:val="24"/>
          <w:szCs w:val="24"/>
          <w:lang/>
        </w:rPr>
        <w:t>{Підрозділ 10 розділу XX доповнено пунктом 37 згідно із Законом </w:t>
      </w:r>
      <w:hyperlink r:id="rId6222" w:anchor="n724" w:tgtFrame="_blank" w:history="1">
        <w:r w:rsidRPr="008B264B">
          <w:rPr>
            <w:rFonts w:ascii="Times New Roman" w:eastAsia="Times New Roman" w:hAnsi="Times New Roman" w:cs="Times New Roman"/>
            <w:i/>
            <w:iCs/>
            <w:color w:val="0000FF"/>
            <w:sz w:val="24"/>
            <w:szCs w:val="24"/>
            <w:u w:val="single"/>
            <w:lang/>
          </w:rPr>
          <w:t>№ 909-VIII від 24.12.2015</w:t>
        </w:r>
      </w:hyperlink>
      <w:r w:rsidRPr="008B264B">
        <w:rPr>
          <w:rFonts w:ascii="Times New Roman" w:eastAsia="Times New Roman" w:hAnsi="Times New Roman" w:cs="Times New Roman"/>
          <w:i/>
          <w:iCs/>
          <w:color w:val="000000"/>
          <w:sz w:val="24"/>
          <w:szCs w:val="24"/>
          <w:lang/>
        </w:rPr>
        <w:t>}</w:t>
      </w:r>
    </w:p>
    <w:p w14:paraId="19DA7F6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7" w:name="n14513"/>
      <w:bookmarkEnd w:id="10917"/>
      <w:r w:rsidRPr="008B264B">
        <w:rPr>
          <w:rFonts w:ascii="Times New Roman" w:eastAsia="Times New Roman" w:hAnsi="Times New Roman" w:cs="Times New Roman"/>
          <w:color w:val="000000"/>
          <w:sz w:val="24"/>
          <w:szCs w:val="24"/>
          <w:lang/>
        </w:rPr>
        <w:lastRenderedPageBreak/>
        <w:t>38. Установити, що тимчасово, на період проведення антитерористичної операції та/або здійснення заходів із забезпечення проведення операції Об’єднаних сил (ООС), для платників податків, які станом на 14 квітня 2014 року мали місцезнаходження (місце проживання) на тимчасово окупованій території, що визнана такою відповідно до </w:t>
      </w:r>
      <w:hyperlink r:id="rId6223" w:tgtFrame="_blank" w:history="1">
        <w:r w:rsidRPr="008B264B">
          <w:rPr>
            <w:rFonts w:ascii="Times New Roman" w:eastAsia="Times New Roman" w:hAnsi="Times New Roman" w:cs="Times New Roman"/>
            <w:color w:val="0000FF"/>
            <w:sz w:val="24"/>
            <w:szCs w:val="24"/>
            <w:u w:val="single"/>
            <w:lang/>
          </w:rPr>
          <w:t>Постанови Верховної Ради України</w:t>
        </w:r>
      </w:hyperlink>
      <w:r w:rsidRPr="008B264B">
        <w:rPr>
          <w:rFonts w:ascii="Times New Roman" w:eastAsia="Times New Roman" w:hAnsi="Times New Roman" w:cs="Times New Roman"/>
          <w:color w:val="000000"/>
          <w:sz w:val="24"/>
          <w:szCs w:val="24"/>
          <w:lang/>
        </w:rPr>
        <w:t> "Про визнання окремих районів, міст, селищ і сіл Донецької та Луганської областей тимчасово окупованими територіями", або в населених пунктах на лінії зіткнення, та/або платників податків, які мають об’єкти оподаткування місцевими податками, зборами на цих територіях, справляння податків і зборів здійснюється з урахуванням особливостей, визначених у цьому пункті. Дія цього пункту не поширюється на територію України, визнану тимчасово окупованою відповідно до </w:t>
      </w:r>
      <w:hyperlink r:id="rId6224"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забезпечення прав і свобод громадян та правовий режим на тимчасово окупованій території України".</w:t>
      </w:r>
    </w:p>
    <w:p w14:paraId="6E55B73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8" w:name="n15451"/>
      <w:bookmarkEnd w:id="10918"/>
      <w:r w:rsidRPr="008B264B">
        <w:rPr>
          <w:rFonts w:ascii="Times New Roman" w:eastAsia="Times New Roman" w:hAnsi="Times New Roman" w:cs="Times New Roman"/>
          <w:i/>
          <w:iCs/>
          <w:color w:val="000000"/>
          <w:sz w:val="24"/>
          <w:szCs w:val="24"/>
          <w:lang/>
        </w:rPr>
        <w:t>{Абзац перший пункту 38 підрозділу 10 розділу ХХ із змінами, внесеними згідно із Законом </w:t>
      </w:r>
      <w:hyperlink r:id="rId6225" w:anchor="n741"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9632A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19" w:name="n14628"/>
      <w:bookmarkEnd w:id="10919"/>
      <w:r w:rsidRPr="008B264B">
        <w:rPr>
          <w:rFonts w:ascii="Times New Roman" w:eastAsia="Times New Roman" w:hAnsi="Times New Roman" w:cs="Times New Roman"/>
          <w:color w:val="000000"/>
          <w:sz w:val="24"/>
          <w:szCs w:val="24"/>
          <w:lang/>
        </w:rPr>
        <w:t>38.1. У цьому пункті терміни вживаються в такому значенні:</w:t>
      </w:r>
    </w:p>
    <w:p w14:paraId="1C52EF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0" w:name="n14629"/>
      <w:bookmarkEnd w:id="10920"/>
      <w:r w:rsidRPr="008B264B">
        <w:rPr>
          <w:rFonts w:ascii="Times New Roman" w:eastAsia="Times New Roman" w:hAnsi="Times New Roman" w:cs="Times New Roman"/>
          <w:color w:val="000000"/>
          <w:sz w:val="24"/>
          <w:szCs w:val="24"/>
          <w:lang/>
        </w:rPr>
        <w:t>тимчасово окупована територія - територія окремих районів, міст, селищ і сіл Донецької та Луганської областей, визначена відповідно до </w:t>
      </w:r>
      <w:hyperlink r:id="rId6226" w:tgtFrame="_blank" w:history="1">
        <w:r w:rsidRPr="008B264B">
          <w:rPr>
            <w:rFonts w:ascii="Times New Roman" w:eastAsia="Times New Roman" w:hAnsi="Times New Roman" w:cs="Times New Roman"/>
            <w:color w:val="0000FF"/>
            <w:sz w:val="24"/>
            <w:szCs w:val="24"/>
            <w:u w:val="single"/>
            <w:lang/>
          </w:rPr>
          <w:t>Постанови Верховної Ради України</w:t>
        </w:r>
      </w:hyperlink>
      <w:r w:rsidRPr="008B264B">
        <w:rPr>
          <w:rFonts w:ascii="Times New Roman" w:eastAsia="Times New Roman" w:hAnsi="Times New Roman" w:cs="Times New Roman"/>
          <w:color w:val="000000"/>
          <w:sz w:val="24"/>
          <w:szCs w:val="24"/>
          <w:lang/>
        </w:rPr>
        <w:t> "Про визнання окремих районів, міст, селищ і сіл Донецької та Луганської областей тимчасово окупованими територіями", на якій органи державної влади тимчасово не здійснюють свої повноваження. Перелік населених пунктів, на території яких органи державної влади тимчасово не здійснюють свої повноваження, визначається Кабінетом Міністрів України;</w:t>
      </w:r>
    </w:p>
    <w:p w14:paraId="34A7BEB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1" w:name="n14630"/>
      <w:bookmarkEnd w:id="10921"/>
      <w:r w:rsidRPr="008B264B">
        <w:rPr>
          <w:rFonts w:ascii="Times New Roman" w:eastAsia="Times New Roman" w:hAnsi="Times New Roman" w:cs="Times New Roman"/>
          <w:color w:val="000000"/>
          <w:sz w:val="24"/>
          <w:szCs w:val="24"/>
          <w:lang/>
        </w:rPr>
        <w:t>територія населених пунктів на лінії зіткнення - територія населених пунктів, що розташовані на лінії зіткнення, перелік яких визначений Кабінетом Міністрів України;</w:t>
      </w:r>
    </w:p>
    <w:p w14:paraId="224D86D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2" w:name="n14631"/>
      <w:bookmarkEnd w:id="10922"/>
      <w:r w:rsidRPr="008B264B">
        <w:rPr>
          <w:rFonts w:ascii="Times New Roman" w:eastAsia="Times New Roman" w:hAnsi="Times New Roman" w:cs="Times New Roman"/>
          <w:color w:val="000000"/>
          <w:sz w:val="24"/>
          <w:szCs w:val="24"/>
          <w:lang/>
        </w:rPr>
        <w:t>інша територія України - територія України, крім тимчасово окупованої території та території населених пунктів на лінії зіткнення.</w:t>
      </w:r>
    </w:p>
    <w:p w14:paraId="133BD88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3" w:name="n14632"/>
      <w:bookmarkEnd w:id="10923"/>
      <w:r w:rsidRPr="008B264B">
        <w:rPr>
          <w:rFonts w:ascii="Times New Roman" w:eastAsia="Times New Roman" w:hAnsi="Times New Roman" w:cs="Times New Roman"/>
          <w:color w:val="000000"/>
          <w:sz w:val="24"/>
          <w:szCs w:val="24"/>
          <w:lang/>
        </w:rPr>
        <w:t>Терміни "період проведення антитерористичної операції" та "територія проведення антитерористичної операції" вживаються у цьому пункті у значенні, наведеному в </w:t>
      </w:r>
      <w:hyperlink r:id="rId6227" w:tgtFrame="_blank" w:history="1">
        <w:r w:rsidRPr="008B264B">
          <w:rPr>
            <w:rFonts w:ascii="Times New Roman" w:eastAsia="Times New Roman" w:hAnsi="Times New Roman" w:cs="Times New Roman"/>
            <w:color w:val="0000FF"/>
            <w:sz w:val="24"/>
            <w:szCs w:val="24"/>
            <w:u w:val="single"/>
            <w:lang/>
          </w:rPr>
          <w:t>Законі України</w:t>
        </w:r>
      </w:hyperlink>
      <w:r w:rsidRPr="008B264B">
        <w:rPr>
          <w:rFonts w:ascii="Times New Roman" w:eastAsia="Times New Roman" w:hAnsi="Times New Roman" w:cs="Times New Roman"/>
          <w:color w:val="000000"/>
          <w:sz w:val="24"/>
          <w:szCs w:val="24"/>
          <w:lang/>
        </w:rPr>
        <w:t> "Про тимчасові заходи на період проведення антитерористичної операції".</w:t>
      </w:r>
    </w:p>
    <w:p w14:paraId="79EF744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4" w:name="n14633"/>
      <w:bookmarkEnd w:id="10924"/>
      <w:r w:rsidRPr="008B264B">
        <w:rPr>
          <w:rFonts w:ascii="Times New Roman" w:eastAsia="Times New Roman" w:hAnsi="Times New Roman" w:cs="Times New Roman"/>
          <w:color w:val="000000"/>
          <w:sz w:val="24"/>
          <w:szCs w:val="24"/>
          <w:lang/>
        </w:rPr>
        <w:t>38.2. На період проведення антитерористичної операції та/або здійснення заходів із забезпечення проведення операції Об’єднаних сил (ООС) для платників податків, місцезнаходженням (місцем проживання) яких станом на 14 квітня 2014 року була тимчасово окупована територія та/або територія населених пунктів на лінії зіткнення і які станом на 1 січня 2017 року не змінили своє місцезнаходження (місце проживання) із зазначених територій на іншу територію України:</w:t>
      </w:r>
    </w:p>
    <w:p w14:paraId="724BFC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5" w:name="n15452"/>
      <w:bookmarkEnd w:id="10925"/>
      <w:r w:rsidRPr="008B264B">
        <w:rPr>
          <w:rFonts w:ascii="Times New Roman" w:eastAsia="Times New Roman" w:hAnsi="Times New Roman" w:cs="Times New Roman"/>
          <w:i/>
          <w:iCs/>
          <w:color w:val="000000"/>
          <w:sz w:val="24"/>
          <w:szCs w:val="24"/>
          <w:lang/>
        </w:rPr>
        <w:t>{Абзац перший підпункту 38.2 пункту 38 підрозділу 10 розділу ХХ із змінами, внесеними згідно із Законом </w:t>
      </w:r>
      <w:hyperlink r:id="rId6228" w:anchor="n742"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81F52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6" w:name="n14634"/>
      <w:bookmarkEnd w:id="10926"/>
      <w:r w:rsidRPr="008B264B">
        <w:rPr>
          <w:rFonts w:ascii="Times New Roman" w:eastAsia="Times New Roman" w:hAnsi="Times New Roman" w:cs="Times New Roman"/>
          <w:color w:val="000000"/>
          <w:sz w:val="24"/>
          <w:szCs w:val="24"/>
          <w:lang/>
        </w:rPr>
        <w:t>1) зупиняється нарахування штрафних (фінансових) санкцій (штрафів) та/або пені за несвоєчасне погашення визначених станом на 14 квітня 2014 року грошових зобов’язань;</w:t>
      </w:r>
    </w:p>
    <w:p w14:paraId="14B9BDF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7" w:name="n14635"/>
      <w:bookmarkEnd w:id="10927"/>
      <w:r w:rsidRPr="008B264B">
        <w:rPr>
          <w:rFonts w:ascii="Times New Roman" w:eastAsia="Times New Roman" w:hAnsi="Times New Roman" w:cs="Times New Roman"/>
          <w:color w:val="000000"/>
          <w:sz w:val="24"/>
          <w:szCs w:val="24"/>
          <w:lang/>
        </w:rPr>
        <w:t>2) зупиняється застосування норм </w:t>
      </w:r>
      <w:hyperlink r:id="rId6229" w:anchor="n1419" w:history="1">
        <w:r w:rsidRPr="008B264B">
          <w:rPr>
            <w:rFonts w:ascii="Times New Roman" w:eastAsia="Times New Roman" w:hAnsi="Times New Roman" w:cs="Times New Roman"/>
            <w:color w:val="0000FF"/>
            <w:sz w:val="24"/>
            <w:szCs w:val="24"/>
            <w:u w:val="single"/>
            <w:lang/>
          </w:rPr>
          <w:t>статей 59</w:t>
        </w:r>
      </w:hyperlink>
      <w:r w:rsidRPr="008B264B">
        <w:rPr>
          <w:rFonts w:ascii="Times New Roman" w:eastAsia="Times New Roman" w:hAnsi="Times New Roman" w:cs="Times New Roman"/>
          <w:color w:val="000000"/>
          <w:sz w:val="24"/>
          <w:szCs w:val="24"/>
          <w:lang/>
        </w:rPr>
        <w:t>, </w:t>
      </w:r>
      <w:hyperlink r:id="rId6230" w:anchor="n1431" w:history="1">
        <w:r w:rsidRPr="008B264B">
          <w:rPr>
            <w:rFonts w:ascii="Times New Roman" w:eastAsia="Times New Roman" w:hAnsi="Times New Roman" w:cs="Times New Roman"/>
            <w:color w:val="0000FF"/>
            <w:sz w:val="24"/>
            <w:szCs w:val="24"/>
            <w:u w:val="single"/>
            <w:lang/>
          </w:rPr>
          <w:t>60</w:t>
        </w:r>
      </w:hyperlink>
      <w:r w:rsidRPr="008B264B">
        <w:rPr>
          <w:rFonts w:ascii="Times New Roman" w:eastAsia="Times New Roman" w:hAnsi="Times New Roman" w:cs="Times New Roman"/>
          <w:color w:val="000000"/>
          <w:sz w:val="24"/>
          <w:szCs w:val="24"/>
          <w:lang/>
        </w:rPr>
        <w:t> (в частині податкових вимог), </w:t>
      </w:r>
      <w:hyperlink r:id="rId6231" w:anchor="n1970" w:history="1">
        <w:r w:rsidRPr="008B264B">
          <w:rPr>
            <w:rFonts w:ascii="Times New Roman" w:eastAsia="Times New Roman" w:hAnsi="Times New Roman" w:cs="Times New Roman"/>
            <w:color w:val="0000FF"/>
            <w:sz w:val="24"/>
            <w:szCs w:val="24"/>
            <w:u w:val="single"/>
            <w:lang/>
          </w:rPr>
          <w:t>87-101</w:t>
        </w:r>
      </w:hyperlink>
      <w:r w:rsidRPr="008B264B">
        <w:rPr>
          <w:rFonts w:ascii="Times New Roman" w:eastAsia="Times New Roman" w:hAnsi="Times New Roman" w:cs="Times New Roman"/>
          <w:color w:val="000000"/>
          <w:sz w:val="24"/>
          <w:szCs w:val="24"/>
          <w:lang/>
        </w:rPr>
        <w:t> цього Кодексу.</w:t>
      </w:r>
    </w:p>
    <w:p w14:paraId="34B9D8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8" w:name="n14636"/>
      <w:bookmarkEnd w:id="10928"/>
      <w:r w:rsidRPr="008B264B">
        <w:rPr>
          <w:rFonts w:ascii="Times New Roman" w:eastAsia="Times New Roman" w:hAnsi="Times New Roman" w:cs="Times New Roman"/>
          <w:color w:val="000000"/>
          <w:sz w:val="24"/>
          <w:szCs w:val="24"/>
          <w:lang/>
        </w:rPr>
        <w:t>Відлік строку давності, визначений </w:t>
      </w:r>
      <w:hyperlink r:id="rId6232"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зупиняється на період, протягом якого до платників податків, зазначених у цьому підпункті, не застосовувалися заходи стягнення, передбачені </w:t>
      </w:r>
      <w:hyperlink r:id="rId6233" w:anchor="n1419" w:history="1">
        <w:r w:rsidRPr="008B264B">
          <w:rPr>
            <w:rFonts w:ascii="Times New Roman" w:eastAsia="Times New Roman" w:hAnsi="Times New Roman" w:cs="Times New Roman"/>
            <w:color w:val="0000FF"/>
            <w:sz w:val="24"/>
            <w:szCs w:val="24"/>
            <w:u w:val="single"/>
            <w:lang/>
          </w:rPr>
          <w:t>статтями 59</w:t>
        </w:r>
      </w:hyperlink>
      <w:r w:rsidRPr="008B264B">
        <w:rPr>
          <w:rFonts w:ascii="Times New Roman" w:eastAsia="Times New Roman" w:hAnsi="Times New Roman" w:cs="Times New Roman"/>
          <w:color w:val="000000"/>
          <w:sz w:val="24"/>
          <w:szCs w:val="24"/>
          <w:lang/>
        </w:rPr>
        <w:t>, </w:t>
      </w:r>
      <w:hyperlink r:id="rId6234" w:anchor="n1431" w:history="1">
        <w:r w:rsidRPr="008B264B">
          <w:rPr>
            <w:rFonts w:ascii="Times New Roman" w:eastAsia="Times New Roman" w:hAnsi="Times New Roman" w:cs="Times New Roman"/>
            <w:color w:val="0000FF"/>
            <w:sz w:val="24"/>
            <w:szCs w:val="24"/>
            <w:u w:val="single"/>
            <w:lang/>
          </w:rPr>
          <w:t>60</w:t>
        </w:r>
      </w:hyperlink>
      <w:r w:rsidRPr="008B264B">
        <w:rPr>
          <w:rFonts w:ascii="Times New Roman" w:eastAsia="Times New Roman" w:hAnsi="Times New Roman" w:cs="Times New Roman"/>
          <w:color w:val="000000"/>
          <w:sz w:val="24"/>
          <w:szCs w:val="24"/>
          <w:lang/>
        </w:rPr>
        <w:t>, </w:t>
      </w:r>
      <w:hyperlink r:id="rId6235" w:anchor="n1970" w:history="1">
        <w:r w:rsidRPr="008B264B">
          <w:rPr>
            <w:rFonts w:ascii="Times New Roman" w:eastAsia="Times New Roman" w:hAnsi="Times New Roman" w:cs="Times New Roman"/>
            <w:color w:val="0000FF"/>
            <w:sz w:val="24"/>
            <w:szCs w:val="24"/>
            <w:u w:val="single"/>
            <w:lang/>
          </w:rPr>
          <w:t>87-101</w:t>
        </w:r>
      </w:hyperlink>
      <w:r w:rsidRPr="008B264B">
        <w:rPr>
          <w:rFonts w:ascii="Times New Roman" w:eastAsia="Times New Roman" w:hAnsi="Times New Roman" w:cs="Times New Roman"/>
          <w:color w:val="000000"/>
          <w:sz w:val="24"/>
          <w:szCs w:val="24"/>
          <w:lang/>
        </w:rPr>
        <w:t> цього Кодексу.</w:t>
      </w:r>
    </w:p>
    <w:p w14:paraId="58AC739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29" w:name="n14637"/>
      <w:bookmarkEnd w:id="10929"/>
      <w:r w:rsidRPr="008B264B">
        <w:rPr>
          <w:rFonts w:ascii="Times New Roman" w:eastAsia="Times New Roman" w:hAnsi="Times New Roman" w:cs="Times New Roman"/>
          <w:color w:val="000000"/>
          <w:sz w:val="24"/>
          <w:szCs w:val="24"/>
          <w:lang/>
        </w:rPr>
        <w:t>Норми цього підпункту не застосовуються:</w:t>
      </w:r>
    </w:p>
    <w:p w14:paraId="6ADC46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0" w:name="n14638"/>
      <w:bookmarkEnd w:id="10930"/>
      <w:r w:rsidRPr="008B264B">
        <w:rPr>
          <w:rFonts w:ascii="Times New Roman" w:eastAsia="Times New Roman" w:hAnsi="Times New Roman" w:cs="Times New Roman"/>
          <w:color w:val="000000"/>
          <w:sz w:val="24"/>
          <w:szCs w:val="24"/>
          <w:lang/>
        </w:rPr>
        <w:t>з дати реєстрації зміни місця проживання фізичною особою - платником податків і переселення на іншу територію України на постійне місце проживання, місце проживання внутрішньо переміщеної особи та проведення реєстраційної дії щодо зміни місця проживання фізичної особи - підприємця;</w:t>
      </w:r>
    </w:p>
    <w:p w14:paraId="1F7EB9A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1" w:name="n14639"/>
      <w:bookmarkEnd w:id="10931"/>
      <w:r w:rsidRPr="008B264B">
        <w:rPr>
          <w:rFonts w:ascii="Times New Roman" w:eastAsia="Times New Roman" w:hAnsi="Times New Roman" w:cs="Times New Roman"/>
          <w:color w:val="000000"/>
          <w:sz w:val="24"/>
          <w:szCs w:val="24"/>
          <w:lang/>
        </w:rPr>
        <w:lastRenderedPageBreak/>
        <w:t>з дати реєстрації зміни місцезнаходження юридичної особи на іншу територію України.</w:t>
      </w:r>
    </w:p>
    <w:p w14:paraId="5BA5C18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2" w:name="n14640"/>
      <w:bookmarkEnd w:id="10932"/>
      <w:r w:rsidRPr="008B264B">
        <w:rPr>
          <w:rFonts w:ascii="Times New Roman" w:eastAsia="Times New Roman" w:hAnsi="Times New Roman" w:cs="Times New Roman"/>
          <w:color w:val="000000"/>
          <w:sz w:val="24"/>
          <w:szCs w:val="24"/>
          <w:lang/>
        </w:rPr>
        <w:t>38.3. Для платників податків - самозайнятих фізичних осіб під час особливого періоду, визначеного </w:t>
      </w:r>
      <w:hyperlink r:id="rId6236"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мобілізаційну підготовку та мобілізацію", призваних на військову службу під час мобілізації або залучених до виконання обов’язків щодо мобілізації за посадами, передбаченими штатами воєнного часу, норми підпункту 38.2 цього пункту застосовуються на весь строк їх військової служби.</w:t>
      </w:r>
    </w:p>
    <w:p w14:paraId="00FEC4F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3" w:name="n14641"/>
      <w:bookmarkEnd w:id="10933"/>
      <w:r w:rsidRPr="008B264B">
        <w:rPr>
          <w:rFonts w:ascii="Times New Roman" w:eastAsia="Times New Roman" w:hAnsi="Times New Roman" w:cs="Times New Roman"/>
          <w:color w:val="000000"/>
          <w:sz w:val="24"/>
          <w:szCs w:val="24"/>
          <w:lang/>
        </w:rPr>
        <w:t>38.4. Якщо фактичним місцезнаходженням філії, представництва, відокремленого чи іншого структурного підрозділу юридичної особи є:</w:t>
      </w:r>
    </w:p>
    <w:p w14:paraId="48D71EE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4" w:name="n14642"/>
      <w:bookmarkEnd w:id="10934"/>
      <w:r w:rsidRPr="008B264B">
        <w:rPr>
          <w:rFonts w:ascii="Times New Roman" w:eastAsia="Times New Roman" w:hAnsi="Times New Roman" w:cs="Times New Roman"/>
          <w:color w:val="000000"/>
          <w:sz w:val="24"/>
          <w:szCs w:val="24"/>
          <w:lang/>
        </w:rPr>
        <w:t>тимчасово окупована територія, а місцезнаходженням відповідної юридичної особи є інша територія України або територія населених пунктів на лінії зіткнення, така юридична особа, відокремлений чи інший структурний підрозділ, уповноважений нараховувати, утримувати і сплачувати (перераховувати) до бюджету податки, збори у випадках, передбачених цим Кодексом, звільняються від відповідальності, визначеної цим Кодексом, у межах діяльності, що провадиться через такі філії, представництва, відокремлені чи інші структурні підрозділи, за весь період проведення антитерористичної операції та/або здійснення заходів із забезпечення проведення операції Об’єднаних сил (ООС);</w:t>
      </w:r>
    </w:p>
    <w:p w14:paraId="7FC988B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5" w:name="n15453"/>
      <w:bookmarkEnd w:id="10935"/>
      <w:r w:rsidRPr="008B264B">
        <w:rPr>
          <w:rFonts w:ascii="Times New Roman" w:eastAsia="Times New Roman" w:hAnsi="Times New Roman" w:cs="Times New Roman"/>
          <w:i/>
          <w:iCs/>
          <w:color w:val="000000"/>
          <w:sz w:val="24"/>
          <w:szCs w:val="24"/>
          <w:lang/>
        </w:rPr>
        <w:t>{Абзац другий підпункту 38.4 пункту 38 підрозділу 10 розділу ХХ із змінами, внесеними згідно із Законом </w:t>
      </w:r>
      <w:hyperlink r:id="rId6237" w:anchor="n743"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18DCE8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6" w:name="n14643"/>
      <w:bookmarkEnd w:id="10936"/>
      <w:r w:rsidRPr="008B264B">
        <w:rPr>
          <w:rFonts w:ascii="Times New Roman" w:eastAsia="Times New Roman" w:hAnsi="Times New Roman" w:cs="Times New Roman"/>
          <w:color w:val="000000"/>
          <w:sz w:val="24"/>
          <w:szCs w:val="24"/>
          <w:lang/>
        </w:rPr>
        <w:t>інша територія України або територія населених пунктів на лінії зіткнення, а місцезнаходженням відповідної юридичної особи є тимчасово окупована територія, такі філії, представництва, відокремлені чи інші структурні підрозділи перебувають на обліку як окремі платники податків і зборів та сплачують податки і збори на умовах та в порядку, визначених цим Кодексом.</w:t>
      </w:r>
    </w:p>
    <w:p w14:paraId="683833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7" w:name="n14644"/>
      <w:bookmarkEnd w:id="10937"/>
      <w:r w:rsidRPr="008B264B">
        <w:rPr>
          <w:rFonts w:ascii="Times New Roman" w:eastAsia="Times New Roman" w:hAnsi="Times New Roman" w:cs="Times New Roman"/>
          <w:color w:val="000000"/>
          <w:sz w:val="24"/>
          <w:szCs w:val="24"/>
          <w:lang/>
        </w:rPr>
        <w:t>38.5. Платники податків, місцезнаходженням (місцем проживання) яких є тимчасово окупована територія та які здійснюють виробництво (імпорт) алкогольних напоїв та/або тютюнових виробів на зазначеній території, не мають права замовляти марки акцизного податку для маркування алкогольних напоїв та/або тютюнових виробів, які виробляються на тимчасово окупованій території.</w:t>
      </w:r>
    </w:p>
    <w:p w14:paraId="4F266D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8" w:name="n14645"/>
      <w:bookmarkEnd w:id="10938"/>
      <w:r w:rsidRPr="008B264B">
        <w:rPr>
          <w:rFonts w:ascii="Times New Roman" w:eastAsia="Times New Roman" w:hAnsi="Times New Roman" w:cs="Times New Roman"/>
          <w:color w:val="000000"/>
          <w:sz w:val="24"/>
          <w:szCs w:val="24"/>
          <w:lang/>
        </w:rPr>
        <w:t>Ввезення на іншу територію України та територію населених пунктів на лінії зіткнення тютюнових виробів та/або алкогольних напоїв, вироблених на тимчасово окупованій території, забороняється.</w:t>
      </w:r>
    </w:p>
    <w:p w14:paraId="1053C56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39" w:name="n14646"/>
      <w:bookmarkEnd w:id="10939"/>
      <w:r w:rsidRPr="008B264B">
        <w:rPr>
          <w:rFonts w:ascii="Times New Roman" w:eastAsia="Times New Roman" w:hAnsi="Times New Roman" w:cs="Times New Roman"/>
          <w:color w:val="000000"/>
          <w:sz w:val="24"/>
          <w:szCs w:val="24"/>
          <w:lang/>
        </w:rPr>
        <w:t>До платників податків, місцезнаходженням (місцем проживання) та/або місцем здійснення діяльності яких є тимчасово окупована територія, зупиняється застосування норм </w:t>
      </w:r>
      <w:hyperlink r:id="rId6238" w:anchor="n5435" w:history="1">
        <w:r w:rsidRPr="008B264B">
          <w:rPr>
            <w:rFonts w:ascii="Times New Roman" w:eastAsia="Times New Roman" w:hAnsi="Times New Roman" w:cs="Times New Roman"/>
            <w:color w:val="0000FF"/>
            <w:sz w:val="24"/>
            <w:szCs w:val="24"/>
            <w:u w:val="single"/>
            <w:lang/>
          </w:rPr>
          <w:t>пунктів 213.2</w:t>
        </w:r>
      </w:hyperlink>
      <w:r w:rsidRPr="008B264B">
        <w:rPr>
          <w:rFonts w:ascii="Times New Roman" w:eastAsia="Times New Roman" w:hAnsi="Times New Roman" w:cs="Times New Roman"/>
          <w:color w:val="000000"/>
          <w:sz w:val="24"/>
          <w:szCs w:val="24"/>
          <w:lang/>
        </w:rPr>
        <w:t> та </w:t>
      </w:r>
      <w:hyperlink r:id="rId6239" w:anchor="n5451" w:history="1">
        <w:r w:rsidRPr="008B264B">
          <w:rPr>
            <w:rFonts w:ascii="Times New Roman" w:eastAsia="Times New Roman" w:hAnsi="Times New Roman" w:cs="Times New Roman"/>
            <w:color w:val="0000FF"/>
            <w:sz w:val="24"/>
            <w:szCs w:val="24"/>
            <w:u w:val="single"/>
            <w:lang/>
          </w:rPr>
          <w:t>213.3</w:t>
        </w:r>
      </w:hyperlink>
      <w:r w:rsidRPr="008B264B">
        <w:rPr>
          <w:rFonts w:ascii="Times New Roman" w:eastAsia="Times New Roman" w:hAnsi="Times New Roman" w:cs="Times New Roman"/>
          <w:color w:val="000000"/>
          <w:sz w:val="24"/>
          <w:szCs w:val="24"/>
          <w:lang/>
        </w:rPr>
        <w:t> статті 213 та </w:t>
      </w:r>
      <w:hyperlink r:id="rId6240" w:anchor="n5611" w:history="1">
        <w:r w:rsidRPr="008B264B">
          <w:rPr>
            <w:rFonts w:ascii="Times New Roman" w:eastAsia="Times New Roman" w:hAnsi="Times New Roman" w:cs="Times New Roman"/>
            <w:color w:val="0000FF"/>
            <w:sz w:val="24"/>
            <w:szCs w:val="24"/>
            <w:u w:val="single"/>
            <w:lang/>
          </w:rPr>
          <w:t>статей 225</w:t>
        </w:r>
      </w:hyperlink>
      <w:r w:rsidRPr="008B264B">
        <w:rPr>
          <w:rFonts w:ascii="Times New Roman" w:eastAsia="Times New Roman" w:hAnsi="Times New Roman" w:cs="Times New Roman"/>
          <w:color w:val="000000"/>
          <w:sz w:val="24"/>
          <w:szCs w:val="24"/>
          <w:lang/>
        </w:rPr>
        <w:t>, </w:t>
      </w:r>
      <w:hyperlink r:id="rId6241" w:anchor="n5676" w:history="1">
        <w:r w:rsidRPr="008B264B">
          <w:rPr>
            <w:rFonts w:ascii="Times New Roman" w:eastAsia="Times New Roman" w:hAnsi="Times New Roman" w:cs="Times New Roman"/>
            <w:color w:val="0000FF"/>
            <w:sz w:val="24"/>
            <w:szCs w:val="24"/>
            <w:u w:val="single"/>
            <w:lang/>
          </w:rPr>
          <w:t>229</w:t>
        </w:r>
      </w:hyperlink>
      <w:r w:rsidRPr="008B264B">
        <w:rPr>
          <w:rFonts w:ascii="Times New Roman" w:eastAsia="Times New Roman" w:hAnsi="Times New Roman" w:cs="Times New Roman"/>
          <w:color w:val="000000"/>
          <w:sz w:val="24"/>
          <w:szCs w:val="24"/>
          <w:lang/>
        </w:rPr>
        <w:t> цього Кодексу.</w:t>
      </w:r>
    </w:p>
    <w:p w14:paraId="78C91C5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0" w:name="n14647"/>
      <w:bookmarkEnd w:id="10940"/>
      <w:r w:rsidRPr="008B264B">
        <w:rPr>
          <w:rFonts w:ascii="Times New Roman" w:eastAsia="Times New Roman" w:hAnsi="Times New Roman" w:cs="Times New Roman"/>
          <w:color w:val="000000"/>
          <w:sz w:val="24"/>
          <w:szCs w:val="24"/>
          <w:lang/>
        </w:rPr>
        <w:t>38.6. Об’єкти житлової та нежитлової нерухомості, розташовані на тимчасово окупованій території та/або території населених пунктів на лінії зіткнення, які перебувають у власності фізичних або юридичних осіб, не є об’єктом оподаткування податком на нерухоме майно, відмінне від земельної ділянки, відповідно до </w:t>
      </w:r>
      <w:hyperlink r:id="rId6242" w:anchor="n6392" w:history="1">
        <w:r w:rsidRPr="008B264B">
          <w:rPr>
            <w:rFonts w:ascii="Times New Roman" w:eastAsia="Times New Roman" w:hAnsi="Times New Roman" w:cs="Times New Roman"/>
            <w:color w:val="0000FF"/>
            <w:sz w:val="24"/>
            <w:szCs w:val="24"/>
            <w:u w:val="single"/>
            <w:lang/>
          </w:rPr>
          <w:t>статті 266</w:t>
        </w:r>
      </w:hyperlink>
      <w:r w:rsidRPr="008B264B">
        <w:rPr>
          <w:rFonts w:ascii="Times New Roman" w:eastAsia="Times New Roman" w:hAnsi="Times New Roman" w:cs="Times New Roman"/>
          <w:color w:val="000000"/>
          <w:sz w:val="24"/>
          <w:szCs w:val="24"/>
          <w:lang/>
        </w:rPr>
        <w:t> цього Кодексу у період з 14 квітня 2014 року по 31 грудня року, в якому завершено проведення антитерористичної операції та/або операції Об’єднаних сил (ООС).</w:t>
      </w:r>
    </w:p>
    <w:p w14:paraId="5651359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1" w:name="n15454"/>
      <w:bookmarkEnd w:id="10941"/>
      <w:r w:rsidRPr="008B264B">
        <w:rPr>
          <w:rFonts w:ascii="Times New Roman" w:eastAsia="Times New Roman" w:hAnsi="Times New Roman" w:cs="Times New Roman"/>
          <w:i/>
          <w:iCs/>
          <w:color w:val="000000"/>
          <w:sz w:val="24"/>
          <w:szCs w:val="24"/>
          <w:lang/>
        </w:rPr>
        <w:t>{Абзац перший підпункту 38.6 пункту 38 підрозділу 10 розділу ХХ із змінами, внесеними згідно із Законом </w:t>
      </w:r>
      <w:hyperlink r:id="rId6243" w:anchor="n744"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481784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2" w:name="n14648"/>
      <w:bookmarkEnd w:id="10942"/>
      <w:r w:rsidRPr="008B264B">
        <w:rPr>
          <w:rFonts w:ascii="Times New Roman" w:eastAsia="Times New Roman" w:hAnsi="Times New Roman" w:cs="Times New Roman"/>
          <w:color w:val="000000"/>
          <w:sz w:val="24"/>
          <w:szCs w:val="24"/>
          <w:lang/>
        </w:rPr>
        <w:t>Нараховані та сплачені за період проведення антитерористичної операції суми податку на нерухоме майно, відмінне від земельної ділянки, відповідно до </w:t>
      </w:r>
      <w:hyperlink r:id="rId6244" w:anchor="n6392" w:history="1">
        <w:r w:rsidRPr="008B264B">
          <w:rPr>
            <w:rFonts w:ascii="Times New Roman" w:eastAsia="Times New Roman" w:hAnsi="Times New Roman" w:cs="Times New Roman"/>
            <w:color w:val="0000FF"/>
            <w:sz w:val="24"/>
            <w:szCs w:val="24"/>
            <w:u w:val="single"/>
            <w:lang/>
          </w:rPr>
          <w:t>статті 266</w:t>
        </w:r>
      </w:hyperlink>
      <w:r w:rsidRPr="008B264B">
        <w:rPr>
          <w:rFonts w:ascii="Times New Roman" w:eastAsia="Times New Roman" w:hAnsi="Times New Roman" w:cs="Times New Roman"/>
          <w:color w:val="000000"/>
          <w:sz w:val="24"/>
          <w:szCs w:val="24"/>
          <w:lang/>
        </w:rPr>
        <w:t xml:space="preserve"> цього Кодексу за об’єкти житлової та нежитлової нерухомості, розташовані на тимчасово окупованій території та/або території населених пунктів на лінії зіткнення, та/або території проведення антитерористичної операції, не підлягають поверненню на поточний рахунок платника податку, не спрямовуються на погашення грошового зобов’язання (податкового боргу) з інших податків, </w:t>
      </w:r>
      <w:r w:rsidRPr="008B264B">
        <w:rPr>
          <w:rFonts w:ascii="Times New Roman" w:eastAsia="Times New Roman" w:hAnsi="Times New Roman" w:cs="Times New Roman"/>
          <w:color w:val="000000"/>
          <w:sz w:val="24"/>
          <w:szCs w:val="24"/>
          <w:lang/>
        </w:rPr>
        <w:lastRenderedPageBreak/>
        <w:t>зборів, не повертаються у готівковій формі за чеком у разі відсутності у платника податків рахунка в банку. До зазначених сум надміру сплачених грошових зобов’язань не застосовуються строки давності, встановлені </w:t>
      </w:r>
      <w:hyperlink r:id="rId6245"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крім сум надміру сплачених податкових зобов’язань платників податків, які припиняють свою діяльність.</w:t>
      </w:r>
    </w:p>
    <w:p w14:paraId="75EF61B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3" w:name="n14649"/>
      <w:bookmarkEnd w:id="10943"/>
      <w:r w:rsidRPr="008B264B">
        <w:rPr>
          <w:rFonts w:ascii="Times New Roman" w:eastAsia="Times New Roman" w:hAnsi="Times New Roman" w:cs="Times New Roman"/>
          <w:color w:val="000000"/>
          <w:sz w:val="24"/>
          <w:szCs w:val="24"/>
          <w:lang/>
        </w:rPr>
        <w:t>38.7. Не нараховується та не сплачується у період з 14 квітня 2014 року по 31 грудня року, в якому завершено проведення антитерористичної операції та/або операції Об’єднаних сил (ООС), плата за землю (земельний податок та орендна плата за земельні ділянки державної та комунальної власності) за земельні ділянки, що розташовані на тимчасово окупованій території та перебувають у власності або користуванні, у тому числі на умовах оренди, фізичних або юридичних осіб.</w:t>
      </w:r>
    </w:p>
    <w:p w14:paraId="7B85100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4" w:name="n14650"/>
      <w:bookmarkEnd w:id="10944"/>
      <w:r w:rsidRPr="008B264B">
        <w:rPr>
          <w:rFonts w:ascii="Times New Roman" w:eastAsia="Times New Roman" w:hAnsi="Times New Roman" w:cs="Times New Roman"/>
          <w:color w:val="000000"/>
          <w:sz w:val="24"/>
          <w:szCs w:val="24"/>
          <w:lang/>
        </w:rPr>
        <w:t>Не нараховується та не сплачується у період з 14 квітня 2014 року по 31 грудня року, в якому завершено проведення антитерористичної операції та/або операції Об’єднаних сил (ООС), плата за землю (земельний податок та орендна плата за земельні ділянки державної та комунальної власності) за земельні ділянки (крім земель сільськогосподарського призначення), що розташовані на території населених пунктів на лінії зіткнення та перебувають у власності або користуванні, у тому числі на умовах оренди, фізичних або юридичних осіб.</w:t>
      </w:r>
    </w:p>
    <w:p w14:paraId="3AC4FFA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5" w:name="n14651"/>
      <w:bookmarkEnd w:id="10945"/>
      <w:r w:rsidRPr="008B264B">
        <w:rPr>
          <w:rFonts w:ascii="Times New Roman" w:eastAsia="Times New Roman" w:hAnsi="Times New Roman" w:cs="Times New Roman"/>
          <w:i/>
          <w:iCs/>
          <w:color w:val="000000"/>
          <w:sz w:val="24"/>
          <w:szCs w:val="24"/>
          <w:lang/>
        </w:rPr>
        <w:t>{Положення першого речення абзацу третього підпункту 38.7 пункту 38 підрозділу 10 розділу XX визнано такими, що не відповідають Конституції України (є неконституційними), згідно з Рішенням Конституційного Суду </w:t>
      </w:r>
      <w:hyperlink r:id="rId6246" w:anchor="n60" w:tgtFrame="_blank" w:history="1">
        <w:r w:rsidRPr="008B264B">
          <w:rPr>
            <w:rFonts w:ascii="Times New Roman" w:eastAsia="Times New Roman" w:hAnsi="Times New Roman" w:cs="Times New Roman"/>
            <w:i/>
            <w:iCs/>
            <w:color w:val="0000FF"/>
            <w:sz w:val="24"/>
            <w:szCs w:val="24"/>
            <w:u w:val="single"/>
            <w:lang/>
          </w:rPr>
          <w:t>№ 3-р(I)/2019 від 05.06.2019</w:t>
        </w:r>
      </w:hyperlink>
      <w:r w:rsidRPr="008B264B">
        <w:rPr>
          <w:rFonts w:ascii="Times New Roman" w:eastAsia="Times New Roman" w:hAnsi="Times New Roman" w:cs="Times New Roman"/>
          <w:i/>
          <w:iCs/>
          <w:color w:val="000000"/>
          <w:sz w:val="24"/>
          <w:szCs w:val="24"/>
          <w:lang/>
        </w:rPr>
        <w:t>} </w:t>
      </w:r>
      <w:r w:rsidRPr="008B264B">
        <w:rPr>
          <w:rFonts w:ascii="Times New Roman" w:eastAsia="Times New Roman" w:hAnsi="Times New Roman" w:cs="Times New Roman"/>
          <w:color w:val="000000"/>
          <w:sz w:val="24"/>
          <w:szCs w:val="24"/>
          <w:lang/>
        </w:rPr>
        <w:t>Нараховані та сплачені за період проведення антитерористичної операції суми плати за землю відповідно до </w:t>
      </w:r>
      <w:hyperlink r:id="rId6247" w:anchor="n6750" w:history="1">
        <w:r w:rsidRPr="008B264B">
          <w:rPr>
            <w:rFonts w:ascii="Times New Roman" w:eastAsia="Times New Roman" w:hAnsi="Times New Roman" w:cs="Times New Roman"/>
            <w:color w:val="0000FF"/>
            <w:sz w:val="24"/>
            <w:szCs w:val="24"/>
            <w:u w:val="single"/>
            <w:lang/>
          </w:rPr>
          <w:t>статей 269-289</w:t>
        </w:r>
      </w:hyperlink>
      <w:r w:rsidRPr="008B264B">
        <w:rPr>
          <w:rFonts w:ascii="Times New Roman" w:eastAsia="Times New Roman" w:hAnsi="Times New Roman" w:cs="Times New Roman"/>
          <w:color w:val="000000"/>
          <w:sz w:val="24"/>
          <w:szCs w:val="24"/>
          <w:lang/>
        </w:rPr>
        <w:t> цього Кодексу за земельні ділянки, розташовані на тимчасово окупованій території та/або території населених пунктів на лінії зіткнення, та/або території проведення антитерористичної операції, не підлягають поверненню на поточний рахунок платника податку, не спрямовуються на погашення грошового зобов’язання (податкового боргу) з інших податків, зборів, не повертаються у готівковій формі за чеком у разі відсутності у платника податків рахунка в банку. До зазначених сум надміру сплачених грошових зобов’язань не застосовуються строки давності, встановлені </w:t>
      </w:r>
      <w:hyperlink r:id="rId6248" w:anchor="n2287" w:history="1">
        <w:r w:rsidRPr="008B264B">
          <w:rPr>
            <w:rFonts w:ascii="Times New Roman" w:eastAsia="Times New Roman" w:hAnsi="Times New Roman" w:cs="Times New Roman"/>
            <w:color w:val="0000FF"/>
            <w:sz w:val="24"/>
            <w:szCs w:val="24"/>
            <w:u w:val="single"/>
            <w:lang/>
          </w:rPr>
          <w:t>статтею 102</w:t>
        </w:r>
      </w:hyperlink>
      <w:r w:rsidRPr="008B264B">
        <w:rPr>
          <w:rFonts w:ascii="Times New Roman" w:eastAsia="Times New Roman" w:hAnsi="Times New Roman" w:cs="Times New Roman"/>
          <w:color w:val="000000"/>
          <w:sz w:val="24"/>
          <w:szCs w:val="24"/>
          <w:lang/>
        </w:rPr>
        <w:t> цього Кодексу, крім сум надміру сплачених податкових зобов’язань платників податків, які припиняють свою діяльність.</w:t>
      </w:r>
    </w:p>
    <w:p w14:paraId="3290E0D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6" w:name="n15455"/>
      <w:bookmarkEnd w:id="10946"/>
      <w:r w:rsidRPr="008B264B">
        <w:rPr>
          <w:rFonts w:ascii="Times New Roman" w:eastAsia="Times New Roman" w:hAnsi="Times New Roman" w:cs="Times New Roman"/>
          <w:i/>
          <w:iCs/>
          <w:color w:val="000000"/>
          <w:sz w:val="24"/>
          <w:szCs w:val="24"/>
          <w:lang/>
        </w:rPr>
        <w:t>{Підпункт 38.7 пункту 38 підрозділу 10 розділу ХХ із змінами, внесеними згідно із Законом </w:t>
      </w:r>
      <w:hyperlink r:id="rId6249" w:anchor="n7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7B0F82C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7" w:name="n14652"/>
      <w:bookmarkEnd w:id="10947"/>
      <w:r w:rsidRPr="008B264B">
        <w:rPr>
          <w:rFonts w:ascii="Times New Roman" w:eastAsia="Times New Roman" w:hAnsi="Times New Roman" w:cs="Times New Roman"/>
          <w:color w:val="000000"/>
          <w:sz w:val="24"/>
          <w:szCs w:val="24"/>
          <w:lang/>
        </w:rPr>
        <w:t>38.8. Земельні ділянки, що розташовані на тимчасово окупованій території та перебувають у власності або користуванні платників єдиного податку четвертої групи, не є об’єктом оподаткування єдиним податком у період з 14 квітня 2014 року по 31 грудня року, в якому завершено проведення антитерористичної операції та/або операції Об’єднаних сил (ООС).</w:t>
      </w:r>
    </w:p>
    <w:p w14:paraId="1D182BB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8" w:name="n15076"/>
      <w:bookmarkEnd w:id="10948"/>
      <w:r w:rsidRPr="008B264B">
        <w:rPr>
          <w:rFonts w:ascii="Times New Roman" w:eastAsia="Times New Roman" w:hAnsi="Times New Roman" w:cs="Times New Roman"/>
          <w:i/>
          <w:iCs/>
          <w:color w:val="000000"/>
          <w:sz w:val="24"/>
          <w:szCs w:val="24"/>
          <w:lang/>
        </w:rPr>
        <w:t>{Абзац перший підпункту 38.8 пункту 38 підрозділу 10 розділу XX із змінами, внесеними згідно із Законом </w:t>
      </w:r>
      <w:hyperlink r:id="rId6250" w:anchor="n56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4351B9D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49" w:name="n14653"/>
      <w:bookmarkEnd w:id="10949"/>
      <w:r w:rsidRPr="008B264B">
        <w:rPr>
          <w:rFonts w:ascii="Times New Roman" w:eastAsia="Times New Roman" w:hAnsi="Times New Roman" w:cs="Times New Roman"/>
          <w:color w:val="000000"/>
          <w:sz w:val="24"/>
          <w:szCs w:val="24"/>
          <w:lang/>
        </w:rPr>
        <w:t>Для платників єдиного податку четвертої групи, у яких місцезнаходженням усіх земельних ділянок є тимчасово окупована територія, для переходу на спрощену систему оподаткування або підтвердження статусу платника єдиного податку четвертої групи у році, наступному після року, в якому завершено проведення антитерористичної операції та/або операції Об’єднаних сил (ООС), розрахунок частки сільськогосподарського товаровиробництва не надається.</w:t>
      </w:r>
    </w:p>
    <w:p w14:paraId="3154177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0" w:name="n15077"/>
      <w:bookmarkEnd w:id="10950"/>
      <w:r w:rsidRPr="008B264B">
        <w:rPr>
          <w:rFonts w:ascii="Times New Roman" w:eastAsia="Times New Roman" w:hAnsi="Times New Roman" w:cs="Times New Roman"/>
          <w:i/>
          <w:iCs/>
          <w:color w:val="000000"/>
          <w:sz w:val="24"/>
          <w:szCs w:val="24"/>
          <w:lang/>
        </w:rPr>
        <w:t>{Абзац другий підпункту 38.8 пункту 38 підрозділу 10 розділу XX із змінами, внесеними згідно із Законом </w:t>
      </w:r>
      <w:hyperlink r:id="rId6251" w:anchor="n56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2153B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1" w:name="n15456"/>
      <w:bookmarkEnd w:id="10951"/>
      <w:r w:rsidRPr="008B264B">
        <w:rPr>
          <w:rFonts w:ascii="Times New Roman" w:eastAsia="Times New Roman" w:hAnsi="Times New Roman" w:cs="Times New Roman"/>
          <w:i/>
          <w:iCs/>
          <w:color w:val="000000"/>
          <w:sz w:val="24"/>
          <w:szCs w:val="24"/>
          <w:lang/>
        </w:rPr>
        <w:t>{Підпункт 38.8 пункту 38 підрозділу 10 розділу ХХ із змінами, внесеними згідно із Законом </w:t>
      </w:r>
      <w:hyperlink r:id="rId6252" w:anchor="n745"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039F109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2" w:name="n14654"/>
      <w:bookmarkEnd w:id="10952"/>
      <w:r w:rsidRPr="008B264B">
        <w:rPr>
          <w:rFonts w:ascii="Times New Roman" w:eastAsia="Times New Roman" w:hAnsi="Times New Roman" w:cs="Times New Roman"/>
          <w:color w:val="000000"/>
          <w:sz w:val="24"/>
          <w:szCs w:val="24"/>
          <w:lang/>
        </w:rPr>
        <w:t xml:space="preserve">38.9. Під час нарахування (виплати) фізичним особам - підприємцям, місцезнаходженням або місцем проживання яких є тимчасово окупована територія (незалежно від системи оподаткування), доходу від здійснення ними підприємницької діяльності суб’єкт господарювання та/або самозайнята особа, які нараховують (виплачують) такий дохід, </w:t>
      </w:r>
      <w:r w:rsidRPr="008B264B">
        <w:rPr>
          <w:rFonts w:ascii="Times New Roman" w:eastAsia="Times New Roman" w:hAnsi="Times New Roman" w:cs="Times New Roman"/>
          <w:color w:val="000000"/>
          <w:sz w:val="24"/>
          <w:szCs w:val="24"/>
          <w:lang/>
        </w:rPr>
        <w:lastRenderedPageBreak/>
        <w:t>зобов’язані утримати податок на доходи у джерела виплати. При цьому на таких осіб не поширюється дія </w:t>
      </w:r>
      <w:hyperlink r:id="rId6253" w:anchor="n4308" w:history="1">
        <w:r w:rsidRPr="008B264B">
          <w:rPr>
            <w:rFonts w:ascii="Times New Roman" w:eastAsia="Times New Roman" w:hAnsi="Times New Roman" w:cs="Times New Roman"/>
            <w:color w:val="0000FF"/>
            <w:sz w:val="24"/>
            <w:szCs w:val="24"/>
            <w:u w:val="single"/>
            <w:lang/>
          </w:rPr>
          <w:t>пункту 177.8</w:t>
        </w:r>
      </w:hyperlink>
      <w:r w:rsidRPr="008B264B">
        <w:rPr>
          <w:rFonts w:ascii="Times New Roman" w:eastAsia="Times New Roman" w:hAnsi="Times New Roman" w:cs="Times New Roman"/>
          <w:color w:val="000000"/>
          <w:sz w:val="24"/>
          <w:szCs w:val="24"/>
          <w:lang/>
        </w:rPr>
        <w:t> статті 177 цього Кодексу.</w:t>
      </w:r>
    </w:p>
    <w:p w14:paraId="084C92A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3" w:name="n14655"/>
      <w:bookmarkEnd w:id="10953"/>
      <w:r w:rsidRPr="008B264B">
        <w:rPr>
          <w:rFonts w:ascii="Times New Roman" w:eastAsia="Times New Roman" w:hAnsi="Times New Roman" w:cs="Times New Roman"/>
          <w:color w:val="000000"/>
          <w:sz w:val="24"/>
          <w:szCs w:val="24"/>
          <w:lang/>
        </w:rPr>
        <w:t>38.10. З метою оподаткування податком на додану вартість необоротні активи, придбані (збудовані, споруджені, створені) до 14 квітня 2014 року і які станом на 1 січня 2017 року знаходяться на тимчасово окупованій території та/або території населених пунктів на лінії зіткнення, вільної економічної зони "Крим", не вважаються:</w:t>
      </w:r>
    </w:p>
    <w:p w14:paraId="7CA1FB2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4" w:name="n15078"/>
      <w:bookmarkEnd w:id="10954"/>
      <w:r w:rsidRPr="008B264B">
        <w:rPr>
          <w:rFonts w:ascii="Times New Roman" w:eastAsia="Times New Roman" w:hAnsi="Times New Roman" w:cs="Times New Roman"/>
          <w:i/>
          <w:iCs/>
          <w:color w:val="000000"/>
          <w:sz w:val="24"/>
          <w:szCs w:val="24"/>
          <w:lang/>
        </w:rPr>
        <w:t>{Абзац перший підпункту 38.10 пункту 38 підрозділу 10 розділу XX із змінами, внесеними згідно із Законом </w:t>
      </w:r>
      <w:hyperlink r:id="rId6254" w:anchor="n56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D2DCFF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5" w:name="n14656"/>
      <w:bookmarkEnd w:id="10955"/>
      <w:r w:rsidRPr="008B264B">
        <w:rPr>
          <w:rFonts w:ascii="Times New Roman" w:eastAsia="Times New Roman" w:hAnsi="Times New Roman" w:cs="Times New Roman"/>
          <w:color w:val="000000"/>
          <w:sz w:val="24"/>
          <w:szCs w:val="24"/>
          <w:lang/>
        </w:rPr>
        <w:t>такими, що призначаються для використання (або починають/почали використовуватися) в операціях, що не є господарською діяльністю платника податків;</w:t>
      </w:r>
    </w:p>
    <w:p w14:paraId="1190B3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6" w:name="n14657"/>
      <w:bookmarkEnd w:id="10956"/>
      <w:r w:rsidRPr="008B264B">
        <w:rPr>
          <w:rFonts w:ascii="Times New Roman" w:eastAsia="Times New Roman" w:hAnsi="Times New Roman" w:cs="Times New Roman"/>
          <w:color w:val="000000"/>
          <w:sz w:val="24"/>
          <w:szCs w:val="24"/>
          <w:lang/>
        </w:rPr>
        <w:t>невиробничими необоротними активами, невиробничими основними засобами або невиробничими нематеріальними активами в розумінні цього Кодексу.</w:t>
      </w:r>
    </w:p>
    <w:p w14:paraId="77306A6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7" w:name="n15079"/>
      <w:bookmarkEnd w:id="10957"/>
      <w:r w:rsidRPr="008B264B">
        <w:rPr>
          <w:rFonts w:ascii="Times New Roman" w:eastAsia="Times New Roman" w:hAnsi="Times New Roman" w:cs="Times New Roman"/>
          <w:i/>
          <w:iCs/>
          <w:color w:val="000000"/>
          <w:sz w:val="24"/>
          <w:szCs w:val="24"/>
          <w:lang/>
        </w:rPr>
        <w:t>{Абзац третій підпункту 38.10 пункту 38 підрозділу 10 розділу XX в редакції Закону </w:t>
      </w:r>
      <w:hyperlink r:id="rId6255" w:anchor="n563"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76EFC5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8" w:name="n15081"/>
      <w:bookmarkEnd w:id="10958"/>
      <w:r w:rsidRPr="008B264B">
        <w:rPr>
          <w:rFonts w:ascii="Times New Roman" w:eastAsia="Times New Roman" w:hAnsi="Times New Roman" w:cs="Times New Roman"/>
          <w:color w:val="000000"/>
          <w:sz w:val="24"/>
          <w:szCs w:val="24"/>
          <w:lang/>
        </w:rPr>
        <w:t>З метою оподаткування податком на додану вартість товари, які придбані, вироблені до 14 квітня 2014 року і які станом на 1 січня 2017 року знаходяться на тимчасово окупованій території, не вважаються:</w:t>
      </w:r>
    </w:p>
    <w:p w14:paraId="17D3401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59" w:name="n15085"/>
      <w:bookmarkEnd w:id="10959"/>
      <w:r w:rsidRPr="008B264B">
        <w:rPr>
          <w:rFonts w:ascii="Times New Roman" w:eastAsia="Times New Roman" w:hAnsi="Times New Roman" w:cs="Times New Roman"/>
          <w:i/>
          <w:iCs/>
          <w:color w:val="000000"/>
          <w:sz w:val="24"/>
          <w:szCs w:val="24"/>
          <w:lang/>
        </w:rPr>
        <w:t>{Підпункт 38.10 пункту 38 підрозділу 10 розділу XX доповнено абзацом четвертим згідно із Законом </w:t>
      </w:r>
      <w:hyperlink r:id="rId6256" w:anchor="n56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E4E8B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0" w:name="n15082"/>
      <w:bookmarkEnd w:id="10960"/>
      <w:r w:rsidRPr="008B264B">
        <w:rPr>
          <w:rFonts w:ascii="Times New Roman" w:eastAsia="Times New Roman" w:hAnsi="Times New Roman" w:cs="Times New Roman"/>
          <w:color w:val="000000"/>
          <w:sz w:val="24"/>
          <w:szCs w:val="24"/>
          <w:lang/>
        </w:rPr>
        <w:t>такими, що призначаються для використання (або починають/почали використовуватися) в операціях, що не є господарською діяльністю платника податків.</w:t>
      </w:r>
    </w:p>
    <w:p w14:paraId="4656CC7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1" w:name="n15084"/>
      <w:bookmarkEnd w:id="10961"/>
      <w:r w:rsidRPr="008B264B">
        <w:rPr>
          <w:rFonts w:ascii="Times New Roman" w:eastAsia="Times New Roman" w:hAnsi="Times New Roman" w:cs="Times New Roman"/>
          <w:i/>
          <w:iCs/>
          <w:color w:val="000000"/>
          <w:sz w:val="24"/>
          <w:szCs w:val="24"/>
          <w:lang/>
        </w:rPr>
        <w:t>{Підпункт 38.10 пункту 38 підрозділу 10 розділу XX доповнено абзацом п'ятим згідно із Законом </w:t>
      </w:r>
      <w:hyperlink r:id="rId6257" w:anchor="n56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0AEF78A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2" w:name="n15083"/>
      <w:bookmarkEnd w:id="10962"/>
      <w:r w:rsidRPr="008B264B">
        <w:rPr>
          <w:rFonts w:ascii="Times New Roman" w:eastAsia="Times New Roman" w:hAnsi="Times New Roman" w:cs="Times New Roman"/>
          <w:color w:val="000000"/>
          <w:sz w:val="24"/>
          <w:szCs w:val="24"/>
          <w:lang/>
        </w:rPr>
        <w:t>Положення </w:t>
      </w:r>
      <w:hyperlink r:id="rId6258" w:anchor="n4954" w:history="1">
        <w:r w:rsidRPr="008B264B">
          <w:rPr>
            <w:rFonts w:ascii="Times New Roman" w:eastAsia="Times New Roman" w:hAnsi="Times New Roman" w:cs="Times New Roman"/>
            <w:color w:val="0000FF"/>
            <w:sz w:val="24"/>
            <w:szCs w:val="24"/>
            <w:u w:val="single"/>
            <w:lang/>
          </w:rPr>
          <w:t>підпунктів "в"</w:t>
        </w:r>
      </w:hyperlink>
      <w:r w:rsidRPr="008B264B">
        <w:rPr>
          <w:rFonts w:ascii="Times New Roman" w:eastAsia="Times New Roman" w:hAnsi="Times New Roman" w:cs="Times New Roman"/>
          <w:color w:val="000000"/>
          <w:sz w:val="24"/>
          <w:szCs w:val="24"/>
          <w:lang/>
        </w:rPr>
        <w:t> та </w:t>
      </w:r>
      <w:hyperlink r:id="rId6259" w:anchor="n4955" w:history="1">
        <w:r w:rsidRPr="008B264B">
          <w:rPr>
            <w:rFonts w:ascii="Times New Roman" w:eastAsia="Times New Roman" w:hAnsi="Times New Roman" w:cs="Times New Roman"/>
            <w:color w:val="0000FF"/>
            <w:sz w:val="24"/>
            <w:szCs w:val="24"/>
            <w:u w:val="single"/>
            <w:lang/>
          </w:rPr>
          <w:t>"г"</w:t>
        </w:r>
      </w:hyperlink>
      <w:r w:rsidRPr="008B264B">
        <w:rPr>
          <w:rFonts w:ascii="Times New Roman" w:eastAsia="Times New Roman" w:hAnsi="Times New Roman" w:cs="Times New Roman"/>
          <w:color w:val="000000"/>
          <w:sz w:val="24"/>
          <w:szCs w:val="24"/>
          <w:lang/>
        </w:rPr>
        <w:t> пункту 198.5 статті 198 цього Кодексу не застосовуються.</w:t>
      </w:r>
    </w:p>
    <w:p w14:paraId="1FF5779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3" w:name="n15080"/>
      <w:bookmarkEnd w:id="10963"/>
      <w:r w:rsidRPr="008B264B">
        <w:rPr>
          <w:rFonts w:ascii="Times New Roman" w:eastAsia="Times New Roman" w:hAnsi="Times New Roman" w:cs="Times New Roman"/>
          <w:i/>
          <w:iCs/>
          <w:color w:val="000000"/>
          <w:sz w:val="24"/>
          <w:szCs w:val="24"/>
          <w:lang/>
        </w:rPr>
        <w:t>{Підпункт 38.10 пункту 38 підрозділу 10 розділу XX доповнено абзацом шостим згідно із Законом </w:t>
      </w:r>
      <w:hyperlink r:id="rId6260" w:anchor="n565"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26F8ACA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4" w:name="n14658"/>
      <w:bookmarkEnd w:id="10964"/>
      <w:r w:rsidRPr="008B264B">
        <w:rPr>
          <w:rFonts w:ascii="Times New Roman" w:eastAsia="Times New Roman" w:hAnsi="Times New Roman" w:cs="Times New Roman"/>
          <w:color w:val="000000"/>
          <w:sz w:val="24"/>
          <w:szCs w:val="24"/>
          <w:lang/>
        </w:rPr>
        <w:t>38.11. Тимчасово, до завершення проведення антитерористичної операції та/або операції Об’єднаних сил (ООС), до платників податків/податкових агентів, які провадили діяльність на тимчасово окупованій території та/або території населених пунктів на лінії зіткнення, вільної економічної зони "Крим" і не можуть пред’явити первинні документи, на підставі яких здійснюється облік доходів, витрат та інших показників, пов’язаних з визначенням об’єктів оподаткування та/або податкових зобов’язань, як виняток із положень </w:t>
      </w:r>
      <w:hyperlink r:id="rId6261" w:anchor="n1110" w:history="1">
        <w:r w:rsidRPr="008B264B">
          <w:rPr>
            <w:rFonts w:ascii="Times New Roman" w:eastAsia="Times New Roman" w:hAnsi="Times New Roman" w:cs="Times New Roman"/>
            <w:color w:val="0000FF"/>
            <w:sz w:val="24"/>
            <w:szCs w:val="24"/>
            <w:u w:val="single"/>
            <w:lang/>
          </w:rPr>
          <w:t>статті 44</w:t>
        </w:r>
      </w:hyperlink>
      <w:r w:rsidRPr="008B264B">
        <w:rPr>
          <w:rFonts w:ascii="Times New Roman" w:eastAsia="Times New Roman" w:hAnsi="Times New Roman" w:cs="Times New Roman"/>
          <w:color w:val="000000"/>
          <w:sz w:val="24"/>
          <w:szCs w:val="24"/>
          <w:lang/>
        </w:rPr>
        <w:t> цього Кодексу застосовуються спеціальні правила для підтвердження даних, визначених у податковій звітності.</w:t>
      </w:r>
    </w:p>
    <w:p w14:paraId="2D0528C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5" w:name="n15086"/>
      <w:bookmarkEnd w:id="10965"/>
      <w:r w:rsidRPr="008B264B">
        <w:rPr>
          <w:rFonts w:ascii="Times New Roman" w:eastAsia="Times New Roman" w:hAnsi="Times New Roman" w:cs="Times New Roman"/>
          <w:i/>
          <w:iCs/>
          <w:color w:val="000000"/>
          <w:sz w:val="24"/>
          <w:szCs w:val="24"/>
          <w:lang/>
        </w:rPr>
        <w:t>{Абзац перший підпункту 38.11 пункту 38 підрозділу 10 розділу XX із змінами, внесеними згідно із Законом </w:t>
      </w:r>
      <w:hyperlink r:id="rId6262" w:anchor="n570"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39F998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6" w:name="n14659"/>
      <w:bookmarkEnd w:id="10966"/>
      <w:r w:rsidRPr="008B264B">
        <w:rPr>
          <w:rFonts w:ascii="Times New Roman" w:eastAsia="Times New Roman" w:hAnsi="Times New Roman" w:cs="Times New Roman"/>
          <w:color w:val="000000"/>
          <w:sz w:val="24"/>
          <w:szCs w:val="24"/>
          <w:lang/>
        </w:rPr>
        <w:t>Підстави неможливості пред’явлення первинних документів:</w:t>
      </w:r>
    </w:p>
    <w:p w14:paraId="3756BAE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7" w:name="n14660"/>
      <w:bookmarkEnd w:id="10967"/>
      <w:r w:rsidRPr="008B264B">
        <w:rPr>
          <w:rFonts w:ascii="Times New Roman" w:eastAsia="Times New Roman" w:hAnsi="Times New Roman" w:cs="Times New Roman"/>
          <w:color w:val="000000"/>
          <w:sz w:val="24"/>
          <w:szCs w:val="24"/>
          <w:lang/>
        </w:rPr>
        <w:t>первинні документи втрачені (знищені чи зіпсовані) у зв’язку з проведенням антитерористичної операції;</w:t>
      </w:r>
    </w:p>
    <w:p w14:paraId="154CA2E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8" w:name="n14661"/>
      <w:bookmarkEnd w:id="10968"/>
      <w:r w:rsidRPr="008B264B">
        <w:rPr>
          <w:rFonts w:ascii="Times New Roman" w:eastAsia="Times New Roman" w:hAnsi="Times New Roman" w:cs="Times New Roman"/>
          <w:color w:val="000000"/>
          <w:sz w:val="24"/>
          <w:szCs w:val="24"/>
          <w:lang/>
        </w:rPr>
        <w:t>первинні документи знаходяться на тимчасово окупованій території та/або території населених пунктів на лінії зіткнення, вільної економічної зони "Крим" і їх неможливо вивезти або їх вивезення пов’язане з ризиком для життя та здоров’я платника податків, фізичних осіб чи неможливе у зв’язку з іншими адміністративними перешкодами, встановленими органами влади.</w:t>
      </w:r>
    </w:p>
    <w:p w14:paraId="38117AB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69" w:name="n15087"/>
      <w:bookmarkEnd w:id="10969"/>
      <w:r w:rsidRPr="008B264B">
        <w:rPr>
          <w:rFonts w:ascii="Times New Roman" w:eastAsia="Times New Roman" w:hAnsi="Times New Roman" w:cs="Times New Roman"/>
          <w:i/>
          <w:iCs/>
          <w:color w:val="000000"/>
          <w:sz w:val="24"/>
          <w:szCs w:val="24"/>
          <w:lang/>
        </w:rPr>
        <w:t>{Абзац четвертий підпункту 38.11 пункту 38 підрозділу 10 розділу XX із змінами, внесеними згідно із Законом </w:t>
      </w:r>
      <w:hyperlink r:id="rId6263" w:anchor="n571"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19D845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0" w:name="n14662"/>
      <w:bookmarkEnd w:id="10970"/>
      <w:r w:rsidRPr="008B264B">
        <w:rPr>
          <w:rFonts w:ascii="Times New Roman" w:eastAsia="Times New Roman" w:hAnsi="Times New Roman" w:cs="Times New Roman"/>
          <w:color w:val="000000"/>
          <w:sz w:val="24"/>
          <w:szCs w:val="24"/>
          <w:lang/>
        </w:rPr>
        <w:lastRenderedPageBreak/>
        <w:t>У разі втрати та/або неможливості вивезення первинних документів платник податків/податковий агент за місцем свого обліку подає до контролюючого органу в довільній формі повідомлення про неможливість вивезення первинних документів, підписане керівником підприємства та головним бухгалтером, в якому зазначаються: обставини, що призвели до втрати та/або неможливості вивезення первинних документів, податкові (звітні) періоди, а також загальний перелік первинних документів (за можливості - із зазначенням реквізитів).</w:t>
      </w:r>
    </w:p>
    <w:p w14:paraId="62E9D5F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1" w:name="n14663"/>
      <w:bookmarkEnd w:id="10971"/>
      <w:r w:rsidRPr="008B264B">
        <w:rPr>
          <w:rFonts w:ascii="Times New Roman" w:eastAsia="Times New Roman" w:hAnsi="Times New Roman" w:cs="Times New Roman"/>
          <w:color w:val="000000"/>
          <w:sz w:val="24"/>
          <w:szCs w:val="24"/>
          <w:lang/>
        </w:rPr>
        <w:t>Дані та показники податкової звітності платника податків/податкового агента за податкові (звітні) періоди, зазначені у повідомленні, не можуть бути піддані сумніву лише на підставі відсутності первинних документів. Подане повідомлення є також підставою для збереження витрат (включаючи витрати у зв’язку з придбанням цінних паперів/корпоративних прав) та/або від’ємного значення об’єкта оподаткування податком на прибуток (включаючи від’ємний фінансовий результат за операціями з цінними паперами/корпоративними правами), та/або податкового кредиту з податку на додану вартість, та/або суми від’ємного значення податку на додану вартість минулих податкових (звітних) періодів без наявності договірних, розрахункових, платіжних та інших первинних документів, обов’язковість ведення і зберігання яких передбачена правилами ведення бухгалтерського обліку та нарахування податку.</w:t>
      </w:r>
    </w:p>
    <w:p w14:paraId="3FC33E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2" w:name="n14664"/>
      <w:bookmarkEnd w:id="10972"/>
      <w:r w:rsidRPr="008B264B">
        <w:rPr>
          <w:rFonts w:ascii="Times New Roman" w:eastAsia="Times New Roman" w:hAnsi="Times New Roman" w:cs="Times New Roman"/>
          <w:color w:val="000000"/>
          <w:sz w:val="24"/>
          <w:szCs w:val="24"/>
          <w:lang/>
        </w:rPr>
        <w:t>Після подання до контролюючого органу повідомлення про неможливість вивезення первинних документів та/або операції Об’єднаних сил (ООС) запроваджується мораторій на проведення будь-яких перевірок щодо зазначених у повідомленні податкових (звітних) періодів.</w:t>
      </w:r>
    </w:p>
    <w:p w14:paraId="403F9F1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3" w:name="n15458"/>
      <w:bookmarkEnd w:id="10973"/>
      <w:r w:rsidRPr="008B264B">
        <w:rPr>
          <w:rFonts w:ascii="Times New Roman" w:eastAsia="Times New Roman" w:hAnsi="Times New Roman" w:cs="Times New Roman"/>
          <w:i/>
          <w:iCs/>
          <w:color w:val="000000"/>
          <w:sz w:val="24"/>
          <w:szCs w:val="24"/>
          <w:lang/>
        </w:rPr>
        <w:t>{Абзац сьомий підпункту 38.11 пункту 38 підрозділу 10 розділу ХХ із змінами, внесеними згідно із Законом </w:t>
      </w:r>
      <w:hyperlink r:id="rId6264" w:anchor="n748"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3C608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4" w:name="n14665"/>
      <w:bookmarkEnd w:id="10974"/>
      <w:r w:rsidRPr="008B264B">
        <w:rPr>
          <w:rFonts w:ascii="Times New Roman" w:eastAsia="Times New Roman" w:hAnsi="Times New Roman" w:cs="Times New Roman"/>
          <w:color w:val="000000"/>
          <w:sz w:val="24"/>
          <w:szCs w:val="24"/>
          <w:lang/>
        </w:rPr>
        <w:t>Якщо після подання повідомлення про неможливість вивезення первинних документів платнику податків/податковому агенту стане відомо про втрату цих документів, такий платник податків/податковий агент зобов’язаний подати до контролюючого органу повідомлення про втрату первинних документів із зазначенням обставин такої втрати.</w:t>
      </w:r>
    </w:p>
    <w:p w14:paraId="3F3268E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5" w:name="n14666"/>
      <w:bookmarkEnd w:id="10975"/>
      <w:r w:rsidRPr="008B264B">
        <w:rPr>
          <w:rFonts w:ascii="Times New Roman" w:eastAsia="Times New Roman" w:hAnsi="Times New Roman" w:cs="Times New Roman"/>
          <w:color w:val="000000"/>
          <w:sz w:val="24"/>
          <w:szCs w:val="24"/>
          <w:lang/>
        </w:rPr>
        <w:t>Платники податків/податкові агенти, які подали повідомлення про втрату первинних документів відповідно до цього підпункту, не можуть бути перевірені контролюючим органом щодо зазначених у повідомленні податкових (звітних) періодів, у тому числі після завершення проведення антитерористичної операції.</w:t>
      </w:r>
    </w:p>
    <w:p w14:paraId="0BEF1F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6" w:name="n14667"/>
      <w:bookmarkEnd w:id="10976"/>
      <w:r w:rsidRPr="008B264B">
        <w:rPr>
          <w:rFonts w:ascii="Times New Roman" w:eastAsia="Times New Roman" w:hAnsi="Times New Roman" w:cs="Times New Roman"/>
          <w:color w:val="000000"/>
          <w:sz w:val="24"/>
          <w:szCs w:val="24"/>
          <w:lang/>
        </w:rPr>
        <w:t>Втрата документів, що не пов’язана з проведенням антитерористичної операції, не надає права платнику податків/податковому агенту застосовувати положення цього підпункту.</w:t>
      </w:r>
    </w:p>
    <w:p w14:paraId="6F859FA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7" w:name="n14668"/>
      <w:bookmarkEnd w:id="10977"/>
      <w:r w:rsidRPr="008B264B">
        <w:rPr>
          <w:rFonts w:ascii="Times New Roman" w:eastAsia="Times New Roman" w:hAnsi="Times New Roman" w:cs="Times New Roman"/>
          <w:color w:val="000000"/>
          <w:sz w:val="24"/>
          <w:szCs w:val="24"/>
          <w:lang/>
        </w:rPr>
        <w:t>Зазначені в цьому підпункті положення застосовуються до платників податків/податкових агентів, які станом на 1 квітня 2017 року здійснили зміну свого місцезнаходження (місця проживання) з тимчасово окупованої території та/або території населених пунктів на лінії зіткнення на іншу територію України та сплачували податки до бюджету в період проведення антитерористичної операції згідно з цим Кодексом.</w:t>
      </w:r>
    </w:p>
    <w:p w14:paraId="744B13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8" w:name="n14669"/>
      <w:bookmarkEnd w:id="10978"/>
      <w:r w:rsidRPr="008B264B">
        <w:rPr>
          <w:rFonts w:ascii="Times New Roman" w:eastAsia="Times New Roman" w:hAnsi="Times New Roman" w:cs="Times New Roman"/>
          <w:color w:val="000000"/>
          <w:sz w:val="24"/>
          <w:szCs w:val="24"/>
          <w:lang/>
        </w:rPr>
        <w:t>Платник податків/податковий агент не може застосовувати положення цього підпункту щодо податкових (звітних) періодів після перереєстрації підприємства на іншій території України.</w:t>
      </w:r>
    </w:p>
    <w:p w14:paraId="7F4A21C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79" w:name="n14670"/>
      <w:bookmarkEnd w:id="10979"/>
      <w:r w:rsidRPr="008B264B">
        <w:rPr>
          <w:rFonts w:ascii="Times New Roman" w:eastAsia="Times New Roman" w:hAnsi="Times New Roman" w:cs="Times New Roman"/>
          <w:color w:val="000000"/>
          <w:sz w:val="24"/>
          <w:szCs w:val="24"/>
          <w:lang/>
        </w:rPr>
        <w:t>Обов’язок доведення відсутності підстав для застосування положень цього підпункту покладається на контролюючий орган. Платник податків/податковий агент, який безпідставно застосував положення цього підпункту, вважається таким, що ухиляється від сплати податків та несе відповідальність, передбачену цим Кодексом та іншими законами України.</w:t>
      </w:r>
    </w:p>
    <w:p w14:paraId="59FEC5E7"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0" w:name="n14671"/>
      <w:bookmarkEnd w:id="10980"/>
      <w:r w:rsidRPr="008B264B">
        <w:rPr>
          <w:rFonts w:ascii="Times New Roman" w:eastAsia="Times New Roman" w:hAnsi="Times New Roman" w:cs="Times New Roman"/>
          <w:color w:val="000000"/>
          <w:sz w:val="24"/>
          <w:szCs w:val="24"/>
          <w:lang/>
        </w:rPr>
        <w:t>У разі відмови контролюючого органу у застосуванні положень цього підпункту контролюючий орган зобов’язаний видати вмотивоване рішення у строк не пізніше одного місяця з дати отримання відповідного повідомлення від платника податків/податкового агента, в якому зазначаються підстави та докази такої відмови.</w:t>
      </w:r>
    </w:p>
    <w:p w14:paraId="1DFB1D7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1" w:name="n14672"/>
      <w:bookmarkEnd w:id="10981"/>
      <w:r w:rsidRPr="008B264B">
        <w:rPr>
          <w:rFonts w:ascii="Times New Roman" w:eastAsia="Times New Roman" w:hAnsi="Times New Roman" w:cs="Times New Roman"/>
          <w:color w:val="000000"/>
          <w:sz w:val="24"/>
          <w:szCs w:val="24"/>
          <w:lang/>
        </w:rPr>
        <w:lastRenderedPageBreak/>
        <w:t>Рішення контролюючого органу може бути оскаржено в адміністративному чи судовому порядку. До винесення остаточного рішення по справі контролюючий орган не може піддати сумніву показники податкової звітності, а також ініціювати проведення будь-якої перевірки платника податків/податкового агента щодо податкових (звітних) періодів, зазначених у відповідному повідомленні.</w:t>
      </w:r>
    </w:p>
    <w:p w14:paraId="45A528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2" w:name="n14673"/>
      <w:bookmarkEnd w:id="10982"/>
      <w:r w:rsidRPr="008B264B">
        <w:rPr>
          <w:rFonts w:ascii="Times New Roman" w:eastAsia="Times New Roman" w:hAnsi="Times New Roman" w:cs="Times New Roman"/>
          <w:color w:val="000000"/>
          <w:sz w:val="24"/>
          <w:szCs w:val="24"/>
          <w:lang/>
        </w:rPr>
        <w:t>У податкових (звітних) періодах, зазначених у відповідному повідомленні, не може бути переглянуто у бік збільшення суми податкових зобов’язань з податків і зборів, задекларовані в податкових деклараціях за вказані податкові (звітні) періоди, у бік збільшення суми від’ємного значення об’єкта оподаткування податком на прибуток, задекларовані в податкових деклараціях/розрахунках за вказані податкові (звітні) періоди, у бік збільшення суми бюджетного відшкодування податку на додану вартість, заявлені в податкових деклараціях за вказані звітні періоди.</w:t>
      </w:r>
    </w:p>
    <w:p w14:paraId="6C0DD10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3" w:name="n15457"/>
      <w:bookmarkEnd w:id="10983"/>
      <w:r w:rsidRPr="008B264B">
        <w:rPr>
          <w:rFonts w:ascii="Times New Roman" w:eastAsia="Times New Roman" w:hAnsi="Times New Roman" w:cs="Times New Roman"/>
          <w:i/>
          <w:iCs/>
          <w:color w:val="000000"/>
          <w:sz w:val="24"/>
          <w:szCs w:val="24"/>
          <w:lang/>
        </w:rPr>
        <w:t>{Підпункт 38.11 пункту 38 підрозділу 10 розділу ХХ із змінами, внесеними згідно із Законом </w:t>
      </w:r>
      <w:hyperlink r:id="rId6265" w:anchor="n747"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p w14:paraId="69186F5A"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4" w:name="n14566"/>
      <w:bookmarkEnd w:id="10984"/>
      <w:r w:rsidRPr="008B264B">
        <w:rPr>
          <w:rFonts w:ascii="Times New Roman" w:eastAsia="Times New Roman" w:hAnsi="Times New Roman" w:cs="Times New Roman"/>
          <w:i/>
          <w:iCs/>
          <w:color w:val="000000"/>
          <w:sz w:val="24"/>
          <w:szCs w:val="24"/>
          <w:lang/>
        </w:rPr>
        <w:t>{Підрозділ 10 розділу XX доповнено пунктом 38 згідно із Законом </w:t>
      </w:r>
      <w:hyperlink r:id="rId6266" w:anchor="n15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 в редакції Закону </w:t>
      </w:r>
      <w:hyperlink r:id="rId6267" w:anchor="n5" w:tgtFrame="_blank" w:history="1">
        <w:r w:rsidRPr="008B264B">
          <w:rPr>
            <w:rFonts w:ascii="Times New Roman" w:eastAsia="Times New Roman" w:hAnsi="Times New Roman" w:cs="Times New Roman"/>
            <w:i/>
            <w:iCs/>
            <w:color w:val="0000FF"/>
            <w:sz w:val="24"/>
            <w:szCs w:val="24"/>
            <w:u w:val="single"/>
            <w:lang/>
          </w:rPr>
          <w:t>№ 1989-VIII від 23.03.2017</w:t>
        </w:r>
      </w:hyperlink>
      <w:r w:rsidRPr="008B264B">
        <w:rPr>
          <w:rFonts w:ascii="Times New Roman" w:eastAsia="Times New Roman" w:hAnsi="Times New Roman" w:cs="Times New Roman"/>
          <w:i/>
          <w:iCs/>
          <w:color w:val="000000"/>
          <w:sz w:val="24"/>
          <w:szCs w:val="24"/>
          <w:lang/>
        </w:rPr>
        <w:t> - застосовується до податкових періодів, починаючи з 1 січня 2017 року}</w:t>
      </w:r>
    </w:p>
    <w:p w14:paraId="6974B4EC"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5" w:name="n14559"/>
      <w:bookmarkEnd w:id="10985"/>
      <w:r w:rsidRPr="008B264B">
        <w:rPr>
          <w:rFonts w:ascii="Times New Roman" w:eastAsia="Times New Roman" w:hAnsi="Times New Roman" w:cs="Times New Roman"/>
          <w:color w:val="000000"/>
          <w:sz w:val="24"/>
          <w:szCs w:val="24"/>
          <w:lang/>
        </w:rPr>
        <w:t>39. Індивідуальна податкова консультація, надана контролюючим органом у письмовій або електронній формі до 31 березня 2017 року (включно), звільняє платника податків (податкового агента та/або його посадову особу) від відповідальності, включаючи фінансову (штрафні санкції та/або пеню), за діяння, що містять ознаки податкового правопорушення, вчинені до 31 грудня 2017 року (включно).</w:t>
      </w:r>
    </w:p>
    <w:p w14:paraId="3D4DAAC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6" w:name="n14560"/>
      <w:bookmarkEnd w:id="10986"/>
      <w:r w:rsidRPr="008B264B">
        <w:rPr>
          <w:rFonts w:ascii="Times New Roman" w:eastAsia="Times New Roman" w:hAnsi="Times New Roman" w:cs="Times New Roman"/>
          <w:color w:val="000000"/>
          <w:sz w:val="24"/>
          <w:szCs w:val="24"/>
          <w:lang/>
        </w:rPr>
        <w:t>З 1 січня 2018 року індивідуальна податкова консультація, надана контролюючим органом у письмовій або електронній формі до 31 березня 2017 року (включно), не підлягає застосуванню.</w:t>
      </w:r>
    </w:p>
    <w:p w14:paraId="679DADD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7" w:name="n14565"/>
      <w:bookmarkEnd w:id="10987"/>
      <w:r w:rsidRPr="008B264B">
        <w:rPr>
          <w:rFonts w:ascii="Times New Roman" w:eastAsia="Times New Roman" w:hAnsi="Times New Roman" w:cs="Times New Roman"/>
          <w:i/>
          <w:iCs/>
          <w:color w:val="000000"/>
          <w:sz w:val="24"/>
          <w:szCs w:val="24"/>
          <w:lang/>
        </w:rPr>
        <w:t>{Підрозділ 10 розділу XX доповнено пунктом 39 згідно із Законом </w:t>
      </w:r>
      <w:hyperlink r:id="rId6268" w:anchor="n15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722321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8" w:name="n14561"/>
      <w:bookmarkEnd w:id="10988"/>
      <w:r w:rsidRPr="008B264B">
        <w:rPr>
          <w:rFonts w:ascii="Times New Roman" w:eastAsia="Times New Roman" w:hAnsi="Times New Roman" w:cs="Times New Roman"/>
          <w:color w:val="000000"/>
          <w:sz w:val="24"/>
          <w:szCs w:val="24"/>
          <w:lang/>
        </w:rPr>
        <w:t>40. </w:t>
      </w:r>
      <w:hyperlink r:id="rId6269" w:anchor="n2258" w:history="1">
        <w:r w:rsidRPr="008B264B">
          <w:rPr>
            <w:rFonts w:ascii="Times New Roman" w:eastAsia="Times New Roman" w:hAnsi="Times New Roman" w:cs="Times New Roman"/>
            <w:color w:val="0000FF"/>
            <w:sz w:val="24"/>
            <w:szCs w:val="24"/>
            <w:u w:val="single"/>
            <w:lang/>
          </w:rPr>
          <w:t>Пункт 100.9</w:t>
        </w:r>
      </w:hyperlink>
      <w:r w:rsidRPr="008B264B">
        <w:rPr>
          <w:rFonts w:ascii="Times New Roman" w:eastAsia="Times New Roman" w:hAnsi="Times New Roman" w:cs="Times New Roman"/>
          <w:color w:val="000000"/>
          <w:sz w:val="24"/>
          <w:szCs w:val="24"/>
          <w:lang/>
        </w:rPr>
        <w:t> цього Кодексу застосовується до грошових зобов’язань чи податкового боргу, що виникли після набрання чинності Законом України "Про внесення змін до Податкового кодексу України щодо покращення інвестиційного клімату в Україні".</w:t>
      </w:r>
    </w:p>
    <w:p w14:paraId="65E8B6A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89" w:name="n14564"/>
      <w:bookmarkEnd w:id="10989"/>
      <w:r w:rsidRPr="008B264B">
        <w:rPr>
          <w:rFonts w:ascii="Times New Roman" w:eastAsia="Times New Roman" w:hAnsi="Times New Roman" w:cs="Times New Roman"/>
          <w:i/>
          <w:iCs/>
          <w:color w:val="000000"/>
          <w:sz w:val="24"/>
          <w:szCs w:val="24"/>
          <w:lang/>
        </w:rPr>
        <w:t>{Підрозділ 10 розділу XX доповнено пунктом 40 згідно із Законом </w:t>
      </w:r>
      <w:hyperlink r:id="rId6270" w:anchor="n15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BB33E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0" w:name="n14562"/>
      <w:bookmarkEnd w:id="10990"/>
      <w:r w:rsidRPr="008B264B">
        <w:rPr>
          <w:rFonts w:ascii="Times New Roman" w:eastAsia="Times New Roman" w:hAnsi="Times New Roman" w:cs="Times New Roman"/>
          <w:color w:val="000000"/>
          <w:sz w:val="24"/>
          <w:szCs w:val="24"/>
          <w:lang/>
        </w:rPr>
        <w:t>41. Господарські операції, визначені </w:t>
      </w:r>
      <w:hyperlink r:id="rId6271" w:anchor="n13621" w:history="1">
        <w:r w:rsidRPr="008B264B">
          <w:rPr>
            <w:rFonts w:ascii="Times New Roman" w:eastAsia="Times New Roman" w:hAnsi="Times New Roman" w:cs="Times New Roman"/>
            <w:color w:val="0000FF"/>
            <w:sz w:val="24"/>
            <w:szCs w:val="24"/>
            <w:u w:val="single"/>
            <w:lang/>
          </w:rPr>
          <w:t>підпунктом "г"</w:t>
        </w:r>
      </w:hyperlink>
      <w:r w:rsidRPr="008B264B">
        <w:rPr>
          <w:rFonts w:ascii="Times New Roman" w:eastAsia="Times New Roman" w:hAnsi="Times New Roman" w:cs="Times New Roman"/>
          <w:color w:val="000000"/>
          <w:sz w:val="24"/>
          <w:szCs w:val="24"/>
          <w:lang/>
        </w:rPr>
        <w:t> підпункту 39.2.1.1 підпункту 39.2.1 пункту 39.2 статті 39 цього Кодексу, визнаються контрольованими з дати набрання чинності переліком організаційно-правових форм нерезидентів в розрізі держав (територій), затвердженим Кабінетом Міністрів України відповідно до підпункту "г" підпункту 39.2.1.1 підпункту 39.2.1 пункту 39.2 статті 39 цього Кодексу.</w:t>
      </w:r>
    </w:p>
    <w:p w14:paraId="1675FE1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1" w:name="n14563"/>
      <w:bookmarkEnd w:id="10991"/>
      <w:r w:rsidRPr="008B264B">
        <w:rPr>
          <w:rFonts w:ascii="Times New Roman" w:eastAsia="Times New Roman" w:hAnsi="Times New Roman" w:cs="Times New Roman"/>
          <w:color w:val="000000"/>
          <w:sz w:val="24"/>
          <w:szCs w:val="24"/>
          <w:lang/>
        </w:rPr>
        <w:t>Умови, визначені </w:t>
      </w:r>
      <w:hyperlink r:id="rId6272" w:anchor="n10914" w:history="1">
        <w:r w:rsidRPr="008B264B">
          <w:rPr>
            <w:rFonts w:ascii="Times New Roman" w:eastAsia="Times New Roman" w:hAnsi="Times New Roman" w:cs="Times New Roman"/>
            <w:color w:val="0000FF"/>
            <w:sz w:val="24"/>
            <w:szCs w:val="24"/>
            <w:u w:val="single"/>
            <w:lang/>
          </w:rPr>
          <w:t>підпунктом 39.2.1.7</w:t>
        </w:r>
      </w:hyperlink>
      <w:r w:rsidRPr="008B264B">
        <w:rPr>
          <w:rFonts w:ascii="Times New Roman" w:eastAsia="Times New Roman" w:hAnsi="Times New Roman" w:cs="Times New Roman"/>
          <w:color w:val="000000"/>
          <w:sz w:val="24"/>
          <w:szCs w:val="24"/>
          <w:lang/>
        </w:rPr>
        <w:t> підпункту 39.2.1 пункту 39.2 статті 39 цього Кодексу щодо обсягу господарських операцій з кожним контрагентом, для цілей абзацу першого цього підпункту розраховується у 2017 році за підсумками звітного (календарного) року.</w:t>
      </w:r>
    </w:p>
    <w:p w14:paraId="47A208F5"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2" w:name="n14512"/>
      <w:bookmarkEnd w:id="10992"/>
      <w:r w:rsidRPr="008B264B">
        <w:rPr>
          <w:rFonts w:ascii="Times New Roman" w:eastAsia="Times New Roman" w:hAnsi="Times New Roman" w:cs="Times New Roman"/>
          <w:i/>
          <w:iCs/>
          <w:color w:val="000000"/>
          <w:sz w:val="24"/>
          <w:szCs w:val="24"/>
          <w:lang/>
        </w:rPr>
        <w:t>{Підрозділ 10 розділу XX доповнено пунктом 41 згідно із Законом </w:t>
      </w:r>
      <w:hyperlink r:id="rId6273" w:anchor="n1552" w:tgtFrame="_blank" w:history="1">
        <w:r w:rsidRPr="008B264B">
          <w:rPr>
            <w:rFonts w:ascii="Times New Roman" w:eastAsia="Times New Roman" w:hAnsi="Times New Roman" w:cs="Times New Roman"/>
            <w:i/>
            <w:iCs/>
            <w:color w:val="0000FF"/>
            <w:sz w:val="24"/>
            <w:szCs w:val="24"/>
            <w:u w:val="single"/>
            <w:lang/>
          </w:rPr>
          <w:t>№ 1797-VIII від 21.12.2016</w:t>
        </w:r>
      </w:hyperlink>
      <w:r w:rsidRPr="008B264B">
        <w:rPr>
          <w:rFonts w:ascii="Times New Roman" w:eastAsia="Times New Roman" w:hAnsi="Times New Roman" w:cs="Times New Roman"/>
          <w:i/>
          <w:iCs/>
          <w:color w:val="000000"/>
          <w:sz w:val="24"/>
          <w:szCs w:val="24"/>
          <w:lang/>
        </w:rPr>
        <w:t>}</w:t>
      </w:r>
    </w:p>
    <w:p w14:paraId="2E3E6CD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3" w:name="n14676"/>
      <w:bookmarkEnd w:id="10993"/>
      <w:r w:rsidRPr="008B264B">
        <w:rPr>
          <w:rFonts w:ascii="Times New Roman" w:eastAsia="Times New Roman" w:hAnsi="Times New Roman" w:cs="Times New Roman"/>
          <w:color w:val="000000"/>
          <w:sz w:val="24"/>
          <w:szCs w:val="24"/>
          <w:lang/>
        </w:rPr>
        <w:t>42. Штрафні санкції, передбачені </w:t>
      </w:r>
      <w:hyperlink r:id="rId6274" w:anchor="n10586" w:history="1">
        <w:r w:rsidRPr="008B264B">
          <w:rPr>
            <w:rFonts w:ascii="Times New Roman" w:eastAsia="Times New Roman" w:hAnsi="Times New Roman" w:cs="Times New Roman"/>
            <w:color w:val="0000FF"/>
            <w:sz w:val="24"/>
            <w:szCs w:val="24"/>
            <w:u w:val="single"/>
            <w:lang/>
          </w:rPr>
          <w:t>пунктом 120</w:t>
        </w:r>
      </w:hyperlink>
      <w:hyperlink r:id="rId6275" w:anchor="n10586"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1</w:t>
        </w:r>
      </w:hyperlink>
      <w:hyperlink r:id="rId6276" w:anchor="n10586"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1</w:t>
      </w:r>
      <w:r w:rsidRPr="008B264B">
        <w:rPr>
          <w:rFonts w:ascii="Times New Roman" w:eastAsia="Times New Roman" w:hAnsi="Times New Roman" w:cs="Times New Roman"/>
          <w:color w:val="000000"/>
          <w:sz w:val="24"/>
          <w:szCs w:val="24"/>
          <w:lang/>
        </w:rPr>
        <w:t> цього Кодексу за порушення граничних строків для реєстрації податкових накладних та/або розрахунків коригування до податкових накладних у Єдиному реєстрі податкових накладних, встановлених </w:t>
      </w:r>
      <w:hyperlink r:id="rId6277" w:anchor="n5091" w:history="1">
        <w:r w:rsidRPr="008B264B">
          <w:rPr>
            <w:rFonts w:ascii="Times New Roman" w:eastAsia="Times New Roman" w:hAnsi="Times New Roman" w:cs="Times New Roman"/>
            <w:color w:val="0000FF"/>
            <w:sz w:val="24"/>
            <w:szCs w:val="24"/>
            <w:u w:val="single"/>
            <w:lang/>
          </w:rPr>
          <w:t>пунктом 201.10</w:t>
        </w:r>
      </w:hyperlink>
      <w:r w:rsidRPr="008B264B">
        <w:rPr>
          <w:rFonts w:ascii="Times New Roman" w:eastAsia="Times New Roman" w:hAnsi="Times New Roman" w:cs="Times New Roman"/>
          <w:color w:val="000000"/>
          <w:sz w:val="24"/>
          <w:szCs w:val="24"/>
          <w:lang/>
        </w:rPr>
        <w:t> статті 201 цього Кодексу, які були складені у період з 1 червня 2017 року по 30 червня 2017 року, не застосовуються до платника податків за умови реєстрації таких податкових накладних не пізніше 31 липня 2017 року.</w:t>
      </w:r>
    </w:p>
    <w:p w14:paraId="2BE2DCD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4" w:name="n14677"/>
      <w:bookmarkEnd w:id="10994"/>
      <w:r w:rsidRPr="008B264B">
        <w:rPr>
          <w:rFonts w:ascii="Times New Roman" w:eastAsia="Times New Roman" w:hAnsi="Times New Roman" w:cs="Times New Roman"/>
          <w:color w:val="000000"/>
          <w:sz w:val="24"/>
          <w:szCs w:val="24"/>
          <w:lang/>
        </w:rPr>
        <w:t>Податкові накладні та/або розрахунки коригувань до податкових накладних, складені у період з 1 червня 2017 року по 30 червня 2017 року та зареєстровані у Єдиному реєстрі податкових накладних не пізніше 31 липня 2017 року, вважаються своєчасно зареєстрованими.</w:t>
      </w:r>
    </w:p>
    <w:p w14:paraId="393EB7F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5" w:name="n14687"/>
      <w:bookmarkEnd w:id="10995"/>
      <w:r w:rsidRPr="008B264B">
        <w:rPr>
          <w:rFonts w:ascii="Times New Roman" w:eastAsia="Times New Roman" w:hAnsi="Times New Roman" w:cs="Times New Roman"/>
          <w:i/>
          <w:iCs/>
          <w:color w:val="000000"/>
          <w:sz w:val="24"/>
          <w:szCs w:val="24"/>
          <w:lang/>
        </w:rPr>
        <w:lastRenderedPageBreak/>
        <w:t>{Підрозділ 10 розділу XX доповнено пунктом 42 згідно із Законом </w:t>
      </w:r>
      <w:hyperlink r:id="rId6278" w:anchor="n5" w:tgtFrame="_blank" w:history="1">
        <w:r w:rsidRPr="008B264B">
          <w:rPr>
            <w:rFonts w:ascii="Times New Roman" w:eastAsia="Times New Roman" w:hAnsi="Times New Roman" w:cs="Times New Roman"/>
            <w:i/>
            <w:iCs/>
            <w:color w:val="0000FF"/>
            <w:sz w:val="24"/>
            <w:szCs w:val="24"/>
            <w:u w:val="single"/>
            <w:lang/>
          </w:rPr>
          <w:t>№ 2143-VIII від 13.07.2017</w:t>
        </w:r>
      </w:hyperlink>
      <w:r w:rsidRPr="008B264B">
        <w:rPr>
          <w:rFonts w:ascii="Times New Roman" w:eastAsia="Times New Roman" w:hAnsi="Times New Roman" w:cs="Times New Roman"/>
          <w:i/>
          <w:iCs/>
          <w:color w:val="000000"/>
          <w:sz w:val="24"/>
          <w:szCs w:val="24"/>
          <w:lang/>
        </w:rPr>
        <w:t>}</w:t>
      </w:r>
    </w:p>
    <w:p w14:paraId="3624376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6" w:name="n14678"/>
      <w:bookmarkEnd w:id="10996"/>
      <w:r w:rsidRPr="008B264B">
        <w:rPr>
          <w:rFonts w:ascii="Times New Roman" w:eastAsia="Times New Roman" w:hAnsi="Times New Roman" w:cs="Times New Roman"/>
          <w:color w:val="000000"/>
          <w:sz w:val="24"/>
          <w:szCs w:val="24"/>
          <w:lang/>
        </w:rPr>
        <w:t>43. Штрафні санкції, передбачені </w:t>
      </w:r>
      <w:hyperlink r:id="rId6279" w:anchor="n12701" w:history="1">
        <w:r w:rsidRPr="008B264B">
          <w:rPr>
            <w:rFonts w:ascii="Times New Roman" w:eastAsia="Times New Roman" w:hAnsi="Times New Roman" w:cs="Times New Roman"/>
            <w:color w:val="0000FF"/>
            <w:sz w:val="24"/>
            <w:szCs w:val="24"/>
            <w:u w:val="single"/>
            <w:lang/>
          </w:rPr>
          <w:t>пунктом 120</w:t>
        </w:r>
      </w:hyperlink>
      <w:hyperlink r:id="rId6280" w:anchor="n12701"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2</w:t>
        </w:r>
      </w:hyperlink>
      <w:hyperlink r:id="rId6281" w:anchor="n12701" w:history="1">
        <w:r w:rsidRPr="008B264B">
          <w:rPr>
            <w:rFonts w:ascii="Times New Roman" w:eastAsia="Times New Roman" w:hAnsi="Times New Roman" w:cs="Times New Roman"/>
            <w:color w:val="0000FF"/>
            <w:sz w:val="24"/>
            <w:szCs w:val="24"/>
            <w:u w:val="single"/>
            <w:lang/>
          </w:rPr>
          <w:t>.1</w:t>
        </w:r>
      </w:hyperlink>
      <w:r w:rsidRPr="008B264B">
        <w:rPr>
          <w:rFonts w:ascii="Times New Roman" w:eastAsia="Times New Roman" w:hAnsi="Times New Roman" w:cs="Times New Roman"/>
          <w:color w:val="000000"/>
          <w:sz w:val="24"/>
          <w:szCs w:val="24"/>
          <w:lang/>
        </w:rPr>
        <w:t> статті 120</w:t>
      </w:r>
      <w:r w:rsidRPr="008B264B">
        <w:rPr>
          <w:rFonts w:ascii="Times New Roman" w:eastAsia="Times New Roman" w:hAnsi="Times New Roman" w:cs="Times New Roman"/>
          <w:b/>
          <w:bCs/>
          <w:color w:val="000000"/>
          <w:sz w:val="2"/>
          <w:szCs w:val="2"/>
          <w:vertAlign w:val="superscript"/>
          <w:lang/>
        </w:rPr>
        <w:t>-</w:t>
      </w:r>
      <w:r w:rsidRPr="008B264B">
        <w:rPr>
          <w:rFonts w:ascii="Times New Roman" w:eastAsia="Times New Roman" w:hAnsi="Times New Roman" w:cs="Times New Roman"/>
          <w:b/>
          <w:bCs/>
          <w:color w:val="000000"/>
          <w:sz w:val="16"/>
          <w:szCs w:val="16"/>
          <w:vertAlign w:val="superscript"/>
          <w:lang/>
        </w:rPr>
        <w:t>2</w:t>
      </w:r>
      <w:r w:rsidRPr="008B264B">
        <w:rPr>
          <w:rFonts w:ascii="Times New Roman" w:eastAsia="Times New Roman" w:hAnsi="Times New Roman" w:cs="Times New Roman"/>
          <w:color w:val="000000"/>
          <w:sz w:val="24"/>
          <w:szCs w:val="24"/>
          <w:lang/>
        </w:rPr>
        <w:t> цього Кодексу за порушення граничних термінів реєстрації акцизних накладних та/або розрахунків коригування до акцизних накладних у Єдиному реєстрі акцизних накладних, встановлених </w:t>
      </w:r>
      <w:hyperlink r:id="rId6282" w:anchor="n13174" w:history="1">
        <w:r w:rsidRPr="008B264B">
          <w:rPr>
            <w:rFonts w:ascii="Times New Roman" w:eastAsia="Times New Roman" w:hAnsi="Times New Roman" w:cs="Times New Roman"/>
            <w:color w:val="0000FF"/>
            <w:sz w:val="24"/>
            <w:szCs w:val="24"/>
            <w:u w:val="single"/>
            <w:lang/>
          </w:rPr>
          <w:t>статтею 231</w:t>
        </w:r>
      </w:hyperlink>
      <w:r w:rsidRPr="008B264B">
        <w:rPr>
          <w:rFonts w:ascii="Times New Roman" w:eastAsia="Times New Roman" w:hAnsi="Times New Roman" w:cs="Times New Roman"/>
          <w:color w:val="000000"/>
          <w:sz w:val="24"/>
          <w:szCs w:val="24"/>
          <w:lang/>
        </w:rPr>
        <w:t> цього Кодексу, які були складені у період з 1 червня 2017 року по 30 червня 2017 року, не застосовуються до платника податків за умови реєстрації таких акцизних накладних не пізніше 31 липня 2017 року.</w:t>
      </w:r>
    </w:p>
    <w:p w14:paraId="266D440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7" w:name="n14679"/>
      <w:bookmarkEnd w:id="10997"/>
      <w:r w:rsidRPr="008B264B">
        <w:rPr>
          <w:rFonts w:ascii="Times New Roman" w:eastAsia="Times New Roman" w:hAnsi="Times New Roman" w:cs="Times New Roman"/>
          <w:color w:val="000000"/>
          <w:sz w:val="24"/>
          <w:szCs w:val="24"/>
          <w:lang/>
        </w:rPr>
        <w:t>Акцизні накладні та/або розрахунки коригувань до акцизних накладних, складені у період з 1 червня 2017 року по 30 червня 2017 року та зареєстровані у Єдиному реєстрі акцизних накладних не пізніше 31 липня 2017 року, вважаються своєчасно зареєстрованими.</w:t>
      </w:r>
    </w:p>
    <w:p w14:paraId="48D6A3F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8" w:name="n14686"/>
      <w:bookmarkEnd w:id="10998"/>
      <w:r w:rsidRPr="008B264B">
        <w:rPr>
          <w:rFonts w:ascii="Times New Roman" w:eastAsia="Times New Roman" w:hAnsi="Times New Roman" w:cs="Times New Roman"/>
          <w:i/>
          <w:iCs/>
          <w:color w:val="000000"/>
          <w:sz w:val="24"/>
          <w:szCs w:val="24"/>
          <w:lang/>
        </w:rPr>
        <w:t>{Підрозділ 10 розділу XX доповнено пунктом 43 згідно із Законом </w:t>
      </w:r>
      <w:hyperlink r:id="rId6283" w:anchor="n5" w:tgtFrame="_blank" w:history="1">
        <w:r w:rsidRPr="008B264B">
          <w:rPr>
            <w:rFonts w:ascii="Times New Roman" w:eastAsia="Times New Roman" w:hAnsi="Times New Roman" w:cs="Times New Roman"/>
            <w:i/>
            <w:iCs/>
            <w:color w:val="0000FF"/>
            <w:sz w:val="24"/>
            <w:szCs w:val="24"/>
            <w:u w:val="single"/>
            <w:lang/>
          </w:rPr>
          <w:t>№ 2143-VIII від 13.07.2017</w:t>
        </w:r>
      </w:hyperlink>
      <w:r w:rsidRPr="008B264B">
        <w:rPr>
          <w:rFonts w:ascii="Times New Roman" w:eastAsia="Times New Roman" w:hAnsi="Times New Roman" w:cs="Times New Roman"/>
          <w:i/>
          <w:iCs/>
          <w:color w:val="000000"/>
          <w:sz w:val="24"/>
          <w:szCs w:val="24"/>
          <w:lang/>
        </w:rPr>
        <w:t>}</w:t>
      </w:r>
    </w:p>
    <w:p w14:paraId="6D5C3CA0"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0999" w:name="n14680"/>
      <w:bookmarkEnd w:id="10999"/>
      <w:r w:rsidRPr="008B264B">
        <w:rPr>
          <w:rFonts w:ascii="Times New Roman" w:eastAsia="Times New Roman" w:hAnsi="Times New Roman" w:cs="Times New Roman"/>
          <w:color w:val="000000"/>
          <w:sz w:val="24"/>
          <w:szCs w:val="24"/>
          <w:lang/>
        </w:rPr>
        <w:t>44. Штрафні санкції, передбачені </w:t>
      </w:r>
      <w:hyperlink r:id="rId6284" w:anchor="n10602" w:history="1">
        <w:r w:rsidRPr="008B264B">
          <w:rPr>
            <w:rFonts w:ascii="Times New Roman" w:eastAsia="Times New Roman" w:hAnsi="Times New Roman" w:cs="Times New Roman"/>
            <w:color w:val="0000FF"/>
            <w:sz w:val="24"/>
            <w:szCs w:val="24"/>
            <w:u w:val="single"/>
            <w:lang/>
          </w:rPr>
          <w:t>абзацом другим пункту 126.1</w:t>
        </w:r>
      </w:hyperlink>
      <w:r w:rsidRPr="008B264B">
        <w:rPr>
          <w:rFonts w:ascii="Times New Roman" w:eastAsia="Times New Roman" w:hAnsi="Times New Roman" w:cs="Times New Roman"/>
          <w:color w:val="000000"/>
          <w:sz w:val="24"/>
          <w:szCs w:val="24"/>
          <w:lang/>
        </w:rPr>
        <w:t> статті 126 цього Кодексу, не застосовуються до узгоджених сум грошових зобов’язань із граничним строком сплати 30 червня 2017 року.</w:t>
      </w:r>
    </w:p>
    <w:p w14:paraId="068EAB6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0" w:name="n14685"/>
      <w:bookmarkEnd w:id="11000"/>
      <w:r w:rsidRPr="008B264B">
        <w:rPr>
          <w:rFonts w:ascii="Times New Roman" w:eastAsia="Times New Roman" w:hAnsi="Times New Roman" w:cs="Times New Roman"/>
          <w:i/>
          <w:iCs/>
          <w:color w:val="000000"/>
          <w:sz w:val="24"/>
          <w:szCs w:val="24"/>
          <w:lang/>
        </w:rPr>
        <w:t>{Підрозділ 10 розділу XX доповнено пунктом 44 згідно із Законом </w:t>
      </w:r>
      <w:hyperlink r:id="rId6285" w:anchor="n5" w:tgtFrame="_blank" w:history="1">
        <w:r w:rsidRPr="008B264B">
          <w:rPr>
            <w:rFonts w:ascii="Times New Roman" w:eastAsia="Times New Roman" w:hAnsi="Times New Roman" w:cs="Times New Roman"/>
            <w:i/>
            <w:iCs/>
            <w:color w:val="0000FF"/>
            <w:sz w:val="24"/>
            <w:szCs w:val="24"/>
            <w:u w:val="single"/>
            <w:lang/>
          </w:rPr>
          <w:t>№ 2143-VIII від 13.07.2017</w:t>
        </w:r>
      </w:hyperlink>
      <w:r w:rsidRPr="008B264B">
        <w:rPr>
          <w:rFonts w:ascii="Times New Roman" w:eastAsia="Times New Roman" w:hAnsi="Times New Roman" w:cs="Times New Roman"/>
          <w:i/>
          <w:iCs/>
          <w:color w:val="000000"/>
          <w:sz w:val="24"/>
          <w:szCs w:val="24"/>
          <w:lang/>
        </w:rPr>
        <w:t>}</w:t>
      </w:r>
    </w:p>
    <w:p w14:paraId="2A53649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1" w:name="n14681"/>
      <w:bookmarkEnd w:id="11001"/>
      <w:r w:rsidRPr="008B264B">
        <w:rPr>
          <w:rFonts w:ascii="Times New Roman" w:eastAsia="Times New Roman" w:hAnsi="Times New Roman" w:cs="Times New Roman"/>
          <w:color w:val="000000"/>
          <w:sz w:val="24"/>
          <w:szCs w:val="24"/>
          <w:lang/>
        </w:rPr>
        <w:t>45. Тимчасово, до 31 грудня 2017 року:</w:t>
      </w:r>
    </w:p>
    <w:p w14:paraId="5C47CA1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2" w:name="n14682"/>
      <w:bookmarkEnd w:id="11002"/>
      <w:r w:rsidRPr="008B264B">
        <w:rPr>
          <w:rFonts w:ascii="Times New Roman" w:eastAsia="Times New Roman" w:hAnsi="Times New Roman" w:cs="Times New Roman"/>
          <w:color w:val="000000"/>
          <w:sz w:val="24"/>
          <w:szCs w:val="24"/>
          <w:lang/>
        </w:rPr>
        <w:t>у разі втрати та/або пошкодження інформації (у тому числі інформації, що міститься у базах даних обліку платника податків) внаслідок несанкціонованого втручання в роботу комп’ютерних мереж платника податків та за наявності документів, що підтверджують зазначені події, платник податків протягом 10 календарних днів з дня набрання чинності </w:t>
      </w:r>
      <w:hyperlink r:id="rId6286" w:anchor="n2" w:tgtFrame="_blank" w:history="1">
        <w:r w:rsidRPr="008B264B">
          <w:rPr>
            <w:rFonts w:ascii="Times New Roman" w:eastAsia="Times New Roman" w:hAnsi="Times New Roman" w:cs="Times New Roman"/>
            <w:color w:val="0000FF"/>
            <w:sz w:val="24"/>
            <w:szCs w:val="24"/>
            <w:u w:val="single"/>
            <w:lang/>
          </w:rPr>
          <w:t>Законом України</w:t>
        </w:r>
      </w:hyperlink>
      <w:r w:rsidRPr="008B264B">
        <w:rPr>
          <w:rFonts w:ascii="Times New Roman" w:eastAsia="Times New Roman" w:hAnsi="Times New Roman" w:cs="Times New Roman"/>
          <w:color w:val="000000"/>
          <w:sz w:val="24"/>
          <w:szCs w:val="24"/>
          <w:lang/>
        </w:rPr>
        <w:t> "Про внесення змін до підрозділу 10 розділу XX "Перехідні положення" Податкового кодексу України щодо незастосування штрафних санкцій за несвоєчасну реєстрацію податкових та акцизних накладних внаслідок несанкціонованого втручання в роботу комп’ютерних мереж платників податків" зобов’язаний письмово повідомити контролюючий орган за місцем обліку в порядку, встановленому цим Кодексом для подання податкової звітності;</w:t>
      </w:r>
    </w:p>
    <w:p w14:paraId="4920427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3" w:name="n14683"/>
      <w:bookmarkEnd w:id="11003"/>
      <w:r w:rsidRPr="008B264B">
        <w:rPr>
          <w:rFonts w:ascii="Times New Roman" w:eastAsia="Times New Roman" w:hAnsi="Times New Roman" w:cs="Times New Roman"/>
          <w:color w:val="000000"/>
          <w:sz w:val="24"/>
          <w:szCs w:val="24"/>
          <w:lang/>
        </w:rPr>
        <w:t>платник податків зобов’язаний відновити втрачену та/або пошкоджену інформацію, визначену абзацом другим цього пункту;</w:t>
      </w:r>
    </w:p>
    <w:p w14:paraId="75A1FFC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4" w:name="n14684"/>
      <w:bookmarkEnd w:id="11004"/>
      <w:r w:rsidRPr="008B264B">
        <w:rPr>
          <w:rFonts w:ascii="Times New Roman" w:eastAsia="Times New Roman" w:hAnsi="Times New Roman" w:cs="Times New Roman"/>
          <w:color w:val="000000"/>
          <w:sz w:val="24"/>
          <w:szCs w:val="24"/>
          <w:lang/>
        </w:rPr>
        <w:t>у разі неможливості проведення перевірки платника податків у випадках, передбачених цим пунктом, терміни проведення таких перевірок переносяться контролюючим органом до дати відновлення такої інформації, але не пізніше 31 грудня 2017 року.</w:t>
      </w:r>
    </w:p>
    <w:p w14:paraId="62DF6D5B"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5" w:name="n14675"/>
      <w:bookmarkEnd w:id="11005"/>
      <w:r w:rsidRPr="008B264B">
        <w:rPr>
          <w:rFonts w:ascii="Times New Roman" w:eastAsia="Times New Roman" w:hAnsi="Times New Roman" w:cs="Times New Roman"/>
          <w:i/>
          <w:iCs/>
          <w:color w:val="000000"/>
          <w:sz w:val="24"/>
          <w:szCs w:val="24"/>
          <w:lang/>
        </w:rPr>
        <w:t>{Підрозділ 10 розділу XX доповнено пунктом 45 згідно із Законом </w:t>
      </w:r>
      <w:hyperlink r:id="rId6287" w:anchor="n5" w:tgtFrame="_blank" w:history="1">
        <w:r w:rsidRPr="008B264B">
          <w:rPr>
            <w:rFonts w:ascii="Times New Roman" w:eastAsia="Times New Roman" w:hAnsi="Times New Roman" w:cs="Times New Roman"/>
            <w:i/>
            <w:iCs/>
            <w:color w:val="0000FF"/>
            <w:sz w:val="24"/>
            <w:szCs w:val="24"/>
            <w:u w:val="single"/>
            <w:lang/>
          </w:rPr>
          <w:t>№ 2143-VIII від 13.07.2017</w:t>
        </w:r>
      </w:hyperlink>
      <w:r w:rsidRPr="008B264B">
        <w:rPr>
          <w:rFonts w:ascii="Times New Roman" w:eastAsia="Times New Roman" w:hAnsi="Times New Roman" w:cs="Times New Roman"/>
          <w:i/>
          <w:iCs/>
          <w:color w:val="000000"/>
          <w:sz w:val="24"/>
          <w:szCs w:val="24"/>
          <w:lang/>
        </w:rPr>
        <w:t>}</w:t>
      </w:r>
    </w:p>
    <w:p w14:paraId="30732F13"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6" w:name="n15089"/>
      <w:bookmarkEnd w:id="11006"/>
      <w:r w:rsidRPr="008B264B">
        <w:rPr>
          <w:rFonts w:ascii="Times New Roman" w:eastAsia="Times New Roman" w:hAnsi="Times New Roman" w:cs="Times New Roman"/>
          <w:color w:val="000000"/>
          <w:sz w:val="24"/>
          <w:szCs w:val="24"/>
          <w:lang/>
        </w:rPr>
        <w:t>46. Призначення та проведення перевірок з питань повноти нарахування та сплати податків у контрольованих операціях, здійснених платниками податків у 2013 та 2014 звітних роках, здійснюється відповідно до </w:t>
      </w:r>
      <w:hyperlink r:id="rId6288" w:anchor="n11089" w:history="1">
        <w:r w:rsidRPr="008B264B">
          <w:rPr>
            <w:rFonts w:ascii="Times New Roman" w:eastAsia="Times New Roman" w:hAnsi="Times New Roman" w:cs="Times New Roman"/>
            <w:color w:val="0000FF"/>
            <w:sz w:val="24"/>
            <w:szCs w:val="24"/>
            <w:u w:val="single"/>
            <w:lang/>
          </w:rPr>
          <w:t>підпункту 39.5.2</w:t>
        </w:r>
      </w:hyperlink>
      <w:r w:rsidRPr="008B264B">
        <w:rPr>
          <w:rFonts w:ascii="Times New Roman" w:eastAsia="Times New Roman" w:hAnsi="Times New Roman" w:cs="Times New Roman"/>
          <w:color w:val="000000"/>
          <w:sz w:val="24"/>
          <w:szCs w:val="24"/>
          <w:lang/>
        </w:rPr>
        <w:t> пункту 39.5 статті 39 та/або </w:t>
      </w:r>
      <w:hyperlink r:id="rId6289" w:anchor="n9233" w:history="1">
        <w:r w:rsidRPr="008B264B">
          <w:rPr>
            <w:rFonts w:ascii="Times New Roman" w:eastAsia="Times New Roman" w:hAnsi="Times New Roman" w:cs="Times New Roman"/>
            <w:color w:val="0000FF"/>
            <w:sz w:val="24"/>
            <w:szCs w:val="24"/>
            <w:u w:val="single"/>
            <w:lang/>
          </w:rPr>
          <w:t>підпунктів 78.1.14 - 78.1.16</w:t>
        </w:r>
      </w:hyperlink>
      <w:r w:rsidRPr="008B264B">
        <w:rPr>
          <w:rFonts w:ascii="Times New Roman" w:eastAsia="Times New Roman" w:hAnsi="Times New Roman" w:cs="Times New Roman"/>
          <w:color w:val="000000"/>
          <w:sz w:val="24"/>
          <w:szCs w:val="24"/>
          <w:lang/>
        </w:rPr>
        <w:t> пункту 78.1 статті 78 цього Кодексу.</w:t>
      </w:r>
    </w:p>
    <w:p w14:paraId="4DE1BEC6"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7" w:name="n15093"/>
      <w:bookmarkEnd w:id="11007"/>
      <w:r w:rsidRPr="008B264B">
        <w:rPr>
          <w:rFonts w:ascii="Times New Roman" w:eastAsia="Times New Roman" w:hAnsi="Times New Roman" w:cs="Times New Roman"/>
          <w:i/>
          <w:iCs/>
          <w:color w:val="000000"/>
          <w:sz w:val="24"/>
          <w:szCs w:val="24"/>
          <w:lang/>
        </w:rPr>
        <w:t>{Підрозділ 10 розділу XX доповнено пунктом 46 згідно із Законом </w:t>
      </w:r>
      <w:hyperlink r:id="rId6290" w:anchor="n5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86087B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8" w:name="n15090"/>
      <w:bookmarkEnd w:id="11008"/>
      <w:r w:rsidRPr="008B264B">
        <w:rPr>
          <w:rFonts w:ascii="Times New Roman" w:eastAsia="Times New Roman" w:hAnsi="Times New Roman" w:cs="Times New Roman"/>
          <w:color w:val="000000"/>
          <w:sz w:val="24"/>
          <w:szCs w:val="24"/>
          <w:lang/>
        </w:rPr>
        <w:t>47. Перевірка платника податків з питань повноти нарахування і сплати податків під час здійснення контрольованих операцій у 2013 та 2014 роках проводиться відповідно до положень </w:t>
      </w:r>
      <w:hyperlink r:id="rId6291" w:anchor="n1752" w:history="1">
        <w:r w:rsidRPr="008B264B">
          <w:rPr>
            <w:rFonts w:ascii="Times New Roman" w:eastAsia="Times New Roman" w:hAnsi="Times New Roman" w:cs="Times New Roman"/>
            <w:color w:val="0000FF"/>
            <w:sz w:val="24"/>
            <w:szCs w:val="24"/>
            <w:u w:val="single"/>
            <w:lang/>
          </w:rPr>
          <w:t>глави 8</w:t>
        </w:r>
      </w:hyperlink>
      <w:r w:rsidRPr="008B264B">
        <w:rPr>
          <w:rFonts w:ascii="Times New Roman" w:eastAsia="Times New Roman" w:hAnsi="Times New Roman" w:cs="Times New Roman"/>
          <w:color w:val="000000"/>
          <w:sz w:val="24"/>
          <w:szCs w:val="24"/>
          <w:lang/>
        </w:rPr>
        <w:t> цього Кодексу з урахуванням особливостей, визначених </w:t>
      </w:r>
      <w:hyperlink r:id="rId6292" w:anchor="n1031" w:history="1">
        <w:r w:rsidRPr="008B264B">
          <w:rPr>
            <w:rFonts w:ascii="Times New Roman" w:eastAsia="Times New Roman" w:hAnsi="Times New Roman" w:cs="Times New Roman"/>
            <w:color w:val="0000FF"/>
            <w:sz w:val="24"/>
            <w:szCs w:val="24"/>
            <w:u w:val="single"/>
            <w:lang/>
          </w:rPr>
          <w:t>статтею 39</w:t>
        </w:r>
      </w:hyperlink>
      <w:r w:rsidRPr="008B264B">
        <w:rPr>
          <w:rFonts w:ascii="Times New Roman" w:eastAsia="Times New Roman" w:hAnsi="Times New Roman" w:cs="Times New Roman"/>
          <w:color w:val="000000"/>
          <w:sz w:val="24"/>
          <w:szCs w:val="24"/>
          <w:lang/>
        </w:rPr>
        <w:t> цього Кодексу в редакції, що діяла до 1 січня 2015 року.</w:t>
      </w:r>
    </w:p>
    <w:p w14:paraId="5A439D38"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09" w:name="n15092"/>
      <w:bookmarkEnd w:id="11009"/>
      <w:r w:rsidRPr="008B264B">
        <w:rPr>
          <w:rFonts w:ascii="Times New Roman" w:eastAsia="Times New Roman" w:hAnsi="Times New Roman" w:cs="Times New Roman"/>
          <w:i/>
          <w:iCs/>
          <w:color w:val="000000"/>
          <w:sz w:val="24"/>
          <w:szCs w:val="24"/>
          <w:lang/>
        </w:rPr>
        <w:t>{Підрозділ 10 розділу XX доповнено пунктом 47 згідно із Законом </w:t>
      </w:r>
      <w:hyperlink r:id="rId6293" w:anchor="n5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6EF36574"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0" w:name="n15091"/>
      <w:bookmarkEnd w:id="11010"/>
      <w:r w:rsidRPr="008B264B">
        <w:rPr>
          <w:rFonts w:ascii="Times New Roman" w:eastAsia="Times New Roman" w:hAnsi="Times New Roman" w:cs="Times New Roman"/>
          <w:color w:val="000000"/>
          <w:sz w:val="24"/>
          <w:szCs w:val="24"/>
          <w:lang/>
        </w:rPr>
        <w:t>48. Самостійне коригування, передбачене </w:t>
      </w:r>
      <w:hyperlink r:id="rId6294" w:anchor="n11131" w:history="1">
        <w:r w:rsidRPr="008B264B">
          <w:rPr>
            <w:rFonts w:ascii="Times New Roman" w:eastAsia="Times New Roman" w:hAnsi="Times New Roman" w:cs="Times New Roman"/>
            <w:color w:val="0000FF"/>
            <w:sz w:val="24"/>
            <w:szCs w:val="24"/>
            <w:u w:val="single"/>
            <w:lang/>
          </w:rPr>
          <w:t>підпунктом 39.5.4.1</w:t>
        </w:r>
      </w:hyperlink>
      <w:r w:rsidRPr="008B264B">
        <w:rPr>
          <w:rFonts w:ascii="Times New Roman" w:eastAsia="Times New Roman" w:hAnsi="Times New Roman" w:cs="Times New Roman"/>
          <w:color w:val="000000"/>
          <w:sz w:val="24"/>
          <w:szCs w:val="24"/>
          <w:lang/>
        </w:rPr>
        <w:t> підпункту 39.5.4 пункту 39.5 статті 39 цього Кодексу щодо контрольованих операцій, здійснених платниками податків у 2015 та 2016 роках, проводиться відповідно до норм статті 39 цього Кодексу в редакції на день проведення самостійного коригування.</w:t>
      </w:r>
    </w:p>
    <w:p w14:paraId="0A87F381"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1" w:name="n15088"/>
      <w:bookmarkEnd w:id="11011"/>
      <w:r w:rsidRPr="008B264B">
        <w:rPr>
          <w:rFonts w:ascii="Times New Roman" w:eastAsia="Times New Roman" w:hAnsi="Times New Roman" w:cs="Times New Roman"/>
          <w:i/>
          <w:iCs/>
          <w:color w:val="000000"/>
          <w:sz w:val="24"/>
          <w:szCs w:val="24"/>
          <w:lang/>
        </w:rPr>
        <w:t>{Підрозділ 10 розділу XX доповнено пунктом 48 згідно із Законом </w:t>
      </w:r>
      <w:hyperlink r:id="rId6295" w:anchor="n572" w:tgtFrame="_blank" w:history="1">
        <w:r w:rsidRPr="008B264B">
          <w:rPr>
            <w:rFonts w:ascii="Times New Roman" w:eastAsia="Times New Roman" w:hAnsi="Times New Roman" w:cs="Times New Roman"/>
            <w:i/>
            <w:iCs/>
            <w:color w:val="0000FF"/>
            <w:sz w:val="24"/>
            <w:szCs w:val="24"/>
            <w:u w:val="single"/>
            <w:lang/>
          </w:rPr>
          <w:t>№ 2245-VIII від 07.12.2017</w:t>
        </w:r>
      </w:hyperlink>
      <w:r w:rsidRPr="008B264B">
        <w:rPr>
          <w:rFonts w:ascii="Times New Roman" w:eastAsia="Times New Roman" w:hAnsi="Times New Roman" w:cs="Times New Roman"/>
          <w:i/>
          <w:iCs/>
          <w:color w:val="000000"/>
          <w:sz w:val="24"/>
          <w:szCs w:val="24"/>
          <w:lang/>
        </w:rPr>
        <w:t>}</w:t>
      </w:r>
    </w:p>
    <w:p w14:paraId="1C953FC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2" w:name="n15206"/>
      <w:bookmarkEnd w:id="11012"/>
      <w:r w:rsidRPr="008B264B">
        <w:rPr>
          <w:rFonts w:ascii="Times New Roman" w:eastAsia="Times New Roman" w:hAnsi="Times New Roman" w:cs="Times New Roman"/>
          <w:color w:val="000000"/>
          <w:sz w:val="24"/>
          <w:szCs w:val="24"/>
          <w:lang/>
        </w:rPr>
        <w:lastRenderedPageBreak/>
        <w:t>49. Здійснення митного оформлення транспортного засобу з дотриманням умов, визначених</w:t>
      </w:r>
      <w:hyperlink r:id="rId6296" w:anchor="n5294" w:tgtFrame="_blank" w:history="1">
        <w:r w:rsidRPr="008B264B">
          <w:rPr>
            <w:rFonts w:ascii="Times New Roman" w:eastAsia="Times New Roman" w:hAnsi="Times New Roman" w:cs="Times New Roman"/>
            <w:color w:val="0000FF"/>
            <w:sz w:val="24"/>
            <w:szCs w:val="24"/>
            <w:u w:val="single"/>
            <w:lang/>
          </w:rPr>
          <w:t> пунктом 9</w:t>
        </w:r>
      </w:hyperlink>
      <w:hyperlink r:id="rId6297" w:anchor="n5294" w:tgtFrame="_blank" w:history="1">
        <w:r w:rsidRPr="008B264B">
          <w:rPr>
            <w:rFonts w:ascii="Times New Roman" w:eastAsia="Times New Roman" w:hAnsi="Times New Roman" w:cs="Times New Roman"/>
            <w:b/>
            <w:bCs/>
            <w:color w:val="0000FF"/>
            <w:sz w:val="2"/>
            <w:szCs w:val="2"/>
            <w:u w:val="single"/>
            <w:vertAlign w:val="superscript"/>
            <w:lang/>
          </w:rPr>
          <w:t>-</w:t>
        </w:r>
        <w:r w:rsidRPr="008B264B">
          <w:rPr>
            <w:rFonts w:ascii="Times New Roman" w:eastAsia="Times New Roman" w:hAnsi="Times New Roman" w:cs="Times New Roman"/>
            <w:b/>
            <w:bCs/>
            <w:color w:val="0000FF"/>
            <w:sz w:val="16"/>
            <w:szCs w:val="16"/>
            <w:u w:val="single"/>
            <w:vertAlign w:val="superscript"/>
            <w:lang/>
          </w:rPr>
          <w:t>3</w:t>
        </w:r>
      </w:hyperlink>
      <w:r w:rsidRPr="008B264B">
        <w:rPr>
          <w:rFonts w:ascii="Times New Roman" w:eastAsia="Times New Roman" w:hAnsi="Times New Roman" w:cs="Times New Roman"/>
          <w:color w:val="000000"/>
          <w:sz w:val="24"/>
          <w:szCs w:val="24"/>
          <w:lang/>
        </w:rPr>
        <w:t> розділу XXI "Прикінцеві та перехідні положення" Митного кодексу України, звільняє осіб, відповідальних за дотримання строків та умов (вимог) митних режимів тимчасового ввезення або транзиту, від відповідальності, передбаченої </w:t>
      </w:r>
      <w:hyperlink r:id="rId6298" w:anchor="n5165" w:history="1">
        <w:r w:rsidRPr="008B264B">
          <w:rPr>
            <w:rFonts w:ascii="Times New Roman" w:eastAsia="Times New Roman" w:hAnsi="Times New Roman" w:cs="Times New Roman"/>
            <w:color w:val="0000FF"/>
            <w:sz w:val="24"/>
            <w:szCs w:val="24"/>
            <w:u w:val="single"/>
            <w:lang/>
          </w:rPr>
          <w:t>пунктом 206.16</w:t>
        </w:r>
      </w:hyperlink>
      <w:r w:rsidRPr="008B264B">
        <w:rPr>
          <w:rFonts w:ascii="Times New Roman" w:eastAsia="Times New Roman" w:hAnsi="Times New Roman" w:cs="Times New Roman"/>
          <w:color w:val="000000"/>
          <w:sz w:val="24"/>
          <w:szCs w:val="24"/>
          <w:lang/>
        </w:rPr>
        <w:t> статті 206 та </w:t>
      </w:r>
      <w:hyperlink r:id="rId6299" w:anchor="n5550" w:history="1">
        <w:r w:rsidRPr="008B264B">
          <w:rPr>
            <w:rFonts w:ascii="Times New Roman" w:eastAsia="Times New Roman" w:hAnsi="Times New Roman" w:cs="Times New Roman"/>
            <w:color w:val="0000FF"/>
            <w:sz w:val="24"/>
            <w:szCs w:val="24"/>
            <w:u w:val="single"/>
            <w:lang/>
          </w:rPr>
          <w:t>пунктом 218.3</w:t>
        </w:r>
      </w:hyperlink>
      <w:r w:rsidRPr="008B264B">
        <w:rPr>
          <w:rFonts w:ascii="Times New Roman" w:eastAsia="Times New Roman" w:hAnsi="Times New Roman" w:cs="Times New Roman"/>
          <w:color w:val="000000"/>
          <w:sz w:val="24"/>
          <w:szCs w:val="24"/>
          <w:lang/>
        </w:rPr>
        <w:t> статті 218 цього Кодексу, за порушення митних правил стосовно транспортного засобу, щодо якого не дотримані строки та умови (вимоги) митних режимів тимчасового ввезення або транзиту.</w:t>
      </w:r>
    </w:p>
    <w:p w14:paraId="24BBA92E"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3" w:name="n15205"/>
      <w:bookmarkEnd w:id="11013"/>
      <w:r w:rsidRPr="008B264B">
        <w:rPr>
          <w:rFonts w:ascii="Times New Roman" w:eastAsia="Times New Roman" w:hAnsi="Times New Roman" w:cs="Times New Roman"/>
          <w:i/>
          <w:iCs/>
          <w:color w:val="000000"/>
          <w:sz w:val="24"/>
          <w:szCs w:val="24"/>
          <w:lang/>
        </w:rPr>
        <w:t>{Підрозділ 10 розділу XX доповнено пунктом 49 згідно із Законом </w:t>
      </w:r>
      <w:hyperlink r:id="rId6300" w:anchor="n32" w:tgtFrame="_blank" w:history="1">
        <w:r w:rsidRPr="008B264B">
          <w:rPr>
            <w:rFonts w:ascii="Times New Roman" w:eastAsia="Times New Roman" w:hAnsi="Times New Roman" w:cs="Times New Roman"/>
            <w:i/>
            <w:iCs/>
            <w:color w:val="0000FF"/>
            <w:sz w:val="24"/>
            <w:szCs w:val="24"/>
            <w:u w:val="single"/>
            <w:lang/>
          </w:rPr>
          <w:t>№ 2611-VIII від 08.11.2018</w:t>
        </w:r>
      </w:hyperlink>
      <w:r w:rsidRPr="008B264B">
        <w:rPr>
          <w:rFonts w:ascii="Times New Roman" w:eastAsia="Times New Roman" w:hAnsi="Times New Roman" w:cs="Times New Roman"/>
          <w:i/>
          <w:iCs/>
          <w:color w:val="000000"/>
          <w:sz w:val="24"/>
          <w:szCs w:val="24"/>
          <w:lang/>
        </w:rPr>
        <w:t>}</w:t>
      </w:r>
    </w:p>
    <w:p w14:paraId="4E5609ED"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4" w:name="n15460"/>
      <w:bookmarkEnd w:id="11014"/>
      <w:r w:rsidRPr="008B264B">
        <w:rPr>
          <w:rFonts w:ascii="Times New Roman" w:eastAsia="Times New Roman" w:hAnsi="Times New Roman" w:cs="Times New Roman"/>
          <w:i/>
          <w:iCs/>
          <w:color w:val="000000"/>
          <w:sz w:val="24"/>
          <w:szCs w:val="24"/>
          <w:lang/>
        </w:rPr>
        <w:t>{Пункт 50 підрозділу 10 розділу XX виключено на підставі Закону </w:t>
      </w:r>
      <w:hyperlink r:id="rId6301" w:anchor="n47"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55C7961F"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5" w:name="n15461"/>
      <w:bookmarkEnd w:id="11015"/>
      <w:r w:rsidRPr="008B264B">
        <w:rPr>
          <w:rFonts w:ascii="Times New Roman" w:eastAsia="Times New Roman" w:hAnsi="Times New Roman" w:cs="Times New Roman"/>
          <w:i/>
          <w:iCs/>
          <w:color w:val="000000"/>
          <w:sz w:val="24"/>
          <w:szCs w:val="24"/>
          <w:lang/>
        </w:rPr>
        <w:t>{Пункт 51 підрозділу 10 розділу XX виключено на підставі Закону </w:t>
      </w:r>
      <w:hyperlink r:id="rId6302" w:anchor="n47" w:tgtFrame="_blank" w:history="1">
        <w:r w:rsidRPr="008B264B">
          <w:rPr>
            <w:rFonts w:ascii="Times New Roman" w:eastAsia="Times New Roman" w:hAnsi="Times New Roman" w:cs="Times New Roman"/>
            <w:i/>
            <w:iCs/>
            <w:color w:val="0000FF"/>
            <w:sz w:val="24"/>
            <w:szCs w:val="24"/>
            <w:u w:val="single"/>
            <w:lang/>
          </w:rPr>
          <w:t>№ 354-IX від 05.12.2019</w:t>
        </w:r>
      </w:hyperlink>
      <w:r w:rsidRPr="008B264B">
        <w:rPr>
          <w:rFonts w:ascii="Times New Roman" w:eastAsia="Times New Roman" w:hAnsi="Times New Roman" w:cs="Times New Roman"/>
          <w:i/>
          <w:iCs/>
          <w:color w:val="000000"/>
          <w:sz w:val="24"/>
          <w:szCs w:val="24"/>
          <w:lang/>
        </w:rPr>
        <w:t>}</w:t>
      </w:r>
    </w:p>
    <w:p w14:paraId="64D718F9"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6" w:name="n15462"/>
      <w:bookmarkEnd w:id="11016"/>
      <w:r w:rsidRPr="008B264B">
        <w:rPr>
          <w:rFonts w:ascii="Times New Roman" w:eastAsia="Times New Roman" w:hAnsi="Times New Roman" w:cs="Times New Roman"/>
          <w:color w:val="000000"/>
          <w:sz w:val="24"/>
          <w:szCs w:val="24"/>
          <w:lang/>
        </w:rPr>
        <w:t>52. Установити, що по 31 грудня 2019 року до рішень про встановлення туристичного збору та/або про внесення змін до таких рішень, прийнятих сільською, селищною, міською радою або радою об’єднаної територіальної громади, що створена згідно із законом та перспективним планом формування територій громад, не застосовуються вимоги </w:t>
      </w:r>
      <w:hyperlink r:id="rId6303" w:anchor="n154" w:history="1">
        <w:r w:rsidRPr="008B264B">
          <w:rPr>
            <w:rFonts w:ascii="Times New Roman" w:eastAsia="Times New Roman" w:hAnsi="Times New Roman" w:cs="Times New Roman"/>
            <w:color w:val="0000FF"/>
            <w:sz w:val="24"/>
            <w:szCs w:val="24"/>
            <w:u w:val="single"/>
            <w:lang/>
          </w:rPr>
          <w:t>підпункту 4.1.9</w:t>
        </w:r>
      </w:hyperlink>
      <w:r w:rsidRPr="008B264B">
        <w:rPr>
          <w:rFonts w:ascii="Times New Roman" w:eastAsia="Times New Roman" w:hAnsi="Times New Roman" w:cs="Times New Roman"/>
          <w:color w:val="000000"/>
          <w:sz w:val="24"/>
          <w:szCs w:val="24"/>
          <w:lang/>
        </w:rPr>
        <w:t> пункту 4.1 статті 4, </w:t>
      </w:r>
      <w:hyperlink r:id="rId6304" w:anchor="n240" w:history="1">
        <w:r w:rsidRPr="008B264B">
          <w:rPr>
            <w:rFonts w:ascii="Times New Roman" w:eastAsia="Times New Roman" w:hAnsi="Times New Roman" w:cs="Times New Roman"/>
            <w:color w:val="0000FF"/>
            <w:sz w:val="24"/>
            <w:szCs w:val="24"/>
            <w:u w:val="single"/>
            <w:lang/>
          </w:rPr>
          <w:t>підпунктів 12.3.3-12.3.4</w:t>
        </w:r>
      </w:hyperlink>
      <w:r w:rsidRPr="008B264B">
        <w:rPr>
          <w:rFonts w:ascii="Times New Roman" w:eastAsia="Times New Roman" w:hAnsi="Times New Roman" w:cs="Times New Roman"/>
          <w:color w:val="000000"/>
          <w:sz w:val="24"/>
          <w:szCs w:val="24"/>
          <w:lang/>
        </w:rPr>
        <w:t> пункту 12.3, </w:t>
      </w:r>
      <w:hyperlink r:id="rId6305" w:anchor="n248" w:history="1">
        <w:r w:rsidRPr="008B264B">
          <w:rPr>
            <w:rFonts w:ascii="Times New Roman" w:eastAsia="Times New Roman" w:hAnsi="Times New Roman" w:cs="Times New Roman"/>
            <w:color w:val="0000FF"/>
            <w:sz w:val="24"/>
            <w:szCs w:val="24"/>
            <w:u w:val="single"/>
            <w:lang/>
          </w:rPr>
          <w:t>підпункту 12.4.3</w:t>
        </w:r>
      </w:hyperlink>
      <w:r w:rsidRPr="008B264B">
        <w:rPr>
          <w:rFonts w:ascii="Times New Roman" w:eastAsia="Times New Roman" w:hAnsi="Times New Roman" w:cs="Times New Roman"/>
          <w:color w:val="000000"/>
          <w:sz w:val="24"/>
          <w:szCs w:val="24"/>
          <w:lang/>
        </w:rPr>
        <w:t> пункту 12.4 та </w:t>
      </w:r>
      <w:hyperlink r:id="rId6306" w:anchor="n249" w:history="1">
        <w:r w:rsidRPr="008B264B">
          <w:rPr>
            <w:rFonts w:ascii="Times New Roman" w:eastAsia="Times New Roman" w:hAnsi="Times New Roman" w:cs="Times New Roman"/>
            <w:color w:val="0000FF"/>
            <w:sz w:val="24"/>
            <w:szCs w:val="24"/>
            <w:u w:val="single"/>
            <w:lang/>
          </w:rPr>
          <w:t>пункту 12.5</w:t>
        </w:r>
      </w:hyperlink>
      <w:r w:rsidRPr="008B264B">
        <w:rPr>
          <w:rFonts w:ascii="Times New Roman" w:eastAsia="Times New Roman" w:hAnsi="Times New Roman" w:cs="Times New Roman"/>
          <w:color w:val="000000"/>
          <w:sz w:val="24"/>
          <w:szCs w:val="24"/>
          <w:lang/>
        </w:rPr>
        <w:t> статті 12 цього Кодексу та </w:t>
      </w:r>
      <w:hyperlink r:id="rId6307" w:tgtFrame="_blank" w:history="1">
        <w:r w:rsidRPr="008B264B">
          <w:rPr>
            <w:rFonts w:ascii="Times New Roman" w:eastAsia="Times New Roman" w:hAnsi="Times New Roman" w:cs="Times New Roman"/>
            <w:color w:val="0000FF"/>
            <w:sz w:val="24"/>
            <w:szCs w:val="24"/>
            <w:u w:val="single"/>
            <w:lang/>
          </w:rPr>
          <w:t>Закону України</w:t>
        </w:r>
      </w:hyperlink>
      <w:r w:rsidRPr="008B264B">
        <w:rPr>
          <w:rFonts w:ascii="Times New Roman" w:eastAsia="Times New Roman" w:hAnsi="Times New Roman" w:cs="Times New Roman"/>
          <w:color w:val="000000"/>
          <w:sz w:val="24"/>
          <w:szCs w:val="24"/>
          <w:lang/>
        </w:rPr>
        <w:t> "Про засади державної регуляторної політики у сфері господарської діяльності".</w:t>
      </w:r>
    </w:p>
    <w:p w14:paraId="2AE5F002" w14:textId="77777777" w:rsidR="008B264B" w:rsidRPr="008B264B" w:rsidRDefault="008B264B" w:rsidP="008B264B">
      <w:pPr>
        <w:spacing w:after="150" w:line="240" w:lineRule="auto"/>
        <w:ind w:firstLine="450"/>
        <w:jc w:val="both"/>
        <w:rPr>
          <w:rFonts w:ascii="Times New Roman" w:eastAsia="Times New Roman" w:hAnsi="Times New Roman" w:cs="Times New Roman"/>
          <w:color w:val="000000"/>
          <w:sz w:val="24"/>
          <w:szCs w:val="24"/>
          <w:lang/>
        </w:rPr>
      </w:pPr>
      <w:bookmarkStart w:id="11017" w:name="n15459"/>
      <w:bookmarkEnd w:id="11017"/>
      <w:r w:rsidRPr="008B264B">
        <w:rPr>
          <w:rFonts w:ascii="Times New Roman" w:eastAsia="Times New Roman" w:hAnsi="Times New Roman" w:cs="Times New Roman"/>
          <w:i/>
          <w:iCs/>
          <w:color w:val="000000"/>
          <w:sz w:val="24"/>
          <w:szCs w:val="24"/>
          <w:lang/>
        </w:rPr>
        <w:t>{Підрозділ 10 розділу XX доповнено пунктом 52 згідно із Законом </w:t>
      </w:r>
      <w:hyperlink r:id="rId6308" w:anchor="n749" w:tgtFrame="_blank" w:history="1">
        <w:r w:rsidRPr="008B264B">
          <w:rPr>
            <w:rFonts w:ascii="Times New Roman" w:eastAsia="Times New Roman" w:hAnsi="Times New Roman" w:cs="Times New Roman"/>
            <w:i/>
            <w:iCs/>
            <w:color w:val="0000FF"/>
            <w:sz w:val="24"/>
            <w:szCs w:val="24"/>
            <w:u w:val="single"/>
            <w:lang/>
          </w:rPr>
          <w:t>№ 2628-VIII від 23.11.2018</w:t>
        </w:r>
      </w:hyperlink>
      <w:r w:rsidRPr="008B264B">
        <w:rPr>
          <w:rFonts w:ascii="Times New Roman" w:eastAsia="Times New Roman" w:hAnsi="Times New Roman" w:cs="Times New Roman"/>
          <w:i/>
          <w:iCs/>
          <w:color w:val="000000"/>
          <w:sz w:val="24"/>
          <w:szCs w:val="24"/>
          <w:lang/>
        </w:rPr>
        <w:t>}</w:t>
      </w:r>
    </w:p>
    <w:tbl>
      <w:tblPr>
        <w:tblW w:w="5000" w:type="pct"/>
        <w:tblCellMar>
          <w:left w:w="0" w:type="dxa"/>
          <w:right w:w="0" w:type="dxa"/>
        </w:tblCellMar>
        <w:tblLook w:val="04A0" w:firstRow="1" w:lastRow="0" w:firstColumn="1" w:lastColumn="0" w:noHBand="0" w:noVBand="1"/>
      </w:tblPr>
      <w:tblGrid>
        <w:gridCol w:w="2975"/>
        <w:gridCol w:w="6941"/>
      </w:tblGrid>
      <w:tr w:rsidR="008B264B" w:rsidRPr="008B264B" w14:paraId="35A75C31" w14:textId="77777777" w:rsidTr="008B264B">
        <w:tc>
          <w:tcPr>
            <w:tcW w:w="1500" w:type="pct"/>
            <w:tcBorders>
              <w:top w:val="single" w:sz="2" w:space="0" w:color="auto"/>
              <w:left w:val="single" w:sz="2" w:space="0" w:color="auto"/>
              <w:bottom w:val="single" w:sz="2" w:space="0" w:color="auto"/>
              <w:right w:val="single" w:sz="2" w:space="0" w:color="auto"/>
            </w:tcBorders>
            <w:shd w:val="clear" w:color="auto" w:fill="auto"/>
            <w:hideMark/>
          </w:tcPr>
          <w:p w14:paraId="5235579D" w14:textId="77777777" w:rsidR="008B264B" w:rsidRPr="008B264B" w:rsidRDefault="008B264B" w:rsidP="008B264B">
            <w:pPr>
              <w:spacing w:before="300" w:after="150" w:line="240" w:lineRule="auto"/>
              <w:jc w:val="center"/>
              <w:rPr>
                <w:rFonts w:ascii="Times New Roman" w:eastAsia="Times New Roman" w:hAnsi="Times New Roman" w:cs="Times New Roman"/>
                <w:sz w:val="24"/>
                <w:szCs w:val="24"/>
                <w:lang/>
              </w:rPr>
            </w:pPr>
            <w:bookmarkStart w:id="11018" w:name="n8574"/>
            <w:bookmarkEnd w:id="11018"/>
            <w:r w:rsidRPr="008B264B">
              <w:rPr>
                <w:rFonts w:ascii="Times New Roman" w:eastAsia="Times New Roman" w:hAnsi="Times New Roman" w:cs="Times New Roman"/>
                <w:b/>
                <w:bCs/>
                <w:color w:val="000000"/>
                <w:sz w:val="24"/>
                <w:szCs w:val="24"/>
                <w:lang/>
              </w:rPr>
              <w:t>Президент України</w:t>
            </w:r>
          </w:p>
        </w:tc>
        <w:tc>
          <w:tcPr>
            <w:tcW w:w="3500" w:type="pct"/>
            <w:tcBorders>
              <w:top w:val="single" w:sz="2" w:space="0" w:color="auto"/>
              <w:left w:val="single" w:sz="2" w:space="0" w:color="auto"/>
              <w:bottom w:val="single" w:sz="2" w:space="0" w:color="auto"/>
              <w:right w:val="single" w:sz="2" w:space="0" w:color="auto"/>
            </w:tcBorders>
            <w:shd w:val="clear" w:color="auto" w:fill="auto"/>
            <w:hideMark/>
          </w:tcPr>
          <w:p w14:paraId="636F0889" w14:textId="77777777" w:rsidR="008B264B" w:rsidRPr="008B264B" w:rsidRDefault="008B264B" w:rsidP="008B264B">
            <w:pPr>
              <w:spacing w:before="300" w:after="0" w:line="240" w:lineRule="auto"/>
              <w:jc w:val="right"/>
              <w:rPr>
                <w:rFonts w:ascii="Times New Roman" w:eastAsia="Times New Roman" w:hAnsi="Times New Roman" w:cs="Times New Roman"/>
                <w:sz w:val="24"/>
                <w:szCs w:val="24"/>
                <w:lang/>
              </w:rPr>
            </w:pPr>
            <w:r w:rsidRPr="008B264B">
              <w:rPr>
                <w:rFonts w:ascii="Times New Roman" w:eastAsia="Times New Roman" w:hAnsi="Times New Roman" w:cs="Times New Roman"/>
                <w:b/>
                <w:bCs/>
                <w:color w:val="000000"/>
                <w:sz w:val="24"/>
                <w:szCs w:val="24"/>
                <w:lang/>
              </w:rPr>
              <w:t>В.ЯНУКОВИЧ</w:t>
            </w:r>
          </w:p>
        </w:tc>
      </w:tr>
      <w:tr w:rsidR="008B264B" w:rsidRPr="008B264B" w14:paraId="41753E02" w14:textId="77777777" w:rsidTr="008B264B">
        <w:tc>
          <w:tcPr>
            <w:tcW w:w="0" w:type="auto"/>
            <w:tcBorders>
              <w:top w:val="single" w:sz="2" w:space="0" w:color="auto"/>
              <w:left w:val="single" w:sz="2" w:space="0" w:color="auto"/>
              <w:bottom w:val="single" w:sz="2" w:space="0" w:color="auto"/>
              <w:right w:val="single" w:sz="2" w:space="0" w:color="auto"/>
            </w:tcBorders>
            <w:shd w:val="clear" w:color="auto" w:fill="auto"/>
            <w:hideMark/>
          </w:tcPr>
          <w:p w14:paraId="70889745" w14:textId="77777777" w:rsidR="008B264B" w:rsidRPr="008B264B" w:rsidRDefault="008B264B" w:rsidP="008B264B">
            <w:pPr>
              <w:spacing w:before="300" w:after="150" w:line="240" w:lineRule="auto"/>
              <w:jc w:val="center"/>
              <w:rPr>
                <w:rFonts w:ascii="Times New Roman" w:eastAsia="Times New Roman" w:hAnsi="Times New Roman" w:cs="Times New Roman"/>
                <w:sz w:val="24"/>
                <w:szCs w:val="24"/>
                <w:lang/>
              </w:rPr>
            </w:pPr>
            <w:r w:rsidRPr="008B264B">
              <w:rPr>
                <w:rFonts w:ascii="Times New Roman" w:eastAsia="Times New Roman" w:hAnsi="Times New Roman" w:cs="Times New Roman"/>
                <w:b/>
                <w:bCs/>
                <w:color w:val="000000"/>
                <w:sz w:val="24"/>
                <w:szCs w:val="24"/>
                <w:lang/>
              </w:rPr>
              <w:t>м. Київ</w:t>
            </w:r>
            <w:r w:rsidRPr="008B264B">
              <w:rPr>
                <w:rFonts w:ascii="Times New Roman" w:eastAsia="Times New Roman" w:hAnsi="Times New Roman" w:cs="Times New Roman"/>
                <w:sz w:val="24"/>
                <w:szCs w:val="24"/>
                <w:lang/>
              </w:rPr>
              <w:br/>
            </w:r>
            <w:r w:rsidRPr="008B264B">
              <w:rPr>
                <w:rFonts w:ascii="Times New Roman" w:eastAsia="Times New Roman" w:hAnsi="Times New Roman" w:cs="Times New Roman"/>
                <w:b/>
                <w:bCs/>
                <w:color w:val="000000"/>
                <w:sz w:val="24"/>
                <w:szCs w:val="24"/>
                <w:lang/>
              </w:rPr>
              <w:t>2 грудня 2010 року</w:t>
            </w:r>
            <w:r w:rsidRPr="008B264B">
              <w:rPr>
                <w:rFonts w:ascii="Times New Roman" w:eastAsia="Times New Roman" w:hAnsi="Times New Roman" w:cs="Times New Roman"/>
                <w:sz w:val="24"/>
                <w:szCs w:val="24"/>
                <w:lang/>
              </w:rPr>
              <w:br/>
            </w:r>
            <w:r w:rsidRPr="008B264B">
              <w:rPr>
                <w:rFonts w:ascii="Times New Roman" w:eastAsia="Times New Roman" w:hAnsi="Times New Roman" w:cs="Times New Roman"/>
                <w:b/>
                <w:bCs/>
                <w:color w:val="000000"/>
                <w:sz w:val="24"/>
                <w:szCs w:val="24"/>
                <w:lang/>
              </w:rPr>
              <w:t>№ 2755-VI</w:t>
            </w:r>
          </w:p>
        </w:tc>
        <w:tc>
          <w:tcPr>
            <w:tcW w:w="0" w:type="auto"/>
            <w:tcBorders>
              <w:top w:val="single" w:sz="2" w:space="0" w:color="auto"/>
              <w:left w:val="single" w:sz="2" w:space="0" w:color="auto"/>
              <w:bottom w:val="single" w:sz="2" w:space="0" w:color="auto"/>
              <w:right w:val="single" w:sz="2" w:space="0" w:color="auto"/>
            </w:tcBorders>
            <w:shd w:val="clear" w:color="auto" w:fill="auto"/>
            <w:hideMark/>
          </w:tcPr>
          <w:p w14:paraId="4320193E" w14:textId="77777777" w:rsidR="008B264B" w:rsidRPr="008B264B" w:rsidRDefault="008B264B" w:rsidP="008B264B">
            <w:pPr>
              <w:spacing w:before="300" w:after="0" w:line="240" w:lineRule="auto"/>
              <w:jc w:val="right"/>
              <w:rPr>
                <w:rFonts w:ascii="Times New Roman" w:eastAsia="Times New Roman" w:hAnsi="Times New Roman" w:cs="Times New Roman"/>
                <w:sz w:val="24"/>
                <w:szCs w:val="24"/>
                <w:lang/>
              </w:rPr>
            </w:pPr>
            <w:r w:rsidRPr="008B264B">
              <w:rPr>
                <w:rFonts w:ascii="Times New Roman" w:eastAsia="Times New Roman" w:hAnsi="Times New Roman" w:cs="Times New Roman"/>
                <w:b/>
                <w:bCs/>
                <w:color w:val="000000"/>
                <w:sz w:val="24"/>
                <w:szCs w:val="24"/>
                <w:lang/>
              </w:rPr>
              <w:br/>
            </w:r>
          </w:p>
        </w:tc>
      </w:tr>
    </w:tbl>
    <w:p w14:paraId="49D8AE70" w14:textId="77777777" w:rsidR="008B264B" w:rsidRPr="008B264B" w:rsidRDefault="008B264B" w:rsidP="008B264B">
      <w:pPr>
        <w:spacing w:before="150" w:after="150" w:line="240" w:lineRule="auto"/>
        <w:jc w:val="center"/>
        <w:rPr>
          <w:rFonts w:ascii="Times New Roman" w:eastAsia="Times New Roman" w:hAnsi="Times New Roman" w:cs="Times New Roman"/>
          <w:color w:val="000000"/>
          <w:sz w:val="24"/>
          <w:szCs w:val="24"/>
          <w:lang/>
        </w:rPr>
      </w:pPr>
      <w:bookmarkStart w:id="11019" w:name="n7499"/>
      <w:bookmarkEnd w:id="11019"/>
      <w:r w:rsidRPr="008B264B">
        <w:rPr>
          <w:rFonts w:ascii="Times New Roman" w:eastAsia="Times New Roman" w:hAnsi="Times New Roman" w:cs="Times New Roman"/>
          <w:i/>
          <w:iCs/>
          <w:color w:val="000000"/>
          <w:sz w:val="24"/>
          <w:szCs w:val="24"/>
          <w:lang/>
        </w:rPr>
        <w:br/>
      </w:r>
    </w:p>
    <w:p w14:paraId="18A8E51E" w14:textId="77777777" w:rsidR="008B264B" w:rsidRPr="008B264B" w:rsidRDefault="008B264B" w:rsidP="008B264B">
      <w:pPr>
        <w:spacing w:after="0" w:line="240" w:lineRule="auto"/>
        <w:rPr>
          <w:rFonts w:ascii="Arial" w:eastAsia="Times New Roman" w:hAnsi="Arial" w:cs="Arial"/>
          <w:color w:val="292B2C"/>
          <w:sz w:val="26"/>
          <w:szCs w:val="26"/>
          <w:lang/>
        </w:rPr>
      </w:pPr>
      <w:r w:rsidRPr="008B264B">
        <w:rPr>
          <w:rFonts w:ascii="Arial" w:eastAsia="Times New Roman" w:hAnsi="Arial" w:cs="Arial"/>
          <w:color w:val="292B2C"/>
          <w:sz w:val="26"/>
          <w:szCs w:val="26"/>
          <w:lang/>
        </w:rPr>
        <w:pict w14:anchorId="07F98BC0">
          <v:rect id="_x0000_i1047" style="width:0;height:0" o:hralign="center" o:hrstd="t" o:hrnoshade="t" o:hr="t" fillcolor="black" stroked="f"/>
        </w:pict>
      </w:r>
    </w:p>
    <w:p w14:paraId="226A6EFD" w14:textId="77777777" w:rsidR="008B264B" w:rsidRPr="008B264B" w:rsidRDefault="008B264B" w:rsidP="008B264B">
      <w:pPr>
        <w:spacing w:after="100" w:afterAutospacing="1" w:line="240" w:lineRule="auto"/>
        <w:outlineLvl w:val="1"/>
        <w:rPr>
          <w:rFonts w:ascii="inherit" w:eastAsia="Times New Roman" w:hAnsi="inherit" w:cs="Arial"/>
          <w:color w:val="333333"/>
          <w:sz w:val="36"/>
          <w:szCs w:val="36"/>
          <w:lang/>
        </w:rPr>
      </w:pPr>
      <w:r w:rsidRPr="008B264B">
        <w:rPr>
          <w:rFonts w:ascii="inherit" w:eastAsia="Times New Roman" w:hAnsi="inherit" w:cs="Arial"/>
          <w:color w:val="333333"/>
          <w:sz w:val="36"/>
          <w:szCs w:val="36"/>
          <w:lang/>
        </w:rPr>
        <w:t>Публікації документа</w:t>
      </w:r>
    </w:p>
    <w:p w14:paraId="6830B780" w14:textId="77777777" w:rsidR="008B264B" w:rsidRPr="008B264B" w:rsidRDefault="008B264B" w:rsidP="008B264B">
      <w:pPr>
        <w:numPr>
          <w:ilvl w:val="0"/>
          <w:numId w:val="1"/>
        </w:numPr>
        <w:spacing w:before="100" w:beforeAutospacing="1" w:after="100" w:afterAutospacing="1" w:line="240" w:lineRule="auto"/>
        <w:rPr>
          <w:rFonts w:ascii="Arial" w:eastAsia="Times New Roman" w:hAnsi="Arial" w:cs="Arial"/>
          <w:color w:val="292B2C"/>
          <w:sz w:val="26"/>
          <w:szCs w:val="26"/>
          <w:lang/>
        </w:rPr>
      </w:pPr>
      <w:r w:rsidRPr="008B264B">
        <w:rPr>
          <w:rFonts w:ascii="Arial" w:eastAsia="Times New Roman" w:hAnsi="Arial" w:cs="Arial"/>
          <w:b/>
          <w:bCs/>
          <w:color w:val="292B2C"/>
          <w:sz w:val="26"/>
          <w:szCs w:val="26"/>
          <w:lang/>
        </w:rPr>
        <w:t>Голос України</w:t>
      </w:r>
      <w:r w:rsidRPr="008B264B">
        <w:rPr>
          <w:rFonts w:ascii="Arial" w:eastAsia="Times New Roman" w:hAnsi="Arial" w:cs="Arial"/>
          <w:color w:val="292B2C"/>
          <w:sz w:val="26"/>
          <w:szCs w:val="26"/>
          <w:lang/>
        </w:rPr>
        <w:t> від 04.12.2010 — № 229, / № 229-230 /</w:t>
      </w:r>
    </w:p>
    <w:p w14:paraId="2FFC904E" w14:textId="77777777" w:rsidR="008B264B" w:rsidRPr="008B264B" w:rsidRDefault="008B264B" w:rsidP="008B264B">
      <w:pPr>
        <w:numPr>
          <w:ilvl w:val="0"/>
          <w:numId w:val="1"/>
        </w:numPr>
        <w:spacing w:before="100" w:beforeAutospacing="1" w:after="100" w:afterAutospacing="1" w:line="240" w:lineRule="auto"/>
        <w:rPr>
          <w:rFonts w:ascii="Arial" w:eastAsia="Times New Roman" w:hAnsi="Arial" w:cs="Arial"/>
          <w:color w:val="292B2C"/>
          <w:sz w:val="26"/>
          <w:szCs w:val="26"/>
          <w:lang/>
        </w:rPr>
      </w:pPr>
      <w:r w:rsidRPr="008B264B">
        <w:rPr>
          <w:rFonts w:ascii="Arial" w:eastAsia="Times New Roman" w:hAnsi="Arial" w:cs="Arial"/>
          <w:b/>
          <w:bCs/>
          <w:color w:val="292B2C"/>
          <w:sz w:val="26"/>
          <w:szCs w:val="26"/>
          <w:lang/>
        </w:rPr>
        <w:t>Офіційний вісник України</w:t>
      </w:r>
      <w:r w:rsidRPr="008B264B">
        <w:rPr>
          <w:rFonts w:ascii="Arial" w:eastAsia="Times New Roman" w:hAnsi="Arial" w:cs="Arial"/>
          <w:color w:val="292B2C"/>
          <w:sz w:val="26"/>
          <w:szCs w:val="26"/>
          <w:lang/>
        </w:rPr>
        <w:t> від 10.12.2010 — 2010 р., № 92, том 1, стор. 9, стаття 3248, код акта 53775/2010</w:t>
      </w:r>
    </w:p>
    <w:p w14:paraId="0738BBE8" w14:textId="77777777" w:rsidR="008B264B" w:rsidRPr="008B264B" w:rsidRDefault="008B264B" w:rsidP="008B264B">
      <w:pPr>
        <w:numPr>
          <w:ilvl w:val="0"/>
          <w:numId w:val="1"/>
        </w:numPr>
        <w:spacing w:before="100" w:beforeAutospacing="1" w:after="100" w:afterAutospacing="1" w:line="240" w:lineRule="auto"/>
        <w:rPr>
          <w:rFonts w:ascii="Arial" w:eastAsia="Times New Roman" w:hAnsi="Arial" w:cs="Arial"/>
          <w:color w:val="292B2C"/>
          <w:sz w:val="26"/>
          <w:szCs w:val="26"/>
          <w:lang/>
        </w:rPr>
      </w:pPr>
      <w:r w:rsidRPr="008B264B">
        <w:rPr>
          <w:rFonts w:ascii="Arial" w:eastAsia="Times New Roman" w:hAnsi="Arial" w:cs="Arial"/>
          <w:b/>
          <w:bCs/>
          <w:color w:val="292B2C"/>
          <w:sz w:val="26"/>
          <w:szCs w:val="26"/>
          <w:lang/>
        </w:rPr>
        <w:t>Відомості Верховної Ради України</w:t>
      </w:r>
      <w:r w:rsidRPr="008B264B">
        <w:rPr>
          <w:rFonts w:ascii="Arial" w:eastAsia="Times New Roman" w:hAnsi="Arial" w:cs="Arial"/>
          <w:color w:val="292B2C"/>
          <w:sz w:val="26"/>
          <w:szCs w:val="26"/>
          <w:lang/>
        </w:rPr>
        <w:t> від 08.04.2011 — 2011 р., № 13, / № 13-14, № 15-16, № 17 /, стор. 556, стаття 112</w:t>
      </w:r>
    </w:p>
    <w:p w14:paraId="268D7645" w14:textId="0A46A83E" w:rsidR="008B264B" w:rsidRPr="008B264B" w:rsidRDefault="008B264B" w:rsidP="008B264B">
      <w:pPr>
        <w:spacing w:after="0" w:line="240" w:lineRule="auto"/>
        <w:rPr>
          <w:rFonts w:ascii="Times New Roman" w:eastAsia="Times New Roman" w:hAnsi="Times New Roman" w:cs="Times New Roman"/>
          <w:sz w:val="24"/>
          <w:szCs w:val="24"/>
          <w:lang/>
        </w:rPr>
      </w:pPr>
      <w:r w:rsidRPr="008B264B">
        <w:rPr>
          <w:rFonts w:ascii="Arial" w:eastAsia="Times New Roman" w:hAnsi="Arial" w:cs="Arial"/>
          <w:noProof/>
          <w:color w:val="0275D8"/>
          <w:sz w:val="26"/>
          <w:szCs w:val="26"/>
          <w:lang/>
        </w:rPr>
        <w:drawing>
          <wp:inline distT="0" distB="0" distL="0" distR="0" wp14:anchorId="0B730531" wp14:editId="436B6676">
            <wp:extent cx="1857375" cy="1857375"/>
            <wp:effectExtent l="0" t="0" r="9525" b="9525"/>
            <wp:docPr id="1" name="Рисунок 1">
              <a:hlinkClick xmlns:a="http://schemas.openxmlformats.org/drawingml/2006/main" r:id="rId63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6309"/>
                    </pic:cNvPr>
                    <pic:cNvPicPr>
                      <a:picLocks noChangeAspect="1" noChangeArrowheads="1"/>
                    </pic:cNvPicPr>
                  </pic:nvPicPr>
                  <pic:blipFill>
                    <a:blip r:embed="rId6310">
                      <a:extLst>
                        <a:ext uri="{28A0092B-C50C-407E-A947-70E740481C1C}">
                          <a14:useLocalDpi xmlns:a14="http://schemas.microsoft.com/office/drawing/2010/main" val="0"/>
                        </a:ext>
                      </a:extLst>
                    </a:blip>
                    <a:srcRect/>
                    <a:stretch>
                      <a:fillRect/>
                    </a:stretch>
                  </pic:blipFill>
                  <pic:spPr bwMode="auto">
                    <a:xfrm>
                      <a:off x="0" y="0"/>
                      <a:ext cx="1857375" cy="1857375"/>
                    </a:xfrm>
                    <a:prstGeom prst="rect">
                      <a:avLst/>
                    </a:prstGeom>
                    <a:noFill/>
                    <a:ln>
                      <a:noFill/>
                    </a:ln>
                  </pic:spPr>
                </pic:pic>
              </a:graphicData>
            </a:graphic>
          </wp:inline>
        </w:drawing>
      </w:r>
    </w:p>
    <w:p w14:paraId="4B6AD04C" w14:textId="77777777" w:rsidR="006E0878" w:rsidRDefault="006E0878"/>
    <w:sectPr w:rsidR="006E0878" w:rsidSect="008B264B">
      <w:pgSz w:w="11906" w:h="16838"/>
      <w:pgMar w:top="851" w:right="850" w:bottom="85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B07C39"/>
    <w:multiLevelType w:val="multilevel"/>
    <w:tmpl w:val="E4C88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264B"/>
    <w:rsid w:val="006E0878"/>
    <w:rsid w:val="008B264B"/>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F1D743"/>
  <w15:chartTrackingRefBased/>
  <w15:docId w15:val="{04DEA4FA-EB6E-4216-BA58-35ECE1FD8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link w:val="20"/>
    <w:uiPriority w:val="9"/>
    <w:qFormat/>
    <w:rsid w:val="008B264B"/>
    <w:pPr>
      <w:spacing w:before="100" w:beforeAutospacing="1" w:after="100" w:afterAutospacing="1" w:line="240" w:lineRule="auto"/>
      <w:outlineLvl w:val="1"/>
    </w:pPr>
    <w:rPr>
      <w:rFonts w:ascii="Times New Roman" w:eastAsia="Times New Roman" w:hAnsi="Times New Roman" w:cs="Times New Roman"/>
      <w:b/>
      <w:bCs/>
      <w:sz w:val="36"/>
      <w:szCs w:val="36"/>
      <w:lang/>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8B264B"/>
    <w:rPr>
      <w:rFonts w:ascii="Times New Roman" w:eastAsia="Times New Roman" w:hAnsi="Times New Roman" w:cs="Times New Roman"/>
      <w:b/>
      <w:bCs/>
      <w:sz w:val="36"/>
      <w:szCs w:val="36"/>
      <w:lang/>
    </w:rPr>
  </w:style>
  <w:style w:type="paragraph" w:customStyle="1" w:styleId="msonormal0">
    <w:name w:val="msonormal"/>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0">
    <w:name w:val="rvts0"/>
    <w:basedOn w:val="a0"/>
    <w:rsid w:val="008B264B"/>
  </w:style>
  <w:style w:type="paragraph" w:customStyle="1" w:styleId="rvps17">
    <w:name w:val="rvps17"/>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78">
    <w:name w:val="rvts78"/>
    <w:basedOn w:val="a0"/>
    <w:rsid w:val="008B264B"/>
  </w:style>
  <w:style w:type="paragraph" w:customStyle="1" w:styleId="rvps7">
    <w:name w:val="rvps7"/>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44">
    <w:name w:val="rvts44"/>
    <w:basedOn w:val="a0"/>
    <w:rsid w:val="008B264B"/>
  </w:style>
  <w:style w:type="paragraph" w:customStyle="1" w:styleId="rvps18">
    <w:name w:val="rvps18"/>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styleId="a3">
    <w:name w:val="Hyperlink"/>
    <w:basedOn w:val="a0"/>
    <w:uiPriority w:val="99"/>
    <w:semiHidden/>
    <w:unhideWhenUsed/>
    <w:rsid w:val="008B264B"/>
    <w:rPr>
      <w:color w:val="0000FF"/>
      <w:u w:val="single"/>
    </w:rPr>
  </w:style>
  <w:style w:type="character" w:styleId="a4">
    <w:name w:val="FollowedHyperlink"/>
    <w:basedOn w:val="a0"/>
    <w:uiPriority w:val="99"/>
    <w:semiHidden/>
    <w:unhideWhenUsed/>
    <w:rsid w:val="008B264B"/>
    <w:rPr>
      <w:color w:val="800080"/>
      <w:u w:val="single"/>
    </w:rPr>
  </w:style>
  <w:style w:type="paragraph" w:customStyle="1" w:styleId="rvps2">
    <w:name w:val="rvps2"/>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46">
    <w:name w:val="rvts46"/>
    <w:basedOn w:val="a0"/>
    <w:rsid w:val="008B264B"/>
  </w:style>
  <w:style w:type="character" w:customStyle="1" w:styleId="rvts15">
    <w:name w:val="rvts15"/>
    <w:basedOn w:val="a0"/>
    <w:rsid w:val="008B264B"/>
  </w:style>
  <w:style w:type="character" w:customStyle="1" w:styleId="rvts9">
    <w:name w:val="rvts9"/>
    <w:basedOn w:val="a0"/>
    <w:rsid w:val="008B264B"/>
  </w:style>
  <w:style w:type="character" w:customStyle="1" w:styleId="rvts11">
    <w:name w:val="rvts11"/>
    <w:basedOn w:val="a0"/>
    <w:rsid w:val="008B264B"/>
  </w:style>
  <w:style w:type="paragraph" w:styleId="a5">
    <w:name w:val="Normal (Web)"/>
    <w:basedOn w:val="a"/>
    <w:uiPriority w:val="99"/>
    <w:semiHidden/>
    <w:unhideWhenUsed/>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37">
    <w:name w:val="rvts37"/>
    <w:basedOn w:val="a0"/>
    <w:rsid w:val="008B264B"/>
  </w:style>
  <w:style w:type="character" w:customStyle="1" w:styleId="rvts40">
    <w:name w:val="rvts40"/>
    <w:basedOn w:val="a0"/>
    <w:rsid w:val="008B264B"/>
  </w:style>
  <w:style w:type="character" w:customStyle="1" w:styleId="rvts80">
    <w:name w:val="rvts80"/>
    <w:basedOn w:val="a0"/>
    <w:rsid w:val="008B264B"/>
  </w:style>
  <w:style w:type="paragraph" w:customStyle="1" w:styleId="rvps12">
    <w:name w:val="rvps12"/>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paragraph" w:customStyle="1" w:styleId="rvps14">
    <w:name w:val="rvps14"/>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character" w:customStyle="1" w:styleId="rvts48">
    <w:name w:val="rvts48"/>
    <w:basedOn w:val="a0"/>
    <w:rsid w:val="008B264B"/>
  </w:style>
  <w:style w:type="character" w:customStyle="1" w:styleId="rvts82">
    <w:name w:val="rvts82"/>
    <w:basedOn w:val="a0"/>
    <w:rsid w:val="008B264B"/>
  </w:style>
  <w:style w:type="paragraph" w:customStyle="1" w:styleId="rvps4">
    <w:name w:val="rvps4"/>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 w:type="paragraph" w:customStyle="1" w:styleId="rvps15">
    <w:name w:val="rvps15"/>
    <w:basedOn w:val="a"/>
    <w:rsid w:val="008B264B"/>
    <w:pPr>
      <w:spacing w:before="100" w:beforeAutospacing="1" w:after="100" w:afterAutospacing="1" w:line="240" w:lineRule="auto"/>
    </w:pPr>
    <w:rPr>
      <w:rFonts w:ascii="Times New Roman" w:eastAsia="Times New Roman" w:hAnsi="Times New Roman" w:cs="Times New Roman"/>
      <w:sz w:val="24"/>
      <w:szCs w:val="24"/>
      <w:lan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63661521">
      <w:bodyDiv w:val="1"/>
      <w:marLeft w:val="0"/>
      <w:marRight w:val="0"/>
      <w:marTop w:val="0"/>
      <w:marBottom w:val="0"/>
      <w:divBdr>
        <w:top w:val="none" w:sz="0" w:space="0" w:color="auto"/>
        <w:left w:val="none" w:sz="0" w:space="0" w:color="auto"/>
        <w:bottom w:val="none" w:sz="0" w:space="0" w:color="auto"/>
        <w:right w:val="none" w:sz="0" w:space="0" w:color="auto"/>
      </w:divBdr>
      <w:divsChild>
        <w:div w:id="1405034272">
          <w:marLeft w:val="0"/>
          <w:marRight w:val="0"/>
          <w:marTop w:val="0"/>
          <w:marBottom w:val="0"/>
          <w:divBdr>
            <w:top w:val="none" w:sz="0" w:space="0" w:color="auto"/>
            <w:left w:val="none" w:sz="0" w:space="0" w:color="auto"/>
            <w:bottom w:val="none" w:sz="0" w:space="0" w:color="auto"/>
            <w:right w:val="none" w:sz="0" w:space="0" w:color="auto"/>
          </w:divBdr>
          <w:divsChild>
            <w:div w:id="666249821">
              <w:marLeft w:val="0"/>
              <w:marRight w:val="0"/>
              <w:marTop w:val="0"/>
              <w:marBottom w:val="0"/>
              <w:divBdr>
                <w:top w:val="none" w:sz="0" w:space="0" w:color="auto"/>
                <w:left w:val="none" w:sz="0" w:space="0" w:color="auto"/>
                <w:bottom w:val="none" w:sz="0" w:space="0" w:color="auto"/>
                <w:right w:val="none" w:sz="0" w:space="0" w:color="auto"/>
              </w:divBdr>
              <w:divsChild>
                <w:div w:id="2025353062">
                  <w:marLeft w:val="0"/>
                  <w:marRight w:val="0"/>
                  <w:marTop w:val="0"/>
                  <w:marBottom w:val="150"/>
                  <w:divBdr>
                    <w:top w:val="none" w:sz="0" w:space="0" w:color="auto"/>
                    <w:left w:val="none" w:sz="0" w:space="0" w:color="auto"/>
                    <w:bottom w:val="none" w:sz="0" w:space="0" w:color="auto"/>
                    <w:right w:val="none" w:sz="0" w:space="0" w:color="auto"/>
                  </w:divBdr>
                </w:div>
                <w:div w:id="1830053840">
                  <w:marLeft w:val="0"/>
                  <w:marRight w:val="0"/>
                  <w:marTop w:val="0"/>
                  <w:marBottom w:val="150"/>
                  <w:divBdr>
                    <w:top w:val="none" w:sz="0" w:space="0" w:color="auto"/>
                    <w:left w:val="none" w:sz="0" w:space="0" w:color="auto"/>
                    <w:bottom w:val="none" w:sz="0" w:space="0" w:color="auto"/>
                    <w:right w:val="none" w:sz="0" w:space="0" w:color="auto"/>
                  </w:divBdr>
                </w:div>
                <w:div w:id="1137722844">
                  <w:marLeft w:val="0"/>
                  <w:marRight w:val="0"/>
                  <w:marTop w:val="0"/>
                  <w:marBottom w:val="150"/>
                  <w:divBdr>
                    <w:top w:val="none" w:sz="0" w:space="0" w:color="auto"/>
                    <w:left w:val="none" w:sz="0" w:space="0" w:color="auto"/>
                    <w:bottom w:val="none" w:sz="0" w:space="0" w:color="auto"/>
                    <w:right w:val="none" w:sz="0" w:space="0" w:color="auto"/>
                  </w:divBdr>
                </w:div>
                <w:div w:id="309135791">
                  <w:marLeft w:val="0"/>
                  <w:marRight w:val="0"/>
                  <w:marTop w:val="150"/>
                  <w:marBottom w:val="150"/>
                  <w:divBdr>
                    <w:top w:val="none" w:sz="0" w:space="0" w:color="auto"/>
                    <w:left w:val="none" w:sz="0" w:space="0" w:color="auto"/>
                    <w:bottom w:val="none" w:sz="0" w:space="0" w:color="auto"/>
                    <w:right w:val="none" w:sz="0" w:space="0" w:color="auto"/>
                  </w:divBdr>
                </w:div>
                <w:div w:id="1199127525">
                  <w:marLeft w:val="0"/>
                  <w:marRight w:val="0"/>
                  <w:marTop w:val="0"/>
                  <w:marBottom w:val="0"/>
                  <w:divBdr>
                    <w:top w:val="none" w:sz="0" w:space="0" w:color="auto"/>
                    <w:left w:val="none" w:sz="0" w:space="0" w:color="auto"/>
                    <w:bottom w:val="none" w:sz="0" w:space="0" w:color="auto"/>
                    <w:right w:val="none" w:sz="0" w:space="0" w:color="auto"/>
                  </w:divBdr>
                </w:div>
                <w:div w:id="1262957274">
                  <w:marLeft w:val="0"/>
                  <w:marRight w:val="0"/>
                  <w:marTop w:val="150"/>
                  <w:marBottom w:val="150"/>
                  <w:divBdr>
                    <w:top w:val="none" w:sz="0" w:space="0" w:color="auto"/>
                    <w:left w:val="none" w:sz="0" w:space="0" w:color="auto"/>
                    <w:bottom w:val="none" w:sz="0" w:space="0" w:color="auto"/>
                    <w:right w:val="none" w:sz="0" w:space="0" w:color="auto"/>
                  </w:divBdr>
                </w:div>
                <w:div w:id="1178544659">
                  <w:marLeft w:val="0"/>
                  <w:marRight w:val="0"/>
                  <w:marTop w:val="150"/>
                  <w:marBottom w:val="150"/>
                  <w:divBdr>
                    <w:top w:val="none" w:sz="0" w:space="0" w:color="auto"/>
                    <w:left w:val="none" w:sz="0" w:space="0" w:color="auto"/>
                    <w:bottom w:val="none" w:sz="0" w:space="0" w:color="auto"/>
                    <w:right w:val="none" w:sz="0" w:space="0" w:color="auto"/>
                  </w:divBdr>
                </w:div>
                <w:div w:id="1058552404">
                  <w:marLeft w:val="0"/>
                  <w:marRight w:val="0"/>
                  <w:marTop w:val="150"/>
                  <w:marBottom w:val="150"/>
                  <w:divBdr>
                    <w:top w:val="none" w:sz="0" w:space="0" w:color="auto"/>
                    <w:left w:val="none" w:sz="0" w:space="0" w:color="auto"/>
                    <w:bottom w:val="none" w:sz="0" w:space="0" w:color="auto"/>
                    <w:right w:val="none" w:sz="0" w:space="0" w:color="auto"/>
                  </w:divBdr>
                </w:div>
                <w:div w:id="1887332466">
                  <w:marLeft w:val="0"/>
                  <w:marRight w:val="0"/>
                  <w:marTop w:val="150"/>
                  <w:marBottom w:val="150"/>
                  <w:divBdr>
                    <w:top w:val="none" w:sz="0" w:space="0" w:color="auto"/>
                    <w:left w:val="none" w:sz="0" w:space="0" w:color="auto"/>
                    <w:bottom w:val="none" w:sz="0" w:space="0" w:color="auto"/>
                    <w:right w:val="none" w:sz="0" w:space="0" w:color="auto"/>
                  </w:divBdr>
                </w:div>
                <w:div w:id="64571076">
                  <w:marLeft w:val="0"/>
                  <w:marRight w:val="0"/>
                  <w:marTop w:val="150"/>
                  <w:marBottom w:val="150"/>
                  <w:divBdr>
                    <w:top w:val="none" w:sz="0" w:space="0" w:color="auto"/>
                    <w:left w:val="none" w:sz="0" w:space="0" w:color="auto"/>
                    <w:bottom w:val="none" w:sz="0" w:space="0" w:color="auto"/>
                    <w:right w:val="none" w:sz="0" w:space="0" w:color="auto"/>
                  </w:divBdr>
                </w:div>
                <w:div w:id="485047739">
                  <w:marLeft w:val="0"/>
                  <w:marRight w:val="0"/>
                  <w:marTop w:val="150"/>
                  <w:marBottom w:val="150"/>
                  <w:divBdr>
                    <w:top w:val="none" w:sz="0" w:space="0" w:color="auto"/>
                    <w:left w:val="none" w:sz="0" w:space="0" w:color="auto"/>
                    <w:bottom w:val="none" w:sz="0" w:space="0" w:color="auto"/>
                    <w:right w:val="none" w:sz="0" w:space="0" w:color="auto"/>
                  </w:divBdr>
                </w:div>
                <w:div w:id="1035234428">
                  <w:marLeft w:val="0"/>
                  <w:marRight w:val="0"/>
                  <w:marTop w:val="0"/>
                  <w:marBottom w:val="150"/>
                  <w:divBdr>
                    <w:top w:val="none" w:sz="0" w:space="0" w:color="auto"/>
                    <w:left w:val="none" w:sz="0" w:space="0" w:color="auto"/>
                    <w:bottom w:val="none" w:sz="0" w:space="0" w:color="auto"/>
                    <w:right w:val="none" w:sz="0" w:space="0" w:color="auto"/>
                  </w:divBdr>
                </w:div>
                <w:div w:id="1918201212">
                  <w:marLeft w:val="0"/>
                  <w:marRight w:val="0"/>
                  <w:marTop w:val="150"/>
                  <w:marBottom w:val="150"/>
                  <w:divBdr>
                    <w:top w:val="none" w:sz="0" w:space="0" w:color="auto"/>
                    <w:left w:val="none" w:sz="0" w:space="0" w:color="auto"/>
                    <w:bottom w:val="none" w:sz="0" w:space="0" w:color="auto"/>
                    <w:right w:val="none" w:sz="0" w:space="0" w:color="auto"/>
                  </w:divBdr>
                </w:div>
                <w:div w:id="1048411240">
                  <w:marLeft w:val="0"/>
                  <w:marRight w:val="0"/>
                  <w:marTop w:val="0"/>
                  <w:marBottom w:val="150"/>
                  <w:divBdr>
                    <w:top w:val="none" w:sz="0" w:space="0" w:color="auto"/>
                    <w:left w:val="none" w:sz="0" w:space="0" w:color="auto"/>
                    <w:bottom w:val="none" w:sz="0" w:space="0" w:color="auto"/>
                    <w:right w:val="none" w:sz="0" w:space="0" w:color="auto"/>
                  </w:divBdr>
                </w:div>
                <w:div w:id="1150753931">
                  <w:marLeft w:val="0"/>
                  <w:marRight w:val="0"/>
                  <w:marTop w:val="150"/>
                  <w:marBottom w:val="150"/>
                  <w:divBdr>
                    <w:top w:val="none" w:sz="0" w:space="0" w:color="auto"/>
                    <w:left w:val="none" w:sz="0" w:space="0" w:color="auto"/>
                    <w:bottom w:val="none" w:sz="0" w:space="0" w:color="auto"/>
                    <w:right w:val="none" w:sz="0" w:space="0" w:color="auto"/>
                  </w:divBdr>
                </w:div>
                <w:div w:id="1412198151">
                  <w:marLeft w:val="0"/>
                  <w:marRight w:val="0"/>
                  <w:marTop w:val="150"/>
                  <w:marBottom w:val="150"/>
                  <w:divBdr>
                    <w:top w:val="none" w:sz="0" w:space="0" w:color="auto"/>
                    <w:left w:val="none" w:sz="0" w:space="0" w:color="auto"/>
                    <w:bottom w:val="none" w:sz="0" w:space="0" w:color="auto"/>
                    <w:right w:val="none" w:sz="0" w:space="0" w:color="auto"/>
                  </w:divBdr>
                </w:div>
                <w:div w:id="18700858">
                  <w:marLeft w:val="0"/>
                  <w:marRight w:val="0"/>
                  <w:marTop w:val="150"/>
                  <w:marBottom w:val="150"/>
                  <w:divBdr>
                    <w:top w:val="none" w:sz="0" w:space="0" w:color="auto"/>
                    <w:left w:val="none" w:sz="0" w:space="0" w:color="auto"/>
                    <w:bottom w:val="none" w:sz="0" w:space="0" w:color="auto"/>
                    <w:right w:val="none" w:sz="0" w:space="0" w:color="auto"/>
                  </w:divBdr>
                </w:div>
                <w:div w:id="1349066713">
                  <w:marLeft w:val="0"/>
                  <w:marRight w:val="0"/>
                  <w:marTop w:val="150"/>
                  <w:marBottom w:val="150"/>
                  <w:divBdr>
                    <w:top w:val="none" w:sz="0" w:space="0" w:color="auto"/>
                    <w:left w:val="none" w:sz="0" w:space="0" w:color="auto"/>
                    <w:bottom w:val="none" w:sz="0" w:space="0" w:color="auto"/>
                    <w:right w:val="none" w:sz="0" w:space="0" w:color="auto"/>
                  </w:divBdr>
                </w:div>
                <w:div w:id="2009363789">
                  <w:marLeft w:val="0"/>
                  <w:marRight w:val="0"/>
                  <w:marTop w:val="150"/>
                  <w:marBottom w:val="150"/>
                  <w:divBdr>
                    <w:top w:val="none" w:sz="0" w:space="0" w:color="auto"/>
                    <w:left w:val="none" w:sz="0" w:space="0" w:color="auto"/>
                    <w:bottom w:val="none" w:sz="0" w:space="0" w:color="auto"/>
                    <w:right w:val="none" w:sz="0" w:space="0" w:color="auto"/>
                  </w:divBdr>
                </w:div>
                <w:div w:id="1147480424">
                  <w:marLeft w:val="0"/>
                  <w:marRight w:val="0"/>
                  <w:marTop w:val="150"/>
                  <w:marBottom w:val="150"/>
                  <w:divBdr>
                    <w:top w:val="none" w:sz="0" w:space="0" w:color="auto"/>
                    <w:left w:val="none" w:sz="0" w:space="0" w:color="auto"/>
                    <w:bottom w:val="none" w:sz="0" w:space="0" w:color="auto"/>
                    <w:right w:val="none" w:sz="0" w:space="0" w:color="auto"/>
                  </w:divBdr>
                </w:div>
                <w:div w:id="1283222426">
                  <w:marLeft w:val="0"/>
                  <w:marRight w:val="0"/>
                  <w:marTop w:val="150"/>
                  <w:marBottom w:val="150"/>
                  <w:divBdr>
                    <w:top w:val="none" w:sz="0" w:space="0" w:color="auto"/>
                    <w:left w:val="none" w:sz="0" w:space="0" w:color="auto"/>
                    <w:bottom w:val="none" w:sz="0" w:space="0" w:color="auto"/>
                    <w:right w:val="none" w:sz="0" w:space="0" w:color="auto"/>
                  </w:divBdr>
                </w:div>
                <w:div w:id="97331960">
                  <w:marLeft w:val="0"/>
                  <w:marRight w:val="0"/>
                  <w:marTop w:val="0"/>
                  <w:marBottom w:val="150"/>
                  <w:divBdr>
                    <w:top w:val="none" w:sz="0" w:space="0" w:color="auto"/>
                    <w:left w:val="none" w:sz="0" w:space="0" w:color="auto"/>
                    <w:bottom w:val="none" w:sz="0" w:space="0" w:color="auto"/>
                    <w:right w:val="none" w:sz="0" w:space="0" w:color="auto"/>
                  </w:divBdr>
                </w:div>
                <w:div w:id="1080059254">
                  <w:marLeft w:val="0"/>
                  <w:marRight w:val="0"/>
                  <w:marTop w:val="0"/>
                  <w:marBottom w:val="150"/>
                  <w:divBdr>
                    <w:top w:val="none" w:sz="0" w:space="0" w:color="auto"/>
                    <w:left w:val="none" w:sz="0" w:space="0" w:color="auto"/>
                    <w:bottom w:val="none" w:sz="0" w:space="0" w:color="auto"/>
                    <w:right w:val="none" w:sz="0" w:space="0" w:color="auto"/>
                  </w:divBdr>
                </w:div>
                <w:div w:id="694306121">
                  <w:marLeft w:val="0"/>
                  <w:marRight w:val="0"/>
                  <w:marTop w:val="150"/>
                  <w:marBottom w:val="150"/>
                  <w:divBdr>
                    <w:top w:val="none" w:sz="0" w:space="0" w:color="auto"/>
                    <w:left w:val="none" w:sz="0" w:space="0" w:color="auto"/>
                    <w:bottom w:val="none" w:sz="0" w:space="0" w:color="auto"/>
                    <w:right w:val="none" w:sz="0" w:space="0" w:color="auto"/>
                  </w:divBdr>
                </w:div>
                <w:div w:id="454911030">
                  <w:marLeft w:val="0"/>
                  <w:marRight w:val="0"/>
                  <w:marTop w:val="150"/>
                  <w:marBottom w:val="150"/>
                  <w:divBdr>
                    <w:top w:val="none" w:sz="0" w:space="0" w:color="auto"/>
                    <w:left w:val="none" w:sz="0" w:space="0" w:color="auto"/>
                    <w:bottom w:val="none" w:sz="0" w:space="0" w:color="auto"/>
                    <w:right w:val="none" w:sz="0" w:space="0" w:color="auto"/>
                  </w:divBdr>
                </w:div>
                <w:div w:id="1671057462">
                  <w:marLeft w:val="0"/>
                  <w:marRight w:val="0"/>
                  <w:marTop w:val="150"/>
                  <w:marBottom w:val="150"/>
                  <w:divBdr>
                    <w:top w:val="none" w:sz="0" w:space="0" w:color="auto"/>
                    <w:left w:val="none" w:sz="0" w:space="0" w:color="auto"/>
                    <w:bottom w:val="none" w:sz="0" w:space="0" w:color="auto"/>
                    <w:right w:val="none" w:sz="0" w:space="0" w:color="auto"/>
                  </w:divBdr>
                </w:div>
                <w:div w:id="2008092206">
                  <w:marLeft w:val="0"/>
                  <w:marRight w:val="0"/>
                  <w:marTop w:val="150"/>
                  <w:marBottom w:val="150"/>
                  <w:divBdr>
                    <w:top w:val="none" w:sz="0" w:space="0" w:color="auto"/>
                    <w:left w:val="none" w:sz="0" w:space="0" w:color="auto"/>
                    <w:bottom w:val="none" w:sz="0" w:space="0" w:color="auto"/>
                    <w:right w:val="none" w:sz="0" w:space="0" w:color="auto"/>
                  </w:divBdr>
                </w:div>
                <w:div w:id="568460441">
                  <w:marLeft w:val="0"/>
                  <w:marRight w:val="0"/>
                  <w:marTop w:val="150"/>
                  <w:marBottom w:val="150"/>
                  <w:divBdr>
                    <w:top w:val="none" w:sz="0" w:space="0" w:color="auto"/>
                    <w:left w:val="none" w:sz="0" w:space="0" w:color="auto"/>
                    <w:bottom w:val="none" w:sz="0" w:space="0" w:color="auto"/>
                    <w:right w:val="none" w:sz="0" w:space="0" w:color="auto"/>
                  </w:divBdr>
                </w:div>
                <w:div w:id="1029913214">
                  <w:marLeft w:val="0"/>
                  <w:marRight w:val="0"/>
                  <w:marTop w:val="150"/>
                  <w:marBottom w:val="150"/>
                  <w:divBdr>
                    <w:top w:val="none" w:sz="0" w:space="0" w:color="auto"/>
                    <w:left w:val="none" w:sz="0" w:space="0" w:color="auto"/>
                    <w:bottom w:val="none" w:sz="0" w:space="0" w:color="auto"/>
                    <w:right w:val="none" w:sz="0" w:space="0" w:color="auto"/>
                  </w:divBdr>
                </w:div>
                <w:div w:id="2032565463">
                  <w:marLeft w:val="0"/>
                  <w:marRight w:val="0"/>
                  <w:marTop w:val="150"/>
                  <w:marBottom w:val="150"/>
                  <w:divBdr>
                    <w:top w:val="none" w:sz="0" w:space="0" w:color="auto"/>
                    <w:left w:val="none" w:sz="0" w:space="0" w:color="auto"/>
                    <w:bottom w:val="none" w:sz="0" w:space="0" w:color="auto"/>
                    <w:right w:val="none" w:sz="0" w:space="0" w:color="auto"/>
                  </w:divBdr>
                </w:div>
                <w:div w:id="755904195">
                  <w:marLeft w:val="0"/>
                  <w:marRight w:val="0"/>
                  <w:marTop w:val="150"/>
                  <w:marBottom w:val="150"/>
                  <w:divBdr>
                    <w:top w:val="none" w:sz="0" w:space="0" w:color="auto"/>
                    <w:left w:val="none" w:sz="0" w:space="0" w:color="auto"/>
                    <w:bottom w:val="none" w:sz="0" w:space="0" w:color="auto"/>
                    <w:right w:val="none" w:sz="0" w:space="0" w:color="auto"/>
                  </w:divBdr>
                </w:div>
                <w:div w:id="296840007">
                  <w:marLeft w:val="0"/>
                  <w:marRight w:val="0"/>
                  <w:marTop w:val="0"/>
                  <w:marBottom w:val="150"/>
                  <w:divBdr>
                    <w:top w:val="none" w:sz="0" w:space="0" w:color="auto"/>
                    <w:left w:val="none" w:sz="0" w:space="0" w:color="auto"/>
                    <w:bottom w:val="none" w:sz="0" w:space="0" w:color="auto"/>
                    <w:right w:val="none" w:sz="0" w:space="0" w:color="auto"/>
                  </w:divBdr>
                </w:div>
                <w:div w:id="113258155">
                  <w:marLeft w:val="0"/>
                  <w:marRight w:val="0"/>
                  <w:marTop w:val="150"/>
                  <w:marBottom w:val="150"/>
                  <w:divBdr>
                    <w:top w:val="none" w:sz="0" w:space="0" w:color="auto"/>
                    <w:left w:val="none" w:sz="0" w:space="0" w:color="auto"/>
                    <w:bottom w:val="none" w:sz="0" w:space="0" w:color="auto"/>
                    <w:right w:val="none" w:sz="0" w:space="0" w:color="auto"/>
                  </w:divBdr>
                </w:div>
                <w:div w:id="398746148">
                  <w:marLeft w:val="0"/>
                  <w:marRight w:val="0"/>
                  <w:marTop w:val="0"/>
                  <w:marBottom w:val="150"/>
                  <w:divBdr>
                    <w:top w:val="none" w:sz="0" w:space="0" w:color="auto"/>
                    <w:left w:val="none" w:sz="0" w:space="0" w:color="auto"/>
                    <w:bottom w:val="none" w:sz="0" w:space="0" w:color="auto"/>
                    <w:right w:val="none" w:sz="0" w:space="0" w:color="auto"/>
                  </w:divBdr>
                </w:div>
                <w:div w:id="1836991768">
                  <w:marLeft w:val="0"/>
                  <w:marRight w:val="0"/>
                  <w:marTop w:val="0"/>
                  <w:marBottom w:val="150"/>
                  <w:divBdr>
                    <w:top w:val="none" w:sz="0" w:space="0" w:color="auto"/>
                    <w:left w:val="none" w:sz="0" w:space="0" w:color="auto"/>
                    <w:bottom w:val="none" w:sz="0" w:space="0" w:color="auto"/>
                    <w:right w:val="none" w:sz="0" w:space="0" w:color="auto"/>
                  </w:divBdr>
                </w:div>
                <w:div w:id="247425870">
                  <w:marLeft w:val="0"/>
                  <w:marRight w:val="0"/>
                  <w:marTop w:val="0"/>
                  <w:marBottom w:val="150"/>
                  <w:divBdr>
                    <w:top w:val="none" w:sz="0" w:space="0" w:color="auto"/>
                    <w:left w:val="none" w:sz="0" w:space="0" w:color="auto"/>
                    <w:bottom w:val="none" w:sz="0" w:space="0" w:color="auto"/>
                    <w:right w:val="none" w:sz="0" w:space="0" w:color="auto"/>
                  </w:divBdr>
                </w:div>
                <w:div w:id="2011132947">
                  <w:marLeft w:val="0"/>
                  <w:marRight w:val="0"/>
                  <w:marTop w:val="0"/>
                  <w:marBottom w:val="150"/>
                  <w:divBdr>
                    <w:top w:val="none" w:sz="0" w:space="0" w:color="auto"/>
                    <w:left w:val="none" w:sz="0" w:space="0" w:color="auto"/>
                    <w:bottom w:val="none" w:sz="0" w:space="0" w:color="auto"/>
                    <w:right w:val="none" w:sz="0" w:space="0" w:color="auto"/>
                  </w:divBdr>
                </w:div>
                <w:div w:id="1542748816">
                  <w:marLeft w:val="0"/>
                  <w:marRight w:val="0"/>
                  <w:marTop w:val="150"/>
                  <w:marBottom w:val="150"/>
                  <w:divBdr>
                    <w:top w:val="none" w:sz="0" w:space="0" w:color="auto"/>
                    <w:left w:val="none" w:sz="0" w:space="0" w:color="auto"/>
                    <w:bottom w:val="none" w:sz="0" w:space="0" w:color="auto"/>
                    <w:right w:val="none" w:sz="0" w:space="0" w:color="auto"/>
                  </w:divBdr>
                </w:div>
                <w:div w:id="681476080">
                  <w:marLeft w:val="0"/>
                  <w:marRight w:val="0"/>
                  <w:marTop w:val="150"/>
                  <w:marBottom w:val="150"/>
                  <w:divBdr>
                    <w:top w:val="none" w:sz="0" w:space="0" w:color="auto"/>
                    <w:left w:val="none" w:sz="0" w:space="0" w:color="auto"/>
                    <w:bottom w:val="none" w:sz="0" w:space="0" w:color="auto"/>
                    <w:right w:val="none" w:sz="0" w:space="0" w:color="auto"/>
                  </w:divBdr>
                </w:div>
                <w:div w:id="1222788693">
                  <w:marLeft w:val="0"/>
                  <w:marRight w:val="0"/>
                  <w:marTop w:val="0"/>
                  <w:marBottom w:val="150"/>
                  <w:divBdr>
                    <w:top w:val="none" w:sz="0" w:space="0" w:color="auto"/>
                    <w:left w:val="none" w:sz="0" w:space="0" w:color="auto"/>
                    <w:bottom w:val="none" w:sz="0" w:space="0" w:color="auto"/>
                    <w:right w:val="none" w:sz="0" w:space="0" w:color="auto"/>
                  </w:divBdr>
                </w:div>
                <w:div w:id="998116201">
                  <w:marLeft w:val="0"/>
                  <w:marRight w:val="0"/>
                  <w:marTop w:val="150"/>
                  <w:marBottom w:val="150"/>
                  <w:divBdr>
                    <w:top w:val="none" w:sz="0" w:space="0" w:color="auto"/>
                    <w:left w:val="none" w:sz="0" w:space="0" w:color="auto"/>
                    <w:bottom w:val="none" w:sz="0" w:space="0" w:color="auto"/>
                    <w:right w:val="none" w:sz="0" w:space="0" w:color="auto"/>
                  </w:divBdr>
                </w:div>
                <w:div w:id="125281169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3020843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s://zakon.rada.gov.ua/laws/show/2755-17/print" TargetMode="External"/><Relationship Id="rId3182" Type="http://schemas.openxmlformats.org/officeDocument/2006/relationships/hyperlink" Target="https://zakon.rada.gov.ua/laws/show/2755-17/print" TargetMode="External"/><Relationship Id="rId4233" Type="http://schemas.openxmlformats.org/officeDocument/2006/relationships/hyperlink" Target="https://zakon.rada.gov.ua/laws/show/2628-19" TargetMode="External"/><Relationship Id="rId3999" Type="http://schemas.openxmlformats.org/officeDocument/2006/relationships/hyperlink" Target="https://zakon.rada.gov.ua/laws/show/1638-18" TargetMode="External"/><Relationship Id="rId4300" Type="http://schemas.openxmlformats.org/officeDocument/2006/relationships/hyperlink" Target="https://zakon.rada.gov.ua/laws/show/2628-19" TargetMode="External"/><Relationship Id="rId170" Type="http://schemas.openxmlformats.org/officeDocument/2006/relationships/hyperlink" Target="https://zakon.rada.gov.ua/laws/show/71-19" TargetMode="External"/><Relationship Id="rId6058" Type="http://schemas.openxmlformats.org/officeDocument/2006/relationships/hyperlink" Target="https://zakon.rada.gov.ua/laws/show/2755-17/print" TargetMode="External"/><Relationship Id="rId5074" Type="http://schemas.openxmlformats.org/officeDocument/2006/relationships/hyperlink" Target="https://zakon.rada.gov.ua/laws/show/2755-17/print" TargetMode="External"/><Relationship Id="rId6125" Type="http://schemas.openxmlformats.org/officeDocument/2006/relationships/hyperlink" Target="https://zakon.rada.gov.ua/laws/show/5414-17" TargetMode="External"/><Relationship Id="rId987" Type="http://schemas.openxmlformats.org/officeDocument/2006/relationships/hyperlink" Target="https://zakon.rada.gov.ua/laws/show/404-18" TargetMode="External"/><Relationship Id="rId2668" Type="http://schemas.openxmlformats.org/officeDocument/2006/relationships/hyperlink" Target="https://zakon.rada.gov.ua/laws/show/2245-19" TargetMode="External"/><Relationship Id="rId3719" Type="http://schemas.openxmlformats.org/officeDocument/2006/relationships/hyperlink" Target="https://zakon.rada.gov.ua/laws/show/4915-17" TargetMode="External"/><Relationship Id="rId4090" Type="http://schemas.openxmlformats.org/officeDocument/2006/relationships/hyperlink" Target="https://zakon.rada.gov.ua/laws/show/2660-14" TargetMode="External"/><Relationship Id="rId1684" Type="http://schemas.openxmlformats.org/officeDocument/2006/relationships/hyperlink" Target="https://zakon.rada.gov.ua/laws/show/2755-17/print" TargetMode="External"/><Relationship Id="rId2735" Type="http://schemas.openxmlformats.org/officeDocument/2006/relationships/hyperlink" Target="https://zakon.rada.gov.ua/laws/show/909-19" TargetMode="External"/><Relationship Id="rId5141" Type="http://schemas.openxmlformats.org/officeDocument/2006/relationships/hyperlink" Target="https://zakon.rada.gov.ua/laws/show/2755-17/print" TargetMode="External"/><Relationship Id="rId707" Type="http://schemas.openxmlformats.org/officeDocument/2006/relationships/hyperlink" Target="https://zakon.rada.gov.ua/laws/show/1797-19" TargetMode="External"/><Relationship Id="rId1337" Type="http://schemas.openxmlformats.org/officeDocument/2006/relationships/hyperlink" Target="https://zakon.rada.gov.ua/laws/show/404-18" TargetMode="External"/><Relationship Id="rId1751" Type="http://schemas.openxmlformats.org/officeDocument/2006/relationships/hyperlink" Target="https://zakon.rada.gov.ua/laws/show/2755-17/print" TargetMode="External"/><Relationship Id="rId2802" Type="http://schemas.openxmlformats.org/officeDocument/2006/relationships/hyperlink" Target="https://zakon.rada.gov.ua/laws/show/3609-17" TargetMode="External"/><Relationship Id="rId5958" Type="http://schemas.openxmlformats.org/officeDocument/2006/relationships/hyperlink" Target="https://zakon.rada.gov.ua/laws/show/657-18" TargetMode="External"/><Relationship Id="rId43" Type="http://schemas.openxmlformats.org/officeDocument/2006/relationships/hyperlink" Target="https://zakon.rada.gov.ua/laws/show/5471-17" TargetMode="External"/><Relationship Id="rId1404" Type="http://schemas.openxmlformats.org/officeDocument/2006/relationships/hyperlink" Target="https://zakon.rada.gov.ua/laws/show/755-15" TargetMode="External"/><Relationship Id="rId3576" Type="http://schemas.openxmlformats.org/officeDocument/2006/relationships/hyperlink" Target="https://zakon.rada.gov.ua/laws/show/2755-17/print" TargetMode="External"/><Relationship Id="rId4627" Type="http://schemas.openxmlformats.org/officeDocument/2006/relationships/hyperlink" Target="https://zakon.rada.gov.ua/laws/show/909-19" TargetMode="External"/><Relationship Id="rId4974" Type="http://schemas.openxmlformats.org/officeDocument/2006/relationships/hyperlink" Target="https://zakon.rada.gov.ua/laws/show/5083-17" TargetMode="External"/><Relationship Id="rId497" Type="http://schemas.openxmlformats.org/officeDocument/2006/relationships/hyperlink" Target="https://zakon.rada.gov.ua/laws/show/2755-17/print" TargetMode="External"/><Relationship Id="rId2178" Type="http://schemas.openxmlformats.org/officeDocument/2006/relationships/hyperlink" Target="https://zakon.rada.gov.ua/laws/show/1791-19" TargetMode="External"/><Relationship Id="rId3229" Type="http://schemas.openxmlformats.org/officeDocument/2006/relationships/hyperlink" Target="https://zakon.rada.gov.ua/laws/show/1797-19" TargetMode="External"/><Relationship Id="rId3990" Type="http://schemas.openxmlformats.org/officeDocument/2006/relationships/hyperlink" Target="https://zakon.rada.gov.ua/laws/show/2628-19" TargetMode="External"/><Relationship Id="rId1194" Type="http://schemas.openxmlformats.org/officeDocument/2006/relationships/hyperlink" Target="https://zakon.rada.gov.ua/laws/show/1797-19" TargetMode="External"/><Relationship Id="rId2592" Type="http://schemas.openxmlformats.org/officeDocument/2006/relationships/hyperlink" Target="https://zakon.rada.gov.ua/laws/show/71-19" TargetMode="External"/><Relationship Id="rId3643" Type="http://schemas.openxmlformats.org/officeDocument/2006/relationships/hyperlink" Target="https://zakon.rada.gov.ua/laws/show/va375202-05" TargetMode="External"/><Relationship Id="rId217" Type="http://schemas.openxmlformats.org/officeDocument/2006/relationships/hyperlink" Target="https://zakon.rada.gov.ua/laws/show/909-19" TargetMode="External"/><Relationship Id="rId564" Type="http://schemas.openxmlformats.org/officeDocument/2006/relationships/hyperlink" Target="https://zakon.rada.gov.ua/laws/show/1791-19" TargetMode="External"/><Relationship Id="rId2245" Type="http://schemas.openxmlformats.org/officeDocument/2006/relationships/hyperlink" Target="https://zakon.rada.gov.ua/laws/show/2755-17/print" TargetMode="External"/><Relationship Id="rId3710" Type="http://schemas.openxmlformats.org/officeDocument/2006/relationships/hyperlink" Target="https://zakon.rada.gov.ua/laws/show/431-2012-%D0%BF" TargetMode="External"/><Relationship Id="rId631" Type="http://schemas.openxmlformats.org/officeDocument/2006/relationships/hyperlink" Target="https://zakon.rada.gov.ua/laws/show/4834-17" TargetMode="External"/><Relationship Id="rId1261" Type="http://schemas.openxmlformats.org/officeDocument/2006/relationships/hyperlink" Target="https://zakon.rada.gov.ua/laws/show/71-19" TargetMode="External"/><Relationship Id="rId2312" Type="http://schemas.openxmlformats.org/officeDocument/2006/relationships/hyperlink" Target="https://zakon.rada.gov.ua/laws/show/2755-17/print" TargetMode="External"/><Relationship Id="rId5468" Type="http://schemas.openxmlformats.org/officeDocument/2006/relationships/hyperlink" Target="https://zakon.rada.gov.ua/laws/show/1658-18" TargetMode="External"/><Relationship Id="rId5882" Type="http://schemas.openxmlformats.org/officeDocument/2006/relationships/hyperlink" Target="https://zakon.rada.gov.ua/laws/show/1795-19" TargetMode="External"/><Relationship Id="rId4484" Type="http://schemas.openxmlformats.org/officeDocument/2006/relationships/hyperlink" Target="https://zakon.rada.gov.ua/laws/show/2755-17/print" TargetMode="External"/><Relationship Id="rId5535" Type="http://schemas.openxmlformats.org/officeDocument/2006/relationships/hyperlink" Target="https://zakon.rada.gov.ua/laws/show/71-19" TargetMode="External"/><Relationship Id="rId3086" Type="http://schemas.openxmlformats.org/officeDocument/2006/relationships/hyperlink" Target="https://zakon.rada.gov.ua/laws/show/5073-17" TargetMode="External"/><Relationship Id="rId4137" Type="http://schemas.openxmlformats.org/officeDocument/2006/relationships/hyperlink" Target="https://zakon.rada.gov.ua/laws/show/71-19" TargetMode="External"/><Relationship Id="rId4551" Type="http://schemas.openxmlformats.org/officeDocument/2006/relationships/hyperlink" Target="https://zakon.rada.gov.ua/laws/show/z1051-15" TargetMode="External"/><Relationship Id="rId3153" Type="http://schemas.openxmlformats.org/officeDocument/2006/relationships/hyperlink" Target="https://zakon.rada.gov.ua/laws/show/2755-17/print" TargetMode="External"/><Relationship Id="rId4204" Type="http://schemas.openxmlformats.org/officeDocument/2006/relationships/hyperlink" Target="https://zakon.rada.gov.ua/laws/show/584%D0%B0-18" TargetMode="External"/><Relationship Id="rId5602" Type="http://schemas.openxmlformats.org/officeDocument/2006/relationships/hyperlink" Target="https://zakon.rada.gov.ua/laws/show/2755-17/print" TargetMode="External"/><Relationship Id="rId141" Type="http://schemas.openxmlformats.org/officeDocument/2006/relationships/hyperlink" Target="https://zakon.rada.gov.ua/laws/show/5083-17" TargetMode="External"/><Relationship Id="rId3220" Type="http://schemas.openxmlformats.org/officeDocument/2006/relationships/hyperlink" Target="https://zakon.rada.gov.ua/laws/show/4834-17" TargetMode="External"/><Relationship Id="rId6029" Type="http://schemas.openxmlformats.org/officeDocument/2006/relationships/hyperlink" Target="https://zakon.rada.gov.ua/laws/show/2628-19" TargetMode="External"/><Relationship Id="rId7" Type="http://schemas.openxmlformats.org/officeDocument/2006/relationships/hyperlink" Target="https://zakon.rada.gov.ua/laws/show/3221-17" TargetMode="External"/><Relationship Id="rId2986" Type="http://schemas.openxmlformats.org/officeDocument/2006/relationships/hyperlink" Target="https://zakon.rada.gov.ua/laws/show/1200-18" TargetMode="External"/><Relationship Id="rId5392" Type="http://schemas.openxmlformats.org/officeDocument/2006/relationships/hyperlink" Target="https://zakon.rada.gov.ua/laws/show/4495-17" TargetMode="External"/><Relationship Id="rId958" Type="http://schemas.openxmlformats.org/officeDocument/2006/relationships/hyperlink" Target="https://zakon.rada.gov.ua/laws/show/1797-19" TargetMode="External"/><Relationship Id="rId1588" Type="http://schemas.openxmlformats.org/officeDocument/2006/relationships/hyperlink" Target="https://zakon.rada.gov.ua/laws/show/1797-19" TargetMode="External"/><Relationship Id="rId2639" Type="http://schemas.openxmlformats.org/officeDocument/2006/relationships/hyperlink" Target="https://zakon.rada.gov.ua/laws/show/1797-19" TargetMode="External"/><Relationship Id="rId5045" Type="http://schemas.openxmlformats.org/officeDocument/2006/relationships/hyperlink" Target="https://zakon.rada.gov.ua/laws/show/vb457609-10" TargetMode="External"/><Relationship Id="rId1655" Type="http://schemas.openxmlformats.org/officeDocument/2006/relationships/hyperlink" Target="https://zakon.rada.gov.ua/laws/show/2755-17/print" TargetMode="External"/><Relationship Id="rId2706" Type="http://schemas.openxmlformats.org/officeDocument/2006/relationships/hyperlink" Target="https://zakon.rada.gov.ua/laws/show/2755-17/print" TargetMode="External"/><Relationship Id="rId4061" Type="http://schemas.openxmlformats.org/officeDocument/2006/relationships/hyperlink" Target="https://zakon.rada.gov.ua/laws/show/584%D0%B0-18" TargetMode="External"/><Relationship Id="rId5112" Type="http://schemas.openxmlformats.org/officeDocument/2006/relationships/hyperlink" Target="https://zakon.rada.gov.ua/laws/show/5412-17" TargetMode="External"/><Relationship Id="rId1308" Type="http://schemas.openxmlformats.org/officeDocument/2006/relationships/hyperlink" Target="https://zakon.rada.gov.ua/laws/show/4834-17" TargetMode="External"/><Relationship Id="rId1722" Type="http://schemas.openxmlformats.org/officeDocument/2006/relationships/hyperlink" Target="https://zakon.rada.gov.ua/laws/show/2755-17/print" TargetMode="External"/><Relationship Id="rId4878" Type="http://schemas.openxmlformats.org/officeDocument/2006/relationships/hyperlink" Target="https://zakon.rada.gov.ua/laws/show/2755-17/print" TargetMode="External"/><Relationship Id="rId5929" Type="http://schemas.openxmlformats.org/officeDocument/2006/relationships/hyperlink" Target="https://zakon.rada.gov.ua/laws/show/5503-17" TargetMode="External"/><Relationship Id="rId14" Type="http://schemas.openxmlformats.org/officeDocument/2006/relationships/hyperlink" Target="https://zakon.rada.gov.ua/laws/show/3741-17" TargetMode="External"/><Relationship Id="rId3894" Type="http://schemas.openxmlformats.org/officeDocument/2006/relationships/hyperlink" Target="https://zakon.rada.gov.ua/laws/show/076_009" TargetMode="External"/><Relationship Id="rId4945" Type="http://schemas.openxmlformats.org/officeDocument/2006/relationships/hyperlink" Target="https://zakon.rada.gov.ua/laws/show/71-19" TargetMode="External"/><Relationship Id="rId2496" Type="http://schemas.openxmlformats.org/officeDocument/2006/relationships/hyperlink" Target="https://zakon.rada.gov.ua/laws/show/1166-18" TargetMode="External"/><Relationship Id="rId3547" Type="http://schemas.openxmlformats.org/officeDocument/2006/relationships/hyperlink" Target="https://zakon.rada.gov.ua/laws/show/1797-19" TargetMode="External"/><Relationship Id="rId3961" Type="http://schemas.openxmlformats.org/officeDocument/2006/relationships/hyperlink" Target="https://zakon.rada.gov.ua/laws/show/2245-19" TargetMode="External"/><Relationship Id="rId468" Type="http://schemas.openxmlformats.org/officeDocument/2006/relationships/hyperlink" Target="https://zakon.rada.gov.ua/laws/show/657-18" TargetMode="External"/><Relationship Id="rId882" Type="http://schemas.openxmlformats.org/officeDocument/2006/relationships/hyperlink" Target="https://zakon.rada.gov.ua/laws/show/z0497-16" TargetMode="External"/><Relationship Id="rId1098" Type="http://schemas.openxmlformats.org/officeDocument/2006/relationships/hyperlink" Target="https://zakon.rada.gov.ua/laws/show/2755-17/print" TargetMode="External"/><Relationship Id="rId2149" Type="http://schemas.openxmlformats.org/officeDocument/2006/relationships/hyperlink" Target="https://zakon.rada.gov.ua/laws/show/2755-17/print" TargetMode="External"/><Relationship Id="rId2563" Type="http://schemas.openxmlformats.org/officeDocument/2006/relationships/hyperlink" Target="https://zakon.rada.gov.ua/laws/show/3609-17" TargetMode="External"/><Relationship Id="rId3614" Type="http://schemas.openxmlformats.org/officeDocument/2006/relationships/hyperlink" Target="https://zakon.rada.gov.ua/laws/show/2371%D0%B1-14" TargetMode="External"/><Relationship Id="rId6020" Type="http://schemas.openxmlformats.org/officeDocument/2006/relationships/hyperlink" Target="https://zakon.rada.gov.ua/laws/show/2628-19" TargetMode="External"/><Relationship Id="rId535" Type="http://schemas.openxmlformats.org/officeDocument/2006/relationships/hyperlink" Target="https://zakon.rada.gov.ua/laws/show/391-20" TargetMode="External"/><Relationship Id="rId1165" Type="http://schemas.openxmlformats.org/officeDocument/2006/relationships/hyperlink" Target="https://zakon.rada.gov.ua/laws/show/3609-17" TargetMode="External"/><Relationship Id="rId2216" Type="http://schemas.openxmlformats.org/officeDocument/2006/relationships/hyperlink" Target="https://zakon.rada.gov.ua/laws/show/2755-17/print" TargetMode="External"/><Relationship Id="rId2630" Type="http://schemas.openxmlformats.org/officeDocument/2006/relationships/hyperlink" Target="https://zakon.rada.gov.ua/laws/show/1668-18" TargetMode="External"/><Relationship Id="rId5786" Type="http://schemas.openxmlformats.org/officeDocument/2006/relationships/hyperlink" Target="https://zakon.rada.gov.ua/laws/show/71-19" TargetMode="External"/><Relationship Id="rId602" Type="http://schemas.openxmlformats.org/officeDocument/2006/relationships/hyperlink" Target="https://zakon.rada.gov.ua/laws/show/323-20" TargetMode="External"/><Relationship Id="rId1232" Type="http://schemas.openxmlformats.org/officeDocument/2006/relationships/hyperlink" Target="https://zakon.rada.gov.ua/laws/show/1797-19" TargetMode="External"/><Relationship Id="rId4388" Type="http://schemas.openxmlformats.org/officeDocument/2006/relationships/hyperlink" Target="https://zakon.rada.gov.ua/laws/show/1791-19" TargetMode="External"/><Relationship Id="rId5439" Type="http://schemas.openxmlformats.org/officeDocument/2006/relationships/hyperlink" Target="https://zakon.rada.gov.ua/laws/show/516-2013-%D0%BF" TargetMode="External"/><Relationship Id="rId3197" Type="http://schemas.openxmlformats.org/officeDocument/2006/relationships/hyperlink" Target="https://zakon.rada.gov.ua/laws/show/3609-17" TargetMode="External"/><Relationship Id="rId4248" Type="http://schemas.openxmlformats.org/officeDocument/2006/relationships/hyperlink" Target="https://zakon.rada.gov.ua/laws/show/2755-17/print" TargetMode="External"/><Relationship Id="rId5853" Type="http://schemas.openxmlformats.org/officeDocument/2006/relationships/hyperlink" Target="https://zakon.rada.gov.ua/laws/show/2245-19" TargetMode="External"/><Relationship Id="rId3057" Type="http://schemas.openxmlformats.org/officeDocument/2006/relationships/hyperlink" Target="https://zakon.rada.gov.ua/laws/show/4915-17" TargetMode="External"/><Relationship Id="rId4108" Type="http://schemas.openxmlformats.org/officeDocument/2006/relationships/hyperlink" Target="https://zakon.rada.gov.ua/laws/show/391-20" TargetMode="External"/><Relationship Id="rId4455" Type="http://schemas.openxmlformats.org/officeDocument/2006/relationships/hyperlink" Target="https://zakon.rada.gov.ua/laws/show/5083-17" TargetMode="External"/><Relationship Id="rId4662" Type="http://schemas.openxmlformats.org/officeDocument/2006/relationships/hyperlink" Target="https://zakon.rada.gov.ua/laws/show/909-19" TargetMode="External"/><Relationship Id="rId5506" Type="http://schemas.openxmlformats.org/officeDocument/2006/relationships/hyperlink" Target="https://zakon.rada.gov.ua/laws/show/643-19" TargetMode="External"/><Relationship Id="rId5713" Type="http://schemas.openxmlformats.org/officeDocument/2006/relationships/hyperlink" Target="https://zakon.rada.gov.ua/laws/show/2787-17" TargetMode="External"/><Relationship Id="rId5920" Type="http://schemas.openxmlformats.org/officeDocument/2006/relationships/hyperlink" Target="https://zakon.rada.gov.ua/laws/show/2245-19" TargetMode="External"/><Relationship Id="rId185" Type="http://schemas.openxmlformats.org/officeDocument/2006/relationships/hyperlink" Target="https://zakon.rada.gov.ua/laws/show/2755-17/print" TargetMode="External"/><Relationship Id="rId1909" Type="http://schemas.openxmlformats.org/officeDocument/2006/relationships/hyperlink" Target="https://zakon.rada.gov.ua/laws/show/404-18" TargetMode="External"/><Relationship Id="rId3264" Type="http://schemas.openxmlformats.org/officeDocument/2006/relationships/hyperlink" Target="https://zakon.rada.gov.ua/laws/show/909-19" TargetMode="External"/><Relationship Id="rId3471" Type="http://schemas.openxmlformats.org/officeDocument/2006/relationships/hyperlink" Target="https://zakon.rada.gov.ua/laws/show/z0137-16" TargetMode="External"/><Relationship Id="rId4315" Type="http://schemas.openxmlformats.org/officeDocument/2006/relationships/hyperlink" Target="https://zakon.rada.gov.ua/laws/show/391-20" TargetMode="External"/><Relationship Id="rId4522" Type="http://schemas.openxmlformats.org/officeDocument/2006/relationships/hyperlink" Target="https://zakon.rada.gov.ua/laws/show/1797-19" TargetMode="External"/><Relationship Id="rId392" Type="http://schemas.openxmlformats.org/officeDocument/2006/relationships/hyperlink" Target="https://zakon.rada.gov.ua/laws/show/2755-17/print" TargetMode="External"/><Relationship Id="rId2073" Type="http://schemas.openxmlformats.org/officeDocument/2006/relationships/hyperlink" Target="https://zakon.rada.gov.ua/laws/show/2755-17/print" TargetMode="External"/><Relationship Id="rId2280" Type="http://schemas.openxmlformats.org/officeDocument/2006/relationships/hyperlink" Target="https://zakon.rada.gov.ua/laws/show/2755-17/print" TargetMode="External"/><Relationship Id="rId3124" Type="http://schemas.openxmlformats.org/officeDocument/2006/relationships/hyperlink" Target="https://zakon.rada.gov.ua/laws/show/1797-19" TargetMode="External"/><Relationship Id="rId3331" Type="http://schemas.openxmlformats.org/officeDocument/2006/relationships/hyperlink" Target="https://zakon.rada.gov.ua/laws/show/2628-19" TargetMode="External"/><Relationship Id="rId252" Type="http://schemas.openxmlformats.org/officeDocument/2006/relationships/hyperlink" Target="https://zakon.rada.gov.ua/laws/show/2755-17/print" TargetMode="External"/><Relationship Id="rId2140" Type="http://schemas.openxmlformats.org/officeDocument/2006/relationships/hyperlink" Target="https://zakon.rada.gov.ua/laws/show/2755-17/print" TargetMode="External"/><Relationship Id="rId5089" Type="http://schemas.openxmlformats.org/officeDocument/2006/relationships/hyperlink" Target="https://zakon.rada.gov.ua/laws/show/71-19" TargetMode="External"/><Relationship Id="rId5296" Type="http://schemas.openxmlformats.org/officeDocument/2006/relationships/hyperlink" Target="https://zakon.rada.gov.ua/laws/show/3609-17" TargetMode="External"/><Relationship Id="rId112" Type="http://schemas.openxmlformats.org/officeDocument/2006/relationships/hyperlink" Target="https://zakon.rada.gov.ua/laws/show/1667-19" TargetMode="External"/><Relationship Id="rId1699" Type="http://schemas.openxmlformats.org/officeDocument/2006/relationships/hyperlink" Target="https://zakon.rada.gov.ua/laws/show/1797-19" TargetMode="External"/><Relationship Id="rId2000" Type="http://schemas.openxmlformats.org/officeDocument/2006/relationships/hyperlink" Target="https://zakon.rada.gov.ua/laws/show/z0137-16" TargetMode="External"/><Relationship Id="rId5156" Type="http://schemas.openxmlformats.org/officeDocument/2006/relationships/hyperlink" Target="https://zakon.rada.gov.ua/laws/show/2755-17/print" TargetMode="External"/><Relationship Id="rId5363" Type="http://schemas.openxmlformats.org/officeDocument/2006/relationships/hyperlink" Target="https://zakon.rada.gov.ua/laws/show/5503-17" TargetMode="External"/><Relationship Id="rId5570" Type="http://schemas.openxmlformats.org/officeDocument/2006/relationships/hyperlink" Target="https://zakon.rada.gov.ua/laws/show/2755-17/print" TargetMode="External"/><Relationship Id="rId6207" Type="http://schemas.openxmlformats.org/officeDocument/2006/relationships/hyperlink" Target="https://zakon.rada.gov.ua/laws/show/308-2015-%D0%BF" TargetMode="External"/><Relationship Id="rId2957" Type="http://schemas.openxmlformats.org/officeDocument/2006/relationships/hyperlink" Target="https://zakon.rada.gov.ua/laws/show/4834-17" TargetMode="External"/><Relationship Id="rId4172" Type="http://schemas.openxmlformats.org/officeDocument/2006/relationships/hyperlink" Target="https://zakon.rada.gov.ua/laws/show/5503-17" TargetMode="External"/><Relationship Id="rId5016" Type="http://schemas.openxmlformats.org/officeDocument/2006/relationships/hyperlink" Target="https://zakon.rada.gov.ua/laws/show/443-18" TargetMode="External"/><Relationship Id="rId5223" Type="http://schemas.openxmlformats.org/officeDocument/2006/relationships/hyperlink" Target="https://zakon.rada.gov.ua/laws/show/1797-19" TargetMode="External"/><Relationship Id="rId929" Type="http://schemas.openxmlformats.org/officeDocument/2006/relationships/hyperlink" Target="https://zakon.rada.gov.ua/laws/show/2755-17/print" TargetMode="External"/><Relationship Id="rId1559" Type="http://schemas.openxmlformats.org/officeDocument/2006/relationships/hyperlink" Target="https://zakon.rada.gov.ua/laws/show/2755-17/print" TargetMode="External"/><Relationship Id="rId1766" Type="http://schemas.openxmlformats.org/officeDocument/2006/relationships/hyperlink" Target="https://zakon.rada.gov.ua/laws/show/1797-19" TargetMode="External"/><Relationship Id="rId1973" Type="http://schemas.openxmlformats.org/officeDocument/2006/relationships/hyperlink" Target="https://zakon.rada.gov.ua/laws/show/609-19" TargetMode="External"/><Relationship Id="rId2817" Type="http://schemas.openxmlformats.org/officeDocument/2006/relationships/hyperlink" Target="https://zakon.rada.gov.ua/laws/show/4834-17" TargetMode="External"/><Relationship Id="rId4032" Type="http://schemas.openxmlformats.org/officeDocument/2006/relationships/hyperlink" Target="https://zakon.rada.gov.ua/laws/show/2245-19" TargetMode="External"/><Relationship Id="rId5430" Type="http://schemas.openxmlformats.org/officeDocument/2006/relationships/hyperlink" Target="https://zakon.rada.gov.ua/laws/show/2245-19" TargetMode="External"/><Relationship Id="rId58" Type="http://schemas.openxmlformats.org/officeDocument/2006/relationships/hyperlink" Target="https://zakon.rada.gov.ua/laws/show/732-18" TargetMode="External"/><Relationship Id="rId1419" Type="http://schemas.openxmlformats.org/officeDocument/2006/relationships/hyperlink" Target="https://zakon.rada.gov.ua/laws/show/323-20" TargetMode="External"/><Relationship Id="rId1626" Type="http://schemas.openxmlformats.org/officeDocument/2006/relationships/hyperlink" Target="https://zakon.rada.gov.ua/laws/show/2755-17/print" TargetMode="External"/><Relationship Id="rId1833" Type="http://schemas.openxmlformats.org/officeDocument/2006/relationships/hyperlink" Target="https://zakon.rada.gov.ua/laws/show/3609-17" TargetMode="External"/><Relationship Id="rId4989" Type="http://schemas.openxmlformats.org/officeDocument/2006/relationships/hyperlink" Target="https://zakon.rada.gov.ua/laws/show/71-19" TargetMode="External"/><Relationship Id="rId1900" Type="http://schemas.openxmlformats.org/officeDocument/2006/relationships/hyperlink" Target="https://zakon.rada.gov.ua/laws/show/2755-17/print" TargetMode="External"/><Relationship Id="rId3798" Type="http://schemas.openxmlformats.org/officeDocument/2006/relationships/hyperlink" Target="https://zakon.rada.gov.ua/laws/show/2628-19" TargetMode="External"/><Relationship Id="rId4849" Type="http://schemas.openxmlformats.org/officeDocument/2006/relationships/hyperlink" Target="https://zakon.rada.gov.ua/laws/show/1791-19" TargetMode="External"/><Relationship Id="rId3658" Type="http://schemas.openxmlformats.org/officeDocument/2006/relationships/hyperlink" Target="https://zakon.rada.gov.ua/laws/show/2371%D0%B0-14" TargetMode="External"/><Relationship Id="rId3865" Type="http://schemas.openxmlformats.org/officeDocument/2006/relationships/hyperlink" Target="https://zakon.rada.gov.ua/laws/show/2755-17/print" TargetMode="External"/><Relationship Id="rId4709" Type="http://schemas.openxmlformats.org/officeDocument/2006/relationships/hyperlink" Target="https://zakon.rada.gov.ua/laws/show/1797-19" TargetMode="External"/><Relationship Id="rId4916" Type="http://schemas.openxmlformats.org/officeDocument/2006/relationships/hyperlink" Target="https://zakon.rada.gov.ua/laws/show/1791-19" TargetMode="External"/><Relationship Id="rId6064" Type="http://schemas.openxmlformats.org/officeDocument/2006/relationships/hyperlink" Target="https://zakon.rada.gov.ua/laws/show/909-19" TargetMode="External"/><Relationship Id="rId6271" Type="http://schemas.openxmlformats.org/officeDocument/2006/relationships/hyperlink" Target="https://zakon.rada.gov.ua/laws/show/2755-17/print" TargetMode="External"/><Relationship Id="rId579" Type="http://schemas.openxmlformats.org/officeDocument/2006/relationships/hyperlink" Target="https://zakon.rada.gov.ua/laws/show/909-19" TargetMode="External"/><Relationship Id="rId786" Type="http://schemas.openxmlformats.org/officeDocument/2006/relationships/hyperlink" Target="https://zakon.rada.gov.ua/laws/show/1797-19" TargetMode="External"/><Relationship Id="rId993" Type="http://schemas.openxmlformats.org/officeDocument/2006/relationships/hyperlink" Target="https://zakon.rada.gov.ua/laws/show/2755-17/print" TargetMode="External"/><Relationship Id="rId2467" Type="http://schemas.openxmlformats.org/officeDocument/2006/relationships/hyperlink" Target="https://zakon.rada.gov.ua/laws/show/5083-17" TargetMode="External"/><Relationship Id="rId2674" Type="http://schemas.openxmlformats.org/officeDocument/2006/relationships/hyperlink" Target="https://zakon.rada.gov.ua/laws/show/2245-19" TargetMode="External"/><Relationship Id="rId3518" Type="http://schemas.openxmlformats.org/officeDocument/2006/relationships/hyperlink" Target="https://zakon.rada.gov.ua/laws/show/909-19" TargetMode="External"/><Relationship Id="rId5080" Type="http://schemas.openxmlformats.org/officeDocument/2006/relationships/hyperlink" Target="https://zakon.rada.gov.ua/laws/show/076_009" TargetMode="External"/><Relationship Id="rId6131" Type="http://schemas.openxmlformats.org/officeDocument/2006/relationships/hyperlink" Target="https://zakon.rada.gov.ua/laws/show/2755-17/print" TargetMode="External"/><Relationship Id="rId439" Type="http://schemas.openxmlformats.org/officeDocument/2006/relationships/hyperlink" Target="https://zakon.rada.gov.ua/laws/show/2155-19" TargetMode="External"/><Relationship Id="rId646" Type="http://schemas.openxmlformats.org/officeDocument/2006/relationships/hyperlink" Target="https://zakon.rada.gov.ua/laws/show/1791-19" TargetMode="External"/><Relationship Id="rId1069" Type="http://schemas.openxmlformats.org/officeDocument/2006/relationships/hyperlink" Target="https://zakon.rada.gov.ua/laws/show/5083-17" TargetMode="External"/><Relationship Id="rId1276" Type="http://schemas.openxmlformats.org/officeDocument/2006/relationships/hyperlink" Target="https://zakon.rada.gov.ua/laws/show/4915-17" TargetMode="External"/><Relationship Id="rId1483" Type="http://schemas.openxmlformats.org/officeDocument/2006/relationships/hyperlink" Target="https://zakon.rada.gov.ua/laws/show/909-19" TargetMode="External"/><Relationship Id="rId2327" Type="http://schemas.openxmlformats.org/officeDocument/2006/relationships/hyperlink" Target="https://zakon.rada.gov.ua/laws/show/3609-17" TargetMode="External"/><Relationship Id="rId2881" Type="http://schemas.openxmlformats.org/officeDocument/2006/relationships/hyperlink" Target="https://zakon.rada.gov.ua/laws/show/z1456-14" TargetMode="External"/><Relationship Id="rId3725" Type="http://schemas.openxmlformats.org/officeDocument/2006/relationships/hyperlink" Target="https://zakon.rada.gov.ua/laws/show/2611-19" TargetMode="External"/><Relationship Id="rId3932" Type="http://schemas.openxmlformats.org/officeDocument/2006/relationships/hyperlink" Target="https://zakon.rada.gov.ua/laws/show/z0105-15" TargetMode="External"/><Relationship Id="rId506" Type="http://schemas.openxmlformats.org/officeDocument/2006/relationships/hyperlink" Target="https://zakon.rada.gov.ua/laws/show/71-19" TargetMode="External"/><Relationship Id="rId853" Type="http://schemas.openxmlformats.org/officeDocument/2006/relationships/hyperlink" Target="https://zakon.rada.gov.ua/laws/show/2755-17/print" TargetMode="External"/><Relationship Id="rId1136" Type="http://schemas.openxmlformats.org/officeDocument/2006/relationships/hyperlink" Target="https://zakon.rada.gov.ua/laws/show/2155-19" TargetMode="External"/><Relationship Id="rId1690" Type="http://schemas.openxmlformats.org/officeDocument/2006/relationships/hyperlink" Target="https://zakon.rada.gov.ua/laws/show/2755-17/print" TargetMode="External"/><Relationship Id="rId2534" Type="http://schemas.openxmlformats.org/officeDocument/2006/relationships/hyperlink" Target="https://zakon.rada.gov.ua/laws/show/2755-17/print" TargetMode="External"/><Relationship Id="rId2741" Type="http://schemas.openxmlformats.org/officeDocument/2006/relationships/hyperlink" Target="https://zakon.rada.gov.ua/laws/show/1797-19" TargetMode="External"/><Relationship Id="rId5897" Type="http://schemas.openxmlformats.org/officeDocument/2006/relationships/hyperlink" Target="https://zakon.rada.gov.ua/laws/show/2755-17/print" TargetMode="External"/><Relationship Id="rId713" Type="http://schemas.openxmlformats.org/officeDocument/2006/relationships/hyperlink" Target="https://zakon.rada.gov.ua/laws/show/2245-19" TargetMode="External"/><Relationship Id="rId920" Type="http://schemas.openxmlformats.org/officeDocument/2006/relationships/hyperlink" Target="https://zakon.rada.gov.ua/laws/show/2755-17/print" TargetMode="External"/><Relationship Id="rId1343" Type="http://schemas.openxmlformats.org/officeDocument/2006/relationships/hyperlink" Target="https://zakon.rada.gov.ua/laws/show/4834-17" TargetMode="External"/><Relationship Id="rId1550" Type="http://schemas.openxmlformats.org/officeDocument/2006/relationships/hyperlink" Target="https://zakon.rada.gov.ua/laws/show/1797-19" TargetMode="External"/><Relationship Id="rId2601" Type="http://schemas.openxmlformats.org/officeDocument/2006/relationships/hyperlink" Target="https://zakon.rada.gov.ua/laws/show/2755-17/print" TargetMode="External"/><Relationship Id="rId4499" Type="http://schemas.openxmlformats.org/officeDocument/2006/relationships/hyperlink" Target="https://zakon.rada.gov.ua/laws/show/211-19" TargetMode="External"/><Relationship Id="rId5757" Type="http://schemas.openxmlformats.org/officeDocument/2006/relationships/hyperlink" Target="https://zakon.rada.gov.ua/laws/show/2755-17/print" TargetMode="External"/><Relationship Id="rId5964" Type="http://schemas.openxmlformats.org/officeDocument/2006/relationships/hyperlink" Target="https://zakon.rada.gov.ua/laws/show/1200-18" TargetMode="External"/><Relationship Id="rId1203" Type="http://schemas.openxmlformats.org/officeDocument/2006/relationships/hyperlink" Target="https://zakon.rada.gov.ua/laws/show/4915-17" TargetMode="External"/><Relationship Id="rId1410" Type="http://schemas.openxmlformats.org/officeDocument/2006/relationships/hyperlink" Target="https://zakon.rada.gov.ua/laws/show/344-19" TargetMode="External"/><Relationship Id="rId4359" Type="http://schemas.openxmlformats.org/officeDocument/2006/relationships/hyperlink" Target="https://zakon.rada.gov.ua/laws/show/71-19" TargetMode="External"/><Relationship Id="rId4566" Type="http://schemas.openxmlformats.org/officeDocument/2006/relationships/hyperlink" Target="https://zakon.rada.gov.ua/laws/show/71-19" TargetMode="External"/><Relationship Id="rId4773" Type="http://schemas.openxmlformats.org/officeDocument/2006/relationships/hyperlink" Target="https://zakon.rada.gov.ua/laws/show/1166-18" TargetMode="External"/><Relationship Id="rId4980" Type="http://schemas.openxmlformats.org/officeDocument/2006/relationships/hyperlink" Target="https://zakon.rada.gov.ua/laws/show/z0799-15" TargetMode="External"/><Relationship Id="rId5617" Type="http://schemas.openxmlformats.org/officeDocument/2006/relationships/hyperlink" Target="https://zakon.rada.gov.ua/laws/show/2755-17/print" TargetMode="External"/><Relationship Id="rId5824" Type="http://schemas.openxmlformats.org/officeDocument/2006/relationships/hyperlink" Target="https://zakon.rada.gov.ua/laws/show/3609-17" TargetMode="External"/><Relationship Id="rId3168" Type="http://schemas.openxmlformats.org/officeDocument/2006/relationships/hyperlink" Target="https://zakon.rada.gov.ua/laws/show/1797-19" TargetMode="External"/><Relationship Id="rId3375" Type="http://schemas.openxmlformats.org/officeDocument/2006/relationships/hyperlink" Target="https://zakon.rada.gov.ua/laws/show/1797-19" TargetMode="External"/><Relationship Id="rId3582" Type="http://schemas.openxmlformats.org/officeDocument/2006/relationships/hyperlink" Target="https://zakon.rada.gov.ua/laws/show/4495-17" TargetMode="External"/><Relationship Id="rId4219" Type="http://schemas.openxmlformats.org/officeDocument/2006/relationships/hyperlink" Target="https://zakon.rada.gov.ua/laws/show/391-20" TargetMode="External"/><Relationship Id="rId4426" Type="http://schemas.openxmlformats.org/officeDocument/2006/relationships/hyperlink" Target="https://zakon.rada.gov.ua/laws/show/909-19" TargetMode="External"/><Relationship Id="rId4633" Type="http://schemas.openxmlformats.org/officeDocument/2006/relationships/hyperlink" Target="https://zakon.rada.gov.ua/laws/show/5083-17" TargetMode="External"/><Relationship Id="rId4840" Type="http://schemas.openxmlformats.org/officeDocument/2006/relationships/hyperlink" Target="https://zakon.rada.gov.ua/laws/show/5083-17" TargetMode="External"/><Relationship Id="rId296" Type="http://schemas.openxmlformats.org/officeDocument/2006/relationships/hyperlink" Target="https://zakon.rada.gov.ua/laws/show/1797-19" TargetMode="External"/><Relationship Id="rId2184" Type="http://schemas.openxmlformats.org/officeDocument/2006/relationships/hyperlink" Target="https://zakon.rada.gov.ua/laws/show/1797-19" TargetMode="External"/><Relationship Id="rId2391" Type="http://schemas.openxmlformats.org/officeDocument/2006/relationships/hyperlink" Target="https://zakon.rada.gov.ua/laws/show/5412-17" TargetMode="External"/><Relationship Id="rId3028" Type="http://schemas.openxmlformats.org/officeDocument/2006/relationships/hyperlink" Target="https://zakon.rada.gov.ua/laws/show/1200-18" TargetMode="External"/><Relationship Id="rId3235" Type="http://schemas.openxmlformats.org/officeDocument/2006/relationships/hyperlink" Target="https://zakon.rada.gov.ua/laws/show/909-19" TargetMode="External"/><Relationship Id="rId3442" Type="http://schemas.openxmlformats.org/officeDocument/2006/relationships/hyperlink" Target="https://zakon.rada.gov.ua/laws/show/1797-19" TargetMode="External"/><Relationship Id="rId156" Type="http://schemas.openxmlformats.org/officeDocument/2006/relationships/hyperlink" Target="https://zakon.rada.gov.ua/laws/show/1200-18" TargetMode="External"/><Relationship Id="rId363" Type="http://schemas.openxmlformats.org/officeDocument/2006/relationships/hyperlink" Target="https://zakon.rada.gov.ua/laws/show/1166-18" TargetMode="External"/><Relationship Id="rId570" Type="http://schemas.openxmlformats.org/officeDocument/2006/relationships/hyperlink" Target="https://zakon.rada.gov.ua/laws/show/2245-19" TargetMode="External"/><Relationship Id="rId2044" Type="http://schemas.openxmlformats.org/officeDocument/2006/relationships/hyperlink" Target="https://zakon.rada.gov.ua/laws/show/71-19" TargetMode="External"/><Relationship Id="rId2251" Type="http://schemas.openxmlformats.org/officeDocument/2006/relationships/hyperlink" Target="https://zakon.rada.gov.ua/laws/show/1797-19" TargetMode="External"/><Relationship Id="rId3302" Type="http://schemas.openxmlformats.org/officeDocument/2006/relationships/hyperlink" Target="https://zakon.rada.gov.ua/laws/show/1797-19" TargetMode="External"/><Relationship Id="rId4700" Type="http://schemas.openxmlformats.org/officeDocument/2006/relationships/hyperlink" Target="https://zakon.rada.gov.ua/laws/show/71-19" TargetMode="External"/><Relationship Id="rId223" Type="http://schemas.openxmlformats.org/officeDocument/2006/relationships/hyperlink" Target="https://zakon.rada.gov.ua/laws/show/391-20" TargetMode="External"/><Relationship Id="rId430" Type="http://schemas.openxmlformats.org/officeDocument/2006/relationships/hyperlink" Target="https://zakon.rada.gov.ua/laws/show/422-18" TargetMode="External"/><Relationship Id="rId1060" Type="http://schemas.openxmlformats.org/officeDocument/2006/relationships/hyperlink" Target="https://zakon.rada.gov.ua/laws/show/2755-17/print" TargetMode="External"/><Relationship Id="rId2111" Type="http://schemas.openxmlformats.org/officeDocument/2006/relationships/hyperlink" Target="https://zakon.rada.gov.ua/laws/show/1797-19" TargetMode="External"/><Relationship Id="rId5267" Type="http://schemas.openxmlformats.org/officeDocument/2006/relationships/hyperlink" Target="https://zakon.rada.gov.ua/laws/show/1166-18" TargetMode="External"/><Relationship Id="rId4076" Type="http://schemas.openxmlformats.org/officeDocument/2006/relationships/hyperlink" Target="https://zakon.rada.gov.ua/laws/show/21-2018-%D0%BF" TargetMode="External"/><Relationship Id="rId5474" Type="http://schemas.openxmlformats.org/officeDocument/2006/relationships/hyperlink" Target="https://zakon.rada.gov.ua/laws/show/1658-18" TargetMode="External"/><Relationship Id="rId5681" Type="http://schemas.openxmlformats.org/officeDocument/2006/relationships/hyperlink" Target="https://zakon.rada.gov.ua/laws/show/584%D0%B0-18" TargetMode="External"/><Relationship Id="rId1877" Type="http://schemas.openxmlformats.org/officeDocument/2006/relationships/hyperlink" Target="https://zakon.rada.gov.ua/laws/show/657-18" TargetMode="External"/><Relationship Id="rId2928" Type="http://schemas.openxmlformats.org/officeDocument/2006/relationships/hyperlink" Target="https://zakon.rada.gov.ua/laws/show/4915-17" TargetMode="External"/><Relationship Id="rId4283" Type="http://schemas.openxmlformats.org/officeDocument/2006/relationships/hyperlink" Target="https://zakon.rada.gov.ua/laws/show/584%D0%B0-18" TargetMode="External"/><Relationship Id="rId4490" Type="http://schemas.openxmlformats.org/officeDocument/2006/relationships/hyperlink" Target="https://zakon.rada.gov.ua/laws/show/1797-19" TargetMode="External"/><Relationship Id="rId5127" Type="http://schemas.openxmlformats.org/officeDocument/2006/relationships/hyperlink" Target="https://zakon.rada.gov.ua/laws/show/5412-17" TargetMode="External"/><Relationship Id="rId5334" Type="http://schemas.openxmlformats.org/officeDocument/2006/relationships/hyperlink" Target="https://zakon.rada.gov.ua/laws/show/4495-17" TargetMode="External"/><Relationship Id="rId5541" Type="http://schemas.openxmlformats.org/officeDocument/2006/relationships/hyperlink" Target="https://zakon.rada.gov.ua/laws/show/2755-17/print" TargetMode="External"/><Relationship Id="rId1737" Type="http://schemas.openxmlformats.org/officeDocument/2006/relationships/hyperlink" Target="https://zakon.rada.gov.ua/laws/show/2755-17/print" TargetMode="External"/><Relationship Id="rId1944" Type="http://schemas.openxmlformats.org/officeDocument/2006/relationships/hyperlink" Target="https://zakon.rada.gov.ua/laws/show/2755-17/print" TargetMode="External"/><Relationship Id="rId3092" Type="http://schemas.openxmlformats.org/officeDocument/2006/relationships/hyperlink" Target="https://zakon.rada.gov.ua/laws/show/4834-17" TargetMode="External"/><Relationship Id="rId4143" Type="http://schemas.openxmlformats.org/officeDocument/2006/relationships/hyperlink" Target="https://zakon.rada.gov.ua/laws/show/076_009" TargetMode="External"/><Relationship Id="rId4350" Type="http://schemas.openxmlformats.org/officeDocument/2006/relationships/hyperlink" Target="https://zakon.rada.gov.ua/laws/show/909-19" TargetMode="External"/><Relationship Id="rId5401" Type="http://schemas.openxmlformats.org/officeDocument/2006/relationships/hyperlink" Target="https://zakon.rada.gov.ua/laws/show/3675-17" TargetMode="External"/><Relationship Id="rId29" Type="http://schemas.openxmlformats.org/officeDocument/2006/relationships/hyperlink" Target="https://zakon.rada.gov.ua/laws/show/4834-17" TargetMode="External"/><Relationship Id="rId4003" Type="http://schemas.openxmlformats.org/officeDocument/2006/relationships/hyperlink" Target="https://zakon.rada.gov.ua/laws/show/076_009" TargetMode="External"/><Relationship Id="rId4210" Type="http://schemas.openxmlformats.org/officeDocument/2006/relationships/hyperlink" Target="https://zakon.rada.gov.ua/laws/show/391-20" TargetMode="External"/><Relationship Id="rId1804" Type="http://schemas.openxmlformats.org/officeDocument/2006/relationships/hyperlink" Target="https://zakon.rada.gov.ua/laws/show/655-19" TargetMode="External"/><Relationship Id="rId6175" Type="http://schemas.openxmlformats.org/officeDocument/2006/relationships/hyperlink" Target="https://zakon.rada.gov.ua/laws/show/2755-17/print" TargetMode="External"/><Relationship Id="rId3769" Type="http://schemas.openxmlformats.org/officeDocument/2006/relationships/hyperlink" Target="https://zakon.rada.gov.ua/laws/show/2628-19" TargetMode="External"/><Relationship Id="rId3976" Type="http://schemas.openxmlformats.org/officeDocument/2006/relationships/hyperlink" Target="https://zakon.rada.gov.ua/laws/show/2628-19" TargetMode="External"/><Relationship Id="rId5191" Type="http://schemas.openxmlformats.org/officeDocument/2006/relationships/hyperlink" Target="https://zakon.rada.gov.ua/laws/show/71-19" TargetMode="External"/><Relationship Id="rId6035" Type="http://schemas.openxmlformats.org/officeDocument/2006/relationships/hyperlink" Target="https://zakon.rada.gov.ua/laws/show/2755-17/print" TargetMode="External"/><Relationship Id="rId6242" Type="http://schemas.openxmlformats.org/officeDocument/2006/relationships/hyperlink" Target="https://zakon.rada.gov.ua/laws/show/2755-17/print" TargetMode="External"/><Relationship Id="rId897" Type="http://schemas.openxmlformats.org/officeDocument/2006/relationships/hyperlink" Target="https://zakon.rada.gov.ua/laws/show/2245-19" TargetMode="External"/><Relationship Id="rId2578" Type="http://schemas.openxmlformats.org/officeDocument/2006/relationships/hyperlink" Target="https://zakon.rada.gov.ua/laws/show/2755-17/print" TargetMode="External"/><Relationship Id="rId2785" Type="http://schemas.openxmlformats.org/officeDocument/2006/relationships/hyperlink" Target="https://zakon.rada.gov.ua/laws/show/2755-17/print" TargetMode="External"/><Relationship Id="rId2992" Type="http://schemas.openxmlformats.org/officeDocument/2006/relationships/hyperlink" Target="https://zakon.rada.gov.ua/laws/show/4495-17" TargetMode="External"/><Relationship Id="rId3629" Type="http://schemas.openxmlformats.org/officeDocument/2006/relationships/hyperlink" Target="https://zakon.rada.gov.ua/laws/show/909-19" TargetMode="External"/><Relationship Id="rId3836" Type="http://schemas.openxmlformats.org/officeDocument/2006/relationships/hyperlink" Target="https://zakon.rada.gov.ua/laws/show/5083-17" TargetMode="External"/><Relationship Id="rId5051" Type="http://schemas.openxmlformats.org/officeDocument/2006/relationships/hyperlink" Target="https://zakon.rada.gov.ua/laws/show/5083-17" TargetMode="External"/><Relationship Id="rId757" Type="http://schemas.openxmlformats.org/officeDocument/2006/relationships/hyperlink" Target="https://zakon.rada.gov.ua/laws/show/2628-19" TargetMode="External"/><Relationship Id="rId964" Type="http://schemas.openxmlformats.org/officeDocument/2006/relationships/hyperlink" Target="https://zakon.rada.gov.ua/laws/show/504-2015-%D0%BF" TargetMode="External"/><Relationship Id="rId1387" Type="http://schemas.openxmlformats.org/officeDocument/2006/relationships/hyperlink" Target="https://zakon.rada.gov.ua/laws/show/2755-17/print" TargetMode="External"/><Relationship Id="rId1594" Type="http://schemas.openxmlformats.org/officeDocument/2006/relationships/hyperlink" Target="https://zakon.rada.gov.ua/laws/show/2755-17/print" TargetMode="External"/><Relationship Id="rId2438" Type="http://schemas.openxmlformats.org/officeDocument/2006/relationships/hyperlink" Target="https://zakon.rada.gov.ua/laws/show/1207-18" TargetMode="External"/><Relationship Id="rId2645" Type="http://schemas.openxmlformats.org/officeDocument/2006/relationships/hyperlink" Target="https://zakon.rada.gov.ua/laws/show/71-19" TargetMode="External"/><Relationship Id="rId2852" Type="http://schemas.openxmlformats.org/officeDocument/2006/relationships/hyperlink" Target="https://zakon.rada.gov.ua/laws/show/443-18" TargetMode="External"/><Relationship Id="rId3903" Type="http://schemas.openxmlformats.org/officeDocument/2006/relationships/hyperlink" Target="https://zakon.rada.gov.ua/laws/show/1797-19" TargetMode="External"/><Relationship Id="rId6102" Type="http://schemas.openxmlformats.org/officeDocument/2006/relationships/hyperlink" Target="https://zakon.rada.gov.ua/laws/show/2755-17/print" TargetMode="External"/><Relationship Id="rId93" Type="http://schemas.openxmlformats.org/officeDocument/2006/relationships/hyperlink" Target="https://zakon.rada.gov.ua/laws/show/482-19" TargetMode="External"/><Relationship Id="rId617" Type="http://schemas.openxmlformats.org/officeDocument/2006/relationships/hyperlink" Target="https://zakon.rada.gov.ua/laws/show/354-20" TargetMode="External"/><Relationship Id="rId824" Type="http://schemas.openxmlformats.org/officeDocument/2006/relationships/hyperlink" Target="https://zakon.rada.gov.ua/laws/show/1797-19" TargetMode="External"/><Relationship Id="rId1247" Type="http://schemas.openxmlformats.org/officeDocument/2006/relationships/hyperlink" Target="https://zakon.rada.gov.ua/laws/show/z0137-16" TargetMode="External"/><Relationship Id="rId1454" Type="http://schemas.openxmlformats.org/officeDocument/2006/relationships/hyperlink" Target="https://zakon.rada.gov.ua/laws/show/1797-19" TargetMode="External"/><Relationship Id="rId1661" Type="http://schemas.openxmlformats.org/officeDocument/2006/relationships/hyperlink" Target="https://zakon.rada.gov.ua/laws/show/3609-17" TargetMode="External"/><Relationship Id="rId2505" Type="http://schemas.openxmlformats.org/officeDocument/2006/relationships/hyperlink" Target="https://zakon.rada.gov.ua/laws/show/3609-17" TargetMode="External"/><Relationship Id="rId2712" Type="http://schemas.openxmlformats.org/officeDocument/2006/relationships/hyperlink" Target="https://zakon.rada.gov.ua/laws/show/909-19" TargetMode="External"/><Relationship Id="rId5868" Type="http://schemas.openxmlformats.org/officeDocument/2006/relationships/hyperlink" Target="https://zakon.rada.gov.ua/laws/show/909-19" TargetMode="External"/><Relationship Id="rId1107" Type="http://schemas.openxmlformats.org/officeDocument/2006/relationships/hyperlink" Target="https://zakon.rada.gov.ua/laws/show/1797-19" TargetMode="External"/><Relationship Id="rId1314" Type="http://schemas.openxmlformats.org/officeDocument/2006/relationships/hyperlink" Target="https://zakon.rada.gov.ua/laws/show/404-18" TargetMode="External"/><Relationship Id="rId1521" Type="http://schemas.openxmlformats.org/officeDocument/2006/relationships/hyperlink" Target="https://zakon.rada.gov.ua/laws/show/z0950-13" TargetMode="External"/><Relationship Id="rId4677" Type="http://schemas.openxmlformats.org/officeDocument/2006/relationships/hyperlink" Target="https://zakon.rada.gov.ua/laws/show/71-19" TargetMode="External"/><Relationship Id="rId4884" Type="http://schemas.openxmlformats.org/officeDocument/2006/relationships/hyperlink" Target="https://zakon.rada.gov.ua/laws/show/71-19" TargetMode="External"/><Relationship Id="rId5728" Type="http://schemas.openxmlformats.org/officeDocument/2006/relationships/hyperlink" Target="https://zakon.rada.gov.ua/laws/show/5211-17" TargetMode="External"/><Relationship Id="rId5935" Type="http://schemas.openxmlformats.org/officeDocument/2006/relationships/hyperlink" Target="https://zakon.rada.gov.ua/laws/show/909-19" TargetMode="External"/><Relationship Id="rId3279" Type="http://schemas.openxmlformats.org/officeDocument/2006/relationships/hyperlink" Target="https://zakon.rada.gov.ua/laws/show/2755-17/print" TargetMode="External"/><Relationship Id="rId3486" Type="http://schemas.openxmlformats.org/officeDocument/2006/relationships/hyperlink" Target="https://zakon.rada.gov.ua/laws/show/2245-19" TargetMode="External"/><Relationship Id="rId3693" Type="http://schemas.openxmlformats.org/officeDocument/2006/relationships/hyperlink" Target="https://zakon.rada.gov.ua/laws/show/2628-19" TargetMode="External"/><Relationship Id="rId4537" Type="http://schemas.openxmlformats.org/officeDocument/2006/relationships/hyperlink" Target="https://zakon.rada.gov.ua/laws/show/1791-19" TargetMode="External"/><Relationship Id="rId20" Type="http://schemas.openxmlformats.org/officeDocument/2006/relationships/hyperlink" Target="https://zakon.rada.gov.ua/laws/show/4235-17" TargetMode="External"/><Relationship Id="rId2088" Type="http://schemas.openxmlformats.org/officeDocument/2006/relationships/hyperlink" Target="https://zakon.rada.gov.ua/laws/show/978-15" TargetMode="External"/><Relationship Id="rId2295" Type="http://schemas.openxmlformats.org/officeDocument/2006/relationships/hyperlink" Target="https://zakon.rada.gov.ua/laws/show/2755-17/print" TargetMode="External"/><Relationship Id="rId3139" Type="http://schemas.openxmlformats.org/officeDocument/2006/relationships/hyperlink" Target="https://zakon.rada.gov.ua/laws/show/4495-17" TargetMode="External"/><Relationship Id="rId3346" Type="http://schemas.openxmlformats.org/officeDocument/2006/relationships/hyperlink" Target="https://zakon.rada.gov.ua/laws/show/1797-19" TargetMode="External"/><Relationship Id="rId4744" Type="http://schemas.openxmlformats.org/officeDocument/2006/relationships/hyperlink" Target="https://zakon.rada.gov.ua/laws/show/2755-17/print" TargetMode="External"/><Relationship Id="rId4951" Type="http://schemas.openxmlformats.org/officeDocument/2006/relationships/hyperlink" Target="https://zakon.rada.gov.ua/laws/show/5083-17" TargetMode="External"/><Relationship Id="rId267" Type="http://schemas.openxmlformats.org/officeDocument/2006/relationships/hyperlink" Target="https://zakon.rada.gov.ua/laws/show/4834-17" TargetMode="External"/><Relationship Id="rId474" Type="http://schemas.openxmlformats.org/officeDocument/2006/relationships/hyperlink" Target="https://zakon.rada.gov.ua/laws/show/71-19" TargetMode="External"/><Relationship Id="rId2155" Type="http://schemas.openxmlformats.org/officeDocument/2006/relationships/hyperlink" Target="https://zakon.rada.gov.ua/laws/show/1797-19" TargetMode="External"/><Relationship Id="rId3553" Type="http://schemas.openxmlformats.org/officeDocument/2006/relationships/hyperlink" Target="https://zakon.rada.gov.ua/laws/show/4915-17" TargetMode="External"/><Relationship Id="rId3760" Type="http://schemas.openxmlformats.org/officeDocument/2006/relationships/hyperlink" Target="https://zakon.rada.gov.ua/laws/show/584%D0%B0-18" TargetMode="External"/><Relationship Id="rId4604" Type="http://schemas.openxmlformats.org/officeDocument/2006/relationships/hyperlink" Target="https://zakon.rada.gov.ua/laws/show/1797-19" TargetMode="External"/><Relationship Id="rId4811" Type="http://schemas.openxmlformats.org/officeDocument/2006/relationships/hyperlink" Target="https://zakon.rada.gov.ua/laws/show/2628-19" TargetMode="External"/><Relationship Id="rId127" Type="http://schemas.openxmlformats.org/officeDocument/2006/relationships/hyperlink" Target="https://zakon.rada.gov.ua/laws/show/2463-19" TargetMode="External"/><Relationship Id="rId681" Type="http://schemas.openxmlformats.org/officeDocument/2006/relationships/hyperlink" Target="https://zakon.rada.gov.ua/laws/show/1797-19" TargetMode="External"/><Relationship Id="rId2362" Type="http://schemas.openxmlformats.org/officeDocument/2006/relationships/hyperlink" Target="https://zakon.rada.gov.ua/laws/show/1797-19" TargetMode="External"/><Relationship Id="rId3206" Type="http://schemas.openxmlformats.org/officeDocument/2006/relationships/hyperlink" Target="https://zakon.rada.gov.ua/laws/show/643-19" TargetMode="External"/><Relationship Id="rId3413" Type="http://schemas.openxmlformats.org/officeDocument/2006/relationships/hyperlink" Target="https://zakon.rada.gov.ua/laws/show/1621-18" TargetMode="External"/><Relationship Id="rId3620" Type="http://schemas.openxmlformats.org/officeDocument/2006/relationships/hyperlink" Target="https://zakon.rada.gov.ua/laws/show/657-18" TargetMode="External"/><Relationship Id="rId334" Type="http://schemas.openxmlformats.org/officeDocument/2006/relationships/hyperlink" Target="https://zakon.rada.gov.ua/laws/show/1039-14" TargetMode="External"/><Relationship Id="rId541" Type="http://schemas.openxmlformats.org/officeDocument/2006/relationships/hyperlink" Target="https://zakon.rada.gov.ua/laws/show/391-20" TargetMode="External"/><Relationship Id="rId1171" Type="http://schemas.openxmlformats.org/officeDocument/2006/relationships/hyperlink" Target="https://zakon.rada.gov.ua/laws/show/2755-17/print" TargetMode="External"/><Relationship Id="rId2015" Type="http://schemas.openxmlformats.org/officeDocument/2006/relationships/hyperlink" Target="https://zakon.rada.gov.ua/laws/show/2755-17/print" TargetMode="External"/><Relationship Id="rId2222" Type="http://schemas.openxmlformats.org/officeDocument/2006/relationships/hyperlink" Target="https://zakon.rada.gov.ua/laws/show/2176-19" TargetMode="External"/><Relationship Id="rId5378" Type="http://schemas.openxmlformats.org/officeDocument/2006/relationships/hyperlink" Target="https://zakon.rada.gov.ua/laws/show/909-19" TargetMode="External"/><Relationship Id="rId5585" Type="http://schemas.openxmlformats.org/officeDocument/2006/relationships/hyperlink" Target="https://zakon.rada.gov.ua/laws/show/2755-17/print" TargetMode="External"/><Relationship Id="rId5792" Type="http://schemas.openxmlformats.org/officeDocument/2006/relationships/hyperlink" Target="https://zakon.rada.gov.ua/laws/show/2245-19" TargetMode="External"/><Relationship Id="rId401" Type="http://schemas.openxmlformats.org/officeDocument/2006/relationships/hyperlink" Target="https://zakon.rada.gov.ua/laws/show/2755-17/print" TargetMode="External"/><Relationship Id="rId1031" Type="http://schemas.openxmlformats.org/officeDocument/2006/relationships/hyperlink" Target="https://zakon.rada.gov.ua/laws/show/1797-19" TargetMode="External"/><Relationship Id="rId1988" Type="http://schemas.openxmlformats.org/officeDocument/2006/relationships/hyperlink" Target="https://zakon.rada.gov.ua/laws/show/2198-19" TargetMode="External"/><Relationship Id="rId4187" Type="http://schemas.openxmlformats.org/officeDocument/2006/relationships/hyperlink" Target="https://zakon.rada.gov.ua/laws/show/391-20" TargetMode="External"/><Relationship Id="rId4394" Type="http://schemas.openxmlformats.org/officeDocument/2006/relationships/hyperlink" Target="https://zakon.rada.gov.ua/laws/show/5503-17" TargetMode="External"/><Relationship Id="rId5238" Type="http://schemas.openxmlformats.org/officeDocument/2006/relationships/hyperlink" Target="https://zakon.rada.gov.ua/laws/show/54-19" TargetMode="External"/><Relationship Id="rId5445" Type="http://schemas.openxmlformats.org/officeDocument/2006/relationships/hyperlink" Target="https://zakon.rada.gov.ua/laws/show/5503-17" TargetMode="External"/><Relationship Id="rId5652" Type="http://schemas.openxmlformats.org/officeDocument/2006/relationships/hyperlink" Target="https://zakon.rada.gov.ua/laws/show/2245-19" TargetMode="External"/><Relationship Id="rId4047" Type="http://schemas.openxmlformats.org/officeDocument/2006/relationships/hyperlink" Target="https://zakon.rada.gov.ua/laws/show/2755-17/print" TargetMode="External"/><Relationship Id="rId4254" Type="http://schemas.openxmlformats.org/officeDocument/2006/relationships/hyperlink" Target="https://zakon.rada.gov.ua/laws/show/2755-17/print" TargetMode="External"/><Relationship Id="rId4461" Type="http://schemas.openxmlformats.org/officeDocument/2006/relationships/hyperlink" Target="https://zakon.rada.gov.ua/laws/show/422-18" TargetMode="External"/><Relationship Id="rId5305" Type="http://schemas.openxmlformats.org/officeDocument/2006/relationships/hyperlink" Target="https://zakon.rada.gov.ua/laws/show/2755-17/print" TargetMode="External"/><Relationship Id="rId5512" Type="http://schemas.openxmlformats.org/officeDocument/2006/relationships/hyperlink" Target="https://zakon.rada.gov.ua/laws/show/2755-17/print" TargetMode="External"/><Relationship Id="rId1848" Type="http://schemas.openxmlformats.org/officeDocument/2006/relationships/hyperlink" Target="https://zakon.rada.gov.ua/laws/show/1797-19" TargetMode="External"/><Relationship Id="rId3063" Type="http://schemas.openxmlformats.org/officeDocument/2006/relationships/hyperlink" Target="https://zakon.rada.gov.ua/laws/show/4915-17" TargetMode="External"/><Relationship Id="rId3270" Type="http://schemas.openxmlformats.org/officeDocument/2006/relationships/hyperlink" Target="https://zakon.rada.gov.ua/laws/show/4915-17" TargetMode="External"/><Relationship Id="rId4114" Type="http://schemas.openxmlformats.org/officeDocument/2006/relationships/hyperlink" Target="https://zakon.rada.gov.ua/laws/show/391-20" TargetMode="External"/><Relationship Id="rId4321" Type="http://schemas.openxmlformats.org/officeDocument/2006/relationships/hyperlink" Target="https://zakon.rada.gov.ua/laws/show/2628-19" TargetMode="External"/><Relationship Id="rId191" Type="http://schemas.openxmlformats.org/officeDocument/2006/relationships/hyperlink" Target="https://zakon.rada.gov.ua/laws/show/2245-19" TargetMode="External"/><Relationship Id="rId1708" Type="http://schemas.openxmlformats.org/officeDocument/2006/relationships/hyperlink" Target="https://zakon.rada.gov.ua/laws/show/655-19" TargetMode="External"/><Relationship Id="rId1915" Type="http://schemas.openxmlformats.org/officeDocument/2006/relationships/hyperlink" Target="https://zakon.rada.gov.ua/laws/show/z1853-13" TargetMode="External"/><Relationship Id="rId3130" Type="http://schemas.openxmlformats.org/officeDocument/2006/relationships/hyperlink" Target="https://zakon.rada.gov.ua/laws/show/950_001" TargetMode="External"/><Relationship Id="rId6079" Type="http://schemas.openxmlformats.org/officeDocument/2006/relationships/hyperlink" Target="https://zakon.rada.gov.ua/laws/show/98/96-%D0%B2%D1%80" TargetMode="External"/><Relationship Id="rId6286" Type="http://schemas.openxmlformats.org/officeDocument/2006/relationships/hyperlink" Target="https://zakon.rada.gov.ua/laws/show/2143-19" TargetMode="External"/><Relationship Id="rId5095" Type="http://schemas.openxmlformats.org/officeDocument/2006/relationships/hyperlink" Target="https://zakon.rada.gov.ua/laws/show/443-18" TargetMode="External"/><Relationship Id="rId2689" Type="http://schemas.openxmlformats.org/officeDocument/2006/relationships/hyperlink" Target="https://zakon.rada.gov.ua/laws/show/3609-17" TargetMode="External"/><Relationship Id="rId2896" Type="http://schemas.openxmlformats.org/officeDocument/2006/relationships/hyperlink" Target="https://zakon.rada.gov.ua/laws/show/4834-17" TargetMode="External"/><Relationship Id="rId3947" Type="http://schemas.openxmlformats.org/officeDocument/2006/relationships/hyperlink" Target="https://zakon.rada.gov.ua/laws/show/3609-17" TargetMode="External"/><Relationship Id="rId6146" Type="http://schemas.openxmlformats.org/officeDocument/2006/relationships/hyperlink" Target="https://zakon.rada.gov.ua/laws/show/2755-17/print" TargetMode="External"/><Relationship Id="rId868" Type="http://schemas.openxmlformats.org/officeDocument/2006/relationships/hyperlink" Target="https://zakon.rada.gov.ua/laws/show/2755-17/print" TargetMode="External"/><Relationship Id="rId1498" Type="http://schemas.openxmlformats.org/officeDocument/2006/relationships/hyperlink" Target="https://zakon.rada.gov.ua/laws/show/323-20" TargetMode="External"/><Relationship Id="rId2549" Type="http://schemas.openxmlformats.org/officeDocument/2006/relationships/hyperlink" Target="https://zakon.rada.gov.ua/laws/show/71-19" TargetMode="External"/><Relationship Id="rId2756" Type="http://schemas.openxmlformats.org/officeDocument/2006/relationships/hyperlink" Target="https://zakon.rada.gov.ua/laws/show/265/95-%D0%B2%D1%80" TargetMode="External"/><Relationship Id="rId2963" Type="http://schemas.openxmlformats.org/officeDocument/2006/relationships/hyperlink" Target="https://zakon.rada.gov.ua/laws/show/1084-19" TargetMode="External"/><Relationship Id="rId3807" Type="http://schemas.openxmlformats.org/officeDocument/2006/relationships/hyperlink" Target="https://zakon.rada.gov.ua/laws/show/584%D0%B1-18" TargetMode="External"/><Relationship Id="rId5162" Type="http://schemas.openxmlformats.org/officeDocument/2006/relationships/hyperlink" Target="https://zakon.rada.gov.ua/laws/show/4915-17" TargetMode="External"/><Relationship Id="rId6006" Type="http://schemas.openxmlformats.org/officeDocument/2006/relationships/hyperlink" Target="https://zakon.rada.gov.ua/laws/show/391-20" TargetMode="External"/><Relationship Id="rId6213" Type="http://schemas.openxmlformats.org/officeDocument/2006/relationships/hyperlink" Target="https://zakon.rada.gov.ua/laws/show/655-19" TargetMode="External"/><Relationship Id="rId728" Type="http://schemas.openxmlformats.org/officeDocument/2006/relationships/hyperlink" Target="https://zakon.rada.gov.ua/laws/show/609-19" TargetMode="External"/><Relationship Id="rId935" Type="http://schemas.openxmlformats.org/officeDocument/2006/relationships/hyperlink" Target="https://zakon.rada.gov.ua/laws/show/2245-19" TargetMode="External"/><Relationship Id="rId1358" Type="http://schemas.openxmlformats.org/officeDocument/2006/relationships/hyperlink" Target="https://zakon.rada.gov.ua/laws/show/4834-17" TargetMode="External"/><Relationship Id="rId1565" Type="http://schemas.openxmlformats.org/officeDocument/2006/relationships/hyperlink" Target="https://zakon.rada.gov.ua/laws/show/1797-19" TargetMode="External"/><Relationship Id="rId1772" Type="http://schemas.openxmlformats.org/officeDocument/2006/relationships/hyperlink" Target="https://zakon.rada.gov.ua/laws/show/4834-17" TargetMode="External"/><Relationship Id="rId2409" Type="http://schemas.openxmlformats.org/officeDocument/2006/relationships/hyperlink" Target="https://zakon.rada.gov.ua/laws/show/1791-19" TargetMode="External"/><Relationship Id="rId2616" Type="http://schemas.openxmlformats.org/officeDocument/2006/relationships/hyperlink" Target="https://zakon.rada.gov.ua/laws/show/4834-17" TargetMode="External"/><Relationship Id="rId5022" Type="http://schemas.openxmlformats.org/officeDocument/2006/relationships/hyperlink" Target="https://zakon.rada.gov.ua/laws/show/2755-17/print" TargetMode="External"/><Relationship Id="rId5979" Type="http://schemas.openxmlformats.org/officeDocument/2006/relationships/hyperlink" Target="https://zakon.rada.gov.ua/laws/show/909-19" TargetMode="External"/><Relationship Id="rId64" Type="http://schemas.openxmlformats.org/officeDocument/2006/relationships/hyperlink" Target="https://zakon.rada.gov.ua/laws/show/1166-18" TargetMode="External"/><Relationship Id="rId1218" Type="http://schemas.openxmlformats.org/officeDocument/2006/relationships/hyperlink" Target="https://zakon.rada.gov.ua/laws/show/1797-19" TargetMode="External"/><Relationship Id="rId1425" Type="http://schemas.openxmlformats.org/officeDocument/2006/relationships/hyperlink" Target="https://zakon.rada.gov.ua/laws/show/5083-17" TargetMode="External"/><Relationship Id="rId2823" Type="http://schemas.openxmlformats.org/officeDocument/2006/relationships/hyperlink" Target="https://zakon.rada.gov.ua/laws/show/443-18" TargetMode="External"/><Relationship Id="rId1632" Type="http://schemas.openxmlformats.org/officeDocument/2006/relationships/hyperlink" Target="https://zakon.rada.gov.ua/laws/show/4834-17" TargetMode="External"/><Relationship Id="rId4788" Type="http://schemas.openxmlformats.org/officeDocument/2006/relationships/hyperlink" Target="https://zakon.rada.gov.ua/laws/show/5083-17" TargetMode="External"/><Relationship Id="rId4995" Type="http://schemas.openxmlformats.org/officeDocument/2006/relationships/hyperlink" Target="https://zakon.rada.gov.ua/laws/show/71-19" TargetMode="External"/><Relationship Id="rId5839" Type="http://schemas.openxmlformats.org/officeDocument/2006/relationships/hyperlink" Target="https://zakon.rada.gov.ua/laws/show/2755-17/print" TargetMode="External"/><Relationship Id="rId2199" Type="http://schemas.openxmlformats.org/officeDocument/2006/relationships/hyperlink" Target="https://zakon.rada.gov.ua/laws/show/1797-19" TargetMode="External"/><Relationship Id="rId3597" Type="http://schemas.openxmlformats.org/officeDocument/2006/relationships/hyperlink" Target="https://zakon.rada.gov.ua/laws/show/2755-17/print" TargetMode="External"/><Relationship Id="rId4648" Type="http://schemas.openxmlformats.org/officeDocument/2006/relationships/hyperlink" Target="https://zakon.rada.gov.ua/laws/show/909-19" TargetMode="External"/><Relationship Id="rId4855" Type="http://schemas.openxmlformats.org/officeDocument/2006/relationships/hyperlink" Target="https://zakon.rada.gov.ua/laws/show/1791-19" TargetMode="External"/><Relationship Id="rId5906" Type="http://schemas.openxmlformats.org/officeDocument/2006/relationships/hyperlink" Target="https://zakon.rada.gov.ua/laws/show/1797-19" TargetMode="External"/><Relationship Id="rId6070" Type="http://schemas.openxmlformats.org/officeDocument/2006/relationships/hyperlink" Target="https://zakon.rada.gov.ua/laws/show/71-19" TargetMode="External"/><Relationship Id="rId3457" Type="http://schemas.openxmlformats.org/officeDocument/2006/relationships/hyperlink" Target="https://zakon.rada.gov.ua/laws/show/2725-19" TargetMode="External"/><Relationship Id="rId3664" Type="http://schemas.openxmlformats.org/officeDocument/2006/relationships/hyperlink" Target="https://zakon.rada.gov.ua/laws/show/71-19" TargetMode="External"/><Relationship Id="rId3871" Type="http://schemas.openxmlformats.org/officeDocument/2006/relationships/hyperlink" Target="https://zakon.rada.gov.ua/laws/show/4915-17" TargetMode="External"/><Relationship Id="rId4508" Type="http://schemas.openxmlformats.org/officeDocument/2006/relationships/hyperlink" Target="https://zakon.rada.gov.ua/laws/show/909-19" TargetMode="External"/><Relationship Id="rId4715" Type="http://schemas.openxmlformats.org/officeDocument/2006/relationships/hyperlink" Target="https://zakon.rada.gov.ua/laws/show/71-19" TargetMode="External"/><Relationship Id="rId4922" Type="http://schemas.openxmlformats.org/officeDocument/2006/relationships/hyperlink" Target="https://zakon.rada.gov.ua/laws/show/909-19" TargetMode="External"/><Relationship Id="rId378" Type="http://schemas.openxmlformats.org/officeDocument/2006/relationships/hyperlink" Target="https://zakon.rada.gov.ua/laws/show/2755-17/print" TargetMode="External"/><Relationship Id="rId585" Type="http://schemas.openxmlformats.org/officeDocument/2006/relationships/hyperlink" Target="https://zakon.rada.gov.ua/laws/show/2755-17/print" TargetMode="External"/><Relationship Id="rId792" Type="http://schemas.openxmlformats.org/officeDocument/2006/relationships/hyperlink" Target="https://zakon.rada.gov.ua/laws/show/609-19" TargetMode="External"/><Relationship Id="rId2059" Type="http://schemas.openxmlformats.org/officeDocument/2006/relationships/hyperlink" Target="https://zakon.rada.gov.ua/laws/show/2628-19" TargetMode="External"/><Relationship Id="rId2266" Type="http://schemas.openxmlformats.org/officeDocument/2006/relationships/hyperlink" Target="https://zakon.rada.gov.ua/laws/show/1797-19" TargetMode="External"/><Relationship Id="rId2473" Type="http://schemas.openxmlformats.org/officeDocument/2006/relationships/hyperlink" Target="https://zakon.rada.gov.ua/laws/show/71-19" TargetMode="External"/><Relationship Id="rId2680" Type="http://schemas.openxmlformats.org/officeDocument/2006/relationships/hyperlink" Target="https://zakon.rada.gov.ua/laws/show/909-19" TargetMode="External"/><Relationship Id="rId3317" Type="http://schemas.openxmlformats.org/officeDocument/2006/relationships/hyperlink" Target="https://zakon.rada.gov.ua/laws/show/2755-17/print" TargetMode="External"/><Relationship Id="rId3524" Type="http://schemas.openxmlformats.org/officeDocument/2006/relationships/hyperlink" Target="https://zakon.rada.gov.ua/laws/show/1797-19" TargetMode="External"/><Relationship Id="rId3731" Type="http://schemas.openxmlformats.org/officeDocument/2006/relationships/hyperlink" Target="https://zakon.rada.gov.ua/laws/show/909-19" TargetMode="External"/><Relationship Id="rId238" Type="http://schemas.openxmlformats.org/officeDocument/2006/relationships/hyperlink" Target="https://zakon.rada.gov.ua/laws/show/1791-19" TargetMode="External"/><Relationship Id="rId445" Type="http://schemas.openxmlformats.org/officeDocument/2006/relationships/hyperlink" Target="https://zakon.rada.gov.ua/laws/show/1702-18" TargetMode="External"/><Relationship Id="rId652" Type="http://schemas.openxmlformats.org/officeDocument/2006/relationships/hyperlink" Target="https://zakon.rada.gov.ua/laws/show/1797-19" TargetMode="External"/><Relationship Id="rId1075" Type="http://schemas.openxmlformats.org/officeDocument/2006/relationships/hyperlink" Target="https://zakon.rada.gov.ua/laws/show/1797-19" TargetMode="External"/><Relationship Id="rId1282" Type="http://schemas.openxmlformats.org/officeDocument/2006/relationships/hyperlink" Target="https://zakon.rada.gov.ua/laws/show/2755-17/print" TargetMode="External"/><Relationship Id="rId2126" Type="http://schemas.openxmlformats.org/officeDocument/2006/relationships/hyperlink" Target="https://zakon.rada.gov.ua/laws/show/1797-19" TargetMode="External"/><Relationship Id="rId2333" Type="http://schemas.openxmlformats.org/officeDocument/2006/relationships/hyperlink" Target="https://zakon.rada.gov.ua/laws/show/1791-19" TargetMode="External"/><Relationship Id="rId2540" Type="http://schemas.openxmlformats.org/officeDocument/2006/relationships/hyperlink" Target="https://zakon.rada.gov.ua/laws/show/3609-17" TargetMode="External"/><Relationship Id="rId5489" Type="http://schemas.openxmlformats.org/officeDocument/2006/relationships/hyperlink" Target="https://zakon.rada.gov.ua/laws/show/2755-17/print" TargetMode="External"/><Relationship Id="rId5696" Type="http://schemas.openxmlformats.org/officeDocument/2006/relationships/hyperlink" Target="https://zakon.rada.gov.ua/laws/show/2755-17/print" TargetMode="External"/><Relationship Id="rId305" Type="http://schemas.openxmlformats.org/officeDocument/2006/relationships/hyperlink" Target="https://zakon.rada.gov.ua/laws/show/5083-17" TargetMode="External"/><Relationship Id="rId512" Type="http://schemas.openxmlformats.org/officeDocument/2006/relationships/hyperlink" Target="https://zakon.rada.gov.ua/laws/show/1797-19" TargetMode="External"/><Relationship Id="rId1142" Type="http://schemas.openxmlformats.org/officeDocument/2006/relationships/hyperlink" Target="https://zakon.rada.gov.ua/laws/show/1797-19" TargetMode="External"/><Relationship Id="rId2400" Type="http://schemas.openxmlformats.org/officeDocument/2006/relationships/hyperlink" Target="https://zakon.rada.gov.ua/laws/show/909-19" TargetMode="External"/><Relationship Id="rId4298" Type="http://schemas.openxmlformats.org/officeDocument/2006/relationships/hyperlink" Target="https://zakon.rada.gov.ua/laws/show/2628-19" TargetMode="External"/><Relationship Id="rId5349" Type="http://schemas.openxmlformats.org/officeDocument/2006/relationships/hyperlink" Target="https://zakon.rada.gov.ua/laws/show/4495-17" TargetMode="External"/><Relationship Id="rId5556" Type="http://schemas.openxmlformats.org/officeDocument/2006/relationships/hyperlink" Target="https://zakon.rada.gov.ua/laws/show/2755-17/print" TargetMode="External"/><Relationship Id="rId1002" Type="http://schemas.openxmlformats.org/officeDocument/2006/relationships/hyperlink" Target="https://zakon.rada.gov.ua/laws/show/1797-19" TargetMode="External"/><Relationship Id="rId4158" Type="http://schemas.openxmlformats.org/officeDocument/2006/relationships/hyperlink" Target="https://zakon.rada.gov.ua/laws/show/391-20" TargetMode="External"/><Relationship Id="rId4365" Type="http://schemas.openxmlformats.org/officeDocument/2006/relationships/hyperlink" Target="https://zakon.rada.gov.ua/laws/show/4235-17" TargetMode="External"/><Relationship Id="rId5209" Type="http://schemas.openxmlformats.org/officeDocument/2006/relationships/hyperlink" Target="https://zakon.rada.gov.ua/laws/show/4050-17" TargetMode="External"/><Relationship Id="rId5763" Type="http://schemas.openxmlformats.org/officeDocument/2006/relationships/hyperlink" Target="https://zakon.rada.gov.ua/laws/show/1797-19" TargetMode="External"/><Relationship Id="rId5970" Type="http://schemas.openxmlformats.org/officeDocument/2006/relationships/hyperlink" Target="https://zakon.rada.gov.ua/laws/show/909-19" TargetMode="External"/><Relationship Id="rId1959" Type="http://schemas.openxmlformats.org/officeDocument/2006/relationships/hyperlink" Target="https://zakon.rada.gov.ua/laws/show/657-18" TargetMode="External"/><Relationship Id="rId3174" Type="http://schemas.openxmlformats.org/officeDocument/2006/relationships/hyperlink" Target="https://zakon.rada.gov.ua/laws/show/643-19" TargetMode="External"/><Relationship Id="rId4018" Type="http://schemas.openxmlformats.org/officeDocument/2006/relationships/hyperlink" Target="https://zakon.rada.gov.ua/laws/show/584%D0%B0-18" TargetMode="External"/><Relationship Id="rId4572" Type="http://schemas.openxmlformats.org/officeDocument/2006/relationships/hyperlink" Target="https://zakon.rada.gov.ua/laws/show/va507565-00" TargetMode="External"/><Relationship Id="rId5416" Type="http://schemas.openxmlformats.org/officeDocument/2006/relationships/hyperlink" Target="https://zakon.rada.gov.ua/laws/show/1797-19" TargetMode="External"/><Relationship Id="rId5623" Type="http://schemas.openxmlformats.org/officeDocument/2006/relationships/hyperlink" Target="https://zakon.rada.gov.ua/laws/show/2755-17/print" TargetMode="External"/><Relationship Id="rId5830" Type="http://schemas.openxmlformats.org/officeDocument/2006/relationships/hyperlink" Target="https://zakon.rada.gov.ua/laws/show/2755-17/print" TargetMode="External"/><Relationship Id="rId1819" Type="http://schemas.openxmlformats.org/officeDocument/2006/relationships/hyperlink" Target="https://zakon.rada.gov.ua/laws/show/2755-17/print" TargetMode="External"/><Relationship Id="rId3381" Type="http://schemas.openxmlformats.org/officeDocument/2006/relationships/hyperlink" Target="https://zakon.rada.gov.ua/laws/show/1797-19" TargetMode="External"/><Relationship Id="rId4225" Type="http://schemas.openxmlformats.org/officeDocument/2006/relationships/hyperlink" Target="https://zakon.rada.gov.ua/laws/show/2628-19" TargetMode="External"/><Relationship Id="rId4432" Type="http://schemas.openxmlformats.org/officeDocument/2006/relationships/hyperlink" Target="https://zakon.rada.gov.ua/laws/show/4235-17" TargetMode="External"/><Relationship Id="rId2190" Type="http://schemas.openxmlformats.org/officeDocument/2006/relationships/hyperlink" Target="https://zakon.rada.gov.ua/laws/show/1797-19" TargetMode="External"/><Relationship Id="rId3034" Type="http://schemas.openxmlformats.org/officeDocument/2006/relationships/hyperlink" Target="https://zakon.rada.gov.ua/laws/show/4495-17" TargetMode="External"/><Relationship Id="rId3241" Type="http://schemas.openxmlformats.org/officeDocument/2006/relationships/hyperlink" Target="https://zakon.rada.gov.ua/laws/show/2755-17/print" TargetMode="External"/><Relationship Id="rId162" Type="http://schemas.openxmlformats.org/officeDocument/2006/relationships/hyperlink" Target="https://zakon.rada.gov.ua/laws/show/4915-17" TargetMode="External"/><Relationship Id="rId2050" Type="http://schemas.openxmlformats.org/officeDocument/2006/relationships/hyperlink" Target="https://zakon.rada.gov.ua/laws/show/71-19" TargetMode="External"/><Relationship Id="rId3101" Type="http://schemas.openxmlformats.org/officeDocument/2006/relationships/hyperlink" Target="https://zakon.rada.gov.ua/laws/show/4495-17" TargetMode="External"/><Relationship Id="rId6257" Type="http://schemas.openxmlformats.org/officeDocument/2006/relationships/hyperlink" Target="https://zakon.rada.gov.ua/laws/show/2245-19" TargetMode="External"/><Relationship Id="rId979" Type="http://schemas.openxmlformats.org/officeDocument/2006/relationships/hyperlink" Target="https://zakon.rada.gov.ua/laws/show/2725-19" TargetMode="External"/><Relationship Id="rId5066" Type="http://schemas.openxmlformats.org/officeDocument/2006/relationships/hyperlink" Target="https://zakon.rada.gov.ua/laws/show/2497-19" TargetMode="External"/><Relationship Id="rId5273" Type="http://schemas.openxmlformats.org/officeDocument/2006/relationships/hyperlink" Target="https://zakon.rada.gov.ua/laws/show/334/94-%D0%B2%D1%80" TargetMode="External"/><Relationship Id="rId5480" Type="http://schemas.openxmlformats.org/officeDocument/2006/relationships/hyperlink" Target="https://zakon.rada.gov.ua/laws/show/2755-17/print" TargetMode="External"/><Relationship Id="rId6117" Type="http://schemas.openxmlformats.org/officeDocument/2006/relationships/hyperlink" Target="https://zakon.rada.gov.ua/laws/show/3319-17" TargetMode="External"/><Relationship Id="rId839" Type="http://schemas.openxmlformats.org/officeDocument/2006/relationships/hyperlink" Target="https://zakon.rada.gov.ua/laws/show/2245-19" TargetMode="External"/><Relationship Id="rId1469" Type="http://schemas.openxmlformats.org/officeDocument/2006/relationships/hyperlink" Target="https://zakon.rada.gov.ua/laws/show/2755-17/print" TargetMode="External"/><Relationship Id="rId2867" Type="http://schemas.openxmlformats.org/officeDocument/2006/relationships/hyperlink" Target="https://zakon.rada.gov.ua/laws/show/2755-17/print" TargetMode="External"/><Relationship Id="rId3918" Type="http://schemas.openxmlformats.org/officeDocument/2006/relationships/hyperlink" Target="https://zakon.rada.gov.ua/laws/show/1191-18" TargetMode="External"/><Relationship Id="rId4082" Type="http://schemas.openxmlformats.org/officeDocument/2006/relationships/hyperlink" Target="https://zakon.rada.gov.ua/laws/show/2755-17/print" TargetMode="External"/><Relationship Id="rId5133" Type="http://schemas.openxmlformats.org/officeDocument/2006/relationships/hyperlink" Target="https://zakon.rada.gov.ua/laws/show/2755-17/print" TargetMode="External"/><Relationship Id="rId5340" Type="http://schemas.openxmlformats.org/officeDocument/2006/relationships/hyperlink" Target="https://zakon.rada.gov.ua/laws/show/2660-14" TargetMode="External"/><Relationship Id="rId1676" Type="http://schemas.openxmlformats.org/officeDocument/2006/relationships/hyperlink" Target="https://zakon.rada.gov.ua/laws/show/1797-19" TargetMode="External"/><Relationship Id="rId1883" Type="http://schemas.openxmlformats.org/officeDocument/2006/relationships/hyperlink" Target="https://zakon.rada.gov.ua/laws/show/1797-19" TargetMode="External"/><Relationship Id="rId2727" Type="http://schemas.openxmlformats.org/officeDocument/2006/relationships/hyperlink" Target="https://zakon.rada.gov.ua/laws/show/1588-18" TargetMode="External"/><Relationship Id="rId2934" Type="http://schemas.openxmlformats.org/officeDocument/2006/relationships/hyperlink" Target="https://zakon.rada.gov.ua/laws/show/2755-17/print" TargetMode="External"/><Relationship Id="rId906" Type="http://schemas.openxmlformats.org/officeDocument/2006/relationships/hyperlink" Target="https://zakon.rada.gov.ua/laws/show/1797-19" TargetMode="External"/><Relationship Id="rId1329" Type="http://schemas.openxmlformats.org/officeDocument/2006/relationships/hyperlink" Target="https://zakon.rada.gov.ua/laws/show/1797-19" TargetMode="External"/><Relationship Id="rId1536" Type="http://schemas.openxmlformats.org/officeDocument/2006/relationships/hyperlink" Target="https://zakon.rada.gov.ua/laws/show/z1415-15" TargetMode="External"/><Relationship Id="rId1743" Type="http://schemas.openxmlformats.org/officeDocument/2006/relationships/hyperlink" Target="https://zakon.rada.gov.ua/laws/show/5503-17" TargetMode="External"/><Relationship Id="rId1950" Type="http://schemas.openxmlformats.org/officeDocument/2006/relationships/hyperlink" Target="https://zakon.rada.gov.ua/laws/show/2628-19" TargetMode="External"/><Relationship Id="rId4899" Type="http://schemas.openxmlformats.org/officeDocument/2006/relationships/hyperlink" Target="https://zakon.rada.gov.ua/laws/show/5503-17" TargetMode="External"/><Relationship Id="rId5200" Type="http://schemas.openxmlformats.org/officeDocument/2006/relationships/hyperlink" Target="https://zakon.rada.gov.ua/laws/show/4495-17" TargetMode="External"/><Relationship Id="rId35" Type="http://schemas.openxmlformats.org/officeDocument/2006/relationships/hyperlink" Target="https://zakon.rada.gov.ua/laws/show/5083-17" TargetMode="External"/><Relationship Id="rId1603" Type="http://schemas.openxmlformats.org/officeDocument/2006/relationships/hyperlink" Target="https://zakon.rada.gov.ua/laws/show/2628-19" TargetMode="External"/><Relationship Id="rId1810" Type="http://schemas.openxmlformats.org/officeDocument/2006/relationships/hyperlink" Target="https://zakon.rada.gov.ua/laws/show/v013p710-12" TargetMode="External"/><Relationship Id="rId4759" Type="http://schemas.openxmlformats.org/officeDocument/2006/relationships/hyperlink" Target="https://zakon.rada.gov.ua/laws/show/2245-19" TargetMode="External"/><Relationship Id="rId4966" Type="http://schemas.openxmlformats.org/officeDocument/2006/relationships/hyperlink" Target="https://zakon.rada.gov.ua/laws/show/2755-17/print" TargetMode="External"/><Relationship Id="rId3568" Type="http://schemas.openxmlformats.org/officeDocument/2006/relationships/hyperlink" Target="https://zakon.rada.gov.ua/laws/show/4495-17" TargetMode="External"/><Relationship Id="rId3775" Type="http://schemas.openxmlformats.org/officeDocument/2006/relationships/hyperlink" Target="https://zakon.rada.gov.ua/laws/show/5503-17" TargetMode="External"/><Relationship Id="rId3982" Type="http://schemas.openxmlformats.org/officeDocument/2006/relationships/hyperlink" Target="https://zakon.rada.gov.ua/laws/show/5074-17" TargetMode="External"/><Relationship Id="rId4619" Type="http://schemas.openxmlformats.org/officeDocument/2006/relationships/hyperlink" Target="https://zakon.rada.gov.ua/laws/show/1797-19" TargetMode="External"/><Relationship Id="rId4826" Type="http://schemas.openxmlformats.org/officeDocument/2006/relationships/hyperlink" Target="https://zakon.rada.gov.ua/laws/show/71-19" TargetMode="External"/><Relationship Id="rId6181" Type="http://schemas.openxmlformats.org/officeDocument/2006/relationships/hyperlink" Target="https://zakon.rada.gov.ua/laws/show/719-18" TargetMode="External"/><Relationship Id="rId489" Type="http://schemas.openxmlformats.org/officeDocument/2006/relationships/hyperlink" Target="https://zakon.rada.gov.ua/laws/show/2628-19" TargetMode="External"/><Relationship Id="rId696" Type="http://schemas.openxmlformats.org/officeDocument/2006/relationships/hyperlink" Target="https://zakon.rada.gov.ua/laws/show/1797-19" TargetMode="External"/><Relationship Id="rId2377" Type="http://schemas.openxmlformats.org/officeDocument/2006/relationships/hyperlink" Target="https://zakon.rada.gov.ua/laws/show/427-18" TargetMode="External"/><Relationship Id="rId2584" Type="http://schemas.openxmlformats.org/officeDocument/2006/relationships/hyperlink" Target="https://zakon.rada.gov.ua/laws/show/5083-17" TargetMode="External"/><Relationship Id="rId2791" Type="http://schemas.openxmlformats.org/officeDocument/2006/relationships/hyperlink" Target="https://zakon.rada.gov.ua/laws/show/1797-19" TargetMode="External"/><Relationship Id="rId3428" Type="http://schemas.openxmlformats.org/officeDocument/2006/relationships/hyperlink" Target="https://zakon.rada.gov.ua/laws/show/643-19" TargetMode="External"/><Relationship Id="rId3635" Type="http://schemas.openxmlformats.org/officeDocument/2006/relationships/hyperlink" Target="https://zakon.rada.gov.ua/laws/show/va375202-05" TargetMode="External"/><Relationship Id="rId6041" Type="http://schemas.openxmlformats.org/officeDocument/2006/relationships/hyperlink" Target="https://zakon.rada.gov.ua/laws/show/2755-17/print" TargetMode="External"/><Relationship Id="rId349" Type="http://schemas.openxmlformats.org/officeDocument/2006/relationships/hyperlink" Target="https://zakon.rada.gov.ua/laws/show/1797-19" TargetMode="External"/><Relationship Id="rId556" Type="http://schemas.openxmlformats.org/officeDocument/2006/relationships/hyperlink" Target="https://zakon.rada.gov.ua/laws/show/2628-19" TargetMode="External"/><Relationship Id="rId763" Type="http://schemas.openxmlformats.org/officeDocument/2006/relationships/hyperlink" Target="https://zakon.rada.gov.ua/laws/show/2755-17/print" TargetMode="External"/><Relationship Id="rId1186" Type="http://schemas.openxmlformats.org/officeDocument/2006/relationships/hyperlink" Target="https://zakon.rada.gov.ua/laws/show/3609-17" TargetMode="External"/><Relationship Id="rId1393" Type="http://schemas.openxmlformats.org/officeDocument/2006/relationships/hyperlink" Target="https://zakon.rada.gov.ua/laws/show/657-18" TargetMode="External"/><Relationship Id="rId2237" Type="http://schemas.openxmlformats.org/officeDocument/2006/relationships/hyperlink" Target="https://zakon.rada.gov.ua/laws/show/1797-19" TargetMode="External"/><Relationship Id="rId2444" Type="http://schemas.openxmlformats.org/officeDocument/2006/relationships/hyperlink" Target="https://zakon.rada.gov.ua/laws/show/2755-17/print" TargetMode="External"/><Relationship Id="rId3842" Type="http://schemas.openxmlformats.org/officeDocument/2006/relationships/hyperlink" Target="https://zakon.rada.gov.ua/laws/show/71-19" TargetMode="External"/><Relationship Id="rId209" Type="http://schemas.openxmlformats.org/officeDocument/2006/relationships/hyperlink" Target="https://zakon.rada.gov.ua/laws/show/1621-18" TargetMode="External"/><Relationship Id="rId416" Type="http://schemas.openxmlformats.org/officeDocument/2006/relationships/hyperlink" Target="https://zakon.rada.gov.ua/laws/show/5083-17" TargetMode="External"/><Relationship Id="rId970" Type="http://schemas.openxmlformats.org/officeDocument/2006/relationships/hyperlink" Target="https://zakon.rada.gov.ua/laws/show/2628-19" TargetMode="External"/><Relationship Id="rId1046" Type="http://schemas.openxmlformats.org/officeDocument/2006/relationships/hyperlink" Target="https://zakon.rada.gov.ua/laws/show/435-15" TargetMode="External"/><Relationship Id="rId1253" Type="http://schemas.openxmlformats.org/officeDocument/2006/relationships/hyperlink" Target="https://zakon.rada.gov.ua/laws/show/909-19" TargetMode="External"/><Relationship Id="rId2651" Type="http://schemas.openxmlformats.org/officeDocument/2006/relationships/hyperlink" Target="https://zakon.rada.gov.ua/laws/show/71-19" TargetMode="External"/><Relationship Id="rId3702" Type="http://schemas.openxmlformats.org/officeDocument/2006/relationships/hyperlink" Target="https://zakon.rada.gov.ua/laws/show/3609-17" TargetMode="External"/><Relationship Id="rId623" Type="http://schemas.openxmlformats.org/officeDocument/2006/relationships/hyperlink" Target="https://zakon.rada.gov.ua/laws/show/2628-19" TargetMode="External"/><Relationship Id="rId830" Type="http://schemas.openxmlformats.org/officeDocument/2006/relationships/hyperlink" Target="https://zakon.rada.gov.ua/laws/show/2755-17/print" TargetMode="External"/><Relationship Id="rId1460" Type="http://schemas.openxmlformats.org/officeDocument/2006/relationships/hyperlink" Target="https://zakon.rada.gov.ua/laws/show/2755-17/print" TargetMode="External"/><Relationship Id="rId2304" Type="http://schemas.openxmlformats.org/officeDocument/2006/relationships/hyperlink" Target="https://zakon.rada.gov.ua/laws/show/2755-17/print" TargetMode="External"/><Relationship Id="rId2511" Type="http://schemas.openxmlformats.org/officeDocument/2006/relationships/hyperlink" Target="https://zakon.rada.gov.ua/laws/show/1797-19" TargetMode="External"/><Relationship Id="rId5667" Type="http://schemas.openxmlformats.org/officeDocument/2006/relationships/hyperlink" Target="https://zakon.rada.gov.ua/laws/show/2755-17/print" TargetMode="External"/><Relationship Id="rId5874" Type="http://schemas.openxmlformats.org/officeDocument/2006/relationships/hyperlink" Target="https://zakon.rada.gov.ua/laws/show/425-20" TargetMode="External"/><Relationship Id="rId1113" Type="http://schemas.openxmlformats.org/officeDocument/2006/relationships/hyperlink" Target="https://zakon.rada.gov.ua/laws/show/2755-17/print" TargetMode="External"/><Relationship Id="rId1320" Type="http://schemas.openxmlformats.org/officeDocument/2006/relationships/hyperlink" Target="https://zakon.rada.gov.ua/laws/show/2755-17/print" TargetMode="External"/><Relationship Id="rId4269" Type="http://schemas.openxmlformats.org/officeDocument/2006/relationships/hyperlink" Target="https://zakon.rada.gov.ua/laws/show/2755-17/print" TargetMode="External"/><Relationship Id="rId4476" Type="http://schemas.openxmlformats.org/officeDocument/2006/relationships/hyperlink" Target="https://zakon.rada.gov.ua/laws/show/2768-14" TargetMode="External"/><Relationship Id="rId4683" Type="http://schemas.openxmlformats.org/officeDocument/2006/relationships/hyperlink" Target="https://zakon.rada.gov.ua/laws/show/71-19" TargetMode="External"/><Relationship Id="rId4890" Type="http://schemas.openxmlformats.org/officeDocument/2006/relationships/hyperlink" Target="https://zakon.rada.gov.ua/laws/show/71-19" TargetMode="External"/><Relationship Id="rId5527" Type="http://schemas.openxmlformats.org/officeDocument/2006/relationships/hyperlink" Target="https://zakon.rada.gov.ua/laws/show/z0137-16" TargetMode="External"/><Relationship Id="rId5734" Type="http://schemas.openxmlformats.org/officeDocument/2006/relationships/hyperlink" Target="https://zakon.rada.gov.ua/laws/show/1797-19" TargetMode="External"/><Relationship Id="rId5941" Type="http://schemas.openxmlformats.org/officeDocument/2006/relationships/hyperlink" Target="https://zakon.rada.gov.ua/laws/show/2755-17/print" TargetMode="External"/><Relationship Id="rId3078" Type="http://schemas.openxmlformats.org/officeDocument/2006/relationships/hyperlink" Target="https://zakon.rada.gov.ua/laws/show/3609-17" TargetMode="External"/><Relationship Id="rId3285" Type="http://schemas.openxmlformats.org/officeDocument/2006/relationships/hyperlink" Target="https://zakon.rada.gov.ua/laws/show/1797-19" TargetMode="External"/><Relationship Id="rId3492" Type="http://schemas.openxmlformats.org/officeDocument/2006/relationships/hyperlink" Target="https://zakon.rada.gov.ua/laws/show/1797-19" TargetMode="External"/><Relationship Id="rId4129" Type="http://schemas.openxmlformats.org/officeDocument/2006/relationships/hyperlink" Target="https://zakon.rada.gov.ua/laws/show/584%D0%B0-18" TargetMode="External"/><Relationship Id="rId4336" Type="http://schemas.openxmlformats.org/officeDocument/2006/relationships/hyperlink" Target="https://zakon.rada.gov.ua/laws/show/2628-19" TargetMode="External"/><Relationship Id="rId4543" Type="http://schemas.openxmlformats.org/officeDocument/2006/relationships/hyperlink" Target="https://zakon.rada.gov.ua/laws/show/2755-17/print" TargetMode="External"/><Relationship Id="rId4750" Type="http://schemas.openxmlformats.org/officeDocument/2006/relationships/hyperlink" Target="https://zakon.rada.gov.ua/laws/show/1797-19" TargetMode="External"/><Relationship Id="rId5801" Type="http://schemas.openxmlformats.org/officeDocument/2006/relationships/hyperlink" Target="https://zakon.rada.gov.ua/laws/show/3609-17" TargetMode="External"/><Relationship Id="rId2094" Type="http://schemas.openxmlformats.org/officeDocument/2006/relationships/hyperlink" Target="https://zakon.rada.gov.ua/laws/show/2628-19" TargetMode="External"/><Relationship Id="rId3145" Type="http://schemas.openxmlformats.org/officeDocument/2006/relationships/hyperlink" Target="https://zakon.rada.gov.ua/laws/show/1797-19" TargetMode="External"/><Relationship Id="rId3352" Type="http://schemas.openxmlformats.org/officeDocument/2006/relationships/hyperlink" Target="https://zakon.rada.gov.ua/laws/show/643-19" TargetMode="External"/><Relationship Id="rId4403" Type="http://schemas.openxmlformats.org/officeDocument/2006/relationships/hyperlink" Target="https://zakon.rada.gov.ua/laws/show/909-19" TargetMode="External"/><Relationship Id="rId4610" Type="http://schemas.openxmlformats.org/officeDocument/2006/relationships/hyperlink" Target="https://zakon.rada.gov.ua/laws/show/2755-17/print" TargetMode="External"/><Relationship Id="rId273" Type="http://schemas.openxmlformats.org/officeDocument/2006/relationships/hyperlink" Target="https://zakon.rada.gov.ua/laws/show/2755-17/print" TargetMode="External"/><Relationship Id="rId480" Type="http://schemas.openxmlformats.org/officeDocument/2006/relationships/hyperlink" Target="https://zakon.rada.gov.ua/laws/show/3609-17" TargetMode="External"/><Relationship Id="rId2161" Type="http://schemas.openxmlformats.org/officeDocument/2006/relationships/hyperlink" Target="https://zakon.rada.gov.ua/laws/show/1797-19" TargetMode="External"/><Relationship Id="rId3005" Type="http://schemas.openxmlformats.org/officeDocument/2006/relationships/hyperlink" Target="https://zakon.rada.gov.ua/laws/show/71-19" TargetMode="External"/><Relationship Id="rId3212" Type="http://schemas.openxmlformats.org/officeDocument/2006/relationships/hyperlink" Target="https://zakon.rada.gov.ua/laws/show/909-19" TargetMode="External"/><Relationship Id="rId133" Type="http://schemas.openxmlformats.org/officeDocument/2006/relationships/hyperlink" Target="https://zakon.rada.gov.ua/laws/show/2725-19" TargetMode="External"/><Relationship Id="rId340" Type="http://schemas.openxmlformats.org/officeDocument/2006/relationships/hyperlink" Target="https://zakon.rada.gov.ua/laws/show/996-14" TargetMode="External"/><Relationship Id="rId2021" Type="http://schemas.openxmlformats.org/officeDocument/2006/relationships/hyperlink" Target="https://zakon.rada.gov.ua/laws/show/2755-17/print" TargetMode="External"/><Relationship Id="rId5177" Type="http://schemas.openxmlformats.org/officeDocument/2006/relationships/hyperlink" Target="https://zakon.rada.gov.ua/laws/show/1797-19" TargetMode="External"/><Relationship Id="rId5384" Type="http://schemas.openxmlformats.org/officeDocument/2006/relationships/hyperlink" Target="https://zakon.rada.gov.ua/laws/show/909-19" TargetMode="External"/><Relationship Id="rId6228" Type="http://schemas.openxmlformats.org/officeDocument/2006/relationships/hyperlink" Target="https://zakon.rada.gov.ua/laws/show/2628-19" TargetMode="External"/><Relationship Id="rId200" Type="http://schemas.openxmlformats.org/officeDocument/2006/relationships/hyperlink" Target="https://zakon.rada.gov.ua/laws/show/2755-17/print" TargetMode="External"/><Relationship Id="rId2978" Type="http://schemas.openxmlformats.org/officeDocument/2006/relationships/hyperlink" Target="https://zakon.rada.gov.ua/laws/show/4834-17" TargetMode="External"/><Relationship Id="rId4193" Type="http://schemas.openxmlformats.org/officeDocument/2006/relationships/hyperlink" Target="https://zakon.rada.gov.ua/laws/show/391-20" TargetMode="External"/><Relationship Id="rId5037" Type="http://schemas.openxmlformats.org/officeDocument/2006/relationships/hyperlink" Target="https://zakon.rada.gov.ua/laws/show/4834-17" TargetMode="External"/><Relationship Id="rId5591" Type="http://schemas.openxmlformats.org/officeDocument/2006/relationships/hyperlink" Target="https://zakon.rada.gov.ua/laws/show/4495-17" TargetMode="External"/><Relationship Id="rId1787" Type="http://schemas.openxmlformats.org/officeDocument/2006/relationships/hyperlink" Target="https://zakon.rada.gov.ua/laws/show/1797-19" TargetMode="External"/><Relationship Id="rId1994" Type="http://schemas.openxmlformats.org/officeDocument/2006/relationships/hyperlink" Target="https://zakon.rada.gov.ua/laws/show/2755-17/print" TargetMode="External"/><Relationship Id="rId2838" Type="http://schemas.openxmlformats.org/officeDocument/2006/relationships/hyperlink" Target="https://zakon.rada.gov.ua/laws/show/4014-17" TargetMode="External"/><Relationship Id="rId5244" Type="http://schemas.openxmlformats.org/officeDocument/2006/relationships/hyperlink" Target="https://zakon.rada.gov.ua/laws/show/1797-19" TargetMode="External"/><Relationship Id="rId5451" Type="http://schemas.openxmlformats.org/officeDocument/2006/relationships/hyperlink" Target="https://zakon.rada.gov.ua/laws/show/584%D0%B0-18" TargetMode="External"/><Relationship Id="rId79" Type="http://schemas.openxmlformats.org/officeDocument/2006/relationships/hyperlink" Target="https://zakon.rada.gov.ua/laws/show/63-19" TargetMode="External"/><Relationship Id="rId1647" Type="http://schemas.openxmlformats.org/officeDocument/2006/relationships/hyperlink" Target="https://zakon.rada.gov.ua/laws/show/1797-19" TargetMode="External"/><Relationship Id="rId1854" Type="http://schemas.openxmlformats.org/officeDocument/2006/relationships/hyperlink" Target="https://zakon.rada.gov.ua/laws/show/1797-19" TargetMode="External"/><Relationship Id="rId2905" Type="http://schemas.openxmlformats.org/officeDocument/2006/relationships/hyperlink" Target="https://zakon.rada.gov.ua/laws/show/z1456-14" TargetMode="External"/><Relationship Id="rId4053" Type="http://schemas.openxmlformats.org/officeDocument/2006/relationships/hyperlink" Target="https://zakon.rada.gov.ua/laws/show/404-18" TargetMode="External"/><Relationship Id="rId4260" Type="http://schemas.openxmlformats.org/officeDocument/2006/relationships/hyperlink" Target="https://zakon.rada.gov.ua/laws/show/2755-17/print" TargetMode="External"/><Relationship Id="rId5104" Type="http://schemas.openxmlformats.org/officeDocument/2006/relationships/hyperlink" Target="https://zakon.rada.gov.ua/laws/show/2755-17/print" TargetMode="External"/><Relationship Id="rId5311" Type="http://schemas.openxmlformats.org/officeDocument/2006/relationships/hyperlink" Target="https://zakon.rada.gov.ua/laws/show/2374-19" TargetMode="External"/><Relationship Id="rId1507" Type="http://schemas.openxmlformats.org/officeDocument/2006/relationships/hyperlink" Target="https://zakon.rada.gov.ua/laws/show/2628-19" TargetMode="External"/><Relationship Id="rId1714" Type="http://schemas.openxmlformats.org/officeDocument/2006/relationships/hyperlink" Target="https://zakon.rada.gov.ua/laws/show/2755-17/print" TargetMode="External"/><Relationship Id="rId4120" Type="http://schemas.openxmlformats.org/officeDocument/2006/relationships/hyperlink" Target="https://zakon.rada.gov.ua/laws/show/584%D0%B0-18" TargetMode="External"/><Relationship Id="rId1921" Type="http://schemas.openxmlformats.org/officeDocument/2006/relationships/hyperlink" Target="https://zakon.rada.gov.ua/laws/show/z0103-14" TargetMode="External"/><Relationship Id="rId3679" Type="http://schemas.openxmlformats.org/officeDocument/2006/relationships/hyperlink" Target="https://zakon.rada.gov.ua/laws/show/71-19" TargetMode="External"/><Relationship Id="rId6085" Type="http://schemas.openxmlformats.org/officeDocument/2006/relationships/hyperlink" Target="https://zakon.rada.gov.ua/laws/show/727/98" TargetMode="External"/><Relationship Id="rId6292" Type="http://schemas.openxmlformats.org/officeDocument/2006/relationships/hyperlink" Target="https://zakon.rada.gov.ua/laws/show/2755-17/print" TargetMode="External"/><Relationship Id="rId2488" Type="http://schemas.openxmlformats.org/officeDocument/2006/relationships/hyperlink" Target="https://zakon.rada.gov.ua/laws/show/71-19" TargetMode="External"/><Relationship Id="rId3886" Type="http://schemas.openxmlformats.org/officeDocument/2006/relationships/hyperlink" Target="https://zakon.rada.gov.ua/laws/show/5083-17" TargetMode="External"/><Relationship Id="rId4937" Type="http://schemas.openxmlformats.org/officeDocument/2006/relationships/hyperlink" Target="https://zakon.rada.gov.ua/laws/show/2755-17/print" TargetMode="External"/><Relationship Id="rId6152" Type="http://schemas.openxmlformats.org/officeDocument/2006/relationships/hyperlink" Target="https://zakon.rada.gov.ua/laws/show/2628-19" TargetMode="External"/><Relationship Id="rId1297" Type="http://schemas.openxmlformats.org/officeDocument/2006/relationships/hyperlink" Target="https://zakon.rada.gov.ua/laws/show/5083-17" TargetMode="External"/><Relationship Id="rId2695" Type="http://schemas.openxmlformats.org/officeDocument/2006/relationships/hyperlink" Target="https://zakon.rada.gov.ua/laws/show/5413-17" TargetMode="External"/><Relationship Id="rId3539" Type="http://schemas.openxmlformats.org/officeDocument/2006/relationships/hyperlink" Target="https://zakon.rada.gov.ua/laws/show/71-19" TargetMode="External"/><Relationship Id="rId3746" Type="http://schemas.openxmlformats.org/officeDocument/2006/relationships/hyperlink" Target="https://zakon.rada.gov.ua/laws/show/391-20" TargetMode="External"/><Relationship Id="rId3953" Type="http://schemas.openxmlformats.org/officeDocument/2006/relationships/hyperlink" Target="https://zakon.rada.gov.ua/laws/show/1797-19" TargetMode="External"/><Relationship Id="rId6012" Type="http://schemas.openxmlformats.org/officeDocument/2006/relationships/hyperlink" Target="https://zakon.rada.gov.ua/laws/show/584%D0%B1-18" TargetMode="External"/><Relationship Id="rId667" Type="http://schemas.openxmlformats.org/officeDocument/2006/relationships/hyperlink" Target="https://zakon.rada.gov.ua/laws/show/5519-17" TargetMode="External"/><Relationship Id="rId874" Type="http://schemas.openxmlformats.org/officeDocument/2006/relationships/hyperlink" Target="https://zakon.rada.gov.ua/laws/show/1797-19" TargetMode="External"/><Relationship Id="rId2348" Type="http://schemas.openxmlformats.org/officeDocument/2006/relationships/hyperlink" Target="https://zakon.rada.gov.ua/laws/show/3609-17" TargetMode="External"/><Relationship Id="rId2555" Type="http://schemas.openxmlformats.org/officeDocument/2006/relationships/hyperlink" Target="https://zakon.rada.gov.ua/laws/show/1797-19" TargetMode="External"/><Relationship Id="rId2762" Type="http://schemas.openxmlformats.org/officeDocument/2006/relationships/hyperlink" Target="https://zakon.rada.gov.ua/laws/show/3609-17" TargetMode="External"/><Relationship Id="rId3606" Type="http://schemas.openxmlformats.org/officeDocument/2006/relationships/hyperlink" Target="https://zakon.rada.gov.ua/laws/show/1621-18" TargetMode="External"/><Relationship Id="rId3813" Type="http://schemas.openxmlformats.org/officeDocument/2006/relationships/hyperlink" Target="https://zakon.rada.gov.ua/laws/show/584%D0%B1-18" TargetMode="External"/><Relationship Id="rId527" Type="http://schemas.openxmlformats.org/officeDocument/2006/relationships/hyperlink" Target="https://zakon.rada.gov.ua/laws/show/2628-19" TargetMode="External"/><Relationship Id="rId734" Type="http://schemas.openxmlformats.org/officeDocument/2006/relationships/hyperlink" Target="https://zakon.rada.gov.ua/laws/show/2245-19" TargetMode="External"/><Relationship Id="rId941" Type="http://schemas.openxmlformats.org/officeDocument/2006/relationships/hyperlink" Target="https://zakon.rada.gov.ua/laws/show/1797-19" TargetMode="External"/><Relationship Id="rId1157" Type="http://schemas.openxmlformats.org/officeDocument/2006/relationships/hyperlink" Target="https://zakon.rada.gov.ua/laws/show/1797-19" TargetMode="External"/><Relationship Id="rId1364" Type="http://schemas.openxmlformats.org/officeDocument/2006/relationships/hyperlink" Target="https://zakon.rada.gov.ua/laws/show/657-18" TargetMode="External"/><Relationship Id="rId1571" Type="http://schemas.openxmlformats.org/officeDocument/2006/relationships/hyperlink" Target="https://zakon.rada.gov.ua/laws/show/1797-19" TargetMode="External"/><Relationship Id="rId2208" Type="http://schemas.openxmlformats.org/officeDocument/2006/relationships/hyperlink" Target="https://zakon.rada.gov.ua/laws/show/2755-17/print" TargetMode="External"/><Relationship Id="rId2415" Type="http://schemas.openxmlformats.org/officeDocument/2006/relationships/hyperlink" Target="https://zakon.rada.gov.ua/laws/show/3852-12" TargetMode="External"/><Relationship Id="rId2622" Type="http://schemas.openxmlformats.org/officeDocument/2006/relationships/hyperlink" Target="https://zakon.rada.gov.ua/laws/show/2755-17/print" TargetMode="External"/><Relationship Id="rId5778" Type="http://schemas.openxmlformats.org/officeDocument/2006/relationships/hyperlink" Target="https://zakon.rada.gov.ua/laws/show/71-19" TargetMode="External"/><Relationship Id="rId5985" Type="http://schemas.openxmlformats.org/officeDocument/2006/relationships/hyperlink" Target="https://zakon.rada.gov.ua/laws/show/1791-19" TargetMode="External"/><Relationship Id="rId70" Type="http://schemas.openxmlformats.org/officeDocument/2006/relationships/hyperlink" Target="https://zakon.rada.gov.ua/laws/show/1588-18" TargetMode="External"/><Relationship Id="rId801" Type="http://schemas.openxmlformats.org/officeDocument/2006/relationships/hyperlink" Target="https://zakon.rada.gov.ua/laws/show/1797-19" TargetMode="External"/><Relationship Id="rId1017" Type="http://schemas.openxmlformats.org/officeDocument/2006/relationships/hyperlink" Target="https://zakon.rada.gov.ua/laws/show/4495-17" TargetMode="External"/><Relationship Id="rId1224" Type="http://schemas.openxmlformats.org/officeDocument/2006/relationships/hyperlink" Target="https://zakon.rada.gov.ua/laws/show/2755-17/print" TargetMode="External"/><Relationship Id="rId1431" Type="http://schemas.openxmlformats.org/officeDocument/2006/relationships/hyperlink" Target="https://zakon.rada.gov.ua/laws/show/1797-19" TargetMode="External"/><Relationship Id="rId4587" Type="http://schemas.openxmlformats.org/officeDocument/2006/relationships/hyperlink" Target="https://zakon.rada.gov.ua/laws/show/2755-17/print" TargetMode="External"/><Relationship Id="rId4794" Type="http://schemas.openxmlformats.org/officeDocument/2006/relationships/hyperlink" Target="https://zakon.rada.gov.ua/laws/show/71-19" TargetMode="External"/><Relationship Id="rId5638" Type="http://schemas.openxmlformats.org/officeDocument/2006/relationships/hyperlink" Target="https://zakon.rada.gov.ua/laws/show/1797-19" TargetMode="External"/><Relationship Id="rId5845" Type="http://schemas.openxmlformats.org/officeDocument/2006/relationships/hyperlink" Target="https://zakon.rada.gov.ua/laws/show/652-19" TargetMode="External"/><Relationship Id="rId3189" Type="http://schemas.openxmlformats.org/officeDocument/2006/relationships/hyperlink" Target="https://zakon.rada.gov.ua/laws/show/71-19" TargetMode="External"/><Relationship Id="rId3396" Type="http://schemas.openxmlformats.org/officeDocument/2006/relationships/hyperlink" Target="https://zakon.rada.gov.ua/laws/show/71-19" TargetMode="External"/><Relationship Id="rId4447" Type="http://schemas.openxmlformats.org/officeDocument/2006/relationships/hyperlink" Target="https://zakon.rada.gov.ua/laws/show/z1052-15" TargetMode="External"/><Relationship Id="rId4654" Type="http://schemas.openxmlformats.org/officeDocument/2006/relationships/hyperlink" Target="https://zakon.rada.gov.ua/laws/show/4834-17" TargetMode="External"/><Relationship Id="rId3049" Type="http://schemas.openxmlformats.org/officeDocument/2006/relationships/hyperlink" Target="https://zakon.rada.gov.ua/laws/show/4238-17" TargetMode="External"/><Relationship Id="rId3256" Type="http://schemas.openxmlformats.org/officeDocument/2006/relationships/hyperlink" Target="https://zakon.rada.gov.ua/laws/show/1797-19" TargetMode="External"/><Relationship Id="rId3463" Type="http://schemas.openxmlformats.org/officeDocument/2006/relationships/hyperlink" Target="https://zakon.rada.gov.ua/laws/show/2755-17/print" TargetMode="External"/><Relationship Id="rId4307" Type="http://schemas.openxmlformats.org/officeDocument/2006/relationships/hyperlink" Target="https://zakon.rada.gov.ua/laws/show/1797-19" TargetMode="External"/><Relationship Id="rId4861" Type="http://schemas.openxmlformats.org/officeDocument/2006/relationships/hyperlink" Target="https://zakon.rada.gov.ua/laws/show/5083-17" TargetMode="External"/><Relationship Id="rId5705" Type="http://schemas.openxmlformats.org/officeDocument/2006/relationships/hyperlink" Target="https://zakon.rada.gov.ua/laws/show/2755-17/print" TargetMode="External"/><Relationship Id="rId5912" Type="http://schemas.openxmlformats.org/officeDocument/2006/relationships/hyperlink" Target="https://zakon.rada.gov.ua/laws/show/2755-17/print" TargetMode="External"/><Relationship Id="rId177" Type="http://schemas.openxmlformats.org/officeDocument/2006/relationships/hyperlink" Target="https://zakon.rada.gov.ua/laws/show/909-19" TargetMode="External"/><Relationship Id="rId384" Type="http://schemas.openxmlformats.org/officeDocument/2006/relationships/hyperlink" Target="https://zakon.rada.gov.ua/laws/show/2611-19" TargetMode="External"/><Relationship Id="rId591" Type="http://schemas.openxmlformats.org/officeDocument/2006/relationships/hyperlink" Target="https://zakon.rada.gov.ua/laws/show/4495-17" TargetMode="External"/><Relationship Id="rId2065" Type="http://schemas.openxmlformats.org/officeDocument/2006/relationships/hyperlink" Target="https://zakon.rada.gov.ua/laws/show/2245-19" TargetMode="External"/><Relationship Id="rId2272" Type="http://schemas.openxmlformats.org/officeDocument/2006/relationships/hyperlink" Target="https://zakon.rada.gov.ua/laws/show/482-19" TargetMode="External"/><Relationship Id="rId3116" Type="http://schemas.openxmlformats.org/officeDocument/2006/relationships/hyperlink" Target="https://zakon.rada.gov.ua/laws/show/5083-17" TargetMode="External"/><Relationship Id="rId3670" Type="http://schemas.openxmlformats.org/officeDocument/2006/relationships/hyperlink" Target="https://zakon.rada.gov.ua/laws/show/391-20" TargetMode="External"/><Relationship Id="rId4514" Type="http://schemas.openxmlformats.org/officeDocument/2006/relationships/hyperlink" Target="https://zakon.rada.gov.ua/laws/show/909-19" TargetMode="External"/><Relationship Id="rId4721" Type="http://schemas.openxmlformats.org/officeDocument/2006/relationships/hyperlink" Target="https://zakon.rada.gov.ua/laws/show/5083-17" TargetMode="External"/><Relationship Id="rId244" Type="http://schemas.openxmlformats.org/officeDocument/2006/relationships/hyperlink" Target="https://zakon.rada.gov.ua/laws/show/2456-17" TargetMode="External"/><Relationship Id="rId1081" Type="http://schemas.openxmlformats.org/officeDocument/2006/relationships/hyperlink" Target="https://zakon.rada.gov.ua/laws/show/2755-17/print" TargetMode="External"/><Relationship Id="rId3323" Type="http://schemas.openxmlformats.org/officeDocument/2006/relationships/hyperlink" Target="https://zakon.rada.gov.ua/laws/show/909-19" TargetMode="External"/><Relationship Id="rId3530" Type="http://schemas.openxmlformats.org/officeDocument/2006/relationships/hyperlink" Target="https://zakon.rada.gov.ua/laws/show/2755-17/print" TargetMode="External"/><Relationship Id="rId451" Type="http://schemas.openxmlformats.org/officeDocument/2006/relationships/hyperlink" Target="https://zakon.rada.gov.ua/laws/show/909-19" TargetMode="External"/><Relationship Id="rId2132" Type="http://schemas.openxmlformats.org/officeDocument/2006/relationships/hyperlink" Target="https://zakon.rada.gov.ua/laws/show/2755-17/print" TargetMode="External"/><Relationship Id="rId5288" Type="http://schemas.openxmlformats.org/officeDocument/2006/relationships/hyperlink" Target="https://zakon.rada.gov.ua/laws/show/71-19" TargetMode="External"/><Relationship Id="rId5495" Type="http://schemas.openxmlformats.org/officeDocument/2006/relationships/hyperlink" Target="https://zakon.rada.gov.ua/laws/show/2755-17/print" TargetMode="External"/><Relationship Id="rId104" Type="http://schemas.openxmlformats.org/officeDocument/2006/relationships/hyperlink" Target="https://zakon.rada.gov.ua/laws/show/702-19" TargetMode="External"/><Relationship Id="rId311" Type="http://schemas.openxmlformats.org/officeDocument/2006/relationships/hyperlink" Target="https://zakon.rada.gov.ua/laws/show/71-19" TargetMode="External"/><Relationship Id="rId1898" Type="http://schemas.openxmlformats.org/officeDocument/2006/relationships/hyperlink" Target="https://zakon.rada.gov.ua/laws/show/657-18" TargetMode="External"/><Relationship Id="rId2949" Type="http://schemas.openxmlformats.org/officeDocument/2006/relationships/hyperlink" Target="https://zakon.rada.gov.ua/laws/show/71-19" TargetMode="External"/><Relationship Id="rId4097" Type="http://schemas.openxmlformats.org/officeDocument/2006/relationships/hyperlink" Target="https://zakon.rada.gov.ua/laws/show/2755-17/print" TargetMode="External"/><Relationship Id="rId5148" Type="http://schemas.openxmlformats.org/officeDocument/2006/relationships/hyperlink" Target="https://zakon.rada.gov.ua/laws/show/2755-17/print" TargetMode="External"/><Relationship Id="rId5355" Type="http://schemas.openxmlformats.org/officeDocument/2006/relationships/hyperlink" Target="https://zakon.rada.gov.ua/laws/show/3609-17" TargetMode="External"/><Relationship Id="rId5562" Type="http://schemas.openxmlformats.org/officeDocument/2006/relationships/hyperlink" Target="https://zakon.rada.gov.ua/laws/show/643-19" TargetMode="External"/><Relationship Id="rId1758" Type="http://schemas.openxmlformats.org/officeDocument/2006/relationships/hyperlink" Target="https://zakon.rada.gov.ua/laws/show/71-19" TargetMode="External"/><Relationship Id="rId2809" Type="http://schemas.openxmlformats.org/officeDocument/2006/relationships/hyperlink" Target="https://zakon.rada.gov.ua/laws/show/2628-19" TargetMode="External"/><Relationship Id="rId4164" Type="http://schemas.openxmlformats.org/officeDocument/2006/relationships/hyperlink" Target="https://zakon.rada.gov.ua/laws/show/1638-18" TargetMode="External"/><Relationship Id="rId4371" Type="http://schemas.openxmlformats.org/officeDocument/2006/relationships/hyperlink" Target="https://zakon.rada.gov.ua/laws/show/2755-17/print" TargetMode="External"/><Relationship Id="rId5008" Type="http://schemas.openxmlformats.org/officeDocument/2006/relationships/hyperlink" Target="https://zakon.rada.gov.ua/laws/show/5503-17" TargetMode="External"/><Relationship Id="rId5215" Type="http://schemas.openxmlformats.org/officeDocument/2006/relationships/hyperlink" Target="https://zakon.rada.gov.ua/laws/show/404-18" TargetMode="External"/><Relationship Id="rId5422" Type="http://schemas.openxmlformats.org/officeDocument/2006/relationships/hyperlink" Target="https://zakon.rada.gov.ua/laws/show/284-2013-%D0%BF" TargetMode="External"/><Relationship Id="rId1965" Type="http://schemas.openxmlformats.org/officeDocument/2006/relationships/hyperlink" Target="https://zakon.rada.gov.ua/laws/show/2755-17/print" TargetMode="External"/><Relationship Id="rId3180" Type="http://schemas.openxmlformats.org/officeDocument/2006/relationships/hyperlink" Target="https://zakon.rada.gov.ua/laws/show/2755-17/print" TargetMode="External"/><Relationship Id="rId4024" Type="http://schemas.openxmlformats.org/officeDocument/2006/relationships/hyperlink" Target="https://zakon.rada.gov.ua/laws/show/71-19" TargetMode="External"/><Relationship Id="rId4231" Type="http://schemas.openxmlformats.org/officeDocument/2006/relationships/hyperlink" Target="https://zakon.rada.gov.ua/laws/show/2628-19" TargetMode="External"/><Relationship Id="rId1618" Type="http://schemas.openxmlformats.org/officeDocument/2006/relationships/hyperlink" Target="https://zakon.rada.gov.ua/laws/show/1797-19" TargetMode="External"/><Relationship Id="rId1825" Type="http://schemas.openxmlformats.org/officeDocument/2006/relationships/hyperlink" Target="https://zakon.rada.gov.ua/laws/show/1797-19" TargetMode="External"/><Relationship Id="rId3040" Type="http://schemas.openxmlformats.org/officeDocument/2006/relationships/hyperlink" Target="https://zakon.rada.gov.ua/laws/show/1621-18" TargetMode="External"/><Relationship Id="rId6196" Type="http://schemas.openxmlformats.org/officeDocument/2006/relationships/hyperlink" Target="https://zakon.rada.gov.ua/laws/show/71-19" TargetMode="External"/><Relationship Id="rId3997" Type="http://schemas.openxmlformats.org/officeDocument/2006/relationships/hyperlink" Target="https://zakon.rada.gov.ua/laws/show/2628-19" TargetMode="External"/><Relationship Id="rId6056" Type="http://schemas.openxmlformats.org/officeDocument/2006/relationships/hyperlink" Target="https://zakon.rada.gov.ua/laws/show/2755-17/print" TargetMode="External"/><Relationship Id="rId2599" Type="http://schemas.openxmlformats.org/officeDocument/2006/relationships/hyperlink" Target="https://zakon.rada.gov.ua/laws/show/1166-18" TargetMode="External"/><Relationship Id="rId3857" Type="http://schemas.openxmlformats.org/officeDocument/2006/relationships/hyperlink" Target="https://zakon.rada.gov.ua/laws/show/2755-17/print" TargetMode="External"/><Relationship Id="rId4908" Type="http://schemas.openxmlformats.org/officeDocument/2006/relationships/hyperlink" Target="https://zakon.rada.gov.ua/laws/show/71-19" TargetMode="External"/><Relationship Id="rId6263" Type="http://schemas.openxmlformats.org/officeDocument/2006/relationships/hyperlink" Target="https://zakon.rada.gov.ua/laws/show/2245-19" TargetMode="External"/><Relationship Id="rId778" Type="http://schemas.openxmlformats.org/officeDocument/2006/relationships/hyperlink" Target="https://zakon.rada.gov.ua/laws/show/2245-19" TargetMode="External"/><Relationship Id="rId985" Type="http://schemas.openxmlformats.org/officeDocument/2006/relationships/hyperlink" Target="https://zakon.rada.gov.ua/laws/show/4915-17" TargetMode="External"/><Relationship Id="rId2459" Type="http://schemas.openxmlformats.org/officeDocument/2006/relationships/hyperlink" Target="https://zakon.rada.gov.ua/laws/show/4661-17" TargetMode="External"/><Relationship Id="rId2666" Type="http://schemas.openxmlformats.org/officeDocument/2006/relationships/hyperlink" Target="https://zakon.rada.gov.ua/laws/show/80/94-%D0%B2%D1%80" TargetMode="External"/><Relationship Id="rId2873" Type="http://schemas.openxmlformats.org/officeDocument/2006/relationships/hyperlink" Target="https://zakon.rada.gov.ua/laws/show/z1456-14" TargetMode="External"/><Relationship Id="rId3717" Type="http://schemas.openxmlformats.org/officeDocument/2006/relationships/hyperlink" Target="https://zakon.rada.gov.ua/laws/show/909-19" TargetMode="External"/><Relationship Id="rId3924" Type="http://schemas.openxmlformats.org/officeDocument/2006/relationships/hyperlink" Target="https://zakon.rada.gov.ua/laws/show/2755-17/print" TargetMode="External"/><Relationship Id="rId5072" Type="http://schemas.openxmlformats.org/officeDocument/2006/relationships/hyperlink" Target="https://zakon.rada.gov.ua/laws/show/2497-19" TargetMode="External"/><Relationship Id="rId6123" Type="http://schemas.openxmlformats.org/officeDocument/2006/relationships/hyperlink" Target="https://zakon.rada.gov.ua/laws/show/5213-17" TargetMode="External"/><Relationship Id="rId638" Type="http://schemas.openxmlformats.org/officeDocument/2006/relationships/hyperlink" Target="https://zakon.rada.gov.ua/laws/show/1797-19" TargetMode="External"/><Relationship Id="rId845" Type="http://schemas.openxmlformats.org/officeDocument/2006/relationships/hyperlink" Target="https://zakon.rada.gov.ua/laws/show/2628-19" TargetMode="External"/><Relationship Id="rId1268" Type="http://schemas.openxmlformats.org/officeDocument/2006/relationships/hyperlink" Target="https://zakon.rada.gov.ua/laws/show/2245-19" TargetMode="External"/><Relationship Id="rId1475" Type="http://schemas.openxmlformats.org/officeDocument/2006/relationships/hyperlink" Target="https://zakon.rada.gov.ua/laws/show/71-19" TargetMode="External"/><Relationship Id="rId1682" Type="http://schemas.openxmlformats.org/officeDocument/2006/relationships/hyperlink" Target="https://zakon.rada.gov.ua/laws/show/5412-17" TargetMode="External"/><Relationship Id="rId2319" Type="http://schemas.openxmlformats.org/officeDocument/2006/relationships/hyperlink" Target="https://zakon.rada.gov.ua/laws/show/1791-19" TargetMode="External"/><Relationship Id="rId2526" Type="http://schemas.openxmlformats.org/officeDocument/2006/relationships/hyperlink" Target="https://zakon.rada.gov.ua/laws/show/1797-19" TargetMode="External"/><Relationship Id="rId2733" Type="http://schemas.openxmlformats.org/officeDocument/2006/relationships/hyperlink" Target="https://zakon.rada.gov.ua/laws/show/3221-17" TargetMode="External"/><Relationship Id="rId5889" Type="http://schemas.openxmlformats.org/officeDocument/2006/relationships/hyperlink" Target="https://zakon.rada.gov.ua/laws/show/2755-17/print" TargetMode="External"/><Relationship Id="rId705" Type="http://schemas.openxmlformats.org/officeDocument/2006/relationships/hyperlink" Target="https://zakon.rada.gov.ua/laws/show/2245-19" TargetMode="External"/><Relationship Id="rId1128" Type="http://schemas.openxmlformats.org/officeDocument/2006/relationships/hyperlink" Target="https://zakon.rada.gov.ua/laws/show/2725-19" TargetMode="External"/><Relationship Id="rId1335" Type="http://schemas.openxmlformats.org/officeDocument/2006/relationships/hyperlink" Target="https://zakon.rada.gov.ua/laws/show/1797-19" TargetMode="External"/><Relationship Id="rId1542" Type="http://schemas.openxmlformats.org/officeDocument/2006/relationships/hyperlink" Target="https://zakon.rada.gov.ua/laws/show/2755-17/print" TargetMode="External"/><Relationship Id="rId2940" Type="http://schemas.openxmlformats.org/officeDocument/2006/relationships/hyperlink" Target="https://zakon.rada.gov.ua/laws/show/2628-19" TargetMode="External"/><Relationship Id="rId4698" Type="http://schemas.openxmlformats.org/officeDocument/2006/relationships/hyperlink" Target="https://zakon.rada.gov.ua/laws/show/1791-19" TargetMode="External"/><Relationship Id="rId5749" Type="http://schemas.openxmlformats.org/officeDocument/2006/relationships/hyperlink" Target="https://zakon.rada.gov.ua/laws/show/2755-17/print" TargetMode="External"/><Relationship Id="rId912" Type="http://schemas.openxmlformats.org/officeDocument/2006/relationships/hyperlink" Target="https://zakon.rada.gov.ua/laws/show/1797-19" TargetMode="External"/><Relationship Id="rId2800" Type="http://schemas.openxmlformats.org/officeDocument/2006/relationships/hyperlink" Target="https://zakon.rada.gov.ua/laws/show/4495-17" TargetMode="External"/><Relationship Id="rId5956" Type="http://schemas.openxmlformats.org/officeDocument/2006/relationships/hyperlink" Target="https://zakon.rada.gov.ua/laws/show/2371%D0%B3-14" TargetMode="External"/><Relationship Id="rId41" Type="http://schemas.openxmlformats.org/officeDocument/2006/relationships/hyperlink" Target="https://zakon.rada.gov.ua/laws/show/5413-17" TargetMode="External"/><Relationship Id="rId1402" Type="http://schemas.openxmlformats.org/officeDocument/2006/relationships/hyperlink" Target="https://zakon.rada.gov.ua/laws/show/1386-2011-%D0%BF" TargetMode="External"/><Relationship Id="rId4558" Type="http://schemas.openxmlformats.org/officeDocument/2006/relationships/hyperlink" Target="https://zakon.rada.gov.ua/laws/show/909-19" TargetMode="External"/><Relationship Id="rId4765" Type="http://schemas.openxmlformats.org/officeDocument/2006/relationships/hyperlink" Target="https://zakon.rada.gov.ua/laws/show/1797-19" TargetMode="External"/><Relationship Id="rId4972" Type="http://schemas.openxmlformats.org/officeDocument/2006/relationships/hyperlink" Target="https://zakon.rada.gov.ua/laws/show/2755-17/print" TargetMode="External"/><Relationship Id="rId5609" Type="http://schemas.openxmlformats.org/officeDocument/2006/relationships/hyperlink" Target="https://zakon.rada.gov.ua/laws/show/1877-15" TargetMode="External"/><Relationship Id="rId5816" Type="http://schemas.openxmlformats.org/officeDocument/2006/relationships/hyperlink" Target="https://zakon.rada.gov.ua/laws/show/3609-17" TargetMode="External"/><Relationship Id="rId288" Type="http://schemas.openxmlformats.org/officeDocument/2006/relationships/hyperlink" Target="https://zakon.rada.gov.ua/laws/show/2755-17/print" TargetMode="External"/><Relationship Id="rId3367" Type="http://schemas.openxmlformats.org/officeDocument/2006/relationships/hyperlink" Target="https://zakon.rada.gov.ua/laws/show/2755-17/print" TargetMode="External"/><Relationship Id="rId3574" Type="http://schemas.openxmlformats.org/officeDocument/2006/relationships/hyperlink" Target="https://zakon.rada.gov.ua/laws/show/4495-17" TargetMode="External"/><Relationship Id="rId3781" Type="http://schemas.openxmlformats.org/officeDocument/2006/relationships/hyperlink" Target="https://zakon.rada.gov.ua/laws/show/2245-19" TargetMode="External"/><Relationship Id="rId4418" Type="http://schemas.openxmlformats.org/officeDocument/2006/relationships/hyperlink" Target="https://zakon.rada.gov.ua/laws/show/909-19" TargetMode="External"/><Relationship Id="rId4625" Type="http://schemas.openxmlformats.org/officeDocument/2006/relationships/hyperlink" Target="https://zakon.rada.gov.ua/laws/show/909-19" TargetMode="External"/><Relationship Id="rId4832" Type="http://schemas.openxmlformats.org/officeDocument/2006/relationships/hyperlink" Target="https://zakon.rada.gov.ua/laws/show/4834-17" TargetMode="External"/><Relationship Id="rId495" Type="http://schemas.openxmlformats.org/officeDocument/2006/relationships/hyperlink" Target="https://zakon.rada.gov.ua/laws/show/2755-17/print" TargetMode="External"/><Relationship Id="rId2176" Type="http://schemas.openxmlformats.org/officeDocument/2006/relationships/hyperlink" Target="https://zakon.rada.gov.ua/laws/show/2245-19" TargetMode="External"/><Relationship Id="rId2383" Type="http://schemas.openxmlformats.org/officeDocument/2006/relationships/hyperlink" Target="https://zakon.rada.gov.ua/laws/show/3609-17" TargetMode="External"/><Relationship Id="rId2590" Type="http://schemas.openxmlformats.org/officeDocument/2006/relationships/hyperlink" Target="https://zakon.rada.gov.ua/laws/show/71-19" TargetMode="External"/><Relationship Id="rId3227" Type="http://schemas.openxmlformats.org/officeDocument/2006/relationships/hyperlink" Target="https://zakon.rada.gov.ua/laws/show/3609-17" TargetMode="External"/><Relationship Id="rId3434" Type="http://schemas.openxmlformats.org/officeDocument/2006/relationships/hyperlink" Target="https://zakon.rada.gov.ua/laws/show/z0137-16" TargetMode="External"/><Relationship Id="rId3641" Type="http://schemas.openxmlformats.org/officeDocument/2006/relationships/hyperlink" Target="https://zakon.rada.gov.ua/laws/show/va375202-05" TargetMode="External"/><Relationship Id="rId148" Type="http://schemas.openxmlformats.org/officeDocument/2006/relationships/hyperlink" Target="https://zakon.rada.gov.ua/laws/show/732-18" TargetMode="External"/><Relationship Id="rId355" Type="http://schemas.openxmlformats.org/officeDocument/2006/relationships/hyperlink" Target="https://zakon.rada.gov.ua/laws/show/3609-17" TargetMode="External"/><Relationship Id="rId562" Type="http://schemas.openxmlformats.org/officeDocument/2006/relationships/hyperlink" Target="https://zakon.rada.gov.ua/laws/show/2245-19" TargetMode="External"/><Relationship Id="rId1192" Type="http://schemas.openxmlformats.org/officeDocument/2006/relationships/hyperlink" Target="https://zakon.rada.gov.ua/laws/show/3609-17" TargetMode="External"/><Relationship Id="rId2036" Type="http://schemas.openxmlformats.org/officeDocument/2006/relationships/hyperlink" Target="https://zakon.rada.gov.ua/laws/show/2755-17/print" TargetMode="External"/><Relationship Id="rId2243" Type="http://schemas.openxmlformats.org/officeDocument/2006/relationships/hyperlink" Target="https://zakon.rada.gov.ua/laws/show/2755-17/print" TargetMode="External"/><Relationship Id="rId2450" Type="http://schemas.openxmlformats.org/officeDocument/2006/relationships/hyperlink" Target="https://zakon.rada.gov.ua/laws/show/2755-17/print" TargetMode="External"/><Relationship Id="rId3501" Type="http://schemas.openxmlformats.org/officeDocument/2006/relationships/hyperlink" Target="https://zakon.rada.gov.ua/laws/show/1621-18" TargetMode="External"/><Relationship Id="rId5399" Type="http://schemas.openxmlformats.org/officeDocument/2006/relationships/hyperlink" Target="https://zakon.rada.gov.ua/laws/show/3675-17" TargetMode="External"/><Relationship Id="rId215" Type="http://schemas.openxmlformats.org/officeDocument/2006/relationships/hyperlink" Target="https://zakon.rada.gov.ua/laws/show/71-19" TargetMode="External"/><Relationship Id="rId422" Type="http://schemas.openxmlformats.org/officeDocument/2006/relationships/hyperlink" Target="https://zakon.rada.gov.ua/laws/show/5503-17" TargetMode="External"/><Relationship Id="rId1052" Type="http://schemas.openxmlformats.org/officeDocument/2006/relationships/hyperlink" Target="https://zakon.rada.gov.ua/laws/show/71-19" TargetMode="External"/><Relationship Id="rId2103" Type="http://schemas.openxmlformats.org/officeDocument/2006/relationships/hyperlink" Target="https://zakon.rada.gov.ua/laws/show/2628-19" TargetMode="External"/><Relationship Id="rId2310" Type="http://schemas.openxmlformats.org/officeDocument/2006/relationships/hyperlink" Target="https://zakon.rada.gov.ua/laws/show/2628-19" TargetMode="External"/><Relationship Id="rId5259" Type="http://schemas.openxmlformats.org/officeDocument/2006/relationships/hyperlink" Target="https://zakon.rada.gov.ua/laws/show/254%D0%BA/96-%D0%B2%D1%80" TargetMode="External"/><Relationship Id="rId5466" Type="http://schemas.openxmlformats.org/officeDocument/2006/relationships/hyperlink" Target="https://zakon.rada.gov.ua/laws/show/584-18" TargetMode="External"/><Relationship Id="rId5673" Type="http://schemas.openxmlformats.org/officeDocument/2006/relationships/hyperlink" Target="https://zakon.rada.gov.ua/laws/show/2755-17/print" TargetMode="External"/><Relationship Id="rId4068" Type="http://schemas.openxmlformats.org/officeDocument/2006/relationships/hyperlink" Target="https://zakon.rada.gov.ua/laws/show/2755-17/print" TargetMode="External"/><Relationship Id="rId4275" Type="http://schemas.openxmlformats.org/officeDocument/2006/relationships/hyperlink" Target="https://zakon.rada.gov.ua/laws/show/2628-19" TargetMode="External"/><Relationship Id="rId4482" Type="http://schemas.openxmlformats.org/officeDocument/2006/relationships/hyperlink" Target="https://zakon.rada.gov.ua/laws/show/1797-19" TargetMode="External"/><Relationship Id="rId5119" Type="http://schemas.openxmlformats.org/officeDocument/2006/relationships/hyperlink" Target="https://zakon.rada.gov.ua/laws/show/5412-17" TargetMode="External"/><Relationship Id="rId5326" Type="http://schemas.openxmlformats.org/officeDocument/2006/relationships/hyperlink" Target="https://zakon.rada.gov.ua/laws/show/4268-17" TargetMode="External"/><Relationship Id="rId5880" Type="http://schemas.openxmlformats.org/officeDocument/2006/relationships/hyperlink" Target="https://zakon.rada.gov.ua/laws/show/2245-19" TargetMode="External"/><Relationship Id="rId1869" Type="http://schemas.openxmlformats.org/officeDocument/2006/relationships/hyperlink" Target="https://zakon.rada.gov.ua/laws/show/4834-17" TargetMode="External"/><Relationship Id="rId3084" Type="http://schemas.openxmlformats.org/officeDocument/2006/relationships/hyperlink" Target="https://zakon.rada.gov.ua/laws/show/5073-17" TargetMode="External"/><Relationship Id="rId3291" Type="http://schemas.openxmlformats.org/officeDocument/2006/relationships/hyperlink" Target="https://zakon.rada.gov.ua/laws/show/1797-19" TargetMode="External"/><Relationship Id="rId4135" Type="http://schemas.openxmlformats.org/officeDocument/2006/relationships/hyperlink" Target="https://zakon.rada.gov.ua/laws/show/909-19" TargetMode="External"/><Relationship Id="rId5533" Type="http://schemas.openxmlformats.org/officeDocument/2006/relationships/hyperlink" Target="https://zakon.rada.gov.ua/laws/show/996-14" TargetMode="External"/><Relationship Id="rId5740" Type="http://schemas.openxmlformats.org/officeDocument/2006/relationships/hyperlink" Target="https://zakon.rada.gov.ua/laws/show/3609-17" TargetMode="External"/><Relationship Id="rId1729" Type="http://schemas.openxmlformats.org/officeDocument/2006/relationships/hyperlink" Target="https://zakon.rada.gov.ua/laws/show/2755-17/print" TargetMode="External"/><Relationship Id="rId1936" Type="http://schemas.openxmlformats.org/officeDocument/2006/relationships/hyperlink" Target="https://zakon.rada.gov.ua/laws/show/2755-17/print" TargetMode="External"/><Relationship Id="rId4342" Type="http://schemas.openxmlformats.org/officeDocument/2006/relationships/hyperlink" Target="https://zakon.rada.gov.ua/laws/show/584%D0%B0-18" TargetMode="External"/><Relationship Id="rId5600" Type="http://schemas.openxmlformats.org/officeDocument/2006/relationships/hyperlink" Target="https://zakon.rada.gov.ua/laws/show/1791-19" TargetMode="External"/><Relationship Id="rId3151" Type="http://schemas.openxmlformats.org/officeDocument/2006/relationships/hyperlink" Target="https://zakon.rada.gov.ua/laws/show/71-19" TargetMode="External"/><Relationship Id="rId4202" Type="http://schemas.openxmlformats.org/officeDocument/2006/relationships/hyperlink" Target="https://zakon.rada.gov.ua/laws/show/2628-19" TargetMode="External"/><Relationship Id="rId3011" Type="http://schemas.openxmlformats.org/officeDocument/2006/relationships/hyperlink" Target="https://zakon.rada.gov.ua/laws/show/z0137-16" TargetMode="External"/><Relationship Id="rId3968" Type="http://schemas.openxmlformats.org/officeDocument/2006/relationships/hyperlink" Target="https://zakon.rada.gov.ua/laws/show/2628-19" TargetMode="External"/><Relationship Id="rId6167" Type="http://schemas.openxmlformats.org/officeDocument/2006/relationships/hyperlink" Target="https://zakon.rada.gov.ua/laws/show/5515-17" TargetMode="External"/><Relationship Id="rId5" Type="http://schemas.openxmlformats.org/officeDocument/2006/relationships/hyperlink" Target="https://zakon.rada.gov.ua/laws/show/2856-17" TargetMode="External"/><Relationship Id="rId889" Type="http://schemas.openxmlformats.org/officeDocument/2006/relationships/hyperlink" Target="https://zakon.rada.gov.ua/laws/show/2755-17/print" TargetMode="External"/><Relationship Id="rId2777" Type="http://schemas.openxmlformats.org/officeDocument/2006/relationships/hyperlink" Target="https://zakon.rada.gov.ua/laws/show/2755-17/print" TargetMode="External"/><Relationship Id="rId5183" Type="http://schemas.openxmlformats.org/officeDocument/2006/relationships/hyperlink" Target="https://zakon.rada.gov.ua/laws/show/076_009" TargetMode="External"/><Relationship Id="rId5390" Type="http://schemas.openxmlformats.org/officeDocument/2006/relationships/hyperlink" Target="https://zakon.rada.gov.ua/laws/show/713-18" TargetMode="External"/><Relationship Id="rId6027" Type="http://schemas.openxmlformats.org/officeDocument/2006/relationships/hyperlink" Target="https://zakon.rada.gov.ua/laws/show/2628-19" TargetMode="External"/><Relationship Id="rId6234" Type="http://schemas.openxmlformats.org/officeDocument/2006/relationships/hyperlink" Target="https://zakon.rada.gov.ua/laws/show/2755-17/print" TargetMode="External"/><Relationship Id="rId749" Type="http://schemas.openxmlformats.org/officeDocument/2006/relationships/hyperlink" Target="https://zakon.rada.gov.ua/laws/show/609-19" TargetMode="External"/><Relationship Id="rId1379" Type="http://schemas.openxmlformats.org/officeDocument/2006/relationships/hyperlink" Target="https://zakon.rada.gov.ua/laws/show/1797-19" TargetMode="External"/><Relationship Id="rId1586" Type="http://schemas.openxmlformats.org/officeDocument/2006/relationships/hyperlink" Target="https://zakon.rada.gov.ua/laws/show/1797-19" TargetMode="External"/><Relationship Id="rId2984" Type="http://schemas.openxmlformats.org/officeDocument/2006/relationships/hyperlink" Target="https://zakon.rada.gov.ua/laws/show/909-19" TargetMode="External"/><Relationship Id="rId3828" Type="http://schemas.openxmlformats.org/officeDocument/2006/relationships/hyperlink" Target="https://zakon.rada.gov.ua/laws/show/909-19" TargetMode="External"/><Relationship Id="rId5043" Type="http://schemas.openxmlformats.org/officeDocument/2006/relationships/hyperlink" Target="https://zakon.rada.gov.ua/laws/show/657-18" TargetMode="External"/><Relationship Id="rId5250" Type="http://schemas.openxmlformats.org/officeDocument/2006/relationships/hyperlink" Target="https://zakon.rada.gov.ua/laws/show/404-18" TargetMode="External"/><Relationship Id="rId6301" Type="http://schemas.openxmlformats.org/officeDocument/2006/relationships/hyperlink" Target="https://zakon.rada.gov.ua/laws/show/354-20" TargetMode="External"/><Relationship Id="rId609" Type="http://schemas.openxmlformats.org/officeDocument/2006/relationships/hyperlink" Target="https://zakon.rada.gov.ua/laws/show/2755-17/print" TargetMode="External"/><Relationship Id="rId956" Type="http://schemas.openxmlformats.org/officeDocument/2006/relationships/hyperlink" Target="https://zakon.rada.gov.ua/laws/show/2245-19" TargetMode="External"/><Relationship Id="rId1239" Type="http://schemas.openxmlformats.org/officeDocument/2006/relationships/hyperlink" Target="https://zakon.rada.gov.ua/laws/show/404-18" TargetMode="External"/><Relationship Id="rId1793" Type="http://schemas.openxmlformats.org/officeDocument/2006/relationships/hyperlink" Target="https://zakon.rada.gov.ua/laws/show/4834-17" TargetMode="External"/><Relationship Id="rId2637" Type="http://schemas.openxmlformats.org/officeDocument/2006/relationships/hyperlink" Target="https://zakon.rada.gov.ua/laws/show/3609-17" TargetMode="External"/><Relationship Id="rId2844" Type="http://schemas.openxmlformats.org/officeDocument/2006/relationships/hyperlink" Target="https://zakon.rada.gov.ua/laws/show/4834-17" TargetMode="External"/><Relationship Id="rId5110" Type="http://schemas.openxmlformats.org/officeDocument/2006/relationships/hyperlink" Target="https://zakon.rada.gov.ua/laws/show/2755-17/print" TargetMode="External"/><Relationship Id="rId85" Type="http://schemas.openxmlformats.org/officeDocument/2006/relationships/hyperlink" Target="https://zakon.rada.gov.ua/laws/show/263-19" TargetMode="External"/><Relationship Id="rId816" Type="http://schemas.openxmlformats.org/officeDocument/2006/relationships/hyperlink" Target="https://zakon.rada.gov.ua/laws/show/1797-19" TargetMode="External"/><Relationship Id="rId1446" Type="http://schemas.openxmlformats.org/officeDocument/2006/relationships/hyperlink" Target="https://zakon.rada.gov.ua/laws/show/404-18" TargetMode="External"/><Relationship Id="rId1653" Type="http://schemas.openxmlformats.org/officeDocument/2006/relationships/hyperlink" Target="https://zakon.rada.gov.ua/laws/show/2245-19" TargetMode="External"/><Relationship Id="rId1860" Type="http://schemas.openxmlformats.org/officeDocument/2006/relationships/hyperlink" Target="https://zakon.rada.gov.ua/laws/show/1797-19" TargetMode="External"/><Relationship Id="rId2704" Type="http://schemas.openxmlformats.org/officeDocument/2006/relationships/hyperlink" Target="https://zakon.rada.gov.ua/laws/show/1910-19" TargetMode="External"/><Relationship Id="rId2911" Type="http://schemas.openxmlformats.org/officeDocument/2006/relationships/hyperlink" Target="https://zakon.rada.gov.ua/laws/show/4834-17" TargetMode="External"/><Relationship Id="rId1306" Type="http://schemas.openxmlformats.org/officeDocument/2006/relationships/hyperlink" Target="https://zakon.rada.gov.ua/laws/show/z0902-17" TargetMode="External"/><Relationship Id="rId1513" Type="http://schemas.openxmlformats.org/officeDocument/2006/relationships/hyperlink" Target="https://zakon.rada.gov.ua/laws/show/1797-19" TargetMode="External"/><Relationship Id="rId1720" Type="http://schemas.openxmlformats.org/officeDocument/2006/relationships/hyperlink" Target="https://zakon.rada.gov.ua/laws/show/4834-17" TargetMode="External"/><Relationship Id="rId4669" Type="http://schemas.openxmlformats.org/officeDocument/2006/relationships/hyperlink" Target="https://zakon.rada.gov.ua/laws/show/71-19" TargetMode="External"/><Relationship Id="rId4876" Type="http://schemas.openxmlformats.org/officeDocument/2006/relationships/hyperlink" Target="https://zakon.rada.gov.ua/laws/show/5083-17" TargetMode="External"/><Relationship Id="rId5927" Type="http://schemas.openxmlformats.org/officeDocument/2006/relationships/hyperlink" Target="https://zakon.rada.gov.ua/laws/show/1166-18" TargetMode="External"/><Relationship Id="rId12" Type="http://schemas.openxmlformats.org/officeDocument/2006/relationships/hyperlink" Target="https://zakon.rada.gov.ua/laws/show/3610-17" TargetMode="External"/><Relationship Id="rId3478" Type="http://schemas.openxmlformats.org/officeDocument/2006/relationships/hyperlink" Target="https://zakon.rada.gov.ua/laws/show/909-19" TargetMode="External"/><Relationship Id="rId3685" Type="http://schemas.openxmlformats.org/officeDocument/2006/relationships/hyperlink" Target="https://zakon.rada.gov.ua/laws/show/71-19" TargetMode="External"/><Relationship Id="rId3892" Type="http://schemas.openxmlformats.org/officeDocument/2006/relationships/hyperlink" Target="https://zakon.rada.gov.ua/laws/show/5083-17" TargetMode="External"/><Relationship Id="rId4529" Type="http://schemas.openxmlformats.org/officeDocument/2006/relationships/hyperlink" Target="https://zakon.rada.gov.ua/laws/show/909-19" TargetMode="External"/><Relationship Id="rId4736" Type="http://schemas.openxmlformats.org/officeDocument/2006/relationships/hyperlink" Target="https://zakon.rada.gov.ua/laws/show/71-19" TargetMode="External"/><Relationship Id="rId4943" Type="http://schemas.openxmlformats.org/officeDocument/2006/relationships/hyperlink" Target="https://zakon.rada.gov.ua/laws/show/1797-19" TargetMode="External"/><Relationship Id="rId6091" Type="http://schemas.openxmlformats.org/officeDocument/2006/relationships/hyperlink" Target="https://zakon.rada.gov.ua/laws/show/2755-17/print" TargetMode="External"/><Relationship Id="rId399" Type="http://schemas.openxmlformats.org/officeDocument/2006/relationships/hyperlink" Target="https://zakon.rada.gov.ua/laws/show/71-19" TargetMode="External"/><Relationship Id="rId2287" Type="http://schemas.openxmlformats.org/officeDocument/2006/relationships/hyperlink" Target="https://zakon.rada.gov.ua/laws/show/875-12" TargetMode="External"/><Relationship Id="rId2494" Type="http://schemas.openxmlformats.org/officeDocument/2006/relationships/hyperlink" Target="https://zakon.rada.gov.ua/laws/show/3609-17" TargetMode="External"/><Relationship Id="rId3338" Type="http://schemas.openxmlformats.org/officeDocument/2006/relationships/hyperlink" Target="https://zakon.rada.gov.ua/laws/show/909-19" TargetMode="External"/><Relationship Id="rId3545" Type="http://schemas.openxmlformats.org/officeDocument/2006/relationships/hyperlink" Target="https://zakon.rada.gov.ua/laws/show/4014-17" TargetMode="External"/><Relationship Id="rId3752" Type="http://schemas.openxmlformats.org/officeDocument/2006/relationships/hyperlink" Target="https://zakon.rada.gov.ua/laws/show/713-18" TargetMode="External"/><Relationship Id="rId259" Type="http://schemas.openxmlformats.org/officeDocument/2006/relationships/hyperlink" Target="https://zakon.rada.gov.ua/laws/show/1797-19" TargetMode="External"/><Relationship Id="rId466" Type="http://schemas.openxmlformats.org/officeDocument/2006/relationships/hyperlink" Target="https://zakon.rada.gov.ua/laws/show/2245-19" TargetMode="External"/><Relationship Id="rId673" Type="http://schemas.openxmlformats.org/officeDocument/2006/relationships/hyperlink" Target="https://zakon.rada.gov.ua/laws/show/2755-17/print" TargetMode="External"/><Relationship Id="rId880" Type="http://schemas.openxmlformats.org/officeDocument/2006/relationships/hyperlink" Target="https://zakon.rada.gov.ua/laws/show/609-19" TargetMode="External"/><Relationship Id="rId1096" Type="http://schemas.openxmlformats.org/officeDocument/2006/relationships/hyperlink" Target="https://zakon.rada.gov.ua/laws/show/5083-17" TargetMode="External"/><Relationship Id="rId2147" Type="http://schemas.openxmlformats.org/officeDocument/2006/relationships/hyperlink" Target="https://zakon.rada.gov.ua/laws/show/2755-17/print" TargetMode="External"/><Relationship Id="rId2354" Type="http://schemas.openxmlformats.org/officeDocument/2006/relationships/hyperlink" Target="https://zakon.rada.gov.ua/laws/show/1166-18" TargetMode="External"/><Relationship Id="rId2561" Type="http://schemas.openxmlformats.org/officeDocument/2006/relationships/hyperlink" Target="https://zakon.rada.gov.ua/laws/show/2755-17/print" TargetMode="External"/><Relationship Id="rId3405" Type="http://schemas.openxmlformats.org/officeDocument/2006/relationships/hyperlink" Target="https://zakon.rada.gov.ua/laws/show/643-19" TargetMode="External"/><Relationship Id="rId4803" Type="http://schemas.openxmlformats.org/officeDocument/2006/relationships/hyperlink" Target="https://zakon.rada.gov.ua/laws/show/71-19" TargetMode="External"/><Relationship Id="rId119" Type="http://schemas.openxmlformats.org/officeDocument/2006/relationships/hyperlink" Target="https://zakon.rada.gov.ua/laws/show/2143-19" TargetMode="External"/><Relationship Id="rId326" Type="http://schemas.openxmlformats.org/officeDocument/2006/relationships/hyperlink" Target="https://zakon.rada.gov.ua/laws/show/2755-17/print" TargetMode="External"/><Relationship Id="rId533" Type="http://schemas.openxmlformats.org/officeDocument/2006/relationships/hyperlink" Target="https://zakon.rada.gov.ua/laws/show/2628-19" TargetMode="External"/><Relationship Id="rId1163" Type="http://schemas.openxmlformats.org/officeDocument/2006/relationships/hyperlink" Target="https://zakon.rada.gov.ua/laws/show/2245-19" TargetMode="External"/><Relationship Id="rId1370" Type="http://schemas.openxmlformats.org/officeDocument/2006/relationships/hyperlink" Target="https://zakon.rada.gov.ua/laws/show/5083-17" TargetMode="External"/><Relationship Id="rId2007" Type="http://schemas.openxmlformats.org/officeDocument/2006/relationships/hyperlink" Target="https://zakon.rada.gov.ua/laws/show/z0137-16" TargetMode="External"/><Relationship Id="rId2214" Type="http://schemas.openxmlformats.org/officeDocument/2006/relationships/hyperlink" Target="https://zakon.rada.gov.ua/laws/show/1797-19" TargetMode="External"/><Relationship Id="rId3612" Type="http://schemas.openxmlformats.org/officeDocument/2006/relationships/hyperlink" Target="https://zakon.rada.gov.ua/laws/show/4834-17" TargetMode="External"/><Relationship Id="rId740" Type="http://schemas.openxmlformats.org/officeDocument/2006/relationships/hyperlink" Target="https://zakon.rada.gov.ua/laws/show/609-19" TargetMode="External"/><Relationship Id="rId1023" Type="http://schemas.openxmlformats.org/officeDocument/2006/relationships/hyperlink" Target="https://zakon.rada.gov.ua/laws/show/2725-19" TargetMode="External"/><Relationship Id="rId2421" Type="http://schemas.openxmlformats.org/officeDocument/2006/relationships/hyperlink" Target="https://zakon.rada.gov.ua/laws/show/2497-19" TargetMode="External"/><Relationship Id="rId4179" Type="http://schemas.openxmlformats.org/officeDocument/2006/relationships/hyperlink" Target="https://zakon.rada.gov.ua/laws/show/909-19" TargetMode="External"/><Relationship Id="rId5577" Type="http://schemas.openxmlformats.org/officeDocument/2006/relationships/hyperlink" Target="https://zakon.rada.gov.ua/laws/show/2628-19" TargetMode="External"/><Relationship Id="rId5784" Type="http://schemas.openxmlformats.org/officeDocument/2006/relationships/hyperlink" Target="https://zakon.rada.gov.ua/laws/show/3609-17" TargetMode="External"/><Relationship Id="rId5991" Type="http://schemas.openxmlformats.org/officeDocument/2006/relationships/hyperlink" Target="https://zakon.rada.gov.ua/laws/show/584%D0%B0-18" TargetMode="External"/><Relationship Id="rId600" Type="http://schemas.openxmlformats.org/officeDocument/2006/relationships/hyperlink" Target="https://zakon.rada.gov.ua/laws/show/840_005-17" TargetMode="External"/><Relationship Id="rId1230" Type="http://schemas.openxmlformats.org/officeDocument/2006/relationships/hyperlink" Target="https://zakon.rada.gov.ua/laws/show/2755-17/print" TargetMode="External"/><Relationship Id="rId4386" Type="http://schemas.openxmlformats.org/officeDocument/2006/relationships/hyperlink" Target="https://zakon.rada.gov.ua/laws/show/1166-18" TargetMode="External"/><Relationship Id="rId4593" Type="http://schemas.openxmlformats.org/officeDocument/2006/relationships/hyperlink" Target="https://zakon.rada.gov.ua/laws/show/2755-17/print" TargetMode="External"/><Relationship Id="rId5437" Type="http://schemas.openxmlformats.org/officeDocument/2006/relationships/hyperlink" Target="https://zakon.rada.gov.ua/laws/show/4495-17" TargetMode="External"/><Relationship Id="rId5644" Type="http://schemas.openxmlformats.org/officeDocument/2006/relationships/hyperlink" Target="https://zakon.rada.gov.ua/laws/show/2755-17/print" TargetMode="External"/><Relationship Id="rId5851" Type="http://schemas.openxmlformats.org/officeDocument/2006/relationships/hyperlink" Target="https://zakon.rada.gov.ua/laws/show/2755-17/print" TargetMode="External"/><Relationship Id="rId3195" Type="http://schemas.openxmlformats.org/officeDocument/2006/relationships/hyperlink" Target="https://zakon.rada.gov.ua/laws/show/2245-19" TargetMode="External"/><Relationship Id="rId4039" Type="http://schemas.openxmlformats.org/officeDocument/2006/relationships/hyperlink" Target="https://zakon.rada.gov.ua/laws/show/1791-19" TargetMode="External"/><Relationship Id="rId4246" Type="http://schemas.openxmlformats.org/officeDocument/2006/relationships/hyperlink" Target="https://zakon.rada.gov.ua/laws/show/391-20" TargetMode="External"/><Relationship Id="rId4453" Type="http://schemas.openxmlformats.org/officeDocument/2006/relationships/hyperlink" Target="https://zakon.rada.gov.ua/laws/show/1191-18" TargetMode="External"/><Relationship Id="rId4660" Type="http://schemas.openxmlformats.org/officeDocument/2006/relationships/hyperlink" Target="https://zakon.rada.gov.ua/laws/show/909-19" TargetMode="External"/><Relationship Id="rId5504" Type="http://schemas.openxmlformats.org/officeDocument/2006/relationships/hyperlink" Target="https://zakon.rada.gov.ua/laws/show/2755-17/print" TargetMode="External"/><Relationship Id="rId5711" Type="http://schemas.openxmlformats.org/officeDocument/2006/relationships/hyperlink" Target="https://zakon.rada.gov.ua/laws/show/2628-19" TargetMode="External"/><Relationship Id="rId3055" Type="http://schemas.openxmlformats.org/officeDocument/2006/relationships/hyperlink" Target="https://zakon.rada.gov.ua/laws/show/1797-19" TargetMode="External"/><Relationship Id="rId3262" Type="http://schemas.openxmlformats.org/officeDocument/2006/relationships/hyperlink" Target="https://zakon.rada.gov.ua/laws/show/2725-19" TargetMode="External"/><Relationship Id="rId4106" Type="http://schemas.openxmlformats.org/officeDocument/2006/relationships/hyperlink" Target="https://zakon.rada.gov.ua/laws/show/2755-17/print" TargetMode="External"/><Relationship Id="rId4313" Type="http://schemas.openxmlformats.org/officeDocument/2006/relationships/hyperlink" Target="https://zakon.rada.gov.ua/laws/show/2628-19" TargetMode="External"/><Relationship Id="rId4520" Type="http://schemas.openxmlformats.org/officeDocument/2006/relationships/hyperlink" Target="https://zakon.rada.gov.ua/laws/show/1791-19" TargetMode="External"/><Relationship Id="rId183" Type="http://schemas.openxmlformats.org/officeDocument/2006/relationships/hyperlink" Target="https://zakon.rada.gov.ua/laws/show/909-19" TargetMode="External"/><Relationship Id="rId390" Type="http://schemas.openxmlformats.org/officeDocument/2006/relationships/hyperlink" Target="https://zakon.rada.gov.ua/laws/show/2755-17/print" TargetMode="External"/><Relationship Id="rId1907" Type="http://schemas.openxmlformats.org/officeDocument/2006/relationships/hyperlink" Target="https://zakon.rada.gov.ua/laws/show/1797-19" TargetMode="External"/><Relationship Id="rId2071" Type="http://schemas.openxmlformats.org/officeDocument/2006/relationships/hyperlink" Target="https://zakon.rada.gov.ua/laws/show/5083-17" TargetMode="External"/><Relationship Id="rId3122" Type="http://schemas.openxmlformats.org/officeDocument/2006/relationships/hyperlink" Target="https://zakon.rada.gov.ua/laws/show/3609-17" TargetMode="External"/><Relationship Id="rId6278" Type="http://schemas.openxmlformats.org/officeDocument/2006/relationships/hyperlink" Target="https://zakon.rada.gov.ua/laws/show/2143-19" TargetMode="External"/><Relationship Id="rId250" Type="http://schemas.openxmlformats.org/officeDocument/2006/relationships/hyperlink" Target="https://zakon.rada.gov.ua/laws/show/4915-17" TargetMode="External"/><Relationship Id="rId5087" Type="http://schemas.openxmlformats.org/officeDocument/2006/relationships/hyperlink" Target="https://zakon.rada.gov.ua/laws/show/2755-17/print" TargetMode="External"/><Relationship Id="rId5294" Type="http://schemas.openxmlformats.org/officeDocument/2006/relationships/hyperlink" Target="https://zakon.rada.gov.ua/laws/show/3292-17" TargetMode="External"/><Relationship Id="rId6138" Type="http://schemas.openxmlformats.org/officeDocument/2006/relationships/hyperlink" Target="https://zakon.rada.gov.ua/laws/show/657-18" TargetMode="External"/><Relationship Id="rId110" Type="http://schemas.openxmlformats.org/officeDocument/2006/relationships/hyperlink" Target="https://zakon.rada.gov.ua/laws/show/1389-19" TargetMode="External"/><Relationship Id="rId2888" Type="http://schemas.openxmlformats.org/officeDocument/2006/relationships/hyperlink" Target="https://zakon.rada.gov.ua/laws/show/2755-17/print" TargetMode="External"/><Relationship Id="rId3939" Type="http://schemas.openxmlformats.org/officeDocument/2006/relationships/hyperlink" Target="https://zakon.rada.gov.ua/laws/show/2755-17/print" TargetMode="External"/><Relationship Id="rId5154" Type="http://schemas.openxmlformats.org/officeDocument/2006/relationships/hyperlink" Target="https://zakon.rada.gov.ua/laws/show/5412-17" TargetMode="External"/><Relationship Id="rId1697" Type="http://schemas.openxmlformats.org/officeDocument/2006/relationships/hyperlink" Target="https://zakon.rada.gov.ua/laws/show/2725-19" TargetMode="External"/><Relationship Id="rId2748" Type="http://schemas.openxmlformats.org/officeDocument/2006/relationships/hyperlink" Target="https://zakon.rada.gov.ua/laws/show/71-19" TargetMode="External"/><Relationship Id="rId2955" Type="http://schemas.openxmlformats.org/officeDocument/2006/relationships/hyperlink" Target="https://zakon.rada.gov.ua/laws/show/2755-17/print" TargetMode="External"/><Relationship Id="rId5361" Type="http://schemas.openxmlformats.org/officeDocument/2006/relationships/hyperlink" Target="https://zakon.rada.gov.ua/laws/show/344-20" TargetMode="External"/><Relationship Id="rId6205" Type="http://schemas.openxmlformats.org/officeDocument/2006/relationships/hyperlink" Target="https://zakon.rada.gov.ua/laws/show/2755-17/print" TargetMode="External"/><Relationship Id="rId927" Type="http://schemas.openxmlformats.org/officeDocument/2006/relationships/hyperlink" Target="https://zakon.rada.gov.ua/laws/show/1797-19" TargetMode="External"/><Relationship Id="rId1557" Type="http://schemas.openxmlformats.org/officeDocument/2006/relationships/hyperlink" Target="https://zakon.rada.gov.ua/laws/show/2755-17/print" TargetMode="External"/><Relationship Id="rId1764" Type="http://schemas.openxmlformats.org/officeDocument/2006/relationships/hyperlink" Target="https://zakon.rada.gov.ua/laws/show/2654-12" TargetMode="External"/><Relationship Id="rId1971" Type="http://schemas.openxmlformats.org/officeDocument/2006/relationships/hyperlink" Target="https://zakon.rada.gov.ua/laws/show/1260-18" TargetMode="External"/><Relationship Id="rId2608" Type="http://schemas.openxmlformats.org/officeDocument/2006/relationships/hyperlink" Target="https://zakon.rada.gov.ua/laws/show/2755-17/print" TargetMode="External"/><Relationship Id="rId2815" Type="http://schemas.openxmlformats.org/officeDocument/2006/relationships/hyperlink" Target="https://zakon.rada.gov.ua/laws/show/71-19" TargetMode="External"/><Relationship Id="rId4170" Type="http://schemas.openxmlformats.org/officeDocument/2006/relationships/hyperlink" Target="https://zakon.rada.gov.ua/laws/show/1638-18" TargetMode="External"/><Relationship Id="rId5014" Type="http://schemas.openxmlformats.org/officeDocument/2006/relationships/hyperlink" Target="https://zakon.rada.gov.ua/laws/show/2755-17/print" TargetMode="External"/><Relationship Id="rId5221" Type="http://schemas.openxmlformats.org/officeDocument/2006/relationships/hyperlink" Target="https://zakon.rada.gov.ua/laws/show/215-19" TargetMode="External"/><Relationship Id="rId56" Type="http://schemas.openxmlformats.org/officeDocument/2006/relationships/hyperlink" Target="https://zakon.rada.gov.ua/laws/show/719-18" TargetMode="External"/><Relationship Id="rId1417" Type="http://schemas.openxmlformats.org/officeDocument/2006/relationships/hyperlink" Target="https://zakon.rada.gov.ua/laws/show/851-15" TargetMode="External"/><Relationship Id="rId1624" Type="http://schemas.openxmlformats.org/officeDocument/2006/relationships/hyperlink" Target="https://zakon.rada.gov.ua/laws/show/2755-17/print" TargetMode="External"/><Relationship Id="rId1831" Type="http://schemas.openxmlformats.org/officeDocument/2006/relationships/hyperlink" Target="https://zakon.rada.gov.ua/laws/show/1797-19" TargetMode="External"/><Relationship Id="rId4030" Type="http://schemas.openxmlformats.org/officeDocument/2006/relationships/hyperlink" Target="https://zakon.rada.gov.ua/laws/show/71-19" TargetMode="External"/><Relationship Id="rId4987" Type="http://schemas.openxmlformats.org/officeDocument/2006/relationships/hyperlink" Target="https://zakon.rada.gov.ua/laws/show/71-19" TargetMode="External"/><Relationship Id="rId3589" Type="http://schemas.openxmlformats.org/officeDocument/2006/relationships/hyperlink" Target="https://zakon.rada.gov.ua/laws/show/2755-17/print" TargetMode="External"/><Relationship Id="rId3796" Type="http://schemas.openxmlformats.org/officeDocument/2006/relationships/hyperlink" Target="https://zakon.rada.gov.ua/laws/show/909-19" TargetMode="External"/><Relationship Id="rId2398" Type="http://schemas.openxmlformats.org/officeDocument/2006/relationships/hyperlink" Target="https://zakon.rada.gov.ua/laws/show/2755-17/print" TargetMode="External"/><Relationship Id="rId3449" Type="http://schemas.openxmlformats.org/officeDocument/2006/relationships/hyperlink" Target="https://zakon.rada.gov.ua/laws/show/4834-17" TargetMode="External"/><Relationship Id="rId4847" Type="http://schemas.openxmlformats.org/officeDocument/2006/relationships/hyperlink" Target="https://zakon.rada.gov.ua/laws/show/1791-19" TargetMode="External"/><Relationship Id="rId6062" Type="http://schemas.openxmlformats.org/officeDocument/2006/relationships/hyperlink" Target="https://zakon.rada.gov.ua/laws/show/2755-17/print" TargetMode="External"/><Relationship Id="rId577" Type="http://schemas.openxmlformats.org/officeDocument/2006/relationships/hyperlink" Target="https://zakon.rada.gov.ua/laws/show/2755-17/print" TargetMode="External"/><Relationship Id="rId2258" Type="http://schemas.openxmlformats.org/officeDocument/2006/relationships/hyperlink" Target="https://zakon.rada.gov.ua/laws/show/1797-19" TargetMode="External"/><Relationship Id="rId3656" Type="http://schemas.openxmlformats.org/officeDocument/2006/relationships/hyperlink" Target="https://zakon.rada.gov.ua/laws/show/996_729" TargetMode="External"/><Relationship Id="rId3863" Type="http://schemas.openxmlformats.org/officeDocument/2006/relationships/hyperlink" Target="https://zakon.rada.gov.ua/laws/show/1791-19" TargetMode="External"/><Relationship Id="rId4707" Type="http://schemas.openxmlformats.org/officeDocument/2006/relationships/hyperlink" Target="https://zakon.rada.gov.ua/laws/show/71-19" TargetMode="External"/><Relationship Id="rId4914" Type="http://schemas.openxmlformats.org/officeDocument/2006/relationships/hyperlink" Target="https://zakon.rada.gov.ua/laws/show/1791-19" TargetMode="External"/><Relationship Id="rId784" Type="http://schemas.openxmlformats.org/officeDocument/2006/relationships/hyperlink" Target="https://zakon.rada.gov.ua/laws/show/2628-19" TargetMode="External"/><Relationship Id="rId991" Type="http://schemas.openxmlformats.org/officeDocument/2006/relationships/hyperlink" Target="https://zakon.rada.gov.ua/laws/show/1797-19" TargetMode="External"/><Relationship Id="rId1067" Type="http://schemas.openxmlformats.org/officeDocument/2006/relationships/hyperlink" Target="https://zakon.rada.gov.ua/laws/show/3609-17" TargetMode="External"/><Relationship Id="rId2465" Type="http://schemas.openxmlformats.org/officeDocument/2006/relationships/hyperlink" Target="https://zakon.rada.gov.ua/laws/show/909-19" TargetMode="External"/><Relationship Id="rId2672" Type="http://schemas.openxmlformats.org/officeDocument/2006/relationships/hyperlink" Target="https://zakon.rada.gov.ua/laws/show/2245-19" TargetMode="External"/><Relationship Id="rId3309" Type="http://schemas.openxmlformats.org/officeDocument/2006/relationships/hyperlink" Target="https://zakon.rada.gov.ua/laws/show/4915-17" TargetMode="External"/><Relationship Id="rId3516" Type="http://schemas.openxmlformats.org/officeDocument/2006/relationships/hyperlink" Target="https://zakon.rada.gov.ua/laws/show/1797-19" TargetMode="External"/><Relationship Id="rId3723" Type="http://schemas.openxmlformats.org/officeDocument/2006/relationships/hyperlink" Target="https://zakon.rada.gov.ua/laws/show/1797-19" TargetMode="External"/><Relationship Id="rId3930" Type="http://schemas.openxmlformats.org/officeDocument/2006/relationships/hyperlink" Target="https://zakon.rada.gov.ua/laws/show/2755-17/print" TargetMode="External"/><Relationship Id="rId437" Type="http://schemas.openxmlformats.org/officeDocument/2006/relationships/hyperlink" Target="https://zakon.rada.gov.ua/laws/show/71-19" TargetMode="External"/><Relationship Id="rId644" Type="http://schemas.openxmlformats.org/officeDocument/2006/relationships/hyperlink" Target="https://zakon.rada.gov.ua/laws/show/909-19" TargetMode="External"/><Relationship Id="rId851" Type="http://schemas.openxmlformats.org/officeDocument/2006/relationships/hyperlink" Target="https://zakon.rada.gov.ua/laws/show/2755-17/print" TargetMode="External"/><Relationship Id="rId1274" Type="http://schemas.openxmlformats.org/officeDocument/2006/relationships/hyperlink" Target="https://zakon.rada.gov.ua/laws/show/71-19" TargetMode="External"/><Relationship Id="rId1481" Type="http://schemas.openxmlformats.org/officeDocument/2006/relationships/hyperlink" Target="https://zakon.rada.gov.ua/laws/show/3609-17" TargetMode="External"/><Relationship Id="rId2118" Type="http://schemas.openxmlformats.org/officeDocument/2006/relationships/hyperlink" Target="https://zakon.rada.gov.ua/laws/show/679-14" TargetMode="External"/><Relationship Id="rId2325" Type="http://schemas.openxmlformats.org/officeDocument/2006/relationships/hyperlink" Target="https://zakon.rada.gov.ua/laws/show/71-19" TargetMode="External"/><Relationship Id="rId2532" Type="http://schemas.openxmlformats.org/officeDocument/2006/relationships/hyperlink" Target="https://zakon.rada.gov.ua/laws/show/2755-17/print" TargetMode="External"/><Relationship Id="rId5688" Type="http://schemas.openxmlformats.org/officeDocument/2006/relationships/hyperlink" Target="https://zakon.rada.gov.ua/laws/show/2725-19" TargetMode="External"/><Relationship Id="rId5895" Type="http://schemas.openxmlformats.org/officeDocument/2006/relationships/hyperlink" Target="https://zakon.rada.gov.ua/laws/show/vb457609-10" TargetMode="External"/><Relationship Id="rId504" Type="http://schemas.openxmlformats.org/officeDocument/2006/relationships/hyperlink" Target="https://zakon.rada.gov.ua/laws/show/2755-17/print" TargetMode="External"/><Relationship Id="rId711" Type="http://schemas.openxmlformats.org/officeDocument/2006/relationships/hyperlink" Target="https://zakon.rada.gov.ua/laws/show/1797-19" TargetMode="External"/><Relationship Id="rId1134" Type="http://schemas.openxmlformats.org/officeDocument/2006/relationships/hyperlink" Target="https://zakon.rada.gov.ua/laws/show/2725-19" TargetMode="External"/><Relationship Id="rId1341" Type="http://schemas.openxmlformats.org/officeDocument/2006/relationships/hyperlink" Target="https://zakon.rada.gov.ua/laws/show/755-15" TargetMode="External"/><Relationship Id="rId4497" Type="http://schemas.openxmlformats.org/officeDocument/2006/relationships/hyperlink" Target="https://zakon.rada.gov.ua/laws/show/2755-17/print" TargetMode="External"/><Relationship Id="rId5548" Type="http://schemas.openxmlformats.org/officeDocument/2006/relationships/hyperlink" Target="https://zakon.rada.gov.ua/laws/show/1153-2015-%D0%BF" TargetMode="External"/><Relationship Id="rId5755" Type="http://schemas.openxmlformats.org/officeDocument/2006/relationships/hyperlink" Target="https://zakon.rada.gov.ua/laws/show/2755-17/print" TargetMode="External"/><Relationship Id="rId5962" Type="http://schemas.openxmlformats.org/officeDocument/2006/relationships/hyperlink" Target="https://zakon.rada.gov.ua/laws/show/5503-17" TargetMode="External"/><Relationship Id="rId1201" Type="http://schemas.openxmlformats.org/officeDocument/2006/relationships/hyperlink" Target="https://zakon.rada.gov.ua/laws/show/655-19" TargetMode="External"/><Relationship Id="rId3099" Type="http://schemas.openxmlformats.org/officeDocument/2006/relationships/hyperlink" Target="https://zakon.rada.gov.ua/laws/show/206-19" TargetMode="External"/><Relationship Id="rId4357" Type="http://schemas.openxmlformats.org/officeDocument/2006/relationships/hyperlink" Target="https://zakon.rada.gov.ua/laws/show/1191-18" TargetMode="External"/><Relationship Id="rId4564" Type="http://schemas.openxmlformats.org/officeDocument/2006/relationships/hyperlink" Target="https://zakon.rada.gov.ua/laws/show/4834-17" TargetMode="External"/><Relationship Id="rId4771" Type="http://schemas.openxmlformats.org/officeDocument/2006/relationships/hyperlink" Target="https://zakon.rada.gov.ua/laws/show/1797-19" TargetMode="External"/><Relationship Id="rId5408" Type="http://schemas.openxmlformats.org/officeDocument/2006/relationships/hyperlink" Target="https://zakon.rada.gov.ua/laws/show/4834-17" TargetMode="External"/><Relationship Id="rId5615" Type="http://schemas.openxmlformats.org/officeDocument/2006/relationships/hyperlink" Target="https://zakon.rada.gov.ua/laws/show/1791-19" TargetMode="External"/><Relationship Id="rId3166" Type="http://schemas.openxmlformats.org/officeDocument/2006/relationships/hyperlink" Target="https://zakon.rada.gov.ua/laws/show/609-19" TargetMode="External"/><Relationship Id="rId3373" Type="http://schemas.openxmlformats.org/officeDocument/2006/relationships/hyperlink" Target="https://zakon.rada.gov.ua/laws/show/2755-17/print" TargetMode="External"/><Relationship Id="rId3580" Type="http://schemas.openxmlformats.org/officeDocument/2006/relationships/hyperlink" Target="https://zakon.rada.gov.ua/laws/show/4495-17" TargetMode="External"/><Relationship Id="rId4217" Type="http://schemas.openxmlformats.org/officeDocument/2006/relationships/hyperlink" Target="https://zakon.rada.gov.ua/laws/show/391-20" TargetMode="External"/><Relationship Id="rId4424" Type="http://schemas.openxmlformats.org/officeDocument/2006/relationships/hyperlink" Target="https://zakon.rada.gov.ua/laws/show/5503-17" TargetMode="External"/><Relationship Id="rId5822" Type="http://schemas.openxmlformats.org/officeDocument/2006/relationships/hyperlink" Target="https://zakon.rada.gov.ua/laws/show/334/94-%D0%B2%D1%80" TargetMode="External"/><Relationship Id="rId294" Type="http://schemas.openxmlformats.org/officeDocument/2006/relationships/hyperlink" Target="https://zakon.rada.gov.ua/laws/show/71-19" TargetMode="External"/><Relationship Id="rId2182" Type="http://schemas.openxmlformats.org/officeDocument/2006/relationships/hyperlink" Target="https://zakon.rada.gov.ua/laws/show/2245-19" TargetMode="External"/><Relationship Id="rId3026" Type="http://schemas.openxmlformats.org/officeDocument/2006/relationships/hyperlink" Target="https://zakon.rada.gov.ua/laws/show/2245-19" TargetMode="External"/><Relationship Id="rId3233" Type="http://schemas.openxmlformats.org/officeDocument/2006/relationships/hyperlink" Target="https://zakon.rada.gov.ua/laws/show/2755-17/print" TargetMode="External"/><Relationship Id="rId4631" Type="http://schemas.openxmlformats.org/officeDocument/2006/relationships/hyperlink" Target="https://zakon.rada.gov.ua/laws/show/3609-17" TargetMode="External"/><Relationship Id="rId154" Type="http://schemas.openxmlformats.org/officeDocument/2006/relationships/hyperlink" Target="https://zakon.rada.gov.ua/laws/show/4452-17" TargetMode="External"/><Relationship Id="rId361" Type="http://schemas.openxmlformats.org/officeDocument/2006/relationships/hyperlink" Target="https://zakon.rada.gov.ua/laws/show/71-19" TargetMode="External"/><Relationship Id="rId2042" Type="http://schemas.openxmlformats.org/officeDocument/2006/relationships/hyperlink" Target="https://zakon.rada.gov.ua/laws/show/2755-17/print" TargetMode="External"/><Relationship Id="rId3440" Type="http://schemas.openxmlformats.org/officeDocument/2006/relationships/hyperlink" Target="https://zakon.rada.gov.ua/laws/show/71-19" TargetMode="External"/><Relationship Id="rId5198" Type="http://schemas.openxmlformats.org/officeDocument/2006/relationships/hyperlink" Target="https://zakon.rada.gov.ua/laws/show/5412-17" TargetMode="External"/><Relationship Id="rId2999" Type="http://schemas.openxmlformats.org/officeDocument/2006/relationships/hyperlink" Target="https://zakon.rada.gov.ua/laws/show/1200-18" TargetMode="External"/><Relationship Id="rId3300" Type="http://schemas.openxmlformats.org/officeDocument/2006/relationships/hyperlink" Target="https://zakon.rada.gov.ua/laws/show/2755-17/print" TargetMode="External"/><Relationship Id="rId6249" Type="http://schemas.openxmlformats.org/officeDocument/2006/relationships/hyperlink" Target="https://zakon.rada.gov.ua/laws/show/2628-19" TargetMode="External"/><Relationship Id="rId221" Type="http://schemas.openxmlformats.org/officeDocument/2006/relationships/hyperlink" Target="https://zakon.rada.gov.ua/laws/show/391-20" TargetMode="External"/><Relationship Id="rId2859" Type="http://schemas.openxmlformats.org/officeDocument/2006/relationships/hyperlink" Target="https://zakon.rada.gov.ua/laws/show/2755-17/print" TargetMode="External"/><Relationship Id="rId5058" Type="http://schemas.openxmlformats.org/officeDocument/2006/relationships/hyperlink" Target="https://zakon.rada.gov.ua/laws/show/2497-19" TargetMode="External"/><Relationship Id="rId5265" Type="http://schemas.openxmlformats.org/officeDocument/2006/relationships/hyperlink" Target="https://zakon.rada.gov.ua/laws/show/5083-17" TargetMode="External"/><Relationship Id="rId5472" Type="http://schemas.openxmlformats.org/officeDocument/2006/relationships/hyperlink" Target="https://zakon.rada.gov.ua/laws/show/1658-18" TargetMode="External"/><Relationship Id="rId6109" Type="http://schemas.openxmlformats.org/officeDocument/2006/relationships/hyperlink" Target="https://zakon.rada.gov.ua/laws/show/2755-17/print" TargetMode="External"/><Relationship Id="rId1668" Type="http://schemas.openxmlformats.org/officeDocument/2006/relationships/hyperlink" Target="https://zakon.rada.gov.ua/laws/show/1797-19" TargetMode="External"/><Relationship Id="rId1875" Type="http://schemas.openxmlformats.org/officeDocument/2006/relationships/hyperlink" Target="https://zakon.rada.gov.ua/laws/show/657-18" TargetMode="External"/><Relationship Id="rId2719" Type="http://schemas.openxmlformats.org/officeDocument/2006/relationships/hyperlink" Target="https://zakon.rada.gov.ua/laws/show/435-15" TargetMode="External"/><Relationship Id="rId4074" Type="http://schemas.openxmlformats.org/officeDocument/2006/relationships/hyperlink" Target="https://zakon.rada.gov.ua/laws/show/2245-19" TargetMode="External"/><Relationship Id="rId4281" Type="http://schemas.openxmlformats.org/officeDocument/2006/relationships/hyperlink" Target="https://zakon.rada.gov.ua/laws/show/909-19" TargetMode="External"/><Relationship Id="rId5125" Type="http://schemas.openxmlformats.org/officeDocument/2006/relationships/hyperlink" Target="https://zakon.rada.gov.ua/laws/show/5412-17" TargetMode="External"/><Relationship Id="rId5332" Type="http://schemas.openxmlformats.org/officeDocument/2006/relationships/hyperlink" Target="https://zakon.rada.gov.ua/laws/show/1797-19" TargetMode="External"/><Relationship Id="rId1528" Type="http://schemas.openxmlformats.org/officeDocument/2006/relationships/hyperlink" Target="https://zakon.rada.gov.ua/laws/show/5083-17" TargetMode="External"/><Relationship Id="rId2926" Type="http://schemas.openxmlformats.org/officeDocument/2006/relationships/hyperlink" Target="https://zakon.rada.gov.ua/laws/show/4915-17" TargetMode="External"/><Relationship Id="rId3090" Type="http://schemas.openxmlformats.org/officeDocument/2006/relationships/hyperlink" Target="https://zakon.rada.gov.ua/laws/show/2755-17/print" TargetMode="External"/><Relationship Id="rId4141" Type="http://schemas.openxmlformats.org/officeDocument/2006/relationships/hyperlink" Target="https://zakon.rada.gov.ua/laws/show/71-19" TargetMode="External"/><Relationship Id="rId1735" Type="http://schemas.openxmlformats.org/officeDocument/2006/relationships/hyperlink" Target="https://zakon.rada.gov.ua/laws/show/655-19" TargetMode="External"/><Relationship Id="rId1942" Type="http://schemas.openxmlformats.org/officeDocument/2006/relationships/hyperlink" Target="https://zakon.rada.gov.ua/laws/show/2755-17/print" TargetMode="External"/><Relationship Id="rId4001" Type="http://schemas.openxmlformats.org/officeDocument/2006/relationships/hyperlink" Target="https://zakon.rada.gov.ua/laws/show/19-2011-%D0%BF" TargetMode="External"/><Relationship Id="rId27" Type="http://schemas.openxmlformats.org/officeDocument/2006/relationships/hyperlink" Target="https://zakon.rada.gov.ua/laws/show/4677-17" TargetMode="External"/><Relationship Id="rId1802" Type="http://schemas.openxmlformats.org/officeDocument/2006/relationships/hyperlink" Target="https://zakon.rada.gov.ua/laws/show/v013p710-12" TargetMode="External"/><Relationship Id="rId4958" Type="http://schemas.openxmlformats.org/officeDocument/2006/relationships/hyperlink" Target="https://zakon.rada.gov.ua/laws/show/2755-17/print" TargetMode="External"/><Relationship Id="rId6173" Type="http://schemas.openxmlformats.org/officeDocument/2006/relationships/hyperlink" Target="https://zakon.rada.gov.ua/laws/show/1260-18" TargetMode="External"/><Relationship Id="rId3767" Type="http://schemas.openxmlformats.org/officeDocument/2006/relationships/hyperlink" Target="https://zakon.rada.gov.ua/laws/show/1791-19" TargetMode="External"/><Relationship Id="rId3974" Type="http://schemas.openxmlformats.org/officeDocument/2006/relationships/hyperlink" Target="https://zakon.rada.gov.ua/laws/show/722-2019-%D0%BF" TargetMode="External"/><Relationship Id="rId4818" Type="http://schemas.openxmlformats.org/officeDocument/2006/relationships/hyperlink" Target="https://zakon.rada.gov.ua/laws/show/va375202-05" TargetMode="External"/><Relationship Id="rId688" Type="http://schemas.openxmlformats.org/officeDocument/2006/relationships/hyperlink" Target="https://zakon.rada.gov.ua/laws/show/71-19" TargetMode="External"/><Relationship Id="rId895" Type="http://schemas.openxmlformats.org/officeDocument/2006/relationships/hyperlink" Target="https://zakon.rada.gov.ua/laws/show/z1396-15" TargetMode="External"/><Relationship Id="rId2369" Type="http://schemas.openxmlformats.org/officeDocument/2006/relationships/hyperlink" Target="https://zakon.rada.gov.ua/laws/show/2477-19" TargetMode="External"/><Relationship Id="rId2576" Type="http://schemas.openxmlformats.org/officeDocument/2006/relationships/hyperlink" Target="https://zakon.rada.gov.ua/laws/show/3610-17" TargetMode="External"/><Relationship Id="rId2783" Type="http://schemas.openxmlformats.org/officeDocument/2006/relationships/hyperlink" Target="https://zakon.rada.gov.ua/laws/show/1797-19" TargetMode="External"/><Relationship Id="rId2990" Type="http://schemas.openxmlformats.org/officeDocument/2006/relationships/hyperlink" Target="https://zakon.rada.gov.ua/laws/show/4495-17" TargetMode="External"/><Relationship Id="rId3627" Type="http://schemas.openxmlformats.org/officeDocument/2006/relationships/hyperlink" Target="https://zakon.rada.gov.ua/laws/show/909-19" TargetMode="External"/><Relationship Id="rId3834" Type="http://schemas.openxmlformats.org/officeDocument/2006/relationships/hyperlink" Target="https://zakon.rada.gov.ua/laws/show/2755-17/print" TargetMode="External"/><Relationship Id="rId6033" Type="http://schemas.openxmlformats.org/officeDocument/2006/relationships/hyperlink" Target="https://zakon.rada.gov.ua/laws/show/2755-17/print" TargetMode="External"/><Relationship Id="rId6240" Type="http://schemas.openxmlformats.org/officeDocument/2006/relationships/hyperlink" Target="https://zakon.rada.gov.ua/laws/show/2755-17/print" TargetMode="External"/><Relationship Id="rId548" Type="http://schemas.openxmlformats.org/officeDocument/2006/relationships/hyperlink" Target="https://zakon.rada.gov.ua/laws/show/5083-17" TargetMode="External"/><Relationship Id="rId755" Type="http://schemas.openxmlformats.org/officeDocument/2006/relationships/hyperlink" Target="https://zakon.rada.gov.ua/laws/show/1797-19" TargetMode="External"/><Relationship Id="rId962" Type="http://schemas.openxmlformats.org/officeDocument/2006/relationships/hyperlink" Target="https://zakon.rada.gov.ua/laws/show/2245-19" TargetMode="External"/><Relationship Id="rId1178" Type="http://schemas.openxmlformats.org/officeDocument/2006/relationships/hyperlink" Target="https://zakon.rada.gov.ua/laws/show/3609-17" TargetMode="External"/><Relationship Id="rId1385" Type="http://schemas.openxmlformats.org/officeDocument/2006/relationships/hyperlink" Target="https://zakon.rada.gov.ua/laws/show/4834-17" TargetMode="External"/><Relationship Id="rId1592" Type="http://schemas.openxmlformats.org/officeDocument/2006/relationships/hyperlink" Target="https://zakon.rada.gov.ua/laws/show/2755-17/print" TargetMode="External"/><Relationship Id="rId2229" Type="http://schemas.openxmlformats.org/officeDocument/2006/relationships/hyperlink" Target="https://zakon.rada.gov.ua/laws/show/2755-17/print" TargetMode="External"/><Relationship Id="rId2436" Type="http://schemas.openxmlformats.org/officeDocument/2006/relationships/hyperlink" Target="https://zakon.rada.gov.ua/laws/show/321-19" TargetMode="External"/><Relationship Id="rId2643" Type="http://schemas.openxmlformats.org/officeDocument/2006/relationships/hyperlink" Target="https://zakon.rada.gov.ua/laws/show/1797-19" TargetMode="External"/><Relationship Id="rId2850" Type="http://schemas.openxmlformats.org/officeDocument/2006/relationships/hyperlink" Target="https://zakon.rada.gov.ua/laws/show/2725-19" TargetMode="External"/><Relationship Id="rId5799" Type="http://schemas.openxmlformats.org/officeDocument/2006/relationships/hyperlink" Target="https://zakon.rada.gov.ua/laws/show/2755-17/print" TargetMode="External"/><Relationship Id="rId6100" Type="http://schemas.openxmlformats.org/officeDocument/2006/relationships/hyperlink" Target="https://zakon.rada.gov.ua/laws/show/2628-19" TargetMode="External"/><Relationship Id="rId91" Type="http://schemas.openxmlformats.org/officeDocument/2006/relationships/hyperlink" Target="https://zakon.rada.gov.ua/laws/show/381-19" TargetMode="External"/><Relationship Id="rId408" Type="http://schemas.openxmlformats.org/officeDocument/2006/relationships/hyperlink" Target="https://zakon.rada.gov.ua/laws/show/655-19" TargetMode="External"/><Relationship Id="rId615" Type="http://schemas.openxmlformats.org/officeDocument/2006/relationships/hyperlink" Target="https://zakon.rada.gov.ua/laws/show/584%D0%B0-18" TargetMode="External"/><Relationship Id="rId822" Type="http://schemas.openxmlformats.org/officeDocument/2006/relationships/hyperlink" Target="https://zakon.rada.gov.ua/laws/show/1797-19" TargetMode="External"/><Relationship Id="rId1038" Type="http://schemas.openxmlformats.org/officeDocument/2006/relationships/hyperlink" Target="https://zakon.rada.gov.ua/laws/show/1797-19" TargetMode="External"/><Relationship Id="rId1245" Type="http://schemas.openxmlformats.org/officeDocument/2006/relationships/hyperlink" Target="https://zakon.rada.gov.ua/laws/show/485-2017-%D0%BF" TargetMode="External"/><Relationship Id="rId1452" Type="http://schemas.openxmlformats.org/officeDocument/2006/relationships/hyperlink" Target="https://zakon.rada.gov.ua/laws/show/323-20" TargetMode="External"/><Relationship Id="rId2503" Type="http://schemas.openxmlformats.org/officeDocument/2006/relationships/hyperlink" Target="https://zakon.rada.gov.ua/laws/show/2497-19" TargetMode="External"/><Relationship Id="rId3901" Type="http://schemas.openxmlformats.org/officeDocument/2006/relationships/hyperlink" Target="https://zakon.rada.gov.ua/laws/show/71-19" TargetMode="External"/><Relationship Id="rId5659" Type="http://schemas.openxmlformats.org/officeDocument/2006/relationships/hyperlink" Target="https://zakon.rada.gov.ua/laws/show/2755-17/print" TargetMode="External"/><Relationship Id="rId1105" Type="http://schemas.openxmlformats.org/officeDocument/2006/relationships/hyperlink" Target="https://zakon.rada.gov.ua/laws/show/1797-19" TargetMode="External"/><Relationship Id="rId1312" Type="http://schemas.openxmlformats.org/officeDocument/2006/relationships/hyperlink" Target="https://zakon.rada.gov.ua/laws/show/4834-17" TargetMode="External"/><Relationship Id="rId2710" Type="http://schemas.openxmlformats.org/officeDocument/2006/relationships/hyperlink" Target="https://zakon.rada.gov.ua/laws/show/1910-19" TargetMode="External"/><Relationship Id="rId4468" Type="http://schemas.openxmlformats.org/officeDocument/2006/relationships/hyperlink" Target="https://zakon.rada.gov.ua/laws/show/1191-18" TargetMode="External"/><Relationship Id="rId5866" Type="http://schemas.openxmlformats.org/officeDocument/2006/relationships/hyperlink" Target="https://zakon.rada.gov.ua/laws/show/702-19" TargetMode="External"/><Relationship Id="rId3277" Type="http://schemas.openxmlformats.org/officeDocument/2006/relationships/hyperlink" Target="https://zakon.rada.gov.ua/laws/show/909-19" TargetMode="External"/><Relationship Id="rId4675" Type="http://schemas.openxmlformats.org/officeDocument/2006/relationships/hyperlink" Target="https://zakon.rada.gov.ua/laws/show/71-19" TargetMode="External"/><Relationship Id="rId4882" Type="http://schemas.openxmlformats.org/officeDocument/2006/relationships/hyperlink" Target="https://zakon.rada.gov.ua/laws/show/2755-17/print" TargetMode="External"/><Relationship Id="rId5519" Type="http://schemas.openxmlformats.org/officeDocument/2006/relationships/hyperlink" Target="https://zakon.rada.gov.ua/laws/show/2755-17/print" TargetMode="External"/><Relationship Id="rId5726" Type="http://schemas.openxmlformats.org/officeDocument/2006/relationships/hyperlink" Target="https://zakon.rada.gov.ua/laws/show/5211-17" TargetMode="External"/><Relationship Id="rId5933" Type="http://schemas.openxmlformats.org/officeDocument/2006/relationships/hyperlink" Target="https://zakon.rada.gov.ua/laws/show/909-19" TargetMode="External"/><Relationship Id="rId198" Type="http://schemas.openxmlformats.org/officeDocument/2006/relationships/hyperlink" Target="https://zakon.rada.gov.ua/laws/show/2755-17/print" TargetMode="External"/><Relationship Id="rId2086" Type="http://schemas.openxmlformats.org/officeDocument/2006/relationships/hyperlink" Target="https://zakon.rada.gov.ua/laws/show/652-19" TargetMode="External"/><Relationship Id="rId3484" Type="http://schemas.openxmlformats.org/officeDocument/2006/relationships/hyperlink" Target="https://zakon.rada.gov.ua/laws/show/1797-19" TargetMode="External"/><Relationship Id="rId3691" Type="http://schemas.openxmlformats.org/officeDocument/2006/relationships/hyperlink" Target="https://zakon.rada.gov.ua/laws/show/71-19" TargetMode="External"/><Relationship Id="rId4328" Type="http://schemas.openxmlformats.org/officeDocument/2006/relationships/hyperlink" Target="https://zakon.rada.gov.ua/laws/show/584%D0%B0-18" TargetMode="External"/><Relationship Id="rId4535" Type="http://schemas.openxmlformats.org/officeDocument/2006/relationships/hyperlink" Target="https://zakon.rada.gov.ua/laws/show/1797-19" TargetMode="External"/><Relationship Id="rId4742" Type="http://schemas.openxmlformats.org/officeDocument/2006/relationships/hyperlink" Target="https://zakon.rada.gov.ua/laws/show/4834-17" TargetMode="External"/><Relationship Id="rId2293" Type="http://schemas.openxmlformats.org/officeDocument/2006/relationships/hyperlink" Target="https://zakon.rada.gov.ua/laws/show/2755-17/print" TargetMode="External"/><Relationship Id="rId3137" Type="http://schemas.openxmlformats.org/officeDocument/2006/relationships/hyperlink" Target="https://zakon.rada.gov.ua/laws/show/909-19" TargetMode="External"/><Relationship Id="rId3344" Type="http://schemas.openxmlformats.org/officeDocument/2006/relationships/hyperlink" Target="https://zakon.rada.gov.ua/laws/show/909-19" TargetMode="External"/><Relationship Id="rId3551" Type="http://schemas.openxmlformats.org/officeDocument/2006/relationships/hyperlink" Target="https://zakon.rada.gov.ua/laws/show/71-19" TargetMode="External"/><Relationship Id="rId4602" Type="http://schemas.openxmlformats.org/officeDocument/2006/relationships/hyperlink" Target="https://zakon.rada.gov.ua/laws/show/076_009" TargetMode="External"/><Relationship Id="rId265" Type="http://schemas.openxmlformats.org/officeDocument/2006/relationships/hyperlink" Target="https://zakon.rada.gov.ua/laws/show/2755-17/print" TargetMode="External"/><Relationship Id="rId472" Type="http://schemas.openxmlformats.org/officeDocument/2006/relationships/hyperlink" Target="https://zakon.rada.gov.ua/laws/show/2755-17/print" TargetMode="External"/><Relationship Id="rId2153" Type="http://schemas.openxmlformats.org/officeDocument/2006/relationships/hyperlink" Target="https://zakon.rada.gov.ua/laws/show/909-19" TargetMode="External"/><Relationship Id="rId2360" Type="http://schemas.openxmlformats.org/officeDocument/2006/relationships/hyperlink" Target="https://zakon.rada.gov.ua/laws/show/5083-17" TargetMode="External"/><Relationship Id="rId3204" Type="http://schemas.openxmlformats.org/officeDocument/2006/relationships/hyperlink" Target="https://zakon.rada.gov.ua/laws/show/643-19" TargetMode="External"/><Relationship Id="rId3411" Type="http://schemas.openxmlformats.org/officeDocument/2006/relationships/hyperlink" Target="https://zakon.rada.gov.ua/laws/show/657-18" TargetMode="External"/><Relationship Id="rId125" Type="http://schemas.openxmlformats.org/officeDocument/2006/relationships/hyperlink" Target="https://zakon.rada.gov.ua/laws/show/2374-19" TargetMode="External"/><Relationship Id="rId332" Type="http://schemas.openxmlformats.org/officeDocument/2006/relationships/hyperlink" Target="https://zakon.rada.gov.ua/laws/show/2755-17/print" TargetMode="External"/><Relationship Id="rId2013" Type="http://schemas.openxmlformats.org/officeDocument/2006/relationships/hyperlink" Target="https://zakon.rada.gov.ua/laws/show/2628-19" TargetMode="External"/><Relationship Id="rId2220" Type="http://schemas.openxmlformats.org/officeDocument/2006/relationships/hyperlink" Target="https://zakon.rada.gov.ua/laws/show/1797-19" TargetMode="External"/><Relationship Id="rId5169" Type="http://schemas.openxmlformats.org/officeDocument/2006/relationships/hyperlink" Target="https://zakon.rada.gov.ua/laws/show/5412-17" TargetMode="External"/><Relationship Id="rId5376" Type="http://schemas.openxmlformats.org/officeDocument/2006/relationships/hyperlink" Target="https://zakon.rada.gov.ua/laws/show/1797-19" TargetMode="External"/><Relationship Id="rId5583" Type="http://schemas.openxmlformats.org/officeDocument/2006/relationships/hyperlink" Target="https://zakon.rada.gov.ua/laws/show/812-19" TargetMode="External"/><Relationship Id="rId5790" Type="http://schemas.openxmlformats.org/officeDocument/2006/relationships/hyperlink" Target="https://zakon.rada.gov.ua/laws/show/1797-19" TargetMode="External"/><Relationship Id="rId4185" Type="http://schemas.openxmlformats.org/officeDocument/2006/relationships/hyperlink" Target="https://zakon.rada.gov.ua/laws/show/2755-17/print" TargetMode="External"/><Relationship Id="rId4392" Type="http://schemas.openxmlformats.org/officeDocument/2006/relationships/hyperlink" Target="https://zakon.rada.gov.ua/laws/show/71-19" TargetMode="External"/><Relationship Id="rId5029" Type="http://schemas.openxmlformats.org/officeDocument/2006/relationships/hyperlink" Target="https://zakon.rada.gov.ua/laws/show/657-18" TargetMode="External"/><Relationship Id="rId5236" Type="http://schemas.openxmlformats.org/officeDocument/2006/relationships/hyperlink" Target="https://zakon.rada.gov.ua/laws/show/215-19" TargetMode="External"/><Relationship Id="rId5443" Type="http://schemas.openxmlformats.org/officeDocument/2006/relationships/hyperlink" Target="https://zakon.rada.gov.ua/laws/show/5414-17" TargetMode="External"/><Relationship Id="rId1779" Type="http://schemas.openxmlformats.org/officeDocument/2006/relationships/hyperlink" Target="https://zakon.rada.gov.ua/laws/show/2658-14" TargetMode="External"/><Relationship Id="rId1986" Type="http://schemas.openxmlformats.org/officeDocument/2006/relationships/hyperlink" Target="https://zakon.rada.gov.ua/laws/show/z0137-16" TargetMode="External"/><Relationship Id="rId4045" Type="http://schemas.openxmlformats.org/officeDocument/2006/relationships/hyperlink" Target="https://zakon.rada.gov.ua/laws/show/21-2018-%D0%BF" TargetMode="External"/><Relationship Id="rId4252" Type="http://schemas.openxmlformats.org/officeDocument/2006/relationships/hyperlink" Target="https://zakon.rada.gov.ua/laws/show/2755-17/print" TargetMode="External"/><Relationship Id="rId5650" Type="http://schemas.openxmlformats.org/officeDocument/2006/relationships/hyperlink" Target="https://zakon.rada.gov.ua/laws/show/2245-19" TargetMode="External"/><Relationship Id="rId1639" Type="http://schemas.openxmlformats.org/officeDocument/2006/relationships/hyperlink" Target="https://zakon.rada.gov.ua/laws/show/5083-17" TargetMode="External"/><Relationship Id="rId1846" Type="http://schemas.openxmlformats.org/officeDocument/2006/relationships/hyperlink" Target="https://zakon.rada.gov.ua/laws/show/4834-17" TargetMode="External"/><Relationship Id="rId3061" Type="http://schemas.openxmlformats.org/officeDocument/2006/relationships/hyperlink" Target="https://zakon.rada.gov.ua/laws/show/4915-17" TargetMode="External"/><Relationship Id="rId5303" Type="http://schemas.openxmlformats.org/officeDocument/2006/relationships/hyperlink" Target="https://zakon.rada.gov.ua/laws/show/1200-18" TargetMode="External"/><Relationship Id="rId5510" Type="http://schemas.openxmlformats.org/officeDocument/2006/relationships/hyperlink" Target="https://zakon.rada.gov.ua/laws/show/909-19" TargetMode="External"/><Relationship Id="rId1706" Type="http://schemas.openxmlformats.org/officeDocument/2006/relationships/hyperlink" Target="https://zakon.rada.gov.ua/laws/show/657-18" TargetMode="External"/><Relationship Id="rId1913" Type="http://schemas.openxmlformats.org/officeDocument/2006/relationships/hyperlink" Target="https://zakon.rada.gov.ua/laws/show/1797-19" TargetMode="External"/><Relationship Id="rId4112" Type="http://schemas.openxmlformats.org/officeDocument/2006/relationships/hyperlink" Target="https://zakon.rada.gov.ua/laws/show/584%D0%B0-18" TargetMode="External"/><Relationship Id="rId3878" Type="http://schemas.openxmlformats.org/officeDocument/2006/relationships/hyperlink" Target="https://zakon.rada.gov.ua/laws/show/71-19" TargetMode="External"/><Relationship Id="rId4929" Type="http://schemas.openxmlformats.org/officeDocument/2006/relationships/hyperlink" Target="https://zakon.rada.gov.ua/laws/show/71-19" TargetMode="External"/><Relationship Id="rId6077" Type="http://schemas.openxmlformats.org/officeDocument/2006/relationships/hyperlink" Target="https://zakon.rada.gov.ua/laws/show/2628-19" TargetMode="External"/><Relationship Id="rId6284" Type="http://schemas.openxmlformats.org/officeDocument/2006/relationships/hyperlink" Target="https://zakon.rada.gov.ua/laws/show/2755-17/print" TargetMode="External"/><Relationship Id="rId799" Type="http://schemas.openxmlformats.org/officeDocument/2006/relationships/hyperlink" Target="https://zakon.rada.gov.ua/laws/show/2755-17/print" TargetMode="External"/><Relationship Id="rId2687" Type="http://schemas.openxmlformats.org/officeDocument/2006/relationships/hyperlink" Target="https://zakon.rada.gov.ua/laws/show/2755-17/print" TargetMode="External"/><Relationship Id="rId2894" Type="http://schemas.openxmlformats.org/officeDocument/2006/relationships/hyperlink" Target="https://zakon.rada.gov.ua/laws/show/657-18" TargetMode="External"/><Relationship Id="rId3738" Type="http://schemas.openxmlformats.org/officeDocument/2006/relationships/hyperlink" Target="https://zakon.rada.gov.ua/laws/show/2755-17/print" TargetMode="External"/><Relationship Id="rId5093" Type="http://schemas.openxmlformats.org/officeDocument/2006/relationships/hyperlink" Target="https://zakon.rada.gov.ua/laws/show/4834-17" TargetMode="External"/><Relationship Id="rId6144" Type="http://schemas.openxmlformats.org/officeDocument/2006/relationships/hyperlink" Target="https://zakon.rada.gov.ua/laws/show/71-19" TargetMode="External"/><Relationship Id="rId659" Type="http://schemas.openxmlformats.org/officeDocument/2006/relationships/hyperlink" Target="https://zakon.rada.gov.ua/laws/show/1797-19" TargetMode="External"/><Relationship Id="rId866" Type="http://schemas.openxmlformats.org/officeDocument/2006/relationships/hyperlink" Target="https://zakon.rada.gov.ua/laws/show/1797-19" TargetMode="External"/><Relationship Id="rId1289" Type="http://schemas.openxmlformats.org/officeDocument/2006/relationships/hyperlink" Target="https://zakon.rada.gov.ua/laws/show/z1267-14" TargetMode="External"/><Relationship Id="rId1496" Type="http://schemas.openxmlformats.org/officeDocument/2006/relationships/hyperlink" Target="https://zakon.rada.gov.ua/laws/show/323-20" TargetMode="External"/><Relationship Id="rId2547" Type="http://schemas.openxmlformats.org/officeDocument/2006/relationships/hyperlink" Target="https://zakon.rada.gov.ua/laws/show/2755-17/print" TargetMode="External"/><Relationship Id="rId3945" Type="http://schemas.openxmlformats.org/officeDocument/2006/relationships/hyperlink" Target="https://zakon.rada.gov.ua/laws/show/71-19" TargetMode="External"/><Relationship Id="rId5160" Type="http://schemas.openxmlformats.org/officeDocument/2006/relationships/hyperlink" Target="https://zakon.rada.gov.ua/laws/show/422-18" TargetMode="External"/><Relationship Id="rId6004" Type="http://schemas.openxmlformats.org/officeDocument/2006/relationships/hyperlink" Target="https://zakon.rada.gov.ua/laws/show/2755-17/print" TargetMode="External"/><Relationship Id="rId6211" Type="http://schemas.openxmlformats.org/officeDocument/2006/relationships/hyperlink" Target="https://zakon.rada.gov.ua/laws/show/71-19" TargetMode="External"/><Relationship Id="rId519" Type="http://schemas.openxmlformats.org/officeDocument/2006/relationships/hyperlink" Target="https://zakon.rada.gov.ua/laws/show/71-19" TargetMode="External"/><Relationship Id="rId1149" Type="http://schemas.openxmlformats.org/officeDocument/2006/relationships/hyperlink" Target="https://zakon.rada.gov.ua/laws/show/2755-17/print" TargetMode="External"/><Relationship Id="rId1356" Type="http://schemas.openxmlformats.org/officeDocument/2006/relationships/hyperlink" Target="https://zakon.rada.gov.ua/laws/show/909-19" TargetMode="External"/><Relationship Id="rId2754" Type="http://schemas.openxmlformats.org/officeDocument/2006/relationships/hyperlink" Target="https://zakon.rada.gov.ua/laws/show/z1686-13" TargetMode="External"/><Relationship Id="rId2961" Type="http://schemas.openxmlformats.org/officeDocument/2006/relationships/hyperlink" Target="https://zakon.rada.gov.ua/laws/show/2755-17/print" TargetMode="External"/><Relationship Id="rId3805" Type="http://schemas.openxmlformats.org/officeDocument/2006/relationships/hyperlink" Target="https://zakon.rada.gov.ua/laws/show/71-19" TargetMode="External"/><Relationship Id="rId5020" Type="http://schemas.openxmlformats.org/officeDocument/2006/relationships/hyperlink" Target="https://zakon.rada.gov.ua/laws/show/71-19" TargetMode="External"/><Relationship Id="rId726" Type="http://schemas.openxmlformats.org/officeDocument/2006/relationships/hyperlink" Target="https://zakon.rada.gov.ua/laws/show/3609-17" TargetMode="External"/><Relationship Id="rId933" Type="http://schemas.openxmlformats.org/officeDocument/2006/relationships/hyperlink" Target="https://zakon.rada.gov.ua/laws/show/1797-19" TargetMode="External"/><Relationship Id="rId1009" Type="http://schemas.openxmlformats.org/officeDocument/2006/relationships/hyperlink" Target="https://zakon.rada.gov.ua/laws/show/z0137-16" TargetMode="External"/><Relationship Id="rId1563" Type="http://schemas.openxmlformats.org/officeDocument/2006/relationships/hyperlink" Target="https://zakon.rada.gov.ua/laws/show/71-19" TargetMode="External"/><Relationship Id="rId1770" Type="http://schemas.openxmlformats.org/officeDocument/2006/relationships/hyperlink" Target="https://zakon.rada.gov.ua/laws/show/2755-17/print" TargetMode="External"/><Relationship Id="rId2407" Type="http://schemas.openxmlformats.org/officeDocument/2006/relationships/hyperlink" Target="https://zakon.rada.gov.ua/laws/show/321-19" TargetMode="External"/><Relationship Id="rId2614" Type="http://schemas.openxmlformats.org/officeDocument/2006/relationships/hyperlink" Target="https://zakon.rada.gov.ua/laws/show/2755-17/print" TargetMode="External"/><Relationship Id="rId2821" Type="http://schemas.openxmlformats.org/officeDocument/2006/relationships/hyperlink" Target="https://zakon.rada.gov.ua/laws/show/z1456-14" TargetMode="External"/><Relationship Id="rId5977" Type="http://schemas.openxmlformats.org/officeDocument/2006/relationships/hyperlink" Target="https://zakon.rada.gov.ua/laws/show/2245-19" TargetMode="External"/><Relationship Id="rId62" Type="http://schemas.openxmlformats.org/officeDocument/2006/relationships/hyperlink" Target="https://zakon.rada.gov.ua/laws/show/767-18" TargetMode="External"/><Relationship Id="rId1216" Type="http://schemas.openxmlformats.org/officeDocument/2006/relationships/hyperlink" Target="https://zakon.rada.gov.ua/laws/show/1797-19" TargetMode="External"/><Relationship Id="rId1423" Type="http://schemas.openxmlformats.org/officeDocument/2006/relationships/hyperlink" Target="https://zakon.rada.gov.ua/laws/show/z2211-13" TargetMode="External"/><Relationship Id="rId1630" Type="http://schemas.openxmlformats.org/officeDocument/2006/relationships/hyperlink" Target="https://zakon.rada.gov.ua/laws/show/2755-17/print" TargetMode="External"/><Relationship Id="rId4579" Type="http://schemas.openxmlformats.org/officeDocument/2006/relationships/hyperlink" Target="https://zakon.rada.gov.ua/laws/show/1797-19" TargetMode="External"/><Relationship Id="rId4786" Type="http://schemas.openxmlformats.org/officeDocument/2006/relationships/hyperlink" Target="https://zakon.rada.gov.ua/laws/show/va375202-05" TargetMode="External"/><Relationship Id="rId4993" Type="http://schemas.openxmlformats.org/officeDocument/2006/relationships/hyperlink" Target="https://zakon.rada.gov.ua/laws/show/5083-17" TargetMode="External"/><Relationship Id="rId5837" Type="http://schemas.openxmlformats.org/officeDocument/2006/relationships/hyperlink" Target="https://zakon.rada.gov.ua/laws/show/2755-17/print" TargetMode="External"/><Relationship Id="rId3388" Type="http://schemas.openxmlformats.org/officeDocument/2006/relationships/hyperlink" Target="https://zakon.rada.gov.ua/laws/show/z1415-15" TargetMode="External"/><Relationship Id="rId3595" Type="http://schemas.openxmlformats.org/officeDocument/2006/relationships/hyperlink" Target="https://zakon.rada.gov.ua/laws/show/71-19" TargetMode="External"/><Relationship Id="rId4439" Type="http://schemas.openxmlformats.org/officeDocument/2006/relationships/hyperlink" Target="https://zakon.rada.gov.ua/laws/show/71-19" TargetMode="External"/><Relationship Id="rId4646" Type="http://schemas.openxmlformats.org/officeDocument/2006/relationships/hyperlink" Target="https://zakon.rada.gov.ua/laws/show/2628-19" TargetMode="External"/><Relationship Id="rId4853" Type="http://schemas.openxmlformats.org/officeDocument/2006/relationships/hyperlink" Target="https://zakon.rada.gov.ua/laws/show/1797-19" TargetMode="External"/><Relationship Id="rId5904" Type="http://schemas.openxmlformats.org/officeDocument/2006/relationships/hyperlink" Target="https://zakon.rada.gov.ua/laws/show/2245-19" TargetMode="External"/><Relationship Id="rId2197" Type="http://schemas.openxmlformats.org/officeDocument/2006/relationships/hyperlink" Target="https://zakon.rada.gov.ua/laws/show/2245-19" TargetMode="External"/><Relationship Id="rId3248" Type="http://schemas.openxmlformats.org/officeDocument/2006/relationships/hyperlink" Target="https://zakon.rada.gov.ua/laws/show/3609-17" TargetMode="External"/><Relationship Id="rId3455" Type="http://schemas.openxmlformats.org/officeDocument/2006/relationships/hyperlink" Target="https://zakon.rada.gov.ua/laws/show/2155-19" TargetMode="External"/><Relationship Id="rId3662" Type="http://schemas.openxmlformats.org/officeDocument/2006/relationships/hyperlink" Target="https://zakon.rada.gov.ua/laws/show/71-19" TargetMode="External"/><Relationship Id="rId4506" Type="http://schemas.openxmlformats.org/officeDocument/2006/relationships/hyperlink" Target="https://zakon.rada.gov.ua/laws/show/1797-19" TargetMode="External"/><Relationship Id="rId4713" Type="http://schemas.openxmlformats.org/officeDocument/2006/relationships/hyperlink" Target="https://zakon.rada.gov.ua/laws/show/3609-17" TargetMode="External"/><Relationship Id="rId169" Type="http://schemas.openxmlformats.org/officeDocument/2006/relationships/hyperlink" Target="https://zakon.rada.gov.ua/laws/show/4834-17" TargetMode="External"/><Relationship Id="rId376" Type="http://schemas.openxmlformats.org/officeDocument/2006/relationships/hyperlink" Target="https://zakon.rada.gov.ua/laws/show/1257-2000-%D0%BF" TargetMode="External"/><Relationship Id="rId583" Type="http://schemas.openxmlformats.org/officeDocument/2006/relationships/hyperlink" Target="https://zakon.rada.gov.ua/laws/show/584%D0%B0-18" TargetMode="External"/><Relationship Id="rId790" Type="http://schemas.openxmlformats.org/officeDocument/2006/relationships/hyperlink" Target="https://zakon.rada.gov.ua/laws/show/1797-19" TargetMode="External"/><Relationship Id="rId2057" Type="http://schemas.openxmlformats.org/officeDocument/2006/relationships/hyperlink" Target="https://zakon.rada.gov.ua/laws/show/2755-17/print" TargetMode="External"/><Relationship Id="rId2264" Type="http://schemas.openxmlformats.org/officeDocument/2006/relationships/hyperlink" Target="https://zakon.rada.gov.ua/laws/show/1797-19" TargetMode="External"/><Relationship Id="rId2471" Type="http://schemas.openxmlformats.org/officeDocument/2006/relationships/hyperlink" Target="https://zakon.rada.gov.ua/laws/show/71-19" TargetMode="External"/><Relationship Id="rId3108" Type="http://schemas.openxmlformats.org/officeDocument/2006/relationships/hyperlink" Target="https://zakon.rada.gov.ua/laws/show/1240-2010-%D0%BF" TargetMode="External"/><Relationship Id="rId3315" Type="http://schemas.openxmlformats.org/officeDocument/2006/relationships/hyperlink" Target="https://zakon.rada.gov.ua/laws/show/71-19" TargetMode="External"/><Relationship Id="rId3522" Type="http://schemas.openxmlformats.org/officeDocument/2006/relationships/hyperlink" Target="https://zakon.rada.gov.ua/laws/show/1797-19" TargetMode="External"/><Relationship Id="rId4920" Type="http://schemas.openxmlformats.org/officeDocument/2006/relationships/hyperlink" Target="https://zakon.rada.gov.ua/laws/show/1791-19" TargetMode="External"/><Relationship Id="rId236" Type="http://schemas.openxmlformats.org/officeDocument/2006/relationships/hyperlink" Target="https://zakon.rada.gov.ua/laws/show/1791-19" TargetMode="External"/><Relationship Id="rId443" Type="http://schemas.openxmlformats.org/officeDocument/2006/relationships/hyperlink" Target="https://zakon.rada.gov.ua/laws/show/2664-14" TargetMode="External"/><Relationship Id="rId650" Type="http://schemas.openxmlformats.org/officeDocument/2006/relationships/hyperlink" Target="https://zakon.rada.gov.ua/laws/show/1797-19" TargetMode="External"/><Relationship Id="rId1073" Type="http://schemas.openxmlformats.org/officeDocument/2006/relationships/hyperlink" Target="https://zakon.rada.gov.ua/laws/show/2755-17/print" TargetMode="External"/><Relationship Id="rId1280" Type="http://schemas.openxmlformats.org/officeDocument/2006/relationships/hyperlink" Target="https://zakon.rada.gov.ua/laws/show/657-18" TargetMode="External"/><Relationship Id="rId2124" Type="http://schemas.openxmlformats.org/officeDocument/2006/relationships/hyperlink" Target="https://zakon.rada.gov.ua/laws/show/2755-17/print" TargetMode="External"/><Relationship Id="rId2331" Type="http://schemas.openxmlformats.org/officeDocument/2006/relationships/hyperlink" Target="https://zakon.rada.gov.ua/laws/show/5519-17" TargetMode="External"/><Relationship Id="rId5487" Type="http://schemas.openxmlformats.org/officeDocument/2006/relationships/hyperlink" Target="https://zakon.rada.gov.ua/laws/show/2755-17/print" TargetMode="External"/><Relationship Id="rId303" Type="http://schemas.openxmlformats.org/officeDocument/2006/relationships/hyperlink" Target="https://zakon.rada.gov.ua/laws/show/71-19" TargetMode="External"/><Relationship Id="rId1140" Type="http://schemas.openxmlformats.org/officeDocument/2006/relationships/hyperlink" Target="https://zakon.rada.gov.ua/laws/show/1797-19" TargetMode="External"/><Relationship Id="rId4089" Type="http://schemas.openxmlformats.org/officeDocument/2006/relationships/hyperlink" Target="https://zakon.rada.gov.ua/laws/show/391-20" TargetMode="External"/><Relationship Id="rId4296" Type="http://schemas.openxmlformats.org/officeDocument/2006/relationships/hyperlink" Target="https://zakon.rada.gov.ua/laws/show/584%D0%B0-18" TargetMode="External"/><Relationship Id="rId5694" Type="http://schemas.openxmlformats.org/officeDocument/2006/relationships/hyperlink" Target="https://zakon.rada.gov.ua/laws/show/2628-19" TargetMode="External"/><Relationship Id="rId510" Type="http://schemas.openxmlformats.org/officeDocument/2006/relationships/hyperlink" Target="https://zakon.rada.gov.ua/laws/show/3609-17" TargetMode="External"/><Relationship Id="rId5347" Type="http://schemas.openxmlformats.org/officeDocument/2006/relationships/hyperlink" Target="https://zakon.rada.gov.ua/laws/show/1795-19" TargetMode="External"/><Relationship Id="rId5554" Type="http://schemas.openxmlformats.org/officeDocument/2006/relationships/hyperlink" Target="https://zakon.rada.gov.ua/laws/show/2755-17/print" TargetMode="External"/><Relationship Id="rId5761" Type="http://schemas.openxmlformats.org/officeDocument/2006/relationships/hyperlink" Target="https://zakon.rada.gov.ua/laws/show/2755-17/print" TargetMode="External"/><Relationship Id="rId1000" Type="http://schemas.openxmlformats.org/officeDocument/2006/relationships/hyperlink" Target="https://zakon.rada.gov.ua/laws/show/2725-19" TargetMode="External"/><Relationship Id="rId1957" Type="http://schemas.openxmlformats.org/officeDocument/2006/relationships/hyperlink" Target="https://zakon.rada.gov.ua/laws/show/2755-17/print" TargetMode="External"/><Relationship Id="rId4156" Type="http://schemas.openxmlformats.org/officeDocument/2006/relationships/hyperlink" Target="https://zakon.rada.gov.ua/laws/show/5503-17" TargetMode="External"/><Relationship Id="rId4363" Type="http://schemas.openxmlformats.org/officeDocument/2006/relationships/hyperlink" Target="https://zakon.rada.gov.ua/laws/show/1191-18" TargetMode="External"/><Relationship Id="rId4570" Type="http://schemas.openxmlformats.org/officeDocument/2006/relationships/hyperlink" Target="https://zakon.rada.gov.ua/laws/show/71-19" TargetMode="External"/><Relationship Id="rId5207" Type="http://schemas.openxmlformats.org/officeDocument/2006/relationships/hyperlink" Target="https://zakon.rada.gov.ua/laws/show/254%D0%BA/96-%D0%B2%D1%80" TargetMode="External"/><Relationship Id="rId5414" Type="http://schemas.openxmlformats.org/officeDocument/2006/relationships/hyperlink" Target="https://zakon.rada.gov.ua/laws/show/2628-19" TargetMode="External"/><Relationship Id="rId5621" Type="http://schemas.openxmlformats.org/officeDocument/2006/relationships/hyperlink" Target="https://zakon.rada.gov.ua/laws/show/2755-17/print" TargetMode="External"/><Relationship Id="rId1817" Type="http://schemas.openxmlformats.org/officeDocument/2006/relationships/hyperlink" Target="https://zakon.rada.gov.ua/laws/show/1797-19" TargetMode="External"/><Relationship Id="rId3172" Type="http://schemas.openxmlformats.org/officeDocument/2006/relationships/hyperlink" Target="https://zakon.rada.gov.ua/laws/show/71-19" TargetMode="External"/><Relationship Id="rId4016" Type="http://schemas.openxmlformats.org/officeDocument/2006/relationships/hyperlink" Target="https://zakon.rada.gov.ua/laws/show/2371%D0%B0-14" TargetMode="External"/><Relationship Id="rId4223" Type="http://schemas.openxmlformats.org/officeDocument/2006/relationships/hyperlink" Target="https://zakon.rada.gov.ua/laws/show/391-20" TargetMode="External"/><Relationship Id="rId4430" Type="http://schemas.openxmlformats.org/officeDocument/2006/relationships/hyperlink" Target="https://zakon.rada.gov.ua/laws/show/1791-19" TargetMode="External"/><Relationship Id="rId3032" Type="http://schemas.openxmlformats.org/officeDocument/2006/relationships/hyperlink" Target="https://zakon.rada.gov.ua/laws/show/1166-18" TargetMode="External"/><Relationship Id="rId6188" Type="http://schemas.openxmlformats.org/officeDocument/2006/relationships/hyperlink" Target="https://zakon.rada.gov.ua/laws/show/2755-17/print" TargetMode="External"/><Relationship Id="rId160" Type="http://schemas.openxmlformats.org/officeDocument/2006/relationships/hyperlink" Target="https://zakon.rada.gov.ua/laws/show/254%D0%BA/96-%D0%B2%D1%80" TargetMode="External"/><Relationship Id="rId3989" Type="http://schemas.openxmlformats.org/officeDocument/2006/relationships/hyperlink" Target="https://zakon.rada.gov.ua/laws/show/2628-19" TargetMode="External"/><Relationship Id="rId6048" Type="http://schemas.openxmlformats.org/officeDocument/2006/relationships/hyperlink" Target="https://zakon.rada.gov.ua/laws/show/129-20" TargetMode="External"/><Relationship Id="rId6255" Type="http://schemas.openxmlformats.org/officeDocument/2006/relationships/hyperlink" Target="https://zakon.rada.gov.ua/laws/show/2245-19" TargetMode="External"/><Relationship Id="rId2798" Type="http://schemas.openxmlformats.org/officeDocument/2006/relationships/hyperlink" Target="https://zakon.rada.gov.ua/laws/show/2755-17/print" TargetMode="External"/><Relationship Id="rId3849" Type="http://schemas.openxmlformats.org/officeDocument/2006/relationships/hyperlink" Target="https://zakon.rada.gov.ua/laws/show/2755-17/print" TargetMode="External"/><Relationship Id="rId5064" Type="http://schemas.openxmlformats.org/officeDocument/2006/relationships/hyperlink" Target="https://zakon.rada.gov.ua/laws/show/2497-19" TargetMode="External"/><Relationship Id="rId5271" Type="http://schemas.openxmlformats.org/officeDocument/2006/relationships/hyperlink" Target="https://zakon.rada.gov.ua/laws/show/71-19" TargetMode="External"/><Relationship Id="rId6115" Type="http://schemas.openxmlformats.org/officeDocument/2006/relationships/hyperlink" Target="https://zakon.rada.gov.ua/laws/show/2755-17/print" TargetMode="External"/><Relationship Id="rId977" Type="http://schemas.openxmlformats.org/officeDocument/2006/relationships/hyperlink" Target="https://zakon.rada.gov.ua/laws/show/1260-18" TargetMode="External"/><Relationship Id="rId2658" Type="http://schemas.openxmlformats.org/officeDocument/2006/relationships/hyperlink" Target="https://zakon.rada.gov.ua/laws/show/1588-18" TargetMode="External"/><Relationship Id="rId2865" Type="http://schemas.openxmlformats.org/officeDocument/2006/relationships/hyperlink" Target="https://zakon.rada.gov.ua/laws/show/2755-17/print" TargetMode="External"/><Relationship Id="rId3709" Type="http://schemas.openxmlformats.org/officeDocument/2006/relationships/hyperlink" Target="https://zakon.rada.gov.ua/laws/show/5083-17" TargetMode="External"/><Relationship Id="rId3916" Type="http://schemas.openxmlformats.org/officeDocument/2006/relationships/hyperlink" Target="https://zakon.rada.gov.ua/laws/show/2755-17/print" TargetMode="External"/><Relationship Id="rId4080" Type="http://schemas.openxmlformats.org/officeDocument/2006/relationships/hyperlink" Target="https://zakon.rada.gov.ua/laws/show/584%D0%B0-18" TargetMode="External"/><Relationship Id="rId837" Type="http://schemas.openxmlformats.org/officeDocument/2006/relationships/hyperlink" Target="https://zakon.rada.gov.ua/laws/show/2755-17/print" TargetMode="External"/><Relationship Id="rId1467" Type="http://schemas.openxmlformats.org/officeDocument/2006/relationships/hyperlink" Target="https://zakon.rada.gov.ua/laws/show/2755-17/print" TargetMode="External"/><Relationship Id="rId1674" Type="http://schemas.openxmlformats.org/officeDocument/2006/relationships/hyperlink" Target="https://zakon.rada.gov.ua/laws/show/909-19" TargetMode="External"/><Relationship Id="rId1881" Type="http://schemas.openxmlformats.org/officeDocument/2006/relationships/hyperlink" Target="https://zakon.rada.gov.ua/laws/show/3609-17" TargetMode="External"/><Relationship Id="rId2518" Type="http://schemas.openxmlformats.org/officeDocument/2006/relationships/hyperlink" Target="https://zakon.rada.gov.ua/laws/show/3551-12" TargetMode="External"/><Relationship Id="rId2725" Type="http://schemas.openxmlformats.org/officeDocument/2006/relationships/hyperlink" Target="https://zakon.rada.gov.ua/laws/show/z0871-17" TargetMode="External"/><Relationship Id="rId2932" Type="http://schemas.openxmlformats.org/officeDocument/2006/relationships/hyperlink" Target="https://zakon.rada.gov.ua/laws/show/2755-17/print" TargetMode="External"/><Relationship Id="rId5131" Type="http://schemas.openxmlformats.org/officeDocument/2006/relationships/hyperlink" Target="https://zakon.rada.gov.ua/laws/show/5412-17" TargetMode="External"/><Relationship Id="rId904" Type="http://schemas.openxmlformats.org/officeDocument/2006/relationships/hyperlink" Target="https://zakon.rada.gov.ua/laws/show/1797-19" TargetMode="External"/><Relationship Id="rId1327" Type="http://schemas.openxmlformats.org/officeDocument/2006/relationships/hyperlink" Target="https://zakon.rada.gov.ua/laws/show/1797-19" TargetMode="External"/><Relationship Id="rId1534" Type="http://schemas.openxmlformats.org/officeDocument/2006/relationships/hyperlink" Target="https://zakon.rada.gov.ua/laws/show/1797-19" TargetMode="External"/><Relationship Id="rId1741" Type="http://schemas.openxmlformats.org/officeDocument/2006/relationships/hyperlink" Target="https://zakon.rada.gov.ua/laws/show/655-19" TargetMode="External"/><Relationship Id="rId4897" Type="http://schemas.openxmlformats.org/officeDocument/2006/relationships/hyperlink" Target="https://zakon.rada.gov.ua/laws/show/4834-17" TargetMode="External"/><Relationship Id="rId5948" Type="http://schemas.openxmlformats.org/officeDocument/2006/relationships/hyperlink" Target="https://zakon.rada.gov.ua/laws/show/2755-17/print" TargetMode="External"/><Relationship Id="rId33" Type="http://schemas.openxmlformats.org/officeDocument/2006/relationships/hyperlink" Target="https://zakon.rada.gov.ua/laws/show/5073-17" TargetMode="External"/><Relationship Id="rId1601" Type="http://schemas.openxmlformats.org/officeDocument/2006/relationships/hyperlink" Target="https://zakon.rada.gov.ua/laws/show/71-19" TargetMode="External"/><Relationship Id="rId3499" Type="http://schemas.openxmlformats.org/officeDocument/2006/relationships/hyperlink" Target="https://zakon.rada.gov.ua/laws/show/643-19" TargetMode="External"/><Relationship Id="rId4757" Type="http://schemas.openxmlformats.org/officeDocument/2006/relationships/hyperlink" Target="https://zakon.rada.gov.ua/laws/show/2245-19" TargetMode="External"/><Relationship Id="rId3359" Type="http://schemas.openxmlformats.org/officeDocument/2006/relationships/hyperlink" Target="https://zakon.rada.gov.ua/laws/show/2755-17/print" TargetMode="External"/><Relationship Id="rId3566" Type="http://schemas.openxmlformats.org/officeDocument/2006/relationships/hyperlink" Target="https://zakon.rada.gov.ua/laws/show/2497-19" TargetMode="External"/><Relationship Id="rId4964" Type="http://schemas.openxmlformats.org/officeDocument/2006/relationships/hyperlink" Target="https://zakon.rada.gov.ua/laws/show/5503-17" TargetMode="External"/><Relationship Id="rId5808" Type="http://schemas.openxmlformats.org/officeDocument/2006/relationships/hyperlink" Target="https://zakon.rada.gov.ua/laws/show/3675-17" TargetMode="External"/><Relationship Id="rId487" Type="http://schemas.openxmlformats.org/officeDocument/2006/relationships/hyperlink" Target="https://zakon.rada.gov.ua/laws/show/2755-17/print" TargetMode="External"/><Relationship Id="rId694" Type="http://schemas.openxmlformats.org/officeDocument/2006/relationships/hyperlink" Target="https://zakon.rada.gov.ua/laws/show/2755-17/print" TargetMode="External"/><Relationship Id="rId2168" Type="http://schemas.openxmlformats.org/officeDocument/2006/relationships/hyperlink" Target="https://zakon.rada.gov.ua/laws/show/2628-19" TargetMode="External"/><Relationship Id="rId2375" Type="http://schemas.openxmlformats.org/officeDocument/2006/relationships/hyperlink" Target="https://zakon.rada.gov.ua/laws/show/1797-19" TargetMode="External"/><Relationship Id="rId3219" Type="http://schemas.openxmlformats.org/officeDocument/2006/relationships/hyperlink" Target="https://zakon.rada.gov.ua/laws/show/643-19" TargetMode="External"/><Relationship Id="rId3773" Type="http://schemas.openxmlformats.org/officeDocument/2006/relationships/hyperlink" Target="https://zakon.rada.gov.ua/laws/show/584%D0%B0-18" TargetMode="External"/><Relationship Id="rId3980" Type="http://schemas.openxmlformats.org/officeDocument/2006/relationships/hyperlink" Target="https://zakon.rada.gov.ua/laws/show/2755-17/print" TargetMode="External"/><Relationship Id="rId4617" Type="http://schemas.openxmlformats.org/officeDocument/2006/relationships/hyperlink" Target="https://zakon.rada.gov.ua/laws/show/1791-19" TargetMode="External"/><Relationship Id="rId4824" Type="http://schemas.openxmlformats.org/officeDocument/2006/relationships/hyperlink" Target="https://zakon.rada.gov.ua/laws/show/71-19" TargetMode="External"/><Relationship Id="rId347" Type="http://schemas.openxmlformats.org/officeDocument/2006/relationships/hyperlink" Target="https://zakon.rada.gov.ua/laws/show/2371%D0%B3-14" TargetMode="External"/><Relationship Id="rId1184" Type="http://schemas.openxmlformats.org/officeDocument/2006/relationships/hyperlink" Target="https://zakon.rada.gov.ua/laws/show/2755-17/print" TargetMode="External"/><Relationship Id="rId2028" Type="http://schemas.openxmlformats.org/officeDocument/2006/relationships/hyperlink" Target="https://zakon.rada.gov.ua/laws/show/2628-19" TargetMode="External"/><Relationship Id="rId2582" Type="http://schemas.openxmlformats.org/officeDocument/2006/relationships/hyperlink" Target="https://zakon.rada.gov.ua/laws/show/4834-17" TargetMode="External"/><Relationship Id="rId3426" Type="http://schemas.openxmlformats.org/officeDocument/2006/relationships/hyperlink" Target="https://zakon.rada.gov.ua/laws/show/643-19" TargetMode="External"/><Relationship Id="rId3633" Type="http://schemas.openxmlformats.org/officeDocument/2006/relationships/hyperlink" Target="https://zakon.rada.gov.ua/laws/show/va375202-05" TargetMode="External"/><Relationship Id="rId3840" Type="http://schemas.openxmlformats.org/officeDocument/2006/relationships/hyperlink" Target="https://zakon.rada.gov.ua/laws/show/1191-18" TargetMode="External"/><Relationship Id="rId554" Type="http://schemas.openxmlformats.org/officeDocument/2006/relationships/hyperlink" Target="https://zakon.rada.gov.ua/laws/show/71-19" TargetMode="External"/><Relationship Id="rId761" Type="http://schemas.openxmlformats.org/officeDocument/2006/relationships/hyperlink" Target="https://zakon.rada.gov.ua/laws/show/2245-19" TargetMode="External"/><Relationship Id="rId1391" Type="http://schemas.openxmlformats.org/officeDocument/2006/relationships/hyperlink" Target="https://zakon.rada.gov.ua/laws/show/1797-19" TargetMode="External"/><Relationship Id="rId2235" Type="http://schemas.openxmlformats.org/officeDocument/2006/relationships/hyperlink" Target="https://zakon.rada.gov.ua/laws/show/1797-19" TargetMode="External"/><Relationship Id="rId2442" Type="http://schemas.openxmlformats.org/officeDocument/2006/relationships/hyperlink" Target="https://zakon.rada.gov.ua/laws/show/909-19" TargetMode="External"/><Relationship Id="rId3700" Type="http://schemas.openxmlformats.org/officeDocument/2006/relationships/hyperlink" Target="https://zakon.rada.gov.ua/laws/show/584%D0%B0-18" TargetMode="External"/><Relationship Id="rId5598" Type="http://schemas.openxmlformats.org/officeDocument/2006/relationships/hyperlink" Target="https://zakon.rada.gov.ua/laws/show/2755-17/print" TargetMode="External"/><Relationship Id="rId207" Type="http://schemas.openxmlformats.org/officeDocument/2006/relationships/hyperlink" Target="https://zakon.rada.gov.ua/laws/show/2371%D0%B0-14" TargetMode="External"/><Relationship Id="rId414" Type="http://schemas.openxmlformats.org/officeDocument/2006/relationships/hyperlink" Target="https://zakon.rada.gov.ua/laws/show/5503-17" TargetMode="External"/><Relationship Id="rId621" Type="http://schemas.openxmlformats.org/officeDocument/2006/relationships/hyperlink" Target="https://zakon.rada.gov.ua/laws/show/2755-17/print" TargetMode="External"/><Relationship Id="rId1044" Type="http://schemas.openxmlformats.org/officeDocument/2006/relationships/hyperlink" Target="https://zakon.rada.gov.ua/laws/show/5083-17" TargetMode="External"/><Relationship Id="rId1251" Type="http://schemas.openxmlformats.org/officeDocument/2006/relationships/hyperlink" Target="https://zakon.rada.gov.ua/laws/show/909-19" TargetMode="External"/><Relationship Id="rId2302" Type="http://schemas.openxmlformats.org/officeDocument/2006/relationships/hyperlink" Target="https://zakon.rada.gov.ua/laws/show/2755-17/print" TargetMode="External"/><Relationship Id="rId5458" Type="http://schemas.openxmlformats.org/officeDocument/2006/relationships/hyperlink" Target="https://zakon.rada.gov.ua/laws/show/555-19" TargetMode="External"/><Relationship Id="rId5665" Type="http://schemas.openxmlformats.org/officeDocument/2006/relationships/hyperlink" Target="https://zakon.rada.gov.ua/laws/show/2755-17/print" TargetMode="External"/><Relationship Id="rId5872" Type="http://schemas.openxmlformats.org/officeDocument/2006/relationships/hyperlink" Target="https://zakon.rada.gov.ua/laws/show/425-20" TargetMode="External"/><Relationship Id="rId1111" Type="http://schemas.openxmlformats.org/officeDocument/2006/relationships/hyperlink" Target="https://zakon.rada.gov.ua/laws/show/2725-19" TargetMode="External"/><Relationship Id="rId4267" Type="http://schemas.openxmlformats.org/officeDocument/2006/relationships/hyperlink" Target="https://zakon.rada.gov.ua/laws/show/391-20" TargetMode="External"/><Relationship Id="rId4474" Type="http://schemas.openxmlformats.org/officeDocument/2006/relationships/hyperlink" Target="https://zakon.rada.gov.ua/laws/show/1191-18" TargetMode="External"/><Relationship Id="rId4681" Type="http://schemas.openxmlformats.org/officeDocument/2006/relationships/hyperlink" Target="https://zakon.rada.gov.ua/laws/show/71-19" TargetMode="External"/><Relationship Id="rId5318" Type="http://schemas.openxmlformats.org/officeDocument/2006/relationships/hyperlink" Target="https://zakon.rada.gov.ua/laws/show/5083-17" TargetMode="External"/><Relationship Id="rId5525" Type="http://schemas.openxmlformats.org/officeDocument/2006/relationships/hyperlink" Target="https://zakon.rada.gov.ua/laws/show/2755-17/print" TargetMode="External"/><Relationship Id="rId5732" Type="http://schemas.openxmlformats.org/officeDocument/2006/relationships/hyperlink" Target="https://zakon.rada.gov.ua/laws/show/5083-17" TargetMode="External"/><Relationship Id="rId3076" Type="http://schemas.openxmlformats.org/officeDocument/2006/relationships/hyperlink" Target="https://zakon.rada.gov.ua/laws/show/4834-17" TargetMode="External"/><Relationship Id="rId3283" Type="http://schemas.openxmlformats.org/officeDocument/2006/relationships/hyperlink" Target="https://zakon.rada.gov.ua/laws/show/1791-19" TargetMode="External"/><Relationship Id="rId3490" Type="http://schemas.openxmlformats.org/officeDocument/2006/relationships/hyperlink" Target="https://zakon.rada.gov.ua/laws/show/2755-17/print" TargetMode="External"/><Relationship Id="rId4127" Type="http://schemas.openxmlformats.org/officeDocument/2006/relationships/hyperlink" Target="https://zakon.rada.gov.ua/laws/show/584%D0%B0-18" TargetMode="External"/><Relationship Id="rId4334" Type="http://schemas.openxmlformats.org/officeDocument/2006/relationships/hyperlink" Target="https://zakon.rada.gov.ua/laws/show/2628-19" TargetMode="External"/><Relationship Id="rId4541" Type="http://schemas.openxmlformats.org/officeDocument/2006/relationships/hyperlink" Target="https://zakon.rada.gov.ua/laws/show/2755-17/print" TargetMode="External"/><Relationship Id="rId1928" Type="http://schemas.openxmlformats.org/officeDocument/2006/relationships/hyperlink" Target="https://zakon.rada.gov.ua/laws/show/4652-17" TargetMode="External"/><Relationship Id="rId2092" Type="http://schemas.openxmlformats.org/officeDocument/2006/relationships/hyperlink" Target="https://zakon.rada.gov.ua/laws/show/1797-19" TargetMode="External"/><Relationship Id="rId3143" Type="http://schemas.openxmlformats.org/officeDocument/2006/relationships/hyperlink" Target="https://zakon.rada.gov.ua/laws/show/1665-19" TargetMode="External"/><Relationship Id="rId3350" Type="http://schemas.openxmlformats.org/officeDocument/2006/relationships/hyperlink" Target="https://zakon.rada.gov.ua/laws/show/2755-17/print" TargetMode="External"/><Relationship Id="rId6299" Type="http://schemas.openxmlformats.org/officeDocument/2006/relationships/hyperlink" Target="https://zakon.rada.gov.ua/laws/show/2755-17/print" TargetMode="External"/><Relationship Id="rId271" Type="http://schemas.openxmlformats.org/officeDocument/2006/relationships/hyperlink" Target="https://zakon.rada.gov.ua/laws/show/71-19" TargetMode="External"/><Relationship Id="rId3003" Type="http://schemas.openxmlformats.org/officeDocument/2006/relationships/hyperlink" Target="https://zakon.rada.gov.ua/laws/show/4495-17" TargetMode="External"/><Relationship Id="rId4401" Type="http://schemas.openxmlformats.org/officeDocument/2006/relationships/hyperlink" Target="https://zakon.rada.gov.ua/laws/show/5503-17" TargetMode="External"/><Relationship Id="rId6159" Type="http://schemas.openxmlformats.org/officeDocument/2006/relationships/hyperlink" Target="https://zakon.rada.gov.ua/laws/show/2755-17/print" TargetMode="External"/><Relationship Id="rId131" Type="http://schemas.openxmlformats.org/officeDocument/2006/relationships/hyperlink" Target="https://zakon.rada.gov.ua/laws/show/2611-19" TargetMode="External"/><Relationship Id="rId3210" Type="http://schemas.openxmlformats.org/officeDocument/2006/relationships/hyperlink" Target="https://zakon.rada.gov.ua/laws/show/1797-19" TargetMode="External"/><Relationship Id="rId2769" Type="http://schemas.openxmlformats.org/officeDocument/2006/relationships/hyperlink" Target="https://zakon.rada.gov.ua/laws/show/z1686-13" TargetMode="External"/><Relationship Id="rId2976" Type="http://schemas.openxmlformats.org/officeDocument/2006/relationships/hyperlink" Target="https://zakon.rada.gov.ua/laws/show/2755-17/print" TargetMode="External"/><Relationship Id="rId5175" Type="http://schemas.openxmlformats.org/officeDocument/2006/relationships/hyperlink" Target="https://zakon.rada.gov.ua/laws/show/5412-17" TargetMode="External"/><Relationship Id="rId5382" Type="http://schemas.openxmlformats.org/officeDocument/2006/relationships/hyperlink" Target="https://zakon.rada.gov.ua/laws/show/2755-17/print" TargetMode="External"/><Relationship Id="rId6019" Type="http://schemas.openxmlformats.org/officeDocument/2006/relationships/hyperlink" Target="https://zakon.rada.gov.ua/laws/show/2755-17/print" TargetMode="External"/><Relationship Id="rId6226" Type="http://schemas.openxmlformats.org/officeDocument/2006/relationships/hyperlink" Target="https://zakon.rada.gov.ua/laws/show/254-19" TargetMode="External"/><Relationship Id="rId948" Type="http://schemas.openxmlformats.org/officeDocument/2006/relationships/hyperlink" Target="https://zakon.rada.gov.ua/laws/show/1797-19" TargetMode="External"/><Relationship Id="rId1578" Type="http://schemas.openxmlformats.org/officeDocument/2006/relationships/hyperlink" Target="https://zakon.rada.gov.ua/laws/show/2755-17/print" TargetMode="External"/><Relationship Id="rId1785" Type="http://schemas.openxmlformats.org/officeDocument/2006/relationships/hyperlink" Target="https://zakon.rada.gov.ua/laws/show/4834-17" TargetMode="External"/><Relationship Id="rId1992" Type="http://schemas.openxmlformats.org/officeDocument/2006/relationships/hyperlink" Target="https://zakon.rada.gov.ua/laws/show/z0137-16" TargetMode="External"/><Relationship Id="rId2629" Type="http://schemas.openxmlformats.org/officeDocument/2006/relationships/hyperlink" Target="https://zakon.rada.gov.ua/laws/show/1791-19" TargetMode="External"/><Relationship Id="rId2836" Type="http://schemas.openxmlformats.org/officeDocument/2006/relationships/hyperlink" Target="https://zakon.rada.gov.ua/laws/show/5083-17" TargetMode="External"/><Relationship Id="rId4191" Type="http://schemas.openxmlformats.org/officeDocument/2006/relationships/hyperlink" Target="https://zakon.rada.gov.ua/laws/show/391-20" TargetMode="External"/><Relationship Id="rId5035" Type="http://schemas.openxmlformats.org/officeDocument/2006/relationships/hyperlink" Target="https://zakon.rada.gov.ua/laws/show/71-19" TargetMode="External"/><Relationship Id="rId5242" Type="http://schemas.openxmlformats.org/officeDocument/2006/relationships/hyperlink" Target="https://zakon.rada.gov.ua/laws/show/5083-17" TargetMode="External"/><Relationship Id="rId77" Type="http://schemas.openxmlformats.org/officeDocument/2006/relationships/hyperlink" Target="https://zakon.rada.gov.ua/laws/show/1690-18" TargetMode="External"/><Relationship Id="rId808" Type="http://schemas.openxmlformats.org/officeDocument/2006/relationships/hyperlink" Target="https://zakon.rada.gov.ua/laws/show/2755-17/print" TargetMode="External"/><Relationship Id="rId1438" Type="http://schemas.openxmlformats.org/officeDocument/2006/relationships/hyperlink" Target="https://zakon.rada.gov.ua/laws/show/5083-17" TargetMode="External"/><Relationship Id="rId1645" Type="http://schemas.openxmlformats.org/officeDocument/2006/relationships/hyperlink" Target="https://zakon.rada.gov.ua/laws/show/71-19" TargetMode="External"/><Relationship Id="rId4051" Type="http://schemas.openxmlformats.org/officeDocument/2006/relationships/hyperlink" Target="https://zakon.rada.gov.ua/laws/show/404-18" TargetMode="External"/><Relationship Id="rId5102" Type="http://schemas.openxmlformats.org/officeDocument/2006/relationships/hyperlink" Target="https://zakon.rada.gov.ua/laws/show/71-19" TargetMode="External"/><Relationship Id="rId1852" Type="http://schemas.openxmlformats.org/officeDocument/2006/relationships/hyperlink" Target="https://zakon.rada.gov.ua/laws/show/z1415-15" TargetMode="External"/><Relationship Id="rId2903" Type="http://schemas.openxmlformats.org/officeDocument/2006/relationships/hyperlink" Target="https://zakon.rada.gov.ua/laws/show/4834-17" TargetMode="External"/><Relationship Id="rId1505" Type="http://schemas.openxmlformats.org/officeDocument/2006/relationships/hyperlink" Target="https://zakon.rada.gov.ua/laws/show/5083-17" TargetMode="External"/><Relationship Id="rId1712" Type="http://schemas.openxmlformats.org/officeDocument/2006/relationships/hyperlink" Target="https://zakon.rada.gov.ua/laws/show/2755-17/print" TargetMode="External"/><Relationship Id="rId4868" Type="http://schemas.openxmlformats.org/officeDocument/2006/relationships/hyperlink" Target="https://zakon.rada.gov.ua/laws/show/2755-17/print" TargetMode="External"/><Relationship Id="rId5919" Type="http://schemas.openxmlformats.org/officeDocument/2006/relationships/hyperlink" Target="https://zakon.rada.gov.ua/laws/show/3609-17" TargetMode="External"/><Relationship Id="rId6083" Type="http://schemas.openxmlformats.org/officeDocument/2006/relationships/hyperlink" Target="https://zakon.rada.gov.ua/laws/show/727/98" TargetMode="External"/><Relationship Id="rId6290" Type="http://schemas.openxmlformats.org/officeDocument/2006/relationships/hyperlink" Target="https://zakon.rada.gov.ua/laws/show/2245-19" TargetMode="External"/><Relationship Id="rId3677" Type="http://schemas.openxmlformats.org/officeDocument/2006/relationships/hyperlink" Target="https://zakon.rada.gov.ua/laws/show/71-19" TargetMode="External"/><Relationship Id="rId3884" Type="http://schemas.openxmlformats.org/officeDocument/2006/relationships/hyperlink" Target="https://zakon.rada.gov.ua/laws/show/5083-17" TargetMode="External"/><Relationship Id="rId4728" Type="http://schemas.openxmlformats.org/officeDocument/2006/relationships/hyperlink" Target="https://zakon.rada.gov.ua/laws/show/3609-17" TargetMode="External"/><Relationship Id="rId4935" Type="http://schemas.openxmlformats.org/officeDocument/2006/relationships/hyperlink" Target="https://zakon.rada.gov.ua/laws/show/2497-19" TargetMode="External"/><Relationship Id="rId598" Type="http://schemas.openxmlformats.org/officeDocument/2006/relationships/hyperlink" Target="https://zakon.rada.gov.ua/laws/show/71-19" TargetMode="External"/><Relationship Id="rId2279" Type="http://schemas.openxmlformats.org/officeDocument/2006/relationships/hyperlink" Target="https://zakon.rada.gov.ua/laws/show/2755-17/print" TargetMode="External"/><Relationship Id="rId2486" Type="http://schemas.openxmlformats.org/officeDocument/2006/relationships/hyperlink" Target="https://zakon.rada.gov.ua/laws/show/1166-18" TargetMode="External"/><Relationship Id="rId2693" Type="http://schemas.openxmlformats.org/officeDocument/2006/relationships/hyperlink" Target="https://zakon.rada.gov.ua/laws/show/5413-17" TargetMode="External"/><Relationship Id="rId3537" Type="http://schemas.openxmlformats.org/officeDocument/2006/relationships/hyperlink" Target="https://zakon.rada.gov.ua/laws/show/2755-17/print" TargetMode="External"/><Relationship Id="rId3744" Type="http://schemas.openxmlformats.org/officeDocument/2006/relationships/hyperlink" Target="https://zakon.rada.gov.ua/laws/show/71-19" TargetMode="External"/><Relationship Id="rId3951" Type="http://schemas.openxmlformats.org/officeDocument/2006/relationships/hyperlink" Target="https://zakon.rada.gov.ua/laws/show/5083-17" TargetMode="External"/><Relationship Id="rId6150" Type="http://schemas.openxmlformats.org/officeDocument/2006/relationships/hyperlink" Target="https://zakon.rada.gov.ua/laws/show/2755-17/print" TargetMode="External"/><Relationship Id="rId458" Type="http://schemas.openxmlformats.org/officeDocument/2006/relationships/hyperlink" Target="https://zakon.rada.gov.ua/laws/show/609-19" TargetMode="External"/><Relationship Id="rId665" Type="http://schemas.openxmlformats.org/officeDocument/2006/relationships/hyperlink" Target="https://zakon.rada.gov.ua/laws/show/1797-19" TargetMode="External"/><Relationship Id="rId872" Type="http://schemas.openxmlformats.org/officeDocument/2006/relationships/hyperlink" Target="https://zakon.rada.gov.ua/laws/show/1797-19" TargetMode="External"/><Relationship Id="rId1088" Type="http://schemas.openxmlformats.org/officeDocument/2006/relationships/hyperlink" Target="https://zakon.rada.gov.ua/laws/show/1797-19" TargetMode="External"/><Relationship Id="rId1295" Type="http://schemas.openxmlformats.org/officeDocument/2006/relationships/hyperlink" Target="https://zakon.rada.gov.ua/laws/show/655-19" TargetMode="External"/><Relationship Id="rId2139" Type="http://schemas.openxmlformats.org/officeDocument/2006/relationships/hyperlink" Target="https://zakon.rada.gov.ua/laws/show/2755-17/print" TargetMode="External"/><Relationship Id="rId2346" Type="http://schemas.openxmlformats.org/officeDocument/2006/relationships/hyperlink" Target="https://zakon.rada.gov.ua/laws/show/71-19" TargetMode="External"/><Relationship Id="rId2553" Type="http://schemas.openxmlformats.org/officeDocument/2006/relationships/hyperlink" Target="https://zakon.rada.gov.ua/laws/show/1797-19" TargetMode="External"/><Relationship Id="rId2760" Type="http://schemas.openxmlformats.org/officeDocument/2006/relationships/hyperlink" Target="https://zakon.rada.gov.ua/laws/show/1797-19" TargetMode="External"/><Relationship Id="rId3604" Type="http://schemas.openxmlformats.org/officeDocument/2006/relationships/hyperlink" Target="https://zakon.rada.gov.ua/laws/show/2755-17/print" TargetMode="External"/><Relationship Id="rId3811" Type="http://schemas.openxmlformats.org/officeDocument/2006/relationships/hyperlink" Target="https://zakon.rada.gov.ua/laws/show/2611-19" TargetMode="External"/><Relationship Id="rId6010" Type="http://schemas.openxmlformats.org/officeDocument/2006/relationships/hyperlink" Target="https://zakon.rada.gov.ua/laws/show/391-20" TargetMode="External"/><Relationship Id="rId318" Type="http://schemas.openxmlformats.org/officeDocument/2006/relationships/hyperlink" Target="https://zakon.rada.gov.ua/laws/show/408-18" TargetMode="External"/><Relationship Id="rId525" Type="http://schemas.openxmlformats.org/officeDocument/2006/relationships/hyperlink" Target="https://zakon.rada.gov.ua/laws/show/2628-19" TargetMode="External"/><Relationship Id="rId732" Type="http://schemas.openxmlformats.org/officeDocument/2006/relationships/hyperlink" Target="https://zakon.rada.gov.ua/laws/show/480-2017-%D0%BF" TargetMode="External"/><Relationship Id="rId1155" Type="http://schemas.openxmlformats.org/officeDocument/2006/relationships/hyperlink" Target="https://zakon.rada.gov.ua/laws/show/2755-17/print" TargetMode="External"/><Relationship Id="rId1362" Type="http://schemas.openxmlformats.org/officeDocument/2006/relationships/hyperlink" Target="https://zakon.rada.gov.ua/laws/show/5083-17" TargetMode="External"/><Relationship Id="rId2206" Type="http://schemas.openxmlformats.org/officeDocument/2006/relationships/hyperlink" Target="https://zakon.rada.gov.ua/laws/show/2755-17/print" TargetMode="External"/><Relationship Id="rId2413" Type="http://schemas.openxmlformats.org/officeDocument/2006/relationships/hyperlink" Target="https://zakon.rada.gov.ua/laws/show/1166-18" TargetMode="External"/><Relationship Id="rId2620" Type="http://schemas.openxmlformats.org/officeDocument/2006/relationships/hyperlink" Target="https://zakon.rada.gov.ua/laws/show/2755-17/print" TargetMode="External"/><Relationship Id="rId5569" Type="http://schemas.openxmlformats.org/officeDocument/2006/relationships/hyperlink" Target="https://zakon.rada.gov.ua/laws/show/2755-17/print" TargetMode="External"/><Relationship Id="rId5776" Type="http://schemas.openxmlformats.org/officeDocument/2006/relationships/hyperlink" Target="https://zakon.rada.gov.ua/laws/show/71-19" TargetMode="External"/><Relationship Id="rId1015" Type="http://schemas.openxmlformats.org/officeDocument/2006/relationships/hyperlink" Target="https://zakon.rada.gov.ua/laws/show/4495-17" TargetMode="External"/><Relationship Id="rId1222" Type="http://schemas.openxmlformats.org/officeDocument/2006/relationships/hyperlink" Target="https://zakon.rada.gov.ua/laws/show/1797-19" TargetMode="External"/><Relationship Id="rId4378" Type="http://schemas.openxmlformats.org/officeDocument/2006/relationships/hyperlink" Target="https://zakon.rada.gov.ua/laws/show/4235-17" TargetMode="External"/><Relationship Id="rId4585" Type="http://schemas.openxmlformats.org/officeDocument/2006/relationships/hyperlink" Target="https://zakon.rada.gov.ua/laws/show/909-19" TargetMode="External"/><Relationship Id="rId5429" Type="http://schemas.openxmlformats.org/officeDocument/2006/relationships/hyperlink" Target="https://zakon.rada.gov.ua/laws/show/5412-17" TargetMode="External"/><Relationship Id="rId5983" Type="http://schemas.openxmlformats.org/officeDocument/2006/relationships/hyperlink" Target="https://zakon.rada.gov.ua/laws/show/909-19" TargetMode="External"/><Relationship Id="rId3187" Type="http://schemas.openxmlformats.org/officeDocument/2006/relationships/hyperlink" Target="https://zakon.rada.gov.ua/laws/show/71-19" TargetMode="External"/><Relationship Id="rId3394" Type="http://schemas.openxmlformats.org/officeDocument/2006/relationships/hyperlink" Target="https://zakon.rada.gov.ua/laws/show/z1415-15" TargetMode="External"/><Relationship Id="rId4238" Type="http://schemas.openxmlformats.org/officeDocument/2006/relationships/hyperlink" Target="https://zakon.rada.gov.ua/laws/show/2628-19" TargetMode="External"/><Relationship Id="rId4792" Type="http://schemas.openxmlformats.org/officeDocument/2006/relationships/hyperlink" Target="https://zakon.rada.gov.ua/laws/show/973-15" TargetMode="External"/><Relationship Id="rId5636" Type="http://schemas.openxmlformats.org/officeDocument/2006/relationships/hyperlink" Target="https://zakon.rada.gov.ua/laws/show/2755-17/print" TargetMode="External"/><Relationship Id="rId5843" Type="http://schemas.openxmlformats.org/officeDocument/2006/relationships/hyperlink" Target="https://zakon.rada.gov.ua/laws/show/713-18" TargetMode="External"/><Relationship Id="rId3047" Type="http://schemas.openxmlformats.org/officeDocument/2006/relationships/hyperlink" Target="https://zakon.rada.gov.ua/laws/show/3609-17" TargetMode="External"/><Relationship Id="rId4445" Type="http://schemas.openxmlformats.org/officeDocument/2006/relationships/hyperlink" Target="https://zakon.rada.gov.ua/laws/show/1191-18" TargetMode="External"/><Relationship Id="rId4652" Type="http://schemas.openxmlformats.org/officeDocument/2006/relationships/hyperlink" Target="https://zakon.rada.gov.ua/laws/show/2628-19" TargetMode="External"/><Relationship Id="rId5703" Type="http://schemas.openxmlformats.org/officeDocument/2006/relationships/hyperlink" Target="https://zakon.rada.gov.ua/laws/show/4495-17" TargetMode="External"/><Relationship Id="rId5910" Type="http://schemas.openxmlformats.org/officeDocument/2006/relationships/hyperlink" Target="https://zakon.rada.gov.ua/laws/show/2755-17/print" TargetMode="External"/><Relationship Id="rId175" Type="http://schemas.openxmlformats.org/officeDocument/2006/relationships/hyperlink" Target="https://zakon.rada.gov.ua/laws/show/71-19" TargetMode="External"/><Relationship Id="rId3254" Type="http://schemas.openxmlformats.org/officeDocument/2006/relationships/hyperlink" Target="https://zakon.rada.gov.ua/laws/show/71-19" TargetMode="External"/><Relationship Id="rId3461" Type="http://schemas.openxmlformats.org/officeDocument/2006/relationships/hyperlink" Target="https://zakon.rada.gov.ua/laws/show/z0137-16" TargetMode="External"/><Relationship Id="rId4305" Type="http://schemas.openxmlformats.org/officeDocument/2006/relationships/hyperlink" Target="https://zakon.rada.gov.ua/laws/show/2628-19" TargetMode="External"/><Relationship Id="rId4512" Type="http://schemas.openxmlformats.org/officeDocument/2006/relationships/hyperlink" Target="https://zakon.rada.gov.ua/laws/show/2755-17/print" TargetMode="External"/><Relationship Id="rId382" Type="http://schemas.openxmlformats.org/officeDocument/2006/relationships/hyperlink" Target="https://zakon.rada.gov.ua/laws/show/2755-17/print" TargetMode="External"/><Relationship Id="rId2063" Type="http://schemas.openxmlformats.org/officeDocument/2006/relationships/hyperlink" Target="https://zakon.rada.gov.ua/laws/show/71-19" TargetMode="External"/><Relationship Id="rId2270" Type="http://schemas.openxmlformats.org/officeDocument/2006/relationships/hyperlink" Target="https://zakon.rada.gov.ua/laws/show/2245-19" TargetMode="External"/><Relationship Id="rId3114" Type="http://schemas.openxmlformats.org/officeDocument/2006/relationships/hyperlink" Target="https://zakon.rada.gov.ua/laws/show/4834-17" TargetMode="External"/><Relationship Id="rId3321" Type="http://schemas.openxmlformats.org/officeDocument/2006/relationships/hyperlink" Target="https://zakon.rada.gov.ua/laws/show/2755-17/print" TargetMode="External"/><Relationship Id="rId242" Type="http://schemas.openxmlformats.org/officeDocument/2006/relationships/hyperlink" Target="https://zakon.rada.gov.ua/laws/show/2371%D0%B0-14" TargetMode="External"/><Relationship Id="rId2130" Type="http://schemas.openxmlformats.org/officeDocument/2006/relationships/hyperlink" Target="https://zakon.rada.gov.ua/laws/show/2755-17/print" TargetMode="External"/><Relationship Id="rId5079" Type="http://schemas.openxmlformats.org/officeDocument/2006/relationships/hyperlink" Target="https://zakon.rada.gov.ua/laws/show/71-19" TargetMode="External"/><Relationship Id="rId5286" Type="http://schemas.openxmlformats.org/officeDocument/2006/relationships/hyperlink" Target="https://zakon.rada.gov.ua/laws/show/5083-17" TargetMode="External"/><Relationship Id="rId5493" Type="http://schemas.openxmlformats.org/officeDocument/2006/relationships/hyperlink" Target="https://zakon.rada.gov.ua/laws/show/643-19" TargetMode="External"/><Relationship Id="rId102" Type="http://schemas.openxmlformats.org/officeDocument/2006/relationships/hyperlink" Target="https://zakon.rada.gov.ua/laws/show/654-19" TargetMode="External"/><Relationship Id="rId1689" Type="http://schemas.openxmlformats.org/officeDocument/2006/relationships/hyperlink" Target="https://zakon.rada.gov.ua/laws/show/2755-17/print" TargetMode="External"/><Relationship Id="rId4095" Type="http://schemas.openxmlformats.org/officeDocument/2006/relationships/hyperlink" Target="https://zakon.rada.gov.ua/laws/show/391-20" TargetMode="External"/><Relationship Id="rId5146" Type="http://schemas.openxmlformats.org/officeDocument/2006/relationships/hyperlink" Target="https://zakon.rada.gov.ua/laws/show/2755-17/print" TargetMode="External"/><Relationship Id="rId5353" Type="http://schemas.openxmlformats.org/officeDocument/2006/relationships/hyperlink" Target="https://zakon.rada.gov.ua/laws/show/4495-17" TargetMode="External"/><Relationship Id="rId5560" Type="http://schemas.openxmlformats.org/officeDocument/2006/relationships/hyperlink" Target="https://zakon.rada.gov.ua/laws/show/2755-17/print" TargetMode="External"/><Relationship Id="rId1896" Type="http://schemas.openxmlformats.org/officeDocument/2006/relationships/hyperlink" Target="https://zakon.rada.gov.ua/laws/show/657-18" TargetMode="External"/><Relationship Id="rId2947" Type="http://schemas.openxmlformats.org/officeDocument/2006/relationships/hyperlink" Target="https://zakon.rada.gov.ua/laws/show/909-19" TargetMode="External"/><Relationship Id="rId4162" Type="http://schemas.openxmlformats.org/officeDocument/2006/relationships/hyperlink" Target="https://zakon.rada.gov.ua/laws/show/1638-18" TargetMode="External"/><Relationship Id="rId5006" Type="http://schemas.openxmlformats.org/officeDocument/2006/relationships/hyperlink" Target="https://zakon.rada.gov.ua/laws/show/2245-19" TargetMode="External"/><Relationship Id="rId5213" Type="http://schemas.openxmlformats.org/officeDocument/2006/relationships/hyperlink" Target="https://zakon.rada.gov.ua/laws/show/757-2016-%D0%BF" TargetMode="External"/><Relationship Id="rId919" Type="http://schemas.openxmlformats.org/officeDocument/2006/relationships/hyperlink" Target="https://zakon.rada.gov.ua/laws/show/1797-19" TargetMode="External"/><Relationship Id="rId1549" Type="http://schemas.openxmlformats.org/officeDocument/2006/relationships/hyperlink" Target="https://zakon.rada.gov.ua/laws/show/1797-19" TargetMode="External"/><Relationship Id="rId1756" Type="http://schemas.openxmlformats.org/officeDocument/2006/relationships/hyperlink" Target="https://zakon.rada.gov.ua/laws/show/2755-17/print" TargetMode="External"/><Relationship Id="rId1963" Type="http://schemas.openxmlformats.org/officeDocument/2006/relationships/hyperlink" Target="https://zakon.rada.gov.ua/laws/show/1797-19" TargetMode="External"/><Relationship Id="rId2807" Type="http://schemas.openxmlformats.org/officeDocument/2006/relationships/hyperlink" Target="https://zakon.rada.gov.ua/laws/show/5412-17" TargetMode="External"/><Relationship Id="rId4022" Type="http://schemas.openxmlformats.org/officeDocument/2006/relationships/hyperlink" Target="https://zakon.rada.gov.ua/laws/show/584%D0%B0-18" TargetMode="External"/><Relationship Id="rId5420" Type="http://schemas.openxmlformats.org/officeDocument/2006/relationships/hyperlink" Target="https://zakon.rada.gov.ua/laws/show/4279-17" TargetMode="External"/><Relationship Id="rId48" Type="http://schemas.openxmlformats.org/officeDocument/2006/relationships/hyperlink" Target="https://zakon.rada.gov.ua/laws/show/404-18" TargetMode="External"/><Relationship Id="rId1409" Type="http://schemas.openxmlformats.org/officeDocument/2006/relationships/hyperlink" Target="https://zakon.rada.gov.ua/laws/show/344-19" TargetMode="External"/><Relationship Id="rId1616" Type="http://schemas.openxmlformats.org/officeDocument/2006/relationships/hyperlink" Target="https://zakon.rada.gov.ua/laws/show/1797-19" TargetMode="External"/><Relationship Id="rId1823" Type="http://schemas.openxmlformats.org/officeDocument/2006/relationships/hyperlink" Target="https://zakon.rada.gov.ua/laws/show/1797-19" TargetMode="External"/><Relationship Id="rId4979" Type="http://schemas.openxmlformats.org/officeDocument/2006/relationships/hyperlink" Target="https://zakon.rada.gov.ua/laws/show/657-18" TargetMode="External"/><Relationship Id="rId3788" Type="http://schemas.openxmlformats.org/officeDocument/2006/relationships/hyperlink" Target="https://zakon.rada.gov.ua/laws/show/584%D0%B0-18" TargetMode="External"/><Relationship Id="rId3995" Type="http://schemas.openxmlformats.org/officeDocument/2006/relationships/hyperlink" Target="https://zakon.rada.gov.ua/laws/show/2628-19" TargetMode="External"/><Relationship Id="rId4839" Type="http://schemas.openxmlformats.org/officeDocument/2006/relationships/hyperlink" Target="https://zakon.rada.gov.ua/laws/show/4834-17" TargetMode="External"/><Relationship Id="rId6194" Type="http://schemas.openxmlformats.org/officeDocument/2006/relationships/hyperlink" Target="https://zakon.rada.gov.ua/laws/show/1636-18" TargetMode="External"/><Relationship Id="rId2597" Type="http://schemas.openxmlformats.org/officeDocument/2006/relationships/hyperlink" Target="https://zakon.rada.gov.ua/laws/show/71-19" TargetMode="External"/><Relationship Id="rId3648" Type="http://schemas.openxmlformats.org/officeDocument/2006/relationships/hyperlink" Target="https://zakon.rada.gov.ua/laws/show/584%D0%B0-18" TargetMode="External"/><Relationship Id="rId3855" Type="http://schemas.openxmlformats.org/officeDocument/2006/relationships/hyperlink" Target="https://zakon.rada.gov.ua/laws/show/909-19" TargetMode="External"/><Relationship Id="rId6054" Type="http://schemas.openxmlformats.org/officeDocument/2006/relationships/hyperlink" Target="https://zakon.rada.gov.ua/laws/show/2628-19" TargetMode="External"/><Relationship Id="rId6261" Type="http://schemas.openxmlformats.org/officeDocument/2006/relationships/hyperlink" Target="https://zakon.rada.gov.ua/laws/show/2755-17/print" TargetMode="External"/><Relationship Id="rId569" Type="http://schemas.openxmlformats.org/officeDocument/2006/relationships/hyperlink" Target="https://zakon.rada.gov.ua/laws/show/2245-19" TargetMode="External"/><Relationship Id="rId776" Type="http://schemas.openxmlformats.org/officeDocument/2006/relationships/hyperlink" Target="https://zakon.rada.gov.ua/laws/show/1797-19" TargetMode="External"/><Relationship Id="rId983" Type="http://schemas.openxmlformats.org/officeDocument/2006/relationships/hyperlink" Target="https://zakon.rada.gov.ua/laws/show/4495-17" TargetMode="External"/><Relationship Id="rId1199" Type="http://schemas.openxmlformats.org/officeDocument/2006/relationships/hyperlink" Target="https://zakon.rada.gov.ua/laws/show/3609-17" TargetMode="External"/><Relationship Id="rId2457" Type="http://schemas.openxmlformats.org/officeDocument/2006/relationships/hyperlink" Target="https://zakon.rada.gov.ua/laws/show/1797-19" TargetMode="External"/><Relationship Id="rId2664" Type="http://schemas.openxmlformats.org/officeDocument/2006/relationships/hyperlink" Target="https://zakon.rada.gov.ua/laws/show/2245-19" TargetMode="External"/><Relationship Id="rId3508" Type="http://schemas.openxmlformats.org/officeDocument/2006/relationships/hyperlink" Target="https://zakon.rada.gov.ua/laws/show/996-14" TargetMode="External"/><Relationship Id="rId4906" Type="http://schemas.openxmlformats.org/officeDocument/2006/relationships/hyperlink" Target="https://zakon.rada.gov.ua/laws/show/5083-17" TargetMode="External"/><Relationship Id="rId5070" Type="http://schemas.openxmlformats.org/officeDocument/2006/relationships/hyperlink" Target="https://zakon.rada.gov.ua/laws/show/2497-19" TargetMode="External"/><Relationship Id="rId6121" Type="http://schemas.openxmlformats.org/officeDocument/2006/relationships/hyperlink" Target="https://zakon.rada.gov.ua/laws/show/3320-17" TargetMode="External"/><Relationship Id="rId429" Type="http://schemas.openxmlformats.org/officeDocument/2006/relationships/hyperlink" Target="https://zakon.rada.gov.ua/laws/show/5412-17" TargetMode="External"/><Relationship Id="rId636" Type="http://schemas.openxmlformats.org/officeDocument/2006/relationships/hyperlink" Target="https://zakon.rada.gov.ua/laws/show/1797-19" TargetMode="External"/><Relationship Id="rId1059" Type="http://schemas.openxmlformats.org/officeDocument/2006/relationships/hyperlink" Target="https://zakon.rada.gov.ua/laws/show/2755-17/print" TargetMode="External"/><Relationship Id="rId1266" Type="http://schemas.openxmlformats.org/officeDocument/2006/relationships/hyperlink" Target="https://zakon.rada.gov.ua/laws/show/2755-17/print" TargetMode="External"/><Relationship Id="rId1473" Type="http://schemas.openxmlformats.org/officeDocument/2006/relationships/hyperlink" Target="https://zakon.rada.gov.ua/laws/show/1797-19" TargetMode="External"/><Relationship Id="rId2317" Type="http://schemas.openxmlformats.org/officeDocument/2006/relationships/hyperlink" Target="https://zakon.rada.gov.ua/laws/show/4834-17" TargetMode="External"/><Relationship Id="rId2871" Type="http://schemas.openxmlformats.org/officeDocument/2006/relationships/hyperlink" Target="https://zakon.rada.gov.ua/laws/show/71-19" TargetMode="External"/><Relationship Id="rId3715" Type="http://schemas.openxmlformats.org/officeDocument/2006/relationships/hyperlink" Target="https://zakon.rada.gov.ua/laws/show/5503-17" TargetMode="External"/><Relationship Id="rId3922" Type="http://schemas.openxmlformats.org/officeDocument/2006/relationships/hyperlink" Target="https://zakon.rada.gov.ua/laws/show/2755-17/print" TargetMode="External"/><Relationship Id="rId843" Type="http://schemas.openxmlformats.org/officeDocument/2006/relationships/hyperlink" Target="https://zakon.rada.gov.ua/laws/show/1797-19" TargetMode="External"/><Relationship Id="rId1126" Type="http://schemas.openxmlformats.org/officeDocument/2006/relationships/hyperlink" Target="https://zakon.rada.gov.ua/laws/show/2725-19" TargetMode="External"/><Relationship Id="rId1680" Type="http://schemas.openxmlformats.org/officeDocument/2006/relationships/hyperlink" Target="https://zakon.rada.gov.ua/laws/show/5412-17" TargetMode="External"/><Relationship Id="rId2524" Type="http://schemas.openxmlformats.org/officeDocument/2006/relationships/hyperlink" Target="https://zakon.rada.gov.ua/laws/show/z0289-14" TargetMode="External"/><Relationship Id="rId2731" Type="http://schemas.openxmlformats.org/officeDocument/2006/relationships/hyperlink" Target="https://zakon.rada.gov.ua/laws/show/2755-17/print" TargetMode="External"/><Relationship Id="rId5887" Type="http://schemas.openxmlformats.org/officeDocument/2006/relationships/hyperlink" Target="https://zakon.rada.gov.ua/laws/show/1797-19" TargetMode="External"/><Relationship Id="rId703" Type="http://schemas.openxmlformats.org/officeDocument/2006/relationships/hyperlink" Target="https://zakon.rada.gov.ua/laws/show/404-18" TargetMode="External"/><Relationship Id="rId910" Type="http://schemas.openxmlformats.org/officeDocument/2006/relationships/hyperlink" Target="https://zakon.rada.gov.ua/laws/show/z0931-17" TargetMode="External"/><Relationship Id="rId1333" Type="http://schemas.openxmlformats.org/officeDocument/2006/relationships/hyperlink" Target="https://zakon.rada.gov.ua/laws/show/657-18" TargetMode="External"/><Relationship Id="rId1540" Type="http://schemas.openxmlformats.org/officeDocument/2006/relationships/hyperlink" Target="https://zakon.rada.gov.ua/laws/show/5083-17" TargetMode="External"/><Relationship Id="rId4489" Type="http://schemas.openxmlformats.org/officeDocument/2006/relationships/hyperlink" Target="https://zakon.rada.gov.ua/laws/show/076_009" TargetMode="External"/><Relationship Id="rId4696" Type="http://schemas.openxmlformats.org/officeDocument/2006/relationships/hyperlink" Target="https://zakon.rada.gov.ua/laws/show/4834-17" TargetMode="External"/><Relationship Id="rId5747" Type="http://schemas.openxmlformats.org/officeDocument/2006/relationships/hyperlink" Target="https://zakon.rada.gov.ua/laws/show/5083-17" TargetMode="External"/><Relationship Id="rId5954" Type="http://schemas.openxmlformats.org/officeDocument/2006/relationships/hyperlink" Target="https://zakon.rada.gov.ua/laws/show/2371%D0%B0-14" TargetMode="External"/><Relationship Id="rId1400" Type="http://schemas.openxmlformats.org/officeDocument/2006/relationships/hyperlink" Target="https://zakon.rada.gov.ua/laws/show/1797-19" TargetMode="External"/><Relationship Id="rId3298" Type="http://schemas.openxmlformats.org/officeDocument/2006/relationships/hyperlink" Target="https://zakon.rada.gov.ua/laws/show/407-18" TargetMode="External"/><Relationship Id="rId4349" Type="http://schemas.openxmlformats.org/officeDocument/2006/relationships/hyperlink" Target="https://zakon.rada.gov.ua/laws/show/909-19" TargetMode="External"/><Relationship Id="rId4556" Type="http://schemas.openxmlformats.org/officeDocument/2006/relationships/hyperlink" Target="https://zakon.rada.gov.ua/laws/show/2755-17/print" TargetMode="External"/><Relationship Id="rId4763" Type="http://schemas.openxmlformats.org/officeDocument/2006/relationships/hyperlink" Target="https://zakon.rada.gov.ua/laws/show/71-19" TargetMode="External"/><Relationship Id="rId4970" Type="http://schemas.openxmlformats.org/officeDocument/2006/relationships/hyperlink" Target="https://zakon.rada.gov.ua/laws/show/71-19" TargetMode="External"/><Relationship Id="rId5607" Type="http://schemas.openxmlformats.org/officeDocument/2006/relationships/hyperlink" Target="https://zakon.rada.gov.ua/laws/show/2755-17/print" TargetMode="External"/><Relationship Id="rId5814" Type="http://schemas.openxmlformats.org/officeDocument/2006/relationships/hyperlink" Target="https://zakon.rada.gov.ua/laws/show/3319-17" TargetMode="External"/><Relationship Id="rId3158" Type="http://schemas.openxmlformats.org/officeDocument/2006/relationships/hyperlink" Target="https://zakon.rada.gov.ua/laws/show/71-19" TargetMode="External"/><Relationship Id="rId3365" Type="http://schemas.openxmlformats.org/officeDocument/2006/relationships/hyperlink" Target="https://zakon.rada.gov.ua/laws/show/643-19" TargetMode="External"/><Relationship Id="rId3572" Type="http://schemas.openxmlformats.org/officeDocument/2006/relationships/hyperlink" Target="https://zakon.rada.gov.ua/laws/show/4495-17" TargetMode="External"/><Relationship Id="rId4209" Type="http://schemas.openxmlformats.org/officeDocument/2006/relationships/hyperlink" Target="https://zakon.rada.gov.ua/laws/show/2628-19" TargetMode="External"/><Relationship Id="rId4416" Type="http://schemas.openxmlformats.org/officeDocument/2006/relationships/hyperlink" Target="https://zakon.rada.gov.ua/laws/show/5503-17" TargetMode="External"/><Relationship Id="rId4623" Type="http://schemas.openxmlformats.org/officeDocument/2006/relationships/hyperlink" Target="https://zakon.rada.gov.ua/laws/show/2611-19" TargetMode="External"/><Relationship Id="rId4830" Type="http://schemas.openxmlformats.org/officeDocument/2006/relationships/hyperlink" Target="https://zakon.rada.gov.ua/laws/show/71-19" TargetMode="External"/><Relationship Id="rId286" Type="http://schemas.openxmlformats.org/officeDocument/2006/relationships/hyperlink" Target="https://zakon.rada.gov.ua/laws/show/1797-19" TargetMode="External"/><Relationship Id="rId493" Type="http://schemas.openxmlformats.org/officeDocument/2006/relationships/hyperlink" Target="https://zakon.rada.gov.ua/laws/show/1638-18" TargetMode="External"/><Relationship Id="rId2174" Type="http://schemas.openxmlformats.org/officeDocument/2006/relationships/hyperlink" Target="https://zakon.rada.gov.ua/laws/show/2755-17/print" TargetMode="External"/><Relationship Id="rId2381" Type="http://schemas.openxmlformats.org/officeDocument/2006/relationships/hyperlink" Target="https://zakon.rada.gov.ua/laws/show/5083-17" TargetMode="External"/><Relationship Id="rId3018" Type="http://schemas.openxmlformats.org/officeDocument/2006/relationships/hyperlink" Target="https://zakon.rada.gov.ua/laws/show/643-19" TargetMode="External"/><Relationship Id="rId3225" Type="http://schemas.openxmlformats.org/officeDocument/2006/relationships/hyperlink" Target="https://zakon.rada.gov.ua/laws/show/2755-17/print" TargetMode="External"/><Relationship Id="rId3432" Type="http://schemas.openxmlformats.org/officeDocument/2006/relationships/hyperlink" Target="https://zakon.rada.gov.ua/laws/show/2755-17/print" TargetMode="External"/><Relationship Id="rId146" Type="http://schemas.openxmlformats.org/officeDocument/2006/relationships/hyperlink" Target="https://zakon.rada.gov.ua/laws/show/404-18" TargetMode="External"/><Relationship Id="rId353" Type="http://schemas.openxmlformats.org/officeDocument/2006/relationships/hyperlink" Target="https://zakon.rada.gov.ua/laws/show/4495-17" TargetMode="External"/><Relationship Id="rId560" Type="http://schemas.openxmlformats.org/officeDocument/2006/relationships/hyperlink" Target="https://zakon.rada.gov.ua/laws/show/3609-17" TargetMode="External"/><Relationship Id="rId1190" Type="http://schemas.openxmlformats.org/officeDocument/2006/relationships/hyperlink" Target="https://zakon.rada.gov.ua/laws/show/655-19" TargetMode="External"/><Relationship Id="rId2034" Type="http://schemas.openxmlformats.org/officeDocument/2006/relationships/hyperlink" Target="https://zakon.rada.gov.ua/laws/show/2755-17/print" TargetMode="External"/><Relationship Id="rId2241" Type="http://schemas.openxmlformats.org/officeDocument/2006/relationships/hyperlink" Target="https://zakon.rada.gov.ua/laws/show/2176-19" TargetMode="External"/><Relationship Id="rId5397" Type="http://schemas.openxmlformats.org/officeDocument/2006/relationships/hyperlink" Target="https://zakon.rada.gov.ua/laws/show/4915-17" TargetMode="External"/><Relationship Id="rId213" Type="http://schemas.openxmlformats.org/officeDocument/2006/relationships/hyperlink" Target="https://zakon.rada.gov.ua/laws/show/391-20" TargetMode="External"/><Relationship Id="rId420" Type="http://schemas.openxmlformats.org/officeDocument/2006/relationships/hyperlink" Target="https://zakon.rada.gov.ua/laws/show/4834-17" TargetMode="External"/><Relationship Id="rId1050" Type="http://schemas.openxmlformats.org/officeDocument/2006/relationships/hyperlink" Target="https://zakon.rada.gov.ua/laws/show/996-14" TargetMode="External"/><Relationship Id="rId2101" Type="http://schemas.openxmlformats.org/officeDocument/2006/relationships/hyperlink" Target="https://zakon.rada.gov.ua/laws/show/1797-19" TargetMode="External"/><Relationship Id="rId5257" Type="http://schemas.openxmlformats.org/officeDocument/2006/relationships/hyperlink" Target="https://zakon.rada.gov.ua/laws/show/404-18" TargetMode="External"/><Relationship Id="rId4066" Type="http://schemas.openxmlformats.org/officeDocument/2006/relationships/hyperlink" Target="https://zakon.rada.gov.ua/laws/show/z0535-13" TargetMode="External"/><Relationship Id="rId5464" Type="http://schemas.openxmlformats.org/officeDocument/2006/relationships/hyperlink" Target="https://zakon.rada.gov.ua/laws/show/2463-19" TargetMode="External"/><Relationship Id="rId5671" Type="http://schemas.openxmlformats.org/officeDocument/2006/relationships/hyperlink" Target="https://zakon.rada.gov.ua/laws/show/2176-19" TargetMode="External"/><Relationship Id="rId6308" Type="http://schemas.openxmlformats.org/officeDocument/2006/relationships/hyperlink" Target="https://zakon.rada.gov.ua/laws/show/2628-19" TargetMode="External"/><Relationship Id="rId1867" Type="http://schemas.openxmlformats.org/officeDocument/2006/relationships/hyperlink" Target="https://zakon.rada.gov.ua/laws/show/5083-17" TargetMode="External"/><Relationship Id="rId2918" Type="http://schemas.openxmlformats.org/officeDocument/2006/relationships/hyperlink" Target="https://zakon.rada.gov.ua/laws/show/3609-17" TargetMode="External"/><Relationship Id="rId4273" Type="http://schemas.openxmlformats.org/officeDocument/2006/relationships/hyperlink" Target="https://zakon.rada.gov.ua/laws/show/391-20" TargetMode="External"/><Relationship Id="rId4480" Type="http://schemas.openxmlformats.org/officeDocument/2006/relationships/hyperlink" Target="https://zakon.rada.gov.ua/laws/show/2628-19" TargetMode="External"/><Relationship Id="rId5117" Type="http://schemas.openxmlformats.org/officeDocument/2006/relationships/hyperlink" Target="https://zakon.rada.gov.ua/laws/show/5412-17" TargetMode="External"/><Relationship Id="rId5324" Type="http://schemas.openxmlformats.org/officeDocument/2006/relationships/hyperlink" Target="https://zakon.rada.gov.ua/laws/show/5083-17" TargetMode="External"/><Relationship Id="rId5531" Type="http://schemas.openxmlformats.org/officeDocument/2006/relationships/hyperlink" Target="https://zakon.rada.gov.ua/laws/show/2755-17/print" TargetMode="External"/><Relationship Id="rId1727" Type="http://schemas.openxmlformats.org/officeDocument/2006/relationships/hyperlink" Target="https://zakon.rada.gov.ua/laws/show/1797-19" TargetMode="External"/><Relationship Id="rId1934" Type="http://schemas.openxmlformats.org/officeDocument/2006/relationships/hyperlink" Target="https://zakon.rada.gov.ua/laws/show/1797-19" TargetMode="External"/><Relationship Id="rId3082" Type="http://schemas.openxmlformats.org/officeDocument/2006/relationships/hyperlink" Target="https://zakon.rada.gov.ua/laws/show/4220-17" TargetMode="External"/><Relationship Id="rId4133" Type="http://schemas.openxmlformats.org/officeDocument/2006/relationships/hyperlink" Target="https://zakon.rada.gov.ua/laws/show/909-19" TargetMode="External"/><Relationship Id="rId4340" Type="http://schemas.openxmlformats.org/officeDocument/2006/relationships/hyperlink" Target="https://zakon.rada.gov.ua/laws/show/2628-19" TargetMode="External"/><Relationship Id="rId19" Type="http://schemas.openxmlformats.org/officeDocument/2006/relationships/hyperlink" Target="https://zakon.rada.gov.ua/laws/show/4220-17" TargetMode="External"/><Relationship Id="rId3899" Type="http://schemas.openxmlformats.org/officeDocument/2006/relationships/hyperlink" Target="https://zakon.rada.gov.ua/laws/show/076_009" TargetMode="External"/><Relationship Id="rId4200" Type="http://schemas.openxmlformats.org/officeDocument/2006/relationships/hyperlink" Target="https://zakon.rada.gov.ua/laws/show/z0405-16" TargetMode="External"/><Relationship Id="rId6098" Type="http://schemas.openxmlformats.org/officeDocument/2006/relationships/hyperlink" Target="https://zakon.rada.gov.ua/laws/show/1791-19" TargetMode="External"/><Relationship Id="rId6165" Type="http://schemas.openxmlformats.org/officeDocument/2006/relationships/hyperlink" Target="https://zakon.rada.gov.ua/laws/show/403-18" TargetMode="External"/><Relationship Id="rId3759" Type="http://schemas.openxmlformats.org/officeDocument/2006/relationships/hyperlink" Target="https://zakon.rada.gov.ua/laws/show/2628-19" TargetMode="External"/><Relationship Id="rId3966" Type="http://schemas.openxmlformats.org/officeDocument/2006/relationships/hyperlink" Target="https://zakon.rada.gov.ua/laws/show/4495-17" TargetMode="External"/><Relationship Id="rId5181" Type="http://schemas.openxmlformats.org/officeDocument/2006/relationships/hyperlink" Target="https://zakon.rada.gov.ua/laws/show/5412-17" TargetMode="External"/><Relationship Id="rId6025" Type="http://schemas.openxmlformats.org/officeDocument/2006/relationships/hyperlink" Target="https://zakon.rada.gov.ua/laws/show/2755-17/print" TargetMode="External"/><Relationship Id="rId6232" Type="http://schemas.openxmlformats.org/officeDocument/2006/relationships/hyperlink" Target="https://zakon.rada.gov.ua/laws/show/2755-17/print" TargetMode="External"/><Relationship Id="rId3" Type="http://schemas.openxmlformats.org/officeDocument/2006/relationships/settings" Target="settings.xml"/><Relationship Id="rId887" Type="http://schemas.openxmlformats.org/officeDocument/2006/relationships/hyperlink" Target="https://zakon.rada.gov.ua/laws/show/1797-19" TargetMode="External"/><Relationship Id="rId2568" Type="http://schemas.openxmlformats.org/officeDocument/2006/relationships/hyperlink" Target="https://zakon.rada.gov.ua/laws/show/5519-17" TargetMode="External"/><Relationship Id="rId2775" Type="http://schemas.openxmlformats.org/officeDocument/2006/relationships/hyperlink" Target="https://zakon.rada.gov.ua/laws/show/4661-17" TargetMode="External"/><Relationship Id="rId2982" Type="http://schemas.openxmlformats.org/officeDocument/2006/relationships/hyperlink" Target="https://zakon.rada.gov.ua/laws/show/4915-17" TargetMode="External"/><Relationship Id="rId3619" Type="http://schemas.openxmlformats.org/officeDocument/2006/relationships/hyperlink" Target="https://zakon.rada.gov.ua/laws/show/2755-17/print" TargetMode="External"/><Relationship Id="rId3826" Type="http://schemas.openxmlformats.org/officeDocument/2006/relationships/hyperlink" Target="https://zakon.rada.gov.ua/laws/show/2755-17/print" TargetMode="External"/><Relationship Id="rId5041" Type="http://schemas.openxmlformats.org/officeDocument/2006/relationships/hyperlink" Target="https://zakon.rada.gov.ua/laws/show/2755-17/print" TargetMode="External"/><Relationship Id="rId747" Type="http://schemas.openxmlformats.org/officeDocument/2006/relationships/hyperlink" Target="https://zakon.rada.gov.ua/laws/show/2155-19" TargetMode="External"/><Relationship Id="rId954" Type="http://schemas.openxmlformats.org/officeDocument/2006/relationships/hyperlink" Target="https://zakon.rada.gov.ua/laws/show/1797-19" TargetMode="External"/><Relationship Id="rId1377" Type="http://schemas.openxmlformats.org/officeDocument/2006/relationships/hyperlink" Target="https://zakon.rada.gov.ua/laws/show/2245-19" TargetMode="External"/><Relationship Id="rId1584" Type="http://schemas.openxmlformats.org/officeDocument/2006/relationships/hyperlink" Target="https://zakon.rada.gov.ua/laws/show/1797-19" TargetMode="External"/><Relationship Id="rId1791" Type="http://schemas.openxmlformats.org/officeDocument/2006/relationships/hyperlink" Target="https://zakon.rada.gov.ua/laws/show/1797-19" TargetMode="External"/><Relationship Id="rId2428" Type="http://schemas.openxmlformats.org/officeDocument/2006/relationships/hyperlink" Target="https://zakon.rada.gov.ua/laws/show/2011-12" TargetMode="External"/><Relationship Id="rId2635" Type="http://schemas.openxmlformats.org/officeDocument/2006/relationships/hyperlink" Target="https://zakon.rada.gov.ua/laws/show/3609-17" TargetMode="External"/><Relationship Id="rId2842" Type="http://schemas.openxmlformats.org/officeDocument/2006/relationships/hyperlink" Target="https://zakon.rada.gov.ua/laws/show/2755-17/print" TargetMode="External"/><Relationship Id="rId5998" Type="http://schemas.openxmlformats.org/officeDocument/2006/relationships/hyperlink" Target="https://zakon.rada.gov.ua/laws/show/2755-17/print" TargetMode="External"/><Relationship Id="rId83" Type="http://schemas.openxmlformats.org/officeDocument/2006/relationships/hyperlink" Target="https://zakon.rada.gov.ua/laws/show/211-19" TargetMode="External"/><Relationship Id="rId607" Type="http://schemas.openxmlformats.org/officeDocument/2006/relationships/hyperlink" Target="https://zakon.rada.gov.ua/laws/show/2755-17/print" TargetMode="External"/><Relationship Id="rId814" Type="http://schemas.openxmlformats.org/officeDocument/2006/relationships/hyperlink" Target="https://zakon.rada.gov.ua/laws/show/2245-19" TargetMode="External"/><Relationship Id="rId1237" Type="http://schemas.openxmlformats.org/officeDocument/2006/relationships/hyperlink" Target="https://zakon.rada.gov.ua/laws/show/3609-17" TargetMode="External"/><Relationship Id="rId1444" Type="http://schemas.openxmlformats.org/officeDocument/2006/relationships/hyperlink" Target="https://zakon.rada.gov.ua/laws/show/1797-19" TargetMode="External"/><Relationship Id="rId1651" Type="http://schemas.openxmlformats.org/officeDocument/2006/relationships/hyperlink" Target="https://zakon.rada.gov.ua/laws/show/2755-17/print" TargetMode="External"/><Relationship Id="rId2702" Type="http://schemas.openxmlformats.org/officeDocument/2006/relationships/hyperlink" Target="https://zakon.rada.gov.ua/laws/show/3609-17" TargetMode="External"/><Relationship Id="rId5858" Type="http://schemas.openxmlformats.org/officeDocument/2006/relationships/hyperlink" Target="https://zakon.rada.gov.ua/laws/show/2755-17/print" TargetMode="External"/><Relationship Id="rId1304" Type="http://schemas.openxmlformats.org/officeDocument/2006/relationships/hyperlink" Target="https://zakon.rada.gov.ua/laws/show/3609-17" TargetMode="External"/><Relationship Id="rId1511" Type="http://schemas.openxmlformats.org/officeDocument/2006/relationships/hyperlink" Target="https://zakon.rada.gov.ua/laws/show/71-19" TargetMode="External"/><Relationship Id="rId4667" Type="http://schemas.openxmlformats.org/officeDocument/2006/relationships/hyperlink" Target="https://zakon.rada.gov.ua/laws/show/71-19" TargetMode="External"/><Relationship Id="rId4874" Type="http://schemas.openxmlformats.org/officeDocument/2006/relationships/hyperlink" Target="https://zakon.rada.gov.ua/laws/show/2755-17/print" TargetMode="External"/><Relationship Id="rId5718" Type="http://schemas.openxmlformats.org/officeDocument/2006/relationships/hyperlink" Target="https://zakon.rada.gov.ua/laws/show/314-20" TargetMode="External"/><Relationship Id="rId3269" Type="http://schemas.openxmlformats.org/officeDocument/2006/relationships/hyperlink" Target="https://zakon.rada.gov.ua/laws/show/1797-19" TargetMode="External"/><Relationship Id="rId3476" Type="http://schemas.openxmlformats.org/officeDocument/2006/relationships/hyperlink" Target="https://zakon.rada.gov.ua/laws/show/3609-17" TargetMode="External"/><Relationship Id="rId3683" Type="http://schemas.openxmlformats.org/officeDocument/2006/relationships/hyperlink" Target="https://zakon.rada.gov.ua/laws/show/909-19" TargetMode="External"/><Relationship Id="rId4527" Type="http://schemas.openxmlformats.org/officeDocument/2006/relationships/hyperlink" Target="https://zakon.rada.gov.ua/laws/show/1797-19" TargetMode="External"/><Relationship Id="rId5925" Type="http://schemas.openxmlformats.org/officeDocument/2006/relationships/hyperlink" Target="https://zakon.rada.gov.ua/laws/show/5503-17" TargetMode="External"/><Relationship Id="rId10" Type="http://schemas.openxmlformats.org/officeDocument/2006/relationships/hyperlink" Target="https://zakon.rada.gov.ua/laws/show/3387-17" TargetMode="External"/><Relationship Id="rId397" Type="http://schemas.openxmlformats.org/officeDocument/2006/relationships/hyperlink" Target="https://zakon.rada.gov.ua/laws/show/1797-19" TargetMode="External"/><Relationship Id="rId2078" Type="http://schemas.openxmlformats.org/officeDocument/2006/relationships/hyperlink" Target="https://zakon.rada.gov.ua/laws/show/2346-14" TargetMode="External"/><Relationship Id="rId2285" Type="http://schemas.openxmlformats.org/officeDocument/2006/relationships/hyperlink" Target="https://zakon.rada.gov.ua/laws/show/1797-19" TargetMode="External"/><Relationship Id="rId2492" Type="http://schemas.openxmlformats.org/officeDocument/2006/relationships/hyperlink" Target="https://zakon.rada.gov.ua/laws/show/3609-17" TargetMode="External"/><Relationship Id="rId3129" Type="http://schemas.openxmlformats.org/officeDocument/2006/relationships/hyperlink" Target="https://zakon.rada.gov.ua/laws/show/2371%D0%B0-14" TargetMode="External"/><Relationship Id="rId3336" Type="http://schemas.openxmlformats.org/officeDocument/2006/relationships/hyperlink" Target="https://zakon.rada.gov.ua/laws/show/1797-19" TargetMode="External"/><Relationship Id="rId3890" Type="http://schemas.openxmlformats.org/officeDocument/2006/relationships/hyperlink" Target="https://zakon.rada.gov.ua/laws/show/404-18" TargetMode="External"/><Relationship Id="rId4734" Type="http://schemas.openxmlformats.org/officeDocument/2006/relationships/hyperlink" Target="https://zakon.rada.gov.ua/laws/show/3609-17" TargetMode="External"/><Relationship Id="rId4941" Type="http://schemas.openxmlformats.org/officeDocument/2006/relationships/hyperlink" Target="https://zakon.rada.gov.ua/laws/show/2755-17/print" TargetMode="External"/><Relationship Id="rId257" Type="http://schemas.openxmlformats.org/officeDocument/2006/relationships/hyperlink" Target="https://zakon.rada.gov.ua/laws/show/2755-17/print" TargetMode="External"/><Relationship Id="rId464" Type="http://schemas.openxmlformats.org/officeDocument/2006/relationships/hyperlink" Target="https://zakon.rada.gov.ua/laws/show/609-19" TargetMode="External"/><Relationship Id="rId1094" Type="http://schemas.openxmlformats.org/officeDocument/2006/relationships/hyperlink" Target="https://zakon.rada.gov.ua/laws/show/592-2017-%D0%BF" TargetMode="External"/><Relationship Id="rId2145" Type="http://schemas.openxmlformats.org/officeDocument/2006/relationships/hyperlink" Target="https://zakon.rada.gov.ua/laws/show/2755-17/print" TargetMode="External"/><Relationship Id="rId3543" Type="http://schemas.openxmlformats.org/officeDocument/2006/relationships/hyperlink" Target="https://zakon.rada.gov.ua/laws/show/1797-19" TargetMode="External"/><Relationship Id="rId3750" Type="http://schemas.openxmlformats.org/officeDocument/2006/relationships/hyperlink" Target="https://zakon.rada.gov.ua/laws/show/2371%D0%B0-14" TargetMode="External"/><Relationship Id="rId4801" Type="http://schemas.openxmlformats.org/officeDocument/2006/relationships/hyperlink" Target="https://zakon.rada.gov.ua/laws/show/71-19" TargetMode="External"/><Relationship Id="rId117" Type="http://schemas.openxmlformats.org/officeDocument/2006/relationships/hyperlink" Target="https://zakon.rada.gov.ua/laws/show/1988-19" TargetMode="External"/><Relationship Id="rId671" Type="http://schemas.openxmlformats.org/officeDocument/2006/relationships/hyperlink" Target="https://zakon.rada.gov.ua/laws/show/1797-19" TargetMode="External"/><Relationship Id="rId2352" Type="http://schemas.openxmlformats.org/officeDocument/2006/relationships/hyperlink" Target="https://zakon.rada.gov.ua/laws/show/2755-17/print" TargetMode="External"/><Relationship Id="rId3403" Type="http://schemas.openxmlformats.org/officeDocument/2006/relationships/hyperlink" Target="https://zakon.rada.gov.ua/laws/show/1797-19" TargetMode="External"/><Relationship Id="rId3610" Type="http://schemas.openxmlformats.org/officeDocument/2006/relationships/hyperlink" Target="https://zakon.rada.gov.ua/laws/show/3609-17" TargetMode="External"/><Relationship Id="rId324" Type="http://schemas.openxmlformats.org/officeDocument/2006/relationships/hyperlink" Target="https://zakon.rada.gov.ua/laws/show/408-18" TargetMode="External"/><Relationship Id="rId531" Type="http://schemas.openxmlformats.org/officeDocument/2006/relationships/hyperlink" Target="https://zakon.rada.gov.ua/laws/show/2628-19" TargetMode="External"/><Relationship Id="rId1161" Type="http://schemas.openxmlformats.org/officeDocument/2006/relationships/hyperlink" Target="https://zakon.rada.gov.ua/laws/show/2245-19" TargetMode="External"/><Relationship Id="rId2005" Type="http://schemas.openxmlformats.org/officeDocument/2006/relationships/hyperlink" Target="https://zakon.rada.gov.ua/laws/show/z0137-16" TargetMode="External"/><Relationship Id="rId2212" Type="http://schemas.openxmlformats.org/officeDocument/2006/relationships/hyperlink" Target="https://zakon.rada.gov.ua/laws/show/1797-19" TargetMode="External"/><Relationship Id="rId5368" Type="http://schemas.openxmlformats.org/officeDocument/2006/relationships/hyperlink" Target="https://zakon.rada.gov.ua/laws/show/1621-18" TargetMode="External"/><Relationship Id="rId5575" Type="http://schemas.openxmlformats.org/officeDocument/2006/relationships/hyperlink" Target="https://zakon.rada.gov.ua/laws/show/812-19" TargetMode="External"/><Relationship Id="rId5782" Type="http://schemas.openxmlformats.org/officeDocument/2006/relationships/hyperlink" Target="https://zakon.rada.gov.ua/laws/show/2755-17/print" TargetMode="External"/><Relationship Id="rId1021" Type="http://schemas.openxmlformats.org/officeDocument/2006/relationships/hyperlink" Target="https://zakon.rada.gov.ua/laws/show/851-15" TargetMode="External"/><Relationship Id="rId1978" Type="http://schemas.openxmlformats.org/officeDocument/2006/relationships/hyperlink" Target="https://zakon.rada.gov.ua/laws/show/1797-19" TargetMode="External"/><Relationship Id="rId4177" Type="http://schemas.openxmlformats.org/officeDocument/2006/relationships/hyperlink" Target="https://zakon.rada.gov.ua/laws/show/909-19" TargetMode="External"/><Relationship Id="rId4384" Type="http://schemas.openxmlformats.org/officeDocument/2006/relationships/hyperlink" Target="https://zakon.rada.gov.ua/laws/show/4235-17" TargetMode="External"/><Relationship Id="rId4591" Type="http://schemas.openxmlformats.org/officeDocument/2006/relationships/hyperlink" Target="https://zakon.rada.gov.ua/laws/show/1791-19" TargetMode="External"/><Relationship Id="rId5228" Type="http://schemas.openxmlformats.org/officeDocument/2006/relationships/hyperlink" Target="https://zakon.rada.gov.ua/laws/show/215-19" TargetMode="External"/><Relationship Id="rId5435" Type="http://schemas.openxmlformats.org/officeDocument/2006/relationships/hyperlink" Target="https://zakon.rada.gov.ua/laws/show/5043-17" TargetMode="External"/><Relationship Id="rId5642" Type="http://schemas.openxmlformats.org/officeDocument/2006/relationships/hyperlink" Target="https://zakon.rada.gov.ua/laws/show/2755-17/print" TargetMode="External"/><Relationship Id="rId3193" Type="http://schemas.openxmlformats.org/officeDocument/2006/relationships/hyperlink" Target="https://zakon.rada.gov.ua/laws/show/3609-17" TargetMode="External"/><Relationship Id="rId4037" Type="http://schemas.openxmlformats.org/officeDocument/2006/relationships/hyperlink" Target="https://zakon.rada.gov.ua/laws/show/1791-19" TargetMode="External"/><Relationship Id="rId4244" Type="http://schemas.openxmlformats.org/officeDocument/2006/relationships/hyperlink" Target="https://zakon.rada.gov.ua/laws/show/2755-17/print" TargetMode="External"/><Relationship Id="rId4451" Type="http://schemas.openxmlformats.org/officeDocument/2006/relationships/hyperlink" Target="https://zakon.rada.gov.ua/laws/show/71-19" TargetMode="External"/><Relationship Id="rId5502" Type="http://schemas.openxmlformats.org/officeDocument/2006/relationships/hyperlink" Target="https://zakon.rada.gov.ua/laws/show/2755-17/print" TargetMode="External"/><Relationship Id="rId1838" Type="http://schemas.openxmlformats.org/officeDocument/2006/relationships/hyperlink" Target="https://zakon.rada.gov.ua/laws/show/2755-17/print" TargetMode="External"/><Relationship Id="rId3053" Type="http://schemas.openxmlformats.org/officeDocument/2006/relationships/hyperlink" Target="https://zakon.rada.gov.ua/laws/show/5519-17" TargetMode="External"/><Relationship Id="rId3260" Type="http://schemas.openxmlformats.org/officeDocument/2006/relationships/hyperlink" Target="https://zakon.rada.gov.ua/laws/show/851-15" TargetMode="External"/><Relationship Id="rId4104" Type="http://schemas.openxmlformats.org/officeDocument/2006/relationships/hyperlink" Target="https://zakon.rada.gov.ua/laws/show/391-20" TargetMode="External"/><Relationship Id="rId4311" Type="http://schemas.openxmlformats.org/officeDocument/2006/relationships/hyperlink" Target="https://zakon.rada.gov.ua/laws/show/2628-19" TargetMode="External"/><Relationship Id="rId181" Type="http://schemas.openxmlformats.org/officeDocument/2006/relationships/hyperlink" Target="https://zakon.rada.gov.ua/laws/show/71-19" TargetMode="External"/><Relationship Id="rId1905" Type="http://schemas.openxmlformats.org/officeDocument/2006/relationships/hyperlink" Target="https://zakon.rada.gov.ua/laws/show/1235-2010-%D0%BF" TargetMode="External"/><Relationship Id="rId3120" Type="http://schemas.openxmlformats.org/officeDocument/2006/relationships/hyperlink" Target="https://zakon.rada.gov.ua/laws/show/3387-17" TargetMode="External"/><Relationship Id="rId6069" Type="http://schemas.openxmlformats.org/officeDocument/2006/relationships/hyperlink" Target="https://zakon.rada.gov.ua/laws/show/71-19" TargetMode="External"/><Relationship Id="rId6276" Type="http://schemas.openxmlformats.org/officeDocument/2006/relationships/hyperlink" Target="https://zakon.rada.gov.ua/laws/show/2755-17/print" TargetMode="External"/><Relationship Id="rId5085" Type="http://schemas.openxmlformats.org/officeDocument/2006/relationships/hyperlink" Target="https://zakon.rada.gov.ua/laws/show/2755-17/print" TargetMode="External"/><Relationship Id="rId998" Type="http://schemas.openxmlformats.org/officeDocument/2006/relationships/hyperlink" Target="https://zakon.rada.gov.ua/laws/show/851-15" TargetMode="External"/><Relationship Id="rId2679" Type="http://schemas.openxmlformats.org/officeDocument/2006/relationships/hyperlink" Target="https://zakon.rada.gov.ua/laws/show/2755-17/print" TargetMode="External"/><Relationship Id="rId2886" Type="http://schemas.openxmlformats.org/officeDocument/2006/relationships/hyperlink" Target="https://zakon.rada.gov.ua/laws/show/657-18" TargetMode="External"/><Relationship Id="rId3937" Type="http://schemas.openxmlformats.org/officeDocument/2006/relationships/hyperlink" Target="https://zakon.rada.gov.ua/laws/show/5074-17" TargetMode="External"/><Relationship Id="rId5292" Type="http://schemas.openxmlformats.org/officeDocument/2006/relationships/hyperlink" Target="https://zakon.rada.gov.ua/laws/show/2755-17/print" TargetMode="External"/><Relationship Id="rId6136" Type="http://schemas.openxmlformats.org/officeDocument/2006/relationships/hyperlink" Target="https://zakon.rada.gov.ua/laws/show/4235-17" TargetMode="External"/><Relationship Id="rId858" Type="http://schemas.openxmlformats.org/officeDocument/2006/relationships/hyperlink" Target="https://zakon.rada.gov.ua/laws/show/2755-17/print" TargetMode="External"/><Relationship Id="rId1488" Type="http://schemas.openxmlformats.org/officeDocument/2006/relationships/hyperlink" Target="https://zakon.rada.gov.ua/laws/show/3609-17" TargetMode="External"/><Relationship Id="rId1695" Type="http://schemas.openxmlformats.org/officeDocument/2006/relationships/hyperlink" Target="https://zakon.rada.gov.ua/laws/show/1797-19" TargetMode="External"/><Relationship Id="rId2539" Type="http://schemas.openxmlformats.org/officeDocument/2006/relationships/hyperlink" Target="https://zakon.rada.gov.ua/laws/show/2755-17/print" TargetMode="External"/><Relationship Id="rId2746" Type="http://schemas.openxmlformats.org/officeDocument/2006/relationships/hyperlink" Target="https://zakon.rada.gov.ua/laws/show/909-19" TargetMode="External"/><Relationship Id="rId2953" Type="http://schemas.openxmlformats.org/officeDocument/2006/relationships/hyperlink" Target="https://zakon.rada.gov.ua/laws/show/4834-17" TargetMode="External"/><Relationship Id="rId5152" Type="http://schemas.openxmlformats.org/officeDocument/2006/relationships/hyperlink" Target="https://zakon.rada.gov.ua/laws/show/5412-17" TargetMode="External"/><Relationship Id="rId6203" Type="http://schemas.openxmlformats.org/officeDocument/2006/relationships/hyperlink" Target="https://zakon.rada.gov.ua/laws/show/329-19" TargetMode="External"/><Relationship Id="rId718" Type="http://schemas.openxmlformats.org/officeDocument/2006/relationships/hyperlink" Target="https://zakon.rada.gov.ua/laws/show/657-18" TargetMode="External"/><Relationship Id="rId925" Type="http://schemas.openxmlformats.org/officeDocument/2006/relationships/hyperlink" Target="https://zakon.rada.gov.ua/laws/show/609-19" TargetMode="External"/><Relationship Id="rId1348" Type="http://schemas.openxmlformats.org/officeDocument/2006/relationships/hyperlink" Target="https://zakon.rada.gov.ua/laws/show/3609-17" TargetMode="External"/><Relationship Id="rId1555" Type="http://schemas.openxmlformats.org/officeDocument/2006/relationships/hyperlink" Target="https://zakon.rada.gov.ua/laws/show/2755-17/print" TargetMode="External"/><Relationship Id="rId1762" Type="http://schemas.openxmlformats.org/officeDocument/2006/relationships/hyperlink" Target="https://zakon.rada.gov.ua/laws/show/3609-17" TargetMode="External"/><Relationship Id="rId2606" Type="http://schemas.openxmlformats.org/officeDocument/2006/relationships/hyperlink" Target="https://zakon.rada.gov.ua/laws/show/1588-18" TargetMode="External"/><Relationship Id="rId5012" Type="http://schemas.openxmlformats.org/officeDocument/2006/relationships/hyperlink" Target="https://zakon.rada.gov.ua/laws/show/5503-17" TargetMode="External"/><Relationship Id="rId1208" Type="http://schemas.openxmlformats.org/officeDocument/2006/relationships/hyperlink" Target="https://zakon.rada.gov.ua/laws/show/z0099-14" TargetMode="External"/><Relationship Id="rId1415" Type="http://schemas.openxmlformats.org/officeDocument/2006/relationships/hyperlink" Target="https://zakon.rada.gov.ua/laws/show/1797-19" TargetMode="External"/><Relationship Id="rId2813" Type="http://schemas.openxmlformats.org/officeDocument/2006/relationships/hyperlink" Target="https://zakon.rada.gov.ua/laws/show/1621-18" TargetMode="External"/><Relationship Id="rId5969" Type="http://schemas.openxmlformats.org/officeDocument/2006/relationships/hyperlink" Target="https://zakon.rada.gov.ua/laws/show/2628-19" TargetMode="External"/><Relationship Id="rId54" Type="http://schemas.openxmlformats.org/officeDocument/2006/relationships/hyperlink" Target="https://zakon.rada.gov.ua/laws/show/657-18" TargetMode="External"/><Relationship Id="rId1622" Type="http://schemas.openxmlformats.org/officeDocument/2006/relationships/hyperlink" Target="https://zakon.rada.gov.ua/laws/show/2755-17/print" TargetMode="External"/><Relationship Id="rId4778" Type="http://schemas.openxmlformats.org/officeDocument/2006/relationships/hyperlink" Target="https://zakon.rada.gov.ua/laws/show/5083-17" TargetMode="External"/><Relationship Id="rId4985" Type="http://schemas.openxmlformats.org/officeDocument/2006/relationships/hyperlink" Target="https://zakon.rada.gov.ua/laws/show/1791-19" TargetMode="External"/><Relationship Id="rId5829" Type="http://schemas.openxmlformats.org/officeDocument/2006/relationships/hyperlink" Target="https://zakon.rada.gov.ua/laws/show/2755-17/print" TargetMode="External"/><Relationship Id="rId2189" Type="http://schemas.openxmlformats.org/officeDocument/2006/relationships/hyperlink" Target="https://zakon.rada.gov.ua/laws/show/909-19" TargetMode="External"/><Relationship Id="rId3587" Type="http://schemas.openxmlformats.org/officeDocument/2006/relationships/hyperlink" Target="https://zakon.rada.gov.ua/laws/show/4834-17" TargetMode="External"/><Relationship Id="rId3794" Type="http://schemas.openxmlformats.org/officeDocument/2006/relationships/hyperlink" Target="https://zakon.rada.gov.ua/laws/show/1166-18" TargetMode="External"/><Relationship Id="rId4638" Type="http://schemas.openxmlformats.org/officeDocument/2006/relationships/hyperlink" Target="https://zakon.rada.gov.ua/laws/show/2628-19" TargetMode="External"/><Relationship Id="rId4845" Type="http://schemas.openxmlformats.org/officeDocument/2006/relationships/hyperlink" Target="https://zakon.rada.gov.ua/laws/show/71-19" TargetMode="External"/><Relationship Id="rId6060" Type="http://schemas.openxmlformats.org/officeDocument/2006/relationships/hyperlink" Target="https://zakon.rada.gov.ua/laws/show/129-20" TargetMode="External"/><Relationship Id="rId2396" Type="http://schemas.openxmlformats.org/officeDocument/2006/relationships/hyperlink" Target="https://zakon.rada.gov.ua/laws/show/1797-19" TargetMode="External"/><Relationship Id="rId3447" Type="http://schemas.openxmlformats.org/officeDocument/2006/relationships/hyperlink" Target="https://zakon.rada.gov.ua/laws/show/1797-19" TargetMode="External"/><Relationship Id="rId3654" Type="http://schemas.openxmlformats.org/officeDocument/2006/relationships/hyperlink" Target="https://zakon.rada.gov.ua/laws/show/2755-17/print" TargetMode="External"/><Relationship Id="rId3861" Type="http://schemas.openxmlformats.org/officeDocument/2006/relationships/hyperlink" Target="https://zakon.rada.gov.ua/laws/show/2755-17/print" TargetMode="External"/><Relationship Id="rId4705" Type="http://schemas.openxmlformats.org/officeDocument/2006/relationships/hyperlink" Target="https://zakon.rada.gov.ua/laws/show/2245-19" TargetMode="External"/><Relationship Id="rId4912" Type="http://schemas.openxmlformats.org/officeDocument/2006/relationships/hyperlink" Target="https://zakon.rada.gov.ua/laws/show/1791-19" TargetMode="External"/><Relationship Id="rId368" Type="http://schemas.openxmlformats.org/officeDocument/2006/relationships/hyperlink" Target="https://zakon.rada.gov.ua/laws/show/4915-17" TargetMode="External"/><Relationship Id="rId575" Type="http://schemas.openxmlformats.org/officeDocument/2006/relationships/hyperlink" Target="https://zakon.rada.gov.ua/laws/show/2371%D0%B0-14" TargetMode="External"/><Relationship Id="rId782" Type="http://schemas.openxmlformats.org/officeDocument/2006/relationships/hyperlink" Target="https://zakon.rada.gov.ua/laws/show/2628-19" TargetMode="External"/><Relationship Id="rId2049" Type="http://schemas.openxmlformats.org/officeDocument/2006/relationships/hyperlink" Target="https://zakon.rada.gov.ua/laws/show/5083-17" TargetMode="External"/><Relationship Id="rId2256" Type="http://schemas.openxmlformats.org/officeDocument/2006/relationships/hyperlink" Target="https://zakon.rada.gov.ua/laws/show/1797-19" TargetMode="External"/><Relationship Id="rId2463" Type="http://schemas.openxmlformats.org/officeDocument/2006/relationships/hyperlink" Target="https://zakon.rada.gov.ua/laws/show/1588-18" TargetMode="External"/><Relationship Id="rId2670" Type="http://schemas.openxmlformats.org/officeDocument/2006/relationships/hyperlink" Target="https://zakon.rada.gov.ua/laws/show/80/94-%D0%B2%D1%80" TargetMode="External"/><Relationship Id="rId3307" Type="http://schemas.openxmlformats.org/officeDocument/2006/relationships/hyperlink" Target="https://zakon.rada.gov.ua/laws/show/909-19" TargetMode="External"/><Relationship Id="rId3514" Type="http://schemas.openxmlformats.org/officeDocument/2006/relationships/hyperlink" Target="https://zakon.rada.gov.ua/laws/show/643-19" TargetMode="External"/><Relationship Id="rId3721" Type="http://schemas.openxmlformats.org/officeDocument/2006/relationships/hyperlink" Target="https://zakon.rada.gov.ua/laws/show/570-2014-%D0%BF" TargetMode="External"/><Relationship Id="rId228" Type="http://schemas.openxmlformats.org/officeDocument/2006/relationships/hyperlink" Target="https://zakon.rada.gov.ua/laws/show/71-19" TargetMode="External"/><Relationship Id="rId435" Type="http://schemas.openxmlformats.org/officeDocument/2006/relationships/hyperlink" Target="https://zakon.rada.gov.ua/laws/show/909-19" TargetMode="External"/><Relationship Id="rId642" Type="http://schemas.openxmlformats.org/officeDocument/2006/relationships/hyperlink" Target="https://zakon.rada.gov.ua/laws/show/1797-19" TargetMode="External"/><Relationship Id="rId1065" Type="http://schemas.openxmlformats.org/officeDocument/2006/relationships/hyperlink" Target="https://zakon.rada.gov.ua/laws/show/2755-17/print" TargetMode="External"/><Relationship Id="rId1272" Type="http://schemas.openxmlformats.org/officeDocument/2006/relationships/hyperlink" Target="https://zakon.rada.gov.ua/laws/show/2755-17/print" TargetMode="External"/><Relationship Id="rId2116" Type="http://schemas.openxmlformats.org/officeDocument/2006/relationships/hyperlink" Target="https://zakon.rada.gov.ua/laws/show/652-19" TargetMode="External"/><Relationship Id="rId2323" Type="http://schemas.openxmlformats.org/officeDocument/2006/relationships/hyperlink" Target="https://zakon.rada.gov.ua/laws/show/2755-17/print" TargetMode="External"/><Relationship Id="rId2530" Type="http://schemas.openxmlformats.org/officeDocument/2006/relationships/hyperlink" Target="https://zakon.rada.gov.ua/laws/show/2755-17/print" TargetMode="External"/><Relationship Id="rId5479" Type="http://schemas.openxmlformats.org/officeDocument/2006/relationships/hyperlink" Target="https://zakon.rada.gov.ua/laws/show/2755-17/print" TargetMode="External"/><Relationship Id="rId5686" Type="http://schemas.openxmlformats.org/officeDocument/2006/relationships/hyperlink" Target="https://zakon.rada.gov.ua/laws/show/2245-19" TargetMode="External"/><Relationship Id="rId5893" Type="http://schemas.openxmlformats.org/officeDocument/2006/relationships/hyperlink" Target="https://zakon.rada.gov.ua/laws/show/3759-12" TargetMode="External"/><Relationship Id="rId502" Type="http://schemas.openxmlformats.org/officeDocument/2006/relationships/hyperlink" Target="https://zakon.rada.gov.ua/laws/show/2725-19" TargetMode="External"/><Relationship Id="rId1132" Type="http://schemas.openxmlformats.org/officeDocument/2006/relationships/hyperlink" Target="https://zakon.rada.gov.ua/laws/show/851-15" TargetMode="External"/><Relationship Id="rId4288" Type="http://schemas.openxmlformats.org/officeDocument/2006/relationships/hyperlink" Target="https://zakon.rada.gov.ua/laws/show/391-20" TargetMode="External"/><Relationship Id="rId4495" Type="http://schemas.openxmlformats.org/officeDocument/2006/relationships/hyperlink" Target="https://zakon.rada.gov.ua/laws/show/2628-19" TargetMode="External"/><Relationship Id="rId5339" Type="http://schemas.openxmlformats.org/officeDocument/2006/relationships/hyperlink" Target="https://zakon.rada.gov.ua/laws/show/2245-19" TargetMode="External"/><Relationship Id="rId5546" Type="http://schemas.openxmlformats.org/officeDocument/2006/relationships/hyperlink" Target="https://zakon.rada.gov.ua/laws/show/2628-19" TargetMode="External"/><Relationship Id="rId3097" Type="http://schemas.openxmlformats.org/officeDocument/2006/relationships/hyperlink" Target="https://zakon.rada.gov.ua/laws/show/3609-17" TargetMode="External"/><Relationship Id="rId4148" Type="http://schemas.openxmlformats.org/officeDocument/2006/relationships/hyperlink" Target="https://zakon.rada.gov.ua/laws/show/71-19" TargetMode="External"/><Relationship Id="rId4355" Type="http://schemas.openxmlformats.org/officeDocument/2006/relationships/hyperlink" Target="https://zakon.rada.gov.ua/laws/show/1191-18" TargetMode="External"/><Relationship Id="rId5753" Type="http://schemas.openxmlformats.org/officeDocument/2006/relationships/hyperlink" Target="https://zakon.rada.gov.ua/laws/show/71-19" TargetMode="External"/><Relationship Id="rId5960" Type="http://schemas.openxmlformats.org/officeDocument/2006/relationships/hyperlink" Target="https://zakon.rada.gov.ua/laws/show/4677-17" TargetMode="External"/><Relationship Id="rId1949" Type="http://schemas.openxmlformats.org/officeDocument/2006/relationships/hyperlink" Target="https://zakon.rada.gov.ua/laws/show/2628-19" TargetMode="External"/><Relationship Id="rId3164" Type="http://schemas.openxmlformats.org/officeDocument/2006/relationships/hyperlink" Target="https://zakon.rada.gov.ua/laws/show/408-18" TargetMode="External"/><Relationship Id="rId4008" Type="http://schemas.openxmlformats.org/officeDocument/2006/relationships/hyperlink" Target="https://zakon.rada.gov.ua/laws/show/2755-17/print" TargetMode="External"/><Relationship Id="rId4562" Type="http://schemas.openxmlformats.org/officeDocument/2006/relationships/hyperlink" Target="https://zakon.rada.gov.ua/laws/show/076_009" TargetMode="External"/><Relationship Id="rId5406" Type="http://schemas.openxmlformats.org/officeDocument/2006/relationships/hyperlink" Target="https://zakon.rada.gov.ua/laws/show/3609-17" TargetMode="External"/><Relationship Id="rId5613" Type="http://schemas.openxmlformats.org/officeDocument/2006/relationships/hyperlink" Target="https://zakon.rada.gov.ua/laws/show/2755-17/print" TargetMode="External"/><Relationship Id="rId5820" Type="http://schemas.openxmlformats.org/officeDocument/2006/relationships/hyperlink" Target="https://zakon.rada.gov.ua/laws/show/2755-17/print" TargetMode="External"/><Relationship Id="rId292" Type="http://schemas.openxmlformats.org/officeDocument/2006/relationships/hyperlink" Target="https://zakon.rada.gov.ua/laws/show/71-19" TargetMode="External"/><Relationship Id="rId1809" Type="http://schemas.openxmlformats.org/officeDocument/2006/relationships/hyperlink" Target="https://zakon.rada.gov.ua/laws/show/71-19" TargetMode="External"/><Relationship Id="rId3371" Type="http://schemas.openxmlformats.org/officeDocument/2006/relationships/hyperlink" Target="https://zakon.rada.gov.ua/laws/show/1797-19" TargetMode="External"/><Relationship Id="rId4215" Type="http://schemas.openxmlformats.org/officeDocument/2006/relationships/hyperlink" Target="https://zakon.rada.gov.ua/laws/show/2628-19" TargetMode="External"/><Relationship Id="rId4422" Type="http://schemas.openxmlformats.org/officeDocument/2006/relationships/hyperlink" Target="https://zakon.rada.gov.ua/laws/show/1191-18" TargetMode="External"/><Relationship Id="rId2180" Type="http://schemas.openxmlformats.org/officeDocument/2006/relationships/hyperlink" Target="https://zakon.rada.gov.ua/laws/show/2245-19" TargetMode="External"/><Relationship Id="rId3024" Type="http://schemas.openxmlformats.org/officeDocument/2006/relationships/hyperlink" Target="https://zakon.rada.gov.ua/laws/show/1797-19" TargetMode="External"/><Relationship Id="rId3231" Type="http://schemas.openxmlformats.org/officeDocument/2006/relationships/hyperlink" Target="https://zakon.rada.gov.ua/laws/show/2755-17/print" TargetMode="External"/><Relationship Id="rId152" Type="http://schemas.openxmlformats.org/officeDocument/2006/relationships/hyperlink" Target="https://zakon.rada.gov.ua/laws/show/4915-17" TargetMode="External"/><Relationship Id="rId2040" Type="http://schemas.openxmlformats.org/officeDocument/2006/relationships/hyperlink" Target="https://zakon.rada.gov.ua/laws/show/2755-17/print" TargetMode="External"/><Relationship Id="rId2997" Type="http://schemas.openxmlformats.org/officeDocument/2006/relationships/hyperlink" Target="https://zakon.rada.gov.ua/laws/show/2628-19" TargetMode="External"/><Relationship Id="rId5196" Type="http://schemas.openxmlformats.org/officeDocument/2006/relationships/hyperlink" Target="https://zakon.rada.gov.ua/laws/show/1797-19" TargetMode="External"/><Relationship Id="rId6247" Type="http://schemas.openxmlformats.org/officeDocument/2006/relationships/hyperlink" Target="https://zakon.rada.gov.ua/laws/show/2755-17/print" TargetMode="External"/><Relationship Id="rId969" Type="http://schemas.openxmlformats.org/officeDocument/2006/relationships/hyperlink" Target="https://zakon.rada.gov.ua/laws/show/2245-19" TargetMode="External"/><Relationship Id="rId1599" Type="http://schemas.openxmlformats.org/officeDocument/2006/relationships/hyperlink" Target="https://zakon.rada.gov.ua/laws/show/2755-17/print" TargetMode="External"/><Relationship Id="rId5056" Type="http://schemas.openxmlformats.org/officeDocument/2006/relationships/hyperlink" Target="https://zakon.rada.gov.ua/laws/show/076_009" TargetMode="External"/><Relationship Id="rId5263" Type="http://schemas.openxmlformats.org/officeDocument/2006/relationships/hyperlink" Target="https://zakon.rada.gov.ua/laws/show/203/98-%D0%B2%D1%80" TargetMode="External"/><Relationship Id="rId5470" Type="http://schemas.openxmlformats.org/officeDocument/2006/relationships/hyperlink" Target="https://zakon.rada.gov.ua/laws/show/1658-18" TargetMode="External"/><Relationship Id="rId6107" Type="http://schemas.openxmlformats.org/officeDocument/2006/relationships/hyperlink" Target="https://zakon.rada.gov.ua/laws/show/2755-17/print" TargetMode="External"/><Relationship Id="rId1459" Type="http://schemas.openxmlformats.org/officeDocument/2006/relationships/hyperlink" Target="https://zakon.rada.gov.ua/laws/show/2755-17/print" TargetMode="External"/><Relationship Id="rId2857" Type="http://schemas.openxmlformats.org/officeDocument/2006/relationships/hyperlink" Target="https://zakon.rada.gov.ua/laws/show/2755-17/print" TargetMode="External"/><Relationship Id="rId3908" Type="http://schemas.openxmlformats.org/officeDocument/2006/relationships/hyperlink" Target="https://zakon.rada.gov.ua/laws/show/584%D0%B0-18" TargetMode="External"/><Relationship Id="rId4072" Type="http://schemas.openxmlformats.org/officeDocument/2006/relationships/hyperlink" Target="https://zakon.rada.gov.ua/laws/show/404-18" TargetMode="External"/><Relationship Id="rId5123" Type="http://schemas.openxmlformats.org/officeDocument/2006/relationships/hyperlink" Target="https://zakon.rada.gov.ua/laws/show/2755-17/print" TargetMode="External"/><Relationship Id="rId5330" Type="http://schemas.openxmlformats.org/officeDocument/2006/relationships/hyperlink" Target="https://zakon.rada.gov.ua/laws/show/502/96-%D0%B2%D1%80" TargetMode="External"/><Relationship Id="rId98" Type="http://schemas.openxmlformats.org/officeDocument/2006/relationships/hyperlink" Target="https://zakon.rada.gov.ua/laws/show/609-19" TargetMode="External"/><Relationship Id="rId829" Type="http://schemas.openxmlformats.org/officeDocument/2006/relationships/hyperlink" Target="https://zakon.rada.gov.ua/laws/show/1797-19" TargetMode="External"/><Relationship Id="rId1666" Type="http://schemas.openxmlformats.org/officeDocument/2006/relationships/hyperlink" Target="https://zakon.rada.gov.ua/laws/show/4834-17" TargetMode="External"/><Relationship Id="rId1873" Type="http://schemas.openxmlformats.org/officeDocument/2006/relationships/hyperlink" Target="https://zakon.rada.gov.ua/laws/show/5503-17" TargetMode="External"/><Relationship Id="rId2717" Type="http://schemas.openxmlformats.org/officeDocument/2006/relationships/hyperlink" Target="https://zakon.rada.gov.ua/laws/show/1910-19" TargetMode="External"/><Relationship Id="rId2924" Type="http://schemas.openxmlformats.org/officeDocument/2006/relationships/hyperlink" Target="https://zakon.rada.gov.ua/laws/show/4915-17" TargetMode="External"/><Relationship Id="rId1319" Type="http://schemas.openxmlformats.org/officeDocument/2006/relationships/hyperlink" Target="https://zakon.rada.gov.ua/laws/show/1797-19" TargetMode="External"/><Relationship Id="rId1526" Type="http://schemas.openxmlformats.org/officeDocument/2006/relationships/hyperlink" Target="https://zakon.rada.gov.ua/laws/show/1797-19" TargetMode="External"/><Relationship Id="rId1733" Type="http://schemas.openxmlformats.org/officeDocument/2006/relationships/hyperlink" Target="https://zakon.rada.gov.ua/laws/show/1797-19" TargetMode="External"/><Relationship Id="rId1940" Type="http://schemas.openxmlformats.org/officeDocument/2006/relationships/hyperlink" Target="https://zakon.rada.gov.ua/laws/show/2245-19" TargetMode="External"/><Relationship Id="rId4889" Type="http://schemas.openxmlformats.org/officeDocument/2006/relationships/hyperlink" Target="https://zakon.rada.gov.ua/laws/show/5083-17" TargetMode="External"/><Relationship Id="rId25" Type="http://schemas.openxmlformats.org/officeDocument/2006/relationships/hyperlink" Target="https://zakon.rada.gov.ua/laws/show/4652-17" TargetMode="External"/><Relationship Id="rId1800" Type="http://schemas.openxmlformats.org/officeDocument/2006/relationships/hyperlink" Target="https://zakon.rada.gov.ua/laws/show/2755-17/print" TargetMode="External"/><Relationship Id="rId3698" Type="http://schemas.openxmlformats.org/officeDocument/2006/relationships/hyperlink" Target="https://zakon.rada.gov.ua/laws/show/909-19" TargetMode="External"/><Relationship Id="rId4749" Type="http://schemas.openxmlformats.org/officeDocument/2006/relationships/hyperlink" Target="https://zakon.rada.gov.ua/laws/show/344-20" TargetMode="External"/><Relationship Id="rId4956" Type="http://schemas.openxmlformats.org/officeDocument/2006/relationships/hyperlink" Target="https://zakon.rada.gov.ua/laws/show/5083-17" TargetMode="External"/><Relationship Id="rId3558" Type="http://schemas.openxmlformats.org/officeDocument/2006/relationships/hyperlink" Target="https://zakon.rada.gov.ua/laws/show/2755-17/print" TargetMode="External"/><Relationship Id="rId3765" Type="http://schemas.openxmlformats.org/officeDocument/2006/relationships/hyperlink" Target="https://zakon.rada.gov.ua/laws/show/71-19" TargetMode="External"/><Relationship Id="rId3972" Type="http://schemas.openxmlformats.org/officeDocument/2006/relationships/hyperlink" Target="https://zakon.rada.gov.ua/laws/show/076_009" TargetMode="External"/><Relationship Id="rId4609" Type="http://schemas.openxmlformats.org/officeDocument/2006/relationships/hyperlink" Target="https://zakon.rada.gov.ua/laws/show/909-19" TargetMode="External"/><Relationship Id="rId4816" Type="http://schemas.openxmlformats.org/officeDocument/2006/relationships/hyperlink" Target="https://zakon.rada.gov.ua/laws/show/4834-17" TargetMode="External"/><Relationship Id="rId6171" Type="http://schemas.openxmlformats.org/officeDocument/2006/relationships/hyperlink" Target="https://zakon.rada.gov.ua/laws/show/2755-17/print" TargetMode="External"/><Relationship Id="rId479" Type="http://schemas.openxmlformats.org/officeDocument/2006/relationships/hyperlink" Target="https://zakon.rada.gov.ua/laws/show/1797-19" TargetMode="External"/><Relationship Id="rId686" Type="http://schemas.openxmlformats.org/officeDocument/2006/relationships/hyperlink" Target="https://zakon.rada.gov.ua/laws/show/71-19" TargetMode="External"/><Relationship Id="rId893" Type="http://schemas.openxmlformats.org/officeDocument/2006/relationships/hyperlink" Target="https://zakon.rada.gov.ua/laws/show/2755-17/print" TargetMode="External"/><Relationship Id="rId2367" Type="http://schemas.openxmlformats.org/officeDocument/2006/relationships/hyperlink" Target="https://zakon.rada.gov.ua/laws/show/4834-17" TargetMode="External"/><Relationship Id="rId2574" Type="http://schemas.openxmlformats.org/officeDocument/2006/relationships/hyperlink" Target="https://zakon.rada.gov.ua/laws/show/2755-17/print" TargetMode="External"/><Relationship Id="rId2781" Type="http://schemas.openxmlformats.org/officeDocument/2006/relationships/hyperlink" Target="https://zakon.rada.gov.ua/laws/show/909-19" TargetMode="External"/><Relationship Id="rId3418" Type="http://schemas.openxmlformats.org/officeDocument/2006/relationships/hyperlink" Target="https://zakon.rada.gov.ua/laws/show/z0137-16" TargetMode="External"/><Relationship Id="rId3625" Type="http://schemas.openxmlformats.org/officeDocument/2006/relationships/hyperlink" Target="https://zakon.rada.gov.ua/laws/show/2755-17/print" TargetMode="External"/><Relationship Id="rId6031" Type="http://schemas.openxmlformats.org/officeDocument/2006/relationships/hyperlink" Target="https://zakon.rada.gov.ua/laws/show/2755-17/print" TargetMode="External"/><Relationship Id="rId339" Type="http://schemas.openxmlformats.org/officeDocument/2006/relationships/hyperlink" Target="https://zakon.rada.gov.ua/laws/show/5412-17" TargetMode="External"/><Relationship Id="rId546" Type="http://schemas.openxmlformats.org/officeDocument/2006/relationships/hyperlink" Target="https://zakon.rada.gov.ua/laws/show/4834-17" TargetMode="External"/><Relationship Id="rId753" Type="http://schemas.openxmlformats.org/officeDocument/2006/relationships/hyperlink" Target="https://zakon.rada.gov.ua/laws/show/1797-19" TargetMode="External"/><Relationship Id="rId1176" Type="http://schemas.openxmlformats.org/officeDocument/2006/relationships/hyperlink" Target="https://zakon.rada.gov.ua/laws/show/5503-17" TargetMode="External"/><Relationship Id="rId1383" Type="http://schemas.openxmlformats.org/officeDocument/2006/relationships/hyperlink" Target="https://zakon.rada.gov.ua/laws/show/1797-19" TargetMode="External"/><Relationship Id="rId2227" Type="http://schemas.openxmlformats.org/officeDocument/2006/relationships/hyperlink" Target="https://zakon.rada.gov.ua/laws/show/1797-19" TargetMode="External"/><Relationship Id="rId2434" Type="http://schemas.openxmlformats.org/officeDocument/2006/relationships/hyperlink" Target="https://zakon.rada.gov.ua/laws/show/1668-18" TargetMode="External"/><Relationship Id="rId3832" Type="http://schemas.openxmlformats.org/officeDocument/2006/relationships/hyperlink" Target="https://zakon.rada.gov.ua/laws/show/71-19" TargetMode="External"/><Relationship Id="rId406" Type="http://schemas.openxmlformats.org/officeDocument/2006/relationships/hyperlink" Target="https://zakon.rada.gov.ua/laws/show/71-19" TargetMode="External"/><Relationship Id="rId960" Type="http://schemas.openxmlformats.org/officeDocument/2006/relationships/hyperlink" Target="https://zakon.rada.gov.ua/laws/show/1797-19" TargetMode="External"/><Relationship Id="rId1036" Type="http://schemas.openxmlformats.org/officeDocument/2006/relationships/hyperlink" Target="https://zakon.rada.gov.ua/laws/show/4915-17" TargetMode="External"/><Relationship Id="rId1243" Type="http://schemas.openxmlformats.org/officeDocument/2006/relationships/hyperlink" Target="https://zakon.rada.gov.ua/laws/show/z0137-16" TargetMode="External"/><Relationship Id="rId1590" Type="http://schemas.openxmlformats.org/officeDocument/2006/relationships/hyperlink" Target="https://zakon.rada.gov.ua/laws/show/408-18" TargetMode="External"/><Relationship Id="rId2641" Type="http://schemas.openxmlformats.org/officeDocument/2006/relationships/hyperlink" Target="https://zakon.rada.gov.ua/laws/show/73-2011-%D0%BF" TargetMode="External"/><Relationship Id="rId4399" Type="http://schemas.openxmlformats.org/officeDocument/2006/relationships/hyperlink" Target="https://zakon.rada.gov.ua/laws/show/2755-17/print" TargetMode="External"/><Relationship Id="rId5797" Type="http://schemas.openxmlformats.org/officeDocument/2006/relationships/hyperlink" Target="https://zakon.rada.gov.ua/laws/show/71-19" TargetMode="External"/><Relationship Id="rId613" Type="http://schemas.openxmlformats.org/officeDocument/2006/relationships/hyperlink" Target="https://zakon.rada.gov.ua/laws/show/2755-17/print" TargetMode="External"/><Relationship Id="rId820" Type="http://schemas.openxmlformats.org/officeDocument/2006/relationships/hyperlink" Target="https://zakon.rada.gov.ua/laws/show/1797-19" TargetMode="External"/><Relationship Id="rId1450" Type="http://schemas.openxmlformats.org/officeDocument/2006/relationships/hyperlink" Target="https://zakon.rada.gov.ua/laws/show/3609-17" TargetMode="External"/><Relationship Id="rId2501" Type="http://schemas.openxmlformats.org/officeDocument/2006/relationships/hyperlink" Target="https://zakon.rada.gov.ua/laws/show/4834-17" TargetMode="External"/><Relationship Id="rId5657" Type="http://schemas.openxmlformats.org/officeDocument/2006/relationships/hyperlink" Target="https://zakon.rada.gov.ua/laws/show/584%D0%B1-18" TargetMode="External"/><Relationship Id="rId5864" Type="http://schemas.openxmlformats.org/officeDocument/2006/relationships/hyperlink" Target="https://zakon.rada.gov.ua/laws/show/80-19" TargetMode="External"/><Relationship Id="rId1103" Type="http://schemas.openxmlformats.org/officeDocument/2006/relationships/hyperlink" Target="https://zakon.rada.gov.ua/laws/show/657-18" TargetMode="External"/><Relationship Id="rId1310" Type="http://schemas.openxmlformats.org/officeDocument/2006/relationships/hyperlink" Target="https://zakon.rada.gov.ua/laws/show/404-18" TargetMode="External"/><Relationship Id="rId4259" Type="http://schemas.openxmlformats.org/officeDocument/2006/relationships/hyperlink" Target="https://zakon.rada.gov.ua/laws/show/2755-17/print" TargetMode="External"/><Relationship Id="rId4466" Type="http://schemas.openxmlformats.org/officeDocument/2006/relationships/hyperlink" Target="https://zakon.rada.gov.ua/laws/show/5083-17" TargetMode="External"/><Relationship Id="rId4673" Type="http://schemas.openxmlformats.org/officeDocument/2006/relationships/hyperlink" Target="https://zakon.rada.gov.ua/laws/show/71-19" TargetMode="External"/><Relationship Id="rId4880" Type="http://schemas.openxmlformats.org/officeDocument/2006/relationships/hyperlink" Target="https://zakon.rada.gov.ua/laws/show/71-19" TargetMode="External"/><Relationship Id="rId5517" Type="http://schemas.openxmlformats.org/officeDocument/2006/relationships/hyperlink" Target="https://zakon.rada.gov.ua/laws/show/2755-17/print" TargetMode="External"/><Relationship Id="rId5724" Type="http://schemas.openxmlformats.org/officeDocument/2006/relationships/hyperlink" Target="https://zakon.rada.gov.ua/laws/show/4495-17" TargetMode="External"/><Relationship Id="rId5931" Type="http://schemas.openxmlformats.org/officeDocument/2006/relationships/hyperlink" Target="https://zakon.rada.gov.ua/laws/show/1638-18" TargetMode="External"/><Relationship Id="rId3068" Type="http://schemas.openxmlformats.org/officeDocument/2006/relationships/hyperlink" Target="https://zakon.rada.gov.ua/laws/show/2628-19" TargetMode="External"/><Relationship Id="rId3275" Type="http://schemas.openxmlformats.org/officeDocument/2006/relationships/hyperlink" Target="https://zakon.rada.gov.ua/laws/show/1797-19" TargetMode="External"/><Relationship Id="rId3482" Type="http://schemas.openxmlformats.org/officeDocument/2006/relationships/hyperlink" Target="https://zakon.rada.gov.ua/laws/show/1797-19" TargetMode="External"/><Relationship Id="rId4119" Type="http://schemas.openxmlformats.org/officeDocument/2006/relationships/hyperlink" Target="https://zakon.rada.gov.ua/laws/show/391-20" TargetMode="External"/><Relationship Id="rId4326" Type="http://schemas.openxmlformats.org/officeDocument/2006/relationships/hyperlink" Target="https://zakon.rada.gov.ua/laws/show/2628-19" TargetMode="External"/><Relationship Id="rId4533" Type="http://schemas.openxmlformats.org/officeDocument/2006/relationships/hyperlink" Target="https://zakon.rada.gov.ua/laws/show/1797-19" TargetMode="External"/><Relationship Id="rId4740" Type="http://schemas.openxmlformats.org/officeDocument/2006/relationships/hyperlink" Target="https://zakon.rada.gov.ua/laws/show/3609-17" TargetMode="External"/><Relationship Id="rId196" Type="http://schemas.openxmlformats.org/officeDocument/2006/relationships/hyperlink" Target="https://zakon.rada.gov.ua/laws/show/909-19" TargetMode="External"/><Relationship Id="rId2084" Type="http://schemas.openxmlformats.org/officeDocument/2006/relationships/hyperlink" Target="https://zakon.rada.gov.ua/laws/show/4915-17" TargetMode="External"/><Relationship Id="rId2291" Type="http://schemas.openxmlformats.org/officeDocument/2006/relationships/hyperlink" Target="https://zakon.rada.gov.ua/laws/show/364-19" TargetMode="External"/><Relationship Id="rId3135" Type="http://schemas.openxmlformats.org/officeDocument/2006/relationships/hyperlink" Target="https://zakon.rada.gov.ua/laws/show/4495-17" TargetMode="External"/><Relationship Id="rId3342" Type="http://schemas.openxmlformats.org/officeDocument/2006/relationships/hyperlink" Target="https://zakon.rada.gov.ua/laws/show/1797-19" TargetMode="External"/><Relationship Id="rId4600" Type="http://schemas.openxmlformats.org/officeDocument/2006/relationships/hyperlink" Target="https://zakon.rada.gov.ua/laws/show/909-19" TargetMode="External"/><Relationship Id="rId263" Type="http://schemas.openxmlformats.org/officeDocument/2006/relationships/hyperlink" Target="https://zakon.rada.gov.ua/laws/show/909-19" TargetMode="External"/><Relationship Id="rId470" Type="http://schemas.openxmlformats.org/officeDocument/2006/relationships/hyperlink" Target="https://zakon.rada.gov.ua/laws/show/1797-19" TargetMode="External"/><Relationship Id="rId2151" Type="http://schemas.openxmlformats.org/officeDocument/2006/relationships/hyperlink" Target="https://zakon.rada.gov.ua/laws/show/2755-17/print" TargetMode="External"/><Relationship Id="rId3202" Type="http://schemas.openxmlformats.org/officeDocument/2006/relationships/hyperlink" Target="https://zakon.rada.gov.ua/laws/show/3609-17" TargetMode="External"/><Relationship Id="rId123" Type="http://schemas.openxmlformats.org/officeDocument/2006/relationships/hyperlink" Target="https://zakon.rada.gov.ua/laws/show/2245-19" TargetMode="External"/><Relationship Id="rId330" Type="http://schemas.openxmlformats.org/officeDocument/2006/relationships/hyperlink" Target="https://zakon.rada.gov.ua/laws/show/1797-19" TargetMode="External"/><Relationship Id="rId2011" Type="http://schemas.openxmlformats.org/officeDocument/2006/relationships/hyperlink" Target="https://zakon.rada.gov.ua/laws/show/1797-19" TargetMode="External"/><Relationship Id="rId5167" Type="http://schemas.openxmlformats.org/officeDocument/2006/relationships/hyperlink" Target="https://zakon.rada.gov.ua/laws/show/5412-17" TargetMode="External"/><Relationship Id="rId5374" Type="http://schemas.openxmlformats.org/officeDocument/2006/relationships/hyperlink" Target="https://zakon.rada.gov.ua/laws/show/1797-19" TargetMode="External"/><Relationship Id="rId6218" Type="http://schemas.openxmlformats.org/officeDocument/2006/relationships/hyperlink" Target="https://zakon.rada.gov.ua/laws/show/425-20" TargetMode="External"/><Relationship Id="rId2968" Type="http://schemas.openxmlformats.org/officeDocument/2006/relationships/hyperlink" Target="https://zakon.rada.gov.ua/laws/show/2755-17/print" TargetMode="External"/><Relationship Id="rId4183" Type="http://schemas.openxmlformats.org/officeDocument/2006/relationships/hyperlink" Target="https://zakon.rada.gov.ua/laws/show/2755-17/print" TargetMode="External"/><Relationship Id="rId5027" Type="http://schemas.openxmlformats.org/officeDocument/2006/relationships/hyperlink" Target="https://zakon.rada.gov.ua/laws/show/71-19" TargetMode="External"/><Relationship Id="rId5581" Type="http://schemas.openxmlformats.org/officeDocument/2006/relationships/hyperlink" Target="https://zakon.rada.gov.ua/laws/show/584%D0%B0-18" TargetMode="External"/><Relationship Id="rId1777" Type="http://schemas.openxmlformats.org/officeDocument/2006/relationships/hyperlink" Target="https://zakon.rada.gov.ua/laws/show/2755-17/print" TargetMode="External"/><Relationship Id="rId1984" Type="http://schemas.openxmlformats.org/officeDocument/2006/relationships/hyperlink" Target="https://zakon.rada.gov.ua/laws/show/z0137-16" TargetMode="External"/><Relationship Id="rId2828" Type="http://schemas.openxmlformats.org/officeDocument/2006/relationships/hyperlink" Target="https://zakon.rada.gov.ua/laws/show/443-18" TargetMode="External"/><Relationship Id="rId4390" Type="http://schemas.openxmlformats.org/officeDocument/2006/relationships/hyperlink" Target="https://zakon.rada.gov.ua/laws/show/2628-19" TargetMode="External"/><Relationship Id="rId5234" Type="http://schemas.openxmlformats.org/officeDocument/2006/relationships/hyperlink" Target="https://zakon.rada.gov.ua/laws/show/54-19" TargetMode="External"/><Relationship Id="rId5441" Type="http://schemas.openxmlformats.org/officeDocument/2006/relationships/hyperlink" Target="https://zakon.rada.gov.ua/laws/show/5213-17" TargetMode="External"/><Relationship Id="rId69" Type="http://schemas.openxmlformats.org/officeDocument/2006/relationships/hyperlink" Target="https://zakon.rada.gov.ua/laws/show/1561-18" TargetMode="External"/><Relationship Id="rId1637" Type="http://schemas.openxmlformats.org/officeDocument/2006/relationships/hyperlink" Target="https://zakon.rada.gov.ua/laws/show/3205-17" TargetMode="External"/><Relationship Id="rId1844" Type="http://schemas.openxmlformats.org/officeDocument/2006/relationships/hyperlink" Target="https://zakon.rada.gov.ua/laws/show/2755-17/print" TargetMode="External"/><Relationship Id="rId4043" Type="http://schemas.openxmlformats.org/officeDocument/2006/relationships/hyperlink" Target="https://zakon.rada.gov.ua/laws/show/71-19" TargetMode="External"/><Relationship Id="rId4250" Type="http://schemas.openxmlformats.org/officeDocument/2006/relationships/hyperlink" Target="https://zakon.rada.gov.ua/laws/show/391-20" TargetMode="External"/><Relationship Id="rId5301" Type="http://schemas.openxmlformats.org/officeDocument/2006/relationships/hyperlink" Target="https://zakon.rada.gov.ua/laws/show/2755-17/print" TargetMode="External"/><Relationship Id="rId1704" Type="http://schemas.openxmlformats.org/officeDocument/2006/relationships/hyperlink" Target="https://zakon.rada.gov.ua/laws/show/1797-19" TargetMode="External"/><Relationship Id="rId4110" Type="http://schemas.openxmlformats.org/officeDocument/2006/relationships/hyperlink" Target="https://zakon.rada.gov.ua/laws/show/584%D0%B0-18" TargetMode="External"/><Relationship Id="rId1911" Type="http://schemas.openxmlformats.org/officeDocument/2006/relationships/hyperlink" Target="https://zakon.rada.gov.ua/laws/show/z0782-17" TargetMode="External"/><Relationship Id="rId3669" Type="http://schemas.openxmlformats.org/officeDocument/2006/relationships/hyperlink" Target="https://zakon.rada.gov.ua/laws/show/2628-19" TargetMode="External"/><Relationship Id="rId6075" Type="http://schemas.openxmlformats.org/officeDocument/2006/relationships/hyperlink" Target="https://zakon.rada.gov.ua/laws/show/1791-19" TargetMode="External"/><Relationship Id="rId6282" Type="http://schemas.openxmlformats.org/officeDocument/2006/relationships/hyperlink" Target="https://zakon.rada.gov.ua/laws/show/2755-17/print" TargetMode="External"/><Relationship Id="rId797" Type="http://schemas.openxmlformats.org/officeDocument/2006/relationships/hyperlink" Target="https://zakon.rada.gov.ua/laws/show/1797-19" TargetMode="External"/><Relationship Id="rId2478" Type="http://schemas.openxmlformats.org/officeDocument/2006/relationships/hyperlink" Target="https://zakon.rada.gov.ua/laws/show/2755-17/print" TargetMode="External"/><Relationship Id="rId3876" Type="http://schemas.openxmlformats.org/officeDocument/2006/relationships/hyperlink" Target="https://zakon.rada.gov.ua/laws/show/z0078-11" TargetMode="External"/><Relationship Id="rId4927" Type="http://schemas.openxmlformats.org/officeDocument/2006/relationships/hyperlink" Target="https://zakon.rada.gov.ua/laws/show/5503-17" TargetMode="External"/><Relationship Id="rId5091" Type="http://schemas.openxmlformats.org/officeDocument/2006/relationships/hyperlink" Target="https://zakon.rada.gov.ua/laws/show/076_009" TargetMode="External"/><Relationship Id="rId6142" Type="http://schemas.openxmlformats.org/officeDocument/2006/relationships/hyperlink" Target="https://zakon.rada.gov.ua/laws/show/2755-17/print" TargetMode="External"/><Relationship Id="rId1287" Type="http://schemas.openxmlformats.org/officeDocument/2006/relationships/hyperlink" Target="https://zakon.rada.gov.ua/laws/show/2755-17/print" TargetMode="External"/><Relationship Id="rId2685" Type="http://schemas.openxmlformats.org/officeDocument/2006/relationships/hyperlink" Target="https://zakon.rada.gov.ua/laws/show/403-2013-%D0%BF" TargetMode="External"/><Relationship Id="rId2892" Type="http://schemas.openxmlformats.org/officeDocument/2006/relationships/hyperlink" Target="https://zakon.rada.gov.ua/laws/show/657-18" TargetMode="External"/><Relationship Id="rId3529" Type="http://schemas.openxmlformats.org/officeDocument/2006/relationships/hyperlink" Target="https://zakon.rada.gov.ua/laws/show/71-19" TargetMode="External"/><Relationship Id="rId3736" Type="http://schemas.openxmlformats.org/officeDocument/2006/relationships/hyperlink" Target="https://zakon.rada.gov.ua/laws/show/2755-17/print" TargetMode="External"/><Relationship Id="rId3943" Type="http://schemas.openxmlformats.org/officeDocument/2006/relationships/hyperlink" Target="https://zakon.rada.gov.ua/laws/show/2245-19" TargetMode="External"/><Relationship Id="rId6002" Type="http://schemas.openxmlformats.org/officeDocument/2006/relationships/hyperlink" Target="https://zakon.rada.gov.ua/laws/show/2628-19" TargetMode="External"/><Relationship Id="rId657" Type="http://schemas.openxmlformats.org/officeDocument/2006/relationships/hyperlink" Target="https://zakon.rada.gov.ua/laws/show/1797-19" TargetMode="External"/><Relationship Id="rId864" Type="http://schemas.openxmlformats.org/officeDocument/2006/relationships/hyperlink" Target="https://zakon.rada.gov.ua/laws/show/609-19" TargetMode="External"/><Relationship Id="rId1494" Type="http://schemas.openxmlformats.org/officeDocument/2006/relationships/hyperlink" Target="https://zakon.rada.gov.ua/laws/show/2121-14" TargetMode="External"/><Relationship Id="rId2338" Type="http://schemas.openxmlformats.org/officeDocument/2006/relationships/hyperlink" Target="https://zakon.rada.gov.ua/laws/show/5083-17" TargetMode="External"/><Relationship Id="rId2545" Type="http://schemas.openxmlformats.org/officeDocument/2006/relationships/hyperlink" Target="https://zakon.rada.gov.ua/laws/show/1253-2010-%D0%BF" TargetMode="External"/><Relationship Id="rId2752" Type="http://schemas.openxmlformats.org/officeDocument/2006/relationships/hyperlink" Target="https://zakon.rada.gov.ua/laws/show/3609-17" TargetMode="External"/><Relationship Id="rId3803" Type="http://schemas.openxmlformats.org/officeDocument/2006/relationships/hyperlink" Target="https://zakon.rada.gov.ua/laws/show/1166-18" TargetMode="External"/><Relationship Id="rId517" Type="http://schemas.openxmlformats.org/officeDocument/2006/relationships/hyperlink" Target="https://zakon.rada.gov.ua/laws/show/71-19" TargetMode="External"/><Relationship Id="rId724" Type="http://schemas.openxmlformats.org/officeDocument/2006/relationships/hyperlink" Target="https://zakon.rada.gov.ua/laws/show/z0223-15" TargetMode="External"/><Relationship Id="rId931" Type="http://schemas.openxmlformats.org/officeDocument/2006/relationships/hyperlink" Target="https://zakon.rada.gov.ua/laws/show/1797-19" TargetMode="External"/><Relationship Id="rId1147" Type="http://schemas.openxmlformats.org/officeDocument/2006/relationships/hyperlink" Target="https://zakon.rada.gov.ua/laws/show/2755-17/print" TargetMode="External"/><Relationship Id="rId1354" Type="http://schemas.openxmlformats.org/officeDocument/2006/relationships/hyperlink" Target="https://zakon.rada.gov.ua/laws/show/2755-17/print" TargetMode="External"/><Relationship Id="rId1561" Type="http://schemas.openxmlformats.org/officeDocument/2006/relationships/hyperlink" Target="https://zakon.rada.gov.ua/laws/show/1797-19" TargetMode="External"/><Relationship Id="rId2405" Type="http://schemas.openxmlformats.org/officeDocument/2006/relationships/hyperlink" Target="https://zakon.rada.gov.ua/laws/show/5083-17" TargetMode="External"/><Relationship Id="rId2612" Type="http://schemas.openxmlformats.org/officeDocument/2006/relationships/hyperlink" Target="https://zakon.rada.gov.ua/laws/show/254%D0%BA/96-%D0%B2%D1%80" TargetMode="External"/><Relationship Id="rId5768" Type="http://schemas.openxmlformats.org/officeDocument/2006/relationships/hyperlink" Target="https://zakon.rada.gov.ua/laws/show/5091-17" TargetMode="External"/><Relationship Id="rId5975" Type="http://schemas.openxmlformats.org/officeDocument/2006/relationships/hyperlink" Target="https://zakon.rada.gov.ua/laws/show/909-19" TargetMode="External"/><Relationship Id="rId60" Type="http://schemas.openxmlformats.org/officeDocument/2006/relationships/hyperlink" Target="https://zakon.rada.gov.ua/laws/show/732-18" TargetMode="External"/><Relationship Id="rId1007" Type="http://schemas.openxmlformats.org/officeDocument/2006/relationships/hyperlink" Target="https://zakon.rada.gov.ua/laws/show/2725-19" TargetMode="External"/><Relationship Id="rId1214" Type="http://schemas.openxmlformats.org/officeDocument/2006/relationships/hyperlink" Target="https://zakon.rada.gov.ua/laws/show/2755-17/print" TargetMode="External"/><Relationship Id="rId1421" Type="http://schemas.openxmlformats.org/officeDocument/2006/relationships/hyperlink" Target="https://zakon.rada.gov.ua/laws/show/1797-19" TargetMode="External"/><Relationship Id="rId4577" Type="http://schemas.openxmlformats.org/officeDocument/2006/relationships/hyperlink" Target="https://zakon.rada.gov.ua/laws/show/1797-19" TargetMode="External"/><Relationship Id="rId4784" Type="http://schemas.openxmlformats.org/officeDocument/2006/relationships/hyperlink" Target="https://zakon.rada.gov.ua/laws/show/71-19" TargetMode="External"/><Relationship Id="rId4991" Type="http://schemas.openxmlformats.org/officeDocument/2006/relationships/hyperlink" Target="https://zakon.rada.gov.ua/laws/show/2497-19" TargetMode="External"/><Relationship Id="rId5628" Type="http://schemas.openxmlformats.org/officeDocument/2006/relationships/hyperlink" Target="https://zakon.rada.gov.ua/laws/show/2755-17/print" TargetMode="External"/><Relationship Id="rId5835" Type="http://schemas.openxmlformats.org/officeDocument/2006/relationships/hyperlink" Target="https://zakon.rada.gov.ua/laws/show/2755-17/print" TargetMode="External"/><Relationship Id="rId3179" Type="http://schemas.openxmlformats.org/officeDocument/2006/relationships/hyperlink" Target="https://zakon.rada.gov.ua/laws/show/1797-19" TargetMode="External"/><Relationship Id="rId3386" Type="http://schemas.openxmlformats.org/officeDocument/2006/relationships/hyperlink" Target="https://zakon.rada.gov.ua/laws/show/1797-19" TargetMode="External"/><Relationship Id="rId3593" Type="http://schemas.openxmlformats.org/officeDocument/2006/relationships/hyperlink" Target="https://zakon.rada.gov.ua/laws/show/2755-17/print" TargetMode="External"/><Relationship Id="rId4437" Type="http://schemas.openxmlformats.org/officeDocument/2006/relationships/hyperlink" Target="https://zakon.rada.gov.ua/laws/show/1191-18" TargetMode="External"/><Relationship Id="rId4644" Type="http://schemas.openxmlformats.org/officeDocument/2006/relationships/hyperlink" Target="https://zakon.rada.gov.ua/laws/show/2628-19" TargetMode="External"/><Relationship Id="rId2195" Type="http://schemas.openxmlformats.org/officeDocument/2006/relationships/hyperlink" Target="https://zakon.rada.gov.ua/laws/show/2755-17/print" TargetMode="External"/><Relationship Id="rId3039" Type="http://schemas.openxmlformats.org/officeDocument/2006/relationships/hyperlink" Target="https://zakon.rada.gov.ua/laws/show/1797-19" TargetMode="External"/><Relationship Id="rId3246" Type="http://schemas.openxmlformats.org/officeDocument/2006/relationships/hyperlink" Target="https://zakon.rada.gov.ua/laws/show/2755-17/print" TargetMode="External"/><Relationship Id="rId3453" Type="http://schemas.openxmlformats.org/officeDocument/2006/relationships/hyperlink" Target="https://zakon.rada.gov.ua/laws/show/71-19" TargetMode="External"/><Relationship Id="rId4851" Type="http://schemas.openxmlformats.org/officeDocument/2006/relationships/hyperlink" Target="https://zakon.rada.gov.ua/laws/show/71-19" TargetMode="External"/><Relationship Id="rId5902" Type="http://schemas.openxmlformats.org/officeDocument/2006/relationships/hyperlink" Target="https://zakon.rada.gov.ua/laws/show/2755-17/print" TargetMode="External"/><Relationship Id="rId167" Type="http://schemas.openxmlformats.org/officeDocument/2006/relationships/hyperlink" Target="https://zakon.rada.gov.ua/laws/show/71-19" TargetMode="External"/><Relationship Id="rId374" Type="http://schemas.openxmlformats.org/officeDocument/2006/relationships/hyperlink" Target="https://zakon.rada.gov.ua/laws/show/71-19" TargetMode="External"/><Relationship Id="rId581" Type="http://schemas.openxmlformats.org/officeDocument/2006/relationships/hyperlink" Target="https://zakon.rada.gov.ua/laws/show/2497-19" TargetMode="External"/><Relationship Id="rId2055" Type="http://schemas.openxmlformats.org/officeDocument/2006/relationships/hyperlink" Target="https://zakon.rada.gov.ua/laws/show/2755-17/print" TargetMode="External"/><Relationship Id="rId2262" Type="http://schemas.openxmlformats.org/officeDocument/2006/relationships/hyperlink" Target="https://zakon.rada.gov.ua/laws/show/1977-19" TargetMode="External"/><Relationship Id="rId3106" Type="http://schemas.openxmlformats.org/officeDocument/2006/relationships/hyperlink" Target="https://zakon.rada.gov.ua/laws/show/5414-17" TargetMode="External"/><Relationship Id="rId3660" Type="http://schemas.openxmlformats.org/officeDocument/2006/relationships/hyperlink" Target="https://zakon.rada.gov.ua/laws/show/391-20" TargetMode="External"/><Relationship Id="rId4504" Type="http://schemas.openxmlformats.org/officeDocument/2006/relationships/hyperlink" Target="https://zakon.rada.gov.ua/laws/show/1797-19" TargetMode="External"/><Relationship Id="rId4711" Type="http://schemas.openxmlformats.org/officeDocument/2006/relationships/hyperlink" Target="https://zakon.rada.gov.ua/laws/show/344-20" TargetMode="External"/><Relationship Id="rId234" Type="http://schemas.openxmlformats.org/officeDocument/2006/relationships/hyperlink" Target="https://zakon.rada.gov.ua/laws/show/655-19" TargetMode="External"/><Relationship Id="rId3313" Type="http://schemas.openxmlformats.org/officeDocument/2006/relationships/hyperlink" Target="https://zakon.rada.gov.ua/laws/show/1797-19" TargetMode="External"/><Relationship Id="rId3520" Type="http://schemas.openxmlformats.org/officeDocument/2006/relationships/hyperlink" Target="https://zakon.rada.gov.ua/laws/show/584%D0%B0-18" TargetMode="External"/><Relationship Id="rId441" Type="http://schemas.openxmlformats.org/officeDocument/2006/relationships/hyperlink" Target="https://zakon.rada.gov.ua/laws/show/2725-19" TargetMode="External"/><Relationship Id="rId1071" Type="http://schemas.openxmlformats.org/officeDocument/2006/relationships/hyperlink" Target="https://zakon.rada.gov.ua/laws/show/1797-19" TargetMode="External"/><Relationship Id="rId2122" Type="http://schemas.openxmlformats.org/officeDocument/2006/relationships/hyperlink" Target="https://zakon.rada.gov.ua/laws/show/1797-19" TargetMode="External"/><Relationship Id="rId5278" Type="http://schemas.openxmlformats.org/officeDocument/2006/relationships/hyperlink" Target="https://zakon.rada.gov.ua/laws/show/254%D0%BA/96-%D0%B2%D1%80" TargetMode="External"/><Relationship Id="rId5485" Type="http://schemas.openxmlformats.org/officeDocument/2006/relationships/hyperlink" Target="https://zakon.rada.gov.ua/laws/show/909-19" TargetMode="External"/><Relationship Id="rId5692" Type="http://schemas.openxmlformats.org/officeDocument/2006/relationships/hyperlink" Target="https://zakon.rada.gov.ua/laws/show/2628-19" TargetMode="External"/><Relationship Id="rId301" Type="http://schemas.openxmlformats.org/officeDocument/2006/relationships/hyperlink" Target="https://zakon.rada.gov.ua/laws/show/2755-17/print" TargetMode="External"/><Relationship Id="rId1888" Type="http://schemas.openxmlformats.org/officeDocument/2006/relationships/hyperlink" Target="https://zakon.rada.gov.ua/laws/show/4057-17" TargetMode="External"/><Relationship Id="rId2939" Type="http://schemas.openxmlformats.org/officeDocument/2006/relationships/hyperlink" Target="https://zakon.rada.gov.ua/laws/show/2628-19" TargetMode="External"/><Relationship Id="rId4087" Type="http://schemas.openxmlformats.org/officeDocument/2006/relationships/hyperlink" Target="https://zakon.rada.gov.ua/laws/show/2755-17/print" TargetMode="External"/><Relationship Id="rId4294" Type="http://schemas.openxmlformats.org/officeDocument/2006/relationships/hyperlink" Target="https://zakon.rada.gov.ua/laws/show/584%D0%B0-18" TargetMode="External"/><Relationship Id="rId5138" Type="http://schemas.openxmlformats.org/officeDocument/2006/relationships/hyperlink" Target="https://zakon.rada.gov.ua/laws/show/5412-17" TargetMode="External"/><Relationship Id="rId5345" Type="http://schemas.openxmlformats.org/officeDocument/2006/relationships/hyperlink" Target="https://zakon.rada.gov.ua/laws/show/4495-17" TargetMode="External"/><Relationship Id="rId5552" Type="http://schemas.openxmlformats.org/officeDocument/2006/relationships/hyperlink" Target="https://zakon.rada.gov.ua/laws/show/2755-17/print" TargetMode="External"/><Relationship Id="rId1748" Type="http://schemas.openxmlformats.org/officeDocument/2006/relationships/hyperlink" Target="https://zakon.rada.gov.ua/laws/show/1797-19" TargetMode="External"/><Relationship Id="rId4154" Type="http://schemas.openxmlformats.org/officeDocument/2006/relationships/hyperlink" Target="https://zakon.rada.gov.ua/laws/show/2628-19" TargetMode="External"/><Relationship Id="rId4361" Type="http://schemas.openxmlformats.org/officeDocument/2006/relationships/hyperlink" Target="https://zakon.rada.gov.ua/laws/show/71-19" TargetMode="External"/><Relationship Id="rId5205" Type="http://schemas.openxmlformats.org/officeDocument/2006/relationships/hyperlink" Target="https://zakon.rada.gov.ua/laws/show/3206-17" TargetMode="External"/><Relationship Id="rId5412" Type="http://schemas.openxmlformats.org/officeDocument/2006/relationships/hyperlink" Target="https://zakon.rada.gov.ua/laws/show/1621-18" TargetMode="External"/><Relationship Id="rId1955" Type="http://schemas.openxmlformats.org/officeDocument/2006/relationships/hyperlink" Target="https://zakon.rada.gov.ua/laws/show/657-18" TargetMode="External"/><Relationship Id="rId3170" Type="http://schemas.openxmlformats.org/officeDocument/2006/relationships/hyperlink" Target="https://zakon.rada.gov.ua/laws/show/2755-17/print" TargetMode="External"/><Relationship Id="rId4014" Type="http://schemas.openxmlformats.org/officeDocument/2006/relationships/hyperlink" Target="https://zakon.rada.gov.ua/laws/show/1215-2010-%D0%BF" TargetMode="External"/><Relationship Id="rId4221" Type="http://schemas.openxmlformats.org/officeDocument/2006/relationships/hyperlink" Target="https://zakon.rada.gov.ua/laws/show/391-20" TargetMode="External"/><Relationship Id="rId1608" Type="http://schemas.openxmlformats.org/officeDocument/2006/relationships/hyperlink" Target="https://zakon.rada.gov.ua/laws/show/2755-17/print" TargetMode="External"/><Relationship Id="rId1815" Type="http://schemas.openxmlformats.org/officeDocument/2006/relationships/hyperlink" Target="https://zakon.rada.gov.ua/laws/show/1797-19" TargetMode="External"/><Relationship Id="rId3030" Type="http://schemas.openxmlformats.org/officeDocument/2006/relationships/hyperlink" Target="https://zakon.rada.gov.ua/laws/show/2755-17/print" TargetMode="External"/><Relationship Id="rId6186" Type="http://schemas.openxmlformats.org/officeDocument/2006/relationships/hyperlink" Target="https://zakon.rada.gov.ua/laws/show/1260-18" TargetMode="External"/><Relationship Id="rId3987" Type="http://schemas.openxmlformats.org/officeDocument/2006/relationships/hyperlink" Target="https://zakon.rada.gov.ua/laws/show/2755-17/print" TargetMode="External"/><Relationship Id="rId6046" Type="http://schemas.openxmlformats.org/officeDocument/2006/relationships/hyperlink" Target="https://zakon.rada.gov.ua/laws/show/391-20" TargetMode="External"/><Relationship Id="rId2589" Type="http://schemas.openxmlformats.org/officeDocument/2006/relationships/hyperlink" Target="https://zakon.rada.gov.ua/laws/show/3609-17" TargetMode="External"/><Relationship Id="rId2796" Type="http://schemas.openxmlformats.org/officeDocument/2006/relationships/hyperlink" Target="https://zakon.rada.gov.ua/laws/show/z0839-17" TargetMode="External"/><Relationship Id="rId3847" Type="http://schemas.openxmlformats.org/officeDocument/2006/relationships/hyperlink" Target="https://zakon.rada.gov.ua/laws/show/71-19" TargetMode="External"/><Relationship Id="rId6253" Type="http://schemas.openxmlformats.org/officeDocument/2006/relationships/hyperlink" Target="https://zakon.rada.gov.ua/laws/show/2755-17/print" TargetMode="External"/><Relationship Id="rId768" Type="http://schemas.openxmlformats.org/officeDocument/2006/relationships/hyperlink" Target="https://zakon.rada.gov.ua/laws/show/2755-17/print" TargetMode="External"/><Relationship Id="rId975" Type="http://schemas.openxmlformats.org/officeDocument/2006/relationships/hyperlink" Target="https://zakon.rada.gov.ua/laws/show/408-18" TargetMode="External"/><Relationship Id="rId1398" Type="http://schemas.openxmlformats.org/officeDocument/2006/relationships/hyperlink" Target="https://zakon.rada.gov.ua/laws/show/4834-17" TargetMode="External"/><Relationship Id="rId2449" Type="http://schemas.openxmlformats.org/officeDocument/2006/relationships/hyperlink" Target="https://zakon.rada.gov.ua/laws/show/2755-17/print" TargetMode="External"/><Relationship Id="rId2656" Type="http://schemas.openxmlformats.org/officeDocument/2006/relationships/hyperlink" Target="https://zakon.rada.gov.ua/laws/show/2755-17/print" TargetMode="External"/><Relationship Id="rId2863" Type="http://schemas.openxmlformats.org/officeDocument/2006/relationships/hyperlink" Target="https://zakon.rada.gov.ua/laws/show/71-19" TargetMode="External"/><Relationship Id="rId3707" Type="http://schemas.openxmlformats.org/officeDocument/2006/relationships/hyperlink" Target="https://zakon.rada.gov.ua/laws/show/71-19" TargetMode="External"/><Relationship Id="rId3914" Type="http://schemas.openxmlformats.org/officeDocument/2006/relationships/hyperlink" Target="https://zakon.rada.gov.ua/laws/show/1797-19" TargetMode="External"/><Relationship Id="rId5062" Type="http://schemas.openxmlformats.org/officeDocument/2006/relationships/hyperlink" Target="https://zakon.rada.gov.ua/laws/show/584%D0%B0-18" TargetMode="External"/><Relationship Id="rId6113" Type="http://schemas.openxmlformats.org/officeDocument/2006/relationships/hyperlink" Target="https://zakon.rada.gov.ua/laws/show/2755-17/print" TargetMode="External"/><Relationship Id="rId628" Type="http://schemas.openxmlformats.org/officeDocument/2006/relationships/hyperlink" Target="https://zakon.rada.gov.ua/laws/show/1797-19" TargetMode="External"/><Relationship Id="rId835" Type="http://schemas.openxmlformats.org/officeDocument/2006/relationships/hyperlink" Target="https://zakon.rada.gov.ua/laws/show/851-15" TargetMode="External"/><Relationship Id="rId1258" Type="http://schemas.openxmlformats.org/officeDocument/2006/relationships/hyperlink" Target="https://zakon.rada.gov.ua/laws/show/3609-17" TargetMode="External"/><Relationship Id="rId1465" Type="http://schemas.openxmlformats.org/officeDocument/2006/relationships/hyperlink" Target="https://zakon.rada.gov.ua/laws/show/2755-17/print" TargetMode="External"/><Relationship Id="rId1672" Type="http://schemas.openxmlformats.org/officeDocument/2006/relationships/hyperlink" Target="https://zakon.rada.gov.ua/laws/show/2755-17/print" TargetMode="External"/><Relationship Id="rId2309" Type="http://schemas.openxmlformats.org/officeDocument/2006/relationships/hyperlink" Target="https://zakon.rada.gov.ua/laws/show/71-19" TargetMode="External"/><Relationship Id="rId2516" Type="http://schemas.openxmlformats.org/officeDocument/2006/relationships/hyperlink" Target="https://zakon.rada.gov.ua/laws/show/909-19" TargetMode="External"/><Relationship Id="rId2723" Type="http://schemas.openxmlformats.org/officeDocument/2006/relationships/hyperlink" Target="https://zakon.rada.gov.ua/laws/show/5413-17" TargetMode="External"/><Relationship Id="rId5879" Type="http://schemas.openxmlformats.org/officeDocument/2006/relationships/hyperlink" Target="https://zakon.rada.gov.ua/laws/show/2660-14" TargetMode="External"/><Relationship Id="rId1118" Type="http://schemas.openxmlformats.org/officeDocument/2006/relationships/hyperlink" Target="https://zakon.rada.gov.ua/laws/show/909-19" TargetMode="External"/><Relationship Id="rId1325" Type="http://schemas.openxmlformats.org/officeDocument/2006/relationships/hyperlink" Target="https://zakon.rada.gov.ua/laws/show/2245-19" TargetMode="External"/><Relationship Id="rId1532" Type="http://schemas.openxmlformats.org/officeDocument/2006/relationships/hyperlink" Target="https://zakon.rada.gov.ua/laws/show/5083-17" TargetMode="External"/><Relationship Id="rId2930" Type="http://schemas.openxmlformats.org/officeDocument/2006/relationships/hyperlink" Target="https://zakon.rada.gov.ua/laws/show/2755-17/print" TargetMode="External"/><Relationship Id="rId4688" Type="http://schemas.openxmlformats.org/officeDocument/2006/relationships/hyperlink" Target="https://zakon.rada.gov.ua/laws/show/4834-17" TargetMode="External"/><Relationship Id="rId902" Type="http://schemas.openxmlformats.org/officeDocument/2006/relationships/hyperlink" Target="https://zakon.rada.gov.ua/laws/show/2755-17/print" TargetMode="External"/><Relationship Id="rId3497" Type="http://schemas.openxmlformats.org/officeDocument/2006/relationships/hyperlink" Target="https://zakon.rada.gov.ua/laws/show/71-19" TargetMode="External"/><Relationship Id="rId4895" Type="http://schemas.openxmlformats.org/officeDocument/2006/relationships/hyperlink" Target="https://zakon.rada.gov.ua/laws/show/2755-17/print" TargetMode="External"/><Relationship Id="rId5739" Type="http://schemas.openxmlformats.org/officeDocument/2006/relationships/hyperlink" Target="https://zakon.rada.gov.ua/laws/show/2755-17/print" TargetMode="External"/><Relationship Id="rId5946" Type="http://schemas.openxmlformats.org/officeDocument/2006/relationships/hyperlink" Target="https://zakon.rada.gov.ua/laws/show/2755-17/print" TargetMode="External"/><Relationship Id="rId31" Type="http://schemas.openxmlformats.org/officeDocument/2006/relationships/hyperlink" Target="https://zakon.rada.gov.ua/laws/show/5019-17" TargetMode="External"/><Relationship Id="rId2099" Type="http://schemas.openxmlformats.org/officeDocument/2006/relationships/hyperlink" Target="https://zakon.rada.gov.ua/laws/show/2628-19" TargetMode="External"/><Relationship Id="rId4548" Type="http://schemas.openxmlformats.org/officeDocument/2006/relationships/hyperlink" Target="https://zakon.rada.gov.ua/laws/show/211-19" TargetMode="External"/><Relationship Id="rId4755" Type="http://schemas.openxmlformats.org/officeDocument/2006/relationships/hyperlink" Target="https://zakon.rada.gov.ua/laws/show/71-19" TargetMode="External"/><Relationship Id="rId4962" Type="http://schemas.openxmlformats.org/officeDocument/2006/relationships/hyperlink" Target="https://zakon.rada.gov.ua/laws/show/1797-19" TargetMode="External"/><Relationship Id="rId5806" Type="http://schemas.openxmlformats.org/officeDocument/2006/relationships/hyperlink" Target="https://zakon.rada.gov.ua/laws/show/2755-17/print" TargetMode="External"/><Relationship Id="rId278" Type="http://schemas.openxmlformats.org/officeDocument/2006/relationships/hyperlink" Target="https://zakon.rada.gov.ua/laws/show/3609-17" TargetMode="External"/><Relationship Id="rId3357" Type="http://schemas.openxmlformats.org/officeDocument/2006/relationships/hyperlink" Target="https://zakon.rada.gov.ua/laws/show/2245-19" TargetMode="External"/><Relationship Id="rId3564" Type="http://schemas.openxmlformats.org/officeDocument/2006/relationships/hyperlink" Target="https://zakon.rada.gov.ua/laws/show/4495-17" TargetMode="External"/><Relationship Id="rId3771" Type="http://schemas.openxmlformats.org/officeDocument/2006/relationships/hyperlink" Target="https://zakon.rada.gov.ua/laws/show/584%D0%B0-18" TargetMode="External"/><Relationship Id="rId4408" Type="http://schemas.openxmlformats.org/officeDocument/2006/relationships/hyperlink" Target="https://zakon.rada.gov.ua/laws/show/2755-17/print" TargetMode="External"/><Relationship Id="rId4615" Type="http://schemas.openxmlformats.org/officeDocument/2006/relationships/hyperlink" Target="https://zakon.rada.gov.ua/laws/show/4834-17" TargetMode="External"/><Relationship Id="rId4822" Type="http://schemas.openxmlformats.org/officeDocument/2006/relationships/hyperlink" Target="https://zakon.rada.gov.ua/laws/show/1797-19" TargetMode="External"/><Relationship Id="rId485" Type="http://schemas.openxmlformats.org/officeDocument/2006/relationships/hyperlink" Target="https://zakon.rada.gov.ua/laws/show/1797-19" TargetMode="External"/><Relationship Id="rId692" Type="http://schemas.openxmlformats.org/officeDocument/2006/relationships/hyperlink" Target="https://zakon.rada.gov.ua/laws/show/z0137-16" TargetMode="External"/><Relationship Id="rId2166" Type="http://schemas.openxmlformats.org/officeDocument/2006/relationships/hyperlink" Target="https://zakon.rada.gov.ua/laws/show/1797-19" TargetMode="External"/><Relationship Id="rId2373" Type="http://schemas.openxmlformats.org/officeDocument/2006/relationships/hyperlink" Target="https://zakon.rada.gov.ua/laws/show/4004-12" TargetMode="External"/><Relationship Id="rId2580" Type="http://schemas.openxmlformats.org/officeDocument/2006/relationships/hyperlink" Target="https://zakon.rada.gov.ua/laws/show/2755-17/print" TargetMode="External"/><Relationship Id="rId3217" Type="http://schemas.openxmlformats.org/officeDocument/2006/relationships/hyperlink" Target="https://zakon.rada.gov.ua/laws/show/4834-17" TargetMode="External"/><Relationship Id="rId3424" Type="http://schemas.openxmlformats.org/officeDocument/2006/relationships/hyperlink" Target="https://zakon.rada.gov.ua/laws/show/909-19" TargetMode="External"/><Relationship Id="rId3631" Type="http://schemas.openxmlformats.org/officeDocument/2006/relationships/hyperlink" Target="https://zakon.rada.gov.ua/laws/show/va375202-05" TargetMode="External"/><Relationship Id="rId138" Type="http://schemas.openxmlformats.org/officeDocument/2006/relationships/hyperlink" Target="https://zakon.rada.gov.ua/laws/show/354-20" TargetMode="External"/><Relationship Id="rId345" Type="http://schemas.openxmlformats.org/officeDocument/2006/relationships/hyperlink" Target="https://zakon.rada.gov.ua/laws/show/1797-19" TargetMode="External"/><Relationship Id="rId552" Type="http://schemas.openxmlformats.org/officeDocument/2006/relationships/hyperlink" Target="https://zakon.rada.gov.ua/laws/show/4834-17" TargetMode="External"/><Relationship Id="rId1182" Type="http://schemas.openxmlformats.org/officeDocument/2006/relationships/hyperlink" Target="https://zakon.rada.gov.ua/laws/show/z0719-17" TargetMode="External"/><Relationship Id="rId2026" Type="http://schemas.openxmlformats.org/officeDocument/2006/relationships/hyperlink" Target="https://zakon.rada.gov.ua/laws/show/391-20" TargetMode="External"/><Relationship Id="rId2233" Type="http://schemas.openxmlformats.org/officeDocument/2006/relationships/hyperlink" Target="https://zakon.rada.gov.ua/laws/show/2755-17/print" TargetMode="External"/><Relationship Id="rId2440" Type="http://schemas.openxmlformats.org/officeDocument/2006/relationships/hyperlink" Target="https://zakon.rada.gov.ua/laws/show/909-19" TargetMode="External"/><Relationship Id="rId5389" Type="http://schemas.openxmlformats.org/officeDocument/2006/relationships/hyperlink" Target="https://zakon.rada.gov.ua/laws/show/2371%D0%B1-14" TargetMode="External"/><Relationship Id="rId5596" Type="http://schemas.openxmlformats.org/officeDocument/2006/relationships/hyperlink" Target="https://zakon.rada.gov.ua/laws/show/2755-17/print" TargetMode="External"/><Relationship Id="rId205" Type="http://schemas.openxmlformats.org/officeDocument/2006/relationships/hyperlink" Target="https://zakon.rada.gov.ua/laws/show/5519-17" TargetMode="External"/><Relationship Id="rId412" Type="http://schemas.openxmlformats.org/officeDocument/2006/relationships/hyperlink" Target="https://zakon.rada.gov.ua/laws/show/4834-17" TargetMode="External"/><Relationship Id="rId1042" Type="http://schemas.openxmlformats.org/officeDocument/2006/relationships/hyperlink" Target="https://zakon.rada.gov.ua/laws/show/1797-19" TargetMode="External"/><Relationship Id="rId2300" Type="http://schemas.openxmlformats.org/officeDocument/2006/relationships/hyperlink" Target="https://zakon.rada.gov.ua/laws/show/2755-17/print" TargetMode="External"/><Relationship Id="rId4198" Type="http://schemas.openxmlformats.org/officeDocument/2006/relationships/hyperlink" Target="https://zakon.rada.gov.ua/laws/show/2725-19" TargetMode="External"/><Relationship Id="rId5249" Type="http://schemas.openxmlformats.org/officeDocument/2006/relationships/hyperlink" Target="https://zakon.rada.gov.ua/laws/show/657-18" TargetMode="External"/><Relationship Id="rId5456" Type="http://schemas.openxmlformats.org/officeDocument/2006/relationships/hyperlink" Target="https://zakon.rada.gov.ua/laws/show/584%D0%B0-18" TargetMode="External"/><Relationship Id="rId5663" Type="http://schemas.openxmlformats.org/officeDocument/2006/relationships/hyperlink" Target="https://zakon.rada.gov.ua/laws/show/2755-17/print" TargetMode="External"/><Relationship Id="rId1999" Type="http://schemas.openxmlformats.org/officeDocument/2006/relationships/hyperlink" Target="https://zakon.rada.gov.ua/laws/show/2755-17/print" TargetMode="External"/><Relationship Id="rId4058" Type="http://schemas.openxmlformats.org/officeDocument/2006/relationships/hyperlink" Target="https://zakon.rada.gov.ua/laws/show/3609-17" TargetMode="External"/><Relationship Id="rId4265" Type="http://schemas.openxmlformats.org/officeDocument/2006/relationships/hyperlink" Target="https://zakon.rada.gov.ua/laws/show/391-20" TargetMode="External"/><Relationship Id="rId4472" Type="http://schemas.openxmlformats.org/officeDocument/2006/relationships/hyperlink" Target="https://zakon.rada.gov.ua/laws/show/1191-18" TargetMode="External"/><Relationship Id="rId5109" Type="http://schemas.openxmlformats.org/officeDocument/2006/relationships/hyperlink" Target="https://zakon.rada.gov.ua/laws/show/5412-17" TargetMode="External"/><Relationship Id="rId5316" Type="http://schemas.openxmlformats.org/officeDocument/2006/relationships/hyperlink" Target="https://zakon.rada.gov.ua/laws/show/2755-17/print" TargetMode="External"/><Relationship Id="rId5870" Type="http://schemas.openxmlformats.org/officeDocument/2006/relationships/hyperlink" Target="https://zakon.rada.gov.ua/laws/show/425-20" TargetMode="External"/><Relationship Id="rId1859" Type="http://schemas.openxmlformats.org/officeDocument/2006/relationships/hyperlink" Target="https://zakon.rada.gov.ua/laws/show/2658-14" TargetMode="External"/><Relationship Id="rId3074" Type="http://schemas.openxmlformats.org/officeDocument/2006/relationships/hyperlink" Target="https://zakon.rada.gov.ua/laws/show/818-2012-%D0%BF" TargetMode="External"/><Relationship Id="rId4125" Type="http://schemas.openxmlformats.org/officeDocument/2006/relationships/hyperlink" Target="https://zakon.rada.gov.ua/laws/show/391-20" TargetMode="External"/><Relationship Id="rId5523" Type="http://schemas.openxmlformats.org/officeDocument/2006/relationships/hyperlink" Target="https://zakon.rada.gov.ua/laws/show/71-19" TargetMode="External"/><Relationship Id="rId5730" Type="http://schemas.openxmlformats.org/officeDocument/2006/relationships/hyperlink" Target="https://zakon.rada.gov.ua/laws/show/5211-17" TargetMode="External"/><Relationship Id="rId1719" Type="http://schemas.openxmlformats.org/officeDocument/2006/relationships/hyperlink" Target="https://zakon.rada.gov.ua/laws/show/1797-19" TargetMode="External"/><Relationship Id="rId1926" Type="http://schemas.openxmlformats.org/officeDocument/2006/relationships/hyperlink" Target="https://zakon.rada.gov.ua/laws/show/1797-19" TargetMode="External"/><Relationship Id="rId3281" Type="http://schemas.openxmlformats.org/officeDocument/2006/relationships/hyperlink" Target="https://zakon.rada.gov.ua/laws/show/1791-19" TargetMode="External"/><Relationship Id="rId4332" Type="http://schemas.openxmlformats.org/officeDocument/2006/relationships/hyperlink" Target="https://zakon.rada.gov.ua/laws/show/1797-19" TargetMode="External"/><Relationship Id="rId2090" Type="http://schemas.openxmlformats.org/officeDocument/2006/relationships/hyperlink" Target="https://zakon.rada.gov.ua/laws/show/996_729" TargetMode="External"/><Relationship Id="rId3141" Type="http://schemas.openxmlformats.org/officeDocument/2006/relationships/hyperlink" Target="https://zakon.rada.gov.ua/laws/show/4495-17" TargetMode="External"/><Relationship Id="rId6297" Type="http://schemas.openxmlformats.org/officeDocument/2006/relationships/hyperlink" Target="https://zakon.rada.gov.ua/laws/show/4495-17" TargetMode="External"/><Relationship Id="rId3001" Type="http://schemas.openxmlformats.org/officeDocument/2006/relationships/hyperlink" Target="https://zakon.rada.gov.ua/laws/show/1200-18" TargetMode="External"/><Relationship Id="rId3958" Type="http://schemas.openxmlformats.org/officeDocument/2006/relationships/hyperlink" Target="https://zakon.rada.gov.ua/laws/show/076_009" TargetMode="External"/><Relationship Id="rId6157" Type="http://schemas.openxmlformats.org/officeDocument/2006/relationships/hyperlink" Target="https://zakon.rada.gov.ua/laws/show/381-19" TargetMode="External"/><Relationship Id="rId879" Type="http://schemas.openxmlformats.org/officeDocument/2006/relationships/hyperlink" Target="https://zakon.rada.gov.ua/laws/show/2755-17/print" TargetMode="External"/><Relationship Id="rId2767" Type="http://schemas.openxmlformats.org/officeDocument/2006/relationships/hyperlink" Target="https://zakon.rada.gov.ua/laws/show/2755-17/print" TargetMode="External"/><Relationship Id="rId5173" Type="http://schemas.openxmlformats.org/officeDocument/2006/relationships/hyperlink" Target="https://zakon.rada.gov.ua/laws/show/1690-18" TargetMode="External"/><Relationship Id="rId5380" Type="http://schemas.openxmlformats.org/officeDocument/2006/relationships/hyperlink" Target="https://zakon.rada.gov.ua/laws/show/2176-19" TargetMode="External"/><Relationship Id="rId6017" Type="http://schemas.openxmlformats.org/officeDocument/2006/relationships/hyperlink" Target="https://zakon.rada.gov.ua/laws/show/584%D0%B1-18" TargetMode="External"/><Relationship Id="rId6224" Type="http://schemas.openxmlformats.org/officeDocument/2006/relationships/hyperlink" Target="https://zakon.rada.gov.ua/laws/show/1207-18" TargetMode="External"/><Relationship Id="rId739" Type="http://schemas.openxmlformats.org/officeDocument/2006/relationships/hyperlink" Target="https://zakon.rada.gov.ua/laws/show/1797-19" TargetMode="External"/><Relationship Id="rId1369" Type="http://schemas.openxmlformats.org/officeDocument/2006/relationships/hyperlink" Target="https://zakon.rada.gov.ua/laws/show/2245-19" TargetMode="External"/><Relationship Id="rId1576" Type="http://schemas.openxmlformats.org/officeDocument/2006/relationships/hyperlink" Target="https://zakon.rada.gov.ua/laws/show/657-18" TargetMode="External"/><Relationship Id="rId2974" Type="http://schemas.openxmlformats.org/officeDocument/2006/relationships/hyperlink" Target="https://zakon.rada.gov.ua/laws/show/2755-17/print" TargetMode="External"/><Relationship Id="rId3818" Type="http://schemas.openxmlformats.org/officeDocument/2006/relationships/hyperlink" Target="https://zakon.rada.gov.ua/laws/show/584%D0%B1-18" TargetMode="External"/><Relationship Id="rId5033" Type="http://schemas.openxmlformats.org/officeDocument/2006/relationships/hyperlink" Target="https://zakon.rada.gov.ua/laws/show/71-19" TargetMode="External"/><Relationship Id="rId5240" Type="http://schemas.openxmlformats.org/officeDocument/2006/relationships/hyperlink" Target="https://zakon.rada.gov.ua/laws/show/1200-18" TargetMode="External"/><Relationship Id="rId946" Type="http://schemas.openxmlformats.org/officeDocument/2006/relationships/hyperlink" Target="https://zakon.rada.gov.ua/laws/show/1797-19" TargetMode="External"/><Relationship Id="rId1229" Type="http://schemas.openxmlformats.org/officeDocument/2006/relationships/hyperlink" Target="https://zakon.rada.gov.ua/laws/show/3609-17" TargetMode="External"/><Relationship Id="rId1783" Type="http://schemas.openxmlformats.org/officeDocument/2006/relationships/hyperlink" Target="https://zakon.rada.gov.ua/laws/show/1797-19" TargetMode="External"/><Relationship Id="rId1990" Type="http://schemas.openxmlformats.org/officeDocument/2006/relationships/hyperlink" Target="https://zakon.rada.gov.ua/laws/show/2755-17/print" TargetMode="External"/><Relationship Id="rId2627" Type="http://schemas.openxmlformats.org/officeDocument/2006/relationships/hyperlink" Target="https://zakon.rada.gov.ua/laws/show/2755-17/print" TargetMode="External"/><Relationship Id="rId2834" Type="http://schemas.openxmlformats.org/officeDocument/2006/relationships/hyperlink" Target="https://zakon.rada.gov.ua/laws/show/2755-17/print" TargetMode="External"/><Relationship Id="rId5100" Type="http://schemas.openxmlformats.org/officeDocument/2006/relationships/hyperlink" Target="https://zakon.rada.gov.ua/laws/show/71-19" TargetMode="External"/><Relationship Id="rId75" Type="http://schemas.openxmlformats.org/officeDocument/2006/relationships/hyperlink" Target="https://zakon.rada.gov.ua/laws/show/1658-18" TargetMode="External"/><Relationship Id="rId806" Type="http://schemas.openxmlformats.org/officeDocument/2006/relationships/hyperlink" Target="https://zakon.rada.gov.ua/laws/show/2245-19" TargetMode="External"/><Relationship Id="rId1436" Type="http://schemas.openxmlformats.org/officeDocument/2006/relationships/hyperlink" Target="https://zakon.rada.gov.ua/laws/show/71-19" TargetMode="External"/><Relationship Id="rId1643" Type="http://schemas.openxmlformats.org/officeDocument/2006/relationships/hyperlink" Target="https://zakon.rada.gov.ua/laws/show/1797-19" TargetMode="External"/><Relationship Id="rId1850" Type="http://schemas.openxmlformats.org/officeDocument/2006/relationships/hyperlink" Target="https://zakon.rada.gov.ua/laws/show/1797-19" TargetMode="External"/><Relationship Id="rId2901" Type="http://schemas.openxmlformats.org/officeDocument/2006/relationships/hyperlink" Target="https://zakon.rada.gov.ua/laws/show/2755-17/print" TargetMode="External"/><Relationship Id="rId4799" Type="http://schemas.openxmlformats.org/officeDocument/2006/relationships/hyperlink" Target="https://zakon.rada.gov.ua/laws/show/71-19" TargetMode="External"/><Relationship Id="rId1503" Type="http://schemas.openxmlformats.org/officeDocument/2006/relationships/hyperlink" Target="https://zakon.rada.gov.ua/laws/show/323-20" TargetMode="External"/><Relationship Id="rId1710" Type="http://schemas.openxmlformats.org/officeDocument/2006/relationships/hyperlink" Target="https://zakon.rada.gov.ua/laws/show/2755-17/print" TargetMode="External"/><Relationship Id="rId4659" Type="http://schemas.openxmlformats.org/officeDocument/2006/relationships/hyperlink" Target="https://zakon.rada.gov.ua/laws/show/2755-17/print" TargetMode="External"/><Relationship Id="rId4866" Type="http://schemas.openxmlformats.org/officeDocument/2006/relationships/hyperlink" Target="https://zakon.rada.gov.ua/laws/show/2755-17/print" TargetMode="External"/><Relationship Id="rId5917" Type="http://schemas.openxmlformats.org/officeDocument/2006/relationships/hyperlink" Target="https://zakon.rada.gov.ua/laws/show/2755-17/print" TargetMode="External"/><Relationship Id="rId3468" Type="http://schemas.openxmlformats.org/officeDocument/2006/relationships/hyperlink" Target="https://zakon.rada.gov.ua/laws/show/584%D0%B0-18" TargetMode="External"/><Relationship Id="rId3675" Type="http://schemas.openxmlformats.org/officeDocument/2006/relationships/hyperlink" Target="https://zakon.rada.gov.ua/laws/show/3609-17" TargetMode="External"/><Relationship Id="rId3882" Type="http://schemas.openxmlformats.org/officeDocument/2006/relationships/hyperlink" Target="https://zakon.rada.gov.ua/laws/show/404-18" TargetMode="External"/><Relationship Id="rId4519" Type="http://schemas.openxmlformats.org/officeDocument/2006/relationships/hyperlink" Target="https://zakon.rada.gov.ua/laws/show/909-19" TargetMode="External"/><Relationship Id="rId4726" Type="http://schemas.openxmlformats.org/officeDocument/2006/relationships/hyperlink" Target="https://zakon.rada.gov.ua/laws/show/71-19" TargetMode="External"/><Relationship Id="rId4933" Type="http://schemas.openxmlformats.org/officeDocument/2006/relationships/hyperlink" Target="https://zakon.rada.gov.ua/laws/show/5083-17" TargetMode="External"/><Relationship Id="rId6081" Type="http://schemas.openxmlformats.org/officeDocument/2006/relationships/hyperlink" Target="https://zakon.rada.gov.ua/laws/show/71-19" TargetMode="External"/><Relationship Id="rId389" Type="http://schemas.openxmlformats.org/officeDocument/2006/relationships/hyperlink" Target="https://zakon.rada.gov.ua/laws/show/2755-17/print" TargetMode="External"/><Relationship Id="rId596" Type="http://schemas.openxmlformats.org/officeDocument/2006/relationships/hyperlink" Target="https://zakon.rada.gov.ua/laws/show/4915-17" TargetMode="External"/><Relationship Id="rId2277" Type="http://schemas.openxmlformats.org/officeDocument/2006/relationships/hyperlink" Target="https://zakon.rada.gov.ua/laws/show/1797-19" TargetMode="External"/><Relationship Id="rId2484" Type="http://schemas.openxmlformats.org/officeDocument/2006/relationships/hyperlink" Target="https://zakon.rada.gov.ua/laws/show/1989-19" TargetMode="External"/><Relationship Id="rId2691" Type="http://schemas.openxmlformats.org/officeDocument/2006/relationships/hyperlink" Target="https://zakon.rada.gov.ua/laws/show/3609-17" TargetMode="External"/><Relationship Id="rId3328" Type="http://schemas.openxmlformats.org/officeDocument/2006/relationships/hyperlink" Target="https://zakon.rada.gov.ua/laws/show/909-19" TargetMode="External"/><Relationship Id="rId3535" Type="http://schemas.openxmlformats.org/officeDocument/2006/relationships/hyperlink" Target="https://zakon.rada.gov.ua/laws/show/z0137-16" TargetMode="External"/><Relationship Id="rId3742" Type="http://schemas.openxmlformats.org/officeDocument/2006/relationships/hyperlink" Target="https://zakon.rada.gov.ua/laws/show/2755-17/print" TargetMode="External"/><Relationship Id="rId249" Type="http://schemas.openxmlformats.org/officeDocument/2006/relationships/hyperlink" Target="https://zakon.rada.gov.ua/laws/show/4495-17" TargetMode="External"/><Relationship Id="rId456" Type="http://schemas.openxmlformats.org/officeDocument/2006/relationships/hyperlink" Target="https://zakon.rada.gov.ua/laws/show/2245-19" TargetMode="External"/><Relationship Id="rId663" Type="http://schemas.openxmlformats.org/officeDocument/2006/relationships/hyperlink" Target="https://zakon.rada.gov.ua/laws/show/1797-19" TargetMode="External"/><Relationship Id="rId870" Type="http://schemas.openxmlformats.org/officeDocument/2006/relationships/hyperlink" Target="https://zakon.rada.gov.ua/laws/show/1797-19" TargetMode="External"/><Relationship Id="rId1086" Type="http://schemas.openxmlformats.org/officeDocument/2006/relationships/hyperlink" Target="https://zakon.rada.gov.ua/laws/show/1797-19" TargetMode="External"/><Relationship Id="rId1293" Type="http://schemas.openxmlformats.org/officeDocument/2006/relationships/hyperlink" Target="https://zakon.rada.gov.ua/laws/show/655-19" TargetMode="External"/><Relationship Id="rId2137" Type="http://schemas.openxmlformats.org/officeDocument/2006/relationships/hyperlink" Target="https://zakon.rada.gov.ua/laws/show/1797-19" TargetMode="External"/><Relationship Id="rId2344" Type="http://schemas.openxmlformats.org/officeDocument/2006/relationships/hyperlink" Target="https://zakon.rada.gov.ua/laws/show/1166-18" TargetMode="External"/><Relationship Id="rId2551" Type="http://schemas.openxmlformats.org/officeDocument/2006/relationships/hyperlink" Target="https://zakon.rada.gov.ua/laws/show/1242-2010-%D0%BF" TargetMode="External"/><Relationship Id="rId109" Type="http://schemas.openxmlformats.org/officeDocument/2006/relationships/hyperlink" Target="https://zakon.rada.gov.ua/laws/show/1411-19" TargetMode="External"/><Relationship Id="rId316" Type="http://schemas.openxmlformats.org/officeDocument/2006/relationships/hyperlink" Target="https://zakon.rada.gov.ua/laws/show/71-19" TargetMode="External"/><Relationship Id="rId523" Type="http://schemas.openxmlformats.org/officeDocument/2006/relationships/hyperlink" Target="https://zakon.rada.gov.ua/laws/show/909-19" TargetMode="External"/><Relationship Id="rId1153" Type="http://schemas.openxmlformats.org/officeDocument/2006/relationships/hyperlink" Target="https://zakon.rada.gov.ua/laws/show/2755-17/print" TargetMode="External"/><Relationship Id="rId2204" Type="http://schemas.openxmlformats.org/officeDocument/2006/relationships/hyperlink" Target="https://zakon.rada.gov.ua/laws/show/2628-19" TargetMode="External"/><Relationship Id="rId3602" Type="http://schemas.openxmlformats.org/officeDocument/2006/relationships/hyperlink" Target="https://zakon.rada.gov.ua/laws/show/2755-17/print" TargetMode="External"/><Relationship Id="rId730" Type="http://schemas.openxmlformats.org/officeDocument/2006/relationships/hyperlink" Target="https://zakon.rada.gov.ua/laws/show/2755-17/print" TargetMode="External"/><Relationship Id="rId1013" Type="http://schemas.openxmlformats.org/officeDocument/2006/relationships/hyperlink" Target="https://zakon.rada.gov.ua/laws/show/2755-17/print" TargetMode="External"/><Relationship Id="rId1360" Type="http://schemas.openxmlformats.org/officeDocument/2006/relationships/hyperlink" Target="https://zakon.rada.gov.ua/laws/show/4834-17" TargetMode="External"/><Relationship Id="rId2411" Type="http://schemas.openxmlformats.org/officeDocument/2006/relationships/hyperlink" Target="https://zakon.rada.gov.ua/laws/show/2768-14" TargetMode="External"/><Relationship Id="rId4169" Type="http://schemas.openxmlformats.org/officeDocument/2006/relationships/hyperlink" Target="https://zakon.rada.gov.ua/laws/show/391-20" TargetMode="External"/><Relationship Id="rId5567" Type="http://schemas.openxmlformats.org/officeDocument/2006/relationships/hyperlink" Target="https://zakon.rada.gov.ua/laws/show/2755-17/print" TargetMode="External"/><Relationship Id="rId5774" Type="http://schemas.openxmlformats.org/officeDocument/2006/relationships/hyperlink" Target="https://zakon.rada.gov.ua/laws/show/71-19" TargetMode="External"/><Relationship Id="rId5981" Type="http://schemas.openxmlformats.org/officeDocument/2006/relationships/hyperlink" Target="https://zakon.rada.gov.ua/laws/show/584%D0%B0-18" TargetMode="External"/><Relationship Id="rId1220" Type="http://schemas.openxmlformats.org/officeDocument/2006/relationships/hyperlink" Target="https://zakon.rada.gov.ua/laws/show/1797-19" TargetMode="External"/><Relationship Id="rId4376" Type="http://schemas.openxmlformats.org/officeDocument/2006/relationships/hyperlink" Target="https://zakon.rada.gov.ua/laws/show/1791-19" TargetMode="External"/><Relationship Id="rId4583" Type="http://schemas.openxmlformats.org/officeDocument/2006/relationships/hyperlink" Target="https://zakon.rada.gov.ua/laws/show/2245-19" TargetMode="External"/><Relationship Id="rId4790" Type="http://schemas.openxmlformats.org/officeDocument/2006/relationships/hyperlink" Target="https://zakon.rada.gov.ua/laws/show/71-19" TargetMode="External"/><Relationship Id="rId5427" Type="http://schemas.openxmlformats.org/officeDocument/2006/relationships/hyperlink" Target="https://zakon.rada.gov.ua/laws/show/2755-17/print" TargetMode="External"/><Relationship Id="rId5634" Type="http://schemas.openxmlformats.org/officeDocument/2006/relationships/hyperlink" Target="https://zakon.rada.gov.ua/laws/show/1797-19" TargetMode="External"/><Relationship Id="rId5841" Type="http://schemas.openxmlformats.org/officeDocument/2006/relationships/hyperlink" Target="https://zakon.rada.gov.ua/laws/show/2755-17/print" TargetMode="External"/><Relationship Id="rId3185" Type="http://schemas.openxmlformats.org/officeDocument/2006/relationships/hyperlink" Target="https://zakon.rada.gov.ua/laws/show/2755-17/print" TargetMode="External"/><Relationship Id="rId3392" Type="http://schemas.openxmlformats.org/officeDocument/2006/relationships/hyperlink" Target="https://zakon.rada.gov.ua/laws/show/2755-17/print" TargetMode="External"/><Relationship Id="rId4029" Type="http://schemas.openxmlformats.org/officeDocument/2006/relationships/hyperlink" Target="https://zakon.rada.gov.ua/laws/show/404-18" TargetMode="External"/><Relationship Id="rId4236" Type="http://schemas.openxmlformats.org/officeDocument/2006/relationships/hyperlink" Target="https://zakon.rada.gov.ua/laws/show/2628-19" TargetMode="External"/><Relationship Id="rId4443" Type="http://schemas.openxmlformats.org/officeDocument/2006/relationships/hyperlink" Target="https://zakon.rada.gov.ua/laws/show/2755-17/print" TargetMode="External"/><Relationship Id="rId4650" Type="http://schemas.openxmlformats.org/officeDocument/2006/relationships/hyperlink" Target="https://zakon.rada.gov.ua/laws/show/2628-19" TargetMode="External"/><Relationship Id="rId5701" Type="http://schemas.openxmlformats.org/officeDocument/2006/relationships/hyperlink" Target="https://zakon.rada.gov.ua/laws/show/2245-19" TargetMode="External"/><Relationship Id="rId3045" Type="http://schemas.openxmlformats.org/officeDocument/2006/relationships/hyperlink" Target="https://zakon.rada.gov.ua/laws/show/1797-19" TargetMode="External"/><Relationship Id="rId3252" Type="http://schemas.openxmlformats.org/officeDocument/2006/relationships/hyperlink" Target="https://zakon.rada.gov.ua/laws/show/71-19" TargetMode="External"/><Relationship Id="rId4303" Type="http://schemas.openxmlformats.org/officeDocument/2006/relationships/hyperlink" Target="https://zakon.rada.gov.ua/laws/show/2628-19" TargetMode="External"/><Relationship Id="rId4510" Type="http://schemas.openxmlformats.org/officeDocument/2006/relationships/hyperlink" Target="https://zakon.rada.gov.ua/laws/show/329-19" TargetMode="External"/><Relationship Id="rId173" Type="http://schemas.openxmlformats.org/officeDocument/2006/relationships/hyperlink" Target="https://zakon.rada.gov.ua/laws/show/2628-19" TargetMode="External"/><Relationship Id="rId380" Type="http://schemas.openxmlformats.org/officeDocument/2006/relationships/hyperlink" Target="https://zakon.rada.gov.ua/laws/show/323-20" TargetMode="External"/><Relationship Id="rId2061" Type="http://schemas.openxmlformats.org/officeDocument/2006/relationships/hyperlink" Target="https://zakon.rada.gov.ua/laws/show/2628-19" TargetMode="External"/><Relationship Id="rId3112" Type="http://schemas.openxmlformats.org/officeDocument/2006/relationships/hyperlink" Target="https://zakon.rada.gov.ua/laws/show/2755-17/print" TargetMode="External"/><Relationship Id="rId6268" Type="http://schemas.openxmlformats.org/officeDocument/2006/relationships/hyperlink" Target="https://zakon.rada.gov.ua/laws/show/1797-19" TargetMode="External"/><Relationship Id="rId240" Type="http://schemas.openxmlformats.org/officeDocument/2006/relationships/hyperlink" Target="https://zakon.rada.gov.ua/laws/show/657-18" TargetMode="External"/><Relationship Id="rId5077" Type="http://schemas.openxmlformats.org/officeDocument/2006/relationships/hyperlink" Target="https://zakon.rada.gov.ua/laws/show/2755-17/print" TargetMode="External"/><Relationship Id="rId5284" Type="http://schemas.openxmlformats.org/officeDocument/2006/relationships/hyperlink" Target="https://zakon.rada.gov.ua/laws/show/3721-12" TargetMode="External"/><Relationship Id="rId6128" Type="http://schemas.openxmlformats.org/officeDocument/2006/relationships/hyperlink" Target="https://zakon.rada.gov.ua/laws/show/4834-17" TargetMode="External"/><Relationship Id="rId100" Type="http://schemas.openxmlformats.org/officeDocument/2006/relationships/hyperlink" Target="https://zakon.rada.gov.ua/laws/show/652-19" TargetMode="External"/><Relationship Id="rId2878" Type="http://schemas.openxmlformats.org/officeDocument/2006/relationships/hyperlink" Target="https://zakon.rada.gov.ua/laws/show/076_009" TargetMode="External"/><Relationship Id="rId3929" Type="http://schemas.openxmlformats.org/officeDocument/2006/relationships/hyperlink" Target="https://zakon.rada.gov.ua/laws/show/2755-17/print" TargetMode="External"/><Relationship Id="rId4093" Type="http://schemas.openxmlformats.org/officeDocument/2006/relationships/hyperlink" Target="https://zakon.rada.gov.ua/laws/show/391-20" TargetMode="External"/><Relationship Id="rId5144" Type="http://schemas.openxmlformats.org/officeDocument/2006/relationships/hyperlink" Target="https://zakon.rada.gov.ua/laws/show/2755-17/print" TargetMode="External"/><Relationship Id="rId5491" Type="http://schemas.openxmlformats.org/officeDocument/2006/relationships/hyperlink" Target="https://zakon.rada.gov.ua/laws/show/2755-17/print" TargetMode="External"/><Relationship Id="rId1687" Type="http://schemas.openxmlformats.org/officeDocument/2006/relationships/hyperlink" Target="https://zakon.rada.gov.ua/laws/show/71-19" TargetMode="External"/><Relationship Id="rId1894" Type="http://schemas.openxmlformats.org/officeDocument/2006/relationships/hyperlink" Target="https://zakon.rada.gov.ua/laws/show/657-18" TargetMode="External"/><Relationship Id="rId2738" Type="http://schemas.openxmlformats.org/officeDocument/2006/relationships/hyperlink" Target="https://zakon.rada.gov.ua/laws/show/1797-19" TargetMode="External"/><Relationship Id="rId2945" Type="http://schemas.openxmlformats.org/officeDocument/2006/relationships/hyperlink" Target="https://zakon.rada.gov.ua/laws/show/909-19" TargetMode="External"/><Relationship Id="rId5351" Type="http://schemas.openxmlformats.org/officeDocument/2006/relationships/hyperlink" Target="https://zakon.rada.gov.ua/laws/show/3609-17" TargetMode="External"/><Relationship Id="rId917" Type="http://schemas.openxmlformats.org/officeDocument/2006/relationships/hyperlink" Target="https://zakon.rada.gov.ua/laws/show/2755-17/print" TargetMode="External"/><Relationship Id="rId1547" Type="http://schemas.openxmlformats.org/officeDocument/2006/relationships/hyperlink" Target="https://zakon.rada.gov.ua/laws/show/2755-17/print" TargetMode="External"/><Relationship Id="rId1754" Type="http://schemas.openxmlformats.org/officeDocument/2006/relationships/hyperlink" Target="https://zakon.rada.gov.ua/laws/show/1797-19" TargetMode="External"/><Relationship Id="rId1961" Type="http://schemas.openxmlformats.org/officeDocument/2006/relationships/hyperlink" Target="https://zakon.rada.gov.ua/laws/show/z1415-15" TargetMode="External"/><Relationship Id="rId2805" Type="http://schemas.openxmlformats.org/officeDocument/2006/relationships/hyperlink" Target="https://zakon.rada.gov.ua/laws/show/4915-17" TargetMode="External"/><Relationship Id="rId4160" Type="http://schemas.openxmlformats.org/officeDocument/2006/relationships/hyperlink" Target="https://zakon.rada.gov.ua/laws/show/1638-18" TargetMode="External"/><Relationship Id="rId5004" Type="http://schemas.openxmlformats.org/officeDocument/2006/relationships/hyperlink" Target="https://zakon.rada.gov.ua/laws/show/2497-19" TargetMode="External"/><Relationship Id="rId5211" Type="http://schemas.openxmlformats.org/officeDocument/2006/relationships/hyperlink" Target="https://zakon.rada.gov.ua/laws/show/839-2013-%D0%BF" TargetMode="External"/><Relationship Id="rId46" Type="http://schemas.openxmlformats.org/officeDocument/2006/relationships/hyperlink" Target="https://zakon.rada.gov.ua/laws/show/5519-17" TargetMode="External"/><Relationship Id="rId1407" Type="http://schemas.openxmlformats.org/officeDocument/2006/relationships/hyperlink" Target="https://zakon.rada.gov.ua/laws/show/1797-19" TargetMode="External"/><Relationship Id="rId1614" Type="http://schemas.openxmlformats.org/officeDocument/2006/relationships/hyperlink" Target="https://zakon.rada.gov.ua/laws/show/4652-17" TargetMode="External"/><Relationship Id="rId1821" Type="http://schemas.openxmlformats.org/officeDocument/2006/relationships/hyperlink" Target="https://zakon.rada.gov.ua/laws/show/1797-19" TargetMode="External"/><Relationship Id="rId4020" Type="http://schemas.openxmlformats.org/officeDocument/2006/relationships/hyperlink" Target="https://zakon.rada.gov.ua/laws/show/1791-19" TargetMode="External"/><Relationship Id="rId4977" Type="http://schemas.openxmlformats.org/officeDocument/2006/relationships/hyperlink" Target="https://zakon.rada.gov.ua/laws/show/2755-17/print" TargetMode="External"/><Relationship Id="rId3579" Type="http://schemas.openxmlformats.org/officeDocument/2006/relationships/hyperlink" Target="https://zakon.rada.gov.ua/laws/show/4495-17" TargetMode="External"/><Relationship Id="rId3786" Type="http://schemas.openxmlformats.org/officeDocument/2006/relationships/hyperlink" Target="https://zakon.rada.gov.ua/laws/show/2755-17/print" TargetMode="External"/><Relationship Id="rId6192" Type="http://schemas.openxmlformats.org/officeDocument/2006/relationships/hyperlink" Target="https://zakon.rada.gov.ua/laws/show/1275-18" TargetMode="External"/><Relationship Id="rId2388" Type="http://schemas.openxmlformats.org/officeDocument/2006/relationships/hyperlink" Target="https://zakon.rada.gov.ua/laws/show/1791-19" TargetMode="External"/><Relationship Id="rId2595" Type="http://schemas.openxmlformats.org/officeDocument/2006/relationships/hyperlink" Target="https://zakon.rada.gov.ua/laws/show/2755-17/print" TargetMode="External"/><Relationship Id="rId3439" Type="http://schemas.openxmlformats.org/officeDocument/2006/relationships/hyperlink" Target="https://zakon.rada.gov.ua/laws/show/71-19" TargetMode="External"/><Relationship Id="rId3993" Type="http://schemas.openxmlformats.org/officeDocument/2006/relationships/hyperlink" Target="https://zakon.rada.gov.ua/laws/show/2628-19" TargetMode="External"/><Relationship Id="rId4837" Type="http://schemas.openxmlformats.org/officeDocument/2006/relationships/hyperlink" Target="https://zakon.rada.gov.ua/laws/show/71-19" TargetMode="External"/><Relationship Id="rId6052" Type="http://schemas.openxmlformats.org/officeDocument/2006/relationships/hyperlink" Target="https://zakon.rada.gov.ua/laws/show/922-19" TargetMode="External"/><Relationship Id="rId567" Type="http://schemas.openxmlformats.org/officeDocument/2006/relationships/hyperlink" Target="https://zakon.rada.gov.ua/laws/show/4834-17" TargetMode="External"/><Relationship Id="rId1197" Type="http://schemas.openxmlformats.org/officeDocument/2006/relationships/hyperlink" Target="https://zakon.rada.gov.ua/laws/show/3609-17" TargetMode="External"/><Relationship Id="rId2248" Type="http://schemas.openxmlformats.org/officeDocument/2006/relationships/hyperlink" Target="https://zakon.rada.gov.ua/laws/show/2755-17/print" TargetMode="External"/><Relationship Id="rId3646" Type="http://schemas.openxmlformats.org/officeDocument/2006/relationships/hyperlink" Target="https://zakon.rada.gov.ua/laws/show/584%D0%B0-18" TargetMode="External"/><Relationship Id="rId3853" Type="http://schemas.openxmlformats.org/officeDocument/2006/relationships/hyperlink" Target="https://zakon.rada.gov.ua/laws/show/584%D0%B0-18" TargetMode="External"/><Relationship Id="rId4904" Type="http://schemas.openxmlformats.org/officeDocument/2006/relationships/hyperlink" Target="https://zakon.rada.gov.ua/laws/show/4834-17" TargetMode="External"/><Relationship Id="rId774" Type="http://schemas.openxmlformats.org/officeDocument/2006/relationships/hyperlink" Target="https://zakon.rada.gov.ua/laws/show/2755-17/print" TargetMode="External"/><Relationship Id="rId981" Type="http://schemas.openxmlformats.org/officeDocument/2006/relationships/hyperlink" Target="https://zakon.rada.gov.ua/laws/show/2755-17/print" TargetMode="External"/><Relationship Id="rId1057" Type="http://schemas.openxmlformats.org/officeDocument/2006/relationships/hyperlink" Target="https://zakon.rada.gov.ua/laws/show/71-19" TargetMode="External"/><Relationship Id="rId2455" Type="http://schemas.openxmlformats.org/officeDocument/2006/relationships/hyperlink" Target="https://zakon.rada.gov.ua/laws/show/3609-17" TargetMode="External"/><Relationship Id="rId2662" Type="http://schemas.openxmlformats.org/officeDocument/2006/relationships/hyperlink" Target="https://zakon.rada.gov.ua/laws/show/3609-17" TargetMode="External"/><Relationship Id="rId3506" Type="http://schemas.openxmlformats.org/officeDocument/2006/relationships/hyperlink" Target="https://zakon.rada.gov.ua/laws/show/2755-17/print" TargetMode="External"/><Relationship Id="rId3713" Type="http://schemas.openxmlformats.org/officeDocument/2006/relationships/hyperlink" Target="https://zakon.rada.gov.ua/laws/show/71-19" TargetMode="External"/><Relationship Id="rId3920" Type="http://schemas.openxmlformats.org/officeDocument/2006/relationships/hyperlink" Target="https://zakon.rada.gov.ua/laws/show/2611-19" TargetMode="External"/><Relationship Id="rId427" Type="http://schemas.openxmlformats.org/officeDocument/2006/relationships/hyperlink" Target="https://zakon.rada.gov.ua/laws/show/4834-17" TargetMode="External"/><Relationship Id="rId634" Type="http://schemas.openxmlformats.org/officeDocument/2006/relationships/hyperlink" Target="https://zakon.rada.gov.ua/laws/show/1797-19" TargetMode="External"/><Relationship Id="rId841" Type="http://schemas.openxmlformats.org/officeDocument/2006/relationships/hyperlink" Target="https://zakon.rada.gov.ua/laws/show/609-19" TargetMode="External"/><Relationship Id="rId1264" Type="http://schemas.openxmlformats.org/officeDocument/2006/relationships/hyperlink" Target="https://zakon.rada.gov.ua/laws/show/1797-19" TargetMode="External"/><Relationship Id="rId1471" Type="http://schemas.openxmlformats.org/officeDocument/2006/relationships/hyperlink" Target="https://zakon.rada.gov.ua/laws/show/404-18" TargetMode="External"/><Relationship Id="rId2108" Type="http://schemas.openxmlformats.org/officeDocument/2006/relationships/hyperlink" Target="https://zakon.rada.gov.ua/laws/show/z1415-15" TargetMode="External"/><Relationship Id="rId2315" Type="http://schemas.openxmlformats.org/officeDocument/2006/relationships/hyperlink" Target="https://zakon.rada.gov.ua/laws/show/2755-17/print" TargetMode="External"/><Relationship Id="rId2522" Type="http://schemas.openxmlformats.org/officeDocument/2006/relationships/hyperlink" Target="https://zakon.rada.gov.ua/laws/show/1227-2010-%D0%BF" TargetMode="External"/><Relationship Id="rId5678" Type="http://schemas.openxmlformats.org/officeDocument/2006/relationships/hyperlink" Target="https://zakon.rada.gov.ua/laws/show/584%D0%B0-18" TargetMode="External"/><Relationship Id="rId5885" Type="http://schemas.openxmlformats.org/officeDocument/2006/relationships/hyperlink" Target="https://zakon.rada.gov.ua/laws/show/2755-17/print" TargetMode="External"/><Relationship Id="rId701" Type="http://schemas.openxmlformats.org/officeDocument/2006/relationships/hyperlink" Target="https://zakon.rada.gov.ua/laws/show/5083-17" TargetMode="External"/><Relationship Id="rId1124" Type="http://schemas.openxmlformats.org/officeDocument/2006/relationships/hyperlink" Target="https://zakon.rada.gov.ua/laws/show/851-15" TargetMode="External"/><Relationship Id="rId1331" Type="http://schemas.openxmlformats.org/officeDocument/2006/relationships/hyperlink" Target="https://zakon.rada.gov.ua/laws/show/1797-19" TargetMode="External"/><Relationship Id="rId4487" Type="http://schemas.openxmlformats.org/officeDocument/2006/relationships/hyperlink" Target="https://zakon.rada.gov.ua/laws/show/812-19" TargetMode="External"/><Relationship Id="rId4694" Type="http://schemas.openxmlformats.org/officeDocument/2006/relationships/hyperlink" Target="https://zakon.rada.gov.ua/laws/show/71-19" TargetMode="External"/><Relationship Id="rId5538" Type="http://schemas.openxmlformats.org/officeDocument/2006/relationships/hyperlink" Target="https://zakon.rada.gov.ua/laws/show/2755-17/print" TargetMode="External"/><Relationship Id="rId5745" Type="http://schemas.openxmlformats.org/officeDocument/2006/relationships/hyperlink" Target="https://zakon.rada.gov.ua/laws/show/2755-17/print" TargetMode="External"/><Relationship Id="rId5952" Type="http://schemas.openxmlformats.org/officeDocument/2006/relationships/hyperlink" Target="https://zakon.rada.gov.ua/laws/show/713-18" TargetMode="External"/><Relationship Id="rId3089" Type="http://schemas.openxmlformats.org/officeDocument/2006/relationships/hyperlink" Target="https://zakon.rada.gov.ua/laws/show/2755-17/print" TargetMode="External"/><Relationship Id="rId3296" Type="http://schemas.openxmlformats.org/officeDocument/2006/relationships/hyperlink" Target="https://zakon.rada.gov.ua/laws/show/909-19" TargetMode="External"/><Relationship Id="rId4347" Type="http://schemas.openxmlformats.org/officeDocument/2006/relationships/hyperlink" Target="https://zakon.rada.gov.ua/laws/show/z0405-16" TargetMode="External"/><Relationship Id="rId4554" Type="http://schemas.openxmlformats.org/officeDocument/2006/relationships/hyperlink" Target="https://zakon.rada.gov.ua/laws/show/909-19" TargetMode="External"/><Relationship Id="rId4761" Type="http://schemas.openxmlformats.org/officeDocument/2006/relationships/hyperlink" Target="https://zakon.rada.gov.ua/laws/show/909-19" TargetMode="External"/><Relationship Id="rId5605" Type="http://schemas.openxmlformats.org/officeDocument/2006/relationships/hyperlink" Target="https://zakon.rada.gov.ua/laws/show/1791-19" TargetMode="External"/><Relationship Id="rId3156" Type="http://schemas.openxmlformats.org/officeDocument/2006/relationships/hyperlink" Target="https://zakon.rada.gov.ua/laws/show/1621-18" TargetMode="External"/><Relationship Id="rId3363" Type="http://schemas.openxmlformats.org/officeDocument/2006/relationships/hyperlink" Target="https://zakon.rada.gov.ua/laws/show/1797-19" TargetMode="External"/><Relationship Id="rId4207" Type="http://schemas.openxmlformats.org/officeDocument/2006/relationships/hyperlink" Target="https://zakon.rada.gov.ua/laws/show/2628-19" TargetMode="External"/><Relationship Id="rId4414" Type="http://schemas.openxmlformats.org/officeDocument/2006/relationships/hyperlink" Target="https://zakon.rada.gov.ua/laws/show/2245-19" TargetMode="External"/><Relationship Id="rId5812" Type="http://schemas.openxmlformats.org/officeDocument/2006/relationships/hyperlink" Target="https://zakon.rada.gov.ua/laws/show/2755-17/print" TargetMode="External"/><Relationship Id="rId284" Type="http://schemas.openxmlformats.org/officeDocument/2006/relationships/hyperlink" Target="https://zakon.rada.gov.ua/laws/show/2628-19" TargetMode="External"/><Relationship Id="rId491" Type="http://schemas.openxmlformats.org/officeDocument/2006/relationships/hyperlink" Target="https://zakon.rada.gov.ua/laws/show/2755-17/print" TargetMode="External"/><Relationship Id="rId2172" Type="http://schemas.openxmlformats.org/officeDocument/2006/relationships/hyperlink" Target="https://zakon.rada.gov.ua/laws/show/1797-19" TargetMode="External"/><Relationship Id="rId3016" Type="http://schemas.openxmlformats.org/officeDocument/2006/relationships/hyperlink" Target="https://zakon.rada.gov.ua/laws/show/1621-18" TargetMode="External"/><Relationship Id="rId3223" Type="http://schemas.openxmlformats.org/officeDocument/2006/relationships/hyperlink" Target="https://zakon.rada.gov.ua/laws/show/4834-17" TargetMode="External"/><Relationship Id="rId3570" Type="http://schemas.openxmlformats.org/officeDocument/2006/relationships/hyperlink" Target="https://zakon.rada.gov.ua/laws/show/4495-17" TargetMode="External"/><Relationship Id="rId4621" Type="http://schemas.openxmlformats.org/officeDocument/2006/relationships/hyperlink" Target="https://zakon.rada.gov.ua/laws/show/909-19" TargetMode="External"/><Relationship Id="rId144" Type="http://schemas.openxmlformats.org/officeDocument/2006/relationships/hyperlink" Target="https://zakon.rada.gov.ua/laws/show/2755-17/print" TargetMode="External"/><Relationship Id="rId3430" Type="http://schemas.openxmlformats.org/officeDocument/2006/relationships/hyperlink" Target="https://zakon.rada.gov.ua/laws/show/643-19" TargetMode="External"/><Relationship Id="rId5188" Type="http://schemas.openxmlformats.org/officeDocument/2006/relationships/hyperlink" Target="https://zakon.rada.gov.ua/laws/show/2755-17/print" TargetMode="External"/><Relationship Id="rId351" Type="http://schemas.openxmlformats.org/officeDocument/2006/relationships/hyperlink" Target="https://zakon.rada.gov.ua/laws/show/4834-17" TargetMode="External"/><Relationship Id="rId2032" Type="http://schemas.openxmlformats.org/officeDocument/2006/relationships/hyperlink" Target="https://zakon.rada.gov.ua/laws/show/643-19" TargetMode="External"/><Relationship Id="rId2989" Type="http://schemas.openxmlformats.org/officeDocument/2006/relationships/hyperlink" Target="https://zakon.rada.gov.ua/laws/show/2628-19" TargetMode="External"/><Relationship Id="rId5395" Type="http://schemas.openxmlformats.org/officeDocument/2006/relationships/hyperlink" Target="https://zakon.rada.gov.ua/laws/show/3675-17" TargetMode="External"/><Relationship Id="rId6239" Type="http://schemas.openxmlformats.org/officeDocument/2006/relationships/hyperlink" Target="https://zakon.rada.gov.ua/laws/show/2755-17/print" TargetMode="External"/><Relationship Id="rId211" Type="http://schemas.openxmlformats.org/officeDocument/2006/relationships/hyperlink" Target="https://zakon.rada.gov.ua/laws/show/2245-19" TargetMode="External"/><Relationship Id="rId1798" Type="http://schemas.openxmlformats.org/officeDocument/2006/relationships/hyperlink" Target="https://zakon.rada.gov.ua/laws/show/z0859-17" TargetMode="External"/><Relationship Id="rId2849" Type="http://schemas.openxmlformats.org/officeDocument/2006/relationships/hyperlink" Target="https://zakon.rada.gov.ua/laws/show/443-18" TargetMode="External"/><Relationship Id="rId5048" Type="http://schemas.openxmlformats.org/officeDocument/2006/relationships/hyperlink" Target="https://zakon.rada.gov.ua/laws/show/5503-17" TargetMode="External"/><Relationship Id="rId5255" Type="http://schemas.openxmlformats.org/officeDocument/2006/relationships/hyperlink" Target="https://zakon.rada.gov.ua/laws/show/2755-17/print" TargetMode="External"/><Relationship Id="rId5462" Type="http://schemas.openxmlformats.org/officeDocument/2006/relationships/hyperlink" Target="https://zakon.rada.gov.ua/laws/show/544-2015-%D1%80" TargetMode="External"/><Relationship Id="rId6306" Type="http://schemas.openxmlformats.org/officeDocument/2006/relationships/hyperlink" Target="https://zakon.rada.gov.ua/laws/show/2755-17/print" TargetMode="External"/><Relationship Id="rId1658" Type="http://schemas.openxmlformats.org/officeDocument/2006/relationships/hyperlink" Target="https://zakon.rada.gov.ua/laws/show/3609-17" TargetMode="External"/><Relationship Id="rId1865" Type="http://schemas.openxmlformats.org/officeDocument/2006/relationships/hyperlink" Target="https://zakon.rada.gov.ua/laws/show/1244-2010-%D0%BF" TargetMode="External"/><Relationship Id="rId2709" Type="http://schemas.openxmlformats.org/officeDocument/2006/relationships/hyperlink" Target="https://zakon.rada.gov.ua/laws/show/2755-17/print" TargetMode="External"/><Relationship Id="rId4064" Type="http://schemas.openxmlformats.org/officeDocument/2006/relationships/hyperlink" Target="https://zakon.rada.gov.ua/laws/show/2245-19" TargetMode="External"/><Relationship Id="rId4271" Type="http://schemas.openxmlformats.org/officeDocument/2006/relationships/hyperlink" Target="https://zakon.rada.gov.ua/laws/show/391-20" TargetMode="External"/><Relationship Id="rId5115" Type="http://schemas.openxmlformats.org/officeDocument/2006/relationships/hyperlink" Target="https://zakon.rada.gov.ua/laws/show/5412-17" TargetMode="External"/><Relationship Id="rId5322" Type="http://schemas.openxmlformats.org/officeDocument/2006/relationships/hyperlink" Target="https://zakon.rada.gov.ua/laws/show/5083-17" TargetMode="External"/><Relationship Id="rId1518" Type="http://schemas.openxmlformats.org/officeDocument/2006/relationships/hyperlink" Target="https://zakon.rada.gov.ua/laws/show/2245-19" TargetMode="External"/><Relationship Id="rId2916" Type="http://schemas.openxmlformats.org/officeDocument/2006/relationships/hyperlink" Target="https://zakon.rada.gov.ua/laws/show/2755-17/print" TargetMode="External"/><Relationship Id="rId3080" Type="http://schemas.openxmlformats.org/officeDocument/2006/relationships/hyperlink" Target="https://zakon.rada.gov.ua/laws/show/127-2011-%D0%BF" TargetMode="External"/><Relationship Id="rId4131" Type="http://schemas.openxmlformats.org/officeDocument/2006/relationships/hyperlink" Target="https://zakon.rada.gov.ua/laws/show/5503-17" TargetMode="External"/><Relationship Id="rId1725" Type="http://schemas.openxmlformats.org/officeDocument/2006/relationships/hyperlink" Target="https://zakon.rada.gov.ua/laws/show/2755-17/print" TargetMode="External"/><Relationship Id="rId1932" Type="http://schemas.openxmlformats.org/officeDocument/2006/relationships/hyperlink" Target="https://zakon.rada.gov.ua/laws/show/2755-17/print" TargetMode="External"/><Relationship Id="rId6096" Type="http://schemas.openxmlformats.org/officeDocument/2006/relationships/hyperlink" Target="https://zakon.rada.gov.ua/laws/show/71-19" TargetMode="External"/><Relationship Id="rId17" Type="http://schemas.openxmlformats.org/officeDocument/2006/relationships/hyperlink" Target="https://zakon.rada.gov.ua/laws/show/v018p710-11" TargetMode="External"/><Relationship Id="rId3897" Type="http://schemas.openxmlformats.org/officeDocument/2006/relationships/hyperlink" Target="https://zakon.rada.gov.ua/laws/show/404-18" TargetMode="External"/><Relationship Id="rId4948" Type="http://schemas.openxmlformats.org/officeDocument/2006/relationships/hyperlink" Target="https://zakon.rada.gov.ua/laws/show/5083-17" TargetMode="External"/><Relationship Id="rId6163" Type="http://schemas.openxmlformats.org/officeDocument/2006/relationships/hyperlink" Target="https://zakon.rada.gov.ua/laws/show/1621-18" TargetMode="External"/><Relationship Id="rId2499" Type="http://schemas.openxmlformats.org/officeDocument/2006/relationships/hyperlink" Target="https://zakon.rada.gov.ua/laws/show/2497-19" TargetMode="External"/><Relationship Id="rId3757" Type="http://schemas.openxmlformats.org/officeDocument/2006/relationships/hyperlink" Target="https://zakon.rada.gov.ua/laws/show/1791-19" TargetMode="External"/><Relationship Id="rId3964" Type="http://schemas.openxmlformats.org/officeDocument/2006/relationships/hyperlink" Target="https://zakon.rada.gov.ua/laws/show/404-18" TargetMode="External"/><Relationship Id="rId4808" Type="http://schemas.openxmlformats.org/officeDocument/2006/relationships/hyperlink" Target="https://zakon.rada.gov.ua/laws/show/71-19" TargetMode="External"/><Relationship Id="rId1" Type="http://schemas.openxmlformats.org/officeDocument/2006/relationships/numbering" Target="numbering.xml"/><Relationship Id="rId678" Type="http://schemas.openxmlformats.org/officeDocument/2006/relationships/hyperlink" Target="https://zakon.rada.gov.ua/laws/show/1797-19" TargetMode="External"/><Relationship Id="rId885" Type="http://schemas.openxmlformats.org/officeDocument/2006/relationships/hyperlink" Target="https://zakon.rada.gov.ua/laws/show/2755-17/print" TargetMode="External"/><Relationship Id="rId2359" Type="http://schemas.openxmlformats.org/officeDocument/2006/relationships/hyperlink" Target="https://zakon.rada.gov.ua/laws/show/4238-17" TargetMode="External"/><Relationship Id="rId2566" Type="http://schemas.openxmlformats.org/officeDocument/2006/relationships/hyperlink" Target="https://zakon.rada.gov.ua/laws/show/5519-17" TargetMode="External"/><Relationship Id="rId2773" Type="http://schemas.openxmlformats.org/officeDocument/2006/relationships/hyperlink" Target="https://zakon.rada.gov.ua/laws/show/4661-17" TargetMode="External"/><Relationship Id="rId2980" Type="http://schemas.openxmlformats.org/officeDocument/2006/relationships/hyperlink" Target="https://zakon.rada.gov.ua/laws/show/4834-17" TargetMode="External"/><Relationship Id="rId3617" Type="http://schemas.openxmlformats.org/officeDocument/2006/relationships/hyperlink" Target="https://zakon.rada.gov.ua/laws/show/2371%D0%B0-14" TargetMode="External"/><Relationship Id="rId3824" Type="http://schemas.openxmlformats.org/officeDocument/2006/relationships/hyperlink" Target="https://zakon.rada.gov.ua/laws/show/584%D0%B0-18" TargetMode="External"/><Relationship Id="rId6023" Type="http://schemas.openxmlformats.org/officeDocument/2006/relationships/hyperlink" Target="https://zakon.rada.gov.ua/laws/show/2755-17/print" TargetMode="External"/><Relationship Id="rId6230" Type="http://schemas.openxmlformats.org/officeDocument/2006/relationships/hyperlink" Target="https://zakon.rada.gov.ua/laws/show/2755-17/print" TargetMode="External"/><Relationship Id="rId538" Type="http://schemas.openxmlformats.org/officeDocument/2006/relationships/hyperlink" Target="https://zakon.rada.gov.ua/laws/show/391-20" TargetMode="External"/><Relationship Id="rId745" Type="http://schemas.openxmlformats.org/officeDocument/2006/relationships/hyperlink" Target="https://zakon.rada.gov.ua/laws/show/2755-17/print" TargetMode="External"/><Relationship Id="rId952" Type="http://schemas.openxmlformats.org/officeDocument/2006/relationships/hyperlink" Target="https://zakon.rada.gov.ua/laws/show/1797-19" TargetMode="External"/><Relationship Id="rId1168" Type="http://schemas.openxmlformats.org/officeDocument/2006/relationships/hyperlink" Target="https://zakon.rada.gov.ua/laws/show/3609-17" TargetMode="External"/><Relationship Id="rId1375" Type="http://schemas.openxmlformats.org/officeDocument/2006/relationships/hyperlink" Target="https://zakon.rada.gov.ua/laws/show/5083-17" TargetMode="External"/><Relationship Id="rId1582" Type="http://schemas.openxmlformats.org/officeDocument/2006/relationships/hyperlink" Target="https://zakon.rada.gov.ua/laws/show/657-18" TargetMode="External"/><Relationship Id="rId2219" Type="http://schemas.openxmlformats.org/officeDocument/2006/relationships/hyperlink" Target="https://zakon.rada.gov.ua/laws/show/1797-19" TargetMode="External"/><Relationship Id="rId2426" Type="http://schemas.openxmlformats.org/officeDocument/2006/relationships/hyperlink" Target="https://zakon.rada.gov.ua/laws/show/5083-17" TargetMode="External"/><Relationship Id="rId2633" Type="http://schemas.openxmlformats.org/officeDocument/2006/relationships/hyperlink" Target="https://zakon.rada.gov.ua/laws/show/2755-17/print" TargetMode="External"/><Relationship Id="rId5789" Type="http://schemas.openxmlformats.org/officeDocument/2006/relationships/hyperlink" Target="https://zakon.rada.gov.ua/laws/show/2245-19" TargetMode="External"/><Relationship Id="rId5996" Type="http://schemas.openxmlformats.org/officeDocument/2006/relationships/hyperlink" Target="https://zakon.rada.gov.ua/laws/show/2245-19" TargetMode="External"/><Relationship Id="rId81" Type="http://schemas.openxmlformats.org/officeDocument/2006/relationships/hyperlink" Target="https://zakon.rada.gov.ua/laws/show/72-19" TargetMode="External"/><Relationship Id="rId605" Type="http://schemas.openxmlformats.org/officeDocument/2006/relationships/hyperlink" Target="https://zakon.rada.gov.ua/laws/show/2755-17/print" TargetMode="External"/><Relationship Id="rId812" Type="http://schemas.openxmlformats.org/officeDocument/2006/relationships/hyperlink" Target="https://zakon.rada.gov.ua/laws/show/2155-19" TargetMode="External"/><Relationship Id="rId1028" Type="http://schemas.openxmlformats.org/officeDocument/2006/relationships/hyperlink" Target="https://zakon.rada.gov.ua/laws/show/1797-19" TargetMode="External"/><Relationship Id="rId1235" Type="http://schemas.openxmlformats.org/officeDocument/2006/relationships/hyperlink" Target="https://zakon.rada.gov.ua/laws/show/5083-17" TargetMode="External"/><Relationship Id="rId1442" Type="http://schemas.openxmlformats.org/officeDocument/2006/relationships/hyperlink" Target="https://zakon.rada.gov.ua/laws/show/5503-17" TargetMode="External"/><Relationship Id="rId2840" Type="http://schemas.openxmlformats.org/officeDocument/2006/relationships/hyperlink" Target="https://zakon.rada.gov.ua/laws/show/2755-17/print" TargetMode="External"/><Relationship Id="rId4598" Type="http://schemas.openxmlformats.org/officeDocument/2006/relationships/hyperlink" Target="https://zakon.rada.gov.ua/laws/show/2755-17/print" TargetMode="External"/><Relationship Id="rId5649" Type="http://schemas.openxmlformats.org/officeDocument/2006/relationships/hyperlink" Target="https://zakon.rada.gov.ua/laws/show/2755-17/print" TargetMode="External"/><Relationship Id="rId1302" Type="http://schemas.openxmlformats.org/officeDocument/2006/relationships/hyperlink" Target="https://zakon.rada.gov.ua/laws/show/2755-17/print" TargetMode="External"/><Relationship Id="rId2700" Type="http://schemas.openxmlformats.org/officeDocument/2006/relationships/hyperlink" Target="https://zakon.rada.gov.ua/laws/show/909-19" TargetMode="External"/><Relationship Id="rId4458" Type="http://schemas.openxmlformats.org/officeDocument/2006/relationships/hyperlink" Target="https://zakon.rada.gov.ua/laws/show/1191-18" TargetMode="External"/><Relationship Id="rId5856" Type="http://schemas.openxmlformats.org/officeDocument/2006/relationships/hyperlink" Target="https://zakon.rada.gov.ua/laws/show/2755-17/print" TargetMode="External"/><Relationship Id="rId3267" Type="http://schemas.openxmlformats.org/officeDocument/2006/relationships/hyperlink" Target="https://zakon.rada.gov.ua/laws/show/1797-19" TargetMode="External"/><Relationship Id="rId4665" Type="http://schemas.openxmlformats.org/officeDocument/2006/relationships/hyperlink" Target="https://zakon.rada.gov.ua/laws/show/909-19" TargetMode="External"/><Relationship Id="rId4872" Type="http://schemas.openxmlformats.org/officeDocument/2006/relationships/hyperlink" Target="https://zakon.rada.gov.ua/laws/show/657-18" TargetMode="External"/><Relationship Id="rId5509" Type="http://schemas.openxmlformats.org/officeDocument/2006/relationships/hyperlink" Target="https://zakon.rada.gov.ua/laws/show/2755-17/print" TargetMode="External"/><Relationship Id="rId5716" Type="http://schemas.openxmlformats.org/officeDocument/2006/relationships/hyperlink" Target="https://zakon.rada.gov.ua/laws/show/2755-17/print" TargetMode="External"/><Relationship Id="rId5923" Type="http://schemas.openxmlformats.org/officeDocument/2006/relationships/hyperlink" Target="https://zakon.rada.gov.ua/laws/show/5503-17" TargetMode="External"/><Relationship Id="rId188" Type="http://schemas.openxmlformats.org/officeDocument/2006/relationships/hyperlink" Target="https://zakon.rada.gov.ua/laws/show/2628-19" TargetMode="External"/><Relationship Id="rId395" Type="http://schemas.openxmlformats.org/officeDocument/2006/relationships/hyperlink" Target="https://zakon.rada.gov.ua/laws/show/1166-18" TargetMode="External"/><Relationship Id="rId2076" Type="http://schemas.openxmlformats.org/officeDocument/2006/relationships/hyperlink" Target="https://zakon.rada.gov.ua/laws/show/2628-19" TargetMode="External"/><Relationship Id="rId3474" Type="http://schemas.openxmlformats.org/officeDocument/2006/relationships/hyperlink" Target="https://zakon.rada.gov.ua/laws/show/1797-19" TargetMode="External"/><Relationship Id="rId3681" Type="http://schemas.openxmlformats.org/officeDocument/2006/relationships/hyperlink" Target="https://zakon.rada.gov.ua/laws/show/z0405-16" TargetMode="External"/><Relationship Id="rId4318" Type="http://schemas.openxmlformats.org/officeDocument/2006/relationships/hyperlink" Target="https://zakon.rada.gov.ua/laws/show/391-20" TargetMode="External"/><Relationship Id="rId4525" Type="http://schemas.openxmlformats.org/officeDocument/2006/relationships/hyperlink" Target="https://zakon.rada.gov.ua/laws/show/2755-17/print" TargetMode="External"/><Relationship Id="rId4732" Type="http://schemas.openxmlformats.org/officeDocument/2006/relationships/hyperlink" Target="https://zakon.rada.gov.ua/laws/show/2628-19" TargetMode="External"/><Relationship Id="rId2283" Type="http://schemas.openxmlformats.org/officeDocument/2006/relationships/hyperlink" Target="https://zakon.rada.gov.ua/laws/show/1797-19" TargetMode="External"/><Relationship Id="rId2490" Type="http://schemas.openxmlformats.org/officeDocument/2006/relationships/hyperlink" Target="https://zakon.rada.gov.ua/laws/show/2755-17/print" TargetMode="External"/><Relationship Id="rId3127" Type="http://schemas.openxmlformats.org/officeDocument/2006/relationships/hyperlink" Target="https://zakon.rada.gov.ua/laws/show/909-19" TargetMode="External"/><Relationship Id="rId3334" Type="http://schemas.openxmlformats.org/officeDocument/2006/relationships/hyperlink" Target="https://zakon.rada.gov.ua/laws/show/909-19" TargetMode="External"/><Relationship Id="rId3541" Type="http://schemas.openxmlformats.org/officeDocument/2006/relationships/hyperlink" Target="https://zakon.rada.gov.ua/laws/show/z0137-16" TargetMode="External"/><Relationship Id="rId255" Type="http://schemas.openxmlformats.org/officeDocument/2006/relationships/hyperlink" Target="https://zakon.rada.gov.ua/laws/show/2628-19" TargetMode="External"/><Relationship Id="rId462" Type="http://schemas.openxmlformats.org/officeDocument/2006/relationships/hyperlink" Target="https://zakon.rada.gov.ua/laws/show/2245-19" TargetMode="External"/><Relationship Id="rId1092" Type="http://schemas.openxmlformats.org/officeDocument/2006/relationships/hyperlink" Target="https://zakon.rada.gov.ua/laws/show/2755-17/print" TargetMode="External"/><Relationship Id="rId2143" Type="http://schemas.openxmlformats.org/officeDocument/2006/relationships/hyperlink" Target="https://zakon.rada.gov.ua/laws/show/1797-19" TargetMode="External"/><Relationship Id="rId2350" Type="http://schemas.openxmlformats.org/officeDocument/2006/relationships/hyperlink" Target="https://zakon.rada.gov.ua/laws/show/344-20" TargetMode="External"/><Relationship Id="rId3401" Type="http://schemas.openxmlformats.org/officeDocument/2006/relationships/hyperlink" Target="https://zakon.rada.gov.ua/laws/show/4834-17" TargetMode="External"/><Relationship Id="rId5299" Type="http://schemas.openxmlformats.org/officeDocument/2006/relationships/hyperlink" Target="https://zakon.rada.gov.ua/laws/show/5412-17" TargetMode="External"/><Relationship Id="rId115" Type="http://schemas.openxmlformats.org/officeDocument/2006/relationships/hyperlink" Target="https://zakon.rada.gov.ua/laws/show/1797-19" TargetMode="External"/><Relationship Id="rId322" Type="http://schemas.openxmlformats.org/officeDocument/2006/relationships/hyperlink" Target="https://zakon.rada.gov.ua/laws/show/609-19" TargetMode="External"/><Relationship Id="rId2003" Type="http://schemas.openxmlformats.org/officeDocument/2006/relationships/hyperlink" Target="https://zakon.rada.gov.ua/laws/show/z0137-16" TargetMode="External"/><Relationship Id="rId2210" Type="http://schemas.openxmlformats.org/officeDocument/2006/relationships/hyperlink" Target="https://zakon.rada.gov.ua/laws/show/2628-19" TargetMode="External"/><Relationship Id="rId5159" Type="http://schemas.openxmlformats.org/officeDocument/2006/relationships/hyperlink" Target="https://zakon.rada.gov.ua/laws/show/5412-17" TargetMode="External"/><Relationship Id="rId5366" Type="http://schemas.openxmlformats.org/officeDocument/2006/relationships/hyperlink" Target="https://zakon.rada.gov.ua/laws/show/1166-18" TargetMode="External"/><Relationship Id="rId5573" Type="http://schemas.openxmlformats.org/officeDocument/2006/relationships/hyperlink" Target="https://zakon.rada.gov.ua/laws/show/2755-17/print" TargetMode="External"/><Relationship Id="rId4175" Type="http://schemas.openxmlformats.org/officeDocument/2006/relationships/hyperlink" Target="https://zakon.rada.gov.ua/laws/show/71-19" TargetMode="External"/><Relationship Id="rId4382" Type="http://schemas.openxmlformats.org/officeDocument/2006/relationships/hyperlink" Target="https://zakon.rada.gov.ua/laws/show/1791-19" TargetMode="External"/><Relationship Id="rId5019" Type="http://schemas.openxmlformats.org/officeDocument/2006/relationships/hyperlink" Target="https://zakon.rada.gov.ua/laws/show/5083-17" TargetMode="External"/><Relationship Id="rId5226" Type="http://schemas.openxmlformats.org/officeDocument/2006/relationships/hyperlink" Target="https://zakon.rada.gov.ua/laws/show/54-19" TargetMode="External"/><Relationship Id="rId5433" Type="http://schemas.openxmlformats.org/officeDocument/2006/relationships/hyperlink" Target="https://zakon.rada.gov.ua/laws/show/4495-17" TargetMode="External"/><Relationship Id="rId5780" Type="http://schemas.openxmlformats.org/officeDocument/2006/relationships/hyperlink" Target="https://zakon.rada.gov.ua/laws/show/4834-17" TargetMode="External"/><Relationship Id="rId1769" Type="http://schemas.openxmlformats.org/officeDocument/2006/relationships/hyperlink" Target="https://zakon.rada.gov.ua/laws/show/2755-17/print" TargetMode="External"/><Relationship Id="rId1976" Type="http://schemas.openxmlformats.org/officeDocument/2006/relationships/hyperlink" Target="https://zakon.rada.gov.ua/laws/show/2755-17/print" TargetMode="External"/><Relationship Id="rId3191" Type="http://schemas.openxmlformats.org/officeDocument/2006/relationships/hyperlink" Target="https://zakon.rada.gov.ua/laws/show/71-19" TargetMode="External"/><Relationship Id="rId4035" Type="http://schemas.openxmlformats.org/officeDocument/2006/relationships/hyperlink" Target="https://zakon.rada.gov.ua/laws/show/z1134-17" TargetMode="External"/><Relationship Id="rId4242" Type="http://schemas.openxmlformats.org/officeDocument/2006/relationships/hyperlink" Target="https://zakon.rada.gov.ua/laws/show/391-20" TargetMode="External"/><Relationship Id="rId5640" Type="http://schemas.openxmlformats.org/officeDocument/2006/relationships/hyperlink" Target="https://zakon.rada.gov.ua/laws/show/2755-17/print" TargetMode="External"/><Relationship Id="rId1629" Type="http://schemas.openxmlformats.org/officeDocument/2006/relationships/hyperlink" Target="https://zakon.rada.gov.ua/laws/show/1797-19" TargetMode="External"/><Relationship Id="rId1836" Type="http://schemas.openxmlformats.org/officeDocument/2006/relationships/hyperlink" Target="https://zakon.rada.gov.ua/laws/show/71-19" TargetMode="External"/><Relationship Id="rId5500" Type="http://schemas.openxmlformats.org/officeDocument/2006/relationships/hyperlink" Target="https://zakon.rada.gov.ua/laws/show/2755-17/print" TargetMode="External"/><Relationship Id="rId1903" Type="http://schemas.openxmlformats.org/officeDocument/2006/relationships/hyperlink" Target="https://zakon.rada.gov.ua/laws/show/657-18" TargetMode="External"/><Relationship Id="rId3051" Type="http://schemas.openxmlformats.org/officeDocument/2006/relationships/hyperlink" Target="https://zakon.rada.gov.ua/laws/show/3609-17" TargetMode="External"/><Relationship Id="rId4102" Type="http://schemas.openxmlformats.org/officeDocument/2006/relationships/hyperlink" Target="https://zakon.rada.gov.ua/laws/show/391-20" TargetMode="External"/><Relationship Id="rId3868" Type="http://schemas.openxmlformats.org/officeDocument/2006/relationships/hyperlink" Target="https://zakon.rada.gov.ua/laws/show/1200-18" TargetMode="External"/><Relationship Id="rId4919" Type="http://schemas.openxmlformats.org/officeDocument/2006/relationships/hyperlink" Target="https://zakon.rada.gov.ua/laws/show/909-19" TargetMode="External"/><Relationship Id="rId6067" Type="http://schemas.openxmlformats.org/officeDocument/2006/relationships/hyperlink" Target="https://zakon.rada.gov.ua/laws/show/1797-19" TargetMode="External"/><Relationship Id="rId6274" Type="http://schemas.openxmlformats.org/officeDocument/2006/relationships/hyperlink" Target="https://zakon.rada.gov.ua/laws/show/2755-17/print" TargetMode="External"/><Relationship Id="rId789" Type="http://schemas.openxmlformats.org/officeDocument/2006/relationships/hyperlink" Target="https://zakon.rada.gov.ua/laws/show/1797-19" TargetMode="External"/><Relationship Id="rId996" Type="http://schemas.openxmlformats.org/officeDocument/2006/relationships/hyperlink" Target="https://zakon.rada.gov.ua/laws/show/2155-19" TargetMode="External"/><Relationship Id="rId2677" Type="http://schemas.openxmlformats.org/officeDocument/2006/relationships/hyperlink" Target="https://zakon.rada.gov.ua/laws/show/3609-17" TargetMode="External"/><Relationship Id="rId2884" Type="http://schemas.openxmlformats.org/officeDocument/2006/relationships/hyperlink" Target="https://zakon.rada.gov.ua/laws/show/5083-17" TargetMode="External"/><Relationship Id="rId3728" Type="http://schemas.openxmlformats.org/officeDocument/2006/relationships/hyperlink" Target="https://zakon.rada.gov.ua/laws/show/71-19" TargetMode="External"/><Relationship Id="rId5083" Type="http://schemas.openxmlformats.org/officeDocument/2006/relationships/hyperlink" Target="https://zakon.rada.gov.ua/laws/show/71-19" TargetMode="External"/><Relationship Id="rId5290" Type="http://schemas.openxmlformats.org/officeDocument/2006/relationships/hyperlink" Target="https://zakon.rada.gov.ua/laws/show/71-19" TargetMode="External"/><Relationship Id="rId6134" Type="http://schemas.openxmlformats.org/officeDocument/2006/relationships/hyperlink" Target="https://zakon.rada.gov.ua/laws/show/2755-17/print" TargetMode="External"/><Relationship Id="rId649" Type="http://schemas.openxmlformats.org/officeDocument/2006/relationships/hyperlink" Target="https://zakon.rada.gov.ua/laws/show/2628-19" TargetMode="External"/><Relationship Id="rId856" Type="http://schemas.openxmlformats.org/officeDocument/2006/relationships/hyperlink" Target="https://zakon.rada.gov.ua/laws/show/2755-17/print" TargetMode="External"/><Relationship Id="rId1279" Type="http://schemas.openxmlformats.org/officeDocument/2006/relationships/hyperlink" Target="https://zakon.rada.gov.ua/laws/show/2755-17/print" TargetMode="External"/><Relationship Id="rId1486" Type="http://schemas.openxmlformats.org/officeDocument/2006/relationships/hyperlink" Target="https://zakon.rada.gov.ua/laws/show/323-20" TargetMode="External"/><Relationship Id="rId2537" Type="http://schemas.openxmlformats.org/officeDocument/2006/relationships/hyperlink" Target="https://zakon.rada.gov.ua/laws/show/2755-17/print" TargetMode="External"/><Relationship Id="rId3935" Type="http://schemas.openxmlformats.org/officeDocument/2006/relationships/hyperlink" Target="https://zakon.rada.gov.ua/laws/show/1797-19" TargetMode="External"/><Relationship Id="rId5150" Type="http://schemas.openxmlformats.org/officeDocument/2006/relationships/hyperlink" Target="https://zakon.rada.gov.ua/laws/show/5412-17" TargetMode="External"/><Relationship Id="rId6201" Type="http://schemas.openxmlformats.org/officeDocument/2006/relationships/hyperlink" Target="https://zakon.rada.gov.ua/laws/show/812-19" TargetMode="External"/><Relationship Id="rId509" Type="http://schemas.openxmlformats.org/officeDocument/2006/relationships/hyperlink" Target="https://zakon.rada.gov.ua/laws/show/71-19" TargetMode="External"/><Relationship Id="rId1139" Type="http://schemas.openxmlformats.org/officeDocument/2006/relationships/hyperlink" Target="https://zakon.rada.gov.ua/laws/show/909-19" TargetMode="External"/><Relationship Id="rId1346" Type="http://schemas.openxmlformats.org/officeDocument/2006/relationships/hyperlink" Target="https://zakon.rada.gov.ua/laws/show/2755-17/print" TargetMode="External"/><Relationship Id="rId1693" Type="http://schemas.openxmlformats.org/officeDocument/2006/relationships/hyperlink" Target="https://zakon.rada.gov.ua/laws/show/1797-19" TargetMode="External"/><Relationship Id="rId2744" Type="http://schemas.openxmlformats.org/officeDocument/2006/relationships/hyperlink" Target="https://zakon.rada.gov.ua/laws/show/71-19" TargetMode="External"/><Relationship Id="rId2951" Type="http://schemas.openxmlformats.org/officeDocument/2006/relationships/hyperlink" Target="https://zakon.rada.gov.ua/laws/show/3609-17" TargetMode="External"/><Relationship Id="rId5010" Type="http://schemas.openxmlformats.org/officeDocument/2006/relationships/hyperlink" Target="https://zakon.rada.gov.ua/laws/show/5503-17" TargetMode="External"/><Relationship Id="rId716" Type="http://schemas.openxmlformats.org/officeDocument/2006/relationships/hyperlink" Target="https://zakon.rada.gov.ua/laws/show/2628-19" TargetMode="External"/><Relationship Id="rId923" Type="http://schemas.openxmlformats.org/officeDocument/2006/relationships/hyperlink" Target="https://zakon.rada.gov.ua/laws/show/2755-17/print" TargetMode="External"/><Relationship Id="rId1553" Type="http://schemas.openxmlformats.org/officeDocument/2006/relationships/hyperlink" Target="https://zakon.rada.gov.ua/laws/show/404-18" TargetMode="External"/><Relationship Id="rId1760" Type="http://schemas.openxmlformats.org/officeDocument/2006/relationships/hyperlink" Target="https://zakon.rada.gov.ua/laws/show/1797-19" TargetMode="External"/><Relationship Id="rId2604" Type="http://schemas.openxmlformats.org/officeDocument/2006/relationships/hyperlink" Target="https://zakon.rada.gov.ua/laws/show/71-19" TargetMode="External"/><Relationship Id="rId2811" Type="http://schemas.openxmlformats.org/officeDocument/2006/relationships/hyperlink" Target="https://zakon.rada.gov.ua/laws/show/996_729" TargetMode="External"/><Relationship Id="rId5967" Type="http://schemas.openxmlformats.org/officeDocument/2006/relationships/hyperlink" Target="https://zakon.rada.gov.ua/laws/show/71-19" TargetMode="External"/><Relationship Id="rId52" Type="http://schemas.openxmlformats.org/officeDocument/2006/relationships/hyperlink" Target="https://zakon.rada.gov.ua/laws/show/427-18" TargetMode="External"/><Relationship Id="rId1206" Type="http://schemas.openxmlformats.org/officeDocument/2006/relationships/hyperlink" Target="https://zakon.rada.gov.ua/laws/show/5083-17" TargetMode="External"/><Relationship Id="rId1413" Type="http://schemas.openxmlformats.org/officeDocument/2006/relationships/hyperlink" Target="https://zakon.rada.gov.ua/laws/show/344-19" TargetMode="External"/><Relationship Id="rId1620" Type="http://schemas.openxmlformats.org/officeDocument/2006/relationships/hyperlink" Target="https://zakon.rada.gov.ua/laws/show/2755-17/print" TargetMode="External"/><Relationship Id="rId4569" Type="http://schemas.openxmlformats.org/officeDocument/2006/relationships/hyperlink" Target="https://zakon.rada.gov.ua/laws/show/1166-18" TargetMode="External"/><Relationship Id="rId4776" Type="http://schemas.openxmlformats.org/officeDocument/2006/relationships/hyperlink" Target="https://zakon.rada.gov.ua/laws/show/1797-19" TargetMode="External"/><Relationship Id="rId4983" Type="http://schemas.openxmlformats.org/officeDocument/2006/relationships/hyperlink" Target="https://zakon.rada.gov.ua/laws/show/1797-19" TargetMode="External"/><Relationship Id="rId5827" Type="http://schemas.openxmlformats.org/officeDocument/2006/relationships/hyperlink" Target="https://zakon.rada.gov.ua/laws/show/71-19" TargetMode="External"/><Relationship Id="rId3378" Type="http://schemas.openxmlformats.org/officeDocument/2006/relationships/hyperlink" Target="https://zakon.rada.gov.ua/laws/show/2755-17/print" TargetMode="External"/><Relationship Id="rId3585" Type="http://schemas.openxmlformats.org/officeDocument/2006/relationships/hyperlink" Target="https://zakon.rada.gov.ua/laws/show/3609-17" TargetMode="External"/><Relationship Id="rId3792" Type="http://schemas.openxmlformats.org/officeDocument/2006/relationships/hyperlink" Target="https://zakon.rada.gov.ua/laws/show/5503-17" TargetMode="External"/><Relationship Id="rId4429" Type="http://schemas.openxmlformats.org/officeDocument/2006/relationships/hyperlink" Target="https://zakon.rada.gov.ua/laws/show/909-19" TargetMode="External"/><Relationship Id="rId4636" Type="http://schemas.openxmlformats.org/officeDocument/2006/relationships/hyperlink" Target="https://zakon.rada.gov.ua/laws/show/2755-17/print" TargetMode="External"/><Relationship Id="rId4843" Type="http://schemas.openxmlformats.org/officeDocument/2006/relationships/hyperlink" Target="https://zakon.rada.gov.ua/laws/show/2755-17/print" TargetMode="External"/><Relationship Id="rId299" Type="http://schemas.openxmlformats.org/officeDocument/2006/relationships/hyperlink" Target="https://zakon.rada.gov.ua/laws/show/422-18" TargetMode="External"/><Relationship Id="rId2187" Type="http://schemas.openxmlformats.org/officeDocument/2006/relationships/hyperlink" Target="https://zakon.rada.gov.ua/laws/show/1797-19" TargetMode="External"/><Relationship Id="rId2394" Type="http://schemas.openxmlformats.org/officeDocument/2006/relationships/hyperlink" Target="https://zakon.rada.gov.ua/laws/show/4238-17" TargetMode="External"/><Relationship Id="rId3238" Type="http://schemas.openxmlformats.org/officeDocument/2006/relationships/hyperlink" Target="https://zakon.rada.gov.ua/laws/show/71-19" TargetMode="External"/><Relationship Id="rId3445" Type="http://schemas.openxmlformats.org/officeDocument/2006/relationships/hyperlink" Target="https://zakon.rada.gov.ua/laws/show/4834-17" TargetMode="External"/><Relationship Id="rId3652" Type="http://schemas.openxmlformats.org/officeDocument/2006/relationships/hyperlink" Target="https://zakon.rada.gov.ua/laws/show/1797-19" TargetMode="External"/><Relationship Id="rId4703" Type="http://schemas.openxmlformats.org/officeDocument/2006/relationships/hyperlink" Target="https://zakon.rada.gov.ua/laws/show/71-19" TargetMode="External"/><Relationship Id="rId159" Type="http://schemas.openxmlformats.org/officeDocument/2006/relationships/hyperlink" Target="https://zakon.rada.gov.ua/laws/show/1200-18" TargetMode="External"/><Relationship Id="rId366" Type="http://schemas.openxmlformats.org/officeDocument/2006/relationships/hyperlink" Target="https://zakon.rada.gov.ua/laws/show/4915-17" TargetMode="External"/><Relationship Id="rId573" Type="http://schemas.openxmlformats.org/officeDocument/2006/relationships/hyperlink" Target="https://zakon.rada.gov.ua/laws/show/2755-17/print" TargetMode="External"/><Relationship Id="rId780" Type="http://schemas.openxmlformats.org/officeDocument/2006/relationships/hyperlink" Target="https://zakon.rada.gov.ua/laws/show/2628-19" TargetMode="External"/><Relationship Id="rId2047" Type="http://schemas.openxmlformats.org/officeDocument/2006/relationships/hyperlink" Target="https://zakon.rada.gov.ua/laws/show/1797-19" TargetMode="External"/><Relationship Id="rId2254" Type="http://schemas.openxmlformats.org/officeDocument/2006/relationships/hyperlink" Target="https://zakon.rada.gov.ua/laws/show/1797-19" TargetMode="External"/><Relationship Id="rId2461" Type="http://schemas.openxmlformats.org/officeDocument/2006/relationships/hyperlink" Target="https://zakon.rada.gov.ua/laws/show/1166-18" TargetMode="External"/><Relationship Id="rId3305" Type="http://schemas.openxmlformats.org/officeDocument/2006/relationships/hyperlink" Target="https://zakon.rada.gov.ua/laws/show/1797-19" TargetMode="External"/><Relationship Id="rId3512" Type="http://schemas.openxmlformats.org/officeDocument/2006/relationships/hyperlink" Target="https://zakon.rada.gov.ua/laws/show/71-19" TargetMode="External"/><Relationship Id="rId4910" Type="http://schemas.openxmlformats.org/officeDocument/2006/relationships/hyperlink" Target="https://zakon.rada.gov.ua/laws/show/2245-19" TargetMode="External"/><Relationship Id="rId226" Type="http://schemas.openxmlformats.org/officeDocument/2006/relationships/hyperlink" Target="https://zakon.rada.gov.ua/laws/show/2628-19" TargetMode="External"/><Relationship Id="rId433" Type="http://schemas.openxmlformats.org/officeDocument/2006/relationships/hyperlink" Target="https://zakon.rada.gov.ua/laws/show/679-14" TargetMode="External"/><Relationship Id="rId1063" Type="http://schemas.openxmlformats.org/officeDocument/2006/relationships/hyperlink" Target="https://zakon.rada.gov.ua/laws/show/2245-19" TargetMode="External"/><Relationship Id="rId1270" Type="http://schemas.openxmlformats.org/officeDocument/2006/relationships/hyperlink" Target="https://zakon.rada.gov.ua/laws/show/2755-17/print" TargetMode="External"/><Relationship Id="rId2114" Type="http://schemas.openxmlformats.org/officeDocument/2006/relationships/hyperlink" Target="https://zakon.rada.gov.ua/laws/show/2755-17/print" TargetMode="External"/><Relationship Id="rId5477" Type="http://schemas.openxmlformats.org/officeDocument/2006/relationships/hyperlink" Target="https://zakon.rada.gov.ua/laws/show/1658-18" TargetMode="External"/><Relationship Id="rId640" Type="http://schemas.openxmlformats.org/officeDocument/2006/relationships/hyperlink" Target="https://zakon.rada.gov.ua/laws/show/2755-17/print" TargetMode="External"/><Relationship Id="rId2321" Type="http://schemas.openxmlformats.org/officeDocument/2006/relationships/hyperlink" Target="https://zakon.rada.gov.ua/laws/show/5083-17" TargetMode="External"/><Relationship Id="rId4079" Type="http://schemas.openxmlformats.org/officeDocument/2006/relationships/hyperlink" Target="https://zakon.rada.gov.ua/laws/show/584%D0%B0-18" TargetMode="External"/><Relationship Id="rId4286" Type="http://schemas.openxmlformats.org/officeDocument/2006/relationships/hyperlink" Target="https://zakon.rada.gov.ua/laws/show/584%D0%B0-18" TargetMode="External"/><Relationship Id="rId5684" Type="http://schemas.openxmlformats.org/officeDocument/2006/relationships/hyperlink" Target="https://zakon.rada.gov.ua/laws/show/584%D0%B1-18" TargetMode="External"/><Relationship Id="rId5891" Type="http://schemas.openxmlformats.org/officeDocument/2006/relationships/hyperlink" Target="https://zakon.rada.gov.ua/laws/show/vb457609-10" TargetMode="External"/><Relationship Id="rId500" Type="http://schemas.openxmlformats.org/officeDocument/2006/relationships/hyperlink" Target="https://zakon.rada.gov.ua/laws/show/2755-17/print" TargetMode="External"/><Relationship Id="rId1130" Type="http://schemas.openxmlformats.org/officeDocument/2006/relationships/hyperlink" Target="https://zakon.rada.gov.ua/laws/show/1797-19" TargetMode="External"/><Relationship Id="rId4493" Type="http://schemas.openxmlformats.org/officeDocument/2006/relationships/hyperlink" Target="https://zakon.rada.gov.ua/laws/show/2755-17/print" TargetMode="External"/><Relationship Id="rId5337" Type="http://schemas.openxmlformats.org/officeDocument/2006/relationships/hyperlink" Target="https://zakon.rada.gov.ua/laws/show/1259-2010-%D0%BF" TargetMode="External"/><Relationship Id="rId5544" Type="http://schemas.openxmlformats.org/officeDocument/2006/relationships/hyperlink" Target="https://zakon.rada.gov.ua/laws/show/909-19" TargetMode="External"/><Relationship Id="rId5751" Type="http://schemas.openxmlformats.org/officeDocument/2006/relationships/hyperlink" Target="https://zakon.rada.gov.ua/laws/show/4834-17" TargetMode="External"/><Relationship Id="rId1947" Type="http://schemas.openxmlformats.org/officeDocument/2006/relationships/hyperlink" Target="https://zakon.rada.gov.ua/laws/show/2755-17/print" TargetMode="External"/><Relationship Id="rId3095" Type="http://schemas.openxmlformats.org/officeDocument/2006/relationships/hyperlink" Target="https://zakon.rada.gov.ua/laws/show/2628-19" TargetMode="External"/><Relationship Id="rId4146" Type="http://schemas.openxmlformats.org/officeDocument/2006/relationships/hyperlink" Target="https://zakon.rada.gov.ua/laws/show/909-19" TargetMode="External"/><Relationship Id="rId4353" Type="http://schemas.openxmlformats.org/officeDocument/2006/relationships/hyperlink" Target="https://zakon.rada.gov.ua/laws/show/1191-18" TargetMode="External"/><Relationship Id="rId4560" Type="http://schemas.openxmlformats.org/officeDocument/2006/relationships/hyperlink" Target="https://zakon.rada.gov.ua/laws/show/z0883-15" TargetMode="External"/><Relationship Id="rId5404" Type="http://schemas.openxmlformats.org/officeDocument/2006/relationships/hyperlink" Target="https://zakon.rada.gov.ua/laws/show/2755-17/print" TargetMode="External"/><Relationship Id="rId5611" Type="http://schemas.openxmlformats.org/officeDocument/2006/relationships/hyperlink" Target="https://zakon.rada.gov.ua/laws/show/1877-15" TargetMode="External"/><Relationship Id="rId1807" Type="http://schemas.openxmlformats.org/officeDocument/2006/relationships/hyperlink" Target="https://zakon.rada.gov.ua/laws/show/4834-17" TargetMode="External"/><Relationship Id="rId3162" Type="http://schemas.openxmlformats.org/officeDocument/2006/relationships/hyperlink" Target="https://zakon.rada.gov.ua/laws/show/643-19" TargetMode="External"/><Relationship Id="rId4006" Type="http://schemas.openxmlformats.org/officeDocument/2006/relationships/hyperlink" Target="https://zakon.rada.gov.ua/laws/show/2628-19" TargetMode="External"/><Relationship Id="rId4213" Type="http://schemas.openxmlformats.org/officeDocument/2006/relationships/hyperlink" Target="https://zakon.rada.gov.ua/laws/show/391-20" TargetMode="External"/><Relationship Id="rId4420" Type="http://schemas.openxmlformats.org/officeDocument/2006/relationships/hyperlink" Target="https://zakon.rada.gov.ua/laws/show/2245-19" TargetMode="External"/><Relationship Id="rId290" Type="http://schemas.openxmlformats.org/officeDocument/2006/relationships/hyperlink" Target="https://zakon.rada.gov.ua/laws/show/71-19" TargetMode="External"/><Relationship Id="rId3022" Type="http://schemas.openxmlformats.org/officeDocument/2006/relationships/hyperlink" Target="https://zakon.rada.gov.ua/laws/show/2755-17/print" TargetMode="External"/><Relationship Id="rId6178" Type="http://schemas.openxmlformats.org/officeDocument/2006/relationships/hyperlink" Target="https://zakon.rada.gov.ua/laws/show/72-19" TargetMode="External"/><Relationship Id="rId150" Type="http://schemas.openxmlformats.org/officeDocument/2006/relationships/hyperlink" Target="https://zakon.rada.gov.ua/laws/show/1797-19" TargetMode="External"/><Relationship Id="rId3979" Type="http://schemas.openxmlformats.org/officeDocument/2006/relationships/hyperlink" Target="https://zakon.rada.gov.ua/laws/show/2628-19" TargetMode="External"/><Relationship Id="rId5194" Type="http://schemas.openxmlformats.org/officeDocument/2006/relationships/hyperlink" Target="https://zakon.rada.gov.ua/laws/show/5412-17" TargetMode="External"/><Relationship Id="rId6038" Type="http://schemas.openxmlformats.org/officeDocument/2006/relationships/hyperlink" Target="https://zakon.rada.gov.ua/laws/show/2755-17/print" TargetMode="External"/><Relationship Id="rId6245" Type="http://schemas.openxmlformats.org/officeDocument/2006/relationships/hyperlink" Target="https://zakon.rada.gov.ua/laws/show/2755-17/print" TargetMode="External"/><Relationship Id="rId2788" Type="http://schemas.openxmlformats.org/officeDocument/2006/relationships/hyperlink" Target="https://zakon.rada.gov.ua/laws/show/z1298-15" TargetMode="External"/><Relationship Id="rId2995" Type="http://schemas.openxmlformats.org/officeDocument/2006/relationships/hyperlink" Target="https://zakon.rada.gov.ua/laws/show/2755-17/print" TargetMode="External"/><Relationship Id="rId3839" Type="http://schemas.openxmlformats.org/officeDocument/2006/relationships/hyperlink" Target="https://zakon.rada.gov.ua/laws/show/71-19" TargetMode="External"/><Relationship Id="rId5054" Type="http://schemas.openxmlformats.org/officeDocument/2006/relationships/hyperlink" Target="https://zakon.rada.gov.ua/laws/show/2497-19" TargetMode="External"/><Relationship Id="rId6105" Type="http://schemas.openxmlformats.org/officeDocument/2006/relationships/hyperlink" Target="https://zakon.rada.gov.ua/laws/show/71-19" TargetMode="External"/><Relationship Id="rId967" Type="http://schemas.openxmlformats.org/officeDocument/2006/relationships/hyperlink" Target="https://zakon.rada.gov.ua/laws/show/2245-19" TargetMode="External"/><Relationship Id="rId1597" Type="http://schemas.openxmlformats.org/officeDocument/2006/relationships/hyperlink" Target="https://zakon.rada.gov.ua/laws/show/2755-17/print" TargetMode="External"/><Relationship Id="rId2648" Type="http://schemas.openxmlformats.org/officeDocument/2006/relationships/hyperlink" Target="https://zakon.rada.gov.ua/laws/show/2755-17/print" TargetMode="External"/><Relationship Id="rId2855" Type="http://schemas.openxmlformats.org/officeDocument/2006/relationships/hyperlink" Target="https://zakon.rada.gov.ua/laws/show/3609-17" TargetMode="External"/><Relationship Id="rId3906" Type="http://schemas.openxmlformats.org/officeDocument/2006/relationships/hyperlink" Target="https://zakon.rada.gov.ua/laws/show/2245-19" TargetMode="External"/><Relationship Id="rId5261" Type="http://schemas.openxmlformats.org/officeDocument/2006/relationships/hyperlink" Target="https://zakon.rada.gov.ua/laws/show/3206-17" TargetMode="External"/><Relationship Id="rId6312" Type="http://schemas.openxmlformats.org/officeDocument/2006/relationships/theme" Target="theme/theme1.xml"/><Relationship Id="rId96" Type="http://schemas.openxmlformats.org/officeDocument/2006/relationships/hyperlink" Target="https://zakon.rada.gov.ua/laws/show/557-19" TargetMode="External"/><Relationship Id="rId827" Type="http://schemas.openxmlformats.org/officeDocument/2006/relationships/hyperlink" Target="https://zakon.rada.gov.ua/laws/show/1797-19" TargetMode="External"/><Relationship Id="rId1457" Type="http://schemas.openxmlformats.org/officeDocument/2006/relationships/hyperlink" Target="https://zakon.rada.gov.ua/laws/show/2755-17/print" TargetMode="External"/><Relationship Id="rId1664" Type="http://schemas.openxmlformats.org/officeDocument/2006/relationships/hyperlink" Target="https://zakon.rada.gov.ua/laws/show/3609-17" TargetMode="External"/><Relationship Id="rId1871" Type="http://schemas.openxmlformats.org/officeDocument/2006/relationships/hyperlink" Target="https://zakon.rada.gov.ua/laws/show/2755-17/print" TargetMode="External"/><Relationship Id="rId2508" Type="http://schemas.openxmlformats.org/officeDocument/2006/relationships/hyperlink" Target="https://zakon.rada.gov.ua/laws/show/3609-17" TargetMode="External"/><Relationship Id="rId2715" Type="http://schemas.openxmlformats.org/officeDocument/2006/relationships/hyperlink" Target="https://zakon.rada.gov.ua/laws/show/1910-19" TargetMode="External"/><Relationship Id="rId2922" Type="http://schemas.openxmlformats.org/officeDocument/2006/relationships/hyperlink" Target="https://zakon.rada.gov.ua/laws/show/1797-19" TargetMode="External"/><Relationship Id="rId4070" Type="http://schemas.openxmlformats.org/officeDocument/2006/relationships/hyperlink" Target="https://zakon.rada.gov.ua/laws/show/584%D0%B0-18" TargetMode="External"/><Relationship Id="rId5121" Type="http://schemas.openxmlformats.org/officeDocument/2006/relationships/hyperlink" Target="https://zakon.rada.gov.ua/laws/show/71-19" TargetMode="External"/><Relationship Id="rId1317" Type="http://schemas.openxmlformats.org/officeDocument/2006/relationships/hyperlink" Target="https://zakon.rada.gov.ua/laws/show/1797-19" TargetMode="External"/><Relationship Id="rId1524" Type="http://schemas.openxmlformats.org/officeDocument/2006/relationships/hyperlink" Target="https://zakon.rada.gov.ua/laws/show/5503-17" TargetMode="External"/><Relationship Id="rId1731" Type="http://schemas.openxmlformats.org/officeDocument/2006/relationships/hyperlink" Target="https://zakon.rada.gov.ua/laws/show/1797-19" TargetMode="External"/><Relationship Id="rId4887" Type="http://schemas.openxmlformats.org/officeDocument/2006/relationships/hyperlink" Target="https://zakon.rada.gov.ua/laws/show/71-19" TargetMode="External"/><Relationship Id="rId5938" Type="http://schemas.openxmlformats.org/officeDocument/2006/relationships/hyperlink" Target="https://zakon.rada.gov.ua/laws/show/1791-19" TargetMode="External"/><Relationship Id="rId23" Type="http://schemas.openxmlformats.org/officeDocument/2006/relationships/hyperlink" Target="https://zakon.rada.gov.ua/laws/show/4279-17" TargetMode="External"/><Relationship Id="rId3489" Type="http://schemas.openxmlformats.org/officeDocument/2006/relationships/hyperlink" Target="https://zakon.rada.gov.ua/laws/show/2755-17/print" TargetMode="External"/><Relationship Id="rId3696" Type="http://schemas.openxmlformats.org/officeDocument/2006/relationships/hyperlink" Target="https://zakon.rada.gov.ua/laws/show/2755-17/print" TargetMode="External"/><Relationship Id="rId4747" Type="http://schemas.openxmlformats.org/officeDocument/2006/relationships/hyperlink" Target="https://zakon.rada.gov.ua/laws/show/875-12" TargetMode="External"/><Relationship Id="rId2298" Type="http://schemas.openxmlformats.org/officeDocument/2006/relationships/hyperlink" Target="https://zakon.rada.gov.ua/laws/show/2755-17/print" TargetMode="External"/><Relationship Id="rId3349" Type="http://schemas.openxmlformats.org/officeDocument/2006/relationships/hyperlink" Target="https://zakon.rada.gov.ua/laws/show/2755-17/print" TargetMode="External"/><Relationship Id="rId3556" Type="http://schemas.openxmlformats.org/officeDocument/2006/relationships/hyperlink" Target="https://zakon.rada.gov.ua/laws/show/2755-17/print" TargetMode="External"/><Relationship Id="rId4954" Type="http://schemas.openxmlformats.org/officeDocument/2006/relationships/hyperlink" Target="https://zakon.rada.gov.ua/laws/show/2755-17/print" TargetMode="External"/><Relationship Id="rId477" Type="http://schemas.openxmlformats.org/officeDocument/2006/relationships/hyperlink" Target="https://zakon.rada.gov.ua/laws/show/657-18" TargetMode="External"/><Relationship Id="rId684" Type="http://schemas.openxmlformats.org/officeDocument/2006/relationships/hyperlink" Target="https://zakon.rada.gov.ua/laws/show/2755-17/print" TargetMode="External"/><Relationship Id="rId2158" Type="http://schemas.openxmlformats.org/officeDocument/2006/relationships/hyperlink" Target="https://zakon.rada.gov.ua/laws/show/1797-19" TargetMode="External"/><Relationship Id="rId2365" Type="http://schemas.openxmlformats.org/officeDocument/2006/relationships/hyperlink" Target="https://zakon.rada.gov.ua/laws/show/4834-17" TargetMode="External"/><Relationship Id="rId3209" Type="http://schemas.openxmlformats.org/officeDocument/2006/relationships/hyperlink" Target="https://zakon.rada.gov.ua/laws/show/z0137-16" TargetMode="External"/><Relationship Id="rId3763" Type="http://schemas.openxmlformats.org/officeDocument/2006/relationships/hyperlink" Target="https://zakon.rada.gov.ua/laws/show/1166-18" TargetMode="External"/><Relationship Id="rId3970" Type="http://schemas.openxmlformats.org/officeDocument/2006/relationships/hyperlink" Target="https://zakon.rada.gov.ua/laws/show/404-18" TargetMode="External"/><Relationship Id="rId4607" Type="http://schemas.openxmlformats.org/officeDocument/2006/relationships/hyperlink" Target="https://zakon.rada.gov.ua/laws/show/1797-19" TargetMode="External"/><Relationship Id="rId4814" Type="http://schemas.openxmlformats.org/officeDocument/2006/relationships/hyperlink" Target="https://zakon.rada.gov.ua/laws/show/85/96-%D0%B2%D1%80" TargetMode="External"/><Relationship Id="rId337" Type="http://schemas.openxmlformats.org/officeDocument/2006/relationships/hyperlink" Target="https://zakon.rada.gov.ua/laws/show/1690-18" TargetMode="External"/><Relationship Id="rId891" Type="http://schemas.openxmlformats.org/officeDocument/2006/relationships/hyperlink" Target="https://zakon.rada.gov.ua/laws/show/1797-19" TargetMode="External"/><Relationship Id="rId2018" Type="http://schemas.openxmlformats.org/officeDocument/2006/relationships/hyperlink" Target="https://zakon.rada.gov.ua/laws/show/391-20" TargetMode="External"/><Relationship Id="rId2572" Type="http://schemas.openxmlformats.org/officeDocument/2006/relationships/hyperlink" Target="https://zakon.rada.gov.ua/laws/show/5519-17" TargetMode="External"/><Relationship Id="rId3416" Type="http://schemas.openxmlformats.org/officeDocument/2006/relationships/hyperlink" Target="https://zakon.rada.gov.ua/laws/show/z1235-14" TargetMode="External"/><Relationship Id="rId3623" Type="http://schemas.openxmlformats.org/officeDocument/2006/relationships/hyperlink" Target="https://zakon.rada.gov.ua/laws/show/2755-17/print" TargetMode="External"/><Relationship Id="rId3830" Type="http://schemas.openxmlformats.org/officeDocument/2006/relationships/hyperlink" Target="https://zakon.rada.gov.ua/laws/show/3609-17" TargetMode="External"/><Relationship Id="rId544" Type="http://schemas.openxmlformats.org/officeDocument/2006/relationships/hyperlink" Target="https://zakon.rada.gov.ua/laws/show/2755-17/print" TargetMode="External"/><Relationship Id="rId751" Type="http://schemas.openxmlformats.org/officeDocument/2006/relationships/hyperlink" Target="https://zakon.rada.gov.ua/laws/show/609-19" TargetMode="External"/><Relationship Id="rId1174" Type="http://schemas.openxmlformats.org/officeDocument/2006/relationships/hyperlink" Target="https://zakon.rada.gov.ua/laws/show/2755-17/print" TargetMode="External"/><Relationship Id="rId1381" Type="http://schemas.openxmlformats.org/officeDocument/2006/relationships/hyperlink" Target="https://zakon.rada.gov.ua/laws/show/4834-17" TargetMode="External"/><Relationship Id="rId2225" Type="http://schemas.openxmlformats.org/officeDocument/2006/relationships/hyperlink" Target="https://zakon.rada.gov.ua/laws/show/1797-19" TargetMode="External"/><Relationship Id="rId2432" Type="http://schemas.openxmlformats.org/officeDocument/2006/relationships/hyperlink" Target="https://zakon.rada.gov.ua/laws/show/5073-17" TargetMode="External"/><Relationship Id="rId5588" Type="http://schemas.openxmlformats.org/officeDocument/2006/relationships/hyperlink" Target="https://zakon.rada.gov.ua/laws/show/1797-19" TargetMode="External"/><Relationship Id="rId5795" Type="http://schemas.openxmlformats.org/officeDocument/2006/relationships/hyperlink" Target="https://zakon.rada.gov.ua/laws/show/71-19" TargetMode="External"/><Relationship Id="rId404" Type="http://schemas.openxmlformats.org/officeDocument/2006/relationships/hyperlink" Target="https://zakon.rada.gov.ua/laws/show/2755-17/print" TargetMode="External"/><Relationship Id="rId611" Type="http://schemas.openxmlformats.org/officeDocument/2006/relationships/hyperlink" Target="https://zakon.rada.gov.ua/laws/show/71-19" TargetMode="External"/><Relationship Id="rId1034" Type="http://schemas.openxmlformats.org/officeDocument/2006/relationships/hyperlink" Target="https://zakon.rada.gov.ua/laws/show/1797-19" TargetMode="External"/><Relationship Id="rId1241" Type="http://schemas.openxmlformats.org/officeDocument/2006/relationships/hyperlink" Target="https://zakon.rada.gov.ua/laws/show/4652-17" TargetMode="External"/><Relationship Id="rId4397" Type="http://schemas.openxmlformats.org/officeDocument/2006/relationships/hyperlink" Target="https://zakon.rada.gov.ua/laws/show/1791-19" TargetMode="External"/><Relationship Id="rId5448" Type="http://schemas.openxmlformats.org/officeDocument/2006/relationships/hyperlink" Target="https://zakon.rada.gov.ua/laws/show/2463-19" TargetMode="External"/><Relationship Id="rId5655" Type="http://schemas.openxmlformats.org/officeDocument/2006/relationships/hyperlink" Target="https://zakon.rada.gov.ua/laws/show/2245-19" TargetMode="External"/><Relationship Id="rId5862" Type="http://schemas.openxmlformats.org/officeDocument/2006/relationships/hyperlink" Target="https://zakon.rada.gov.ua/laws/show/2245-19" TargetMode="External"/><Relationship Id="rId1101" Type="http://schemas.openxmlformats.org/officeDocument/2006/relationships/hyperlink" Target="https://zakon.rada.gov.ua/laws/show/1797-19" TargetMode="External"/><Relationship Id="rId4257" Type="http://schemas.openxmlformats.org/officeDocument/2006/relationships/hyperlink" Target="https://zakon.rada.gov.ua/laws/show/391-20" TargetMode="External"/><Relationship Id="rId4464" Type="http://schemas.openxmlformats.org/officeDocument/2006/relationships/hyperlink" Target="https://zakon.rada.gov.ua/laws/show/5083-17" TargetMode="External"/><Relationship Id="rId4671" Type="http://schemas.openxmlformats.org/officeDocument/2006/relationships/hyperlink" Target="https://zakon.rada.gov.ua/laws/show/4014-17" TargetMode="External"/><Relationship Id="rId5308" Type="http://schemas.openxmlformats.org/officeDocument/2006/relationships/hyperlink" Target="https://zakon.rada.gov.ua/laws/show/2755-17/print" TargetMode="External"/><Relationship Id="rId5515" Type="http://schemas.openxmlformats.org/officeDocument/2006/relationships/hyperlink" Target="https://zakon.rada.gov.ua/laws/show/2755-17/print" TargetMode="External"/><Relationship Id="rId5722" Type="http://schemas.openxmlformats.org/officeDocument/2006/relationships/hyperlink" Target="https://zakon.rada.gov.ua/laws/show/5205-17" TargetMode="External"/><Relationship Id="rId3066" Type="http://schemas.openxmlformats.org/officeDocument/2006/relationships/hyperlink" Target="https://zakon.rada.gov.ua/laws/show/4915-17" TargetMode="External"/><Relationship Id="rId3273" Type="http://schemas.openxmlformats.org/officeDocument/2006/relationships/hyperlink" Target="https://zakon.rada.gov.ua/laws/show/2725-19" TargetMode="External"/><Relationship Id="rId3480" Type="http://schemas.openxmlformats.org/officeDocument/2006/relationships/hyperlink" Target="https://zakon.rada.gov.ua/laws/show/z0137-16" TargetMode="External"/><Relationship Id="rId4117" Type="http://schemas.openxmlformats.org/officeDocument/2006/relationships/hyperlink" Target="https://zakon.rada.gov.ua/laws/show/584%D0%B0-18" TargetMode="External"/><Relationship Id="rId4324" Type="http://schemas.openxmlformats.org/officeDocument/2006/relationships/hyperlink" Target="https://zakon.rada.gov.ua/laws/show/2628-19" TargetMode="External"/><Relationship Id="rId4531" Type="http://schemas.openxmlformats.org/officeDocument/2006/relationships/hyperlink" Target="https://zakon.rada.gov.ua/laws/show/2245-19" TargetMode="External"/><Relationship Id="rId194" Type="http://schemas.openxmlformats.org/officeDocument/2006/relationships/hyperlink" Target="https://zakon.rada.gov.ua/laws/show/1797-19" TargetMode="External"/><Relationship Id="rId1918" Type="http://schemas.openxmlformats.org/officeDocument/2006/relationships/hyperlink" Target="https://zakon.rada.gov.ua/laws/show/5519-17" TargetMode="External"/><Relationship Id="rId2082" Type="http://schemas.openxmlformats.org/officeDocument/2006/relationships/hyperlink" Target="https://zakon.rada.gov.ua/laws/show/1797-19" TargetMode="External"/><Relationship Id="rId3133" Type="http://schemas.openxmlformats.org/officeDocument/2006/relationships/hyperlink" Target="https://zakon.rada.gov.ua/laws/show/4014-17" TargetMode="External"/><Relationship Id="rId6289" Type="http://schemas.openxmlformats.org/officeDocument/2006/relationships/hyperlink" Target="https://zakon.rada.gov.ua/laws/show/2755-17/print" TargetMode="External"/><Relationship Id="rId261" Type="http://schemas.openxmlformats.org/officeDocument/2006/relationships/hyperlink" Target="https://zakon.rada.gov.ua/laws/show/4834-17" TargetMode="External"/><Relationship Id="rId3340" Type="http://schemas.openxmlformats.org/officeDocument/2006/relationships/hyperlink" Target="https://zakon.rada.gov.ua/laws/show/909-19" TargetMode="External"/><Relationship Id="rId5098" Type="http://schemas.openxmlformats.org/officeDocument/2006/relationships/hyperlink" Target="https://zakon.rada.gov.ua/laws/show/71-19" TargetMode="External"/><Relationship Id="rId6149" Type="http://schemas.openxmlformats.org/officeDocument/2006/relationships/hyperlink" Target="https://zakon.rada.gov.ua/laws/show/2755-17/print" TargetMode="External"/><Relationship Id="rId2899" Type="http://schemas.openxmlformats.org/officeDocument/2006/relationships/hyperlink" Target="https://zakon.rada.gov.ua/laws/show/2755-17/print" TargetMode="External"/><Relationship Id="rId3200" Type="http://schemas.openxmlformats.org/officeDocument/2006/relationships/hyperlink" Target="https://zakon.rada.gov.ua/laws/show/71-19" TargetMode="External"/><Relationship Id="rId121" Type="http://schemas.openxmlformats.org/officeDocument/2006/relationships/hyperlink" Target="https://zakon.rada.gov.ua/laws/show/2176-19" TargetMode="External"/><Relationship Id="rId2759" Type="http://schemas.openxmlformats.org/officeDocument/2006/relationships/hyperlink" Target="https://zakon.rada.gov.ua/laws/show/1797-19" TargetMode="External"/><Relationship Id="rId2966" Type="http://schemas.openxmlformats.org/officeDocument/2006/relationships/hyperlink" Target="https://zakon.rada.gov.ua/laws/show/1084-19" TargetMode="External"/><Relationship Id="rId5165" Type="http://schemas.openxmlformats.org/officeDocument/2006/relationships/hyperlink" Target="https://zakon.rada.gov.ua/laws/show/5412-17" TargetMode="External"/><Relationship Id="rId5372" Type="http://schemas.openxmlformats.org/officeDocument/2006/relationships/hyperlink" Target="https://zakon.rada.gov.ua/laws/show/2755-17/print" TargetMode="External"/><Relationship Id="rId6009" Type="http://schemas.openxmlformats.org/officeDocument/2006/relationships/hyperlink" Target="https://zakon.rada.gov.ua/laws/show/2755-17/print" TargetMode="External"/><Relationship Id="rId6216" Type="http://schemas.openxmlformats.org/officeDocument/2006/relationships/hyperlink" Target="https://zakon.rada.gov.ua/laws/show/2755-17/print" TargetMode="External"/><Relationship Id="rId938" Type="http://schemas.openxmlformats.org/officeDocument/2006/relationships/hyperlink" Target="https://zakon.rada.gov.ua/laws/show/1797-19" TargetMode="External"/><Relationship Id="rId1568" Type="http://schemas.openxmlformats.org/officeDocument/2006/relationships/hyperlink" Target="https://zakon.rada.gov.ua/laws/show/657-18" TargetMode="External"/><Relationship Id="rId1775" Type="http://schemas.openxmlformats.org/officeDocument/2006/relationships/hyperlink" Target="https://zakon.rada.gov.ua/laws/show/2755-17/print" TargetMode="External"/><Relationship Id="rId2619" Type="http://schemas.openxmlformats.org/officeDocument/2006/relationships/hyperlink" Target="https://zakon.rada.gov.ua/laws/show/1797-19" TargetMode="External"/><Relationship Id="rId2826" Type="http://schemas.openxmlformats.org/officeDocument/2006/relationships/hyperlink" Target="https://zakon.rada.gov.ua/laws/show/2755-17/print" TargetMode="External"/><Relationship Id="rId4181" Type="http://schemas.openxmlformats.org/officeDocument/2006/relationships/hyperlink" Target="https://zakon.rada.gov.ua/laws/show/2755-17/print" TargetMode="External"/><Relationship Id="rId5025" Type="http://schemas.openxmlformats.org/officeDocument/2006/relationships/hyperlink" Target="https://zakon.rada.gov.ua/laws/show/5083-17" TargetMode="External"/><Relationship Id="rId5232" Type="http://schemas.openxmlformats.org/officeDocument/2006/relationships/hyperlink" Target="https://zakon.rada.gov.ua/laws/show/215-19" TargetMode="External"/><Relationship Id="rId67" Type="http://schemas.openxmlformats.org/officeDocument/2006/relationships/hyperlink" Target="https://zakon.rada.gov.ua/laws/show/1260-18" TargetMode="External"/><Relationship Id="rId1428" Type="http://schemas.openxmlformats.org/officeDocument/2006/relationships/hyperlink" Target="https://zakon.rada.gov.ua/laws/show/5083-17" TargetMode="External"/><Relationship Id="rId1635" Type="http://schemas.openxmlformats.org/officeDocument/2006/relationships/hyperlink" Target="https://zakon.rada.gov.ua/laws/show/4834-17" TargetMode="External"/><Relationship Id="rId1982" Type="http://schemas.openxmlformats.org/officeDocument/2006/relationships/hyperlink" Target="https://zakon.rada.gov.ua/laws/show/2755-17/print" TargetMode="External"/><Relationship Id="rId4041" Type="http://schemas.openxmlformats.org/officeDocument/2006/relationships/hyperlink" Target="https://zakon.rada.gov.ua/laws/show/1791-19" TargetMode="External"/><Relationship Id="rId1842" Type="http://schemas.openxmlformats.org/officeDocument/2006/relationships/hyperlink" Target="https://zakon.rada.gov.ua/laws/show/2755-17/print" TargetMode="External"/><Relationship Id="rId4998" Type="http://schemas.openxmlformats.org/officeDocument/2006/relationships/hyperlink" Target="https://zakon.rada.gov.ua/laws/show/2755-17/print" TargetMode="External"/><Relationship Id="rId1702" Type="http://schemas.openxmlformats.org/officeDocument/2006/relationships/hyperlink" Target="https://zakon.rada.gov.ua/laws/show/2725-19" TargetMode="External"/><Relationship Id="rId4858" Type="http://schemas.openxmlformats.org/officeDocument/2006/relationships/hyperlink" Target="https://zakon.rada.gov.ua/laws/show/4014-17" TargetMode="External"/><Relationship Id="rId5909" Type="http://schemas.openxmlformats.org/officeDocument/2006/relationships/hyperlink" Target="https://zakon.rada.gov.ua/laws/show/1797-19" TargetMode="External"/><Relationship Id="rId6073" Type="http://schemas.openxmlformats.org/officeDocument/2006/relationships/hyperlink" Target="https://zakon.rada.gov.ua/laws/show/2660-14" TargetMode="External"/><Relationship Id="rId3667" Type="http://schemas.openxmlformats.org/officeDocument/2006/relationships/hyperlink" Target="https://zakon.rada.gov.ua/laws/show/71-19" TargetMode="External"/><Relationship Id="rId3874" Type="http://schemas.openxmlformats.org/officeDocument/2006/relationships/hyperlink" Target="https://zakon.rada.gov.ua/laws/show/71-19" TargetMode="External"/><Relationship Id="rId4718" Type="http://schemas.openxmlformats.org/officeDocument/2006/relationships/hyperlink" Target="https://zakon.rada.gov.ua/laws/show/1797-19" TargetMode="External"/><Relationship Id="rId4925" Type="http://schemas.openxmlformats.org/officeDocument/2006/relationships/hyperlink" Target="https://zakon.rada.gov.ua/laws/show/71-19" TargetMode="External"/><Relationship Id="rId6280" Type="http://schemas.openxmlformats.org/officeDocument/2006/relationships/hyperlink" Target="https://zakon.rada.gov.ua/laws/show/2755-17/print" TargetMode="External"/><Relationship Id="rId588" Type="http://schemas.openxmlformats.org/officeDocument/2006/relationships/hyperlink" Target="https://zakon.rada.gov.ua/laws/show/4915-17" TargetMode="External"/><Relationship Id="rId795" Type="http://schemas.openxmlformats.org/officeDocument/2006/relationships/hyperlink" Target="https://zakon.rada.gov.ua/laws/show/2628-19" TargetMode="External"/><Relationship Id="rId2269" Type="http://schemas.openxmlformats.org/officeDocument/2006/relationships/hyperlink" Target="https://zakon.rada.gov.ua/laws/show/2755-17/print" TargetMode="External"/><Relationship Id="rId2476" Type="http://schemas.openxmlformats.org/officeDocument/2006/relationships/hyperlink" Target="https://zakon.rada.gov.ua/laws/show/1411-19" TargetMode="External"/><Relationship Id="rId2683" Type="http://schemas.openxmlformats.org/officeDocument/2006/relationships/hyperlink" Target="https://zakon.rada.gov.ua/laws/show/5413-17" TargetMode="External"/><Relationship Id="rId2890" Type="http://schemas.openxmlformats.org/officeDocument/2006/relationships/hyperlink" Target="https://zakon.rada.gov.ua/laws/show/657-18" TargetMode="External"/><Relationship Id="rId3527" Type="http://schemas.openxmlformats.org/officeDocument/2006/relationships/hyperlink" Target="https://zakon.rada.gov.ua/laws/show/2755-17/print" TargetMode="External"/><Relationship Id="rId3734" Type="http://schemas.openxmlformats.org/officeDocument/2006/relationships/hyperlink" Target="https://zakon.rada.gov.ua/laws/show/909-19" TargetMode="External"/><Relationship Id="rId3941" Type="http://schemas.openxmlformats.org/officeDocument/2006/relationships/hyperlink" Target="https://zakon.rada.gov.ua/laws/show/584%D0%B0-18" TargetMode="External"/><Relationship Id="rId6140" Type="http://schemas.openxmlformats.org/officeDocument/2006/relationships/hyperlink" Target="https://zakon.rada.gov.ua/laws/show/71-19" TargetMode="External"/><Relationship Id="rId448" Type="http://schemas.openxmlformats.org/officeDocument/2006/relationships/hyperlink" Target="https://zakon.rada.gov.ua/laws/show/1797-19" TargetMode="External"/><Relationship Id="rId655" Type="http://schemas.openxmlformats.org/officeDocument/2006/relationships/hyperlink" Target="https://zakon.rada.gov.ua/laws/show/657-18" TargetMode="External"/><Relationship Id="rId862" Type="http://schemas.openxmlformats.org/officeDocument/2006/relationships/hyperlink" Target="https://zakon.rada.gov.ua/laws/show/2755-17/print" TargetMode="External"/><Relationship Id="rId1078" Type="http://schemas.openxmlformats.org/officeDocument/2006/relationships/hyperlink" Target="https://zakon.rada.gov.ua/laws/show/1797-19" TargetMode="External"/><Relationship Id="rId1285" Type="http://schemas.openxmlformats.org/officeDocument/2006/relationships/hyperlink" Target="https://zakon.rada.gov.ua/laws/show/655-19" TargetMode="External"/><Relationship Id="rId1492" Type="http://schemas.openxmlformats.org/officeDocument/2006/relationships/hyperlink" Target="https://zakon.rada.gov.ua/laws/show/1797-19" TargetMode="External"/><Relationship Id="rId2129" Type="http://schemas.openxmlformats.org/officeDocument/2006/relationships/hyperlink" Target="https://zakon.rada.gov.ua/laws/show/2755-17/print" TargetMode="External"/><Relationship Id="rId2336" Type="http://schemas.openxmlformats.org/officeDocument/2006/relationships/hyperlink" Target="https://zakon.rada.gov.ua/laws/show/2755-17/print" TargetMode="External"/><Relationship Id="rId2543" Type="http://schemas.openxmlformats.org/officeDocument/2006/relationships/hyperlink" Target="https://zakon.rada.gov.ua/laws/show/2497-19" TargetMode="External"/><Relationship Id="rId2750" Type="http://schemas.openxmlformats.org/officeDocument/2006/relationships/hyperlink" Target="https://zakon.rada.gov.ua/laws/show/2755-17/print" TargetMode="External"/><Relationship Id="rId3801" Type="http://schemas.openxmlformats.org/officeDocument/2006/relationships/hyperlink" Target="https://zakon.rada.gov.ua/laws/show/584%D0%B1-18" TargetMode="External"/><Relationship Id="rId5699" Type="http://schemas.openxmlformats.org/officeDocument/2006/relationships/hyperlink" Target="https://zakon.rada.gov.ua/laws/show/4495-17" TargetMode="External"/><Relationship Id="rId6000" Type="http://schemas.openxmlformats.org/officeDocument/2006/relationships/hyperlink" Target="https://zakon.rada.gov.ua/laws/show/2755-17/print" TargetMode="External"/><Relationship Id="rId308" Type="http://schemas.openxmlformats.org/officeDocument/2006/relationships/hyperlink" Target="https://zakon.rada.gov.ua/laws/show/2245-19" TargetMode="External"/><Relationship Id="rId515" Type="http://schemas.openxmlformats.org/officeDocument/2006/relationships/hyperlink" Target="https://zakon.rada.gov.ua/laws/show/71-19" TargetMode="External"/><Relationship Id="rId722" Type="http://schemas.openxmlformats.org/officeDocument/2006/relationships/hyperlink" Target="https://zakon.rada.gov.ua/laws/show/4834-17" TargetMode="External"/><Relationship Id="rId1145" Type="http://schemas.openxmlformats.org/officeDocument/2006/relationships/hyperlink" Target="https://zakon.rada.gov.ua/laws/show/655-19" TargetMode="External"/><Relationship Id="rId1352" Type="http://schemas.openxmlformats.org/officeDocument/2006/relationships/hyperlink" Target="https://zakon.rada.gov.ua/laws/show/655-19" TargetMode="External"/><Relationship Id="rId2403" Type="http://schemas.openxmlformats.org/officeDocument/2006/relationships/hyperlink" Target="https://zakon.rada.gov.ua/laws/show/2755-17/print" TargetMode="External"/><Relationship Id="rId5559" Type="http://schemas.openxmlformats.org/officeDocument/2006/relationships/hyperlink" Target="https://zakon.rada.gov.ua/laws/show/2755-17/print" TargetMode="External"/><Relationship Id="rId5766" Type="http://schemas.openxmlformats.org/officeDocument/2006/relationships/hyperlink" Target="https://zakon.rada.gov.ua/laws/show/909-19" TargetMode="External"/><Relationship Id="rId1005" Type="http://schemas.openxmlformats.org/officeDocument/2006/relationships/hyperlink" Target="https://zakon.rada.gov.ua/laws/show/2628-19" TargetMode="External"/><Relationship Id="rId1212" Type="http://schemas.openxmlformats.org/officeDocument/2006/relationships/hyperlink" Target="https://zakon.rada.gov.ua/laws/show/5083-17" TargetMode="External"/><Relationship Id="rId2610" Type="http://schemas.openxmlformats.org/officeDocument/2006/relationships/hyperlink" Target="https://zakon.rada.gov.ua/laws/show/2755-17/print" TargetMode="External"/><Relationship Id="rId4368" Type="http://schemas.openxmlformats.org/officeDocument/2006/relationships/hyperlink" Target="https://zakon.rada.gov.ua/laws/show/909-19" TargetMode="External"/><Relationship Id="rId4575" Type="http://schemas.openxmlformats.org/officeDocument/2006/relationships/hyperlink" Target="https://zakon.rada.gov.ua/laws/show/654-19" TargetMode="External"/><Relationship Id="rId5419" Type="http://schemas.openxmlformats.org/officeDocument/2006/relationships/hyperlink" Target="https://zakon.rada.gov.ua/laws/show/2371%D0%B3-14" TargetMode="External"/><Relationship Id="rId5973" Type="http://schemas.openxmlformats.org/officeDocument/2006/relationships/hyperlink" Target="https://zakon.rada.gov.ua/laws/show/2755-17/print" TargetMode="External"/><Relationship Id="rId3177" Type="http://schemas.openxmlformats.org/officeDocument/2006/relationships/hyperlink" Target="https://zakon.rada.gov.ua/laws/show/657-18" TargetMode="External"/><Relationship Id="rId4228" Type="http://schemas.openxmlformats.org/officeDocument/2006/relationships/hyperlink" Target="https://zakon.rada.gov.ua/laws/show/391-20" TargetMode="External"/><Relationship Id="rId4782" Type="http://schemas.openxmlformats.org/officeDocument/2006/relationships/hyperlink" Target="https://zakon.rada.gov.ua/laws/show/4014-17" TargetMode="External"/><Relationship Id="rId5626" Type="http://schemas.openxmlformats.org/officeDocument/2006/relationships/hyperlink" Target="https://zakon.rada.gov.ua/laws/show/2755-17/print" TargetMode="External"/><Relationship Id="rId5833" Type="http://schemas.openxmlformats.org/officeDocument/2006/relationships/hyperlink" Target="https://zakon.rada.gov.ua/laws/show/5414-17" TargetMode="External"/><Relationship Id="rId3037" Type="http://schemas.openxmlformats.org/officeDocument/2006/relationships/hyperlink" Target="https://zakon.rada.gov.ua/laws/show/4915-17" TargetMode="External"/><Relationship Id="rId3384" Type="http://schemas.openxmlformats.org/officeDocument/2006/relationships/hyperlink" Target="https://zakon.rada.gov.ua/laws/show/z1415-15" TargetMode="External"/><Relationship Id="rId3591" Type="http://schemas.openxmlformats.org/officeDocument/2006/relationships/hyperlink" Target="https://zakon.rada.gov.ua/laws/show/3609-17" TargetMode="External"/><Relationship Id="rId4435" Type="http://schemas.openxmlformats.org/officeDocument/2006/relationships/hyperlink" Target="https://zakon.rada.gov.ua/laws/show/3609-17" TargetMode="External"/><Relationship Id="rId4642" Type="http://schemas.openxmlformats.org/officeDocument/2006/relationships/hyperlink" Target="https://zakon.rada.gov.ua/laws/show/2755-17/print" TargetMode="External"/><Relationship Id="rId5900" Type="http://schemas.openxmlformats.org/officeDocument/2006/relationships/hyperlink" Target="https://zakon.rada.gov.ua/laws/show/2755-17/print" TargetMode="External"/><Relationship Id="rId2193" Type="http://schemas.openxmlformats.org/officeDocument/2006/relationships/hyperlink" Target="https://zakon.rada.gov.ua/laws/show/1977-19" TargetMode="External"/><Relationship Id="rId3244" Type="http://schemas.openxmlformats.org/officeDocument/2006/relationships/hyperlink" Target="https://zakon.rada.gov.ua/laws/show/2755-17/print" TargetMode="External"/><Relationship Id="rId3451" Type="http://schemas.openxmlformats.org/officeDocument/2006/relationships/hyperlink" Target="https://zakon.rada.gov.ua/laws/show/1797-19" TargetMode="External"/><Relationship Id="rId4502" Type="http://schemas.openxmlformats.org/officeDocument/2006/relationships/hyperlink" Target="https://zakon.rada.gov.ua/laws/show/2245-19" TargetMode="External"/><Relationship Id="rId165" Type="http://schemas.openxmlformats.org/officeDocument/2006/relationships/hyperlink" Target="https://zakon.rada.gov.ua/laws/show/5503-17" TargetMode="External"/><Relationship Id="rId372" Type="http://schemas.openxmlformats.org/officeDocument/2006/relationships/hyperlink" Target="https://zakon.rada.gov.ua/laws/show/2755-17/print" TargetMode="External"/><Relationship Id="rId2053" Type="http://schemas.openxmlformats.org/officeDocument/2006/relationships/hyperlink" Target="https://zakon.rada.gov.ua/laws/show/2245-19" TargetMode="External"/><Relationship Id="rId2260" Type="http://schemas.openxmlformats.org/officeDocument/2006/relationships/hyperlink" Target="https://zakon.rada.gov.ua/laws/show/1797-19" TargetMode="External"/><Relationship Id="rId3104" Type="http://schemas.openxmlformats.org/officeDocument/2006/relationships/hyperlink" Target="https://zakon.rada.gov.ua/laws/show/2371%D0%B3-14" TargetMode="External"/><Relationship Id="rId3311" Type="http://schemas.openxmlformats.org/officeDocument/2006/relationships/hyperlink" Target="https://zakon.rada.gov.ua/laws/show/909-19" TargetMode="External"/><Relationship Id="rId232" Type="http://schemas.openxmlformats.org/officeDocument/2006/relationships/hyperlink" Target="https://zakon.rada.gov.ua/laws/show/1797-19" TargetMode="External"/><Relationship Id="rId2120" Type="http://schemas.openxmlformats.org/officeDocument/2006/relationships/hyperlink" Target="https://zakon.rada.gov.ua/laws/show/1797-19" TargetMode="External"/><Relationship Id="rId5069" Type="http://schemas.openxmlformats.org/officeDocument/2006/relationships/hyperlink" Target="https://zakon.rada.gov.ua/laws/show/2497-19" TargetMode="External"/><Relationship Id="rId5276" Type="http://schemas.openxmlformats.org/officeDocument/2006/relationships/hyperlink" Target="https://zakon.rada.gov.ua/laws/show/587-14" TargetMode="External"/><Relationship Id="rId5483" Type="http://schemas.openxmlformats.org/officeDocument/2006/relationships/hyperlink" Target="https://zakon.rada.gov.ua/laws/show/2755-17/print" TargetMode="External"/><Relationship Id="rId5690" Type="http://schemas.openxmlformats.org/officeDocument/2006/relationships/hyperlink" Target="https://zakon.rada.gov.ua/laws/show/2755-17/print" TargetMode="External"/><Relationship Id="rId1679" Type="http://schemas.openxmlformats.org/officeDocument/2006/relationships/hyperlink" Target="https://zakon.rada.gov.ua/laws/show/5412-17" TargetMode="External"/><Relationship Id="rId4085" Type="http://schemas.openxmlformats.org/officeDocument/2006/relationships/hyperlink" Target="https://zakon.rada.gov.ua/laws/show/391-20" TargetMode="External"/><Relationship Id="rId4292" Type="http://schemas.openxmlformats.org/officeDocument/2006/relationships/hyperlink" Target="https://zakon.rada.gov.ua/laws/show/391-20" TargetMode="External"/><Relationship Id="rId5136" Type="http://schemas.openxmlformats.org/officeDocument/2006/relationships/hyperlink" Target="https://zakon.rada.gov.ua/laws/show/2755-17/print" TargetMode="External"/><Relationship Id="rId5343" Type="http://schemas.openxmlformats.org/officeDocument/2006/relationships/hyperlink" Target="https://zakon.rada.gov.ua/laws/show/2755-17/print" TargetMode="External"/><Relationship Id="rId1886" Type="http://schemas.openxmlformats.org/officeDocument/2006/relationships/hyperlink" Target="https://zakon.rada.gov.ua/laws/show/71-19" TargetMode="External"/><Relationship Id="rId2937" Type="http://schemas.openxmlformats.org/officeDocument/2006/relationships/hyperlink" Target="https://zakon.rada.gov.ua/laws/show/4834-17" TargetMode="External"/><Relationship Id="rId4152" Type="http://schemas.openxmlformats.org/officeDocument/2006/relationships/hyperlink" Target="https://zakon.rada.gov.ua/laws/show/71-19" TargetMode="External"/><Relationship Id="rId5203" Type="http://schemas.openxmlformats.org/officeDocument/2006/relationships/hyperlink" Target="https://zakon.rada.gov.ua/laws/show/4050-17" TargetMode="External"/><Relationship Id="rId5550" Type="http://schemas.openxmlformats.org/officeDocument/2006/relationships/hyperlink" Target="https://zakon.rada.gov.ua/laws/show/2755-17/print" TargetMode="External"/><Relationship Id="rId909" Type="http://schemas.openxmlformats.org/officeDocument/2006/relationships/hyperlink" Target="https://zakon.rada.gov.ua/laws/show/z0931-17" TargetMode="External"/><Relationship Id="rId1539" Type="http://schemas.openxmlformats.org/officeDocument/2006/relationships/hyperlink" Target="https://zakon.rada.gov.ua/laws/show/1797-19" TargetMode="External"/><Relationship Id="rId1746" Type="http://schemas.openxmlformats.org/officeDocument/2006/relationships/hyperlink" Target="https://zakon.rada.gov.ua/laws/show/1797-19" TargetMode="External"/><Relationship Id="rId1953" Type="http://schemas.openxmlformats.org/officeDocument/2006/relationships/hyperlink" Target="https://zakon.rada.gov.ua/laws/show/2755-17/print" TargetMode="External"/><Relationship Id="rId5410" Type="http://schemas.openxmlformats.org/officeDocument/2006/relationships/hyperlink" Target="https://zakon.rada.gov.ua/laws/show/4834-17" TargetMode="External"/><Relationship Id="rId38" Type="http://schemas.openxmlformats.org/officeDocument/2006/relationships/hyperlink" Target="https://zakon.rada.gov.ua/laws/show/5203-17" TargetMode="External"/><Relationship Id="rId1606" Type="http://schemas.openxmlformats.org/officeDocument/2006/relationships/hyperlink" Target="https://zakon.rada.gov.ua/laws/show/2755-17/print" TargetMode="External"/><Relationship Id="rId1813" Type="http://schemas.openxmlformats.org/officeDocument/2006/relationships/hyperlink" Target="https://zakon.rada.gov.ua/laws/show/1797-19" TargetMode="External"/><Relationship Id="rId4012" Type="http://schemas.openxmlformats.org/officeDocument/2006/relationships/hyperlink" Target="https://zakon.rada.gov.ua/laws/show/71-19" TargetMode="External"/><Relationship Id="rId4969" Type="http://schemas.openxmlformats.org/officeDocument/2006/relationships/hyperlink" Target="https://zakon.rada.gov.ua/laws/show/5503-17" TargetMode="External"/><Relationship Id="rId3778" Type="http://schemas.openxmlformats.org/officeDocument/2006/relationships/hyperlink" Target="https://zakon.rada.gov.ua/laws/show/71-19" TargetMode="External"/><Relationship Id="rId3985" Type="http://schemas.openxmlformats.org/officeDocument/2006/relationships/hyperlink" Target="https://zakon.rada.gov.ua/laws/show/2628-19" TargetMode="External"/><Relationship Id="rId4829" Type="http://schemas.openxmlformats.org/officeDocument/2006/relationships/hyperlink" Target="https://zakon.rada.gov.ua/laws/show/5503-17" TargetMode="External"/><Relationship Id="rId6184" Type="http://schemas.openxmlformats.org/officeDocument/2006/relationships/hyperlink" Target="https://zakon.rada.gov.ua/laws/show/1165-18" TargetMode="External"/><Relationship Id="rId699" Type="http://schemas.openxmlformats.org/officeDocument/2006/relationships/hyperlink" Target="https://zakon.rada.gov.ua/laws/show/3609-17" TargetMode="External"/><Relationship Id="rId2587" Type="http://schemas.openxmlformats.org/officeDocument/2006/relationships/hyperlink" Target="https://zakon.rada.gov.ua/laws/show/404-18" TargetMode="External"/><Relationship Id="rId2794" Type="http://schemas.openxmlformats.org/officeDocument/2006/relationships/hyperlink" Target="https://zakon.rada.gov.ua/laws/show/3206-17" TargetMode="External"/><Relationship Id="rId3638" Type="http://schemas.openxmlformats.org/officeDocument/2006/relationships/hyperlink" Target="https://zakon.rada.gov.ua/laws/show/va375202-05" TargetMode="External"/><Relationship Id="rId3845" Type="http://schemas.openxmlformats.org/officeDocument/2006/relationships/hyperlink" Target="https://zakon.rada.gov.ua/laws/show/71-19" TargetMode="External"/><Relationship Id="rId6044" Type="http://schemas.openxmlformats.org/officeDocument/2006/relationships/hyperlink" Target="https://zakon.rada.gov.ua/laws/show/2755-17/print" TargetMode="External"/><Relationship Id="rId6251" Type="http://schemas.openxmlformats.org/officeDocument/2006/relationships/hyperlink" Target="https://zakon.rada.gov.ua/laws/show/2245-19" TargetMode="External"/><Relationship Id="rId559" Type="http://schemas.openxmlformats.org/officeDocument/2006/relationships/hyperlink" Target="https://zakon.rada.gov.ua/laws/show/2628-19" TargetMode="External"/><Relationship Id="rId766" Type="http://schemas.openxmlformats.org/officeDocument/2006/relationships/hyperlink" Target="https://zakon.rada.gov.ua/laws/show/1797-19" TargetMode="External"/><Relationship Id="rId1189" Type="http://schemas.openxmlformats.org/officeDocument/2006/relationships/hyperlink" Target="https://zakon.rada.gov.ua/laws/show/404-18" TargetMode="External"/><Relationship Id="rId1396" Type="http://schemas.openxmlformats.org/officeDocument/2006/relationships/hyperlink" Target="https://zakon.rada.gov.ua/laws/show/657-18" TargetMode="External"/><Relationship Id="rId2447" Type="http://schemas.openxmlformats.org/officeDocument/2006/relationships/hyperlink" Target="https://zakon.rada.gov.ua/laws/show/1797-19" TargetMode="External"/><Relationship Id="rId5060" Type="http://schemas.openxmlformats.org/officeDocument/2006/relationships/hyperlink" Target="https://zakon.rada.gov.ua/laws/show/584%D0%B0-18" TargetMode="External"/><Relationship Id="rId6111" Type="http://schemas.openxmlformats.org/officeDocument/2006/relationships/hyperlink" Target="https://zakon.rada.gov.ua/laws/show/2755-17/print" TargetMode="External"/><Relationship Id="rId419" Type="http://schemas.openxmlformats.org/officeDocument/2006/relationships/hyperlink" Target="https://zakon.rada.gov.ua/laws/show/4834-17" TargetMode="External"/><Relationship Id="rId626" Type="http://schemas.openxmlformats.org/officeDocument/2006/relationships/hyperlink" Target="https://zakon.rada.gov.ua/laws/show/v013p710-12" TargetMode="External"/><Relationship Id="rId973" Type="http://schemas.openxmlformats.org/officeDocument/2006/relationships/hyperlink" Target="https://zakon.rada.gov.ua/laws/show/4915-17" TargetMode="External"/><Relationship Id="rId1049" Type="http://schemas.openxmlformats.org/officeDocument/2006/relationships/hyperlink" Target="https://zakon.rada.gov.ua/laws/show/71-19" TargetMode="External"/><Relationship Id="rId1256" Type="http://schemas.openxmlformats.org/officeDocument/2006/relationships/hyperlink" Target="https://zakon.rada.gov.ua/laws/show/909-19" TargetMode="External"/><Relationship Id="rId2307" Type="http://schemas.openxmlformats.org/officeDocument/2006/relationships/hyperlink" Target="https://zakon.rada.gov.ua/laws/show/1166-18" TargetMode="External"/><Relationship Id="rId2654" Type="http://schemas.openxmlformats.org/officeDocument/2006/relationships/hyperlink" Target="https://zakon.rada.gov.ua/laws/show/1797-19" TargetMode="External"/><Relationship Id="rId2861" Type="http://schemas.openxmlformats.org/officeDocument/2006/relationships/hyperlink" Target="https://zakon.rada.gov.ua/laws/show/2755-17/print" TargetMode="External"/><Relationship Id="rId3705" Type="http://schemas.openxmlformats.org/officeDocument/2006/relationships/hyperlink" Target="https://zakon.rada.gov.ua/laws/show/71-19" TargetMode="External"/><Relationship Id="rId3912" Type="http://schemas.openxmlformats.org/officeDocument/2006/relationships/hyperlink" Target="https://zakon.rada.gov.ua/laws/show/z1415-15" TargetMode="External"/><Relationship Id="rId833" Type="http://schemas.openxmlformats.org/officeDocument/2006/relationships/hyperlink" Target="https://zakon.rada.gov.ua/laws/show/1797-19" TargetMode="External"/><Relationship Id="rId1116" Type="http://schemas.openxmlformats.org/officeDocument/2006/relationships/hyperlink" Target="https://zakon.rada.gov.ua/laws/show/1797-19" TargetMode="External"/><Relationship Id="rId1463" Type="http://schemas.openxmlformats.org/officeDocument/2006/relationships/hyperlink" Target="https://zakon.rada.gov.ua/laws/show/2755-17/print" TargetMode="External"/><Relationship Id="rId1670" Type="http://schemas.openxmlformats.org/officeDocument/2006/relationships/hyperlink" Target="https://zakon.rada.gov.ua/laws/show/2755-17/print" TargetMode="External"/><Relationship Id="rId2514" Type="http://schemas.openxmlformats.org/officeDocument/2006/relationships/hyperlink" Target="https://zakon.rada.gov.ua/laws/show/2755-17/print" TargetMode="External"/><Relationship Id="rId2721" Type="http://schemas.openxmlformats.org/officeDocument/2006/relationships/hyperlink" Target="https://zakon.rada.gov.ua/laws/show/1910-19" TargetMode="External"/><Relationship Id="rId5877" Type="http://schemas.openxmlformats.org/officeDocument/2006/relationships/hyperlink" Target="https://zakon.rada.gov.ua/laws/show/909-19" TargetMode="External"/><Relationship Id="rId900" Type="http://schemas.openxmlformats.org/officeDocument/2006/relationships/hyperlink" Target="https://zakon.rada.gov.ua/laws/show/1797-19" TargetMode="External"/><Relationship Id="rId1323" Type="http://schemas.openxmlformats.org/officeDocument/2006/relationships/hyperlink" Target="https://zakon.rada.gov.ua/laws/show/657-18" TargetMode="External"/><Relationship Id="rId1530" Type="http://schemas.openxmlformats.org/officeDocument/2006/relationships/hyperlink" Target="https://zakon.rada.gov.ua/laws/show/3205-17" TargetMode="External"/><Relationship Id="rId4479" Type="http://schemas.openxmlformats.org/officeDocument/2006/relationships/hyperlink" Target="https://zakon.rada.gov.ua/laws/show/2245-19" TargetMode="External"/><Relationship Id="rId4686" Type="http://schemas.openxmlformats.org/officeDocument/2006/relationships/hyperlink" Target="https://zakon.rada.gov.ua/laws/show/2497-19" TargetMode="External"/><Relationship Id="rId4893" Type="http://schemas.openxmlformats.org/officeDocument/2006/relationships/hyperlink" Target="https://zakon.rada.gov.ua/laws/show/71-19" TargetMode="External"/><Relationship Id="rId5737" Type="http://schemas.openxmlformats.org/officeDocument/2006/relationships/hyperlink" Target="https://zakon.rada.gov.ua/laws/show/2755-17/print" TargetMode="External"/><Relationship Id="rId5944" Type="http://schemas.openxmlformats.org/officeDocument/2006/relationships/hyperlink" Target="https://zakon.rada.gov.ua/laws/show/2755-17/print" TargetMode="External"/><Relationship Id="rId3288" Type="http://schemas.openxmlformats.org/officeDocument/2006/relationships/hyperlink" Target="https://zakon.rada.gov.ua/laws/show/1797-19" TargetMode="External"/><Relationship Id="rId3495" Type="http://schemas.openxmlformats.org/officeDocument/2006/relationships/hyperlink" Target="https://zakon.rada.gov.ua/laws/show/2755-17/print" TargetMode="External"/><Relationship Id="rId4339" Type="http://schemas.openxmlformats.org/officeDocument/2006/relationships/hyperlink" Target="https://zakon.rada.gov.ua/laws/show/2628-19" TargetMode="External"/><Relationship Id="rId4546" Type="http://schemas.openxmlformats.org/officeDocument/2006/relationships/hyperlink" Target="https://zakon.rada.gov.ua/laws/show/1791-19" TargetMode="External"/><Relationship Id="rId4753" Type="http://schemas.openxmlformats.org/officeDocument/2006/relationships/hyperlink" Target="https://zakon.rada.gov.ua/laws/show/2755-17/print" TargetMode="External"/><Relationship Id="rId4960" Type="http://schemas.openxmlformats.org/officeDocument/2006/relationships/hyperlink" Target="https://zakon.rada.gov.ua/laws/show/2755-17/print" TargetMode="External"/><Relationship Id="rId5804" Type="http://schemas.openxmlformats.org/officeDocument/2006/relationships/hyperlink" Target="https://zakon.rada.gov.ua/laws/show/4453-17" TargetMode="External"/><Relationship Id="rId2097" Type="http://schemas.openxmlformats.org/officeDocument/2006/relationships/hyperlink" Target="https://zakon.rada.gov.ua/laws/show/1797-19" TargetMode="External"/><Relationship Id="rId3148" Type="http://schemas.openxmlformats.org/officeDocument/2006/relationships/hyperlink" Target="https://zakon.rada.gov.ua/laws/show/3609-17" TargetMode="External"/><Relationship Id="rId3355" Type="http://schemas.openxmlformats.org/officeDocument/2006/relationships/hyperlink" Target="https://zakon.rada.gov.ua/laws/show/1797-19" TargetMode="External"/><Relationship Id="rId3562" Type="http://schemas.openxmlformats.org/officeDocument/2006/relationships/hyperlink" Target="https://zakon.rada.gov.ua/laws/show/2755-17/print" TargetMode="External"/><Relationship Id="rId4406" Type="http://schemas.openxmlformats.org/officeDocument/2006/relationships/hyperlink" Target="https://zakon.rada.gov.ua/laws/show/2755-17/print" TargetMode="External"/><Relationship Id="rId4613" Type="http://schemas.openxmlformats.org/officeDocument/2006/relationships/hyperlink" Target="https://zakon.rada.gov.ua/laws/show/2245-19" TargetMode="External"/><Relationship Id="rId276" Type="http://schemas.openxmlformats.org/officeDocument/2006/relationships/hyperlink" Target="https://zakon.rada.gov.ua/laws/show/1797-19" TargetMode="External"/><Relationship Id="rId483" Type="http://schemas.openxmlformats.org/officeDocument/2006/relationships/hyperlink" Target="https://zakon.rada.gov.ua/laws/show/3609-17" TargetMode="External"/><Relationship Id="rId690" Type="http://schemas.openxmlformats.org/officeDocument/2006/relationships/hyperlink" Target="https://zakon.rada.gov.ua/laws/show/1797-19" TargetMode="External"/><Relationship Id="rId2164" Type="http://schemas.openxmlformats.org/officeDocument/2006/relationships/hyperlink" Target="https://zakon.rada.gov.ua/laws/show/1797-19" TargetMode="External"/><Relationship Id="rId2371" Type="http://schemas.openxmlformats.org/officeDocument/2006/relationships/hyperlink" Target="https://zakon.rada.gov.ua/laws/show/321-19" TargetMode="External"/><Relationship Id="rId3008" Type="http://schemas.openxmlformats.org/officeDocument/2006/relationships/hyperlink" Target="https://zakon.rada.gov.ua/laws/show/643-19" TargetMode="External"/><Relationship Id="rId3215" Type="http://schemas.openxmlformats.org/officeDocument/2006/relationships/hyperlink" Target="https://zakon.rada.gov.ua/laws/show/1797-19" TargetMode="External"/><Relationship Id="rId3422" Type="http://schemas.openxmlformats.org/officeDocument/2006/relationships/hyperlink" Target="https://zakon.rada.gov.ua/laws/show/909-19" TargetMode="External"/><Relationship Id="rId4820" Type="http://schemas.openxmlformats.org/officeDocument/2006/relationships/hyperlink" Target="https://zakon.rada.gov.ua/laws/show/1797-19" TargetMode="External"/><Relationship Id="rId136" Type="http://schemas.openxmlformats.org/officeDocument/2006/relationships/hyperlink" Target="https://zakon.rada.gov.ua/laws/show/323-20" TargetMode="External"/><Relationship Id="rId343" Type="http://schemas.openxmlformats.org/officeDocument/2006/relationships/hyperlink" Target="https://zakon.rada.gov.ua/laws/show/5412-17" TargetMode="External"/><Relationship Id="rId550" Type="http://schemas.openxmlformats.org/officeDocument/2006/relationships/hyperlink" Target="https://zakon.rada.gov.ua/laws/show/909-19" TargetMode="External"/><Relationship Id="rId1180" Type="http://schemas.openxmlformats.org/officeDocument/2006/relationships/hyperlink" Target="https://zakon.rada.gov.ua/laws/show/71-19" TargetMode="External"/><Relationship Id="rId2024" Type="http://schemas.openxmlformats.org/officeDocument/2006/relationships/hyperlink" Target="https://zakon.rada.gov.ua/laws/show/2755-17/print" TargetMode="External"/><Relationship Id="rId2231" Type="http://schemas.openxmlformats.org/officeDocument/2006/relationships/hyperlink" Target="https://zakon.rada.gov.ua/laws/show/1797-19" TargetMode="External"/><Relationship Id="rId5387" Type="http://schemas.openxmlformats.org/officeDocument/2006/relationships/hyperlink" Target="https://zakon.rada.gov.ua/laws/show/2371%D0%B1-14" TargetMode="External"/><Relationship Id="rId203" Type="http://schemas.openxmlformats.org/officeDocument/2006/relationships/hyperlink" Target="https://zakon.rada.gov.ua/laws/show/2628-19" TargetMode="External"/><Relationship Id="rId1040" Type="http://schemas.openxmlformats.org/officeDocument/2006/relationships/hyperlink" Target="https://zakon.rada.gov.ua/laws/show/2755-17/print" TargetMode="External"/><Relationship Id="rId4196" Type="http://schemas.openxmlformats.org/officeDocument/2006/relationships/hyperlink" Target="https://zakon.rada.gov.ua/laws/show/391-20" TargetMode="External"/><Relationship Id="rId5247" Type="http://schemas.openxmlformats.org/officeDocument/2006/relationships/hyperlink" Target="https://zakon.rada.gov.ua/laws/show/404-18" TargetMode="External"/><Relationship Id="rId5594" Type="http://schemas.openxmlformats.org/officeDocument/2006/relationships/hyperlink" Target="https://zakon.rada.gov.ua/laws/show/903-19" TargetMode="External"/><Relationship Id="rId410" Type="http://schemas.openxmlformats.org/officeDocument/2006/relationships/hyperlink" Target="https://zakon.rada.gov.ua/laws/show/4834-17" TargetMode="External"/><Relationship Id="rId1997" Type="http://schemas.openxmlformats.org/officeDocument/2006/relationships/hyperlink" Target="https://zakon.rada.gov.ua/laws/show/z0137-16" TargetMode="External"/><Relationship Id="rId4056" Type="http://schemas.openxmlformats.org/officeDocument/2006/relationships/hyperlink" Target="https://zakon.rada.gov.ua/laws/show/21-2018-%D0%BF" TargetMode="External"/><Relationship Id="rId5454" Type="http://schemas.openxmlformats.org/officeDocument/2006/relationships/hyperlink" Target="https://zakon.rada.gov.ua/laws/show/584%D0%B0-18" TargetMode="External"/><Relationship Id="rId5661" Type="http://schemas.openxmlformats.org/officeDocument/2006/relationships/hyperlink" Target="https://zakon.rada.gov.ua/laws/show/1797-19" TargetMode="External"/><Relationship Id="rId1857" Type="http://schemas.openxmlformats.org/officeDocument/2006/relationships/hyperlink" Target="https://zakon.rada.gov.ua/laws/show/1797-19" TargetMode="External"/><Relationship Id="rId2908" Type="http://schemas.openxmlformats.org/officeDocument/2006/relationships/hyperlink" Target="https://zakon.rada.gov.ua/laws/show/4834-17" TargetMode="External"/><Relationship Id="rId4263" Type="http://schemas.openxmlformats.org/officeDocument/2006/relationships/hyperlink" Target="https://zakon.rada.gov.ua/laws/show/2755-17/print" TargetMode="External"/><Relationship Id="rId4470" Type="http://schemas.openxmlformats.org/officeDocument/2006/relationships/hyperlink" Target="https://zakon.rada.gov.ua/laws/show/1191-18" TargetMode="External"/><Relationship Id="rId5107" Type="http://schemas.openxmlformats.org/officeDocument/2006/relationships/hyperlink" Target="https://zakon.rada.gov.ua/laws/show/5412-17" TargetMode="External"/><Relationship Id="rId5314" Type="http://schemas.openxmlformats.org/officeDocument/2006/relationships/hyperlink" Target="https://zakon.rada.gov.ua/laws/show/2755-17/print" TargetMode="External"/><Relationship Id="rId5521" Type="http://schemas.openxmlformats.org/officeDocument/2006/relationships/hyperlink" Target="https://zakon.rada.gov.ua/laws/show/2755-17/print" TargetMode="External"/><Relationship Id="rId1717" Type="http://schemas.openxmlformats.org/officeDocument/2006/relationships/hyperlink" Target="https://zakon.rada.gov.ua/laws/show/1797-19" TargetMode="External"/><Relationship Id="rId1924" Type="http://schemas.openxmlformats.org/officeDocument/2006/relationships/hyperlink" Target="https://zakon.rada.gov.ua/laws/show/72-19" TargetMode="External"/><Relationship Id="rId3072" Type="http://schemas.openxmlformats.org/officeDocument/2006/relationships/hyperlink" Target="https://zakon.rada.gov.ua/laws/show/4834-17" TargetMode="External"/><Relationship Id="rId4123" Type="http://schemas.openxmlformats.org/officeDocument/2006/relationships/hyperlink" Target="https://zakon.rada.gov.ua/laws/show/584%D0%B0-18" TargetMode="External"/><Relationship Id="rId4330" Type="http://schemas.openxmlformats.org/officeDocument/2006/relationships/hyperlink" Target="https://zakon.rada.gov.ua/laws/show/2755-17/print" TargetMode="External"/><Relationship Id="rId3889" Type="http://schemas.openxmlformats.org/officeDocument/2006/relationships/hyperlink" Target="https://zakon.rada.gov.ua/laws/show/5083-17" TargetMode="External"/><Relationship Id="rId6088" Type="http://schemas.openxmlformats.org/officeDocument/2006/relationships/hyperlink" Target="https://zakon.rada.gov.ua/laws/show/727/98" TargetMode="External"/><Relationship Id="rId6295" Type="http://schemas.openxmlformats.org/officeDocument/2006/relationships/hyperlink" Target="https://zakon.rada.gov.ua/laws/show/2245-19" TargetMode="External"/><Relationship Id="rId2698" Type="http://schemas.openxmlformats.org/officeDocument/2006/relationships/hyperlink" Target="https://zakon.rada.gov.ua/laws/show/4834-17" TargetMode="External"/><Relationship Id="rId6155" Type="http://schemas.openxmlformats.org/officeDocument/2006/relationships/hyperlink" Target="https://zakon.rada.gov.ua/laws/show/548-19" TargetMode="External"/><Relationship Id="rId3749" Type="http://schemas.openxmlformats.org/officeDocument/2006/relationships/hyperlink" Target="https://zakon.rada.gov.ua/laws/show/2755-17/print" TargetMode="External"/><Relationship Id="rId3956" Type="http://schemas.openxmlformats.org/officeDocument/2006/relationships/hyperlink" Target="https://zakon.rada.gov.ua/laws/show/71-19" TargetMode="External"/><Relationship Id="rId5171" Type="http://schemas.openxmlformats.org/officeDocument/2006/relationships/hyperlink" Target="https://zakon.rada.gov.ua/laws/show/1690-18" TargetMode="External"/><Relationship Id="rId6015" Type="http://schemas.openxmlformats.org/officeDocument/2006/relationships/hyperlink" Target="https://zakon.rada.gov.ua/laws/show/2755-17/print" TargetMode="External"/><Relationship Id="rId6222" Type="http://schemas.openxmlformats.org/officeDocument/2006/relationships/hyperlink" Target="https://zakon.rada.gov.ua/laws/show/909-19" TargetMode="External"/><Relationship Id="rId877" Type="http://schemas.openxmlformats.org/officeDocument/2006/relationships/hyperlink" Target="https://zakon.rada.gov.ua/laws/show/1797-19" TargetMode="External"/><Relationship Id="rId2558" Type="http://schemas.openxmlformats.org/officeDocument/2006/relationships/hyperlink" Target="https://zakon.rada.gov.ua/laws/show/1797-19" TargetMode="External"/><Relationship Id="rId2765" Type="http://schemas.openxmlformats.org/officeDocument/2006/relationships/hyperlink" Target="https://zakon.rada.gov.ua/laws/show/3609-17" TargetMode="External"/><Relationship Id="rId2972" Type="http://schemas.openxmlformats.org/officeDocument/2006/relationships/hyperlink" Target="https://zakon.rada.gov.ua/laws/show/3609-17" TargetMode="External"/><Relationship Id="rId3609" Type="http://schemas.openxmlformats.org/officeDocument/2006/relationships/hyperlink" Target="https://zakon.rada.gov.ua/laws/show/909-19" TargetMode="External"/><Relationship Id="rId3816" Type="http://schemas.openxmlformats.org/officeDocument/2006/relationships/hyperlink" Target="https://zakon.rada.gov.ua/laws/show/2371%D0%B3-14" TargetMode="External"/><Relationship Id="rId737" Type="http://schemas.openxmlformats.org/officeDocument/2006/relationships/hyperlink" Target="https://zakon.rada.gov.ua/laws/show/2628-19" TargetMode="External"/><Relationship Id="rId944" Type="http://schemas.openxmlformats.org/officeDocument/2006/relationships/hyperlink" Target="https://zakon.rada.gov.ua/laws/show/1797-19" TargetMode="External"/><Relationship Id="rId1367" Type="http://schemas.openxmlformats.org/officeDocument/2006/relationships/hyperlink" Target="https://zakon.rada.gov.ua/laws/show/404-18" TargetMode="External"/><Relationship Id="rId1574" Type="http://schemas.openxmlformats.org/officeDocument/2006/relationships/hyperlink" Target="https://zakon.rada.gov.ua/laws/show/1797-19" TargetMode="External"/><Relationship Id="rId1781" Type="http://schemas.openxmlformats.org/officeDocument/2006/relationships/hyperlink" Target="https://zakon.rada.gov.ua/laws/show/4834-17" TargetMode="External"/><Relationship Id="rId2418" Type="http://schemas.openxmlformats.org/officeDocument/2006/relationships/hyperlink" Target="https://zakon.rada.gov.ua/laws/show/4834-17" TargetMode="External"/><Relationship Id="rId2625" Type="http://schemas.openxmlformats.org/officeDocument/2006/relationships/hyperlink" Target="https://zakon.rada.gov.ua/laws/show/1797-19" TargetMode="External"/><Relationship Id="rId2832" Type="http://schemas.openxmlformats.org/officeDocument/2006/relationships/hyperlink" Target="https://zakon.rada.gov.ua/laws/show/2755-17/print" TargetMode="External"/><Relationship Id="rId5031" Type="http://schemas.openxmlformats.org/officeDocument/2006/relationships/hyperlink" Target="https://zakon.rada.gov.ua/laws/show/71-19" TargetMode="External"/><Relationship Id="rId5988" Type="http://schemas.openxmlformats.org/officeDocument/2006/relationships/hyperlink" Target="https://zakon.rada.gov.ua/laws/show/584%D0%B0-18" TargetMode="External"/><Relationship Id="rId73" Type="http://schemas.openxmlformats.org/officeDocument/2006/relationships/hyperlink" Target="https://zakon.rada.gov.ua/laws/show/1638-18" TargetMode="External"/><Relationship Id="rId804" Type="http://schemas.openxmlformats.org/officeDocument/2006/relationships/hyperlink" Target="https://zakon.rada.gov.ua/laws/show/2245-19" TargetMode="External"/><Relationship Id="rId1227" Type="http://schemas.openxmlformats.org/officeDocument/2006/relationships/hyperlink" Target="https://zakon.rada.gov.ua/laws/show/404-18" TargetMode="External"/><Relationship Id="rId1434" Type="http://schemas.openxmlformats.org/officeDocument/2006/relationships/hyperlink" Target="https://zakon.rada.gov.ua/laws/show/71-19" TargetMode="External"/><Relationship Id="rId1641" Type="http://schemas.openxmlformats.org/officeDocument/2006/relationships/hyperlink" Target="https://zakon.rada.gov.ua/laws/show/3609-17" TargetMode="External"/><Relationship Id="rId4797" Type="http://schemas.openxmlformats.org/officeDocument/2006/relationships/hyperlink" Target="https://zakon.rada.gov.ua/laws/show/71-19" TargetMode="External"/><Relationship Id="rId5848" Type="http://schemas.openxmlformats.org/officeDocument/2006/relationships/hyperlink" Target="https://zakon.rada.gov.ua/laws/show/z0267-13" TargetMode="External"/><Relationship Id="rId1501" Type="http://schemas.openxmlformats.org/officeDocument/2006/relationships/hyperlink" Target="https://zakon.rada.gov.ua/laws/show/1797-19" TargetMode="External"/><Relationship Id="rId3399" Type="http://schemas.openxmlformats.org/officeDocument/2006/relationships/hyperlink" Target="https://zakon.rada.gov.ua/laws/show/909-19" TargetMode="External"/><Relationship Id="rId4657" Type="http://schemas.openxmlformats.org/officeDocument/2006/relationships/hyperlink" Target="https://zakon.rada.gov.ua/laws/show/909-19" TargetMode="External"/><Relationship Id="rId4864" Type="http://schemas.openxmlformats.org/officeDocument/2006/relationships/hyperlink" Target="https://zakon.rada.gov.ua/laws/show/5083-17" TargetMode="External"/><Relationship Id="rId5708" Type="http://schemas.openxmlformats.org/officeDocument/2006/relationships/hyperlink" Target="https://zakon.rada.gov.ua/laws/show/2755-17/print" TargetMode="External"/><Relationship Id="rId3259" Type="http://schemas.openxmlformats.org/officeDocument/2006/relationships/hyperlink" Target="https://zakon.rada.gov.ua/laws/show/z1415-15" TargetMode="External"/><Relationship Id="rId3466" Type="http://schemas.openxmlformats.org/officeDocument/2006/relationships/hyperlink" Target="https://zakon.rada.gov.ua/laws/show/1797-19" TargetMode="External"/><Relationship Id="rId4517" Type="http://schemas.openxmlformats.org/officeDocument/2006/relationships/hyperlink" Target="https://zakon.rada.gov.ua/laws/show/2755-17/print" TargetMode="External"/><Relationship Id="rId5915" Type="http://schemas.openxmlformats.org/officeDocument/2006/relationships/hyperlink" Target="https://zakon.rada.gov.ua/laws/show/2755-17/print" TargetMode="External"/><Relationship Id="rId387" Type="http://schemas.openxmlformats.org/officeDocument/2006/relationships/hyperlink" Target="https://zakon.rada.gov.ua/laws/show/71-19" TargetMode="External"/><Relationship Id="rId594" Type="http://schemas.openxmlformats.org/officeDocument/2006/relationships/hyperlink" Target="https://zakon.rada.gov.ua/laws/show/72-19" TargetMode="External"/><Relationship Id="rId2068" Type="http://schemas.openxmlformats.org/officeDocument/2006/relationships/hyperlink" Target="https://zakon.rada.gov.ua/laws/show/2628-19" TargetMode="External"/><Relationship Id="rId2275" Type="http://schemas.openxmlformats.org/officeDocument/2006/relationships/hyperlink" Target="https://zakon.rada.gov.ua/laws/show/675-2017-%D0%BF" TargetMode="External"/><Relationship Id="rId3119" Type="http://schemas.openxmlformats.org/officeDocument/2006/relationships/hyperlink" Target="https://zakon.rada.gov.ua/laws/show/909-19" TargetMode="External"/><Relationship Id="rId3326" Type="http://schemas.openxmlformats.org/officeDocument/2006/relationships/hyperlink" Target="https://zakon.rada.gov.ua/laws/show/909-19" TargetMode="External"/><Relationship Id="rId3673" Type="http://schemas.openxmlformats.org/officeDocument/2006/relationships/hyperlink" Target="https://zakon.rada.gov.ua/laws/show/391-20" TargetMode="External"/><Relationship Id="rId3880" Type="http://schemas.openxmlformats.org/officeDocument/2006/relationships/hyperlink" Target="https://zakon.rada.gov.ua/laws/show/2725-19" TargetMode="External"/><Relationship Id="rId4724" Type="http://schemas.openxmlformats.org/officeDocument/2006/relationships/hyperlink" Target="https://zakon.rada.gov.ua/laws/show/71-19" TargetMode="External"/><Relationship Id="rId4931" Type="http://schemas.openxmlformats.org/officeDocument/2006/relationships/hyperlink" Target="https://zakon.rada.gov.ua/laws/show/657-18" TargetMode="External"/><Relationship Id="rId247" Type="http://schemas.openxmlformats.org/officeDocument/2006/relationships/hyperlink" Target="https://zakon.rada.gov.ua/laws/show/71-19" TargetMode="External"/><Relationship Id="rId1084" Type="http://schemas.openxmlformats.org/officeDocument/2006/relationships/hyperlink" Target="https://zakon.rada.gov.ua/laws/show/652-19" TargetMode="External"/><Relationship Id="rId2482" Type="http://schemas.openxmlformats.org/officeDocument/2006/relationships/hyperlink" Target="https://zakon.rada.gov.ua/laws/show/2755-17/print" TargetMode="External"/><Relationship Id="rId3533" Type="http://schemas.openxmlformats.org/officeDocument/2006/relationships/hyperlink" Target="https://zakon.rada.gov.ua/laws/show/71-19" TargetMode="External"/><Relationship Id="rId3740" Type="http://schemas.openxmlformats.org/officeDocument/2006/relationships/hyperlink" Target="https://zakon.rada.gov.ua/laws/show/71-19" TargetMode="External"/><Relationship Id="rId107" Type="http://schemas.openxmlformats.org/officeDocument/2006/relationships/hyperlink" Target="https://zakon.rada.gov.ua/laws/show/909-19" TargetMode="External"/><Relationship Id="rId454" Type="http://schemas.openxmlformats.org/officeDocument/2006/relationships/hyperlink" Target="https://zakon.rada.gov.ua/laws/show/1797-19" TargetMode="External"/><Relationship Id="rId661" Type="http://schemas.openxmlformats.org/officeDocument/2006/relationships/hyperlink" Target="https://zakon.rada.gov.ua/laws/show/1797-19" TargetMode="External"/><Relationship Id="rId1291" Type="http://schemas.openxmlformats.org/officeDocument/2006/relationships/hyperlink" Target="https://zakon.rada.gov.ua/laws/show/z1267-14" TargetMode="External"/><Relationship Id="rId2135" Type="http://schemas.openxmlformats.org/officeDocument/2006/relationships/hyperlink" Target="https://zakon.rada.gov.ua/laws/show/2755-17/print" TargetMode="External"/><Relationship Id="rId2342" Type="http://schemas.openxmlformats.org/officeDocument/2006/relationships/hyperlink" Target="https://zakon.rada.gov.ua/laws/show/653-19" TargetMode="External"/><Relationship Id="rId3600" Type="http://schemas.openxmlformats.org/officeDocument/2006/relationships/hyperlink" Target="https://zakon.rada.gov.ua/laws/show/996_729" TargetMode="External"/><Relationship Id="rId5498" Type="http://schemas.openxmlformats.org/officeDocument/2006/relationships/hyperlink" Target="https://zakon.rada.gov.ua/laws/show/2755-17/print" TargetMode="External"/><Relationship Id="rId314" Type="http://schemas.openxmlformats.org/officeDocument/2006/relationships/hyperlink" Target="https://zakon.rada.gov.ua/laws/show/71-19" TargetMode="External"/><Relationship Id="rId521" Type="http://schemas.openxmlformats.org/officeDocument/2006/relationships/hyperlink" Target="https://zakon.rada.gov.ua/laws/show/2755-17/print" TargetMode="External"/><Relationship Id="rId1151" Type="http://schemas.openxmlformats.org/officeDocument/2006/relationships/hyperlink" Target="https://zakon.rada.gov.ua/laws/show/2755-17/print" TargetMode="External"/><Relationship Id="rId2202" Type="http://schemas.openxmlformats.org/officeDocument/2006/relationships/hyperlink" Target="https://zakon.rada.gov.ua/laws/show/2755-17/print" TargetMode="External"/><Relationship Id="rId5358" Type="http://schemas.openxmlformats.org/officeDocument/2006/relationships/hyperlink" Target="https://zakon.rada.gov.ua/laws/show/344-20" TargetMode="External"/><Relationship Id="rId5565" Type="http://schemas.openxmlformats.org/officeDocument/2006/relationships/hyperlink" Target="https://zakon.rada.gov.ua/laws/show/643-19" TargetMode="External"/><Relationship Id="rId5772" Type="http://schemas.openxmlformats.org/officeDocument/2006/relationships/hyperlink" Target="https://zakon.rada.gov.ua/laws/show/1166-18" TargetMode="External"/><Relationship Id="rId1011" Type="http://schemas.openxmlformats.org/officeDocument/2006/relationships/hyperlink" Target="https://zakon.rada.gov.ua/laws/show/2755-17/print" TargetMode="External"/><Relationship Id="rId1968" Type="http://schemas.openxmlformats.org/officeDocument/2006/relationships/hyperlink" Target="https://zakon.rada.gov.ua/laws/show/2755-17/print" TargetMode="External"/><Relationship Id="rId4167" Type="http://schemas.openxmlformats.org/officeDocument/2006/relationships/hyperlink" Target="https://zakon.rada.gov.ua/laws/show/5503-17" TargetMode="External"/><Relationship Id="rId4374" Type="http://schemas.openxmlformats.org/officeDocument/2006/relationships/hyperlink" Target="https://zakon.rada.gov.ua/laws/show/1166-18" TargetMode="External"/><Relationship Id="rId4581" Type="http://schemas.openxmlformats.org/officeDocument/2006/relationships/hyperlink" Target="https://zakon.rada.gov.ua/laws/show/909-19" TargetMode="External"/><Relationship Id="rId5218" Type="http://schemas.openxmlformats.org/officeDocument/2006/relationships/hyperlink" Target="https://zakon.rada.gov.ua/laws/show/1797-19" TargetMode="External"/><Relationship Id="rId5425" Type="http://schemas.openxmlformats.org/officeDocument/2006/relationships/hyperlink" Target="https://zakon.rada.gov.ua/laws/show/909-19" TargetMode="External"/><Relationship Id="rId5632" Type="http://schemas.openxmlformats.org/officeDocument/2006/relationships/hyperlink" Target="https://zakon.rada.gov.ua/laws/show/2755-17/print" TargetMode="External"/><Relationship Id="rId3183" Type="http://schemas.openxmlformats.org/officeDocument/2006/relationships/hyperlink" Target="https://zakon.rada.gov.ua/laws/show/657-18" TargetMode="External"/><Relationship Id="rId3390" Type="http://schemas.openxmlformats.org/officeDocument/2006/relationships/hyperlink" Target="https://zakon.rada.gov.ua/laws/show/2755-17/print" TargetMode="External"/><Relationship Id="rId4027" Type="http://schemas.openxmlformats.org/officeDocument/2006/relationships/hyperlink" Target="https://zakon.rada.gov.ua/laws/show/584%D0%B0-18" TargetMode="External"/><Relationship Id="rId4234" Type="http://schemas.openxmlformats.org/officeDocument/2006/relationships/hyperlink" Target="https://zakon.rada.gov.ua/laws/show/2628-19" TargetMode="External"/><Relationship Id="rId4441" Type="http://schemas.openxmlformats.org/officeDocument/2006/relationships/hyperlink" Target="https://zakon.rada.gov.ua/laws/show/2755-17/print" TargetMode="External"/><Relationship Id="rId1828" Type="http://schemas.openxmlformats.org/officeDocument/2006/relationships/hyperlink" Target="https://zakon.rada.gov.ua/laws/show/606-14" TargetMode="External"/><Relationship Id="rId3043" Type="http://schemas.openxmlformats.org/officeDocument/2006/relationships/hyperlink" Target="https://zakon.rada.gov.ua/laws/show/4834-17" TargetMode="External"/><Relationship Id="rId3250" Type="http://schemas.openxmlformats.org/officeDocument/2006/relationships/hyperlink" Target="https://zakon.rada.gov.ua/laws/show/1621-18" TargetMode="External"/><Relationship Id="rId6199" Type="http://schemas.openxmlformats.org/officeDocument/2006/relationships/hyperlink" Target="https://zakon.rada.gov.ua/laws/show/812-19" TargetMode="External"/><Relationship Id="rId171" Type="http://schemas.openxmlformats.org/officeDocument/2006/relationships/hyperlink" Target="https://zakon.rada.gov.ua/laws/show/2456-17" TargetMode="External"/><Relationship Id="rId4301" Type="http://schemas.openxmlformats.org/officeDocument/2006/relationships/hyperlink" Target="https://zakon.rada.gov.ua/laws/show/2628-19" TargetMode="External"/><Relationship Id="rId6059" Type="http://schemas.openxmlformats.org/officeDocument/2006/relationships/hyperlink" Target="https://zakon.rada.gov.ua/laws/show/2755-17/print" TargetMode="External"/><Relationship Id="rId6266" Type="http://schemas.openxmlformats.org/officeDocument/2006/relationships/hyperlink" Target="https://zakon.rada.gov.ua/laws/show/1797-19" TargetMode="External"/><Relationship Id="rId3110" Type="http://schemas.openxmlformats.org/officeDocument/2006/relationships/hyperlink" Target="https://zakon.rada.gov.ua/laws/show/1069-97-%D0%BF" TargetMode="External"/><Relationship Id="rId988" Type="http://schemas.openxmlformats.org/officeDocument/2006/relationships/hyperlink" Target="https://zakon.rada.gov.ua/laws/show/1797-19" TargetMode="External"/><Relationship Id="rId2669" Type="http://schemas.openxmlformats.org/officeDocument/2006/relationships/hyperlink" Target="https://zakon.rada.gov.ua/laws/show/2628-19" TargetMode="External"/><Relationship Id="rId2876" Type="http://schemas.openxmlformats.org/officeDocument/2006/relationships/hyperlink" Target="https://zakon.rada.gov.ua/laws/show/1797-19" TargetMode="External"/><Relationship Id="rId3927" Type="http://schemas.openxmlformats.org/officeDocument/2006/relationships/hyperlink" Target="https://zakon.rada.gov.ua/laws/show/2755-17/print" TargetMode="External"/><Relationship Id="rId5075" Type="http://schemas.openxmlformats.org/officeDocument/2006/relationships/hyperlink" Target="https://zakon.rada.gov.ua/laws/show/1797-19" TargetMode="External"/><Relationship Id="rId5282" Type="http://schemas.openxmlformats.org/officeDocument/2006/relationships/hyperlink" Target="https://zakon.rada.gov.ua/laws/show/796-12" TargetMode="External"/><Relationship Id="rId6126" Type="http://schemas.openxmlformats.org/officeDocument/2006/relationships/hyperlink" Target="https://zakon.rada.gov.ua/laws/show/71-19" TargetMode="External"/><Relationship Id="rId848" Type="http://schemas.openxmlformats.org/officeDocument/2006/relationships/hyperlink" Target="https://zakon.rada.gov.ua/laws/show/2245-19" TargetMode="External"/><Relationship Id="rId1478" Type="http://schemas.openxmlformats.org/officeDocument/2006/relationships/hyperlink" Target="https://zakon.rada.gov.ua/laws/show/408-18" TargetMode="External"/><Relationship Id="rId1685" Type="http://schemas.openxmlformats.org/officeDocument/2006/relationships/hyperlink" Target="https://zakon.rada.gov.ua/laws/show/1797-19" TargetMode="External"/><Relationship Id="rId1892" Type="http://schemas.openxmlformats.org/officeDocument/2006/relationships/hyperlink" Target="https://zakon.rada.gov.ua/laws/show/2755-17/print" TargetMode="External"/><Relationship Id="rId2529" Type="http://schemas.openxmlformats.org/officeDocument/2006/relationships/hyperlink" Target="https://zakon.rada.gov.ua/laws/show/2755-17/print" TargetMode="External"/><Relationship Id="rId2736" Type="http://schemas.openxmlformats.org/officeDocument/2006/relationships/hyperlink" Target="https://zakon.rada.gov.ua/laws/show/1797-19" TargetMode="External"/><Relationship Id="rId4091" Type="http://schemas.openxmlformats.org/officeDocument/2006/relationships/hyperlink" Target="https://zakon.rada.gov.ua/laws/show/922-19" TargetMode="External"/><Relationship Id="rId5142" Type="http://schemas.openxmlformats.org/officeDocument/2006/relationships/hyperlink" Target="https://zakon.rada.gov.ua/laws/show/5412-17" TargetMode="External"/><Relationship Id="rId708" Type="http://schemas.openxmlformats.org/officeDocument/2006/relationships/hyperlink" Target="https://zakon.rada.gov.ua/laws/show/1797-19" TargetMode="External"/><Relationship Id="rId915" Type="http://schemas.openxmlformats.org/officeDocument/2006/relationships/hyperlink" Target="https://zakon.rada.gov.ua/laws/show/1797-19" TargetMode="External"/><Relationship Id="rId1338" Type="http://schemas.openxmlformats.org/officeDocument/2006/relationships/hyperlink" Target="https://zakon.rada.gov.ua/laws/show/1797-19" TargetMode="External"/><Relationship Id="rId1545" Type="http://schemas.openxmlformats.org/officeDocument/2006/relationships/hyperlink" Target="https://zakon.rada.gov.ua/laws/show/2755-17/print" TargetMode="External"/><Relationship Id="rId2943" Type="http://schemas.openxmlformats.org/officeDocument/2006/relationships/hyperlink" Target="https://zakon.rada.gov.ua/laws/show/657-18" TargetMode="External"/><Relationship Id="rId5002" Type="http://schemas.openxmlformats.org/officeDocument/2006/relationships/hyperlink" Target="https://zakon.rada.gov.ua/laws/show/2755-17/print" TargetMode="External"/><Relationship Id="rId1405" Type="http://schemas.openxmlformats.org/officeDocument/2006/relationships/hyperlink" Target="https://zakon.rada.gov.ua/laws/show/4834-17" TargetMode="External"/><Relationship Id="rId1752" Type="http://schemas.openxmlformats.org/officeDocument/2006/relationships/hyperlink" Target="https://zakon.rada.gov.ua/laws/show/2755-17/print" TargetMode="External"/><Relationship Id="rId2803" Type="http://schemas.openxmlformats.org/officeDocument/2006/relationships/hyperlink" Target="https://zakon.rada.gov.ua/laws/show/4495-17" TargetMode="External"/><Relationship Id="rId5959" Type="http://schemas.openxmlformats.org/officeDocument/2006/relationships/hyperlink" Target="https://zakon.rada.gov.ua/laws/show/2371%D0%B0-14" TargetMode="External"/><Relationship Id="rId44" Type="http://schemas.openxmlformats.org/officeDocument/2006/relationships/hyperlink" Target="https://zakon.rada.gov.ua/laws/show/5503-17" TargetMode="External"/><Relationship Id="rId1612" Type="http://schemas.openxmlformats.org/officeDocument/2006/relationships/hyperlink" Target="https://zakon.rada.gov.ua/laws/show/2135-12" TargetMode="External"/><Relationship Id="rId4768" Type="http://schemas.openxmlformats.org/officeDocument/2006/relationships/hyperlink" Target="https://zakon.rada.gov.ua/laws/show/557-19" TargetMode="External"/><Relationship Id="rId4975" Type="http://schemas.openxmlformats.org/officeDocument/2006/relationships/hyperlink" Target="https://zakon.rada.gov.ua/laws/show/71-19" TargetMode="External"/><Relationship Id="rId5819" Type="http://schemas.openxmlformats.org/officeDocument/2006/relationships/hyperlink" Target="https://zakon.rada.gov.ua/laws/show/334/94-%D0%B2%D1%80" TargetMode="External"/><Relationship Id="rId6190" Type="http://schemas.openxmlformats.org/officeDocument/2006/relationships/hyperlink" Target="https://zakon.rada.gov.ua/laws/show/303/2014" TargetMode="External"/><Relationship Id="rId498" Type="http://schemas.openxmlformats.org/officeDocument/2006/relationships/hyperlink" Target="https://zakon.rada.gov.ua/laws/show/2755-17/print" TargetMode="External"/><Relationship Id="rId2179" Type="http://schemas.openxmlformats.org/officeDocument/2006/relationships/hyperlink" Target="https://zakon.rada.gov.ua/laws/show/2245-19" TargetMode="External"/><Relationship Id="rId3577" Type="http://schemas.openxmlformats.org/officeDocument/2006/relationships/hyperlink" Target="https://zakon.rada.gov.ua/laws/show/4495-17" TargetMode="External"/><Relationship Id="rId3784" Type="http://schemas.openxmlformats.org/officeDocument/2006/relationships/hyperlink" Target="https://zakon.rada.gov.ua/laws/show/584%D0%B0-18" TargetMode="External"/><Relationship Id="rId3991" Type="http://schemas.openxmlformats.org/officeDocument/2006/relationships/hyperlink" Target="https://zakon.rada.gov.ua/laws/show/2628-19" TargetMode="External"/><Relationship Id="rId4628" Type="http://schemas.openxmlformats.org/officeDocument/2006/relationships/hyperlink" Target="https://zakon.rada.gov.ua/laws/show/1797-19" TargetMode="External"/><Relationship Id="rId4835" Type="http://schemas.openxmlformats.org/officeDocument/2006/relationships/hyperlink" Target="https://zakon.rada.gov.ua/laws/show/5083-17" TargetMode="External"/><Relationship Id="rId2386" Type="http://schemas.openxmlformats.org/officeDocument/2006/relationships/hyperlink" Target="https://zakon.rada.gov.ua/laws/show/2755-17/print" TargetMode="External"/><Relationship Id="rId2593" Type="http://schemas.openxmlformats.org/officeDocument/2006/relationships/hyperlink" Target="https://zakon.rada.gov.ua/laws/show/2755-17/print" TargetMode="External"/><Relationship Id="rId3437" Type="http://schemas.openxmlformats.org/officeDocument/2006/relationships/hyperlink" Target="https://zakon.rada.gov.ua/laws/show/1621-18" TargetMode="External"/><Relationship Id="rId3644" Type="http://schemas.openxmlformats.org/officeDocument/2006/relationships/hyperlink" Target="https://zakon.rada.gov.ua/laws/show/2755-17/print" TargetMode="External"/><Relationship Id="rId3851" Type="http://schemas.openxmlformats.org/officeDocument/2006/relationships/hyperlink" Target="https://zakon.rada.gov.ua/laws/show/2628-19" TargetMode="External"/><Relationship Id="rId4902" Type="http://schemas.openxmlformats.org/officeDocument/2006/relationships/hyperlink" Target="https://zakon.rada.gov.ua/laws/show/2755-17/print" TargetMode="External"/><Relationship Id="rId6050" Type="http://schemas.openxmlformats.org/officeDocument/2006/relationships/hyperlink" Target="https://zakon.rada.gov.ua/laws/show/129-20" TargetMode="External"/><Relationship Id="rId358" Type="http://schemas.openxmlformats.org/officeDocument/2006/relationships/hyperlink" Target="https://zakon.rada.gov.ua/laws/show/71-19" TargetMode="External"/><Relationship Id="rId565" Type="http://schemas.openxmlformats.org/officeDocument/2006/relationships/hyperlink" Target="https://zakon.rada.gov.ua/laws/show/1797-19" TargetMode="External"/><Relationship Id="rId772" Type="http://schemas.openxmlformats.org/officeDocument/2006/relationships/hyperlink" Target="https://zakon.rada.gov.ua/laws/show/1797-19" TargetMode="External"/><Relationship Id="rId1195" Type="http://schemas.openxmlformats.org/officeDocument/2006/relationships/hyperlink" Target="https://zakon.rada.gov.ua/laws/show/3609-17" TargetMode="External"/><Relationship Id="rId2039" Type="http://schemas.openxmlformats.org/officeDocument/2006/relationships/hyperlink" Target="https://zakon.rada.gov.ua/laws/show/2755-17/print" TargetMode="External"/><Relationship Id="rId2246" Type="http://schemas.openxmlformats.org/officeDocument/2006/relationships/hyperlink" Target="https://zakon.rada.gov.ua/laws/show/2755-17/print" TargetMode="External"/><Relationship Id="rId2453" Type="http://schemas.openxmlformats.org/officeDocument/2006/relationships/hyperlink" Target="https://zakon.rada.gov.ua/laws/show/2628-19" TargetMode="External"/><Relationship Id="rId2660" Type="http://schemas.openxmlformats.org/officeDocument/2006/relationships/hyperlink" Target="https://zakon.rada.gov.ua/laws/show/909-19" TargetMode="External"/><Relationship Id="rId3504" Type="http://schemas.openxmlformats.org/officeDocument/2006/relationships/hyperlink" Target="https://zakon.rada.gov.ua/laws/show/z0137-16" TargetMode="External"/><Relationship Id="rId3711" Type="http://schemas.openxmlformats.org/officeDocument/2006/relationships/hyperlink" Target="https://zakon.rada.gov.ua/laws/show/4915-17" TargetMode="External"/><Relationship Id="rId218" Type="http://schemas.openxmlformats.org/officeDocument/2006/relationships/hyperlink" Target="https://zakon.rada.gov.ua/laws/show/2628-19" TargetMode="External"/><Relationship Id="rId425" Type="http://schemas.openxmlformats.org/officeDocument/2006/relationships/hyperlink" Target="https://zakon.rada.gov.ua/laws/show/5503-17" TargetMode="External"/><Relationship Id="rId632" Type="http://schemas.openxmlformats.org/officeDocument/2006/relationships/hyperlink" Target="https://zakon.rada.gov.ua/laws/show/657-18" TargetMode="External"/><Relationship Id="rId1055" Type="http://schemas.openxmlformats.org/officeDocument/2006/relationships/hyperlink" Target="https://zakon.rada.gov.ua/laws/show/404-18" TargetMode="External"/><Relationship Id="rId1262" Type="http://schemas.openxmlformats.org/officeDocument/2006/relationships/hyperlink" Target="https://zakon.rada.gov.ua/laws/show/z1415-15" TargetMode="External"/><Relationship Id="rId2106" Type="http://schemas.openxmlformats.org/officeDocument/2006/relationships/hyperlink" Target="https://zakon.rada.gov.ua/laws/show/1667-19" TargetMode="External"/><Relationship Id="rId2313" Type="http://schemas.openxmlformats.org/officeDocument/2006/relationships/hyperlink" Target="https://zakon.rada.gov.ua/laws/show/4834-17" TargetMode="External"/><Relationship Id="rId2520" Type="http://schemas.openxmlformats.org/officeDocument/2006/relationships/hyperlink" Target="https://zakon.rada.gov.ua/laws/show/3551-12" TargetMode="External"/><Relationship Id="rId5469" Type="http://schemas.openxmlformats.org/officeDocument/2006/relationships/hyperlink" Target="https://zakon.rada.gov.ua/laws/show/2628-19" TargetMode="External"/><Relationship Id="rId5676" Type="http://schemas.openxmlformats.org/officeDocument/2006/relationships/hyperlink" Target="https://zakon.rada.gov.ua/laws/show/449-2018-%D0%BF" TargetMode="External"/><Relationship Id="rId1122" Type="http://schemas.openxmlformats.org/officeDocument/2006/relationships/hyperlink" Target="https://zakon.rada.gov.ua/laws/show/909-19" TargetMode="External"/><Relationship Id="rId4278" Type="http://schemas.openxmlformats.org/officeDocument/2006/relationships/hyperlink" Target="https://zakon.rada.gov.ua/laws/show/2628-19" TargetMode="External"/><Relationship Id="rId4485" Type="http://schemas.openxmlformats.org/officeDocument/2006/relationships/hyperlink" Target="https://zakon.rada.gov.ua/laws/show/329-19" TargetMode="External"/><Relationship Id="rId5329" Type="http://schemas.openxmlformats.org/officeDocument/2006/relationships/hyperlink" Target="https://zakon.rada.gov.ua/laws/show/2371%D0%B0-14" TargetMode="External"/><Relationship Id="rId5536" Type="http://schemas.openxmlformats.org/officeDocument/2006/relationships/hyperlink" Target="https://zakon.rada.gov.ua/laws/show/2755-17/print" TargetMode="External"/><Relationship Id="rId5883" Type="http://schemas.openxmlformats.org/officeDocument/2006/relationships/hyperlink" Target="https://zakon.rada.gov.ua/laws/show/1797-19" TargetMode="External"/><Relationship Id="rId3087" Type="http://schemas.openxmlformats.org/officeDocument/2006/relationships/hyperlink" Target="https://zakon.rada.gov.ua/laws/show/5073-17" TargetMode="External"/><Relationship Id="rId3294" Type="http://schemas.openxmlformats.org/officeDocument/2006/relationships/hyperlink" Target="https://zakon.rada.gov.ua/laws/show/1797-19" TargetMode="External"/><Relationship Id="rId4138" Type="http://schemas.openxmlformats.org/officeDocument/2006/relationships/hyperlink" Target="https://zakon.rada.gov.ua/laws/show/909-19" TargetMode="External"/><Relationship Id="rId4345" Type="http://schemas.openxmlformats.org/officeDocument/2006/relationships/hyperlink" Target="https://zakon.rada.gov.ua/laws/show/2628-19" TargetMode="External"/><Relationship Id="rId4692" Type="http://schemas.openxmlformats.org/officeDocument/2006/relationships/hyperlink" Target="https://zakon.rada.gov.ua/laws/show/2628-19" TargetMode="External"/><Relationship Id="rId5743" Type="http://schemas.openxmlformats.org/officeDocument/2006/relationships/hyperlink" Target="https://zakon.rada.gov.ua/laws/show/2755-17/print" TargetMode="External"/><Relationship Id="rId5950" Type="http://schemas.openxmlformats.org/officeDocument/2006/relationships/hyperlink" Target="https://zakon.rada.gov.ua/laws/show/2755-17/print" TargetMode="External"/><Relationship Id="rId1939" Type="http://schemas.openxmlformats.org/officeDocument/2006/relationships/hyperlink" Target="https://zakon.rada.gov.ua/laws/show/1797-19" TargetMode="External"/><Relationship Id="rId4552" Type="http://schemas.openxmlformats.org/officeDocument/2006/relationships/hyperlink" Target="https://zakon.rada.gov.ua/laws/show/909-19" TargetMode="External"/><Relationship Id="rId5603" Type="http://schemas.openxmlformats.org/officeDocument/2006/relationships/hyperlink" Target="https://zakon.rada.gov.ua/laws/show/2755-17/print" TargetMode="External"/><Relationship Id="rId5810" Type="http://schemas.openxmlformats.org/officeDocument/2006/relationships/hyperlink" Target="https://zakon.rada.gov.ua/laws/show/2755-17/print" TargetMode="External"/><Relationship Id="rId3154" Type="http://schemas.openxmlformats.org/officeDocument/2006/relationships/hyperlink" Target="https://zakon.rada.gov.ua/laws/show/3609-17" TargetMode="External"/><Relationship Id="rId3361" Type="http://schemas.openxmlformats.org/officeDocument/2006/relationships/hyperlink" Target="https://zakon.rada.gov.ua/laws/show/909-19" TargetMode="External"/><Relationship Id="rId4205" Type="http://schemas.openxmlformats.org/officeDocument/2006/relationships/hyperlink" Target="https://zakon.rada.gov.ua/laws/show/2628-19" TargetMode="External"/><Relationship Id="rId4412" Type="http://schemas.openxmlformats.org/officeDocument/2006/relationships/hyperlink" Target="https://zakon.rada.gov.ua/laws/show/909-19" TargetMode="External"/><Relationship Id="rId282" Type="http://schemas.openxmlformats.org/officeDocument/2006/relationships/hyperlink" Target="https://zakon.rada.gov.ua/laws/show/1797-19" TargetMode="External"/><Relationship Id="rId2170" Type="http://schemas.openxmlformats.org/officeDocument/2006/relationships/hyperlink" Target="https://zakon.rada.gov.ua/laws/show/2628-19" TargetMode="External"/><Relationship Id="rId3014" Type="http://schemas.openxmlformats.org/officeDocument/2006/relationships/hyperlink" Target="https://zakon.rada.gov.ua/laws/show/71-19" TargetMode="External"/><Relationship Id="rId3221" Type="http://schemas.openxmlformats.org/officeDocument/2006/relationships/hyperlink" Target="https://zakon.rada.gov.ua/laws/show/4834-17" TargetMode="External"/><Relationship Id="rId8" Type="http://schemas.openxmlformats.org/officeDocument/2006/relationships/hyperlink" Target="https://zakon.rada.gov.ua/laws/show/3292-17" TargetMode="External"/><Relationship Id="rId142" Type="http://schemas.openxmlformats.org/officeDocument/2006/relationships/hyperlink" Target="https://zakon.rada.gov.ua/laws/show/404-18" TargetMode="External"/><Relationship Id="rId2030" Type="http://schemas.openxmlformats.org/officeDocument/2006/relationships/hyperlink" Target="https://zakon.rada.gov.ua/laws/show/909-19" TargetMode="External"/><Relationship Id="rId2987" Type="http://schemas.openxmlformats.org/officeDocument/2006/relationships/hyperlink" Target="https://zakon.rada.gov.ua/laws/show/4915-17" TargetMode="External"/><Relationship Id="rId5186" Type="http://schemas.openxmlformats.org/officeDocument/2006/relationships/hyperlink" Target="https://zakon.rada.gov.ua/laws/show/71-19" TargetMode="External"/><Relationship Id="rId5393" Type="http://schemas.openxmlformats.org/officeDocument/2006/relationships/hyperlink" Target="https://zakon.rada.gov.ua/laws/show/4495-17" TargetMode="External"/><Relationship Id="rId6237" Type="http://schemas.openxmlformats.org/officeDocument/2006/relationships/hyperlink" Target="https://zakon.rada.gov.ua/laws/show/2628-19" TargetMode="External"/><Relationship Id="rId959" Type="http://schemas.openxmlformats.org/officeDocument/2006/relationships/hyperlink" Target="https://zakon.rada.gov.ua/laws/show/2245-19" TargetMode="External"/><Relationship Id="rId1589" Type="http://schemas.openxmlformats.org/officeDocument/2006/relationships/hyperlink" Target="https://zakon.rada.gov.ua/laws/show/2755-17/print" TargetMode="External"/><Relationship Id="rId5046" Type="http://schemas.openxmlformats.org/officeDocument/2006/relationships/hyperlink" Target="https://zakon.rada.gov.ua/laws/show/4834-17" TargetMode="External"/><Relationship Id="rId5253" Type="http://schemas.openxmlformats.org/officeDocument/2006/relationships/hyperlink" Target="https://zakon.rada.gov.ua/laws/show/2755-17/print" TargetMode="External"/><Relationship Id="rId5460" Type="http://schemas.openxmlformats.org/officeDocument/2006/relationships/hyperlink" Target="https://zakon.rada.gov.ua/laws/show/2463-19" TargetMode="External"/><Relationship Id="rId6304" Type="http://schemas.openxmlformats.org/officeDocument/2006/relationships/hyperlink" Target="https://zakon.rada.gov.ua/laws/show/2755-17/print" TargetMode="External"/><Relationship Id="rId1449" Type="http://schemas.openxmlformats.org/officeDocument/2006/relationships/hyperlink" Target="https://zakon.rada.gov.ua/laws/show/652-19" TargetMode="External"/><Relationship Id="rId1796" Type="http://schemas.openxmlformats.org/officeDocument/2006/relationships/hyperlink" Target="https://zakon.rada.gov.ua/laws/show/2755-17/print" TargetMode="External"/><Relationship Id="rId2847" Type="http://schemas.openxmlformats.org/officeDocument/2006/relationships/hyperlink" Target="https://zakon.rada.gov.ua/laws/show/5503-17" TargetMode="External"/><Relationship Id="rId4062" Type="http://schemas.openxmlformats.org/officeDocument/2006/relationships/hyperlink" Target="https://zakon.rada.gov.ua/laws/show/71-19" TargetMode="External"/><Relationship Id="rId5113" Type="http://schemas.openxmlformats.org/officeDocument/2006/relationships/hyperlink" Target="https://zakon.rada.gov.ua/laws/show/5412-17" TargetMode="External"/><Relationship Id="rId88" Type="http://schemas.openxmlformats.org/officeDocument/2006/relationships/hyperlink" Target="https://zakon.rada.gov.ua/laws/show/344-19" TargetMode="External"/><Relationship Id="rId819" Type="http://schemas.openxmlformats.org/officeDocument/2006/relationships/hyperlink" Target="https://zakon.rada.gov.ua/laws/show/1797-19" TargetMode="External"/><Relationship Id="rId1656" Type="http://schemas.openxmlformats.org/officeDocument/2006/relationships/hyperlink" Target="https://zakon.rada.gov.ua/laws/show/2755-17/print" TargetMode="External"/><Relationship Id="rId1863" Type="http://schemas.openxmlformats.org/officeDocument/2006/relationships/hyperlink" Target="https://zakon.rada.gov.ua/laws/show/1244-2010-%D0%BF" TargetMode="External"/><Relationship Id="rId2707" Type="http://schemas.openxmlformats.org/officeDocument/2006/relationships/hyperlink" Target="https://zakon.rada.gov.ua/laws/show/2755-17/print" TargetMode="External"/><Relationship Id="rId2914" Type="http://schemas.openxmlformats.org/officeDocument/2006/relationships/hyperlink" Target="https://zakon.rada.gov.ua/laws/show/657-18" TargetMode="External"/><Relationship Id="rId5320" Type="http://schemas.openxmlformats.org/officeDocument/2006/relationships/hyperlink" Target="https://zakon.rada.gov.ua/laws/show/2755-17/print" TargetMode="External"/><Relationship Id="rId1309" Type="http://schemas.openxmlformats.org/officeDocument/2006/relationships/hyperlink" Target="https://zakon.rada.gov.ua/laws/show/1797-19" TargetMode="External"/><Relationship Id="rId1516" Type="http://schemas.openxmlformats.org/officeDocument/2006/relationships/hyperlink" Target="https://zakon.rada.gov.ua/laws/show/408-18" TargetMode="External"/><Relationship Id="rId1723" Type="http://schemas.openxmlformats.org/officeDocument/2006/relationships/hyperlink" Target="https://zakon.rada.gov.ua/laws/show/2755-17/print" TargetMode="External"/><Relationship Id="rId1930" Type="http://schemas.openxmlformats.org/officeDocument/2006/relationships/hyperlink" Target="https://zakon.rada.gov.ua/laws/show/1797-19" TargetMode="External"/><Relationship Id="rId4879" Type="http://schemas.openxmlformats.org/officeDocument/2006/relationships/hyperlink" Target="https://zakon.rada.gov.ua/laws/show/5083-17" TargetMode="External"/><Relationship Id="rId15" Type="http://schemas.openxmlformats.org/officeDocument/2006/relationships/hyperlink" Target="https://zakon.rada.gov.ua/laws/show/4014-17" TargetMode="External"/><Relationship Id="rId3688" Type="http://schemas.openxmlformats.org/officeDocument/2006/relationships/hyperlink" Target="https://zakon.rada.gov.ua/laws/show/71-19" TargetMode="External"/><Relationship Id="rId3895" Type="http://schemas.openxmlformats.org/officeDocument/2006/relationships/hyperlink" Target="https://zakon.rada.gov.ua/laws/show/1797-19" TargetMode="External"/><Relationship Id="rId4739" Type="http://schemas.openxmlformats.org/officeDocument/2006/relationships/hyperlink" Target="https://zakon.rada.gov.ua/laws/show/2755-17/print" TargetMode="External"/><Relationship Id="rId4946" Type="http://schemas.openxmlformats.org/officeDocument/2006/relationships/hyperlink" Target="https://zakon.rada.gov.ua/laws/show/71-19" TargetMode="External"/><Relationship Id="rId6094" Type="http://schemas.openxmlformats.org/officeDocument/2006/relationships/hyperlink" Target="https://zakon.rada.gov.ua/laws/show/4834-17" TargetMode="External"/><Relationship Id="rId2497" Type="http://schemas.openxmlformats.org/officeDocument/2006/relationships/hyperlink" Target="https://zakon.rada.gov.ua/laws/show/2456-17" TargetMode="External"/><Relationship Id="rId3548" Type="http://schemas.openxmlformats.org/officeDocument/2006/relationships/hyperlink" Target="https://zakon.rada.gov.ua/laws/show/4014-17" TargetMode="External"/><Relationship Id="rId3755" Type="http://schemas.openxmlformats.org/officeDocument/2006/relationships/hyperlink" Target="https://zakon.rada.gov.ua/laws/show/909-19" TargetMode="External"/><Relationship Id="rId4806" Type="http://schemas.openxmlformats.org/officeDocument/2006/relationships/hyperlink" Target="https://zakon.rada.gov.ua/laws/show/71-19" TargetMode="External"/><Relationship Id="rId6161" Type="http://schemas.openxmlformats.org/officeDocument/2006/relationships/hyperlink" Target="https://zakon.rada.gov.ua/laws/show/2755-17/print" TargetMode="External"/><Relationship Id="rId469" Type="http://schemas.openxmlformats.org/officeDocument/2006/relationships/hyperlink" Target="https://zakon.rada.gov.ua/laws/show/72-19" TargetMode="External"/><Relationship Id="rId676" Type="http://schemas.openxmlformats.org/officeDocument/2006/relationships/hyperlink" Target="https://zakon.rada.gov.ua/laws/show/1797-19" TargetMode="External"/><Relationship Id="rId883" Type="http://schemas.openxmlformats.org/officeDocument/2006/relationships/hyperlink" Target="https://zakon.rada.gov.ua/laws/show/1797-19" TargetMode="External"/><Relationship Id="rId1099" Type="http://schemas.openxmlformats.org/officeDocument/2006/relationships/hyperlink" Target="https://zakon.rada.gov.ua/laws/show/2755-17/print" TargetMode="External"/><Relationship Id="rId2357" Type="http://schemas.openxmlformats.org/officeDocument/2006/relationships/hyperlink" Target="https://zakon.rada.gov.ua/laws/show/2011-12" TargetMode="External"/><Relationship Id="rId2564" Type="http://schemas.openxmlformats.org/officeDocument/2006/relationships/hyperlink" Target="https://zakon.rada.gov.ua/laws/show/3609-17" TargetMode="External"/><Relationship Id="rId3408" Type="http://schemas.openxmlformats.org/officeDocument/2006/relationships/hyperlink" Target="https://zakon.rada.gov.ua/laws/show/v457a609-10" TargetMode="External"/><Relationship Id="rId3615" Type="http://schemas.openxmlformats.org/officeDocument/2006/relationships/hyperlink" Target="https://zakon.rada.gov.ua/laws/show/2755-17/print" TargetMode="External"/><Relationship Id="rId3962" Type="http://schemas.openxmlformats.org/officeDocument/2006/relationships/hyperlink" Target="https://zakon.rada.gov.ua/laws/show/2628-19" TargetMode="External"/><Relationship Id="rId6021" Type="http://schemas.openxmlformats.org/officeDocument/2006/relationships/hyperlink" Target="https://zakon.rada.gov.ua/laws/show/2628-19" TargetMode="External"/><Relationship Id="rId329" Type="http://schemas.openxmlformats.org/officeDocument/2006/relationships/hyperlink" Target="https://zakon.rada.gov.ua/laws/show/2755-17/print" TargetMode="External"/><Relationship Id="rId536" Type="http://schemas.openxmlformats.org/officeDocument/2006/relationships/hyperlink" Target="https://zakon.rada.gov.ua/laws/show/391-20" TargetMode="External"/><Relationship Id="rId1166" Type="http://schemas.openxmlformats.org/officeDocument/2006/relationships/hyperlink" Target="https://zakon.rada.gov.ua/laws/show/5503-17" TargetMode="External"/><Relationship Id="rId1373" Type="http://schemas.openxmlformats.org/officeDocument/2006/relationships/hyperlink" Target="https://zakon.rada.gov.ua/laws/show/404-18" TargetMode="External"/><Relationship Id="rId2217" Type="http://schemas.openxmlformats.org/officeDocument/2006/relationships/hyperlink" Target="https://zakon.rada.gov.ua/laws/show/3759-12" TargetMode="External"/><Relationship Id="rId2771" Type="http://schemas.openxmlformats.org/officeDocument/2006/relationships/hyperlink" Target="https://zakon.rada.gov.ua/laws/show/z2179-13" TargetMode="External"/><Relationship Id="rId3822" Type="http://schemas.openxmlformats.org/officeDocument/2006/relationships/hyperlink" Target="https://zakon.rada.gov.ua/laws/show/1797-19" TargetMode="External"/><Relationship Id="rId743" Type="http://schemas.openxmlformats.org/officeDocument/2006/relationships/hyperlink" Target="https://zakon.rada.gov.ua/laws/show/609-19" TargetMode="External"/><Relationship Id="rId950" Type="http://schemas.openxmlformats.org/officeDocument/2006/relationships/hyperlink" Target="https://zakon.rada.gov.ua/laws/show/1797-19" TargetMode="External"/><Relationship Id="rId1026" Type="http://schemas.openxmlformats.org/officeDocument/2006/relationships/hyperlink" Target="https://zakon.rada.gov.ua/laws/show/z1415-15" TargetMode="External"/><Relationship Id="rId1580" Type="http://schemas.openxmlformats.org/officeDocument/2006/relationships/hyperlink" Target="https://zakon.rada.gov.ua/laws/show/2755-17/print" TargetMode="External"/><Relationship Id="rId2424" Type="http://schemas.openxmlformats.org/officeDocument/2006/relationships/hyperlink" Target="https://zakon.rada.gov.ua/laws/show/4834-17" TargetMode="External"/><Relationship Id="rId2631" Type="http://schemas.openxmlformats.org/officeDocument/2006/relationships/hyperlink" Target="https://zakon.rada.gov.ua/laws/show/2755-17/print" TargetMode="External"/><Relationship Id="rId4389" Type="http://schemas.openxmlformats.org/officeDocument/2006/relationships/hyperlink" Target="https://zakon.rada.gov.ua/laws/show/2245-19" TargetMode="External"/><Relationship Id="rId5787" Type="http://schemas.openxmlformats.org/officeDocument/2006/relationships/hyperlink" Target="https://zakon.rada.gov.ua/laws/show/584%D0%B0-18" TargetMode="External"/><Relationship Id="rId5994" Type="http://schemas.openxmlformats.org/officeDocument/2006/relationships/hyperlink" Target="https://zakon.rada.gov.ua/laws/show/584%D0%B0-18" TargetMode="External"/><Relationship Id="rId603" Type="http://schemas.openxmlformats.org/officeDocument/2006/relationships/hyperlink" Target="https://zakon.rada.gov.ua/laws/show/2755-17/print" TargetMode="External"/><Relationship Id="rId810" Type="http://schemas.openxmlformats.org/officeDocument/2006/relationships/hyperlink" Target="https://zakon.rada.gov.ua/laws/show/1797-19" TargetMode="External"/><Relationship Id="rId1233" Type="http://schemas.openxmlformats.org/officeDocument/2006/relationships/hyperlink" Target="https://zakon.rada.gov.ua/laws/show/3609-17" TargetMode="External"/><Relationship Id="rId1440" Type="http://schemas.openxmlformats.org/officeDocument/2006/relationships/hyperlink" Target="https://zakon.rada.gov.ua/laws/show/5083-17" TargetMode="External"/><Relationship Id="rId4596" Type="http://schemas.openxmlformats.org/officeDocument/2006/relationships/hyperlink" Target="https://zakon.rada.gov.ua/laws/show/2755-17/print" TargetMode="External"/><Relationship Id="rId5647" Type="http://schemas.openxmlformats.org/officeDocument/2006/relationships/hyperlink" Target="https://zakon.rada.gov.ua/laws/show/2755-17/print" TargetMode="External"/><Relationship Id="rId5854" Type="http://schemas.openxmlformats.org/officeDocument/2006/relationships/hyperlink" Target="https://zakon.rada.gov.ua/laws/show/652-19" TargetMode="External"/><Relationship Id="rId1300" Type="http://schemas.openxmlformats.org/officeDocument/2006/relationships/hyperlink" Target="https://zakon.rada.gov.ua/laws/show/4834-17" TargetMode="External"/><Relationship Id="rId3198" Type="http://schemas.openxmlformats.org/officeDocument/2006/relationships/hyperlink" Target="https://zakon.rada.gov.ua/laws/show/1621-18" TargetMode="External"/><Relationship Id="rId4249" Type="http://schemas.openxmlformats.org/officeDocument/2006/relationships/hyperlink" Target="https://zakon.rada.gov.ua/laws/show/391-20" TargetMode="External"/><Relationship Id="rId4456" Type="http://schemas.openxmlformats.org/officeDocument/2006/relationships/hyperlink" Target="https://zakon.rada.gov.ua/laws/show/5083-17" TargetMode="External"/><Relationship Id="rId4663" Type="http://schemas.openxmlformats.org/officeDocument/2006/relationships/hyperlink" Target="https://zakon.rada.gov.ua/laws/show/344-20" TargetMode="External"/><Relationship Id="rId4870" Type="http://schemas.openxmlformats.org/officeDocument/2006/relationships/hyperlink" Target="https://zakon.rada.gov.ua/laws/show/5083-17" TargetMode="External"/><Relationship Id="rId5507" Type="http://schemas.openxmlformats.org/officeDocument/2006/relationships/hyperlink" Target="https://zakon.rada.gov.ua/laws/show/2755-17/print" TargetMode="External"/><Relationship Id="rId5714" Type="http://schemas.openxmlformats.org/officeDocument/2006/relationships/hyperlink" Target="https://zakon.rada.gov.ua/laws/show/2755-17/print" TargetMode="External"/><Relationship Id="rId5921" Type="http://schemas.openxmlformats.org/officeDocument/2006/relationships/hyperlink" Target="https://zakon.rada.gov.ua/laws/show/2371%D0%B0-14" TargetMode="External"/><Relationship Id="rId3058" Type="http://schemas.openxmlformats.org/officeDocument/2006/relationships/hyperlink" Target="https://zakon.rada.gov.ua/laws/show/4915-17" TargetMode="External"/><Relationship Id="rId3265" Type="http://schemas.openxmlformats.org/officeDocument/2006/relationships/hyperlink" Target="https://zakon.rada.gov.ua/laws/show/1797-19" TargetMode="External"/><Relationship Id="rId3472" Type="http://schemas.openxmlformats.org/officeDocument/2006/relationships/hyperlink" Target="https://zakon.rada.gov.ua/laws/show/1797-19" TargetMode="External"/><Relationship Id="rId4109" Type="http://schemas.openxmlformats.org/officeDocument/2006/relationships/hyperlink" Target="https://zakon.rada.gov.ua/laws/show/2628-19" TargetMode="External"/><Relationship Id="rId4316" Type="http://schemas.openxmlformats.org/officeDocument/2006/relationships/hyperlink" Target="https://zakon.rada.gov.ua/laws/show/391-20" TargetMode="External"/><Relationship Id="rId4523" Type="http://schemas.openxmlformats.org/officeDocument/2006/relationships/hyperlink" Target="https://zakon.rada.gov.ua/laws/show/1797-19" TargetMode="External"/><Relationship Id="rId4730" Type="http://schemas.openxmlformats.org/officeDocument/2006/relationships/hyperlink" Target="https://zakon.rada.gov.ua/laws/show/2755-17/print" TargetMode="External"/><Relationship Id="rId186" Type="http://schemas.openxmlformats.org/officeDocument/2006/relationships/hyperlink" Target="https://zakon.rada.gov.ua/laws/show/2456-17" TargetMode="External"/><Relationship Id="rId393" Type="http://schemas.openxmlformats.org/officeDocument/2006/relationships/hyperlink" Target="https://zakon.rada.gov.ua/laws/show/1039-14" TargetMode="External"/><Relationship Id="rId2074" Type="http://schemas.openxmlformats.org/officeDocument/2006/relationships/hyperlink" Target="https://zakon.rada.gov.ua/laws/show/2755-17/print" TargetMode="External"/><Relationship Id="rId2281" Type="http://schemas.openxmlformats.org/officeDocument/2006/relationships/hyperlink" Target="https://zakon.rada.gov.ua/laws/show/2755-17/print" TargetMode="External"/><Relationship Id="rId3125" Type="http://schemas.openxmlformats.org/officeDocument/2006/relationships/hyperlink" Target="https://zakon.rada.gov.ua/laws/show/1192-14" TargetMode="External"/><Relationship Id="rId3332" Type="http://schemas.openxmlformats.org/officeDocument/2006/relationships/hyperlink" Target="https://zakon.rada.gov.ua/laws/show/2755-17/print" TargetMode="External"/><Relationship Id="rId253" Type="http://schemas.openxmlformats.org/officeDocument/2006/relationships/hyperlink" Target="https://zakon.rada.gov.ua/laws/show/2755-17/print" TargetMode="External"/><Relationship Id="rId460" Type="http://schemas.openxmlformats.org/officeDocument/2006/relationships/hyperlink" Target="https://zakon.rada.gov.ua/laws/show/2245-19" TargetMode="External"/><Relationship Id="rId1090" Type="http://schemas.openxmlformats.org/officeDocument/2006/relationships/hyperlink" Target="https://zakon.rada.gov.ua/laws/show/1797-19" TargetMode="External"/><Relationship Id="rId2141" Type="http://schemas.openxmlformats.org/officeDocument/2006/relationships/hyperlink" Target="https://zakon.rada.gov.ua/laws/show/2755-17/print" TargetMode="External"/><Relationship Id="rId5297" Type="http://schemas.openxmlformats.org/officeDocument/2006/relationships/hyperlink" Target="https://zakon.rada.gov.ua/laws/show/3609-17" TargetMode="External"/><Relationship Id="rId113" Type="http://schemas.openxmlformats.org/officeDocument/2006/relationships/hyperlink" Target="https://zakon.rada.gov.ua/laws/show/1791-19" TargetMode="External"/><Relationship Id="rId320" Type="http://schemas.openxmlformats.org/officeDocument/2006/relationships/hyperlink" Target="https://zakon.rada.gov.ua/laws/show/72-19" TargetMode="External"/><Relationship Id="rId2001" Type="http://schemas.openxmlformats.org/officeDocument/2006/relationships/hyperlink" Target="https://zakon.rada.gov.ua/laws/show/z0137-16" TargetMode="External"/><Relationship Id="rId5157" Type="http://schemas.openxmlformats.org/officeDocument/2006/relationships/hyperlink" Target="https://zakon.rada.gov.ua/laws/show/2755-17/print" TargetMode="External"/><Relationship Id="rId6208" Type="http://schemas.openxmlformats.org/officeDocument/2006/relationships/hyperlink" Target="https://zakon.rada.gov.ua/laws/show/71-19" TargetMode="External"/><Relationship Id="rId2958" Type="http://schemas.openxmlformats.org/officeDocument/2006/relationships/hyperlink" Target="https://zakon.rada.gov.ua/laws/show/1084-19" TargetMode="External"/><Relationship Id="rId5017" Type="http://schemas.openxmlformats.org/officeDocument/2006/relationships/hyperlink" Target="https://zakon.rada.gov.ua/laws/show/1797-19" TargetMode="External"/><Relationship Id="rId5364" Type="http://schemas.openxmlformats.org/officeDocument/2006/relationships/hyperlink" Target="https://zakon.rada.gov.ua/laws/show/5503-17" TargetMode="External"/><Relationship Id="rId5571" Type="http://schemas.openxmlformats.org/officeDocument/2006/relationships/hyperlink" Target="https://zakon.rada.gov.ua/laws/show/643-19" TargetMode="External"/><Relationship Id="rId1767" Type="http://schemas.openxmlformats.org/officeDocument/2006/relationships/hyperlink" Target="https://zakon.rada.gov.ua/laws/show/1797-19" TargetMode="External"/><Relationship Id="rId1974" Type="http://schemas.openxmlformats.org/officeDocument/2006/relationships/hyperlink" Target="https://zakon.rada.gov.ua/laws/show/1797-19" TargetMode="External"/><Relationship Id="rId2818" Type="http://schemas.openxmlformats.org/officeDocument/2006/relationships/hyperlink" Target="https://zakon.rada.gov.ua/laws/show/4834-17" TargetMode="External"/><Relationship Id="rId4173" Type="http://schemas.openxmlformats.org/officeDocument/2006/relationships/hyperlink" Target="https://zakon.rada.gov.ua/laws/show/5503-17" TargetMode="External"/><Relationship Id="rId4380" Type="http://schemas.openxmlformats.org/officeDocument/2006/relationships/hyperlink" Target="https://zakon.rada.gov.ua/laws/show/1166-18" TargetMode="External"/><Relationship Id="rId5224" Type="http://schemas.openxmlformats.org/officeDocument/2006/relationships/hyperlink" Target="https://zakon.rada.gov.ua/laws/show/1797-19" TargetMode="External"/><Relationship Id="rId5431" Type="http://schemas.openxmlformats.org/officeDocument/2006/relationships/hyperlink" Target="https://zakon.rada.gov.ua/laws/show/2371%D0%B0-14" TargetMode="External"/><Relationship Id="rId59" Type="http://schemas.openxmlformats.org/officeDocument/2006/relationships/hyperlink" Target="https://zakon.rada.gov.ua/laws/show/727-18" TargetMode="External"/><Relationship Id="rId1627" Type="http://schemas.openxmlformats.org/officeDocument/2006/relationships/hyperlink" Target="https://zakon.rada.gov.ua/laws/show/2755-17/print" TargetMode="External"/><Relationship Id="rId1834" Type="http://schemas.openxmlformats.org/officeDocument/2006/relationships/hyperlink" Target="https://zakon.rada.gov.ua/laws/show/4834-17" TargetMode="External"/><Relationship Id="rId4033" Type="http://schemas.openxmlformats.org/officeDocument/2006/relationships/hyperlink" Target="https://zakon.rada.gov.ua/laws/show/1791-19" TargetMode="External"/><Relationship Id="rId4240" Type="http://schemas.openxmlformats.org/officeDocument/2006/relationships/hyperlink" Target="https://zakon.rada.gov.ua/laws/show/2755-17/print" TargetMode="External"/><Relationship Id="rId3799" Type="http://schemas.openxmlformats.org/officeDocument/2006/relationships/hyperlink" Target="https://zakon.rada.gov.ua/laws/show/584%D0%B1-18" TargetMode="External"/><Relationship Id="rId4100" Type="http://schemas.openxmlformats.org/officeDocument/2006/relationships/hyperlink" Target="https://zakon.rada.gov.ua/laws/show/2755-17/print" TargetMode="External"/><Relationship Id="rId1901" Type="http://schemas.openxmlformats.org/officeDocument/2006/relationships/hyperlink" Target="https://zakon.rada.gov.ua/laws/show/657-18" TargetMode="External"/><Relationship Id="rId3659" Type="http://schemas.openxmlformats.org/officeDocument/2006/relationships/hyperlink" Target="https://zakon.rada.gov.ua/laws/show/391-20" TargetMode="External"/><Relationship Id="rId6065" Type="http://schemas.openxmlformats.org/officeDocument/2006/relationships/hyperlink" Target="https://zakon.rada.gov.ua/laws/show/1248-2010-%D0%BF" TargetMode="External"/><Relationship Id="rId6272" Type="http://schemas.openxmlformats.org/officeDocument/2006/relationships/hyperlink" Target="https://zakon.rada.gov.ua/laws/show/2755-17/print" TargetMode="External"/><Relationship Id="rId3866" Type="http://schemas.openxmlformats.org/officeDocument/2006/relationships/hyperlink" Target="https://zakon.rada.gov.ua/laws/show/2628-19" TargetMode="External"/><Relationship Id="rId4917" Type="http://schemas.openxmlformats.org/officeDocument/2006/relationships/hyperlink" Target="https://zakon.rada.gov.ua/laws/show/909-19" TargetMode="External"/><Relationship Id="rId5081" Type="http://schemas.openxmlformats.org/officeDocument/2006/relationships/hyperlink" Target="https://zakon.rada.gov.ua/laws/show/2755-17/print" TargetMode="External"/><Relationship Id="rId6132" Type="http://schemas.openxmlformats.org/officeDocument/2006/relationships/hyperlink" Target="https://zakon.rada.gov.ua/laws/show/z0320-08" TargetMode="External"/><Relationship Id="rId787" Type="http://schemas.openxmlformats.org/officeDocument/2006/relationships/hyperlink" Target="https://zakon.rada.gov.ua/laws/show/1797-19" TargetMode="External"/><Relationship Id="rId994" Type="http://schemas.openxmlformats.org/officeDocument/2006/relationships/hyperlink" Target="https://zakon.rada.gov.ua/laws/show/3609-17" TargetMode="External"/><Relationship Id="rId2468" Type="http://schemas.openxmlformats.org/officeDocument/2006/relationships/hyperlink" Target="https://zakon.rada.gov.ua/laws/show/1166-18" TargetMode="External"/><Relationship Id="rId2675" Type="http://schemas.openxmlformats.org/officeDocument/2006/relationships/hyperlink" Target="https://zakon.rada.gov.ua/laws/show/2755-17/print" TargetMode="External"/><Relationship Id="rId2882" Type="http://schemas.openxmlformats.org/officeDocument/2006/relationships/hyperlink" Target="https://zakon.rada.gov.ua/laws/show/z1456-14" TargetMode="External"/><Relationship Id="rId3519" Type="http://schemas.openxmlformats.org/officeDocument/2006/relationships/hyperlink" Target="https://zakon.rada.gov.ua/laws/show/1797-19" TargetMode="External"/><Relationship Id="rId3726" Type="http://schemas.openxmlformats.org/officeDocument/2006/relationships/hyperlink" Target="https://zakon.rada.gov.ua/laws/show/909-19" TargetMode="External"/><Relationship Id="rId3933" Type="http://schemas.openxmlformats.org/officeDocument/2006/relationships/hyperlink" Target="https://zakon.rada.gov.ua/laws/show/2755-17/print" TargetMode="External"/><Relationship Id="rId647" Type="http://schemas.openxmlformats.org/officeDocument/2006/relationships/hyperlink" Target="https://zakon.rada.gov.ua/laws/show/4495-17" TargetMode="External"/><Relationship Id="rId854" Type="http://schemas.openxmlformats.org/officeDocument/2006/relationships/hyperlink" Target="https://zakon.rada.gov.ua/laws/show/2628-19" TargetMode="External"/><Relationship Id="rId1277" Type="http://schemas.openxmlformats.org/officeDocument/2006/relationships/hyperlink" Target="https://zakon.rada.gov.ua/laws/show/2245-19" TargetMode="External"/><Relationship Id="rId1484" Type="http://schemas.openxmlformats.org/officeDocument/2006/relationships/hyperlink" Target="https://zakon.rada.gov.ua/laws/show/909-19" TargetMode="External"/><Relationship Id="rId1691" Type="http://schemas.openxmlformats.org/officeDocument/2006/relationships/hyperlink" Target="https://zakon.rada.gov.ua/laws/show/2755-17/print" TargetMode="External"/><Relationship Id="rId2328" Type="http://schemas.openxmlformats.org/officeDocument/2006/relationships/hyperlink" Target="https://zakon.rada.gov.ua/laws/show/1797-19" TargetMode="External"/><Relationship Id="rId2535" Type="http://schemas.openxmlformats.org/officeDocument/2006/relationships/hyperlink" Target="https://zakon.rada.gov.ua/laws/show/2755-17/print" TargetMode="External"/><Relationship Id="rId2742" Type="http://schemas.openxmlformats.org/officeDocument/2006/relationships/hyperlink" Target="https://zakon.rada.gov.ua/laws/show/1797-19" TargetMode="External"/><Relationship Id="rId5898" Type="http://schemas.openxmlformats.org/officeDocument/2006/relationships/hyperlink" Target="https://zakon.rada.gov.ua/laws/show/2755-17/print" TargetMode="External"/><Relationship Id="rId507" Type="http://schemas.openxmlformats.org/officeDocument/2006/relationships/hyperlink" Target="https://zakon.rada.gov.ua/laws/show/71-19" TargetMode="External"/><Relationship Id="rId714" Type="http://schemas.openxmlformats.org/officeDocument/2006/relationships/hyperlink" Target="https://zakon.rada.gov.ua/laws/show/2245-19" TargetMode="External"/><Relationship Id="rId921" Type="http://schemas.openxmlformats.org/officeDocument/2006/relationships/hyperlink" Target="https://zakon.rada.gov.ua/laws/show/1797-19" TargetMode="External"/><Relationship Id="rId1137" Type="http://schemas.openxmlformats.org/officeDocument/2006/relationships/hyperlink" Target="https://zakon.rada.gov.ua/laws/show/2725-19" TargetMode="External"/><Relationship Id="rId1344" Type="http://schemas.openxmlformats.org/officeDocument/2006/relationships/hyperlink" Target="https://zakon.rada.gov.ua/laws/show/2755-17/print" TargetMode="External"/><Relationship Id="rId1551" Type="http://schemas.openxmlformats.org/officeDocument/2006/relationships/hyperlink" Target="https://zakon.rada.gov.ua/laws/show/1797-19" TargetMode="External"/><Relationship Id="rId2602" Type="http://schemas.openxmlformats.org/officeDocument/2006/relationships/hyperlink" Target="https://zakon.rada.gov.ua/laws/show/2755-17/print" TargetMode="External"/><Relationship Id="rId5758" Type="http://schemas.openxmlformats.org/officeDocument/2006/relationships/hyperlink" Target="https://zakon.rada.gov.ua/laws/show/2755-17/print" TargetMode="External"/><Relationship Id="rId5965" Type="http://schemas.openxmlformats.org/officeDocument/2006/relationships/hyperlink" Target="https://zakon.rada.gov.ua/laws/show/1638-18" TargetMode="External"/><Relationship Id="rId50" Type="http://schemas.openxmlformats.org/officeDocument/2006/relationships/hyperlink" Target="https://zakon.rada.gov.ua/laws/show/408-18" TargetMode="External"/><Relationship Id="rId1204" Type="http://schemas.openxmlformats.org/officeDocument/2006/relationships/hyperlink" Target="https://zakon.rada.gov.ua/laws/show/4834-17" TargetMode="External"/><Relationship Id="rId1411" Type="http://schemas.openxmlformats.org/officeDocument/2006/relationships/hyperlink" Target="https://zakon.rada.gov.ua/laws/show/657-18" TargetMode="External"/><Relationship Id="rId4567" Type="http://schemas.openxmlformats.org/officeDocument/2006/relationships/hyperlink" Target="https://zakon.rada.gov.ua/laws/show/71-19" TargetMode="External"/><Relationship Id="rId4774" Type="http://schemas.openxmlformats.org/officeDocument/2006/relationships/hyperlink" Target="https://zakon.rada.gov.ua/laws/show/71-19" TargetMode="External"/><Relationship Id="rId5618" Type="http://schemas.openxmlformats.org/officeDocument/2006/relationships/hyperlink" Target="https://zakon.rada.gov.ua/laws/show/1797-19" TargetMode="External"/><Relationship Id="rId5825" Type="http://schemas.openxmlformats.org/officeDocument/2006/relationships/hyperlink" Target="https://zakon.rada.gov.ua/laws/show/2755-17/print" TargetMode="External"/><Relationship Id="rId3169" Type="http://schemas.openxmlformats.org/officeDocument/2006/relationships/hyperlink" Target="https://zakon.rada.gov.ua/laws/show/71-19" TargetMode="External"/><Relationship Id="rId3376" Type="http://schemas.openxmlformats.org/officeDocument/2006/relationships/hyperlink" Target="https://zakon.rada.gov.ua/laws/show/2755-17/print" TargetMode="External"/><Relationship Id="rId3583" Type="http://schemas.openxmlformats.org/officeDocument/2006/relationships/hyperlink" Target="https://zakon.rada.gov.ua/laws/show/4495-17" TargetMode="External"/><Relationship Id="rId4427" Type="http://schemas.openxmlformats.org/officeDocument/2006/relationships/hyperlink" Target="https://zakon.rada.gov.ua/laws/show/1791-19" TargetMode="External"/><Relationship Id="rId4981" Type="http://schemas.openxmlformats.org/officeDocument/2006/relationships/hyperlink" Target="https://zakon.rada.gov.ua/laws/show/2755-17/print" TargetMode="External"/><Relationship Id="rId297" Type="http://schemas.openxmlformats.org/officeDocument/2006/relationships/hyperlink" Target="https://zakon.rada.gov.ua/laws/show/1797-19" TargetMode="External"/><Relationship Id="rId2185" Type="http://schemas.openxmlformats.org/officeDocument/2006/relationships/hyperlink" Target="https://zakon.rada.gov.ua/laws/show/1797-19" TargetMode="External"/><Relationship Id="rId2392" Type="http://schemas.openxmlformats.org/officeDocument/2006/relationships/hyperlink" Target="https://zakon.rada.gov.ua/laws/show/584%D0%B0-18" TargetMode="External"/><Relationship Id="rId3029" Type="http://schemas.openxmlformats.org/officeDocument/2006/relationships/hyperlink" Target="https://zakon.rada.gov.ua/laws/show/2755-17/print" TargetMode="External"/><Relationship Id="rId3236" Type="http://schemas.openxmlformats.org/officeDocument/2006/relationships/hyperlink" Target="https://zakon.rada.gov.ua/laws/show/1665-19" TargetMode="External"/><Relationship Id="rId3790" Type="http://schemas.openxmlformats.org/officeDocument/2006/relationships/hyperlink" Target="https://zakon.rada.gov.ua/laws/show/2628-19" TargetMode="External"/><Relationship Id="rId4634" Type="http://schemas.openxmlformats.org/officeDocument/2006/relationships/hyperlink" Target="https://zakon.rada.gov.ua/laws/show/5412-17" TargetMode="External"/><Relationship Id="rId4841" Type="http://schemas.openxmlformats.org/officeDocument/2006/relationships/hyperlink" Target="https://zakon.rada.gov.ua/laws/show/2755-17/print" TargetMode="External"/><Relationship Id="rId157" Type="http://schemas.openxmlformats.org/officeDocument/2006/relationships/hyperlink" Target="https://zakon.rada.gov.ua/laws/show/323-20" TargetMode="External"/><Relationship Id="rId364" Type="http://schemas.openxmlformats.org/officeDocument/2006/relationships/hyperlink" Target="https://zakon.rada.gov.ua/laws/show/1797-19" TargetMode="External"/><Relationship Id="rId2045" Type="http://schemas.openxmlformats.org/officeDocument/2006/relationships/hyperlink" Target="https://zakon.rada.gov.ua/laws/show/71-19" TargetMode="External"/><Relationship Id="rId3443" Type="http://schemas.openxmlformats.org/officeDocument/2006/relationships/hyperlink" Target="https://zakon.rada.gov.ua/laws/show/2755-17/print" TargetMode="External"/><Relationship Id="rId3650" Type="http://schemas.openxmlformats.org/officeDocument/2006/relationships/hyperlink" Target="https://zakon.rada.gov.ua/laws/show/2371%D0%B3-14" TargetMode="External"/><Relationship Id="rId4701" Type="http://schemas.openxmlformats.org/officeDocument/2006/relationships/hyperlink" Target="https://zakon.rada.gov.ua/laws/show/71-19" TargetMode="External"/><Relationship Id="rId571" Type="http://schemas.openxmlformats.org/officeDocument/2006/relationships/hyperlink" Target="https://zakon.rada.gov.ua/laws/show/2245-19" TargetMode="External"/><Relationship Id="rId2252" Type="http://schemas.openxmlformats.org/officeDocument/2006/relationships/hyperlink" Target="https://zakon.rada.gov.ua/laws/show/2628-19" TargetMode="External"/><Relationship Id="rId3303" Type="http://schemas.openxmlformats.org/officeDocument/2006/relationships/hyperlink" Target="https://zakon.rada.gov.ua/laws/show/1797-19" TargetMode="External"/><Relationship Id="rId3510" Type="http://schemas.openxmlformats.org/officeDocument/2006/relationships/hyperlink" Target="https://zakon.rada.gov.ua/laws/show/657-18" TargetMode="External"/><Relationship Id="rId224" Type="http://schemas.openxmlformats.org/officeDocument/2006/relationships/hyperlink" Target="https://zakon.rada.gov.ua/laws/show/391-20" TargetMode="External"/><Relationship Id="rId431" Type="http://schemas.openxmlformats.org/officeDocument/2006/relationships/hyperlink" Target="https://zakon.rada.gov.ua/laws/show/1690-18" TargetMode="External"/><Relationship Id="rId1061" Type="http://schemas.openxmlformats.org/officeDocument/2006/relationships/hyperlink" Target="https://zakon.rada.gov.ua/laws/show/2628-19" TargetMode="External"/><Relationship Id="rId2112" Type="http://schemas.openxmlformats.org/officeDocument/2006/relationships/hyperlink" Target="https://zakon.rada.gov.ua/laws/show/1667-19" TargetMode="External"/><Relationship Id="rId5268" Type="http://schemas.openxmlformats.org/officeDocument/2006/relationships/hyperlink" Target="https://zakon.rada.gov.ua/laws/show/909-19" TargetMode="External"/><Relationship Id="rId5475" Type="http://schemas.openxmlformats.org/officeDocument/2006/relationships/hyperlink" Target="https://zakon.rada.gov.ua/laws/show/1658-18" TargetMode="External"/><Relationship Id="rId5682" Type="http://schemas.openxmlformats.org/officeDocument/2006/relationships/hyperlink" Target="https://zakon.rada.gov.ua/laws/show/2440-19" TargetMode="External"/><Relationship Id="rId1878" Type="http://schemas.openxmlformats.org/officeDocument/2006/relationships/hyperlink" Target="https://zakon.rada.gov.ua/laws/show/1231-2010-%D0%BF" TargetMode="External"/><Relationship Id="rId2929" Type="http://schemas.openxmlformats.org/officeDocument/2006/relationships/hyperlink" Target="https://zakon.rada.gov.ua/laws/show/3609-17" TargetMode="External"/><Relationship Id="rId4077" Type="http://schemas.openxmlformats.org/officeDocument/2006/relationships/hyperlink" Target="https://zakon.rada.gov.ua/laws/show/2755-17/print" TargetMode="External"/><Relationship Id="rId4284" Type="http://schemas.openxmlformats.org/officeDocument/2006/relationships/hyperlink" Target="https://zakon.rada.gov.ua/laws/show/391-20" TargetMode="External"/><Relationship Id="rId4491" Type="http://schemas.openxmlformats.org/officeDocument/2006/relationships/hyperlink" Target="https://zakon.rada.gov.ua/laws/show/1797-19" TargetMode="External"/><Relationship Id="rId5128" Type="http://schemas.openxmlformats.org/officeDocument/2006/relationships/hyperlink" Target="https://zakon.rada.gov.ua/laws/show/5412-17" TargetMode="External"/><Relationship Id="rId5335" Type="http://schemas.openxmlformats.org/officeDocument/2006/relationships/hyperlink" Target="https://zakon.rada.gov.ua/laws/show/4915-17" TargetMode="External"/><Relationship Id="rId5542" Type="http://schemas.openxmlformats.org/officeDocument/2006/relationships/hyperlink" Target="https://zakon.rada.gov.ua/laws/show/1791-19" TargetMode="External"/><Relationship Id="rId1738" Type="http://schemas.openxmlformats.org/officeDocument/2006/relationships/hyperlink" Target="https://zakon.rada.gov.ua/laws/show/4834-17" TargetMode="External"/><Relationship Id="rId3093" Type="http://schemas.openxmlformats.org/officeDocument/2006/relationships/hyperlink" Target="https://zakon.rada.gov.ua/laws/show/4834-17" TargetMode="External"/><Relationship Id="rId4144" Type="http://schemas.openxmlformats.org/officeDocument/2006/relationships/hyperlink" Target="https://zakon.rada.gov.ua/laws/show/1797-19" TargetMode="External"/><Relationship Id="rId4351" Type="http://schemas.openxmlformats.org/officeDocument/2006/relationships/hyperlink" Target="https://zakon.rada.gov.ua/laws/show/71-19" TargetMode="External"/><Relationship Id="rId5402" Type="http://schemas.openxmlformats.org/officeDocument/2006/relationships/hyperlink" Target="https://zakon.rada.gov.ua/laws/show/3292-17" TargetMode="External"/><Relationship Id="rId1945" Type="http://schemas.openxmlformats.org/officeDocument/2006/relationships/hyperlink" Target="https://zakon.rada.gov.ua/laws/show/2755-17/print" TargetMode="External"/><Relationship Id="rId3160" Type="http://schemas.openxmlformats.org/officeDocument/2006/relationships/hyperlink" Target="https://zakon.rada.gov.ua/laws/show/643-19" TargetMode="External"/><Relationship Id="rId4004" Type="http://schemas.openxmlformats.org/officeDocument/2006/relationships/hyperlink" Target="https://zakon.rada.gov.ua/laws/show/1638-18" TargetMode="External"/><Relationship Id="rId4211" Type="http://schemas.openxmlformats.org/officeDocument/2006/relationships/hyperlink" Target="https://zakon.rada.gov.ua/laws/show/584%D0%B0-18" TargetMode="External"/><Relationship Id="rId1805" Type="http://schemas.openxmlformats.org/officeDocument/2006/relationships/hyperlink" Target="https://zakon.rada.gov.ua/laws/show/3205-17" TargetMode="External"/><Relationship Id="rId3020" Type="http://schemas.openxmlformats.org/officeDocument/2006/relationships/hyperlink" Target="https://zakon.rada.gov.ua/laws/show/643-19" TargetMode="External"/><Relationship Id="rId6176" Type="http://schemas.openxmlformats.org/officeDocument/2006/relationships/hyperlink" Target="https://zakon.rada.gov.ua/laws/show/2755-17/print" TargetMode="External"/><Relationship Id="rId3977" Type="http://schemas.openxmlformats.org/officeDocument/2006/relationships/hyperlink" Target="https://zakon.rada.gov.ua/laws/show/2628-19" TargetMode="External"/><Relationship Id="rId6036" Type="http://schemas.openxmlformats.org/officeDocument/2006/relationships/hyperlink" Target="https://zakon.rada.gov.ua/laws/show/2755-17/print" TargetMode="External"/><Relationship Id="rId898" Type="http://schemas.openxmlformats.org/officeDocument/2006/relationships/hyperlink" Target="https://zakon.rada.gov.ua/laws/show/1797-19" TargetMode="External"/><Relationship Id="rId2579" Type="http://schemas.openxmlformats.org/officeDocument/2006/relationships/hyperlink" Target="https://zakon.rada.gov.ua/laws/show/2755-17/print" TargetMode="External"/><Relationship Id="rId2786" Type="http://schemas.openxmlformats.org/officeDocument/2006/relationships/hyperlink" Target="https://zakon.rada.gov.ua/laws/show/657-18" TargetMode="External"/><Relationship Id="rId2993" Type="http://schemas.openxmlformats.org/officeDocument/2006/relationships/hyperlink" Target="https://zakon.rada.gov.ua/laws/show/2755-17/print" TargetMode="External"/><Relationship Id="rId3837" Type="http://schemas.openxmlformats.org/officeDocument/2006/relationships/hyperlink" Target="https://zakon.rada.gov.ua/laws/show/5412-17" TargetMode="External"/><Relationship Id="rId5192" Type="http://schemas.openxmlformats.org/officeDocument/2006/relationships/hyperlink" Target="https://zakon.rada.gov.ua/laws/show/71-19" TargetMode="External"/><Relationship Id="rId6243" Type="http://schemas.openxmlformats.org/officeDocument/2006/relationships/hyperlink" Target="https://zakon.rada.gov.ua/laws/show/2628-19" TargetMode="External"/><Relationship Id="rId758" Type="http://schemas.openxmlformats.org/officeDocument/2006/relationships/hyperlink" Target="https://zakon.rada.gov.ua/laws/show/2755-17/print" TargetMode="External"/><Relationship Id="rId965" Type="http://schemas.openxmlformats.org/officeDocument/2006/relationships/hyperlink" Target="https://zakon.rada.gov.ua/laws/show/1797-19" TargetMode="External"/><Relationship Id="rId1388" Type="http://schemas.openxmlformats.org/officeDocument/2006/relationships/hyperlink" Target="https://zakon.rada.gov.ua/laws/show/657-18" TargetMode="External"/><Relationship Id="rId1595" Type="http://schemas.openxmlformats.org/officeDocument/2006/relationships/hyperlink" Target="https://zakon.rada.gov.ua/laws/show/408-18" TargetMode="External"/><Relationship Id="rId2439" Type="http://schemas.openxmlformats.org/officeDocument/2006/relationships/hyperlink" Target="https://zakon.rada.gov.ua/laws/show/211-19" TargetMode="External"/><Relationship Id="rId2646" Type="http://schemas.openxmlformats.org/officeDocument/2006/relationships/hyperlink" Target="https://zakon.rada.gov.ua/laws/show/z1248-15" TargetMode="External"/><Relationship Id="rId2853" Type="http://schemas.openxmlformats.org/officeDocument/2006/relationships/hyperlink" Target="https://zakon.rada.gov.ua/laws/show/1797-19" TargetMode="External"/><Relationship Id="rId3904" Type="http://schemas.openxmlformats.org/officeDocument/2006/relationships/hyperlink" Target="https://zakon.rada.gov.ua/laws/show/584%D0%B0-18" TargetMode="External"/><Relationship Id="rId5052" Type="http://schemas.openxmlformats.org/officeDocument/2006/relationships/hyperlink" Target="https://zakon.rada.gov.ua/laws/show/71-19" TargetMode="External"/><Relationship Id="rId6103" Type="http://schemas.openxmlformats.org/officeDocument/2006/relationships/hyperlink" Target="https://zakon.rada.gov.ua/laws/show/2245-19" TargetMode="External"/><Relationship Id="rId6310" Type="http://schemas.openxmlformats.org/officeDocument/2006/relationships/image" Target="media/image1.png"/><Relationship Id="rId94" Type="http://schemas.openxmlformats.org/officeDocument/2006/relationships/hyperlink" Target="https://zakon.rada.gov.ua/laws/show/548-19" TargetMode="External"/><Relationship Id="rId618" Type="http://schemas.openxmlformats.org/officeDocument/2006/relationships/hyperlink" Target="https://zakon.rada.gov.ua/laws/show/354-20" TargetMode="External"/><Relationship Id="rId825" Type="http://schemas.openxmlformats.org/officeDocument/2006/relationships/hyperlink" Target="https://zakon.rada.gov.ua/laws/show/1797-19" TargetMode="External"/><Relationship Id="rId1248" Type="http://schemas.openxmlformats.org/officeDocument/2006/relationships/hyperlink" Target="https://zakon.rada.gov.ua/laws/show/1797-19" TargetMode="External"/><Relationship Id="rId1455" Type="http://schemas.openxmlformats.org/officeDocument/2006/relationships/hyperlink" Target="https://zakon.rada.gov.ua/laws/show/2755-17/print" TargetMode="External"/><Relationship Id="rId1662" Type="http://schemas.openxmlformats.org/officeDocument/2006/relationships/hyperlink" Target="https://zakon.rada.gov.ua/laws/show/655-19" TargetMode="External"/><Relationship Id="rId2506" Type="http://schemas.openxmlformats.org/officeDocument/2006/relationships/hyperlink" Target="https://zakon.rada.gov.ua/laws/show/2497-19" TargetMode="External"/><Relationship Id="rId5869" Type="http://schemas.openxmlformats.org/officeDocument/2006/relationships/hyperlink" Target="https://zakon.rada.gov.ua/laws/show/903-19" TargetMode="External"/><Relationship Id="rId1108" Type="http://schemas.openxmlformats.org/officeDocument/2006/relationships/hyperlink" Target="https://zakon.rada.gov.ua/laws/show/1797-19" TargetMode="External"/><Relationship Id="rId1315" Type="http://schemas.openxmlformats.org/officeDocument/2006/relationships/hyperlink" Target="https://zakon.rada.gov.ua/laws/show/3609-17" TargetMode="External"/><Relationship Id="rId2713" Type="http://schemas.openxmlformats.org/officeDocument/2006/relationships/hyperlink" Target="https://zakon.rada.gov.ua/laws/show/3609-17" TargetMode="External"/><Relationship Id="rId2920" Type="http://schemas.openxmlformats.org/officeDocument/2006/relationships/hyperlink" Target="https://zakon.rada.gov.ua/laws/show/4834-17" TargetMode="External"/><Relationship Id="rId4678" Type="http://schemas.openxmlformats.org/officeDocument/2006/relationships/hyperlink" Target="https://zakon.rada.gov.ua/laws/show/71-19" TargetMode="External"/><Relationship Id="rId1522" Type="http://schemas.openxmlformats.org/officeDocument/2006/relationships/hyperlink" Target="https://zakon.rada.gov.ua/laws/show/z0950-13" TargetMode="External"/><Relationship Id="rId4885" Type="http://schemas.openxmlformats.org/officeDocument/2006/relationships/hyperlink" Target="https://zakon.rada.gov.ua/laws/show/2755-17/print" TargetMode="External"/><Relationship Id="rId5729" Type="http://schemas.openxmlformats.org/officeDocument/2006/relationships/hyperlink" Target="https://zakon.rada.gov.ua/laws/show/2755-17/print" TargetMode="External"/><Relationship Id="rId5936" Type="http://schemas.openxmlformats.org/officeDocument/2006/relationships/hyperlink" Target="https://zakon.rada.gov.ua/laws/show/1791-19" TargetMode="External"/><Relationship Id="rId21" Type="http://schemas.openxmlformats.org/officeDocument/2006/relationships/hyperlink" Target="https://zakon.rada.gov.ua/laws/show/4238-17" TargetMode="External"/><Relationship Id="rId2089" Type="http://schemas.openxmlformats.org/officeDocument/2006/relationships/hyperlink" Target="https://zakon.rada.gov.ua/laws/show/996_004" TargetMode="External"/><Relationship Id="rId3487" Type="http://schemas.openxmlformats.org/officeDocument/2006/relationships/hyperlink" Target="https://zakon.rada.gov.ua/laws/show/1797-19" TargetMode="External"/><Relationship Id="rId3694" Type="http://schemas.openxmlformats.org/officeDocument/2006/relationships/hyperlink" Target="https://zakon.rada.gov.ua/laws/show/2628-19" TargetMode="External"/><Relationship Id="rId4538" Type="http://schemas.openxmlformats.org/officeDocument/2006/relationships/hyperlink" Target="https://zakon.rada.gov.ua/laws/show/2245-19" TargetMode="External"/><Relationship Id="rId4745" Type="http://schemas.openxmlformats.org/officeDocument/2006/relationships/hyperlink" Target="https://zakon.rada.gov.ua/laws/show/1797-19" TargetMode="External"/><Relationship Id="rId4952" Type="http://schemas.openxmlformats.org/officeDocument/2006/relationships/hyperlink" Target="https://zakon.rada.gov.ua/laws/show/71-19" TargetMode="External"/><Relationship Id="rId2296" Type="http://schemas.openxmlformats.org/officeDocument/2006/relationships/hyperlink" Target="https://zakon.rada.gov.ua/laws/show/3609-17" TargetMode="External"/><Relationship Id="rId3347" Type="http://schemas.openxmlformats.org/officeDocument/2006/relationships/hyperlink" Target="https://zakon.rada.gov.ua/laws/show/1797-19" TargetMode="External"/><Relationship Id="rId3554" Type="http://schemas.openxmlformats.org/officeDocument/2006/relationships/hyperlink" Target="https://zakon.rada.gov.ua/laws/show/2755-17/print" TargetMode="External"/><Relationship Id="rId3761" Type="http://schemas.openxmlformats.org/officeDocument/2006/relationships/hyperlink" Target="https://zakon.rada.gov.ua/laws/show/584%D0%B0-18" TargetMode="External"/><Relationship Id="rId4605" Type="http://schemas.openxmlformats.org/officeDocument/2006/relationships/hyperlink" Target="https://zakon.rada.gov.ua/laws/show/z0479-15" TargetMode="External"/><Relationship Id="rId4812" Type="http://schemas.openxmlformats.org/officeDocument/2006/relationships/hyperlink" Target="https://zakon.rada.gov.ua/laws/show/4834-17" TargetMode="External"/><Relationship Id="rId268" Type="http://schemas.openxmlformats.org/officeDocument/2006/relationships/hyperlink" Target="https://zakon.rada.gov.ua/laws/show/1797-19" TargetMode="External"/><Relationship Id="rId475" Type="http://schemas.openxmlformats.org/officeDocument/2006/relationships/hyperlink" Target="https://zakon.rada.gov.ua/laws/show/71-19" TargetMode="External"/><Relationship Id="rId682" Type="http://schemas.openxmlformats.org/officeDocument/2006/relationships/hyperlink" Target="https://zakon.rada.gov.ua/laws/show/72-19" TargetMode="External"/><Relationship Id="rId2156" Type="http://schemas.openxmlformats.org/officeDocument/2006/relationships/hyperlink" Target="https://zakon.rada.gov.ua/laws/show/1797-19" TargetMode="External"/><Relationship Id="rId2363" Type="http://schemas.openxmlformats.org/officeDocument/2006/relationships/hyperlink" Target="https://zakon.rada.gov.ua/laws/show/2755-17/print" TargetMode="External"/><Relationship Id="rId2570" Type="http://schemas.openxmlformats.org/officeDocument/2006/relationships/hyperlink" Target="https://zakon.rada.gov.ua/laws/show/5519-17" TargetMode="External"/><Relationship Id="rId3207" Type="http://schemas.openxmlformats.org/officeDocument/2006/relationships/hyperlink" Target="https://zakon.rada.gov.ua/laws/show/1797-19" TargetMode="External"/><Relationship Id="rId3414" Type="http://schemas.openxmlformats.org/officeDocument/2006/relationships/hyperlink" Target="https://zakon.rada.gov.ua/laws/show/71-19" TargetMode="External"/><Relationship Id="rId3621" Type="http://schemas.openxmlformats.org/officeDocument/2006/relationships/hyperlink" Target="https://zakon.rada.gov.ua/laws/show/2755-17/print" TargetMode="External"/><Relationship Id="rId128" Type="http://schemas.openxmlformats.org/officeDocument/2006/relationships/hyperlink" Target="https://zakon.rada.gov.ua/laws/show/2477-19" TargetMode="External"/><Relationship Id="rId335" Type="http://schemas.openxmlformats.org/officeDocument/2006/relationships/hyperlink" Target="https://zakon.rada.gov.ua/laws/show/422-18" TargetMode="External"/><Relationship Id="rId542" Type="http://schemas.openxmlformats.org/officeDocument/2006/relationships/hyperlink" Target="https://zakon.rada.gov.ua/laws/show/909-19" TargetMode="External"/><Relationship Id="rId1172" Type="http://schemas.openxmlformats.org/officeDocument/2006/relationships/hyperlink" Target="https://zakon.rada.gov.ua/laws/show/1797-19" TargetMode="External"/><Relationship Id="rId2016" Type="http://schemas.openxmlformats.org/officeDocument/2006/relationships/hyperlink" Target="https://zakon.rada.gov.ua/laws/show/2755-17/print" TargetMode="External"/><Relationship Id="rId2223" Type="http://schemas.openxmlformats.org/officeDocument/2006/relationships/hyperlink" Target="https://zakon.rada.gov.ua/laws/show/2755-17/print" TargetMode="External"/><Relationship Id="rId2430" Type="http://schemas.openxmlformats.org/officeDocument/2006/relationships/hyperlink" Target="https://zakon.rada.gov.ua/laws/show/5073-17" TargetMode="External"/><Relationship Id="rId5379" Type="http://schemas.openxmlformats.org/officeDocument/2006/relationships/hyperlink" Target="https://zakon.rada.gov.ua/laws/show/1797-19" TargetMode="External"/><Relationship Id="rId5586" Type="http://schemas.openxmlformats.org/officeDocument/2006/relationships/hyperlink" Target="https://zakon.rada.gov.ua/laws/show/2755-17/print" TargetMode="External"/><Relationship Id="rId5793" Type="http://schemas.openxmlformats.org/officeDocument/2006/relationships/hyperlink" Target="https://zakon.rada.gov.ua/laws/show/5412-17" TargetMode="External"/><Relationship Id="rId402" Type="http://schemas.openxmlformats.org/officeDocument/2006/relationships/hyperlink" Target="https://zakon.rada.gov.ua/laws/show/71-19" TargetMode="External"/><Relationship Id="rId1032" Type="http://schemas.openxmlformats.org/officeDocument/2006/relationships/hyperlink" Target="https://zakon.rada.gov.ua/laws/show/1797-19" TargetMode="External"/><Relationship Id="rId4188" Type="http://schemas.openxmlformats.org/officeDocument/2006/relationships/hyperlink" Target="https://zakon.rada.gov.ua/laws/show/391-20" TargetMode="External"/><Relationship Id="rId4395" Type="http://schemas.openxmlformats.org/officeDocument/2006/relationships/hyperlink" Target="https://zakon.rada.gov.ua/laws/show/1166-18" TargetMode="External"/><Relationship Id="rId5239" Type="http://schemas.openxmlformats.org/officeDocument/2006/relationships/hyperlink" Target="https://zakon.rada.gov.ua/laws/show/1200-18" TargetMode="External"/><Relationship Id="rId5446" Type="http://schemas.openxmlformats.org/officeDocument/2006/relationships/hyperlink" Target="https://zakon.rada.gov.ua/laws/show/3273-15" TargetMode="External"/><Relationship Id="rId1989" Type="http://schemas.openxmlformats.org/officeDocument/2006/relationships/hyperlink" Target="https://zakon.rada.gov.ua/laws/show/z0137-16" TargetMode="External"/><Relationship Id="rId4048" Type="http://schemas.openxmlformats.org/officeDocument/2006/relationships/hyperlink" Target="https://zakon.rada.gov.ua/laws/show/3609-17" TargetMode="External"/><Relationship Id="rId4255" Type="http://schemas.openxmlformats.org/officeDocument/2006/relationships/hyperlink" Target="https://zakon.rada.gov.ua/laws/show/2755-17/print" TargetMode="External"/><Relationship Id="rId5306" Type="http://schemas.openxmlformats.org/officeDocument/2006/relationships/hyperlink" Target="https://zakon.rada.gov.ua/laws/show/2755-17/print" TargetMode="External"/><Relationship Id="rId5653" Type="http://schemas.openxmlformats.org/officeDocument/2006/relationships/hyperlink" Target="https://zakon.rada.gov.ua/laws/show/2755-17/print" TargetMode="External"/><Relationship Id="rId5860" Type="http://schemas.openxmlformats.org/officeDocument/2006/relationships/hyperlink" Target="https://zakon.rada.gov.ua/laws/show/1797-19" TargetMode="External"/><Relationship Id="rId1849" Type="http://schemas.openxmlformats.org/officeDocument/2006/relationships/hyperlink" Target="https://zakon.rada.gov.ua/laws/show/1797-19" TargetMode="External"/><Relationship Id="rId3064" Type="http://schemas.openxmlformats.org/officeDocument/2006/relationships/hyperlink" Target="https://zakon.rada.gov.ua/laws/show/1166-18" TargetMode="External"/><Relationship Id="rId4462" Type="http://schemas.openxmlformats.org/officeDocument/2006/relationships/hyperlink" Target="https://zakon.rada.gov.ua/laws/show/71-19" TargetMode="External"/><Relationship Id="rId5513" Type="http://schemas.openxmlformats.org/officeDocument/2006/relationships/hyperlink" Target="https://zakon.rada.gov.ua/laws/show/2755-17/print" TargetMode="External"/><Relationship Id="rId5720" Type="http://schemas.openxmlformats.org/officeDocument/2006/relationships/hyperlink" Target="https://zakon.rada.gov.ua/laws/show/5211-17" TargetMode="External"/><Relationship Id="rId192" Type="http://schemas.openxmlformats.org/officeDocument/2006/relationships/hyperlink" Target="https://zakon.rada.gov.ua/laws/show/71-19" TargetMode="External"/><Relationship Id="rId1709" Type="http://schemas.openxmlformats.org/officeDocument/2006/relationships/hyperlink" Target="https://zakon.rada.gov.ua/laws/show/2755-17/print" TargetMode="External"/><Relationship Id="rId1916" Type="http://schemas.openxmlformats.org/officeDocument/2006/relationships/hyperlink" Target="https://zakon.rada.gov.ua/laws/show/5083-17" TargetMode="External"/><Relationship Id="rId3271" Type="http://schemas.openxmlformats.org/officeDocument/2006/relationships/hyperlink" Target="https://zakon.rada.gov.ua/laws/show/404-18" TargetMode="External"/><Relationship Id="rId4115" Type="http://schemas.openxmlformats.org/officeDocument/2006/relationships/hyperlink" Target="https://zakon.rada.gov.ua/laws/show/391-20" TargetMode="External"/><Relationship Id="rId4322" Type="http://schemas.openxmlformats.org/officeDocument/2006/relationships/hyperlink" Target="https://zakon.rada.gov.ua/laws/show/2628-19" TargetMode="External"/><Relationship Id="rId2080" Type="http://schemas.openxmlformats.org/officeDocument/2006/relationships/hyperlink" Target="https://zakon.rada.gov.ua/laws/show/2628-19" TargetMode="External"/><Relationship Id="rId3131" Type="http://schemas.openxmlformats.org/officeDocument/2006/relationships/hyperlink" Target="https://zakon.rada.gov.ua/laws/show/2371%D0%B0-14" TargetMode="External"/><Relationship Id="rId6287" Type="http://schemas.openxmlformats.org/officeDocument/2006/relationships/hyperlink" Target="https://zakon.rada.gov.ua/laws/show/2143-19" TargetMode="External"/><Relationship Id="rId2897" Type="http://schemas.openxmlformats.org/officeDocument/2006/relationships/hyperlink" Target="https://zakon.rada.gov.ua/laws/show/1797-19" TargetMode="External"/><Relationship Id="rId3948" Type="http://schemas.openxmlformats.org/officeDocument/2006/relationships/hyperlink" Target="https://zakon.rada.gov.ua/laws/show/1251-2010-%D0%BF" TargetMode="External"/><Relationship Id="rId5096" Type="http://schemas.openxmlformats.org/officeDocument/2006/relationships/hyperlink" Target="https://zakon.rada.gov.ua/laws/show/657-18" TargetMode="External"/><Relationship Id="rId6147" Type="http://schemas.openxmlformats.org/officeDocument/2006/relationships/hyperlink" Target="https://zakon.rada.gov.ua/laws/show/2755-17/print" TargetMode="External"/><Relationship Id="rId869" Type="http://schemas.openxmlformats.org/officeDocument/2006/relationships/hyperlink" Target="https://zakon.rada.gov.ua/laws/show/2755-17/print" TargetMode="External"/><Relationship Id="rId1499" Type="http://schemas.openxmlformats.org/officeDocument/2006/relationships/hyperlink" Target="https://zakon.rada.gov.ua/laws/show/2755-17/print" TargetMode="External"/><Relationship Id="rId5163" Type="http://schemas.openxmlformats.org/officeDocument/2006/relationships/hyperlink" Target="https://zakon.rada.gov.ua/laws/show/5412-17" TargetMode="External"/><Relationship Id="rId5370" Type="http://schemas.openxmlformats.org/officeDocument/2006/relationships/hyperlink" Target="https://zakon.rada.gov.ua/laws/show/71-19" TargetMode="External"/><Relationship Id="rId6007" Type="http://schemas.openxmlformats.org/officeDocument/2006/relationships/hyperlink" Target="https://zakon.rada.gov.ua/laws/show/2755-17/print" TargetMode="External"/><Relationship Id="rId6214" Type="http://schemas.openxmlformats.org/officeDocument/2006/relationships/hyperlink" Target="https://zakon.rada.gov.ua/laws/show/655-19" TargetMode="External"/><Relationship Id="rId729" Type="http://schemas.openxmlformats.org/officeDocument/2006/relationships/hyperlink" Target="https://zakon.rada.gov.ua/laws/show/1797-19" TargetMode="External"/><Relationship Id="rId1359" Type="http://schemas.openxmlformats.org/officeDocument/2006/relationships/hyperlink" Target="https://zakon.rada.gov.ua/laws/show/z1395-15" TargetMode="External"/><Relationship Id="rId2757" Type="http://schemas.openxmlformats.org/officeDocument/2006/relationships/hyperlink" Target="https://zakon.rada.gov.ua/laws/show/2755-17/print" TargetMode="External"/><Relationship Id="rId2964" Type="http://schemas.openxmlformats.org/officeDocument/2006/relationships/hyperlink" Target="https://zakon.rada.gov.ua/laws/show/1084-19" TargetMode="External"/><Relationship Id="rId3808" Type="http://schemas.openxmlformats.org/officeDocument/2006/relationships/hyperlink" Target="https://zakon.rada.gov.ua/laws/show/584%D0%B1-18" TargetMode="External"/><Relationship Id="rId5023" Type="http://schemas.openxmlformats.org/officeDocument/2006/relationships/hyperlink" Target="https://zakon.rada.gov.ua/laws/show/076_009" TargetMode="External"/><Relationship Id="rId5230" Type="http://schemas.openxmlformats.org/officeDocument/2006/relationships/hyperlink" Target="https://zakon.rada.gov.ua/laws/show/54-19" TargetMode="External"/><Relationship Id="rId936" Type="http://schemas.openxmlformats.org/officeDocument/2006/relationships/hyperlink" Target="https://zakon.rada.gov.ua/laws/show/1797-19" TargetMode="External"/><Relationship Id="rId1219" Type="http://schemas.openxmlformats.org/officeDocument/2006/relationships/hyperlink" Target="https://zakon.rada.gov.ua/laws/show/404-18" TargetMode="External"/><Relationship Id="rId1566" Type="http://schemas.openxmlformats.org/officeDocument/2006/relationships/hyperlink" Target="https://zakon.rada.gov.ua/laws/show/71-19" TargetMode="External"/><Relationship Id="rId1773" Type="http://schemas.openxmlformats.org/officeDocument/2006/relationships/hyperlink" Target="https://zakon.rada.gov.ua/laws/show/2343-12" TargetMode="External"/><Relationship Id="rId1980" Type="http://schemas.openxmlformats.org/officeDocument/2006/relationships/hyperlink" Target="https://zakon.rada.gov.ua/laws/show/z0137-16" TargetMode="External"/><Relationship Id="rId2617" Type="http://schemas.openxmlformats.org/officeDocument/2006/relationships/hyperlink" Target="https://zakon.rada.gov.ua/laws/show/2755-17/print" TargetMode="External"/><Relationship Id="rId2824" Type="http://schemas.openxmlformats.org/officeDocument/2006/relationships/hyperlink" Target="https://zakon.rada.gov.ua/laws/show/2755-17/print" TargetMode="External"/><Relationship Id="rId65" Type="http://schemas.openxmlformats.org/officeDocument/2006/relationships/hyperlink" Target="https://zakon.rada.gov.ua/laws/show/1191-18" TargetMode="External"/><Relationship Id="rId1426" Type="http://schemas.openxmlformats.org/officeDocument/2006/relationships/hyperlink" Target="https://zakon.rada.gov.ua/laws/show/3609-17" TargetMode="External"/><Relationship Id="rId1633" Type="http://schemas.openxmlformats.org/officeDocument/2006/relationships/hyperlink" Target="https://zakon.rada.gov.ua/laws/show/72-19" TargetMode="External"/><Relationship Id="rId1840" Type="http://schemas.openxmlformats.org/officeDocument/2006/relationships/hyperlink" Target="https://zakon.rada.gov.ua/laws/show/2755-17/print" TargetMode="External"/><Relationship Id="rId4789" Type="http://schemas.openxmlformats.org/officeDocument/2006/relationships/hyperlink" Target="https://zakon.rada.gov.ua/laws/show/71-19" TargetMode="External"/><Relationship Id="rId4996" Type="http://schemas.openxmlformats.org/officeDocument/2006/relationships/hyperlink" Target="https://zakon.rada.gov.ua/laws/show/71-19" TargetMode="External"/><Relationship Id="rId1700" Type="http://schemas.openxmlformats.org/officeDocument/2006/relationships/hyperlink" Target="https://zakon.rada.gov.ua/laws/show/5503-17" TargetMode="External"/><Relationship Id="rId3598" Type="http://schemas.openxmlformats.org/officeDocument/2006/relationships/hyperlink" Target="https://zakon.rada.gov.ua/laws/show/1797-19" TargetMode="External"/><Relationship Id="rId4649" Type="http://schemas.openxmlformats.org/officeDocument/2006/relationships/hyperlink" Target="https://zakon.rada.gov.ua/laws/show/2628-19" TargetMode="External"/><Relationship Id="rId4856" Type="http://schemas.openxmlformats.org/officeDocument/2006/relationships/hyperlink" Target="https://zakon.rada.gov.ua/laws/show/71-19" TargetMode="External"/><Relationship Id="rId5907" Type="http://schemas.openxmlformats.org/officeDocument/2006/relationships/hyperlink" Target="https://zakon.rada.gov.ua/laws/show/2755-17/print" TargetMode="External"/><Relationship Id="rId3458" Type="http://schemas.openxmlformats.org/officeDocument/2006/relationships/hyperlink" Target="https://zakon.rada.gov.ua/laws/show/71-19" TargetMode="External"/><Relationship Id="rId3665" Type="http://schemas.openxmlformats.org/officeDocument/2006/relationships/hyperlink" Target="https://zakon.rada.gov.ua/laws/show/71-19" TargetMode="External"/><Relationship Id="rId3872" Type="http://schemas.openxmlformats.org/officeDocument/2006/relationships/hyperlink" Target="https://zakon.rada.gov.ua/laws/show/4915-17" TargetMode="External"/><Relationship Id="rId4509" Type="http://schemas.openxmlformats.org/officeDocument/2006/relationships/hyperlink" Target="https://zakon.rada.gov.ua/laws/show/1797-19" TargetMode="External"/><Relationship Id="rId4716" Type="http://schemas.openxmlformats.org/officeDocument/2006/relationships/hyperlink" Target="https://zakon.rada.gov.ua/laws/show/654-19" TargetMode="External"/><Relationship Id="rId6071" Type="http://schemas.openxmlformats.org/officeDocument/2006/relationships/hyperlink" Target="https://zakon.rada.gov.ua/laws/show/71-19" TargetMode="External"/><Relationship Id="rId379" Type="http://schemas.openxmlformats.org/officeDocument/2006/relationships/hyperlink" Target="https://zakon.rada.gov.ua/laws/show/652-19" TargetMode="External"/><Relationship Id="rId586" Type="http://schemas.openxmlformats.org/officeDocument/2006/relationships/hyperlink" Target="https://zakon.rada.gov.ua/laws/show/71-19" TargetMode="External"/><Relationship Id="rId793" Type="http://schemas.openxmlformats.org/officeDocument/2006/relationships/hyperlink" Target="https://zakon.rada.gov.ua/laws/show/2755-17/print" TargetMode="External"/><Relationship Id="rId2267" Type="http://schemas.openxmlformats.org/officeDocument/2006/relationships/hyperlink" Target="https://zakon.rada.gov.ua/laws/show/1797-19" TargetMode="External"/><Relationship Id="rId2474" Type="http://schemas.openxmlformats.org/officeDocument/2006/relationships/hyperlink" Target="https://zakon.rada.gov.ua/laws/show/2755-17/print" TargetMode="External"/><Relationship Id="rId2681" Type="http://schemas.openxmlformats.org/officeDocument/2006/relationships/hyperlink" Target="https://zakon.rada.gov.ua/laws/show/2628-19" TargetMode="External"/><Relationship Id="rId3318" Type="http://schemas.openxmlformats.org/officeDocument/2006/relationships/hyperlink" Target="https://zakon.rada.gov.ua/laws/show/643-19" TargetMode="External"/><Relationship Id="rId3525" Type="http://schemas.openxmlformats.org/officeDocument/2006/relationships/hyperlink" Target="https://zakon.rada.gov.ua/laws/show/z0137-16" TargetMode="External"/><Relationship Id="rId4923" Type="http://schemas.openxmlformats.org/officeDocument/2006/relationships/hyperlink" Target="https://zakon.rada.gov.ua/laws/show/71-19" TargetMode="External"/><Relationship Id="rId239" Type="http://schemas.openxmlformats.org/officeDocument/2006/relationships/hyperlink" Target="https://zakon.rada.gov.ua/laws/show/3609-17" TargetMode="External"/><Relationship Id="rId446" Type="http://schemas.openxmlformats.org/officeDocument/2006/relationships/hyperlink" Target="https://zakon.rada.gov.ua/laws/show/323-20" TargetMode="External"/><Relationship Id="rId653" Type="http://schemas.openxmlformats.org/officeDocument/2006/relationships/hyperlink" Target="https://zakon.rada.gov.ua/laws/show/1797-19" TargetMode="External"/><Relationship Id="rId1076" Type="http://schemas.openxmlformats.org/officeDocument/2006/relationships/hyperlink" Target="https://zakon.rada.gov.ua/laws/show/1797-19" TargetMode="External"/><Relationship Id="rId1283" Type="http://schemas.openxmlformats.org/officeDocument/2006/relationships/hyperlink" Target="https://zakon.rada.gov.ua/laws/show/909-19" TargetMode="External"/><Relationship Id="rId1490" Type="http://schemas.openxmlformats.org/officeDocument/2006/relationships/hyperlink" Target="https://zakon.rada.gov.ua/laws/show/1797-19" TargetMode="External"/><Relationship Id="rId2127" Type="http://schemas.openxmlformats.org/officeDocument/2006/relationships/hyperlink" Target="https://zakon.rada.gov.ua/laws/show/2755-17/print" TargetMode="External"/><Relationship Id="rId2334" Type="http://schemas.openxmlformats.org/officeDocument/2006/relationships/hyperlink" Target="https://zakon.rada.gov.ua/laws/show/2755-17/print" TargetMode="External"/><Relationship Id="rId3732" Type="http://schemas.openxmlformats.org/officeDocument/2006/relationships/hyperlink" Target="https://zakon.rada.gov.ua/laws/show/1200-18" TargetMode="External"/><Relationship Id="rId306" Type="http://schemas.openxmlformats.org/officeDocument/2006/relationships/hyperlink" Target="https://zakon.rada.gov.ua/laws/show/1797-19" TargetMode="External"/><Relationship Id="rId860" Type="http://schemas.openxmlformats.org/officeDocument/2006/relationships/hyperlink" Target="https://zakon.rada.gov.ua/laws/show/1797-19" TargetMode="External"/><Relationship Id="rId1143" Type="http://schemas.openxmlformats.org/officeDocument/2006/relationships/hyperlink" Target="https://zakon.rada.gov.ua/laws/show/2725-19" TargetMode="External"/><Relationship Id="rId2541" Type="http://schemas.openxmlformats.org/officeDocument/2006/relationships/hyperlink" Target="https://zakon.rada.gov.ua/laws/show/4834-17" TargetMode="External"/><Relationship Id="rId4299" Type="http://schemas.openxmlformats.org/officeDocument/2006/relationships/hyperlink" Target="https://zakon.rada.gov.ua/laws/show/2628-19" TargetMode="External"/><Relationship Id="rId5697" Type="http://schemas.openxmlformats.org/officeDocument/2006/relationships/hyperlink" Target="https://zakon.rada.gov.ua/laws/show/2755-17/print" TargetMode="External"/><Relationship Id="rId513" Type="http://schemas.openxmlformats.org/officeDocument/2006/relationships/hyperlink" Target="https://zakon.rada.gov.ua/laws/show/2755-17/print" TargetMode="External"/><Relationship Id="rId720" Type="http://schemas.openxmlformats.org/officeDocument/2006/relationships/hyperlink" Target="https://zakon.rada.gov.ua/laws/show/4834-17" TargetMode="External"/><Relationship Id="rId1350" Type="http://schemas.openxmlformats.org/officeDocument/2006/relationships/hyperlink" Target="https://zakon.rada.gov.ua/laws/show/655-19" TargetMode="External"/><Relationship Id="rId2401" Type="http://schemas.openxmlformats.org/officeDocument/2006/relationships/hyperlink" Target="https://zakon.rada.gov.ua/laws/show/2628-19" TargetMode="External"/><Relationship Id="rId4159" Type="http://schemas.openxmlformats.org/officeDocument/2006/relationships/hyperlink" Target="https://zakon.rada.gov.ua/laws/show/2628-19" TargetMode="External"/><Relationship Id="rId5557" Type="http://schemas.openxmlformats.org/officeDocument/2006/relationships/hyperlink" Target="https://zakon.rada.gov.ua/laws/show/2755-17/print" TargetMode="External"/><Relationship Id="rId5764" Type="http://schemas.openxmlformats.org/officeDocument/2006/relationships/hyperlink" Target="https://zakon.rada.gov.ua/laws/show/2755-17/print" TargetMode="External"/><Relationship Id="rId5971" Type="http://schemas.openxmlformats.org/officeDocument/2006/relationships/hyperlink" Target="https://zakon.rada.gov.ua/laws/show/2755-17/print" TargetMode="External"/><Relationship Id="rId1003" Type="http://schemas.openxmlformats.org/officeDocument/2006/relationships/hyperlink" Target="https://zakon.rada.gov.ua/laws/show/1797-19" TargetMode="External"/><Relationship Id="rId1210" Type="http://schemas.openxmlformats.org/officeDocument/2006/relationships/hyperlink" Target="https://zakon.rada.gov.ua/laws/show/2628-19" TargetMode="External"/><Relationship Id="rId4366" Type="http://schemas.openxmlformats.org/officeDocument/2006/relationships/hyperlink" Target="https://zakon.rada.gov.ua/laws/show/5503-17" TargetMode="External"/><Relationship Id="rId4573" Type="http://schemas.openxmlformats.org/officeDocument/2006/relationships/hyperlink" Target="https://zakon.rada.gov.ua/laws/show/2628-19" TargetMode="External"/><Relationship Id="rId4780" Type="http://schemas.openxmlformats.org/officeDocument/2006/relationships/hyperlink" Target="https://zakon.rada.gov.ua/laws/show/71-19" TargetMode="External"/><Relationship Id="rId5417" Type="http://schemas.openxmlformats.org/officeDocument/2006/relationships/hyperlink" Target="https://zakon.rada.gov.ua/laws/show/2755-17/print" TargetMode="External"/><Relationship Id="rId5624" Type="http://schemas.openxmlformats.org/officeDocument/2006/relationships/hyperlink" Target="https://zakon.rada.gov.ua/laws/show/2755-17/print" TargetMode="External"/><Relationship Id="rId5831" Type="http://schemas.openxmlformats.org/officeDocument/2006/relationships/hyperlink" Target="https://zakon.rada.gov.ua/laws/show/2755-17/print" TargetMode="External"/><Relationship Id="rId3175" Type="http://schemas.openxmlformats.org/officeDocument/2006/relationships/hyperlink" Target="https://zakon.rada.gov.ua/laws/show/2755-17/print" TargetMode="External"/><Relationship Id="rId3382" Type="http://schemas.openxmlformats.org/officeDocument/2006/relationships/hyperlink" Target="https://zakon.rada.gov.ua/laws/show/643-19" TargetMode="External"/><Relationship Id="rId4019" Type="http://schemas.openxmlformats.org/officeDocument/2006/relationships/hyperlink" Target="https://zakon.rada.gov.ua/laws/show/71-19" TargetMode="External"/><Relationship Id="rId4226" Type="http://schemas.openxmlformats.org/officeDocument/2006/relationships/hyperlink" Target="https://zakon.rada.gov.ua/laws/show/2628-19" TargetMode="External"/><Relationship Id="rId4433" Type="http://schemas.openxmlformats.org/officeDocument/2006/relationships/hyperlink" Target="https://zakon.rada.gov.ua/laws/show/5503-17" TargetMode="External"/><Relationship Id="rId4640" Type="http://schemas.openxmlformats.org/officeDocument/2006/relationships/hyperlink" Target="https://zakon.rada.gov.ua/laws/show/2755-17/print" TargetMode="External"/><Relationship Id="rId2191" Type="http://schemas.openxmlformats.org/officeDocument/2006/relationships/hyperlink" Target="https://zakon.rada.gov.ua/laws/show/2245-19" TargetMode="External"/><Relationship Id="rId3035" Type="http://schemas.openxmlformats.org/officeDocument/2006/relationships/hyperlink" Target="https://zakon.rada.gov.ua/laws/show/2497-19" TargetMode="External"/><Relationship Id="rId3242" Type="http://schemas.openxmlformats.org/officeDocument/2006/relationships/hyperlink" Target="https://zakon.rada.gov.ua/laws/show/2755-17/print" TargetMode="External"/><Relationship Id="rId4500" Type="http://schemas.openxmlformats.org/officeDocument/2006/relationships/hyperlink" Target="https://zakon.rada.gov.ua/laws/show/909-19" TargetMode="External"/><Relationship Id="rId163" Type="http://schemas.openxmlformats.org/officeDocument/2006/relationships/hyperlink" Target="https://zakon.rada.gov.ua/laws/show/254%D0%BA/96-%D0%B2%D1%80" TargetMode="External"/><Relationship Id="rId370" Type="http://schemas.openxmlformats.org/officeDocument/2006/relationships/hyperlink" Target="https://zakon.rada.gov.ua/laws/show/1057-15" TargetMode="External"/><Relationship Id="rId2051" Type="http://schemas.openxmlformats.org/officeDocument/2006/relationships/hyperlink" Target="https://zakon.rada.gov.ua/laws/show/2755-17/print" TargetMode="External"/><Relationship Id="rId3102" Type="http://schemas.openxmlformats.org/officeDocument/2006/relationships/hyperlink" Target="https://zakon.rada.gov.ua/laws/show/4915-17" TargetMode="External"/><Relationship Id="rId6258" Type="http://schemas.openxmlformats.org/officeDocument/2006/relationships/hyperlink" Target="https://zakon.rada.gov.ua/laws/show/2755-17/print" TargetMode="External"/><Relationship Id="rId230" Type="http://schemas.openxmlformats.org/officeDocument/2006/relationships/hyperlink" Target="https://zakon.rada.gov.ua/laws/show/655-19" TargetMode="External"/><Relationship Id="rId5067" Type="http://schemas.openxmlformats.org/officeDocument/2006/relationships/hyperlink" Target="https://zakon.rada.gov.ua/laws/show/2755-17/print" TargetMode="External"/><Relationship Id="rId5274" Type="http://schemas.openxmlformats.org/officeDocument/2006/relationships/hyperlink" Target="https://zakon.rada.gov.ua/laws/show/2755-17/print" TargetMode="External"/><Relationship Id="rId6118" Type="http://schemas.openxmlformats.org/officeDocument/2006/relationships/hyperlink" Target="https://zakon.rada.gov.ua/laws/show/2711-15" TargetMode="External"/><Relationship Id="rId2868" Type="http://schemas.openxmlformats.org/officeDocument/2006/relationships/hyperlink" Target="https://zakon.rada.gov.ua/laws/show/2755-17/print" TargetMode="External"/><Relationship Id="rId3919" Type="http://schemas.openxmlformats.org/officeDocument/2006/relationships/hyperlink" Target="https://zakon.rada.gov.ua/laws/show/71-19" TargetMode="External"/><Relationship Id="rId4083" Type="http://schemas.openxmlformats.org/officeDocument/2006/relationships/hyperlink" Target="https://zakon.rada.gov.ua/laws/show/584%D0%B0-18" TargetMode="External"/><Relationship Id="rId5481" Type="http://schemas.openxmlformats.org/officeDocument/2006/relationships/hyperlink" Target="https://zakon.rada.gov.ua/laws/show/2755-17/print" TargetMode="External"/><Relationship Id="rId1677" Type="http://schemas.openxmlformats.org/officeDocument/2006/relationships/hyperlink" Target="https://zakon.rada.gov.ua/laws/show/2755-17/print" TargetMode="External"/><Relationship Id="rId1884" Type="http://schemas.openxmlformats.org/officeDocument/2006/relationships/hyperlink" Target="https://zakon.rada.gov.ua/laws/show/4057-17" TargetMode="External"/><Relationship Id="rId2728" Type="http://schemas.openxmlformats.org/officeDocument/2006/relationships/hyperlink" Target="https://zakon.rada.gov.ua/laws/show/1797-19" TargetMode="External"/><Relationship Id="rId2935" Type="http://schemas.openxmlformats.org/officeDocument/2006/relationships/hyperlink" Target="https://zakon.rada.gov.ua/laws/show/4915-17" TargetMode="External"/><Relationship Id="rId4290" Type="http://schemas.openxmlformats.org/officeDocument/2006/relationships/hyperlink" Target="https://zakon.rada.gov.ua/laws/show/584%D0%B0-18" TargetMode="External"/><Relationship Id="rId5134" Type="http://schemas.openxmlformats.org/officeDocument/2006/relationships/hyperlink" Target="https://zakon.rada.gov.ua/laws/show/5412-17" TargetMode="External"/><Relationship Id="rId5341" Type="http://schemas.openxmlformats.org/officeDocument/2006/relationships/hyperlink" Target="https://zakon.rada.gov.ua/laws/show/4495-17" TargetMode="External"/><Relationship Id="rId907" Type="http://schemas.openxmlformats.org/officeDocument/2006/relationships/hyperlink" Target="https://zakon.rada.gov.ua/laws/show/1797-19" TargetMode="External"/><Relationship Id="rId1537" Type="http://schemas.openxmlformats.org/officeDocument/2006/relationships/hyperlink" Target="https://zakon.rada.gov.ua/laws/show/2755-17/print" TargetMode="External"/><Relationship Id="rId1744" Type="http://schemas.openxmlformats.org/officeDocument/2006/relationships/hyperlink" Target="https://zakon.rada.gov.ua/laws/show/2755-17/print" TargetMode="External"/><Relationship Id="rId1951" Type="http://schemas.openxmlformats.org/officeDocument/2006/relationships/hyperlink" Target="https://zakon.rada.gov.ua/laws/show/909-19" TargetMode="External"/><Relationship Id="rId4150" Type="http://schemas.openxmlformats.org/officeDocument/2006/relationships/hyperlink" Target="https://zakon.rada.gov.ua/laws/show/71-19" TargetMode="External"/><Relationship Id="rId5201" Type="http://schemas.openxmlformats.org/officeDocument/2006/relationships/hyperlink" Target="https://zakon.rada.gov.ua/laws/show/1797-19" TargetMode="External"/><Relationship Id="rId36" Type="http://schemas.openxmlformats.org/officeDocument/2006/relationships/hyperlink" Target="https://zakon.rada.gov.ua/laws/show/5091-17" TargetMode="External"/><Relationship Id="rId1604" Type="http://schemas.openxmlformats.org/officeDocument/2006/relationships/hyperlink" Target="https://zakon.rada.gov.ua/laws/show/1797-19" TargetMode="External"/><Relationship Id="rId4010" Type="http://schemas.openxmlformats.org/officeDocument/2006/relationships/hyperlink" Target="https://zakon.rada.gov.ua/laws/show/71-19" TargetMode="External"/><Relationship Id="rId4967" Type="http://schemas.openxmlformats.org/officeDocument/2006/relationships/hyperlink" Target="https://zakon.rada.gov.ua/laws/show/2755-17/print" TargetMode="External"/><Relationship Id="rId1811" Type="http://schemas.openxmlformats.org/officeDocument/2006/relationships/hyperlink" Target="https://zakon.rada.gov.ua/laws/show/3609-17" TargetMode="External"/><Relationship Id="rId3569" Type="http://schemas.openxmlformats.org/officeDocument/2006/relationships/hyperlink" Target="https://zakon.rada.gov.ua/laws/show/4495-17" TargetMode="External"/><Relationship Id="rId6182" Type="http://schemas.openxmlformats.org/officeDocument/2006/relationships/hyperlink" Target="https://zakon.rada.gov.ua/laws/show/2755-17/print" TargetMode="External"/><Relationship Id="rId697" Type="http://schemas.openxmlformats.org/officeDocument/2006/relationships/hyperlink" Target="https://zakon.rada.gov.ua/laws/show/1797-19" TargetMode="External"/><Relationship Id="rId2378" Type="http://schemas.openxmlformats.org/officeDocument/2006/relationships/hyperlink" Target="https://zakon.rada.gov.ua/laws/show/5019-17" TargetMode="External"/><Relationship Id="rId3429" Type="http://schemas.openxmlformats.org/officeDocument/2006/relationships/hyperlink" Target="https://zakon.rada.gov.ua/laws/show/643-19" TargetMode="External"/><Relationship Id="rId3776" Type="http://schemas.openxmlformats.org/officeDocument/2006/relationships/hyperlink" Target="https://zakon.rada.gov.ua/laws/show/1166-18" TargetMode="External"/><Relationship Id="rId3983" Type="http://schemas.openxmlformats.org/officeDocument/2006/relationships/hyperlink" Target="https://zakon.rada.gov.ua/laws/show/5074-17" TargetMode="External"/><Relationship Id="rId4827" Type="http://schemas.openxmlformats.org/officeDocument/2006/relationships/hyperlink" Target="https://zakon.rada.gov.ua/laws/show/71-19" TargetMode="External"/><Relationship Id="rId6042" Type="http://schemas.openxmlformats.org/officeDocument/2006/relationships/hyperlink" Target="https://zakon.rada.gov.ua/laws/show/391-20" TargetMode="External"/><Relationship Id="rId1187" Type="http://schemas.openxmlformats.org/officeDocument/2006/relationships/hyperlink" Target="https://zakon.rada.gov.ua/laws/show/4834-17" TargetMode="External"/><Relationship Id="rId2585" Type="http://schemas.openxmlformats.org/officeDocument/2006/relationships/hyperlink" Target="https://zakon.rada.gov.ua/laws/show/1588-18" TargetMode="External"/><Relationship Id="rId2792" Type="http://schemas.openxmlformats.org/officeDocument/2006/relationships/hyperlink" Target="https://zakon.rada.gov.ua/laws/show/z1415-15" TargetMode="External"/><Relationship Id="rId3636" Type="http://schemas.openxmlformats.org/officeDocument/2006/relationships/hyperlink" Target="https://zakon.rada.gov.ua/laws/show/va375202-05" TargetMode="External"/><Relationship Id="rId3843" Type="http://schemas.openxmlformats.org/officeDocument/2006/relationships/hyperlink" Target="https://zakon.rada.gov.ua/laws/show/909-19" TargetMode="External"/><Relationship Id="rId557" Type="http://schemas.openxmlformats.org/officeDocument/2006/relationships/hyperlink" Target="https://zakon.rada.gov.ua/laws/show/2755-17/print" TargetMode="External"/><Relationship Id="rId764" Type="http://schemas.openxmlformats.org/officeDocument/2006/relationships/hyperlink" Target="https://zakon.rada.gov.ua/laws/show/2755-17/print" TargetMode="External"/><Relationship Id="rId971" Type="http://schemas.openxmlformats.org/officeDocument/2006/relationships/hyperlink" Target="https://zakon.rada.gov.ua/laws/show/2245-19" TargetMode="External"/><Relationship Id="rId1394" Type="http://schemas.openxmlformats.org/officeDocument/2006/relationships/hyperlink" Target="https://zakon.rada.gov.ua/laws/show/2755-17/print" TargetMode="External"/><Relationship Id="rId2238" Type="http://schemas.openxmlformats.org/officeDocument/2006/relationships/hyperlink" Target="https://zakon.rada.gov.ua/laws/show/1797-19" TargetMode="External"/><Relationship Id="rId2445" Type="http://schemas.openxmlformats.org/officeDocument/2006/relationships/hyperlink" Target="https://zakon.rada.gov.ua/laws/show/2755-17/print" TargetMode="External"/><Relationship Id="rId2652" Type="http://schemas.openxmlformats.org/officeDocument/2006/relationships/hyperlink" Target="https://zakon.rada.gov.ua/laws/show/657-18" TargetMode="External"/><Relationship Id="rId3703" Type="http://schemas.openxmlformats.org/officeDocument/2006/relationships/hyperlink" Target="https://zakon.rada.gov.ua/laws/show/71-19" TargetMode="External"/><Relationship Id="rId3910" Type="http://schemas.openxmlformats.org/officeDocument/2006/relationships/hyperlink" Target="https://zakon.rada.gov.ua/laws/show/391-20" TargetMode="External"/><Relationship Id="rId417" Type="http://schemas.openxmlformats.org/officeDocument/2006/relationships/hyperlink" Target="https://zakon.rada.gov.ua/laws/show/5503-17" TargetMode="External"/><Relationship Id="rId624" Type="http://schemas.openxmlformats.org/officeDocument/2006/relationships/hyperlink" Target="https://zakon.rada.gov.ua/laws/show/4238-17" TargetMode="External"/><Relationship Id="rId831" Type="http://schemas.openxmlformats.org/officeDocument/2006/relationships/hyperlink" Target="https://zakon.rada.gov.ua/laws/show/2755-17/print" TargetMode="External"/><Relationship Id="rId1047" Type="http://schemas.openxmlformats.org/officeDocument/2006/relationships/hyperlink" Target="https://zakon.rada.gov.ua/laws/show/2755-17/print" TargetMode="External"/><Relationship Id="rId1254" Type="http://schemas.openxmlformats.org/officeDocument/2006/relationships/hyperlink" Target="https://zakon.rada.gov.ua/laws/show/909-19" TargetMode="External"/><Relationship Id="rId1461" Type="http://schemas.openxmlformats.org/officeDocument/2006/relationships/hyperlink" Target="https://zakon.rada.gov.ua/laws/show/2755-17/print" TargetMode="External"/><Relationship Id="rId2305" Type="http://schemas.openxmlformats.org/officeDocument/2006/relationships/hyperlink" Target="https://zakon.rada.gov.ua/laws/show/2755-17/print" TargetMode="External"/><Relationship Id="rId2512" Type="http://schemas.openxmlformats.org/officeDocument/2006/relationships/hyperlink" Target="https://zakon.rada.gov.ua/laws/show/1989-19" TargetMode="External"/><Relationship Id="rId5668" Type="http://schemas.openxmlformats.org/officeDocument/2006/relationships/hyperlink" Target="https://zakon.rada.gov.ua/laws/show/1988-19" TargetMode="External"/><Relationship Id="rId5875" Type="http://schemas.openxmlformats.org/officeDocument/2006/relationships/hyperlink" Target="https://zakon.rada.gov.ua/laws/show/425-20" TargetMode="External"/><Relationship Id="rId1114" Type="http://schemas.openxmlformats.org/officeDocument/2006/relationships/hyperlink" Target="https://zakon.rada.gov.ua/laws/show/3609-17" TargetMode="External"/><Relationship Id="rId1321" Type="http://schemas.openxmlformats.org/officeDocument/2006/relationships/hyperlink" Target="https://zakon.rada.gov.ua/laws/show/1797-19" TargetMode="External"/><Relationship Id="rId4477" Type="http://schemas.openxmlformats.org/officeDocument/2006/relationships/hyperlink" Target="https://zakon.rada.gov.ua/laws/show/1797-19" TargetMode="External"/><Relationship Id="rId4684" Type="http://schemas.openxmlformats.org/officeDocument/2006/relationships/hyperlink" Target="https://zakon.rada.gov.ua/laws/show/2755-17/print" TargetMode="External"/><Relationship Id="rId4891" Type="http://schemas.openxmlformats.org/officeDocument/2006/relationships/hyperlink" Target="https://zakon.rada.gov.ua/laws/show/5083-17" TargetMode="External"/><Relationship Id="rId5528" Type="http://schemas.openxmlformats.org/officeDocument/2006/relationships/hyperlink" Target="https://zakon.rada.gov.ua/laws/show/584%D0%B0-18" TargetMode="External"/><Relationship Id="rId5735" Type="http://schemas.openxmlformats.org/officeDocument/2006/relationships/hyperlink" Target="https://zakon.rada.gov.ua/laws/show/404-18" TargetMode="External"/><Relationship Id="rId3079" Type="http://schemas.openxmlformats.org/officeDocument/2006/relationships/hyperlink" Target="https://zakon.rada.gov.ua/laws/show/290/96-%D0%B2%D1%80" TargetMode="External"/><Relationship Id="rId3286" Type="http://schemas.openxmlformats.org/officeDocument/2006/relationships/hyperlink" Target="https://zakon.rada.gov.ua/laws/show/1797-19" TargetMode="External"/><Relationship Id="rId3493" Type="http://schemas.openxmlformats.org/officeDocument/2006/relationships/hyperlink" Target="https://zakon.rada.gov.ua/laws/show/2198-19" TargetMode="External"/><Relationship Id="rId4337" Type="http://schemas.openxmlformats.org/officeDocument/2006/relationships/hyperlink" Target="https://zakon.rada.gov.ua/laws/show/391-20" TargetMode="External"/><Relationship Id="rId4544" Type="http://schemas.openxmlformats.org/officeDocument/2006/relationships/hyperlink" Target="https://zakon.rada.gov.ua/laws/show/2755-17/print" TargetMode="External"/><Relationship Id="rId5942" Type="http://schemas.openxmlformats.org/officeDocument/2006/relationships/hyperlink" Target="https://zakon.rada.gov.ua/laws/show/2755-17/print" TargetMode="External"/><Relationship Id="rId2095" Type="http://schemas.openxmlformats.org/officeDocument/2006/relationships/hyperlink" Target="https://zakon.rada.gov.ua/laws/show/435-15" TargetMode="External"/><Relationship Id="rId3146" Type="http://schemas.openxmlformats.org/officeDocument/2006/relationships/hyperlink" Target="https://zakon.rada.gov.ua/laws/show/1797-19" TargetMode="External"/><Relationship Id="rId3353" Type="http://schemas.openxmlformats.org/officeDocument/2006/relationships/hyperlink" Target="https://zakon.rada.gov.ua/laws/show/909-19" TargetMode="External"/><Relationship Id="rId4751" Type="http://schemas.openxmlformats.org/officeDocument/2006/relationships/hyperlink" Target="https://zakon.rada.gov.ua/laws/show/71-19" TargetMode="External"/><Relationship Id="rId5802" Type="http://schemas.openxmlformats.org/officeDocument/2006/relationships/hyperlink" Target="https://zakon.rada.gov.ua/laws/show/71-19" TargetMode="External"/><Relationship Id="rId274" Type="http://schemas.openxmlformats.org/officeDocument/2006/relationships/hyperlink" Target="https://zakon.rada.gov.ua/laws/show/2755-17/print" TargetMode="External"/><Relationship Id="rId481" Type="http://schemas.openxmlformats.org/officeDocument/2006/relationships/hyperlink" Target="https://zakon.rada.gov.ua/laws/show/655-19" TargetMode="External"/><Relationship Id="rId2162" Type="http://schemas.openxmlformats.org/officeDocument/2006/relationships/hyperlink" Target="https://zakon.rada.gov.ua/laws/show/1797-19" TargetMode="External"/><Relationship Id="rId3006" Type="http://schemas.openxmlformats.org/officeDocument/2006/relationships/hyperlink" Target="https://zakon.rada.gov.ua/laws/show/643-19" TargetMode="External"/><Relationship Id="rId3560" Type="http://schemas.openxmlformats.org/officeDocument/2006/relationships/hyperlink" Target="https://zakon.rada.gov.ua/laws/show/4495-17" TargetMode="External"/><Relationship Id="rId4404" Type="http://schemas.openxmlformats.org/officeDocument/2006/relationships/hyperlink" Target="https://zakon.rada.gov.ua/laws/show/1791-19" TargetMode="External"/><Relationship Id="rId4611" Type="http://schemas.openxmlformats.org/officeDocument/2006/relationships/hyperlink" Target="https://zakon.rada.gov.ua/laws/show/2245-19" TargetMode="External"/><Relationship Id="rId134" Type="http://schemas.openxmlformats.org/officeDocument/2006/relationships/hyperlink" Target="https://zakon.rada.gov.ua/laws/show/129-20" TargetMode="External"/><Relationship Id="rId3213" Type="http://schemas.openxmlformats.org/officeDocument/2006/relationships/hyperlink" Target="https://zakon.rada.gov.ua/laws/show/2755-17/print" TargetMode="External"/><Relationship Id="rId3420" Type="http://schemas.openxmlformats.org/officeDocument/2006/relationships/hyperlink" Target="https://zakon.rada.gov.ua/laws/show/909-19" TargetMode="External"/><Relationship Id="rId341" Type="http://schemas.openxmlformats.org/officeDocument/2006/relationships/hyperlink" Target="https://zakon.rada.gov.ua/laws/show/71-19" TargetMode="External"/><Relationship Id="rId2022" Type="http://schemas.openxmlformats.org/officeDocument/2006/relationships/hyperlink" Target="https://zakon.rada.gov.ua/laws/show/2755-17/print" TargetMode="External"/><Relationship Id="rId2979" Type="http://schemas.openxmlformats.org/officeDocument/2006/relationships/hyperlink" Target="https://zakon.rada.gov.ua/laws/show/2344-14" TargetMode="External"/><Relationship Id="rId5178" Type="http://schemas.openxmlformats.org/officeDocument/2006/relationships/hyperlink" Target="https://zakon.rada.gov.ua/laws/show/1690-18" TargetMode="External"/><Relationship Id="rId5385" Type="http://schemas.openxmlformats.org/officeDocument/2006/relationships/hyperlink" Target="https://zakon.rada.gov.ua/laws/show/909-19" TargetMode="External"/><Relationship Id="rId5592" Type="http://schemas.openxmlformats.org/officeDocument/2006/relationships/hyperlink" Target="https://zakon.rada.gov.ua/laws/show/851-2016-%D0%BF" TargetMode="External"/><Relationship Id="rId6229" Type="http://schemas.openxmlformats.org/officeDocument/2006/relationships/hyperlink" Target="https://zakon.rada.gov.ua/laws/show/2755-17/print" TargetMode="External"/><Relationship Id="rId201" Type="http://schemas.openxmlformats.org/officeDocument/2006/relationships/hyperlink" Target="https://zakon.rada.gov.ua/laws/show/2245-19" TargetMode="External"/><Relationship Id="rId1788" Type="http://schemas.openxmlformats.org/officeDocument/2006/relationships/hyperlink" Target="https://zakon.rada.gov.ua/laws/show/1797-19" TargetMode="External"/><Relationship Id="rId1995" Type="http://schemas.openxmlformats.org/officeDocument/2006/relationships/hyperlink" Target="https://zakon.rada.gov.ua/laws/show/2755-17/print" TargetMode="External"/><Relationship Id="rId2839" Type="http://schemas.openxmlformats.org/officeDocument/2006/relationships/hyperlink" Target="https://zakon.rada.gov.ua/laws/show/5503-17" TargetMode="External"/><Relationship Id="rId4194" Type="http://schemas.openxmlformats.org/officeDocument/2006/relationships/hyperlink" Target="https://zakon.rada.gov.ua/laws/show/2755-17/print" TargetMode="External"/><Relationship Id="rId5038" Type="http://schemas.openxmlformats.org/officeDocument/2006/relationships/hyperlink" Target="https://zakon.rada.gov.ua/laws/show/657-18" TargetMode="External"/><Relationship Id="rId5245" Type="http://schemas.openxmlformats.org/officeDocument/2006/relationships/hyperlink" Target="https://zakon.rada.gov.ua/laws/show/1797-19" TargetMode="External"/><Relationship Id="rId5452" Type="http://schemas.openxmlformats.org/officeDocument/2006/relationships/hyperlink" Target="https://zakon.rada.gov.ua/laws/show/584%D0%B0-18" TargetMode="External"/><Relationship Id="rId1648" Type="http://schemas.openxmlformats.org/officeDocument/2006/relationships/hyperlink" Target="https://zakon.rada.gov.ua/laws/show/2245-19" TargetMode="External"/><Relationship Id="rId4054" Type="http://schemas.openxmlformats.org/officeDocument/2006/relationships/hyperlink" Target="https://zakon.rada.gov.ua/laws/show/71-19" TargetMode="External"/><Relationship Id="rId4261" Type="http://schemas.openxmlformats.org/officeDocument/2006/relationships/hyperlink" Target="https://zakon.rada.gov.ua/laws/show/2628-19" TargetMode="External"/><Relationship Id="rId5105" Type="http://schemas.openxmlformats.org/officeDocument/2006/relationships/hyperlink" Target="https://zakon.rada.gov.ua/laws/show/5412-17" TargetMode="External"/><Relationship Id="rId5312" Type="http://schemas.openxmlformats.org/officeDocument/2006/relationships/hyperlink" Target="https://zakon.rada.gov.ua/laws/show/2755-17/print" TargetMode="External"/><Relationship Id="rId1508" Type="http://schemas.openxmlformats.org/officeDocument/2006/relationships/hyperlink" Target="https://zakon.rada.gov.ua/laws/show/z1415-15" TargetMode="External"/><Relationship Id="rId1855" Type="http://schemas.openxmlformats.org/officeDocument/2006/relationships/hyperlink" Target="https://zakon.rada.gov.ua/laws/show/1797-19" TargetMode="External"/><Relationship Id="rId2906" Type="http://schemas.openxmlformats.org/officeDocument/2006/relationships/hyperlink" Target="https://zakon.rada.gov.ua/laws/show/2755-17/print" TargetMode="External"/><Relationship Id="rId3070" Type="http://schemas.openxmlformats.org/officeDocument/2006/relationships/hyperlink" Target="https://zakon.rada.gov.ua/laws/show/867-2011-%D0%BF" TargetMode="External"/><Relationship Id="rId4121" Type="http://schemas.openxmlformats.org/officeDocument/2006/relationships/hyperlink" Target="https://zakon.rada.gov.ua/laws/show/391-20" TargetMode="External"/><Relationship Id="rId1715" Type="http://schemas.openxmlformats.org/officeDocument/2006/relationships/hyperlink" Target="https://zakon.rada.gov.ua/laws/show/2755-17/print" TargetMode="External"/><Relationship Id="rId1922" Type="http://schemas.openxmlformats.org/officeDocument/2006/relationships/hyperlink" Target="https://zakon.rada.gov.ua/laws/show/z0276-14" TargetMode="External"/><Relationship Id="rId6086" Type="http://schemas.openxmlformats.org/officeDocument/2006/relationships/hyperlink" Target="https://zakon.rada.gov.ua/laws/show/13-92" TargetMode="External"/><Relationship Id="rId6293" Type="http://schemas.openxmlformats.org/officeDocument/2006/relationships/hyperlink" Target="https://zakon.rada.gov.ua/laws/show/2245-19" TargetMode="External"/><Relationship Id="rId3887" Type="http://schemas.openxmlformats.org/officeDocument/2006/relationships/hyperlink" Target="https://zakon.rada.gov.ua/laws/show/404-18" TargetMode="External"/><Relationship Id="rId4938" Type="http://schemas.openxmlformats.org/officeDocument/2006/relationships/hyperlink" Target="https://zakon.rada.gov.ua/laws/show/5083-17" TargetMode="External"/><Relationship Id="rId2489" Type="http://schemas.openxmlformats.org/officeDocument/2006/relationships/hyperlink" Target="https://zakon.rada.gov.ua/laws/show/909-19" TargetMode="External"/><Relationship Id="rId2696" Type="http://schemas.openxmlformats.org/officeDocument/2006/relationships/hyperlink" Target="https://zakon.rada.gov.ua/laws/show/5413-17" TargetMode="External"/><Relationship Id="rId3747" Type="http://schemas.openxmlformats.org/officeDocument/2006/relationships/hyperlink" Target="https://zakon.rada.gov.ua/laws/show/71-19" TargetMode="External"/><Relationship Id="rId3954" Type="http://schemas.openxmlformats.org/officeDocument/2006/relationships/hyperlink" Target="https://zakon.rada.gov.ua/laws/show/2755-17/print" TargetMode="External"/><Relationship Id="rId6153" Type="http://schemas.openxmlformats.org/officeDocument/2006/relationships/hyperlink" Target="https://zakon.rada.gov.ua/laws/show/548-19" TargetMode="External"/><Relationship Id="rId668" Type="http://schemas.openxmlformats.org/officeDocument/2006/relationships/hyperlink" Target="https://zakon.rada.gov.ua/laws/show/404-18" TargetMode="External"/><Relationship Id="rId875" Type="http://schemas.openxmlformats.org/officeDocument/2006/relationships/hyperlink" Target="https://zakon.rada.gov.ua/laws/show/609-19" TargetMode="External"/><Relationship Id="rId1298" Type="http://schemas.openxmlformats.org/officeDocument/2006/relationships/hyperlink" Target="https://zakon.rada.gov.ua/laws/show/1797-19" TargetMode="External"/><Relationship Id="rId2349" Type="http://schemas.openxmlformats.org/officeDocument/2006/relationships/hyperlink" Target="https://zakon.rada.gov.ua/laws/show/3609-17" TargetMode="External"/><Relationship Id="rId2556" Type="http://schemas.openxmlformats.org/officeDocument/2006/relationships/hyperlink" Target="https://zakon.rada.gov.ua/laws/show/2755-17/print" TargetMode="External"/><Relationship Id="rId2763" Type="http://schemas.openxmlformats.org/officeDocument/2006/relationships/hyperlink" Target="https://zakon.rada.gov.ua/laws/show/2755-17/print" TargetMode="External"/><Relationship Id="rId2970" Type="http://schemas.openxmlformats.org/officeDocument/2006/relationships/hyperlink" Target="https://zakon.rada.gov.ua/laws/show/2755-17/print" TargetMode="External"/><Relationship Id="rId3607" Type="http://schemas.openxmlformats.org/officeDocument/2006/relationships/hyperlink" Target="https://zakon.rada.gov.ua/laws/show/71-19" TargetMode="External"/><Relationship Id="rId3814" Type="http://schemas.openxmlformats.org/officeDocument/2006/relationships/hyperlink" Target="https://zakon.rada.gov.ua/laws/show/71-19" TargetMode="External"/><Relationship Id="rId6013" Type="http://schemas.openxmlformats.org/officeDocument/2006/relationships/hyperlink" Target="https://zakon.rada.gov.ua/laws/show/2245-19" TargetMode="External"/><Relationship Id="rId6220" Type="http://schemas.openxmlformats.org/officeDocument/2006/relationships/hyperlink" Target="https://zakon.rada.gov.ua/laws/show/425-20" TargetMode="External"/><Relationship Id="rId528" Type="http://schemas.openxmlformats.org/officeDocument/2006/relationships/hyperlink" Target="https://zakon.rada.gov.ua/laws/show/2628-19" TargetMode="External"/><Relationship Id="rId735" Type="http://schemas.openxmlformats.org/officeDocument/2006/relationships/hyperlink" Target="https://zakon.rada.gov.ua/laws/show/2628-19" TargetMode="External"/><Relationship Id="rId942" Type="http://schemas.openxmlformats.org/officeDocument/2006/relationships/hyperlink" Target="https://zakon.rada.gov.ua/laws/show/1797-19" TargetMode="External"/><Relationship Id="rId1158" Type="http://schemas.openxmlformats.org/officeDocument/2006/relationships/hyperlink" Target="https://zakon.rada.gov.ua/laws/show/1797-19" TargetMode="External"/><Relationship Id="rId1365" Type="http://schemas.openxmlformats.org/officeDocument/2006/relationships/hyperlink" Target="https://zakon.rada.gov.ua/laws/show/2245-19" TargetMode="External"/><Relationship Id="rId1572" Type="http://schemas.openxmlformats.org/officeDocument/2006/relationships/hyperlink" Target="https://zakon.rada.gov.ua/laws/show/2755-17/print" TargetMode="External"/><Relationship Id="rId2209" Type="http://schemas.openxmlformats.org/officeDocument/2006/relationships/hyperlink" Target="https://zakon.rada.gov.ua/laws/show/2755-17/print" TargetMode="External"/><Relationship Id="rId2416" Type="http://schemas.openxmlformats.org/officeDocument/2006/relationships/hyperlink" Target="https://zakon.rada.gov.ua/laws/show/71-19" TargetMode="External"/><Relationship Id="rId2623" Type="http://schemas.openxmlformats.org/officeDocument/2006/relationships/hyperlink" Target="https://zakon.rada.gov.ua/laws/show/112-2016-%D0%BF" TargetMode="External"/><Relationship Id="rId5779" Type="http://schemas.openxmlformats.org/officeDocument/2006/relationships/hyperlink" Target="https://zakon.rada.gov.ua/laws/show/2755-17/print" TargetMode="External"/><Relationship Id="rId1018" Type="http://schemas.openxmlformats.org/officeDocument/2006/relationships/hyperlink" Target="https://zakon.rada.gov.ua/laws/show/851-15" TargetMode="External"/><Relationship Id="rId1225" Type="http://schemas.openxmlformats.org/officeDocument/2006/relationships/hyperlink" Target="https://zakon.rada.gov.ua/laws/show/2755-17/print" TargetMode="External"/><Relationship Id="rId1432" Type="http://schemas.openxmlformats.org/officeDocument/2006/relationships/hyperlink" Target="https://zakon.rada.gov.ua/laws/show/1797-19" TargetMode="External"/><Relationship Id="rId2830" Type="http://schemas.openxmlformats.org/officeDocument/2006/relationships/hyperlink" Target="https://zakon.rada.gov.ua/laws/show/2755-17/print" TargetMode="External"/><Relationship Id="rId4588" Type="http://schemas.openxmlformats.org/officeDocument/2006/relationships/hyperlink" Target="https://zakon.rada.gov.ua/laws/show/2755-17/print" TargetMode="External"/><Relationship Id="rId5639" Type="http://schemas.openxmlformats.org/officeDocument/2006/relationships/hyperlink" Target="https://zakon.rada.gov.ua/laws/show/z0137-16" TargetMode="External"/><Relationship Id="rId5986" Type="http://schemas.openxmlformats.org/officeDocument/2006/relationships/hyperlink" Target="https://zakon.rada.gov.ua/laws/show/584%D0%B0-18" TargetMode="External"/><Relationship Id="rId71" Type="http://schemas.openxmlformats.org/officeDocument/2006/relationships/hyperlink" Target="https://zakon.rada.gov.ua/laws/show/1621-18" TargetMode="External"/><Relationship Id="rId802" Type="http://schemas.openxmlformats.org/officeDocument/2006/relationships/hyperlink" Target="https://zakon.rada.gov.ua/laws/show/1797-19" TargetMode="External"/><Relationship Id="rId3397" Type="http://schemas.openxmlformats.org/officeDocument/2006/relationships/hyperlink" Target="https://zakon.rada.gov.ua/laws/show/71-19" TargetMode="External"/><Relationship Id="rId4795" Type="http://schemas.openxmlformats.org/officeDocument/2006/relationships/hyperlink" Target="https://zakon.rada.gov.ua/laws/show/2497-19" TargetMode="External"/><Relationship Id="rId5846" Type="http://schemas.openxmlformats.org/officeDocument/2006/relationships/hyperlink" Target="https://zakon.rada.gov.ua/laws/show/1668-18" TargetMode="External"/><Relationship Id="rId4448" Type="http://schemas.openxmlformats.org/officeDocument/2006/relationships/hyperlink" Target="https://zakon.rada.gov.ua/laws/show/2755-17/print" TargetMode="External"/><Relationship Id="rId4655" Type="http://schemas.openxmlformats.org/officeDocument/2006/relationships/hyperlink" Target="https://zakon.rada.gov.ua/laws/show/5083-17" TargetMode="External"/><Relationship Id="rId4862" Type="http://schemas.openxmlformats.org/officeDocument/2006/relationships/hyperlink" Target="https://zakon.rada.gov.ua/laws/show/5503-17" TargetMode="External"/><Relationship Id="rId5706" Type="http://schemas.openxmlformats.org/officeDocument/2006/relationships/hyperlink" Target="https://zakon.rada.gov.ua/laws/show/2374-19" TargetMode="External"/><Relationship Id="rId5913" Type="http://schemas.openxmlformats.org/officeDocument/2006/relationships/hyperlink" Target="https://zakon.rada.gov.ua/laws/show/2755-17/print" TargetMode="External"/><Relationship Id="rId178" Type="http://schemas.openxmlformats.org/officeDocument/2006/relationships/hyperlink" Target="https://zakon.rada.gov.ua/laws/show/2755-17/print" TargetMode="External"/><Relationship Id="rId3257" Type="http://schemas.openxmlformats.org/officeDocument/2006/relationships/hyperlink" Target="https://zakon.rada.gov.ua/laws/show/z1415-15" TargetMode="External"/><Relationship Id="rId3464" Type="http://schemas.openxmlformats.org/officeDocument/2006/relationships/hyperlink" Target="https://zakon.rada.gov.ua/laws/show/2755-17/print" TargetMode="External"/><Relationship Id="rId3671" Type="http://schemas.openxmlformats.org/officeDocument/2006/relationships/hyperlink" Target="https://zakon.rada.gov.ua/laws/show/2755-17/print" TargetMode="External"/><Relationship Id="rId4308" Type="http://schemas.openxmlformats.org/officeDocument/2006/relationships/hyperlink" Target="https://zakon.rada.gov.ua/laws/show/2628-19" TargetMode="External"/><Relationship Id="rId4515" Type="http://schemas.openxmlformats.org/officeDocument/2006/relationships/hyperlink" Target="https://zakon.rada.gov.ua/laws/show/1791-19" TargetMode="External"/><Relationship Id="rId4722" Type="http://schemas.openxmlformats.org/officeDocument/2006/relationships/hyperlink" Target="https://zakon.rada.gov.ua/laws/show/71-19" TargetMode="External"/><Relationship Id="rId385" Type="http://schemas.openxmlformats.org/officeDocument/2006/relationships/hyperlink" Target="https://zakon.rada.gov.ua/laws/show/2755-17/print" TargetMode="External"/><Relationship Id="rId592" Type="http://schemas.openxmlformats.org/officeDocument/2006/relationships/hyperlink" Target="https://zakon.rada.gov.ua/laws/show/71-19" TargetMode="External"/><Relationship Id="rId2066" Type="http://schemas.openxmlformats.org/officeDocument/2006/relationships/hyperlink" Target="https://zakon.rada.gov.ua/laws/show/2755-17/print" TargetMode="External"/><Relationship Id="rId2273" Type="http://schemas.openxmlformats.org/officeDocument/2006/relationships/hyperlink" Target="https://zakon.rada.gov.ua/laws/show/1797-19" TargetMode="External"/><Relationship Id="rId2480" Type="http://schemas.openxmlformats.org/officeDocument/2006/relationships/hyperlink" Target="https://zakon.rada.gov.ua/laws/show/1797-19" TargetMode="External"/><Relationship Id="rId3117" Type="http://schemas.openxmlformats.org/officeDocument/2006/relationships/hyperlink" Target="https://zakon.rada.gov.ua/laws/show/344-20" TargetMode="External"/><Relationship Id="rId3324" Type="http://schemas.openxmlformats.org/officeDocument/2006/relationships/hyperlink" Target="https://zakon.rada.gov.ua/laws/show/909-19" TargetMode="External"/><Relationship Id="rId3531" Type="http://schemas.openxmlformats.org/officeDocument/2006/relationships/hyperlink" Target="https://zakon.rada.gov.ua/laws/show/71-19" TargetMode="External"/><Relationship Id="rId245" Type="http://schemas.openxmlformats.org/officeDocument/2006/relationships/hyperlink" Target="https://zakon.rada.gov.ua/laws/show/1797-19" TargetMode="External"/><Relationship Id="rId452" Type="http://schemas.openxmlformats.org/officeDocument/2006/relationships/hyperlink" Target="https://zakon.rada.gov.ua/laws/show/1166-18" TargetMode="External"/><Relationship Id="rId1082" Type="http://schemas.openxmlformats.org/officeDocument/2006/relationships/hyperlink" Target="https://zakon.rada.gov.ua/laws/show/z1415-15" TargetMode="External"/><Relationship Id="rId2133" Type="http://schemas.openxmlformats.org/officeDocument/2006/relationships/hyperlink" Target="https://zakon.rada.gov.ua/laws/show/2755-17/print" TargetMode="External"/><Relationship Id="rId2340" Type="http://schemas.openxmlformats.org/officeDocument/2006/relationships/hyperlink" Target="https://zakon.rada.gov.ua/laws/show/3551-12" TargetMode="External"/><Relationship Id="rId5289" Type="http://schemas.openxmlformats.org/officeDocument/2006/relationships/hyperlink" Target="https://zakon.rada.gov.ua/laws/show/71-19" TargetMode="External"/><Relationship Id="rId5496" Type="http://schemas.openxmlformats.org/officeDocument/2006/relationships/hyperlink" Target="https://zakon.rada.gov.ua/laws/show/2755-17/print" TargetMode="External"/><Relationship Id="rId105" Type="http://schemas.openxmlformats.org/officeDocument/2006/relationships/hyperlink" Target="https://zakon.rada.gov.ua/laws/show/812-19" TargetMode="External"/><Relationship Id="rId312" Type="http://schemas.openxmlformats.org/officeDocument/2006/relationships/hyperlink" Target="https://zakon.rada.gov.ua/laws/show/71-19" TargetMode="External"/><Relationship Id="rId2200" Type="http://schemas.openxmlformats.org/officeDocument/2006/relationships/hyperlink" Target="https://zakon.rada.gov.ua/laws/show/2245-19" TargetMode="External"/><Relationship Id="rId4098" Type="http://schemas.openxmlformats.org/officeDocument/2006/relationships/hyperlink" Target="https://zakon.rada.gov.ua/laws/show/2755-17/print" TargetMode="External"/><Relationship Id="rId5149" Type="http://schemas.openxmlformats.org/officeDocument/2006/relationships/hyperlink" Target="https://zakon.rada.gov.ua/laws/show/5412-17" TargetMode="External"/><Relationship Id="rId5356" Type="http://schemas.openxmlformats.org/officeDocument/2006/relationships/hyperlink" Target="https://zakon.rada.gov.ua/laws/show/3609-17" TargetMode="External"/><Relationship Id="rId5563" Type="http://schemas.openxmlformats.org/officeDocument/2006/relationships/hyperlink" Target="https://zakon.rada.gov.ua/laws/show/2755-17/print" TargetMode="External"/><Relationship Id="rId1899" Type="http://schemas.openxmlformats.org/officeDocument/2006/relationships/hyperlink" Target="https://zakon.rada.gov.ua/laws/show/657-18" TargetMode="External"/><Relationship Id="rId4165" Type="http://schemas.openxmlformats.org/officeDocument/2006/relationships/hyperlink" Target="https://zakon.rada.gov.ua/laws/show/391-20" TargetMode="External"/><Relationship Id="rId4372" Type="http://schemas.openxmlformats.org/officeDocument/2006/relationships/hyperlink" Target="https://zakon.rada.gov.ua/laws/show/4235-17" TargetMode="External"/><Relationship Id="rId5009" Type="http://schemas.openxmlformats.org/officeDocument/2006/relationships/hyperlink" Target="https://zakon.rada.gov.ua/laws/show/443-18" TargetMode="External"/><Relationship Id="rId5216" Type="http://schemas.openxmlformats.org/officeDocument/2006/relationships/hyperlink" Target="https://zakon.rada.gov.ua/laws/show/404-18" TargetMode="External"/><Relationship Id="rId5770" Type="http://schemas.openxmlformats.org/officeDocument/2006/relationships/hyperlink" Target="https://zakon.rada.gov.ua/laws/show/1166-18" TargetMode="External"/><Relationship Id="rId1759" Type="http://schemas.openxmlformats.org/officeDocument/2006/relationships/hyperlink" Target="https://zakon.rada.gov.ua/laws/show/643-19" TargetMode="External"/><Relationship Id="rId1966" Type="http://schemas.openxmlformats.org/officeDocument/2006/relationships/hyperlink" Target="https://zakon.rada.gov.ua/laws/show/657-18" TargetMode="External"/><Relationship Id="rId3181" Type="http://schemas.openxmlformats.org/officeDocument/2006/relationships/hyperlink" Target="https://zakon.rada.gov.ua/laws/show/2755-17/print" TargetMode="External"/><Relationship Id="rId4025" Type="http://schemas.openxmlformats.org/officeDocument/2006/relationships/hyperlink" Target="https://zakon.rada.gov.ua/laws/show/1791-19" TargetMode="External"/><Relationship Id="rId5423" Type="http://schemas.openxmlformats.org/officeDocument/2006/relationships/hyperlink" Target="https://zakon.rada.gov.ua/laws/show/2755-17/print" TargetMode="External"/><Relationship Id="rId5630" Type="http://schemas.openxmlformats.org/officeDocument/2006/relationships/hyperlink" Target="https://zakon.rada.gov.ua/laws/show/1797-19" TargetMode="External"/><Relationship Id="rId1619" Type="http://schemas.openxmlformats.org/officeDocument/2006/relationships/hyperlink" Target="https://zakon.rada.gov.ua/laws/show/2755-17/print" TargetMode="External"/><Relationship Id="rId1826" Type="http://schemas.openxmlformats.org/officeDocument/2006/relationships/hyperlink" Target="https://zakon.rada.gov.ua/laws/show/1797-19" TargetMode="External"/><Relationship Id="rId4232" Type="http://schemas.openxmlformats.org/officeDocument/2006/relationships/hyperlink" Target="https://zakon.rada.gov.ua/laws/show/2628-19" TargetMode="External"/><Relationship Id="rId3041" Type="http://schemas.openxmlformats.org/officeDocument/2006/relationships/hyperlink" Target="https://zakon.rada.gov.ua/laws/show/4915-17" TargetMode="External"/><Relationship Id="rId3998" Type="http://schemas.openxmlformats.org/officeDocument/2006/relationships/hyperlink" Target="https://zakon.rada.gov.ua/laws/show/1257-2010-%D0%BF" TargetMode="External"/><Relationship Id="rId6197" Type="http://schemas.openxmlformats.org/officeDocument/2006/relationships/hyperlink" Target="https://zakon.rada.gov.ua/laws/show/71-19" TargetMode="External"/><Relationship Id="rId3858" Type="http://schemas.openxmlformats.org/officeDocument/2006/relationships/hyperlink" Target="https://zakon.rada.gov.ua/laws/show/584%D0%B0-18" TargetMode="External"/><Relationship Id="rId4909" Type="http://schemas.openxmlformats.org/officeDocument/2006/relationships/hyperlink" Target="https://zakon.rada.gov.ua/laws/show/1797-19" TargetMode="External"/><Relationship Id="rId6057" Type="http://schemas.openxmlformats.org/officeDocument/2006/relationships/hyperlink" Target="https://zakon.rada.gov.ua/laws/show/2755-17/print" TargetMode="External"/><Relationship Id="rId6264" Type="http://schemas.openxmlformats.org/officeDocument/2006/relationships/hyperlink" Target="https://zakon.rada.gov.ua/laws/show/2628-19" TargetMode="External"/><Relationship Id="rId779" Type="http://schemas.openxmlformats.org/officeDocument/2006/relationships/hyperlink" Target="https://zakon.rada.gov.ua/laws/show/1797-19" TargetMode="External"/><Relationship Id="rId986" Type="http://schemas.openxmlformats.org/officeDocument/2006/relationships/hyperlink" Target="https://zakon.rada.gov.ua/laws/show/5083-17" TargetMode="External"/><Relationship Id="rId2667" Type="http://schemas.openxmlformats.org/officeDocument/2006/relationships/hyperlink" Target="https://zakon.rada.gov.ua/laws/show/z0684-18" TargetMode="External"/><Relationship Id="rId3718" Type="http://schemas.openxmlformats.org/officeDocument/2006/relationships/hyperlink" Target="https://zakon.rada.gov.ua/laws/show/4495-17" TargetMode="External"/><Relationship Id="rId5073" Type="http://schemas.openxmlformats.org/officeDocument/2006/relationships/hyperlink" Target="https://zakon.rada.gov.ua/laws/show/076_009" TargetMode="External"/><Relationship Id="rId5280" Type="http://schemas.openxmlformats.org/officeDocument/2006/relationships/hyperlink" Target="https://zakon.rada.gov.ua/laws/show/761/99" TargetMode="External"/><Relationship Id="rId6124" Type="http://schemas.openxmlformats.org/officeDocument/2006/relationships/hyperlink" Target="https://zakon.rada.gov.ua/laws/show/5213-17" TargetMode="External"/><Relationship Id="rId639" Type="http://schemas.openxmlformats.org/officeDocument/2006/relationships/hyperlink" Target="https://zakon.rada.gov.ua/laws/show/1797-19" TargetMode="External"/><Relationship Id="rId1269" Type="http://schemas.openxmlformats.org/officeDocument/2006/relationships/hyperlink" Target="https://zakon.rada.gov.ua/laws/show/1797-19" TargetMode="External"/><Relationship Id="rId1476" Type="http://schemas.openxmlformats.org/officeDocument/2006/relationships/hyperlink" Target="https://zakon.rada.gov.ua/laws/show/71-19" TargetMode="External"/><Relationship Id="rId2874" Type="http://schemas.openxmlformats.org/officeDocument/2006/relationships/hyperlink" Target="https://zakon.rada.gov.ua/laws/show/z1456-14" TargetMode="External"/><Relationship Id="rId3925" Type="http://schemas.openxmlformats.org/officeDocument/2006/relationships/hyperlink" Target="https://zakon.rada.gov.ua/laws/show/2755-17/print" TargetMode="External"/><Relationship Id="rId5140" Type="http://schemas.openxmlformats.org/officeDocument/2006/relationships/hyperlink" Target="https://zakon.rada.gov.ua/laws/show/5412-17" TargetMode="External"/><Relationship Id="rId846" Type="http://schemas.openxmlformats.org/officeDocument/2006/relationships/hyperlink" Target="https://zakon.rada.gov.ua/laws/show/2245-19" TargetMode="External"/><Relationship Id="rId1129" Type="http://schemas.openxmlformats.org/officeDocument/2006/relationships/hyperlink" Target="https://zakon.rada.gov.ua/laws/show/3609-17" TargetMode="External"/><Relationship Id="rId1683" Type="http://schemas.openxmlformats.org/officeDocument/2006/relationships/hyperlink" Target="https://zakon.rada.gov.ua/laws/show/5412-17" TargetMode="External"/><Relationship Id="rId1890" Type="http://schemas.openxmlformats.org/officeDocument/2006/relationships/hyperlink" Target="https://zakon.rada.gov.ua/laws/show/2755-17/print" TargetMode="External"/><Relationship Id="rId2527" Type="http://schemas.openxmlformats.org/officeDocument/2006/relationships/hyperlink" Target="https://zakon.rada.gov.ua/laws/show/2755-17/print" TargetMode="External"/><Relationship Id="rId2734" Type="http://schemas.openxmlformats.org/officeDocument/2006/relationships/hyperlink" Target="https://zakon.rada.gov.ua/laws/show/2755-17/print" TargetMode="External"/><Relationship Id="rId2941" Type="http://schemas.openxmlformats.org/officeDocument/2006/relationships/hyperlink" Target="https://zakon.rada.gov.ua/laws/show/2628-19" TargetMode="External"/><Relationship Id="rId5000" Type="http://schemas.openxmlformats.org/officeDocument/2006/relationships/hyperlink" Target="https://zakon.rada.gov.ua/laws/show/2497-19" TargetMode="External"/><Relationship Id="rId706" Type="http://schemas.openxmlformats.org/officeDocument/2006/relationships/hyperlink" Target="https://zakon.rada.gov.ua/laws/show/254%D0%BA/96-%D0%B2%D1%80" TargetMode="External"/><Relationship Id="rId913" Type="http://schemas.openxmlformats.org/officeDocument/2006/relationships/hyperlink" Target="https://zakon.rada.gov.ua/laws/show/1797-19" TargetMode="External"/><Relationship Id="rId1336" Type="http://schemas.openxmlformats.org/officeDocument/2006/relationships/hyperlink" Target="https://zakon.rada.gov.ua/laws/show/4834-17" TargetMode="External"/><Relationship Id="rId1543" Type="http://schemas.openxmlformats.org/officeDocument/2006/relationships/hyperlink" Target="https://zakon.rada.gov.ua/laws/show/2755-17/print" TargetMode="External"/><Relationship Id="rId1750" Type="http://schemas.openxmlformats.org/officeDocument/2006/relationships/hyperlink" Target="https://zakon.rada.gov.ua/laws/show/909-19" TargetMode="External"/><Relationship Id="rId2801" Type="http://schemas.openxmlformats.org/officeDocument/2006/relationships/hyperlink" Target="https://zakon.rada.gov.ua/laws/show/2755-17/print" TargetMode="External"/><Relationship Id="rId4699" Type="http://schemas.openxmlformats.org/officeDocument/2006/relationships/hyperlink" Target="https://zakon.rada.gov.ua/laws/show/2628-19" TargetMode="External"/><Relationship Id="rId5957" Type="http://schemas.openxmlformats.org/officeDocument/2006/relationships/hyperlink" Target="https://zakon.rada.gov.ua/laws/show/4279-17" TargetMode="External"/><Relationship Id="rId42" Type="http://schemas.openxmlformats.org/officeDocument/2006/relationships/hyperlink" Target="https://zakon.rada.gov.ua/laws/show/5414-17" TargetMode="External"/><Relationship Id="rId1403" Type="http://schemas.openxmlformats.org/officeDocument/2006/relationships/hyperlink" Target="https://zakon.rada.gov.ua/laws/show/323-20" TargetMode="External"/><Relationship Id="rId1610" Type="http://schemas.openxmlformats.org/officeDocument/2006/relationships/hyperlink" Target="https://zakon.rada.gov.ua/laws/show/1797-19" TargetMode="External"/><Relationship Id="rId4559" Type="http://schemas.openxmlformats.org/officeDocument/2006/relationships/hyperlink" Target="https://zakon.rada.gov.ua/laws/show/076_009" TargetMode="External"/><Relationship Id="rId4766" Type="http://schemas.openxmlformats.org/officeDocument/2006/relationships/hyperlink" Target="https://zakon.rada.gov.ua/laws/show/1797-19" TargetMode="External"/><Relationship Id="rId4973" Type="http://schemas.openxmlformats.org/officeDocument/2006/relationships/hyperlink" Target="https://zakon.rada.gov.ua/laws/show/5503-17" TargetMode="External"/><Relationship Id="rId5817" Type="http://schemas.openxmlformats.org/officeDocument/2006/relationships/hyperlink" Target="https://zakon.rada.gov.ua/laws/show/3609-17" TargetMode="External"/><Relationship Id="rId3368" Type="http://schemas.openxmlformats.org/officeDocument/2006/relationships/hyperlink" Target="https://zakon.rada.gov.ua/laws/show/2755-17/print" TargetMode="External"/><Relationship Id="rId3575" Type="http://schemas.openxmlformats.org/officeDocument/2006/relationships/hyperlink" Target="https://zakon.rada.gov.ua/laws/show/2755-17/print" TargetMode="External"/><Relationship Id="rId3782" Type="http://schemas.openxmlformats.org/officeDocument/2006/relationships/hyperlink" Target="https://zakon.rada.gov.ua/laws/show/2628-19" TargetMode="External"/><Relationship Id="rId4419" Type="http://schemas.openxmlformats.org/officeDocument/2006/relationships/hyperlink" Target="https://zakon.rada.gov.ua/laws/show/1791-19" TargetMode="External"/><Relationship Id="rId4626" Type="http://schemas.openxmlformats.org/officeDocument/2006/relationships/hyperlink" Target="https://zakon.rada.gov.ua/laws/show/909-19" TargetMode="External"/><Relationship Id="rId4833" Type="http://schemas.openxmlformats.org/officeDocument/2006/relationships/hyperlink" Target="https://zakon.rada.gov.ua/laws/show/5083-17" TargetMode="External"/><Relationship Id="rId289" Type="http://schemas.openxmlformats.org/officeDocument/2006/relationships/hyperlink" Target="https://zakon.rada.gov.ua/laws/show/1797-19" TargetMode="External"/><Relationship Id="rId496" Type="http://schemas.openxmlformats.org/officeDocument/2006/relationships/hyperlink" Target="https://zakon.rada.gov.ua/laws/show/2755-17/print" TargetMode="External"/><Relationship Id="rId2177" Type="http://schemas.openxmlformats.org/officeDocument/2006/relationships/hyperlink" Target="https://zakon.rada.gov.ua/laws/show/2755-17/print" TargetMode="External"/><Relationship Id="rId2384" Type="http://schemas.openxmlformats.org/officeDocument/2006/relationships/hyperlink" Target="https://zakon.rada.gov.ua/laws/show/2768-14" TargetMode="External"/><Relationship Id="rId2591" Type="http://schemas.openxmlformats.org/officeDocument/2006/relationships/hyperlink" Target="https://zakon.rada.gov.ua/laws/show/2628-19" TargetMode="External"/><Relationship Id="rId3228" Type="http://schemas.openxmlformats.org/officeDocument/2006/relationships/hyperlink" Target="https://zakon.rada.gov.ua/laws/show/4834-17" TargetMode="External"/><Relationship Id="rId3435" Type="http://schemas.openxmlformats.org/officeDocument/2006/relationships/hyperlink" Target="https://zakon.rada.gov.ua/laws/show/1797-19" TargetMode="External"/><Relationship Id="rId3642" Type="http://schemas.openxmlformats.org/officeDocument/2006/relationships/hyperlink" Target="https://zakon.rada.gov.ua/laws/show/va375202-05" TargetMode="External"/><Relationship Id="rId149" Type="http://schemas.openxmlformats.org/officeDocument/2006/relationships/hyperlink" Target="https://zakon.rada.gov.ua/laws/show/767-18" TargetMode="External"/><Relationship Id="rId356" Type="http://schemas.openxmlformats.org/officeDocument/2006/relationships/hyperlink" Target="https://zakon.rada.gov.ua/laws/show/4915-17" TargetMode="External"/><Relationship Id="rId563" Type="http://schemas.openxmlformats.org/officeDocument/2006/relationships/hyperlink" Target="https://zakon.rada.gov.ua/laws/show/4212-17" TargetMode="External"/><Relationship Id="rId770" Type="http://schemas.openxmlformats.org/officeDocument/2006/relationships/hyperlink" Target="https://zakon.rada.gov.ua/laws/show/1797-19" TargetMode="External"/><Relationship Id="rId1193" Type="http://schemas.openxmlformats.org/officeDocument/2006/relationships/hyperlink" Target="https://zakon.rada.gov.ua/laws/show/655-19" TargetMode="External"/><Relationship Id="rId2037" Type="http://schemas.openxmlformats.org/officeDocument/2006/relationships/hyperlink" Target="https://zakon.rada.gov.ua/laws/show/4014-17" TargetMode="External"/><Relationship Id="rId2244" Type="http://schemas.openxmlformats.org/officeDocument/2006/relationships/hyperlink" Target="https://zakon.rada.gov.ua/laws/show/2755-17/print" TargetMode="External"/><Relationship Id="rId2451" Type="http://schemas.openxmlformats.org/officeDocument/2006/relationships/hyperlink" Target="https://zakon.rada.gov.ua/laws/show/2755-17/print" TargetMode="External"/><Relationship Id="rId4900" Type="http://schemas.openxmlformats.org/officeDocument/2006/relationships/hyperlink" Target="https://zakon.rada.gov.ua/laws/show/71-19" TargetMode="External"/><Relationship Id="rId216" Type="http://schemas.openxmlformats.org/officeDocument/2006/relationships/hyperlink" Target="https://zakon.rada.gov.ua/laws/show/5503-17" TargetMode="External"/><Relationship Id="rId423" Type="http://schemas.openxmlformats.org/officeDocument/2006/relationships/hyperlink" Target="https://zakon.rada.gov.ua/laws/show/4834-17" TargetMode="External"/><Relationship Id="rId1053" Type="http://schemas.openxmlformats.org/officeDocument/2006/relationships/hyperlink" Target="https://zakon.rada.gov.ua/laws/show/2755-17/print" TargetMode="External"/><Relationship Id="rId1260" Type="http://schemas.openxmlformats.org/officeDocument/2006/relationships/hyperlink" Target="https://zakon.rada.gov.ua/laws/show/403-18" TargetMode="External"/><Relationship Id="rId2104" Type="http://schemas.openxmlformats.org/officeDocument/2006/relationships/hyperlink" Target="https://zakon.rada.gov.ua/laws/show/1797-19" TargetMode="External"/><Relationship Id="rId3502" Type="http://schemas.openxmlformats.org/officeDocument/2006/relationships/hyperlink" Target="https://zakon.rada.gov.ua/laws/show/71-19" TargetMode="External"/><Relationship Id="rId630" Type="http://schemas.openxmlformats.org/officeDocument/2006/relationships/hyperlink" Target="https://zakon.rada.gov.ua/laws/show/404-18" TargetMode="External"/><Relationship Id="rId2311" Type="http://schemas.openxmlformats.org/officeDocument/2006/relationships/hyperlink" Target="https://zakon.rada.gov.ua/laws/show/2755-17/print" TargetMode="External"/><Relationship Id="rId4069" Type="http://schemas.openxmlformats.org/officeDocument/2006/relationships/hyperlink" Target="https://zakon.rada.gov.ua/laws/show/5471-17" TargetMode="External"/><Relationship Id="rId5467" Type="http://schemas.openxmlformats.org/officeDocument/2006/relationships/hyperlink" Target="https://zakon.rada.gov.ua/laws/show/1658-18" TargetMode="External"/><Relationship Id="rId5674" Type="http://schemas.openxmlformats.org/officeDocument/2006/relationships/hyperlink" Target="https://zakon.rada.gov.ua/laws/show/2755-17/print" TargetMode="External"/><Relationship Id="rId5881" Type="http://schemas.openxmlformats.org/officeDocument/2006/relationships/hyperlink" Target="https://zakon.rada.gov.ua/laws/show/476-2017-%D0%BF" TargetMode="External"/><Relationship Id="rId1120" Type="http://schemas.openxmlformats.org/officeDocument/2006/relationships/hyperlink" Target="https://zakon.rada.gov.ua/laws/show/2755-17/print" TargetMode="External"/><Relationship Id="rId4276" Type="http://schemas.openxmlformats.org/officeDocument/2006/relationships/hyperlink" Target="https://zakon.rada.gov.ua/laws/show/2628-19" TargetMode="External"/><Relationship Id="rId4483" Type="http://schemas.openxmlformats.org/officeDocument/2006/relationships/hyperlink" Target="https://zakon.rada.gov.ua/laws/show/812-19" TargetMode="External"/><Relationship Id="rId4690" Type="http://schemas.openxmlformats.org/officeDocument/2006/relationships/hyperlink" Target="https://zakon.rada.gov.ua/laws/show/909-19" TargetMode="External"/><Relationship Id="rId5327" Type="http://schemas.openxmlformats.org/officeDocument/2006/relationships/hyperlink" Target="https://zakon.rada.gov.ua/laws/show/1797-19" TargetMode="External"/><Relationship Id="rId5534" Type="http://schemas.openxmlformats.org/officeDocument/2006/relationships/hyperlink" Target="https://zakon.rada.gov.ua/laws/show/71-19" TargetMode="External"/><Relationship Id="rId5741" Type="http://schemas.openxmlformats.org/officeDocument/2006/relationships/hyperlink" Target="https://zakon.rada.gov.ua/laws/show/2755-17/print" TargetMode="External"/><Relationship Id="rId1937" Type="http://schemas.openxmlformats.org/officeDocument/2006/relationships/hyperlink" Target="https://zakon.rada.gov.ua/laws/show/2176-19" TargetMode="External"/><Relationship Id="rId3085" Type="http://schemas.openxmlformats.org/officeDocument/2006/relationships/hyperlink" Target="https://zakon.rada.gov.ua/laws/show/5073-17" TargetMode="External"/><Relationship Id="rId3292" Type="http://schemas.openxmlformats.org/officeDocument/2006/relationships/hyperlink" Target="https://zakon.rada.gov.ua/laws/show/1797-19" TargetMode="External"/><Relationship Id="rId4136" Type="http://schemas.openxmlformats.org/officeDocument/2006/relationships/hyperlink" Target="https://zakon.rada.gov.ua/laws/show/5503-17" TargetMode="External"/><Relationship Id="rId4343" Type="http://schemas.openxmlformats.org/officeDocument/2006/relationships/hyperlink" Target="https://zakon.rada.gov.ua/laws/show/2628-19" TargetMode="External"/><Relationship Id="rId4550" Type="http://schemas.openxmlformats.org/officeDocument/2006/relationships/hyperlink" Target="https://zakon.rada.gov.ua/laws/show/909-19" TargetMode="External"/><Relationship Id="rId5601" Type="http://schemas.openxmlformats.org/officeDocument/2006/relationships/hyperlink" Target="https://zakon.rada.gov.ua/laws/show/z0137-16" TargetMode="External"/><Relationship Id="rId3152" Type="http://schemas.openxmlformats.org/officeDocument/2006/relationships/hyperlink" Target="https://zakon.rada.gov.ua/laws/show/71-19" TargetMode="External"/><Relationship Id="rId4203" Type="http://schemas.openxmlformats.org/officeDocument/2006/relationships/hyperlink" Target="https://zakon.rada.gov.ua/laws/show/2628-19" TargetMode="External"/><Relationship Id="rId4410" Type="http://schemas.openxmlformats.org/officeDocument/2006/relationships/hyperlink" Target="https://zakon.rada.gov.ua/laws/show/5503-17" TargetMode="External"/><Relationship Id="rId280" Type="http://schemas.openxmlformats.org/officeDocument/2006/relationships/hyperlink" Target="https://zakon.rada.gov.ua/laws/show/1797-19" TargetMode="External"/><Relationship Id="rId3012" Type="http://schemas.openxmlformats.org/officeDocument/2006/relationships/hyperlink" Target="https://zakon.rada.gov.ua/laws/show/643-19" TargetMode="External"/><Relationship Id="rId6168" Type="http://schemas.openxmlformats.org/officeDocument/2006/relationships/hyperlink" Target="https://zakon.rada.gov.ua/laws/show/407-18" TargetMode="External"/><Relationship Id="rId140" Type="http://schemas.openxmlformats.org/officeDocument/2006/relationships/hyperlink" Target="https://zakon.rada.gov.ua/laws/show/425-20" TargetMode="External"/><Relationship Id="rId3969" Type="http://schemas.openxmlformats.org/officeDocument/2006/relationships/hyperlink" Target="https://zakon.rada.gov.ua/laws/show/2628-19" TargetMode="External"/><Relationship Id="rId5184" Type="http://schemas.openxmlformats.org/officeDocument/2006/relationships/hyperlink" Target="https://zakon.rada.gov.ua/laws/show/4915-17" TargetMode="External"/><Relationship Id="rId5391" Type="http://schemas.openxmlformats.org/officeDocument/2006/relationships/hyperlink" Target="https://zakon.rada.gov.ua/laws/show/3609-17" TargetMode="External"/><Relationship Id="rId6028" Type="http://schemas.openxmlformats.org/officeDocument/2006/relationships/hyperlink" Target="https://zakon.rada.gov.ua/laws/show/2755-17/print" TargetMode="External"/><Relationship Id="rId6235" Type="http://schemas.openxmlformats.org/officeDocument/2006/relationships/hyperlink" Target="https://zakon.rada.gov.ua/laws/show/2755-17/print" TargetMode="External"/><Relationship Id="rId6" Type="http://schemas.openxmlformats.org/officeDocument/2006/relationships/hyperlink" Target="https://zakon.rada.gov.ua/laws/show/3205-17" TargetMode="External"/><Relationship Id="rId2778" Type="http://schemas.openxmlformats.org/officeDocument/2006/relationships/hyperlink" Target="https://zakon.rada.gov.ua/laws/show/3609-17" TargetMode="External"/><Relationship Id="rId2985" Type="http://schemas.openxmlformats.org/officeDocument/2006/relationships/hyperlink" Target="https://zakon.rada.gov.ua/laws/show/4495-17" TargetMode="External"/><Relationship Id="rId3829" Type="http://schemas.openxmlformats.org/officeDocument/2006/relationships/hyperlink" Target="https://zakon.rada.gov.ua/laws/show/1791-19" TargetMode="External"/><Relationship Id="rId5044" Type="http://schemas.openxmlformats.org/officeDocument/2006/relationships/hyperlink" Target="https://zakon.rada.gov.ua/laws/show/71-19" TargetMode="External"/><Relationship Id="rId957" Type="http://schemas.openxmlformats.org/officeDocument/2006/relationships/hyperlink" Target="https://zakon.rada.gov.ua/laws/show/2245-19" TargetMode="External"/><Relationship Id="rId1587" Type="http://schemas.openxmlformats.org/officeDocument/2006/relationships/hyperlink" Target="https://zakon.rada.gov.ua/laws/show/4652-17" TargetMode="External"/><Relationship Id="rId1794" Type="http://schemas.openxmlformats.org/officeDocument/2006/relationships/hyperlink" Target="https://zakon.rada.gov.ua/laws/show/1797-19" TargetMode="External"/><Relationship Id="rId2638" Type="http://schemas.openxmlformats.org/officeDocument/2006/relationships/hyperlink" Target="https://zakon.rada.gov.ua/laws/show/2755-17/print" TargetMode="External"/><Relationship Id="rId2845" Type="http://schemas.openxmlformats.org/officeDocument/2006/relationships/hyperlink" Target="https://zakon.rada.gov.ua/laws/show/5083-17" TargetMode="External"/><Relationship Id="rId5251" Type="http://schemas.openxmlformats.org/officeDocument/2006/relationships/hyperlink" Target="https://zakon.rada.gov.ua/laws/show/404-18" TargetMode="External"/><Relationship Id="rId6302" Type="http://schemas.openxmlformats.org/officeDocument/2006/relationships/hyperlink" Target="https://zakon.rada.gov.ua/laws/show/354-20" TargetMode="External"/><Relationship Id="rId86" Type="http://schemas.openxmlformats.org/officeDocument/2006/relationships/hyperlink" Target="https://zakon.rada.gov.ua/laws/show/321-19" TargetMode="External"/><Relationship Id="rId817" Type="http://schemas.openxmlformats.org/officeDocument/2006/relationships/hyperlink" Target="https://zakon.rada.gov.ua/laws/show/1797-19" TargetMode="External"/><Relationship Id="rId1447" Type="http://schemas.openxmlformats.org/officeDocument/2006/relationships/hyperlink" Target="https://zakon.rada.gov.ua/laws/show/1797-19" TargetMode="External"/><Relationship Id="rId1654" Type="http://schemas.openxmlformats.org/officeDocument/2006/relationships/hyperlink" Target="https://zakon.rada.gov.ua/laws/show/2755-17/print" TargetMode="External"/><Relationship Id="rId1861" Type="http://schemas.openxmlformats.org/officeDocument/2006/relationships/hyperlink" Target="https://zakon.rada.gov.ua/laws/show/1797-19" TargetMode="External"/><Relationship Id="rId2705" Type="http://schemas.openxmlformats.org/officeDocument/2006/relationships/hyperlink" Target="https://zakon.rada.gov.ua/laws/show/2755-17/print" TargetMode="External"/><Relationship Id="rId2912" Type="http://schemas.openxmlformats.org/officeDocument/2006/relationships/hyperlink" Target="https://zakon.rada.gov.ua/laws/show/657-18" TargetMode="External"/><Relationship Id="rId4060" Type="http://schemas.openxmlformats.org/officeDocument/2006/relationships/hyperlink" Target="https://zakon.rada.gov.ua/laws/show/909-19" TargetMode="External"/><Relationship Id="rId5111" Type="http://schemas.openxmlformats.org/officeDocument/2006/relationships/hyperlink" Target="https://zakon.rada.gov.ua/laws/show/5412-17" TargetMode="External"/><Relationship Id="rId1307" Type="http://schemas.openxmlformats.org/officeDocument/2006/relationships/hyperlink" Target="https://zakon.rada.gov.ua/laws/show/z0902-17" TargetMode="External"/><Relationship Id="rId1514" Type="http://schemas.openxmlformats.org/officeDocument/2006/relationships/hyperlink" Target="https://zakon.rada.gov.ua/laws/show/2755-17/print" TargetMode="External"/><Relationship Id="rId1721" Type="http://schemas.openxmlformats.org/officeDocument/2006/relationships/hyperlink" Target="https://zakon.rada.gov.ua/laws/show/1797-19" TargetMode="External"/><Relationship Id="rId4877" Type="http://schemas.openxmlformats.org/officeDocument/2006/relationships/hyperlink" Target="https://zakon.rada.gov.ua/laws/show/71-19" TargetMode="External"/><Relationship Id="rId5928" Type="http://schemas.openxmlformats.org/officeDocument/2006/relationships/hyperlink" Target="https://zakon.rada.gov.ua/laws/show/1638-18" TargetMode="External"/><Relationship Id="rId13" Type="http://schemas.openxmlformats.org/officeDocument/2006/relationships/hyperlink" Target="https://zakon.rada.gov.ua/laws/show/3675-17" TargetMode="External"/><Relationship Id="rId3479" Type="http://schemas.openxmlformats.org/officeDocument/2006/relationships/hyperlink" Target="https://zakon.rada.gov.ua/laws/show/1797-19" TargetMode="External"/><Relationship Id="rId3686" Type="http://schemas.openxmlformats.org/officeDocument/2006/relationships/hyperlink" Target="https://zakon.rada.gov.ua/laws/show/2755-17/print" TargetMode="External"/><Relationship Id="rId6092" Type="http://schemas.openxmlformats.org/officeDocument/2006/relationships/hyperlink" Target="https://zakon.rada.gov.ua/laws/show/2755-17/print" TargetMode="External"/><Relationship Id="rId2288" Type="http://schemas.openxmlformats.org/officeDocument/2006/relationships/hyperlink" Target="https://zakon.rada.gov.ua/laws/show/344-20" TargetMode="External"/><Relationship Id="rId2495" Type="http://schemas.openxmlformats.org/officeDocument/2006/relationships/hyperlink" Target="https://zakon.rada.gov.ua/laws/show/1166-18" TargetMode="External"/><Relationship Id="rId3339" Type="http://schemas.openxmlformats.org/officeDocument/2006/relationships/hyperlink" Target="https://zakon.rada.gov.ua/laws/show/909-19" TargetMode="External"/><Relationship Id="rId3893" Type="http://schemas.openxmlformats.org/officeDocument/2006/relationships/hyperlink" Target="https://zakon.rada.gov.ua/laws/show/404-18" TargetMode="External"/><Relationship Id="rId4737" Type="http://schemas.openxmlformats.org/officeDocument/2006/relationships/hyperlink" Target="https://zakon.rada.gov.ua/laws/show/1797-19" TargetMode="External"/><Relationship Id="rId4944" Type="http://schemas.openxmlformats.org/officeDocument/2006/relationships/hyperlink" Target="https://zakon.rada.gov.ua/laws/show/2497-19" TargetMode="External"/><Relationship Id="rId467" Type="http://schemas.openxmlformats.org/officeDocument/2006/relationships/hyperlink" Target="https://zakon.rada.gov.ua/laws/show/408-18" TargetMode="External"/><Relationship Id="rId1097" Type="http://schemas.openxmlformats.org/officeDocument/2006/relationships/hyperlink" Target="https://zakon.rada.gov.ua/laws/show/404-18" TargetMode="External"/><Relationship Id="rId2148" Type="http://schemas.openxmlformats.org/officeDocument/2006/relationships/hyperlink" Target="https://zakon.rada.gov.ua/laws/show/2755-17/print" TargetMode="External"/><Relationship Id="rId3546" Type="http://schemas.openxmlformats.org/officeDocument/2006/relationships/hyperlink" Target="https://zakon.rada.gov.ua/laws/show/1797-19" TargetMode="External"/><Relationship Id="rId3753" Type="http://schemas.openxmlformats.org/officeDocument/2006/relationships/hyperlink" Target="https://zakon.rada.gov.ua/laws/show/1166-18" TargetMode="External"/><Relationship Id="rId3960" Type="http://schemas.openxmlformats.org/officeDocument/2006/relationships/hyperlink" Target="https://zakon.rada.gov.ua/laws/show/71-19" TargetMode="External"/><Relationship Id="rId4804" Type="http://schemas.openxmlformats.org/officeDocument/2006/relationships/hyperlink" Target="https://zakon.rada.gov.ua/laws/show/2497-19" TargetMode="External"/><Relationship Id="rId674" Type="http://schemas.openxmlformats.org/officeDocument/2006/relationships/hyperlink" Target="https://zakon.rada.gov.ua/laws/show/1797-19" TargetMode="External"/><Relationship Id="rId881" Type="http://schemas.openxmlformats.org/officeDocument/2006/relationships/hyperlink" Target="https://zakon.rada.gov.ua/laws/show/1797-19" TargetMode="External"/><Relationship Id="rId2355" Type="http://schemas.openxmlformats.org/officeDocument/2006/relationships/hyperlink" Target="https://zakon.rada.gov.ua/laws/show/1166-18" TargetMode="External"/><Relationship Id="rId2562" Type="http://schemas.openxmlformats.org/officeDocument/2006/relationships/hyperlink" Target="https://zakon.rada.gov.ua/laws/show/4834-17" TargetMode="External"/><Relationship Id="rId3406" Type="http://schemas.openxmlformats.org/officeDocument/2006/relationships/hyperlink" Target="https://zakon.rada.gov.ua/laws/show/643-19" TargetMode="External"/><Relationship Id="rId3613" Type="http://schemas.openxmlformats.org/officeDocument/2006/relationships/hyperlink" Target="https://zakon.rada.gov.ua/laws/show/4834-17" TargetMode="External"/><Relationship Id="rId3820" Type="http://schemas.openxmlformats.org/officeDocument/2006/relationships/hyperlink" Target="https://zakon.rada.gov.ua/laws/show/1166-18" TargetMode="External"/><Relationship Id="rId327" Type="http://schemas.openxmlformats.org/officeDocument/2006/relationships/hyperlink" Target="https://zakon.rada.gov.ua/laws/show/71-19" TargetMode="External"/><Relationship Id="rId534" Type="http://schemas.openxmlformats.org/officeDocument/2006/relationships/hyperlink" Target="https://zakon.rada.gov.ua/laws/show/391-20" TargetMode="External"/><Relationship Id="rId741" Type="http://schemas.openxmlformats.org/officeDocument/2006/relationships/hyperlink" Target="https://zakon.rada.gov.ua/laws/show/1797-19" TargetMode="External"/><Relationship Id="rId1164" Type="http://schemas.openxmlformats.org/officeDocument/2006/relationships/hyperlink" Target="https://zakon.rada.gov.ua/laws/show/2755-17/print" TargetMode="External"/><Relationship Id="rId1371" Type="http://schemas.openxmlformats.org/officeDocument/2006/relationships/hyperlink" Target="https://zakon.rada.gov.ua/laws/show/404-18" TargetMode="External"/><Relationship Id="rId2008" Type="http://schemas.openxmlformats.org/officeDocument/2006/relationships/hyperlink" Target="https://zakon.rada.gov.ua/laws/show/71-19" TargetMode="External"/><Relationship Id="rId2215" Type="http://schemas.openxmlformats.org/officeDocument/2006/relationships/hyperlink" Target="https://zakon.rada.gov.ua/laws/show/2755-17/print" TargetMode="External"/><Relationship Id="rId2422" Type="http://schemas.openxmlformats.org/officeDocument/2006/relationships/hyperlink" Target="https://zakon.rada.gov.ua/laws/show/5412-17" TargetMode="External"/><Relationship Id="rId5578" Type="http://schemas.openxmlformats.org/officeDocument/2006/relationships/hyperlink" Target="https://zakon.rada.gov.ua/laws/show/584%D0%B0-18" TargetMode="External"/><Relationship Id="rId5785" Type="http://schemas.openxmlformats.org/officeDocument/2006/relationships/hyperlink" Target="https://zakon.rada.gov.ua/laws/show/2755-17/print" TargetMode="External"/><Relationship Id="rId5992" Type="http://schemas.openxmlformats.org/officeDocument/2006/relationships/hyperlink" Target="https://zakon.rada.gov.ua/laws/show/584%D0%B0-18" TargetMode="External"/><Relationship Id="rId601" Type="http://schemas.openxmlformats.org/officeDocument/2006/relationships/hyperlink" Target="https://zakon.rada.gov.ua/laws/show/323-20" TargetMode="External"/><Relationship Id="rId1024" Type="http://schemas.openxmlformats.org/officeDocument/2006/relationships/hyperlink" Target="https://zakon.rada.gov.ua/laws/show/2725-19" TargetMode="External"/><Relationship Id="rId1231" Type="http://schemas.openxmlformats.org/officeDocument/2006/relationships/hyperlink" Target="https://zakon.rada.gov.ua/laws/show/657-18" TargetMode="External"/><Relationship Id="rId4387" Type="http://schemas.openxmlformats.org/officeDocument/2006/relationships/hyperlink" Target="https://zakon.rada.gov.ua/laws/show/909-19" TargetMode="External"/><Relationship Id="rId4594" Type="http://schemas.openxmlformats.org/officeDocument/2006/relationships/hyperlink" Target="https://zakon.rada.gov.ua/laws/show/909-19" TargetMode="External"/><Relationship Id="rId5438" Type="http://schemas.openxmlformats.org/officeDocument/2006/relationships/hyperlink" Target="https://zakon.rada.gov.ua/laws/show/2371%D0%B0-14" TargetMode="External"/><Relationship Id="rId5645" Type="http://schemas.openxmlformats.org/officeDocument/2006/relationships/hyperlink" Target="https://zakon.rada.gov.ua/laws/show/2755-17/print" TargetMode="External"/><Relationship Id="rId5852" Type="http://schemas.openxmlformats.org/officeDocument/2006/relationships/hyperlink" Target="https://zakon.rada.gov.ua/laws/show/2755-17/print" TargetMode="External"/><Relationship Id="rId3196" Type="http://schemas.openxmlformats.org/officeDocument/2006/relationships/hyperlink" Target="https://zakon.rada.gov.ua/laws/show/2755-17/print" TargetMode="External"/><Relationship Id="rId4247" Type="http://schemas.openxmlformats.org/officeDocument/2006/relationships/hyperlink" Target="https://zakon.rada.gov.ua/laws/show/391-20" TargetMode="External"/><Relationship Id="rId4454" Type="http://schemas.openxmlformats.org/officeDocument/2006/relationships/hyperlink" Target="https://zakon.rada.gov.ua/laws/show/3609-17" TargetMode="External"/><Relationship Id="rId4661" Type="http://schemas.openxmlformats.org/officeDocument/2006/relationships/hyperlink" Target="https://zakon.rada.gov.ua/laws/show/875-12" TargetMode="External"/><Relationship Id="rId5505" Type="http://schemas.openxmlformats.org/officeDocument/2006/relationships/hyperlink" Target="https://zakon.rada.gov.ua/laws/show/71-19" TargetMode="External"/><Relationship Id="rId3056" Type="http://schemas.openxmlformats.org/officeDocument/2006/relationships/hyperlink" Target="https://zakon.rada.gov.ua/laws/show/1797-19" TargetMode="External"/><Relationship Id="rId3263" Type="http://schemas.openxmlformats.org/officeDocument/2006/relationships/hyperlink" Target="https://zakon.rada.gov.ua/laws/show/26-2017-%D0%BF" TargetMode="External"/><Relationship Id="rId3470" Type="http://schemas.openxmlformats.org/officeDocument/2006/relationships/hyperlink" Target="https://zakon.rada.gov.ua/laws/show/1797-19" TargetMode="External"/><Relationship Id="rId4107" Type="http://schemas.openxmlformats.org/officeDocument/2006/relationships/hyperlink" Target="https://zakon.rada.gov.ua/laws/show/2755-17/print" TargetMode="External"/><Relationship Id="rId4314" Type="http://schemas.openxmlformats.org/officeDocument/2006/relationships/hyperlink" Target="https://zakon.rada.gov.ua/laws/show/2628-19" TargetMode="External"/><Relationship Id="rId5712" Type="http://schemas.openxmlformats.org/officeDocument/2006/relationships/hyperlink" Target="https://zakon.rada.gov.ua/laws/show/2628-19" TargetMode="External"/><Relationship Id="rId184" Type="http://schemas.openxmlformats.org/officeDocument/2006/relationships/hyperlink" Target="https://zakon.rada.gov.ua/laws/show/2755-17/print" TargetMode="External"/><Relationship Id="rId391" Type="http://schemas.openxmlformats.org/officeDocument/2006/relationships/hyperlink" Target="https://zakon.rada.gov.ua/laws/show/71-19" TargetMode="External"/><Relationship Id="rId1908" Type="http://schemas.openxmlformats.org/officeDocument/2006/relationships/hyperlink" Target="https://zakon.rada.gov.ua/laws/show/5083-17" TargetMode="External"/><Relationship Id="rId2072" Type="http://schemas.openxmlformats.org/officeDocument/2006/relationships/hyperlink" Target="https://zakon.rada.gov.ua/laws/show/2755-17/print" TargetMode="External"/><Relationship Id="rId3123" Type="http://schemas.openxmlformats.org/officeDocument/2006/relationships/hyperlink" Target="https://zakon.rada.gov.ua/laws/show/101-2011-%D0%BF" TargetMode="External"/><Relationship Id="rId4521" Type="http://schemas.openxmlformats.org/officeDocument/2006/relationships/hyperlink" Target="https://zakon.rada.gov.ua/laws/show/z1456-15" TargetMode="External"/><Relationship Id="rId6279" Type="http://schemas.openxmlformats.org/officeDocument/2006/relationships/hyperlink" Target="https://zakon.rada.gov.ua/laws/show/2755-17/print" TargetMode="External"/><Relationship Id="rId251" Type="http://schemas.openxmlformats.org/officeDocument/2006/relationships/hyperlink" Target="https://zakon.rada.gov.ua/laws/show/2755-17/print" TargetMode="External"/><Relationship Id="rId3330" Type="http://schemas.openxmlformats.org/officeDocument/2006/relationships/hyperlink" Target="https://zakon.rada.gov.ua/laws/show/2755-17/print" TargetMode="External"/><Relationship Id="rId5088" Type="http://schemas.openxmlformats.org/officeDocument/2006/relationships/hyperlink" Target="https://zakon.rada.gov.ua/laws/show/2755-17/print" TargetMode="External"/><Relationship Id="rId6139" Type="http://schemas.openxmlformats.org/officeDocument/2006/relationships/hyperlink" Target="https://zakon.rada.gov.ua/laws/show/71-19" TargetMode="External"/><Relationship Id="rId2889" Type="http://schemas.openxmlformats.org/officeDocument/2006/relationships/hyperlink" Target="https://zakon.rada.gov.ua/laws/show/4834-17" TargetMode="External"/><Relationship Id="rId5295" Type="http://schemas.openxmlformats.org/officeDocument/2006/relationships/hyperlink" Target="https://zakon.rada.gov.ua/laws/show/3609-17" TargetMode="External"/><Relationship Id="rId111" Type="http://schemas.openxmlformats.org/officeDocument/2006/relationships/hyperlink" Target="https://zakon.rada.gov.ua/laws/show/1665-19" TargetMode="External"/><Relationship Id="rId1698" Type="http://schemas.openxmlformats.org/officeDocument/2006/relationships/hyperlink" Target="https://zakon.rada.gov.ua/laws/show/3609-17" TargetMode="External"/><Relationship Id="rId2749" Type="http://schemas.openxmlformats.org/officeDocument/2006/relationships/hyperlink" Target="https://zakon.rada.gov.ua/laws/show/2755-17/print" TargetMode="External"/><Relationship Id="rId2956" Type="http://schemas.openxmlformats.org/officeDocument/2006/relationships/hyperlink" Target="https://zakon.rada.gov.ua/laws/show/3609-17" TargetMode="External"/><Relationship Id="rId5155" Type="http://schemas.openxmlformats.org/officeDocument/2006/relationships/hyperlink" Target="https://zakon.rada.gov.ua/laws/show/5412-17" TargetMode="External"/><Relationship Id="rId5362" Type="http://schemas.openxmlformats.org/officeDocument/2006/relationships/hyperlink" Target="https://zakon.rada.gov.ua/laws/show/1654-18" TargetMode="External"/><Relationship Id="rId6206" Type="http://schemas.openxmlformats.org/officeDocument/2006/relationships/hyperlink" Target="https://zakon.rada.gov.ua/laws/show/71-19" TargetMode="External"/><Relationship Id="rId928" Type="http://schemas.openxmlformats.org/officeDocument/2006/relationships/hyperlink" Target="https://zakon.rada.gov.ua/laws/show/1797-19" TargetMode="External"/><Relationship Id="rId1558" Type="http://schemas.openxmlformats.org/officeDocument/2006/relationships/hyperlink" Target="https://zakon.rada.gov.ua/laws/show/2755-17/print" TargetMode="External"/><Relationship Id="rId1765" Type="http://schemas.openxmlformats.org/officeDocument/2006/relationships/hyperlink" Target="https://zakon.rada.gov.ua/laws/show/2755-17/print" TargetMode="External"/><Relationship Id="rId2609" Type="http://schemas.openxmlformats.org/officeDocument/2006/relationships/hyperlink" Target="https://zakon.rada.gov.ua/laws/show/909-19" TargetMode="External"/><Relationship Id="rId4171" Type="http://schemas.openxmlformats.org/officeDocument/2006/relationships/hyperlink" Target="https://zakon.rada.gov.ua/laws/show/1638-18" TargetMode="External"/><Relationship Id="rId5015" Type="http://schemas.openxmlformats.org/officeDocument/2006/relationships/hyperlink" Target="https://zakon.rada.gov.ua/laws/show/755-15" TargetMode="External"/><Relationship Id="rId5222" Type="http://schemas.openxmlformats.org/officeDocument/2006/relationships/hyperlink" Target="https://zakon.rada.gov.ua/laws/show/215-19" TargetMode="External"/><Relationship Id="rId57" Type="http://schemas.openxmlformats.org/officeDocument/2006/relationships/hyperlink" Target="https://zakon.rada.gov.ua/laws/show/721-18" TargetMode="External"/><Relationship Id="rId1418" Type="http://schemas.openxmlformats.org/officeDocument/2006/relationships/hyperlink" Target="https://zakon.rada.gov.ua/laws/show/2155-19" TargetMode="External"/><Relationship Id="rId1972" Type="http://schemas.openxmlformats.org/officeDocument/2006/relationships/hyperlink" Target="https://zakon.rada.gov.ua/laws/show/72-19" TargetMode="External"/><Relationship Id="rId2816" Type="http://schemas.openxmlformats.org/officeDocument/2006/relationships/hyperlink" Target="https://zakon.rada.gov.ua/laws/show/2755-17/print" TargetMode="External"/><Relationship Id="rId4031" Type="http://schemas.openxmlformats.org/officeDocument/2006/relationships/hyperlink" Target="https://zakon.rada.gov.ua/laws/show/1791-19" TargetMode="External"/><Relationship Id="rId1625" Type="http://schemas.openxmlformats.org/officeDocument/2006/relationships/hyperlink" Target="https://zakon.rada.gov.ua/laws/show/72-19" TargetMode="External"/><Relationship Id="rId1832" Type="http://schemas.openxmlformats.org/officeDocument/2006/relationships/hyperlink" Target="https://zakon.rada.gov.ua/laws/show/3205-17" TargetMode="External"/><Relationship Id="rId4988" Type="http://schemas.openxmlformats.org/officeDocument/2006/relationships/hyperlink" Target="https://zakon.rada.gov.ua/laws/show/569-19" TargetMode="External"/><Relationship Id="rId3797" Type="http://schemas.openxmlformats.org/officeDocument/2006/relationships/hyperlink" Target="https://zakon.rada.gov.ua/laws/show/1791-19" TargetMode="External"/><Relationship Id="rId4848" Type="http://schemas.openxmlformats.org/officeDocument/2006/relationships/hyperlink" Target="https://zakon.rada.gov.ua/laws/show/1791-19" TargetMode="External"/><Relationship Id="rId6063" Type="http://schemas.openxmlformats.org/officeDocument/2006/relationships/hyperlink" Target="https://zakon.rada.gov.ua/laws/show/391-20" TargetMode="External"/><Relationship Id="rId2399" Type="http://schemas.openxmlformats.org/officeDocument/2006/relationships/hyperlink" Target="https://zakon.rada.gov.ua/laws/show/3609-17" TargetMode="External"/><Relationship Id="rId3657" Type="http://schemas.openxmlformats.org/officeDocument/2006/relationships/hyperlink" Target="https://zakon.rada.gov.ua/laws/show/3609-17" TargetMode="External"/><Relationship Id="rId3864" Type="http://schemas.openxmlformats.org/officeDocument/2006/relationships/hyperlink" Target="https://zakon.rada.gov.ua/laws/show/391-20" TargetMode="External"/><Relationship Id="rId4708" Type="http://schemas.openxmlformats.org/officeDocument/2006/relationships/hyperlink" Target="https://zakon.rada.gov.ua/laws/show/2755-17/print" TargetMode="External"/><Relationship Id="rId4915" Type="http://schemas.openxmlformats.org/officeDocument/2006/relationships/hyperlink" Target="https://zakon.rada.gov.ua/laws/show/909-19" TargetMode="External"/><Relationship Id="rId6270" Type="http://schemas.openxmlformats.org/officeDocument/2006/relationships/hyperlink" Target="https://zakon.rada.gov.ua/laws/show/1797-19" TargetMode="External"/><Relationship Id="rId578" Type="http://schemas.openxmlformats.org/officeDocument/2006/relationships/hyperlink" Target="https://zakon.rada.gov.ua/laws/show/2755-17/print" TargetMode="External"/><Relationship Id="rId785" Type="http://schemas.openxmlformats.org/officeDocument/2006/relationships/hyperlink" Target="https://zakon.rada.gov.ua/laws/show/1797-19" TargetMode="External"/><Relationship Id="rId992" Type="http://schemas.openxmlformats.org/officeDocument/2006/relationships/hyperlink" Target="https://zakon.rada.gov.ua/laws/show/1797-19" TargetMode="External"/><Relationship Id="rId2259" Type="http://schemas.openxmlformats.org/officeDocument/2006/relationships/hyperlink" Target="https://zakon.rada.gov.ua/laws/show/1797-19" TargetMode="External"/><Relationship Id="rId2466" Type="http://schemas.openxmlformats.org/officeDocument/2006/relationships/hyperlink" Target="https://zakon.rada.gov.ua/laws/show/3609-17" TargetMode="External"/><Relationship Id="rId2673" Type="http://schemas.openxmlformats.org/officeDocument/2006/relationships/hyperlink" Target="https://zakon.rada.gov.ua/laws/show/2245-19" TargetMode="External"/><Relationship Id="rId2880" Type="http://schemas.openxmlformats.org/officeDocument/2006/relationships/hyperlink" Target="https://zakon.rada.gov.ua/laws/show/2725-19" TargetMode="External"/><Relationship Id="rId3517" Type="http://schemas.openxmlformats.org/officeDocument/2006/relationships/hyperlink" Target="https://zakon.rada.gov.ua/laws/show/2755-17/print" TargetMode="External"/><Relationship Id="rId3724" Type="http://schemas.openxmlformats.org/officeDocument/2006/relationships/hyperlink" Target="https://zakon.rada.gov.ua/laws/show/584%D0%B1-18" TargetMode="External"/><Relationship Id="rId3931" Type="http://schemas.openxmlformats.org/officeDocument/2006/relationships/hyperlink" Target="https://zakon.rada.gov.ua/laws/show/2755-17/print" TargetMode="External"/><Relationship Id="rId6130" Type="http://schemas.openxmlformats.org/officeDocument/2006/relationships/hyperlink" Target="https://zakon.rada.gov.ua/laws/show/4834-17" TargetMode="External"/><Relationship Id="rId438" Type="http://schemas.openxmlformats.org/officeDocument/2006/relationships/hyperlink" Target="https://zakon.rada.gov.ua/laws/show/851-15" TargetMode="External"/><Relationship Id="rId645" Type="http://schemas.openxmlformats.org/officeDocument/2006/relationships/hyperlink" Target="https://zakon.rada.gov.ua/laws/show/1877-15" TargetMode="External"/><Relationship Id="rId852" Type="http://schemas.openxmlformats.org/officeDocument/2006/relationships/hyperlink" Target="https://zakon.rada.gov.ua/laws/show/2755-17/print" TargetMode="External"/><Relationship Id="rId1068" Type="http://schemas.openxmlformats.org/officeDocument/2006/relationships/hyperlink" Target="https://zakon.rada.gov.ua/laws/show/1797-19" TargetMode="External"/><Relationship Id="rId1275" Type="http://schemas.openxmlformats.org/officeDocument/2006/relationships/hyperlink" Target="https://zakon.rada.gov.ua/laws/show/4495-17" TargetMode="External"/><Relationship Id="rId1482" Type="http://schemas.openxmlformats.org/officeDocument/2006/relationships/hyperlink" Target="https://zakon.rada.gov.ua/laws/show/909-19" TargetMode="External"/><Relationship Id="rId2119" Type="http://schemas.openxmlformats.org/officeDocument/2006/relationships/hyperlink" Target="https://zakon.rada.gov.ua/laws/show/1797-19" TargetMode="External"/><Relationship Id="rId2326" Type="http://schemas.openxmlformats.org/officeDocument/2006/relationships/hyperlink" Target="https://zakon.rada.gov.ua/laws/show/2176-19" TargetMode="External"/><Relationship Id="rId2533" Type="http://schemas.openxmlformats.org/officeDocument/2006/relationships/hyperlink" Target="https://zakon.rada.gov.ua/laws/show/2755-17/print" TargetMode="External"/><Relationship Id="rId2740" Type="http://schemas.openxmlformats.org/officeDocument/2006/relationships/hyperlink" Target="https://zakon.rada.gov.ua/laws/show/1797-19" TargetMode="External"/><Relationship Id="rId5689" Type="http://schemas.openxmlformats.org/officeDocument/2006/relationships/hyperlink" Target="https://zakon.rada.gov.ua/laws/show/584%D0%B1-18" TargetMode="External"/><Relationship Id="rId5896" Type="http://schemas.openxmlformats.org/officeDocument/2006/relationships/hyperlink" Target="https://zakon.rada.gov.ua/laws/show/2755-17/print" TargetMode="External"/><Relationship Id="rId505" Type="http://schemas.openxmlformats.org/officeDocument/2006/relationships/hyperlink" Target="https://zakon.rada.gov.ua/laws/show/2755-17/print" TargetMode="External"/><Relationship Id="rId712" Type="http://schemas.openxmlformats.org/officeDocument/2006/relationships/hyperlink" Target="https://zakon.rada.gov.ua/laws/show/1797-19" TargetMode="External"/><Relationship Id="rId1135" Type="http://schemas.openxmlformats.org/officeDocument/2006/relationships/hyperlink" Target="https://zakon.rada.gov.ua/laws/show/851-15" TargetMode="External"/><Relationship Id="rId1342" Type="http://schemas.openxmlformats.org/officeDocument/2006/relationships/hyperlink" Target="https://zakon.rada.gov.ua/laws/show/1797-19" TargetMode="External"/><Relationship Id="rId4498" Type="http://schemas.openxmlformats.org/officeDocument/2006/relationships/hyperlink" Target="https://zakon.rada.gov.ua/laws/show/2245-19" TargetMode="External"/><Relationship Id="rId5549" Type="http://schemas.openxmlformats.org/officeDocument/2006/relationships/hyperlink" Target="https://zakon.rada.gov.ua/laws/show/332-19" TargetMode="External"/><Relationship Id="rId1202" Type="http://schemas.openxmlformats.org/officeDocument/2006/relationships/hyperlink" Target="https://zakon.rada.gov.ua/laws/show/2755-17/print" TargetMode="External"/><Relationship Id="rId2600" Type="http://schemas.openxmlformats.org/officeDocument/2006/relationships/hyperlink" Target="https://zakon.rada.gov.ua/laws/show/1588-18" TargetMode="External"/><Relationship Id="rId4358" Type="http://schemas.openxmlformats.org/officeDocument/2006/relationships/hyperlink" Target="https://zakon.rada.gov.ua/laws/show/2628-19" TargetMode="External"/><Relationship Id="rId5409" Type="http://schemas.openxmlformats.org/officeDocument/2006/relationships/hyperlink" Target="https://zakon.rada.gov.ua/laws/show/584%D0%B0-18" TargetMode="External"/><Relationship Id="rId5756" Type="http://schemas.openxmlformats.org/officeDocument/2006/relationships/hyperlink" Target="https://zakon.rada.gov.ua/laws/show/2755-17/print" TargetMode="External"/><Relationship Id="rId5963" Type="http://schemas.openxmlformats.org/officeDocument/2006/relationships/hyperlink" Target="https://zakon.rada.gov.ua/laws/show/1166-18" TargetMode="External"/><Relationship Id="rId3167" Type="http://schemas.openxmlformats.org/officeDocument/2006/relationships/hyperlink" Target="https://zakon.rada.gov.ua/laws/show/643-19" TargetMode="External"/><Relationship Id="rId4565" Type="http://schemas.openxmlformats.org/officeDocument/2006/relationships/hyperlink" Target="https://zakon.rada.gov.ua/laws/show/71-19" TargetMode="External"/><Relationship Id="rId4772" Type="http://schemas.openxmlformats.org/officeDocument/2006/relationships/hyperlink" Target="https://zakon.rada.gov.ua/laws/show/3609-17" TargetMode="External"/><Relationship Id="rId5616" Type="http://schemas.openxmlformats.org/officeDocument/2006/relationships/hyperlink" Target="https://zakon.rada.gov.ua/laws/show/2755-17/print" TargetMode="External"/><Relationship Id="rId5823" Type="http://schemas.openxmlformats.org/officeDocument/2006/relationships/hyperlink" Target="https://zakon.rada.gov.ua/laws/show/2755-17/print" TargetMode="External"/><Relationship Id="rId295" Type="http://schemas.openxmlformats.org/officeDocument/2006/relationships/hyperlink" Target="https://zakon.rada.gov.ua/laws/show/1797-19" TargetMode="External"/><Relationship Id="rId3374" Type="http://schemas.openxmlformats.org/officeDocument/2006/relationships/hyperlink" Target="https://zakon.rada.gov.ua/laws/show/2755-17/print" TargetMode="External"/><Relationship Id="rId3581" Type="http://schemas.openxmlformats.org/officeDocument/2006/relationships/hyperlink" Target="https://zakon.rada.gov.ua/laws/show/4495-17" TargetMode="External"/><Relationship Id="rId4218" Type="http://schemas.openxmlformats.org/officeDocument/2006/relationships/hyperlink" Target="https://zakon.rada.gov.ua/laws/show/2628-19" TargetMode="External"/><Relationship Id="rId4425" Type="http://schemas.openxmlformats.org/officeDocument/2006/relationships/hyperlink" Target="https://zakon.rada.gov.ua/laws/show/1166-18" TargetMode="External"/><Relationship Id="rId4632" Type="http://schemas.openxmlformats.org/officeDocument/2006/relationships/hyperlink" Target="https://zakon.rada.gov.ua/laws/show/4014-17" TargetMode="External"/><Relationship Id="rId2183" Type="http://schemas.openxmlformats.org/officeDocument/2006/relationships/hyperlink" Target="https://zakon.rada.gov.ua/laws/show/2755-17/print" TargetMode="External"/><Relationship Id="rId2390" Type="http://schemas.openxmlformats.org/officeDocument/2006/relationships/hyperlink" Target="https://zakon.rada.gov.ua/laws/show/1797-19" TargetMode="External"/><Relationship Id="rId3027" Type="http://schemas.openxmlformats.org/officeDocument/2006/relationships/hyperlink" Target="https://zakon.rada.gov.ua/laws/show/1166-18" TargetMode="External"/><Relationship Id="rId3234" Type="http://schemas.openxmlformats.org/officeDocument/2006/relationships/hyperlink" Target="https://zakon.rada.gov.ua/laws/show/4834-17" TargetMode="External"/><Relationship Id="rId3441" Type="http://schemas.openxmlformats.org/officeDocument/2006/relationships/hyperlink" Target="https://zakon.rada.gov.ua/laws/show/4834-17" TargetMode="External"/><Relationship Id="rId155" Type="http://schemas.openxmlformats.org/officeDocument/2006/relationships/hyperlink" Target="https://zakon.rada.gov.ua/laws/show/404-18" TargetMode="External"/><Relationship Id="rId362" Type="http://schemas.openxmlformats.org/officeDocument/2006/relationships/hyperlink" Target="https://zakon.rada.gov.ua/laws/show/1797-19" TargetMode="External"/><Relationship Id="rId2043" Type="http://schemas.openxmlformats.org/officeDocument/2006/relationships/hyperlink" Target="https://zakon.rada.gov.ua/laws/show/3609-17" TargetMode="External"/><Relationship Id="rId2250" Type="http://schemas.openxmlformats.org/officeDocument/2006/relationships/hyperlink" Target="https://zakon.rada.gov.ua/laws/show/2755-17/print" TargetMode="External"/><Relationship Id="rId3301" Type="http://schemas.openxmlformats.org/officeDocument/2006/relationships/hyperlink" Target="https://zakon.rada.gov.ua/laws/show/909-19" TargetMode="External"/><Relationship Id="rId5199" Type="http://schemas.openxmlformats.org/officeDocument/2006/relationships/hyperlink" Target="https://zakon.rada.gov.ua/laws/show/5412-17" TargetMode="External"/><Relationship Id="rId222" Type="http://schemas.openxmlformats.org/officeDocument/2006/relationships/hyperlink" Target="https://zakon.rada.gov.ua/laws/show/391-20" TargetMode="External"/><Relationship Id="rId2110" Type="http://schemas.openxmlformats.org/officeDocument/2006/relationships/hyperlink" Target="https://zakon.rada.gov.ua/laws/show/909-19" TargetMode="External"/><Relationship Id="rId5059" Type="http://schemas.openxmlformats.org/officeDocument/2006/relationships/hyperlink" Target="https://zakon.rada.gov.ua/laws/show/2497-19" TargetMode="External"/><Relationship Id="rId5266" Type="http://schemas.openxmlformats.org/officeDocument/2006/relationships/hyperlink" Target="https://zakon.rada.gov.ua/laws/show/3609-17" TargetMode="External"/><Relationship Id="rId5473" Type="http://schemas.openxmlformats.org/officeDocument/2006/relationships/hyperlink" Target="https://zakon.rada.gov.ua/laws/show/1658-18" TargetMode="External"/><Relationship Id="rId5680" Type="http://schemas.openxmlformats.org/officeDocument/2006/relationships/hyperlink" Target="https://zakon.rada.gov.ua/laws/show/584%D0%B0-18" TargetMode="External"/><Relationship Id="rId4075" Type="http://schemas.openxmlformats.org/officeDocument/2006/relationships/hyperlink" Target="https://zakon.rada.gov.ua/laws/show/z0535-13" TargetMode="External"/><Relationship Id="rId4282" Type="http://schemas.openxmlformats.org/officeDocument/2006/relationships/hyperlink" Target="https://zakon.rada.gov.ua/laws/show/2628-19" TargetMode="External"/><Relationship Id="rId5126" Type="http://schemas.openxmlformats.org/officeDocument/2006/relationships/hyperlink" Target="https://zakon.rada.gov.ua/laws/show/5412-17" TargetMode="External"/><Relationship Id="rId5333" Type="http://schemas.openxmlformats.org/officeDocument/2006/relationships/hyperlink" Target="https://zakon.rada.gov.ua/laws/show/2245-19" TargetMode="External"/><Relationship Id="rId1669" Type="http://schemas.openxmlformats.org/officeDocument/2006/relationships/hyperlink" Target="https://zakon.rada.gov.ua/laws/show/657-18" TargetMode="External"/><Relationship Id="rId1876" Type="http://schemas.openxmlformats.org/officeDocument/2006/relationships/hyperlink" Target="https://zakon.rada.gov.ua/laws/show/657-18" TargetMode="External"/><Relationship Id="rId2927" Type="http://schemas.openxmlformats.org/officeDocument/2006/relationships/hyperlink" Target="https://zakon.rada.gov.ua/laws/show/4495-17" TargetMode="External"/><Relationship Id="rId3091" Type="http://schemas.openxmlformats.org/officeDocument/2006/relationships/hyperlink" Target="https://zakon.rada.gov.ua/laws/show/3609-17" TargetMode="External"/><Relationship Id="rId4142" Type="http://schemas.openxmlformats.org/officeDocument/2006/relationships/hyperlink" Target="https://zakon.rada.gov.ua/laws/show/909-19" TargetMode="External"/><Relationship Id="rId5540" Type="http://schemas.openxmlformats.org/officeDocument/2006/relationships/hyperlink" Target="https://zakon.rada.gov.ua/laws/show/2755-17/print" TargetMode="External"/><Relationship Id="rId1529" Type="http://schemas.openxmlformats.org/officeDocument/2006/relationships/hyperlink" Target="https://zakon.rada.gov.ua/laws/show/4834-17" TargetMode="External"/><Relationship Id="rId1736" Type="http://schemas.openxmlformats.org/officeDocument/2006/relationships/hyperlink" Target="https://zakon.rada.gov.ua/laws/show/2755-17/print" TargetMode="External"/><Relationship Id="rId1943" Type="http://schemas.openxmlformats.org/officeDocument/2006/relationships/hyperlink" Target="https://zakon.rada.gov.ua/laws/show/2755-17/print" TargetMode="External"/><Relationship Id="rId5400" Type="http://schemas.openxmlformats.org/officeDocument/2006/relationships/hyperlink" Target="https://zakon.rada.gov.ua/laws/show/3675-17" TargetMode="External"/><Relationship Id="rId28" Type="http://schemas.openxmlformats.org/officeDocument/2006/relationships/hyperlink" Target="https://zakon.rada.gov.ua/laws/show/v013p710-12" TargetMode="External"/><Relationship Id="rId1803" Type="http://schemas.openxmlformats.org/officeDocument/2006/relationships/hyperlink" Target="https://zakon.rada.gov.ua/laws/show/v013p710-12" TargetMode="External"/><Relationship Id="rId4002" Type="http://schemas.openxmlformats.org/officeDocument/2006/relationships/hyperlink" Target="https://zakon.rada.gov.ua/laws/show/2628-19" TargetMode="External"/><Relationship Id="rId4959" Type="http://schemas.openxmlformats.org/officeDocument/2006/relationships/hyperlink" Target="https://zakon.rada.gov.ua/laws/show/5503-17" TargetMode="External"/><Relationship Id="rId3768" Type="http://schemas.openxmlformats.org/officeDocument/2006/relationships/hyperlink" Target="https://zakon.rada.gov.ua/laws/show/2245-19" TargetMode="External"/><Relationship Id="rId3975" Type="http://schemas.openxmlformats.org/officeDocument/2006/relationships/hyperlink" Target="https://zakon.rada.gov.ua/laws/show/2628-19" TargetMode="External"/><Relationship Id="rId4819" Type="http://schemas.openxmlformats.org/officeDocument/2006/relationships/hyperlink" Target="https://zakon.rada.gov.ua/laws/show/4834-17" TargetMode="External"/><Relationship Id="rId6174" Type="http://schemas.openxmlformats.org/officeDocument/2006/relationships/hyperlink" Target="https://zakon.rada.gov.ua/laws/show/2755-17/print" TargetMode="External"/><Relationship Id="rId689" Type="http://schemas.openxmlformats.org/officeDocument/2006/relationships/hyperlink" Target="https://zakon.rada.gov.ua/laws/show/1797-19" TargetMode="External"/><Relationship Id="rId896" Type="http://schemas.openxmlformats.org/officeDocument/2006/relationships/hyperlink" Target="https://zakon.rada.gov.ua/laws/show/2628-19" TargetMode="External"/><Relationship Id="rId2577" Type="http://schemas.openxmlformats.org/officeDocument/2006/relationships/hyperlink" Target="https://zakon.rada.gov.ua/laws/show/3609-17" TargetMode="External"/><Relationship Id="rId2784" Type="http://schemas.openxmlformats.org/officeDocument/2006/relationships/hyperlink" Target="https://zakon.rada.gov.ua/laws/show/657-18" TargetMode="External"/><Relationship Id="rId3628" Type="http://schemas.openxmlformats.org/officeDocument/2006/relationships/hyperlink" Target="https://zakon.rada.gov.ua/laws/show/4834-17" TargetMode="External"/><Relationship Id="rId5190" Type="http://schemas.openxmlformats.org/officeDocument/2006/relationships/hyperlink" Target="https://zakon.rada.gov.ua/laws/show/71-19" TargetMode="External"/><Relationship Id="rId6034" Type="http://schemas.openxmlformats.org/officeDocument/2006/relationships/hyperlink" Target="https://zakon.rada.gov.ua/laws/show/2755-17/print" TargetMode="External"/><Relationship Id="rId6241" Type="http://schemas.openxmlformats.org/officeDocument/2006/relationships/hyperlink" Target="https://zakon.rada.gov.ua/laws/show/2755-17/print" TargetMode="External"/><Relationship Id="rId549" Type="http://schemas.openxmlformats.org/officeDocument/2006/relationships/hyperlink" Target="https://zakon.rada.gov.ua/laws/show/71-19" TargetMode="External"/><Relationship Id="rId756" Type="http://schemas.openxmlformats.org/officeDocument/2006/relationships/hyperlink" Target="https://zakon.rada.gov.ua/laws/show/2245-19" TargetMode="External"/><Relationship Id="rId1179" Type="http://schemas.openxmlformats.org/officeDocument/2006/relationships/hyperlink" Target="https://zakon.rada.gov.ua/laws/show/5503-17" TargetMode="External"/><Relationship Id="rId1386" Type="http://schemas.openxmlformats.org/officeDocument/2006/relationships/hyperlink" Target="https://zakon.rada.gov.ua/laws/show/1797-19" TargetMode="External"/><Relationship Id="rId1593" Type="http://schemas.openxmlformats.org/officeDocument/2006/relationships/hyperlink" Target="https://zakon.rada.gov.ua/laws/show/2755-17/print" TargetMode="External"/><Relationship Id="rId2437" Type="http://schemas.openxmlformats.org/officeDocument/2006/relationships/hyperlink" Target="https://zakon.rada.gov.ua/laws/show/71-19" TargetMode="External"/><Relationship Id="rId2991" Type="http://schemas.openxmlformats.org/officeDocument/2006/relationships/hyperlink" Target="https://zakon.rada.gov.ua/laws/show/4495-17" TargetMode="External"/><Relationship Id="rId3835" Type="http://schemas.openxmlformats.org/officeDocument/2006/relationships/hyperlink" Target="https://zakon.rada.gov.ua/laws/show/4834-17" TargetMode="External"/><Relationship Id="rId5050" Type="http://schemas.openxmlformats.org/officeDocument/2006/relationships/hyperlink" Target="https://zakon.rada.gov.ua/laws/show/4834-17" TargetMode="External"/><Relationship Id="rId6101" Type="http://schemas.openxmlformats.org/officeDocument/2006/relationships/hyperlink" Target="https://zakon.rada.gov.ua/laws/show/2755-17/print" TargetMode="External"/><Relationship Id="rId409" Type="http://schemas.openxmlformats.org/officeDocument/2006/relationships/hyperlink" Target="https://zakon.rada.gov.ua/laws/show/2755-17/print" TargetMode="External"/><Relationship Id="rId963" Type="http://schemas.openxmlformats.org/officeDocument/2006/relationships/hyperlink" Target="https://zakon.rada.gov.ua/laws/show/504-2015-%D0%BF" TargetMode="External"/><Relationship Id="rId1039" Type="http://schemas.openxmlformats.org/officeDocument/2006/relationships/hyperlink" Target="https://zakon.rada.gov.ua/laws/show/2755-17/print" TargetMode="External"/><Relationship Id="rId1246" Type="http://schemas.openxmlformats.org/officeDocument/2006/relationships/hyperlink" Target="https://zakon.rada.gov.ua/laws/show/z0137-16" TargetMode="External"/><Relationship Id="rId2644" Type="http://schemas.openxmlformats.org/officeDocument/2006/relationships/hyperlink" Target="https://zakon.rada.gov.ua/laws/show/71-19" TargetMode="External"/><Relationship Id="rId2851" Type="http://schemas.openxmlformats.org/officeDocument/2006/relationships/hyperlink" Target="https://zakon.rada.gov.ua/laws/show/755-15" TargetMode="External"/><Relationship Id="rId3902" Type="http://schemas.openxmlformats.org/officeDocument/2006/relationships/hyperlink" Target="https://zakon.rada.gov.ua/laws/show/71-19" TargetMode="External"/><Relationship Id="rId92" Type="http://schemas.openxmlformats.org/officeDocument/2006/relationships/hyperlink" Target="https://zakon.rada.gov.ua/laws/show/420-19" TargetMode="External"/><Relationship Id="rId616" Type="http://schemas.openxmlformats.org/officeDocument/2006/relationships/hyperlink" Target="https://zakon.rada.gov.ua/laws/show/2245-19" TargetMode="External"/><Relationship Id="rId823" Type="http://schemas.openxmlformats.org/officeDocument/2006/relationships/hyperlink" Target="https://zakon.rada.gov.ua/laws/show/2755-17/print" TargetMode="External"/><Relationship Id="rId1453" Type="http://schemas.openxmlformats.org/officeDocument/2006/relationships/hyperlink" Target="https://zakon.rada.gov.ua/laws/show/404-18" TargetMode="External"/><Relationship Id="rId1660" Type="http://schemas.openxmlformats.org/officeDocument/2006/relationships/hyperlink" Target="https://zakon.rada.gov.ua/laws/show/1797-19" TargetMode="External"/><Relationship Id="rId2504" Type="http://schemas.openxmlformats.org/officeDocument/2006/relationships/hyperlink" Target="https://zakon.rada.gov.ua/laws/show/3609-17" TargetMode="External"/><Relationship Id="rId2711" Type="http://schemas.openxmlformats.org/officeDocument/2006/relationships/hyperlink" Target="https://zakon.rada.gov.ua/laws/show/2755-17/print" TargetMode="External"/><Relationship Id="rId5867" Type="http://schemas.openxmlformats.org/officeDocument/2006/relationships/hyperlink" Target="https://zakon.rada.gov.ua/laws/show/2755-17/print" TargetMode="External"/><Relationship Id="rId1106" Type="http://schemas.openxmlformats.org/officeDocument/2006/relationships/hyperlink" Target="https://zakon.rada.gov.ua/laws/show/1797-19" TargetMode="External"/><Relationship Id="rId1313" Type="http://schemas.openxmlformats.org/officeDocument/2006/relationships/hyperlink" Target="https://zakon.rada.gov.ua/laws/show/4834-17" TargetMode="External"/><Relationship Id="rId1520" Type="http://schemas.openxmlformats.org/officeDocument/2006/relationships/hyperlink" Target="https://zakon.rada.gov.ua/laws/show/2755-17/print" TargetMode="External"/><Relationship Id="rId4469" Type="http://schemas.openxmlformats.org/officeDocument/2006/relationships/hyperlink" Target="https://zakon.rada.gov.ua/laws/show/1191-18" TargetMode="External"/><Relationship Id="rId4676" Type="http://schemas.openxmlformats.org/officeDocument/2006/relationships/hyperlink" Target="https://zakon.rada.gov.ua/laws/show/2628-19" TargetMode="External"/><Relationship Id="rId4883" Type="http://schemas.openxmlformats.org/officeDocument/2006/relationships/hyperlink" Target="https://zakon.rada.gov.ua/laws/show/5083-17" TargetMode="External"/><Relationship Id="rId5727" Type="http://schemas.openxmlformats.org/officeDocument/2006/relationships/hyperlink" Target="https://zakon.rada.gov.ua/laws/show/5205-17" TargetMode="External"/><Relationship Id="rId5934" Type="http://schemas.openxmlformats.org/officeDocument/2006/relationships/hyperlink" Target="https://zakon.rada.gov.ua/laws/show/1638-18" TargetMode="External"/><Relationship Id="rId3278" Type="http://schemas.openxmlformats.org/officeDocument/2006/relationships/hyperlink" Target="https://zakon.rada.gov.ua/laws/show/1797-19" TargetMode="External"/><Relationship Id="rId3485" Type="http://schemas.openxmlformats.org/officeDocument/2006/relationships/hyperlink" Target="https://zakon.rada.gov.ua/laws/show/z0137-16" TargetMode="External"/><Relationship Id="rId3692" Type="http://schemas.openxmlformats.org/officeDocument/2006/relationships/hyperlink" Target="https://zakon.rada.gov.ua/laws/show/71-19" TargetMode="External"/><Relationship Id="rId4329" Type="http://schemas.openxmlformats.org/officeDocument/2006/relationships/hyperlink" Target="https://zakon.rada.gov.ua/laws/show/2755-17/print" TargetMode="External"/><Relationship Id="rId4536" Type="http://schemas.openxmlformats.org/officeDocument/2006/relationships/hyperlink" Target="https://zakon.rada.gov.ua/laws/show/909-19" TargetMode="External"/><Relationship Id="rId4743" Type="http://schemas.openxmlformats.org/officeDocument/2006/relationships/hyperlink" Target="https://zakon.rada.gov.ua/laws/show/4834-17" TargetMode="External"/><Relationship Id="rId4950" Type="http://schemas.openxmlformats.org/officeDocument/2006/relationships/hyperlink" Target="https://zakon.rada.gov.ua/laws/show/076_009" TargetMode="External"/><Relationship Id="rId199" Type="http://schemas.openxmlformats.org/officeDocument/2006/relationships/hyperlink" Target="https://zakon.rada.gov.ua/laws/show/909-19" TargetMode="External"/><Relationship Id="rId2087" Type="http://schemas.openxmlformats.org/officeDocument/2006/relationships/hyperlink" Target="https://zakon.rada.gov.ua/laws/show/1797-19" TargetMode="External"/><Relationship Id="rId2294" Type="http://schemas.openxmlformats.org/officeDocument/2006/relationships/hyperlink" Target="https://zakon.rada.gov.ua/laws/show/2755-17/print" TargetMode="External"/><Relationship Id="rId3138" Type="http://schemas.openxmlformats.org/officeDocument/2006/relationships/hyperlink" Target="https://zakon.rada.gov.ua/laws/show/1797-19" TargetMode="External"/><Relationship Id="rId3345" Type="http://schemas.openxmlformats.org/officeDocument/2006/relationships/hyperlink" Target="https://zakon.rada.gov.ua/laws/show/909-19" TargetMode="External"/><Relationship Id="rId3552" Type="http://schemas.openxmlformats.org/officeDocument/2006/relationships/hyperlink" Target="https://zakon.rada.gov.ua/laws/show/4915-17" TargetMode="External"/><Relationship Id="rId4603" Type="http://schemas.openxmlformats.org/officeDocument/2006/relationships/hyperlink" Target="https://zakon.rada.gov.ua/laws/show/476-2012-%D0%BF" TargetMode="External"/><Relationship Id="rId266" Type="http://schemas.openxmlformats.org/officeDocument/2006/relationships/hyperlink" Target="https://zakon.rada.gov.ua/laws/show/436-15" TargetMode="External"/><Relationship Id="rId473" Type="http://schemas.openxmlformats.org/officeDocument/2006/relationships/hyperlink" Target="https://zakon.rada.gov.ua/laws/show/3609-17" TargetMode="External"/><Relationship Id="rId680" Type="http://schemas.openxmlformats.org/officeDocument/2006/relationships/hyperlink" Target="https://zakon.rada.gov.ua/laws/show/1797-19" TargetMode="External"/><Relationship Id="rId2154" Type="http://schemas.openxmlformats.org/officeDocument/2006/relationships/hyperlink" Target="https://zakon.rada.gov.ua/laws/show/909-19" TargetMode="External"/><Relationship Id="rId2361" Type="http://schemas.openxmlformats.org/officeDocument/2006/relationships/hyperlink" Target="https://zakon.rada.gov.ua/laws/show/482-19" TargetMode="External"/><Relationship Id="rId3205" Type="http://schemas.openxmlformats.org/officeDocument/2006/relationships/hyperlink" Target="https://zakon.rada.gov.ua/laws/show/z0137-16" TargetMode="External"/><Relationship Id="rId3412" Type="http://schemas.openxmlformats.org/officeDocument/2006/relationships/hyperlink" Target="https://zakon.rada.gov.ua/laws/show/2628-19" TargetMode="External"/><Relationship Id="rId4810" Type="http://schemas.openxmlformats.org/officeDocument/2006/relationships/hyperlink" Target="https://zakon.rada.gov.ua/laws/show/71-19" TargetMode="External"/><Relationship Id="rId126" Type="http://schemas.openxmlformats.org/officeDocument/2006/relationships/hyperlink" Target="https://zakon.rada.gov.ua/laws/show/2440-19" TargetMode="External"/><Relationship Id="rId333" Type="http://schemas.openxmlformats.org/officeDocument/2006/relationships/hyperlink" Target="https://zakon.rada.gov.ua/laws/show/1039-14" TargetMode="External"/><Relationship Id="rId540" Type="http://schemas.openxmlformats.org/officeDocument/2006/relationships/hyperlink" Target="https://zakon.rada.gov.ua/laws/show/391-20" TargetMode="External"/><Relationship Id="rId1170" Type="http://schemas.openxmlformats.org/officeDocument/2006/relationships/hyperlink" Target="https://zakon.rada.gov.ua/laws/show/z1415-15" TargetMode="External"/><Relationship Id="rId2014" Type="http://schemas.openxmlformats.org/officeDocument/2006/relationships/hyperlink" Target="https://zakon.rada.gov.ua/laws/show/391-20" TargetMode="External"/><Relationship Id="rId2221" Type="http://schemas.openxmlformats.org/officeDocument/2006/relationships/hyperlink" Target="https://zakon.rada.gov.ua/laws/show/2176-19" TargetMode="External"/><Relationship Id="rId5377" Type="http://schemas.openxmlformats.org/officeDocument/2006/relationships/hyperlink" Target="https://zakon.rada.gov.ua/laws/show/9/98-%D0%B2%D1%80" TargetMode="External"/><Relationship Id="rId1030" Type="http://schemas.openxmlformats.org/officeDocument/2006/relationships/hyperlink" Target="https://zakon.rada.gov.ua/laws/show/1797-19" TargetMode="External"/><Relationship Id="rId4186" Type="http://schemas.openxmlformats.org/officeDocument/2006/relationships/hyperlink" Target="https://zakon.rada.gov.ua/laws/show/391-20" TargetMode="External"/><Relationship Id="rId5584" Type="http://schemas.openxmlformats.org/officeDocument/2006/relationships/hyperlink" Target="https://zakon.rada.gov.ua/laws/show/2628-19" TargetMode="External"/><Relationship Id="rId5791" Type="http://schemas.openxmlformats.org/officeDocument/2006/relationships/hyperlink" Target="https://zakon.rada.gov.ua/laws/show/1392-17" TargetMode="External"/><Relationship Id="rId400" Type="http://schemas.openxmlformats.org/officeDocument/2006/relationships/hyperlink" Target="https://zakon.rada.gov.ua/laws/show/71-19" TargetMode="External"/><Relationship Id="rId1987" Type="http://schemas.openxmlformats.org/officeDocument/2006/relationships/hyperlink" Target="https://zakon.rada.gov.ua/laws/show/z0137-16" TargetMode="External"/><Relationship Id="rId4393" Type="http://schemas.openxmlformats.org/officeDocument/2006/relationships/hyperlink" Target="https://zakon.rada.gov.ua/laws/show/4235-17" TargetMode="External"/><Relationship Id="rId5237" Type="http://schemas.openxmlformats.org/officeDocument/2006/relationships/hyperlink" Target="https://zakon.rada.gov.ua/laws/show/1200-18" TargetMode="External"/><Relationship Id="rId5444" Type="http://schemas.openxmlformats.org/officeDocument/2006/relationships/hyperlink" Target="https://zakon.rada.gov.ua/laws/show/2755-17/print" TargetMode="External"/><Relationship Id="rId5651" Type="http://schemas.openxmlformats.org/officeDocument/2006/relationships/hyperlink" Target="https://zakon.rada.gov.ua/laws/show/2755-17/print" TargetMode="External"/><Relationship Id="rId1847" Type="http://schemas.openxmlformats.org/officeDocument/2006/relationships/hyperlink" Target="https://zakon.rada.gov.ua/laws/show/643-19" TargetMode="External"/><Relationship Id="rId4046" Type="http://schemas.openxmlformats.org/officeDocument/2006/relationships/hyperlink" Target="https://zakon.rada.gov.ua/laws/show/21-2018-%D0%BF" TargetMode="External"/><Relationship Id="rId4253" Type="http://schemas.openxmlformats.org/officeDocument/2006/relationships/hyperlink" Target="https://zakon.rada.gov.ua/laws/show/2755-17/print" TargetMode="External"/><Relationship Id="rId4460" Type="http://schemas.openxmlformats.org/officeDocument/2006/relationships/hyperlink" Target="https://zakon.rada.gov.ua/laws/show/5083-17" TargetMode="External"/><Relationship Id="rId5304" Type="http://schemas.openxmlformats.org/officeDocument/2006/relationships/hyperlink" Target="https://zakon.rada.gov.ua/laws/show/321-19" TargetMode="External"/><Relationship Id="rId5511" Type="http://schemas.openxmlformats.org/officeDocument/2006/relationships/hyperlink" Target="https://zakon.rada.gov.ua/laws/show/2755-17/print" TargetMode="External"/><Relationship Id="rId1707" Type="http://schemas.openxmlformats.org/officeDocument/2006/relationships/hyperlink" Target="https://zakon.rada.gov.ua/laws/show/5503-17" TargetMode="External"/><Relationship Id="rId3062" Type="http://schemas.openxmlformats.org/officeDocument/2006/relationships/hyperlink" Target="https://zakon.rada.gov.ua/laws/show/1166-18" TargetMode="External"/><Relationship Id="rId4113" Type="http://schemas.openxmlformats.org/officeDocument/2006/relationships/hyperlink" Target="https://zakon.rada.gov.ua/laws/show/584%D0%B0-18" TargetMode="External"/><Relationship Id="rId4320" Type="http://schemas.openxmlformats.org/officeDocument/2006/relationships/hyperlink" Target="https://zakon.rada.gov.ua/laws/show/2628-19" TargetMode="External"/><Relationship Id="rId190" Type="http://schemas.openxmlformats.org/officeDocument/2006/relationships/hyperlink" Target="https://zakon.rada.gov.ua/laws/show/2628-19" TargetMode="External"/><Relationship Id="rId1914" Type="http://schemas.openxmlformats.org/officeDocument/2006/relationships/hyperlink" Target="https://zakon.rada.gov.ua/laws/show/1797-19" TargetMode="External"/><Relationship Id="rId6078" Type="http://schemas.openxmlformats.org/officeDocument/2006/relationships/hyperlink" Target="https://zakon.rada.gov.ua/laws/show/98/96-%D0%B2%D1%80" TargetMode="External"/><Relationship Id="rId6285" Type="http://schemas.openxmlformats.org/officeDocument/2006/relationships/hyperlink" Target="https://zakon.rada.gov.ua/laws/show/2143-19" TargetMode="External"/><Relationship Id="rId3879" Type="http://schemas.openxmlformats.org/officeDocument/2006/relationships/hyperlink" Target="https://zakon.rada.gov.ua/laws/show/1797-19" TargetMode="External"/><Relationship Id="rId5094" Type="http://schemas.openxmlformats.org/officeDocument/2006/relationships/hyperlink" Target="https://zakon.rada.gov.ua/laws/show/5503-17" TargetMode="External"/><Relationship Id="rId6145" Type="http://schemas.openxmlformats.org/officeDocument/2006/relationships/hyperlink" Target="https://zakon.rada.gov.ua/laws/show/2755-17/print" TargetMode="External"/><Relationship Id="rId2688" Type="http://schemas.openxmlformats.org/officeDocument/2006/relationships/hyperlink" Target="https://zakon.rada.gov.ua/laws/show/2755-17/print" TargetMode="External"/><Relationship Id="rId2895" Type="http://schemas.openxmlformats.org/officeDocument/2006/relationships/hyperlink" Target="https://zakon.rada.gov.ua/laws/show/2755-17/print" TargetMode="External"/><Relationship Id="rId3739" Type="http://schemas.openxmlformats.org/officeDocument/2006/relationships/hyperlink" Target="https://zakon.rada.gov.ua/laws/show/2755-17/print" TargetMode="External"/><Relationship Id="rId3946" Type="http://schemas.openxmlformats.org/officeDocument/2006/relationships/hyperlink" Target="https://zakon.rada.gov.ua/laws/show/71-19" TargetMode="External"/><Relationship Id="rId5161" Type="http://schemas.openxmlformats.org/officeDocument/2006/relationships/hyperlink" Target="https://zakon.rada.gov.ua/laws/show/1690-18" TargetMode="External"/><Relationship Id="rId6005" Type="http://schemas.openxmlformats.org/officeDocument/2006/relationships/hyperlink" Target="https://zakon.rada.gov.ua/laws/show/2628-19" TargetMode="External"/><Relationship Id="rId867" Type="http://schemas.openxmlformats.org/officeDocument/2006/relationships/hyperlink" Target="https://zakon.rada.gov.ua/laws/show/2755-17/print" TargetMode="External"/><Relationship Id="rId1497" Type="http://schemas.openxmlformats.org/officeDocument/2006/relationships/hyperlink" Target="https://zakon.rada.gov.ua/laws/show/840_005-17" TargetMode="External"/><Relationship Id="rId2548" Type="http://schemas.openxmlformats.org/officeDocument/2006/relationships/hyperlink" Target="https://zakon.rada.gov.ua/laws/show/2755-17/print" TargetMode="External"/><Relationship Id="rId2755" Type="http://schemas.openxmlformats.org/officeDocument/2006/relationships/hyperlink" Target="https://zakon.rada.gov.ua/laws/show/71-19" TargetMode="External"/><Relationship Id="rId2962" Type="http://schemas.openxmlformats.org/officeDocument/2006/relationships/hyperlink" Target="https://zakon.rada.gov.ua/laws/show/1084-19" TargetMode="External"/><Relationship Id="rId3806" Type="http://schemas.openxmlformats.org/officeDocument/2006/relationships/hyperlink" Target="https://zakon.rada.gov.ua/laws/show/584%D0%B1-18" TargetMode="External"/><Relationship Id="rId6212" Type="http://schemas.openxmlformats.org/officeDocument/2006/relationships/hyperlink" Target="https://zakon.rada.gov.ua/laws/show/609-19" TargetMode="External"/><Relationship Id="rId727" Type="http://schemas.openxmlformats.org/officeDocument/2006/relationships/hyperlink" Target="https://zakon.rada.gov.ua/laws/show/609-19" TargetMode="External"/><Relationship Id="rId934" Type="http://schemas.openxmlformats.org/officeDocument/2006/relationships/hyperlink" Target="https://zakon.rada.gov.ua/laws/show/2755-17/print" TargetMode="External"/><Relationship Id="rId1357" Type="http://schemas.openxmlformats.org/officeDocument/2006/relationships/hyperlink" Target="https://zakon.rada.gov.ua/laws/show/4834-17" TargetMode="External"/><Relationship Id="rId1564" Type="http://schemas.openxmlformats.org/officeDocument/2006/relationships/hyperlink" Target="https://zakon.rada.gov.ua/laws/show/909-19" TargetMode="External"/><Relationship Id="rId1771" Type="http://schemas.openxmlformats.org/officeDocument/2006/relationships/hyperlink" Target="https://zakon.rada.gov.ua/laws/show/2755-17/print" TargetMode="External"/><Relationship Id="rId2408" Type="http://schemas.openxmlformats.org/officeDocument/2006/relationships/hyperlink" Target="https://zakon.rada.gov.ua/laws/show/2245-19" TargetMode="External"/><Relationship Id="rId2615" Type="http://schemas.openxmlformats.org/officeDocument/2006/relationships/hyperlink" Target="https://zakon.rada.gov.ua/laws/show/2755-17/print" TargetMode="External"/><Relationship Id="rId2822" Type="http://schemas.openxmlformats.org/officeDocument/2006/relationships/hyperlink" Target="https://zakon.rada.gov.ua/laws/show/z1456-14" TargetMode="External"/><Relationship Id="rId5021" Type="http://schemas.openxmlformats.org/officeDocument/2006/relationships/hyperlink" Target="https://zakon.rada.gov.ua/laws/show/4834-17" TargetMode="External"/><Relationship Id="rId5978" Type="http://schemas.openxmlformats.org/officeDocument/2006/relationships/hyperlink" Target="https://zakon.rada.gov.ua/laws/show/2628-19" TargetMode="External"/><Relationship Id="rId63" Type="http://schemas.openxmlformats.org/officeDocument/2006/relationships/hyperlink" Target="https://zakon.rada.gov.ua/laws/show/879-18" TargetMode="External"/><Relationship Id="rId1217" Type="http://schemas.openxmlformats.org/officeDocument/2006/relationships/hyperlink" Target="https://zakon.rada.gov.ua/laws/show/404-18" TargetMode="External"/><Relationship Id="rId1424" Type="http://schemas.openxmlformats.org/officeDocument/2006/relationships/hyperlink" Target="https://zakon.rada.gov.ua/laws/show/1797-19" TargetMode="External"/><Relationship Id="rId1631" Type="http://schemas.openxmlformats.org/officeDocument/2006/relationships/hyperlink" Target="https://zakon.rada.gov.ua/laws/show/1797-19" TargetMode="External"/><Relationship Id="rId4787" Type="http://schemas.openxmlformats.org/officeDocument/2006/relationships/hyperlink" Target="https://zakon.rada.gov.ua/laws/show/4834-17" TargetMode="External"/><Relationship Id="rId4994" Type="http://schemas.openxmlformats.org/officeDocument/2006/relationships/hyperlink" Target="https://zakon.rada.gov.ua/laws/show/71-19" TargetMode="External"/><Relationship Id="rId5838" Type="http://schemas.openxmlformats.org/officeDocument/2006/relationships/hyperlink" Target="https://zakon.rada.gov.ua/laws/show/5519-17" TargetMode="External"/><Relationship Id="rId3389" Type="http://schemas.openxmlformats.org/officeDocument/2006/relationships/hyperlink" Target="https://zakon.rada.gov.ua/laws/show/z0137-16" TargetMode="External"/><Relationship Id="rId3596" Type="http://schemas.openxmlformats.org/officeDocument/2006/relationships/hyperlink" Target="https://zakon.rada.gov.ua/laws/show/71-19" TargetMode="External"/><Relationship Id="rId4647" Type="http://schemas.openxmlformats.org/officeDocument/2006/relationships/hyperlink" Target="https://zakon.rada.gov.ua/laws/show/2755-17/print" TargetMode="External"/><Relationship Id="rId2198" Type="http://schemas.openxmlformats.org/officeDocument/2006/relationships/hyperlink" Target="https://zakon.rada.gov.ua/laws/show/2755-17/print" TargetMode="External"/><Relationship Id="rId3249" Type="http://schemas.openxmlformats.org/officeDocument/2006/relationships/hyperlink" Target="https://zakon.rada.gov.ua/laws/show/4834-17" TargetMode="External"/><Relationship Id="rId3456" Type="http://schemas.openxmlformats.org/officeDocument/2006/relationships/hyperlink" Target="https://zakon.rada.gov.ua/laws/show/643-19" TargetMode="External"/><Relationship Id="rId4854" Type="http://schemas.openxmlformats.org/officeDocument/2006/relationships/hyperlink" Target="https://zakon.rada.gov.ua/laws/show/71-19" TargetMode="External"/><Relationship Id="rId5905" Type="http://schemas.openxmlformats.org/officeDocument/2006/relationships/hyperlink" Target="https://zakon.rada.gov.ua/laws/show/2755-17/print" TargetMode="External"/><Relationship Id="rId377" Type="http://schemas.openxmlformats.org/officeDocument/2006/relationships/hyperlink" Target="https://zakon.rada.gov.ua/laws/show/1797-19" TargetMode="External"/><Relationship Id="rId584" Type="http://schemas.openxmlformats.org/officeDocument/2006/relationships/hyperlink" Target="https://zakon.rada.gov.ua/laws/show/2628-19" TargetMode="External"/><Relationship Id="rId2058" Type="http://schemas.openxmlformats.org/officeDocument/2006/relationships/hyperlink" Target="https://zakon.rada.gov.ua/laws/show/657-18" TargetMode="External"/><Relationship Id="rId2265" Type="http://schemas.openxmlformats.org/officeDocument/2006/relationships/hyperlink" Target="https://zakon.rada.gov.ua/laws/show/2755-17/print" TargetMode="External"/><Relationship Id="rId3109" Type="http://schemas.openxmlformats.org/officeDocument/2006/relationships/hyperlink" Target="https://zakon.rada.gov.ua/laws/show/2755-17/print" TargetMode="External"/><Relationship Id="rId3663" Type="http://schemas.openxmlformats.org/officeDocument/2006/relationships/hyperlink" Target="https://zakon.rada.gov.ua/laws/show/1191-18" TargetMode="External"/><Relationship Id="rId3870" Type="http://schemas.openxmlformats.org/officeDocument/2006/relationships/hyperlink" Target="https://zakon.rada.gov.ua/laws/show/2755-17/print" TargetMode="External"/><Relationship Id="rId4507" Type="http://schemas.openxmlformats.org/officeDocument/2006/relationships/hyperlink" Target="https://zakon.rada.gov.ua/laws/show/211-19" TargetMode="External"/><Relationship Id="rId4714" Type="http://schemas.openxmlformats.org/officeDocument/2006/relationships/hyperlink" Target="https://zakon.rada.gov.ua/laws/show/5083-17" TargetMode="External"/><Relationship Id="rId4921" Type="http://schemas.openxmlformats.org/officeDocument/2006/relationships/hyperlink" Target="https://zakon.rada.gov.ua/laws/show/1791-19" TargetMode="External"/><Relationship Id="rId237" Type="http://schemas.openxmlformats.org/officeDocument/2006/relationships/hyperlink" Target="https://zakon.rada.gov.ua/laws/show/1791-19" TargetMode="External"/><Relationship Id="rId791" Type="http://schemas.openxmlformats.org/officeDocument/2006/relationships/hyperlink" Target="https://zakon.rada.gov.ua/laws/show/1797-19" TargetMode="External"/><Relationship Id="rId1074" Type="http://schemas.openxmlformats.org/officeDocument/2006/relationships/hyperlink" Target="https://zakon.rada.gov.ua/laws/show/4834-17" TargetMode="External"/><Relationship Id="rId2472" Type="http://schemas.openxmlformats.org/officeDocument/2006/relationships/hyperlink" Target="https://zakon.rada.gov.ua/laws/show/909-19" TargetMode="External"/><Relationship Id="rId3316" Type="http://schemas.openxmlformats.org/officeDocument/2006/relationships/hyperlink" Target="https://zakon.rada.gov.ua/laws/show/1797-19" TargetMode="External"/><Relationship Id="rId3523" Type="http://schemas.openxmlformats.org/officeDocument/2006/relationships/hyperlink" Target="https://zakon.rada.gov.ua/laws/show/1797-19" TargetMode="External"/><Relationship Id="rId3730" Type="http://schemas.openxmlformats.org/officeDocument/2006/relationships/hyperlink" Target="https://zakon.rada.gov.ua/laws/show/71-19" TargetMode="External"/><Relationship Id="rId444" Type="http://schemas.openxmlformats.org/officeDocument/2006/relationships/hyperlink" Target="https://zakon.rada.gov.ua/laws/show/2121-14" TargetMode="External"/><Relationship Id="rId651" Type="http://schemas.openxmlformats.org/officeDocument/2006/relationships/hyperlink" Target="https://zakon.rada.gov.ua/laws/show/1797-19" TargetMode="External"/><Relationship Id="rId1281" Type="http://schemas.openxmlformats.org/officeDocument/2006/relationships/hyperlink" Target="https://zakon.rada.gov.ua/laws/show/71-19" TargetMode="External"/><Relationship Id="rId2125" Type="http://schemas.openxmlformats.org/officeDocument/2006/relationships/hyperlink" Target="https://zakon.rada.gov.ua/laws/show/2755-17/print" TargetMode="External"/><Relationship Id="rId2332" Type="http://schemas.openxmlformats.org/officeDocument/2006/relationships/hyperlink" Target="https://zakon.rada.gov.ua/laws/show/71-19" TargetMode="External"/><Relationship Id="rId5488" Type="http://schemas.openxmlformats.org/officeDocument/2006/relationships/hyperlink" Target="https://zakon.rada.gov.ua/laws/show/2755-17/print" TargetMode="External"/><Relationship Id="rId5695" Type="http://schemas.openxmlformats.org/officeDocument/2006/relationships/hyperlink" Target="https://zakon.rada.gov.ua/laws/show/2628-19" TargetMode="External"/><Relationship Id="rId304" Type="http://schemas.openxmlformats.org/officeDocument/2006/relationships/hyperlink" Target="https://zakon.rada.gov.ua/laws/show/z0137-16" TargetMode="External"/><Relationship Id="rId511" Type="http://schemas.openxmlformats.org/officeDocument/2006/relationships/hyperlink" Target="https://zakon.rada.gov.ua/laws/show/71-19" TargetMode="External"/><Relationship Id="rId1141" Type="http://schemas.openxmlformats.org/officeDocument/2006/relationships/hyperlink" Target="https://zakon.rada.gov.ua/laws/show/404-18" TargetMode="External"/><Relationship Id="rId4297" Type="http://schemas.openxmlformats.org/officeDocument/2006/relationships/hyperlink" Target="https://zakon.rada.gov.ua/laws/show/2628-19" TargetMode="External"/><Relationship Id="rId5348" Type="http://schemas.openxmlformats.org/officeDocument/2006/relationships/hyperlink" Target="https://zakon.rada.gov.ua/laws/show/3609-17" TargetMode="External"/><Relationship Id="rId5555" Type="http://schemas.openxmlformats.org/officeDocument/2006/relationships/hyperlink" Target="https://zakon.rada.gov.ua/laws/show/2755-17/print" TargetMode="External"/><Relationship Id="rId5762" Type="http://schemas.openxmlformats.org/officeDocument/2006/relationships/hyperlink" Target="https://zakon.rada.gov.ua/laws/show/2755-17/print" TargetMode="External"/><Relationship Id="rId1001" Type="http://schemas.openxmlformats.org/officeDocument/2006/relationships/hyperlink" Target="https://zakon.rada.gov.ua/laws/show/3609-17" TargetMode="External"/><Relationship Id="rId4157" Type="http://schemas.openxmlformats.org/officeDocument/2006/relationships/hyperlink" Target="https://zakon.rada.gov.ua/laws/show/1638-18" TargetMode="External"/><Relationship Id="rId4364" Type="http://schemas.openxmlformats.org/officeDocument/2006/relationships/hyperlink" Target="https://zakon.rada.gov.ua/laws/show/2628-19" TargetMode="External"/><Relationship Id="rId4571" Type="http://schemas.openxmlformats.org/officeDocument/2006/relationships/hyperlink" Target="https://zakon.rada.gov.ua/laws/show/909-19" TargetMode="External"/><Relationship Id="rId5208" Type="http://schemas.openxmlformats.org/officeDocument/2006/relationships/hyperlink" Target="https://zakon.rada.gov.ua/laws/show/4495-17" TargetMode="External"/><Relationship Id="rId5415" Type="http://schemas.openxmlformats.org/officeDocument/2006/relationships/hyperlink" Target="https://zakon.rada.gov.ua/laws/show/3609-17" TargetMode="External"/><Relationship Id="rId5622" Type="http://schemas.openxmlformats.org/officeDocument/2006/relationships/hyperlink" Target="https://zakon.rada.gov.ua/laws/show/2755-17/print" TargetMode="External"/><Relationship Id="rId1958" Type="http://schemas.openxmlformats.org/officeDocument/2006/relationships/hyperlink" Target="https://zakon.rada.gov.ua/laws/show/2755-17/print" TargetMode="External"/><Relationship Id="rId3173" Type="http://schemas.openxmlformats.org/officeDocument/2006/relationships/hyperlink" Target="https://zakon.rada.gov.ua/laws/show/71-19" TargetMode="External"/><Relationship Id="rId3380" Type="http://schemas.openxmlformats.org/officeDocument/2006/relationships/hyperlink" Target="https://zakon.rada.gov.ua/laws/show/1797-19" TargetMode="External"/><Relationship Id="rId4017" Type="http://schemas.openxmlformats.org/officeDocument/2006/relationships/hyperlink" Target="https://zakon.rada.gov.ua/laws/show/584%D0%B0-18" TargetMode="External"/><Relationship Id="rId4224" Type="http://schemas.openxmlformats.org/officeDocument/2006/relationships/hyperlink" Target="https://zakon.rada.gov.ua/laws/show/2628-19" TargetMode="External"/><Relationship Id="rId4431" Type="http://schemas.openxmlformats.org/officeDocument/2006/relationships/hyperlink" Target="https://zakon.rada.gov.ua/laws/show/2245-19" TargetMode="External"/><Relationship Id="rId1818" Type="http://schemas.openxmlformats.org/officeDocument/2006/relationships/hyperlink" Target="https://zakon.rada.gov.ua/laws/show/1797-19" TargetMode="External"/><Relationship Id="rId3033" Type="http://schemas.openxmlformats.org/officeDocument/2006/relationships/hyperlink" Target="https://zakon.rada.gov.ua/laws/show/4495-17" TargetMode="External"/><Relationship Id="rId3240" Type="http://schemas.openxmlformats.org/officeDocument/2006/relationships/hyperlink" Target="https://zakon.rada.gov.ua/laws/show/71-19" TargetMode="External"/><Relationship Id="rId6189" Type="http://schemas.openxmlformats.org/officeDocument/2006/relationships/hyperlink" Target="https://zakon.rada.gov.ua/laws/show/2755-17/print" TargetMode="External"/><Relationship Id="rId161" Type="http://schemas.openxmlformats.org/officeDocument/2006/relationships/hyperlink" Target="https://zakon.rada.gov.ua/laws/show/4495-17" TargetMode="External"/><Relationship Id="rId6049" Type="http://schemas.openxmlformats.org/officeDocument/2006/relationships/hyperlink" Target="https://zakon.rada.gov.ua/laws/show/2755-17/print" TargetMode="External"/><Relationship Id="rId2799" Type="http://schemas.openxmlformats.org/officeDocument/2006/relationships/hyperlink" Target="https://zakon.rada.gov.ua/laws/show/443-18" TargetMode="External"/><Relationship Id="rId3100" Type="http://schemas.openxmlformats.org/officeDocument/2006/relationships/hyperlink" Target="https://zakon.rada.gov.ua/laws/show/2245-19" TargetMode="External"/><Relationship Id="rId6256" Type="http://schemas.openxmlformats.org/officeDocument/2006/relationships/hyperlink" Target="https://zakon.rada.gov.ua/laws/show/2245-19" TargetMode="External"/><Relationship Id="rId978" Type="http://schemas.openxmlformats.org/officeDocument/2006/relationships/hyperlink" Target="https://zakon.rada.gov.ua/laws/show/72-19" TargetMode="External"/><Relationship Id="rId2659" Type="http://schemas.openxmlformats.org/officeDocument/2006/relationships/hyperlink" Target="https://zakon.rada.gov.ua/laws/show/71-19" TargetMode="External"/><Relationship Id="rId2866" Type="http://schemas.openxmlformats.org/officeDocument/2006/relationships/hyperlink" Target="https://zakon.rada.gov.ua/laws/show/2755-17/print" TargetMode="External"/><Relationship Id="rId3917" Type="http://schemas.openxmlformats.org/officeDocument/2006/relationships/hyperlink" Target="https://zakon.rada.gov.ua/laws/show/1797-19" TargetMode="External"/><Relationship Id="rId5065" Type="http://schemas.openxmlformats.org/officeDocument/2006/relationships/hyperlink" Target="https://zakon.rada.gov.ua/laws/show/2755-17/print" TargetMode="External"/><Relationship Id="rId5272" Type="http://schemas.openxmlformats.org/officeDocument/2006/relationships/hyperlink" Target="https://zakon.rada.gov.ua/laws/show/309-17" TargetMode="External"/><Relationship Id="rId6116" Type="http://schemas.openxmlformats.org/officeDocument/2006/relationships/hyperlink" Target="https://zakon.rada.gov.ua/laws/show/5203-17" TargetMode="External"/><Relationship Id="rId838" Type="http://schemas.openxmlformats.org/officeDocument/2006/relationships/hyperlink" Target="https://zakon.rada.gov.ua/laws/show/2755-17/print" TargetMode="External"/><Relationship Id="rId1468" Type="http://schemas.openxmlformats.org/officeDocument/2006/relationships/hyperlink" Target="https://zakon.rada.gov.ua/laws/show/2755-17/print" TargetMode="External"/><Relationship Id="rId1675" Type="http://schemas.openxmlformats.org/officeDocument/2006/relationships/hyperlink" Target="https://zakon.rada.gov.ua/laws/show/2755-17/print" TargetMode="External"/><Relationship Id="rId1882" Type="http://schemas.openxmlformats.org/officeDocument/2006/relationships/hyperlink" Target="https://zakon.rada.gov.ua/laws/show/z0117-11" TargetMode="External"/><Relationship Id="rId2519" Type="http://schemas.openxmlformats.org/officeDocument/2006/relationships/hyperlink" Target="https://zakon.rada.gov.ua/laws/show/2755-17/print" TargetMode="External"/><Relationship Id="rId2726" Type="http://schemas.openxmlformats.org/officeDocument/2006/relationships/hyperlink" Target="https://zakon.rada.gov.ua/laws/show/909-19" TargetMode="External"/><Relationship Id="rId4081" Type="http://schemas.openxmlformats.org/officeDocument/2006/relationships/hyperlink" Target="https://zakon.rada.gov.ua/laws/show/2755-17/print" TargetMode="External"/><Relationship Id="rId5132" Type="http://schemas.openxmlformats.org/officeDocument/2006/relationships/hyperlink" Target="https://zakon.rada.gov.ua/laws/show/076_009" TargetMode="External"/><Relationship Id="rId1328" Type="http://schemas.openxmlformats.org/officeDocument/2006/relationships/hyperlink" Target="https://zakon.rada.gov.ua/laws/show/71-19" TargetMode="External"/><Relationship Id="rId1535" Type="http://schemas.openxmlformats.org/officeDocument/2006/relationships/hyperlink" Target="https://zakon.rada.gov.ua/laws/show/2755-17/print" TargetMode="External"/><Relationship Id="rId2933" Type="http://schemas.openxmlformats.org/officeDocument/2006/relationships/hyperlink" Target="https://zakon.rada.gov.ua/laws/show/4220-17" TargetMode="External"/><Relationship Id="rId905" Type="http://schemas.openxmlformats.org/officeDocument/2006/relationships/hyperlink" Target="https://zakon.rada.gov.ua/laws/show/2628-19" TargetMode="External"/><Relationship Id="rId1742" Type="http://schemas.openxmlformats.org/officeDocument/2006/relationships/hyperlink" Target="https://zakon.rada.gov.ua/laws/show/2755-17/print" TargetMode="External"/><Relationship Id="rId4898" Type="http://schemas.openxmlformats.org/officeDocument/2006/relationships/hyperlink" Target="https://zakon.rada.gov.ua/laws/show/5083-17" TargetMode="External"/><Relationship Id="rId5949" Type="http://schemas.openxmlformats.org/officeDocument/2006/relationships/hyperlink" Target="https://zakon.rada.gov.ua/laws/show/2755-17/print" TargetMode="External"/><Relationship Id="rId34" Type="http://schemas.openxmlformats.org/officeDocument/2006/relationships/hyperlink" Target="https://zakon.rada.gov.ua/laws/show/5074-17" TargetMode="External"/><Relationship Id="rId1602" Type="http://schemas.openxmlformats.org/officeDocument/2006/relationships/hyperlink" Target="https://zakon.rada.gov.ua/laws/show/909-19" TargetMode="External"/><Relationship Id="rId4758" Type="http://schemas.openxmlformats.org/officeDocument/2006/relationships/hyperlink" Target="https://zakon.rada.gov.ua/laws/show/2755-17/print" TargetMode="External"/><Relationship Id="rId4965" Type="http://schemas.openxmlformats.org/officeDocument/2006/relationships/hyperlink" Target="https://zakon.rada.gov.ua/laws/show/71-19" TargetMode="External"/><Relationship Id="rId5809" Type="http://schemas.openxmlformats.org/officeDocument/2006/relationships/hyperlink" Target="https://zakon.rada.gov.ua/laws/show/71-19" TargetMode="External"/><Relationship Id="rId6180" Type="http://schemas.openxmlformats.org/officeDocument/2006/relationships/hyperlink" Target="https://zakon.rada.gov.ua/laws/show/076_009" TargetMode="External"/><Relationship Id="rId3567" Type="http://schemas.openxmlformats.org/officeDocument/2006/relationships/hyperlink" Target="https://zakon.rada.gov.ua/laws/show/4495-17" TargetMode="External"/><Relationship Id="rId3774" Type="http://schemas.openxmlformats.org/officeDocument/2006/relationships/hyperlink" Target="https://zakon.rada.gov.ua/laws/show/584%D0%B0-18" TargetMode="External"/><Relationship Id="rId3981" Type="http://schemas.openxmlformats.org/officeDocument/2006/relationships/hyperlink" Target="https://zakon.rada.gov.ua/laws/show/2755-17/print" TargetMode="External"/><Relationship Id="rId4618" Type="http://schemas.openxmlformats.org/officeDocument/2006/relationships/hyperlink" Target="https://zakon.rada.gov.ua/laws/show/66-2016-%D0%BF" TargetMode="External"/><Relationship Id="rId4825" Type="http://schemas.openxmlformats.org/officeDocument/2006/relationships/hyperlink" Target="https://zakon.rada.gov.ua/laws/show/71-19" TargetMode="External"/><Relationship Id="rId488" Type="http://schemas.openxmlformats.org/officeDocument/2006/relationships/hyperlink" Target="https://zakon.rada.gov.ua/laws/show/2755-17/print" TargetMode="External"/><Relationship Id="rId695" Type="http://schemas.openxmlformats.org/officeDocument/2006/relationships/hyperlink" Target="https://zakon.rada.gov.ua/laws/show/2755-17/print" TargetMode="External"/><Relationship Id="rId2169" Type="http://schemas.openxmlformats.org/officeDocument/2006/relationships/hyperlink" Target="https://zakon.rada.gov.ua/laws/show/2755-17/print" TargetMode="External"/><Relationship Id="rId2376" Type="http://schemas.openxmlformats.org/officeDocument/2006/relationships/hyperlink" Target="https://zakon.rada.gov.ua/laws/show/303-2011-%D0%BF" TargetMode="External"/><Relationship Id="rId2583" Type="http://schemas.openxmlformats.org/officeDocument/2006/relationships/hyperlink" Target="https://zakon.rada.gov.ua/laws/show/2755-17/print" TargetMode="External"/><Relationship Id="rId2790" Type="http://schemas.openxmlformats.org/officeDocument/2006/relationships/hyperlink" Target="https://zakon.rada.gov.ua/laws/show/4661-17" TargetMode="External"/><Relationship Id="rId3427" Type="http://schemas.openxmlformats.org/officeDocument/2006/relationships/hyperlink" Target="https://zakon.rada.gov.ua/laws/show/643-19" TargetMode="External"/><Relationship Id="rId3634" Type="http://schemas.openxmlformats.org/officeDocument/2006/relationships/hyperlink" Target="https://zakon.rada.gov.ua/laws/show/va375202-05" TargetMode="External"/><Relationship Id="rId3841" Type="http://schemas.openxmlformats.org/officeDocument/2006/relationships/hyperlink" Target="https://zakon.rada.gov.ua/laws/show/265/95-%D0%B2%D1%80" TargetMode="External"/><Relationship Id="rId6040" Type="http://schemas.openxmlformats.org/officeDocument/2006/relationships/hyperlink" Target="https://zakon.rada.gov.ua/laws/show/2755-17/print" TargetMode="External"/><Relationship Id="rId348" Type="http://schemas.openxmlformats.org/officeDocument/2006/relationships/hyperlink" Target="https://zakon.rada.gov.ua/laws/show/2755-17/print" TargetMode="External"/><Relationship Id="rId555" Type="http://schemas.openxmlformats.org/officeDocument/2006/relationships/hyperlink" Target="https://zakon.rada.gov.ua/laws/show/909-19" TargetMode="External"/><Relationship Id="rId762" Type="http://schemas.openxmlformats.org/officeDocument/2006/relationships/hyperlink" Target="https://zakon.rada.gov.ua/laws/show/2628-19" TargetMode="External"/><Relationship Id="rId1185" Type="http://schemas.openxmlformats.org/officeDocument/2006/relationships/hyperlink" Target="https://zakon.rada.gov.ua/laws/show/z1266-17" TargetMode="External"/><Relationship Id="rId1392" Type="http://schemas.openxmlformats.org/officeDocument/2006/relationships/hyperlink" Target="https://zakon.rada.gov.ua/laws/show/657-18" TargetMode="External"/><Relationship Id="rId2029" Type="http://schemas.openxmlformats.org/officeDocument/2006/relationships/hyperlink" Target="https://zakon.rada.gov.ua/laws/show/2628-19" TargetMode="External"/><Relationship Id="rId2236" Type="http://schemas.openxmlformats.org/officeDocument/2006/relationships/hyperlink" Target="https://zakon.rada.gov.ua/laws/show/2755-17/print" TargetMode="External"/><Relationship Id="rId2443" Type="http://schemas.openxmlformats.org/officeDocument/2006/relationships/hyperlink" Target="https://zakon.rada.gov.ua/laws/show/4661-17" TargetMode="External"/><Relationship Id="rId2650" Type="http://schemas.openxmlformats.org/officeDocument/2006/relationships/hyperlink" Target="https://zakon.rada.gov.ua/laws/show/2755-17/print" TargetMode="External"/><Relationship Id="rId3701" Type="http://schemas.openxmlformats.org/officeDocument/2006/relationships/hyperlink" Target="https://zakon.rada.gov.ua/laws/show/391-20" TargetMode="External"/><Relationship Id="rId5599" Type="http://schemas.openxmlformats.org/officeDocument/2006/relationships/hyperlink" Target="https://zakon.rada.gov.ua/laws/show/2755-17/print" TargetMode="External"/><Relationship Id="rId208" Type="http://schemas.openxmlformats.org/officeDocument/2006/relationships/hyperlink" Target="https://zakon.rada.gov.ua/laws/show/584%D0%B0-18" TargetMode="External"/><Relationship Id="rId415" Type="http://schemas.openxmlformats.org/officeDocument/2006/relationships/hyperlink" Target="https://zakon.rada.gov.ua/laws/show/4834-17" TargetMode="External"/><Relationship Id="rId622" Type="http://schemas.openxmlformats.org/officeDocument/2006/relationships/hyperlink" Target="https://zakon.rada.gov.ua/laws/show/2755-17/print" TargetMode="External"/><Relationship Id="rId1045" Type="http://schemas.openxmlformats.org/officeDocument/2006/relationships/hyperlink" Target="https://zakon.rada.gov.ua/laws/show/1166-18" TargetMode="External"/><Relationship Id="rId1252" Type="http://schemas.openxmlformats.org/officeDocument/2006/relationships/hyperlink" Target="https://zakon.rada.gov.ua/laws/show/909-19" TargetMode="External"/><Relationship Id="rId2303" Type="http://schemas.openxmlformats.org/officeDocument/2006/relationships/hyperlink" Target="https://zakon.rada.gov.ua/laws/show/5519-17" TargetMode="External"/><Relationship Id="rId2510" Type="http://schemas.openxmlformats.org/officeDocument/2006/relationships/hyperlink" Target="https://zakon.rada.gov.ua/laws/show/2497-19" TargetMode="External"/><Relationship Id="rId5459" Type="http://schemas.openxmlformats.org/officeDocument/2006/relationships/hyperlink" Target="https://zakon.rada.gov.ua/laws/show/1797-19" TargetMode="External"/><Relationship Id="rId5666" Type="http://schemas.openxmlformats.org/officeDocument/2006/relationships/hyperlink" Target="https://zakon.rada.gov.ua/laws/show/2755-17/print" TargetMode="External"/><Relationship Id="rId1112" Type="http://schemas.openxmlformats.org/officeDocument/2006/relationships/hyperlink" Target="https://zakon.rada.gov.ua/laws/show/655-19" TargetMode="External"/><Relationship Id="rId4268" Type="http://schemas.openxmlformats.org/officeDocument/2006/relationships/hyperlink" Target="https://zakon.rada.gov.ua/laws/show/391-20" TargetMode="External"/><Relationship Id="rId4475" Type="http://schemas.openxmlformats.org/officeDocument/2006/relationships/hyperlink" Target="https://zakon.rada.gov.ua/laws/show/909-19" TargetMode="External"/><Relationship Id="rId5319" Type="http://schemas.openxmlformats.org/officeDocument/2006/relationships/hyperlink" Target="https://zakon.rada.gov.ua/laws/show/2755-17/print" TargetMode="External"/><Relationship Id="rId5873" Type="http://schemas.openxmlformats.org/officeDocument/2006/relationships/hyperlink" Target="https://zakon.rada.gov.ua/laws/show/2755-17/print" TargetMode="External"/><Relationship Id="rId3077" Type="http://schemas.openxmlformats.org/officeDocument/2006/relationships/hyperlink" Target="https://zakon.rada.gov.ua/laws/show/2755-17/print" TargetMode="External"/><Relationship Id="rId3284" Type="http://schemas.openxmlformats.org/officeDocument/2006/relationships/hyperlink" Target="https://zakon.rada.gov.ua/laws/show/909-19" TargetMode="External"/><Relationship Id="rId4128" Type="http://schemas.openxmlformats.org/officeDocument/2006/relationships/hyperlink" Target="https://zakon.rada.gov.ua/laws/show/584%D0%B0-18" TargetMode="External"/><Relationship Id="rId4682" Type="http://schemas.openxmlformats.org/officeDocument/2006/relationships/hyperlink" Target="https://zakon.rada.gov.ua/laws/show/71-19" TargetMode="External"/><Relationship Id="rId5526" Type="http://schemas.openxmlformats.org/officeDocument/2006/relationships/hyperlink" Target="https://zakon.rada.gov.ua/laws/show/2755-17/print" TargetMode="External"/><Relationship Id="rId5733" Type="http://schemas.openxmlformats.org/officeDocument/2006/relationships/hyperlink" Target="https://zakon.rada.gov.ua/laws/show/1797-19" TargetMode="External"/><Relationship Id="rId5940" Type="http://schemas.openxmlformats.org/officeDocument/2006/relationships/hyperlink" Target="https://zakon.rada.gov.ua/laws/show/2755-17/print" TargetMode="External"/><Relationship Id="rId1929" Type="http://schemas.openxmlformats.org/officeDocument/2006/relationships/hyperlink" Target="https://zakon.rada.gov.ua/laws/show/2755-17/print" TargetMode="External"/><Relationship Id="rId2093" Type="http://schemas.openxmlformats.org/officeDocument/2006/relationships/hyperlink" Target="https://zakon.rada.gov.ua/laws/show/2628-19" TargetMode="External"/><Relationship Id="rId3491" Type="http://schemas.openxmlformats.org/officeDocument/2006/relationships/hyperlink" Target="https://zakon.rada.gov.ua/laws/show/2755-17/print" TargetMode="External"/><Relationship Id="rId4335" Type="http://schemas.openxmlformats.org/officeDocument/2006/relationships/hyperlink" Target="https://zakon.rada.gov.ua/laws/show/2628-19" TargetMode="External"/><Relationship Id="rId4542" Type="http://schemas.openxmlformats.org/officeDocument/2006/relationships/hyperlink" Target="https://zakon.rada.gov.ua/laws/show/2755-17/print" TargetMode="External"/><Relationship Id="rId5800" Type="http://schemas.openxmlformats.org/officeDocument/2006/relationships/hyperlink" Target="https://zakon.rada.gov.ua/laws/show/2755-17/print" TargetMode="External"/><Relationship Id="rId3144" Type="http://schemas.openxmlformats.org/officeDocument/2006/relationships/hyperlink" Target="https://zakon.rada.gov.ua/laws/show/643-19" TargetMode="External"/><Relationship Id="rId3351" Type="http://schemas.openxmlformats.org/officeDocument/2006/relationships/hyperlink" Target="https://zakon.rada.gov.ua/laws/show/2755-17/print" TargetMode="External"/><Relationship Id="rId4402" Type="http://schemas.openxmlformats.org/officeDocument/2006/relationships/hyperlink" Target="https://zakon.rada.gov.ua/laws/show/1166-18" TargetMode="External"/><Relationship Id="rId272" Type="http://schemas.openxmlformats.org/officeDocument/2006/relationships/hyperlink" Target="https://zakon.rada.gov.ua/laws/show/4834-17" TargetMode="External"/><Relationship Id="rId2160" Type="http://schemas.openxmlformats.org/officeDocument/2006/relationships/hyperlink" Target="https://zakon.rada.gov.ua/laws/show/1797-19" TargetMode="External"/><Relationship Id="rId3004" Type="http://schemas.openxmlformats.org/officeDocument/2006/relationships/hyperlink" Target="https://zakon.rada.gov.ua/laws/show/4915-17" TargetMode="External"/><Relationship Id="rId3211" Type="http://schemas.openxmlformats.org/officeDocument/2006/relationships/hyperlink" Target="https://zakon.rada.gov.ua/laws/show/2198-19" TargetMode="External"/><Relationship Id="rId132" Type="http://schemas.openxmlformats.org/officeDocument/2006/relationships/hyperlink" Target="https://zakon.rada.gov.ua/laws/show/2628-19" TargetMode="External"/><Relationship Id="rId2020" Type="http://schemas.openxmlformats.org/officeDocument/2006/relationships/hyperlink" Target="https://zakon.rada.gov.ua/laws/show/2755-17/print" TargetMode="External"/><Relationship Id="rId5176" Type="http://schemas.openxmlformats.org/officeDocument/2006/relationships/hyperlink" Target="https://zakon.rada.gov.ua/laws/show/1797-19" TargetMode="External"/><Relationship Id="rId5383" Type="http://schemas.openxmlformats.org/officeDocument/2006/relationships/hyperlink" Target="https://zakon.rada.gov.ua/laws/show/2755-17/print" TargetMode="External"/><Relationship Id="rId5590" Type="http://schemas.openxmlformats.org/officeDocument/2006/relationships/hyperlink" Target="https://zakon.rada.gov.ua/laws/show/4495-17" TargetMode="External"/><Relationship Id="rId6227" Type="http://schemas.openxmlformats.org/officeDocument/2006/relationships/hyperlink" Target="https://zakon.rada.gov.ua/laws/show/1669-18" TargetMode="External"/><Relationship Id="rId1579" Type="http://schemas.openxmlformats.org/officeDocument/2006/relationships/hyperlink" Target="https://zakon.rada.gov.ua/laws/show/4834-17" TargetMode="External"/><Relationship Id="rId2977" Type="http://schemas.openxmlformats.org/officeDocument/2006/relationships/hyperlink" Target="https://zakon.rada.gov.ua/laws/show/3609-17" TargetMode="External"/><Relationship Id="rId4192" Type="http://schemas.openxmlformats.org/officeDocument/2006/relationships/hyperlink" Target="https://zakon.rada.gov.ua/laws/show/391-20" TargetMode="External"/><Relationship Id="rId5036" Type="http://schemas.openxmlformats.org/officeDocument/2006/relationships/hyperlink" Target="https://zakon.rada.gov.ua/laws/show/2755-17/print" TargetMode="External"/><Relationship Id="rId5243" Type="http://schemas.openxmlformats.org/officeDocument/2006/relationships/hyperlink" Target="https://zakon.rada.gov.ua/laws/show/404-18" TargetMode="External"/><Relationship Id="rId5450" Type="http://schemas.openxmlformats.org/officeDocument/2006/relationships/hyperlink" Target="https://zakon.rada.gov.ua/laws/show/584%D0%B0-18" TargetMode="External"/><Relationship Id="rId949" Type="http://schemas.openxmlformats.org/officeDocument/2006/relationships/hyperlink" Target="https://zakon.rada.gov.ua/laws/show/1797-19" TargetMode="External"/><Relationship Id="rId1786" Type="http://schemas.openxmlformats.org/officeDocument/2006/relationships/hyperlink" Target="https://zakon.rada.gov.ua/laws/show/2755-17/print" TargetMode="External"/><Relationship Id="rId1993" Type="http://schemas.openxmlformats.org/officeDocument/2006/relationships/hyperlink" Target="https://zakon.rada.gov.ua/laws/show/z0137-16" TargetMode="External"/><Relationship Id="rId2837" Type="http://schemas.openxmlformats.org/officeDocument/2006/relationships/hyperlink" Target="https://zakon.rada.gov.ua/laws/show/3609-17" TargetMode="External"/><Relationship Id="rId4052" Type="http://schemas.openxmlformats.org/officeDocument/2006/relationships/hyperlink" Target="https://zakon.rada.gov.ua/laws/show/71-19" TargetMode="External"/><Relationship Id="rId5103" Type="http://schemas.openxmlformats.org/officeDocument/2006/relationships/hyperlink" Target="https://zakon.rada.gov.ua/laws/show/71-19" TargetMode="External"/><Relationship Id="rId78" Type="http://schemas.openxmlformats.org/officeDocument/2006/relationships/hyperlink" Target="https://zakon.rada.gov.ua/laws/show/54-19" TargetMode="External"/><Relationship Id="rId809" Type="http://schemas.openxmlformats.org/officeDocument/2006/relationships/hyperlink" Target="https://zakon.rada.gov.ua/laws/show/1797-19" TargetMode="External"/><Relationship Id="rId1439" Type="http://schemas.openxmlformats.org/officeDocument/2006/relationships/hyperlink" Target="https://zakon.rada.gov.ua/laws/show/2611-19" TargetMode="External"/><Relationship Id="rId1646" Type="http://schemas.openxmlformats.org/officeDocument/2006/relationships/hyperlink" Target="https://zakon.rada.gov.ua/laws/show/909-19" TargetMode="External"/><Relationship Id="rId1853" Type="http://schemas.openxmlformats.org/officeDocument/2006/relationships/hyperlink" Target="https://zakon.rada.gov.ua/laws/show/1797-19" TargetMode="External"/><Relationship Id="rId2904" Type="http://schemas.openxmlformats.org/officeDocument/2006/relationships/hyperlink" Target="https://zakon.rada.gov.ua/laws/show/2755-17/print" TargetMode="External"/><Relationship Id="rId5310" Type="http://schemas.openxmlformats.org/officeDocument/2006/relationships/hyperlink" Target="https://zakon.rada.gov.ua/laws/show/2755-17/print" TargetMode="External"/><Relationship Id="rId1506" Type="http://schemas.openxmlformats.org/officeDocument/2006/relationships/hyperlink" Target="https://zakon.rada.gov.ua/laws/show/1797-19" TargetMode="External"/><Relationship Id="rId1713" Type="http://schemas.openxmlformats.org/officeDocument/2006/relationships/hyperlink" Target="https://zakon.rada.gov.ua/laws/show/2755-17/print" TargetMode="External"/><Relationship Id="rId1920" Type="http://schemas.openxmlformats.org/officeDocument/2006/relationships/hyperlink" Target="https://zakon.rada.gov.ua/laws/show/1797-19" TargetMode="External"/><Relationship Id="rId4869" Type="http://schemas.openxmlformats.org/officeDocument/2006/relationships/hyperlink" Target="https://zakon.rada.gov.ua/laws/show/2755-17/print" TargetMode="External"/><Relationship Id="rId3678" Type="http://schemas.openxmlformats.org/officeDocument/2006/relationships/hyperlink" Target="https://zakon.rada.gov.ua/laws/show/3609-17" TargetMode="External"/><Relationship Id="rId3885" Type="http://schemas.openxmlformats.org/officeDocument/2006/relationships/hyperlink" Target="https://zakon.rada.gov.ua/laws/show/076_009" TargetMode="External"/><Relationship Id="rId4729" Type="http://schemas.openxmlformats.org/officeDocument/2006/relationships/hyperlink" Target="https://zakon.rada.gov.ua/laws/show/2755-17/print" TargetMode="External"/><Relationship Id="rId4936" Type="http://schemas.openxmlformats.org/officeDocument/2006/relationships/hyperlink" Target="https://zakon.rada.gov.ua/laws/show/1797-19" TargetMode="External"/><Relationship Id="rId6084" Type="http://schemas.openxmlformats.org/officeDocument/2006/relationships/hyperlink" Target="https://zakon.rada.gov.ua/laws/show/13-92" TargetMode="External"/><Relationship Id="rId6291" Type="http://schemas.openxmlformats.org/officeDocument/2006/relationships/hyperlink" Target="https://zakon.rada.gov.ua/laws/show/2755-17/print" TargetMode="External"/><Relationship Id="rId599" Type="http://schemas.openxmlformats.org/officeDocument/2006/relationships/hyperlink" Target="https://zakon.rada.gov.ua/laws/show/2664-14" TargetMode="External"/><Relationship Id="rId2487" Type="http://schemas.openxmlformats.org/officeDocument/2006/relationships/hyperlink" Target="https://zakon.rada.gov.ua/laws/show/1588-18" TargetMode="External"/><Relationship Id="rId2694" Type="http://schemas.openxmlformats.org/officeDocument/2006/relationships/hyperlink" Target="https://zakon.rada.gov.ua/laws/show/5413-17" TargetMode="External"/><Relationship Id="rId3538" Type="http://schemas.openxmlformats.org/officeDocument/2006/relationships/hyperlink" Target="https://zakon.rada.gov.ua/laws/show/1621-18" TargetMode="External"/><Relationship Id="rId3745" Type="http://schemas.openxmlformats.org/officeDocument/2006/relationships/hyperlink" Target="https://zakon.rada.gov.ua/laws/show/909-19" TargetMode="External"/><Relationship Id="rId6151" Type="http://schemas.openxmlformats.org/officeDocument/2006/relationships/hyperlink" Target="https://zakon.rada.gov.ua/laws/show/2755-17/print" TargetMode="External"/><Relationship Id="rId459" Type="http://schemas.openxmlformats.org/officeDocument/2006/relationships/hyperlink" Target="https://zakon.rada.gov.ua/laws/show/2245-19" TargetMode="External"/><Relationship Id="rId666" Type="http://schemas.openxmlformats.org/officeDocument/2006/relationships/hyperlink" Target="https://zakon.rada.gov.ua/laws/show/5083-17" TargetMode="External"/><Relationship Id="rId873" Type="http://schemas.openxmlformats.org/officeDocument/2006/relationships/hyperlink" Target="https://zakon.rada.gov.ua/laws/show/1797-19" TargetMode="External"/><Relationship Id="rId1089" Type="http://schemas.openxmlformats.org/officeDocument/2006/relationships/hyperlink" Target="https://zakon.rada.gov.ua/laws/show/655-19" TargetMode="External"/><Relationship Id="rId1296" Type="http://schemas.openxmlformats.org/officeDocument/2006/relationships/hyperlink" Target="https://zakon.rada.gov.ua/laws/show/z0124-16" TargetMode="External"/><Relationship Id="rId2347" Type="http://schemas.openxmlformats.org/officeDocument/2006/relationships/hyperlink" Target="https://zakon.rada.gov.ua/laws/show/2755-17/print" TargetMode="External"/><Relationship Id="rId2554" Type="http://schemas.openxmlformats.org/officeDocument/2006/relationships/hyperlink" Target="https://zakon.rada.gov.ua/laws/show/z1415-15" TargetMode="External"/><Relationship Id="rId3952" Type="http://schemas.openxmlformats.org/officeDocument/2006/relationships/hyperlink" Target="https://zakon.rada.gov.ua/laws/show/076_009" TargetMode="External"/><Relationship Id="rId6011" Type="http://schemas.openxmlformats.org/officeDocument/2006/relationships/hyperlink" Target="https://zakon.rada.gov.ua/laws/show/2245-19" TargetMode="External"/><Relationship Id="rId319" Type="http://schemas.openxmlformats.org/officeDocument/2006/relationships/hyperlink" Target="https://zakon.rada.gov.ua/laws/show/408-18" TargetMode="External"/><Relationship Id="rId526" Type="http://schemas.openxmlformats.org/officeDocument/2006/relationships/hyperlink" Target="https://zakon.rada.gov.ua/laws/show/2628-19" TargetMode="External"/><Relationship Id="rId1156" Type="http://schemas.openxmlformats.org/officeDocument/2006/relationships/hyperlink" Target="https://zakon.rada.gov.ua/laws/show/3609-17" TargetMode="External"/><Relationship Id="rId1363" Type="http://schemas.openxmlformats.org/officeDocument/2006/relationships/hyperlink" Target="https://zakon.rada.gov.ua/laws/show/404-18" TargetMode="External"/><Relationship Id="rId2207" Type="http://schemas.openxmlformats.org/officeDocument/2006/relationships/hyperlink" Target="https://zakon.rada.gov.ua/laws/show/2755-17/print" TargetMode="External"/><Relationship Id="rId2761" Type="http://schemas.openxmlformats.org/officeDocument/2006/relationships/hyperlink" Target="https://zakon.rada.gov.ua/laws/show/2755-17/print" TargetMode="External"/><Relationship Id="rId3605" Type="http://schemas.openxmlformats.org/officeDocument/2006/relationships/hyperlink" Target="https://zakon.rada.gov.ua/laws/show/4834-17" TargetMode="External"/><Relationship Id="rId3812" Type="http://schemas.openxmlformats.org/officeDocument/2006/relationships/hyperlink" Target="https://zakon.rada.gov.ua/laws/show/584%D0%B1-18" TargetMode="External"/><Relationship Id="rId733" Type="http://schemas.openxmlformats.org/officeDocument/2006/relationships/hyperlink" Target="https://zakon.rada.gov.ua/laws/show/480-2017-%D0%BF" TargetMode="External"/><Relationship Id="rId940" Type="http://schemas.openxmlformats.org/officeDocument/2006/relationships/hyperlink" Target="https://zakon.rada.gov.ua/laws/show/1797-19" TargetMode="External"/><Relationship Id="rId1016" Type="http://schemas.openxmlformats.org/officeDocument/2006/relationships/hyperlink" Target="https://zakon.rada.gov.ua/laws/show/2725-19" TargetMode="External"/><Relationship Id="rId1570" Type="http://schemas.openxmlformats.org/officeDocument/2006/relationships/hyperlink" Target="https://zakon.rada.gov.ua/laws/show/2755-17/print" TargetMode="External"/><Relationship Id="rId2414" Type="http://schemas.openxmlformats.org/officeDocument/2006/relationships/hyperlink" Target="https://zakon.rada.gov.ua/laws/show/1588-18" TargetMode="External"/><Relationship Id="rId2621" Type="http://schemas.openxmlformats.org/officeDocument/2006/relationships/hyperlink" Target="https://zakon.rada.gov.ua/laws/show/2755-17/print" TargetMode="External"/><Relationship Id="rId5777" Type="http://schemas.openxmlformats.org/officeDocument/2006/relationships/hyperlink" Target="https://zakon.rada.gov.ua/laws/show/71-19" TargetMode="External"/><Relationship Id="rId5984" Type="http://schemas.openxmlformats.org/officeDocument/2006/relationships/hyperlink" Target="https://zakon.rada.gov.ua/laws/show/2611-19" TargetMode="External"/><Relationship Id="rId800" Type="http://schemas.openxmlformats.org/officeDocument/2006/relationships/hyperlink" Target="https://zakon.rada.gov.ua/laws/show/2628-19" TargetMode="External"/><Relationship Id="rId1223" Type="http://schemas.openxmlformats.org/officeDocument/2006/relationships/hyperlink" Target="https://zakon.rada.gov.ua/laws/show/3609-17" TargetMode="External"/><Relationship Id="rId1430" Type="http://schemas.openxmlformats.org/officeDocument/2006/relationships/hyperlink" Target="https://zakon.rada.gov.ua/laws/show/1797-19" TargetMode="External"/><Relationship Id="rId4379" Type="http://schemas.openxmlformats.org/officeDocument/2006/relationships/hyperlink" Target="https://zakon.rada.gov.ua/laws/show/5503-17" TargetMode="External"/><Relationship Id="rId4586" Type="http://schemas.openxmlformats.org/officeDocument/2006/relationships/hyperlink" Target="https://zakon.rada.gov.ua/laws/show/1797-19" TargetMode="External"/><Relationship Id="rId4793" Type="http://schemas.openxmlformats.org/officeDocument/2006/relationships/hyperlink" Target="https://zakon.rada.gov.ua/laws/show/2947-14" TargetMode="External"/><Relationship Id="rId5637" Type="http://schemas.openxmlformats.org/officeDocument/2006/relationships/hyperlink" Target="https://zakon.rada.gov.ua/laws/show/z0137-16" TargetMode="External"/><Relationship Id="rId5844" Type="http://schemas.openxmlformats.org/officeDocument/2006/relationships/hyperlink" Target="https://zakon.rada.gov.ua/laws/show/2755-17/print" TargetMode="External"/><Relationship Id="rId3188" Type="http://schemas.openxmlformats.org/officeDocument/2006/relationships/hyperlink" Target="https://zakon.rada.gov.ua/laws/show/71-19" TargetMode="External"/><Relationship Id="rId3395" Type="http://schemas.openxmlformats.org/officeDocument/2006/relationships/hyperlink" Target="https://zakon.rada.gov.ua/laws/show/1797-19" TargetMode="External"/><Relationship Id="rId4239" Type="http://schemas.openxmlformats.org/officeDocument/2006/relationships/hyperlink" Target="https://zakon.rada.gov.ua/laws/show/391-20" TargetMode="External"/><Relationship Id="rId4446" Type="http://schemas.openxmlformats.org/officeDocument/2006/relationships/hyperlink" Target="https://zakon.rada.gov.ua/laws/show/1191-18" TargetMode="External"/><Relationship Id="rId4653" Type="http://schemas.openxmlformats.org/officeDocument/2006/relationships/hyperlink" Target="https://zakon.rada.gov.ua/laws/show/3609-17" TargetMode="External"/><Relationship Id="rId4860" Type="http://schemas.openxmlformats.org/officeDocument/2006/relationships/hyperlink" Target="https://zakon.rada.gov.ua/laws/show/909-19" TargetMode="External"/><Relationship Id="rId5704" Type="http://schemas.openxmlformats.org/officeDocument/2006/relationships/hyperlink" Target="https://zakon.rada.gov.ua/laws/show/4495-17" TargetMode="External"/><Relationship Id="rId5911" Type="http://schemas.openxmlformats.org/officeDocument/2006/relationships/hyperlink" Target="https://zakon.rada.gov.ua/laws/show/2245-19" TargetMode="External"/><Relationship Id="rId3048" Type="http://schemas.openxmlformats.org/officeDocument/2006/relationships/hyperlink" Target="https://zakon.rada.gov.ua/laws/show/3609-17" TargetMode="External"/><Relationship Id="rId3255" Type="http://schemas.openxmlformats.org/officeDocument/2006/relationships/hyperlink" Target="https://zakon.rada.gov.ua/laws/show/909-19" TargetMode="External"/><Relationship Id="rId3462" Type="http://schemas.openxmlformats.org/officeDocument/2006/relationships/hyperlink" Target="https://zakon.rada.gov.ua/laws/show/2755-17/print" TargetMode="External"/><Relationship Id="rId4306" Type="http://schemas.openxmlformats.org/officeDocument/2006/relationships/hyperlink" Target="https://zakon.rada.gov.ua/laws/show/2755-17/print" TargetMode="External"/><Relationship Id="rId4513" Type="http://schemas.openxmlformats.org/officeDocument/2006/relationships/hyperlink" Target="https://zakon.rada.gov.ua/laws/show/2755-17/print" TargetMode="External"/><Relationship Id="rId4720" Type="http://schemas.openxmlformats.org/officeDocument/2006/relationships/hyperlink" Target="https://zakon.rada.gov.ua/laws/show/71-19" TargetMode="External"/><Relationship Id="rId176" Type="http://schemas.openxmlformats.org/officeDocument/2006/relationships/hyperlink" Target="https://zakon.rada.gov.ua/laws/show/909-19" TargetMode="External"/><Relationship Id="rId383" Type="http://schemas.openxmlformats.org/officeDocument/2006/relationships/hyperlink" Target="https://zakon.rada.gov.ua/laws/show/2245-19" TargetMode="External"/><Relationship Id="rId590" Type="http://schemas.openxmlformats.org/officeDocument/2006/relationships/hyperlink" Target="https://zakon.rada.gov.ua/laws/show/71-19" TargetMode="External"/><Relationship Id="rId2064" Type="http://schemas.openxmlformats.org/officeDocument/2006/relationships/hyperlink" Target="https://zakon.rada.gov.ua/laws/show/909-19" TargetMode="External"/><Relationship Id="rId2271" Type="http://schemas.openxmlformats.org/officeDocument/2006/relationships/hyperlink" Target="https://zakon.rada.gov.ua/laws/show/1797-19" TargetMode="External"/><Relationship Id="rId3115" Type="http://schemas.openxmlformats.org/officeDocument/2006/relationships/hyperlink" Target="https://zakon.rada.gov.ua/laws/show/875-12" TargetMode="External"/><Relationship Id="rId3322" Type="http://schemas.openxmlformats.org/officeDocument/2006/relationships/hyperlink" Target="https://zakon.rada.gov.ua/laws/show/643-19" TargetMode="External"/><Relationship Id="rId243" Type="http://schemas.openxmlformats.org/officeDocument/2006/relationships/hyperlink" Target="https://zakon.rada.gov.ua/laws/show/2628-19" TargetMode="External"/><Relationship Id="rId450" Type="http://schemas.openxmlformats.org/officeDocument/2006/relationships/hyperlink" Target="https://zakon.rada.gov.ua/laws/show/71-19" TargetMode="External"/><Relationship Id="rId1080" Type="http://schemas.openxmlformats.org/officeDocument/2006/relationships/hyperlink" Target="https://zakon.rada.gov.ua/laws/show/z1415-15" TargetMode="External"/><Relationship Id="rId2131" Type="http://schemas.openxmlformats.org/officeDocument/2006/relationships/hyperlink" Target="https://zakon.rada.gov.ua/laws/show/2755-17/print" TargetMode="External"/><Relationship Id="rId5287" Type="http://schemas.openxmlformats.org/officeDocument/2006/relationships/hyperlink" Target="https://zakon.rada.gov.ua/laws/show/2245-19" TargetMode="External"/><Relationship Id="rId5494" Type="http://schemas.openxmlformats.org/officeDocument/2006/relationships/hyperlink" Target="https://zakon.rada.gov.ua/laws/show/2755-17/print" TargetMode="External"/><Relationship Id="rId103" Type="http://schemas.openxmlformats.org/officeDocument/2006/relationships/hyperlink" Target="https://zakon.rada.gov.ua/laws/show/655-19" TargetMode="External"/><Relationship Id="rId310" Type="http://schemas.openxmlformats.org/officeDocument/2006/relationships/hyperlink" Target="https://zakon.rada.gov.ua/laws/show/2245-19" TargetMode="External"/><Relationship Id="rId4096" Type="http://schemas.openxmlformats.org/officeDocument/2006/relationships/hyperlink" Target="https://zakon.rada.gov.ua/laws/show/391-20" TargetMode="External"/><Relationship Id="rId5147" Type="http://schemas.openxmlformats.org/officeDocument/2006/relationships/hyperlink" Target="https://zakon.rada.gov.ua/laws/show/2755-17/print" TargetMode="External"/><Relationship Id="rId1897" Type="http://schemas.openxmlformats.org/officeDocument/2006/relationships/hyperlink" Target="https://zakon.rada.gov.ua/laws/show/657-18" TargetMode="External"/><Relationship Id="rId2948" Type="http://schemas.openxmlformats.org/officeDocument/2006/relationships/hyperlink" Target="https://zakon.rada.gov.ua/laws/show/71-19" TargetMode="External"/><Relationship Id="rId5354" Type="http://schemas.openxmlformats.org/officeDocument/2006/relationships/hyperlink" Target="https://zakon.rada.gov.ua/laws/show/4495-17" TargetMode="External"/><Relationship Id="rId5561" Type="http://schemas.openxmlformats.org/officeDocument/2006/relationships/hyperlink" Target="https://zakon.rada.gov.ua/laws/show/643-19" TargetMode="External"/><Relationship Id="rId1757" Type="http://schemas.openxmlformats.org/officeDocument/2006/relationships/hyperlink" Target="https://zakon.rada.gov.ua/laws/show/2755-17/print" TargetMode="External"/><Relationship Id="rId1964" Type="http://schemas.openxmlformats.org/officeDocument/2006/relationships/hyperlink" Target="https://zakon.rada.gov.ua/laws/show/3609-17" TargetMode="External"/><Relationship Id="rId2808" Type="http://schemas.openxmlformats.org/officeDocument/2006/relationships/hyperlink" Target="https://zakon.rada.gov.ua/laws/show/2628-19" TargetMode="External"/><Relationship Id="rId4163" Type="http://schemas.openxmlformats.org/officeDocument/2006/relationships/hyperlink" Target="https://zakon.rada.gov.ua/laws/show/5503-17" TargetMode="External"/><Relationship Id="rId4370" Type="http://schemas.openxmlformats.org/officeDocument/2006/relationships/hyperlink" Target="https://zakon.rada.gov.ua/laws/show/2245-19" TargetMode="External"/><Relationship Id="rId5007" Type="http://schemas.openxmlformats.org/officeDocument/2006/relationships/hyperlink" Target="https://zakon.rada.gov.ua/laws/show/71-19" TargetMode="External"/><Relationship Id="rId5214" Type="http://schemas.openxmlformats.org/officeDocument/2006/relationships/hyperlink" Target="https://zakon.rada.gov.ua/laws/show/4050-17" TargetMode="External"/><Relationship Id="rId5421" Type="http://schemas.openxmlformats.org/officeDocument/2006/relationships/hyperlink" Target="https://zakon.rada.gov.ua/laws/show/657-18" TargetMode="External"/><Relationship Id="rId49" Type="http://schemas.openxmlformats.org/officeDocument/2006/relationships/hyperlink" Target="https://zakon.rada.gov.ua/laws/show/407-18" TargetMode="External"/><Relationship Id="rId1617" Type="http://schemas.openxmlformats.org/officeDocument/2006/relationships/hyperlink" Target="https://zakon.rada.gov.ua/laws/show/2755-17/print" TargetMode="External"/><Relationship Id="rId1824" Type="http://schemas.openxmlformats.org/officeDocument/2006/relationships/hyperlink" Target="https://zakon.rada.gov.ua/laws/show/1797-19" TargetMode="External"/><Relationship Id="rId4023" Type="http://schemas.openxmlformats.org/officeDocument/2006/relationships/hyperlink" Target="https://zakon.rada.gov.ua/laws/show/404-18" TargetMode="External"/><Relationship Id="rId4230" Type="http://schemas.openxmlformats.org/officeDocument/2006/relationships/hyperlink" Target="https://zakon.rada.gov.ua/laws/show/2628-19" TargetMode="External"/><Relationship Id="rId3789" Type="http://schemas.openxmlformats.org/officeDocument/2006/relationships/hyperlink" Target="https://zakon.rada.gov.ua/laws/show/391-20" TargetMode="External"/><Relationship Id="rId6195" Type="http://schemas.openxmlformats.org/officeDocument/2006/relationships/hyperlink" Target="https://zakon.rada.gov.ua/laws/show/1636-18" TargetMode="External"/><Relationship Id="rId2598" Type="http://schemas.openxmlformats.org/officeDocument/2006/relationships/hyperlink" Target="https://zakon.rada.gov.ua/laws/show/909-19" TargetMode="External"/><Relationship Id="rId3996" Type="http://schemas.openxmlformats.org/officeDocument/2006/relationships/hyperlink" Target="https://zakon.rada.gov.ua/laws/show/2628-19" TargetMode="External"/><Relationship Id="rId6055" Type="http://schemas.openxmlformats.org/officeDocument/2006/relationships/hyperlink" Target="https://zakon.rada.gov.ua/laws/show/2755-17/print" TargetMode="External"/><Relationship Id="rId6262" Type="http://schemas.openxmlformats.org/officeDocument/2006/relationships/hyperlink" Target="https://zakon.rada.gov.ua/laws/show/2245-19" TargetMode="External"/><Relationship Id="rId3649" Type="http://schemas.openxmlformats.org/officeDocument/2006/relationships/hyperlink" Target="https://zakon.rada.gov.ua/laws/show/909-19" TargetMode="External"/><Relationship Id="rId3856" Type="http://schemas.openxmlformats.org/officeDocument/2006/relationships/hyperlink" Target="https://zakon.rada.gov.ua/laws/show/391-20" TargetMode="External"/><Relationship Id="rId4907" Type="http://schemas.openxmlformats.org/officeDocument/2006/relationships/hyperlink" Target="https://zakon.rada.gov.ua/laws/show/5503-17" TargetMode="External"/><Relationship Id="rId5071" Type="http://schemas.openxmlformats.org/officeDocument/2006/relationships/hyperlink" Target="https://zakon.rada.gov.ua/laws/show/71-19" TargetMode="External"/><Relationship Id="rId6122" Type="http://schemas.openxmlformats.org/officeDocument/2006/relationships/hyperlink" Target="https://zakon.rada.gov.ua/laws/show/5213-17" TargetMode="External"/><Relationship Id="rId777" Type="http://schemas.openxmlformats.org/officeDocument/2006/relationships/hyperlink" Target="https://zakon.rada.gov.ua/laws/show/1797-19" TargetMode="External"/><Relationship Id="rId984" Type="http://schemas.openxmlformats.org/officeDocument/2006/relationships/hyperlink" Target="https://zakon.rada.gov.ua/laws/show/3609-17" TargetMode="External"/><Relationship Id="rId2458" Type="http://schemas.openxmlformats.org/officeDocument/2006/relationships/hyperlink" Target="https://zakon.rada.gov.ua/laws/show/3609-17" TargetMode="External"/><Relationship Id="rId2665" Type="http://schemas.openxmlformats.org/officeDocument/2006/relationships/hyperlink" Target="https://zakon.rada.gov.ua/laws/show/2245-19" TargetMode="External"/><Relationship Id="rId2872" Type="http://schemas.openxmlformats.org/officeDocument/2006/relationships/hyperlink" Target="https://zakon.rada.gov.ua/laws/show/3609-17" TargetMode="External"/><Relationship Id="rId3509" Type="http://schemas.openxmlformats.org/officeDocument/2006/relationships/hyperlink" Target="https://zakon.rada.gov.ua/laws/show/3609-17" TargetMode="External"/><Relationship Id="rId3716" Type="http://schemas.openxmlformats.org/officeDocument/2006/relationships/hyperlink" Target="https://zakon.rada.gov.ua/laws/show/71-19" TargetMode="External"/><Relationship Id="rId3923" Type="http://schemas.openxmlformats.org/officeDocument/2006/relationships/hyperlink" Target="https://zakon.rada.gov.ua/laws/show/2755-17/print" TargetMode="External"/><Relationship Id="rId637" Type="http://schemas.openxmlformats.org/officeDocument/2006/relationships/hyperlink" Target="https://zakon.rada.gov.ua/laws/show/1797-19" TargetMode="External"/><Relationship Id="rId844" Type="http://schemas.openxmlformats.org/officeDocument/2006/relationships/hyperlink" Target="https://zakon.rada.gov.ua/laws/show/1797-19" TargetMode="External"/><Relationship Id="rId1267" Type="http://schemas.openxmlformats.org/officeDocument/2006/relationships/hyperlink" Target="https://zakon.rada.gov.ua/laws/show/1797-19" TargetMode="External"/><Relationship Id="rId1474" Type="http://schemas.openxmlformats.org/officeDocument/2006/relationships/hyperlink" Target="https://zakon.rada.gov.ua/laws/show/71-19" TargetMode="External"/><Relationship Id="rId1681" Type="http://schemas.openxmlformats.org/officeDocument/2006/relationships/hyperlink" Target="https://zakon.rada.gov.ua/laws/show/5412-17" TargetMode="External"/><Relationship Id="rId2318" Type="http://schemas.openxmlformats.org/officeDocument/2006/relationships/hyperlink" Target="https://zakon.rada.gov.ua/laws/show/2755-17/print" TargetMode="External"/><Relationship Id="rId2525" Type="http://schemas.openxmlformats.org/officeDocument/2006/relationships/hyperlink" Target="https://zakon.rada.gov.ua/laws/show/2755-17/print" TargetMode="External"/><Relationship Id="rId2732" Type="http://schemas.openxmlformats.org/officeDocument/2006/relationships/hyperlink" Target="https://zakon.rada.gov.ua/laws/show/3609-17" TargetMode="External"/><Relationship Id="rId5888" Type="http://schemas.openxmlformats.org/officeDocument/2006/relationships/hyperlink" Target="https://zakon.rada.gov.ua/laws/show/2755-17/print" TargetMode="External"/><Relationship Id="rId704" Type="http://schemas.openxmlformats.org/officeDocument/2006/relationships/hyperlink" Target="https://zakon.rada.gov.ua/laws/show/2245-19" TargetMode="External"/><Relationship Id="rId911" Type="http://schemas.openxmlformats.org/officeDocument/2006/relationships/hyperlink" Target="https://zakon.rada.gov.ua/laws/show/1797-19" TargetMode="External"/><Relationship Id="rId1127" Type="http://schemas.openxmlformats.org/officeDocument/2006/relationships/hyperlink" Target="https://zakon.rada.gov.ua/laws/show/z1415-15" TargetMode="External"/><Relationship Id="rId1334" Type="http://schemas.openxmlformats.org/officeDocument/2006/relationships/hyperlink" Target="https://zakon.rada.gov.ua/laws/show/755-15" TargetMode="External"/><Relationship Id="rId1541" Type="http://schemas.openxmlformats.org/officeDocument/2006/relationships/hyperlink" Target="https://zakon.rada.gov.ua/laws/show/1797-19" TargetMode="External"/><Relationship Id="rId4697" Type="http://schemas.openxmlformats.org/officeDocument/2006/relationships/hyperlink" Target="https://zakon.rada.gov.ua/laws/show/71-19" TargetMode="External"/><Relationship Id="rId5748" Type="http://schemas.openxmlformats.org/officeDocument/2006/relationships/hyperlink" Target="https://zakon.rada.gov.ua/laws/show/5205-17" TargetMode="External"/><Relationship Id="rId5955" Type="http://schemas.openxmlformats.org/officeDocument/2006/relationships/hyperlink" Target="https://zakon.rada.gov.ua/laws/show/3221-17" TargetMode="External"/><Relationship Id="rId40" Type="http://schemas.openxmlformats.org/officeDocument/2006/relationships/hyperlink" Target="https://zakon.rada.gov.ua/laws/show/5412-17" TargetMode="External"/><Relationship Id="rId1401" Type="http://schemas.openxmlformats.org/officeDocument/2006/relationships/hyperlink" Target="https://zakon.rada.gov.ua/laws/show/4834-17" TargetMode="External"/><Relationship Id="rId3299" Type="http://schemas.openxmlformats.org/officeDocument/2006/relationships/hyperlink" Target="https://zakon.rada.gov.ua/laws/show/1797-19" TargetMode="External"/><Relationship Id="rId4557" Type="http://schemas.openxmlformats.org/officeDocument/2006/relationships/hyperlink" Target="https://zakon.rada.gov.ua/laws/show/1797-19" TargetMode="External"/><Relationship Id="rId4764" Type="http://schemas.openxmlformats.org/officeDocument/2006/relationships/hyperlink" Target="https://zakon.rada.gov.ua/laws/show/1797-19" TargetMode="External"/><Relationship Id="rId5608" Type="http://schemas.openxmlformats.org/officeDocument/2006/relationships/hyperlink" Target="https://zakon.rada.gov.ua/laws/show/1791-19" TargetMode="External"/><Relationship Id="rId3159" Type="http://schemas.openxmlformats.org/officeDocument/2006/relationships/hyperlink" Target="https://zakon.rada.gov.ua/laws/show/643-19" TargetMode="External"/><Relationship Id="rId3366" Type="http://schemas.openxmlformats.org/officeDocument/2006/relationships/hyperlink" Target="https://zakon.rada.gov.ua/laws/show/z1415-15" TargetMode="External"/><Relationship Id="rId3573" Type="http://schemas.openxmlformats.org/officeDocument/2006/relationships/hyperlink" Target="https://zakon.rada.gov.ua/laws/show/2755-17/print" TargetMode="External"/><Relationship Id="rId4417" Type="http://schemas.openxmlformats.org/officeDocument/2006/relationships/hyperlink" Target="https://zakon.rada.gov.ua/laws/show/1166-18" TargetMode="External"/><Relationship Id="rId4971" Type="http://schemas.openxmlformats.org/officeDocument/2006/relationships/hyperlink" Target="https://zakon.rada.gov.ua/laws/show/1797-19" TargetMode="External"/><Relationship Id="rId5815" Type="http://schemas.openxmlformats.org/officeDocument/2006/relationships/hyperlink" Target="https://zakon.rada.gov.ua/laws/show/3320-17" TargetMode="External"/><Relationship Id="rId287" Type="http://schemas.openxmlformats.org/officeDocument/2006/relationships/hyperlink" Target="https://zakon.rada.gov.ua/laws/show/2755-17/print" TargetMode="External"/><Relationship Id="rId494" Type="http://schemas.openxmlformats.org/officeDocument/2006/relationships/hyperlink" Target="https://zakon.rada.gov.ua/laws/show/2755-17/print" TargetMode="External"/><Relationship Id="rId2175" Type="http://schemas.openxmlformats.org/officeDocument/2006/relationships/hyperlink" Target="https://zakon.rada.gov.ua/laws/show/1797-19" TargetMode="External"/><Relationship Id="rId2382" Type="http://schemas.openxmlformats.org/officeDocument/2006/relationships/hyperlink" Target="https://zakon.rada.gov.ua/laws/show/2755-17/print" TargetMode="External"/><Relationship Id="rId3019" Type="http://schemas.openxmlformats.org/officeDocument/2006/relationships/hyperlink" Target="https://zakon.rada.gov.ua/laws/show/643-19" TargetMode="External"/><Relationship Id="rId3226" Type="http://schemas.openxmlformats.org/officeDocument/2006/relationships/hyperlink" Target="https://zakon.rada.gov.ua/laws/show/2755-17/print" TargetMode="External"/><Relationship Id="rId3780" Type="http://schemas.openxmlformats.org/officeDocument/2006/relationships/hyperlink" Target="https://zakon.rada.gov.ua/laws/show/1791-19" TargetMode="External"/><Relationship Id="rId4624" Type="http://schemas.openxmlformats.org/officeDocument/2006/relationships/hyperlink" Target="https://zakon.rada.gov.ua/laws/show/1797-19" TargetMode="External"/><Relationship Id="rId4831" Type="http://schemas.openxmlformats.org/officeDocument/2006/relationships/hyperlink" Target="https://zakon.rada.gov.ua/laws/show/71-19" TargetMode="External"/><Relationship Id="rId147" Type="http://schemas.openxmlformats.org/officeDocument/2006/relationships/hyperlink" Target="https://zakon.rada.gov.ua/laws/show/721-18" TargetMode="External"/><Relationship Id="rId354" Type="http://schemas.openxmlformats.org/officeDocument/2006/relationships/hyperlink" Target="https://zakon.rada.gov.ua/laws/show/4495-17" TargetMode="External"/><Relationship Id="rId1191" Type="http://schemas.openxmlformats.org/officeDocument/2006/relationships/hyperlink" Target="https://zakon.rada.gov.ua/laws/show/1797-19" TargetMode="External"/><Relationship Id="rId2035" Type="http://schemas.openxmlformats.org/officeDocument/2006/relationships/hyperlink" Target="https://zakon.rada.gov.ua/laws/show/2755-17/print" TargetMode="External"/><Relationship Id="rId3433" Type="http://schemas.openxmlformats.org/officeDocument/2006/relationships/hyperlink" Target="https://zakon.rada.gov.ua/laws/show/2755-17/print" TargetMode="External"/><Relationship Id="rId3640" Type="http://schemas.openxmlformats.org/officeDocument/2006/relationships/hyperlink" Target="https://zakon.rada.gov.ua/laws/show/1621-18" TargetMode="External"/><Relationship Id="rId561" Type="http://schemas.openxmlformats.org/officeDocument/2006/relationships/hyperlink" Target="https://zakon.rada.gov.ua/laws/show/71-19" TargetMode="External"/><Relationship Id="rId2242" Type="http://schemas.openxmlformats.org/officeDocument/2006/relationships/hyperlink" Target="https://zakon.rada.gov.ua/laws/show/2245-19" TargetMode="External"/><Relationship Id="rId3500" Type="http://schemas.openxmlformats.org/officeDocument/2006/relationships/hyperlink" Target="https://zakon.rada.gov.ua/laws/show/909-19" TargetMode="External"/><Relationship Id="rId5398" Type="http://schemas.openxmlformats.org/officeDocument/2006/relationships/hyperlink" Target="https://zakon.rada.gov.ua/laws/show/3675-17" TargetMode="External"/><Relationship Id="rId214" Type="http://schemas.openxmlformats.org/officeDocument/2006/relationships/hyperlink" Target="https://zakon.rada.gov.ua/laws/show/391-20" TargetMode="External"/><Relationship Id="rId421" Type="http://schemas.openxmlformats.org/officeDocument/2006/relationships/hyperlink" Target="https://zakon.rada.gov.ua/laws/show/5083-17" TargetMode="External"/><Relationship Id="rId1051" Type="http://schemas.openxmlformats.org/officeDocument/2006/relationships/hyperlink" Target="https://zakon.rada.gov.ua/laws/show/3609-17" TargetMode="External"/><Relationship Id="rId2102" Type="http://schemas.openxmlformats.org/officeDocument/2006/relationships/hyperlink" Target="https://zakon.rada.gov.ua/laws/show/2628-19" TargetMode="External"/><Relationship Id="rId5258" Type="http://schemas.openxmlformats.org/officeDocument/2006/relationships/hyperlink" Target="https://zakon.rada.gov.ua/laws/show/3206-17" TargetMode="External"/><Relationship Id="rId5465" Type="http://schemas.openxmlformats.org/officeDocument/2006/relationships/hyperlink" Target="https://zakon.rada.gov.ua/laws/show/464-14" TargetMode="External"/><Relationship Id="rId5672" Type="http://schemas.openxmlformats.org/officeDocument/2006/relationships/hyperlink" Target="https://zakon.rada.gov.ua/laws/show/2755-17/print" TargetMode="External"/><Relationship Id="rId6309" Type="http://schemas.openxmlformats.org/officeDocument/2006/relationships/hyperlink" Target="https://zakon.rada.gov.ua/go/2755-17" TargetMode="External"/><Relationship Id="rId1868" Type="http://schemas.openxmlformats.org/officeDocument/2006/relationships/hyperlink" Target="https://zakon.rada.gov.ua/laws/show/2755-17/print" TargetMode="External"/><Relationship Id="rId4067" Type="http://schemas.openxmlformats.org/officeDocument/2006/relationships/hyperlink" Target="https://zakon.rada.gov.ua/laws/show/21-2018-%D0%BF" TargetMode="External"/><Relationship Id="rId4274" Type="http://schemas.openxmlformats.org/officeDocument/2006/relationships/hyperlink" Target="https://zakon.rada.gov.ua/laws/show/2628-19" TargetMode="External"/><Relationship Id="rId4481" Type="http://schemas.openxmlformats.org/officeDocument/2006/relationships/hyperlink" Target="https://zakon.rada.gov.ua/laws/show/1797-19" TargetMode="External"/><Relationship Id="rId5118" Type="http://schemas.openxmlformats.org/officeDocument/2006/relationships/hyperlink" Target="https://zakon.rada.gov.ua/laws/show/2755-17/print" TargetMode="External"/><Relationship Id="rId5325" Type="http://schemas.openxmlformats.org/officeDocument/2006/relationships/hyperlink" Target="https://zakon.rada.gov.ua/laws/show/404-18" TargetMode="External"/><Relationship Id="rId5532" Type="http://schemas.openxmlformats.org/officeDocument/2006/relationships/hyperlink" Target="https://zakon.rada.gov.ua/laws/show/2755-17/print" TargetMode="External"/><Relationship Id="rId2919" Type="http://schemas.openxmlformats.org/officeDocument/2006/relationships/hyperlink" Target="https://zakon.rada.gov.ua/laws/show/4834-17" TargetMode="External"/><Relationship Id="rId3083" Type="http://schemas.openxmlformats.org/officeDocument/2006/relationships/hyperlink" Target="https://zakon.rada.gov.ua/laws/show/5073-17" TargetMode="External"/><Relationship Id="rId3290" Type="http://schemas.openxmlformats.org/officeDocument/2006/relationships/hyperlink" Target="https://zakon.rada.gov.ua/laws/show/1797-19" TargetMode="External"/><Relationship Id="rId4134" Type="http://schemas.openxmlformats.org/officeDocument/2006/relationships/hyperlink" Target="https://zakon.rada.gov.ua/laws/show/2628-19" TargetMode="External"/><Relationship Id="rId4341" Type="http://schemas.openxmlformats.org/officeDocument/2006/relationships/hyperlink" Target="https://zakon.rada.gov.ua/laws/show/2628-19" TargetMode="External"/><Relationship Id="rId1728" Type="http://schemas.openxmlformats.org/officeDocument/2006/relationships/hyperlink" Target="https://zakon.rada.gov.ua/laws/show/2628-19" TargetMode="External"/><Relationship Id="rId1935" Type="http://schemas.openxmlformats.org/officeDocument/2006/relationships/hyperlink" Target="https://zakon.rada.gov.ua/laws/show/2245-19" TargetMode="External"/><Relationship Id="rId3150" Type="http://schemas.openxmlformats.org/officeDocument/2006/relationships/hyperlink" Target="https://zakon.rada.gov.ua/laws/show/1621-18" TargetMode="External"/><Relationship Id="rId4201" Type="http://schemas.openxmlformats.org/officeDocument/2006/relationships/hyperlink" Target="https://zakon.rada.gov.ua/laws/show/z0405-16" TargetMode="External"/><Relationship Id="rId6099" Type="http://schemas.openxmlformats.org/officeDocument/2006/relationships/hyperlink" Target="https://zakon.rada.gov.ua/laws/show/2245-19" TargetMode="External"/><Relationship Id="rId3010" Type="http://schemas.openxmlformats.org/officeDocument/2006/relationships/hyperlink" Target="https://zakon.rada.gov.ua/laws/show/909-19" TargetMode="External"/><Relationship Id="rId6166" Type="http://schemas.openxmlformats.org/officeDocument/2006/relationships/hyperlink" Target="https://zakon.rada.gov.ua/laws/show/71-19" TargetMode="External"/><Relationship Id="rId3967" Type="http://schemas.openxmlformats.org/officeDocument/2006/relationships/hyperlink" Target="https://zakon.rada.gov.ua/laws/show/2628-19" TargetMode="External"/><Relationship Id="rId4" Type="http://schemas.openxmlformats.org/officeDocument/2006/relationships/webSettings" Target="webSettings.xml"/><Relationship Id="rId888" Type="http://schemas.openxmlformats.org/officeDocument/2006/relationships/hyperlink" Target="https://zakon.rada.gov.ua/laws/show/2755-17/print" TargetMode="External"/><Relationship Id="rId2569" Type="http://schemas.openxmlformats.org/officeDocument/2006/relationships/hyperlink" Target="https://zakon.rada.gov.ua/laws/show/1797-19" TargetMode="External"/><Relationship Id="rId2776" Type="http://schemas.openxmlformats.org/officeDocument/2006/relationships/hyperlink" Target="https://zakon.rada.gov.ua/laws/show/909-19" TargetMode="External"/><Relationship Id="rId2983" Type="http://schemas.openxmlformats.org/officeDocument/2006/relationships/hyperlink" Target="https://zakon.rada.gov.ua/laws/show/909-19" TargetMode="External"/><Relationship Id="rId3827" Type="http://schemas.openxmlformats.org/officeDocument/2006/relationships/hyperlink" Target="https://zakon.rada.gov.ua/laws/show/71-19" TargetMode="External"/><Relationship Id="rId5182" Type="http://schemas.openxmlformats.org/officeDocument/2006/relationships/hyperlink" Target="https://zakon.rada.gov.ua/laws/show/1690-18" TargetMode="External"/><Relationship Id="rId6026" Type="http://schemas.openxmlformats.org/officeDocument/2006/relationships/hyperlink" Target="https://zakon.rada.gov.ua/laws/show/584%D0%B0-18" TargetMode="External"/><Relationship Id="rId6233" Type="http://schemas.openxmlformats.org/officeDocument/2006/relationships/hyperlink" Target="https://zakon.rada.gov.ua/laws/show/2755-17/print" TargetMode="External"/><Relationship Id="rId748" Type="http://schemas.openxmlformats.org/officeDocument/2006/relationships/hyperlink" Target="https://zakon.rada.gov.ua/laws/show/z0547-18" TargetMode="External"/><Relationship Id="rId955" Type="http://schemas.openxmlformats.org/officeDocument/2006/relationships/hyperlink" Target="https://zakon.rada.gov.ua/laws/show/1797-19" TargetMode="External"/><Relationship Id="rId1378" Type="http://schemas.openxmlformats.org/officeDocument/2006/relationships/hyperlink" Target="https://zakon.rada.gov.ua/laws/show/755-15" TargetMode="External"/><Relationship Id="rId1585" Type="http://schemas.openxmlformats.org/officeDocument/2006/relationships/hyperlink" Target="https://zakon.rada.gov.ua/laws/show/4652-17" TargetMode="External"/><Relationship Id="rId1792" Type="http://schemas.openxmlformats.org/officeDocument/2006/relationships/hyperlink" Target="https://zakon.rada.gov.ua/laws/show/1797-19" TargetMode="External"/><Relationship Id="rId2429" Type="http://schemas.openxmlformats.org/officeDocument/2006/relationships/hyperlink" Target="https://zakon.rada.gov.ua/laws/show/1275-18" TargetMode="External"/><Relationship Id="rId2636" Type="http://schemas.openxmlformats.org/officeDocument/2006/relationships/hyperlink" Target="https://zakon.rada.gov.ua/laws/show/3609-17" TargetMode="External"/><Relationship Id="rId2843" Type="http://schemas.openxmlformats.org/officeDocument/2006/relationships/hyperlink" Target="https://zakon.rada.gov.ua/laws/show/2755-17/print" TargetMode="External"/><Relationship Id="rId5042" Type="http://schemas.openxmlformats.org/officeDocument/2006/relationships/hyperlink" Target="https://zakon.rada.gov.ua/laws/show/71-19" TargetMode="External"/><Relationship Id="rId5999" Type="http://schemas.openxmlformats.org/officeDocument/2006/relationships/hyperlink" Target="https://zakon.rada.gov.ua/laws/show/2755-17/print" TargetMode="External"/><Relationship Id="rId6300" Type="http://schemas.openxmlformats.org/officeDocument/2006/relationships/hyperlink" Target="https://zakon.rada.gov.ua/laws/show/2611-19" TargetMode="External"/><Relationship Id="rId84" Type="http://schemas.openxmlformats.org/officeDocument/2006/relationships/hyperlink" Target="https://zakon.rada.gov.ua/laws/show/215-19" TargetMode="External"/><Relationship Id="rId608" Type="http://schemas.openxmlformats.org/officeDocument/2006/relationships/hyperlink" Target="https://zakon.rada.gov.ua/laws/show/2245-19" TargetMode="External"/><Relationship Id="rId815" Type="http://schemas.openxmlformats.org/officeDocument/2006/relationships/hyperlink" Target="https://zakon.rada.gov.ua/laws/show/609-19" TargetMode="External"/><Relationship Id="rId1238" Type="http://schemas.openxmlformats.org/officeDocument/2006/relationships/hyperlink" Target="https://zakon.rada.gov.ua/laws/show/404-18" TargetMode="External"/><Relationship Id="rId1445" Type="http://schemas.openxmlformats.org/officeDocument/2006/relationships/hyperlink" Target="https://zakon.rada.gov.ua/laws/show/5083-17" TargetMode="External"/><Relationship Id="rId1652" Type="http://schemas.openxmlformats.org/officeDocument/2006/relationships/hyperlink" Target="https://zakon.rada.gov.ua/laws/show/2755-17/print" TargetMode="External"/><Relationship Id="rId1305" Type="http://schemas.openxmlformats.org/officeDocument/2006/relationships/hyperlink" Target="https://zakon.rada.gov.ua/laws/show/655-19" TargetMode="External"/><Relationship Id="rId2703" Type="http://schemas.openxmlformats.org/officeDocument/2006/relationships/hyperlink" Target="https://zakon.rada.gov.ua/laws/show/4834-17" TargetMode="External"/><Relationship Id="rId2910" Type="http://schemas.openxmlformats.org/officeDocument/2006/relationships/hyperlink" Target="https://zakon.rada.gov.ua/laws/show/4834-17" TargetMode="External"/><Relationship Id="rId5859" Type="http://schemas.openxmlformats.org/officeDocument/2006/relationships/hyperlink" Target="https://zakon.rada.gov.ua/laws/show/2755-17/print" TargetMode="External"/><Relationship Id="rId1512" Type="http://schemas.openxmlformats.org/officeDocument/2006/relationships/hyperlink" Target="https://zakon.rada.gov.ua/laws/show/909-19" TargetMode="External"/><Relationship Id="rId4668" Type="http://schemas.openxmlformats.org/officeDocument/2006/relationships/hyperlink" Target="https://zakon.rada.gov.ua/laws/show/71-19" TargetMode="External"/><Relationship Id="rId4875" Type="http://schemas.openxmlformats.org/officeDocument/2006/relationships/hyperlink" Target="https://zakon.rada.gov.ua/laws/show/71-19" TargetMode="External"/><Relationship Id="rId5719" Type="http://schemas.openxmlformats.org/officeDocument/2006/relationships/hyperlink" Target="https://zakon.rada.gov.ua/laws/show/5205-17" TargetMode="External"/><Relationship Id="rId5926" Type="http://schemas.openxmlformats.org/officeDocument/2006/relationships/hyperlink" Target="https://zakon.rada.gov.ua/laws/show/713-18" TargetMode="External"/><Relationship Id="rId6090" Type="http://schemas.openxmlformats.org/officeDocument/2006/relationships/hyperlink" Target="https://zakon.rada.gov.ua/laws/show/3609-17" TargetMode="External"/><Relationship Id="rId11" Type="http://schemas.openxmlformats.org/officeDocument/2006/relationships/hyperlink" Target="https://zakon.rada.gov.ua/laws/show/3609-17" TargetMode="External"/><Relationship Id="rId398" Type="http://schemas.openxmlformats.org/officeDocument/2006/relationships/hyperlink" Target="https://zakon.rada.gov.ua/laws/show/71-19" TargetMode="External"/><Relationship Id="rId2079" Type="http://schemas.openxmlformats.org/officeDocument/2006/relationships/hyperlink" Target="https://zakon.rada.gov.ua/laws/show/71-19" TargetMode="External"/><Relationship Id="rId3477" Type="http://schemas.openxmlformats.org/officeDocument/2006/relationships/hyperlink" Target="https://zakon.rada.gov.ua/laws/show/4834-17" TargetMode="External"/><Relationship Id="rId3684" Type="http://schemas.openxmlformats.org/officeDocument/2006/relationships/hyperlink" Target="https://zakon.rada.gov.ua/laws/show/2628-19" TargetMode="External"/><Relationship Id="rId3891" Type="http://schemas.openxmlformats.org/officeDocument/2006/relationships/hyperlink" Target="https://zakon.rada.gov.ua/laws/show/71-19" TargetMode="External"/><Relationship Id="rId4528" Type="http://schemas.openxmlformats.org/officeDocument/2006/relationships/hyperlink" Target="https://zakon.rada.gov.ua/laws/show/1797-19" TargetMode="External"/><Relationship Id="rId4735" Type="http://schemas.openxmlformats.org/officeDocument/2006/relationships/hyperlink" Target="https://zakon.rada.gov.ua/laws/show/5083-17" TargetMode="External"/><Relationship Id="rId4942" Type="http://schemas.openxmlformats.org/officeDocument/2006/relationships/hyperlink" Target="https://zakon.rada.gov.ua/laws/show/71-19" TargetMode="External"/><Relationship Id="rId2286" Type="http://schemas.openxmlformats.org/officeDocument/2006/relationships/hyperlink" Target="https://zakon.rada.gov.ua/laws/show/1797-19" TargetMode="External"/><Relationship Id="rId2493" Type="http://schemas.openxmlformats.org/officeDocument/2006/relationships/hyperlink" Target="https://zakon.rada.gov.ua/laws/show/2755-17/print" TargetMode="External"/><Relationship Id="rId3337" Type="http://schemas.openxmlformats.org/officeDocument/2006/relationships/hyperlink" Target="https://zakon.rada.gov.ua/laws/show/909-19" TargetMode="External"/><Relationship Id="rId3544" Type="http://schemas.openxmlformats.org/officeDocument/2006/relationships/hyperlink" Target="https://zakon.rada.gov.ua/laws/show/2245-19" TargetMode="External"/><Relationship Id="rId3751" Type="http://schemas.openxmlformats.org/officeDocument/2006/relationships/hyperlink" Target="https://zakon.rada.gov.ua/laws/show/5503-17" TargetMode="External"/><Relationship Id="rId4802" Type="http://schemas.openxmlformats.org/officeDocument/2006/relationships/hyperlink" Target="https://zakon.rada.gov.ua/laws/show/71-19" TargetMode="External"/><Relationship Id="rId258" Type="http://schemas.openxmlformats.org/officeDocument/2006/relationships/hyperlink" Target="https://zakon.rada.gov.ua/laws/show/404-18" TargetMode="External"/><Relationship Id="rId465" Type="http://schemas.openxmlformats.org/officeDocument/2006/relationships/hyperlink" Target="https://zakon.rada.gov.ua/laws/show/1797-19" TargetMode="External"/><Relationship Id="rId672" Type="http://schemas.openxmlformats.org/officeDocument/2006/relationships/hyperlink" Target="https://zakon.rada.gov.ua/laws/show/1797-19" TargetMode="External"/><Relationship Id="rId1095" Type="http://schemas.openxmlformats.org/officeDocument/2006/relationships/hyperlink" Target="https://zakon.rada.gov.ua/laws/show/4834-17" TargetMode="External"/><Relationship Id="rId2146" Type="http://schemas.openxmlformats.org/officeDocument/2006/relationships/hyperlink" Target="https://zakon.rada.gov.ua/laws/show/2755-17/print" TargetMode="External"/><Relationship Id="rId2353" Type="http://schemas.openxmlformats.org/officeDocument/2006/relationships/hyperlink" Target="https://zakon.rada.gov.ua/laws/show/4834-17" TargetMode="External"/><Relationship Id="rId2560" Type="http://schemas.openxmlformats.org/officeDocument/2006/relationships/hyperlink" Target="https://zakon.rada.gov.ua/laws/show/3609-17" TargetMode="External"/><Relationship Id="rId3404" Type="http://schemas.openxmlformats.org/officeDocument/2006/relationships/hyperlink" Target="https://zakon.rada.gov.ua/laws/show/643-19" TargetMode="External"/><Relationship Id="rId3611" Type="http://schemas.openxmlformats.org/officeDocument/2006/relationships/hyperlink" Target="https://zakon.rada.gov.ua/laws/show/4915-17" TargetMode="External"/><Relationship Id="rId118" Type="http://schemas.openxmlformats.org/officeDocument/2006/relationships/hyperlink" Target="https://zakon.rada.gov.ua/laws/show/1989-19" TargetMode="External"/><Relationship Id="rId325" Type="http://schemas.openxmlformats.org/officeDocument/2006/relationships/hyperlink" Target="https://zakon.rada.gov.ua/laws/show/71-19" TargetMode="External"/><Relationship Id="rId532" Type="http://schemas.openxmlformats.org/officeDocument/2006/relationships/hyperlink" Target="https://zakon.rada.gov.ua/laws/show/2628-19" TargetMode="External"/><Relationship Id="rId1162" Type="http://schemas.openxmlformats.org/officeDocument/2006/relationships/hyperlink" Target="https://zakon.rada.gov.ua/laws/show/2755-17/print" TargetMode="External"/><Relationship Id="rId2006" Type="http://schemas.openxmlformats.org/officeDocument/2006/relationships/hyperlink" Target="https://zakon.rada.gov.ua/laws/show/z0137-16" TargetMode="External"/><Relationship Id="rId2213" Type="http://schemas.openxmlformats.org/officeDocument/2006/relationships/hyperlink" Target="https://zakon.rada.gov.ua/laws/show/2245-19" TargetMode="External"/><Relationship Id="rId2420" Type="http://schemas.openxmlformats.org/officeDocument/2006/relationships/hyperlink" Target="https://zakon.rada.gov.ua/laws/show/2755-17/print" TargetMode="External"/><Relationship Id="rId5369" Type="http://schemas.openxmlformats.org/officeDocument/2006/relationships/hyperlink" Target="https://zakon.rada.gov.ua/laws/show/71-19" TargetMode="External"/><Relationship Id="rId5576" Type="http://schemas.openxmlformats.org/officeDocument/2006/relationships/hyperlink" Target="https://zakon.rada.gov.ua/laws/show/1797-19" TargetMode="External"/><Relationship Id="rId5783" Type="http://schemas.openxmlformats.org/officeDocument/2006/relationships/hyperlink" Target="https://zakon.rada.gov.ua/laws/show/2755-17/print" TargetMode="External"/><Relationship Id="rId1022" Type="http://schemas.openxmlformats.org/officeDocument/2006/relationships/hyperlink" Target="https://zakon.rada.gov.ua/laws/show/2155-19" TargetMode="External"/><Relationship Id="rId4178" Type="http://schemas.openxmlformats.org/officeDocument/2006/relationships/hyperlink" Target="https://zakon.rada.gov.ua/laws/show/909-19" TargetMode="External"/><Relationship Id="rId4385" Type="http://schemas.openxmlformats.org/officeDocument/2006/relationships/hyperlink" Target="https://zakon.rada.gov.ua/laws/show/5503-17" TargetMode="External"/><Relationship Id="rId4592" Type="http://schemas.openxmlformats.org/officeDocument/2006/relationships/hyperlink" Target="https://zakon.rada.gov.ua/laws/show/2755-17/print" TargetMode="External"/><Relationship Id="rId5229" Type="http://schemas.openxmlformats.org/officeDocument/2006/relationships/hyperlink" Target="https://zakon.rada.gov.ua/laws/show/1200-18" TargetMode="External"/><Relationship Id="rId5436" Type="http://schemas.openxmlformats.org/officeDocument/2006/relationships/hyperlink" Target="https://zakon.rada.gov.ua/laws/show/4495-17" TargetMode="External"/><Relationship Id="rId5990" Type="http://schemas.openxmlformats.org/officeDocument/2006/relationships/hyperlink" Target="https://zakon.rada.gov.ua/laws/show/584%D0%B0-18" TargetMode="External"/><Relationship Id="rId1979" Type="http://schemas.openxmlformats.org/officeDocument/2006/relationships/hyperlink" Target="https://zakon.rada.gov.ua/laws/show/2755-17/print" TargetMode="External"/><Relationship Id="rId3194" Type="http://schemas.openxmlformats.org/officeDocument/2006/relationships/hyperlink" Target="https://zakon.rada.gov.ua/laws/show/4834-17" TargetMode="External"/><Relationship Id="rId4038" Type="http://schemas.openxmlformats.org/officeDocument/2006/relationships/hyperlink" Target="https://zakon.rada.gov.ua/laws/show/1791-19" TargetMode="External"/><Relationship Id="rId4245" Type="http://schemas.openxmlformats.org/officeDocument/2006/relationships/hyperlink" Target="https://zakon.rada.gov.ua/laws/show/391-20" TargetMode="External"/><Relationship Id="rId5643" Type="http://schemas.openxmlformats.org/officeDocument/2006/relationships/hyperlink" Target="https://zakon.rada.gov.ua/laws/show/2755-17/print" TargetMode="External"/><Relationship Id="rId5850" Type="http://schemas.openxmlformats.org/officeDocument/2006/relationships/hyperlink" Target="https://zakon.rada.gov.ua/laws/show/652-19" TargetMode="External"/><Relationship Id="rId1839" Type="http://schemas.openxmlformats.org/officeDocument/2006/relationships/hyperlink" Target="https://zakon.rada.gov.ua/laws/show/2755-17/print" TargetMode="External"/><Relationship Id="rId3054" Type="http://schemas.openxmlformats.org/officeDocument/2006/relationships/hyperlink" Target="https://zakon.rada.gov.ua/laws/show/1797-19" TargetMode="External"/><Relationship Id="rId4452" Type="http://schemas.openxmlformats.org/officeDocument/2006/relationships/hyperlink" Target="https://zakon.rada.gov.ua/laws/show/71-19" TargetMode="External"/><Relationship Id="rId5503" Type="http://schemas.openxmlformats.org/officeDocument/2006/relationships/hyperlink" Target="https://zakon.rada.gov.ua/laws/show/2755-17/print" TargetMode="External"/><Relationship Id="rId5710" Type="http://schemas.openxmlformats.org/officeDocument/2006/relationships/hyperlink" Target="https://zakon.rada.gov.ua/laws/show/4495-17" TargetMode="External"/><Relationship Id="rId182" Type="http://schemas.openxmlformats.org/officeDocument/2006/relationships/hyperlink" Target="https://zakon.rada.gov.ua/laws/show/2456-17" TargetMode="External"/><Relationship Id="rId1906" Type="http://schemas.openxmlformats.org/officeDocument/2006/relationships/hyperlink" Target="https://zakon.rada.gov.ua/laws/show/1235-2010-%D0%BF" TargetMode="External"/><Relationship Id="rId3261" Type="http://schemas.openxmlformats.org/officeDocument/2006/relationships/hyperlink" Target="https://zakon.rada.gov.ua/laws/show/2155-19" TargetMode="External"/><Relationship Id="rId4105" Type="http://schemas.openxmlformats.org/officeDocument/2006/relationships/hyperlink" Target="https://zakon.rada.gov.ua/laws/show/2755-17/print" TargetMode="External"/><Relationship Id="rId4312" Type="http://schemas.openxmlformats.org/officeDocument/2006/relationships/hyperlink" Target="https://zakon.rada.gov.ua/laws/show/2628-19" TargetMode="External"/><Relationship Id="rId2070" Type="http://schemas.openxmlformats.org/officeDocument/2006/relationships/hyperlink" Target="https://zakon.rada.gov.ua/laws/show/1797-19" TargetMode="External"/><Relationship Id="rId3121" Type="http://schemas.openxmlformats.org/officeDocument/2006/relationships/hyperlink" Target="https://zakon.rada.gov.ua/laws/show/3609-17" TargetMode="External"/><Relationship Id="rId6277" Type="http://schemas.openxmlformats.org/officeDocument/2006/relationships/hyperlink" Target="https://zakon.rada.gov.ua/laws/show/2755-17/print" TargetMode="External"/><Relationship Id="rId999" Type="http://schemas.openxmlformats.org/officeDocument/2006/relationships/hyperlink" Target="https://zakon.rada.gov.ua/laws/show/2155-19" TargetMode="External"/><Relationship Id="rId2887" Type="http://schemas.openxmlformats.org/officeDocument/2006/relationships/hyperlink" Target="https://zakon.rada.gov.ua/laws/show/1797-19" TargetMode="External"/><Relationship Id="rId5086" Type="http://schemas.openxmlformats.org/officeDocument/2006/relationships/hyperlink" Target="https://zakon.rada.gov.ua/laws/show/2497-19" TargetMode="External"/><Relationship Id="rId5293" Type="http://schemas.openxmlformats.org/officeDocument/2006/relationships/hyperlink" Target="https://zakon.rada.gov.ua/laws/show/3292-17" TargetMode="External"/><Relationship Id="rId6137" Type="http://schemas.openxmlformats.org/officeDocument/2006/relationships/hyperlink" Target="https://zakon.rada.gov.ua/laws/show/4834-17" TargetMode="External"/><Relationship Id="rId859" Type="http://schemas.openxmlformats.org/officeDocument/2006/relationships/hyperlink" Target="https://zakon.rada.gov.ua/laws/show/2755-17/print" TargetMode="External"/><Relationship Id="rId1489" Type="http://schemas.openxmlformats.org/officeDocument/2006/relationships/hyperlink" Target="https://zakon.rada.gov.ua/laws/show/2755-17/print" TargetMode="External"/><Relationship Id="rId1696" Type="http://schemas.openxmlformats.org/officeDocument/2006/relationships/hyperlink" Target="https://zakon.rada.gov.ua/laws/show/1797-19" TargetMode="External"/><Relationship Id="rId3938" Type="http://schemas.openxmlformats.org/officeDocument/2006/relationships/hyperlink" Target="https://zakon.rada.gov.ua/laws/show/1260-2010-%D0%BF" TargetMode="External"/><Relationship Id="rId5153" Type="http://schemas.openxmlformats.org/officeDocument/2006/relationships/hyperlink" Target="https://zakon.rada.gov.ua/laws/show/5412-17" TargetMode="External"/><Relationship Id="rId5360" Type="http://schemas.openxmlformats.org/officeDocument/2006/relationships/hyperlink" Target="https://zakon.rada.gov.ua/laws/show/5083-17" TargetMode="External"/><Relationship Id="rId6204" Type="http://schemas.openxmlformats.org/officeDocument/2006/relationships/hyperlink" Target="https://zakon.rada.gov.ua/laws/show/812-19" TargetMode="External"/><Relationship Id="rId1349" Type="http://schemas.openxmlformats.org/officeDocument/2006/relationships/hyperlink" Target="https://zakon.rada.gov.ua/laws/show/655-19" TargetMode="External"/><Relationship Id="rId2747" Type="http://schemas.openxmlformats.org/officeDocument/2006/relationships/hyperlink" Target="https://zakon.rada.gov.ua/laws/show/3609-17" TargetMode="External"/><Relationship Id="rId2954" Type="http://schemas.openxmlformats.org/officeDocument/2006/relationships/hyperlink" Target="https://zakon.rada.gov.ua/laws/show/408-18" TargetMode="External"/><Relationship Id="rId5013" Type="http://schemas.openxmlformats.org/officeDocument/2006/relationships/hyperlink" Target="https://zakon.rada.gov.ua/laws/show/2725-19" TargetMode="External"/><Relationship Id="rId5220" Type="http://schemas.openxmlformats.org/officeDocument/2006/relationships/hyperlink" Target="https://zakon.rada.gov.ua/laws/show/4050-17" TargetMode="External"/><Relationship Id="rId719" Type="http://schemas.openxmlformats.org/officeDocument/2006/relationships/hyperlink" Target="https://zakon.rada.gov.ua/laws/show/4834-17" TargetMode="External"/><Relationship Id="rId926" Type="http://schemas.openxmlformats.org/officeDocument/2006/relationships/hyperlink" Target="https://zakon.rada.gov.ua/laws/show/1797-19" TargetMode="External"/><Relationship Id="rId1556" Type="http://schemas.openxmlformats.org/officeDocument/2006/relationships/hyperlink" Target="https://zakon.rada.gov.ua/laws/show/2755-17/print" TargetMode="External"/><Relationship Id="rId1763" Type="http://schemas.openxmlformats.org/officeDocument/2006/relationships/hyperlink" Target="https://zakon.rada.gov.ua/laws/show/z0109-11" TargetMode="External"/><Relationship Id="rId1970" Type="http://schemas.openxmlformats.org/officeDocument/2006/relationships/hyperlink" Target="https://zakon.rada.gov.ua/laws/show/408-18" TargetMode="External"/><Relationship Id="rId2607" Type="http://schemas.openxmlformats.org/officeDocument/2006/relationships/hyperlink" Target="https://zakon.rada.gov.ua/laws/show/2755-17/print" TargetMode="External"/><Relationship Id="rId2814" Type="http://schemas.openxmlformats.org/officeDocument/2006/relationships/hyperlink" Target="https://zakon.rada.gov.ua/laws/show/71-19" TargetMode="External"/><Relationship Id="rId55" Type="http://schemas.openxmlformats.org/officeDocument/2006/relationships/hyperlink" Target="https://zakon.rada.gov.ua/laws/show/713-18" TargetMode="External"/><Relationship Id="rId1209" Type="http://schemas.openxmlformats.org/officeDocument/2006/relationships/hyperlink" Target="https://zakon.rada.gov.ua/laws/show/2755-17/print" TargetMode="External"/><Relationship Id="rId1416" Type="http://schemas.openxmlformats.org/officeDocument/2006/relationships/hyperlink" Target="https://zakon.rada.gov.ua/laws/show/3609-17" TargetMode="External"/><Relationship Id="rId1623" Type="http://schemas.openxmlformats.org/officeDocument/2006/relationships/hyperlink" Target="https://zakon.rada.gov.ua/laws/show/2755-17/print" TargetMode="External"/><Relationship Id="rId1830" Type="http://schemas.openxmlformats.org/officeDocument/2006/relationships/hyperlink" Target="https://zakon.rada.gov.ua/laws/show/2755-17/print" TargetMode="External"/><Relationship Id="rId4779" Type="http://schemas.openxmlformats.org/officeDocument/2006/relationships/hyperlink" Target="https://zakon.rada.gov.ua/laws/show/1797-19" TargetMode="External"/><Relationship Id="rId4986" Type="http://schemas.openxmlformats.org/officeDocument/2006/relationships/hyperlink" Target="https://zakon.rada.gov.ua/laws/show/2628-19" TargetMode="External"/><Relationship Id="rId3588" Type="http://schemas.openxmlformats.org/officeDocument/2006/relationships/hyperlink" Target="https://zakon.rada.gov.ua/laws/show/4834-17" TargetMode="External"/><Relationship Id="rId3795" Type="http://schemas.openxmlformats.org/officeDocument/2006/relationships/hyperlink" Target="https://zakon.rada.gov.ua/laws/show/71-19" TargetMode="External"/><Relationship Id="rId4639" Type="http://schemas.openxmlformats.org/officeDocument/2006/relationships/hyperlink" Target="https://zakon.rada.gov.ua/laws/show/2755-17/print" TargetMode="External"/><Relationship Id="rId4846" Type="http://schemas.openxmlformats.org/officeDocument/2006/relationships/hyperlink" Target="https://zakon.rada.gov.ua/laws/show/909-19" TargetMode="External"/><Relationship Id="rId2397" Type="http://schemas.openxmlformats.org/officeDocument/2006/relationships/hyperlink" Target="https://zakon.rada.gov.ua/laws/show/2755-17/print" TargetMode="External"/><Relationship Id="rId3448" Type="http://schemas.openxmlformats.org/officeDocument/2006/relationships/hyperlink" Target="https://zakon.rada.gov.ua/laws/show/71-19" TargetMode="External"/><Relationship Id="rId3655" Type="http://schemas.openxmlformats.org/officeDocument/2006/relationships/hyperlink" Target="https://zakon.rada.gov.ua/laws/show/996_004" TargetMode="External"/><Relationship Id="rId3862" Type="http://schemas.openxmlformats.org/officeDocument/2006/relationships/hyperlink" Target="https://zakon.rada.gov.ua/laws/show/584%D0%B0-18" TargetMode="External"/><Relationship Id="rId4706" Type="http://schemas.openxmlformats.org/officeDocument/2006/relationships/hyperlink" Target="https://zakon.rada.gov.ua/laws/show/3609-17" TargetMode="External"/><Relationship Id="rId6061" Type="http://schemas.openxmlformats.org/officeDocument/2006/relationships/hyperlink" Target="https://zakon.rada.gov.ua/laws/show/2755-17/print" TargetMode="External"/><Relationship Id="rId369" Type="http://schemas.openxmlformats.org/officeDocument/2006/relationships/hyperlink" Target="https://zakon.rada.gov.ua/laws/show/2725-19" TargetMode="External"/><Relationship Id="rId576" Type="http://schemas.openxmlformats.org/officeDocument/2006/relationships/hyperlink" Target="https://zakon.rada.gov.ua/laws/show/71-19" TargetMode="External"/><Relationship Id="rId783" Type="http://schemas.openxmlformats.org/officeDocument/2006/relationships/hyperlink" Target="https://zakon.rada.gov.ua/laws/show/2628-19" TargetMode="External"/><Relationship Id="rId990" Type="http://schemas.openxmlformats.org/officeDocument/2006/relationships/hyperlink" Target="https://zakon.rada.gov.ua/laws/show/3609-17" TargetMode="External"/><Relationship Id="rId2257" Type="http://schemas.openxmlformats.org/officeDocument/2006/relationships/hyperlink" Target="https://zakon.rada.gov.ua/laws/show/1797-19" TargetMode="External"/><Relationship Id="rId2464" Type="http://schemas.openxmlformats.org/officeDocument/2006/relationships/hyperlink" Target="https://zakon.rada.gov.ua/laws/show/71-19" TargetMode="External"/><Relationship Id="rId2671" Type="http://schemas.openxmlformats.org/officeDocument/2006/relationships/hyperlink" Target="https://zakon.rada.gov.ua/laws/show/2658-14" TargetMode="External"/><Relationship Id="rId3308" Type="http://schemas.openxmlformats.org/officeDocument/2006/relationships/hyperlink" Target="https://zakon.rada.gov.ua/laws/show/2755-17/print" TargetMode="External"/><Relationship Id="rId3515" Type="http://schemas.openxmlformats.org/officeDocument/2006/relationships/hyperlink" Target="https://zakon.rada.gov.ua/laws/show/909-19" TargetMode="External"/><Relationship Id="rId4913" Type="http://schemas.openxmlformats.org/officeDocument/2006/relationships/hyperlink" Target="https://zakon.rada.gov.ua/laws/show/909-19" TargetMode="External"/><Relationship Id="rId229" Type="http://schemas.openxmlformats.org/officeDocument/2006/relationships/hyperlink" Target="https://zakon.rada.gov.ua/laws/show/2245-19" TargetMode="External"/><Relationship Id="rId436" Type="http://schemas.openxmlformats.org/officeDocument/2006/relationships/hyperlink" Target="https://zakon.rada.gov.ua/laws/show/584%D0%B0-18" TargetMode="External"/><Relationship Id="rId643" Type="http://schemas.openxmlformats.org/officeDocument/2006/relationships/hyperlink" Target="https://zakon.rada.gov.ua/laws/show/1797-19" TargetMode="External"/><Relationship Id="rId1066" Type="http://schemas.openxmlformats.org/officeDocument/2006/relationships/hyperlink" Target="https://zakon.rada.gov.ua/laws/show/2755-17/print" TargetMode="External"/><Relationship Id="rId1273" Type="http://schemas.openxmlformats.org/officeDocument/2006/relationships/hyperlink" Target="https://zakon.rada.gov.ua/laws/show/1797-19" TargetMode="External"/><Relationship Id="rId1480" Type="http://schemas.openxmlformats.org/officeDocument/2006/relationships/hyperlink" Target="https://zakon.rada.gov.ua/laws/show/3609-17" TargetMode="External"/><Relationship Id="rId2117" Type="http://schemas.openxmlformats.org/officeDocument/2006/relationships/hyperlink" Target="https://zakon.rada.gov.ua/laws/show/652-19" TargetMode="External"/><Relationship Id="rId2324" Type="http://schemas.openxmlformats.org/officeDocument/2006/relationships/hyperlink" Target="https://zakon.rada.gov.ua/laws/show/4834-17" TargetMode="External"/><Relationship Id="rId3722" Type="http://schemas.openxmlformats.org/officeDocument/2006/relationships/hyperlink" Target="https://zakon.rada.gov.ua/laws/show/909-19" TargetMode="External"/><Relationship Id="rId850" Type="http://schemas.openxmlformats.org/officeDocument/2006/relationships/hyperlink" Target="https://zakon.rada.gov.ua/laws/show/2245-19" TargetMode="External"/><Relationship Id="rId1133" Type="http://schemas.openxmlformats.org/officeDocument/2006/relationships/hyperlink" Target="https://zakon.rada.gov.ua/laws/show/2155-19" TargetMode="External"/><Relationship Id="rId2531" Type="http://schemas.openxmlformats.org/officeDocument/2006/relationships/hyperlink" Target="https://zakon.rada.gov.ua/laws/show/2755-17/print" TargetMode="External"/><Relationship Id="rId4289" Type="http://schemas.openxmlformats.org/officeDocument/2006/relationships/hyperlink" Target="https://zakon.rada.gov.ua/laws/show/391-20" TargetMode="External"/><Relationship Id="rId5687" Type="http://schemas.openxmlformats.org/officeDocument/2006/relationships/hyperlink" Target="https://zakon.rada.gov.ua/laws/show/2628-19" TargetMode="External"/><Relationship Id="rId5894" Type="http://schemas.openxmlformats.org/officeDocument/2006/relationships/hyperlink" Target="https://zakon.rada.gov.ua/laws/show/vb457609-10" TargetMode="External"/><Relationship Id="rId503" Type="http://schemas.openxmlformats.org/officeDocument/2006/relationships/hyperlink" Target="https://zakon.rada.gov.ua/laws/show/71-19" TargetMode="External"/><Relationship Id="rId710" Type="http://schemas.openxmlformats.org/officeDocument/2006/relationships/hyperlink" Target="https://zakon.rada.gov.ua/laws/show/1797-19" TargetMode="External"/><Relationship Id="rId1340" Type="http://schemas.openxmlformats.org/officeDocument/2006/relationships/hyperlink" Target="https://zakon.rada.gov.ua/laws/show/1797-19" TargetMode="External"/><Relationship Id="rId3098" Type="http://schemas.openxmlformats.org/officeDocument/2006/relationships/hyperlink" Target="https://zakon.rada.gov.ua/laws/show/71-19" TargetMode="External"/><Relationship Id="rId4496" Type="http://schemas.openxmlformats.org/officeDocument/2006/relationships/hyperlink" Target="https://zakon.rada.gov.ua/laws/show/2755-17/print" TargetMode="External"/><Relationship Id="rId5547" Type="http://schemas.openxmlformats.org/officeDocument/2006/relationships/hyperlink" Target="https://zakon.rada.gov.ua/laws/show/1197-18" TargetMode="External"/><Relationship Id="rId5754" Type="http://schemas.openxmlformats.org/officeDocument/2006/relationships/hyperlink" Target="https://zakon.rada.gov.ua/laws/show/657-18" TargetMode="External"/><Relationship Id="rId5961" Type="http://schemas.openxmlformats.org/officeDocument/2006/relationships/hyperlink" Target="https://zakon.rada.gov.ua/laws/show/076_009" TargetMode="External"/><Relationship Id="rId1200" Type="http://schemas.openxmlformats.org/officeDocument/2006/relationships/hyperlink" Target="https://zakon.rada.gov.ua/laws/show/5503-17" TargetMode="External"/><Relationship Id="rId4149" Type="http://schemas.openxmlformats.org/officeDocument/2006/relationships/hyperlink" Target="https://zakon.rada.gov.ua/laws/show/2628-19" TargetMode="External"/><Relationship Id="rId4356" Type="http://schemas.openxmlformats.org/officeDocument/2006/relationships/hyperlink" Target="https://zakon.rada.gov.ua/laws/show/4834-17" TargetMode="External"/><Relationship Id="rId4563" Type="http://schemas.openxmlformats.org/officeDocument/2006/relationships/hyperlink" Target="https://zakon.rada.gov.ua/laws/show/71-19" TargetMode="External"/><Relationship Id="rId4770" Type="http://schemas.openxmlformats.org/officeDocument/2006/relationships/hyperlink" Target="https://zakon.rada.gov.ua/laws/show/871-2018-%D0%BF" TargetMode="External"/><Relationship Id="rId5407" Type="http://schemas.openxmlformats.org/officeDocument/2006/relationships/hyperlink" Target="https://zakon.rada.gov.ua/laws/show/3609-17" TargetMode="External"/><Relationship Id="rId5614" Type="http://schemas.openxmlformats.org/officeDocument/2006/relationships/hyperlink" Target="https://zakon.rada.gov.ua/laws/show/2755-17/print" TargetMode="External"/><Relationship Id="rId5821" Type="http://schemas.openxmlformats.org/officeDocument/2006/relationships/hyperlink" Target="https://zakon.rada.gov.ua/laws/show/2755-17/print" TargetMode="External"/><Relationship Id="rId3165" Type="http://schemas.openxmlformats.org/officeDocument/2006/relationships/hyperlink" Target="https://zakon.rada.gov.ua/laws/show/71-19" TargetMode="External"/><Relationship Id="rId3372" Type="http://schemas.openxmlformats.org/officeDocument/2006/relationships/hyperlink" Target="https://zakon.rada.gov.ua/laws/show/2755-17/print" TargetMode="External"/><Relationship Id="rId4009" Type="http://schemas.openxmlformats.org/officeDocument/2006/relationships/hyperlink" Target="https://zakon.rada.gov.ua/laws/show/584%D0%B0-18" TargetMode="External"/><Relationship Id="rId4216" Type="http://schemas.openxmlformats.org/officeDocument/2006/relationships/hyperlink" Target="https://zakon.rada.gov.ua/laws/show/2628-19" TargetMode="External"/><Relationship Id="rId4423" Type="http://schemas.openxmlformats.org/officeDocument/2006/relationships/hyperlink" Target="https://zakon.rada.gov.ua/laws/show/4235-17" TargetMode="External"/><Relationship Id="rId4630" Type="http://schemas.openxmlformats.org/officeDocument/2006/relationships/hyperlink" Target="https://zakon.rada.gov.ua/laws/show/2456-17" TargetMode="External"/><Relationship Id="rId293" Type="http://schemas.openxmlformats.org/officeDocument/2006/relationships/hyperlink" Target="https://zakon.rada.gov.ua/laws/show/71-19" TargetMode="External"/><Relationship Id="rId2181" Type="http://schemas.openxmlformats.org/officeDocument/2006/relationships/hyperlink" Target="https://zakon.rada.gov.ua/laws/show/2755-17/print" TargetMode="External"/><Relationship Id="rId3025" Type="http://schemas.openxmlformats.org/officeDocument/2006/relationships/hyperlink" Target="https://zakon.rada.gov.ua/laws/show/1166-18" TargetMode="External"/><Relationship Id="rId3232" Type="http://schemas.openxmlformats.org/officeDocument/2006/relationships/hyperlink" Target="https://zakon.rada.gov.ua/laws/show/2755-17/print" TargetMode="External"/><Relationship Id="rId153" Type="http://schemas.openxmlformats.org/officeDocument/2006/relationships/hyperlink" Target="https://zakon.rada.gov.ua/laws/show/2343-12" TargetMode="External"/><Relationship Id="rId360" Type="http://schemas.openxmlformats.org/officeDocument/2006/relationships/hyperlink" Target="https://zakon.rada.gov.ua/laws/show/1797-19" TargetMode="External"/><Relationship Id="rId2041" Type="http://schemas.openxmlformats.org/officeDocument/2006/relationships/hyperlink" Target="https://zakon.rada.gov.ua/laws/show/2755-17/print" TargetMode="External"/><Relationship Id="rId5197" Type="http://schemas.openxmlformats.org/officeDocument/2006/relationships/hyperlink" Target="https://zakon.rada.gov.ua/laws/show/71-19" TargetMode="External"/><Relationship Id="rId6248" Type="http://schemas.openxmlformats.org/officeDocument/2006/relationships/hyperlink" Target="https://zakon.rada.gov.ua/laws/show/2755-17/print" TargetMode="External"/><Relationship Id="rId220" Type="http://schemas.openxmlformats.org/officeDocument/2006/relationships/hyperlink" Target="https://zakon.rada.gov.ua/laws/show/2755-17/print" TargetMode="External"/><Relationship Id="rId2998" Type="http://schemas.openxmlformats.org/officeDocument/2006/relationships/hyperlink" Target="https://zakon.rada.gov.ua/laws/show/2245-19" TargetMode="External"/><Relationship Id="rId5057" Type="http://schemas.openxmlformats.org/officeDocument/2006/relationships/hyperlink" Target="https://zakon.rada.gov.ua/laws/show/2497-19" TargetMode="External"/><Relationship Id="rId5264" Type="http://schemas.openxmlformats.org/officeDocument/2006/relationships/hyperlink" Target="https://zakon.rada.gov.ua/laws/show/404-18" TargetMode="External"/><Relationship Id="rId6108" Type="http://schemas.openxmlformats.org/officeDocument/2006/relationships/hyperlink" Target="https://zakon.rada.gov.ua/laws/show/2755-17/print" TargetMode="External"/><Relationship Id="rId2858" Type="http://schemas.openxmlformats.org/officeDocument/2006/relationships/hyperlink" Target="https://zakon.rada.gov.ua/laws/show/2755-17/print" TargetMode="External"/><Relationship Id="rId3909" Type="http://schemas.openxmlformats.org/officeDocument/2006/relationships/hyperlink" Target="https://zakon.rada.gov.ua/laws/show/909-19" TargetMode="External"/><Relationship Id="rId4073" Type="http://schemas.openxmlformats.org/officeDocument/2006/relationships/hyperlink" Target="https://zakon.rada.gov.ua/laws/show/404-18" TargetMode="External"/><Relationship Id="rId5471" Type="http://schemas.openxmlformats.org/officeDocument/2006/relationships/hyperlink" Target="https://zakon.rada.gov.ua/laws/show/1658-18" TargetMode="External"/><Relationship Id="rId99" Type="http://schemas.openxmlformats.org/officeDocument/2006/relationships/hyperlink" Target="https://zakon.rada.gov.ua/laws/show/643-19" TargetMode="External"/><Relationship Id="rId1667" Type="http://schemas.openxmlformats.org/officeDocument/2006/relationships/hyperlink" Target="https://zakon.rada.gov.ua/laws/show/3609-17" TargetMode="External"/><Relationship Id="rId1874" Type="http://schemas.openxmlformats.org/officeDocument/2006/relationships/hyperlink" Target="https://zakon.rada.gov.ua/laws/show/5083-17" TargetMode="External"/><Relationship Id="rId2718" Type="http://schemas.openxmlformats.org/officeDocument/2006/relationships/hyperlink" Target="https://zakon.rada.gov.ua/laws/show/4834-17" TargetMode="External"/><Relationship Id="rId2925" Type="http://schemas.openxmlformats.org/officeDocument/2006/relationships/hyperlink" Target="https://zakon.rada.gov.ua/laws/show/4915-17" TargetMode="External"/><Relationship Id="rId4280" Type="http://schemas.openxmlformats.org/officeDocument/2006/relationships/hyperlink" Target="https://zakon.rada.gov.ua/laws/show/909-19" TargetMode="External"/><Relationship Id="rId5124" Type="http://schemas.openxmlformats.org/officeDocument/2006/relationships/hyperlink" Target="https://zakon.rada.gov.ua/laws/show/5412-17" TargetMode="External"/><Relationship Id="rId5331" Type="http://schemas.openxmlformats.org/officeDocument/2006/relationships/hyperlink" Target="https://zakon.rada.gov.ua/laws/show/71-19" TargetMode="External"/><Relationship Id="rId1527" Type="http://schemas.openxmlformats.org/officeDocument/2006/relationships/hyperlink" Target="https://zakon.rada.gov.ua/laws/show/1797-19" TargetMode="External"/><Relationship Id="rId1734" Type="http://schemas.openxmlformats.org/officeDocument/2006/relationships/hyperlink" Target="https://zakon.rada.gov.ua/laws/show/2755-17/print" TargetMode="External"/><Relationship Id="rId1941" Type="http://schemas.openxmlformats.org/officeDocument/2006/relationships/hyperlink" Target="https://zakon.rada.gov.ua/laws/show/1797-19" TargetMode="External"/><Relationship Id="rId4140" Type="http://schemas.openxmlformats.org/officeDocument/2006/relationships/hyperlink" Target="https://zakon.rada.gov.ua/laws/show/404-18" TargetMode="External"/><Relationship Id="rId26" Type="http://schemas.openxmlformats.org/officeDocument/2006/relationships/hyperlink" Target="https://zakon.rada.gov.ua/laws/show/4661-17" TargetMode="External"/><Relationship Id="rId3699" Type="http://schemas.openxmlformats.org/officeDocument/2006/relationships/hyperlink" Target="https://zakon.rada.gov.ua/laws/show/2755-17/print" TargetMode="External"/><Relationship Id="rId4000" Type="http://schemas.openxmlformats.org/officeDocument/2006/relationships/hyperlink" Target="https://zakon.rada.gov.ua/laws/show/156-2011-%D0%BF" TargetMode="External"/><Relationship Id="rId1801" Type="http://schemas.openxmlformats.org/officeDocument/2006/relationships/hyperlink" Target="https://zakon.rada.gov.ua/laws/show/4834-17" TargetMode="External"/><Relationship Id="rId3559" Type="http://schemas.openxmlformats.org/officeDocument/2006/relationships/hyperlink" Target="https://zakon.rada.gov.ua/laws/show/2755-17/print" TargetMode="External"/><Relationship Id="rId4957" Type="http://schemas.openxmlformats.org/officeDocument/2006/relationships/hyperlink" Target="https://zakon.rada.gov.ua/laws/show/71-19" TargetMode="External"/><Relationship Id="rId6172" Type="http://schemas.openxmlformats.org/officeDocument/2006/relationships/hyperlink" Target="https://zakon.rada.gov.ua/laws/show/408-18" TargetMode="External"/><Relationship Id="rId687" Type="http://schemas.openxmlformats.org/officeDocument/2006/relationships/hyperlink" Target="https://zakon.rada.gov.ua/laws/show/1797-19" TargetMode="External"/><Relationship Id="rId2368" Type="http://schemas.openxmlformats.org/officeDocument/2006/relationships/hyperlink" Target="https://zakon.rada.gov.ua/laws/show/2947-14" TargetMode="External"/><Relationship Id="rId3766" Type="http://schemas.openxmlformats.org/officeDocument/2006/relationships/hyperlink" Target="https://zakon.rada.gov.ua/laws/show/909-19" TargetMode="External"/><Relationship Id="rId3973" Type="http://schemas.openxmlformats.org/officeDocument/2006/relationships/hyperlink" Target="https://zakon.rada.gov.ua/laws/show/5074-17" TargetMode="External"/><Relationship Id="rId4817" Type="http://schemas.openxmlformats.org/officeDocument/2006/relationships/hyperlink" Target="https://zakon.rada.gov.ua/laws/show/129-20" TargetMode="External"/><Relationship Id="rId6032" Type="http://schemas.openxmlformats.org/officeDocument/2006/relationships/hyperlink" Target="https://zakon.rada.gov.ua/laws/show/2755-17/print" TargetMode="External"/><Relationship Id="rId894" Type="http://schemas.openxmlformats.org/officeDocument/2006/relationships/hyperlink" Target="https://zakon.rada.gov.ua/laws/show/2245-19" TargetMode="External"/><Relationship Id="rId1177" Type="http://schemas.openxmlformats.org/officeDocument/2006/relationships/hyperlink" Target="https://zakon.rada.gov.ua/laws/show/2755-17/print" TargetMode="External"/><Relationship Id="rId2575" Type="http://schemas.openxmlformats.org/officeDocument/2006/relationships/hyperlink" Target="https://zakon.rada.gov.ua/laws/show/z1260-17" TargetMode="External"/><Relationship Id="rId2782" Type="http://schemas.openxmlformats.org/officeDocument/2006/relationships/hyperlink" Target="https://zakon.rada.gov.ua/laws/show/z0122-13" TargetMode="External"/><Relationship Id="rId3419" Type="http://schemas.openxmlformats.org/officeDocument/2006/relationships/hyperlink" Target="https://zakon.rada.gov.ua/laws/show/1797-19" TargetMode="External"/><Relationship Id="rId3626" Type="http://schemas.openxmlformats.org/officeDocument/2006/relationships/hyperlink" Target="https://zakon.rada.gov.ua/laws/show/4834-17" TargetMode="External"/><Relationship Id="rId3833" Type="http://schemas.openxmlformats.org/officeDocument/2006/relationships/hyperlink" Target="https://zakon.rada.gov.ua/laws/show/2755-17/print" TargetMode="External"/><Relationship Id="rId547" Type="http://schemas.openxmlformats.org/officeDocument/2006/relationships/hyperlink" Target="https://zakon.rada.gov.ua/laws/show/71-19" TargetMode="External"/><Relationship Id="rId754" Type="http://schemas.openxmlformats.org/officeDocument/2006/relationships/hyperlink" Target="https://zakon.rada.gov.ua/laws/show/609-19" TargetMode="External"/><Relationship Id="rId961" Type="http://schemas.openxmlformats.org/officeDocument/2006/relationships/hyperlink" Target="https://zakon.rada.gov.ua/laws/show/2245-19" TargetMode="External"/><Relationship Id="rId1384" Type="http://schemas.openxmlformats.org/officeDocument/2006/relationships/hyperlink" Target="https://zakon.rada.gov.ua/laws/show/1797-19" TargetMode="External"/><Relationship Id="rId1591" Type="http://schemas.openxmlformats.org/officeDocument/2006/relationships/hyperlink" Target="https://zakon.rada.gov.ua/laws/show/72-19" TargetMode="External"/><Relationship Id="rId2228" Type="http://schemas.openxmlformats.org/officeDocument/2006/relationships/hyperlink" Target="https://zakon.rada.gov.ua/laws/show/1797-19" TargetMode="External"/><Relationship Id="rId2435" Type="http://schemas.openxmlformats.org/officeDocument/2006/relationships/hyperlink" Target="https://zakon.rada.gov.ua/laws/show/1791-19" TargetMode="External"/><Relationship Id="rId2642" Type="http://schemas.openxmlformats.org/officeDocument/2006/relationships/hyperlink" Target="https://zakon.rada.gov.ua/laws/show/1797-19" TargetMode="External"/><Relationship Id="rId3900" Type="http://schemas.openxmlformats.org/officeDocument/2006/relationships/hyperlink" Target="https://zakon.rada.gov.ua/laws/show/71-19" TargetMode="External"/><Relationship Id="rId5798" Type="http://schemas.openxmlformats.org/officeDocument/2006/relationships/hyperlink" Target="https://zakon.rada.gov.ua/laws/show/2755-17/print" TargetMode="External"/><Relationship Id="rId90" Type="http://schemas.openxmlformats.org/officeDocument/2006/relationships/hyperlink" Target="https://zakon.rada.gov.ua/laws/show/366-19" TargetMode="External"/><Relationship Id="rId407" Type="http://schemas.openxmlformats.org/officeDocument/2006/relationships/hyperlink" Target="https://zakon.rada.gov.ua/laws/show/1797-19" TargetMode="External"/><Relationship Id="rId614" Type="http://schemas.openxmlformats.org/officeDocument/2006/relationships/hyperlink" Target="https://zakon.rada.gov.ua/laws/show/1797-19" TargetMode="External"/><Relationship Id="rId821" Type="http://schemas.openxmlformats.org/officeDocument/2006/relationships/hyperlink" Target="https://zakon.rada.gov.ua/laws/show/1797-19" TargetMode="External"/><Relationship Id="rId1037" Type="http://schemas.openxmlformats.org/officeDocument/2006/relationships/hyperlink" Target="https://zakon.rada.gov.ua/laws/show/909-19" TargetMode="External"/><Relationship Id="rId1244" Type="http://schemas.openxmlformats.org/officeDocument/2006/relationships/hyperlink" Target="https://zakon.rada.gov.ua/laws/show/z0137-16" TargetMode="External"/><Relationship Id="rId1451" Type="http://schemas.openxmlformats.org/officeDocument/2006/relationships/hyperlink" Target="https://zakon.rada.gov.ua/laws/show/4834-17" TargetMode="External"/><Relationship Id="rId2502" Type="http://schemas.openxmlformats.org/officeDocument/2006/relationships/hyperlink" Target="https://zakon.rada.gov.ua/laws/show/5083-17" TargetMode="External"/><Relationship Id="rId5658" Type="http://schemas.openxmlformats.org/officeDocument/2006/relationships/hyperlink" Target="https://zakon.rada.gov.ua/laws/show/1797-19" TargetMode="External"/><Relationship Id="rId5865" Type="http://schemas.openxmlformats.org/officeDocument/2006/relationships/hyperlink" Target="https://zakon.rada.gov.ua/laws/show/702-19" TargetMode="External"/><Relationship Id="rId1104" Type="http://schemas.openxmlformats.org/officeDocument/2006/relationships/hyperlink" Target="https://zakon.rada.gov.ua/laws/show/1797-19" TargetMode="External"/><Relationship Id="rId1311" Type="http://schemas.openxmlformats.org/officeDocument/2006/relationships/hyperlink" Target="https://zakon.rada.gov.ua/laws/show/4834-17" TargetMode="External"/><Relationship Id="rId4467" Type="http://schemas.openxmlformats.org/officeDocument/2006/relationships/hyperlink" Target="https://zakon.rada.gov.ua/laws/show/5083-17" TargetMode="External"/><Relationship Id="rId4674" Type="http://schemas.openxmlformats.org/officeDocument/2006/relationships/hyperlink" Target="https://zakon.rada.gov.ua/laws/show/4834-17" TargetMode="External"/><Relationship Id="rId4881" Type="http://schemas.openxmlformats.org/officeDocument/2006/relationships/hyperlink" Target="https://zakon.rada.gov.ua/laws/show/909-19" TargetMode="External"/><Relationship Id="rId5518" Type="http://schemas.openxmlformats.org/officeDocument/2006/relationships/hyperlink" Target="https://zakon.rada.gov.ua/laws/show/643-19" TargetMode="External"/><Relationship Id="rId5725" Type="http://schemas.openxmlformats.org/officeDocument/2006/relationships/hyperlink" Target="https://zakon.rada.gov.ua/laws/show/5211-17" TargetMode="External"/><Relationship Id="rId3069" Type="http://schemas.openxmlformats.org/officeDocument/2006/relationships/hyperlink" Target="https://zakon.rada.gov.ua/laws/show/1797-19" TargetMode="External"/><Relationship Id="rId3276" Type="http://schemas.openxmlformats.org/officeDocument/2006/relationships/hyperlink" Target="https://zakon.rada.gov.ua/laws/show/z1415-15" TargetMode="External"/><Relationship Id="rId3483" Type="http://schemas.openxmlformats.org/officeDocument/2006/relationships/hyperlink" Target="https://zakon.rada.gov.ua/laws/show/z0137-16" TargetMode="External"/><Relationship Id="rId3690" Type="http://schemas.openxmlformats.org/officeDocument/2006/relationships/hyperlink" Target="https://zakon.rada.gov.ua/laws/show/71-19" TargetMode="External"/><Relationship Id="rId4327" Type="http://schemas.openxmlformats.org/officeDocument/2006/relationships/hyperlink" Target="https://zakon.rada.gov.ua/laws/show/2628-19" TargetMode="External"/><Relationship Id="rId4534" Type="http://schemas.openxmlformats.org/officeDocument/2006/relationships/hyperlink" Target="https://zakon.rada.gov.ua/laws/show/1797-19" TargetMode="External"/><Relationship Id="rId5932" Type="http://schemas.openxmlformats.org/officeDocument/2006/relationships/hyperlink" Target="https://zakon.rada.gov.ua/laws/show/1638-18" TargetMode="External"/><Relationship Id="rId197" Type="http://schemas.openxmlformats.org/officeDocument/2006/relationships/hyperlink" Target="https://zakon.rada.gov.ua/laws/show/71-19" TargetMode="External"/><Relationship Id="rId2085" Type="http://schemas.openxmlformats.org/officeDocument/2006/relationships/hyperlink" Target="https://zakon.rada.gov.ua/laws/show/431-2012-%D0%BF" TargetMode="External"/><Relationship Id="rId2292" Type="http://schemas.openxmlformats.org/officeDocument/2006/relationships/hyperlink" Target="https://zakon.rada.gov.ua/laws/show/71-19" TargetMode="External"/><Relationship Id="rId3136" Type="http://schemas.openxmlformats.org/officeDocument/2006/relationships/hyperlink" Target="https://zakon.rada.gov.ua/laws/show/4915-17" TargetMode="External"/><Relationship Id="rId3343" Type="http://schemas.openxmlformats.org/officeDocument/2006/relationships/hyperlink" Target="https://zakon.rada.gov.ua/laws/show/909-19" TargetMode="External"/><Relationship Id="rId4741" Type="http://schemas.openxmlformats.org/officeDocument/2006/relationships/hyperlink" Target="https://zakon.rada.gov.ua/laws/show/3609-17" TargetMode="External"/><Relationship Id="rId264" Type="http://schemas.openxmlformats.org/officeDocument/2006/relationships/hyperlink" Target="https://zakon.rada.gov.ua/laws/show/435-15" TargetMode="External"/><Relationship Id="rId471" Type="http://schemas.openxmlformats.org/officeDocument/2006/relationships/hyperlink" Target="https://zakon.rada.gov.ua/laws/show/2755-17/print" TargetMode="External"/><Relationship Id="rId2152" Type="http://schemas.openxmlformats.org/officeDocument/2006/relationships/hyperlink" Target="https://zakon.rada.gov.ua/laws/show/1797-19" TargetMode="External"/><Relationship Id="rId3550" Type="http://schemas.openxmlformats.org/officeDocument/2006/relationships/hyperlink" Target="https://zakon.rada.gov.ua/laws/show/71-19" TargetMode="External"/><Relationship Id="rId4601" Type="http://schemas.openxmlformats.org/officeDocument/2006/relationships/hyperlink" Target="https://zakon.rada.gov.ua/laws/show/909-19" TargetMode="External"/><Relationship Id="rId124" Type="http://schemas.openxmlformats.org/officeDocument/2006/relationships/hyperlink" Target="https://zakon.rada.gov.ua/laws/show/v001p710-18" TargetMode="External"/><Relationship Id="rId3203" Type="http://schemas.openxmlformats.org/officeDocument/2006/relationships/hyperlink" Target="https://zakon.rada.gov.ua/laws/show/71-19" TargetMode="External"/><Relationship Id="rId3410" Type="http://schemas.openxmlformats.org/officeDocument/2006/relationships/hyperlink" Target="https://zakon.rada.gov.ua/laws/show/1797-19" TargetMode="External"/><Relationship Id="rId331" Type="http://schemas.openxmlformats.org/officeDocument/2006/relationships/hyperlink" Target="https://zakon.rada.gov.ua/laws/show/657-18" TargetMode="External"/><Relationship Id="rId2012" Type="http://schemas.openxmlformats.org/officeDocument/2006/relationships/hyperlink" Target="https://zakon.rada.gov.ua/laws/show/2755-17/print" TargetMode="External"/><Relationship Id="rId2969" Type="http://schemas.openxmlformats.org/officeDocument/2006/relationships/hyperlink" Target="https://zakon.rada.gov.ua/laws/show/2755-17/print" TargetMode="External"/><Relationship Id="rId5168" Type="http://schemas.openxmlformats.org/officeDocument/2006/relationships/hyperlink" Target="https://zakon.rada.gov.ua/laws/show/5412-17" TargetMode="External"/><Relationship Id="rId5375" Type="http://schemas.openxmlformats.org/officeDocument/2006/relationships/hyperlink" Target="https://zakon.rada.gov.ua/laws/show/71-19" TargetMode="External"/><Relationship Id="rId5582" Type="http://schemas.openxmlformats.org/officeDocument/2006/relationships/hyperlink" Target="https://zakon.rada.gov.ua/laws/show/1797-19" TargetMode="External"/><Relationship Id="rId6219" Type="http://schemas.openxmlformats.org/officeDocument/2006/relationships/hyperlink" Target="https://zakon.rada.gov.ua/laws/show/425-20" TargetMode="External"/><Relationship Id="rId1778" Type="http://schemas.openxmlformats.org/officeDocument/2006/relationships/hyperlink" Target="https://zakon.rada.gov.ua/laws/show/3609-17" TargetMode="External"/><Relationship Id="rId1985" Type="http://schemas.openxmlformats.org/officeDocument/2006/relationships/hyperlink" Target="https://zakon.rada.gov.ua/laws/show/z0137-16" TargetMode="External"/><Relationship Id="rId2829" Type="http://schemas.openxmlformats.org/officeDocument/2006/relationships/hyperlink" Target="https://zakon.rada.gov.ua/laws/show/1797-19" TargetMode="External"/><Relationship Id="rId4184" Type="http://schemas.openxmlformats.org/officeDocument/2006/relationships/hyperlink" Target="https://zakon.rada.gov.ua/laws/show/584%D0%B0-18" TargetMode="External"/><Relationship Id="rId4391" Type="http://schemas.openxmlformats.org/officeDocument/2006/relationships/hyperlink" Target="https://zakon.rada.gov.ua/laws/show/2755-17/print" TargetMode="External"/><Relationship Id="rId5028" Type="http://schemas.openxmlformats.org/officeDocument/2006/relationships/hyperlink" Target="https://zakon.rada.gov.ua/laws/show/71-19" TargetMode="External"/><Relationship Id="rId5235" Type="http://schemas.openxmlformats.org/officeDocument/2006/relationships/hyperlink" Target="https://zakon.rada.gov.ua/laws/show/215-19" TargetMode="External"/><Relationship Id="rId5442" Type="http://schemas.openxmlformats.org/officeDocument/2006/relationships/hyperlink" Target="https://zakon.rada.gov.ua/laws/show/2755-17/print" TargetMode="External"/><Relationship Id="rId1638" Type="http://schemas.openxmlformats.org/officeDocument/2006/relationships/hyperlink" Target="https://zakon.rada.gov.ua/laws/show/3609-17" TargetMode="External"/><Relationship Id="rId4044" Type="http://schemas.openxmlformats.org/officeDocument/2006/relationships/hyperlink" Target="https://zakon.rada.gov.ua/laws/show/2755-17/print" TargetMode="External"/><Relationship Id="rId4251" Type="http://schemas.openxmlformats.org/officeDocument/2006/relationships/hyperlink" Target="https://zakon.rada.gov.ua/laws/show/2755-17/print" TargetMode="External"/><Relationship Id="rId5302" Type="http://schemas.openxmlformats.org/officeDocument/2006/relationships/hyperlink" Target="https://zakon.rada.gov.ua/laws/show/2755-17/print" TargetMode="External"/><Relationship Id="rId1845" Type="http://schemas.openxmlformats.org/officeDocument/2006/relationships/hyperlink" Target="https://zakon.rada.gov.ua/laws/show/2755-17/print" TargetMode="External"/><Relationship Id="rId3060" Type="http://schemas.openxmlformats.org/officeDocument/2006/relationships/hyperlink" Target="https://zakon.rada.gov.ua/laws/show/4057-17" TargetMode="External"/><Relationship Id="rId4111" Type="http://schemas.openxmlformats.org/officeDocument/2006/relationships/hyperlink" Target="https://zakon.rada.gov.ua/laws/show/584%D0%B0-18" TargetMode="External"/><Relationship Id="rId1705" Type="http://schemas.openxmlformats.org/officeDocument/2006/relationships/hyperlink" Target="https://zakon.rada.gov.ua/laws/show/4652-17" TargetMode="External"/><Relationship Id="rId1912" Type="http://schemas.openxmlformats.org/officeDocument/2006/relationships/hyperlink" Target="https://zakon.rada.gov.ua/laws/show/5083-17" TargetMode="External"/><Relationship Id="rId6076" Type="http://schemas.openxmlformats.org/officeDocument/2006/relationships/hyperlink" Target="https://zakon.rada.gov.ua/laws/show/2245-19" TargetMode="External"/><Relationship Id="rId6283" Type="http://schemas.openxmlformats.org/officeDocument/2006/relationships/hyperlink" Target="https://zakon.rada.gov.ua/laws/show/2143-19" TargetMode="External"/><Relationship Id="rId3877" Type="http://schemas.openxmlformats.org/officeDocument/2006/relationships/hyperlink" Target="https://zakon.rada.gov.ua/laws/show/5083-17" TargetMode="External"/><Relationship Id="rId4928" Type="http://schemas.openxmlformats.org/officeDocument/2006/relationships/hyperlink" Target="https://zakon.rada.gov.ua/laws/show/71-19" TargetMode="External"/><Relationship Id="rId5092" Type="http://schemas.openxmlformats.org/officeDocument/2006/relationships/hyperlink" Target="https://zakon.rada.gov.ua/laws/show/71-19" TargetMode="External"/><Relationship Id="rId798" Type="http://schemas.openxmlformats.org/officeDocument/2006/relationships/hyperlink" Target="https://zakon.rada.gov.ua/laws/show/2755-17/print" TargetMode="External"/><Relationship Id="rId2479" Type="http://schemas.openxmlformats.org/officeDocument/2006/relationships/hyperlink" Target="https://zakon.rada.gov.ua/laws/show/909-19" TargetMode="External"/><Relationship Id="rId2686" Type="http://schemas.openxmlformats.org/officeDocument/2006/relationships/hyperlink" Target="https://zakon.rada.gov.ua/laws/show/5413-17" TargetMode="External"/><Relationship Id="rId2893" Type="http://schemas.openxmlformats.org/officeDocument/2006/relationships/hyperlink" Target="https://zakon.rada.gov.ua/laws/show/1797-19" TargetMode="External"/><Relationship Id="rId3737" Type="http://schemas.openxmlformats.org/officeDocument/2006/relationships/hyperlink" Target="https://zakon.rada.gov.ua/laws/show/4834-17" TargetMode="External"/><Relationship Id="rId3944" Type="http://schemas.openxmlformats.org/officeDocument/2006/relationships/hyperlink" Target="https://zakon.rada.gov.ua/laws/show/188-2013-%D0%BF" TargetMode="External"/><Relationship Id="rId6143" Type="http://schemas.openxmlformats.org/officeDocument/2006/relationships/hyperlink" Target="https://zakon.rada.gov.ua/laws/show/2755-17/print" TargetMode="External"/><Relationship Id="rId658" Type="http://schemas.openxmlformats.org/officeDocument/2006/relationships/hyperlink" Target="https://zakon.rada.gov.ua/laws/show/1797-19" TargetMode="External"/><Relationship Id="rId865" Type="http://schemas.openxmlformats.org/officeDocument/2006/relationships/hyperlink" Target="https://zakon.rada.gov.ua/laws/show/609-19" TargetMode="External"/><Relationship Id="rId1288" Type="http://schemas.openxmlformats.org/officeDocument/2006/relationships/hyperlink" Target="https://zakon.rada.gov.ua/laws/show/655-19" TargetMode="External"/><Relationship Id="rId1495" Type="http://schemas.openxmlformats.org/officeDocument/2006/relationships/hyperlink" Target="https://zakon.rada.gov.ua/laws/show/2664-14" TargetMode="External"/><Relationship Id="rId2339" Type="http://schemas.openxmlformats.org/officeDocument/2006/relationships/hyperlink" Target="https://zakon.rada.gov.ua/laws/show/v001p710-18" TargetMode="External"/><Relationship Id="rId2546" Type="http://schemas.openxmlformats.org/officeDocument/2006/relationships/hyperlink" Target="https://zakon.rada.gov.ua/laws/show/1797-19" TargetMode="External"/><Relationship Id="rId2753" Type="http://schemas.openxmlformats.org/officeDocument/2006/relationships/hyperlink" Target="https://zakon.rada.gov.ua/laws/show/4834-17" TargetMode="External"/><Relationship Id="rId2960" Type="http://schemas.openxmlformats.org/officeDocument/2006/relationships/hyperlink" Target="https://zakon.rada.gov.ua/laws/show/1797-19" TargetMode="External"/><Relationship Id="rId3804" Type="http://schemas.openxmlformats.org/officeDocument/2006/relationships/hyperlink" Target="https://zakon.rada.gov.ua/laws/show/1191-18" TargetMode="External"/><Relationship Id="rId6003" Type="http://schemas.openxmlformats.org/officeDocument/2006/relationships/hyperlink" Target="https://zakon.rada.gov.ua/laws/show/391-20" TargetMode="External"/><Relationship Id="rId6210" Type="http://schemas.openxmlformats.org/officeDocument/2006/relationships/hyperlink" Target="https://zakon.rada.gov.ua/laws/show/71-19" TargetMode="External"/><Relationship Id="rId518" Type="http://schemas.openxmlformats.org/officeDocument/2006/relationships/hyperlink" Target="https://zakon.rada.gov.ua/laws/show/3609-17" TargetMode="External"/><Relationship Id="rId725" Type="http://schemas.openxmlformats.org/officeDocument/2006/relationships/hyperlink" Target="https://zakon.rada.gov.ua/laws/show/71-19" TargetMode="External"/><Relationship Id="rId932" Type="http://schemas.openxmlformats.org/officeDocument/2006/relationships/hyperlink" Target="https://zakon.rada.gov.ua/laws/show/1797-19" TargetMode="External"/><Relationship Id="rId1148" Type="http://schemas.openxmlformats.org/officeDocument/2006/relationships/hyperlink" Target="https://zakon.rada.gov.ua/laws/show/2755-17/print" TargetMode="External"/><Relationship Id="rId1355" Type="http://schemas.openxmlformats.org/officeDocument/2006/relationships/hyperlink" Target="https://zakon.rada.gov.ua/laws/show/4834-17" TargetMode="External"/><Relationship Id="rId1562" Type="http://schemas.openxmlformats.org/officeDocument/2006/relationships/hyperlink" Target="https://zakon.rada.gov.ua/laws/show/657-18" TargetMode="External"/><Relationship Id="rId2406" Type="http://schemas.openxmlformats.org/officeDocument/2006/relationships/hyperlink" Target="https://zakon.rada.gov.ua/laws/show/5519-17" TargetMode="External"/><Relationship Id="rId2613" Type="http://schemas.openxmlformats.org/officeDocument/2006/relationships/hyperlink" Target="https://zakon.rada.gov.ua/laws/show/2755-17/print" TargetMode="External"/><Relationship Id="rId5769" Type="http://schemas.openxmlformats.org/officeDocument/2006/relationships/hyperlink" Target="https://zakon.rada.gov.ua/laws/show/713-18" TargetMode="External"/><Relationship Id="rId1008" Type="http://schemas.openxmlformats.org/officeDocument/2006/relationships/hyperlink" Target="https://zakon.rada.gov.ua/laws/show/z1415-15" TargetMode="External"/><Relationship Id="rId1215" Type="http://schemas.openxmlformats.org/officeDocument/2006/relationships/hyperlink" Target="https://zakon.rada.gov.ua/laws/show/404-18" TargetMode="External"/><Relationship Id="rId1422" Type="http://schemas.openxmlformats.org/officeDocument/2006/relationships/hyperlink" Target="https://zakon.rada.gov.ua/laws/show/879-18" TargetMode="External"/><Relationship Id="rId2820" Type="http://schemas.openxmlformats.org/officeDocument/2006/relationships/hyperlink" Target="https://zakon.rada.gov.ua/laws/show/443-18" TargetMode="External"/><Relationship Id="rId4578" Type="http://schemas.openxmlformats.org/officeDocument/2006/relationships/hyperlink" Target="https://zakon.rada.gov.ua/laws/show/871-2018-%D0%BF" TargetMode="External"/><Relationship Id="rId5976" Type="http://schemas.openxmlformats.org/officeDocument/2006/relationships/hyperlink" Target="https://zakon.rada.gov.ua/laws/show/1791-19" TargetMode="External"/><Relationship Id="rId61" Type="http://schemas.openxmlformats.org/officeDocument/2006/relationships/hyperlink" Target="https://zakon.rada.gov.ua/laws/show/736-18" TargetMode="External"/><Relationship Id="rId3387" Type="http://schemas.openxmlformats.org/officeDocument/2006/relationships/hyperlink" Target="https://zakon.rada.gov.ua/laws/show/643-19" TargetMode="External"/><Relationship Id="rId4785" Type="http://schemas.openxmlformats.org/officeDocument/2006/relationships/hyperlink" Target="https://zakon.rada.gov.ua/laws/show/71-19" TargetMode="External"/><Relationship Id="rId4992" Type="http://schemas.openxmlformats.org/officeDocument/2006/relationships/hyperlink" Target="https://zakon.rada.gov.ua/laws/show/2755-17/print" TargetMode="External"/><Relationship Id="rId5629" Type="http://schemas.openxmlformats.org/officeDocument/2006/relationships/hyperlink" Target="https://zakon.rada.gov.ua/laws/show/2755-17/print" TargetMode="External"/><Relationship Id="rId5836" Type="http://schemas.openxmlformats.org/officeDocument/2006/relationships/hyperlink" Target="https://zakon.rada.gov.ua/laws/show/2755-17/print" TargetMode="External"/><Relationship Id="rId2196" Type="http://schemas.openxmlformats.org/officeDocument/2006/relationships/hyperlink" Target="https://zakon.rada.gov.ua/laws/show/1797-19" TargetMode="External"/><Relationship Id="rId3594" Type="http://schemas.openxmlformats.org/officeDocument/2006/relationships/hyperlink" Target="https://zakon.rada.gov.ua/laws/show/1621-18" TargetMode="External"/><Relationship Id="rId4438" Type="http://schemas.openxmlformats.org/officeDocument/2006/relationships/hyperlink" Target="https://zakon.rada.gov.ua/laws/show/71-19" TargetMode="External"/><Relationship Id="rId4645" Type="http://schemas.openxmlformats.org/officeDocument/2006/relationships/hyperlink" Target="https://zakon.rada.gov.ua/laws/show/2628-19" TargetMode="External"/><Relationship Id="rId4852" Type="http://schemas.openxmlformats.org/officeDocument/2006/relationships/hyperlink" Target="https://zakon.rada.gov.ua/laws/show/1791-19" TargetMode="External"/><Relationship Id="rId5903" Type="http://schemas.openxmlformats.org/officeDocument/2006/relationships/hyperlink" Target="https://zakon.rada.gov.ua/laws/show/1797-19" TargetMode="External"/><Relationship Id="rId168" Type="http://schemas.openxmlformats.org/officeDocument/2006/relationships/hyperlink" Target="https://zakon.rada.gov.ua/laws/show/909-19" TargetMode="External"/><Relationship Id="rId3247" Type="http://schemas.openxmlformats.org/officeDocument/2006/relationships/hyperlink" Target="https://zakon.rada.gov.ua/laws/show/909-19" TargetMode="External"/><Relationship Id="rId3454" Type="http://schemas.openxmlformats.org/officeDocument/2006/relationships/hyperlink" Target="https://zakon.rada.gov.ua/laws/show/851-15" TargetMode="External"/><Relationship Id="rId3661" Type="http://schemas.openxmlformats.org/officeDocument/2006/relationships/hyperlink" Target="https://zakon.rada.gov.ua/laws/show/2755-17/print" TargetMode="External"/><Relationship Id="rId4505" Type="http://schemas.openxmlformats.org/officeDocument/2006/relationships/hyperlink" Target="https://zakon.rada.gov.ua/laws/show/1797-19" TargetMode="External"/><Relationship Id="rId4712" Type="http://schemas.openxmlformats.org/officeDocument/2006/relationships/hyperlink" Target="https://zakon.rada.gov.ua/laws/show/871-2018-%D0%BF" TargetMode="External"/><Relationship Id="rId375" Type="http://schemas.openxmlformats.org/officeDocument/2006/relationships/hyperlink" Target="https://zakon.rada.gov.ua/laws/show/71-19" TargetMode="External"/><Relationship Id="rId582" Type="http://schemas.openxmlformats.org/officeDocument/2006/relationships/hyperlink" Target="https://zakon.rada.gov.ua/laws/show/3609-17" TargetMode="External"/><Relationship Id="rId2056" Type="http://schemas.openxmlformats.org/officeDocument/2006/relationships/hyperlink" Target="https://zakon.rada.gov.ua/laws/show/3609-17" TargetMode="External"/><Relationship Id="rId2263" Type="http://schemas.openxmlformats.org/officeDocument/2006/relationships/hyperlink" Target="https://zakon.rada.gov.ua/laws/show/2176-19" TargetMode="External"/><Relationship Id="rId2470" Type="http://schemas.openxmlformats.org/officeDocument/2006/relationships/hyperlink" Target="https://zakon.rada.gov.ua/laws/show/3609-17" TargetMode="External"/><Relationship Id="rId3107" Type="http://schemas.openxmlformats.org/officeDocument/2006/relationships/hyperlink" Target="https://zakon.rada.gov.ua/laws/show/5412-17" TargetMode="External"/><Relationship Id="rId3314" Type="http://schemas.openxmlformats.org/officeDocument/2006/relationships/hyperlink" Target="https://zakon.rada.gov.ua/laws/show/1797-19" TargetMode="External"/><Relationship Id="rId3521" Type="http://schemas.openxmlformats.org/officeDocument/2006/relationships/hyperlink" Target="https://zakon.rada.gov.ua/laws/show/909-19" TargetMode="External"/><Relationship Id="rId235" Type="http://schemas.openxmlformats.org/officeDocument/2006/relationships/hyperlink" Target="https://zakon.rada.gov.ua/laws/show/1791-19" TargetMode="External"/><Relationship Id="rId442" Type="http://schemas.openxmlformats.org/officeDocument/2006/relationships/hyperlink" Target="https://zakon.rada.gov.ua/laws/show/71-19" TargetMode="External"/><Relationship Id="rId1072" Type="http://schemas.openxmlformats.org/officeDocument/2006/relationships/hyperlink" Target="https://zakon.rada.gov.ua/laws/show/2628-19" TargetMode="External"/><Relationship Id="rId2123" Type="http://schemas.openxmlformats.org/officeDocument/2006/relationships/hyperlink" Target="https://zakon.rada.gov.ua/laws/show/2755-17/print" TargetMode="External"/><Relationship Id="rId2330" Type="http://schemas.openxmlformats.org/officeDocument/2006/relationships/hyperlink" Target="https://zakon.rada.gov.ua/laws/show/4834-17" TargetMode="External"/><Relationship Id="rId5279" Type="http://schemas.openxmlformats.org/officeDocument/2006/relationships/hyperlink" Target="https://zakon.rada.gov.ua/laws/show/453/98" TargetMode="External"/><Relationship Id="rId5486" Type="http://schemas.openxmlformats.org/officeDocument/2006/relationships/hyperlink" Target="https://zakon.rada.gov.ua/laws/show/71-19" TargetMode="External"/><Relationship Id="rId5693" Type="http://schemas.openxmlformats.org/officeDocument/2006/relationships/hyperlink" Target="https://zakon.rada.gov.ua/laws/show/4495-17" TargetMode="External"/><Relationship Id="rId302" Type="http://schemas.openxmlformats.org/officeDocument/2006/relationships/hyperlink" Target="https://zakon.rada.gov.ua/laws/show/2755-17/print" TargetMode="External"/><Relationship Id="rId4088" Type="http://schemas.openxmlformats.org/officeDocument/2006/relationships/hyperlink" Target="https://zakon.rada.gov.ua/laws/show/4495-17" TargetMode="External"/><Relationship Id="rId4295" Type="http://schemas.openxmlformats.org/officeDocument/2006/relationships/hyperlink" Target="https://zakon.rada.gov.ua/laws/show/2628-19" TargetMode="External"/><Relationship Id="rId5139" Type="http://schemas.openxmlformats.org/officeDocument/2006/relationships/hyperlink" Target="https://zakon.rada.gov.ua/laws/show/5412-17" TargetMode="External"/><Relationship Id="rId5346" Type="http://schemas.openxmlformats.org/officeDocument/2006/relationships/hyperlink" Target="https://zakon.rada.gov.ua/laws/show/2755-17/print" TargetMode="External"/><Relationship Id="rId5553" Type="http://schemas.openxmlformats.org/officeDocument/2006/relationships/hyperlink" Target="https://zakon.rada.gov.ua/laws/show/643-19" TargetMode="External"/><Relationship Id="rId1889" Type="http://schemas.openxmlformats.org/officeDocument/2006/relationships/hyperlink" Target="https://zakon.rada.gov.ua/laws/show/4057-17" TargetMode="External"/><Relationship Id="rId4155" Type="http://schemas.openxmlformats.org/officeDocument/2006/relationships/hyperlink" Target="https://zakon.rada.gov.ua/laws/show/909-19" TargetMode="External"/><Relationship Id="rId4362" Type="http://schemas.openxmlformats.org/officeDocument/2006/relationships/hyperlink" Target="https://zakon.rada.gov.ua/laws/show/1191-18" TargetMode="External"/><Relationship Id="rId5206" Type="http://schemas.openxmlformats.org/officeDocument/2006/relationships/hyperlink" Target="https://zakon.rada.gov.ua/laws/show/4050-17" TargetMode="External"/><Relationship Id="rId5760" Type="http://schemas.openxmlformats.org/officeDocument/2006/relationships/hyperlink" Target="https://zakon.rada.gov.ua/laws/show/2755-17/print" TargetMode="External"/><Relationship Id="rId1749" Type="http://schemas.openxmlformats.org/officeDocument/2006/relationships/hyperlink" Target="https://zakon.rada.gov.ua/laws/show/909-19" TargetMode="External"/><Relationship Id="rId1956" Type="http://schemas.openxmlformats.org/officeDocument/2006/relationships/hyperlink" Target="https://zakon.rada.gov.ua/laws/show/71-19" TargetMode="External"/><Relationship Id="rId3171" Type="http://schemas.openxmlformats.org/officeDocument/2006/relationships/hyperlink" Target="https://zakon.rada.gov.ua/laws/show/1621-18" TargetMode="External"/><Relationship Id="rId4015" Type="http://schemas.openxmlformats.org/officeDocument/2006/relationships/hyperlink" Target="https://zakon.rada.gov.ua/laws/show/2755-17/print" TargetMode="External"/><Relationship Id="rId5413" Type="http://schemas.openxmlformats.org/officeDocument/2006/relationships/hyperlink" Target="https://zakon.rada.gov.ua/laws/show/71-19" TargetMode="External"/><Relationship Id="rId5620" Type="http://schemas.openxmlformats.org/officeDocument/2006/relationships/hyperlink" Target="https://zakon.rada.gov.ua/laws/show/2755-17/print" TargetMode="External"/><Relationship Id="rId1609" Type="http://schemas.openxmlformats.org/officeDocument/2006/relationships/hyperlink" Target="https://zakon.rada.gov.ua/laws/show/71-19" TargetMode="External"/><Relationship Id="rId1816" Type="http://schemas.openxmlformats.org/officeDocument/2006/relationships/hyperlink" Target="https://zakon.rada.gov.ua/laws/show/1239-2010-%D0%BF" TargetMode="External"/><Relationship Id="rId4222" Type="http://schemas.openxmlformats.org/officeDocument/2006/relationships/hyperlink" Target="https://zakon.rada.gov.ua/laws/show/391-20" TargetMode="External"/><Relationship Id="rId3031" Type="http://schemas.openxmlformats.org/officeDocument/2006/relationships/hyperlink" Target="https://zakon.rada.gov.ua/laws/show/1166-18" TargetMode="External"/><Relationship Id="rId3988" Type="http://schemas.openxmlformats.org/officeDocument/2006/relationships/hyperlink" Target="https://zakon.rada.gov.ua/laws/show/2628-19" TargetMode="External"/><Relationship Id="rId6187" Type="http://schemas.openxmlformats.org/officeDocument/2006/relationships/hyperlink" Target="https://zakon.rada.gov.ua/laws/show/3543-12" TargetMode="External"/><Relationship Id="rId2797" Type="http://schemas.openxmlformats.org/officeDocument/2006/relationships/hyperlink" Target="https://zakon.rada.gov.ua/laws/show/1797-19" TargetMode="External"/><Relationship Id="rId3848" Type="http://schemas.openxmlformats.org/officeDocument/2006/relationships/hyperlink" Target="https://zakon.rada.gov.ua/laws/show/2611-19" TargetMode="External"/><Relationship Id="rId6047" Type="http://schemas.openxmlformats.org/officeDocument/2006/relationships/hyperlink" Target="https://zakon.rada.gov.ua/laws/show/2628-19" TargetMode="External"/><Relationship Id="rId6254" Type="http://schemas.openxmlformats.org/officeDocument/2006/relationships/hyperlink" Target="https://zakon.rada.gov.ua/laws/show/2245-19" TargetMode="External"/><Relationship Id="rId769" Type="http://schemas.openxmlformats.org/officeDocument/2006/relationships/hyperlink" Target="https://zakon.rada.gov.ua/laws/show/609-19" TargetMode="External"/><Relationship Id="rId976" Type="http://schemas.openxmlformats.org/officeDocument/2006/relationships/hyperlink" Target="https://zakon.rada.gov.ua/laws/show/657-18" TargetMode="External"/><Relationship Id="rId1399" Type="http://schemas.openxmlformats.org/officeDocument/2006/relationships/hyperlink" Target="https://zakon.rada.gov.ua/laws/show/657-18" TargetMode="External"/><Relationship Id="rId2657" Type="http://schemas.openxmlformats.org/officeDocument/2006/relationships/hyperlink" Target="https://zakon.rada.gov.ua/laws/show/2755-17/print" TargetMode="External"/><Relationship Id="rId5063" Type="http://schemas.openxmlformats.org/officeDocument/2006/relationships/hyperlink" Target="https://zakon.rada.gov.ua/laws/show/1797-19" TargetMode="External"/><Relationship Id="rId5270" Type="http://schemas.openxmlformats.org/officeDocument/2006/relationships/hyperlink" Target="https://zakon.rada.gov.ua/laws/show/4834-17" TargetMode="External"/><Relationship Id="rId6114" Type="http://schemas.openxmlformats.org/officeDocument/2006/relationships/hyperlink" Target="https://zakon.rada.gov.ua/laws/show/63-19" TargetMode="External"/><Relationship Id="rId629" Type="http://schemas.openxmlformats.org/officeDocument/2006/relationships/hyperlink" Target="https://zakon.rada.gov.ua/laws/show/5083-17" TargetMode="External"/><Relationship Id="rId1259" Type="http://schemas.openxmlformats.org/officeDocument/2006/relationships/hyperlink" Target="https://zakon.rada.gov.ua/laws/show/5083-17" TargetMode="External"/><Relationship Id="rId1466" Type="http://schemas.openxmlformats.org/officeDocument/2006/relationships/hyperlink" Target="https://zakon.rada.gov.ua/laws/show/2755-17/print" TargetMode="External"/><Relationship Id="rId2864" Type="http://schemas.openxmlformats.org/officeDocument/2006/relationships/hyperlink" Target="https://zakon.rada.gov.ua/laws/show/1797-19" TargetMode="External"/><Relationship Id="rId3708" Type="http://schemas.openxmlformats.org/officeDocument/2006/relationships/hyperlink" Target="https://zakon.rada.gov.ua/laws/show/71-19" TargetMode="External"/><Relationship Id="rId3915" Type="http://schemas.openxmlformats.org/officeDocument/2006/relationships/hyperlink" Target="https://zakon.rada.gov.ua/laws/show/2245-19" TargetMode="External"/><Relationship Id="rId5130" Type="http://schemas.openxmlformats.org/officeDocument/2006/relationships/hyperlink" Target="https://zakon.rada.gov.ua/laws/show/1690-18" TargetMode="External"/><Relationship Id="rId836" Type="http://schemas.openxmlformats.org/officeDocument/2006/relationships/hyperlink" Target="https://zakon.rada.gov.ua/laws/show/2155-19" TargetMode="External"/><Relationship Id="rId1119" Type="http://schemas.openxmlformats.org/officeDocument/2006/relationships/hyperlink" Target="https://zakon.rada.gov.ua/laws/show/1797-19" TargetMode="External"/><Relationship Id="rId1673" Type="http://schemas.openxmlformats.org/officeDocument/2006/relationships/hyperlink" Target="https://zakon.rada.gov.ua/laws/show/5412-17" TargetMode="External"/><Relationship Id="rId1880" Type="http://schemas.openxmlformats.org/officeDocument/2006/relationships/hyperlink" Target="https://zakon.rada.gov.ua/laws/show/657-18" TargetMode="External"/><Relationship Id="rId2517" Type="http://schemas.openxmlformats.org/officeDocument/2006/relationships/hyperlink" Target="https://zakon.rada.gov.ua/laws/show/2755-17/print" TargetMode="External"/><Relationship Id="rId2724" Type="http://schemas.openxmlformats.org/officeDocument/2006/relationships/hyperlink" Target="https://zakon.rada.gov.ua/laws/show/1910-19" TargetMode="External"/><Relationship Id="rId2931" Type="http://schemas.openxmlformats.org/officeDocument/2006/relationships/hyperlink" Target="https://zakon.rada.gov.ua/laws/show/2755-17/print" TargetMode="External"/><Relationship Id="rId903" Type="http://schemas.openxmlformats.org/officeDocument/2006/relationships/hyperlink" Target="https://zakon.rada.gov.ua/laws/show/2755-17/print" TargetMode="External"/><Relationship Id="rId1326" Type="http://schemas.openxmlformats.org/officeDocument/2006/relationships/hyperlink" Target="https://zakon.rada.gov.ua/laws/show/657-18" TargetMode="External"/><Relationship Id="rId1533" Type="http://schemas.openxmlformats.org/officeDocument/2006/relationships/hyperlink" Target="https://zakon.rada.gov.ua/laws/show/1797-19" TargetMode="External"/><Relationship Id="rId1740" Type="http://schemas.openxmlformats.org/officeDocument/2006/relationships/hyperlink" Target="https://zakon.rada.gov.ua/laws/show/2628-19" TargetMode="External"/><Relationship Id="rId4689" Type="http://schemas.openxmlformats.org/officeDocument/2006/relationships/hyperlink" Target="https://zakon.rada.gov.ua/laws/show/71-19" TargetMode="External"/><Relationship Id="rId4896" Type="http://schemas.openxmlformats.org/officeDocument/2006/relationships/hyperlink" Target="https://zakon.rada.gov.ua/laws/show/2755-17/print" TargetMode="External"/><Relationship Id="rId5947" Type="http://schemas.openxmlformats.org/officeDocument/2006/relationships/hyperlink" Target="https://zakon.rada.gov.ua/laws/show/713-18" TargetMode="External"/><Relationship Id="rId32" Type="http://schemas.openxmlformats.org/officeDocument/2006/relationships/hyperlink" Target="https://zakon.rada.gov.ua/laws/show/5043-17" TargetMode="External"/><Relationship Id="rId1600" Type="http://schemas.openxmlformats.org/officeDocument/2006/relationships/hyperlink" Target="https://zakon.rada.gov.ua/laws/show/71-19" TargetMode="External"/><Relationship Id="rId3498" Type="http://schemas.openxmlformats.org/officeDocument/2006/relationships/hyperlink" Target="https://zakon.rada.gov.ua/laws/show/4834-17" TargetMode="External"/><Relationship Id="rId4549" Type="http://schemas.openxmlformats.org/officeDocument/2006/relationships/hyperlink" Target="https://zakon.rada.gov.ua/laws/show/909-19" TargetMode="External"/><Relationship Id="rId4756" Type="http://schemas.openxmlformats.org/officeDocument/2006/relationships/hyperlink" Target="https://zakon.rada.gov.ua/laws/show/71-19" TargetMode="External"/><Relationship Id="rId4963" Type="http://schemas.openxmlformats.org/officeDocument/2006/relationships/hyperlink" Target="https://zakon.rada.gov.ua/laws/show/5083-17" TargetMode="External"/><Relationship Id="rId5807" Type="http://schemas.openxmlformats.org/officeDocument/2006/relationships/hyperlink" Target="https://zakon.rada.gov.ua/laws/show/3292-17" TargetMode="External"/><Relationship Id="rId3358" Type="http://schemas.openxmlformats.org/officeDocument/2006/relationships/hyperlink" Target="https://zakon.rada.gov.ua/laws/show/643-19" TargetMode="External"/><Relationship Id="rId3565" Type="http://schemas.openxmlformats.org/officeDocument/2006/relationships/hyperlink" Target="https://zakon.rada.gov.ua/laws/show/2755-17/print" TargetMode="External"/><Relationship Id="rId3772" Type="http://schemas.openxmlformats.org/officeDocument/2006/relationships/hyperlink" Target="https://zakon.rada.gov.ua/laws/show/2245-19" TargetMode="External"/><Relationship Id="rId4409" Type="http://schemas.openxmlformats.org/officeDocument/2006/relationships/hyperlink" Target="https://zakon.rada.gov.ua/laws/show/4235-17" TargetMode="External"/><Relationship Id="rId4616" Type="http://schemas.openxmlformats.org/officeDocument/2006/relationships/hyperlink" Target="https://zakon.rada.gov.ua/laws/show/71-19" TargetMode="External"/><Relationship Id="rId4823" Type="http://schemas.openxmlformats.org/officeDocument/2006/relationships/hyperlink" Target="https://zakon.rada.gov.ua/laws/show/2628-19" TargetMode="External"/><Relationship Id="rId279" Type="http://schemas.openxmlformats.org/officeDocument/2006/relationships/hyperlink" Target="https://zakon.rada.gov.ua/laws/show/4915-17" TargetMode="External"/><Relationship Id="rId486" Type="http://schemas.openxmlformats.org/officeDocument/2006/relationships/hyperlink" Target="https://zakon.rada.gov.ua/laws/show/2755-17/print" TargetMode="External"/><Relationship Id="rId693" Type="http://schemas.openxmlformats.org/officeDocument/2006/relationships/hyperlink" Target="https://zakon.rada.gov.ua/laws/show/1797-19" TargetMode="External"/><Relationship Id="rId2167" Type="http://schemas.openxmlformats.org/officeDocument/2006/relationships/hyperlink" Target="https://zakon.rada.gov.ua/laws/show/1797-19" TargetMode="External"/><Relationship Id="rId2374" Type="http://schemas.openxmlformats.org/officeDocument/2006/relationships/hyperlink" Target="https://zakon.rada.gov.ua/laws/show/1668-18" TargetMode="External"/><Relationship Id="rId2581" Type="http://schemas.openxmlformats.org/officeDocument/2006/relationships/hyperlink" Target="https://zakon.rada.gov.ua/laws/show/2755-17/print" TargetMode="External"/><Relationship Id="rId3218" Type="http://schemas.openxmlformats.org/officeDocument/2006/relationships/hyperlink" Target="https://zakon.rada.gov.ua/laws/show/71-19" TargetMode="External"/><Relationship Id="rId3425" Type="http://schemas.openxmlformats.org/officeDocument/2006/relationships/hyperlink" Target="https://zakon.rada.gov.ua/laws/show/643-19" TargetMode="External"/><Relationship Id="rId3632" Type="http://schemas.openxmlformats.org/officeDocument/2006/relationships/hyperlink" Target="https://zakon.rada.gov.ua/laws/show/3609-17" TargetMode="External"/><Relationship Id="rId139" Type="http://schemas.openxmlformats.org/officeDocument/2006/relationships/hyperlink" Target="https://zakon.rada.gov.ua/laws/show/391-20" TargetMode="External"/><Relationship Id="rId346" Type="http://schemas.openxmlformats.org/officeDocument/2006/relationships/hyperlink" Target="https://zakon.rada.gov.ua/laws/show/71-19" TargetMode="External"/><Relationship Id="rId553" Type="http://schemas.openxmlformats.org/officeDocument/2006/relationships/hyperlink" Target="https://zakon.rada.gov.ua/laws/show/5083-17" TargetMode="External"/><Relationship Id="rId760" Type="http://schemas.openxmlformats.org/officeDocument/2006/relationships/hyperlink" Target="https://zakon.rada.gov.ua/laws/show/1797-19" TargetMode="External"/><Relationship Id="rId1183" Type="http://schemas.openxmlformats.org/officeDocument/2006/relationships/hyperlink" Target="https://zakon.rada.gov.ua/laws/show/2755-17/print" TargetMode="External"/><Relationship Id="rId1390" Type="http://schemas.openxmlformats.org/officeDocument/2006/relationships/hyperlink" Target="https://zakon.rada.gov.ua/laws/show/657-18" TargetMode="External"/><Relationship Id="rId2027" Type="http://schemas.openxmlformats.org/officeDocument/2006/relationships/hyperlink" Target="https://zakon.rada.gov.ua/laws/show/2628-19" TargetMode="External"/><Relationship Id="rId2234" Type="http://schemas.openxmlformats.org/officeDocument/2006/relationships/hyperlink" Target="https://zakon.rada.gov.ua/laws/show/2245-19" TargetMode="External"/><Relationship Id="rId2441" Type="http://schemas.openxmlformats.org/officeDocument/2006/relationships/hyperlink" Target="https://zakon.rada.gov.ua/laws/show/909-19" TargetMode="External"/><Relationship Id="rId5597" Type="http://schemas.openxmlformats.org/officeDocument/2006/relationships/hyperlink" Target="https://zakon.rada.gov.ua/laws/show/2755-17/print" TargetMode="External"/><Relationship Id="rId206" Type="http://schemas.openxmlformats.org/officeDocument/2006/relationships/hyperlink" Target="https://zakon.rada.gov.ua/laws/show/71-19" TargetMode="External"/><Relationship Id="rId413" Type="http://schemas.openxmlformats.org/officeDocument/2006/relationships/hyperlink" Target="https://zakon.rada.gov.ua/laws/show/5083-17" TargetMode="External"/><Relationship Id="rId1043" Type="http://schemas.openxmlformats.org/officeDocument/2006/relationships/hyperlink" Target="https://zakon.rada.gov.ua/laws/show/1797-19" TargetMode="External"/><Relationship Id="rId4199" Type="http://schemas.openxmlformats.org/officeDocument/2006/relationships/hyperlink" Target="https://zakon.rada.gov.ua/laws/show/2628-19" TargetMode="External"/><Relationship Id="rId620" Type="http://schemas.openxmlformats.org/officeDocument/2006/relationships/hyperlink" Target="https://zakon.rada.gov.ua/laws/show/354-20" TargetMode="External"/><Relationship Id="rId1250" Type="http://schemas.openxmlformats.org/officeDocument/2006/relationships/hyperlink" Target="https://zakon.rada.gov.ua/laws/show/909-19" TargetMode="External"/><Relationship Id="rId2301" Type="http://schemas.openxmlformats.org/officeDocument/2006/relationships/hyperlink" Target="https://zakon.rada.gov.ua/laws/show/2755-17/print" TargetMode="External"/><Relationship Id="rId4059" Type="http://schemas.openxmlformats.org/officeDocument/2006/relationships/hyperlink" Target="https://zakon.rada.gov.ua/laws/show/584%D0%B0-18" TargetMode="External"/><Relationship Id="rId5457" Type="http://schemas.openxmlformats.org/officeDocument/2006/relationships/hyperlink" Target="https://zakon.rada.gov.ua/laws/show/584%D0%B0-18" TargetMode="External"/><Relationship Id="rId5664" Type="http://schemas.openxmlformats.org/officeDocument/2006/relationships/hyperlink" Target="https://zakon.rada.gov.ua/laws/show/2755-17/print" TargetMode="External"/><Relationship Id="rId5871" Type="http://schemas.openxmlformats.org/officeDocument/2006/relationships/hyperlink" Target="https://zakon.rada.gov.ua/laws/show/2755-17/print" TargetMode="External"/><Relationship Id="rId1110" Type="http://schemas.openxmlformats.org/officeDocument/2006/relationships/hyperlink" Target="https://zakon.rada.gov.ua/laws/show/3609-17" TargetMode="External"/><Relationship Id="rId4266" Type="http://schemas.openxmlformats.org/officeDocument/2006/relationships/hyperlink" Target="https://zakon.rada.gov.ua/laws/show/391-20" TargetMode="External"/><Relationship Id="rId4473" Type="http://schemas.openxmlformats.org/officeDocument/2006/relationships/hyperlink" Target="https://zakon.rada.gov.ua/laws/show/1191-18" TargetMode="External"/><Relationship Id="rId4680" Type="http://schemas.openxmlformats.org/officeDocument/2006/relationships/hyperlink" Target="https://zakon.rada.gov.ua/laws/show/2497-19" TargetMode="External"/><Relationship Id="rId5317" Type="http://schemas.openxmlformats.org/officeDocument/2006/relationships/hyperlink" Target="https://zakon.rada.gov.ua/laws/show/2755-17/print" TargetMode="External"/><Relationship Id="rId5524" Type="http://schemas.openxmlformats.org/officeDocument/2006/relationships/hyperlink" Target="https://zakon.rada.gov.ua/laws/show/2755-17/print" TargetMode="External"/><Relationship Id="rId5731" Type="http://schemas.openxmlformats.org/officeDocument/2006/relationships/hyperlink" Target="https://zakon.rada.gov.ua/laws/show/404-18" TargetMode="External"/><Relationship Id="rId1927" Type="http://schemas.openxmlformats.org/officeDocument/2006/relationships/hyperlink" Target="https://zakon.rada.gov.ua/laws/show/3609-17" TargetMode="External"/><Relationship Id="rId3075" Type="http://schemas.openxmlformats.org/officeDocument/2006/relationships/hyperlink" Target="https://zakon.rada.gov.ua/laws/show/3609-17" TargetMode="External"/><Relationship Id="rId3282" Type="http://schemas.openxmlformats.org/officeDocument/2006/relationships/hyperlink" Target="https://zakon.rada.gov.ua/laws/show/1791-19" TargetMode="External"/><Relationship Id="rId4126" Type="http://schemas.openxmlformats.org/officeDocument/2006/relationships/hyperlink" Target="https://zakon.rada.gov.ua/laws/show/391-20" TargetMode="External"/><Relationship Id="rId4333" Type="http://schemas.openxmlformats.org/officeDocument/2006/relationships/hyperlink" Target="https://zakon.rada.gov.ua/laws/show/2628-19" TargetMode="External"/><Relationship Id="rId4540" Type="http://schemas.openxmlformats.org/officeDocument/2006/relationships/hyperlink" Target="https://zakon.rada.gov.ua/laws/show/2755-17/print" TargetMode="External"/><Relationship Id="rId2091" Type="http://schemas.openxmlformats.org/officeDocument/2006/relationships/hyperlink" Target="https://zakon.rada.gov.ua/laws/show/364-19" TargetMode="External"/><Relationship Id="rId3142" Type="http://schemas.openxmlformats.org/officeDocument/2006/relationships/hyperlink" Target="https://zakon.rada.gov.ua/laws/show/366-19" TargetMode="External"/><Relationship Id="rId4400" Type="http://schemas.openxmlformats.org/officeDocument/2006/relationships/hyperlink" Target="https://zakon.rada.gov.ua/laws/show/4235-17" TargetMode="External"/><Relationship Id="rId6298" Type="http://schemas.openxmlformats.org/officeDocument/2006/relationships/hyperlink" Target="https://zakon.rada.gov.ua/laws/show/2755-17/print" TargetMode="External"/><Relationship Id="rId270" Type="http://schemas.openxmlformats.org/officeDocument/2006/relationships/hyperlink" Target="https://zakon.rada.gov.ua/laws/show/404-18" TargetMode="External"/><Relationship Id="rId3002" Type="http://schemas.openxmlformats.org/officeDocument/2006/relationships/hyperlink" Target="https://zakon.rada.gov.ua/laws/show/1200-18" TargetMode="External"/><Relationship Id="rId6158" Type="http://schemas.openxmlformats.org/officeDocument/2006/relationships/hyperlink" Target="https://zakon.rada.gov.ua/laws/show/2755-17/print" TargetMode="External"/><Relationship Id="rId130" Type="http://schemas.openxmlformats.org/officeDocument/2006/relationships/hyperlink" Target="https://zakon.rada.gov.ua/laws/show/2530-19" TargetMode="External"/><Relationship Id="rId3959" Type="http://schemas.openxmlformats.org/officeDocument/2006/relationships/hyperlink" Target="https://zakon.rada.gov.ua/laws/show/2755-17/print" TargetMode="External"/><Relationship Id="rId5174" Type="http://schemas.openxmlformats.org/officeDocument/2006/relationships/hyperlink" Target="https://zakon.rada.gov.ua/laws/show/1690-18" TargetMode="External"/><Relationship Id="rId5381" Type="http://schemas.openxmlformats.org/officeDocument/2006/relationships/hyperlink" Target="https://zakon.rada.gov.ua/laws/show/2176-19" TargetMode="External"/><Relationship Id="rId6018" Type="http://schemas.openxmlformats.org/officeDocument/2006/relationships/hyperlink" Target="https://zakon.rada.gov.ua/laws/show/2611-19" TargetMode="External"/><Relationship Id="rId6225" Type="http://schemas.openxmlformats.org/officeDocument/2006/relationships/hyperlink" Target="https://zakon.rada.gov.ua/laws/show/2628-19" TargetMode="External"/><Relationship Id="rId2768" Type="http://schemas.openxmlformats.org/officeDocument/2006/relationships/hyperlink" Target="https://zakon.rada.gov.ua/laws/show/3609-17" TargetMode="External"/><Relationship Id="rId2975" Type="http://schemas.openxmlformats.org/officeDocument/2006/relationships/hyperlink" Target="https://zakon.rada.gov.ua/laws/show/2755-17/print" TargetMode="External"/><Relationship Id="rId3819" Type="http://schemas.openxmlformats.org/officeDocument/2006/relationships/hyperlink" Target="https://zakon.rada.gov.ua/laws/show/584%D0%B1-18" TargetMode="External"/><Relationship Id="rId5034" Type="http://schemas.openxmlformats.org/officeDocument/2006/relationships/hyperlink" Target="https://zakon.rada.gov.ua/laws/show/5083-17" TargetMode="External"/><Relationship Id="rId947" Type="http://schemas.openxmlformats.org/officeDocument/2006/relationships/hyperlink" Target="https://zakon.rada.gov.ua/laws/show/1797-19" TargetMode="External"/><Relationship Id="rId1577" Type="http://schemas.openxmlformats.org/officeDocument/2006/relationships/hyperlink" Target="https://zakon.rada.gov.ua/laws/show/2755-17/print" TargetMode="External"/><Relationship Id="rId1784" Type="http://schemas.openxmlformats.org/officeDocument/2006/relationships/hyperlink" Target="https://zakon.rada.gov.ua/laws/show/1797-19" TargetMode="External"/><Relationship Id="rId1991" Type="http://schemas.openxmlformats.org/officeDocument/2006/relationships/hyperlink" Target="https://zakon.rada.gov.ua/laws/show/2755-17/print" TargetMode="External"/><Relationship Id="rId2628" Type="http://schemas.openxmlformats.org/officeDocument/2006/relationships/hyperlink" Target="https://zakon.rada.gov.ua/laws/show/909-19" TargetMode="External"/><Relationship Id="rId2835" Type="http://schemas.openxmlformats.org/officeDocument/2006/relationships/hyperlink" Target="https://zakon.rada.gov.ua/laws/show/4834-17" TargetMode="External"/><Relationship Id="rId4190" Type="http://schemas.openxmlformats.org/officeDocument/2006/relationships/hyperlink" Target="https://zakon.rada.gov.ua/laws/show/922-19" TargetMode="External"/><Relationship Id="rId5241" Type="http://schemas.openxmlformats.org/officeDocument/2006/relationships/hyperlink" Target="https://zakon.rada.gov.ua/laws/show/1200-18" TargetMode="External"/><Relationship Id="rId76" Type="http://schemas.openxmlformats.org/officeDocument/2006/relationships/hyperlink" Target="https://zakon.rada.gov.ua/laws/show/1668-18" TargetMode="External"/><Relationship Id="rId807" Type="http://schemas.openxmlformats.org/officeDocument/2006/relationships/hyperlink" Target="https://zakon.rada.gov.ua/laws/show/1797-19" TargetMode="External"/><Relationship Id="rId1437" Type="http://schemas.openxmlformats.org/officeDocument/2006/relationships/hyperlink" Target="https://zakon.rada.gov.ua/laws/show/2755-17/print" TargetMode="External"/><Relationship Id="rId1644" Type="http://schemas.openxmlformats.org/officeDocument/2006/relationships/hyperlink" Target="https://zakon.rada.gov.ua/laws/show/3609-17" TargetMode="External"/><Relationship Id="rId1851" Type="http://schemas.openxmlformats.org/officeDocument/2006/relationships/hyperlink" Target="https://zakon.rada.gov.ua/laws/show/1244-2010-%D0%BF" TargetMode="External"/><Relationship Id="rId2902" Type="http://schemas.openxmlformats.org/officeDocument/2006/relationships/hyperlink" Target="https://zakon.rada.gov.ua/laws/show/657-18" TargetMode="External"/><Relationship Id="rId4050" Type="http://schemas.openxmlformats.org/officeDocument/2006/relationships/hyperlink" Target="https://zakon.rada.gov.ua/laws/show/71-19" TargetMode="External"/><Relationship Id="rId5101" Type="http://schemas.openxmlformats.org/officeDocument/2006/relationships/hyperlink" Target="https://zakon.rada.gov.ua/laws/show/71-19" TargetMode="External"/><Relationship Id="rId1504" Type="http://schemas.openxmlformats.org/officeDocument/2006/relationships/hyperlink" Target="https://zakon.rada.gov.ua/laws/show/2245-19" TargetMode="External"/><Relationship Id="rId1711" Type="http://schemas.openxmlformats.org/officeDocument/2006/relationships/hyperlink" Target="https://zakon.rada.gov.ua/laws/show/2755-17/print" TargetMode="External"/><Relationship Id="rId4867" Type="http://schemas.openxmlformats.org/officeDocument/2006/relationships/hyperlink" Target="https://zakon.rada.gov.ua/laws/show/2755-17/print" TargetMode="External"/><Relationship Id="rId3469" Type="http://schemas.openxmlformats.org/officeDocument/2006/relationships/hyperlink" Target="https://zakon.rada.gov.ua/laws/show/z0137-16" TargetMode="External"/><Relationship Id="rId3676" Type="http://schemas.openxmlformats.org/officeDocument/2006/relationships/hyperlink" Target="https://zakon.rada.gov.ua/laws/show/391-20" TargetMode="External"/><Relationship Id="rId5918" Type="http://schemas.openxmlformats.org/officeDocument/2006/relationships/hyperlink" Target="https://zakon.rada.gov.ua/laws/show/2374-19" TargetMode="External"/><Relationship Id="rId6082" Type="http://schemas.openxmlformats.org/officeDocument/2006/relationships/hyperlink" Target="https://zakon.rada.gov.ua/laws/show/2755-17/print" TargetMode="External"/><Relationship Id="rId597" Type="http://schemas.openxmlformats.org/officeDocument/2006/relationships/hyperlink" Target="https://zakon.rada.gov.ua/laws/show/71-19" TargetMode="External"/><Relationship Id="rId2278" Type="http://schemas.openxmlformats.org/officeDocument/2006/relationships/hyperlink" Target="https://zakon.rada.gov.ua/laws/show/2755-17/print" TargetMode="External"/><Relationship Id="rId2485" Type="http://schemas.openxmlformats.org/officeDocument/2006/relationships/hyperlink" Target="https://zakon.rada.gov.ua/laws/show/1166-18" TargetMode="External"/><Relationship Id="rId3329" Type="http://schemas.openxmlformats.org/officeDocument/2006/relationships/hyperlink" Target="https://zakon.rada.gov.ua/laws/show/2755-17/print" TargetMode="External"/><Relationship Id="rId3883" Type="http://schemas.openxmlformats.org/officeDocument/2006/relationships/hyperlink" Target="https://zakon.rada.gov.ua/laws/show/71-19" TargetMode="External"/><Relationship Id="rId4727" Type="http://schemas.openxmlformats.org/officeDocument/2006/relationships/hyperlink" Target="https://zakon.rada.gov.ua/laws/show/1797-19" TargetMode="External"/><Relationship Id="rId4934" Type="http://schemas.openxmlformats.org/officeDocument/2006/relationships/hyperlink" Target="https://zakon.rada.gov.ua/laws/show/71-19" TargetMode="External"/><Relationship Id="rId457" Type="http://schemas.openxmlformats.org/officeDocument/2006/relationships/hyperlink" Target="https://zakon.rada.gov.ua/laws/show/2245-19" TargetMode="External"/><Relationship Id="rId1087" Type="http://schemas.openxmlformats.org/officeDocument/2006/relationships/hyperlink" Target="https://zakon.rada.gov.ua/laws/show/5083-17" TargetMode="External"/><Relationship Id="rId1294" Type="http://schemas.openxmlformats.org/officeDocument/2006/relationships/hyperlink" Target="https://zakon.rada.gov.ua/laws/show/1797-19" TargetMode="External"/><Relationship Id="rId2138" Type="http://schemas.openxmlformats.org/officeDocument/2006/relationships/hyperlink" Target="https://zakon.rada.gov.ua/laws/show/2755-17/print" TargetMode="External"/><Relationship Id="rId2692" Type="http://schemas.openxmlformats.org/officeDocument/2006/relationships/hyperlink" Target="https://zakon.rada.gov.ua/laws/show/1797-19" TargetMode="External"/><Relationship Id="rId3536" Type="http://schemas.openxmlformats.org/officeDocument/2006/relationships/hyperlink" Target="https://zakon.rada.gov.ua/laws/show/z0159-16" TargetMode="External"/><Relationship Id="rId3743" Type="http://schemas.openxmlformats.org/officeDocument/2006/relationships/hyperlink" Target="https://zakon.rada.gov.ua/laws/show/584%D0%B0-18" TargetMode="External"/><Relationship Id="rId3950" Type="http://schemas.openxmlformats.org/officeDocument/2006/relationships/hyperlink" Target="https://zakon.rada.gov.ua/laws/show/1797-19" TargetMode="External"/><Relationship Id="rId664" Type="http://schemas.openxmlformats.org/officeDocument/2006/relationships/hyperlink" Target="https://zakon.rada.gov.ua/laws/show/1797-19" TargetMode="External"/><Relationship Id="rId871" Type="http://schemas.openxmlformats.org/officeDocument/2006/relationships/hyperlink" Target="https://zakon.rada.gov.ua/laws/show/2755-17/print" TargetMode="External"/><Relationship Id="rId2345" Type="http://schemas.openxmlformats.org/officeDocument/2006/relationships/hyperlink" Target="https://zakon.rada.gov.ua/laws/show/1166-18" TargetMode="External"/><Relationship Id="rId2552" Type="http://schemas.openxmlformats.org/officeDocument/2006/relationships/hyperlink" Target="https://zakon.rada.gov.ua/laws/show/z0700-17" TargetMode="External"/><Relationship Id="rId3603" Type="http://schemas.openxmlformats.org/officeDocument/2006/relationships/hyperlink" Target="https://zakon.rada.gov.ua/laws/show/2755-17/print" TargetMode="External"/><Relationship Id="rId3810" Type="http://schemas.openxmlformats.org/officeDocument/2006/relationships/hyperlink" Target="https://zakon.rada.gov.ua/laws/show/1797-19" TargetMode="External"/><Relationship Id="rId317" Type="http://schemas.openxmlformats.org/officeDocument/2006/relationships/hyperlink" Target="https://zakon.rada.gov.ua/laws/show/71-19" TargetMode="External"/><Relationship Id="rId524" Type="http://schemas.openxmlformats.org/officeDocument/2006/relationships/hyperlink" Target="https://zakon.rada.gov.ua/laws/show/1797-19" TargetMode="External"/><Relationship Id="rId731" Type="http://schemas.openxmlformats.org/officeDocument/2006/relationships/hyperlink" Target="https://zakon.rada.gov.ua/laws/show/1045-2017-%D0%BF" TargetMode="External"/><Relationship Id="rId1154" Type="http://schemas.openxmlformats.org/officeDocument/2006/relationships/hyperlink" Target="https://zakon.rada.gov.ua/laws/show/2755-17/print" TargetMode="External"/><Relationship Id="rId1361" Type="http://schemas.openxmlformats.org/officeDocument/2006/relationships/hyperlink" Target="https://zakon.rada.gov.ua/laws/show/1797-19" TargetMode="External"/><Relationship Id="rId2205" Type="http://schemas.openxmlformats.org/officeDocument/2006/relationships/hyperlink" Target="https://zakon.rada.gov.ua/laws/show/2628-19" TargetMode="External"/><Relationship Id="rId2412" Type="http://schemas.openxmlformats.org/officeDocument/2006/relationships/hyperlink" Target="https://zakon.rada.gov.ua/laws/show/1166-18" TargetMode="External"/><Relationship Id="rId5568" Type="http://schemas.openxmlformats.org/officeDocument/2006/relationships/hyperlink" Target="https://zakon.rada.gov.ua/laws/show/2755-17/print" TargetMode="External"/><Relationship Id="rId5775" Type="http://schemas.openxmlformats.org/officeDocument/2006/relationships/hyperlink" Target="https://zakon.rada.gov.ua/laws/show/71-19" TargetMode="External"/><Relationship Id="rId5982" Type="http://schemas.openxmlformats.org/officeDocument/2006/relationships/hyperlink" Target="https://zakon.rada.gov.ua/laws/show/584%D0%B0-18" TargetMode="External"/><Relationship Id="rId1014" Type="http://schemas.openxmlformats.org/officeDocument/2006/relationships/hyperlink" Target="https://zakon.rada.gov.ua/laws/show/z0137-16" TargetMode="External"/><Relationship Id="rId1221" Type="http://schemas.openxmlformats.org/officeDocument/2006/relationships/hyperlink" Target="https://zakon.rada.gov.ua/laws/show/5083-17" TargetMode="External"/><Relationship Id="rId4377" Type="http://schemas.openxmlformats.org/officeDocument/2006/relationships/hyperlink" Target="https://zakon.rada.gov.ua/laws/show/2245-19" TargetMode="External"/><Relationship Id="rId4584" Type="http://schemas.openxmlformats.org/officeDocument/2006/relationships/hyperlink" Target="https://zakon.rada.gov.ua/laws/show/652-19" TargetMode="External"/><Relationship Id="rId4791" Type="http://schemas.openxmlformats.org/officeDocument/2006/relationships/hyperlink" Target="https://zakon.rada.gov.ua/laws/show/909-19" TargetMode="External"/><Relationship Id="rId5428" Type="http://schemas.openxmlformats.org/officeDocument/2006/relationships/hyperlink" Target="https://zakon.rada.gov.ua/laws/show/5091-17" TargetMode="External"/><Relationship Id="rId5635" Type="http://schemas.openxmlformats.org/officeDocument/2006/relationships/hyperlink" Target="https://zakon.rada.gov.ua/laws/show/1797-19" TargetMode="External"/><Relationship Id="rId5842" Type="http://schemas.openxmlformats.org/officeDocument/2006/relationships/hyperlink" Target="https://zakon.rada.gov.ua/laws/show/5519-17" TargetMode="External"/><Relationship Id="rId3186" Type="http://schemas.openxmlformats.org/officeDocument/2006/relationships/hyperlink" Target="https://zakon.rada.gov.ua/laws/show/1797-19" TargetMode="External"/><Relationship Id="rId3393" Type="http://schemas.openxmlformats.org/officeDocument/2006/relationships/hyperlink" Target="https://zakon.rada.gov.ua/laws/show/z0137-16" TargetMode="External"/><Relationship Id="rId4237" Type="http://schemas.openxmlformats.org/officeDocument/2006/relationships/hyperlink" Target="https://zakon.rada.gov.ua/laws/show/2628-19" TargetMode="External"/><Relationship Id="rId4444" Type="http://schemas.openxmlformats.org/officeDocument/2006/relationships/hyperlink" Target="https://zakon.rada.gov.ua/laws/show/1191-18" TargetMode="External"/><Relationship Id="rId4651" Type="http://schemas.openxmlformats.org/officeDocument/2006/relationships/hyperlink" Target="https://zakon.rada.gov.ua/laws/show/2628-19" TargetMode="External"/><Relationship Id="rId3046" Type="http://schemas.openxmlformats.org/officeDocument/2006/relationships/hyperlink" Target="https://zakon.rada.gov.ua/laws/show/3609-17" TargetMode="External"/><Relationship Id="rId3253" Type="http://schemas.openxmlformats.org/officeDocument/2006/relationships/hyperlink" Target="https://zakon.rada.gov.ua/laws/show/909-19" TargetMode="External"/><Relationship Id="rId3460" Type="http://schemas.openxmlformats.org/officeDocument/2006/relationships/hyperlink" Target="https://zakon.rada.gov.ua/laws/show/076_009" TargetMode="External"/><Relationship Id="rId4304" Type="http://schemas.openxmlformats.org/officeDocument/2006/relationships/hyperlink" Target="https://zakon.rada.gov.ua/laws/show/2628-19" TargetMode="External"/><Relationship Id="rId5702" Type="http://schemas.openxmlformats.org/officeDocument/2006/relationships/hyperlink" Target="https://zakon.rada.gov.ua/laws/show/2628-19" TargetMode="External"/><Relationship Id="rId174" Type="http://schemas.openxmlformats.org/officeDocument/2006/relationships/hyperlink" Target="https://zakon.rada.gov.ua/laws/show/2456-17" TargetMode="External"/><Relationship Id="rId381" Type="http://schemas.openxmlformats.org/officeDocument/2006/relationships/hyperlink" Target="https://zakon.rada.gov.ua/laws/show/1797-19" TargetMode="External"/><Relationship Id="rId2062" Type="http://schemas.openxmlformats.org/officeDocument/2006/relationships/hyperlink" Target="https://zakon.rada.gov.ua/laws/show/2628-19" TargetMode="External"/><Relationship Id="rId3113" Type="http://schemas.openxmlformats.org/officeDocument/2006/relationships/hyperlink" Target="https://zakon.rada.gov.ua/laws/show/3609-17" TargetMode="External"/><Relationship Id="rId4511" Type="http://schemas.openxmlformats.org/officeDocument/2006/relationships/hyperlink" Target="https://zakon.rada.gov.ua/laws/show/812-19" TargetMode="External"/><Relationship Id="rId6269" Type="http://schemas.openxmlformats.org/officeDocument/2006/relationships/hyperlink" Target="https://zakon.rada.gov.ua/laws/show/2755-17/print" TargetMode="External"/><Relationship Id="rId241" Type="http://schemas.openxmlformats.org/officeDocument/2006/relationships/hyperlink" Target="https://zakon.rada.gov.ua/laws/show/71-19" TargetMode="External"/><Relationship Id="rId3320" Type="http://schemas.openxmlformats.org/officeDocument/2006/relationships/hyperlink" Target="https://zakon.rada.gov.ua/laws/show/1797-19" TargetMode="External"/><Relationship Id="rId5078" Type="http://schemas.openxmlformats.org/officeDocument/2006/relationships/hyperlink" Target="https://zakon.rada.gov.ua/laws/show/2755-17/print" TargetMode="External"/><Relationship Id="rId2879" Type="http://schemas.openxmlformats.org/officeDocument/2006/relationships/hyperlink" Target="https://zakon.rada.gov.ua/laws/show/076_009" TargetMode="External"/><Relationship Id="rId5285" Type="http://schemas.openxmlformats.org/officeDocument/2006/relationships/hyperlink" Target="https://zakon.rada.gov.ua/laws/show/1791-19" TargetMode="External"/><Relationship Id="rId5492" Type="http://schemas.openxmlformats.org/officeDocument/2006/relationships/hyperlink" Target="https://zakon.rada.gov.ua/laws/show/2755-17/print" TargetMode="External"/><Relationship Id="rId6129" Type="http://schemas.openxmlformats.org/officeDocument/2006/relationships/hyperlink" Target="https://zakon.rada.gov.ua/laws/show/334/94-%D0%B2%D1%80" TargetMode="External"/><Relationship Id="rId101" Type="http://schemas.openxmlformats.org/officeDocument/2006/relationships/hyperlink" Target="https://zakon.rada.gov.ua/laws/show/653-19" TargetMode="External"/><Relationship Id="rId1688" Type="http://schemas.openxmlformats.org/officeDocument/2006/relationships/hyperlink" Target="https://zakon.rada.gov.ua/laws/show/71-19" TargetMode="External"/><Relationship Id="rId1895" Type="http://schemas.openxmlformats.org/officeDocument/2006/relationships/hyperlink" Target="https://zakon.rada.gov.ua/laws/show/657-18" TargetMode="External"/><Relationship Id="rId2739" Type="http://schemas.openxmlformats.org/officeDocument/2006/relationships/hyperlink" Target="https://zakon.rada.gov.ua/laws/show/1797-19" TargetMode="External"/><Relationship Id="rId2946" Type="http://schemas.openxmlformats.org/officeDocument/2006/relationships/hyperlink" Target="https://zakon.rada.gov.ua/laws/show/71-19" TargetMode="External"/><Relationship Id="rId4094" Type="http://schemas.openxmlformats.org/officeDocument/2006/relationships/hyperlink" Target="https://zakon.rada.gov.ua/laws/show/391-20" TargetMode="External"/><Relationship Id="rId5145" Type="http://schemas.openxmlformats.org/officeDocument/2006/relationships/hyperlink" Target="https://zakon.rada.gov.ua/laws/show/5412-17" TargetMode="External"/><Relationship Id="rId5352" Type="http://schemas.openxmlformats.org/officeDocument/2006/relationships/hyperlink" Target="https://zakon.rada.gov.ua/laws/show/4915-17" TargetMode="External"/><Relationship Id="rId918" Type="http://schemas.openxmlformats.org/officeDocument/2006/relationships/hyperlink" Target="https://zakon.rada.gov.ua/laws/show/609-19" TargetMode="External"/><Relationship Id="rId1548" Type="http://schemas.openxmlformats.org/officeDocument/2006/relationships/hyperlink" Target="https://zakon.rada.gov.ua/laws/show/909-19" TargetMode="External"/><Relationship Id="rId1755" Type="http://schemas.openxmlformats.org/officeDocument/2006/relationships/hyperlink" Target="https://zakon.rada.gov.ua/laws/show/909-19" TargetMode="External"/><Relationship Id="rId4161" Type="http://schemas.openxmlformats.org/officeDocument/2006/relationships/hyperlink" Target="https://zakon.rada.gov.ua/laws/show/1638-18" TargetMode="External"/><Relationship Id="rId5005" Type="http://schemas.openxmlformats.org/officeDocument/2006/relationships/hyperlink" Target="https://zakon.rada.gov.ua/laws/show/2755-17/print" TargetMode="External"/><Relationship Id="rId5212" Type="http://schemas.openxmlformats.org/officeDocument/2006/relationships/hyperlink" Target="https://zakon.rada.gov.ua/laws/show/839-2013-%D0%BF" TargetMode="External"/><Relationship Id="rId1408" Type="http://schemas.openxmlformats.org/officeDocument/2006/relationships/hyperlink" Target="https://zakon.rada.gov.ua/laws/show/657-18" TargetMode="External"/><Relationship Id="rId1962" Type="http://schemas.openxmlformats.org/officeDocument/2006/relationships/hyperlink" Target="https://zakon.rada.gov.ua/laws/show/2755-17/print" TargetMode="External"/><Relationship Id="rId2806" Type="http://schemas.openxmlformats.org/officeDocument/2006/relationships/hyperlink" Target="https://zakon.rada.gov.ua/laws/show/187-2011-%D0%BF" TargetMode="External"/><Relationship Id="rId4021" Type="http://schemas.openxmlformats.org/officeDocument/2006/relationships/hyperlink" Target="https://zakon.rada.gov.ua/laws/show/584%D0%B0-18" TargetMode="External"/><Relationship Id="rId47" Type="http://schemas.openxmlformats.org/officeDocument/2006/relationships/hyperlink" Target="https://zakon.rada.gov.ua/laws/show/403-18" TargetMode="External"/><Relationship Id="rId1615" Type="http://schemas.openxmlformats.org/officeDocument/2006/relationships/hyperlink" Target="https://zakon.rada.gov.ua/laws/show/1797-19" TargetMode="External"/><Relationship Id="rId1822" Type="http://schemas.openxmlformats.org/officeDocument/2006/relationships/hyperlink" Target="https://zakon.rada.gov.ua/laws/show/1797-19" TargetMode="External"/><Relationship Id="rId4978" Type="http://schemas.openxmlformats.org/officeDocument/2006/relationships/hyperlink" Target="https://zakon.rada.gov.ua/laws/show/5083-17" TargetMode="External"/><Relationship Id="rId6193" Type="http://schemas.openxmlformats.org/officeDocument/2006/relationships/hyperlink" Target="https://zakon.rada.gov.ua/laws/show/1207-18" TargetMode="External"/><Relationship Id="rId3787" Type="http://schemas.openxmlformats.org/officeDocument/2006/relationships/hyperlink" Target="https://zakon.rada.gov.ua/laws/show/391-20" TargetMode="External"/><Relationship Id="rId3994" Type="http://schemas.openxmlformats.org/officeDocument/2006/relationships/hyperlink" Target="https://zakon.rada.gov.ua/laws/show/2628-19" TargetMode="External"/><Relationship Id="rId4838" Type="http://schemas.openxmlformats.org/officeDocument/2006/relationships/hyperlink" Target="https://zakon.rada.gov.ua/laws/show/71-19" TargetMode="External"/><Relationship Id="rId6053" Type="http://schemas.openxmlformats.org/officeDocument/2006/relationships/hyperlink" Target="https://zakon.rada.gov.ua/laws/show/2628-19" TargetMode="External"/><Relationship Id="rId2389" Type="http://schemas.openxmlformats.org/officeDocument/2006/relationships/hyperlink" Target="https://zakon.rada.gov.ua/laws/show/1791-19" TargetMode="External"/><Relationship Id="rId2596" Type="http://schemas.openxmlformats.org/officeDocument/2006/relationships/hyperlink" Target="https://zakon.rada.gov.ua/laws/show/2755-17/print" TargetMode="External"/><Relationship Id="rId3647" Type="http://schemas.openxmlformats.org/officeDocument/2006/relationships/hyperlink" Target="https://zakon.rada.gov.ua/laws/show/584%D0%B0-18" TargetMode="External"/><Relationship Id="rId3854" Type="http://schemas.openxmlformats.org/officeDocument/2006/relationships/hyperlink" Target="https://zakon.rada.gov.ua/laws/show/391-20" TargetMode="External"/><Relationship Id="rId4905" Type="http://schemas.openxmlformats.org/officeDocument/2006/relationships/hyperlink" Target="https://zakon.rada.gov.ua/laws/show/2755-17/print" TargetMode="External"/><Relationship Id="rId6260" Type="http://schemas.openxmlformats.org/officeDocument/2006/relationships/hyperlink" Target="https://zakon.rada.gov.ua/laws/show/2245-19" TargetMode="External"/><Relationship Id="rId568" Type="http://schemas.openxmlformats.org/officeDocument/2006/relationships/hyperlink" Target="https://zakon.rada.gov.ua/laws/show/5083-17" TargetMode="External"/><Relationship Id="rId775" Type="http://schemas.openxmlformats.org/officeDocument/2006/relationships/hyperlink" Target="https://zakon.rada.gov.ua/laws/show/2245-19" TargetMode="External"/><Relationship Id="rId982" Type="http://schemas.openxmlformats.org/officeDocument/2006/relationships/hyperlink" Target="https://zakon.rada.gov.ua/laws/show/1797-19" TargetMode="External"/><Relationship Id="rId1198" Type="http://schemas.openxmlformats.org/officeDocument/2006/relationships/hyperlink" Target="https://zakon.rada.gov.ua/laws/show/71-19" TargetMode="External"/><Relationship Id="rId2249" Type="http://schemas.openxmlformats.org/officeDocument/2006/relationships/hyperlink" Target="https://zakon.rada.gov.ua/laws/show/2755-17/print" TargetMode="External"/><Relationship Id="rId2456" Type="http://schemas.openxmlformats.org/officeDocument/2006/relationships/hyperlink" Target="https://zakon.rada.gov.ua/laws/show/5083-17" TargetMode="External"/><Relationship Id="rId2663" Type="http://schemas.openxmlformats.org/officeDocument/2006/relationships/hyperlink" Target="https://zakon.rada.gov.ua/laws/show/2755-17/print" TargetMode="External"/><Relationship Id="rId2870" Type="http://schemas.openxmlformats.org/officeDocument/2006/relationships/hyperlink" Target="https://zakon.rada.gov.ua/laws/show/657-18" TargetMode="External"/><Relationship Id="rId3507" Type="http://schemas.openxmlformats.org/officeDocument/2006/relationships/hyperlink" Target="https://zakon.rada.gov.ua/laws/show/z1415-15" TargetMode="External"/><Relationship Id="rId3714" Type="http://schemas.openxmlformats.org/officeDocument/2006/relationships/hyperlink" Target="https://zakon.rada.gov.ua/laws/show/2245-19" TargetMode="External"/><Relationship Id="rId3921" Type="http://schemas.openxmlformats.org/officeDocument/2006/relationships/hyperlink" Target="https://zakon.rada.gov.ua/laws/show/71-19" TargetMode="External"/><Relationship Id="rId6120" Type="http://schemas.openxmlformats.org/officeDocument/2006/relationships/hyperlink" Target="https://zakon.rada.gov.ua/laws/show/2755-17/print" TargetMode="External"/><Relationship Id="rId428" Type="http://schemas.openxmlformats.org/officeDocument/2006/relationships/hyperlink" Target="https://zakon.rada.gov.ua/laws/show/5503-17" TargetMode="External"/><Relationship Id="rId635" Type="http://schemas.openxmlformats.org/officeDocument/2006/relationships/hyperlink" Target="https://zakon.rada.gov.ua/laws/show/1797-19" TargetMode="External"/><Relationship Id="rId842" Type="http://schemas.openxmlformats.org/officeDocument/2006/relationships/hyperlink" Target="https://zakon.rada.gov.ua/laws/show/1797-19" TargetMode="External"/><Relationship Id="rId1058" Type="http://schemas.openxmlformats.org/officeDocument/2006/relationships/hyperlink" Target="https://zakon.rada.gov.ua/laws/show/2755-17/print" TargetMode="External"/><Relationship Id="rId1265" Type="http://schemas.openxmlformats.org/officeDocument/2006/relationships/hyperlink" Target="https://zakon.rada.gov.ua/laws/show/2755-17/print" TargetMode="External"/><Relationship Id="rId1472" Type="http://schemas.openxmlformats.org/officeDocument/2006/relationships/hyperlink" Target="https://zakon.rada.gov.ua/laws/show/71-19" TargetMode="External"/><Relationship Id="rId2109" Type="http://schemas.openxmlformats.org/officeDocument/2006/relationships/hyperlink" Target="https://zakon.rada.gov.ua/laws/show/z1415-15" TargetMode="External"/><Relationship Id="rId2316" Type="http://schemas.openxmlformats.org/officeDocument/2006/relationships/hyperlink" Target="https://zakon.rada.gov.ua/laws/show/4652-17" TargetMode="External"/><Relationship Id="rId2523" Type="http://schemas.openxmlformats.org/officeDocument/2006/relationships/hyperlink" Target="https://zakon.rada.gov.ua/laws/show/2755-17/print" TargetMode="External"/><Relationship Id="rId2730" Type="http://schemas.openxmlformats.org/officeDocument/2006/relationships/hyperlink" Target="https://zakon.rada.gov.ua/laws/show/3221-17" TargetMode="External"/><Relationship Id="rId5679" Type="http://schemas.openxmlformats.org/officeDocument/2006/relationships/hyperlink" Target="https://zakon.rada.gov.ua/laws/show/584%D0%B0-18" TargetMode="External"/><Relationship Id="rId5886" Type="http://schemas.openxmlformats.org/officeDocument/2006/relationships/hyperlink" Target="https://zakon.rada.gov.ua/laws/show/2755-17/print" TargetMode="External"/><Relationship Id="rId702" Type="http://schemas.openxmlformats.org/officeDocument/2006/relationships/hyperlink" Target="https://zakon.rada.gov.ua/laws/show/5519-17" TargetMode="External"/><Relationship Id="rId1125" Type="http://schemas.openxmlformats.org/officeDocument/2006/relationships/hyperlink" Target="https://zakon.rada.gov.ua/laws/show/2155-19" TargetMode="External"/><Relationship Id="rId1332" Type="http://schemas.openxmlformats.org/officeDocument/2006/relationships/hyperlink" Target="https://zakon.rada.gov.ua/laws/show/1797-19" TargetMode="External"/><Relationship Id="rId4488" Type="http://schemas.openxmlformats.org/officeDocument/2006/relationships/hyperlink" Target="https://zakon.rada.gov.ua/laws/show/076_009" TargetMode="External"/><Relationship Id="rId4695" Type="http://schemas.openxmlformats.org/officeDocument/2006/relationships/hyperlink" Target="https://zakon.rada.gov.ua/laws/show/71-19" TargetMode="External"/><Relationship Id="rId5539" Type="http://schemas.openxmlformats.org/officeDocument/2006/relationships/hyperlink" Target="https://zakon.rada.gov.ua/laws/show/2755-17/print" TargetMode="External"/><Relationship Id="rId3297" Type="http://schemas.openxmlformats.org/officeDocument/2006/relationships/hyperlink" Target="https://zakon.rada.gov.ua/laws/show/5519-17" TargetMode="External"/><Relationship Id="rId4348" Type="http://schemas.openxmlformats.org/officeDocument/2006/relationships/hyperlink" Target="https://zakon.rada.gov.ua/laws/show/2628-19" TargetMode="External"/><Relationship Id="rId5746" Type="http://schemas.openxmlformats.org/officeDocument/2006/relationships/hyperlink" Target="https://zakon.rada.gov.ua/laws/show/2755-17/print" TargetMode="External"/><Relationship Id="rId5953" Type="http://schemas.openxmlformats.org/officeDocument/2006/relationships/hyperlink" Target="https://zakon.rada.gov.ua/laws/show/3609-17" TargetMode="External"/><Relationship Id="rId3157" Type="http://schemas.openxmlformats.org/officeDocument/2006/relationships/hyperlink" Target="https://zakon.rada.gov.ua/laws/show/71-19" TargetMode="External"/><Relationship Id="rId4555" Type="http://schemas.openxmlformats.org/officeDocument/2006/relationships/hyperlink" Target="https://zakon.rada.gov.ua/laws/show/2755-17/print" TargetMode="External"/><Relationship Id="rId4762" Type="http://schemas.openxmlformats.org/officeDocument/2006/relationships/hyperlink" Target="https://zakon.rada.gov.ua/laws/show/z1171-15" TargetMode="External"/><Relationship Id="rId5606" Type="http://schemas.openxmlformats.org/officeDocument/2006/relationships/hyperlink" Target="https://zakon.rada.gov.ua/laws/show/2755-17/print" TargetMode="External"/><Relationship Id="rId5813" Type="http://schemas.openxmlformats.org/officeDocument/2006/relationships/hyperlink" Target="https://zakon.rada.gov.ua/laws/show/2755-17/print" TargetMode="External"/><Relationship Id="rId285" Type="http://schemas.openxmlformats.org/officeDocument/2006/relationships/hyperlink" Target="https://zakon.rada.gov.ua/laws/show/2628-19" TargetMode="External"/><Relationship Id="rId3364" Type="http://schemas.openxmlformats.org/officeDocument/2006/relationships/hyperlink" Target="https://zakon.rada.gov.ua/laws/show/909-19" TargetMode="External"/><Relationship Id="rId3571" Type="http://schemas.openxmlformats.org/officeDocument/2006/relationships/hyperlink" Target="https://zakon.rada.gov.ua/laws/show/4495-17" TargetMode="External"/><Relationship Id="rId4208" Type="http://schemas.openxmlformats.org/officeDocument/2006/relationships/hyperlink" Target="https://zakon.rada.gov.ua/laws/show/391-20" TargetMode="External"/><Relationship Id="rId4415" Type="http://schemas.openxmlformats.org/officeDocument/2006/relationships/hyperlink" Target="https://zakon.rada.gov.ua/laws/show/4235-17" TargetMode="External"/><Relationship Id="rId4622" Type="http://schemas.openxmlformats.org/officeDocument/2006/relationships/hyperlink" Target="https://zakon.rada.gov.ua/laws/show/z0785-15" TargetMode="External"/><Relationship Id="rId492" Type="http://schemas.openxmlformats.org/officeDocument/2006/relationships/hyperlink" Target="https://zakon.rada.gov.ua/laws/show/2755-17/print" TargetMode="External"/><Relationship Id="rId2173" Type="http://schemas.openxmlformats.org/officeDocument/2006/relationships/hyperlink" Target="https://zakon.rada.gov.ua/laws/show/1797-19" TargetMode="External"/><Relationship Id="rId2380" Type="http://schemas.openxmlformats.org/officeDocument/2006/relationships/hyperlink" Target="https://zakon.rada.gov.ua/laws/show/1797-19" TargetMode="External"/><Relationship Id="rId3017" Type="http://schemas.openxmlformats.org/officeDocument/2006/relationships/hyperlink" Target="https://zakon.rada.gov.ua/laws/show/71-19" TargetMode="External"/><Relationship Id="rId3224" Type="http://schemas.openxmlformats.org/officeDocument/2006/relationships/hyperlink" Target="https://zakon.rada.gov.ua/laws/show/643-19" TargetMode="External"/><Relationship Id="rId3431" Type="http://schemas.openxmlformats.org/officeDocument/2006/relationships/hyperlink" Target="https://zakon.rada.gov.ua/laws/show/643-19" TargetMode="External"/><Relationship Id="rId145" Type="http://schemas.openxmlformats.org/officeDocument/2006/relationships/hyperlink" Target="https://zakon.rada.gov.ua/laws/show/5083-17" TargetMode="External"/><Relationship Id="rId352" Type="http://schemas.openxmlformats.org/officeDocument/2006/relationships/hyperlink" Target="https://zakon.rada.gov.ua/laws/show/436-15" TargetMode="External"/><Relationship Id="rId2033" Type="http://schemas.openxmlformats.org/officeDocument/2006/relationships/hyperlink" Target="https://zakon.rada.gov.ua/laws/show/657-18" TargetMode="External"/><Relationship Id="rId2240" Type="http://schemas.openxmlformats.org/officeDocument/2006/relationships/hyperlink" Target="https://zakon.rada.gov.ua/laws/show/1977-19" TargetMode="External"/><Relationship Id="rId5189" Type="http://schemas.openxmlformats.org/officeDocument/2006/relationships/hyperlink" Target="https://zakon.rada.gov.ua/laws/show/2755-17/print" TargetMode="External"/><Relationship Id="rId5396" Type="http://schemas.openxmlformats.org/officeDocument/2006/relationships/hyperlink" Target="https://zakon.rada.gov.ua/laws/show/3675-17" TargetMode="External"/><Relationship Id="rId212" Type="http://schemas.openxmlformats.org/officeDocument/2006/relationships/hyperlink" Target="https://zakon.rada.gov.ua/laws/show/391-20" TargetMode="External"/><Relationship Id="rId1799" Type="http://schemas.openxmlformats.org/officeDocument/2006/relationships/hyperlink" Target="https://zakon.rada.gov.ua/laws/show/1797-19" TargetMode="External"/><Relationship Id="rId2100" Type="http://schemas.openxmlformats.org/officeDocument/2006/relationships/hyperlink" Target="https://zakon.rada.gov.ua/laws/show/909-19" TargetMode="External"/><Relationship Id="rId5049" Type="http://schemas.openxmlformats.org/officeDocument/2006/relationships/hyperlink" Target="https://zakon.rada.gov.ua/laws/show/4834-17" TargetMode="External"/><Relationship Id="rId5256" Type="http://schemas.openxmlformats.org/officeDocument/2006/relationships/hyperlink" Target="https://zakon.rada.gov.ua/laws/show/565-12" TargetMode="External"/><Relationship Id="rId5463" Type="http://schemas.openxmlformats.org/officeDocument/2006/relationships/hyperlink" Target="https://zakon.rada.gov.ua/laws/show/2463-19" TargetMode="External"/><Relationship Id="rId5670" Type="http://schemas.openxmlformats.org/officeDocument/2006/relationships/hyperlink" Target="https://zakon.rada.gov.ua/laws/show/584%D0%B0-18" TargetMode="External"/><Relationship Id="rId6307" Type="http://schemas.openxmlformats.org/officeDocument/2006/relationships/hyperlink" Target="https://zakon.rada.gov.ua/laws/show/1160-15" TargetMode="External"/><Relationship Id="rId4065" Type="http://schemas.openxmlformats.org/officeDocument/2006/relationships/hyperlink" Target="https://zakon.rada.gov.ua/laws/show/2755-17/print" TargetMode="External"/><Relationship Id="rId4272" Type="http://schemas.openxmlformats.org/officeDocument/2006/relationships/hyperlink" Target="https://zakon.rada.gov.ua/laws/show/391-20" TargetMode="External"/><Relationship Id="rId5116" Type="http://schemas.openxmlformats.org/officeDocument/2006/relationships/hyperlink" Target="https://zakon.rada.gov.ua/laws/show/5412-17" TargetMode="External"/><Relationship Id="rId5323" Type="http://schemas.openxmlformats.org/officeDocument/2006/relationships/hyperlink" Target="https://zakon.rada.gov.ua/laws/show/404-18" TargetMode="External"/><Relationship Id="rId1659" Type="http://schemas.openxmlformats.org/officeDocument/2006/relationships/hyperlink" Target="https://zakon.rada.gov.ua/laws/show/5519-17" TargetMode="External"/><Relationship Id="rId1866" Type="http://schemas.openxmlformats.org/officeDocument/2006/relationships/hyperlink" Target="https://zakon.rada.gov.ua/laws/show/3609-17" TargetMode="External"/><Relationship Id="rId2917" Type="http://schemas.openxmlformats.org/officeDocument/2006/relationships/hyperlink" Target="https://zakon.rada.gov.ua/laws/show/1797-19" TargetMode="External"/><Relationship Id="rId3081" Type="http://schemas.openxmlformats.org/officeDocument/2006/relationships/hyperlink" Target="https://zakon.rada.gov.ua/laws/show/4220-17" TargetMode="External"/><Relationship Id="rId4132" Type="http://schemas.openxmlformats.org/officeDocument/2006/relationships/hyperlink" Target="https://zakon.rada.gov.ua/laws/show/71-19" TargetMode="External"/><Relationship Id="rId5530" Type="http://schemas.openxmlformats.org/officeDocument/2006/relationships/hyperlink" Target="https://zakon.rada.gov.ua/laws/show/1797-19" TargetMode="External"/><Relationship Id="rId1519" Type="http://schemas.openxmlformats.org/officeDocument/2006/relationships/hyperlink" Target="https://zakon.rada.gov.ua/laws/show/1797-19" TargetMode="External"/><Relationship Id="rId1726" Type="http://schemas.openxmlformats.org/officeDocument/2006/relationships/hyperlink" Target="https://zakon.rada.gov.ua/laws/show/4834-17" TargetMode="External"/><Relationship Id="rId1933" Type="http://schemas.openxmlformats.org/officeDocument/2006/relationships/hyperlink" Target="https://zakon.rada.gov.ua/laws/show/5083-17" TargetMode="External"/><Relationship Id="rId6097" Type="http://schemas.openxmlformats.org/officeDocument/2006/relationships/hyperlink" Target="https://zakon.rada.gov.ua/laws/show/909-19" TargetMode="External"/><Relationship Id="rId18" Type="http://schemas.openxmlformats.org/officeDocument/2006/relationships/hyperlink" Target="https://zakon.rada.gov.ua/laws/show/4212-17" TargetMode="External"/><Relationship Id="rId3898" Type="http://schemas.openxmlformats.org/officeDocument/2006/relationships/hyperlink" Target="https://zakon.rada.gov.ua/laws/show/71-19" TargetMode="External"/><Relationship Id="rId4949" Type="http://schemas.openxmlformats.org/officeDocument/2006/relationships/hyperlink" Target="https://zakon.rada.gov.ua/laws/show/71-19" TargetMode="External"/><Relationship Id="rId3758" Type="http://schemas.openxmlformats.org/officeDocument/2006/relationships/hyperlink" Target="https://zakon.rada.gov.ua/laws/show/2245-19" TargetMode="External"/><Relationship Id="rId3965" Type="http://schemas.openxmlformats.org/officeDocument/2006/relationships/hyperlink" Target="https://zakon.rada.gov.ua/laws/show/2628-19" TargetMode="External"/><Relationship Id="rId4809" Type="http://schemas.openxmlformats.org/officeDocument/2006/relationships/hyperlink" Target="https://zakon.rada.gov.ua/laws/show/4014-17" TargetMode="External"/><Relationship Id="rId6164" Type="http://schemas.openxmlformats.org/officeDocument/2006/relationships/hyperlink" Target="https://zakon.rada.gov.ua/laws/show/71-19" TargetMode="External"/><Relationship Id="rId679" Type="http://schemas.openxmlformats.org/officeDocument/2006/relationships/hyperlink" Target="https://zakon.rada.gov.ua/laws/show/909-19" TargetMode="External"/><Relationship Id="rId886" Type="http://schemas.openxmlformats.org/officeDocument/2006/relationships/hyperlink" Target="https://zakon.rada.gov.ua/laws/show/1797-19" TargetMode="External"/><Relationship Id="rId2567" Type="http://schemas.openxmlformats.org/officeDocument/2006/relationships/hyperlink" Target="https://zakon.rada.gov.ua/laws/show/3609-17" TargetMode="External"/><Relationship Id="rId2774" Type="http://schemas.openxmlformats.org/officeDocument/2006/relationships/hyperlink" Target="https://zakon.rada.gov.ua/laws/show/4661-17" TargetMode="External"/><Relationship Id="rId3618" Type="http://schemas.openxmlformats.org/officeDocument/2006/relationships/hyperlink" Target="https://zakon.rada.gov.ua/laws/show/2755-17/print" TargetMode="External"/><Relationship Id="rId5180" Type="http://schemas.openxmlformats.org/officeDocument/2006/relationships/hyperlink" Target="https://zakon.rada.gov.ua/laws/show/1797-19" TargetMode="External"/><Relationship Id="rId6024" Type="http://schemas.openxmlformats.org/officeDocument/2006/relationships/hyperlink" Target="https://zakon.rada.gov.ua/laws/show/2755-17/print" TargetMode="External"/><Relationship Id="rId6231" Type="http://schemas.openxmlformats.org/officeDocument/2006/relationships/hyperlink" Target="https://zakon.rada.gov.ua/laws/show/2755-17/print" TargetMode="External"/><Relationship Id="rId2" Type="http://schemas.openxmlformats.org/officeDocument/2006/relationships/styles" Target="styles.xml"/><Relationship Id="rId539" Type="http://schemas.openxmlformats.org/officeDocument/2006/relationships/hyperlink" Target="https://zakon.rada.gov.ua/laws/show/391-20" TargetMode="External"/><Relationship Id="rId746" Type="http://schemas.openxmlformats.org/officeDocument/2006/relationships/hyperlink" Target="https://zakon.rada.gov.ua/laws/show/851-15" TargetMode="External"/><Relationship Id="rId1169" Type="http://schemas.openxmlformats.org/officeDocument/2006/relationships/hyperlink" Target="https://zakon.rada.gov.ua/laws/show/5503-17" TargetMode="External"/><Relationship Id="rId1376" Type="http://schemas.openxmlformats.org/officeDocument/2006/relationships/hyperlink" Target="https://zakon.rada.gov.ua/laws/show/404-18" TargetMode="External"/><Relationship Id="rId1583" Type="http://schemas.openxmlformats.org/officeDocument/2006/relationships/hyperlink" Target="https://zakon.rada.gov.ua/laws/show/909-19" TargetMode="External"/><Relationship Id="rId2427" Type="http://schemas.openxmlformats.org/officeDocument/2006/relationships/hyperlink" Target="https://zakon.rada.gov.ua/laws/show/1797-19" TargetMode="External"/><Relationship Id="rId2981" Type="http://schemas.openxmlformats.org/officeDocument/2006/relationships/hyperlink" Target="https://zakon.rada.gov.ua/laws/show/2755-17/print" TargetMode="External"/><Relationship Id="rId3825" Type="http://schemas.openxmlformats.org/officeDocument/2006/relationships/hyperlink" Target="https://zakon.rada.gov.ua/laws/show/71-19" TargetMode="External"/><Relationship Id="rId5040" Type="http://schemas.openxmlformats.org/officeDocument/2006/relationships/hyperlink" Target="https://zakon.rada.gov.ua/laws/show/2755-17/print" TargetMode="External"/><Relationship Id="rId953" Type="http://schemas.openxmlformats.org/officeDocument/2006/relationships/hyperlink" Target="https://zakon.rada.gov.ua/laws/show/2245-19" TargetMode="External"/><Relationship Id="rId1029" Type="http://schemas.openxmlformats.org/officeDocument/2006/relationships/hyperlink" Target="https://zakon.rada.gov.ua/laws/show/1797-19" TargetMode="External"/><Relationship Id="rId1236" Type="http://schemas.openxmlformats.org/officeDocument/2006/relationships/hyperlink" Target="https://zakon.rada.gov.ua/laws/show/1797-19" TargetMode="External"/><Relationship Id="rId1790" Type="http://schemas.openxmlformats.org/officeDocument/2006/relationships/hyperlink" Target="https://zakon.rada.gov.ua/laws/show/1797-19" TargetMode="External"/><Relationship Id="rId2634" Type="http://schemas.openxmlformats.org/officeDocument/2006/relationships/hyperlink" Target="https://zakon.rada.gov.ua/laws/show/2755-17/print" TargetMode="External"/><Relationship Id="rId2841" Type="http://schemas.openxmlformats.org/officeDocument/2006/relationships/hyperlink" Target="https://zakon.rada.gov.ua/laws/show/4834-17" TargetMode="External"/><Relationship Id="rId5997" Type="http://schemas.openxmlformats.org/officeDocument/2006/relationships/hyperlink" Target="https://zakon.rada.gov.ua/laws/show/2628-19" TargetMode="External"/><Relationship Id="rId82" Type="http://schemas.openxmlformats.org/officeDocument/2006/relationships/hyperlink" Target="https://zakon.rada.gov.ua/laws/show/206-19" TargetMode="External"/><Relationship Id="rId606" Type="http://schemas.openxmlformats.org/officeDocument/2006/relationships/hyperlink" Target="https://zakon.rada.gov.ua/laws/show/1910-19" TargetMode="External"/><Relationship Id="rId813" Type="http://schemas.openxmlformats.org/officeDocument/2006/relationships/hyperlink" Target="https://zakon.rada.gov.ua/laws/show/z0547-18" TargetMode="External"/><Relationship Id="rId1443" Type="http://schemas.openxmlformats.org/officeDocument/2006/relationships/hyperlink" Target="https://zakon.rada.gov.ua/laws/show/71-19" TargetMode="External"/><Relationship Id="rId1650" Type="http://schemas.openxmlformats.org/officeDocument/2006/relationships/hyperlink" Target="https://zakon.rada.gov.ua/laws/show/1797-19" TargetMode="External"/><Relationship Id="rId2701" Type="http://schemas.openxmlformats.org/officeDocument/2006/relationships/hyperlink" Target="https://zakon.rada.gov.ua/laws/show/2755-17/print" TargetMode="External"/><Relationship Id="rId4599" Type="http://schemas.openxmlformats.org/officeDocument/2006/relationships/hyperlink" Target="https://zakon.rada.gov.ua/laws/show/909-19" TargetMode="External"/><Relationship Id="rId5857" Type="http://schemas.openxmlformats.org/officeDocument/2006/relationships/hyperlink" Target="https://zakon.rada.gov.ua/laws/show/1797-19" TargetMode="External"/><Relationship Id="rId1303" Type="http://schemas.openxmlformats.org/officeDocument/2006/relationships/hyperlink" Target="https://zakon.rada.gov.ua/laws/show/1797-19" TargetMode="External"/><Relationship Id="rId1510" Type="http://schemas.openxmlformats.org/officeDocument/2006/relationships/hyperlink" Target="https://zakon.rada.gov.ua/laws/show/1797-19" TargetMode="External"/><Relationship Id="rId4459" Type="http://schemas.openxmlformats.org/officeDocument/2006/relationships/hyperlink" Target="https://zakon.rada.gov.ua/laws/show/1191-18" TargetMode="External"/><Relationship Id="rId4666" Type="http://schemas.openxmlformats.org/officeDocument/2006/relationships/hyperlink" Target="https://zakon.rada.gov.ua/laws/show/909-19" TargetMode="External"/><Relationship Id="rId4873" Type="http://schemas.openxmlformats.org/officeDocument/2006/relationships/hyperlink" Target="https://zakon.rada.gov.ua/laws/show/2755-17/print" TargetMode="External"/><Relationship Id="rId5717" Type="http://schemas.openxmlformats.org/officeDocument/2006/relationships/hyperlink" Target="https://zakon.rada.gov.ua/laws/show/2755-17/print" TargetMode="External"/><Relationship Id="rId5924" Type="http://schemas.openxmlformats.org/officeDocument/2006/relationships/hyperlink" Target="https://zakon.rada.gov.ua/laws/show/713-18" TargetMode="External"/><Relationship Id="rId3268" Type="http://schemas.openxmlformats.org/officeDocument/2006/relationships/hyperlink" Target="https://zakon.rada.gov.ua/laws/show/909-19" TargetMode="External"/><Relationship Id="rId3475" Type="http://schemas.openxmlformats.org/officeDocument/2006/relationships/hyperlink" Target="https://zakon.rada.gov.ua/laws/show/z0137-16" TargetMode="External"/><Relationship Id="rId3682" Type="http://schemas.openxmlformats.org/officeDocument/2006/relationships/hyperlink" Target="https://zakon.rada.gov.ua/laws/show/391-20" TargetMode="External"/><Relationship Id="rId4319" Type="http://schemas.openxmlformats.org/officeDocument/2006/relationships/hyperlink" Target="https://zakon.rada.gov.ua/laws/show/2628-19" TargetMode="External"/><Relationship Id="rId4526" Type="http://schemas.openxmlformats.org/officeDocument/2006/relationships/hyperlink" Target="https://zakon.rada.gov.ua/laws/show/1797-19" TargetMode="External"/><Relationship Id="rId4733" Type="http://schemas.openxmlformats.org/officeDocument/2006/relationships/hyperlink" Target="https://zakon.rada.gov.ua/laws/show/71-19" TargetMode="External"/><Relationship Id="rId4940" Type="http://schemas.openxmlformats.org/officeDocument/2006/relationships/hyperlink" Target="https://zakon.rada.gov.ua/laws/show/71-19" TargetMode="External"/><Relationship Id="rId189" Type="http://schemas.openxmlformats.org/officeDocument/2006/relationships/hyperlink" Target="https://zakon.rada.gov.ua/laws/show/2628-19" TargetMode="External"/><Relationship Id="rId396" Type="http://schemas.openxmlformats.org/officeDocument/2006/relationships/hyperlink" Target="https://zakon.rada.gov.ua/laws/show/z0751-99" TargetMode="External"/><Relationship Id="rId2077" Type="http://schemas.openxmlformats.org/officeDocument/2006/relationships/hyperlink" Target="https://zakon.rada.gov.ua/laws/show/1797-19" TargetMode="External"/><Relationship Id="rId2284" Type="http://schemas.openxmlformats.org/officeDocument/2006/relationships/hyperlink" Target="https://zakon.rada.gov.ua/laws/show/1057-15" TargetMode="External"/><Relationship Id="rId2491" Type="http://schemas.openxmlformats.org/officeDocument/2006/relationships/hyperlink" Target="https://zakon.rada.gov.ua/laws/show/1797-19" TargetMode="External"/><Relationship Id="rId3128" Type="http://schemas.openxmlformats.org/officeDocument/2006/relationships/hyperlink" Target="https://zakon.rada.gov.ua/laws/show/713-18" TargetMode="External"/><Relationship Id="rId3335" Type="http://schemas.openxmlformats.org/officeDocument/2006/relationships/hyperlink" Target="https://zakon.rada.gov.ua/laws/show/1797-19" TargetMode="External"/><Relationship Id="rId3542" Type="http://schemas.openxmlformats.org/officeDocument/2006/relationships/hyperlink" Target="https://zakon.rada.gov.ua/laws/show/117-2018-%D0%BF" TargetMode="External"/><Relationship Id="rId256" Type="http://schemas.openxmlformats.org/officeDocument/2006/relationships/hyperlink" Target="https://zakon.rada.gov.ua/laws/show/3609-17" TargetMode="External"/><Relationship Id="rId463" Type="http://schemas.openxmlformats.org/officeDocument/2006/relationships/hyperlink" Target="https://zakon.rada.gov.ua/laws/show/2245-19" TargetMode="External"/><Relationship Id="rId670" Type="http://schemas.openxmlformats.org/officeDocument/2006/relationships/hyperlink" Target="https://zakon.rada.gov.ua/laws/show/2464-17" TargetMode="External"/><Relationship Id="rId1093" Type="http://schemas.openxmlformats.org/officeDocument/2006/relationships/hyperlink" Target="https://zakon.rada.gov.ua/laws/show/2755-17/print" TargetMode="External"/><Relationship Id="rId2144" Type="http://schemas.openxmlformats.org/officeDocument/2006/relationships/hyperlink" Target="https://zakon.rada.gov.ua/laws/show/909-19" TargetMode="External"/><Relationship Id="rId2351" Type="http://schemas.openxmlformats.org/officeDocument/2006/relationships/hyperlink" Target="https://zakon.rada.gov.ua/laws/show/344-20" TargetMode="External"/><Relationship Id="rId3402" Type="http://schemas.openxmlformats.org/officeDocument/2006/relationships/hyperlink" Target="https://zakon.rada.gov.ua/laws/show/4834-17" TargetMode="External"/><Relationship Id="rId4800" Type="http://schemas.openxmlformats.org/officeDocument/2006/relationships/hyperlink" Target="https://zakon.rada.gov.ua/laws/show/435-15" TargetMode="External"/><Relationship Id="rId116" Type="http://schemas.openxmlformats.org/officeDocument/2006/relationships/hyperlink" Target="https://zakon.rada.gov.ua/laws/show/1910-19" TargetMode="External"/><Relationship Id="rId323" Type="http://schemas.openxmlformats.org/officeDocument/2006/relationships/hyperlink" Target="https://zakon.rada.gov.ua/laws/show/609-19" TargetMode="External"/><Relationship Id="rId530" Type="http://schemas.openxmlformats.org/officeDocument/2006/relationships/hyperlink" Target="https://zakon.rada.gov.ua/laws/show/2628-19" TargetMode="External"/><Relationship Id="rId1160" Type="http://schemas.openxmlformats.org/officeDocument/2006/relationships/hyperlink" Target="https://zakon.rada.gov.ua/laws/show/4661-17" TargetMode="External"/><Relationship Id="rId2004" Type="http://schemas.openxmlformats.org/officeDocument/2006/relationships/hyperlink" Target="https://zakon.rada.gov.ua/laws/show/z0137-16" TargetMode="External"/><Relationship Id="rId2211" Type="http://schemas.openxmlformats.org/officeDocument/2006/relationships/hyperlink" Target="https://zakon.rada.gov.ua/laws/show/652-19" TargetMode="External"/><Relationship Id="rId5367" Type="http://schemas.openxmlformats.org/officeDocument/2006/relationships/hyperlink" Target="https://zakon.rada.gov.ua/laws/show/3609-17" TargetMode="External"/><Relationship Id="rId4176" Type="http://schemas.openxmlformats.org/officeDocument/2006/relationships/hyperlink" Target="https://zakon.rada.gov.ua/laws/show/909-19" TargetMode="External"/><Relationship Id="rId5574" Type="http://schemas.openxmlformats.org/officeDocument/2006/relationships/hyperlink" Target="https://zakon.rada.gov.ua/laws/show/2755-17/print" TargetMode="External"/><Relationship Id="rId5781" Type="http://schemas.openxmlformats.org/officeDocument/2006/relationships/hyperlink" Target="https://zakon.rada.gov.ua/laws/show/2755-17/print" TargetMode="External"/><Relationship Id="rId1020" Type="http://schemas.openxmlformats.org/officeDocument/2006/relationships/hyperlink" Target="https://zakon.rada.gov.ua/laws/show/2725-19" TargetMode="External"/><Relationship Id="rId1977" Type="http://schemas.openxmlformats.org/officeDocument/2006/relationships/hyperlink" Target="https://zakon.rada.gov.ua/laws/show/2755-17/print" TargetMode="External"/><Relationship Id="rId4383" Type="http://schemas.openxmlformats.org/officeDocument/2006/relationships/hyperlink" Target="https://zakon.rada.gov.ua/laws/show/2245-19" TargetMode="External"/><Relationship Id="rId4590" Type="http://schemas.openxmlformats.org/officeDocument/2006/relationships/hyperlink" Target="https://zakon.rada.gov.ua/laws/show/909-19" TargetMode="External"/><Relationship Id="rId5227" Type="http://schemas.openxmlformats.org/officeDocument/2006/relationships/hyperlink" Target="https://zakon.rada.gov.ua/laws/show/215-19" TargetMode="External"/><Relationship Id="rId5434" Type="http://schemas.openxmlformats.org/officeDocument/2006/relationships/hyperlink" Target="https://zakon.rada.gov.ua/laws/show/2755-17/print" TargetMode="External"/><Relationship Id="rId5641" Type="http://schemas.openxmlformats.org/officeDocument/2006/relationships/hyperlink" Target="https://zakon.rada.gov.ua/laws/show/2755-17/print" TargetMode="External"/><Relationship Id="rId1837" Type="http://schemas.openxmlformats.org/officeDocument/2006/relationships/hyperlink" Target="https://zakon.rada.gov.ua/laws/show/657-18" TargetMode="External"/><Relationship Id="rId3192" Type="http://schemas.openxmlformats.org/officeDocument/2006/relationships/hyperlink" Target="https://zakon.rada.gov.ua/laws/show/909-19" TargetMode="External"/><Relationship Id="rId4036" Type="http://schemas.openxmlformats.org/officeDocument/2006/relationships/hyperlink" Target="https://zakon.rada.gov.ua/laws/show/1791-19" TargetMode="External"/><Relationship Id="rId4243" Type="http://schemas.openxmlformats.org/officeDocument/2006/relationships/hyperlink" Target="https://zakon.rada.gov.ua/laws/show/391-20" TargetMode="External"/><Relationship Id="rId4450" Type="http://schemas.openxmlformats.org/officeDocument/2006/relationships/hyperlink" Target="https://zakon.rada.gov.ua/laws/show/1191-18" TargetMode="External"/><Relationship Id="rId5501" Type="http://schemas.openxmlformats.org/officeDocument/2006/relationships/hyperlink" Target="https://zakon.rada.gov.ua/laws/show/2755-17/print" TargetMode="External"/><Relationship Id="rId3052" Type="http://schemas.openxmlformats.org/officeDocument/2006/relationships/hyperlink" Target="https://zakon.rada.gov.ua/laws/show/5083-17" TargetMode="External"/><Relationship Id="rId4103" Type="http://schemas.openxmlformats.org/officeDocument/2006/relationships/hyperlink" Target="https://zakon.rada.gov.ua/laws/show/391-20" TargetMode="External"/><Relationship Id="rId4310" Type="http://schemas.openxmlformats.org/officeDocument/2006/relationships/hyperlink" Target="https://zakon.rada.gov.ua/laws/show/2628-19" TargetMode="External"/><Relationship Id="rId180" Type="http://schemas.openxmlformats.org/officeDocument/2006/relationships/hyperlink" Target="https://zakon.rada.gov.ua/laws/show/71-19" TargetMode="External"/><Relationship Id="rId1904" Type="http://schemas.openxmlformats.org/officeDocument/2006/relationships/hyperlink" Target="https://zakon.rada.gov.ua/laws/show/1797-19" TargetMode="External"/><Relationship Id="rId6068" Type="http://schemas.openxmlformats.org/officeDocument/2006/relationships/hyperlink" Target="https://zakon.rada.gov.ua/laws/show/71-19" TargetMode="External"/><Relationship Id="rId6275" Type="http://schemas.openxmlformats.org/officeDocument/2006/relationships/hyperlink" Target="https://zakon.rada.gov.ua/laws/show/2755-17/print" TargetMode="External"/><Relationship Id="rId3869" Type="http://schemas.openxmlformats.org/officeDocument/2006/relationships/hyperlink" Target="https://zakon.rada.gov.ua/laws/show/4495-17" TargetMode="External"/><Relationship Id="rId5084" Type="http://schemas.openxmlformats.org/officeDocument/2006/relationships/hyperlink" Target="https://zakon.rada.gov.ua/laws/show/2497-19" TargetMode="External"/><Relationship Id="rId5291" Type="http://schemas.openxmlformats.org/officeDocument/2006/relationships/hyperlink" Target="https://zakon.rada.gov.ua/laws/show/2456-17" TargetMode="External"/><Relationship Id="rId6135" Type="http://schemas.openxmlformats.org/officeDocument/2006/relationships/hyperlink" Target="https://zakon.rada.gov.ua/laws/show/3609-17" TargetMode="External"/><Relationship Id="rId997" Type="http://schemas.openxmlformats.org/officeDocument/2006/relationships/hyperlink" Target="https://zakon.rada.gov.ua/laws/show/2725-19" TargetMode="External"/><Relationship Id="rId2678" Type="http://schemas.openxmlformats.org/officeDocument/2006/relationships/hyperlink" Target="https://zakon.rada.gov.ua/laws/show/2755-17/print" TargetMode="External"/><Relationship Id="rId2885" Type="http://schemas.openxmlformats.org/officeDocument/2006/relationships/hyperlink" Target="https://zakon.rada.gov.ua/laws/show/657-18" TargetMode="External"/><Relationship Id="rId3729" Type="http://schemas.openxmlformats.org/officeDocument/2006/relationships/hyperlink" Target="https://zakon.rada.gov.ua/laws/show/2755-17/print" TargetMode="External"/><Relationship Id="rId3936" Type="http://schemas.openxmlformats.org/officeDocument/2006/relationships/hyperlink" Target="https://zakon.rada.gov.ua/laws/show/404-18" TargetMode="External"/><Relationship Id="rId5151" Type="http://schemas.openxmlformats.org/officeDocument/2006/relationships/hyperlink" Target="https://zakon.rada.gov.ua/laws/show/5412-17" TargetMode="External"/><Relationship Id="rId857" Type="http://schemas.openxmlformats.org/officeDocument/2006/relationships/hyperlink" Target="https://zakon.rada.gov.ua/laws/show/2245-19" TargetMode="External"/><Relationship Id="rId1487" Type="http://schemas.openxmlformats.org/officeDocument/2006/relationships/hyperlink" Target="https://zakon.rada.gov.ua/laws/show/323-20" TargetMode="External"/><Relationship Id="rId1694" Type="http://schemas.openxmlformats.org/officeDocument/2006/relationships/hyperlink" Target="https://zakon.rada.gov.ua/laws/show/1797-19" TargetMode="External"/><Relationship Id="rId2538" Type="http://schemas.openxmlformats.org/officeDocument/2006/relationships/hyperlink" Target="https://zakon.rada.gov.ua/laws/show/3609-17" TargetMode="External"/><Relationship Id="rId2745" Type="http://schemas.openxmlformats.org/officeDocument/2006/relationships/hyperlink" Target="https://zakon.rada.gov.ua/laws/show/3609-17" TargetMode="External"/><Relationship Id="rId2952" Type="http://schemas.openxmlformats.org/officeDocument/2006/relationships/hyperlink" Target="https://zakon.rada.gov.ua/laws/show/4014-17" TargetMode="External"/><Relationship Id="rId6202" Type="http://schemas.openxmlformats.org/officeDocument/2006/relationships/hyperlink" Target="https://zakon.rada.gov.ua/laws/show/812-19" TargetMode="External"/><Relationship Id="rId717" Type="http://schemas.openxmlformats.org/officeDocument/2006/relationships/hyperlink" Target="https://zakon.rada.gov.ua/laws/show/1233-2010-%D0%BF" TargetMode="External"/><Relationship Id="rId924" Type="http://schemas.openxmlformats.org/officeDocument/2006/relationships/hyperlink" Target="https://zakon.rada.gov.ua/laws/show/609-19" TargetMode="External"/><Relationship Id="rId1347" Type="http://schemas.openxmlformats.org/officeDocument/2006/relationships/hyperlink" Target="https://zakon.rada.gov.ua/laws/show/1797-19" TargetMode="External"/><Relationship Id="rId1554" Type="http://schemas.openxmlformats.org/officeDocument/2006/relationships/hyperlink" Target="https://zakon.rada.gov.ua/laws/show/2755-17/print" TargetMode="External"/><Relationship Id="rId1761" Type="http://schemas.openxmlformats.org/officeDocument/2006/relationships/hyperlink" Target="https://zakon.rada.gov.ua/laws/show/va375202-05" TargetMode="External"/><Relationship Id="rId2605" Type="http://schemas.openxmlformats.org/officeDocument/2006/relationships/hyperlink" Target="https://zakon.rada.gov.ua/laws/show/1166-18" TargetMode="External"/><Relationship Id="rId2812" Type="http://schemas.openxmlformats.org/officeDocument/2006/relationships/hyperlink" Target="https://zakon.rada.gov.ua/laws/show/3609-17" TargetMode="External"/><Relationship Id="rId5011" Type="http://schemas.openxmlformats.org/officeDocument/2006/relationships/hyperlink" Target="https://zakon.rada.gov.ua/laws/show/5503-17" TargetMode="External"/><Relationship Id="rId5968" Type="http://schemas.openxmlformats.org/officeDocument/2006/relationships/hyperlink" Target="https://zakon.rada.gov.ua/laws/show/909-19" TargetMode="External"/><Relationship Id="rId53" Type="http://schemas.openxmlformats.org/officeDocument/2006/relationships/hyperlink" Target="https://zakon.rada.gov.ua/laws/show/443-18" TargetMode="External"/><Relationship Id="rId1207" Type="http://schemas.openxmlformats.org/officeDocument/2006/relationships/hyperlink" Target="https://zakon.rada.gov.ua/laws/show/404-18" TargetMode="External"/><Relationship Id="rId1414" Type="http://schemas.openxmlformats.org/officeDocument/2006/relationships/hyperlink" Target="https://zakon.rada.gov.ua/laws/show/z0121-14" TargetMode="External"/><Relationship Id="rId1621" Type="http://schemas.openxmlformats.org/officeDocument/2006/relationships/hyperlink" Target="https://zakon.rada.gov.ua/laws/show/2755-17/print" TargetMode="External"/><Relationship Id="rId4777" Type="http://schemas.openxmlformats.org/officeDocument/2006/relationships/hyperlink" Target="https://zakon.rada.gov.ua/laws/show/71-19" TargetMode="External"/><Relationship Id="rId4984" Type="http://schemas.openxmlformats.org/officeDocument/2006/relationships/hyperlink" Target="https://zakon.rada.gov.ua/laws/show/2497-19" TargetMode="External"/><Relationship Id="rId5828" Type="http://schemas.openxmlformats.org/officeDocument/2006/relationships/hyperlink" Target="https://zakon.rada.gov.ua/laws/show/2755-17/print" TargetMode="External"/><Relationship Id="rId3379" Type="http://schemas.openxmlformats.org/officeDocument/2006/relationships/hyperlink" Target="https://zakon.rada.gov.ua/laws/show/909-19" TargetMode="External"/><Relationship Id="rId3586" Type="http://schemas.openxmlformats.org/officeDocument/2006/relationships/hyperlink" Target="https://zakon.rada.gov.ua/laws/show/4915-17" TargetMode="External"/><Relationship Id="rId3793" Type="http://schemas.openxmlformats.org/officeDocument/2006/relationships/hyperlink" Target="https://zakon.rada.gov.ua/laws/show/5519-17" TargetMode="External"/><Relationship Id="rId4637" Type="http://schemas.openxmlformats.org/officeDocument/2006/relationships/hyperlink" Target="https://zakon.rada.gov.ua/laws/show/909-19" TargetMode="External"/><Relationship Id="rId2188" Type="http://schemas.openxmlformats.org/officeDocument/2006/relationships/hyperlink" Target="https://zakon.rada.gov.ua/laws/show/903-19" TargetMode="External"/><Relationship Id="rId2395" Type="http://schemas.openxmlformats.org/officeDocument/2006/relationships/hyperlink" Target="https://zakon.rada.gov.ua/laws/show/5083-17" TargetMode="External"/><Relationship Id="rId3239" Type="http://schemas.openxmlformats.org/officeDocument/2006/relationships/hyperlink" Target="https://zakon.rada.gov.ua/laws/show/1797-19" TargetMode="External"/><Relationship Id="rId3446" Type="http://schemas.openxmlformats.org/officeDocument/2006/relationships/hyperlink" Target="https://zakon.rada.gov.ua/laws/show/1797-19" TargetMode="External"/><Relationship Id="rId4844" Type="http://schemas.openxmlformats.org/officeDocument/2006/relationships/hyperlink" Target="https://zakon.rada.gov.ua/laws/show/5083-17" TargetMode="External"/><Relationship Id="rId367" Type="http://schemas.openxmlformats.org/officeDocument/2006/relationships/hyperlink" Target="https://zakon.rada.gov.ua/laws/show/4495-17" TargetMode="External"/><Relationship Id="rId574" Type="http://schemas.openxmlformats.org/officeDocument/2006/relationships/hyperlink" Target="https://zakon.rada.gov.ua/laws/show/2755-17/print" TargetMode="External"/><Relationship Id="rId2048" Type="http://schemas.openxmlformats.org/officeDocument/2006/relationships/hyperlink" Target="https://zakon.rada.gov.ua/laws/show/3609-17" TargetMode="External"/><Relationship Id="rId2255" Type="http://schemas.openxmlformats.org/officeDocument/2006/relationships/hyperlink" Target="https://zakon.rada.gov.ua/laws/show/2755-17/print" TargetMode="External"/><Relationship Id="rId3653" Type="http://schemas.openxmlformats.org/officeDocument/2006/relationships/hyperlink" Target="https://zakon.rada.gov.ua/laws/show/1797-19" TargetMode="External"/><Relationship Id="rId3860" Type="http://schemas.openxmlformats.org/officeDocument/2006/relationships/hyperlink" Target="https://zakon.rada.gov.ua/laws/show/391-20" TargetMode="External"/><Relationship Id="rId4704" Type="http://schemas.openxmlformats.org/officeDocument/2006/relationships/hyperlink" Target="https://zakon.rada.gov.ua/laws/show/3551-12" TargetMode="External"/><Relationship Id="rId4911" Type="http://schemas.openxmlformats.org/officeDocument/2006/relationships/hyperlink" Target="https://zakon.rada.gov.ua/laws/show/909-19" TargetMode="External"/><Relationship Id="rId227" Type="http://schemas.openxmlformats.org/officeDocument/2006/relationships/hyperlink" Target="https://zakon.rada.gov.ua/laws/show/2755-17/print" TargetMode="External"/><Relationship Id="rId781" Type="http://schemas.openxmlformats.org/officeDocument/2006/relationships/hyperlink" Target="https://zakon.rada.gov.ua/laws/show/609-19" TargetMode="External"/><Relationship Id="rId2462" Type="http://schemas.openxmlformats.org/officeDocument/2006/relationships/hyperlink" Target="https://zakon.rada.gov.ua/laws/show/1166-18" TargetMode="External"/><Relationship Id="rId3306" Type="http://schemas.openxmlformats.org/officeDocument/2006/relationships/hyperlink" Target="https://zakon.rada.gov.ua/laws/show/1797-19" TargetMode="External"/><Relationship Id="rId3513" Type="http://schemas.openxmlformats.org/officeDocument/2006/relationships/hyperlink" Target="https://zakon.rada.gov.ua/laws/show/71-19" TargetMode="External"/><Relationship Id="rId3720" Type="http://schemas.openxmlformats.org/officeDocument/2006/relationships/hyperlink" Target="https://zakon.rada.gov.ua/laws/show/1192-14" TargetMode="External"/><Relationship Id="rId434" Type="http://schemas.openxmlformats.org/officeDocument/2006/relationships/hyperlink" Target="https://zakon.rada.gov.ua/laws/show/2755-17/print" TargetMode="External"/><Relationship Id="rId641" Type="http://schemas.openxmlformats.org/officeDocument/2006/relationships/hyperlink" Target="https://zakon.rada.gov.ua/laws/show/2755-17/print" TargetMode="External"/><Relationship Id="rId1064" Type="http://schemas.openxmlformats.org/officeDocument/2006/relationships/hyperlink" Target="https://zakon.rada.gov.ua/laws/show/2755-17/print" TargetMode="External"/><Relationship Id="rId1271" Type="http://schemas.openxmlformats.org/officeDocument/2006/relationships/hyperlink" Target="https://zakon.rada.gov.ua/laws/show/1797-19" TargetMode="External"/><Relationship Id="rId2115" Type="http://schemas.openxmlformats.org/officeDocument/2006/relationships/hyperlink" Target="https://zakon.rada.gov.ua/laws/show/1797-19" TargetMode="External"/><Relationship Id="rId2322" Type="http://schemas.openxmlformats.org/officeDocument/2006/relationships/hyperlink" Target="https://zakon.rada.gov.ua/laws/show/71-19" TargetMode="External"/><Relationship Id="rId5478" Type="http://schemas.openxmlformats.org/officeDocument/2006/relationships/hyperlink" Target="https://zakon.rada.gov.ua/laws/show/1561-18" TargetMode="External"/><Relationship Id="rId5685" Type="http://schemas.openxmlformats.org/officeDocument/2006/relationships/hyperlink" Target="https://zakon.rada.gov.ua/laws/show/584%D0%B1-18" TargetMode="External"/><Relationship Id="rId5892" Type="http://schemas.openxmlformats.org/officeDocument/2006/relationships/hyperlink" Target="https://zakon.rada.gov.ua/laws/show/vb457609-10" TargetMode="External"/><Relationship Id="rId501" Type="http://schemas.openxmlformats.org/officeDocument/2006/relationships/hyperlink" Target="https://zakon.rada.gov.ua/laws/show/1797-19" TargetMode="External"/><Relationship Id="rId1131" Type="http://schemas.openxmlformats.org/officeDocument/2006/relationships/hyperlink" Target="https://zakon.rada.gov.ua/laws/show/z1415-15" TargetMode="External"/><Relationship Id="rId4287" Type="http://schemas.openxmlformats.org/officeDocument/2006/relationships/hyperlink" Target="https://zakon.rada.gov.ua/laws/show/391-20" TargetMode="External"/><Relationship Id="rId4494" Type="http://schemas.openxmlformats.org/officeDocument/2006/relationships/hyperlink" Target="https://zakon.rada.gov.ua/laws/show/211-19" TargetMode="External"/><Relationship Id="rId5338" Type="http://schemas.openxmlformats.org/officeDocument/2006/relationships/hyperlink" Target="https://zakon.rada.gov.ua/laws/show/2245-19" TargetMode="External"/><Relationship Id="rId5545" Type="http://schemas.openxmlformats.org/officeDocument/2006/relationships/hyperlink" Target="https://zakon.rada.gov.ua/laws/show/71-19" TargetMode="External"/><Relationship Id="rId5752" Type="http://schemas.openxmlformats.org/officeDocument/2006/relationships/hyperlink" Target="https://zakon.rada.gov.ua/laws/show/5083-17" TargetMode="External"/><Relationship Id="rId3096" Type="http://schemas.openxmlformats.org/officeDocument/2006/relationships/hyperlink" Target="https://zakon.rada.gov.ua/laws/show/5083-17" TargetMode="External"/><Relationship Id="rId4147" Type="http://schemas.openxmlformats.org/officeDocument/2006/relationships/hyperlink" Target="https://zakon.rada.gov.ua/laws/show/5503-17" TargetMode="External"/><Relationship Id="rId4354" Type="http://schemas.openxmlformats.org/officeDocument/2006/relationships/hyperlink" Target="https://zakon.rada.gov.ua/laws/show/71-19" TargetMode="External"/><Relationship Id="rId4561" Type="http://schemas.openxmlformats.org/officeDocument/2006/relationships/hyperlink" Target="https://zakon.rada.gov.ua/laws/show/z0883-15" TargetMode="External"/><Relationship Id="rId5405" Type="http://schemas.openxmlformats.org/officeDocument/2006/relationships/hyperlink" Target="https://zakon.rada.gov.ua/laws/show/3320-17" TargetMode="External"/><Relationship Id="rId5612" Type="http://schemas.openxmlformats.org/officeDocument/2006/relationships/hyperlink" Target="https://zakon.rada.gov.ua/laws/show/2245-19" TargetMode="External"/><Relationship Id="rId1948" Type="http://schemas.openxmlformats.org/officeDocument/2006/relationships/hyperlink" Target="https://zakon.rada.gov.ua/laws/show/3609-17" TargetMode="External"/><Relationship Id="rId3163" Type="http://schemas.openxmlformats.org/officeDocument/2006/relationships/hyperlink" Target="https://zakon.rada.gov.ua/laws/show/2755-17/print" TargetMode="External"/><Relationship Id="rId3370" Type="http://schemas.openxmlformats.org/officeDocument/2006/relationships/hyperlink" Target="https://zakon.rada.gov.ua/laws/show/1797-19" TargetMode="External"/><Relationship Id="rId4007" Type="http://schemas.openxmlformats.org/officeDocument/2006/relationships/hyperlink" Target="https://zakon.rada.gov.ua/laws/show/2755-17/print" TargetMode="External"/><Relationship Id="rId4214" Type="http://schemas.openxmlformats.org/officeDocument/2006/relationships/hyperlink" Target="https://zakon.rada.gov.ua/laws/show/2628-19" TargetMode="External"/><Relationship Id="rId4421" Type="http://schemas.openxmlformats.org/officeDocument/2006/relationships/hyperlink" Target="https://zakon.rada.gov.ua/laws/show/2755-17/print" TargetMode="External"/><Relationship Id="rId291" Type="http://schemas.openxmlformats.org/officeDocument/2006/relationships/hyperlink" Target="https://zakon.rada.gov.ua/laws/show/1797-19" TargetMode="External"/><Relationship Id="rId1808" Type="http://schemas.openxmlformats.org/officeDocument/2006/relationships/hyperlink" Target="https://zakon.rada.gov.ua/laws/show/5083-17" TargetMode="External"/><Relationship Id="rId3023" Type="http://schemas.openxmlformats.org/officeDocument/2006/relationships/hyperlink" Target="https://zakon.rada.gov.ua/laws/show/1665-19" TargetMode="External"/><Relationship Id="rId6179" Type="http://schemas.openxmlformats.org/officeDocument/2006/relationships/hyperlink" Target="https://zakon.rada.gov.ua/laws/show/657-18" TargetMode="External"/><Relationship Id="rId151" Type="http://schemas.openxmlformats.org/officeDocument/2006/relationships/hyperlink" Target="https://zakon.rada.gov.ua/laws/show/4495-17" TargetMode="External"/><Relationship Id="rId3230" Type="http://schemas.openxmlformats.org/officeDocument/2006/relationships/hyperlink" Target="https://zakon.rada.gov.ua/laws/show/71-19" TargetMode="External"/><Relationship Id="rId5195" Type="http://schemas.openxmlformats.org/officeDocument/2006/relationships/hyperlink" Target="https://zakon.rada.gov.ua/laws/show/1797-19" TargetMode="External"/><Relationship Id="rId6039" Type="http://schemas.openxmlformats.org/officeDocument/2006/relationships/hyperlink" Target="https://zakon.rada.gov.ua/laws/show/2755-17/print" TargetMode="External"/><Relationship Id="rId2789" Type="http://schemas.openxmlformats.org/officeDocument/2006/relationships/hyperlink" Target="https://zakon.rada.gov.ua/laws/show/4661-17" TargetMode="External"/><Relationship Id="rId2996" Type="http://schemas.openxmlformats.org/officeDocument/2006/relationships/hyperlink" Target="https://zakon.rada.gov.ua/laws/show/1200-18" TargetMode="External"/><Relationship Id="rId6246" Type="http://schemas.openxmlformats.org/officeDocument/2006/relationships/hyperlink" Target="https://zakon.rada.gov.ua/laws/show/va03p710-19" TargetMode="External"/><Relationship Id="rId968" Type="http://schemas.openxmlformats.org/officeDocument/2006/relationships/hyperlink" Target="https://zakon.rada.gov.ua/laws/show/2245-19" TargetMode="External"/><Relationship Id="rId1598" Type="http://schemas.openxmlformats.org/officeDocument/2006/relationships/hyperlink" Target="https://zakon.rada.gov.ua/laws/show/72-19" TargetMode="External"/><Relationship Id="rId2649" Type="http://schemas.openxmlformats.org/officeDocument/2006/relationships/hyperlink" Target="https://zakon.rada.gov.ua/laws/show/2755-17/print" TargetMode="External"/><Relationship Id="rId2856" Type="http://schemas.openxmlformats.org/officeDocument/2006/relationships/hyperlink" Target="https://zakon.rada.gov.ua/laws/show/443-18" TargetMode="External"/><Relationship Id="rId3907" Type="http://schemas.openxmlformats.org/officeDocument/2006/relationships/hyperlink" Target="https://zakon.rada.gov.ua/laws/show/2755-17/print" TargetMode="External"/><Relationship Id="rId5055" Type="http://schemas.openxmlformats.org/officeDocument/2006/relationships/hyperlink" Target="https://zakon.rada.gov.ua/laws/show/2497-19" TargetMode="External"/><Relationship Id="rId5262" Type="http://schemas.openxmlformats.org/officeDocument/2006/relationships/hyperlink" Target="https://zakon.rada.gov.ua/laws/show/565-12" TargetMode="External"/><Relationship Id="rId6106" Type="http://schemas.openxmlformats.org/officeDocument/2006/relationships/hyperlink" Target="https://zakon.rada.gov.ua/laws/show/909-19" TargetMode="External"/><Relationship Id="rId97" Type="http://schemas.openxmlformats.org/officeDocument/2006/relationships/hyperlink" Target="https://zakon.rada.gov.ua/laws/show/569-19" TargetMode="External"/><Relationship Id="rId828" Type="http://schemas.openxmlformats.org/officeDocument/2006/relationships/hyperlink" Target="https://zakon.rada.gov.ua/laws/show/2755-17/print" TargetMode="External"/><Relationship Id="rId1458" Type="http://schemas.openxmlformats.org/officeDocument/2006/relationships/hyperlink" Target="https://zakon.rada.gov.ua/laws/show/2755-17/print" TargetMode="External"/><Relationship Id="rId1665" Type="http://schemas.openxmlformats.org/officeDocument/2006/relationships/hyperlink" Target="https://zakon.rada.gov.ua/laws/show/3609-17" TargetMode="External"/><Relationship Id="rId1872" Type="http://schemas.openxmlformats.org/officeDocument/2006/relationships/hyperlink" Target="https://zakon.rada.gov.ua/laws/show/5503-17" TargetMode="External"/><Relationship Id="rId2509" Type="http://schemas.openxmlformats.org/officeDocument/2006/relationships/hyperlink" Target="https://zakon.rada.gov.ua/laws/show/3609-17" TargetMode="External"/><Relationship Id="rId2716" Type="http://schemas.openxmlformats.org/officeDocument/2006/relationships/hyperlink" Target="https://zakon.rada.gov.ua/laws/show/2755-17/print" TargetMode="External"/><Relationship Id="rId4071" Type="http://schemas.openxmlformats.org/officeDocument/2006/relationships/hyperlink" Target="https://zakon.rada.gov.ua/laws/show/909-19" TargetMode="External"/><Relationship Id="rId5122" Type="http://schemas.openxmlformats.org/officeDocument/2006/relationships/hyperlink" Target="https://zakon.rada.gov.ua/laws/show/2755-17/print" TargetMode="External"/><Relationship Id="rId1318" Type="http://schemas.openxmlformats.org/officeDocument/2006/relationships/hyperlink" Target="https://zakon.rada.gov.ua/laws/show/2755-17/print" TargetMode="External"/><Relationship Id="rId1525" Type="http://schemas.openxmlformats.org/officeDocument/2006/relationships/hyperlink" Target="https://zakon.rada.gov.ua/laws/show/71-19" TargetMode="External"/><Relationship Id="rId2923" Type="http://schemas.openxmlformats.org/officeDocument/2006/relationships/hyperlink" Target="https://zakon.rada.gov.ua/laws/show/4915-17" TargetMode="External"/><Relationship Id="rId1732" Type="http://schemas.openxmlformats.org/officeDocument/2006/relationships/hyperlink" Target="https://zakon.rada.gov.ua/laws/show/1797-19" TargetMode="External"/><Relationship Id="rId4888" Type="http://schemas.openxmlformats.org/officeDocument/2006/relationships/hyperlink" Target="https://zakon.rada.gov.ua/laws/show/2755-17/print" TargetMode="External"/><Relationship Id="rId5939" Type="http://schemas.openxmlformats.org/officeDocument/2006/relationships/hyperlink" Target="https://zakon.rada.gov.ua/laws/show/2755-17/print" TargetMode="External"/><Relationship Id="rId24" Type="http://schemas.openxmlformats.org/officeDocument/2006/relationships/hyperlink" Target="https://zakon.rada.gov.ua/laws/show/4453-17" TargetMode="External"/><Relationship Id="rId2299" Type="http://schemas.openxmlformats.org/officeDocument/2006/relationships/hyperlink" Target="https://zakon.rada.gov.ua/laws/show/2497-19" TargetMode="External"/><Relationship Id="rId3697" Type="http://schemas.openxmlformats.org/officeDocument/2006/relationships/hyperlink" Target="https://zakon.rada.gov.ua/laws/show/2628-19" TargetMode="External"/><Relationship Id="rId4748" Type="http://schemas.openxmlformats.org/officeDocument/2006/relationships/hyperlink" Target="https://zakon.rada.gov.ua/laws/show/3609-17" TargetMode="External"/><Relationship Id="rId4955" Type="http://schemas.openxmlformats.org/officeDocument/2006/relationships/hyperlink" Target="https://zakon.rada.gov.ua/laws/show/2755-17/print" TargetMode="External"/><Relationship Id="rId3557" Type="http://schemas.openxmlformats.org/officeDocument/2006/relationships/hyperlink" Target="https://zakon.rada.gov.ua/laws/show/4495-17" TargetMode="External"/><Relationship Id="rId3764" Type="http://schemas.openxmlformats.org/officeDocument/2006/relationships/hyperlink" Target="https://zakon.rada.gov.ua/laws/show/1621-18" TargetMode="External"/><Relationship Id="rId3971" Type="http://schemas.openxmlformats.org/officeDocument/2006/relationships/hyperlink" Target="https://zakon.rada.gov.ua/laws/show/71-19" TargetMode="External"/><Relationship Id="rId4608" Type="http://schemas.openxmlformats.org/officeDocument/2006/relationships/hyperlink" Target="https://zakon.rada.gov.ua/laws/show/2456-17" TargetMode="External"/><Relationship Id="rId4815" Type="http://schemas.openxmlformats.org/officeDocument/2006/relationships/hyperlink" Target="https://zakon.rada.gov.ua/laws/show/2755-17/print" TargetMode="External"/><Relationship Id="rId6170" Type="http://schemas.openxmlformats.org/officeDocument/2006/relationships/hyperlink" Target="https://zakon.rada.gov.ua/laws/show/2755-17/print" TargetMode="External"/><Relationship Id="rId478" Type="http://schemas.openxmlformats.org/officeDocument/2006/relationships/hyperlink" Target="https://zakon.rada.gov.ua/laws/show/1797-19" TargetMode="External"/><Relationship Id="rId685" Type="http://schemas.openxmlformats.org/officeDocument/2006/relationships/hyperlink" Target="https://zakon.rada.gov.ua/laws/show/2628-19" TargetMode="External"/><Relationship Id="rId892" Type="http://schemas.openxmlformats.org/officeDocument/2006/relationships/hyperlink" Target="https://zakon.rada.gov.ua/laws/show/1797-19" TargetMode="External"/><Relationship Id="rId2159" Type="http://schemas.openxmlformats.org/officeDocument/2006/relationships/hyperlink" Target="https://zakon.rada.gov.ua/laws/show/1797-19" TargetMode="External"/><Relationship Id="rId2366" Type="http://schemas.openxmlformats.org/officeDocument/2006/relationships/hyperlink" Target="https://zakon.rada.gov.ua/laws/show/2755-17/print" TargetMode="External"/><Relationship Id="rId2573" Type="http://schemas.openxmlformats.org/officeDocument/2006/relationships/hyperlink" Target="https://zakon.rada.gov.ua/laws/show/2755-17/print" TargetMode="External"/><Relationship Id="rId2780" Type="http://schemas.openxmlformats.org/officeDocument/2006/relationships/hyperlink" Target="https://zakon.rada.gov.ua/laws/show/1797-19" TargetMode="External"/><Relationship Id="rId3417" Type="http://schemas.openxmlformats.org/officeDocument/2006/relationships/hyperlink" Target="https://zakon.rada.gov.ua/laws/show/076_009" TargetMode="External"/><Relationship Id="rId3624" Type="http://schemas.openxmlformats.org/officeDocument/2006/relationships/hyperlink" Target="https://zakon.rada.gov.ua/laws/show/2755-17/print" TargetMode="External"/><Relationship Id="rId3831" Type="http://schemas.openxmlformats.org/officeDocument/2006/relationships/hyperlink" Target="https://zakon.rada.gov.ua/laws/show/4235-17" TargetMode="External"/><Relationship Id="rId6030" Type="http://schemas.openxmlformats.org/officeDocument/2006/relationships/hyperlink" Target="https://zakon.rada.gov.ua/laws/show/2755-17/print" TargetMode="External"/><Relationship Id="rId338" Type="http://schemas.openxmlformats.org/officeDocument/2006/relationships/hyperlink" Target="https://zakon.rada.gov.ua/laws/show/1690-18" TargetMode="External"/><Relationship Id="rId545" Type="http://schemas.openxmlformats.org/officeDocument/2006/relationships/hyperlink" Target="https://zakon.rada.gov.ua/laws/show/1797-19" TargetMode="External"/><Relationship Id="rId752" Type="http://schemas.openxmlformats.org/officeDocument/2006/relationships/hyperlink" Target="https://zakon.rada.gov.ua/laws/show/2755-17/print" TargetMode="External"/><Relationship Id="rId1175" Type="http://schemas.openxmlformats.org/officeDocument/2006/relationships/hyperlink" Target="https://zakon.rada.gov.ua/laws/show/657-18" TargetMode="External"/><Relationship Id="rId1382" Type="http://schemas.openxmlformats.org/officeDocument/2006/relationships/hyperlink" Target="https://zakon.rada.gov.ua/laws/show/404-18" TargetMode="External"/><Relationship Id="rId2019" Type="http://schemas.openxmlformats.org/officeDocument/2006/relationships/hyperlink" Target="https://zakon.rada.gov.ua/laws/show/2628-19" TargetMode="External"/><Relationship Id="rId2226" Type="http://schemas.openxmlformats.org/officeDocument/2006/relationships/hyperlink" Target="https://zakon.rada.gov.ua/laws/show/1797-19" TargetMode="External"/><Relationship Id="rId2433" Type="http://schemas.openxmlformats.org/officeDocument/2006/relationships/hyperlink" Target="https://zakon.rada.gov.ua/laws/show/2755-17/print" TargetMode="External"/><Relationship Id="rId2640" Type="http://schemas.openxmlformats.org/officeDocument/2006/relationships/hyperlink" Target="https://zakon.rada.gov.ua/laws/show/1797-19" TargetMode="External"/><Relationship Id="rId5589" Type="http://schemas.openxmlformats.org/officeDocument/2006/relationships/hyperlink" Target="https://zakon.rada.gov.ua/laws/show/425-20" TargetMode="External"/><Relationship Id="rId5796" Type="http://schemas.openxmlformats.org/officeDocument/2006/relationships/hyperlink" Target="https://zakon.rada.gov.ua/laws/show/71-19" TargetMode="External"/><Relationship Id="rId405" Type="http://schemas.openxmlformats.org/officeDocument/2006/relationships/hyperlink" Target="https://zakon.rada.gov.ua/laws/show/2755-17/print" TargetMode="External"/><Relationship Id="rId612" Type="http://schemas.openxmlformats.org/officeDocument/2006/relationships/hyperlink" Target="https://zakon.rada.gov.ua/laws/show/71-19" TargetMode="External"/><Relationship Id="rId1035" Type="http://schemas.openxmlformats.org/officeDocument/2006/relationships/hyperlink" Target="https://zakon.rada.gov.ua/laws/show/4495-17" TargetMode="External"/><Relationship Id="rId1242" Type="http://schemas.openxmlformats.org/officeDocument/2006/relationships/hyperlink" Target="https://zakon.rada.gov.ua/laws/show/z0137-16" TargetMode="External"/><Relationship Id="rId2500" Type="http://schemas.openxmlformats.org/officeDocument/2006/relationships/hyperlink" Target="https://zakon.rada.gov.ua/laws/show/2456-17" TargetMode="External"/><Relationship Id="rId4398" Type="http://schemas.openxmlformats.org/officeDocument/2006/relationships/hyperlink" Target="https://zakon.rada.gov.ua/laws/show/2245-19" TargetMode="External"/><Relationship Id="rId5449" Type="http://schemas.openxmlformats.org/officeDocument/2006/relationships/hyperlink" Target="https://zakon.rada.gov.ua/laws/show/584%D0%B0-18" TargetMode="External"/><Relationship Id="rId5656" Type="http://schemas.openxmlformats.org/officeDocument/2006/relationships/hyperlink" Target="https://zakon.rada.gov.ua/laws/show/2755-17/print" TargetMode="External"/><Relationship Id="rId1102" Type="http://schemas.openxmlformats.org/officeDocument/2006/relationships/hyperlink" Target="https://zakon.rada.gov.ua/laws/show/4834-17" TargetMode="External"/><Relationship Id="rId4258" Type="http://schemas.openxmlformats.org/officeDocument/2006/relationships/hyperlink" Target="https://zakon.rada.gov.ua/laws/show/2628-19" TargetMode="External"/><Relationship Id="rId4465" Type="http://schemas.openxmlformats.org/officeDocument/2006/relationships/hyperlink" Target="https://zakon.rada.gov.ua/laws/show/5083-17" TargetMode="External"/><Relationship Id="rId5309" Type="http://schemas.openxmlformats.org/officeDocument/2006/relationships/hyperlink" Target="https://zakon.rada.gov.ua/laws/show/903-19" TargetMode="External"/><Relationship Id="rId5863" Type="http://schemas.openxmlformats.org/officeDocument/2006/relationships/hyperlink" Target="https://zakon.rada.gov.ua/laws/show/652-19" TargetMode="External"/><Relationship Id="rId3067" Type="http://schemas.openxmlformats.org/officeDocument/2006/relationships/hyperlink" Target="https://zakon.rada.gov.ua/laws/show/2245-19" TargetMode="External"/><Relationship Id="rId3274" Type="http://schemas.openxmlformats.org/officeDocument/2006/relationships/hyperlink" Target="https://zakon.rada.gov.ua/laws/show/909-19" TargetMode="External"/><Relationship Id="rId4118" Type="http://schemas.openxmlformats.org/officeDocument/2006/relationships/hyperlink" Target="https://zakon.rada.gov.ua/laws/show/584%D0%B0-18" TargetMode="External"/><Relationship Id="rId4672" Type="http://schemas.openxmlformats.org/officeDocument/2006/relationships/hyperlink" Target="https://zakon.rada.gov.ua/laws/show/71-19" TargetMode="External"/><Relationship Id="rId5516" Type="http://schemas.openxmlformats.org/officeDocument/2006/relationships/hyperlink" Target="https://zakon.rada.gov.ua/laws/show/2755-17/print" TargetMode="External"/><Relationship Id="rId5723" Type="http://schemas.openxmlformats.org/officeDocument/2006/relationships/hyperlink" Target="https://zakon.rada.gov.ua/laws/show/4495-17" TargetMode="External"/><Relationship Id="rId5930" Type="http://schemas.openxmlformats.org/officeDocument/2006/relationships/hyperlink" Target="https://zakon.rada.gov.ua/laws/show/1166-18" TargetMode="External"/><Relationship Id="rId195" Type="http://schemas.openxmlformats.org/officeDocument/2006/relationships/hyperlink" Target="https://zakon.rada.gov.ua/laws/show/909-19" TargetMode="External"/><Relationship Id="rId1919" Type="http://schemas.openxmlformats.org/officeDocument/2006/relationships/hyperlink" Target="https://zakon.rada.gov.ua/laws/show/z1844-13" TargetMode="External"/><Relationship Id="rId3481" Type="http://schemas.openxmlformats.org/officeDocument/2006/relationships/hyperlink" Target="https://zakon.rada.gov.ua/laws/show/71-19" TargetMode="External"/><Relationship Id="rId4325" Type="http://schemas.openxmlformats.org/officeDocument/2006/relationships/hyperlink" Target="https://zakon.rada.gov.ua/laws/show/584%D0%B0-18" TargetMode="External"/><Relationship Id="rId4532" Type="http://schemas.openxmlformats.org/officeDocument/2006/relationships/hyperlink" Target="https://zakon.rada.gov.ua/laws/show/1797-19" TargetMode="External"/><Relationship Id="rId2083" Type="http://schemas.openxmlformats.org/officeDocument/2006/relationships/hyperlink" Target="https://zakon.rada.gov.ua/laws/show/995_012" TargetMode="External"/><Relationship Id="rId2290" Type="http://schemas.openxmlformats.org/officeDocument/2006/relationships/hyperlink" Target="https://zakon.rada.gov.ua/laws/show/996_004" TargetMode="External"/><Relationship Id="rId3134" Type="http://schemas.openxmlformats.org/officeDocument/2006/relationships/hyperlink" Target="https://zakon.rada.gov.ua/laws/show/4238-17" TargetMode="External"/><Relationship Id="rId3341" Type="http://schemas.openxmlformats.org/officeDocument/2006/relationships/hyperlink" Target="https://zakon.rada.gov.ua/laws/show/1797-19" TargetMode="External"/><Relationship Id="rId262" Type="http://schemas.openxmlformats.org/officeDocument/2006/relationships/hyperlink" Target="https://zakon.rada.gov.ua/laws/show/71-19" TargetMode="External"/><Relationship Id="rId2150" Type="http://schemas.openxmlformats.org/officeDocument/2006/relationships/hyperlink" Target="https://zakon.rada.gov.ua/laws/show/909-19" TargetMode="External"/><Relationship Id="rId3201" Type="http://schemas.openxmlformats.org/officeDocument/2006/relationships/hyperlink" Target="https://zakon.rada.gov.ua/laws/show/909-19" TargetMode="External"/><Relationship Id="rId5099" Type="http://schemas.openxmlformats.org/officeDocument/2006/relationships/hyperlink" Target="https://zakon.rada.gov.ua/laws/show/71-19" TargetMode="External"/><Relationship Id="rId122" Type="http://schemas.openxmlformats.org/officeDocument/2006/relationships/hyperlink" Target="https://zakon.rada.gov.ua/laws/show/2198-19" TargetMode="External"/><Relationship Id="rId2010" Type="http://schemas.openxmlformats.org/officeDocument/2006/relationships/hyperlink" Target="https://zakon.rada.gov.ua/laws/show/909-19" TargetMode="External"/><Relationship Id="rId5166" Type="http://schemas.openxmlformats.org/officeDocument/2006/relationships/hyperlink" Target="https://zakon.rada.gov.ua/laws/show/5412-17" TargetMode="External"/><Relationship Id="rId5373" Type="http://schemas.openxmlformats.org/officeDocument/2006/relationships/hyperlink" Target="https://zakon.rada.gov.ua/laws/show/2755-17/print" TargetMode="External"/><Relationship Id="rId5580" Type="http://schemas.openxmlformats.org/officeDocument/2006/relationships/hyperlink" Target="https://zakon.rada.gov.ua/laws/show/2755-17/print" TargetMode="External"/><Relationship Id="rId6217" Type="http://schemas.openxmlformats.org/officeDocument/2006/relationships/hyperlink" Target="https://zakon.rada.gov.ua/laws/show/2755-17/print" TargetMode="External"/><Relationship Id="rId1569" Type="http://schemas.openxmlformats.org/officeDocument/2006/relationships/hyperlink" Target="https://zakon.rada.gov.ua/laws/show/1797-19" TargetMode="External"/><Relationship Id="rId2967" Type="http://schemas.openxmlformats.org/officeDocument/2006/relationships/hyperlink" Target="https://zakon.rada.gov.ua/laws/show/1084-19" TargetMode="External"/><Relationship Id="rId4182" Type="http://schemas.openxmlformats.org/officeDocument/2006/relationships/hyperlink" Target="https://zakon.rada.gov.ua/laws/show/584%D0%B0-18" TargetMode="External"/><Relationship Id="rId5026" Type="http://schemas.openxmlformats.org/officeDocument/2006/relationships/hyperlink" Target="https://zakon.rada.gov.ua/laws/show/657-18" TargetMode="External"/><Relationship Id="rId5233" Type="http://schemas.openxmlformats.org/officeDocument/2006/relationships/hyperlink" Target="https://zakon.rada.gov.ua/laws/show/1200-18" TargetMode="External"/><Relationship Id="rId5440" Type="http://schemas.openxmlformats.org/officeDocument/2006/relationships/hyperlink" Target="https://zakon.rada.gov.ua/laws/show/5412-17" TargetMode="External"/><Relationship Id="rId939" Type="http://schemas.openxmlformats.org/officeDocument/2006/relationships/hyperlink" Target="https://zakon.rada.gov.ua/laws/show/1797-19" TargetMode="External"/><Relationship Id="rId1776" Type="http://schemas.openxmlformats.org/officeDocument/2006/relationships/hyperlink" Target="https://zakon.rada.gov.ua/laws/show/1797-19" TargetMode="External"/><Relationship Id="rId1983" Type="http://schemas.openxmlformats.org/officeDocument/2006/relationships/hyperlink" Target="https://zakon.rada.gov.ua/laws/show/z0137-16" TargetMode="External"/><Relationship Id="rId2827" Type="http://schemas.openxmlformats.org/officeDocument/2006/relationships/hyperlink" Target="https://zakon.rada.gov.ua/laws/show/3609-17" TargetMode="External"/><Relationship Id="rId4042" Type="http://schemas.openxmlformats.org/officeDocument/2006/relationships/hyperlink" Target="https://zakon.rada.gov.ua/laws/show/584%D0%B0-18" TargetMode="External"/><Relationship Id="rId68" Type="http://schemas.openxmlformats.org/officeDocument/2006/relationships/hyperlink" Target="https://zakon.rada.gov.ua/laws/show/1275-18" TargetMode="External"/><Relationship Id="rId1429" Type="http://schemas.openxmlformats.org/officeDocument/2006/relationships/hyperlink" Target="https://zakon.rada.gov.ua/laws/show/404-18" TargetMode="External"/><Relationship Id="rId1636" Type="http://schemas.openxmlformats.org/officeDocument/2006/relationships/hyperlink" Target="https://zakon.rada.gov.ua/laws/show/1797-19" TargetMode="External"/><Relationship Id="rId1843" Type="http://schemas.openxmlformats.org/officeDocument/2006/relationships/hyperlink" Target="https://zakon.rada.gov.ua/laws/show/2755-17/print" TargetMode="External"/><Relationship Id="rId4999" Type="http://schemas.openxmlformats.org/officeDocument/2006/relationships/hyperlink" Target="https://zakon.rada.gov.ua/laws/show/4834-17" TargetMode="External"/><Relationship Id="rId5300" Type="http://schemas.openxmlformats.org/officeDocument/2006/relationships/hyperlink" Target="https://zakon.rada.gov.ua/laws/show/5211-17" TargetMode="External"/><Relationship Id="rId1703" Type="http://schemas.openxmlformats.org/officeDocument/2006/relationships/hyperlink" Target="https://zakon.rada.gov.ua/laws/show/657-18" TargetMode="External"/><Relationship Id="rId1910" Type="http://schemas.openxmlformats.org/officeDocument/2006/relationships/hyperlink" Target="https://zakon.rada.gov.ua/laws/show/1797-19" TargetMode="External"/><Relationship Id="rId4859" Type="http://schemas.openxmlformats.org/officeDocument/2006/relationships/hyperlink" Target="https://zakon.rada.gov.ua/laws/show/909-19" TargetMode="External"/><Relationship Id="rId3668" Type="http://schemas.openxmlformats.org/officeDocument/2006/relationships/hyperlink" Target="https://zakon.rada.gov.ua/laws/show/909-19" TargetMode="External"/><Relationship Id="rId3875" Type="http://schemas.openxmlformats.org/officeDocument/2006/relationships/hyperlink" Target="https://zakon.rada.gov.ua/laws/show/4235-17" TargetMode="External"/><Relationship Id="rId4719" Type="http://schemas.openxmlformats.org/officeDocument/2006/relationships/hyperlink" Target="https://zakon.rada.gov.ua/laws/show/1797-19" TargetMode="External"/><Relationship Id="rId4926" Type="http://schemas.openxmlformats.org/officeDocument/2006/relationships/hyperlink" Target="https://zakon.rada.gov.ua/laws/show/5083-17" TargetMode="External"/><Relationship Id="rId6074" Type="http://schemas.openxmlformats.org/officeDocument/2006/relationships/hyperlink" Target="https://zakon.rada.gov.ua/laws/show/1795-19" TargetMode="External"/><Relationship Id="rId6281" Type="http://schemas.openxmlformats.org/officeDocument/2006/relationships/hyperlink" Target="https://zakon.rada.gov.ua/laws/show/2755-17/print" TargetMode="External"/><Relationship Id="rId589" Type="http://schemas.openxmlformats.org/officeDocument/2006/relationships/hyperlink" Target="https://zakon.rada.gov.ua/laws/show/1797-19" TargetMode="External"/><Relationship Id="rId796" Type="http://schemas.openxmlformats.org/officeDocument/2006/relationships/hyperlink" Target="https://zakon.rada.gov.ua/laws/show/609-19" TargetMode="External"/><Relationship Id="rId2477" Type="http://schemas.openxmlformats.org/officeDocument/2006/relationships/hyperlink" Target="https://zakon.rada.gov.ua/laws/show/2755-17/print" TargetMode="External"/><Relationship Id="rId2684" Type="http://schemas.openxmlformats.org/officeDocument/2006/relationships/hyperlink" Target="https://zakon.rada.gov.ua/laws/show/5413-17" TargetMode="External"/><Relationship Id="rId3528" Type="http://schemas.openxmlformats.org/officeDocument/2006/relationships/hyperlink" Target="https://zakon.rada.gov.ua/laws/show/71-19" TargetMode="External"/><Relationship Id="rId3735" Type="http://schemas.openxmlformats.org/officeDocument/2006/relationships/hyperlink" Target="https://zakon.rada.gov.ua/laws/show/2755-17/print" TargetMode="External"/><Relationship Id="rId5090" Type="http://schemas.openxmlformats.org/officeDocument/2006/relationships/hyperlink" Target="https://zakon.rada.gov.ua/laws/show/2755-17/print" TargetMode="External"/><Relationship Id="rId6141" Type="http://schemas.openxmlformats.org/officeDocument/2006/relationships/hyperlink" Target="https://zakon.rada.gov.ua/laws/show/71-19" TargetMode="External"/><Relationship Id="rId449" Type="http://schemas.openxmlformats.org/officeDocument/2006/relationships/hyperlink" Target="https://zakon.rada.gov.ua/laws/show/2755-17/print" TargetMode="External"/><Relationship Id="rId656" Type="http://schemas.openxmlformats.org/officeDocument/2006/relationships/hyperlink" Target="https://zakon.rada.gov.ua/laws/show/1797-19" TargetMode="External"/><Relationship Id="rId863" Type="http://schemas.openxmlformats.org/officeDocument/2006/relationships/hyperlink" Target="https://zakon.rada.gov.ua/laws/show/1797-19" TargetMode="External"/><Relationship Id="rId1079" Type="http://schemas.openxmlformats.org/officeDocument/2006/relationships/hyperlink" Target="https://zakon.rada.gov.ua/laws/show/z1415-15" TargetMode="External"/><Relationship Id="rId1286" Type="http://schemas.openxmlformats.org/officeDocument/2006/relationships/hyperlink" Target="https://zakon.rada.gov.ua/laws/show/655-19" TargetMode="External"/><Relationship Id="rId1493" Type="http://schemas.openxmlformats.org/officeDocument/2006/relationships/hyperlink" Target="https://zakon.rada.gov.ua/laws/show/1797-19" TargetMode="External"/><Relationship Id="rId2337" Type="http://schemas.openxmlformats.org/officeDocument/2006/relationships/hyperlink" Target="https://zakon.rada.gov.ua/laws/show/4238-17" TargetMode="External"/><Relationship Id="rId2544" Type="http://schemas.openxmlformats.org/officeDocument/2006/relationships/hyperlink" Target="https://zakon.rada.gov.ua/laws/show/2497-19" TargetMode="External"/><Relationship Id="rId2891" Type="http://schemas.openxmlformats.org/officeDocument/2006/relationships/hyperlink" Target="https://zakon.rada.gov.ua/laws/show/4834-17" TargetMode="External"/><Relationship Id="rId3942" Type="http://schemas.openxmlformats.org/officeDocument/2006/relationships/hyperlink" Target="https://zakon.rada.gov.ua/laws/show/2245-19" TargetMode="External"/><Relationship Id="rId6001" Type="http://schemas.openxmlformats.org/officeDocument/2006/relationships/hyperlink" Target="https://zakon.rada.gov.ua/laws/show/2755-17/print" TargetMode="External"/><Relationship Id="rId309" Type="http://schemas.openxmlformats.org/officeDocument/2006/relationships/hyperlink" Target="https://zakon.rada.gov.ua/laws/show/584%D0%B0-18" TargetMode="External"/><Relationship Id="rId516" Type="http://schemas.openxmlformats.org/officeDocument/2006/relationships/hyperlink" Target="https://zakon.rada.gov.ua/laws/show/4834-17" TargetMode="External"/><Relationship Id="rId1146" Type="http://schemas.openxmlformats.org/officeDocument/2006/relationships/hyperlink" Target="https://zakon.rada.gov.ua/laws/show/2755-17/print" TargetMode="External"/><Relationship Id="rId2751" Type="http://schemas.openxmlformats.org/officeDocument/2006/relationships/hyperlink" Target="https://zakon.rada.gov.ua/laws/show/3205-17" TargetMode="External"/><Relationship Id="rId3802" Type="http://schemas.openxmlformats.org/officeDocument/2006/relationships/hyperlink" Target="https://zakon.rada.gov.ua/laws/show/713-18" TargetMode="External"/><Relationship Id="rId723" Type="http://schemas.openxmlformats.org/officeDocument/2006/relationships/hyperlink" Target="https://zakon.rada.gov.ua/laws/show/3609-17" TargetMode="External"/><Relationship Id="rId930" Type="http://schemas.openxmlformats.org/officeDocument/2006/relationships/hyperlink" Target="https://zakon.rada.gov.ua/laws/show/2245-19" TargetMode="External"/><Relationship Id="rId1006" Type="http://schemas.openxmlformats.org/officeDocument/2006/relationships/hyperlink" Target="https://zakon.rada.gov.ua/laws/show/2725-19" TargetMode="External"/><Relationship Id="rId1353" Type="http://schemas.openxmlformats.org/officeDocument/2006/relationships/hyperlink" Target="https://zakon.rada.gov.ua/laws/show/655-19" TargetMode="External"/><Relationship Id="rId1560" Type="http://schemas.openxmlformats.org/officeDocument/2006/relationships/hyperlink" Target="https://zakon.rada.gov.ua/laws/show/4834-17" TargetMode="External"/><Relationship Id="rId2404" Type="http://schemas.openxmlformats.org/officeDocument/2006/relationships/hyperlink" Target="https://zakon.rada.gov.ua/laws/show/2755-17/print" TargetMode="External"/><Relationship Id="rId2611" Type="http://schemas.openxmlformats.org/officeDocument/2006/relationships/hyperlink" Target="https://zakon.rada.gov.ua/laws/show/71-19" TargetMode="External"/><Relationship Id="rId5767" Type="http://schemas.openxmlformats.org/officeDocument/2006/relationships/hyperlink" Target="https://zakon.rada.gov.ua/laws/show/2755-17/print" TargetMode="External"/><Relationship Id="rId5974" Type="http://schemas.openxmlformats.org/officeDocument/2006/relationships/hyperlink" Target="https://zakon.rada.gov.ua/laws/show/909-19" TargetMode="External"/><Relationship Id="rId1213" Type="http://schemas.openxmlformats.org/officeDocument/2006/relationships/hyperlink" Target="https://zakon.rada.gov.ua/laws/show/404-18" TargetMode="External"/><Relationship Id="rId1420" Type="http://schemas.openxmlformats.org/officeDocument/2006/relationships/hyperlink" Target="https://zakon.rada.gov.ua/laws/show/5083-17" TargetMode="External"/><Relationship Id="rId4369" Type="http://schemas.openxmlformats.org/officeDocument/2006/relationships/hyperlink" Target="https://zakon.rada.gov.ua/laws/show/1791-19" TargetMode="External"/><Relationship Id="rId4576" Type="http://schemas.openxmlformats.org/officeDocument/2006/relationships/hyperlink" Target="https://zakon.rada.gov.ua/laws/show/1797-19" TargetMode="External"/><Relationship Id="rId4783" Type="http://schemas.openxmlformats.org/officeDocument/2006/relationships/hyperlink" Target="https://zakon.rada.gov.ua/laws/show/2755-17/print" TargetMode="External"/><Relationship Id="rId4990" Type="http://schemas.openxmlformats.org/officeDocument/2006/relationships/hyperlink" Target="https://zakon.rada.gov.ua/laws/show/71-19" TargetMode="External"/><Relationship Id="rId5627" Type="http://schemas.openxmlformats.org/officeDocument/2006/relationships/hyperlink" Target="https://zakon.rada.gov.ua/laws/show/2755-17/print" TargetMode="External"/><Relationship Id="rId5834" Type="http://schemas.openxmlformats.org/officeDocument/2006/relationships/hyperlink" Target="https://zakon.rada.gov.ua/laws/show/71-19" TargetMode="External"/><Relationship Id="rId3178" Type="http://schemas.openxmlformats.org/officeDocument/2006/relationships/hyperlink" Target="https://zakon.rada.gov.ua/laws/show/909-19" TargetMode="External"/><Relationship Id="rId3385" Type="http://schemas.openxmlformats.org/officeDocument/2006/relationships/hyperlink" Target="https://zakon.rada.gov.ua/laws/show/1797-19" TargetMode="External"/><Relationship Id="rId3592" Type="http://schemas.openxmlformats.org/officeDocument/2006/relationships/hyperlink" Target="https://zakon.rada.gov.ua/laws/show/2755-17/print" TargetMode="External"/><Relationship Id="rId4229" Type="http://schemas.openxmlformats.org/officeDocument/2006/relationships/hyperlink" Target="https://zakon.rada.gov.ua/laws/show/2628-19" TargetMode="External"/><Relationship Id="rId4436" Type="http://schemas.openxmlformats.org/officeDocument/2006/relationships/hyperlink" Target="https://zakon.rada.gov.ua/laws/show/422-18" TargetMode="External"/><Relationship Id="rId4643" Type="http://schemas.openxmlformats.org/officeDocument/2006/relationships/hyperlink" Target="https://zakon.rada.gov.ua/laws/show/2755-17/print" TargetMode="External"/><Relationship Id="rId4850" Type="http://schemas.openxmlformats.org/officeDocument/2006/relationships/hyperlink" Target="https://zakon.rada.gov.ua/laws/show/71-19" TargetMode="External"/><Relationship Id="rId5901" Type="http://schemas.openxmlformats.org/officeDocument/2006/relationships/hyperlink" Target="https://zakon.rada.gov.ua/laws/show/1797-19" TargetMode="External"/><Relationship Id="rId2194" Type="http://schemas.openxmlformats.org/officeDocument/2006/relationships/hyperlink" Target="https://zakon.rada.gov.ua/laws/show/2176-19" TargetMode="External"/><Relationship Id="rId3038" Type="http://schemas.openxmlformats.org/officeDocument/2006/relationships/hyperlink" Target="https://zakon.rada.gov.ua/laws/show/4915-17" TargetMode="External"/><Relationship Id="rId3245" Type="http://schemas.openxmlformats.org/officeDocument/2006/relationships/hyperlink" Target="https://zakon.rada.gov.ua/laws/show/2755-17/print" TargetMode="External"/><Relationship Id="rId3452" Type="http://schemas.openxmlformats.org/officeDocument/2006/relationships/hyperlink" Target="https://zakon.rada.gov.ua/laws/show/71-19" TargetMode="External"/><Relationship Id="rId4503" Type="http://schemas.openxmlformats.org/officeDocument/2006/relationships/hyperlink" Target="https://zakon.rada.gov.ua/laws/show/2628-19" TargetMode="External"/><Relationship Id="rId4710" Type="http://schemas.openxmlformats.org/officeDocument/2006/relationships/hyperlink" Target="https://zakon.rada.gov.ua/laws/show/875-12" TargetMode="External"/><Relationship Id="rId166" Type="http://schemas.openxmlformats.org/officeDocument/2006/relationships/hyperlink" Target="https://zakon.rada.gov.ua/laws/show/2755-17/print" TargetMode="External"/><Relationship Id="rId373" Type="http://schemas.openxmlformats.org/officeDocument/2006/relationships/hyperlink" Target="https://zakon.rada.gov.ua/laws/show/2755-17/print" TargetMode="External"/><Relationship Id="rId580" Type="http://schemas.openxmlformats.org/officeDocument/2006/relationships/hyperlink" Target="https://zakon.rada.gov.ua/laws/show/71-19" TargetMode="External"/><Relationship Id="rId2054" Type="http://schemas.openxmlformats.org/officeDocument/2006/relationships/hyperlink" Target="https://zakon.rada.gov.ua/laws/show/3609-17" TargetMode="External"/><Relationship Id="rId2261" Type="http://schemas.openxmlformats.org/officeDocument/2006/relationships/hyperlink" Target="https://zakon.rada.gov.ua/laws/show/2755-17/print" TargetMode="External"/><Relationship Id="rId3105" Type="http://schemas.openxmlformats.org/officeDocument/2006/relationships/hyperlink" Target="https://zakon.rada.gov.ua/laws/show/4834-17" TargetMode="External"/><Relationship Id="rId3312" Type="http://schemas.openxmlformats.org/officeDocument/2006/relationships/hyperlink" Target="https://zakon.rada.gov.ua/laws/show/1797-19" TargetMode="External"/><Relationship Id="rId233" Type="http://schemas.openxmlformats.org/officeDocument/2006/relationships/hyperlink" Target="https://zakon.rada.gov.ua/laws/show/655-19" TargetMode="External"/><Relationship Id="rId440" Type="http://schemas.openxmlformats.org/officeDocument/2006/relationships/hyperlink" Target="https://zakon.rada.gov.ua/laws/show/1797-19" TargetMode="External"/><Relationship Id="rId1070" Type="http://schemas.openxmlformats.org/officeDocument/2006/relationships/hyperlink" Target="https://zakon.rada.gov.ua/laws/show/657-18" TargetMode="External"/><Relationship Id="rId2121" Type="http://schemas.openxmlformats.org/officeDocument/2006/relationships/hyperlink" Target="https://zakon.rada.gov.ua/laws/show/2755-17/print" TargetMode="External"/><Relationship Id="rId5277" Type="http://schemas.openxmlformats.org/officeDocument/2006/relationships/hyperlink" Target="https://zakon.rada.gov.ua/laws/show/5519-17" TargetMode="External"/><Relationship Id="rId5484" Type="http://schemas.openxmlformats.org/officeDocument/2006/relationships/hyperlink" Target="https://zakon.rada.gov.ua/laws/show/2755-17/print" TargetMode="External"/><Relationship Id="rId300" Type="http://schemas.openxmlformats.org/officeDocument/2006/relationships/hyperlink" Target="https://zakon.rada.gov.ua/laws/show/1191-18" TargetMode="External"/><Relationship Id="rId4086" Type="http://schemas.openxmlformats.org/officeDocument/2006/relationships/hyperlink" Target="https://zakon.rada.gov.ua/laws/show/2755-17/print" TargetMode="External"/><Relationship Id="rId5137" Type="http://schemas.openxmlformats.org/officeDocument/2006/relationships/hyperlink" Target="https://zakon.rada.gov.ua/laws/show/5412-17" TargetMode="External"/><Relationship Id="rId5691" Type="http://schemas.openxmlformats.org/officeDocument/2006/relationships/hyperlink" Target="https://zakon.rada.gov.ua/laws/show/4495-17" TargetMode="External"/><Relationship Id="rId1887" Type="http://schemas.openxmlformats.org/officeDocument/2006/relationships/hyperlink" Target="https://zakon.rada.gov.ua/laws/show/4057-17" TargetMode="External"/><Relationship Id="rId2938" Type="http://schemas.openxmlformats.org/officeDocument/2006/relationships/hyperlink" Target="https://zakon.rada.gov.ua/laws/show/812-19" TargetMode="External"/><Relationship Id="rId4293" Type="http://schemas.openxmlformats.org/officeDocument/2006/relationships/hyperlink" Target="https://zakon.rada.gov.ua/laws/show/2628-19" TargetMode="External"/><Relationship Id="rId5344" Type="http://schemas.openxmlformats.org/officeDocument/2006/relationships/hyperlink" Target="https://zakon.rada.gov.ua/laws/show/2660-14" TargetMode="External"/><Relationship Id="rId5551" Type="http://schemas.openxmlformats.org/officeDocument/2006/relationships/hyperlink" Target="https://zakon.rada.gov.ua/laws/show/643-19" TargetMode="External"/><Relationship Id="rId1747" Type="http://schemas.openxmlformats.org/officeDocument/2006/relationships/hyperlink" Target="https://zakon.rada.gov.ua/laws/show/71-19" TargetMode="External"/><Relationship Id="rId1954" Type="http://schemas.openxmlformats.org/officeDocument/2006/relationships/hyperlink" Target="https://zakon.rada.gov.ua/laws/show/323-20" TargetMode="External"/><Relationship Id="rId4153" Type="http://schemas.openxmlformats.org/officeDocument/2006/relationships/hyperlink" Target="https://zakon.rada.gov.ua/laws/show/71-19" TargetMode="External"/><Relationship Id="rId4360" Type="http://schemas.openxmlformats.org/officeDocument/2006/relationships/hyperlink" Target="https://zakon.rada.gov.ua/laws/show/4834-17" TargetMode="External"/><Relationship Id="rId5204" Type="http://schemas.openxmlformats.org/officeDocument/2006/relationships/hyperlink" Target="https://zakon.rada.gov.ua/laws/show/4050-17" TargetMode="External"/><Relationship Id="rId5411" Type="http://schemas.openxmlformats.org/officeDocument/2006/relationships/hyperlink" Target="https://zakon.rada.gov.ua/laws/show/713-18" TargetMode="External"/><Relationship Id="rId39" Type="http://schemas.openxmlformats.org/officeDocument/2006/relationships/hyperlink" Target="https://zakon.rada.gov.ua/laws/show/5211-17" TargetMode="External"/><Relationship Id="rId1607" Type="http://schemas.openxmlformats.org/officeDocument/2006/relationships/hyperlink" Target="https://zakon.rada.gov.ua/laws/show/2755-17/print" TargetMode="External"/><Relationship Id="rId1814" Type="http://schemas.openxmlformats.org/officeDocument/2006/relationships/hyperlink" Target="https://zakon.rada.gov.ua/laws/show/2755-17/print" TargetMode="External"/><Relationship Id="rId4013" Type="http://schemas.openxmlformats.org/officeDocument/2006/relationships/hyperlink" Target="https://zakon.rada.gov.ua/laws/show/z1134-17" TargetMode="External"/><Relationship Id="rId4220" Type="http://schemas.openxmlformats.org/officeDocument/2006/relationships/hyperlink" Target="https://zakon.rada.gov.ua/laws/show/391-20" TargetMode="External"/><Relationship Id="rId3779" Type="http://schemas.openxmlformats.org/officeDocument/2006/relationships/hyperlink" Target="https://zakon.rada.gov.ua/laws/show/909-19" TargetMode="External"/><Relationship Id="rId6185" Type="http://schemas.openxmlformats.org/officeDocument/2006/relationships/hyperlink" Target="https://zakon.rada.gov.ua/laws/show/2755-17/print" TargetMode="External"/><Relationship Id="rId2588" Type="http://schemas.openxmlformats.org/officeDocument/2006/relationships/hyperlink" Target="https://zakon.rada.gov.ua/laws/show/1797-19" TargetMode="External"/><Relationship Id="rId3986" Type="http://schemas.openxmlformats.org/officeDocument/2006/relationships/hyperlink" Target="https://zakon.rada.gov.ua/laws/show/2628-19" TargetMode="External"/><Relationship Id="rId6045" Type="http://schemas.openxmlformats.org/officeDocument/2006/relationships/hyperlink" Target="https://zakon.rada.gov.ua/laws/show/2755-17/print" TargetMode="External"/><Relationship Id="rId6252" Type="http://schemas.openxmlformats.org/officeDocument/2006/relationships/hyperlink" Target="https://zakon.rada.gov.ua/laws/show/2628-19" TargetMode="External"/><Relationship Id="rId1397" Type="http://schemas.openxmlformats.org/officeDocument/2006/relationships/hyperlink" Target="https://zakon.rada.gov.ua/laws/show/1797-19" TargetMode="External"/><Relationship Id="rId2795" Type="http://schemas.openxmlformats.org/officeDocument/2006/relationships/hyperlink" Target="https://zakon.rada.gov.ua/laws/show/4661-17" TargetMode="External"/><Relationship Id="rId3639" Type="http://schemas.openxmlformats.org/officeDocument/2006/relationships/hyperlink" Target="https://zakon.rada.gov.ua/laws/show/vb457609-10" TargetMode="External"/><Relationship Id="rId3846" Type="http://schemas.openxmlformats.org/officeDocument/2006/relationships/hyperlink" Target="https://zakon.rada.gov.ua/laws/show/584%D0%B1-18" TargetMode="External"/><Relationship Id="rId5061" Type="http://schemas.openxmlformats.org/officeDocument/2006/relationships/hyperlink" Target="https://zakon.rada.gov.ua/laws/show/1797-19" TargetMode="External"/><Relationship Id="rId6112" Type="http://schemas.openxmlformats.org/officeDocument/2006/relationships/hyperlink" Target="https://zakon.rada.gov.ua/laws/show/2755-17/print" TargetMode="External"/><Relationship Id="rId767" Type="http://schemas.openxmlformats.org/officeDocument/2006/relationships/hyperlink" Target="https://zakon.rada.gov.ua/laws/show/2755-17/print" TargetMode="External"/><Relationship Id="rId974" Type="http://schemas.openxmlformats.org/officeDocument/2006/relationships/hyperlink" Target="https://zakon.rada.gov.ua/laws/show/5083-17" TargetMode="External"/><Relationship Id="rId2448" Type="http://schemas.openxmlformats.org/officeDocument/2006/relationships/hyperlink" Target="https://zakon.rada.gov.ua/laws/show/2477-19" TargetMode="External"/><Relationship Id="rId2655" Type="http://schemas.openxmlformats.org/officeDocument/2006/relationships/hyperlink" Target="https://zakon.rada.gov.ua/laws/show/2628-19" TargetMode="External"/><Relationship Id="rId2862" Type="http://schemas.openxmlformats.org/officeDocument/2006/relationships/hyperlink" Target="https://zakon.rada.gov.ua/laws/show/657-18" TargetMode="External"/><Relationship Id="rId3706" Type="http://schemas.openxmlformats.org/officeDocument/2006/relationships/hyperlink" Target="https://zakon.rada.gov.ua/laws/show/71-19" TargetMode="External"/><Relationship Id="rId3913" Type="http://schemas.openxmlformats.org/officeDocument/2006/relationships/hyperlink" Target="https://zakon.rada.gov.ua/laws/show/5503-17" TargetMode="External"/><Relationship Id="rId627" Type="http://schemas.openxmlformats.org/officeDocument/2006/relationships/hyperlink" Target="https://zakon.rada.gov.ua/laws/show/1797-19" TargetMode="External"/><Relationship Id="rId834" Type="http://schemas.openxmlformats.org/officeDocument/2006/relationships/hyperlink" Target="https://zakon.rada.gov.ua/laws/show/1797-19" TargetMode="External"/><Relationship Id="rId1257" Type="http://schemas.openxmlformats.org/officeDocument/2006/relationships/hyperlink" Target="https://zakon.rada.gov.ua/laws/show/909-19" TargetMode="External"/><Relationship Id="rId1464" Type="http://schemas.openxmlformats.org/officeDocument/2006/relationships/hyperlink" Target="https://zakon.rada.gov.ua/laws/show/2755-17/print" TargetMode="External"/><Relationship Id="rId1671" Type="http://schemas.openxmlformats.org/officeDocument/2006/relationships/hyperlink" Target="https://zakon.rada.gov.ua/laws/show/1797-19" TargetMode="External"/><Relationship Id="rId2308" Type="http://schemas.openxmlformats.org/officeDocument/2006/relationships/hyperlink" Target="https://zakon.rada.gov.ua/laws/show/1588-18" TargetMode="External"/><Relationship Id="rId2515" Type="http://schemas.openxmlformats.org/officeDocument/2006/relationships/hyperlink" Target="https://zakon.rada.gov.ua/laws/show/2755-17/print" TargetMode="External"/><Relationship Id="rId2722" Type="http://schemas.openxmlformats.org/officeDocument/2006/relationships/hyperlink" Target="https://zakon.rada.gov.ua/laws/show/2755-17/print" TargetMode="External"/><Relationship Id="rId5878" Type="http://schemas.openxmlformats.org/officeDocument/2006/relationships/hyperlink" Target="https://zakon.rada.gov.ua/laws/show/909-19" TargetMode="External"/><Relationship Id="rId901" Type="http://schemas.openxmlformats.org/officeDocument/2006/relationships/hyperlink" Target="https://zakon.rada.gov.ua/laws/show/2755-17/print" TargetMode="External"/><Relationship Id="rId1117" Type="http://schemas.openxmlformats.org/officeDocument/2006/relationships/hyperlink" Target="https://zakon.rada.gov.ua/laws/show/2755-17/print" TargetMode="External"/><Relationship Id="rId1324" Type="http://schemas.openxmlformats.org/officeDocument/2006/relationships/hyperlink" Target="https://zakon.rada.gov.ua/laws/show/1797-19" TargetMode="External"/><Relationship Id="rId1531" Type="http://schemas.openxmlformats.org/officeDocument/2006/relationships/hyperlink" Target="https://zakon.rada.gov.ua/laws/show/3609-17" TargetMode="External"/><Relationship Id="rId4687" Type="http://schemas.openxmlformats.org/officeDocument/2006/relationships/hyperlink" Target="https://zakon.rada.gov.ua/laws/show/71-19" TargetMode="External"/><Relationship Id="rId4894" Type="http://schemas.openxmlformats.org/officeDocument/2006/relationships/hyperlink" Target="https://zakon.rada.gov.ua/laws/show/1797-19" TargetMode="External"/><Relationship Id="rId5738" Type="http://schemas.openxmlformats.org/officeDocument/2006/relationships/hyperlink" Target="https://zakon.rada.gov.ua/laws/show/1797-19" TargetMode="External"/><Relationship Id="rId5945" Type="http://schemas.openxmlformats.org/officeDocument/2006/relationships/hyperlink" Target="https://zakon.rada.gov.ua/laws/show/2755-17/print" TargetMode="External"/><Relationship Id="rId30" Type="http://schemas.openxmlformats.org/officeDocument/2006/relationships/hyperlink" Target="https://zakon.rada.gov.ua/laws/show/4915-17" TargetMode="External"/><Relationship Id="rId3289" Type="http://schemas.openxmlformats.org/officeDocument/2006/relationships/hyperlink" Target="https://zakon.rada.gov.ua/laws/show/1797-19" TargetMode="External"/><Relationship Id="rId3496" Type="http://schemas.openxmlformats.org/officeDocument/2006/relationships/hyperlink" Target="https://zakon.rada.gov.ua/laws/show/2755-17/print" TargetMode="External"/><Relationship Id="rId4547" Type="http://schemas.openxmlformats.org/officeDocument/2006/relationships/hyperlink" Target="https://zakon.rada.gov.ua/laws/show/687-2012-%D0%BF" TargetMode="External"/><Relationship Id="rId4754" Type="http://schemas.openxmlformats.org/officeDocument/2006/relationships/hyperlink" Target="https://zakon.rada.gov.ua/laws/show/909-19" TargetMode="External"/><Relationship Id="rId2098" Type="http://schemas.openxmlformats.org/officeDocument/2006/relationships/hyperlink" Target="https://zakon.rada.gov.ua/laws/show/2628-19" TargetMode="External"/><Relationship Id="rId3149" Type="http://schemas.openxmlformats.org/officeDocument/2006/relationships/hyperlink" Target="https://zakon.rada.gov.ua/laws/show/643-19" TargetMode="External"/><Relationship Id="rId3356" Type="http://schemas.openxmlformats.org/officeDocument/2006/relationships/hyperlink" Target="https://zakon.rada.gov.ua/laws/show/2245-19" TargetMode="External"/><Relationship Id="rId3563" Type="http://schemas.openxmlformats.org/officeDocument/2006/relationships/hyperlink" Target="https://zakon.rada.gov.ua/laws/show/4495-17" TargetMode="External"/><Relationship Id="rId4407" Type="http://schemas.openxmlformats.org/officeDocument/2006/relationships/hyperlink" Target="https://zakon.rada.gov.ua/laws/show/2755-17/print" TargetMode="External"/><Relationship Id="rId4961" Type="http://schemas.openxmlformats.org/officeDocument/2006/relationships/hyperlink" Target="https://zakon.rada.gov.ua/laws/show/5503-17" TargetMode="External"/><Relationship Id="rId5805" Type="http://schemas.openxmlformats.org/officeDocument/2006/relationships/hyperlink" Target="https://zakon.rada.gov.ua/laws/show/71-19" TargetMode="External"/><Relationship Id="rId277" Type="http://schemas.openxmlformats.org/officeDocument/2006/relationships/hyperlink" Target="https://zakon.rada.gov.ua/laws/show/767-18" TargetMode="External"/><Relationship Id="rId484" Type="http://schemas.openxmlformats.org/officeDocument/2006/relationships/hyperlink" Target="https://zakon.rada.gov.ua/laws/show/3609-17" TargetMode="External"/><Relationship Id="rId2165" Type="http://schemas.openxmlformats.org/officeDocument/2006/relationships/hyperlink" Target="https://zakon.rada.gov.ua/laws/show/2755-17/print" TargetMode="External"/><Relationship Id="rId3009" Type="http://schemas.openxmlformats.org/officeDocument/2006/relationships/hyperlink" Target="https://zakon.rada.gov.ua/laws/show/643-19" TargetMode="External"/><Relationship Id="rId3216" Type="http://schemas.openxmlformats.org/officeDocument/2006/relationships/hyperlink" Target="https://zakon.rada.gov.ua/laws/show/2755-17/print" TargetMode="External"/><Relationship Id="rId3770" Type="http://schemas.openxmlformats.org/officeDocument/2006/relationships/hyperlink" Target="https://zakon.rada.gov.ua/laws/show/584%D0%B0-18" TargetMode="External"/><Relationship Id="rId4614" Type="http://schemas.openxmlformats.org/officeDocument/2006/relationships/hyperlink" Target="https://zakon.rada.gov.ua/laws/show/3609-17" TargetMode="External"/><Relationship Id="rId4821" Type="http://schemas.openxmlformats.org/officeDocument/2006/relationships/hyperlink" Target="https://zakon.rada.gov.ua/laws/show/584%D0%B0-18" TargetMode="External"/><Relationship Id="rId137" Type="http://schemas.openxmlformats.org/officeDocument/2006/relationships/hyperlink" Target="https://zakon.rada.gov.ua/laws/show/344-20" TargetMode="External"/><Relationship Id="rId344" Type="http://schemas.openxmlformats.org/officeDocument/2006/relationships/hyperlink" Target="https://zakon.rada.gov.ua/laws/show/657-18" TargetMode="External"/><Relationship Id="rId691" Type="http://schemas.openxmlformats.org/officeDocument/2006/relationships/hyperlink" Target="https://zakon.rada.gov.ua/laws/show/1797-19" TargetMode="External"/><Relationship Id="rId2025" Type="http://schemas.openxmlformats.org/officeDocument/2006/relationships/hyperlink" Target="https://zakon.rada.gov.ua/laws/show/2755-17/print" TargetMode="External"/><Relationship Id="rId2372" Type="http://schemas.openxmlformats.org/officeDocument/2006/relationships/hyperlink" Target="https://zakon.rada.gov.ua/laws/show/1645-14" TargetMode="External"/><Relationship Id="rId3423" Type="http://schemas.openxmlformats.org/officeDocument/2006/relationships/hyperlink" Target="https://zakon.rada.gov.ua/laws/show/643-19" TargetMode="External"/><Relationship Id="rId3630" Type="http://schemas.openxmlformats.org/officeDocument/2006/relationships/hyperlink" Target="https://zakon.rada.gov.ua/laws/show/va375202-05" TargetMode="External"/><Relationship Id="rId551" Type="http://schemas.openxmlformats.org/officeDocument/2006/relationships/hyperlink" Target="https://zakon.rada.gov.ua/laws/show/2755-17/print" TargetMode="External"/><Relationship Id="rId1181" Type="http://schemas.openxmlformats.org/officeDocument/2006/relationships/hyperlink" Target="https://zakon.rada.gov.ua/laws/show/393/96-%D0%B2%D1%80" TargetMode="External"/><Relationship Id="rId2232" Type="http://schemas.openxmlformats.org/officeDocument/2006/relationships/hyperlink" Target="https://zakon.rada.gov.ua/laws/show/2245-19" TargetMode="External"/><Relationship Id="rId5388" Type="http://schemas.openxmlformats.org/officeDocument/2006/relationships/hyperlink" Target="https://zakon.rada.gov.ua/laws/show/2371%D0%B1-14" TargetMode="External"/><Relationship Id="rId5595" Type="http://schemas.openxmlformats.org/officeDocument/2006/relationships/hyperlink" Target="https://zakon.rada.gov.ua/laws/show/1797-19" TargetMode="External"/><Relationship Id="rId204" Type="http://schemas.openxmlformats.org/officeDocument/2006/relationships/hyperlink" Target="https://zakon.rada.gov.ua/laws/show/71-19" TargetMode="External"/><Relationship Id="rId411" Type="http://schemas.openxmlformats.org/officeDocument/2006/relationships/hyperlink" Target="https://zakon.rada.gov.ua/laws/show/4834-17" TargetMode="External"/><Relationship Id="rId1041" Type="http://schemas.openxmlformats.org/officeDocument/2006/relationships/hyperlink" Target="https://zakon.rada.gov.ua/laws/show/2755-17/print" TargetMode="External"/><Relationship Id="rId1998" Type="http://schemas.openxmlformats.org/officeDocument/2006/relationships/hyperlink" Target="https://zakon.rada.gov.ua/laws/show/z0137-16" TargetMode="External"/><Relationship Id="rId4197" Type="http://schemas.openxmlformats.org/officeDocument/2006/relationships/hyperlink" Target="https://zakon.rada.gov.ua/laws/show/1797-19" TargetMode="External"/><Relationship Id="rId5248" Type="http://schemas.openxmlformats.org/officeDocument/2006/relationships/hyperlink" Target="https://zakon.rada.gov.ua/laws/show/404-18" TargetMode="External"/><Relationship Id="rId5455" Type="http://schemas.openxmlformats.org/officeDocument/2006/relationships/hyperlink" Target="https://zakon.rada.gov.ua/laws/show/584%D0%B0-18" TargetMode="External"/><Relationship Id="rId5662" Type="http://schemas.openxmlformats.org/officeDocument/2006/relationships/hyperlink" Target="https://zakon.rada.gov.ua/laws/show/2755-17/print" TargetMode="External"/><Relationship Id="rId1858" Type="http://schemas.openxmlformats.org/officeDocument/2006/relationships/hyperlink" Target="https://zakon.rada.gov.ua/laws/show/3480-15" TargetMode="External"/><Relationship Id="rId4057" Type="http://schemas.openxmlformats.org/officeDocument/2006/relationships/hyperlink" Target="https://zakon.rada.gov.ua/laws/show/2755-17/print" TargetMode="External"/><Relationship Id="rId4264" Type="http://schemas.openxmlformats.org/officeDocument/2006/relationships/hyperlink" Target="https://zakon.rada.gov.ua/laws/show/2755-17/print" TargetMode="External"/><Relationship Id="rId4471" Type="http://schemas.openxmlformats.org/officeDocument/2006/relationships/hyperlink" Target="https://zakon.rada.gov.ua/laws/show/1191-18" TargetMode="External"/><Relationship Id="rId5108" Type="http://schemas.openxmlformats.org/officeDocument/2006/relationships/hyperlink" Target="https://zakon.rada.gov.ua/laws/show/5412-17" TargetMode="External"/><Relationship Id="rId5315" Type="http://schemas.openxmlformats.org/officeDocument/2006/relationships/hyperlink" Target="https://zakon.rada.gov.ua/laws/show/4834-17" TargetMode="External"/><Relationship Id="rId5522" Type="http://schemas.openxmlformats.org/officeDocument/2006/relationships/hyperlink" Target="https://zakon.rada.gov.ua/laws/show/643-19" TargetMode="External"/><Relationship Id="rId2909" Type="http://schemas.openxmlformats.org/officeDocument/2006/relationships/hyperlink" Target="https://zakon.rada.gov.ua/laws/show/657-18" TargetMode="External"/><Relationship Id="rId3073" Type="http://schemas.openxmlformats.org/officeDocument/2006/relationships/hyperlink" Target="https://zakon.rada.gov.ua/laws/show/116-2011-%D0%BF" TargetMode="External"/><Relationship Id="rId3280" Type="http://schemas.openxmlformats.org/officeDocument/2006/relationships/hyperlink" Target="https://zakon.rada.gov.ua/laws/show/z0159-16" TargetMode="External"/><Relationship Id="rId4124" Type="http://schemas.openxmlformats.org/officeDocument/2006/relationships/hyperlink" Target="https://zakon.rada.gov.ua/laws/show/391-20" TargetMode="External"/><Relationship Id="rId4331" Type="http://schemas.openxmlformats.org/officeDocument/2006/relationships/hyperlink" Target="https://zakon.rada.gov.ua/laws/show/2755-17/print" TargetMode="External"/><Relationship Id="rId1718" Type="http://schemas.openxmlformats.org/officeDocument/2006/relationships/hyperlink" Target="https://zakon.rada.gov.ua/laws/show/2755-17/print" TargetMode="External"/><Relationship Id="rId1925" Type="http://schemas.openxmlformats.org/officeDocument/2006/relationships/hyperlink" Target="https://zakon.rada.gov.ua/laws/show/652-19" TargetMode="External"/><Relationship Id="rId3140" Type="http://schemas.openxmlformats.org/officeDocument/2006/relationships/hyperlink" Target="https://zakon.rada.gov.ua/laws/show/4495-17" TargetMode="External"/><Relationship Id="rId6089" Type="http://schemas.openxmlformats.org/officeDocument/2006/relationships/hyperlink" Target="https://zakon.rada.gov.ua/laws/show/129/98-%D0%B2%D1%80" TargetMode="External"/><Relationship Id="rId6296" Type="http://schemas.openxmlformats.org/officeDocument/2006/relationships/hyperlink" Target="https://zakon.rada.gov.ua/laws/show/4495-17" TargetMode="External"/><Relationship Id="rId6156" Type="http://schemas.openxmlformats.org/officeDocument/2006/relationships/hyperlink" Target="https://zakon.rada.gov.ua/laws/show/211-19" TargetMode="External"/><Relationship Id="rId2699" Type="http://schemas.openxmlformats.org/officeDocument/2006/relationships/hyperlink" Target="https://zakon.rada.gov.ua/laws/show/2755-17/print" TargetMode="External"/><Relationship Id="rId3000" Type="http://schemas.openxmlformats.org/officeDocument/2006/relationships/hyperlink" Target="https://zakon.rada.gov.ua/laws/show/2245-19" TargetMode="External"/><Relationship Id="rId3957" Type="http://schemas.openxmlformats.org/officeDocument/2006/relationships/hyperlink" Target="https://zakon.rada.gov.ua/laws/show/5083-17" TargetMode="External"/><Relationship Id="rId878" Type="http://schemas.openxmlformats.org/officeDocument/2006/relationships/hyperlink" Target="https://zakon.rada.gov.ua/laws/show/2755-17/print" TargetMode="External"/><Relationship Id="rId2559" Type="http://schemas.openxmlformats.org/officeDocument/2006/relationships/hyperlink" Target="https://zakon.rada.gov.ua/laws/show/2755-17/print" TargetMode="External"/><Relationship Id="rId2766" Type="http://schemas.openxmlformats.org/officeDocument/2006/relationships/hyperlink" Target="https://zakon.rada.gov.ua/laws/show/2755-17/print" TargetMode="External"/><Relationship Id="rId2973" Type="http://schemas.openxmlformats.org/officeDocument/2006/relationships/hyperlink" Target="https://zakon.rada.gov.ua/laws/show/425-20" TargetMode="External"/><Relationship Id="rId3817" Type="http://schemas.openxmlformats.org/officeDocument/2006/relationships/hyperlink" Target="https://zakon.rada.gov.ua/laws/show/1166-18" TargetMode="External"/><Relationship Id="rId5172" Type="http://schemas.openxmlformats.org/officeDocument/2006/relationships/hyperlink" Target="https://zakon.rada.gov.ua/laws/show/1690-18" TargetMode="External"/><Relationship Id="rId6016" Type="http://schemas.openxmlformats.org/officeDocument/2006/relationships/hyperlink" Target="https://zakon.rada.gov.ua/laws/show/2755-17/print" TargetMode="External"/><Relationship Id="rId6223" Type="http://schemas.openxmlformats.org/officeDocument/2006/relationships/hyperlink" Target="https://zakon.rada.gov.ua/laws/show/254-19" TargetMode="External"/><Relationship Id="rId738" Type="http://schemas.openxmlformats.org/officeDocument/2006/relationships/hyperlink" Target="https://zakon.rada.gov.ua/laws/show/609-19" TargetMode="External"/><Relationship Id="rId945" Type="http://schemas.openxmlformats.org/officeDocument/2006/relationships/hyperlink" Target="https://zakon.rada.gov.ua/laws/show/1797-19" TargetMode="External"/><Relationship Id="rId1368" Type="http://schemas.openxmlformats.org/officeDocument/2006/relationships/hyperlink" Target="https://zakon.rada.gov.ua/laws/show/71-19" TargetMode="External"/><Relationship Id="rId1575" Type="http://schemas.openxmlformats.org/officeDocument/2006/relationships/hyperlink" Target="https://zakon.rada.gov.ua/laws/show/1797-19" TargetMode="External"/><Relationship Id="rId1782" Type="http://schemas.openxmlformats.org/officeDocument/2006/relationships/hyperlink" Target="https://zakon.rada.gov.ua/laws/show/1797-19" TargetMode="External"/><Relationship Id="rId2419" Type="http://schemas.openxmlformats.org/officeDocument/2006/relationships/hyperlink" Target="https://zakon.rada.gov.ua/laws/show/2497-19" TargetMode="External"/><Relationship Id="rId2626" Type="http://schemas.openxmlformats.org/officeDocument/2006/relationships/hyperlink" Target="https://zakon.rada.gov.ua/laws/show/2755-17/print" TargetMode="External"/><Relationship Id="rId2833" Type="http://schemas.openxmlformats.org/officeDocument/2006/relationships/hyperlink" Target="https://zakon.rada.gov.ua/laws/show/2755-17/print" TargetMode="External"/><Relationship Id="rId5032" Type="http://schemas.openxmlformats.org/officeDocument/2006/relationships/hyperlink" Target="https://zakon.rada.gov.ua/laws/show/5083-17" TargetMode="External"/><Relationship Id="rId5989" Type="http://schemas.openxmlformats.org/officeDocument/2006/relationships/hyperlink" Target="https://zakon.rada.gov.ua/laws/show/584%D0%B0-18" TargetMode="External"/><Relationship Id="rId74" Type="http://schemas.openxmlformats.org/officeDocument/2006/relationships/hyperlink" Target="https://zakon.rada.gov.ua/laws/show/1654-18" TargetMode="External"/><Relationship Id="rId805" Type="http://schemas.openxmlformats.org/officeDocument/2006/relationships/hyperlink" Target="https://zakon.rada.gov.ua/laws/show/vb457609-10" TargetMode="External"/><Relationship Id="rId1228" Type="http://schemas.openxmlformats.org/officeDocument/2006/relationships/hyperlink" Target="https://zakon.rada.gov.ua/laws/show/1797-19" TargetMode="External"/><Relationship Id="rId1435" Type="http://schemas.openxmlformats.org/officeDocument/2006/relationships/hyperlink" Target="https://zakon.rada.gov.ua/laws/show/2755-17/print" TargetMode="External"/><Relationship Id="rId4798" Type="http://schemas.openxmlformats.org/officeDocument/2006/relationships/hyperlink" Target="https://zakon.rada.gov.ua/laws/show/1797-19" TargetMode="External"/><Relationship Id="rId1642" Type="http://schemas.openxmlformats.org/officeDocument/2006/relationships/hyperlink" Target="https://zakon.rada.gov.ua/laws/show/5083-17" TargetMode="External"/><Relationship Id="rId2900" Type="http://schemas.openxmlformats.org/officeDocument/2006/relationships/hyperlink" Target="https://zakon.rada.gov.ua/laws/show/2755-17/print" TargetMode="External"/><Relationship Id="rId5849" Type="http://schemas.openxmlformats.org/officeDocument/2006/relationships/hyperlink" Target="https://zakon.rada.gov.ua/laws/show/1797-19" TargetMode="External"/><Relationship Id="rId1502" Type="http://schemas.openxmlformats.org/officeDocument/2006/relationships/hyperlink" Target="https://zakon.rada.gov.ua/laws/show/2245-19" TargetMode="External"/><Relationship Id="rId4658" Type="http://schemas.openxmlformats.org/officeDocument/2006/relationships/hyperlink" Target="https://zakon.rada.gov.ua/laws/show/909-19" TargetMode="External"/><Relationship Id="rId4865" Type="http://schemas.openxmlformats.org/officeDocument/2006/relationships/hyperlink" Target="https://zakon.rada.gov.ua/laws/show/71-19" TargetMode="External"/><Relationship Id="rId5709" Type="http://schemas.openxmlformats.org/officeDocument/2006/relationships/hyperlink" Target="https://zakon.rada.gov.ua/laws/show/2755-17/print" TargetMode="External"/><Relationship Id="rId5916" Type="http://schemas.openxmlformats.org/officeDocument/2006/relationships/hyperlink" Target="https://zakon.rada.gov.ua/laws/show/2755-17/print" TargetMode="External"/><Relationship Id="rId6080" Type="http://schemas.openxmlformats.org/officeDocument/2006/relationships/hyperlink" Target="https://zakon.rada.gov.ua/laws/show/2755-17/print" TargetMode="External"/><Relationship Id="rId388" Type="http://schemas.openxmlformats.org/officeDocument/2006/relationships/hyperlink" Target="https://zakon.rada.gov.ua/laws/show/2628-19" TargetMode="External"/><Relationship Id="rId2069" Type="http://schemas.openxmlformats.org/officeDocument/2006/relationships/hyperlink" Target="https://zakon.rada.gov.ua/laws/show/655-19" TargetMode="External"/><Relationship Id="rId3467" Type="http://schemas.openxmlformats.org/officeDocument/2006/relationships/hyperlink" Target="https://zakon.rada.gov.ua/laws/show/2755-17/print" TargetMode="External"/><Relationship Id="rId3674" Type="http://schemas.openxmlformats.org/officeDocument/2006/relationships/hyperlink" Target="https://zakon.rada.gov.ua/laws/show/391-20" TargetMode="External"/><Relationship Id="rId3881" Type="http://schemas.openxmlformats.org/officeDocument/2006/relationships/hyperlink" Target="https://zakon.rada.gov.ua/laws/show/5083-17" TargetMode="External"/><Relationship Id="rId4518" Type="http://schemas.openxmlformats.org/officeDocument/2006/relationships/hyperlink" Target="https://zakon.rada.gov.ua/laws/show/2755-17/print" TargetMode="External"/><Relationship Id="rId4725" Type="http://schemas.openxmlformats.org/officeDocument/2006/relationships/hyperlink" Target="https://zakon.rada.gov.ua/laws/show/483-2017-%D0%BF" TargetMode="External"/><Relationship Id="rId4932" Type="http://schemas.openxmlformats.org/officeDocument/2006/relationships/hyperlink" Target="https://zakon.rada.gov.ua/laws/show/657-18" TargetMode="External"/><Relationship Id="rId595" Type="http://schemas.openxmlformats.org/officeDocument/2006/relationships/hyperlink" Target="https://zakon.rada.gov.ua/laws/show/4495-17" TargetMode="External"/><Relationship Id="rId2276" Type="http://schemas.openxmlformats.org/officeDocument/2006/relationships/hyperlink" Target="https://zakon.rada.gov.ua/laws/show/2755-17/print" TargetMode="External"/><Relationship Id="rId2483" Type="http://schemas.openxmlformats.org/officeDocument/2006/relationships/hyperlink" Target="https://zakon.rada.gov.ua/laws/show/1797-19" TargetMode="External"/><Relationship Id="rId2690" Type="http://schemas.openxmlformats.org/officeDocument/2006/relationships/hyperlink" Target="https://zakon.rada.gov.ua/laws/show/5413-17" TargetMode="External"/><Relationship Id="rId3327" Type="http://schemas.openxmlformats.org/officeDocument/2006/relationships/hyperlink" Target="https://zakon.rada.gov.ua/laws/show/1797-19" TargetMode="External"/><Relationship Id="rId3534" Type="http://schemas.openxmlformats.org/officeDocument/2006/relationships/hyperlink" Target="https://zakon.rada.gov.ua/laws/show/431-2012-%D0%BF" TargetMode="External"/><Relationship Id="rId3741" Type="http://schemas.openxmlformats.org/officeDocument/2006/relationships/hyperlink" Target="https://zakon.rada.gov.ua/laws/show/2245-19" TargetMode="External"/><Relationship Id="rId248" Type="http://schemas.openxmlformats.org/officeDocument/2006/relationships/hyperlink" Target="https://zakon.rada.gov.ua/laws/show/71-19" TargetMode="External"/><Relationship Id="rId455" Type="http://schemas.openxmlformats.org/officeDocument/2006/relationships/hyperlink" Target="https://zakon.rada.gov.ua/laws/show/71-19" TargetMode="External"/><Relationship Id="rId662" Type="http://schemas.openxmlformats.org/officeDocument/2006/relationships/hyperlink" Target="https://zakon.rada.gov.ua/laws/show/2725-19" TargetMode="External"/><Relationship Id="rId1085" Type="http://schemas.openxmlformats.org/officeDocument/2006/relationships/hyperlink" Target="https://zakon.rada.gov.ua/laws/show/909-19" TargetMode="External"/><Relationship Id="rId1292" Type="http://schemas.openxmlformats.org/officeDocument/2006/relationships/hyperlink" Target="https://zakon.rada.gov.ua/laws/show/z0137-16" TargetMode="External"/><Relationship Id="rId2136" Type="http://schemas.openxmlformats.org/officeDocument/2006/relationships/hyperlink" Target="https://zakon.rada.gov.ua/laws/show/2755-17/print" TargetMode="External"/><Relationship Id="rId2343" Type="http://schemas.openxmlformats.org/officeDocument/2006/relationships/hyperlink" Target="https://zakon.rada.gov.ua/laws/show/1411-19" TargetMode="External"/><Relationship Id="rId2550" Type="http://schemas.openxmlformats.org/officeDocument/2006/relationships/hyperlink" Target="https://zakon.rada.gov.ua/laws/show/909-19" TargetMode="External"/><Relationship Id="rId3601" Type="http://schemas.openxmlformats.org/officeDocument/2006/relationships/hyperlink" Target="https://zakon.rada.gov.ua/laws/show/3609-17" TargetMode="External"/><Relationship Id="rId5499" Type="http://schemas.openxmlformats.org/officeDocument/2006/relationships/hyperlink" Target="https://zakon.rada.gov.ua/laws/show/2755-17/print" TargetMode="External"/><Relationship Id="rId108" Type="http://schemas.openxmlformats.org/officeDocument/2006/relationships/hyperlink" Target="https://zakon.rada.gov.ua/laws/show/1084-19" TargetMode="External"/><Relationship Id="rId315" Type="http://schemas.openxmlformats.org/officeDocument/2006/relationships/hyperlink" Target="https://zakon.rada.gov.ua/laws/show/71-19" TargetMode="External"/><Relationship Id="rId522" Type="http://schemas.openxmlformats.org/officeDocument/2006/relationships/hyperlink" Target="https://zakon.rada.gov.ua/laws/show/71-19" TargetMode="External"/><Relationship Id="rId1152" Type="http://schemas.openxmlformats.org/officeDocument/2006/relationships/hyperlink" Target="https://zakon.rada.gov.ua/laws/show/2755-17/print" TargetMode="External"/><Relationship Id="rId2203" Type="http://schemas.openxmlformats.org/officeDocument/2006/relationships/hyperlink" Target="https://zakon.rada.gov.ua/laws/show/2755-17/print" TargetMode="External"/><Relationship Id="rId2410" Type="http://schemas.openxmlformats.org/officeDocument/2006/relationships/hyperlink" Target="https://zakon.rada.gov.ua/laws/show/2628-19" TargetMode="External"/><Relationship Id="rId5359" Type="http://schemas.openxmlformats.org/officeDocument/2006/relationships/hyperlink" Target="https://zakon.rada.gov.ua/laws/show/875-12" TargetMode="External"/><Relationship Id="rId5566" Type="http://schemas.openxmlformats.org/officeDocument/2006/relationships/hyperlink" Target="https://zakon.rada.gov.ua/laws/show/2755-17/print" TargetMode="External"/><Relationship Id="rId5773" Type="http://schemas.openxmlformats.org/officeDocument/2006/relationships/hyperlink" Target="https://zakon.rada.gov.ua/laws/show/1166-18" TargetMode="External"/><Relationship Id="rId1012" Type="http://schemas.openxmlformats.org/officeDocument/2006/relationships/hyperlink" Target="https://zakon.rada.gov.ua/laws/show/2755-17/print" TargetMode="External"/><Relationship Id="rId4168" Type="http://schemas.openxmlformats.org/officeDocument/2006/relationships/hyperlink" Target="https://zakon.rada.gov.ua/laws/show/1638-18" TargetMode="External"/><Relationship Id="rId4375" Type="http://schemas.openxmlformats.org/officeDocument/2006/relationships/hyperlink" Target="https://zakon.rada.gov.ua/laws/show/909-19" TargetMode="External"/><Relationship Id="rId5219" Type="http://schemas.openxmlformats.org/officeDocument/2006/relationships/hyperlink" Target="https://zakon.rada.gov.ua/laws/show/4050-17" TargetMode="External"/><Relationship Id="rId5426" Type="http://schemas.openxmlformats.org/officeDocument/2006/relationships/hyperlink" Target="https://zakon.rada.gov.ua/laws/show/4834-17" TargetMode="External"/><Relationship Id="rId5980" Type="http://schemas.openxmlformats.org/officeDocument/2006/relationships/hyperlink" Target="https://zakon.rada.gov.ua/laws/show/909-19" TargetMode="External"/><Relationship Id="rId1969" Type="http://schemas.openxmlformats.org/officeDocument/2006/relationships/hyperlink" Target="https://zakon.rada.gov.ua/laws/show/2755-17/print" TargetMode="External"/><Relationship Id="rId3184" Type="http://schemas.openxmlformats.org/officeDocument/2006/relationships/hyperlink" Target="https://zakon.rada.gov.ua/laws/show/909-19" TargetMode="External"/><Relationship Id="rId4028" Type="http://schemas.openxmlformats.org/officeDocument/2006/relationships/hyperlink" Target="https://zakon.rada.gov.ua/laws/show/4495-17" TargetMode="External"/><Relationship Id="rId4235" Type="http://schemas.openxmlformats.org/officeDocument/2006/relationships/hyperlink" Target="https://zakon.rada.gov.ua/laws/show/2628-19" TargetMode="External"/><Relationship Id="rId4582" Type="http://schemas.openxmlformats.org/officeDocument/2006/relationships/hyperlink" Target="https://zakon.rada.gov.ua/laws/show/483-2017-%D0%BF" TargetMode="External"/><Relationship Id="rId5633" Type="http://schemas.openxmlformats.org/officeDocument/2006/relationships/hyperlink" Target="https://zakon.rada.gov.ua/laws/show/1797-19" TargetMode="External"/><Relationship Id="rId5840" Type="http://schemas.openxmlformats.org/officeDocument/2006/relationships/hyperlink" Target="https://zakon.rada.gov.ua/laws/show/657-18" TargetMode="External"/><Relationship Id="rId1829" Type="http://schemas.openxmlformats.org/officeDocument/2006/relationships/hyperlink" Target="https://zakon.rada.gov.ua/laws/show/2755-17/print" TargetMode="External"/><Relationship Id="rId3391" Type="http://schemas.openxmlformats.org/officeDocument/2006/relationships/hyperlink" Target="https://zakon.rada.gov.ua/laws/show/2755-17/print" TargetMode="External"/><Relationship Id="rId4442" Type="http://schemas.openxmlformats.org/officeDocument/2006/relationships/hyperlink" Target="https://zakon.rada.gov.ua/laws/show/2755-17/print" TargetMode="External"/><Relationship Id="rId5700" Type="http://schemas.openxmlformats.org/officeDocument/2006/relationships/hyperlink" Target="https://zakon.rada.gov.ua/laws/show/2628-19" TargetMode="External"/><Relationship Id="rId3044" Type="http://schemas.openxmlformats.org/officeDocument/2006/relationships/hyperlink" Target="https://zakon.rada.gov.ua/laws/show/5083-17" TargetMode="External"/><Relationship Id="rId3251" Type="http://schemas.openxmlformats.org/officeDocument/2006/relationships/hyperlink" Target="https://zakon.rada.gov.ua/laws/show/71-19" TargetMode="External"/><Relationship Id="rId4302" Type="http://schemas.openxmlformats.org/officeDocument/2006/relationships/hyperlink" Target="https://zakon.rada.gov.ua/laws/show/2628-19" TargetMode="External"/><Relationship Id="rId172" Type="http://schemas.openxmlformats.org/officeDocument/2006/relationships/hyperlink" Target="https://zakon.rada.gov.ua/laws/show/2628-19" TargetMode="External"/><Relationship Id="rId2060" Type="http://schemas.openxmlformats.org/officeDocument/2006/relationships/hyperlink" Target="https://zakon.rada.gov.ua/laws/show/2628-19" TargetMode="External"/><Relationship Id="rId3111" Type="http://schemas.openxmlformats.org/officeDocument/2006/relationships/hyperlink" Target="https://zakon.rada.gov.ua/laws/show/2755-17/print" TargetMode="External"/><Relationship Id="rId6267" Type="http://schemas.openxmlformats.org/officeDocument/2006/relationships/hyperlink" Target="https://zakon.rada.gov.ua/laws/show/1989-19" TargetMode="External"/><Relationship Id="rId989" Type="http://schemas.openxmlformats.org/officeDocument/2006/relationships/hyperlink" Target="https://zakon.rada.gov.ua/laws/show/1797-19" TargetMode="External"/><Relationship Id="rId2877" Type="http://schemas.openxmlformats.org/officeDocument/2006/relationships/hyperlink" Target="https://zakon.rada.gov.ua/laws/show/5083-17" TargetMode="External"/><Relationship Id="rId5076" Type="http://schemas.openxmlformats.org/officeDocument/2006/relationships/hyperlink" Target="https://zakon.rada.gov.ua/laws/show/2497-19" TargetMode="External"/><Relationship Id="rId5283" Type="http://schemas.openxmlformats.org/officeDocument/2006/relationships/hyperlink" Target="https://zakon.rada.gov.ua/laws/show/3551-12" TargetMode="External"/><Relationship Id="rId5490" Type="http://schemas.openxmlformats.org/officeDocument/2006/relationships/hyperlink" Target="https://zakon.rada.gov.ua/laws/show/2755-17/print" TargetMode="External"/><Relationship Id="rId6127" Type="http://schemas.openxmlformats.org/officeDocument/2006/relationships/hyperlink" Target="https://zakon.rada.gov.ua/laws/show/3609-17" TargetMode="External"/><Relationship Id="rId849" Type="http://schemas.openxmlformats.org/officeDocument/2006/relationships/hyperlink" Target="https://zakon.rada.gov.ua/laws/show/2245-19" TargetMode="External"/><Relationship Id="rId1479" Type="http://schemas.openxmlformats.org/officeDocument/2006/relationships/hyperlink" Target="https://zakon.rada.gov.ua/laws/show/1797-19" TargetMode="External"/><Relationship Id="rId1686" Type="http://schemas.openxmlformats.org/officeDocument/2006/relationships/hyperlink" Target="https://zakon.rada.gov.ua/laws/show/2755-17/print" TargetMode="External"/><Relationship Id="rId3928" Type="http://schemas.openxmlformats.org/officeDocument/2006/relationships/hyperlink" Target="https://zakon.rada.gov.ua/laws/show/2755-17/print" TargetMode="External"/><Relationship Id="rId4092" Type="http://schemas.openxmlformats.org/officeDocument/2006/relationships/hyperlink" Target="https://zakon.rada.gov.ua/laws/show/391-20" TargetMode="External"/><Relationship Id="rId5143" Type="http://schemas.openxmlformats.org/officeDocument/2006/relationships/hyperlink" Target="https://zakon.rada.gov.ua/laws/show/5412-17" TargetMode="External"/><Relationship Id="rId5350" Type="http://schemas.openxmlformats.org/officeDocument/2006/relationships/hyperlink" Target="https://zakon.rada.gov.ua/laws/show/4495-17" TargetMode="External"/><Relationship Id="rId1339" Type="http://schemas.openxmlformats.org/officeDocument/2006/relationships/hyperlink" Target="https://zakon.rada.gov.ua/laws/show/4834-17" TargetMode="External"/><Relationship Id="rId1893" Type="http://schemas.openxmlformats.org/officeDocument/2006/relationships/hyperlink" Target="https://zakon.rada.gov.ua/laws/show/4057-17" TargetMode="External"/><Relationship Id="rId2737" Type="http://schemas.openxmlformats.org/officeDocument/2006/relationships/hyperlink" Target="https://zakon.rada.gov.ua/laws/show/1797-19" TargetMode="External"/><Relationship Id="rId2944" Type="http://schemas.openxmlformats.org/officeDocument/2006/relationships/hyperlink" Target="https://zakon.rada.gov.ua/laws/show/609-19" TargetMode="External"/><Relationship Id="rId5003" Type="http://schemas.openxmlformats.org/officeDocument/2006/relationships/hyperlink" Target="https://zakon.rada.gov.ua/laws/show/1797-19" TargetMode="External"/><Relationship Id="rId5210" Type="http://schemas.openxmlformats.org/officeDocument/2006/relationships/hyperlink" Target="https://zakon.rada.gov.ua/laws/show/1797-19" TargetMode="External"/><Relationship Id="rId709" Type="http://schemas.openxmlformats.org/officeDocument/2006/relationships/hyperlink" Target="https://zakon.rada.gov.ua/laws/show/1797-19" TargetMode="External"/><Relationship Id="rId916" Type="http://schemas.openxmlformats.org/officeDocument/2006/relationships/hyperlink" Target="https://zakon.rada.gov.ua/laws/show/2755-17/print" TargetMode="External"/><Relationship Id="rId1546" Type="http://schemas.openxmlformats.org/officeDocument/2006/relationships/hyperlink" Target="https://zakon.rada.gov.ua/laws/show/2755-17/print" TargetMode="External"/><Relationship Id="rId1753" Type="http://schemas.openxmlformats.org/officeDocument/2006/relationships/hyperlink" Target="https://zakon.rada.gov.ua/laws/show/909-19" TargetMode="External"/><Relationship Id="rId1960" Type="http://schemas.openxmlformats.org/officeDocument/2006/relationships/hyperlink" Target="https://zakon.rada.gov.ua/laws/show/71-19" TargetMode="External"/><Relationship Id="rId2804" Type="http://schemas.openxmlformats.org/officeDocument/2006/relationships/hyperlink" Target="https://zakon.rada.gov.ua/laws/show/2755-17/print" TargetMode="External"/><Relationship Id="rId45" Type="http://schemas.openxmlformats.org/officeDocument/2006/relationships/hyperlink" Target="https://zakon.rada.gov.ua/laws/show/5515-17" TargetMode="External"/><Relationship Id="rId1406" Type="http://schemas.openxmlformats.org/officeDocument/2006/relationships/hyperlink" Target="https://zakon.rada.gov.ua/laws/show/344-19" TargetMode="External"/><Relationship Id="rId1613" Type="http://schemas.openxmlformats.org/officeDocument/2006/relationships/hyperlink" Target="https://zakon.rada.gov.ua/laws/show/4651-17" TargetMode="External"/><Relationship Id="rId1820" Type="http://schemas.openxmlformats.org/officeDocument/2006/relationships/hyperlink" Target="https://zakon.rada.gov.ua/laws/show/2755-17/print" TargetMode="External"/><Relationship Id="rId4769" Type="http://schemas.openxmlformats.org/officeDocument/2006/relationships/hyperlink" Target="https://zakon.rada.gov.ua/laws/show/1791-19" TargetMode="External"/><Relationship Id="rId4976" Type="http://schemas.openxmlformats.org/officeDocument/2006/relationships/hyperlink" Target="https://zakon.rada.gov.ua/laws/show/71-19" TargetMode="External"/><Relationship Id="rId3578" Type="http://schemas.openxmlformats.org/officeDocument/2006/relationships/hyperlink" Target="https://zakon.rada.gov.ua/laws/show/2755-17/print" TargetMode="External"/><Relationship Id="rId3785" Type="http://schemas.openxmlformats.org/officeDocument/2006/relationships/hyperlink" Target="https://zakon.rada.gov.ua/laws/show/584%D0%B0-18" TargetMode="External"/><Relationship Id="rId3992" Type="http://schemas.openxmlformats.org/officeDocument/2006/relationships/hyperlink" Target="https://zakon.rada.gov.ua/laws/show/2628-19" TargetMode="External"/><Relationship Id="rId4629" Type="http://schemas.openxmlformats.org/officeDocument/2006/relationships/hyperlink" Target="https://zakon.rada.gov.ua/laws/show/909-19" TargetMode="External"/><Relationship Id="rId4836" Type="http://schemas.openxmlformats.org/officeDocument/2006/relationships/hyperlink" Target="https://zakon.rada.gov.ua/laws/show/5503-17" TargetMode="External"/><Relationship Id="rId6191" Type="http://schemas.openxmlformats.org/officeDocument/2006/relationships/hyperlink" Target="https://zakon.rada.gov.ua/laws/show/1126-18" TargetMode="External"/><Relationship Id="rId499" Type="http://schemas.openxmlformats.org/officeDocument/2006/relationships/hyperlink" Target="https://zakon.rada.gov.ua/laws/show/5412-17" TargetMode="External"/><Relationship Id="rId2387" Type="http://schemas.openxmlformats.org/officeDocument/2006/relationships/hyperlink" Target="https://zakon.rada.gov.ua/laws/show/2371%D0%B0-14" TargetMode="External"/><Relationship Id="rId2594" Type="http://schemas.openxmlformats.org/officeDocument/2006/relationships/hyperlink" Target="https://zakon.rada.gov.ua/laws/show/909-19" TargetMode="External"/><Relationship Id="rId3438" Type="http://schemas.openxmlformats.org/officeDocument/2006/relationships/hyperlink" Target="https://zakon.rada.gov.ua/laws/show/71-19" TargetMode="External"/><Relationship Id="rId3645" Type="http://schemas.openxmlformats.org/officeDocument/2006/relationships/hyperlink" Target="https://zakon.rada.gov.ua/laws/show/909-19" TargetMode="External"/><Relationship Id="rId3852" Type="http://schemas.openxmlformats.org/officeDocument/2006/relationships/hyperlink" Target="https://zakon.rada.gov.ua/laws/show/2755-17/print" TargetMode="External"/><Relationship Id="rId6051" Type="http://schemas.openxmlformats.org/officeDocument/2006/relationships/hyperlink" Target="https://zakon.rada.gov.ua/laws/show/2660-14" TargetMode="External"/><Relationship Id="rId359" Type="http://schemas.openxmlformats.org/officeDocument/2006/relationships/hyperlink" Target="https://zakon.rada.gov.ua/laws/show/71-19" TargetMode="External"/><Relationship Id="rId566" Type="http://schemas.openxmlformats.org/officeDocument/2006/relationships/hyperlink" Target="https://zakon.rada.gov.ua/laws/show/4014-17" TargetMode="External"/><Relationship Id="rId773" Type="http://schemas.openxmlformats.org/officeDocument/2006/relationships/hyperlink" Target="https://zakon.rada.gov.ua/laws/show/609-19" TargetMode="External"/><Relationship Id="rId1196" Type="http://schemas.openxmlformats.org/officeDocument/2006/relationships/hyperlink" Target="https://zakon.rada.gov.ua/laws/show/2755-17/print" TargetMode="External"/><Relationship Id="rId2247" Type="http://schemas.openxmlformats.org/officeDocument/2006/relationships/hyperlink" Target="https://zakon.rada.gov.ua/laws/show/2755-17/print" TargetMode="External"/><Relationship Id="rId2454" Type="http://schemas.openxmlformats.org/officeDocument/2006/relationships/hyperlink" Target="https://zakon.rada.gov.ua/laws/show/2755-17/print" TargetMode="External"/><Relationship Id="rId3505" Type="http://schemas.openxmlformats.org/officeDocument/2006/relationships/hyperlink" Target="https://zakon.rada.gov.ua/laws/show/2755-17/print" TargetMode="External"/><Relationship Id="rId4903" Type="http://schemas.openxmlformats.org/officeDocument/2006/relationships/hyperlink" Target="https://zakon.rada.gov.ua/laws/show/657-18" TargetMode="External"/><Relationship Id="rId219" Type="http://schemas.openxmlformats.org/officeDocument/2006/relationships/hyperlink" Target="https://zakon.rada.gov.ua/laws/show/4495-17" TargetMode="External"/><Relationship Id="rId426" Type="http://schemas.openxmlformats.org/officeDocument/2006/relationships/hyperlink" Target="https://zakon.rada.gov.ua/laws/show/4834-17" TargetMode="External"/><Relationship Id="rId633" Type="http://schemas.openxmlformats.org/officeDocument/2006/relationships/hyperlink" Target="https://zakon.rada.gov.ua/laws/show/1797-19" TargetMode="External"/><Relationship Id="rId980" Type="http://schemas.openxmlformats.org/officeDocument/2006/relationships/hyperlink" Target="https://zakon.rada.gov.ua/laws/show/1200-18" TargetMode="External"/><Relationship Id="rId1056" Type="http://schemas.openxmlformats.org/officeDocument/2006/relationships/hyperlink" Target="https://zakon.rada.gov.ua/laws/show/71-19" TargetMode="External"/><Relationship Id="rId1263" Type="http://schemas.openxmlformats.org/officeDocument/2006/relationships/hyperlink" Target="https://zakon.rada.gov.ua/laws/show/1797-19" TargetMode="External"/><Relationship Id="rId2107" Type="http://schemas.openxmlformats.org/officeDocument/2006/relationships/hyperlink" Target="https://zakon.rada.gov.ua/laws/show/2245-19" TargetMode="External"/><Relationship Id="rId2314" Type="http://schemas.openxmlformats.org/officeDocument/2006/relationships/hyperlink" Target="https://zakon.rada.gov.ua/laws/show/2628-19" TargetMode="External"/><Relationship Id="rId2661" Type="http://schemas.openxmlformats.org/officeDocument/2006/relationships/hyperlink" Target="https://zakon.rada.gov.ua/laws/show/2768-14" TargetMode="External"/><Relationship Id="rId3712" Type="http://schemas.openxmlformats.org/officeDocument/2006/relationships/hyperlink" Target="https://zakon.rada.gov.ua/laws/show/584%D0%B0-18" TargetMode="External"/><Relationship Id="rId840" Type="http://schemas.openxmlformats.org/officeDocument/2006/relationships/hyperlink" Target="https://zakon.rada.gov.ua/laws/show/z0187-16" TargetMode="External"/><Relationship Id="rId1470" Type="http://schemas.openxmlformats.org/officeDocument/2006/relationships/hyperlink" Target="https://zakon.rada.gov.ua/laws/show/2755-17/print" TargetMode="External"/><Relationship Id="rId2521" Type="http://schemas.openxmlformats.org/officeDocument/2006/relationships/hyperlink" Target="https://zakon.rada.gov.ua/laws/show/1227-2010-%D0%BF" TargetMode="External"/><Relationship Id="rId4279" Type="http://schemas.openxmlformats.org/officeDocument/2006/relationships/hyperlink" Target="https://zakon.rada.gov.ua/laws/show/2628-19" TargetMode="External"/><Relationship Id="rId5677" Type="http://schemas.openxmlformats.org/officeDocument/2006/relationships/hyperlink" Target="https://zakon.rada.gov.ua/laws/show/2198-19" TargetMode="External"/><Relationship Id="rId5884" Type="http://schemas.openxmlformats.org/officeDocument/2006/relationships/hyperlink" Target="https://zakon.rada.gov.ua/laws/show/2628-19" TargetMode="External"/><Relationship Id="rId700" Type="http://schemas.openxmlformats.org/officeDocument/2006/relationships/hyperlink" Target="https://zakon.rada.gov.ua/laws/show/4834-17" TargetMode="External"/><Relationship Id="rId1123" Type="http://schemas.openxmlformats.org/officeDocument/2006/relationships/hyperlink" Target="https://zakon.rada.gov.ua/laws/show/z1415-15" TargetMode="External"/><Relationship Id="rId1330" Type="http://schemas.openxmlformats.org/officeDocument/2006/relationships/hyperlink" Target="https://zakon.rada.gov.ua/laws/show/1797-19" TargetMode="External"/><Relationship Id="rId3088" Type="http://schemas.openxmlformats.org/officeDocument/2006/relationships/hyperlink" Target="https://zakon.rada.gov.ua/laws/show/5083-17" TargetMode="External"/><Relationship Id="rId4486" Type="http://schemas.openxmlformats.org/officeDocument/2006/relationships/hyperlink" Target="https://zakon.rada.gov.ua/laws/show/812-19" TargetMode="External"/><Relationship Id="rId4693" Type="http://schemas.openxmlformats.org/officeDocument/2006/relationships/hyperlink" Target="https://zakon.rada.gov.ua/laws/show/71-19" TargetMode="External"/><Relationship Id="rId5537" Type="http://schemas.openxmlformats.org/officeDocument/2006/relationships/hyperlink" Target="https://zakon.rada.gov.ua/laws/show/909-19" TargetMode="External"/><Relationship Id="rId5744" Type="http://schemas.openxmlformats.org/officeDocument/2006/relationships/hyperlink" Target="https://zakon.rada.gov.ua/laws/show/3609-17" TargetMode="External"/><Relationship Id="rId5951" Type="http://schemas.openxmlformats.org/officeDocument/2006/relationships/hyperlink" Target="https://zakon.rada.gov.ua/laws/show/2755-17/print" TargetMode="External"/><Relationship Id="rId3295" Type="http://schemas.openxmlformats.org/officeDocument/2006/relationships/hyperlink" Target="https://zakon.rada.gov.ua/laws/show/1797-19" TargetMode="External"/><Relationship Id="rId4139" Type="http://schemas.openxmlformats.org/officeDocument/2006/relationships/hyperlink" Target="https://zakon.rada.gov.ua/laws/show/2628-19" TargetMode="External"/><Relationship Id="rId4346" Type="http://schemas.openxmlformats.org/officeDocument/2006/relationships/hyperlink" Target="https://zakon.rada.gov.ua/laws/show/z0405-16" TargetMode="External"/><Relationship Id="rId4553" Type="http://schemas.openxmlformats.org/officeDocument/2006/relationships/hyperlink" Target="https://zakon.rada.gov.ua/laws/show/909-19" TargetMode="External"/><Relationship Id="rId4760" Type="http://schemas.openxmlformats.org/officeDocument/2006/relationships/hyperlink" Target="https://zakon.rada.gov.ua/laws/show/71-19" TargetMode="External"/><Relationship Id="rId5604" Type="http://schemas.openxmlformats.org/officeDocument/2006/relationships/hyperlink" Target="https://zakon.rada.gov.ua/laws/show/z0137-16" TargetMode="External"/><Relationship Id="rId5811" Type="http://schemas.openxmlformats.org/officeDocument/2006/relationships/hyperlink" Target="https://zakon.rada.gov.ua/laws/show/2755-17/print" TargetMode="External"/><Relationship Id="rId3155" Type="http://schemas.openxmlformats.org/officeDocument/2006/relationships/hyperlink" Target="https://zakon.rada.gov.ua/laws/show/4834-17" TargetMode="External"/><Relationship Id="rId3362" Type="http://schemas.openxmlformats.org/officeDocument/2006/relationships/hyperlink" Target="https://zakon.rada.gov.ua/laws/show/1797-19" TargetMode="External"/><Relationship Id="rId4206" Type="http://schemas.openxmlformats.org/officeDocument/2006/relationships/hyperlink" Target="https://zakon.rada.gov.ua/laws/show/584%D0%B0-18" TargetMode="External"/><Relationship Id="rId4413" Type="http://schemas.openxmlformats.org/officeDocument/2006/relationships/hyperlink" Target="https://zakon.rada.gov.ua/laws/show/1791-19" TargetMode="External"/><Relationship Id="rId4620" Type="http://schemas.openxmlformats.org/officeDocument/2006/relationships/hyperlink" Target="https://zakon.rada.gov.ua/laws/show/1797-19" TargetMode="External"/><Relationship Id="rId283" Type="http://schemas.openxmlformats.org/officeDocument/2006/relationships/hyperlink" Target="https://zakon.rada.gov.ua/laws/show/2628-19" TargetMode="External"/><Relationship Id="rId490" Type="http://schemas.openxmlformats.org/officeDocument/2006/relationships/hyperlink" Target="https://zakon.rada.gov.ua/laws/show/407-18" TargetMode="External"/><Relationship Id="rId2171" Type="http://schemas.openxmlformats.org/officeDocument/2006/relationships/hyperlink" Target="https://zakon.rada.gov.ua/laws/show/1797-19" TargetMode="External"/><Relationship Id="rId3015" Type="http://schemas.openxmlformats.org/officeDocument/2006/relationships/hyperlink" Target="https://zakon.rada.gov.ua/laws/show/3609-17" TargetMode="External"/><Relationship Id="rId3222" Type="http://schemas.openxmlformats.org/officeDocument/2006/relationships/hyperlink" Target="https://zakon.rada.gov.ua/laws/show/4834-17" TargetMode="External"/><Relationship Id="rId143" Type="http://schemas.openxmlformats.org/officeDocument/2006/relationships/hyperlink" Target="https://zakon.rada.gov.ua/laws/show/344-20" TargetMode="External"/><Relationship Id="rId350" Type="http://schemas.openxmlformats.org/officeDocument/2006/relationships/hyperlink" Target="https://zakon.rada.gov.ua/laws/show/657-18" TargetMode="External"/><Relationship Id="rId2031" Type="http://schemas.openxmlformats.org/officeDocument/2006/relationships/hyperlink" Target="https://zakon.rada.gov.ua/laws/show/2755-17/print" TargetMode="External"/><Relationship Id="rId5187" Type="http://schemas.openxmlformats.org/officeDocument/2006/relationships/hyperlink" Target="https://zakon.rada.gov.ua/laws/show/2755-17/print" TargetMode="External"/><Relationship Id="rId5394" Type="http://schemas.openxmlformats.org/officeDocument/2006/relationships/hyperlink" Target="https://zakon.rada.gov.ua/laws/show/4495-17" TargetMode="External"/><Relationship Id="rId6238" Type="http://schemas.openxmlformats.org/officeDocument/2006/relationships/hyperlink" Target="https://zakon.rada.gov.ua/laws/show/2755-17/print" TargetMode="External"/><Relationship Id="rId9" Type="http://schemas.openxmlformats.org/officeDocument/2006/relationships/hyperlink" Target="https://zakon.rada.gov.ua/laws/show/3320-17" TargetMode="External"/><Relationship Id="rId210" Type="http://schemas.openxmlformats.org/officeDocument/2006/relationships/hyperlink" Target="https://zakon.rada.gov.ua/laws/show/71-19" TargetMode="External"/><Relationship Id="rId2988" Type="http://schemas.openxmlformats.org/officeDocument/2006/relationships/hyperlink" Target="https://zakon.rada.gov.ua/laws/show/4915-17" TargetMode="External"/><Relationship Id="rId5047" Type="http://schemas.openxmlformats.org/officeDocument/2006/relationships/hyperlink" Target="https://zakon.rada.gov.ua/laws/show/71-19" TargetMode="External"/><Relationship Id="rId5254" Type="http://schemas.openxmlformats.org/officeDocument/2006/relationships/hyperlink" Target="https://zakon.rada.gov.ua/laws/show/2755-17/print" TargetMode="External"/><Relationship Id="rId1797" Type="http://schemas.openxmlformats.org/officeDocument/2006/relationships/hyperlink" Target="https://zakon.rada.gov.ua/laws/show/4834-17" TargetMode="External"/><Relationship Id="rId2848" Type="http://schemas.openxmlformats.org/officeDocument/2006/relationships/hyperlink" Target="https://zakon.rada.gov.ua/laws/show/1797-19" TargetMode="External"/><Relationship Id="rId5461" Type="http://schemas.openxmlformats.org/officeDocument/2006/relationships/hyperlink" Target="https://zakon.rada.gov.ua/laws/show/2755-17/print" TargetMode="External"/><Relationship Id="rId6305" Type="http://schemas.openxmlformats.org/officeDocument/2006/relationships/hyperlink" Target="https://zakon.rada.gov.ua/laws/show/2755-17/print" TargetMode="External"/><Relationship Id="rId89" Type="http://schemas.openxmlformats.org/officeDocument/2006/relationships/hyperlink" Target="https://zakon.rada.gov.ua/laws/show/364-19" TargetMode="External"/><Relationship Id="rId1657" Type="http://schemas.openxmlformats.org/officeDocument/2006/relationships/hyperlink" Target="https://zakon.rada.gov.ua/laws/show/3609-17" TargetMode="External"/><Relationship Id="rId1864" Type="http://schemas.openxmlformats.org/officeDocument/2006/relationships/hyperlink" Target="https://zakon.rada.gov.ua/laws/show/4834-17" TargetMode="External"/><Relationship Id="rId2708" Type="http://schemas.openxmlformats.org/officeDocument/2006/relationships/hyperlink" Target="https://zakon.rada.gov.ua/laws/show/2755-17/print" TargetMode="External"/><Relationship Id="rId2915" Type="http://schemas.openxmlformats.org/officeDocument/2006/relationships/hyperlink" Target="https://zakon.rada.gov.ua/laws/show/4834-17" TargetMode="External"/><Relationship Id="rId4063" Type="http://schemas.openxmlformats.org/officeDocument/2006/relationships/hyperlink" Target="https://zakon.rada.gov.ua/laws/show/909-19" TargetMode="External"/><Relationship Id="rId4270" Type="http://schemas.openxmlformats.org/officeDocument/2006/relationships/hyperlink" Target="https://zakon.rada.gov.ua/laws/show/2755-17/print" TargetMode="External"/><Relationship Id="rId5114" Type="http://schemas.openxmlformats.org/officeDocument/2006/relationships/hyperlink" Target="https://zakon.rada.gov.ua/laws/show/5412-17" TargetMode="External"/><Relationship Id="rId5321" Type="http://schemas.openxmlformats.org/officeDocument/2006/relationships/hyperlink" Target="https://zakon.rada.gov.ua/laws/show/5083-17" TargetMode="External"/><Relationship Id="rId1517" Type="http://schemas.openxmlformats.org/officeDocument/2006/relationships/hyperlink" Target="https://zakon.rada.gov.ua/laws/show/1797-19" TargetMode="External"/><Relationship Id="rId1724" Type="http://schemas.openxmlformats.org/officeDocument/2006/relationships/hyperlink" Target="https://zakon.rada.gov.ua/laws/show/2755-17/print" TargetMode="External"/><Relationship Id="rId4130" Type="http://schemas.openxmlformats.org/officeDocument/2006/relationships/hyperlink" Target="https://zakon.rada.gov.ua/laws/show/4495-17" TargetMode="External"/><Relationship Id="rId16" Type="http://schemas.openxmlformats.org/officeDocument/2006/relationships/hyperlink" Target="https://zakon.rada.gov.ua/laws/show/4057-17" TargetMode="External"/><Relationship Id="rId1931" Type="http://schemas.openxmlformats.org/officeDocument/2006/relationships/hyperlink" Target="https://zakon.rada.gov.ua/laws/show/z1373-17" TargetMode="External"/><Relationship Id="rId3689" Type="http://schemas.openxmlformats.org/officeDocument/2006/relationships/hyperlink" Target="https://zakon.rada.gov.ua/laws/show/1191-18" TargetMode="External"/><Relationship Id="rId3896" Type="http://schemas.openxmlformats.org/officeDocument/2006/relationships/hyperlink" Target="https://zakon.rada.gov.ua/laws/show/5083-17" TargetMode="External"/><Relationship Id="rId6095" Type="http://schemas.openxmlformats.org/officeDocument/2006/relationships/hyperlink" Target="https://zakon.rada.gov.ua/laws/show/2755-17/print" TargetMode="External"/><Relationship Id="rId2498" Type="http://schemas.openxmlformats.org/officeDocument/2006/relationships/hyperlink" Target="https://zakon.rada.gov.ua/laws/show/4834-17" TargetMode="External"/><Relationship Id="rId3549" Type="http://schemas.openxmlformats.org/officeDocument/2006/relationships/hyperlink" Target="https://zakon.rada.gov.ua/laws/show/1621-18" TargetMode="External"/><Relationship Id="rId4947" Type="http://schemas.openxmlformats.org/officeDocument/2006/relationships/hyperlink" Target="https://zakon.rada.gov.ua/laws/show/z0800-15" TargetMode="External"/><Relationship Id="rId6162" Type="http://schemas.openxmlformats.org/officeDocument/2006/relationships/hyperlink" Target="https://zakon.rada.gov.ua/laws/show/2374-19" TargetMode="External"/><Relationship Id="rId677" Type="http://schemas.openxmlformats.org/officeDocument/2006/relationships/hyperlink" Target="https://zakon.rada.gov.ua/laws/show/1797-19" TargetMode="External"/><Relationship Id="rId2358" Type="http://schemas.openxmlformats.org/officeDocument/2006/relationships/hyperlink" Target="https://zakon.rada.gov.ua/laws/show/1275-18" TargetMode="External"/><Relationship Id="rId3756" Type="http://schemas.openxmlformats.org/officeDocument/2006/relationships/hyperlink" Target="https://zakon.rada.gov.ua/laws/show/909-19" TargetMode="External"/><Relationship Id="rId3963" Type="http://schemas.openxmlformats.org/officeDocument/2006/relationships/hyperlink" Target="https://zakon.rada.gov.ua/laws/show/2628-19" TargetMode="External"/><Relationship Id="rId4807" Type="http://schemas.openxmlformats.org/officeDocument/2006/relationships/hyperlink" Target="https://zakon.rada.gov.ua/laws/show/2497-19" TargetMode="External"/><Relationship Id="rId6022" Type="http://schemas.openxmlformats.org/officeDocument/2006/relationships/hyperlink" Target="https://zakon.rada.gov.ua/laws/show/2755-17/print" TargetMode="External"/><Relationship Id="rId884" Type="http://schemas.openxmlformats.org/officeDocument/2006/relationships/hyperlink" Target="https://zakon.rada.gov.ua/laws/show/2755-17/print" TargetMode="External"/><Relationship Id="rId2565" Type="http://schemas.openxmlformats.org/officeDocument/2006/relationships/hyperlink" Target="https://zakon.rada.gov.ua/laws/show/2755-17/print" TargetMode="External"/><Relationship Id="rId2772" Type="http://schemas.openxmlformats.org/officeDocument/2006/relationships/hyperlink" Target="https://zakon.rada.gov.ua/laws/show/4661-17" TargetMode="External"/><Relationship Id="rId3409" Type="http://schemas.openxmlformats.org/officeDocument/2006/relationships/hyperlink" Target="https://zakon.rada.gov.ua/laws/show/3609-17" TargetMode="External"/><Relationship Id="rId3616" Type="http://schemas.openxmlformats.org/officeDocument/2006/relationships/hyperlink" Target="https://zakon.rada.gov.ua/laws/show/3609-17" TargetMode="External"/><Relationship Id="rId3823" Type="http://schemas.openxmlformats.org/officeDocument/2006/relationships/hyperlink" Target="https://zakon.rada.gov.ua/laws/show/2371%D0%B3-14" TargetMode="External"/><Relationship Id="rId537" Type="http://schemas.openxmlformats.org/officeDocument/2006/relationships/hyperlink" Target="https://zakon.rada.gov.ua/laws/show/391-20" TargetMode="External"/><Relationship Id="rId744" Type="http://schemas.openxmlformats.org/officeDocument/2006/relationships/hyperlink" Target="https://zakon.rada.gov.ua/laws/show/616-2016-%D0%BF" TargetMode="External"/><Relationship Id="rId951" Type="http://schemas.openxmlformats.org/officeDocument/2006/relationships/hyperlink" Target="https://zakon.rada.gov.ua/laws/show/2245-19" TargetMode="External"/><Relationship Id="rId1167" Type="http://schemas.openxmlformats.org/officeDocument/2006/relationships/hyperlink" Target="https://zakon.rada.gov.ua/laws/show/5503-17" TargetMode="External"/><Relationship Id="rId1374" Type="http://schemas.openxmlformats.org/officeDocument/2006/relationships/hyperlink" Target="https://zakon.rada.gov.ua/laws/show/2856-17" TargetMode="External"/><Relationship Id="rId1581" Type="http://schemas.openxmlformats.org/officeDocument/2006/relationships/hyperlink" Target="https://zakon.rada.gov.ua/laws/show/1797-19" TargetMode="External"/><Relationship Id="rId2218" Type="http://schemas.openxmlformats.org/officeDocument/2006/relationships/hyperlink" Target="https://zakon.rada.gov.ua/laws/show/2755-17/print" TargetMode="External"/><Relationship Id="rId2425" Type="http://schemas.openxmlformats.org/officeDocument/2006/relationships/hyperlink" Target="https://zakon.rada.gov.ua/laws/show/4834-17" TargetMode="External"/><Relationship Id="rId2632" Type="http://schemas.openxmlformats.org/officeDocument/2006/relationships/hyperlink" Target="https://zakon.rada.gov.ua/laws/show/909-19" TargetMode="External"/><Relationship Id="rId5788" Type="http://schemas.openxmlformats.org/officeDocument/2006/relationships/hyperlink" Target="https://zakon.rada.gov.ua/laws/show/584%D0%B1-18" TargetMode="External"/><Relationship Id="rId5995" Type="http://schemas.openxmlformats.org/officeDocument/2006/relationships/hyperlink" Target="https://zakon.rada.gov.ua/laws/show/584%D0%B0-18" TargetMode="External"/><Relationship Id="rId80" Type="http://schemas.openxmlformats.org/officeDocument/2006/relationships/hyperlink" Target="https://zakon.rada.gov.ua/laws/show/71-19" TargetMode="External"/><Relationship Id="rId604" Type="http://schemas.openxmlformats.org/officeDocument/2006/relationships/hyperlink" Target="https://zakon.rada.gov.ua/laws/show/71-19" TargetMode="External"/><Relationship Id="rId811" Type="http://schemas.openxmlformats.org/officeDocument/2006/relationships/hyperlink" Target="https://zakon.rada.gov.ua/laws/show/851-15" TargetMode="External"/><Relationship Id="rId1027" Type="http://schemas.openxmlformats.org/officeDocument/2006/relationships/hyperlink" Target="https://zakon.rada.gov.ua/laws/show/1797-19" TargetMode="External"/><Relationship Id="rId1234" Type="http://schemas.openxmlformats.org/officeDocument/2006/relationships/hyperlink" Target="https://zakon.rada.gov.ua/laws/show/2755-17/print" TargetMode="External"/><Relationship Id="rId1441" Type="http://schemas.openxmlformats.org/officeDocument/2006/relationships/hyperlink" Target="https://zakon.rada.gov.ua/laws/show/2755-17/print" TargetMode="External"/><Relationship Id="rId4597" Type="http://schemas.openxmlformats.org/officeDocument/2006/relationships/hyperlink" Target="https://zakon.rada.gov.ua/laws/show/909-19" TargetMode="External"/><Relationship Id="rId5648" Type="http://schemas.openxmlformats.org/officeDocument/2006/relationships/hyperlink" Target="https://zakon.rada.gov.ua/laws/show/2755-17/print" TargetMode="External"/><Relationship Id="rId5855" Type="http://schemas.openxmlformats.org/officeDocument/2006/relationships/hyperlink" Target="https://zakon.rada.gov.ua/laws/show/652-19" TargetMode="External"/><Relationship Id="rId1301" Type="http://schemas.openxmlformats.org/officeDocument/2006/relationships/hyperlink" Target="https://zakon.rada.gov.ua/laws/show/1797-19" TargetMode="External"/><Relationship Id="rId3199" Type="http://schemas.openxmlformats.org/officeDocument/2006/relationships/hyperlink" Target="https://zakon.rada.gov.ua/laws/show/71-19" TargetMode="External"/><Relationship Id="rId4457" Type="http://schemas.openxmlformats.org/officeDocument/2006/relationships/hyperlink" Target="https://zakon.rada.gov.ua/laws/show/1191-18" TargetMode="External"/><Relationship Id="rId4664" Type="http://schemas.openxmlformats.org/officeDocument/2006/relationships/hyperlink" Target="https://zakon.rada.gov.ua/laws/show/1791-19" TargetMode="External"/><Relationship Id="rId5508" Type="http://schemas.openxmlformats.org/officeDocument/2006/relationships/hyperlink" Target="https://zakon.rada.gov.ua/laws/show/2755-17/print" TargetMode="External"/><Relationship Id="rId5715" Type="http://schemas.openxmlformats.org/officeDocument/2006/relationships/hyperlink" Target="https://zakon.rada.gov.ua/laws/show/2755-17/print" TargetMode="External"/><Relationship Id="rId3059" Type="http://schemas.openxmlformats.org/officeDocument/2006/relationships/hyperlink" Target="https://zakon.rada.gov.ua/laws/show/3387-17" TargetMode="External"/><Relationship Id="rId3266" Type="http://schemas.openxmlformats.org/officeDocument/2006/relationships/hyperlink" Target="https://zakon.rada.gov.ua/laws/show/909-19" TargetMode="External"/><Relationship Id="rId3473" Type="http://schemas.openxmlformats.org/officeDocument/2006/relationships/hyperlink" Target="https://zakon.rada.gov.ua/laws/show/z0137-16" TargetMode="External"/><Relationship Id="rId4317" Type="http://schemas.openxmlformats.org/officeDocument/2006/relationships/hyperlink" Target="https://zakon.rada.gov.ua/laws/show/391-20" TargetMode="External"/><Relationship Id="rId4524" Type="http://schemas.openxmlformats.org/officeDocument/2006/relationships/hyperlink" Target="https://zakon.rada.gov.ua/laws/show/2755-17/print" TargetMode="External"/><Relationship Id="rId4871" Type="http://schemas.openxmlformats.org/officeDocument/2006/relationships/hyperlink" Target="https://zakon.rada.gov.ua/laws/show/71-19" TargetMode="External"/><Relationship Id="rId5922" Type="http://schemas.openxmlformats.org/officeDocument/2006/relationships/hyperlink" Target="https://zakon.rada.gov.ua/laws/show/5503-17" TargetMode="External"/><Relationship Id="rId187" Type="http://schemas.openxmlformats.org/officeDocument/2006/relationships/hyperlink" Target="https://zakon.rada.gov.ua/laws/show/2628-19" TargetMode="External"/><Relationship Id="rId394" Type="http://schemas.openxmlformats.org/officeDocument/2006/relationships/hyperlink" Target="https://zakon.rada.gov.ua/laws/show/5412-17" TargetMode="External"/><Relationship Id="rId2075" Type="http://schemas.openxmlformats.org/officeDocument/2006/relationships/hyperlink" Target="https://zakon.rada.gov.ua/laws/show/2755-17/print" TargetMode="External"/><Relationship Id="rId2282" Type="http://schemas.openxmlformats.org/officeDocument/2006/relationships/hyperlink" Target="https://zakon.rada.gov.ua/laws/show/2755-17/print" TargetMode="External"/><Relationship Id="rId3126" Type="http://schemas.openxmlformats.org/officeDocument/2006/relationships/hyperlink" Target="https://zakon.rada.gov.ua/laws/show/909-19" TargetMode="External"/><Relationship Id="rId3680" Type="http://schemas.openxmlformats.org/officeDocument/2006/relationships/hyperlink" Target="https://zakon.rada.gov.ua/laws/show/391-20" TargetMode="External"/><Relationship Id="rId4731" Type="http://schemas.openxmlformats.org/officeDocument/2006/relationships/hyperlink" Target="https://zakon.rada.gov.ua/laws/show/2245-19" TargetMode="External"/><Relationship Id="rId254" Type="http://schemas.openxmlformats.org/officeDocument/2006/relationships/hyperlink" Target="https://zakon.rada.gov.ua/laws/show/2755-17/print" TargetMode="External"/><Relationship Id="rId1091" Type="http://schemas.openxmlformats.org/officeDocument/2006/relationships/hyperlink" Target="https://zakon.rada.gov.ua/laws/show/5083-17" TargetMode="External"/><Relationship Id="rId3333" Type="http://schemas.openxmlformats.org/officeDocument/2006/relationships/hyperlink" Target="https://zakon.rada.gov.ua/laws/show/643-19" TargetMode="External"/><Relationship Id="rId3540" Type="http://schemas.openxmlformats.org/officeDocument/2006/relationships/hyperlink" Target="https://zakon.rada.gov.ua/laws/show/71-19" TargetMode="External"/><Relationship Id="rId5298" Type="http://schemas.openxmlformats.org/officeDocument/2006/relationships/hyperlink" Target="https://zakon.rada.gov.ua/laws/show/2755-17/print" TargetMode="External"/><Relationship Id="rId114" Type="http://schemas.openxmlformats.org/officeDocument/2006/relationships/hyperlink" Target="https://zakon.rada.gov.ua/laws/show/1795-19" TargetMode="External"/><Relationship Id="rId461" Type="http://schemas.openxmlformats.org/officeDocument/2006/relationships/hyperlink" Target="https://zakon.rada.gov.ua/laws/show/609-19" TargetMode="External"/><Relationship Id="rId2142" Type="http://schemas.openxmlformats.org/officeDocument/2006/relationships/hyperlink" Target="https://zakon.rada.gov.ua/laws/show/2755-17/print" TargetMode="External"/><Relationship Id="rId3400" Type="http://schemas.openxmlformats.org/officeDocument/2006/relationships/hyperlink" Target="https://zakon.rada.gov.ua/laws/show/2725-19" TargetMode="External"/><Relationship Id="rId321" Type="http://schemas.openxmlformats.org/officeDocument/2006/relationships/hyperlink" Target="https://zakon.rada.gov.ua/laws/show/609-19" TargetMode="External"/><Relationship Id="rId2002" Type="http://schemas.openxmlformats.org/officeDocument/2006/relationships/hyperlink" Target="https://zakon.rada.gov.ua/laws/show/z0137-16" TargetMode="External"/><Relationship Id="rId2959" Type="http://schemas.openxmlformats.org/officeDocument/2006/relationships/hyperlink" Target="https://zakon.rada.gov.ua/laws/show/1084-19" TargetMode="External"/><Relationship Id="rId5158" Type="http://schemas.openxmlformats.org/officeDocument/2006/relationships/hyperlink" Target="https://zakon.rada.gov.ua/laws/show/2755-17/print" TargetMode="External"/><Relationship Id="rId5365" Type="http://schemas.openxmlformats.org/officeDocument/2006/relationships/hyperlink" Target="https://zakon.rada.gov.ua/laws/show/4915-17" TargetMode="External"/><Relationship Id="rId5572" Type="http://schemas.openxmlformats.org/officeDocument/2006/relationships/hyperlink" Target="https://zakon.rada.gov.ua/laws/show/584%D0%B0-18" TargetMode="External"/><Relationship Id="rId6209" Type="http://schemas.openxmlformats.org/officeDocument/2006/relationships/hyperlink" Target="https://zakon.rada.gov.ua/laws/show/71-19" TargetMode="External"/><Relationship Id="rId1768" Type="http://schemas.openxmlformats.org/officeDocument/2006/relationships/hyperlink" Target="https://zakon.rada.gov.ua/laws/show/2755-17/print" TargetMode="External"/><Relationship Id="rId2819" Type="http://schemas.openxmlformats.org/officeDocument/2006/relationships/hyperlink" Target="https://zakon.rada.gov.ua/laws/show/3609-17" TargetMode="External"/><Relationship Id="rId4174" Type="http://schemas.openxmlformats.org/officeDocument/2006/relationships/hyperlink" Target="https://zakon.rada.gov.ua/laws/show/2628-19" TargetMode="External"/><Relationship Id="rId4381" Type="http://schemas.openxmlformats.org/officeDocument/2006/relationships/hyperlink" Target="https://zakon.rada.gov.ua/laws/show/909-19" TargetMode="External"/><Relationship Id="rId5018" Type="http://schemas.openxmlformats.org/officeDocument/2006/relationships/hyperlink" Target="https://zakon.rada.gov.ua/laws/show/657-18" TargetMode="External"/><Relationship Id="rId5225" Type="http://schemas.openxmlformats.org/officeDocument/2006/relationships/hyperlink" Target="https://zakon.rada.gov.ua/laws/show/1200-18" TargetMode="External"/><Relationship Id="rId5432" Type="http://schemas.openxmlformats.org/officeDocument/2006/relationships/hyperlink" Target="https://zakon.rada.gov.ua/laws/show/4495-17" TargetMode="External"/><Relationship Id="rId1628" Type="http://schemas.openxmlformats.org/officeDocument/2006/relationships/hyperlink" Target="https://zakon.rada.gov.ua/laws/show/2755-17/print" TargetMode="External"/><Relationship Id="rId1975" Type="http://schemas.openxmlformats.org/officeDocument/2006/relationships/hyperlink" Target="https://zakon.rada.gov.ua/laws/show/2755-17/print" TargetMode="External"/><Relationship Id="rId3190" Type="http://schemas.openxmlformats.org/officeDocument/2006/relationships/hyperlink" Target="https://zakon.rada.gov.ua/laws/show/996-14" TargetMode="External"/><Relationship Id="rId4034" Type="http://schemas.openxmlformats.org/officeDocument/2006/relationships/hyperlink" Target="https://zakon.rada.gov.ua/laws/show/1791-19" TargetMode="External"/><Relationship Id="rId4241" Type="http://schemas.openxmlformats.org/officeDocument/2006/relationships/hyperlink" Target="https://zakon.rada.gov.ua/laws/show/2628-19" TargetMode="External"/><Relationship Id="rId1835" Type="http://schemas.openxmlformats.org/officeDocument/2006/relationships/hyperlink" Target="https://zakon.rada.gov.ua/laws/show/5083-17" TargetMode="External"/><Relationship Id="rId3050" Type="http://schemas.openxmlformats.org/officeDocument/2006/relationships/hyperlink" Target="https://zakon.rada.gov.ua/laws/show/71-19" TargetMode="External"/><Relationship Id="rId4101" Type="http://schemas.openxmlformats.org/officeDocument/2006/relationships/hyperlink" Target="https://zakon.rada.gov.ua/laws/show/391-20" TargetMode="External"/><Relationship Id="rId1902" Type="http://schemas.openxmlformats.org/officeDocument/2006/relationships/hyperlink" Target="https://zakon.rada.gov.ua/laws/show/1797-19" TargetMode="External"/><Relationship Id="rId6066" Type="http://schemas.openxmlformats.org/officeDocument/2006/relationships/hyperlink" Target="https://zakon.rada.gov.ua/laws/show/71-19" TargetMode="External"/><Relationship Id="rId3867" Type="http://schemas.openxmlformats.org/officeDocument/2006/relationships/hyperlink" Target="https://zakon.rada.gov.ua/laws/show/909-19" TargetMode="External"/><Relationship Id="rId4918" Type="http://schemas.openxmlformats.org/officeDocument/2006/relationships/hyperlink" Target="https://zakon.rada.gov.ua/laws/show/1791-19" TargetMode="External"/><Relationship Id="rId6273" Type="http://schemas.openxmlformats.org/officeDocument/2006/relationships/hyperlink" Target="https://zakon.rada.gov.ua/laws/show/1797-19" TargetMode="External"/><Relationship Id="rId788" Type="http://schemas.openxmlformats.org/officeDocument/2006/relationships/hyperlink" Target="https://zakon.rada.gov.ua/laws/show/1797-19" TargetMode="External"/><Relationship Id="rId995" Type="http://schemas.openxmlformats.org/officeDocument/2006/relationships/hyperlink" Target="https://zakon.rada.gov.ua/laws/show/851-15" TargetMode="External"/><Relationship Id="rId2469" Type="http://schemas.openxmlformats.org/officeDocument/2006/relationships/hyperlink" Target="https://zakon.rada.gov.ua/laws/show/1588-18" TargetMode="External"/><Relationship Id="rId2676" Type="http://schemas.openxmlformats.org/officeDocument/2006/relationships/hyperlink" Target="https://zakon.rada.gov.ua/laws/show/2245-19" TargetMode="External"/><Relationship Id="rId2883" Type="http://schemas.openxmlformats.org/officeDocument/2006/relationships/hyperlink" Target="https://zakon.rada.gov.ua/laws/show/1797-19" TargetMode="External"/><Relationship Id="rId3727" Type="http://schemas.openxmlformats.org/officeDocument/2006/relationships/hyperlink" Target="https://zakon.rada.gov.ua/laws/show/909-19" TargetMode="External"/><Relationship Id="rId3934" Type="http://schemas.openxmlformats.org/officeDocument/2006/relationships/hyperlink" Target="https://zakon.rada.gov.ua/laws/show/71-19" TargetMode="External"/><Relationship Id="rId5082" Type="http://schemas.openxmlformats.org/officeDocument/2006/relationships/hyperlink" Target="https://zakon.rada.gov.ua/laws/show/2497-19" TargetMode="External"/><Relationship Id="rId6133" Type="http://schemas.openxmlformats.org/officeDocument/2006/relationships/hyperlink" Target="https://zakon.rada.gov.ua/laws/show/3609-17" TargetMode="External"/><Relationship Id="rId648" Type="http://schemas.openxmlformats.org/officeDocument/2006/relationships/hyperlink" Target="https://zakon.rada.gov.ua/laws/show/2628-19" TargetMode="External"/><Relationship Id="rId855" Type="http://schemas.openxmlformats.org/officeDocument/2006/relationships/hyperlink" Target="https://zakon.rada.gov.ua/laws/show/2755-17/print" TargetMode="External"/><Relationship Id="rId1278" Type="http://schemas.openxmlformats.org/officeDocument/2006/relationships/hyperlink" Target="https://zakon.rada.gov.ua/laws/show/2755-17/print" TargetMode="External"/><Relationship Id="rId1485" Type="http://schemas.openxmlformats.org/officeDocument/2006/relationships/hyperlink" Target="https://zakon.rada.gov.ua/laws/show/3609-17" TargetMode="External"/><Relationship Id="rId1692" Type="http://schemas.openxmlformats.org/officeDocument/2006/relationships/hyperlink" Target="https://zakon.rada.gov.ua/laws/show/1797-19" TargetMode="External"/><Relationship Id="rId2329" Type="http://schemas.openxmlformats.org/officeDocument/2006/relationships/hyperlink" Target="https://zakon.rada.gov.ua/laws/show/1797-19" TargetMode="External"/><Relationship Id="rId2536" Type="http://schemas.openxmlformats.org/officeDocument/2006/relationships/hyperlink" Target="https://zakon.rada.gov.ua/laws/show/2755-17/print" TargetMode="External"/><Relationship Id="rId2743" Type="http://schemas.openxmlformats.org/officeDocument/2006/relationships/hyperlink" Target="https://zakon.rada.gov.ua/laws/show/3609-17" TargetMode="External"/><Relationship Id="rId5899" Type="http://schemas.openxmlformats.org/officeDocument/2006/relationships/hyperlink" Target="https://zakon.rada.gov.ua/laws/show/1797-19" TargetMode="External"/><Relationship Id="rId6200" Type="http://schemas.openxmlformats.org/officeDocument/2006/relationships/hyperlink" Target="https://zakon.rada.gov.ua/laws/show/812-19" TargetMode="External"/><Relationship Id="rId508" Type="http://schemas.openxmlformats.org/officeDocument/2006/relationships/hyperlink" Target="https://zakon.rada.gov.ua/laws/show/4834-17" TargetMode="External"/><Relationship Id="rId715" Type="http://schemas.openxmlformats.org/officeDocument/2006/relationships/hyperlink" Target="https://zakon.rada.gov.ua/laws/show/2755-17/print" TargetMode="External"/><Relationship Id="rId922" Type="http://schemas.openxmlformats.org/officeDocument/2006/relationships/hyperlink" Target="https://zakon.rada.gov.ua/laws/show/1797-19" TargetMode="External"/><Relationship Id="rId1138" Type="http://schemas.openxmlformats.org/officeDocument/2006/relationships/hyperlink" Target="https://zakon.rada.gov.ua/laws/show/71-19" TargetMode="External"/><Relationship Id="rId1345" Type="http://schemas.openxmlformats.org/officeDocument/2006/relationships/hyperlink" Target="https://zakon.rada.gov.ua/laws/show/3205-17" TargetMode="External"/><Relationship Id="rId1552" Type="http://schemas.openxmlformats.org/officeDocument/2006/relationships/hyperlink" Target="https://zakon.rada.gov.ua/laws/show/805-2013-%D0%BF" TargetMode="External"/><Relationship Id="rId2603" Type="http://schemas.openxmlformats.org/officeDocument/2006/relationships/hyperlink" Target="https://zakon.rada.gov.ua/laws/show/2755-17/print" TargetMode="External"/><Relationship Id="rId2950" Type="http://schemas.openxmlformats.org/officeDocument/2006/relationships/hyperlink" Target="https://zakon.rada.gov.ua/laws/show/657-18" TargetMode="External"/><Relationship Id="rId5759" Type="http://schemas.openxmlformats.org/officeDocument/2006/relationships/hyperlink" Target="https://zakon.rada.gov.ua/laws/show/2755-17/print" TargetMode="External"/><Relationship Id="rId1205" Type="http://schemas.openxmlformats.org/officeDocument/2006/relationships/hyperlink" Target="https://zakon.rada.gov.ua/laws/show/1797-19" TargetMode="External"/><Relationship Id="rId2810" Type="http://schemas.openxmlformats.org/officeDocument/2006/relationships/hyperlink" Target="https://zakon.rada.gov.ua/laws/show/996_004" TargetMode="External"/><Relationship Id="rId4568" Type="http://schemas.openxmlformats.org/officeDocument/2006/relationships/hyperlink" Target="https://zakon.rada.gov.ua/laws/show/403-18" TargetMode="External"/><Relationship Id="rId5966" Type="http://schemas.openxmlformats.org/officeDocument/2006/relationships/hyperlink" Target="https://zakon.rada.gov.ua/laws/show/1638-18" TargetMode="External"/><Relationship Id="rId51" Type="http://schemas.openxmlformats.org/officeDocument/2006/relationships/hyperlink" Target="https://zakon.rada.gov.ua/laws/show/422-18" TargetMode="External"/><Relationship Id="rId1412" Type="http://schemas.openxmlformats.org/officeDocument/2006/relationships/hyperlink" Target="https://zakon.rada.gov.ua/laws/show/2755-17/print" TargetMode="External"/><Relationship Id="rId3377" Type="http://schemas.openxmlformats.org/officeDocument/2006/relationships/hyperlink" Target="https://zakon.rada.gov.ua/laws/show/2755-17/print" TargetMode="External"/><Relationship Id="rId4775" Type="http://schemas.openxmlformats.org/officeDocument/2006/relationships/hyperlink" Target="https://zakon.rada.gov.ua/laws/show/2755-17/print" TargetMode="External"/><Relationship Id="rId4982" Type="http://schemas.openxmlformats.org/officeDocument/2006/relationships/hyperlink" Target="https://zakon.rada.gov.ua/laws/show/2755-17/print" TargetMode="External"/><Relationship Id="rId5619" Type="http://schemas.openxmlformats.org/officeDocument/2006/relationships/hyperlink" Target="https://zakon.rada.gov.ua/laws/show/z0137-16" TargetMode="External"/><Relationship Id="rId5826" Type="http://schemas.openxmlformats.org/officeDocument/2006/relationships/hyperlink" Target="https://zakon.rada.gov.ua/laws/show/3609-17" TargetMode="External"/><Relationship Id="rId298" Type="http://schemas.openxmlformats.org/officeDocument/2006/relationships/hyperlink" Target="https://zakon.rada.gov.ua/laws/show/1797-19" TargetMode="External"/><Relationship Id="rId3584" Type="http://schemas.openxmlformats.org/officeDocument/2006/relationships/hyperlink" Target="https://zakon.rada.gov.ua/laws/show/2755-17/print" TargetMode="External"/><Relationship Id="rId3791" Type="http://schemas.openxmlformats.org/officeDocument/2006/relationships/hyperlink" Target="https://zakon.rada.gov.ua/laws/show/5471-17" TargetMode="External"/><Relationship Id="rId4428" Type="http://schemas.openxmlformats.org/officeDocument/2006/relationships/hyperlink" Target="https://zakon.rada.gov.ua/laws/show/2245-19" TargetMode="External"/><Relationship Id="rId4635" Type="http://schemas.openxmlformats.org/officeDocument/2006/relationships/hyperlink" Target="https://zakon.rada.gov.ua/laws/show/71-19" TargetMode="External"/><Relationship Id="rId4842" Type="http://schemas.openxmlformats.org/officeDocument/2006/relationships/hyperlink" Target="https://zakon.rada.gov.ua/laws/show/1797-19" TargetMode="External"/><Relationship Id="rId158" Type="http://schemas.openxmlformats.org/officeDocument/2006/relationships/hyperlink" Target="https://zakon.rada.gov.ua/laws/show/400/97-%D0%B2%D1%80" TargetMode="External"/><Relationship Id="rId2186" Type="http://schemas.openxmlformats.org/officeDocument/2006/relationships/hyperlink" Target="https://zakon.rada.gov.ua/laws/show/1797-19" TargetMode="External"/><Relationship Id="rId2393" Type="http://schemas.openxmlformats.org/officeDocument/2006/relationships/hyperlink" Target="https://zakon.rada.gov.ua/laws/show/2371%D0%B3-14" TargetMode="External"/><Relationship Id="rId3237" Type="http://schemas.openxmlformats.org/officeDocument/2006/relationships/hyperlink" Target="https://zakon.rada.gov.ua/laws/show/2755-17/print" TargetMode="External"/><Relationship Id="rId3444" Type="http://schemas.openxmlformats.org/officeDocument/2006/relationships/hyperlink" Target="https://zakon.rada.gov.ua/laws/show/3609-17" TargetMode="External"/><Relationship Id="rId3651" Type="http://schemas.openxmlformats.org/officeDocument/2006/relationships/hyperlink" Target="https://zakon.rada.gov.ua/laws/show/2755-17/print" TargetMode="External"/><Relationship Id="rId4702" Type="http://schemas.openxmlformats.org/officeDocument/2006/relationships/hyperlink" Target="https://zakon.rada.gov.ua/laws/show/71-19" TargetMode="External"/><Relationship Id="rId365" Type="http://schemas.openxmlformats.org/officeDocument/2006/relationships/hyperlink" Target="https://zakon.rada.gov.ua/laws/show/4495-17" TargetMode="External"/><Relationship Id="rId572" Type="http://schemas.openxmlformats.org/officeDocument/2006/relationships/hyperlink" Target="https://zakon.rada.gov.ua/laws/show/71-19" TargetMode="External"/><Relationship Id="rId2046" Type="http://schemas.openxmlformats.org/officeDocument/2006/relationships/hyperlink" Target="https://zakon.rada.gov.ua/laws/show/909-19" TargetMode="External"/><Relationship Id="rId2253" Type="http://schemas.openxmlformats.org/officeDocument/2006/relationships/hyperlink" Target="https://zakon.rada.gov.ua/laws/show/1797-19" TargetMode="External"/><Relationship Id="rId2460" Type="http://schemas.openxmlformats.org/officeDocument/2006/relationships/hyperlink" Target="https://zakon.rada.gov.ua/laws/show/4834-17" TargetMode="External"/><Relationship Id="rId3304" Type="http://schemas.openxmlformats.org/officeDocument/2006/relationships/hyperlink" Target="https://zakon.rada.gov.ua/laws/show/71-19" TargetMode="External"/><Relationship Id="rId3511" Type="http://schemas.openxmlformats.org/officeDocument/2006/relationships/hyperlink" Target="https://zakon.rada.gov.ua/laws/show/1621-18" TargetMode="External"/><Relationship Id="rId225" Type="http://schemas.openxmlformats.org/officeDocument/2006/relationships/hyperlink" Target="https://zakon.rada.gov.ua/laws/show/391-20" TargetMode="External"/><Relationship Id="rId432" Type="http://schemas.openxmlformats.org/officeDocument/2006/relationships/hyperlink" Target="https://zakon.rada.gov.ua/laws/show/4014-17" TargetMode="External"/><Relationship Id="rId1062" Type="http://schemas.openxmlformats.org/officeDocument/2006/relationships/hyperlink" Target="https://zakon.rada.gov.ua/laws/show/1797-19" TargetMode="External"/><Relationship Id="rId2113" Type="http://schemas.openxmlformats.org/officeDocument/2006/relationships/hyperlink" Target="https://zakon.rada.gov.ua/laws/show/440-2016-%D0%BF" TargetMode="External"/><Relationship Id="rId2320" Type="http://schemas.openxmlformats.org/officeDocument/2006/relationships/hyperlink" Target="https://zakon.rada.gov.ua/laws/show/3609-17" TargetMode="External"/><Relationship Id="rId5269" Type="http://schemas.openxmlformats.org/officeDocument/2006/relationships/hyperlink" Target="https://zakon.rada.gov.ua/laws/show/3609-17" TargetMode="External"/><Relationship Id="rId5476" Type="http://schemas.openxmlformats.org/officeDocument/2006/relationships/hyperlink" Target="https://zakon.rada.gov.ua/laws/show/1658-18" TargetMode="External"/><Relationship Id="rId5683" Type="http://schemas.openxmlformats.org/officeDocument/2006/relationships/hyperlink" Target="https://zakon.rada.gov.ua/laws/show/2245-19" TargetMode="External"/><Relationship Id="rId4078" Type="http://schemas.openxmlformats.org/officeDocument/2006/relationships/hyperlink" Target="https://zakon.rada.gov.ua/laws/show/5471-17" TargetMode="External"/><Relationship Id="rId4285" Type="http://schemas.openxmlformats.org/officeDocument/2006/relationships/hyperlink" Target="https://zakon.rada.gov.ua/laws/show/2755-17/print" TargetMode="External"/><Relationship Id="rId4492" Type="http://schemas.openxmlformats.org/officeDocument/2006/relationships/hyperlink" Target="https://zakon.rada.gov.ua/laws/show/1797-19" TargetMode="External"/><Relationship Id="rId5129" Type="http://schemas.openxmlformats.org/officeDocument/2006/relationships/hyperlink" Target="https://zakon.rada.gov.ua/laws/show/422-18" TargetMode="External"/><Relationship Id="rId5336" Type="http://schemas.openxmlformats.org/officeDocument/2006/relationships/hyperlink" Target="https://zakon.rada.gov.ua/laws/show/5083-17" TargetMode="External"/><Relationship Id="rId5543" Type="http://schemas.openxmlformats.org/officeDocument/2006/relationships/hyperlink" Target="https://zakon.rada.gov.ua/laws/show/2755-17/print" TargetMode="External"/><Relationship Id="rId5890" Type="http://schemas.openxmlformats.org/officeDocument/2006/relationships/hyperlink" Target="https://zakon.rada.gov.ua/laws/show/vb457609-10" TargetMode="External"/><Relationship Id="rId1879" Type="http://schemas.openxmlformats.org/officeDocument/2006/relationships/hyperlink" Target="https://zakon.rada.gov.ua/laws/show/657-18" TargetMode="External"/><Relationship Id="rId3094" Type="http://schemas.openxmlformats.org/officeDocument/2006/relationships/hyperlink" Target="https://zakon.rada.gov.ua/laws/show/2755-17/print" TargetMode="External"/><Relationship Id="rId4145" Type="http://schemas.openxmlformats.org/officeDocument/2006/relationships/hyperlink" Target="https://zakon.rada.gov.ua/laws/show/71-19" TargetMode="External"/><Relationship Id="rId5750" Type="http://schemas.openxmlformats.org/officeDocument/2006/relationships/hyperlink" Target="https://zakon.rada.gov.ua/laws/show/422-18" TargetMode="External"/><Relationship Id="rId1739" Type="http://schemas.openxmlformats.org/officeDocument/2006/relationships/hyperlink" Target="https://zakon.rada.gov.ua/laws/show/1797-19" TargetMode="External"/><Relationship Id="rId1946" Type="http://schemas.openxmlformats.org/officeDocument/2006/relationships/hyperlink" Target="https://zakon.rada.gov.ua/laws/show/2755-17/print" TargetMode="External"/><Relationship Id="rId4005" Type="http://schemas.openxmlformats.org/officeDocument/2006/relationships/hyperlink" Target="https://zakon.rada.gov.ua/laws/show/2628-19" TargetMode="External"/><Relationship Id="rId4352" Type="http://schemas.openxmlformats.org/officeDocument/2006/relationships/hyperlink" Target="https://zakon.rada.gov.ua/laws/show/4834-17" TargetMode="External"/><Relationship Id="rId5403" Type="http://schemas.openxmlformats.org/officeDocument/2006/relationships/hyperlink" Target="https://zakon.rada.gov.ua/laws/show/3319-17" TargetMode="External"/><Relationship Id="rId5610" Type="http://schemas.openxmlformats.org/officeDocument/2006/relationships/hyperlink" Target="https://zakon.rada.gov.ua/laws/show/2245-19" TargetMode="External"/><Relationship Id="rId1806" Type="http://schemas.openxmlformats.org/officeDocument/2006/relationships/hyperlink" Target="https://zakon.rada.gov.ua/laws/show/3609-17" TargetMode="External"/><Relationship Id="rId3161" Type="http://schemas.openxmlformats.org/officeDocument/2006/relationships/hyperlink" Target="https://zakon.rada.gov.ua/laws/show/2755-17/print" TargetMode="External"/><Relationship Id="rId4212" Type="http://schemas.openxmlformats.org/officeDocument/2006/relationships/hyperlink" Target="https://zakon.rada.gov.ua/laws/show/2628-19" TargetMode="External"/><Relationship Id="rId3021" Type="http://schemas.openxmlformats.org/officeDocument/2006/relationships/hyperlink" Target="https://zakon.rada.gov.ua/laws/show/643-19" TargetMode="External"/><Relationship Id="rId3978" Type="http://schemas.openxmlformats.org/officeDocument/2006/relationships/hyperlink" Target="https://zakon.rada.gov.ua/laws/show/2628-19" TargetMode="External"/><Relationship Id="rId6177" Type="http://schemas.openxmlformats.org/officeDocument/2006/relationships/hyperlink" Target="https://zakon.rada.gov.ua/laws/show/1797-19" TargetMode="External"/><Relationship Id="rId899" Type="http://schemas.openxmlformats.org/officeDocument/2006/relationships/hyperlink" Target="https://zakon.rada.gov.ua/laws/show/2755-17/print" TargetMode="External"/><Relationship Id="rId2787" Type="http://schemas.openxmlformats.org/officeDocument/2006/relationships/hyperlink" Target="https://zakon.rada.gov.ua/laws/show/1797-19" TargetMode="External"/><Relationship Id="rId3838" Type="http://schemas.openxmlformats.org/officeDocument/2006/relationships/hyperlink" Target="https://zakon.rada.gov.ua/laws/show/431-2012-%D0%BF" TargetMode="External"/><Relationship Id="rId5193" Type="http://schemas.openxmlformats.org/officeDocument/2006/relationships/hyperlink" Target="https://zakon.rada.gov.ua/laws/show/71-19" TargetMode="External"/><Relationship Id="rId6037" Type="http://schemas.openxmlformats.org/officeDocument/2006/relationships/hyperlink" Target="https://zakon.rada.gov.ua/laws/show/2755-17/print" TargetMode="External"/><Relationship Id="rId6244" Type="http://schemas.openxmlformats.org/officeDocument/2006/relationships/hyperlink" Target="https://zakon.rada.gov.ua/laws/show/2755-17/print" TargetMode="External"/><Relationship Id="rId759" Type="http://schemas.openxmlformats.org/officeDocument/2006/relationships/hyperlink" Target="https://zakon.rada.gov.ua/laws/show/609-19" TargetMode="External"/><Relationship Id="rId966" Type="http://schemas.openxmlformats.org/officeDocument/2006/relationships/hyperlink" Target="https://zakon.rada.gov.ua/laws/show/2245-19" TargetMode="External"/><Relationship Id="rId1389" Type="http://schemas.openxmlformats.org/officeDocument/2006/relationships/hyperlink" Target="https://zakon.rada.gov.ua/laws/show/1797-19" TargetMode="External"/><Relationship Id="rId1596" Type="http://schemas.openxmlformats.org/officeDocument/2006/relationships/hyperlink" Target="https://zakon.rada.gov.ua/laws/show/72-19" TargetMode="External"/><Relationship Id="rId2647" Type="http://schemas.openxmlformats.org/officeDocument/2006/relationships/hyperlink" Target="https://zakon.rada.gov.ua/laws/show/1797-19" TargetMode="External"/><Relationship Id="rId2994" Type="http://schemas.openxmlformats.org/officeDocument/2006/relationships/hyperlink" Target="https://zakon.rada.gov.ua/laws/show/2755-17/print" TargetMode="External"/><Relationship Id="rId5053" Type="http://schemas.openxmlformats.org/officeDocument/2006/relationships/hyperlink" Target="https://zakon.rada.gov.ua/laws/show/2755-17/print" TargetMode="External"/><Relationship Id="rId5260" Type="http://schemas.openxmlformats.org/officeDocument/2006/relationships/hyperlink" Target="https://zakon.rada.gov.ua/laws/show/3206-17" TargetMode="External"/><Relationship Id="rId6104" Type="http://schemas.openxmlformats.org/officeDocument/2006/relationships/hyperlink" Target="https://zakon.rada.gov.ua/laws/show/1621-18" TargetMode="External"/><Relationship Id="rId6311" Type="http://schemas.openxmlformats.org/officeDocument/2006/relationships/fontTable" Target="fontTable.xml"/><Relationship Id="rId619" Type="http://schemas.openxmlformats.org/officeDocument/2006/relationships/hyperlink" Target="https://zakon.rada.gov.ua/laws/show/354-20" TargetMode="External"/><Relationship Id="rId1249" Type="http://schemas.openxmlformats.org/officeDocument/2006/relationships/hyperlink" Target="https://zakon.rada.gov.ua/laws/show/909-19" TargetMode="External"/><Relationship Id="rId2854" Type="http://schemas.openxmlformats.org/officeDocument/2006/relationships/hyperlink" Target="https://zakon.rada.gov.ua/laws/show/443-18" TargetMode="External"/><Relationship Id="rId3905" Type="http://schemas.openxmlformats.org/officeDocument/2006/relationships/hyperlink" Target="https://zakon.rada.gov.ua/laws/show/2245-19" TargetMode="External"/><Relationship Id="rId5120" Type="http://schemas.openxmlformats.org/officeDocument/2006/relationships/hyperlink" Target="https://zakon.rada.gov.ua/laws/show/5412-17" TargetMode="External"/><Relationship Id="rId95" Type="http://schemas.openxmlformats.org/officeDocument/2006/relationships/hyperlink" Target="https://zakon.rada.gov.ua/laws/show/555-19" TargetMode="External"/><Relationship Id="rId826" Type="http://schemas.openxmlformats.org/officeDocument/2006/relationships/hyperlink" Target="https://zakon.rada.gov.ua/laws/show/1797-19" TargetMode="External"/><Relationship Id="rId1109" Type="http://schemas.openxmlformats.org/officeDocument/2006/relationships/hyperlink" Target="https://zakon.rada.gov.ua/laws/show/4834-17" TargetMode="External"/><Relationship Id="rId1456" Type="http://schemas.openxmlformats.org/officeDocument/2006/relationships/hyperlink" Target="https://zakon.rada.gov.ua/laws/show/2755-17/print" TargetMode="External"/><Relationship Id="rId1663" Type="http://schemas.openxmlformats.org/officeDocument/2006/relationships/hyperlink" Target="https://zakon.rada.gov.ua/laws/show/1797-19" TargetMode="External"/><Relationship Id="rId1870" Type="http://schemas.openxmlformats.org/officeDocument/2006/relationships/hyperlink" Target="https://zakon.rada.gov.ua/laws/show/2755-17/print" TargetMode="External"/><Relationship Id="rId2507" Type="http://schemas.openxmlformats.org/officeDocument/2006/relationships/hyperlink" Target="https://zakon.rada.gov.ua/laws/show/1797-19" TargetMode="External"/><Relationship Id="rId2714" Type="http://schemas.openxmlformats.org/officeDocument/2006/relationships/hyperlink" Target="https://zakon.rada.gov.ua/laws/show/4661-17" TargetMode="External"/><Relationship Id="rId2921" Type="http://schemas.openxmlformats.org/officeDocument/2006/relationships/hyperlink" Target="https://zakon.rada.gov.ua/laws/show/2755-17/print" TargetMode="External"/><Relationship Id="rId1316" Type="http://schemas.openxmlformats.org/officeDocument/2006/relationships/hyperlink" Target="https://zakon.rada.gov.ua/laws/show/404-18" TargetMode="External"/><Relationship Id="rId1523" Type="http://schemas.openxmlformats.org/officeDocument/2006/relationships/hyperlink" Target="https://zakon.rada.gov.ua/laws/show/z0950-13" TargetMode="External"/><Relationship Id="rId1730" Type="http://schemas.openxmlformats.org/officeDocument/2006/relationships/hyperlink" Target="https://zakon.rada.gov.ua/laws/show/2755-17/print" TargetMode="External"/><Relationship Id="rId4679" Type="http://schemas.openxmlformats.org/officeDocument/2006/relationships/hyperlink" Target="https://zakon.rada.gov.ua/laws/show/71-19" TargetMode="External"/><Relationship Id="rId4886" Type="http://schemas.openxmlformats.org/officeDocument/2006/relationships/hyperlink" Target="https://zakon.rada.gov.ua/laws/show/5083-17" TargetMode="External"/><Relationship Id="rId5937" Type="http://schemas.openxmlformats.org/officeDocument/2006/relationships/hyperlink" Target="https://zakon.rada.gov.ua/laws/show/2755-17/print" TargetMode="External"/><Relationship Id="rId22" Type="http://schemas.openxmlformats.org/officeDocument/2006/relationships/hyperlink" Target="https://zakon.rada.gov.ua/laws/show/4268-17" TargetMode="External"/><Relationship Id="rId3488" Type="http://schemas.openxmlformats.org/officeDocument/2006/relationships/hyperlink" Target="https://zakon.rada.gov.ua/laws/show/z0137-16" TargetMode="External"/><Relationship Id="rId3695" Type="http://schemas.openxmlformats.org/officeDocument/2006/relationships/hyperlink" Target="https://zakon.rada.gov.ua/laws/show/2755-17/print" TargetMode="External"/><Relationship Id="rId4539" Type="http://schemas.openxmlformats.org/officeDocument/2006/relationships/hyperlink" Target="https://zakon.rada.gov.ua/laws/show/2628-19" TargetMode="External"/><Relationship Id="rId4746" Type="http://schemas.openxmlformats.org/officeDocument/2006/relationships/hyperlink" Target="https://zakon.rada.gov.ua/laws/show/2755-17/print" TargetMode="External"/><Relationship Id="rId4953" Type="http://schemas.openxmlformats.org/officeDocument/2006/relationships/hyperlink" Target="https://zakon.rada.gov.ua/laws/show/076_009" TargetMode="External"/><Relationship Id="rId2297" Type="http://schemas.openxmlformats.org/officeDocument/2006/relationships/hyperlink" Target="https://zakon.rada.gov.ua/laws/show/2755-17/print" TargetMode="External"/><Relationship Id="rId3348" Type="http://schemas.openxmlformats.org/officeDocument/2006/relationships/hyperlink" Target="https://zakon.rada.gov.ua/laws/show/643-19" TargetMode="External"/><Relationship Id="rId3555" Type="http://schemas.openxmlformats.org/officeDocument/2006/relationships/hyperlink" Target="https://zakon.rada.gov.ua/laws/show/2755-17/print" TargetMode="External"/><Relationship Id="rId3762" Type="http://schemas.openxmlformats.org/officeDocument/2006/relationships/hyperlink" Target="https://zakon.rada.gov.ua/laws/show/5503-17" TargetMode="External"/><Relationship Id="rId4606" Type="http://schemas.openxmlformats.org/officeDocument/2006/relationships/hyperlink" Target="https://zakon.rada.gov.ua/laws/show/2755-17/print" TargetMode="External"/><Relationship Id="rId4813" Type="http://schemas.openxmlformats.org/officeDocument/2006/relationships/hyperlink" Target="https://zakon.rada.gov.ua/laws/show/4834-17" TargetMode="External"/><Relationship Id="rId269" Type="http://schemas.openxmlformats.org/officeDocument/2006/relationships/hyperlink" Target="https://zakon.rada.gov.ua/laws/show/404-18" TargetMode="External"/><Relationship Id="rId476" Type="http://schemas.openxmlformats.org/officeDocument/2006/relationships/hyperlink" Target="https://zakon.rada.gov.ua/laws/show/2657-12" TargetMode="External"/><Relationship Id="rId683" Type="http://schemas.openxmlformats.org/officeDocument/2006/relationships/hyperlink" Target="https://zakon.rada.gov.ua/laws/show/2245-19" TargetMode="External"/><Relationship Id="rId890" Type="http://schemas.openxmlformats.org/officeDocument/2006/relationships/hyperlink" Target="https://zakon.rada.gov.ua/laws/show/2755-17/print" TargetMode="External"/><Relationship Id="rId2157" Type="http://schemas.openxmlformats.org/officeDocument/2006/relationships/hyperlink" Target="https://zakon.rada.gov.ua/laws/show/z1415-15" TargetMode="External"/><Relationship Id="rId2364" Type="http://schemas.openxmlformats.org/officeDocument/2006/relationships/hyperlink" Target="https://zakon.rada.gov.ua/laws/show/2694-12" TargetMode="External"/><Relationship Id="rId2571" Type="http://schemas.openxmlformats.org/officeDocument/2006/relationships/hyperlink" Target="https://zakon.rada.gov.ua/laws/show/5519-17" TargetMode="External"/><Relationship Id="rId3208" Type="http://schemas.openxmlformats.org/officeDocument/2006/relationships/hyperlink" Target="https://zakon.rada.gov.ua/laws/show/2198-19" TargetMode="External"/><Relationship Id="rId3415" Type="http://schemas.openxmlformats.org/officeDocument/2006/relationships/hyperlink" Target="https://zakon.rada.gov.ua/laws/show/z1235-14" TargetMode="External"/><Relationship Id="rId129" Type="http://schemas.openxmlformats.org/officeDocument/2006/relationships/hyperlink" Target="https://zakon.rada.gov.ua/laws/show/2497-19" TargetMode="External"/><Relationship Id="rId336" Type="http://schemas.openxmlformats.org/officeDocument/2006/relationships/hyperlink" Target="https://zakon.rada.gov.ua/laws/show/1690-18" TargetMode="External"/><Relationship Id="rId543" Type="http://schemas.openxmlformats.org/officeDocument/2006/relationships/hyperlink" Target="https://zakon.rada.gov.ua/laws/show/1791-19" TargetMode="External"/><Relationship Id="rId1173" Type="http://schemas.openxmlformats.org/officeDocument/2006/relationships/hyperlink" Target="https://zakon.rada.gov.ua/laws/show/2245-19" TargetMode="External"/><Relationship Id="rId1380" Type="http://schemas.openxmlformats.org/officeDocument/2006/relationships/hyperlink" Target="https://zakon.rada.gov.ua/laws/show/755-15" TargetMode="External"/><Relationship Id="rId2017" Type="http://schemas.openxmlformats.org/officeDocument/2006/relationships/hyperlink" Target="https://zakon.rada.gov.ua/laws/show/2755-17/print" TargetMode="External"/><Relationship Id="rId2224" Type="http://schemas.openxmlformats.org/officeDocument/2006/relationships/hyperlink" Target="https://zakon.rada.gov.ua/laws/show/2755-17/print" TargetMode="External"/><Relationship Id="rId3622" Type="http://schemas.openxmlformats.org/officeDocument/2006/relationships/hyperlink" Target="https://zakon.rada.gov.ua/laws/show/657-18" TargetMode="External"/><Relationship Id="rId5587" Type="http://schemas.openxmlformats.org/officeDocument/2006/relationships/hyperlink" Target="https://zakon.rada.gov.ua/laws/show/909-19" TargetMode="External"/><Relationship Id="rId403" Type="http://schemas.openxmlformats.org/officeDocument/2006/relationships/hyperlink" Target="https://zakon.rada.gov.ua/laws/show/909-19" TargetMode="External"/><Relationship Id="rId750" Type="http://schemas.openxmlformats.org/officeDocument/2006/relationships/hyperlink" Target="https://zakon.rada.gov.ua/laws/show/1797-19" TargetMode="External"/><Relationship Id="rId1033" Type="http://schemas.openxmlformats.org/officeDocument/2006/relationships/hyperlink" Target="https://zakon.rada.gov.ua/laws/show/1797-19" TargetMode="External"/><Relationship Id="rId2431" Type="http://schemas.openxmlformats.org/officeDocument/2006/relationships/hyperlink" Target="https://zakon.rada.gov.ua/laws/show/1207-18" TargetMode="External"/><Relationship Id="rId4189" Type="http://schemas.openxmlformats.org/officeDocument/2006/relationships/hyperlink" Target="https://zakon.rada.gov.ua/laws/show/391-20" TargetMode="External"/><Relationship Id="rId5794" Type="http://schemas.openxmlformats.org/officeDocument/2006/relationships/hyperlink" Target="https://zakon.rada.gov.ua/laws/show/1621-18" TargetMode="External"/><Relationship Id="rId610" Type="http://schemas.openxmlformats.org/officeDocument/2006/relationships/hyperlink" Target="https://zakon.rada.gov.ua/laws/show/1797-19" TargetMode="External"/><Relationship Id="rId1240" Type="http://schemas.openxmlformats.org/officeDocument/2006/relationships/hyperlink" Target="https://zakon.rada.gov.ua/laws/show/3609-17" TargetMode="External"/><Relationship Id="rId4049" Type="http://schemas.openxmlformats.org/officeDocument/2006/relationships/hyperlink" Target="https://zakon.rada.gov.ua/laws/show/2371%D0%B0-14" TargetMode="External"/><Relationship Id="rId4396" Type="http://schemas.openxmlformats.org/officeDocument/2006/relationships/hyperlink" Target="https://zakon.rada.gov.ua/laws/show/909-19" TargetMode="External"/><Relationship Id="rId5447" Type="http://schemas.openxmlformats.org/officeDocument/2006/relationships/hyperlink" Target="https://zakon.rada.gov.ua/laws/show/5519-17" TargetMode="External"/><Relationship Id="rId5654" Type="http://schemas.openxmlformats.org/officeDocument/2006/relationships/hyperlink" Target="https://zakon.rada.gov.ua/laws/show/2755-17/print" TargetMode="External"/><Relationship Id="rId5861" Type="http://schemas.openxmlformats.org/officeDocument/2006/relationships/hyperlink" Target="https://zakon.rada.gov.ua/laws/show/2245-19" TargetMode="External"/><Relationship Id="rId1100" Type="http://schemas.openxmlformats.org/officeDocument/2006/relationships/hyperlink" Target="https://zakon.rada.gov.ua/laws/show/z1415-15" TargetMode="External"/><Relationship Id="rId4256" Type="http://schemas.openxmlformats.org/officeDocument/2006/relationships/hyperlink" Target="https://zakon.rada.gov.ua/laws/show/391-20" TargetMode="External"/><Relationship Id="rId4463" Type="http://schemas.openxmlformats.org/officeDocument/2006/relationships/hyperlink" Target="https://zakon.rada.gov.ua/laws/show/255/95-%D0%B2%D1%80" TargetMode="External"/><Relationship Id="rId4670" Type="http://schemas.openxmlformats.org/officeDocument/2006/relationships/hyperlink" Target="https://zakon.rada.gov.ua/laws/show/2755-17/print" TargetMode="External"/><Relationship Id="rId5307" Type="http://schemas.openxmlformats.org/officeDocument/2006/relationships/hyperlink" Target="https://zakon.rada.gov.ua/laws/show/2755-17/print" TargetMode="External"/><Relationship Id="rId5514" Type="http://schemas.openxmlformats.org/officeDocument/2006/relationships/hyperlink" Target="https://zakon.rada.gov.ua/laws/show/643-19" TargetMode="External"/><Relationship Id="rId5721" Type="http://schemas.openxmlformats.org/officeDocument/2006/relationships/hyperlink" Target="https://zakon.rada.gov.ua/laws/show/va375202-05" TargetMode="External"/><Relationship Id="rId1917" Type="http://schemas.openxmlformats.org/officeDocument/2006/relationships/hyperlink" Target="https://zakon.rada.gov.ua/laws/show/1797-19" TargetMode="External"/><Relationship Id="rId3065" Type="http://schemas.openxmlformats.org/officeDocument/2006/relationships/hyperlink" Target="https://zakon.rada.gov.ua/laws/show/2628-19" TargetMode="External"/><Relationship Id="rId3272" Type="http://schemas.openxmlformats.org/officeDocument/2006/relationships/hyperlink" Target="https://zakon.rada.gov.ua/laws/show/1797-19" TargetMode="External"/><Relationship Id="rId4116" Type="http://schemas.openxmlformats.org/officeDocument/2006/relationships/hyperlink" Target="https://zakon.rada.gov.ua/laws/show/391-20" TargetMode="External"/><Relationship Id="rId4323" Type="http://schemas.openxmlformats.org/officeDocument/2006/relationships/hyperlink" Target="https://zakon.rada.gov.ua/laws/show/584%D0%B0-18" TargetMode="External"/><Relationship Id="rId4530" Type="http://schemas.openxmlformats.org/officeDocument/2006/relationships/hyperlink" Target="https://zakon.rada.gov.ua/laws/show/1791-19" TargetMode="External"/><Relationship Id="rId193" Type="http://schemas.openxmlformats.org/officeDocument/2006/relationships/hyperlink" Target="https://zakon.rada.gov.ua/laws/show/909-19" TargetMode="External"/><Relationship Id="rId2081" Type="http://schemas.openxmlformats.org/officeDocument/2006/relationships/hyperlink" Target="https://zakon.rada.gov.ua/laws/show/2755-17/print" TargetMode="External"/><Relationship Id="rId3132" Type="http://schemas.openxmlformats.org/officeDocument/2006/relationships/hyperlink" Target="https://zakon.rada.gov.ua/laws/show/2755-17/print" TargetMode="External"/><Relationship Id="rId6288" Type="http://schemas.openxmlformats.org/officeDocument/2006/relationships/hyperlink" Target="https://zakon.rada.gov.ua/laws/show/2755-17/print" TargetMode="External"/><Relationship Id="rId260" Type="http://schemas.openxmlformats.org/officeDocument/2006/relationships/hyperlink" Target="https://zakon.rada.gov.ua/laws/show/2245-19" TargetMode="External"/><Relationship Id="rId5097" Type="http://schemas.openxmlformats.org/officeDocument/2006/relationships/hyperlink" Target="https://zakon.rada.gov.ua/laws/show/4014-17" TargetMode="External"/><Relationship Id="rId6148" Type="http://schemas.openxmlformats.org/officeDocument/2006/relationships/hyperlink" Target="https://zakon.rada.gov.ua/laws/show/2755-17/print" TargetMode="External"/><Relationship Id="rId120" Type="http://schemas.openxmlformats.org/officeDocument/2006/relationships/hyperlink" Target="https://zakon.rada.gov.ua/laws/show/2146-19" TargetMode="External"/><Relationship Id="rId2898" Type="http://schemas.openxmlformats.org/officeDocument/2006/relationships/hyperlink" Target="https://zakon.rada.gov.ua/laws/show/909-19" TargetMode="External"/><Relationship Id="rId3949" Type="http://schemas.openxmlformats.org/officeDocument/2006/relationships/hyperlink" Target="https://zakon.rada.gov.ua/laws/show/1797-19" TargetMode="External"/><Relationship Id="rId5164" Type="http://schemas.openxmlformats.org/officeDocument/2006/relationships/hyperlink" Target="https://zakon.rada.gov.ua/laws/show/1039-14" TargetMode="External"/><Relationship Id="rId6008" Type="http://schemas.openxmlformats.org/officeDocument/2006/relationships/hyperlink" Target="https://zakon.rada.gov.ua/laws/show/391-20" TargetMode="External"/><Relationship Id="rId6215" Type="http://schemas.openxmlformats.org/officeDocument/2006/relationships/hyperlink" Target="https://zakon.rada.gov.ua/laws/show/425-20" TargetMode="External"/><Relationship Id="rId2758" Type="http://schemas.openxmlformats.org/officeDocument/2006/relationships/hyperlink" Target="https://zakon.rada.gov.ua/laws/show/z1298-15" TargetMode="External"/><Relationship Id="rId2965" Type="http://schemas.openxmlformats.org/officeDocument/2006/relationships/hyperlink" Target="https://zakon.rada.gov.ua/laws/show/1084-19" TargetMode="External"/><Relationship Id="rId3809" Type="http://schemas.openxmlformats.org/officeDocument/2006/relationships/hyperlink" Target="https://zakon.rada.gov.ua/laws/show/71-19" TargetMode="External"/><Relationship Id="rId5024" Type="http://schemas.openxmlformats.org/officeDocument/2006/relationships/hyperlink" Target="https://zakon.rada.gov.ua/laws/show/4834-17" TargetMode="External"/><Relationship Id="rId5371" Type="http://schemas.openxmlformats.org/officeDocument/2006/relationships/hyperlink" Target="https://zakon.rada.gov.ua/laws/show/1797-19" TargetMode="External"/><Relationship Id="rId937" Type="http://schemas.openxmlformats.org/officeDocument/2006/relationships/hyperlink" Target="https://zakon.rada.gov.ua/laws/show/2245-19" TargetMode="External"/><Relationship Id="rId1567" Type="http://schemas.openxmlformats.org/officeDocument/2006/relationships/hyperlink" Target="https://zakon.rada.gov.ua/laws/show/72-19" TargetMode="External"/><Relationship Id="rId1774" Type="http://schemas.openxmlformats.org/officeDocument/2006/relationships/hyperlink" Target="https://zakon.rada.gov.ua/laws/show/z1415-15" TargetMode="External"/><Relationship Id="rId1981" Type="http://schemas.openxmlformats.org/officeDocument/2006/relationships/hyperlink" Target="https://zakon.rada.gov.ua/laws/show/2755-17/print" TargetMode="External"/><Relationship Id="rId2618" Type="http://schemas.openxmlformats.org/officeDocument/2006/relationships/hyperlink" Target="https://zakon.rada.gov.ua/laws/show/1797-19" TargetMode="External"/><Relationship Id="rId2825" Type="http://schemas.openxmlformats.org/officeDocument/2006/relationships/hyperlink" Target="https://zakon.rada.gov.ua/laws/show/2755-17/print" TargetMode="External"/><Relationship Id="rId4180" Type="http://schemas.openxmlformats.org/officeDocument/2006/relationships/hyperlink" Target="https://zakon.rada.gov.ua/laws/show/909-19" TargetMode="External"/><Relationship Id="rId5231" Type="http://schemas.openxmlformats.org/officeDocument/2006/relationships/hyperlink" Target="https://zakon.rada.gov.ua/laws/show/215-19" TargetMode="External"/><Relationship Id="rId66" Type="http://schemas.openxmlformats.org/officeDocument/2006/relationships/hyperlink" Target="https://zakon.rada.gov.ua/laws/show/1200-18" TargetMode="External"/><Relationship Id="rId1427" Type="http://schemas.openxmlformats.org/officeDocument/2006/relationships/hyperlink" Target="https://zakon.rada.gov.ua/laws/show/1797-19" TargetMode="External"/><Relationship Id="rId1634" Type="http://schemas.openxmlformats.org/officeDocument/2006/relationships/hyperlink" Target="https://zakon.rada.gov.ua/laws/show/655-19" TargetMode="External"/><Relationship Id="rId1841" Type="http://schemas.openxmlformats.org/officeDocument/2006/relationships/hyperlink" Target="https://zakon.rada.gov.ua/laws/show/3609-17" TargetMode="External"/><Relationship Id="rId4040" Type="http://schemas.openxmlformats.org/officeDocument/2006/relationships/hyperlink" Target="https://zakon.rada.gov.ua/laws/show/2755-17/print" TargetMode="External"/><Relationship Id="rId4997" Type="http://schemas.openxmlformats.org/officeDocument/2006/relationships/hyperlink" Target="https://zakon.rada.gov.ua/laws/show/71-19" TargetMode="External"/><Relationship Id="rId3599" Type="http://schemas.openxmlformats.org/officeDocument/2006/relationships/hyperlink" Target="https://zakon.rada.gov.ua/laws/show/996_004" TargetMode="External"/><Relationship Id="rId4857" Type="http://schemas.openxmlformats.org/officeDocument/2006/relationships/hyperlink" Target="https://zakon.rada.gov.ua/laws/show/4014-17" TargetMode="External"/><Relationship Id="rId1701" Type="http://schemas.openxmlformats.org/officeDocument/2006/relationships/hyperlink" Target="https://zakon.rada.gov.ua/laws/show/1797-19" TargetMode="External"/><Relationship Id="rId3459" Type="http://schemas.openxmlformats.org/officeDocument/2006/relationships/hyperlink" Target="https://zakon.rada.gov.ua/laws/show/5083-17" TargetMode="External"/><Relationship Id="rId3666" Type="http://schemas.openxmlformats.org/officeDocument/2006/relationships/hyperlink" Target="https://zakon.rada.gov.ua/laws/show/71-19" TargetMode="External"/><Relationship Id="rId5908" Type="http://schemas.openxmlformats.org/officeDocument/2006/relationships/hyperlink" Target="https://zakon.rada.gov.ua/laws/show/2755-17/print" TargetMode="External"/><Relationship Id="rId6072" Type="http://schemas.openxmlformats.org/officeDocument/2006/relationships/hyperlink" Target="https://zakon.rada.gov.ua/laws/show/909-19" TargetMode="External"/><Relationship Id="rId587" Type="http://schemas.openxmlformats.org/officeDocument/2006/relationships/hyperlink" Target="https://zakon.rada.gov.ua/laws/show/2747-15" TargetMode="External"/><Relationship Id="rId2268" Type="http://schemas.openxmlformats.org/officeDocument/2006/relationships/hyperlink" Target="https://zakon.rada.gov.ua/laws/show/2755-17/print" TargetMode="External"/><Relationship Id="rId3319" Type="http://schemas.openxmlformats.org/officeDocument/2006/relationships/hyperlink" Target="https://zakon.rada.gov.ua/laws/show/2755-17/print" TargetMode="External"/><Relationship Id="rId3873" Type="http://schemas.openxmlformats.org/officeDocument/2006/relationships/hyperlink" Target="https://zakon.rada.gov.ua/laws/show/71-19" TargetMode="External"/><Relationship Id="rId4717" Type="http://schemas.openxmlformats.org/officeDocument/2006/relationships/hyperlink" Target="https://zakon.rada.gov.ua/laws/show/1791-19" TargetMode="External"/><Relationship Id="rId4924" Type="http://schemas.openxmlformats.org/officeDocument/2006/relationships/hyperlink" Target="https://zakon.rada.gov.ua/laws/show/71-19" TargetMode="External"/><Relationship Id="rId447" Type="http://schemas.openxmlformats.org/officeDocument/2006/relationships/hyperlink" Target="https://zakon.rada.gov.ua/laws/show/71-19" TargetMode="External"/><Relationship Id="rId794" Type="http://schemas.openxmlformats.org/officeDocument/2006/relationships/hyperlink" Target="https://zakon.rada.gov.ua/laws/show/1797-19" TargetMode="External"/><Relationship Id="rId1077" Type="http://schemas.openxmlformats.org/officeDocument/2006/relationships/hyperlink" Target="https://zakon.rada.gov.ua/laws/show/z1415-15" TargetMode="External"/><Relationship Id="rId2128" Type="http://schemas.openxmlformats.org/officeDocument/2006/relationships/hyperlink" Target="https://zakon.rada.gov.ua/laws/show/2755-17/print" TargetMode="External"/><Relationship Id="rId2475" Type="http://schemas.openxmlformats.org/officeDocument/2006/relationships/hyperlink" Target="https://zakon.rada.gov.ua/laws/show/909-19" TargetMode="External"/><Relationship Id="rId2682" Type="http://schemas.openxmlformats.org/officeDocument/2006/relationships/hyperlink" Target="https://zakon.rada.gov.ua/laws/show/2755-17/print" TargetMode="External"/><Relationship Id="rId3526" Type="http://schemas.openxmlformats.org/officeDocument/2006/relationships/hyperlink" Target="https://zakon.rada.gov.ua/laws/show/3609-17" TargetMode="External"/><Relationship Id="rId3733" Type="http://schemas.openxmlformats.org/officeDocument/2006/relationships/hyperlink" Target="https://zakon.rada.gov.ua/laws/show/4495-17" TargetMode="External"/><Relationship Id="rId3940" Type="http://schemas.openxmlformats.org/officeDocument/2006/relationships/hyperlink" Target="https://zakon.rada.gov.ua/laws/show/1251-2010-%D0%BF" TargetMode="External"/><Relationship Id="rId654" Type="http://schemas.openxmlformats.org/officeDocument/2006/relationships/hyperlink" Target="https://zakon.rada.gov.ua/laws/show/1797-19" TargetMode="External"/><Relationship Id="rId861" Type="http://schemas.openxmlformats.org/officeDocument/2006/relationships/hyperlink" Target="https://zakon.rada.gov.ua/laws/show/1797-19" TargetMode="External"/><Relationship Id="rId1284" Type="http://schemas.openxmlformats.org/officeDocument/2006/relationships/hyperlink" Target="https://zakon.rada.gov.ua/laws/show/2755-17/print" TargetMode="External"/><Relationship Id="rId1491" Type="http://schemas.openxmlformats.org/officeDocument/2006/relationships/hyperlink" Target="https://zakon.rada.gov.ua/laws/show/1797-19" TargetMode="External"/><Relationship Id="rId2335" Type="http://schemas.openxmlformats.org/officeDocument/2006/relationships/hyperlink" Target="https://zakon.rada.gov.ua/laws/show/1275-18" TargetMode="External"/><Relationship Id="rId2542" Type="http://schemas.openxmlformats.org/officeDocument/2006/relationships/hyperlink" Target="https://zakon.rada.gov.ua/laws/show/2755-17/print" TargetMode="External"/><Relationship Id="rId3800" Type="http://schemas.openxmlformats.org/officeDocument/2006/relationships/hyperlink" Target="https://zakon.rada.gov.ua/laws/show/584%D0%B1-18" TargetMode="External"/><Relationship Id="rId5698" Type="http://schemas.openxmlformats.org/officeDocument/2006/relationships/hyperlink" Target="https://zakon.rada.gov.ua/laws/show/2245-19" TargetMode="External"/><Relationship Id="rId307" Type="http://schemas.openxmlformats.org/officeDocument/2006/relationships/hyperlink" Target="https://zakon.rada.gov.ua/laws/show/909-19" TargetMode="External"/><Relationship Id="rId514" Type="http://schemas.openxmlformats.org/officeDocument/2006/relationships/hyperlink" Target="https://zakon.rada.gov.ua/laws/show/2755-17/print" TargetMode="External"/><Relationship Id="rId721" Type="http://schemas.openxmlformats.org/officeDocument/2006/relationships/hyperlink" Target="https://zakon.rada.gov.ua/laws/show/4834-17" TargetMode="External"/><Relationship Id="rId1144" Type="http://schemas.openxmlformats.org/officeDocument/2006/relationships/hyperlink" Target="https://zakon.rada.gov.ua/laws/show/3609-17" TargetMode="External"/><Relationship Id="rId1351" Type="http://schemas.openxmlformats.org/officeDocument/2006/relationships/hyperlink" Target="https://zakon.rada.gov.ua/laws/show/655-19" TargetMode="External"/><Relationship Id="rId2402" Type="http://schemas.openxmlformats.org/officeDocument/2006/relationships/hyperlink" Target="https://zakon.rada.gov.ua/laws/show/2628-19" TargetMode="External"/><Relationship Id="rId5558" Type="http://schemas.openxmlformats.org/officeDocument/2006/relationships/hyperlink" Target="https://zakon.rada.gov.ua/laws/show/2755-17/print" TargetMode="External"/><Relationship Id="rId5765" Type="http://schemas.openxmlformats.org/officeDocument/2006/relationships/hyperlink" Target="https://zakon.rada.gov.ua/laws/show/71-19" TargetMode="External"/><Relationship Id="rId5972" Type="http://schemas.openxmlformats.org/officeDocument/2006/relationships/hyperlink" Target="https://zakon.rada.gov.ua/laws/show/2755-17/print" TargetMode="External"/><Relationship Id="rId1004" Type="http://schemas.openxmlformats.org/officeDocument/2006/relationships/hyperlink" Target="https://zakon.rada.gov.ua/laws/show/2725-19" TargetMode="External"/><Relationship Id="rId1211" Type="http://schemas.openxmlformats.org/officeDocument/2006/relationships/hyperlink" Target="https://zakon.rada.gov.ua/laws/show/1797-19" TargetMode="External"/><Relationship Id="rId4367" Type="http://schemas.openxmlformats.org/officeDocument/2006/relationships/hyperlink" Target="https://zakon.rada.gov.ua/laws/show/1166-18" TargetMode="External"/><Relationship Id="rId4574" Type="http://schemas.openxmlformats.org/officeDocument/2006/relationships/hyperlink" Target="https://zakon.rada.gov.ua/laws/show/420-19" TargetMode="External"/><Relationship Id="rId4781" Type="http://schemas.openxmlformats.org/officeDocument/2006/relationships/hyperlink" Target="https://zakon.rada.gov.ua/laws/show/4014-17" TargetMode="External"/><Relationship Id="rId5418" Type="http://schemas.openxmlformats.org/officeDocument/2006/relationships/hyperlink" Target="https://zakon.rada.gov.ua/laws/show/4014-17" TargetMode="External"/><Relationship Id="rId5625" Type="http://schemas.openxmlformats.org/officeDocument/2006/relationships/hyperlink" Target="https://zakon.rada.gov.ua/laws/show/2755-17/print" TargetMode="External"/><Relationship Id="rId5832" Type="http://schemas.openxmlformats.org/officeDocument/2006/relationships/hyperlink" Target="https://zakon.rada.gov.ua/laws/show/5213-17" TargetMode="External"/><Relationship Id="rId3176" Type="http://schemas.openxmlformats.org/officeDocument/2006/relationships/hyperlink" Target="https://zakon.rada.gov.ua/laws/show/2755-17/print" TargetMode="External"/><Relationship Id="rId3383" Type="http://schemas.openxmlformats.org/officeDocument/2006/relationships/hyperlink" Target="https://zakon.rada.gov.ua/laws/show/1797-19" TargetMode="External"/><Relationship Id="rId3590" Type="http://schemas.openxmlformats.org/officeDocument/2006/relationships/hyperlink" Target="https://zakon.rada.gov.ua/laws/show/2755-17/print" TargetMode="External"/><Relationship Id="rId4227" Type="http://schemas.openxmlformats.org/officeDocument/2006/relationships/hyperlink" Target="https://zakon.rada.gov.ua/laws/show/2628-19" TargetMode="External"/><Relationship Id="rId4434" Type="http://schemas.openxmlformats.org/officeDocument/2006/relationships/hyperlink" Target="https://zakon.rada.gov.ua/laws/show/1166-18" TargetMode="External"/><Relationship Id="rId2192" Type="http://schemas.openxmlformats.org/officeDocument/2006/relationships/hyperlink" Target="https://zakon.rada.gov.ua/laws/show/2755-17/print" TargetMode="External"/><Relationship Id="rId3036" Type="http://schemas.openxmlformats.org/officeDocument/2006/relationships/hyperlink" Target="https://zakon.rada.gov.ua/laws/show/4495-17" TargetMode="External"/><Relationship Id="rId3243" Type="http://schemas.openxmlformats.org/officeDocument/2006/relationships/hyperlink" Target="https://zakon.rada.gov.ua/laws/show/2755-17/print" TargetMode="External"/><Relationship Id="rId4641" Type="http://schemas.openxmlformats.org/officeDocument/2006/relationships/hyperlink" Target="https://zakon.rada.gov.ua/laws/show/2628-19" TargetMode="External"/><Relationship Id="rId164" Type="http://schemas.openxmlformats.org/officeDocument/2006/relationships/hyperlink" Target="https://zakon.rada.gov.ua/laws/show/909-19" TargetMode="External"/><Relationship Id="rId371" Type="http://schemas.openxmlformats.org/officeDocument/2006/relationships/hyperlink" Target="https://zakon.rada.gov.ua/laws/show/1058-15" TargetMode="External"/><Relationship Id="rId2052" Type="http://schemas.openxmlformats.org/officeDocument/2006/relationships/hyperlink" Target="https://zakon.rada.gov.ua/laws/show/1797-19" TargetMode="External"/><Relationship Id="rId3450" Type="http://schemas.openxmlformats.org/officeDocument/2006/relationships/hyperlink" Target="https://zakon.rada.gov.ua/laws/show/71-19" TargetMode="External"/><Relationship Id="rId4501" Type="http://schemas.openxmlformats.org/officeDocument/2006/relationships/hyperlink" Target="https://zakon.rada.gov.ua/laws/show/1791-19" TargetMode="External"/><Relationship Id="rId6259" Type="http://schemas.openxmlformats.org/officeDocument/2006/relationships/hyperlink" Target="https://zakon.rada.gov.ua/laws/show/2755-17/print" TargetMode="External"/><Relationship Id="rId3103" Type="http://schemas.openxmlformats.org/officeDocument/2006/relationships/hyperlink" Target="https://zakon.rada.gov.ua/laws/show/1166-18" TargetMode="External"/><Relationship Id="rId3310" Type="http://schemas.openxmlformats.org/officeDocument/2006/relationships/hyperlink" Target="https://zakon.rada.gov.ua/laws/show/1166-18" TargetMode="External"/><Relationship Id="rId5068" Type="http://schemas.openxmlformats.org/officeDocument/2006/relationships/hyperlink" Target="https://zakon.rada.gov.ua/laws/show/2497-19" TargetMode="External"/><Relationship Id="rId231" Type="http://schemas.openxmlformats.org/officeDocument/2006/relationships/hyperlink" Target="https://zakon.rada.gov.ua/laws/show/1791-19" TargetMode="External"/><Relationship Id="rId2869" Type="http://schemas.openxmlformats.org/officeDocument/2006/relationships/hyperlink" Target="https://zakon.rada.gov.ua/laws/show/4834-17" TargetMode="External"/><Relationship Id="rId5275" Type="http://schemas.openxmlformats.org/officeDocument/2006/relationships/hyperlink" Target="https://zakon.rada.gov.ua/laws/show/909-19" TargetMode="External"/><Relationship Id="rId5482" Type="http://schemas.openxmlformats.org/officeDocument/2006/relationships/hyperlink" Target="https://zakon.rada.gov.ua/laws/show/2755-17/print" TargetMode="External"/><Relationship Id="rId6119" Type="http://schemas.openxmlformats.org/officeDocument/2006/relationships/hyperlink" Target="https://zakon.rada.gov.ua/laws/show/3319-17" TargetMode="External"/><Relationship Id="rId1678" Type="http://schemas.openxmlformats.org/officeDocument/2006/relationships/hyperlink" Target="https://zakon.rada.gov.ua/laws/show/5412-17" TargetMode="External"/><Relationship Id="rId1885" Type="http://schemas.openxmlformats.org/officeDocument/2006/relationships/hyperlink" Target="https://zakon.rada.gov.ua/laws/show/3609-17" TargetMode="External"/><Relationship Id="rId2729" Type="http://schemas.openxmlformats.org/officeDocument/2006/relationships/hyperlink" Target="https://zakon.rada.gov.ua/laws/show/z0228-14" TargetMode="External"/><Relationship Id="rId2936" Type="http://schemas.openxmlformats.org/officeDocument/2006/relationships/hyperlink" Target="https://zakon.rada.gov.ua/laws/show/3609-17" TargetMode="External"/><Relationship Id="rId4084" Type="http://schemas.openxmlformats.org/officeDocument/2006/relationships/hyperlink" Target="https://zakon.rada.gov.ua/laws/show/584%D0%B0-18" TargetMode="External"/><Relationship Id="rId4291" Type="http://schemas.openxmlformats.org/officeDocument/2006/relationships/hyperlink" Target="https://zakon.rada.gov.ua/laws/show/2755-17/print" TargetMode="External"/><Relationship Id="rId5135" Type="http://schemas.openxmlformats.org/officeDocument/2006/relationships/hyperlink" Target="https://zakon.rada.gov.ua/laws/show/5412-17" TargetMode="External"/><Relationship Id="rId5342" Type="http://schemas.openxmlformats.org/officeDocument/2006/relationships/hyperlink" Target="https://zakon.rada.gov.ua/laws/show/4915-17" TargetMode="External"/><Relationship Id="rId908" Type="http://schemas.openxmlformats.org/officeDocument/2006/relationships/hyperlink" Target="https://zakon.rada.gov.ua/laws/show/1797-19" TargetMode="External"/><Relationship Id="rId1538" Type="http://schemas.openxmlformats.org/officeDocument/2006/relationships/hyperlink" Target="https://zakon.rada.gov.ua/laws/show/1797-19" TargetMode="External"/><Relationship Id="rId4151" Type="http://schemas.openxmlformats.org/officeDocument/2006/relationships/hyperlink" Target="https://zakon.rada.gov.ua/laws/show/71-19" TargetMode="External"/><Relationship Id="rId5202" Type="http://schemas.openxmlformats.org/officeDocument/2006/relationships/hyperlink" Target="https://zakon.rada.gov.ua/laws/show/4050-17" TargetMode="External"/><Relationship Id="rId1745" Type="http://schemas.openxmlformats.org/officeDocument/2006/relationships/hyperlink" Target="https://zakon.rada.gov.ua/laws/show/408-18" TargetMode="External"/><Relationship Id="rId1952" Type="http://schemas.openxmlformats.org/officeDocument/2006/relationships/hyperlink" Target="https://zakon.rada.gov.ua/laws/show/323-20" TargetMode="External"/><Relationship Id="rId4011" Type="http://schemas.openxmlformats.org/officeDocument/2006/relationships/hyperlink" Target="https://zakon.rada.gov.ua/laws/show/2755-17/print" TargetMode="External"/><Relationship Id="rId37" Type="http://schemas.openxmlformats.org/officeDocument/2006/relationships/hyperlink" Target="https://zakon.rada.gov.ua/laws/show/5180-17" TargetMode="External"/><Relationship Id="rId1605" Type="http://schemas.openxmlformats.org/officeDocument/2006/relationships/hyperlink" Target="https://zakon.rada.gov.ua/laws/show/391-20" TargetMode="External"/><Relationship Id="rId1812" Type="http://schemas.openxmlformats.org/officeDocument/2006/relationships/hyperlink" Target="https://zakon.rada.gov.ua/laws/show/1797-19" TargetMode="External"/><Relationship Id="rId4968" Type="http://schemas.openxmlformats.org/officeDocument/2006/relationships/hyperlink" Target="https://zakon.rada.gov.ua/laws/show/5083-17" TargetMode="External"/><Relationship Id="rId6183" Type="http://schemas.openxmlformats.org/officeDocument/2006/relationships/hyperlink" Target="https://zakon.rada.gov.ua/laws/show/719-18" TargetMode="External"/><Relationship Id="rId3777" Type="http://schemas.openxmlformats.org/officeDocument/2006/relationships/hyperlink" Target="https://zakon.rada.gov.ua/laws/show/1621-18" TargetMode="External"/><Relationship Id="rId3984" Type="http://schemas.openxmlformats.org/officeDocument/2006/relationships/hyperlink" Target="https://zakon.rada.gov.ua/laws/show/2628-19" TargetMode="External"/><Relationship Id="rId4828" Type="http://schemas.openxmlformats.org/officeDocument/2006/relationships/hyperlink" Target="https://zakon.rada.gov.ua/laws/show/5083-17" TargetMode="External"/><Relationship Id="rId698" Type="http://schemas.openxmlformats.org/officeDocument/2006/relationships/hyperlink" Target="https://zakon.rada.gov.ua/laws/show/3205-17" TargetMode="External"/><Relationship Id="rId2379" Type="http://schemas.openxmlformats.org/officeDocument/2006/relationships/hyperlink" Target="https://zakon.rada.gov.ua/laws/show/427-18" TargetMode="External"/><Relationship Id="rId2586" Type="http://schemas.openxmlformats.org/officeDocument/2006/relationships/hyperlink" Target="https://zakon.rada.gov.ua/laws/show/5083-17" TargetMode="External"/><Relationship Id="rId2793" Type="http://schemas.openxmlformats.org/officeDocument/2006/relationships/hyperlink" Target="https://zakon.rada.gov.ua/laws/show/1797-19" TargetMode="External"/><Relationship Id="rId3637" Type="http://schemas.openxmlformats.org/officeDocument/2006/relationships/hyperlink" Target="https://zakon.rada.gov.ua/laws/show/va375202-05" TargetMode="External"/><Relationship Id="rId3844" Type="http://schemas.openxmlformats.org/officeDocument/2006/relationships/hyperlink" Target="https://zakon.rada.gov.ua/laws/show/1791-19" TargetMode="External"/><Relationship Id="rId6043" Type="http://schemas.openxmlformats.org/officeDocument/2006/relationships/hyperlink" Target="https://zakon.rada.gov.ua/laws/show/2755-17/print" TargetMode="External"/><Relationship Id="rId6250" Type="http://schemas.openxmlformats.org/officeDocument/2006/relationships/hyperlink" Target="https://zakon.rada.gov.ua/laws/show/2245-19" TargetMode="External"/><Relationship Id="rId558" Type="http://schemas.openxmlformats.org/officeDocument/2006/relationships/hyperlink" Target="https://zakon.rada.gov.ua/laws/show/391-20" TargetMode="External"/><Relationship Id="rId765" Type="http://schemas.openxmlformats.org/officeDocument/2006/relationships/hyperlink" Target="https://zakon.rada.gov.ua/laws/show/609-19" TargetMode="External"/><Relationship Id="rId972" Type="http://schemas.openxmlformats.org/officeDocument/2006/relationships/hyperlink" Target="https://zakon.rada.gov.ua/laws/show/3610-17" TargetMode="External"/><Relationship Id="rId1188" Type="http://schemas.openxmlformats.org/officeDocument/2006/relationships/hyperlink" Target="https://zakon.rada.gov.ua/laws/show/5083-17" TargetMode="External"/><Relationship Id="rId1395" Type="http://schemas.openxmlformats.org/officeDocument/2006/relationships/hyperlink" Target="https://zakon.rada.gov.ua/laws/show/657-18" TargetMode="External"/><Relationship Id="rId2239" Type="http://schemas.openxmlformats.org/officeDocument/2006/relationships/hyperlink" Target="https://zakon.rada.gov.ua/laws/show/2245-19" TargetMode="External"/><Relationship Id="rId2446" Type="http://schemas.openxmlformats.org/officeDocument/2006/relationships/hyperlink" Target="https://zakon.rada.gov.ua/laws/show/652-19" TargetMode="External"/><Relationship Id="rId2653" Type="http://schemas.openxmlformats.org/officeDocument/2006/relationships/hyperlink" Target="https://zakon.rada.gov.ua/laws/show/909-19" TargetMode="External"/><Relationship Id="rId2860" Type="http://schemas.openxmlformats.org/officeDocument/2006/relationships/hyperlink" Target="https://zakon.rada.gov.ua/laws/show/2755-17/print" TargetMode="External"/><Relationship Id="rId3704" Type="http://schemas.openxmlformats.org/officeDocument/2006/relationships/hyperlink" Target="https://zakon.rada.gov.ua/laws/show/71-19" TargetMode="External"/><Relationship Id="rId6110" Type="http://schemas.openxmlformats.org/officeDocument/2006/relationships/hyperlink" Target="https://zakon.rada.gov.ua/laws/show/2755-17/print" TargetMode="External"/><Relationship Id="rId418" Type="http://schemas.openxmlformats.org/officeDocument/2006/relationships/hyperlink" Target="https://zakon.rada.gov.ua/laws/show/4834-17" TargetMode="External"/><Relationship Id="rId625" Type="http://schemas.openxmlformats.org/officeDocument/2006/relationships/hyperlink" Target="https://zakon.rada.gov.ua/laws/show/v013p710-12" TargetMode="External"/><Relationship Id="rId832" Type="http://schemas.openxmlformats.org/officeDocument/2006/relationships/hyperlink" Target="https://zakon.rada.gov.ua/laws/show/1797-19" TargetMode="External"/><Relationship Id="rId1048" Type="http://schemas.openxmlformats.org/officeDocument/2006/relationships/hyperlink" Target="https://zakon.rada.gov.ua/laws/show/3609-17" TargetMode="External"/><Relationship Id="rId1255" Type="http://schemas.openxmlformats.org/officeDocument/2006/relationships/hyperlink" Target="https://zakon.rada.gov.ua/laws/show/909-19" TargetMode="External"/><Relationship Id="rId1462" Type="http://schemas.openxmlformats.org/officeDocument/2006/relationships/hyperlink" Target="https://zakon.rada.gov.ua/laws/show/2755-17/print" TargetMode="External"/><Relationship Id="rId2306" Type="http://schemas.openxmlformats.org/officeDocument/2006/relationships/hyperlink" Target="https://zakon.rada.gov.ua/laws/show/1166-18" TargetMode="External"/><Relationship Id="rId2513" Type="http://schemas.openxmlformats.org/officeDocument/2006/relationships/hyperlink" Target="https://zakon.rada.gov.ua/laws/show/2628-19" TargetMode="External"/><Relationship Id="rId3911" Type="http://schemas.openxmlformats.org/officeDocument/2006/relationships/hyperlink" Target="https://zakon.rada.gov.ua/laws/show/71-19" TargetMode="External"/><Relationship Id="rId5669" Type="http://schemas.openxmlformats.org/officeDocument/2006/relationships/hyperlink" Target="https://zakon.rada.gov.ua/laws/show/1977-19" TargetMode="External"/><Relationship Id="rId5876" Type="http://schemas.openxmlformats.org/officeDocument/2006/relationships/hyperlink" Target="https://zakon.rada.gov.ua/laws/show/425-20" TargetMode="External"/><Relationship Id="rId1115" Type="http://schemas.openxmlformats.org/officeDocument/2006/relationships/hyperlink" Target="https://zakon.rada.gov.ua/laws/show/71-19" TargetMode="External"/><Relationship Id="rId1322" Type="http://schemas.openxmlformats.org/officeDocument/2006/relationships/hyperlink" Target="https://zakon.rada.gov.ua/laws/show/5083-17" TargetMode="External"/><Relationship Id="rId2720" Type="http://schemas.openxmlformats.org/officeDocument/2006/relationships/hyperlink" Target="https://zakon.rada.gov.ua/laws/show/2755-17/print" TargetMode="External"/><Relationship Id="rId4478" Type="http://schemas.openxmlformats.org/officeDocument/2006/relationships/hyperlink" Target="https://zakon.rada.gov.ua/laws/show/1797-19" TargetMode="External"/><Relationship Id="rId5529" Type="http://schemas.openxmlformats.org/officeDocument/2006/relationships/hyperlink" Target="https://zakon.rada.gov.ua/laws/show/v457a609-10" TargetMode="External"/><Relationship Id="rId3287" Type="http://schemas.openxmlformats.org/officeDocument/2006/relationships/hyperlink" Target="https://zakon.rada.gov.ua/laws/show/z1415-15" TargetMode="External"/><Relationship Id="rId4338" Type="http://schemas.openxmlformats.org/officeDocument/2006/relationships/hyperlink" Target="https://zakon.rada.gov.ua/laws/show/2628-19" TargetMode="External"/><Relationship Id="rId4685" Type="http://schemas.openxmlformats.org/officeDocument/2006/relationships/hyperlink" Target="https://zakon.rada.gov.ua/laws/show/2755-17/print" TargetMode="External"/><Relationship Id="rId4892" Type="http://schemas.openxmlformats.org/officeDocument/2006/relationships/hyperlink" Target="https://zakon.rada.gov.ua/laws/show/5503-17" TargetMode="External"/><Relationship Id="rId5736" Type="http://schemas.openxmlformats.org/officeDocument/2006/relationships/hyperlink" Target="https://zakon.rada.gov.ua/laws/show/3609-17" TargetMode="External"/><Relationship Id="rId5943" Type="http://schemas.openxmlformats.org/officeDocument/2006/relationships/hyperlink" Target="https://zakon.rada.gov.ua/laws/show/2755-17/print" TargetMode="External"/><Relationship Id="rId2096" Type="http://schemas.openxmlformats.org/officeDocument/2006/relationships/hyperlink" Target="https://zakon.rada.gov.ua/laws/show/1667-19" TargetMode="External"/><Relationship Id="rId3494" Type="http://schemas.openxmlformats.org/officeDocument/2006/relationships/hyperlink" Target="https://zakon.rada.gov.ua/laws/show/2755-17/print" TargetMode="External"/><Relationship Id="rId4545" Type="http://schemas.openxmlformats.org/officeDocument/2006/relationships/hyperlink" Target="https://zakon.rada.gov.ua/laws/show/2755-17/print" TargetMode="External"/><Relationship Id="rId4752" Type="http://schemas.openxmlformats.org/officeDocument/2006/relationships/hyperlink" Target="https://zakon.rada.gov.ua/laws/show/z1048-15" TargetMode="External"/><Relationship Id="rId5803" Type="http://schemas.openxmlformats.org/officeDocument/2006/relationships/hyperlink" Target="https://zakon.rada.gov.ua/laws/show/2755-17/print" TargetMode="External"/><Relationship Id="rId3147" Type="http://schemas.openxmlformats.org/officeDocument/2006/relationships/hyperlink" Target="https://zakon.rada.gov.ua/laws/show/1797-19" TargetMode="External"/><Relationship Id="rId3354" Type="http://schemas.openxmlformats.org/officeDocument/2006/relationships/hyperlink" Target="https://zakon.rada.gov.ua/laws/show/1797-19" TargetMode="External"/><Relationship Id="rId3561" Type="http://schemas.openxmlformats.org/officeDocument/2006/relationships/hyperlink" Target="https://zakon.rada.gov.ua/laws/show/2755-17/print" TargetMode="External"/><Relationship Id="rId4405" Type="http://schemas.openxmlformats.org/officeDocument/2006/relationships/hyperlink" Target="https://zakon.rada.gov.ua/laws/show/2245-19" TargetMode="External"/><Relationship Id="rId4612" Type="http://schemas.openxmlformats.org/officeDocument/2006/relationships/hyperlink" Target="https://zakon.rada.gov.ua/laws/show/2755-17/print" TargetMode="External"/><Relationship Id="rId275" Type="http://schemas.openxmlformats.org/officeDocument/2006/relationships/hyperlink" Target="https://zakon.rada.gov.ua/laws/show/71-19" TargetMode="External"/><Relationship Id="rId482" Type="http://schemas.openxmlformats.org/officeDocument/2006/relationships/hyperlink" Target="https://zakon.rada.gov.ua/laws/show/1797-19" TargetMode="External"/><Relationship Id="rId2163" Type="http://schemas.openxmlformats.org/officeDocument/2006/relationships/hyperlink" Target="https://zakon.rada.gov.ua/laws/show/1797-19" TargetMode="External"/><Relationship Id="rId2370" Type="http://schemas.openxmlformats.org/officeDocument/2006/relationships/hyperlink" Target="https://zakon.rada.gov.ua/laws/show/5519-17" TargetMode="External"/><Relationship Id="rId3007" Type="http://schemas.openxmlformats.org/officeDocument/2006/relationships/hyperlink" Target="https://zakon.rada.gov.ua/laws/show/1797-19" TargetMode="External"/><Relationship Id="rId3214" Type="http://schemas.openxmlformats.org/officeDocument/2006/relationships/hyperlink" Target="https://zakon.rada.gov.ua/laws/show/2628-19" TargetMode="External"/><Relationship Id="rId3421" Type="http://schemas.openxmlformats.org/officeDocument/2006/relationships/hyperlink" Target="https://zakon.rada.gov.ua/laws/show/643-19" TargetMode="External"/><Relationship Id="rId135" Type="http://schemas.openxmlformats.org/officeDocument/2006/relationships/hyperlink" Target="https://zakon.rada.gov.ua/laws/show/314-20" TargetMode="External"/><Relationship Id="rId342" Type="http://schemas.openxmlformats.org/officeDocument/2006/relationships/hyperlink" Target="https://zakon.rada.gov.ua/laws/show/1087-15" TargetMode="External"/><Relationship Id="rId2023" Type="http://schemas.openxmlformats.org/officeDocument/2006/relationships/hyperlink" Target="https://zakon.rada.gov.ua/laws/show/2755-17/print" TargetMode="External"/><Relationship Id="rId2230" Type="http://schemas.openxmlformats.org/officeDocument/2006/relationships/hyperlink" Target="https://zakon.rada.gov.ua/laws/show/652-19" TargetMode="External"/><Relationship Id="rId5179" Type="http://schemas.openxmlformats.org/officeDocument/2006/relationships/hyperlink" Target="https://zakon.rada.gov.ua/laws/show/1797-19" TargetMode="External"/><Relationship Id="rId5386" Type="http://schemas.openxmlformats.org/officeDocument/2006/relationships/hyperlink" Target="https://zakon.rada.gov.ua/laws/show/909-19" TargetMode="External"/><Relationship Id="rId5593" Type="http://schemas.openxmlformats.org/officeDocument/2006/relationships/hyperlink" Target="https://zakon.rada.gov.ua/laws/show/2755-17/print" TargetMode="External"/><Relationship Id="rId202" Type="http://schemas.openxmlformats.org/officeDocument/2006/relationships/hyperlink" Target="https://zakon.rada.gov.ua/laws/show/404-18" TargetMode="External"/><Relationship Id="rId4195" Type="http://schemas.openxmlformats.org/officeDocument/2006/relationships/hyperlink" Target="https://zakon.rada.gov.ua/laws/show/391-20" TargetMode="External"/><Relationship Id="rId5039" Type="http://schemas.openxmlformats.org/officeDocument/2006/relationships/hyperlink" Target="https://zakon.rada.gov.ua/laws/show/657-18" TargetMode="External"/><Relationship Id="rId5246" Type="http://schemas.openxmlformats.org/officeDocument/2006/relationships/hyperlink" Target="https://zakon.rada.gov.ua/laws/show/404-18" TargetMode="External"/><Relationship Id="rId5453" Type="http://schemas.openxmlformats.org/officeDocument/2006/relationships/hyperlink" Target="https://zakon.rada.gov.ua/laws/show/584%D0%B0-18" TargetMode="External"/><Relationship Id="rId1789" Type="http://schemas.openxmlformats.org/officeDocument/2006/relationships/hyperlink" Target="https://zakon.rada.gov.ua/laws/show/z0786-17" TargetMode="External"/><Relationship Id="rId1996" Type="http://schemas.openxmlformats.org/officeDocument/2006/relationships/hyperlink" Target="https://zakon.rada.gov.ua/laws/show/z0137-16" TargetMode="External"/><Relationship Id="rId4055" Type="http://schemas.openxmlformats.org/officeDocument/2006/relationships/hyperlink" Target="https://zakon.rada.gov.ua/laws/show/z1410-12" TargetMode="External"/><Relationship Id="rId4262" Type="http://schemas.openxmlformats.org/officeDocument/2006/relationships/hyperlink" Target="https://zakon.rada.gov.ua/laws/show/391-20" TargetMode="External"/><Relationship Id="rId5106" Type="http://schemas.openxmlformats.org/officeDocument/2006/relationships/hyperlink" Target="https://zakon.rada.gov.ua/laws/show/1039-14" TargetMode="External"/><Relationship Id="rId5660" Type="http://schemas.openxmlformats.org/officeDocument/2006/relationships/hyperlink" Target="https://zakon.rada.gov.ua/laws/show/584%D0%B1-18" TargetMode="External"/><Relationship Id="rId1649" Type="http://schemas.openxmlformats.org/officeDocument/2006/relationships/hyperlink" Target="https://zakon.rada.gov.ua/laws/show/2755-17/print" TargetMode="External"/><Relationship Id="rId1856" Type="http://schemas.openxmlformats.org/officeDocument/2006/relationships/hyperlink" Target="https://zakon.rada.gov.ua/laws/show/1797-19" TargetMode="External"/><Relationship Id="rId2907" Type="http://schemas.openxmlformats.org/officeDocument/2006/relationships/hyperlink" Target="https://zakon.rada.gov.ua/laws/show/4834-17" TargetMode="External"/><Relationship Id="rId3071" Type="http://schemas.openxmlformats.org/officeDocument/2006/relationships/hyperlink" Target="https://zakon.rada.gov.ua/laws/show/867-2011-%D0%BF" TargetMode="External"/><Relationship Id="rId5313" Type="http://schemas.openxmlformats.org/officeDocument/2006/relationships/hyperlink" Target="https://zakon.rada.gov.ua/laws/show/4834-17" TargetMode="External"/><Relationship Id="rId5520" Type="http://schemas.openxmlformats.org/officeDocument/2006/relationships/hyperlink" Target="https://zakon.rada.gov.ua/laws/show/2755-17/print" TargetMode="External"/><Relationship Id="rId1509" Type="http://schemas.openxmlformats.org/officeDocument/2006/relationships/hyperlink" Target="https://zakon.rada.gov.ua/laws/show/z0137-16" TargetMode="External"/><Relationship Id="rId1716" Type="http://schemas.openxmlformats.org/officeDocument/2006/relationships/hyperlink" Target="https://zakon.rada.gov.ua/laws/show/4834-17" TargetMode="External"/><Relationship Id="rId1923" Type="http://schemas.openxmlformats.org/officeDocument/2006/relationships/hyperlink" Target="https://zakon.rada.gov.ua/laws/show/2755-17/print" TargetMode="External"/><Relationship Id="rId4122" Type="http://schemas.openxmlformats.org/officeDocument/2006/relationships/hyperlink" Target="https://zakon.rada.gov.ua/laws/show/2755-17/print" TargetMode="External"/><Relationship Id="rId3888" Type="http://schemas.openxmlformats.org/officeDocument/2006/relationships/hyperlink" Target="https://zakon.rada.gov.ua/laws/show/71-19" TargetMode="External"/><Relationship Id="rId4939" Type="http://schemas.openxmlformats.org/officeDocument/2006/relationships/hyperlink" Target="https://zakon.rada.gov.ua/laws/show/71-19" TargetMode="External"/><Relationship Id="rId6087" Type="http://schemas.openxmlformats.org/officeDocument/2006/relationships/hyperlink" Target="https://zakon.rada.gov.ua/laws/show/2464-17" TargetMode="External"/><Relationship Id="rId6294" Type="http://schemas.openxmlformats.org/officeDocument/2006/relationships/hyperlink" Target="https://zakon.rada.gov.ua/laws/show/2755-17/print" TargetMode="External"/><Relationship Id="rId2697" Type="http://schemas.openxmlformats.org/officeDocument/2006/relationships/hyperlink" Target="https://zakon.rada.gov.ua/laws/show/1797-19" TargetMode="External"/><Relationship Id="rId3748" Type="http://schemas.openxmlformats.org/officeDocument/2006/relationships/hyperlink" Target="https://zakon.rada.gov.ua/laws/show/71-19" TargetMode="External"/><Relationship Id="rId6154" Type="http://schemas.openxmlformats.org/officeDocument/2006/relationships/hyperlink" Target="https://zakon.rada.gov.ua/laws/show/2463-19" TargetMode="External"/><Relationship Id="rId669" Type="http://schemas.openxmlformats.org/officeDocument/2006/relationships/hyperlink" Target="https://zakon.rada.gov.ua/laws/show/4495-17" TargetMode="External"/><Relationship Id="rId876" Type="http://schemas.openxmlformats.org/officeDocument/2006/relationships/hyperlink" Target="https://zakon.rada.gov.ua/laws/show/2755-17/print" TargetMode="External"/><Relationship Id="rId1299" Type="http://schemas.openxmlformats.org/officeDocument/2006/relationships/hyperlink" Target="https://zakon.rada.gov.ua/laws/show/2755-17/print" TargetMode="External"/><Relationship Id="rId2557" Type="http://schemas.openxmlformats.org/officeDocument/2006/relationships/hyperlink" Target="https://zakon.rada.gov.ua/laws/show/3609-17" TargetMode="External"/><Relationship Id="rId3608" Type="http://schemas.openxmlformats.org/officeDocument/2006/relationships/hyperlink" Target="https://zakon.rada.gov.ua/laws/show/643-19" TargetMode="External"/><Relationship Id="rId3955" Type="http://schemas.openxmlformats.org/officeDocument/2006/relationships/hyperlink" Target="https://zakon.rada.gov.ua/laws/show/1251-2010-%D0%BF" TargetMode="External"/><Relationship Id="rId5170" Type="http://schemas.openxmlformats.org/officeDocument/2006/relationships/hyperlink" Target="https://zakon.rada.gov.ua/laws/show/422-18" TargetMode="External"/><Relationship Id="rId6014" Type="http://schemas.openxmlformats.org/officeDocument/2006/relationships/hyperlink" Target="https://zakon.rada.gov.ua/laws/show/2611-19" TargetMode="External"/><Relationship Id="rId6221" Type="http://schemas.openxmlformats.org/officeDocument/2006/relationships/hyperlink" Target="https://zakon.rada.gov.ua/laws/show/2755-17/print" TargetMode="External"/><Relationship Id="rId529" Type="http://schemas.openxmlformats.org/officeDocument/2006/relationships/hyperlink" Target="https://zakon.rada.gov.ua/laws/show/2628-19" TargetMode="External"/><Relationship Id="rId736" Type="http://schemas.openxmlformats.org/officeDocument/2006/relationships/hyperlink" Target="https://zakon.rada.gov.ua/laws/show/2245-19" TargetMode="External"/><Relationship Id="rId1159" Type="http://schemas.openxmlformats.org/officeDocument/2006/relationships/hyperlink" Target="https://zakon.rada.gov.ua/laws/show/2755-17/print" TargetMode="External"/><Relationship Id="rId1366" Type="http://schemas.openxmlformats.org/officeDocument/2006/relationships/hyperlink" Target="https://zakon.rada.gov.ua/laws/show/5083-17" TargetMode="External"/><Relationship Id="rId2417" Type="http://schemas.openxmlformats.org/officeDocument/2006/relationships/hyperlink" Target="https://zakon.rada.gov.ua/laws/show/2755-17/print" TargetMode="External"/><Relationship Id="rId2764" Type="http://schemas.openxmlformats.org/officeDocument/2006/relationships/hyperlink" Target="https://zakon.rada.gov.ua/laws/show/909-19" TargetMode="External"/><Relationship Id="rId2971" Type="http://schemas.openxmlformats.org/officeDocument/2006/relationships/hyperlink" Target="https://zakon.rada.gov.ua/laws/show/2755-17/print" TargetMode="External"/><Relationship Id="rId3815" Type="http://schemas.openxmlformats.org/officeDocument/2006/relationships/hyperlink" Target="https://zakon.rada.gov.ua/laws/show/2371%D0%B3-14" TargetMode="External"/><Relationship Id="rId5030" Type="http://schemas.openxmlformats.org/officeDocument/2006/relationships/hyperlink" Target="https://zakon.rada.gov.ua/laws/show/5083-17" TargetMode="External"/><Relationship Id="rId943" Type="http://schemas.openxmlformats.org/officeDocument/2006/relationships/hyperlink" Target="https://zakon.rada.gov.ua/laws/show/1797-19" TargetMode="External"/><Relationship Id="rId1019" Type="http://schemas.openxmlformats.org/officeDocument/2006/relationships/hyperlink" Target="https://zakon.rada.gov.ua/laws/show/2155-19" TargetMode="External"/><Relationship Id="rId1573" Type="http://schemas.openxmlformats.org/officeDocument/2006/relationships/hyperlink" Target="https://zakon.rada.gov.ua/laws/show/1797-19" TargetMode="External"/><Relationship Id="rId1780" Type="http://schemas.openxmlformats.org/officeDocument/2006/relationships/hyperlink" Target="https://zakon.rada.gov.ua/laws/show/2755-17/print" TargetMode="External"/><Relationship Id="rId2624" Type="http://schemas.openxmlformats.org/officeDocument/2006/relationships/hyperlink" Target="https://zakon.rada.gov.ua/laws/show/2755-17/print" TargetMode="External"/><Relationship Id="rId2831" Type="http://schemas.openxmlformats.org/officeDocument/2006/relationships/hyperlink" Target="https://zakon.rada.gov.ua/laws/show/2755-17/print" TargetMode="External"/><Relationship Id="rId5987" Type="http://schemas.openxmlformats.org/officeDocument/2006/relationships/hyperlink" Target="https://zakon.rada.gov.ua/laws/show/584%D0%B0-18" TargetMode="External"/><Relationship Id="rId72" Type="http://schemas.openxmlformats.org/officeDocument/2006/relationships/hyperlink" Target="https://zakon.rada.gov.ua/laws/show/1636-18" TargetMode="External"/><Relationship Id="rId803" Type="http://schemas.openxmlformats.org/officeDocument/2006/relationships/hyperlink" Target="https://zakon.rada.gov.ua/laws/show/2755-17/print" TargetMode="External"/><Relationship Id="rId1226" Type="http://schemas.openxmlformats.org/officeDocument/2006/relationships/hyperlink" Target="https://zakon.rada.gov.ua/laws/show/5083-17" TargetMode="External"/><Relationship Id="rId1433" Type="http://schemas.openxmlformats.org/officeDocument/2006/relationships/hyperlink" Target="https://zakon.rada.gov.ua/laws/show/2755-17/print" TargetMode="External"/><Relationship Id="rId1640" Type="http://schemas.openxmlformats.org/officeDocument/2006/relationships/hyperlink" Target="https://zakon.rada.gov.ua/laws/show/3205-17" TargetMode="External"/><Relationship Id="rId4589" Type="http://schemas.openxmlformats.org/officeDocument/2006/relationships/hyperlink" Target="https://zakon.rada.gov.ua/laws/show/1797-19" TargetMode="External"/><Relationship Id="rId4796" Type="http://schemas.openxmlformats.org/officeDocument/2006/relationships/hyperlink" Target="https://zakon.rada.gov.ua/laws/show/71-19" TargetMode="External"/><Relationship Id="rId5847" Type="http://schemas.openxmlformats.org/officeDocument/2006/relationships/hyperlink" Target="https://zakon.rada.gov.ua/laws/show/652-19" TargetMode="External"/><Relationship Id="rId1500" Type="http://schemas.openxmlformats.org/officeDocument/2006/relationships/hyperlink" Target="https://zakon.rada.gov.ua/laws/show/652-19" TargetMode="External"/><Relationship Id="rId3398" Type="http://schemas.openxmlformats.org/officeDocument/2006/relationships/hyperlink" Target="https://zakon.rada.gov.ua/laws/show/643-19" TargetMode="External"/><Relationship Id="rId4449" Type="http://schemas.openxmlformats.org/officeDocument/2006/relationships/hyperlink" Target="https://zakon.rada.gov.ua/laws/show/422-18" TargetMode="External"/><Relationship Id="rId4656" Type="http://schemas.openxmlformats.org/officeDocument/2006/relationships/hyperlink" Target="https://zakon.rada.gov.ua/laws/show/71-19" TargetMode="External"/><Relationship Id="rId4863" Type="http://schemas.openxmlformats.org/officeDocument/2006/relationships/hyperlink" Target="https://zakon.rada.gov.ua/laws/show/71-19" TargetMode="External"/><Relationship Id="rId5707" Type="http://schemas.openxmlformats.org/officeDocument/2006/relationships/hyperlink" Target="https://zakon.rada.gov.ua/laws/show/2374-19" TargetMode="External"/><Relationship Id="rId5914" Type="http://schemas.openxmlformats.org/officeDocument/2006/relationships/hyperlink" Target="https://zakon.rada.gov.ua/laws/show/2245-19" TargetMode="External"/><Relationship Id="rId3258" Type="http://schemas.openxmlformats.org/officeDocument/2006/relationships/hyperlink" Target="https://zakon.rada.gov.ua/laws/show/z1415-15" TargetMode="External"/><Relationship Id="rId3465" Type="http://schemas.openxmlformats.org/officeDocument/2006/relationships/hyperlink" Target="https://zakon.rada.gov.ua/laws/show/71-19" TargetMode="External"/><Relationship Id="rId3672" Type="http://schemas.openxmlformats.org/officeDocument/2006/relationships/hyperlink" Target="https://zakon.rada.gov.ua/laws/show/584%D0%B0-18" TargetMode="External"/><Relationship Id="rId4309" Type="http://schemas.openxmlformats.org/officeDocument/2006/relationships/hyperlink" Target="https://zakon.rada.gov.ua/laws/show/2628-19" TargetMode="External"/><Relationship Id="rId4516" Type="http://schemas.openxmlformats.org/officeDocument/2006/relationships/hyperlink" Target="https://zakon.rada.gov.ua/laws/show/2245-19" TargetMode="External"/><Relationship Id="rId4723" Type="http://schemas.openxmlformats.org/officeDocument/2006/relationships/hyperlink" Target="https://zakon.rada.gov.ua/laws/show/71-19" TargetMode="External"/><Relationship Id="rId179" Type="http://schemas.openxmlformats.org/officeDocument/2006/relationships/hyperlink" Target="https://zakon.rada.gov.ua/laws/show/2755-17/print" TargetMode="External"/><Relationship Id="rId386" Type="http://schemas.openxmlformats.org/officeDocument/2006/relationships/hyperlink" Target="https://zakon.rada.gov.ua/laws/show/2755-17/print" TargetMode="External"/><Relationship Id="rId593" Type="http://schemas.openxmlformats.org/officeDocument/2006/relationships/hyperlink" Target="https://zakon.rada.gov.ua/laws/show/71-19" TargetMode="External"/><Relationship Id="rId2067" Type="http://schemas.openxmlformats.org/officeDocument/2006/relationships/hyperlink" Target="https://zakon.rada.gov.ua/laws/show/2755-17/print" TargetMode="External"/><Relationship Id="rId2274" Type="http://schemas.openxmlformats.org/officeDocument/2006/relationships/hyperlink" Target="https://zakon.rada.gov.ua/laws/show/2146-19" TargetMode="External"/><Relationship Id="rId2481" Type="http://schemas.openxmlformats.org/officeDocument/2006/relationships/hyperlink" Target="https://zakon.rada.gov.ua/laws/show/1797-19" TargetMode="External"/><Relationship Id="rId3118" Type="http://schemas.openxmlformats.org/officeDocument/2006/relationships/hyperlink" Target="https://zakon.rada.gov.ua/laws/show/2371%D0%B3-14" TargetMode="External"/><Relationship Id="rId3325" Type="http://schemas.openxmlformats.org/officeDocument/2006/relationships/hyperlink" Target="https://zakon.rada.gov.ua/laws/show/909-19" TargetMode="External"/><Relationship Id="rId3532" Type="http://schemas.openxmlformats.org/officeDocument/2006/relationships/hyperlink" Target="https://zakon.rada.gov.ua/laws/show/71-19" TargetMode="External"/><Relationship Id="rId4930" Type="http://schemas.openxmlformats.org/officeDocument/2006/relationships/hyperlink" Target="https://zakon.rada.gov.ua/laws/show/2497-19" TargetMode="External"/><Relationship Id="rId246" Type="http://schemas.openxmlformats.org/officeDocument/2006/relationships/hyperlink" Target="https://zakon.rada.gov.ua/laws/show/71-19" TargetMode="External"/><Relationship Id="rId453" Type="http://schemas.openxmlformats.org/officeDocument/2006/relationships/hyperlink" Target="https://zakon.rada.gov.ua/laws/show/71-19" TargetMode="External"/><Relationship Id="rId660" Type="http://schemas.openxmlformats.org/officeDocument/2006/relationships/hyperlink" Target="https://zakon.rada.gov.ua/laws/show/1797-19" TargetMode="External"/><Relationship Id="rId1083" Type="http://schemas.openxmlformats.org/officeDocument/2006/relationships/hyperlink" Target="https://zakon.rada.gov.ua/laws/show/2755-17/print" TargetMode="External"/><Relationship Id="rId1290" Type="http://schemas.openxmlformats.org/officeDocument/2006/relationships/hyperlink" Target="https://zakon.rada.gov.ua/laws/show/655-19" TargetMode="External"/><Relationship Id="rId2134" Type="http://schemas.openxmlformats.org/officeDocument/2006/relationships/hyperlink" Target="https://zakon.rada.gov.ua/laws/show/2755-17/print" TargetMode="External"/><Relationship Id="rId2341" Type="http://schemas.openxmlformats.org/officeDocument/2006/relationships/hyperlink" Target="https://zakon.rada.gov.ua/laws/show/344-20" TargetMode="External"/><Relationship Id="rId5497" Type="http://schemas.openxmlformats.org/officeDocument/2006/relationships/hyperlink" Target="https://zakon.rada.gov.ua/laws/show/643-19" TargetMode="External"/><Relationship Id="rId106" Type="http://schemas.openxmlformats.org/officeDocument/2006/relationships/hyperlink" Target="https://zakon.rada.gov.ua/laws/show/903-19" TargetMode="External"/><Relationship Id="rId313" Type="http://schemas.openxmlformats.org/officeDocument/2006/relationships/hyperlink" Target="https://zakon.rada.gov.ua/laws/show/71-19" TargetMode="External"/><Relationship Id="rId1150" Type="http://schemas.openxmlformats.org/officeDocument/2006/relationships/hyperlink" Target="https://zakon.rada.gov.ua/laws/show/2755-17/print" TargetMode="External"/><Relationship Id="rId4099" Type="http://schemas.openxmlformats.org/officeDocument/2006/relationships/hyperlink" Target="https://zakon.rada.gov.ua/laws/show/391-20" TargetMode="External"/><Relationship Id="rId5357" Type="http://schemas.openxmlformats.org/officeDocument/2006/relationships/hyperlink" Target="https://zakon.rada.gov.ua/laws/show/4834-17" TargetMode="External"/><Relationship Id="rId520" Type="http://schemas.openxmlformats.org/officeDocument/2006/relationships/hyperlink" Target="https://zakon.rada.gov.ua/laws/show/71-19" TargetMode="External"/><Relationship Id="rId2201" Type="http://schemas.openxmlformats.org/officeDocument/2006/relationships/hyperlink" Target="https://zakon.rada.gov.ua/laws/show/2755-17/print" TargetMode="External"/><Relationship Id="rId5564" Type="http://schemas.openxmlformats.org/officeDocument/2006/relationships/hyperlink" Target="https://zakon.rada.gov.ua/laws/show/2755-17/print" TargetMode="External"/><Relationship Id="rId5771" Type="http://schemas.openxmlformats.org/officeDocument/2006/relationships/hyperlink" Target="https://zakon.rada.gov.ua/laws/show/71-19" TargetMode="External"/><Relationship Id="rId1010" Type="http://schemas.openxmlformats.org/officeDocument/2006/relationships/hyperlink" Target="https://zakon.rada.gov.ua/laws/show/z0137-16" TargetMode="External"/><Relationship Id="rId1967" Type="http://schemas.openxmlformats.org/officeDocument/2006/relationships/hyperlink" Target="https://zakon.rada.gov.ua/laws/show/2755-17/print" TargetMode="External"/><Relationship Id="rId4166" Type="http://schemas.openxmlformats.org/officeDocument/2006/relationships/hyperlink" Target="https://zakon.rada.gov.ua/laws/show/1638-18" TargetMode="External"/><Relationship Id="rId4373" Type="http://schemas.openxmlformats.org/officeDocument/2006/relationships/hyperlink" Target="https://zakon.rada.gov.ua/laws/show/5503-17" TargetMode="External"/><Relationship Id="rId4580" Type="http://schemas.openxmlformats.org/officeDocument/2006/relationships/hyperlink" Target="https://zakon.rada.gov.ua/laws/show/1797-19" TargetMode="External"/><Relationship Id="rId5217" Type="http://schemas.openxmlformats.org/officeDocument/2006/relationships/hyperlink" Target="https://zakon.rada.gov.ua/laws/show/61-2014-%D0%BF" TargetMode="External"/><Relationship Id="rId5424" Type="http://schemas.openxmlformats.org/officeDocument/2006/relationships/hyperlink" Target="https://zakon.rada.gov.ua/laws/show/909-19" TargetMode="External"/><Relationship Id="rId5631" Type="http://schemas.openxmlformats.org/officeDocument/2006/relationships/hyperlink" Target="https://zakon.rada.gov.ua/laws/show/2755-17/print" TargetMode="External"/><Relationship Id="rId4026" Type="http://schemas.openxmlformats.org/officeDocument/2006/relationships/hyperlink" Target="https://zakon.rada.gov.ua/laws/show/584%D0%B0-18" TargetMode="External"/><Relationship Id="rId4440" Type="http://schemas.openxmlformats.org/officeDocument/2006/relationships/hyperlink" Target="https://zakon.rada.gov.ua/laws/show/2755-17/print" TargetMode="External"/><Relationship Id="rId3042" Type="http://schemas.openxmlformats.org/officeDocument/2006/relationships/hyperlink" Target="https://zakon.rada.gov.ua/laws/show/3609-17" TargetMode="External"/><Relationship Id="rId6198" Type="http://schemas.openxmlformats.org/officeDocument/2006/relationships/hyperlink" Target="https://zakon.rada.gov.ua/laws/show/812-19" TargetMode="External"/><Relationship Id="rId6265" Type="http://schemas.openxmlformats.org/officeDocument/2006/relationships/hyperlink" Target="https://zakon.rada.gov.ua/laws/show/2628-19" TargetMode="External"/><Relationship Id="rId3859" Type="http://schemas.openxmlformats.org/officeDocument/2006/relationships/hyperlink" Target="https://zakon.rada.gov.ua/laws/show/909-19" TargetMode="External"/><Relationship Id="rId5281" Type="http://schemas.openxmlformats.org/officeDocument/2006/relationships/hyperlink" Target="https://zakon.rada.gov.ua/laws/show/60-2014-%D0%BF" TargetMode="External"/><Relationship Id="rId2875" Type="http://schemas.openxmlformats.org/officeDocument/2006/relationships/hyperlink" Target="https://zakon.rada.gov.ua/laws/show/657-18" TargetMode="External"/><Relationship Id="rId3926" Type="http://schemas.openxmlformats.org/officeDocument/2006/relationships/hyperlink" Target="https://zakon.rada.gov.ua/laws/show/2755-17/print" TargetMode="External"/><Relationship Id="rId847" Type="http://schemas.openxmlformats.org/officeDocument/2006/relationships/hyperlink" Target="https://zakon.rada.gov.ua/laws/show/2245-19" TargetMode="External"/><Relationship Id="rId1477" Type="http://schemas.openxmlformats.org/officeDocument/2006/relationships/hyperlink" Target="https://zakon.rada.gov.ua/laws/show/2755-17/print" TargetMode="External"/><Relationship Id="rId1891" Type="http://schemas.openxmlformats.org/officeDocument/2006/relationships/hyperlink" Target="https://zakon.rada.gov.ua/laws/show/2755-17/print" TargetMode="External"/><Relationship Id="rId2528" Type="http://schemas.openxmlformats.org/officeDocument/2006/relationships/hyperlink" Target="https://zakon.rada.gov.ua/laws/show/2755-17/print" TargetMode="External"/><Relationship Id="rId2942" Type="http://schemas.openxmlformats.org/officeDocument/2006/relationships/hyperlink" Target="https://zakon.rada.gov.ua/laws/show/657-18" TargetMode="External"/><Relationship Id="rId914" Type="http://schemas.openxmlformats.org/officeDocument/2006/relationships/hyperlink" Target="https://zakon.rada.gov.ua/laws/show/2755-17/print" TargetMode="External"/><Relationship Id="rId1544" Type="http://schemas.openxmlformats.org/officeDocument/2006/relationships/hyperlink" Target="https://zakon.rada.gov.ua/laws/show/2755-17/print" TargetMode="External"/><Relationship Id="rId5001" Type="http://schemas.openxmlformats.org/officeDocument/2006/relationships/hyperlink" Target="https://zakon.rada.gov.ua/laws/show/2755-17/print" TargetMode="External"/><Relationship Id="rId1611" Type="http://schemas.openxmlformats.org/officeDocument/2006/relationships/hyperlink" Target="https://zakon.rada.gov.ua/laws/show/4652-17" TargetMode="External"/><Relationship Id="rId4767" Type="http://schemas.openxmlformats.org/officeDocument/2006/relationships/hyperlink" Target="https://zakon.rada.gov.ua/laws/show/2245-19" TargetMode="External"/><Relationship Id="rId5818" Type="http://schemas.openxmlformats.org/officeDocument/2006/relationships/hyperlink" Target="https://zakon.rada.gov.ua/laws/show/71-19" TargetMode="External"/><Relationship Id="rId3369" Type="http://schemas.openxmlformats.org/officeDocument/2006/relationships/hyperlink" Target="https://zakon.rada.gov.ua/laws/show/909-19" TargetMode="External"/><Relationship Id="rId2385" Type="http://schemas.openxmlformats.org/officeDocument/2006/relationships/hyperlink" Target="https://zakon.rada.gov.ua/laws/show/1797-19" TargetMode="External"/><Relationship Id="rId3783" Type="http://schemas.openxmlformats.org/officeDocument/2006/relationships/hyperlink" Target="https://zakon.rada.gov.ua/laws/show/584%D0%B0-18" TargetMode="External"/><Relationship Id="rId4834" Type="http://schemas.openxmlformats.org/officeDocument/2006/relationships/hyperlink" Target="https://zakon.rada.gov.ua/laws/show/71-19" TargetMode="External"/><Relationship Id="rId357" Type="http://schemas.openxmlformats.org/officeDocument/2006/relationships/hyperlink" Target="https://zakon.rada.gov.ua/laws/show/435-15" TargetMode="External"/><Relationship Id="rId2038" Type="http://schemas.openxmlformats.org/officeDocument/2006/relationships/hyperlink" Target="https://zakon.rada.gov.ua/laws/show/2755-17/print" TargetMode="External"/><Relationship Id="rId3436" Type="http://schemas.openxmlformats.org/officeDocument/2006/relationships/hyperlink" Target="https://zakon.rada.gov.ua/laws/show/4834-17" TargetMode="External"/><Relationship Id="rId3850" Type="http://schemas.openxmlformats.org/officeDocument/2006/relationships/hyperlink" Target="https://zakon.rada.gov.ua/laws/show/909-19" TargetMode="External"/><Relationship Id="rId4901" Type="http://schemas.openxmlformats.org/officeDocument/2006/relationships/hyperlink" Target="https://zakon.rada.gov.ua/laws/show/1797-19" TargetMode="External"/><Relationship Id="rId771" Type="http://schemas.openxmlformats.org/officeDocument/2006/relationships/hyperlink" Target="https://zakon.rada.gov.ua/laws/show/2245-19" TargetMode="External"/><Relationship Id="rId2452" Type="http://schemas.openxmlformats.org/officeDocument/2006/relationships/hyperlink" Target="https://zakon.rada.gov.ua/laws/show/2530-19" TargetMode="External"/><Relationship Id="rId3503" Type="http://schemas.openxmlformats.org/officeDocument/2006/relationships/hyperlink" Target="https://zakon.rada.gov.ua/laws/show/71-19" TargetMode="External"/><Relationship Id="rId424" Type="http://schemas.openxmlformats.org/officeDocument/2006/relationships/hyperlink" Target="https://zakon.rada.gov.ua/laws/show/5083-17" TargetMode="External"/><Relationship Id="rId1054" Type="http://schemas.openxmlformats.org/officeDocument/2006/relationships/hyperlink" Target="https://zakon.rada.gov.ua/laws/show/4014-17" TargetMode="External"/><Relationship Id="rId2105" Type="http://schemas.openxmlformats.org/officeDocument/2006/relationships/hyperlink" Target="https://zakon.rada.gov.ua/laws/show/1797-19" TargetMode="External"/><Relationship Id="rId5675" Type="http://schemas.openxmlformats.org/officeDocument/2006/relationships/hyperlink" Target="https://zakon.rada.gov.ua/laws/show/2755-17/print" TargetMode="External"/><Relationship Id="rId1121" Type="http://schemas.openxmlformats.org/officeDocument/2006/relationships/hyperlink" Target="https://zakon.rada.gov.ua/laws/show/71-19" TargetMode="External"/><Relationship Id="rId4277" Type="http://schemas.openxmlformats.org/officeDocument/2006/relationships/hyperlink" Target="https://zakon.rada.gov.ua/laws/show/996-14" TargetMode="External"/><Relationship Id="rId4691" Type="http://schemas.openxmlformats.org/officeDocument/2006/relationships/hyperlink" Target="https://zakon.rada.gov.ua/laws/show/1791-19" TargetMode="External"/><Relationship Id="rId5328" Type="http://schemas.openxmlformats.org/officeDocument/2006/relationships/hyperlink" Target="https://zakon.rada.gov.ua/laws/show/1391-14" TargetMode="External"/><Relationship Id="rId5742" Type="http://schemas.openxmlformats.org/officeDocument/2006/relationships/hyperlink" Target="https://zakon.rada.gov.ua/laws/show/3609-17" TargetMode="External"/><Relationship Id="rId3293" Type="http://schemas.openxmlformats.org/officeDocument/2006/relationships/hyperlink" Target="https://zakon.rada.gov.ua/laws/show/1797-19" TargetMode="External"/><Relationship Id="rId4344" Type="http://schemas.openxmlformats.org/officeDocument/2006/relationships/hyperlink" Target="https://zakon.rada.gov.ua/laws/show/2755-17/print" TargetMode="External"/><Relationship Id="rId1938" Type="http://schemas.openxmlformats.org/officeDocument/2006/relationships/hyperlink" Target="https://zakon.rada.gov.ua/laws/show/5083-17" TargetMode="External"/><Relationship Id="rId3360" Type="http://schemas.openxmlformats.org/officeDocument/2006/relationships/hyperlink" Target="https://zakon.rada.gov.ua/laws/show/2755-17/print" TargetMode="External"/><Relationship Id="rId281" Type="http://schemas.openxmlformats.org/officeDocument/2006/relationships/hyperlink" Target="https://zakon.rada.gov.ua/laws/show/2146-19" TargetMode="External"/><Relationship Id="rId3013" Type="http://schemas.openxmlformats.org/officeDocument/2006/relationships/hyperlink" Target="https://zakon.rada.gov.ua/laws/show/1797-19" TargetMode="External"/><Relationship Id="rId4411" Type="http://schemas.openxmlformats.org/officeDocument/2006/relationships/hyperlink" Target="https://zakon.rada.gov.ua/laws/show/1166-18" TargetMode="External"/><Relationship Id="rId6169" Type="http://schemas.openxmlformats.org/officeDocument/2006/relationships/hyperlink" Target="https://zakon.rada.gov.ua/laws/show/2755-17/print" TargetMode="External"/><Relationship Id="rId2779" Type="http://schemas.openxmlformats.org/officeDocument/2006/relationships/hyperlink" Target="https://zakon.rada.gov.ua/laws/show/4834-17" TargetMode="External"/><Relationship Id="rId5185" Type="http://schemas.openxmlformats.org/officeDocument/2006/relationships/hyperlink" Target="https://zakon.rada.gov.ua/laws/show/71-19" TargetMode="External"/><Relationship Id="rId6236" Type="http://schemas.openxmlformats.org/officeDocument/2006/relationships/hyperlink" Target="https://zakon.rada.gov.ua/laws/show/3543-12" TargetMode="External"/><Relationship Id="rId1795" Type="http://schemas.openxmlformats.org/officeDocument/2006/relationships/hyperlink" Target="https://zakon.rada.gov.ua/laws/show/3609-17" TargetMode="External"/><Relationship Id="rId2846" Type="http://schemas.openxmlformats.org/officeDocument/2006/relationships/hyperlink" Target="https://zakon.rada.gov.ua/laws/show/3609-17" TargetMode="External"/><Relationship Id="rId5252" Type="http://schemas.openxmlformats.org/officeDocument/2006/relationships/hyperlink" Target="https://zakon.rada.gov.ua/laws/show/2755-17/print" TargetMode="External"/><Relationship Id="rId6303" Type="http://schemas.openxmlformats.org/officeDocument/2006/relationships/hyperlink" Target="https://zakon.rada.gov.ua/laws/show/2755-17/print" TargetMode="External"/><Relationship Id="rId87" Type="http://schemas.openxmlformats.org/officeDocument/2006/relationships/hyperlink" Target="https://zakon.rada.gov.ua/laws/show/332-19" TargetMode="External"/><Relationship Id="rId818" Type="http://schemas.openxmlformats.org/officeDocument/2006/relationships/hyperlink" Target="https://zakon.rada.gov.ua/laws/show/1797-19" TargetMode="External"/><Relationship Id="rId1448" Type="http://schemas.openxmlformats.org/officeDocument/2006/relationships/hyperlink" Target="https://zakon.rada.gov.ua/laws/show/z0276-14" TargetMode="External"/><Relationship Id="rId1862" Type="http://schemas.openxmlformats.org/officeDocument/2006/relationships/hyperlink" Target="https://zakon.rada.gov.ua/laws/show/1797-19" TargetMode="External"/><Relationship Id="rId2913" Type="http://schemas.openxmlformats.org/officeDocument/2006/relationships/hyperlink" Target="https://zakon.rada.gov.ua/laws/show/4834-17" TargetMode="External"/><Relationship Id="rId1515" Type="http://schemas.openxmlformats.org/officeDocument/2006/relationships/hyperlink" Target="https://zakon.rada.gov.ua/laws/show/2755-17/print" TargetMode="External"/><Relationship Id="rId6093" Type="http://schemas.openxmlformats.org/officeDocument/2006/relationships/hyperlink" Target="https://zakon.rada.gov.ua/laws/show/4834-17" TargetMode="External"/><Relationship Id="rId3687" Type="http://schemas.openxmlformats.org/officeDocument/2006/relationships/hyperlink" Target="https://zakon.rada.gov.ua/laws/show/2755-17/print" TargetMode="External"/><Relationship Id="rId4738" Type="http://schemas.openxmlformats.org/officeDocument/2006/relationships/hyperlink" Target="https://zakon.rada.gov.ua/laws/show/z0130-14" TargetMode="External"/><Relationship Id="rId2289" Type="http://schemas.openxmlformats.org/officeDocument/2006/relationships/hyperlink" Target="https://zakon.rada.gov.ua/laws/show/364-19" TargetMode="External"/><Relationship Id="rId3754" Type="http://schemas.openxmlformats.org/officeDocument/2006/relationships/hyperlink" Target="https://zakon.rada.gov.ua/laws/show/1621-18" TargetMode="External"/><Relationship Id="rId4805" Type="http://schemas.openxmlformats.org/officeDocument/2006/relationships/hyperlink" Target="https://zakon.rada.gov.ua/laws/show/71-19" TargetMode="External"/><Relationship Id="rId6160" Type="http://schemas.openxmlformats.org/officeDocument/2006/relationships/hyperlink" Target="https://zakon.rada.gov.ua/laws/show/903-19" TargetMode="External"/><Relationship Id="rId675" Type="http://schemas.openxmlformats.org/officeDocument/2006/relationships/hyperlink" Target="https://zakon.rada.gov.ua/laws/show/2121-14" TargetMode="External"/><Relationship Id="rId2356" Type="http://schemas.openxmlformats.org/officeDocument/2006/relationships/hyperlink" Target="https://zakon.rada.gov.ua/laws/show/3551-12" TargetMode="External"/><Relationship Id="rId2770" Type="http://schemas.openxmlformats.org/officeDocument/2006/relationships/hyperlink" Target="https://zakon.rada.gov.ua/laws/show/71-19" TargetMode="External"/><Relationship Id="rId3407" Type="http://schemas.openxmlformats.org/officeDocument/2006/relationships/hyperlink" Target="https://zakon.rada.gov.ua/laws/show/2371%D0%B0-14" TargetMode="External"/><Relationship Id="rId3821" Type="http://schemas.openxmlformats.org/officeDocument/2006/relationships/hyperlink" Target="https://zakon.rada.gov.ua/laws/show/71-19" TargetMode="External"/><Relationship Id="rId328" Type="http://schemas.openxmlformats.org/officeDocument/2006/relationships/hyperlink" Target="https://zakon.rada.gov.ua/laws/show/3609-17" TargetMode="External"/><Relationship Id="rId742" Type="http://schemas.openxmlformats.org/officeDocument/2006/relationships/hyperlink" Target="https://zakon.rada.gov.ua/laws/show/2245-19" TargetMode="External"/><Relationship Id="rId1372" Type="http://schemas.openxmlformats.org/officeDocument/2006/relationships/hyperlink" Target="https://zakon.rada.gov.ua/laws/show/2245-19" TargetMode="External"/><Relationship Id="rId2009" Type="http://schemas.openxmlformats.org/officeDocument/2006/relationships/hyperlink" Target="https://zakon.rada.gov.ua/laws/show/643-19" TargetMode="External"/><Relationship Id="rId2423" Type="http://schemas.openxmlformats.org/officeDocument/2006/relationships/hyperlink" Target="https://zakon.rada.gov.ua/laws/show/3609-17" TargetMode="External"/><Relationship Id="rId5579" Type="http://schemas.openxmlformats.org/officeDocument/2006/relationships/hyperlink" Target="https://zakon.rada.gov.ua/laws/show/1797-19" TargetMode="External"/><Relationship Id="rId1025" Type="http://schemas.openxmlformats.org/officeDocument/2006/relationships/hyperlink" Target="https://zakon.rada.gov.ua/laws/show/1797-19" TargetMode="External"/><Relationship Id="rId4595" Type="http://schemas.openxmlformats.org/officeDocument/2006/relationships/hyperlink" Target="https://zakon.rada.gov.ua/laws/show/2755-17/print" TargetMode="External"/><Relationship Id="rId5646" Type="http://schemas.openxmlformats.org/officeDocument/2006/relationships/hyperlink" Target="https://zakon.rada.gov.ua/laws/show/2755-17/print" TargetMode="External"/><Relationship Id="rId5993" Type="http://schemas.openxmlformats.org/officeDocument/2006/relationships/hyperlink" Target="https://zakon.rada.gov.ua/laws/show/584%D0%B0-1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431681</Words>
  <Characters>2460587</Characters>
  <Application>Microsoft Office Word</Application>
  <DocSecurity>0</DocSecurity>
  <Lines>20504</Lines>
  <Paragraphs>5772</Paragraphs>
  <ScaleCrop>false</ScaleCrop>
  <Company/>
  <LinksUpToDate>false</LinksUpToDate>
  <CharactersWithSpaces>2886496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Sergey</dc:creator>
  <cp:keywords/>
  <dc:description/>
  <cp:lastModifiedBy>Sergey</cp:lastModifiedBy>
  <cp:revision>2</cp:revision>
  <dcterms:created xsi:type="dcterms:W3CDTF">2020-01-24T07:04:00Z</dcterms:created>
  <dcterms:modified xsi:type="dcterms:W3CDTF">2020-01-24T07:08:00Z</dcterms:modified>
</cp:coreProperties>
</file>